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header21.xml" ContentType="application/vnd.openxmlformats-officedocument.wordprocessingml.header+xml"/>
  <Override PartName="/word/footer28.xml" ContentType="application/vnd.openxmlformats-officedocument.wordprocessingml.footer+xml"/>
  <Override PartName="/word/header22.xml" ContentType="application/vnd.openxmlformats-officedocument.wordprocessingml.header+xml"/>
  <Override PartName="/word/footer29.xml" ContentType="application/vnd.openxmlformats-officedocument.wordprocessingml.footer+xml"/>
  <Override PartName="/word/header23.xml" ContentType="application/vnd.openxmlformats-officedocument.wordprocessingml.head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29.xml" ContentType="application/vnd.openxmlformats-officedocument.wordprocessingml.header+xml"/>
  <Override PartName="/word/footer42.xml" ContentType="application/vnd.openxmlformats-officedocument.wordprocessingml.footer+xml"/>
  <Override PartName="/word/header30.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rPr>
          <w:rFonts w:ascii="Times New Roman"/>
          <w:sz w:val="20"/>
        </w:rPr>
      </w:pPr>
    </w:p>
    <w:p>
      <w:pPr>
        <w:pStyle w:val="BodyText"/>
        <w:spacing w:before="3"/>
        <w:ind w:left="0"/>
        <w:rPr>
          <w:rFonts w:ascii="Times New Roman"/>
          <w:sz w:val="19"/>
        </w:rPr>
      </w:pPr>
    </w:p>
    <w:p>
      <w:pPr>
        <w:pStyle w:val="Heading2"/>
        <w:spacing w:before="62"/>
        <w:ind w:left="220" w:right="236" w:firstLine="0"/>
        <w:jc w:val="center"/>
      </w:pPr>
      <w:r>
        <w:rPr/>
        <w:t>目录</w:t>
      </w:r>
    </w:p>
    <w:p>
      <w:pPr>
        <w:tabs>
          <w:tab w:pos="9109" w:val="left" w:leader="dot"/>
        </w:tabs>
        <w:spacing w:before="273"/>
        <w:ind w:left="0" w:right="251" w:firstLine="0"/>
        <w:jc w:val="right"/>
        <w:rPr>
          <w:rFonts w:ascii="Times New Roman" w:eastAsia="Times New Roman"/>
          <w:b/>
          <w:sz w:val="21"/>
        </w:rPr>
      </w:pPr>
      <w:hyperlink w:history="true" w:anchor="_bookmark0">
        <w:r>
          <w:rPr>
            <w:b/>
            <w:sz w:val="21"/>
          </w:rPr>
          <w:t>第一章</w:t>
        </w:r>
        <w:r>
          <w:rPr>
            <w:b/>
            <w:spacing w:val="-3"/>
            <w:sz w:val="21"/>
          </w:rPr>
          <w:t> </w:t>
        </w:r>
        <w:r>
          <w:rPr>
            <w:b/>
            <w:sz w:val="21"/>
          </w:rPr>
          <w:t>概述</w:t>
        </w:r>
      </w:hyperlink>
      <w:r>
        <w:rPr>
          <w:b/>
          <w:sz w:val="21"/>
        </w:rPr>
        <w:tab/>
      </w:r>
      <w:hyperlink w:history="true" w:anchor="_bookmark0">
        <w:r>
          <w:rPr>
            <w:rFonts w:ascii="Times New Roman" w:eastAsia="Times New Roman"/>
            <w:b/>
            <w:sz w:val="21"/>
          </w:rPr>
          <w:t>1</w:t>
        </w:r>
      </w:hyperlink>
    </w:p>
    <w:p>
      <w:pPr>
        <w:pStyle w:val="ListParagraph"/>
        <w:numPr>
          <w:ilvl w:val="1"/>
          <w:numId w:val="1"/>
        </w:numPr>
        <w:tabs>
          <w:tab w:pos="1027" w:val="left" w:leader="none"/>
          <w:tab w:pos="9347" w:val="left" w:leader="dot"/>
        </w:tabs>
        <w:spacing w:line="240" w:lineRule="auto" w:before="88" w:after="0"/>
        <w:ind w:left="1026" w:right="0" w:hanging="370"/>
        <w:jc w:val="left"/>
        <w:rPr>
          <w:rFonts w:ascii="Times New Roman" w:eastAsia="Times New Roman"/>
          <w:sz w:val="21"/>
        </w:rPr>
      </w:pPr>
      <w:hyperlink w:history="true" w:anchor="_bookmark1">
        <w:r>
          <w:rPr>
            <w:spacing w:val="-3"/>
            <w:sz w:val="21"/>
          </w:rPr>
          <w:t>项</w:t>
        </w:r>
        <w:r>
          <w:rPr>
            <w:sz w:val="21"/>
          </w:rPr>
          <w:t>目</w:t>
        </w:r>
        <w:r>
          <w:rPr>
            <w:spacing w:val="-3"/>
            <w:sz w:val="21"/>
          </w:rPr>
          <w:t>由</w:t>
        </w:r>
        <w:r>
          <w:rPr>
            <w:sz w:val="21"/>
          </w:rPr>
          <w:t>来</w:t>
          <w:tab/>
        </w:r>
        <w:r>
          <w:rPr>
            <w:rFonts w:ascii="Times New Roman" w:eastAsia="Times New Roman"/>
            <w:sz w:val="21"/>
          </w:rPr>
          <w:t>1</w:t>
        </w:r>
      </w:hyperlink>
    </w:p>
    <w:p>
      <w:pPr>
        <w:pStyle w:val="ListParagraph"/>
        <w:numPr>
          <w:ilvl w:val="1"/>
          <w:numId w:val="1"/>
        </w:numPr>
        <w:tabs>
          <w:tab w:pos="1027" w:val="left" w:leader="none"/>
          <w:tab w:pos="9347" w:val="left" w:leader="dot"/>
        </w:tabs>
        <w:spacing w:line="240" w:lineRule="auto" w:before="91" w:after="0"/>
        <w:ind w:left="1026" w:right="0" w:hanging="370"/>
        <w:jc w:val="left"/>
        <w:rPr>
          <w:rFonts w:ascii="Times New Roman" w:eastAsia="Times New Roman"/>
          <w:sz w:val="21"/>
        </w:rPr>
      </w:pPr>
      <w:hyperlink w:history="true" w:anchor="_bookmark2">
        <w:r>
          <w:rPr>
            <w:spacing w:val="-3"/>
            <w:sz w:val="21"/>
          </w:rPr>
          <w:t>项</w:t>
        </w:r>
        <w:r>
          <w:rPr>
            <w:sz w:val="21"/>
          </w:rPr>
          <w:t>目</w:t>
        </w:r>
        <w:r>
          <w:rPr>
            <w:spacing w:val="-3"/>
            <w:sz w:val="21"/>
          </w:rPr>
          <w:t>特</w:t>
        </w:r>
        <w:r>
          <w:rPr>
            <w:sz w:val="21"/>
          </w:rPr>
          <w:t>点</w:t>
          <w:tab/>
        </w:r>
        <w:r>
          <w:rPr>
            <w:rFonts w:ascii="Times New Roman" w:eastAsia="Times New Roman"/>
            <w:sz w:val="21"/>
          </w:rPr>
          <w:t>2</w:t>
        </w:r>
      </w:hyperlink>
    </w:p>
    <w:p>
      <w:pPr>
        <w:pStyle w:val="ListParagraph"/>
        <w:numPr>
          <w:ilvl w:val="1"/>
          <w:numId w:val="1"/>
        </w:numPr>
        <w:tabs>
          <w:tab w:pos="1027" w:val="left" w:leader="none"/>
          <w:tab w:pos="8689" w:val="left" w:leader="dot"/>
        </w:tabs>
        <w:spacing w:line="240" w:lineRule="auto" w:before="89" w:after="0"/>
        <w:ind w:left="1026" w:right="251" w:hanging="1027"/>
        <w:jc w:val="right"/>
        <w:rPr>
          <w:rFonts w:ascii="Times New Roman" w:eastAsia="Times New Roman"/>
          <w:sz w:val="21"/>
        </w:rPr>
      </w:pPr>
      <w:hyperlink w:history="true" w:anchor="_bookmark3">
        <w:r>
          <w:rPr>
            <w:spacing w:val="-3"/>
            <w:sz w:val="21"/>
          </w:rPr>
          <w:t>评</w:t>
        </w:r>
        <w:r>
          <w:rPr>
            <w:sz w:val="21"/>
          </w:rPr>
          <w:t>价</w:t>
        </w:r>
        <w:r>
          <w:rPr>
            <w:spacing w:val="-3"/>
            <w:sz w:val="21"/>
          </w:rPr>
          <w:t>工</w:t>
        </w:r>
        <w:r>
          <w:rPr>
            <w:sz w:val="21"/>
          </w:rPr>
          <w:t>作</w:t>
        </w:r>
        <w:r>
          <w:rPr>
            <w:spacing w:val="-3"/>
            <w:sz w:val="21"/>
          </w:rPr>
          <w:t>过</w:t>
        </w:r>
        <w:r>
          <w:rPr>
            <w:sz w:val="21"/>
          </w:rPr>
          <w:t>程</w:t>
          <w:tab/>
        </w:r>
        <w:r>
          <w:rPr>
            <w:rFonts w:ascii="Times New Roman" w:eastAsia="Times New Roman"/>
            <w:sz w:val="21"/>
          </w:rPr>
          <w:t>3</w:t>
        </w:r>
      </w:hyperlink>
    </w:p>
    <w:p>
      <w:pPr>
        <w:pStyle w:val="ListParagraph"/>
        <w:numPr>
          <w:ilvl w:val="1"/>
          <w:numId w:val="1"/>
        </w:numPr>
        <w:tabs>
          <w:tab w:pos="1027" w:val="left" w:leader="none"/>
          <w:tab w:pos="8689" w:val="left" w:leader="dot"/>
        </w:tabs>
        <w:spacing w:line="240" w:lineRule="auto" w:before="91" w:after="0"/>
        <w:ind w:left="1026" w:right="251" w:hanging="1027"/>
        <w:jc w:val="right"/>
        <w:rPr>
          <w:rFonts w:ascii="Times New Roman" w:eastAsia="Times New Roman"/>
          <w:sz w:val="21"/>
        </w:rPr>
      </w:pPr>
      <w:hyperlink w:history="true" w:anchor="_bookmark4">
        <w:r>
          <w:rPr>
            <w:spacing w:val="-3"/>
            <w:sz w:val="21"/>
          </w:rPr>
          <w:t>分</w:t>
        </w:r>
        <w:r>
          <w:rPr>
            <w:sz w:val="21"/>
          </w:rPr>
          <w:t>析</w:t>
        </w:r>
        <w:r>
          <w:rPr>
            <w:spacing w:val="-3"/>
            <w:sz w:val="21"/>
          </w:rPr>
          <w:t>判</w:t>
        </w:r>
        <w:r>
          <w:rPr>
            <w:sz w:val="21"/>
          </w:rPr>
          <w:t>定</w:t>
        </w:r>
        <w:r>
          <w:rPr>
            <w:spacing w:val="-3"/>
            <w:sz w:val="21"/>
          </w:rPr>
          <w:t>情</w:t>
        </w:r>
        <w:r>
          <w:rPr>
            <w:sz w:val="21"/>
          </w:rPr>
          <w:t>况</w:t>
          <w:tab/>
        </w:r>
        <w:r>
          <w:rPr>
            <w:rFonts w:ascii="Times New Roman" w:eastAsia="Times New Roman"/>
            <w:sz w:val="21"/>
          </w:rPr>
          <w:t>4</w:t>
        </w:r>
      </w:hyperlink>
    </w:p>
    <w:p>
      <w:pPr>
        <w:pStyle w:val="ListParagraph"/>
        <w:numPr>
          <w:ilvl w:val="2"/>
          <w:numId w:val="1"/>
        </w:numPr>
        <w:tabs>
          <w:tab w:pos="526" w:val="left" w:leader="none"/>
          <w:tab w:pos="8269" w:val="left" w:leader="dot"/>
        </w:tabs>
        <w:spacing w:line="240" w:lineRule="auto" w:before="88" w:after="0"/>
        <w:ind w:left="1602" w:right="251" w:hanging="1603"/>
        <w:jc w:val="right"/>
        <w:rPr>
          <w:rFonts w:ascii="Times New Roman" w:hAnsi="Times New Roman" w:eastAsia="Times New Roman"/>
          <w:sz w:val="21"/>
        </w:rPr>
      </w:pPr>
      <w:hyperlink w:history="true" w:anchor="_bookmark5">
        <w:r>
          <w:rPr>
            <w:sz w:val="21"/>
          </w:rPr>
          <w:t>“</w:t>
        </w:r>
        <w:r>
          <w:rPr>
            <w:spacing w:val="-3"/>
            <w:sz w:val="21"/>
          </w:rPr>
          <w:t>三</w:t>
        </w:r>
        <w:r>
          <w:rPr>
            <w:sz w:val="21"/>
          </w:rPr>
          <w:t>线</w:t>
        </w:r>
        <w:r>
          <w:rPr>
            <w:spacing w:val="-3"/>
            <w:sz w:val="21"/>
          </w:rPr>
          <w:t>一</w:t>
        </w:r>
        <w:r>
          <w:rPr>
            <w:sz w:val="21"/>
          </w:rPr>
          <w:t>单</w:t>
        </w:r>
        <w:r>
          <w:rPr>
            <w:spacing w:val="-3"/>
            <w:sz w:val="21"/>
          </w:rPr>
          <w:t>”</w:t>
        </w:r>
        <w:r>
          <w:rPr>
            <w:sz w:val="21"/>
          </w:rPr>
          <w:t>生</w:t>
        </w:r>
        <w:r>
          <w:rPr>
            <w:spacing w:val="-3"/>
            <w:sz w:val="21"/>
          </w:rPr>
          <w:t>态环</w:t>
        </w:r>
        <w:r>
          <w:rPr>
            <w:sz w:val="21"/>
          </w:rPr>
          <w:t>境分</w:t>
        </w:r>
        <w:r>
          <w:rPr>
            <w:spacing w:val="-3"/>
            <w:sz w:val="21"/>
          </w:rPr>
          <w:t>区</w:t>
        </w:r>
        <w:r>
          <w:rPr>
            <w:sz w:val="21"/>
          </w:rPr>
          <w:t>管</w:t>
        </w:r>
        <w:r>
          <w:rPr>
            <w:spacing w:val="-3"/>
            <w:sz w:val="21"/>
          </w:rPr>
          <w:t>控</w:t>
        </w:r>
        <w:r>
          <w:rPr>
            <w:sz w:val="21"/>
          </w:rPr>
          <w:t>方</w:t>
        </w:r>
        <w:r>
          <w:rPr>
            <w:spacing w:val="-3"/>
            <w:sz w:val="21"/>
          </w:rPr>
          <w:t>案</w:t>
        </w:r>
        <w:r>
          <w:rPr>
            <w:sz w:val="21"/>
          </w:rPr>
          <w:t>符</w:t>
        </w:r>
        <w:r>
          <w:rPr>
            <w:spacing w:val="-3"/>
            <w:sz w:val="21"/>
          </w:rPr>
          <w:t>合</w:t>
        </w:r>
        <w:r>
          <w:rPr>
            <w:sz w:val="21"/>
          </w:rPr>
          <w:t>性</w:t>
        </w:r>
        <w:r>
          <w:rPr>
            <w:spacing w:val="-3"/>
            <w:sz w:val="21"/>
          </w:rPr>
          <w:t>判</w:t>
        </w:r>
        <w:r>
          <w:rPr>
            <w:sz w:val="21"/>
          </w:rPr>
          <w:t>定</w:t>
          <w:tab/>
        </w:r>
        <w:r>
          <w:rPr>
            <w:rFonts w:ascii="Times New Roman" w:hAnsi="Times New Roman" w:eastAsia="Times New Roman"/>
            <w:sz w:val="21"/>
          </w:rPr>
          <w:t>4</w:t>
        </w:r>
      </w:hyperlink>
    </w:p>
    <w:p>
      <w:pPr>
        <w:pStyle w:val="ListParagraph"/>
        <w:numPr>
          <w:ilvl w:val="2"/>
          <w:numId w:val="1"/>
        </w:numPr>
        <w:tabs>
          <w:tab w:pos="526" w:val="left" w:leader="none"/>
          <w:tab w:pos="8269" w:val="left" w:leader="dot"/>
        </w:tabs>
        <w:spacing w:line="240" w:lineRule="auto" w:before="91" w:after="0"/>
        <w:ind w:left="1602" w:right="251" w:hanging="1603"/>
        <w:jc w:val="right"/>
        <w:rPr>
          <w:rFonts w:ascii="Times New Roman" w:eastAsia="Times New Roman"/>
          <w:sz w:val="21"/>
        </w:rPr>
      </w:pPr>
      <w:hyperlink w:history="true" w:anchor="_bookmark6">
        <w:r>
          <w:rPr>
            <w:sz w:val="21"/>
          </w:rPr>
          <w:t>土</w:t>
        </w:r>
        <w:r>
          <w:rPr>
            <w:spacing w:val="-3"/>
            <w:sz w:val="21"/>
          </w:rPr>
          <w:t>地</w:t>
        </w:r>
        <w:r>
          <w:rPr>
            <w:sz w:val="21"/>
          </w:rPr>
          <w:t>利</w:t>
        </w:r>
        <w:r>
          <w:rPr>
            <w:spacing w:val="-3"/>
            <w:sz w:val="21"/>
          </w:rPr>
          <w:t>用</w:t>
        </w:r>
        <w:r>
          <w:rPr>
            <w:sz w:val="21"/>
          </w:rPr>
          <w:t>规</w:t>
        </w:r>
        <w:r>
          <w:rPr>
            <w:spacing w:val="-3"/>
            <w:sz w:val="21"/>
          </w:rPr>
          <w:t>划</w:t>
        </w:r>
        <w:r>
          <w:rPr>
            <w:sz w:val="21"/>
          </w:rPr>
          <w:t>和</w:t>
        </w:r>
        <w:r>
          <w:rPr>
            <w:spacing w:val="-3"/>
            <w:sz w:val="21"/>
          </w:rPr>
          <w:t>城乡</w:t>
        </w:r>
        <w:r>
          <w:rPr>
            <w:sz w:val="21"/>
          </w:rPr>
          <w:t>总体</w:t>
        </w:r>
        <w:r>
          <w:rPr>
            <w:spacing w:val="-3"/>
            <w:sz w:val="21"/>
          </w:rPr>
          <w:t>规</w:t>
        </w:r>
        <w:r>
          <w:rPr>
            <w:sz w:val="21"/>
          </w:rPr>
          <w:t>划</w:t>
        </w:r>
        <w:r>
          <w:rPr>
            <w:spacing w:val="-3"/>
            <w:sz w:val="21"/>
          </w:rPr>
          <w:t>符</w:t>
        </w:r>
        <w:r>
          <w:rPr>
            <w:sz w:val="21"/>
          </w:rPr>
          <w:t>合</w:t>
        </w:r>
        <w:r>
          <w:rPr>
            <w:spacing w:val="-3"/>
            <w:sz w:val="21"/>
          </w:rPr>
          <w:t>性</w:t>
        </w:r>
        <w:r>
          <w:rPr>
            <w:sz w:val="21"/>
          </w:rPr>
          <w:t>判定</w:t>
          <w:tab/>
        </w:r>
        <w:r>
          <w:rPr>
            <w:rFonts w:ascii="Times New Roman" w:eastAsia="Times New Roman"/>
            <w:sz w:val="21"/>
          </w:rPr>
          <w:t>4</w:t>
        </w:r>
      </w:hyperlink>
    </w:p>
    <w:p>
      <w:pPr>
        <w:pStyle w:val="ListParagraph"/>
        <w:numPr>
          <w:ilvl w:val="2"/>
          <w:numId w:val="1"/>
        </w:numPr>
        <w:tabs>
          <w:tab w:pos="526" w:val="left" w:leader="none"/>
          <w:tab w:pos="8269" w:val="left" w:leader="dot"/>
        </w:tabs>
        <w:spacing w:line="240" w:lineRule="auto" w:before="89" w:after="0"/>
        <w:ind w:left="1602" w:right="251" w:hanging="1603"/>
        <w:jc w:val="right"/>
        <w:rPr>
          <w:rFonts w:ascii="Times New Roman" w:eastAsia="Times New Roman"/>
          <w:sz w:val="21"/>
        </w:rPr>
      </w:pPr>
      <w:hyperlink w:history="true" w:anchor="_bookmark7">
        <w:r>
          <w:rPr>
            <w:sz w:val="21"/>
          </w:rPr>
          <w:t>产</w:t>
        </w:r>
        <w:r>
          <w:rPr>
            <w:spacing w:val="-3"/>
            <w:sz w:val="21"/>
          </w:rPr>
          <w:t>业</w:t>
        </w:r>
        <w:r>
          <w:rPr>
            <w:sz w:val="21"/>
          </w:rPr>
          <w:t>政</w:t>
        </w:r>
        <w:r>
          <w:rPr>
            <w:spacing w:val="-3"/>
            <w:sz w:val="21"/>
          </w:rPr>
          <w:t>策</w:t>
        </w:r>
        <w:r>
          <w:rPr>
            <w:sz w:val="21"/>
          </w:rPr>
          <w:t>符</w:t>
        </w:r>
        <w:r>
          <w:rPr>
            <w:spacing w:val="-3"/>
            <w:sz w:val="21"/>
          </w:rPr>
          <w:t>合</w:t>
        </w:r>
        <w:r>
          <w:rPr>
            <w:sz w:val="21"/>
          </w:rPr>
          <w:t>性</w:t>
        </w:r>
        <w:r>
          <w:rPr>
            <w:spacing w:val="-3"/>
            <w:sz w:val="21"/>
          </w:rPr>
          <w:t>判</w:t>
        </w:r>
        <w:r>
          <w:rPr>
            <w:sz w:val="21"/>
          </w:rPr>
          <w:t>定</w:t>
          <w:tab/>
        </w:r>
        <w:r>
          <w:rPr>
            <w:rFonts w:ascii="Times New Roman" w:eastAsia="Times New Roman"/>
            <w:sz w:val="21"/>
          </w:rPr>
          <w:t>4</w:t>
        </w:r>
      </w:hyperlink>
    </w:p>
    <w:p>
      <w:pPr>
        <w:pStyle w:val="ListParagraph"/>
        <w:numPr>
          <w:ilvl w:val="2"/>
          <w:numId w:val="1"/>
        </w:numPr>
        <w:tabs>
          <w:tab w:pos="526" w:val="left" w:leader="none"/>
          <w:tab w:pos="8269" w:val="left" w:leader="dot"/>
        </w:tabs>
        <w:spacing w:line="240" w:lineRule="auto" w:before="91" w:after="0"/>
        <w:ind w:left="1602" w:right="251" w:hanging="1603"/>
        <w:jc w:val="right"/>
        <w:rPr>
          <w:rFonts w:ascii="Times New Roman" w:eastAsia="Times New Roman"/>
          <w:sz w:val="21"/>
        </w:rPr>
      </w:pPr>
      <w:hyperlink w:history="true" w:anchor="_bookmark8">
        <w:r>
          <w:rPr>
            <w:sz w:val="21"/>
          </w:rPr>
          <w:t>选</w:t>
        </w:r>
        <w:r>
          <w:rPr>
            <w:spacing w:val="-3"/>
            <w:sz w:val="21"/>
          </w:rPr>
          <w:t>址</w:t>
        </w:r>
        <w:r>
          <w:rPr>
            <w:sz w:val="21"/>
          </w:rPr>
          <w:t>要</w:t>
        </w:r>
        <w:r>
          <w:rPr>
            <w:spacing w:val="-3"/>
            <w:sz w:val="21"/>
          </w:rPr>
          <w:t>求</w:t>
        </w:r>
        <w:r>
          <w:rPr>
            <w:sz w:val="21"/>
          </w:rPr>
          <w:t>符</w:t>
        </w:r>
        <w:r>
          <w:rPr>
            <w:spacing w:val="-3"/>
            <w:sz w:val="21"/>
          </w:rPr>
          <w:t>合</w:t>
        </w:r>
        <w:r>
          <w:rPr>
            <w:sz w:val="21"/>
          </w:rPr>
          <w:t>性</w:t>
        </w:r>
        <w:r>
          <w:rPr>
            <w:spacing w:val="-3"/>
            <w:sz w:val="21"/>
          </w:rPr>
          <w:t>分</w:t>
        </w:r>
        <w:r>
          <w:rPr>
            <w:sz w:val="21"/>
          </w:rPr>
          <w:t>析</w:t>
          <w:tab/>
        </w:r>
        <w:r>
          <w:rPr>
            <w:rFonts w:ascii="Times New Roman" w:eastAsia="Times New Roman"/>
            <w:sz w:val="21"/>
          </w:rPr>
          <w:t>5</w:t>
        </w:r>
      </w:hyperlink>
    </w:p>
    <w:p>
      <w:pPr>
        <w:pStyle w:val="ListParagraph"/>
        <w:numPr>
          <w:ilvl w:val="2"/>
          <w:numId w:val="1"/>
        </w:numPr>
        <w:tabs>
          <w:tab w:pos="526" w:val="left" w:leader="none"/>
          <w:tab w:pos="8269" w:val="left" w:leader="dot"/>
        </w:tabs>
        <w:spacing w:line="240" w:lineRule="auto" w:before="89" w:after="0"/>
        <w:ind w:left="1602" w:right="251" w:hanging="1603"/>
        <w:jc w:val="right"/>
        <w:rPr>
          <w:rFonts w:ascii="Times New Roman" w:eastAsia="Times New Roman"/>
          <w:sz w:val="21"/>
        </w:rPr>
      </w:pPr>
      <w:hyperlink w:history="true" w:anchor="_bookmark9">
        <w:r>
          <w:rPr>
            <w:sz w:val="21"/>
          </w:rPr>
          <w:t>评</w:t>
        </w:r>
        <w:r>
          <w:rPr>
            <w:spacing w:val="-3"/>
            <w:sz w:val="21"/>
          </w:rPr>
          <w:t>价</w:t>
        </w:r>
        <w:r>
          <w:rPr>
            <w:sz w:val="21"/>
          </w:rPr>
          <w:t>类</w:t>
        </w:r>
        <w:r>
          <w:rPr>
            <w:spacing w:val="-3"/>
            <w:sz w:val="21"/>
          </w:rPr>
          <w:t>型</w:t>
        </w:r>
        <w:r>
          <w:rPr>
            <w:sz w:val="21"/>
          </w:rPr>
          <w:t>及</w:t>
        </w:r>
        <w:r>
          <w:rPr>
            <w:spacing w:val="-3"/>
            <w:sz w:val="21"/>
          </w:rPr>
          <w:t>审</w:t>
        </w:r>
        <w:r>
          <w:rPr>
            <w:sz w:val="21"/>
          </w:rPr>
          <w:t>批</w:t>
        </w:r>
        <w:r>
          <w:rPr>
            <w:spacing w:val="-3"/>
            <w:sz w:val="21"/>
          </w:rPr>
          <w:t>部门</w:t>
        </w:r>
        <w:r>
          <w:rPr>
            <w:sz w:val="21"/>
          </w:rPr>
          <w:t>判定</w:t>
          <w:tab/>
        </w:r>
        <w:r>
          <w:rPr>
            <w:rFonts w:ascii="Times New Roman" w:eastAsia="Times New Roman"/>
            <w:sz w:val="21"/>
          </w:rPr>
          <w:t>6</w:t>
        </w:r>
      </w:hyperlink>
    </w:p>
    <w:p>
      <w:pPr>
        <w:pStyle w:val="ListParagraph"/>
        <w:numPr>
          <w:ilvl w:val="1"/>
          <w:numId w:val="1"/>
        </w:numPr>
        <w:tabs>
          <w:tab w:pos="1027" w:val="left" w:leader="none"/>
          <w:tab w:pos="8689" w:val="left" w:leader="dot"/>
        </w:tabs>
        <w:spacing w:line="240" w:lineRule="auto" w:before="91" w:after="0"/>
        <w:ind w:left="1026" w:right="251" w:hanging="1027"/>
        <w:jc w:val="right"/>
        <w:rPr>
          <w:rFonts w:ascii="Times New Roman" w:eastAsia="Times New Roman"/>
          <w:sz w:val="21"/>
        </w:rPr>
      </w:pPr>
      <w:hyperlink w:history="true" w:anchor="_bookmark10">
        <w:r>
          <w:rPr>
            <w:spacing w:val="-3"/>
            <w:sz w:val="21"/>
          </w:rPr>
          <w:t>评</w:t>
        </w:r>
        <w:r>
          <w:rPr>
            <w:sz w:val="21"/>
          </w:rPr>
          <w:t>价</w:t>
        </w:r>
        <w:r>
          <w:rPr>
            <w:spacing w:val="-3"/>
            <w:sz w:val="21"/>
          </w:rPr>
          <w:t>关</w:t>
        </w:r>
        <w:r>
          <w:rPr>
            <w:sz w:val="21"/>
          </w:rPr>
          <w:t>注</w:t>
        </w:r>
        <w:r>
          <w:rPr>
            <w:spacing w:val="-3"/>
            <w:sz w:val="21"/>
          </w:rPr>
          <w:t>的</w:t>
        </w:r>
        <w:r>
          <w:rPr>
            <w:sz w:val="21"/>
          </w:rPr>
          <w:t>主</w:t>
        </w:r>
        <w:r>
          <w:rPr>
            <w:spacing w:val="-3"/>
            <w:sz w:val="21"/>
          </w:rPr>
          <w:t>要</w:t>
        </w:r>
        <w:r>
          <w:rPr>
            <w:sz w:val="21"/>
          </w:rPr>
          <w:t>环</w:t>
        </w:r>
        <w:r>
          <w:rPr>
            <w:spacing w:val="-3"/>
            <w:sz w:val="21"/>
          </w:rPr>
          <w:t>境</w:t>
        </w:r>
        <w:r>
          <w:rPr>
            <w:sz w:val="21"/>
          </w:rPr>
          <w:t>问题</w:t>
        </w:r>
        <w:r>
          <w:rPr>
            <w:spacing w:val="-3"/>
            <w:sz w:val="21"/>
          </w:rPr>
          <w:t>及</w:t>
        </w:r>
        <w:r>
          <w:rPr>
            <w:sz w:val="21"/>
          </w:rPr>
          <w:t>环</w:t>
        </w:r>
        <w:r>
          <w:rPr>
            <w:spacing w:val="-3"/>
            <w:sz w:val="21"/>
          </w:rPr>
          <w:t>境</w:t>
        </w:r>
        <w:r>
          <w:rPr>
            <w:sz w:val="21"/>
          </w:rPr>
          <w:t>影响</w:t>
          <w:tab/>
        </w:r>
        <w:r>
          <w:rPr>
            <w:rFonts w:ascii="Times New Roman" w:eastAsia="Times New Roman"/>
            <w:sz w:val="21"/>
          </w:rPr>
          <w:t>7</w:t>
        </w:r>
      </w:hyperlink>
    </w:p>
    <w:p>
      <w:pPr>
        <w:pStyle w:val="ListParagraph"/>
        <w:numPr>
          <w:ilvl w:val="1"/>
          <w:numId w:val="1"/>
        </w:numPr>
        <w:tabs>
          <w:tab w:pos="1027" w:val="left" w:leader="none"/>
          <w:tab w:pos="8689" w:val="left" w:leader="dot"/>
        </w:tabs>
        <w:spacing w:line="240" w:lineRule="auto" w:before="88" w:after="0"/>
        <w:ind w:left="1026" w:right="251" w:hanging="1027"/>
        <w:jc w:val="right"/>
        <w:rPr>
          <w:rFonts w:ascii="Times New Roman" w:eastAsia="Times New Roman"/>
          <w:sz w:val="21"/>
        </w:rPr>
      </w:pPr>
      <w:hyperlink w:history="true" w:anchor="_bookmark11">
        <w:r>
          <w:rPr>
            <w:spacing w:val="-3"/>
            <w:sz w:val="21"/>
          </w:rPr>
          <w:t>报</w:t>
        </w:r>
        <w:r>
          <w:rPr>
            <w:sz w:val="21"/>
          </w:rPr>
          <w:t>告</w:t>
        </w:r>
        <w:r>
          <w:rPr>
            <w:spacing w:val="-3"/>
            <w:sz w:val="21"/>
          </w:rPr>
          <w:t>书</w:t>
        </w:r>
        <w:r>
          <w:rPr>
            <w:sz w:val="21"/>
          </w:rPr>
          <w:t>主</w:t>
        </w:r>
        <w:r>
          <w:rPr>
            <w:spacing w:val="-3"/>
            <w:sz w:val="21"/>
          </w:rPr>
          <w:t>要</w:t>
        </w:r>
        <w:r>
          <w:rPr>
            <w:sz w:val="21"/>
          </w:rPr>
          <w:t>结论</w:t>
          <w:tab/>
        </w:r>
        <w:r>
          <w:rPr>
            <w:rFonts w:ascii="Times New Roman" w:eastAsia="Times New Roman"/>
            <w:sz w:val="21"/>
          </w:rPr>
          <w:t>7</w:t>
        </w:r>
      </w:hyperlink>
    </w:p>
    <w:p>
      <w:pPr>
        <w:tabs>
          <w:tab w:pos="9109" w:val="left" w:leader="dot"/>
        </w:tabs>
        <w:spacing w:before="91"/>
        <w:ind w:left="0" w:right="251" w:firstLine="0"/>
        <w:jc w:val="right"/>
        <w:rPr>
          <w:rFonts w:ascii="Times New Roman" w:eastAsia="Times New Roman"/>
          <w:b/>
          <w:sz w:val="21"/>
        </w:rPr>
      </w:pPr>
      <w:hyperlink w:history="true" w:anchor="_bookmark12">
        <w:r>
          <w:rPr>
            <w:b/>
            <w:sz w:val="21"/>
          </w:rPr>
          <w:t>第二章</w:t>
        </w:r>
        <w:r>
          <w:rPr>
            <w:b/>
            <w:spacing w:val="-3"/>
            <w:sz w:val="21"/>
          </w:rPr>
          <w:t> </w:t>
        </w:r>
        <w:r>
          <w:rPr>
            <w:b/>
            <w:sz w:val="21"/>
          </w:rPr>
          <w:t>总则</w:t>
        </w:r>
      </w:hyperlink>
      <w:r>
        <w:rPr>
          <w:b/>
          <w:sz w:val="21"/>
        </w:rPr>
        <w:tab/>
      </w:r>
      <w:hyperlink w:history="true" w:anchor="_bookmark12">
        <w:r>
          <w:rPr>
            <w:rFonts w:ascii="Times New Roman" w:eastAsia="Times New Roman"/>
            <w:b/>
            <w:sz w:val="21"/>
          </w:rPr>
          <w:t>8</w:t>
        </w:r>
      </w:hyperlink>
    </w:p>
    <w:p>
      <w:pPr>
        <w:pStyle w:val="ListParagraph"/>
        <w:numPr>
          <w:ilvl w:val="1"/>
          <w:numId w:val="2"/>
        </w:numPr>
        <w:tabs>
          <w:tab w:pos="370" w:val="left" w:leader="none"/>
          <w:tab w:pos="8689" w:val="left" w:leader="dot"/>
        </w:tabs>
        <w:spacing w:line="240" w:lineRule="auto" w:before="89" w:after="0"/>
        <w:ind w:left="1026" w:right="251" w:hanging="1027"/>
        <w:jc w:val="right"/>
        <w:rPr>
          <w:rFonts w:ascii="Times New Roman" w:eastAsia="Times New Roman"/>
          <w:sz w:val="21"/>
        </w:rPr>
      </w:pPr>
      <w:hyperlink w:history="true" w:anchor="_bookmark13">
        <w:r>
          <w:rPr>
            <w:spacing w:val="-3"/>
            <w:sz w:val="21"/>
          </w:rPr>
          <w:t>编</w:t>
        </w:r>
        <w:r>
          <w:rPr>
            <w:sz w:val="21"/>
          </w:rPr>
          <w:t>制</w:t>
        </w:r>
        <w:r>
          <w:rPr>
            <w:spacing w:val="-3"/>
            <w:sz w:val="21"/>
          </w:rPr>
          <w:t>依</w:t>
        </w:r>
        <w:r>
          <w:rPr>
            <w:sz w:val="21"/>
          </w:rPr>
          <w:t>据</w:t>
          <w:tab/>
        </w:r>
        <w:r>
          <w:rPr>
            <w:rFonts w:ascii="Times New Roman" w:eastAsia="Times New Roman"/>
            <w:sz w:val="21"/>
          </w:rPr>
          <w:t>8</w:t>
        </w:r>
      </w:hyperlink>
    </w:p>
    <w:p>
      <w:pPr>
        <w:pStyle w:val="ListParagraph"/>
        <w:numPr>
          <w:ilvl w:val="2"/>
          <w:numId w:val="2"/>
        </w:numPr>
        <w:tabs>
          <w:tab w:pos="526" w:val="left" w:leader="none"/>
          <w:tab w:pos="8269" w:val="left" w:leader="dot"/>
        </w:tabs>
        <w:spacing w:line="240" w:lineRule="auto" w:before="90" w:after="0"/>
        <w:ind w:left="1602" w:right="251" w:hanging="1603"/>
        <w:jc w:val="right"/>
        <w:rPr>
          <w:rFonts w:ascii="Times New Roman" w:eastAsia="Times New Roman"/>
          <w:sz w:val="21"/>
        </w:rPr>
      </w:pPr>
      <w:hyperlink w:history="true" w:anchor="_bookmark14">
        <w:r>
          <w:rPr>
            <w:sz w:val="21"/>
          </w:rPr>
          <w:t>国</w:t>
        </w:r>
        <w:r>
          <w:rPr>
            <w:spacing w:val="-3"/>
            <w:sz w:val="21"/>
          </w:rPr>
          <w:t>家</w:t>
        </w:r>
        <w:r>
          <w:rPr>
            <w:sz w:val="21"/>
          </w:rPr>
          <w:t>法律</w:t>
          <w:tab/>
        </w:r>
        <w:r>
          <w:rPr>
            <w:rFonts w:ascii="Times New Roman" w:eastAsia="Times New Roman"/>
            <w:sz w:val="21"/>
          </w:rPr>
          <w:t>8</w:t>
        </w:r>
      </w:hyperlink>
    </w:p>
    <w:p>
      <w:pPr>
        <w:pStyle w:val="ListParagraph"/>
        <w:numPr>
          <w:ilvl w:val="2"/>
          <w:numId w:val="2"/>
        </w:numPr>
        <w:tabs>
          <w:tab w:pos="526" w:val="left" w:leader="none"/>
          <w:tab w:pos="8269" w:val="left" w:leader="dot"/>
        </w:tabs>
        <w:spacing w:line="240" w:lineRule="auto" w:before="89" w:after="0"/>
        <w:ind w:left="1602" w:right="251" w:hanging="1603"/>
        <w:jc w:val="right"/>
        <w:rPr>
          <w:rFonts w:ascii="Times New Roman" w:eastAsia="Times New Roman"/>
          <w:sz w:val="21"/>
        </w:rPr>
      </w:pPr>
      <w:hyperlink w:history="true" w:anchor="_bookmark15">
        <w:r>
          <w:rPr>
            <w:sz w:val="21"/>
          </w:rPr>
          <w:t>国</w:t>
        </w:r>
        <w:r>
          <w:rPr>
            <w:spacing w:val="-3"/>
            <w:sz w:val="21"/>
          </w:rPr>
          <w:t>务</w:t>
        </w:r>
        <w:r>
          <w:rPr>
            <w:sz w:val="21"/>
          </w:rPr>
          <w:t>院</w:t>
        </w:r>
        <w:r>
          <w:rPr>
            <w:spacing w:val="-3"/>
            <w:sz w:val="21"/>
          </w:rPr>
          <w:t>行</w:t>
        </w:r>
        <w:r>
          <w:rPr>
            <w:sz w:val="21"/>
          </w:rPr>
          <w:t>政</w:t>
        </w:r>
        <w:r>
          <w:rPr>
            <w:spacing w:val="-3"/>
            <w:sz w:val="21"/>
          </w:rPr>
          <w:t>法</w:t>
        </w:r>
        <w:r>
          <w:rPr>
            <w:sz w:val="21"/>
          </w:rPr>
          <w:t>规</w:t>
        </w:r>
        <w:r>
          <w:rPr>
            <w:spacing w:val="-3"/>
            <w:sz w:val="21"/>
          </w:rPr>
          <w:t>及部</w:t>
        </w:r>
        <w:r>
          <w:rPr>
            <w:sz w:val="21"/>
          </w:rPr>
          <w:t>门规章</w:t>
          <w:tab/>
        </w:r>
        <w:r>
          <w:rPr>
            <w:rFonts w:ascii="Times New Roman" w:eastAsia="Times New Roman"/>
            <w:sz w:val="21"/>
          </w:rPr>
          <w:t>8</w:t>
        </w:r>
      </w:hyperlink>
    </w:p>
    <w:p>
      <w:pPr>
        <w:pStyle w:val="ListParagraph"/>
        <w:numPr>
          <w:ilvl w:val="2"/>
          <w:numId w:val="2"/>
        </w:numPr>
        <w:tabs>
          <w:tab w:pos="1603" w:val="left" w:leader="none"/>
          <w:tab w:pos="9347" w:val="left" w:leader="dot"/>
        </w:tabs>
        <w:spacing w:line="240" w:lineRule="auto" w:before="91" w:after="0"/>
        <w:ind w:left="1602" w:right="0" w:hanging="526"/>
        <w:jc w:val="left"/>
        <w:rPr>
          <w:rFonts w:ascii="Times New Roman" w:eastAsia="Times New Roman"/>
          <w:sz w:val="21"/>
        </w:rPr>
      </w:pPr>
      <w:hyperlink w:history="true" w:anchor="_bookmark16">
        <w:r>
          <w:rPr>
            <w:sz w:val="21"/>
          </w:rPr>
          <w:t>地</w:t>
        </w:r>
        <w:r>
          <w:rPr>
            <w:spacing w:val="-3"/>
            <w:sz w:val="21"/>
          </w:rPr>
          <w:t>方</w:t>
        </w:r>
        <w:r>
          <w:rPr>
            <w:sz w:val="21"/>
          </w:rPr>
          <w:t>法</w:t>
        </w:r>
        <w:r>
          <w:rPr>
            <w:spacing w:val="-3"/>
            <w:sz w:val="21"/>
          </w:rPr>
          <w:t>规</w:t>
        </w:r>
        <w:r>
          <w:rPr>
            <w:sz w:val="21"/>
          </w:rPr>
          <w:t>及</w:t>
        </w:r>
        <w:r>
          <w:rPr>
            <w:spacing w:val="-3"/>
            <w:sz w:val="21"/>
          </w:rPr>
          <w:t>规</w:t>
        </w:r>
        <w:r>
          <w:rPr>
            <w:sz w:val="21"/>
          </w:rPr>
          <w:t>章</w:t>
          <w:tab/>
        </w:r>
        <w:r>
          <w:rPr>
            <w:rFonts w:ascii="Times New Roman" w:eastAsia="Times New Roman"/>
            <w:sz w:val="21"/>
          </w:rPr>
          <w:t>9</w:t>
        </w:r>
      </w:hyperlink>
    </w:p>
    <w:p>
      <w:pPr>
        <w:pStyle w:val="ListParagraph"/>
        <w:numPr>
          <w:ilvl w:val="2"/>
          <w:numId w:val="2"/>
        </w:numPr>
        <w:tabs>
          <w:tab w:pos="1603" w:val="left" w:leader="none"/>
          <w:tab w:pos="9251" w:val="left" w:leader="dot"/>
        </w:tabs>
        <w:spacing w:line="240" w:lineRule="auto" w:before="89" w:after="0"/>
        <w:ind w:left="1602" w:right="0" w:hanging="526"/>
        <w:jc w:val="left"/>
        <w:rPr>
          <w:rFonts w:ascii="Times New Roman" w:eastAsia="Times New Roman"/>
          <w:sz w:val="21"/>
        </w:rPr>
      </w:pPr>
      <w:hyperlink w:history="true" w:anchor="_bookmark17">
        <w:r>
          <w:rPr>
            <w:sz w:val="21"/>
          </w:rPr>
          <w:t>相</w:t>
        </w:r>
        <w:r>
          <w:rPr>
            <w:spacing w:val="-3"/>
            <w:sz w:val="21"/>
          </w:rPr>
          <w:t>关</w:t>
        </w:r>
        <w:r>
          <w:rPr>
            <w:sz w:val="21"/>
          </w:rPr>
          <w:t>政</w:t>
        </w:r>
        <w:r>
          <w:rPr>
            <w:spacing w:val="-3"/>
            <w:sz w:val="21"/>
          </w:rPr>
          <w:t>策</w:t>
        </w:r>
        <w:r>
          <w:rPr>
            <w:sz w:val="21"/>
          </w:rPr>
          <w:t>及</w:t>
        </w:r>
        <w:r>
          <w:rPr>
            <w:spacing w:val="-3"/>
            <w:sz w:val="21"/>
          </w:rPr>
          <w:t>规</w:t>
        </w:r>
        <w:r>
          <w:rPr>
            <w:sz w:val="21"/>
          </w:rPr>
          <w:t>划</w:t>
          <w:tab/>
        </w:r>
        <w:r>
          <w:rPr>
            <w:rFonts w:ascii="Times New Roman" w:eastAsia="Times New Roman"/>
            <w:spacing w:val="-8"/>
            <w:sz w:val="21"/>
          </w:rPr>
          <w:t>11</w:t>
        </w:r>
      </w:hyperlink>
    </w:p>
    <w:p>
      <w:pPr>
        <w:pStyle w:val="ListParagraph"/>
        <w:numPr>
          <w:ilvl w:val="2"/>
          <w:numId w:val="2"/>
        </w:numPr>
        <w:tabs>
          <w:tab w:pos="526" w:val="left" w:leader="none"/>
          <w:tab w:pos="8173" w:val="left" w:leader="dot"/>
        </w:tabs>
        <w:spacing w:line="240" w:lineRule="auto" w:before="91" w:after="0"/>
        <w:ind w:left="1602" w:right="256" w:hanging="1603"/>
        <w:jc w:val="right"/>
        <w:rPr>
          <w:rFonts w:ascii="Times New Roman" w:eastAsia="Times New Roman"/>
          <w:sz w:val="21"/>
        </w:rPr>
      </w:pPr>
      <w:hyperlink w:history="true" w:anchor="_bookmark18">
        <w:r>
          <w:rPr>
            <w:sz w:val="21"/>
          </w:rPr>
          <w:t>相</w:t>
        </w:r>
        <w:r>
          <w:rPr>
            <w:spacing w:val="-3"/>
            <w:sz w:val="21"/>
          </w:rPr>
          <w:t>关</w:t>
        </w:r>
        <w:r>
          <w:rPr>
            <w:sz w:val="21"/>
          </w:rPr>
          <w:t>导</w:t>
        </w:r>
        <w:r>
          <w:rPr>
            <w:spacing w:val="-3"/>
            <w:sz w:val="21"/>
          </w:rPr>
          <w:t>则</w:t>
        </w:r>
        <w:r>
          <w:rPr>
            <w:sz w:val="21"/>
          </w:rPr>
          <w:t>及</w:t>
        </w:r>
        <w:r>
          <w:rPr>
            <w:spacing w:val="-3"/>
            <w:sz w:val="21"/>
          </w:rPr>
          <w:t>技</w:t>
        </w:r>
        <w:r>
          <w:rPr>
            <w:sz w:val="21"/>
          </w:rPr>
          <w:t>术</w:t>
        </w:r>
        <w:r>
          <w:rPr>
            <w:spacing w:val="-3"/>
            <w:sz w:val="21"/>
          </w:rPr>
          <w:t>规</w:t>
        </w:r>
        <w:r>
          <w:rPr>
            <w:sz w:val="21"/>
          </w:rPr>
          <w:t>范</w:t>
          <w:tab/>
        </w:r>
        <w:r>
          <w:rPr>
            <w:rFonts w:ascii="Times New Roman" w:eastAsia="Times New Roman"/>
            <w:spacing w:val="-8"/>
            <w:sz w:val="21"/>
          </w:rPr>
          <w:t>11</w:t>
        </w:r>
      </w:hyperlink>
    </w:p>
    <w:p>
      <w:pPr>
        <w:pStyle w:val="ListParagraph"/>
        <w:numPr>
          <w:ilvl w:val="2"/>
          <w:numId w:val="2"/>
        </w:numPr>
        <w:tabs>
          <w:tab w:pos="1603" w:val="left" w:leader="none"/>
          <w:tab w:pos="9241" w:val="left" w:leader="dot"/>
        </w:tabs>
        <w:spacing w:line="240" w:lineRule="auto" w:before="88" w:after="0"/>
        <w:ind w:left="1602" w:right="0" w:hanging="526"/>
        <w:jc w:val="left"/>
        <w:rPr>
          <w:rFonts w:ascii="Times New Roman" w:eastAsia="Times New Roman"/>
          <w:sz w:val="21"/>
        </w:rPr>
      </w:pPr>
      <w:hyperlink w:history="true" w:anchor="_bookmark19">
        <w:r>
          <w:rPr>
            <w:sz w:val="21"/>
          </w:rPr>
          <w:t>其</w:t>
        </w:r>
        <w:r>
          <w:rPr>
            <w:spacing w:val="-3"/>
            <w:sz w:val="21"/>
          </w:rPr>
          <w:t>他</w:t>
        </w:r>
        <w:r>
          <w:rPr>
            <w:sz w:val="21"/>
          </w:rPr>
          <w:t>依据</w:t>
          <w:tab/>
        </w:r>
        <w:r>
          <w:rPr>
            <w:rFonts w:ascii="Times New Roman" w:eastAsia="Times New Roman"/>
            <w:sz w:val="21"/>
          </w:rPr>
          <w:t>12</w:t>
        </w:r>
      </w:hyperlink>
    </w:p>
    <w:p>
      <w:pPr>
        <w:pStyle w:val="ListParagraph"/>
        <w:numPr>
          <w:ilvl w:val="1"/>
          <w:numId w:val="2"/>
        </w:numPr>
        <w:tabs>
          <w:tab w:pos="370" w:val="left" w:leader="none"/>
          <w:tab w:pos="8584" w:val="left" w:leader="dot"/>
        </w:tabs>
        <w:spacing w:line="240" w:lineRule="auto" w:before="91" w:after="0"/>
        <w:ind w:left="1026" w:right="251" w:hanging="1027"/>
        <w:jc w:val="right"/>
        <w:rPr>
          <w:rFonts w:ascii="Times New Roman" w:eastAsia="Times New Roman"/>
          <w:sz w:val="21"/>
        </w:rPr>
      </w:pPr>
      <w:hyperlink w:history="true" w:anchor="_bookmark20">
        <w:r>
          <w:rPr>
            <w:spacing w:val="-3"/>
            <w:sz w:val="21"/>
          </w:rPr>
          <w:t>评</w:t>
        </w:r>
        <w:r>
          <w:rPr>
            <w:sz w:val="21"/>
          </w:rPr>
          <w:t>价</w:t>
        </w:r>
        <w:r>
          <w:rPr>
            <w:spacing w:val="-3"/>
            <w:sz w:val="21"/>
          </w:rPr>
          <w:t>因</w:t>
        </w:r>
        <w:r>
          <w:rPr>
            <w:sz w:val="21"/>
          </w:rPr>
          <w:t>子</w:t>
        </w:r>
        <w:r>
          <w:rPr>
            <w:spacing w:val="-3"/>
            <w:sz w:val="21"/>
          </w:rPr>
          <w:t>与</w:t>
        </w:r>
        <w:r>
          <w:rPr>
            <w:sz w:val="21"/>
          </w:rPr>
          <w:t>环</w:t>
        </w:r>
        <w:r>
          <w:rPr>
            <w:spacing w:val="-3"/>
            <w:sz w:val="21"/>
          </w:rPr>
          <w:t>境</w:t>
        </w:r>
        <w:r>
          <w:rPr>
            <w:sz w:val="21"/>
          </w:rPr>
          <w:t>功</w:t>
        </w:r>
        <w:r>
          <w:rPr>
            <w:spacing w:val="-3"/>
            <w:sz w:val="21"/>
          </w:rPr>
          <w:t>能</w:t>
        </w:r>
        <w:r>
          <w:rPr>
            <w:sz w:val="21"/>
          </w:rPr>
          <w:t>区划</w:t>
          <w:tab/>
        </w:r>
        <w:r>
          <w:rPr>
            <w:rFonts w:ascii="Times New Roman" w:eastAsia="Times New Roman"/>
            <w:spacing w:val="-1"/>
            <w:sz w:val="21"/>
          </w:rPr>
          <w:t>12</w:t>
        </w:r>
      </w:hyperlink>
    </w:p>
    <w:p>
      <w:pPr>
        <w:pStyle w:val="ListParagraph"/>
        <w:numPr>
          <w:ilvl w:val="2"/>
          <w:numId w:val="2"/>
        </w:numPr>
        <w:tabs>
          <w:tab w:pos="526" w:val="left" w:leader="none"/>
          <w:tab w:pos="8164" w:val="left" w:leader="dot"/>
        </w:tabs>
        <w:spacing w:line="240" w:lineRule="auto" w:before="89" w:after="0"/>
        <w:ind w:left="1602" w:right="251" w:hanging="1603"/>
        <w:jc w:val="right"/>
        <w:rPr>
          <w:rFonts w:ascii="Times New Roman" w:eastAsia="Times New Roman"/>
          <w:sz w:val="21"/>
        </w:rPr>
      </w:pPr>
      <w:hyperlink w:history="true" w:anchor="_bookmark21">
        <w:r>
          <w:rPr>
            <w:sz w:val="21"/>
          </w:rPr>
          <w:t>环</w:t>
        </w:r>
        <w:r>
          <w:rPr>
            <w:spacing w:val="-3"/>
            <w:sz w:val="21"/>
          </w:rPr>
          <w:t>境</w:t>
        </w:r>
        <w:r>
          <w:rPr>
            <w:sz w:val="21"/>
          </w:rPr>
          <w:t>影</w:t>
        </w:r>
        <w:r>
          <w:rPr>
            <w:spacing w:val="-3"/>
            <w:sz w:val="21"/>
          </w:rPr>
          <w:t>响</w:t>
        </w:r>
        <w:r>
          <w:rPr>
            <w:sz w:val="21"/>
          </w:rPr>
          <w:t>要</w:t>
        </w:r>
        <w:r>
          <w:rPr>
            <w:spacing w:val="-3"/>
            <w:sz w:val="21"/>
          </w:rPr>
          <w:t>素</w:t>
        </w:r>
        <w:r>
          <w:rPr>
            <w:sz w:val="21"/>
          </w:rPr>
          <w:t>识别</w:t>
          <w:tab/>
        </w:r>
        <w:r>
          <w:rPr>
            <w:rFonts w:ascii="Times New Roman" w:eastAsia="Times New Roman"/>
            <w:spacing w:val="-1"/>
            <w:sz w:val="21"/>
          </w:rPr>
          <w:t>12</w:t>
        </w:r>
      </w:hyperlink>
    </w:p>
    <w:p>
      <w:pPr>
        <w:pStyle w:val="ListParagraph"/>
        <w:numPr>
          <w:ilvl w:val="2"/>
          <w:numId w:val="2"/>
        </w:numPr>
        <w:tabs>
          <w:tab w:pos="526" w:val="left" w:leader="none"/>
          <w:tab w:pos="8164" w:val="left" w:leader="dot"/>
        </w:tabs>
        <w:spacing w:line="240" w:lineRule="auto" w:before="91" w:after="0"/>
        <w:ind w:left="1602" w:right="251" w:hanging="1603"/>
        <w:jc w:val="right"/>
        <w:rPr>
          <w:rFonts w:ascii="Times New Roman" w:eastAsia="Times New Roman"/>
          <w:sz w:val="21"/>
        </w:rPr>
      </w:pPr>
      <w:hyperlink w:history="true" w:anchor="_bookmark22">
        <w:r>
          <w:rPr>
            <w:sz w:val="21"/>
          </w:rPr>
          <w:t>评</w:t>
        </w:r>
        <w:r>
          <w:rPr>
            <w:spacing w:val="-3"/>
            <w:sz w:val="21"/>
          </w:rPr>
          <w:t>价</w:t>
        </w:r>
        <w:r>
          <w:rPr>
            <w:sz w:val="21"/>
          </w:rPr>
          <w:t>因子</w:t>
          <w:tab/>
        </w:r>
        <w:r>
          <w:rPr>
            <w:rFonts w:ascii="Times New Roman" w:eastAsia="Times New Roman"/>
            <w:spacing w:val="-1"/>
            <w:sz w:val="21"/>
          </w:rPr>
          <w:t>13</w:t>
        </w:r>
      </w:hyperlink>
    </w:p>
    <w:p>
      <w:pPr>
        <w:pStyle w:val="ListParagraph"/>
        <w:numPr>
          <w:ilvl w:val="2"/>
          <w:numId w:val="2"/>
        </w:numPr>
        <w:tabs>
          <w:tab w:pos="526" w:val="left" w:leader="none"/>
          <w:tab w:pos="8164" w:val="left" w:leader="dot"/>
        </w:tabs>
        <w:spacing w:line="240" w:lineRule="auto" w:before="88" w:after="0"/>
        <w:ind w:left="1602" w:right="251" w:hanging="1603"/>
        <w:jc w:val="right"/>
        <w:rPr>
          <w:rFonts w:ascii="Times New Roman" w:eastAsia="Times New Roman"/>
          <w:sz w:val="21"/>
        </w:rPr>
      </w:pPr>
      <w:hyperlink w:history="true" w:anchor="_bookmark23">
        <w:r>
          <w:rPr>
            <w:sz w:val="21"/>
          </w:rPr>
          <w:t>环</w:t>
        </w:r>
        <w:r>
          <w:rPr>
            <w:spacing w:val="-3"/>
            <w:sz w:val="21"/>
          </w:rPr>
          <w:t>境</w:t>
        </w:r>
        <w:r>
          <w:rPr>
            <w:sz w:val="21"/>
          </w:rPr>
          <w:t>功</w:t>
        </w:r>
        <w:r>
          <w:rPr>
            <w:spacing w:val="-3"/>
            <w:sz w:val="21"/>
          </w:rPr>
          <w:t>能</w:t>
        </w:r>
        <w:r>
          <w:rPr>
            <w:sz w:val="21"/>
          </w:rPr>
          <w:t>区划</w:t>
          <w:tab/>
        </w:r>
        <w:r>
          <w:rPr>
            <w:rFonts w:ascii="Times New Roman" w:eastAsia="Times New Roman"/>
            <w:spacing w:val="-1"/>
            <w:sz w:val="21"/>
          </w:rPr>
          <w:t>13</w:t>
        </w:r>
      </w:hyperlink>
    </w:p>
    <w:p>
      <w:pPr>
        <w:pStyle w:val="ListParagraph"/>
        <w:numPr>
          <w:ilvl w:val="1"/>
          <w:numId w:val="2"/>
        </w:numPr>
        <w:tabs>
          <w:tab w:pos="370" w:val="left" w:leader="none"/>
          <w:tab w:pos="8584" w:val="left" w:leader="dot"/>
        </w:tabs>
        <w:spacing w:line="240" w:lineRule="auto" w:before="91" w:after="0"/>
        <w:ind w:left="1026" w:right="251" w:hanging="1027"/>
        <w:jc w:val="right"/>
        <w:rPr>
          <w:rFonts w:ascii="Times New Roman" w:eastAsia="Times New Roman"/>
          <w:sz w:val="21"/>
        </w:rPr>
      </w:pPr>
      <w:hyperlink w:history="true" w:anchor="_bookmark24">
        <w:r>
          <w:rPr>
            <w:spacing w:val="-3"/>
            <w:sz w:val="21"/>
          </w:rPr>
          <w:t>评</w:t>
        </w:r>
        <w:r>
          <w:rPr>
            <w:sz w:val="21"/>
          </w:rPr>
          <w:t>价</w:t>
        </w:r>
        <w:r>
          <w:rPr>
            <w:spacing w:val="-3"/>
            <w:sz w:val="21"/>
          </w:rPr>
          <w:t>标</w:t>
        </w:r>
        <w:r>
          <w:rPr>
            <w:sz w:val="21"/>
          </w:rPr>
          <w:t>准</w:t>
          <w:tab/>
        </w:r>
        <w:r>
          <w:rPr>
            <w:rFonts w:ascii="Times New Roman" w:eastAsia="Times New Roman"/>
            <w:spacing w:val="-1"/>
            <w:sz w:val="21"/>
          </w:rPr>
          <w:t>17</w:t>
        </w:r>
      </w:hyperlink>
    </w:p>
    <w:p>
      <w:pPr>
        <w:pStyle w:val="ListParagraph"/>
        <w:numPr>
          <w:ilvl w:val="2"/>
          <w:numId w:val="2"/>
        </w:numPr>
        <w:tabs>
          <w:tab w:pos="526" w:val="left" w:leader="none"/>
          <w:tab w:pos="8164" w:val="left" w:leader="dot"/>
        </w:tabs>
        <w:spacing w:line="240" w:lineRule="auto" w:before="89" w:after="0"/>
        <w:ind w:left="1602" w:right="251" w:hanging="1603"/>
        <w:jc w:val="right"/>
        <w:rPr>
          <w:rFonts w:ascii="Times New Roman" w:eastAsia="Times New Roman"/>
          <w:sz w:val="21"/>
        </w:rPr>
      </w:pPr>
      <w:hyperlink w:history="true" w:anchor="_bookmark25">
        <w:r>
          <w:rPr>
            <w:sz w:val="21"/>
          </w:rPr>
          <w:t>环</w:t>
        </w:r>
        <w:r>
          <w:rPr>
            <w:spacing w:val="-3"/>
            <w:sz w:val="21"/>
          </w:rPr>
          <w:t>境</w:t>
        </w:r>
        <w:r>
          <w:rPr>
            <w:sz w:val="21"/>
          </w:rPr>
          <w:t>质</w:t>
        </w:r>
        <w:r>
          <w:rPr>
            <w:spacing w:val="-3"/>
            <w:sz w:val="21"/>
          </w:rPr>
          <w:t>量</w:t>
        </w:r>
        <w:r>
          <w:rPr>
            <w:sz w:val="21"/>
          </w:rPr>
          <w:t>标准</w:t>
          <w:tab/>
        </w:r>
        <w:r>
          <w:rPr>
            <w:rFonts w:ascii="Times New Roman" w:eastAsia="Times New Roman"/>
            <w:spacing w:val="-1"/>
            <w:sz w:val="21"/>
          </w:rPr>
          <w:t>17</w:t>
        </w:r>
      </w:hyperlink>
    </w:p>
    <w:p>
      <w:pPr>
        <w:pStyle w:val="ListParagraph"/>
        <w:numPr>
          <w:ilvl w:val="2"/>
          <w:numId w:val="2"/>
        </w:numPr>
        <w:tabs>
          <w:tab w:pos="526" w:val="left" w:leader="none"/>
          <w:tab w:pos="8164" w:val="left" w:leader="dot"/>
        </w:tabs>
        <w:spacing w:line="240" w:lineRule="auto" w:before="91" w:after="0"/>
        <w:ind w:left="1602" w:right="251" w:hanging="1603"/>
        <w:jc w:val="right"/>
        <w:rPr>
          <w:rFonts w:ascii="Times New Roman" w:eastAsia="Times New Roman"/>
          <w:sz w:val="21"/>
        </w:rPr>
      </w:pPr>
      <w:hyperlink w:history="true" w:anchor="_bookmark26">
        <w:r>
          <w:rPr>
            <w:sz w:val="21"/>
          </w:rPr>
          <w:t>污</w:t>
        </w:r>
        <w:r>
          <w:rPr>
            <w:spacing w:val="-3"/>
            <w:sz w:val="21"/>
          </w:rPr>
          <w:t>染</w:t>
        </w:r>
        <w:r>
          <w:rPr>
            <w:sz w:val="21"/>
          </w:rPr>
          <w:t>物</w:t>
        </w:r>
        <w:r>
          <w:rPr>
            <w:spacing w:val="-3"/>
            <w:sz w:val="21"/>
          </w:rPr>
          <w:t>排</w:t>
        </w:r>
        <w:r>
          <w:rPr>
            <w:sz w:val="21"/>
          </w:rPr>
          <w:t>放</w:t>
        </w:r>
        <w:r>
          <w:rPr>
            <w:spacing w:val="-3"/>
            <w:sz w:val="21"/>
          </w:rPr>
          <w:t>标</w:t>
        </w:r>
        <w:r>
          <w:rPr>
            <w:sz w:val="21"/>
          </w:rPr>
          <w:t>准</w:t>
          <w:tab/>
        </w:r>
        <w:r>
          <w:rPr>
            <w:rFonts w:ascii="Times New Roman" w:eastAsia="Times New Roman"/>
            <w:spacing w:val="-1"/>
            <w:sz w:val="21"/>
          </w:rPr>
          <w:t>19</w:t>
        </w:r>
      </w:hyperlink>
    </w:p>
    <w:p>
      <w:pPr>
        <w:pStyle w:val="ListParagraph"/>
        <w:numPr>
          <w:ilvl w:val="1"/>
          <w:numId w:val="2"/>
        </w:numPr>
        <w:tabs>
          <w:tab w:pos="370" w:val="left" w:leader="none"/>
          <w:tab w:pos="8584" w:val="left" w:leader="dot"/>
        </w:tabs>
        <w:spacing w:line="240" w:lineRule="auto" w:before="89" w:after="0"/>
        <w:ind w:left="1026" w:right="251" w:hanging="1027"/>
        <w:jc w:val="right"/>
        <w:rPr>
          <w:rFonts w:ascii="Times New Roman" w:eastAsia="Times New Roman"/>
          <w:sz w:val="21"/>
        </w:rPr>
      </w:pPr>
      <w:hyperlink w:history="true" w:anchor="_bookmark27">
        <w:r>
          <w:rPr>
            <w:spacing w:val="-3"/>
            <w:sz w:val="21"/>
          </w:rPr>
          <w:t>评</w:t>
        </w:r>
        <w:r>
          <w:rPr>
            <w:sz w:val="21"/>
          </w:rPr>
          <w:t>价</w:t>
        </w:r>
        <w:r>
          <w:rPr>
            <w:spacing w:val="-3"/>
            <w:sz w:val="21"/>
          </w:rPr>
          <w:t>工</w:t>
        </w:r>
        <w:r>
          <w:rPr>
            <w:sz w:val="21"/>
          </w:rPr>
          <w:t>作</w:t>
        </w:r>
        <w:r>
          <w:rPr>
            <w:spacing w:val="-3"/>
            <w:sz w:val="21"/>
          </w:rPr>
          <w:t>等</w:t>
        </w:r>
        <w:r>
          <w:rPr>
            <w:sz w:val="21"/>
          </w:rPr>
          <w:t>级</w:t>
        </w:r>
        <w:r>
          <w:rPr>
            <w:spacing w:val="-3"/>
            <w:sz w:val="21"/>
          </w:rPr>
          <w:t>和</w:t>
        </w:r>
        <w:r>
          <w:rPr>
            <w:sz w:val="21"/>
          </w:rPr>
          <w:t>评</w:t>
        </w:r>
        <w:r>
          <w:rPr>
            <w:spacing w:val="-3"/>
            <w:sz w:val="21"/>
          </w:rPr>
          <w:t>价</w:t>
        </w:r>
        <w:r>
          <w:rPr>
            <w:sz w:val="21"/>
          </w:rPr>
          <w:t>范围</w:t>
          <w:tab/>
        </w:r>
        <w:r>
          <w:rPr>
            <w:rFonts w:ascii="Times New Roman" w:eastAsia="Times New Roman"/>
            <w:spacing w:val="-1"/>
            <w:sz w:val="21"/>
          </w:rPr>
          <w:t>22</w:t>
        </w:r>
      </w:hyperlink>
    </w:p>
    <w:p>
      <w:pPr>
        <w:pStyle w:val="ListParagraph"/>
        <w:numPr>
          <w:ilvl w:val="2"/>
          <w:numId w:val="2"/>
        </w:numPr>
        <w:tabs>
          <w:tab w:pos="1603" w:val="left" w:leader="none"/>
          <w:tab w:pos="9241" w:val="left" w:leader="dot"/>
        </w:tabs>
        <w:spacing w:line="240" w:lineRule="auto" w:before="91" w:after="0"/>
        <w:ind w:left="1602" w:right="0" w:hanging="526"/>
        <w:jc w:val="left"/>
        <w:rPr>
          <w:rFonts w:ascii="Times New Roman" w:eastAsia="Times New Roman"/>
          <w:sz w:val="21"/>
        </w:rPr>
      </w:pPr>
      <w:hyperlink w:history="true" w:anchor="_bookmark28">
        <w:r>
          <w:rPr>
            <w:sz w:val="21"/>
          </w:rPr>
          <w:t>评</w:t>
        </w:r>
        <w:r>
          <w:rPr>
            <w:spacing w:val="-3"/>
            <w:sz w:val="21"/>
          </w:rPr>
          <w:t>价</w:t>
        </w:r>
        <w:r>
          <w:rPr>
            <w:sz w:val="21"/>
          </w:rPr>
          <w:t>等级</w:t>
          <w:tab/>
        </w:r>
        <w:r>
          <w:rPr>
            <w:rFonts w:ascii="Times New Roman" w:eastAsia="Times New Roman"/>
            <w:sz w:val="21"/>
          </w:rPr>
          <w:t>22</w:t>
        </w:r>
      </w:hyperlink>
    </w:p>
    <w:p>
      <w:pPr>
        <w:pStyle w:val="ListParagraph"/>
        <w:numPr>
          <w:ilvl w:val="2"/>
          <w:numId w:val="2"/>
        </w:numPr>
        <w:tabs>
          <w:tab w:pos="1603" w:val="left" w:leader="none"/>
          <w:tab w:pos="9241" w:val="left" w:leader="dot"/>
        </w:tabs>
        <w:spacing w:line="240" w:lineRule="auto" w:before="88" w:after="0"/>
        <w:ind w:left="1602" w:right="0" w:hanging="526"/>
        <w:jc w:val="left"/>
        <w:rPr>
          <w:rFonts w:ascii="Times New Roman" w:eastAsia="Times New Roman"/>
          <w:sz w:val="21"/>
        </w:rPr>
      </w:pPr>
      <w:hyperlink w:history="true" w:anchor="_bookmark29">
        <w:r>
          <w:rPr>
            <w:sz w:val="21"/>
          </w:rPr>
          <w:t>评</w:t>
        </w:r>
        <w:r>
          <w:rPr>
            <w:spacing w:val="-3"/>
            <w:sz w:val="21"/>
          </w:rPr>
          <w:t>价</w:t>
        </w:r>
        <w:r>
          <w:rPr>
            <w:sz w:val="21"/>
          </w:rPr>
          <w:t>范围</w:t>
          <w:tab/>
        </w:r>
        <w:r>
          <w:rPr>
            <w:rFonts w:ascii="Times New Roman" w:eastAsia="Times New Roman"/>
            <w:sz w:val="21"/>
          </w:rPr>
          <w:t>25</w:t>
        </w:r>
      </w:hyperlink>
    </w:p>
    <w:p>
      <w:pPr>
        <w:pStyle w:val="ListParagraph"/>
        <w:numPr>
          <w:ilvl w:val="1"/>
          <w:numId w:val="2"/>
        </w:numPr>
        <w:tabs>
          <w:tab w:pos="370" w:val="left" w:leader="none"/>
          <w:tab w:pos="8584" w:val="left" w:leader="dot"/>
        </w:tabs>
        <w:spacing w:line="240" w:lineRule="auto" w:before="91" w:after="0"/>
        <w:ind w:left="1026" w:right="251" w:hanging="1027"/>
        <w:jc w:val="right"/>
        <w:rPr>
          <w:rFonts w:ascii="Times New Roman" w:eastAsia="Times New Roman"/>
          <w:sz w:val="21"/>
        </w:rPr>
      </w:pPr>
      <w:hyperlink w:history="true" w:anchor="_bookmark30">
        <w:r>
          <w:rPr>
            <w:spacing w:val="-3"/>
            <w:sz w:val="21"/>
          </w:rPr>
          <w:t>相</w:t>
        </w:r>
        <w:r>
          <w:rPr>
            <w:sz w:val="21"/>
          </w:rPr>
          <w:t>关</w:t>
        </w:r>
        <w:r>
          <w:rPr>
            <w:spacing w:val="-3"/>
            <w:sz w:val="21"/>
          </w:rPr>
          <w:t>规</w:t>
        </w:r>
        <w:r>
          <w:rPr>
            <w:sz w:val="21"/>
          </w:rPr>
          <w:t>划</w:t>
        </w:r>
        <w:r>
          <w:rPr>
            <w:spacing w:val="-3"/>
            <w:sz w:val="21"/>
          </w:rPr>
          <w:t>及</w:t>
        </w:r>
        <w:r>
          <w:rPr>
            <w:sz w:val="21"/>
          </w:rPr>
          <w:t>环</w:t>
        </w:r>
        <w:r>
          <w:rPr>
            <w:spacing w:val="-3"/>
            <w:sz w:val="21"/>
          </w:rPr>
          <w:t>境</w:t>
        </w:r>
        <w:r>
          <w:rPr>
            <w:sz w:val="21"/>
          </w:rPr>
          <w:t>功</w:t>
        </w:r>
        <w:r>
          <w:rPr>
            <w:spacing w:val="-3"/>
            <w:sz w:val="21"/>
          </w:rPr>
          <w:t>能</w:t>
        </w:r>
        <w:r>
          <w:rPr>
            <w:sz w:val="21"/>
          </w:rPr>
          <w:t>区划</w:t>
          <w:tab/>
        </w:r>
        <w:r>
          <w:rPr>
            <w:rFonts w:ascii="Times New Roman" w:eastAsia="Times New Roman"/>
            <w:spacing w:val="-1"/>
            <w:sz w:val="21"/>
          </w:rPr>
          <w:t>26</w:t>
        </w:r>
      </w:hyperlink>
    </w:p>
    <w:p>
      <w:pPr>
        <w:pStyle w:val="ListParagraph"/>
        <w:numPr>
          <w:ilvl w:val="2"/>
          <w:numId w:val="2"/>
        </w:numPr>
        <w:tabs>
          <w:tab w:pos="526" w:val="left" w:leader="none"/>
          <w:tab w:pos="8164" w:val="left" w:leader="dot"/>
        </w:tabs>
        <w:spacing w:line="240" w:lineRule="auto" w:before="89" w:after="0"/>
        <w:ind w:left="1602" w:right="251" w:hanging="1603"/>
        <w:jc w:val="right"/>
        <w:rPr>
          <w:rFonts w:ascii="Times New Roman" w:eastAsia="Times New Roman"/>
          <w:sz w:val="21"/>
        </w:rPr>
      </w:pPr>
      <w:hyperlink w:history="true" w:anchor="_bookmark31">
        <w:r>
          <w:rPr>
            <w:sz w:val="21"/>
          </w:rPr>
          <w:t>柯</w:t>
        </w:r>
        <w:r>
          <w:rPr>
            <w:spacing w:val="-3"/>
            <w:sz w:val="21"/>
          </w:rPr>
          <w:t>岩</w:t>
        </w:r>
        <w:r>
          <w:rPr>
            <w:sz w:val="21"/>
          </w:rPr>
          <w:t>街</w:t>
        </w:r>
        <w:r>
          <w:rPr>
            <w:spacing w:val="-3"/>
            <w:sz w:val="21"/>
          </w:rPr>
          <w:t>道</w:t>
        </w:r>
        <w:r>
          <w:rPr>
            <w:sz w:val="21"/>
          </w:rPr>
          <w:t>土</w:t>
        </w:r>
        <w:r>
          <w:rPr>
            <w:spacing w:val="-3"/>
            <w:sz w:val="21"/>
          </w:rPr>
          <w:t>地</w:t>
        </w:r>
        <w:r>
          <w:rPr>
            <w:sz w:val="21"/>
          </w:rPr>
          <w:t>利</w:t>
        </w:r>
        <w:r>
          <w:rPr>
            <w:spacing w:val="-3"/>
            <w:sz w:val="21"/>
          </w:rPr>
          <w:t>用总</w:t>
        </w:r>
        <w:r>
          <w:rPr>
            <w:sz w:val="21"/>
          </w:rPr>
          <w:t>体规</w:t>
        </w:r>
        <w:r>
          <w:rPr>
            <w:spacing w:val="-3"/>
            <w:sz w:val="21"/>
          </w:rPr>
          <w:t>划</w:t>
        </w:r>
        <w:r>
          <w:rPr>
            <w:sz w:val="21"/>
          </w:rPr>
          <w:t>（</w:t>
        </w:r>
        <w:r>
          <w:rPr>
            <w:rFonts w:ascii="Times New Roman" w:eastAsia="Times New Roman"/>
            <w:sz w:val="21"/>
          </w:rPr>
          <w:t>2006-2020</w:t>
        </w:r>
        <w:r>
          <w:rPr>
            <w:rFonts w:ascii="Times New Roman" w:eastAsia="Times New Roman"/>
            <w:spacing w:val="6"/>
            <w:sz w:val="21"/>
          </w:rPr>
          <w:t> </w:t>
        </w:r>
        <w:r>
          <w:rPr>
            <w:spacing w:val="-3"/>
            <w:sz w:val="21"/>
          </w:rPr>
          <w:t>年</w:t>
        </w:r>
        <w:r>
          <w:rPr>
            <w:sz w:val="21"/>
          </w:rPr>
          <w:t>）</w:t>
        </w:r>
        <w:r>
          <w:rPr>
            <w:spacing w:val="-3"/>
            <w:sz w:val="21"/>
          </w:rPr>
          <w:t>及</w:t>
        </w:r>
        <w:r>
          <w:rPr>
            <w:sz w:val="21"/>
          </w:rPr>
          <w:t>符合</w:t>
        </w:r>
        <w:r>
          <w:rPr>
            <w:spacing w:val="-3"/>
            <w:sz w:val="21"/>
          </w:rPr>
          <w:t>性</w:t>
        </w:r>
        <w:r>
          <w:rPr>
            <w:sz w:val="21"/>
          </w:rPr>
          <w:t>分析</w:t>
          <w:tab/>
        </w:r>
        <w:r>
          <w:rPr>
            <w:rFonts w:ascii="Times New Roman" w:eastAsia="Times New Roman"/>
            <w:spacing w:val="-1"/>
            <w:sz w:val="21"/>
          </w:rPr>
          <w:t>26</w:t>
        </w:r>
      </w:hyperlink>
    </w:p>
    <w:p>
      <w:pPr>
        <w:pStyle w:val="ListParagraph"/>
        <w:numPr>
          <w:ilvl w:val="2"/>
          <w:numId w:val="2"/>
        </w:numPr>
        <w:tabs>
          <w:tab w:pos="526" w:val="left" w:leader="none"/>
          <w:tab w:pos="8164" w:val="left" w:leader="dot"/>
        </w:tabs>
        <w:spacing w:line="240" w:lineRule="auto" w:before="91" w:after="0"/>
        <w:ind w:left="1602" w:right="251" w:hanging="1603"/>
        <w:jc w:val="right"/>
        <w:rPr>
          <w:rFonts w:ascii="Times New Roman" w:hAnsi="Times New Roman" w:eastAsia="Times New Roman"/>
          <w:sz w:val="21"/>
        </w:rPr>
      </w:pPr>
      <w:hyperlink w:history="true" w:anchor="_bookmark32">
        <w:r>
          <w:rPr>
            <w:sz w:val="21"/>
          </w:rPr>
          <w:t>绍</w:t>
        </w:r>
        <w:r>
          <w:rPr>
            <w:spacing w:val="-3"/>
            <w:sz w:val="21"/>
          </w:rPr>
          <w:t>兴</w:t>
        </w:r>
        <w:r>
          <w:rPr>
            <w:sz w:val="21"/>
          </w:rPr>
          <w:t>市</w:t>
        </w:r>
        <w:r>
          <w:rPr>
            <w:rFonts w:ascii="Times New Roman" w:hAnsi="Times New Roman" w:eastAsia="Times New Roman"/>
            <w:sz w:val="21"/>
          </w:rPr>
          <w:t>“</w:t>
        </w:r>
        <w:r>
          <w:rPr>
            <w:spacing w:val="-3"/>
            <w:sz w:val="21"/>
          </w:rPr>
          <w:t>十</w:t>
        </w:r>
        <w:r>
          <w:rPr>
            <w:sz w:val="21"/>
          </w:rPr>
          <w:t>三</w:t>
        </w:r>
        <w:r>
          <w:rPr>
            <w:spacing w:val="-3"/>
            <w:sz w:val="21"/>
          </w:rPr>
          <w:t>五</w:t>
        </w:r>
        <w:r>
          <w:rPr>
            <w:rFonts w:ascii="Times New Roman" w:hAnsi="Times New Roman" w:eastAsia="Times New Roman"/>
            <w:sz w:val="21"/>
          </w:rPr>
          <w:t>”</w:t>
        </w:r>
        <w:r>
          <w:rPr>
            <w:sz w:val="21"/>
          </w:rPr>
          <w:t>品</w:t>
        </w:r>
        <w:r>
          <w:rPr>
            <w:spacing w:val="-3"/>
            <w:sz w:val="21"/>
          </w:rPr>
          <w:t>质</w:t>
        </w:r>
        <w:r>
          <w:rPr>
            <w:sz w:val="21"/>
          </w:rPr>
          <w:t>农业</w:t>
        </w:r>
        <w:r>
          <w:rPr>
            <w:spacing w:val="-3"/>
            <w:sz w:val="21"/>
          </w:rPr>
          <w:t>发</w:t>
        </w:r>
        <w:r>
          <w:rPr>
            <w:sz w:val="21"/>
          </w:rPr>
          <w:t>展</w:t>
        </w:r>
        <w:r>
          <w:rPr>
            <w:spacing w:val="-3"/>
            <w:sz w:val="21"/>
          </w:rPr>
          <w:t>规</w:t>
        </w:r>
        <w:r>
          <w:rPr>
            <w:sz w:val="21"/>
          </w:rPr>
          <w:t>划</w:t>
        </w:r>
        <w:r>
          <w:rPr>
            <w:spacing w:val="-3"/>
            <w:sz w:val="21"/>
          </w:rPr>
          <w:t>及</w:t>
        </w:r>
        <w:r>
          <w:rPr>
            <w:sz w:val="21"/>
          </w:rPr>
          <w:t>符</w:t>
        </w:r>
        <w:r>
          <w:rPr>
            <w:spacing w:val="-3"/>
            <w:sz w:val="21"/>
          </w:rPr>
          <w:t>合</w:t>
        </w:r>
        <w:r>
          <w:rPr>
            <w:sz w:val="21"/>
          </w:rPr>
          <w:t>性</w:t>
        </w:r>
        <w:r>
          <w:rPr>
            <w:spacing w:val="-3"/>
            <w:sz w:val="21"/>
          </w:rPr>
          <w:t>分</w:t>
        </w:r>
        <w:r>
          <w:rPr>
            <w:sz w:val="21"/>
          </w:rPr>
          <w:t>析</w:t>
          <w:tab/>
        </w:r>
        <w:r>
          <w:rPr>
            <w:rFonts w:ascii="Times New Roman" w:hAnsi="Times New Roman" w:eastAsia="Times New Roman"/>
            <w:spacing w:val="-1"/>
            <w:sz w:val="21"/>
          </w:rPr>
          <w:t>30</w:t>
        </w:r>
      </w:hyperlink>
    </w:p>
    <w:p>
      <w:pPr>
        <w:pStyle w:val="ListParagraph"/>
        <w:numPr>
          <w:ilvl w:val="2"/>
          <w:numId w:val="2"/>
        </w:numPr>
        <w:tabs>
          <w:tab w:pos="526" w:val="left" w:leader="none"/>
          <w:tab w:pos="8164" w:val="left" w:leader="dot"/>
        </w:tabs>
        <w:spacing w:line="240" w:lineRule="auto" w:before="88" w:after="0"/>
        <w:ind w:left="1602" w:right="251" w:hanging="1603"/>
        <w:jc w:val="right"/>
        <w:rPr>
          <w:rFonts w:ascii="Times New Roman" w:eastAsia="Times New Roman"/>
          <w:sz w:val="21"/>
        </w:rPr>
      </w:pPr>
      <w:hyperlink w:history="true" w:anchor="_bookmark33">
        <w:r>
          <w:rPr>
            <w:sz w:val="21"/>
          </w:rPr>
          <w:t>柯</w:t>
        </w:r>
        <w:r>
          <w:rPr>
            <w:spacing w:val="-3"/>
            <w:sz w:val="21"/>
          </w:rPr>
          <w:t>桥</w:t>
        </w:r>
        <w:r>
          <w:rPr>
            <w:sz w:val="21"/>
          </w:rPr>
          <w:t>区</w:t>
        </w:r>
        <w:r>
          <w:rPr>
            <w:spacing w:val="-3"/>
            <w:sz w:val="21"/>
          </w:rPr>
          <w:t>畜</w:t>
        </w:r>
        <w:r>
          <w:rPr>
            <w:sz w:val="21"/>
          </w:rPr>
          <w:t>禽</w:t>
        </w:r>
        <w:r>
          <w:rPr>
            <w:spacing w:val="-3"/>
            <w:sz w:val="21"/>
          </w:rPr>
          <w:t>养</w:t>
        </w:r>
        <w:r>
          <w:rPr>
            <w:sz w:val="21"/>
          </w:rPr>
          <w:t>殖</w:t>
        </w:r>
        <w:r>
          <w:rPr>
            <w:spacing w:val="-3"/>
            <w:sz w:val="21"/>
          </w:rPr>
          <w:t>禁养</w:t>
        </w:r>
        <w:r>
          <w:rPr>
            <w:sz w:val="21"/>
          </w:rPr>
          <w:t>区划</w:t>
        </w:r>
        <w:r>
          <w:rPr>
            <w:spacing w:val="-3"/>
            <w:sz w:val="21"/>
          </w:rPr>
          <w:t>分</w:t>
        </w:r>
        <w:r>
          <w:rPr>
            <w:sz w:val="21"/>
          </w:rPr>
          <w:t>与</w:t>
        </w:r>
        <w:r>
          <w:rPr>
            <w:spacing w:val="-3"/>
            <w:sz w:val="21"/>
          </w:rPr>
          <w:t>管</w:t>
        </w:r>
        <w:r>
          <w:rPr>
            <w:sz w:val="21"/>
          </w:rPr>
          <w:t>理</w:t>
        </w:r>
        <w:r>
          <w:rPr>
            <w:spacing w:val="-3"/>
            <w:sz w:val="21"/>
          </w:rPr>
          <w:t>规</w:t>
        </w:r>
        <w:r>
          <w:rPr>
            <w:sz w:val="21"/>
          </w:rPr>
          <w:t>定</w:t>
        </w:r>
        <w:r>
          <w:rPr>
            <w:spacing w:val="-3"/>
            <w:sz w:val="21"/>
          </w:rPr>
          <w:t>及</w:t>
        </w:r>
        <w:r>
          <w:rPr>
            <w:sz w:val="21"/>
          </w:rPr>
          <w:t>符</w:t>
        </w:r>
        <w:r>
          <w:rPr>
            <w:spacing w:val="-3"/>
            <w:sz w:val="21"/>
          </w:rPr>
          <w:t>合</w:t>
        </w:r>
        <w:r>
          <w:rPr>
            <w:sz w:val="21"/>
          </w:rPr>
          <w:t>性分析</w:t>
          <w:tab/>
        </w:r>
        <w:r>
          <w:rPr>
            <w:rFonts w:ascii="Times New Roman" w:eastAsia="Times New Roman"/>
            <w:spacing w:val="-1"/>
            <w:sz w:val="21"/>
          </w:rPr>
          <w:t>31</w:t>
        </w:r>
      </w:hyperlink>
    </w:p>
    <w:p>
      <w:pPr>
        <w:pStyle w:val="ListParagraph"/>
        <w:numPr>
          <w:ilvl w:val="2"/>
          <w:numId w:val="2"/>
        </w:numPr>
        <w:tabs>
          <w:tab w:pos="526" w:val="left" w:leader="none"/>
          <w:tab w:pos="8164" w:val="left" w:leader="dot"/>
        </w:tabs>
        <w:spacing w:line="240" w:lineRule="auto" w:before="91" w:after="0"/>
        <w:ind w:left="1602" w:right="251" w:hanging="1603"/>
        <w:jc w:val="right"/>
        <w:rPr>
          <w:rFonts w:ascii="Times New Roman" w:eastAsia="Times New Roman"/>
          <w:sz w:val="21"/>
        </w:rPr>
      </w:pPr>
      <w:hyperlink w:history="true" w:anchor="_bookmark34">
        <w:r>
          <w:rPr>
            <w:sz w:val="21"/>
          </w:rPr>
          <w:t>浙</w:t>
        </w:r>
        <w:r>
          <w:rPr>
            <w:spacing w:val="-3"/>
            <w:sz w:val="21"/>
          </w:rPr>
          <w:t>江</w:t>
        </w:r>
        <w:r>
          <w:rPr>
            <w:sz w:val="21"/>
          </w:rPr>
          <w:t>省</w:t>
        </w:r>
        <w:r>
          <w:rPr>
            <w:spacing w:val="-3"/>
            <w:sz w:val="21"/>
          </w:rPr>
          <w:t>畜</w:t>
        </w:r>
        <w:r>
          <w:rPr>
            <w:sz w:val="21"/>
          </w:rPr>
          <w:t>禽</w:t>
        </w:r>
        <w:r>
          <w:rPr>
            <w:spacing w:val="-3"/>
            <w:sz w:val="21"/>
          </w:rPr>
          <w:t>养</w:t>
        </w:r>
        <w:r>
          <w:rPr>
            <w:sz w:val="21"/>
          </w:rPr>
          <w:t>殖</w:t>
        </w:r>
        <w:r>
          <w:rPr>
            <w:spacing w:val="-3"/>
            <w:sz w:val="21"/>
          </w:rPr>
          <w:t>污染</w:t>
        </w:r>
        <w:r>
          <w:rPr>
            <w:sz w:val="21"/>
          </w:rPr>
          <w:t>防治</w:t>
        </w:r>
        <w:r>
          <w:rPr>
            <w:spacing w:val="-3"/>
            <w:sz w:val="21"/>
          </w:rPr>
          <w:t>规</w:t>
        </w:r>
        <w:r>
          <w:rPr>
            <w:sz w:val="21"/>
          </w:rPr>
          <w:t>划</w:t>
          <w:tab/>
        </w:r>
        <w:r>
          <w:rPr>
            <w:rFonts w:ascii="Times New Roman" w:eastAsia="Times New Roman"/>
            <w:spacing w:val="-1"/>
            <w:sz w:val="21"/>
          </w:rPr>
          <w:t>34</w:t>
        </w:r>
      </w:hyperlink>
    </w:p>
    <w:p>
      <w:pPr>
        <w:pStyle w:val="ListParagraph"/>
        <w:numPr>
          <w:ilvl w:val="2"/>
          <w:numId w:val="2"/>
        </w:numPr>
        <w:tabs>
          <w:tab w:pos="526" w:val="left" w:leader="none"/>
          <w:tab w:pos="8164" w:val="left" w:leader="dot"/>
        </w:tabs>
        <w:spacing w:line="240" w:lineRule="auto" w:before="89" w:after="0"/>
        <w:ind w:left="1602" w:right="251" w:hanging="1603"/>
        <w:jc w:val="right"/>
        <w:rPr>
          <w:rFonts w:ascii="Times New Roman" w:hAnsi="Times New Roman" w:eastAsia="Times New Roman"/>
          <w:sz w:val="21"/>
        </w:rPr>
      </w:pPr>
      <w:hyperlink w:history="true" w:anchor="_bookmark35">
        <w:r>
          <w:rPr>
            <w:sz w:val="21"/>
          </w:rPr>
          <w:t>绍</w:t>
        </w:r>
        <w:r>
          <w:rPr>
            <w:spacing w:val="-3"/>
            <w:sz w:val="21"/>
          </w:rPr>
          <w:t>兴</w:t>
        </w:r>
        <w:r>
          <w:rPr>
            <w:sz w:val="21"/>
          </w:rPr>
          <w:t>市</w:t>
        </w:r>
        <w:r>
          <w:rPr>
            <w:rFonts w:ascii="Times New Roman" w:hAnsi="Times New Roman" w:eastAsia="Times New Roman"/>
            <w:sz w:val="21"/>
          </w:rPr>
          <w:t>“</w:t>
        </w:r>
        <w:r>
          <w:rPr>
            <w:spacing w:val="-3"/>
            <w:sz w:val="21"/>
          </w:rPr>
          <w:t>三</w:t>
        </w:r>
        <w:r>
          <w:rPr>
            <w:sz w:val="21"/>
          </w:rPr>
          <w:t>线</w:t>
        </w:r>
        <w:r>
          <w:rPr>
            <w:spacing w:val="-3"/>
            <w:sz w:val="21"/>
          </w:rPr>
          <w:t>一</w:t>
        </w:r>
        <w:r>
          <w:rPr>
            <w:sz w:val="21"/>
          </w:rPr>
          <w:t>单</w:t>
        </w:r>
        <w:r>
          <w:rPr>
            <w:rFonts w:ascii="Times New Roman" w:hAnsi="Times New Roman" w:eastAsia="Times New Roman"/>
            <w:sz w:val="21"/>
          </w:rPr>
          <w:t>”</w:t>
        </w:r>
        <w:r>
          <w:rPr>
            <w:spacing w:val="-3"/>
            <w:sz w:val="21"/>
          </w:rPr>
          <w:t>生</w:t>
        </w:r>
        <w:r>
          <w:rPr>
            <w:sz w:val="21"/>
          </w:rPr>
          <w:t>态环</w:t>
        </w:r>
        <w:r>
          <w:rPr>
            <w:spacing w:val="-3"/>
            <w:sz w:val="21"/>
          </w:rPr>
          <w:t>境</w:t>
        </w:r>
        <w:r>
          <w:rPr>
            <w:sz w:val="21"/>
          </w:rPr>
          <w:t>分</w:t>
        </w:r>
        <w:r>
          <w:rPr>
            <w:spacing w:val="-3"/>
            <w:sz w:val="21"/>
          </w:rPr>
          <w:t>区</w:t>
        </w:r>
        <w:r>
          <w:rPr>
            <w:sz w:val="21"/>
          </w:rPr>
          <w:t>管</w:t>
        </w:r>
        <w:r>
          <w:rPr>
            <w:spacing w:val="-3"/>
            <w:sz w:val="21"/>
          </w:rPr>
          <w:t>控</w:t>
        </w:r>
        <w:r>
          <w:rPr>
            <w:sz w:val="21"/>
          </w:rPr>
          <w:t>方</w:t>
        </w:r>
        <w:r>
          <w:rPr>
            <w:spacing w:val="-3"/>
            <w:sz w:val="21"/>
          </w:rPr>
          <w:t>案</w:t>
        </w:r>
        <w:r>
          <w:rPr>
            <w:sz w:val="21"/>
          </w:rPr>
          <w:t>及</w:t>
        </w:r>
        <w:r>
          <w:rPr>
            <w:spacing w:val="-3"/>
            <w:sz w:val="21"/>
          </w:rPr>
          <w:t>符</w:t>
        </w:r>
        <w:r>
          <w:rPr>
            <w:sz w:val="21"/>
          </w:rPr>
          <w:t>合性</w:t>
        </w:r>
        <w:r>
          <w:rPr>
            <w:spacing w:val="-3"/>
            <w:sz w:val="21"/>
          </w:rPr>
          <w:t>分</w:t>
        </w:r>
        <w:r>
          <w:rPr>
            <w:sz w:val="21"/>
          </w:rPr>
          <w:t>析</w:t>
          <w:tab/>
        </w:r>
        <w:r>
          <w:rPr>
            <w:rFonts w:ascii="Times New Roman" w:hAnsi="Times New Roman" w:eastAsia="Times New Roman"/>
            <w:spacing w:val="-1"/>
            <w:sz w:val="21"/>
          </w:rPr>
          <w:t>36</w:t>
        </w:r>
      </w:hyperlink>
    </w:p>
    <w:p>
      <w:pPr>
        <w:spacing w:after="0" w:line="240" w:lineRule="auto"/>
        <w:jc w:val="right"/>
        <w:rPr>
          <w:rFonts w:ascii="Times New Roman" w:hAnsi="Times New Roman" w:eastAsia="Times New Roman"/>
          <w:sz w:val="21"/>
        </w:rPr>
        <w:sectPr>
          <w:headerReference w:type="default" r:id="rId5"/>
          <w:footerReference w:type="default" r:id="rId6"/>
          <w:type w:val="continuous"/>
          <w:pgSz w:w="11910" w:h="16840"/>
          <w:pgMar w:header="874" w:footer="1004" w:top="1400" w:bottom="1200" w:left="1040" w:right="1160"/>
        </w:sectPr>
      </w:pPr>
    </w:p>
    <w:sdt>
      <w:sdtPr>
        <w:docPartObj>
          <w:docPartGallery w:val="Table of Contents"/>
          <w:docPartUnique/>
        </w:docPartObj>
      </w:sdtPr>
      <w:sdtEndPr/>
      <w:sdtContent>
        <w:p>
          <w:pPr>
            <w:pStyle w:val="TOC2"/>
            <w:numPr>
              <w:ilvl w:val="1"/>
              <w:numId w:val="2"/>
            </w:numPr>
            <w:tabs>
              <w:tab w:pos="370" w:val="left" w:leader="none"/>
              <w:tab w:pos="8584" w:val="left" w:leader="dot"/>
            </w:tabs>
            <w:spacing w:line="240" w:lineRule="auto" w:before="84" w:after="0"/>
            <w:ind w:left="1026" w:right="251" w:hanging="1027"/>
            <w:jc w:val="right"/>
            <w:rPr>
              <w:rFonts w:ascii="Times New Roman" w:eastAsia="Times New Roman"/>
            </w:rPr>
          </w:pPr>
          <w:hyperlink w:history="true" w:anchor="_bookmark36">
            <w:r>
              <w:rPr>
                <w:spacing w:val="-3"/>
              </w:rPr>
              <w:t>主</w:t>
            </w:r>
            <w:r>
              <w:rPr/>
              <w:t>要</w:t>
            </w:r>
            <w:r>
              <w:rPr>
                <w:spacing w:val="-3"/>
              </w:rPr>
              <w:t>环</w:t>
            </w:r>
            <w:r>
              <w:rPr/>
              <w:t>境</w:t>
            </w:r>
            <w:r>
              <w:rPr>
                <w:spacing w:val="-3"/>
              </w:rPr>
              <w:t>保</w:t>
            </w:r>
            <w:r>
              <w:rPr/>
              <w:t>护</w:t>
            </w:r>
            <w:r>
              <w:rPr>
                <w:spacing w:val="-3"/>
              </w:rPr>
              <w:t>目</w:t>
            </w:r>
            <w:r>
              <w:rPr/>
              <w:t>标</w:t>
              <w:tab/>
            </w:r>
            <w:r>
              <w:rPr>
                <w:rFonts w:ascii="Times New Roman" w:eastAsia="Times New Roman"/>
                <w:spacing w:val="-1"/>
              </w:rPr>
              <w:t>37</w:t>
            </w:r>
          </w:hyperlink>
        </w:p>
        <w:p>
          <w:pPr>
            <w:pStyle w:val="TOC1"/>
            <w:tabs>
              <w:tab w:pos="9004" w:val="left" w:leader="dot"/>
            </w:tabs>
            <w:spacing w:before="89"/>
            <w:ind w:right="251"/>
            <w:rPr>
              <w:rFonts w:ascii="Times New Roman" w:eastAsia="Times New Roman"/>
            </w:rPr>
          </w:pPr>
          <w:hyperlink w:history="true" w:anchor="_bookmark37">
            <w:r>
              <w:rPr/>
              <w:t>第三章</w:t>
            </w:r>
            <w:r>
              <w:rPr>
                <w:spacing w:val="-2"/>
              </w:rPr>
              <w:t> </w:t>
            </w:r>
            <w:r>
              <w:rPr/>
              <w:t>建设项目工程分析</w:t>
            </w:r>
          </w:hyperlink>
          <w:r>
            <w:rPr/>
            <w:tab/>
          </w:r>
          <w:hyperlink w:history="true" w:anchor="_bookmark37">
            <w:r>
              <w:rPr>
                <w:rFonts w:ascii="Times New Roman" w:eastAsia="Times New Roman"/>
                <w:spacing w:val="-1"/>
              </w:rPr>
              <w:t>41</w:t>
            </w:r>
          </w:hyperlink>
        </w:p>
        <w:p>
          <w:pPr>
            <w:pStyle w:val="TOC2"/>
            <w:numPr>
              <w:ilvl w:val="1"/>
              <w:numId w:val="3"/>
            </w:numPr>
            <w:tabs>
              <w:tab w:pos="370" w:val="left" w:leader="none"/>
              <w:tab w:pos="8584" w:val="left" w:leader="dot"/>
            </w:tabs>
            <w:spacing w:line="240" w:lineRule="auto" w:before="90" w:after="0"/>
            <w:ind w:left="1026" w:right="251" w:hanging="1027"/>
            <w:jc w:val="right"/>
            <w:rPr>
              <w:rFonts w:ascii="Times New Roman" w:eastAsia="Times New Roman"/>
            </w:rPr>
          </w:pPr>
          <w:hyperlink w:history="true" w:anchor="_bookmark38">
            <w:r>
              <w:rPr>
                <w:spacing w:val="-3"/>
              </w:rPr>
              <w:t>建</w:t>
            </w:r>
            <w:r>
              <w:rPr/>
              <w:t>设</w:t>
            </w:r>
            <w:r>
              <w:rPr>
                <w:spacing w:val="-3"/>
              </w:rPr>
              <w:t>项</w:t>
            </w:r>
            <w:r>
              <w:rPr/>
              <w:t>目</w:t>
            </w:r>
            <w:r>
              <w:rPr>
                <w:spacing w:val="-3"/>
              </w:rPr>
              <w:t>概</w:t>
            </w:r>
            <w:r>
              <w:rPr/>
              <w:t>况</w:t>
              <w:tab/>
            </w:r>
            <w:r>
              <w:rPr>
                <w:rFonts w:ascii="Times New Roman" w:eastAsia="Times New Roman"/>
                <w:spacing w:val="-1"/>
              </w:rPr>
              <w:t>41</w:t>
            </w:r>
          </w:hyperlink>
        </w:p>
        <w:p>
          <w:pPr>
            <w:pStyle w:val="TOC2"/>
            <w:numPr>
              <w:ilvl w:val="2"/>
              <w:numId w:val="3"/>
            </w:numPr>
            <w:tabs>
              <w:tab w:pos="526" w:val="left" w:leader="none"/>
              <w:tab w:pos="8164" w:val="left" w:leader="dot"/>
            </w:tabs>
            <w:spacing w:line="240" w:lineRule="auto" w:before="89" w:after="0"/>
            <w:ind w:left="1602" w:right="251" w:hanging="1603"/>
            <w:jc w:val="right"/>
            <w:rPr>
              <w:rFonts w:ascii="Times New Roman" w:eastAsia="Times New Roman"/>
            </w:rPr>
          </w:pPr>
          <w:hyperlink w:history="true" w:anchor="_bookmark39">
            <w:r>
              <w:rPr/>
              <w:t>项</w:t>
            </w:r>
            <w:r>
              <w:rPr>
                <w:spacing w:val="-3"/>
              </w:rPr>
              <w:t>目</w:t>
            </w:r>
            <w:r>
              <w:rPr/>
              <w:t>基</w:t>
            </w:r>
            <w:r>
              <w:rPr>
                <w:spacing w:val="-3"/>
              </w:rPr>
              <w:t>本</w:t>
            </w:r>
            <w:r>
              <w:rPr/>
              <w:t>情况</w:t>
              <w:tab/>
            </w:r>
            <w:r>
              <w:rPr>
                <w:rFonts w:ascii="Times New Roman" w:eastAsia="Times New Roman"/>
                <w:spacing w:val="-1"/>
              </w:rPr>
              <w:t>41</w:t>
            </w:r>
          </w:hyperlink>
        </w:p>
        <w:p>
          <w:pPr>
            <w:pStyle w:val="TOC2"/>
            <w:numPr>
              <w:ilvl w:val="2"/>
              <w:numId w:val="3"/>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40">
            <w:r>
              <w:rPr/>
              <w:t>项</w:t>
            </w:r>
            <w:r>
              <w:rPr>
                <w:spacing w:val="-3"/>
              </w:rPr>
              <w:t>目</w:t>
            </w:r>
            <w:r>
              <w:rPr/>
              <w:t>产</w:t>
            </w:r>
            <w:r>
              <w:rPr>
                <w:spacing w:val="-3"/>
              </w:rPr>
              <w:t>品</w:t>
            </w:r>
            <w:r>
              <w:rPr/>
              <w:t>方案</w:t>
              <w:tab/>
            </w:r>
            <w:r>
              <w:rPr>
                <w:rFonts w:ascii="Times New Roman" w:eastAsia="Times New Roman"/>
                <w:spacing w:val="-1"/>
              </w:rPr>
              <w:t>41</w:t>
            </w:r>
          </w:hyperlink>
        </w:p>
        <w:p>
          <w:pPr>
            <w:pStyle w:val="TOC2"/>
            <w:numPr>
              <w:ilvl w:val="2"/>
              <w:numId w:val="3"/>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41">
            <w:r>
              <w:rPr/>
              <w:t>原</w:t>
            </w:r>
            <w:r>
              <w:rPr>
                <w:spacing w:val="-3"/>
              </w:rPr>
              <w:t>辅</w:t>
            </w:r>
            <w:r>
              <w:rPr/>
              <w:t>料</w:t>
            </w:r>
            <w:r>
              <w:rPr>
                <w:spacing w:val="-3"/>
              </w:rPr>
              <w:t>消</w:t>
            </w:r>
            <w:r>
              <w:rPr/>
              <w:t>耗</w:t>
            </w:r>
            <w:r>
              <w:rPr>
                <w:spacing w:val="-3"/>
              </w:rPr>
              <w:t>情</w:t>
            </w:r>
            <w:r>
              <w:rPr/>
              <w:t>况</w:t>
              <w:tab/>
            </w:r>
            <w:r>
              <w:rPr>
                <w:rFonts w:ascii="Times New Roman" w:eastAsia="Times New Roman"/>
                <w:spacing w:val="-1"/>
              </w:rPr>
              <w:t>42</w:t>
            </w:r>
          </w:hyperlink>
        </w:p>
        <w:p>
          <w:pPr>
            <w:pStyle w:val="TOC2"/>
            <w:numPr>
              <w:ilvl w:val="2"/>
              <w:numId w:val="3"/>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42">
            <w:r>
              <w:rPr/>
              <w:t>设</w:t>
            </w:r>
            <w:r>
              <w:rPr>
                <w:spacing w:val="-3"/>
              </w:rPr>
              <w:t>备</w:t>
            </w:r>
            <w:r>
              <w:rPr/>
              <w:t>配</w:t>
            </w:r>
            <w:r>
              <w:rPr>
                <w:spacing w:val="-3"/>
              </w:rPr>
              <w:t>置</w:t>
            </w:r>
            <w:r>
              <w:rPr/>
              <w:t>情况</w:t>
              <w:tab/>
            </w:r>
            <w:r>
              <w:rPr>
                <w:rFonts w:ascii="Times New Roman" w:eastAsia="Times New Roman"/>
                <w:spacing w:val="-1"/>
              </w:rPr>
              <w:t>43</w:t>
            </w:r>
          </w:hyperlink>
        </w:p>
        <w:p>
          <w:pPr>
            <w:pStyle w:val="TOC2"/>
            <w:numPr>
              <w:ilvl w:val="2"/>
              <w:numId w:val="3"/>
            </w:numPr>
            <w:tabs>
              <w:tab w:pos="526" w:val="left" w:leader="none"/>
              <w:tab w:pos="8164" w:val="left" w:leader="dot"/>
            </w:tabs>
            <w:spacing w:line="240" w:lineRule="auto" w:before="89" w:after="0"/>
            <w:ind w:left="1602" w:right="251" w:hanging="1603"/>
            <w:jc w:val="right"/>
            <w:rPr>
              <w:rFonts w:ascii="Times New Roman" w:eastAsia="Times New Roman"/>
            </w:rPr>
          </w:pPr>
          <w:hyperlink w:history="true" w:anchor="_bookmark43">
            <w:r>
              <w:rPr/>
              <w:t>项</w:t>
            </w:r>
            <w:r>
              <w:rPr>
                <w:spacing w:val="-3"/>
              </w:rPr>
              <w:t>目</w:t>
            </w:r>
            <w:r>
              <w:rPr/>
              <w:t>工</w:t>
            </w:r>
            <w:r>
              <w:rPr>
                <w:spacing w:val="-3"/>
              </w:rPr>
              <w:t>程</w:t>
            </w:r>
            <w:r>
              <w:rPr/>
              <w:t>组成</w:t>
              <w:tab/>
            </w:r>
            <w:r>
              <w:rPr>
                <w:rFonts w:ascii="Times New Roman" w:eastAsia="Times New Roman"/>
                <w:spacing w:val="-1"/>
              </w:rPr>
              <w:t>45</w:t>
            </w:r>
          </w:hyperlink>
        </w:p>
        <w:p>
          <w:pPr>
            <w:pStyle w:val="TOC2"/>
            <w:numPr>
              <w:ilvl w:val="2"/>
              <w:numId w:val="3"/>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44">
            <w:r>
              <w:rPr/>
              <w:t>项</w:t>
            </w:r>
            <w:r>
              <w:rPr>
                <w:spacing w:val="-3"/>
              </w:rPr>
              <w:t>目</w:t>
            </w:r>
            <w:r>
              <w:rPr/>
              <w:t>平</w:t>
            </w:r>
            <w:r>
              <w:rPr>
                <w:spacing w:val="-3"/>
              </w:rPr>
              <w:t>面</w:t>
            </w:r>
            <w:r>
              <w:rPr/>
              <w:t>布置</w:t>
              <w:tab/>
            </w:r>
            <w:r>
              <w:rPr>
                <w:rFonts w:ascii="Times New Roman" w:eastAsia="Times New Roman"/>
                <w:spacing w:val="-1"/>
              </w:rPr>
              <w:t>46</w:t>
            </w:r>
          </w:hyperlink>
        </w:p>
        <w:p>
          <w:pPr>
            <w:pStyle w:val="TOC2"/>
            <w:numPr>
              <w:ilvl w:val="2"/>
              <w:numId w:val="3"/>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45">
            <w:r>
              <w:rPr/>
              <w:t>养</w:t>
            </w:r>
            <w:r>
              <w:rPr>
                <w:spacing w:val="-3"/>
              </w:rPr>
              <w:t>殖</w:t>
            </w:r>
            <w:r>
              <w:rPr/>
              <w:t>场</w:t>
            </w:r>
            <w:r>
              <w:rPr>
                <w:spacing w:val="-3"/>
              </w:rPr>
              <w:t>兽</w:t>
            </w:r>
            <w:r>
              <w:rPr/>
              <w:t>医</w:t>
            </w:r>
            <w:r>
              <w:rPr>
                <w:spacing w:val="-3"/>
              </w:rPr>
              <w:t>消</w:t>
            </w:r>
            <w:r>
              <w:rPr/>
              <w:t>毒</w:t>
            </w:r>
            <w:r>
              <w:rPr>
                <w:spacing w:val="-3"/>
              </w:rPr>
              <w:t>、卫</w:t>
            </w:r>
            <w:r>
              <w:rPr/>
              <w:t>生防</w:t>
            </w:r>
            <w:r>
              <w:rPr>
                <w:spacing w:val="-3"/>
              </w:rPr>
              <w:t>疫</w:t>
            </w:r>
            <w:r>
              <w:rPr/>
              <w:t>制度</w:t>
              <w:tab/>
            </w:r>
            <w:r>
              <w:rPr>
                <w:rFonts w:ascii="Times New Roman" w:eastAsia="Times New Roman"/>
                <w:spacing w:val="-1"/>
              </w:rPr>
              <w:t>47</w:t>
            </w:r>
          </w:hyperlink>
        </w:p>
        <w:p>
          <w:pPr>
            <w:pStyle w:val="TOC2"/>
            <w:numPr>
              <w:ilvl w:val="1"/>
              <w:numId w:val="3"/>
            </w:numPr>
            <w:tabs>
              <w:tab w:pos="370" w:val="left" w:leader="none"/>
              <w:tab w:pos="8584" w:val="left" w:leader="dot"/>
            </w:tabs>
            <w:spacing w:line="240" w:lineRule="auto" w:before="92" w:after="0"/>
            <w:ind w:left="1026" w:right="251" w:hanging="1027"/>
            <w:jc w:val="right"/>
            <w:rPr>
              <w:rFonts w:ascii="Times New Roman" w:eastAsia="Times New Roman"/>
            </w:rPr>
          </w:pPr>
          <w:hyperlink w:history="true" w:anchor="_bookmark46">
            <w:r>
              <w:rPr>
                <w:spacing w:val="-3"/>
              </w:rPr>
              <w:t>影</w:t>
            </w:r>
            <w:r>
              <w:rPr/>
              <w:t>响</w:t>
            </w:r>
            <w:r>
              <w:rPr>
                <w:spacing w:val="-3"/>
              </w:rPr>
              <w:t>因</w:t>
            </w:r>
            <w:r>
              <w:rPr/>
              <w:t>素</w:t>
            </w:r>
            <w:r>
              <w:rPr>
                <w:spacing w:val="-3"/>
              </w:rPr>
              <w:t>分</w:t>
            </w:r>
            <w:r>
              <w:rPr/>
              <w:t>析</w:t>
              <w:tab/>
            </w:r>
            <w:r>
              <w:rPr>
                <w:rFonts w:ascii="Times New Roman" w:eastAsia="Times New Roman"/>
                <w:spacing w:val="-1"/>
              </w:rPr>
              <w:t>48</w:t>
            </w:r>
          </w:hyperlink>
        </w:p>
        <w:p>
          <w:pPr>
            <w:pStyle w:val="TOC2"/>
            <w:numPr>
              <w:ilvl w:val="2"/>
              <w:numId w:val="3"/>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47">
            <w:r>
              <w:rPr/>
              <w:t>生</w:t>
            </w:r>
            <w:r>
              <w:rPr>
                <w:spacing w:val="-3"/>
              </w:rPr>
              <w:t>产</w:t>
            </w:r>
            <w:r>
              <w:rPr/>
              <w:t>工</w:t>
            </w:r>
            <w:r>
              <w:rPr>
                <w:spacing w:val="-3"/>
              </w:rPr>
              <w:t>艺</w:t>
            </w:r>
            <w:r>
              <w:rPr/>
              <w:t>流</w:t>
            </w:r>
            <w:r>
              <w:rPr>
                <w:spacing w:val="-3"/>
              </w:rPr>
              <w:t>程</w:t>
            </w:r>
            <w:r>
              <w:rPr/>
              <w:t>及</w:t>
            </w:r>
            <w:r>
              <w:rPr>
                <w:spacing w:val="-3"/>
              </w:rPr>
              <w:t>产污</w:t>
            </w:r>
            <w:r>
              <w:rPr/>
              <w:t>节点</w:t>
            </w:r>
            <w:r>
              <w:rPr>
                <w:spacing w:val="-3"/>
              </w:rPr>
              <w:t>分</w:t>
            </w:r>
            <w:r>
              <w:rPr/>
              <w:t>析</w:t>
              <w:tab/>
            </w:r>
            <w:r>
              <w:rPr>
                <w:rFonts w:ascii="Times New Roman" w:eastAsia="Times New Roman"/>
                <w:spacing w:val="-1"/>
              </w:rPr>
              <w:t>48</w:t>
            </w:r>
          </w:hyperlink>
        </w:p>
        <w:p>
          <w:pPr>
            <w:pStyle w:val="TOC4"/>
            <w:numPr>
              <w:ilvl w:val="2"/>
              <w:numId w:val="3"/>
            </w:numPr>
            <w:tabs>
              <w:tab w:pos="1603" w:val="left" w:leader="none"/>
              <w:tab w:pos="9241" w:val="left" w:leader="dot"/>
            </w:tabs>
            <w:spacing w:line="240" w:lineRule="auto" w:before="91" w:after="0"/>
            <w:ind w:left="1602" w:right="0" w:hanging="526"/>
            <w:jc w:val="left"/>
            <w:rPr>
              <w:rFonts w:ascii="Times New Roman" w:eastAsia="Times New Roman"/>
            </w:rPr>
          </w:pPr>
          <w:hyperlink w:history="true" w:anchor="_bookmark48">
            <w:r>
              <w:rPr/>
              <w:t>污</w:t>
            </w:r>
            <w:r>
              <w:rPr>
                <w:spacing w:val="-3"/>
              </w:rPr>
              <w:t>染</w:t>
            </w:r>
            <w:r>
              <w:rPr/>
              <w:t>因</w:t>
            </w:r>
            <w:r>
              <w:rPr>
                <w:spacing w:val="-3"/>
              </w:rPr>
              <w:t>子</w:t>
            </w:r>
            <w:r>
              <w:rPr/>
              <w:t>识别</w:t>
              <w:tab/>
            </w:r>
            <w:r>
              <w:rPr>
                <w:rFonts w:ascii="Times New Roman" w:eastAsia="Times New Roman"/>
              </w:rPr>
              <w:t>56</w:t>
            </w:r>
          </w:hyperlink>
        </w:p>
        <w:p>
          <w:pPr>
            <w:pStyle w:val="TOC4"/>
            <w:numPr>
              <w:ilvl w:val="2"/>
              <w:numId w:val="3"/>
            </w:numPr>
            <w:tabs>
              <w:tab w:pos="1603" w:val="left" w:leader="none"/>
              <w:tab w:pos="9241" w:val="left" w:leader="dot"/>
            </w:tabs>
            <w:spacing w:line="240" w:lineRule="auto" w:before="89" w:after="0"/>
            <w:ind w:left="1602" w:right="0" w:hanging="526"/>
            <w:jc w:val="left"/>
            <w:rPr>
              <w:rFonts w:ascii="Times New Roman" w:eastAsia="Times New Roman"/>
            </w:rPr>
          </w:pPr>
          <w:hyperlink w:history="true" w:anchor="_bookmark49">
            <w:r>
              <w:rPr/>
              <w:t>环</w:t>
            </w:r>
            <w:r>
              <w:rPr>
                <w:spacing w:val="-3"/>
              </w:rPr>
              <w:t>境</w:t>
            </w:r>
            <w:r>
              <w:rPr/>
              <w:t>影</w:t>
            </w:r>
            <w:r>
              <w:rPr>
                <w:spacing w:val="-3"/>
              </w:rPr>
              <w:t>响</w:t>
            </w:r>
            <w:r>
              <w:rPr/>
              <w:t>减</w:t>
            </w:r>
            <w:r>
              <w:rPr>
                <w:spacing w:val="-3"/>
              </w:rPr>
              <w:t>缓</w:t>
            </w:r>
            <w:r>
              <w:rPr/>
              <w:t>措施</w:t>
              <w:tab/>
            </w:r>
            <w:r>
              <w:rPr>
                <w:rFonts w:ascii="Times New Roman" w:eastAsia="Times New Roman"/>
              </w:rPr>
              <w:t>57</w:t>
            </w:r>
          </w:hyperlink>
        </w:p>
        <w:p>
          <w:pPr>
            <w:pStyle w:val="TOC4"/>
            <w:numPr>
              <w:ilvl w:val="2"/>
              <w:numId w:val="3"/>
            </w:numPr>
            <w:tabs>
              <w:tab w:pos="1603" w:val="left" w:leader="none"/>
              <w:tab w:pos="9241" w:val="left" w:leader="dot"/>
            </w:tabs>
            <w:spacing w:line="240" w:lineRule="auto" w:before="91" w:after="0"/>
            <w:ind w:left="1602" w:right="0" w:hanging="526"/>
            <w:jc w:val="left"/>
            <w:rPr>
              <w:rFonts w:ascii="Times New Roman" w:eastAsia="Times New Roman"/>
            </w:rPr>
          </w:pPr>
          <w:hyperlink w:history="true" w:anchor="_bookmark50">
            <w:r>
              <w:rPr/>
              <w:t>清</w:t>
            </w:r>
            <w:r>
              <w:rPr>
                <w:spacing w:val="-3"/>
              </w:rPr>
              <w:t>洁</w:t>
            </w:r>
            <w:r>
              <w:rPr/>
              <w:t>生</w:t>
            </w:r>
            <w:r>
              <w:rPr>
                <w:spacing w:val="-3"/>
              </w:rPr>
              <w:t>产</w:t>
            </w:r>
            <w:r>
              <w:rPr/>
              <w:t>分析</w:t>
              <w:tab/>
            </w:r>
            <w:r>
              <w:rPr>
                <w:rFonts w:ascii="Times New Roman" w:eastAsia="Times New Roman"/>
              </w:rPr>
              <w:t>58</w:t>
            </w:r>
          </w:hyperlink>
        </w:p>
        <w:p>
          <w:pPr>
            <w:pStyle w:val="TOC2"/>
            <w:numPr>
              <w:ilvl w:val="2"/>
              <w:numId w:val="3"/>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51">
            <w:r>
              <w:rPr/>
              <w:t>施</w:t>
            </w:r>
            <w:r>
              <w:rPr>
                <w:spacing w:val="-3"/>
              </w:rPr>
              <w:t>工</w:t>
            </w:r>
            <w:r>
              <w:rPr/>
              <w:t>期</w:t>
            </w:r>
            <w:r>
              <w:rPr>
                <w:spacing w:val="-3"/>
              </w:rPr>
              <w:t>影</w:t>
            </w:r>
            <w:r>
              <w:rPr/>
              <w:t>响</w:t>
            </w:r>
            <w:r>
              <w:rPr>
                <w:spacing w:val="-3"/>
              </w:rPr>
              <w:t>因</w:t>
            </w:r>
            <w:r>
              <w:rPr/>
              <w:t>素</w:t>
            </w:r>
            <w:r>
              <w:rPr>
                <w:spacing w:val="-3"/>
              </w:rPr>
              <w:t>分</w:t>
            </w:r>
            <w:r>
              <w:rPr/>
              <w:t>析</w:t>
              <w:tab/>
            </w:r>
            <w:r>
              <w:rPr>
                <w:rFonts w:ascii="Times New Roman" w:eastAsia="Times New Roman"/>
                <w:spacing w:val="-1"/>
              </w:rPr>
              <w:t>60</w:t>
            </w:r>
          </w:hyperlink>
        </w:p>
        <w:p>
          <w:pPr>
            <w:pStyle w:val="TOC2"/>
            <w:numPr>
              <w:ilvl w:val="1"/>
              <w:numId w:val="3"/>
            </w:numPr>
            <w:tabs>
              <w:tab w:pos="370" w:val="left" w:leader="none"/>
              <w:tab w:pos="8584" w:val="left" w:leader="dot"/>
            </w:tabs>
            <w:spacing w:line="240" w:lineRule="auto" w:before="91" w:after="0"/>
            <w:ind w:left="1026" w:right="251" w:hanging="1027"/>
            <w:jc w:val="right"/>
            <w:rPr>
              <w:rFonts w:ascii="Times New Roman" w:eastAsia="Times New Roman"/>
            </w:rPr>
          </w:pPr>
          <w:hyperlink w:history="true" w:anchor="_bookmark52">
            <w:r>
              <w:rPr>
                <w:spacing w:val="-3"/>
              </w:rPr>
              <w:t>运</w:t>
            </w:r>
            <w:r>
              <w:rPr/>
              <w:t>营</w:t>
            </w:r>
            <w:r>
              <w:rPr>
                <w:spacing w:val="-3"/>
              </w:rPr>
              <w:t>期</w:t>
            </w:r>
            <w:r>
              <w:rPr/>
              <w:t>污</w:t>
            </w:r>
            <w:r>
              <w:rPr>
                <w:spacing w:val="-3"/>
              </w:rPr>
              <w:t>染</w:t>
            </w:r>
            <w:r>
              <w:rPr/>
              <w:t>源</w:t>
            </w:r>
            <w:r>
              <w:rPr>
                <w:spacing w:val="-3"/>
              </w:rPr>
              <w:t>强</w:t>
            </w:r>
            <w:r>
              <w:rPr/>
              <w:t>核算</w:t>
              <w:tab/>
            </w:r>
            <w:r>
              <w:rPr>
                <w:rFonts w:ascii="Times New Roman" w:eastAsia="Times New Roman"/>
                <w:spacing w:val="-1"/>
              </w:rPr>
              <w:t>64</w:t>
            </w:r>
          </w:hyperlink>
        </w:p>
        <w:p>
          <w:pPr>
            <w:pStyle w:val="TOC2"/>
            <w:numPr>
              <w:ilvl w:val="2"/>
              <w:numId w:val="3"/>
            </w:numPr>
            <w:tabs>
              <w:tab w:pos="526" w:val="left" w:leader="none"/>
              <w:tab w:pos="8164" w:val="left" w:leader="dot"/>
            </w:tabs>
            <w:spacing w:line="240" w:lineRule="auto" w:before="89" w:after="0"/>
            <w:ind w:left="1602" w:right="251" w:hanging="1603"/>
            <w:jc w:val="right"/>
            <w:rPr>
              <w:rFonts w:ascii="Times New Roman" w:eastAsia="Times New Roman"/>
            </w:rPr>
          </w:pPr>
          <w:hyperlink w:history="true" w:anchor="_bookmark53">
            <w:r>
              <w:rPr/>
              <w:t>废</w:t>
            </w:r>
            <w:r>
              <w:rPr>
                <w:spacing w:val="-3"/>
              </w:rPr>
              <w:t>水</w:t>
            </w:r>
            <w:r>
              <w:rPr/>
              <w:t>污</w:t>
            </w:r>
            <w:r>
              <w:rPr>
                <w:spacing w:val="-3"/>
              </w:rPr>
              <w:t>染</w:t>
            </w:r>
            <w:r>
              <w:rPr/>
              <w:t>源</w:t>
            </w:r>
            <w:r>
              <w:rPr>
                <w:spacing w:val="-3"/>
              </w:rPr>
              <w:t>强</w:t>
            </w:r>
            <w:r>
              <w:rPr/>
              <w:t>核算</w:t>
              <w:tab/>
            </w:r>
            <w:r>
              <w:rPr>
                <w:rFonts w:ascii="Times New Roman" w:eastAsia="Times New Roman"/>
                <w:spacing w:val="-1"/>
              </w:rPr>
              <w:t>64</w:t>
            </w:r>
          </w:hyperlink>
        </w:p>
        <w:p>
          <w:pPr>
            <w:pStyle w:val="TOC2"/>
            <w:numPr>
              <w:ilvl w:val="2"/>
              <w:numId w:val="3"/>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54">
            <w:r>
              <w:rPr/>
              <w:t>废</w:t>
            </w:r>
            <w:r>
              <w:rPr>
                <w:spacing w:val="-3"/>
              </w:rPr>
              <w:t>气</w:t>
            </w:r>
            <w:r>
              <w:rPr/>
              <w:t>污</w:t>
            </w:r>
            <w:r>
              <w:rPr>
                <w:spacing w:val="-3"/>
              </w:rPr>
              <w:t>染</w:t>
            </w:r>
            <w:r>
              <w:rPr/>
              <w:t>源</w:t>
            </w:r>
            <w:r>
              <w:rPr>
                <w:spacing w:val="-3"/>
              </w:rPr>
              <w:t>强</w:t>
            </w:r>
            <w:r>
              <w:rPr/>
              <w:t>核算</w:t>
              <w:tab/>
            </w:r>
            <w:r>
              <w:rPr>
                <w:rFonts w:ascii="Times New Roman" w:eastAsia="Times New Roman"/>
                <w:spacing w:val="-1"/>
              </w:rPr>
              <w:t>70</w:t>
            </w:r>
          </w:hyperlink>
        </w:p>
        <w:p>
          <w:pPr>
            <w:pStyle w:val="TOC2"/>
            <w:numPr>
              <w:ilvl w:val="2"/>
              <w:numId w:val="3"/>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55">
            <w:r>
              <w:rPr/>
              <w:t>固</w:t>
            </w:r>
            <w:r>
              <w:rPr>
                <w:spacing w:val="-3"/>
              </w:rPr>
              <w:t>废</w:t>
            </w:r>
            <w:r>
              <w:rPr/>
              <w:t>污</w:t>
            </w:r>
            <w:r>
              <w:rPr>
                <w:spacing w:val="-3"/>
              </w:rPr>
              <w:t>染</w:t>
            </w:r>
            <w:r>
              <w:rPr/>
              <w:t>源</w:t>
            </w:r>
            <w:r>
              <w:rPr>
                <w:spacing w:val="-3"/>
              </w:rPr>
              <w:t>强</w:t>
            </w:r>
            <w:r>
              <w:rPr/>
              <w:t>核算</w:t>
              <w:tab/>
            </w:r>
            <w:r>
              <w:rPr>
                <w:rFonts w:ascii="Times New Roman" w:eastAsia="Times New Roman"/>
                <w:spacing w:val="-1"/>
              </w:rPr>
              <w:t>78</w:t>
            </w:r>
          </w:hyperlink>
        </w:p>
        <w:p>
          <w:pPr>
            <w:pStyle w:val="TOC2"/>
            <w:numPr>
              <w:ilvl w:val="2"/>
              <w:numId w:val="3"/>
            </w:numPr>
            <w:tabs>
              <w:tab w:pos="526" w:val="left" w:leader="none"/>
              <w:tab w:pos="8164" w:val="left" w:leader="dot"/>
            </w:tabs>
            <w:spacing w:line="240" w:lineRule="auto" w:before="92" w:after="0"/>
            <w:ind w:left="1602" w:right="251" w:hanging="1603"/>
            <w:jc w:val="right"/>
            <w:rPr>
              <w:rFonts w:ascii="Times New Roman" w:eastAsia="Times New Roman"/>
            </w:rPr>
          </w:pPr>
          <w:hyperlink w:history="true" w:anchor="_bookmark56">
            <w:r>
              <w:rPr/>
              <w:t>噪</w:t>
            </w:r>
            <w:r>
              <w:rPr>
                <w:spacing w:val="-3"/>
              </w:rPr>
              <w:t>声</w:t>
            </w:r>
            <w:r>
              <w:rPr/>
              <w:t>污</w:t>
            </w:r>
            <w:r>
              <w:rPr>
                <w:spacing w:val="-3"/>
              </w:rPr>
              <w:t>染</w:t>
            </w:r>
            <w:r>
              <w:rPr/>
              <w:t>源</w:t>
            </w:r>
            <w:r>
              <w:rPr>
                <w:spacing w:val="-3"/>
              </w:rPr>
              <w:t>强</w:t>
            </w:r>
            <w:r>
              <w:rPr/>
              <w:t>核算</w:t>
              <w:tab/>
            </w:r>
            <w:r>
              <w:rPr>
                <w:rFonts w:ascii="Times New Roman" w:eastAsia="Times New Roman"/>
                <w:spacing w:val="-1"/>
              </w:rPr>
              <w:t>82</w:t>
            </w:r>
          </w:hyperlink>
        </w:p>
        <w:p>
          <w:pPr>
            <w:pStyle w:val="TOC2"/>
            <w:numPr>
              <w:ilvl w:val="2"/>
              <w:numId w:val="3"/>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57">
            <w:r>
              <w:rPr/>
              <w:t>污</w:t>
            </w:r>
            <w:r>
              <w:rPr>
                <w:spacing w:val="-3"/>
              </w:rPr>
              <w:t>染</w:t>
            </w:r>
            <w:r>
              <w:rPr/>
              <w:t>源</w:t>
            </w:r>
            <w:r>
              <w:rPr>
                <w:spacing w:val="-3"/>
              </w:rPr>
              <w:t>强</w:t>
            </w:r>
            <w:r>
              <w:rPr/>
              <w:t>汇总</w:t>
              <w:tab/>
            </w:r>
            <w:r>
              <w:rPr>
                <w:rFonts w:ascii="Times New Roman" w:eastAsia="Times New Roman"/>
                <w:spacing w:val="-1"/>
              </w:rPr>
              <w:t>82</w:t>
            </w:r>
          </w:hyperlink>
        </w:p>
        <w:p>
          <w:pPr>
            <w:pStyle w:val="TOC2"/>
            <w:numPr>
              <w:ilvl w:val="1"/>
              <w:numId w:val="3"/>
            </w:numPr>
            <w:tabs>
              <w:tab w:pos="370" w:val="left" w:leader="none"/>
              <w:tab w:pos="8584" w:val="left" w:leader="dot"/>
            </w:tabs>
            <w:spacing w:line="240" w:lineRule="auto" w:before="91" w:after="0"/>
            <w:ind w:left="1026" w:right="251" w:hanging="1027"/>
            <w:jc w:val="right"/>
            <w:rPr>
              <w:rFonts w:ascii="Times New Roman" w:eastAsia="Times New Roman"/>
            </w:rPr>
          </w:pPr>
          <w:hyperlink w:history="true" w:anchor="_bookmark58">
            <w:r>
              <w:rPr>
                <w:spacing w:val="-3"/>
              </w:rPr>
              <w:t>总</w:t>
            </w:r>
            <w:r>
              <w:rPr/>
              <w:t>量</w:t>
            </w:r>
            <w:r>
              <w:rPr>
                <w:spacing w:val="-3"/>
              </w:rPr>
              <w:t>控</w:t>
            </w:r>
            <w:r>
              <w:rPr/>
              <w:t>制</w:t>
              <w:tab/>
            </w:r>
            <w:r>
              <w:rPr>
                <w:rFonts w:ascii="Times New Roman" w:eastAsia="Times New Roman"/>
                <w:spacing w:val="-1"/>
              </w:rPr>
              <w:t>83</w:t>
            </w:r>
          </w:hyperlink>
        </w:p>
        <w:p>
          <w:pPr>
            <w:pStyle w:val="TOC2"/>
            <w:numPr>
              <w:ilvl w:val="2"/>
              <w:numId w:val="3"/>
            </w:numPr>
            <w:tabs>
              <w:tab w:pos="526" w:val="left" w:leader="none"/>
              <w:tab w:pos="8164" w:val="left" w:leader="dot"/>
            </w:tabs>
            <w:spacing w:line="240" w:lineRule="auto" w:before="89" w:after="0"/>
            <w:ind w:left="1602" w:right="251" w:hanging="1603"/>
            <w:jc w:val="right"/>
            <w:rPr>
              <w:rFonts w:ascii="Times New Roman" w:eastAsia="Times New Roman"/>
            </w:rPr>
          </w:pPr>
          <w:hyperlink w:history="true" w:anchor="_bookmark59">
            <w:r>
              <w:rPr/>
              <w:t>总</w:t>
            </w:r>
            <w:r>
              <w:rPr>
                <w:spacing w:val="-3"/>
              </w:rPr>
              <w:t>量</w:t>
            </w:r>
            <w:r>
              <w:rPr/>
              <w:t>控</w:t>
            </w:r>
            <w:r>
              <w:rPr>
                <w:spacing w:val="-3"/>
              </w:rPr>
              <w:t>制</w:t>
            </w:r>
            <w:r>
              <w:rPr/>
              <w:t>基</w:t>
            </w:r>
            <w:r>
              <w:rPr>
                <w:spacing w:val="-3"/>
              </w:rPr>
              <w:t>本</w:t>
            </w:r>
            <w:r>
              <w:rPr/>
              <w:t>原则</w:t>
              <w:tab/>
            </w:r>
            <w:r>
              <w:rPr>
                <w:rFonts w:ascii="Times New Roman" w:eastAsia="Times New Roman"/>
                <w:spacing w:val="-1"/>
              </w:rPr>
              <w:t>83</w:t>
            </w:r>
          </w:hyperlink>
        </w:p>
        <w:p>
          <w:pPr>
            <w:pStyle w:val="TOC2"/>
            <w:numPr>
              <w:ilvl w:val="2"/>
              <w:numId w:val="3"/>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60">
            <w:r>
              <w:rPr/>
              <w:t>总</w:t>
            </w:r>
            <w:r>
              <w:rPr>
                <w:spacing w:val="-3"/>
              </w:rPr>
              <w:t>量</w:t>
            </w:r>
            <w:r>
              <w:rPr/>
              <w:t>控</w:t>
            </w:r>
            <w:r>
              <w:rPr>
                <w:spacing w:val="-3"/>
              </w:rPr>
              <w:t>制</w:t>
            </w:r>
            <w:r>
              <w:rPr/>
              <w:t>指</w:t>
            </w:r>
            <w:r>
              <w:rPr>
                <w:spacing w:val="-3"/>
              </w:rPr>
              <w:t>标</w:t>
            </w:r>
            <w:r>
              <w:rPr/>
              <w:t>建</w:t>
            </w:r>
            <w:r>
              <w:rPr>
                <w:spacing w:val="-3"/>
              </w:rPr>
              <w:t>议</w:t>
            </w:r>
            <w:r>
              <w:rPr/>
              <w:t>值</w:t>
              <w:tab/>
            </w:r>
            <w:r>
              <w:rPr>
                <w:rFonts w:ascii="Times New Roman" w:eastAsia="Times New Roman"/>
                <w:spacing w:val="-1"/>
              </w:rPr>
              <w:t>83</w:t>
            </w:r>
          </w:hyperlink>
        </w:p>
        <w:p>
          <w:pPr>
            <w:pStyle w:val="TOC4"/>
            <w:numPr>
              <w:ilvl w:val="2"/>
              <w:numId w:val="3"/>
            </w:numPr>
            <w:tabs>
              <w:tab w:pos="1603" w:val="left" w:leader="none"/>
              <w:tab w:pos="9241" w:val="left" w:leader="dot"/>
            </w:tabs>
            <w:spacing w:line="240" w:lineRule="auto" w:before="88" w:after="0"/>
            <w:ind w:left="1602" w:right="0" w:hanging="526"/>
            <w:jc w:val="left"/>
            <w:rPr>
              <w:rFonts w:ascii="Times New Roman" w:eastAsia="Times New Roman"/>
            </w:rPr>
          </w:pPr>
          <w:hyperlink w:history="true" w:anchor="_bookmark61">
            <w:r>
              <w:rPr/>
              <w:t>总</w:t>
            </w:r>
            <w:r>
              <w:rPr>
                <w:spacing w:val="-3"/>
              </w:rPr>
              <w:t>量</w:t>
            </w:r>
            <w:r>
              <w:rPr/>
              <w:t>平</w:t>
            </w:r>
            <w:r>
              <w:rPr>
                <w:spacing w:val="-3"/>
              </w:rPr>
              <w:t>衡</w:t>
            </w:r>
            <w:r>
              <w:rPr/>
              <w:t>方案</w:t>
              <w:tab/>
            </w:r>
            <w:r>
              <w:rPr>
                <w:rFonts w:ascii="Times New Roman" w:eastAsia="Times New Roman"/>
              </w:rPr>
              <w:t>84</w:t>
            </w:r>
          </w:hyperlink>
        </w:p>
        <w:p>
          <w:pPr>
            <w:pStyle w:val="TOC1"/>
            <w:tabs>
              <w:tab w:pos="9004" w:val="left" w:leader="dot"/>
            </w:tabs>
            <w:spacing w:before="91"/>
            <w:ind w:right="251"/>
            <w:rPr>
              <w:rFonts w:ascii="Times New Roman" w:eastAsia="Times New Roman"/>
            </w:rPr>
          </w:pPr>
          <w:hyperlink w:history="true" w:anchor="_bookmark62">
            <w:r>
              <w:rPr/>
              <w:t>第四章</w:t>
            </w:r>
            <w:r>
              <w:rPr>
                <w:spacing w:val="-2"/>
              </w:rPr>
              <w:t> </w:t>
            </w:r>
            <w:r>
              <w:rPr/>
              <w:t>环境现状调查与</w:t>
            </w:r>
            <w:r>
              <w:rPr>
                <w:spacing w:val="-3"/>
              </w:rPr>
              <w:t>评</w:t>
            </w:r>
            <w:r>
              <w:rPr/>
              <w:t>价</w:t>
            </w:r>
          </w:hyperlink>
          <w:r>
            <w:rPr/>
            <w:tab/>
          </w:r>
          <w:hyperlink w:history="true" w:anchor="_bookmark62">
            <w:r>
              <w:rPr>
                <w:rFonts w:ascii="Times New Roman" w:eastAsia="Times New Roman"/>
                <w:spacing w:val="-1"/>
              </w:rPr>
              <w:t>85</w:t>
            </w:r>
          </w:hyperlink>
        </w:p>
        <w:p>
          <w:pPr>
            <w:pStyle w:val="TOC2"/>
            <w:numPr>
              <w:ilvl w:val="1"/>
              <w:numId w:val="4"/>
            </w:numPr>
            <w:tabs>
              <w:tab w:pos="370" w:val="left" w:leader="none"/>
              <w:tab w:pos="8584" w:val="left" w:leader="dot"/>
            </w:tabs>
            <w:spacing w:line="240" w:lineRule="auto" w:before="89" w:after="0"/>
            <w:ind w:left="1026" w:right="251" w:hanging="1027"/>
            <w:jc w:val="right"/>
            <w:rPr>
              <w:rFonts w:ascii="Times New Roman" w:eastAsia="Times New Roman"/>
            </w:rPr>
          </w:pPr>
          <w:hyperlink w:history="true" w:anchor="_bookmark63">
            <w:r>
              <w:rPr>
                <w:spacing w:val="-3"/>
              </w:rPr>
              <w:t>自</w:t>
            </w:r>
            <w:r>
              <w:rPr/>
              <w:t>然</w:t>
            </w:r>
            <w:r>
              <w:rPr>
                <w:spacing w:val="-3"/>
              </w:rPr>
              <w:t>环</w:t>
            </w:r>
            <w:r>
              <w:rPr/>
              <w:t>境</w:t>
            </w:r>
            <w:r>
              <w:rPr>
                <w:spacing w:val="-3"/>
              </w:rPr>
              <w:t>现</w:t>
            </w:r>
            <w:r>
              <w:rPr/>
              <w:t>状</w:t>
              <w:tab/>
            </w:r>
            <w:r>
              <w:rPr>
                <w:rFonts w:ascii="Times New Roman" w:eastAsia="Times New Roman"/>
                <w:spacing w:val="-1"/>
              </w:rPr>
              <w:t>85</w:t>
            </w:r>
          </w:hyperlink>
        </w:p>
        <w:p>
          <w:pPr>
            <w:pStyle w:val="TOC2"/>
            <w:numPr>
              <w:ilvl w:val="2"/>
              <w:numId w:val="4"/>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64">
            <w:r>
              <w:rPr/>
              <w:t>地</w:t>
            </w:r>
            <w:r>
              <w:rPr>
                <w:spacing w:val="-3"/>
              </w:rPr>
              <w:t>理</w:t>
            </w:r>
            <w:r>
              <w:rPr/>
              <w:t>位置</w:t>
              <w:tab/>
            </w:r>
            <w:r>
              <w:rPr>
                <w:rFonts w:ascii="Times New Roman" w:eastAsia="Times New Roman"/>
                <w:spacing w:val="-1"/>
              </w:rPr>
              <w:t>85</w:t>
            </w:r>
          </w:hyperlink>
        </w:p>
        <w:p>
          <w:pPr>
            <w:pStyle w:val="TOC2"/>
            <w:numPr>
              <w:ilvl w:val="2"/>
              <w:numId w:val="4"/>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65">
            <w:r>
              <w:rPr/>
              <w:t>地</w:t>
            </w:r>
            <w:r>
              <w:rPr>
                <w:spacing w:val="-3"/>
              </w:rPr>
              <w:t>形</w:t>
            </w:r>
            <w:r>
              <w:rPr/>
              <w:t>地</w:t>
            </w:r>
            <w:r>
              <w:rPr>
                <w:spacing w:val="-3"/>
              </w:rPr>
              <w:t>质</w:t>
            </w:r>
            <w:r>
              <w:rPr/>
              <w:t>地貌</w:t>
              <w:tab/>
            </w:r>
            <w:r>
              <w:rPr>
                <w:rFonts w:ascii="Times New Roman" w:eastAsia="Times New Roman"/>
                <w:spacing w:val="-1"/>
              </w:rPr>
              <w:t>87</w:t>
            </w:r>
          </w:hyperlink>
        </w:p>
        <w:p>
          <w:pPr>
            <w:pStyle w:val="TOC2"/>
            <w:numPr>
              <w:ilvl w:val="2"/>
              <w:numId w:val="4"/>
            </w:numPr>
            <w:tabs>
              <w:tab w:pos="526" w:val="left" w:leader="none"/>
              <w:tab w:pos="8164" w:val="left" w:leader="dot"/>
            </w:tabs>
            <w:spacing w:line="240" w:lineRule="auto" w:before="92" w:after="0"/>
            <w:ind w:left="1602" w:right="251" w:hanging="1603"/>
            <w:jc w:val="right"/>
            <w:rPr>
              <w:rFonts w:ascii="Times New Roman" w:eastAsia="Times New Roman"/>
            </w:rPr>
          </w:pPr>
          <w:hyperlink w:history="true" w:anchor="_bookmark66">
            <w:r>
              <w:rPr/>
              <w:t>水</w:t>
            </w:r>
            <w:r>
              <w:rPr>
                <w:spacing w:val="-3"/>
              </w:rPr>
              <w:t>文</w:t>
            </w:r>
            <w:r>
              <w:rPr/>
              <w:t>特征</w:t>
              <w:tab/>
            </w:r>
            <w:r>
              <w:rPr>
                <w:rFonts w:ascii="Times New Roman" w:eastAsia="Times New Roman"/>
                <w:spacing w:val="-1"/>
              </w:rPr>
              <w:t>87</w:t>
            </w:r>
          </w:hyperlink>
        </w:p>
        <w:p>
          <w:pPr>
            <w:pStyle w:val="TOC2"/>
            <w:numPr>
              <w:ilvl w:val="2"/>
              <w:numId w:val="4"/>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67">
            <w:r>
              <w:rPr/>
              <w:t>气</w:t>
            </w:r>
            <w:r>
              <w:rPr>
                <w:spacing w:val="-3"/>
              </w:rPr>
              <w:t>象</w:t>
            </w:r>
            <w:r>
              <w:rPr/>
              <w:t>特征</w:t>
              <w:tab/>
            </w:r>
            <w:r>
              <w:rPr>
                <w:rFonts w:ascii="Times New Roman" w:eastAsia="Times New Roman"/>
                <w:spacing w:val="-1"/>
              </w:rPr>
              <w:t>88</w:t>
            </w:r>
          </w:hyperlink>
        </w:p>
        <w:p>
          <w:pPr>
            <w:pStyle w:val="TOC2"/>
            <w:numPr>
              <w:ilvl w:val="2"/>
              <w:numId w:val="4"/>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68">
            <w:r>
              <w:rPr/>
              <w:t>土</w:t>
            </w:r>
            <w:r>
              <w:rPr>
                <w:spacing w:val="-3"/>
              </w:rPr>
              <w:t>壤</w:t>
            </w:r>
            <w:r>
              <w:rPr/>
              <w:t>植被</w:t>
              <w:tab/>
            </w:r>
            <w:r>
              <w:rPr>
                <w:rFonts w:ascii="Times New Roman" w:eastAsia="Times New Roman"/>
                <w:spacing w:val="-1"/>
              </w:rPr>
              <w:t>89</w:t>
            </w:r>
          </w:hyperlink>
        </w:p>
        <w:p>
          <w:pPr>
            <w:pStyle w:val="TOC2"/>
            <w:numPr>
              <w:ilvl w:val="1"/>
              <w:numId w:val="4"/>
            </w:numPr>
            <w:tabs>
              <w:tab w:pos="370" w:val="left" w:leader="none"/>
              <w:tab w:pos="8584" w:val="left" w:leader="dot"/>
            </w:tabs>
            <w:spacing w:line="240" w:lineRule="auto" w:before="89" w:after="0"/>
            <w:ind w:left="1026" w:right="251" w:hanging="1027"/>
            <w:jc w:val="right"/>
            <w:rPr>
              <w:rFonts w:ascii="Times New Roman" w:eastAsia="Times New Roman"/>
            </w:rPr>
          </w:pPr>
          <w:hyperlink w:history="true" w:anchor="_bookmark69">
            <w:r>
              <w:rPr>
                <w:spacing w:val="-3"/>
              </w:rPr>
              <w:t>绍</w:t>
            </w:r>
            <w:r>
              <w:rPr/>
              <w:t>兴</w:t>
            </w:r>
            <w:r>
              <w:rPr>
                <w:spacing w:val="-3"/>
              </w:rPr>
              <w:t>市</w:t>
            </w:r>
            <w:r>
              <w:rPr/>
              <w:t>污</w:t>
            </w:r>
            <w:r>
              <w:rPr>
                <w:spacing w:val="-3"/>
              </w:rPr>
              <w:t>水</w:t>
            </w:r>
            <w:r>
              <w:rPr/>
              <w:t>处</w:t>
            </w:r>
            <w:r>
              <w:rPr>
                <w:spacing w:val="-3"/>
              </w:rPr>
              <w:t>理</w:t>
            </w:r>
            <w:r>
              <w:rPr/>
              <w:t>厂</w:t>
            </w:r>
            <w:r>
              <w:rPr>
                <w:spacing w:val="-3"/>
              </w:rPr>
              <w:t>概</w:t>
            </w:r>
            <w:r>
              <w:rPr/>
              <w:t>况</w:t>
              <w:tab/>
            </w:r>
            <w:r>
              <w:rPr>
                <w:rFonts w:ascii="Times New Roman" w:eastAsia="Times New Roman"/>
                <w:spacing w:val="-1"/>
              </w:rPr>
              <w:t>89</w:t>
            </w:r>
          </w:hyperlink>
        </w:p>
        <w:p>
          <w:pPr>
            <w:pStyle w:val="TOC2"/>
            <w:numPr>
              <w:ilvl w:val="1"/>
              <w:numId w:val="4"/>
            </w:numPr>
            <w:tabs>
              <w:tab w:pos="370" w:val="left" w:leader="none"/>
              <w:tab w:pos="8584" w:val="left" w:leader="dot"/>
            </w:tabs>
            <w:spacing w:line="240" w:lineRule="auto" w:before="91" w:after="0"/>
            <w:ind w:left="1026" w:right="251" w:hanging="1027"/>
            <w:jc w:val="right"/>
            <w:rPr>
              <w:rFonts w:ascii="Times New Roman" w:eastAsia="Times New Roman"/>
            </w:rPr>
          </w:pPr>
          <w:hyperlink w:history="true" w:anchor="_bookmark70">
            <w:r>
              <w:rPr>
                <w:spacing w:val="-3"/>
              </w:rPr>
              <w:t>环</w:t>
            </w:r>
            <w:r>
              <w:rPr/>
              <w:t>境</w:t>
            </w:r>
            <w:r>
              <w:rPr>
                <w:spacing w:val="-3"/>
              </w:rPr>
              <w:t>现</w:t>
            </w:r>
            <w:r>
              <w:rPr/>
              <w:t>状</w:t>
            </w:r>
            <w:r>
              <w:rPr>
                <w:spacing w:val="-3"/>
              </w:rPr>
              <w:t>调</w:t>
            </w:r>
            <w:r>
              <w:rPr/>
              <w:t>查</w:t>
            </w:r>
            <w:r>
              <w:rPr>
                <w:spacing w:val="-3"/>
              </w:rPr>
              <w:t>与</w:t>
            </w:r>
            <w:r>
              <w:rPr/>
              <w:t>评价</w:t>
              <w:tab/>
            </w:r>
            <w:r>
              <w:rPr>
                <w:rFonts w:ascii="Times New Roman" w:eastAsia="Times New Roman"/>
                <w:spacing w:val="-1"/>
              </w:rPr>
              <w:t>90</w:t>
            </w:r>
          </w:hyperlink>
        </w:p>
        <w:p>
          <w:pPr>
            <w:pStyle w:val="TOC2"/>
            <w:numPr>
              <w:ilvl w:val="2"/>
              <w:numId w:val="4"/>
            </w:numPr>
            <w:tabs>
              <w:tab w:pos="526" w:val="left" w:leader="none"/>
              <w:tab w:pos="8164" w:val="left" w:leader="dot"/>
            </w:tabs>
            <w:spacing w:line="240" w:lineRule="auto" w:before="88" w:after="0"/>
            <w:ind w:left="1602" w:right="251" w:hanging="1603"/>
            <w:jc w:val="right"/>
            <w:rPr>
              <w:rFonts w:ascii="Times New Roman" w:eastAsia="Times New Roman"/>
            </w:rPr>
          </w:pPr>
          <w:hyperlink w:history="true" w:anchor="_bookmark71">
            <w:r>
              <w:rPr/>
              <w:t>环</w:t>
            </w:r>
            <w:r>
              <w:rPr>
                <w:spacing w:val="-3"/>
              </w:rPr>
              <w:t>境</w:t>
            </w:r>
            <w:r>
              <w:rPr/>
              <w:t>空</w:t>
            </w:r>
            <w:r>
              <w:rPr>
                <w:spacing w:val="-3"/>
              </w:rPr>
              <w:t>气</w:t>
            </w:r>
            <w:r>
              <w:rPr/>
              <w:t>质</w:t>
            </w:r>
            <w:r>
              <w:rPr>
                <w:spacing w:val="-3"/>
              </w:rPr>
              <w:t>量</w:t>
            </w:r>
            <w:r>
              <w:rPr/>
              <w:t>现</w:t>
            </w:r>
            <w:r>
              <w:rPr>
                <w:spacing w:val="-3"/>
              </w:rPr>
              <w:t>状监</w:t>
            </w:r>
            <w:r>
              <w:rPr/>
              <w:t>测与</w:t>
            </w:r>
            <w:r>
              <w:rPr>
                <w:spacing w:val="-3"/>
              </w:rPr>
              <w:t>评</w:t>
            </w:r>
            <w:r>
              <w:rPr/>
              <w:t>价</w:t>
              <w:tab/>
            </w:r>
            <w:r>
              <w:rPr>
                <w:rFonts w:ascii="Times New Roman" w:eastAsia="Times New Roman"/>
                <w:spacing w:val="-1"/>
              </w:rPr>
              <w:t>90</w:t>
            </w:r>
          </w:hyperlink>
        </w:p>
        <w:p>
          <w:pPr>
            <w:pStyle w:val="TOC2"/>
            <w:numPr>
              <w:ilvl w:val="2"/>
              <w:numId w:val="4"/>
            </w:numPr>
            <w:tabs>
              <w:tab w:pos="526" w:val="left" w:leader="none"/>
              <w:tab w:pos="8164" w:val="left" w:leader="dot"/>
            </w:tabs>
            <w:spacing w:line="240" w:lineRule="auto" w:before="91" w:after="0"/>
            <w:ind w:left="1602" w:right="251" w:hanging="1603"/>
            <w:jc w:val="right"/>
            <w:rPr>
              <w:rFonts w:ascii="Times New Roman" w:eastAsia="Times New Roman"/>
            </w:rPr>
          </w:pPr>
          <w:hyperlink w:history="true" w:anchor="_bookmark72">
            <w:r>
              <w:rPr/>
              <w:t>地</w:t>
            </w:r>
            <w:r>
              <w:rPr>
                <w:spacing w:val="-3"/>
              </w:rPr>
              <w:t>表</w:t>
            </w:r>
            <w:r>
              <w:rPr/>
              <w:t>水</w:t>
            </w:r>
            <w:r>
              <w:rPr>
                <w:spacing w:val="-3"/>
              </w:rPr>
              <w:t>环</w:t>
            </w:r>
            <w:r>
              <w:rPr/>
              <w:t>境</w:t>
            </w:r>
            <w:r>
              <w:rPr>
                <w:spacing w:val="-3"/>
              </w:rPr>
              <w:t>质</w:t>
            </w:r>
            <w:r>
              <w:rPr/>
              <w:t>量</w:t>
            </w:r>
            <w:r>
              <w:rPr>
                <w:spacing w:val="-3"/>
              </w:rPr>
              <w:t>现状</w:t>
            </w:r>
            <w:r>
              <w:rPr/>
              <w:t>监测</w:t>
            </w:r>
            <w:r>
              <w:rPr>
                <w:spacing w:val="-3"/>
              </w:rPr>
              <w:t>与</w:t>
            </w:r>
            <w:r>
              <w:rPr/>
              <w:t>评价</w:t>
              <w:tab/>
            </w:r>
            <w:r>
              <w:rPr>
                <w:rFonts w:ascii="Times New Roman" w:eastAsia="Times New Roman"/>
                <w:spacing w:val="-1"/>
              </w:rPr>
              <w:t>93</w:t>
            </w:r>
          </w:hyperlink>
        </w:p>
        <w:p>
          <w:pPr>
            <w:pStyle w:val="TOC2"/>
            <w:numPr>
              <w:ilvl w:val="2"/>
              <w:numId w:val="4"/>
            </w:numPr>
            <w:tabs>
              <w:tab w:pos="526" w:val="left" w:leader="none"/>
              <w:tab w:pos="8164" w:val="left" w:leader="dot"/>
            </w:tabs>
            <w:spacing w:line="240" w:lineRule="auto" w:before="89" w:after="0"/>
            <w:ind w:left="1602" w:right="251" w:hanging="1603"/>
            <w:jc w:val="right"/>
            <w:rPr>
              <w:rFonts w:ascii="Times New Roman" w:eastAsia="Times New Roman"/>
            </w:rPr>
          </w:pPr>
          <w:hyperlink w:history="true" w:anchor="_bookmark73">
            <w:r>
              <w:rPr/>
              <w:t>地</w:t>
            </w:r>
            <w:r>
              <w:rPr>
                <w:spacing w:val="-3"/>
              </w:rPr>
              <w:t>下</w:t>
            </w:r>
            <w:r>
              <w:rPr/>
              <w:t>水</w:t>
            </w:r>
            <w:r>
              <w:rPr>
                <w:spacing w:val="-3"/>
              </w:rPr>
              <w:t>环</w:t>
            </w:r>
            <w:r>
              <w:rPr/>
              <w:t>境</w:t>
            </w:r>
            <w:r>
              <w:rPr>
                <w:spacing w:val="-3"/>
              </w:rPr>
              <w:t>质</w:t>
            </w:r>
            <w:r>
              <w:rPr/>
              <w:t>量</w:t>
            </w:r>
            <w:r>
              <w:rPr>
                <w:spacing w:val="-3"/>
              </w:rPr>
              <w:t>现状</w:t>
            </w:r>
            <w:r>
              <w:rPr/>
              <w:t>监测</w:t>
            </w:r>
            <w:r>
              <w:rPr>
                <w:spacing w:val="-3"/>
              </w:rPr>
              <w:t>与</w:t>
            </w:r>
            <w:r>
              <w:rPr/>
              <w:t>评价</w:t>
              <w:tab/>
            </w:r>
            <w:r>
              <w:rPr>
                <w:rFonts w:ascii="Times New Roman" w:eastAsia="Times New Roman"/>
                <w:spacing w:val="-1"/>
              </w:rPr>
              <w:t>95</w:t>
            </w:r>
          </w:hyperlink>
        </w:p>
        <w:p>
          <w:pPr>
            <w:pStyle w:val="TOC2"/>
            <w:numPr>
              <w:ilvl w:val="2"/>
              <w:numId w:val="4"/>
            </w:numPr>
            <w:tabs>
              <w:tab w:pos="526" w:val="left" w:leader="none"/>
              <w:tab w:pos="8164" w:val="left" w:leader="dot"/>
            </w:tabs>
            <w:spacing w:line="240" w:lineRule="auto" w:before="91" w:after="94"/>
            <w:ind w:left="1602" w:right="251" w:hanging="1603"/>
            <w:jc w:val="right"/>
            <w:rPr>
              <w:rFonts w:ascii="Times New Roman" w:eastAsia="Times New Roman"/>
            </w:rPr>
          </w:pPr>
          <w:hyperlink w:history="true" w:anchor="_bookmark74">
            <w:r>
              <w:rPr/>
              <w:t>土</w:t>
            </w:r>
            <w:r>
              <w:rPr>
                <w:spacing w:val="-3"/>
              </w:rPr>
              <w:t>壤</w:t>
            </w:r>
            <w:r>
              <w:rPr/>
              <w:t>环</w:t>
            </w:r>
            <w:r>
              <w:rPr>
                <w:spacing w:val="-3"/>
              </w:rPr>
              <w:t>境</w:t>
            </w:r>
            <w:r>
              <w:rPr/>
              <w:t>质</w:t>
            </w:r>
            <w:r>
              <w:rPr>
                <w:spacing w:val="-3"/>
              </w:rPr>
              <w:t>量</w:t>
            </w:r>
            <w:r>
              <w:rPr/>
              <w:t>现</w:t>
            </w:r>
            <w:r>
              <w:rPr>
                <w:spacing w:val="-3"/>
              </w:rPr>
              <w:t>状监</w:t>
            </w:r>
            <w:r>
              <w:rPr/>
              <w:t>测与</w:t>
            </w:r>
            <w:r>
              <w:rPr>
                <w:spacing w:val="-3"/>
              </w:rPr>
              <w:t>评</w:t>
            </w:r>
            <w:r>
              <w:rPr/>
              <w:t>价</w:t>
              <w:tab/>
            </w:r>
            <w:r>
              <w:rPr>
                <w:rFonts w:ascii="Times New Roman" w:eastAsia="Times New Roman"/>
                <w:spacing w:val="-1"/>
              </w:rPr>
              <w:t>99</w:t>
            </w:r>
          </w:hyperlink>
        </w:p>
        <w:p>
          <w:pPr>
            <w:pStyle w:val="TOC4"/>
            <w:numPr>
              <w:ilvl w:val="2"/>
              <w:numId w:val="4"/>
            </w:numPr>
            <w:tabs>
              <w:tab w:pos="1603" w:val="left" w:leader="none"/>
              <w:tab w:pos="9138" w:val="left" w:leader="dot"/>
            </w:tabs>
            <w:spacing w:line="240" w:lineRule="auto" w:before="84" w:after="0"/>
            <w:ind w:left="1602" w:right="0" w:hanging="526"/>
            <w:jc w:val="left"/>
            <w:rPr>
              <w:rFonts w:ascii="Times New Roman" w:eastAsia="Times New Roman"/>
            </w:rPr>
          </w:pPr>
          <w:hyperlink w:history="true" w:anchor="_bookmark75">
            <w:r>
              <w:rPr/>
              <w:t>声</w:t>
            </w:r>
            <w:r>
              <w:rPr>
                <w:spacing w:val="-3"/>
              </w:rPr>
              <w:t>环</w:t>
            </w:r>
            <w:r>
              <w:rPr/>
              <w:t>境</w:t>
            </w:r>
            <w:r>
              <w:rPr>
                <w:spacing w:val="-3"/>
              </w:rPr>
              <w:t>质</w:t>
            </w:r>
            <w:r>
              <w:rPr/>
              <w:t>量</w:t>
            </w:r>
            <w:r>
              <w:rPr>
                <w:spacing w:val="-3"/>
              </w:rPr>
              <w:t>现</w:t>
            </w:r>
            <w:r>
              <w:rPr/>
              <w:t>状</w:t>
            </w:r>
            <w:r>
              <w:rPr>
                <w:spacing w:val="-3"/>
              </w:rPr>
              <w:t>监测</w:t>
            </w:r>
            <w:r>
              <w:rPr/>
              <w:t>与评价</w:t>
              <w:tab/>
            </w:r>
            <w:r>
              <w:rPr>
                <w:rFonts w:ascii="Times New Roman" w:eastAsia="Times New Roman"/>
              </w:rPr>
              <w:t>102</w:t>
            </w:r>
          </w:hyperlink>
        </w:p>
        <w:p>
          <w:pPr>
            <w:pStyle w:val="TOC4"/>
            <w:numPr>
              <w:ilvl w:val="2"/>
              <w:numId w:val="4"/>
            </w:numPr>
            <w:tabs>
              <w:tab w:pos="1603" w:val="left" w:leader="none"/>
              <w:tab w:pos="9138" w:val="left" w:leader="dot"/>
            </w:tabs>
            <w:spacing w:line="240" w:lineRule="auto" w:before="89" w:after="0"/>
            <w:ind w:left="1602" w:right="0" w:hanging="526"/>
            <w:jc w:val="left"/>
            <w:rPr>
              <w:rFonts w:ascii="Times New Roman" w:eastAsia="Times New Roman"/>
            </w:rPr>
          </w:pPr>
          <w:hyperlink w:history="true" w:anchor="_bookmark76">
            <w:r>
              <w:rPr/>
              <w:t>生</w:t>
            </w:r>
            <w:r>
              <w:rPr>
                <w:spacing w:val="-3"/>
              </w:rPr>
              <w:t>态</w:t>
            </w:r>
            <w:r>
              <w:rPr/>
              <w:t>环境质</w:t>
            </w:r>
            <w:r>
              <w:rPr>
                <w:spacing w:val="-3"/>
              </w:rPr>
              <w:t>量</w:t>
            </w:r>
            <w:r>
              <w:rPr/>
              <w:t>现</w:t>
            </w:r>
            <w:r>
              <w:rPr>
                <w:spacing w:val="-3"/>
              </w:rPr>
              <w:t>状调查</w:t>
              <w:tab/>
            </w:r>
            <w:r>
              <w:rPr>
                <w:rFonts w:ascii="Times New Roman" w:eastAsia="Times New Roman"/>
              </w:rPr>
              <w:t>103</w:t>
            </w:r>
          </w:hyperlink>
        </w:p>
        <w:p>
          <w:pPr>
            <w:pStyle w:val="TOC3"/>
            <w:numPr>
              <w:ilvl w:val="1"/>
              <w:numId w:val="4"/>
            </w:numPr>
            <w:tabs>
              <w:tab w:pos="1027" w:val="left" w:leader="none"/>
              <w:tab w:pos="9138" w:val="left" w:leader="dot"/>
            </w:tabs>
            <w:spacing w:line="240" w:lineRule="auto" w:before="90" w:after="0"/>
            <w:ind w:left="1026" w:right="0" w:hanging="370"/>
            <w:jc w:val="left"/>
            <w:rPr>
              <w:rFonts w:ascii="Times New Roman" w:eastAsia="Times New Roman"/>
            </w:rPr>
          </w:pPr>
          <w:hyperlink w:history="true" w:anchor="_bookmark77">
            <w:r>
              <w:rPr>
                <w:spacing w:val="-3"/>
              </w:rPr>
              <w:t>周</w:t>
            </w:r>
            <w:r>
              <w:rPr/>
              <w:t>边</w:t>
            </w:r>
            <w:r>
              <w:rPr>
                <w:spacing w:val="-3"/>
              </w:rPr>
              <w:t>污</w:t>
            </w:r>
            <w:r>
              <w:rPr/>
              <w:t>染</w:t>
            </w:r>
            <w:r>
              <w:rPr>
                <w:spacing w:val="-3"/>
              </w:rPr>
              <w:t>源</w:t>
            </w:r>
            <w:r>
              <w:rPr/>
              <w:t>调查</w:t>
              <w:tab/>
            </w:r>
            <w:r>
              <w:rPr>
                <w:rFonts w:ascii="Times New Roman" w:eastAsia="Times New Roman"/>
              </w:rPr>
              <w:t>103</w:t>
            </w:r>
          </w:hyperlink>
        </w:p>
        <w:p>
          <w:pPr>
            <w:pStyle w:val="TOC1"/>
            <w:tabs>
              <w:tab w:pos="8901" w:val="left" w:leader="dot"/>
            </w:tabs>
            <w:spacing w:before="89"/>
            <w:rPr>
              <w:rFonts w:ascii="Times New Roman" w:eastAsia="Times New Roman"/>
            </w:rPr>
          </w:pPr>
          <w:hyperlink w:history="true" w:anchor="_bookmark78">
            <w:r>
              <w:rPr/>
              <w:t>第五章</w:t>
            </w:r>
            <w:r>
              <w:rPr>
                <w:spacing w:val="-2"/>
              </w:rPr>
              <w:t> </w:t>
            </w:r>
            <w:r>
              <w:rPr/>
              <w:t>环境影响预测与</w:t>
            </w:r>
            <w:r>
              <w:rPr>
                <w:spacing w:val="-3"/>
              </w:rPr>
              <w:t>评</w:t>
            </w:r>
            <w:r>
              <w:rPr/>
              <w:t>价</w:t>
            </w:r>
          </w:hyperlink>
          <w:r>
            <w:rPr/>
            <w:tab/>
          </w:r>
          <w:hyperlink w:history="true" w:anchor="_bookmark78">
            <w:r>
              <w:rPr>
                <w:rFonts w:ascii="Times New Roman" w:eastAsia="Times New Roman"/>
              </w:rPr>
              <w:t>104</w:t>
            </w:r>
          </w:hyperlink>
        </w:p>
        <w:p>
          <w:pPr>
            <w:pStyle w:val="TOC2"/>
            <w:numPr>
              <w:ilvl w:val="1"/>
              <w:numId w:val="5"/>
            </w:numPr>
            <w:tabs>
              <w:tab w:pos="370" w:val="left" w:leader="none"/>
              <w:tab w:pos="8481" w:val="left" w:leader="dot"/>
            </w:tabs>
            <w:spacing w:line="240" w:lineRule="auto" w:before="91" w:after="0"/>
            <w:ind w:left="1026" w:right="249" w:hanging="1027"/>
            <w:jc w:val="right"/>
            <w:rPr>
              <w:rFonts w:ascii="Times New Roman" w:eastAsia="Times New Roman"/>
            </w:rPr>
          </w:pPr>
          <w:hyperlink w:history="true" w:anchor="_bookmark79">
            <w:r>
              <w:rPr>
                <w:spacing w:val="-3"/>
              </w:rPr>
              <w:t>施</w:t>
            </w:r>
            <w:r>
              <w:rPr/>
              <w:t>工</w:t>
            </w:r>
            <w:r>
              <w:rPr>
                <w:spacing w:val="-3"/>
              </w:rPr>
              <w:t>期</w:t>
            </w:r>
            <w:r>
              <w:rPr/>
              <w:t>环</w:t>
            </w:r>
            <w:r>
              <w:rPr>
                <w:spacing w:val="-3"/>
              </w:rPr>
              <w:t>境</w:t>
            </w:r>
            <w:r>
              <w:rPr/>
              <w:t>影</w:t>
            </w:r>
            <w:r>
              <w:rPr>
                <w:spacing w:val="-3"/>
              </w:rPr>
              <w:t>响</w:t>
            </w:r>
            <w:r>
              <w:rPr/>
              <w:t>分析</w:t>
              <w:tab/>
            </w:r>
            <w:r>
              <w:rPr>
                <w:rFonts w:ascii="Times New Roman" w:eastAsia="Times New Roman"/>
              </w:rPr>
              <w:t>104</w:t>
            </w:r>
          </w:hyperlink>
        </w:p>
        <w:p>
          <w:pPr>
            <w:pStyle w:val="TOC2"/>
            <w:numPr>
              <w:ilvl w:val="2"/>
              <w:numId w:val="5"/>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80">
            <w:r>
              <w:rPr/>
              <w:t>施</w:t>
            </w:r>
            <w:r>
              <w:rPr>
                <w:spacing w:val="-3"/>
              </w:rPr>
              <w:t>工</w:t>
            </w:r>
            <w:r>
              <w:rPr/>
              <w:t>期</w:t>
            </w:r>
            <w:r>
              <w:rPr>
                <w:spacing w:val="-3"/>
              </w:rPr>
              <w:t>水</w:t>
            </w:r>
            <w:r>
              <w:rPr/>
              <w:t>环</w:t>
            </w:r>
            <w:r>
              <w:rPr>
                <w:spacing w:val="-3"/>
              </w:rPr>
              <w:t>境</w:t>
            </w:r>
            <w:r>
              <w:rPr/>
              <w:t>影</w:t>
            </w:r>
            <w:r>
              <w:rPr>
                <w:spacing w:val="-3"/>
              </w:rPr>
              <w:t>响分</w:t>
            </w:r>
            <w:r>
              <w:rPr/>
              <w:t>析</w:t>
              <w:tab/>
            </w:r>
            <w:r>
              <w:rPr>
                <w:rFonts w:ascii="Times New Roman" w:eastAsia="Times New Roman"/>
              </w:rPr>
              <w:t>104</w:t>
            </w:r>
          </w:hyperlink>
        </w:p>
        <w:p>
          <w:pPr>
            <w:pStyle w:val="TOC2"/>
            <w:numPr>
              <w:ilvl w:val="2"/>
              <w:numId w:val="5"/>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81">
            <w:r>
              <w:rPr/>
              <w:t>施</w:t>
            </w:r>
            <w:r>
              <w:rPr>
                <w:spacing w:val="-3"/>
              </w:rPr>
              <w:t>工</w:t>
            </w:r>
            <w:r>
              <w:rPr/>
              <w:t>期</w:t>
            </w:r>
            <w:r>
              <w:rPr>
                <w:spacing w:val="-3"/>
              </w:rPr>
              <w:t>环</w:t>
            </w:r>
            <w:r>
              <w:rPr/>
              <w:t>境</w:t>
            </w:r>
            <w:r>
              <w:rPr>
                <w:spacing w:val="-3"/>
              </w:rPr>
              <w:t>空</w:t>
            </w:r>
            <w:r>
              <w:rPr/>
              <w:t>气</w:t>
            </w:r>
            <w:r>
              <w:rPr>
                <w:spacing w:val="-3"/>
              </w:rPr>
              <w:t>影响</w:t>
            </w:r>
            <w:r>
              <w:rPr/>
              <w:t>分析</w:t>
              <w:tab/>
            </w:r>
            <w:r>
              <w:rPr>
                <w:rFonts w:ascii="Times New Roman" w:eastAsia="Times New Roman"/>
              </w:rPr>
              <w:t>104</w:t>
            </w:r>
          </w:hyperlink>
        </w:p>
        <w:p>
          <w:pPr>
            <w:pStyle w:val="TOC2"/>
            <w:numPr>
              <w:ilvl w:val="2"/>
              <w:numId w:val="5"/>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82">
            <w:r>
              <w:rPr/>
              <w:t>施</w:t>
            </w:r>
            <w:r>
              <w:rPr>
                <w:spacing w:val="-3"/>
              </w:rPr>
              <w:t>工</w:t>
            </w:r>
            <w:r>
              <w:rPr/>
              <w:t>期</w:t>
            </w:r>
            <w:r>
              <w:rPr>
                <w:spacing w:val="-3"/>
              </w:rPr>
              <w:t>噪</w:t>
            </w:r>
            <w:r>
              <w:rPr/>
              <w:t>声</w:t>
            </w:r>
            <w:r>
              <w:rPr>
                <w:spacing w:val="-3"/>
              </w:rPr>
              <w:t>环</w:t>
            </w:r>
            <w:r>
              <w:rPr/>
              <w:t>境</w:t>
            </w:r>
            <w:r>
              <w:rPr>
                <w:spacing w:val="-3"/>
              </w:rPr>
              <w:t>影响</w:t>
            </w:r>
            <w:r>
              <w:rPr/>
              <w:t>分析</w:t>
              <w:tab/>
            </w:r>
            <w:r>
              <w:rPr>
                <w:rFonts w:ascii="Times New Roman" w:eastAsia="Times New Roman"/>
              </w:rPr>
              <w:t>105</w:t>
            </w:r>
          </w:hyperlink>
        </w:p>
        <w:p>
          <w:pPr>
            <w:pStyle w:val="TOC2"/>
            <w:numPr>
              <w:ilvl w:val="2"/>
              <w:numId w:val="5"/>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83">
            <w:r>
              <w:rPr/>
              <w:t>施</w:t>
            </w:r>
            <w:r>
              <w:rPr>
                <w:spacing w:val="-3"/>
              </w:rPr>
              <w:t>工</w:t>
            </w:r>
            <w:r>
              <w:rPr/>
              <w:t>期</w:t>
            </w:r>
            <w:r>
              <w:rPr>
                <w:spacing w:val="-3"/>
              </w:rPr>
              <w:t>固</w:t>
            </w:r>
            <w:r>
              <w:rPr/>
              <w:t>体</w:t>
            </w:r>
            <w:r>
              <w:rPr>
                <w:spacing w:val="-3"/>
              </w:rPr>
              <w:t>废</w:t>
            </w:r>
            <w:r>
              <w:rPr/>
              <w:t>物</w:t>
            </w:r>
            <w:r>
              <w:rPr>
                <w:spacing w:val="-3"/>
              </w:rPr>
              <w:t>环境</w:t>
            </w:r>
            <w:r>
              <w:rPr/>
              <w:t>影响</w:t>
            </w:r>
            <w:r>
              <w:rPr>
                <w:spacing w:val="-3"/>
              </w:rPr>
              <w:t>分</w:t>
            </w:r>
            <w:r>
              <w:rPr/>
              <w:t>析</w:t>
              <w:tab/>
            </w:r>
            <w:r>
              <w:rPr>
                <w:rFonts w:ascii="Times New Roman" w:eastAsia="Times New Roman"/>
              </w:rPr>
              <w:t>108</w:t>
            </w:r>
          </w:hyperlink>
        </w:p>
        <w:p>
          <w:pPr>
            <w:pStyle w:val="TOC2"/>
            <w:numPr>
              <w:ilvl w:val="2"/>
              <w:numId w:val="5"/>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84">
            <w:r>
              <w:rPr/>
              <w:t>施</w:t>
            </w:r>
            <w:r>
              <w:rPr>
                <w:spacing w:val="-3"/>
              </w:rPr>
              <w:t>工</w:t>
            </w:r>
            <w:r>
              <w:rPr/>
              <w:t>期</w:t>
            </w:r>
            <w:r>
              <w:rPr>
                <w:spacing w:val="-3"/>
              </w:rPr>
              <w:t>生</w:t>
            </w:r>
            <w:r>
              <w:rPr/>
              <w:t>态</w:t>
            </w:r>
            <w:r>
              <w:rPr>
                <w:spacing w:val="-3"/>
              </w:rPr>
              <w:t>环</w:t>
            </w:r>
            <w:r>
              <w:rPr/>
              <w:t>境</w:t>
            </w:r>
            <w:r>
              <w:rPr>
                <w:spacing w:val="-3"/>
              </w:rPr>
              <w:t>影响</w:t>
            </w:r>
            <w:r>
              <w:rPr/>
              <w:t>分析</w:t>
              <w:tab/>
            </w:r>
            <w:r>
              <w:rPr>
                <w:rFonts w:ascii="Times New Roman" w:eastAsia="Times New Roman"/>
              </w:rPr>
              <w:t>108</w:t>
            </w:r>
          </w:hyperlink>
        </w:p>
        <w:p>
          <w:pPr>
            <w:pStyle w:val="TOC2"/>
            <w:numPr>
              <w:ilvl w:val="1"/>
              <w:numId w:val="5"/>
            </w:numPr>
            <w:tabs>
              <w:tab w:pos="370" w:val="left" w:leader="none"/>
              <w:tab w:pos="8481" w:val="left" w:leader="dot"/>
            </w:tabs>
            <w:spacing w:line="240" w:lineRule="auto" w:before="92" w:after="0"/>
            <w:ind w:left="1026" w:right="249" w:hanging="1027"/>
            <w:jc w:val="right"/>
            <w:rPr>
              <w:rFonts w:ascii="Times New Roman" w:eastAsia="Times New Roman"/>
            </w:rPr>
          </w:pPr>
          <w:hyperlink w:history="true" w:anchor="_bookmark85">
            <w:r>
              <w:rPr>
                <w:spacing w:val="-3"/>
              </w:rPr>
              <w:t>运</w:t>
            </w:r>
            <w:r>
              <w:rPr/>
              <w:t>营</w:t>
            </w:r>
            <w:r>
              <w:rPr>
                <w:spacing w:val="-3"/>
              </w:rPr>
              <w:t>期</w:t>
            </w:r>
            <w:r>
              <w:rPr/>
              <w:t>环</w:t>
            </w:r>
            <w:r>
              <w:rPr>
                <w:spacing w:val="-3"/>
              </w:rPr>
              <w:t>境</w:t>
            </w:r>
            <w:r>
              <w:rPr/>
              <w:t>影</w:t>
            </w:r>
            <w:r>
              <w:rPr>
                <w:spacing w:val="-3"/>
              </w:rPr>
              <w:t>响</w:t>
            </w:r>
            <w:r>
              <w:rPr/>
              <w:t>分析</w:t>
              <w:tab/>
            </w:r>
            <w:r>
              <w:rPr>
                <w:rFonts w:ascii="Times New Roman" w:eastAsia="Times New Roman"/>
              </w:rPr>
              <w:t>109</w:t>
            </w:r>
          </w:hyperlink>
        </w:p>
        <w:p>
          <w:pPr>
            <w:pStyle w:val="TOC2"/>
            <w:numPr>
              <w:ilvl w:val="2"/>
              <w:numId w:val="5"/>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86">
            <w:r>
              <w:rPr/>
              <w:t>地</w:t>
            </w:r>
            <w:r>
              <w:rPr>
                <w:spacing w:val="-3"/>
              </w:rPr>
              <w:t>表</w:t>
            </w:r>
            <w:r>
              <w:rPr/>
              <w:t>水</w:t>
            </w:r>
            <w:r>
              <w:rPr>
                <w:spacing w:val="-3"/>
              </w:rPr>
              <w:t>环</w:t>
            </w:r>
            <w:r>
              <w:rPr/>
              <w:t>境</w:t>
            </w:r>
            <w:r>
              <w:rPr>
                <w:spacing w:val="-3"/>
              </w:rPr>
              <w:t>影</w:t>
            </w:r>
            <w:r>
              <w:rPr/>
              <w:t>响</w:t>
            </w:r>
            <w:r>
              <w:rPr>
                <w:spacing w:val="-3"/>
              </w:rPr>
              <w:t>预测</w:t>
            </w:r>
            <w:r>
              <w:rPr/>
              <w:t>与评价</w:t>
              <w:tab/>
            </w:r>
            <w:r>
              <w:rPr>
                <w:rFonts w:ascii="Times New Roman" w:eastAsia="Times New Roman"/>
              </w:rPr>
              <w:t>109</w:t>
            </w:r>
          </w:hyperlink>
        </w:p>
        <w:p>
          <w:pPr>
            <w:pStyle w:val="TOC2"/>
            <w:numPr>
              <w:ilvl w:val="2"/>
              <w:numId w:val="5"/>
            </w:numPr>
            <w:tabs>
              <w:tab w:pos="526" w:val="left" w:leader="none"/>
              <w:tab w:pos="8068" w:val="left" w:leader="dot"/>
            </w:tabs>
            <w:spacing w:line="240" w:lineRule="auto" w:before="91" w:after="0"/>
            <w:ind w:left="1602" w:right="249" w:hanging="1603"/>
            <w:jc w:val="right"/>
            <w:rPr>
              <w:rFonts w:ascii="Times New Roman" w:eastAsia="Times New Roman"/>
            </w:rPr>
          </w:pPr>
          <w:hyperlink w:history="true" w:anchor="_bookmark87">
            <w:r>
              <w:rPr/>
              <w:t>地</w:t>
            </w:r>
            <w:r>
              <w:rPr>
                <w:spacing w:val="-3"/>
              </w:rPr>
              <w:t>下</w:t>
            </w:r>
            <w:r>
              <w:rPr/>
              <w:t>水</w:t>
            </w:r>
            <w:r>
              <w:rPr>
                <w:spacing w:val="-3"/>
              </w:rPr>
              <w:t>环</w:t>
            </w:r>
            <w:r>
              <w:rPr/>
              <w:t>境</w:t>
            </w:r>
            <w:r>
              <w:rPr>
                <w:spacing w:val="-3"/>
              </w:rPr>
              <w:t>影</w:t>
            </w:r>
            <w:r>
              <w:rPr/>
              <w:t>响</w:t>
            </w:r>
            <w:r>
              <w:rPr>
                <w:spacing w:val="-3"/>
              </w:rPr>
              <w:t>预测</w:t>
            </w:r>
            <w:r>
              <w:rPr/>
              <w:t>与评价</w:t>
              <w:tab/>
            </w:r>
            <w:r>
              <w:rPr>
                <w:rFonts w:ascii="Times New Roman" w:eastAsia="Times New Roman"/>
                <w:spacing w:val="-3"/>
              </w:rPr>
              <w:t>112</w:t>
            </w:r>
          </w:hyperlink>
        </w:p>
        <w:p>
          <w:pPr>
            <w:pStyle w:val="TOC2"/>
            <w:numPr>
              <w:ilvl w:val="2"/>
              <w:numId w:val="5"/>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88">
            <w:r>
              <w:rPr/>
              <w:t>大</w:t>
            </w:r>
            <w:r>
              <w:rPr>
                <w:spacing w:val="-3"/>
              </w:rPr>
              <w:t>气</w:t>
            </w:r>
            <w:r>
              <w:rPr/>
              <w:t>环</w:t>
            </w:r>
            <w:r>
              <w:rPr>
                <w:spacing w:val="-3"/>
              </w:rPr>
              <w:t>境</w:t>
            </w:r>
            <w:r>
              <w:rPr/>
              <w:t>影</w:t>
            </w:r>
            <w:r>
              <w:rPr>
                <w:spacing w:val="-3"/>
              </w:rPr>
              <w:t>响</w:t>
            </w:r>
            <w:r>
              <w:rPr/>
              <w:t>预</w:t>
            </w:r>
            <w:r>
              <w:rPr>
                <w:spacing w:val="-3"/>
              </w:rPr>
              <w:t>测与</w:t>
            </w:r>
            <w:r>
              <w:rPr/>
              <w:t>评价</w:t>
              <w:tab/>
            </w:r>
            <w:r>
              <w:rPr>
                <w:rFonts w:ascii="Times New Roman" w:eastAsia="Times New Roman"/>
              </w:rPr>
              <w:t>123</w:t>
            </w:r>
          </w:hyperlink>
        </w:p>
        <w:p>
          <w:pPr>
            <w:pStyle w:val="TOC2"/>
            <w:numPr>
              <w:ilvl w:val="2"/>
              <w:numId w:val="5"/>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89">
            <w:r>
              <w:rPr/>
              <w:t>固</w:t>
            </w:r>
            <w:r>
              <w:rPr>
                <w:spacing w:val="-3"/>
              </w:rPr>
              <w:t>体</w:t>
            </w:r>
            <w:r>
              <w:rPr/>
              <w:t>废</w:t>
            </w:r>
            <w:r>
              <w:rPr>
                <w:spacing w:val="-3"/>
              </w:rPr>
              <w:t>弃</w:t>
            </w:r>
            <w:r>
              <w:rPr/>
              <w:t>物</w:t>
            </w:r>
            <w:r>
              <w:rPr>
                <w:spacing w:val="-3"/>
              </w:rPr>
              <w:t>影</w:t>
            </w:r>
            <w:r>
              <w:rPr/>
              <w:t>响</w:t>
            </w:r>
            <w:r>
              <w:rPr>
                <w:spacing w:val="-3"/>
              </w:rPr>
              <w:t>预测</w:t>
            </w:r>
            <w:r>
              <w:rPr/>
              <w:t>与评价</w:t>
              <w:tab/>
            </w:r>
            <w:r>
              <w:rPr>
                <w:rFonts w:ascii="Times New Roman" w:eastAsia="Times New Roman"/>
              </w:rPr>
              <w:t>159</w:t>
            </w:r>
          </w:hyperlink>
        </w:p>
        <w:p>
          <w:pPr>
            <w:pStyle w:val="TOC2"/>
            <w:numPr>
              <w:ilvl w:val="2"/>
              <w:numId w:val="5"/>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90">
            <w:r>
              <w:rPr/>
              <w:t>声</w:t>
            </w:r>
            <w:r>
              <w:rPr>
                <w:spacing w:val="-3"/>
              </w:rPr>
              <w:t>环</w:t>
            </w:r>
            <w:r>
              <w:rPr/>
              <w:t>境</w:t>
            </w:r>
            <w:r>
              <w:rPr>
                <w:spacing w:val="-3"/>
              </w:rPr>
              <w:t>影</w:t>
            </w:r>
            <w:r>
              <w:rPr/>
              <w:t>响</w:t>
            </w:r>
            <w:r>
              <w:rPr>
                <w:spacing w:val="-3"/>
              </w:rPr>
              <w:t>预</w:t>
            </w:r>
            <w:r>
              <w:rPr/>
              <w:t>测</w:t>
            </w:r>
            <w:r>
              <w:rPr>
                <w:spacing w:val="-3"/>
              </w:rPr>
              <w:t>与评</w:t>
            </w:r>
            <w:r>
              <w:rPr/>
              <w:t>价</w:t>
              <w:tab/>
            </w:r>
            <w:r>
              <w:rPr>
                <w:rFonts w:ascii="Times New Roman" w:eastAsia="Times New Roman"/>
              </w:rPr>
              <w:t>161</w:t>
            </w:r>
          </w:hyperlink>
        </w:p>
        <w:p>
          <w:pPr>
            <w:pStyle w:val="TOC2"/>
            <w:numPr>
              <w:ilvl w:val="2"/>
              <w:numId w:val="5"/>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91">
            <w:r>
              <w:rPr/>
              <w:t>环</w:t>
            </w:r>
            <w:r>
              <w:rPr>
                <w:spacing w:val="-3"/>
              </w:rPr>
              <w:t>境</w:t>
            </w:r>
            <w:r>
              <w:rPr/>
              <w:t>风</w:t>
            </w:r>
            <w:r>
              <w:rPr>
                <w:spacing w:val="-3"/>
              </w:rPr>
              <w:t>险</w:t>
            </w:r>
            <w:r>
              <w:rPr/>
              <w:t>影</w:t>
            </w:r>
            <w:r>
              <w:rPr>
                <w:spacing w:val="-3"/>
              </w:rPr>
              <w:t>响</w:t>
            </w:r>
            <w:r>
              <w:rPr/>
              <w:t>预</w:t>
            </w:r>
            <w:r>
              <w:rPr>
                <w:spacing w:val="-3"/>
              </w:rPr>
              <w:t>测与</w:t>
            </w:r>
            <w:r>
              <w:rPr/>
              <w:t>评价</w:t>
              <w:tab/>
            </w:r>
            <w:r>
              <w:rPr>
                <w:rFonts w:ascii="Times New Roman" w:eastAsia="Times New Roman"/>
              </w:rPr>
              <w:t>165</w:t>
            </w:r>
          </w:hyperlink>
        </w:p>
        <w:p>
          <w:pPr>
            <w:pStyle w:val="TOC2"/>
            <w:numPr>
              <w:ilvl w:val="2"/>
              <w:numId w:val="5"/>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92">
            <w:r>
              <w:rPr/>
              <w:t>生</w:t>
            </w:r>
            <w:r>
              <w:rPr>
                <w:spacing w:val="-3"/>
              </w:rPr>
              <w:t>态</w:t>
            </w:r>
            <w:r>
              <w:rPr/>
              <w:t>环</w:t>
            </w:r>
            <w:r>
              <w:rPr>
                <w:spacing w:val="-3"/>
              </w:rPr>
              <w:t>境</w:t>
            </w:r>
            <w:r>
              <w:rPr/>
              <w:t>影</w:t>
            </w:r>
            <w:r>
              <w:rPr>
                <w:spacing w:val="-3"/>
              </w:rPr>
              <w:t>响</w:t>
            </w:r>
            <w:r>
              <w:rPr/>
              <w:t>分</w:t>
            </w:r>
            <w:r>
              <w:rPr>
                <w:spacing w:val="-3"/>
              </w:rPr>
              <w:t>析与</w:t>
            </w:r>
            <w:r>
              <w:rPr/>
              <w:t>评价</w:t>
              <w:tab/>
            </w:r>
            <w:r>
              <w:rPr>
                <w:rFonts w:ascii="Times New Roman" w:eastAsia="Times New Roman"/>
              </w:rPr>
              <w:t>172</w:t>
            </w:r>
          </w:hyperlink>
        </w:p>
        <w:p>
          <w:pPr>
            <w:pStyle w:val="TOC2"/>
            <w:numPr>
              <w:ilvl w:val="2"/>
              <w:numId w:val="5"/>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93">
            <w:r>
              <w:rPr/>
              <w:t>土</w:t>
            </w:r>
            <w:r>
              <w:rPr>
                <w:spacing w:val="-3"/>
              </w:rPr>
              <w:t>壤</w:t>
            </w:r>
            <w:r>
              <w:rPr/>
              <w:t>环境影</w:t>
            </w:r>
            <w:r>
              <w:rPr>
                <w:spacing w:val="-3"/>
              </w:rPr>
              <w:t>响</w:t>
            </w:r>
            <w:r>
              <w:rPr/>
              <w:t>预</w:t>
            </w:r>
            <w:r>
              <w:rPr>
                <w:spacing w:val="-3"/>
              </w:rPr>
              <w:t>测与</w:t>
            </w:r>
            <w:r>
              <w:rPr/>
              <w:t>评价</w:t>
              <w:tab/>
            </w:r>
            <w:r>
              <w:rPr>
                <w:rFonts w:ascii="Times New Roman" w:eastAsia="Times New Roman"/>
              </w:rPr>
              <w:t>173</w:t>
            </w:r>
          </w:hyperlink>
        </w:p>
        <w:p>
          <w:pPr>
            <w:pStyle w:val="TOC1"/>
            <w:tabs>
              <w:tab w:pos="8901" w:val="left" w:leader="dot"/>
            </w:tabs>
            <w:rPr>
              <w:rFonts w:ascii="Times New Roman" w:eastAsia="Times New Roman"/>
            </w:rPr>
          </w:pPr>
          <w:hyperlink w:history="true" w:anchor="_bookmark94">
            <w:r>
              <w:rPr/>
              <w:t>第六章</w:t>
            </w:r>
            <w:r>
              <w:rPr>
                <w:spacing w:val="-1"/>
              </w:rPr>
              <w:t> </w:t>
            </w:r>
            <w:r>
              <w:rPr/>
              <w:t>环境保护措施及</w:t>
            </w:r>
            <w:r>
              <w:rPr>
                <w:spacing w:val="-3"/>
              </w:rPr>
              <w:t>其</w:t>
            </w:r>
            <w:r>
              <w:rPr/>
              <w:t>可行性论证</w:t>
            </w:r>
          </w:hyperlink>
          <w:r>
            <w:rPr/>
            <w:tab/>
          </w:r>
          <w:hyperlink w:history="true" w:anchor="_bookmark94">
            <w:r>
              <w:rPr>
                <w:rFonts w:ascii="Times New Roman" w:eastAsia="Times New Roman"/>
              </w:rPr>
              <w:t>175</w:t>
            </w:r>
          </w:hyperlink>
        </w:p>
        <w:p>
          <w:pPr>
            <w:pStyle w:val="TOC2"/>
            <w:numPr>
              <w:ilvl w:val="1"/>
              <w:numId w:val="6"/>
            </w:numPr>
            <w:tabs>
              <w:tab w:pos="370" w:val="left" w:leader="none"/>
              <w:tab w:pos="8481" w:val="left" w:leader="dot"/>
            </w:tabs>
            <w:spacing w:line="240" w:lineRule="auto" w:before="92" w:after="0"/>
            <w:ind w:left="1026" w:right="249" w:hanging="1027"/>
            <w:jc w:val="right"/>
            <w:rPr>
              <w:rFonts w:ascii="Times New Roman" w:eastAsia="Times New Roman"/>
            </w:rPr>
          </w:pPr>
          <w:hyperlink w:history="true" w:anchor="_bookmark95">
            <w:r>
              <w:rPr>
                <w:spacing w:val="-3"/>
              </w:rPr>
              <w:t>施</w:t>
            </w:r>
            <w:r>
              <w:rPr/>
              <w:t>工</w:t>
            </w:r>
            <w:r>
              <w:rPr>
                <w:spacing w:val="-3"/>
              </w:rPr>
              <w:t>期</w:t>
            </w:r>
            <w:r>
              <w:rPr/>
              <w:t>环</w:t>
            </w:r>
            <w:r>
              <w:rPr>
                <w:spacing w:val="-3"/>
              </w:rPr>
              <w:t>境</w:t>
            </w:r>
            <w:r>
              <w:rPr/>
              <w:t>保</w:t>
            </w:r>
            <w:r>
              <w:rPr>
                <w:spacing w:val="-3"/>
              </w:rPr>
              <w:t>护</w:t>
            </w:r>
            <w:r>
              <w:rPr/>
              <w:t>措</w:t>
            </w:r>
            <w:r>
              <w:rPr>
                <w:spacing w:val="-3"/>
              </w:rPr>
              <w:t>施</w:t>
            </w:r>
            <w:r>
              <w:rPr/>
              <w:t>对策</w:t>
              <w:tab/>
            </w:r>
            <w:r>
              <w:rPr>
                <w:rFonts w:ascii="Times New Roman" w:eastAsia="Times New Roman"/>
              </w:rPr>
              <w:t>175</w:t>
            </w:r>
          </w:hyperlink>
        </w:p>
        <w:p>
          <w:pPr>
            <w:pStyle w:val="TOC2"/>
            <w:numPr>
              <w:ilvl w:val="2"/>
              <w:numId w:val="6"/>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96">
            <w:r>
              <w:rPr/>
              <w:t>施</w:t>
            </w:r>
            <w:r>
              <w:rPr>
                <w:spacing w:val="-3"/>
              </w:rPr>
              <w:t>工</w:t>
            </w:r>
            <w:r>
              <w:rPr/>
              <w:t>期</w:t>
            </w:r>
            <w:r>
              <w:rPr>
                <w:spacing w:val="-3"/>
              </w:rPr>
              <w:t>环</w:t>
            </w:r>
            <w:r>
              <w:rPr/>
              <w:t>境</w:t>
            </w:r>
            <w:r>
              <w:rPr>
                <w:spacing w:val="-3"/>
              </w:rPr>
              <w:t>空</w:t>
            </w:r>
            <w:r>
              <w:rPr/>
              <w:t>气</w:t>
            </w:r>
            <w:r>
              <w:rPr>
                <w:spacing w:val="-3"/>
              </w:rPr>
              <w:t>污染</w:t>
            </w:r>
            <w:r>
              <w:rPr/>
              <w:t>防治</w:t>
            </w:r>
            <w:r>
              <w:rPr>
                <w:spacing w:val="-3"/>
              </w:rPr>
              <w:t>措</w:t>
            </w:r>
            <w:r>
              <w:rPr/>
              <w:t>施</w:t>
              <w:tab/>
            </w:r>
            <w:r>
              <w:rPr>
                <w:rFonts w:ascii="Times New Roman" w:eastAsia="Times New Roman"/>
              </w:rPr>
              <w:t>175</w:t>
            </w:r>
          </w:hyperlink>
        </w:p>
        <w:p>
          <w:pPr>
            <w:pStyle w:val="TOC2"/>
            <w:numPr>
              <w:ilvl w:val="2"/>
              <w:numId w:val="6"/>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97">
            <w:r>
              <w:rPr/>
              <w:t>施</w:t>
            </w:r>
            <w:r>
              <w:rPr>
                <w:spacing w:val="-3"/>
              </w:rPr>
              <w:t>工</w:t>
            </w:r>
            <w:r>
              <w:rPr/>
              <w:t>期</w:t>
            </w:r>
            <w:r>
              <w:rPr>
                <w:spacing w:val="-3"/>
              </w:rPr>
              <w:t>废</w:t>
            </w:r>
            <w:r>
              <w:rPr/>
              <w:t>水</w:t>
            </w:r>
            <w:r>
              <w:rPr>
                <w:spacing w:val="-3"/>
              </w:rPr>
              <w:t>污</w:t>
            </w:r>
            <w:r>
              <w:rPr/>
              <w:t>染</w:t>
            </w:r>
            <w:r>
              <w:rPr>
                <w:spacing w:val="-3"/>
              </w:rPr>
              <w:t>防治</w:t>
            </w:r>
            <w:r>
              <w:rPr/>
              <w:t>措施</w:t>
              <w:tab/>
            </w:r>
            <w:r>
              <w:rPr>
                <w:rFonts w:ascii="Times New Roman" w:eastAsia="Times New Roman"/>
              </w:rPr>
              <w:t>175</w:t>
            </w:r>
          </w:hyperlink>
        </w:p>
        <w:p>
          <w:pPr>
            <w:pStyle w:val="TOC2"/>
            <w:numPr>
              <w:ilvl w:val="2"/>
              <w:numId w:val="6"/>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98">
            <w:r>
              <w:rPr/>
              <w:t>施</w:t>
            </w:r>
            <w:r>
              <w:rPr>
                <w:spacing w:val="-3"/>
              </w:rPr>
              <w:t>工</w:t>
            </w:r>
            <w:r>
              <w:rPr/>
              <w:t>期</w:t>
            </w:r>
            <w:r>
              <w:rPr>
                <w:spacing w:val="-3"/>
              </w:rPr>
              <w:t>噪</w:t>
            </w:r>
            <w:r>
              <w:rPr/>
              <w:t>声</w:t>
            </w:r>
            <w:r>
              <w:rPr>
                <w:spacing w:val="-3"/>
              </w:rPr>
              <w:t>污</w:t>
            </w:r>
            <w:r>
              <w:rPr/>
              <w:t>染</w:t>
            </w:r>
            <w:r>
              <w:rPr>
                <w:spacing w:val="-3"/>
              </w:rPr>
              <w:t>防治</w:t>
            </w:r>
            <w:r>
              <w:rPr/>
              <w:t>措施</w:t>
              <w:tab/>
            </w:r>
            <w:r>
              <w:rPr>
                <w:rFonts w:ascii="Times New Roman" w:eastAsia="Times New Roman"/>
              </w:rPr>
              <w:t>175</w:t>
            </w:r>
          </w:hyperlink>
        </w:p>
        <w:p>
          <w:pPr>
            <w:pStyle w:val="TOC2"/>
            <w:numPr>
              <w:ilvl w:val="2"/>
              <w:numId w:val="6"/>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99">
            <w:r>
              <w:rPr/>
              <w:t>施</w:t>
            </w:r>
            <w:r>
              <w:rPr>
                <w:spacing w:val="-3"/>
              </w:rPr>
              <w:t>工</w:t>
            </w:r>
            <w:r>
              <w:rPr/>
              <w:t>期</w:t>
            </w:r>
            <w:r>
              <w:rPr>
                <w:spacing w:val="-3"/>
              </w:rPr>
              <w:t>固</w:t>
            </w:r>
            <w:r>
              <w:rPr/>
              <w:t>体</w:t>
            </w:r>
            <w:r>
              <w:rPr>
                <w:spacing w:val="-3"/>
              </w:rPr>
              <w:t>废</w:t>
            </w:r>
            <w:r>
              <w:rPr/>
              <w:t>物</w:t>
            </w:r>
            <w:r>
              <w:rPr>
                <w:spacing w:val="-3"/>
              </w:rPr>
              <w:t>防治</w:t>
            </w:r>
            <w:r>
              <w:rPr/>
              <w:t>措施</w:t>
              <w:tab/>
            </w:r>
            <w:r>
              <w:rPr>
                <w:rFonts w:ascii="Times New Roman" w:eastAsia="Times New Roman"/>
              </w:rPr>
              <w:t>176</w:t>
            </w:r>
          </w:hyperlink>
        </w:p>
        <w:p>
          <w:pPr>
            <w:pStyle w:val="TOC2"/>
            <w:numPr>
              <w:ilvl w:val="2"/>
              <w:numId w:val="6"/>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100">
            <w:r>
              <w:rPr/>
              <w:t>施</w:t>
            </w:r>
            <w:r>
              <w:rPr>
                <w:spacing w:val="-3"/>
              </w:rPr>
              <w:t>工</w:t>
            </w:r>
            <w:r>
              <w:rPr/>
              <w:t>期</w:t>
            </w:r>
            <w:r>
              <w:rPr>
                <w:spacing w:val="-3"/>
              </w:rPr>
              <w:t>污</w:t>
            </w:r>
            <w:r>
              <w:rPr/>
              <w:t>染</w:t>
            </w:r>
            <w:r>
              <w:rPr>
                <w:spacing w:val="-3"/>
              </w:rPr>
              <w:t>防</w:t>
            </w:r>
            <w:r>
              <w:rPr/>
              <w:t>治</w:t>
            </w:r>
            <w:r>
              <w:rPr>
                <w:spacing w:val="-3"/>
              </w:rPr>
              <w:t>措施</w:t>
            </w:r>
            <w:r>
              <w:rPr/>
              <w:t>汇总</w:t>
              <w:tab/>
            </w:r>
            <w:r>
              <w:rPr>
                <w:rFonts w:ascii="Times New Roman" w:eastAsia="Times New Roman"/>
              </w:rPr>
              <w:t>176</w:t>
            </w:r>
          </w:hyperlink>
        </w:p>
        <w:p>
          <w:pPr>
            <w:pStyle w:val="TOC2"/>
            <w:numPr>
              <w:ilvl w:val="1"/>
              <w:numId w:val="6"/>
            </w:numPr>
            <w:tabs>
              <w:tab w:pos="370" w:val="left" w:leader="none"/>
              <w:tab w:pos="8481" w:val="left" w:leader="dot"/>
            </w:tabs>
            <w:spacing w:line="240" w:lineRule="auto" w:before="91" w:after="0"/>
            <w:ind w:left="1026" w:right="249" w:hanging="1027"/>
            <w:jc w:val="right"/>
            <w:rPr>
              <w:rFonts w:ascii="Times New Roman" w:eastAsia="Times New Roman"/>
            </w:rPr>
          </w:pPr>
          <w:hyperlink w:history="true" w:anchor="_bookmark101">
            <w:r>
              <w:rPr>
                <w:spacing w:val="-3"/>
              </w:rPr>
              <w:t>运</w:t>
            </w:r>
            <w:r>
              <w:rPr/>
              <w:t>营</w:t>
            </w:r>
            <w:r>
              <w:rPr>
                <w:spacing w:val="-3"/>
              </w:rPr>
              <w:t>期</w:t>
            </w:r>
            <w:r>
              <w:rPr/>
              <w:t>环</w:t>
            </w:r>
            <w:r>
              <w:rPr>
                <w:spacing w:val="-3"/>
              </w:rPr>
              <w:t>境</w:t>
            </w:r>
            <w:r>
              <w:rPr/>
              <w:t>保</w:t>
            </w:r>
            <w:r>
              <w:rPr>
                <w:spacing w:val="-3"/>
              </w:rPr>
              <w:t>护</w:t>
            </w:r>
            <w:r>
              <w:rPr/>
              <w:t>措</w:t>
            </w:r>
            <w:r>
              <w:rPr>
                <w:spacing w:val="-3"/>
              </w:rPr>
              <w:t>施</w:t>
            </w:r>
            <w:r>
              <w:rPr/>
              <w:t>对策</w:t>
              <w:tab/>
            </w:r>
            <w:r>
              <w:rPr>
                <w:rFonts w:ascii="Times New Roman" w:eastAsia="Times New Roman"/>
              </w:rPr>
              <w:t>177</w:t>
            </w:r>
          </w:hyperlink>
        </w:p>
        <w:p>
          <w:pPr>
            <w:pStyle w:val="TOC4"/>
            <w:numPr>
              <w:ilvl w:val="2"/>
              <w:numId w:val="6"/>
            </w:numPr>
            <w:tabs>
              <w:tab w:pos="1603" w:val="left" w:leader="none"/>
              <w:tab w:pos="9138" w:val="left" w:leader="dot"/>
            </w:tabs>
            <w:spacing w:line="240" w:lineRule="auto" w:before="89" w:after="0"/>
            <w:ind w:left="1602" w:right="0" w:hanging="526"/>
            <w:jc w:val="left"/>
            <w:rPr>
              <w:rFonts w:ascii="Times New Roman" w:eastAsia="Times New Roman"/>
            </w:rPr>
          </w:pPr>
          <w:hyperlink w:history="true" w:anchor="_bookmark102">
            <w:r>
              <w:rPr/>
              <w:t>废</w:t>
            </w:r>
            <w:r>
              <w:rPr>
                <w:spacing w:val="-3"/>
              </w:rPr>
              <w:t>水</w:t>
            </w:r>
            <w:r>
              <w:rPr/>
              <w:t>污</w:t>
            </w:r>
            <w:r>
              <w:rPr>
                <w:spacing w:val="-3"/>
              </w:rPr>
              <w:t>染</w:t>
            </w:r>
            <w:r>
              <w:rPr/>
              <w:t>防</w:t>
            </w:r>
            <w:r>
              <w:rPr>
                <w:spacing w:val="-3"/>
              </w:rPr>
              <w:t>治</w:t>
            </w:r>
            <w:r>
              <w:rPr/>
              <w:t>对策</w:t>
              <w:tab/>
            </w:r>
            <w:r>
              <w:rPr>
                <w:rFonts w:ascii="Times New Roman" w:eastAsia="Times New Roman"/>
              </w:rPr>
              <w:t>177</w:t>
            </w:r>
          </w:hyperlink>
        </w:p>
        <w:p>
          <w:pPr>
            <w:pStyle w:val="TOC4"/>
            <w:numPr>
              <w:ilvl w:val="2"/>
              <w:numId w:val="6"/>
            </w:numPr>
            <w:tabs>
              <w:tab w:pos="1603" w:val="left" w:leader="none"/>
              <w:tab w:pos="9138" w:val="left" w:leader="dot"/>
            </w:tabs>
            <w:spacing w:line="240" w:lineRule="auto" w:before="91" w:after="0"/>
            <w:ind w:left="1602" w:right="0" w:hanging="526"/>
            <w:jc w:val="left"/>
            <w:rPr>
              <w:rFonts w:ascii="Times New Roman" w:eastAsia="Times New Roman"/>
            </w:rPr>
          </w:pPr>
          <w:hyperlink w:history="true" w:anchor="_bookmark103">
            <w:r>
              <w:rPr/>
              <w:t>废</w:t>
            </w:r>
            <w:r>
              <w:rPr>
                <w:spacing w:val="-3"/>
              </w:rPr>
              <w:t>气</w:t>
            </w:r>
            <w:r>
              <w:rPr/>
              <w:t>污</w:t>
            </w:r>
            <w:r>
              <w:rPr>
                <w:spacing w:val="-3"/>
              </w:rPr>
              <w:t>染</w:t>
            </w:r>
            <w:r>
              <w:rPr/>
              <w:t>防</w:t>
            </w:r>
            <w:r>
              <w:rPr>
                <w:spacing w:val="-3"/>
              </w:rPr>
              <w:t>治</w:t>
            </w:r>
            <w:r>
              <w:rPr/>
              <w:t>对策</w:t>
              <w:tab/>
            </w:r>
            <w:r>
              <w:rPr>
                <w:rFonts w:ascii="Times New Roman" w:eastAsia="Times New Roman"/>
              </w:rPr>
              <w:t>181</w:t>
            </w:r>
          </w:hyperlink>
        </w:p>
        <w:p>
          <w:pPr>
            <w:pStyle w:val="TOC2"/>
            <w:numPr>
              <w:ilvl w:val="2"/>
              <w:numId w:val="6"/>
            </w:numPr>
            <w:tabs>
              <w:tab w:pos="1603" w:val="left" w:leader="none"/>
              <w:tab w:pos="8061" w:val="left" w:leader="dot"/>
            </w:tabs>
            <w:spacing w:line="240" w:lineRule="auto" w:before="88" w:after="0"/>
            <w:ind w:left="1602" w:right="249" w:hanging="1603"/>
            <w:jc w:val="right"/>
            <w:rPr>
              <w:rFonts w:ascii="Times New Roman" w:eastAsia="Times New Roman"/>
            </w:rPr>
          </w:pPr>
          <w:hyperlink w:history="true" w:anchor="_bookmark104">
            <w:r>
              <w:rPr/>
              <w:t>固</w:t>
            </w:r>
            <w:r>
              <w:rPr>
                <w:spacing w:val="-3"/>
              </w:rPr>
              <w:t>体</w:t>
            </w:r>
            <w:r>
              <w:rPr/>
              <w:t>废</w:t>
            </w:r>
            <w:r>
              <w:rPr>
                <w:spacing w:val="-3"/>
              </w:rPr>
              <w:t>弃</w:t>
            </w:r>
            <w:r>
              <w:rPr/>
              <w:t>物</w:t>
            </w:r>
            <w:r>
              <w:rPr>
                <w:spacing w:val="-3"/>
              </w:rPr>
              <w:t>污</w:t>
            </w:r>
            <w:r>
              <w:rPr/>
              <w:t>染</w:t>
            </w:r>
            <w:r>
              <w:rPr>
                <w:spacing w:val="-3"/>
              </w:rPr>
              <w:t>防治</w:t>
            </w:r>
            <w:r>
              <w:rPr/>
              <w:t>对策</w:t>
              <w:tab/>
            </w:r>
            <w:r>
              <w:rPr>
                <w:rFonts w:ascii="Times New Roman" w:eastAsia="Times New Roman"/>
              </w:rPr>
              <w:t>187</w:t>
            </w:r>
          </w:hyperlink>
        </w:p>
        <w:p>
          <w:pPr>
            <w:pStyle w:val="TOC4"/>
            <w:numPr>
              <w:ilvl w:val="2"/>
              <w:numId w:val="6"/>
            </w:numPr>
            <w:tabs>
              <w:tab w:pos="1603" w:val="left" w:leader="none"/>
              <w:tab w:pos="9138" w:val="left" w:leader="dot"/>
            </w:tabs>
            <w:spacing w:line="240" w:lineRule="auto" w:before="92" w:after="0"/>
            <w:ind w:left="1602" w:right="0" w:hanging="526"/>
            <w:jc w:val="left"/>
            <w:rPr>
              <w:rFonts w:ascii="Times New Roman" w:eastAsia="Times New Roman"/>
            </w:rPr>
          </w:pPr>
          <w:hyperlink w:history="true" w:anchor="_bookmark105">
            <w:r>
              <w:rPr/>
              <w:t>噪</w:t>
            </w:r>
            <w:r>
              <w:rPr>
                <w:spacing w:val="-3"/>
              </w:rPr>
              <w:t>声</w:t>
            </w:r>
            <w:r>
              <w:rPr/>
              <w:t>污</w:t>
            </w:r>
            <w:r>
              <w:rPr>
                <w:spacing w:val="-3"/>
              </w:rPr>
              <w:t>染</w:t>
            </w:r>
            <w:r>
              <w:rPr/>
              <w:t>防</w:t>
            </w:r>
            <w:r>
              <w:rPr>
                <w:spacing w:val="-3"/>
              </w:rPr>
              <w:t>治</w:t>
            </w:r>
            <w:r>
              <w:rPr/>
              <w:t>对策</w:t>
              <w:tab/>
            </w:r>
            <w:r>
              <w:rPr>
                <w:rFonts w:ascii="Times New Roman" w:eastAsia="Times New Roman"/>
              </w:rPr>
              <w:t>189</w:t>
            </w:r>
          </w:hyperlink>
        </w:p>
        <w:p>
          <w:pPr>
            <w:pStyle w:val="TOC2"/>
            <w:numPr>
              <w:ilvl w:val="2"/>
              <w:numId w:val="6"/>
            </w:numPr>
            <w:tabs>
              <w:tab w:pos="1603" w:val="left" w:leader="none"/>
              <w:tab w:pos="8061" w:val="left" w:leader="dot"/>
            </w:tabs>
            <w:spacing w:line="240" w:lineRule="auto" w:before="88" w:after="0"/>
            <w:ind w:left="1602" w:right="249" w:hanging="1603"/>
            <w:jc w:val="right"/>
            <w:rPr>
              <w:rFonts w:ascii="Times New Roman" w:eastAsia="Times New Roman"/>
            </w:rPr>
          </w:pPr>
          <w:hyperlink w:history="true" w:anchor="_bookmark106">
            <w:r>
              <w:rPr/>
              <w:t>地</w:t>
            </w:r>
            <w:r>
              <w:rPr>
                <w:spacing w:val="-3"/>
              </w:rPr>
              <w:t>下</w:t>
            </w:r>
            <w:r>
              <w:rPr/>
              <w:t>水</w:t>
            </w:r>
            <w:r>
              <w:rPr>
                <w:spacing w:val="-3"/>
              </w:rPr>
              <w:t>及</w:t>
            </w:r>
            <w:r>
              <w:rPr/>
              <w:t>土</w:t>
            </w:r>
            <w:r>
              <w:rPr>
                <w:spacing w:val="-3"/>
              </w:rPr>
              <w:t>壤</w:t>
            </w:r>
            <w:r>
              <w:rPr/>
              <w:t>污</w:t>
            </w:r>
            <w:r>
              <w:rPr>
                <w:spacing w:val="-3"/>
              </w:rPr>
              <w:t>染防</w:t>
            </w:r>
            <w:r>
              <w:rPr/>
              <w:t>治措施</w:t>
              <w:tab/>
            </w:r>
            <w:r>
              <w:rPr>
                <w:rFonts w:ascii="Times New Roman" w:eastAsia="Times New Roman"/>
              </w:rPr>
              <w:t>190</w:t>
            </w:r>
          </w:hyperlink>
        </w:p>
        <w:p>
          <w:pPr>
            <w:pStyle w:val="TOC4"/>
            <w:numPr>
              <w:ilvl w:val="2"/>
              <w:numId w:val="6"/>
            </w:numPr>
            <w:tabs>
              <w:tab w:pos="1603" w:val="left" w:leader="none"/>
              <w:tab w:pos="9138" w:val="left" w:leader="dot"/>
            </w:tabs>
            <w:spacing w:line="240" w:lineRule="auto" w:before="91" w:after="0"/>
            <w:ind w:left="1602" w:right="0" w:hanging="526"/>
            <w:jc w:val="left"/>
            <w:rPr>
              <w:rFonts w:ascii="Times New Roman" w:eastAsia="Times New Roman"/>
            </w:rPr>
          </w:pPr>
          <w:hyperlink w:history="true" w:anchor="_bookmark107">
            <w:r>
              <w:rPr/>
              <w:t>环</w:t>
            </w:r>
            <w:r>
              <w:rPr>
                <w:spacing w:val="-3"/>
              </w:rPr>
              <w:t>境</w:t>
            </w:r>
            <w:r>
              <w:rPr/>
              <w:t>风</w:t>
            </w:r>
            <w:r>
              <w:rPr>
                <w:spacing w:val="-3"/>
              </w:rPr>
              <w:t>险</w:t>
            </w:r>
            <w:r>
              <w:rPr/>
              <w:t>防</w:t>
            </w:r>
            <w:r>
              <w:rPr>
                <w:spacing w:val="-3"/>
              </w:rPr>
              <w:t>范</w:t>
            </w:r>
            <w:r>
              <w:rPr/>
              <w:t>措施</w:t>
              <w:tab/>
            </w:r>
            <w:r>
              <w:rPr>
                <w:rFonts w:ascii="Times New Roman" w:eastAsia="Times New Roman"/>
              </w:rPr>
              <w:t>193</w:t>
            </w:r>
          </w:hyperlink>
        </w:p>
        <w:p>
          <w:pPr>
            <w:pStyle w:val="TOC4"/>
            <w:numPr>
              <w:ilvl w:val="2"/>
              <w:numId w:val="6"/>
            </w:numPr>
            <w:tabs>
              <w:tab w:pos="1603" w:val="left" w:leader="none"/>
              <w:tab w:pos="9138" w:val="left" w:leader="dot"/>
            </w:tabs>
            <w:spacing w:line="240" w:lineRule="auto" w:before="89" w:after="0"/>
            <w:ind w:left="1602" w:right="0" w:hanging="526"/>
            <w:jc w:val="left"/>
            <w:rPr>
              <w:rFonts w:ascii="Times New Roman" w:eastAsia="Times New Roman"/>
            </w:rPr>
          </w:pPr>
          <w:hyperlink w:history="true" w:anchor="_bookmark108">
            <w:r>
              <w:rPr/>
              <w:t>环</w:t>
            </w:r>
            <w:r>
              <w:rPr>
                <w:spacing w:val="-3"/>
              </w:rPr>
              <w:t>境</w:t>
            </w:r>
            <w:r>
              <w:rPr/>
              <w:t>保</w:t>
            </w:r>
            <w:r>
              <w:rPr>
                <w:spacing w:val="-3"/>
              </w:rPr>
              <w:t>护</w:t>
            </w:r>
            <w:r>
              <w:rPr/>
              <w:t>措</w:t>
            </w:r>
            <w:r>
              <w:rPr>
                <w:spacing w:val="-3"/>
              </w:rPr>
              <w:t>施</w:t>
            </w:r>
            <w:r>
              <w:rPr/>
              <w:t>汇总</w:t>
              <w:tab/>
            </w:r>
            <w:r>
              <w:rPr>
                <w:rFonts w:ascii="Times New Roman" w:eastAsia="Times New Roman"/>
              </w:rPr>
              <w:t>200</w:t>
            </w:r>
          </w:hyperlink>
        </w:p>
        <w:p>
          <w:pPr>
            <w:pStyle w:val="TOC2"/>
            <w:numPr>
              <w:ilvl w:val="1"/>
              <w:numId w:val="6"/>
            </w:numPr>
            <w:tabs>
              <w:tab w:pos="370" w:val="left" w:leader="none"/>
              <w:tab w:pos="8481" w:val="left" w:leader="dot"/>
            </w:tabs>
            <w:spacing w:line="240" w:lineRule="auto" w:before="91" w:after="0"/>
            <w:ind w:left="1026" w:right="249" w:hanging="1027"/>
            <w:jc w:val="right"/>
            <w:rPr>
              <w:rFonts w:ascii="Times New Roman" w:eastAsia="Times New Roman"/>
            </w:rPr>
          </w:pPr>
          <w:hyperlink w:history="true" w:anchor="_bookmark109">
            <w:r>
              <w:rPr>
                <w:spacing w:val="-3"/>
              </w:rPr>
              <w:t>环</w:t>
            </w:r>
            <w:r>
              <w:rPr/>
              <w:t>境</w:t>
            </w:r>
            <w:r>
              <w:rPr>
                <w:spacing w:val="-3"/>
              </w:rPr>
              <w:t>保</w:t>
            </w:r>
            <w:r>
              <w:rPr/>
              <w:t>护</w:t>
            </w:r>
            <w:r>
              <w:rPr>
                <w:spacing w:val="-3"/>
              </w:rPr>
              <w:t>投</w:t>
            </w:r>
            <w:r>
              <w:rPr/>
              <w:t>资</w:t>
            </w:r>
            <w:r>
              <w:rPr>
                <w:spacing w:val="-3"/>
              </w:rPr>
              <w:t>核</w:t>
            </w:r>
            <w:r>
              <w:rPr/>
              <w:t>算</w:t>
              <w:tab/>
            </w:r>
            <w:r>
              <w:rPr>
                <w:rFonts w:ascii="Times New Roman" w:eastAsia="Times New Roman"/>
              </w:rPr>
              <w:t>201</w:t>
            </w:r>
          </w:hyperlink>
        </w:p>
        <w:p>
          <w:pPr>
            <w:pStyle w:val="TOC1"/>
            <w:tabs>
              <w:tab w:pos="8901" w:val="left" w:leader="dot"/>
            </w:tabs>
            <w:rPr>
              <w:rFonts w:ascii="Times New Roman" w:eastAsia="Times New Roman"/>
            </w:rPr>
          </w:pPr>
          <w:hyperlink w:history="true" w:anchor="_bookmark110">
            <w:r>
              <w:rPr/>
              <w:t>第七章</w:t>
            </w:r>
            <w:r>
              <w:rPr>
                <w:spacing w:val="-1"/>
              </w:rPr>
              <w:t> </w:t>
            </w:r>
            <w:r>
              <w:rPr/>
              <w:t>环境影响经济损</w:t>
            </w:r>
            <w:r>
              <w:rPr>
                <w:spacing w:val="-3"/>
              </w:rPr>
              <w:t>益</w:t>
            </w:r>
            <w:r>
              <w:rPr/>
              <w:t>分析</w:t>
            </w:r>
          </w:hyperlink>
          <w:r>
            <w:rPr/>
            <w:tab/>
          </w:r>
          <w:hyperlink w:history="true" w:anchor="_bookmark110">
            <w:r>
              <w:rPr>
                <w:rFonts w:ascii="Times New Roman" w:eastAsia="Times New Roman"/>
              </w:rPr>
              <w:t>203</w:t>
            </w:r>
          </w:hyperlink>
        </w:p>
        <w:p>
          <w:pPr>
            <w:pStyle w:val="TOC2"/>
            <w:numPr>
              <w:ilvl w:val="1"/>
              <w:numId w:val="7"/>
            </w:numPr>
            <w:tabs>
              <w:tab w:pos="370" w:val="left" w:leader="none"/>
              <w:tab w:pos="8481" w:val="left" w:leader="dot"/>
            </w:tabs>
            <w:spacing w:line="240" w:lineRule="auto" w:before="91" w:after="0"/>
            <w:ind w:left="1026" w:right="249" w:hanging="1027"/>
            <w:jc w:val="right"/>
            <w:rPr>
              <w:rFonts w:ascii="Times New Roman" w:eastAsia="Times New Roman"/>
            </w:rPr>
          </w:pPr>
          <w:hyperlink w:history="true" w:anchor="_bookmark111">
            <w:r>
              <w:rPr>
                <w:spacing w:val="-3"/>
              </w:rPr>
              <w:t>项</w:t>
            </w:r>
            <w:r>
              <w:rPr/>
              <w:t>目</w:t>
            </w:r>
            <w:r>
              <w:rPr>
                <w:spacing w:val="-3"/>
              </w:rPr>
              <w:t>实</w:t>
            </w:r>
            <w:r>
              <w:rPr/>
              <w:t>施</w:t>
            </w:r>
            <w:r>
              <w:rPr>
                <w:spacing w:val="-3"/>
              </w:rPr>
              <w:t>后</w:t>
            </w:r>
            <w:r>
              <w:rPr/>
              <w:t>环</w:t>
            </w:r>
            <w:r>
              <w:rPr>
                <w:spacing w:val="-3"/>
              </w:rPr>
              <w:t>境</w:t>
            </w:r>
            <w:r>
              <w:rPr/>
              <w:t>影</w:t>
            </w:r>
            <w:r>
              <w:rPr>
                <w:spacing w:val="-3"/>
              </w:rPr>
              <w:t>响</w:t>
            </w:r>
            <w:r>
              <w:rPr/>
              <w:t>预测</w:t>
            </w:r>
            <w:r>
              <w:rPr>
                <w:spacing w:val="-3"/>
              </w:rPr>
              <w:t>与</w:t>
            </w:r>
            <w:r>
              <w:rPr/>
              <w:t>环</w:t>
            </w:r>
            <w:r>
              <w:rPr>
                <w:spacing w:val="-3"/>
              </w:rPr>
              <w:t>境</w:t>
            </w:r>
            <w:r>
              <w:rPr/>
              <w:t>质</w:t>
            </w:r>
            <w:r>
              <w:rPr>
                <w:spacing w:val="-3"/>
              </w:rPr>
              <w:t>量</w:t>
            </w:r>
            <w:r>
              <w:rPr/>
              <w:t>现</w:t>
            </w:r>
            <w:r>
              <w:rPr>
                <w:spacing w:val="-3"/>
              </w:rPr>
              <w:t>状</w:t>
            </w:r>
            <w:r>
              <w:rPr/>
              <w:t>比较</w:t>
              <w:tab/>
            </w:r>
            <w:r>
              <w:rPr>
                <w:rFonts w:ascii="Times New Roman" w:eastAsia="Times New Roman"/>
              </w:rPr>
              <w:t>203</w:t>
            </w:r>
          </w:hyperlink>
        </w:p>
        <w:p>
          <w:pPr>
            <w:pStyle w:val="TOC2"/>
            <w:numPr>
              <w:ilvl w:val="1"/>
              <w:numId w:val="7"/>
            </w:numPr>
            <w:tabs>
              <w:tab w:pos="370" w:val="left" w:leader="none"/>
              <w:tab w:pos="8481" w:val="left" w:leader="dot"/>
            </w:tabs>
            <w:spacing w:line="240" w:lineRule="auto" w:before="89" w:after="0"/>
            <w:ind w:left="1026" w:right="249" w:hanging="1027"/>
            <w:jc w:val="right"/>
            <w:rPr>
              <w:rFonts w:ascii="Times New Roman" w:eastAsia="Times New Roman"/>
            </w:rPr>
          </w:pPr>
          <w:hyperlink w:history="true" w:anchor="_bookmark112">
            <w:r>
              <w:rPr>
                <w:spacing w:val="-3"/>
              </w:rPr>
              <w:t>环</w:t>
            </w:r>
            <w:r>
              <w:rPr/>
              <w:t>境</w:t>
            </w:r>
            <w:r>
              <w:rPr>
                <w:spacing w:val="-3"/>
              </w:rPr>
              <w:t>影</w:t>
            </w:r>
            <w:r>
              <w:rPr/>
              <w:t>响</w:t>
            </w:r>
            <w:r>
              <w:rPr>
                <w:spacing w:val="-3"/>
              </w:rPr>
              <w:t>后</w:t>
            </w:r>
            <w:r>
              <w:rPr/>
              <w:t>果</w:t>
            </w:r>
            <w:r>
              <w:rPr>
                <w:spacing w:val="-3"/>
              </w:rPr>
              <w:t>经</w:t>
            </w:r>
            <w:r>
              <w:rPr/>
              <w:t>济</w:t>
            </w:r>
            <w:r>
              <w:rPr>
                <w:spacing w:val="-3"/>
              </w:rPr>
              <w:t>损</w:t>
            </w:r>
            <w:r>
              <w:rPr/>
              <w:t>益核算</w:t>
              <w:tab/>
            </w:r>
            <w:r>
              <w:rPr>
                <w:rFonts w:ascii="Times New Roman" w:eastAsia="Times New Roman"/>
              </w:rPr>
              <w:t>203</w:t>
            </w:r>
          </w:hyperlink>
        </w:p>
        <w:p>
          <w:pPr>
            <w:pStyle w:val="TOC4"/>
            <w:numPr>
              <w:ilvl w:val="2"/>
              <w:numId w:val="7"/>
            </w:numPr>
            <w:tabs>
              <w:tab w:pos="1603" w:val="left" w:leader="none"/>
              <w:tab w:pos="9138" w:val="left" w:leader="dot"/>
            </w:tabs>
            <w:spacing w:line="240" w:lineRule="auto" w:before="91" w:after="94"/>
            <w:ind w:left="1602" w:right="0" w:hanging="526"/>
            <w:jc w:val="left"/>
            <w:rPr>
              <w:rFonts w:ascii="Times New Roman" w:eastAsia="Times New Roman"/>
            </w:rPr>
          </w:pPr>
          <w:hyperlink w:history="true" w:anchor="_bookmark113">
            <w:r>
              <w:rPr/>
              <w:t>建</w:t>
            </w:r>
            <w:r>
              <w:rPr>
                <w:spacing w:val="-3"/>
              </w:rPr>
              <w:t>设</w:t>
            </w:r>
            <w:r>
              <w:rPr/>
              <w:t>项</w:t>
            </w:r>
            <w:r>
              <w:rPr>
                <w:spacing w:val="-3"/>
              </w:rPr>
              <w:t>目</w:t>
            </w:r>
            <w:r>
              <w:rPr/>
              <w:t>环</w:t>
            </w:r>
            <w:r>
              <w:rPr>
                <w:spacing w:val="-3"/>
              </w:rPr>
              <w:t>境</w:t>
            </w:r>
            <w:r>
              <w:rPr/>
              <w:t>代价</w:t>
              <w:tab/>
            </w:r>
            <w:r>
              <w:rPr>
                <w:rFonts w:ascii="Times New Roman" w:eastAsia="Times New Roman"/>
              </w:rPr>
              <w:t>203</w:t>
            </w:r>
          </w:hyperlink>
        </w:p>
        <w:p>
          <w:pPr>
            <w:pStyle w:val="TOC2"/>
            <w:numPr>
              <w:ilvl w:val="2"/>
              <w:numId w:val="7"/>
            </w:numPr>
            <w:tabs>
              <w:tab w:pos="1603" w:val="left" w:leader="none"/>
              <w:tab w:pos="8061" w:val="left" w:leader="dot"/>
            </w:tabs>
            <w:spacing w:line="240" w:lineRule="auto" w:before="84" w:after="0"/>
            <w:ind w:left="1602" w:right="249" w:hanging="1603"/>
            <w:jc w:val="right"/>
            <w:rPr>
              <w:rFonts w:ascii="Times New Roman" w:eastAsia="Times New Roman"/>
            </w:rPr>
          </w:pPr>
          <w:hyperlink w:history="true" w:anchor="_bookmark114">
            <w:r>
              <w:rPr/>
              <w:t>建</w:t>
            </w:r>
            <w:r>
              <w:rPr>
                <w:spacing w:val="-3"/>
              </w:rPr>
              <w:t>设</w:t>
            </w:r>
            <w:r>
              <w:rPr/>
              <w:t>项</w:t>
            </w:r>
            <w:r>
              <w:rPr>
                <w:spacing w:val="-3"/>
              </w:rPr>
              <w:t>目</w:t>
            </w:r>
            <w:r>
              <w:rPr/>
              <w:t>环</w:t>
            </w:r>
            <w:r>
              <w:rPr>
                <w:spacing w:val="-3"/>
              </w:rPr>
              <w:t>境</w:t>
            </w:r>
            <w:r>
              <w:rPr/>
              <w:t>成</w:t>
            </w:r>
            <w:r>
              <w:rPr>
                <w:spacing w:val="-3"/>
              </w:rPr>
              <w:t>本分</w:t>
            </w:r>
            <w:r>
              <w:rPr/>
              <w:t>析</w:t>
              <w:tab/>
            </w:r>
            <w:r>
              <w:rPr>
                <w:rFonts w:ascii="Times New Roman" w:eastAsia="Times New Roman"/>
              </w:rPr>
              <w:t>204</w:t>
            </w:r>
          </w:hyperlink>
        </w:p>
        <w:p>
          <w:pPr>
            <w:pStyle w:val="TOC2"/>
            <w:numPr>
              <w:ilvl w:val="2"/>
              <w:numId w:val="7"/>
            </w:numPr>
            <w:tabs>
              <w:tab w:pos="1603" w:val="left" w:leader="none"/>
              <w:tab w:pos="8061" w:val="left" w:leader="dot"/>
            </w:tabs>
            <w:spacing w:line="240" w:lineRule="auto" w:before="89" w:after="0"/>
            <w:ind w:left="1602" w:right="249" w:hanging="1603"/>
            <w:jc w:val="right"/>
            <w:rPr>
              <w:rFonts w:ascii="Times New Roman" w:eastAsia="Times New Roman"/>
            </w:rPr>
          </w:pPr>
          <w:hyperlink w:history="true" w:anchor="_bookmark115">
            <w:r>
              <w:rPr/>
              <w:t>环</w:t>
            </w:r>
            <w:r>
              <w:rPr>
                <w:spacing w:val="-3"/>
              </w:rPr>
              <w:t>境</w:t>
            </w:r>
            <w:r>
              <w:rPr/>
              <w:t>经</w:t>
            </w:r>
            <w:r>
              <w:rPr>
                <w:spacing w:val="-3"/>
              </w:rPr>
              <w:t>济</w:t>
            </w:r>
            <w:r>
              <w:rPr/>
              <w:t>收</w:t>
            </w:r>
            <w:r>
              <w:rPr>
                <w:spacing w:val="-3"/>
              </w:rPr>
              <w:t>益</w:t>
            </w:r>
            <w:r>
              <w:rPr/>
              <w:t>分析</w:t>
              <w:tab/>
            </w:r>
            <w:r>
              <w:rPr>
                <w:rFonts w:ascii="Times New Roman" w:eastAsia="Times New Roman"/>
              </w:rPr>
              <w:t>205</w:t>
            </w:r>
          </w:hyperlink>
        </w:p>
        <w:p>
          <w:pPr>
            <w:pStyle w:val="TOC2"/>
            <w:numPr>
              <w:ilvl w:val="2"/>
              <w:numId w:val="7"/>
            </w:numPr>
            <w:tabs>
              <w:tab w:pos="1603" w:val="left" w:leader="none"/>
              <w:tab w:pos="8061" w:val="left" w:leader="dot"/>
            </w:tabs>
            <w:spacing w:line="240" w:lineRule="auto" w:before="90" w:after="0"/>
            <w:ind w:left="1602" w:right="249" w:hanging="1603"/>
            <w:jc w:val="right"/>
            <w:rPr>
              <w:rFonts w:ascii="Times New Roman" w:eastAsia="Times New Roman"/>
            </w:rPr>
          </w:pPr>
          <w:hyperlink w:history="true" w:anchor="_bookmark116">
            <w:r>
              <w:rPr/>
              <w:t>建</w:t>
            </w:r>
            <w:r>
              <w:rPr>
                <w:spacing w:val="-3"/>
              </w:rPr>
              <w:t>设</w:t>
            </w:r>
            <w:r>
              <w:rPr/>
              <w:t>项</w:t>
            </w:r>
            <w:r>
              <w:rPr>
                <w:spacing w:val="-3"/>
              </w:rPr>
              <w:t>目</w:t>
            </w:r>
            <w:r>
              <w:rPr/>
              <w:t>环</w:t>
            </w:r>
            <w:r>
              <w:rPr>
                <w:spacing w:val="-3"/>
              </w:rPr>
              <w:t>境</w:t>
            </w:r>
            <w:r>
              <w:rPr/>
              <w:t>经</w:t>
            </w:r>
            <w:r>
              <w:rPr>
                <w:spacing w:val="-3"/>
              </w:rPr>
              <w:t>济效</w:t>
            </w:r>
            <w:r>
              <w:rPr/>
              <w:t>益分析</w:t>
              <w:tab/>
            </w:r>
            <w:r>
              <w:rPr>
                <w:rFonts w:ascii="Times New Roman" w:eastAsia="Times New Roman"/>
              </w:rPr>
              <w:t>205</w:t>
            </w:r>
          </w:hyperlink>
        </w:p>
        <w:p>
          <w:pPr>
            <w:pStyle w:val="TOC2"/>
            <w:numPr>
              <w:ilvl w:val="1"/>
              <w:numId w:val="7"/>
            </w:numPr>
            <w:tabs>
              <w:tab w:pos="370" w:val="left" w:leader="none"/>
              <w:tab w:pos="8481" w:val="left" w:leader="dot"/>
            </w:tabs>
            <w:spacing w:line="240" w:lineRule="auto" w:before="89" w:after="0"/>
            <w:ind w:left="1026" w:right="249" w:hanging="1027"/>
            <w:jc w:val="right"/>
            <w:rPr>
              <w:rFonts w:ascii="Times New Roman" w:eastAsia="Times New Roman"/>
            </w:rPr>
          </w:pPr>
          <w:hyperlink w:history="true" w:anchor="_bookmark117">
            <w:r>
              <w:rPr>
                <w:spacing w:val="-3"/>
              </w:rPr>
              <w:t>环</w:t>
            </w:r>
            <w:r>
              <w:rPr/>
              <w:t>境</w:t>
            </w:r>
            <w:r>
              <w:rPr>
                <w:spacing w:val="-3"/>
              </w:rPr>
              <w:t>影</w:t>
            </w:r>
            <w:r>
              <w:rPr/>
              <w:t>响</w:t>
            </w:r>
            <w:r>
              <w:rPr>
                <w:spacing w:val="-3"/>
              </w:rPr>
              <w:t>经</w:t>
            </w:r>
            <w:r>
              <w:rPr/>
              <w:t>济</w:t>
            </w:r>
            <w:r>
              <w:rPr>
                <w:spacing w:val="-3"/>
              </w:rPr>
              <w:t>损</w:t>
            </w:r>
            <w:r>
              <w:rPr/>
              <w:t>益</w:t>
            </w:r>
            <w:r>
              <w:rPr>
                <w:spacing w:val="-3"/>
              </w:rPr>
              <w:t>分</w:t>
            </w:r>
            <w:r>
              <w:rPr/>
              <w:t>析结论</w:t>
              <w:tab/>
            </w:r>
            <w:r>
              <w:rPr>
                <w:rFonts w:ascii="Times New Roman" w:eastAsia="Times New Roman"/>
              </w:rPr>
              <w:t>205</w:t>
            </w:r>
          </w:hyperlink>
        </w:p>
        <w:p>
          <w:pPr>
            <w:pStyle w:val="TOC1"/>
            <w:tabs>
              <w:tab w:pos="8901" w:val="left" w:leader="dot"/>
            </w:tabs>
            <w:spacing w:before="91"/>
            <w:rPr>
              <w:rFonts w:ascii="Times New Roman" w:eastAsia="Times New Roman"/>
            </w:rPr>
          </w:pPr>
          <w:hyperlink w:history="true" w:anchor="_bookmark118">
            <w:r>
              <w:rPr/>
              <w:t>第八章</w:t>
            </w:r>
            <w:r>
              <w:rPr>
                <w:spacing w:val="-2"/>
              </w:rPr>
              <w:t> </w:t>
            </w:r>
            <w:r>
              <w:rPr/>
              <w:t>环境管理与监测</w:t>
            </w:r>
            <w:r>
              <w:rPr>
                <w:spacing w:val="-3"/>
              </w:rPr>
              <w:t>计</w:t>
            </w:r>
            <w:r>
              <w:rPr/>
              <w:t>划</w:t>
            </w:r>
          </w:hyperlink>
          <w:r>
            <w:rPr/>
            <w:tab/>
          </w:r>
          <w:hyperlink w:history="true" w:anchor="_bookmark118">
            <w:r>
              <w:rPr>
                <w:rFonts w:ascii="Times New Roman" w:eastAsia="Times New Roman"/>
              </w:rPr>
              <w:t>206</w:t>
            </w:r>
          </w:hyperlink>
        </w:p>
        <w:p>
          <w:pPr>
            <w:pStyle w:val="TOC2"/>
            <w:numPr>
              <w:ilvl w:val="1"/>
              <w:numId w:val="8"/>
            </w:numPr>
            <w:tabs>
              <w:tab w:pos="370" w:val="left" w:leader="none"/>
              <w:tab w:pos="8481" w:val="left" w:leader="dot"/>
            </w:tabs>
            <w:spacing w:line="240" w:lineRule="auto" w:before="88" w:after="0"/>
            <w:ind w:left="1026" w:right="249" w:hanging="1027"/>
            <w:jc w:val="right"/>
            <w:rPr>
              <w:rFonts w:ascii="Times New Roman" w:eastAsia="Times New Roman"/>
            </w:rPr>
          </w:pPr>
          <w:hyperlink w:history="true" w:anchor="_bookmark119">
            <w:r>
              <w:rPr>
                <w:spacing w:val="-3"/>
              </w:rPr>
              <w:t>环</w:t>
            </w:r>
            <w:r>
              <w:rPr/>
              <w:t>境</w:t>
            </w:r>
            <w:r>
              <w:rPr>
                <w:spacing w:val="-3"/>
              </w:rPr>
              <w:t>管</w:t>
            </w:r>
            <w:r>
              <w:rPr/>
              <w:t>理</w:t>
              <w:tab/>
            </w:r>
            <w:r>
              <w:rPr>
                <w:rFonts w:ascii="Times New Roman" w:eastAsia="Times New Roman"/>
              </w:rPr>
              <w:t>206</w:t>
            </w:r>
          </w:hyperlink>
        </w:p>
        <w:p>
          <w:pPr>
            <w:pStyle w:val="TOC2"/>
            <w:numPr>
              <w:ilvl w:val="2"/>
              <w:numId w:val="8"/>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120">
            <w:r>
              <w:rPr/>
              <w:t>环</w:t>
            </w:r>
            <w:r>
              <w:rPr>
                <w:spacing w:val="-3"/>
              </w:rPr>
              <w:t>境</w:t>
            </w:r>
            <w:r>
              <w:rPr/>
              <w:t>管</w:t>
            </w:r>
            <w:r>
              <w:rPr>
                <w:spacing w:val="-3"/>
              </w:rPr>
              <w:t>理</w:t>
            </w:r>
            <w:r>
              <w:rPr/>
              <w:t>要求</w:t>
              <w:tab/>
            </w:r>
            <w:r>
              <w:rPr>
                <w:rFonts w:ascii="Times New Roman" w:eastAsia="Times New Roman"/>
              </w:rPr>
              <w:t>206</w:t>
            </w:r>
          </w:hyperlink>
        </w:p>
        <w:p>
          <w:pPr>
            <w:pStyle w:val="TOC2"/>
            <w:numPr>
              <w:ilvl w:val="2"/>
              <w:numId w:val="8"/>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121">
            <w:r>
              <w:rPr/>
              <w:t>健</w:t>
            </w:r>
            <w:r>
              <w:rPr>
                <w:spacing w:val="-3"/>
              </w:rPr>
              <w:t>全</w:t>
            </w:r>
            <w:r>
              <w:rPr/>
              <w:t>环</w:t>
            </w:r>
            <w:r>
              <w:rPr>
                <w:spacing w:val="-3"/>
              </w:rPr>
              <w:t>保</w:t>
            </w:r>
            <w:r>
              <w:rPr/>
              <w:t>机构</w:t>
              <w:tab/>
            </w:r>
            <w:r>
              <w:rPr>
                <w:rFonts w:ascii="Times New Roman" w:eastAsia="Times New Roman"/>
              </w:rPr>
              <w:t>207</w:t>
            </w:r>
          </w:hyperlink>
        </w:p>
        <w:p>
          <w:pPr>
            <w:pStyle w:val="TOC2"/>
            <w:numPr>
              <w:ilvl w:val="2"/>
              <w:numId w:val="8"/>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122">
            <w:r>
              <w:rPr/>
              <w:t>明</w:t>
            </w:r>
            <w:r>
              <w:rPr>
                <w:spacing w:val="-3"/>
              </w:rPr>
              <w:t>确</w:t>
            </w:r>
            <w:r>
              <w:rPr/>
              <w:t>管</w:t>
            </w:r>
            <w:r>
              <w:rPr>
                <w:spacing w:val="-3"/>
              </w:rPr>
              <w:t>理</w:t>
            </w:r>
            <w:r>
              <w:rPr/>
              <w:t>职能</w:t>
              <w:tab/>
            </w:r>
            <w:r>
              <w:rPr>
                <w:rFonts w:ascii="Times New Roman" w:eastAsia="Times New Roman"/>
              </w:rPr>
              <w:t>208</w:t>
            </w:r>
          </w:hyperlink>
        </w:p>
        <w:p>
          <w:pPr>
            <w:pStyle w:val="TOC2"/>
            <w:numPr>
              <w:ilvl w:val="2"/>
              <w:numId w:val="8"/>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123">
            <w:r>
              <w:rPr/>
              <w:t>环</w:t>
            </w:r>
            <w:r>
              <w:rPr>
                <w:spacing w:val="-3"/>
              </w:rPr>
              <w:t>境</w:t>
            </w:r>
            <w:r>
              <w:rPr/>
              <w:t>管</w:t>
            </w:r>
            <w:r>
              <w:rPr>
                <w:spacing w:val="-3"/>
              </w:rPr>
              <w:t>理</w:t>
            </w:r>
            <w:r>
              <w:rPr/>
              <w:t>建议</w:t>
              <w:tab/>
            </w:r>
            <w:r>
              <w:rPr>
                <w:rFonts w:ascii="Times New Roman" w:eastAsia="Times New Roman"/>
              </w:rPr>
              <w:t>208</w:t>
            </w:r>
          </w:hyperlink>
        </w:p>
        <w:p>
          <w:pPr>
            <w:pStyle w:val="TOC2"/>
            <w:numPr>
              <w:ilvl w:val="1"/>
              <w:numId w:val="8"/>
            </w:numPr>
            <w:tabs>
              <w:tab w:pos="370" w:val="left" w:leader="none"/>
              <w:tab w:pos="8481" w:val="left" w:leader="dot"/>
            </w:tabs>
            <w:spacing w:line="240" w:lineRule="auto" w:before="92" w:after="0"/>
            <w:ind w:left="1026" w:right="249" w:hanging="1027"/>
            <w:jc w:val="right"/>
            <w:rPr>
              <w:rFonts w:ascii="Times New Roman" w:eastAsia="Times New Roman"/>
            </w:rPr>
          </w:pPr>
          <w:hyperlink w:history="true" w:anchor="_bookmark124">
            <w:r>
              <w:rPr>
                <w:spacing w:val="-3"/>
              </w:rPr>
              <w:t>环</w:t>
            </w:r>
            <w:r>
              <w:rPr/>
              <w:t>境</w:t>
            </w:r>
            <w:r>
              <w:rPr>
                <w:spacing w:val="-3"/>
              </w:rPr>
              <w:t>监</w:t>
            </w:r>
            <w:r>
              <w:rPr/>
              <w:t>测</w:t>
            </w:r>
            <w:r>
              <w:rPr>
                <w:spacing w:val="-3"/>
              </w:rPr>
              <w:t>计</w:t>
            </w:r>
            <w:r>
              <w:rPr/>
              <w:t>划</w:t>
              <w:tab/>
            </w:r>
            <w:r>
              <w:rPr>
                <w:rFonts w:ascii="Times New Roman" w:eastAsia="Times New Roman"/>
              </w:rPr>
              <w:t>209</w:t>
            </w:r>
          </w:hyperlink>
        </w:p>
        <w:p>
          <w:pPr>
            <w:pStyle w:val="TOC2"/>
            <w:numPr>
              <w:ilvl w:val="2"/>
              <w:numId w:val="8"/>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125">
            <w:r>
              <w:rPr/>
              <w:t>污</w:t>
            </w:r>
            <w:r>
              <w:rPr>
                <w:spacing w:val="-3"/>
              </w:rPr>
              <w:t>染</w:t>
            </w:r>
            <w:r>
              <w:rPr/>
              <w:t>物</w:t>
            </w:r>
            <w:r>
              <w:rPr>
                <w:spacing w:val="-3"/>
              </w:rPr>
              <w:t>排</w:t>
            </w:r>
            <w:r>
              <w:rPr/>
              <w:t>放</w:t>
            </w:r>
            <w:r>
              <w:rPr>
                <w:spacing w:val="-3"/>
              </w:rPr>
              <w:t>清</w:t>
            </w:r>
            <w:r>
              <w:rPr/>
              <w:t>单</w:t>
              <w:tab/>
            </w:r>
            <w:r>
              <w:rPr>
                <w:rFonts w:ascii="Times New Roman" w:eastAsia="Times New Roman"/>
              </w:rPr>
              <w:t>209</w:t>
            </w:r>
          </w:hyperlink>
        </w:p>
        <w:p>
          <w:pPr>
            <w:pStyle w:val="TOC2"/>
            <w:numPr>
              <w:ilvl w:val="2"/>
              <w:numId w:val="8"/>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126">
            <w:r>
              <w:rPr/>
              <w:t>竣</w:t>
            </w:r>
            <w:r>
              <w:rPr>
                <w:spacing w:val="-3"/>
              </w:rPr>
              <w:t>工</w:t>
            </w:r>
            <w:r>
              <w:rPr/>
              <w:t>验</w:t>
            </w:r>
            <w:r>
              <w:rPr>
                <w:spacing w:val="-3"/>
              </w:rPr>
              <w:t>收</w:t>
            </w:r>
            <w:r>
              <w:rPr/>
              <w:t>监</w:t>
            </w:r>
            <w:r>
              <w:rPr>
                <w:spacing w:val="-3"/>
              </w:rPr>
              <w:t>测</w:t>
            </w:r>
            <w:r>
              <w:rPr/>
              <w:t>计划</w:t>
              <w:tab/>
            </w:r>
            <w:r>
              <w:rPr>
                <w:rFonts w:ascii="Times New Roman" w:eastAsia="Times New Roman"/>
              </w:rPr>
              <w:t>213</w:t>
            </w:r>
          </w:hyperlink>
        </w:p>
        <w:p>
          <w:pPr>
            <w:pStyle w:val="TOC2"/>
            <w:numPr>
              <w:ilvl w:val="2"/>
              <w:numId w:val="8"/>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127">
            <w:r>
              <w:rPr/>
              <w:t>运</w:t>
            </w:r>
            <w:r>
              <w:rPr>
                <w:spacing w:val="-3"/>
              </w:rPr>
              <w:t>营</w:t>
            </w:r>
            <w:r>
              <w:rPr/>
              <w:t>期</w:t>
            </w:r>
            <w:r>
              <w:rPr>
                <w:spacing w:val="-3"/>
              </w:rPr>
              <w:t>污</w:t>
            </w:r>
            <w:r>
              <w:rPr/>
              <w:t>染</w:t>
            </w:r>
            <w:r>
              <w:rPr>
                <w:spacing w:val="-3"/>
              </w:rPr>
              <w:t>源</w:t>
            </w:r>
            <w:r>
              <w:rPr/>
              <w:t>监</w:t>
            </w:r>
            <w:r>
              <w:rPr>
                <w:spacing w:val="-3"/>
              </w:rPr>
              <w:t>测计</w:t>
            </w:r>
            <w:r>
              <w:rPr/>
              <w:t>划</w:t>
              <w:tab/>
            </w:r>
            <w:r>
              <w:rPr>
                <w:rFonts w:ascii="Times New Roman" w:eastAsia="Times New Roman"/>
              </w:rPr>
              <w:t>214</w:t>
            </w:r>
          </w:hyperlink>
        </w:p>
        <w:p>
          <w:pPr>
            <w:pStyle w:val="TOC2"/>
            <w:numPr>
              <w:ilvl w:val="2"/>
              <w:numId w:val="8"/>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128">
            <w:r>
              <w:rPr/>
              <w:t>环</w:t>
            </w:r>
            <w:r>
              <w:rPr>
                <w:spacing w:val="-3"/>
              </w:rPr>
              <w:t>境</w:t>
            </w:r>
            <w:r>
              <w:rPr/>
              <w:t>质</w:t>
            </w:r>
            <w:r>
              <w:rPr>
                <w:spacing w:val="-3"/>
              </w:rPr>
              <w:t>量</w:t>
            </w:r>
            <w:r>
              <w:rPr/>
              <w:t>监</w:t>
            </w:r>
            <w:r>
              <w:rPr>
                <w:spacing w:val="-3"/>
              </w:rPr>
              <w:t>测</w:t>
            </w:r>
            <w:r>
              <w:rPr/>
              <w:t>计划</w:t>
              <w:tab/>
            </w:r>
            <w:r>
              <w:rPr>
                <w:rFonts w:ascii="Times New Roman" w:eastAsia="Times New Roman"/>
              </w:rPr>
              <w:t>215</w:t>
            </w:r>
          </w:hyperlink>
        </w:p>
        <w:p>
          <w:pPr>
            <w:pStyle w:val="TOC1"/>
            <w:tabs>
              <w:tab w:pos="8901" w:val="left" w:leader="dot"/>
            </w:tabs>
            <w:rPr>
              <w:rFonts w:ascii="Times New Roman" w:eastAsia="Times New Roman"/>
            </w:rPr>
          </w:pPr>
          <w:hyperlink w:history="true" w:anchor="_bookmark129">
            <w:r>
              <w:rPr/>
              <w:t>第九章</w:t>
            </w:r>
            <w:r>
              <w:rPr>
                <w:spacing w:val="-2"/>
              </w:rPr>
              <w:t> </w:t>
            </w:r>
            <w:r>
              <w:rPr/>
              <w:t>环境影响评价结论</w:t>
            </w:r>
          </w:hyperlink>
          <w:r>
            <w:rPr/>
            <w:tab/>
          </w:r>
          <w:hyperlink w:history="true" w:anchor="_bookmark129">
            <w:r>
              <w:rPr>
                <w:rFonts w:ascii="Times New Roman" w:eastAsia="Times New Roman"/>
              </w:rPr>
              <w:t>216</w:t>
            </w:r>
          </w:hyperlink>
        </w:p>
        <w:p>
          <w:pPr>
            <w:pStyle w:val="TOC2"/>
            <w:numPr>
              <w:ilvl w:val="1"/>
              <w:numId w:val="9"/>
            </w:numPr>
            <w:tabs>
              <w:tab w:pos="370" w:val="left" w:leader="none"/>
              <w:tab w:pos="8481" w:val="left" w:leader="dot"/>
            </w:tabs>
            <w:spacing w:line="240" w:lineRule="auto" w:before="91" w:after="0"/>
            <w:ind w:left="1026" w:right="249" w:hanging="1027"/>
            <w:jc w:val="right"/>
            <w:rPr>
              <w:rFonts w:ascii="Times New Roman" w:eastAsia="Times New Roman"/>
            </w:rPr>
          </w:pPr>
          <w:hyperlink w:history="true" w:anchor="_bookmark130">
            <w:r>
              <w:rPr>
                <w:spacing w:val="-3"/>
              </w:rPr>
              <w:t>基</w:t>
            </w:r>
            <w:r>
              <w:rPr/>
              <w:t>本</w:t>
            </w:r>
            <w:r>
              <w:rPr>
                <w:spacing w:val="-3"/>
              </w:rPr>
              <w:t>结</w:t>
            </w:r>
            <w:r>
              <w:rPr/>
              <w:t>论</w:t>
              <w:tab/>
            </w:r>
            <w:r>
              <w:rPr>
                <w:rFonts w:ascii="Times New Roman" w:eastAsia="Times New Roman"/>
              </w:rPr>
              <w:t>216</w:t>
            </w:r>
          </w:hyperlink>
        </w:p>
        <w:p>
          <w:pPr>
            <w:pStyle w:val="TOC2"/>
            <w:numPr>
              <w:ilvl w:val="2"/>
              <w:numId w:val="9"/>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131">
            <w:r>
              <w:rPr/>
              <w:t>项</w:t>
            </w:r>
            <w:r>
              <w:rPr>
                <w:spacing w:val="-3"/>
              </w:rPr>
              <w:t>目</w:t>
            </w:r>
            <w:r>
              <w:rPr/>
              <w:t>建</w:t>
            </w:r>
            <w:r>
              <w:rPr>
                <w:spacing w:val="-3"/>
              </w:rPr>
              <w:t>设</w:t>
            </w:r>
            <w:r>
              <w:rPr/>
              <w:t>概况</w:t>
              <w:tab/>
            </w:r>
            <w:r>
              <w:rPr>
                <w:rFonts w:ascii="Times New Roman" w:eastAsia="Times New Roman"/>
              </w:rPr>
              <w:t>216</w:t>
            </w:r>
          </w:hyperlink>
        </w:p>
        <w:p>
          <w:pPr>
            <w:pStyle w:val="TOC2"/>
            <w:numPr>
              <w:ilvl w:val="2"/>
              <w:numId w:val="9"/>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132">
            <w:r>
              <w:rPr/>
              <w:t>污</w:t>
            </w:r>
            <w:r>
              <w:rPr>
                <w:spacing w:val="-3"/>
              </w:rPr>
              <w:t>染</w:t>
            </w:r>
            <w:r>
              <w:rPr/>
              <w:t>物</w:t>
            </w:r>
            <w:r>
              <w:rPr>
                <w:spacing w:val="-3"/>
              </w:rPr>
              <w:t>排</w:t>
            </w:r>
            <w:r>
              <w:rPr/>
              <w:t>放</w:t>
            </w:r>
            <w:r>
              <w:rPr>
                <w:spacing w:val="-3"/>
              </w:rPr>
              <w:t>情</w:t>
            </w:r>
            <w:r>
              <w:rPr/>
              <w:t>况</w:t>
              <w:tab/>
            </w:r>
            <w:r>
              <w:rPr>
                <w:rFonts w:ascii="Times New Roman" w:eastAsia="Times New Roman"/>
              </w:rPr>
              <w:t>216</w:t>
            </w:r>
          </w:hyperlink>
        </w:p>
        <w:p>
          <w:pPr>
            <w:pStyle w:val="TOC2"/>
            <w:numPr>
              <w:ilvl w:val="2"/>
              <w:numId w:val="9"/>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133">
            <w:r>
              <w:rPr/>
              <w:t>环</w:t>
            </w:r>
            <w:r>
              <w:rPr>
                <w:spacing w:val="-3"/>
              </w:rPr>
              <w:t>境</w:t>
            </w:r>
            <w:r>
              <w:rPr/>
              <w:t>质</w:t>
            </w:r>
            <w:r>
              <w:rPr>
                <w:spacing w:val="-3"/>
              </w:rPr>
              <w:t>量</w:t>
            </w:r>
            <w:r>
              <w:rPr/>
              <w:t>现状</w:t>
              <w:tab/>
            </w:r>
            <w:r>
              <w:rPr>
                <w:rFonts w:ascii="Times New Roman" w:eastAsia="Times New Roman"/>
              </w:rPr>
              <w:t>217</w:t>
            </w:r>
          </w:hyperlink>
        </w:p>
        <w:p>
          <w:pPr>
            <w:pStyle w:val="TOC2"/>
            <w:numPr>
              <w:ilvl w:val="2"/>
              <w:numId w:val="9"/>
            </w:numPr>
            <w:tabs>
              <w:tab w:pos="526" w:val="left" w:leader="none"/>
              <w:tab w:pos="8061" w:val="left" w:leader="dot"/>
            </w:tabs>
            <w:spacing w:line="240" w:lineRule="auto" w:before="92" w:after="0"/>
            <w:ind w:left="1602" w:right="249" w:hanging="1603"/>
            <w:jc w:val="right"/>
            <w:rPr>
              <w:rFonts w:ascii="Times New Roman" w:eastAsia="Times New Roman"/>
            </w:rPr>
          </w:pPr>
          <w:hyperlink w:history="true" w:anchor="_bookmark134">
            <w:r>
              <w:rPr/>
              <w:t>主</w:t>
            </w:r>
            <w:r>
              <w:rPr>
                <w:spacing w:val="-3"/>
              </w:rPr>
              <w:t>要</w:t>
            </w:r>
            <w:r>
              <w:rPr/>
              <w:t>环</w:t>
            </w:r>
            <w:r>
              <w:rPr>
                <w:spacing w:val="-3"/>
              </w:rPr>
              <w:t>境</w:t>
            </w:r>
            <w:r>
              <w:rPr/>
              <w:t>影响</w:t>
              <w:tab/>
            </w:r>
            <w:r>
              <w:rPr>
                <w:rFonts w:ascii="Times New Roman" w:eastAsia="Times New Roman"/>
              </w:rPr>
              <w:t>218</w:t>
            </w:r>
          </w:hyperlink>
        </w:p>
        <w:p>
          <w:pPr>
            <w:pStyle w:val="TOC2"/>
            <w:numPr>
              <w:ilvl w:val="2"/>
              <w:numId w:val="9"/>
            </w:numPr>
            <w:tabs>
              <w:tab w:pos="526" w:val="left" w:leader="none"/>
              <w:tab w:pos="8061" w:val="left" w:leader="dot"/>
            </w:tabs>
            <w:spacing w:line="240" w:lineRule="auto" w:before="88" w:after="0"/>
            <w:ind w:left="1602" w:right="249" w:hanging="1603"/>
            <w:jc w:val="right"/>
            <w:rPr>
              <w:rFonts w:ascii="Times New Roman" w:eastAsia="Times New Roman"/>
            </w:rPr>
          </w:pPr>
          <w:hyperlink w:history="true" w:anchor="_bookmark135">
            <w:r>
              <w:rPr/>
              <w:t>公</w:t>
            </w:r>
            <w:r>
              <w:rPr>
                <w:spacing w:val="-3"/>
              </w:rPr>
              <w:t>众</w:t>
            </w:r>
            <w:r>
              <w:rPr/>
              <w:t>意</w:t>
            </w:r>
            <w:r>
              <w:rPr>
                <w:spacing w:val="-3"/>
              </w:rPr>
              <w:t>见</w:t>
            </w:r>
            <w:r>
              <w:rPr/>
              <w:t>采</w:t>
            </w:r>
            <w:r>
              <w:rPr>
                <w:spacing w:val="-3"/>
              </w:rPr>
              <w:t>纳</w:t>
            </w:r>
            <w:r>
              <w:rPr/>
              <w:t>情况</w:t>
              <w:tab/>
            </w:r>
            <w:r>
              <w:rPr>
                <w:rFonts w:ascii="Times New Roman" w:eastAsia="Times New Roman"/>
              </w:rPr>
              <w:t>224</w:t>
            </w:r>
          </w:hyperlink>
        </w:p>
        <w:p>
          <w:pPr>
            <w:pStyle w:val="TOC2"/>
            <w:numPr>
              <w:ilvl w:val="2"/>
              <w:numId w:val="9"/>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136">
            <w:r>
              <w:rPr/>
              <w:t>环</w:t>
            </w:r>
            <w:r>
              <w:rPr>
                <w:spacing w:val="-3"/>
              </w:rPr>
              <w:t>境</w:t>
            </w:r>
            <w:r>
              <w:rPr/>
              <w:t>保</w:t>
            </w:r>
            <w:r>
              <w:rPr>
                <w:spacing w:val="-3"/>
              </w:rPr>
              <w:t>护</w:t>
            </w:r>
            <w:r>
              <w:rPr/>
              <w:t>措施</w:t>
              <w:tab/>
            </w:r>
            <w:r>
              <w:rPr>
                <w:rFonts w:ascii="Times New Roman" w:eastAsia="Times New Roman"/>
              </w:rPr>
              <w:t>224</w:t>
            </w:r>
          </w:hyperlink>
        </w:p>
        <w:p>
          <w:pPr>
            <w:pStyle w:val="TOC2"/>
            <w:numPr>
              <w:ilvl w:val="2"/>
              <w:numId w:val="9"/>
            </w:numPr>
            <w:tabs>
              <w:tab w:pos="526" w:val="left" w:leader="none"/>
              <w:tab w:pos="8061" w:val="left" w:leader="dot"/>
            </w:tabs>
            <w:spacing w:line="240" w:lineRule="auto" w:before="89" w:after="0"/>
            <w:ind w:left="1602" w:right="249" w:hanging="1603"/>
            <w:jc w:val="right"/>
            <w:rPr>
              <w:rFonts w:ascii="Times New Roman" w:eastAsia="Times New Roman"/>
            </w:rPr>
          </w:pPr>
          <w:hyperlink w:history="true" w:anchor="_bookmark137">
            <w:r>
              <w:rPr/>
              <w:t>环</w:t>
            </w:r>
            <w:r>
              <w:rPr>
                <w:spacing w:val="-3"/>
              </w:rPr>
              <w:t>境</w:t>
            </w:r>
            <w:r>
              <w:rPr/>
              <w:t>经</w:t>
            </w:r>
            <w:r>
              <w:rPr>
                <w:spacing w:val="-3"/>
              </w:rPr>
              <w:t>济</w:t>
            </w:r>
            <w:r>
              <w:rPr/>
              <w:t>损</w:t>
            </w:r>
            <w:r>
              <w:rPr>
                <w:spacing w:val="-3"/>
              </w:rPr>
              <w:t>益</w:t>
            </w:r>
            <w:r>
              <w:rPr/>
              <w:t>分析</w:t>
              <w:tab/>
            </w:r>
            <w:r>
              <w:rPr>
                <w:rFonts w:ascii="Times New Roman" w:eastAsia="Times New Roman"/>
              </w:rPr>
              <w:t>225</w:t>
            </w:r>
          </w:hyperlink>
        </w:p>
        <w:p>
          <w:pPr>
            <w:pStyle w:val="TOC2"/>
            <w:numPr>
              <w:ilvl w:val="2"/>
              <w:numId w:val="9"/>
            </w:numPr>
            <w:tabs>
              <w:tab w:pos="526" w:val="left" w:leader="none"/>
              <w:tab w:pos="8061" w:val="left" w:leader="dot"/>
            </w:tabs>
            <w:spacing w:line="240" w:lineRule="auto" w:before="91" w:after="0"/>
            <w:ind w:left="1602" w:right="249" w:hanging="1603"/>
            <w:jc w:val="right"/>
            <w:rPr>
              <w:rFonts w:ascii="Times New Roman" w:eastAsia="Times New Roman"/>
            </w:rPr>
          </w:pPr>
          <w:hyperlink w:history="true" w:anchor="_bookmark138">
            <w:r>
              <w:rPr/>
              <w:t>环</w:t>
            </w:r>
            <w:r>
              <w:rPr>
                <w:spacing w:val="-3"/>
              </w:rPr>
              <w:t>境</w:t>
            </w:r>
            <w:r>
              <w:rPr/>
              <w:t>管</w:t>
            </w:r>
            <w:r>
              <w:rPr>
                <w:spacing w:val="-3"/>
              </w:rPr>
              <w:t>理</w:t>
            </w:r>
            <w:r>
              <w:rPr/>
              <w:t>与</w:t>
            </w:r>
            <w:r>
              <w:rPr>
                <w:spacing w:val="-3"/>
              </w:rPr>
              <w:t>监</w:t>
            </w:r>
            <w:r>
              <w:rPr/>
              <w:t>测</w:t>
            </w:r>
            <w:r>
              <w:rPr>
                <w:spacing w:val="-3"/>
              </w:rPr>
              <w:t>计</w:t>
            </w:r>
            <w:r>
              <w:rPr/>
              <w:t>划</w:t>
              <w:tab/>
            </w:r>
            <w:r>
              <w:rPr>
                <w:rFonts w:ascii="Times New Roman" w:eastAsia="Times New Roman"/>
              </w:rPr>
              <w:t>225</w:t>
            </w:r>
          </w:hyperlink>
        </w:p>
        <w:p>
          <w:pPr>
            <w:pStyle w:val="TOC3"/>
            <w:numPr>
              <w:ilvl w:val="1"/>
              <w:numId w:val="9"/>
            </w:numPr>
            <w:tabs>
              <w:tab w:pos="1027" w:val="left" w:leader="none"/>
              <w:tab w:pos="9138" w:val="left" w:leader="dot"/>
            </w:tabs>
            <w:spacing w:line="240" w:lineRule="auto" w:before="88" w:after="0"/>
            <w:ind w:left="1026" w:right="0" w:hanging="370"/>
            <w:jc w:val="left"/>
            <w:rPr>
              <w:rFonts w:ascii="Times New Roman" w:eastAsia="Times New Roman"/>
            </w:rPr>
          </w:pPr>
          <w:hyperlink w:history="true" w:anchor="_bookmark139">
            <w:r>
              <w:rPr>
                <w:spacing w:val="-3"/>
              </w:rPr>
              <w:t>审</w:t>
            </w:r>
            <w:r>
              <w:rPr/>
              <w:t>批</w:t>
            </w:r>
            <w:r>
              <w:rPr>
                <w:spacing w:val="-3"/>
              </w:rPr>
              <w:t>原</w:t>
            </w:r>
            <w:r>
              <w:rPr/>
              <w:t>则</w:t>
            </w:r>
            <w:r>
              <w:rPr>
                <w:spacing w:val="-3"/>
              </w:rPr>
              <w:t>符</w:t>
            </w:r>
            <w:r>
              <w:rPr/>
              <w:t>合</w:t>
            </w:r>
            <w:r>
              <w:rPr>
                <w:spacing w:val="-3"/>
              </w:rPr>
              <w:t>性</w:t>
            </w:r>
            <w:r>
              <w:rPr/>
              <w:t>分析</w:t>
              <w:tab/>
            </w:r>
            <w:r>
              <w:rPr>
                <w:rFonts w:ascii="Times New Roman" w:eastAsia="Times New Roman"/>
              </w:rPr>
              <w:t>226</w:t>
            </w:r>
          </w:hyperlink>
        </w:p>
        <w:p>
          <w:pPr>
            <w:pStyle w:val="TOC3"/>
            <w:numPr>
              <w:ilvl w:val="1"/>
              <w:numId w:val="9"/>
            </w:numPr>
            <w:tabs>
              <w:tab w:pos="1027" w:val="left" w:leader="none"/>
              <w:tab w:pos="9138" w:val="left" w:leader="dot"/>
            </w:tabs>
            <w:spacing w:line="240" w:lineRule="auto" w:before="91" w:after="0"/>
            <w:ind w:left="1026" w:right="0" w:hanging="370"/>
            <w:jc w:val="left"/>
            <w:rPr>
              <w:rFonts w:ascii="Times New Roman" w:eastAsia="Times New Roman"/>
            </w:rPr>
          </w:pPr>
          <w:hyperlink w:history="true" w:anchor="_bookmark140">
            <w:r>
              <w:rPr>
                <w:spacing w:val="-3"/>
              </w:rPr>
              <w:t>环</w:t>
            </w:r>
            <w:r>
              <w:rPr/>
              <w:t>境</w:t>
            </w:r>
            <w:r>
              <w:rPr>
                <w:spacing w:val="-3"/>
              </w:rPr>
              <w:t>影</w:t>
            </w:r>
            <w:r>
              <w:rPr/>
              <w:t>响</w:t>
            </w:r>
            <w:r>
              <w:rPr>
                <w:spacing w:val="-3"/>
              </w:rPr>
              <w:t>评</w:t>
            </w:r>
            <w:r>
              <w:rPr/>
              <w:t>价</w:t>
            </w:r>
            <w:r>
              <w:rPr>
                <w:spacing w:val="-3"/>
              </w:rPr>
              <w:t>总</w:t>
            </w:r>
            <w:r>
              <w:rPr/>
              <w:t>结论</w:t>
              <w:tab/>
            </w:r>
            <w:r>
              <w:rPr>
                <w:rFonts w:ascii="Times New Roman" w:eastAsia="Times New Roman"/>
              </w:rPr>
              <w:t>239</w:t>
            </w:r>
          </w:hyperlink>
        </w:p>
      </w:sdtContent>
    </w:sdt>
    <w:p>
      <w:pPr>
        <w:spacing w:after="0" w:line="240" w:lineRule="auto"/>
        <w:jc w:val="left"/>
        <w:rPr>
          <w:rFonts w:ascii="Times New Roman" w:eastAsia="Times New Roman"/>
        </w:rPr>
        <w:sectPr>
          <w:footerReference w:type="default" r:id="rId7"/>
          <w:pgSz w:w="11910" w:h="16840"/>
          <w:pgMar w:footer="1004" w:header="874" w:top="1402" w:bottom="1354" w:left="1040" w:right="1160"/>
          <w:pgNumType w:start="2"/>
        </w:sectPr>
      </w:pPr>
    </w:p>
    <w:p>
      <w:pPr>
        <w:pStyle w:val="BodyText"/>
        <w:ind w:left="0"/>
        <w:rPr>
          <w:rFonts w:ascii="Times New Roman"/>
          <w:sz w:val="22"/>
        </w:rPr>
      </w:pPr>
    </w:p>
    <w:p>
      <w:pPr>
        <w:pStyle w:val="BodyText"/>
        <w:spacing w:before="2"/>
        <w:ind w:left="0"/>
        <w:rPr>
          <w:rFonts w:ascii="Times New Roman"/>
          <w:sz w:val="17"/>
        </w:rPr>
      </w:pPr>
    </w:p>
    <w:p>
      <w:pPr>
        <w:spacing w:before="1"/>
        <w:ind w:left="237" w:right="0" w:firstLine="0"/>
        <w:jc w:val="left"/>
        <w:rPr>
          <w:b/>
          <w:sz w:val="21"/>
        </w:rPr>
      </w:pPr>
      <w:r>
        <w:rPr>
          <w:b/>
          <w:sz w:val="21"/>
        </w:rPr>
        <w:t>附图：</w:t>
      </w:r>
    </w:p>
    <w:p>
      <w:pPr>
        <w:spacing w:line="321" w:lineRule="auto" w:before="88"/>
        <w:ind w:left="657" w:right="6210" w:firstLine="0"/>
        <w:jc w:val="left"/>
        <w:rPr>
          <w:sz w:val="21"/>
        </w:rPr>
      </w:pPr>
      <w:r>
        <w:rPr>
          <w:sz w:val="21"/>
        </w:rPr>
        <w:t>附图一 项目地理位置示意图附图二 项目总平面布置示意图</w:t>
      </w:r>
    </w:p>
    <w:p>
      <w:pPr>
        <w:spacing w:line="321" w:lineRule="auto" w:before="0"/>
        <w:ind w:left="657" w:right="4949" w:firstLine="0"/>
        <w:jc w:val="left"/>
        <w:rPr>
          <w:sz w:val="21"/>
        </w:rPr>
      </w:pPr>
      <w:r>
        <w:rPr>
          <w:sz w:val="21"/>
        </w:rPr>
        <w:t>附图三 评价范围内主要环境保护目标示意图附图四 项目周边环境概况</w:t>
      </w:r>
    </w:p>
    <w:p>
      <w:pPr>
        <w:spacing w:line="266" w:lineRule="exact" w:before="0"/>
        <w:ind w:left="657" w:right="0" w:firstLine="0"/>
        <w:jc w:val="left"/>
        <w:rPr>
          <w:sz w:val="21"/>
        </w:rPr>
      </w:pPr>
      <w:r>
        <w:rPr>
          <w:spacing w:val="-3"/>
          <w:sz w:val="21"/>
        </w:rPr>
        <w:t>附图五 环境监测点位示意图</w:t>
      </w:r>
    </w:p>
    <w:p>
      <w:pPr>
        <w:spacing w:line="319" w:lineRule="auto" w:before="88"/>
        <w:ind w:left="657" w:right="5789" w:firstLine="0"/>
        <w:jc w:val="left"/>
        <w:rPr>
          <w:sz w:val="21"/>
        </w:rPr>
      </w:pPr>
      <w:r>
        <w:rPr>
          <w:spacing w:val="-4"/>
          <w:sz w:val="21"/>
        </w:rPr>
        <w:t>附图六 柯桥区环境管控单元分类图</w:t>
      </w:r>
      <w:r>
        <w:rPr>
          <w:spacing w:val="-3"/>
          <w:sz w:val="21"/>
        </w:rPr>
        <w:t>附图七 柯岩街道水域现状图</w:t>
      </w:r>
    </w:p>
    <w:p>
      <w:pPr>
        <w:spacing w:before="2"/>
        <w:ind w:left="657" w:right="0" w:firstLine="0"/>
        <w:jc w:val="left"/>
        <w:rPr>
          <w:sz w:val="21"/>
        </w:rPr>
      </w:pPr>
      <w:r>
        <w:rPr>
          <w:sz w:val="21"/>
        </w:rPr>
        <w:t>附图八 绍兴市水环境功能区划图</w:t>
      </w:r>
    </w:p>
    <w:p>
      <w:pPr>
        <w:spacing w:line="321" w:lineRule="auto" w:before="89"/>
        <w:ind w:left="657" w:right="4738" w:firstLine="0"/>
        <w:jc w:val="left"/>
        <w:rPr>
          <w:sz w:val="21"/>
        </w:rPr>
      </w:pPr>
      <w:r>
        <w:rPr>
          <w:sz w:val="21"/>
        </w:rPr>
        <w:t>附图九 绍兴市环境空气质量功能区划分示意图附图十 柯桥区畜禽养殖禁养区分布图</w:t>
      </w:r>
    </w:p>
    <w:p>
      <w:pPr>
        <w:spacing w:after="0" w:line="321" w:lineRule="auto"/>
        <w:jc w:val="left"/>
        <w:rPr>
          <w:sz w:val="21"/>
        </w:rPr>
        <w:sectPr>
          <w:type w:val="continuous"/>
          <w:pgSz w:w="11910" w:h="16840"/>
          <w:pgMar w:top="1400" w:bottom="1200" w:left="1040" w:right="1160"/>
        </w:sectPr>
      </w:pPr>
    </w:p>
    <w:p>
      <w:pPr>
        <w:spacing w:before="86"/>
        <w:ind w:left="657" w:right="0" w:firstLine="0"/>
        <w:jc w:val="left"/>
        <w:rPr>
          <w:sz w:val="21"/>
        </w:rPr>
      </w:pPr>
      <w:r>
        <w:rPr>
          <w:sz w:val="21"/>
        </w:rPr>
        <w:t>附图十一 项目大气环境防护距离示意图</w:t>
      </w:r>
    </w:p>
    <w:p>
      <w:pPr>
        <w:spacing w:line="321" w:lineRule="auto" w:before="89"/>
        <w:ind w:left="657" w:right="4949" w:firstLine="0"/>
        <w:jc w:val="left"/>
        <w:rPr>
          <w:sz w:val="21"/>
        </w:rPr>
      </w:pPr>
      <w:r>
        <w:rPr>
          <w:sz w:val="21"/>
        </w:rPr>
        <w:t>附图十二 柯岩街道土地利用总体规划局部图附图十三 市政污水管网敷设示意图</w:t>
      </w:r>
    </w:p>
    <w:p>
      <w:pPr>
        <w:pStyle w:val="BodyText"/>
        <w:spacing w:before="10"/>
        <w:ind w:left="0"/>
        <w:rPr>
          <w:sz w:val="27"/>
        </w:rPr>
      </w:pPr>
    </w:p>
    <w:p>
      <w:pPr>
        <w:spacing w:before="0"/>
        <w:ind w:left="237" w:right="0" w:firstLine="0"/>
        <w:jc w:val="left"/>
        <w:rPr>
          <w:b/>
          <w:sz w:val="21"/>
        </w:rPr>
      </w:pPr>
      <w:r>
        <w:rPr>
          <w:b/>
          <w:sz w:val="21"/>
        </w:rPr>
        <w:t>附件：</w:t>
      </w:r>
    </w:p>
    <w:p>
      <w:pPr>
        <w:spacing w:before="89"/>
        <w:ind w:left="657" w:right="0" w:firstLine="0"/>
        <w:jc w:val="left"/>
        <w:rPr>
          <w:sz w:val="21"/>
        </w:rPr>
      </w:pPr>
      <w:r>
        <w:rPr>
          <w:sz w:val="21"/>
        </w:rPr>
        <w:t>附件一 浙江省企业投资项目备案（赋码）信息表</w:t>
      </w:r>
    </w:p>
    <w:p>
      <w:pPr>
        <w:spacing w:line="319" w:lineRule="auto" w:before="91"/>
        <w:ind w:left="657" w:right="609" w:firstLine="0"/>
        <w:jc w:val="left"/>
        <w:rPr>
          <w:sz w:val="21"/>
        </w:rPr>
      </w:pPr>
      <w:r>
        <w:rPr>
          <w:sz w:val="21"/>
        </w:rPr>
        <w:t>附件二 关于天圣集团农业生态产业链项目落地建设相关事宜的专题会议纪要（</w:t>
      </w:r>
      <w:r>
        <w:rPr>
          <w:rFonts w:ascii="Times New Roman" w:eastAsia="Times New Roman"/>
          <w:position w:val="1"/>
          <w:sz w:val="21"/>
        </w:rPr>
        <w:t>[2020]24</w:t>
      </w:r>
      <w:r>
        <w:rPr>
          <w:sz w:val="21"/>
        </w:rPr>
        <w:t>号） 附件三 企业法人营业执照复印件及法人身份证复印件</w:t>
      </w:r>
    </w:p>
    <w:p>
      <w:pPr>
        <w:spacing w:before="2"/>
        <w:ind w:left="657" w:right="0" w:firstLine="0"/>
        <w:jc w:val="left"/>
        <w:rPr>
          <w:sz w:val="21"/>
        </w:rPr>
      </w:pPr>
      <w:r>
        <w:rPr>
          <w:sz w:val="21"/>
        </w:rPr>
        <w:t>附件四 资源租赁（承包）合同</w:t>
      </w:r>
    </w:p>
    <w:p>
      <w:pPr>
        <w:spacing w:before="88"/>
        <w:ind w:left="657" w:right="0" w:firstLine="0"/>
        <w:jc w:val="left"/>
        <w:rPr>
          <w:sz w:val="21"/>
        </w:rPr>
      </w:pPr>
      <w:r>
        <w:rPr>
          <w:sz w:val="21"/>
        </w:rPr>
        <w:t>附件五 设施农用地备案申报表及备案单</w:t>
      </w:r>
    </w:p>
    <w:p>
      <w:pPr>
        <w:spacing w:before="92"/>
        <w:ind w:left="657" w:right="0" w:firstLine="0"/>
        <w:jc w:val="left"/>
        <w:rPr>
          <w:sz w:val="21"/>
        </w:rPr>
      </w:pPr>
      <w:r>
        <w:rPr>
          <w:sz w:val="21"/>
        </w:rPr>
        <w:t>附件六 申领排污许可证承诺及排污指标请示</w:t>
      </w:r>
    </w:p>
    <w:p>
      <w:pPr>
        <w:spacing w:line="321" w:lineRule="auto" w:before="88"/>
        <w:ind w:left="657" w:right="3686" w:firstLine="0"/>
        <w:jc w:val="left"/>
        <w:rPr>
          <w:sz w:val="21"/>
        </w:rPr>
      </w:pPr>
      <w:r>
        <w:rPr>
          <w:sz w:val="21"/>
        </w:rPr>
        <w:t>附件七 废水纳管承诺、申请报告及污水管网建设情况说明附件八 猪粪清理协议</w:t>
      </w:r>
    </w:p>
    <w:p>
      <w:pPr>
        <w:spacing w:line="266" w:lineRule="exact" w:before="0"/>
        <w:ind w:left="657" w:right="0" w:firstLine="0"/>
        <w:jc w:val="left"/>
        <w:rPr>
          <w:sz w:val="21"/>
        </w:rPr>
      </w:pPr>
      <w:r>
        <w:rPr>
          <w:sz w:val="21"/>
        </w:rPr>
        <w:t>附件九 医疗废物委托处置协议及绍柯畜所函</w:t>
      </w:r>
      <w:r>
        <w:rPr>
          <w:rFonts w:ascii="Times New Roman" w:eastAsia="Times New Roman"/>
          <w:position w:val="1"/>
          <w:sz w:val="21"/>
        </w:rPr>
        <w:t>[2020]1</w:t>
      </w:r>
      <w:r>
        <w:rPr>
          <w:sz w:val="21"/>
        </w:rPr>
        <w:t>号文件</w:t>
      </w:r>
    </w:p>
    <w:p>
      <w:pPr>
        <w:spacing w:line="319" w:lineRule="auto" w:before="91"/>
        <w:ind w:left="657" w:right="921" w:firstLine="0"/>
        <w:jc w:val="left"/>
        <w:rPr>
          <w:sz w:val="21"/>
        </w:rPr>
      </w:pPr>
      <w:r>
        <w:rPr>
          <w:sz w:val="21"/>
        </w:rPr>
        <w:t>附件十 关于要求暂停我区病死猪跨区域委托集中无害化处理的请示（绍柯农</w:t>
      </w:r>
      <w:r>
        <w:rPr>
          <w:rFonts w:ascii="Times New Roman" w:eastAsia="Times New Roman"/>
          <w:position w:val="1"/>
          <w:sz w:val="21"/>
        </w:rPr>
        <w:t>[2019]4</w:t>
      </w:r>
      <w:r>
        <w:rPr>
          <w:sz w:val="21"/>
        </w:rPr>
        <w:t>号） 附件十一 有关检测报告</w:t>
      </w:r>
    </w:p>
    <w:p>
      <w:pPr>
        <w:spacing w:before="2"/>
        <w:ind w:left="657" w:right="0" w:firstLine="0"/>
        <w:jc w:val="left"/>
        <w:rPr>
          <w:sz w:val="21"/>
        </w:rPr>
      </w:pPr>
      <w:r>
        <w:rPr>
          <w:sz w:val="21"/>
        </w:rPr>
        <w:t>附件十二 评审会签到单、专家意见及修改清单</w:t>
      </w:r>
    </w:p>
    <w:p>
      <w:pPr>
        <w:pStyle w:val="BodyText"/>
        <w:ind w:left="0"/>
        <w:rPr>
          <w:sz w:val="20"/>
        </w:rPr>
      </w:pPr>
    </w:p>
    <w:p>
      <w:pPr>
        <w:pStyle w:val="BodyText"/>
        <w:ind w:left="0"/>
        <w:rPr>
          <w:sz w:val="15"/>
        </w:rPr>
      </w:pPr>
    </w:p>
    <w:p>
      <w:pPr>
        <w:spacing w:before="0"/>
        <w:ind w:left="237" w:right="0" w:firstLine="0"/>
        <w:jc w:val="left"/>
        <w:rPr>
          <w:b/>
          <w:sz w:val="21"/>
        </w:rPr>
      </w:pPr>
      <w:r>
        <w:rPr>
          <w:b/>
          <w:sz w:val="21"/>
        </w:rPr>
        <w:t>附表：</w:t>
      </w:r>
    </w:p>
    <w:p>
      <w:pPr>
        <w:spacing w:before="89"/>
        <w:ind w:left="657" w:right="0" w:firstLine="0"/>
        <w:jc w:val="left"/>
        <w:rPr>
          <w:sz w:val="21"/>
        </w:rPr>
      </w:pPr>
      <w:r>
        <w:rPr>
          <w:sz w:val="21"/>
        </w:rPr>
        <w:t>附表一 建设项目环境影响报告书审批基础信息表</w:t>
      </w:r>
    </w:p>
    <w:p>
      <w:pPr>
        <w:spacing w:after="0"/>
        <w:jc w:val="left"/>
        <w:rPr>
          <w:sz w:val="21"/>
        </w:rPr>
        <w:sectPr>
          <w:pgSz w:w="11910" w:h="16840"/>
          <w:pgMar w:header="874" w:footer="1004" w:top="1400" w:bottom="1200" w:left="1040" w:right="1160"/>
        </w:sectPr>
      </w:pPr>
    </w:p>
    <w:p>
      <w:pPr>
        <w:pStyle w:val="BodyText"/>
        <w:spacing w:before="12"/>
        <w:ind w:left="0"/>
        <w:rPr>
          <w:sz w:val="7"/>
        </w:rPr>
      </w:pPr>
    </w:p>
    <w:p>
      <w:pPr>
        <w:pStyle w:val="Heading1"/>
        <w:spacing w:before="58"/>
      </w:pPr>
      <w:bookmarkStart w:name="_bookmark0" w:id="1"/>
      <w:bookmarkEnd w:id="1"/>
      <w:r>
        <w:rPr>
          <w:b w:val="0"/>
        </w:rPr>
      </w:r>
      <w:r>
        <w:rPr/>
        <w:t>第一章 概述</w:t>
      </w:r>
    </w:p>
    <w:p>
      <w:pPr>
        <w:pStyle w:val="Heading2"/>
        <w:numPr>
          <w:ilvl w:val="1"/>
          <w:numId w:val="10"/>
        </w:numPr>
        <w:tabs>
          <w:tab w:pos="730" w:val="left" w:leader="none"/>
        </w:tabs>
        <w:spacing w:line="240" w:lineRule="auto" w:before="252" w:after="0"/>
        <w:ind w:left="729" w:right="0" w:hanging="493"/>
        <w:jc w:val="left"/>
      </w:pPr>
      <w:bookmarkStart w:name="_bookmark1" w:id="2"/>
      <w:bookmarkEnd w:id="2"/>
      <w:r>
        <w:rPr>
          <w:b w:val="0"/>
        </w:rPr>
      </w:r>
      <w:bookmarkStart w:name="_bookmark1" w:id="3"/>
      <w:bookmarkEnd w:id="3"/>
      <w:r>
        <w:rPr/>
        <w:t>项目由来</w:t>
      </w:r>
    </w:p>
    <w:p>
      <w:pPr>
        <w:pStyle w:val="BodyText"/>
        <w:spacing w:line="364" w:lineRule="auto" w:before="214"/>
        <w:ind w:right="247" w:firstLine="480"/>
        <w:jc w:val="both"/>
      </w:pPr>
      <w:r>
        <w:rPr/>
        <w:t>近年来，由于受生猪清养关停及全国非洲猪瘟疫情的叠加影响，全国生猪及猪肉供应量大幅减少，价格出现翻倍上涨，从而带动了整个物价水平的上涨，对经济发展和食品安全构成了威胁。因此，抓好生猪生产，保持合理的价格水平，对稳定市场供应、满足消费需求、增加农民收入、促进经济发展具有重要的现实意义。国家、省、市等相继出台了许多支持和扶持养猪业发展的政策，有力地促进了规模养猪业的发展。浙江省和吉林省是对口合作关系，而浙江绍兴与吉林辽源又是两省对口合作的主阵地之一。东辽是著名的黑猪养殖之乡，是国家级标准化养殖示范区，东辽黑猪是国家地理标志保护产品，其作为长白山野猪驯化圈养的优良品种猪，分布仅限于长白山余脉的丘陵地带，有</w:t>
      </w:r>
      <w:r>
        <w:rPr>
          <w:rFonts w:ascii="Times New Roman" w:hAnsi="Times New Roman" w:eastAsia="Times New Roman"/>
          <w:position w:val="1"/>
        </w:rPr>
        <w:t>300 </w:t>
      </w:r>
      <w:r>
        <w:rPr>
          <w:spacing w:val="-9"/>
        </w:rPr>
        <w:t>年的养殖历史。绍兴与辽源缔结友好城市后，在双方政府积极推动下，浙江天圣控股</w:t>
      </w:r>
      <w:r>
        <w:rPr/>
        <w:t>集团有限公司收购当地国家地理标志产品东辽黑猪，全国范围内首创</w:t>
      </w:r>
      <w:r>
        <w:rPr>
          <w:rFonts w:ascii="Times New Roman" w:hAnsi="Times New Roman" w:eastAsia="Times New Roman"/>
          <w:position w:val="1"/>
        </w:rPr>
        <w:t>“</w:t>
      </w:r>
      <w:r>
        <w:rPr/>
        <w:t>飞地养猪</w:t>
      </w:r>
      <w:r>
        <w:rPr>
          <w:rFonts w:ascii="Times New Roman" w:hAnsi="Times New Roman" w:eastAsia="Times New Roman"/>
          <w:position w:val="1"/>
        </w:rPr>
        <w:t>”</w:t>
      </w:r>
      <w:r>
        <w:rPr/>
        <w:t>模式。</w:t>
      </w:r>
    </w:p>
    <w:p>
      <w:pPr>
        <w:pStyle w:val="BodyText"/>
        <w:spacing w:line="364" w:lineRule="auto" w:before="7"/>
        <w:ind w:right="161" w:firstLine="480"/>
      </w:pPr>
      <w:r>
        <w:rPr>
          <w:spacing w:val="-5"/>
        </w:rPr>
        <w:t>在此背景下，浙江天圣控股集团有限公司计划投资 </w:t>
      </w:r>
      <w:r>
        <w:rPr>
          <w:rFonts w:ascii="Times New Roman" w:hAnsi="Times New Roman" w:eastAsia="Times New Roman"/>
          <w:position w:val="1"/>
        </w:rPr>
        <w:t>10 </w:t>
      </w:r>
      <w:r>
        <w:rPr>
          <w:spacing w:val="-3"/>
        </w:rPr>
        <w:t>亿元，充分利用东辽现有优质生猪资源，以</w:t>
      </w:r>
      <w:r>
        <w:rPr>
          <w:rFonts w:ascii="Times New Roman" w:hAnsi="Times New Roman" w:eastAsia="Times New Roman"/>
          <w:spacing w:val="-3"/>
          <w:position w:val="1"/>
        </w:rPr>
        <w:t>“</w:t>
      </w:r>
      <w:r>
        <w:rPr>
          <w:spacing w:val="-3"/>
        </w:rPr>
        <w:t>飞地养猪</w:t>
      </w:r>
      <w:r>
        <w:rPr>
          <w:rFonts w:ascii="Times New Roman" w:hAnsi="Times New Roman" w:eastAsia="Times New Roman"/>
          <w:spacing w:val="-3"/>
          <w:position w:val="1"/>
        </w:rPr>
        <w:t>”</w:t>
      </w:r>
      <w:r>
        <w:rPr>
          <w:spacing w:val="-3"/>
        </w:rPr>
        <w:t>的模式将</w:t>
      </w:r>
      <w:r>
        <w:rPr>
          <w:rFonts w:ascii="Times New Roman" w:hAnsi="Times New Roman" w:eastAsia="Times New Roman"/>
          <w:spacing w:val="-3"/>
          <w:position w:val="1"/>
        </w:rPr>
        <w:t>“</w:t>
      </w:r>
      <w:r>
        <w:rPr>
          <w:spacing w:val="-3"/>
        </w:rPr>
        <w:t>东辽黑猪</w:t>
      </w:r>
      <w:r>
        <w:rPr>
          <w:rFonts w:ascii="Times New Roman" w:hAnsi="Times New Roman" w:eastAsia="Times New Roman"/>
          <w:spacing w:val="-3"/>
          <w:position w:val="1"/>
        </w:rPr>
        <w:t>”</w:t>
      </w:r>
      <w:r>
        <w:rPr>
          <w:spacing w:val="-4"/>
        </w:rPr>
        <w:t>引入浙江市场，打造农业生态产业链项目， </w:t>
      </w:r>
      <w:r>
        <w:rPr/>
        <w:t>这将积极带动柯桥区生态农业和高端食品工业发展，进一步优化区域产业结构，并对外资引进、外贸出口具有重要促进作用。根据《关于天圣集团农业生态产业链项目落地建设相关事宜的专题会议纪要》（绍兴市柯桥区人民政府专题会议纪要</w:t>
      </w:r>
      <w:r>
        <w:rPr>
          <w:rFonts w:ascii="Times New Roman" w:hAnsi="Times New Roman" w:eastAsia="Times New Roman"/>
          <w:position w:val="1"/>
        </w:rPr>
        <w:t>[2020]24</w:t>
      </w:r>
      <w:r>
        <w:rPr>
          <w:rFonts w:ascii="Times New Roman" w:hAnsi="Times New Roman" w:eastAsia="Times New Roman"/>
          <w:spacing w:val="27"/>
          <w:position w:val="1"/>
        </w:rPr>
        <w:t> </w:t>
      </w:r>
      <w:r>
        <w:rPr/>
        <w:t>号，详见附件二），该项目分生猪养殖和工业食品深加工两个子项目，分别由天圣集团下属注册成立天圣牧业和天圣食品两个子公司组织实施。本项目为其中的生猪养殖项目，实施单</w:t>
      </w:r>
      <w:r>
        <w:rPr>
          <w:spacing w:val="-1"/>
        </w:rPr>
        <w:t>位为绍兴天圣牧业有限公司</w:t>
      </w:r>
      <w:r>
        <w:rPr/>
        <w:t>（</w:t>
      </w:r>
      <w:r>
        <w:rPr>
          <w:spacing w:val="-15"/>
        </w:rPr>
        <w:t>成立于 </w:t>
      </w:r>
      <w:r>
        <w:rPr>
          <w:rFonts w:ascii="Times New Roman" w:hAnsi="Times New Roman" w:eastAsia="Times New Roman"/>
          <w:position w:val="1"/>
        </w:rPr>
        <w:t>2020 </w:t>
      </w:r>
      <w:r>
        <w:rPr>
          <w:spacing w:val="-30"/>
        </w:rPr>
        <w:t>年 </w:t>
      </w:r>
      <w:r>
        <w:rPr>
          <w:rFonts w:ascii="Times New Roman" w:hAnsi="Times New Roman" w:eastAsia="Times New Roman"/>
          <w:position w:val="1"/>
        </w:rPr>
        <w:t>5</w:t>
      </w:r>
      <w:r>
        <w:rPr>
          <w:rFonts w:ascii="Times New Roman" w:hAnsi="Times New Roman" w:eastAsia="Times New Roman"/>
          <w:spacing w:val="1"/>
          <w:position w:val="1"/>
        </w:rPr>
        <w:t> </w:t>
      </w:r>
      <w:r>
        <w:rPr/>
        <w:t>月</w:t>
      </w:r>
      <w:r>
        <w:rPr>
          <w:spacing w:val="-8"/>
        </w:rPr>
        <w:t>），该项目计划投资 </w:t>
      </w:r>
      <w:r>
        <w:rPr>
          <w:rFonts w:ascii="Times New Roman" w:hAnsi="Times New Roman" w:eastAsia="Times New Roman"/>
          <w:position w:val="1"/>
        </w:rPr>
        <w:t>5 </w:t>
      </w:r>
      <w:r>
        <w:rPr>
          <w:spacing w:val="-3"/>
        </w:rPr>
        <w:t>亿元，选址位于</w:t>
      </w:r>
    </w:p>
    <w:p>
      <w:pPr>
        <w:pStyle w:val="BodyText"/>
        <w:spacing w:before="5"/>
      </w:pPr>
      <w:r>
        <w:rPr>
          <w:spacing w:val="-3"/>
        </w:rPr>
        <w:t>柯岩街道丰项村，需占用设施农用地 </w:t>
      </w:r>
      <w:r>
        <w:rPr>
          <w:rFonts w:ascii="Times New Roman" w:eastAsia="Times New Roman"/>
          <w:position w:val="1"/>
        </w:rPr>
        <w:t>78.5</w:t>
      </w:r>
      <w:r>
        <w:rPr>
          <w:rFonts w:ascii="Times New Roman" w:eastAsia="Times New Roman"/>
          <w:spacing w:val="17"/>
          <w:position w:val="1"/>
        </w:rPr>
        <w:t> </w:t>
      </w:r>
      <w:r>
        <w:rPr>
          <w:spacing w:val="-8"/>
        </w:rPr>
        <w:t>亩，新建存栏 </w:t>
      </w:r>
      <w:r>
        <w:rPr>
          <w:rFonts w:ascii="Times New Roman" w:eastAsia="Times New Roman"/>
          <w:position w:val="1"/>
        </w:rPr>
        <w:t>5</w:t>
      </w:r>
      <w:r>
        <w:rPr>
          <w:rFonts w:ascii="Times New Roman" w:eastAsia="Times New Roman"/>
          <w:spacing w:val="16"/>
          <w:position w:val="1"/>
        </w:rPr>
        <w:t> </w:t>
      </w:r>
      <w:r>
        <w:rPr/>
        <w:t>万头（</w:t>
      </w:r>
      <w:r>
        <w:rPr>
          <w:spacing w:val="-13"/>
        </w:rPr>
        <w:t>出栏约 </w:t>
      </w:r>
      <w:r>
        <w:rPr>
          <w:rFonts w:ascii="Times New Roman" w:eastAsia="Times New Roman"/>
          <w:position w:val="1"/>
        </w:rPr>
        <w:t>8.6</w:t>
      </w:r>
      <w:r>
        <w:rPr>
          <w:rFonts w:ascii="Times New Roman" w:eastAsia="Times New Roman"/>
          <w:spacing w:val="16"/>
          <w:position w:val="1"/>
        </w:rPr>
        <w:t> </w:t>
      </w:r>
      <w:r>
        <w:rPr/>
        <w:t>万头）规模</w:t>
      </w:r>
    </w:p>
    <w:p>
      <w:pPr>
        <w:pStyle w:val="BodyText"/>
        <w:spacing w:line="364" w:lineRule="auto" w:before="161"/>
        <w:ind w:right="252"/>
        <w:jc w:val="both"/>
      </w:pPr>
      <w:r>
        <w:rPr>
          <w:spacing w:val="-6"/>
        </w:rPr>
        <w:t>的现代化生猪养殖基地。目前，企业已就该项目于 </w:t>
      </w:r>
      <w:r>
        <w:rPr>
          <w:rFonts w:ascii="Times New Roman" w:eastAsia="Times New Roman"/>
          <w:position w:val="1"/>
        </w:rPr>
        <w:t>2021 </w:t>
      </w:r>
      <w:r>
        <w:rPr>
          <w:spacing w:val="-30"/>
        </w:rPr>
        <w:t>年 </w:t>
      </w:r>
      <w:r>
        <w:rPr>
          <w:rFonts w:ascii="Times New Roman" w:eastAsia="Times New Roman"/>
          <w:position w:val="1"/>
        </w:rPr>
        <w:t>1 </w:t>
      </w:r>
      <w:r>
        <w:rPr>
          <w:spacing w:val="-30"/>
        </w:rPr>
        <w:t>月 </w:t>
      </w:r>
      <w:r>
        <w:rPr>
          <w:rFonts w:ascii="Times New Roman" w:eastAsia="Times New Roman"/>
          <w:position w:val="1"/>
        </w:rPr>
        <w:t>5 </w:t>
      </w:r>
      <w:r>
        <w:rPr>
          <w:spacing w:val="-2"/>
        </w:rPr>
        <w:t>日在浙江省投资项目在</w:t>
      </w:r>
      <w:r>
        <w:rPr/>
        <w:t>线审批监管平台上进行了备案（项目代码：</w:t>
      </w:r>
      <w:r>
        <w:rPr>
          <w:rFonts w:ascii="Times New Roman" w:eastAsia="Times New Roman"/>
          <w:position w:val="1"/>
        </w:rPr>
        <w:t>2101-330603-04-01-859464</w:t>
      </w:r>
      <w:r>
        <w:rPr>
          <w:spacing w:val="-2"/>
        </w:rPr>
        <w:t>，备案机关为柯桥</w:t>
      </w:r>
      <w:r>
        <w:rPr/>
        <w:t>区鉴湖旅游度假区），项目建设性质为新建。</w:t>
      </w:r>
    </w:p>
    <w:p>
      <w:pPr>
        <w:pStyle w:val="BodyText"/>
        <w:spacing w:line="364" w:lineRule="auto" w:before="2"/>
        <w:ind w:right="247" w:firstLine="480"/>
        <w:jc w:val="both"/>
      </w:pPr>
      <w:r>
        <w:rPr/>
        <w:t>根据《中华人民共和国环境保护法》、《中华人民共和国环境影响评价法》、《建设项目环境保护管理条例》，本项目在开工建设前必须进行环境影响评价。根据《建设</w:t>
      </w:r>
      <w:r>
        <w:rPr>
          <w:spacing w:val="-2"/>
        </w:rPr>
        <w:t>项目环境影响评价分类管理名录</w:t>
      </w:r>
      <w:r>
        <w:rPr/>
        <w:t>（</w:t>
      </w:r>
      <w:r>
        <w:rPr>
          <w:rFonts w:ascii="Times New Roman" w:hAnsi="Times New Roman" w:eastAsia="Times New Roman"/>
          <w:position w:val="1"/>
        </w:rPr>
        <w:t>2021 </w:t>
      </w:r>
      <w:r>
        <w:rPr/>
        <w:t>年版</w:t>
      </w:r>
      <w:r>
        <w:rPr>
          <w:spacing w:val="-15"/>
        </w:rPr>
        <w:t>）</w:t>
      </w:r>
      <w:r>
        <w:rPr>
          <w:spacing w:val="-29"/>
        </w:rPr>
        <w:t>》</w:t>
      </w:r>
      <w:r>
        <w:rPr/>
        <w:t>（</w:t>
      </w:r>
      <w:r>
        <w:rPr>
          <w:spacing w:val="-8"/>
        </w:rPr>
        <w:t>生态环境部令第 </w:t>
      </w:r>
      <w:r>
        <w:rPr>
          <w:rFonts w:ascii="Times New Roman" w:hAnsi="Times New Roman" w:eastAsia="Times New Roman"/>
          <w:position w:val="1"/>
        </w:rPr>
        <w:t>16 </w:t>
      </w:r>
      <w:r>
        <w:rPr/>
        <w:t>号</w:t>
      </w:r>
      <w:r>
        <w:rPr>
          <w:spacing w:val="-15"/>
        </w:rPr>
        <w:t>），</w:t>
      </w:r>
      <w:r>
        <w:rPr/>
        <w:t>本项目属于</w:t>
      </w:r>
      <w:r>
        <w:rPr>
          <w:rFonts w:ascii="Times New Roman" w:hAnsi="Times New Roman" w:eastAsia="Times New Roman"/>
          <w:position w:val="1"/>
        </w:rPr>
        <w:t>“</w:t>
      </w:r>
      <w:r>
        <w:rPr>
          <w:spacing w:val="-33"/>
        </w:rPr>
        <w:t>二、畜牧业 </w:t>
      </w:r>
      <w:r>
        <w:rPr>
          <w:rFonts w:ascii="Times New Roman" w:hAnsi="Times New Roman" w:eastAsia="Times New Roman"/>
          <w:position w:val="1"/>
        </w:rPr>
        <w:t>03”</w:t>
      </w:r>
      <w:r>
        <w:rPr>
          <w:spacing w:val="-24"/>
        </w:rPr>
        <w:t>中第 </w:t>
      </w:r>
      <w:r>
        <w:rPr>
          <w:rFonts w:ascii="Times New Roman" w:hAnsi="Times New Roman" w:eastAsia="Times New Roman"/>
          <w:position w:val="1"/>
        </w:rPr>
        <w:t>3 </w:t>
      </w:r>
      <w:r>
        <w:rPr/>
        <w:t>项</w:t>
      </w:r>
      <w:r>
        <w:rPr>
          <w:rFonts w:ascii="Times New Roman" w:hAnsi="Times New Roman" w:eastAsia="Times New Roman"/>
          <w:position w:val="1"/>
        </w:rPr>
        <w:t>“</w:t>
      </w:r>
      <w:r>
        <w:rPr>
          <w:spacing w:val="-15"/>
        </w:rPr>
        <w:t>牲畜饲养 </w:t>
      </w:r>
      <w:r>
        <w:rPr>
          <w:rFonts w:ascii="Times New Roman" w:hAnsi="Times New Roman" w:eastAsia="Times New Roman"/>
          <w:position w:val="1"/>
        </w:rPr>
        <w:t>031”</w:t>
      </w:r>
      <w:r>
        <w:rPr/>
        <w:t>中</w:t>
      </w:r>
      <w:r>
        <w:rPr>
          <w:rFonts w:ascii="Times New Roman" w:hAnsi="Times New Roman" w:eastAsia="Times New Roman"/>
          <w:position w:val="1"/>
        </w:rPr>
        <w:t>“</w:t>
      </w:r>
      <w:r>
        <w:rPr>
          <w:spacing w:val="-12"/>
        </w:rPr>
        <w:t>年出栏生猪 </w:t>
      </w:r>
      <w:r>
        <w:rPr>
          <w:rFonts w:ascii="Times New Roman" w:hAnsi="Times New Roman" w:eastAsia="Times New Roman"/>
          <w:position w:val="1"/>
        </w:rPr>
        <w:t>5000 </w:t>
      </w:r>
      <w:r>
        <w:rPr/>
        <w:t>头及以上的规模化畜禽养殖</w:t>
      </w:r>
      <w:r>
        <w:rPr>
          <w:rFonts w:ascii="Times New Roman" w:hAnsi="Times New Roman" w:eastAsia="Times New Roman"/>
          <w:position w:val="1"/>
        </w:rPr>
        <w:t>” </w:t>
      </w:r>
      <w:r>
        <w:rPr/>
        <w:t>项目，故环评文件编制类型应为报告书。受绍兴天圣牧业有限公司委托，我单位承担了</w:t>
      </w:r>
    </w:p>
    <w:p>
      <w:pPr>
        <w:spacing w:after="0" w:line="364" w:lineRule="auto"/>
        <w:jc w:val="both"/>
        <w:sectPr>
          <w:footerReference w:type="default" r:id="rId8"/>
          <w:pgSz w:w="11910" w:h="16840"/>
          <w:pgMar w:footer="1004" w:header="874" w:top="1400" w:bottom="1200" w:left="1040" w:right="1160"/>
          <w:pgNumType w:start="1"/>
        </w:sectPr>
      </w:pPr>
    </w:p>
    <w:p>
      <w:pPr>
        <w:pStyle w:val="BodyText"/>
        <w:spacing w:line="364" w:lineRule="auto" w:before="121"/>
        <w:ind w:right="249"/>
        <w:jc w:val="both"/>
      </w:pPr>
      <w:r>
        <w:rPr/>
        <w:t>该项目的环境影响评价工作，受托后，我单位立即踏勘现场并收集资料，随后按照有关规范编制了《天圣集团农业生态产业链项目</w:t>
      </w:r>
      <w:r>
        <w:rPr>
          <w:rFonts w:ascii="Times New Roman" w:hAnsi="Times New Roman" w:eastAsia="Times New Roman"/>
          <w:position w:val="1"/>
        </w:rPr>
        <w:t>—</w:t>
      </w:r>
      <w:r>
        <w:rPr/>
        <w:t>生猪养殖环境影响报告书》。</w:t>
      </w:r>
      <w:r>
        <w:rPr>
          <w:rFonts w:ascii="Times New Roman" w:hAnsi="Times New Roman" w:eastAsia="Times New Roman"/>
          <w:position w:val="1"/>
        </w:rPr>
        <w:t>2021 </w:t>
      </w:r>
      <w:r>
        <w:rPr>
          <w:spacing w:val="-24"/>
        </w:rPr>
        <w:t>年 </w:t>
      </w:r>
      <w:r>
        <w:rPr>
          <w:rFonts w:ascii="Times New Roman" w:hAnsi="Times New Roman" w:eastAsia="Times New Roman"/>
          <w:position w:val="1"/>
        </w:rPr>
        <w:t>6 </w:t>
      </w:r>
      <w:r>
        <w:rPr>
          <w:spacing w:val="-16"/>
        </w:rPr>
        <w:t>月</w:t>
      </w:r>
      <w:r>
        <w:rPr>
          <w:rFonts w:ascii="Times New Roman" w:hAnsi="Times New Roman" w:eastAsia="Times New Roman"/>
          <w:position w:val="1"/>
        </w:rPr>
        <w:t>23 </w:t>
      </w:r>
      <w:r>
        <w:rPr>
          <w:spacing w:val="-1"/>
        </w:rPr>
        <w:t>日，该报告书专家评审会在柯桥区召开，会后我单位根据专家意见进行了修改，最终</w:t>
      </w:r>
      <w:r>
        <w:rPr/>
        <w:t>形成该报批稿上报审批。</w:t>
      </w:r>
    </w:p>
    <w:p>
      <w:pPr>
        <w:pStyle w:val="Heading2"/>
        <w:numPr>
          <w:ilvl w:val="1"/>
          <w:numId w:val="10"/>
        </w:numPr>
        <w:tabs>
          <w:tab w:pos="730" w:val="left" w:leader="none"/>
        </w:tabs>
        <w:spacing w:line="240" w:lineRule="auto" w:before="54" w:after="0"/>
        <w:ind w:left="729" w:right="0" w:hanging="493"/>
        <w:jc w:val="left"/>
      </w:pPr>
      <w:bookmarkStart w:name="_bookmark2" w:id="4"/>
      <w:bookmarkEnd w:id="4"/>
      <w:r>
        <w:rPr>
          <w:b w:val="0"/>
        </w:rPr>
      </w:r>
      <w:bookmarkStart w:name="_bookmark2" w:id="5"/>
      <w:bookmarkEnd w:id="5"/>
      <w:r>
        <w:rPr/>
        <w:t>项目特点</w:t>
      </w:r>
    </w:p>
    <w:p>
      <w:pPr>
        <w:pStyle w:val="BodyText"/>
        <w:spacing w:line="364" w:lineRule="auto" w:before="214"/>
        <w:ind w:right="132" w:firstLine="480"/>
      </w:pPr>
      <w:r>
        <w:rPr>
          <w:rFonts w:ascii="Times New Roman" w:eastAsia="Times New Roman"/>
          <w:position w:val="1"/>
        </w:rPr>
        <w:t>1</w:t>
      </w:r>
      <w:r>
        <w:rPr>
          <w:spacing w:val="-6"/>
        </w:rPr>
        <w:t>、本项目为新建项目，拟建址位于柯桥区柯岩街道丰项村。根据《关于天圣集团农</w:t>
      </w:r>
      <w:r>
        <w:rPr>
          <w:spacing w:val="-5"/>
        </w:rPr>
        <w:t>业生态产业链项目落地建设相关事宜的专题会议纪要》</w:t>
      </w:r>
      <w:r>
        <w:rPr/>
        <w:t>（绍兴市柯桥区人民政府专题会议纪要</w:t>
      </w:r>
      <w:r>
        <w:rPr>
          <w:rFonts w:ascii="Times New Roman" w:eastAsia="Times New Roman"/>
          <w:position w:val="1"/>
        </w:rPr>
        <w:t>[2020]24 </w:t>
      </w:r>
      <w:r>
        <w:rPr/>
        <w:t>号</w:t>
      </w:r>
      <w:r>
        <w:rPr>
          <w:spacing w:val="-76"/>
        </w:rPr>
        <w:t>）</w:t>
      </w:r>
      <w:r>
        <w:rPr>
          <w:spacing w:val="-13"/>
        </w:rPr>
        <w:t>，本项目需占用设施农用地 </w:t>
      </w:r>
      <w:r>
        <w:rPr>
          <w:rFonts w:ascii="Times New Roman" w:eastAsia="Times New Roman"/>
          <w:position w:val="1"/>
        </w:rPr>
        <w:t>78.5 </w:t>
      </w:r>
      <w:r>
        <w:rPr>
          <w:spacing w:val="-77"/>
        </w:rPr>
        <w:t>亩</w:t>
      </w:r>
      <w:r>
        <w:rPr/>
        <w:t>（包括一般农田和永久基本农田</w:t>
      </w:r>
      <w:r>
        <w:rPr>
          <w:spacing w:val="-77"/>
        </w:rPr>
        <w:t>）</w:t>
      </w:r>
      <w:r>
        <w:rPr>
          <w:spacing w:val="-15"/>
        </w:rPr>
        <w:t>。</w:t>
      </w:r>
      <w:r>
        <w:rPr>
          <w:spacing w:val="-4"/>
        </w:rPr>
        <w:t>目前，企业已完成设施农用地备案</w:t>
      </w:r>
      <w:r>
        <w:rPr/>
        <w:t>（备案号：</w:t>
      </w:r>
      <w:r>
        <w:rPr>
          <w:rFonts w:ascii="Times New Roman" w:eastAsia="Times New Roman"/>
          <w:position w:val="1"/>
        </w:rPr>
        <w:t>330603Y0120211001</w:t>
      </w:r>
      <w:r>
        <w:rPr/>
        <w:t>，详见附件五</w:t>
      </w:r>
      <w:r>
        <w:rPr>
          <w:spacing w:val="-12"/>
        </w:rPr>
        <w:t>），</w:t>
      </w:r>
      <w:r>
        <w:rPr/>
        <w:t>总备</w:t>
      </w:r>
      <w:r>
        <w:rPr>
          <w:spacing w:val="-13"/>
        </w:rPr>
        <w:t>案面积为 </w:t>
      </w:r>
      <w:r>
        <w:rPr>
          <w:rFonts w:ascii="Times New Roman" w:eastAsia="Times New Roman"/>
          <w:position w:val="1"/>
        </w:rPr>
        <w:t>16.8 </w:t>
      </w:r>
      <w:r>
        <w:rPr/>
        <w:t>公顷（</w:t>
      </w:r>
      <w:r>
        <w:rPr>
          <w:spacing w:val="-15"/>
        </w:rPr>
        <w:t>本项目 </w:t>
      </w:r>
      <w:r>
        <w:rPr>
          <w:rFonts w:ascii="Times New Roman" w:eastAsia="Times New Roman"/>
          <w:position w:val="1"/>
        </w:rPr>
        <w:t>78.5 </w:t>
      </w:r>
      <w:r>
        <w:rPr/>
        <w:t>亩范围所处位置详见附图十二，其余部分暂不建设）。</w:t>
      </w:r>
    </w:p>
    <w:p>
      <w:pPr>
        <w:pStyle w:val="BodyText"/>
        <w:spacing w:line="364" w:lineRule="auto" w:before="3"/>
        <w:ind w:right="249" w:firstLine="480"/>
        <w:jc w:val="both"/>
      </w:pPr>
      <w:r>
        <w:rPr>
          <w:rFonts w:ascii="Times New Roman" w:hAnsi="Times New Roman" w:eastAsia="Times New Roman"/>
          <w:position w:val="1"/>
        </w:rPr>
        <w:t>2</w:t>
      </w:r>
      <w:r>
        <w:rPr>
          <w:spacing w:val="-3"/>
        </w:rPr>
        <w:t>、本项目拟建址周边最近的居民点为北侧约 </w:t>
      </w:r>
      <w:r>
        <w:rPr>
          <w:rFonts w:ascii="Times New Roman" w:hAnsi="Times New Roman" w:eastAsia="Times New Roman"/>
          <w:position w:val="1"/>
        </w:rPr>
        <w:t>555m </w:t>
      </w:r>
      <w:r>
        <w:rPr/>
        <w:t>处的丰项村</w:t>
      </w:r>
      <w:r>
        <w:rPr>
          <w:spacing w:val="-3"/>
        </w:rPr>
        <w:t>（</w:t>
      </w:r>
      <w:r>
        <w:rPr/>
        <w:t>详见附图四），</w:t>
      </w:r>
      <w:r>
        <w:rPr>
          <w:spacing w:val="-11"/>
        </w:rPr>
        <w:t>其</w:t>
      </w:r>
      <w:r>
        <w:rPr>
          <w:spacing w:val="-9"/>
        </w:rPr>
        <w:t>次为东南侧约 </w:t>
      </w:r>
      <w:r>
        <w:rPr>
          <w:rFonts w:ascii="Times New Roman" w:hAnsi="Times New Roman" w:eastAsia="Times New Roman"/>
          <w:position w:val="1"/>
        </w:rPr>
        <w:t>980 </w:t>
      </w:r>
      <w:r>
        <w:rPr>
          <w:spacing w:val="-15"/>
        </w:rPr>
        <w:t>处的福全街道新迪埠村，能符合《畜禽养殖业污染防治技术规范</w:t>
      </w:r>
      <w:r>
        <w:rPr>
          <w:spacing w:val="-192"/>
        </w:rPr>
        <w:t>》</w:t>
      </w:r>
      <w:r>
        <w:rPr>
          <w:spacing w:val="-4"/>
        </w:rPr>
        <w:t>（</w:t>
      </w:r>
      <w:r>
        <w:rPr>
          <w:rFonts w:ascii="Times New Roman" w:hAnsi="Times New Roman" w:eastAsia="Times New Roman"/>
          <w:spacing w:val="-4"/>
          <w:position w:val="1"/>
        </w:rPr>
        <w:t>HJ/T </w:t>
      </w:r>
      <w:r>
        <w:rPr>
          <w:rFonts w:ascii="Times New Roman" w:hAnsi="Times New Roman" w:eastAsia="Times New Roman"/>
          <w:spacing w:val="-3"/>
          <w:position w:val="1"/>
        </w:rPr>
        <w:t>81-2001</w:t>
      </w:r>
      <w:r>
        <w:rPr>
          <w:spacing w:val="-3"/>
        </w:rPr>
        <w:t>）</w:t>
      </w:r>
      <w:r>
        <w:rPr>
          <w:spacing w:val="-6"/>
        </w:rPr>
        <w:t>及《浙江省生猪养殖业环境准入指导意见》</w:t>
      </w:r>
      <w:r>
        <w:rPr/>
        <w:t>（浙环发</w:t>
      </w:r>
      <w:r>
        <w:rPr>
          <w:rFonts w:ascii="Times New Roman" w:hAnsi="Times New Roman" w:eastAsia="Times New Roman"/>
          <w:position w:val="1"/>
        </w:rPr>
        <w:t>[2016]12 </w:t>
      </w:r>
      <w:r>
        <w:rPr/>
        <w:t>号</w:t>
      </w:r>
      <w:r>
        <w:rPr>
          <w:spacing w:val="-15"/>
        </w:rPr>
        <w:t>）</w:t>
      </w:r>
      <w:r>
        <w:rPr/>
        <w:t>中规定的</w:t>
      </w:r>
      <w:r>
        <w:rPr>
          <w:rFonts w:ascii="Times New Roman" w:hAnsi="Times New Roman" w:eastAsia="Times New Roman"/>
          <w:position w:val="1"/>
        </w:rPr>
        <w:t>“</w:t>
      </w:r>
      <w:r>
        <w:rPr/>
        <w:t>养</w:t>
      </w:r>
      <w:r>
        <w:rPr>
          <w:spacing w:val="-3"/>
        </w:rPr>
        <w:t>殖场场界与人口集中区或集中居住区边界最小距离不得小于 </w:t>
      </w:r>
      <w:r>
        <w:rPr>
          <w:rFonts w:ascii="Times New Roman" w:hAnsi="Times New Roman" w:eastAsia="Times New Roman"/>
          <w:position w:val="1"/>
        </w:rPr>
        <w:t>500m”</w:t>
      </w:r>
      <w:r>
        <w:rPr/>
        <w:t>要求。</w:t>
      </w:r>
    </w:p>
    <w:p>
      <w:pPr>
        <w:pStyle w:val="BodyText"/>
        <w:spacing w:line="364" w:lineRule="auto" w:before="3"/>
        <w:ind w:right="247" w:firstLine="480"/>
        <w:jc w:val="both"/>
      </w:pPr>
      <w:r>
        <w:rPr>
          <w:spacing w:val="-4"/>
        </w:rPr>
        <w:t>另外，《浙江省生猪养殖业环境准入指导意见》规定</w:t>
      </w:r>
      <w:r>
        <w:rPr>
          <w:rFonts w:ascii="Times New Roman" w:hAnsi="Times New Roman" w:eastAsia="Times New Roman"/>
          <w:position w:val="1"/>
        </w:rPr>
        <w:t>“</w:t>
      </w:r>
      <w:r>
        <w:rPr>
          <w:spacing w:val="-2"/>
        </w:rPr>
        <w:t>养殖场选址应避开饮用水源保</w:t>
      </w:r>
      <w:r>
        <w:rPr/>
        <w:t>护区、具有景观或水上娱乐功能、以及执行Ⅰ类或Ⅱ类水质的水体，其主要养殖圈舍及</w:t>
      </w:r>
      <w:r>
        <w:rPr>
          <w:spacing w:val="-12"/>
        </w:rPr>
        <w:t>养殖废弃物收集贮存、处理</w:t>
      </w:r>
      <w:r>
        <w:rPr/>
        <w:t>（置</w:t>
      </w:r>
      <w:r>
        <w:rPr>
          <w:spacing w:val="-63"/>
        </w:rPr>
        <w:t>）</w:t>
      </w:r>
      <w:r>
        <w:rPr>
          <w:spacing w:val="-5"/>
        </w:rPr>
        <w:t>设施及消纳地与上述水体应保持不小于 </w:t>
      </w:r>
      <w:r>
        <w:rPr>
          <w:rFonts w:ascii="Times New Roman" w:hAnsi="Times New Roman" w:eastAsia="Times New Roman"/>
          <w:position w:val="1"/>
        </w:rPr>
        <w:t>500 </w:t>
      </w:r>
      <w:r>
        <w:rPr>
          <w:spacing w:val="-13"/>
        </w:rPr>
        <w:t>米的距离。</w:t>
      </w:r>
      <w:r>
        <w:rPr>
          <w:rFonts w:ascii="Times New Roman" w:hAnsi="Times New Roman" w:eastAsia="Times New Roman"/>
          <w:spacing w:val="-12"/>
          <w:position w:val="1"/>
        </w:rPr>
        <w:t>” </w:t>
      </w:r>
      <w:r>
        <w:rPr/>
        <w:t>本项目选址附近涉及项里溪及项里溪支流，无水环境功能区划，因其主要功能为农业用水，参照执行Ⅲ类水质要求。因此，本项目选址符合《浙江省生猪养殖业环境准入指导意见》中养殖场与地表水体的距离要求。</w:t>
      </w:r>
    </w:p>
    <w:p>
      <w:pPr>
        <w:pStyle w:val="BodyText"/>
        <w:spacing w:line="364" w:lineRule="auto" w:before="4"/>
        <w:ind w:right="225" w:firstLine="480"/>
        <w:jc w:val="both"/>
      </w:pPr>
      <w:r>
        <w:rPr>
          <w:rFonts w:ascii="Times New Roman" w:eastAsia="Times New Roman"/>
          <w:position w:val="1"/>
        </w:rPr>
        <w:t>3</w:t>
      </w:r>
      <w:r>
        <w:rPr/>
        <w:t>、本项目拟建址位于柯桥区柯岩街道丰项村西南侧的山区内，不属于人口集中区， 不触及禁养区，目前已完成设施农用地备案（详见附件五），符合柯桥区畜禽养殖禁养区划分与管理规定要求。绍兴市柯桥区人民政府已就本项目召开了专题会议（详见附件二），同意并支持本项目的建设。</w:t>
      </w:r>
    </w:p>
    <w:p>
      <w:pPr>
        <w:pStyle w:val="BodyText"/>
        <w:spacing w:line="364" w:lineRule="auto" w:before="3"/>
        <w:ind w:right="247" w:firstLine="480"/>
        <w:jc w:val="both"/>
      </w:pPr>
      <w:r>
        <w:rPr>
          <w:rFonts w:ascii="Times New Roman" w:eastAsia="Times New Roman"/>
          <w:position w:val="1"/>
        </w:rPr>
        <w:t>4</w:t>
      </w:r>
      <w:r>
        <w:rPr>
          <w:spacing w:val="-6"/>
        </w:rPr>
        <w:t>、本项目为生猪规模化养殖项目，其实施过程中对环境的影响主要集中在运营期养</w:t>
      </w:r>
      <w:r>
        <w:rPr/>
        <w:t>殖废水、恶臭和固废的处理及综合利用等方面。其中废水经自建污水处理站处理达标后</w:t>
      </w:r>
      <w:r>
        <w:rPr>
          <w:spacing w:val="-1"/>
        </w:rPr>
        <w:t>纳入市政污水管网；恶臭气体经除臭系统处理后排放；病死猪暂按绍柯农</w:t>
      </w:r>
      <w:r>
        <w:rPr>
          <w:rFonts w:ascii="Times New Roman" w:eastAsia="Times New Roman"/>
          <w:position w:val="1"/>
        </w:rPr>
        <w:t>[2019]4 </w:t>
      </w:r>
      <w:r>
        <w:rPr>
          <w:spacing w:val="-4"/>
        </w:rPr>
        <w:t>号要求</w:t>
      </w:r>
      <w:r>
        <w:rPr/>
        <w:t>自行处置，发酵产物</w:t>
      </w:r>
      <w:r>
        <w:rPr>
          <w:spacing w:val="4"/>
        </w:rPr>
        <w:t>（</w:t>
      </w:r>
      <w:r>
        <w:rPr/>
        <w:t>为粪便、饲料残渣、污泥、病死猪无害化处理产物等经猪粪发酵罐发酵后的产物）外运至第三方企业生产有机肥、一般废包装物外卖综合利用，废脱硫</w:t>
      </w:r>
    </w:p>
    <w:p>
      <w:pPr>
        <w:spacing w:after="0" w:line="364" w:lineRule="auto"/>
        <w:jc w:val="both"/>
        <w:sectPr>
          <w:pgSz w:w="11910" w:h="16840"/>
          <w:pgMar w:header="874" w:footer="1004" w:top="1400" w:bottom="1200" w:left="1040" w:right="1160"/>
        </w:sectPr>
      </w:pPr>
    </w:p>
    <w:p>
      <w:pPr>
        <w:pStyle w:val="BodyText"/>
        <w:spacing w:line="364" w:lineRule="auto" w:before="121"/>
        <w:ind w:right="249"/>
        <w:jc w:val="both"/>
      </w:pPr>
      <w:r>
        <w:rPr/>
        <w:t>剂由供应商更换回收，危化品废包装物、废矿物油、医疗废物委托有相应危废处理资质的单位安全处置。因企业不采用土地消纳模式处理粪污，废水排放量不会突破绍兴市污水处理厂设计规模，废气影响经预测分析可以接受，厂界噪声也能够达标排放。因此本项目饲养规模不会突破当地的环境承载力。</w:t>
      </w:r>
    </w:p>
    <w:p>
      <w:pPr>
        <w:pStyle w:val="Heading2"/>
        <w:numPr>
          <w:ilvl w:val="1"/>
          <w:numId w:val="10"/>
        </w:numPr>
        <w:tabs>
          <w:tab w:pos="730" w:val="left" w:leader="none"/>
        </w:tabs>
        <w:spacing w:line="240" w:lineRule="auto" w:before="54" w:after="0"/>
        <w:ind w:left="729" w:right="0" w:hanging="493"/>
        <w:jc w:val="left"/>
      </w:pPr>
      <w:bookmarkStart w:name="_bookmark3" w:id="6"/>
      <w:bookmarkEnd w:id="6"/>
      <w:r>
        <w:rPr>
          <w:b w:val="0"/>
        </w:rPr>
      </w:r>
      <w:bookmarkStart w:name="_bookmark3" w:id="7"/>
      <w:bookmarkEnd w:id="7"/>
      <w:r>
        <w:rPr/>
        <w:t>评价工作过程</w:t>
      </w:r>
    </w:p>
    <w:p>
      <w:pPr>
        <w:pStyle w:val="BodyText"/>
        <w:spacing w:line="364" w:lineRule="auto" w:before="214"/>
        <w:ind w:right="254" w:firstLine="480"/>
      </w:pPr>
      <w:r>
        <w:rPr/>
        <w:t>项目环境影响评价工作程序分前期准备、调研和工作方案阶段，分析论证和预测评价阶段及环境影响评价文件编制阶段三个阶段。</w:t>
      </w:r>
    </w:p>
    <w:p>
      <w:pPr>
        <w:pStyle w:val="BodyText"/>
        <w:spacing w:before="2"/>
        <w:ind w:left="717"/>
      </w:pPr>
      <w:r>
        <w:rPr/>
        <w:t>具体如图 </w:t>
      </w:r>
      <w:r>
        <w:rPr>
          <w:rFonts w:ascii="Times New Roman" w:eastAsia="Times New Roman"/>
          <w:position w:val="1"/>
        </w:rPr>
        <w:t>1.3-1 </w:t>
      </w:r>
      <w:r>
        <w:rPr/>
        <w:t>所示。</w:t>
      </w:r>
    </w:p>
    <w:p>
      <w:pPr>
        <w:pStyle w:val="BodyText"/>
        <w:spacing w:before="8"/>
        <w:ind w:left="0"/>
        <w:rPr>
          <w:sz w:val="28"/>
        </w:rPr>
      </w:pPr>
      <w:r>
        <w:rPr/>
        <w:pict>
          <v:group style="position:absolute;margin-left:117.569412pt;margin-top:20.302948pt;width:366.6pt;height:398.45pt;mso-position-horizontal-relative:page;mso-position-vertical-relative:paragraph;z-index:-251645952;mso-wrap-distance-left:0;mso-wrap-distance-right:0" coordorigin="2351,406" coordsize="7332,7969">
            <v:line style="position:absolute" from="6088,932" to="6088,1248" stroked="true" strokeweight=".17257pt" strokecolor="#000000">
              <v:stroke dashstyle="solid"/>
            </v:line>
            <v:shape style="position:absolute;left:6048;top:1238;width:80;height:79" coordorigin="6048,1238" coordsize="80,79" path="m6127,1238l6048,1238,6088,1317,6127,1238xe" filled="true" fillcolor="#000000" stroked="false">
              <v:path arrowok="t"/>
              <v:fill type="solid"/>
            </v:shape>
            <v:rect style="position:absolute;left:5408;top:3628;width:1358;height:386" filled="false" stroked="true" strokeweight=".171469pt" strokecolor="#000000">
              <v:stroke dashstyle="solid"/>
            </v:rect>
            <v:line style="position:absolute" from="6088,3243" to="6088,3559" stroked="true" strokeweight=".17257pt" strokecolor="#000000">
              <v:stroke dashstyle="solid"/>
            </v:line>
            <v:shape style="position:absolute;left:6048;top:3549;width:80;height:79" coordorigin="6048,3549" coordsize="80,79" path="m6127,3549l6048,3549,6088,3628,6127,3549xe" filled="true" fillcolor="#000000" stroked="false">
              <v:path arrowok="t"/>
              <v:fill type="solid"/>
            </v:shape>
            <v:shape style="position:absolute;left:4535;top:4013;width:1552;height:509" coordorigin="4536,4014" coordsize="1552,509" path="m6088,4014l6088,4399,4536,4399,4536,4522e" filled="false" stroked="true" strokeweight=".171482pt" strokecolor="#000000">
              <v:path arrowok="t"/>
              <v:stroke dashstyle="solid"/>
            </v:shape>
            <v:shape style="position:absolute;left:4496;top:4512;width:80;height:79" coordorigin="4496,4513" coordsize="80,79" path="m4576,4513l4496,4513,4536,4591,4576,4513xe" filled="true" fillcolor="#000000" stroked="false">
              <v:path arrowok="t"/>
              <v:fill type="solid"/>
            </v:shape>
            <v:shape style="position:absolute;left:6087;top:4013;width:1552;height:509" coordorigin="6088,4014" coordsize="1552,509" path="m6088,4014l6088,4399,7640,4399,7640,4522e" filled="false" stroked="true" strokeweight=".171482pt" strokecolor="#000000">
              <v:path arrowok="t"/>
              <v:stroke dashstyle="solid"/>
            </v:shape>
            <v:shape style="position:absolute;left:7599;top:4512;width:80;height:79" coordorigin="7600,4513" coordsize="80,79" path="m7679,4513l7600,4513,7640,4591,7679,4513xe" filled="true" fillcolor="#000000" stroked="false">
              <v:path arrowok="t"/>
              <v:fill type="solid"/>
            </v:shape>
            <v:line style="position:absolute" from="6088,2087" to="6088,2404" stroked="true" strokeweight=".17257pt" strokecolor="#000000">
              <v:stroke dashstyle="solid"/>
            </v:line>
            <v:shape style="position:absolute;left:6048;top:2393;width:80;height:79" coordorigin="6048,2394" coordsize="80,79" path="m6127,2394l6048,2394,6088,2473,6127,2394xe" filled="true" fillcolor="#000000" stroked="false">
              <v:path arrowok="t"/>
              <v:fill type="solid"/>
            </v:shape>
            <v:rect style="position:absolute;left:4632;top:5554;width:2910;height:578" filled="false" stroked="true" strokeweight=".171425pt" strokecolor="#000000">
              <v:stroke dashstyle="solid"/>
            </v:rect>
            <v:shape style="position:absolute;left:6087;top:5169;width:1552;height:317" coordorigin="6088,5169" coordsize="1552,317" path="m7640,5169l7640,5354,6088,5354,6088,5486e" filled="false" stroked="true" strokeweight=".171413pt" strokecolor="#000000">
              <v:path arrowok="t"/>
              <v:stroke dashstyle="solid"/>
            </v:shape>
            <v:shape style="position:absolute;left:6048;top:5475;width:80;height:79" coordorigin="6048,5476" coordsize="80,79" path="m6127,5476l6048,5476,6088,5555,6127,5476xe" filled="true" fillcolor="#000000" stroked="false">
              <v:path arrowok="t"/>
              <v:fill type="solid"/>
            </v:shape>
            <v:shape style="position:absolute;left:4535;top:5169;width:1552;height:317" coordorigin="4536,5169" coordsize="1552,317" path="m4536,5169l4536,5354,6088,5354,6088,5486e" filled="false" stroked="true" strokeweight=".171413pt" strokecolor="#000000">
              <v:path arrowok="t"/>
              <v:stroke dashstyle="solid"/>
            </v:shape>
            <v:shape style="position:absolute;left:6048;top:5475;width:80;height:79" coordorigin="6048,5476" coordsize="80,79" path="m6127,5476l6048,5476,6088,5555,6127,5476xe" filled="true" fillcolor="#000000" stroked="false">
              <v:path arrowok="t"/>
              <v:fill type="solid"/>
            </v:shape>
            <v:line style="position:absolute" from="6088,6132" to="6088,6641" stroked="true" strokeweight=".17257pt" strokecolor="#000000">
              <v:stroke dashstyle="solid"/>
            </v:line>
            <v:shape style="position:absolute;left:6048;top:6631;width:80;height:79" coordorigin="6048,6631" coordsize="80,79" path="m6127,6631l6048,6631,6088,6710,6127,6631xe" filled="true" fillcolor="#000000" stroked="false">
              <v:path arrowok="t"/>
              <v:fill type="solid"/>
            </v:shape>
            <v:line style="position:absolute" from="6088,7481" to="6088,7797" stroked="true" strokeweight=".17257pt" strokecolor="#000000">
              <v:stroke dashstyle="solid"/>
            </v:line>
            <v:shape style="position:absolute;left:6048;top:7787;width:80;height:79" coordorigin="6048,7787" coordsize="80,79" path="m6127,7787l6048,7787,6088,7866,6127,7787xe" filled="true" fillcolor="#000000" stroked="false">
              <v:path arrowok="t"/>
              <v:fill type="solid"/>
            </v:shape>
            <v:rect style="position:absolute;left:2353;top:407;width:7328;height:7965" filled="false" stroked="true" strokeweight=".172032pt" strokecolor="#585858">
              <v:stroke dashstyle="solid"/>
            </v:rect>
            <v:shape style="position:absolute;left:2353;top:4175;width:7328;height:34" coordorigin="2353,4175" coordsize="7328,34" path="m2353,4209l6054,4209,6056,4196,6064,4185,6074,4178,6088,4175,6101,4178,6112,4185,6119,4196,6122,4209,9681,4209e" filled="false" stroked="true" strokeweight=".171379pt" strokecolor="#585858">
              <v:path arrowok="t"/>
              <v:stroke dashstyle="shortdot"/>
            </v:shape>
            <v:shape style="position:absolute;left:2353;top:6438;width:7328;height:34" coordorigin="2353,6439" coordsize="7328,34" path="m2353,6473l6054,6473,6056,6459,6064,6449,6074,6442,6088,6439,6101,6442,6112,6449,6119,6459,6122,6473,9681,6473e" filled="false" stroked="true" strokeweight=".171379pt" strokecolor="#585858">
              <v:path arrowok="t"/>
              <v:stroke dashstyle="shortdot"/>
            </v:shape>
            <v:shape style="position:absolute;left:2888;top:1702;width:193;height:789" type="#_x0000_t202" filled="false" stroked="false">
              <v:textbox inset="0,0,0,0">
                <w:txbxContent>
                  <w:p>
                    <w:pPr>
                      <w:spacing w:line="189" w:lineRule="exact" w:before="0"/>
                      <w:ind w:left="0" w:right="0" w:firstLine="0"/>
                      <w:jc w:val="left"/>
                      <w:rPr>
                        <w:sz w:val="17"/>
                      </w:rPr>
                    </w:pPr>
                    <w:r>
                      <w:rPr>
                        <w:w w:val="101"/>
                        <w:sz w:val="17"/>
                      </w:rPr>
                      <w:t>第</w:t>
                    </w:r>
                  </w:p>
                  <w:p>
                    <w:pPr>
                      <w:spacing w:line="225" w:lineRule="auto" w:before="4"/>
                      <w:ind w:left="0" w:right="18" w:firstLine="0"/>
                      <w:jc w:val="both"/>
                      <w:rPr>
                        <w:sz w:val="17"/>
                      </w:rPr>
                    </w:pPr>
                    <w:r>
                      <w:rPr>
                        <w:sz w:val="17"/>
                      </w:rPr>
                      <w:t>一阶段</w:t>
                    </w:r>
                  </w:p>
                </w:txbxContent>
              </v:textbox>
              <w10:wrap type="none"/>
            </v:shape>
            <v:shape style="position:absolute;left:5569;top:3725;width:1056;height:172" type="#_x0000_t202" filled="false" stroked="false">
              <v:textbox inset="0,0,0,0">
                <w:txbxContent>
                  <w:p>
                    <w:pPr>
                      <w:spacing w:line="171" w:lineRule="exact" w:before="0"/>
                      <w:ind w:left="0" w:right="0" w:firstLine="0"/>
                      <w:jc w:val="left"/>
                      <w:rPr>
                        <w:sz w:val="17"/>
                      </w:rPr>
                    </w:pPr>
                    <w:r>
                      <w:rPr>
                        <w:sz w:val="17"/>
                      </w:rPr>
                      <w:t>制定工作方案</w:t>
                    </w:r>
                  </w:p>
                </w:txbxContent>
              </v:textbox>
              <w10:wrap type="none"/>
            </v:shape>
            <v:shape style="position:absolute;left:2877;top:4936;width:193;height:789" type="#_x0000_t202" filled="false" stroked="false">
              <v:textbox inset="0,0,0,0">
                <w:txbxContent>
                  <w:p>
                    <w:pPr>
                      <w:spacing w:line="189" w:lineRule="exact" w:before="0"/>
                      <w:ind w:left="0" w:right="0" w:firstLine="0"/>
                      <w:jc w:val="left"/>
                      <w:rPr>
                        <w:sz w:val="17"/>
                      </w:rPr>
                    </w:pPr>
                    <w:r>
                      <w:rPr>
                        <w:w w:val="101"/>
                        <w:sz w:val="17"/>
                      </w:rPr>
                      <w:t>第</w:t>
                    </w:r>
                  </w:p>
                  <w:p>
                    <w:pPr>
                      <w:spacing w:line="225" w:lineRule="auto" w:before="4"/>
                      <w:ind w:left="0" w:right="18" w:firstLine="0"/>
                      <w:jc w:val="both"/>
                      <w:rPr>
                        <w:sz w:val="17"/>
                      </w:rPr>
                    </w:pPr>
                    <w:r>
                      <w:rPr>
                        <w:sz w:val="17"/>
                      </w:rPr>
                      <w:t>二阶段</w:t>
                    </w:r>
                  </w:p>
                </w:txbxContent>
              </v:textbox>
              <w10:wrap type="none"/>
            </v:shape>
            <v:shape style="position:absolute;left:4661;top:5644;width:2696;height:378" type="#_x0000_t202" filled="false" stroked="false">
              <v:textbox inset="0,0,0,0">
                <w:txbxContent>
                  <w:p>
                    <w:pPr>
                      <w:spacing w:line="189" w:lineRule="exact" w:before="0"/>
                      <w:ind w:left="0" w:right="0" w:firstLine="0"/>
                      <w:jc w:val="left"/>
                      <w:rPr>
                        <w:sz w:val="17"/>
                      </w:rPr>
                    </w:pPr>
                    <w:r>
                      <w:rPr>
                        <w:sz w:val="17"/>
                      </w:rPr>
                      <w:t>1、各环境要素环境影响预测与评价</w:t>
                    </w:r>
                  </w:p>
                  <w:p>
                    <w:pPr>
                      <w:spacing w:line="188" w:lineRule="exact" w:before="0"/>
                      <w:ind w:left="0" w:right="0" w:firstLine="0"/>
                      <w:jc w:val="left"/>
                      <w:rPr>
                        <w:sz w:val="17"/>
                      </w:rPr>
                    </w:pPr>
                    <w:r>
                      <w:rPr>
                        <w:sz w:val="17"/>
                      </w:rPr>
                      <w:t>2、各专题环境影响分析与评价</w:t>
                    </w:r>
                  </w:p>
                </w:txbxContent>
              </v:textbox>
              <w10:wrap type="none"/>
            </v:shape>
            <v:shape style="position:absolute;left:2877;top:6957;width:193;height:789" type="#_x0000_t202" filled="false" stroked="false">
              <v:textbox inset="0,0,0,0">
                <w:txbxContent>
                  <w:p>
                    <w:pPr>
                      <w:spacing w:line="189" w:lineRule="exact" w:before="0"/>
                      <w:ind w:left="0" w:right="0" w:firstLine="0"/>
                      <w:jc w:val="left"/>
                      <w:rPr>
                        <w:sz w:val="17"/>
                      </w:rPr>
                    </w:pPr>
                    <w:r>
                      <w:rPr>
                        <w:w w:val="101"/>
                        <w:sz w:val="17"/>
                      </w:rPr>
                      <w:t>第</w:t>
                    </w:r>
                  </w:p>
                  <w:p>
                    <w:pPr>
                      <w:spacing w:line="225" w:lineRule="auto" w:before="4"/>
                      <w:ind w:left="0" w:right="18" w:firstLine="0"/>
                      <w:jc w:val="both"/>
                      <w:rPr>
                        <w:sz w:val="17"/>
                      </w:rPr>
                    </w:pPr>
                    <w:r>
                      <w:rPr>
                        <w:sz w:val="17"/>
                      </w:rPr>
                      <w:t>三阶段</w:t>
                    </w:r>
                  </w:p>
                </w:txbxContent>
              </v:textbox>
              <w10:wrap type="none"/>
            </v:shape>
            <v:shape style="position:absolute;left:4438;top:6710;width:3298;height:771" type="#_x0000_t202" filled="false" stroked="true" strokeweight=".171443pt" strokecolor="#000000">
              <v:textbox inset="0,0,0,0">
                <w:txbxContent>
                  <w:p>
                    <w:pPr>
                      <w:spacing w:line="212" w:lineRule="exact" w:before="59"/>
                      <w:ind w:left="27" w:right="0" w:firstLine="0"/>
                      <w:jc w:val="left"/>
                      <w:rPr>
                        <w:sz w:val="17"/>
                      </w:rPr>
                    </w:pPr>
                    <w:r>
                      <w:rPr>
                        <w:sz w:val="17"/>
                      </w:rPr>
                      <w:t>1、提出环境保护措施，进行技术经济论证</w:t>
                    </w:r>
                  </w:p>
                  <w:p>
                    <w:pPr>
                      <w:spacing w:line="206" w:lineRule="exact" w:before="0"/>
                      <w:ind w:left="27" w:right="0" w:firstLine="0"/>
                      <w:jc w:val="left"/>
                      <w:rPr>
                        <w:sz w:val="17"/>
                      </w:rPr>
                    </w:pPr>
                    <w:r>
                      <w:rPr>
                        <w:sz w:val="17"/>
                      </w:rPr>
                      <w:t>2、给出污染物排放清单</w:t>
                    </w:r>
                  </w:p>
                  <w:p>
                    <w:pPr>
                      <w:spacing w:line="212" w:lineRule="exact" w:before="0"/>
                      <w:ind w:left="27" w:right="0" w:firstLine="0"/>
                      <w:jc w:val="left"/>
                      <w:rPr>
                        <w:sz w:val="17"/>
                      </w:rPr>
                    </w:pPr>
                    <w:r>
                      <w:rPr>
                        <w:sz w:val="17"/>
                      </w:rPr>
                      <w:t>3、给出建设项目环境影响评价结论</w:t>
                    </w:r>
                  </w:p>
                </w:txbxContent>
              </v:textbox>
              <v:stroke dashstyle="solid"/>
              <w10:wrap type="none"/>
            </v:shape>
            <v:shape style="position:absolute;left:6960;top:4591;width:1358;height:578" type="#_x0000_t202" filled="false" stroked="true" strokeweight=".171566pt" strokecolor="#000000">
              <v:textbox inset="0,0,0,0">
                <w:txbxContent>
                  <w:p>
                    <w:pPr>
                      <w:spacing w:line="225" w:lineRule="auto" w:before="76"/>
                      <w:ind w:left="331" w:right="330" w:firstLine="0"/>
                      <w:jc w:val="left"/>
                      <w:rPr>
                        <w:sz w:val="17"/>
                      </w:rPr>
                    </w:pPr>
                    <w:r>
                      <w:rPr>
                        <w:sz w:val="17"/>
                      </w:rPr>
                      <w:t>建设项目工程分析</w:t>
                    </w:r>
                  </w:p>
                </w:txbxContent>
              </v:textbox>
              <v:stroke dashstyle="solid"/>
              <w10:wrap type="none"/>
            </v:shape>
            <v:shape style="position:absolute;left:3857;top:4591;width:1358;height:578" type="#_x0000_t202" filled="false" stroked="true" strokeweight=".171566pt" strokecolor="#000000">
              <v:textbox inset="0,0,0,0">
                <w:txbxContent>
                  <w:p>
                    <w:pPr>
                      <w:spacing w:line="225" w:lineRule="auto" w:before="76"/>
                      <w:ind w:left="245" w:right="157" w:hanging="87"/>
                      <w:jc w:val="left"/>
                      <w:rPr>
                        <w:sz w:val="17"/>
                      </w:rPr>
                    </w:pPr>
                    <w:r>
                      <w:rPr>
                        <w:sz w:val="17"/>
                      </w:rPr>
                      <w:t>环境现状调查监测与评价</w:t>
                    </w:r>
                  </w:p>
                </w:txbxContent>
              </v:textbox>
              <v:stroke dashstyle="solid"/>
              <w10:wrap type="none"/>
            </v:shape>
            <v:shape style="position:absolute;left:4438;top:2472;width:3298;height:771" type="#_x0000_t202" filled="false" stroked="true" strokeweight=".171443pt" strokecolor="#000000">
              <v:textbox inset="0,0,0,0">
                <w:txbxContent>
                  <w:p>
                    <w:pPr>
                      <w:spacing w:line="212" w:lineRule="exact" w:before="59"/>
                      <w:ind w:left="27" w:right="0" w:firstLine="0"/>
                      <w:jc w:val="left"/>
                      <w:rPr>
                        <w:sz w:val="17"/>
                      </w:rPr>
                    </w:pPr>
                    <w:r>
                      <w:rPr>
                        <w:sz w:val="17"/>
                      </w:rPr>
                      <w:t>1、环境影响识别和评价因子筛选</w:t>
                    </w:r>
                  </w:p>
                  <w:p>
                    <w:pPr>
                      <w:spacing w:line="206" w:lineRule="exact" w:before="0"/>
                      <w:ind w:left="27" w:right="0" w:firstLine="0"/>
                      <w:jc w:val="left"/>
                      <w:rPr>
                        <w:sz w:val="17"/>
                      </w:rPr>
                    </w:pPr>
                    <w:r>
                      <w:rPr>
                        <w:sz w:val="17"/>
                      </w:rPr>
                      <w:t>2、明确评价重点和环境保护目标</w:t>
                    </w:r>
                  </w:p>
                  <w:p>
                    <w:pPr>
                      <w:spacing w:line="212" w:lineRule="exact" w:before="0"/>
                      <w:ind w:left="27" w:right="0" w:firstLine="0"/>
                      <w:jc w:val="left"/>
                      <w:rPr>
                        <w:sz w:val="17"/>
                      </w:rPr>
                    </w:pPr>
                    <w:r>
                      <w:rPr>
                        <w:sz w:val="17"/>
                      </w:rPr>
                      <w:t>3、确定工作等级、评价范围和评价标准</w:t>
                    </w:r>
                  </w:p>
                </w:txbxContent>
              </v:textbox>
              <v:stroke dashstyle="solid"/>
              <w10:wrap type="none"/>
            </v:shape>
            <v:shape style="position:absolute;left:4632;top:1316;width:2910;height:771" type="#_x0000_t202" filled="false" stroked="true" strokeweight=".17146pt" strokecolor="#000000">
              <v:textbox inset="0,0,0,0">
                <w:txbxContent>
                  <w:p>
                    <w:pPr>
                      <w:spacing w:line="212" w:lineRule="exact" w:before="59"/>
                      <w:ind w:left="27" w:right="0" w:firstLine="0"/>
                      <w:jc w:val="left"/>
                      <w:rPr>
                        <w:sz w:val="17"/>
                      </w:rPr>
                    </w:pPr>
                    <w:r>
                      <w:rPr>
                        <w:sz w:val="17"/>
                      </w:rPr>
                      <w:t>1、研究相关技术文件和其他有关文件</w:t>
                    </w:r>
                  </w:p>
                  <w:p>
                    <w:pPr>
                      <w:spacing w:line="206" w:lineRule="exact" w:before="0"/>
                      <w:ind w:left="27" w:right="0" w:firstLine="0"/>
                      <w:jc w:val="left"/>
                      <w:rPr>
                        <w:sz w:val="17"/>
                      </w:rPr>
                    </w:pPr>
                    <w:r>
                      <w:rPr>
                        <w:sz w:val="17"/>
                      </w:rPr>
                      <w:t>2、进行初步工程分析</w:t>
                    </w:r>
                  </w:p>
                  <w:p>
                    <w:pPr>
                      <w:spacing w:line="212" w:lineRule="exact" w:before="0"/>
                      <w:ind w:left="27" w:right="0" w:firstLine="0"/>
                      <w:jc w:val="left"/>
                      <w:rPr>
                        <w:sz w:val="17"/>
                      </w:rPr>
                    </w:pPr>
                    <w:r>
                      <w:rPr>
                        <w:sz w:val="17"/>
                      </w:rPr>
                      <w:t>3、开展初步的环境现状调查</w:t>
                    </w:r>
                  </w:p>
                </w:txbxContent>
              </v:textbox>
              <v:stroke dashstyle="solid"/>
              <w10:wrap type="none"/>
            </v:shape>
            <v:shape style="position:absolute;left:4438;top:546;width:3298;height:386" type="#_x0000_t202" filled="false" stroked="true" strokeweight=".171396pt" strokecolor="#000000">
              <v:textbox inset="0,0,0,0">
                <w:txbxContent>
                  <w:p>
                    <w:pPr>
                      <w:spacing w:before="72"/>
                      <w:ind w:left="93" w:right="0" w:firstLine="0"/>
                      <w:jc w:val="left"/>
                      <w:rPr>
                        <w:sz w:val="17"/>
                      </w:rPr>
                    </w:pPr>
                    <w:r>
                      <w:rPr>
                        <w:sz w:val="17"/>
                      </w:rPr>
                      <w:t>依据相关规定确定环境影响评价文件类型</w:t>
                    </w:r>
                  </w:p>
                </w:txbxContent>
              </v:textbox>
              <v:stroke dashstyle="solid"/>
              <w10:wrap type="none"/>
            </v:shape>
            <v:shape style="position:absolute;left:4826;top:7865;width:2522;height:386" type="#_x0000_t202" filled="false" stroked="true" strokeweight=".171407pt" strokecolor="#000000">
              <v:textbox inset="0,0,0,0">
                <w:txbxContent>
                  <w:p>
                    <w:pPr>
                      <w:spacing w:before="72"/>
                      <w:ind w:left="482" w:right="0" w:firstLine="0"/>
                      <w:jc w:val="left"/>
                      <w:rPr>
                        <w:sz w:val="17"/>
                      </w:rPr>
                    </w:pPr>
                    <w:r>
                      <w:rPr>
                        <w:sz w:val="17"/>
                      </w:rPr>
                      <w:t>编制环境影响报告书</w:t>
                    </w:r>
                  </w:p>
                </w:txbxContent>
              </v:textbox>
              <v:stroke dashstyle="solid"/>
              <w10:wrap type="none"/>
            </v:shape>
            <w10:wrap type="topAndBottom"/>
          </v:group>
        </w:pict>
      </w:r>
    </w:p>
    <w:p>
      <w:pPr>
        <w:pStyle w:val="BodyText"/>
        <w:spacing w:before="3"/>
        <w:ind w:left="0"/>
        <w:rPr>
          <w:sz w:val="8"/>
        </w:rPr>
      </w:pPr>
    </w:p>
    <w:p>
      <w:pPr>
        <w:pStyle w:val="Heading3"/>
        <w:spacing w:before="76"/>
        <w:ind w:left="217" w:right="236"/>
        <w:jc w:val="center"/>
      </w:pPr>
      <w:r>
        <w:rPr/>
        <w:t>图 </w:t>
      </w:r>
      <w:r>
        <w:rPr>
          <w:rFonts w:ascii="Times New Roman" w:eastAsia="Times New Roman"/>
        </w:rPr>
        <w:t>1.3-1  </w:t>
      </w:r>
      <w:r>
        <w:rPr/>
        <w:t>建设项目环境影响评价工作程序图</w:t>
      </w:r>
    </w:p>
    <w:p>
      <w:pPr>
        <w:spacing w:before="161"/>
        <w:ind w:left="719" w:right="0" w:firstLine="0"/>
        <w:jc w:val="left"/>
        <w:rPr>
          <w:b/>
          <w:sz w:val="24"/>
        </w:rPr>
      </w:pPr>
      <w:r>
        <w:rPr>
          <w:rFonts w:ascii="Times New Roman" w:eastAsia="Times New Roman"/>
          <w:b/>
          <w:sz w:val="24"/>
        </w:rPr>
        <w:t>1</w:t>
      </w:r>
      <w:r>
        <w:rPr>
          <w:b/>
          <w:sz w:val="24"/>
        </w:rPr>
        <w:t>、前期准备、调研和工作方案阶段</w:t>
      </w:r>
    </w:p>
    <w:p>
      <w:pPr>
        <w:pStyle w:val="BodyText"/>
        <w:spacing w:before="160"/>
        <w:ind w:left="717"/>
      </w:pPr>
      <w:r>
        <w:rPr/>
        <w:t>接受委托后，收集和研究与工程有关的资料，进行初步工程分析，开展环境状况调</w:t>
      </w:r>
    </w:p>
    <w:p>
      <w:pPr>
        <w:spacing w:after="0"/>
        <w:sectPr>
          <w:pgSz w:w="11910" w:h="16840"/>
          <w:pgMar w:header="874" w:footer="1004" w:top="1400" w:bottom="1200" w:left="1040" w:right="1160"/>
        </w:sectPr>
      </w:pPr>
    </w:p>
    <w:p>
      <w:pPr>
        <w:pStyle w:val="BodyText"/>
        <w:spacing w:line="364" w:lineRule="auto" w:before="121"/>
        <w:ind w:right="249"/>
      </w:pPr>
      <w:r>
        <w:rPr/>
        <w:t>查，进行环境影响因素识别、评价因子筛选、明确评价重点和环境保护目标，确定工作等级、评价范围及评价标准，制定工作方案。</w:t>
      </w:r>
    </w:p>
    <w:p>
      <w:pPr>
        <w:pStyle w:val="Heading3"/>
        <w:spacing w:before="1"/>
      </w:pPr>
      <w:r>
        <w:rPr>
          <w:rFonts w:ascii="Times New Roman" w:eastAsia="Times New Roman"/>
        </w:rPr>
        <w:t>2</w:t>
      </w:r>
      <w:r>
        <w:rPr/>
        <w:t>、分析论证和预测评价阶段</w:t>
      </w:r>
    </w:p>
    <w:p>
      <w:pPr>
        <w:pStyle w:val="BodyText"/>
        <w:spacing w:line="364" w:lineRule="auto" w:before="161"/>
        <w:ind w:right="254" w:firstLine="480"/>
      </w:pPr>
      <w:r>
        <w:rPr/>
        <w:t>对项目进行工程分析，并对评价范围内的环境状况进行调查、监测和评价，各环境要素进行环境影响预测与评价。</w:t>
      </w:r>
    </w:p>
    <w:p>
      <w:pPr>
        <w:pStyle w:val="Heading3"/>
        <w:spacing w:before="1"/>
      </w:pPr>
      <w:r>
        <w:rPr>
          <w:rFonts w:ascii="Times New Roman" w:eastAsia="Times New Roman"/>
        </w:rPr>
        <w:t>3</w:t>
      </w:r>
      <w:r>
        <w:rPr/>
        <w:t>、环境影响评价文件编制阶段</w:t>
      </w:r>
    </w:p>
    <w:p>
      <w:pPr>
        <w:pStyle w:val="BodyText"/>
        <w:spacing w:line="364" w:lineRule="auto" w:before="161"/>
        <w:ind w:right="254" w:firstLine="480"/>
      </w:pPr>
      <w:r>
        <w:rPr/>
        <w:t>根据建设项目对环境的影响程度和范围，提出切实可行的环保措施，并进行技术经济论证，给出建设项目环境可行性的评价结论，编制环境影响评价文件。</w:t>
      </w:r>
    </w:p>
    <w:p>
      <w:pPr>
        <w:pStyle w:val="Heading2"/>
        <w:numPr>
          <w:ilvl w:val="1"/>
          <w:numId w:val="10"/>
        </w:numPr>
        <w:tabs>
          <w:tab w:pos="730" w:val="left" w:leader="none"/>
        </w:tabs>
        <w:spacing w:line="240" w:lineRule="auto" w:before="53" w:after="0"/>
        <w:ind w:left="729" w:right="0" w:hanging="493"/>
        <w:jc w:val="left"/>
      </w:pPr>
      <w:bookmarkStart w:name="_bookmark4" w:id="8"/>
      <w:bookmarkEnd w:id="8"/>
      <w:r>
        <w:rPr>
          <w:b w:val="0"/>
        </w:rPr>
      </w:r>
      <w:bookmarkStart w:name="_bookmark4" w:id="9"/>
      <w:bookmarkEnd w:id="9"/>
      <w:r>
        <w:rPr/>
        <w:t>分析判定情况</w:t>
      </w:r>
    </w:p>
    <w:p>
      <w:pPr>
        <w:pStyle w:val="Heading3"/>
        <w:numPr>
          <w:ilvl w:val="2"/>
          <w:numId w:val="10"/>
        </w:numPr>
        <w:tabs>
          <w:tab w:pos="838" w:val="left" w:leader="none"/>
        </w:tabs>
        <w:spacing w:line="240" w:lineRule="auto" w:before="214" w:after="0"/>
        <w:ind w:left="837" w:right="0" w:hanging="601"/>
        <w:jc w:val="left"/>
      </w:pPr>
      <w:bookmarkStart w:name="_bookmark5" w:id="10"/>
      <w:bookmarkEnd w:id="10"/>
      <w:r>
        <w:rPr>
          <w:b w:val="0"/>
        </w:rPr>
      </w:r>
      <w:bookmarkStart w:name="_bookmark5" w:id="11"/>
      <w:bookmarkEnd w:id="11"/>
      <w:r>
        <w:rPr/>
        <w:t>“三线一单”生态环境分区管控方案符合性判定</w:t>
      </w:r>
    </w:p>
    <w:p>
      <w:pPr>
        <w:pStyle w:val="BodyText"/>
        <w:spacing w:line="364" w:lineRule="auto" w:before="160"/>
        <w:ind w:right="130" w:firstLine="480"/>
      </w:pPr>
      <w:r>
        <w:rPr/>
        <w:t>根据《绍兴市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生态环境分区管控方案》，本项目拟建址位于</w:t>
      </w:r>
      <w:r>
        <w:rPr>
          <w:rFonts w:ascii="Times New Roman" w:hAnsi="Times New Roman" w:eastAsia="Times New Roman"/>
          <w:position w:val="1"/>
        </w:rPr>
        <w:t>“</w:t>
      </w:r>
      <w:r>
        <w:rPr/>
        <w:t>柯桥区一般管控单元（</w:t>
      </w:r>
      <w:r>
        <w:rPr>
          <w:rFonts w:ascii="Times New Roman" w:hAnsi="Times New Roman" w:eastAsia="Times New Roman"/>
          <w:position w:val="1"/>
        </w:rPr>
        <w:t>ZH33060330001</w:t>
      </w:r>
      <w:r>
        <w:rPr/>
        <w:t>）</w:t>
      </w:r>
      <w:r>
        <w:rPr>
          <w:rFonts w:ascii="Times New Roman" w:hAnsi="Times New Roman" w:eastAsia="Times New Roman"/>
          <w:position w:val="1"/>
        </w:rPr>
        <w:t>”</w:t>
      </w:r>
      <w:r>
        <w:rPr/>
        <w:t>内。本项目为生猪规模化养殖项目，属于农业项目，目前</w:t>
      </w:r>
      <w:r>
        <w:rPr>
          <w:spacing w:val="-1"/>
        </w:rPr>
        <w:t>已完成设施农用地备案</w:t>
      </w:r>
      <w:r>
        <w:rPr/>
        <w:t>（详见附件五</w:t>
      </w:r>
      <w:r>
        <w:rPr>
          <w:spacing w:val="-10"/>
        </w:rPr>
        <w:t>）</w:t>
      </w:r>
      <w:r>
        <w:rPr>
          <w:spacing w:val="-4"/>
        </w:rPr>
        <w:t>。本项目废水经自建污水站处理达标后纳管排放， </w:t>
      </w:r>
      <w:r>
        <w:rPr>
          <w:spacing w:val="-3"/>
        </w:rPr>
        <w:t>粪便等经发酵处理后外运生产有机肥，不采用土地消纳方式，当地环境承载力可以接受， </w:t>
      </w:r>
      <w:r>
        <w:rPr>
          <w:spacing w:val="-8"/>
        </w:rPr>
        <w:t>也不会增加农业面源污染物排放。因此，本项目的建设能够符合绍兴市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生态环境分区管控方案的要求。</w:t>
      </w:r>
    </w:p>
    <w:p>
      <w:pPr>
        <w:pStyle w:val="Heading3"/>
        <w:numPr>
          <w:ilvl w:val="2"/>
          <w:numId w:val="10"/>
        </w:numPr>
        <w:tabs>
          <w:tab w:pos="838" w:val="left" w:leader="none"/>
        </w:tabs>
        <w:spacing w:line="240" w:lineRule="auto" w:before="4" w:after="0"/>
        <w:ind w:left="837" w:right="0" w:hanging="601"/>
        <w:jc w:val="left"/>
      </w:pPr>
      <w:bookmarkStart w:name="_bookmark6" w:id="12"/>
      <w:bookmarkEnd w:id="12"/>
      <w:r>
        <w:rPr>
          <w:b w:val="0"/>
        </w:rPr>
      </w:r>
      <w:bookmarkStart w:name="_bookmark6" w:id="13"/>
      <w:bookmarkEnd w:id="13"/>
      <w:r>
        <w:rPr/>
        <w:t>土地利用规划和城乡总体规划符合性判定</w:t>
      </w:r>
    </w:p>
    <w:p>
      <w:pPr>
        <w:pStyle w:val="BodyText"/>
        <w:spacing w:line="364" w:lineRule="auto" w:before="161"/>
        <w:ind w:right="248" w:firstLine="480"/>
        <w:jc w:val="both"/>
      </w:pPr>
      <w:r>
        <w:rPr/>
        <w:t>本项目为生猪养殖项目，为畜牧业，属于农业生产项目。项目地址位于绍兴市柯桥区柯岩街道丰项村，根据《关于天圣集团农业生态产业链项目落地建设相关事宜的专题会议纪要》（绍兴市柯桥区人民政府专题会议纪要</w:t>
      </w:r>
      <w:r>
        <w:rPr>
          <w:rFonts w:ascii="Times New Roman" w:eastAsia="Times New Roman"/>
          <w:position w:val="1"/>
        </w:rPr>
        <w:t>[2020]24 </w:t>
      </w:r>
      <w:r>
        <w:rPr>
          <w:spacing w:val="3"/>
        </w:rPr>
        <w:t>号</w:t>
      </w:r>
      <w:r>
        <w:rPr/>
        <w:t>）</w:t>
      </w:r>
      <w:r>
        <w:rPr>
          <w:spacing w:val="-2"/>
        </w:rPr>
        <w:t>，本项目需占用设施农</w:t>
      </w:r>
      <w:r>
        <w:rPr>
          <w:spacing w:val="-15"/>
        </w:rPr>
        <w:t>用地 </w:t>
      </w:r>
      <w:r>
        <w:rPr>
          <w:rFonts w:ascii="Times New Roman" w:eastAsia="Times New Roman"/>
          <w:position w:val="1"/>
        </w:rPr>
        <w:t>78.5 </w:t>
      </w:r>
      <w:r>
        <w:rPr/>
        <w:t>亩（包括一般农田和永久基本农田），目前已完成设施农用地备案（</w:t>
      </w:r>
      <w:r>
        <w:rPr>
          <w:spacing w:val="-3"/>
        </w:rPr>
        <w:t>详见附件</w:t>
      </w:r>
      <w:r>
        <w:rPr/>
        <w:t>五）。因此，本项目符合绍兴市土地利用规划及城乡总体规划要求。</w:t>
      </w:r>
    </w:p>
    <w:p>
      <w:pPr>
        <w:pStyle w:val="Heading3"/>
        <w:numPr>
          <w:ilvl w:val="2"/>
          <w:numId w:val="10"/>
        </w:numPr>
        <w:tabs>
          <w:tab w:pos="838" w:val="left" w:leader="none"/>
        </w:tabs>
        <w:spacing w:line="240" w:lineRule="auto" w:before="3" w:after="0"/>
        <w:ind w:left="837" w:right="0" w:hanging="601"/>
        <w:jc w:val="both"/>
      </w:pPr>
      <w:bookmarkStart w:name="_bookmark7" w:id="14"/>
      <w:bookmarkEnd w:id="14"/>
      <w:r>
        <w:rPr>
          <w:b w:val="0"/>
        </w:rPr>
      </w:r>
      <w:bookmarkStart w:name="_bookmark7" w:id="15"/>
      <w:bookmarkEnd w:id="15"/>
      <w:r>
        <w:rPr/>
        <w:t>产业政策符合性判定</w:t>
      </w:r>
    </w:p>
    <w:p>
      <w:pPr>
        <w:pStyle w:val="BodyText"/>
        <w:spacing w:line="364" w:lineRule="auto" w:before="161"/>
        <w:ind w:right="131" w:firstLine="480"/>
      </w:pPr>
      <w:r>
        <w:rPr/>
        <w:t>本项目为生猪规模化养殖项目，属于国家发展和改革委员会《产业结构调整指导目 </w:t>
      </w:r>
      <w:r>
        <w:rPr>
          <w:spacing w:val="-92"/>
        </w:rPr>
        <w:t>录</w:t>
      </w:r>
      <w:r>
        <w:rPr/>
        <w:t>（</w:t>
      </w:r>
      <w:r>
        <w:rPr>
          <w:rFonts w:ascii="Times New Roman" w:hAnsi="Times New Roman" w:eastAsia="Times New Roman"/>
          <w:position w:val="1"/>
        </w:rPr>
        <w:t>2019</w:t>
      </w:r>
      <w:r>
        <w:rPr>
          <w:rFonts w:ascii="Times New Roman" w:hAnsi="Times New Roman" w:eastAsia="Times New Roman"/>
          <w:spacing w:val="-1"/>
          <w:position w:val="1"/>
        </w:rPr>
        <w:t> </w:t>
      </w:r>
      <w:r>
        <w:rPr/>
        <w:t>年本</w:t>
      </w:r>
      <w:r>
        <w:rPr>
          <w:spacing w:val="-92"/>
        </w:rPr>
        <w:t>）</w:t>
      </w:r>
      <w:r>
        <w:rPr>
          <w:spacing w:val="-14"/>
        </w:rPr>
        <w:t>》中鼓励类第一类</w:t>
      </w:r>
      <w:r>
        <w:rPr>
          <w:rFonts w:ascii="Times New Roman" w:hAnsi="Times New Roman" w:eastAsia="Times New Roman"/>
          <w:position w:val="1"/>
        </w:rPr>
        <w:t>“</w:t>
      </w:r>
      <w:r>
        <w:rPr/>
        <w:t>农林业</w:t>
      </w:r>
      <w:r>
        <w:rPr>
          <w:rFonts w:ascii="Times New Roman" w:hAnsi="Times New Roman" w:eastAsia="Times New Roman"/>
          <w:position w:val="1"/>
        </w:rPr>
        <w:t>”</w:t>
      </w:r>
      <w:r>
        <w:rPr>
          <w:spacing w:val="-30"/>
        </w:rPr>
        <w:t>第 </w:t>
      </w:r>
      <w:r>
        <w:rPr>
          <w:rFonts w:ascii="Times New Roman" w:hAnsi="Times New Roman" w:eastAsia="Times New Roman"/>
          <w:position w:val="1"/>
        </w:rPr>
        <w:t>4</w:t>
      </w:r>
      <w:r>
        <w:rPr>
          <w:rFonts w:ascii="Times New Roman" w:hAnsi="Times New Roman" w:eastAsia="Times New Roman"/>
          <w:spacing w:val="1"/>
          <w:position w:val="1"/>
        </w:rPr>
        <w:t> </w:t>
      </w:r>
      <w:r>
        <w:rPr/>
        <w:t>项</w:t>
      </w:r>
      <w:r>
        <w:rPr>
          <w:rFonts w:ascii="Times New Roman" w:hAnsi="Times New Roman" w:eastAsia="Times New Roman"/>
          <w:position w:val="1"/>
        </w:rPr>
        <w:t>“</w:t>
      </w:r>
      <w:r>
        <w:rPr/>
        <w:t>畜禽标准化规模养殖技术开发与应用</w:t>
      </w:r>
      <w:r>
        <w:rPr>
          <w:rFonts w:ascii="Times New Roman" w:hAnsi="Times New Roman" w:eastAsia="Times New Roman"/>
          <w:position w:val="1"/>
        </w:rPr>
        <w:t>”</w:t>
      </w:r>
      <w:r>
        <w:rPr>
          <w:spacing w:val="-12"/>
        </w:rPr>
        <w:t>。</w:t>
      </w:r>
      <w:r>
        <w:rPr/>
        <w:t>项目拟建址位于柯桥区柯岩街道丰项村，不触及畜禽养殖禁养区。目前，企业已就该项</w:t>
      </w:r>
      <w:r>
        <w:rPr>
          <w:spacing w:val="-3"/>
        </w:rPr>
        <w:t>目在浙江省投资项目在线审批监管平台上进行了备案</w:t>
      </w:r>
      <w:r>
        <w:rPr/>
        <w:t>（</w:t>
      </w:r>
      <w:r>
        <w:rPr>
          <w:spacing w:val="-2"/>
        </w:rPr>
        <w:t>代码：</w:t>
      </w:r>
      <w:r>
        <w:rPr>
          <w:rFonts w:ascii="Times New Roman" w:hAnsi="Times New Roman" w:eastAsia="Times New Roman"/>
          <w:spacing w:val="-4"/>
          <w:position w:val="1"/>
        </w:rPr>
        <w:t>2101-330603-04-01-859464</w:t>
      </w:r>
      <w:r>
        <w:rPr>
          <w:spacing w:val="-4"/>
        </w:rPr>
        <w:t>， </w:t>
      </w:r>
      <w:r>
        <w:rPr/>
        <w:t>详见附件一）。因此，本项目的建设符合国家及地方产业政策。</w:t>
      </w:r>
    </w:p>
    <w:p>
      <w:pPr>
        <w:spacing w:after="0" w:line="364" w:lineRule="auto"/>
        <w:sectPr>
          <w:pgSz w:w="11910" w:h="16840"/>
          <w:pgMar w:header="874" w:footer="1004" w:top="1400" w:bottom="1200" w:left="1040" w:right="1160"/>
        </w:sectPr>
      </w:pPr>
    </w:p>
    <w:p>
      <w:pPr>
        <w:pStyle w:val="Heading3"/>
        <w:numPr>
          <w:ilvl w:val="2"/>
          <w:numId w:val="10"/>
        </w:numPr>
        <w:tabs>
          <w:tab w:pos="838" w:val="left" w:leader="none"/>
        </w:tabs>
        <w:spacing w:line="240" w:lineRule="auto" w:before="121" w:after="0"/>
        <w:ind w:left="837" w:right="0" w:hanging="601"/>
        <w:jc w:val="left"/>
      </w:pPr>
      <w:bookmarkStart w:name="_bookmark8" w:id="16"/>
      <w:bookmarkEnd w:id="16"/>
      <w:r>
        <w:rPr>
          <w:b w:val="0"/>
        </w:rPr>
      </w:r>
      <w:bookmarkStart w:name="_bookmark8" w:id="17"/>
      <w:bookmarkEnd w:id="17"/>
      <w:r>
        <w:rPr/>
        <w:t>选址要求符合性分析</w:t>
      </w:r>
    </w:p>
    <w:p>
      <w:pPr>
        <w:pStyle w:val="BodyText"/>
        <w:spacing w:line="364" w:lineRule="auto" w:before="161"/>
        <w:ind w:right="252" w:firstLine="480"/>
      </w:pPr>
      <w:r>
        <w:rPr>
          <w:spacing w:val="-5"/>
        </w:rPr>
        <w:t>本项目选址于丰项村西南侧约 </w:t>
      </w:r>
      <w:r>
        <w:rPr>
          <w:rFonts w:ascii="Times New Roman" w:eastAsia="Times New Roman"/>
          <w:position w:val="1"/>
        </w:rPr>
        <w:t>555m </w:t>
      </w:r>
      <w:r>
        <w:rPr>
          <w:spacing w:val="-11"/>
        </w:rPr>
        <w:t>处的山坳内，项目选址与相关法律法规及规范中</w:t>
      </w:r>
      <w:r>
        <w:rPr>
          <w:spacing w:val="-5"/>
        </w:rPr>
        <w:t>的选址要求符合性分析见表 </w:t>
      </w:r>
      <w:r>
        <w:rPr>
          <w:rFonts w:ascii="Times New Roman" w:eastAsia="Times New Roman"/>
          <w:position w:val="1"/>
        </w:rPr>
        <w:t>1.4-1</w:t>
      </w:r>
      <w:r>
        <w:rPr/>
        <w:t>。</w:t>
      </w:r>
    </w:p>
    <w:p>
      <w:pPr>
        <w:pStyle w:val="Heading3"/>
        <w:spacing w:before="1"/>
        <w:ind w:left="3300"/>
      </w:pPr>
      <w:r>
        <w:rPr/>
        <w:t>表 </w:t>
      </w:r>
      <w:r>
        <w:rPr>
          <w:rFonts w:ascii="Times New Roman" w:eastAsia="Times New Roman"/>
        </w:rPr>
        <w:t>1.4-1  </w:t>
      </w:r>
      <w:r>
        <w:rPr/>
        <w:t>项目选址符合性分析</w:t>
      </w:r>
    </w:p>
    <w:p>
      <w:pPr>
        <w:pStyle w:val="BodyText"/>
        <w:spacing w:before="2"/>
        <w:ind w:left="0"/>
        <w:rPr>
          <w:b/>
          <w:sz w:val="6"/>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3961"/>
        <w:gridCol w:w="2535"/>
        <w:gridCol w:w="1472"/>
      </w:tblGrid>
      <w:tr>
        <w:trPr>
          <w:trHeight w:val="359" w:hRule="atLeast"/>
        </w:trPr>
        <w:tc>
          <w:tcPr>
            <w:tcW w:w="1464" w:type="dxa"/>
          </w:tcPr>
          <w:p>
            <w:pPr>
              <w:pStyle w:val="TableParagraph"/>
              <w:spacing w:before="46"/>
              <w:ind w:left="309"/>
              <w:jc w:val="left"/>
              <w:rPr>
                <w:rFonts w:ascii="宋体" w:eastAsia="宋体" w:hint="eastAsia"/>
                <w:b/>
                <w:sz w:val="21"/>
              </w:rPr>
            </w:pPr>
            <w:r>
              <w:rPr>
                <w:rFonts w:ascii="宋体" w:eastAsia="宋体" w:hint="eastAsia"/>
                <w:b/>
                <w:sz w:val="21"/>
              </w:rPr>
              <w:t>政策规范</w:t>
            </w:r>
          </w:p>
        </w:tc>
        <w:tc>
          <w:tcPr>
            <w:tcW w:w="3961" w:type="dxa"/>
          </w:tcPr>
          <w:p>
            <w:pPr>
              <w:pStyle w:val="TableParagraph"/>
              <w:spacing w:before="46"/>
              <w:ind w:left="1535" w:right="1531"/>
              <w:rPr>
                <w:rFonts w:ascii="宋体" w:eastAsia="宋体" w:hint="eastAsia"/>
                <w:b/>
                <w:sz w:val="21"/>
              </w:rPr>
            </w:pPr>
            <w:r>
              <w:rPr>
                <w:rFonts w:ascii="宋体" w:eastAsia="宋体" w:hint="eastAsia"/>
                <w:b/>
                <w:sz w:val="21"/>
              </w:rPr>
              <w:t>选址要求</w:t>
            </w:r>
          </w:p>
        </w:tc>
        <w:tc>
          <w:tcPr>
            <w:tcW w:w="2535" w:type="dxa"/>
          </w:tcPr>
          <w:p>
            <w:pPr>
              <w:pStyle w:val="TableParagraph"/>
              <w:spacing w:before="46"/>
              <w:ind w:left="736"/>
              <w:jc w:val="left"/>
              <w:rPr>
                <w:rFonts w:ascii="宋体" w:eastAsia="宋体" w:hint="eastAsia"/>
                <w:b/>
                <w:sz w:val="21"/>
              </w:rPr>
            </w:pPr>
            <w:r>
              <w:rPr>
                <w:rFonts w:ascii="宋体" w:eastAsia="宋体" w:hint="eastAsia"/>
                <w:b/>
                <w:sz w:val="21"/>
              </w:rPr>
              <w:t>本项目情况</w:t>
            </w:r>
          </w:p>
        </w:tc>
        <w:tc>
          <w:tcPr>
            <w:tcW w:w="1472" w:type="dxa"/>
          </w:tcPr>
          <w:p>
            <w:pPr>
              <w:pStyle w:val="TableParagraph"/>
              <w:spacing w:before="46"/>
              <w:ind w:left="186" w:right="180"/>
              <w:rPr>
                <w:rFonts w:ascii="宋体" w:eastAsia="宋体" w:hint="eastAsia"/>
                <w:b/>
                <w:sz w:val="21"/>
              </w:rPr>
            </w:pPr>
            <w:r>
              <w:rPr>
                <w:rFonts w:ascii="宋体" w:eastAsia="宋体" w:hint="eastAsia"/>
                <w:b/>
                <w:sz w:val="21"/>
              </w:rPr>
              <w:t>符合性分析</w:t>
            </w:r>
          </w:p>
        </w:tc>
      </w:tr>
      <w:tr>
        <w:trPr>
          <w:trHeight w:val="2153" w:hRule="atLeast"/>
        </w:trPr>
        <w:tc>
          <w:tcPr>
            <w:tcW w:w="1464" w:type="dxa"/>
          </w:tcPr>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line="319" w:lineRule="auto" w:before="0"/>
              <w:ind w:left="206" w:right="192"/>
              <w:rPr>
                <w:rFonts w:ascii="宋体" w:eastAsia="宋体" w:hint="eastAsia"/>
                <w:sz w:val="21"/>
              </w:rPr>
            </w:pPr>
            <w:r>
              <w:rPr>
                <w:rFonts w:ascii="宋体" w:eastAsia="宋体" w:hint="eastAsia"/>
                <w:sz w:val="21"/>
              </w:rPr>
              <w:t>《中华人民共和国畜牧法》</w:t>
            </w:r>
          </w:p>
        </w:tc>
        <w:tc>
          <w:tcPr>
            <w:tcW w:w="3961" w:type="dxa"/>
          </w:tcPr>
          <w:p>
            <w:pPr>
              <w:pStyle w:val="TableParagraph"/>
              <w:spacing w:line="319" w:lineRule="auto" w:before="44"/>
              <w:ind w:left="105" w:right="58"/>
              <w:jc w:val="both"/>
              <w:rPr>
                <w:rFonts w:ascii="宋体" w:eastAsia="宋体" w:hint="eastAsia"/>
                <w:sz w:val="21"/>
              </w:rPr>
            </w:pPr>
            <w:r>
              <w:rPr>
                <w:rFonts w:ascii="宋体" w:eastAsia="宋体" w:hint="eastAsia"/>
                <w:sz w:val="21"/>
              </w:rPr>
              <w:t>禁止在下列区域内建设畜禽养殖场、养殖小区：（一）生活饮用水的水源保护区， 风景名胜区，以及自然保护区的核心区和缓冲区；（二）城镇居民区、文化教育科学研究区等人口集中区域；（三）法律、</w:t>
            </w:r>
          </w:p>
          <w:p>
            <w:pPr>
              <w:pStyle w:val="TableParagraph"/>
              <w:spacing w:before="4"/>
              <w:ind w:left="105"/>
              <w:jc w:val="left"/>
              <w:rPr>
                <w:rFonts w:ascii="宋体" w:eastAsia="宋体" w:hint="eastAsia"/>
                <w:sz w:val="21"/>
              </w:rPr>
            </w:pPr>
            <w:r>
              <w:rPr>
                <w:rFonts w:ascii="宋体" w:eastAsia="宋体" w:hint="eastAsia"/>
                <w:sz w:val="21"/>
              </w:rPr>
              <w:t>法规规定的其他禁养区域。</w:t>
            </w:r>
          </w:p>
        </w:tc>
        <w:tc>
          <w:tcPr>
            <w:tcW w:w="2535" w:type="dxa"/>
            <w:vMerge w:val="restart"/>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2"/>
              </w:rPr>
            </w:pPr>
          </w:p>
          <w:p>
            <w:pPr>
              <w:pStyle w:val="TableParagraph"/>
              <w:spacing w:line="319" w:lineRule="auto" w:before="0"/>
              <w:ind w:left="105" w:right="96"/>
              <w:jc w:val="both"/>
              <w:rPr>
                <w:rFonts w:ascii="宋体" w:eastAsia="宋体" w:hint="eastAsia"/>
                <w:sz w:val="21"/>
              </w:rPr>
            </w:pPr>
            <w:r>
              <w:rPr>
                <w:rFonts w:ascii="宋体" w:eastAsia="宋体" w:hint="eastAsia"/>
                <w:sz w:val="21"/>
              </w:rPr>
              <w:t>本项目选址不涉及水源保护区、风景名胜区、自然保护区、人口集中区及其他法律法规规定的禁止养殖区。</w:t>
            </w:r>
          </w:p>
        </w:tc>
        <w:tc>
          <w:tcPr>
            <w:tcW w:w="1472"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75"/>
              <w:ind w:left="186" w:right="180"/>
              <w:rPr>
                <w:rFonts w:ascii="宋体" w:eastAsia="宋体" w:hint="eastAsia"/>
                <w:sz w:val="21"/>
              </w:rPr>
            </w:pPr>
            <w:r>
              <w:rPr>
                <w:rFonts w:ascii="宋体" w:eastAsia="宋体" w:hint="eastAsia"/>
                <w:sz w:val="21"/>
              </w:rPr>
              <w:t>符合</w:t>
            </w:r>
          </w:p>
        </w:tc>
      </w:tr>
      <w:tr>
        <w:trPr>
          <w:trHeight w:val="2152" w:hRule="atLeast"/>
        </w:trPr>
        <w:tc>
          <w:tcPr>
            <w:tcW w:w="1464" w:type="dxa"/>
          </w:tcPr>
          <w:p>
            <w:pPr>
              <w:pStyle w:val="TableParagraph"/>
              <w:spacing w:before="0"/>
              <w:jc w:val="left"/>
              <w:rPr>
                <w:rFonts w:ascii="宋体"/>
                <w:b/>
                <w:sz w:val="20"/>
              </w:rPr>
            </w:pPr>
          </w:p>
          <w:p>
            <w:pPr>
              <w:pStyle w:val="TableParagraph"/>
              <w:spacing w:before="5"/>
              <w:jc w:val="left"/>
              <w:rPr>
                <w:rFonts w:ascii="宋体"/>
                <w:b/>
                <w:sz w:val="25"/>
              </w:rPr>
            </w:pPr>
          </w:p>
          <w:p>
            <w:pPr>
              <w:pStyle w:val="TableParagraph"/>
              <w:spacing w:line="319" w:lineRule="auto" w:before="0"/>
              <w:ind w:left="206" w:right="192"/>
              <w:jc w:val="both"/>
              <w:rPr>
                <w:rFonts w:ascii="宋体" w:eastAsia="宋体" w:hint="eastAsia"/>
                <w:sz w:val="21"/>
              </w:rPr>
            </w:pPr>
            <w:r>
              <w:rPr>
                <w:rFonts w:ascii="宋体" w:eastAsia="宋体" w:hint="eastAsia"/>
                <w:sz w:val="21"/>
              </w:rPr>
              <w:t>《畜禽规模养殖污染防治条例》</w:t>
            </w:r>
          </w:p>
        </w:tc>
        <w:tc>
          <w:tcPr>
            <w:tcW w:w="3961" w:type="dxa"/>
          </w:tcPr>
          <w:p>
            <w:pPr>
              <w:pStyle w:val="TableParagraph"/>
              <w:spacing w:line="319" w:lineRule="auto" w:before="44"/>
              <w:ind w:left="105" w:right="94"/>
              <w:jc w:val="both"/>
              <w:rPr>
                <w:rFonts w:ascii="宋体" w:eastAsia="宋体" w:hint="eastAsia"/>
                <w:sz w:val="21"/>
              </w:rPr>
            </w:pPr>
            <w:r>
              <w:rPr>
                <w:rFonts w:ascii="宋体" w:eastAsia="宋体" w:hint="eastAsia"/>
                <w:spacing w:val="-7"/>
                <w:sz w:val="21"/>
              </w:rPr>
              <w:t>禁止在下列区域内建设畜禽养殖场、养殖</w:t>
            </w:r>
            <w:r>
              <w:rPr>
                <w:rFonts w:ascii="宋体" w:eastAsia="宋体" w:hint="eastAsia"/>
                <w:spacing w:val="-4"/>
                <w:sz w:val="21"/>
              </w:rPr>
              <w:t>小区：</w:t>
            </w:r>
            <w:r>
              <w:rPr>
                <w:rFonts w:ascii="宋体" w:eastAsia="宋体" w:hint="eastAsia"/>
                <w:spacing w:val="-12"/>
                <w:sz w:val="21"/>
              </w:rPr>
              <w:t>（</w:t>
            </w:r>
            <w:r>
              <w:rPr>
                <w:rFonts w:ascii="宋体" w:eastAsia="宋体" w:hint="eastAsia"/>
                <w:sz w:val="21"/>
              </w:rPr>
              <w:t>一</w:t>
            </w:r>
            <w:r>
              <w:rPr>
                <w:rFonts w:ascii="宋体" w:eastAsia="宋体" w:hint="eastAsia"/>
                <w:spacing w:val="-13"/>
                <w:sz w:val="21"/>
              </w:rPr>
              <w:t>）</w:t>
            </w:r>
            <w:r>
              <w:rPr>
                <w:rFonts w:ascii="宋体" w:eastAsia="宋体" w:hint="eastAsia"/>
                <w:spacing w:val="-4"/>
                <w:sz w:val="21"/>
              </w:rPr>
              <w:t>饮用水水源保护区，风景名</w:t>
            </w:r>
            <w:r>
              <w:rPr>
                <w:rFonts w:ascii="宋体" w:eastAsia="宋体" w:hint="eastAsia"/>
                <w:spacing w:val="-8"/>
                <w:sz w:val="21"/>
              </w:rPr>
              <w:t>胜区；</w:t>
            </w:r>
            <w:r>
              <w:rPr>
                <w:rFonts w:ascii="宋体" w:eastAsia="宋体" w:hint="eastAsia"/>
                <w:spacing w:val="-14"/>
                <w:sz w:val="21"/>
              </w:rPr>
              <w:t>（</w:t>
            </w:r>
            <w:r>
              <w:rPr>
                <w:rFonts w:ascii="宋体" w:eastAsia="宋体" w:hint="eastAsia"/>
                <w:spacing w:val="-3"/>
                <w:sz w:val="21"/>
              </w:rPr>
              <w:t>二</w:t>
            </w:r>
            <w:r>
              <w:rPr>
                <w:rFonts w:ascii="宋体" w:eastAsia="宋体" w:hint="eastAsia"/>
                <w:spacing w:val="-13"/>
                <w:sz w:val="21"/>
              </w:rPr>
              <w:t>）</w:t>
            </w:r>
            <w:r>
              <w:rPr>
                <w:rFonts w:ascii="宋体" w:eastAsia="宋体" w:hint="eastAsia"/>
                <w:spacing w:val="-4"/>
                <w:sz w:val="21"/>
              </w:rPr>
              <w:t>自然保护区的核心区和缓冲</w:t>
            </w:r>
            <w:r>
              <w:rPr>
                <w:rFonts w:ascii="宋体" w:eastAsia="宋体" w:hint="eastAsia"/>
                <w:spacing w:val="-5"/>
                <w:sz w:val="21"/>
              </w:rPr>
              <w:t>区；</w:t>
            </w:r>
            <w:r>
              <w:rPr>
                <w:rFonts w:ascii="宋体" w:eastAsia="宋体" w:hint="eastAsia"/>
                <w:spacing w:val="-10"/>
                <w:sz w:val="21"/>
              </w:rPr>
              <w:t>（</w:t>
            </w:r>
            <w:r>
              <w:rPr>
                <w:rFonts w:ascii="宋体" w:eastAsia="宋体" w:hint="eastAsia"/>
                <w:spacing w:val="-3"/>
                <w:sz w:val="21"/>
              </w:rPr>
              <w:t>三</w:t>
            </w:r>
            <w:r>
              <w:rPr>
                <w:rFonts w:ascii="宋体" w:eastAsia="宋体" w:hint="eastAsia"/>
                <w:spacing w:val="-10"/>
                <w:sz w:val="21"/>
              </w:rPr>
              <w:t>）</w:t>
            </w:r>
            <w:r>
              <w:rPr>
                <w:rFonts w:ascii="宋体" w:eastAsia="宋体" w:hint="eastAsia"/>
                <w:spacing w:val="-6"/>
                <w:sz w:val="21"/>
              </w:rPr>
              <w:t>城镇居民区、文化教育科学研</w:t>
            </w:r>
            <w:r>
              <w:rPr>
                <w:rFonts w:ascii="宋体" w:eastAsia="宋体" w:hint="eastAsia"/>
                <w:spacing w:val="-4"/>
                <w:sz w:val="21"/>
              </w:rPr>
              <w:t>究区等人口集中区域；</w:t>
            </w:r>
            <w:r>
              <w:rPr>
                <w:rFonts w:ascii="宋体" w:eastAsia="宋体" w:hint="eastAsia"/>
                <w:spacing w:val="-12"/>
                <w:sz w:val="21"/>
              </w:rPr>
              <w:t>（</w:t>
            </w:r>
            <w:r>
              <w:rPr>
                <w:rFonts w:ascii="宋体" w:eastAsia="宋体" w:hint="eastAsia"/>
                <w:sz w:val="21"/>
              </w:rPr>
              <w:t>四</w:t>
            </w:r>
            <w:r>
              <w:rPr>
                <w:rFonts w:ascii="宋体" w:eastAsia="宋体" w:hint="eastAsia"/>
                <w:spacing w:val="-10"/>
                <w:sz w:val="21"/>
              </w:rPr>
              <w:t>）</w:t>
            </w:r>
            <w:r>
              <w:rPr>
                <w:rFonts w:ascii="宋体" w:eastAsia="宋体" w:hint="eastAsia"/>
                <w:spacing w:val="-4"/>
                <w:sz w:val="21"/>
              </w:rPr>
              <w:t>法律、法规</w:t>
            </w:r>
          </w:p>
          <w:p>
            <w:pPr>
              <w:pStyle w:val="TableParagraph"/>
              <w:spacing w:before="3"/>
              <w:ind w:left="105"/>
              <w:jc w:val="left"/>
              <w:rPr>
                <w:rFonts w:ascii="宋体" w:eastAsia="宋体" w:hint="eastAsia"/>
                <w:sz w:val="21"/>
              </w:rPr>
            </w:pPr>
            <w:r>
              <w:rPr>
                <w:rFonts w:ascii="宋体" w:eastAsia="宋体" w:hint="eastAsia"/>
                <w:sz w:val="21"/>
              </w:rPr>
              <w:t>规定的其他禁止养殖区域。</w:t>
            </w:r>
          </w:p>
        </w:tc>
        <w:tc>
          <w:tcPr>
            <w:tcW w:w="2535" w:type="dxa"/>
            <w:vMerge/>
            <w:tcBorders>
              <w:top w:val="nil"/>
            </w:tcBorders>
          </w:tcPr>
          <w:p>
            <w:pPr>
              <w:rPr>
                <w:sz w:val="2"/>
                <w:szCs w:val="2"/>
              </w:rPr>
            </w:pPr>
          </w:p>
        </w:tc>
        <w:tc>
          <w:tcPr>
            <w:tcW w:w="1472"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75"/>
              <w:ind w:left="186" w:right="180"/>
              <w:rPr>
                <w:rFonts w:ascii="宋体" w:eastAsia="宋体" w:hint="eastAsia"/>
                <w:sz w:val="21"/>
              </w:rPr>
            </w:pPr>
            <w:r>
              <w:rPr>
                <w:rFonts w:ascii="宋体" w:eastAsia="宋体" w:hint="eastAsia"/>
                <w:sz w:val="21"/>
              </w:rPr>
              <w:t>符合</w:t>
            </w:r>
          </w:p>
        </w:tc>
      </w:tr>
      <w:tr>
        <w:trPr>
          <w:trHeight w:val="1077" w:hRule="atLeast"/>
        </w:trPr>
        <w:tc>
          <w:tcPr>
            <w:tcW w:w="1464" w:type="dxa"/>
          </w:tcPr>
          <w:p>
            <w:pPr>
              <w:pStyle w:val="TableParagraph"/>
              <w:spacing w:before="44"/>
              <w:ind w:left="206"/>
              <w:jc w:val="left"/>
              <w:rPr>
                <w:rFonts w:ascii="宋体" w:eastAsia="宋体" w:hint="eastAsia"/>
                <w:sz w:val="21"/>
              </w:rPr>
            </w:pPr>
            <w:r>
              <w:rPr>
                <w:rFonts w:ascii="宋体" w:eastAsia="宋体" w:hint="eastAsia"/>
                <w:spacing w:val="-1"/>
                <w:sz w:val="21"/>
              </w:rPr>
              <w:t>《畜禽养殖</w:t>
            </w:r>
          </w:p>
          <w:p>
            <w:pPr>
              <w:pStyle w:val="TableParagraph"/>
              <w:spacing w:line="350" w:lineRule="atLeast" w:before="10"/>
              <w:ind w:left="206" w:right="192"/>
              <w:jc w:val="left"/>
              <w:rPr>
                <w:rFonts w:ascii="宋体" w:eastAsia="宋体" w:hint="eastAsia"/>
                <w:sz w:val="21"/>
              </w:rPr>
            </w:pPr>
            <w:r>
              <w:rPr>
                <w:rFonts w:ascii="宋体" w:eastAsia="宋体" w:hint="eastAsia"/>
                <w:spacing w:val="-5"/>
                <w:sz w:val="21"/>
              </w:rPr>
              <w:t>业污染防治技术政策》</w:t>
            </w:r>
          </w:p>
        </w:tc>
        <w:tc>
          <w:tcPr>
            <w:tcW w:w="3961" w:type="dxa"/>
          </w:tcPr>
          <w:p>
            <w:pPr>
              <w:pStyle w:val="TableParagraph"/>
              <w:spacing w:before="44"/>
              <w:ind w:left="105"/>
              <w:jc w:val="left"/>
              <w:rPr>
                <w:rFonts w:ascii="宋体" w:eastAsia="宋体" w:hint="eastAsia"/>
                <w:sz w:val="21"/>
              </w:rPr>
            </w:pPr>
            <w:r>
              <w:rPr>
                <w:rFonts w:ascii="宋体" w:eastAsia="宋体" w:hint="eastAsia"/>
                <w:sz w:val="21"/>
              </w:rPr>
              <w:t>贯彻执行当地人民政府颁布的畜禽养殖</w:t>
            </w:r>
          </w:p>
          <w:p>
            <w:pPr>
              <w:pStyle w:val="TableParagraph"/>
              <w:spacing w:line="350" w:lineRule="atLeast" w:before="10"/>
              <w:ind w:left="105" w:right="98"/>
              <w:jc w:val="left"/>
              <w:rPr>
                <w:rFonts w:ascii="宋体" w:hAnsi="宋体" w:eastAsia="宋体" w:hint="eastAsia"/>
                <w:sz w:val="21"/>
              </w:rPr>
            </w:pPr>
            <w:r>
              <w:rPr>
                <w:rFonts w:ascii="宋体" w:hAnsi="宋体" w:eastAsia="宋体" w:hint="eastAsia"/>
                <w:sz w:val="21"/>
              </w:rPr>
              <w:t>区划，严格遵守</w:t>
            </w:r>
            <w:r>
              <w:rPr>
                <w:sz w:val="21"/>
              </w:rPr>
              <w:t>“</w:t>
            </w:r>
            <w:r>
              <w:rPr>
                <w:rFonts w:ascii="宋体" w:hAnsi="宋体" w:eastAsia="宋体" w:hint="eastAsia"/>
                <w:sz w:val="21"/>
              </w:rPr>
              <w:t>禁养区</w:t>
            </w:r>
            <w:r>
              <w:rPr>
                <w:sz w:val="21"/>
              </w:rPr>
              <w:t>”</w:t>
            </w:r>
            <w:r>
              <w:rPr>
                <w:rFonts w:ascii="宋体" w:hAnsi="宋体" w:eastAsia="宋体" w:hint="eastAsia"/>
                <w:sz w:val="21"/>
              </w:rPr>
              <w:t>和</w:t>
            </w:r>
            <w:r>
              <w:rPr>
                <w:sz w:val="21"/>
              </w:rPr>
              <w:t>“</w:t>
            </w:r>
            <w:r>
              <w:rPr>
                <w:rFonts w:ascii="宋体" w:hAnsi="宋体" w:eastAsia="宋体" w:hint="eastAsia"/>
                <w:sz w:val="21"/>
              </w:rPr>
              <w:t>限养区</w:t>
            </w:r>
            <w:r>
              <w:rPr>
                <w:sz w:val="21"/>
              </w:rPr>
              <w:t>”</w:t>
            </w:r>
            <w:r>
              <w:rPr>
                <w:rFonts w:ascii="宋体" w:hAnsi="宋体" w:eastAsia="宋体" w:hint="eastAsia"/>
                <w:sz w:val="21"/>
              </w:rPr>
              <w:t>的规定，避开饮用水水源地等环境敏感区域</w:t>
            </w:r>
          </w:p>
        </w:tc>
        <w:tc>
          <w:tcPr>
            <w:tcW w:w="2535" w:type="dxa"/>
          </w:tcPr>
          <w:p>
            <w:pPr>
              <w:pStyle w:val="TableParagraph"/>
              <w:spacing w:before="46"/>
              <w:ind w:left="105"/>
              <w:jc w:val="left"/>
              <w:rPr>
                <w:rFonts w:ascii="宋体" w:eastAsia="宋体" w:hint="eastAsia"/>
                <w:sz w:val="21"/>
              </w:rPr>
            </w:pPr>
            <w:r>
              <w:rPr>
                <w:rFonts w:ascii="宋体" w:eastAsia="宋体" w:hint="eastAsia"/>
                <w:spacing w:val="-14"/>
                <w:sz w:val="21"/>
              </w:rPr>
              <w:t>根据第 </w:t>
            </w:r>
            <w:r>
              <w:rPr>
                <w:position w:val="1"/>
                <w:sz w:val="21"/>
              </w:rPr>
              <w:t>2.5.3</w:t>
            </w:r>
            <w:r>
              <w:rPr>
                <w:spacing w:val="5"/>
                <w:position w:val="1"/>
                <w:sz w:val="21"/>
              </w:rPr>
              <w:t> </w:t>
            </w:r>
            <w:r>
              <w:rPr>
                <w:rFonts w:ascii="宋体" w:eastAsia="宋体" w:hint="eastAsia"/>
                <w:spacing w:val="-20"/>
                <w:sz w:val="21"/>
              </w:rPr>
              <w:t>章的分析，项</w:t>
            </w:r>
          </w:p>
          <w:p>
            <w:pPr>
              <w:pStyle w:val="TableParagraph"/>
              <w:spacing w:line="350" w:lineRule="atLeast" w:before="11"/>
              <w:ind w:left="105" w:right="96"/>
              <w:jc w:val="left"/>
              <w:rPr>
                <w:rFonts w:ascii="宋体" w:eastAsia="宋体" w:hint="eastAsia"/>
                <w:sz w:val="21"/>
              </w:rPr>
            </w:pPr>
            <w:r>
              <w:rPr>
                <w:rFonts w:ascii="宋体" w:eastAsia="宋体" w:hint="eastAsia"/>
                <w:spacing w:val="-3"/>
                <w:sz w:val="21"/>
              </w:rPr>
              <w:t>目符合柯桥区畜禽养殖禁养区划分与管理规定要求</w:t>
            </w:r>
          </w:p>
        </w:tc>
        <w:tc>
          <w:tcPr>
            <w:tcW w:w="1472" w:type="dxa"/>
          </w:tcPr>
          <w:p>
            <w:pPr>
              <w:pStyle w:val="TableParagraph"/>
              <w:spacing w:before="0"/>
              <w:jc w:val="left"/>
              <w:rPr>
                <w:rFonts w:ascii="宋体"/>
                <w:b/>
                <w:sz w:val="20"/>
              </w:rPr>
            </w:pPr>
          </w:p>
          <w:p>
            <w:pPr>
              <w:pStyle w:val="TableParagraph"/>
              <w:spacing w:before="150"/>
              <w:ind w:left="186" w:right="180"/>
              <w:rPr>
                <w:rFonts w:ascii="宋体" w:eastAsia="宋体" w:hint="eastAsia"/>
                <w:sz w:val="21"/>
              </w:rPr>
            </w:pPr>
            <w:r>
              <w:rPr>
                <w:rFonts w:ascii="宋体" w:eastAsia="宋体" w:hint="eastAsia"/>
                <w:sz w:val="21"/>
              </w:rPr>
              <w:t>符合</w:t>
            </w:r>
          </w:p>
        </w:tc>
      </w:tr>
      <w:tr>
        <w:trPr>
          <w:trHeight w:val="3588" w:hRule="atLeast"/>
        </w:trPr>
        <w:tc>
          <w:tcPr>
            <w:tcW w:w="1464"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21"/>
              </w:rPr>
            </w:pPr>
          </w:p>
          <w:p>
            <w:pPr>
              <w:pStyle w:val="TableParagraph"/>
              <w:spacing w:line="319" w:lineRule="auto" w:before="0"/>
              <w:ind w:left="206" w:right="192"/>
              <w:rPr>
                <w:rFonts w:ascii="宋体" w:eastAsia="宋体" w:hint="eastAsia"/>
                <w:sz w:val="21"/>
              </w:rPr>
            </w:pPr>
            <w:r>
              <w:rPr>
                <w:rFonts w:ascii="宋体" w:eastAsia="宋体" w:hint="eastAsia"/>
                <w:sz w:val="21"/>
              </w:rPr>
              <w:t>《动物防疫条件审查办法》</w:t>
            </w:r>
          </w:p>
        </w:tc>
        <w:tc>
          <w:tcPr>
            <w:tcW w:w="3961" w:type="dxa"/>
          </w:tcPr>
          <w:p>
            <w:pPr>
              <w:pStyle w:val="TableParagraph"/>
              <w:spacing w:line="319" w:lineRule="auto" w:before="44"/>
              <w:ind w:left="105" w:right="7"/>
              <w:jc w:val="both"/>
              <w:rPr>
                <w:rFonts w:ascii="宋体" w:eastAsia="宋体" w:hint="eastAsia"/>
                <w:sz w:val="21"/>
              </w:rPr>
            </w:pPr>
            <w:r>
              <w:rPr>
                <w:rFonts w:ascii="宋体" w:eastAsia="宋体" w:hint="eastAsia"/>
                <w:spacing w:val="-7"/>
                <w:sz w:val="21"/>
              </w:rPr>
              <w:t>动物饲养场、养殖小区选址应当符合下列</w:t>
            </w:r>
            <w:r>
              <w:rPr>
                <w:rFonts w:ascii="宋体" w:eastAsia="宋体" w:hint="eastAsia"/>
                <w:spacing w:val="-9"/>
                <w:sz w:val="21"/>
              </w:rPr>
              <w:t>条件：</w:t>
            </w:r>
            <w:r>
              <w:rPr>
                <w:rFonts w:ascii="宋体" w:eastAsia="宋体" w:hint="eastAsia"/>
                <w:spacing w:val="-12"/>
                <w:sz w:val="21"/>
              </w:rPr>
              <w:t>（</w:t>
            </w:r>
            <w:r>
              <w:rPr>
                <w:rFonts w:ascii="宋体" w:eastAsia="宋体" w:hint="eastAsia"/>
                <w:sz w:val="21"/>
              </w:rPr>
              <w:t>一</w:t>
            </w:r>
            <w:r>
              <w:rPr>
                <w:rFonts w:ascii="宋体" w:eastAsia="宋体" w:hint="eastAsia"/>
                <w:spacing w:val="-13"/>
                <w:sz w:val="21"/>
              </w:rPr>
              <w:t>）</w:t>
            </w:r>
            <w:r>
              <w:rPr>
                <w:rFonts w:ascii="宋体" w:eastAsia="宋体" w:hint="eastAsia"/>
                <w:spacing w:val="-4"/>
                <w:sz w:val="21"/>
              </w:rPr>
              <w:t>距离生活饮用水源地、动物</w:t>
            </w:r>
            <w:r>
              <w:rPr>
                <w:rFonts w:ascii="宋体" w:eastAsia="宋体" w:hint="eastAsia"/>
                <w:spacing w:val="-8"/>
                <w:sz w:val="21"/>
              </w:rPr>
              <w:t>屠宰加工场所、动物和动物产品集贸市场</w:t>
            </w:r>
            <w:r>
              <w:rPr>
                <w:spacing w:val="-8"/>
                <w:sz w:val="21"/>
              </w:rPr>
              <w:t>500 </w:t>
            </w:r>
            <w:r>
              <w:rPr>
                <w:rFonts w:ascii="宋体" w:eastAsia="宋体" w:hint="eastAsia"/>
                <w:spacing w:val="-7"/>
                <w:sz w:val="21"/>
              </w:rPr>
              <w:t>米以上；距离种畜禽场 </w:t>
            </w:r>
            <w:r>
              <w:rPr>
                <w:sz w:val="21"/>
              </w:rPr>
              <w:t>1000 </w:t>
            </w:r>
            <w:r>
              <w:rPr>
                <w:rFonts w:ascii="宋体" w:eastAsia="宋体" w:hint="eastAsia"/>
                <w:spacing w:val="-3"/>
                <w:sz w:val="21"/>
              </w:rPr>
              <w:t>米以上；</w:t>
            </w:r>
          </w:p>
          <w:p>
            <w:pPr>
              <w:pStyle w:val="TableParagraph"/>
              <w:spacing w:before="4"/>
              <w:ind w:left="105"/>
              <w:jc w:val="both"/>
              <w:rPr>
                <w:rFonts w:ascii="宋体" w:eastAsia="宋体" w:hint="eastAsia"/>
                <w:sz w:val="21"/>
              </w:rPr>
            </w:pPr>
            <w:r>
              <w:rPr>
                <w:rFonts w:ascii="宋体" w:eastAsia="宋体" w:hint="eastAsia"/>
                <w:spacing w:val="-8"/>
                <w:sz w:val="21"/>
              </w:rPr>
              <w:t>距离动物诊疗场所 </w:t>
            </w:r>
            <w:r>
              <w:rPr>
                <w:sz w:val="21"/>
              </w:rPr>
              <w:t>200</w:t>
            </w:r>
            <w:r>
              <w:rPr>
                <w:spacing w:val="8"/>
                <w:sz w:val="21"/>
              </w:rPr>
              <w:t> </w:t>
            </w:r>
            <w:r>
              <w:rPr>
                <w:rFonts w:ascii="宋体" w:eastAsia="宋体" w:hint="eastAsia"/>
                <w:spacing w:val="-7"/>
                <w:sz w:val="21"/>
              </w:rPr>
              <w:t>米以上；动物饲养</w:t>
            </w:r>
          </w:p>
          <w:p>
            <w:pPr>
              <w:pStyle w:val="TableParagraph"/>
              <w:spacing w:before="88"/>
              <w:ind w:left="105"/>
              <w:jc w:val="both"/>
              <w:rPr>
                <w:rFonts w:ascii="宋体" w:eastAsia="宋体" w:hint="eastAsia"/>
                <w:sz w:val="21"/>
              </w:rPr>
            </w:pPr>
            <w:r>
              <w:rPr>
                <w:rFonts w:ascii="宋体" w:eastAsia="宋体" w:hint="eastAsia"/>
                <w:sz w:val="21"/>
              </w:rPr>
              <w:t>场（</w:t>
            </w:r>
            <w:r>
              <w:rPr>
                <w:rFonts w:ascii="宋体" w:eastAsia="宋体" w:hint="eastAsia"/>
                <w:spacing w:val="-3"/>
                <w:sz w:val="21"/>
              </w:rPr>
              <w:t>养殖小区）</w:t>
            </w:r>
            <w:r>
              <w:rPr>
                <w:rFonts w:ascii="宋体" w:eastAsia="宋体" w:hint="eastAsia"/>
                <w:spacing w:val="-8"/>
                <w:sz w:val="21"/>
              </w:rPr>
              <w:t>之间距离不少于 </w:t>
            </w:r>
            <w:r>
              <w:rPr>
                <w:sz w:val="21"/>
              </w:rPr>
              <w:t>500</w:t>
            </w:r>
            <w:r>
              <w:rPr>
                <w:spacing w:val="7"/>
                <w:sz w:val="21"/>
              </w:rPr>
              <w:t> </w:t>
            </w:r>
            <w:r>
              <w:rPr>
                <w:rFonts w:ascii="宋体" w:eastAsia="宋体" w:hint="eastAsia"/>
                <w:sz w:val="21"/>
              </w:rPr>
              <w:t>米；</w:t>
            </w:r>
          </w:p>
          <w:p>
            <w:pPr>
              <w:pStyle w:val="TableParagraph"/>
              <w:spacing w:line="319" w:lineRule="auto" w:before="91"/>
              <w:ind w:left="105" w:right="-15"/>
              <w:jc w:val="left"/>
              <w:rPr>
                <w:rFonts w:ascii="宋体" w:eastAsia="宋体" w:hint="eastAsia"/>
                <w:sz w:val="21"/>
              </w:rPr>
            </w:pPr>
            <w:r>
              <w:rPr>
                <w:rFonts w:ascii="宋体" w:eastAsia="宋体" w:hint="eastAsia"/>
                <w:sz w:val="21"/>
              </w:rPr>
              <w:t>（二</w:t>
            </w:r>
            <w:r>
              <w:rPr>
                <w:rFonts w:ascii="宋体" w:eastAsia="宋体" w:hint="eastAsia"/>
                <w:spacing w:val="-20"/>
                <w:sz w:val="21"/>
              </w:rPr>
              <w:t>）</w:t>
            </w:r>
            <w:r>
              <w:rPr>
                <w:rFonts w:ascii="宋体" w:eastAsia="宋体" w:hint="eastAsia"/>
                <w:spacing w:val="-5"/>
                <w:sz w:val="21"/>
              </w:rPr>
              <w:t>距离动物隔离场所、无害化处理场</w:t>
            </w:r>
            <w:r>
              <w:rPr>
                <w:rFonts w:ascii="宋体" w:eastAsia="宋体" w:hint="eastAsia"/>
                <w:spacing w:val="-25"/>
                <w:sz w:val="21"/>
              </w:rPr>
              <w:t>所 </w:t>
            </w:r>
            <w:r>
              <w:rPr>
                <w:sz w:val="21"/>
              </w:rPr>
              <w:t>3000</w:t>
            </w:r>
            <w:r>
              <w:rPr>
                <w:spacing w:val="8"/>
                <w:sz w:val="21"/>
              </w:rPr>
              <w:t> </w:t>
            </w:r>
            <w:r>
              <w:rPr>
                <w:rFonts w:ascii="宋体" w:eastAsia="宋体" w:hint="eastAsia"/>
                <w:spacing w:val="-6"/>
                <w:sz w:val="21"/>
              </w:rPr>
              <w:t>米以上；</w:t>
            </w:r>
            <w:r>
              <w:rPr>
                <w:rFonts w:ascii="宋体" w:eastAsia="宋体" w:hint="eastAsia"/>
                <w:spacing w:val="-14"/>
                <w:sz w:val="21"/>
              </w:rPr>
              <w:t>（</w:t>
            </w:r>
            <w:r>
              <w:rPr>
                <w:rFonts w:ascii="宋体" w:eastAsia="宋体" w:hint="eastAsia"/>
                <w:sz w:val="21"/>
              </w:rPr>
              <w:t>三</w:t>
            </w:r>
            <w:r>
              <w:rPr>
                <w:rFonts w:ascii="宋体" w:eastAsia="宋体" w:hint="eastAsia"/>
                <w:spacing w:val="-15"/>
                <w:sz w:val="21"/>
              </w:rPr>
              <w:t>）</w:t>
            </w:r>
            <w:r>
              <w:rPr>
                <w:rFonts w:ascii="宋体" w:eastAsia="宋体" w:hint="eastAsia"/>
                <w:spacing w:val="-3"/>
                <w:sz w:val="21"/>
              </w:rPr>
              <w:t>距离城镇居民区、</w:t>
            </w:r>
            <w:r>
              <w:rPr>
                <w:rFonts w:ascii="宋体" w:eastAsia="宋体" w:hint="eastAsia"/>
                <w:spacing w:val="-5"/>
                <w:sz w:val="21"/>
              </w:rPr>
              <w:t>文化教育科研等人口集中区域及公路、铁</w:t>
            </w:r>
          </w:p>
          <w:p>
            <w:pPr>
              <w:pStyle w:val="TableParagraph"/>
              <w:spacing w:before="2"/>
              <w:ind w:left="105"/>
              <w:jc w:val="left"/>
              <w:rPr>
                <w:rFonts w:ascii="宋体" w:eastAsia="宋体" w:hint="eastAsia"/>
                <w:sz w:val="21"/>
              </w:rPr>
            </w:pPr>
            <w:r>
              <w:rPr>
                <w:rFonts w:ascii="宋体" w:eastAsia="宋体" w:hint="eastAsia"/>
                <w:sz w:val="21"/>
              </w:rPr>
              <w:t>路等主要交通干线 </w:t>
            </w:r>
            <w:r>
              <w:rPr>
                <w:sz w:val="21"/>
              </w:rPr>
              <w:t>500 </w:t>
            </w:r>
            <w:r>
              <w:rPr>
                <w:rFonts w:ascii="宋体" w:eastAsia="宋体" w:hint="eastAsia"/>
                <w:sz w:val="21"/>
              </w:rPr>
              <w:t>米以上。</w:t>
            </w:r>
          </w:p>
        </w:tc>
        <w:tc>
          <w:tcPr>
            <w:tcW w:w="2535" w:type="dxa"/>
          </w:tcPr>
          <w:p>
            <w:pPr>
              <w:pStyle w:val="TableParagraph"/>
              <w:spacing w:before="0"/>
              <w:jc w:val="left"/>
              <w:rPr>
                <w:rFonts w:ascii="宋体"/>
                <w:b/>
                <w:sz w:val="20"/>
              </w:rPr>
            </w:pPr>
          </w:p>
          <w:p>
            <w:pPr>
              <w:pStyle w:val="TableParagraph"/>
              <w:spacing w:before="5"/>
              <w:jc w:val="left"/>
              <w:rPr>
                <w:rFonts w:ascii="宋体"/>
                <w:b/>
                <w:sz w:val="25"/>
              </w:rPr>
            </w:pPr>
          </w:p>
          <w:p>
            <w:pPr>
              <w:pStyle w:val="TableParagraph"/>
              <w:spacing w:line="319" w:lineRule="auto" w:before="0"/>
              <w:ind w:left="105" w:right="96"/>
              <w:jc w:val="both"/>
              <w:rPr>
                <w:rFonts w:ascii="宋体" w:eastAsia="宋体" w:hint="eastAsia"/>
                <w:sz w:val="21"/>
              </w:rPr>
            </w:pPr>
            <w:r>
              <w:rPr>
                <w:rFonts w:ascii="宋体" w:eastAsia="宋体" w:hint="eastAsia"/>
                <w:spacing w:val="-3"/>
                <w:sz w:val="21"/>
              </w:rPr>
              <w:t>本项目与相关区域的距离符合审查办法要求；且根据《农业农村部关于调整动物防疫条件审查相关规</w:t>
            </w:r>
            <w:r>
              <w:rPr>
                <w:rFonts w:ascii="宋体" w:eastAsia="宋体" w:hint="eastAsia"/>
                <w:spacing w:val="52"/>
                <w:sz w:val="21"/>
              </w:rPr>
              <w:t>定的通知》（</w:t>
            </w:r>
            <w:r>
              <w:rPr>
                <w:rFonts w:ascii="宋体" w:eastAsia="宋体" w:hint="eastAsia"/>
                <w:spacing w:val="30"/>
                <w:sz w:val="21"/>
              </w:rPr>
              <w:t>农牧发</w:t>
            </w:r>
            <w:r>
              <w:rPr>
                <w:sz w:val="21"/>
              </w:rPr>
              <w:t>[2019]42 </w:t>
            </w:r>
            <w:r>
              <w:rPr>
                <w:rFonts w:ascii="宋体" w:eastAsia="宋体" w:hint="eastAsia"/>
                <w:sz w:val="21"/>
              </w:rPr>
              <w:t>号）</w:t>
            </w:r>
            <w:r>
              <w:rPr>
                <w:rFonts w:ascii="宋体" w:eastAsia="宋体" w:hint="eastAsia"/>
                <w:spacing w:val="-6"/>
                <w:sz w:val="21"/>
              </w:rPr>
              <w:t>，目前已暂</w:t>
            </w:r>
            <w:r>
              <w:rPr>
                <w:rFonts w:ascii="宋体" w:eastAsia="宋体" w:hint="eastAsia"/>
                <w:spacing w:val="-3"/>
                <w:sz w:val="21"/>
              </w:rPr>
              <w:t>停执行该办法要求。</w:t>
            </w:r>
          </w:p>
        </w:tc>
        <w:tc>
          <w:tcPr>
            <w:tcW w:w="1472"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29"/>
              </w:rPr>
            </w:pPr>
          </w:p>
          <w:p>
            <w:pPr>
              <w:pStyle w:val="TableParagraph"/>
              <w:spacing w:before="1"/>
              <w:ind w:left="186" w:right="180"/>
              <w:rPr>
                <w:rFonts w:ascii="宋体" w:eastAsia="宋体" w:hint="eastAsia"/>
                <w:sz w:val="21"/>
              </w:rPr>
            </w:pPr>
            <w:r>
              <w:rPr>
                <w:rFonts w:ascii="宋体" w:eastAsia="宋体" w:hint="eastAsia"/>
                <w:sz w:val="21"/>
              </w:rPr>
              <w:t>符合</w:t>
            </w:r>
          </w:p>
        </w:tc>
      </w:tr>
      <w:tr>
        <w:trPr>
          <w:trHeight w:val="2512" w:hRule="atLeast"/>
        </w:trPr>
        <w:tc>
          <w:tcPr>
            <w:tcW w:w="1464" w:type="dxa"/>
          </w:tcPr>
          <w:p>
            <w:pPr>
              <w:pStyle w:val="TableParagraph"/>
              <w:spacing w:before="0"/>
              <w:jc w:val="left"/>
              <w:rPr>
                <w:rFonts w:ascii="宋体"/>
                <w:b/>
                <w:sz w:val="20"/>
              </w:rPr>
            </w:pPr>
          </w:p>
          <w:p>
            <w:pPr>
              <w:pStyle w:val="TableParagraph"/>
              <w:spacing w:before="5"/>
              <w:jc w:val="left"/>
              <w:rPr>
                <w:rFonts w:ascii="宋体"/>
                <w:b/>
                <w:sz w:val="25"/>
              </w:rPr>
            </w:pPr>
          </w:p>
          <w:p>
            <w:pPr>
              <w:pStyle w:val="TableParagraph"/>
              <w:spacing w:line="321" w:lineRule="auto" w:before="0"/>
              <w:ind w:left="107" w:right="-15" w:firstLine="98"/>
              <w:jc w:val="left"/>
              <w:rPr>
                <w:rFonts w:ascii="宋体" w:eastAsia="宋体" w:hint="eastAsia"/>
                <w:sz w:val="21"/>
              </w:rPr>
            </w:pPr>
            <w:r>
              <w:rPr>
                <w:rFonts w:ascii="宋体" w:eastAsia="宋体" w:hint="eastAsia"/>
                <w:spacing w:val="-1"/>
                <w:sz w:val="21"/>
              </w:rPr>
              <w:t>《浙江省生 </w:t>
            </w:r>
            <w:r>
              <w:rPr>
                <w:rFonts w:ascii="宋体" w:eastAsia="宋体" w:hint="eastAsia"/>
                <w:spacing w:val="-2"/>
                <w:sz w:val="21"/>
              </w:rPr>
              <w:t>猪养殖业环  </w:t>
            </w:r>
            <w:r>
              <w:rPr>
                <w:rFonts w:ascii="宋体" w:eastAsia="宋体" w:hint="eastAsia"/>
                <w:spacing w:val="-3"/>
                <w:sz w:val="21"/>
              </w:rPr>
              <w:t>境准入指导  </w:t>
            </w:r>
            <w:r>
              <w:rPr>
                <w:rFonts w:ascii="宋体" w:eastAsia="宋体" w:hint="eastAsia"/>
                <w:spacing w:val="-32"/>
                <w:sz w:val="21"/>
              </w:rPr>
              <w:t>意见</w:t>
            </w:r>
            <w:r>
              <w:rPr>
                <w:rFonts w:ascii="宋体" w:eastAsia="宋体" w:hint="eastAsia"/>
                <w:spacing w:val="-3"/>
                <w:sz w:val="21"/>
              </w:rPr>
              <w:t>（</w:t>
            </w:r>
            <w:r>
              <w:rPr>
                <w:rFonts w:ascii="宋体" w:eastAsia="宋体" w:hint="eastAsia"/>
                <w:sz w:val="21"/>
              </w:rPr>
              <w:t>修订</w:t>
            </w:r>
            <w:r>
              <w:rPr>
                <w:rFonts w:ascii="宋体" w:eastAsia="宋体" w:hint="eastAsia"/>
                <w:spacing w:val="-60"/>
                <w:sz w:val="21"/>
              </w:rPr>
              <w:t>）</w:t>
            </w:r>
            <w:r>
              <w:rPr>
                <w:rFonts w:ascii="宋体" w:eastAsia="宋体" w:hint="eastAsia"/>
                <w:spacing w:val="-14"/>
                <w:sz w:val="21"/>
              </w:rPr>
              <w:t>》</w:t>
            </w:r>
          </w:p>
        </w:tc>
        <w:tc>
          <w:tcPr>
            <w:tcW w:w="3961" w:type="dxa"/>
          </w:tcPr>
          <w:p>
            <w:pPr>
              <w:pStyle w:val="TableParagraph"/>
              <w:spacing w:line="319" w:lineRule="auto" w:before="44"/>
              <w:ind w:left="105" w:right="-15"/>
              <w:jc w:val="left"/>
              <w:rPr>
                <w:rFonts w:ascii="宋体" w:eastAsia="宋体" w:hint="eastAsia"/>
                <w:sz w:val="21"/>
              </w:rPr>
            </w:pPr>
            <w:r>
              <w:rPr>
                <w:rFonts w:ascii="宋体" w:eastAsia="宋体" w:hint="eastAsia"/>
                <w:spacing w:val="9"/>
                <w:sz w:val="21"/>
              </w:rPr>
              <w:t>禁止在下列区域内建设生猪养殖场</w:t>
            </w:r>
            <w:r>
              <w:rPr>
                <w:rFonts w:ascii="宋体" w:eastAsia="宋体" w:hint="eastAsia"/>
                <w:spacing w:val="11"/>
                <w:sz w:val="21"/>
              </w:rPr>
              <w:t>（</w:t>
            </w:r>
            <w:r>
              <w:rPr>
                <w:rFonts w:ascii="宋体" w:eastAsia="宋体" w:hint="eastAsia"/>
                <w:sz w:val="21"/>
              </w:rPr>
              <w:t>小区</w:t>
            </w:r>
            <w:r>
              <w:rPr>
                <w:rFonts w:ascii="宋体" w:eastAsia="宋体" w:hint="eastAsia"/>
                <w:spacing w:val="3"/>
                <w:sz w:val="21"/>
              </w:rPr>
              <w:t>）：</w:t>
            </w:r>
            <w:r>
              <w:rPr>
                <w:spacing w:val="3"/>
                <w:sz w:val="21"/>
              </w:rPr>
              <w:t>1</w:t>
            </w:r>
            <w:r>
              <w:rPr>
                <w:rFonts w:ascii="宋体" w:eastAsia="宋体" w:hint="eastAsia"/>
                <w:sz w:val="21"/>
              </w:rPr>
              <w:t>、生活饮用水水源保护区、风景</w:t>
            </w:r>
            <w:r>
              <w:rPr>
                <w:rFonts w:ascii="宋体" w:eastAsia="宋体" w:hint="eastAsia"/>
                <w:spacing w:val="1"/>
                <w:sz w:val="21"/>
              </w:rPr>
              <w:t>名胜区；</w:t>
            </w:r>
            <w:r>
              <w:rPr>
                <w:spacing w:val="2"/>
                <w:sz w:val="21"/>
              </w:rPr>
              <w:t>2</w:t>
            </w:r>
            <w:r>
              <w:rPr>
                <w:rFonts w:ascii="宋体" w:eastAsia="宋体" w:hint="eastAsia"/>
                <w:sz w:val="21"/>
              </w:rPr>
              <w:t>、自然保护区的核心区及缓冲</w:t>
            </w:r>
            <w:r>
              <w:rPr>
                <w:rFonts w:ascii="宋体" w:eastAsia="宋体" w:hint="eastAsia"/>
                <w:spacing w:val="1"/>
                <w:sz w:val="21"/>
              </w:rPr>
              <w:t>区；</w:t>
            </w:r>
            <w:r>
              <w:rPr>
                <w:spacing w:val="3"/>
                <w:sz w:val="21"/>
              </w:rPr>
              <w:t>3</w:t>
            </w:r>
            <w:r>
              <w:rPr>
                <w:rFonts w:ascii="宋体" w:eastAsia="宋体" w:hint="eastAsia"/>
                <w:sz w:val="21"/>
              </w:rPr>
              <w:t>、城镇居民区、文化教育科学研究</w:t>
            </w:r>
            <w:r>
              <w:rPr>
                <w:rFonts w:ascii="宋体" w:eastAsia="宋体" w:hint="eastAsia"/>
                <w:spacing w:val="-4"/>
                <w:sz w:val="21"/>
              </w:rPr>
              <w:t>区等人口集中区域；</w:t>
            </w:r>
            <w:r>
              <w:rPr>
                <w:spacing w:val="-7"/>
                <w:sz w:val="21"/>
              </w:rPr>
              <w:t>4</w:t>
            </w:r>
            <w:r>
              <w:rPr>
                <w:rFonts w:ascii="宋体" w:eastAsia="宋体" w:hint="eastAsia"/>
                <w:spacing w:val="-7"/>
                <w:sz w:val="21"/>
              </w:rPr>
              <w:t>、设区市、县</w:t>
            </w:r>
            <w:r>
              <w:rPr>
                <w:rFonts w:ascii="宋体" w:eastAsia="宋体" w:hint="eastAsia"/>
                <w:sz w:val="21"/>
              </w:rPr>
              <w:t>（</w:t>
            </w:r>
            <w:r>
              <w:rPr>
                <w:rFonts w:ascii="宋体" w:eastAsia="宋体" w:hint="eastAsia"/>
                <w:spacing w:val="-2"/>
                <w:sz w:val="21"/>
              </w:rPr>
              <w:t>市、区</w:t>
            </w:r>
            <w:r>
              <w:rPr>
                <w:rFonts w:ascii="宋体" w:eastAsia="宋体" w:hint="eastAsia"/>
                <w:spacing w:val="4"/>
                <w:sz w:val="21"/>
              </w:rPr>
              <w:t>）</w:t>
            </w:r>
            <w:r>
              <w:rPr>
                <w:rFonts w:ascii="宋体" w:eastAsia="宋体" w:hint="eastAsia"/>
                <w:sz w:val="21"/>
              </w:rPr>
              <w:t>政府依法划定的禁止养殖区域；</w:t>
            </w:r>
            <w:r>
              <w:rPr>
                <w:spacing w:val="5"/>
                <w:sz w:val="21"/>
              </w:rPr>
              <w:t>5</w:t>
            </w:r>
            <w:r>
              <w:rPr>
                <w:rFonts w:ascii="宋体" w:eastAsia="宋体" w:hint="eastAsia"/>
                <w:sz w:val="21"/>
              </w:rPr>
              <w:t>、</w:t>
            </w:r>
          </w:p>
          <w:p>
            <w:pPr>
              <w:pStyle w:val="TableParagraph"/>
              <w:spacing w:before="6"/>
              <w:ind w:left="105"/>
              <w:jc w:val="left"/>
              <w:rPr>
                <w:rFonts w:ascii="宋体" w:eastAsia="宋体" w:hint="eastAsia"/>
                <w:sz w:val="21"/>
              </w:rPr>
            </w:pPr>
            <w:r>
              <w:rPr>
                <w:rFonts w:ascii="宋体" w:eastAsia="宋体" w:hint="eastAsia"/>
                <w:spacing w:val="-3"/>
                <w:sz w:val="21"/>
              </w:rPr>
              <w:t>法律、法规规定需特殊保护的其它区域。</w:t>
            </w:r>
          </w:p>
        </w:tc>
        <w:tc>
          <w:tcPr>
            <w:tcW w:w="2535" w:type="dxa"/>
          </w:tcPr>
          <w:p>
            <w:pPr>
              <w:pStyle w:val="TableParagraph"/>
              <w:spacing w:before="0"/>
              <w:jc w:val="left"/>
              <w:rPr>
                <w:rFonts w:ascii="宋体"/>
                <w:b/>
                <w:sz w:val="20"/>
              </w:rPr>
            </w:pPr>
          </w:p>
          <w:p>
            <w:pPr>
              <w:pStyle w:val="TableParagraph"/>
              <w:spacing w:line="319" w:lineRule="auto" w:before="148"/>
              <w:ind w:left="105" w:right="96"/>
              <w:jc w:val="both"/>
              <w:rPr>
                <w:rFonts w:ascii="宋体" w:eastAsia="宋体" w:hint="eastAsia"/>
                <w:sz w:val="21"/>
              </w:rPr>
            </w:pPr>
            <w:r>
              <w:rPr>
                <w:rFonts w:ascii="宋体" w:eastAsia="宋体" w:hint="eastAsia"/>
                <w:sz w:val="21"/>
              </w:rPr>
              <w:t>本项目选址不涉及水源保护区、风景名胜区、自然保护区、人口集中区及其他法律法规规定的禁止养殖区。</w:t>
            </w:r>
          </w:p>
        </w:tc>
        <w:tc>
          <w:tcPr>
            <w:tcW w:w="1472"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27"/>
              </w:rPr>
            </w:pPr>
          </w:p>
          <w:p>
            <w:pPr>
              <w:pStyle w:val="TableParagraph"/>
              <w:spacing w:before="0"/>
              <w:ind w:left="186" w:right="180"/>
              <w:rPr>
                <w:rFonts w:ascii="宋体" w:eastAsia="宋体" w:hint="eastAsia"/>
                <w:sz w:val="21"/>
              </w:rPr>
            </w:pPr>
            <w:r>
              <w:rPr>
                <w:rFonts w:ascii="宋体" w:eastAsia="宋体" w:hint="eastAsia"/>
                <w:sz w:val="21"/>
              </w:rPr>
              <w:t>符合</w:t>
            </w:r>
          </w:p>
        </w:tc>
      </w:tr>
    </w:tbl>
    <w:p>
      <w:pPr>
        <w:spacing w:after="0"/>
        <w:rPr>
          <w:rFonts w:ascii="宋体" w:eastAsia="宋体" w:hint="eastAsia"/>
          <w:sz w:val="21"/>
        </w:rPr>
        <w:sectPr>
          <w:pgSz w:w="11910" w:h="16840"/>
          <w:pgMar w:header="874" w:footer="1004" w:top="1400" w:bottom="1200" w:left="1040" w:right="1160"/>
        </w:sectPr>
      </w:pPr>
    </w:p>
    <w:p>
      <w:pPr>
        <w:pStyle w:val="BodyText"/>
        <w:spacing w:before="1"/>
        <w:ind w:left="0"/>
        <w:rPr>
          <w:b/>
          <w:sz w:val="3"/>
        </w:r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3961"/>
        <w:gridCol w:w="2535"/>
        <w:gridCol w:w="1472"/>
      </w:tblGrid>
      <w:tr>
        <w:trPr>
          <w:trHeight w:val="360" w:hRule="atLeast"/>
        </w:trPr>
        <w:tc>
          <w:tcPr>
            <w:tcW w:w="1464" w:type="dxa"/>
          </w:tcPr>
          <w:p>
            <w:pPr>
              <w:pStyle w:val="TableParagraph"/>
              <w:spacing w:before="47"/>
              <w:ind w:left="309"/>
              <w:jc w:val="left"/>
              <w:rPr>
                <w:rFonts w:ascii="宋体" w:eastAsia="宋体" w:hint="eastAsia"/>
                <w:b/>
                <w:sz w:val="21"/>
              </w:rPr>
            </w:pPr>
            <w:r>
              <w:rPr>
                <w:rFonts w:ascii="宋体" w:eastAsia="宋体" w:hint="eastAsia"/>
                <w:b/>
                <w:sz w:val="21"/>
              </w:rPr>
              <w:t>政策规范</w:t>
            </w:r>
          </w:p>
        </w:tc>
        <w:tc>
          <w:tcPr>
            <w:tcW w:w="3961" w:type="dxa"/>
          </w:tcPr>
          <w:p>
            <w:pPr>
              <w:pStyle w:val="TableParagraph"/>
              <w:spacing w:before="47"/>
              <w:ind w:left="1535" w:right="1531"/>
              <w:rPr>
                <w:rFonts w:ascii="宋体" w:eastAsia="宋体" w:hint="eastAsia"/>
                <w:b/>
                <w:sz w:val="21"/>
              </w:rPr>
            </w:pPr>
            <w:r>
              <w:rPr>
                <w:rFonts w:ascii="宋体" w:eastAsia="宋体" w:hint="eastAsia"/>
                <w:b/>
                <w:sz w:val="21"/>
              </w:rPr>
              <w:t>选址要求</w:t>
            </w:r>
          </w:p>
        </w:tc>
        <w:tc>
          <w:tcPr>
            <w:tcW w:w="2535" w:type="dxa"/>
          </w:tcPr>
          <w:p>
            <w:pPr>
              <w:pStyle w:val="TableParagraph"/>
              <w:spacing w:before="47"/>
              <w:ind w:left="87" w:right="83"/>
              <w:rPr>
                <w:rFonts w:ascii="宋体" w:eastAsia="宋体" w:hint="eastAsia"/>
                <w:b/>
                <w:sz w:val="21"/>
              </w:rPr>
            </w:pPr>
            <w:r>
              <w:rPr>
                <w:rFonts w:ascii="宋体" w:eastAsia="宋体" w:hint="eastAsia"/>
                <w:b/>
                <w:sz w:val="21"/>
              </w:rPr>
              <w:t>本项目情况</w:t>
            </w:r>
          </w:p>
        </w:tc>
        <w:tc>
          <w:tcPr>
            <w:tcW w:w="1472" w:type="dxa"/>
          </w:tcPr>
          <w:p>
            <w:pPr>
              <w:pStyle w:val="TableParagraph"/>
              <w:spacing w:before="47"/>
              <w:ind w:left="186" w:right="180"/>
              <w:rPr>
                <w:rFonts w:ascii="宋体" w:eastAsia="宋体" w:hint="eastAsia"/>
                <w:b/>
                <w:sz w:val="21"/>
              </w:rPr>
            </w:pPr>
            <w:r>
              <w:rPr>
                <w:rFonts w:ascii="宋体" w:eastAsia="宋体" w:hint="eastAsia"/>
                <w:b/>
                <w:sz w:val="21"/>
              </w:rPr>
              <w:t>符合性分析</w:t>
            </w:r>
          </w:p>
        </w:tc>
      </w:tr>
      <w:tr>
        <w:trPr>
          <w:trHeight w:val="712" w:hRule="atLeast"/>
        </w:trPr>
        <w:tc>
          <w:tcPr>
            <w:tcW w:w="1464" w:type="dxa"/>
            <w:vMerge w:val="restart"/>
          </w:tcPr>
          <w:p>
            <w:pPr>
              <w:pStyle w:val="TableParagraph"/>
              <w:spacing w:before="0"/>
              <w:jc w:val="left"/>
              <w:rPr>
                <w:sz w:val="20"/>
              </w:rPr>
            </w:pPr>
          </w:p>
        </w:tc>
        <w:tc>
          <w:tcPr>
            <w:tcW w:w="3961" w:type="dxa"/>
            <w:tcBorders>
              <w:bottom w:val="nil"/>
            </w:tcBorders>
          </w:tcPr>
          <w:p>
            <w:pPr>
              <w:pStyle w:val="TableParagraph"/>
              <w:spacing w:before="0"/>
              <w:jc w:val="left"/>
              <w:rPr>
                <w:rFonts w:ascii="宋体"/>
                <w:b/>
                <w:sz w:val="20"/>
              </w:rPr>
            </w:pPr>
          </w:p>
          <w:p>
            <w:pPr>
              <w:pStyle w:val="TableParagraph"/>
              <w:spacing w:before="145"/>
              <w:ind w:left="105"/>
              <w:jc w:val="left"/>
              <w:rPr>
                <w:rFonts w:ascii="宋体" w:eastAsia="宋体" w:hint="eastAsia"/>
                <w:sz w:val="21"/>
              </w:rPr>
            </w:pPr>
            <w:r>
              <w:rPr>
                <w:rFonts w:ascii="宋体" w:eastAsia="宋体" w:hint="eastAsia"/>
                <w:sz w:val="21"/>
              </w:rPr>
              <w:t>新建、改建、扩建生猪养殖场（小区）布</w:t>
            </w:r>
          </w:p>
        </w:tc>
        <w:tc>
          <w:tcPr>
            <w:tcW w:w="2535" w:type="dxa"/>
            <w:tcBorders>
              <w:bottom w:val="nil"/>
            </w:tcBorders>
          </w:tcPr>
          <w:p>
            <w:pPr>
              <w:pStyle w:val="TableParagraph"/>
              <w:spacing w:before="46"/>
              <w:ind w:left="105"/>
              <w:jc w:val="left"/>
              <w:rPr>
                <w:rFonts w:ascii="宋体" w:eastAsia="宋体" w:hint="eastAsia"/>
                <w:sz w:val="21"/>
              </w:rPr>
            </w:pPr>
            <w:r>
              <w:rPr>
                <w:rFonts w:ascii="宋体" w:eastAsia="宋体" w:hint="eastAsia"/>
                <w:spacing w:val="-6"/>
                <w:sz w:val="21"/>
              </w:rPr>
              <w:t>根据第 </w:t>
            </w:r>
            <w:r>
              <w:rPr>
                <w:position w:val="1"/>
                <w:sz w:val="21"/>
              </w:rPr>
              <w:t>2.5</w:t>
            </w:r>
            <w:r>
              <w:rPr>
                <w:spacing w:val="36"/>
                <w:position w:val="1"/>
                <w:sz w:val="21"/>
              </w:rPr>
              <w:t> </w:t>
            </w:r>
            <w:r>
              <w:rPr>
                <w:rFonts w:ascii="宋体" w:eastAsia="宋体" w:hint="eastAsia"/>
                <w:spacing w:val="-3"/>
                <w:sz w:val="21"/>
              </w:rPr>
              <w:t>章分析，本项</w:t>
            </w:r>
          </w:p>
          <w:p>
            <w:pPr>
              <w:pStyle w:val="TableParagraph"/>
              <w:spacing w:before="89"/>
              <w:ind w:left="105"/>
              <w:jc w:val="left"/>
              <w:rPr>
                <w:rFonts w:ascii="宋体" w:hAnsi="宋体" w:eastAsia="宋体" w:hint="eastAsia"/>
                <w:sz w:val="21"/>
              </w:rPr>
            </w:pPr>
            <w:r>
              <w:rPr>
                <w:rFonts w:ascii="宋体" w:hAnsi="宋体" w:eastAsia="宋体" w:hint="eastAsia"/>
                <w:spacing w:val="-1"/>
                <w:sz w:val="21"/>
              </w:rPr>
              <w:t>目符合绍兴市“十三五”</w:t>
            </w:r>
          </w:p>
        </w:tc>
        <w:tc>
          <w:tcPr>
            <w:tcW w:w="1472" w:type="dxa"/>
            <w:tcBorders>
              <w:bottom w:val="nil"/>
            </w:tcBorders>
          </w:tcPr>
          <w:p>
            <w:pPr>
              <w:pStyle w:val="TableParagraph"/>
              <w:spacing w:before="0"/>
              <w:jc w:val="left"/>
              <w:rPr>
                <w:sz w:val="20"/>
              </w:rPr>
            </w:pPr>
          </w:p>
        </w:tc>
      </w:tr>
      <w:tr>
        <w:trPr>
          <w:trHeight w:val="707" w:hRule="atLeast"/>
        </w:trPr>
        <w:tc>
          <w:tcPr>
            <w:tcW w:w="1464" w:type="dxa"/>
            <w:vMerge/>
            <w:tcBorders>
              <w:top w:val="nil"/>
            </w:tcBorders>
          </w:tcPr>
          <w:p>
            <w:pPr>
              <w:rPr>
                <w:sz w:val="2"/>
                <w:szCs w:val="2"/>
              </w:rPr>
            </w:pPr>
          </w:p>
        </w:tc>
        <w:tc>
          <w:tcPr>
            <w:tcW w:w="3961" w:type="dxa"/>
            <w:tcBorders>
              <w:top w:val="nil"/>
              <w:bottom w:val="nil"/>
            </w:tcBorders>
          </w:tcPr>
          <w:p>
            <w:pPr>
              <w:pStyle w:val="TableParagraph"/>
              <w:spacing w:before="39"/>
              <w:ind w:left="105"/>
              <w:jc w:val="left"/>
              <w:rPr>
                <w:rFonts w:ascii="宋体" w:eastAsia="宋体" w:hint="eastAsia"/>
                <w:sz w:val="21"/>
              </w:rPr>
            </w:pPr>
            <w:r>
              <w:rPr>
                <w:rFonts w:ascii="宋体" w:eastAsia="宋体" w:hint="eastAsia"/>
                <w:spacing w:val="8"/>
                <w:sz w:val="21"/>
              </w:rPr>
              <w:t>局应符合畜牧业发展规划和畜禽养殖污</w:t>
            </w:r>
          </w:p>
          <w:p>
            <w:pPr>
              <w:pStyle w:val="TableParagraph"/>
              <w:spacing w:before="89"/>
              <w:ind w:left="105"/>
              <w:jc w:val="left"/>
              <w:rPr>
                <w:rFonts w:ascii="宋体" w:eastAsia="宋体" w:hint="eastAsia"/>
                <w:sz w:val="21"/>
              </w:rPr>
            </w:pPr>
            <w:r>
              <w:rPr>
                <w:rFonts w:ascii="宋体" w:eastAsia="宋体" w:hint="eastAsia"/>
                <w:spacing w:val="-7"/>
                <w:sz w:val="21"/>
              </w:rPr>
              <w:t>染防治规划的要求，同时选址应符合环境</w:t>
            </w:r>
          </w:p>
        </w:tc>
        <w:tc>
          <w:tcPr>
            <w:tcW w:w="2535" w:type="dxa"/>
            <w:tcBorders>
              <w:top w:val="nil"/>
              <w:bottom w:val="nil"/>
            </w:tcBorders>
          </w:tcPr>
          <w:p>
            <w:pPr>
              <w:pStyle w:val="TableParagraph"/>
              <w:spacing w:before="42"/>
              <w:ind w:left="105"/>
              <w:jc w:val="left"/>
              <w:rPr>
                <w:rFonts w:ascii="宋体" w:eastAsia="宋体" w:hint="eastAsia"/>
                <w:sz w:val="21"/>
              </w:rPr>
            </w:pPr>
            <w:r>
              <w:rPr>
                <w:rFonts w:ascii="宋体" w:eastAsia="宋体" w:hint="eastAsia"/>
                <w:spacing w:val="-1"/>
                <w:sz w:val="21"/>
              </w:rPr>
              <w:t>品质农业发展规划要求及</w:t>
            </w:r>
          </w:p>
          <w:p>
            <w:pPr>
              <w:pStyle w:val="TableParagraph"/>
              <w:spacing w:before="88"/>
              <w:ind w:left="105"/>
              <w:jc w:val="left"/>
              <w:rPr>
                <w:rFonts w:ascii="宋体" w:eastAsia="宋体" w:hint="eastAsia"/>
                <w:sz w:val="21"/>
              </w:rPr>
            </w:pPr>
            <w:r>
              <w:rPr>
                <w:rFonts w:ascii="宋体" w:eastAsia="宋体" w:hint="eastAsia"/>
                <w:spacing w:val="-1"/>
                <w:sz w:val="21"/>
              </w:rPr>
              <w:t>省畜禽养殖污染防治规划</w:t>
            </w:r>
          </w:p>
        </w:tc>
        <w:tc>
          <w:tcPr>
            <w:tcW w:w="1472" w:type="dxa"/>
            <w:tcBorders>
              <w:top w:val="nil"/>
              <w:bottom w:val="nil"/>
            </w:tcBorders>
          </w:tcPr>
          <w:p>
            <w:pPr>
              <w:pStyle w:val="TableParagraph"/>
              <w:spacing w:before="4"/>
              <w:jc w:val="left"/>
              <w:rPr>
                <w:rFonts w:ascii="宋体"/>
                <w:b/>
                <w:sz w:val="17"/>
              </w:rPr>
            </w:pPr>
          </w:p>
          <w:p>
            <w:pPr>
              <w:pStyle w:val="TableParagraph"/>
              <w:spacing w:before="0"/>
              <w:ind w:left="186" w:right="180"/>
              <w:rPr>
                <w:rFonts w:ascii="宋体" w:eastAsia="宋体" w:hint="eastAsia"/>
                <w:sz w:val="21"/>
              </w:rPr>
            </w:pPr>
            <w:r>
              <w:rPr>
                <w:rFonts w:ascii="宋体" w:eastAsia="宋体" w:hint="eastAsia"/>
                <w:sz w:val="21"/>
              </w:rPr>
              <w:t>符合</w:t>
            </w:r>
          </w:p>
        </w:tc>
      </w:tr>
      <w:tr>
        <w:trPr>
          <w:trHeight w:val="350" w:hRule="atLeast"/>
        </w:trPr>
        <w:tc>
          <w:tcPr>
            <w:tcW w:w="1464" w:type="dxa"/>
            <w:vMerge/>
            <w:tcBorders>
              <w:top w:val="nil"/>
            </w:tcBorders>
          </w:tcPr>
          <w:p>
            <w:pPr>
              <w:rPr>
                <w:sz w:val="2"/>
                <w:szCs w:val="2"/>
              </w:rPr>
            </w:pPr>
          </w:p>
        </w:tc>
        <w:tc>
          <w:tcPr>
            <w:tcW w:w="3961" w:type="dxa"/>
            <w:tcBorders>
              <w:top w:val="nil"/>
              <w:bottom w:val="nil"/>
            </w:tcBorders>
          </w:tcPr>
          <w:p>
            <w:pPr>
              <w:pStyle w:val="TableParagraph"/>
              <w:spacing w:before="39"/>
              <w:ind w:left="105"/>
              <w:jc w:val="left"/>
              <w:rPr>
                <w:rFonts w:ascii="宋体" w:eastAsia="宋体" w:hint="eastAsia"/>
                <w:sz w:val="21"/>
              </w:rPr>
            </w:pPr>
            <w:r>
              <w:rPr>
                <w:rFonts w:ascii="宋体" w:eastAsia="宋体" w:hint="eastAsia"/>
                <w:sz w:val="21"/>
              </w:rPr>
              <w:t>功能区划要求。</w:t>
            </w:r>
          </w:p>
        </w:tc>
        <w:tc>
          <w:tcPr>
            <w:tcW w:w="2535" w:type="dxa"/>
            <w:tcBorders>
              <w:top w:val="nil"/>
              <w:bottom w:val="nil"/>
            </w:tcBorders>
          </w:tcPr>
          <w:p>
            <w:pPr>
              <w:pStyle w:val="TableParagraph"/>
              <w:spacing w:before="42"/>
              <w:ind w:left="87" w:right="81"/>
              <w:rPr>
                <w:rFonts w:ascii="宋体" w:hAnsi="宋体" w:eastAsia="宋体" w:hint="eastAsia"/>
                <w:sz w:val="21"/>
              </w:rPr>
            </w:pPr>
            <w:r>
              <w:rPr>
                <w:rFonts w:ascii="宋体" w:hAnsi="宋体" w:eastAsia="宋体" w:hint="eastAsia"/>
                <w:sz w:val="21"/>
              </w:rPr>
              <w:t>要求，符合“三线一单”</w:t>
            </w:r>
          </w:p>
        </w:tc>
        <w:tc>
          <w:tcPr>
            <w:tcW w:w="1472" w:type="dxa"/>
            <w:tcBorders>
              <w:top w:val="nil"/>
              <w:bottom w:val="nil"/>
            </w:tcBorders>
          </w:tcPr>
          <w:p>
            <w:pPr>
              <w:pStyle w:val="TableParagraph"/>
              <w:spacing w:before="0"/>
              <w:jc w:val="left"/>
              <w:rPr>
                <w:sz w:val="20"/>
              </w:rPr>
            </w:pPr>
          </w:p>
        </w:tc>
      </w:tr>
      <w:tr>
        <w:trPr>
          <w:trHeight w:val="352" w:hRule="atLeast"/>
        </w:trPr>
        <w:tc>
          <w:tcPr>
            <w:tcW w:w="1464" w:type="dxa"/>
            <w:vMerge/>
            <w:tcBorders>
              <w:top w:val="nil"/>
            </w:tcBorders>
          </w:tcPr>
          <w:p>
            <w:pPr>
              <w:rPr>
                <w:sz w:val="2"/>
                <w:szCs w:val="2"/>
              </w:rPr>
            </w:pPr>
          </w:p>
        </w:tc>
        <w:tc>
          <w:tcPr>
            <w:tcW w:w="3961" w:type="dxa"/>
            <w:tcBorders>
              <w:top w:val="nil"/>
            </w:tcBorders>
          </w:tcPr>
          <w:p>
            <w:pPr>
              <w:pStyle w:val="TableParagraph"/>
              <w:spacing w:before="0"/>
              <w:jc w:val="left"/>
              <w:rPr>
                <w:sz w:val="20"/>
              </w:rPr>
            </w:pPr>
          </w:p>
        </w:tc>
        <w:tc>
          <w:tcPr>
            <w:tcW w:w="2535" w:type="dxa"/>
            <w:tcBorders>
              <w:top w:val="nil"/>
            </w:tcBorders>
          </w:tcPr>
          <w:p>
            <w:pPr>
              <w:pStyle w:val="TableParagraph"/>
              <w:spacing w:before="39"/>
              <w:ind w:left="84" w:right="84"/>
              <w:rPr>
                <w:rFonts w:ascii="宋体" w:eastAsia="宋体" w:hint="eastAsia"/>
                <w:sz w:val="21"/>
              </w:rPr>
            </w:pPr>
            <w:r>
              <w:rPr>
                <w:rFonts w:ascii="宋体" w:eastAsia="宋体" w:hint="eastAsia"/>
                <w:sz w:val="21"/>
              </w:rPr>
              <w:t>生态环境分区管控要求。</w:t>
            </w:r>
          </w:p>
        </w:tc>
        <w:tc>
          <w:tcPr>
            <w:tcW w:w="1472" w:type="dxa"/>
            <w:tcBorders>
              <w:top w:val="nil"/>
            </w:tcBorders>
          </w:tcPr>
          <w:p>
            <w:pPr>
              <w:pStyle w:val="TableParagraph"/>
              <w:spacing w:before="0"/>
              <w:jc w:val="left"/>
              <w:rPr>
                <w:sz w:val="20"/>
              </w:rPr>
            </w:pPr>
          </w:p>
        </w:tc>
      </w:tr>
      <w:tr>
        <w:trPr>
          <w:trHeight w:val="346" w:hRule="atLeast"/>
        </w:trPr>
        <w:tc>
          <w:tcPr>
            <w:tcW w:w="1464" w:type="dxa"/>
            <w:vMerge/>
            <w:tcBorders>
              <w:top w:val="nil"/>
            </w:tcBorders>
          </w:tcPr>
          <w:p>
            <w:pPr>
              <w:rPr>
                <w:sz w:val="2"/>
                <w:szCs w:val="2"/>
              </w:rPr>
            </w:pPr>
          </w:p>
        </w:tc>
        <w:tc>
          <w:tcPr>
            <w:tcW w:w="3961" w:type="dxa"/>
            <w:tcBorders>
              <w:bottom w:val="nil"/>
            </w:tcBorders>
          </w:tcPr>
          <w:p>
            <w:pPr>
              <w:pStyle w:val="TableParagraph"/>
              <w:spacing w:before="44"/>
              <w:ind w:left="105"/>
              <w:jc w:val="left"/>
              <w:rPr>
                <w:rFonts w:ascii="宋体" w:eastAsia="宋体" w:hint="eastAsia"/>
                <w:sz w:val="21"/>
              </w:rPr>
            </w:pPr>
            <w:r>
              <w:rPr>
                <w:rFonts w:ascii="宋体" w:eastAsia="宋体" w:hint="eastAsia"/>
                <w:sz w:val="21"/>
              </w:rPr>
              <w:t>养殖场选址应设在集中居住区、文教科研</w:t>
            </w:r>
          </w:p>
        </w:tc>
        <w:tc>
          <w:tcPr>
            <w:tcW w:w="2535" w:type="dxa"/>
            <w:tcBorders>
              <w:bottom w:val="nil"/>
            </w:tcBorders>
          </w:tcPr>
          <w:p>
            <w:pPr>
              <w:pStyle w:val="TableParagraph"/>
              <w:spacing w:before="0"/>
              <w:jc w:val="left"/>
              <w:rPr>
                <w:sz w:val="20"/>
              </w:rPr>
            </w:pPr>
          </w:p>
        </w:tc>
        <w:tc>
          <w:tcPr>
            <w:tcW w:w="1472" w:type="dxa"/>
            <w:tcBorders>
              <w:bottom w:val="nil"/>
            </w:tcBorders>
          </w:tcPr>
          <w:p>
            <w:pPr>
              <w:pStyle w:val="TableParagraph"/>
              <w:spacing w:before="0"/>
              <w:jc w:val="left"/>
              <w:rPr>
                <w:sz w:val="20"/>
              </w:rPr>
            </w:pPr>
          </w:p>
        </w:tc>
      </w:tr>
      <w:tr>
        <w:trPr>
          <w:trHeight w:val="360" w:hRule="atLeast"/>
        </w:trPr>
        <w:tc>
          <w:tcPr>
            <w:tcW w:w="1464" w:type="dxa"/>
            <w:vMerge/>
            <w:tcBorders>
              <w:top w:val="nil"/>
            </w:tcBorders>
          </w:tcPr>
          <w:p>
            <w:pPr>
              <w:rPr>
                <w:sz w:val="2"/>
                <w:szCs w:val="2"/>
              </w:rPr>
            </w:pPr>
          </w:p>
        </w:tc>
        <w:tc>
          <w:tcPr>
            <w:tcW w:w="3961" w:type="dxa"/>
            <w:tcBorders>
              <w:top w:val="nil"/>
              <w:bottom w:val="nil"/>
            </w:tcBorders>
          </w:tcPr>
          <w:p>
            <w:pPr>
              <w:pStyle w:val="TableParagraph"/>
              <w:spacing w:before="45"/>
              <w:ind w:left="105"/>
              <w:jc w:val="left"/>
              <w:rPr>
                <w:rFonts w:ascii="宋体" w:eastAsia="宋体" w:hint="eastAsia"/>
                <w:sz w:val="21"/>
              </w:rPr>
            </w:pPr>
            <w:r>
              <w:rPr>
                <w:rFonts w:ascii="宋体" w:eastAsia="宋体" w:hint="eastAsia"/>
                <w:sz w:val="21"/>
              </w:rPr>
              <w:t>区、医疗区等区域常年主导风向的下风向</w:t>
            </w:r>
          </w:p>
        </w:tc>
        <w:tc>
          <w:tcPr>
            <w:tcW w:w="2535" w:type="dxa"/>
            <w:tcBorders>
              <w:top w:val="nil"/>
              <w:bottom w:val="nil"/>
            </w:tcBorders>
          </w:tcPr>
          <w:p>
            <w:pPr>
              <w:pStyle w:val="TableParagraph"/>
              <w:spacing w:before="48"/>
              <w:ind w:left="87" w:right="80"/>
              <w:rPr>
                <w:rFonts w:ascii="宋体" w:eastAsia="宋体" w:hint="eastAsia"/>
                <w:sz w:val="21"/>
              </w:rPr>
            </w:pPr>
            <w:r>
              <w:rPr>
                <w:rFonts w:ascii="宋体" w:eastAsia="宋体" w:hint="eastAsia"/>
                <w:sz w:val="21"/>
              </w:rPr>
              <w:t>本项目生猪存栏约 </w:t>
            </w:r>
            <w:r>
              <w:rPr>
                <w:position w:val="1"/>
                <w:sz w:val="21"/>
              </w:rPr>
              <w:t>5 </w:t>
            </w:r>
            <w:r>
              <w:rPr>
                <w:rFonts w:ascii="宋体" w:eastAsia="宋体" w:hint="eastAsia"/>
                <w:sz w:val="21"/>
              </w:rPr>
              <w:t>万</w:t>
            </w:r>
          </w:p>
        </w:tc>
        <w:tc>
          <w:tcPr>
            <w:tcW w:w="1472" w:type="dxa"/>
            <w:tcBorders>
              <w:top w:val="nil"/>
              <w:bottom w:val="nil"/>
            </w:tcBorders>
          </w:tcPr>
          <w:p>
            <w:pPr>
              <w:pStyle w:val="TableParagraph"/>
              <w:spacing w:before="0"/>
              <w:jc w:val="left"/>
              <w:rPr>
                <w:sz w:val="20"/>
              </w:rPr>
            </w:pPr>
          </w:p>
        </w:tc>
      </w:tr>
      <w:tr>
        <w:trPr>
          <w:trHeight w:val="1426" w:hRule="atLeast"/>
        </w:trPr>
        <w:tc>
          <w:tcPr>
            <w:tcW w:w="1464" w:type="dxa"/>
            <w:vMerge/>
            <w:tcBorders>
              <w:top w:val="nil"/>
            </w:tcBorders>
          </w:tcPr>
          <w:p>
            <w:pPr>
              <w:rPr>
                <w:sz w:val="2"/>
                <w:szCs w:val="2"/>
              </w:rPr>
            </w:pPr>
          </w:p>
        </w:tc>
        <w:tc>
          <w:tcPr>
            <w:tcW w:w="3961" w:type="dxa"/>
            <w:tcBorders>
              <w:top w:val="nil"/>
            </w:tcBorders>
          </w:tcPr>
          <w:p>
            <w:pPr>
              <w:pStyle w:val="TableParagraph"/>
              <w:spacing w:line="319" w:lineRule="auto" w:before="35"/>
              <w:ind w:left="105" w:right="94"/>
              <w:jc w:val="both"/>
              <w:rPr>
                <w:rFonts w:ascii="宋体" w:eastAsia="宋体" w:hint="eastAsia"/>
                <w:sz w:val="21"/>
              </w:rPr>
            </w:pPr>
            <w:r>
              <w:rPr>
                <w:rFonts w:ascii="宋体" w:eastAsia="宋体" w:hint="eastAsia"/>
                <w:spacing w:val="-8"/>
                <w:sz w:val="21"/>
              </w:rPr>
              <w:t>或侧风向，并满足大气环境防护距离的要</w:t>
            </w:r>
            <w:r>
              <w:rPr>
                <w:rFonts w:ascii="宋体" w:eastAsia="宋体" w:hint="eastAsia"/>
                <w:spacing w:val="-4"/>
                <w:sz w:val="21"/>
              </w:rPr>
              <w:t>求，其中，生猪存栏 </w:t>
            </w:r>
            <w:r>
              <w:rPr>
                <w:sz w:val="21"/>
              </w:rPr>
              <w:t>3000 </w:t>
            </w:r>
            <w:r>
              <w:rPr>
                <w:rFonts w:ascii="宋体" w:eastAsia="宋体" w:hint="eastAsia"/>
                <w:spacing w:val="-2"/>
                <w:sz w:val="21"/>
              </w:rPr>
              <w:t>头及以上的养</w:t>
            </w:r>
            <w:r>
              <w:rPr>
                <w:rFonts w:ascii="宋体" w:eastAsia="宋体" w:hint="eastAsia"/>
                <w:spacing w:val="8"/>
                <w:sz w:val="21"/>
              </w:rPr>
              <w:t>殖场场界与以上区域边界的最小距离不</w:t>
            </w:r>
          </w:p>
          <w:p>
            <w:pPr>
              <w:pStyle w:val="TableParagraph"/>
              <w:spacing w:before="2"/>
              <w:ind w:left="105"/>
              <w:jc w:val="both"/>
              <w:rPr>
                <w:rFonts w:ascii="宋体" w:eastAsia="宋体" w:hint="eastAsia"/>
                <w:sz w:val="21"/>
              </w:rPr>
            </w:pPr>
            <w:r>
              <w:rPr>
                <w:rFonts w:ascii="宋体" w:eastAsia="宋体" w:hint="eastAsia"/>
                <w:sz w:val="21"/>
              </w:rPr>
              <w:t>得小于 </w:t>
            </w:r>
            <w:r>
              <w:rPr>
                <w:sz w:val="21"/>
              </w:rPr>
              <w:t>500 </w:t>
            </w:r>
            <w:r>
              <w:rPr>
                <w:rFonts w:ascii="宋体" w:eastAsia="宋体" w:hint="eastAsia"/>
                <w:sz w:val="21"/>
              </w:rPr>
              <w:t>米。</w:t>
            </w:r>
          </w:p>
        </w:tc>
        <w:tc>
          <w:tcPr>
            <w:tcW w:w="2535" w:type="dxa"/>
            <w:tcBorders>
              <w:top w:val="nil"/>
            </w:tcBorders>
          </w:tcPr>
          <w:p>
            <w:pPr>
              <w:pStyle w:val="TableParagraph"/>
              <w:spacing w:line="319" w:lineRule="auto" w:before="37"/>
              <w:ind w:left="105" w:right="96"/>
              <w:jc w:val="both"/>
              <w:rPr>
                <w:rFonts w:ascii="宋体" w:eastAsia="宋体" w:hint="eastAsia"/>
                <w:sz w:val="21"/>
              </w:rPr>
            </w:pPr>
            <w:r>
              <w:rPr>
                <w:rFonts w:ascii="宋体" w:eastAsia="宋体" w:hint="eastAsia"/>
                <w:sz w:val="21"/>
              </w:rPr>
              <w:t>头，最近的敏感点为丰项村，距本项目边界距离约</w:t>
            </w:r>
            <w:r>
              <w:rPr>
                <w:position w:val="1"/>
                <w:sz w:val="21"/>
              </w:rPr>
              <w:t>555m</w:t>
            </w:r>
            <w:r>
              <w:rPr>
                <w:rFonts w:ascii="宋体" w:eastAsia="宋体" w:hint="eastAsia"/>
                <w:sz w:val="21"/>
              </w:rPr>
              <w:t>。</w:t>
            </w:r>
          </w:p>
        </w:tc>
        <w:tc>
          <w:tcPr>
            <w:tcW w:w="1472" w:type="dxa"/>
            <w:tcBorders>
              <w:top w:val="nil"/>
            </w:tcBorders>
          </w:tcPr>
          <w:p>
            <w:pPr>
              <w:pStyle w:val="TableParagraph"/>
              <w:spacing w:before="0"/>
              <w:jc w:val="left"/>
              <w:rPr>
                <w:rFonts w:ascii="宋体"/>
                <w:b/>
                <w:sz w:val="17"/>
              </w:rPr>
            </w:pPr>
          </w:p>
          <w:p>
            <w:pPr>
              <w:pStyle w:val="TableParagraph"/>
              <w:spacing w:before="0"/>
              <w:ind w:left="186" w:right="180"/>
              <w:rPr>
                <w:rFonts w:ascii="宋体" w:eastAsia="宋体" w:hint="eastAsia"/>
                <w:sz w:val="21"/>
              </w:rPr>
            </w:pPr>
            <w:r>
              <w:rPr>
                <w:rFonts w:ascii="宋体" w:eastAsia="宋体" w:hint="eastAsia"/>
                <w:sz w:val="21"/>
              </w:rPr>
              <w:t>符合</w:t>
            </w:r>
          </w:p>
        </w:tc>
      </w:tr>
      <w:tr>
        <w:trPr>
          <w:trHeight w:val="351" w:hRule="atLeast"/>
        </w:trPr>
        <w:tc>
          <w:tcPr>
            <w:tcW w:w="1464" w:type="dxa"/>
            <w:vMerge/>
            <w:tcBorders>
              <w:top w:val="nil"/>
            </w:tcBorders>
          </w:tcPr>
          <w:p>
            <w:pPr>
              <w:rPr>
                <w:sz w:val="2"/>
                <w:szCs w:val="2"/>
              </w:rPr>
            </w:pPr>
          </w:p>
        </w:tc>
        <w:tc>
          <w:tcPr>
            <w:tcW w:w="3961" w:type="dxa"/>
            <w:tcBorders>
              <w:bottom w:val="nil"/>
            </w:tcBorders>
          </w:tcPr>
          <w:p>
            <w:pPr>
              <w:pStyle w:val="TableParagraph"/>
              <w:spacing w:before="44"/>
              <w:ind w:left="105"/>
              <w:jc w:val="left"/>
              <w:rPr>
                <w:rFonts w:ascii="宋体" w:eastAsia="宋体" w:hint="eastAsia"/>
                <w:sz w:val="21"/>
              </w:rPr>
            </w:pPr>
            <w:r>
              <w:rPr>
                <w:rFonts w:ascii="宋体" w:eastAsia="宋体" w:hint="eastAsia"/>
                <w:sz w:val="21"/>
              </w:rPr>
              <w:t>养殖场选址应避开饮用水源保护区、具有</w:t>
            </w:r>
          </w:p>
        </w:tc>
        <w:tc>
          <w:tcPr>
            <w:tcW w:w="2535" w:type="dxa"/>
            <w:tcBorders>
              <w:bottom w:val="nil"/>
            </w:tcBorders>
          </w:tcPr>
          <w:p>
            <w:pPr>
              <w:pStyle w:val="TableParagraph"/>
              <w:spacing w:before="46"/>
              <w:ind w:left="87" w:right="81"/>
              <w:rPr>
                <w:rFonts w:ascii="宋体" w:hAnsi="宋体" w:eastAsia="宋体" w:hint="eastAsia"/>
                <w:sz w:val="21"/>
              </w:rPr>
            </w:pPr>
            <w:r>
              <w:rPr>
                <w:rFonts w:ascii="宋体" w:hAnsi="宋体" w:eastAsia="宋体" w:hint="eastAsia"/>
                <w:sz w:val="21"/>
              </w:rPr>
              <w:t>项目养殖场周边水体为Ⅲ</w:t>
            </w:r>
          </w:p>
        </w:tc>
        <w:tc>
          <w:tcPr>
            <w:tcW w:w="1472" w:type="dxa"/>
            <w:tcBorders>
              <w:bottom w:val="nil"/>
            </w:tcBorders>
          </w:tcPr>
          <w:p>
            <w:pPr>
              <w:pStyle w:val="TableParagraph"/>
              <w:spacing w:before="0"/>
              <w:jc w:val="left"/>
              <w:rPr>
                <w:sz w:val="20"/>
              </w:rPr>
            </w:pPr>
          </w:p>
        </w:tc>
      </w:tr>
      <w:tr>
        <w:trPr>
          <w:trHeight w:val="710" w:hRule="atLeast"/>
        </w:trPr>
        <w:tc>
          <w:tcPr>
            <w:tcW w:w="1464" w:type="dxa"/>
            <w:vMerge/>
            <w:tcBorders>
              <w:top w:val="nil"/>
            </w:tcBorders>
          </w:tcPr>
          <w:p>
            <w:pPr>
              <w:rPr>
                <w:sz w:val="2"/>
                <w:szCs w:val="2"/>
              </w:rPr>
            </w:pPr>
          </w:p>
        </w:tc>
        <w:tc>
          <w:tcPr>
            <w:tcW w:w="3961" w:type="dxa"/>
            <w:tcBorders>
              <w:top w:val="nil"/>
              <w:bottom w:val="nil"/>
            </w:tcBorders>
          </w:tcPr>
          <w:p>
            <w:pPr>
              <w:pStyle w:val="TableParagraph"/>
              <w:spacing w:before="43"/>
              <w:ind w:left="105"/>
              <w:jc w:val="left"/>
              <w:rPr>
                <w:sz w:val="21"/>
              </w:rPr>
            </w:pPr>
            <w:r>
              <w:rPr>
                <w:rFonts w:ascii="宋体" w:eastAsia="宋体" w:hint="eastAsia"/>
                <w:spacing w:val="-6"/>
                <w:sz w:val="21"/>
              </w:rPr>
              <w:t>景观或水上娱乐功能、以及执行 </w:t>
            </w:r>
            <w:r>
              <w:rPr>
                <w:sz w:val="21"/>
              </w:rPr>
              <w:t>I</w:t>
            </w:r>
            <w:r>
              <w:rPr>
                <w:spacing w:val="10"/>
                <w:sz w:val="21"/>
              </w:rPr>
              <w:t> </w:t>
            </w:r>
            <w:r>
              <w:rPr>
                <w:rFonts w:ascii="宋体" w:eastAsia="宋体" w:hint="eastAsia"/>
                <w:spacing w:val="-16"/>
                <w:sz w:val="21"/>
              </w:rPr>
              <w:t>类或 </w:t>
            </w:r>
            <w:r>
              <w:rPr>
                <w:sz w:val="21"/>
              </w:rPr>
              <w:t>II</w:t>
            </w:r>
          </w:p>
          <w:p>
            <w:pPr>
              <w:pStyle w:val="TableParagraph"/>
              <w:spacing w:before="88"/>
              <w:ind w:left="105"/>
              <w:jc w:val="left"/>
              <w:rPr>
                <w:rFonts w:ascii="宋体" w:eastAsia="宋体" w:hint="eastAsia"/>
                <w:sz w:val="21"/>
              </w:rPr>
            </w:pPr>
            <w:r>
              <w:rPr>
                <w:rFonts w:ascii="宋体" w:eastAsia="宋体" w:hint="eastAsia"/>
                <w:spacing w:val="-7"/>
                <w:sz w:val="21"/>
              </w:rPr>
              <w:t>类水质的水体，其主要养殖圈舍及养殖废</w:t>
            </w:r>
          </w:p>
        </w:tc>
        <w:tc>
          <w:tcPr>
            <w:tcW w:w="2535" w:type="dxa"/>
            <w:tcBorders>
              <w:top w:val="nil"/>
              <w:bottom w:val="nil"/>
            </w:tcBorders>
          </w:tcPr>
          <w:p>
            <w:pPr>
              <w:pStyle w:val="TableParagraph"/>
              <w:spacing w:before="45"/>
              <w:ind w:left="105"/>
              <w:jc w:val="left"/>
              <w:rPr>
                <w:rFonts w:ascii="宋体" w:eastAsia="宋体" w:hint="eastAsia"/>
                <w:sz w:val="21"/>
              </w:rPr>
            </w:pPr>
            <w:r>
              <w:rPr>
                <w:rFonts w:ascii="宋体" w:eastAsia="宋体" w:hint="eastAsia"/>
                <w:spacing w:val="-1"/>
                <w:sz w:val="21"/>
              </w:rPr>
              <w:t>类水质水体，周边无饮用</w:t>
            </w:r>
          </w:p>
          <w:p>
            <w:pPr>
              <w:pStyle w:val="TableParagraph"/>
              <w:spacing w:before="89"/>
              <w:ind w:left="105"/>
              <w:jc w:val="left"/>
              <w:rPr>
                <w:rFonts w:ascii="宋体" w:eastAsia="宋体" w:hint="eastAsia"/>
                <w:sz w:val="21"/>
              </w:rPr>
            </w:pPr>
            <w:r>
              <w:rPr>
                <w:rFonts w:ascii="宋体" w:eastAsia="宋体" w:hint="eastAsia"/>
                <w:spacing w:val="-1"/>
                <w:sz w:val="21"/>
              </w:rPr>
              <w:t>水源保护区、具有景观或</w:t>
            </w:r>
          </w:p>
        </w:tc>
        <w:tc>
          <w:tcPr>
            <w:tcW w:w="1472" w:type="dxa"/>
            <w:tcBorders>
              <w:top w:val="nil"/>
              <w:bottom w:val="nil"/>
            </w:tcBorders>
          </w:tcPr>
          <w:p>
            <w:pPr>
              <w:pStyle w:val="TableParagraph"/>
              <w:spacing w:before="0"/>
              <w:jc w:val="left"/>
              <w:rPr>
                <w:rFonts w:ascii="宋体"/>
                <w:b/>
                <w:sz w:val="20"/>
              </w:rPr>
            </w:pPr>
          </w:p>
          <w:p>
            <w:pPr>
              <w:pStyle w:val="TableParagraph"/>
              <w:spacing w:before="147"/>
              <w:ind w:left="186" w:right="180"/>
              <w:rPr>
                <w:rFonts w:ascii="宋体" w:eastAsia="宋体" w:hint="eastAsia"/>
                <w:sz w:val="21"/>
              </w:rPr>
            </w:pPr>
            <w:r>
              <w:rPr>
                <w:rFonts w:ascii="宋体" w:eastAsia="宋体" w:hint="eastAsia"/>
                <w:sz w:val="21"/>
              </w:rPr>
              <w:t>符合</w:t>
            </w:r>
          </w:p>
        </w:tc>
      </w:tr>
      <w:tr>
        <w:trPr>
          <w:trHeight w:val="712" w:hRule="atLeast"/>
        </w:trPr>
        <w:tc>
          <w:tcPr>
            <w:tcW w:w="1464" w:type="dxa"/>
            <w:vMerge/>
            <w:tcBorders>
              <w:top w:val="nil"/>
            </w:tcBorders>
          </w:tcPr>
          <w:p>
            <w:pPr>
              <w:rPr>
                <w:sz w:val="2"/>
                <w:szCs w:val="2"/>
              </w:rPr>
            </w:pPr>
          </w:p>
        </w:tc>
        <w:tc>
          <w:tcPr>
            <w:tcW w:w="3961" w:type="dxa"/>
            <w:tcBorders>
              <w:top w:val="nil"/>
            </w:tcBorders>
          </w:tcPr>
          <w:p>
            <w:pPr>
              <w:pStyle w:val="TableParagraph"/>
              <w:spacing w:before="39"/>
              <w:ind w:left="105"/>
              <w:jc w:val="left"/>
              <w:rPr>
                <w:rFonts w:ascii="宋体" w:eastAsia="宋体" w:hint="eastAsia"/>
                <w:sz w:val="21"/>
              </w:rPr>
            </w:pPr>
            <w:r>
              <w:rPr>
                <w:rFonts w:ascii="宋体" w:eastAsia="宋体" w:hint="eastAsia"/>
                <w:spacing w:val="-6"/>
                <w:sz w:val="21"/>
              </w:rPr>
              <w:t>弃物收集贮存、处理</w:t>
            </w:r>
            <w:r>
              <w:rPr>
                <w:rFonts w:ascii="宋体" w:eastAsia="宋体" w:hint="eastAsia"/>
                <w:sz w:val="21"/>
              </w:rPr>
              <w:t>（</w:t>
            </w:r>
            <w:r>
              <w:rPr>
                <w:rFonts w:ascii="宋体" w:eastAsia="宋体" w:hint="eastAsia"/>
                <w:spacing w:val="-3"/>
                <w:sz w:val="21"/>
              </w:rPr>
              <w:t>置</w:t>
            </w:r>
            <w:r>
              <w:rPr>
                <w:rFonts w:ascii="宋体" w:eastAsia="宋体" w:hint="eastAsia"/>
                <w:spacing w:val="-13"/>
                <w:sz w:val="21"/>
              </w:rPr>
              <w:t>）</w:t>
            </w:r>
            <w:r>
              <w:rPr>
                <w:rFonts w:ascii="宋体" w:eastAsia="宋体" w:hint="eastAsia"/>
                <w:spacing w:val="-3"/>
                <w:sz w:val="21"/>
              </w:rPr>
              <w:t>设施及消纳地</w:t>
            </w:r>
          </w:p>
          <w:p>
            <w:pPr>
              <w:pStyle w:val="TableParagraph"/>
              <w:spacing w:before="89"/>
              <w:ind w:left="105"/>
              <w:jc w:val="left"/>
              <w:rPr>
                <w:rFonts w:ascii="宋体" w:eastAsia="宋体" w:hint="eastAsia"/>
                <w:sz w:val="21"/>
              </w:rPr>
            </w:pPr>
            <w:r>
              <w:rPr>
                <w:rFonts w:ascii="宋体" w:eastAsia="宋体" w:hint="eastAsia"/>
                <w:spacing w:val="-7"/>
                <w:sz w:val="21"/>
              </w:rPr>
              <w:t>与上述水体应保持不小于 </w:t>
            </w:r>
            <w:r>
              <w:rPr>
                <w:sz w:val="21"/>
              </w:rPr>
              <w:t>500</w:t>
            </w:r>
            <w:r>
              <w:rPr>
                <w:spacing w:val="10"/>
                <w:sz w:val="21"/>
              </w:rPr>
              <w:t> </w:t>
            </w:r>
            <w:r>
              <w:rPr>
                <w:rFonts w:ascii="宋体" w:eastAsia="宋体" w:hint="eastAsia"/>
                <w:spacing w:val="-3"/>
                <w:sz w:val="21"/>
              </w:rPr>
              <w:t>米的距离。</w:t>
            </w:r>
          </w:p>
        </w:tc>
        <w:tc>
          <w:tcPr>
            <w:tcW w:w="2535" w:type="dxa"/>
            <w:tcBorders>
              <w:top w:val="nil"/>
            </w:tcBorders>
          </w:tcPr>
          <w:p>
            <w:pPr>
              <w:pStyle w:val="TableParagraph"/>
              <w:spacing w:before="42"/>
              <w:ind w:left="105"/>
              <w:jc w:val="left"/>
              <w:rPr>
                <w:rFonts w:ascii="宋体" w:eastAsia="宋体" w:hint="eastAsia"/>
                <w:sz w:val="21"/>
              </w:rPr>
            </w:pPr>
            <w:r>
              <w:rPr>
                <w:rFonts w:ascii="宋体" w:eastAsia="宋体" w:hint="eastAsia"/>
                <w:spacing w:val="-1"/>
                <w:sz w:val="21"/>
              </w:rPr>
              <w:t>水上娱乐功能、以及执行</w:t>
            </w:r>
          </w:p>
          <w:p>
            <w:pPr>
              <w:pStyle w:val="TableParagraph"/>
              <w:spacing w:before="88"/>
              <w:ind w:left="105"/>
              <w:jc w:val="left"/>
              <w:rPr>
                <w:rFonts w:ascii="宋体" w:hAnsi="宋体" w:eastAsia="宋体" w:hint="eastAsia"/>
                <w:sz w:val="21"/>
              </w:rPr>
            </w:pPr>
            <w:r>
              <w:rPr>
                <w:rFonts w:ascii="宋体" w:hAnsi="宋体" w:eastAsia="宋体" w:hint="eastAsia"/>
                <w:spacing w:val="-3"/>
                <w:sz w:val="21"/>
              </w:rPr>
              <w:t>Ⅰ类或Ⅱ类水质的水体。</w:t>
            </w:r>
          </w:p>
        </w:tc>
        <w:tc>
          <w:tcPr>
            <w:tcW w:w="1472" w:type="dxa"/>
            <w:tcBorders>
              <w:top w:val="nil"/>
            </w:tcBorders>
          </w:tcPr>
          <w:p>
            <w:pPr>
              <w:pStyle w:val="TableParagraph"/>
              <w:spacing w:before="0"/>
              <w:jc w:val="left"/>
              <w:rPr>
                <w:sz w:val="20"/>
              </w:rPr>
            </w:pPr>
          </w:p>
        </w:tc>
      </w:tr>
      <w:tr>
        <w:trPr>
          <w:trHeight w:val="3587" w:hRule="atLeast"/>
        </w:trPr>
        <w:tc>
          <w:tcPr>
            <w:tcW w:w="1464"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line="321" w:lineRule="auto" w:before="0"/>
              <w:ind w:left="206" w:right="192"/>
              <w:jc w:val="both"/>
              <w:rPr>
                <w:rFonts w:ascii="宋体" w:eastAsia="宋体" w:hint="eastAsia"/>
                <w:sz w:val="21"/>
              </w:rPr>
            </w:pPr>
            <w:r>
              <w:rPr>
                <w:rFonts w:ascii="宋体" w:eastAsia="宋体" w:hint="eastAsia"/>
                <w:sz w:val="21"/>
              </w:rPr>
              <w:t>《柯桥区畜禽养殖禁养区划分与管理规定》</w:t>
            </w:r>
          </w:p>
        </w:tc>
        <w:tc>
          <w:tcPr>
            <w:tcW w:w="3961" w:type="dxa"/>
          </w:tcPr>
          <w:p>
            <w:pPr>
              <w:pStyle w:val="TableParagraph"/>
              <w:spacing w:line="319" w:lineRule="auto" w:before="44"/>
              <w:ind w:left="105" w:right="58"/>
              <w:jc w:val="both"/>
              <w:rPr>
                <w:rFonts w:ascii="宋体" w:eastAsia="宋体" w:hint="eastAsia"/>
                <w:sz w:val="21"/>
              </w:rPr>
            </w:pPr>
            <w:r>
              <w:rPr>
                <w:rFonts w:ascii="宋体" w:eastAsia="宋体" w:hint="eastAsia"/>
                <w:sz w:val="21"/>
              </w:rPr>
              <w:t>禁养区范围包括：（</w:t>
            </w:r>
            <w:r>
              <w:rPr>
                <w:sz w:val="21"/>
              </w:rPr>
              <w:t>1</w:t>
            </w:r>
            <w:r>
              <w:rPr>
                <w:rFonts w:ascii="宋体" w:eastAsia="宋体" w:hint="eastAsia"/>
                <w:sz w:val="21"/>
              </w:rPr>
              <w:t>）城镇建成区范围内禁止建设养殖场。（</w:t>
            </w:r>
            <w:r>
              <w:rPr>
                <w:sz w:val="21"/>
              </w:rPr>
              <w:t>2</w:t>
            </w:r>
            <w:r>
              <w:rPr>
                <w:rFonts w:ascii="宋体" w:eastAsia="宋体" w:hint="eastAsia"/>
                <w:sz w:val="21"/>
              </w:rPr>
              <w:t>）自然保护区核心区和缓冲区范围内，禁止建设养殖场。</w:t>
            </w:r>
          </w:p>
          <w:p>
            <w:pPr>
              <w:pStyle w:val="TableParagraph"/>
              <w:numPr>
                <w:ilvl w:val="0"/>
                <w:numId w:val="11"/>
              </w:numPr>
              <w:tabs>
                <w:tab w:pos="643" w:val="left" w:leader="none"/>
              </w:tabs>
              <w:spacing w:line="321" w:lineRule="auto" w:before="2" w:after="0"/>
              <w:ind w:left="105" w:right="97" w:firstLine="0"/>
              <w:jc w:val="left"/>
              <w:rPr>
                <w:rFonts w:ascii="宋体" w:eastAsia="宋体" w:hint="eastAsia"/>
                <w:sz w:val="21"/>
              </w:rPr>
            </w:pPr>
            <w:r>
              <w:rPr>
                <w:rFonts w:ascii="宋体" w:eastAsia="宋体" w:hint="eastAsia"/>
                <w:sz w:val="21"/>
              </w:rPr>
              <w:t>风景名胜区核心景区禁建养殖场， </w:t>
            </w:r>
            <w:r>
              <w:rPr>
                <w:rFonts w:ascii="宋体" w:eastAsia="宋体" w:hint="eastAsia"/>
                <w:spacing w:val="8"/>
                <w:sz w:val="21"/>
              </w:rPr>
              <w:t>其他区域禁建有污染物排放的养殖场。</w:t>
            </w:r>
          </w:p>
          <w:p>
            <w:pPr>
              <w:pStyle w:val="TableParagraph"/>
              <w:numPr>
                <w:ilvl w:val="0"/>
                <w:numId w:val="11"/>
              </w:numPr>
              <w:tabs>
                <w:tab w:pos="643" w:val="left" w:leader="none"/>
              </w:tabs>
              <w:spacing w:line="321" w:lineRule="auto" w:before="0" w:after="0"/>
              <w:ind w:left="105" w:right="94" w:firstLine="0"/>
              <w:jc w:val="both"/>
              <w:rPr>
                <w:rFonts w:ascii="宋体" w:eastAsia="宋体" w:hint="eastAsia"/>
                <w:sz w:val="21"/>
              </w:rPr>
            </w:pPr>
            <w:r>
              <w:rPr>
                <w:rFonts w:ascii="宋体" w:eastAsia="宋体" w:hint="eastAsia"/>
                <w:sz w:val="21"/>
              </w:rPr>
              <w:t>饮用水源保护区：饮水水源保护一</w:t>
            </w:r>
            <w:r>
              <w:rPr>
                <w:rFonts w:ascii="宋体" w:eastAsia="宋体" w:hint="eastAsia"/>
                <w:spacing w:val="-7"/>
                <w:sz w:val="21"/>
              </w:rPr>
              <w:t>级保护区内禁止建设养殖场。饮用水水源</w:t>
            </w:r>
            <w:r>
              <w:rPr>
                <w:rFonts w:ascii="宋体" w:eastAsia="宋体" w:hint="eastAsia"/>
                <w:spacing w:val="8"/>
                <w:sz w:val="21"/>
              </w:rPr>
              <w:t>二级保护区禁止建设有污染物排放的养</w:t>
            </w:r>
            <w:r>
              <w:rPr>
                <w:rFonts w:ascii="宋体" w:eastAsia="宋体" w:hint="eastAsia"/>
                <w:spacing w:val="4"/>
                <w:sz w:val="21"/>
              </w:rPr>
              <w:t>殖场。</w:t>
            </w:r>
            <w:r>
              <w:rPr>
                <w:rFonts w:ascii="宋体" w:eastAsia="宋体" w:hint="eastAsia"/>
                <w:spacing w:val="3"/>
                <w:sz w:val="21"/>
              </w:rPr>
              <w:t>（</w:t>
            </w:r>
            <w:r>
              <w:rPr>
                <w:spacing w:val="3"/>
                <w:sz w:val="21"/>
              </w:rPr>
              <w:t>5</w:t>
            </w:r>
            <w:r>
              <w:rPr>
                <w:rFonts w:ascii="宋体" w:eastAsia="宋体" w:hint="eastAsia"/>
                <w:spacing w:val="3"/>
                <w:sz w:val="21"/>
              </w:rPr>
              <w:t>）</w:t>
            </w:r>
            <w:r>
              <w:rPr>
                <w:rFonts w:ascii="宋体" w:eastAsia="宋体" w:hint="eastAsia"/>
                <w:sz w:val="21"/>
              </w:rPr>
              <w:t>法律法规规定需要特殊保护</w:t>
            </w:r>
          </w:p>
          <w:p>
            <w:pPr>
              <w:pStyle w:val="TableParagraph"/>
              <w:spacing w:line="262" w:lineRule="exact" w:before="0"/>
              <w:ind w:left="105"/>
              <w:jc w:val="left"/>
              <w:rPr>
                <w:rFonts w:ascii="宋体" w:eastAsia="宋体" w:hint="eastAsia"/>
                <w:sz w:val="21"/>
              </w:rPr>
            </w:pPr>
            <w:r>
              <w:rPr>
                <w:rFonts w:ascii="宋体" w:eastAsia="宋体" w:hint="eastAsia"/>
                <w:sz w:val="21"/>
              </w:rPr>
              <w:t>的其他禁止养殖区域。</w:t>
            </w:r>
          </w:p>
        </w:tc>
        <w:tc>
          <w:tcPr>
            <w:tcW w:w="2535"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319" w:lineRule="auto" w:before="173"/>
              <w:ind w:left="105" w:right="96"/>
              <w:jc w:val="both"/>
              <w:rPr>
                <w:rFonts w:ascii="宋体" w:eastAsia="宋体" w:hint="eastAsia"/>
                <w:sz w:val="21"/>
              </w:rPr>
            </w:pPr>
            <w:r>
              <w:rPr>
                <w:rFonts w:ascii="宋体" w:eastAsia="宋体" w:hint="eastAsia"/>
                <w:sz w:val="21"/>
              </w:rPr>
              <w:t>本项目选址不涉及城镇建成区、自然保护区、风景民生去、饮用水源保护区及其他法律法规规定的禁止养殖区。</w:t>
            </w:r>
          </w:p>
        </w:tc>
        <w:tc>
          <w:tcPr>
            <w:tcW w:w="1472" w:type="dxa"/>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6"/>
              <w:jc w:val="left"/>
              <w:rPr>
                <w:rFonts w:ascii="宋体"/>
                <w:b/>
                <w:sz w:val="29"/>
              </w:rPr>
            </w:pPr>
          </w:p>
          <w:p>
            <w:pPr>
              <w:pStyle w:val="TableParagraph"/>
              <w:spacing w:before="1"/>
              <w:ind w:left="186" w:right="180"/>
              <w:rPr>
                <w:rFonts w:ascii="宋体" w:eastAsia="宋体" w:hint="eastAsia"/>
                <w:sz w:val="21"/>
              </w:rPr>
            </w:pPr>
            <w:r>
              <w:rPr>
                <w:rFonts w:ascii="宋体" w:eastAsia="宋体" w:hint="eastAsia"/>
                <w:sz w:val="21"/>
              </w:rPr>
              <w:t>符合</w:t>
            </w:r>
          </w:p>
        </w:tc>
      </w:tr>
    </w:tbl>
    <w:p>
      <w:pPr>
        <w:pStyle w:val="BodyText"/>
        <w:spacing w:before="81"/>
        <w:ind w:left="717"/>
      </w:pPr>
      <w:r>
        <w:rPr/>
        <w:t>综上，本项目的选址与相关法律法规及规范中的选址要求是符合的。</w:t>
      </w:r>
    </w:p>
    <w:p>
      <w:pPr>
        <w:pStyle w:val="Heading3"/>
        <w:numPr>
          <w:ilvl w:val="2"/>
          <w:numId w:val="10"/>
        </w:numPr>
        <w:tabs>
          <w:tab w:pos="838" w:val="left" w:leader="none"/>
        </w:tabs>
        <w:spacing w:line="240" w:lineRule="auto" w:before="161" w:after="0"/>
        <w:ind w:left="837" w:right="0" w:hanging="601"/>
        <w:jc w:val="left"/>
      </w:pPr>
      <w:bookmarkStart w:name="_bookmark9" w:id="18"/>
      <w:bookmarkEnd w:id="18"/>
      <w:r>
        <w:rPr>
          <w:b w:val="0"/>
        </w:rPr>
      </w:r>
      <w:bookmarkStart w:name="_bookmark9" w:id="19"/>
      <w:bookmarkEnd w:id="19"/>
      <w:r>
        <w:rPr/>
        <w:t>评价类型及审批部门判定</w:t>
      </w:r>
    </w:p>
    <w:p>
      <w:pPr>
        <w:pStyle w:val="BodyText"/>
        <w:spacing w:line="364" w:lineRule="auto" w:before="161"/>
        <w:ind w:right="131" w:firstLine="480"/>
      </w:pPr>
      <w:r>
        <w:rPr>
          <w:spacing w:val="-13"/>
        </w:rPr>
        <w:t>根据《建设项目环境影响评价分类管理名录</w:t>
      </w:r>
      <w:r>
        <w:rPr/>
        <w:t>（</w:t>
      </w:r>
      <w:r>
        <w:rPr>
          <w:rFonts w:ascii="Times New Roman" w:hAnsi="Times New Roman" w:eastAsia="Times New Roman"/>
          <w:position w:val="1"/>
        </w:rPr>
        <w:t>2021 </w:t>
      </w:r>
      <w:r>
        <w:rPr/>
        <w:t>年版</w:t>
      </w:r>
      <w:r>
        <w:rPr>
          <w:spacing w:val="-75"/>
        </w:rPr>
        <w:t>）</w:t>
      </w:r>
      <w:r>
        <w:rPr>
          <w:spacing w:val="-149"/>
        </w:rPr>
        <w:t>》</w:t>
      </w:r>
      <w:r>
        <w:rPr/>
        <w:t>（</w:t>
      </w:r>
      <w:r>
        <w:rPr>
          <w:spacing w:val="-8"/>
        </w:rPr>
        <w:t>生态环境部令第 </w:t>
      </w:r>
      <w:r>
        <w:rPr>
          <w:rFonts w:ascii="Times New Roman" w:hAnsi="Times New Roman" w:eastAsia="Times New Roman"/>
          <w:position w:val="1"/>
        </w:rPr>
        <w:t>16 </w:t>
      </w:r>
      <w:r>
        <w:rPr/>
        <w:t>号</w:t>
      </w:r>
      <w:r>
        <w:rPr>
          <w:spacing w:val="-45"/>
        </w:rPr>
        <w:t>）， </w:t>
      </w:r>
      <w:r>
        <w:rPr/>
        <w:t>本项目属于</w:t>
      </w:r>
      <w:r>
        <w:rPr>
          <w:rFonts w:ascii="Times New Roman" w:hAnsi="Times New Roman" w:eastAsia="Times New Roman"/>
          <w:position w:val="1"/>
        </w:rPr>
        <w:t>“</w:t>
      </w:r>
      <w:r>
        <w:rPr>
          <w:spacing w:val="-25"/>
        </w:rPr>
        <w:t>二、畜牧业 </w:t>
      </w:r>
      <w:r>
        <w:rPr>
          <w:rFonts w:ascii="Times New Roman" w:hAnsi="Times New Roman" w:eastAsia="Times New Roman"/>
          <w:position w:val="1"/>
        </w:rPr>
        <w:t>03”</w:t>
      </w:r>
      <w:r>
        <w:rPr>
          <w:spacing w:val="-20"/>
        </w:rPr>
        <w:t>中第 </w:t>
      </w:r>
      <w:r>
        <w:rPr>
          <w:rFonts w:ascii="Times New Roman" w:hAnsi="Times New Roman" w:eastAsia="Times New Roman"/>
          <w:position w:val="1"/>
        </w:rPr>
        <w:t>3 </w:t>
      </w:r>
      <w:r>
        <w:rPr/>
        <w:t>项</w:t>
      </w:r>
      <w:r>
        <w:rPr>
          <w:rFonts w:ascii="Times New Roman" w:hAnsi="Times New Roman" w:eastAsia="Times New Roman"/>
          <w:position w:val="1"/>
        </w:rPr>
        <w:t>“</w:t>
      </w:r>
      <w:r>
        <w:rPr>
          <w:spacing w:val="-12"/>
        </w:rPr>
        <w:t>牲畜饲养 </w:t>
      </w:r>
      <w:r>
        <w:rPr>
          <w:rFonts w:ascii="Times New Roman" w:hAnsi="Times New Roman" w:eastAsia="Times New Roman"/>
          <w:position w:val="1"/>
        </w:rPr>
        <w:t>031”</w:t>
      </w:r>
      <w:r>
        <w:rPr/>
        <w:t>中</w:t>
      </w:r>
      <w:r>
        <w:rPr>
          <w:rFonts w:ascii="Times New Roman" w:hAnsi="Times New Roman" w:eastAsia="Times New Roman"/>
          <w:position w:val="1"/>
        </w:rPr>
        <w:t>“</w:t>
      </w:r>
      <w:r>
        <w:rPr>
          <w:spacing w:val="-10"/>
        </w:rPr>
        <w:t>年出栏生猪 </w:t>
      </w:r>
      <w:r>
        <w:rPr>
          <w:rFonts w:ascii="Times New Roman" w:hAnsi="Times New Roman" w:eastAsia="Times New Roman"/>
          <w:position w:val="1"/>
        </w:rPr>
        <w:t>5000 </w:t>
      </w:r>
      <w:r>
        <w:rPr/>
        <w:t>头及以上的规模化畜禽养殖</w:t>
      </w:r>
      <w:r>
        <w:rPr>
          <w:rFonts w:ascii="Times New Roman" w:hAnsi="Times New Roman" w:eastAsia="Times New Roman"/>
          <w:position w:val="1"/>
        </w:rPr>
        <w:t>”</w:t>
      </w:r>
      <w:r>
        <w:rPr/>
        <w:t>项目，故环评文件编制类型应为报告书。根据《关于发布</w:t>
      </w:r>
      <w:r>
        <w:rPr>
          <w:rFonts w:ascii="Times New Roman" w:hAnsi="Times New Roman" w:eastAsia="Times New Roman"/>
          <w:position w:val="1"/>
        </w:rPr>
        <w:t>&lt;</w:t>
      </w:r>
      <w:r>
        <w:rPr/>
        <w:t>生态环境部审批环境影响评价文件的建设项目目录（</w:t>
      </w:r>
      <w:r>
        <w:rPr>
          <w:rFonts w:ascii="Times New Roman" w:hAnsi="Times New Roman" w:eastAsia="Times New Roman"/>
          <w:position w:val="1"/>
        </w:rPr>
        <w:t>2019 </w:t>
      </w:r>
      <w:r>
        <w:rPr/>
        <w:t>年本）</w:t>
      </w:r>
      <w:r>
        <w:rPr>
          <w:rFonts w:ascii="Times New Roman" w:hAnsi="Times New Roman" w:eastAsia="Times New Roman"/>
          <w:position w:val="1"/>
        </w:rPr>
        <w:t>&gt;</w:t>
      </w:r>
      <w:r>
        <w:rPr/>
        <w:t>的公告》（</w:t>
      </w:r>
      <w:r>
        <w:rPr>
          <w:spacing w:val="-7"/>
        </w:rPr>
        <w:t>生态环境部公告 </w:t>
      </w:r>
      <w:r>
        <w:rPr>
          <w:rFonts w:ascii="Times New Roman" w:hAnsi="Times New Roman" w:eastAsia="Times New Roman"/>
          <w:position w:val="1"/>
        </w:rPr>
        <w:t>2019 </w:t>
      </w:r>
      <w:r>
        <w:rPr/>
        <w:t>年第</w:t>
      </w:r>
      <w:r>
        <w:rPr>
          <w:rFonts w:ascii="Times New Roman" w:hAnsi="Times New Roman" w:eastAsia="Times New Roman"/>
          <w:position w:val="1"/>
        </w:rPr>
        <w:t>8</w:t>
      </w:r>
      <w:r>
        <w:rPr>
          <w:rFonts w:ascii="Times New Roman" w:hAnsi="Times New Roman" w:eastAsia="Times New Roman"/>
          <w:spacing w:val="18"/>
          <w:position w:val="1"/>
        </w:rPr>
        <w:t> </w:t>
      </w:r>
      <w:r>
        <w:rPr/>
        <w:t>号）、《浙江省生态环境厅关于发布</w:t>
      </w:r>
      <w:r>
        <w:rPr>
          <w:rFonts w:ascii="Times New Roman" w:hAnsi="Times New Roman" w:eastAsia="Times New Roman"/>
          <w:position w:val="1"/>
        </w:rPr>
        <w:t>&lt;</w:t>
      </w:r>
      <w:r>
        <w:rPr/>
        <w:t>省生态环境主管部门负责审批环境影响评价文件的</w:t>
      </w:r>
      <w:r>
        <w:rPr>
          <w:spacing w:val="-3"/>
        </w:rPr>
        <w:t>建设项目清单</w:t>
      </w:r>
      <w:r>
        <w:rPr/>
        <w:t>（</w:t>
      </w:r>
      <w:r>
        <w:rPr>
          <w:rFonts w:ascii="Times New Roman" w:hAnsi="Times New Roman" w:eastAsia="Times New Roman"/>
          <w:position w:val="1"/>
        </w:rPr>
        <w:t>2019 </w:t>
      </w:r>
      <w:r>
        <w:rPr/>
        <w:t>年本</w:t>
      </w:r>
      <w:r>
        <w:rPr>
          <w:spacing w:val="-8"/>
        </w:rPr>
        <w:t>）</w:t>
      </w:r>
      <w:r>
        <w:rPr>
          <w:rFonts w:ascii="Times New Roman" w:hAnsi="Times New Roman" w:eastAsia="Times New Roman"/>
          <w:spacing w:val="-8"/>
          <w:position w:val="1"/>
        </w:rPr>
        <w:t>&gt;</w:t>
      </w:r>
      <w:r>
        <w:rPr>
          <w:spacing w:val="-7"/>
        </w:rPr>
        <w:t>的通知》</w:t>
      </w:r>
      <w:r>
        <w:rPr/>
        <w:t>（浙环发</w:t>
      </w:r>
      <w:r>
        <w:rPr>
          <w:rFonts w:ascii="Times New Roman" w:hAnsi="Times New Roman" w:eastAsia="Times New Roman"/>
          <w:position w:val="1"/>
        </w:rPr>
        <w:t>[2019]22 </w:t>
      </w:r>
      <w:r>
        <w:rPr>
          <w:spacing w:val="-6"/>
        </w:rPr>
        <w:t>号、《绍兴市生态环境局关于</w:t>
      </w:r>
    </w:p>
    <w:p>
      <w:pPr>
        <w:spacing w:after="0" w:line="364" w:lineRule="auto"/>
        <w:sectPr>
          <w:pgSz w:w="11910" w:h="16840"/>
          <w:pgMar w:header="874" w:footer="1004" w:top="1400" w:bottom="1200" w:left="1040" w:right="1160"/>
        </w:sectPr>
      </w:pPr>
    </w:p>
    <w:p>
      <w:pPr>
        <w:pStyle w:val="BodyText"/>
        <w:spacing w:line="364" w:lineRule="auto" w:before="121"/>
        <w:ind w:right="248"/>
        <w:jc w:val="both"/>
      </w:pPr>
      <w:r>
        <w:rPr/>
        <w:t>授权各分局办理部分行政许可事项的通知》（绍市环发</w:t>
      </w:r>
      <w:r>
        <w:rPr>
          <w:rFonts w:ascii="Times New Roman" w:eastAsia="Times New Roman"/>
          <w:position w:val="1"/>
        </w:rPr>
        <w:t>[2020]10 </w:t>
      </w:r>
      <w:r>
        <w:rPr/>
        <w:t>号））等文件，项目不属于生态环境部、省生态环境厅和绍兴市生态环境局负责审批的目录。</w:t>
      </w:r>
    </w:p>
    <w:p>
      <w:pPr>
        <w:pStyle w:val="BodyText"/>
        <w:spacing w:line="364" w:lineRule="auto" w:before="1"/>
        <w:ind w:right="134" w:firstLine="480"/>
        <w:jc w:val="both"/>
      </w:pPr>
      <w:r>
        <w:rPr/>
        <w:t>同时，根据《关于进一步做好当前生猪规模养殖环评管理相关工作的通知》（环办环评函</w:t>
      </w:r>
      <w:r>
        <w:rPr>
          <w:rFonts w:ascii="Times New Roman" w:eastAsia="Times New Roman"/>
          <w:position w:val="1"/>
        </w:rPr>
        <w:t>[2019]872 </w:t>
      </w:r>
      <w:r>
        <w:rPr/>
        <w:t>号）</w:t>
      </w:r>
      <w:r>
        <w:rPr>
          <w:spacing w:val="-2"/>
        </w:rPr>
        <w:t>、《浙江省生态环境厅关于贯彻落实生态环境部办公厅农业农村部</w:t>
      </w:r>
      <w:r>
        <w:rPr>
          <w:spacing w:val="-3"/>
        </w:rPr>
        <w:t>办公厅进一步做好生猪规模养殖环评管理相关工作通知的函》</w:t>
      </w:r>
      <w:r>
        <w:rPr/>
        <w:t>（浙环便函</w:t>
      </w:r>
      <w:r>
        <w:rPr>
          <w:rFonts w:ascii="Times New Roman" w:eastAsia="Times New Roman"/>
          <w:position w:val="1"/>
        </w:rPr>
        <w:t>[2020]46 </w:t>
      </w:r>
      <w:r>
        <w:rPr/>
        <w:t>号</w:t>
      </w:r>
      <w:r>
        <w:rPr>
          <w:spacing w:val="-3"/>
        </w:rPr>
        <w:t>）</w:t>
      </w:r>
      <w:r>
        <w:rPr>
          <w:spacing w:val="-16"/>
        </w:rPr>
        <w:t>、</w:t>
      </w:r>
    </w:p>
    <w:p>
      <w:pPr>
        <w:pStyle w:val="BodyText"/>
        <w:spacing w:line="364" w:lineRule="auto" w:before="2"/>
        <w:ind w:right="244"/>
        <w:jc w:val="both"/>
      </w:pPr>
      <w:r>
        <w:rPr/>
        <w:t>《浙江省生态环境厅关于贯彻落实环评审批正面清单的函》（浙环函</w:t>
      </w:r>
      <w:r>
        <w:rPr>
          <w:rFonts w:ascii="Times New Roman" w:hAnsi="Times New Roman" w:eastAsia="Times New Roman"/>
          <w:position w:val="1"/>
        </w:rPr>
        <w:t>[2020]94 </w:t>
      </w:r>
      <w:r>
        <w:rPr/>
        <w:t>号）等文件规定，本项目属于</w:t>
      </w:r>
      <w:r>
        <w:rPr>
          <w:rFonts w:ascii="Times New Roman" w:hAnsi="Times New Roman" w:eastAsia="Times New Roman"/>
          <w:position w:val="1"/>
        </w:rPr>
        <w:t>“</w:t>
      </w:r>
      <w:r>
        <w:rPr/>
        <w:t>环境影响评价审批正面清单</w:t>
      </w:r>
      <w:r>
        <w:rPr>
          <w:rFonts w:ascii="Times New Roman" w:hAnsi="Times New Roman" w:eastAsia="Times New Roman"/>
          <w:position w:val="1"/>
        </w:rPr>
        <w:t>”</w:t>
      </w:r>
      <w:r>
        <w:rPr/>
        <w:t>内</w:t>
      </w:r>
      <w:r>
        <w:rPr>
          <w:rFonts w:ascii="Times New Roman" w:hAnsi="Times New Roman" w:eastAsia="Times New Roman"/>
          <w:position w:val="1"/>
        </w:rPr>
        <w:t>“</w:t>
      </w:r>
      <w:r>
        <w:rPr/>
        <w:t>环评告知承诺制审批改革试点范围</w:t>
      </w:r>
      <w:r>
        <w:rPr>
          <w:rFonts w:ascii="Times New Roman" w:hAnsi="Times New Roman" w:eastAsia="Times New Roman"/>
          <w:position w:val="1"/>
        </w:rPr>
        <w:t>”</w:t>
      </w:r>
      <w:r>
        <w:rPr/>
        <w:t>，可实施告知承诺制审批。</w:t>
      </w:r>
    </w:p>
    <w:p>
      <w:pPr>
        <w:pStyle w:val="BodyText"/>
        <w:spacing w:before="3"/>
        <w:ind w:left="717"/>
      </w:pPr>
      <w:r>
        <w:rPr/>
        <w:t>因此，本项目由绍兴市柯桥区行政审批局采用告知承诺制审批。</w:t>
      </w:r>
    </w:p>
    <w:p>
      <w:pPr>
        <w:pStyle w:val="Heading2"/>
        <w:numPr>
          <w:ilvl w:val="1"/>
          <w:numId w:val="10"/>
        </w:numPr>
        <w:tabs>
          <w:tab w:pos="730" w:val="left" w:leader="none"/>
        </w:tabs>
        <w:spacing w:line="240" w:lineRule="auto" w:before="211" w:after="0"/>
        <w:ind w:left="729" w:right="0" w:hanging="493"/>
        <w:jc w:val="left"/>
      </w:pPr>
      <w:bookmarkStart w:name="_bookmark10" w:id="20"/>
      <w:bookmarkEnd w:id="20"/>
      <w:r>
        <w:rPr>
          <w:b w:val="0"/>
        </w:rPr>
      </w:r>
      <w:bookmarkStart w:name="_bookmark10" w:id="21"/>
      <w:bookmarkEnd w:id="21"/>
      <w:r>
        <w:rPr/>
        <w:t>评价关注的主要环境问题及环境影响</w:t>
      </w:r>
    </w:p>
    <w:p>
      <w:pPr>
        <w:pStyle w:val="BodyText"/>
        <w:spacing w:line="364" w:lineRule="auto" w:before="214"/>
        <w:ind w:right="248" w:firstLine="480"/>
        <w:jc w:val="both"/>
      </w:pPr>
      <w:r>
        <w:rPr/>
        <w:t>根据本项目的建设特点和所在区域的环境特征，确定本项目所需关注的环境问题主要为养殖场恶臭气体对周边大气环境的影响，废水处置不当对周边地表水及绍兴市污水厂的影响，牲畜粪便的资源化利用、养殖过程中的环境风险事故等。本评价将以环境空气影响分析、水环境影响分析和污染防治措施分析为重点，注重污染达标排放和环保措施技术可行性分析，兼顾声环境影响分析和环境风险防范。</w:t>
      </w:r>
    </w:p>
    <w:p>
      <w:pPr>
        <w:pStyle w:val="Heading2"/>
        <w:numPr>
          <w:ilvl w:val="1"/>
          <w:numId w:val="10"/>
        </w:numPr>
        <w:tabs>
          <w:tab w:pos="730" w:val="left" w:leader="none"/>
        </w:tabs>
        <w:spacing w:line="240" w:lineRule="auto" w:before="55" w:after="0"/>
        <w:ind w:left="729" w:right="0" w:hanging="493"/>
        <w:jc w:val="left"/>
      </w:pPr>
      <w:bookmarkStart w:name="_bookmark11" w:id="22"/>
      <w:bookmarkEnd w:id="22"/>
      <w:r>
        <w:rPr>
          <w:b w:val="0"/>
        </w:rPr>
      </w:r>
      <w:bookmarkStart w:name="_bookmark11" w:id="23"/>
      <w:bookmarkEnd w:id="23"/>
      <w:r>
        <w:rPr/>
        <w:t>报告书主要结论</w:t>
      </w:r>
    </w:p>
    <w:p>
      <w:pPr>
        <w:pStyle w:val="BodyText"/>
        <w:spacing w:line="364" w:lineRule="auto" w:before="214"/>
        <w:ind w:right="131" w:firstLine="480"/>
        <w:jc w:val="both"/>
      </w:pPr>
      <w:r>
        <w:rPr/>
        <w:t>天圣集团农业生态产业链项目—生猪养殖位于绍兴市柯桥区柯岩街道丰项村，选址</w:t>
      </w:r>
      <w:r>
        <w:rPr>
          <w:spacing w:val="-4"/>
        </w:rPr>
        <w:t>符合城乡总体规划及土地利用规划，符合</w:t>
      </w:r>
      <w:r>
        <w:rPr>
          <w:rFonts w:ascii="Times New Roman" w:hAnsi="Times New Roman" w:eastAsia="Times New Roman"/>
          <w:position w:val="1"/>
        </w:rPr>
        <w:t>“</w:t>
      </w:r>
      <w:r>
        <w:rPr/>
        <w:t>三线一单</w:t>
      </w:r>
      <w:r>
        <w:rPr>
          <w:rFonts w:ascii="Times New Roman" w:hAnsi="Times New Roman" w:eastAsia="Times New Roman"/>
          <w:position w:val="1"/>
        </w:rPr>
        <w:t>”</w:t>
      </w:r>
      <w:r>
        <w:rPr>
          <w:spacing w:val="-5"/>
        </w:rPr>
        <w:t>生态环境分区管控方案要求。项目建设符合国家及地方产业政策，污染物排放符合国家、省规定的排放标准及主要污染物排放总量控制指标，符合环境风险防范措施的要求。经预测，项目须设置大气环境防护距</w:t>
      </w:r>
      <w:r>
        <w:rPr>
          <w:spacing w:val="-4"/>
        </w:rPr>
        <w:t>离，可确保防护距离外的空气环境质量达标；其他环境要素也能达到相应的环境质量目</w:t>
      </w:r>
      <w:r>
        <w:rPr>
          <w:spacing w:val="-7"/>
        </w:rPr>
        <w:t>标要求。根据建设单位编制的公众参与说明材料，项目环评期间未收到相关意见及建议。</w:t>
      </w:r>
    </w:p>
    <w:p>
      <w:pPr>
        <w:pStyle w:val="BodyText"/>
        <w:spacing w:before="4"/>
        <w:ind w:left="717"/>
      </w:pPr>
      <w:r>
        <w:rPr/>
        <w:t>因此，从环境保护角度看，项目的建设是可行的。</w:t>
      </w:r>
    </w:p>
    <w:p>
      <w:pPr>
        <w:spacing w:after="0"/>
        <w:sectPr>
          <w:pgSz w:w="11910" w:h="16840"/>
          <w:pgMar w:header="874" w:footer="1004" w:top="1400" w:bottom="1200" w:left="1040" w:right="1160"/>
        </w:sectPr>
      </w:pPr>
    </w:p>
    <w:p>
      <w:pPr>
        <w:pStyle w:val="BodyText"/>
        <w:spacing w:before="12"/>
        <w:ind w:left="0"/>
        <w:rPr>
          <w:sz w:val="7"/>
        </w:rPr>
      </w:pPr>
    </w:p>
    <w:p>
      <w:pPr>
        <w:pStyle w:val="Heading1"/>
        <w:spacing w:before="58"/>
      </w:pPr>
      <w:bookmarkStart w:name="_bookmark12" w:id="24"/>
      <w:bookmarkEnd w:id="24"/>
      <w:r>
        <w:rPr>
          <w:b w:val="0"/>
        </w:rPr>
      </w:r>
      <w:r>
        <w:rPr/>
        <w:t>第二章 总则</w:t>
      </w:r>
    </w:p>
    <w:p>
      <w:pPr>
        <w:pStyle w:val="Heading2"/>
        <w:numPr>
          <w:ilvl w:val="1"/>
          <w:numId w:val="12"/>
        </w:numPr>
        <w:tabs>
          <w:tab w:pos="730" w:val="left" w:leader="none"/>
        </w:tabs>
        <w:spacing w:line="240" w:lineRule="auto" w:before="252" w:after="0"/>
        <w:ind w:left="729" w:right="0" w:hanging="493"/>
        <w:jc w:val="left"/>
        <w:rPr>
          <w:rFonts w:ascii="Times New Roman" w:eastAsia="Times New Roman"/>
        </w:rPr>
      </w:pPr>
      <w:bookmarkStart w:name="_bookmark13" w:id="25"/>
      <w:bookmarkEnd w:id="25"/>
      <w:r>
        <w:rPr>
          <w:b w:val="0"/>
        </w:rPr>
      </w:r>
      <w:bookmarkStart w:name="_bookmark13" w:id="26"/>
      <w:bookmarkEnd w:id="26"/>
      <w:r>
        <w:rPr/>
        <w:t>编制依据</w:t>
      </w:r>
    </w:p>
    <w:p>
      <w:pPr>
        <w:pStyle w:val="Heading3"/>
        <w:numPr>
          <w:ilvl w:val="2"/>
          <w:numId w:val="12"/>
        </w:numPr>
        <w:tabs>
          <w:tab w:pos="838" w:val="left" w:leader="none"/>
        </w:tabs>
        <w:spacing w:line="240" w:lineRule="auto" w:before="214" w:after="0"/>
        <w:ind w:left="837" w:right="0" w:hanging="601"/>
        <w:jc w:val="left"/>
      </w:pPr>
      <w:bookmarkStart w:name="_bookmark14" w:id="27"/>
      <w:bookmarkEnd w:id="27"/>
      <w:r>
        <w:rPr>
          <w:b w:val="0"/>
        </w:rPr>
      </w:r>
      <w:bookmarkStart w:name="_bookmark14" w:id="28"/>
      <w:bookmarkEnd w:id="28"/>
      <w:r>
        <w:rPr/>
        <w:t>国家法律</w:t>
      </w:r>
    </w:p>
    <w:p>
      <w:pPr>
        <w:pStyle w:val="BodyText"/>
        <w:spacing w:before="161"/>
        <w:ind w:left="717"/>
      </w:pPr>
      <w:r>
        <w:rPr>
          <w:rFonts w:ascii="Times New Roman" w:eastAsia="Times New Roman"/>
          <w:position w:val="1"/>
        </w:rPr>
        <w:t>1</w:t>
      </w:r>
      <w:r>
        <w:rPr/>
        <w:t>、《中华人民共和国环境保护法》，主席令第 </w:t>
      </w:r>
      <w:r>
        <w:rPr>
          <w:rFonts w:ascii="Times New Roman" w:eastAsia="Times New Roman"/>
          <w:position w:val="1"/>
        </w:rPr>
        <w:t>9 </w:t>
      </w:r>
      <w:r>
        <w:rPr/>
        <w:t>号，</w:t>
      </w:r>
      <w:r>
        <w:rPr>
          <w:rFonts w:ascii="Times New Roman" w:eastAsia="Times New Roman"/>
          <w:position w:val="1"/>
        </w:rPr>
        <w:t>2015.1.1 </w:t>
      </w:r>
      <w:r>
        <w:rPr/>
        <w:t>起施行；</w:t>
      </w:r>
    </w:p>
    <w:p>
      <w:pPr>
        <w:pStyle w:val="BodyText"/>
        <w:spacing w:before="160"/>
        <w:ind w:left="717"/>
      </w:pPr>
      <w:r>
        <w:rPr>
          <w:rFonts w:ascii="Times New Roman" w:eastAsia="Times New Roman"/>
          <w:position w:val="1"/>
        </w:rPr>
        <w:t>2</w:t>
      </w:r>
      <w:r>
        <w:rPr/>
        <w:t>、《中华人民共和国环境影响评价法》，席令第 </w:t>
      </w:r>
      <w:r>
        <w:rPr>
          <w:rFonts w:ascii="Times New Roman" w:eastAsia="Times New Roman"/>
          <w:position w:val="1"/>
        </w:rPr>
        <w:t>77 </w:t>
      </w:r>
      <w:r>
        <w:rPr/>
        <w:t>号，</w:t>
      </w:r>
      <w:r>
        <w:rPr>
          <w:rFonts w:ascii="Times New Roman" w:eastAsia="Times New Roman"/>
          <w:position w:val="1"/>
        </w:rPr>
        <w:t>2018.12.29 </w:t>
      </w:r>
      <w:r>
        <w:rPr/>
        <w:t>起施行；</w:t>
      </w:r>
    </w:p>
    <w:p>
      <w:pPr>
        <w:pStyle w:val="BodyText"/>
        <w:spacing w:before="161"/>
        <w:ind w:left="717"/>
      </w:pPr>
      <w:r>
        <w:rPr>
          <w:rFonts w:ascii="Times New Roman" w:eastAsia="Times New Roman"/>
          <w:position w:val="1"/>
        </w:rPr>
        <w:t>3</w:t>
      </w:r>
      <w:r>
        <w:rPr/>
        <w:t>、《中华人民共和国大气污染防治法》，主席令第 </w:t>
      </w:r>
      <w:r>
        <w:rPr>
          <w:rFonts w:ascii="Times New Roman" w:eastAsia="Times New Roman"/>
          <w:position w:val="1"/>
        </w:rPr>
        <w:t>31 </w:t>
      </w:r>
      <w:r>
        <w:rPr/>
        <w:t>号，</w:t>
      </w:r>
      <w:r>
        <w:rPr>
          <w:rFonts w:ascii="Times New Roman" w:eastAsia="Times New Roman"/>
          <w:position w:val="1"/>
        </w:rPr>
        <w:t>2018.10.26 </w:t>
      </w:r>
      <w:r>
        <w:rPr/>
        <w:t>起施行；</w:t>
      </w:r>
    </w:p>
    <w:p>
      <w:pPr>
        <w:pStyle w:val="BodyText"/>
        <w:spacing w:before="160"/>
        <w:ind w:left="717"/>
      </w:pPr>
      <w:r>
        <w:rPr>
          <w:rFonts w:ascii="Times New Roman" w:eastAsia="Times New Roman"/>
          <w:position w:val="1"/>
        </w:rPr>
        <w:t>4</w:t>
      </w:r>
      <w:r>
        <w:rPr/>
        <w:t>、《中华人民共和国水污染防治法》，主席令第 </w:t>
      </w:r>
      <w:r>
        <w:rPr>
          <w:rFonts w:ascii="Times New Roman" w:eastAsia="Times New Roman"/>
          <w:position w:val="1"/>
        </w:rPr>
        <w:t>70 </w:t>
      </w:r>
      <w:r>
        <w:rPr/>
        <w:t>号，</w:t>
      </w:r>
      <w:r>
        <w:rPr>
          <w:rFonts w:ascii="Times New Roman" w:eastAsia="Times New Roman"/>
          <w:position w:val="1"/>
        </w:rPr>
        <w:t>2018.1.1 </w:t>
      </w:r>
      <w:r>
        <w:rPr/>
        <w:t>起施行；</w:t>
      </w:r>
    </w:p>
    <w:p>
      <w:pPr>
        <w:pStyle w:val="BodyText"/>
        <w:spacing w:before="161"/>
        <w:ind w:left="717"/>
      </w:pPr>
      <w:r>
        <w:rPr>
          <w:rFonts w:ascii="Times New Roman" w:eastAsia="Times New Roman"/>
          <w:position w:val="1"/>
        </w:rPr>
        <w:t>5</w:t>
      </w:r>
      <w:r>
        <w:rPr>
          <w:spacing w:val="-3"/>
        </w:rPr>
        <w:t>、《中华人民共和国环境噪声污染防治法》，主席令第 </w:t>
      </w:r>
      <w:r>
        <w:rPr>
          <w:rFonts w:ascii="Times New Roman" w:eastAsia="Times New Roman"/>
          <w:position w:val="1"/>
        </w:rPr>
        <w:t>77 </w:t>
      </w:r>
      <w:r>
        <w:rPr/>
        <w:t>号，</w:t>
      </w:r>
      <w:r>
        <w:rPr>
          <w:rFonts w:ascii="Times New Roman" w:eastAsia="Times New Roman"/>
          <w:position w:val="1"/>
        </w:rPr>
        <w:t>2018.12.29 </w:t>
      </w:r>
      <w:r>
        <w:rPr/>
        <w:t>起施行；</w:t>
      </w:r>
    </w:p>
    <w:p>
      <w:pPr>
        <w:pStyle w:val="BodyText"/>
        <w:spacing w:before="161"/>
        <w:ind w:left="717"/>
      </w:pPr>
      <w:r>
        <w:rPr>
          <w:rFonts w:ascii="Times New Roman" w:eastAsia="Times New Roman"/>
          <w:position w:val="1"/>
        </w:rPr>
        <w:t>6</w:t>
      </w:r>
      <w:r>
        <w:rPr>
          <w:spacing w:val="-16"/>
        </w:rPr>
        <w:t>、《中华人民共和国固体废物污染环境防治法》，主席令第 </w:t>
      </w:r>
      <w:r>
        <w:rPr>
          <w:rFonts w:ascii="Times New Roman" w:eastAsia="Times New Roman"/>
          <w:position w:val="1"/>
        </w:rPr>
        <w:t>43</w:t>
      </w:r>
      <w:r>
        <w:rPr>
          <w:rFonts w:ascii="Times New Roman" w:eastAsia="Times New Roman"/>
          <w:spacing w:val="1"/>
          <w:position w:val="1"/>
        </w:rPr>
        <w:t> </w:t>
      </w:r>
      <w:r>
        <w:rPr>
          <w:spacing w:val="-3"/>
        </w:rPr>
        <w:t>号，</w:t>
      </w:r>
      <w:r>
        <w:rPr>
          <w:rFonts w:ascii="Times New Roman" w:eastAsia="Times New Roman"/>
          <w:spacing w:val="-5"/>
          <w:position w:val="1"/>
        </w:rPr>
        <w:t>2020.9.1</w:t>
      </w:r>
      <w:r>
        <w:rPr>
          <w:rFonts w:ascii="Times New Roman" w:eastAsia="Times New Roman"/>
          <w:spacing w:val="2"/>
          <w:position w:val="1"/>
        </w:rPr>
        <w:t> </w:t>
      </w:r>
      <w:r>
        <w:rPr/>
        <w:t>起施行；</w:t>
      </w:r>
    </w:p>
    <w:p>
      <w:pPr>
        <w:pStyle w:val="BodyText"/>
        <w:spacing w:before="160"/>
        <w:ind w:left="717"/>
      </w:pPr>
      <w:r>
        <w:rPr>
          <w:rFonts w:ascii="Times New Roman" w:eastAsia="Times New Roman"/>
          <w:position w:val="1"/>
        </w:rPr>
        <w:t>7</w:t>
      </w:r>
      <w:r>
        <w:rPr/>
        <w:t>、《中华人民共和国土壤污染防治法》，主席令第 </w:t>
      </w:r>
      <w:r>
        <w:rPr>
          <w:rFonts w:ascii="Times New Roman" w:eastAsia="Times New Roman"/>
          <w:position w:val="1"/>
        </w:rPr>
        <w:t>8 </w:t>
      </w:r>
      <w:r>
        <w:rPr/>
        <w:t>号，</w:t>
      </w:r>
      <w:r>
        <w:rPr>
          <w:rFonts w:ascii="Times New Roman" w:eastAsia="Times New Roman"/>
          <w:position w:val="1"/>
        </w:rPr>
        <w:t>2019.1.1 </w:t>
      </w:r>
      <w:r>
        <w:rPr/>
        <w:t>起施行；</w:t>
      </w:r>
    </w:p>
    <w:p>
      <w:pPr>
        <w:pStyle w:val="BodyText"/>
        <w:spacing w:before="161"/>
        <w:ind w:left="717"/>
      </w:pPr>
      <w:r>
        <w:rPr>
          <w:rFonts w:ascii="Times New Roman" w:eastAsia="Times New Roman"/>
          <w:position w:val="1"/>
        </w:rPr>
        <w:t>8</w:t>
      </w:r>
      <w:r>
        <w:rPr/>
        <w:t>、《中华人民共和国循环经济促进法》，主席令第 </w:t>
      </w:r>
      <w:r>
        <w:rPr>
          <w:rFonts w:ascii="Times New Roman" w:eastAsia="Times New Roman"/>
          <w:position w:val="1"/>
        </w:rPr>
        <w:t>16 </w:t>
      </w:r>
      <w:r>
        <w:rPr/>
        <w:t>号，</w:t>
      </w:r>
      <w:r>
        <w:rPr>
          <w:rFonts w:ascii="Times New Roman" w:eastAsia="Times New Roman"/>
          <w:position w:val="1"/>
        </w:rPr>
        <w:t>2018.10.26 </w:t>
      </w:r>
      <w:r>
        <w:rPr/>
        <w:t>起施行；</w:t>
      </w:r>
    </w:p>
    <w:p>
      <w:pPr>
        <w:pStyle w:val="BodyText"/>
        <w:spacing w:before="160"/>
        <w:ind w:left="717"/>
      </w:pPr>
      <w:r>
        <w:rPr>
          <w:rFonts w:ascii="Times New Roman" w:eastAsia="Times New Roman"/>
          <w:position w:val="1"/>
        </w:rPr>
        <w:t>9</w:t>
      </w:r>
      <w:r>
        <w:rPr/>
        <w:t>、《中华人民共和国清洁生产促进法》，主席令第 </w:t>
      </w:r>
      <w:r>
        <w:rPr>
          <w:rFonts w:ascii="Times New Roman" w:eastAsia="Times New Roman"/>
          <w:position w:val="1"/>
        </w:rPr>
        <w:t>54 </w:t>
      </w:r>
      <w:r>
        <w:rPr/>
        <w:t>号，</w:t>
      </w:r>
      <w:r>
        <w:rPr>
          <w:rFonts w:ascii="Times New Roman" w:eastAsia="Times New Roman"/>
          <w:position w:val="1"/>
        </w:rPr>
        <w:t>2012.7.1 </w:t>
      </w:r>
      <w:r>
        <w:rPr/>
        <w:t>起施行。</w:t>
      </w:r>
    </w:p>
    <w:p>
      <w:pPr>
        <w:pStyle w:val="Heading3"/>
        <w:numPr>
          <w:ilvl w:val="2"/>
          <w:numId w:val="12"/>
        </w:numPr>
        <w:tabs>
          <w:tab w:pos="838" w:val="left" w:leader="none"/>
        </w:tabs>
        <w:spacing w:line="240" w:lineRule="auto" w:before="161" w:after="0"/>
        <w:ind w:left="837" w:right="0" w:hanging="601"/>
        <w:jc w:val="left"/>
      </w:pPr>
      <w:bookmarkStart w:name="_bookmark15" w:id="29"/>
      <w:bookmarkEnd w:id="29"/>
      <w:r>
        <w:rPr>
          <w:b w:val="0"/>
        </w:rPr>
      </w:r>
      <w:bookmarkStart w:name="_bookmark15" w:id="30"/>
      <w:bookmarkEnd w:id="30"/>
      <w:r>
        <w:rPr/>
        <w:t>国务院行政法规及部门规章</w:t>
      </w:r>
    </w:p>
    <w:p>
      <w:pPr>
        <w:pStyle w:val="BodyText"/>
        <w:spacing w:before="160"/>
        <w:ind w:left="717"/>
      </w:pPr>
      <w:r>
        <w:rPr>
          <w:rFonts w:ascii="Times New Roman" w:eastAsia="Times New Roman"/>
          <w:position w:val="1"/>
        </w:rPr>
        <w:t>1</w:t>
      </w:r>
      <w:r>
        <w:rPr/>
        <w:t>、《建设项目环境保护管理条例》，国务院令第 </w:t>
      </w:r>
      <w:r>
        <w:rPr>
          <w:rFonts w:ascii="Times New Roman" w:eastAsia="Times New Roman"/>
          <w:position w:val="1"/>
        </w:rPr>
        <w:t>682 </w:t>
      </w:r>
      <w:r>
        <w:rPr/>
        <w:t>号，</w:t>
      </w:r>
      <w:r>
        <w:rPr>
          <w:rFonts w:ascii="Times New Roman" w:eastAsia="Times New Roman"/>
          <w:position w:val="1"/>
        </w:rPr>
        <w:t>2017.10.1 </w:t>
      </w:r>
      <w:r>
        <w:rPr/>
        <w:t>起施行；</w:t>
      </w:r>
    </w:p>
    <w:p>
      <w:pPr>
        <w:pStyle w:val="BodyText"/>
        <w:spacing w:before="161"/>
        <w:ind w:left="717"/>
      </w:pPr>
      <w:r>
        <w:rPr>
          <w:rFonts w:ascii="Times New Roman" w:eastAsia="Times New Roman"/>
          <w:position w:val="1"/>
        </w:rPr>
        <w:t>2</w:t>
      </w:r>
      <w:r>
        <w:rPr/>
        <w:t>、《畜禽规模养殖污染防治条例》，国务院令第 </w:t>
      </w:r>
      <w:r>
        <w:rPr>
          <w:rFonts w:ascii="Times New Roman" w:eastAsia="Times New Roman"/>
          <w:position w:val="1"/>
        </w:rPr>
        <w:t>643 </w:t>
      </w:r>
      <w:r>
        <w:rPr/>
        <w:t>号，</w:t>
      </w:r>
      <w:r>
        <w:rPr>
          <w:rFonts w:ascii="Times New Roman" w:eastAsia="Times New Roman"/>
          <w:position w:val="1"/>
        </w:rPr>
        <w:t>2014.1.1 </w:t>
      </w:r>
      <w:r>
        <w:rPr/>
        <w:t>起施行；</w:t>
      </w:r>
    </w:p>
    <w:p>
      <w:pPr>
        <w:pStyle w:val="BodyText"/>
        <w:spacing w:before="161"/>
        <w:ind w:left="717"/>
      </w:pPr>
      <w:r>
        <w:rPr>
          <w:rFonts w:ascii="Times New Roman" w:eastAsia="Times New Roman"/>
          <w:position w:val="1"/>
        </w:rPr>
        <w:t>3</w:t>
      </w:r>
      <w:r>
        <w:rPr>
          <w:spacing w:val="-3"/>
        </w:rPr>
        <w:t>、《危险废物转移联单管理办法》，原国家环保总局令第 </w:t>
      </w:r>
      <w:r>
        <w:rPr>
          <w:rFonts w:ascii="Times New Roman" w:eastAsia="Times New Roman"/>
          <w:position w:val="1"/>
        </w:rPr>
        <w:t>5 </w:t>
      </w:r>
      <w:r>
        <w:rPr/>
        <w:t>号，</w:t>
      </w:r>
      <w:r>
        <w:rPr>
          <w:rFonts w:ascii="Times New Roman" w:eastAsia="Times New Roman"/>
          <w:position w:val="1"/>
        </w:rPr>
        <w:t>1999.10.1 </w:t>
      </w:r>
      <w:r>
        <w:rPr/>
        <w:t>起施行；</w:t>
      </w:r>
    </w:p>
    <w:p>
      <w:pPr>
        <w:pStyle w:val="BodyText"/>
        <w:spacing w:before="160"/>
        <w:ind w:left="717"/>
      </w:pPr>
      <w:r>
        <w:rPr>
          <w:rFonts w:ascii="Times New Roman" w:eastAsia="Times New Roman"/>
          <w:position w:val="1"/>
        </w:rPr>
        <w:t>4</w:t>
      </w:r>
      <w:r>
        <w:rPr>
          <w:spacing w:val="-4"/>
        </w:rPr>
        <w:t>、《国家危险废物名录</w:t>
      </w:r>
      <w:r>
        <w:rPr/>
        <w:t>（</w:t>
      </w:r>
      <w:r>
        <w:rPr>
          <w:rFonts w:ascii="Times New Roman" w:eastAsia="Times New Roman"/>
          <w:position w:val="1"/>
        </w:rPr>
        <w:t>2021 </w:t>
      </w:r>
      <w:r>
        <w:rPr/>
        <w:t>年版</w:t>
      </w:r>
      <w:r>
        <w:rPr>
          <w:spacing w:val="-5"/>
        </w:rPr>
        <w:t>）</w:t>
      </w:r>
      <w:r>
        <w:rPr>
          <w:spacing w:val="-9"/>
        </w:rPr>
        <w:t>》，生态环境部令第 </w:t>
      </w:r>
      <w:r>
        <w:rPr>
          <w:rFonts w:ascii="Times New Roman" w:eastAsia="Times New Roman"/>
          <w:position w:val="1"/>
        </w:rPr>
        <w:t>15 </w:t>
      </w:r>
      <w:r>
        <w:rPr/>
        <w:t>号，</w:t>
      </w:r>
      <w:r>
        <w:rPr>
          <w:rFonts w:ascii="Times New Roman" w:eastAsia="Times New Roman"/>
          <w:position w:val="1"/>
        </w:rPr>
        <w:t>2020.1.1</w:t>
      </w:r>
      <w:r>
        <w:rPr>
          <w:rFonts w:ascii="Times New Roman" w:eastAsia="Times New Roman"/>
          <w:spacing w:val="1"/>
          <w:position w:val="1"/>
        </w:rPr>
        <w:t> </w:t>
      </w:r>
      <w:r>
        <w:rPr/>
        <w:t>起施行；</w:t>
      </w:r>
    </w:p>
    <w:p>
      <w:pPr>
        <w:pStyle w:val="BodyText"/>
        <w:spacing w:before="161"/>
        <w:ind w:left="717"/>
      </w:pPr>
      <w:r>
        <w:rPr>
          <w:rFonts w:ascii="Times New Roman" w:eastAsia="Times New Roman"/>
          <w:position w:val="1"/>
        </w:rPr>
        <w:t>5</w:t>
      </w:r>
      <w:r>
        <w:rPr>
          <w:spacing w:val="-7"/>
        </w:rPr>
        <w:t>、《建设项目环境影响评价分类管理名录</w:t>
      </w:r>
      <w:r>
        <w:rPr/>
        <w:t>（</w:t>
      </w:r>
      <w:r>
        <w:rPr>
          <w:rFonts w:ascii="Times New Roman" w:eastAsia="Times New Roman"/>
          <w:position w:val="1"/>
        </w:rPr>
        <w:t>2021 </w:t>
      </w:r>
      <w:r>
        <w:rPr/>
        <w:t>年版</w:t>
      </w:r>
      <w:r>
        <w:rPr>
          <w:spacing w:val="-15"/>
        </w:rPr>
        <w:t>）</w:t>
      </w:r>
      <w:r>
        <w:rPr>
          <w:spacing w:val="-12"/>
        </w:rPr>
        <w:t>》，生态环境部令第 </w:t>
      </w:r>
      <w:r>
        <w:rPr>
          <w:rFonts w:ascii="Times New Roman" w:eastAsia="Times New Roman"/>
          <w:position w:val="1"/>
        </w:rPr>
        <w:t>16 </w:t>
      </w:r>
      <w:r>
        <w:rPr/>
        <w:t>号，</w:t>
      </w:r>
    </w:p>
    <w:p>
      <w:pPr>
        <w:pStyle w:val="BodyText"/>
        <w:spacing w:before="160"/>
      </w:pPr>
      <w:r>
        <w:rPr>
          <w:rFonts w:ascii="Times New Roman" w:eastAsia="Times New Roman"/>
          <w:position w:val="1"/>
        </w:rPr>
        <w:t>2020.1.1 </w:t>
      </w:r>
      <w:r>
        <w:rPr/>
        <w:t>起施行；</w:t>
      </w:r>
    </w:p>
    <w:p>
      <w:pPr>
        <w:pStyle w:val="BodyText"/>
        <w:spacing w:before="161"/>
        <w:ind w:left="717"/>
      </w:pPr>
      <w:r>
        <w:rPr>
          <w:rFonts w:ascii="Times New Roman" w:eastAsia="Times New Roman"/>
          <w:position w:val="1"/>
        </w:rPr>
        <w:t>6</w:t>
      </w:r>
      <w:r>
        <w:rPr/>
        <w:t>、《国务院关于印发大气污染防治行动计划的通知》，国发</w:t>
      </w:r>
      <w:r>
        <w:rPr>
          <w:rFonts w:ascii="Times New Roman" w:eastAsia="Times New Roman"/>
          <w:position w:val="1"/>
        </w:rPr>
        <w:t>[2013]37 </w:t>
      </w:r>
      <w:r>
        <w:rPr/>
        <w:t>号；</w:t>
      </w:r>
    </w:p>
    <w:p>
      <w:pPr>
        <w:pStyle w:val="BodyText"/>
        <w:spacing w:before="160"/>
        <w:ind w:left="717"/>
      </w:pPr>
      <w:r>
        <w:rPr>
          <w:rFonts w:ascii="Times New Roman" w:eastAsia="Times New Roman"/>
          <w:position w:val="1"/>
        </w:rPr>
        <w:t>7</w:t>
      </w:r>
      <w:r>
        <w:rPr/>
        <w:t>、《国务院关于印发水污染防治行动计划的通知》，国发</w:t>
      </w:r>
      <w:r>
        <w:rPr>
          <w:rFonts w:ascii="Times New Roman" w:eastAsia="Times New Roman"/>
          <w:position w:val="1"/>
        </w:rPr>
        <w:t>[2015]17 </w:t>
      </w:r>
      <w:r>
        <w:rPr/>
        <w:t>号；</w:t>
      </w:r>
    </w:p>
    <w:p>
      <w:pPr>
        <w:pStyle w:val="BodyText"/>
        <w:spacing w:before="161"/>
        <w:ind w:left="717"/>
      </w:pPr>
      <w:r>
        <w:rPr>
          <w:rFonts w:ascii="Times New Roman" w:eastAsia="Times New Roman"/>
          <w:position w:val="1"/>
        </w:rPr>
        <w:t>8</w:t>
      </w:r>
      <w:r>
        <w:rPr/>
        <w:t>、《国务院关于印发土壤污染防治行动计划的通知》，国发</w:t>
      </w:r>
      <w:r>
        <w:rPr>
          <w:rFonts w:ascii="Times New Roman" w:eastAsia="Times New Roman"/>
          <w:position w:val="1"/>
        </w:rPr>
        <w:t>[2016]31 </w:t>
      </w:r>
      <w:r>
        <w:rPr/>
        <w:t>号；</w:t>
      </w:r>
    </w:p>
    <w:p>
      <w:pPr>
        <w:pStyle w:val="BodyText"/>
        <w:spacing w:before="161"/>
        <w:ind w:left="717"/>
      </w:pPr>
      <w:r>
        <w:rPr>
          <w:rFonts w:ascii="Times New Roman" w:hAnsi="Times New Roman" w:eastAsia="Times New Roman"/>
          <w:position w:val="1"/>
        </w:rPr>
        <w:t>9</w:t>
      </w:r>
      <w:r>
        <w:rPr/>
        <w:t>、《国务院关于印发</w:t>
      </w:r>
      <w:r>
        <w:rPr>
          <w:rFonts w:ascii="Times New Roman" w:hAnsi="Times New Roman" w:eastAsia="Times New Roman"/>
          <w:position w:val="1"/>
        </w:rPr>
        <w:t>“</w:t>
      </w:r>
      <w:r>
        <w:rPr/>
        <w:t>十三五</w:t>
      </w:r>
      <w:r>
        <w:rPr>
          <w:rFonts w:ascii="Times New Roman" w:hAnsi="Times New Roman" w:eastAsia="Times New Roman"/>
          <w:position w:val="1"/>
        </w:rPr>
        <w:t>”</w:t>
      </w:r>
      <w:r>
        <w:rPr/>
        <w:t>生态环境保护规划的通知》，国发</w:t>
      </w:r>
      <w:r>
        <w:rPr>
          <w:rFonts w:ascii="Times New Roman" w:hAnsi="Times New Roman" w:eastAsia="Times New Roman"/>
          <w:position w:val="1"/>
        </w:rPr>
        <w:t>[2016]65 </w:t>
      </w:r>
      <w:r>
        <w:rPr/>
        <w:t>号；</w:t>
      </w:r>
    </w:p>
    <w:p>
      <w:pPr>
        <w:pStyle w:val="BodyText"/>
        <w:spacing w:before="160"/>
        <w:ind w:left="717"/>
      </w:pPr>
      <w:r>
        <w:rPr>
          <w:rFonts w:ascii="Times New Roman" w:hAnsi="Times New Roman" w:eastAsia="Times New Roman"/>
          <w:position w:val="1"/>
        </w:rPr>
        <w:t>10</w:t>
      </w:r>
      <w:r>
        <w:rPr/>
        <w:t>、《国务院关印发</w:t>
      </w:r>
      <w:r>
        <w:rPr>
          <w:rFonts w:ascii="Times New Roman" w:hAnsi="Times New Roman" w:eastAsia="Times New Roman"/>
          <w:position w:val="1"/>
        </w:rPr>
        <w:t>“</w:t>
      </w:r>
      <w:r>
        <w:rPr/>
        <w:t>十三五</w:t>
      </w:r>
      <w:r>
        <w:rPr>
          <w:rFonts w:ascii="Times New Roman" w:hAnsi="Times New Roman" w:eastAsia="Times New Roman"/>
          <w:position w:val="1"/>
        </w:rPr>
        <w:t>”</w:t>
      </w:r>
      <w:r>
        <w:rPr/>
        <w:t>节能减排综合工作方案的通知》，国发</w:t>
      </w:r>
      <w:r>
        <w:rPr>
          <w:rFonts w:ascii="Times New Roman" w:hAnsi="Times New Roman" w:eastAsia="Times New Roman"/>
          <w:position w:val="1"/>
        </w:rPr>
        <w:t>[2016]74 </w:t>
      </w:r>
      <w:r>
        <w:rPr/>
        <w:t>号；</w:t>
      </w:r>
    </w:p>
    <w:p>
      <w:pPr>
        <w:pStyle w:val="BodyText"/>
        <w:spacing w:line="364" w:lineRule="auto" w:before="161"/>
        <w:ind w:right="244" w:firstLine="480"/>
      </w:pPr>
      <w:r>
        <w:rPr>
          <w:rFonts w:ascii="Times New Roman" w:eastAsia="Times New Roman"/>
          <w:position w:val="1"/>
        </w:rPr>
        <w:t>11</w:t>
      </w:r>
      <w:r>
        <w:rPr/>
        <w:t>、《国务院办公厅关于加快推进畜禽养殖废弃物资源化利用的意见》，国办发</w:t>
      </w:r>
      <w:r>
        <w:rPr>
          <w:rFonts w:ascii="Times New Roman" w:eastAsia="Times New Roman"/>
          <w:position w:val="1"/>
        </w:rPr>
        <w:t>[2017]48 </w:t>
      </w:r>
      <w:r>
        <w:rPr/>
        <w:t>号；</w:t>
      </w:r>
    </w:p>
    <w:p>
      <w:pPr>
        <w:pStyle w:val="BodyText"/>
        <w:spacing w:before="1"/>
        <w:ind w:left="717"/>
      </w:pPr>
      <w:r>
        <w:rPr>
          <w:rFonts w:ascii="Times New Roman" w:eastAsia="Times New Roman"/>
          <w:position w:val="1"/>
        </w:rPr>
        <w:t>12</w:t>
      </w:r>
      <w:r>
        <w:rPr/>
        <w:t>、《国务院关于印发打赢蓝天保卫战三年行动计划的通知》，国发</w:t>
      </w:r>
      <w:r>
        <w:rPr>
          <w:rFonts w:ascii="Times New Roman" w:eastAsia="Times New Roman"/>
          <w:position w:val="1"/>
        </w:rPr>
        <w:t>[2018]22 </w:t>
      </w:r>
      <w:r>
        <w:rPr/>
        <w:t>号；</w:t>
      </w:r>
    </w:p>
    <w:p>
      <w:pPr>
        <w:pStyle w:val="BodyText"/>
        <w:spacing w:before="161"/>
        <w:ind w:left="717"/>
      </w:pPr>
      <w:r>
        <w:rPr>
          <w:rFonts w:ascii="Times New Roman" w:eastAsia="Times New Roman"/>
          <w:position w:val="1"/>
        </w:rPr>
        <w:t>13</w:t>
      </w:r>
      <w:r>
        <w:rPr/>
        <w:t>、《国务院办公厅关于促进畜牧业高质量发展的意见》，国办发</w:t>
      </w:r>
      <w:r>
        <w:rPr>
          <w:rFonts w:ascii="Times New Roman" w:eastAsia="Times New Roman"/>
          <w:position w:val="1"/>
        </w:rPr>
        <w:t>[2020]31 </w:t>
      </w:r>
      <w:r>
        <w:rPr/>
        <w:t>号；</w:t>
      </w:r>
    </w:p>
    <w:p>
      <w:pPr>
        <w:pStyle w:val="BodyText"/>
        <w:spacing w:before="160"/>
        <w:ind w:left="717"/>
      </w:pPr>
      <w:r>
        <w:rPr>
          <w:rFonts w:ascii="Times New Roman" w:eastAsia="Times New Roman"/>
          <w:position w:val="1"/>
        </w:rPr>
        <w:t>14</w:t>
      </w:r>
      <w:r>
        <w:rPr/>
        <w:t>、《关于促进规模化畜禽养殖有关用地政策的通知》，国土资发</w:t>
      </w:r>
      <w:r>
        <w:rPr>
          <w:rFonts w:ascii="Times New Roman" w:eastAsia="Times New Roman"/>
          <w:position w:val="1"/>
        </w:rPr>
        <w:t>[2007]220 </w:t>
      </w:r>
      <w:r>
        <w:rPr/>
        <w:t>号；</w:t>
      </w:r>
    </w:p>
    <w:p>
      <w:pPr>
        <w:spacing w:after="0"/>
        <w:sectPr>
          <w:pgSz w:w="11910" w:h="16840"/>
          <w:pgMar w:header="874" w:footer="1004" w:top="1400" w:bottom="1200" w:left="1040" w:right="1160"/>
        </w:sectPr>
      </w:pPr>
    </w:p>
    <w:p>
      <w:pPr>
        <w:pStyle w:val="BodyText"/>
        <w:spacing w:before="121"/>
        <w:ind w:left="717"/>
        <w:rPr>
          <w:rFonts w:ascii="Times New Roman" w:eastAsia="Times New Roman"/>
        </w:rPr>
      </w:pPr>
      <w:r>
        <w:rPr>
          <w:rFonts w:ascii="Times New Roman" w:eastAsia="Times New Roman"/>
          <w:position w:val="1"/>
        </w:rPr>
        <w:t>15</w:t>
      </w:r>
      <w:r>
        <w:rPr/>
        <w:t>、《关于发布</w:t>
      </w:r>
      <w:r>
        <w:rPr>
          <w:rFonts w:ascii="Times New Roman" w:eastAsia="Times New Roman"/>
          <w:position w:val="1"/>
        </w:rPr>
        <w:t>&lt;</w:t>
      </w:r>
      <w:r>
        <w:rPr/>
        <w:t>建设项目竣工环境保护验收暂行办法</w:t>
      </w:r>
      <w:r>
        <w:rPr>
          <w:rFonts w:ascii="Times New Roman" w:eastAsia="Times New Roman"/>
          <w:position w:val="1"/>
        </w:rPr>
        <w:t>&gt;</w:t>
      </w:r>
      <w:r>
        <w:rPr/>
        <w:t>的公告》，国环规环评</w:t>
      </w:r>
      <w:r>
        <w:rPr>
          <w:rFonts w:ascii="Times New Roman" w:eastAsia="Times New Roman"/>
          <w:position w:val="1"/>
        </w:rPr>
        <w:t>[2017]4</w:t>
      </w:r>
    </w:p>
    <w:p>
      <w:pPr>
        <w:pStyle w:val="BodyText"/>
        <w:spacing w:before="161"/>
      </w:pPr>
      <w:r>
        <w:rPr/>
        <w:t>号；</w:t>
      </w:r>
    </w:p>
    <w:p>
      <w:pPr>
        <w:pStyle w:val="BodyText"/>
        <w:spacing w:before="160"/>
        <w:ind w:left="717"/>
      </w:pPr>
      <w:r>
        <w:rPr>
          <w:rFonts w:ascii="Times New Roman" w:eastAsia="Times New Roman"/>
          <w:position w:val="1"/>
        </w:rPr>
        <w:t>16</w:t>
      </w:r>
      <w:r>
        <w:rPr/>
        <w:t>、《农业部关于加强畜禽养殖管理的通知》，农牧发</w:t>
      </w:r>
      <w:r>
        <w:rPr>
          <w:rFonts w:ascii="Times New Roman" w:eastAsia="Times New Roman"/>
          <w:position w:val="1"/>
        </w:rPr>
        <w:t>[2007]1 </w:t>
      </w:r>
      <w:r>
        <w:rPr/>
        <w:t>号；</w:t>
      </w:r>
    </w:p>
    <w:p>
      <w:pPr>
        <w:pStyle w:val="BodyText"/>
        <w:spacing w:before="161"/>
        <w:ind w:left="717"/>
      </w:pPr>
      <w:r>
        <w:rPr>
          <w:rFonts w:ascii="Times New Roman" w:eastAsia="Times New Roman"/>
          <w:position w:val="1"/>
        </w:rPr>
        <w:t>17</w:t>
      </w:r>
      <w:r>
        <w:rPr/>
        <w:t>、《农业部关于加快推进畜禽标准化规模养殖的意见》，农牧发</w:t>
      </w:r>
      <w:r>
        <w:rPr>
          <w:rFonts w:ascii="Times New Roman" w:eastAsia="Times New Roman"/>
          <w:position w:val="1"/>
        </w:rPr>
        <w:t>[2010]6 </w:t>
      </w:r>
      <w:r>
        <w:rPr/>
        <w:t>号；</w:t>
      </w:r>
    </w:p>
    <w:p>
      <w:pPr>
        <w:pStyle w:val="BodyText"/>
        <w:spacing w:line="364" w:lineRule="auto" w:before="160"/>
        <w:ind w:right="221" w:firstLine="480"/>
      </w:pPr>
      <w:r>
        <w:rPr>
          <w:rFonts w:ascii="Times New Roman" w:eastAsia="Times New Roman"/>
          <w:position w:val="1"/>
        </w:rPr>
        <w:t>18</w:t>
      </w:r>
      <w:r>
        <w:rPr/>
        <w:t>、《农业农村部办公厅 生态环境部办公厅关于进一步明确畜禽粪污还田利用要求强化养殖污染监管的通知》，农办牧</w:t>
      </w:r>
      <w:r>
        <w:rPr>
          <w:rFonts w:ascii="Times New Roman" w:eastAsia="Times New Roman"/>
          <w:position w:val="1"/>
        </w:rPr>
        <w:t>[2020]23 </w:t>
      </w:r>
      <w:r>
        <w:rPr/>
        <w:t>号；</w:t>
      </w:r>
    </w:p>
    <w:p>
      <w:pPr>
        <w:pStyle w:val="BodyText"/>
        <w:spacing w:before="1"/>
        <w:ind w:left="717"/>
      </w:pPr>
      <w:r>
        <w:rPr>
          <w:rFonts w:ascii="Times New Roman" w:eastAsia="Times New Roman"/>
          <w:position w:val="1"/>
        </w:rPr>
        <w:t>19</w:t>
      </w:r>
      <w:r>
        <w:rPr/>
        <w:t>、《关于进一步加强环境影响评价管理防范环境风险的通知》，环发</w:t>
      </w:r>
      <w:r>
        <w:rPr>
          <w:rFonts w:ascii="Times New Roman" w:eastAsia="Times New Roman"/>
          <w:position w:val="1"/>
        </w:rPr>
        <w:t>[2012]77 </w:t>
      </w:r>
      <w:r>
        <w:rPr/>
        <w:t>号；</w:t>
      </w:r>
    </w:p>
    <w:p>
      <w:pPr>
        <w:pStyle w:val="BodyText"/>
        <w:spacing w:before="161"/>
        <w:ind w:left="717"/>
      </w:pPr>
      <w:r>
        <w:rPr>
          <w:rFonts w:ascii="Times New Roman" w:eastAsia="Times New Roman"/>
          <w:position w:val="1"/>
        </w:rPr>
        <w:t>20</w:t>
      </w:r>
      <w:r>
        <w:rPr/>
        <w:t>、《关于切实加强风险防范严格环境影响评价管理的通知》，环发</w:t>
      </w:r>
      <w:r>
        <w:rPr>
          <w:rFonts w:ascii="Times New Roman" w:eastAsia="Times New Roman"/>
          <w:position w:val="1"/>
        </w:rPr>
        <w:t>[2012]98 </w:t>
      </w:r>
      <w:r>
        <w:rPr/>
        <w:t>号；</w:t>
      </w:r>
    </w:p>
    <w:p>
      <w:pPr>
        <w:pStyle w:val="BodyText"/>
        <w:spacing w:before="161"/>
        <w:ind w:left="717"/>
      </w:pPr>
      <w:r>
        <w:rPr>
          <w:rFonts w:ascii="Times New Roman" w:eastAsia="Times New Roman"/>
          <w:position w:val="1"/>
        </w:rPr>
        <w:t>21</w:t>
      </w:r>
      <w:r>
        <w:rPr/>
        <w:t>、《关于切实加强环境影响评价监督管理工作的通知》，环办</w:t>
      </w:r>
      <w:r>
        <w:rPr>
          <w:rFonts w:ascii="Times New Roman" w:eastAsia="Times New Roman"/>
          <w:position w:val="1"/>
        </w:rPr>
        <w:t>[2013]104 </w:t>
      </w:r>
      <w:r>
        <w:rPr/>
        <w:t>号；</w:t>
      </w:r>
    </w:p>
    <w:p>
      <w:pPr>
        <w:pStyle w:val="BodyText"/>
        <w:spacing w:before="160"/>
        <w:ind w:left="717"/>
      </w:pPr>
      <w:r>
        <w:rPr>
          <w:rFonts w:ascii="Times New Roman" w:eastAsia="Times New Roman"/>
          <w:position w:val="1"/>
        </w:rPr>
        <w:t>22</w:t>
      </w:r>
      <w:r>
        <w:rPr/>
        <w:t>、《关于落实大气污染防治行动计划严格环评准入的通知》，环办</w:t>
      </w:r>
      <w:r>
        <w:rPr>
          <w:rFonts w:ascii="Times New Roman" w:eastAsia="Times New Roman"/>
          <w:position w:val="1"/>
        </w:rPr>
        <w:t>[2014]30 </w:t>
      </w:r>
      <w:r>
        <w:rPr/>
        <w:t>号；</w:t>
      </w:r>
    </w:p>
    <w:p>
      <w:pPr>
        <w:pStyle w:val="BodyText"/>
        <w:spacing w:line="364" w:lineRule="auto" w:before="161"/>
        <w:ind w:right="67" w:firstLine="480"/>
      </w:pPr>
      <w:r>
        <w:rPr>
          <w:rFonts w:ascii="Times New Roman" w:eastAsia="Times New Roman"/>
          <w:position w:val="1"/>
        </w:rPr>
        <w:t>23</w:t>
      </w:r>
      <w:r>
        <w:rPr/>
        <w:t>、《关于印发</w:t>
      </w:r>
      <w:r>
        <w:rPr>
          <w:rFonts w:ascii="Times New Roman" w:eastAsia="Times New Roman"/>
          <w:position w:val="1"/>
        </w:rPr>
        <w:t>&lt;</w:t>
      </w:r>
      <w:r>
        <w:rPr/>
        <w:t>建设项目主要污染物排放总量指标审核及管理暂行办法</w:t>
      </w:r>
      <w:r>
        <w:rPr>
          <w:rFonts w:ascii="Times New Roman" w:eastAsia="Times New Roman"/>
          <w:position w:val="1"/>
        </w:rPr>
        <w:t>&gt;</w:t>
      </w:r>
      <w:r>
        <w:rPr/>
        <w:t>的通知》， 环发</w:t>
      </w:r>
      <w:r>
        <w:rPr>
          <w:rFonts w:ascii="Times New Roman" w:eastAsia="Times New Roman"/>
          <w:position w:val="1"/>
        </w:rPr>
        <w:t>[2014]197 </w:t>
      </w:r>
      <w:r>
        <w:rPr/>
        <w:t>号；</w:t>
      </w:r>
    </w:p>
    <w:p>
      <w:pPr>
        <w:pStyle w:val="BodyText"/>
        <w:spacing w:line="364" w:lineRule="auto" w:before="1"/>
        <w:ind w:right="246" w:firstLine="480"/>
      </w:pPr>
      <w:r>
        <w:rPr>
          <w:rFonts w:ascii="Times New Roman" w:eastAsia="Times New Roman"/>
          <w:position w:val="1"/>
        </w:rPr>
        <w:t>24</w:t>
      </w:r>
      <w:r>
        <w:rPr/>
        <w:t>、《关于印发</w:t>
      </w:r>
      <w:r>
        <w:rPr>
          <w:rFonts w:ascii="Times New Roman" w:eastAsia="Times New Roman"/>
          <w:position w:val="1"/>
        </w:rPr>
        <w:t>&lt;</w:t>
      </w:r>
      <w:r>
        <w:rPr/>
        <w:t>企业事业单位突发环境事件应急预案备案管理办法（试行）</w:t>
      </w:r>
      <w:r>
        <w:rPr>
          <w:rFonts w:ascii="Times New Roman" w:eastAsia="Times New Roman"/>
          <w:position w:val="1"/>
        </w:rPr>
        <w:t>&gt;</w:t>
      </w:r>
      <w:r>
        <w:rPr/>
        <w:t>的通知》，环发</w:t>
      </w:r>
      <w:r>
        <w:rPr>
          <w:rFonts w:ascii="Times New Roman" w:eastAsia="Times New Roman"/>
          <w:position w:val="1"/>
        </w:rPr>
        <w:t>[2015]4 </w:t>
      </w:r>
      <w:r>
        <w:rPr/>
        <w:t>号；</w:t>
      </w:r>
    </w:p>
    <w:p>
      <w:pPr>
        <w:pStyle w:val="BodyText"/>
        <w:spacing w:before="1"/>
        <w:ind w:left="717"/>
        <w:rPr>
          <w:rFonts w:ascii="Times New Roman" w:hAnsi="Times New Roman" w:eastAsia="Times New Roman"/>
        </w:rPr>
      </w:pPr>
      <w:r>
        <w:rPr>
          <w:rFonts w:ascii="Times New Roman" w:hAnsi="Times New Roman" w:eastAsia="Times New Roman"/>
          <w:position w:val="1"/>
        </w:rPr>
        <w:t>25</w:t>
      </w:r>
      <w:r>
        <w:rPr/>
        <w:t>、《关于印发</w:t>
      </w:r>
      <w:r>
        <w:rPr>
          <w:rFonts w:ascii="Times New Roman" w:hAnsi="Times New Roman" w:eastAsia="Times New Roman"/>
          <w:position w:val="1"/>
        </w:rPr>
        <w:t>&lt;“</w:t>
      </w:r>
      <w:r>
        <w:rPr/>
        <w:t>十三五</w:t>
      </w:r>
      <w:r>
        <w:rPr>
          <w:rFonts w:ascii="Times New Roman" w:hAnsi="Times New Roman" w:eastAsia="Times New Roman"/>
          <w:position w:val="1"/>
        </w:rPr>
        <w:t>”</w:t>
      </w:r>
      <w:r>
        <w:rPr/>
        <w:t>环境影响评价改革实施方案</w:t>
      </w:r>
      <w:r>
        <w:rPr>
          <w:rFonts w:ascii="Times New Roman" w:hAnsi="Times New Roman" w:eastAsia="Times New Roman"/>
          <w:position w:val="1"/>
        </w:rPr>
        <w:t>&gt;</w:t>
      </w:r>
      <w:r>
        <w:rPr/>
        <w:t>的通知》，环环评</w:t>
      </w:r>
      <w:r>
        <w:rPr>
          <w:rFonts w:ascii="Times New Roman" w:hAnsi="Times New Roman" w:eastAsia="Times New Roman"/>
          <w:position w:val="1"/>
        </w:rPr>
        <w:t>[2016]95</w:t>
      </w:r>
    </w:p>
    <w:p>
      <w:pPr>
        <w:pStyle w:val="BodyText"/>
        <w:spacing w:before="161"/>
      </w:pPr>
      <w:r>
        <w:rPr/>
        <w:t>号；</w:t>
      </w:r>
    </w:p>
    <w:p>
      <w:pPr>
        <w:pStyle w:val="BodyText"/>
        <w:spacing w:line="364" w:lineRule="auto" w:before="161"/>
        <w:ind w:right="253" w:firstLine="480"/>
      </w:pPr>
      <w:r>
        <w:rPr>
          <w:rFonts w:ascii="Times New Roman" w:eastAsia="Times New Roman"/>
          <w:position w:val="1"/>
        </w:rPr>
        <w:t>26</w:t>
      </w:r>
      <w:r>
        <w:rPr/>
        <w:t>、《关于落实</w:t>
      </w:r>
      <w:r>
        <w:rPr>
          <w:rFonts w:ascii="Times New Roman" w:eastAsia="Times New Roman"/>
          <w:position w:val="1"/>
        </w:rPr>
        <w:t>&lt;</w:t>
      </w:r>
      <w:r>
        <w:rPr/>
        <w:t>水污染防治行动计划</w:t>
      </w:r>
      <w:r>
        <w:rPr>
          <w:rFonts w:ascii="Times New Roman" w:eastAsia="Times New Roman"/>
          <w:position w:val="1"/>
        </w:rPr>
        <w:t>&gt;</w:t>
      </w:r>
      <w:r>
        <w:rPr/>
        <w:t>实施区域差别化环境准入的指导意见》，环环评</w:t>
      </w:r>
      <w:r>
        <w:rPr>
          <w:rFonts w:ascii="Times New Roman" w:eastAsia="Times New Roman"/>
          <w:position w:val="1"/>
        </w:rPr>
        <w:t>[2016]190 </w:t>
      </w:r>
      <w:r>
        <w:rPr/>
        <w:t>号；</w:t>
      </w:r>
    </w:p>
    <w:p>
      <w:pPr>
        <w:pStyle w:val="BodyText"/>
        <w:spacing w:before="1"/>
        <w:ind w:left="717"/>
        <w:rPr>
          <w:rFonts w:ascii="Times New Roman" w:eastAsia="Times New Roman"/>
        </w:rPr>
      </w:pPr>
      <w:r>
        <w:rPr>
          <w:rFonts w:ascii="Times New Roman" w:eastAsia="Times New Roman"/>
          <w:position w:val="1"/>
        </w:rPr>
        <w:t>27</w:t>
      </w:r>
      <w:r>
        <w:rPr>
          <w:spacing w:val="-20"/>
        </w:rPr>
        <w:t>、《关于做好畜禽规模养殖项目环境影响评价管理工作的通知》，环办环评</w:t>
      </w:r>
      <w:r>
        <w:rPr>
          <w:rFonts w:ascii="Times New Roman" w:eastAsia="Times New Roman"/>
          <w:position w:val="1"/>
        </w:rPr>
        <w:t>[2018]31</w:t>
      </w:r>
    </w:p>
    <w:p>
      <w:pPr>
        <w:pStyle w:val="BodyText"/>
        <w:spacing w:before="160"/>
      </w:pPr>
      <w:r>
        <w:rPr/>
        <w:t>号；</w:t>
      </w:r>
    </w:p>
    <w:p>
      <w:pPr>
        <w:pStyle w:val="BodyText"/>
        <w:spacing w:line="364" w:lineRule="auto" w:before="161"/>
        <w:ind w:right="254" w:firstLine="480"/>
      </w:pPr>
      <w:r>
        <w:rPr>
          <w:rFonts w:ascii="Times New Roman" w:eastAsia="Times New Roman"/>
          <w:position w:val="1"/>
        </w:rPr>
        <w:t>28</w:t>
      </w:r>
      <w:r>
        <w:rPr/>
        <w:t>、《关于进一步规范畜禽养殖禁养区划定和管理促进生猪生产发展的通知》，环办土壤</w:t>
      </w:r>
      <w:r>
        <w:rPr>
          <w:rFonts w:ascii="Times New Roman" w:eastAsia="Times New Roman"/>
          <w:position w:val="1"/>
        </w:rPr>
        <w:t>[2019]55 </w:t>
      </w:r>
      <w:r>
        <w:rPr/>
        <w:t>号。</w:t>
      </w:r>
    </w:p>
    <w:p>
      <w:pPr>
        <w:pStyle w:val="Heading3"/>
        <w:numPr>
          <w:ilvl w:val="2"/>
          <w:numId w:val="12"/>
        </w:numPr>
        <w:tabs>
          <w:tab w:pos="838" w:val="left" w:leader="none"/>
        </w:tabs>
        <w:spacing w:line="240" w:lineRule="auto" w:before="1" w:after="0"/>
        <w:ind w:left="837" w:right="0" w:hanging="601"/>
        <w:jc w:val="left"/>
      </w:pPr>
      <w:bookmarkStart w:name="_bookmark16" w:id="31"/>
      <w:bookmarkEnd w:id="31"/>
      <w:r>
        <w:rPr>
          <w:b w:val="0"/>
        </w:rPr>
      </w:r>
      <w:bookmarkStart w:name="_bookmark16" w:id="32"/>
      <w:bookmarkEnd w:id="32"/>
      <w:r>
        <w:rPr/>
        <w:t>地方法规及规章</w:t>
      </w:r>
    </w:p>
    <w:p>
      <w:pPr>
        <w:pStyle w:val="BodyText"/>
        <w:spacing w:before="161"/>
        <w:ind w:left="717"/>
      </w:pPr>
      <w:r>
        <w:rPr>
          <w:rFonts w:ascii="Times New Roman" w:eastAsia="Times New Roman"/>
          <w:position w:val="1"/>
        </w:rPr>
        <w:t>1</w:t>
      </w:r>
      <w:r>
        <w:rPr/>
        <w:t>、《浙江省大气污染防治条例（</w:t>
      </w:r>
      <w:r>
        <w:rPr>
          <w:rFonts w:ascii="Times New Roman" w:eastAsia="Times New Roman"/>
          <w:position w:val="1"/>
        </w:rPr>
        <w:t>2020 </w:t>
      </w:r>
      <w:r>
        <w:rPr/>
        <w:t>年修订）》，</w:t>
      </w:r>
      <w:r>
        <w:rPr>
          <w:rFonts w:ascii="Times New Roman" w:eastAsia="Times New Roman"/>
          <w:position w:val="1"/>
        </w:rPr>
        <w:t>2020.11.27 </w:t>
      </w:r>
      <w:r>
        <w:rPr/>
        <w:t>起施行；</w:t>
      </w:r>
    </w:p>
    <w:p>
      <w:pPr>
        <w:pStyle w:val="BodyText"/>
        <w:spacing w:before="161"/>
        <w:ind w:left="717"/>
      </w:pPr>
      <w:r>
        <w:rPr>
          <w:rFonts w:ascii="Times New Roman" w:eastAsia="Times New Roman"/>
          <w:position w:val="1"/>
        </w:rPr>
        <w:t>2</w:t>
      </w:r>
      <w:r>
        <w:rPr/>
        <w:t>、《浙江省水污染防治条例（</w:t>
      </w:r>
      <w:r>
        <w:rPr>
          <w:rFonts w:ascii="Times New Roman" w:eastAsia="Times New Roman"/>
          <w:position w:val="1"/>
        </w:rPr>
        <w:t>2020 </w:t>
      </w:r>
      <w:r>
        <w:rPr/>
        <w:t>年修订）》，</w:t>
      </w:r>
      <w:r>
        <w:rPr>
          <w:rFonts w:ascii="Times New Roman" w:eastAsia="Times New Roman"/>
          <w:position w:val="1"/>
        </w:rPr>
        <w:t>2020.11.27 </w:t>
      </w:r>
      <w:r>
        <w:rPr/>
        <w:t>起施行；</w:t>
      </w:r>
    </w:p>
    <w:p>
      <w:pPr>
        <w:pStyle w:val="BodyText"/>
        <w:spacing w:before="160"/>
        <w:ind w:left="717"/>
      </w:pPr>
      <w:r>
        <w:rPr>
          <w:rFonts w:ascii="Times New Roman" w:eastAsia="Times New Roman"/>
          <w:position w:val="1"/>
        </w:rPr>
        <w:t>3</w:t>
      </w:r>
      <w:r>
        <w:rPr/>
        <w:t>、《浙江省固体废物污染环境防治条例（</w:t>
      </w:r>
      <w:r>
        <w:rPr>
          <w:rFonts w:ascii="Times New Roman" w:eastAsia="Times New Roman"/>
          <w:position w:val="1"/>
        </w:rPr>
        <w:t>2017 </w:t>
      </w:r>
      <w:r>
        <w:rPr/>
        <w:t>年修订）》，</w:t>
      </w:r>
      <w:r>
        <w:rPr>
          <w:rFonts w:ascii="Times New Roman" w:eastAsia="Times New Roman"/>
          <w:position w:val="1"/>
        </w:rPr>
        <w:t>2017.9.30 </w:t>
      </w:r>
      <w:r>
        <w:rPr/>
        <w:t>起施行；</w:t>
      </w:r>
    </w:p>
    <w:p>
      <w:pPr>
        <w:pStyle w:val="BodyText"/>
        <w:spacing w:before="161"/>
        <w:ind w:left="717"/>
      </w:pPr>
      <w:r>
        <w:rPr>
          <w:rFonts w:ascii="Times New Roman" w:eastAsia="Times New Roman"/>
          <w:position w:val="1"/>
        </w:rPr>
        <w:t>4</w:t>
      </w:r>
      <w:r>
        <w:rPr/>
        <w:t>、《浙江省曹娥江流域水环境保护条例（</w:t>
      </w:r>
      <w:r>
        <w:rPr>
          <w:rFonts w:ascii="Times New Roman" w:eastAsia="Times New Roman"/>
          <w:position w:val="1"/>
        </w:rPr>
        <w:t>2020 </w:t>
      </w:r>
      <w:r>
        <w:rPr/>
        <w:t>年修订）》，</w:t>
      </w:r>
      <w:r>
        <w:rPr>
          <w:rFonts w:ascii="Times New Roman" w:eastAsia="Times New Roman"/>
          <w:position w:val="1"/>
        </w:rPr>
        <w:t>2020.11.27 </w:t>
      </w:r>
      <w:r>
        <w:rPr/>
        <w:t>起施行；</w:t>
      </w:r>
    </w:p>
    <w:p>
      <w:pPr>
        <w:pStyle w:val="BodyText"/>
        <w:spacing w:before="160"/>
        <w:ind w:left="717"/>
      </w:pPr>
      <w:r>
        <w:rPr>
          <w:rFonts w:ascii="Times New Roman" w:eastAsia="Times New Roman"/>
          <w:position w:val="1"/>
        </w:rPr>
        <w:t>5</w:t>
      </w:r>
      <w:r>
        <w:rPr/>
        <w:t>、《浙江省鉴湖水域保护条例（</w:t>
      </w:r>
      <w:r>
        <w:rPr>
          <w:rFonts w:ascii="Times New Roman" w:eastAsia="Times New Roman"/>
          <w:position w:val="1"/>
        </w:rPr>
        <w:t>2009 </w:t>
      </w:r>
      <w:r>
        <w:rPr/>
        <w:t>年修订）》，</w:t>
      </w:r>
      <w:r>
        <w:rPr>
          <w:rFonts w:ascii="Times New Roman" w:eastAsia="Times New Roman"/>
          <w:position w:val="1"/>
        </w:rPr>
        <w:t>2009.2.24 </w:t>
      </w:r>
      <w:r>
        <w:rPr/>
        <w:t>起施行；</w:t>
      </w:r>
    </w:p>
    <w:p>
      <w:pPr>
        <w:pStyle w:val="BodyText"/>
        <w:spacing w:before="161"/>
        <w:ind w:left="717"/>
        <w:rPr>
          <w:rFonts w:ascii="Times New Roman" w:eastAsia="Times New Roman"/>
        </w:rPr>
      </w:pPr>
      <w:r>
        <w:rPr>
          <w:rFonts w:ascii="Times New Roman" w:eastAsia="Times New Roman"/>
          <w:position w:val="1"/>
        </w:rPr>
        <w:t>6</w:t>
      </w:r>
      <w:r>
        <w:rPr>
          <w:spacing w:val="-18"/>
        </w:rPr>
        <w:t>、《浙江省建设项目环境保护管理办法</w:t>
      </w:r>
      <w:r>
        <w:rPr/>
        <w:t>（</w:t>
      </w:r>
      <w:r>
        <w:rPr>
          <w:rFonts w:ascii="Times New Roman" w:eastAsia="Times New Roman"/>
          <w:position w:val="1"/>
        </w:rPr>
        <w:t>2021 </w:t>
      </w:r>
      <w:r>
        <w:rPr/>
        <w:t>年修正</w:t>
      </w:r>
      <w:r>
        <w:rPr>
          <w:spacing w:val="-82"/>
        </w:rPr>
        <w:t>）</w:t>
      </w:r>
      <w:r>
        <w:rPr>
          <w:spacing w:val="-34"/>
        </w:rPr>
        <w:t>》，省府令第 </w:t>
      </w:r>
      <w:r>
        <w:rPr>
          <w:rFonts w:ascii="Times New Roman" w:eastAsia="Times New Roman"/>
          <w:position w:val="1"/>
        </w:rPr>
        <w:t>388 </w:t>
      </w:r>
      <w:r>
        <w:rPr>
          <w:spacing w:val="-5"/>
        </w:rPr>
        <w:t>号，</w:t>
      </w:r>
      <w:r>
        <w:rPr>
          <w:rFonts w:ascii="Times New Roman" w:eastAsia="Times New Roman"/>
          <w:spacing w:val="-9"/>
          <w:position w:val="1"/>
        </w:rPr>
        <w:t>2021.2.10</w:t>
      </w:r>
    </w:p>
    <w:p>
      <w:pPr>
        <w:spacing w:after="0"/>
        <w:rPr>
          <w:rFonts w:ascii="Times New Roman" w:eastAsia="Times New Roman"/>
        </w:rPr>
        <w:sectPr>
          <w:pgSz w:w="11910" w:h="16840"/>
          <w:pgMar w:header="874" w:footer="1004" w:top="1400" w:bottom="1200" w:left="1040" w:right="1160"/>
        </w:sectPr>
      </w:pPr>
    </w:p>
    <w:p>
      <w:pPr>
        <w:pStyle w:val="BodyText"/>
        <w:spacing w:before="121"/>
      </w:pPr>
      <w:r>
        <w:rPr/>
        <w:t>起施行；</w:t>
      </w:r>
    </w:p>
    <w:p>
      <w:pPr>
        <w:pStyle w:val="BodyText"/>
        <w:spacing w:line="364" w:lineRule="auto" w:before="161"/>
        <w:ind w:right="249" w:firstLine="480"/>
      </w:pPr>
      <w:r>
        <w:rPr>
          <w:rFonts w:ascii="Times New Roman" w:eastAsia="Times New Roman"/>
          <w:position w:val="1"/>
        </w:rPr>
        <w:t>7</w:t>
      </w:r>
      <w:r>
        <w:rPr>
          <w:spacing w:val="-6"/>
        </w:rPr>
        <w:t>、《浙江省畜禽养殖污染防治办法</w:t>
      </w:r>
      <w:r>
        <w:rPr/>
        <w:t>（</w:t>
      </w:r>
      <w:r>
        <w:rPr>
          <w:rFonts w:ascii="Times New Roman" w:eastAsia="Times New Roman"/>
          <w:position w:val="1"/>
        </w:rPr>
        <w:t>2021</w:t>
      </w:r>
      <w:r>
        <w:rPr>
          <w:rFonts w:ascii="Times New Roman" w:eastAsia="Times New Roman"/>
          <w:spacing w:val="3"/>
          <w:position w:val="1"/>
        </w:rPr>
        <w:t> </w:t>
      </w:r>
      <w:r>
        <w:rPr/>
        <w:t>年修正</w:t>
      </w:r>
      <w:r>
        <w:rPr>
          <w:spacing w:val="-12"/>
        </w:rPr>
        <w:t>）</w:t>
      </w:r>
      <w:r>
        <w:rPr>
          <w:spacing w:val="-13"/>
        </w:rPr>
        <w:t>》，省府令第 </w:t>
      </w:r>
      <w:r>
        <w:rPr>
          <w:rFonts w:ascii="Times New Roman" w:eastAsia="Times New Roman"/>
          <w:position w:val="1"/>
        </w:rPr>
        <w:t>388</w:t>
      </w:r>
      <w:r>
        <w:rPr>
          <w:rFonts w:ascii="Times New Roman" w:eastAsia="Times New Roman"/>
          <w:spacing w:val="3"/>
          <w:position w:val="1"/>
        </w:rPr>
        <w:t> </w:t>
      </w:r>
      <w:r>
        <w:rPr>
          <w:spacing w:val="-2"/>
        </w:rPr>
        <w:t>号，</w:t>
      </w:r>
      <w:r>
        <w:rPr>
          <w:rFonts w:ascii="Times New Roman" w:eastAsia="Times New Roman"/>
          <w:spacing w:val="-4"/>
          <w:position w:val="1"/>
        </w:rPr>
        <w:t>2021.2.10 </w:t>
      </w:r>
      <w:r>
        <w:rPr/>
        <w:t>起施行；</w:t>
      </w:r>
    </w:p>
    <w:p>
      <w:pPr>
        <w:pStyle w:val="BodyText"/>
        <w:spacing w:line="364" w:lineRule="auto" w:before="1"/>
        <w:ind w:right="196" w:firstLine="480"/>
      </w:pPr>
      <w:r>
        <w:rPr>
          <w:rFonts w:ascii="Times New Roman" w:eastAsia="Times New Roman"/>
          <w:position w:val="1"/>
        </w:rPr>
        <w:t>8</w:t>
      </w:r>
      <w:r>
        <w:rPr/>
        <w:t>、《关于印发</w:t>
      </w:r>
      <w:r>
        <w:rPr>
          <w:rFonts w:ascii="Times New Roman" w:eastAsia="Times New Roman"/>
          <w:position w:val="1"/>
        </w:rPr>
        <w:t>&lt;</w:t>
      </w:r>
      <w:r>
        <w:rPr/>
        <w:t>浙江省建设项目主要污染物总量准入审核办法（试行）</w:t>
      </w:r>
      <w:r>
        <w:rPr>
          <w:rFonts w:ascii="Times New Roman" w:eastAsia="Times New Roman"/>
          <w:position w:val="1"/>
        </w:rPr>
        <w:t>&gt;</w:t>
      </w:r>
      <w:r>
        <w:rPr/>
        <w:t>的通知》， 浙环发</w:t>
      </w:r>
      <w:r>
        <w:rPr>
          <w:rFonts w:ascii="Times New Roman" w:eastAsia="Times New Roman"/>
          <w:position w:val="1"/>
        </w:rPr>
        <w:t>[2012]10 </w:t>
      </w:r>
      <w:r>
        <w:rPr/>
        <w:t>号；</w:t>
      </w:r>
    </w:p>
    <w:p>
      <w:pPr>
        <w:pStyle w:val="BodyText"/>
        <w:spacing w:before="1"/>
        <w:ind w:left="717"/>
        <w:rPr>
          <w:rFonts w:ascii="Times New Roman" w:hAnsi="Times New Roman" w:eastAsia="Times New Roman"/>
        </w:rPr>
      </w:pPr>
      <w:r>
        <w:rPr>
          <w:rFonts w:ascii="Times New Roman" w:hAnsi="Times New Roman" w:eastAsia="Times New Roman"/>
          <w:position w:val="1"/>
        </w:rPr>
        <w:t>9</w:t>
      </w:r>
      <w:r>
        <w:rPr/>
        <w:t>、《关于切实加强建设项目环保</w:t>
      </w:r>
      <w:r>
        <w:rPr>
          <w:rFonts w:ascii="Times New Roman" w:hAnsi="Times New Roman" w:eastAsia="Times New Roman"/>
          <w:position w:val="1"/>
        </w:rPr>
        <w:t>“</w:t>
      </w:r>
      <w:r>
        <w:rPr/>
        <w:t>三同时</w:t>
      </w:r>
      <w:r>
        <w:rPr>
          <w:rFonts w:ascii="Times New Roman" w:hAnsi="Times New Roman" w:eastAsia="Times New Roman"/>
          <w:position w:val="1"/>
        </w:rPr>
        <w:t>”</w:t>
      </w:r>
      <w:r>
        <w:rPr/>
        <w:t>监督管理工作的通知》，浙环发</w:t>
      </w:r>
      <w:r>
        <w:rPr>
          <w:rFonts w:ascii="Times New Roman" w:hAnsi="Times New Roman" w:eastAsia="Times New Roman"/>
          <w:position w:val="1"/>
        </w:rPr>
        <w:t>[2014]26</w:t>
      </w:r>
    </w:p>
    <w:p>
      <w:pPr>
        <w:pStyle w:val="BodyText"/>
        <w:spacing w:before="161"/>
      </w:pPr>
      <w:r>
        <w:rPr/>
        <w:t>号；</w:t>
      </w:r>
    </w:p>
    <w:p>
      <w:pPr>
        <w:pStyle w:val="BodyText"/>
        <w:spacing w:line="364" w:lineRule="auto" w:before="160"/>
        <w:ind w:right="254" w:firstLine="480"/>
      </w:pPr>
      <w:r>
        <w:rPr>
          <w:rFonts w:ascii="Times New Roman" w:eastAsia="Times New Roman"/>
          <w:position w:val="1"/>
        </w:rPr>
        <w:t>10</w:t>
      </w:r>
      <w:r>
        <w:rPr/>
        <w:t>、《关于深化推进畜牧业转型升级科学落实生态化治理要求的指导性意见》，浙农专发</w:t>
      </w:r>
      <w:r>
        <w:rPr>
          <w:rFonts w:ascii="Times New Roman" w:eastAsia="Times New Roman"/>
          <w:position w:val="1"/>
        </w:rPr>
        <w:t>[2014]74 </w:t>
      </w:r>
      <w:r>
        <w:rPr/>
        <w:t>号；</w:t>
      </w:r>
    </w:p>
    <w:p>
      <w:pPr>
        <w:pStyle w:val="BodyText"/>
        <w:spacing w:line="364" w:lineRule="auto" w:before="2"/>
        <w:ind w:right="249" w:firstLine="480"/>
      </w:pPr>
      <w:r>
        <w:rPr>
          <w:rFonts w:ascii="Times New Roman" w:eastAsia="Times New Roman"/>
          <w:position w:val="1"/>
        </w:rPr>
        <w:t>11</w:t>
      </w:r>
      <w:r>
        <w:rPr>
          <w:spacing w:val="-1"/>
        </w:rPr>
        <w:t>、《浙江省农业厅浙江省国土资源厅浙江省环境保护厅浙江省林业厅 </w:t>
      </w:r>
      <w:r>
        <w:rPr>
          <w:rFonts w:ascii="Times New Roman" w:eastAsia="Times New Roman"/>
          <w:position w:val="1"/>
        </w:rPr>
        <w:t>4 </w:t>
      </w:r>
      <w:r>
        <w:rPr>
          <w:spacing w:val="-5"/>
        </w:rPr>
        <w:t>部门关于</w:t>
      </w:r>
      <w:r>
        <w:rPr/>
        <w:t>支持畜牧业绿色发展的意见》，浙农专发</w:t>
      </w:r>
      <w:r>
        <w:rPr>
          <w:rFonts w:ascii="Times New Roman" w:eastAsia="Times New Roman"/>
          <w:position w:val="1"/>
        </w:rPr>
        <w:t>[2016]97 </w:t>
      </w:r>
      <w:r>
        <w:rPr/>
        <w:t>号；</w:t>
      </w:r>
    </w:p>
    <w:p>
      <w:pPr>
        <w:pStyle w:val="BodyText"/>
        <w:spacing w:before="1"/>
        <w:ind w:left="717"/>
      </w:pPr>
      <w:r>
        <w:rPr>
          <w:rFonts w:ascii="Times New Roman" w:eastAsia="Times New Roman"/>
          <w:position w:val="1"/>
        </w:rPr>
        <w:t>12</w:t>
      </w:r>
      <w:r>
        <w:rPr/>
        <w:t>、《关于进一步规范危废转移过程环境监管工作的通知》，浙环函</w:t>
      </w:r>
      <w:r>
        <w:rPr>
          <w:rFonts w:ascii="Times New Roman" w:eastAsia="Times New Roman"/>
          <w:position w:val="1"/>
        </w:rPr>
        <w:t>[2017]39 </w:t>
      </w:r>
      <w:r>
        <w:rPr/>
        <w:t>号；</w:t>
      </w:r>
    </w:p>
    <w:p>
      <w:pPr>
        <w:pStyle w:val="BodyText"/>
        <w:spacing w:before="161"/>
        <w:ind w:left="717"/>
        <w:rPr>
          <w:rFonts w:ascii="Times New Roman" w:hAnsi="Times New Roman" w:eastAsia="Times New Roman"/>
        </w:rPr>
      </w:pPr>
      <w:r>
        <w:rPr>
          <w:rFonts w:ascii="Times New Roman" w:hAnsi="Times New Roman" w:eastAsia="Times New Roman"/>
          <w:position w:val="1"/>
        </w:rPr>
        <w:t>13</w:t>
      </w:r>
      <w:r>
        <w:rPr/>
        <w:t>、《关于印发</w:t>
      </w:r>
      <w:r>
        <w:rPr>
          <w:rFonts w:ascii="Times New Roman" w:hAnsi="Times New Roman" w:eastAsia="Times New Roman"/>
          <w:position w:val="1"/>
        </w:rPr>
        <w:t>&lt;</w:t>
      </w:r>
      <w:r>
        <w:rPr/>
        <w:t>浙江省大气污染防治</w:t>
      </w:r>
      <w:r>
        <w:rPr>
          <w:rFonts w:ascii="Times New Roman" w:hAnsi="Times New Roman" w:eastAsia="Times New Roman"/>
          <w:position w:val="1"/>
        </w:rPr>
        <w:t>“</w:t>
      </w:r>
      <w:r>
        <w:rPr/>
        <w:t>十三五</w:t>
      </w:r>
      <w:r>
        <w:rPr>
          <w:rFonts w:ascii="Times New Roman" w:hAnsi="Times New Roman" w:eastAsia="Times New Roman"/>
          <w:position w:val="1"/>
        </w:rPr>
        <w:t>”</w:t>
      </w:r>
      <w:r>
        <w:rPr/>
        <w:t>规划</w:t>
      </w:r>
      <w:r>
        <w:rPr>
          <w:rFonts w:ascii="Times New Roman" w:hAnsi="Times New Roman" w:eastAsia="Times New Roman"/>
          <w:position w:val="1"/>
        </w:rPr>
        <w:t>&gt;</w:t>
      </w:r>
      <w:r>
        <w:rPr/>
        <w:t>的通知》，浙发改规划</w:t>
      </w:r>
      <w:r>
        <w:rPr>
          <w:rFonts w:ascii="Times New Roman" w:hAnsi="Times New Roman" w:eastAsia="Times New Roman"/>
          <w:position w:val="1"/>
        </w:rPr>
        <w:t>[2017]250</w:t>
      </w:r>
    </w:p>
    <w:p>
      <w:pPr>
        <w:pStyle w:val="BodyText"/>
        <w:spacing w:before="160"/>
      </w:pPr>
      <w:r>
        <w:rPr/>
        <w:t>号；</w:t>
      </w:r>
    </w:p>
    <w:p>
      <w:pPr>
        <w:pStyle w:val="BodyText"/>
        <w:spacing w:line="364" w:lineRule="auto" w:before="161"/>
        <w:ind w:right="254" w:firstLine="480"/>
      </w:pPr>
      <w:r>
        <w:rPr>
          <w:rFonts w:ascii="Times New Roman" w:eastAsia="Times New Roman"/>
          <w:position w:val="1"/>
        </w:rPr>
        <w:t>14</w:t>
      </w:r>
      <w:r>
        <w:rPr/>
        <w:t>、《浙江省人民政府办公厅关于印发浙江省畜禽养殖废弃物高水平资源化利用工作方案的通知》，浙政办发</w:t>
      </w:r>
      <w:r>
        <w:rPr>
          <w:rFonts w:ascii="Times New Roman" w:eastAsia="Times New Roman"/>
          <w:position w:val="1"/>
        </w:rPr>
        <w:t>[2017]108 </w:t>
      </w:r>
      <w:r>
        <w:rPr/>
        <w:t>号；</w:t>
      </w:r>
    </w:p>
    <w:p>
      <w:pPr>
        <w:pStyle w:val="BodyText"/>
        <w:spacing w:line="364" w:lineRule="auto" w:before="1"/>
        <w:ind w:right="254" w:firstLine="480"/>
      </w:pPr>
      <w:r>
        <w:rPr>
          <w:rFonts w:ascii="Times New Roman" w:eastAsia="Times New Roman"/>
          <w:position w:val="1"/>
        </w:rPr>
        <w:t>15</w:t>
      </w:r>
      <w:r>
        <w:rPr/>
        <w:t>、《浙江省人民政府关于印发浙江省打赢蓝天保卫战三年行动计划的通知》，浙政发</w:t>
      </w:r>
      <w:r>
        <w:rPr>
          <w:rFonts w:ascii="Times New Roman" w:eastAsia="Times New Roman"/>
          <w:position w:val="1"/>
        </w:rPr>
        <w:t>[2018]35 </w:t>
      </w:r>
      <w:r>
        <w:rPr/>
        <w:t>号；</w:t>
      </w:r>
    </w:p>
    <w:p>
      <w:pPr>
        <w:pStyle w:val="BodyText"/>
        <w:spacing w:line="364" w:lineRule="auto" w:before="1"/>
        <w:ind w:right="254" w:firstLine="480"/>
      </w:pPr>
      <w:r>
        <w:rPr>
          <w:rFonts w:ascii="Times New Roman" w:eastAsia="Times New Roman"/>
          <w:position w:val="1"/>
        </w:rPr>
        <w:t>16</w:t>
      </w:r>
      <w:r>
        <w:rPr/>
        <w:t>、《浙江省农业厅转发农业部办公厅关于统筹做好畜牧业和畜禽粪污治理工作的通知》，浙农字函</w:t>
      </w:r>
      <w:r>
        <w:rPr>
          <w:rFonts w:ascii="Times New Roman" w:eastAsia="Times New Roman"/>
          <w:position w:val="1"/>
        </w:rPr>
        <w:t>[2018]61 </w:t>
      </w:r>
      <w:r>
        <w:rPr/>
        <w:t>号；</w:t>
      </w:r>
    </w:p>
    <w:p>
      <w:pPr>
        <w:pStyle w:val="BodyText"/>
        <w:spacing w:line="364" w:lineRule="auto" w:before="2"/>
        <w:ind w:right="194" w:firstLine="480"/>
      </w:pPr>
      <w:r>
        <w:rPr>
          <w:rFonts w:ascii="Times New Roman" w:eastAsia="Times New Roman"/>
          <w:position w:val="1"/>
        </w:rPr>
        <w:t>17</w:t>
      </w:r>
      <w:r>
        <w:rPr/>
        <w:t>、《浙江省生态环境厅关于发布</w:t>
      </w:r>
      <w:r>
        <w:rPr>
          <w:rFonts w:ascii="Times New Roman" w:eastAsia="Times New Roman"/>
          <w:position w:val="1"/>
        </w:rPr>
        <w:t>&lt;</w:t>
      </w:r>
      <w:r>
        <w:rPr/>
        <w:t>省生态环境主管部门负责审批环境影响评价文件的建设项目清单（</w:t>
      </w:r>
      <w:r>
        <w:rPr>
          <w:rFonts w:ascii="Times New Roman" w:eastAsia="Times New Roman"/>
          <w:position w:val="1"/>
        </w:rPr>
        <w:t>2019 </w:t>
      </w:r>
      <w:r>
        <w:rPr/>
        <w:t>年本）</w:t>
      </w:r>
      <w:r>
        <w:rPr>
          <w:rFonts w:ascii="Times New Roman" w:eastAsia="Times New Roman"/>
          <w:position w:val="1"/>
        </w:rPr>
        <w:t>&gt;</w:t>
      </w:r>
      <w:r>
        <w:rPr/>
        <w:t>的通知》，浙环发</w:t>
      </w:r>
      <w:r>
        <w:rPr>
          <w:rFonts w:ascii="Times New Roman" w:eastAsia="Times New Roman"/>
          <w:position w:val="1"/>
        </w:rPr>
        <w:t>[2019]22 </w:t>
      </w:r>
      <w:r>
        <w:rPr/>
        <w:t>号；</w:t>
      </w:r>
    </w:p>
    <w:p>
      <w:pPr>
        <w:pStyle w:val="BodyText"/>
        <w:spacing w:line="364" w:lineRule="auto" w:before="1"/>
        <w:ind w:right="259" w:firstLine="480"/>
      </w:pPr>
      <w:r>
        <w:rPr>
          <w:rFonts w:ascii="Times New Roman" w:eastAsia="Times New Roman"/>
          <w:position w:val="1"/>
        </w:rPr>
        <w:t>18</w:t>
      </w:r>
      <w:r>
        <w:rPr/>
        <w:t>、《浙江省生态环境厅关于贯彻落实生态环境部办公厅农业农村部办公厅进一步做好生猪规模养殖环评管理相关工作通知的函》，浙环便函</w:t>
      </w:r>
      <w:r>
        <w:rPr>
          <w:rFonts w:ascii="Times New Roman" w:eastAsia="Times New Roman"/>
          <w:position w:val="1"/>
        </w:rPr>
        <w:t>[2020]46 </w:t>
      </w:r>
      <w:r>
        <w:rPr/>
        <w:t>号；</w:t>
      </w:r>
    </w:p>
    <w:p>
      <w:pPr>
        <w:pStyle w:val="BodyText"/>
        <w:spacing w:before="2"/>
        <w:ind w:left="717"/>
        <w:rPr>
          <w:rFonts w:ascii="Times New Roman" w:eastAsia="Times New Roman"/>
        </w:rPr>
      </w:pPr>
      <w:r>
        <w:rPr>
          <w:rFonts w:ascii="Times New Roman" w:eastAsia="Times New Roman"/>
          <w:position w:val="1"/>
        </w:rPr>
        <w:t>19</w:t>
      </w:r>
      <w:r>
        <w:rPr/>
        <w:t>、《浙江省生态环境厅关于贯彻落实环评审批正面清单的函》，浙环函</w:t>
      </w:r>
      <w:r>
        <w:rPr>
          <w:rFonts w:ascii="Times New Roman" w:eastAsia="Times New Roman"/>
          <w:position w:val="1"/>
        </w:rPr>
        <w:t>[2020]94</w:t>
      </w:r>
    </w:p>
    <w:p>
      <w:pPr>
        <w:pStyle w:val="BodyText"/>
        <w:spacing w:before="160"/>
      </w:pPr>
      <w:r>
        <w:rPr/>
        <w:t>号；</w:t>
      </w:r>
    </w:p>
    <w:p>
      <w:pPr>
        <w:pStyle w:val="BodyText"/>
        <w:spacing w:line="364" w:lineRule="auto" w:before="161"/>
        <w:ind w:right="263" w:firstLine="480"/>
      </w:pPr>
      <w:r>
        <w:rPr>
          <w:rFonts w:ascii="Times New Roman" w:eastAsia="Times New Roman"/>
          <w:position w:val="1"/>
        </w:rPr>
        <w:t>20</w:t>
      </w:r>
      <w:r>
        <w:rPr/>
        <w:t>、《绍兴市人民政府办公室关于印发绍兴市区排污权有偿使用和交易试点工作实施办法的通知》，绍政办发</w:t>
      </w:r>
      <w:r>
        <w:rPr>
          <w:rFonts w:ascii="Times New Roman" w:eastAsia="Times New Roman"/>
          <w:position w:val="1"/>
        </w:rPr>
        <w:t>[2012]5 </w:t>
      </w:r>
      <w:r>
        <w:rPr/>
        <w:t>号；</w:t>
      </w:r>
    </w:p>
    <w:p>
      <w:pPr>
        <w:pStyle w:val="BodyText"/>
        <w:spacing w:before="1"/>
        <w:ind w:left="717"/>
      </w:pPr>
      <w:r>
        <w:rPr>
          <w:rFonts w:ascii="Times New Roman" w:eastAsia="Times New Roman"/>
          <w:position w:val="1"/>
        </w:rPr>
        <w:t>21</w:t>
      </w:r>
      <w:r>
        <w:rPr/>
        <w:t>、《关于印发加强畜禽养殖污染防治长效管理工作实施意见的通知》，绍县政办</w:t>
      </w:r>
    </w:p>
    <w:p>
      <w:pPr>
        <w:spacing w:after="0"/>
        <w:sectPr>
          <w:pgSz w:w="11910" w:h="16840"/>
          <w:pgMar w:header="874" w:footer="1004" w:top="1400" w:bottom="1200" w:left="1040" w:right="1160"/>
        </w:sectPr>
      </w:pPr>
    </w:p>
    <w:p>
      <w:pPr>
        <w:pStyle w:val="BodyText"/>
        <w:spacing w:before="121"/>
      </w:pPr>
      <w:r>
        <w:rPr/>
        <w:t>发</w:t>
      </w:r>
      <w:r>
        <w:rPr>
          <w:rFonts w:ascii="Times New Roman" w:eastAsia="Times New Roman"/>
          <w:position w:val="1"/>
        </w:rPr>
        <w:t>[2012]130 </w:t>
      </w:r>
      <w:r>
        <w:rPr/>
        <w:t>号；</w:t>
      </w:r>
    </w:p>
    <w:p>
      <w:pPr>
        <w:pStyle w:val="BodyText"/>
        <w:spacing w:line="364" w:lineRule="auto" w:before="161"/>
        <w:ind w:right="254" w:firstLine="480"/>
      </w:pPr>
      <w:r>
        <w:rPr>
          <w:rFonts w:ascii="Times New Roman" w:eastAsia="Times New Roman"/>
          <w:position w:val="1"/>
        </w:rPr>
        <w:t>22</w:t>
      </w:r>
      <w:r>
        <w:rPr/>
        <w:t>、《关于加强畜禽养殖污染防治促进畜牧业转型升级的实施意见》，绍县政办发</w:t>
      </w:r>
      <w:r>
        <w:rPr>
          <w:rFonts w:ascii="Times New Roman" w:eastAsia="Times New Roman"/>
          <w:position w:val="1"/>
        </w:rPr>
        <w:t>[2013]98 </w:t>
      </w:r>
      <w:r>
        <w:rPr/>
        <w:t>号；</w:t>
      </w:r>
    </w:p>
    <w:p>
      <w:pPr>
        <w:pStyle w:val="BodyText"/>
        <w:spacing w:line="364" w:lineRule="auto" w:before="1"/>
        <w:ind w:right="254" w:firstLine="480"/>
      </w:pPr>
      <w:r>
        <w:rPr>
          <w:rFonts w:ascii="Times New Roman" w:eastAsia="Times New Roman"/>
          <w:position w:val="1"/>
        </w:rPr>
        <w:t>23</w:t>
      </w:r>
      <w:r>
        <w:rPr/>
        <w:t>、《绍兴县农业局关于进一步做好畜禽养殖污染防治工作有关事项的通知》，绍农发</w:t>
      </w:r>
      <w:r>
        <w:rPr>
          <w:rFonts w:ascii="Times New Roman" w:eastAsia="Times New Roman"/>
          <w:position w:val="1"/>
        </w:rPr>
        <w:t>[2013]137</w:t>
      </w:r>
      <w:r>
        <w:rPr>
          <w:rFonts w:ascii="Times New Roman" w:eastAsia="Times New Roman"/>
          <w:spacing w:val="-1"/>
          <w:position w:val="1"/>
        </w:rPr>
        <w:t> </w:t>
      </w:r>
      <w:r>
        <w:rPr/>
        <w:t>号；</w:t>
      </w:r>
    </w:p>
    <w:p>
      <w:pPr>
        <w:pStyle w:val="BodyText"/>
        <w:spacing w:line="364" w:lineRule="auto" w:before="1"/>
        <w:ind w:right="254" w:firstLine="480"/>
      </w:pPr>
      <w:r>
        <w:rPr>
          <w:rFonts w:ascii="Times New Roman" w:eastAsia="Times New Roman"/>
          <w:position w:val="1"/>
        </w:rPr>
        <w:t>24</w:t>
      </w:r>
      <w:r>
        <w:rPr/>
        <w:t>、《关于印发柯桥区重点规模生猪养殖场污染提升治理实施意见的通知》，绍柯农发</w:t>
      </w:r>
      <w:r>
        <w:rPr>
          <w:rFonts w:ascii="Times New Roman" w:eastAsia="Times New Roman"/>
          <w:position w:val="1"/>
        </w:rPr>
        <w:t>[2014]106</w:t>
      </w:r>
      <w:r>
        <w:rPr>
          <w:rFonts w:ascii="Times New Roman" w:eastAsia="Times New Roman"/>
          <w:spacing w:val="-1"/>
          <w:position w:val="1"/>
        </w:rPr>
        <w:t> </w:t>
      </w:r>
      <w:r>
        <w:rPr/>
        <w:t>号；</w:t>
      </w:r>
    </w:p>
    <w:p>
      <w:pPr>
        <w:pStyle w:val="BodyText"/>
        <w:spacing w:line="364" w:lineRule="auto" w:before="1"/>
        <w:ind w:right="254" w:firstLine="480"/>
      </w:pPr>
      <w:r>
        <w:rPr>
          <w:rFonts w:ascii="Times New Roman" w:eastAsia="Times New Roman"/>
          <w:position w:val="1"/>
        </w:rPr>
        <w:t>25</w:t>
      </w:r>
      <w:r>
        <w:rPr/>
        <w:t>、《关于加快推进柯桥区生猪规模养殖场污染治理工作的专题会议纪要》，柯桥区人民政府办公室</w:t>
      </w:r>
      <w:r>
        <w:rPr>
          <w:rFonts w:ascii="Times New Roman" w:eastAsia="Times New Roman"/>
          <w:position w:val="1"/>
        </w:rPr>
        <w:t>[2015]81 </w:t>
      </w:r>
      <w:r>
        <w:rPr/>
        <w:t>号；</w:t>
      </w:r>
    </w:p>
    <w:p>
      <w:pPr>
        <w:pStyle w:val="BodyText"/>
        <w:spacing w:line="364" w:lineRule="auto" w:before="2"/>
        <w:ind w:right="254" w:firstLine="480"/>
      </w:pPr>
      <w:r>
        <w:rPr>
          <w:rFonts w:ascii="Times New Roman" w:eastAsia="Times New Roman"/>
          <w:position w:val="1"/>
        </w:rPr>
        <w:t>26</w:t>
      </w:r>
      <w:r>
        <w:rPr/>
        <w:t>、《绍兴市柯桥区人民政府办公室关于印发柯桥区病死动物集中无害化处理实施意见的通知》，绍柯政办发</w:t>
      </w:r>
      <w:r>
        <w:rPr>
          <w:rFonts w:ascii="Times New Roman" w:eastAsia="Times New Roman"/>
          <w:position w:val="1"/>
        </w:rPr>
        <w:t>[2018]47 </w:t>
      </w:r>
      <w:r>
        <w:rPr/>
        <w:t>号；</w:t>
      </w:r>
    </w:p>
    <w:p>
      <w:pPr>
        <w:pStyle w:val="BodyText"/>
        <w:spacing w:line="364" w:lineRule="auto" w:before="1"/>
        <w:ind w:right="251" w:firstLine="480"/>
      </w:pPr>
      <w:r>
        <w:rPr>
          <w:rFonts w:ascii="Times New Roman" w:eastAsia="Times New Roman"/>
          <w:position w:val="1"/>
        </w:rPr>
        <w:t>27</w:t>
      </w:r>
      <w:r>
        <w:rPr/>
        <w:t>、《绍兴市生态环境局柯桥分局 绍兴市柯桥区农业农村局关于印发</w:t>
      </w:r>
      <w:r>
        <w:rPr>
          <w:rFonts w:ascii="Times New Roman" w:eastAsia="Times New Roman"/>
          <w:position w:val="1"/>
        </w:rPr>
        <w:t>&lt;</w:t>
      </w:r>
      <w:r>
        <w:rPr/>
        <w:t>柯桥区畜禽养殖禁养区划分与管理规定</w:t>
      </w:r>
      <w:r>
        <w:rPr>
          <w:rFonts w:ascii="Times New Roman" w:eastAsia="Times New Roman"/>
          <w:position w:val="1"/>
        </w:rPr>
        <w:t>&gt;</w:t>
      </w:r>
      <w:r>
        <w:rPr/>
        <w:t>的通知》，绍市环柯桥</w:t>
      </w:r>
      <w:r>
        <w:rPr>
          <w:rFonts w:ascii="Times New Roman" w:eastAsia="Times New Roman"/>
          <w:position w:val="1"/>
        </w:rPr>
        <w:t>[2020]1 </w:t>
      </w:r>
      <w:r>
        <w:rPr/>
        <w:t>号。</w:t>
      </w:r>
    </w:p>
    <w:p>
      <w:pPr>
        <w:pStyle w:val="Heading3"/>
        <w:numPr>
          <w:ilvl w:val="2"/>
          <w:numId w:val="12"/>
        </w:numPr>
        <w:tabs>
          <w:tab w:pos="838" w:val="left" w:leader="none"/>
        </w:tabs>
        <w:spacing w:line="240" w:lineRule="auto" w:before="1" w:after="0"/>
        <w:ind w:left="837" w:right="0" w:hanging="601"/>
        <w:jc w:val="left"/>
      </w:pPr>
      <w:bookmarkStart w:name="_bookmark17" w:id="33"/>
      <w:bookmarkEnd w:id="33"/>
      <w:r>
        <w:rPr>
          <w:b w:val="0"/>
        </w:rPr>
      </w:r>
      <w:bookmarkStart w:name="_bookmark17" w:id="34"/>
      <w:bookmarkEnd w:id="34"/>
      <w:r>
        <w:rPr/>
        <w:t>相关政策及规划</w:t>
      </w:r>
    </w:p>
    <w:p>
      <w:pPr>
        <w:spacing w:before="161"/>
        <w:ind w:left="719" w:right="0" w:firstLine="0"/>
        <w:jc w:val="left"/>
        <w:rPr>
          <w:b/>
          <w:sz w:val="24"/>
        </w:rPr>
      </w:pPr>
      <w:r>
        <w:rPr>
          <w:rFonts w:ascii="Times New Roman" w:eastAsia="Times New Roman"/>
          <w:b/>
          <w:sz w:val="24"/>
        </w:rPr>
        <w:t>1</w:t>
      </w:r>
      <w:r>
        <w:rPr>
          <w:b/>
          <w:sz w:val="24"/>
        </w:rPr>
        <w:t>、有关产业政策</w:t>
      </w:r>
    </w:p>
    <w:p>
      <w:pPr>
        <w:pStyle w:val="ListParagraph"/>
        <w:numPr>
          <w:ilvl w:val="3"/>
          <w:numId w:val="12"/>
        </w:numPr>
        <w:tabs>
          <w:tab w:pos="1319" w:val="left" w:leader="none"/>
        </w:tabs>
        <w:spacing w:line="240" w:lineRule="auto" w:before="161" w:after="0"/>
        <w:ind w:left="1318" w:right="0" w:hanging="602"/>
        <w:jc w:val="left"/>
        <w:rPr>
          <w:sz w:val="22"/>
        </w:rPr>
      </w:pPr>
      <w:r>
        <w:rPr>
          <w:sz w:val="24"/>
        </w:rPr>
        <w:t>《产业结构调整指导目录（</w:t>
      </w:r>
      <w:r>
        <w:rPr>
          <w:rFonts w:ascii="Times New Roman" w:eastAsia="Times New Roman"/>
          <w:position w:val="1"/>
          <w:sz w:val="24"/>
        </w:rPr>
        <w:t>2019 </w:t>
      </w:r>
      <w:r>
        <w:rPr>
          <w:sz w:val="24"/>
        </w:rPr>
        <w:t>年本）</w:t>
      </w:r>
      <w:r>
        <w:rPr>
          <w:spacing w:val="-9"/>
          <w:sz w:val="24"/>
        </w:rPr>
        <w:t>》，发改委第 </w:t>
      </w:r>
      <w:r>
        <w:rPr>
          <w:rFonts w:ascii="Times New Roman" w:eastAsia="Times New Roman"/>
          <w:position w:val="1"/>
          <w:sz w:val="24"/>
        </w:rPr>
        <w:t>29 </w:t>
      </w:r>
      <w:r>
        <w:rPr>
          <w:sz w:val="24"/>
        </w:rPr>
        <w:t>号令；</w:t>
      </w:r>
    </w:p>
    <w:p>
      <w:pPr>
        <w:pStyle w:val="ListParagraph"/>
        <w:numPr>
          <w:ilvl w:val="3"/>
          <w:numId w:val="12"/>
        </w:numPr>
        <w:tabs>
          <w:tab w:pos="1319" w:val="left" w:leader="none"/>
        </w:tabs>
        <w:spacing w:line="364" w:lineRule="auto" w:before="160" w:after="0"/>
        <w:ind w:left="237" w:right="251" w:firstLine="480"/>
        <w:jc w:val="left"/>
        <w:rPr>
          <w:sz w:val="22"/>
        </w:rPr>
      </w:pPr>
      <w:r>
        <w:rPr>
          <w:sz w:val="24"/>
        </w:rPr>
        <w:t>《关于发布实施</w:t>
      </w:r>
      <w:r>
        <w:rPr>
          <w:rFonts w:ascii="Times New Roman" w:eastAsia="Times New Roman"/>
          <w:position w:val="1"/>
          <w:sz w:val="24"/>
        </w:rPr>
        <w:t>&lt;</w:t>
      </w:r>
      <w:r>
        <w:rPr>
          <w:spacing w:val="-7"/>
          <w:sz w:val="24"/>
        </w:rPr>
        <w:t>限制用地项目目录</w:t>
      </w:r>
      <w:r>
        <w:rPr>
          <w:sz w:val="24"/>
        </w:rPr>
        <w:t>（</w:t>
      </w:r>
      <w:r>
        <w:rPr>
          <w:rFonts w:ascii="Times New Roman" w:eastAsia="Times New Roman"/>
          <w:position w:val="1"/>
          <w:sz w:val="24"/>
        </w:rPr>
        <w:t>2012 </w:t>
      </w:r>
      <w:r>
        <w:rPr>
          <w:sz w:val="24"/>
        </w:rPr>
        <w:t>年本</w:t>
      </w:r>
      <w:r>
        <w:rPr>
          <w:spacing w:val="-26"/>
          <w:sz w:val="24"/>
        </w:rPr>
        <w:t>）</w:t>
      </w:r>
      <w:r>
        <w:rPr>
          <w:rFonts w:ascii="Times New Roman" w:eastAsia="Times New Roman"/>
          <w:spacing w:val="-26"/>
          <w:position w:val="1"/>
          <w:sz w:val="24"/>
        </w:rPr>
        <w:t>&gt;</w:t>
      </w:r>
      <w:r>
        <w:rPr>
          <w:sz w:val="24"/>
        </w:rPr>
        <w:t>和</w:t>
      </w:r>
      <w:r>
        <w:rPr>
          <w:rFonts w:ascii="Times New Roman" w:eastAsia="Times New Roman"/>
          <w:position w:val="1"/>
          <w:sz w:val="24"/>
        </w:rPr>
        <w:t>&lt;</w:t>
      </w:r>
      <w:r>
        <w:rPr>
          <w:spacing w:val="-7"/>
          <w:sz w:val="24"/>
        </w:rPr>
        <w:t>禁止用地项目目录</w:t>
      </w:r>
      <w:r>
        <w:rPr>
          <w:spacing w:val="-3"/>
          <w:sz w:val="24"/>
        </w:rPr>
        <w:t>（</w:t>
      </w:r>
      <w:r>
        <w:rPr>
          <w:rFonts w:ascii="Times New Roman" w:eastAsia="Times New Roman"/>
          <w:spacing w:val="-3"/>
          <w:position w:val="1"/>
          <w:sz w:val="24"/>
        </w:rPr>
        <w:t>2012</w:t>
      </w:r>
      <w:r>
        <w:rPr>
          <w:sz w:val="24"/>
        </w:rPr>
        <w:t>年本）</w:t>
      </w:r>
      <w:r>
        <w:rPr>
          <w:rFonts w:ascii="Times New Roman" w:eastAsia="Times New Roman"/>
          <w:position w:val="1"/>
          <w:sz w:val="24"/>
        </w:rPr>
        <w:t>&gt;</w:t>
      </w:r>
      <w:r>
        <w:rPr>
          <w:sz w:val="24"/>
        </w:rPr>
        <w:t>的通知》，国土资源部、国家发改委；</w:t>
      </w:r>
    </w:p>
    <w:p>
      <w:pPr>
        <w:pStyle w:val="ListParagraph"/>
        <w:numPr>
          <w:ilvl w:val="3"/>
          <w:numId w:val="12"/>
        </w:numPr>
        <w:tabs>
          <w:tab w:pos="1319" w:val="left" w:leader="none"/>
        </w:tabs>
        <w:spacing w:line="240" w:lineRule="auto" w:before="2" w:after="0"/>
        <w:ind w:left="1318" w:right="0" w:hanging="602"/>
        <w:jc w:val="left"/>
        <w:rPr>
          <w:sz w:val="22"/>
        </w:rPr>
      </w:pPr>
      <w:r>
        <w:rPr>
          <w:sz w:val="24"/>
        </w:rPr>
        <w:t>《浙江省生猪养殖业环境准入指导意见（修订）》，浙环发</w:t>
      </w:r>
      <w:r>
        <w:rPr>
          <w:rFonts w:ascii="Times New Roman" w:eastAsia="Times New Roman"/>
          <w:position w:val="1"/>
          <w:sz w:val="24"/>
        </w:rPr>
        <w:t>[2016]12</w:t>
      </w:r>
      <w:r>
        <w:rPr>
          <w:rFonts w:ascii="Times New Roman" w:eastAsia="Times New Roman"/>
          <w:spacing w:val="-1"/>
          <w:position w:val="1"/>
          <w:sz w:val="24"/>
        </w:rPr>
        <w:t> </w:t>
      </w:r>
      <w:r>
        <w:rPr>
          <w:sz w:val="24"/>
        </w:rPr>
        <w:t>号。</w:t>
      </w:r>
    </w:p>
    <w:p>
      <w:pPr>
        <w:pStyle w:val="Heading3"/>
        <w:spacing w:before="160"/>
      </w:pPr>
      <w:r>
        <w:rPr>
          <w:rFonts w:ascii="Times New Roman" w:eastAsia="Times New Roman"/>
        </w:rPr>
        <w:t>2</w:t>
      </w:r>
      <w:r>
        <w:rPr/>
        <w:t>、有关规划</w:t>
      </w:r>
    </w:p>
    <w:p>
      <w:pPr>
        <w:pStyle w:val="ListParagraph"/>
        <w:numPr>
          <w:ilvl w:val="0"/>
          <w:numId w:val="13"/>
        </w:numPr>
        <w:tabs>
          <w:tab w:pos="1319" w:val="left" w:leader="none"/>
        </w:tabs>
        <w:spacing w:line="240" w:lineRule="auto" w:before="161" w:after="0"/>
        <w:ind w:left="1318" w:right="0" w:hanging="602"/>
        <w:jc w:val="left"/>
        <w:rPr>
          <w:sz w:val="24"/>
        </w:rPr>
      </w:pPr>
      <w:r>
        <w:rPr>
          <w:sz w:val="24"/>
        </w:rPr>
        <w:t>《浙江省空气质量功能区划分方案》，省人民政府，</w:t>
      </w:r>
      <w:r>
        <w:rPr>
          <w:rFonts w:ascii="Times New Roman" w:eastAsia="Times New Roman"/>
          <w:position w:val="1"/>
          <w:sz w:val="24"/>
        </w:rPr>
        <w:t>1998.10</w:t>
      </w:r>
      <w:r>
        <w:rPr>
          <w:sz w:val="24"/>
        </w:rPr>
        <w:t>；</w:t>
      </w:r>
    </w:p>
    <w:p>
      <w:pPr>
        <w:pStyle w:val="ListParagraph"/>
        <w:numPr>
          <w:ilvl w:val="0"/>
          <w:numId w:val="13"/>
        </w:numPr>
        <w:tabs>
          <w:tab w:pos="1319" w:val="left" w:leader="none"/>
        </w:tabs>
        <w:spacing w:line="240" w:lineRule="auto" w:before="160" w:after="0"/>
        <w:ind w:left="1318" w:right="0" w:hanging="602"/>
        <w:jc w:val="left"/>
        <w:rPr>
          <w:sz w:val="24"/>
        </w:rPr>
      </w:pPr>
      <w:r>
        <w:rPr>
          <w:sz w:val="24"/>
        </w:rPr>
        <w:t>《浙江省水功能区水环境功能区划分方案（</w:t>
      </w:r>
      <w:r>
        <w:rPr>
          <w:rFonts w:ascii="Times New Roman" w:eastAsia="Times New Roman"/>
          <w:position w:val="1"/>
          <w:sz w:val="24"/>
        </w:rPr>
        <w:t>2015</w:t>
      </w:r>
      <w:r>
        <w:rPr>
          <w:sz w:val="24"/>
        </w:rPr>
        <w:t>）》，</w:t>
      </w:r>
      <w:r>
        <w:rPr>
          <w:rFonts w:ascii="Times New Roman" w:eastAsia="Times New Roman"/>
          <w:position w:val="1"/>
          <w:sz w:val="24"/>
        </w:rPr>
        <w:t>2015.6</w:t>
      </w:r>
      <w:r>
        <w:rPr>
          <w:sz w:val="24"/>
        </w:rPr>
        <w:t>；</w:t>
      </w:r>
    </w:p>
    <w:p>
      <w:pPr>
        <w:pStyle w:val="BodyText"/>
        <w:spacing w:before="161"/>
        <w:ind w:left="717"/>
      </w:pPr>
      <w:r>
        <w:rPr/>
        <w:t>（</w:t>
      </w:r>
      <w:r>
        <w:rPr>
          <w:rFonts w:ascii="Times New Roman" w:eastAsia="Times New Roman"/>
          <w:position w:val="1"/>
        </w:rPr>
        <w:t>3</w:t>
      </w:r>
      <w:r>
        <w:rPr/>
        <w:t>）《浙江省畜禽养殖污染防治规划》（</w:t>
      </w:r>
      <w:r>
        <w:rPr>
          <w:rFonts w:ascii="Times New Roman" w:eastAsia="Times New Roman"/>
          <w:position w:val="1"/>
        </w:rPr>
        <w:t>2016-2020 </w:t>
      </w:r>
      <w:r>
        <w:rPr/>
        <w:t>年），</w:t>
      </w:r>
      <w:r>
        <w:rPr>
          <w:rFonts w:ascii="Times New Roman" w:eastAsia="Times New Roman"/>
          <w:position w:val="1"/>
        </w:rPr>
        <w:t>2017.4</w:t>
      </w:r>
      <w:r>
        <w:rPr/>
        <w:t>；</w:t>
      </w:r>
    </w:p>
    <w:p>
      <w:pPr>
        <w:pStyle w:val="BodyText"/>
        <w:spacing w:before="161"/>
        <w:ind w:left="717"/>
      </w:pPr>
      <w:r>
        <w:rPr/>
        <w:t>（</w:t>
      </w:r>
      <w:r>
        <w:rPr>
          <w:rFonts w:ascii="Times New Roman" w:hAnsi="Times New Roman" w:eastAsia="Times New Roman"/>
          <w:position w:val="1"/>
        </w:rPr>
        <w:t>4</w:t>
      </w:r>
      <w:r>
        <w:rPr/>
        <w:t>）《绍兴市“三线一单”生态环境分区管控方案》，绍兴市生态环境局，</w:t>
      </w:r>
      <w:r>
        <w:rPr>
          <w:rFonts w:ascii="Times New Roman" w:hAnsi="Times New Roman" w:eastAsia="Times New Roman"/>
          <w:position w:val="1"/>
        </w:rPr>
        <w:t>2020.8</w:t>
      </w:r>
      <w:r>
        <w:rPr/>
        <w:t>。</w:t>
      </w:r>
    </w:p>
    <w:p>
      <w:pPr>
        <w:pStyle w:val="Heading3"/>
        <w:numPr>
          <w:ilvl w:val="2"/>
          <w:numId w:val="12"/>
        </w:numPr>
        <w:tabs>
          <w:tab w:pos="838" w:val="left" w:leader="none"/>
        </w:tabs>
        <w:spacing w:line="240" w:lineRule="auto" w:before="160" w:after="0"/>
        <w:ind w:left="837" w:right="0" w:hanging="601"/>
        <w:jc w:val="left"/>
      </w:pPr>
      <w:bookmarkStart w:name="_bookmark18" w:id="35"/>
      <w:bookmarkEnd w:id="35"/>
      <w:r>
        <w:rPr>
          <w:b w:val="0"/>
        </w:rPr>
      </w:r>
      <w:bookmarkStart w:name="_bookmark18" w:id="36"/>
      <w:bookmarkEnd w:id="36"/>
      <w:r>
        <w:rPr/>
        <w:t>相关导则及技术规范</w:t>
      </w:r>
    </w:p>
    <w:p>
      <w:pPr>
        <w:pStyle w:val="BodyText"/>
        <w:spacing w:before="161"/>
        <w:ind w:left="717"/>
      </w:pPr>
      <w:r>
        <w:rPr>
          <w:rFonts w:ascii="Times New Roman" w:eastAsia="Times New Roman"/>
          <w:position w:val="1"/>
        </w:rPr>
        <w:t>1</w:t>
      </w:r>
      <w:r>
        <w:rPr/>
        <w:t>、《建设项目环境影响评价技术导则 总纲》（</w:t>
      </w:r>
      <w:r>
        <w:rPr>
          <w:rFonts w:ascii="Times New Roman" w:eastAsia="Times New Roman"/>
          <w:position w:val="1"/>
        </w:rPr>
        <w:t>HJ 2.1-2016</w:t>
      </w:r>
      <w:r>
        <w:rPr/>
        <w:t>），</w:t>
      </w:r>
      <w:r>
        <w:rPr>
          <w:rFonts w:ascii="Times New Roman" w:eastAsia="Times New Roman"/>
          <w:position w:val="1"/>
        </w:rPr>
        <w:t>2017.1.1 </w:t>
      </w:r>
      <w:r>
        <w:rPr/>
        <w:t>起实施；</w:t>
      </w:r>
    </w:p>
    <w:p>
      <w:pPr>
        <w:pStyle w:val="BodyText"/>
        <w:spacing w:before="160"/>
        <w:ind w:left="717"/>
      </w:pPr>
      <w:r>
        <w:rPr>
          <w:rFonts w:ascii="Times New Roman" w:eastAsia="Times New Roman"/>
          <w:position w:val="1"/>
        </w:rPr>
        <w:t>2</w:t>
      </w:r>
      <w:r>
        <w:rPr/>
        <w:t>、《环境影响评价技术导则 地表水环境》（</w:t>
      </w:r>
      <w:r>
        <w:rPr>
          <w:rFonts w:ascii="Times New Roman" w:eastAsia="Times New Roman"/>
          <w:position w:val="1"/>
        </w:rPr>
        <w:t>HJ 2.3-2018</w:t>
      </w:r>
      <w:r>
        <w:rPr/>
        <w:t>），</w:t>
      </w:r>
      <w:r>
        <w:rPr>
          <w:rFonts w:ascii="Times New Roman" w:eastAsia="Times New Roman"/>
          <w:position w:val="1"/>
        </w:rPr>
        <w:t>2019.3.1 </w:t>
      </w:r>
      <w:r>
        <w:rPr/>
        <w:t>起实施；</w:t>
      </w:r>
    </w:p>
    <w:p>
      <w:pPr>
        <w:pStyle w:val="BodyText"/>
        <w:spacing w:before="161"/>
        <w:ind w:left="717"/>
      </w:pPr>
      <w:r>
        <w:rPr>
          <w:rFonts w:ascii="Times New Roman" w:eastAsia="Times New Roman"/>
          <w:position w:val="1"/>
        </w:rPr>
        <w:t>3</w:t>
      </w:r>
      <w:r>
        <w:rPr/>
        <w:t>、《环境影响评价技术导则 地下水环境》（</w:t>
      </w:r>
      <w:r>
        <w:rPr>
          <w:rFonts w:ascii="Times New Roman" w:eastAsia="Times New Roman"/>
          <w:position w:val="1"/>
        </w:rPr>
        <w:t>HJ 610-2016</w:t>
      </w:r>
      <w:r>
        <w:rPr/>
        <w:t>），</w:t>
      </w:r>
      <w:r>
        <w:rPr>
          <w:rFonts w:ascii="Times New Roman" w:eastAsia="Times New Roman"/>
          <w:position w:val="1"/>
        </w:rPr>
        <w:t>2016.1.7 </w:t>
      </w:r>
      <w:r>
        <w:rPr/>
        <w:t>起实施；</w:t>
      </w:r>
    </w:p>
    <w:p>
      <w:pPr>
        <w:pStyle w:val="BodyText"/>
        <w:spacing w:before="160"/>
        <w:ind w:left="717"/>
      </w:pPr>
      <w:r>
        <w:rPr>
          <w:rFonts w:ascii="Times New Roman" w:eastAsia="Times New Roman"/>
          <w:position w:val="1"/>
        </w:rPr>
        <w:t>4</w:t>
      </w:r>
      <w:r>
        <w:rPr/>
        <w:t>、《环境影响评价技术导则 大气环境》（</w:t>
      </w:r>
      <w:r>
        <w:rPr>
          <w:rFonts w:ascii="Times New Roman" w:eastAsia="Times New Roman"/>
          <w:position w:val="1"/>
        </w:rPr>
        <w:t>HJ 2.2-2018</w:t>
      </w:r>
      <w:r>
        <w:rPr/>
        <w:t>），</w:t>
      </w:r>
      <w:r>
        <w:rPr>
          <w:rFonts w:ascii="Times New Roman" w:eastAsia="Times New Roman"/>
          <w:position w:val="1"/>
        </w:rPr>
        <w:t>2018.12.1 </w:t>
      </w:r>
      <w:r>
        <w:rPr/>
        <w:t>起实施；</w:t>
      </w:r>
    </w:p>
    <w:p>
      <w:pPr>
        <w:spacing w:after="0"/>
        <w:sectPr>
          <w:pgSz w:w="11910" w:h="16840"/>
          <w:pgMar w:header="874" w:footer="1004" w:top="1400" w:bottom="1200" w:left="1040" w:right="1160"/>
        </w:sectPr>
      </w:pPr>
    </w:p>
    <w:p>
      <w:pPr>
        <w:pStyle w:val="BodyText"/>
        <w:spacing w:before="121"/>
        <w:ind w:left="717"/>
      </w:pPr>
      <w:r>
        <w:rPr>
          <w:rFonts w:ascii="Times New Roman" w:eastAsia="Times New Roman"/>
          <w:position w:val="1"/>
        </w:rPr>
        <w:t>5</w:t>
      </w:r>
      <w:r>
        <w:rPr/>
        <w:t>、《环境影响评价技术导则 声环境》（</w:t>
      </w:r>
      <w:r>
        <w:rPr>
          <w:rFonts w:ascii="Times New Roman" w:eastAsia="Times New Roman"/>
          <w:position w:val="1"/>
        </w:rPr>
        <w:t>HJ 2.4-2009</w:t>
      </w:r>
      <w:r>
        <w:rPr/>
        <w:t>），</w:t>
      </w:r>
      <w:r>
        <w:rPr>
          <w:rFonts w:ascii="Times New Roman" w:eastAsia="Times New Roman"/>
          <w:position w:val="1"/>
        </w:rPr>
        <w:t>2010.4.1 </w:t>
      </w:r>
      <w:r>
        <w:rPr/>
        <w:t>起实施；</w:t>
      </w:r>
    </w:p>
    <w:p>
      <w:pPr>
        <w:pStyle w:val="BodyText"/>
        <w:spacing w:before="161"/>
        <w:ind w:left="717"/>
      </w:pPr>
      <w:r>
        <w:rPr>
          <w:rFonts w:ascii="Times New Roman" w:eastAsia="Times New Roman"/>
          <w:position w:val="1"/>
        </w:rPr>
        <w:t>6</w:t>
      </w:r>
      <w:r>
        <w:rPr/>
        <w:t>、《环境影响评价技术导则 生态影响》（</w:t>
      </w:r>
      <w:r>
        <w:rPr>
          <w:rFonts w:ascii="Times New Roman" w:eastAsia="Times New Roman"/>
          <w:position w:val="1"/>
        </w:rPr>
        <w:t>HJ 19-2011</w:t>
      </w:r>
      <w:r>
        <w:rPr/>
        <w:t>），</w:t>
      </w:r>
      <w:r>
        <w:rPr>
          <w:rFonts w:ascii="Times New Roman" w:eastAsia="Times New Roman"/>
          <w:position w:val="1"/>
        </w:rPr>
        <w:t>2011.9.1 </w:t>
      </w:r>
      <w:r>
        <w:rPr/>
        <w:t>起实施；</w:t>
      </w:r>
    </w:p>
    <w:p>
      <w:pPr>
        <w:pStyle w:val="BodyText"/>
        <w:spacing w:before="160"/>
        <w:ind w:left="717"/>
      </w:pPr>
      <w:r>
        <w:rPr>
          <w:rFonts w:ascii="Times New Roman" w:eastAsia="Times New Roman"/>
          <w:position w:val="1"/>
        </w:rPr>
        <w:t>7</w:t>
      </w:r>
      <w:r>
        <w:rPr/>
        <w:t>、《环境影响评价技术导则 土壤环境</w:t>
      </w:r>
      <w:r>
        <w:rPr>
          <w:rFonts w:ascii="Times New Roman" w:eastAsia="Times New Roman"/>
          <w:position w:val="1"/>
        </w:rPr>
        <w:t>(</w:t>
      </w:r>
      <w:r>
        <w:rPr/>
        <w:t>试行</w:t>
      </w:r>
      <w:r>
        <w:rPr>
          <w:rFonts w:ascii="Times New Roman" w:eastAsia="Times New Roman"/>
          <w:position w:val="1"/>
        </w:rPr>
        <w:t>)</w:t>
      </w:r>
      <w:r>
        <w:rPr/>
        <w:t>》（</w:t>
      </w:r>
      <w:r>
        <w:rPr>
          <w:rFonts w:ascii="Times New Roman" w:eastAsia="Times New Roman"/>
          <w:position w:val="1"/>
        </w:rPr>
        <w:t>HJ 964-2018</w:t>
      </w:r>
      <w:r>
        <w:rPr/>
        <w:t>），</w:t>
      </w:r>
      <w:r>
        <w:rPr>
          <w:rFonts w:ascii="Times New Roman" w:eastAsia="Times New Roman"/>
          <w:position w:val="1"/>
        </w:rPr>
        <w:t>2019.7.1 </w:t>
      </w:r>
      <w:r>
        <w:rPr/>
        <w:t>起实施；</w:t>
      </w:r>
    </w:p>
    <w:p>
      <w:pPr>
        <w:pStyle w:val="BodyText"/>
        <w:spacing w:before="161"/>
        <w:ind w:left="717"/>
      </w:pPr>
      <w:r>
        <w:rPr>
          <w:rFonts w:ascii="Times New Roman" w:eastAsia="Times New Roman"/>
          <w:position w:val="1"/>
        </w:rPr>
        <w:t>8</w:t>
      </w:r>
      <w:r>
        <w:rPr/>
        <w:t>、《建设项目环境风险评价技术导则》（</w:t>
      </w:r>
      <w:r>
        <w:rPr>
          <w:rFonts w:ascii="Times New Roman" w:eastAsia="Times New Roman"/>
          <w:position w:val="1"/>
        </w:rPr>
        <w:t>HJ 169-2018</w:t>
      </w:r>
      <w:r>
        <w:rPr/>
        <w:t>），</w:t>
      </w:r>
      <w:r>
        <w:rPr>
          <w:rFonts w:ascii="Times New Roman" w:eastAsia="Times New Roman"/>
          <w:position w:val="1"/>
        </w:rPr>
        <w:t>2019.3.1 </w:t>
      </w:r>
      <w:r>
        <w:rPr/>
        <w:t>起实施；</w:t>
      </w:r>
    </w:p>
    <w:p>
      <w:pPr>
        <w:pStyle w:val="BodyText"/>
        <w:spacing w:before="160"/>
        <w:ind w:left="717"/>
      </w:pPr>
      <w:r>
        <w:rPr>
          <w:rFonts w:ascii="Times New Roman" w:eastAsia="Times New Roman"/>
          <w:position w:val="1"/>
        </w:rPr>
        <w:t>9</w:t>
      </w:r>
      <w:r>
        <w:rPr/>
        <w:t>、《环境空气质量评价技术规范（试行）》（</w:t>
      </w:r>
      <w:r>
        <w:rPr>
          <w:rFonts w:ascii="Times New Roman" w:eastAsia="Times New Roman"/>
          <w:position w:val="1"/>
        </w:rPr>
        <w:t>HJ 663-2013</w:t>
      </w:r>
      <w:r>
        <w:rPr/>
        <w:t>），</w:t>
      </w:r>
      <w:r>
        <w:rPr>
          <w:rFonts w:ascii="Times New Roman" w:eastAsia="Times New Roman"/>
          <w:position w:val="1"/>
        </w:rPr>
        <w:t>2013.10.1 </w:t>
      </w:r>
      <w:r>
        <w:rPr/>
        <w:t>起实施；</w:t>
      </w:r>
    </w:p>
    <w:p>
      <w:pPr>
        <w:pStyle w:val="BodyText"/>
        <w:spacing w:before="161"/>
        <w:ind w:left="717"/>
      </w:pPr>
      <w:r>
        <w:rPr>
          <w:rFonts w:ascii="Times New Roman" w:eastAsia="Times New Roman"/>
          <w:position w:val="1"/>
        </w:rPr>
        <w:t>10</w:t>
      </w:r>
      <w:r>
        <w:rPr/>
        <w:t>、《声环境功能区划分技术规范》（</w:t>
      </w:r>
      <w:r>
        <w:rPr>
          <w:rFonts w:ascii="Times New Roman" w:eastAsia="Times New Roman"/>
          <w:position w:val="1"/>
        </w:rPr>
        <w:t>GB/T 15190-2014</w:t>
      </w:r>
      <w:r>
        <w:rPr/>
        <w:t>），</w:t>
      </w:r>
      <w:r>
        <w:rPr>
          <w:rFonts w:ascii="Times New Roman" w:eastAsia="Times New Roman"/>
          <w:position w:val="1"/>
        </w:rPr>
        <w:t>2015.1.1 </w:t>
      </w:r>
      <w:r>
        <w:rPr/>
        <w:t>起实施；</w:t>
      </w:r>
    </w:p>
    <w:p>
      <w:pPr>
        <w:pStyle w:val="BodyText"/>
        <w:spacing w:before="160"/>
        <w:ind w:left="717"/>
      </w:pPr>
      <w:r>
        <w:rPr>
          <w:rFonts w:ascii="Times New Roman" w:eastAsia="Times New Roman"/>
          <w:position w:val="1"/>
        </w:rPr>
        <w:t>11</w:t>
      </w:r>
      <w:r>
        <w:rPr/>
        <w:t>、《危险废物收集 贮存 运输技术规范》（</w:t>
      </w:r>
      <w:r>
        <w:rPr>
          <w:rFonts w:ascii="Times New Roman" w:eastAsia="Times New Roman"/>
          <w:position w:val="1"/>
        </w:rPr>
        <w:t>HJ 2025-2012</w:t>
      </w:r>
      <w:r>
        <w:rPr/>
        <w:t>）；</w:t>
      </w:r>
    </w:p>
    <w:p>
      <w:pPr>
        <w:pStyle w:val="BodyText"/>
        <w:spacing w:before="161"/>
        <w:ind w:left="717"/>
      </w:pPr>
      <w:r>
        <w:rPr>
          <w:rFonts w:ascii="Times New Roman" w:eastAsia="Times New Roman"/>
          <w:position w:val="1"/>
        </w:rPr>
        <w:t>12</w:t>
      </w:r>
      <w:r>
        <w:rPr/>
        <w:t>、《畜禽养殖业污染防治技术规范》（</w:t>
      </w:r>
      <w:r>
        <w:rPr>
          <w:rFonts w:ascii="Times New Roman" w:eastAsia="Times New Roman"/>
          <w:position w:val="1"/>
        </w:rPr>
        <w:t>HJ/T 81-2001</w:t>
      </w:r>
      <w:r>
        <w:rPr/>
        <w:t>）；</w:t>
      </w:r>
    </w:p>
    <w:p>
      <w:pPr>
        <w:pStyle w:val="BodyText"/>
        <w:spacing w:before="161"/>
        <w:ind w:left="717"/>
      </w:pPr>
      <w:r>
        <w:rPr>
          <w:rFonts w:ascii="Times New Roman" w:eastAsia="Times New Roman"/>
          <w:position w:val="1"/>
        </w:rPr>
        <w:t>13</w:t>
      </w:r>
      <w:r>
        <w:rPr/>
        <w:t>、《畜禽养殖业污染治理工程技术规范》（</w:t>
      </w:r>
      <w:r>
        <w:rPr>
          <w:rFonts w:ascii="Times New Roman" w:eastAsia="Times New Roman"/>
          <w:position w:val="1"/>
        </w:rPr>
        <w:t>HJ 497-2009</w:t>
      </w:r>
      <w:r>
        <w:rPr/>
        <w:t>）；</w:t>
      </w:r>
    </w:p>
    <w:p>
      <w:pPr>
        <w:pStyle w:val="BodyText"/>
        <w:spacing w:before="160"/>
        <w:ind w:left="717"/>
      </w:pPr>
      <w:r>
        <w:rPr>
          <w:rFonts w:ascii="Times New Roman" w:eastAsia="Times New Roman"/>
          <w:position w:val="1"/>
        </w:rPr>
        <w:t>14</w:t>
      </w:r>
      <w:r>
        <w:rPr/>
        <w:t>、《畜禽养殖产地环境评价规范》（</w:t>
      </w:r>
      <w:r>
        <w:rPr>
          <w:rFonts w:ascii="Times New Roman" w:eastAsia="Times New Roman"/>
          <w:position w:val="1"/>
        </w:rPr>
        <w:t>HJ 568-2010</w:t>
      </w:r>
      <w:r>
        <w:rPr/>
        <w:t>）；</w:t>
      </w:r>
    </w:p>
    <w:p>
      <w:pPr>
        <w:pStyle w:val="BodyText"/>
        <w:spacing w:before="161"/>
        <w:ind w:left="717"/>
      </w:pPr>
      <w:r>
        <w:rPr>
          <w:rFonts w:ascii="Times New Roman" w:eastAsia="Times New Roman"/>
          <w:position w:val="1"/>
        </w:rPr>
        <w:t>15</w:t>
      </w:r>
      <w:r>
        <w:rPr/>
        <w:t>、《规模畜禽养殖场污染防治最佳可行技术指南（试行）》（</w:t>
      </w:r>
      <w:r>
        <w:rPr>
          <w:rFonts w:ascii="Times New Roman" w:eastAsia="Times New Roman"/>
          <w:position w:val="1"/>
        </w:rPr>
        <w:t>HJ-BAT-10</w:t>
      </w:r>
      <w:r>
        <w:rPr/>
        <w:t>）；</w:t>
      </w:r>
    </w:p>
    <w:p>
      <w:pPr>
        <w:pStyle w:val="BodyText"/>
        <w:spacing w:before="160"/>
        <w:ind w:left="717"/>
      </w:pPr>
      <w:r>
        <w:rPr>
          <w:rFonts w:ascii="Times New Roman" w:eastAsia="Times New Roman"/>
          <w:position w:val="1"/>
        </w:rPr>
        <w:t>16</w:t>
      </w:r>
      <w:r>
        <w:rPr/>
        <w:t>、《病害动物和病害动物产品生物安全处理规程》（</w:t>
      </w:r>
      <w:r>
        <w:rPr>
          <w:rFonts w:ascii="Times New Roman" w:eastAsia="Times New Roman"/>
          <w:position w:val="1"/>
        </w:rPr>
        <w:t>GB 16548-2006</w:t>
      </w:r>
      <w:r>
        <w:rPr/>
        <w:t>）；</w:t>
      </w:r>
    </w:p>
    <w:p>
      <w:pPr>
        <w:pStyle w:val="BodyText"/>
        <w:spacing w:before="161"/>
        <w:ind w:left="717"/>
      </w:pPr>
      <w:r>
        <w:rPr>
          <w:rFonts w:ascii="Times New Roman" w:eastAsia="Times New Roman"/>
          <w:position w:val="1"/>
        </w:rPr>
        <w:t>17</w:t>
      </w:r>
      <w:r>
        <w:rPr/>
        <w:t>、《浙江省美丽生态牧场创建标准（试行）》；</w:t>
      </w:r>
    </w:p>
    <w:p>
      <w:pPr>
        <w:pStyle w:val="BodyText"/>
        <w:spacing w:before="160"/>
        <w:ind w:left="717"/>
      </w:pPr>
      <w:r>
        <w:rPr>
          <w:rFonts w:ascii="Times New Roman" w:eastAsia="Times New Roman"/>
          <w:position w:val="1"/>
        </w:rPr>
        <w:t>18</w:t>
      </w:r>
      <w:r>
        <w:rPr/>
        <w:t>、《浙江省畜禽粪污减量化资源化利用技术导则》，浙江省农业厅、环保厅；</w:t>
      </w:r>
    </w:p>
    <w:p>
      <w:pPr>
        <w:pStyle w:val="BodyText"/>
        <w:spacing w:before="161"/>
        <w:ind w:left="717"/>
      </w:pPr>
      <w:r>
        <w:rPr>
          <w:rFonts w:ascii="Times New Roman" w:eastAsia="Times New Roman"/>
          <w:position w:val="1"/>
        </w:rPr>
        <w:t>19</w:t>
      </w:r>
      <w:r>
        <w:rPr/>
        <w:t>、《污染源源强核算技术指南 准则》（</w:t>
      </w:r>
      <w:r>
        <w:rPr>
          <w:rFonts w:ascii="Times New Roman" w:eastAsia="Times New Roman"/>
          <w:position w:val="1"/>
        </w:rPr>
        <w:t>HJ 884-2018</w:t>
      </w:r>
      <w:r>
        <w:rPr/>
        <w:t>），</w:t>
      </w:r>
      <w:r>
        <w:rPr>
          <w:rFonts w:ascii="Times New Roman" w:eastAsia="Times New Roman"/>
          <w:position w:val="1"/>
        </w:rPr>
        <w:t>2018.3.27 </w:t>
      </w:r>
      <w:r>
        <w:rPr/>
        <w:t>起实施；</w:t>
      </w:r>
    </w:p>
    <w:p>
      <w:pPr>
        <w:pStyle w:val="BodyText"/>
        <w:spacing w:before="161"/>
        <w:ind w:left="717"/>
      </w:pPr>
      <w:r>
        <w:rPr>
          <w:rFonts w:ascii="Times New Roman" w:eastAsia="Times New Roman"/>
          <w:position w:val="1"/>
        </w:rPr>
        <w:t>20</w:t>
      </w:r>
      <w:r>
        <w:rPr/>
        <w:t>、《排污单位自行监测技术指南 总则》（</w:t>
      </w:r>
      <w:r>
        <w:rPr>
          <w:rFonts w:ascii="Times New Roman" w:eastAsia="Times New Roman"/>
          <w:position w:val="1"/>
        </w:rPr>
        <w:t>HJ 819-2017</w:t>
      </w:r>
      <w:r>
        <w:rPr/>
        <w:t>），</w:t>
      </w:r>
      <w:r>
        <w:rPr>
          <w:rFonts w:ascii="Times New Roman" w:eastAsia="Times New Roman"/>
          <w:position w:val="1"/>
        </w:rPr>
        <w:t>2017.6.1 </w:t>
      </w:r>
      <w:r>
        <w:rPr/>
        <w:t>起实施；</w:t>
      </w:r>
    </w:p>
    <w:p>
      <w:pPr>
        <w:pStyle w:val="BodyText"/>
        <w:spacing w:before="160"/>
        <w:ind w:left="717"/>
        <w:rPr>
          <w:rFonts w:ascii="Times New Roman" w:eastAsia="Times New Roman"/>
        </w:rPr>
      </w:pPr>
      <w:r>
        <w:rPr>
          <w:rFonts w:ascii="Times New Roman" w:eastAsia="Times New Roman"/>
          <w:position w:val="1"/>
        </w:rPr>
        <w:t>21</w:t>
      </w:r>
      <w:r>
        <w:rPr/>
        <w:t>、《排污许可证申请与核发技术规范 畜禽养殖行业》（</w:t>
      </w:r>
      <w:r>
        <w:rPr>
          <w:rFonts w:ascii="Times New Roman" w:eastAsia="Times New Roman"/>
          <w:position w:val="1"/>
        </w:rPr>
        <w:t>HJ 1029-2019</w:t>
      </w:r>
      <w:r>
        <w:rPr/>
        <w:t>），</w:t>
      </w:r>
      <w:r>
        <w:rPr>
          <w:rFonts w:ascii="Times New Roman" w:eastAsia="Times New Roman"/>
          <w:position w:val="1"/>
        </w:rPr>
        <w:t>2019.6.14</w:t>
      </w:r>
    </w:p>
    <w:p>
      <w:pPr>
        <w:pStyle w:val="BodyText"/>
        <w:spacing w:before="161"/>
      </w:pPr>
      <w:r>
        <w:rPr/>
        <w:t>起实施。</w:t>
      </w:r>
    </w:p>
    <w:p>
      <w:pPr>
        <w:pStyle w:val="Heading3"/>
        <w:numPr>
          <w:ilvl w:val="2"/>
          <w:numId w:val="12"/>
        </w:numPr>
        <w:tabs>
          <w:tab w:pos="838" w:val="left" w:leader="none"/>
        </w:tabs>
        <w:spacing w:line="240" w:lineRule="auto" w:before="160" w:after="0"/>
        <w:ind w:left="837" w:right="0" w:hanging="601"/>
        <w:jc w:val="left"/>
      </w:pPr>
      <w:bookmarkStart w:name="_bookmark19" w:id="37"/>
      <w:bookmarkEnd w:id="37"/>
      <w:r>
        <w:rPr>
          <w:b w:val="0"/>
        </w:rPr>
      </w:r>
      <w:bookmarkStart w:name="_bookmark19" w:id="38"/>
      <w:bookmarkEnd w:id="38"/>
      <w:r>
        <w:rPr/>
        <w:t>其他依据</w:t>
      </w:r>
    </w:p>
    <w:p>
      <w:pPr>
        <w:pStyle w:val="BodyText"/>
        <w:spacing w:before="161"/>
        <w:ind w:left="717"/>
      </w:pPr>
      <w:r>
        <w:rPr>
          <w:rFonts w:ascii="Times New Roman" w:eastAsia="Times New Roman"/>
          <w:position w:val="1"/>
        </w:rPr>
        <w:t>1</w:t>
      </w:r>
      <w:r>
        <w:rPr/>
        <w:t>、《浙江省企业投资项目备案（赋码）信息表》，</w:t>
      </w:r>
      <w:r>
        <w:rPr>
          <w:rFonts w:ascii="Times New Roman" w:eastAsia="Times New Roman"/>
          <w:position w:val="1"/>
        </w:rPr>
        <w:t>2101-330603-04-01-859464</w:t>
      </w:r>
      <w:r>
        <w:rPr/>
        <w:t>；</w:t>
      </w:r>
    </w:p>
    <w:p>
      <w:pPr>
        <w:pStyle w:val="BodyText"/>
        <w:spacing w:line="364" w:lineRule="auto" w:before="160"/>
        <w:ind w:right="252" w:firstLine="480"/>
      </w:pPr>
      <w:r>
        <w:rPr>
          <w:rFonts w:ascii="Times New Roman" w:eastAsia="Times New Roman"/>
          <w:position w:val="1"/>
        </w:rPr>
        <w:t>2</w:t>
      </w:r>
      <w:r>
        <w:rPr>
          <w:spacing w:val="-7"/>
        </w:rPr>
        <w:t>、《关于天圣集团农业生态产业链项目落地建设相关事宜的专题会议纪要》，绍兴</w:t>
      </w:r>
      <w:r>
        <w:rPr/>
        <w:t>市柯桥区人民政府专题会议纪要</w:t>
      </w:r>
      <w:r>
        <w:rPr>
          <w:rFonts w:ascii="Times New Roman" w:eastAsia="Times New Roman"/>
          <w:position w:val="1"/>
        </w:rPr>
        <w:t>[2020]24 </w:t>
      </w:r>
      <w:r>
        <w:rPr/>
        <w:t>号；</w:t>
      </w:r>
    </w:p>
    <w:p>
      <w:pPr>
        <w:pStyle w:val="BodyText"/>
        <w:spacing w:before="1"/>
        <w:ind w:left="717"/>
      </w:pPr>
      <w:r>
        <w:rPr>
          <w:rFonts w:ascii="Times New Roman" w:eastAsia="Times New Roman"/>
          <w:position w:val="1"/>
        </w:rPr>
        <w:t>3</w:t>
      </w:r>
      <w:r>
        <w:rPr/>
        <w:t>、杭州普洛赛斯检测科技有限公司出具的对项目周围环境的《检测报告》；</w:t>
      </w:r>
    </w:p>
    <w:p>
      <w:pPr>
        <w:pStyle w:val="BodyText"/>
        <w:spacing w:before="161"/>
        <w:ind w:left="717"/>
      </w:pPr>
      <w:r>
        <w:rPr>
          <w:rFonts w:ascii="Times New Roman" w:eastAsia="Times New Roman"/>
          <w:position w:val="1"/>
        </w:rPr>
        <w:t>4</w:t>
      </w:r>
      <w:r>
        <w:rPr/>
        <w:t>、建设单位与我单位签订的技术咨询合同；</w:t>
      </w:r>
    </w:p>
    <w:p>
      <w:pPr>
        <w:pStyle w:val="BodyText"/>
        <w:spacing w:before="161"/>
        <w:ind w:left="717"/>
      </w:pPr>
      <w:r>
        <w:rPr>
          <w:rFonts w:ascii="Times New Roman" w:eastAsia="Times New Roman"/>
          <w:position w:val="1"/>
        </w:rPr>
        <w:t>5</w:t>
      </w:r>
      <w:r>
        <w:rPr/>
        <w:t>、建设单位提供的其他资料。</w:t>
      </w:r>
    </w:p>
    <w:p>
      <w:pPr>
        <w:pStyle w:val="Heading2"/>
        <w:numPr>
          <w:ilvl w:val="1"/>
          <w:numId w:val="12"/>
        </w:numPr>
        <w:tabs>
          <w:tab w:pos="730" w:val="left" w:leader="none"/>
        </w:tabs>
        <w:spacing w:line="240" w:lineRule="auto" w:before="212" w:after="0"/>
        <w:ind w:left="729" w:right="0" w:hanging="493"/>
        <w:jc w:val="left"/>
        <w:rPr>
          <w:rFonts w:ascii="Times New Roman" w:eastAsia="Times New Roman"/>
        </w:rPr>
      </w:pPr>
      <w:bookmarkStart w:name="_bookmark20" w:id="39"/>
      <w:bookmarkEnd w:id="39"/>
      <w:r>
        <w:rPr>
          <w:b w:val="0"/>
        </w:rPr>
      </w:r>
      <w:bookmarkStart w:name="_bookmark20" w:id="40"/>
      <w:bookmarkEnd w:id="40"/>
      <w:r>
        <w:rPr/>
        <w:t>评价因子与环境功能区划</w:t>
      </w:r>
    </w:p>
    <w:p>
      <w:pPr>
        <w:pStyle w:val="Heading3"/>
        <w:numPr>
          <w:ilvl w:val="2"/>
          <w:numId w:val="12"/>
        </w:numPr>
        <w:tabs>
          <w:tab w:pos="838" w:val="left" w:leader="none"/>
        </w:tabs>
        <w:spacing w:line="240" w:lineRule="auto" w:before="214" w:after="0"/>
        <w:ind w:left="837" w:right="0" w:hanging="601"/>
        <w:jc w:val="left"/>
      </w:pPr>
      <w:bookmarkStart w:name="_bookmark21" w:id="41"/>
      <w:bookmarkEnd w:id="41"/>
      <w:r>
        <w:rPr>
          <w:b w:val="0"/>
        </w:rPr>
      </w:r>
      <w:bookmarkStart w:name="_bookmark21" w:id="42"/>
      <w:bookmarkEnd w:id="42"/>
      <w:r>
        <w:rPr/>
        <w:t>环境影响要素识别</w:t>
      </w:r>
    </w:p>
    <w:p>
      <w:pPr>
        <w:pStyle w:val="BodyText"/>
        <w:spacing w:line="364" w:lineRule="auto" w:before="160"/>
        <w:ind w:right="254" w:firstLine="480"/>
      </w:pPr>
      <w:r>
        <w:rPr/>
        <w:t>根据项目性质及其污染物排放特点，采用矩阵表，对项目影响环境要素的程度及性质进行识别，识别结果见表 </w:t>
      </w:r>
      <w:r>
        <w:rPr>
          <w:rFonts w:ascii="Times New Roman" w:eastAsia="Times New Roman"/>
          <w:position w:val="1"/>
        </w:rPr>
        <w:t>2.2-1</w:t>
      </w:r>
      <w:r>
        <w:rPr/>
        <w:t>。</w:t>
      </w:r>
    </w:p>
    <w:p>
      <w:pPr>
        <w:spacing w:after="0" w:line="364" w:lineRule="auto"/>
        <w:sectPr>
          <w:pgSz w:w="11910" w:h="16840"/>
          <w:pgMar w:header="874" w:footer="1004" w:top="1400" w:bottom="1200" w:left="1040" w:right="1160"/>
        </w:sectPr>
      </w:pPr>
    </w:p>
    <w:p>
      <w:pPr>
        <w:pStyle w:val="Heading3"/>
        <w:spacing w:before="66" w:after="24"/>
        <w:ind w:left="221" w:right="236"/>
        <w:jc w:val="center"/>
      </w:pPr>
      <w:r>
        <w:rPr/>
        <w:t>表 </w:t>
      </w:r>
      <w:r>
        <w:rPr>
          <w:rFonts w:ascii="Times New Roman" w:eastAsia="Times New Roman"/>
        </w:rPr>
        <w:t>2.2-1  </w:t>
      </w:r>
      <w:r>
        <w:rPr/>
        <w:t>环境影响因素识别</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40"/>
        <w:gridCol w:w="1344"/>
        <w:gridCol w:w="809"/>
        <w:gridCol w:w="1075"/>
        <w:gridCol w:w="1078"/>
        <w:gridCol w:w="809"/>
        <w:gridCol w:w="543"/>
        <w:gridCol w:w="810"/>
        <w:gridCol w:w="809"/>
        <w:gridCol w:w="809"/>
        <w:gridCol w:w="807"/>
      </w:tblGrid>
      <w:tr>
        <w:trPr>
          <w:trHeight w:val="719" w:hRule="atLeast"/>
        </w:trPr>
        <w:tc>
          <w:tcPr>
            <w:tcW w:w="1884" w:type="dxa"/>
            <w:gridSpan w:val="2"/>
            <w:tcBorders>
              <w:bottom w:val="single" w:sz="6" w:space="0" w:color="000000"/>
              <w:right w:val="single" w:sz="6" w:space="0" w:color="000000"/>
            </w:tcBorders>
          </w:tcPr>
          <w:p>
            <w:pPr>
              <w:pStyle w:val="TableParagraph"/>
              <w:spacing w:before="10"/>
              <w:jc w:val="left"/>
              <w:rPr>
                <w:rFonts w:ascii="宋体"/>
                <w:b/>
                <w:sz w:val="17"/>
              </w:rPr>
            </w:pPr>
          </w:p>
          <w:p>
            <w:pPr>
              <w:pStyle w:val="TableParagraph"/>
              <w:spacing w:before="0"/>
              <w:ind w:left="520"/>
              <w:jc w:val="left"/>
              <w:rPr>
                <w:rFonts w:ascii="宋体" w:eastAsia="宋体" w:hint="eastAsia"/>
                <w:b/>
                <w:sz w:val="21"/>
              </w:rPr>
            </w:pPr>
            <w:r>
              <w:rPr>
                <w:rFonts w:ascii="宋体" w:eastAsia="宋体" w:hint="eastAsia"/>
                <w:b/>
                <w:sz w:val="21"/>
              </w:rPr>
              <w:t>影响因素</w:t>
            </w:r>
          </w:p>
        </w:tc>
        <w:tc>
          <w:tcPr>
            <w:tcW w:w="809" w:type="dxa"/>
            <w:tcBorders>
              <w:left w:val="single" w:sz="6" w:space="0" w:color="000000"/>
              <w:bottom w:val="single" w:sz="6" w:space="0" w:color="000000"/>
              <w:right w:val="single" w:sz="6" w:space="0" w:color="000000"/>
            </w:tcBorders>
          </w:tcPr>
          <w:p>
            <w:pPr>
              <w:pStyle w:val="TableParagraph"/>
              <w:spacing w:before="48"/>
              <w:ind w:left="197"/>
              <w:jc w:val="left"/>
              <w:rPr>
                <w:rFonts w:ascii="宋体" w:eastAsia="宋体" w:hint="eastAsia"/>
                <w:b/>
                <w:sz w:val="21"/>
              </w:rPr>
            </w:pPr>
            <w:r>
              <w:rPr>
                <w:rFonts w:ascii="宋体" w:eastAsia="宋体" w:hint="eastAsia"/>
                <w:b/>
                <w:sz w:val="21"/>
              </w:rPr>
              <w:t>环境</w:t>
            </w:r>
          </w:p>
          <w:p>
            <w:pPr>
              <w:pStyle w:val="TableParagraph"/>
              <w:spacing w:before="89"/>
              <w:ind w:left="197"/>
              <w:jc w:val="left"/>
              <w:rPr>
                <w:rFonts w:ascii="宋体" w:eastAsia="宋体" w:hint="eastAsia"/>
                <w:b/>
                <w:sz w:val="21"/>
              </w:rPr>
            </w:pPr>
            <w:r>
              <w:rPr>
                <w:rFonts w:ascii="宋体" w:eastAsia="宋体" w:hint="eastAsia"/>
                <w:b/>
                <w:sz w:val="21"/>
              </w:rPr>
              <w:t>空气</w:t>
            </w:r>
          </w:p>
        </w:tc>
        <w:tc>
          <w:tcPr>
            <w:tcW w:w="1075" w:type="dxa"/>
            <w:tcBorders>
              <w:left w:val="single" w:sz="6" w:space="0" w:color="000000"/>
              <w:bottom w:val="single" w:sz="6" w:space="0" w:color="000000"/>
              <w:right w:val="single" w:sz="6" w:space="0" w:color="000000"/>
            </w:tcBorders>
          </w:tcPr>
          <w:p>
            <w:pPr>
              <w:pStyle w:val="TableParagraph"/>
              <w:spacing w:before="10"/>
              <w:jc w:val="left"/>
              <w:rPr>
                <w:rFonts w:ascii="宋体"/>
                <w:b/>
                <w:sz w:val="17"/>
              </w:rPr>
            </w:pPr>
          </w:p>
          <w:p>
            <w:pPr>
              <w:pStyle w:val="TableParagraph"/>
              <w:spacing w:before="0"/>
              <w:ind w:left="205" w:right="181"/>
              <w:rPr>
                <w:rFonts w:ascii="宋体" w:eastAsia="宋体" w:hint="eastAsia"/>
                <w:b/>
                <w:sz w:val="21"/>
              </w:rPr>
            </w:pPr>
            <w:r>
              <w:rPr>
                <w:rFonts w:ascii="宋体" w:eastAsia="宋体" w:hint="eastAsia"/>
                <w:b/>
                <w:sz w:val="21"/>
              </w:rPr>
              <w:t>地表水</w:t>
            </w:r>
          </w:p>
        </w:tc>
        <w:tc>
          <w:tcPr>
            <w:tcW w:w="1078" w:type="dxa"/>
            <w:tcBorders>
              <w:left w:val="single" w:sz="6" w:space="0" w:color="000000"/>
              <w:bottom w:val="single" w:sz="6" w:space="0" w:color="000000"/>
              <w:right w:val="single" w:sz="6" w:space="0" w:color="000000"/>
            </w:tcBorders>
          </w:tcPr>
          <w:p>
            <w:pPr>
              <w:pStyle w:val="TableParagraph"/>
              <w:spacing w:before="10"/>
              <w:jc w:val="left"/>
              <w:rPr>
                <w:rFonts w:ascii="宋体"/>
                <w:b/>
                <w:sz w:val="17"/>
              </w:rPr>
            </w:pPr>
          </w:p>
          <w:p>
            <w:pPr>
              <w:pStyle w:val="TableParagraph"/>
              <w:spacing w:before="0"/>
              <w:ind w:left="208" w:right="181"/>
              <w:rPr>
                <w:rFonts w:ascii="宋体" w:eastAsia="宋体" w:hint="eastAsia"/>
                <w:b/>
                <w:sz w:val="21"/>
              </w:rPr>
            </w:pPr>
            <w:r>
              <w:rPr>
                <w:rFonts w:ascii="宋体" w:eastAsia="宋体" w:hint="eastAsia"/>
                <w:b/>
                <w:sz w:val="21"/>
              </w:rPr>
              <w:t>地下水</w:t>
            </w:r>
          </w:p>
        </w:tc>
        <w:tc>
          <w:tcPr>
            <w:tcW w:w="809" w:type="dxa"/>
            <w:tcBorders>
              <w:left w:val="single" w:sz="6" w:space="0" w:color="000000"/>
              <w:bottom w:val="single" w:sz="6" w:space="0" w:color="000000"/>
              <w:right w:val="single" w:sz="6" w:space="0" w:color="000000"/>
            </w:tcBorders>
          </w:tcPr>
          <w:p>
            <w:pPr>
              <w:pStyle w:val="TableParagraph"/>
              <w:spacing w:before="10"/>
              <w:jc w:val="left"/>
              <w:rPr>
                <w:rFonts w:ascii="宋体"/>
                <w:b/>
                <w:sz w:val="17"/>
              </w:rPr>
            </w:pPr>
          </w:p>
          <w:p>
            <w:pPr>
              <w:pStyle w:val="TableParagraph"/>
              <w:spacing w:before="0"/>
              <w:ind w:left="199"/>
              <w:jc w:val="left"/>
              <w:rPr>
                <w:rFonts w:ascii="宋体" w:eastAsia="宋体" w:hint="eastAsia"/>
                <w:b/>
                <w:sz w:val="21"/>
              </w:rPr>
            </w:pPr>
            <w:r>
              <w:rPr>
                <w:rFonts w:ascii="宋体" w:eastAsia="宋体" w:hint="eastAsia"/>
                <w:b/>
                <w:sz w:val="21"/>
              </w:rPr>
              <w:t>土壤</w:t>
            </w:r>
          </w:p>
        </w:tc>
        <w:tc>
          <w:tcPr>
            <w:tcW w:w="543" w:type="dxa"/>
            <w:tcBorders>
              <w:left w:val="single" w:sz="6" w:space="0" w:color="000000"/>
              <w:bottom w:val="single" w:sz="6" w:space="0" w:color="000000"/>
              <w:right w:val="single" w:sz="6" w:space="0" w:color="000000"/>
            </w:tcBorders>
          </w:tcPr>
          <w:p>
            <w:pPr>
              <w:pStyle w:val="TableParagraph"/>
              <w:spacing w:before="10"/>
              <w:jc w:val="left"/>
              <w:rPr>
                <w:rFonts w:ascii="宋体"/>
                <w:b/>
                <w:sz w:val="17"/>
              </w:rPr>
            </w:pPr>
          </w:p>
          <w:p>
            <w:pPr>
              <w:pStyle w:val="TableParagraph"/>
              <w:spacing w:before="0"/>
              <w:ind w:left="24"/>
              <w:rPr>
                <w:rFonts w:ascii="宋体" w:eastAsia="宋体" w:hint="eastAsia"/>
                <w:b/>
                <w:sz w:val="21"/>
              </w:rPr>
            </w:pPr>
            <w:r>
              <w:rPr>
                <w:rFonts w:ascii="宋体" w:eastAsia="宋体" w:hint="eastAsia"/>
                <w:b/>
                <w:w w:val="100"/>
                <w:sz w:val="21"/>
              </w:rPr>
              <w:t>声</w:t>
            </w:r>
          </w:p>
        </w:tc>
        <w:tc>
          <w:tcPr>
            <w:tcW w:w="810" w:type="dxa"/>
            <w:tcBorders>
              <w:left w:val="single" w:sz="6" w:space="0" w:color="000000"/>
              <w:bottom w:val="single" w:sz="6" w:space="0" w:color="000000"/>
              <w:right w:val="single" w:sz="6" w:space="0" w:color="000000"/>
            </w:tcBorders>
          </w:tcPr>
          <w:p>
            <w:pPr>
              <w:pStyle w:val="TableParagraph"/>
              <w:spacing w:before="10"/>
              <w:jc w:val="left"/>
              <w:rPr>
                <w:rFonts w:ascii="宋体"/>
                <w:b/>
                <w:sz w:val="17"/>
              </w:rPr>
            </w:pPr>
          </w:p>
          <w:p>
            <w:pPr>
              <w:pStyle w:val="TableParagraph"/>
              <w:spacing w:before="0"/>
              <w:ind w:left="176" w:right="157"/>
              <w:rPr>
                <w:rFonts w:ascii="宋体" w:eastAsia="宋体" w:hint="eastAsia"/>
                <w:b/>
                <w:sz w:val="21"/>
              </w:rPr>
            </w:pPr>
            <w:r>
              <w:rPr>
                <w:rFonts w:ascii="宋体" w:eastAsia="宋体" w:hint="eastAsia"/>
                <w:b/>
                <w:sz w:val="21"/>
              </w:rPr>
              <w:t>生态</w:t>
            </w:r>
          </w:p>
        </w:tc>
        <w:tc>
          <w:tcPr>
            <w:tcW w:w="809" w:type="dxa"/>
            <w:tcBorders>
              <w:left w:val="single" w:sz="6" w:space="0" w:color="000000"/>
              <w:bottom w:val="single" w:sz="6" w:space="0" w:color="000000"/>
              <w:right w:val="single" w:sz="6" w:space="0" w:color="000000"/>
            </w:tcBorders>
          </w:tcPr>
          <w:p>
            <w:pPr>
              <w:pStyle w:val="TableParagraph"/>
              <w:spacing w:before="48"/>
              <w:ind w:left="195"/>
              <w:jc w:val="left"/>
              <w:rPr>
                <w:rFonts w:ascii="宋体" w:eastAsia="宋体" w:hint="eastAsia"/>
                <w:b/>
                <w:sz w:val="21"/>
              </w:rPr>
            </w:pPr>
            <w:r>
              <w:rPr>
                <w:rFonts w:ascii="宋体" w:eastAsia="宋体" w:hint="eastAsia"/>
                <w:b/>
                <w:sz w:val="21"/>
              </w:rPr>
              <w:t>社会</w:t>
            </w:r>
          </w:p>
          <w:p>
            <w:pPr>
              <w:pStyle w:val="TableParagraph"/>
              <w:spacing w:before="89"/>
              <w:ind w:left="195"/>
              <w:jc w:val="left"/>
              <w:rPr>
                <w:rFonts w:ascii="宋体" w:eastAsia="宋体" w:hint="eastAsia"/>
                <w:b/>
                <w:sz w:val="21"/>
              </w:rPr>
            </w:pPr>
            <w:r>
              <w:rPr>
                <w:rFonts w:ascii="宋体" w:eastAsia="宋体" w:hint="eastAsia"/>
                <w:b/>
                <w:sz w:val="21"/>
              </w:rPr>
              <w:t>环境</w:t>
            </w:r>
          </w:p>
        </w:tc>
        <w:tc>
          <w:tcPr>
            <w:tcW w:w="809" w:type="dxa"/>
            <w:tcBorders>
              <w:left w:val="single" w:sz="6" w:space="0" w:color="000000"/>
              <w:bottom w:val="single" w:sz="6" w:space="0" w:color="000000"/>
              <w:right w:val="single" w:sz="6" w:space="0" w:color="000000"/>
            </w:tcBorders>
          </w:tcPr>
          <w:p>
            <w:pPr>
              <w:pStyle w:val="TableParagraph"/>
              <w:spacing w:before="48"/>
              <w:ind w:left="197"/>
              <w:jc w:val="left"/>
              <w:rPr>
                <w:rFonts w:ascii="宋体" w:eastAsia="宋体" w:hint="eastAsia"/>
                <w:b/>
                <w:sz w:val="21"/>
              </w:rPr>
            </w:pPr>
            <w:r>
              <w:rPr>
                <w:rFonts w:ascii="宋体" w:eastAsia="宋体" w:hint="eastAsia"/>
                <w:b/>
                <w:sz w:val="21"/>
              </w:rPr>
              <w:t>人体</w:t>
            </w:r>
          </w:p>
          <w:p>
            <w:pPr>
              <w:pStyle w:val="TableParagraph"/>
              <w:spacing w:before="89"/>
              <w:ind w:left="197"/>
              <w:jc w:val="left"/>
              <w:rPr>
                <w:rFonts w:ascii="宋体" w:eastAsia="宋体" w:hint="eastAsia"/>
                <w:b/>
                <w:sz w:val="21"/>
              </w:rPr>
            </w:pPr>
            <w:r>
              <w:rPr>
                <w:rFonts w:ascii="宋体" w:eastAsia="宋体" w:hint="eastAsia"/>
                <w:b/>
                <w:sz w:val="21"/>
              </w:rPr>
              <w:t>健康</w:t>
            </w:r>
          </w:p>
        </w:tc>
        <w:tc>
          <w:tcPr>
            <w:tcW w:w="807" w:type="dxa"/>
            <w:tcBorders>
              <w:left w:val="single" w:sz="6" w:space="0" w:color="000000"/>
              <w:bottom w:val="single" w:sz="6" w:space="0" w:color="000000"/>
            </w:tcBorders>
          </w:tcPr>
          <w:p>
            <w:pPr>
              <w:pStyle w:val="TableParagraph"/>
              <w:spacing w:before="48"/>
              <w:ind w:left="198"/>
              <w:jc w:val="left"/>
              <w:rPr>
                <w:rFonts w:ascii="宋体" w:eastAsia="宋体" w:hint="eastAsia"/>
                <w:b/>
                <w:sz w:val="21"/>
              </w:rPr>
            </w:pPr>
            <w:r>
              <w:rPr>
                <w:rFonts w:ascii="宋体" w:eastAsia="宋体" w:hint="eastAsia"/>
                <w:b/>
                <w:sz w:val="21"/>
              </w:rPr>
              <w:t>区域</w:t>
            </w:r>
          </w:p>
          <w:p>
            <w:pPr>
              <w:pStyle w:val="TableParagraph"/>
              <w:spacing w:before="89"/>
              <w:ind w:left="198"/>
              <w:jc w:val="left"/>
              <w:rPr>
                <w:rFonts w:ascii="宋体" w:eastAsia="宋体" w:hint="eastAsia"/>
                <w:b/>
                <w:sz w:val="21"/>
              </w:rPr>
            </w:pPr>
            <w:r>
              <w:rPr>
                <w:rFonts w:ascii="宋体" w:eastAsia="宋体" w:hint="eastAsia"/>
                <w:b/>
                <w:sz w:val="21"/>
              </w:rPr>
              <w:t>经济</w:t>
            </w:r>
          </w:p>
        </w:tc>
      </w:tr>
      <w:tr>
        <w:trPr>
          <w:trHeight w:val="359" w:hRule="atLeast"/>
        </w:trPr>
        <w:tc>
          <w:tcPr>
            <w:tcW w:w="540" w:type="dxa"/>
            <w:vMerge w:val="restart"/>
            <w:tcBorders>
              <w:top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line="319" w:lineRule="auto" w:before="0"/>
              <w:ind w:left="162" w:right="141"/>
              <w:jc w:val="both"/>
              <w:rPr>
                <w:rFonts w:ascii="宋体" w:eastAsia="宋体" w:hint="eastAsia"/>
                <w:sz w:val="21"/>
              </w:rPr>
            </w:pPr>
            <w:r>
              <w:rPr>
                <w:rFonts w:ascii="宋体" w:eastAsia="宋体" w:hint="eastAsia"/>
                <w:sz w:val="21"/>
              </w:rPr>
              <w:t>施工期</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0"/>
              <w:rPr>
                <w:rFonts w:ascii="宋体" w:eastAsia="宋体" w:hint="eastAsia"/>
                <w:sz w:val="21"/>
              </w:rPr>
            </w:pPr>
            <w:r>
              <w:rPr>
                <w:rFonts w:ascii="宋体" w:eastAsia="宋体" w:hint="eastAsia"/>
                <w:sz w:val="21"/>
              </w:rPr>
              <w:t>场地平整</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4"/>
              <w:rPr>
                <w:rFonts w:ascii="Cambria Math" w:hAnsi="Cambria Math"/>
                <w:sz w:val="21"/>
              </w:rPr>
            </w:pPr>
            <w:r>
              <w:rPr>
                <w:position w:val="1"/>
                <w:sz w:val="21"/>
              </w:rPr>
              <w:t>-</w:t>
            </w:r>
            <w:r>
              <w:rPr>
                <w:rFonts w:ascii="Cambria Math" w:hAnsi="Cambria Math"/>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0"/>
              <w:ind w:left="205" w:right="179"/>
              <w:rPr>
                <w:rFonts w:ascii="Cambria Math" w:hAnsi="Cambria Math"/>
                <w:sz w:val="21"/>
              </w:rPr>
            </w:pPr>
            <w:r>
              <w:rPr>
                <w:position w:val="1"/>
                <w:sz w:val="21"/>
              </w:rPr>
              <w:t>-</w:t>
            </w:r>
            <w:r>
              <w:rPr>
                <w:rFonts w:ascii="Cambria Math" w:hAnsi="Cambria Math"/>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50"/>
              <w:ind w:left="208" w:right="180"/>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88"/>
              <w:jc w:val="left"/>
              <w:rPr>
                <w:rFonts w:ascii="Cambria Math" w:hAnsi="Cambria Math"/>
                <w:sz w:val="21"/>
              </w:rPr>
            </w:pPr>
            <w:r>
              <w:rPr>
                <w:position w:val="1"/>
                <w:sz w:val="21"/>
              </w:rPr>
              <w:t>-</w:t>
            </w:r>
            <w:r>
              <w:rPr>
                <w:rFonts w:ascii="Cambria Math" w:hAnsi="Cambria Math"/>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0"/>
              <w:ind w:left="117" w:right="92"/>
              <w:rPr>
                <w:rFonts w:ascii="Cambria Math" w:hAnsi="Cambria Math"/>
                <w:sz w:val="21"/>
              </w:rPr>
            </w:pPr>
            <w:r>
              <w:rPr>
                <w:position w:val="1"/>
                <w:sz w:val="21"/>
              </w:rPr>
              <w:t>-</w:t>
            </w:r>
            <w:r>
              <w:rPr>
                <w:rFonts w:ascii="Cambria Math" w:hAnsi="Cambria Math"/>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50"/>
              <w:ind w:left="176" w:right="155"/>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7"/>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right="259"/>
              <w:jc w:val="right"/>
              <w:rPr>
                <w:rFonts w:ascii="Cambria Math" w:hAnsi="Cambria Math"/>
                <w:sz w:val="21"/>
              </w:rPr>
            </w:pPr>
            <w:r>
              <w:rPr>
                <w:position w:val="1"/>
                <w:sz w:val="21"/>
              </w:rPr>
              <w:t>-</w:t>
            </w:r>
            <w:r>
              <w:rPr>
                <w:rFonts w:ascii="Cambria Math" w:hAnsi="Cambria Math"/>
                <w:sz w:val="21"/>
              </w:rPr>
              <w:t>△</w:t>
            </w:r>
          </w:p>
        </w:tc>
        <w:tc>
          <w:tcPr>
            <w:tcW w:w="807" w:type="dxa"/>
            <w:tcBorders>
              <w:top w:val="single" w:sz="6" w:space="0" w:color="000000"/>
              <w:left w:val="single" w:sz="6" w:space="0" w:color="000000"/>
              <w:bottom w:val="single" w:sz="6" w:space="0" w:color="000000"/>
            </w:tcBorders>
          </w:tcPr>
          <w:p>
            <w:pPr>
              <w:pStyle w:val="TableParagraph"/>
              <w:ind w:left="250" w:right="213"/>
              <w:rPr>
                <w:sz w:val="21"/>
              </w:rPr>
            </w:pPr>
            <w:r>
              <w:rPr>
                <w:sz w:val="21"/>
              </w:rPr>
              <w:t>+■</w:t>
            </w:r>
          </w:p>
        </w:tc>
      </w:tr>
      <w:tr>
        <w:trPr>
          <w:trHeight w:val="357" w:hRule="atLeast"/>
        </w:trPr>
        <w:tc>
          <w:tcPr>
            <w:tcW w:w="540" w:type="dxa"/>
            <w:vMerge/>
            <w:tcBorders>
              <w:top w:val="nil"/>
              <w:bottom w:val="single" w:sz="6" w:space="0" w:color="000000"/>
              <w:right w:val="single" w:sz="6" w:space="0" w:color="000000"/>
            </w:tcBorders>
          </w:tcPr>
          <w:p>
            <w:pPr>
              <w:rPr>
                <w:sz w:val="2"/>
                <w:szCs w:val="2"/>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6"/>
              <w:ind w:left="130" w:right="102"/>
              <w:rPr>
                <w:rFonts w:ascii="宋体" w:eastAsia="宋体" w:hint="eastAsia"/>
                <w:sz w:val="21"/>
              </w:rPr>
            </w:pPr>
            <w:r>
              <w:rPr>
                <w:rFonts w:ascii="宋体" w:eastAsia="宋体" w:hint="eastAsia"/>
                <w:sz w:val="21"/>
              </w:rPr>
              <w:t>土建</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4"/>
              <w:rPr>
                <w:rFonts w:ascii="Cambria Math" w:hAnsi="Cambria Math"/>
                <w:sz w:val="21"/>
              </w:rPr>
            </w:pPr>
            <w:r>
              <w:rPr>
                <w:position w:val="1"/>
                <w:sz w:val="21"/>
              </w:rPr>
              <w:t>-</w:t>
            </w:r>
            <w:r>
              <w:rPr>
                <w:rFonts w:ascii="Cambria Math" w:hAnsi="Cambria Math"/>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0"/>
              <w:ind w:left="205" w:right="179"/>
              <w:rPr>
                <w:rFonts w:ascii="Cambria Math" w:hAnsi="Cambria Math"/>
                <w:sz w:val="21"/>
              </w:rPr>
            </w:pPr>
            <w:r>
              <w:rPr>
                <w:position w:val="1"/>
                <w:sz w:val="21"/>
              </w:rPr>
              <w:t>-</w:t>
            </w:r>
            <w:r>
              <w:rPr>
                <w:rFonts w:ascii="Cambria Math" w:hAnsi="Cambria Math"/>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50"/>
              <w:ind w:left="208" w:right="180"/>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88"/>
              <w:jc w:val="left"/>
              <w:rPr>
                <w:rFonts w:ascii="Cambria Math" w:hAnsi="Cambria Math"/>
                <w:sz w:val="21"/>
              </w:rPr>
            </w:pPr>
            <w:r>
              <w:rPr>
                <w:position w:val="1"/>
                <w:sz w:val="21"/>
              </w:rPr>
              <w:t>-</w:t>
            </w:r>
            <w:r>
              <w:rPr>
                <w:rFonts w:ascii="Cambria Math" w:hAnsi="Cambria Math"/>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0"/>
              <w:ind w:left="117" w:right="92"/>
              <w:rPr>
                <w:rFonts w:ascii="Cambria Math" w:hAnsi="Cambria Math"/>
                <w:sz w:val="21"/>
              </w:rPr>
            </w:pPr>
            <w:r>
              <w:rPr>
                <w:position w:val="1"/>
                <w:sz w:val="21"/>
              </w:rPr>
              <w:t>-</w:t>
            </w:r>
            <w:r>
              <w:rPr>
                <w:rFonts w:ascii="Cambria Math" w:hAnsi="Cambria Math"/>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50"/>
              <w:ind w:left="176" w:right="155"/>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7"/>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right="259"/>
              <w:jc w:val="right"/>
              <w:rPr>
                <w:rFonts w:ascii="Cambria Math" w:hAnsi="Cambria Math"/>
                <w:sz w:val="21"/>
              </w:rPr>
            </w:pPr>
            <w:r>
              <w:rPr>
                <w:position w:val="1"/>
                <w:sz w:val="21"/>
              </w:rPr>
              <w:t>-</w:t>
            </w:r>
            <w:r>
              <w:rPr>
                <w:rFonts w:ascii="Cambria Math" w:hAnsi="Cambria Math"/>
                <w:sz w:val="21"/>
              </w:rPr>
              <w:t>△</w:t>
            </w:r>
          </w:p>
        </w:tc>
        <w:tc>
          <w:tcPr>
            <w:tcW w:w="807" w:type="dxa"/>
            <w:tcBorders>
              <w:top w:val="single" w:sz="6" w:space="0" w:color="000000"/>
              <w:left w:val="single" w:sz="6" w:space="0" w:color="000000"/>
              <w:bottom w:val="single" w:sz="6" w:space="0" w:color="000000"/>
            </w:tcBorders>
          </w:tcPr>
          <w:p>
            <w:pPr>
              <w:pStyle w:val="TableParagraph"/>
              <w:ind w:left="250" w:right="213"/>
              <w:rPr>
                <w:sz w:val="21"/>
              </w:rPr>
            </w:pPr>
            <w:r>
              <w:rPr>
                <w:sz w:val="21"/>
              </w:rPr>
              <w:t>+■</w:t>
            </w:r>
          </w:p>
        </w:tc>
      </w:tr>
      <w:tr>
        <w:trPr>
          <w:trHeight w:val="359" w:hRule="atLeast"/>
        </w:trPr>
        <w:tc>
          <w:tcPr>
            <w:tcW w:w="540" w:type="dxa"/>
            <w:vMerge/>
            <w:tcBorders>
              <w:top w:val="nil"/>
              <w:bottom w:val="single" w:sz="6" w:space="0" w:color="000000"/>
              <w:right w:val="single" w:sz="6" w:space="0" w:color="000000"/>
            </w:tcBorders>
          </w:tcPr>
          <w:p>
            <w:pPr>
              <w:rPr>
                <w:sz w:val="2"/>
                <w:szCs w:val="2"/>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9"/>
              <w:ind w:left="131" w:right="100"/>
              <w:rPr>
                <w:rFonts w:ascii="宋体" w:eastAsia="宋体" w:hint="eastAsia"/>
                <w:sz w:val="21"/>
              </w:rPr>
            </w:pPr>
            <w:r>
              <w:rPr>
                <w:rFonts w:ascii="宋体" w:eastAsia="宋体" w:hint="eastAsia"/>
                <w:sz w:val="21"/>
              </w:rPr>
              <w:t>安装装修</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left="247" w:right="224"/>
              <w:rPr>
                <w:rFonts w:ascii="Cambria Math" w:hAnsi="Cambria Math"/>
                <w:sz w:val="21"/>
              </w:rPr>
            </w:pPr>
            <w:r>
              <w:rPr>
                <w:position w:val="1"/>
                <w:sz w:val="21"/>
              </w:rPr>
              <w:t>-</w:t>
            </w:r>
            <w:r>
              <w:rPr>
                <w:rFonts w:ascii="Cambria Math" w:hAnsi="Cambria Math"/>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3"/>
              <w:ind w:left="205" w:right="179"/>
              <w:rPr>
                <w:rFonts w:ascii="Cambria Math" w:hAnsi="Cambria Math"/>
                <w:sz w:val="21"/>
              </w:rPr>
            </w:pPr>
            <w:r>
              <w:rPr>
                <w:position w:val="1"/>
                <w:sz w:val="21"/>
              </w:rPr>
              <w:t>-</w:t>
            </w:r>
            <w:r>
              <w:rPr>
                <w:rFonts w:ascii="Cambria Math" w:hAnsi="Cambria Math"/>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53"/>
              <w:ind w:left="208" w:right="180"/>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left="288"/>
              <w:jc w:val="left"/>
              <w:rPr>
                <w:rFonts w:ascii="Cambria Math" w:hAnsi="Cambria Math"/>
                <w:sz w:val="21"/>
              </w:rPr>
            </w:pPr>
            <w:r>
              <w:rPr>
                <w:position w:val="1"/>
                <w:sz w:val="21"/>
              </w:rPr>
              <w:t>-</w:t>
            </w:r>
            <w:r>
              <w:rPr>
                <w:rFonts w:ascii="Cambria Math" w:hAnsi="Cambria Math"/>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3"/>
              <w:ind w:left="117" w:right="92"/>
              <w:rPr>
                <w:rFonts w:ascii="Cambria Math" w:hAnsi="Cambria Math"/>
                <w:sz w:val="21"/>
              </w:rPr>
            </w:pPr>
            <w:r>
              <w:rPr>
                <w:position w:val="1"/>
                <w:sz w:val="21"/>
              </w:rPr>
              <w:t>-</w:t>
            </w:r>
            <w:r>
              <w:rPr>
                <w:rFonts w:ascii="Cambria Math" w:hAnsi="Cambria Math"/>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53"/>
              <w:ind w:left="176" w:right="155"/>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left="247" w:right="227"/>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right="259"/>
              <w:jc w:val="right"/>
              <w:rPr>
                <w:rFonts w:ascii="Cambria Math" w:hAnsi="Cambria Math"/>
                <w:sz w:val="21"/>
              </w:rPr>
            </w:pPr>
            <w:r>
              <w:rPr>
                <w:position w:val="1"/>
                <w:sz w:val="21"/>
              </w:rPr>
              <w:t>-</w:t>
            </w:r>
            <w:r>
              <w:rPr>
                <w:rFonts w:ascii="Cambria Math" w:hAnsi="Cambria Math"/>
                <w:sz w:val="21"/>
              </w:rPr>
              <w:t>△</w:t>
            </w:r>
          </w:p>
        </w:tc>
        <w:tc>
          <w:tcPr>
            <w:tcW w:w="807" w:type="dxa"/>
            <w:tcBorders>
              <w:top w:val="single" w:sz="6" w:space="0" w:color="000000"/>
              <w:left w:val="single" w:sz="6" w:space="0" w:color="000000"/>
              <w:bottom w:val="single" w:sz="6" w:space="0" w:color="000000"/>
            </w:tcBorders>
          </w:tcPr>
          <w:p>
            <w:pPr>
              <w:pStyle w:val="TableParagraph"/>
              <w:spacing w:before="60"/>
              <w:ind w:left="250" w:right="213"/>
              <w:rPr>
                <w:sz w:val="21"/>
              </w:rPr>
            </w:pPr>
            <w:r>
              <w:rPr>
                <w:sz w:val="21"/>
              </w:rPr>
              <w:t>+■</w:t>
            </w:r>
          </w:p>
        </w:tc>
      </w:tr>
      <w:tr>
        <w:trPr>
          <w:trHeight w:val="359" w:hRule="atLeast"/>
        </w:trPr>
        <w:tc>
          <w:tcPr>
            <w:tcW w:w="540" w:type="dxa"/>
            <w:vMerge/>
            <w:tcBorders>
              <w:top w:val="nil"/>
              <w:bottom w:val="single" w:sz="6" w:space="0" w:color="000000"/>
              <w:right w:val="single" w:sz="6" w:space="0" w:color="000000"/>
            </w:tcBorders>
          </w:tcPr>
          <w:p>
            <w:pPr>
              <w:rPr>
                <w:sz w:val="2"/>
                <w:szCs w:val="2"/>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0"/>
              <w:rPr>
                <w:rFonts w:ascii="宋体" w:eastAsia="宋体" w:hint="eastAsia"/>
                <w:sz w:val="21"/>
              </w:rPr>
            </w:pPr>
            <w:r>
              <w:rPr>
                <w:rFonts w:ascii="宋体" w:eastAsia="宋体" w:hint="eastAsia"/>
                <w:sz w:val="21"/>
              </w:rPr>
              <w:t>交通运输</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4"/>
              <w:rPr>
                <w:rFonts w:ascii="Cambria Math" w:hAnsi="Cambria Math"/>
                <w:sz w:val="21"/>
              </w:rPr>
            </w:pPr>
            <w:r>
              <w:rPr>
                <w:position w:val="1"/>
                <w:sz w:val="21"/>
              </w:rPr>
              <w:t>-</w:t>
            </w:r>
            <w:r>
              <w:rPr>
                <w:rFonts w:ascii="Cambria Math" w:hAnsi="Cambria Math"/>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0"/>
              <w:ind w:left="205" w:right="179"/>
              <w:rPr>
                <w:rFonts w:ascii="Cambria Math" w:hAnsi="Cambria Math"/>
                <w:sz w:val="21"/>
              </w:rPr>
            </w:pPr>
            <w:r>
              <w:rPr>
                <w:position w:val="1"/>
                <w:sz w:val="21"/>
              </w:rPr>
              <w:t>-</w:t>
            </w:r>
            <w:r>
              <w:rPr>
                <w:rFonts w:ascii="Cambria Math" w:hAnsi="Cambria Math"/>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50"/>
              <w:ind w:left="208" w:right="180"/>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88"/>
              <w:jc w:val="left"/>
              <w:rPr>
                <w:rFonts w:ascii="Cambria Math" w:hAnsi="Cambria Math"/>
                <w:sz w:val="21"/>
              </w:rPr>
            </w:pPr>
            <w:r>
              <w:rPr>
                <w:position w:val="1"/>
                <w:sz w:val="21"/>
              </w:rPr>
              <w:t>-</w:t>
            </w:r>
            <w:r>
              <w:rPr>
                <w:rFonts w:ascii="Cambria Math" w:hAnsi="Cambria Math"/>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0"/>
              <w:ind w:left="117" w:right="92"/>
              <w:rPr>
                <w:rFonts w:ascii="Cambria Math" w:hAnsi="Cambria Math"/>
                <w:sz w:val="21"/>
              </w:rPr>
            </w:pPr>
            <w:r>
              <w:rPr>
                <w:position w:val="1"/>
                <w:sz w:val="21"/>
              </w:rPr>
              <w:t>-</w:t>
            </w:r>
            <w:r>
              <w:rPr>
                <w:rFonts w:ascii="Cambria Math" w:hAnsi="Cambria Math"/>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50"/>
              <w:ind w:left="176" w:right="155"/>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7"/>
              <w:rPr>
                <w:rFonts w:ascii="Cambria Math" w:hAnsi="Cambria Math"/>
                <w:sz w:val="21"/>
              </w:rPr>
            </w:pPr>
            <w:r>
              <w:rPr>
                <w:position w:val="1"/>
                <w:sz w:val="21"/>
              </w:rPr>
              <w:t>-</w:t>
            </w:r>
            <w:r>
              <w:rPr>
                <w:rFonts w:ascii="Cambria Math" w:hAnsi="Cambria Math"/>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right="259"/>
              <w:jc w:val="right"/>
              <w:rPr>
                <w:rFonts w:ascii="Cambria Math" w:hAnsi="Cambria Math"/>
                <w:sz w:val="21"/>
              </w:rPr>
            </w:pPr>
            <w:r>
              <w:rPr>
                <w:position w:val="1"/>
                <w:sz w:val="21"/>
              </w:rPr>
              <w:t>-</w:t>
            </w:r>
            <w:r>
              <w:rPr>
                <w:rFonts w:ascii="Cambria Math" w:hAnsi="Cambria Math"/>
                <w:sz w:val="21"/>
              </w:rPr>
              <w:t>△</w:t>
            </w:r>
          </w:p>
        </w:tc>
        <w:tc>
          <w:tcPr>
            <w:tcW w:w="807" w:type="dxa"/>
            <w:tcBorders>
              <w:top w:val="single" w:sz="6" w:space="0" w:color="000000"/>
              <w:left w:val="single" w:sz="6" w:space="0" w:color="000000"/>
              <w:bottom w:val="single" w:sz="6" w:space="0" w:color="000000"/>
            </w:tcBorders>
          </w:tcPr>
          <w:p>
            <w:pPr>
              <w:pStyle w:val="TableParagraph"/>
              <w:ind w:left="250" w:right="213"/>
              <w:rPr>
                <w:sz w:val="21"/>
              </w:rPr>
            </w:pPr>
            <w:r>
              <w:rPr>
                <w:sz w:val="21"/>
              </w:rPr>
              <w:t>+■</w:t>
            </w:r>
          </w:p>
        </w:tc>
      </w:tr>
      <w:tr>
        <w:trPr>
          <w:trHeight w:val="351" w:hRule="atLeast"/>
        </w:trPr>
        <w:tc>
          <w:tcPr>
            <w:tcW w:w="540"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line="319" w:lineRule="auto" w:before="179"/>
              <w:ind w:left="162" w:right="141"/>
              <w:jc w:val="both"/>
              <w:rPr>
                <w:rFonts w:ascii="宋体" w:eastAsia="宋体" w:hint="eastAsia"/>
                <w:sz w:val="21"/>
              </w:rPr>
            </w:pPr>
            <w:r>
              <w:rPr>
                <w:rFonts w:ascii="宋体" w:eastAsia="宋体" w:hint="eastAsia"/>
                <w:sz w:val="21"/>
              </w:rPr>
              <w:t>运营期</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0"/>
              <w:rPr>
                <w:rFonts w:ascii="宋体" w:eastAsia="宋体" w:hint="eastAsia"/>
                <w:sz w:val="21"/>
              </w:rPr>
            </w:pPr>
            <w:r>
              <w:rPr>
                <w:rFonts w:ascii="宋体" w:eastAsia="宋体" w:hint="eastAsia"/>
                <w:sz w:val="21"/>
              </w:rPr>
              <w:t>主体装置</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ind w:left="247" w:right="225"/>
              <w:rPr>
                <w:sz w:val="21"/>
              </w:rPr>
            </w:pPr>
            <w:r>
              <w:rPr>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ind w:left="205" w:right="180"/>
              <w:rPr>
                <w:sz w:val="21"/>
              </w:rPr>
            </w:pPr>
            <w:r>
              <w:rPr>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ind w:left="208" w:right="181"/>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ind w:left="271"/>
              <w:jc w:val="left"/>
              <w:rPr>
                <w:sz w:val="21"/>
              </w:rPr>
            </w:pPr>
            <w:r>
              <w:rPr>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ind w:left="117" w:right="93"/>
              <w:rPr>
                <w:sz w:val="21"/>
              </w:rPr>
            </w:pPr>
            <w:r>
              <w:rPr>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ind w:left="176" w:right="156"/>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ind w:left="247" w:right="224"/>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ind w:right="243"/>
              <w:jc w:val="right"/>
              <w:rPr>
                <w:sz w:val="21"/>
              </w:rPr>
            </w:pPr>
            <w:r>
              <w:rPr>
                <w:sz w:val="21"/>
              </w:rPr>
              <w:t>-▲</w:t>
            </w:r>
          </w:p>
        </w:tc>
        <w:tc>
          <w:tcPr>
            <w:tcW w:w="807" w:type="dxa"/>
            <w:tcBorders>
              <w:top w:val="single" w:sz="6" w:space="0" w:color="000000"/>
              <w:left w:val="single" w:sz="6" w:space="0" w:color="000000"/>
              <w:bottom w:val="single" w:sz="6" w:space="0" w:color="000000"/>
            </w:tcBorders>
          </w:tcPr>
          <w:p>
            <w:pPr>
              <w:pStyle w:val="TableParagraph"/>
              <w:ind w:left="250" w:right="213"/>
              <w:rPr>
                <w:sz w:val="21"/>
              </w:rPr>
            </w:pPr>
            <w:r>
              <w:rPr>
                <w:sz w:val="21"/>
              </w:rPr>
              <w:t>+■</w:t>
            </w:r>
          </w:p>
        </w:tc>
      </w:tr>
      <w:tr>
        <w:trPr>
          <w:trHeight w:val="342" w:hRule="atLeast"/>
        </w:trPr>
        <w:tc>
          <w:tcPr>
            <w:tcW w:w="540" w:type="dxa"/>
            <w:vMerge/>
            <w:tcBorders>
              <w:top w:val="nil"/>
              <w:right w:val="single" w:sz="6" w:space="0" w:color="000000"/>
            </w:tcBorders>
          </w:tcPr>
          <w:p>
            <w:pPr>
              <w:rPr>
                <w:sz w:val="2"/>
                <w:szCs w:val="2"/>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39"/>
              <w:ind w:left="131" w:right="100"/>
              <w:rPr>
                <w:rFonts w:ascii="宋体" w:eastAsia="宋体" w:hint="eastAsia"/>
                <w:sz w:val="21"/>
              </w:rPr>
            </w:pPr>
            <w:r>
              <w:rPr>
                <w:rFonts w:ascii="宋体" w:eastAsia="宋体" w:hint="eastAsia"/>
                <w:sz w:val="21"/>
              </w:rPr>
              <w:t>共用工程</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5"/>
              <w:rPr>
                <w:sz w:val="21"/>
              </w:rPr>
            </w:pPr>
            <w:r>
              <w:rPr>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0"/>
              <w:ind w:left="205" w:right="180"/>
              <w:rPr>
                <w:sz w:val="21"/>
              </w:rPr>
            </w:pPr>
            <w:r>
              <w:rPr>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50"/>
              <w:ind w:left="208" w:right="181"/>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71"/>
              <w:jc w:val="left"/>
              <w:rPr>
                <w:sz w:val="21"/>
              </w:rPr>
            </w:pPr>
            <w:r>
              <w:rPr>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0"/>
              <w:ind w:left="117" w:right="93"/>
              <w:rPr>
                <w:sz w:val="21"/>
              </w:rPr>
            </w:pPr>
            <w:r>
              <w:rPr>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50"/>
              <w:ind w:left="176" w:right="156"/>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4"/>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right="243"/>
              <w:jc w:val="right"/>
              <w:rPr>
                <w:sz w:val="21"/>
              </w:rPr>
            </w:pPr>
            <w:r>
              <w:rPr>
                <w:sz w:val="21"/>
              </w:rPr>
              <w:t>-▲</w:t>
            </w:r>
          </w:p>
        </w:tc>
        <w:tc>
          <w:tcPr>
            <w:tcW w:w="807" w:type="dxa"/>
            <w:tcBorders>
              <w:top w:val="single" w:sz="6" w:space="0" w:color="000000"/>
              <w:left w:val="single" w:sz="6" w:space="0" w:color="000000"/>
              <w:bottom w:val="single" w:sz="6" w:space="0" w:color="000000"/>
            </w:tcBorders>
          </w:tcPr>
          <w:p>
            <w:pPr>
              <w:pStyle w:val="TableParagraph"/>
              <w:spacing w:before="50"/>
              <w:ind w:left="250" w:right="213"/>
              <w:rPr>
                <w:sz w:val="21"/>
              </w:rPr>
            </w:pPr>
            <w:r>
              <w:rPr>
                <w:sz w:val="21"/>
              </w:rPr>
              <w:t>+■</w:t>
            </w:r>
          </w:p>
        </w:tc>
      </w:tr>
      <w:tr>
        <w:trPr>
          <w:trHeight w:val="345" w:hRule="atLeast"/>
        </w:trPr>
        <w:tc>
          <w:tcPr>
            <w:tcW w:w="540" w:type="dxa"/>
            <w:vMerge/>
            <w:tcBorders>
              <w:top w:val="nil"/>
              <w:right w:val="single" w:sz="6" w:space="0" w:color="000000"/>
            </w:tcBorders>
          </w:tcPr>
          <w:p>
            <w:pPr>
              <w:rPr>
                <w:sz w:val="2"/>
                <w:szCs w:val="2"/>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1"/>
              <w:ind w:left="131" w:right="100"/>
              <w:rPr>
                <w:rFonts w:ascii="宋体" w:eastAsia="宋体" w:hint="eastAsia"/>
                <w:sz w:val="21"/>
              </w:rPr>
            </w:pPr>
            <w:r>
              <w:rPr>
                <w:rFonts w:ascii="宋体" w:eastAsia="宋体" w:hint="eastAsia"/>
                <w:sz w:val="21"/>
              </w:rPr>
              <w:t>物料储运</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left="247" w:right="225"/>
              <w:rPr>
                <w:sz w:val="21"/>
              </w:rPr>
            </w:pPr>
            <w:r>
              <w:rPr>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3"/>
              <w:ind w:left="205" w:right="180"/>
              <w:rPr>
                <w:sz w:val="21"/>
              </w:rPr>
            </w:pPr>
            <w:r>
              <w:rPr>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53"/>
              <w:ind w:left="208" w:right="181"/>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left="271"/>
              <w:jc w:val="left"/>
              <w:rPr>
                <w:sz w:val="21"/>
              </w:rPr>
            </w:pPr>
            <w:r>
              <w:rPr>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3"/>
              <w:ind w:left="117" w:right="93"/>
              <w:rPr>
                <w:sz w:val="21"/>
              </w:rPr>
            </w:pPr>
            <w:r>
              <w:rPr>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53"/>
              <w:ind w:left="176" w:right="156"/>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left="247" w:right="224"/>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3"/>
              <w:ind w:right="243"/>
              <w:jc w:val="right"/>
              <w:rPr>
                <w:sz w:val="21"/>
              </w:rPr>
            </w:pPr>
            <w:r>
              <w:rPr>
                <w:sz w:val="21"/>
              </w:rPr>
              <w:t>-▲</w:t>
            </w:r>
          </w:p>
        </w:tc>
        <w:tc>
          <w:tcPr>
            <w:tcW w:w="807" w:type="dxa"/>
            <w:tcBorders>
              <w:top w:val="single" w:sz="6" w:space="0" w:color="000000"/>
              <w:left w:val="single" w:sz="6" w:space="0" w:color="000000"/>
              <w:bottom w:val="single" w:sz="6" w:space="0" w:color="000000"/>
            </w:tcBorders>
          </w:tcPr>
          <w:p>
            <w:pPr>
              <w:pStyle w:val="TableParagraph"/>
              <w:spacing w:before="53"/>
              <w:ind w:left="250" w:right="213"/>
              <w:rPr>
                <w:sz w:val="21"/>
              </w:rPr>
            </w:pPr>
            <w:r>
              <w:rPr>
                <w:sz w:val="21"/>
              </w:rPr>
              <w:t>+■</w:t>
            </w:r>
          </w:p>
        </w:tc>
      </w:tr>
      <w:tr>
        <w:trPr>
          <w:trHeight w:val="344" w:hRule="atLeast"/>
        </w:trPr>
        <w:tc>
          <w:tcPr>
            <w:tcW w:w="540" w:type="dxa"/>
            <w:vMerge/>
            <w:tcBorders>
              <w:top w:val="nil"/>
              <w:right w:val="single" w:sz="6" w:space="0" w:color="000000"/>
            </w:tcBorders>
          </w:tcPr>
          <w:p>
            <w:pPr>
              <w:rPr>
                <w:sz w:val="2"/>
                <w:szCs w:val="2"/>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39"/>
              <w:ind w:left="131" w:right="100"/>
              <w:rPr>
                <w:rFonts w:ascii="宋体" w:eastAsia="宋体" w:hint="eastAsia"/>
                <w:sz w:val="21"/>
              </w:rPr>
            </w:pPr>
            <w:r>
              <w:rPr>
                <w:rFonts w:ascii="宋体" w:eastAsia="宋体" w:hint="eastAsia"/>
                <w:sz w:val="21"/>
              </w:rPr>
              <w:t>污染治理</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1"/>
              <w:rPr>
                <w:sz w:val="21"/>
              </w:rPr>
            </w:pPr>
            <w:r>
              <w:rPr>
                <w:sz w:val="21"/>
              </w:rPr>
              <w:t>+■</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before="50"/>
              <w:ind w:left="205" w:right="177"/>
              <w:rPr>
                <w:sz w:val="21"/>
              </w:rPr>
            </w:pPr>
            <w:r>
              <w:rPr>
                <w:sz w:val="21"/>
              </w:rPr>
              <w:t>+■</w:t>
            </w:r>
          </w:p>
        </w:tc>
        <w:tc>
          <w:tcPr>
            <w:tcW w:w="1078" w:type="dxa"/>
            <w:tcBorders>
              <w:top w:val="single" w:sz="6" w:space="0" w:color="000000"/>
              <w:left w:val="single" w:sz="6" w:space="0" w:color="000000"/>
              <w:bottom w:val="single" w:sz="6" w:space="0" w:color="000000"/>
              <w:right w:val="single" w:sz="6" w:space="0" w:color="000000"/>
            </w:tcBorders>
          </w:tcPr>
          <w:p>
            <w:pPr>
              <w:pStyle w:val="TableParagraph"/>
              <w:spacing w:before="50"/>
              <w:ind w:left="208" w:right="178"/>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88"/>
              <w:jc w:val="left"/>
              <w:rPr>
                <w:sz w:val="21"/>
              </w:rPr>
            </w:pPr>
            <w:r>
              <w:rPr>
                <w:sz w:val="21"/>
              </w:rPr>
              <w:t>+■</w:t>
            </w:r>
          </w:p>
        </w:tc>
        <w:tc>
          <w:tcPr>
            <w:tcW w:w="543" w:type="dxa"/>
            <w:tcBorders>
              <w:top w:val="single" w:sz="6" w:space="0" w:color="000000"/>
              <w:left w:val="single" w:sz="6" w:space="0" w:color="000000"/>
              <w:bottom w:val="single" w:sz="6" w:space="0" w:color="000000"/>
              <w:right w:val="single" w:sz="6" w:space="0" w:color="000000"/>
            </w:tcBorders>
          </w:tcPr>
          <w:p>
            <w:pPr>
              <w:pStyle w:val="TableParagraph"/>
              <w:spacing w:before="50"/>
              <w:ind w:left="117" w:right="90"/>
              <w:rPr>
                <w:sz w:val="21"/>
              </w:rPr>
            </w:pPr>
            <w:r>
              <w:rPr>
                <w:sz w:val="21"/>
              </w:rPr>
              <w:t>+■</w:t>
            </w:r>
          </w:p>
        </w:tc>
        <w:tc>
          <w:tcPr>
            <w:tcW w:w="810" w:type="dxa"/>
            <w:tcBorders>
              <w:top w:val="single" w:sz="6" w:space="0" w:color="000000"/>
              <w:left w:val="single" w:sz="6" w:space="0" w:color="000000"/>
              <w:bottom w:val="single" w:sz="6" w:space="0" w:color="000000"/>
              <w:right w:val="single" w:sz="6" w:space="0" w:color="000000"/>
            </w:tcBorders>
          </w:tcPr>
          <w:p>
            <w:pPr>
              <w:pStyle w:val="TableParagraph"/>
              <w:spacing w:before="50"/>
              <w:ind w:left="176" w:right="153"/>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left="247" w:right="224"/>
              <w:rPr>
                <w:sz w:val="21"/>
              </w:rPr>
            </w:pPr>
            <w:r>
              <w:rPr>
                <w:sz w:val="21"/>
              </w:rPr>
              <w:t>+■</w:t>
            </w:r>
          </w:p>
        </w:tc>
        <w:tc>
          <w:tcPr>
            <w:tcW w:w="809" w:type="dxa"/>
            <w:tcBorders>
              <w:top w:val="single" w:sz="6" w:space="0" w:color="000000"/>
              <w:left w:val="single" w:sz="6" w:space="0" w:color="000000"/>
              <w:bottom w:val="single" w:sz="6" w:space="0" w:color="000000"/>
              <w:right w:val="single" w:sz="6" w:space="0" w:color="000000"/>
            </w:tcBorders>
          </w:tcPr>
          <w:p>
            <w:pPr>
              <w:pStyle w:val="TableParagraph"/>
              <w:spacing w:before="50"/>
              <w:ind w:right="256"/>
              <w:jc w:val="right"/>
              <w:rPr>
                <w:sz w:val="21"/>
              </w:rPr>
            </w:pPr>
            <w:r>
              <w:rPr>
                <w:sz w:val="21"/>
              </w:rPr>
              <w:t>+■</w:t>
            </w:r>
          </w:p>
        </w:tc>
        <w:tc>
          <w:tcPr>
            <w:tcW w:w="807" w:type="dxa"/>
            <w:tcBorders>
              <w:top w:val="single" w:sz="6" w:space="0" w:color="000000"/>
              <w:left w:val="single" w:sz="6" w:space="0" w:color="000000"/>
              <w:bottom w:val="single" w:sz="6" w:space="0" w:color="000000"/>
            </w:tcBorders>
          </w:tcPr>
          <w:p>
            <w:pPr>
              <w:pStyle w:val="TableParagraph"/>
              <w:spacing w:before="50"/>
              <w:ind w:left="250" w:right="213"/>
              <w:rPr>
                <w:sz w:val="21"/>
              </w:rPr>
            </w:pPr>
            <w:r>
              <w:rPr>
                <w:sz w:val="21"/>
              </w:rPr>
              <w:t>+■</w:t>
            </w:r>
          </w:p>
        </w:tc>
      </w:tr>
      <w:tr>
        <w:trPr>
          <w:trHeight w:val="351" w:hRule="atLeast"/>
        </w:trPr>
        <w:tc>
          <w:tcPr>
            <w:tcW w:w="540" w:type="dxa"/>
            <w:vMerge/>
            <w:tcBorders>
              <w:top w:val="nil"/>
              <w:right w:val="single" w:sz="6" w:space="0" w:color="000000"/>
            </w:tcBorders>
          </w:tcPr>
          <w:p>
            <w:pPr>
              <w:rPr>
                <w:sz w:val="2"/>
                <w:szCs w:val="2"/>
              </w:rPr>
            </w:pPr>
          </w:p>
        </w:tc>
        <w:tc>
          <w:tcPr>
            <w:tcW w:w="1344" w:type="dxa"/>
            <w:tcBorders>
              <w:top w:val="single" w:sz="6" w:space="0" w:color="000000"/>
              <w:left w:val="single" w:sz="6" w:space="0" w:color="000000"/>
              <w:right w:val="single" w:sz="6" w:space="0" w:color="000000"/>
            </w:tcBorders>
          </w:tcPr>
          <w:p>
            <w:pPr>
              <w:pStyle w:val="TableParagraph"/>
              <w:spacing w:before="39"/>
              <w:ind w:left="131" w:right="100"/>
              <w:rPr>
                <w:rFonts w:ascii="宋体" w:eastAsia="宋体" w:hint="eastAsia"/>
                <w:sz w:val="21"/>
              </w:rPr>
            </w:pPr>
            <w:r>
              <w:rPr>
                <w:rFonts w:ascii="宋体" w:eastAsia="宋体" w:hint="eastAsia"/>
                <w:sz w:val="21"/>
              </w:rPr>
              <w:t>风险事故</w:t>
            </w:r>
          </w:p>
        </w:tc>
        <w:tc>
          <w:tcPr>
            <w:tcW w:w="809" w:type="dxa"/>
            <w:tcBorders>
              <w:top w:val="single" w:sz="6" w:space="0" w:color="000000"/>
              <w:left w:val="single" w:sz="6" w:space="0" w:color="000000"/>
              <w:right w:val="single" w:sz="6" w:space="0" w:color="000000"/>
            </w:tcBorders>
          </w:tcPr>
          <w:p>
            <w:pPr>
              <w:pStyle w:val="TableParagraph"/>
              <w:spacing w:before="50"/>
              <w:ind w:left="247" w:right="225"/>
              <w:rPr>
                <w:sz w:val="21"/>
              </w:rPr>
            </w:pPr>
            <w:r>
              <w:rPr>
                <w:sz w:val="21"/>
              </w:rPr>
              <w:t>-▲</w:t>
            </w:r>
          </w:p>
        </w:tc>
        <w:tc>
          <w:tcPr>
            <w:tcW w:w="1075" w:type="dxa"/>
            <w:tcBorders>
              <w:top w:val="single" w:sz="6" w:space="0" w:color="000000"/>
              <w:left w:val="single" w:sz="6" w:space="0" w:color="000000"/>
              <w:right w:val="single" w:sz="6" w:space="0" w:color="000000"/>
            </w:tcBorders>
          </w:tcPr>
          <w:p>
            <w:pPr>
              <w:pStyle w:val="TableParagraph"/>
              <w:spacing w:before="50"/>
              <w:ind w:left="205" w:right="180"/>
              <w:rPr>
                <w:sz w:val="21"/>
              </w:rPr>
            </w:pPr>
            <w:r>
              <w:rPr>
                <w:sz w:val="21"/>
              </w:rPr>
              <w:t>-▲</w:t>
            </w:r>
          </w:p>
        </w:tc>
        <w:tc>
          <w:tcPr>
            <w:tcW w:w="1078" w:type="dxa"/>
            <w:tcBorders>
              <w:top w:val="single" w:sz="6" w:space="0" w:color="000000"/>
              <w:left w:val="single" w:sz="6" w:space="0" w:color="000000"/>
              <w:right w:val="single" w:sz="6" w:space="0" w:color="000000"/>
            </w:tcBorders>
          </w:tcPr>
          <w:p>
            <w:pPr>
              <w:pStyle w:val="TableParagraph"/>
              <w:spacing w:before="50"/>
              <w:ind w:left="208" w:right="181"/>
              <w:rPr>
                <w:sz w:val="21"/>
              </w:rPr>
            </w:pPr>
            <w:r>
              <w:rPr>
                <w:sz w:val="21"/>
              </w:rPr>
              <w:t>-▲</w:t>
            </w:r>
          </w:p>
        </w:tc>
        <w:tc>
          <w:tcPr>
            <w:tcW w:w="809" w:type="dxa"/>
            <w:tcBorders>
              <w:top w:val="single" w:sz="6" w:space="0" w:color="000000"/>
              <w:left w:val="single" w:sz="6" w:space="0" w:color="000000"/>
              <w:right w:val="single" w:sz="6" w:space="0" w:color="000000"/>
            </w:tcBorders>
          </w:tcPr>
          <w:p>
            <w:pPr>
              <w:pStyle w:val="TableParagraph"/>
              <w:spacing w:before="50"/>
              <w:ind w:left="271"/>
              <w:jc w:val="left"/>
              <w:rPr>
                <w:sz w:val="21"/>
              </w:rPr>
            </w:pPr>
            <w:r>
              <w:rPr>
                <w:sz w:val="21"/>
              </w:rPr>
              <w:t>-▲</w:t>
            </w:r>
          </w:p>
        </w:tc>
        <w:tc>
          <w:tcPr>
            <w:tcW w:w="543" w:type="dxa"/>
            <w:tcBorders>
              <w:top w:val="single" w:sz="6" w:space="0" w:color="000000"/>
              <w:left w:val="single" w:sz="6" w:space="0" w:color="000000"/>
              <w:right w:val="single" w:sz="6" w:space="0" w:color="000000"/>
            </w:tcBorders>
          </w:tcPr>
          <w:p>
            <w:pPr>
              <w:pStyle w:val="TableParagraph"/>
              <w:spacing w:before="50"/>
              <w:ind w:left="117" w:right="93"/>
              <w:rPr>
                <w:sz w:val="21"/>
              </w:rPr>
            </w:pPr>
            <w:r>
              <w:rPr>
                <w:sz w:val="21"/>
              </w:rPr>
              <w:t>-▲</w:t>
            </w:r>
          </w:p>
        </w:tc>
        <w:tc>
          <w:tcPr>
            <w:tcW w:w="810" w:type="dxa"/>
            <w:tcBorders>
              <w:top w:val="single" w:sz="6" w:space="0" w:color="000000"/>
              <w:left w:val="single" w:sz="6" w:space="0" w:color="000000"/>
              <w:right w:val="single" w:sz="6" w:space="0" w:color="000000"/>
            </w:tcBorders>
          </w:tcPr>
          <w:p>
            <w:pPr>
              <w:pStyle w:val="TableParagraph"/>
              <w:spacing w:before="50"/>
              <w:ind w:left="176" w:right="156"/>
              <w:rPr>
                <w:sz w:val="21"/>
              </w:rPr>
            </w:pPr>
            <w:r>
              <w:rPr>
                <w:sz w:val="21"/>
              </w:rPr>
              <w:t>-▲</w:t>
            </w:r>
          </w:p>
        </w:tc>
        <w:tc>
          <w:tcPr>
            <w:tcW w:w="809" w:type="dxa"/>
            <w:tcBorders>
              <w:top w:val="single" w:sz="6" w:space="0" w:color="000000"/>
              <w:left w:val="single" w:sz="6" w:space="0" w:color="000000"/>
              <w:right w:val="single" w:sz="6" w:space="0" w:color="000000"/>
            </w:tcBorders>
          </w:tcPr>
          <w:p>
            <w:pPr>
              <w:pStyle w:val="TableParagraph"/>
              <w:spacing w:before="50"/>
              <w:ind w:left="246" w:right="227"/>
              <w:rPr>
                <w:sz w:val="21"/>
              </w:rPr>
            </w:pPr>
            <w:r>
              <w:rPr>
                <w:sz w:val="21"/>
              </w:rPr>
              <w:t>-▲</w:t>
            </w:r>
          </w:p>
        </w:tc>
        <w:tc>
          <w:tcPr>
            <w:tcW w:w="809" w:type="dxa"/>
            <w:tcBorders>
              <w:top w:val="single" w:sz="6" w:space="0" w:color="000000"/>
              <w:left w:val="single" w:sz="6" w:space="0" w:color="000000"/>
              <w:right w:val="single" w:sz="6" w:space="0" w:color="000000"/>
            </w:tcBorders>
          </w:tcPr>
          <w:p>
            <w:pPr>
              <w:pStyle w:val="TableParagraph"/>
              <w:spacing w:before="50"/>
              <w:ind w:right="243"/>
              <w:jc w:val="right"/>
              <w:rPr>
                <w:sz w:val="21"/>
              </w:rPr>
            </w:pPr>
            <w:r>
              <w:rPr>
                <w:sz w:val="21"/>
              </w:rPr>
              <w:t>-▲</w:t>
            </w:r>
          </w:p>
        </w:tc>
        <w:tc>
          <w:tcPr>
            <w:tcW w:w="807" w:type="dxa"/>
            <w:tcBorders>
              <w:top w:val="single" w:sz="6" w:space="0" w:color="000000"/>
              <w:left w:val="single" w:sz="6" w:space="0" w:color="000000"/>
            </w:tcBorders>
          </w:tcPr>
          <w:p>
            <w:pPr>
              <w:pStyle w:val="TableParagraph"/>
              <w:spacing w:before="50"/>
              <w:ind w:left="250" w:right="216"/>
              <w:rPr>
                <w:sz w:val="21"/>
              </w:rPr>
            </w:pPr>
            <w:r>
              <w:rPr>
                <w:sz w:val="21"/>
              </w:rPr>
              <w:t>-▲</w:t>
            </w:r>
          </w:p>
        </w:tc>
      </w:tr>
    </w:tbl>
    <w:p>
      <w:pPr>
        <w:spacing w:before="46"/>
        <w:ind w:left="657" w:right="0" w:firstLine="0"/>
        <w:jc w:val="left"/>
        <w:rPr>
          <w:sz w:val="21"/>
        </w:rPr>
      </w:pPr>
      <w:r>
        <w:rPr>
          <w:spacing w:val="-6"/>
          <w:sz w:val="21"/>
        </w:rPr>
        <w:t>注：</w:t>
      </w:r>
      <w:r>
        <w:rPr>
          <w:rFonts w:ascii="Times New Roman" w:hAnsi="Times New Roman" w:eastAsia="Times New Roman"/>
          <w:spacing w:val="-12"/>
          <w:position w:val="1"/>
          <w:sz w:val="21"/>
        </w:rPr>
        <w:t>“+/-”</w:t>
      </w:r>
      <w:r>
        <w:rPr>
          <w:spacing w:val="-2"/>
          <w:sz w:val="21"/>
        </w:rPr>
        <w:t>表示有利</w:t>
      </w:r>
      <w:r>
        <w:rPr>
          <w:rFonts w:ascii="Times New Roman" w:hAnsi="Times New Roman" w:eastAsia="Times New Roman"/>
          <w:position w:val="1"/>
          <w:sz w:val="21"/>
        </w:rPr>
        <w:t>/</w:t>
      </w:r>
      <w:r>
        <w:rPr>
          <w:spacing w:val="-5"/>
          <w:sz w:val="21"/>
        </w:rPr>
        <w:t>不利影响，</w:t>
      </w:r>
      <w:r>
        <w:rPr>
          <w:rFonts w:ascii="Times New Roman" w:hAnsi="Times New Roman" w:eastAsia="Times New Roman"/>
          <w:spacing w:val="-12"/>
          <w:position w:val="1"/>
          <w:sz w:val="21"/>
        </w:rPr>
        <w:t>“■/□”</w:t>
      </w:r>
      <w:r>
        <w:rPr>
          <w:spacing w:val="-2"/>
          <w:sz w:val="21"/>
        </w:rPr>
        <w:t>表示长期</w:t>
      </w:r>
      <w:r>
        <w:rPr>
          <w:rFonts w:ascii="Times New Roman" w:hAnsi="Times New Roman" w:eastAsia="Times New Roman"/>
          <w:position w:val="1"/>
          <w:sz w:val="21"/>
        </w:rPr>
        <w:t>/</w:t>
      </w:r>
      <w:r>
        <w:rPr>
          <w:spacing w:val="-5"/>
          <w:sz w:val="21"/>
        </w:rPr>
        <w:t>短期的严重影响，</w:t>
      </w:r>
      <w:r>
        <w:rPr>
          <w:rFonts w:ascii="Times New Roman" w:hAnsi="Times New Roman" w:eastAsia="Times New Roman"/>
          <w:spacing w:val="-12"/>
          <w:position w:val="1"/>
          <w:sz w:val="21"/>
        </w:rPr>
        <w:t>“▲/</w:t>
      </w:r>
      <w:r>
        <w:rPr>
          <w:rFonts w:ascii="Cambria Math" w:hAnsi="Cambria Math" w:eastAsia="Cambria Math"/>
          <w:spacing w:val="-12"/>
          <w:sz w:val="21"/>
        </w:rPr>
        <w:t>△</w:t>
      </w:r>
      <w:r>
        <w:rPr>
          <w:rFonts w:ascii="Times New Roman" w:hAnsi="Times New Roman" w:eastAsia="Times New Roman"/>
          <w:spacing w:val="-12"/>
          <w:position w:val="1"/>
          <w:sz w:val="21"/>
        </w:rPr>
        <w:t>”</w:t>
      </w:r>
      <w:r>
        <w:rPr>
          <w:spacing w:val="-3"/>
          <w:sz w:val="21"/>
        </w:rPr>
        <w:t>表示长期</w:t>
      </w:r>
      <w:r>
        <w:rPr>
          <w:rFonts w:ascii="Times New Roman" w:hAnsi="Times New Roman" w:eastAsia="Times New Roman"/>
          <w:position w:val="1"/>
          <w:sz w:val="21"/>
        </w:rPr>
        <w:t>/</w:t>
      </w:r>
      <w:r>
        <w:rPr>
          <w:spacing w:val="-2"/>
          <w:sz w:val="21"/>
        </w:rPr>
        <w:t>短期的轻微影响，</w:t>
      </w:r>
    </w:p>
    <w:p>
      <w:pPr>
        <w:spacing w:before="91"/>
        <w:ind w:left="237" w:right="0" w:firstLine="0"/>
        <w:jc w:val="left"/>
        <w:rPr>
          <w:sz w:val="21"/>
        </w:rPr>
      </w:pPr>
      <w:r>
        <w:rPr>
          <w:rFonts w:ascii="Times New Roman" w:hAnsi="Times New Roman" w:eastAsia="Times New Roman"/>
          <w:position w:val="1"/>
          <w:sz w:val="21"/>
        </w:rPr>
        <w:t>“/”</w:t>
      </w:r>
      <w:r>
        <w:rPr>
          <w:sz w:val="21"/>
        </w:rPr>
        <w:t>表示无相关关系。</w:t>
      </w:r>
    </w:p>
    <w:p>
      <w:pPr>
        <w:pStyle w:val="Heading3"/>
        <w:numPr>
          <w:ilvl w:val="2"/>
          <w:numId w:val="12"/>
        </w:numPr>
        <w:tabs>
          <w:tab w:pos="838" w:val="left" w:leader="none"/>
        </w:tabs>
        <w:spacing w:line="240" w:lineRule="auto" w:before="124" w:after="0"/>
        <w:ind w:left="837" w:right="0" w:hanging="601"/>
        <w:jc w:val="left"/>
      </w:pPr>
      <w:bookmarkStart w:name="_bookmark22" w:id="43"/>
      <w:bookmarkEnd w:id="43"/>
      <w:r>
        <w:rPr>
          <w:b w:val="0"/>
        </w:rPr>
      </w:r>
      <w:bookmarkStart w:name="_bookmark22" w:id="44"/>
      <w:bookmarkEnd w:id="44"/>
      <w:r>
        <w:rPr/>
        <w:t>评价因子</w:t>
      </w:r>
    </w:p>
    <w:p>
      <w:pPr>
        <w:pStyle w:val="BodyText"/>
        <w:spacing w:before="160"/>
        <w:ind w:left="717"/>
      </w:pPr>
      <w:r>
        <w:rPr/>
        <w:t>根据项目环境影响因素识别，结合区域环境现状特征，筛选出评价因子见表 </w:t>
      </w:r>
      <w:r>
        <w:rPr>
          <w:rFonts w:ascii="Times New Roman" w:eastAsia="Times New Roman"/>
          <w:position w:val="1"/>
        </w:rPr>
        <w:t>2.2-2</w:t>
      </w:r>
      <w:r>
        <w:rPr/>
        <w:t>。</w:t>
      </w:r>
    </w:p>
    <w:p>
      <w:pPr>
        <w:pStyle w:val="Heading3"/>
        <w:ind w:left="219" w:right="236"/>
        <w:jc w:val="center"/>
      </w:pPr>
      <w:r>
        <w:rPr/>
        <w:t>表 </w:t>
      </w:r>
      <w:r>
        <w:rPr>
          <w:rFonts w:ascii="Times New Roman" w:eastAsia="Times New Roman"/>
        </w:rPr>
        <w:t>2.2-2  </w:t>
      </w:r>
      <w:r>
        <w:rPr/>
        <w:t>项目评价因子</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33"/>
        <w:gridCol w:w="5719"/>
        <w:gridCol w:w="2281"/>
      </w:tblGrid>
      <w:tr>
        <w:trPr>
          <w:trHeight w:val="359" w:hRule="atLeast"/>
        </w:trPr>
        <w:tc>
          <w:tcPr>
            <w:tcW w:w="1433" w:type="dxa"/>
            <w:tcBorders>
              <w:bottom w:val="single" w:sz="6" w:space="0" w:color="000000"/>
              <w:right w:val="single" w:sz="6" w:space="0" w:color="000000"/>
            </w:tcBorders>
          </w:tcPr>
          <w:p>
            <w:pPr>
              <w:pStyle w:val="TableParagraph"/>
              <w:spacing w:before="46"/>
              <w:ind w:left="170" w:right="147"/>
              <w:rPr>
                <w:rFonts w:ascii="宋体" w:eastAsia="宋体" w:hint="eastAsia"/>
                <w:b/>
                <w:sz w:val="21"/>
              </w:rPr>
            </w:pPr>
            <w:r>
              <w:rPr>
                <w:rFonts w:ascii="宋体" w:eastAsia="宋体" w:hint="eastAsia"/>
                <w:b/>
                <w:sz w:val="21"/>
              </w:rPr>
              <w:t>环境要素</w:t>
            </w:r>
          </w:p>
        </w:tc>
        <w:tc>
          <w:tcPr>
            <w:tcW w:w="5719" w:type="dxa"/>
            <w:tcBorders>
              <w:left w:val="single" w:sz="6" w:space="0" w:color="000000"/>
              <w:bottom w:val="single" w:sz="6" w:space="0" w:color="000000"/>
              <w:right w:val="single" w:sz="6" w:space="0" w:color="000000"/>
            </w:tcBorders>
          </w:tcPr>
          <w:p>
            <w:pPr>
              <w:pStyle w:val="TableParagraph"/>
              <w:spacing w:before="46"/>
              <w:ind w:left="89" w:right="62"/>
              <w:rPr>
                <w:rFonts w:ascii="宋体" w:eastAsia="宋体" w:hint="eastAsia"/>
                <w:b/>
                <w:sz w:val="21"/>
              </w:rPr>
            </w:pPr>
            <w:r>
              <w:rPr>
                <w:rFonts w:ascii="宋体" w:eastAsia="宋体" w:hint="eastAsia"/>
                <w:b/>
                <w:sz w:val="21"/>
              </w:rPr>
              <w:t>现状评价因子</w:t>
            </w:r>
          </w:p>
        </w:tc>
        <w:tc>
          <w:tcPr>
            <w:tcW w:w="2281" w:type="dxa"/>
            <w:tcBorders>
              <w:left w:val="single" w:sz="6" w:space="0" w:color="000000"/>
              <w:bottom w:val="single" w:sz="6" w:space="0" w:color="000000"/>
            </w:tcBorders>
          </w:tcPr>
          <w:p>
            <w:pPr>
              <w:pStyle w:val="TableParagraph"/>
              <w:spacing w:before="46"/>
              <w:ind w:left="179" w:right="146"/>
              <w:rPr>
                <w:rFonts w:ascii="宋体" w:eastAsia="宋体" w:hint="eastAsia"/>
                <w:b/>
                <w:sz w:val="21"/>
              </w:rPr>
            </w:pPr>
            <w:r>
              <w:rPr>
                <w:rFonts w:ascii="宋体" w:eastAsia="宋体" w:hint="eastAsia"/>
                <w:b/>
                <w:sz w:val="21"/>
              </w:rPr>
              <w:t>预测评价因子</w:t>
            </w:r>
          </w:p>
        </w:tc>
      </w:tr>
      <w:tr>
        <w:trPr>
          <w:trHeight w:val="717" w:hRule="atLeast"/>
        </w:trPr>
        <w:tc>
          <w:tcPr>
            <w:tcW w:w="1433" w:type="dxa"/>
            <w:tcBorders>
              <w:top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70" w:right="149"/>
              <w:rPr>
                <w:rFonts w:ascii="宋体" w:eastAsia="宋体" w:hint="eastAsia"/>
                <w:sz w:val="21"/>
              </w:rPr>
            </w:pPr>
            <w:r>
              <w:rPr>
                <w:rFonts w:ascii="宋体" w:eastAsia="宋体" w:hint="eastAsia"/>
                <w:sz w:val="21"/>
              </w:rPr>
              <w:t>地表水环境</w:t>
            </w:r>
          </w:p>
        </w:tc>
        <w:tc>
          <w:tcPr>
            <w:tcW w:w="5719" w:type="dxa"/>
            <w:tcBorders>
              <w:top w:val="single" w:sz="6" w:space="0" w:color="000000"/>
              <w:left w:val="single" w:sz="6" w:space="0" w:color="000000"/>
              <w:bottom w:val="single" w:sz="6" w:space="0" w:color="000000"/>
              <w:right w:val="single" w:sz="6" w:space="0" w:color="000000"/>
            </w:tcBorders>
          </w:tcPr>
          <w:p>
            <w:pPr>
              <w:pStyle w:val="TableParagraph"/>
              <w:spacing w:line="340" w:lineRule="exact" w:before="1"/>
              <w:ind w:left="2654" w:right="87" w:hanging="2535"/>
              <w:jc w:val="left"/>
              <w:rPr>
                <w:rFonts w:ascii="宋体" w:eastAsia="宋体" w:hint="eastAsia"/>
                <w:sz w:val="21"/>
              </w:rPr>
            </w:pPr>
            <w:r>
              <w:rPr>
                <w:position w:val="2"/>
                <w:sz w:val="21"/>
              </w:rPr>
              <w:t>pH</w:t>
            </w:r>
            <w:r>
              <w:rPr>
                <w:rFonts w:ascii="宋体" w:eastAsia="宋体" w:hint="eastAsia"/>
                <w:position w:val="2"/>
                <w:sz w:val="21"/>
              </w:rPr>
              <w:t>、水温、</w:t>
            </w:r>
            <w:r>
              <w:rPr>
                <w:position w:val="2"/>
                <w:sz w:val="21"/>
              </w:rPr>
              <w:t>DO</w:t>
            </w:r>
            <w:r>
              <w:rPr>
                <w:rFonts w:ascii="宋体" w:eastAsia="宋体" w:hint="eastAsia"/>
                <w:position w:val="2"/>
                <w:sz w:val="21"/>
              </w:rPr>
              <w:t>、</w:t>
            </w:r>
            <w:r>
              <w:rPr>
                <w:position w:val="2"/>
                <w:sz w:val="21"/>
              </w:rPr>
              <w:t>COD</w:t>
            </w:r>
            <w:r>
              <w:rPr>
                <w:sz w:val="14"/>
              </w:rPr>
              <w:t>Mn</w:t>
            </w:r>
            <w:r>
              <w:rPr>
                <w:rFonts w:ascii="宋体" w:eastAsia="宋体" w:hint="eastAsia"/>
                <w:position w:val="2"/>
                <w:sz w:val="21"/>
              </w:rPr>
              <w:t>、</w:t>
            </w:r>
            <w:r>
              <w:rPr>
                <w:position w:val="2"/>
                <w:sz w:val="21"/>
              </w:rPr>
              <w:t>BOD</w:t>
            </w:r>
            <w:r>
              <w:rPr>
                <w:sz w:val="14"/>
              </w:rPr>
              <w:t>5</w:t>
            </w:r>
            <w:r>
              <w:rPr>
                <w:rFonts w:ascii="宋体" w:eastAsia="宋体" w:hint="eastAsia"/>
                <w:position w:val="2"/>
                <w:sz w:val="21"/>
              </w:rPr>
              <w:t>、氨氮、总磷、挥发酚、石</w:t>
            </w:r>
            <w:r>
              <w:rPr>
                <w:rFonts w:ascii="宋体" w:eastAsia="宋体" w:hint="eastAsia"/>
                <w:sz w:val="21"/>
              </w:rPr>
              <w:t>油类</w:t>
            </w:r>
          </w:p>
        </w:tc>
        <w:tc>
          <w:tcPr>
            <w:tcW w:w="2281" w:type="dxa"/>
            <w:tcBorders>
              <w:top w:val="single" w:sz="6" w:space="0" w:color="000000"/>
              <w:left w:val="single" w:sz="6" w:space="0" w:color="000000"/>
              <w:bottom w:val="single" w:sz="6" w:space="0" w:color="000000"/>
            </w:tcBorders>
          </w:tcPr>
          <w:p>
            <w:pPr>
              <w:pStyle w:val="TableParagraph"/>
              <w:spacing w:before="44"/>
              <w:ind w:left="182" w:right="146"/>
              <w:rPr>
                <w:rFonts w:ascii="宋体" w:eastAsia="宋体" w:hint="eastAsia"/>
                <w:sz w:val="21"/>
              </w:rPr>
            </w:pPr>
            <w:r>
              <w:rPr>
                <w:rFonts w:ascii="宋体" w:eastAsia="宋体" w:hint="eastAsia"/>
                <w:sz w:val="21"/>
              </w:rPr>
              <w:t>依托污水处理设施环</w:t>
            </w:r>
          </w:p>
          <w:p>
            <w:pPr>
              <w:pStyle w:val="TableParagraph"/>
              <w:spacing w:before="91"/>
              <w:ind w:left="179" w:right="146"/>
              <w:rPr>
                <w:rFonts w:ascii="宋体" w:eastAsia="宋体" w:hint="eastAsia"/>
                <w:sz w:val="21"/>
              </w:rPr>
            </w:pPr>
            <w:r>
              <w:rPr>
                <w:rFonts w:ascii="宋体" w:eastAsia="宋体" w:hint="eastAsia"/>
                <w:sz w:val="21"/>
              </w:rPr>
              <w:t>境可行性分析</w:t>
            </w:r>
          </w:p>
        </w:tc>
      </w:tr>
      <w:tr>
        <w:trPr>
          <w:trHeight w:val="1436" w:hRule="atLeast"/>
        </w:trPr>
        <w:tc>
          <w:tcPr>
            <w:tcW w:w="1433"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before="0"/>
              <w:ind w:left="170" w:right="149"/>
              <w:rPr>
                <w:rFonts w:ascii="宋体" w:eastAsia="宋体" w:hint="eastAsia"/>
                <w:sz w:val="21"/>
              </w:rPr>
            </w:pPr>
            <w:r>
              <w:rPr>
                <w:rFonts w:ascii="宋体" w:eastAsia="宋体" w:hint="eastAsia"/>
                <w:sz w:val="21"/>
              </w:rPr>
              <w:t>地下水环境</w:t>
            </w:r>
          </w:p>
        </w:tc>
        <w:tc>
          <w:tcPr>
            <w:tcW w:w="5719" w:type="dxa"/>
            <w:tcBorders>
              <w:top w:val="single" w:sz="6" w:space="0" w:color="000000"/>
              <w:left w:val="single" w:sz="6" w:space="0" w:color="000000"/>
              <w:bottom w:val="single" w:sz="6" w:space="0" w:color="000000"/>
              <w:right w:val="single" w:sz="6" w:space="0" w:color="000000"/>
            </w:tcBorders>
          </w:tcPr>
          <w:p>
            <w:pPr>
              <w:pStyle w:val="TableParagraph"/>
              <w:tabs>
                <w:tab w:pos="4169" w:val="left" w:leader="none"/>
                <w:tab w:pos="4694" w:val="left" w:leader="none"/>
                <w:tab w:pos="5290" w:val="left" w:leader="none"/>
              </w:tabs>
              <w:spacing w:line="75" w:lineRule="exact" w:before="56"/>
              <w:ind w:left="3329"/>
              <w:jc w:val="left"/>
              <w:rPr>
                <w:sz w:val="14"/>
              </w:rPr>
            </w:pPr>
            <w:r>
              <w:rPr>
                <w:sz w:val="14"/>
              </w:rPr>
              <w:t>2-</w:t>
              <w:tab/>
              <w:t>2-</w:t>
              <w:tab/>
              <w:t>-</w:t>
              <w:tab/>
              <w:t>2-</w:t>
            </w:r>
          </w:p>
          <w:p>
            <w:pPr>
              <w:pStyle w:val="TableParagraph"/>
              <w:spacing w:line="190" w:lineRule="exact" w:before="0"/>
              <w:ind w:left="92" w:right="62"/>
              <w:rPr>
                <w:rFonts w:ascii="宋体" w:eastAsia="宋体" w:hint="eastAsia"/>
                <w:sz w:val="21"/>
              </w:rPr>
            </w:pPr>
            <w:r>
              <w:rPr>
                <w:rFonts w:ascii="宋体" w:eastAsia="宋体" w:hint="eastAsia"/>
                <w:position w:val="2"/>
                <w:sz w:val="21"/>
              </w:rPr>
              <w:t>水位、</w:t>
            </w:r>
            <w:r>
              <w:rPr>
                <w:position w:val="2"/>
                <w:sz w:val="21"/>
              </w:rPr>
              <w:t>K</w:t>
            </w:r>
            <w:r>
              <w:rPr>
                <w:position w:val="2"/>
                <w:sz w:val="21"/>
                <w:vertAlign w:val="superscript"/>
              </w:rPr>
              <w:t>+</w:t>
            </w:r>
            <w:r>
              <w:rPr>
                <w:rFonts w:ascii="宋体" w:eastAsia="宋体" w:hint="eastAsia"/>
                <w:spacing w:val="-3"/>
                <w:position w:val="2"/>
                <w:sz w:val="21"/>
                <w:vertAlign w:val="baseline"/>
              </w:rPr>
              <w:t>、</w:t>
            </w:r>
            <w:r>
              <w:rPr>
                <w:position w:val="2"/>
                <w:sz w:val="21"/>
                <w:vertAlign w:val="baseline"/>
              </w:rPr>
              <w:t>Na</w:t>
            </w:r>
            <w:r>
              <w:rPr>
                <w:position w:val="2"/>
                <w:sz w:val="21"/>
                <w:vertAlign w:val="superscript"/>
              </w:rPr>
              <w:t>+</w:t>
            </w:r>
            <w:r>
              <w:rPr>
                <w:rFonts w:ascii="宋体" w:eastAsia="宋体" w:hint="eastAsia"/>
                <w:spacing w:val="-3"/>
                <w:position w:val="2"/>
                <w:sz w:val="21"/>
                <w:vertAlign w:val="baseline"/>
              </w:rPr>
              <w:t>、</w:t>
            </w:r>
            <w:r>
              <w:rPr>
                <w:position w:val="2"/>
                <w:sz w:val="21"/>
                <w:vertAlign w:val="baseline"/>
              </w:rPr>
              <w:t>Ca</w:t>
            </w:r>
            <w:r>
              <w:rPr>
                <w:position w:val="2"/>
                <w:sz w:val="21"/>
                <w:vertAlign w:val="superscript"/>
              </w:rPr>
              <w:t>2+</w:t>
            </w:r>
            <w:r>
              <w:rPr>
                <w:rFonts w:ascii="宋体" w:eastAsia="宋体" w:hint="eastAsia"/>
                <w:position w:val="2"/>
                <w:sz w:val="21"/>
                <w:vertAlign w:val="baseline"/>
              </w:rPr>
              <w:t>、</w:t>
            </w:r>
            <w:r>
              <w:rPr>
                <w:position w:val="2"/>
                <w:sz w:val="21"/>
                <w:vertAlign w:val="baseline"/>
              </w:rPr>
              <w:t>Mg</w:t>
            </w:r>
            <w:r>
              <w:rPr>
                <w:position w:val="2"/>
                <w:sz w:val="21"/>
                <w:vertAlign w:val="superscript"/>
              </w:rPr>
              <w:t>2+</w:t>
            </w:r>
            <w:r>
              <w:rPr>
                <w:rFonts w:ascii="宋体" w:eastAsia="宋体" w:hint="eastAsia"/>
                <w:position w:val="2"/>
                <w:sz w:val="21"/>
                <w:vertAlign w:val="baseline"/>
              </w:rPr>
              <w:t>、</w:t>
            </w:r>
            <w:r>
              <w:rPr>
                <w:position w:val="2"/>
                <w:sz w:val="21"/>
                <w:vertAlign w:val="baseline"/>
              </w:rPr>
              <w:t>CO</w:t>
            </w:r>
            <w:r>
              <w:rPr>
                <w:sz w:val="14"/>
                <w:vertAlign w:val="baseline"/>
              </w:rPr>
              <w:t>3</w:t>
            </w:r>
            <w:r>
              <w:rPr>
                <w:spacing w:val="3"/>
                <w:sz w:val="14"/>
                <w:vertAlign w:val="baseline"/>
              </w:rPr>
              <w:t>   </w:t>
            </w:r>
            <w:r>
              <w:rPr>
                <w:rFonts w:ascii="宋体" w:eastAsia="宋体" w:hint="eastAsia"/>
                <w:spacing w:val="-3"/>
                <w:position w:val="2"/>
                <w:sz w:val="21"/>
                <w:vertAlign w:val="baseline"/>
              </w:rPr>
              <w:t>、</w:t>
            </w:r>
            <w:r>
              <w:rPr>
                <w:position w:val="2"/>
                <w:sz w:val="21"/>
                <w:vertAlign w:val="baseline"/>
              </w:rPr>
              <w:t>HCO</w:t>
            </w:r>
            <w:r>
              <w:rPr>
                <w:sz w:val="14"/>
                <w:vertAlign w:val="baseline"/>
              </w:rPr>
              <w:t>3</w:t>
            </w:r>
            <w:r>
              <w:rPr>
                <w:spacing w:val="3"/>
                <w:sz w:val="14"/>
                <w:vertAlign w:val="baseline"/>
              </w:rPr>
              <w:t>   </w:t>
            </w:r>
            <w:r>
              <w:rPr>
                <w:rFonts w:ascii="宋体" w:eastAsia="宋体" w:hint="eastAsia"/>
                <w:position w:val="2"/>
                <w:sz w:val="21"/>
                <w:vertAlign w:val="baseline"/>
              </w:rPr>
              <w:t>、</w:t>
            </w:r>
            <w:r>
              <w:rPr>
                <w:position w:val="2"/>
                <w:sz w:val="21"/>
                <w:vertAlign w:val="baseline"/>
              </w:rPr>
              <w:t>Cl</w:t>
            </w:r>
            <w:r>
              <w:rPr>
                <w:spacing w:val="-7"/>
                <w:position w:val="2"/>
                <w:sz w:val="21"/>
                <w:vertAlign w:val="baseline"/>
              </w:rPr>
              <w:t> </w:t>
            </w:r>
            <w:r>
              <w:rPr>
                <w:rFonts w:ascii="宋体" w:eastAsia="宋体" w:hint="eastAsia"/>
                <w:spacing w:val="-3"/>
                <w:position w:val="2"/>
                <w:sz w:val="21"/>
                <w:vertAlign w:val="baseline"/>
              </w:rPr>
              <w:t>、</w:t>
            </w:r>
            <w:r>
              <w:rPr>
                <w:position w:val="2"/>
                <w:sz w:val="21"/>
                <w:vertAlign w:val="baseline"/>
              </w:rPr>
              <w:t>SO</w:t>
            </w:r>
            <w:r>
              <w:rPr>
                <w:sz w:val="14"/>
                <w:vertAlign w:val="baseline"/>
              </w:rPr>
              <w:t>4</w:t>
            </w:r>
            <w:r>
              <w:rPr>
                <w:spacing w:val="3"/>
                <w:sz w:val="14"/>
                <w:vertAlign w:val="baseline"/>
              </w:rPr>
              <w:t>   </w:t>
            </w:r>
            <w:r>
              <w:rPr>
                <w:rFonts w:ascii="宋体" w:eastAsia="宋体" w:hint="eastAsia"/>
                <w:position w:val="2"/>
                <w:sz w:val="21"/>
                <w:vertAlign w:val="baseline"/>
              </w:rPr>
              <w:t>、</w:t>
            </w:r>
          </w:p>
          <w:p>
            <w:pPr>
              <w:pStyle w:val="TableParagraph"/>
              <w:spacing w:before="83"/>
              <w:ind w:left="93" w:right="57"/>
              <w:rPr>
                <w:rFonts w:ascii="宋体" w:eastAsia="宋体" w:hint="eastAsia"/>
                <w:sz w:val="21"/>
              </w:rPr>
            </w:pPr>
            <w:r>
              <w:rPr>
                <w:spacing w:val="-1"/>
                <w:sz w:val="21"/>
              </w:rPr>
              <w:t>pH</w:t>
            </w:r>
            <w:r>
              <w:rPr>
                <w:rFonts w:ascii="宋体" w:eastAsia="宋体" w:hint="eastAsia"/>
                <w:spacing w:val="-3"/>
                <w:sz w:val="21"/>
              </w:rPr>
              <w:t>、氨氮、硝酸盐、亚硝酸盐、挥发性酚类、氰化物、砷、</w:t>
            </w:r>
          </w:p>
          <w:p>
            <w:pPr>
              <w:pStyle w:val="TableParagraph"/>
              <w:spacing w:line="350" w:lineRule="atLeast" w:before="10"/>
              <w:ind w:left="133" w:right="102"/>
              <w:rPr>
                <w:rFonts w:ascii="宋体" w:eastAsia="宋体" w:hint="eastAsia"/>
                <w:sz w:val="21"/>
              </w:rPr>
            </w:pPr>
            <w:r>
              <w:rPr>
                <w:rFonts w:ascii="宋体" w:eastAsia="宋体" w:hint="eastAsia"/>
                <w:sz w:val="21"/>
              </w:rPr>
              <w:t>汞、铬（六价）、总硬度、铅、氟、镉、铁、锰、溶解性总固体、耗氧量、总大肠杆菌、细菌总数、铜、锌</w:t>
            </w:r>
          </w:p>
        </w:tc>
        <w:tc>
          <w:tcPr>
            <w:tcW w:w="2281" w:type="dxa"/>
            <w:tcBorders>
              <w:top w:val="single" w:sz="6" w:space="0" w:color="000000"/>
              <w:left w:val="single" w:sz="6" w:space="0" w:color="000000"/>
              <w:bottom w:val="single" w:sz="6" w:space="0" w:color="000000"/>
            </w:tcBorders>
          </w:tcPr>
          <w:p>
            <w:pPr>
              <w:pStyle w:val="TableParagraph"/>
              <w:spacing w:before="0"/>
              <w:jc w:val="left"/>
              <w:rPr>
                <w:rFonts w:ascii="宋体"/>
                <w:b/>
                <w:sz w:val="24"/>
              </w:rPr>
            </w:pPr>
          </w:p>
          <w:p>
            <w:pPr>
              <w:pStyle w:val="TableParagraph"/>
              <w:spacing w:before="6"/>
              <w:jc w:val="left"/>
              <w:rPr>
                <w:rFonts w:ascii="宋体"/>
                <w:b/>
                <w:sz w:val="21"/>
              </w:rPr>
            </w:pPr>
          </w:p>
          <w:p>
            <w:pPr>
              <w:pStyle w:val="TableParagraph"/>
              <w:spacing w:before="0"/>
              <w:ind w:left="178" w:right="146"/>
              <w:rPr>
                <w:sz w:val="21"/>
              </w:rPr>
            </w:pPr>
            <w:r>
              <w:rPr>
                <w:position w:val="2"/>
                <w:sz w:val="21"/>
              </w:rPr>
              <w:t>COD</w:t>
            </w:r>
            <w:r>
              <w:rPr>
                <w:sz w:val="14"/>
              </w:rPr>
              <w:t>Mn</w:t>
            </w:r>
            <w:r>
              <w:rPr>
                <w:rFonts w:ascii="宋体" w:eastAsia="宋体" w:hint="eastAsia"/>
                <w:position w:val="2"/>
                <w:sz w:val="21"/>
              </w:rPr>
              <w:t>、</w:t>
            </w:r>
            <w:r>
              <w:rPr>
                <w:position w:val="2"/>
                <w:sz w:val="21"/>
              </w:rPr>
              <w:t>NH</w:t>
            </w:r>
            <w:r>
              <w:rPr>
                <w:sz w:val="14"/>
              </w:rPr>
              <w:t>3</w:t>
            </w:r>
            <w:r>
              <w:rPr>
                <w:position w:val="2"/>
                <w:sz w:val="21"/>
              </w:rPr>
              <w:t>-N</w:t>
            </w:r>
          </w:p>
        </w:tc>
      </w:tr>
      <w:tr>
        <w:trPr>
          <w:trHeight w:val="717" w:hRule="atLeast"/>
        </w:trPr>
        <w:tc>
          <w:tcPr>
            <w:tcW w:w="1433" w:type="dxa"/>
            <w:tcBorders>
              <w:top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70" w:right="149"/>
              <w:rPr>
                <w:rFonts w:ascii="宋体" w:eastAsia="宋体" w:hint="eastAsia"/>
                <w:sz w:val="21"/>
              </w:rPr>
            </w:pPr>
            <w:r>
              <w:rPr>
                <w:rFonts w:ascii="宋体" w:eastAsia="宋体" w:hint="eastAsia"/>
                <w:sz w:val="21"/>
              </w:rPr>
              <w:t>空气环境</w:t>
            </w:r>
          </w:p>
        </w:tc>
        <w:tc>
          <w:tcPr>
            <w:tcW w:w="5719"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宋体"/>
                <w:b/>
                <w:sz w:val="17"/>
              </w:rPr>
            </w:pPr>
          </w:p>
          <w:p>
            <w:pPr>
              <w:pStyle w:val="TableParagraph"/>
              <w:spacing w:before="0"/>
              <w:ind w:left="93" w:right="62"/>
              <w:rPr>
                <w:rFonts w:ascii="宋体" w:eastAsia="宋体" w:hint="eastAsia"/>
                <w:sz w:val="21"/>
              </w:rPr>
            </w:pPr>
            <w:r>
              <w:rPr>
                <w:position w:val="2"/>
                <w:sz w:val="21"/>
              </w:rPr>
              <w:t>SO</w:t>
            </w:r>
            <w:r>
              <w:rPr>
                <w:sz w:val="14"/>
              </w:rPr>
              <w:t>2</w:t>
            </w:r>
            <w:r>
              <w:rPr>
                <w:rFonts w:ascii="宋体" w:eastAsia="宋体" w:hint="eastAsia"/>
                <w:position w:val="2"/>
                <w:sz w:val="21"/>
              </w:rPr>
              <w:t>、</w:t>
            </w:r>
            <w:r>
              <w:rPr>
                <w:position w:val="2"/>
                <w:sz w:val="21"/>
              </w:rPr>
              <w:t>NO</w:t>
            </w:r>
            <w:r>
              <w:rPr>
                <w:sz w:val="14"/>
              </w:rPr>
              <w:t>2</w:t>
            </w:r>
            <w:r>
              <w:rPr>
                <w:rFonts w:ascii="宋体" w:eastAsia="宋体" w:hint="eastAsia"/>
                <w:position w:val="2"/>
                <w:sz w:val="21"/>
              </w:rPr>
              <w:t>、</w:t>
            </w:r>
            <w:r>
              <w:rPr>
                <w:position w:val="2"/>
                <w:sz w:val="21"/>
              </w:rPr>
              <w:t>CO</w:t>
            </w:r>
            <w:r>
              <w:rPr>
                <w:rFonts w:ascii="宋体" w:eastAsia="宋体" w:hint="eastAsia"/>
                <w:position w:val="2"/>
                <w:sz w:val="21"/>
              </w:rPr>
              <w:t>、</w:t>
            </w:r>
            <w:r>
              <w:rPr>
                <w:position w:val="2"/>
                <w:sz w:val="21"/>
              </w:rPr>
              <w:t>O</w:t>
            </w:r>
            <w:r>
              <w:rPr>
                <w:sz w:val="14"/>
              </w:rPr>
              <w:t>3</w:t>
            </w:r>
            <w:r>
              <w:rPr>
                <w:rFonts w:ascii="宋体" w:eastAsia="宋体" w:hint="eastAsia"/>
                <w:position w:val="2"/>
                <w:sz w:val="21"/>
              </w:rPr>
              <w:t>、</w:t>
            </w:r>
            <w:r>
              <w:rPr>
                <w:position w:val="2"/>
                <w:sz w:val="21"/>
              </w:rPr>
              <w:t>PM</w:t>
            </w:r>
            <w:r>
              <w:rPr>
                <w:sz w:val="14"/>
              </w:rPr>
              <w:t>10</w:t>
            </w:r>
            <w:r>
              <w:rPr>
                <w:rFonts w:ascii="宋体" w:eastAsia="宋体" w:hint="eastAsia"/>
                <w:position w:val="2"/>
                <w:sz w:val="21"/>
              </w:rPr>
              <w:t>、</w:t>
            </w:r>
            <w:r>
              <w:rPr>
                <w:position w:val="2"/>
                <w:sz w:val="21"/>
              </w:rPr>
              <w:t>PM</w:t>
            </w:r>
            <w:r>
              <w:rPr>
                <w:sz w:val="14"/>
              </w:rPr>
              <w:t>2.5</w:t>
            </w:r>
            <w:r>
              <w:rPr>
                <w:rFonts w:ascii="宋体" w:eastAsia="宋体" w:hint="eastAsia"/>
                <w:position w:val="2"/>
                <w:sz w:val="21"/>
              </w:rPr>
              <w:t>、氨、硫化氢、臭气浓度</w:t>
            </w:r>
          </w:p>
        </w:tc>
        <w:tc>
          <w:tcPr>
            <w:tcW w:w="2281" w:type="dxa"/>
            <w:tcBorders>
              <w:top w:val="single" w:sz="6" w:space="0" w:color="000000"/>
              <w:left w:val="single" w:sz="6" w:space="0" w:color="000000"/>
              <w:bottom w:val="single" w:sz="6" w:space="0" w:color="000000"/>
            </w:tcBorders>
          </w:tcPr>
          <w:p>
            <w:pPr>
              <w:pStyle w:val="TableParagraph"/>
              <w:spacing w:before="44"/>
              <w:ind w:left="114" w:right="-29"/>
              <w:jc w:val="left"/>
              <w:rPr>
                <w:rFonts w:ascii="宋体" w:eastAsia="宋体" w:hint="eastAsia"/>
                <w:sz w:val="21"/>
              </w:rPr>
            </w:pPr>
            <w:r>
              <w:rPr>
                <w:rFonts w:ascii="宋体" w:eastAsia="宋体" w:hint="eastAsia"/>
                <w:spacing w:val="-18"/>
                <w:sz w:val="21"/>
              </w:rPr>
              <w:t>氨、硫化氢、臭气浓度、</w:t>
            </w:r>
          </w:p>
          <w:p>
            <w:pPr>
              <w:pStyle w:val="TableParagraph"/>
              <w:spacing w:before="88"/>
              <w:ind w:left="562"/>
              <w:jc w:val="left"/>
              <w:rPr>
                <w:rFonts w:ascii="宋体" w:eastAsia="宋体" w:hint="eastAsia"/>
                <w:sz w:val="21"/>
              </w:rPr>
            </w:pPr>
            <w:r>
              <w:rPr>
                <w:position w:val="2"/>
                <w:sz w:val="21"/>
              </w:rPr>
              <w:t>SO</w:t>
            </w:r>
            <w:r>
              <w:rPr>
                <w:sz w:val="14"/>
              </w:rPr>
              <w:t>2</w:t>
            </w:r>
            <w:r>
              <w:rPr>
                <w:rFonts w:ascii="宋体" w:eastAsia="宋体" w:hint="eastAsia"/>
                <w:position w:val="2"/>
                <w:sz w:val="21"/>
              </w:rPr>
              <w:t>、</w:t>
            </w:r>
            <w:r>
              <w:rPr>
                <w:position w:val="2"/>
                <w:sz w:val="21"/>
              </w:rPr>
              <w:t>NO</w:t>
            </w:r>
            <w:r>
              <w:rPr>
                <w:sz w:val="14"/>
              </w:rPr>
              <w:t>2 </w:t>
            </w:r>
            <w:r>
              <w:rPr>
                <w:rFonts w:ascii="宋体" w:eastAsia="宋体" w:hint="eastAsia"/>
                <w:position w:val="2"/>
                <w:sz w:val="21"/>
              </w:rPr>
              <w:t>等</w:t>
            </w:r>
          </w:p>
        </w:tc>
      </w:tr>
      <w:tr>
        <w:trPr>
          <w:trHeight w:val="359" w:hRule="atLeast"/>
        </w:trPr>
        <w:tc>
          <w:tcPr>
            <w:tcW w:w="1433" w:type="dxa"/>
            <w:tcBorders>
              <w:top w:val="single" w:sz="6" w:space="0" w:color="000000"/>
              <w:bottom w:val="single" w:sz="6" w:space="0" w:color="000000"/>
              <w:right w:val="single" w:sz="6" w:space="0" w:color="000000"/>
            </w:tcBorders>
          </w:tcPr>
          <w:p>
            <w:pPr>
              <w:pStyle w:val="TableParagraph"/>
              <w:spacing w:before="44"/>
              <w:ind w:left="170" w:right="147"/>
              <w:rPr>
                <w:rFonts w:ascii="宋体" w:eastAsia="宋体" w:hint="eastAsia"/>
                <w:sz w:val="21"/>
              </w:rPr>
            </w:pPr>
            <w:r>
              <w:rPr>
                <w:rFonts w:ascii="宋体" w:eastAsia="宋体" w:hint="eastAsia"/>
                <w:sz w:val="21"/>
              </w:rPr>
              <w:t>声环境</w:t>
            </w:r>
          </w:p>
        </w:tc>
        <w:tc>
          <w:tcPr>
            <w:tcW w:w="5719" w:type="dxa"/>
            <w:tcBorders>
              <w:top w:val="single" w:sz="6" w:space="0" w:color="000000"/>
              <w:left w:val="single" w:sz="6" w:space="0" w:color="000000"/>
              <w:bottom w:val="single" w:sz="6" w:space="0" w:color="000000"/>
              <w:right w:val="single" w:sz="6" w:space="0" w:color="000000"/>
            </w:tcBorders>
          </w:tcPr>
          <w:p>
            <w:pPr>
              <w:pStyle w:val="TableParagraph"/>
              <w:spacing w:before="57"/>
              <w:ind w:left="86" w:right="62"/>
              <w:rPr>
                <w:sz w:val="14"/>
              </w:rPr>
            </w:pPr>
            <w:r>
              <w:rPr>
                <w:position w:val="2"/>
                <w:sz w:val="21"/>
              </w:rPr>
              <w:t>L</w:t>
            </w:r>
            <w:r>
              <w:rPr>
                <w:sz w:val="14"/>
              </w:rPr>
              <w:t>Aeq</w:t>
            </w:r>
          </w:p>
        </w:tc>
        <w:tc>
          <w:tcPr>
            <w:tcW w:w="2281" w:type="dxa"/>
            <w:tcBorders>
              <w:top w:val="single" w:sz="6" w:space="0" w:color="000000"/>
              <w:left w:val="single" w:sz="6" w:space="0" w:color="000000"/>
              <w:bottom w:val="single" w:sz="6" w:space="0" w:color="000000"/>
            </w:tcBorders>
          </w:tcPr>
          <w:p>
            <w:pPr>
              <w:pStyle w:val="TableParagraph"/>
              <w:spacing w:before="57"/>
              <w:ind w:left="176" w:right="146"/>
              <w:rPr>
                <w:sz w:val="14"/>
              </w:rPr>
            </w:pPr>
            <w:r>
              <w:rPr>
                <w:position w:val="2"/>
                <w:sz w:val="21"/>
              </w:rPr>
              <w:t>L</w:t>
            </w:r>
            <w:r>
              <w:rPr>
                <w:sz w:val="14"/>
              </w:rPr>
              <w:t>Aeq</w:t>
            </w:r>
          </w:p>
        </w:tc>
      </w:tr>
      <w:tr>
        <w:trPr>
          <w:trHeight w:val="356" w:hRule="atLeast"/>
        </w:trPr>
        <w:tc>
          <w:tcPr>
            <w:tcW w:w="1433" w:type="dxa"/>
            <w:tcBorders>
              <w:top w:val="single" w:sz="6" w:space="0" w:color="000000"/>
              <w:bottom w:val="single" w:sz="6" w:space="0" w:color="000000"/>
              <w:right w:val="single" w:sz="6" w:space="0" w:color="000000"/>
            </w:tcBorders>
          </w:tcPr>
          <w:p>
            <w:pPr>
              <w:pStyle w:val="TableParagraph"/>
              <w:spacing w:before="44"/>
              <w:ind w:left="170" w:right="147"/>
              <w:rPr>
                <w:rFonts w:ascii="宋体" w:eastAsia="宋体" w:hint="eastAsia"/>
                <w:sz w:val="21"/>
              </w:rPr>
            </w:pPr>
            <w:r>
              <w:rPr>
                <w:rFonts w:ascii="宋体" w:eastAsia="宋体" w:hint="eastAsia"/>
                <w:sz w:val="21"/>
              </w:rPr>
              <w:t>固废</w:t>
            </w:r>
          </w:p>
        </w:tc>
        <w:tc>
          <w:tcPr>
            <w:tcW w:w="5719"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w:t>
            </w:r>
          </w:p>
        </w:tc>
        <w:tc>
          <w:tcPr>
            <w:tcW w:w="2281" w:type="dxa"/>
            <w:tcBorders>
              <w:top w:val="single" w:sz="6" w:space="0" w:color="000000"/>
              <w:left w:val="single" w:sz="6" w:space="0" w:color="000000"/>
              <w:bottom w:val="single" w:sz="6" w:space="0" w:color="000000"/>
            </w:tcBorders>
          </w:tcPr>
          <w:p>
            <w:pPr>
              <w:pStyle w:val="TableParagraph"/>
              <w:spacing w:before="44"/>
              <w:ind w:left="182" w:right="146"/>
              <w:rPr>
                <w:rFonts w:ascii="宋体" w:eastAsia="宋体" w:hint="eastAsia"/>
                <w:sz w:val="21"/>
              </w:rPr>
            </w:pPr>
            <w:r>
              <w:rPr>
                <w:rFonts w:ascii="宋体" w:eastAsia="宋体" w:hint="eastAsia"/>
                <w:sz w:val="21"/>
              </w:rPr>
              <w:t>危险废物、一般固废</w:t>
            </w:r>
          </w:p>
        </w:tc>
      </w:tr>
      <w:tr>
        <w:trPr>
          <w:trHeight w:val="360" w:hRule="atLeast"/>
        </w:trPr>
        <w:tc>
          <w:tcPr>
            <w:tcW w:w="1433" w:type="dxa"/>
            <w:tcBorders>
              <w:top w:val="single" w:sz="6" w:space="0" w:color="000000"/>
              <w:bottom w:val="single" w:sz="6" w:space="0" w:color="000000"/>
              <w:right w:val="single" w:sz="6" w:space="0" w:color="000000"/>
            </w:tcBorders>
          </w:tcPr>
          <w:p>
            <w:pPr>
              <w:pStyle w:val="TableParagraph"/>
              <w:spacing w:before="47"/>
              <w:ind w:left="170" w:right="149"/>
              <w:rPr>
                <w:rFonts w:ascii="宋体" w:eastAsia="宋体" w:hint="eastAsia"/>
                <w:sz w:val="21"/>
              </w:rPr>
            </w:pPr>
            <w:r>
              <w:rPr>
                <w:rFonts w:ascii="宋体" w:eastAsia="宋体" w:hint="eastAsia"/>
                <w:sz w:val="21"/>
              </w:rPr>
              <w:t>土壤环境</w:t>
            </w:r>
          </w:p>
        </w:tc>
        <w:tc>
          <w:tcPr>
            <w:tcW w:w="5719" w:type="dxa"/>
            <w:tcBorders>
              <w:top w:val="single" w:sz="6" w:space="0" w:color="000000"/>
              <w:left w:val="single" w:sz="6" w:space="0" w:color="000000"/>
              <w:bottom w:val="single" w:sz="6" w:space="0" w:color="000000"/>
              <w:right w:val="single" w:sz="6" w:space="0" w:color="000000"/>
            </w:tcBorders>
          </w:tcPr>
          <w:p>
            <w:pPr>
              <w:pStyle w:val="TableParagraph"/>
              <w:spacing w:before="47"/>
              <w:ind w:left="89" w:right="62"/>
              <w:rPr>
                <w:rFonts w:ascii="宋体" w:eastAsia="宋体" w:hint="eastAsia"/>
                <w:sz w:val="21"/>
              </w:rPr>
            </w:pPr>
            <w:r>
              <w:rPr>
                <w:rFonts w:ascii="宋体" w:eastAsia="宋体" w:hint="eastAsia"/>
                <w:sz w:val="21"/>
              </w:rPr>
              <w:t>砷、镉、铬、铜、铅、汞、镍、锌等</w:t>
            </w:r>
          </w:p>
        </w:tc>
        <w:tc>
          <w:tcPr>
            <w:tcW w:w="2281" w:type="dxa"/>
            <w:tcBorders>
              <w:top w:val="single" w:sz="6" w:space="0" w:color="000000"/>
              <w:left w:val="single" w:sz="6" w:space="0" w:color="000000"/>
              <w:bottom w:val="single" w:sz="6" w:space="0" w:color="000000"/>
            </w:tcBorders>
          </w:tcPr>
          <w:p>
            <w:pPr>
              <w:pStyle w:val="TableParagraph"/>
              <w:spacing w:before="47"/>
              <w:ind w:left="182" w:right="146"/>
              <w:rPr>
                <w:rFonts w:ascii="宋体" w:eastAsia="宋体" w:hint="eastAsia"/>
                <w:sz w:val="21"/>
              </w:rPr>
            </w:pPr>
            <w:r>
              <w:rPr>
                <w:rFonts w:ascii="宋体" w:eastAsia="宋体" w:hint="eastAsia"/>
                <w:sz w:val="21"/>
              </w:rPr>
              <w:t>类比分析</w:t>
            </w:r>
          </w:p>
        </w:tc>
      </w:tr>
      <w:tr>
        <w:trPr>
          <w:trHeight w:val="359" w:hRule="atLeast"/>
        </w:trPr>
        <w:tc>
          <w:tcPr>
            <w:tcW w:w="1433" w:type="dxa"/>
            <w:tcBorders>
              <w:top w:val="single" w:sz="6" w:space="0" w:color="000000"/>
              <w:bottom w:val="single" w:sz="6" w:space="0" w:color="000000"/>
              <w:right w:val="single" w:sz="6" w:space="0" w:color="000000"/>
            </w:tcBorders>
          </w:tcPr>
          <w:p>
            <w:pPr>
              <w:pStyle w:val="TableParagraph"/>
              <w:spacing w:before="44"/>
              <w:ind w:left="170" w:right="149"/>
              <w:rPr>
                <w:rFonts w:ascii="宋体" w:eastAsia="宋体" w:hint="eastAsia"/>
                <w:sz w:val="21"/>
              </w:rPr>
            </w:pPr>
            <w:r>
              <w:rPr>
                <w:rFonts w:ascii="宋体" w:eastAsia="宋体" w:hint="eastAsia"/>
                <w:sz w:val="21"/>
              </w:rPr>
              <w:t>生态环境</w:t>
            </w:r>
          </w:p>
        </w:tc>
        <w:tc>
          <w:tcPr>
            <w:tcW w:w="5719" w:type="dxa"/>
            <w:tcBorders>
              <w:top w:val="single" w:sz="6" w:space="0" w:color="000000"/>
              <w:left w:val="single" w:sz="6" w:space="0" w:color="000000"/>
              <w:bottom w:val="single" w:sz="6" w:space="0" w:color="000000"/>
              <w:right w:val="single" w:sz="6" w:space="0" w:color="000000"/>
            </w:tcBorders>
          </w:tcPr>
          <w:p>
            <w:pPr>
              <w:pStyle w:val="TableParagraph"/>
              <w:spacing w:before="44"/>
              <w:ind w:left="89" w:right="62"/>
              <w:rPr>
                <w:rFonts w:ascii="宋体" w:eastAsia="宋体" w:hint="eastAsia"/>
                <w:sz w:val="21"/>
              </w:rPr>
            </w:pPr>
            <w:r>
              <w:rPr>
                <w:rFonts w:ascii="宋体" w:eastAsia="宋体" w:hint="eastAsia"/>
                <w:sz w:val="21"/>
              </w:rPr>
              <w:t>生态</w:t>
            </w:r>
          </w:p>
        </w:tc>
        <w:tc>
          <w:tcPr>
            <w:tcW w:w="2281" w:type="dxa"/>
            <w:tcBorders>
              <w:top w:val="single" w:sz="6" w:space="0" w:color="000000"/>
              <w:left w:val="single" w:sz="6" w:space="0" w:color="000000"/>
              <w:bottom w:val="single" w:sz="6" w:space="0" w:color="000000"/>
            </w:tcBorders>
          </w:tcPr>
          <w:p>
            <w:pPr>
              <w:pStyle w:val="TableParagraph"/>
              <w:spacing w:before="44"/>
              <w:ind w:left="182" w:right="146"/>
              <w:rPr>
                <w:rFonts w:ascii="宋体" w:eastAsia="宋体" w:hint="eastAsia"/>
                <w:sz w:val="21"/>
              </w:rPr>
            </w:pPr>
            <w:r>
              <w:rPr>
                <w:rFonts w:ascii="宋体" w:eastAsia="宋体" w:hint="eastAsia"/>
                <w:sz w:val="21"/>
              </w:rPr>
              <w:t>简要分析</w:t>
            </w:r>
          </w:p>
        </w:tc>
      </w:tr>
      <w:tr>
        <w:trPr>
          <w:trHeight w:val="359" w:hRule="atLeast"/>
        </w:trPr>
        <w:tc>
          <w:tcPr>
            <w:tcW w:w="1433" w:type="dxa"/>
            <w:tcBorders>
              <w:top w:val="single" w:sz="6" w:space="0" w:color="000000"/>
              <w:right w:val="single" w:sz="6" w:space="0" w:color="000000"/>
            </w:tcBorders>
          </w:tcPr>
          <w:p>
            <w:pPr>
              <w:pStyle w:val="TableParagraph"/>
              <w:spacing w:before="44"/>
              <w:ind w:left="170" w:right="149"/>
              <w:rPr>
                <w:rFonts w:ascii="宋体" w:eastAsia="宋体" w:hint="eastAsia"/>
                <w:sz w:val="21"/>
              </w:rPr>
            </w:pPr>
            <w:r>
              <w:rPr>
                <w:rFonts w:ascii="宋体" w:eastAsia="宋体" w:hint="eastAsia"/>
                <w:sz w:val="21"/>
              </w:rPr>
              <w:t>总量控制</w:t>
            </w:r>
          </w:p>
        </w:tc>
        <w:tc>
          <w:tcPr>
            <w:tcW w:w="8000" w:type="dxa"/>
            <w:gridSpan w:val="2"/>
            <w:tcBorders>
              <w:top w:val="single" w:sz="6" w:space="0" w:color="000000"/>
              <w:left w:val="single" w:sz="6" w:space="0" w:color="000000"/>
            </w:tcBorders>
          </w:tcPr>
          <w:p>
            <w:pPr>
              <w:pStyle w:val="TableParagraph"/>
              <w:spacing w:before="43"/>
              <w:ind w:left="2253" w:right="2219"/>
              <w:rPr>
                <w:sz w:val="14"/>
              </w:rPr>
            </w:pPr>
            <w:r>
              <w:rPr>
                <w:position w:val="2"/>
                <w:sz w:val="21"/>
              </w:rPr>
              <w:t>COD</w:t>
            </w:r>
            <w:r>
              <w:rPr>
                <w:sz w:val="14"/>
              </w:rPr>
              <w:t>Cr</w:t>
            </w:r>
            <w:r>
              <w:rPr>
                <w:rFonts w:ascii="宋体" w:eastAsia="宋体" w:hint="eastAsia"/>
                <w:position w:val="2"/>
                <w:sz w:val="21"/>
              </w:rPr>
              <w:t>、</w:t>
            </w:r>
            <w:r>
              <w:rPr>
                <w:position w:val="2"/>
                <w:sz w:val="21"/>
              </w:rPr>
              <w:t>NH</w:t>
            </w:r>
            <w:r>
              <w:rPr>
                <w:sz w:val="14"/>
              </w:rPr>
              <w:t>3</w:t>
            </w:r>
            <w:r>
              <w:rPr>
                <w:position w:val="2"/>
                <w:sz w:val="21"/>
              </w:rPr>
              <w:t>-N</w:t>
            </w:r>
            <w:r>
              <w:rPr>
                <w:rFonts w:ascii="宋体" w:eastAsia="宋体" w:hint="eastAsia"/>
                <w:position w:val="2"/>
                <w:sz w:val="21"/>
              </w:rPr>
              <w:t>、</w:t>
            </w:r>
            <w:r>
              <w:rPr>
                <w:position w:val="2"/>
                <w:sz w:val="21"/>
              </w:rPr>
              <w:t>TN</w:t>
            </w:r>
            <w:r>
              <w:rPr>
                <w:rFonts w:ascii="宋体" w:eastAsia="宋体" w:hint="eastAsia"/>
                <w:position w:val="2"/>
                <w:sz w:val="21"/>
              </w:rPr>
              <w:t>、</w:t>
            </w:r>
            <w:r>
              <w:rPr>
                <w:position w:val="2"/>
                <w:sz w:val="21"/>
              </w:rPr>
              <w:t>TP</w:t>
            </w:r>
            <w:r>
              <w:rPr>
                <w:rFonts w:ascii="宋体" w:eastAsia="宋体" w:hint="eastAsia"/>
                <w:position w:val="2"/>
                <w:sz w:val="21"/>
              </w:rPr>
              <w:t>、</w:t>
            </w:r>
            <w:r>
              <w:rPr>
                <w:position w:val="2"/>
                <w:sz w:val="21"/>
              </w:rPr>
              <w:t>SO</w:t>
            </w:r>
            <w:r>
              <w:rPr>
                <w:sz w:val="14"/>
              </w:rPr>
              <w:t>2</w:t>
            </w:r>
            <w:r>
              <w:rPr>
                <w:rFonts w:ascii="宋体" w:eastAsia="宋体" w:hint="eastAsia"/>
                <w:position w:val="2"/>
                <w:sz w:val="21"/>
              </w:rPr>
              <w:t>、</w:t>
            </w:r>
            <w:r>
              <w:rPr>
                <w:position w:val="2"/>
                <w:sz w:val="21"/>
              </w:rPr>
              <w:t>NO</w:t>
            </w:r>
            <w:r>
              <w:rPr>
                <w:sz w:val="14"/>
              </w:rPr>
              <w:t>x</w:t>
            </w:r>
          </w:p>
        </w:tc>
      </w:tr>
    </w:tbl>
    <w:p>
      <w:pPr>
        <w:pStyle w:val="ListParagraph"/>
        <w:numPr>
          <w:ilvl w:val="2"/>
          <w:numId w:val="12"/>
        </w:numPr>
        <w:tabs>
          <w:tab w:pos="838" w:val="left" w:leader="none"/>
        </w:tabs>
        <w:spacing w:line="240" w:lineRule="auto" w:before="81" w:after="0"/>
        <w:ind w:left="837" w:right="0" w:hanging="601"/>
        <w:jc w:val="left"/>
        <w:rPr>
          <w:b/>
          <w:sz w:val="24"/>
        </w:rPr>
      </w:pPr>
      <w:bookmarkStart w:name="_bookmark23" w:id="45"/>
      <w:bookmarkEnd w:id="45"/>
      <w:r>
        <w:rPr/>
      </w:r>
      <w:bookmarkStart w:name="_bookmark23" w:id="46"/>
      <w:bookmarkEnd w:id="46"/>
      <w:r>
        <w:rPr>
          <w:b/>
          <w:sz w:val="24"/>
        </w:rPr>
        <w:t>环境功能区划</w:t>
      </w:r>
    </w:p>
    <w:p>
      <w:pPr>
        <w:spacing w:before="161"/>
        <w:ind w:left="719" w:right="0" w:firstLine="0"/>
        <w:jc w:val="left"/>
        <w:rPr>
          <w:b/>
          <w:sz w:val="24"/>
        </w:rPr>
      </w:pPr>
      <w:r>
        <w:rPr>
          <w:rFonts w:ascii="Times New Roman" w:eastAsia="Times New Roman"/>
          <w:b/>
          <w:sz w:val="24"/>
        </w:rPr>
        <w:t>1</w:t>
      </w:r>
      <w:r>
        <w:rPr>
          <w:b/>
          <w:sz w:val="24"/>
        </w:rPr>
        <w:t>、水环境功能区划</w:t>
      </w:r>
    </w:p>
    <w:p>
      <w:pPr>
        <w:pStyle w:val="ListParagraph"/>
        <w:numPr>
          <w:ilvl w:val="0"/>
          <w:numId w:val="14"/>
        </w:numPr>
        <w:tabs>
          <w:tab w:pos="1323" w:val="left" w:leader="none"/>
        </w:tabs>
        <w:spacing w:line="240" w:lineRule="auto" w:before="160" w:after="0"/>
        <w:ind w:left="1323" w:right="0" w:hanging="604"/>
        <w:jc w:val="left"/>
        <w:rPr>
          <w:b/>
          <w:sz w:val="24"/>
        </w:rPr>
      </w:pPr>
      <w:r>
        <w:rPr>
          <w:b/>
          <w:sz w:val="24"/>
        </w:rPr>
        <w:t>地表水</w:t>
      </w:r>
    </w:p>
    <w:p>
      <w:pPr>
        <w:pStyle w:val="BodyText"/>
        <w:spacing w:before="161"/>
        <w:ind w:left="717"/>
      </w:pPr>
      <w:r>
        <w:rPr/>
        <w:t>本项目地址位于绍兴市柯桥区柯岩街道丰项村，附近涉及项里溪及项里溪支流。根</w:t>
      </w:r>
    </w:p>
    <w:p>
      <w:pPr>
        <w:spacing w:after="0"/>
        <w:sectPr>
          <w:pgSz w:w="11910" w:h="16840"/>
          <w:pgMar w:header="874" w:footer="1004" w:top="1400" w:bottom="1200" w:left="1040" w:right="1160"/>
        </w:sectPr>
      </w:pPr>
    </w:p>
    <w:p>
      <w:pPr>
        <w:pStyle w:val="BodyText"/>
        <w:spacing w:line="364" w:lineRule="auto" w:before="121"/>
        <w:ind w:right="113"/>
      </w:pPr>
      <w:r>
        <w:rPr/>
        <w:t>据《柯岩街道水域现状图》（详见附图七），项里溪发源地为大洋水库，项里溪支流在本项目拟建址处汇入项里溪，于丰项村北侧汇入项里江，最终进入鉴湖西跨湖桥（宾舍）</w:t>
      </w:r>
    </w:p>
    <w:p>
      <w:pPr>
        <w:pStyle w:val="BodyText"/>
        <w:spacing w:line="364" w:lineRule="auto" w:before="1"/>
        <w:ind w:right="57"/>
      </w:pPr>
      <w:r>
        <w:rPr/>
        <w:pict>
          <v:group style="position:absolute;margin-left:87.150002pt;margin-top:114.150017pt;width:412.8pt;height:292.75pt;mso-position-horizontal-relative:page;mso-position-vertical-relative:paragraph;z-index:-315585536" coordorigin="1743,2283" coordsize="8256,5855">
            <v:shape style="position:absolute;left:1773;top:2313;width:8196;height:5795" type="#_x0000_t75" stroked="false">
              <v:imagedata r:id="rId9" o:title=""/>
            </v:shape>
            <v:shape style="position:absolute;left:5619;top:5284;width:152;height:152" type="#_x0000_t75" stroked="false">
              <v:imagedata r:id="rId10" o:title=""/>
            </v:shape>
            <v:shape style="position:absolute;left:3115;top:5164;width:2564;height:470" coordorigin="3115,5164" coordsize="2564,470" path="m4736,5164l3115,5164,3115,5634,4736,5634,4736,5360,5520,5360,4736,5242,4736,5164xm5520,5360l4736,5360,5679,5384,5520,5360xe" filled="true" fillcolor="#ffffff" stroked="false">
              <v:path arrowok="t"/>
              <v:fill type="solid"/>
            </v:shape>
            <v:shape style="position:absolute;left:3115;top:5164;width:2564;height:470" coordorigin="3115,5164" coordsize="2564,470" path="m3115,5164l4061,5164,4466,5164,4736,5164,4736,5242,5679,5384,4736,5360,4736,5634,4466,5634,4061,5634,3115,5634,3115,5360,3115,5242,3115,5164xe" filled="false" stroked="true" strokeweight=".75pt" strokecolor="#000000">
              <v:path arrowok="t"/>
              <v:stroke dashstyle="solid"/>
            </v:shape>
            <v:shape style="position:absolute;left:1758;top:2298;width:8226;height:5825" type="#_x0000_t202" filled="false" stroked="true" strokeweight="1.5pt" strokecolor="#000000">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1"/>
                      <w:rPr>
                        <w:sz w:val="15"/>
                      </w:rPr>
                    </w:pPr>
                  </w:p>
                  <w:p>
                    <w:pPr>
                      <w:spacing w:before="0"/>
                      <w:ind w:left="1523" w:right="0" w:firstLine="0"/>
                      <w:jc w:val="left"/>
                      <w:rPr>
                        <w:sz w:val="18"/>
                      </w:rPr>
                    </w:pPr>
                    <w:r>
                      <w:rPr>
                        <w:sz w:val="18"/>
                      </w:rPr>
                      <w:t>本项目所在位置</w:t>
                    </w:r>
                  </w:p>
                </w:txbxContent>
              </v:textbox>
              <v:stroke dashstyle="solid"/>
              <w10:wrap type="none"/>
            </v:shape>
            <w10:wrap type="none"/>
          </v:group>
        </w:pict>
      </w:r>
      <w:r>
        <w:rPr>
          <w:rFonts w:ascii="Times New Roman" w:hAnsi="Times New Roman" w:eastAsia="Times New Roman"/>
          <w:position w:val="1"/>
        </w:rPr>
        <w:t>—</w:t>
      </w:r>
      <w:r>
        <w:rPr/>
        <w:t>东跨湖桥（亭山）段水域。根据《浙江省水功能区水环境功能区划分方案（</w:t>
      </w:r>
      <w:r>
        <w:rPr>
          <w:rFonts w:ascii="Times New Roman" w:hAnsi="Times New Roman" w:eastAsia="Times New Roman"/>
          <w:position w:val="1"/>
        </w:rPr>
        <w:t>2015</w:t>
      </w:r>
      <w:r>
        <w:rPr/>
        <w:t>）》， 鉴湖西跨湖桥（宾舍）</w:t>
      </w:r>
      <w:r>
        <w:rPr>
          <w:rFonts w:ascii="Times New Roman" w:hAnsi="Times New Roman" w:eastAsia="Times New Roman"/>
          <w:position w:val="1"/>
        </w:rPr>
        <w:t>—</w:t>
      </w:r>
      <w:r>
        <w:rPr/>
        <w:t>东跨湖桥（亭山）段水域（序号：钱塘 </w:t>
      </w:r>
      <w:r>
        <w:rPr>
          <w:rFonts w:ascii="Times New Roman" w:hAnsi="Times New Roman" w:eastAsia="Times New Roman"/>
          <w:position w:val="1"/>
        </w:rPr>
        <w:t>353</w:t>
      </w:r>
      <w:r>
        <w:rPr/>
        <w:t>）水功能区为鉴湖绍兴景观娱乐用水区（编码：</w:t>
      </w:r>
      <w:r>
        <w:rPr>
          <w:rFonts w:ascii="Times New Roman" w:hAnsi="Times New Roman" w:eastAsia="Times New Roman"/>
          <w:position w:val="1"/>
        </w:rPr>
        <w:t>G0102301303014</w:t>
      </w:r>
      <w:r>
        <w:rPr/>
        <w:t>）、水环境功能区为景观娱乐用水区（编码： </w:t>
      </w:r>
      <w:r>
        <w:rPr>
          <w:rFonts w:ascii="Times New Roman" w:hAnsi="Times New Roman" w:eastAsia="Times New Roman"/>
          <w:position w:val="1"/>
        </w:rPr>
        <w:t>330601GA080102002060</w:t>
      </w:r>
      <w:r>
        <w:rPr/>
        <w:t>），目标水质为Ⅱ类；而项里溪及项里溪支流无水功能区及水环境功能区划。详见图 </w:t>
      </w:r>
      <w:r>
        <w:rPr>
          <w:rFonts w:ascii="Times New Roman" w:hAnsi="Times New Roman" w:eastAsia="Times New Roman"/>
          <w:position w:val="1"/>
        </w:rPr>
        <w:t>2.2-1 </w:t>
      </w:r>
      <w:r>
        <w:rPr/>
        <w:t>及表 </w:t>
      </w:r>
      <w:r>
        <w:rPr>
          <w:rFonts w:ascii="Times New Roman" w:hAnsi="Times New Roman" w:eastAsia="Times New Roman"/>
          <w:position w:val="1"/>
        </w:rPr>
        <w:t>2.2-3</w:t>
      </w:r>
      <w:r>
        <w:rPr/>
        <w:t>。</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Heading3"/>
        <w:spacing w:before="214"/>
        <w:ind w:left="218" w:right="236"/>
        <w:jc w:val="center"/>
      </w:pPr>
      <w:r>
        <w:rPr/>
        <w:t>图 </w:t>
      </w:r>
      <w:r>
        <w:rPr>
          <w:rFonts w:ascii="Times New Roman" w:eastAsia="Times New Roman"/>
        </w:rPr>
        <w:t>2.2-1  </w:t>
      </w:r>
      <w:r>
        <w:rPr/>
        <w:t>地表水环境功能区划分图</w:t>
      </w:r>
    </w:p>
    <w:p>
      <w:pPr>
        <w:spacing w:before="50" w:after="27"/>
        <w:ind w:left="217" w:right="236" w:firstLine="0"/>
        <w:jc w:val="center"/>
        <w:rPr>
          <w:b/>
          <w:sz w:val="24"/>
        </w:rPr>
      </w:pPr>
      <w:r>
        <w:rPr>
          <w:b/>
          <w:sz w:val="24"/>
        </w:rPr>
        <w:t>表 </w:t>
      </w:r>
      <w:r>
        <w:rPr>
          <w:rFonts w:ascii="Times New Roman" w:eastAsia="Times New Roman"/>
          <w:b/>
          <w:sz w:val="24"/>
        </w:rPr>
        <w:t>2.2-3  </w:t>
      </w:r>
      <w:r>
        <w:rPr>
          <w:b/>
          <w:sz w:val="24"/>
        </w:rPr>
        <w:t>本项目附近地表水水环境功能区划</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10"/>
        <w:gridCol w:w="1134"/>
        <w:gridCol w:w="850"/>
        <w:gridCol w:w="1136"/>
        <w:gridCol w:w="1136"/>
        <w:gridCol w:w="1278"/>
        <w:gridCol w:w="1258"/>
        <w:gridCol w:w="834"/>
      </w:tblGrid>
      <w:tr>
        <w:trPr>
          <w:trHeight w:val="356" w:hRule="atLeast"/>
        </w:trPr>
        <w:tc>
          <w:tcPr>
            <w:tcW w:w="1810" w:type="dxa"/>
            <w:vMerge w:val="restart"/>
            <w:tcBorders>
              <w:bottom w:val="single" w:sz="6" w:space="0" w:color="000000"/>
              <w:right w:val="single" w:sz="4" w:space="0" w:color="000000"/>
            </w:tcBorders>
          </w:tcPr>
          <w:p>
            <w:pPr>
              <w:pStyle w:val="TableParagraph"/>
              <w:spacing w:before="0"/>
              <w:jc w:val="left"/>
              <w:rPr>
                <w:rFonts w:ascii="宋体"/>
                <w:b/>
                <w:sz w:val="18"/>
              </w:rPr>
            </w:pPr>
          </w:p>
          <w:p>
            <w:pPr>
              <w:pStyle w:val="TableParagraph"/>
              <w:spacing w:before="0"/>
              <w:ind w:left="481"/>
              <w:jc w:val="left"/>
              <w:rPr>
                <w:rFonts w:ascii="宋体" w:eastAsia="宋体" w:hint="eastAsia"/>
                <w:b/>
                <w:sz w:val="21"/>
              </w:rPr>
            </w:pPr>
            <w:r>
              <w:rPr>
                <w:rFonts w:ascii="宋体" w:eastAsia="宋体" w:hint="eastAsia"/>
                <w:b/>
                <w:sz w:val="21"/>
              </w:rPr>
              <w:t>水功能区</w:t>
            </w:r>
          </w:p>
        </w:tc>
        <w:tc>
          <w:tcPr>
            <w:tcW w:w="1134" w:type="dxa"/>
            <w:vMerge w:val="restart"/>
            <w:tcBorders>
              <w:left w:val="single" w:sz="4" w:space="0" w:color="000000"/>
              <w:bottom w:val="single" w:sz="6" w:space="0" w:color="000000"/>
              <w:right w:val="single" w:sz="4" w:space="0" w:color="000000"/>
            </w:tcBorders>
          </w:tcPr>
          <w:p>
            <w:pPr>
              <w:pStyle w:val="TableParagraph"/>
              <w:spacing w:before="53"/>
              <w:ind w:left="256"/>
              <w:jc w:val="left"/>
              <w:rPr>
                <w:rFonts w:ascii="宋体" w:eastAsia="宋体" w:hint="eastAsia"/>
                <w:b/>
                <w:sz w:val="21"/>
              </w:rPr>
            </w:pPr>
            <w:r>
              <w:rPr>
                <w:rFonts w:ascii="宋体" w:eastAsia="宋体" w:hint="eastAsia"/>
                <w:b/>
                <w:sz w:val="21"/>
              </w:rPr>
              <w:t>水环境</w:t>
            </w:r>
          </w:p>
          <w:p>
            <w:pPr>
              <w:pStyle w:val="TableParagraph"/>
              <w:spacing w:before="89"/>
              <w:ind w:left="256"/>
              <w:jc w:val="left"/>
              <w:rPr>
                <w:rFonts w:ascii="宋体" w:eastAsia="宋体" w:hint="eastAsia"/>
                <w:b/>
                <w:sz w:val="21"/>
              </w:rPr>
            </w:pPr>
            <w:r>
              <w:rPr>
                <w:rFonts w:ascii="宋体" w:eastAsia="宋体" w:hint="eastAsia"/>
                <w:b/>
                <w:sz w:val="21"/>
              </w:rPr>
              <w:t>功能区</w:t>
            </w:r>
          </w:p>
        </w:tc>
        <w:tc>
          <w:tcPr>
            <w:tcW w:w="850" w:type="dxa"/>
            <w:vMerge w:val="restart"/>
            <w:tcBorders>
              <w:left w:val="single" w:sz="4" w:space="0" w:color="000000"/>
              <w:bottom w:val="single" w:sz="6" w:space="0" w:color="000000"/>
              <w:right w:val="single" w:sz="4" w:space="0" w:color="000000"/>
            </w:tcBorders>
          </w:tcPr>
          <w:p>
            <w:pPr>
              <w:pStyle w:val="TableParagraph"/>
              <w:spacing w:before="0"/>
              <w:jc w:val="left"/>
              <w:rPr>
                <w:rFonts w:ascii="宋体"/>
                <w:b/>
                <w:sz w:val="18"/>
              </w:rPr>
            </w:pPr>
          </w:p>
          <w:p>
            <w:pPr>
              <w:pStyle w:val="TableParagraph"/>
              <w:spacing w:before="0"/>
              <w:ind w:left="219"/>
              <w:jc w:val="left"/>
              <w:rPr>
                <w:rFonts w:ascii="宋体" w:eastAsia="宋体" w:hint="eastAsia"/>
                <w:b/>
                <w:sz w:val="21"/>
              </w:rPr>
            </w:pPr>
            <w:r>
              <w:rPr>
                <w:rFonts w:ascii="宋体" w:eastAsia="宋体" w:hint="eastAsia"/>
                <w:b/>
                <w:sz w:val="21"/>
              </w:rPr>
              <w:t>流域</w:t>
            </w:r>
          </w:p>
        </w:tc>
        <w:tc>
          <w:tcPr>
            <w:tcW w:w="1136" w:type="dxa"/>
            <w:vMerge w:val="restart"/>
            <w:tcBorders>
              <w:left w:val="single" w:sz="4" w:space="0" w:color="000000"/>
              <w:bottom w:val="single" w:sz="6" w:space="0" w:color="000000"/>
              <w:right w:val="single" w:sz="4" w:space="0" w:color="000000"/>
            </w:tcBorders>
          </w:tcPr>
          <w:p>
            <w:pPr>
              <w:pStyle w:val="TableParagraph"/>
              <w:spacing w:before="0"/>
              <w:jc w:val="left"/>
              <w:rPr>
                <w:rFonts w:ascii="宋体"/>
                <w:b/>
                <w:sz w:val="18"/>
              </w:rPr>
            </w:pPr>
          </w:p>
          <w:p>
            <w:pPr>
              <w:pStyle w:val="TableParagraph"/>
              <w:spacing w:before="0"/>
              <w:ind w:left="363"/>
              <w:jc w:val="left"/>
              <w:rPr>
                <w:rFonts w:ascii="宋体" w:eastAsia="宋体" w:hint="eastAsia"/>
                <w:b/>
                <w:sz w:val="21"/>
              </w:rPr>
            </w:pPr>
            <w:r>
              <w:rPr>
                <w:rFonts w:ascii="宋体" w:eastAsia="宋体" w:hint="eastAsia"/>
                <w:b/>
                <w:sz w:val="21"/>
              </w:rPr>
              <w:t>水系</w:t>
            </w:r>
          </w:p>
        </w:tc>
        <w:tc>
          <w:tcPr>
            <w:tcW w:w="1136" w:type="dxa"/>
            <w:vMerge w:val="restart"/>
            <w:tcBorders>
              <w:left w:val="single" w:sz="4" w:space="0" w:color="000000"/>
              <w:bottom w:val="single" w:sz="6" w:space="0" w:color="000000"/>
              <w:right w:val="single" w:sz="4" w:space="0" w:color="000000"/>
            </w:tcBorders>
          </w:tcPr>
          <w:p>
            <w:pPr>
              <w:pStyle w:val="TableParagraph"/>
              <w:spacing w:before="0"/>
              <w:jc w:val="left"/>
              <w:rPr>
                <w:rFonts w:ascii="宋体"/>
                <w:b/>
                <w:sz w:val="18"/>
              </w:rPr>
            </w:pPr>
          </w:p>
          <w:p>
            <w:pPr>
              <w:pStyle w:val="TableParagraph"/>
              <w:spacing w:before="0"/>
              <w:ind w:left="362"/>
              <w:jc w:val="left"/>
              <w:rPr>
                <w:rFonts w:ascii="宋体" w:eastAsia="宋体" w:hint="eastAsia"/>
                <w:b/>
                <w:sz w:val="21"/>
              </w:rPr>
            </w:pPr>
            <w:r>
              <w:rPr>
                <w:rFonts w:ascii="宋体" w:eastAsia="宋体" w:hint="eastAsia"/>
                <w:b/>
                <w:sz w:val="21"/>
              </w:rPr>
              <w:t>河流</w:t>
            </w:r>
          </w:p>
        </w:tc>
        <w:tc>
          <w:tcPr>
            <w:tcW w:w="2536" w:type="dxa"/>
            <w:gridSpan w:val="2"/>
            <w:tcBorders>
              <w:left w:val="single" w:sz="4" w:space="0" w:color="000000"/>
              <w:bottom w:val="single" w:sz="4" w:space="0" w:color="000000"/>
              <w:right w:val="single" w:sz="4" w:space="0" w:color="000000"/>
            </w:tcBorders>
          </w:tcPr>
          <w:p>
            <w:pPr>
              <w:pStyle w:val="TableParagraph"/>
              <w:spacing w:before="46"/>
              <w:ind w:left="1041" w:right="1023"/>
              <w:rPr>
                <w:rFonts w:ascii="宋体" w:eastAsia="宋体" w:hint="eastAsia"/>
                <w:b/>
                <w:sz w:val="21"/>
              </w:rPr>
            </w:pPr>
            <w:r>
              <w:rPr>
                <w:rFonts w:ascii="宋体" w:eastAsia="宋体" w:hint="eastAsia"/>
                <w:b/>
                <w:sz w:val="21"/>
              </w:rPr>
              <w:t>范围</w:t>
            </w:r>
          </w:p>
        </w:tc>
        <w:tc>
          <w:tcPr>
            <w:tcW w:w="834" w:type="dxa"/>
            <w:vMerge w:val="restart"/>
            <w:tcBorders>
              <w:left w:val="single" w:sz="4" w:space="0" w:color="000000"/>
              <w:bottom w:val="single" w:sz="6" w:space="0" w:color="000000"/>
            </w:tcBorders>
          </w:tcPr>
          <w:p>
            <w:pPr>
              <w:pStyle w:val="TableParagraph"/>
              <w:spacing w:before="53"/>
              <w:ind w:left="207"/>
              <w:jc w:val="left"/>
              <w:rPr>
                <w:rFonts w:ascii="宋体" w:eastAsia="宋体" w:hint="eastAsia"/>
                <w:b/>
                <w:sz w:val="21"/>
              </w:rPr>
            </w:pPr>
            <w:r>
              <w:rPr>
                <w:rFonts w:ascii="宋体" w:eastAsia="宋体" w:hint="eastAsia"/>
                <w:b/>
                <w:sz w:val="21"/>
              </w:rPr>
              <w:t>目标</w:t>
            </w:r>
          </w:p>
          <w:p>
            <w:pPr>
              <w:pStyle w:val="TableParagraph"/>
              <w:spacing w:before="89"/>
              <w:ind w:left="207"/>
              <w:jc w:val="left"/>
              <w:rPr>
                <w:rFonts w:ascii="宋体" w:eastAsia="宋体" w:hint="eastAsia"/>
                <w:b/>
                <w:sz w:val="21"/>
              </w:rPr>
            </w:pPr>
            <w:r>
              <w:rPr>
                <w:rFonts w:ascii="宋体" w:eastAsia="宋体" w:hint="eastAsia"/>
                <w:b/>
                <w:sz w:val="21"/>
              </w:rPr>
              <w:t>水质</w:t>
            </w:r>
          </w:p>
        </w:tc>
      </w:tr>
      <w:tr>
        <w:trPr>
          <w:trHeight w:val="354" w:hRule="atLeast"/>
        </w:trPr>
        <w:tc>
          <w:tcPr>
            <w:tcW w:w="1810" w:type="dxa"/>
            <w:vMerge/>
            <w:tcBorders>
              <w:top w:val="nil"/>
              <w:bottom w:val="single" w:sz="6" w:space="0" w:color="000000"/>
              <w:right w:val="single" w:sz="4" w:space="0" w:color="000000"/>
            </w:tcBorders>
          </w:tcPr>
          <w:p>
            <w:pPr>
              <w:rPr>
                <w:sz w:val="2"/>
                <w:szCs w:val="2"/>
              </w:rPr>
            </w:pPr>
          </w:p>
        </w:tc>
        <w:tc>
          <w:tcPr>
            <w:tcW w:w="1134" w:type="dxa"/>
            <w:vMerge/>
            <w:tcBorders>
              <w:top w:val="nil"/>
              <w:left w:val="single" w:sz="4" w:space="0" w:color="000000"/>
              <w:bottom w:val="single" w:sz="6" w:space="0" w:color="000000"/>
              <w:right w:val="single" w:sz="4" w:space="0" w:color="000000"/>
            </w:tcBorders>
          </w:tcPr>
          <w:p>
            <w:pPr>
              <w:rPr>
                <w:sz w:val="2"/>
                <w:szCs w:val="2"/>
              </w:rPr>
            </w:pPr>
          </w:p>
        </w:tc>
        <w:tc>
          <w:tcPr>
            <w:tcW w:w="850" w:type="dxa"/>
            <w:vMerge/>
            <w:tcBorders>
              <w:top w:val="nil"/>
              <w:left w:val="single" w:sz="4" w:space="0" w:color="000000"/>
              <w:bottom w:val="single" w:sz="6" w:space="0" w:color="000000"/>
              <w:right w:val="single" w:sz="4" w:space="0" w:color="000000"/>
            </w:tcBorders>
          </w:tcPr>
          <w:p>
            <w:pPr>
              <w:rPr>
                <w:sz w:val="2"/>
                <w:szCs w:val="2"/>
              </w:rPr>
            </w:pPr>
          </w:p>
        </w:tc>
        <w:tc>
          <w:tcPr>
            <w:tcW w:w="1136" w:type="dxa"/>
            <w:vMerge/>
            <w:tcBorders>
              <w:top w:val="nil"/>
              <w:left w:val="single" w:sz="4" w:space="0" w:color="000000"/>
              <w:bottom w:val="single" w:sz="6" w:space="0" w:color="000000"/>
              <w:right w:val="single" w:sz="4" w:space="0" w:color="000000"/>
            </w:tcBorders>
          </w:tcPr>
          <w:p>
            <w:pPr>
              <w:rPr>
                <w:sz w:val="2"/>
                <w:szCs w:val="2"/>
              </w:rPr>
            </w:pPr>
          </w:p>
        </w:tc>
        <w:tc>
          <w:tcPr>
            <w:tcW w:w="1136" w:type="dxa"/>
            <w:vMerge/>
            <w:tcBorders>
              <w:top w:val="nil"/>
              <w:left w:val="single" w:sz="4" w:space="0" w:color="000000"/>
              <w:bottom w:val="single" w:sz="6" w:space="0" w:color="000000"/>
              <w:right w:val="single" w:sz="4" w:space="0" w:color="000000"/>
            </w:tcBorders>
          </w:tcPr>
          <w:p>
            <w:pPr>
              <w:rPr>
                <w:sz w:val="2"/>
                <w:szCs w:val="2"/>
              </w:rPr>
            </w:pPr>
          </w:p>
        </w:tc>
        <w:tc>
          <w:tcPr>
            <w:tcW w:w="1278" w:type="dxa"/>
            <w:tcBorders>
              <w:top w:val="single" w:sz="4" w:space="0" w:color="000000"/>
              <w:left w:val="single" w:sz="4" w:space="0" w:color="000000"/>
              <w:bottom w:val="single" w:sz="6" w:space="0" w:color="000000"/>
              <w:right w:val="single" w:sz="4" w:space="0" w:color="000000"/>
            </w:tcBorders>
          </w:tcPr>
          <w:p>
            <w:pPr>
              <w:pStyle w:val="TableParagraph"/>
              <w:spacing w:before="44"/>
              <w:ind w:left="222"/>
              <w:jc w:val="left"/>
              <w:rPr>
                <w:rFonts w:ascii="宋体" w:eastAsia="宋体" w:hint="eastAsia"/>
                <w:b/>
                <w:sz w:val="21"/>
              </w:rPr>
            </w:pPr>
            <w:r>
              <w:rPr>
                <w:rFonts w:ascii="宋体" w:eastAsia="宋体" w:hint="eastAsia"/>
                <w:b/>
                <w:sz w:val="21"/>
              </w:rPr>
              <w:t>起始断面</w:t>
            </w:r>
          </w:p>
        </w:tc>
        <w:tc>
          <w:tcPr>
            <w:tcW w:w="1258" w:type="dxa"/>
            <w:tcBorders>
              <w:top w:val="single" w:sz="4" w:space="0" w:color="000000"/>
              <w:left w:val="single" w:sz="4" w:space="0" w:color="000000"/>
              <w:bottom w:val="single" w:sz="6" w:space="0" w:color="000000"/>
              <w:right w:val="single" w:sz="4" w:space="0" w:color="000000"/>
            </w:tcBorders>
          </w:tcPr>
          <w:p>
            <w:pPr>
              <w:pStyle w:val="TableParagraph"/>
              <w:spacing w:before="44"/>
              <w:ind w:left="210"/>
              <w:jc w:val="left"/>
              <w:rPr>
                <w:rFonts w:ascii="宋体" w:eastAsia="宋体" w:hint="eastAsia"/>
                <w:b/>
                <w:sz w:val="21"/>
              </w:rPr>
            </w:pPr>
            <w:r>
              <w:rPr>
                <w:rFonts w:ascii="宋体" w:eastAsia="宋体" w:hint="eastAsia"/>
                <w:b/>
                <w:sz w:val="21"/>
              </w:rPr>
              <w:t>终止断面</w:t>
            </w:r>
          </w:p>
        </w:tc>
        <w:tc>
          <w:tcPr>
            <w:tcW w:w="834" w:type="dxa"/>
            <w:vMerge/>
            <w:tcBorders>
              <w:top w:val="nil"/>
              <w:left w:val="single" w:sz="4" w:space="0" w:color="000000"/>
              <w:bottom w:val="single" w:sz="6" w:space="0" w:color="000000"/>
            </w:tcBorders>
          </w:tcPr>
          <w:p>
            <w:pPr>
              <w:rPr>
                <w:sz w:val="2"/>
                <w:szCs w:val="2"/>
              </w:rPr>
            </w:pPr>
          </w:p>
        </w:tc>
      </w:tr>
      <w:tr>
        <w:trPr>
          <w:trHeight w:val="712" w:hRule="atLeast"/>
        </w:trPr>
        <w:tc>
          <w:tcPr>
            <w:tcW w:w="1810" w:type="dxa"/>
            <w:tcBorders>
              <w:top w:val="single" w:sz="6" w:space="0" w:color="000000"/>
              <w:right w:val="single" w:sz="4" w:space="0" w:color="000000"/>
            </w:tcBorders>
          </w:tcPr>
          <w:p>
            <w:pPr>
              <w:pStyle w:val="TableParagraph"/>
              <w:spacing w:before="44"/>
              <w:ind w:left="149" w:right="131"/>
              <w:rPr>
                <w:rFonts w:ascii="宋体" w:eastAsia="宋体" w:hint="eastAsia"/>
                <w:sz w:val="21"/>
              </w:rPr>
            </w:pPr>
            <w:r>
              <w:rPr>
                <w:rFonts w:ascii="宋体" w:eastAsia="宋体" w:hint="eastAsia"/>
                <w:sz w:val="21"/>
              </w:rPr>
              <w:t>鉴湖绍兴景观娱</w:t>
            </w:r>
          </w:p>
          <w:p>
            <w:pPr>
              <w:pStyle w:val="TableParagraph"/>
              <w:spacing w:before="89"/>
              <w:ind w:left="149" w:right="129"/>
              <w:rPr>
                <w:rFonts w:ascii="宋体" w:eastAsia="宋体" w:hint="eastAsia"/>
                <w:sz w:val="21"/>
              </w:rPr>
            </w:pPr>
            <w:r>
              <w:rPr>
                <w:rFonts w:ascii="宋体" w:eastAsia="宋体" w:hint="eastAsia"/>
                <w:sz w:val="21"/>
              </w:rPr>
              <w:t>乐用水区</w:t>
            </w:r>
          </w:p>
        </w:tc>
        <w:tc>
          <w:tcPr>
            <w:tcW w:w="1134" w:type="dxa"/>
            <w:tcBorders>
              <w:top w:val="single" w:sz="6" w:space="0" w:color="000000"/>
              <w:left w:val="single" w:sz="4" w:space="0" w:color="000000"/>
              <w:right w:val="single" w:sz="4" w:space="0" w:color="000000"/>
            </w:tcBorders>
          </w:tcPr>
          <w:p>
            <w:pPr>
              <w:pStyle w:val="TableParagraph"/>
              <w:spacing w:before="44"/>
              <w:ind w:left="152"/>
              <w:jc w:val="left"/>
              <w:rPr>
                <w:rFonts w:ascii="宋体" w:eastAsia="宋体" w:hint="eastAsia"/>
                <w:sz w:val="21"/>
              </w:rPr>
            </w:pPr>
            <w:r>
              <w:rPr>
                <w:rFonts w:ascii="宋体" w:eastAsia="宋体" w:hint="eastAsia"/>
                <w:sz w:val="21"/>
              </w:rPr>
              <w:t>景观娱乐</w:t>
            </w:r>
          </w:p>
          <w:p>
            <w:pPr>
              <w:pStyle w:val="TableParagraph"/>
              <w:spacing w:before="89"/>
              <w:ind w:left="256"/>
              <w:jc w:val="left"/>
              <w:rPr>
                <w:rFonts w:ascii="宋体" w:eastAsia="宋体" w:hint="eastAsia"/>
                <w:sz w:val="21"/>
              </w:rPr>
            </w:pPr>
            <w:r>
              <w:rPr>
                <w:rFonts w:ascii="宋体" w:eastAsia="宋体" w:hint="eastAsia"/>
                <w:sz w:val="21"/>
              </w:rPr>
              <w:t>用水区</w:t>
            </w:r>
          </w:p>
        </w:tc>
        <w:tc>
          <w:tcPr>
            <w:tcW w:w="850" w:type="dxa"/>
            <w:tcBorders>
              <w:top w:val="single" w:sz="6"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16"/>
              <w:jc w:val="left"/>
              <w:rPr>
                <w:rFonts w:ascii="宋体" w:eastAsia="宋体" w:hint="eastAsia"/>
                <w:sz w:val="21"/>
              </w:rPr>
            </w:pPr>
            <w:r>
              <w:rPr>
                <w:rFonts w:ascii="宋体" w:eastAsia="宋体" w:hint="eastAsia"/>
                <w:sz w:val="21"/>
              </w:rPr>
              <w:t>浙闽皖</w:t>
            </w:r>
          </w:p>
        </w:tc>
        <w:tc>
          <w:tcPr>
            <w:tcW w:w="1136" w:type="dxa"/>
            <w:tcBorders>
              <w:top w:val="single" w:sz="6"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54"/>
              <w:jc w:val="left"/>
              <w:rPr>
                <w:rFonts w:ascii="宋体" w:eastAsia="宋体" w:hint="eastAsia"/>
                <w:sz w:val="21"/>
              </w:rPr>
            </w:pPr>
            <w:r>
              <w:rPr>
                <w:rFonts w:ascii="宋体" w:eastAsia="宋体" w:hint="eastAsia"/>
                <w:sz w:val="21"/>
              </w:rPr>
              <w:t>萧绍河网</w:t>
            </w:r>
          </w:p>
        </w:tc>
        <w:tc>
          <w:tcPr>
            <w:tcW w:w="1136" w:type="dxa"/>
            <w:tcBorders>
              <w:top w:val="single" w:sz="6"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365"/>
              <w:jc w:val="left"/>
              <w:rPr>
                <w:rFonts w:ascii="宋体" w:eastAsia="宋体" w:hint="eastAsia"/>
                <w:sz w:val="21"/>
              </w:rPr>
            </w:pPr>
            <w:r>
              <w:rPr>
                <w:rFonts w:ascii="宋体" w:eastAsia="宋体" w:hint="eastAsia"/>
                <w:sz w:val="21"/>
              </w:rPr>
              <w:t>鉴湖</w:t>
            </w:r>
          </w:p>
        </w:tc>
        <w:tc>
          <w:tcPr>
            <w:tcW w:w="1278" w:type="dxa"/>
            <w:tcBorders>
              <w:top w:val="single" w:sz="6" w:space="0" w:color="000000"/>
              <w:left w:val="single" w:sz="4" w:space="0" w:color="000000"/>
              <w:right w:val="single" w:sz="4" w:space="0" w:color="000000"/>
            </w:tcBorders>
          </w:tcPr>
          <w:p>
            <w:pPr>
              <w:pStyle w:val="TableParagraph"/>
              <w:spacing w:before="44"/>
              <w:ind w:left="222"/>
              <w:jc w:val="left"/>
              <w:rPr>
                <w:rFonts w:ascii="宋体" w:eastAsia="宋体" w:hint="eastAsia"/>
                <w:sz w:val="21"/>
              </w:rPr>
            </w:pPr>
            <w:r>
              <w:rPr>
                <w:rFonts w:ascii="宋体" w:eastAsia="宋体" w:hint="eastAsia"/>
                <w:spacing w:val="-1"/>
                <w:sz w:val="21"/>
              </w:rPr>
              <w:t>西跨湖桥</w:t>
            </w:r>
          </w:p>
          <w:p>
            <w:pPr>
              <w:pStyle w:val="TableParagraph"/>
              <w:spacing w:before="89"/>
              <w:ind w:left="222"/>
              <w:jc w:val="left"/>
              <w:rPr>
                <w:rFonts w:ascii="宋体" w:eastAsia="宋体" w:hint="eastAsia"/>
                <w:sz w:val="21"/>
              </w:rPr>
            </w:pPr>
            <w:r>
              <w:rPr>
                <w:rFonts w:ascii="宋体" w:eastAsia="宋体" w:hint="eastAsia"/>
                <w:sz w:val="21"/>
              </w:rPr>
              <w:t>（</w:t>
            </w:r>
            <w:r>
              <w:rPr>
                <w:rFonts w:ascii="宋体" w:eastAsia="宋体" w:hint="eastAsia"/>
                <w:spacing w:val="-2"/>
                <w:sz w:val="21"/>
              </w:rPr>
              <w:t>宾舍</w:t>
            </w:r>
            <w:r>
              <w:rPr>
                <w:rFonts w:ascii="宋体" w:eastAsia="宋体" w:hint="eastAsia"/>
                <w:sz w:val="21"/>
              </w:rPr>
              <w:t>）</w:t>
            </w:r>
          </w:p>
        </w:tc>
        <w:tc>
          <w:tcPr>
            <w:tcW w:w="1258" w:type="dxa"/>
            <w:tcBorders>
              <w:top w:val="single" w:sz="6" w:space="0" w:color="000000"/>
              <w:left w:val="single" w:sz="4" w:space="0" w:color="000000"/>
              <w:right w:val="single" w:sz="4" w:space="0" w:color="000000"/>
            </w:tcBorders>
          </w:tcPr>
          <w:p>
            <w:pPr>
              <w:pStyle w:val="TableParagraph"/>
              <w:spacing w:before="44"/>
              <w:ind w:left="212"/>
              <w:jc w:val="left"/>
              <w:rPr>
                <w:rFonts w:ascii="宋体" w:eastAsia="宋体" w:hint="eastAsia"/>
                <w:sz w:val="21"/>
              </w:rPr>
            </w:pPr>
            <w:r>
              <w:rPr>
                <w:rFonts w:ascii="宋体" w:eastAsia="宋体" w:hint="eastAsia"/>
                <w:spacing w:val="-1"/>
                <w:sz w:val="21"/>
              </w:rPr>
              <w:t>东跨湖桥</w:t>
            </w:r>
          </w:p>
          <w:p>
            <w:pPr>
              <w:pStyle w:val="TableParagraph"/>
              <w:spacing w:before="89"/>
              <w:ind w:left="212"/>
              <w:jc w:val="left"/>
              <w:rPr>
                <w:rFonts w:ascii="宋体" w:eastAsia="宋体" w:hint="eastAsia"/>
                <w:sz w:val="21"/>
              </w:rPr>
            </w:pPr>
            <w:r>
              <w:rPr>
                <w:rFonts w:ascii="宋体" w:eastAsia="宋体" w:hint="eastAsia"/>
                <w:sz w:val="21"/>
              </w:rPr>
              <w:t>（</w:t>
            </w:r>
            <w:r>
              <w:rPr>
                <w:rFonts w:ascii="宋体" w:eastAsia="宋体" w:hint="eastAsia"/>
                <w:spacing w:val="-2"/>
                <w:sz w:val="21"/>
              </w:rPr>
              <w:t>亭山</w:t>
            </w:r>
            <w:r>
              <w:rPr>
                <w:rFonts w:ascii="宋体" w:eastAsia="宋体" w:hint="eastAsia"/>
                <w:sz w:val="21"/>
              </w:rPr>
              <w:t>）</w:t>
            </w:r>
          </w:p>
        </w:tc>
        <w:tc>
          <w:tcPr>
            <w:tcW w:w="834" w:type="dxa"/>
            <w:tcBorders>
              <w:top w:val="single" w:sz="6" w:space="0" w:color="000000"/>
              <w:left w:val="single" w:sz="4" w:space="0" w:color="000000"/>
            </w:tcBorders>
          </w:tcPr>
          <w:p>
            <w:pPr>
              <w:pStyle w:val="TableParagraph"/>
              <w:spacing w:before="6"/>
              <w:jc w:val="left"/>
              <w:rPr>
                <w:rFonts w:ascii="宋体"/>
                <w:b/>
                <w:sz w:val="17"/>
              </w:rPr>
            </w:pPr>
          </w:p>
          <w:p>
            <w:pPr>
              <w:pStyle w:val="TableParagraph"/>
              <w:spacing w:before="0"/>
              <w:ind w:left="23"/>
              <w:rPr>
                <w:rFonts w:ascii="宋体" w:hAnsi="宋体"/>
                <w:sz w:val="21"/>
              </w:rPr>
            </w:pPr>
            <w:r>
              <w:rPr>
                <w:rFonts w:ascii="宋体" w:hAnsi="宋体"/>
                <w:w w:val="100"/>
                <w:sz w:val="21"/>
              </w:rPr>
              <w:t>Ⅱ</w:t>
            </w:r>
          </w:p>
        </w:tc>
      </w:tr>
    </w:tbl>
    <w:p>
      <w:pPr>
        <w:pStyle w:val="BodyText"/>
        <w:spacing w:line="364" w:lineRule="auto" w:before="84"/>
        <w:ind w:right="254" w:firstLine="480"/>
      </w:pPr>
      <w:r>
        <w:rPr/>
        <w:t>根据调查，项里溪及项里溪支流日常水流量较小，仅当大洋水库泄洪或周边农田灌溉期才会放水，其主要功能为农业用水，根据《浙江省水功能区水环境功能区划分方案</w:t>
      </w:r>
    </w:p>
    <w:p>
      <w:pPr>
        <w:pStyle w:val="BodyText"/>
        <w:spacing w:line="364" w:lineRule="auto" w:before="1"/>
        <w:ind w:right="126"/>
      </w:pPr>
      <w:r>
        <w:rPr>
          <w:spacing w:val="-4"/>
        </w:rPr>
        <w:t>（</w:t>
      </w:r>
      <w:r>
        <w:rPr>
          <w:rFonts w:ascii="Times New Roman" w:hAnsi="Times New Roman" w:eastAsia="Times New Roman"/>
          <w:spacing w:val="-4"/>
          <w:position w:val="1"/>
        </w:rPr>
        <w:t>2015</w:t>
      </w:r>
      <w:r>
        <w:rPr>
          <w:spacing w:val="-4"/>
        </w:rPr>
        <w:t>）</w:t>
      </w:r>
      <w:r>
        <w:rPr>
          <w:spacing w:val="-9"/>
        </w:rPr>
        <w:t>》，农业用水区地表水目标水质一般为Ⅲ类。根据《绍兴市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w:t>
      </w:r>
      <w:r>
        <w:rPr>
          <w:spacing w:val="-15"/>
          <w:position w:val="2"/>
        </w:rPr>
        <w:t>分区管控方案》中</w:t>
      </w:r>
      <w:r>
        <w:rPr>
          <w:rFonts w:ascii="Times New Roman" w:hAnsi="Times New Roman" w:eastAsia="Times New Roman"/>
          <w:spacing w:val="-1"/>
          <w:position w:val="2"/>
        </w:rPr>
        <w:t>“</w:t>
      </w:r>
      <w:r>
        <w:rPr>
          <w:position w:val="2"/>
        </w:rPr>
        <w:t>水环境质量底线目标</w:t>
      </w:r>
      <w:r>
        <w:rPr>
          <w:rFonts w:ascii="Times New Roman" w:hAnsi="Times New Roman" w:eastAsia="Times New Roman"/>
          <w:spacing w:val="-1"/>
          <w:position w:val="2"/>
        </w:rPr>
        <w:t>”</w:t>
      </w:r>
      <w:r>
        <w:rPr>
          <w:spacing w:val="-45"/>
          <w:position w:val="2"/>
        </w:rPr>
        <w:t>，要求乡镇</w:t>
      </w:r>
      <w:r>
        <w:rPr>
          <w:position w:val="2"/>
        </w:rPr>
        <w:t>（街道</w:t>
      </w:r>
      <w:r>
        <w:rPr>
          <w:spacing w:val="-111"/>
          <w:position w:val="2"/>
        </w:rPr>
        <w:t>）</w:t>
      </w:r>
      <w:r>
        <w:rPr>
          <w:spacing w:val="-19"/>
          <w:position w:val="2"/>
        </w:rPr>
        <w:t>、村庄的重要监测断面 </w:t>
      </w:r>
      <w:r>
        <w:rPr>
          <w:rFonts w:ascii="Times New Roman" w:hAnsi="Times New Roman" w:eastAsia="Times New Roman"/>
          <w:position w:val="2"/>
        </w:rPr>
        <w:t>C</w:t>
      </w:r>
      <w:r>
        <w:rPr>
          <w:rFonts w:ascii="Times New Roman" w:hAnsi="Times New Roman" w:eastAsia="Times New Roman"/>
          <w:spacing w:val="-1"/>
          <w:position w:val="2"/>
        </w:rPr>
        <w:t>OD</w:t>
      </w:r>
      <w:r>
        <w:rPr>
          <w:rFonts w:ascii="Times New Roman" w:hAnsi="Times New Roman" w:eastAsia="Times New Roman"/>
          <w:spacing w:val="1"/>
          <w:w w:val="100"/>
          <w:sz w:val="16"/>
        </w:rPr>
        <w:t>Mn</w:t>
      </w:r>
      <w:r>
        <w:rPr>
          <w:position w:val="2"/>
        </w:rPr>
        <w:t>、</w:t>
      </w:r>
      <w:r>
        <w:rPr/>
        <w:t>氨氮、总磷三项指标基本达到Ⅲ类标准。另外，根据《浙江省鉴湖水域保护条例》，项</w:t>
      </w:r>
    </w:p>
    <w:p>
      <w:pPr>
        <w:spacing w:after="0" w:line="364" w:lineRule="auto"/>
        <w:sectPr>
          <w:pgSz w:w="11910" w:h="16840"/>
          <w:pgMar w:header="874" w:footer="1004" w:top="1400" w:bottom="1200" w:left="1040" w:right="1160"/>
        </w:sectPr>
      </w:pPr>
    </w:p>
    <w:p>
      <w:pPr>
        <w:pStyle w:val="BodyText"/>
        <w:spacing w:line="364" w:lineRule="auto" w:before="121"/>
        <w:ind w:right="81"/>
      </w:pPr>
      <w:r>
        <w:rPr/>
        <w:t>里江属于鉴湖上游水域，为一般保护区，水质应达三类（含三类）水质以上标准。综上， 本项目拟建址周边地表水执行《地表水环境质量标准》（</w:t>
      </w:r>
      <w:r>
        <w:rPr>
          <w:rFonts w:ascii="Times New Roman" w:hAnsi="Times New Roman" w:eastAsia="Times New Roman"/>
          <w:position w:val="1"/>
        </w:rPr>
        <w:t>GB 3838-2002</w:t>
      </w:r>
      <w:r>
        <w:rPr/>
        <w:t>）Ⅲ类标准要求。</w:t>
      </w:r>
    </w:p>
    <w:p>
      <w:pPr>
        <w:pStyle w:val="Heading3"/>
        <w:numPr>
          <w:ilvl w:val="0"/>
          <w:numId w:val="14"/>
        </w:numPr>
        <w:tabs>
          <w:tab w:pos="1323" w:val="left" w:leader="none"/>
        </w:tabs>
        <w:spacing w:line="240" w:lineRule="auto" w:before="1" w:after="0"/>
        <w:ind w:left="1323" w:right="0" w:hanging="604"/>
        <w:jc w:val="left"/>
      </w:pPr>
      <w:r>
        <w:rPr/>
        <w:t>地下水</w:t>
      </w:r>
    </w:p>
    <w:p>
      <w:pPr>
        <w:pStyle w:val="BodyText"/>
        <w:spacing w:line="364" w:lineRule="auto" w:before="161"/>
        <w:ind w:right="246" w:firstLine="480"/>
        <w:jc w:val="both"/>
      </w:pPr>
      <w:r>
        <w:rPr>
          <w:spacing w:val="24"/>
        </w:rPr>
        <w:t>本项目所在区域尚未划分地下水功能区划。根据《地下水质量标准》</w:t>
      </w:r>
      <w:r>
        <w:rPr/>
        <w:t>（</w:t>
      </w:r>
      <w:r>
        <w:rPr>
          <w:spacing w:val="-92"/>
        </w:rPr>
        <w:t> </w:t>
      </w:r>
      <w:r>
        <w:rPr>
          <w:rFonts w:ascii="Times New Roman" w:hAnsi="Times New Roman" w:eastAsia="Times New Roman"/>
          <w:spacing w:val="-5"/>
          <w:position w:val="1"/>
        </w:rPr>
        <w:t>GB/T </w:t>
      </w:r>
      <w:r>
        <w:rPr>
          <w:rFonts w:ascii="Times New Roman" w:hAnsi="Times New Roman" w:eastAsia="Times New Roman"/>
          <w:spacing w:val="-4"/>
          <w:position w:val="1"/>
        </w:rPr>
        <w:t>14848-2017</w:t>
      </w:r>
      <w:r>
        <w:rPr>
          <w:spacing w:val="-4"/>
        </w:rPr>
        <w:t>）</w:t>
      </w:r>
      <w:r>
        <w:rPr>
          <w:spacing w:val="-6"/>
        </w:rPr>
        <w:t>中地下水质量划分类型，结合该地区地表水执行Ⅲ类标准，地下水功能可参</w:t>
      </w:r>
      <w:r>
        <w:rPr>
          <w:spacing w:val="-10"/>
        </w:rPr>
        <w:t>照《地下水质量标准》</w:t>
      </w:r>
      <w:r>
        <w:rPr/>
        <w:t>（</w:t>
      </w:r>
      <w:r>
        <w:rPr>
          <w:rFonts w:ascii="Times New Roman" w:hAnsi="Times New Roman" w:eastAsia="Times New Roman"/>
          <w:position w:val="1"/>
        </w:rPr>
        <w:t>GB/T 14848-2017</w:t>
      </w:r>
      <w:r>
        <w:rPr/>
        <w:t>）</w:t>
      </w:r>
      <w:r>
        <w:rPr>
          <w:spacing w:val="-11"/>
        </w:rPr>
        <w:t>Ⅲ类区，即地下水化学组分含量中等，以 </w:t>
      </w:r>
      <w:r>
        <w:rPr>
          <w:rFonts w:ascii="Times New Roman" w:hAnsi="Times New Roman" w:eastAsia="Times New Roman"/>
          <w:position w:val="1"/>
        </w:rPr>
        <w:t>GB 5749-2006 </w:t>
      </w:r>
      <w:r>
        <w:rPr/>
        <w:t>为依据，主要适用于集中式生活饮用水水源及工农业用水。</w:t>
      </w:r>
    </w:p>
    <w:p>
      <w:pPr>
        <w:pStyle w:val="Heading3"/>
        <w:spacing w:before="2"/>
      </w:pPr>
      <w:r>
        <w:rPr>
          <w:rFonts w:ascii="Times New Roman" w:eastAsia="Times New Roman"/>
        </w:rPr>
        <w:t>2</w:t>
      </w:r>
      <w:r>
        <w:rPr/>
        <w:t>、环境空气功能区划</w:t>
      </w:r>
    </w:p>
    <w:p>
      <w:pPr>
        <w:pStyle w:val="BodyText"/>
        <w:spacing w:line="364" w:lineRule="auto" w:before="161"/>
        <w:ind w:right="251" w:firstLine="480"/>
      </w:pPr>
      <w:r>
        <w:rPr/>
        <w:pict>
          <v:group style="position:absolute;margin-left:87.150002pt;margin-top:51.920029pt;width:412.65pt;height:292.9pt;mso-position-horizontal-relative:page;mso-position-vertical-relative:paragraph;z-index:-315583488" coordorigin="1743,1038" coordsize="8253,5858">
            <v:shape style="position:absolute;left:1773;top:1068;width:8193;height:5798" type="#_x0000_t75" stroked="false">
              <v:imagedata r:id="rId11" o:title=""/>
            </v:shape>
            <v:rect style="position:absolute;left:1758;top:1053;width:8223;height:5828" filled="false" stroked="true" strokeweight="1.5pt" strokecolor="#000000">
              <v:stroke dashstyle="solid"/>
            </v:rect>
            <v:shape style="position:absolute;left:3679;top:3913;width:2331;height:470" coordorigin="3679,3913" coordsize="2331,470" path="m5300,3913l3679,3913,3679,4383,5300,4383,5300,4109,6010,4062,5300,3992,5300,3913xe" filled="true" fillcolor="#ffffff" stroked="false">
              <v:path arrowok="t"/>
              <v:fill type="solid"/>
            </v:shape>
            <v:shape style="position:absolute;left:3679;top:3913;width:2331;height:470" coordorigin="3679,3913" coordsize="2331,470" path="m3679,3913l4625,3913,5030,3913,5300,3913,5300,3992,6010,4062,5300,4109,5300,4383,5030,4383,4625,4383,3679,4383,3679,4109,3679,3992,3679,3913xe" filled="false" stroked="true" strokeweight=".75pt" strokecolor="#000000">
              <v:path arrowok="t"/>
              <v:stroke dashstyle="solid"/>
            </v:shape>
            <v:shape style="position:absolute;left:5978;top:3979;width:152;height:152" type="#_x0000_t75" stroked="false">
              <v:imagedata r:id="rId12" o:title=""/>
            </v:shape>
            <v:shape style="position:absolute;left:1770;top:5013;width:1861;height:1845" type="#_x0000_t75" stroked="false">
              <v:imagedata r:id="rId13" o:title=""/>
            </v:shape>
            <v:rect style="position:absolute;left:1765;top:5008;width:1871;height:1855" filled="false" stroked="true" strokeweight=".5pt" strokecolor="#000000">
              <v:stroke dashstyle="solid"/>
            </v:rect>
            <v:shape style="position:absolute;left:3860;top:4060;width:1280;height:180" type="#_x0000_t202" filled="false" stroked="false">
              <v:textbox inset="0,0,0,0">
                <w:txbxContent>
                  <w:p>
                    <w:pPr>
                      <w:spacing w:line="180" w:lineRule="exact" w:before="0"/>
                      <w:ind w:left="0" w:right="0" w:firstLine="0"/>
                      <w:jc w:val="left"/>
                      <w:rPr>
                        <w:sz w:val="18"/>
                      </w:rPr>
                    </w:pPr>
                    <w:r>
                      <w:rPr>
                        <w:sz w:val="18"/>
                      </w:rPr>
                      <w:t>本项目所在位置</w:t>
                    </w:r>
                  </w:p>
                </w:txbxContent>
              </v:textbox>
              <w10:wrap type="none"/>
            </v:shape>
            <w10:wrap type="none"/>
          </v:group>
        </w:pict>
      </w:r>
      <w:r>
        <w:rPr>
          <w:spacing w:val="-13"/>
        </w:rPr>
        <w:t>根据《绍兴市环境空气质量功能区划分图》，项目所在区域为二类功能区，执行《环</w:t>
      </w:r>
      <w:r>
        <w:rPr/>
        <w:t>境空气质量标准》（</w:t>
      </w:r>
      <w:r>
        <w:rPr>
          <w:rFonts w:ascii="Times New Roman" w:eastAsia="Times New Roman"/>
          <w:position w:val="1"/>
        </w:rPr>
        <w:t>GB 3095-2012</w:t>
      </w:r>
      <w:r>
        <w:rPr/>
        <w:t>）</w:t>
      </w:r>
      <w:r>
        <w:rPr>
          <w:spacing w:val="-6"/>
        </w:rPr>
        <w:t>中的二级标准。详见图 </w:t>
      </w:r>
      <w:r>
        <w:rPr>
          <w:rFonts w:ascii="Times New Roman" w:eastAsia="Times New Roman"/>
          <w:position w:val="1"/>
        </w:rPr>
        <w:t>2.2-2</w:t>
      </w:r>
      <w:r>
        <w:rPr/>
        <w:t>。</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2"/>
        <w:ind w:left="0"/>
        <w:rPr>
          <w:sz w:val="16"/>
        </w:rPr>
      </w:pPr>
    </w:p>
    <w:p>
      <w:pPr>
        <w:pStyle w:val="Heading3"/>
        <w:spacing w:before="76"/>
        <w:ind w:left="218" w:right="236"/>
        <w:jc w:val="center"/>
      </w:pPr>
      <w:r>
        <w:rPr/>
        <w:t>图 </w:t>
      </w:r>
      <w:r>
        <w:rPr>
          <w:rFonts w:ascii="Times New Roman" w:eastAsia="Times New Roman"/>
        </w:rPr>
        <w:t>2.2-2  </w:t>
      </w:r>
      <w:r>
        <w:rPr/>
        <w:t>环境空气功能区划分图</w:t>
      </w:r>
    </w:p>
    <w:p>
      <w:pPr>
        <w:spacing w:before="161"/>
        <w:ind w:left="719" w:right="0" w:firstLine="0"/>
        <w:jc w:val="left"/>
        <w:rPr>
          <w:b/>
          <w:sz w:val="24"/>
        </w:rPr>
      </w:pPr>
      <w:r>
        <w:rPr>
          <w:rFonts w:ascii="Times New Roman" w:eastAsia="Times New Roman"/>
          <w:b/>
          <w:sz w:val="24"/>
        </w:rPr>
        <w:t>3</w:t>
      </w:r>
      <w:r>
        <w:rPr>
          <w:b/>
          <w:sz w:val="24"/>
        </w:rPr>
        <w:t>、声环境功能区划</w:t>
      </w:r>
    </w:p>
    <w:p>
      <w:pPr>
        <w:pStyle w:val="BodyText"/>
        <w:spacing w:line="364" w:lineRule="auto" w:before="160"/>
        <w:ind w:right="252" w:firstLine="480"/>
        <w:jc w:val="both"/>
      </w:pPr>
      <w:r>
        <w:rPr/>
        <w:t>本项目位于绍兴市柯桥区柯岩街道丰项村，根据《关于印发绍兴市区声环境功能区</w:t>
      </w:r>
      <w:r>
        <w:rPr>
          <w:spacing w:val="-2"/>
        </w:rPr>
        <w:t>划分方案的通知》</w:t>
      </w:r>
      <w:r>
        <w:rPr/>
        <w:t>（</w:t>
      </w:r>
      <w:r>
        <w:rPr>
          <w:spacing w:val="-2"/>
        </w:rPr>
        <w:t>绍市环发</w:t>
      </w:r>
      <w:r>
        <w:rPr>
          <w:rFonts w:ascii="Times New Roman" w:hAnsi="Times New Roman" w:eastAsia="Times New Roman"/>
          <w:position w:val="1"/>
        </w:rPr>
        <w:t>[2020]3 </w:t>
      </w:r>
      <w:r>
        <w:rPr/>
        <w:t>号</w:t>
      </w:r>
      <w:r>
        <w:rPr>
          <w:spacing w:val="-8"/>
        </w:rPr>
        <w:t>）</w:t>
      </w:r>
      <w:r>
        <w:rPr>
          <w:spacing w:val="-3"/>
        </w:rPr>
        <w:t>，项目所在区域属于片区</w:t>
      </w:r>
      <w:r>
        <w:rPr>
          <w:rFonts w:ascii="Times New Roman" w:hAnsi="Times New Roman" w:eastAsia="Times New Roman"/>
          <w:position w:val="1"/>
        </w:rPr>
        <w:t>“</w:t>
      </w:r>
      <w:r>
        <w:rPr/>
        <w:t>规划杨绍线</w:t>
      </w:r>
      <w:r>
        <w:rPr>
          <w:rFonts w:ascii="Times New Roman" w:hAnsi="Times New Roman" w:eastAsia="Times New Roman"/>
          <w:position w:val="1"/>
        </w:rPr>
        <w:t>-</w:t>
      </w:r>
      <w:r>
        <w:rPr/>
        <w:t>东边界</w:t>
      </w:r>
      <w:r>
        <w:rPr>
          <w:rFonts w:ascii="Times New Roman" w:hAnsi="Times New Roman" w:eastAsia="Times New Roman"/>
          <w:spacing w:val="-12"/>
          <w:position w:val="1"/>
        </w:rPr>
        <w:t>- </w:t>
      </w:r>
      <w:r>
        <w:rPr/>
        <w:t>南边界</w:t>
      </w:r>
      <w:r>
        <w:rPr>
          <w:rFonts w:ascii="Times New Roman" w:hAnsi="Times New Roman" w:eastAsia="Times New Roman"/>
          <w:position w:val="1"/>
        </w:rPr>
        <w:t>-</w:t>
      </w:r>
      <w:r>
        <w:rPr/>
        <w:t>西边界</w:t>
      </w:r>
      <w:r>
        <w:rPr>
          <w:rFonts w:ascii="Times New Roman" w:hAnsi="Times New Roman" w:eastAsia="Times New Roman"/>
          <w:position w:val="1"/>
        </w:rPr>
        <w:t>-</w:t>
      </w:r>
      <w:r>
        <w:rPr/>
        <w:t>规划杨绍线（Ⅱ</w:t>
      </w:r>
      <w:r>
        <w:rPr>
          <w:rFonts w:ascii="Times New Roman" w:hAnsi="Times New Roman" w:eastAsia="Times New Roman"/>
          <w:position w:val="1"/>
        </w:rPr>
        <w:t>-1-4</w:t>
      </w:r>
      <w:r>
        <w:rPr/>
        <w:t>）</w:t>
      </w:r>
      <w:r>
        <w:rPr>
          <w:rFonts w:ascii="Times New Roman" w:hAnsi="Times New Roman" w:eastAsia="Times New Roman"/>
          <w:position w:val="1"/>
        </w:rPr>
        <w:t>”</w:t>
      </w:r>
      <w:r>
        <w:rPr>
          <w:spacing w:val="-13"/>
        </w:rPr>
        <w:t>，为 </w:t>
      </w:r>
      <w:r>
        <w:rPr>
          <w:rFonts w:ascii="Times New Roman" w:hAnsi="Times New Roman" w:eastAsia="Times New Roman"/>
          <w:position w:val="1"/>
        </w:rPr>
        <w:t>1 </w:t>
      </w:r>
      <w:r>
        <w:rPr>
          <w:spacing w:val="-4"/>
        </w:rPr>
        <w:t>类声环境功能区，详见图 </w:t>
      </w:r>
      <w:r>
        <w:rPr>
          <w:rFonts w:ascii="Times New Roman" w:hAnsi="Times New Roman" w:eastAsia="Times New Roman"/>
          <w:position w:val="1"/>
        </w:rPr>
        <w:t>2.2-3</w:t>
      </w:r>
      <w:r>
        <w:rPr>
          <w:spacing w:val="-3"/>
        </w:rPr>
        <w:t>。但是，根</w:t>
      </w:r>
      <w:r>
        <w:rPr/>
        <w:t>据《畜禽养殖产地环境评价规范》（</w:t>
      </w:r>
      <w:r>
        <w:rPr>
          <w:rFonts w:ascii="Times New Roman" w:hAnsi="Times New Roman" w:eastAsia="Times New Roman"/>
          <w:position w:val="1"/>
        </w:rPr>
        <w:t>HJ 568-2010</w:t>
      </w:r>
      <w:r>
        <w:rPr/>
        <w:t>）</w:t>
      </w:r>
      <w:r>
        <w:rPr>
          <w:spacing w:val="-1"/>
        </w:rPr>
        <w:t>的规定，畜禽养殖场声环境质量评价</w:t>
      </w:r>
      <w:r>
        <w:rPr>
          <w:spacing w:val="-2"/>
        </w:rPr>
        <w:t>指标限值应执行表 </w:t>
      </w:r>
      <w:r>
        <w:rPr>
          <w:rFonts w:ascii="Times New Roman" w:hAnsi="Times New Roman" w:eastAsia="Times New Roman"/>
          <w:position w:val="1"/>
        </w:rPr>
        <w:t>6 </w:t>
      </w:r>
      <w:r>
        <w:rPr>
          <w:spacing w:val="-1"/>
        </w:rPr>
        <w:t>中的规定，本项目实施后该区域功能将变更为畜禽养殖场，因此区</w:t>
      </w:r>
    </w:p>
    <w:p>
      <w:pPr>
        <w:spacing w:after="0" w:line="364" w:lineRule="auto"/>
        <w:jc w:val="both"/>
        <w:sectPr>
          <w:pgSz w:w="11910" w:h="16840"/>
          <w:pgMar w:header="874" w:footer="1004" w:top="1400" w:bottom="1200" w:left="1040" w:right="1160"/>
        </w:sectPr>
      </w:pPr>
    </w:p>
    <w:p>
      <w:pPr>
        <w:pStyle w:val="BodyText"/>
        <w:spacing w:before="121"/>
      </w:pPr>
      <w:r>
        <w:rPr/>
        <w:pict>
          <v:group style="position:absolute;margin-left:96.150002pt;margin-top:25.500008pt;width:396.35pt;height:280.6pt;mso-position-horizontal-relative:page;mso-position-vertical-relative:paragraph;z-index:-251639808;mso-wrap-distance-left:0;mso-wrap-distance-right:0" coordorigin="1923,510" coordsize="7927,5612">
            <v:shape style="position:absolute;left:1953;top:510;width:7897;height:5612" type="#_x0000_t75" stroked="false">
              <v:imagedata r:id="rId14" o:title=""/>
            </v:shape>
            <v:rect style="position:absolute;left:1938;top:525;width:7879;height:5578" filled="false" stroked="true" strokeweight="1.5pt" strokecolor="#000000">
              <v:stroke dashstyle="solid"/>
            </v:rect>
            <v:shape style="position:absolute;left:1954;top:4187;width:1300;height:1907" type="#_x0000_t75" stroked="false">
              <v:imagedata r:id="rId15" o:title=""/>
            </v:shape>
            <v:rect style="position:absolute;left:1949;top:4182;width:1310;height:1917" filled="false" stroked="true" strokeweight=".5pt" strokecolor="#000000">
              <v:stroke dashstyle="solid"/>
            </v:rect>
            <v:shape style="position:absolute;left:3506;top:3568;width:2331;height:470" coordorigin="3506,3568" coordsize="2331,470" path="m5127,3568l3506,3568,3506,4038,5127,4038,5127,3764,5837,3717,5127,3646,5127,3568xe" filled="true" fillcolor="#ffffff" stroked="false">
              <v:path arrowok="t"/>
              <v:fill type="solid"/>
            </v:shape>
            <v:shape style="position:absolute;left:3506;top:3568;width:2331;height:470" coordorigin="3506,3568" coordsize="2331,470" path="m3506,3568l4452,3568,4857,3568,5127,3568,5127,3646,5837,3717,5127,3764,5127,4038,4857,4038,4452,4038,3506,4038,3506,3764,3506,3646,3506,3568xe" filled="false" stroked="true" strokeweight=".75pt" strokecolor="#000000">
              <v:path arrowok="t"/>
              <v:stroke dashstyle="solid"/>
            </v:shape>
            <v:shape style="position:absolute;left:5805;top:3622;width:152;height:152" type="#_x0000_t75" stroked="false">
              <v:imagedata r:id="rId10" o:title=""/>
            </v:shape>
            <v:shape style="position:absolute;left:3687;top:3713;width:1280;height:180" type="#_x0000_t202" filled="false" stroked="false">
              <v:textbox inset="0,0,0,0">
                <w:txbxContent>
                  <w:p>
                    <w:pPr>
                      <w:spacing w:line="180" w:lineRule="exact" w:before="0"/>
                      <w:ind w:left="0" w:right="0" w:firstLine="0"/>
                      <w:jc w:val="left"/>
                      <w:rPr>
                        <w:sz w:val="18"/>
                      </w:rPr>
                    </w:pPr>
                    <w:r>
                      <w:rPr>
                        <w:sz w:val="18"/>
                      </w:rPr>
                      <w:t>本项目所在位置</w:t>
                    </w:r>
                  </w:p>
                </w:txbxContent>
              </v:textbox>
              <w10:wrap type="none"/>
            </v:shape>
            <w10:wrap type="topAndBottom"/>
          </v:group>
        </w:pict>
      </w:r>
      <w:r>
        <w:rPr/>
        <w:t>域噪声应执行 </w:t>
      </w:r>
      <w:r>
        <w:rPr>
          <w:rFonts w:ascii="Times New Roman" w:eastAsia="Times New Roman"/>
          <w:position w:val="1"/>
        </w:rPr>
        <w:t>HJ 568-2010 </w:t>
      </w:r>
      <w:r>
        <w:rPr/>
        <w:t>中的规定（即昼间 </w:t>
      </w:r>
      <w:r>
        <w:rPr>
          <w:rFonts w:ascii="Times New Roman" w:eastAsia="Times New Roman"/>
          <w:position w:val="1"/>
        </w:rPr>
        <w:t>60dB(A)</w:t>
      </w:r>
      <w:r>
        <w:rPr/>
        <w:t>、夜间 </w:t>
      </w:r>
      <w:r>
        <w:rPr>
          <w:rFonts w:ascii="Times New Roman" w:eastAsia="Times New Roman"/>
          <w:position w:val="1"/>
        </w:rPr>
        <w:t>50dB(A)</w:t>
      </w:r>
      <w:r>
        <w:rPr/>
        <w:t>）。</w:t>
      </w:r>
    </w:p>
    <w:p>
      <w:pPr>
        <w:pStyle w:val="Heading3"/>
        <w:spacing w:line="307" w:lineRule="exact" w:before="0"/>
        <w:ind w:left="2092"/>
      </w:pPr>
      <w:r>
        <w:rPr/>
        <w:t>图 </w:t>
      </w:r>
      <w:r>
        <w:rPr>
          <w:rFonts w:ascii="Times New Roman" w:hAnsi="Times New Roman" w:eastAsia="Times New Roman"/>
        </w:rPr>
        <w:t>2.2-3  </w:t>
      </w:r>
      <w:r>
        <w:rPr/>
        <w:t>项目所在地</w:t>
      </w:r>
      <w:r>
        <w:rPr>
          <w:rFonts w:ascii="Times New Roman" w:hAnsi="Times New Roman" w:eastAsia="Times New Roman"/>
        </w:rPr>
        <w:t>“</w:t>
      </w:r>
      <w:r>
        <w:rPr/>
        <w:t>三线一单</w:t>
      </w:r>
      <w:r>
        <w:rPr>
          <w:rFonts w:ascii="Times New Roman" w:hAnsi="Times New Roman" w:eastAsia="Times New Roman"/>
        </w:rPr>
        <w:t>”</w:t>
      </w:r>
      <w:r>
        <w:rPr/>
        <w:t>环境管控单元分类图</w:t>
      </w:r>
    </w:p>
    <w:p>
      <w:pPr>
        <w:spacing w:before="105"/>
        <w:ind w:left="719" w:right="0" w:firstLine="0"/>
        <w:jc w:val="left"/>
        <w:rPr>
          <w:b/>
          <w:sz w:val="24"/>
        </w:rPr>
      </w:pPr>
      <w:r>
        <w:rPr>
          <w:rFonts w:ascii="Times New Roman" w:hAnsi="Times New Roman" w:eastAsia="Times New Roman"/>
          <w:b/>
          <w:sz w:val="24"/>
        </w:rPr>
        <w:t>4</w:t>
      </w:r>
      <w:r>
        <w:rPr>
          <w:b/>
          <w:sz w:val="24"/>
        </w:rPr>
        <w:t>、</w:t>
      </w:r>
      <w:r>
        <w:rPr>
          <w:rFonts w:ascii="Times New Roman" w:hAnsi="Times New Roman" w:eastAsia="Times New Roman"/>
          <w:b/>
          <w:sz w:val="24"/>
        </w:rPr>
        <w:t>“</w:t>
      </w:r>
      <w:r>
        <w:rPr>
          <w:b/>
          <w:sz w:val="24"/>
        </w:rPr>
        <w:t>三线一单</w:t>
      </w:r>
      <w:r>
        <w:rPr>
          <w:rFonts w:ascii="Times New Roman" w:hAnsi="Times New Roman" w:eastAsia="Times New Roman"/>
          <w:b/>
          <w:sz w:val="24"/>
        </w:rPr>
        <w:t>”</w:t>
      </w:r>
      <w:r>
        <w:rPr>
          <w:b/>
          <w:sz w:val="24"/>
        </w:rPr>
        <w:t>生态环境分区管控方案</w:t>
      </w:r>
    </w:p>
    <w:p>
      <w:pPr>
        <w:pStyle w:val="BodyText"/>
        <w:spacing w:line="364" w:lineRule="auto" w:before="161"/>
        <w:ind w:right="254" w:firstLine="480"/>
      </w:pPr>
      <w:r>
        <w:rPr/>
        <w:pict>
          <v:group style="position:absolute;margin-left:97.650002pt;margin-top:52.402008pt;width:392.25pt;height:278.25pt;mso-position-horizontal-relative:page;mso-position-vertical-relative:paragraph;z-index:-315579392" coordorigin="1953,1048" coordsize="7845,5565">
            <v:shape style="position:absolute;left:1983;top:1078;width:7785;height:5505" type="#_x0000_t75" stroked="false">
              <v:imagedata r:id="rId16" o:title=""/>
            </v:shape>
            <v:rect style="position:absolute;left:1968;top:1063;width:7815;height:5535" filled="false" stroked="true" strokeweight="1.5pt" strokecolor="#000000">
              <v:stroke dashstyle="solid"/>
            </v:rect>
            <v:shape style="position:absolute;left:1987;top:4668;width:1714;height:1909" type="#_x0000_t75" stroked="false">
              <v:imagedata r:id="rId17" o:title=""/>
            </v:shape>
            <v:rect style="position:absolute;left:1982;top:4663;width:1724;height:1919" filled="false" stroked="true" strokeweight=".5pt" strokecolor="#000000">
              <v:stroke dashstyle="solid"/>
            </v:rect>
            <v:shape style="position:absolute;left:3420;top:3382;width:2359;height:470" coordorigin="3420,3382" coordsize="2359,470" path="m5041,3382l3420,3382,3420,3852,5041,3852,5041,3578,5779,3507,5041,3460,5041,3382xe" filled="true" fillcolor="#ffffff" stroked="false">
              <v:path arrowok="t"/>
              <v:fill type="solid"/>
            </v:shape>
            <v:shape style="position:absolute;left:3420;top:3382;width:2359;height:470" coordorigin="3420,3382" coordsize="2359,470" path="m3420,3382l4366,3382,4771,3382,5041,3382,5041,3460,5779,3507,5041,3578,5041,3852,4771,3852,4366,3852,3420,3852,3420,3578,3420,3460,3420,3382xe" filled="false" stroked="true" strokeweight=".75pt" strokecolor="#000000">
              <v:path arrowok="t"/>
              <v:stroke dashstyle="solid"/>
            </v:shape>
            <v:shape style="position:absolute;left:5694;top:3373;width:266;height:266" type="#_x0000_t75" stroked="false">
              <v:imagedata r:id="rId18" o:title=""/>
            </v:shape>
            <v:shape style="position:absolute;left:3420;top:3382;width:1621;height:470" type="#_x0000_t202" filled="false" stroked="true" strokeweight=".75pt" strokecolor="#000000">
              <v:textbox inset="0,0,0,0">
                <w:txbxContent>
                  <w:p>
                    <w:pPr>
                      <w:spacing w:before="114"/>
                      <w:ind w:left="173" w:right="0" w:firstLine="0"/>
                      <w:jc w:val="left"/>
                      <w:rPr>
                        <w:sz w:val="18"/>
                      </w:rPr>
                    </w:pPr>
                    <w:r>
                      <w:rPr>
                        <w:sz w:val="18"/>
                      </w:rPr>
                      <w:t>本项目所在位置</w:t>
                    </w:r>
                  </w:p>
                </w:txbxContent>
              </v:textbox>
              <v:stroke dashstyle="solid"/>
              <w10:wrap type="none"/>
            </v:shape>
            <w10:wrap type="none"/>
          </v:group>
        </w:pict>
      </w:r>
      <w:r>
        <w:rPr/>
        <w:t>根据《绍兴市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生态环境分区管控方案》（</w:t>
      </w:r>
      <w:r>
        <w:rPr>
          <w:rFonts w:ascii="Times New Roman" w:hAnsi="Times New Roman" w:eastAsia="Times New Roman"/>
          <w:position w:val="1"/>
        </w:rPr>
        <w:t>2020 </w:t>
      </w:r>
      <w:r>
        <w:rPr/>
        <w:t>年 </w:t>
      </w:r>
      <w:r>
        <w:rPr>
          <w:rFonts w:ascii="Times New Roman" w:hAnsi="Times New Roman" w:eastAsia="Times New Roman"/>
          <w:position w:val="1"/>
        </w:rPr>
        <w:t>8 </w:t>
      </w:r>
      <w:r>
        <w:rPr/>
        <w:t>月），本项目拟建址位于</w:t>
      </w:r>
      <w:r>
        <w:rPr>
          <w:rFonts w:ascii="Times New Roman" w:hAnsi="Times New Roman" w:eastAsia="Times New Roman"/>
          <w:position w:val="1"/>
        </w:rPr>
        <w:t>“</w:t>
      </w:r>
      <w:r>
        <w:rPr/>
        <w:t>柯桥区一般管控单元（</w:t>
      </w:r>
      <w:r>
        <w:rPr>
          <w:rFonts w:ascii="Times New Roman" w:hAnsi="Times New Roman" w:eastAsia="Times New Roman"/>
          <w:position w:val="1"/>
        </w:rPr>
        <w:t>ZH33060330001</w:t>
      </w:r>
      <w:r>
        <w:rPr/>
        <w:t>）</w:t>
      </w:r>
      <w:r>
        <w:rPr>
          <w:rFonts w:ascii="Times New Roman" w:hAnsi="Times New Roman" w:eastAsia="Times New Roman"/>
          <w:position w:val="1"/>
        </w:rPr>
        <w:t>”</w:t>
      </w:r>
      <w:r>
        <w:rPr/>
        <w:t>内，详见图 </w:t>
      </w:r>
      <w:r>
        <w:rPr>
          <w:rFonts w:ascii="Times New Roman" w:hAnsi="Times New Roman" w:eastAsia="Times New Roman"/>
          <w:position w:val="1"/>
        </w:rPr>
        <w:t>2.2-4</w:t>
      </w:r>
      <w:r>
        <w:rPr/>
        <w:t>。</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6"/>
        <w:ind w:left="0"/>
        <w:rPr>
          <w:sz w:val="22"/>
        </w:rPr>
      </w:pPr>
    </w:p>
    <w:p>
      <w:pPr>
        <w:pStyle w:val="Heading3"/>
        <w:spacing w:before="0"/>
        <w:ind w:left="2092"/>
      </w:pPr>
      <w:r>
        <w:rPr/>
        <w:t>图 </w:t>
      </w:r>
      <w:r>
        <w:rPr>
          <w:rFonts w:ascii="Times New Roman" w:hAnsi="Times New Roman" w:eastAsia="Times New Roman"/>
        </w:rPr>
        <w:t>2.2-4  </w:t>
      </w:r>
      <w:r>
        <w:rPr/>
        <w:t>项目所在地</w:t>
      </w:r>
      <w:r>
        <w:rPr>
          <w:rFonts w:ascii="Times New Roman" w:hAnsi="Times New Roman" w:eastAsia="Times New Roman"/>
        </w:rPr>
        <w:t>“</w:t>
      </w:r>
      <w:r>
        <w:rPr/>
        <w:t>三线一单</w:t>
      </w:r>
      <w:r>
        <w:rPr>
          <w:rFonts w:ascii="Times New Roman" w:hAnsi="Times New Roman" w:eastAsia="Times New Roman"/>
        </w:rPr>
        <w:t>”</w:t>
      </w:r>
      <w:r>
        <w:rPr/>
        <w:t>环境管控单元分类图</w:t>
      </w:r>
    </w:p>
    <w:p>
      <w:pPr>
        <w:spacing w:after="0"/>
        <w:sectPr>
          <w:pgSz w:w="11910" w:h="16840"/>
          <w:pgMar w:header="874" w:footer="1004" w:top="1400" w:bottom="1200" w:left="1040" w:right="1160"/>
        </w:sectPr>
      </w:pPr>
    </w:p>
    <w:p>
      <w:pPr>
        <w:pStyle w:val="BodyText"/>
        <w:spacing w:before="12"/>
        <w:ind w:left="0"/>
        <w:rPr>
          <w:b/>
          <w:sz w:val="7"/>
        </w:rPr>
      </w:pPr>
    </w:p>
    <w:p>
      <w:pPr>
        <w:pStyle w:val="ListParagraph"/>
        <w:numPr>
          <w:ilvl w:val="1"/>
          <w:numId w:val="12"/>
        </w:numPr>
        <w:tabs>
          <w:tab w:pos="730" w:val="left" w:leader="none"/>
        </w:tabs>
        <w:spacing w:line="240" w:lineRule="auto" w:before="71" w:after="0"/>
        <w:ind w:left="729" w:right="0" w:hanging="493"/>
        <w:jc w:val="left"/>
        <w:rPr>
          <w:rFonts w:ascii="Times New Roman" w:eastAsia="Times New Roman"/>
          <w:b/>
          <w:sz w:val="28"/>
        </w:rPr>
      </w:pPr>
      <w:bookmarkStart w:name="_bookmark24" w:id="47"/>
      <w:bookmarkEnd w:id="47"/>
      <w:r>
        <w:rPr/>
      </w:r>
      <w:bookmarkStart w:name="_bookmark24" w:id="48"/>
      <w:bookmarkEnd w:id="48"/>
      <w:r>
        <w:rPr>
          <w:b/>
          <w:sz w:val="28"/>
        </w:rPr>
        <w:t>评价标准</w:t>
      </w:r>
    </w:p>
    <w:p>
      <w:pPr>
        <w:pStyle w:val="ListParagraph"/>
        <w:numPr>
          <w:ilvl w:val="2"/>
          <w:numId w:val="12"/>
        </w:numPr>
        <w:tabs>
          <w:tab w:pos="838" w:val="left" w:leader="none"/>
        </w:tabs>
        <w:spacing w:line="240" w:lineRule="auto" w:before="214" w:after="0"/>
        <w:ind w:left="837" w:right="0" w:hanging="601"/>
        <w:jc w:val="left"/>
        <w:rPr>
          <w:b/>
          <w:sz w:val="24"/>
        </w:rPr>
      </w:pPr>
      <w:bookmarkStart w:name="_bookmark25" w:id="49"/>
      <w:bookmarkEnd w:id="49"/>
      <w:r>
        <w:rPr/>
      </w:r>
      <w:bookmarkStart w:name="_bookmark25" w:id="50"/>
      <w:bookmarkEnd w:id="50"/>
      <w:r>
        <w:rPr>
          <w:b/>
          <w:sz w:val="24"/>
        </w:rPr>
        <w:t>环境质量标准</w:t>
      </w:r>
    </w:p>
    <w:p>
      <w:pPr>
        <w:spacing w:before="160"/>
        <w:ind w:left="719" w:right="0" w:firstLine="0"/>
        <w:jc w:val="left"/>
        <w:rPr>
          <w:b/>
          <w:sz w:val="24"/>
        </w:rPr>
      </w:pPr>
      <w:r>
        <w:rPr>
          <w:rFonts w:ascii="Times New Roman" w:eastAsia="Times New Roman"/>
          <w:b/>
          <w:sz w:val="24"/>
        </w:rPr>
        <w:t>1</w:t>
      </w:r>
      <w:r>
        <w:rPr>
          <w:b/>
          <w:sz w:val="24"/>
        </w:rPr>
        <w:t>、地表水环境质量标准</w:t>
      </w:r>
    </w:p>
    <w:p>
      <w:pPr>
        <w:pStyle w:val="BodyText"/>
        <w:spacing w:line="364" w:lineRule="auto" w:before="161"/>
        <w:ind w:right="252" w:firstLine="480"/>
      </w:pPr>
      <w:r>
        <w:rPr/>
        <w:t>项目前述分析，项目周边项里溪及项里溪支流主要功能为农业用水区，其地表水水质应执行《地表水环境质量标准》（</w:t>
      </w:r>
      <w:r>
        <w:rPr>
          <w:rFonts w:ascii="Times New Roman" w:hAnsi="Times New Roman" w:eastAsia="Times New Roman"/>
          <w:position w:val="1"/>
        </w:rPr>
        <w:t>GB 3838-2002</w:t>
      </w:r>
      <w:r>
        <w:rPr/>
        <w:t>）中的Ⅲ类标准。</w:t>
      </w:r>
    </w:p>
    <w:p>
      <w:pPr>
        <w:pStyle w:val="BodyText"/>
        <w:spacing w:before="1"/>
        <w:ind w:left="717"/>
      </w:pPr>
      <w:r>
        <w:rPr/>
        <w:t>有关标准限值详见表 </w:t>
      </w:r>
      <w:r>
        <w:rPr>
          <w:rFonts w:ascii="Times New Roman" w:eastAsia="Times New Roman"/>
          <w:position w:val="1"/>
        </w:rPr>
        <w:t>2.3-1</w:t>
      </w:r>
      <w:r>
        <w:rPr/>
        <w:t>。</w:t>
      </w:r>
    </w:p>
    <w:p>
      <w:pPr>
        <w:pStyle w:val="Heading3"/>
        <w:spacing w:before="160"/>
        <w:ind w:left="223" w:right="236"/>
        <w:jc w:val="center"/>
        <w:rPr>
          <w:rFonts w:ascii="Times New Roman" w:eastAsia="Times New Roman"/>
        </w:rPr>
      </w:pPr>
      <w:r>
        <w:rPr/>
        <w:t>表 </w:t>
      </w:r>
      <w:r>
        <w:rPr>
          <w:rFonts w:ascii="Times New Roman" w:eastAsia="Times New Roman"/>
        </w:rPr>
        <w:t>2.3-1  </w:t>
      </w:r>
      <w:r>
        <w:rPr/>
        <w:t>地表水环境质量标准 单位：除 </w:t>
      </w:r>
      <w:r>
        <w:rPr>
          <w:rFonts w:ascii="Times New Roman" w:eastAsia="Times New Roman"/>
        </w:rPr>
        <w:t>pH </w:t>
      </w:r>
      <w:r>
        <w:rPr/>
        <w:t>外均为 </w:t>
      </w:r>
      <w:r>
        <w:rPr>
          <w:rFonts w:ascii="Times New Roman" w:eastAsia="Times New Roman"/>
        </w:rPr>
        <w:t>mg/L</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45"/>
        <w:gridCol w:w="2019"/>
        <w:gridCol w:w="2208"/>
        <w:gridCol w:w="1089"/>
        <w:gridCol w:w="1090"/>
        <w:gridCol w:w="1089"/>
        <w:gridCol w:w="1089"/>
      </w:tblGrid>
      <w:tr>
        <w:trPr>
          <w:trHeight w:val="359" w:hRule="atLeast"/>
        </w:trPr>
        <w:tc>
          <w:tcPr>
            <w:tcW w:w="845" w:type="dxa"/>
            <w:tcBorders>
              <w:bottom w:val="single" w:sz="6" w:space="0" w:color="000000"/>
              <w:right w:val="single" w:sz="6" w:space="0" w:color="000000"/>
            </w:tcBorders>
          </w:tcPr>
          <w:p>
            <w:pPr>
              <w:pStyle w:val="TableParagraph"/>
              <w:spacing w:before="47"/>
              <w:ind w:left="190" w:right="169"/>
              <w:rPr>
                <w:rFonts w:ascii="宋体" w:eastAsia="宋体" w:hint="eastAsia"/>
                <w:b/>
                <w:sz w:val="21"/>
              </w:rPr>
            </w:pPr>
            <w:r>
              <w:rPr>
                <w:rFonts w:ascii="宋体" w:eastAsia="宋体" w:hint="eastAsia"/>
                <w:b/>
                <w:sz w:val="21"/>
              </w:rPr>
              <w:t>序号</w:t>
            </w:r>
          </w:p>
        </w:tc>
        <w:tc>
          <w:tcPr>
            <w:tcW w:w="2019" w:type="dxa"/>
            <w:tcBorders>
              <w:left w:val="single" w:sz="6" w:space="0" w:color="000000"/>
              <w:bottom w:val="single" w:sz="6" w:space="0" w:color="000000"/>
              <w:right w:val="single" w:sz="6" w:space="0" w:color="000000"/>
            </w:tcBorders>
          </w:tcPr>
          <w:p>
            <w:pPr>
              <w:pStyle w:val="TableParagraph"/>
              <w:spacing w:before="47"/>
              <w:ind w:left="342" w:right="312"/>
              <w:rPr>
                <w:rFonts w:ascii="宋体" w:eastAsia="宋体" w:hint="eastAsia"/>
                <w:b/>
                <w:sz w:val="21"/>
              </w:rPr>
            </w:pPr>
            <w:r>
              <w:rPr>
                <w:rFonts w:ascii="宋体" w:eastAsia="宋体" w:hint="eastAsia"/>
                <w:b/>
                <w:sz w:val="21"/>
              </w:rPr>
              <w:t>指标名称</w:t>
            </w:r>
          </w:p>
        </w:tc>
        <w:tc>
          <w:tcPr>
            <w:tcW w:w="2208" w:type="dxa"/>
            <w:tcBorders>
              <w:left w:val="single" w:sz="6" w:space="0" w:color="000000"/>
              <w:bottom w:val="single" w:sz="6" w:space="0" w:color="000000"/>
              <w:right w:val="single" w:sz="6" w:space="0" w:color="000000"/>
            </w:tcBorders>
          </w:tcPr>
          <w:p>
            <w:pPr>
              <w:pStyle w:val="TableParagraph"/>
              <w:spacing w:before="47"/>
              <w:ind w:left="114" w:right="86"/>
              <w:rPr>
                <w:rFonts w:ascii="宋体" w:hAnsi="宋体" w:eastAsia="宋体" w:hint="eastAsia"/>
                <w:b/>
                <w:sz w:val="21"/>
              </w:rPr>
            </w:pPr>
            <w:r>
              <w:rPr>
                <w:rFonts w:ascii="宋体" w:hAnsi="宋体" w:eastAsia="宋体" w:hint="eastAsia"/>
                <w:b/>
                <w:sz w:val="21"/>
              </w:rPr>
              <w:t>Ⅰ类</w:t>
            </w:r>
          </w:p>
        </w:tc>
        <w:tc>
          <w:tcPr>
            <w:tcW w:w="1089" w:type="dxa"/>
            <w:tcBorders>
              <w:left w:val="single" w:sz="6" w:space="0" w:color="000000"/>
              <w:bottom w:val="single" w:sz="6" w:space="0" w:color="000000"/>
              <w:right w:val="single" w:sz="6" w:space="0" w:color="000000"/>
            </w:tcBorders>
          </w:tcPr>
          <w:p>
            <w:pPr>
              <w:pStyle w:val="TableParagraph"/>
              <w:spacing w:before="47"/>
              <w:ind w:left="94" w:right="70"/>
              <w:rPr>
                <w:rFonts w:ascii="宋体" w:hAnsi="宋体" w:eastAsia="宋体" w:hint="eastAsia"/>
                <w:b/>
                <w:sz w:val="21"/>
              </w:rPr>
            </w:pPr>
            <w:r>
              <w:rPr>
                <w:rFonts w:ascii="宋体" w:hAnsi="宋体" w:eastAsia="宋体" w:hint="eastAsia"/>
                <w:b/>
                <w:sz w:val="21"/>
              </w:rPr>
              <w:t>Ⅱ类</w:t>
            </w:r>
          </w:p>
        </w:tc>
        <w:tc>
          <w:tcPr>
            <w:tcW w:w="1090" w:type="dxa"/>
            <w:tcBorders>
              <w:left w:val="single" w:sz="6" w:space="0" w:color="000000"/>
              <w:bottom w:val="single" w:sz="6" w:space="0" w:color="000000"/>
              <w:right w:val="single" w:sz="6" w:space="0" w:color="000000"/>
            </w:tcBorders>
          </w:tcPr>
          <w:p>
            <w:pPr>
              <w:pStyle w:val="TableParagraph"/>
              <w:spacing w:before="47"/>
              <w:ind w:left="235" w:right="209"/>
              <w:rPr>
                <w:rFonts w:ascii="宋体" w:hAnsi="宋体" w:eastAsia="宋体" w:hint="eastAsia"/>
                <w:b/>
                <w:sz w:val="21"/>
              </w:rPr>
            </w:pPr>
            <w:r>
              <w:rPr>
                <w:rFonts w:ascii="宋体" w:hAnsi="宋体" w:eastAsia="宋体" w:hint="eastAsia"/>
                <w:b/>
                <w:sz w:val="21"/>
              </w:rPr>
              <w:t>Ⅲ类</w:t>
            </w:r>
          </w:p>
        </w:tc>
        <w:tc>
          <w:tcPr>
            <w:tcW w:w="1089" w:type="dxa"/>
            <w:tcBorders>
              <w:left w:val="single" w:sz="6" w:space="0" w:color="000000"/>
              <w:bottom w:val="single" w:sz="6" w:space="0" w:color="000000"/>
              <w:right w:val="single" w:sz="6" w:space="0" w:color="000000"/>
            </w:tcBorders>
          </w:tcPr>
          <w:p>
            <w:pPr>
              <w:pStyle w:val="TableParagraph"/>
              <w:spacing w:before="47"/>
              <w:ind w:left="101" w:right="70"/>
              <w:rPr>
                <w:rFonts w:ascii="宋体" w:hAnsi="宋体" w:eastAsia="宋体" w:hint="eastAsia"/>
                <w:b/>
                <w:sz w:val="21"/>
              </w:rPr>
            </w:pPr>
            <w:r>
              <w:rPr>
                <w:rFonts w:ascii="宋体" w:hAnsi="宋体" w:eastAsia="宋体" w:hint="eastAsia"/>
                <w:b/>
                <w:sz w:val="21"/>
              </w:rPr>
              <w:t>Ⅳ类</w:t>
            </w:r>
          </w:p>
        </w:tc>
        <w:tc>
          <w:tcPr>
            <w:tcW w:w="1089" w:type="dxa"/>
            <w:tcBorders>
              <w:left w:val="single" w:sz="6" w:space="0" w:color="000000"/>
              <w:bottom w:val="single" w:sz="6" w:space="0" w:color="000000"/>
            </w:tcBorders>
          </w:tcPr>
          <w:p>
            <w:pPr>
              <w:pStyle w:val="TableParagraph"/>
              <w:spacing w:before="47"/>
              <w:ind w:left="322" w:right="282"/>
              <w:rPr>
                <w:rFonts w:ascii="宋体" w:hAnsi="宋体" w:eastAsia="宋体" w:hint="eastAsia"/>
                <w:b/>
                <w:sz w:val="21"/>
              </w:rPr>
            </w:pPr>
            <w:r>
              <w:rPr>
                <w:rFonts w:ascii="宋体" w:hAnsi="宋体" w:eastAsia="宋体" w:hint="eastAsia"/>
                <w:b/>
                <w:sz w:val="21"/>
              </w:rPr>
              <w:t>Ⅴ类</w:t>
            </w:r>
          </w:p>
        </w:tc>
      </w:tr>
      <w:tr>
        <w:trPr>
          <w:trHeight w:val="359" w:hRule="atLeast"/>
        </w:trPr>
        <w:tc>
          <w:tcPr>
            <w:tcW w:w="845"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1</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before="46"/>
              <w:ind w:left="342" w:right="315"/>
              <w:rPr>
                <w:rFonts w:ascii="宋体" w:eastAsia="宋体" w:hint="eastAsia"/>
                <w:sz w:val="21"/>
              </w:rPr>
            </w:pPr>
            <w:r>
              <w:rPr>
                <w:position w:val="1"/>
                <w:sz w:val="21"/>
              </w:rPr>
              <w:t>pH</w:t>
            </w:r>
            <w:r>
              <w:rPr>
                <w:rFonts w:ascii="宋体" w:eastAsia="宋体" w:hint="eastAsia"/>
                <w:sz w:val="21"/>
              </w:rPr>
              <w:t>（无量纲）</w:t>
            </w:r>
          </w:p>
        </w:tc>
        <w:tc>
          <w:tcPr>
            <w:tcW w:w="6565" w:type="dxa"/>
            <w:gridSpan w:val="5"/>
            <w:tcBorders>
              <w:top w:val="single" w:sz="6" w:space="0" w:color="000000"/>
              <w:left w:val="single" w:sz="6" w:space="0" w:color="000000"/>
              <w:bottom w:val="single" w:sz="6" w:space="0" w:color="000000"/>
            </w:tcBorders>
          </w:tcPr>
          <w:p>
            <w:pPr>
              <w:pStyle w:val="TableParagraph"/>
              <w:ind w:left="3107" w:right="3070"/>
              <w:rPr>
                <w:sz w:val="21"/>
              </w:rPr>
            </w:pPr>
            <w:r>
              <w:rPr>
                <w:sz w:val="21"/>
              </w:rPr>
              <w:t>6~9</w:t>
            </w:r>
          </w:p>
        </w:tc>
      </w:tr>
      <w:tr>
        <w:trPr>
          <w:trHeight w:val="357" w:hRule="atLeast"/>
        </w:trPr>
        <w:tc>
          <w:tcPr>
            <w:tcW w:w="845"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2</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ind w:left="340" w:right="315"/>
              <w:rPr>
                <w:sz w:val="21"/>
              </w:rPr>
            </w:pPr>
            <w:r>
              <w:rPr>
                <w:sz w:val="21"/>
              </w:rPr>
              <w:t>DO</w:t>
            </w:r>
          </w:p>
        </w:tc>
        <w:tc>
          <w:tcPr>
            <w:tcW w:w="2208" w:type="dxa"/>
            <w:tcBorders>
              <w:top w:val="single" w:sz="6" w:space="0" w:color="000000"/>
              <w:left w:val="single" w:sz="6" w:space="0" w:color="000000"/>
              <w:bottom w:val="single" w:sz="6" w:space="0" w:color="000000"/>
              <w:right w:val="single" w:sz="6" w:space="0" w:color="000000"/>
            </w:tcBorders>
          </w:tcPr>
          <w:p>
            <w:pPr>
              <w:pStyle w:val="TableParagraph"/>
              <w:spacing w:before="46"/>
              <w:ind w:left="114" w:right="-29"/>
              <w:rPr>
                <w:rFonts w:ascii="宋体" w:hAnsi="宋体" w:eastAsia="宋体" w:hint="eastAsia"/>
                <w:sz w:val="21"/>
              </w:rPr>
            </w:pPr>
            <w:r>
              <w:rPr>
                <w:position w:val="1"/>
                <w:sz w:val="21"/>
              </w:rPr>
              <w:t>≥</w:t>
            </w:r>
            <w:r>
              <w:rPr>
                <w:rFonts w:ascii="宋体" w:hAnsi="宋体" w:eastAsia="宋体" w:hint="eastAsia"/>
                <w:spacing w:val="-14"/>
                <w:sz w:val="21"/>
              </w:rPr>
              <w:t>饱和率 </w:t>
            </w:r>
            <w:r>
              <w:rPr>
                <w:spacing w:val="-9"/>
                <w:position w:val="1"/>
                <w:sz w:val="21"/>
              </w:rPr>
              <w:t>90%</w:t>
            </w:r>
            <w:r>
              <w:rPr>
                <w:rFonts w:ascii="宋体" w:hAnsi="宋体" w:eastAsia="宋体" w:hint="eastAsia"/>
                <w:spacing w:val="-9"/>
                <w:sz w:val="21"/>
              </w:rPr>
              <w:t>（</w:t>
            </w:r>
            <w:r>
              <w:rPr>
                <w:rFonts w:ascii="宋体" w:hAnsi="宋体" w:eastAsia="宋体" w:hint="eastAsia"/>
                <w:spacing w:val="-25"/>
                <w:sz w:val="21"/>
              </w:rPr>
              <w:t>或 </w:t>
            </w:r>
            <w:r>
              <w:rPr>
                <w:position w:val="1"/>
                <w:sz w:val="21"/>
              </w:rPr>
              <w:t>7.5</w:t>
            </w:r>
            <w:r>
              <w:rPr>
                <w:rFonts w:ascii="宋体" w:hAnsi="宋体" w:eastAsia="宋体" w:hint="eastAsia"/>
                <w:sz w:val="21"/>
              </w:rPr>
              <w:t>）</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94" w:right="70"/>
              <w:rPr>
                <w:sz w:val="21"/>
              </w:rPr>
            </w:pPr>
            <w:r>
              <w:rPr>
                <w:sz w:val="21"/>
              </w:rPr>
              <w:t>≥6</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ind w:left="235" w:right="210"/>
              <w:rPr>
                <w:sz w:val="21"/>
              </w:rPr>
            </w:pPr>
            <w:r>
              <w:rPr>
                <w:sz w:val="21"/>
              </w:rPr>
              <w:t>≥5</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100" w:right="70"/>
              <w:rPr>
                <w:sz w:val="21"/>
              </w:rPr>
            </w:pPr>
            <w:r>
              <w:rPr>
                <w:sz w:val="21"/>
              </w:rPr>
              <w:t>≥3</w:t>
            </w:r>
          </w:p>
        </w:tc>
        <w:tc>
          <w:tcPr>
            <w:tcW w:w="1089" w:type="dxa"/>
            <w:tcBorders>
              <w:top w:val="single" w:sz="6" w:space="0" w:color="000000"/>
              <w:left w:val="single" w:sz="6" w:space="0" w:color="000000"/>
              <w:bottom w:val="single" w:sz="6" w:space="0" w:color="000000"/>
            </w:tcBorders>
          </w:tcPr>
          <w:p>
            <w:pPr>
              <w:pStyle w:val="TableParagraph"/>
              <w:ind w:left="322" w:right="282"/>
              <w:rPr>
                <w:sz w:val="21"/>
              </w:rPr>
            </w:pPr>
            <w:r>
              <w:rPr>
                <w:sz w:val="21"/>
              </w:rPr>
              <w:t>≥2</w:t>
            </w:r>
          </w:p>
        </w:tc>
      </w:tr>
      <w:tr>
        <w:trPr>
          <w:trHeight w:val="359" w:hRule="atLeast"/>
        </w:trPr>
        <w:tc>
          <w:tcPr>
            <w:tcW w:w="845" w:type="dxa"/>
            <w:tcBorders>
              <w:top w:val="single" w:sz="6" w:space="0" w:color="000000"/>
              <w:bottom w:val="single" w:sz="6" w:space="0" w:color="000000"/>
              <w:right w:val="single" w:sz="6" w:space="0" w:color="000000"/>
            </w:tcBorders>
          </w:tcPr>
          <w:p>
            <w:pPr>
              <w:pStyle w:val="TableParagraph"/>
              <w:spacing w:before="60"/>
              <w:ind w:left="21"/>
              <w:rPr>
                <w:sz w:val="21"/>
              </w:rPr>
            </w:pPr>
            <w:r>
              <w:rPr>
                <w:w w:val="100"/>
                <w:sz w:val="21"/>
              </w:rPr>
              <w:t>3</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before="59"/>
              <w:ind w:left="342" w:right="314"/>
              <w:rPr>
                <w:sz w:val="14"/>
              </w:rPr>
            </w:pPr>
            <w:r>
              <w:rPr>
                <w:position w:val="2"/>
                <w:sz w:val="21"/>
              </w:rPr>
              <w:t>COD</w:t>
            </w:r>
            <w:r>
              <w:rPr>
                <w:sz w:val="14"/>
              </w:rPr>
              <w:t>Mn</w:t>
            </w:r>
          </w:p>
        </w:tc>
        <w:tc>
          <w:tcPr>
            <w:tcW w:w="2208" w:type="dxa"/>
            <w:tcBorders>
              <w:top w:val="single" w:sz="6" w:space="0" w:color="000000"/>
              <w:left w:val="single" w:sz="6" w:space="0" w:color="000000"/>
              <w:bottom w:val="single" w:sz="6" w:space="0" w:color="000000"/>
              <w:right w:val="single" w:sz="6" w:space="0" w:color="000000"/>
            </w:tcBorders>
          </w:tcPr>
          <w:p>
            <w:pPr>
              <w:pStyle w:val="TableParagraph"/>
              <w:spacing w:before="60"/>
              <w:ind w:left="114" w:right="87"/>
              <w:rPr>
                <w:sz w:val="21"/>
              </w:rPr>
            </w:pPr>
            <w:r>
              <w:rPr>
                <w:sz w:val="21"/>
              </w:rPr>
              <w:t>≤2</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before="60"/>
              <w:ind w:left="94" w:right="70"/>
              <w:rPr>
                <w:sz w:val="21"/>
              </w:rPr>
            </w:pPr>
            <w:r>
              <w:rPr>
                <w:sz w:val="21"/>
              </w:rPr>
              <w:t>≤4</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60"/>
              <w:ind w:left="235" w:right="210"/>
              <w:rPr>
                <w:sz w:val="21"/>
              </w:rPr>
            </w:pPr>
            <w:r>
              <w:rPr>
                <w:sz w:val="21"/>
              </w:rPr>
              <w:t>≤6</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before="60"/>
              <w:ind w:left="101" w:right="70"/>
              <w:rPr>
                <w:sz w:val="21"/>
              </w:rPr>
            </w:pPr>
            <w:r>
              <w:rPr>
                <w:sz w:val="21"/>
              </w:rPr>
              <w:t>≤10</w:t>
            </w:r>
          </w:p>
        </w:tc>
        <w:tc>
          <w:tcPr>
            <w:tcW w:w="1089" w:type="dxa"/>
            <w:tcBorders>
              <w:top w:val="single" w:sz="6" w:space="0" w:color="000000"/>
              <w:left w:val="single" w:sz="6" w:space="0" w:color="000000"/>
              <w:bottom w:val="single" w:sz="6" w:space="0" w:color="000000"/>
            </w:tcBorders>
          </w:tcPr>
          <w:p>
            <w:pPr>
              <w:pStyle w:val="TableParagraph"/>
              <w:spacing w:before="60"/>
              <w:ind w:left="322" w:right="282"/>
              <w:rPr>
                <w:sz w:val="21"/>
              </w:rPr>
            </w:pPr>
            <w:r>
              <w:rPr>
                <w:sz w:val="21"/>
              </w:rPr>
              <w:t>≤15</w:t>
            </w:r>
          </w:p>
        </w:tc>
      </w:tr>
      <w:tr>
        <w:trPr>
          <w:trHeight w:val="359" w:hRule="atLeast"/>
        </w:trPr>
        <w:tc>
          <w:tcPr>
            <w:tcW w:w="845"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4</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before="57"/>
              <w:ind w:left="342" w:right="315"/>
              <w:rPr>
                <w:sz w:val="14"/>
              </w:rPr>
            </w:pPr>
            <w:r>
              <w:rPr>
                <w:position w:val="2"/>
                <w:sz w:val="21"/>
              </w:rPr>
              <w:t>BOD</w:t>
            </w:r>
            <w:r>
              <w:rPr>
                <w:sz w:val="14"/>
              </w:rPr>
              <w:t>5</w:t>
            </w:r>
          </w:p>
        </w:tc>
        <w:tc>
          <w:tcPr>
            <w:tcW w:w="2208" w:type="dxa"/>
            <w:tcBorders>
              <w:top w:val="single" w:sz="6" w:space="0" w:color="000000"/>
              <w:left w:val="single" w:sz="6" w:space="0" w:color="000000"/>
              <w:bottom w:val="single" w:sz="6" w:space="0" w:color="000000"/>
              <w:right w:val="single" w:sz="6" w:space="0" w:color="000000"/>
            </w:tcBorders>
          </w:tcPr>
          <w:p>
            <w:pPr>
              <w:pStyle w:val="TableParagraph"/>
              <w:ind w:left="114" w:right="87"/>
              <w:rPr>
                <w:sz w:val="21"/>
              </w:rPr>
            </w:pPr>
            <w:r>
              <w:rPr>
                <w:sz w:val="21"/>
              </w:rPr>
              <w:t>≤3</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94" w:right="70"/>
              <w:rPr>
                <w:sz w:val="21"/>
              </w:rPr>
            </w:pPr>
            <w:r>
              <w:rPr>
                <w:sz w:val="21"/>
              </w:rPr>
              <w:t>≤3</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ind w:left="235" w:right="210"/>
              <w:rPr>
                <w:sz w:val="21"/>
              </w:rPr>
            </w:pPr>
            <w:r>
              <w:rPr>
                <w:sz w:val="21"/>
              </w:rPr>
              <w:t>≤4</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100" w:right="70"/>
              <w:rPr>
                <w:sz w:val="21"/>
              </w:rPr>
            </w:pPr>
            <w:r>
              <w:rPr>
                <w:sz w:val="21"/>
              </w:rPr>
              <w:t>≤6</w:t>
            </w:r>
          </w:p>
        </w:tc>
        <w:tc>
          <w:tcPr>
            <w:tcW w:w="1089" w:type="dxa"/>
            <w:tcBorders>
              <w:top w:val="single" w:sz="6" w:space="0" w:color="000000"/>
              <w:left w:val="single" w:sz="6" w:space="0" w:color="000000"/>
              <w:bottom w:val="single" w:sz="6" w:space="0" w:color="000000"/>
            </w:tcBorders>
          </w:tcPr>
          <w:p>
            <w:pPr>
              <w:pStyle w:val="TableParagraph"/>
              <w:ind w:left="322" w:right="282"/>
              <w:rPr>
                <w:sz w:val="21"/>
              </w:rPr>
            </w:pPr>
            <w:r>
              <w:rPr>
                <w:sz w:val="21"/>
              </w:rPr>
              <w:t>≤10</w:t>
            </w:r>
          </w:p>
        </w:tc>
      </w:tr>
      <w:tr>
        <w:trPr>
          <w:trHeight w:val="359" w:hRule="atLeast"/>
        </w:trPr>
        <w:tc>
          <w:tcPr>
            <w:tcW w:w="845"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5</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before="57"/>
              <w:ind w:left="341" w:right="315"/>
              <w:rPr>
                <w:sz w:val="21"/>
              </w:rPr>
            </w:pPr>
            <w:r>
              <w:rPr>
                <w:position w:val="2"/>
                <w:sz w:val="21"/>
              </w:rPr>
              <w:t>NH</w:t>
            </w:r>
            <w:r>
              <w:rPr>
                <w:sz w:val="14"/>
              </w:rPr>
              <w:t>3</w:t>
            </w:r>
            <w:r>
              <w:rPr>
                <w:position w:val="2"/>
                <w:sz w:val="21"/>
              </w:rPr>
              <w:t>-N</w:t>
            </w:r>
          </w:p>
        </w:tc>
        <w:tc>
          <w:tcPr>
            <w:tcW w:w="2208" w:type="dxa"/>
            <w:tcBorders>
              <w:top w:val="single" w:sz="6" w:space="0" w:color="000000"/>
              <w:left w:val="single" w:sz="6" w:space="0" w:color="000000"/>
              <w:bottom w:val="single" w:sz="6" w:space="0" w:color="000000"/>
              <w:right w:val="single" w:sz="6" w:space="0" w:color="000000"/>
            </w:tcBorders>
          </w:tcPr>
          <w:p>
            <w:pPr>
              <w:pStyle w:val="TableParagraph"/>
              <w:ind w:left="114" w:right="86"/>
              <w:rPr>
                <w:sz w:val="21"/>
              </w:rPr>
            </w:pPr>
            <w:r>
              <w:rPr>
                <w:sz w:val="21"/>
              </w:rPr>
              <w:t>≤0.15</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94" w:right="70"/>
              <w:rPr>
                <w:sz w:val="21"/>
              </w:rPr>
            </w:pPr>
            <w:r>
              <w:rPr>
                <w:sz w:val="21"/>
              </w:rPr>
              <w:t>≤0.5</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ind w:left="235" w:right="209"/>
              <w:rPr>
                <w:sz w:val="21"/>
              </w:rPr>
            </w:pPr>
            <w:r>
              <w:rPr>
                <w:sz w:val="21"/>
              </w:rPr>
              <w:t>≤1.0</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101" w:right="70"/>
              <w:rPr>
                <w:sz w:val="21"/>
              </w:rPr>
            </w:pPr>
            <w:r>
              <w:rPr>
                <w:sz w:val="21"/>
              </w:rPr>
              <w:t>≤1.5</w:t>
            </w:r>
          </w:p>
        </w:tc>
        <w:tc>
          <w:tcPr>
            <w:tcW w:w="1089" w:type="dxa"/>
            <w:tcBorders>
              <w:top w:val="single" w:sz="6" w:space="0" w:color="000000"/>
              <w:left w:val="single" w:sz="6" w:space="0" w:color="000000"/>
              <w:bottom w:val="single" w:sz="6" w:space="0" w:color="000000"/>
            </w:tcBorders>
          </w:tcPr>
          <w:p>
            <w:pPr>
              <w:pStyle w:val="TableParagraph"/>
              <w:ind w:left="322" w:right="282"/>
              <w:rPr>
                <w:sz w:val="21"/>
              </w:rPr>
            </w:pPr>
            <w:r>
              <w:rPr>
                <w:sz w:val="21"/>
              </w:rPr>
              <w:t>≤2.0</w:t>
            </w:r>
          </w:p>
        </w:tc>
      </w:tr>
      <w:tr>
        <w:trPr>
          <w:trHeight w:val="357" w:hRule="atLeast"/>
        </w:trPr>
        <w:tc>
          <w:tcPr>
            <w:tcW w:w="845"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6</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before="46"/>
              <w:ind w:left="342" w:right="312"/>
              <w:rPr>
                <w:rFonts w:ascii="宋体" w:eastAsia="宋体" w:hint="eastAsia"/>
                <w:sz w:val="21"/>
              </w:rPr>
            </w:pPr>
            <w:r>
              <w:rPr>
                <w:rFonts w:ascii="宋体" w:eastAsia="宋体" w:hint="eastAsia"/>
                <w:sz w:val="21"/>
              </w:rPr>
              <w:t>总磷</w:t>
            </w:r>
          </w:p>
        </w:tc>
        <w:tc>
          <w:tcPr>
            <w:tcW w:w="2208" w:type="dxa"/>
            <w:tcBorders>
              <w:top w:val="single" w:sz="6" w:space="0" w:color="000000"/>
              <w:left w:val="single" w:sz="6" w:space="0" w:color="000000"/>
              <w:bottom w:val="single" w:sz="6" w:space="0" w:color="000000"/>
              <w:right w:val="single" w:sz="6" w:space="0" w:color="000000"/>
            </w:tcBorders>
          </w:tcPr>
          <w:p>
            <w:pPr>
              <w:pStyle w:val="TableParagraph"/>
              <w:ind w:left="114" w:right="86"/>
              <w:rPr>
                <w:sz w:val="21"/>
              </w:rPr>
            </w:pPr>
            <w:r>
              <w:rPr>
                <w:sz w:val="21"/>
              </w:rPr>
              <w:t>≤0.02</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94" w:right="70"/>
              <w:rPr>
                <w:sz w:val="21"/>
              </w:rPr>
            </w:pPr>
            <w:r>
              <w:rPr>
                <w:sz w:val="21"/>
              </w:rPr>
              <w:t>≤0.1</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ind w:left="235" w:right="209"/>
              <w:rPr>
                <w:sz w:val="21"/>
              </w:rPr>
            </w:pPr>
            <w:r>
              <w:rPr>
                <w:sz w:val="21"/>
              </w:rPr>
              <w:t>≤0.2</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ind w:left="101" w:right="70"/>
              <w:rPr>
                <w:sz w:val="21"/>
              </w:rPr>
            </w:pPr>
            <w:r>
              <w:rPr>
                <w:sz w:val="21"/>
              </w:rPr>
              <w:t>≤0.3</w:t>
            </w:r>
          </w:p>
        </w:tc>
        <w:tc>
          <w:tcPr>
            <w:tcW w:w="1089" w:type="dxa"/>
            <w:tcBorders>
              <w:top w:val="single" w:sz="6" w:space="0" w:color="000000"/>
              <w:left w:val="single" w:sz="6" w:space="0" w:color="000000"/>
              <w:bottom w:val="single" w:sz="6" w:space="0" w:color="000000"/>
            </w:tcBorders>
          </w:tcPr>
          <w:p>
            <w:pPr>
              <w:pStyle w:val="TableParagraph"/>
              <w:ind w:left="322" w:right="282"/>
              <w:rPr>
                <w:sz w:val="21"/>
              </w:rPr>
            </w:pPr>
            <w:r>
              <w:rPr>
                <w:sz w:val="21"/>
              </w:rPr>
              <w:t>≤0.4</w:t>
            </w:r>
          </w:p>
        </w:tc>
      </w:tr>
      <w:tr>
        <w:trPr>
          <w:trHeight w:val="359" w:hRule="atLeast"/>
        </w:trPr>
        <w:tc>
          <w:tcPr>
            <w:tcW w:w="845" w:type="dxa"/>
            <w:tcBorders>
              <w:top w:val="single" w:sz="6" w:space="0" w:color="000000"/>
              <w:bottom w:val="single" w:sz="6" w:space="0" w:color="000000"/>
              <w:right w:val="single" w:sz="6" w:space="0" w:color="000000"/>
            </w:tcBorders>
          </w:tcPr>
          <w:p>
            <w:pPr>
              <w:pStyle w:val="TableParagraph"/>
              <w:spacing w:before="60"/>
              <w:ind w:left="21"/>
              <w:rPr>
                <w:sz w:val="21"/>
              </w:rPr>
            </w:pPr>
            <w:r>
              <w:rPr>
                <w:w w:val="100"/>
                <w:sz w:val="21"/>
              </w:rPr>
              <w:t>7</w:t>
            </w:r>
          </w:p>
        </w:tc>
        <w:tc>
          <w:tcPr>
            <w:tcW w:w="2019" w:type="dxa"/>
            <w:tcBorders>
              <w:top w:val="single" w:sz="6" w:space="0" w:color="000000"/>
              <w:left w:val="single" w:sz="6" w:space="0" w:color="000000"/>
              <w:bottom w:val="single" w:sz="6" w:space="0" w:color="000000"/>
              <w:right w:val="single" w:sz="6" w:space="0" w:color="000000"/>
            </w:tcBorders>
          </w:tcPr>
          <w:p>
            <w:pPr>
              <w:pStyle w:val="TableParagraph"/>
              <w:spacing w:before="49"/>
              <w:ind w:left="342" w:right="312"/>
              <w:rPr>
                <w:rFonts w:ascii="宋体" w:eastAsia="宋体" w:hint="eastAsia"/>
                <w:sz w:val="21"/>
              </w:rPr>
            </w:pPr>
            <w:r>
              <w:rPr>
                <w:rFonts w:ascii="宋体" w:eastAsia="宋体" w:hint="eastAsia"/>
                <w:sz w:val="21"/>
              </w:rPr>
              <w:t>挥发酚</w:t>
            </w:r>
          </w:p>
        </w:tc>
        <w:tc>
          <w:tcPr>
            <w:tcW w:w="2208" w:type="dxa"/>
            <w:tcBorders>
              <w:top w:val="single" w:sz="6" w:space="0" w:color="000000"/>
              <w:left w:val="single" w:sz="6" w:space="0" w:color="000000"/>
              <w:bottom w:val="single" w:sz="6" w:space="0" w:color="000000"/>
              <w:right w:val="single" w:sz="6" w:space="0" w:color="000000"/>
            </w:tcBorders>
          </w:tcPr>
          <w:p>
            <w:pPr>
              <w:pStyle w:val="TableParagraph"/>
              <w:spacing w:before="60"/>
              <w:ind w:left="114" w:right="86"/>
              <w:rPr>
                <w:sz w:val="21"/>
              </w:rPr>
            </w:pPr>
            <w:r>
              <w:rPr>
                <w:sz w:val="21"/>
              </w:rPr>
              <w:t>≤0.002</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before="60"/>
              <w:ind w:left="94" w:right="70"/>
              <w:rPr>
                <w:sz w:val="21"/>
              </w:rPr>
            </w:pPr>
            <w:r>
              <w:rPr>
                <w:sz w:val="21"/>
              </w:rPr>
              <w:t>≤0.002</w:t>
            </w:r>
          </w:p>
        </w:tc>
        <w:tc>
          <w:tcPr>
            <w:tcW w:w="1090" w:type="dxa"/>
            <w:tcBorders>
              <w:top w:val="single" w:sz="6" w:space="0" w:color="000000"/>
              <w:left w:val="single" w:sz="6" w:space="0" w:color="000000"/>
              <w:bottom w:val="single" w:sz="6" w:space="0" w:color="000000"/>
              <w:right w:val="single" w:sz="6" w:space="0" w:color="000000"/>
            </w:tcBorders>
          </w:tcPr>
          <w:p>
            <w:pPr>
              <w:pStyle w:val="TableParagraph"/>
              <w:spacing w:before="60"/>
              <w:ind w:left="235" w:right="211"/>
              <w:rPr>
                <w:sz w:val="21"/>
              </w:rPr>
            </w:pPr>
            <w:r>
              <w:rPr>
                <w:sz w:val="21"/>
              </w:rPr>
              <w:t>≤0.005</w:t>
            </w:r>
          </w:p>
        </w:tc>
        <w:tc>
          <w:tcPr>
            <w:tcW w:w="1089" w:type="dxa"/>
            <w:tcBorders>
              <w:top w:val="single" w:sz="6" w:space="0" w:color="000000"/>
              <w:left w:val="single" w:sz="6" w:space="0" w:color="000000"/>
              <w:bottom w:val="single" w:sz="6" w:space="0" w:color="000000"/>
              <w:right w:val="single" w:sz="6" w:space="0" w:color="000000"/>
            </w:tcBorders>
          </w:tcPr>
          <w:p>
            <w:pPr>
              <w:pStyle w:val="TableParagraph"/>
              <w:spacing w:before="60"/>
              <w:ind w:left="101" w:right="70"/>
              <w:rPr>
                <w:sz w:val="21"/>
              </w:rPr>
            </w:pPr>
            <w:r>
              <w:rPr>
                <w:sz w:val="21"/>
              </w:rPr>
              <w:t>≤0.01</w:t>
            </w:r>
          </w:p>
        </w:tc>
        <w:tc>
          <w:tcPr>
            <w:tcW w:w="1089" w:type="dxa"/>
            <w:tcBorders>
              <w:top w:val="single" w:sz="6" w:space="0" w:color="000000"/>
              <w:left w:val="single" w:sz="6" w:space="0" w:color="000000"/>
              <w:bottom w:val="single" w:sz="6" w:space="0" w:color="000000"/>
            </w:tcBorders>
          </w:tcPr>
          <w:p>
            <w:pPr>
              <w:pStyle w:val="TableParagraph"/>
              <w:spacing w:before="60"/>
              <w:ind w:left="322" w:right="282"/>
              <w:rPr>
                <w:sz w:val="21"/>
              </w:rPr>
            </w:pPr>
            <w:r>
              <w:rPr>
                <w:sz w:val="21"/>
              </w:rPr>
              <w:t>≤0.1</w:t>
            </w:r>
          </w:p>
        </w:tc>
      </w:tr>
      <w:tr>
        <w:trPr>
          <w:trHeight w:val="359" w:hRule="atLeast"/>
        </w:trPr>
        <w:tc>
          <w:tcPr>
            <w:tcW w:w="845" w:type="dxa"/>
            <w:tcBorders>
              <w:top w:val="single" w:sz="6" w:space="0" w:color="000000"/>
              <w:right w:val="single" w:sz="6" w:space="0" w:color="000000"/>
            </w:tcBorders>
          </w:tcPr>
          <w:p>
            <w:pPr>
              <w:pStyle w:val="TableParagraph"/>
              <w:ind w:left="21"/>
              <w:rPr>
                <w:sz w:val="21"/>
              </w:rPr>
            </w:pPr>
            <w:r>
              <w:rPr>
                <w:w w:val="100"/>
                <w:sz w:val="21"/>
              </w:rPr>
              <w:t>8</w:t>
            </w:r>
          </w:p>
        </w:tc>
        <w:tc>
          <w:tcPr>
            <w:tcW w:w="2019" w:type="dxa"/>
            <w:tcBorders>
              <w:top w:val="single" w:sz="6" w:space="0" w:color="000000"/>
              <w:left w:val="single" w:sz="6" w:space="0" w:color="000000"/>
              <w:right w:val="single" w:sz="6" w:space="0" w:color="000000"/>
            </w:tcBorders>
          </w:tcPr>
          <w:p>
            <w:pPr>
              <w:pStyle w:val="TableParagraph"/>
              <w:spacing w:before="46"/>
              <w:ind w:left="342" w:right="312"/>
              <w:rPr>
                <w:rFonts w:ascii="宋体" w:eastAsia="宋体" w:hint="eastAsia"/>
                <w:sz w:val="21"/>
              </w:rPr>
            </w:pPr>
            <w:r>
              <w:rPr>
                <w:rFonts w:ascii="宋体" w:eastAsia="宋体" w:hint="eastAsia"/>
                <w:sz w:val="21"/>
              </w:rPr>
              <w:t>石油类</w:t>
            </w:r>
          </w:p>
        </w:tc>
        <w:tc>
          <w:tcPr>
            <w:tcW w:w="2208" w:type="dxa"/>
            <w:tcBorders>
              <w:top w:val="single" w:sz="6" w:space="0" w:color="000000"/>
              <w:left w:val="single" w:sz="6" w:space="0" w:color="000000"/>
              <w:right w:val="single" w:sz="6" w:space="0" w:color="000000"/>
            </w:tcBorders>
          </w:tcPr>
          <w:p>
            <w:pPr>
              <w:pStyle w:val="TableParagraph"/>
              <w:ind w:left="114" w:right="86"/>
              <w:rPr>
                <w:sz w:val="21"/>
              </w:rPr>
            </w:pPr>
            <w:r>
              <w:rPr>
                <w:sz w:val="21"/>
              </w:rPr>
              <w:t>≤0.05</w:t>
            </w:r>
          </w:p>
        </w:tc>
        <w:tc>
          <w:tcPr>
            <w:tcW w:w="1089" w:type="dxa"/>
            <w:tcBorders>
              <w:top w:val="single" w:sz="6" w:space="0" w:color="000000"/>
              <w:left w:val="single" w:sz="6" w:space="0" w:color="000000"/>
              <w:right w:val="single" w:sz="6" w:space="0" w:color="000000"/>
            </w:tcBorders>
          </w:tcPr>
          <w:p>
            <w:pPr>
              <w:pStyle w:val="TableParagraph"/>
              <w:ind w:left="94" w:right="70"/>
              <w:rPr>
                <w:sz w:val="21"/>
              </w:rPr>
            </w:pPr>
            <w:r>
              <w:rPr>
                <w:sz w:val="21"/>
              </w:rPr>
              <w:t>≤0.05</w:t>
            </w:r>
          </w:p>
        </w:tc>
        <w:tc>
          <w:tcPr>
            <w:tcW w:w="1090" w:type="dxa"/>
            <w:tcBorders>
              <w:top w:val="single" w:sz="6" w:space="0" w:color="000000"/>
              <w:left w:val="single" w:sz="6" w:space="0" w:color="000000"/>
              <w:right w:val="single" w:sz="6" w:space="0" w:color="000000"/>
            </w:tcBorders>
          </w:tcPr>
          <w:p>
            <w:pPr>
              <w:pStyle w:val="TableParagraph"/>
              <w:ind w:left="235" w:right="211"/>
              <w:rPr>
                <w:sz w:val="21"/>
              </w:rPr>
            </w:pPr>
            <w:r>
              <w:rPr>
                <w:sz w:val="21"/>
              </w:rPr>
              <w:t>≤0.05</w:t>
            </w:r>
          </w:p>
        </w:tc>
        <w:tc>
          <w:tcPr>
            <w:tcW w:w="1089" w:type="dxa"/>
            <w:tcBorders>
              <w:top w:val="single" w:sz="6" w:space="0" w:color="000000"/>
              <w:left w:val="single" w:sz="6" w:space="0" w:color="000000"/>
              <w:right w:val="single" w:sz="6" w:space="0" w:color="000000"/>
            </w:tcBorders>
          </w:tcPr>
          <w:p>
            <w:pPr>
              <w:pStyle w:val="TableParagraph"/>
              <w:ind w:left="101" w:right="70"/>
              <w:rPr>
                <w:sz w:val="21"/>
              </w:rPr>
            </w:pPr>
            <w:r>
              <w:rPr>
                <w:sz w:val="21"/>
              </w:rPr>
              <w:t>≤0.5</w:t>
            </w:r>
          </w:p>
        </w:tc>
        <w:tc>
          <w:tcPr>
            <w:tcW w:w="1089" w:type="dxa"/>
            <w:tcBorders>
              <w:top w:val="single" w:sz="6" w:space="0" w:color="000000"/>
              <w:left w:val="single" w:sz="6" w:space="0" w:color="000000"/>
            </w:tcBorders>
          </w:tcPr>
          <w:p>
            <w:pPr>
              <w:pStyle w:val="TableParagraph"/>
              <w:ind w:left="322" w:right="282"/>
              <w:rPr>
                <w:sz w:val="21"/>
              </w:rPr>
            </w:pPr>
            <w:r>
              <w:rPr>
                <w:sz w:val="21"/>
              </w:rPr>
              <w:t>≤1.0</w:t>
            </w:r>
          </w:p>
        </w:tc>
      </w:tr>
    </w:tbl>
    <w:p>
      <w:pPr>
        <w:spacing w:before="82"/>
        <w:ind w:left="719" w:right="0" w:firstLine="0"/>
        <w:jc w:val="left"/>
        <w:rPr>
          <w:b/>
          <w:sz w:val="24"/>
        </w:rPr>
      </w:pPr>
      <w:r>
        <w:rPr>
          <w:rFonts w:ascii="Times New Roman" w:eastAsia="Times New Roman"/>
          <w:b/>
          <w:sz w:val="24"/>
        </w:rPr>
        <w:t>2</w:t>
      </w:r>
      <w:r>
        <w:rPr>
          <w:b/>
          <w:sz w:val="24"/>
        </w:rPr>
        <w:t>、地下水质量标准</w:t>
      </w:r>
    </w:p>
    <w:p>
      <w:pPr>
        <w:pStyle w:val="BodyText"/>
        <w:spacing w:line="364" w:lineRule="auto" w:before="161"/>
        <w:ind w:right="251" w:firstLine="480"/>
      </w:pPr>
      <w:r>
        <w:rPr/>
        <w:t>项目所在区域地下水水质执行《地下水质量标准》（</w:t>
      </w:r>
      <w:r>
        <w:rPr>
          <w:rFonts w:ascii="Times New Roman" w:hAnsi="Times New Roman" w:eastAsia="Times New Roman"/>
          <w:position w:val="1"/>
        </w:rPr>
        <w:t>GB/T 14848-2017</w:t>
      </w:r>
      <w:r>
        <w:rPr/>
        <w:t>）中的Ⅲ类标准，有关标准限值见表 </w:t>
      </w:r>
      <w:r>
        <w:rPr>
          <w:rFonts w:ascii="Times New Roman" w:hAnsi="Times New Roman" w:eastAsia="Times New Roman"/>
          <w:position w:val="1"/>
        </w:rPr>
        <w:t>2.3-2</w:t>
      </w:r>
      <w:r>
        <w:rPr/>
        <w:t>。</w:t>
      </w:r>
    </w:p>
    <w:p>
      <w:pPr>
        <w:pStyle w:val="Heading3"/>
        <w:spacing w:before="1"/>
        <w:ind w:left="2111"/>
        <w:rPr>
          <w:rFonts w:ascii="Times New Roman" w:eastAsia="Times New Roman"/>
        </w:rPr>
      </w:pPr>
      <w:r>
        <w:rPr/>
        <w:t>表 </w:t>
      </w:r>
      <w:r>
        <w:rPr>
          <w:rFonts w:ascii="Times New Roman" w:eastAsia="Times New Roman"/>
        </w:rPr>
        <w:t>2.3-2  </w:t>
      </w:r>
      <w:r>
        <w:rPr/>
        <w:t>地下水质量标准 单位：除 </w:t>
      </w:r>
      <w:r>
        <w:rPr>
          <w:rFonts w:ascii="Times New Roman" w:eastAsia="Times New Roman"/>
        </w:rPr>
        <w:t>pH </w:t>
      </w:r>
      <w:r>
        <w:rPr/>
        <w:t>外均为 </w:t>
      </w:r>
      <w:r>
        <w:rPr>
          <w:rFonts w:ascii="Times New Roman" w:eastAsia="Times New Roman"/>
        </w:rPr>
        <w:t>mg/L</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8"/>
        <w:gridCol w:w="3790"/>
        <w:gridCol w:w="904"/>
        <w:gridCol w:w="902"/>
        <w:gridCol w:w="799"/>
        <w:gridCol w:w="1374"/>
        <w:gridCol w:w="1019"/>
      </w:tblGrid>
      <w:tr>
        <w:trPr>
          <w:trHeight w:val="359" w:hRule="atLeast"/>
        </w:trPr>
        <w:tc>
          <w:tcPr>
            <w:tcW w:w="638" w:type="dxa"/>
            <w:tcBorders>
              <w:bottom w:val="single" w:sz="6" w:space="0" w:color="000000"/>
              <w:right w:val="single" w:sz="6" w:space="0" w:color="000000"/>
            </w:tcBorders>
          </w:tcPr>
          <w:p>
            <w:pPr>
              <w:pStyle w:val="TableParagraph"/>
              <w:spacing w:before="54"/>
              <w:ind w:left="77" w:right="56"/>
              <w:rPr>
                <w:rFonts w:ascii="宋体" w:eastAsia="宋体" w:hint="eastAsia"/>
                <w:b/>
                <w:sz w:val="20"/>
              </w:rPr>
            </w:pPr>
            <w:r>
              <w:rPr>
                <w:rFonts w:ascii="宋体" w:eastAsia="宋体" w:hint="eastAsia"/>
                <w:b/>
                <w:sz w:val="20"/>
              </w:rPr>
              <w:t>序号</w:t>
            </w:r>
          </w:p>
        </w:tc>
        <w:tc>
          <w:tcPr>
            <w:tcW w:w="3790" w:type="dxa"/>
            <w:tcBorders>
              <w:left w:val="single" w:sz="6" w:space="0" w:color="000000"/>
              <w:bottom w:val="single" w:sz="6" w:space="0" w:color="000000"/>
              <w:right w:val="single" w:sz="6" w:space="0" w:color="000000"/>
            </w:tcBorders>
          </w:tcPr>
          <w:p>
            <w:pPr>
              <w:pStyle w:val="TableParagraph"/>
              <w:spacing w:before="54"/>
              <w:ind w:left="76" w:right="44"/>
              <w:rPr>
                <w:rFonts w:ascii="宋体" w:eastAsia="宋体" w:hint="eastAsia"/>
                <w:b/>
                <w:sz w:val="20"/>
              </w:rPr>
            </w:pPr>
            <w:r>
              <w:rPr>
                <w:rFonts w:ascii="宋体" w:eastAsia="宋体" w:hint="eastAsia"/>
                <w:b/>
                <w:sz w:val="20"/>
              </w:rPr>
              <w:t>标准值</w:t>
            </w:r>
          </w:p>
        </w:tc>
        <w:tc>
          <w:tcPr>
            <w:tcW w:w="904" w:type="dxa"/>
            <w:tcBorders>
              <w:left w:val="single" w:sz="6" w:space="0" w:color="000000"/>
              <w:bottom w:val="single" w:sz="6" w:space="0" w:color="000000"/>
              <w:right w:val="single" w:sz="6" w:space="0" w:color="000000"/>
            </w:tcBorders>
          </w:tcPr>
          <w:p>
            <w:pPr>
              <w:pStyle w:val="TableParagraph"/>
              <w:spacing w:before="54"/>
              <w:ind w:left="257"/>
              <w:jc w:val="left"/>
              <w:rPr>
                <w:rFonts w:ascii="宋体" w:hAnsi="宋体" w:eastAsia="宋体" w:hint="eastAsia"/>
                <w:b/>
                <w:sz w:val="20"/>
              </w:rPr>
            </w:pPr>
            <w:r>
              <w:rPr>
                <w:rFonts w:ascii="宋体" w:hAnsi="宋体" w:eastAsia="宋体" w:hint="eastAsia"/>
                <w:b/>
                <w:sz w:val="20"/>
              </w:rPr>
              <w:t>Ⅰ类</w:t>
            </w:r>
          </w:p>
        </w:tc>
        <w:tc>
          <w:tcPr>
            <w:tcW w:w="902" w:type="dxa"/>
            <w:tcBorders>
              <w:left w:val="single" w:sz="6" w:space="0" w:color="000000"/>
              <w:bottom w:val="single" w:sz="6" w:space="0" w:color="000000"/>
              <w:right w:val="single" w:sz="6" w:space="0" w:color="000000"/>
            </w:tcBorders>
          </w:tcPr>
          <w:p>
            <w:pPr>
              <w:pStyle w:val="TableParagraph"/>
              <w:spacing w:before="54"/>
              <w:ind w:left="106" w:right="81"/>
              <w:rPr>
                <w:rFonts w:ascii="宋体" w:hAnsi="宋体" w:eastAsia="宋体" w:hint="eastAsia"/>
                <w:b/>
                <w:sz w:val="20"/>
              </w:rPr>
            </w:pPr>
            <w:r>
              <w:rPr>
                <w:rFonts w:ascii="宋体" w:hAnsi="宋体" w:eastAsia="宋体" w:hint="eastAsia"/>
                <w:b/>
                <w:sz w:val="20"/>
              </w:rPr>
              <w:t>Ⅱ类</w:t>
            </w:r>
          </w:p>
        </w:tc>
        <w:tc>
          <w:tcPr>
            <w:tcW w:w="799" w:type="dxa"/>
            <w:tcBorders>
              <w:left w:val="single" w:sz="6" w:space="0" w:color="000000"/>
              <w:bottom w:val="single" w:sz="6" w:space="0" w:color="000000"/>
              <w:right w:val="single" w:sz="6" w:space="0" w:color="000000"/>
            </w:tcBorders>
          </w:tcPr>
          <w:p>
            <w:pPr>
              <w:pStyle w:val="TableParagraph"/>
              <w:spacing w:before="54"/>
              <w:ind w:left="108" w:right="75"/>
              <w:rPr>
                <w:rFonts w:ascii="宋体" w:hAnsi="宋体" w:eastAsia="宋体" w:hint="eastAsia"/>
                <w:b/>
                <w:sz w:val="20"/>
              </w:rPr>
            </w:pPr>
            <w:r>
              <w:rPr>
                <w:rFonts w:ascii="宋体" w:hAnsi="宋体" w:eastAsia="宋体" w:hint="eastAsia"/>
                <w:b/>
                <w:sz w:val="20"/>
              </w:rPr>
              <w:t>Ⅲ类</w:t>
            </w:r>
          </w:p>
        </w:tc>
        <w:tc>
          <w:tcPr>
            <w:tcW w:w="1374" w:type="dxa"/>
            <w:tcBorders>
              <w:left w:val="single" w:sz="6" w:space="0" w:color="000000"/>
              <w:bottom w:val="single" w:sz="6" w:space="0" w:color="000000"/>
              <w:right w:val="single" w:sz="6" w:space="0" w:color="000000"/>
            </w:tcBorders>
          </w:tcPr>
          <w:p>
            <w:pPr>
              <w:pStyle w:val="TableParagraph"/>
              <w:spacing w:before="54"/>
              <w:ind w:left="118" w:right="83"/>
              <w:rPr>
                <w:rFonts w:ascii="宋体" w:hAnsi="宋体" w:eastAsia="宋体" w:hint="eastAsia"/>
                <w:b/>
                <w:sz w:val="20"/>
              </w:rPr>
            </w:pPr>
            <w:r>
              <w:rPr>
                <w:rFonts w:ascii="宋体" w:hAnsi="宋体" w:eastAsia="宋体" w:hint="eastAsia"/>
                <w:b/>
                <w:sz w:val="20"/>
              </w:rPr>
              <w:t>Ⅳ类</w:t>
            </w:r>
          </w:p>
        </w:tc>
        <w:tc>
          <w:tcPr>
            <w:tcW w:w="1019" w:type="dxa"/>
            <w:tcBorders>
              <w:left w:val="single" w:sz="6" w:space="0" w:color="000000"/>
              <w:bottom w:val="single" w:sz="6" w:space="0" w:color="000000"/>
            </w:tcBorders>
          </w:tcPr>
          <w:p>
            <w:pPr>
              <w:pStyle w:val="TableParagraph"/>
              <w:spacing w:before="54"/>
              <w:ind w:left="112" w:right="66"/>
              <w:rPr>
                <w:rFonts w:ascii="宋体" w:hAnsi="宋体" w:eastAsia="宋体" w:hint="eastAsia"/>
                <w:b/>
                <w:sz w:val="20"/>
              </w:rPr>
            </w:pPr>
            <w:r>
              <w:rPr>
                <w:rFonts w:ascii="宋体" w:hAnsi="宋体" w:eastAsia="宋体" w:hint="eastAsia"/>
                <w:b/>
                <w:sz w:val="20"/>
              </w:rPr>
              <w:t>Ⅴ类</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5"/>
              <w:ind w:left="20"/>
              <w:rPr>
                <w:sz w:val="20"/>
              </w:rPr>
            </w:pPr>
            <w:r>
              <w:rPr>
                <w:w w:val="99"/>
                <w:sz w:val="20"/>
              </w:rPr>
              <w:t>1</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4"/>
              <w:ind w:left="74" w:right="47"/>
              <w:rPr>
                <w:rFonts w:ascii="宋体" w:eastAsia="宋体" w:hint="eastAsia"/>
                <w:sz w:val="20"/>
              </w:rPr>
            </w:pPr>
            <w:r>
              <w:rPr>
                <w:position w:val="1"/>
                <w:sz w:val="20"/>
              </w:rPr>
              <w:t>pH</w:t>
            </w:r>
            <w:r>
              <w:rPr>
                <w:rFonts w:ascii="宋体" w:eastAsia="宋体" w:hint="eastAsia"/>
                <w:sz w:val="20"/>
              </w:rPr>
              <w:t>（无量纲）</w:t>
            </w:r>
          </w:p>
        </w:tc>
        <w:tc>
          <w:tcPr>
            <w:tcW w:w="260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65"/>
              <w:ind w:left="1008" w:right="975"/>
              <w:rPr>
                <w:sz w:val="20"/>
              </w:rPr>
            </w:pPr>
            <w:r>
              <w:rPr>
                <w:sz w:val="20"/>
              </w:rPr>
              <w:t>6.5-8.5</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5"/>
              <w:ind w:left="118" w:right="83"/>
              <w:rPr>
                <w:sz w:val="20"/>
              </w:rPr>
            </w:pPr>
            <w:r>
              <w:rPr>
                <w:sz w:val="20"/>
              </w:rPr>
              <w:t>5.5~6.5,8.5~9</w:t>
            </w:r>
          </w:p>
        </w:tc>
        <w:tc>
          <w:tcPr>
            <w:tcW w:w="1019" w:type="dxa"/>
            <w:tcBorders>
              <w:top w:val="single" w:sz="6" w:space="0" w:color="000000"/>
              <w:left w:val="single" w:sz="6" w:space="0" w:color="000000"/>
              <w:bottom w:val="single" w:sz="6" w:space="0" w:color="000000"/>
            </w:tcBorders>
          </w:tcPr>
          <w:p>
            <w:pPr>
              <w:pStyle w:val="TableParagraph"/>
              <w:spacing w:before="54"/>
              <w:ind w:left="113" w:right="66"/>
              <w:rPr>
                <w:sz w:val="20"/>
              </w:rPr>
            </w:pPr>
            <w:r>
              <w:rPr>
                <w:position w:val="1"/>
                <w:sz w:val="20"/>
              </w:rPr>
              <w:t>&lt;5.5</w:t>
            </w:r>
            <w:r>
              <w:rPr>
                <w:rFonts w:ascii="宋体" w:eastAsia="宋体" w:hint="eastAsia"/>
                <w:sz w:val="20"/>
              </w:rPr>
              <w:t>，</w:t>
            </w:r>
            <w:r>
              <w:rPr>
                <w:position w:val="1"/>
                <w:sz w:val="20"/>
              </w:rPr>
              <w:t>&gt;9</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20"/>
              <w:rPr>
                <w:sz w:val="20"/>
              </w:rPr>
            </w:pPr>
            <w:r>
              <w:rPr>
                <w:w w:val="99"/>
                <w:sz w:val="20"/>
              </w:rPr>
              <w:t>2</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3"/>
              <w:ind w:left="76" w:right="47"/>
              <w:rPr>
                <w:rFonts w:ascii="宋体" w:eastAsia="宋体" w:hint="eastAsia"/>
                <w:sz w:val="20"/>
              </w:rPr>
            </w:pPr>
            <w:r>
              <w:rPr>
                <w:rFonts w:ascii="宋体" w:eastAsia="宋体" w:hint="eastAsia"/>
                <w:position w:val="1"/>
                <w:sz w:val="20"/>
              </w:rPr>
              <w:t>耗氧量（</w:t>
            </w:r>
            <w:r>
              <w:rPr>
                <w:position w:val="2"/>
                <w:sz w:val="20"/>
              </w:rPr>
              <w:t>COD</w:t>
            </w:r>
            <w:r>
              <w:rPr>
                <w:sz w:val="13"/>
              </w:rPr>
              <w:t>Mn </w:t>
            </w:r>
            <w:r>
              <w:rPr>
                <w:rFonts w:ascii="宋体" w:eastAsia="宋体" w:hint="eastAsia"/>
                <w:position w:val="1"/>
                <w:sz w:val="20"/>
              </w:rPr>
              <w:t>法，以 </w:t>
            </w:r>
            <w:r>
              <w:rPr>
                <w:position w:val="2"/>
                <w:sz w:val="20"/>
              </w:rPr>
              <w:t>O</w:t>
            </w:r>
            <w:r>
              <w:rPr>
                <w:sz w:val="13"/>
              </w:rPr>
              <w:t>2 </w:t>
            </w:r>
            <w:r>
              <w:rPr>
                <w:rFonts w:ascii="宋体" w:eastAsia="宋体" w:hint="eastAsia"/>
                <w:position w:val="1"/>
                <w:sz w:val="20"/>
              </w:rPr>
              <w:t>计）（</w:t>
            </w:r>
            <w:r>
              <w:rPr>
                <w:position w:val="2"/>
                <w:sz w:val="20"/>
              </w:rPr>
              <w:t>mg/L</w:t>
            </w:r>
            <w:r>
              <w:rPr>
                <w:rFonts w:ascii="宋体" w:eastAsia="宋体" w:hint="eastAsia"/>
                <w:position w:val="1"/>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left="279"/>
              <w:jc w:val="left"/>
              <w:rPr>
                <w:sz w:val="20"/>
              </w:rPr>
            </w:pPr>
            <w:r>
              <w:rPr>
                <w:sz w:val="20"/>
              </w:rPr>
              <w:t>≤1.0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≤2.0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5"/>
              <w:rPr>
                <w:sz w:val="20"/>
              </w:rPr>
            </w:pPr>
            <w:r>
              <w:rPr>
                <w:sz w:val="20"/>
              </w:rPr>
              <w:t>≤3.0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8" w:right="81"/>
              <w:rPr>
                <w:sz w:val="20"/>
              </w:rPr>
            </w:pPr>
            <w:r>
              <w:rPr>
                <w:sz w:val="20"/>
              </w:rPr>
              <w:t>≤10</w:t>
            </w:r>
          </w:p>
        </w:tc>
        <w:tc>
          <w:tcPr>
            <w:tcW w:w="1019" w:type="dxa"/>
            <w:tcBorders>
              <w:top w:val="single" w:sz="6" w:space="0" w:color="000000"/>
              <w:left w:val="single" w:sz="6" w:space="0" w:color="000000"/>
              <w:bottom w:val="single" w:sz="6" w:space="0" w:color="000000"/>
            </w:tcBorders>
          </w:tcPr>
          <w:p>
            <w:pPr>
              <w:pStyle w:val="TableParagraph"/>
              <w:spacing w:before="62"/>
              <w:ind w:left="110" w:right="66"/>
              <w:rPr>
                <w:sz w:val="20"/>
              </w:rPr>
            </w:pPr>
            <w:r>
              <w:rPr>
                <w:sz w:val="20"/>
              </w:rPr>
              <w:t>&gt;10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20"/>
              <w:rPr>
                <w:sz w:val="20"/>
              </w:rPr>
            </w:pPr>
            <w:r>
              <w:rPr>
                <w:w w:val="99"/>
                <w:sz w:val="20"/>
              </w:rPr>
              <w:t>3</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氨氮（以 </w:t>
            </w:r>
            <w:r>
              <w:rPr>
                <w:position w:val="1"/>
                <w:sz w:val="20"/>
              </w:rPr>
              <w:t>N </w:t>
            </w:r>
            <w:r>
              <w:rPr>
                <w:rFonts w:ascii="宋体" w:eastAsia="宋体" w:hint="eastAsia"/>
                <w:sz w:val="20"/>
              </w:rPr>
              <w:t>计）（</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197"/>
              <w:jc w:val="right"/>
              <w:rPr>
                <w:sz w:val="20"/>
              </w:rPr>
            </w:pPr>
            <w:r>
              <w:rPr>
                <w:sz w:val="20"/>
              </w:rPr>
              <w:t>≤0.02</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≤0.10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5"/>
              <w:rPr>
                <w:sz w:val="20"/>
              </w:rPr>
            </w:pPr>
            <w:r>
              <w:rPr>
                <w:sz w:val="20"/>
              </w:rPr>
              <w:t>≤0.50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6" w:right="83"/>
              <w:rPr>
                <w:sz w:val="20"/>
              </w:rPr>
            </w:pPr>
            <w:r>
              <w:rPr>
                <w:sz w:val="20"/>
              </w:rPr>
              <w:t>≤1.50</w:t>
            </w:r>
          </w:p>
        </w:tc>
        <w:tc>
          <w:tcPr>
            <w:tcW w:w="1019" w:type="dxa"/>
            <w:tcBorders>
              <w:top w:val="single" w:sz="6" w:space="0" w:color="000000"/>
              <w:left w:val="single" w:sz="6" w:space="0" w:color="000000"/>
              <w:bottom w:val="single" w:sz="6" w:space="0" w:color="000000"/>
            </w:tcBorders>
          </w:tcPr>
          <w:p>
            <w:pPr>
              <w:pStyle w:val="TableParagraph"/>
              <w:spacing w:before="62"/>
              <w:ind w:left="112" w:right="66"/>
              <w:rPr>
                <w:sz w:val="20"/>
              </w:rPr>
            </w:pPr>
            <w:r>
              <w:rPr>
                <w:sz w:val="20"/>
              </w:rPr>
              <w:t>&gt;1.50</w:t>
            </w:r>
          </w:p>
        </w:tc>
      </w:tr>
      <w:tr>
        <w:trPr>
          <w:trHeight w:val="356" w:hRule="atLeast"/>
        </w:trPr>
        <w:tc>
          <w:tcPr>
            <w:tcW w:w="638" w:type="dxa"/>
            <w:tcBorders>
              <w:top w:val="single" w:sz="6" w:space="0" w:color="000000"/>
              <w:bottom w:val="single" w:sz="6" w:space="0" w:color="000000"/>
              <w:right w:val="single" w:sz="6" w:space="0" w:color="000000"/>
            </w:tcBorders>
          </w:tcPr>
          <w:p>
            <w:pPr>
              <w:pStyle w:val="TableParagraph"/>
              <w:spacing w:before="62"/>
              <w:ind w:left="20"/>
              <w:rPr>
                <w:sz w:val="20"/>
              </w:rPr>
            </w:pPr>
            <w:r>
              <w:rPr>
                <w:w w:val="99"/>
                <w:sz w:val="20"/>
              </w:rPr>
              <w:t>4</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6" w:right="44"/>
              <w:rPr>
                <w:rFonts w:ascii="宋体" w:eastAsia="宋体" w:hint="eastAsia"/>
                <w:sz w:val="20"/>
              </w:rPr>
            </w:pPr>
            <w:r>
              <w:rPr>
                <w:rFonts w:ascii="宋体" w:eastAsia="宋体" w:hint="eastAsia"/>
                <w:sz w:val="20"/>
              </w:rPr>
              <w:t>亚硝酸盐（以 </w:t>
            </w:r>
            <w:r>
              <w:rPr>
                <w:position w:val="1"/>
                <w:sz w:val="20"/>
              </w:rPr>
              <w:t>N </w:t>
            </w:r>
            <w:r>
              <w:rPr>
                <w:rFonts w:ascii="宋体" w:eastAsia="宋体" w:hint="eastAsia"/>
                <w:sz w:val="20"/>
              </w:rPr>
              <w:t>计）（</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197"/>
              <w:jc w:val="right"/>
              <w:rPr>
                <w:sz w:val="20"/>
              </w:rPr>
            </w:pPr>
            <w:r>
              <w:rPr>
                <w:sz w:val="20"/>
              </w:rPr>
              <w:t>≤0.01</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≤0.10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5"/>
              <w:rPr>
                <w:sz w:val="20"/>
              </w:rPr>
            </w:pPr>
            <w:r>
              <w:rPr>
                <w:sz w:val="20"/>
              </w:rPr>
              <w:t>≤1.00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6" w:right="83"/>
              <w:rPr>
                <w:sz w:val="20"/>
              </w:rPr>
            </w:pPr>
            <w:r>
              <w:rPr>
                <w:sz w:val="20"/>
              </w:rPr>
              <w:t>≤4.80</w:t>
            </w:r>
          </w:p>
        </w:tc>
        <w:tc>
          <w:tcPr>
            <w:tcW w:w="1019" w:type="dxa"/>
            <w:tcBorders>
              <w:top w:val="single" w:sz="6" w:space="0" w:color="000000"/>
              <w:left w:val="single" w:sz="6" w:space="0" w:color="000000"/>
              <w:bottom w:val="single" w:sz="6" w:space="0" w:color="000000"/>
            </w:tcBorders>
          </w:tcPr>
          <w:p>
            <w:pPr>
              <w:pStyle w:val="TableParagraph"/>
              <w:spacing w:before="62"/>
              <w:ind w:left="112" w:right="66"/>
              <w:rPr>
                <w:sz w:val="20"/>
              </w:rPr>
            </w:pPr>
            <w:r>
              <w:rPr>
                <w:sz w:val="20"/>
              </w:rPr>
              <w:t>&gt;4.80</w:t>
            </w:r>
          </w:p>
        </w:tc>
      </w:tr>
      <w:tr>
        <w:trPr>
          <w:trHeight w:val="360" w:hRule="atLeast"/>
        </w:trPr>
        <w:tc>
          <w:tcPr>
            <w:tcW w:w="638" w:type="dxa"/>
            <w:tcBorders>
              <w:top w:val="single" w:sz="6" w:space="0" w:color="000000"/>
              <w:bottom w:val="single" w:sz="6" w:space="0" w:color="000000"/>
              <w:right w:val="single" w:sz="6" w:space="0" w:color="000000"/>
            </w:tcBorders>
          </w:tcPr>
          <w:p>
            <w:pPr>
              <w:pStyle w:val="TableParagraph"/>
              <w:spacing w:before="65"/>
              <w:ind w:left="20"/>
              <w:rPr>
                <w:sz w:val="20"/>
              </w:rPr>
            </w:pPr>
            <w:r>
              <w:rPr>
                <w:w w:val="99"/>
                <w:sz w:val="20"/>
              </w:rPr>
              <w:t>5</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4"/>
              <w:ind w:left="76" w:right="44"/>
              <w:rPr>
                <w:rFonts w:ascii="宋体" w:eastAsia="宋体" w:hint="eastAsia"/>
                <w:sz w:val="20"/>
              </w:rPr>
            </w:pPr>
            <w:r>
              <w:rPr>
                <w:rFonts w:ascii="宋体" w:eastAsia="宋体" w:hint="eastAsia"/>
                <w:sz w:val="20"/>
              </w:rPr>
              <w:t>硝酸盐（以 </w:t>
            </w:r>
            <w:r>
              <w:rPr>
                <w:position w:val="1"/>
                <w:sz w:val="20"/>
              </w:rPr>
              <w:t>N </w:t>
            </w:r>
            <w:r>
              <w:rPr>
                <w:rFonts w:ascii="宋体" w:eastAsia="宋体" w:hint="eastAsia"/>
                <w:sz w:val="20"/>
              </w:rPr>
              <w:t>计）（</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5"/>
              <w:ind w:left="279"/>
              <w:jc w:val="left"/>
              <w:rPr>
                <w:sz w:val="20"/>
              </w:rPr>
            </w:pPr>
            <w:r>
              <w:rPr>
                <w:sz w:val="20"/>
              </w:rPr>
              <w:t>≤2.0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5"/>
              <w:ind w:left="106" w:right="78"/>
              <w:rPr>
                <w:sz w:val="20"/>
              </w:rPr>
            </w:pPr>
            <w:r>
              <w:rPr>
                <w:sz w:val="20"/>
              </w:rPr>
              <w:t>≤5.0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5"/>
              <w:ind w:left="108" w:right="73"/>
              <w:rPr>
                <w:sz w:val="20"/>
              </w:rPr>
            </w:pPr>
            <w:r>
              <w:rPr>
                <w:sz w:val="20"/>
              </w:rPr>
              <w:t>≤20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5"/>
              <w:ind w:left="118" w:right="81"/>
              <w:rPr>
                <w:sz w:val="20"/>
              </w:rPr>
            </w:pPr>
            <w:r>
              <w:rPr>
                <w:sz w:val="20"/>
              </w:rPr>
              <w:t>≤30</w:t>
            </w:r>
          </w:p>
        </w:tc>
        <w:tc>
          <w:tcPr>
            <w:tcW w:w="1019" w:type="dxa"/>
            <w:tcBorders>
              <w:top w:val="single" w:sz="6" w:space="0" w:color="000000"/>
              <w:left w:val="single" w:sz="6" w:space="0" w:color="000000"/>
              <w:bottom w:val="single" w:sz="6" w:space="0" w:color="000000"/>
            </w:tcBorders>
          </w:tcPr>
          <w:p>
            <w:pPr>
              <w:pStyle w:val="TableParagraph"/>
              <w:spacing w:before="65"/>
              <w:ind w:left="110" w:right="66"/>
              <w:rPr>
                <w:sz w:val="20"/>
              </w:rPr>
            </w:pPr>
            <w:r>
              <w:rPr>
                <w:sz w:val="20"/>
              </w:rPr>
              <w:t>&gt;30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20"/>
              <w:rPr>
                <w:sz w:val="20"/>
              </w:rPr>
            </w:pPr>
            <w:r>
              <w:rPr>
                <w:w w:val="99"/>
                <w:sz w:val="20"/>
              </w:rPr>
              <w:t>6</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6" w:right="44"/>
              <w:rPr>
                <w:rFonts w:ascii="宋体" w:eastAsia="宋体" w:hint="eastAsia"/>
                <w:sz w:val="20"/>
              </w:rPr>
            </w:pPr>
            <w:r>
              <w:rPr>
                <w:rFonts w:ascii="宋体" w:eastAsia="宋体" w:hint="eastAsia"/>
                <w:sz w:val="20"/>
              </w:rPr>
              <w:t>挥发性酚类（以苯酚计）（</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149"/>
              <w:jc w:val="right"/>
              <w:rPr>
                <w:sz w:val="20"/>
              </w:rPr>
            </w:pPr>
            <w:r>
              <w:rPr>
                <w:w w:val="95"/>
                <w:sz w:val="20"/>
              </w:rPr>
              <w:t>≤0.001</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81"/>
              <w:rPr>
                <w:sz w:val="20"/>
              </w:rPr>
            </w:pPr>
            <w:r>
              <w:rPr>
                <w:sz w:val="20"/>
              </w:rPr>
              <w:t>≤0.001</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8" w:right="75"/>
              <w:rPr>
                <w:sz w:val="20"/>
              </w:rPr>
            </w:pPr>
            <w:r>
              <w:rPr>
                <w:sz w:val="20"/>
              </w:rPr>
              <w:t>≤0.002</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6" w:right="83"/>
              <w:rPr>
                <w:sz w:val="20"/>
              </w:rPr>
            </w:pPr>
            <w:r>
              <w:rPr>
                <w:sz w:val="20"/>
              </w:rPr>
              <w:t>≤0.01</w:t>
            </w:r>
          </w:p>
        </w:tc>
        <w:tc>
          <w:tcPr>
            <w:tcW w:w="1019" w:type="dxa"/>
            <w:tcBorders>
              <w:top w:val="single" w:sz="6" w:space="0" w:color="000000"/>
              <w:left w:val="single" w:sz="6" w:space="0" w:color="000000"/>
              <w:bottom w:val="single" w:sz="6" w:space="0" w:color="000000"/>
            </w:tcBorders>
          </w:tcPr>
          <w:p>
            <w:pPr>
              <w:pStyle w:val="TableParagraph"/>
              <w:spacing w:before="62"/>
              <w:ind w:left="112" w:right="66"/>
              <w:rPr>
                <w:sz w:val="20"/>
              </w:rPr>
            </w:pPr>
            <w:r>
              <w:rPr>
                <w:sz w:val="20"/>
              </w:rPr>
              <w:t>&gt;0.01</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20"/>
              <w:rPr>
                <w:sz w:val="20"/>
              </w:rPr>
            </w:pPr>
            <w:r>
              <w:rPr>
                <w:w w:val="99"/>
                <w:sz w:val="20"/>
              </w:rPr>
              <w:t>7</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3"/>
              <w:ind w:left="76" w:right="44"/>
              <w:rPr>
                <w:rFonts w:ascii="宋体" w:eastAsia="宋体" w:hint="eastAsia"/>
                <w:sz w:val="20"/>
              </w:rPr>
            </w:pPr>
            <w:r>
              <w:rPr>
                <w:rFonts w:ascii="宋体" w:eastAsia="宋体" w:hint="eastAsia"/>
                <w:position w:val="1"/>
                <w:sz w:val="20"/>
              </w:rPr>
              <w:t>总硬度（以 </w:t>
            </w:r>
            <w:r>
              <w:rPr>
                <w:position w:val="2"/>
                <w:sz w:val="20"/>
              </w:rPr>
              <w:t>CaCO</w:t>
            </w:r>
            <w:r>
              <w:rPr>
                <w:sz w:val="13"/>
              </w:rPr>
              <w:t>3 </w:t>
            </w:r>
            <w:r>
              <w:rPr>
                <w:rFonts w:ascii="宋体" w:eastAsia="宋体" w:hint="eastAsia"/>
                <w:position w:val="1"/>
                <w:sz w:val="20"/>
              </w:rPr>
              <w:t>计）（</w:t>
            </w:r>
            <w:r>
              <w:rPr>
                <w:position w:val="2"/>
                <w:sz w:val="20"/>
              </w:rPr>
              <w:t>mg/L</w:t>
            </w:r>
            <w:r>
              <w:rPr>
                <w:rFonts w:ascii="宋体" w:eastAsia="宋体" w:hint="eastAsia"/>
                <w:position w:val="1"/>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left="252"/>
              <w:jc w:val="left"/>
              <w:rPr>
                <w:sz w:val="20"/>
              </w:rPr>
            </w:pPr>
            <w:r>
              <w:rPr>
                <w:sz w:val="20"/>
              </w:rPr>
              <w:t>≤150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9"/>
              <w:rPr>
                <w:sz w:val="20"/>
              </w:rPr>
            </w:pPr>
            <w:r>
              <w:rPr>
                <w:sz w:val="20"/>
              </w:rPr>
              <w:t>≤300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8" w:right="73"/>
              <w:rPr>
                <w:sz w:val="20"/>
              </w:rPr>
            </w:pPr>
            <w:r>
              <w:rPr>
                <w:sz w:val="20"/>
              </w:rPr>
              <w:t>≤450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8" w:right="81"/>
              <w:rPr>
                <w:sz w:val="20"/>
              </w:rPr>
            </w:pPr>
            <w:r>
              <w:rPr>
                <w:sz w:val="20"/>
              </w:rPr>
              <w:t>≤650</w:t>
            </w:r>
          </w:p>
        </w:tc>
        <w:tc>
          <w:tcPr>
            <w:tcW w:w="1019" w:type="dxa"/>
            <w:tcBorders>
              <w:top w:val="single" w:sz="6" w:space="0" w:color="000000"/>
              <w:left w:val="single" w:sz="6" w:space="0" w:color="000000"/>
              <w:bottom w:val="single" w:sz="6" w:space="0" w:color="000000"/>
            </w:tcBorders>
          </w:tcPr>
          <w:p>
            <w:pPr>
              <w:pStyle w:val="TableParagraph"/>
              <w:spacing w:before="62"/>
              <w:ind w:left="110" w:right="66"/>
              <w:rPr>
                <w:sz w:val="20"/>
              </w:rPr>
            </w:pPr>
            <w:r>
              <w:rPr>
                <w:sz w:val="20"/>
              </w:rPr>
              <w:t>&gt;650</w:t>
            </w:r>
          </w:p>
        </w:tc>
      </w:tr>
      <w:tr>
        <w:trPr>
          <w:trHeight w:val="356" w:hRule="atLeast"/>
        </w:trPr>
        <w:tc>
          <w:tcPr>
            <w:tcW w:w="638" w:type="dxa"/>
            <w:tcBorders>
              <w:top w:val="single" w:sz="6" w:space="0" w:color="000000"/>
              <w:bottom w:val="single" w:sz="6" w:space="0" w:color="000000"/>
              <w:right w:val="single" w:sz="6" w:space="0" w:color="000000"/>
            </w:tcBorders>
          </w:tcPr>
          <w:p>
            <w:pPr>
              <w:pStyle w:val="TableParagraph"/>
              <w:spacing w:before="62"/>
              <w:ind w:left="20"/>
              <w:rPr>
                <w:sz w:val="20"/>
              </w:rPr>
            </w:pPr>
            <w:r>
              <w:rPr>
                <w:w w:val="99"/>
                <w:sz w:val="20"/>
              </w:rPr>
              <w:t>8</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6" w:right="47"/>
              <w:rPr>
                <w:rFonts w:ascii="宋体" w:eastAsia="宋体" w:hint="eastAsia"/>
                <w:sz w:val="20"/>
              </w:rPr>
            </w:pPr>
            <w:r>
              <w:rPr>
                <w:rFonts w:ascii="宋体" w:eastAsia="宋体" w:hint="eastAsia"/>
                <w:sz w:val="20"/>
              </w:rPr>
              <w:t>铬（六价）（</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149"/>
              <w:jc w:val="right"/>
              <w:rPr>
                <w:sz w:val="20"/>
              </w:rPr>
            </w:pPr>
            <w:r>
              <w:rPr>
                <w:w w:val="95"/>
                <w:sz w:val="20"/>
              </w:rPr>
              <w:t>≤0.005</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≤0.01</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5"/>
              <w:rPr>
                <w:sz w:val="20"/>
              </w:rPr>
            </w:pPr>
            <w:r>
              <w:rPr>
                <w:sz w:val="20"/>
              </w:rPr>
              <w:t>≤0.05</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6" w:right="83"/>
              <w:rPr>
                <w:sz w:val="20"/>
              </w:rPr>
            </w:pPr>
            <w:r>
              <w:rPr>
                <w:sz w:val="20"/>
              </w:rPr>
              <w:t>≤0.10</w:t>
            </w:r>
          </w:p>
        </w:tc>
        <w:tc>
          <w:tcPr>
            <w:tcW w:w="1019" w:type="dxa"/>
            <w:tcBorders>
              <w:top w:val="single" w:sz="6" w:space="0" w:color="000000"/>
              <w:left w:val="single" w:sz="6" w:space="0" w:color="000000"/>
              <w:bottom w:val="single" w:sz="6" w:space="0" w:color="000000"/>
            </w:tcBorders>
          </w:tcPr>
          <w:p>
            <w:pPr>
              <w:pStyle w:val="TableParagraph"/>
              <w:spacing w:before="62"/>
              <w:ind w:left="112" w:right="66"/>
              <w:rPr>
                <w:sz w:val="20"/>
              </w:rPr>
            </w:pPr>
            <w:r>
              <w:rPr>
                <w:sz w:val="20"/>
              </w:rPr>
              <w:t>&gt;0.10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5"/>
              <w:ind w:left="20"/>
              <w:rPr>
                <w:sz w:val="20"/>
              </w:rPr>
            </w:pPr>
            <w:r>
              <w:rPr>
                <w:w w:val="99"/>
                <w:sz w:val="20"/>
              </w:rPr>
              <w:t>9</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4"/>
              <w:ind w:left="74" w:right="47"/>
              <w:rPr>
                <w:rFonts w:ascii="宋体" w:eastAsia="宋体" w:hint="eastAsia"/>
                <w:sz w:val="20"/>
              </w:rPr>
            </w:pPr>
            <w:r>
              <w:rPr>
                <w:rFonts w:ascii="宋体" w:eastAsia="宋体" w:hint="eastAsia"/>
                <w:sz w:val="20"/>
              </w:rPr>
              <w:t>铅（</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5"/>
              <w:ind w:right="149"/>
              <w:jc w:val="right"/>
              <w:rPr>
                <w:sz w:val="20"/>
              </w:rPr>
            </w:pPr>
            <w:r>
              <w:rPr>
                <w:w w:val="95"/>
                <w:sz w:val="20"/>
              </w:rPr>
              <w:t>≤0.005</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5"/>
              <w:ind w:left="106" w:right="81"/>
              <w:rPr>
                <w:sz w:val="20"/>
              </w:rPr>
            </w:pPr>
            <w:r>
              <w:rPr>
                <w:sz w:val="20"/>
              </w:rPr>
              <w:t>≤0.005</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5"/>
              <w:ind w:left="106" w:right="75"/>
              <w:rPr>
                <w:sz w:val="20"/>
              </w:rPr>
            </w:pPr>
            <w:r>
              <w:rPr>
                <w:sz w:val="20"/>
              </w:rPr>
              <w:t>≤0.01</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5"/>
              <w:ind w:left="116" w:right="83"/>
              <w:rPr>
                <w:sz w:val="20"/>
              </w:rPr>
            </w:pPr>
            <w:r>
              <w:rPr>
                <w:sz w:val="20"/>
              </w:rPr>
              <w:t>≤0.10</w:t>
            </w:r>
          </w:p>
        </w:tc>
        <w:tc>
          <w:tcPr>
            <w:tcW w:w="1019" w:type="dxa"/>
            <w:tcBorders>
              <w:top w:val="single" w:sz="6" w:space="0" w:color="000000"/>
              <w:left w:val="single" w:sz="6" w:space="0" w:color="000000"/>
              <w:bottom w:val="single" w:sz="6" w:space="0" w:color="000000"/>
            </w:tcBorders>
          </w:tcPr>
          <w:p>
            <w:pPr>
              <w:pStyle w:val="TableParagraph"/>
              <w:spacing w:before="65"/>
              <w:ind w:left="112" w:right="66"/>
              <w:rPr>
                <w:sz w:val="20"/>
              </w:rPr>
            </w:pPr>
            <w:r>
              <w:rPr>
                <w:sz w:val="20"/>
              </w:rPr>
              <w:t>&gt;0.10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10</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镉（</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99"/>
              <w:jc w:val="right"/>
              <w:rPr>
                <w:sz w:val="20"/>
              </w:rPr>
            </w:pPr>
            <w:r>
              <w:rPr>
                <w:w w:val="95"/>
                <w:sz w:val="20"/>
              </w:rPr>
              <w:t>≤0.0001</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81"/>
              <w:rPr>
                <w:sz w:val="20"/>
              </w:rPr>
            </w:pPr>
            <w:r>
              <w:rPr>
                <w:sz w:val="20"/>
              </w:rPr>
              <w:t>≤0.001</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8" w:right="75"/>
              <w:rPr>
                <w:sz w:val="20"/>
              </w:rPr>
            </w:pPr>
            <w:r>
              <w:rPr>
                <w:sz w:val="20"/>
              </w:rPr>
              <w:t>≤0.005</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6" w:right="83"/>
              <w:rPr>
                <w:sz w:val="20"/>
              </w:rPr>
            </w:pPr>
            <w:r>
              <w:rPr>
                <w:sz w:val="20"/>
              </w:rPr>
              <w:t>≤0.01</w:t>
            </w:r>
          </w:p>
        </w:tc>
        <w:tc>
          <w:tcPr>
            <w:tcW w:w="1019" w:type="dxa"/>
            <w:tcBorders>
              <w:top w:val="single" w:sz="6" w:space="0" w:color="000000"/>
              <w:left w:val="single" w:sz="6" w:space="0" w:color="000000"/>
              <w:bottom w:val="single" w:sz="6" w:space="0" w:color="000000"/>
            </w:tcBorders>
          </w:tcPr>
          <w:p>
            <w:pPr>
              <w:pStyle w:val="TableParagraph"/>
              <w:spacing w:before="62"/>
              <w:ind w:left="112" w:right="66"/>
              <w:rPr>
                <w:sz w:val="20"/>
              </w:rPr>
            </w:pPr>
            <w:r>
              <w:rPr>
                <w:sz w:val="20"/>
              </w:rPr>
              <w:t>&gt;0.01</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68" w:right="56"/>
              <w:rPr>
                <w:sz w:val="20"/>
              </w:rPr>
            </w:pPr>
            <w:r>
              <w:rPr>
                <w:sz w:val="20"/>
              </w:rPr>
              <w:t>11</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锰（</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197"/>
              <w:jc w:val="right"/>
              <w:rPr>
                <w:sz w:val="20"/>
              </w:rPr>
            </w:pPr>
            <w:r>
              <w:rPr>
                <w:sz w:val="20"/>
              </w:rPr>
              <w:t>≤0.05</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≤0.05</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5"/>
              <w:rPr>
                <w:sz w:val="20"/>
              </w:rPr>
            </w:pPr>
            <w:r>
              <w:rPr>
                <w:sz w:val="20"/>
              </w:rPr>
              <w:t>≤0.1</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116" w:right="83"/>
              <w:rPr>
                <w:sz w:val="20"/>
              </w:rPr>
            </w:pPr>
            <w:r>
              <w:rPr>
                <w:sz w:val="20"/>
              </w:rPr>
              <w:t>≤1.5</w:t>
            </w:r>
          </w:p>
        </w:tc>
        <w:tc>
          <w:tcPr>
            <w:tcW w:w="1019" w:type="dxa"/>
            <w:tcBorders>
              <w:top w:val="single" w:sz="6" w:space="0" w:color="000000"/>
              <w:left w:val="single" w:sz="6" w:space="0" w:color="000000"/>
              <w:bottom w:val="single" w:sz="6" w:space="0" w:color="000000"/>
            </w:tcBorders>
          </w:tcPr>
          <w:p>
            <w:pPr>
              <w:pStyle w:val="TableParagraph"/>
              <w:spacing w:before="62"/>
              <w:ind w:left="113" w:right="66"/>
              <w:rPr>
                <w:sz w:val="20"/>
              </w:rPr>
            </w:pPr>
            <w:r>
              <w:rPr>
                <w:sz w:val="20"/>
              </w:rPr>
              <w:t>&gt;1.5</w:t>
            </w:r>
          </w:p>
        </w:tc>
      </w:tr>
      <w:tr>
        <w:trPr>
          <w:trHeight w:val="356" w:hRule="atLeast"/>
        </w:trPr>
        <w:tc>
          <w:tcPr>
            <w:tcW w:w="638" w:type="dxa"/>
            <w:tcBorders>
              <w:top w:val="single" w:sz="6" w:space="0" w:color="000000"/>
              <w:right w:val="single" w:sz="6" w:space="0" w:color="000000"/>
            </w:tcBorders>
          </w:tcPr>
          <w:p>
            <w:pPr>
              <w:pStyle w:val="TableParagraph"/>
              <w:spacing w:before="62"/>
              <w:ind w:left="77" w:right="56"/>
              <w:rPr>
                <w:sz w:val="20"/>
              </w:rPr>
            </w:pPr>
            <w:r>
              <w:rPr>
                <w:sz w:val="20"/>
              </w:rPr>
              <w:t>12</w:t>
            </w:r>
          </w:p>
        </w:tc>
        <w:tc>
          <w:tcPr>
            <w:tcW w:w="3790" w:type="dxa"/>
            <w:tcBorders>
              <w:top w:val="single" w:sz="6" w:space="0" w:color="000000"/>
              <w:left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铁（</w:t>
            </w:r>
            <w:r>
              <w:rPr>
                <w:position w:val="1"/>
                <w:sz w:val="20"/>
              </w:rPr>
              <w:t>mg/L</w:t>
            </w:r>
            <w:r>
              <w:rPr>
                <w:rFonts w:ascii="宋体" w:eastAsia="宋体" w:hint="eastAsia"/>
                <w:sz w:val="20"/>
              </w:rPr>
              <w:t>）</w:t>
            </w:r>
          </w:p>
        </w:tc>
        <w:tc>
          <w:tcPr>
            <w:tcW w:w="904" w:type="dxa"/>
            <w:tcBorders>
              <w:top w:val="single" w:sz="6" w:space="0" w:color="000000"/>
              <w:left w:val="single" w:sz="6" w:space="0" w:color="000000"/>
              <w:right w:val="single" w:sz="6" w:space="0" w:color="000000"/>
            </w:tcBorders>
          </w:tcPr>
          <w:p>
            <w:pPr>
              <w:pStyle w:val="TableParagraph"/>
              <w:spacing w:before="62"/>
              <w:ind w:left="279"/>
              <w:jc w:val="left"/>
              <w:rPr>
                <w:sz w:val="20"/>
              </w:rPr>
            </w:pPr>
            <w:r>
              <w:rPr>
                <w:sz w:val="20"/>
              </w:rPr>
              <w:t>≤0.1</w:t>
            </w:r>
          </w:p>
        </w:tc>
        <w:tc>
          <w:tcPr>
            <w:tcW w:w="902" w:type="dxa"/>
            <w:tcBorders>
              <w:top w:val="single" w:sz="6" w:space="0" w:color="000000"/>
              <w:left w:val="single" w:sz="6" w:space="0" w:color="000000"/>
              <w:right w:val="single" w:sz="6" w:space="0" w:color="000000"/>
            </w:tcBorders>
          </w:tcPr>
          <w:p>
            <w:pPr>
              <w:pStyle w:val="TableParagraph"/>
              <w:spacing w:before="62"/>
              <w:ind w:left="106" w:right="78"/>
              <w:rPr>
                <w:sz w:val="20"/>
              </w:rPr>
            </w:pPr>
            <w:r>
              <w:rPr>
                <w:sz w:val="20"/>
              </w:rPr>
              <w:t>≤0.2</w:t>
            </w:r>
          </w:p>
        </w:tc>
        <w:tc>
          <w:tcPr>
            <w:tcW w:w="799" w:type="dxa"/>
            <w:tcBorders>
              <w:top w:val="single" w:sz="6" w:space="0" w:color="000000"/>
              <w:left w:val="single" w:sz="6" w:space="0" w:color="000000"/>
              <w:right w:val="single" w:sz="6" w:space="0" w:color="000000"/>
            </w:tcBorders>
          </w:tcPr>
          <w:p>
            <w:pPr>
              <w:pStyle w:val="TableParagraph"/>
              <w:spacing w:before="62"/>
              <w:ind w:left="106" w:right="75"/>
              <w:rPr>
                <w:sz w:val="20"/>
              </w:rPr>
            </w:pPr>
            <w:r>
              <w:rPr>
                <w:sz w:val="20"/>
              </w:rPr>
              <w:t>≤0.3</w:t>
            </w:r>
          </w:p>
        </w:tc>
        <w:tc>
          <w:tcPr>
            <w:tcW w:w="1374" w:type="dxa"/>
            <w:tcBorders>
              <w:top w:val="single" w:sz="6" w:space="0" w:color="000000"/>
              <w:left w:val="single" w:sz="6" w:space="0" w:color="000000"/>
              <w:right w:val="single" w:sz="6" w:space="0" w:color="000000"/>
            </w:tcBorders>
          </w:tcPr>
          <w:p>
            <w:pPr>
              <w:pStyle w:val="TableParagraph"/>
              <w:spacing w:before="62"/>
              <w:ind w:left="116" w:right="83"/>
              <w:rPr>
                <w:sz w:val="20"/>
              </w:rPr>
            </w:pPr>
            <w:r>
              <w:rPr>
                <w:sz w:val="20"/>
              </w:rPr>
              <w:t>≤2.0</w:t>
            </w:r>
          </w:p>
        </w:tc>
        <w:tc>
          <w:tcPr>
            <w:tcW w:w="1019" w:type="dxa"/>
            <w:tcBorders>
              <w:top w:val="single" w:sz="6" w:space="0" w:color="000000"/>
              <w:left w:val="single" w:sz="6" w:space="0" w:color="000000"/>
            </w:tcBorders>
          </w:tcPr>
          <w:p>
            <w:pPr>
              <w:pStyle w:val="TableParagraph"/>
              <w:spacing w:before="62"/>
              <w:ind w:left="113" w:right="66"/>
              <w:rPr>
                <w:sz w:val="20"/>
              </w:rPr>
            </w:pPr>
            <w:r>
              <w:rPr>
                <w:sz w:val="20"/>
              </w:rPr>
              <w:t>&gt;2.0</w:t>
            </w:r>
          </w:p>
        </w:tc>
      </w:tr>
    </w:tbl>
    <w:p>
      <w:pPr>
        <w:spacing w:after="0"/>
        <w:rPr>
          <w:sz w:val="20"/>
        </w:rPr>
        <w:sectPr>
          <w:pgSz w:w="11910" w:h="16840"/>
          <w:pgMar w:header="874" w:footer="1004" w:top="1400" w:bottom="1200" w:left="1040" w:right="1160"/>
        </w:sectPr>
      </w:pPr>
    </w:p>
    <w:p>
      <w:pPr>
        <w:pStyle w:val="BodyText"/>
        <w:spacing w:before="4"/>
        <w:ind w:left="0"/>
        <w:rPr>
          <w:rFonts w:ascii="Times New Roman"/>
          <w:b/>
          <w:sz w:val="3"/>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8"/>
        <w:gridCol w:w="3790"/>
        <w:gridCol w:w="904"/>
        <w:gridCol w:w="902"/>
        <w:gridCol w:w="799"/>
        <w:gridCol w:w="1374"/>
        <w:gridCol w:w="1019"/>
      </w:tblGrid>
      <w:tr>
        <w:trPr>
          <w:trHeight w:val="359" w:hRule="atLeast"/>
        </w:trPr>
        <w:tc>
          <w:tcPr>
            <w:tcW w:w="638" w:type="dxa"/>
            <w:tcBorders>
              <w:bottom w:val="single" w:sz="6" w:space="0" w:color="000000"/>
              <w:right w:val="single" w:sz="6" w:space="0" w:color="000000"/>
            </w:tcBorders>
          </w:tcPr>
          <w:p>
            <w:pPr>
              <w:pStyle w:val="TableParagraph"/>
              <w:spacing w:before="54"/>
              <w:ind w:left="77" w:right="56"/>
              <w:rPr>
                <w:rFonts w:ascii="宋体" w:eastAsia="宋体" w:hint="eastAsia"/>
                <w:b/>
                <w:sz w:val="20"/>
              </w:rPr>
            </w:pPr>
            <w:r>
              <w:rPr>
                <w:rFonts w:ascii="宋体" w:eastAsia="宋体" w:hint="eastAsia"/>
                <w:b/>
                <w:sz w:val="20"/>
              </w:rPr>
              <w:t>序号</w:t>
            </w:r>
          </w:p>
        </w:tc>
        <w:tc>
          <w:tcPr>
            <w:tcW w:w="3790" w:type="dxa"/>
            <w:tcBorders>
              <w:left w:val="single" w:sz="6" w:space="0" w:color="000000"/>
              <w:bottom w:val="single" w:sz="6" w:space="0" w:color="000000"/>
              <w:right w:val="single" w:sz="6" w:space="0" w:color="000000"/>
            </w:tcBorders>
          </w:tcPr>
          <w:p>
            <w:pPr>
              <w:pStyle w:val="TableParagraph"/>
              <w:spacing w:before="54"/>
              <w:ind w:left="76" w:right="44"/>
              <w:rPr>
                <w:rFonts w:ascii="宋体" w:eastAsia="宋体" w:hint="eastAsia"/>
                <w:b/>
                <w:sz w:val="20"/>
              </w:rPr>
            </w:pPr>
            <w:r>
              <w:rPr>
                <w:rFonts w:ascii="宋体" w:eastAsia="宋体" w:hint="eastAsia"/>
                <w:b/>
                <w:sz w:val="20"/>
              </w:rPr>
              <w:t>标准值</w:t>
            </w:r>
          </w:p>
        </w:tc>
        <w:tc>
          <w:tcPr>
            <w:tcW w:w="904" w:type="dxa"/>
            <w:tcBorders>
              <w:left w:val="single" w:sz="6" w:space="0" w:color="000000"/>
              <w:bottom w:val="single" w:sz="6" w:space="0" w:color="000000"/>
              <w:right w:val="single" w:sz="6" w:space="0" w:color="000000"/>
            </w:tcBorders>
          </w:tcPr>
          <w:p>
            <w:pPr>
              <w:pStyle w:val="TableParagraph"/>
              <w:spacing w:before="54"/>
              <w:ind w:left="257"/>
              <w:jc w:val="left"/>
              <w:rPr>
                <w:rFonts w:ascii="宋体" w:hAnsi="宋体" w:eastAsia="宋体" w:hint="eastAsia"/>
                <w:b/>
                <w:sz w:val="20"/>
              </w:rPr>
            </w:pPr>
            <w:r>
              <w:rPr>
                <w:rFonts w:ascii="宋体" w:hAnsi="宋体" w:eastAsia="宋体" w:hint="eastAsia"/>
                <w:b/>
                <w:sz w:val="20"/>
              </w:rPr>
              <w:t>Ⅰ类</w:t>
            </w:r>
          </w:p>
        </w:tc>
        <w:tc>
          <w:tcPr>
            <w:tcW w:w="902" w:type="dxa"/>
            <w:tcBorders>
              <w:left w:val="single" w:sz="6" w:space="0" w:color="000000"/>
              <w:bottom w:val="single" w:sz="6" w:space="0" w:color="000000"/>
              <w:right w:val="single" w:sz="6" w:space="0" w:color="000000"/>
            </w:tcBorders>
          </w:tcPr>
          <w:p>
            <w:pPr>
              <w:pStyle w:val="TableParagraph"/>
              <w:spacing w:before="54"/>
              <w:ind w:left="106" w:right="81"/>
              <w:rPr>
                <w:rFonts w:ascii="宋体" w:hAnsi="宋体" w:eastAsia="宋体" w:hint="eastAsia"/>
                <w:b/>
                <w:sz w:val="20"/>
              </w:rPr>
            </w:pPr>
            <w:r>
              <w:rPr>
                <w:rFonts w:ascii="宋体" w:hAnsi="宋体" w:eastAsia="宋体" w:hint="eastAsia"/>
                <w:b/>
                <w:sz w:val="20"/>
              </w:rPr>
              <w:t>Ⅱ类</w:t>
            </w:r>
          </w:p>
        </w:tc>
        <w:tc>
          <w:tcPr>
            <w:tcW w:w="799" w:type="dxa"/>
            <w:tcBorders>
              <w:left w:val="single" w:sz="6" w:space="0" w:color="000000"/>
              <w:bottom w:val="single" w:sz="6" w:space="0" w:color="000000"/>
              <w:right w:val="single" w:sz="6" w:space="0" w:color="000000"/>
            </w:tcBorders>
          </w:tcPr>
          <w:p>
            <w:pPr>
              <w:pStyle w:val="TableParagraph"/>
              <w:spacing w:before="54"/>
              <w:ind w:left="208"/>
              <w:jc w:val="left"/>
              <w:rPr>
                <w:rFonts w:ascii="宋体" w:hAnsi="宋体" w:eastAsia="宋体" w:hint="eastAsia"/>
                <w:b/>
                <w:sz w:val="20"/>
              </w:rPr>
            </w:pPr>
            <w:r>
              <w:rPr>
                <w:rFonts w:ascii="宋体" w:hAnsi="宋体" w:eastAsia="宋体" w:hint="eastAsia"/>
                <w:b/>
                <w:sz w:val="20"/>
              </w:rPr>
              <w:t>Ⅲ类</w:t>
            </w:r>
          </w:p>
        </w:tc>
        <w:tc>
          <w:tcPr>
            <w:tcW w:w="1374" w:type="dxa"/>
            <w:tcBorders>
              <w:left w:val="single" w:sz="6" w:space="0" w:color="000000"/>
              <w:bottom w:val="single" w:sz="6" w:space="0" w:color="000000"/>
              <w:right w:val="single" w:sz="6" w:space="0" w:color="000000"/>
            </w:tcBorders>
          </w:tcPr>
          <w:p>
            <w:pPr>
              <w:pStyle w:val="TableParagraph"/>
              <w:spacing w:before="54"/>
              <w:ind w:left="497"/>
              <w:jc w:val="left"/>
              <w:rPr>
                <w:rFonts w:ascii="宋体" w:hAnsi="宋体" w:eastAsia="宋体" w:hint="eastAsia"/>
                <w:b/>
                <w:sz w:val="20"/>
              </w:rPr>
            </w:pPr>
            <w:r>
              <w:rPr>
                <w:rFonts w:ascii="宋体" w:hAnsi="宋体" w:eastAsia="宋体" w:hint="eastAsia"/>
                <w:b/>
                <w:sz w:val="20"/>
              </w:rPr>
              <w:t>Ⅳ类</w:t>
            </w:r>
          </w:p>
        </w:tc>
        <w:tc>
          <w:tcPr>
            <w:tcW w:w="1019" w:type="dxa"/>
            <w:tcBorders>
              <w:left w:val="single" w:sz="6" w:space="0" w:color="000000"/>
              <w:bottom w:val="single" w:sz="6" w:space="0" w:color="000000"/>
            </w:tcBorders>
          </w:tcPr>
          <w:p>
            <w:pPr>
              <w:pStyle w:val="TableParagraph"/>
              <w:spacing w:before="54"/>
              <w:ind w:right="272"/>
              <w:jc w:val="right"/>
              <w:rPr>
                <w:rFonts w:ascii="宋体" w:hAnsi="宋体" w:eastAsia="宋体" w:hint="eastAsia"/>
                <w:b/>
                <w:sz w:val="20"/>
              </w:rPr>
            </w:pPr>
            <w:r>
              <w:rPr>
                <w:rFonts w:ascii="宋体" w:hAnsi="宋体" w:eastAsia="宋体" w:hint="eastAsia"/>
                <w:b/>
                <w:w w:val="95"/>
                <w:sz w:val="20"/>
              </w:rPr>
              <w:t>Ⅴ类</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13</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汞（</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99"/>
              <w:jc w:val="right"/>
              <w:rPr>
                <w:sz w:val="20"/>
              </w:rPr>
            </w:pPr>
            <w:r>
              <w:rPr>
                <w:w w:val="95"/>
                <w:sz w:val="20"/>
              </w:rPr>
              <w:t>≤0.0001</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81"/>
              <w:rPr>
                <w:sz w:val="20"/>
              </w:rPr>
            </w:pPr>
            <w:r>
              <w:rPr>
                <w:sz w:val="20"/>
              </w:rPr>
              <w:t>≤0.0001</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29"/>
              <w:jc w:val="left"/>
              <w:rPr>
                <w:sz w:val="20"/>
              </w:rPr>
            </w:pPr>
            <w:r>
              <w:rPr>
                <w:sz w:val="20"/>
              </w:rPr>
              <w:t>≤0.001</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417"/>
              <w:jc w:val="left"/>
              <w:rPr>
                <w:sz w:val="20"/>
              </w:rPr>
            </w:pPr>
            <w:r>
              <w:rPr>
                <w:sz w:val="20"/>
              </w:rPr>
              <w:t>≤0.002</w:t>
            </w:r>
          </w:p>
        </w:tc>
        <w:tc>
          <w:tcPr>
            <w:tcW w:w="1019" w:type="dxa"/>
            <w:tcBorders>
              <w:top w:val="single" w:sz="6" w:space="0" w:color="000000"/>
              <w:left w:val="single" w:sz="6" w:space="0" w:color="000000"/>
              <w:bottom w:val="single" w:sz="6" w:space="0" w:color="000000"/>
            </w:tcBorders>
          </w:tcPr>
          <w:p>
            <w:pPr>
              <w:pStyle w:val="TableParagraph"/>
              <w:spacing w:before="62"/>
              <w:ind w:right="191"/>
              <w:jc w:val="right"/>
              <w:rPr>
                <w:sz w:val="20"/>
              </w:rPr>
            </w:pPr>
            <w:r>
              <w:rPr>
                <w:sz w:val="20"/>
              </w:rPr>
              <w:t>&gt;0.002</w:t>
            </w:r>
          </w:p>
        </w:tc>
      </w:tr>
      <w:tr>
        <w:trPr>
          <w:trHeight w:val="357"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14</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砷（</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149"/>
              <w:jc w:val="right"/>
              <w:rPr>
                <w:sz w:val="20"/>
              </w:rPr>
            </w:pPr>
            <w:r>
              <w:rPr>
                <w:w w:val="95"/>
                <w:sz w:val="20"/>
              </w:rPr>
              <w:t>≤0.001</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81"/>
              <w:rPr>
                <w:sz w:val="20"/>
              </w:rPr>
            </w:pPr>
            <w:r>
              <w:rPr>
                <w:sz w:val="20"/>
              </w:rPr>
              <w:t>≤0.001</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77"/>
              <w:jc w:val="left"/>
              <w:rPr>
                <w:sz w:val="20"/>
              </w:rPr>
            </w:pPr>
            <w:r>
              <w:rPr>
                <w:sz w:val="20"/>
              </w:rPr>
              <w:t>≤0.01</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465"/>
              <w:jc w:val="left"/>
              <w:rPr>
                <w:sz w:val="20"/>
              </w:rPr>
            </w:pPr>
            <w:r>
              <w:rPr>
                <w:sz w:val="20"/>
              </w:rPr>
              <w:t>≤0.05</w:t>
            </w:r>
          </w:p>
        </w:tc>
        <w:tc>
          <w:tcPr>
            <w:tcW w:w="1019" w:type="dxa"/>
            <w:tcBorders>
              <w:top w:val="single" w:sz="6" w:space="0" w:color="000000"/>
              <w:left w:val="single" w:sz="6" w:space="0" w:color="000000"/>
              <w:bottom w:val="single" w:sz="6" w:space="0" w:color="000000"/>
            </w:tcBorders>
          </w:tcPr>
          <w:p>
            <w:pPr>
              <w:pStyle w:val="TableParagraph"/>
              <w:spacing w:before="62"/>
              <w:ind w:right="240"/>
              <w:jc w:val="right"/>
              <w:rPr>
                <w:sz w:val="20"/>
              </w:rPr>
            </w:pPr>
            <w:r>
              <w:rPr>
                <w:sz w:val="20"/>
              </w:rPr>
              <w:t>&gt;0.05</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5"/>
              <w:ind w:left="77" w:right="56"/>
              <w:rPr>
                <w:sz w:val="20"/>
              </w:rPr>
            </w:pPr>
            <w:r>
              <w:rPr>
                <w:sz w:val="20"/>
              </w:rPr>
              <w:t>15</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4"/>
              <w:ind w:left="74" w:right="47"/>
              <w:rPr>
                <w:rFonts w:ascii="宋体" w:eastAsia="宋体" w:hint="eastAsia"/>
                <w:sz w:val="20"/>
              </w:rPr>
            </w:pPr>
            <w:r>
              <w:rPr>
                <w:rFonts w:ascii="宋体" w:eastAsia="宋体" w:hint="eastAsia"/>
                <w:sz w:val="20"/>
              </w:rPr>
              <w:t>溶解性总固体（</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5"/>
              <w:ind w:left="252"/>
              <w:jc w:val="left"/>
              <w:rPr>
                <w:sz w:val="20"/>
              </w:rPr>
            </w:pPr>
            <w:r>
              <w:rPr>
                <w:sz w:val="20"/>
              </w:rPr>
              <w:t>≤300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5"/>
              <w:ind w:left="106" w:right="79"/>
              <w:rPr>
                <w:sz w:val="20"/>
              </w:rPr>
            </w:pPr>
            <w:r>
              <w:rPr>
                <w:sz w:val="20"/>
              </w:rPr>
              <w:t>≤500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5"/>
              <w:ind w:left="153"/>
              <w:jc w:val="left"/>
              <w:rPr>
                <w:sz w:val="20"/>
              </w:rPr>
            </w:pPr>
            <w:r>
              <w:rPr>
                <w:sz w:val="20"/>
              </w:rPr>
              <w:t>≤1000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5"/>
              <w:ind w:left="441"/>
              <w:jc w:val="left"/>
              <w:rPr>
                <w:sz w:val="20"/>
              </w:rPr>
            </w:pPr>
            <w:r>
              <w:rPr>
                <w:sz w:val="20"/>
              </w:rPr>
              <w:t>≤2000</w:t>
            </w:r>
          </w:p>
        </w:tc>
        <w:tc>
          <w:tcPr>
            <w:tcW w:w="1019" w:type="dxa"/>
            <w:tcBorders>
              <w:top w:val="single" w:sz="6" w:space="0" w:color="000000"/>
              <w:left w:val="single" w:sz="6" w:space="0" w:color="000000"/>
              <w:bottom w:val="single" w:sz="6" w:space="0" w:color="000000"/>
            </w:tcBorders>
          </w:tcPr>
          <w:p>
            <w:pPr>
              <w:pStyle w:val="TableParagraph"/>
              <w:spacing w:before="65"/>
              <w:ind w:right="217"/>
              <w:jc w:val="right"/>
              <w:rPr>
                <w:sz w:val="20"/>
              </w:rPr>
            </w:pPr>
            <w:r>
              <w:rPr>
                <w:sz w:val="20"/>
              </w:rPr>
              <w:t>&gt;2000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16</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氟化物（</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left="279"/>
              <w:jc w:val="left"/>
              <w:rPr>
                <w:sz w:val="20"/>
              </w:rPr>
            </w:pPr>
            <w:r>
              <w:rPr>
                <w:sz w:val="20"/>
              </w:rPr>
              <w:t>≤1.0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≤1.0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227"/>
              <w:jc w:val="left"/>
              <w:rPr>
                <w:sz w:val="20"/>
              </w:rPr>
            </w:pPr>
            <w:r>
              <w:rPr>
                <w:sz w:val="20"/>
              </w:rPr>
              <w:t>≤1.0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516"/>
              <w:jc w:val="left"/>
              <w:rPr>
                <w:sz w:val="20"/>
              </w:rPr>
            </w:pPr>
            <w:r>
              <w:rPr>
                <w:sz w:val="20"/>
              </w:rPr>
              <w:t>≤2.0</w:t>
            </w:r>
          </w:p>
        </w:tc>
        <w:tc>
          <w:tcPr>
            <w:tcW w:w="1019" w:type="dxa"/>
            <w:tcBorders>
              <w:top w:val="single" w:sz="6" w:space="0" w:color="000000"/>
              <w:left w:val="single" w:sz="6" w:space="0" w:color="000000"/>
              <w:bottom w:val="single" w:sz="6" w:space="0" w:color="000000"/>
            </w:tcBorders>
          </w:tcPr>
          <w:p>
            <w:pPr>
              <w:pStyle w:val="TableParagraph"/>
              <w:spacing w:before="62"/>
              <w:ind w:left="340"/>
              <w:jc w:val="left"/>
              <w:rPr>
                <w:sz w:val="20"/>
              </w:rPr>
            </w:pPr>
            <w:r>
              <w:rPr>
                <w:sz w:val="20"/>
              </w:rPr>
              <w:t>&gt;2.0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17</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氰化物（</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right="149"/>
              <w:jc w:val="right"/>
              <w:rPr>
                <w:sz w:val="20"/>
              </w:rPr>
            </w:pPr>
            <w:r>
              <w:rPr>
                <w:w w:val="95"/>
                <w:sz w:val="20"/>
              </w:rPr>
              <w:t>≤0.001</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≤0.01</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77"/>
              <w:jc w:val="left"/>
              <w:rPr>
                <w:sz w:val="20"/>
              </w:rPr>
            </w:pPr>
            <w:r>
              <w:rPr>
                <w:sz w:val="20"/>
              </w:rPr>
              <w:t>≤0.05</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465"/>
              <w:jc w:val="left"/>
              <w:rPr>
                <w:sz w:val="20"/>
              </w:rPr>
            </w:pPr>
            <w:r>
              <w:rPr>
                <w:sz w:val="20"/>
              </w:rPr>
              <w:t>≤0.10</w:t>
            </w:r>
          </w:p>
        </w:tc>
        <w:tc>
          <w:tcPr>
            <w:tcW w:w="1019" w:type="dxa"/>
            <w:tcBorders>
              <w:top w:val="single" w:sz="6" w:space="0" w:color="000000"/>
              <w:left w:val="single" w:sz="6" w:space="0" w:color="000000"/>
              <w:bottom w:val="single" w:sz="6" w:space="0" w:color="000000"/>
            </w:tcBorders>
          </w:tcPr>
          <w:p>
            <w:pPr>
              <w:pStyle w:val="TableParagraph"/>
              <w:spacing w:before="62"/>
              <w:ind w:right="240"/>
              <w:jc w:val="right"/>
              <w:rPr>
                <w:sz w:val="20"/>
              </w:rPr>
            </w:pPr>
            <w:r>
              <w:rPr>
                <w:sz w:val="20"/>
              </w:rPr>
              <w:t>&gt;0.10</w:t>
            </w:r>
          </w:p>
        </w:tc>
      </w:tr>
      <w:tr>
        <w:trPr>
          <w:trHeight w:val="357"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18</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硫酸盐（</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left="303"/>
              <w:jc w:val="left"/>
              <w:rPr>
                <w:sz w:val="20"/>
              </w:rPr>
            </w:pPr>
            <w:r>
              <w:rPr>
                <w:sz w:val="20"/>
              </w:rPr>
              <w:t>≤50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9"/>
              <w:rPr>
                <w:sz w:val="20"/>
              </w:rPr>
            </w:pPr>
            <w:r>
              <w:rPr>
                <w:sz w:val="20"/>
              </w:rPr>
              <w:t>≤150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203"/>
              <w:jc w:val="left"/>
              <w:rPr>
                <w:sz w:val="20"/>
              </w:rPr>
            </w:pPr>
            <w:r>
              <w:rPr>
                <w:sz w:val="20"/>
              </w:rPr>
              <w:t>≤250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492"/>
              <w:jc w:val="left"/>
              <w:rPr>
                <w:sz w:val="20"/>
              </w:rPr>
            </w:pPr>
            <w:r>
              <w:rPr>
                <w:sz w:val="20"/>
              </w:rPr>
              <w:t>≤350</w:t>
            </w:r>
          </w:p>
        </w:tc>
        <w:tc>
          <w:tcPr>
            <w:tcW w:w="1019" w:type="dxa"/>
            <w:tcBorders>
              <w:top w:val="single" w:sz="6" w:space="0" w:color="000000"/>
              <w:left w:val="single" w:sz="6" w:space="0" w:color="000000"/>
              <w:bottom w:val="single" w:sz="6" w:space="0" w:color="000000"/>
            </w:tcBorders>
          </w:tcPr>
          <w:p>
            <w:pPr>
              <w:pStyle w:val="TableParagraph"/>
              <w:spacing w:before="62"/>
              <w:ind w:right="267"/>
              <w:jc w:val="right"/>
              <w:rPr>
                <w:sz w:val="20"/>
              </w:rPr>
            </w:pPr>
            <w:r>
              <w:rPr>
                <w:sz w:val="20"/>
              </w:rPr>
              <w:t>&gt;350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5"/>
              <w:ind w:left="77" w:right="56"/>
              <w:rPr>
                <w:sz w:val="20"/>
              </w:rPr>
            </w:pPr>
            <w:r>
              <w:rPr>
                <w:sz w:val="20"/>
              </w:rPr>
              <w:t>19</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4"/>
              <w:ind w:left="74" w:right="47"/>
              <w:rPr>
                <w:rFonts w:ascii="宋体" w:eastAsia="宋体" w:hint="eastAsia"/>
                <w:sz w:val="20"/>
              </w:rPr>
            </w:pPr>
            <w:r>
              <w:rPr>
                <w:rFonts w:ascii="宋体" w:eastAsia="宋体" w:hint="eastAsia"/>
                <w:sz w:val="20"/>
              </w:rPr>
              <w:t>氯化物（</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5"/>
              <w:ind w:left="303"/>
              <w:jc w:val="left"/>
              <w:rPr>
                <w:sz w:val="20"/>
              </w:rPr>
            </w:pPr>
            <w:r>
              <w:rPr>
                <w:sz w:val="20"/>
              </w:rPr>
              <w:t>≤50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5"/>
              <w:ind w:left="106" w:right="79"/>
              <w:rPr>
                <w:sz w:val="20"/>
              </w:rPr>
            </w:pPr>
            <w:r>
              <w:rPr>
                <w:sz w:val="20"/>
              </w:rPr>
              <w:t>≤150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5"/>
              <w:ind w:left="203"/>
              <w:jc w:val="left"/>
              <w:rPr>
                <w:sz w:val="20"/>
              </w:rPr>
            </w:pPr>
            <w:r>
              <w:rPr>
                <w:sz w:val="20"/>
              </w:rPr>
              <w:t>≤250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5"/>
              <w:ind w:left="492"/>
              <w:jc w:val="left"/>
              <w:rPr>
                <w:sz w:val="20"/>
              </w:rPr>
            </w:pPr>
            <w:r>
              <w:rPr>
                <w:sz w:val="20"/>
              </w:rPr>
              <w:t>≤350</w:t>
            </w:r>
          </w:p>
        </w:tc>
        <w:tc>
          <w:tcPr>
            <w:tcW w:w="1019" w:type="dxa"/>
            <w:tcBorders>
              <w:top w:val="single" w:sz="6" w:space="0" w:color="000000"/>
              <w:left w:val="single" w:sz="6" w:space="0" w:color="000000"/>
              <w:bottom w:val="single" w:sz="6" w:space="0" w:color="000000"/>
            </w:tcBorders>
          </w:tcPr>
          <w:p>
            <w:pPr>
              <w:pStyle w:val="TableParagraph"/>
              <w:spacing w:before="65"/>
              <w:ind w:right="267"/>
              <w:jc w:val="right"/>
              <w:rPr>
                <w:sz w:val="20"/>
              </w:rPr>
            </w:pPr>
            <w:r>
              <w:rPr>
                <w:sz w:val="20"/>
              </w:rPr>
              <w:t>&gt;350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20</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6" w:right="44"/>
              <w:rPr>
                <w:rFonts w:ascii="宋体" w:eastAsia="宋体" w:hint="eastAsia"/>
                <w:sz w:val="20"/>
              </w:rPr>
            </w:pPr>
            <w:r>
              <w:rPr>
                <w:rFonts w:ascii="宋体" w:eastAsia="宋体" w:hint="eastAsia"/>
                <w:sz w:val="20"/>
              </w:rPr>
              <w:t>总大肠菌群（</w:t>
            </w:r>
            <w:r>
              <w:rPr>
                <w:position w:val="1"/>
                <w:sz w:val="20"/>
              </w:rPr>
              <w:t>MPN/100mL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left="279"/>
              <w:jc w:val="left"/>
              <w:rPr>
                <w:sz w:val="20"/>
              </w:rPr>
            </w:pPr>
            <w:r>
              <w:rPr>
                <w:sz w:val="20"/>
              </w:rPr>
              <w:t>≤3.0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≤3.0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227"/>
              <w:jc w:val="left"/>
              <w:rPr>
                <w:sz w:val="20"/>
              </w:rPr>
            </w:pPr>
            <w:r>
              <w:rPr>
                <w:sz w:val="20"/>
              </w:rPr>
              <w:t>≤3.0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492"/>
              <w:jc w:val="left"/>
              <w:rPr>
                <w:sz w:val="20"/>
              </w:rPr>
            </w:pPr>
            <w:r>
              <w:rPr>
                <w:sz w:val="20"/>
              </w:rPr>
              <w:t>≤100</w:t>
            </w:r>
          </w:p>
        </w:tc>
        <w:tc>
          <w:tcPr>
            <w:tcW w:w="1019" w:type="dxa"/>
            <w:tcBorders>
              <w:top w:val="single" w:sz="6" w:space="0" w:color="000000"/>
              <w:left w:val="single" w:sz="6" w:space="0" w:color="000000"/>
              <w:bottom w:val="single" w:sz="6" w:space="0" w:color="000000"/>
            </w:tcBorders>
          </w:tcPr>
          <w:p>
            <w:pPr>
              <w:pStyle w:val="TableParagraph"/>
              <w:spacing w:before="51"/>
              <w:ind w:right="222"/>
              <w:jc w:val="right"/>
              <w:rPr>
                <w:sz w:val="20"/>
              </w:rPr>
            </w:pPr>
            <w:r>
              <w:rPr>
                <w:rFonts w:ascii="宋体" w:eastAsia="宋体" w:hint="eastAsia"/>
                <w:sz w:val="20"/>
              </w:rPr>
              <w:t>＞</w:t>
            </w:r>
            <w:r>
              <w:rPr>
                <w:position w:val="1"/>
                <w:sz w:val="20"/>
              </w:rPr>
              <w:t>100</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21</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细菌总数（</w:t>
            </w:r>
            <w:r>
              <w:rPr>
                <w:position w:val="1"/>
                <w:sz w:val="20"/>
              </w:rPr>
              <w:t>CPU/mL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left="252"/>
              <w:jc w:val="left"/>
              <w:rPr>
                <w:sz w:val="20"/>
              </w:rPr>
            </w:pPr>
            <w:r>
              <w:rPr>
                <w:sz w:val="20"/>
              </w:rPr>
              <w:t>≤100</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9"/>
              <w:rPr>
                <w:sz w:val="20"/>
              </w:rPr>
            </w:pPr>
            <w:r>
              <w:rPr>
                <w:sz w:val="20"/>
              </w:rPr>
              <w:t>≤100</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203"/>
              <w:jc w:val="left"/>
              <w:rPr>
                <w:sz w:val="20"/>
              </w:rPr>
            </w:pPr>
            <w:r>
              <w:rPr>
                <w:sz w:val="20"/>
              </w:rPr>
              <w:t>≤100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441"/>
              <w:jc w:val="left"/>
              <w:rPr>
                <w:sz w:val="20"/>
              </w:rPr>
            </w:pPr>
            <w:r>
              <w:rPr>
                <w:sz w:val="20"/>
              </w:rPr>
              <w:t>≤1000</w:t>
            </w:r>
          </w:p>
        </w:tc>
        <w:tc>
          <w:tcPr>
            <w:tcW w:w="1019" w:type="dxa"/>
            <w:tcBorders>
              <w:top w:val="single" w:sz="6" w:space="0" w:color="000000"/>
              <w:left w:val="single" w:sz="6" w:space="0" w:color="000000"/>
              <w:bottom w:val="single" w:sz="6" w:space="0" w:color="000000"/>
            </w:tcBorders>
          </w:tcPr>
          <w:p>
            <w:pPr>
              <w:pStyle w:val="TableParagraph"/>
              <w:spacing w:before="51"/>
              <w:ind w:right="171"/>
              <w:jc w:val="right"/>
              <w:rPr>
                <w:sz w:val="20"/>
              </w:rPr>
            </w:pPr>
            <w:r>
              <w:rPr>
                <w:rFonts w:ascii="宋体" w:eastAsia="宋体" w:hint="eastAsia"/>
                <w:sz w:val="20"/>
              </w:rPr>
              <w:t>＞</w:t>
            </w:r>
            <w:r>
              <w:rPr>
                <w:position w:val="1"/>
                <w:sz w:val="20"/>
              </w:rPr>
              <w:t>1000</w:t>
            </w:r>
          </w:p>
        </w:tc>
      </w:tr>
      <w:tr>
        <w:trPr>
          <w:trHeight w:val="357" w:hRule="atLeast"/>
        </w:trPr>
        <w:tc>
          <w:tcPr>
            <w:tcW w:w="638" w:type="dxa"/>
            <w:tcBorders>
              <w:top w:val="single" w:sz="6" w:space="0" w:color="000000"/>
              <w:bottom w:val="single" w:sz="6" w:space="0" w:color="000000"/>
              <w:right w:val="single" w:sz="6" w:space="0" w:color="000000"/>
            </w:tcBorders>
          </w:tcPr>
          <w:p>
            <w:pPr>
              <w:pStyle w:val="TableParagraph"/>
              <w:spacing w:before="62"/>
              <w:ind w:left="77" w:right="56"/>
              <w:rPr>
                <w:sz w:val="20"/>
              </w:rPr>
            </w:pPr>
            <w:r>
              <w:rPr>
                <w:sz w:val="20"/>
              </w:rPr>
              <w:t>22</w:t>
            </w:r>
          </w:p>
        </w:tc>
        <w:tc>
          <w:tcPr>
            <w:tcW w:w="3790" w:type="dxa"/>
            <w:tcBorders>
              <w:top w:val="single" w:sz="6" w:space="0" w:color="000000"/>
              <w:left w:val="single" w:sz="6" w:space="0" w:color="000000"/>
              <w:bottom w:val="single" w:sz="6" w:space="0" w:color="000000"/>
              <w:right w:val="single" w:sz="6" w:space="0" w:color="000000"/>
            </w:tcBorders>
          </w:tcPr>
          <w:p>
            <w:pPr>
              <w:pStyle w:val="TableParagraph"/>
              <w:spacing w:before="51"/>
              <w:ind w:left="74" w:right="47"/>
              <w:rPr>
                <w:rFonts w:ascii="宋体" w:eastAsia="宋体" w:hint="eastAsia"/>
                <w:sz w:val="20"/>
              </w:rPr>
            </w:pPr>
            <w:r>
              <w:rPr>
                <w:rFonts w:ascii="宋体" w:eastAsia="宋体" w:hint="eastAsia"/>
                <w:sz w:val="20"/>
              </w:rPr>
              <w:t>铜（</w:t>
            </w:r>
            <w:r>
              <w:rPr>
                <w:position w:val="1"/>
                <w:sz w:val="20"/>
              </w:rPr>
              <w:t>mg/L</w:t>
            </w:r>
            <w:r>
              <w:rPr>
                <w:rFonts w:ascii="宋体" w:eastAsia="宋体" w:hint="eastAsia"/>
                <w:sz w:val="20"/>
              </w:rPr>
              <w:t>）</w:t>
            </w:r>
          </w:p>
        </w:tc>
        <w:tc>
          <w:tcPr>
            <w:tcW w:w="904" w:type="dxa"/>
            <w:tcBorders>
              <w:top w:val="single" w:sz="6" w:space="0" w:color="000000"/>
              <w:left w:val="single" w:sz="6" w:space="0" w:color="000000"/>
              <w:bottom w:val="single" w:sz="6" w:space="0" w:color="000000"/>
              <w:right w:val="single" w:sz="6" w:space="0" w:color="000000"/>
            </w:tcBorders>
          </w:tcPr>
          <w:p>
            <w:pPr>
              <w:pStyle w:val="TableParagraph"/>
              <w:spacing w:before="62"/>
              <w:ind w:left="228"/>
              <w:jc w:val="left"/>
              <w:rPr>
                <w:sz w:val="20"/>
              </w:rPr>
            </w:pPr>
            <w:r>
              <w:rPr>
                <w:sz w:val="20"/>
              </w:rPr>
              <w:t>≤0.01</w:t>
            </w:r>
          </w:p>
        </w:tc>
        <w:tc>
          <w:tcPr>
            <w:tcW w:w="902" w:type="dxa"/>
            <w:tcBorders>
              <w:top w:val="single" w:sz="6" w:space="0" w:color="000000"/>
              <w:left w:val="single" w:sz="6" w:space="0" w:color="000000"/>
              <w:bottom w:val="single" w:sz="6" w:space="0" w:color="000000"/>
              <w:right w:val="single" w:sz="6" w:space="0" w:color="000000"/>
            </w:tcBorders>
          </w:tcPr>
          <w:p>
            <w:pPr>
              <w:pStyle w:val="TableParagraph"/>
              <w:spacing w:before="62"/>
              <w:ind w:left="106" w:right="78"/>
              <w:rPr>
                <w:sz w:val="20"/>
              </w:rPr>
            </w:pPr>
            <w:r>
              <w:rPr>
                <w:sz w:val="20"/>
              </w:rPr>
              <w:t>≤0.05</w:t>
            </w:r>
          </w:p>
        </w:tc>
        <w:tc>
          <w:tcPr>
            <w:tcW w:w="799" w:type="dxa"/>
            <w:tcBorders>
              <w:top w:val="single" w:sz="6" w:space="0" w:color="000000"/>
              <w:left w:val="single" w:sz="6" w:space="0" w:color="000000"/>
              <w:bottom w:val="single" w:sz="6" w:space="0" w:color="000000"/>
              <w:right w:val="single" w:sz="6" w:space="0" w:color="000000"/>
            </w:tcBorders>
          </w:tcPr>
          <w:p>
            <w:pPr>
              <w:pStyle w:val="TableParagraph"/>
              <w:spacing w:before="62"/>
              <w:ind w:left="177"/>
              <w:jc w:val="left"/>
              <w:rPr>
                <w:sz w:val="20"/>
              </w:rPr>
            </w:pPr>
            <w:r>
              <w:rPr>
                <w:sz w:val="20"/>
              </w:rPr>
              <w:t>≤1.00</w:t>
            </w:r>
          </w:p>
        </w:tc>
        <w:tc>
          <w:tcPr>
            <w:tcW w:w="1374" w:type="dxa"/>
            <w:tcBorders>
              <w:top w:val="single" w:sz="6" w:space="0" w:color="000000"/>
              <w:left w:val="single" w:sz="6" w:space="0" w:color="000000"/>
              <w:bottom w:val="single" w:sz="6" w:space="0" w:color="000000"/>
              <w:right w:val="single" w:sz="6" w:space="0" w:color="000000"/>
            </w:tcBorders>
          </w:tcPr>
          <w:p>
            <w:pPr>
              <w:pStyle w:val="TableParagraph"/>
              <w:spacing w:before="62"/>
              <w:ind w:left="465"/>
              <w:jc w:val="left"/>
              <w:rPr>
                <w:sz w:val="20"/>
              </w:rPr>
            </w:pPr>
            <w:r>
              <w:rPr>
                <w:sz w:val="20"/>
              </w:rPr>
              <w:t>≤1.50</w:t>
            </w:r>
          </w:p>
        </w:tc>
        <w:tc>
          <w:tcPr>
            <w:tcW w:w="1019" w:type="dxa"/>
            <w:tcBorders>
              <w:top w:val="single" w:sz="6" w:space="0" w:color="000000"/>
              <w:left w:val="single" w:sz="6" w:space="0" w:color="000000"/>
              <w:bottom w:val="single" w:sz="6" w:space="0" w:color="000000"/>
            </w:tcBorders>
          </w:tcPr>
          <w:p>
            <w:pPr>
              <w:pStyle w:val="TableParagraph"/>
              <w:spacing w:before="51"/>
              <w:ind w:right="197"/>
              <w:jc w:val="right"/>
              <w:rPr>
                <w:sz w:val="20"/>
              </w:rPr>
            </w:pPr>
            <w:r>
              <w:rPr>
                <w:rFonts w:ascii="宋体" w:eastAsia="宋体" w:hint="eastAsia"/>
                <w:w w:val="95"/>
                <w:sz w:val="20"/>
              </w:rPr>
              <w:t>＞</w:t>
            </w:r>
            <w:r>
              <w:rPr>
                <w:w w:val="95"/>
                <w:position w:val="1"/>
                <w:sz w:val="20"/>
              </w:rPr>
              <w:t>1.50</w:t>
            </w:r>
          </w:p>
        </w:tc>
      </w:tr>
      <w:tr>
        <w:trPr>
          <w:trHeight w:val="359" w:hRule="atLeast"/>
        </w:trPr>
        <w:tc>
          <w:tcPr>
            <w:tcW w:w="638" w:type="dxa"/>
            <w:tcBorders>
              <w:top w:val="single" w:sz="6" w:space="0" w:color="000000"/>
              <w:right w:val="single" w:sz="6" w:space="0" w:color="000000"/>
            </w:tcBorders>
          </w:tcPr>
          <w:p>
            <w:pPr>
              <w:pStyle w:val="TableParagraph"/>
              <w:spacing w:before="65"/>
              <w:ind w:left="77" w:right="56"/>
              <w:rPr>
                <w:sz w:val="20"/>
              </w:rPr>
            </w:pPr>
            <w:r>
              <w:rPr>
                <w:sz w:val="20"/>
              </w:rPr>
              <w:t>23</w:t>
            </w:r>
          </w:p>
        </w:tc>
        <w:tc>
          <w:tcPr>
            <w:tcW w:w="3790" w:type="dxa"/>
            <w:tcBorders>
              <w:top w:val="single" w:sz="6" w:space="0" w:color="000000"/>
              <w:left w:val="single" w:sz="6" w:space="0" w:color="000000"/>
              <w:right w:val="single" w:sz="6" w:space="0" w:color="000000"/>
            </w:tcBorders>
          </w:tcPr>
          <w:p>
            <w:pPr>
              <w:pStyle w:val="TableParagraph"/>
              <w:spacing w:before="54"/>
              <w:ind w:left="74" w:right="47"/>
              <w:rPr>
                <w:rFonts w:ascii="宋体" w:eastAsia="宋体" w:hint="eastAsia"/>
                <w:sz w:val="20"/>
              </w:rPr>
            </w:pPr>
            <w:r>
              <w:rPr>
                <w:rFonts w:ascii="宋体" w:eastAsia="宋体" w:hint="eastAsia"/>
                <w:sz w:val="20"/>
              </w:rPr>
              <w:t>锌（</w:t>
            </w:r>
            <w:r>
              <w:rPr>
                <w:position w:val="1"/>
                <w:sz w:val="20"/>
              </w:rPr>
              <w:t>mg/L</w:t>
            </w:r>
            <w:r>
              <w:rPr>
                <w:rFonts w:ascii="宋体" w:eastAsia="宋体" w:hint="eastAsia"/>
                <w:sz w:val="20"/>
              </w:rPr>
              <w:t>）</w:t>
            </w:r>
          </w:p>
        </w:tc>
        <w:tc>
          <w:tcPr>
            <w:tcW w:w="904" w:type="dxa"/>
            <w:tcBorders>
              <w:top w:val="single" w:sz="6" w:space="0" w:color="000000"/>
              <w:left w:val="single" w:sz="6" w:space="0" w:color="000000"/>
              <w:right w:val="single" w:sz="6" w:space="0" w:color="000000"/>
            </w:tcBorders>
          </w:tcPr>
          <w:p>
            <w:pPr>
              <w:pStyle w:val="TableParagraph"/>
              <w:spacing w:before="65"/>
              <w:ind w:left="228"/>
              <w:jc w:val="left"/>
              <w:rPr>
                <w:sz w:val="20"/>
              </w:rPr>
            </w:pPr>
            <w:r>
              <w:rPr>
                <w:sz w:val="20"/>
              </w:rPr>
              <w:t>≤0.05</w:t>
            </w:r>
          </w:p>
        </w:tc>
        <w:tc>
          <w:tcPr>
            <w:tcW w:w="902" w:type="dxa"/>
            <w:tcBorders>
              <w:top w:val="single" w:sz="6" w:space="0" w:color="000000"/>
              <w:left w:val="single" w:sz="6" w:space="0" w:color="000000"/>
              <w:right w:val="single" w:sz="6" w:space="0" w:color="000000"/>
            </w:tcBorders>
          </w:tcPr>
          <w:p>
            <w:pPr>
              <w:pStyle w:val="TableParagraph"/>
              <w:spacing w:before="65"/>
              <w:ind w:left="106" w:right="78"/>
              <w:rPr>
                <w:sz w:val="20"/>
              </w:rPr>
            </w:pPr>
            <w:r>
              <w:rPr>
                <w:sz w:val="20"/>
              </w:rPr>
              <w:t>≤0.5</w:t>
            </w:r>
          </w:p>
        </w:tc>
        <w:tc>
          <w:tcPr>
            <w:tcW w:w="799" w:type="dxa"/>
            <w:tcBorders>
              <w:top w:val="single" w:sz="6" w:space="0" w:color="000000"/>
              <w:left w:val="single" w:sz="6" w:space="0" w:color="000000"/>
              <w:right w:val="single" w:sz="6" w:space="0" w:color="000000"/>
            </w:tcBorders>
          </w:tcPr>
          <w:p>
            <w:pPr>
              <w:pStyle w:val="TableParagraph"/>
              <w:spacing w:before="65"/>
              <w:ind w:left="177"/>
              <w:jc w:val="left"/>
              <w:rPr>
                <w:sz w:val="20"/>
              </w:rPr>
            </w:pPr>
            <w:r>
              <w:rPr>
                <w:sz w:val="20"/>
              </w:rPr>
              <w:t>≤1.00</w:t>
            </w:r>
          </w:p>
        </w:tc>
        <w:tc>
          <w:tcPr>
            <w:tcW w:w="1374" w:type="dxa"/>
            <w:tcBorders>
              <w:top w:val="single" w:sz="6" w:space="0" w:color="000000"/>
              <w:left w:val="single" w:sz="6" w:space="0" w:color="000000"/>
              <w:right w:val="single" w:sz="6" w:space="0" w:color="000000"/>
            </w:tcBorders>
          </w:tcPr>
          <w:p>
            <w:pPr>
              <w:pStyle w:val="TableParagraph"/>
              <w:spacing w:before="65"/>
              <w:ind w:left="465"/>
              <w:jc w:val="left"/>
              <w:rPr>
                <w:sz w:val="20"/>
              </w:rPr>
            </w:pPr>
            <w:r>
              <w:rPr>
                <w:sz w:val="20"/>
              </w:rPr>
              <w:t>≤5.00</w:t>
            </w:r>
          </w:p>
        </w:tc>
        <w:tc>
          <w:tcPr>
            <w:tcW w:w="1019" w:type="dxa"/>
            <w:tcBorders>
              <w:top w:val="single" w:sz="6" w:space="0" w:color="000000"/>
              <w:left w:val="single" w:sz="6" w:space="0" w:color="000000"/>
            </w:tcBorders>
          </w:tcPr>
          <w:p>
            <w:pPr>
              <w:pStyle w:val="TableParagraph"/>
              <w:spacing w:before="54"/>
              <w:ind w:right="197"/>
              <w:jc w:val="right"/>
              <w:rPr>
                <w:sz w:val="20"/>
              </w:rPr>
            </w:pPr>
            <w:r>
              <w:rPr>
                <w:rFonts w:ascii="宋体" w:eastAsia="宋体" w:hint="eastAsia"/>
                <w:w w:val="95"/>
                <w:sz w:val="20"/>
              </w:rPr>
              <w:t>＞</w:t>
            </w:r>
            <w:r>
              <w:rPr>
                <w:w w:val="95"/>
                <w:position w:val="1"/>
                <w:sz w:val="20"/>
              </w:rPr>
              <w:t>5.00</w:t>
            </w:r>
          </w:p>
        </w:tc>
      </w:tr>
    </w:tbl>
    <w:p>
      <w:pPr>
        <w:spacing w:before="85"/>
        <w:ind w:left="719" w:right="0" w:firstLine="0"/>
        <w:jc w:val="left"/>
        <w:rPr>
          <w:b/>
          <w:sz w:val="24"/>
        </w:rPr>
      </w:pPr>
      <w:r>
        <w:rPr>
          <w:rFonts w:ascii="Times New Roman" w:eastAsia="Times New Roman"/>
          <w:b/>
          <w:sz w:val="24"/>
        </w:rPr>
        <w:t>3</w:t>
      </w:r>
      <w:r>
        <w:rPr>
          <w:b/>
          <w:sz w:val="24"/>
        </w:rPr>
        <w:t>、环境空气质量标准</w:t>
      </w:r>
    </w:p>
    <w:p>
      <w:pPr>
        <w:pStyle w:val="BodyText"/>
        <w:spacing w:line="364" w:lineRule="auto" w:before="160"/>
        <w:ind w:right="131" w:firstLine="480"/>
        <w:jc w:val="both"/>
      </w:pPr>
      <w:r>
        <w:rPr>
          <w:spacing w:val="7"/>
        </w:rPr>
        <w:t>项目所在地为二类大气环境功能区，常规污染物执行《环境空气质量标准》</w:t>
      </w:r>
      <w:r>
        <w:rPr>
          <w:spacing w:val="2"/>
        </w:rPr>
        <w:t>（</w:t>
      </w:r>
      <w:r>
        <w:rPr>
          <w:rFonts w:ascii="Times New Roman" w:eastAsia="Times New Roman"/>
          <w:spacing w:val="2"/>
          <w:position w:val="1"/>
        </w:rPr>
        <w:t>GB </w:t>
      </w:r>
      <w:r>
        <w:rPr>
          <w:rFonts w:ascii="Times New Roman" w:eastAsia="Times New Roman"/>
          <w:position w:val="1"/>
        </w:rPr>
        <w:t>3095-2012</w:t>
      </w:r>
      <w:r>
        <w:rPr/>
        <w:t>）二级标准及修改单要求，特征因子氨和硫化氢应执行《环境影响评价技术导</w:t>
      </w:r>
      <w:r>
        <w:rPr>
          <w:spacing w:val="-11"/>
        </w:rPr>
        <w:t>则 大气环境》</w:t>
      </w:r>
      <w:r>
        <w:rPr/>
        <w:t>（</w:t>
      </w:r>
      <w:r>
        <w:rPr>
          <w:rFonts w:ascii="Times New Roman" w:eastAsia="Times New Roman"/>
          <w:position w:val="1"/>
        </w:rPr>
        <w:t>HJ </w:t>
      </w:r>
      <w:r>
        <w:rPr>
          <w:rFonts w:ascii="Times New Roman" w:eastAsia="Times New Roman"/>
          <w:spacing w:val="-5"/>
          <w:position w:val="1"/>
        </w:rPr>
        <w:t>2.2-2018</w:t>
      </w:r>
      <w:r>
        <w:rPr>
          <w:spacing w:val="-5"/>
        </w:rPr>
        <w:t>）</w:t>
      </w:r>
      <w:r>
        <w:rPr>
          <w:spacing w:val="-20"/>
        </w:rPr>
        <w:t>附录 </w:t>
      </w:r>
      <w:r>
        <w:rPr>
          <w:rFonts w:ascii="Times New Roman" w:eastAsia="Times New Roman"/>
          <w:position w:val="1"/>
        </w:rPr>
        <w:t>D </w:t>
      </w:r>
      <w:r>
        <w:rPr>
          <w:spacing w:val="-30"/>
        </w:rPr>
        <w:t>中 </w:t>
      </w:r>
      <w:r>
        <w:rPr>
          <w:rFonts w:ascii="Times New Roman" w:eastAsia="Times New Roman"/>
          <w:position w:val="1"/>
        </w:rPr>
        <w:t>1h </w:t>
      </w:r>
      <w:r>
        <w:rPr>
          <w:spacing w:val="-9"/>
        </w:rPr>
        <w:t>平均值。各因子具体的标准限值详见表 </w:t>
      </w:r>
      <w:r>
        <w:rPr>
          <w:rFonts w:ascii="Times New Roman" w:eastAsia="Times New Roman"/>
          <w:position w:val="1"/>
        </w:rPr>
        <w:t>2.3-3</w:t>
      </w:r>
      <w:r>
        <w:rPr>
          <w:spacing w:val="-12"/>
        </w:rPr>
        <w:t>。</w:t>
      </w:r>
    </w:p>
    <w:p>
      <w:pPr>
        <w:pStyle w:val="Heading3"/>
        <w:spacing w:before="2"/>
        <w:ind w:left="3177"/>
        <w:jc w:val="both"/>
      </w:pPr>
      <w:r>
        <w:rPr/>
        <w:t>表 </w:t>
      </w:r>
      <w:r>
        <w:rPr>
          <w:rFonts w:ascii="Times New Roman" w:eastAsia="Times New Roman"/>
        </w:rPr>
        <w:t>2.3-3  </w:t>
      </w:r>
      <w:r>
        <w:rPr/>
        <w:t>环境空气质量评价标准</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20"/>
        <w:gridCol w:w="1964"/>
        <w:gridCol w:w="1537"/>
        <w:gridCol w:w="797"/>
        <w:gridCol w:w="3815"/>
      </w:tblGrid>
      <w:tr>
        <w:trPr>
          <w:trHeight w:val="359" w:hRule="atLeast"/>
        </w:trPr>
        <w:tc>
          <w:tcPr>
            <w:tcW w:w="1320" w:type="dxa"/>
            <w:tcBorders>
              <w:bottom w:val="single" w:sz="4" w:space="0" w:color="000000"/>
              <w:right w:val="single" w:sz="4" w:space="0" w:color="000000"/>
            </w:tcBorders>
          </w:tcPr>
          <w:p>
            <w:pPr>
              <w:pStyle w:val="TableParagraph"/>
              <w:spacing w:before="46"/>
              <w:ind w:left="111" w:right="93"/>
              <w:rPr>
                <w:rFonts w:ascii="宋体" w:eastAsia="宋体" w:hint="eastAsia"/>
                <w:b/>
                <w:sz w:val="21"/>
              </w:rPr>
            </w:pPr>
            <w:r>
              <w:rPr>
                <w:rFonts w:ascii="宋体" w:eastAsia="宋体" w:hint="eastAsia"/>
                <w:b/>
                <w:sz w:val="21"/>
              </w:rPr>
              <w:t>污染物名称</w:t>
            </w:r>
          </w:p>
        </w:tc>
        <w:tc>
          <w:tcPr>
            <w:tcW w:w="1964" w:type="dxa"/>
            <w:tcBorders>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b/>
                <w:sz w:val="21"/>
              </w:rPr>
            </w:pPr>
            <w:r>
              <w:rPr>
                <w:rFonts w:ascii="宋体" w:eastAsia="宋体" w:hint="eastAsia"/>
                <w:b/>
                <w:sz w:val="21"/>
              </w:rPr>
              <w:t>取值时间</w:t>
            </w:r>
          </w:p>
        </w:tc>
        <w:tc>
          <w:tcPr>
            <w:tcW w:w="1537" w:type="dxa"/>
            <w:tcBorders>
              <w:left w:val="single" w:sz="4" w:space="0" w:color="000000"/>
              <w:bottom w:val="single" w:sz="4" w:space="0" w:color="000000"/>
              <w:right w:val="single" w:sz="4" w:space="0" w:color="000000"/>
            </w:tcBorders>
          </w:tcPr>
          <w:p>
            <w:pPr>
              <w:pStyle w:val="TableParagraph"/>
              <w:spacing w:before="46"/>
              <w:ind w:left="124" w:right="97"/>
              <w:rPr>
                <w:rFonts w:ascii="宋体" w:eastAsia="宋体" w:hint="eastAsia"/>
                <w:b/>
                <w:sz w:val="21"/>
              </w:rPr>
            </w:pPr>
            <w:r>
              <w:rPr>
                <w:rFonts w:ascii="宋体" w:eastAsia="宋体" w:hint="eastAsia"/>
                <w:b/>
                <w:sz w:val="21"/>
              </w:rPr>
              <w:t>标准浓度限值</w:t>
            </w:r>
          </w:p>
        </w:tc>
        <w:tc>
          <w:tcPr>
            <w:tcW w:w="797" w:type="dxa"/>
            <w:tcBorders>
              <w:left w:val="single" w:sz="4" w:space="0" w:color="000000"/>
              <w:bottom w:val="single" w:sz="4" w:space="0" w:color="000000"/>
              <w:right w:val="single" w:sz="4" w:space="0" w:color="000000"/>
            </w:tcBorders>
          </w:tcPr>
          <w:p>
            <w:pPr>
              <w:pStyle w:val="TableParagraph"/>
              <w:spacing w:before="46"/>
              <w:ind w:left="195"/>
              <w:jc w:val="left"/>
              <w:rPr>
                <w:rFonts w:ascii="宋体" w:eastAsia="宋体" w:hint="eastAsia"/>
                <w:b/>
                <w:sz w:val="21"/>
              </w:rPr>
            </w:pPr>
            <w:r>
              <w:rPr>
                <w:rFonts w:ascii="宋体" w:eastAsia="宋体" w:hint="eastAsia"/>
                <w:b/>
                <w:sz w:val="21"/>
              </w:rPr>
              <w:t>单位</w:t>
            </w:r>
          </w:p>
        </w:tc>
        <w:tc>
          <w:tcPr>
            <w:tcW w:w="3815" w:type="dxa"/>
            <w:tcBorders>
              <w:left w:val="single" w:sz="4" w:space="0" w:color="000000"/>
              <w:bottom w:val="single" w:sz="4" w:space="0" w:color="000000"/>
            </w:tcBorders>
          </w:tcPr>
          <w:p>
            <w:pPr>
              <w:pStyle w:val="TableParagraph"/>
              <w:spacing w:before="46"/>
              <w:ind w:left="161" w:right="127"/>
              <w:rPr>
                <w:rFonts w:ascii="宋体" w:eastAsia="宋体" w:hint="eastAsia"/>
                <w:b/>
                <w:sz w:val="21"/>
              </w:rPr>
            </w:pPr>
            <w:r>
              <w:rPr>
                <w:rFonts w:ascii="宋体" w:eastAsia="宋体" w:hint="eastAsia"/>
                <w:b/>
                <w:sz w:val="21"/>
              </w:rPr>
              <w:t>标准</w:t>
            </w:r>
          </w:p>
        </w:tc>
      </w:tr>
      <w:tr>
        <w:trPr>
          <w:trHeight w:val="357" w:hRule="atLeast"/>
        </w:trPr>
        <w:tc>
          <w:tcPr>
            <w:tcW w:w="1320" w:type="dxa"/>
            <w:vMerge w:val="restart"/>
            <w:tcBorders>
              <w:top w:val="single" w:sz="4" w:space="0" w:color="000000"/>
              <w:bottom w:val="single" w:sz="4" w:space="0" w:color="000000"/>
              <w:right w:val="single" w:sz="4" w:space="0" w:color="000000"/>
            </w:tcBorders>
          </w:tcPr>
          <w:p>
            <w:pPr>
              <w:pStyle w:val="TableParagraph"/>
              <w:spacing w:before="4"/>
              <w:jc w:val="left"/>
              <w:rPr>
                <w:rFonts w:ascii="宋体"/>
                <w:b/>
                <w:sz w:val="33"/>
              </w:rPr>
            </w:pPr>
          </w:p>
          <w:p>
            <w:pPr>
              <w:pStyle w:val="TableParagraph"/>
              <w:spacing w:before="0"/>
              <w:ind w:left="111" w:right="93"/>
              <w:rPr>
                <w:sz w:val="14"/>
              </w:rPr>
            </w:pPr>
            <w:r>
              <w:rPr>
                <w:position w:val="2"/>
                <w:sz w:val="21"/>
              </w:rPr>
              <w:t>SO</w:t>
            </w:r>
            <w:r>
              <w:rPr>
                <w:sz w:val="14"/>
              </w:rPr>
              <w:t>2</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rFonts w:ascii="宋体" w:eastAsia="宋体" w:hint="eastAsia"/>
                <w:sz w:val="21"/>
              </w:rPr>
              <w:t>年平均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60</w:t>
            </w:r>
          </w:p>
        </w:tc>
        <w:tc>
          <w:tcPr>
            <w:tcW w:w="79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6"/>
              <w:jc w:val="left"/>
              <w:rPr>
                <w:rFonts w:ascii="宋体"/>
                <w:b/>
                <w:sz w:val="32"/>
              </w:rPr>
            </w:pPr>
          </w:p>
          <w:p>
            <w:pPr>
              <w:pStyle w:val="TableParagraph"/>
              <w:spacing w:before="0"/>
              <w:ind w:left="157"/>
              <w:jc w:val="left"/>
              <w:rPr>
                <w:sz w:val="21"/>
              </w:rPr>
            </w:pPr>
            <w:r>
              <w:rPr>
                <w:sz w:val="21"/>
              </w:rPr>
              <w:t>μg/m³</w:t>
            </w:r>
          </w:p>
        </w:tc>
        <w:tc>
          <w:tcPr>
            <w:tcW w:w="3815" w:type="dxa"/>
            <w:vMerge w:val="restart"/>
            <w:tcBorders>
              <w:top w:val="single" w:sz="4" w:space="0" w:color="000000"/>
              <w:left w:val="single" w:sz="4" w:space="0" w:color="000000"/>
              <w:bottom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before="0"/>
              <w:ind w:left="162" w:right="125"/>
              <w:rPr>
                <w:rFonts w:ascii="宋体" w:eastAsia="宋体" w:hint="eastAsia"/>
                <w:sz w:val="21"/>
              </w:rPr>
            </w:pPr>
            <w:r>
              <w:rPr>
                <w:rFonts w:ascii="宋体" w:eastAsia="宋体" w:hint="eastAsia"/>
                <w:sz w:val="21"/>
              </w:rPr>
              <w:t>《环境空气质量标准》</w:t>
            </w:r>
          </w:p>
          <w:p>
            <w:pPr>
              <w:pStyle w:val="TableParagraph"/>
              <w:spacing w:before="88"/>
              <w:ind w:left="162" w:right="126"/>
              <w:rPr>
                <w:rFonts w:ascii="宋体" w:eastAsia="宋体" w:hint="eastAsia"/>
                <w:sz w:val="21"/>
              </w:rPr>
            </w:pPr>
            <w:r>
              <w:rPr>
                <w:rFonts w:ascii="宋体" w:eastAsia="宋体" w:hint="eastAsia"/>
                <w:sz w:val="21"/>
              </w:rPr>
              <w:t>（</w:t>
            </w:r>
            <w:r>
              <w:rPr>
                <w:position w:val="1"/>
                <w:sz w:val="21"/>
              </w:rPr>
              <w:t>GB 3095-2012</w:t>
            </w:r>
            <w:r>
              <w:rPr>
                <w:rFonts w:ascii="宋体" w:eastAsia="宋体" w:hint="eastAsia"/>
                <w:sz w:val="21"/>
              </w:rPr>
              <w:t>）</w:t>
            </w:r>
          </w:p>
        </w:tc>
      </w:tr>
      <w:tr>
        <w:trPr>
          <w:trHeight w:val="359"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9"/>
              <w:ind w:left="103" w:right="76"/>
              <w:rPr>
                <w:rFonts w:ascii="宋体" w:eastAsia="宋体" w:hint="eastAsia"/>
                <w:sz w:val="21"/>
              </w:rPr>
            </w:pPr>
            <w:r>
              <w:rPr>
                <w:position w:val="1"/>
                <w:sz w:val="21"/>
              </w:rPr>
              <w:t>24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spacing w:before="60"/>
              <w:ind w:left="124" w:right="97"/>
              <w:rPr>
                <w:sz w:val="21"/>
              </w:rPr>
            </w:pPr>
            <w:r>
              <w:rPr>
                <w:sz w:val="21"/>
              </w:rPr>
              <w:t>150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2" w:right="77"/>
              <w:rPr>
                <w:rFonts w:ascii="宋体" w:eastAsia="宋体" w:hint="eastAsia"/>
                <w:sz w:val="21"/>
              </w:rPr>
            </w:pPr>
            <w:r>
              <w:rPr>
                <w:position w:val="1"/>
                <w:sz w:val="21"/>
              </w:rPr>
              <w:t>1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500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7" w:hRule="atLeast"/>
        </w:trPr>
        <w:tc>
          <w:tcPr>
            <w:tcW w:w="1320" w:type="dxa"/>
            <w:vMerge w:val="restart"/>
            <w:tcBorders>
              <w:top w:val="single" w:sz="4" w:space="0" w:color="000000"/>
              <w:bottom w:val="single" w:sz="4" w:space="0" w:color="000000"/>
              <w:right w:val="single" w:sz="4" w:space="0" w:color="000000"/>
            </w:tcBorders>
          </w:tcPr>
          <w:p>
            <w:pPr>
              <w:pStyle w:val="TableParagraph"/>
              <w:spacing w:before="4"/>
              <w:jc w:val="left"/>
              <w:rPr>
                <w:rFonts w:ascii="宋体"/>
                <w:b/>
                <w:sz w:val="33"/>
              </w:rPr>
            </w:pPr>
          </w:p>
          <w:p>
            <w:pPr>
              <w:pStyle w:val="TableParagraph"/>
              <w:spacing w:before="0"/>
              <w:ind w:left="111" w:right="93"/>
              <w:rPr>
                <w:sz w:val="14"/>
              </w:rPr>
            </w:pPr>
            <w:r>
              <w:rPr>
                <w:position w:val="2"/>
                <w:sz w:val="21"/>
              </w:rPr>
              <w:t>NO</w:t>
            </w:r>
            <w:r>
              <w:rPr>
                <w:sz w:val="14"/>
              </w:rPr>
              <w:t>2</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rFonts w:ascii="宋体" w:eastAsia="宋体" w:hint="eastAsia"/>
                <w:sz w:val="21"/>
              </w:rPr>
              <w:t>年平均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40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9"/>
              <w:ind w:left="103" w:right="76"/>
              <w:rPr>
                <w:rFonts w:ascii="宋体" w:eastAsia="宋体" w:hint="eastAsia"/>
                <w:sz w:val="21"/>
              </w:rPr>
            </w:pPr>
            <w:r>
              <w:rPr>
                <w:position w:val="1"/>
                <w:sz w:val="21"/>
              </w:rPr>
              <w:t>24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spacing w:before="60"/>
              <w:ind w:left="124" w:right="97"/>
              <w:rPr>
                <w:sz w:val="21"/>
              </w:rPr>
            </w:pPr>
            <w:r>
              <w:rPr>
                <w:sz w:val="21"/>
              </w:rPr>
              <w:t>80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2" w:right="77"/>
              <w:rPr>
                <w:rFonts w:ascii="宋体" w:eastAsia="宋体" w:hint="eastAsia"/>
                <w:sz w:val="21"/>
              </w:rPr>
            </w:pPr>
            <w:r>
              <w:rPr>
                <w:position w:val="1"/>
                <w:sz w:val="21"/>
              </w:rPr>
              <w:t>1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200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7" w:hRule="atLeast"/>
        </w:trPr>
        <w:tc>
          <w:tcPr>
            <w:tcW w:w="1320" w:type="dxa"/>
            <w:vMerge w:val="restart"/>
            <w:tcBorders>
              <w:top w:val="single" w:sz="4" w:space="0" w:color="000000"/>
              <w:bottom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111" w:right="91"/>
              <w:rPr>
                <w:sz w:val="21"/>
              </w:rPr>
            </w:pPr>
            <w:r>
              <w:rPr>
                <w:sz w:val="21"/>
              </w:rPr>
              <w:t>CO</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position w:val="1"/>
                <w:sz w:val="21"/>
              </w:rPr>
              <w:t>24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27"/>
              <w:rPr>
                <w:sz w:val="21"/>
              </w:rPr>
            </w:pPr>
            <w:r>
              <w:rPr>
                <w:w w:val="100"/>
                <w:sz w:val="21"/>
              </w:rPr>
              <w:t>4</w:t>
            </w:r>
          </w:p>
        </w:tc>
        <w:tc>
          <w:tcPr>
            <w:tcW w:w="79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130"/>
              <w:jc w:val="left"/>
              <w:rPr>
                <w:sz w:val="21"/>
              </w:rPr>
            </w:pPr>
            <w:r>
              <w:rPr>
                <w:sz w:val="21"/>
              </w:rPr>
              <w:t>mg/m³</w:t>
            </w: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9"/>
              <w:ind w:left="102" w:right="77"/>
              <w:rPr>
                <w:rFonts w:ascii="宋体" w:eastAsia="宋体" w:hint="eastAsia"/>
                <w:sz w:val="21"/>
              </w:rPr>
            </w:pPr>
            <w:r>
              <w:rPr>
                <w:position w:val="1"/>
                <w:sz w:val="21"/>
              </w:rPr>
              <w:t>1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spacing w:before="60"/>
              <w:ind w:left="124" w:right="97"/>
              <w:rPr>
                <w:sz w:val="21"/>
              </w:rPr>
            </w:pPr>
            <w:r>
              <w:rPr>
                <w:sz w:val="21"/>
              </w:rPr>
              <w:t>10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val="restart"/>
            <w:tcBorders>
              <w:top w:val="single" w:sz="4" w:space="0" w:color="000000"/>
              <w:bottom w:val="single" w:sz="4" w:space="0" w:color="000000"/>
              <w:right w:val="single" w:sz="4" w:space="0" w:color="000000"/>
            </w:tcBorders>
          </w:tcPr>
          <w:p>
            <w:pPr>
              <w:pStyle w:val="TableParagraph"/>
              <w:spacing w:before="11"/>
              <w:jc w:val="left"/>
              <w:rPr>
                <w:rFonts w:ascii="宋体"/>
                <w:b/>
                <w:sz w:val="18"/>
              </w:rPr>
            </w:pPr>
          </w:p>
          <w:p>
            <w:pPr>
              <w:pStyle w:val="TableParagraph"/>
              <w:spacing w:before="0"/>
              <w:ind w:left="111" w:right="90"/>
              <w:rPr>
                <w:sz w:val="14"/>
              </w:rPr>
            </w:pPr>
            <w:r>
              <w:rPr>
                <w:position w:val="2"/>
                <w:sz w:val="21"/>
              </w:rPr>
              <w:t>O</w:t>
            </w:r>
            <w:r>
              <w:rPr>
                <w:sz w:val="14"/>
              </w:rPr>
              <w:t>3</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7"/>
              <w:rPr>
                <w:rFonts w:ascii="宋体" w:eastAsia="宋体" w:hint="eastAsia"/>
                <w:sz w:val="21"/>
              </w:rPr>
            </w:pPr>
            <w:r>
              <w:rPr>
                <w:rFonts w:ascii="宋体" w:eastAsia="宋体" w:hint="eastAsia"/>
                <w:sz w:val="21"/>
              </w:rPr>
              <w:t>日最大 </w:t>
            </w:r>
            <w:r>
              <w:rPr>
                <w:position w:val="1"/>
                <w:sz w:val="21"/>
              </w:rPr>
              <w:t>8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160</w:t>
            </w:r>
          </w:p>
        </w:tc>
        <w:tc>
          <w:tcPr>
            <w:tcW w:w="797"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4"/>
              <w:jc w:val="left"/>
              <w:rPr>
                <w:rFonts w:ascii="宋体"/>
                <w:b/>
                <w:sz w:val="17"/>
              </w:rPr>
            </w:pPr>
          </w:p>
          <w:p>
            <w:pPr>
              <w:pStyle w:val="TableParagraph"/>
              <w:spacing w:before="0"/>
              <w:ind w:left="157"/>
              <w:jc w:val="left"/>
              <w:rPr>
                <w:sz w:val="21"/>
              </w:rPr>
            </w:pPr>
            <w:r>
              <w:rPr>
                <w:sz w:val="21"/>
              </w:rPr>
              <w:t>μg/m³</w:t>
            </w:r>
          </w:p>
        </w:tc>
        <w:tc>
          <w:tcPr>
            <w:tcW w:w="3815" w:type="dxa"/>
            <w:vMerge/>
            <w:tcBorders>
              <w:top w:val="nil"/>
              <w:left w:val="single" w:sz="4" w:space="0" w:color="000000"/>
              <w:bottom w:val="single" w:sz="4" w:space="0" w:color="000000"/>
            </w:tcBorders>
          </w:tcPr>
          <w:p>
            <w:pPr>
              <w:rPr>
                <w:sz w:val="2"/>
                <w:szCs w:val="2"/>
              </w:rPr>
            </w:pPr>
          </w:p>
        </w:tc>
      </w:tr>
      <w:tr>
        <w:trPr>
          <w:trHeight w:val="357"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7"/>
              <w:ind w:left="102" w:right="77"/>
              <w:rPr>
                <w:rFonts w:ascii="宋体" w:eastAsia="宋体" w:hint="eastAsia"/>
                <w:sz w:val="21"/>
              </w:rPr>
            </w:pPr>
            <w:r>
              <w:rPr>
                <w:position w:val="1"/>
                <w:sz w:val="21"/>
              </w:rPr>
              <w:t>1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200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val="restart"/>
            <w:tcBorders>
              <w:top w:val="single" w:sz="4" w:space="0" w:color="000000"/>
              <w:bottom w:val="single" w:sz="4" w:space="0" w:color="000000"/>
              <w:right w:val="single" w:sz="4" w:space="0" w:color="000000"/>
            </w:tcBorders>
          </w:tcPr>
          <w:p>
            <w:pPr>
              <w:pStyle w:val="TableParagraph"/>
              <w:spacing w:before="11"/>
              <w:jc w:val="left"/>
              <w:rPr>
                <w:rFonts w:ascii="宋体"/>
                <w:b/>
                <w:sz w:val="18"/>
              </w:rPr>
            </w:pPr>
          </w:p>
          <w:p>
            <w:pPr>
              <w:pStyle w:val="TableParagraph"/>
              <w:spacing w:before="0"/>
              <w:ind w:left="436"/>
              <w:jc w:val="left"/>
              <w:rPr>
                <w:sz w:val="14"/>
              </w:rPr>
            </w:pPr>
            <w:r>
              <w:rPr>
                <w:position w:val="2"/>
                <w:sz w:val="21"/>
              </w:rPr>
              <w:t>PM</w:t>
            </w:r>
            <w:r>
              <w:rPr>
                <w:sz w:val="14"/>
              </w:rPr>
              <w:t>10</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9"/>
              <w:ind w:left="103" w:right="76"/>
              <w:rPr>
                <w:rFonts w:ascii="宋体" w:eastAsia="宋体" w:hint="eastAsia"/>
                <w:sz w:val="21"/>
              </w:rPr>
            </w:pPr>
            <w:r>
              <w:rPr>
                <w:rFonts w:ascii="宋体" w:eastAsia="宋体" w:hint="eastAsia"/>
                <w:sz w:val="21"/>
              </w:rPr>
              <w:t>年平均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spacing w:before="60"/>
              <w:ind w:left="124" w:right="97"/>
              <w:rPr>
                <w:sz w:val="21"/>
              </w:rPr>
            </w:pPr>
            <w:r>
              <w:rPr>
                <w:sz w:val="21"/>
              </w:rPr>
              <w:t>70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position w:val="1"/>
                <w:sz w:val="21"/>
              </w:rPr>
              <w:t>24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150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7" w:hRule="atLeast"/>
        </w:trPr>
        <w:tc>
          <w:tcPr>
            <w:tcW w:w="1320" w:type="dxa"/>
            <w:vMerge w:val="restart"/>
            <w:tcBorders>
              <w:top w:val="single" w:sz="4" w:space="0" w:color="000000"/>
              <w:bottom w:val="single" w:sz="4" w:space="0" w:color="000000"/>
              <w:right w:val="single" w:sz="4" w:space="0" w:color="000000"/>
            </w:tcBorders>
          </w:tcPr>
          <w:p>
            <w:pPr>
              <w:pStyle w:val="TableParagraph"/>
              <w:spacing w:before="11"/>
              <w:jc w:val="left"/>
              <w:rPr>
                <w:rFonts w:ascii="宋体"/>
                <w:b/>
                <w:sz w:val="18"/>
              </w:rPr>
            </w:pPr>
          </w:p>
          <w:p>
            <w:pPr>
              <w:pStyle w:val="TableParagraph"/>
              <w:spacing w:before="0"/>
              <w:ind w:left="419"/>
              <w:jc w:val="left"/>
              <w:rPr>
                <w:sz w:val="14"/>
              </w:rPr>
            </w:pPr>
            <w:r>
              <w:rPr>
                <w:position w:val="2"/>
                <w:sz w:val="21"/>
              </w:rPr>
              <w:t>PM</w:t>
            </w:r>
            <w:r>
              <w:rPr>
                <w:sz w:val="14"/>
              </w:rPr>
              <w:t>2.5</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rFonts w:ascii="宋体" w:eastAsia="宋体" w:hint="eastAsia"/>
                <w:sz w:val="21"/>
              </w:rPr>
              <w:t>年平均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35</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9"/>
              <w:ind w:left="103" w:right="76"/>
              <w:rPr>
                <w:rFonts w:ascii="宋体" w:eastAsia="宋体" w:hint="eastAsia"/>
                <w:sz w:val="21"/>
              </w:rPr>
            </w:pPr>
            <w:r>
              <w:rPr>
                <w:position w:val="1"/>
                <w:sz w:val="21"/>
              </w:rPr>
              <w:t>24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spacing w:before="60"/>
              <w:ind w:left="124" w:right="97"/>
              <w:rPr>
                <w:sz w:val="21"/>
              </w:rPr>
            </w:pPr>
            <w:r>
              <w:rPr>
                <w:sz w:val="21"/>
              </w:rPr>
              <w:t>75</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9" w:hRule="atLeast"/>
        </w:trPr>
        <w:tc>
          <w:tcPr>
            <w:tcW w:w="1320" w:type="dxa"/>
            <w:vMerge w:val="restart"/>
            <w:tcBorders>
              <w:top w:val="single" w:sz="4" w:space="0" w:color="000000"/>
              <w:bottom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111" w:right="93"/>
              <w:rPr>
                <w:sz w:val="21"/>
              </w:rPr>
            </w:pPr>
            <w:r>
              <w:rPr>
                <w:sz w:val="21"/>
              </w:rPr>
              <w:t>TSP</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rFonts w:ascii="宋体" w:eastAsia="宋体" w:hint="eastAsia"/>
                <w:sz w:val="21"/>
              </w:rPr>
              <w:t>年平均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200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57" w:hRule="atLeast"/>
        </w:trPr>
        <w:tc>
          <w:tcPr>
            <w:tcW w:w="1320" w:type="dxa"/>
            <w:vMerge/>
            <w:tcBorders>
              <w:top w:val="nil"/>
              <w:bottom w:val="single" w:sz="4" w:space="0" w:color="000000"/>
              <w:right w:val="single" w:sz="4" w:space="0" w:color="000000"/>
            </w:tcBorders>
          </w:tcPr>
          <w:p>
            <w:pPr>
              <w:rPr>
                <w:sz w:val="2"/>
                <w:szCs w:val="2"/>
              </w:rPr>
            </w:pP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position w:val="1"/>
                <w:sz w:val="21"/>
              </w:rPr>
              <w:t>24 </w:t>
            </w:r>
            <w:r>
              <w:rPr>
                <w:rFonts w:ascii="宋体" w:eastAsia="宋体" w:hint="eastAsia"/>
                <w:sz w:val="21"/>
              </w:rPr>
              <w:t>小时平均</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300</w:t>
            </w:r>
          </w:p>
        </w:tc>
        <w:tc>
          <w:tcPr>
            <w:tcW w:w="797" w:type="dxa"/>
            <w:vMerge/>
            <w:tcBorders>
              <w:top w:val="nil"/>
              <w:left w:val="single" w:sz="4" w:space="0" w:color="000000"/>
              <w:bottom w:val="single" w:sz="4" w:space="0" w:color="000000"/>
              <w:right w:val="single" w:sz="4" w:space="0" w:color="000000"/>
            </w:tcBorders>
          </w:tcPr>
          <w:p>
            <w:pPr>
              <w:rPr>
                <w:sz w:val="2"/>
                <w:szCs w:val="2"/>
              </w:rPr>
            </w:pPr>
          </w:p>
        </w:tc>
        <w:tc>
          <w:tcPr>
            <w:tcW w:w="3815" w:type="dxa"/>
            <w:vMerge/>
            <w:tcBorders>
              <w:top w:val="nil"/>
              <w:left w:val="single" w:sz="4" w:space="0" w:color="000000"/>
              <w:bottom w:val="single" w:sz="4" w:space="0" w:color="000000"/>
            </w:tcBorders>
          </w:tcPr>
          <w:p>
            <w:pPr>
              <w:rPr>
                <w:sz w:val="2"/>
                <w:szCs w:val="2"/>
              </w:rPr>
            </w:pPr>
          </w:p>
        </w:tc>
      </w:tr>
      <w:tr>
        <w:trPr>
          <w:trHeight w:val="349" w:hRule="atLeast"/>
        </w:trPr>
        <w:tc>
          <w:tcPr>
            <w:tcW w:w="1320" w:type="dxa"/>
            <w:tcBorders>
              <w:top w:val="single" w:sz="4" w:space="0" w:color="000000"/>
              <w:bottom w:val="single" w:sz="4" w:space="0" w:color="000000"/>
              <w:right w:val="single" w:sz="4" w:space="0" w:color="000000"/>
            </w:tcBorders>
          </w:tcPr>
          <w:p>
            <w:pPr>
              <w:pStyle w:val="TableParagraph"/>
              <w:spacing w:before="46"/>
              <w:ind w:left="18"/>
              <w:rPr>
                <w:rFonts w:ascii="宋体" w:eastAsia="宋体" w:hint="eastAsia"/>
                <w:sz w:val="21"/>
              </w:rPr>
            </w:pPr>
            <w:r>
              <w:rPr>
                <w:rFonts w:ascii="宋体" w:eastAsia="宋体" w:hint="eastAsia"/>
                <w:w w:val="100"/>
                <w:sz w:val="21"/>
              </w:rPr>
              <w:t>氨</w:t>
            </w:r>
          </w:p>
        </w:tc>
        <w:tc>
          <w:tcPr>
            <w:tcW w:w="1964"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76"/>
              <w:rPr>
                <w:rFonts w:ascii="宋体" w:eastAsia="宋体" w:hint="eastAsia"/>
                <w:sz w:val="21"/>
              </w:rPr>
            </w:pPr>
            <w:r>
              <w:rPr>
                <w:rFonts w:ascii="宋体" w:eastAsia="宋体" w:hint="eastAsia"/>
                <w:sz w:val="21"/>
              </w:rPr>
              <w:t>一次值</w:t>
            </w:r>
          </w:p>
        </w:tc>
        <w:tc>
          <w:tcPr>
            <w:tcW w:w="1537" w:type="dxa"/>
            <w:tcBorders>
              <w:top w:val="single" w:sz="4" w:space="0" w:color="000000"/>
              <w:left w:val="single" w:sz="4" w:space="0" w:color="000000"/>
              <w:bottom w:val="single" w:sz="4" w:space="0" w:color="000000"/>
              <w:right w:val="single" w:sz="4" w:space="0" w:color="000000"/>
            </w:tcBorders>
          </w:tcPr>
          <w:p>
            <w:pPr>
              <w:pStyle w:val="TableParagraph"/>
              <w:ind w:left="124" w:right="97"/>
              <w:rPr>
                <w:sz w:val="21"/>
              </w:rPr>
            </w:pPr>
            <w:r>
              <w:rPr>
                <w:sz w:val="21"/>
              </w:rPr>
              <w:t>0.20</w:t>
            </w:r>
          </w:p>
        </w:tc>
        <w:tc>
          <w:tcPr>
            <w:tcW w:w="797" w:type="dxa"/>
            <w:vMerge w:val="restart"/>
            <w:tcBorders>
              <w:top w:val="single" w:sz="4" w:space="0" w:color="000000"/>
              <w:left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130"/>
              <w:jc w:val="left"/>
              <w:rPr>
                <w:sz w:val="21"/>
              </w:rPr>
            </w:pPr>
            <w:r>
              <w:rPr>
                <w:sz w:val="21"/>
              </w:rPr>
              <w:t>mg/m³</w:t>
            </w:r>
          </w:p>
        </w:tc>
        <w:tc>
          <w:tcPr>
            <w:tcW w:w="3815" w:type="dxa"/>
            <w:vMerge w:val="restart"/>
            <w:tcBorders>
              <w:top w:val="single" w:sz="4" w:space="0" w:color="000000"/>
              <w:left w:val="single" w:sz="4" w:space="0" w:color="000000"/>
            </w:tcBorders>
          </w:tcPr>
          <w:p>
            <w:pPr>
              <w:pStyle w:val="TableParagraph"/>
              <w:spacing w:before="53"/>
              <w:ind w:left="162" w:right="127"/>
              <w:rPr>
                <w:rFonts w:ascii="宋体" w:eastAsia="宋体" w:hint="eastAsia"/>
                <w:sz w:val="21"/>
              </w:rPr>
            </w:pPr>
            <w:r>
              <w:rPr>
                <w:rFonts w:ascii="宋体" w:eastAsia="宋体" w:hint="eastAsia"/>
                <w:sz w:val="21"/>
              </w:rPr>
              <w:t>《环境影响评价技术导则 大气环境》</w:t>
            </w:r>
          </w:p>
          <w:p>
            <w:pPr>
              <w:pStyle w:val="TableParagraph"/>
              <w:spacing w:before="89"/>
              <w:ind w:left="161" w:right="127"/>
              <w:rPr>
                <w:sz w:val="21"/>
              </w:rPr>
            </w:pPr>
            <w:r>
              <w:rPr>
                <w:rFonts w:ascii="宋体" w:eastAsia="宋体" w:hint="eastAsia"/>
                <w:sz w:val="21"/>
              </w:rPr>
              <w:t>（</w:t>
            </w:r>
            <w:r>
              <w:rPr>
                <w:position w:val="1"/>
                <w:sz w:val="21"/>
              </w:rPr>
              <w:t>HJ 2.2-2018</w:t>
            </w:r>
            <w:r>
              <w:rPr>
                <w:rFonts w:ascii="宋体" w:eastAsia="宋体" w:hint="eastAsia"/>
                <w:sz w:val="21"/>
              </w:rPr>
              <w:t>）附录</w:t>
            </w:r>
            <w:r>
              <w:rPr>
                <w:position w:val="1"/>
                <w:sz w:val="21"/>
              </w:rPr>
              <w:t>D</w:t>
            </w:r>
          </w:p>
        </w:tc>
      </w:tr>
      <w:tr>
        <w:trPr>
          <w:trHeight w:val="346" w:hRule="atLeast"/>
        </w:trPr>
        <w:tc>
          <w:tcPr>
            <w:tcW w:w="1320" w:type="dxa"/>
            <w:tcBorders>
              <w:top w:val="single" w:sz="4" w:space="0" w:color="000000"/>
              <w:right w:val="single" w:sz="4" w:space="0" w:color="000000"/>
            </w:tcBorders>
          </w:tcPr>
          <w:p>
            <w:pPr>
              <w:pStyle w:val="TableParagraph"/>
              <w:spacing w:before="36"/>
              <w:ind w:left="111" w:right="93"/>
              <w:rPr>
                <w:rFonts w:ascii="宋体" w:eastAsia="宋体" w:hint="eastAsia"/>
                <w:sz w:val="21"/>
              </w:rPr>
            </w:pPr>
            <w:r>
              <w:rPr>
                <w:rFonts w:ascii="宋体" w:eastAsia="宋体" w:hint="eastAsia"/>
                <w:sz w:val="21"/>
              </w:rPr>
              <w:t>硫化氢</w:t>
            </w:r>
          </w:p>
        </w:tc>
        <w:tc>
          <w:tcPr>
            <w:tcW w:w="1964" w:type="dxa"/>
            <w:tcBorders>
              <w:top w:val="single" w:sz="4" w:space="0" w:color="000000"/>
              <w:left w:val="single" w:sz="4" w:space="0" w:color="000000"/>
              <w:right w:val="single" w:sz="4" w:space="0" w:color="000000"/>
            </w:tcBorders>
          </w:tcPr>
          <w:p>
            <w:pPr>
              <w:pStyle w:val="TableParagraph"/>
              <w:spacing w:before="36"/>
              <w:ind w:left="103" w:right="76"/>
              <w:rPr>
                <w:rFonts w:ascii="宋体" w:eastAsia="宋体" w:hint="eastAsia"/>
                <w:sz w:val="21"/>
              </w:rPr>
            </w:pPr>
            <w:r>
              <w:rPr>
                <w:rFonts w:ascii="宋体" w:eastAsia="宋体" w:hint="eastAsia"/>
                <w:sz w:val="21"/>
              </w:rPr>
              <w:t>一次值</w:t>
            </w:r>
          </w:p>
        </w:tc>
        <w:tc>
          <w:tcPr>
            <w:tcW w:w="1537" w:type="dxa"/>
            <w:tcBorders>
              <w:top w:val="single" w:sz="4" w:space="0" w:color="000000"/>
              <w:left w:val="single" w:sz="4" w:space="0" w:color="000000"/>
              <w:right w:val="single" w:sz="4" w:space="0" w:color="000000"/>
            </w:tcBorders>
          </w:tcPr>
          <w:p>
            <w:pPr>
              <w:pStyle w:val="TableParagraph"/>
              <w:spacing w:before="48"/>
              <w:ind w:left="124" w:right="97"/>
              <w:rPr>
                <w:sz w:val="21"/>
              </w:rPr>
            </w:pPr>
            <w:r>
              <w:rPr>
                <w:sz w:val="21"/>
              </w:rPr>
              <w:t>0.01</w:t>
            </w:r>
          </w:p>
        </w:tc>
        <w:tc>
          <w:tcPr>
            <w:tcW w:w="797" w:type="dxa"/>
            <w:vMerge/>
            <w:tcBorders>
              <w:top w:val="nil"/>
              <w:left w:val="single" w:sz="4" w:space="0" w:color="000000"/>
              <w:right w:val="single" w:sz="4" w:space="0" w:color="000000"/>
            </w:tcBorders>
          </w:tcPr>
          <w:p>
            <w:pPr>
              <w:rPr>
                <w:sz w:val="2"/>
                <w:szCs w:val="2"/>
              </w:rPr>
            </w:pPr>
          </w:p>
        </w:tc>
        <w:tc>
          <w:tcPr>
            <w:tcW w:w="3815" w:type="dxa"/>
            <w:vMerge/>
            <w:tcBorders>
              <w:top w:val="nil"/>
              <w:left w:val="single" w:sz="4" w:space="0" w:color="000000"/>
            </w:tcBorders>
          </w:tcPr>
          <w:p>
            <w:pPr>
              <w:rPr>
                <w:sz w:val="2"/>
                <w:szCs w:val="2"/>
              </w:rPr>
            </w:pPr>
          </w:p>
        </w:tc>
      </w:tr>
    </w:tbl>
    <w:p>
      <w:pPr>
        <w:spacing w:after="0"/>
        <w:rPr>
          <w:sz w:val="2"/>
          <w:szCs w:val="2"/>
        </w:rPr>
        <w:sectPr>
          <w:pgSz w:w="11910" w:h="16840"/>
          <w:pgMar w:header="874" w:footer="1004" w:top="1400" w:bottom="1200" w:left="1040" w:right="1160"/>
        </w:sectPr>
      </w:pPr>
    </w:p>
    <w:p>
      <w:pPr>
        <w:spacing w:before="121"/>
        <w:ind w:left="719" w:right="0" w:firstLine="0"/>
        <w:jc w:val="left"/>
        <w:rPr>
          <w:b/>
          <w:sz w:val="24"/>
        </w:rPr>
      </w:pPr>
      <w:r>
        <w:rPr>
          <w:rFonts w:ascii="Times New Roman" w:eastAsia="Times New Roman"/>
          <w:b/>
          <w:sz w:val="24"/>
        </w:rPr>
        <w:t>4</w:t>
      </w:r>
      <w:r>
        <w:rPr>
          <w:b/>
          <w:sz w:val="24"/>
        </w:rPr>
        <w:t>、声环境质量标准</w:t>
      </w:r>
    </w:p>
    <w:p>
      <w:pPr>
        <w:pStyle w:val="BodyText"/>
        <w:spacing w:line="364" w:lineRule="auto" w:before="161"/>
        <w:ind w:right="252" w:firstLine="480"/>
        <w:jc w:val="both"/>
      </w:pPr>
      <w:r>
        <w:rPr>
          <w:spacing w:val="-4"/>
        </w:rPr>
        <w:t>项目所在区域背景噪声应执行《声环境质量标准》</w:t>
      </w:r>
      <w:r>
        <w:rPr/>
        <w:t>（</w:t>
      </w:r>
      <w:r>
        <w:rPr>
          <w:rFonts w:ascii="Times New Roman" w:eastAsia="Times New Roman"/>
          <w:position w:val="1"/>
        </w:rPr>
        <w:t>GB 3096-2008</w:t>
      </w:r>
      <w:r>
        <w:rPr/>
        <w:t>）</w:t>
      </w:r>
      <w:r>
        <w:rPr>
          <w:rFonts w:ascii="Times New Roman" w:eastAsia="Times New Roman"/>
          <w:position w:val="1"/>
        </w:rPr>
        <w:t>1 </w:t>
      </w:r>
      <w:r>
        <w:rPr>
          <w:spacing w:val="-6"/>
        </w:rPr>
        <w:t>类标准，项目</w:t>
      </w:r>
      <w:r>
        <w:rPr/>
        <w:t>实施后厂界噪声应执行《畜禽养殖产地环境评价规范》（</w:t>
      </w:r>
      <w:r>
        <w:rPr>
          <w:rFonts w:ascii="Times New Roman" w:eastAsia="Times New Roman"/>
          <w:position w:val="1"/>
        </w:rPr>
        <w:t>HJ 568-2010</w:t>
      </w:r>
      <w:r>
        <w:rPr/>
        <w:t>）</w:t>
      </w:r>
      <w:r>
        <w:rPr>
          <w:spacing w:val="-20"/>
        </w:rPr>
        <w:t>中表 </w:t>
      </w:r>
      <w:r>
        <w:rPr>
          <w:rFonts w:ascii="Times New Roman" w:eastAsia="Times New Roman"/>
          <w:position w:val="1"/>
        </w:rPr>
        <w:t>6 </w:t>
      </w:r>
      <w:r>
        <w:rPr>
          <w:spacing w:val="-4"/>
        </w:rPr>
        <w:t>畜禽养殖</w:t>
      </w:r>
      <w:r>
        <w:rPr>
          <w:spacing w:val="-3"/>
        </w:rPr>
        <w:t>场声环境质量评价指标限值。具体标准值如表 </w:t>
      </w:r>
      <w:r>
        <w:rPr>
          <w:rFonts w:ascii="Times New Roman" w:eastAsia="Times New Roman"/>
          <w:position w:val="1"/>
        </w:rPr>
        <w:t>2.3-4 </w:t>
      </w:r>
      <w:r>
        <w:rPr/>
        <w:t>所示。</w:t>
      </w:r>
    </w:p>
    <w:p>
      <w:pPr>
        <w:pStyle w:val="Heading3"/>
        <w:spacing w:before="1"/>
        <w:ind w:left="2645"/>
        <w:jc w:val="both"/>
      </w:pPr>
      <w:r>
        <w:rPr/>
        <w:t>表 </w:t>
      </w:r>
      <w:r>
        <w:rPr>
          <w:rFonts w:ascii="Times New Roman" w:eastAsia="Times New Roman"/>
        </w:rPr>
        <w:t>2.3-4  </w:t>
      </w:r>
      <w:r>
        <w:rPr/>
        <w:t>声环境质量标准 单位：</w:t>
      </w:r>
      <w:r>
        <w:rPr>
          <w:rFonts w:ascii="Times New Roman" w:eastAsia="Times New Roman"/>
        </w:rPr>
        <w:t>dB</w:t>
      </w:r>
      <w:r>
        <w:rPr/>
        <w:t>（</w:t>
      </w:r>
      <w:r>
        <w:rPr>
          <w:rFonts w:ascii="Times New Roman" w:eastAsia="Times New Roman"/>
        </w:rPr>
        <w:t>A</w:t>
      </w:r>
      <w:r>
        <w:rPr/>
        <w:t>）</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645"/>
        <w:gridCol w:w="1392"/>
        <w:gridCol w:w="1395"/>
      </w:tblGrid>
      <w:tr>
        <w:trPr>
          <w:trHeight w:val="359" w:hRule="atLeast"/>
        </w:trPr>
        <w:tc>
          <w:tcPr>
            <w:tcW w:w="6645" w:type="dxa"/>
            <w:tcBorders>
              <w:bottom w:val="single" w:sz="6" w:space="0" w:color="000000"/>
              <w:right w:val="single" w:sz="6" w:space="0" w:color="000000"/>
            </w:tcBorders>
          </w:tcPr>
          <w:p>
            <w:pPr>
              <w:pStyle w:val="TableParagraph"/>
              <w:spacing w:before="44"/>
              <w:ind w:left="1574" w:right="1554"/>
              <w:rPr>
                <w:rFonts w:ascii="宋体" w:eastAsia="宋体" w:hint="eastAsia"/>
                <w:b/>
                <w:sz w:val="21"/>
              </w:rPr>
            </w:pPr>
            <w:r>
              <w:rPr>
                <w:rFonts w:ascii="宋体" w:eastAsia="宋体" w:hint="eastAsia"/>
                <w:b/>
                <w:sz w:val="21"/>
              </w:rPr>
              <w:t>声环境功能区类别</w:t>
            </w:r>
          </w:p>
        </w:tc>
        <w:tc>
          <w:tcPr>
            <w:tcW w:w="1392" w:type="dxa"/>
            <w:tcBorders>
              <w:left w:val="single" w:sz="6" w:space="0" w:color="000000"/>
              <w:bottom w:val="single" w:sz="6" w:space="0" w:color="000000"/>
              <w:right w:val="single" w:sz="6" w:space="0" w:color="000000"/>
            </w:tcBorders>
          </w:tcPr>
          <w:p>
            <w:pPr>
              <w:pStyle w:val="TableParagraph"/>
              <w:spacing w:before="44"/>
              <w:ind w:left="469" w:right="446"/>
              <w:rPr>
                <w:rFonts w:ascii="宋体" w:eastAsia="宋体" w:hint="eastAsia"/>
                <w:b/>
                <w:sz w:val="21"/>
              </w:rPr>
            </w:pPr>
            <w:r>
              <w:rPr>
                <w:rFonts w:ascii="宋体" w:eastAsia="宋体" w:hint="eastAsia"/>
                <w:b/>
                <w:sz w:val="21"/>
              </w:rPr>
              <w:t>昼间</w:t>
            </w:r>
          </w:p>
        </w:tc>
        <w:tc>
          <w:tcPr>
            <w:tcW w:w="1395" w:type="dxa"/>
            <w:tcBorders>
              <w:left w:val="single" w:sz="6" w:space="0" w:color="000000"/>
              <w:bottom w:val="single" w:sz="6" w:space="0" w:color="000000"/>
            </w:tcBorders>
          </w:tcPr>
          <w:p>
            <w:pPr>
              <w:pStyle w:val="TableParagraph"/>
              <w:spacing w:before="44"/>
              <w:ind w:left="471" w:right="439"/>
              <w:rPr>
                <w:rFonts w:ascii="宋体" w:eastAsia="宋体" w:hint="eastAsia"/>
                <w:b/>
                <w:sz w:val="21"/>
              </w:rPr>
            </w:pPr>
            <w:r>
              <w:rPr>
                <w:rFonts w:ascii="宋体" w:eastAsia="宋体" w:hint="eastAsia"/>
                <w:b/>
                <w:sz w:val="21"/>
              </w:rPr>
              <w:t>夜间</w:t>
            </w:r>
          </w:p>
        </w:tc>
      </w:tr>
      <w:tr>
        <w:trPr>
          <w:trHeight w:val="359" w:hRule="atLeast"/>
        </w:trPr>
        <w:tc>
          <w:tcPr>
            <w:tcW w:w="6645" w:type="dxa"/>
            <w:tcBorders>
              <w:top w:val="single" w:sz="6" w:space="0" w:color="000000"/>
              <w:bottom w:val="single" w:sz="6" w:space="0" w:color="000000"/>
              <w:right w:val="single" w:sz="6" w:space="0" w:color="000000"/>
            </w:tcBorders>
          </w:tcPr>
          <w:p>
            <w:pPr>
              <w:pStyle w:val="TableParagraph"/>
              <w:spacing w:before="44"/>
              <w:ind w:left="1574" w:right="1554"/>
              <w:rPr>
                <w:rFonts w:ascii="宋体" w:eastAsia="宋体" w:hint="eastAsia"/>
                <w:sz w:val="21"/>
              </w:rPr>
            </w:pPr>
            <w:r>
              <w:rPr>
                <w:sz w:val="21"/>
              </w:rPr>
              <w:t>GB 3096-2008 </w:t>
            </w:r>
            <w:r>
              <w:rPr>
                <w:rFonts w:ascii="宋体" w:eastAsia="宋体" w:hint="eastAsia"/>
                <w:sz w:val="21"/>
              </w:rPr>
              <w:t>中的 </w:t>
            </w:r>
            <w:r>
              <w:rPr>
                <w:sz w:val="21"/>
              </w:rPr>
              <w:t>1 </w:t>
            </w:r>
            <w:r>
              <w:rPr>
                <w:rFonts w:ascii="宋体" w:eastAsia="宋体" w:hint="eastAsia"/>
                <w:sz w:val="21"/>
              </w:rPr>
              <w:t>类区标准</w:t>
            </w:r>
          </w:p>
        </w:tc>
        <w:tc>
          <w:tcPr>
            <w:tcW w:w="1392" w:type="dxa"/>
            <w:tcBorders>
              <w:top w:val="single" w:sz="6" w:space="0" w:color="000000"/>
              <w:left w:val="single" w:sz="6" w:space="0" w:color="000000"/>
              <w:bottom w:val="single" w:sz="6" w:space="0" w:color="000000"/>
              <w:right w:val="single" w:sz="6" w:space="0" w:color="000000"/>
            </w:tcBorders>
          </w:tcPr>
          <w:p>
            <w:pPr>
              <w:pStyle w:val="TableParagraph"/>
              <w:ind w:left="469" w:right="446"/>
              <w:rPr>
                <w:sz w:val="21"/>
              </w:rPr>
            </w:pPr>
            <w:r>
              <w:rPr>
                <w:sz w:val="21"/>
              </w:rPr>
              <w:t>55</w:t>
            </w:r>
          </w:p>
        </w:tc>
        <w:tc>
          <w:tcPr>
            <w:tcW w:w="1395" w:type="dxa"/>
            <w:tcBorders>
              <w:top w:val="single" w:sz="6" w:space="0" w:color="000000"/>
              <w:left w:val="single" w:sz="6" w:space="0" w:color="000000"/>
              <w:bottom w:val="single" w:sz="6" w:space="0" w:color="000000"/>
            </w:tcBorders>
          </w:tcPr>
          <w:p>
            <w:pPr>
              <w:pStyle w:val="TableParagraph"/>
              <w:ind w:left="471" w:right="439"/>
              <w:rPr>
                <w:sz w:val="21"/>
              </w:rPr>
            </w:pPr>
            <w:r>
              <w:rPr>
                <w:sz w:val="21"/>
              </w:rPr>
              <w:t>45</w:t>
            </w:r>
          </w:p>
        </w:tc>
      </w:tr>
      <w:tr>
        <w:trPr>
          <w:trHeight w:val="356" w:hRule="atLeast"/>
        </w:trPr>
        <w:tc>
          <w:tcPr>
            <w:tcW w:w="6645" w:type="dxa"/>
            <w:tcBorders>
              <w:top w:val="single" w:sz="6" w:space="0" w:color="000000"/>
              <w:right w:val="single" w:sz="6" w:space="0" w:color="000000"/>
            </w:tcBorders>
          </w:tcPr>
          <w:p>
            <w:pPr>
              <w:pStyle w:val="TableParagraph"/>
              <w:spacing w:before="44"/>
              <w:ind w:left="1574" w:right="1554"/>
              <w:rPr>
                <w:rFonts w:ascii="宋体" w:eastAsia="宋体" w:hint="eastAsia"/>
                <w:sz w:val="21"/>
              </w:rPr>
            </w:pPr>
            <w:r>
              <w:rPr>
                <w:sz w:val="21"/>
              </w:rPr>
              <w:t>HJ 568-2010 </w:t>
            </w:r>
            <w:r>
              <w:rPr>
                <w:rFonts w:ascii="宋体" w:eastAsia="宋体" w:hint="eastAsia"/>
                <w:sz w:val="21"/>
              </w:rPr>
              <w:t>中的声环境评价指标限值</w:t>
            </w:r>
          </w:p>
        </w:tc>
        <w:tc>
          <w:tcPr>
            <w:tcW w:w="1392" w:type="dxa"/>
            <w:tcBorders>
              <w:top w:val="single" w:sz="6" w:space="0" w:color="000000"/>
              <w:left w:val="single" w:sz="6" w:space="0" w:color="000000"/>
              <w:right w:val="single" w:sz="6" w:space="0" w:color="000000"/>
            </w:tcBorders>
          </w:tcPr>
          <w:p>
            <w:pPr>
              <w:pStyle w:val="TableParagraph"/>
              <w:ind w:left="469" w:right="446"/>
              <w:rPr>
                <w:sz w:val="21"/>
              </w:rPr>
            </w:pPr>
            <w:r>
              <w:rPr>
                <w:sz w:val="21"/>
              </w:rPr>
              <w:t>60</w:t>
            </w:r>
          </w:p>
        </w:tc>
        <w:tc>
          <w:tcPr>
            <w:tcW w:w="1395" w:type="dxa"/>
            <w:tcBorders>
              <w:top w:val="single" w:sz="6" w:space="0" w:color="000000"/>
              <w:left w:val="single" w:sz="6" w:space="0" w:color="000000"/>
            </w:tcBorders>
          </w:tcPr>
          <w:p>
            <w:pPr>
              <w:pStyle w:val="TableParagraph"/>
              <w:ind w:left="471" w:right="439"/>
              <w:rPr>
                <w:sz w:val="21"/>
              </w:rPr>
            </w:pPr>
            <w:r>
              <w:rPr>
                <w:sz w:val="21"/>
              </w:rPr>
              <w:t>50</w:t>
            </w:r>
          </w:p>
        </w:tc>
      </w:tr>
    </w:tbl>
    <w:p>
      <w:pPr>
        <w:spacing w:before="85"/>
        <w:ind w:left="719" w:right="0" w:firstLine="0"/>
        <w:jc w:val="left"/>
        <w:rPr>
          <w:b/>
          <w:sz w:val="24"/>
        </w:rPr>
      </w:pPr>
      <w:r>
        <w:rPr>
          <w:rFonts w:ascii="Times New Roman" w:eastAsia="Times New Roman"/>
          <w:b/>
          <w:sz w:val="24"/>
        </w:rPr>
        <w:t>5</w:t>
      </w:r>
      <w:r>
        <w:rPr>
          <w:b/>
          <w:sz w:val="24"/>
        </w:rPr>
        <w:t>、土壤环境质量标准</w:t>
      </w:r>
    </w:p>
    <w:p>
      <w:pPr>
        <w:pStyle w:val="BodyText"/>
        <w:spacing w:line="364" w:lineRule="auto" w:before="161"/>
        <w:ind w:right="250" w:firstLine="480"/>
        <w:jc w:val="both"/>
      </w:pPr>
      <w:r>
        <w:rPr>
          <w:spacing w:val="-11"/>
        </w:rPr>
        <w:t>因项目用地性质为设施农用地，镉、铬、镍、铜、铅、锌、汞、砷等指标应执行《土</w:t>
      </w:r>
      <w:r>
        <w:rPr/>
        <w:t>壤环境质量 农用地土壤污染风险管控标准（试行）》（</w:t>
      </w:r>
      <w:r>
        <w:rPr>
          <w:rFonts w:ascii="Times New Roman" w:eastAsia="Times New Roman"/>
          <w:position w:val="1"/>
        </w:rPr>
        <w:t>GB 15618-2018</w:t>
      </w:r>
      <w:r>
        <w:rPr/>
        <w:t>）</w:t>
      </w:r>
      <w:r>
        <w:rPr>
          <w:spacing w:val="-2"/>
        </w:rPr>
        <w:t>中农用地土壤</w:t>
      </w:r>
      <w:r>
        <w:rPr>
          <w:spacing w:val="-4"/>
        </w:rPr>
        <w:t>污染风险筛选值。具体标准值如表 </w:t>
      </w:r>
      <w:r>
        <w:rPr>
          <w:rFonts w:ascii="Times New Roman" w:eastAsia="Times New Roman"/>
          <w:position w:val="1"/>
        </w:rPr>
        <w:t>2.3-5</w:t>
      </w:r>
      <w:r>
        <w:rPr/>
        <w:t>。</w:t>
      </w:r>
    </w:p>
    <w:p>
      <w:pPr>
        <w:pStyle w:val="Heading3"/>
        <w:spacing w:before="1"/>
        <w:ind w:left="2195"/>
        <w:jc w:val="both"/>
        <w:rPr>
          <w:rFonts w:ascii="Times New Roman" w:eastAsia="Times New Roman"/>
        </w:rPr>
      </w:pPr>
      <w:r>
        <w:rPr/>
        <w:t>表 </w:t>
      </w:r>
      <w:r>
        <w:rPr>
          <w:rFonts w:ascii="Times New Roman" w:eastAsia="Times New Roman"/>
        </w:rPr>
        <w:t>2.3-5  </w:t>
      </w:r>
      <w:r>
        <w:rPr/>
        <w:t>农用地土壤污染风险筛选值 单位：</w:t>
      </w:r>
      <w:r>
        <w:rPr>
          <w:rFonts w:ascii="Times New Roman" w:eastAsia="Times New Roman"/>
        </w:rPr>
        <w:t>mg/kg</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45"/>
        <w:gridCol w:w="1455"/>
        <w:gridCol w:w="1200"/>
        <w:gridCol w:w="1848"/>
        <w:gridCol w:w="1851"/>
        <w:gridCol w:w="1332"/>
      </w:tblGrid>
      <w:tr>
        <w:trPr>
          <w:trHeight w:val="359" w:hRule="atLeast"/>
        </w:trPr>
        <w:tc>
          <w:tcPr>
            <w:tcW w:w="1745" w:type="dxa"/>
            <w:vMerge w:val="restart"/>
            <w:tcBorders>
              <w:bottom w:val="single" w:sz="6" w:space="0" w:color="000000"/>
              <w:right w:val="single" w:sz="6" w:space="0" w:color="000000"/>
            </w:tcBorders>
          </w:tcPr>
          <w:p>
            <w:pPr>
              <w:pStyle w:val="TableParagraph"/>
              <w:spacing w:before="1"/>
              <w:jc w:val="left"/>
              <w:rPr>
                <w:b/>
                <w:sz w:val="20"/>
              </w:rPr>
            </w:pPr>
          </w:p>
          <w:p>
            <w:pPr>
              <w:pStyle w:val="TableParagraph"/>
              <w:spacing w:before="0"/>
              <w:ind w:left="345"/>
              <w:jc w:val="left"/>
              <w:rPr>
                <w:rFonts w:ascii="宋体" w:eastAsia="宋体" w:hint="eastAsia"/>
                <w:b/>
                <w:sz w:val="21"/>
              </w:rPr>
            </w:pPr>
            <w:r>
              <w:rPr>
                <w:rFonts w:ascii="宋体" w:eastAsia="宋体" w:hint="eastAsia"/>
                <w:b/>
                <w:sz w:val="21"/>
              </w:rPr>
              <w:t>污染物项目</w:t>
            </w:r>
          </w:p>
        </w:tc>
        <w:tc>
          <w:tcPr>
            <w:tcW w:w="7686" w:type="dxa"/>
            <w:gridSpan w:val="5"/>
            <w:tcBorders>
              <w:left w:val="single" w:sz="6" w:space="0" w:color="000000"/>
              <w:bottom w:val="single" w:sz="6" w:space="0" w:color="000000"/>
            </w:tcBorders>
          </w:tcPr>
          <w:p>
            <w:pPr>
              <w:pStyle w:val="TableParagraph"/>
              <w:spacing w:before="43"/>
              <w:ind w:left="2800" w:right="2766"/>
              <w:rPr>
                <w:rFonts w:ascii="宋体" w:eastAsia="宋体" w:hint="eastAsia"/>
                <w:b/>
                <w:sz w:val="21"/>
              </w:rPr>
            </w:pPr>
            <w:r>
              <w:rPr>
                <w:b/>
                <w:sz w:val="21"/>
              </w:rPr>
              <w:t>GB 15618-2018 </w:t>
            </w:r>
            <w:r>
              <w:rPr>
                <w:rFonts w:ascii="宋体" w:eastAsia="宋体" w:hint="eastAsia"/>
                <w:b/>
                <w:sz w:val="21"/>
              </w:rPr>
              <w:t>筛选值</w:t>
            </w:r>
          </w:p>
        </w:tc>
      </w:tr>
      <w:tr>
        <w:trPr>
          <w:trHeight w:val="359" w:hRule="atLeast"/>
        </w:trPr>
        <w:tc>
          <w:tcPr>
            <w:tcW w:w="1745" w:type="dxa"/>
            <w:vMerge/>
            <w:tcBorders>
              <w:top w:val="nil"/>
              <w:bottom w:val="single" w:sz="6" w:space="0" w:color="000000"/>
              <w:right w:val="single" w:sz="6" w:space="0" w:color="000000"/>
            </w:tcBorders>
          </w:tcPr>
          <w:p>
            <w:pPr>
              <w:rPr>
                <w:sz w:val="2"/>
                <w:szCs w:val="2"/>
              </w:rPr>
            </w:pP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4"/>
              <w:rPr>
                <w:rFonts w:ascii="宋体" w:eastAsia="宋体" w:hint="eastAsia"/>
                <w:b/>
                <w:sz w:val="21"/>
              </w:rPr>
            </w:pPr>
            <w:r>
              <w:rPr>
                <w:rFonts w:ascii="宋体" w:eastAsia="宋体" w:hint="eastAsia"/>
                <w:b/>
                <w:sz w:val="21"/>
              </w:rPr>
              <w:t>用地类型</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b/>
                <w:sz w:val="21"/>
              </w:rPr>
            </w:pPr>
            <w:r>
              <w:rPr>
                <w:b/>
                <w:sz w:val="21"/>
              </w:rPr>
              <w:t>pH≤5.5</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44"/>
              <w:ind w:left="71" w:right="42"/>
              <w:rPr>
                <w:b/>
                <w:sz w:val="21"/>
              </w:rPr>
            </w:pPr>
            <w:r>
              <w:rPr>
                <w:b/>
                <w:sz w:val="21"/>
              </w:rPr>
              <w:t>5.5</w:t>
            </w:r>
            <w:r>
              <w:rPr>
                <w:rFonts w:ascii="宋体" w:hAnsi="宋体" w:eastAsia="宋体" w:hint="eastAsia"/>
                <w:b/>
                <w:sz w:val="21"/>
              </w:rPr>
              <w:t>＜</w:t>
            </w:r>
            <w:r>
              <w:rPr>
                <w:b/>
                <w:sz w:val="21"/>
              </w:rPr>
              <w:t>pH≤6.5</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spacing w:before="44"/>
              <w:ind w:left="348" w:right="316"/>
              <w:rPr>
                <w:b/>
                <w:sz w:val="21"/>
              </w:rPr>
            </w:pPr>
            <w:r>
              <w:rPr>
                <w:b/>
                <w:sz w:val="21"/>
              </w:rPr>
              <w:t>6.5</w:t>
            </w:r>
            <w:r>
              <w:rPr>
                <w:rFonts w:ascii="宋体" w:hAnsi="宋体" w:eastAsia="宋体" w:hint="eastAsia"/>
                <w:b/>
                <w:sz w:val="21"/>
              </w:rPr>
              <w:t>＜</w:t>
            </w:r>
            <w:r>
              <w:rPr>
                <w:b/>
                <w:sz w:val="21"/>
              </w:rPr>
              <w:t>pH≤7.5</w:t>
            </w:r>
          </w:p>
        </w:tc>
        <w:tc>
          <w:tcPr>
            <w:tcW w:w="1332" w:type="dxa"/>
            <w:tcBorders>
              <w:top w:val="single" w:sz="6" w:space="0" w:color="000000"/>
              <w:left w:val="single" w:sz="6" w:space="0" w:color="000000"/>
              <w:bottom w:val="single" w:sz="6" w:space="0" w:color="000000"/>
            </w:tcBorders>
          </w:tcPr>
          <w:p>
            <w:pPr>
              <w:pStyle w:val="TableParagraph"/>
              <w:spacing w:before="44"/>
              <w:ind w:left="276" w:right="240"/>
              <w:rPr>
                <w:b/>
                <w:sz w:val="21"/>
              </w:rPr>
            </w:pPr>
            <w:r>
              <w:rPr>
                <w:b/>
                <w:sz w:val="21"/>
              </w:rPr>
              <w:t>pH</w:t>
            </w:r>
            <w:r>
              <w:rPr>
                <w:rFonts w:ascii="宋体" w:eastAsia="宋体" w:hint="eastAsia"/>
                <w:b/>
                <w:sz w:val="21"/>
              </w:rPr>
              <w:t>＞</w:t>
            </w:r>
            <w:r>
              <w:rPr>
                <w:b/>
                <w:sz w:val="21"/>
              </w:rPr>
              <w:t>7.5</w:t>
            </w:r>
          </w:p>
        </w:tc>
      </w:tr>
      <w:tr>
        <w:trPr>
          <w:trHeight w:val="357" w:hRule="atLeast"/>
        </w:trPr>
        <w:tc>
          <w:tcPr>
            <w:tcW w:w="1745" w:type="dxa"/>
            <w:vMerge w:val="restart"/>
            <w:tcBorders>
              <w:top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18"/>
              <w:rPr>
                <w:rFonts w:ascii="宋体" w:eastAsia="宋体" w:hint="eastAsia"/>
                <w:sz w:val="21"/>
              </w:rPr>
            </w:pPr>
            <w:r>
              <w:rPr>
                <w:rFonts w:ascii="宋体" w:eastAsia="宋体" w:hint="eastAsia"/>
                <w:w w:val="100"/>
                <w:sz w:val="21"/>
              </w:rPr>
              <w:t>镉</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水田</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0.3</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71" w:right="42"/>
              <w:rPr>
                <w:sz w:val="21"/>
              </w:rPr>
            </w:pPr>
            <w:r>
              <w:rPr>
                <w:sz w:val="21"/>
              </w:rPr>
              <w:t>0.4</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0.6</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0.8</w:t>
            </w:r>
          </w:p>
        </w:tc>
      </w:tr>
      <w:tr>
        <w:trPr>
          <w:trHeight w:val="359" w:hRule="atLeast"/>
        </w:trPr>
        <w:tc>
          <w:tcPr>
            <w:tcW w:w="1745" w:type="dxa"/>
            <w:vMerge/>
            <w:tcBorders>
              <w:top w:val="nil"/>
              <w:bottom w:val="single" w:sz="6" w:space="0" w:color="000000"/>
              <w:right w:val="single" w:sz="6" w:space="0" w:color="000000"/>
            </w:tcBorders>
          </w:tcPr>
          <w:p>
            <w:pPr>
              <w:rPr>
                <w:sz w:val="2"/>
                <w:szCs w:val="2"/>
              </w:rPr>
            </w:pP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7"/>
              <w:ind w:left="291" w:right="263"/>
              <w:rPr>
                <w:rFonts w:ascii="宋体" w:eastAsia="宋体" w:hint="eastAsia"/>
                <w:sz w:val="21"/>
              </w:rPr>
            </w:pPr>
            <w:r>
              <w:rPr>
                <w:rFonts w:ascii="宋体" w:eastAsia="宋体" w:hint="eastAsia"/>
                <w:sz w:val="21"/>
              </w:rPr>
              <w:t>其他</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1"/>
              <w:ind w:left="118" w:right="90"/>
              <w:rPr>
                <w:sz w:val="21"/>
              </w:rPr>
            </w:pPr>
            <w:r>
              <w:rPr>
                <w:sz w:val="21"/>
              </w:rPr>
              <w:t>0.3</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61"/>
              <w:ind w:left="71" w:right="42"/>
              <w:rPr>
                <w:sz w:val="21"/>
              </w:rPr>
            </w:pPr>
            <w:r>
              <w:rPr>
                <w:sz w:val="21"/>
              </w:rPr>
              <w:t>0.3</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spacing w:before="61"/>
              <w:ind w:left="348" w:right="316"/>
              <w:rPr>
                <w:sz w:val="21"/>
              </w:rPr>
            </w:pPr>
            <w:r>
              <w:rPr>
                <w:sz w:val="21"/>
              </w:rPr>
              <w:t>0.3</w:t>
            </w:r>
          </w:p>
        </w:tc>
        <w:tc>
          <w:tcPr>
            <w:tcW w:w="1332" w:type="dxa"/>
            <w:tcBorders>
              <w:top w:val="single" w:sz="6" w:space="0" w:color="000000"/>
              <w:left w:val="single" w:sz="6" w:space="0" w:color="000000"/>
              <w:bottom w:val="single" w:sz="6" w:space="0" w:color="000000"/>
            </w:tcBorders>
          </w:tcPr>
          <w:p>
            <w:pPr>
              <w:pStyle w:val="TableParagraph"/>
              <w:spacing w:before="61"/>
              <w:ind w:left="276" w:right="238"/>
              <w:rPr>
                <w:sz w:val="21"/>
              </w:rPr>
            </w:pPr>
            <w:r>
              <w:rPr>
                <w:sz w:val="21"/>
              </w:rPr>
              <w:t>0.6</w:t>
            </w:r>
          </w:p>
        </w:tc>
      </w:tr>
      <w:tr>
        <w:trPr>
          <w:trHeight w:val="359" w:hRule="atLeast"/>
        </w:trPr>
        <w:tc>
          <w:tcPr>
            <w:tcW w:w="1745" w:type="dxa"/>
            <w:vMerge w:val="restart"/>
            <w:tcBorders>
              <w:top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18"/>
              <w:rPr>
                <w:rFonts w:ascii="宋体" w:eastAsia="宋体" w:hint="eastAsia"/>
                <w:sz w:val="21"/>
              </w:rPr>
            </w:pPr>
            <w:r>
              <w:rPr>
                <w:rFonts w:ascii="宋体" w:eastAsia="宋体" w:hint="eastAsia"/>
                <w:w w:val="100"/>
                <w:sz w:val="21"/>
              </w:rPr>
              <w:t>汞</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水田</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0.5</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71" w:right="42"/>
              <w:rPr>
                <w:sz w:val="21"/>
              </w:rPr>
            </w:pPr>
            <w:r>
              <w:rPr>
                <w:sz w:val="21"/>
              </w:rPr>
              <w:t>0.5</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0.6</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1.0</w:t>
            </w:r>
          </w:p>
        </w:tc>
      </w:tr>
      <w:tr>
        <w:trPr>
          <w:trHeight w:val="359" w:hRule="atLeast"/>
        </w:trPr>
        <w:tc>
          <w:tcPr>
            <w:tcW w:w="1745" w:type="dxa"/>
            <w:vMerge/>
            <w:tcBorders>
              <w:top w:val="nil"/>
              <w:bottom w:val="single" w:sz="6" w:space="0" w:color="000000"/>
              <w:right w:val="single" w:sz="6" w:space="0" w:color="000000"/>
            </w:tcBorders>
          </w:tcPr>
          <w:p>
            <w:pPr>
              <w:rPr>
                <w:sz w:val="2"/>
                <w:szCs w:val="2"/>
              </w:rPr>
            </w:pP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其他</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1.3</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71" w:right="42"/>
              <w:rPr>
                <w:sz w:val="21"/>
              </w:rPr>
            </w:pPr>
            <w:r>
              <w:rPr>
                <w:sz w:val="21"/>
              </w:rPr>
              <w:t>1.8</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2.4</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3.4</w:t>
            </w:r>
          </w:p>
        </w:tc>
      </w:tr>
      <w:tr>
        <w:trPr>
          <w:trHeight w:val="356" w:hRule="atLeast"/>
        </w:trPr>
        <w:tc>
          <w:tcPr>
            <w:tcW w:w="1745" w:type="dxa"/>
            <w:vMerge w:val="restart"/>
            <w:tcBorders>
              <w:top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18"/>
              <w:rPr>
                <w:rFonts w:ascii="宋体" w:eastAsia="宋体" w:hint="eastAsia"/>
                <w:sz w:val="21"/>
              </w:rPr>
            </w:pPr>
            <w:r>
              <w:rPr>
                <w:rFonts w:ascii="宋体" w:eastAsia="宋体" w:hint="eastAsia"/>
                <w:w w:val="100"/>
                <w:sz w:val="21"/>
              </w:rPr>
              <w:t>砷</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水田</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30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66" w:right="42"/>
              <w:rPr>
                <w:sz w:val="21"/>
              </w:rPr>
            </w:pPr>
            <w:r>
              <w:rPr>
                <w:sz w:val="21"/>
              </w:rPr>
              <w:t>30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25</w:t>
            </w:r>
          </w:p>
        </w:tc>
        <w:tc>
          <w:tcPr>
            <w:tcW w:w="1332" w:type="dxa"/>
            <w:tcBorders>
              <w:top w:val="single" w:sz="6" w:space="0" w:color="000000"/>
              <w:left w:val="single" w:sz="6" w:space="0" w:color="000000"/>
              <w:bottom w:val="single" w:sz="6" w:space="0" w:color="000000"/>
            </w:tcBorders>
          </w:tcPr>
          <w:p>
            <w:pPr>
              <w:pStyle w:val="TableParagraph"/>
              <w:ind w:left="274" w:right="240"/>
              <w:rPr>
                <w:sz w:val="21"/>
              </w:rPr>
            </w:pPr>
            <w:r>
              <w:rPr>
                <w:sz w:val="21"/>
              </w:rPr>
              <w:t>20</w:t>
            </w:r>
          </w:p>
        </w:tc>
      </w:tr>
      <w:tr>
        <w:trPr>
          <w:trHeight w:val="359" w:hRule="atLeast"/>
        </w:trPr>
        <w:tc>
          <w:tcPr>
            <w:tcW w:w="1745" w:type="dxa"/>
            <w:vMerge/>
            <w:tcBorders>
              <w:top w:val="nil"/>
              <w:bottom w:val="single" w:sz="6" w:space="0" w:color="000000"/>
              <w:right w:val="single" w:sz="6" w:space="0" w:color="000000"/>
            </w:tcBorders>
          </w:tcPr>
          <w:p>
            <w:pPr>
              <w:rPr>
                <w:sz w:val="2"/>
                <w:szCs w:val="2"/>
              </w:rPr>
            </w:pP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6"/>
              <w:ind w:left="291" w:right="263"/>
              <w:rPr>
                <w:rFonts w:ascii="宋体" w:eastAsia="宋体" w:hint="eastAsia"/>
                <w:sz w:val="21"/>
              </w:rPr>
            </w:pPr>
            <w:r>
              <w:rPr>
                <w:rFonts w:ascii="宋体" w:eastAsia="宋体" w:hint="eastAsia"/>
                <w:sz w:val="21"/>
              </w:rPr>
              <w:t>其他</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90"/>
              <w:rPr>
                <w:sz w:val="21"/>
              </w:rPr>
            </w:pPr>
            <w:r>
              <w:rPr>
                <w:sz w:val="21"/>
              </w:rPr>
              <w:t>40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60"/>
              <w:ind w:left="66" w:right="42"/>
              <w:rPr>
                <w:sz w:val="21"/>
              </w:rPr>
            </w:pPr>
            <w:r>
              <w:rPr>
                <w:sz w:val="21"/>
              </w:rPr>
              <w:t>40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spacing w:before="60"/>
              <w:ind w:left="343" w:right="316"/>
              <w:rPr>
                <w:sz w:val="21"/>
              </w:rPr>
            </w:pPr>
            <w:r>
              <w:rPr>
                <w:sz w:val="21"/>
              </w:rPr>
              <w:t>30</w:t>
            </w:r>
          </w:p>
        </w:tc>
        <w:tc>
          <w:tcPr>
            <w:tcW w:w="1332" w:type="dxa"/>
            <w:tcBorders>
              <w:top w:val="single" w:sz="6" w:space="0" w:color="000000"/>
              <w:left w:val="single" w:sz="6" w:space="0" w:color="000000"/>
              <w:bottom w:val="single" w:sz="6" w:space="0" w:color="000000"/>
            </w:tcBorders>
          </w:tcPr>
          <w:p>
            <w:pPr>
              <w:pStyle w:val="TableParagraph"/>
              <w:spacing w:before="60"/>
              <w:ind w:left="274" w:right="240"/>
              <w:rPr>
                <w:sz w:val="21"/>
              </w:rPr>
            </w:pPr>
            <w:r>
              <w:rPr>
                <w:sz w:val="21"/>
              </w:rPr>
              <w:t>25</w:t>
            </w:r>
          </w:p>
        </w:tc>
      </w:tr>
      <w:tr>
        <w:trPr>
          <w:trHeight w:val="359" w:hRule="atLeast"/>
        </w:trPr>
        <w:tc>
          <w:tcPr>
            <w:tcW w:w="1745" w:type="dxa"/>
            <w:vMerge w:val="restart"/>
            <w:tcBorders>
              <w:top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18"/>
              <w:rPr>
                <w:rFonts w:ascii="宋体" w:eastAsia="宋体" w:hint="eastAsia"/>
                <w:sz w:val="21"/>
              </w:rPr>
            </w:pPr>
            <w:r>
              <w:rPr>
                <w:rFonts w:ascii="宋体" w:eastAsia="宋体" w:hint="eastAsia"/>
                <w:w w:val="100"/>
                <w:sz w:val="21"/>
              </w:rPr>
              <w:t>铅</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水田</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80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71" w:right="42"/>
              <w:rPr>
                <w:sz w:val="21"/>
              </w:rPr>
            </w:pPr>
            <w:r>
              <w:rPr>
                <w:sz w:val="21"/>
              </w:rPr>
              <w:t>100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140</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240</w:t>
            </w:r>
          </w:p>
        </w:tc>
      </w:tr>
      <w:tr>
        <w:trPr>
          <w:trHeight w:val="359" w:hRule="atLeast"/>
        </w:trPr>
        <w:tc>
          <w:tcPr>
            <w:tcW w:w="1745" w:type="dxa"/>
            <w:vMerge/>
            <w:tcBorders>
              <w:top w:val="nil"/>
              <w:bottom w:val="single" w:sz="6" w:space="0" w:color="000000"/>
              <w:right w:val="single" w:sz="6" w:space="0" w:color="000000"/>
            </w:tcBorders>
          </w:tcPr>
          <w:p>
            <w:pPr>
              <w:rPr>
                <w:sz w:val="2"/>
                <w:szCs w:val="2"/>
              </w:rPr>
            </w:pP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其他</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70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66" w:right="42"/>
              <w:rPr>
                <w:sz w:val="21"/>
              </w:rPr>
            </w:pPr>
            <w:r>
              <w:rPr>
                <w:sz w:val="21"/>
              </w:rPr>
              <w:t>90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120</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170</w:t>
            </w:r>
          </w:p>
        </w:tc>
      </w:tr>
      <w:tr>
        <w:trPr>
          <w:trHeight w:val="356" w:hRule="atLeast"/>
        </w:trPr>
        <w:tc>
          <w:tcPr>
            <w:tcW w:w="1745" w:type="dxa"/>
            <w:vMerge w:val="restart"/>
            <w:tcBorders>
              <w:top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18"/>
              <w:rPr>
                <w:rFonts w:ascii="宋体" w:eastAsia="宋体" w:hint="eastAsia"/>
                <w:sz w:val="21"/>
              </w:rPr>
            </w:pPr>
            <w:r>
              <w:rPr>
                <w:rFonts w:ascii="宋体" w:eastAsia="宋体" w:hint="eastAsia"/>
                <w:w w:val="100"/>
                <w:sz w:val="21"/>
              </w:rPr>
              <w:t>铬</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水田</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250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71" w:right="42"/>
              <w:rPr>
                <w:sz w:val="21"/>
              </w:rPr>
            </w:pPr>
            <w:r>
              <w:rPr>
                <w:sz w:val="21"/>
              </w:rPr>
              <w:t>250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300</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350</w:t>
            </w:r>
          </w:p>
        </w:tc>
      </w:tr>
      <w:tr>
        <w:trPr>
          <w:trHeight w:val="359" w:hRule="atLeast"/>
        </w:trPr>
        <w:tc>
          <w:tcPr>
            <w:tcW w:w="1745" w:type="dxa"/>
            <w:vMerge/>
            <w:tcBorders>
              <w:top w:val="nil"/>
              <w:bottom w:val="single" w:sz="6" w:space="0" w:color="000000"/>
              <w:right w:val="single" w:sz="6" w:space="0" w:color="000000"/>
            </w:tcBorders>
          </w:tcPr>
          <w:p>
            <w:pPr>
              <w:rPr>
                <w:sz w:val="2"/>
                <w:szCs w:val="2"/>
              </w:rPr>
            </w:pP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6"/>
              <w:ind w:left="291" w:right="263"/>
              <w:rPr>
                <w:rFonts w:ascii="宋体" w:eastAsia="宋体" w:hint="eastAsia"/>
                <w:sz w:val="21"/>
              </w:rPr>
            </w:pPr>
            <w:r>
              <w:rPr>
                <w:rFonts w:ascii="宋体" w:eastAsia="宋体" w:hint="eastAsia"/>
                <w:sz w:val="21"/>
              </w:rPr>
              <w:t>其他</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90"/>
              <w:rPr>
                <w:sz w:val="21"/>
              </w:rPr>
            </w:pPr>
            <w:r>
              <w:rPr>
                <w:sz w:val="21"/>
              </w:rPr>
              <w:t>150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60"/>
              <w:ind w:left="71" w:right="42"/>
              <w:rPr>
                <w:sz w:val="21"/>
              </w:rPr>
            </w:pPr>
            <w:r>
              <w:rPr>
                <w:sz w:val="21"/>
              </w:rPr>
              <w:t>150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spacing w:before="60"/>
              <w:ind w:left="348" w:right="316"/>
              <w:rPr>
                <w:sz w:val="21"/>
              </w:rPr>
            </w:pPr>
            <w:r>
              <w:rPr>
                <w:sz w:val="21"/>
              </w:rPr>
              <w:t>200</w:t>
            </w:r>
          </w:p>
        </w:tc>
        <w:tc>
          <w:tcPr>
            <w:tcW w:w="1332" w:type="dxa"/>
            <w:tcBorders>
              <w:top w:val="single" w:sz="6" w:space="0" w:color="000000"/>
              <w:left w:val="single" w:sz="6" w:space="0" w:color="000000"/>
              <w:bottom w:val="single" w:sz="6" w:space="0" w:color="000000"/>
            </w:tcBorders>
          </w:tcPr>
          <w:p>
            <w:pPr>
              <w:pStyle w:val="TableParagraph"/>
              <w:spacing w:before="60"/>
              <w:ind w:left="276" w:right="238"/>
              <w:rPr>
                <w:sz w:val="21"/>
              </w:rPr>
            </w:pPr>
            <w:r>
              <w:rPr>
                <w:sz w:val="21"/>
              </w:rPr>
              <w:t>250</w:t>
            </w:r>
          </w:p>
        </w:tc>
      </w:tr>
      <w:tr>
        <w:trPr>
          <w:trHeight w:val="359" w:hRule="atLeast"/>
        </w:trPr>
        <w:tc>
          <w:tcPr>
            <w:tcW w:w="1745" w:type="dxa"/>
            <w:vMerge w:val="restart"/>
            <w:tcBorders>
              <w:top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1"/>
              <w:ind w:left="18"/>
              <w:rPr>
                <w:rFonts w:ascii="宋体" w:eastAsia="宋体" w:hint="eastAsia"/>
                <w:sz w:val="21"/>
              </w:rPr>
            </w:pPr>
            <w:r>
              <w:rPr>
                <w:rFonts w:ascii="宋体" w:eastAsia="宋体" w:hint="eastAsia"/>
                <w:w w:val="100"/>
                <w:sz w:val="21"/>
              </w:rPr>
              <w:t>铜</w:t>
            </w: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果园</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150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71" w:right="42"/>
              <w:rPr>
                <w:sz w:val="21"/>
              </w:rPr>
            </w:pPr>
            <w:r>
              <w:rPr>
                <w:sz w:val="21"/>
              </w:rPr>
              <w:t>150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200</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200</w:t>
            </w:r>
          </w:p>
        </w:tc>
      </w:tr>
      <w:tr>
        <w:trPr>
          <w:trHeight w:val="359" w:hRule="atLeast"/>
        </w:trPr>
        <w:tc>
          <w:tcPr>
            <w:tcW w:w="1745" w:type="dxa"/>
            <w:vMerge/>
            <w:tcBorders>
              <w:top w:val="nil"/>
              <w:bottom w:val="single" w:sz="6" w:space="0" w:color="000000"/>
              <w:right w:val="single" w:sz="6" w:space="0" w:color="000000"/>
            </w:tcBorders>
          </w:tcPr>
          <w:p>
            <w:pPr>
              <w:rPr>
                <w:sz w:val="2"/>
                <w:szCs w:val="2"/>
              </w:rPr>
            </w:pPr>
          </w:p>
        </w:tc>
        <w:tc>
          <w:tcPr>
            <w:tcW w:w="14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1" w:right="263"/>
              <w:rPr>
                <w:rFonts w:ascii="宋体" w:eastAsia="宋体" w:hint="eastAsia"/>
                <w:sz w:val="21"/>
              </w:rPr>
            </w:pPr>
            <w:r>
              <w:rPr>
                <w:rFonts w:ascii="宋体" w:eastAsia="宋体" w:hint="eastAsia"/>
                <w:sz w:val="21"/>
              </w:rPr>
              <w:t>其他</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50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66" w:right="42"/>
              <w:rPr>
                <w:sz w:val="21"/>
              </w:rPr>
            </w:pPr>
            <w:r>
              <w:rPr>
                <w:sz w:val="21"/>
              </w:rPr>
              <w:t>50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100</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100</w:t>
            </w:r>
          </w:p>
        </w:tc>
      </w:tr>
      <w:tr>
        <w:trPr>
          <w:trHeight w:val="356" w:hRule="atLeast"/>
        </w:trPr>
        <w:tc>
          <w:tcPr>
            <w:tcW w:w="3200" w:type="dxa"/>
            <w:gridSpan w:val="2"/>
            <w:tcBorders>
              <w:top w:val="single" w:sz="6" w:space="0" w:color="000000"/>
              <w:bottom w:val="single" w:sz="6" w:space="0" w:color="000000"/>
              <w:right w:val="single" w:sz="6" w:space="0" w:color="000000"/>
            </w:tcBorders>
          </w:tcPr>
          <w:p>
            <w:pPr>
              <w:pStyle w:val="TableParagraph"/>
              <w:spacing w:before="44"/>
              <w:ind w:left="17"/>
              <w:rPr>
                <w:rFonts w:ascii="宋体" w:eastAsia="宋体" w:hint="eastAsia"/>
                <w:sz w:val="21"/>
              </w:rPr>
            </w:pPr>
            <w:r>
              <w:rPr>
                <w:rFonts w:ascii="宋体" w:eastAsia="宋体" w:hint="eastAsia"/>
                <w:w w:val="100"/>
                <w:sz w:val="21"/>
              </w:rPr>
              <w:t>镍</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90"/>
              <w:rPr>
                <w:sz w:val="21"/>
              </w:rPr>
            </w:pPr>
            <w:r>
              <w:rPr>
                <w:sz w:val="21"/>
              </w:rPr>
              <w:t>60</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ind w:left="66" w:right="42"/>
              <w:rPr>
                <w:sz w:val="21"/>
              </w:rPr>
            </w:pPr>
            <w:r>
              <w:rPr>
                <w:sz w:val="21"/>
              </w:rPr>
              <w:t>70</w:t>
            </w:r>
          </w:p>
        </w:tc>
        <w:tc>
          <w:tcPr>
            <w:tcW w:w="1851" w:type="dxa"/>
            <w:tcBorders>
              <w:top w:val="single" w:sz="6" w:space="0" w:color="000000"/>
              <w:left w:val="single" w:sz="6" w:space="0" w:color="000000"/>
              <w:bottom w:val="single" w:sz="6" w:space="0" w:color="000000"/>
              <w:right w:val="single" w:sz="6" w:space="0" w:color="000000"/>
            </w:tcBorders>
          </w:tcPr>
          <w:p>
            <w:pPr>
              <w:pStyle w:val="TableParagraph"/>
              <w:ind w:left="348" w:right="316"/>
              <w:rPr>
                <w:sz w:val="21"/>
              </w:rPr>
            </w:pPr>
            <w:r>
              <w:rPr>
                <w:sz w:val="21"/>
              </w:rPr>
              <w:t>100</w:t>
            </w:r>
          </w:p>
        </w:tc>
        <w:tc>
          <w:tcPr>
            <w:tcW w:w="1332" w:type="dxa"/>
            <w:tcBorders>
              <w:top w:val="single" w:sz="6" w:space="0" w:color="000000"/>
              <w:left w:val="single" w:sz="6" w:space="0" w:color="000000"/>
              <w:bottom w:val="single" w:sz="6" w:space="0" w:color="000000"/>
            </w:tcBorders>
          </w:tcPr>
          <w:p>
            <w:pPr>
              <w:pStyle w:val="TableParagraph"/>
              <w:ind w:left="276" w:right="238"/>
              <w:rPr>
                <w:sz w:val="21"/>
              </w:rPr>
            </w:pPr>
            <w:r>
              <w:rPr>
                <w:sz w:val="21"/>
              </w:rPr>
              <w:t>190</w:t>
            </w:r>
          </w:p>
        </w:tc>
      </w:tr>
      <w:tr>
        <w:trPr>
          <w:trHeight w:val="359" w:hRule="atLeast"/>
        </w:trPr>
        <w:tc>
          <w:tcPr>
            <w:tcW w:w="3200" w:type="dxa"/>
            <w:gridSpan w:val="2"/>
            <w:tcBorders>
              <w:top w:val="single" w:sz="6" w:space="0" w:color="000000"/>
              <w:right w:val="single" w:sz="6" w:space="0" w:color="000000"/>
            </w:tcBorders>
          </w:tcPr>
          <w:p>
            <w:pPr>
              <w:pStyle w:val="TableParagraph"/>
              <w:spacing w:before="46"/>
              <w:ind w:left="17"/>
              <w:rPr>
                <w:rFonts w:ascii="宋体" w:eastAsia="宋体" w:hint="eastAsia"/>
                <w:sz w:val="21"/>
              </w:rPr>
            </w:pPr>
            <w:r>
              <w:rPr>
                <w:rFonts w:ascii="宋体" w:eastAsia="宋体" w:hint="eastAsia"/>
                <w:w w:val="100"/>
                <w:sz w:val="21"/>
              </w:rPr>
              <w:t>锌</w:t>
            </w:r>
          </w:p>
        </w:tc>
        <w:tc>
          <w:tcPr>
            <w:tcW w:w="1200" w:type="dxa"/>
            <w:tcBorders>
              <w:top w:val="single" w:sz="6" w:space="0" w:color="000000"/>
              <w:left w:val="single" w:sz="6" w:space="0" w:color="000000"/>
              <w:right w:val="single" w:sz="6" w:space="0" w:color="000000"/>
            </w:tcBorders>
          </w:tcPr>
          <w:p>
            <w:pPr>
              <w:pStyle w:val="TableParagraph"/>
              <w:spacing w:before="60"/>
              <w:ind w:left="118" w:right="90"/>
              <w:rPr>
                <w:sz w:val="21"/>
              </w:rPr>
            </w:pPr>
            <w:r>
              <w:rPr>
                <w:sz w:val="21"/>
              </w:rPr>
              <w:t>200</w:t>
            </w:r>
          </w:p>
        </w:tc>
        <w:tc>
          <w:tcPr>
            <w:tcW w:w="1848" w:type="dxa"/>
            <w:tcBorders>
              <w:top w:val="single" w:sz="6" w:space="0" w:color="000000"/>
              <w:left w:val="single" w:sz="6" w:space="0" w:color="000000"/>
              <w:right w:val="single" w:sz="6" w:space="0" w:color="000000"/>
            </w:tcBorders>
          </w:tcPr>
          <w:p>
            <w:pPr>
              <w:pStyle w:val="TableParagraph"/>
              <w:spacing w:before="60"/>
              <w:ind w:left="71" w:right="42"/>
              <w:rPr>
                <w:sz w:val="21"/>
              </w:rPr>
            </w:pPr>
            <w:r>
              <w:rPr>
                <w:sz w:val="21"/>
              </w:rPr>
              <w:t>200</w:t>
            </w:r>
          </w:p>
        </w:tc>
        <w:tc>
          <w:tcPr>
            <w:tcW w:w="1851" w:type="dxa"/>
            <w:tcBorders>
              <w:top w:val="single" w:sz="6" w:space="0" w:color="000000"/>
              <w:left w:val="single" w:sz="6" w:space="0" w:color="000000"/>
              <w:right w:val="single" w:sz="6" w:space="0" w:color="000000"/>
            </w:tcBorders>
          </w:tcPr>
          <w:p>
            <w:pPr>
              <w:pStyle w:val="TableParagraph"/>
              <w:spacing w:before="60"/>
              <w:ind w:left="348" w:right="316"/>
              <w:rPr>
                <w:sz w:val="21"/>
              </w:rPr>
            </w:pPr>
            <w:r>
              <w:rPr>
                <w:sz w:val="21"/>
              </w:rPr>
              <w:t>250</w:t>
            </w:r>
          </w:p>
        </w:tc>
        <w:tc>
          <w:tcPr>
            <w:tcW w:w="1332" w:type="dxa"/>
            <w:tcBorders>
              <w:top w:val="single" w:sz="6" w:space="0" w:color="000000"/>
              <w:left w:val="single" w:sz="6" w:space="0" w:color="000000"/>
            </w:tcBorders>
          </w:tcPr>
          <w:p>
            <w:pPr>
              <w:pStyle w:val="TableParagraph"/>
              <w:spacing w:before="60"/>
              <w:ind w:left="276" w:right="238"/>
              <w:rPr>
                <w:sz w:val="21"/>
              </w:rPr>
            </w:pPr>
            <w:r>
              <w:rPr>
                <w:sz w:val="21"/>
              </w:rPr>
              <w:t>300</w:t>
            </w:r>
          </w:p>
        </w:tc>
      </w:tr>
    </w:tbl>
    <w:p>
      <w:pPr>
        <w:pStyle w:val="ListParagraph"/>
        <w:numPr>
          <w:ilvl w:val="2"/>
          <w:numId w:val="12"/>
        </w:numPr>
        <w:tabs>
          <w:tab w:pos="838" w:val="left" w:leader="none"/>
        </w:tabs>
        <w:spacing w:line="240" w:lineRule="auto" w:before="84" w:after="0"/>
        <w:ind w:left="837" w:right="0" w:hanging="601"/>
        <w:jc w:val="left"/>
        <w:rPr>
          <w:b/>
          <w:sz w:val="24"/>
        </w:rPr>
      </w:pPr>
      <w:bookmarkStart w:name="_bookmark26" w:id="51"/>
      <w:bookmarkEnd w:id="51"/>
      <w:r>
        <w:rPr/>
      </w:r>
      <w:bookmarkStart w:name="_bookmark26" w:id="52"/>
      <w:bookmarkEnd w:id="52"/>
      <w:r>
        <w:rPr>
          <w:b/>
          <w:sz w:val="24"/>
        </w:rPr>
        <w:t>污染物排放标准</w:t>
      </w:r>
    </w:p>
    <w:p>
      <w:pPr>
        <w:spacing w:before="161"/>
        <w:ind w:left="719" w:right="0" w:firstLine="0"/>
        <w:jc w:val="left"/>
        <w:rPr>
          <w:b/>
          <w:sz w:val="24"/>
        </w:rPr>
      </w:pPr>
      <w:r>
        <w:rPr>
          <w:rFonts w:ascii="Times New Roman" w:eastAsia="Times New Roman"/>
          <w:b/>
          <w:sz w:val="24"/>
        </w:rPr>
        <w:t>1</w:t>
      </w:r>
      <w:r>
        <w:rPr>
          <w:b/>
          <w:sz w:val="24"/>
        </w:rPr>
        <w:t>、废水排放标准</w:t>
      </w:r>
    </w:p>
    <w:p>
      <w:pPr>
        <w:pStyle w:val="BodyText"/>
        <w:spacing w:line="364" w:lineRule="auto" w:before="160"/>
        <w:ind w:right="249" w:firstLine="480"/>
      </w:pPr>
      <w:r>
        <w:rPr/>
        <w:t>本项目生产废水、生活污水统一经自建污水处理站处理达标后纳入市政污水管网， 最终进绍兴市污水处理厂生活污水处理单元处理达标后排入钱塘江。根据《浙江省生猪</w:t>
      </w:r>
    </w:p>
    <w:p>
      <w:pPr>
        <w:spacing w:after="0" w:line="364" w:lineRule="auto"/>
        <w:sectPr>
          <w:pgSz w:w="11910" w:h="16840"/>
          <w:pgMar w:header="874" w:footer="1004" w:top="1400" w:bottom="1200" w:left="1040" w:right="1160"/>
        </w:sectPr>
      </w:pPr>
    </w:p>
    <w:p>
      <w:pPr>
        <w:pStyle w:val="BodyText"/>
        <w:spacing w:before="121"/>
      </w:pPr>
      <w:r>
        <w:rPr/>
        <w:t>养殖业环境准入指导意见（修订）》，废水纳入市政污水管网的，纳管废水水质应执行</w:t>
      </w:r>
    </w:p>
    <w:p>
      <w:pPr>
        <w:pStyle w:val="BodyText"/>
        <w:spacing w:before="161"/>
      </w:pPr>
      <w:r>
        <w:rPr/>
        <w:t>《污水综合排放标准》（</w:t>
      </w:r>
      <w:r>
        <w:rPr>
          <w:rFonts w:ascii="Times New Roman" w:eastAsia="Times New Roman"/>
          <w:position w:val="1"/>
        </w:rPr>
        <w:t>GB 8978-1996</w:t>
      </w:r>
      <w:r>
        <w:rPr/>
        <w:t>）三级标准。</w:t>
      </w:r>
    </w:p>
    <w:p>
      <w:pPr>
        <w:pStyle w:val="BodyText"/>
        <w:spacing w:line="364" w:lineRule="auto" w:before="160"/>
        <w:ind w:right="132" w:firstLine="480"/>
      </w:pPr>
      <w:r>
        <w:rPr>
          <w:spacing w:val="-2"/>
        </w:rPr>
        <w:t>因此本项目纳管废水水质须执行《污水综合排放标准》</w:t>
      </w:r>
      <w:r>
        <w:rPr/>
        <w:t>（</w:t>
      </w:r>
      <w:r>
        <w:rPr>
          <w:rFonts w:ascii="Times New Roman" w:hAnsi="Times New Roman" w:eastAsia="Times New Roman"/>
          <w:position w:val="1"/>
        </w:rPr>
        <w:t>GB 8978-1996</w:t>
      </w:r>
      <w:r>
        <w:rPr/>
        <w:t>）</w:t>
      </w:r>
      <w:r>
        <w:rPr>
          <w:spacing w:val="-4"/>
        </w:rPr>
        <w:t>三级标准； </w:t>
      </w:r>
      <w:r>
        <w:rPr>
          <w:spacing w:val="-10"/>
        </w:rPr>
        <w:t>当地环保部门考虑到绍兴污水处理站出水氨氮等指标偏高，且《污水综合排放标准》</w:t>
      </w:r>
      <w:r>
        <w:rPr/>
        <w:t>（</w:t>
      </w:r>
      <w:r>
        <w:rPr>
          <w:rFonts w:ascii="Times New Roman" w:hAnsi="Times New Roman" w:eastAsia="Times New Roman"/>
          <w:position w:val="1"/>
        </w:rPr>
        <w:t>GB 8978-1996</w:t>
      </w:r>
      <w:r>
        <w:rPr/>
        <w:t>）三级标准缺少氨氮、总磷等限值要求，要求养殖行业化学需氧量、五日生化需氧量、悬浮物执行《污水综合排放标准》（</w:t>
      </w:r>
      <w:r>
        <w:rPr>
          <w:rFonts w:ascii="Times New Roman" w:hAnsi="Times New Roman" w:eastAsia="Times New Roman"/>
          <w:position w:val="1"/>
        </w:rPr>
        <w:t>GB 8978-1996</w:t>
      </w:r>
      <w:r>
        <w:rPr/>
        <w:t>）三级标准，其余氨氮、总</w:t>
      </w:r>
      <w:r>
        <w:rPr>
          <w:spacing w:val="-7"/>
        </w:rPr>
        <w:t>磷、粪大肠菌群数指标执行《浙江省畜禽养殖业污染物排放标准》</w:t>
      </w:r>
      <w:r>
        <w:rPr/>
        <w:t>（</w:t>
      </w:r>
      <w:r>
        <w:rPr>
          <w:rFonts w:ascii="Times New Roman" w:hAnsi="Times New Roman" w:eastAsia="Times New Roman"/>
          <w:position w:val="1"/>
        </w:rPr>
        <w:t>DB 33/593-2005</w:t>
      </w:r>
      <w:r>
        <w:rPr/>
        <w:t>）</w:t>
      </w:r>
      <w:r>
        <w:rPr>
          <w:spacing w:val="-17"/>
        </w:rPr>
        <w:t>中</w:t>
      </w:r>
      <w:r>
        <w:rPr/>
        <w:t>的规定；另外，考虑到上述标准均无总氮限值要求，总氮参照执行《污水排入城镇下水</w:t>
      </w:r>
      <w:r>
        <w:rPr>
          <w:spacing w:val="-3"/>
        </w:rPr>
        <w:t>道水质标准》</w:t>
      </w:r>
      <w:r>
        <w:rPr/>
        <w:t>（</w:t>
      </w:r>
      <w:r>
        <w:rPr>
          <w:rFonts w:ascii="Times New Roman" w:hAnsi="Times New Roman" w:eastAsia="Times New Roman"/>
          <w:position w:val="1"/>
        </w:rPr>
        <w:t>GB/T 31962-2015</w:t>
      </w:r>
      <w:r>
        <w:rPr/>
        <w:t>）</w:t>
      </w:r>
      <w:r>
        <w:rPr>
          <w:spacing w:val="-31"/>
        </w:rPr>
        <w:t>表 </w:t>
      </w:r>
      <w:r>
        <w:rPr>
          <w:rFonts w:ascii="Times New Roman" w:hAnsi="Times New Roman" w:eastAsia="Times New Roman"/>
          <w:position w:val="1"/>
        </w:rPr>
        <w:t>1 </w:t>
      </w:r>
      <w:r>
        <w:rPr>
          <w:spacing w:val="-20"/>
        </w:rPr>
        <w:t>中的 </w:t>
      </w:r>
      <w:r>
        <w:rPr>
          <w:rFonts w:ascii="Times New Roman" w:hAnsi="Times New Roman" w:eastAsia="Times New Roman"/>
          <w:position w:val="1"/>
        </w:rPr>
        <w:t>B </w:t>
      </w:r>
      <w:r>
        <w:rPr>
          <w:spacing w:val="-3"/>
        </w:rPr>
        <w:t>级限值要求。同时，集约化畜禽养殖业干清粪工艺最高允许排水量执行浙江省《畜禽养殖业污染物排放标准》（</w:t>
      </w:r>
      <w:r>
        <w:rPr>
          <w:rFonts w:ascii="Times New Roman" w:hAnsi="Times New Roman" w:eastAsia="Times New Roman"/>
          <w:spacing w:val="-3"/>
          <w:position w:val="1"/>
        </w:rPr>
        <w:t>DB </w:t>
      </w:r>
      <w:r>
        <w:rPr>
          <w:rFonts w:ascii="Times New Roman" w:hAnsi="Times New Roman" w:eastAsia="Times New Roman"/>
          <w:position w:val="1"/>
        </w:rPr>
        <w:t>33/593-2005</w:t>
      </w:r>
      <w:r>
        <w:rPr/>
        <w:t>） 及《浙江省生猪养殖业环境准入指导意见（修订）》中的规定。根据绍市环函</w:t>
      </w:r>
      <w:r>
        <w:rPr>
          <w:rFonts w:ascii="Times New Roman" w:hAnsi="Times New Roman" w:eastAsia="Times New Roman"/>
          <w:position w:val="1"/>
        </w:rPr>
        <w:t>[2016]259 </w:t>
      </w:r>
      <w:r>
        <w:rPr>
          <w:spacing w:val="-6"/>
        </w:rPr>
        <w:t>号文，绍兴市污水处理厂生活污水处理单元排放口从 </w:t>
      </w:r>
      <w:r>
        <w:rPr>
          <w:rFonts w:ascii="Times New Roman" w:hAnsi="Times New Roman" w:eastAsia="Times New Roman"/>
          <w:position w:val="1"/>
        </w:rPr>
        <w:t>2017 </w:t>
      </w:r>
      <w:r>
        <w:rPr>
          <w:spacing w:val="-30"/>
        </w:rPr>
        <w:t>年 </w:t>
      </w:r>
      <w:r>
        <w:rPr>
          <w:rFonts w:ascii="Times New Roman" w:hAnsi="Times New Roman" w:eastAsia="Times New Roman"/>
          <w:position w:val="1"/>
        </w:rPr>
        <w:t>1 </w:t>
      </w:r>
      <w:r>
        <w:rPr>
          <w:spacing w:val="-30"/>
        </w:rPr>
        <w:t>月 </w:t>
      </w:r>
      <w:r>
        <w:rPr>
          <w:rFonts w:ascii="Times New Roman" w:hAnsi="Times New Roman" w:eastAsia="Times New Roman"/>
          <w:position w:val="1"/>
        </w:rPr>
        <w:t>1 </w:t>
      </w:r>
      <w:r>
        <w:rPr>
          <w:spacing w:val="-2"/>
        </w:rPr>
        <w:t>日起执行执行《城镇</w:t>
      </w:r>
      <w:r>
        <w:rPr>
          <w:spacing w:val="-12"/>
        </w:rPr>
        <w:t>污水处理厂污染物排放标准》</w:t>
      </w:r>
      <w:r>
        <w:rPr/>
        <w:t>（</w:t>
      </w:r>
      <w:r>
        <w:rPr>
          <w:rFonts w:ascii="Times New Roman" w:hAnsi="Times New Roman" w:eastAsia="Times New Roman"/>
          <w:position w:val="1"/>
        </w:rPr>
        <w:t>GB </w:t>
      </w:r>
      <w:r>
        <w:rPr>
          <w:rFonts w:ascii="Times New Roman" w:hAnsi="Times New Roman" w:eastAsia="Times New Roman"/>
          <w:spacing w:val="-6"/>
          <w:position w:val="1"/>
        </w:rPr>
        <w:t>18918-2002</w:t>
      </w:r>
      <w:r>
        <w:rPr>
          <w:spacing w:val="-6"/>
        </w:rPr>
        <w:t>）</w:t>
      </w:r>
      <w:r>
        <w:rPr>
          <w:spacing w:val="-12"/>
        </w:rPr>
        <w:t>一级标准 </w:t>
      </w:r>
      <w:r>
        <w:rPr>
          <w:rFonts w:ascii="Times New Roman" w:hAnsi="Times New Roman" w:eastAsia="Times New Roman"/>
          <w:position w:val="1"/>
        </w:rPr>
        <w:t>A </w:t>
      </w:r>
      <w:r>
        <w:rPr>
          <w:spacing w:val="-12"/>
        </w:rPr>
        <w:t>标准。雨水排放参照执行《关</w:t>
      </w:r>
      <w:r>
        <w:rPr>
          <w:spacing w:val="-15"/>
        </w:rPr>
        <w:t>于对全市重点工业企业排放口开展规范化整治的通知》</w:t>
      </w:r>
      <w:r>
        <w:rPr/>
        <w:t>（绍市环函</w:t>
      </w:r>
      <w:r>
        <w:rPr>
          <w:rFonts w:ascii="Times New Roman" w:hAnsi="Times New Roman" w:eastAsia="Times New Roman"/>
          <w:position w:val="1"/>
        </w:rPr>
        <w:t>[2015]251 </w:t>
      </w:r>
      <w:r>
        <w:rPr/>
        <w:t>号</w:t>
      </w:r>
      <w:r>
        <w:rPr>
          <w:spacing w:val="-39"/>
        </w:rPr>
        <w:t>）</w:t>
      </w:r>
      <w:r>
        <w:rPr/>
        <w:t>中</w:t>
      </w:r>
      <w:r>
        <w:rPr>
          <w:rFonts w:ascii="Times New Roman" w:hAnsi="Times New Roman" w:eastAsia="Times New Roman"/>
          <w:position w:val="1"/>
        </w:rPr>
        <w:t>“</w:t>
      </w:r>
      <w:r>
        <w:rPr/>
        <w:t>企业</w:t>
      </w:r>
      <w:r>
        <w:rPr>
          <w:spacing w:val="-5"/>
        </w:rPr>
        <w:t>排放的雨水，其主要污染物排放浓度应达到以下控制要求：</w:t>
      </w:r>
      <w:r>
        <w:rPr>
          <w:rFonts w:ascii="Times New Roman" w:hAnsi="Times New Roman" w:eastAsia="Times New Roman"/>
          <w:spacing w:val="-4"/>
          <w:position w:val="1"/>
        </w:rPr>
        <w:t>pH6-9</w:t>
      </w:r>
      <w:r>
        <w:rPr>
          <w:spacing w:val="-4"/>
        </w:rPr>
        <w:t>，</w:t>
      </w:r>
      <w:r>
        <w:rPr>
          <w:rFonts w:ascii="Times New Roman" w:hAnsi="Times New Roman" w:eastAsia="Times New Roman"/>
          <w:spacing w:val="-4"/>
          <w:position w:val="1"/>
        </w:rPr>
        <w:t>COD50mg/L</w:t>
      </w:r>
      <w:r>
        <w:rPr>
          <w:spacing w:val="-8"/>
        </w:rPr>
        <w:t>、石油类</w:t>
      </w:r>
      <w:r>
        <w:rPr>
          <w:rFonts w:ascii="Times New Roman" w:hAnsi="Times New Roman" w:eastAsia="Times New Roman"/>
          <w:spacing w:val="-8"/>
          <w:position w:val="1"/>
        </w:rPr>
        <w:t>5mg/L</w:t>
      </w:r>
      <w:r>
        <w:rPr>
          <w:spacing w:val="-22"/>
        </w:rPr>
        <w:t>、氨氮 </w:t>
      </w:r>
      <w:r>
        <w:rPr>
          <w:rFonts w:ascii="Times New Roman" w:hAnsi="Times New Roman" w:eastAsia="Times New Roman"/>
          <w:position w:val="1"/>
        </w:rPr>
        <w:t>8mg/L</w:t>
      </w:r>
      <w:r>
        <w:rPr>
          <w:spacing w:val="-14"/>
        </w:rPr>
        <w:t>、悬浮物 </w:t>
      </w:r>
      <w:r>
        <w:rPr>
          <w:rFonts w:ascii="Times New Roman" w:hAnsi="Times New Roman" w:eastAsia="Times New Roman"/>
          <w:position w:val="1"/>
        </w:rPr>
        <w:t>40mg/L </w:t>
      </w:r>
      <w:r>
        <w:rPr/>
        <w:t>等</w:t>
      </w:r>
      <w:r>
        <w:rPr>
          <w:rFonts w:ascii="Times New Roman" w:hAnsi="Times New Roman" w:eastAsia="Times New Roman"/>
          <w:position w:val="1"/>
        </w:rPr>
        <w:t>”</w:t>
      </w:r>
      <w:r>
        <w:rPr/>
        <w:t>规定。</w:t>
      </w:r>
    </w:p>
    <w:p>
      <w:pPr>
        <w:pStyle w:val="BodyText"/>
        <w:spacing w:before="10"/>
        <w:ind w:left="717"/>
      </w:pPr>
      <w:r>
        <w:rPr/>
        <w:t>具体排放标准如表 </w:t>
      </w:r>
      <w:r>
        <w:rPr>
          <w:rFonts w:ascii="Times New Roman" w:eastAsia="Times New Roman"/>
          <w:position w:val="1"/>
        </w:rPr>
        <w:t>2.3-6 </w:t>
      </w:r>
      <w:r>
        <w:rPr/>
        <w:t>所示，最高允许排水量见表 </w:t>
      </w:r>
      <w:r>
        <w:rPr>
          <w:rFonts w:ascii="Times New Roman" w:eastAsia="Times New Roman"/>
          <w:position w:val="1"/>
        </w:rPr>
        <w:t>2.3-7</w:t>
      </w:r>
      <w:r>
        <w:rPr/>
        <w:t>。</w:t>
      </w:r>
    </w:p>
    <w:p>
      <w:pPr>
        <w:pStyle w:val="Heading3"/>
        <w:spacing w:before="160"/>
        <w:ind w:left="218" w:right="236"/>
        <w:jc w:val="center"/>
        <w:rPr>
          <w:rFonts w:ascii="Times New Roman" w:eastAsia="Times New Roman"/>
        </w:rPr>
      </w:pPr>
      <w:r>
        <w:rPr/>
        <w:t>表 </w:t>
      </w:r>
      <w:r>
        <w:rPr>
          <w:rFonts w:ascii="Times New Roman" w:eastAsia="Times New Roman"/>
        </w:rPr>
        <w:t>2.3-6  </w:t>
      </w:r>
      <w:r>
        <w:rPr/>
        <w:t>废水排放标准 单位：</w:t>
      </w:r>
      <w:r>
        <w:rPr>
          <w:rFonts w:ascii="Times New Roman" w:eastAsia="Times New Roman"/>
        </w:rPr>
        <w:t>pH </w:t>
      </w:r>
      <w:r>
        <w:rPr/>
        <w:t>无量纲，菌</w:t>
      </w:r>
      <w:r>
        <w:rPr>
          <w:rFonts w:ascii="Times New Roman" w:eastAsia="Times New Roman"/>
        </w:rPr>
        <w:t>/</w:t>
      </w:r>
      <w:r>
        <w:rPr/>
        <w:t>卵个</w:t>
      </w:r>
      <w:r>
        <w:rPr>
          <w:rFonts w:ascii="Times New Roman" w:eastAsia="Times New Roman"/>
        </w:rPr>
        <w:t>/L</w:t>
      </w:r>
      <w:r>
        <w:rPr/>
        <w:t>，其余均为 </w:t>
      </w:r>
      <w:r>
        <w:rPr>
          <w:rFonts w:ascii="Times New Roman" w:eastAsia="Times New Roman"/>
        </w:rPr>
        <w:t>mg/L</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57"/>
        <w:gridCol w:w="514"/>
        <w:gridCol w:w="851"/>
        <w:gridCol w:w="752"/>
        <w:gridCol w:w="546"/>
        <w:gridCol w:w="650"/>
        <w:gridCol w:w="650"/>
        <w:gridCol w:w="652"/>
        <w:gridCol w:w="1056"/>
        <w:gridCol w:w="1463"/>
        <w:gridCol w:w="854"/>
      </w:tblGrid>
      <w:tr>
        <w:trPr>
          <w:trHeight w:val="359" w:hRule="atLeast"/>
        </w:trPr>
        <w:tc>
          <w:tcPr>
            <w:tcW w:w="1457" w:type="dxa"/>
            <w:tcBorders>
              <w:bottom w:val="single" w:sz="6" w:space="0" w:color="000000"/>
              <w:right w:val="single" w:sz="6" w:space="0" w:color="000000"/>
            </w:tcBorders>
          </w:tcPr>
          <w:p>
            <w:pPr>
              <w:pStyle w:val="TableParagraph"/>
              <w:spacing w:before="64"/>
              <w:ind w:left="166" w:right="143"/>
              <w:rPr>
                <w:rFonts w:ascii="宋体" w:eastAsia="宋体" w:hint="eastAsia"/>
                <w:b/>
                <w:sz w:val="18"/>
              </w:rPr>
            </w:pPr>
            <w:r>
              <w:rPr>
                <w:rFonts w:ascii="宋体" w:eastAsia="宋体" w:hint="eastAsia"/>
                <w:b/>
                <w:sz w:val="18"/>
              </w:rPr>
              <w:t>项目</w:t>
            </w:r>
          </w:p>
        </w:tc>
        <w:tc>
          <w:tcPr>
            <w:tcW w:w="514" w:type="dxa"/>
            <w:tcBorders>
              <w:left w:val="single" w:sz="6" w:space="0" w:color="000000"/>
              <w:bottom w:val="single" w:sz="6" w:space="0" w:color="000000"/>
              <w:right w:val="single" w:sz="6" w:space="0" w:color="000000"/>
            </w:tcBorders>
          </w:tcPr>
          <w:p>
            <w:pPr>
              <w:pStyle w:val="TableParagraph"/>
              <w:spacing w:before="76"/>
              <w:ind w:right="112"/>
              <w:jc w:val="right"/>
              <w:rPr>
                <w:b/>
                <w:sz w:val="18"/>
              </w:rPr>
            </w:pPr>
            <w:r>
              <w:rPr>
                <w:b/>
                <w:sz w:val="18"/>
              </w:rPr>
              <w:t>pH</w:t>
            </w:r>
          </w:p>
        </w:tc>
        <w:tc>
          <w:tcPr>
            <w:tcW w:w="851" w:type="dxa"/>
            <w:tcBorders>
              <w:left w:val="single" w:sz="6" w:space="0" w:color="000000"/>
              <w:bottom w:val="single" w:sz="6" w:space="0" w:color="000000"/>
              <w:right w:val="single" w:sz="6" w:space="0" w:color="000000"/>
            </w:tcBorders>
          </w:tcPr>
          <w:p>
            <w:pPr>
              <w:pStyle w:val="TableParagraph"/>
              <w:spacing w:before="75"/>
              <w:ind w:left="139" w:right="117"/>
              <w:rPr>
                <w:b/>
                <w:sz w:val="12"/>
              </w:rPr>
            </w:pPr>
            <w:r>
              <w:rPr>
                <w:b/>
                <w:position w:val="1"/>
                <w:sz w:val="18"/>
              </w:rPr>
              <w:t>COD</w:t>
            </w:r>
            <w:r>
              <w:rPr>
                <w:b/>
                <w:sz w:val="12"/>
              </w:rPr>
              <w:t>Cr</w:t>
            </w:r>
          </w:p>
        </w:tc>
        <w:tc>
          <w:tcPr>
            <w:tcW w:w="752" w:type="dxa"/>
            <w:tcBorders>
              <w:left w:val="single" w:sz="6" w:space="0" w:color="000000"/>
              <w:bottom w:val="single" w:sz="6" w:space="0" w:color="000000"/>
              <w:right w:val="single" w:sz="6" w:space="0" w:color="000000"/>
            </w:tcBorders>
          </w:tcPr>
          <w:p>
            <w:pPr>
              <w:pStyle w:val="TableParagraph"/>
              <w:spacing w:before="75"/>
              <w:ind w:left="133" w:right="113"/>
              <w:rPr>
                <w:b/>
                <w:sz w:val="12"/>
              </w:rPr>
            </w:pPr>
            <w:r>
              <w:rPr>
                <w:b/>
                <w:position w:val="1"/>
                <w:sz w:val="18"/>
              </w:rPr>
              <w:t>BOD</w:t>
            </w:r>
            <w:r>
              <w:rPr>
                <w:b/>
                <w:sz w:val="12"/>
              </w:rPr>
              <w:t>5</w:t>
            </w:r>
          </w:p>
        </w:tc>
        <w:tc>
          <w:tcPr>
            <w:tcW w:w="546" w:type="dxa"/>
            <w:tcBorders>
              <w:left w:val="single" w:sz="6" w:space="0" w:color="000000"/>
              <w:bottom w:val="single" w:sz="6" w:space="0" w:color="000000"/>
              <w:right w:val="single" w:sz="6" w:space="0" w:color="000000"/>
            </w:tcBorders>
          </w:tcPr>
          <w:p>
            <w:pPr>
              <w:pStyle w:val="TableParagraph"/>
              <w:spacing w:before="76"/>
              <w:ind w:left="120" w:right="100"/>
              <w:rPr>
                <w:b/>
                <w:sz w:val="18"/>
              </w:rPr>
            </w:pPr>
            <w:r>
              <w:rPr>
                <w:b/>
                <w:sz w:val="18"/>
              </w:rPr>
              <w:t>SS</w:t>
            </w:r>
          </w:p>
        </w:tc>
        <w:tc>
          <w:tcPr>
            <w:tcW w:w="650" w:type="dxa"/>
            <w:tcBorders>
              <w:left w:val="single" w:sz="6" w:space="0" w:color="000000"/>
              <w:bottom w:val="single" w:sz="6" w:space="0" w:color="000000"/>
              <w:right w:val="single" w:sz="6" w:space="0" w:color="000000"/>
            </w:tcBorders>
          </w:tcPr>
          <w:p>
            <w:pPr>
              <w:pStyle w:val="TableParagraph"/>
              <w:spacing w:before="64"/>
              <w:ind w:left="114" w:right="99"/>
              <w:rPr>
                <w:rFonts w:ascii="宋体" w:eastAsia="宋体" w:hint="eastAsia"/>
                <w:b/>
                <w:sz w:val="18"/>
              </w:rPr>
            </w:pPr>
            <w:r>
              <w:rPr>
                <w:rFonts w:ascii="宋体" w:eastAsia="宋体" w:hint="eastAsia"/>
                <w:b/>
                <w:sz w:val="18"/>
              </w:rPr>
              <w:t>氨氮</w:t>
            </w:r>
          </w:p>
        </w:tc>
        <w:tc>
          <w:tcPr>
            <w:tcW w:w="650" w:type="dxa"/>
            <w:tcBorders>
              <w:left w:val="single" w:sz="6" w:space="0" w:color="000000"/>
              <w:bottom w:val="single" w:sz="6" w:space="0" w:color="000000"/>
              <w:right w:val="single" w:sz="6" w:space="0" w:color="000000"/>
            </w:tcBorders>
          </w:tcPr>
          <w:p>
            <w:pPr>
              <w:pStyle w:val="TableParagraph"/>
              <w:spacing w:before="64"/>
              <w:ind w:left="115" w:right="99"/>
              <w:rPr>
                <w:rFonts w:ascii="宋体" w:eastAsia="宋体" w:hint="eastAsia"/>
                <w:b/>
                <w:sz w:val="18"/>
              </w:rPr>
            </w:pPr>
            <w:r>
              <w:rPr>
                <w:rFonts w:ascii="宋体" w:eastAsia="宋体" w:hint="eastAsia"/>
                <w:b/>
                <w:sz w:val="18"/>
              </w:rPr>
              <w:t>总氮</w:t>
            </w:r>
          </w:p>
        </w:tc>
        <w:tc>
          <w:tcPr>
            <w:tcW w:w="652" w:type="dxa"/>
            <w:tcBorders>
              <w:left w:val="single" w:sz="6" w:space="0" w:color="000000"/>
              <w:bottom w:val="single" w:sz="6" w:space="0" w:color="000000"/>
              <w:right w:val="single" w:sz="6" w:space="0" w:color="000000"/>
            </w:tcBorders>
          </w:tcPr>
          <w:p>
            <w:pPr>
              <w:pStyle w:val="TableParagraph"/>
              <w:spacing w:before="64"/>
              <w:ind w:left="122" w:right="112"/>
              <w:rPr>
                <w:rFonts w:ascii="宋体" w:eastAsia="宋体" w:hint="eastAsia"/>
                <w:b/>
                <w:sz w:val="18"/>
              </w:rPr>
            </w:pPr>
            <w:r>
              <w:rPr>
                <w:rFonts w:ascii="宋体" w:eastAsia="宋体" w:hint="eastAsia"/>
                <w:b/>
                <w:sz w:val="18"/>
              </w:rPr>
              <w:t>总磷</w:t>
            </w:r>
          </w:p>
        </w:tc>
        <w:tc>
          <w:tcPr>
            <w:tcW w:w="1056" w:type="dxa"/>
            <w:tcBorders>
              <w:left w:val="single" w:sz="6" w:space="0" w:color="000000"/>
              <w:bottom w:val="single" w:sz="6" w:space="0" w:color="000000"/>
              <w:right w:val="single" w:sz="6" w:space="0" w:color="000000"/>
            </w:tcBorders>
          </w:tcPr>
          <w:p>
            <w:pPr>
              <w:pStyle w:val="TableParagraph"/>
              <w:spacing w:before="64"/>
              <w:ind w:left="143" w:right="135"/>
              <w:rPr>
                <w:rFonts w:ascii="宋体" w:eastAsia="宋体" w:hint="eastAsia"/>
                <w:b/>
                <w:sz w:val="18"/>
              </w:rPr>
            </w:pPr>
            <w:r>
              <w:rPr>
                <w:rFonts w:ascii="宋体" w:eastAsia="宋体" w:hint="eastAsia"/>
                <w:b/>
                <w:sz w:val="18"/>
              </w:rPr>
              <w:t>动植物油</w:t>
            </w:r>
          </w:p>
        </w:tc>
        <w:tc>
          <w:tcPr>
            <w:tcW w:w="1463" w:type="dxa"/>
            <w:tcBorders>
              <w:left w:val="single" w:sz="6" w:space="0" w:color="000000"/>
              <w:bottom w:val="single" w:sz="6" w:space="0" w:color="000000"/>
              <w:right w:val="single" w:sz="6" w:space="0" w:color="000000"/>
            </w:tcBorders>
          </w:tcPr>
          <w:p>
            <w:pPr>
              <w:pStyle w:val="TableParagraph"/>
              <w:spacing w:before="64"/>
              <w:ind w:left="163" w:right="160"/>
              <w:rPr>
                <w:rFonts w:ascii="宋体" w:eastAsia="宋体" w:hint="eastAsia"/>
                <w:b/>
                <w:sz w:val="18"/>
              </w:rPr>
            </w:pPr>
            <w:r>
              <w:rPr>
                <w:rFonts w:ascii="宋体" w:eastAsia="宋体" w:hint="eastAsia"/>
                <w:b/>
                <w:sz w:val="18"/>
              </w:rPr>
              <w:t>粪大肠菌群数</w:t>
            </w:r>
          </w:p>
        </w:tc>
        <w:tc>
          <w:tcPr>
            <w:tcW w:w="854" w:type="dxa"/>
            <w:tcBorders>
              <w:left w:val="single" w:sz="6" w:space="0" w:color="000000"/>
              <w:bottom w:val="single" w:sz="6" w:space="0" w:color="000000"/>
            </w:tcBorders>
          </w:tcPr>
          <w:p>
            <w:pPr>
              <w:pStyle w:val="TableParagraph"/>
              <w:spacing w:before="64"/>
              <w:ind w:left="128" w:right="120"/>
              <w:rPr>
                <w:rFonts w:ascii="宋体" w:eastAsia="宋体" w:hint="eastAsia"/>
                <w:b/>
                <w:sz w:val="18"/>
              </w:rPr>
            </w:pPr>
            <w:r>
              <w:rPr>
                <w:rFonts w:ascii="宋体" w:eastAsia="宋体" w:hint="eastAsia"/>
                <w:b/>
                <w:sz w:val="18"/>
              </w:rPr>
              <w:t>蛔虫卵</w:t>
            </w:r>
          </w:p>
        </w:tc>
      </w:tr>
      <w:tr>
        <w:trPr>
          <w:trHeight w:val="359" w:hRule="atLeast"/>
        </w:trPr>
        <w:tc>
          <w:tcPr>
            <w:tcW w:w="1457" w:type="dxa"/>
            <w:tcBorders>
              <w:top w:val="single" w:sz="6" w:space="0" w:color="000000"/>
              <w:bottom w:val="single" w:sz="6" w:space="0" w:color="000000"/>
              <w:right w:val="single" w:sz="6" w:space="0" w:color="000000"/>
            </w:tcBorders>
          </w:tcPr>
          <w:p>
            <w:pPr>
              <w:pStyle w:val="TableParagraph"/>
              <w:spacing w:before="64"/>
              <w:ind w:left="166" w:right="148"/>
              <w:rPr>
                <w:rFonts w:ascii="宋体" w:eastAsia="宋体" w:hint="eastAsia"/>
                <w:sz w:val="18"/>
              </w:rPr>
            </w:pPr>
            <w:r>
              <w:rPr>
                <w:rFonts w:ascii="宋体" w:eastAsia="宋体" w:hint="eastAsia"/>
                <w:sz w:val="18"/>
              </w:rPr>
              <w:t>纳管标准</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76"/>
              <w:ind w:right="112"/>
              <w:jc w:val="right"/>
              <w:rPr>
                <w:sz w:val="18"/>
              </w:rPr>
            </w:pPr>
            <w:r>
              <w:rPr>
                <w:sz w:val="18"/>
              </w:rPr>
              <w:t>6-9</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76"/>
              <w:ind w:left="139" w:right="112"/>
              <w:rPr>
                <w:sz w:val="18"/>
              </w:rPr>
            </w:pPr>
            <w:r>
              <w:rPr>
                <w:sz w:val="18"/>
              </w:rPr>
              <w:t>500</w:t>
            </w:r>
          </w:p>
        </w:tc>
        <w:tc>
          <w:tcPr>
            <w:tcW w:w="752" w:type="dxa"/>
            <w:tcBorders>
              <w:top w:val="single" w:sz="6" w:space="0" w:color="000000"/>
              <w:left w:val="single" w:sz="6" w:space="0" w:color="000000"/>
              <w:bottom w:val="single" w:sz="6" w:space="0" w:color="000000"/>
              <w:right w:val="single" w:sz="6" w:space="0" w:color="000000"/>
            </w:tcBorders>
          </w:tcPr>
          <w:p>
            <w:pPr>
              <w:pStyle w:val="TableParagraph"/>
              <w:spacing w:before="76"/>
              <w:ind w:left="133" w:right="111"/>
              <w:rPr>
                <w:sz w:val="18"/>
              </w:rPr>
            </w:pPr>
            <w:r>
              <w:rPr>
                <w:sz w:val="18"/>
              </w:rPr>
              <w:t>300</w:t>
            </w:r>
          </w:p>
        </w:tc>
        <w:tc>
          <w:tcPr>
            <w:tcW w:w="546" w:type="dxa"/>
            <w:tcBorders>
              <w:top w:val="single" w:sz="6" w:space="0" w:color="000000"/>
              <w:left w:val="single" w:sz="6" w:space="0" w:color="000000"/>
              <w:bottom w:val="single" w:sz="6" w:space="0" w:color="000000"/>
              <w:right w:val="single" w:sz="6" w:space="0" w:color="000000"/>
            </w:tcBorders>
          </w:tcPr>
          <w:p>
            <w:pPr>
              <w:pStyle w:val="TableParagraph"/>
              <w:spacing w:before="76"/>
              <w:ind w:left="120" w:right="100"/>
              <w:rPr>
                <w:sz w:val="18"/>
              </w:rPr>
            </w:pPr>
            <w:r>
              <w:rPr>
                <w:sz w:val="18"/>
              </w:rPr>
              <w:t>400</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76"/>
              <w:ind w:left="114" w:right="99"/>
              <w:rPr>
                <w:sz w:val="18"/>
              </w:rPr>
            </w:pPr>
            <w:r>
              <w:rPr>
                <w:sz w:val="18"/>
              </w:rPr>
              <w:t>70*</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76"/>
              <w:ind w:left="115" w:right="99"/>
              <w:rPr>
                <w:sz w:val="18"/>
              </w:rPr>
            </w:pPr>
            <w:r>
              <w:rPr>
                <w:sz w:val="18"/>
              </w:rPr>
              <w:t>70**</w:t>
            </w:r>
          </w:p>
        </w:tc>
        <w:tc>
          <w:tcPr>
            <w:tcW w:w="652" w:type="dxa"/>
            <w:tcBorders>
              <w:top w:val="single" w:sz="6" w:space="0" w:color="000000"/>
              <w:left w:val="single" w:sz="6" w:space="0" w:color="000000"/>
              <w:bottom w:val="single" w:sz="6" w:space="0" w:color="000000"/>
              <w:right w:val="single" w:sz="6" w:space="0" w:color="000000"/>
            </w:tcBorders>
          </w:tcPr>
          <w:p>
            <w:pPr>
              <w:pStyle w:val="TableParagraph"/>
              <w:spacing w:before="76"/>
              <w:ind w:left="122" w:right="112"/>
              <w:rPr>
                <w:sz w:val="18"/>
              </w:rPr>
            </w:pPr>
            <w:r>
              <w:rPr>
                <w:sz w:val="18"/>
              </w:rPr>
              <w:t>7*</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before="76"/>
              <w:ind w:left="143" w:right="131"/>
              <w:rPr>
                <w:sz w:val="18"/>
              </w:rPr>
            </w:pPr>
            <w:r>
              <w:rPr>
                <w:sz w:val="18"/>
              </w:rPr>
              <w:t>100</w:t>
            </w:r>
          </w:p>
        </w:tc>
        <w:tc>
          <w:tcPr>
            <w:tcW w:w="1463" w:type="dxa"/>
            <w:tcBorders>
              <w:top w:val="single" w:sz="6" w:space="0" w:color="000000"/>
              <w:left w:val="single" w:sz="6" w:space="0" w:color="000000"/>
              <w:bottom w:val="single" w:sz="6" w:space="0" w:color="000000"/>
              <w:right w:val="single" w:sz="6" w:space="0" w:color="000000"/>
            </w:tcBorders>
          </w:tcPr>
          <w:p>
            <w:pPr>
              <w:pStyle w:val="TableParagraph"/>
              <w:spacing w:before="76"/>
              <w:ind w:left="163" w:right="156"/>
              <w:rPr>
                <w:sz w:val="18"/>
              </w:rPr>
            </w:pPr>
            <w:r>
              <w:rPr>
                <w:sz w:val="18"/>
              </w:rPr>
              <w:t>10000*</w:t>
            </w:r>
          </w:p>
        </w:tc>
        <w:tc>
          <w:tcPr>
            <w:tcW w:w="854" w:type="dxa"/>
            <w:tcBorders>
              <w:top w:val="single" w:sz="6" w:space="0" w:color="000000"/>
              <w:left w:val="single" w:sz="6" w:space="0" w:color="000000"/>
              <w:bottom w:val="single" w:sz="6" w:space="0" w:color="000000"/>
            </w:tcBorders>
          </w:tcPr>
          <w:p>
            <w:pPr>
              <w:pStyle w:val="TableParagraph"/>
              <w:spacing w:before="76"/>
              <w:ind w:left="128" w:right="116"/>
              <w:rPr>
                <w:sz w:val="18"/>
              </w:rPr>
            </w:pPr>
            <w:r>
              <w:rPr>
                <w:sz w:val="18"/>
              </w:rPr>
              <w:t>2.0*</w:t>
            </w:r>
          </w:p>
        </w:tc>
      </w:tr>
      <w:tr>
        <w:trPr>
          <w:trHeight w:val="356" w:hRule="atLeast"/>
        </w:trPr>
        <w:tc>
          <w:tcPr>
            <w:tcW w:w="1457" w:type="dxa"/>
            <w:tcBorders>
              <w:top w:val="single" w:sz="6" w:space="0" w:color="000000"/>
              <w:bottom w:val="single" w:sz="6" w:space="0" w:color="000000"/>
              <w:right w:val="single" w:sz="6" w:space="0" w:color="000000"/>
            </w:tcBorders>
          </w:tcPr>
          <w:p>
            <w:pPr>
              <w:pStyle w:val="TableParagraph"/>
              <w:spacing w:before="64"/>
              <w:ind w:left="166" w:right="145"/>
              <w:rPr>
                <w:rFonts w:ascii="宋体" w:eastAsia="宋体" w:hint="eastAsia"/>
                <w:sz w:val="18"/>
              </w:rPr>
            </w:pPr>
            <w:r>
              <w:rPr>
                <w:rFonts w:ascii="宋体" w:eastAsia="宋体" w:hint="eastAsia"/>
                <w:sz w:val="18"/>
              </w:rPr>
              <w:t>排环境标准</w:t>
            </w:r>
          </w:p>
        </w:tc>
        <w:tc>
          <w:tcPr>
            <w:tcW w:w="514" w:type="dxa"/>
            <w:tcBorders>
              <w:top w:val="single" w:sz="6" w:space="0" w:color="000000"/>
              <w:left w:val="single" w:sz="6" w:space="0" w:color="000000"/>
              <w:bottom w:val="single" w:sz="6" w:space="0" w:color="000000"/>
              <w:right w:val="single" w:sz="6" w:space="0" w:color="000000"/>
            </w:tcBorders>
          </w:tcPr>
          <w:p>
            <w:pPr>
              <w:pStyle w:val="TableParagraph"/>
              <w:spacing w:before="76"/>
              <w:ind w:right="112"/>
              <w:jc w:val="right"/>
              <w:rPr>
                <w:sz w:val="18"/>
              </w:rPr>
            </w:pPr>
            <w:r>
              <w:rPr>
                <w:sz w:val="18"/>
              </w:rPr>
              <w:t>6-9</w:t>
            </w:r>
          </w:p>
        </w:tc>
        <w:tc>
          <w:tcPr>
            <w:tcW w:w="851" w:type="dxa"/>
            <w:tcBorders>
              <w:top w:val="single" w:sz="6" w:space="0" w:color="000000"/>
              <w:left w:val="single" w:sz="6" w:space="0" w:color="000000"/>
              <w:bottom w:val="single" w:sz="6" w:space="0" w:color="000000"/>
              <w:right w:val="single" w:sz="6" w:space="0" w:color="000000"/>
            </w:tcBorders>
          </w:tcPr>
          <w:p>
            <w:pPr>
              <w:pStyle w:val="TableParagraph"/>
              <w:spacing w:before="76"/>
              <w:ind w:left="139" w:right="112"/>
              <w:rPr>
                <w:sz w:val="18"/>
              </w:rPr>
            </w:pPr>
            <w:r>
              <w:rPr>
                <w:sz w:val="18"/>
              </w:rPr>
              <w:t>50</w:t>
            </w:r>
          </w:p>
        </w:tc>
        <w:tc>
          <w:tcPr>
            <w:tcW w:w="752" w:type="dxa"/>
            <w:tcBorders>
              <w:top w:val="single" w:sz="6" w:space="0" w:color="000000"/>
              <w:left w:val="single" w:sz="6" w:space="0" w:color="000000"/>
              <w:bottom w:val="single" w:sz="6" w:space="0" w:color="000000"/>
              <w:right w:val="single" w:sz="6" w:space="0" w:color="000000"/>
            </w:tcBorders>
          </w:tcPr>
          <w:p>
            <w:pPr>
              <w:pStyle w:val="TableParagraph"/>
              <w:spacing w:before="76"/>
              <w:ind w:left="133" w:right="111"/>
              <w:rPr>
                <w:sz w:val="18"/>
              </w:rPr>
            </w:pPr>
            <w:r>
              <w:rPr>
                <w:sz w:val="18"/>
              </w:rPr>
              <w:t>10</w:t>
            </w:r>
          </w:p>
        </w:tc>
        <w:tc>
          <w:tcPr>
            <w:tcW w:w="546" w:type="dxa"/>
            <w:tcBorders>
              <w:top w:val="single" w:sz="6" w:space="0" w:color="000000"/>
              <w:left w:val="single" w:sz="6" w:space="0" w:color="000000"/>
              <w:bottom w:val="single" w:sz="6" w:space="0" w:color="000000"/>
              <w:right w:val="single" w:sz="6" w:space="0" w:color="000000"/>
            </w:tcBorders>
          </w:tcPr>
          <w:p>
            <w:pPr>
              <w:pStyle w:val="TableParagraph"/>
              <w:spacing w:before="76"/>
              <w:ind w:left="120" w:right="100"/>
              <w:rPr>
                <w:sz w:val="18"/>
              </w:rPr>
            </w:pPr>
            <w:r>
              <w:rPr>
                <w:sz w:val="18"/>
              </w:rPr>
              <w:t>10</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76"/>
              <w:ind w:left="114" w:right="99"/>
              <w:rPr>
                <w:sz w:val="18"/>
              </w:rPr>
            </w:pPr>
            <w:r>
              <w:rPr>
                <w:sz w:val="18"/>
              </w:rPr>
              <w:t>5(8)</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76"/>
              <w:ind w:left="115" w:right="99"/>
              <w:rPr>
                <w:sz w:val="18"/>
              </w:rPr>
            </w:pPr>
            <w:r>
              <w:rPr>
                <w:sz w:val="18"/>
              </w:rPr>
              <w:t>15</w:t>
            </w:r>
          </w:p>
        </w:tc>
        <w:tc>
          <w:tcPr>
            <w:tcW w:w="652" w:type="dxa"/>
            <w:tcBorders>
              <w:top w:val="single" w:sz="6" w:space="0" w:color="000000"/>
              <w:left w:val="single" w:sz="6" w:space="0" w:color="000000"/>
              <w:bottom w:val="single" w:sz="6" w:space="0" w:color="000000"/>
              <w:right w:val="single" w:sz="6" w:space="0" w:color="000000"/>
            </w:tcBorders>
          </w:tcPr>
          <w:p>
            <w:pPr>
              <w:pStyle w:val="TableParagraph"/>
              <w:spacing w:before="76"/>
              <w:ind w:left="122" w:right="111"/>
              <w:rPr>
                <w:sz w:val="18"/>
              </w:rPr>
            </w:pPr>
            <w:r>
              <w:rPr>
                <w:sz w:val="18"/>
              </w:rPr>
              <w:t>0.5</w:t>
            </w:r>
          </w:p>
        </w:tc>
        <w:tc>
          <w:tcPr>
            <w:tcW w:w="1056" w:type="dxa"/>
            <w:tcBorders>
              <w:top w:val="single" w:sz="6" w:space="0" w:color="000000"/>
              <w:left w:val="single" w:sz="6" w:space="0" w:color="000000"/>
              <w:bottom w:val="single" w:sz="6" w:space="0" w:color="000000"/>
              <w:right w:val="single" w:sz="6" w:space="0" w:color="000000"/>
            </w:tcBorders>
          </w:tcPr>
          <w:p>
            <w:pPr>
              <w:pStyle w:val="TableParagraph"/>
              <w:spacing w:before="76"/>
              <w:ind w:left="6"/>
              <w:rPr>
                <w:sz w:val="18"/>
              </w:rPr>
            </w:pPr>
            <w:r>
              <w:rPr>
                <w:sz w:val="18"/>
              </w:rPr>
              <w:t>1</w:t>
            </w:r>
          </w:p>
        </w:tc>
        <w:tc>
          <w:tcPr>
            <w:tcW w:w="1463" w:type="dxa"/>
            <w:tcBorders>
              <w:top w:val="single" w:sz="6" w:space="0" w:color="000000"/>
              <w:left w:val="single" w:sz="6" w:space="0" w:color="000000"/>
              <w:bottom w:val="single" w:sz="6" w:space="0" w:color="000000"/>
              <w:right w:val="single" w:sz="6" w:space="0" w:color="000000"/>
            </w:tcBorders>
          </w:tcPr>
          <w:p>
            <w:pPr>
              <w:pStyle w:val="TableParagraph"/>
              <w:spacing w:before="76"/>
              <w:ind w:left="163" w:right="159"/>
              <w:rPr>
                <w:sz w:val="18"/>
              </w:rPr>
            </w:pPr>
            <w:r>
              <w:rPr>
                <w:sz w:val="18"/>
              </w:rPr>
              <w:t>1000</w:t>
            </w:r>
          </w:p>
        </w:tc>
        <w:tc>
          <w:tcPr>
            <w:tcW w:w="854" w:type="dxa"/>
            <w:tcBorders>
              <w:top w:val="single" w:sz="6" w:space="0" w:color="000000"/>
              <w:left w:val="single" w:sz="6" w:space="0" w:color="000000"/>
              <w:bottom w:val="single" w:sz="6" w:space="0" w:color="000000"/>
            </w:tcBorders>
          </w:tcPr>
          <w:p>
            <w:pPr>
              <w:pStyle w:val="TableParagraph"/>
              <w:spacing w:before="76"/>
              <w:ind w:left="10"/>
              <w:rPr>
                <w:sz w:val="18"/>
              </w:rPr>
            </w:pPr>
            <w:r>
              <w:rPr>
                <w:sz w:val="18"/>
              </w:rPr>
              <w:t>/</w:t>
            </w:r>
          </w:p>
        </w:tc>
      </w:tr>
      <w:tr>
        <w:trPr>
          <w:trHeight w:val="359" w:hRule="atLeast"/>
        </w:trPr>
        <w:tc>
          <w:tcPr>
            <w:tcW w:w="1457" w:type="dxa"/>
            <w:tcBorders>
              <w:top w:val="single" w:sz="6" w:space="0" w:color="000000"/>
              <w:right w:val="single" w:sz="6" w:space="0" w:color="000000"/>
            </w:tcBorders>
          </w:tcPr>
          <w:p>
            <w:pPr>
              <w:pStyle w:val="TableParagraph"/>
              <w:spacing w:before="67"/>
              <w:ind w:left="166" w:right="148"/>
              <w:rPr>
                <w:rFonts w:ascii="宋体" w:eastAsia="宋体" w:hint="eastAsia"/>
                <w:sz w:val="18"/>
              </w:rPr>
            </w:pPr>
            <w:r>
              <w:rPr>
                <w:rFonts w:ascii="宋体" w:eastAsia="宋体" w:hint="eastAsia"/>
                <w:sz w:val="18"/>
              </w:rPr>
              <w:t>雨水排放标准</w:t>
            </w:r>
          </w:p>
        </w:tc>
        <w:tc>
          <w:tcPr>
            <w:tcW w:w="514" w:type="dxa"/>
            <w:tcBorders>
              <w:top w:val="single" w:sz="6" w:space="0" w:color="000000"/>
              <w:left w:val="single" w:sz="6" w:space="0" w:color="000000"/>
              <w:right w:val="single" w:sz="6" w:space="0" w:color="000000"/>
            </w:tcBorders>
          </w:tcPr>
          <w:p>
            <w:pPr>
              <w:pStyle w:val="TableParagraph"/>
              <w:spacing w:before="79"/>
              <w:ind w:right="112"/>
              <w:jc w:val="right"/>
              <w:rPr>
                <w:sz w:val="18"/>
              </w:rPr>
            </w:pPr>
            <w:r>
              <w:rPr>
                <w:sz w:val="18"/>
              </w:rPr>
              <w:t>6-9</w:t>
            </w:r>
          </w:p>
        </w:tc>
        <w:tc>
          <w:tcPr>
            <w:tcW w:w="851" w:type="dxa"/>
            <w:tcBorders>
              <w:top w:val="single" w:sz="6" w:space="0" w:color="000000"/>
              <w:left w:val="single" w:sz="6" w:space="0" w:color="000000"/>
              <w:right w:val="single" w:sz="6" w:space="0" w:color="000000"/>
            </w:tcBorders>
          </w:tcPr>
          <w:p>
            <w:pPr>
              <w:pStyle w:val="TableParagraph"/>
              <w:spacing w:before="79"/>
              <w:ind w:left="139" w:right="112"/>
              <w:rPr>
                <w:sz w:val="18"/>
              </w:rPr>
            </w:pPr>
            <w:r>
              <w:rPr>
                <w:sz w:val="18"/>
              </w:rPr>
              <w:t>50</w:t>
            </w:r>
          </w:p>
        </w:tc>
        <w:tc>
          <w:tcPr>
            <w:tcW w:w="752" w:type="dxa"/>
            <w:tcBorders>
              <w:top w:val="single" w:sz="6" w:space="0" w:color="000000"/>
              <w:left w:val="single" w:sz="6" w:space="0" w:color="000000"/>
              <w:right w:val="single" w:sz="6" w:space="0" w:color="000000"/>
            </w:tcBorders>
          </w:tcPr>
          <w:p>
            <w:pPr>
              <w:pStyle w:val="TableParagraph"/>
              <w:spacing w:before="79"/>
              <w:ind w:left="19"/>
              <w:rPr>
                <w:sz w:val="18"/>
              </w:rPr>
            </w:pPr>
            <w:r>
              <w:rPr>
                <w:sz w:val="18"/>
              </w:rPr>
              <w:t>/</w:t>
            </w:r>
          </w:p>
        </w:tc>
        <w:tc>
          <w:tcPr>
            <w:tcW w:w="546" w:type="dxa"/>
            <w:tcBorders>
              <w:top w:val="single" w:sz="6" w:space="0" w:color="000000"/>
              <w:left w:val="single" w:sz="6" w:space="0" w:color="000000"/>
              <w:right w:val="single" w:sz="6" w:space="0" w:color="000000"/>
            </w:tcBorders>
          </w:tcPr>
          <w:p>
            <w:pPr>
              <w:pStyle w:val="TableParagraph"/>
              <w:spacing w:before="79"/>
              <w:ind w:left="120" w:right="100"/>
              <w:rPr>
                <w:sz w:val="18"/>
              </w:rPr>
            </w:pPr>
            <w:r>
              <w:rPr>
                <w:sz w:val="18"/>
              </w:rPr>
              <w:t>40</w:t>
            </w:r>
          </w:p>
        </w:tc>
        <w:tc>
          <w:tcPr>
            <w:tcW w:w="650" w:type="dxa"/>
            <w:tcBorders>
              <w:top w:val="single" w:sz="6" w:space="0" w:color="000000"/>
              <w:left w:val="single" w:sz="6" w:space="0" w:color="000000"/>
              <w:right w:val="single" w:sz="6" w:space="0" w:color="000000"/>
            </w:tcBorders>
          </w:tcPr>
          <w:p>
            <w:pPr>
              <w:pStyle w:val="TableParagraph"/>
              <w:spacing w:before="79"/>
              <w:ind w:left="14"/>
              <w:rPr>
                <w:sz w:val="18"/>
              </w:rPr>
            </w:pPr>
            <w:r>
              <w:rPr>
                <w:sz w:val="18"/>
              </w:rPr>
              <w:t>8</w:t>
            </w:r>
          </w:p>
        </w:tc>
        <w:tc>
          <w:tcPr>
            <w:tcW w:w="650" w:type="dxa"/>
            <w:tcBorders>
              <w:top w:val="single" w:sz="6" w:space="0" w:color="000000"/>
              <w:left w:val="single" w:sz="6" w:space="0" w:color="000000"/>
              <w:right w:val="single" w:sz="6" w:space="0" w:color="000000"/>
            </w:tcBorders>
          </w:tcPr>
          <w:p>
            <w:pPr>
              <w:pStyle w:val="TableParagraph"/>
              <w:spacing w:before="79"/>
              <w:ind w:left="13"/>
              <w:rPr>
                <w:sz w:val="18"/>
              </w:rPr>
            </w:pPr>
            <w:r>
              <w:rPr>
                <w:sz w:val="18"/>
              </w:rPr>
              <w:t>/</w:t>
            </w:r>
          </w:p>
        </w:tc>
        <w:tc>
          <w:tcPr>
            <w:tcW w:w="652" w:type="dxa"/>
            <w:tcBorders>
              <w:top w:val="single" w:sz="6" w:space="0" w:color="000000"/>
              <w:left w:val="single" w:sz="6" w:space="0" w:color="000000"/>
              <w:right w:val="single" w:sz="6" w:space="0" w:color="000000"/>
            </w:tcBorders>
          </w:tcPr>
          <w:p>
            <w:pPr>
              <w:pStyle w:val="TableParagraph"/>
              <w:spacing w:before="79"/>
              <w:ind w:left="7"/>
              <w:rPr>
                <w:sz w:val="18"/>
              </w:rPr>
            </w:pPr>
            <w:r>
              <w:rPr>
                <w:sz w:val="18"/>
              </w:rPr>
              <w:t>/</w:t>
            </w:r>
          </w:p>
        </w:tc>
        <w:tc>
          <w:tcPr>
            <w:tcW w:w="1056" w:type="dxa"/>
            <w:tcBorders>
              <w:top w:val="single" w:sz="6" w:space="0" w:color="000000"/>
              <w:left w:val="single" w:sz="6" w:space="0" w:color="000000"/>
              <w:right w:val="single" w:sz="6" w:space="0" w:color="000000"/>
            </w:tcBorders>
          </w:tcPr>
          <w:p>
            <w:pPr>
              <w:pStyle w:val="TableParagraph"/>
              <w:spacing w:before="79"/>
              <w:ind w:left="9"/>
              <w:rPr>
                <w:sz w:val="18"/>
              </w:rPr>
            </w:pPr>
            <w:r>
              <w:rPr>
                <w:sz w:val="18"/>
              </w:rPr>
              <w:t>/</w:t>
            </w:r>
          </w:p>
        </w:tc>
        <w:tc>
          <w:tcPr>
            <w:tcW w:w="1463" w:type="dxa"/>
            <w:tcBorders>
              <w:top w:val="single" w:sz="6" w:space="0" w:color="000000"/>
              <w:left w:val="single" w:sz="6" w:space="0" w:color="000000"/>
              <w:right w:val="single" w:sz="6" w:space="0" w:color="000000"/>
            </w:tcBorders>
          </w:tcPr>
          <w:p>
            <w:pPr>
              <w:pStyle w:val="TableParagraph"/>
              <w:spacing w:before="79"/>
              <w:ind w:left="6"/>
              <w:rPr>
                <w:sz w:val="18"/>
              </w:rPr>
            </w:pPr>
            <w:r>
              <w:rPr>
                <w:sz w:val="18"/>
              </w:rPr>
              <w:t>/</w:t>
            </w:r>
          </w:p>
        </w:tc>
        <w:tc>
          <w:tcPr>
            <w:tcW w:w="854" w:type="dxa"/>
            <w:tcBorders>
              <w:top w:val="single" w:sz="6" w:space="0" w:color="000000"/>
              <w:left w:val="single" w:sz="6" w:space="0" w:color="000000"/>
            </w:tcBorders>
          </w:tcPr>
          <w:p>
            <w:pPr>
              <w:pStyle w:val="TableParagraph"/>
              <w:spacing w:before="79"/>
              <w:ind w:left="10"/>
              <w:rPr>
                <w:sz w:val="18"/>
              </w:rPr>
            </w:pPr>
            <w:r>
              <w:rPr>
                <w:sz w:val="18"/>
              </w:rPr>
              <w:t>/</w:t>
            </w:r>
          </w:p>
        </w:tc>
      </w:tr>
    </w:tbl>
    <w:p>
      <w:pPr>
        <w:spacing w:line="319" w:lineRule="auto" w:before="49"/>
        <w:ind w:left="237" w:right="250" w:firstLine="420"/>
        <w:jc w:val="left"/>
        <w:rPr>
          <w:sz w:val="21"/>
        </w:rPr>
      </w:pPr>
      <w:r>
        <w:rPr>
          <w:sz w:val="21"/>
        </w:rPr>
        <w:t>注：</w:t>
      </w:r>
      <w:r>
        <w:rPr>
          <w:rFonts w:ascii="Times New Roman" w:hAnsi="Times New Roman" w:eastAsia="Times New Roman"/>
          <w:position w:val="1"/>
          <w:sz w:val="21"/>
        </w:rPr>
        <w:t>()</w:t>
      </w:r>
      <w:r>
        <w:rPr>
          <w:sz w:val="21"/>
        </w:rPr>
        <w:t>内数值为水温</w:t>
      </w:r>
      <w:r>
        <w:rPr>
          <w:rFonts w:ascii="Times New Roman" w:hAnsi="Times New Roman" w:eastAsia="Times New Roman"/>
          <w:position w:val="1"/>
          <w:sz w:val="21"/>
        </w:rPr>
        <w:t>≤12</w:t>
      </w:r>
      <w:r>
        <w:rPr>
          <w:sz w:val="21"/>
        </w:rPr>
        <w:t>℃时的控制指标；</w:t>
      </w:r>
      <w:r>
        <w:rPr>
          <w:rFonts w:ascii="Times New Roman" w:hAnsi="Times New Roman" w:eastAsia="Times New Roman"/>
          <w:position w:val="1"/>
          <w:sz w:val="21"/>
        </w:rPr>
        <w:t>*</w:t>
      </w:r>
      <w:r>
        <w:rPr>
          <w:sz w:val="21"/>
        </w:rPr>
        <w:t>执行 </w:t>
      </w:r>
      <w:r>
        <w:rPr>
          <w:rFonts w:ascii="Times New Roman" w:hAnsi="Times New Roman" w:eastAsia="Times New Roman"/>
          <w:position w:val="1"/>
          <w:sz w:val="21"/>
        </w:rPr>
        <w:t>DB 33/593-2005 </w:t>
      </w:r>
      <w:r>
        <w:rPr>
          <w:sz w:val="21"/>
        </w:rPr>
        <w:t>中的规定限值；</w:t>
      </w:r>
      <w:r>
        <w:rPr>
          <w:rFonts w:ascii="Times New Roman" w:hAnsi="Times New Roman" w:eastAsia="Times New Roman"/>
          <w:position w:val="1"/>
          <w:sz w:val="21"/>
        </w:rPr>
        <w:t>**</w:t>
      </w:r>
      <w:r>
        <w:rPr>
          <w:sz w:val="21"/>
        </w:rPr>
        <w:t>执行 </w:t>
      </w:r>
      <w:r>
        <w:rPr>
          <w:rFonts w:ascii="Times New Roman" w:hAnsi="Times New Roman" w:eastAsia="Times New Roman"/>
          <w:position w:val="1"/>
          <w:sz w:val="21"/>
        </w:rPr>
        <w:t>GB/T 31962-2015 </w:t>
      </w:r>
      <w:r>
        <w:rPr>
          <w:sz w:val="21"/>
        </w:rPr>
        <w:t>表 </w:t>
      </w:r>
      <w:r>
        <w:rPr>
          <w:rFonts w:ascii="Times New Roman" w:hAnsi="Times New Roman" w:eastAsia="Times New Roman"/>
          <w:position w:val="1"/>
          <w:sz w:val="21"/>
        </w:rPr>
        <w:t>1 </w:t>
      </w:r>
      <w:r>
        <w:rPr>
          <w:sz w:val="21"/>
        </w:rPr>
        <w:t>中的</w:t>
      </w:r>
      <w:r>
        <w:rPr>
          <w:rFonts w:ascii="Times New Roman" w:hAnsi="Times New Roman" w:eastAsia="Times New Roman"/>
          <w:position w:val="1"/>
          <w:sz w:val="21"/>
        </w:rPr>
        <w:t>B </w:t>
      </w:r>
      <w:r>
        <w:rPr>
          <w:sz w:val="21"/>
        </w:rPr>
        <w:t>级限值要求。</w:t>
      </w:r>
    </w:p>
    <w:p>
      <w:pPr>
        <w:pStyle w:val="Heading3"/>
        <w:spacing w:before="37"/>
        <w:ind w:left="219" w:right="236"/>
        <w:jc w:val="center"/>
      </w:pPr>
      <w:r>
        <w:rPr/>
        <w:t>表 </w:t>
      </w:r>
      <w:r>
        <w:rPr>
          <w:rFonts w:ascii="Times New Roman" w:hAnsi="Times New Roman" w:eastAsia="Times New Roman"/>
        </w:rPr>
        <w:t>2.3-7  </w:t>
      </w:r>
      <w:r>
        <w:rPr/>
        <w:t>养殖场高允许排水量（干清粪） 单位：</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w:t>
      </w:r>
      <w:r>
        <w:rPr/>
        <w:t>（百头</w:t>
      </w:r>
      <w:r>
        <w:rPr>
          <w:rFonts w:ascii="Times New Roman" w:hAnsi="Times New Roman" w:eastAsia="Times New Roman"/>
        </w:rPr>
        <w:t>·d</w:t>
      </w:r>
      <w:r>
        <w:rPr/>
        <w:t>）</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54"/>
        <w:gridCol w:w="1238"/>
        <w:gridCol w:w="1238"/>
      </w:tblGrid>
      <w:tr>
        <w:trPr>
          <w:trHeight w:val="359" w:hRule="atLeast"/>
        </w:trPr>
        <w:tc>
          <w:tcPr>
            <w:tcW w:w="6954" w:type="dxa"/>
            <w:tcBorders>
              <w:bottom w:val="single" w:sz="6" w:space="0" w:color="000000"/>
              <w:right w:val="single" w:sz="6" w:space="0" w:color="000000"/>
            </w:tcBorders>
          </w:tcPr>
          <w:p>
            <w:pPr>
              <w:pStyle w:val="TableParagraph"/>
              <w:spacing w:before="44"/>
              <w:ind w:left="1776" w:right="1753"/>
              <w:rPr>
                <w:rFonts w:ascii="宋体" w:eastAsia="宋体" w:hint="eastAsia"/>
                <w:b/>
                <w:sz w:val="21"/>
              </w:rPr>
            </w:pPr>
            <w:r>
              <w:rPr>
                <w:rFonts w:ascii="宋体" w:eastAsia="宋体" w:hint="eastAsia"/>
                <w:b/>
                <w:sz w:val="21"/>
              </w:rPr>
              <w:t>工艺种类</w:t>
            </w:r>
          </w:p>
        </w:tc>
        <w:tc>
          <w:tcPr>
            <w:tcW w:w="1238" w:type="dxa"/>
            <w:tcBorders>
              <w:left w:val="single" w:sz="6" w:space="0" w:color="000000"/>
              <w:bottom w:val="single" w:sz="6" w:space="0" w:color="000000"/>
              <w:right w:val="single" w:sz="6" w:space="0" w:color="000000"/>
            </w:tcBorders>
          </w:tcPr>
          <w:p>
            <w:pPr>
              <w:pStyle w:val="TableParagraph"/>
              <w:spacing w:before="44"/>
              <w:ind w:left="393" w:right="368"/>
              <w:rPr>
                <w:rFonts w:ascii="宋体" w:eastAsia="宋体" w:hint="eastAsia"/>
                <w:b/>
                <w:sz w:val="21"/>
              </w:rPr>
            </w:pPr>
            <w:r>
              <w:rPr>
                <w:rFonts w:ascii="宋体" w:eastAsia="宋体" w:hint="eastAsia"/>
                <w:b/>
                <w:sz w:val="21"/>
              </w:rPr>
              <w:t>冬季</w:t>
            </w:r>
          </w:p>
        </w:tc>
        <w:tc>
          <w:tcPr>
            <w:tcW w:w="1238" w:type="dxa"/>
            <w:tcBorders>
              <w:left w:val="single" w:sz="6" w:space="0" w:color="000000"/>
              <w:bottom w:val="single" w:sz="6" w:space="0" w:color="000000"/>
            </w:tcBorders>
          </w:tcPr>
          <w:p>
            <w:pPr>
              <w:pStyle w:val="TableParagraph"/>
              <w:spacing w:before="44"/>
              <w:ind w:left="395" w:right="357"/>
              <w:rPr>
                <w:rFonts w:ascii="宋体" w:eastAsia="宋体" w:hint="eastAsia"/>
                <w:b/>
                <w:sz w:val="21"/>
              </w:rPr>
            </w:pPr>
            <w:r>
              <w:rPr>
                <w:rFonts w:ascii="宋体" w:eastAsia="宋体" w:hint="eastAsia"/>
                <w:b/>
                <w:sz w:val="21"/>
              </w:rPr>
              <w:t>夏季</w:t>
            </w:r>
          </w:p>
        </w:tc>
      </w:tr>
      <w:tr>
        <w:trPr>
          <w:trHeight w:val="356" w:hRule="atLeast"/>
        </w:trPr>
        <w:tc>
          <w:tcPr>
            <w:tcW w:w="6954" w:type="dxa"/>
            <w:tcBorders>
              <w:top w:val="single" w:sz="6" w:space="0" w:color="000000"/>
              <w:bottom w:val="single" w:sz="6" w:space="0" w:color="000000"/>
              <w:right w:val="single" w:sz="6" w:space="0" w:color="000000"/>
            </w:tcBorders>
          </w:tcPr>
          <w:p>
            <w:pPr>
              <w:pStyle w:val="TableParagraph"/>
              <w:spacing w:before="44"/>
              <w:ind w:left="1775" w:right="1754"/>
              <w:rPr>
                <w:rFonts w:ascii="宋体" w:eastAsia="宋体" w:hint="eastAsia"/>
                <w:sz w:val="21"/>
              </w:rPr>
            </w:pPr>
            <w:r>
              <w:rPr>
                <w:rFonts w:ascii="宋体" w:eastAsia="宋体" w:hint="eastAsia"/>
                <w:sz w:val="21"/>
              </w:rPr>
              <w:t>干清粪工艺</w:t>
            </w:r>
          </w:p>
        </w:tc>
        <w:tc>
          <w:tcPr>
            <w:tcW w:w="1238" w:type="dxa"/>
            <w:tcBorders>
              <w:top w:val="single" w:sz="6" w:space="0" w:color="000000"/>
              <w:left w:val="single" w:sz="6" w:space="0" w:color="000000"/>
              <w:bottom w:val="single" w:sz="6" w:space="0" w:color="000000"/>
              <w:right w:val="single" w:sz="6" w:space="0" w:color="000000"/>
            </w:tcBorders>
          </w:tcPr>
          <w:p>
            <w:pPr>
              <w:pStyle w:val="TableParagraph"/>
              <w:ind w:left="393" w:right="368"/>
              <w:rPr>
                <w:sz w:val="21"/>
              </w:rPr>
            </w:pPr>
            <w:r>
              <w:rPr>
                <w:sz w:val="21"/>
              </w:rPr>
              <w:t>1.0</w:t>
            </w:r>
          </w:p>
        </w:tc>
        <w:tc>
          <w:tcPr>
            <w:tcW w:w="1238" w:type="dxa"/>
            <w:tcBorders>
              <w:top w:val="single" w:sz="6" w:space="0" w:color="000000"/>
              <w:left w:val="single" w:sz="6" w:space="0" w:color="000000"/>
              <w:bottom w:val="single" w:sz="6" w:space="0" w:color="000000"/>
            </w:tcBorders>
          </w:tcPr>
          <w:p>
            <w:pPr>
              <w:pStyle w:val="TableParagraph"/>
              <w:ind w:left="395" w:right="357"/>
              <w:rPr>
                <w:sz w:val="21"/>
              </w:rPr>
            </w:pPr>
            <w:r>
              <w:rPr>
                <w:sz w:val="21"/>
              </w:rPr>
              <w:t>1.5</w:t>
            </w:r>
          </w:p>
        </w:tc>
      </w:tr>
      <w:tr>
        <w:trPr>
          <w:trHeight w:val="359" w:hRule="atLeast"/>
        </w:trPr>
        <w:tc>
          <w:tcPr>
            <w:tcW w:w="6954" w:type="dxa"/>
            <w:tcBorders>
              <w:top w:val="single" w:sz="6" w:space="0" w:color="000000"/>
              <w:right w:val="single" w:sz="6" w:space="0" w:color="000000"/>
            </w:tcBorders>
          </w:tcPr>
          <w:p>
            <w:pPr>
              <w:pStyle w:val="TableParagraph"/>
              <w:spacing w:before="46"/>
              <w:ind w:left="1776" w:right="1754"/>
              <w:rPr>
                <w:rFonts w:ascii="宋体" w:eastAsia="宋体" w:hint="eastAsia"/>
                <w:sz w:val="21"/>
              </w:rPr>
            </w:pPr>
            <w:r>
              <w:rPr>
                <w:rFonts w:ascii="宋体" w:eastAsia="宋体" w:hint="eastAsia"/>
                <w:sz w:val="21"/>
              </w:rPr>
              <w:t>浙江省生猪养殖业环境准入指导意见</w:t>
            </w:r>
          </w:p>
        </w:tc>
        <w:tc>
          <w:tcPr>
            <w:tcW w:w="1238" w:type="dxa"/>
            <w:tcBorders>
              <w:top w:val="single" w:sz="6" w:space="0" w:color="000000"/>
              <w:left w:val="single" w:sz="6" w:space="0" w:color="000000"/>
              <w:right w:val="single" w:sz="6" w:space="0" w:color="000000"/>
            </w:tcBorders>
          </w:tcPr>
          <w:p>
            <w:pPr>
              <w:pStyle w:val="TableParagraph"/>
              <w:spacing w:before="60"/>
              <w:ind w:left="393" w:right="368"/>
              <w:rPr>
                <w:sz w:val="21"/>
              </w:rPr>
            </w:pPr>
            <w:r>
              <w:rPr>
                <w:sz w:val="21"/>
              </w:rPr>
              <w:t>0.8</w:t>
            </w:r>
          </w:p>
        </w:tc>
        <w:tc>
          <w:tcPr>
            <w:tcW w:w="1238" w:type="dxa"/>
            <w:tcBorders>
              <w:top w:val="single" w:sz="6" w:space="0" w:color="000000"/>
              <w:left w:val="single" w:sz="6" w:space="0" w:color="000000"/>
            </w:tcBorders>
          </w:tcPr>
          <w:p>
            <w:pPr>
              <w:pStyle w:val="TableParagraph"/>
              <w:spacing w:before="60"/>
              <w:ind w:left="395" w:right="357"/>
              <w:rPr>
                <w:sz w:val="21"/>
              </w:rPr>
            </w:pPr>
            <w:r>
              <w:rPr>
                <w:sz w:val="21"/>
              </w:rPr>
              <w:t>1.0</w:t>
            </w:r>
          </w:p>
        </w:tc>
      </w:tr>
    </w:tbl>
    <w:p>
      <w:pPr>
        <w:spacing w:line="319" w:lineRule="auto" w:before="50"/>
        <w:ind w:left="237" w:right="247" w:firstLine="420"/>
        <w:jc w:val="left"/>
        <w:rPr>
          <w:sz w:val="21"/>
        </w:rPr>
      </w:pPr>
      <w:r>
        <w:rPr>
          <w:sz w:val="21"/>
        </w:rPr>
        <w:t>注：因《浙江省生猪养殖业环境准入指导意见（修订）》严于</w:t>
      </w:r>
      <w:r>
        <w:rPr>
          <w:rFonts w:ascii="Times New Roman" w:hAnsi="Times New Roman" w:eastAsia="Times New Roman"/>
          <w:position w:val="1"/>
          <w:sz w:val="21"/>
        </w:rPr>
        <w:t>DB 33/593-2005</w:t>
      </w:r>
      <w:r>
        <w:rPr>
          <w:sz w:val="21"/>
        </w:rPr>
        <w:t>，本项目按前者执行；</w:t>
      </w:r>
      <w:r>
        <w:rPr>
          <w:rFonts w:ascii="Times New Roman" w:hAnsi="Times New Roman" w:eastAsia="Times New Roman"/>
          <w:position w:val="1"/>
          <w:sz w:val="21"/>
        </w:rPr>
        <w:t>“</w:t>
      </w:r>
      <w:r>
        <w:rPr>
          <w:sz w:val="21"/>
        </w:rPr>
        <w:t>百头</w:t>
      </w:r>
      <w:r>
        <w:rPr>
          <w:rFonts w:ascii="Times New Roman" w:hAnsi="Times New Roman" w:eastAsia="Times New Roman"/>
          <w:position w:val="1"/>
          <w:sz w:val="21"/>
        </w:rPr>
        <w:t>”</w:t>
      </w:r>
      <w:r>
        <w:rPr>
          <w:sz w:val="21"/>
        </w:rPr>
        <w:t>指存栏数。春、秋季废水最高允许排放量按冬、夏两季的平均值计算。</w:t>
      </w:r>
    </w:p>
    <w:p>
      <w:pPr>
        <w:spacing w:after="0" w:line="319" w:lineRule="auto"/>
        <w:jc w:val="left"/>
        <w:rPr>
          <w:sz w:val="21"/>
        </w:rPr>
        <w:sectPr>
          <w:pgSz w:w="11910" w:h="16840"/>
          <w:pgMar w:header="874" w:footer="1004" w:top="1400" w:bottom="1200" w:left="1040" w:right="1160"/>
        </w:sectPr>
      </w:pPr>
    </w:p>
    <w:p>
      <w:pPr>
        <w:pStyle w:val="Heading3"/>
        <w:spacing w:before="121"/>
      </w:pPr>
      <w:r>
        <w:rPr>
          <w:rFonts w:ascii="Times New Roman" w:eastAsia="Times New Roman"/>
        </w:rPr>
        <w:t>2</w:t>
      </w:r>
      <w:r>
        <w:rPr/>
        <w:t>、废气污染物排放标准</w:t>
      </w:r>
    </w:p>
    <w:p>
      <w:pPr>
        <w:pStyle w:val="ListParagraph"/>
        <w:numPr>
          <w:ilvl w:val="0"/>
          <w:numId w:val="15"/>
        </w:numPr>
        <w:tabs>
          <w:tab w:pos="1323" w:val="left" w:leader="none"/>
        </w:tabs>
        <w:spacing w:line="240" w:lineRule="auto" w:before="161" w:after="0"/>
        <w:ind w:left="1323" w:right="0" w:hanging="604"/>
        <w:jc w:val="left"/>
        <w:rPr>
          <w:b/>
          <w:sz w:val="24"/>
        </w:rPr>
      </w:pPr>
      <w:r>
        <w:rPr>
          <w:b/>
          <w:sz w:val="24"/>
        </w:rPr>
        <w:t>工艺废气</w:t>
      </w:r>
    </w:p>
    <w:p>
      <w:pPr>
        <w:pStyle w:val="BodyText"/>
        <w:spacing w:line="367" w:lineRule="auto" w:before="157"/>
        <w:ind w:right="198" w:firstLine="480"/>
        <w:rPr>
          <w:rFonts w:ascii="Times New Roman" w:eastAsia="Times New Roman"/>
        </w:rPr>
      </w:pPr>
      <w:r>
        <w:rPr>
          <w:position w:val="2"/>
        </w:rPr>
        <w:t>本项目涉及的 </w:t>
      </w:r>
      <w:r>
        <w:rPr>
          <w:rFonts w:ascii="Times New Roman" w:eastAsia="Times New Roman"/>
          <w:position w:val="2"/>
        </w:rPr>
        <w:t>NH</w:t>
      </w:r>
      <w:r>
        <w:rPr>
          <w:rFonts w:ascii="Times New Roman" w:eastAsia="Times New Roman"/>
          <w:sz w:val="16"/>
        </w:rPr>
        <w:t>3</w:t>
      </w:r>
      <w:r>
        <w:rPr>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position w:val="2"/>
        </w:rPr>
        <w:t>及臭气浓度有组织排放执行《恶臭污染物排放标准》（</w:t>
      </w:r>
      <w:r>
        <w:rPr>
          <w:rFonts w:ascii="Times New Roman" w:eastAsia="Times New Roman"/>
          <w:position w:val="2"/>
        </w:rPr>
        <w:t>GB </w:t>
      </w:r>
      <w:r>
        <w:rPr>
          <w:rFonts w:ascii="Times New Roman" w:eastAsia="Times New Roman"/>
          <w:position w:val="1"/>
        </w:rPr>
        <w:t>14554-93</w:t>
      </w:r>
      <w:r>
        <w:rPr/>
        <w:t>）相应标准，厂界臭气浓度排放标准执行《畜禽养殖业污染物排放标准》（</w:t>
      </w:r>
      <w:r>
        <w:rPr>
          <w:rFonts w:ascii="Times New Roman" w:eastAsia="Times New Roman"/>
          <w:position w:val="1"/>
        </w:rPr>
        <w:t>DB</w:t>
      </w:r>
    </w:p>
    <w:p>
      <w:pPr>
        <w:pStyle w:val="BodyText"/>
        <w:spacing w:line="364" w:lineRule="auto"/>
        <w:ind w:left="717" w:right="2960" w:hanging="480"/>
      </w:pPr>
      <w:r>
        <w:rPr>
          <w:rFonts w:ascii="Times New Roman" w:eastAsia="Times New Roman"/>
          <w:position w:val="1"/>
        </w:rPr>
        <w:t>33/593-2005</w:t>
      </w:r>
      <w:r>
        <w:rPr/>
        <w:t>）中集约化畜禽养殖业恶臭污染物排放标准限值。具体标准限值如表 </w:t>
      </w:r>
      <w:r>
        <w:rPr>
          <w:rFonts w:ascii="Times New Roman" w:eastAsia="Times New Roman"/>
          <w:position w:val="1"/>
        </w:rPr>
        <w:t>2.3-8</w:t>
      </w:r>
      <w:r>
        <w:rPr/>
        <w:t>、表 </w:t>
      </w:r>
      <w:r>
        <w:rPr>
          <w:rFonts w:ascii="Times New Roman" w:eastAsia="Times New Roman"/>
          <w:position w:val="1"/>
        </w:rPr>
        <w:t>2.3-9 </w:t>
      </w:r>
      <w:r>
        <w:rPr/>
        <w:t>所示。</w:t>
      </w:r>
    </w:p>
    <w:p>
      <w:pPr>
        <w:pStyle w:val="Heading3"/>
        <w:spacing w:before="0"/>
        <w:ind w:left="217" w:right="236"/>
        <w:jc w:val="center"/>
      </w:pPr>
      <w:r>
        <w:rPr/>
        <w:t>表 </w:t>
      </w:r>
      <w:r>
        <w:rPr>
          <w:rFonts w:ascii="Times New Roman" w:eastAsia="Times New Roman"/>
        </w:rPr>
        <w:t>2.3-8  </w:t>
      </w:r>
      <w:r>
        <w:rPr/>
        <w:t>《恶臭污染物排放标准》（</w:t>
      </w:r>
      <w:r>
        <w:rPr>
          <w:rFonts w:ascii="Times New Roman" w:eastAsia="Times New Roman"/>
        </w:rPr>
        <w:t>GB 14554-93</w:t>
      </w:r>
      <w:r>
        <w:rPr/>
        <w:t>）</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11"/>
        <w:gridCol w:w="2820"/>
        <w:gridCol w:w="2765"/>
        <w:gridCol w:w="2433"/>
      </w:tblGrid>
      <w:tr>
        <w:trPr>
          <w:trHeight w:val="359" w:hRule="atLeast"/>
        </w:trPr>
        <w:tc>
          <w:tcPr>
            <w:tcW w:w="4231" w:type="dxa"/>
            <w:gridSpan w:val="2"/>
            <w:tcBorders>
              <w:bottom w:val="single" w:sz="6" w:space="0" w:color="000000"/>
              <w:right w:val="single" w:sz="6" w:space="0" w:color="000000"/>
            </w:tcBorders>
          </w:tcPr>
          <w:p>
            <w:pPr>
              <w:pStyle w:val="TableParagraph"/>
              <w:spacing w:before="43"/>
              <w:ind w:left="1060"/>
              <w:jc w:val="left"/>
              <w:rPr>
                <w:rFonts w:ascii="宋体" w:eastAsia="宋体" w:hint="eastAsia"/>
                <w:b/>
                <w:sz w:val="21"/>
              </w:rPr>
            </w:pPr>
            <w:r>
              <w:rPr>
                <w:rFonts w:ascii="宋体" w:eastAsia="宋体" w:hint="eastAsia"/>
                <w:b/>
                <w:sz w:val="21"/>
              </w:rPr>
              <w:t>恶臭污染物厂界标准值</w:t>
            </w:r>
          </w:p>
        </w:tc>
        <w:tc>
          <w:tcPr>
            <w:tcW w:w="5198" w:type="dxa"/>
            <w:gridSpan w:val="2"/>
            <w:tcBorders>
              <w:left w:val="single" w:sz="6" w:space="0" w:color="000000"/>
              <w:bottom w:val="single" w:sz="6" w:space="0" w:color="000000"/>
            </w:tcBorders>
          </w:tcPr>
          <w:p>
            <w:pPr>
              <w:pStyle w:val="TableParagraph"/>
              <w:spacing w:before="46"/>
              <w:ind w:left="1553"/>
              <w:jc w:val="left"/>
              <w:rPr>
                <w:rFonts w:ascii="宋体" w:eastAsia="宋体" w:hint="eastAsia"/>
                <w:b/>
                <w:sz w:val="21"/>
              </w:rPr>
            </w:pPr>
            <w:r>
              <w:rPr>
                <w:rFonts w:ascii="宋体" w:eastAsia="宋体" w:hint="eastAsia"/>
                <w:b/>
                <w:sz w:val="21"/>
              </w:rPr>
              <w:t>恶臭污染物排放标准值</w:t>
            </w:r>
          </w:p>
        </w:tc>
      </w:tr>
      <w:tr>
        <w:trPr>
          <w:trHeight w:val="360" w:hRule="atLeast"/>
        </w:trPr>
        <w:tc>
          <w:tcPr>
            <w:tcW w:w="1411" w:type="dxa"/>
            <w:tcBorders>
              <w:top w:val="single" w:sz="6" w:space="0" w:color="000000"/>
              <w:bottom w:val="single" w:sz="6" w:space="0" w:color="000000"/>
              <w:right w:val="single" w:sz="6" w:space="0" w:color="000000"/>
            </w:tcBorders>
          </w:tcPr>
          <w:p>
            <w:pPr>
              <w:pStyle w:val="TableParagraph"/>
              <w:spacing w:before="44"/>
              <w:ind w:left="282" w:right="261"/>
              <w:rPr>
                <w:rFonts w:ascii="宋体" w:eastAsia="宋体" w:hint="eastAsia"/>
                <w:b/>
                <w:sz w:val="21"/>
              </w:rPr>
            </w:pPr>
            <w:r>
              <w:rPr>
                <w:rFonts w:ascii="宋体" w:eastAsia="宋体" w:hint="eastAsia"/>
                <w:b/>
                <w:sz w:val="21"/>
              </w:rPr>
              <w:t>项目</w:t>
            </w:r>
          </w:p>
        </w:tc>
        <w:tc>
          <w:tcPr>
            <w:tcW w:w="2820" w:type="dxa"/>
            <w:tcBorders>
              <w:top w:val="single" w:sz="6" w:space="0" w:color="000000"/>
              <w:left w:val="single" w:sz="6" w:space="0" w:color="000000"/>
              <w:bottom w:val="single" w:sz="6" w:space="0" w:color="000000"/>
              <w:right w:val="single" w:sz="6" w:space="0" w:color="000000"/>
            </w:tcBorders>
          </w:tcPr>
          <w:p>
            <w:pPr>
              <w:pStyle w:val="TableParagraph"/>
              <w:spacing w:before="44"/>
              <w:ind w:left="638" w:right="600"/>
              <w:rPr>
                <w:b/>
                <w:sz w:val="21"/>
              </w:rPr>
            </w:pPr>
            <w:r>
              <w:rPr>
                <w:rFonts w:ascii="宋体" w:hAnsi="宋体" w:eastAsia="宋体" w:hint="eastAsia"/>
                <w:b/>
                <w:sz w:val="21"/>
              </w:rPr>
              <w:t>二级标准 </w:t>
            </w:r>
            <w:r>
              <w:rPr>
                <w:b/>
                <w:sz w:val="21"/>
              </w:rPr>
              <w:t>mg/m³</w:t>
            </w:r>
          </w:p>
        </w:tc>
        <w:tc>
          <w:tcPr>
            <w:tcW w:w="2765" w:type="dxa"/>
            <w:tcBorders>
              <w:top w:val="single" w:sz="6" w:space="0" w:color="000000"/>
              <w:left w:val="single" w:sz="6" w:space="0" w:color="000000"/>
              <w:bottom w:val="single" w:sz="6" w:space="0" w:color="000000"/>
              <w:right w:val="single" w:sz="6" w:space="0" w:color="000000"/>
            </w:tcBorders>
          </w:tcPr>
          <w:p>
            <w:pPr>
              <w:pStyle w:val="TableParagraph"/>
              <w:spacing w:before="44"/>
              <w:ind w:left="651" w:right="618"/>
              <w:rPr>
                <w:b/>
                <w:sz w:val="21"/>
              </w:rPr>
            </w:pPr>
            <w:r>
              <w:rPr>
                <w:rFonts w:ascii="宋体" w:eastAsia="宋体" w:hint="eastAsia"/>
                <w:b/>
                <w:sz w:val="21"/>
              </w:rPr>
              <w:t>排气筒高度，</w:t>
            </w:r>
            <w:r>
              <w:rPr>
                <w:b/>
                <w:sz w:val="21"/>
              </w:rPr>
              <w:t>m</w:t>
            </w:r>
          </w:p>
        </w:tc>
        <w:tc>
          <w:tcPr>
            <w:tcW w:w="2433" w:type="dxa"/>
            <w:tcBorders>
              <w:top w:val="single" w:sz="6" w:space="0" w:color="000000"/>
              <w:left w:val="single" w:sz="6" w:space="0" w:color="000000"/>
              <w:bottom w:val="single" w:sz="6" w:space="0" w:color="000000"/>
            </w:tcBorders>
          </w:tcPr>
          <w:p>
            <w:pPr>
              <w:pStyle w:val="TableParagraph"/>
              <w:spacing w:before="44"/>
              <w:ind w:left="503" w:right="464"/>
              <w:rPr>
                <w:b/>
                <w:sz w:val="21"/>
              </w:rPr>
            </w:pPr>
            <w:r>
              <w:rPr>
                <w:rFonts w:ascii="宋体" w:eastAsia="宋体" w:hint="eastAsia"/>
                <w:b/>
                <w:sz w:val="21"/>
              </w:rPr>
              <w:t>排放量，</w:t>
            </w:r>
            <w:r>
              <w:rPr>
                <w:b/>
                <w:sz w:val="21"/>
              </w:rPr>
              <w:t>kg/h</w:t>
            </w:r>
          </w:p>
        </w:tc>
      </w:tr>
      <w:tr>
        <w:trPr>
          <w:trHeight w:val="357" w:hRule="atLeast"/>
        </w:trPr>
        <w:tc>
          <w:tcPr>
            <w:tcW w:w="1411" w:type="dxa"/>
            <w:tcBorders>
              <w:top w:val="single" w:sz="6" w:space="0" w:color="000000"/>
              <w:bottom w:val="single" w:sz="6" w:space="0" w:color="000000"/>
              <w:right w:val="single" w:sz="6" w:space="0" w:color="000000"/>
            </w:tcBorders>
          </w:tcPr>
          <w:p>
            <w:pPr>
              <w:pStyle w:val="TableParagraph"/>
              <w:spacing w:before="44"/>
              <w:ind w:left="21"/>
              <w:rPr>
                <w:rFonts w:ascii="宋体" w:eastAsia="宋体" w:hint="eastAsia"/>
                <w:sz w:val="21"/>
              </w:rPr>
            </w:pPr>
            <w:r>
              <w:rPr>
                <w:rFonts w:ascii="宋体" w:eastAsia="宋体" w:hint="eastAsia"/>
                <w:w w:val="100"/>
                <w:sz w:val="21"/>
              </w:rPr>
              <w:t>氨</w:t>
            </w:r>
          </w:p>
        </w:tc>
        <w:tc>
          <w:tcPr>
            <w:tcW w:w="2820" w:type="dxa"/>
            <w:tcBorders>
              <w:top w:val="single" w:sz="6" w:space="0" w:color="000000"/>
              <w:left w:val="single" w:sz="6" w:space="0" w:color="000000"/>
              <w:bottom w:val="single" w:sz="6" w:space="0" w:color="000000"/>
              <w:right w:val="single" w:sz="6" w:space="0" w:color="000000"/>
            </w:tcBorders>
          </w:tcPr>
          <w:p>
            <w:pPr>
              <w:pStyle w:val="TableParagraph"/>
              <w:ind w:left="632" w:right="600"/>
              <w:rPr>
                <w:sz w:val="21"/>
              </w:rPr>
            </w:pPr>
            <w:r>
              <w:rPr>
                <w:sz w:val="21"/>
              </w:rPr>
              <w:t>1.5</w:t>
            </w:r>
          </w:p>
        </w:tc>
        <w:tc>
          <w:tcPr>
            <w:tcW w:w="2765" w:type="dxa"/>
            <w:tcBorders>
              <w:top w:val="single" w:sz="6" w:space="0" w:color="000000"/>
              <w:left w:val="single" w:sz="6" w:space="0" w:color="000000"/>
              <w:bottom w:val="single" w:sz="6" w:space="0" w:color="000000"/>
              <w:right w:val="single" w:sz="6" w:space="0" w:color="000000"/>
            </w:tcBorders>
          </w:tcPr>
          <w:p>
            <w:pPr>
              <w:pStyle w:val="TableParagraph"/>
              <w:ind w:left="648" w:right="618"/>
              <w:rPr>
                <w:sz w:val="21"/>
              </w:rPr>
            </w:pPr>
            <w:r>
              <w:rPr>
                <w:sz w:val="21"/>
              </w:rPr>
              <w:t>15</w:t>
            </w:r>
          </w:p>
        </w:tc>
        <w:tc>
          <w:tcPr>
            <w:tcW w:w="2433" w:type="dxa"/>
            <w:tcBorders>
              <w:top w:val="single" w:sz="6" w:space="0" w:color="000000"/>
              <w:left w:val="single" w:sz="6" w:space="0" w:color="000000"/>
              <w:bottom w:val="single" w:sz="6" w:space="0" w:color="000000"/>
            </w:tcBorders>
          </w:tcPr>
          <w:p>
            <w:pPr>
              <w:pStyle w:val="TableParagraph"/>
              <w:ind w:left="503" w:right="464"/>
              <w:rPr>
                <w:sz w:val="21"/>
              </w:rPr>
            </w:pPr>
            <w:r>
              <w:rPr>
                <w:sz w:val="21"/>
              </w:rPr>
              <w:t>4.9</w:t>
            </w:r>
          </w:p>
        </w:tc>
      </w:tr>
      <w:tr>
        <w:trPr>
          <w:trHeight w:val="359" w:hRule="atLeast"/>
        </w:trPr>
        <w:tc>
          <w:tcPr>
            <w:tcW w:w="1411" w:type="dxa"/>
            <w:tcBorders>
              <w:top w:val="single" w:sz="6" w:space="0" w:color="000000"/>
              <w:bottom w:val="single" w:sz="6" w:space="0" w:color="000000"/>
              <w:right w:val="single" w:sz="6" w:space="0" w:color="000000"/>
            </w:tcBorders>
          </w:tcPr>
          <w:p>
            <w:pPr>
              <w:pStyle w:val="TableParagraph"/>
              <w:spacing w:before="46"/>
              <w:ind w:left="282" w:right="261"/>
              <w:rPr>
                <w:rFonts w:ascii="宋体" w:eastAsia="宋体" w:hint="eastAsia"/>
                <w:sz w:val="21"/>
              </w:rPr>
            </w:pPr>
            <w:r>
              <w:rPr>
                <w:rFonts w:ascii="宋体" w:eastAsia="宋体" w:hint="eastAsia"/>
                <w:sz w:val="21"/>
              </w:rPr>
              <w:t>硫化氢</w:t>
            </w:r>
          </w:p>
        </w:tc>
        <w:tc>
          <w:tcPr>
            <w:tcW w:w="2820" w:type="dxa"/>
            <w:tcBorders>
              <w:top w:val="single" w:sz="6" w:space="0" w:color="000000"/>
              <w:left w:val="single" w:sz="6" w:space="0" w:color="000000"/>
              <w:bottom w:val="single" w:sz="6" w:space="0" w:color="000000"/>
              <w:right w:val="single" w:sz="6" w:space="0" w:color="000000"/>
            </w:tcBorders>
          </w:tcPr>
          <w:p>
            <w:pPr>
              <w:pStyle w:val="TableParagraph"/>
              <w:spacing w:before="60"/>
              <w:ind w:left="632" w:right="600"/>
              <w:rPr>
                <w:sz w:val="21"/>
              </w:rPr>
            </w:pPr>
            <w:r>
              <w:rPr>
                <w:sz w:val="21"/>
              </w:rPr>
              <w:t>0.06</w:t>
            </w:r>
          </w:p>
        </w:tc>
        <w:tc>
          <w:tcPr>
            <w:tcW w:w="2765" w:type="dxa"/>
            <w:tcBorders>
              <w:top w:val="single" w:sz="6" w:space="0" w:color="000000"/>
              <w:left w:val="single" w:sz="6" w:space="0" w:color="000000"/>
              <w:bottom w:val="single" w:sz="6" w:space="0" w:color="000000"/>
              <w:right w:val="single" w:sz="6" w:space="0" w:color="000000"/>
            </w:tcBorders>
          </w:tcPr>
          <w:p>
            <w:pPr>
              <w:pStyle w:val="TableParagraph"/>
              <w:spacing w:before="60"/>
              <w:ind w:left="648" w:right="618"/>
              <w:rPr>
                <w:sz w:val="21"/>
              </w:rPr>
            </w:pPr>
            <w:r>
              <w:rPr>
                <w:sz w:val="21"/>
              </w:rPr>
              <w:t>15</w:t>
            </w:r>
          </w:p>
        </w:tc>
        <w:tc>
          <w:tcPr>
            <w:tcW w:w="2433" w:type="dxa"/>
            <w:tcBorders>
              <w:top w:val="single" w:sz="6" w:space="0" w:color="000000"/>
              <w:left w:val="single" w:sz="6" w:space="0" w:color="000000"/>
              <w:bottom w:val="single" w:sz="6" w:space="0" w:color="000000"/>
            </w:tcBorders>
          </w:tcPr>
          <w:p>
            <w:pPr>
              <w:pStyle w:val="TableParagraph"/>
              <w:spacing w:before="60"/>
              <w:ind w:left="503" w:right="464"/>
              <w:rPr>
                <w:sz w:val="21"/>
              </w:rPr>
            </w:pPr>
            <w:r>
              <w:rPr>
                <w:sz w:val="21"/>
              </w:rPr>
              <w:t>0.33</w:t>
            </w:r>
          </w:p>
        </w:tc>
      </w:tr>
      <w:tr>
        <w:trPr>
          <w:trHeight w:val="359" w:hRule="atLeast"/>
        </w:trPr>
        <w:tc>
          <w:tcPr>
            <w:tcW w:w="1411" w:type="dxa"/>
            <w:tcBorders>
              <w:top w:val="single" w:sz="6" w:space="0" w:color="000000"/>
              <w:right w:val="single" w:sz="6" w:space="0" w:color="000000"/>
            </w:tcBorders>
          </w:tcPr>
          <w:p>
            <w:pPr>
              <w:pStyle w:val="TableParagraph"/>
              <w:spacing w:before="51"/>
              <w:ind w:left="282" w:right="266"/>
              <w:rPr>
                <w:rFonts w:ascii="宋体" w:eastAsia="宋体" w:hint="eastAsia"/>
                <w:sz w:val="20"/>
              </w:rPr>
            </w:pPr>
            <w:r>
              <w:rPr>
                <w:rFonts w:ascii="宋体" w:eastAsia="宋体" w:hint="eastAsia"/>
                <w:sz w:val="20"/>
              </w:rPr>
              <w:t>臭气浓度</w:t>
            </w:r>
          </w:p>
        </w:tc>
        <w:tc>
          <w:tcPr>
            <w:tcW w:w="2820" w:type="dxa"/>
            <w:tcBorders>
              <w:top w:val="single" w:sz="6" w:space="0" w:color="000000"/>
              <w:left w:val="single" w:sz="6" w:space="0" w:color="000000"/>
              <w:right w:val="single" w:sz="6" w:space="0" w:color="000000"/>
            </w:tcBorders>
          </w:tcPr>
          <w:p>
            <w:pPr>
              <w:pStyle w:val="TableParagraph"/>
              <w:spacing w:before="51"/>
              <w:ind w:left="625" w:right="600"/>
              <w:rPr>
                <w:rFonts w:ascii="宋体" w:eastAsia="宋体" w:hint="eastAsia"/>
                <w:sz w:val="20"/>
              </w:rPr>
            </w:pPr>
            <w:r>
              <w:rPr>
                <w:sz w:val="20"/>
              </w:rPr>
              <w:t>20</w:t>
            </w:r>
            <w:r>
              <w:rPr>
                <w:rFonts w:ascii="宋体" w:eastAsia="宋体" w:hint="eastAsia"/>
                <w:sz w:val="20"/>
              </w:rPr>
              <w:t>（无量纲）</w:t>
            </w:r>
          </w:p>
        </w:tc>
        <w:tc>
          <w:tcPr>
            <w:tcW w:w="2765" w:type="dxa"/>
            <w:tcBorders>
              <w:top w:val="single" w:sz="6" w:space="0" w:color="000000"/>
              <w:left w:val="single" w:sz="6" w:space="0" w:color="000000"/>
              <w:right w:val="single" w:sz="6" w:space="0" w:color="000000"/>
            </w:tcBorders>
          </w:tcPr>
          <w:p>
            <w:pPr>
              <w:pStyle w:val="TableParagraph"/>
              <w:spacing w:before="65"/>
              <w:ind w:left="648" w:right="618"/>
              <w:rPr>
                <w:sz w:val="20"/>
              </w:rPr>
            </w:pPr>
            <w:r>
              <w:rPr>
                <w:sz w:val="20"/>
              </w:rPr>
              <w:t>15</w:t>
            </w:r>
          </w:p>
        </w:tc>
        <w:tc>
          <w:tcPr>
            <w:tcW w:w="2433" w:type="dxa"/>
            <w:tcBorders>
              <w:top w:val="single" w:sz="6" w:space="0" w:color="000000"/>
              <w:left w:val="single" w:sz="6" w:space="0" w:color="000000"/>
            </w:tcBorders>
          </w:tcPr>
          <w:p>
            <w:pPr>
              <w:pStyle w:val="TableParagraph"/>
              <w:spacing w:before="51"/>
              <w:ind w:left="503" w:right="466"/>
              <w:rPr>
                <w:rFonts w:ascii="宋体" w:eastAsia="宋体" w:hint="eastAsia"/>
                <w:sz w:val="20"/>
              </w:rPr>
            </w:pPr>
            <w:r>
              <w:rPr>
                <w:sz w:val="20"/>
              </w:rPr>
              <w:t>2000</w:t>
            </w:r>
            <w:r>
              <w:rPr>
                <w:rFonts w:ascii="宋体" w:eastAsia="宋体" w:hint="eastAsia"/>
                <w:sz w:val="20"/>
              </w:rPr>
              <w:t>（无量纲）</w:t>
            </w:r>
          </w:p>
        </w:tc>
      </w:tr>
    </w:tbl>
    <w:p>
      <w:pPr>
        <w:spacing w:before="82"/>
        <w:ind w:left="219" w:right="236" w:firstLine="0"/>
        <w:jc w:val="center"/>
        <w:rPr>
          <w:b/>
          <w:sz w:val="24"/>
        </w:rPr>
      </w:pPr>
      <w:r>
        <w:rPr>
          <w:b/>
          <w:sz w:val="24"/>
        </w:rPr>
        <w:t>表 </w:t>
      </w:r>
      <w:r>
        <w:rPr>
          <w:rFonts w:ascii="Times New Roman" w:eastAsia="Times New Roman"/>
          <w:b/>
          <w:sz w:val="24"/>
        </w:rPr>
        <w:t>2.3-9  </w:t>
      </w:r>
      <w:r>
        <w:rPr>
          <w:b/>
          <w:sz w:val="24"/>
        </w:rPr>
        <w:t>集约化畜禽养殖业恶臭污染物排放标准（</w:t>
      </w:r>
      <w:r>
        <w:rPr>
          <w:rFonts w:ascii="Times New Roman" w:eastAsia="Times New Roman"/>
          <w:b/>
          <w:sz w:val="24"/>
        </w:rPr>
        <w:t>DB 33/593-2005</w:t>
      </w:r>
      <w:r>
        <w:rPr>
          <w:b/>
          <w:sz w:val="24"/>
        </w:rPr>
        <w:t>）</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64"/>
        <w:gridCol w:w="5067"/>
      </w:tblGrid>
      <w:tr>
        <w:trPr>
          <w:trHeight w:val="359" w:hRule="atLeast"/>
        </w:trPr>
        <w:tc>
          <w:tcPr>
            <w:tcW w:w="4364" w:type="dxa"/>
            <w:tcBorders>
              <w:bottom w:val="single" w:sz="6" w:space="0" w:color="000000"/>
              <w:right w:val="single" w:sz="6" w:space="0" w:color="000000"/>
            </w:tcBorders>
          </w:tcPr>
          <w:p>
            <w:pPr>
              <w:pStyle w:val="TableParagraph"/>
              <w:spacing w:before="46"/>
              <w:ind w:left="1633" w:right="1613"/>
              <w:rPr>
                <w:rFonts w:ascii="宋体" w:eastAsia="宋体" w:hint="eastAsia"/>
                <w:b/>
                <w:sz w:val="21"/>
              </w:rPr>
            </w:pPr>
            <w:r>
              <w:rPr>
                <w:rFonts w:ascii="宋体" w:eastAsia="宋体" w:hint="eastAsia"/>
                <w:b/>
                <w:sz w:val="21"/>
              </w:rPr>
              <w:t>污染物名称</w:t>
            </w:r>
          </w:p>
        </w:tc>
        <w:tc>
          <w:tcPr>
            <w:tcW w:w="5067" w:type="dxa"/>
            <w:tcBorders>
              <w:left w:val="single" w:sz="6" w:space="0" w:color="000000"/>
              <w:bottom w:val="single" w:sz="6" w:space="0" w:color="000000"/>
            </w:tcBorders>
          </w:tcPr>
          <w:p>
            <w:pPr>
              <w:pStyle w:val="TableParagraph"/>
              <w:spacing w:before="46"/>
              <w:ind w:left="1888" w:right="1854"/>
              <w:rPr>
                <w:rFonts w:ascii="宋体" w:eastAsia="宋体" w:hint="eastAsia"/>
                <w:b/>
                <w:sz w:val="21"/>
              </w:rPr>
            </w:pPr>
            <w:r>
              <w:rPr>
                <w:rFonts w:ascii="宋体" w:eastAsia="宋体" w:hint="eastAsia"/>
                <w:b/>
                <w:sz w:val="21"/>
              </w:rPr>
              <w:t>标准值</w:t>
            </w:r>
          </w:p>
        </w:tc>
      </w:tr>
      <w:tr>
        <w:trPr>
          <w:trHeight w:val="359" w:hRule="atLeast"/>
        </w:trPr>
        <w:tc>
          <w:tcPr>
            <w:tcW w:w="4364" w:type="dxa"/>
            <w:tcBorders>
              <w:top w:val="single" w:sz="6" w:space="0" w:color="000000"/>
              <w:right w:val="single" w:sz="6" w:space="0" w:color="000000"/>
            </w:tcBorders>
          </w:tcPr>
          <w:p>
            <w:pPr>
              <w:pStyle w:val="TableParagraph"/>
              <w:spacing w:before="46"/>
              <w:ind w:left="1633" w:right="1611"/>
              <w:rPr>
                <w:rFonts w:ascii="宋体" w:eastAsia="宋体" w:hint="eastAsia"/>
                <w:sz w:val="21"/>
              </w:rPr>
            </w:pPr>
            <w:r>
              <w:rPr>
                <w:rFonts w:ascii="宋体" w:eastAsia="宋体" w:hint="eastAsia"/>
                <w:sz w:val="21"/>
              </w:rPr>
              <w:t>臭气浓度</w:t>
            </w:r>
          </w:p>
        </w:tc>
        <w:tc>
          <w:tcPr>
            <w:tcW w:w="5067" w:type="dxa"/>
            <w:tcBorders>
              <w:top w:val="single" w:sz="6" w:space="0" w:color="000000"/>
              <w:left w:val="single" w:sz="6" w:space="0" w:color="000000"/>
            </w:tcBorders>
          </w:tcPr>
          <w:p>
            <w:pPr>
              <w:pStyle w:val="TableParagraph"/>
              <w:spacing w:before="46"/>
              <w:ind w:left="1888" w:right="1855"/>
              <w:rPr>
                <w:rFonts w:ascii="宋体" w:eastAsia="宋体" w:hint="eastAsia"/>
                <w:sz w:val="21"/>
              </w:rPr>
            </w:pPr>
            <w:r>
              <w:rPr>
                <w:sz w:val="21"/>
              </w:rPr>
              <w:t>60</w:t>
            </w:r>
            <w:r>
              <w:rPr>
                <w:rFonts w:ascii="宋体" w:eastAsia="宋体" w:hint="eastAsia"/>
                <w:sz w:val="21"/>
              </w:rPr>
              <w:t>（无量纲）</w:t>
            </w:r>
          </w:p>
        </w:tc>
      </w:tr>
    </w:tbl>
    <w:p>
      <w:pPr>
        <w:pStyle w:val="ListParagraph"/>
        <w:numPr>
          <w:ilvl w:val="0"/>
          <w:numId w:val="15"/>
        </w:numPr>
        <w:tabs>
          <w:tab w:pos="1323" w:val="left" w:leader="none"/>
        </w:tabs>
        <w:spacing w:line="240" w:lineRule="auto" w:before="84" w:after="0"/>
        <w:ind w:left="1323" w:right="0" w:hanging="604"/>
        <w:jc w:val="left"/>
        <w:rPr>
          <w:b/>
          <w:sz w:val="24"/>
        </w:rPr>
      </w:pPr>
      <w:r>
        <w:rPr>
          <w:b/>
          <w:sz w:val="24"/>
        </w:rPr>
        <w:t>锅炉废气</w:t>
      </w:r>
    </w:p>
    <w:p>
      <w:pPr>
        <w:pStyle w:val="BodyText"/>
        <w:spacing w:line="364" w:lineRule="auto" w:before="161"/>
        <w:ind w:right="131" w:firstLine="480"/>
      </w:pPr>
      <w:r>
        <w:rPr>
          <w:spacing w:val="-2"/>
        </w:rPr>
        <w:t>本项目废水站厌氧罐产生的沼气经脱水脱硫预处理后供热水锅炉</w:t>
      </w:r>
      <w:r>
        <w:rPr/>
        <w:t>（</w:t>
      </w:r>
      <w:r>
        <w:rPr>
          <w:rFonts w:ascii="Times New Roman" w:eastAsia="Times New Roman"/>
          <w:position w:val="1"/>
        </w:rPr>
        <w:t>0.7MW</w:t>
      </w:r>
      <w:r>
        <w:rPr>
          <w:spacing w:val="-36"/>
        </w:rPr>
        <w:t>、</w:t>
      </w:r>
      <w:r>
        <w:rPr>
          <w:rFonts w:ascii="Times New Roman" w:eastAsia="Times New Roman"/>
          <w:position w:val="1"/>
        </w:rPr>
        <w:t>1</w:t>
      </w:r>
      <w:r>
        <w:rPr>
          <w:rFonts w:ascii="Times New Roman" w:eastAsia="Times New Roman"/>
          <w:spacing w:val="-1"/>
          <w:position w:val="1"/>
        </w:rPr>
        <w:t> </w:t>
      </w:r>
      <w:r>
        <w:rPr/>
        <w:t>台</w:t>
      </w:r>
      <w:r>
        <w:rPr>
          <w:spacing w:val="-36"/>
        </w:rPr>
        <w:t>）</w:t>
      </w:r>
      <w:r>
        <w:rPr/>
        <w:t>及</w:t>
      </w:r>
      <w:r>
        <w:rPr>
          <w:spacing w:val="-15"/>
        </w:rPr>
        <w:t>食堂进行综合利用。其中锅炉废气排放执行《锅炉大气污染物排放标准</w:t>
      </w:r>
      <w:r>
        <w:rPr>
          <w:spacing w:val="-192"/>
        </w:rPr>
        <w:t>》</w:t>
      </w:r>
      <w:r>
        <w:rPr/>
        <w:t>（</w:t>
      </w:r>
      <w:r>
        <w:rPr>
          <w:rFonts w:ascii="Times New Roman" w:eastAsia="Times New Roman"/>
          <w:position w:val="1"/>
        </w:rPr>
        <w:t>GB</w:t>
      </w:r>
      <w:r>
        <w:rPr>
          <w:rFonts w:ascii="Times New Roman" w:eastAsia="Times New Roman"/>
          <w:spacing w:val="15"/>
          <w:position w:val="1"/>
        </w:rPr>
        <w:t> </w:t>
      </w:r>
      <w:r>
        <w:rPr>
          <w:rFonts w:ascii="Times New Roman" w:eastAsia="Times New Roman"/>
          <w:spacing w:val="-3"/>
          <w:position w:val="1"/>
        </w:rPr>
        <w:t>13271-2014</w:t>
      </w:r>
      <w:r>
        <w:rPr>
          <w:spacing w:val="-3"/>
        </w:rPr>
        <w:t>） </w:t>
      </w:r>
      <w:r>
        <w:rPr>
          <w:spacing w:val="-21"/>
        </w:rPr>
        <w:t>中表 </w:t>
      </w:r>
      <w:r>
        <w:rPr>
          <w:rFonts w:ascii="Times New Roman" w:eastAsia="Times New Roman"/>
          <w:position w:val="1"/>
        </w:rPr>
        <w:t>3 </w:t>
      </w:r>
      <w:r>
        <w:rPr>
          <w:spacing w:val="-5"/>
        </w:rPr>
        <w:t>燃气锅炉规定限值。具体见表 </w:t>
      </w:r>
      <w:r>
        <w:rPr>
          <w:rFonts w:ascii="Times New Roman" w:eastAsia="Times New Roman"/>
          <w:position w:val="1"/>
        </w:rPr>
        <w:t>2.3-10</w:t>
      </w:r>
      <w:r>
        <w:rPr/>
        <w:t>。</w:t>
      </w:r>
    </w:p>
    <w:p>
      <w:pPr>
        <w:pStyle w:val="Heading3"/>
        <w:spacing w:before="2"/>
        <w:ind w:left="701" w:right="236"/>
        <w:jc w:val="center"/>
        <w:rPr>
          <w:rFonts w:ascii="Times New Roman" w:hAnsi="Times New Roman" w:eastAsia="Times New Roman"/>
        </w:rPr>
      </w:pPr>
      <w:r>
        <w:rPr>
          <w:spacing w:val="-30"/>
        </w:rPr>
        <w:t>表 </w:t>
      </w:r>
      <w:r>
        <w:rPr>
          <w:rFonts w:ascii="Times New Roman" w:hAnsi="Times New Roman" w:eastAsia="Times New Roman"/>
        </w:rPr>
        <w:t>2.3-10</w:t>
      </w:r>
      <w:r>
        <w:rPr>
          <w:rFonts w:ascii="Times New Roman" w:hAnsi="Times New Roman" w:eastAsia="Times New Roman"/>
          <w:spacing w:val="59"/>
        </w:rPr>
        <w:t> </w:t>
      </w:r>
      <w:r>
        <w:rPr/>
        <w:t>《锅炉大气污染物排放标准》（</w:t>
      </w:r>
      <w:r>
        <w:rPr>
          <w:rFonts w:ascii="Times New Roman" w:hAnsi="Times New Roman" w:eastAsia="Times New Roman"/>
        </w:rPr>
        <w:t>GB 13271-2014</w:t>
      </w:r>
      <w:r>
        <w:rPr/>
        <w:t>） 单位：</w:t>
      </w:r>
      <w:r>
        <w:rPr>
          <w:rFonts w:ascii="Times New Roman" w:hAnsi="Times New Roman" w:eastAsia="Times New Roman"/>
        </w:rPr>
        <w:t>mg/m³</w:t>
      </w:r>
    </w:p>
    <w:p>
      <w:pPr>
        <w:pStyle w:val="BodyText"/>
        <w:spacing w:before="9"/>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20"/>
        <w:gridCol w:w="757"/>
        <w:gridCol w:w="677"/>
        <w:gridCol w:w="759"/>
        <w:gridCol w:w="1731"/>
        <w:gridCol w:w="2216"/>
        <w:gridCol w:w="1973"/>
      </w:tblGrid>
      <w:tr>
        <w:trPr>
          <w:trHeight w:val="359" w:hRule="atLeast"/>
        </w:trPr>
        <w:tc>
          <w:tcPr>
            <w:tcW w:w="1320" w:type="dxa"/>
            <w:tcBorders>
              <w:bottom w:val="single" w:sz="4" w:space="0" w:color="000000"/>
              <w:right w:val="single" w:sz="4" w:space="0" w:color="000000"/>
            </w:tcBorders>
          </w:tcPr>
          <w:p>
            <w:pPr>
              <w:pStyle w:val="TableParagraph"/>
              <w:spacing w:before="43"/>
              <w:ind w:left="111" w:right="78"/>
              <w:rPr>
                <w:rFonts w:ascii="宋体" w:eastAsia="宋体" w:hint="eastAsia"/>
                <w:b/>
                <w:sz w:val="21"/>
              </w:rPr>
            </w:pPr>
            <w:r>
              <w:rPr>
                <w:rFonts w:ascii="宋体" w:eastAsia="宋体" w:hint="eastAsia"/>
                <w:b/>
                <w:sz w:val="21"/>
              </w:rPr>
              <w:t>锅炉类型</w:t>
            </w:r>
          </w:p>
        </w:tc>
        <w:tc>
          <w:tcPr>
            <w:tcW w:w="757" w:type="dxa"/>
            <w:tcBorders>
              <w:left w:val="single" w:sz="4" w:space="0" w:color="000000"/>
              <w:bottom w:val="single" w:sz="4" w:space="0" w:color="000000"/>
              <w:right w:val="single" w:sz="4" w:space="0" w:color="000000"/>
            </w:tcBorders>
          </w:tcPr>
          <w:p>
            <w:pPr>
              <w:pStyle w:val="TableParagraph"/>
              <w:spacing w:before="43"/>
              <w:ind w:left="152" w:right="132"/>
              <w:rPr>
                <w:rFonts w:ascii="宋体" w:eastAsia="宋体" w:hint="eastAsia"/>
                <w:b/>
                <w:sz w:val="21"/>
              </w:rPr>
            </w:pPr>
            <w:r>
              <w:rPr>
                <w:rFonts w:ascii="宋体" w:eastAsia="宋体" w:hint="eastAsia"/>
                <w:b/>
                <w:sz w:val="21"/>
              </w:rPr>
              <w:t>烟尘</w:t>
            </w:r>
          </w:p>
        </w:tc>
        <w:tc>
          <w:tcPr>
            <w:tcW w:w="677" w:type="dxa"/>
            <w:tcBorders>
              <w:left w:val="single" w:sz="4" w:space="0" w:color="000000"/>
              <w:bottom w:val="single" w:sz="4" w:space="0" w:color="000000"/>
              <w:right w:val="single" w:sz="4" w:space="0" w:color="000000"/>
            </w:tcBorders>
          </w:tcPr>
          <w:p>
            <w:pPr>
              <w:pStyle w:val="TableParagraph"/>
              <w:spacing w:before="57"/>
              <w:ind w:left="181"/>
              <w:jc w:val="left"/>
              <w:rPr>
                <w:b/>
                <w:sz w:val="14"/>
              </w:rPr>
            </w:pPr>
            <w:r>
              <w:rPr>
                <w:b/>
                <w:position w:val="2"/>
                <w:sz w:val="21"/>
              </w:rPr>
              <w:t>SO</w:t>
            </w:r>
            <w:r>
              <w:rPr>
                <w:b/>
                <w:sz w:val="14"/>
              </w:rPr>
              <w:t>2</w:t>
            </w:r>
          </w:p>
        </w:tc>
        <w:tc>
          <w:tcPr>
            <w:tcW w:w="759" w:type="dxa"/>
            <w:tcBorders>
              <w:left w:val="single" w:sz="4" w:space="0" w:color="000000"/>
              <w:bottom w:val="single" w:sz="4" w:space="0" w:color="000000"/>
              <w:right w:val="single" w:sz="4" w:space="0" w:color="000000"/>
            </w:tcBorders>
          </w:tcPr>
          <w:p>
            <w:pPr>
              <w:pStyle w:val="TableParagraph"/>
              <w:spacing w:before="57"/>
              <w:ind w:left="191"/>
              <w:jc w:val="left"/>
              <w:rPr>
                <w:b/>
                <w:sz w:val="14"/>
              </w:rPr>
            </w:pPr>
            <w:r>
              <w:rPr>
                <w:b/>
                <w:position w:val="2"/>
                <w:sz w:val="21"/>
              </w:rPr>
              <w:t>NO</w:t>
            </w:r>
            <w:r>
              <w:rPr>
                <w:b/>
                <w:sz w:val="14"/>
              </w:rPr>
              <w:t>X</w:t>
            </w:r>
          </w:p>
        </w:tc>
        <w:tc>
          <w:tcPr>
            <w:tcW w:w="1731" w:type="dxa"/>
            <w:tcBorders>
              <w:left w:val="single" w:sz="4" w:space="0" w:color="000000"/>
              <w:bottom w:val="single" w:sz="4" w:space="0" w:color="000000"/>
              <w:right w:val="single" w:sz="4" w:space="0" w:color="000000"/>
            </w:tcBorders>
          </w:tcPr>
          <w:p>
            <w:pPr>
              <w:pStyle w:val="TableParagraph"/>
              <w:spacing w:before="43"/>
              <w:ind w:left="226" w:right="189"/>
              <w:rPr>
                <w:rFonts w:ascii="宋体" w:eastAsia="宋体" w:hint="eastAsia"/>
                <w:b/>
                <w:sz w:val="21"/>
              </w:rPr>
            </w:pPr>
            <w:r>
              <w:rPr>
                <w:rFonts w:ascii="宋体" w:eastAsia="宋体" w:hint="eastAsia"/>
                <w:b/>
                <w:sz w:val="21"/>
              </w:rPr>
              <w:t>汞及其化合物</w:t>
            </w:r>
          </w:p>
        </w:tc>
        <w:tc>
          <w:tcPr>
            <w:tcW w:w="2216" w:type="dxa"/>
            <w:tcBorders>
              <w:left w:val="single" w:sz="4" w:space="0" w:color="000000"/>
              <w:bottom w:val="single" w:sz="4" w:space="0" w:color="000000"/>
              <w:right w:val="single" w:sz="4" w:space="0" w:color="000000"/>
            </w:tcBorders>
          </w:tcPr>
          <w:p>
            <w:pPr>
              <w:pStyle w:val="TableParagraph"/>
              <w:spacing w:before="43"/>
              <w:ind w:left="257" w:right="221"/>
              <w:rPr>
                <w:rFonts w:ascii="宋体" w:eastAsia="宋体" w:hint="eastAsia"/>
                <w:b/>
                <w:sz w:val="21"/>
              </w:rPr>
            </w:pPr>
            <w:r>
              <w:rPr>
                <w:rFonts w:ascii="宋体" w:eastAsia="宋体" w:hint="eastAsia"/>
                <w:b/>
                <w:sz w:val="21"/>
              </w:rPr>
              <w:t>林格曼黑度（级）</w:t>
            </w:r>
          </w:p>
        </w:tc>
        <w:tc>
          <w:tcPr>
            <w:tcW w:w="1973" w:type="dxa"/>
            <w:tcBorders>
              <w:left w:val="single" w:sz="4" w:space="0" w:color="000000"/>
              <w:bottom w:val="single" w:sz="4" w:space="0" w:color="000000"/>
            </w:tcBorders>
          </w:tcPr>
          <w:p>
            <w:pPr>
              <w:pStyle w:val="TableParagraph"/>
              <w:spacing w:before="43"/>
              <w:ind w:left="244" w:right="193"/>
              <w:rPr>
                <w:rFonts w:ascii="宋体" w:eastAsia="宋体" w:hint="eastAsia"/>
                <w:b/>
                <w:sz w:val="21"/>
              </w:rPr>
            </w:pPr>
            <w:r>
              <w:rPr>
                <w:rFonts w:ascii="宋体" w:eastAsia="宋体" w:hint="eastAsia"/>
                <w:b/>
                <w:sz w:val="21"/>
              </w:rPr>
              <w:t>烟囱高度（米）</w:t>
            </w:r>
          </w:p>
        </w:tc>
      </w:tr>
      <w:tr>
        <w:trPr>
          <w:trHeight w:val="356" w:hRule="atLeast"/>
        </w:trPr>
        <w:tc>
          <w:tcPr>
            <w:tcW w:w="1320" w:type="dxa"/>
            <w:tcBorders>
              <w:top w:val="single" w:sz="4" w:space="0" w:color="000000"/>
              <w:right w:val="single" w:sz="4" w:space="0" w:color="000000"/>
            </w:tcBorders>
          </w:tcPr>
          <w:p>
            <w:pPr>
              <w:pStyle w:val="TableParagraph"/>
              <w:spacing w:before="44"/>
              <w:ind w:left="111" w:right="90"/>
              <w:rPr>
                <w:rFonts w:ascii="宋体" w:eastAsia="宋体" w:hint="eastAsia"/>
                <w:sz w:val="21"/>
              </w:rPr>
            </w:pPr>
            <w:r>
              <w:rPr>
                <w:rFonts w:ascii="宋体" w:eastAsia="宋体" w:hint="eastAsia"/>
                <w:sz w:val="21"/>
              </w:rPr>
              <w:t>燃气锅炉</w:t>
            </w:r>
          </w:p>
        </w:tc>
        <w:tc>
          <w:tcPr>
            <w:tcW w:w="757" w:type="dxa"/>
            <w:tcBorders>
              <w:top w:val="single" w:sz="4" w:space="0" w:color="000000"/>
              <w:left w:val="single" w:sz="4" w:space="0" w:color="000000"/>
              <w:right w:val="single" w:sz="4" w:space="0" w:color="000000"/>
            </w:tcBorders>
          </w:tcPr>
          <w:p>
            <w:pPr>
              <w:pStyle w:val="TableParagraph"/>
              <w:ind w:left="152" w:right="132"/>
              <w:rPr>
                <w:sz w:val="21"/>
              </w:rPr>
            </w:pPr>
            <w:r>
              <w:rPr>
                <w:sz w:val="21"/>
              </w:rPr>
              <w:t>20</w:t>
            </w:r>
          </w:p>
        </w:tc>
        <w:tc>
          <w:tcPr>
            <w:tcW w:w="677" w:type="dxa"/>
            <w:tcBorders>
              <w:top w:val="single" w:sz="4" w:space="0" w:color="000000"/>
              <w:left w:val="single" w:sz="4" w:space="0" w:color="000000"/>
              <w:right w:val="single" w:sz="4" w:space="0" w:color="000000"/>
            </w:tcBorders>
          </w:tcPr>
          <w:p>
            <w:pPr>
              <w:pStyle w:val="TableParagraph"/>
              <w:ind w:left="239"/>
              <w:jc w:val="left"/>
              <w:rPr>
                <w:sz w:val="21"/>
              </w:rPr>
            </w:pPr>
            <w:r>
              <w:rPr>
                <w:sz w:val="21"/>
              </w:rPr>
              <w:t>50</w:t>
            </w:r>
          </w:p>
        </w:tc>
        <w:tc>
          <w:tcPr>
            <w:tcW w:w="759" w:type="dxa"/>
            <w:tcBorders>
              <w:top w:val="single" w:sz="4" w:space="0" w:color="000000"/>
              <w:left w:val="single" w:sz="4" w:space="0" w:color="000000"/>
              <w:right w:val="single" w:sz="4" w:space="0" w:color="000000"/>
            </w:tcBorders>
          </w:tcPr>
          <w:p>
            <w:pPr>
              <w:pStyle w:val="TableParagraph"/>
              <w:ind w:left="229"/>
              <w:jc w:val="left"/>
              <w:rPr>
                <w:sz w:val="21"/>
              </w:rPr>
            </w:pPr>
            <w:r>
              <w:rPr>
                <w:sz w:val="21"/>
              </w:rPr>
              <w:t>150</w:t>
            </w:r>
          </w:p>
        </w:tc>
        <w:tc>
          <w:tcPr>
            <w:tcW w:w="1731" w:type="dxa"/>
            <w:tcBorders>
              <w:top w:val="single" w:sz="4" w:space="0" w:color="000000"/>
              <w:left w:val="single" w:sz="4" w:space="0" w:color="000000"/>
              <w:right w:val="single" w:sz="4" w:space="0" w:color="000000"/>
            </w:tcBorders>
          </w:tcPr>
          <w:p>
            <w:pPr>
              <w:pStyle w:val="TableParagraph"/>
              <w:ind w:left="25"/>
              <w:rPr>
                <w:sz w:val="21"/>
              </w:rPr>
            </w:pPr>
            <w:r>
              <w:rPr>
                <w:w w:val="100"/>
                <w:sz w:val="21"/>
              </w:rPr>
              <w:t>/</w:t>
            </w:r>
          </w:p>
        </w:tc>
        <w:tc>
          <w:tcPr>
            <w:tcW w:w="2216" w:type="dxa"/>
            <w:tcBorders>
              <w:top w:val="single" w:sz="4" w:space="0" w:color="000000"/>
              <w:left w:val="single" w:sz="4" w:space="0" w:color="000000"/>
              <w:right w:val="single" w:sz="4" w:space="0" w:color="000000"/>
            </w:tcBorders>
          </w:tcPr>
          <w:p>
            <w:pPr>
              <w:pStyle w:val="TableParagraph"/>
              <w:ind w:left="238" w:right="221"/>
              <w:rPr>
                <w:sz w:val="21"/>
              </w:rPr>
            </w:pPr>
            <w:r>
              <w:rPr>
                <w:sz w:val="21"/>
              </w:rPr>
              <w:t>≤1</w:t>
            </w:r>
          </w:p>
        </w:tc>
        <w:tc>
          <w:tcPr>
            <w:tcW w:w="1973" w:type="dxa"/>
            <w:tcBorders>
              <w:top w:val="single" w:sz="4" w:space="0" w:color="000000"/>
              <w:left w:val="single" w:sz="4" w:space="0" w:color="000000"/>
            </w:tcBorders>
          </w:tcPr>
          <w:p>
            <w:pPr>
              <w:pStyle w:val="TableParagraph"/>
              <w:ind w:left="227" w:right="193"/>
              <w:rPr>
                <w:sz w:val="21"/>
              </w:rPr>
            </w:pPr>
            <w:r>
              <w:rPr>
                <w:sz w:val="21"/>
              </w:rPr>
              <w:t>≥8</w:t>
            </w:r>
          </w:p>
        </w:tc>
      </w:tr>
    </w:tbl>
    <w:p>
      <w:pPr>
        <w:pStyle w:val="ListParagraph"/>
        <w:numPr>
          <w:ilvl w:val="0"/>
          <w:numId w:val="15"/>
        </w:numPr>
        <w:tabs>
          <w:tab w:pos="1323" w:val="left" w:leader="none"/>
        </w:tabs>
        <w:spacing w:line="240" w:lineRule="auto" w:before="85" w:after="0"/>
        <w:ind w:left="1323" w:right="0" w:hanging="604"/>
        <w:jc w:val="left"/>
        <w:rPr>
          <w:b/>
          <w:sz w:val="24"/>
        </w:rPr>
      </w:pPr>
      <w:r>
        <w:rPr>
          <w:b/>
          <w:sz w:val="24"/>
        </w:rPr>
        <w:t>食堂油烟</w:t>
      </w:r>
    </w:p>
    <w:p>
      <w:pPr>
        <w:pStyle w:val="BodyText"/>
        <w:spacing w:before="160"/>
        <w:ind w:left="717"/>
        <w:rPr>
          <w:rFonts w:ascii="Times New Roman" w:eastAsia="Times New Roman"/>
        </w:rPr>
      </w:pPr>
      <w:r>
        <w:rPr/>
        <w:t>食堂油烟执行《饮食业油烟排放标准（试行）》（</w:t>
      </w:r>
      <w:r>
        <w:rPr>
          <w:rFonts w:ascii="Times New Roman" w:eastAsia="Times New Roman"/>
          <w:position w:val="1"/>
        </w:rPr>
        <w:t>GB 18483-2001</w:t>
      </w:r>
      <w:r>
        <w:rPr/>
        <w:t>）中型规模标准（</w:t>
      </w:r>
      <w:r>
        <w:rPr>
          <w:rFonts w:ascii="Times New Roman" w:eastAsia="Times New Roman"/>
          <w:position w:val="1"/>
        </w:rPr>
        <w:t>3</w:t>
      </w:r>
    </w:p>
    <w:p>
      <w:pPr>
        <w:pStyle w:val="BodyText"/>
        <w:spacing w:before="161"/>
      </w:pPr>
      <w:r>
        <w:rPr/>
        <w:t>个灶头），具体标准限值如表 </w:t>
      </w:r>
      <w:r>
        <w:rPr>
          <w:rFonts w:ascii="Times New Roman" w:eastAsia="Times New Roman"/>
          <w:position w:val="1"/>
        </w:rPr>
        <w:t>2.3-11 </w:t>
      </w:r>
      <w:r>
        <w:rPr/>
        <w:t>所示。</w:t>
      </w:r>
    </w:p>
    <w:p>
      <w:pPr>
        <w:pStyle w:val="Heading3"/>
        <w:ind w:left="217" w:right="236"/>
        <w:jc w:val="center"/>
      </w:pPr>
      <w:r>
        <w:rPr/>
        <w:t>表 </w:t>
      </w:r>
      <w:r>
        <w:rPr>
          <w:rFonts w:ascii="Times New Roman" w:eastAsia="Times New Roman"/>
        </w:rPr>
        <w:t>2.3-11  </w:t>
      </w:r>
      <w:r>
        <w:rPr/>
        <w:t>《饮食业油烟排放标准》（</w:t>
      </w:r>
      <w:r>
        <w:rPr>
          <w:rFonts w:ascii="Times New Roman" w:eastAsia="Times New Roman"/>
        </w:rPr>
        <w:t>GB 18483-2001</w:t>
      </w:r>
      <w:r>
        <w:rPr/>
        <w:t>）</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161"/>
        <w:gridCol w:w="1563"/>
        <w:gridCol w:w="1562"/>
        <w:gridCol w:w="1145"/>
      </w:tblGrid>
      <w:tr>
        <w:trPr>
          <w:trHeight w:val="359" w:hRule="atLeast"/>
        </w:trPr>
        <w:tc>
          <w:tcPr>
            <w:tcW w:w="5161" w:type="dxa"/>
            <w:tcBorders>
              <w:bottom w:val="single" w:sz="4" w:space="0" w:color="000000"/>
              <w:right w:val="single" w:sz="4" w:space="0" w:color="000000"/>
            </w:tcBorders>
          </w:tcPr>
          <w:p>
            <w:pPr>
              <w:pStyle w:val="TableParagraph"/>
              <w:spacing w:before="44"/>
              <w:ind w:left="1227" w:right="1209"/>
              <w:rPr>
                <w:rFonts w:ascii="宋体" w:eastAsia="宋体" w:hint="eastAsia"/>
                <w:b/>
                <w:sz w:val="21"/>
              </w:rPr>
            </w:pPr>
            <w:r>
              <w:rPr>
                <w:rFonts w:ascii="宋体" w:eastAsia="宋体" w:hint="eastAsia"/>
                <w:b/>
                <w:sz w:val="21"/>
              </w:rPr>
              <w:t>规模</w:t>
            </w:r>
          </w:p>
        </w:tc>
        <w:tc>
          <w:tcPr>
            <w:tcW w:w="1563" w:type="dxa"/>
            <w:tcBorders>
              <w:left w:val="single" w:sz="4" w:space="0" w:color="000000"/>
              <w:bottom w:val="single" w:sz="4" w:space="0" w:color="000000"/>
              <w:right w:val="single" w:sz="4" w:space="0" w:color="000000"/>
            </w:tcBorders>
          </w:tcPr>
          <w:p>
            <w:pPr>
              <w:pStyle w:val="TableParagraph"/>
              <w:spacing w:before="44"/>
              <w:ind w:left="441" w:right="416"/>
              <w:rPr>
                <w:rFonts w:ascii="宋体" w:eastAsia="宋体" w:hint="eastAsia"/>
                <w:b/>
                <w:sz w:val="21"/>
              </w:rPr>
            </w:pPr>
            <w:r>
              <w:rPr>
                <w:rFonts w:ascii="宋体" w:eastAsia="宋体" w:hint="eastAsia"/>
                <w:b/>
                <w:sz w:val="21"/>
              </w:rPr>
              <w:t>小型</w:t>
            </w:r>
          </w:p>
        </w:tc>
        <w:tc>
          <w:tcPr>
            <w:tcW w:w="1562" w:type="dxa"/>
            <w:tcBorders>
              <w:left w:val="single" w:sz="4" w:space="0" w:color="000000"/>
              <w:bottom w:val="single" w:sz="4" w:space="0" w:color="000000"/>
              <w:right w:val="single" w:sz="4" w:space="0" w:color="000000"/>
            </w:tcBorders>
          </w:tcPr>
          <w:p>
            <w:pPr>
              <w:pStyle w:val="TableParagraph"/>
              <w:spacing w:before="44"/>
              <w:ind w:left="291" w:right="265"/>
              <w:rPr>
                <w:rFonts w:ascii="宋体" w:eastAsia="宋体" w:hint="eastAsia"/>
                <w:b/>
                <w:sz w:val="21"/>
              </w:rPr>
            </w:pPr>
            <w:r>
              <w:rPr>
                <w:rFonts w:ascii="宋体" w:eastAsia="宋体" w:hint="eastAsia"/>
                <w:b/>
                <w:sz w:val="21"/>
              </w:rPr>
              <w:t>中型</w:t>
            </w:r>
          </w:p>
        </w:tc>
        <w:tc>
          <w:tcPr>
            <w:tcW w:w="1145" w:type="dxa"/>
            <w:tcBorders>
              <w:left w:val="single" w:sz="4" w:space="0" w:color="000000"/>
              <w:bottom w:val="single" w:sz="4" w:space="0" w:color="000000"/>
            </w:tcBorders>
          </w:tcPr>
          <w:p>
            <w:pPr>
              <w:pStyle w:val="TableParagraph"/>
              <w:spacing w:before="44"/>
              <w:ind w:right="330"/>
              <w:jc w:val="right"/>
              <w:rPr>
                <w:rFonts w:ascii="宋体" w:eastAsia="宋体" w:hint="eastAsia"/>
                <w:b/>
                <w:sz w:val="21"/>
              </w:rPr>
            </w:pPr>
            <w:r>
              <w:rPr>
                <w:rFonts w:ascii="宋体" w:eastAsia="宋体" w:hint="eastAsia"/>
                <w:b/>
                <w:sz w:val="21"/>
              </w:rPr>
              <w:t>大型</w:t>
            </w:r>
          </w:p>
        </w:tc>
      </w:tr>
      <w:tr>
        <w:trPr>
          <w:trHeight w:val="359" w:hRule="atLeast"/>
        </w:trPr>
        <w:tc>
          <w:tcPr>
            <w:tcW w:w="5161" w:type="dxa"/>
            <w:tcBorders>
              <w:top w:val="single" w:sz="4" w:space="0" w:color="000000"/>
              <w:bottom w:val="single" w:sz="4" w:space="0" w:color="000000"/>
              <w:right w:val="single" w:sz="4" w:space="0" w:color="000000"/>
            </w:tcBorders>
          </w:tcPr>
          <w:p>
            <w:pPr>
              <w:pStyle w:val="TableParagraph"/>
              <w:spacing w:before="44"/>
              <w:ind w:left="1227" w:right="1207"/>
              <w:rPr>
                <w:rFonts w:ascii="宋体" w:eastAsia="宋体" w:hint="eastAsia"/>
                <w:sz w:val="21"/>
              </w:rPr>
            </w:pPr>
            <w:r>
              <w:rPr>
                <w:rFonts w:ascii="宋体" w:eastAsia="宋体" w:hint="eastAsia"/>
                <w:sz w:val="21"/>
              </w:rPr>
              <w:t>基准灶头数</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spacing w:before="44"/>
              <w:ind w:left="442" w:right="416"/>
              <w:rPr>
                <w:sz w:val="21"/>
              </w:rPr>
            </w:pPr>
            <w:r>
              <w:rPr>
                <w:sz w:val="21"/>
              </w:rPr>
              <w:t>≥1</w:t>
            </w:r>
            <w:r>
              <w:rPr>
                <w:rFonts w:ascii="宋体" w:hAnsi="宋体" w:eastAsia="宋体" w:hint="eastAsia"/>
                <w:sz w:val="21"/>
              </w:rPr>
              <w:t>，</w:t>
            </w:r>
            <w:r>
              <w:rPr>
                <w:sz w:val="21"/>
              </w:rPr>
              <w:t>&lt;3</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spacing w:before="44"/>
              <w:ind w:left="292" w:right="265"/>
              <w:rPr>
                <w:sz w:val="21"/>
              </w:rPr>
            </w:pPr>
            <w:r>
              <w:rPr>
                <w:sz w:val="21"/>
              </w:rPr>
              <w:t>≥3</w:t>
            </w:r>
            <w:r>
              <w:rPr>
                <w:rFonts w:ascii="宋体" w:hAnsi="宋体" w:eastAsia="宋体" w:hint="eastAsia"/>
                <w:sz w:val="21"/>
              </w:rPr>
              <w:t>，</w:t>
            </w:r>
            <w:r>
              <w:rPr>
                <w:sz w:val="21"/>
              </w:rPr>
              <w:t>&lt;6</w:t>
            </w:r>
          </w:p>
        </w:tc>
        <w:tc>
          <w:tcPr>
            <w:tcW w:w="1145" w:type="dxa"/>
            <w:tcBorders>
              <w:top w:val="single" w:sz="4" w:space="0" w:color="000000"/>
              <w:left w:val="single" w:sz="4" w:space="0" w:color="000000"/>
              <w:bottom w:val="single" w:sz="4" w:space="0" w:color="000000"/>
            </w:tcBorders>
          </w:tcPr>
          <w:p>
            <w:pPr>
              <w:pStyle w:val="TableParagraph"/>
              <w:ind w:right="433"/>
              <w:jc w:val="right"/>
              <w:rPr>
                <w:sz w:val="21"/>
              </w:rPr>
            </w:pPr>
            <w:r>
              <w:rPr>
                <w:sz w:val="21"/>
              </w:rPr>
              <w:t>≥6</w:t>
            </w:r>
          </w:p>
        </w:tc>
      </w:tr>
      <w:tr>
        <w:trPr>
          <w:trHeight w:val="357" w:hRule="atLeast"/>
        </w:trPr>
        <w:tc>
          <w:tcPr>
            <w:tcW w:w="5161" w:type="dxa"/>
            <w:tcBorders>
              <w:top w:val="single" w:sz="4" w:space="0" w:color="000000"/>
              <w:bottom w:val="single" w:sz="4" w:space="0" w:color="000000"/>
              <w:right w:val="single" w:sz="4" w:space="0" w:color="000000"/>
            </w:tcBorders>
          </w:tcPr>
          <w:p>
            <w:pPr>
              <w:pStyle w:val="TableParagraph"/>
              <w:spacing w:before="44"/>
              <w:ind w:left="1227" w:right="1210"/>
              <w:rPr>
                <w:sz w:val="21"/>
              </w:rPr>
            </w:pPr>
            <w:r>
              <w:rPr>
                <w:rFonts w:ascii="宋体" w:eastAsia="宋体" w:hint="eastAsia"/>
                <w:sz w:val="21"/>
              </w:rPr>
              <w:t>对应灶头总功率 </w:t>
            </w:r>
            <w:r>
              <w:rPr>
                <w:sz w:val="21"/>
              </w:rPr>
              <w:t>10</w:t>
            </w:r>
            <w:r>
              <w:rPr>
                <w:position w:val="7"/>
                <w:sz w:val="14"/>
              </w:rPr>
              <w:t>8</w:t>
            </w:r>
            <w:r>
              <w:rPr>
                <w:sz w:val="21"/>
              </w:rPr>
              <w:t>J/H</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ind w:left="442" w:right="412"/>
              <w:rPr>
                <w:sz w:val="21"/>
              </w:rPr>
            </w:pPr>
            <w:r>
              <w:rPr>
                <w:sz w:val="21"/>
              </w:rPr>
              <w:t>≥1.67</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ind w:left="294" w:right="263"/>
              <w:rPr>
                <w:sz w:val="21"/>
              </w:rPr>
            </w:pPr>
            <w:r>
              <w:rPr>
                <w:sz w:val="21"/>
              </w:rPr>
              <w:t>≥5.00</w:t>
            </w:r>
          </w:p>
        </w:tc>
        <w:tc>
          <w:tcPr>
            <w:tcW w:w="1145" w:type="dxa"/>
            <w:tcBorders>
              <w:top w:val="single" w:sz="4" w:space="0" w:color="000000"/>
              <w:left w:val="single" w:sz="4" w:space="0" w:color="000000"/>
              <w:bottom w:val="single" w:sz="4" w:space="0" w:color="000000"/>
            </w:tcBorders>
          </w:tcPr>
          <w:p>
            <w:pPr>
              <w:pStyle w:val="TableParagraph"/>
              <w:ind w:right="378"/>
              <w:jc w:val="right"/>
              <w:rPr>
                <w:sz w:val="21"/>
              </w:rPr>
            </w:pPr>
            <w:r>
              <w:rPr>
                <w:sz w:val="21"/>
              </w:rPr>
              <w:t>≥10</w:t>
            </w:r>
          </w:p>
        </w:tc>
      </w:tr>
      <w:tr>
        <w:trPr>
          <w:trHeight w:val="359" w:hRule="atLeast"/>
        </w:trPr>
        <w:tc>
          <w:tcPr>
            <w:tcW w:w="5161" w:type="dxa"/>
            <w:tcBorders>
              <w:top w:val="single" w:sz="4" w:space="0" w:color="000000"/>
              <w:bottom w:val="single" w:sz="4" w:space="0" w:color="000000"/>
              <w:right w:val="single" w:sz="4" w:space="0" w:color="000000"/>
            </w:tcBorders>
          </w:tcPr>
          <w:p>
            <w:pPr>
              <w:pStyle w:val="TableParagraph"/>
              <w:spacing w:before="44"/>
              <w:ind w:left="1227" w:right="1210"/>
              <w:rPr>
                <w:rFonts w:ascii="宋体" w:eastAsia="宋体" w:hint="eastAsia"/>
                <w:sz w:val="21"/>
              </w:rPr>
            </w:pPr>
            <w:r>
              <w:rPr>
                <w:rFonts w:ascii="宋体" w:eastAsia="宋体" w:hint="eastAsia"/>
                <w:sz w:val="21"/>
              </w:rPr>
              <w:t>对应排气罩面总投影面积</w:t>
            </w:r>
          </w:p>
        </w:tc>
        <w:tc>
          <w:tcPr>
            <w:tcW w:w="1563" w:type="dxa"/>
            <w:tcBorders>
              <w:top w:val="single" w:sz="4" w:space="0" w:color="000000"/>
              <w:left w:val="single" w:sz="4" w:space="0" w:color="000000"/>
              <w:bottom w:val="single" w:sz="4" w:space="0" w:color="000000"/>
              <w:right w:val="single" w:sz="4" w:space="0" w:color="000000"/>
            </w:tcBorders>
          </w:tcPr>
          <w:p>
            <w:pPr>
              <w:pStyle w:val="TableParagraph"/>
              <w:ind w:left="442" w:right="412"/>
              <w:rPr>
                <w:sz w:val="21"/>
              </w:rPr>
            </w:pPr>
            <w:r>
              <w:rPr>
                <w:sz w:val="21"/>
              </w:rPr>
              <w:t>≥1.1</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ind w:left="294" w:right="263"/>
              <w:rPr>
                <w:sz w:val="21"/>
              </w:rPr>
            </w:pPr>
            <w:r>
              <w:rPr>
                <w:sz w:val="21"/>
              </w:rPr>
              <w:t>≥3.3</w:t>
            </w:r>
          </w:p>
        </w:tc>
        <w:tc>
          <w:tcPr>
            <w:tcW w:w="1145" w:type="dxa"/>
            <w:tcBorders>
              <w:top w:val="single" w:sz="4" w:space="0" w:color="000000"/>
              <w:left w:val="single" w:sz="4" w:space="0" w:color="000000"/>
              <w:bottom w:val="single" w:sz="4" w:space="0" w:color="000000"/>
            </w:tcBorders>
          </w:tcPr>
          <w:p>
            <w:pPr>
              <w:pStyle w:val="TableParagraph"/>
              <w:ind w:right="350"/>
              <w:jc w:val="right"/>
              <w:rPr>
                <w:sz w:val="21"/>
              </w:rPr>
            </w:pPr>
            <w:r>
              <w:rPr>
                <w:sz w:val="21"/>
              </w:rPr>
              <w:t>≥6.6</w:t>
            </w:r>
          </w:p>
        </w:tc>
      </w:tr>
      <w:tr>
        <w:trPr>
          <w:trHeight w:val="357" w:hRule="atLeast"/>
        </w:trPr>
        <w:tc>
          <w:tcPr>
            <w:tcW w:w="5161" w:type="dxa"/>
            <w:tcBorders>
              <w:top w:val="single" w:sz="4" w:space="0" w:color="000000"/>
              <w:bottom w:val="single" w:sz="4" w:space="0" w:color="000000"/>
              <w:right w:val="single" w:sz="4" w:space="0" w:color="000000"/>
            </w:tcBorders>
          </w:tcPr>
          <w:p>
            <w:pPr>
              <w:pStyle w:val="TableParagraph"/>
              <w:spacing w:before="44"/>
              <w:ind w:left="1227" w:right="1212"/>
              <w:rPr>
                <w:rFonts w:ascii="宋体" w:eastAsia="宋体" w:hint="eastAsia"/>
                <w:sz w:val="21"/>
              </w:rPr>
            </w:pPr>
            <w:r>
              <w:rPr>
                <w:rFonts w:ascii="宋体" w:eastAsia="宋体" w:hint="eastAsia"/>
                <w:sz w:val="21"/>
              </w:rPr>
              <w:t>最高允许排放浓度（</w:t>
            </w:r>
            <w:r>
              <w:rPr>
                <w:sz w:val="21"/>
              </w:rPr>
              <w:t>mg/m</w:t>
            </w:r>
            <w:r>
              <w:rPr>
                <w:position w:val="7"/>
                <w:sz w:val="14"/>
              </w:rPr>
              <w:t>3</w:t>
            </w:r>
            <w:r>
              <w:rPr>
                <w:rFonts w:ascii="宋体" w:eastAsia="宋体" w:hint="eastAsia"/>
                <w:sz w:val="21"/>
              </w:rPr>
              <w:t>）</w:t>
            </w:r>
          </w:p>
        </w:tc>
        <w:tc>
          <w:tcPr>
            <w:tcW w:w="4270" w:type="dxa"/>
            <w:gridSpan w:val="3"/>
            <w:tcBorders>
              <w:top w:val="single" w:sz="4" w:space="0" w:color="000000"/>
              <w:left w:val="single" w:sz="4" w:space="0" w:color="000000"/>
              <w:bottom w:val="single" w:sz="4" w:space="0" w:color="000000"/>
            </w:tcBorders>
          </w:tcPr>
          <w:p>
            <w:pPr>
              <w:pStyle w:val="TableParagraph"/>
              <w:ind w:left="1994" w:right="1953"/>
              <w:rPr>
                <w:sz w:val="21"/>
              </w:rPr>
            </w:pPr>
            <w:r>
              <w:rPr>
                <w:sz w:val="21"/>
              </w:rPr>
              <w:t>2.0</w:t>
            </w:r>
          </w:p>
        </w:tc>
      </w:tr>
      <w:tr>
        <w:trPr>
          <w:trHeight w:val="361" w:hRule="atLeast"/>
        </w:trPr>
        <w:tc>
          <w:tcPr>
            <w:tcW w:w="5161" w:type="dxa"/>
            <w:tcBorders>
              <w:top w:val="single" w:sz="4" w:space="0" w:color="000000"/>
              <w:right w:val="single" w:sz="4" w:space="0" w:color="000000"/>
            </w:tcBorders>
          </w:tcPr>
          <w:p>
            <w:pPr>
              <w:pStyle w:val="TableParagraph"/>
              <w:spacing w:before="46"/>
              <w:ind w:left="1227" w:right="1209"/>
              <w:rPr>
                <w:rFonts w:ascii="宋体" w:eastAsia="宋体" w:hint="eastAsia"/>
                <w:sz w:val="21"/>
              </w:rPr>
            </w:pPr>
            <w:r>
              <w:rPr>
                <w:rFonts w:ascii="宋体" w:eastAsia="宋体" w:hint="eastAsia"/>
                <w:sz w:val="21"/>
              </w:rPr>
              <w:t>净化设施最低去除率（</w:t>
            </w:r>
            <w:r>
              <w:rPr>
                <w:sz w:val="21"/>
              </w:rPr>
              <w:t>%</w:t>
            </w:r>
            <w:r>
              <w:rPr>
                <w:rFonts w:ascii="宋体" w:eastAsia="宋体" w:hint="eastAsia"/>
                <w:sz w:val="21"/>
              </w:rPr>
              <w:t>）</w:t>
            </w:r>
          </w:p>
        </w:tc>
        <w:tc>
          <w:tcPr>
            <w:tcW w:w="1563" w:type="dxa"/>
            <w:tcBorders>
              <w:top w:val="single" w:sz="4" w:space="0" w:color="000000"/>
              <w:left w:val="single" w:sz="4" w:space="0" w:color="000000"/>
              <w:right w:val="single" w:sz="4" w:space="0" w:color="000000"/>
            </w:tcBorders>
          </w:tcPr>
          <w:p>
            <w:pPr>
              <w:pStyle w:val="TableParagraph"/>
              <w:spacing w:before="60"/>
              <w:ind w:left="441" w:right="416"/>
              <w:rPr>
                <w:sz w:val="21"/>
              </w:rPr>
            </w:pPr>
            <w:r>
              <w:rPr>
                <w:sz w:val="21"/>
              </w:rPr>
              <w:t>60</w:t>
            </w:r>
          </w:p>
        </w:tc>
        <w:tc>
          <w:tcPr>
            <w:tcW w:w="1562" w:type="dxa"/>
            <w:tcBorders>
              <w:top w:val="single" w:sz="4" w:space="0" w:color="000000"/>
              <w:left w:val="single" w:sz="4" w:space="0" w:color="000000"/>
              <w:right w:val="single" w:sz="4" w:space="0" w:color="000000"/>
            </w:tcBorders>
          </w:tcPr>
          <w:p>
            <w:pPr>
              <w:pStyle w:val="TableParagraph"/>
              <w:spacing w:before="60"/>
              <w:ind w:left="291" w:right="265"/>
              <w:rPr>
                <w:sz w:val="21"/>
              </w:rPr>
            </w:pPr>
            <w:r>
              <w:rPr>
                <w:sz w:val="21"/>
              </w:rPr>
              <w:t>75</w:t>
            </w:r>
          </w:p>
        </w:tc>
        <w:tc>
          <w:tcPr>
            <w:tcW w:w="1145" w:type="dxa"/>
            <w:tcBorders>
              <w:top w:val="single" w:sz="4" w:space="0" w:color="000000"/>
              <w:left w:val="single" w:sz="4" w:space="0" w:color="000000"/>
            </w:tcBorders>
          </w:tcPr>
          <w:p>
            <w:pPr>
              <w:pStyle w:val="TableParagraph"/>
              <w:spacing w:before="60"/>
              <w:ind w:right="436"/>
              <w:jc w:val="right"/>
              <w:rPr>
                <w:sz w:val="21"/>
              </w:rPr>
            </w:pPr>
            <w:r>
              <w:rPr>
                <w:sz w:val="21"/>
              </w:rPr>
              <w:t>85</w:t>
            </w:r>
          </w:p>
        </w:tc>
      </w:tr>
    </w:tbl>
    <w:p>
      <w:pPr>
        <w:spacing w:after="0"/>
        <w:jc w:val="right"/>
        <w:rPr>
          <w:sz w:val="21"/>
        </w:rPr>
        <w:sectPr>
          <w:pgSz w:w="11910" w:h="16840"/>
          <w:pgMar w:header="874" w:footer="1004" w:top="1400" w:bottom="1200" w:left="1040" w:right="1160"/>
        </w:sectPr>
      </w:pPr>
    </w:p>
    <w:p>
      <w:pPr>
        <w:spacing w:before="121"/>
        <w:ind w:left="719" w:right="0" w:firstLine="0"/>
        <w:jc w:val="left"/>
        <w:rPr>
          <w:b/>
          <w:sz w:val="24"/>
        </w:rPr>
      </w:pPr>
      <w:r>
        <w:rPr>
          <w:rFonts w:ascii="Times New Roman" w:eastAsia="Times New Roman"/>
          <w:b/>
          <w:sz w:val="24"/>
        </w:rPr>
        <w:t>3</w:t>
      </w:r>
      <w:r>
        <w:rPr>
          <w:b/>
          <w:sz w:val="24"/>
        </w:rPr>
        <w:t>、厂界噪声排放标准</w:t>
      </w:r>
    </w:p>
    <w:p>
      <w:pPr>
        <w:pStyle w:val="BodyText"/>
        <w:spacing w:line="364" w:lineRule="auto" w:before="161"/>
        <w:ind w:right="251" w:firstLine="480"/>
        <w:jc w:val="both"/>
      </w:pPr>
      <w:r>
        <w:rPr/>
        <w:t>因项目实施后厂界噪声须满足《畜禽养殖产地环境评价规范》（</w:t>
      </w:r>
      <w:r>
        <w:rPr>
          <w:rFonts w:ascii="Times New Roman" w:eastAsia="Times New Roman"/>
          <w:position w:val="1"/>
        </w:rPr>
        <w:t>HJ 568-2010</w:t>
      </w:r>
      <w:r>
        <w:rPr/>
        <w:t>）</w:t>
      </w:r>
      <w:r>
        <w:rPr>
          <w:spacing w:val="-8"/>
        </w:rPr>
        <w:t>中表</w:t>
      </w:r>
      <w:r>
        <w:rPr>
          <w:rFonts w:ascii="Times New Roman" w:eastAsia="Times New Roman"/>
          <w:position w:val="1"/>
        </w:rPr>
        <w:t>6 </w:t>
      </w:r>
      <w:r>
        <w:rPr/>
        <w:t>畜禽养殖场声环境质量评价指标限值（</w:t>
      </w:r>
      <w:r>
        <w:rPr>
          <w:spacing w:val="-15"/>
        </w:rPr>
        <w:t>即昼间 </w:t>
      </w:r>
      <w:r>
        <w:rPr>
          <w:rFonts w:ascii="Times New Roman" w:eastAsia="Times New Roman"/>
          <w:position w:val="1"/>
        </w:rPr>
        <w:t>60dB(A)</w:t>
      </w:r>
      <w:r>
        <w:rPr>
          <w:spacing w:val="-15"/>
        </w:rPr>
        <w:t>、夜间 </w:t>
      </w:r>
      <w:r>
        <w:rPr>
          <w:rFonts w:ascii="Times New Roman" w:eastAsia="Times New Roman"/>
          <w:position w:val="1"/>
        </w:rPr>
        <w:t>50dB(A)</w:t>
      </w:r>
      <w:r>
        <w:rPr/>
        <w:t>），</w:t>
      </w:r>
      <w:r>
        <w:rPr>
          <w:spacing w:val="-3"/>
        </w:rPr>
        <w:t>故本项目运</w:t>
      </w:r>
      <w:r>
        <w:rPr/>
        <w:t>营期厂界噪声应执行《工业企业厂界环境噪声排放标准》（</w:t>
      </w:r>
      <w:r>
        <w:rPr>
          <w:rFonts w:ascii="Times New Roman" w:eastAsia="Times New Roman"/>
          <w:position w:val="1"/>
        </w:rPr>
        <w:t>GB 12348-2008</w:t>
      </w:r>
      <w:r>
        <w:rPr/>
        <w:t>）</w:t>
      </w:r>
      <w:r>
        <w:rPr>
          <w:rFonts w:ascii="Times New Roman" w:eastAsia="Times New Roman"/>
          <w:position w:val="1"/>
        </w:rPr>
        <w:t>2 </w:t>
      </w:r>
      <w:r>
        <w:rPr>
          <w:spacing w:val="-4"/>
        </w:rPr>
        <w:t>类标准， </w:t>
      </w:r>
      <w:r>
        <w:rPr>
          <w:spacing w:val="-8"/>
        </w:rPr>
        <w:t>具体标准值见表 </w:t>
      </w:r>
      <w:r>
        <w:rPr>
          <w:rFonts w:ascii="Times New Roman" w:eastAsia="Times New Roman"/>
          <w:position w:val="1"/>
        </w:rPr>
        <w:t>2.3-12</w:t>
      </w:r>
      <w:r>
        <w:rPr/>
        <w:t>。</w:t>
      </w:r>
    </w:p>
    <w:p>
      <w:pPr>
        <w:pStyle w:val="Heading3"/>
        <w:spacing w:before="2"/>
        <w:ind w:left="1370"/>
        <w:jc w:val="both"/>
      </w:pPr>
      <w:r>
        <w:rPr/>
        <w:t>表 </w:t>
      </w:r>
      <w:r>
        <w:rPr>
          <w:rFonts w:ascii="Times New Roman" w:eastAsia="Times New Roman"/>
        </w:rPr>
        <w:t>2.3-12  </w:t>
      </w:r>
      <w:r>
        <w:rPr/>
        <w:t>《工业企业厂界环境噪声排放标准》（</w:t>
      </w:r>
      <w:r>
        <w:rPr>
          <w:rFonts w:ascii="Times New Roman" w:eastAsia="Times New Roman"/>
        </w:rPr>
        <w:t>GB 12348-2008</w:t>
      </w:r>
      <w:r>
        <w:rPr/>
        <w:t>）</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607"/>
        <w:gridCol w:w="1913"/>
        <w:gridCol w:w="1910"/>
      </w:tblGrid>
      <w:tr>
        <w:trPr>
          <w:trHeight w:val="359" w:hRule="atLeast"/>
        </w:trPr>
        <w:tc>
          <w:tcPr>
            <w:tcW w:w="5607" w:type="dxa"/>
            <w:vMerge w:val="restart"/>
            <w:tcBorders>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643"/>
              <w:jc w:val="left"/>
              <w:rPr>
                <w:rFonts w:ascii="宋体" w:eastAsia="宋体" w:hint="eastAsia"/>
                <w:b/>
                <w:sz w:val="21"/>
              </w:rPr>
            </w:pPr>
            <w:r>
              <w:rPr>
                <w:rFonts w:ascii="宋体" w:eastAsia="宋体" w:hint="eastAsia"/>
                <w:b/>
                <w:sz w:val="21"/>
              </w:rPr>
              <w:t>厂界外声环境功能区类别</w:t>
            </w:r>
          </w:p>
        </w:tc>
        <w:tc>
          <w:tcPr>
            <w:tcW w:w="3823" w:type="dxa"/>
            <w:gridSpan w:val="2"/>
            <w:tcBorders>
              <w:left w:val="single" w:sz="6" w:space="0" w:color="000000"/>
              <w:bottom w:val="single" w:sz="6" w:space="0" w:color="000000"/>
            </w:tcBorders>
          </w:tcPr>
          <w:p>
            <w:pPr>
              <w:pStyle w:val="TableParagraph"/>
              <w:spacing w:before="43"/>
              <w:ind w:left="1157"/>
              <w:jc w:val="left"/>
              <w:rPr>
                <w:rFonts w:ascii="宋体" w:eastAsia="宋体" w:hint="eastAsia"/>
                <w:b/>
                <w:sz w:val="21"/>
              </w:rPr>
            </w:pPr>
            <w:r>
              <w:rPr>
                <w:rFonts w:ascii="宋体" w:eastAsia="宋体" w:hint="eastAsia"/>
                <w:b/>
                <w:sz w:val="21"/>
              </w:rPr>
              <w:t>等效声级（</w:t>
            </w:r>
            <w:r>
              <w:rPr>
                <w:b/>
                <w:sz w:val="21"/>
              </w:rPr>
              <w:t>dB</w:t>
            </w:r>
            <w:r>
              <w:rPr>
                <w:rFonts w:ascii="宋体" w:eastAsia="宋体" w:hint="eastAsia"/>
                <w:b/>
                <w:sz w:val="21"/>
              </w:rPr>
              <w:t>）</w:t>
            </w:r>
          </w:p>
        </w:tc>
      </w:tr>
      <w:tr>
        <w:trPr>
          <w:trHeight w:val="359" w:hRule="atLeast"/>
        </w:trPr>
        <w:tc>
          <w:tcPr>
            <w:tcW w:w="5607" w:type="dxa"/>
            <w:vMerge/>
            <w:tcBorders>
              <w:top w:val="nil"/>
              <w:bottom w:val="single" w:sz="6" w:space="0" w:color="000000"/>
              <w:right w:val="single" w:sz="6" w:space="0" w:color="000000"/>
            </w:tcBorders>
          </w:tcPr>
          <w:p>
            <w:pPr>
              <w:rPr>
                <w:sz w:val="2"/>
                <w:szCs w:val="2"/>
              </w:rPr>
            </w:pPr>
          </w:p>
        </w:tc>
        <w:tc>
          <w:tcPr>
            <w:tcW w:w="1913" w:type="dxa"/>
            <w:tcBorders>
              <w:top w:val="single" w:sz="6" w:space="0" w:color="000000"/>
              <w:left w:val="single" w:sz="6" w:space="0" w:color="000000"/>
              <w:bottom w:val="single" w:sz="6" w:space="0" w:color="000000"/>
              <w:right w:val="single" w:sz="6" w:space="0" w:color="000000"/>
            </w:tcBorders>
          </w:tcPr>
          <w:p>
            <w:pPr>
              <w:pStyle w:val="TableParagraph"/>
              <w:spacing w:before="44"/>
              <w:ind w:left="731" w:right="705"/>
              <w:rPr>
                <w:rFonts w:ascii="宋体" w:eastAsia="宋体" w:hint="eastAsia"/>
                <w:b/>
                <w:sz w:val="21"/>
              </w:rPr>
            </w:pPr>
            <w:r>
              <w:rPr>
                <w:rFonts w:ascii="宋体" w:eastAsia="宋体" w:hint="eastAsia"/>
                <w:b/>
                <w:sz w:val="21"/>
              </w:rPr>
              <w:t>昼间</w:t>
            </w:r>
          </w:p>
        </w:tc>
        <w:tc>
          <w:tcPr>
            <w:tcW w:w="1910" w:type="dxa"/>
            <w:tcBorders>
              <w:top w:val="single" w:sz="6" w:space="0" w:color="000000"/>
              <w:left w:val="single" w:sz="6" w:space="0" w:color="000000"/>
              <w:bottom w:val="single" w:sz="6" w:space="0" w:color="000000"/>
            </w:tcBorders>
          </w:tcPr>
          <w:p>
            <w:pPr>
              <w:pStyle w:val="TableParagraph"/>
              <w:spacing w:before="44"/>
              <w:ind w:left="729" w:right="696"/>
              <w:rPr>
                <w:rFonts w:ascii="宋体" w:eastAsia="宋体" w:hint="eastAsia"/>
                <w:b/>
                <w:sz w:val="21"/>
              </w:rPr>
            </w:pPr>
            <w:r>
              <w:rPr>
                <w:rFonts w:ascii="宋体" w:eastAsia="宋体" w:hint="eastAsia"/>
                <w:b/>
                <w:sz w:val="21"/>
              </w:rPr>
              <w:t>夜间</w:t>
            </w:r>
          </w:p>
        </w:tc>
      </w:tr>
      <w:tr>
        <w:trPr>
          <w:trHeight w:val="357" w:hRule="atLeast"/>
        </w:trPr>
        <w:tc>
          <w:tcPr>
            <w:tcW w:w="5607" w:type="dxa"/>
            <w:tcBorders>
              <w:top w:val="single" w:sz="6" w:space="0" w:color="000000"/>
              <w:right w:val="single" w:sz="6" w:space="0" w:color="000000"/>
            </w:tcBorders>
          </w:tcPr>
          <w:p>
            <w:pPr>
              <w:pStyle w:val="TableParagraph"/>
              <w:ind w:left="21"/>
              <w:rPr>
                <w:sz w:val="21"/>
              </w:rPr>
            </w:pPr>
            <w:r>
              <w:rPr>
                <w:w w:val="100"/>
                <w:sz w:val="21"/>
              </w:rPr>
              <w:t>2</w:t>
            </w:r>
          </w:p>
        </w:tc>
        <w:tc>
          <w:tcPr>
            <w:tcW w:w="1913" w:type="dxa"/>
            <w:tcBorders>
              <w:top w:val="single" w:sz="6" w:space="0" w:color="000000"/>
              <w:left w:val="single" w:sz="6" w:space="0" w:color="000000"/>
              <w:right w:val="single" w:sz="6" w:space="0" w:color="000000"/>
            </w:tcBorders>
          </w:tcPr>
          <w:p>
            <w:pPr>
              <w:pStyle w:val="TableParagraph"/>
              <w:ind w:left="731" w:right="705"/>
              <w:rPr>
                <w:sz w:val="21"/>
              </w:rPr>
            </w:pPr>
            <w:r>
              <w:rPr>
                <w:sz w:val="21"/>
              </w:rPr>
              <w:t>60</w:t>
            </w:r>
          </w:p>
        </w:tc>
        <w:tc>
          <w:tcPr>
            <w:tcW w:w="1910" w:type="dxa"/>
            <w:tcBorders>
              <w:top w:val="single" w:sz="6" w:space="0" w:color="000000"/>
              <w:left w:val="single" w:sz="6" w:space="0" w:color="000000"/>
            </w:tcBorders>
          </w:tcPr>
          <w:p>
            <w:pPr>
              <w:pStyle w:val="TableParagraph"/>
              <w:ind w:left="729" w:right="696"/>
              <w:rPr>
                <w:sz w:val="21"/>
              </w:rPr>
            </w:pPr>
            <w:r>
              <w:rPr>
                <w:sz w:val="21"/>
              </w:rPr>
              <w:t>50</w:t>
            </w:r>
          </w:p>
        </w:tc>
      </w:tr>
    </w:tbl>
    <w:p>
      <w:pPr>
        <w:spacing w:before="84"/>
        <w:ind w:left="719" w:right="0" w:firstLine="0"/>
        <w:jc w:val="left"/>
        <w:rPr>
          <w:b/>
          <w:sz w:val="24"/>
        </w:rPr>
      </w:pPr>
      <w:r>
        <w:rPr>
          <w:rFonts w:ascii="Times New Roman" w:eastAsia="Times New Roman"/>
          <w:b/>
          <w:sz w:val="24"/>
        </w:rPr>
        <w:t>4</w:t>
      </w:r>
      <w:r>
        <w:rPr>
          <w:b/>
          <w:sz w:val="24"/>
        </w:rPr>
        <w:t>、固体废弃物</w:t>
      </w:r>
    </w:p>
    <w:p>
      <w:pPr>
        <w:pStyle w:val="BodyText"/>
        <w:spacing w:before="161"/>
        <w:ind w:left="717"/>
      </w:pPr>
      <w:r>
        <w:rPr/>
        <w:t>项目产生的发酵产物、一般废包装物、脱硫渣及生活垃圾等，在场内贮存参照执行</w:t>
      </w:r>
    </w:p>
    <w:p>
      <w:pPr>
        <w:pStyle w:val="BodyText"/>
        <w:spacing w:line="364" w:lineRule="auto" w:before="160"/>
        <w:ind w:right="251"/>
        <w:jc w:val="both"/>
      </w:pPr>
      <w:r>
        <w:rPr>
          <w:spacing w:val="-1"/>
        </w:rPr>
        <w:t>《一般工业固体废弃物贮存和填埋污染控制标准》</w:t>
      </w:r>
      <w:r>
        <w:rPr/>
        <w:t>（</w:t>
      </w:r>
      <w:r>
        <w:rPr>
          <w:rFonts w:ascii="Times New Roman" w:eastAsia="Times New Roman"/>
          <w:position w:val="1"/>
        </w:rPr>
        <w:t>GB 18599-2020</w:t>
      </w:r>
      <w:r>
        <w:rPr/>
        <w:t>）</w:t>
      </w:r>
      <w:r>
        <w:rPr>
          <w:spacing w:val="-3"/>
        </w:rPr>
        <w:t>中的有关规定。危</w:t>
      </w:r>
      <w:r>
        <w:rPr/>
        <w:t>化品废包装物、废矿物油、医疗废物等危险废物场内贮存执行《危险废物贮存污染控制标准》（</w:t>
      </w:r>
      <w:r>
        <w:rPr>
          <w:rFonts w:ascii="Times New Roman" w:eastAsia="Times New Roman"/>
          <w:position w:val="1"/>
        </w:rPr>
        <w:t>GB 18579-2001</w:t>
      </w:r>
      <w:r>
        <w:rPr/>
        <w:t>）及修改单（</w:t>
      </w:r>
      <w:r>
        <w:rPr>
          <w:spacing w:val="-20"/>
        </w:rPr>
        <w:t>公告 </w:t>
      </w:r>
      <w:r>
        <w:rPr>
          <w:rFonts w:ascii="Times New Roman" w:eastAsia="Times New Roman"/>
          <w:position w:val="1"/>
        </w:rPr>
        <w:t>2013 </w:t>
      </w:r>
      <w:r>
        <w:rPr>
          <w:spacing w:val="-20"/>
        </w:rPr>
        <w:t>年第 </w:t>
      </w:r>
      <w:r>
        <w:rPr>
          <w:rFonts w:ascii="Times New Roman" w:eastAsia="Times New Roman"/>
          <w:position w:val="1"/>
        </w:rPr>
        <w:t>36 </w:t>
      </w:r>
      <w:r>
        <w:rPr/>
        <w:t>号）中的有关规定。</w:t>
      </w:r>
    </w:p>
    <w:p>
      <w:pPr>
        <w:pStyle w:val="BodyText"/>
        <w:spacing w:line="364" w:lineRule="auto" w:before="2"/>
        <w:ind w:right="249" w:firstLine="480"/>
        <w:jc w:val="both"/>
      </w:pPr>
      <w:r>
        <w:rPr/>
        <w:t>病死畜禽尸体的处理与处置按《病害动物和病害动物产品生物安全处理规程》</w:t>
      </w:r>
      <w:r>
        <w:rPr>
          <w:spacing w:val="-5"/>
        </w:rPr>
        <w:t>（</w:t>
      </w:r>
      <w:r>
        <w:rPr>
          <w:rFonts w:ascii="Times New Roman" w:eastAsia="Times New Roman"/>
          <w:spacing w:val="-5"/>
          <w:position w:val="1"/>
        </w:rPr>
        <w:t>GB </w:t>
      </w:r>
      <w:r>
        <w:rPr>
          <w:rFonts w:ascii="Times New Roman" w:eastAsia="Times New Roman"/>
          <w:position w:val="1"/>
        </w:rPr>
        <w:t>16548-2006</w:t>
      </w:r>
      <w:r>
        <w:rPr/>
        <w:t>）</w:t>
      </w:r>
      <w:r>
        <w:rPr>
          <w:spacing w:val="-6"/>
        </w:rPr>
        <w:t>和《病死及病害动物无害化处理技术规范》</w:t>
      </w:r>
      <w:r>
        <w:rPr/>
        <w:t>（农医发</w:t>
      </w:r>
      <w:r>
        <w:rPr>
          <w:rFonts w:ascii="Times New Roman" w:eastAsia="Times New Roman"/>
          <w:position w:val="1"/>
        </w:rPr>
        <w:t>[2017]25 </w:t>
      </w:r>
      <w:r>
        <w:rPr/>
        <w:t>号</w:t>
      </w:r>
      <w:r>
        <w:rPr>
          <w:spacing w:val="-17"/>
        </w:rPr>
        <w:t>）</w:t>
      </w:r>
      <w:r>
        <w:rPr>
          <w:spacing w:val="-3"/>
        </w:rPr>
        <w:t>中的相关</w:t>
      </w:r>
      <w:r>
        <w:rPr/>
        <w:t>规定执行。猪粪、饲料残渣、污水处理污泥等经高温发酵罐处理后外运生产有机肥，产</w:t>
      </w:r>
      <w:r>
        <w:rPr>
          <w:spacing w:val="-6"/>
        </w:rPr>
        <w:t>出物执行《畜禽养殖业污染物排放标准》</w:t>
      </w:r>
      <w:r>
        <w:rPr/>
        <w:t>（</w:t>
      </w:r>
      <w:r>
        <w:rPr>
          <w:rFonts w:ascii="Times New Roman" w:eastAsia="Times New Roman"/>
          <w:position w:val="1"/>
        </w:rPr>
        <w:t>DB 33/593-2005</w:t>
      </w:r>
      <w:r>
        <w:rPr/>
        <w:t>）</w:t>
      </w:r>
      <w:r>
        <w:rPr>
          <w:spacing w:val="-5"/>
        </w:rPr>
        <w:t>及《畜禽粪便无害化处理技</w:t>
      </w:r>
      <w:r>
        <w:rPr/>
        <w:t>术规范》（</w:t>
      </w:r>
      <w:r>
        <w:rPr>
          <w:rFonts w:ascii="Times New Roman" w:eastAsia="Times New Roman"/>
          <w:position w:val="1"/>
        </w:rPr>
        <w:t>GB/T 36195-2018</w:t>
      </w:r>
      <w:r>
        <w:rPr/>
        <w:t>）</w:t>
      </w:r>
      <w:r>
        <w:rPr>
          <w:spacing w:val="-7"/>
        </w:rPr>
        <w:t>中的规定，详见表 </w:t>
      </w:r>
      <w:r>
        <w:rPr>
          <w:rFonts w:ascii="Times New Roman" w:eastAsia="Times New Roman"/>
          <w:position w:val="1"/>
        </w:rPr>
        <w:t>2.3-13</w:t>
      </w:r>
      <w:r>
        <w:rPr/>
        <w:t>。</w:t>
      </w:r>
    </w:p>
    <w:p>
      <w:pPr>
        <w:pStyle w:val="Heading3"/>
        <w:spacing w:before="3"/>
        <w:ind w:left="2635"/>
        <w:jc w:val="both"/>
      </w:pPr>
      <w:r>
        <w:rPr/>
        <w:t>表 </w:t>
      </w:r>
      <w:r>
        <w:rPr>
          <w:rFonts w:ascii="Times New Roman" w:eastAsia="Times New Roman"/>
        </w:rPr>
        <w:t>2.3-13  </w:t>
      </w:r>
      <w:r>
        <w:rPr/>
        <w:t>畜禽养殖业废渣无害化环境标准</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51"/>
        <w:gridCol w:w="6981"/>
      </w:tblGrid>
      <w:tr>
        <w:trPr>
          <w:trHeight w:val="359" w:hRule="atLeast"/>
        </w:trPr>
        <w:tc>
          <w:tcPr>
            <w:tcW w:w="2451" w:type="dxa"/>
            <w:tcBorders>
              <w:bottom w:val="single" w:sz="6" w:space="0" w:color="000000"/>
              <w:right w:val="single" w:sz="6" w:space="0" w:color="000000"/>
            </w:tcBorders>
          </w:tcPr>
          <w:p>
            <w:pPr>
              <w:pStyle w:val="TableParagraph"/>
              <w:spacing w:before="43"/>
              <w:ind w:left="575" w:right="552"/>
              <w:rPr>
                <w:rFonts w:ascii="宋体" w:eastAsia="宋体" w:hint="eastAsia"/>
                <w:b/>
                <w:sz w:val="21"/>
              </w:rPr>
            </w:pPr>
            <w:r>
              <w:rPr>
                <w:rFonts w:ascii="宋体" w:eastAsia="宋体" w:hint="eastAsia"/>
                <w:b/>
                <w:sz w:val="21"/>
              </w:rPr>
              <w:t>控制项目</w:t>
            </w:r>
          </w:p>
        </w:tc>
        <w:tc>
          <w:tcPr>
            <w:tcW w:w="6981" w:type="dxa"/>
            <w:tcBorders>
              <w:left w:val="single" w:sz="6" w:space="0" w:color="000000"/>
              <w:bottom w:val="single" w:sz="6" w:space="0" w:color="000000"/>
            </w:tcBorders>
          </w:tcPr>
          <w:p>
            <w:pPr>
              <w:pStyle w:val="TableParagraph"/>
              <w:spacing w:before="43"/>
              <w:ind w:left="1481" w:right="1446"/>
              <w:rPr>
                <w:rFonts w:ascii="宋体" w:eastAsia="宋体" w:hint="eastAsia"/>
                <w:b/>
                <w:sz w:val="21"/>
              </w:rPr>
            </w:pPr>
            <w:r>
              <w:rPr>
                <w:rFonts w:ascii="宋体" w:eastAsia="宋体" w:hint="eastAsia"/>
                <w:b/>
                <w:sz w:val="21"/>
              </w:rPr>
              <w:t>指标</w:t>
            </w:r>
          </w:p>
        </w:tc>
      </w:tr>
      <w:tr>
        <w:trPr>
          <w:trHeight w:val="359" w:hRule="atLeast"/>
        </w:trPr>
        <w:tc>
          <w:tcPr>
            <w:tcW w:w="2451" w:type="dxa"/>
            <w:tcBorders>
              <w:top w:val="single" w:sz="6" w:space="0" w:color="000000"/>
              <w:bottom w:val="single" w:sz="6" w:space="0" w:color="000000"/>
              <w:right w:val="single" w:sz="6" w:space="0" w:color="000000"/>
            </w:tcBorders>
          </w:tcPr>
          <w:p>
            <w:pPr>
              <w:pStyle w:val="TableParagraph"/>
              <w:spacing w:before="44"/>
              <w:ind w:left="574" w:right="552"/>
              <w:rPr>
                <w:rFonts w:ascii="宋体" w:eastAsia="宋体" w:hint="eastAsia"/>
                <w:sz w:val="21"/>
              </w:rPr>
            </w:pPr>
            <w:r>
              <w:rPr>
                <w:rFonts w:ascii="宋体" w:eastAsia="宋体" w:hint="eastAsia"/>
                <w:sz w:val="21"/>
              </w:rPr>
              <w:t>蛔虫卵</w:t>
            </w:r>
          </w:p>
        </w:tc>
        <w:tc>
          <w:tcPr>
            <w:tcW w:w="6981" w:type="dxa"/>
            <w:tcBorders>
              <w:top w:val="single" w:sz="6" w:space="0" w:color="000000"/>
              <w:left w:val="single" w:sz="6" w:space="0" w:color="000000"/>
              <w:bottom w:val="single" w:sz="6" w:space="0" w:color="000000"/>
            </w:tcBorders>
          </w:tcPr>
          <w:p>
            <w:pPr>
              <w:pStyle w:val="TableParagraph"/>
              <w:spacing w:before="44"/>
              <w:ind w:left="1481" w:right="1446"/>
              <w:rPr>
                <w:sz w:val="21"/>
              </w:rPr>
            </w:pPr>
            <w:r>
              <w:rPr>
                <w:rFonts w:ascii="宋体" w:hAnsi="宋体" w:eastAsia="宋体" w:hint="eastAsia"/>
                <w:sz w:val="21"/>
              </w:rPr>
              <w:t>死亡率</w:t>
            </w:r>
            <w:r>
              <w:rPr>
                <w:sz w:val="21"/>
              </w:rPr>
              <w:t>≥95%</w:t>
            </w:r>
          </w:p>
        </w:tc>
      </w:tr>
      <w:tr>
        <w:trPr>
          <w:trHeight w:val="357" w:hRule="atLeast"/>
        </w:trPr>
        <w:tc>
          <w:tcPr>
            <w:tcW w:w="2451" w:type="dxa"/>
            <w:tcBorders>
              <w:top w:val="single" w:sz="6" w:space="0" w:color="000000"/>
              <w:bottom w:val="single" w:sz="6" w:space="0" w:color="000000"/>
              <w:right w:val="single" w:sz="6" w:space="0" w:color="000000"/>
            </w:tcBorders>
          </w:tcPr>
          <w:p>
            <w:pPr>
              <w:pStyle w:val="TableParagraph"/>
              <w:spacing w:before="44"/>
              <w:ind w:left="575" w:right="552"/>
              <w:rPr>
                <w:rFonts w:ascii="宋体" w:eastAsia="宋体" w:hint="eastAsia"/>
                <w:sz w:val="21"/>
              </w:rPr>
            </w:pPr>
            <w:r>
              <w:rPr>
                <w:rFonts w:ascii="宋体" w:eastAsia="宋体" w:hint="eastAsia"/>
                <w:sz w:val="21"/>
              </w:rPr>
              <w:t>粪大肠菌群数</w:t>
            </w:r>
          </w:p>
        </w:tc>
        <w:tc>
          <w:tcPr>
            <w:tcW w:w="6981" w:type="dxa"/>
            <w:tcBorders>
              <w:top w:val="single" w:sz="6" w:space="0" w:color="000000"/>
              <w:left w:val="single" w:sz="6" w:space="0" w:color="000000"/>
              <w:bottom w:val="single" w:sz="6" w:space="0" w:color="000000"/>
            </w:tcBorders>
          </w:tcPr>
          <w:p>
            <w:pPr>
              <w:pStyle w:val="TableParagraph"/>
              <w:spacing w:before="44"/>
              <w:ind w:left="1481" w:right="1446"/>
              <w:rPr>
                <w:sz w:val="21"/>
              </w:rPr>
            </w:pPr>
            <w:r>
              <w:rPr>
                <w:sz w:val="21"/>
              </w:rPr>
              <w:t>≤10</w:t>
            </w:r>
            <w:r>
              <w:rPr>
                <w:position w:val="7"/>
                <w:sz w:val="14"/>
              </w:rPr>
              <w:t>5 </w:t>
            </w:r>
            <w:r>
              <w:rPr>
                <w:rFonts w:ascii="宋体" w:hAnsi="宋体" w:eastAsia="宋体" w:hint="eastAsia"/>
                <w:sz w:val="21"/>
              </w:rPr>
              <w:t>个</w:t>
            </w:r>
            <w:r>
              <w:rPr>
                <w:sz w:val="21"/>
              </w:rPr>
              <w:t>/kg</w:t>
            </w:r>
          </w:p>
        </w:tc>
      </w:tr>
      <w:tr>
        <w:trPr>
          <w:trHeight w:val="359" w:hRule="atLeast"/>
        </w:trPr>
        <w:tc>
          <w:tcPr>
            <w:tcW w:w="2451" w:type="dxa"/>
            <w:tcBorders>
              <w:top w:val="single" w:sz="6" w:space="0" w:color="000000"/>
              <w:right w:val="single" w:sz="6" w:space="0" w:color="000000"/>
            </w:tcBorders>
          </w:tcPr>
          <w:p>
            <w:pPr>
              <w:pStyle w:val="TableParagraph"/>
              <w:spacing w:before="46"/>
              <w:ind w:left="574" w:right="552"/>
              <w:rPr>
                <w:rFonts w:ascii="宋体" w:eastAsia="宋体" w:hint="eastAsia"/>
                <w:sz w:val="21"/>
              </w:rPr>
            </w:pPr>
            <w:r>
              <w:rPr>
                <w:rFonts w:ascii="宋体" w:eastAsia="宋体" w:hint="eastAsia"/>
                <w:sz w:val="21"/>
              </w:rPr>
              <w:t>苍蝇</w:t>
            </w:r>
          </w:p>
        </w:tc>
        <w:tc>
          <w:tcPr>
            <w:tcW w:w="6981" w:type="dxa"/>
            <w:tcBorders>
              <w:top w:val="single" w:sz="6" w:space="0" w:color="000000"/>
              <w:left w:val="single" w:sz="6" w:space="0" w:color="000000"/>
            </w:tcBorders>
          </w:tcPr>
          <w:p>
            <w:pPr>
              <w:pStyle w:val="TableParagraph"/>
              <w:spacing w:before="46"/>
              <w:ind w:left="1481" w:right="1447"/>
              <w:rPr>
                <w:rFonts w:ascii="宋体" w:eastAsia="宋体" w:hint="eastAsia"/>
                <w:sz w:val="21"/>
              </w:rPr>
            </w:pPr>
            <w:r>
              <w:rPr>
                <w:rFonts w:ascii="宋体" w:eastAsia="宋体" w:hint="eastAsia"/>
                <w:sz w:val="21"/>
              </w:rPr>
              <w:t>堆体周围不应有活的蛆、蛹或新羽化的成蝇</w:t>
            </w:r>
          </w:p>
        </w:tc>
      </w:tr>
    </w:tbl>
    <w:p>
      <w:pPr>
        <w:pStyle w:val="ListParagraph"/>
        <w:numPr>
          <w:ilvl w:val="1"/>
          <w:numId w:val="12"/>
        </w:numPr>
        <w:tabs>
          <w:tab w:pos="730" w:val="left" w:leader="none"/>
        </w:tabs>
        <w:spacing w:line="240" w:lineRule="auto" w:before="136" w:after="0"/>
        <w:ind w:left="729" w:right="0" w:hanging="493"/>
        <w:jc w:val="left"/>
        <w:rPr>
          <w:rFonts w:ascii="Times New Roman" w:eastAsia="Times New Roman"/>
          <w:b/>
          <w:sz w:val="28"/>
        </w:rPr>
      </w:pPr>
      <w:bookmarkStart w:name="_bookmark27" w:id="53"/>
      <w:bookmarkEnd w:id="53"/>
      <w:r>
        <w:rPr/>
      </w:r>
      <w:bookmarkStart w:name="_bookmark27" w:id="54"/>
      <w:bookmarkEnd w:id="54"/>
      <w:r>
        <w:rPr>
          <w:b/>
          <w:sz w:val="28"/>
        </w:rPr>
        <w:t>评价工作等级和评价范围</w:t>
      </w:r>
    </w:p>
    <w:p>
      <w:pPr>
        <w:pStyle w:val="ListParagraph"/>
        <w:numPr>
          <w:ilvl w:val="2"/>
          <w:numId w:val="12"/>
        </w:numPr>
        <w:tabs>
          <w:tab w:pos="838" w:val="left" w:leader="none"/>
        </w:tabs>
        <w:spacing w:line="240" w:lineRule="auto" w:before="214" w:after="0"/>
        <w:ind w:left="837" w:right="0" w:hanging="601"/>
        <w:jc w:val="left"/>
        <w:rPr>
          <w:b/>
          <w:sz w:val="24"/>
        </w:rPr>
      </w:pPr>
      <w:bookmarkStart w:name="_bookmark28" w:id="55"/>
      <w:bookmarkEnd w:id="55"/>
      <w:r>
        <w:rPr/>
      </w:r>
      <w:bookmarkStart w:name="_bookmark28" w:id="56"/>
      <w:bookmarkEnd w:id="56"/>
      <w:r>
        <w:rPr>
          <w:b/>
          <w:sz w:val="24"/>
        </w:rPr>
        <w:t>评价等级</w:t>
      </w:r>
    </w:p>
    <w:p>
      <w:pPr>
        <w:spacing w:before="161"/>
        <w:ind w:left="719" w:right="0" w:firstLine="0"/>
        <w:jc w:val="left"/>
        <w:rPr>
          <w:b/>
          <w:sz w:val="24"/>
        </w:rPr>
      </w:pPr>
      <w:r>
        <w:rPr>
          <w:rFonts w:ascii="Times New Roman" w:eastAsia="Times New Roman"/>
          <w:b/>
          <w:sz w:val="24"/>
        </w:rPr>
        <w:t>1</w:t>
      </w:r>
      <w:r>
        <w:rPr>
          <w:b/>
          <w:sz w:val="24"/>
        </w:rPr>
        <w:t>、地表水环境</w:t>
      </w:r>
    </w:p>
    <w:p>
      <w:pPr>
        <w:pStyle w:val="BodyText"/>
        <w:spacing w:line="364" w:lineRule="auto" w:before="160"/>
        <w:ind w:right="248" w:firstLine="480"/>
        <w:jc w:val="both"/>
      </w:pPr>
      <w:r>
        <w:rPr/>
        <w:t>本项目为生猪规模化养殖项目，根据《环境影响评价技术导则 地表水环境》（</w:t>
      </w:r>
      <w:r>
        <w:rPr>
          <w:rFonts w:ascii="Times New Roman" w:eastAsia="Times New Roman"/>
          <w:position w:val="1"/>
        </w:rPr>
        <w:t>HJ 2.3-2018</w:t>
      </w:r>
      <w:r>
        <w:rPr/>
        <w:t>），本项目属于水污染影响型建设项目，其评价等级判定依据见表 </w:t>
      </w:r>
      <w:r>
        <w:rPr>
          <w:rFonts w:ascii="Times New Roman" w:eastAsia="Times New Roman"/>
          <w:position w:val="1"/>
        </w:rPr>
        <w:t>2.4-1</w:t>
      </w:r>
      <w:r>
        <w:rPr/>
        <w:t>。因项目产生的各类废水经厂内自建的污水处理装置预处理后由市政污水管网纳入绍兴污水处</w:t>
      </w:r>
    </w:p>
    <w:p>
      <w:pPr>
        <w:spacing w:after="0" w:line="364" w:lineRule="auto"/>
        <w:jc w:val="both"/>
        <w:sectPr>
          <w:pgSz w:w="11910" w:h="16840"/>
          <w:pgMar w:header="874" w:footer="1004" w:top="1400" w:bottom="1200" w:left="1040" w:right="1160"/>
        </w:sectPr>
      </w:pPr>
    </w:p>
    <w:p>
      <w:pPr>
        <w:pStyle w:val="BodyText"/>
        <w:spacing w:before="121"/>
      </w:pPr>
      <w:r>
        <w:rPr/>
        <w:t>理厂处理，故本项目地表水环境影响评价等级直接定为三级 </w:t>
      </w:r>
      <w:r>
        <w:rPr>
          <w:rFonts w:ascii="Times New Roman" w:eastAsia="Times New Roman"/>
          <w:position w:val="1"/>
        </w:rPr>
        <w:t>B</w:t>
      </w:r>
      <w:r>
        <w:rPr/>
        <w:t>。</w:t>
      </w:r>
    </w:p>
    <w:p>
      <w:pPr>
        <w:pStyle w:val="Heading3"/>
        <w:ind w:left="2455"/>
      </w:pPr>
      <w:r>
        <w:rPr/>
        <w:t>表 </w:t>
      </w:r>
      <w:r>
        <w:rPr>
          <w:rFonts w:ascii="Times New Roman" w:eastAsia="Times New Roman"/>
        </w:rPr>
        <w:t>2.4-1  </w:t>
      </w:r>
      <w:r>
        <w:rPr/>
        <w:t>水污染影响型建设项目评价等级判定</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54"/>
        <w:gridCol w:w="1355"/>
        <w:gridCol w:w="6725"/>
      </w:tblGrid>
      <w:tr>
        <w:trPr>
          <w:trHeight w:val="359" w:hRule="atLeast"/>
        </w:trPr>
        <w:tc>
          <w:tcPr>
            <w:tcW w:w="1354"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253"/>
              <w:jc w:val="left"/>
              <w:rPr>
                <w:rFonts w:ascii="宋体" w:eastAsia="宋体" w:hint="eastAsia"/>
                <w:b/>
                <w:sz w:val="21"/>
              </w:rPr>
            </w:pPr>
            <w:r>
              <w:rPr>
                <w:rFonts w:ascii="宋体" w:eastAsia="宋体" w:hint="eastAsia"/>
                <w:b/>
                <w:sz w:val="21"/>
              </w:rPr>
              <w:t>评价等级</w:t>
            </w:r>
          </w:p>
        </w:tc>
        <w:tc>
          <w:tcPr>
            <w:tcW w:w="8080" w:type="dxa"/>
            <w:gridSpan w:val="2"/>
            <w:tcBorders>
              <w:left w:val="single" w:sz="6" w:space="0" w:color="000000"/>
              <w:bottom w:val="single" w:sz="6" w:space="0" w:color="000000"/>
            </w:tcBorders>
          </w:tcPr>
          <w:p>
            <w:pPr>
              <w:pStyle w:val="TableParagraph"/>
              <w:spacing w:before="46"/>
              <w:ind w:left="3604" w:right="3569"/>
              <w:rPr>
                <w:rFonts w:ascii="宋体" w:eastAsia="宋体" w:hint="eastAsia"/>
                <w:b/>
                <w:sz w:val="21"/>
              </w:rPr>
            </w:pPr>
            <w:r>
              <w:rPr>
                <w:rFonts w:ascii="宋体" w:eastAsia="宋体" w:hint="eastAsia"/>
                <w:b/>
                <w:sz w:val="21"/>
              </w:rPr>
              <w:t>判定依据</w:t>
            </w:r>
          </w:p>
        </w:tc>
      </w:tr>
      <w:tr>
        <w:trPr>
          <w:trHeight w:val="359" w:hRule="atLeast"/>
        </w:trPr>
        <w:tc>
          <w:tcPr>
            <w:tcW w:w="1354" w:type="dxa"/>
            <w:vMerge/>
            <w:tcBorders>
              <w:top w:val="nil"/>
              <w:bottom w:val="single" w:sz="6" w:space="0" w:color="000000"/>
              <w:right w:val="single" w:sz="6" w:space="0" w:color="000000"/>
            </w:tcBorders>
          </w:tcPr>
          <w:p>
            <w:pPr>
              <w:rPr>
                <w:sz w:val="2"/>
                <w:szCs w:val="2"/>
              </w:rPr>
            </w:pPr>
          </w:p>
        </w:tc>
        <w:tc>
          <w:tcPr>
            <w:tcW w:w="1355" w:type="dxa"/>
            <w:tcBorders>
              <w:top w:val="single" w:sz="6" w:space="0" w:color="000000"/>
              <w:left w:val="single" w:sz="6" w:space="0" w:color="000000"/>
              <w:bottom w:val="single" w:sz="6" w:space="0" w:color="000000"/>
              <w:right w:val="single" w:sz="6" w:space="0" w:color="000000"/>
            </w:tcBorders>
          </w:tcPr>
          <w:p>
            <w:pPr>
              <w:pStyle w:val="TableParagraph"/>
              <w:spacing w:before="46"/>
              <w:ind w:left="241" w:right="215"/>
              <w:rPr>
                <w:rFonts w:ascii="宋体" w:eastAsia="宋体" w:hint="eastAsia"/>
                <w:b/>
                <w:sz w:val="21"/>
              </w:rPr>
            </w:pPr>
            <w:r>
              <w:rPr>
                <w:rFonts w:ascii="宋体" w:eastAsia="宋体" w:hint="eastAsia"/>
                <w:b/>
                <w:sz w:val="21"/>
              </w:rPr>
              <w:t>排放方式</w:t>
            </w:r>
          </w:p>
        </w:tc>
        <w:tc>
          <w:tcPr>
            <w:tcW w:w="6725" w:type="dxa"/>
            <w:tcBorders>
              <w:top w:val="single" w:sz="6" w:space="0" w:color="000000"/>
              <w:left w:val="single" w:sz="6" w:space="0" w:color="000000"/>
              <w:bottom w:val="single" w:sz="6" w:space="0" w:color="000000"/>
            </w:tcBorders>
          </w:tcPr>
          <w:p>
            <w:pPr>
              <w:pStyle w:val="TableParagraph"/>
              <w:spacing w:before="46"/>
              <w:ind w:left="729" w:right="700"/>
              <w:rPr>
                <w:rFonts w:ascii="宋体" w:hAnsi="宋体" w:eastAsia="宋体" w:hint="eastAsia"/>
                <w:b/>
                <w:sz w:val="21"/>
              </w:rPr>
            </w:pPr>
            <w:r>
              <w:rPr>
                <w:rFonts w:ascii="宋体" w:hAnsi="宋体" w:eastAsia="宋体" w:hint="eastAsia"/>
                <w:b/>
                <w:sz w:val="21"/>
              </w:rPr>
              <w:t>废水排放量 </w:t>
            </w:r>
            <w:r>
              <w:rPr>
                <w:b/>
                <w:i/>
                <w:sz w:val="21"/>
              </w:rPr>
              <w:t>Q</w:t>
            </w:r>
            <w:r>
              <w:rPr>
                <w:rFonts w:ascii="宋体" w:hAnsi="宋体" w:eastAsia="宋体" w:hint="eastAsia"/>
                <w:b/>
                <w:sz w:val="21"/>
              </w:rPr>
              <w:t>（</w:t>
            </w:r>
            <w:r>
              <w:rPr>
                <w:b/>
                <w:sz w:val="21"/>
              </w:rPr>
              <w:t>m³/d </w:t>
            </w:r>
            <w:r>
              <w:rPr>
                <w:rFonts w:ascii="宋体" w:hAnsi="宋体" w:eastAsia="宋体" w:hint="eastAsia"/>
                <w:b/>
                <w:sz w:val="21"/>
              </w:rPr>
              <w:t>）；水污染物当量数 </w:t>
            </w:r>
            <w:r>
              <w:rPr>
                <w:b/>
                <w:i/>
                <w:sz w:val="21"/>
              </w:rPr>
              <w:t>W</w:t>
            </w:r>
            <w:r>
              <w:rPr>
                <w:rFonts w:ascii="宋体" w:hAnsi="宋体" w:eastAsia="宋体" w:hint="eastAsia"/>
                <w:b/>
                <w:sz w:val="21"/>
              </w:rPr>
              <w:t>（无量纲）</w:t>
            </w:r>
          </w:p>
        </w:tc>
      </w:tr>
      <w:tr>
        <w:trPr>
          <w:trHeight w:val="356" w:hRule="atLeast"/>
        </w:trPr>
        <w:tc>
          <w:tcPr>
            <w:tcW w:w="1354" w:type="dxa"/>
            <w:tcBorders>
              <w:top w:val="single" w:sz="6" w:space="0" w:color="000000"/>
              <w:bottom w:val="single" w:sz="6" w:space="0" w:color="000000"/>
              <w:right w:val="single" w:sz="6" w:space="0" w:color="000000"/>
            </w:tcBorders>
          </w:tcPr>
          <w:p>
            <w:pPr>
              <w:pStyle w:val="TableParagraph"/>
              <w:spacing w:before="46"/>
              <w:ind w:left="368" w:right="348"/>
              <w:rPr>
                <w:rFonts w:ascii="宋体" w:eastAsia="宋体" w:hint="eastAsia"/>
                <w:sz w:val="21"/>
              </w:rPr>
            </w:pPr>
            <w:r>
              <w:rPr>
                <w:rFonts w:ascii="宋体" w:eastAsia="宋体" w:hint="eastAsia"/>
                <w:sz w:val="21"/>
              </w:rPr>
              <w:t>一级</w:t>
            </w:r>
          </w:p>
        </w:tc>
        <w:tc>
          <w:tcPr>
            <w:tcW w:w="1355" w:type="dxa"/>
            <w:tcBorders>
              <w:top w:val="single" w:sz="6" w:space="0" w:color="000000"/>
              <w:left w:val="single" w:sz="6" w:space="0" w:color="000000"/>
              <w:bottom w:val="single" w:sz="6" w:space="0" w:color="000000"/>
              <w:right w:val="single" w:sz="6" w:space="0" w:color="000000"/>
            </w:tcBorders>
          </w:tcPr>
          <w:p>
            <w:pPr>
              <w:pStyle w:val="TableParagraph"/>
              <w:spacing w:before="46"/>
              <w:ind w:left="241" w:right="213"/>
              <w:rPr>
                <w:rFonts w:ascii="宋体" w:eastAsia="宋体" w:hint="eastAsia"/>
                <w:sz w:val="21"/>
              </w:rPr>
            </w:pPr>
            <w:r>
              <w:rPr>
                <w:rFonts w:ascii="宋体" w:eastAsia="宋体" w:hint="eastAsia"/>
                <w:sz w:val="21"/>
              </w:rPr>
              <w:t>直接排放</w:t>
            </w:r>
          </w:p>
        </w:tc>
        <w:tc>
          <w:tcPr>
            <w:tcW w:w="6725" w:type="dxa"/>
            <w:tcBorders>
              <w:top w:val="single" w:sz="6" w:space="0" w:color="000000"/>
              <w:left w:val="single" w:sz="6" w:space="0" w:color="000000"/>
              <w:bottom w:val="single" w:sz="6" w:space="0" w:color="000000"/>
            </w:tcBorders>
          </w:tcPr>
          <w:p>
            <w:pPr>
              <w:pStyle w:val="TableParagraph"/>
              <w:spacing w:before="46"/>
              <w:ind w:left="729" w:right="695"/>
              <w:rPr>
                <w:sz w:val="21"/>
              </w:rPr>
            </w:pPr>
            <w:r>
              <w:rPr>
                <w:i/>
                <w:position w:val="1"/>
                <w:sz w:val="21"/>
              </w:rPr>
              <w:t>Q</w:t>
            </w:r>
            <w:r>
              <w:rPr>
                <w:position w:val="1"/>
                <w:sz w:val="21"/>
              </w:rPr>
              <w:t>≥2000 </w:t>
            </w:r>
            <w:r>
              <w:rPr>
                <w:rFonts w:ascii="宋体" w:hAnsi="宋体" w:eastAsia="宋体" w:hint="eastAsia"/>
                <w:sz w:val="21"/>
              </w:rPr>
              <w:t>或 </w:t>
            </w:r>
            <w:r>
              <w:rPr>
                <w:i/>
                <w:position w:val="1"/>
                <w:sz w:val="21"/>
              </w:rPr>
              <w:t>W</w:t>
            </w:r>
            <w:r>
              <w:rPr>
                <w:position w:val="1"/>
                <w:sz w:val="21"/>
              </w:rPr>
              <w:t>≥600000</w:t>
            </w:r>
          </w:p>
        </w:tc>
      </w:tr>
      <w:tr>
        <w:trPr>
          <w:trHeight w:val="359" w:hRule="atLeast"/>
        </w:trPr>
        <w:tc>
          <w:tcPr>
            <w:tcW w:w="1354" w:type="dxa"/>
            <w:tcBorders>
              <w:top w:val="single" w:sz="6" w:space="0" w:color="000000"/>
              <w:bottom w:val="single" w:sz="6" w:space="0" w:color="000000"/>
              <w:right w:val="single" w:sz="6" w:space="0" w:color="000000"/>
            </w:tcBorders>
          </w:tcPr>
          <w:p>
            <w:pPr>
              <w:pStyle w:val="TableParagraph"/>
              <w:spacing w:before="49"/>
              <w:ind w:left="368" w:right="348"/>
              <w:rPr>
                <w:rFonts w:ascii="宋体" w:eastAsia="宋体" w:hint="eastAsia"/>
                <w:sz w:val="21"/>
              </w:rPr>
            </w:pPr>
            <w:r>
              <w:rPr>
                <w:rFonts w:ascii="宋体" w:eastAsia="宋体" w:hint="eastAsia"/>
                <w:sz w:val="21"/>
              </w:rPr>
              <w:t>二级</w:t>
            </w:r>
          </w:p>
        </w:tc>
        <w:tc>
          <w:tcPr>
            <w:tcW w:w="1355" w:type="dxa"/>
            <w:tcBorders>
              <w:top w:val="single" w:sz="6" w:space="0" w:color="000000"/>
              <w:left w:val="single" w:sz="6" w:space="0" w:color="000000"/>
              <w:bottom w:val="single" w:sz="6" w:space="0" w:color="000000"/>
              <w:right w:val="single" w:sz="6" w:space="0" w:color="000000"/>
            </w:tcBorders>
          </w:tcPr>
          <w:p>
            <w:pPr>
              <w:pStyle w:val="TableParagraph"/>
              <w:spacing w:before="49"/>
              <w:ind w:left="241" w:right="213"/>
              <w:rPr>
                <w:rFonts w:ascii="宋体" w:eastAsia="宋体" w:hint="eastAsia"/>
                <w:sz w:val="21"/>
              </w:rPr>
            </w:pPr>
            <w:r>
              <w:rPr>
                <w:rFonts w:ascii="宋体" w:eastAsia="宋体" w:hint="eastAsia"/>
                <w:sz w:val="21"/>
              </w:rPr>
              <w:t>直接排放</w:t>
            </w:r>
          </w:p>
        </w:tc>
        <w:tc>
          <w:tcPr>
            <w:tcW w:w="6725" w:type="dxa"/>
            <w:tcBorders>
              <w:top w:val="single" w:sz="6" w:space="0" w:color="000000"/>
              <w:left w:val="single" w:sz="6" w:space="0" w:color="000000"/>
              <w:bottom w:val="single" w:sz="6" w:space="0" w:color="000000"/>
            </w:tcBorders>
          </w:tcPr>
          <w:p>
            <w:pPr>
              <w:pStyle w:val="TableParagraph"/>
              <w:spacing w:before="49"/>
              <w:ind w:left="729" w:right="695"/>
              <w:rPr>
                <w:rFonts w:ascii="宋体" w:eastAsia="宋体" w:hint="eastAsia"/>
                <w:sz w:val="21"/>
              </w:rPr>
            </w:pPr>
            <w:r>
              <w:rPr>
                <w:rFonts w:ascii="宋体" w:eastAsia="宋体" w:hint="eastAsia"/>
                <w:sz w:val="21"/>
              </w:rPr>
              <w:t>其他</w:t>
            </w:r>
          </w:p>
        </w:tc>
      </w:tr>
      <w:tr>
        <w:trPr>
          <w:trHeight w:val="359" w:hRule="atLeast"/>
        </w:trPr>
        <w:tc>
          <w:tcPr>
            <w:tcW w:w="1354" w:type="dxa"/>
            <w:tcBorders>
              <w:top w:val="single" w:sz="6" w:space="0" w:color="000000"/>
              <w:bottom w:val="single" w:sz="6" w:space="0" w:color="000000"/>
              <w:right w:val="single" w:sz="6" w:space="0" w:color="000000"/>
            </w:tcBorders>
          </w:tcPr>
          <w:p>
            <w:pPr>
              <w:pStyle w:val="TableParagraph"/>
              <w:spacing w:before="46"/>
              <w:ind w:left="370" w:right="348"/>
              <w:rPr>
                <w:sz w:val="21"/>
              </w:rPr>
            </w:pPr>
            <w:r>
              <w:rPr>
                <w:rFonts w:ascii="宋体" w:eastAsia="宋体" w:hint="eastAsia"/>
                <w:sz w:val="21"/>
              </w:rPr>
              <w:t>三级</w:t>
            </w:r>
            <w:r>
              <w:rPr>
                <w:position w:val="1"/>
                <w:sz w:val="21"/>
              </w:rPr>
              <w:t>A</w:t>
            </w:r>
          </w:p>
        </w:tc>
        <w:tc>
          <w:tcPr>
            <w:tcW w:w="1355" w:type="dxa"/>
            <w:tcBorders>
              <w:top w:val="single" w:sz="6" w:space="0" w:color="000000"/>
              <w:left w:val="single" w:sz="6" w:space="0" w:color="000000"/>
              <w:bottom w:val="single" w:sz="6" w:space="0" w:color="000000"/>
              <w:right w:val="single" w:sz="6" w:space="0" w:color="000000"/>
            </w:tcBorders>
          </w:tcPr>
          <w:p>
            <w:pPr>
              <w:pStyle w:val="TableParagraph"/>
              <w:spacing w:before="46"/>
              <w:ind w:left="241" w:right="213"/>
              <w:rPr>
                <w:rFonts w:ascii="宋体" w:eastAsia="宋体" w:hint="eastAsia"/>
                <w:sz w:val="21"/>
              </w:rPr>
            </w:pPr>
            <w:r>
              <w:rPr>
                <w:rFonts w:ascii="宋体" w:eastAsia="宋体" w:hint="eastAsia"/>
                <w:sz w:val="21"/>
              </w:rPr>
              <w:t>直接排放</w:t>
            </w:r>
          </w:p>
        </w:tc>
        <w:tc>
          <w:tcPr>
            <w:tcW w:w="6725" w:type="dxa"/>
            <w:tcBorders>
              <w:top w:val="single" w:sz="6" w:space="0" w:color="000000"/>
              <w:left w:val="single" w:sz="6" w:space="0" w:color="000000"/>
              <w:bottom w:val="single" w:sz="6" w:space="0" w:color="000000"/>
            </w:tcBorders>
          </w:tcPr>
          <w:p>
            <w:pPr>
              <w:pStyle w:val="TableParagraph"/>
              <w:spacing w:before="46"/>
              <w:ind w:left="729" w:right="695"/>
              <w:rPr>
                <w:sz w:val="21"/>
              </w:rPr>
            </w:pPr>
            <w:r>
              <w:rPr>
                <w:i/>
                <w:position w:val="1"/>
                <w:sz w:val="21"/>
              </w:rPr>
              <w:t>Q</w:t>
            </w:r>
            <w:r>
              <w:rPr>
                <w:rFonts w:ascii="宋体" w:eastAsia="宋体" w:hint="eastAsia"/>
                <w:sz w:val="21"/>
              </w:rPr>
              <w:t>＜</w:t>
            </w:r>
            <w:r>
              <w:rPr>
                <w:position w:val="1"/>
                <w:sz w:val="21"/>
              </w:rPr>
              <w:t>200 </w:t>
            </w:r>
            <w:r>
              <w:rPr>
                <w:rFonts w:ascii="宋体" w:eastAsia="宋体" w:hint="eastAsia"/>
                <w:sz w:val="21"/>
              </w:rPr>
              <w:t>或 </w:t>
            </w:r>
            <w:r>
              <w:rPr>
                <w:i/>
                <w:position w:val="1"/>
                <w:sz w:val="21"/>
              </w:rPr>
              <w:t>W</w:t>
            </w:r>
            <w:r>
              <w:rPr>
                <w:rFonts w:ascii="宋体" w:eastAsia="宋体" w:hint="eastAsia"/>
                <w:sz w:val="21"/>
              </w:rPr>
              <w:t>＜</w:t>
            </w:r>
            <w:r>
              <w:rPr>
                <w:position w:val="1"/>
                <w:sz w:val="21"/>
              </w:rPr>
              <w:t>6000</w:t>
            </w:r>
          </w:p>
        </w:tc>
      </w:tr>
      <w:tr>
        <w:trPr>
          <w:trHeight w:val="359" w:hRule="atLeast"/>
        </w:trPr>
        <w:tc>
          <w:tcPr>
            <w:tcW w:w="1354" w:type="dxa"/>
            <w:tcBorders>
              <w:top w:val="single" w:sz="6" w:space="0" w:color="000000"/>
              <w:right w:val="single" w:sz="6" w:space="0" w:color="000000"/>
            </w:tcBorders>
          </w:tcPr>
          <w:p>
            <w:pPr>
              <w:pStyle w:val="TableParagraph"/>
              <w:spacing w:before="46"/>
              <w:ind w:left="368" w:right="348"/>
              <w:rPr>
                <w:sz w:val="21"/>
              </w:rPr>
            </w:pPr>
            <w:r>
              <w:rPr>
                <w:rFonts w:ascii="宋体" w:eastAsia="宋体" w:hint="eastAsia"/>
                <w:sz w:val="21"/>
              </w:rPr>
              <w:t>三级</w:t>
            </w:r>
            <w:r>
              <w:rPr>
                <w:position w:val="1"/>
                <w:sz w:val="21"/>
              </w:rPr>
              <w:t>B</w:t>
            </w:r>
          </w:p>
        </w:tc>
        <w:tc>
          <w:tcPr>
            <w:tcW w:w="1355" w:type="dxa"/>
            <w:tcBorders>
              <w:top w:val="single" w:sz="6" w:space="0" w:color="000000"/>
              <w:left w:val="single" w:sz="6" w:space="0" w:color="000000"/>
              <w:right w:val="single" w:sz="6" w:space="0" w:color="000000"/>
            </w:tcBorders>
          </w:tcPr>
          <w:p>
            <w:pPr>
              <w:pStyle w:val="TableParagraph"/>
              <w:spacing w:before="46"/>
              <w:ind w:left="241" w:right="213"/>
              <w:rPr>
                <w:rFonts w:ascii="宋体" w:eastAsia="宋体" w:hint="eastAsia"/>
                <w:sz w:val="21"/>
              </w:rPr>
            </w:pPr>
            <w:r>
              <w:rPr>
                <w:rFonts w:ascii="宋体" w:eastAsia="宋体" w:hint="eastAsia"/>
                <w:sz w:val="21"/>
              </w:rPr>
              <w:t>间接排放</w:t>
            </w:r>
          </w:p>
        </w:tc>
        <w:tc>
          <w:tcPr>
            <w:tcW w:w="6725" w:type="dxa"/>
            <w:tcBorders>
              <w:top w:val="single" w:sz="6" w:space="0" w:color="000000"/>
              <w:left w:val="single" w:sz="6" w:space="0" w:color="000000"/>
            </w:tcBorders>
          </w:tcPr>
          <w:p>
            <w:pPr>
              <w:pStyle w:val="TableParagraph"/>
              <w:ind w:left="30"/>
              <w:rPr>
                <w:sz w:val="21"/>
              </w:rPr>
            </w:pPr>
            <w:r>
              <w:rPr>
                <w:w w:val="100"/>
                <w:sz w:val="21"/>
              </w:rPr>
              <w:t>/</w:t>
            </w:r>
          </w:p>
        </w:tc>
      </w:tr>
    </w:tbl>
    <w:p>
      <w:pPr>
        <w:spacing w:before="81"/>
        <w:ind w:left="719" w:right="0" w:firstLine="0"/>
        <w:jc w:val="left"/>
        <w:rPr>
          <w:b/>
          <w:sz w:val="24"/>
        </w:rPr>
      </w:pPr>
      <w:r>
        <w:rPr>
          <w:rFonts w:ascii="Times New Roman" w:eastAsia="Times New Roman"/>
          <w:b/>
          <w:sz w:val="24"/>
        </w:rPr>
        <w:t>2</w:t>
      </w:r>
      <w:r>
        <w:rPr>
          <w:b/>
          <w:sz w:val="24"/>
        </w:rPr>
        <w:t>、地下水环境</w:t>
      </w:r>
    </w:p>
    <w:p>
      <w:pPr>
        <w:pStyle w:val="BodyText"/>
        <w:spacing w:line="364" w:lineRule="auto" w:before="161"/>
        <w:ind w:right="131" w:firstLine="480"/>
      </w:pPr>
      <w:r>
        <w:rPr>
          <w:spacing w:val="-16"/>
        </w:rPr>
        <w:t>本项目为畜禽养殖场项目，根据国家《环境影响评价技术导则 地下水</w:t>
      </w:r>
      <w:r>
        <w:rPr>
          <w:spacing w:val="-216"/>
        </w:rPr>
        <w:t>》</w:t>
      </w:r>
      <w:r>
        <w:rPr/>
        <w:t>（</w:t>
      </w:r>
      <w:r>
        <w:rPr>
          <w:rFonts w:ascii="Times New Roman" w:hAnsi="Times New Roman" w:eastAsia="Times New Roman"/>
          <w:position w:val="1"/>
        </w:rPr>
        <w:t>HJ</w:t>
      </w:r>
      <w:r>
        <w:rPr>
          <w:rFonts w:ascii="Times New Roman" w:hAnsi="Times New Roman" w:eastAsia="Times New Roman"/>
          <w:spacing w:val="3"/>
          <w:position w:val="1"/>
        </w:rPr>
        <w:t> </w:t>
      </w:r>
      <w:r>
        <w:rPr>
          <w:rFonts w:ascii="Times New Roman" w:hAnsi="Times New Roman" w:eastAsia="Times New Roman"/>
          <w:spacing w:val="-3"/>
          <w:position w:val="1"/>
        </w:rPr>
        <w:t>610-2016</w:t>
      </w:r>
      <w:r>
        <w:rPr>
          <w:spacing w:val="-3"/>
        </w:rPr>
        <w:t>） </w:t>
      </w:r>
      <w:r>
        <w:rPr>
          <w:spacing w:val="-11"/>
        </w:rPr>
        <w:t>中附录 </w:t>
      </w:r>
      <w:r>
        <w:rPr>
          <w:rFonts w:ascii="Times New Roman" w:hAnsi="Times New Roman" w:eastAsia="Times New Roman"/>
          <w:position w:val="1"/>
        </w:rPr>
        <w:t>A</w:t>
      </w:r>
      <w:r>
        <w:rPr>
          <w:rFonts w:ascii="Times New Roman" w:hAnsi="Times New Roman" w:eastAsia="Times New Roman"/>
          <w:spacing w:val="19"/>
          <w:position w:val="1"/>
        </w:rPr>
        <w:t> </w:t>
      </w:r>
      <w:r>
        <w:rPr/>
        <w:t>的行业分类表，本项目地下水环境影响评价项目类别为Ⅲ类。项目所在区域不存在集中式饮用水水源准保护区及补给径流区、特殊的地下水资源保护区及以外的分布区、国家或地方政府设定的其他保护区等敏感区，周边居民生活用水主要由自来水管供</w:t>
      </w:r>
      <w:r>
        <w:rPr>
          <w:spacing w:val="-10"/>
        </w:rPr>
        <w:t>应，无分散式饮用水水源地，因此地下水环境敏感程度分级为</w:t>
      </w:r>
      <w:r>
        <w:rPr>
          <w:rFonts w:ascii="Times New Roman" w:hAnsi="Times New Roman" w:eastAsia="Times New Roman"/>
          <w:position w:val="1"/>
        </w:rPr>
        <w:t>“</w:t>
      </w:r>
      <w:r>
        <w:rPr/>
        <w:t>不敏感</w:t>
      </w:r>
      <w:r>
        <w:rPr>
          <w:rFonts w:ascii="Times New Roman" w:hAnsi="Times New Roman" w:eastAsia="Times New Roman"/>
          <w:position w:val="1"/>
        </w:rPr>
        <w:t>”</w:t>
      </w:r>
      <w:r>
        <w:rPr>
          <w:spacing w:val="-7"/>
        </w:rPr>
        <w:t>。结合导则关于地</w:t>
      </w:r>
      <w:r>
        <w:rPr>
          <w:spacing w:val="-9"/>
        </w:rPr>
        <w:t>下水环境影响评价工作等级分级表</w:t>
      </w:r>
      <w:r>
        <w:rPr/>
        <w:t>（</w:t>
      </w:r>
      <w:r>
        <w:rPr>
          <w:spacing w:val="-14"/>
        </w:rPr>
        <w:t>详见表 </w:t>
      </w:r>
      <w:r>
        <w:rPr>
          <w:rFonts w:ascii="Times New Roman" w:hAnsi="Times New Roman" w:eastAsia="Times New Roman"/>
          <w:spacing w:val="-11"/>
          <w:position w:val="1"/>
        </w:rPr>
        <w:t>2.4-2</w:t>
      </w:r>
      <w:r>
        <w:rPr>
          <w:spacing w:val="-11"/>
        </w:rPr>
        <w:t>），</w:t>
      </w:r>
      <w:r>
        <w:rPr>
          <w:spacing w:val="-1"/>
        </w:rPr>
        <w:t>确定本项目地下水评价等级为三级。</w:t>
      </w:r>
    </w:p>
    <w:p>
      <w:pPr>
        <w:pStyle w:val="Heading3"/>
        <w:spacing w:before="4"/>
        <w:ind w:left="2455"/>
      </w:pPr>
      <w:r>
        <w:rPr/>
        <w:pict>
          <v:line style="position:absolute;mso-position-horizontal-relative:page;mso-position-vertical-relative:paragraph;z-index:-315578368" from="59.183998pt,21.079987pt" to="175.969998pt,56.979987pt" stroked="true" strokeweight=".48pt" strokecolor="#000000">
            <v:stroke dashstyle="solid"/>
            <w10:wrap type="none"/>
          </v:line>
        </w:pict>
      </w:r>
      <w:r>
        <w:rPr/>
        <w:t>表 </w:t>
      </w:r>
      <w:r>
        <w:rPr>
          <w:rFonts w:ascii="Times New Roman" w:eastAsia="Times New Roman"/>
        </w:rPr>
        <w:t>2.4-2  </w:t>
      </w:r>
      <w:r>
        <w:rPr/>
        <w:t>地下水环境影响评价工作等级分级表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7"/>
        <w:gridCol w:w="2357"/>
        <w:gridCol w:w="2360"/>
        <w:gridCol w:w="2357"/>
      </w:tblGrid>
      <w:tr>
        <w:trPr>
          <w:trHeight w:val="719" w:hRule="atLeast"/>
        </w:trPr>
        <w:tc>
          <w:tcPr>
            <w:tcW w:w="2357" w:type="dxa"/>
            <w:tcBorders>
              <w:bottom w:val="single" w:sz="6" w:space="0" w:color="000000"/>
              <w:right w:val="single" w:sz="6" w:space="0" w:color="000000"/>
            </w:tcBorders>
          </w:tcPr>
          <w:p>
            <w:pPr>
              <w:pStyle w:val="TableParagraph"/>
              <w:spacing w:before="49"/>
              <w:ind w:left="1405"/>
              <w:jc w:val="left"/>
              <w:rPr>
                <w:rFonts w:ascii="宋体" w:eastAsia="宋体" w:hint="eastAsia"/>
                <w:b/>
                <w:sz w:val="21"/>
              </w:rPr>
            </w:pPr>
            <w:r>
              <w:rPr>
                <w:rFonts w:ascii="宋体" w:eastAsia="宋体" w:hint="eastAsia"/>
                <w:b/>
                <w:sz w:val="21"/>
              </w:rPr>
              <w:t>项目类别</w:t>
            </w:r>
          </w:p>
          <w:p>
            <w:pPr>
              <w:pStyle w:val="TableParagraph"/>
              <w:spacing w:before="88"/>
              <w:ind w:left="107"/>
              <w:jc w:val="left"/>
              <w:rPr>
                <w:rFonts w:ascii="宋体" w:eastAsia="宋体" w:hint="eastAsia"/>
                <w:b/>
                <w:sz w:val="21"/>
              </w:rPr>
            </w:pPr>
            <w:r>
              <w:rPr>
                <w:rFonts w:ascii="宋体" w:eastAsia="宋体" w:hint="eastAsia"/>
                <w:b/>
                <w:sz w:val="21"/>
              </w:rPr>
              <w:t>环境敏感程度</w:t>
            </w:r>
          </w:p>
        </w:tc>
        <w:tc>
          <w:tcPr>
            <w:tcW w:w="2357"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488" w:right="459"/>
              <w:rPr>
                <w:rFonts w:ascii="宋体" w:hAnsi="宋体" w:eastAsia="宋体" w:hint="eastAsia"/>
                <w:b/>
                <w:sz w:val="21"/>
              </w:rPr>
            </w:pPr>
            <w:r>
              <w:rPr>
                <w:rFonts w:ascii="宋体" w:hAnsi="宋体" w:eastAsia="宋体" w:hint="eastAsia"/>
                <w:b/>
                <w:sz w:val="21"/>
              </w:rPr>
              <w:t>Ⅰ类项目</w:t>
            </w:r>
          </w:p>
        </w:tc>
        <w:tc>
          <w:tcPr>
            <w:tcW w:w="2360"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89" w:right="158"/>
              <w:rPr>
                <w:rFonts w:ascii="宋体" w:hAnsi="宋体" w:eastAsia="宋体" w:hint="eastAsia"/>
                <w:b/>
                <w:sz w:val="21"/>
              </w:rPr>
            </w:pPr>
            <w:r>
              <w:rPr>
                <w:rFonts w:ascii="宋体" w:hAnsi="宋体" w:eastAsia="宋体" w:hint="eastAsia"/>
                <w:b/>
                <w:sz w:val="21"/>
              </w:rPr>
              <w:t>Ⅱ类项目</w:t>
            </w:r>
          </w:p>
        </w:tc>
        <w:tc>
          <w:tcPr>
            <w:tcW w:w="2357" w:type="dxa"/>
            <w:tcBorders>
              <w:left w:val="single" w:sz="6" w:space="0" w:color="000000"/>
              <w:bottom w:val="single" w:sz="6" w:space="0" w:color="000000"/>
            </w:tcBorders>
          </w:tcPr>
          <w:p>
            <w:pPr>
              <w:pStyle w:val="TableParagraph"/>
              <w:spacing w:before="8"/>
              <w:jc w:val="left"/>
              <w:rPr>
                <w:rFonts w:ascii="宋体"/>
                <w:b/>
                <w:sz w:val="17"/>
              </w:rPr>
            </w:pPr>
          </w:p>
          <w:p>
            <w:pPr>
              <w:pStyle w:val="TableParagraph"/>
              <w:spacing w:before="0"/>
              <w:ind w:left="422" w:right="386"/>
              <w:rPr>
                <w:rFonts w:ascii="宋体" w:hAnsi="宋体" w:eastAsia="宋体" w:hint="eastAsia"/>
                <w:b/>
                <w:sz w:val="21"/>
              </w:rPr>
            </w:pPr>
            <w:r>
              <w:rPr>
                <w:rFonts w:ascii="宋体" w:hAnsi="宋体" w:eastAsia="宋体" w:hint="eastAsia"/>
                <w:b/>
                <w:sz w:val="21"/>
              </w:rPr>
              <w:t>Ⅲ类项目</w:t>
            </w:r>
          </w:p>
        </w:tc>
      </w:tr>
      <w:tr>
        <w:trPr>
          <w:trHeight w:val="356" w:hRule="atLeast"/>
        </w:trPr>
        <w:tc>
          <w:tcPr>
            <w:tcW w:w="2357" w:type="dxa"/>
            <w:tcBorders>
              <w:top w:val="single" w:sz="6" w:space="0" w:color="000000"/>
              <w:bottom w:val="single" w:sz="6" w:space="0" w:color="000000"/>
              <w:right w:val="single" w:sz="6" w:space="0" w:color="000000"/>
            </w:tcBorders>
          </w:tcPr>
          <w:p>
            <w:pPr>
              <w:pStyle w:val="TableParagraph"/>
              <w:spacing w:before="46"/>
              <w:ind w:left="421" w:right="401"/>
              <w:rPr>
                <w:rFonts w:ascii="宋体" w:eastAsia="宋体" w:hint="eastAsia"/>
                <w:sz w:val="21"/>
              </w:rPr>
            </w:pPr>
            <w:r>
              <w:rPr>
                <w:rFonts w:ascii="宋体" w:eastAsia="宋体" w:hint="eastAsia"/>
                <w:sz w:val="21"/>
              </w:rPr>
              <w:t>敏感</w:t>
            </w:r>
          </w:p>
        </w:tc>
        <w:tc>
          <w:tcPr>
            <w:tcW w:w="2357"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一</w:t>
            </w:r>
          </w:p>
        </w:tc>
        <w:tc>
          <w:tcPr>
            <w:tcW w:w="2360" w:type="dxa"/>
            <w:tcBorders>
              <w:top w:val="single" w:sz="6" w:space="0" w:color="000000"/>
              <w:left w:val="single" w:sz="6" w:space="0" w:color="000000"/>
              <w:bottom w:val="single" w:sz="6" w:space="0" w:color="000000"/>
              <w:right w:val="single" w:sz="6" w:space="0" w:color="000000"/>
            </w:tcBorders>
          </w:tcPr>
          <w:p>
            <w:pPr>
              <w:pStyle w:val="TableParagraph"/>
              <w:spacing w:before="46"/>
              <w:ind w:left="26"/>
              <w:rPr>
                <w:rFonts w:ascii="宋体" w:eastAsia="宋体" w:hint="eastAsia"/>
                <w:sz w:val="21"/>
              </w:rPr>
            </w:pPr>
            <w:r>
              <w:rPr>
                <w:rFonts w:ascii="宋体" w:eastAsia="宋体" w:hint="eastAsia"/>
                <w:w w:val="100"/>
                <w:sz w:val="21"/>
              </w:rPr>
              <w:t>一</w:t>
            </w:r>
          </w:p>
        </w:tc>
        <w:tc>
          <w:tcPr>
            <w:tcW w:w="2357" w:type="dxa"/>
            <w:tcBorders>
              <w:top w:val="single" w:sz="6" w:space="0" w:color="000000"/>
              <w:left w:val="single" w:sz="6" w:space="0" w:color="000000"/>
              <w:bottom w:val="single" w:sz="6" w:space="0" w:color="000000"/>
            </w:tcBorders>
          </w:tcPr>
          <w:p>
            <w:pPr>
              <w:pStyle w:val="TableParagraph"/>
              <w:spacing w:before="46"/>
              <w:ind w:left="31"/>
              <w:rPr>
                <w:rFonts w:ascii="宋体" w:eastAsia="宋体" w:hint="eastAsia"/>
                <w:sz w:val="21"/>
              </w:rPr>
            </w:pPr>
            <w:r>
              <w:rPr>
                <w:rFonts w:ascii="宋体" w:eastAsia="宋体" w:hint="eastAsia"/>
                <w:w w:val="100"/>
                <w:sz w:val="21"/>
              </w:rPr>
              <w:t>二</w:t>
            </w:r>
          </w:p>
        </w:tc>
      </w:tr>
      <w:tr>
        <w:trPr>
          <w:trHeight w:val="359" w:hRule="atLeast"/>
        </w:trPr>
        <w:tc>
          <w:tcPr>
            <w:tcW w:w="2357" w:type="dxa"/>
            <w:tcBorders>
              <w:top w:val="single" w:sz="6" w:space="0" w:color="000000"/>
              <w:bottom w:val="single" w:sz="6" w:space="0" w:color="000000"/>
              <w:right w:val="single" w:sz="6" w:space="0" w:color="000000"/>
            </w:tcBorders>
          </w:tcPr>
          <w:p>
            <w:pPr>
              <w:pStyle w:val="TableParagraph"/>
              <w:spacing w:before="49"/>
              <w:ind w:left="421" w:right="401"/>
              <w:rPr>
                <w:rFonts w:ascii="宋体" w:eastAsia="宋体" w:hint="eastAsia"/>
                <w:sz w:val="21"/>
              </w:rPr>
            </w:pPr>
            <w:r>
              <w:rPr>
                <w:rFonts w:ascii="宋体" w:eastAsia="宋体" w:hint="eastAsia"/>
                <w:sz w:val="21"/>
              </w:rPr>
              <w:t>较敏感</w:t>
            </w:r>
          </w:p>
        </w:tc>
        <w:tc>
          <w:tcPr>
            <w:tcW w:w="2357" w:type="dxa"/>
            <w:tcBorders>
              <w:top w:val="single" w:sz="6" w:space="0" w:color="000000"/>
              <w:left w:val="single" w:sz="6" w:space="0" w:color="000000"/>
              <w:bottom w:val="single" w:sz="6" w:space="0" w:color="000000"/>
              <w:right w:val="single" w:sz="6" w:space="0" w:color="000000"/>
            </w:tcBorders>
          </w:tcPr>
          <w:p>
            <w:pPr>
              <w:pStyle w:val="TableParagraph"/>
              <w:spacing w:before="49"/>
              <w:ind w:left="29"/>
              <w:rPr>
                <w:rFonts w:ascii="宋体" w:eastAsia="宋体" w:hint="eastAsia"/>
                <w:sz w:val="21"/>
              </w:rPr>
            </w:pPr>
            <w:r>
              <w:rPr>
                <w:rFonts w:ascii="宋体" w:eastAsia="宋体" w:hint="eastAsia"/>
                <w:w w:val="100"/>
                <w:sz w:val="21"/>
              </w:rPr>
              <w:t>一</w:t>
            </w:r>
          </w:p>
        </w:tc>
        <w:tc>
          <w:tcPr>
            <w:tcW w:w="2360" w:type="dxa"/>
            <w:tcBorders>
              <w:top w:val="single" w:sz="6" w:space="0" w:color="000000"/>
              <w:left w:val="single" w:sz="6" w:space="0" w:color="000000"/>
              <w:bottom w:val="single" w:sz="6" w:space="0" w:color="000000"/>
              <w:right w:val="single" w:sz="6" w:space="0" w:color="000000"/>
            </w:tcBorders>
          </w:tcPr>
          <w:p>
            <w:pPr>
              <w:pStyle w:val="TableParagraph"/>
              <w:spacing w:before="49"/>
              <w:ind w:left="26"/>
              <w:rPr>
                <w:rFonts w:ascii="宋体" w:eastAsia="宋体" w:hint="eastAsia"/>
                <w:sz w:val="21"/>
              </w:rPr>
            </w:pPr>
            <w:r>
              <w:rPr>
                <w:rFonts w:ascii="宋体" w:eastAsia="宋体" w:hint="eastAsia"/>
                <w:w w:val="100"/>
                <w:sz w:val="21"/>
              </w:rPr>
              <w:t>二</w:t>
            </w:r>
          </w:p>
        </w:tc>
        <w:tc>
          <w:tcPr>
            <w:tcW w:w="2357" w:type="dxa"/>
            <w:tcBorders>
              <w:top w:val="single" w:sz="6" w:space="0" w:color="000000"/>
              <w:left w:val="single" w:sz="6" w:space="0" w:color="000000"/>
              <w:bottom w:val="single" w:sz="6" w:space="0" w:color="000000"/>
            </w:tcBorders>
          </w:tcPr>
          <w:p>
            <w:pPr>
              <w:pStyle w:val="TableParagraph"/>
              <w:spacing w:before="49"/>
              <w:ind w:left="31"/>
              <w:rPr>
                <w:rFonts w:ascii="宋体" w:eastAsia="宋体" w:hint="eastAsia"/>
                <w:sz w:val="21"/>
              </w:rPr>
            </w:pPr>
            <w:r>
              <w:rPr>
                <w:rFonts w:ascii="宋体" w:eastAsia="宋体" w:hint="eastAsia"/>
                <w:w w:val="100"/>
                <w:sz w:val="21"/>
              </w:rPr>
              <w:t>三</w:t>
            </w:r>
          </w:p>
        </w:tc>
      </w:tr>
      <w:tr>
        <w:trPr>
          <w:trHeight w:val="359" w:hRule="atLeast"/>
        </w:trPr>
        <w:tc>
          <w:tcPr>
            <w:tcW w:w="2357" w:type="dxa"/>
            <w:tcBorders>
              <w:top w:val="single" w:sz="6" w:space="0" w:color="000000"/>
              <w:right w:val="single" w:sz="6" w:space="0" w:color="000000"/>
            </w:tcBorders>
          </w:tcPr>
          <w:p>
            <w:pPr>
              <w:pStyle w:val="TableParagraph"/>
              <w:spacing w:before="46"/>
              <w:ind w:left="421" w:right="401"/>
              <w:rPr>
                <w:rFonts w:ascii="宋体" w:eastAsia="宋体" w:hint="eastAsia"/>
                <w:sz w:val="21"/>
              </w:rPr>
            </w:pPr>
            <w:r>
              <w:rPr>
                <w:rFonts w:ascii="宋体" w:eastAsia="宋体" w:hint="eastAsia"/>
                <w:sz w:val="21"/>
              </w:rPr>
              <w:t>不敏感</w:t>
            </w:r>
          </w:p>
        </w:tc>
        <w:tc>
          <w:tcPr>
            <w:tcW w:w="2357" w:type="dxa"/>
            <w:tcBorders>
              <w:top w:val="single" w:sz="6" w:space="0" w:color="000000"/>
              <w:left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二</w:t>
            </w:r>
          </w:p>
        </w:tc>
        <w:tc>
          <w:tcPr>
            <w:tcW w:w="2360" w:type="dxa"/>
            <w:tcBorders>
              <w:top w:val="single" w:sz="6" w:space="0" w:color="000000"/>
              <w:left w:val="single" w:sz="6" w:space="0" w:color="000000"/>
              <w:right w:val="single" w:sz="6" w:space="0" w:color="000000"/>
            </w:tcBorders>
          </w:tcPr>
          <w:p>
            <w:pPr>
              <w:pStyle w:val="TableParagraph"/>
              <w:spacing w:before="46"/>
              <w:ind w:left="26"/>
              <w:rPr>
                <w:rFonts w:ascii="宋体" w:eastAsia="宋体" w:hint="eastAsia"/>
                <w:sz w:val="21"/>
              </w:rPr>
            </w:pPr>
            <w:r>
              <w:rPr>
                <w:rFonts w:ascii="宋体" w:eastAsia="宋体" w:hint="eastAsia"/>
                <w:w w:val="100"/>
                <w:sz w:val="21"/>
              </w:rPr>
              <w:t>三</w:t>
            </w:r>
          </w:p>
        </w:tc>
        <w:tc>
          <w:tcPr>
            <w:tcW w:w="2357" w:type="dxa"/>
            <w:tcBorders>
              <w:top w:val="single" w:sz="6" w:space="0" w:color="000000"/>
              <w:left w:val="single" w:sz="6" w:space="0" w:color="000000"/>
            </w:tcBorders>
          </w:tcPr>
          <w:p>
            <w:pPr>
              <w:pStyle w:val="TableParagraph"/>
              <w:spacing w:before="46"/>
              <w:ind w:left="31"/>
              <w:rPr>
                <w:rFonts w:ascii="宋体" w:eastAsia="宋体" w:hint="eastAsia"/>
                <w:sz w:val="21"/>
              </w:rPr>
            </w:pPr>
            <w:r>
              <w:rPr>
                <w:rFonts w:ascii="宋体" w:eastAsia="宋体" w:hint="eastAsia"/>
                <w:w w:val="100"/>
                <w:sz w:val="21"/>
              </w:rPr>
              <w:t>三</w:t>
            </w:r>
          </w:p>
        </w:tc>
      </w:tr>
    </w:tbl>
    <w:p>
      <w:pPr>
        <w:spacing w:before="82"/>
        <w:ind w:left="719" w:right="0" w:firstLine="0"/>
        <w:jc w:val="left"/>
        <w:rPr>
          <w:b/>
          <w:sz w:val="24"/>
        </w:rPr>
      </w:pPr>
      <w:r>
        <w:rPr>
          <w:rFonts w:ascii="Times New Roman" w:eastAsia="Times New Roman"/>
          <w:b/>
          <w:sz w:val="24"/>
        </w:rPr>
        <w:t>3</w:t>
      </w:r>
      <w:r>
        <w:rPr>
          <w:b/>
          <w:sz w:val="24"/>
        </w:rPr>
        <w:t>、环境空气</w:t>
      </w:r>
    </w:p>
    <w:p>
      <w:pPr>
        <w:pStyle w:val="BodyText"/>
        <w:spacing w:before="160"/>
        <w:ind w:left="717"/>
        <w:rPr>
          <w:rFonts w:ascii="Times New Roman" w:eastAsia="Times New Roman"/>
        </w:rPr>
      </w:pPr>
      <w:r>
        <w:rPr>
          <w:spacing w:val="-13"/>
        </w:rPr>
        <w:t>本项目排放的废气包括氨、硫化氢、氮氧化物、二氧化硫等，本环评采用 </w:t>
      </w:r>
      <w:r>
        <w:rPr>
          <w:rFonts w:ascii="Times New Roman" w:eastAsia="Times New Roman"/>
          <w:position w:val="1"/>
        </w:rPr>
        <w:t>HJ</w:t>
      </w:r>
      <w:r>
        <w:rPr>
          <w:rFonts w:ascii="Times New Roman" w:eastAsia="Times New Roman"/>
          <w:spacing w:val="-1"/>
          <w:position w:val="1"/>
        </w:rPr>
        <w:t> </w:t>
      </w:r>
      <w:r>
        <w:rPr>
          <w:rFonts w:ascii="Times New Roman" w:eastAsia="Times New Roman"/>
          <w:position w:val="1"/>
        </w:rPr>
        <w:t>2.2-2018</w:t>
      </w:r>
    </w:p>
    <w:p>
      <w:pPr>
        <w:pStyle w:val="BodyText"/>
        <w:spacing w:before="161"/>
      </w:pPr>
      <w:r>
        <w:rPr/>
        <w:t>推荐模式清单中的估算模式分别计算上述因子的最大地面浓度占标率（计算结果详见第</w:t>
      </w:r>
    </w:p>
    <w:p>
      <w:pPr>
        <w:pStyle w:val="BodyText"/>
        <w:spacing w:line="367" w:lineRule="auto" w:before="157"/>
        <w:ind w:right="249"/>
        <w:jc w:val="both"/>
      </w:pPr>
      <w:r>
        <w:rPr>
          <w:rFonts w:ascii="Times New Roman" w:eastAsia="Times New Roman"/>
          <w:position w:val="2"/>
        </w:rPr>
        <w:t>5.2.3 </w:t>
      </w:r>
      <w:r>
        <w:rPr>
          <w:position w:val="2"/>
        </w:rPr>
        <w:t>章</w:t>
      </w:r>
      <w:r>
        <w:rPr>
          <w:spacing w:val="-17"/>
          <w:position w:val="2"/>
        </w:rPr>
        <w:t>）</w:t>
      </w:r>
      <w:r>
        <w:rPr>
          <w:spacing w:val="-5"/>
          <w:position w:val="2"/>
        </w:rPr>
        <w:t>，可知各污染物最大地面落地浓度占标率</w:t>
      </w:r>
      <w:r>
        <w:rPr>
          <w:position w:val="2"/>
        </w:rPr>
        <w:t>（</w:t>
      </w:r>
      <w:r>
        <w:rPr>
          <w:rFonts w:ascii="Times New Roman" w:eastAsia="Times New Roman"/>
          <w:i/>
          <w:position w:val="2"/>
        </w:rPr>
        <w:t>P</w:t>
      </w:r>
      <w:r>
        <w:rPr>
          <w:rFonts w:ascii="Times New Roman" w:eastAsia="Times New Roman"/>
          <w:i/>
          <w:sz w:val="16"/>
        </w:rPr>
        <w:t>max</w:t>
      </w:r>
      <w:r>
        <w:rPr>
          <w:position w:val="2"/>
        </w:rPr>
        <w:t>）＞</w:t>
      </w:r>
      <w:r>
        <w:rPr>
          <w:rFonts w:ascii="Times New Roman" w:eastAsia="Times New Roman"/>
          <w:position w:val="2"/>
        </w:rPr>
        <w:t>10%</w:t>
      </w:r>
      <w:r>
        <w:rPr>
          <w:spacing w:val="-6"/>
          <w:position w:val="2"/>
        </w:rPr>
        <w:t>。根据《环境影响评价</w:t>
      </w:r>
      <w:r>
        <w:rPr>
          <w:spacing w:val="-9"/>
        </w:rPr>
        <w:t>技术导则 大气环境》</w:t>
      </w:r>
      <w:r>
        <w:rPr/>
        <w:t>（</w:t>
      </w:r>
      <w:r>
        <w:rPr>
          <w:rFonts w:ascii="Times New Roman" w:eastAsia="Times New Roman"/>
          <w:position w:val="1"/>
        </w:rPr>
        <w:t>HJ 2.2-2018</w:t>
      </w:r>
      <w:r>
        <w:rPr/>
        <w:t>）</w:t>
      </w:r>
      <w:r>
        <w:rPr>
          <w:spacing w:val="-2"/>
        </w:rPr>
        <w:t>的评价工作等级划分原则</w:t>
      </w:r>
      <w:r>
        <w:rPr/>
        <w:t>（</w:t>
      </w:r>
      <w:r>
        <w:rPr>
          <w:spacing w:val="-16"/>
        </w:rPr>
        <w:t>详见表 </w:t>
      </w:r>
      <w:r>
        <w:rPr>
          <w:rFonts w:ascii="Times New Roman" w:eastAsia="Times New Roman"/>
          <w:spacing w:val="-5"/>
          <w:position w:val="1"/>
        </w:rPr>
        <w:t>2.4-3</w:t>
      </w:r>
      <w:r>
        <w:rPr>
          <w:spacing w:val="-5"/>
        </w:rPr>
        <w:t>）</w:t>
      </w:r>
      <w:r>
        <w:rPr>
          <w:spacing w:val="-6"/>
        </w:rPr>
        <w:t>，确定本</w:t>
      </w:r>
      <w:r>
        <w:rPr/>
        <w:t>项目大气环境评价等级为一级。</w:t>
      </w:r>
    </w:p>
    <w:p>
      <w:pPr>
        <w:pStyle w:val="Heading3"/>
        <w:spacing w:line="304" w:lineRule="exact" w:before="0"/>
        <w:ind w:left="3057"/>
        <w:jc w:val="both"/>
      </w:pPr>
      <w:r>
        <w:rPr/>
        <w:t>表 </w:t>
      </w:r>
      <w:r>
        <w:rPr>
          <w:rFonts w:ascii="Times New Roman" w:eastAsia="Times New Roman"/>
        </w:rPr>
        <w:t>2.4-3  </w:t>
      </w:r>
      <w:r>
        <w:rPr/>
        <w:t>大气环境评价等级判别表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29"/>
        <w:gridCol w:w="5303"/>
      </w:tblGrid>
      <w:tr>
        <w:trPr>
          <w:trHeight w:val="359" w:hRule="atLeast"/>
        </w:trPr>
        <w:tc>
          <w:tcPr>
            <w:tcW w:w="4129" w:type="dxa"/>
            <w:tcBorders>
              <w:bottom w:val="single" w:sz="4" w:space="0" w:color="000000"/>
              <w:right w:val="single" w:sz="4" w:space="0" w:color="000000"/>
            </w:tcBorders>
          </w:tcPr>
          <w:p>
            <w:pPr>
              <w:pStyle w:val="TableParagraph"/>
              <w:spacing w:before="48"/>
              <w:ind w:left="1410" w:right="1393"/>
              <w:rPr>
                <w:rFonts w:ascii="宋体" w:eastAsia="宋体" w:hint="eastAsia"/>
                <w:b/>
                <w:sz w:val="21"/>
              </w:rPr>
            </w:pPr>
            <w:r>
              <w:rPr>
                <w:rFonts w:ascii="宋体" w:eastAsia="宋体" w:hint="eastAsia"/>
                <w:b/>
                <w:sz w:val="21"/>
              </w:rPr>
              <w:t>评价工作等级</w:t>
            </w:r>
          </w:p>
        </w:tc>
        <w:tc>
          <w:tcPr>
            <w:tcW w:w="5303" w:type="dxa"/>
            <w:tcBorders>
              <w:left w:val="single" w:sz="4" w:space="0" w:color="000000"/>
              <w:bottom w:val="single" w:sz="4" w:space="0" w:color="000000"/>
            </w:tcBorders>
          </w:tcPr>
          <w:p>
            <w:pPr>
              <w:pStyle w:val="TableParagraph"/>
              <w:spacing w:before="48"/>
              <w:ind w:left="1795" w:right="1761"/>
              <w:rPr>
                <w:rFonts w:ascii="宋体" w:eastAsia="宋体" w:hint="eastAsia"/>
                <w:b/>
                <w:sz w:val="21"/>
              </w:rPr>
            </w:pPr>
            <w:r>
              <w:rPr>
                <w:rFonts w:ascii="宋体" w:eastAsia="宋体" w:hint="eastAsia"/>
                <w:b/>
                <w:sz w:val="21"/>
              </w:rPr>
              <w:t>评价工作分级判据</w:t>
            </w:r>
          </w:p>
        </w:tc>
      </w:tr>
      <w:tr>
        <w:trPr>
          <w:trHeight w:val="359" w:hRule="atLeast"/>
        </w:trPr>
        <w:tc>
          <w:tcPr>
            <w:tcW w:w="4129" w:type="dxa"/>
            <w:tcBorders>
              <w:top w:val="single" w:sz="4" w:space="0" w:color="000000"/>
              <w:bottom w:val="single" w:sz="4" w:space="0" w:color="000000"/>
              <w:right w:val="single" w:sz="4" w:space="0" w:color="000000"/>
            </w:tcBorders>
          </w:tcPr>
          <w:p>
            <w:pPr>
              <w:pStyle w:val="TableParagraph"/>
              <w:spacing w:before="49"/>
              <w:ind w:left="1410" w:right="1393"/>
              <w:rPr>
                <w:rFonts w:ascii="宋体" w:eastAsia="宋体" w:hint="eastAsia"/>
                <w:sz w:val="21"/>
              </w:rPr>
            </w:pPr>
            <w:r>
              <w:rPr>
                <w:rFonts w:ascii="宋体" w:eastAsia="宋体" w:hint="eastAsia"/>
                <w:sz w:val="21"/>
              </w:rPr>
              <w:t>一级</w:t>
            </w:r>
          </w:p>
        </w:tc>
        <w:tc>
          <w:tcPr>
            <w:tcW w:w="5303" w:type="dxa"/>
            <w:tcBorders>
              <w:top w:val="single" w:sz="4" w:space="0" w:color="000000"/>
              <w:left w:val="single" w:sz="4" w:space="0" w:color="000000"/>
              <w:bottom w:val="single" w:sz="4" w:space="0" w:color="000000"/>
            </w:tcBorders>
          </w:tcPr>
          <w:p>
            <w:pPr>
              <w:pStyle w:val="TableParagraph"/>
              <w:spacing w:before="57"/>
              <w:ind w:left="1795" w:right="1759"/>
              <w:rPr>
                <w:sz w:val="21"/>
              </w:rPr>
            </w:pPr>
            <w:r>
              <w:rPr>
                <w:i/>
                <w:position w:val="2"/>
                <w:sz w:val="21"/>
              </w:rPr>
              <w:t>P</w:t>
            </w:r>
            <w:r>
              <w:rPr>
                <w:i/>
                <w:sz w:val="14"/>
              </w:rPr>
              <w:t>max</w:t>
            </w:r>
            <w:r>
              <w:rPr>
                <w:position w:val="2"/>
                <w:sz w:val="21"/>
              </w:rPr>
              <w:t>≥10%</w:t>
            </w:r>
          </w:p>
        </w:tc>
      </w:tr>
      <w:tr>
        <w:trPr>
          <w:trHeight w:val="359" w:hRule="atLeast"/>
        </w:trPr>
        <w:tc>
          <w:tcPr>
            <w:tcW w:w="4129" w:type="dxa"/>
            <w:tcBorders>
              <w:top w:val="single" w:sz="4" w:space="0" w:color="000000"/>
              <w:bottom w:val="single" w:sz="4" w:space="0" w:color="000000"/>
              <w:right w:val="single" w:sz="4" w:space="0" w:color="000000"/>
            </w:tcBorders>
          </w:tcPr>
          <w:p>
            <w:pPr>
              <w:pStyle w:val="TableParagraph"/>
              <w:spacing w:before="46"/>
              <w:ind w:left="1410" w:right="1393"/>
              <w:rPr>
                <w:rFonts w:ascii="宋体" w:eastAsia="宋体" w:hint="eastAsia"/>
                <w:sz w:val="21"/>
              </w:rPr>
            </w:pPr>
            <w:r>
              <w:rPr>
                <w:rFonts w:ascii="宋体" w:eastAsia="宋体" w:hint="eastAsia"/>
                <w:sz w:val="21"/>
              </w:rPr>
              <w:t>二级</w:t>
            </w:r>
          </w:p>
        </w:tc>
        <w:tc>
          <w:tcPr>
            <w:tcW w:w="5303" w:type="dxa"/>
            <w:tcBorders>
              <w:top w:val="single" w:sz="4" w:space="0" w:color="000000"/>
              <w:left w:val="single" w:sz="4" w:space="0" w:color="000000"/>
              <w:bottom w:val="single" w:sz="4" w:space="0" w:color="000000"/>
            </w:tcBorders>
          </w:tcPr>
          <w:p>
            <w:pPr>
              <w:pStyle w:val="TableParagraph"/>
              <w:spacing w:before="46"/>
              <w:ind w:left="1795" w:right="1759"/>
              <w:rPr>
                <w:sz w:val="21"/>
              </w:rPr>
            </w:pPr>
            <w:r>
              <w:rPr>
                <w:position w:val="2"/>
                <w:sz w:val="21"/>
              </w:rPr>
              <w:t>1%≤</w:t>
            </w:r>
            <w:r>
              <w:rPr>
                <w:i/>
                <w:position w:val="2"/>
                <w:sz w:val="21"/>
              </w:rPr>
              <w:t>P</w:t>
            </w:r>
            <w:r>
              <w:rPr>
                <w:i/>
                <w:sz w:val="14"/>
              </w:rPr>
              <w:t>max</w:t>
            </w:r>
            <w:r>
              <w:rPr>
                <w:rFonts w:ascii="宋体" w:hAnsi="宋体" w:eastAsia="宋体" w:hint="eastAsia"/>
                <w:position w:val="1"/>
                <w:sz w:val="21"/>
              </w:rPr>
              <w:t>＜</w:t>
            </w:r>
            <w:r>
              <w:rPr>
                <w:position w:val="2"/>
                <w:sz w:val="21"/>
              </w:rPr>
              <w:t>10%</w:t>
            </w:r>
          </w:p>
        </w:tc>
      </w:tr>
      <w:tr>
        <w:trPr>
          <w:trHeight w:val="356" w:hRule="atLeast"/>
        </w:trPr>
        <w:tc>
          <w:tcPr>
            <w:tcW w:w="4129" w:type="dxa"/>
            <w:tcBorders>
              <w:top w:val="single" w:sz="4" w:space="0" w:color="000000"/>
              <w:right w:val="single" w:sz="4" w:space="0" w:color="000000"/>
            </w:tcBorders>
          </w:tcPr>
          <w:p>
            <w:pPr>
              <w:pStyle w:val="TableParagraph"/>
              <w:spacing w:before="46"/>
              <w:ind w:left="1410" w:right="1393"/>
              <w:rPr>
                <w:rFonts w:ascii="宋体" w:eastAsia="宋体" w:hint="eastAsia"/>
                <w:sz w:val="21"/>
              </w:rPr>
            </w:pPr>
            <w:r>
              <w:rPr>
                <w:rFonts w:ascii="宋体" w:eastAsia="宋体" w:hint="eastAsia"/>
                <w:sz w:val="21"/>
              </w:rPr>
              <w:t>三级</w:t>
            </w:r>
          </w:p>
        </w:tc>
        <w:tc>
          <w:tcPr>
            <w:tcW w:w="5303" w:type="dxa"/>
            <w:tcBorders>
              <w:top w:val="single" w:sz="4" w:space="0" w:color="000000"/>
              <w:left w:val="single" w:sz="4" w:space="0" w:color="000000"/>
            </w:tcBorders>
          </w:tcPr>
          <w:p>
            <w:pPr>
              <w:pStyle w:val="TableParagraph"/>
              <w:spacing w:before="46"/>
              <w:ind w:left="1795" w:right="1759"/>
              <w:rPr>
                <w:sz w:val="21"/>
              </w:rPr>
            </w:pPr>
            <w:r>
              <w:rPr>
                <w:i/>
                <w:position w:val="2"/>
                <w:sz w:val="21"/>
              </w:rPr>
              <w:t>P</w:t>
            </w:r>
            <w:r>
              <w:rPr>
                <w:i/>
                <w:sz w:val="14"/>
              </w:rPr>
              <w:t>max</w:t>
            </w:r>
            <w:r>
              <w:rPr>
                <w:rFonts w:ascii="宋体" w:eastAsia="宋体" w:hint="eastAsia"/>
                <w:position w:val="1"/>
                <w:sz w:val="21"/>
              </w:rPr>
              <w:t>＜</w:t>
            </w:r>
            <w:r>
              <w:rPr>
                <w:position w:val="2"/>
                <w:sz w:val="21"/>
              </w:rPr>
              <w:t>1%</w:t>
            </w:r>
          </w:p>
        </w:tc>
      </w:tr>
    </w:tbl>
    <w:p>
      <w:pPr>
        <w:spacing w:after="0"/>
        <w:rPr>
          <w:sz w:val="21"/>
        </w:rPr>
        <w:sectPr>
          <w:pgSz w:w="11910" w:h="16840"/>
          <w:pgMar w:header="874" w:footer="1004" w:top="1400" w:bottom="1200" w:left="1040" w:right="1160"/>
        </w:sectPr>
      </w:pPr>
    </w:p>
    <w:p>
      <w:pPr>
        <w:spacing w:before="121"/>
        <w:ind w:left="719" w:right="0" w:firstLine="0"/>
        <w:jc w:val="left"/>
        <w:rPr>
          <w:b/>
          <w:sz w:val="24"/>
        </w:rPr>
      </w:pPr>
      <w:r>
        <w:rPr>
          <w:rFonts w:ascii="Times New Roman" w:eastAsia="Times New Roman"/>
          <w:b/>
          <w:sz w:val="24"/>
        </w:rPr>
        <w:t>4</w:t>
      </w:r>
      <w:r>
        <w:rPr>
          <w:b/>
          <w:sz w:val="24"/>
        </w:rPr>
        <w:t>、声环境</w:t>
      </w:r>
    </w:p>
    <w:p>
      <w:pPr>
        <w:pStyle w:val="BodyText"/>
        <w:spacing w:line="364" w:lineRule="auto" w:before="161"/>
        <w:ind w:right="209" w:firstLine="480"/>
        <w:jc w:val="both"/>
      </w:pPr>
      <w:r>
        <w:rPr/>
        <w:t>本项目选址于绍兴市柯桥区柯岩街道丰项村，为 </w:t>
      </w:r>
      <w:r>
        <w:rPr>
          <w:rFonts w:ascii="Times New Roman" w:eastAsia="Times New Roman"/>
          <w:position w:val="1"/>
        </w:rPr>
        <w:t>1 </w:t>
      </w:r>
      <w:r>
        <w:rPr/>
        <w:t>类区，项目实施前后区域噪声声压级增加很小且受影响人口变化不大，根据《环境影响评价技术导则 声环境》（</w:t>
      </w:r>
      <w:r>
        <w:rPr>
          <w:rFonts w:ascii="Times New Roman" w:eastAsia="Times New Roman"/>
          <w:position w:val="1"/>
        </w:rPr>
        <w:t>HJ 2.4-2009</w:t>
      </w:r>
      <w:r>
        <w:rPr/>
        <w:t>）及建设项目所在地的声环境功能要求，确定声环境影响评价工作等级为二级。</w:t>
      </w:r>
    </w:p>
    <w:p>
      <w:pPr>
        <w:pStyle w:val="Heading3"/>
        <w:spacing w:before="1"/>
      </w:pPr>
      <w:r>
        <w:rPr>
          <w:rFonts w:ascii="Times New Roman" w:eastAsia="Times New Roman"/>
        </w:rPr>
        <w:t>5</w:t>
      </w:r>
      <w:r>
        <w:rPr/>
        <w:t>、生态环境</w:t>
      </w:r>
    </w:p>
    <w:p>
      <w:pPr>
        <w:pStyle w:val="BodyText"/>
        <w:spacing w:line="364" w:lineRule="auto" w:before="161"/>
        <w:ind w:right="131" w:firstLine="480"/>
      </w:pPr>
      <w:r>
        <w:rPr>
          <w:spacing w:val="-1"/>
        </w:rPr>
        <w:t>根据现场调查及企业提供的资料，本项目占地面积约 </w:t>
      </w:r>
      <w:r>
        <w:rPr>
          <w:rFonts w:ascii="Times New Roman" w:hAnsi="Times New Roman" w:eastAsia="Times New Roman"/>
          <w:position w:val="1"/>
        </w:rPr>
        <w:t>78.5</w:t>
      </w:r>
      <w:r>
        <w:rPr>
          <w:rFonts w:ascii="Times New Roman" w:hAnsi="Times New Roman" w:eastAsia="Times New Roman"/>
          <w:spacing w:val="58"/>
          <w:position w:val="1"/>
        </w:rPr>
        <w:t> </w:t>
      </w:r>
      <w:r>
        <w:rPr/>
        <w:t>亩（</w:t>
      </w:r>
      <w:r>
        <w:rPr>
          <w:rFonts w:ascii="Times New Roman" w:hAnsi="Times New Roman" w:eastAsia="Times New Roman"/>
          <w:position w:val="1"/>
        </w:rPr>
        <w:t>≤2km</w:t>
      </w:r>
      <w:r>
        <w:rPr>
          <w:rFonts w:ascii="Times New Roman" w:hAnsi="Times New Roman" w:eastAsia="Times New Roman"/>
          <w:position w:val="1"/>
          <w:vertAlign w:val="superscript"/>
        </w:rPr>
        <w:t>2</w:t>
      </w:r>
      <w:r>
        <w:rPr>
          <w:vertAlign w:val="baseline"/>
        </w:rPr>
        <w:t>），拟建址现</w:t>
      </w:r>
      <w:r>
        <w:rPr>
          <w:spacing w:val="-19"/>
          <w:vertAlign w:val="baseline"/>
        </w:rPr>
        <w:t>状为农用地，生态环境较简单，不属于《环境影响评价技术导则 生态影响》</w:t>
      </w:r>
      <w:r>
        <w:rPr>
          <w:vertAlign w:val="baseline"/>
        </w:rPr>
        <w:t>（</w:t>
      </w:r>
      <w:r>
        <w:rPr>
          <w:rFonts w:ascii="Times New Roman" w:hAnsi="Times New Roman" w:eastAsia="Times New Roman"/>
          <w:position w:val="1"/>
          <w:vertAlign w:val="baseline"/>
        </w:rPr>
        <w:t>HJ </w:t>
      </w:r>
      <w:r>
        <w:rPr>
          <w:rFonts w:ascii="Times New Roman" w:hAnsi="Times New Roman" w:eastAsia="Times New Roman"/>
          <w:spacing w:val="-3"/>
          <w:position w:val="1"/>
          <w:vertAlign w:val="baseline"/>
        </w:rPr>
        <w:t>19-2011</w:t>
      </w:r>
      <w:r>
        <w:rPr>
          <w:spacing w:val="-3"/>
          <w:vertAlign w:val="baseline"/>
        </w:rPr>
        <w:t>） </w:t>
      </w:r>
      <w:r>
        <w:rPr>
          <w:spacing w:val="-1"/>
          <w:vertAlign w:val="baseline"/>
        </w:rPr>
        <w:t>中规定的特殊生态敏感区、重要生态敏感区，属于一般区域。根据 </w:t>
      </w:r>
      <w:r>
        <w:rPr>
          <w:rFonts w:ascii="Times New Roman" w:hAnsi="Times New Roman" w:eastAsia="Times New Roman"/>
          <w:position w:val="1"/>
          <w:vertAlign w:val="baseline"/>
        </w:rPr>
        <w:t>HJ</w:t>
      </w:r>
      <w:r>
        <w:rPr>
          <w:rFonts w:ascii="Times New Roman" w:hAnsi="Times New Roman" w:eastAsia="Times New Roman"/>
          <w:spacing w:val="56"/>
          <w:position w:val="1"/>
          <w:vertAlign w:val="baseline"/>
        </w:rPr>
        <w:t> </w:t>
      </w:r>
      <w:r>
        <w:rPr>
          <w:rFonts w:ascii="Times New Roman" w:hAnsi="Times New Roman" w:eastAsia="Times New Roman"/>
          <w:position w:val="1"/>
          <w:vertAlign w:val="baseline"/>
        </w:rPr>
        <w:t>19-2011</w:t>
      </w:r>
      <w:r>
        <w:rPr>
          <w:vertAlign w:val="baseline"/>
        </w:rPr>
        <w:t>，确定本项目生态影响评价等级为三级。</w:t>
      </w:r>
    </w:p>
    <w:p>
      <w:pPr>
        <w:pStyle w:val="Heading3"/>
        <w:spacing w:before="3"/>
        <w:ind w:left="2817"/>
      </w:pPr>
      <w:r>
        <w:rPr/>
        <w:t>表 </w:t>
      </w:r>
      <w:r>
        <w:rPr>
          <w:rFonts w:ascii="Times New Roman" w:eastAsia="Times New Roman"/>
        </w:rPr>
        <w:t>2.4-4  </w:t>
      </w:r>
      <w:r>
        <w:rPr/>
        <w:t>生态影响评价工作等级划分表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7"/>
        <w:gridCol w:w="2357"/>
        <w:gridCol w:w="2360"/>
        <w:gridCol w:w="2357"/>
      </w:tblGrid>
      <w:tr>
        <w:trPr>
          <w:trHeight w:val="359" w:hRule="atLeast"/>
        </w:trPr>
        <w:tc>
          <w:tcPr>
            <w:tcW w:w="2357" w:type="dxa"/>
            <w:vMerge w:val="restart"/>
            <w:tcBorders>
              <w:bottom w:val="single" w:sz="6" w:space="0" w:color="000000"/>
              <w:right w:val="single" w:sz="6" w:space="0" w:color="000000"/>
            </w:tcBorders>
          </w:tcPr>
          <w:p>
            <w:pPr>
              <w:pStyle w:val="TableParagraph"/>
              <w:spacing w:before="0"/>
              <w:jc w:val="left"/>
              <w:rPr>
                <w:rFonts w:ascii="宋体"/>
                <w:b/>
                <w:sz w:val="20"/>
              </w:rPr>
            </w:pPr>
          </w:p>
          <w:p>
            <w:pPr>
              <w:pStyle w:val="TableParagraph"/>
              <w:spacing w:before="157"/>
              <w:ind w:left="227"/>
              <w:jc w:val="left"/>
              <w:rPr>
                <w:rFonts w:ascii="宋体" w:eastAsia="宋体" w:hint="eastAsia"/>
                <w:b/>
                <w:sz w:val="21"/>
              </w:rPr>
            </w:pPr>
            <w:r>
              <w:rPr>
                <w:rFonts w:ascii="宋体" w:eastAsia="宋体" w:hint="eastAsia"/>
                <w:b/>
                <w:sz w:val="21"/>
              </w:rPr>
              <w:t>影响区域生态敏感性</w:t>
            </w:r>
          </w:p>
        </w:tc>
        <w:tc>
          <w:tcPr>
            <w:tcW w:w="7074" w:type="dxa"/>
            <w:gridSpan w:val="3"/>
            <w:tcBorders>
              <w:left w:val="single" w:sz="6" w:space="0" w:color="000000"/>
              <w:bottom w:val="single" w:sz="6" w:space="0" w:color="000000"/>
            </w:tcBorders>
          </w:tcPr>
          <w:p>
            <w:pPr>
              <w:pStyle w:val="TableParagraph"/>
              <w:spacing w:before="46"/>
              <w:ind w:left="2469" w:right="2433"/>
              <w:rPr>
                <w:rFonts w:ascii="宋体" w:eastAsia="宋体" w:hint="eastAsia"/>
                <w:b/>
                <w:sz w:val="21"/>
              </w:rPr>
            </w:pPr>
            <w:r>
              <w:rPr>
                <w:rFonts w:ascii="宋体" w:eastAsia="宋体" w:hint="eastAsia"/>
                <w:b/>
                <w:sz w:val="21"/>
              </w:rPr>
              <w:t>工程占地（水域）范围</w:t>
            </w:r>
          </w:p>
        </w:tc>
      </w:tr>
      <w:tr>
        <w:trPr>
          <w:trHeight w:val="717" w:hRule="atLeast"/>
        </w:trPr>
        <w:tc>
          <w:tcPr>
            <w:tcW w:w="2357" w:type="dxa"/>
            <w:vMerge/>
            <w:tcBorders>
              <w:top w:val="nil"/>
              <w:bottom w:val="single" w:sz="6" w:space="0" w:color="000000"/>
              <w:right w:val="single" w:sz="6" w:space="0" w:color="000000"/>
            </w:tcBorders>
          </w:tcPr>
          <w:p>
            <w:pPr>
              <w:rPr>
                <w:sz w:val="2"/>
                <w:szCs w:val="2"/>
              </w:rPr>
            </w:pPr>
          </w:p>
        </w:tc>
        <w:tc>
          <w:tcPr>
            <w:tcW w:w="2357" w:type="dxa"/>
            <w:tcBorders>
              <w:top w:val="single" w:sz="6" w:space="0" w:color="000000"/>
              <w:left w:val="single" w:sz="6" w:space="0" w:color="000000"/>
              <w:bottom w:val="single" w:sz="6" w:space="0" w:color="000000"/>
              <w:right w:val="single" w:sz="6" w:space="0" w:color="000000"/>
            </w:tcBorders>
          </w:tcPr>
          <w:p>
            <w:pPr>
              <w:pStyle w:val="TableParagraph"/>
              <w:spacing w:before="45"/>
              <w:ind w:left="488" w:right="457"/>
              <w:rPr>
                <w:b/>
                <w:sz w:val="14"/>
              </w:rPr>
            </w:pPr>
            <w:r>
              <w:rPr>
                <w:rFonts w:ascii="宋体" w:hAnsi="宋体" w:eastAsia="宋体" w:hint="eastAsia"/>
                <w:b/>
                <w:sz w:val="21"/>
              </w:rPr>
              <w:t>面积</w:t>
            </w:r>
            <w:r>
              <w:rPr>
                <w:b/>
                <w:sz w:val="21"/>
              </w:rPr>
              <w:t>≥20km</w:t>
            </w:r>
            <w:r>
              <w:rPr>
                <w:b/>
                <w:position w:val="8"/>
                <w:sz w:val="14"/>
              </w:rPr>
              <w:t>2</w:t>
            </w:r>
          </w:p>
          <w:p>
            <w:pPr>
              <w:pStyle w:val="TableParagraph"/>
              <w:spacing w:before="91"/>
              <w:ind w:left="488" w:right="459"/>
              <w:rPr>
                <w:b/>
                <w:sz w:val="21"/>
              </w:rPr>
            </w:pPr>
            <w:r>
              <w:rPr>
                <w:rFonts w:ascii="宋体" w:hAnsi="宋体" w:eastAsia="宋体" w:hint="eastAsia"/>
                <w:b/>
                <w:sz w:val="21"/>
              </w:rPr>
              <w:t>或长度</w:t>
            </w:r>
            <w:r>
              <w:rPr>
                <w:b/>
                <w:sz w:val="21"/>
              </w:rPr>
              <w:t>≥100km</w:t>
            </w:r>
          </w:p>
        </w:tc>
        <w:tc>
          <w:tcPr>
            <w:tcW w:w="2360" w:type="dxa"/>
            <w:tcBorders>
              <w:top w:val="single" w:sz="6" w:space="0" w:color="000000"/>
              <w:left w:val="single" w:sz="6" w:space="0" w:color="000000"/>
              <w:bottom w:val="single" w:sz="6" w:space="0" w:color="000000"/>
              <w:right w:val="single" w:sz="6" w:space="0" w:color="000000"/>
            </w:tcBorders>
          </w:tcPr>
          <w:p>
            <w:pPr>
              <w:pStyle w:val="TableParagraph"/>
              <w:spacing w:before="45"/>
              <w:ind w:left="189" w:right="160"/>
              <w:rPr>
                <w:b/>
                <w:sz w:val="14"/>
              </w:rPr>
            </w:pPr>
            <w:r>
              <w:rPr>
                <w:rFonts w:ascii="宋体" w:eastAsia="宋体" w:hint="eastAsia"/>
                <w:b/>
                <w:sz w:val="21"/>
              </w:rPr>
              <w:t>面积 </w:t>
            </w:r>
            <w:r>
              <w:rPr>
                <w:b/>
                <w:sz w:val="21"/>
              </w:rPr>
              <w:t>2km</w:t>
            </w:r>
            <w:r>
              <w:rPr>
                <w:b/>
                <w:position w:val="8"/>
                <w:sz w:val="14"/>
              </w:rPr>
              <w:t>2</w:t>
            </w:r>
            <w:r>
              <w:rPr>
                <w:b/>
                <w:sz w:val="21"/>
              </w:rPr>
              <w:t>~20km</w:t>
            </w:r>
            <w:r>
              <w:rPr>
                <w:b/>
                <w:position w:val="8"/>
                <w:sz w:val="14"/>
              </w:rPr>
              <w:t>2</w:t>
            </w:r>
          </w:p>
          <w:p>
            <w:pPr>
              <w:pStyle w:val="TableParagraph"/>
              <w:spacing w:before="91"/>
              <w:ind w:left="189" w:right="160"/>
              <w:rPr>
                <w:b/>
                <w:sz w:val="21"/>
              </w:rPr>
            </w:pPr>
            <w:r>
              <w:rPr>
                <w:rFonts w:ascii="宋体" w:eastAsia="宋体" w:hint="eastAsia"/>
                <w:b/>
                <w:sz w:val="21"/>
              </w:rPr>
              <w:t>或长度 </w:t>
            </w:r>
            <w:r>
              <w:rPr>
                <w:b/>
                <w:sz w:val="21"/>
              </w:rPr>
              <w:t>50km~100km</w:t>
            </w:r>
          </w:p>
        </w:tc>
        <w:tc>
          <w:tcPr>
            <w:tcW w:w="2357" w:type="dxa"/>
            <w:tcBorders>
              <w:top w:val="single" w:sz="6" w:space="0" w:color="000000"/>
              <w:left w:val="single" w:sz="6" w:space="0" w:color="000000"/>
              <w:bottom w:val="single" w:sz="6" w:space="0" w:color="000000"/>
            </w:tcBorders>
          </w:tcPr>
          <w:p>
            <w:pPr>
              <w:pStyle w:val="TableParagraph"/>
              <w:spacing w:before="45"/>
              <w:ind w:left="422" w:right="388"/>
              <w:rPr>
                <w:b/>
                <w:sz w:val="14"/>
              </w:rPr>
            </w:pPr>
            <w:r>
              <w:rPr>
                <w:rFonts w:ascii="宋体" w:hAnsi="宋体" w:eastAsia="宋体" w:hint="eastAsia"/>
                <w:b/>
                <w:sz w:val="21"/>
              </w:rPr>
              <w:t>面积</w:t>
            </w:r>
            <w:r>
              <w:rPr>
                <w:b/>
                <w:sz w:val="21"/>
              </w:rPr>
              <w:t>≤2km</w:t>
            </w:r>
            <w:r>
              <w:rPr>
                <w:b/>
                <w:position w:val="8"/>
                <w:sz w:val="14"/>
              </w:rPr>
              <w:t>2</w:t>
            </w:r>
          </w:p>
          <w:p>
            <w:pPr>
              <w:pStyle w:val="TableParagraph"/>
              <w:spacing w:before="91"/>
              <w:ind w:left="422" w:right="388"/>
              <w:rPr>
                <w:b/>
                <w:sz w:val="21"/>
              </w:rPr>
            </w:pPr>
            <w:r>
              <w:rPr>
                <w:rFonts w:ascii="宋体" w:hAnsi="宋体" w:eastAsia="宋体" w:hint="eastAsia"/>
                <w:b/>
                <w:sz w:val="21"/>
              </w:rPr>
              <w:t>或长度</w:t>
            </w:r>
            <w:r>
              <w:rPr>
                <w:b/>
                <w:sz w:val="21"/>
              </w:rPr>
              <w:t>≤50km</w:t>
            </w:r>
          </w:p>
        </w:tc>
      </w:tr>
      <w:tr>
        <w:trPr>
          <w:trHeight w:val="359" w:hRule="atLeast"/>
        </w:trPr>
        <w:tc>
          <w:tcPr>
            <w:tcW w:w="2357" w:type="dxa"/>
            <w:tcBorders>
              <w:top w:val="single" w:sz="6" w:space="0" w:color="000000"/>
              <w:bottom w:val="single" w:sz="6" w:space="0" w:color="000000"/>
              <w:right w:val="single" w:sz="6" w:space="0" w:color="000000"/>
            </w:tcBorders>
          </w:tcPr>
          <w:p>
            <w:pPr>
              <w:pStyle w:val="TableParagraph"/>
              <w:spacing w:before="46"/>
              <w:ind w:left="422" w:right="401"/>
              <w:rPr>
                <w:rFonts w:ascii="宋体" w:eastAsia="宋体" w:hint="eastAsia"/>
                <w:sz w:val="21"/>
              </w:rPr>
            </w:pPr>
            <w:r>
              <w:rPr>
                <w:rFonts w:ascii="宋体" w:eastAsia="宋体" w:hint="eastAsia"/>
                <w:sz w:val="21"/>
              </w:rPr>
              <w:t>特殊生态敏感区</w:t>
            </w:r>
          </w:p>
        </w:tc>
        <w:tc>
          <w:tcPr>
            <w:tcW w:w="2357" w:type="dxa"/>
            <w:tcBorders>
              <w:top w:val="single" w:sz="6" w:space="0" w:color="000000"/>
              <w:left w:val="single" w:sz="6" w:space="0" w:color="000000"/>
              <w:bottom w:val="single" w:sz="6" w:space="0" w:color="000000"/>
              <w:right w:val="single" w:sz="6" w:space="0" w:color="000000"/>
            </w:tcBorders>
          </w:tcPr>
          <w:p>
            <w:pPr>
              <w:pStyle w:val="TableParagraph"/>
              <w:spacing w:before="46"/>
              <w:ind w:left="974"/>
              <w:jc w:val="left"/>
              <w:rPr>
                <w:rFonts w:ascii="宋体" w:eastAsia="宋体" w:hint="eastAsia"/>
                <w:sz w:val="21"/>
              </w:rPr>
            </w:pPr>
            <w:r>
              <w:rPr>
                <w:rFonts w:ascii="宋体" w:eastAsia="宋体" w:hint="eastAsia"/>
                <w:sz w:val="21"/>
              </w:rPr>
              <w:t>一级</w:t>
            </w:r>
          </w:p>
        </w:tc>
        <w:tc>
          <w:tcPr>
            <w:tcW w:w="2360" w:type="dxa"/>
            <w:tcBorders>
              <w:top w:val="single" w:sz="6" w:space="0" w:color="000000"/>
              <w:left w:val="single" w:sz="6" w:space="0" w:color="000000"/>
              <w:bottom w:val="single" w:sz="6" w:space="0" w:color="000000"/>
              <w:right w:val="single" w:sz="6" w:space="0" w:color="000000"/>
            </w:tcBorders>
          </w:tcPr>
          <w:p>
            <w:pPr>
              <w:pStyle w:val="TableParagraph"/>
              <w:spacing w:before="46"/>
              <w:ind w:left="189" w:right="158"/>
              <w:rPr>
                <w:rFonts w:ascii="宋体" w:eastAsia="宋体" w:hint="eastAsia"/>
                <w:sz w:val="21"/>
              </w:rPr>
            </w:pPr>
            <w:r>
              <w:rPr>
                <w:rFonts w:ascii="宋体" w:eastAsia="宋体" w:hint="eastAsia"/>
                <w:sz w:val="21"/>
              </w:rPr>
              <w:t>一级</w:t>
            </w:r>
          </w:p>
        </w:tc>
        <w:tc>
          <w:tcPr>
            <w:tcW w:w="2357" w:type="dxa"/>
            <w:tcBorders>
              <w:top w:val="single" w:sz="6" w:space="0" w:color="000000"/>
              <w:left w:val="single" w:sz="6" w:space="0" w:color="000000"/>
              <w:bottom w:val="single" w:sz="6" w:space="0" w:color="000000"/>
            </w:tcBorders>
          </w:tcPr>
          <w:p>
            <w:pPr>
              <w:pStyle w:val="TableParagraph"/>
              <w:spacing w:before="46"/>
              <w:ind w:left="974"/>
              <w:jc w:val="left"/>
              <w:rPr>
                <w:rFonts w:ascii="宋体" w:eastAsia="宋体" w:hint="eastAsia"/>
                <w:sz w:val="21"/>
              </w:rPr>
            </w:pPr>
            <w:r>
              <w:rPr>
                <w:rFonts w:ascii="宋体" w:eastAsia="宋体" w:hint="eastAsia"/>
                <w:sz w:val="21"/>
              </w:rPr>
              <w:t>一级</w:t>
            </w:r>
          </w:p>
        </w:tc>
      </w:tr>
      <w:tr>
        <w:trPr>
          <w:trHeight w:val="359" w:hRule="atLeast"/>
        </w:trPr>
        <w:tc>
          <w:tcPr>
            <w:tcW w:w="2357" w:type="dxa"/>
            <w:tcBorders>
              <w:top w:val="single" w:sz="6" w:space="0" w:color="000000"/>
              <w:bottom w:val="single" w:sz="6" w:space="0" w:color="000000"/>
              <w:right w:val="single" w:sz="6" w:space="0" w:color="000000"/>
            </w:tcBorders>
          </w:tcPr>
          <w:p>
            <w:pPr>
              <w:pStyle w:val="TableParagraph"/>
              <w:spacing w:before="46"/>
              <w:ind w:left="422" w:right="401"/>
              <w:rPr>
                <w:rFonts w:ascii="宋体" w:eastAsia="宋体" w:hint="eastAsia"/>
                <w:sz w:val="21"/>
              </w:rPr>
            </w:pPr>
            <w:r>
              <w:rPr>
                <w:rFonts w:ascii="宋体" w:eastAsia="宋体" w:hint="eastAsia"/>
                <w:sz w:val="21"/>
              </w:rPr>
              <w:t>重要生态敏感区</w:t>
            </w:r>
          </w:p>
        </w:tc>
        <w:tc>
          <w:tcPr>
            <w:tcW w:w="2357" w:type="dxa"/>
            <w:tcBorders>
              <w:top w:val="single" w:sz="6" w:space="0" w:color="000000"/>
              <w:left w:val="single" w:sz="6" w:space="0" w:color="000000"/>
              <w:bottom w:val="single" w:sz="6" w:space="0" w:color="000000"/>
              <w:right w:val="single" w:sz="6" w:space="0" w:color="000000"/>
            </w:tcBorders>
          </w:tcPr>
          <w:p>
            <w:pPr>
              <w:pStyle w:val="TableParagraph"/>
              <w:spacing w:before="46"/>
              <w:ind w:left="974"/>
              <w:jc w:val="left"/>
              <w:rPr>
                <w:rFonts w:ascii="宋体" w:eastAsia="宋体" w:hint="eastAsia"/>
                <w:sz w:val="21"/>
              </w:rPr>
            </w:pPr>
            <w:r>
              <w:rPr>
                <w:rFonts w:ascii="宋体" w:eastAsia="宋体" w:hint="eastAsia"/>
                <w:sz w:val="21"/>
              </w:rPr>
              <w:t>一级</w:t>
            </w:r>
          </w:p>
        </w:tc>
        <w:tc>
          <w:tcPr>
            <w:tcW w:w="2360" w:type="dxa"/>
            <w:tcBorders>
              <w:top w:val="single" w:sz="6" w:space="0" w:color="000000"/>
              <w:left w:val="single" w:sz="6" w:space="0" w:color="000000"/>
              <w:bottom w:val="single" w:sz="6" w:space="0" w:color="000000"/>
              <w:right w:val="single" w:sz="6" w:space="0" w:color="000000"/>
            </w:tcBorders>
          </w:tcPr>
          <w:p>
            <w:pPr>
              <w:pStyle w:val="TableParagraph"/>
              <w:spacing w:before="46"/>
              <w:ind w:left="189" w:right="158"/>
              <w:rPr>
                <w:rFonts w:ascii="宋体" w:eastAsia="宋体" w:hint="eastAsia"/>
                <w:sz w:val="21"/>
              </w:rPr>
            </w:pPr>
            <w:r>
              <w:rPr>
                <w:rFonts w:ascii="宋体" w:eastAsia="宋体" w:hint="eastAsia"/>
                <w:sz w:val="21"/>
              </w:rPr>
              <w:t>二级</w:t>
            </w:r>
          </w:p>
        </w:tc>
        <w:tc>
          <w:tcPr>
            <w:tcW w:w="2357" w:type="dxa"/>
            <w:tcBorders>
              <w:top w:val="single" w:sz="6" w:space="0" w:color="000000"/>
              <w:left w:val="single" w:sz="6" w:space="0" w:color="000000"/>
              <w:bottom w:val="single" w:sz="6" w:space="0" w:color="000000"/>
            </w:tcBorders>
          </w:tcPr>
          <w:p>
            <w:pPr>
              <w:pStyle w:val="TableParagraph"/>
              <w:spacing w:before="46"/>
              <w:ind w:left="974"/>
              <w:jc w:val="left"/>
              <w:rPr>
                <w:rFonts w:ascii="宋体" w:eastAsia="宋体" w:hint="eastAsia"/>
                <w:sz w:val="21"/>
              </w:rPr>
            </w:pPr>
            <w:r>
              <w:rPr>
                <w:rFonts w:ascii="宋体" w:eastAsia="宋体" w:hint="eastAsia"/>
                <w:sz w:val="21"/>
              </w:rPr>
              <w:t>三级</w:t>
            </w:r>
          </w:p>
        </w:tc>
      </w:tr>
      <w:tr>
        <w:trPr>
          <w:trHeight w:val="359" w:hRule="atLeast"/>
        </w:trPr>
        <w:tc>
          <w:tcPr>
            <w:tcW w:w="2357" w:type="dxa"/>
            <w:tcBorders>
              <w:top w:val="single" w:sz="6" w:space="0" w:color="000000"/>
              <w:right w:val="single" w:sz="6" w:space="0" w:color="000000"/>
            </w:tcBorders>
          </w:tcPr>
          <w:p>
            <w:pPr>
              <w:pStyle w:val="TableParagraph"/>
              <w:spacing w:before="46"/>
              <w:ind w:left="422" w:right="399"/>
              <w:rPr>
                <w:rFonts w:ascii="宋体" w:eastAsia="宋体" w:hint="eastAsia"/>
                <w:sz w:val="21"/>
              </w:rPr>
            </w:pPr>
            <w:r>
              <w:rPr>
                <w:rFonts w:ascii="宋体" w:eastAsia="宋体" w:hint="eastAsia"/>
                <w:sz w:val="21"/>
              </w:rPr>
              <w:t>一般区域</w:t>
            </w:r>
          </w:p>
        </w:tc>
        <w:tc>
          <w:tcPr>
            <w:tcW w:w="2357" w:type="dxa"/>
            <w:tcBorders>
              <w:top w:val="single" w:sz="6" w:space="0" w:color="000000"/>
              <w:left w:val="single" w:sz="6" w:space="0" w:color="000000"/>
              <w:right w:val="single" w:sz="6" w:space="0" w:color="000000"/>
            </w:tcBorders>
          </w:tcPr>
          <w:p>
            <w:pPr>
              <w:pStyle w:val="TableParagraph"/>
              <w:spacing w:before="46"/>
              <w:ind w:left="974"/>
              <w:jc w:val="left"/>
              <w:rPr>
                <w:rFonts w:ascii="宋体" w:eastAsia="宋体" w:hint="eastAsia"/>
                <w:sz w:val="21"/>
              </w:rPr>
            </w:pPr>
            <w:r>
              <w:rPr>
                <w:rFonts w:ascii="宋体" w:eastAsia="宋体" w:hint="eastAsia"/>
                <w:sz w:val="21"/>
              </w:rPr>
              <w:t>二级</w:t>
            </w:r>
          </w:p>
        </w:tc>
        <w:tc>
          <w:tcPr>
            <w:tcW w:w="2360" w:type="dxa"/>
            <w:tcBorders>
              <w:top w:val="single" w:sz="6" w:space="0" w:color="000000"/>
              <w:left w:val="single" w:sz="6" w:space="0" w:color="000000"/>
              <w:right w:val="single" w:sz="6" w:space="0" w:color="000000"/>
            </w:tcBorders>
          </w:tcPr>
          <w:p>
            <w:pPr>
              <w:pStyle w:val="TableParagraph"/>
              <w:spacing w:before="46"/>
              <w:ind w:left="189" w:right="158"/>
              <w:rPr>
                <w:rFonts w:ascii="宋体" w:eastAsia="宋体" w:hint="eastAsia"/>
                <w:sz w:val="21"/>
              </w:rPr>
            </w:pPr>
            <w:r>
              <w:rPr>
                <w:rFonts w:ascii="宋体" w:eastAsia="宋体" w:hint="eastAsia"/>
                <w:sz w:val="21"/>
              </w:rPr>
              <w:t>三级</w:t>
            </w:r>
          </w:p>
        </w:tc>
        <w:tc>
          <w:tcPr>
            <w:tcW w:w="2357" w:type="dxa"/>
            <w:tcBorders>
              <w:top w:val="single" w:sz="6" w:space="0" w:color="000000"/>
              <w:left w:val="single" w:sz="6" w:space="0" w:color="000000"/>
            </w:tcBorders>
          </w:tcPr>
          <w:p>
            <w:pPr>
              <w:pStyle w:val="TableParagraph"/>
              <w:spacing w:before="46"/>
              <w:ind w:left="974"/>
              <w:jc w:val="left"/>
              <w:rPr>
                <w:rFonts w:ascii="宋体" w:eastAsia="宋体" w:hint="eastAsia"/>
                <w:sz w:val="21"/>
              </w:rPr>
            </w:pPr>
            <w:r>
              <w:rPr>
                <w:rFonts w:ascii="宋体" w:eastAsia="宋体" w:hint="eastAsia"/>
                <w:sz w:val="21"/>
              </w:rPr>
              <w:t>三级</w:t>
            </w:r>
          </w:p>
        </w:tc>
      </w:tr>
    </w:tbl>
    <w:p>
      <w:pPr>
        <w:spacing w:before="82"/>
        <w:ind w:left="719" w:right="0" w:firstLine="0"/>
        <w:jc w:val="left"/>
        <w:rPr>
          <w:b/>
          <w:sz w:val="24"/>
        </w:rPr>
      </w:pPr>
      <w:r>
        <w:rPr>
          <w:rFonts w:ascii="Times New Roman" w:eastAsia="Times New Roman"/>
          <w:b/>
          <w:sz w:val="24"/>
        </w:rPr>
        <w:t>6</w:t>
      </w:r>
      <w:r>
        <w:rPr>
          <w:b/>
          <w:sz w:val="24"/>
        </w:rPr>
        <w:t>、环境风险</w:t>
      </w:r>
    </w:p>
    <w:p>
      <w:pPr>
        <w:pStyle w:val="BodyText"/>
        <w:spacing w:line="364" w:lineRule="auto" w:before="160"/>
        <w:ind w:right="247" w:firstLine="480"/>
        <w:jc w:val="both"/>
      </w:pPr>
      <w:r>
        <w:rPr/>
        <w:t>依据《建设项目环境风险评价技术导则》（</w:t>
      </w:r>
      <w:r>
        <w:rPr>
          <w:rFonts w:ascii="Times New Roman" w:hAnsi="Times New Roman" w:eastAsia="Times New Roman"/>
          <w:position w:val="1"/>
        </w:rPr>
        <w:t>HJ 169-2018</w:t>
      </w:r>
      <w:r>
        <w:rPr/>
        <w:t>），</w:t>
      </w:r>
      <w:r>
        <w:rPr>
          <w:spacing w:val="-2"/>
        </w:rPr>
        <w:t>须先根据建设项目涉及</w:t>
      </w:r>
      <w:r>
        <w:rPr>
          <w:spacing w:val="-4"/>
        </w:rPr>
        <w:t>的物质及工艺系统危险性和所在地的环境敏感性确定环境风险潜势，再按照表 </w:t>
      </w:r>
      <w:r>
        <w:rPr>
          <w:rFonts w:ascii="Times New Roman" w:hAnsi="Times New Roman" w:eastAsia="Times New Roman"/>
          <w:position w:val="1"/>
        </w:rPr>
        <w:t>2.4-5 </w:t>
      </w:r>
      <w:r>
        <w:rPr>
          <w:spacing w:val="-6"/>
        </w:rPr>
        <w:t>确定</w:t>
      </w:r>
      <w:r>
        <w:rPr/>
        <w:t>评价工作等级。根据分析，本项目环境风险潜势为Ⅰ，因此确定本项目环境风险评价的工作等级为简单分析（</w:t>
      </w:r>
      <w:r>
        <w:rPr>
          <w:spacing w:val="-16"/>
        </w:rPr>
        <w:t>详见第 </w:t>
      </w:r>
      <w:r>
        <w:rPr>
          <w:rFonts w:ascii="Times New Roman" w:hAnsi="Times New Roman" w:eastAsia="Times New Roman"/>
          <w:position w:val="1"/>
        </w:rPr>
        <w:t>5.2.6 </w:t>
      </w:r>
      <w:r>
        <w:rPr/>
        <w:t>章）。</w:t>
      </w:r>
    </w:p>
    <w:p>
      <w:pPr>
        <w:pStyle w:val="Heading3"/>
        <w:spacing w:before="3"/>
        <w:ind w:left="2937"/>
        <w:jc w:val="both"/>
      </w:pPr>
      <w:r>
        <w:rPr/>
        <w:t>表 </w:t>
      </w:r>
      <w:r>
        <w:rPr>
          <w:rFonts w:ascii="Times New Roman" w:eastAsia="Times New Roman"/>
        </w:rPr>
        <w:t>2.4-5  </w:t>
      </w:r>
      <w:r>
        <w:rPr/>
        <w:t>环境风险评价工作等级划分</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36"/>
        <w:gridCol w:w="1757"/>
        <w:gridCol w:w="1973"/>
        <w:gridCol w:w="2410"/>
        <w:gridCol w:w="1755"/>
      </w:tblGrid>
      <w:tr>
        <w:trPr>
          <w:trHeight w:val="359" w:hRule="atLeast"/>
        </w:trPr>
        <w:tc>
          <w:tcPr>
            <w:tcW w:w="1536" w:type="dxa"/>
            <w:tcBorders>
              <w:bottom w:val="single" w:sz="4" w:space="0" w:color="000000"/>
              <w:right w:val="single" w:sz="4" w:space="0" w:color="000000"/>
            </w:tcBorders>
          </w:tcPr>
          <w:p>
            <w:pPr>
              <w:pStyle w:val="TableParagraph"/>
              <w:spacing w:before="44"/>
              <w:ind w:left="133"/>
              <w:jc w:val="left"/>
              <w:rPr>
                <w:rFonts w:ascii="宋体" w:eastAsia="宋体" w:hint="eastAsia"/>
                <w:b/>
                <w:sz w:val="21"/>
              </w:rPr>
            </w:pPr>
            <w:r>
              <w:rPr>
                <w:rFonts w:ascii="宋体" w:eastAsia="宋体" w:hint="eastAsia"/>
                <w:b/>
                <w:sz w:val="21"/>
              </w:rPr>
              <w:t>环境风险潜势</w:t>
            </w:r>
          </w:p>
        </w:tc>
        <w:tc>
          <w:tcPr>
            <w:tcW w:w="1757" w:type="dxa"/>
            <w:tcBorders>
              <w:left w:val="single" w:sz="4" w:space="0" w:color="000000"/>
              <w:bottom w:val="single" w:sz="4" w:space="0" w:color="000000"/>
              <w:right w:val="single" w:sz="4" w:space="0" w:color="000000"/>
            </w:tcBorders>
          </w:tcPr>
          <w:p>
            <w:pPr>
              <w:pStyle w:val="TableParagraph"/>
              <w:spacing w:before="44"/>
              <w:ind w:left="491" w:right="462"/>
              <w:rPr>
                <w:b/>
                <w:sz w:val="21"/>
              </w:rPr>
            </w:pPr>
            <w:r>
              <w:rPr>
                <w:rFonts w:ascii="宋体" w:hAnsi="宋体" w:eastAsia="宋体" w:hint="eastAsia"/>
                <w:b/>
                <w:sz w:val="21"/>
              </w:rPr>
              <w:t>Ⅳ、Ⅳ</w:t>
            </w:r>
            <w:r>
              <w:rPr>
                <w:b/>
                <w:sz w:val="21"/>
              </w:rPr>
              <w:t>+</w:t>
            </w:r>
          </w:p>
        </w:tc>
        <w:tc>
          <w:tcPr>
            <w:tcW w:w="1973" w:type="dxa"/>
            <w:tcBorders>
              <w:left w:val="single" w:sz="4" w:space="0" w:color="000000"/>
              <w:bottom w:val="single" w:sz="4" w:space="0" w:color="000000"/>
              <w:right w:val="single" w:sz="4" w:space="0" w:color="000000"/>
            </w:tcBorders>
          </w:tcPr>
          <w:p>
            <w:pPr>
              <w:pStyle w:val="TableParagraph"/>
              <w:spacing w:before="44"/>
              <w:ind w:left="29"/>
              <w:rPr>
                <w:rFonts w:ascii="宋体" w:hAnsi="宋体"/>
                <w:b/>
                <w:sz w:val="21"/>
              </w:rPr>
            </w:pPr>
            <w:r>
              <w:rPr>
                <w:rFonts w:ascii="宋体" w:hAnsi="宋体"/>
                <w:b/>
                <w:w w:val="100"/>
                <w:sz w:val="21"/>
              </w:rPr>
              <w:t>Ⅲ</w:t>
            </w:r>
          </w:p>
        </w:tc>
        <w:tc>
          <w:tcPr>
            <w:tcW w:w="2410" w:type="dxa"/>
            <w:tcBorders>
              <w:left w:val="single" w:sz="4" w:space="0" w:color="000000"/>
              <w:bottom w:val="single" w:sz="4" w:space="0" w:color="000000"/>
              <w:right w:val="single" w:sz="4" w:space="0" w:color="000000"/>
            </w:tcBorders>
          </w:tcPr>
          <w:p>
            <w:pPr>
              <w:pStyle w:val="TableParagraph"/>
              <w:spacing w:before="44"/>
              <w:ind w:left="29"/>
              <w:rPr>
                <w:rFonts w:ascii="宋体" w:hAnsi="宋体"/>
                <w:b/>
                <w:sz w:val="21"/>
              </w:rPr>
            </w:pPr>
            <w:r>
              <w:rPr>
                <w:rFonts w:ascii="宋体" w:hAnsi="宋体"/>
                <w:b/>
                <w:w w:val="100"/>
                <w:sz w:val="21"/>
              </w:rPr>
              <w:t>Ⅱ</w:t>
            </w:r>
          </w:p>
        </w:tc>
        <w:tc>
          <w:tcPr>
            <w:tcW w:w="1755" w:type="dxa"/>
            <w:tcBorders>
              <w:left w:val="single" w:sz="4" w:space="0" w:color="000000"/>
              <w:bottom w:val="single" w:sz="4" w:space="0" w:color="000000"/>
            </w:tcBorders>
          </w:tcPr>
          <w:p>
            <w:pPr>
              <w:pStyle w:val="TableParagraph"/>
              <w:spacing w:before="44"/>
              <w:ind w:left="37"/>
              <w:rPr>
                <w:rFonts w:ascii="宋体" w:hAnsi="宋体"/>
                <w:b/>
                <w:sz w:val="21"/>
              </w:rPr>
            </w:pPr>
            <w:r>
              <w:rPr>
                <w:rFonts w:ascii="宋体" w:hAnsi="宋体"/>
                <w:b/>
                <w:w w:val="100"/>
                <w:sz w:val="21"/>
              </w:rPr>
              <w:t>Ⅰ</w:t>
            </w:r>
          </w:p>
        </w:tc>
      </w:tr>
      <w:tr>
        <w:trPr>
          <w:trHeight w:val="359" w:hRule="atLeast"/>
        </w:trPr>
        <w:tc>
          <w:tcPr>
            <w:tcW w:w="1536" w:type="dxa"/>
            <w:tcBorders>
              <w:top w:val="single" w:sz="4" w:space="0" w:color="000000"/>
              <w:bottom w:val="single" w:sz="4" w:space="0" w:color="000000"/>
              <w:right w:val="single" w:sz="4" w:space="0" w:color="000000"/>
            </w:tcBorders>
          </w:tcPr>
          <w:p>
            <w:pPr>
              <w:pStyle w:val="TableParagraph"/>
              <w:spacing w:before="44"/>
              <w:ind w:left="136"/>
              <w:jc w:val="left"/>
              <w:rPr>
                <w:rFonts w:ascii="宋体" w:eastAsia="宋体" w:hint="eastAsia"/>
                <w:sz w:val="21"/>
              </w:rPr>
            </w:pPr>
            <w:r>
              <w:rPr>
                <w:rFonts w:ascii="宋体" w:eastAsia="宋体" w:hint="eastAsia"/>
                <w:sz w:val="21"/>
              </w:rPr>
              <w:t>评价工作等级</w:t>
            </w:r>
          </w:p>
        </w:tc>
        <w:tc>
          <w:tcPr>
            <w:tcW w:w="1757" w:type="dxa"/>
            <w:tcBorders>
              <w:top w:val="single" w:sz="4" w:space="0" w:color="000000"/>
              <w:left w:val="single" w:sz="4" w:space="0" w:color="000000"/>
              <w:bottom w:val="single" w:sz="4" w:space="0" w:color="000000"/>
              <w:right w:val="single" w:sz="4" w:space="0" w:color="000000"/>
            </w:tcBorders>
          </w:tcPr>
          <w:p>
            <w:pPr>
              <w:pStyle w:val="TableParagraph"/>
              <w:spacing w:before="44"/>
              <w:ind w:left="29"/>
              <w:rPr>
                <w:rFonts w:ascii="宋体" w:eastAsia="宋体" w:hint="eastAsia"/>
                <w:sz w:val="21"/>
              </w:rPr>
            </w:pPr>
            <w:r>
              <w:rPr>
                <w:rFonts w:ascii="宋体" w:eastAsia="宋体" w:hint="eastAsia"/>
                <w:w w:val="100"/>
                <w:sz w:val="21"/>
              </w:rPr>
              <w:t>一</w:t>
            </w:r>
          </w:p>
        </w:tc>
        <w:tc>
          <w:tcPr>
            <w:tcW w:w="1973" w:type="dxa"/>
            <w:tcBorders>
              <w:top w:val="single" w:sz="4" w:space="0" w:color="000000"/>
              <w:left w:val="single" w:sz="4" w:space="0" w:color="000000"/>
              <w:bottom w:val="single" w:sz="4" w:space="0" w:color="000000"/>
              <w:right w:val="single" w:sz="4" w:space="0" w:color="000000"/>
            </w:tcBorders>
          </w:tcPr>
          <w:p>
            <w:pPr>
              <w:pStyle w:val="TableParagraph"/>
              <w:spacing w:before="44"/>
              <w:ind w:left="29"/>
              <w:rPr>
                <w:rFonts w:ascii="宋体" w:eastAsia="宋体" w:hint="eastAsia"/>
                <w:sz w:val="21"/>
              </w:rPr>
            </w:pPr>
            <w:r>
              <w:rPr>
                <w:rFonts w:ascii="宋体" w:eastAsia="宋体" w:hint="eastAsia"/>
                <w:w w:val="100"/>
                <w:sz w:val="21"/>
              </w:rPr>
              <w:t>二</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pacing w:before="44"/>
              <w:ind w:left="29"/>
              <w:rPr>
                <w:rFonts w:ascii="宋体" w:eastAsia="宋体" w:hint="eastAsia"/>
                <w:sz w:val="21"/>
              </w:rPr>
            </w:pPr>
            <w:r>
              <w:rPr>
                <w:rFonts w:ascii="宋体" w:eastAsia="宋体" w:hint="eastAsia"/>
                <w:w w:val="100"/>
                <w:sz w:val="21"/>
              </w:rPr>
              <w:t>三</w:t>
            </w:r>
          </w:p>
        </w:tc>
        <w:tc>
          <w:tcPr>
            <w:tcW w:w="1755" w:type="dxa"/>
            <w:tcBorders>
              <w:top w:val="single" w:sz="4" w:space="0" w:color="000000"/>
              <w:left w:val="single" w:sz="4" w:space="0" w:color="000000"/>
              <w:bottom w:val="single" w:sz="4" w:space="0" w:color="000000"/>
            </w:tcBorders>
          </w:tcPr>
          <w:p>
            <w:pPr>
              <w:pStyle w:val="TableParagraph"/>
              <w:spacing w:before="44"/>
              <w:ind w:left="395" w:right="355"/>
              <w:rPr>
                <w:sz w:val="21"/>
              </w:rPr>
            </w:pPr>
            <w:r>
              <w:rPr>
                <w:rFonts w:ascii="宋体" w:eastAsia="宋体" w:hint="eastAsia"/>
                <w:sz w:val="21"/>
              </w:rPr>
              <w:t>简单分析</w:t>
            </w:r>
            <w:r>
              <w:rPr>
                <w:sz w:val="21"/>
              </w:rPr>
              <w:t>*</w:t>
            </w:r>
          </w:p>
        </w:tc>
      </w:tr>
      <w:tr>
        <w:trPr>
          <w:trHeight w:val="623" w:hRule="atLeast"/>
        </w:trPr>
        <w:tc>
          <w:tcPr>
            <w:tcW w:w="9431" w:type="dxa"/>
            <w:gridSpan w:val="5"/>
            <w:tcBorders>
              <w:top w:val="single" w:sz="4" w:space="0" w:color="000000"/>
            </w:tcBorders>
          </w:tcPr>
          <w:p>
            <w:pPr>
              <w:pStyle w:val="TableParagraph"/>
              <w:spacing w:before="23"/>
              <w:ind w:left="107"/>
              <w:jc w:val="left"/>
              <w:rPr>
                <w:rFonts w:ascii="宋体" w:eastAsia="宋体" w:hint="eastAsia"/>
                <w:sz w:val="21"/>
              </w:rPr>
            </w:pPr>
            <w:r>
              <w:rPr>
                <w:sz w:val="21"/>
              </w:rPr>
              <w:t>*</w:t>
            </w:r>
            <w:r>
              <w:rPr>
                <w:rFonts w:ascii="宋体" w:eastAsia="宋体" w:hint="eastAsia"/>
                <w:sz w:val="21"/>
              </w:rPr>
              <w:t>是相对于详细评价工作内容而言，在描述危险物质、环境影响途径、环境危害后果、风险防范措施</w:t>
            </w:r>
          </w:p>
          <w:p>
            <w:pPr>
              <w:pStyle w:val="TableParagraph"/>
              <w:spacing w:line="269" w:lineRule="exact" w:before="43"/>
              <w:ind w:left="107"/>
              <w:jc w:val="left"/>
              <w:rPr>
                <w:rFonts w:ascii="宋体" w:eastAsia="宋体" w:hint="eastAsia"/>
                <w:sz w:val="21"/>
              </w:rPr>
            </w:pPr>
            <w:r>
              <w:rPr>
                <w:rFonts w:ascii="宋体" w:eastAsia="宋体" w:hint="eastAsia"/>
                <w:sz w:val="21"/>
              </w:rPr>
              <w:t>等方面给出定性的说明。</w:t>
            </w:r>
          </w:p>
        </w:tc>
      </w:tr>
    </w:tbl>
    <w:p>
      <w:pPr>
        <w:spacing w:before="82"/>
        <w:ind w:left="719" w:right="0" w:firstLine="0"/>
        <w:jc w:val="left"/>
        <w:rPr>
          <w:b/>
          <w:sz w:val="24"/>
        </w:rPr>
      </w:pPr>
      <w:r>
        <w:rPr>
          <w:rFonts w:ascii="Times New Roman" w:eastAsia="Times New Roman"/>
          <w:b/>
          <w:sz w:val="24"/>
        </w:rPr>
        <w:t>7</w:t>
      </w:r>
      <w:r>
        <w:rPr>
          <w:b/>
          <w:sz w:val="24"/>
        </w:rPr>
        <w:t>、土壤环境</w:t>
      </w:r>
    </w:p>
    <w:p>
      <w:pPr>
        <w:pStyle w:val="BodyText"/>
        <w:spacing w:line="364" w:lineRule="auto" w:before="160"/>
        <w:ind w:right="249" w:firstLine="480"/>
        <w:jc w:val="both"/>
      </w:pPr>
      <w:r>
        <w:rPr/>
        <w:t>本项目属于农林牧渔业，是土壤污染影响型建设项目。根据《环境影响评价技术导</w:t>
      </w:r>
      <w:r>
        <w:rPr>
          <w:spacing w:val="-4"/>
        </w:rPr>
        <w:t>则 土壤环境</w:t>
      </w:r>
      <w:r>
        <w:rPr/>
        <w:t>（试行</w:t>
      </w:r>
      <w:r>
        <w:rPr>
          <w:spacing w:val="-10"/>
        </w:rPr>
        <w:t>）</w:t>
      </w:r>
      <w:r>
        <w:rPr>
          <w:spacing w:val="-24"/>
        </w:rPr>
        <w:t>》</w:t>
      </w:r>
      <w:r>
        <w:rPr/>
        <w:t>（</w:t>
      </w:r>
      <w:r>
        <w:rPr>
          <w:rFonts w:ascii="Times New Roman" w:hAnsi="Times New Roman" w:eastAsia="Times New Roman"/>
          <w:position w:val="1"/>
        </w:rPr>
        <w:t>HJ 964-2018</w:t>
      </w:r>
      <w:r>
        <w:rPr/>
        <w:t>）</w:t>
      </w:r>
      <w:r>
        <w:rPr>
          <w:spacing w:val="-21"/>
        </w:rPr>
        <w:t>附录 </w:t>
      </w:r>
      <w:r>
        <w:rPr>
          <w:rFonts w:ascii="Times New Roman" w:hAnsi="Times New Roman" w:eastAsia="Times New Roman"/>
          <w:spacing w:val="-7"/>
          <w:position w:val="1"/>
        </w:rPr>
        <w:t>A</w:t>
      </w:r>
      <w:r>
        <w:rPr>
          <w:spacing w:val="-4"/>
        </w:rPr>
        <w:t>，本项目土壤环境影响评价项目类别为Ⅲ </w:t>
      </w:r>
      <w:r>
        <w:rPr>
          <w:spacing w:val="-8"/>
        </w:rPr>
        <w:t>类；项目厂区占地面积约 </w:t>
      </w:r>
      <w:r>
        <w:rPr>
          <w:rFonts w:ascii="Times New Roman" w:hAnsi="Times New Roman" w:eastAsia="Times New Roman"/>
          <w:position w:val="1"/>
        </w:rPr>
        <w:t>78.5 </w:t>
      </w:r>
      <w:r>
        <w:rPr>
          <w:spacing w:val="-7"/>
        </w:rPr>
        <w:t>亩，属于中型占地规模；项目拟建址周边 </w:t>
      </w:r>
      <w:r>
        <w:rPr>
          <w:rFonts w:ascii="Times New Roman" w:hAnsi="Times New Roman" w:eastAsia="Times New Roman"/>
          <w:position w:val="1"/>
        </w:rPr>
        <w:t>50m </w:t>
      </w:r>
      <w:r>
        <w:rPr>
          <w:spacing w:val="-4"/>
        </w:rPr>
        <w:t>范围内存在</w:t>
      </w:r>
      <w:r>
        <w:rPr/>
        <w:t>耕地等土壤环境敏感目标，敏感程度分级为敏感。根据导则关于污染影响型评价工作等级划分表（</w:t>
      </w:r>
      <w:r>
        <w:rPr>
          <w:spacing w:val="-15"/>
        </w:rPr>
        <w:t>详见表 </w:t>
      </w:r>
      <w:r>
        <w:rPr>
          <w:rFonts w:ascii="Times New Roman" w:hAnsi="Times New Roman" w:eastAsia="Times New Roman"/>
          <w:position w:val="1"/>
        </w:rPr>
        <w:t>2.4-6</w:t>
      </w:r>
      <w:r>
        <w:rPr/>
        <w:t>），确定本项目土壤环境影响评价等级为三级。</w:t>
      </w:r>
    </w:p>
    <w:p>
      <w:pPr>
        <w:spacing w:after="0" w:line="364" w:lineRule="auto"/>
        <w:jc w:val="both"/>
        <w:sectPr>
          <w:pgSz w:w="11910" w:h="16840"/>
          <w:pgMar w:header="874" w:footer="1004" w:top="1400" w:bottom="1200" w:left="1040" w:right="1160"/>
        </w:sectPr>
      </w:pPr>
    </w:p>
    <w:p>
      <w:pPr>
        <w:pStyle w:val="Heading3"/>
        <w:spacing w:before="121"/>
        <w:ind w:left="217" w:right="236"/>
        <w:jc w:val="center"/>
      </w:pPr>
      <w:r>
        <w:rPr/>
        <w:t>表 </w:t>
      </w:r>
      <w:r>
        <w:rPr>
          <w:rFonts w:ascii="Times New Roman" w:eastAsia="Times New Roman"/>
        </w:rPr>
        <w:t>2.4-6  </w:t>
      </w:r>
      <w:r>
        <w:rPr/>
        <w:t>土壤污染影响型评价工作等级划分表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4"/>
        <w:gridCol w:w="912"/>
        <w:gridCol w:w="911"/>
        <w:gridCol w:w="913"/>
        <w:gridCol w:w="911"/>
        <w:gridCol w:w="913"/>
        <w:gridCol w:w="911"/>
        <w:gridCol w:w="910"/>
        <w:gridCol w:w="912"/>
        <w:gridCol w:w="910"/>
      </w:tblGrid>
      <w:tr>
        <w:trPr>
          <w:trHeight w:val="359" w:hRule="atLeast"/>
        </w:trPr>
        <w:tc>
          <w:tcPr>
            <w:tcW w:w="1214"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395"/>
              <w:jc w:val="left"/>
              <w:rPr>
                <w:rFonts w:ascii="宋体" w:eastAsia="宋体" w:hint="eastAsia"/>
                <w:b/>
                <w:sz w:val="21"/>
              </w:rPr>
            </w:pPr>
            <w:r>
              <w:rPr>
                <w:rFonts w:ascii="宋体" w:eastAsia="宋体" w:hint="eastAsia"/>
                <w:b/>
                <w:sz w:val="21"/>
              </w:rPr>
              <w:t>项目</w:t>
            </w:r>
          </w:p>
        </w:tc>
        <w:tc>
          <w:tcPr>
            <w:tcW w:w="2736" w:type="dxa"/>
            <w:gridSpan w:val="3"/>
            <w:tcBorders>
              <w:left w:val="single" w:sz="6" w:space="0" w:color="000000"/>
              <w:bottom w:val="single" w:sz="6" w:space="0" w:color="000000"/>
              <w:right w:val="single" w:sz="6" w:space="0" w:color="000000"/>
            </w:tcBorders>
          </w:tcPr>
          <w:p>
            <w:pPr>
              <w:pStyle w:val="TableParagraph"/>
              <w:spacing w:before="46"/>
              <w:ind w:left="620" w:right="590"/>
              <w:rPr>
                <w:rFonts w:ascii="宋体" w:hAnsi="宋体" w:eastAsia="宋体" w:hint="eastAsia"/>
                <w:b/>
                <w:sz w:val="21"/>
              </w:rPr>
            </w:pPr>
            <w:r>
              <w:rPr>
                <w:rFonts w:ascii="宋体" w:hAnsi="宋体" w:eastAsia="宋体" w:hint="eastAsia"/>
                <w:b/>
                <w:sz w:val="21"/>
              </w:rPr>
              <w:t>Ⅰ类</w:t>
            </w:r>
          </w:p>
        </w:tc>
        <w:tc>
          <w:tcPr>
            <w:tcW w:w="2735" w:type="dxa"/>
            <w:gridSpan w:val="3"/>
            <w:tcBorders>
              <w:left w:val="single" w:sz="6" w:space="0" w:color="000000"/>
              <w:bottom w:val="single" w:sz="6" w:space="0" w:color="000000"/>
              <w:right w:val="single" w:sz="6" w:space="0" w:color="000000"/>
            </w:tcBorders>
          </w:tcPr>
          <w:p>
            <w:pPr>
              <w:pStyle w:val="TableParagraph"/>
              <w:spacing w:before="46"/>
              <w:ind w:left="1145" w:right="1113"/>
              <w:rPr>
                <w:rFonts w:ascii="宋体" w:hAnsi="宋体" w:eastAsia="宋体" w:hint="eastAsia"/>
                <w:b/>
                <w:sz w:val="21"/>
              </w:rPr>
            </w:pPr>
            <w:r>
              <w:rPr>
                <w:rFonts w:ascii="宋体" w:hAnsi="宋体" w:eastAsia="宋体" w:hint="eastAsia"/>
                <w:b/>
                <w:sz w:val="21"/>
              </w:rPr>
              <w:t>Ⅱ类</w:t>
            </w:r>
          </w:p>
        </w:tc>
        <w:tc>
          <w:tcPr>
            <w:tcW w:w="2732" w:type="dxa"/>
            <w:gridSpan w:val="3"/>
            <w:tcBorders>
              <w:left w:val="single" w:sz="6" w:space="0" w:color="000000"/>
              <w:bottom w:val="single" w:sz="6" w:space="0" w:color="000000"/>
            </w:tcBorders>
          </w:tcPr>
          <w:p>
            <w:pPr>
              <w:pStyle w:val="TableParagraph"/>
              <w:spacing w:before="46"/>
              <w:ind w:left="1151" w:right="1096"/>
              <w:rPr>
                <w:rFonts w:ascii="宋体" w:hAnsi="宋体" w:eastAsia="宋体" w:hint="eastAsia"/>
                <w:b/>
                <w:sz w:val="21"/>
              </w:rPr>
            </w:pPr>
            <w:r>
              <w:rPr>
                <w:rFonts w:ascii="宋体" w:hAnsi="宋体" w:eastAsia="宋体" w:hint="eastAsia"/>
                <w:b/>
                <w:sz w:val="21"/>
              </w:rPr>
              <w:t>Ⅲ类</w:t>
            </w:r>
          </w:p>
        </w:tc>
      </w:tr>
      <w:tr>
        <w:trPr>
          <w:trHeight w:val="359" w:hRule="atLeast"/>
        </w:trPr>
        <w:tc>
          <w:tcPr>
            <w:tcW w:w="1214" w:type="dxa"/>
            <w:vMerge/>
            <w:tcBorders>
              <w:top w:val="nil"/>
              <w:bottom w:val="single" w:sz="6" w:space="0" w:color="000000"/>
              <w:right w:val="single" w:sz="6" w:space="0" w:color="000000"/>
            </w:tcBorders>
          </w:tcPr>
          <w:p>
            <w:pPr>
              <w:rPr>
                <w:sz w:val="2"/>
                <w:szCs w:val="2"/>
              </w:rPr>
            </w:pP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b/>
                <w:sz w:val="21"/>
              </w:rPr>
            </w:pPr>
            <w:r>
              <w:rPr>
                <w:rFonts w:ascii="宋体" w:eastAsia="宋体" w:hint="eastAsia"/>
                <w:b/>
                <w:w w:val="100"/>
                <w:sz w:val="21"/>
              </w:rPr>
              <w:t>大</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6"/>
              <w:ind w:left="31"/>
              <w:rPr>
                <w:rFonts w:ascii="宋体" w:eastAsia="宋体" w:hint="eastAsia"/>
                <w:b/>
                <w:sz w:val="21"/>
              </w:rPr>
            </w:pPr>
            <w:r>
              <w:rPr>
                <w:rFonts w:ascii="宋体" w:eastAsia="宋体" w:hint="eastAsia"/>
                <w:b/>
                <w:w w:val="100"/>
                <w:sz w:val="21"/>
              </w:rPr>
              <w:t>中</w:t>
            </w:r>
          </w:p>
        </w:tc>
        <w:tc>
          <w:tcPr>
            <w:tcW w:w="913" w:type="dxa"/>
            <w:tcBorders>
              <w:top w:val="single" w:sz="6" w:space="0" w:color="000000"/>
              <w:left w:val="single" w:sz="6" w:space="0" w:color="000000"/>
              <w:bottom w:val="single" w:sz="6" w:space="0" w:color="000000"/>
              <w:right w:val="single" w:sz="6" w:space="0" w:color="000000"/>
            </w:tcBorders>
          </w:tcPr>
          <w:p>
            <w:pPr>
              <w:pStyle w:val="TableParagraph"/>
              <w:spacing w:before="46"/>
              <w:ind w:left="31"/>
              <w:rPr>
                <w:rFonts w:ascii="宋体" w:eastAsia="宋体" w:hint="eastAsia"/>
                <w:b/>
                <w:sz w:val="21"/>
              </w:rPr>
            </w:pPr>
            <w:r>
              <w:rPr>
                <w:rFonts w:ascii="宋体" w:eastAsia="宋体" w:hint="eastAsia"/>
                <w:b/>
                <w:w w:val="100"/>
                <w:sz w:val="21"/>
              </w:rPr>
              <w:t>小</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6"/>
              <w:ind w:left="32"/>
              <w:rPr>
                <w:rFonts w:ascii="宋体" w:eastAsia="宋体" w:hint="eastAsia"/>
                <w:b/>
                <w:sz w:val="21"/>
              </w:rPr>
            </w:pPr>
            <w:r>
              <w:rPr>
                <w:rFonts w:ascii="宋体" w:eastAsia="宋体" w:hint="eastAsia"/>
                <w:b/>
                <w:w w:val="100"/>
                <w:sz w:val="21"/>
              </w:rPr>
              <w:t>大</w:t>
            </w:r>
          </w:p>
        </w:tc>
        <w:tc>
          <w:tcPr>
            <w:tcW w:w="913" w:type="dxa"/>
            <w:tcBorders>
              <w:top w:val="single" w:sz="6" w:space="0" w:color="000000"/>
              <w:left w:val="single" w:sz="6" w:space="0" w:color="000000"/>
              <w:bottom w:val="single" w:sz="6" w:space="0" w:color="000000"/>
              <w:right w:val="single" w:sz="6" w:space="0" w:color="000000"/>
            </w:tcBorders>
          </w:tcPr>
          <w:p>
            <w:pPr>
              <w:pStyle w:val="TableParagraph"/>
              <w:spacing w:before="46"/>
              <w:ind w:left="37"/>
              <w:rPr>
                <w:rFonts w:ascii="宋体" w:eastAsia="宋体" w:hint="eastAsia"/>
                <w:b/>
                <w:sz w:val="21"/>
              </w:rPr>
            </w:pPr>
            <w:r>
              <w:rPr>
                <w:rFonts w:ascii="宋体" w:eastAsia="宋体" w:hint="eastAsia"/>
                <w:b/>
                <w:w w:val="100"/>
                <w:sz w:val="21"/>
              </w:rPr>
              <w:t>中</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6"/>
              <w:ind w:left="37"/>
              <w:rPr>
                <w:rFonts w:ascii="宋体" w:eastAsia="宋体" w:hint="eastAsia"/>
                <w:b/>
                <w:sz w:val="21"/>
              </w:rPr>
            </w:pPr>
            <w:r>
              <w:rPr>
                <w:rFonts w:ascii="宋体" w:eastAsia="宋体" w:hint="eastAsia"/>
                <w:b/>
                <w:w w:val="100"/>
                <w:sz w:val="21"/>
              </w:rPr>
              <w:t>小</w:t>
            </w:r>
          </w:p>
        </w:tc>
        <w:tc>
          <w:tcPr>
            <w:tcW w:w="910" w:type="dxa"/>
            <w:tcBorders>
              <w:top w:val="single" w:sz="6" w:space="0" w:color="000000"/>
              <w:left w:val="single" w:sz="6" w:space="0" w:color="000000"/>
              <w:bottom w:val="single" w:sz="6" w:space="0" w:color="000000"/>
              <w:right w:val="single" w:sz="6" w:space="0" w:color="000000"/>
            </w:tcBorders>
          </w:tcPr>
          <w:p>
            <w:pPr>
              <w:pStyle w:val="TableParagraph"/>
              <w:spacing w:before="46"/>
              <w:ind w:left="46"/>
              <w:rPr>
                <w:rFonts w:ascii="宋体" w:eastAsia="宋体" w:hint="eastAsia"/>
                <w:b/>
                <w:sz w:val="21"/>
              </w:rPr>
            </w:pPr>
            <w:r>
              <w:rPr>
                <w:rFonts w:ascii="宋体" w:eastAsia="宋体" w:hint="eastAsia"/>
                <w:b/>
                <w:w w:val="100"/>
                <w:sz w:val="21"/>
              </w:rPr>
              <w:t>大</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6"/>
              <w:ind w:left="48"/>
              <w:rPr>
                <w:rFonts w:ascii="宋体" w:eastAsia="宋体" w:hint="eastAsia"/>
                <w:b/>
                <w:sz w:val="21"/>
              </w:rPr>
            </w:pPr>
            <w:r>
              <w:rPr>
                <w:rFonts w:ascii="宋体" w:eastAsia="宋体" w:hint="eastAsia"/>
                <w:b/>
                <w:w w:val="100"/>
                <w:sz w:val="21"/>
              </w:rPr>
              <w:t>中</w:t>
            </w:r>
          </w:p>
        </w:tc>
        <w:tc>
          <w:tcPr>
            <w:tcW w:w="910" w:type="dxa"/>
            <w:tcBorders>
              <w:top w:val="single" w:sz="6" w:space="0" w:color="000000"/>
              <w:left w:val="single" w:sz="6" w:space="0" w:color="000000"/>
              <w:bottom w:val="single" w:sz="6" w:space="0" w:color="000000"/>
            </w:tcBorders>
          </w:tcPr>
          <w:p>
            <w:pPr>
              <w:pStyle w:val="TableParagraph"/>
              <w:spacing w:before="46"/>
              <w:ind w:left="58"/>
              <w:rPr>
                <w:rFonts w:ascii="宋体" w:eastAsia="宋体" w:hint="eastAsia"/>
                <w:b/>
                <w:sz w:val="21"/>
              </w:rPr>
            </w:pPr>
            <w:r>
              <w:rPr>
                <w:rFonts w:ascii="宋体" w:eastAsia="宋体" w:hint="eastAsia"/>
                <w:b/>
                <w:w w:val="100"/>
                <w:sz w:val="21"/>
              </w:rPr>
              <w:t>小</w:t>
            </w:r>
          </w:p>
        </w:tc>
      </w:tr>
      <w:tr>
        <w:trPr>
          <w:trHeight w:val="357" w:hRule="atLeast"/>
        </w:trPr>
        <w:tc>
          <w:tcPr>
            <w:tcW w:w="1214" w:type="dxa"/>
            <w:tcBorders>
              <w:top w:val="single" w:sz="6" w:space="0" w:color="000000"/>
              <w:bottom w:val="single" w:sz="6" w:space="0" w:color="000000"/>
              <w:right w:val="single" w:sz="6" w:space="0" w:color="000000"/>
            </w:tcBorders>
          </w:tcPr>
          <w:p>
            <w:pPr>
              <w:pStyle w:val="TableParagraph"/>
              <w:spacing w:before="46"/>
              <w:ind w:left="271" w:right="250"/>
              <w:rPr>
                <w:rFonts w:ascii="宋体" w:eastAsia="宋体" w:hint="eastAsia"/>
                <w:sz w:val="21"/>
              </w:rPr>
            </w:pPr>
            <w:r>
              <w:rPr>
                <w:rFonts w:ascii="宋体" w:eastAsia="宋体" w:hint="eastAsia"/>
                <w:sz w:val="21"/>
              </w:rPr>
              <w:t>敏感</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90"/>
              <w:rPr>
                <w:rFonts w:ascii="宋体" w:eastAsia="宋体" w:hint="eastAsia"/>
                <w:sz w:val="21"/>
              </w:rPr>
            </w:pPr>
            <w:r>
              <w:rPr>
                <w:rFonts w:ascii="宋体" w:eastAsia="宋体" w:hint="eastAsia"/>
                <w:sz w:val="21"/>
              </w:rPr>
              <w:t>一级</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6"/>
              <w:ind w:left="230" w:right="199"/>
              <w:rPr>
                <w:rFonts w:ascii="宋体" w:eastAsia="宋体" w:hint="eastAsia"/>
                <w:sz w:val="21"/>
              </w:rPr>
            </w:pPr>
            <w:r>
              <w:rPr>
                <w:rFonts w:ascii="宋体" w:eastAsia="宋体" w:hint="eastAsia"/>
                <w:sz w:val="21"/>
              </w:rPr>
              <w:t>一级</w:t>
            </w:r>
          </w:p>
        </w:tc>
        <w:tc>
          <w:tcPr>
            <w:tcW w:w="913" w:type="dxa"/>
            <w:tcBorders>
              <w:top w:val="single" w:sz="6" w:space="0" w:color="000000"/>
              <w:left w:val="single" w:sz="6" w:space="0" w:color="000000"/>
              <w:bottom w:val="single" w:sz="6" w:space="0" w:color="000000"/>
              <w:right w:val="single" w:sz="6" w:space="0" w:color="000000"/>
            </w:tcBorders>
          </w:tcPr>
          <w:p>
            <w:pPr>
              <w:pStyle w:val="TableParagraph"/>
              <w:spacing w:before="46"/>
              <w:ind w:left="231" w:right="200"/>
              <w:rPr>
                <w:rFonts w:ascii="宋体" w:eastAsia="宋体" w:hint="eastAsia"/>
                <w:sz w:val="21"/>
              </w:rPr>
            </w:pPr>
            <w:r>
              <w:rPr>
                <w:rFonts w:ascii="宋体" w:eastAsia="宋体" w:hint="eastAsia"/>
                <w:sz w:val="21"/>
              </w:rPr>
              <w:t>一级</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6"/>
              <w:ind w:left="230" w:right="199"/>
              <w:rPr>
                <w:rFonts w:ascii="宋体" w:eastAsia="宋体" w:hint="eastAsia"/>
                <w:sz w:val="21"/>
              </w:rPr>
            </w:pPr>
            <w:r>
              <w:rPr>
                <w:rFonts w:ascii="宋体" w:eastAsia="宋体" w:hint="eastAsia"/>
                <w:sz w:val="21"/>
              </w:rPr>
              <w:t>二级</w:t>
            </w:r>
          </w:p>
        </w:tc>
        <w:tc>
          <w:tcPr>
            <w:tcW w:w="913" w:type="dxa"/>
            <w:tcBorders>
              <w:top w:val="single" w:sz="6" w:space="0" w:color="000000"/>
              <w:left w:val="single" w:sz="6" w:space="0" w:color="000000"/>
              <w:bottom w:val="single" w:sz="6" w:space="0" w:color="000000"/>
              <w:right w:val="single" w:sz="6" w:space="0" w:color="000000"/>
            </w:tcBorders>
          </w:tcPr>
          <w:p>
            <w:pPr>
              <w:pStyle w:val="TableParagraph"/>
              <w:spacing w:before="44"/>
              <w:ind w:left="234" w:right="197"/>
              <w:rPr>
                <w:rFonts w:ascii="宋体" w:eastAsia="宋体" w:hint="eastAsia"/>
                <w:sz w:val="21"/>
              </w:rPr>
            </w:pPr>
            <w:r>
              <w:rPr>
                <w:rFonts w:ascii="宋体" w:eastAsia="宋体" w:hint="eastAsia"/>
                <w:sz w:val="21"/>
              </w:rPr>
              <w:t>二级</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4"/>
              <w:ind w:left="233" w:right="196"/>
              <w:rPr>
                <w:rFonts w:ascii="宋体" w:eastAsia="宋体" w:hint="eastAsia"/>
                <w:sz w:val="21"/>
              </w:rPr>
            </w:pPr>
            <w:r>
              <w:rPr>
                <w:rFonts w:ascii="宋体" w:eastAsia="宋体" w:hint="eastAsia"/>
                <w:sz w:val="21"/>
              </w:rPr>
              <w:t>二级</w:t>
            </w:r>
          </w:p>
        </w:tc>
        <w:tc>
          <w:tcPr>
            <w:tcW w:w="910" w:type="dxa"/>
            <w:tcBorders>
              <w:top w:val="single" w:sz="6" w:space="0" w:color="000000"/>
              <w:left w:val="single" w:sz="6" w:space="0" w:color="000000"/>
              <w:bottom w:val="single" w:sz="6" w:space="0" w:color="000000"/>
              <w:right w:val="single" w:sz="6" w:space="0" w:color="000000"/>
            </w:tcBorders>
          </w:tcPr>
          <w:p>
            <w:pPr>
              <w:pStyle w:val="TableParagraph"/>
              <w:spacing w:before="46"/>
              <w:ind w:left="240" w:right="194"/>
              <w:rPr>
                <w:rFonts w:ascii="宋体" w:eastAsia="宋体" w:hint="eastAsia"/>
                <w:sz w:val="21"/>
              </w:rPr>
            </w:pPr>
            <w:r>
              <w:rPr>
                <w:rFonts w:ascii="宋体" w:eastAsia="宋体" w:hint="eastAsia"/>
                <w:sz w:val="21"/>
              </w:rPr>
              <w:t>三级</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71"/>
              <w:rPr>
                <w:rFonts w:ascii="宋体" w:eastAsia="宋体" w:hint="eastAsia"/>
                <w:sz w:val="21"/>
              </w:rPr>
            </w:pPr>
            <w:r>
              <w:rPr>
                <w:rFonts w:ascii="宋体" w:eastAsia="宋体" w:hint="eastAsia"/>
                <w:sz w:val="21"/>
              </w:rPr>
              <w:t>三级</w:t>
            </w:r>
          </w:p>
        </w:tc>
        <w:tc>
          <w:tcPr>
            <w:tcW w:w="910" w:type="dxa"/>
            <w:tcBorders>
              <w:top w:val="single" w:sz="6" w:space="0" w:color="000000"/>
              <w:left w:val="single" w:sz="6" w:space="0" w:color="000000"/>
              <w:bottom w:val="single" w:sz="6" w:space="0" w:color="000000"/>
            </w:tcBorders>
          </w:tcPr>
          <w:p>
            <w:pPr>
              <w:pStyle w:val="TableParagraph"/>
              <w:spacing w:before="46"/>
              <w:ind w:left="242" w:right="184"/>
              <w:rPr>
                <w:rFonts w:ascii="宋体" w:eastAsia="宋体" w:hint="eastAsia"/>
                <w:sz w:val="21"/>
              </w:rPr>
            </w:pPr>
            <w:r>
              <w:rPr>
                <w:rFonts w:ascii="宋体" w:eastAsia="宋体" w:hint="eastAsia"/>
                <w:sz w:val="21"/>
              </w:rPr>
              <w:t>三级</w:t>
            </w:r>
          </w:p>
        </w:tc>
      </w:tr>
      <w:tr>
        <w:trPr>
          <w:trHeight w:val="359" w:hRule="atLeast"/>
        </w:trPr>
        <w:tc>
          <w:tcPr>
            <w:tcW w:w="1214" w:type="dxa"/>
            <w:tcBorders>
              <w:top w:val="single" w:sz="6" w:space="0" w:color="000000"/>
              <w:bottom w:val="single" w:sz="6" w:space="0" w:color="000000"/>
              <w:right w:val="single" w:sz="6" w:space="0" w:color="000000"/>
            </w:tcBorders>
          </w:tcPr>
          <w:p>
            <w:pPr>
              <w:pStyle w:val="TableParagraph"/>
              <w:spacing w:before="49"/>
              <w:ind w:left="271" w:right="250"/>
              <w:rPr>
                <w:rFonts w:ascii="宋体" w:eastAsia="宋体" w:hint="eastAsia"/>
                <w:sz w:val="21"/>
              </w:rPr>
            </w:pPr>
            <w:r>
              <w:rPr>
                <w:rFonts w:ascii="宋体" w:eastAsia="宋体" w:hint="eastAsia"/>
                <w:sz w:val="21"/>
              </w:rPr>
              <w:t>较敏感</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9"/>
              <w:ind w:left="119" w:right="90"/>
              <w:rPr>
                <w:rFonts w:ascii="宋体" w:eastAsia="宋体" w:hint="eastAsia"/>
                <w:sz w:val="21"/>
              </w:rPr>
            </w:pPr>
            <w:r>
              <w:rPr>
                <w:rFonts w:ascii="宋体" w:eastAsia="宋体" w:hint="eastAsia"/>
                <w:sz w:val="21"/>
              </w:rPr>
              <w:t>一级</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9"/>
              <w:ind w:left="230" w:right="199"/>
              <w:rPr>
                <w:rFonts w:ascii="宋体" w:eastAsia="宋体" w:hint="eastAsia"/>
                <w:sz w:val="21"/>
              </w:rPr>
            </w:pPr>
            <w:r>
              <w:rPr>
                <w:rFonts w:ascii="宋体" w:eastAsia="宋体" w:hint="eastAsia"/>
                <w:sz w:val="21"/>
              </w:rPr>
              <w:t>一级</w:t>
            </w:r>
          </w:p>
        </w:tc>
        <w:tc>
          <w:tcPr>
            <w:tcW w:w="913" w:type="dxa"/>
            <w:tcBorders>
              <w:top w:val="single" w:sz="6" w:space="0" w:color="000000"/>
              <w:left w:val="single" w:sz="6" w:space="0" w:color="000000"/>
              <w:bottom w:val="single" w:sz="6" w:space="0" w:color="000000"/>
              <w:right w:val="single" w:sz="6" w:space="0" w:color="000000"/>
            </w:tcBorders>
          </w:tcPr>
          <w:p>
            <w:pPr>
              <w:pStyle w:val="TableParagraph"/>
              <w:spacing w:before="46"/>
              <w:ind w:left="231" w:right="200"/>
              <w:rPr>
                <w:rFonts w:ascii="宋体" w:eastAsia="宋体" w:hint="eastAsia"/>
                <w:sz w:val="21"/>
              </w:rPr>
            </w:pPr>
            <w:r>
              <w:rPr>
                <w:rFonts w:ascii="宋体" w:eastAsia="宋体" w:hint="eastAsia"/>
                <w:sz w:val="21"/>
              </w:rPr>
              <w:t>二级</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6"/>
              <w:ind w:left="230" w:right="199"/>
              <w:rPr>
                <w:rFonts w:ascii="宋体" w:eastAsia="宋体" w:hint="eastAsia"/>
                <w:sz w:val="21"/>
              </w:rPr>
            </w:pPr>
            <w:r>
              <w:rPr>
                <w:rFonts w:ascii="宋体" w:eastAsia="宋体" w:hint="eastAsia"/>
                <w:sz w:val="21"/>
              </w:rPr>
              <w:t>二级</w:t>
            </w:r>
          </w:p>
        </w:tc>
        <w:tc>
          <w:tcPr>
            <w:tcW w:w="913" w:type="dxa"/>
            <w:tcBorders>
              <w:top w:val="single" w:sz="6" w:space="0" w:color="000000"/>
              <w:left w:val="single" w:sz="6" w:space="0" w:color="000000"/>
              <w:bottom w:val="single" w:sz="6" w:space="0" w:color="000000"/>
              <w:right w:val="single" w:sz="6" w:space="0" w:color="000000"/>
            </w:tcBorders>
          </w:tcPr>
          <w:p>
            <w:pPr>
              <w:pStyle w:val="TableParagraph"/>
              <w:spacing w:before="46"/>
              <w:ind w:left="234" w:right="197"/>
              <w:rPr>
                <w:rFonts w:ascii="宋体" w:eastAsia="宋体" w:hint="eastAsia"/>
                <w:sz w:val="21"/>
              </w:rPr>
            </w:pPr>
            <w:r>
              <w:rPr>
                <w:rFonts w:ascii="宋体" w:eastAsia="宋体" w:hint="eastAsia"/>
                <w:sz w:val="21"/>
              </w:rPr>
              <w:t>二级</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9"/>
              <w:ind w:left="233" w:right="196"/>
              <w:rPr>
                <w:rFonts w:ascii="宋体" w:eastAsia="宋体" w:hint="eastAsia"/>
                <w:sz w:val="21"/>
              </w:rPr>
            </w:pPr>
            <w:r>
              <w:rPr>
                <w:rFonts w:ascii="宋体" w:eastAsia="宋体" w:hint="eastAsia"/>
                <w:sz w:val="21"/>
              </w:rPr>
              <w:t>三级</w:t>
            </w:r>
          </w:p>
        </w:tc>
        <w:tc>
          <w:tcPr>
            <w:tcW w:w="910" w:type="dxa"/>
            <w:tcBorders>
              <w:top w:val="single" w:sz="6" w:space="0" w:color="000000"/>
              <w:left w:val="single" w:sz="6" w:space="0" w:color="000000"/>
              <w:bottom w:val="single" w:sz="6" w:space="0" w:color="000000"/>
              <w:right w:val="single" w:sz="6" w:space="0" w:color="000000"/>
            </w:tcBorders>
          </w:tcPr>
          <w:p>
            <w:pPr>
              <w:pStyle w:val="TableParagraph"/>
              <w:spacing w:before="49"/>
              <w:ind w:left="240" w:right="194"/>
              <w:rPr>
                <w:rFonts w:ascii="宋体" w:eastAsia="宋体" w:hint="eastAsia"/>
                <w:sz w:val="21"/>
              </w:rPr>
            </w:pPr>
            <w:r>
              <w:rPr>
                <w:rFonts w:ascii="宋体" w:eastAsia="宋体" w:hint="eastAsia"/>
                <w:sz w:val="21"/>
              </w:rPr>
              <w:t>三级</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9"/>
              <w:ind w:left="119" w:right="71"/>
              <w:rPr>
                <w:rFonts w:ascii="宋体" w:eastAsia="宋体" w:hint="eastAsia"/>
                <w:sz w:val="21"/>
              </w:rPr>
            </w:pPr>
            <w:r>
              <w:rPr>
                <w:rFonts w:ascii="宋体" w:eastAsia="宋体" w:hint="eastAsia"/>
                <w:sz w:val="21"/>
              </w:rPr>
              <w:t>三级</w:t>
            </w:r>
          </w:p>
        </w:tc>
        <w:tc>
          <w:tcPr>
            <w:tcW w:w="910" w:type="dxa"/>
            <w:tcBorders>
              <w:top w:val="single" w:sz="6" w:space="0" w:color="000000"/>
              <w:left w:val="single" w:sz="6" w:space="0" w:color="000000"/>
              <w:bottom w:val="single" w:sz="6" w:space="0" w:color="000000"/>
            </w:tcBorders>
          </w:tcPr>
          <w:p>
            <w:pPr>
              <w:pStyle w:val="TableParagraph"/>
              <w:spacing w:before="60"/>
              <w:ind w:left="59"/>
              <w:rPr>
                <w:sz w:val="21"/>
              </w:rPr>
            </w:pPr>
            <w:r>
              <w:rPr>
                <w:w w:val="100"/>
                <w:sz w:val="21"/>
              </w:rPr>
              <w:t>/</w:t>
            </w:r>
          </w:p>
        </w:tc>
      </w:tr>
      <w:tr>
        <w:trPr>
          <w:trHeight w:val="359" w:hRule="atLeast"/>
        </w:trPr>
        <w:tc>
          <w:tcPr>
            <w:tcW w:w="1214" w:type="dxa"/>
            <w:tcBorders>
              <w:top w:val="single" w:sz="6" w:space="0" w:color="000000"/>
              <w:right w:val="single" w:sz="6" w:space="0" w:color="000000"/>
            </w:tcBorders>
          </w:tcPr>
          <w:p>
            <w:pPr>
              <w:pStyle w:val="TableParagraph"/>
              <w:spacing w:before="46"/>
              <w:ind w:left="271" w:right="250"/>
              <w:rPr>
                <w:rFonts w:ascii="宋体" w:eastAsia="宋体" w:hint="eastAsia"/>
                <w:sz w:val="21"/>
              </w:rPr>
            </w:pPr>
            <w:r>
              <w:rPr>
                <w:rFonts w:ascii="宋体" w:eastAsia="宋体" w:hint="eastAsia"/>
                <w:sz w:val="21"/>
              </w:rPr>
              <w:t>不敏感</w:t>
            </w:r>
          </w:p>
        </w:tc>
        <w:tc>
          <w:tcPr>
            <w:tcW w:w="912" w:type="dxa"/>
            <w:tcBorders>
              <w:top w:val="single" w:sz="6" w:space="0" w:color="000000"/>
              <w:left w:val="single" w:sz="6" w:space="0" w:color="000000"/>
              <w:right w:val="single" w:sz="6" w:space="0" w:color="000000"/>
            </w:tcBorders>
          </w:tcPr>
          <w:p>
            <w:pPr>
              <w:pStyle w:val="TableParagraph"/>
              <w:spacing w:before="46"/>
              <w:ind w:left="119" w:right="90"/>
              <w:rPr>
                <w:rFonts w:ascii="宋体" w:eastAsia="宋体" w:hint="eastAsia"/>
                <w:sz w:val="21"/>
              </w:rPr>
            </w:pPr>
            <w:r>
              <w:rPr>
                <w:rFonts w:ascii="宋体" w:eastAsia="宋体" w:hint="eastAsia"/>
                <w:sz w:val="21"/>
              </w:rPr>
              <w:t>一级</w:t>
            </w:r>
          </w:p>
        </w:tc>
        <w:tc>
          <w:tcPr>
            <w:tcW w:w="911" w:type="dxa"/>
            <w:tcBorders>
              <w:top w:val="single" w:sz="6" w:space="0" w:color="000000"/>
              <w:left w:val="single" w:sz="6" w:space="0" w:color="000000"/>
              <w:right w:val="single" w:sz="6" w:space="0" w:color="000000"/>
            </w:tcBorders>
          </w:tcPr>
          <w:p>
            <w:pPr>
              <w:pStyle w:val="TableParagraph"/>
              <w:spacing w:before="44"/>
              <w:ind w:left="230" w:right="199"/>
              <w:rPr>
                <w:rFonts w:ascii="宋体" w:eastAsia="宋体" w:hint="eastAsia"/>
                <w:sz w:val="21"/>
              </w:rPr>
            </w:pPr>
            <w:r>
              <w:rPr>
                <w:rFonts w:ascii="宋体" w:eastAsia="宋体" w:hint="eastAsia"/>
                <w:sz w:val="21"/>
              </w:rPr>
              <w:t>二级</w:t>
            </w:r>
          </w:p>
        </w:tc>
        <w:tc>
          <w:tcPr>
            <w:tcW w:w="913" w:type="dxa"/>
            <w:tcBorders>
              <w:top w:val="single" w:sz="6" w:space="0" w:color="000000"/>
              <w:left w:val="single" w:sz="6" w:space="0" w:color="000000"/>
              <w:right w:val="single" w:sz="6" w:space="0" w:color="000000"/>
            </w:tcBorders>
          </w:tcPr>
          <w:p>
            <w:pPr>
              <w:pStyle w:val="TableParagraph"/>
              <w:spacing w:before="44"/>
              <w:ind w:left="231" w:right="200"/>
              <w:rPr>
                <w:rFonts w:ascii="宋体" w:eastAsia="宋体" w:hint="eastAsia"/>
                <w:sz w:val="21"/>
              </w:rPr>
            </w:pPr>
            <w:r>
              <w:rPr>
                <w:rFonts w:ascii="宋体" w:eastAsia="宋体" w:hint="eastAsia"/>
                <w:sz w:val="21"/>
              </w:rPr>
              <w:t>二级</w:t>
            </w:r>
          </w:p>
        </w:tc>
        <w:tc>
          <w:tcPr>
            <w:tcW w:w="911" w:type="dxa"/>
            <w:tcBorders>
              <w:top w:val="single" w:sz="6" w:space="0" w:color="000000"/>
              <w:left w:val="single" w:sz="6" w:space="0" w:color="000000"/>
              <w:right w:val="single" w:sz="6" w:space="0" w:color="000000"/>
            </w:tcBorders>
          </w:tcPr>
          <w:p>
            <w:pPr>
              <w:pStyle w:val="TableParagraph"/>
              <w:spacing w:before="44"/>
              <w:ind w:left="230" w:right="199"/>
              <w:rPr>
                <w:rFonts w:ascii="宋体" w:eastAsia="宋体" w:hint="eastAsia"/>
                <w:sz w:val="21"/>
              </w:rPr>
            </w:pPr>
            <w:r>
              <w:rPr>
                <w:rFonts w:ascii="宋体" w:eastAsia="宋体" w:hint="eastAsia"/>
                <w:sz w:val="21"/>
              </w:rPr>
              <w:t>二级</w:t>
            </w:r>
          </w:p>
        </w:tc>
        <w:tc>
          <w:tcPr>
            <w:tcW w:w="913" w:type="dxa"/>
            <w:tcBorders>
              <w:top w:val="single" w:sz="6" w:space="0" w:color="000000"/>
              <w:left w:val="single" w:sz="6" w:space="0" w:color="000000"/>
              <w:right w:val="single" w:sz="6" w:space="0" w:color="000000"/>
            </w:tcBorders>
          </w:tcPr>
          <w:p>
            <w:pPr>
              <w:pStyle w:val="TableParagraph"/>
              <w:spacing w:before="46"/>
              <w:ind w:left="234" w:right="197"/>
              <w:rPr>
                <w:rFonts w:ascii="宋体" w:eastAsia="宋体" w:hint="eastAsia"/>
                <w:sz w:val="21"/>
              </w:rPr>
            </w:pPr>
            <w:r>
              <w:rPr>
                <w:rFonts w:ascii="宋体" w:eastAsia="宋体" w:hint="eastAsia"/>
                <w:sz w:val="21"/>
              </w:rPr>
              <w:t>三级</w:t>
            </w:r>
          </w:p>
        </w:tc>
        <w:tc>
          <w:tcPr>
            <w:tcW w:w="911" w:type="dxa"/>
            <w:tcBorders>
              <w:top w:val="single" w:sz="6" w:space="0" w:color="000000"/>
              <w:left w:val="single" w:sz="6" w:space="0" w:color="000000"/>
              <w:right w:val="single" w:sz="6" w:space="0" w:color="000000"/>
            </w:tcBorders>
          </w:tcPr>
          <w:p>
            <w:pPr>
              <w:pStyle w:val="TableParagraph"/>
              <w:spacing w:before="46"/>
              <w:ind w:left="233" w:right="196"/>
              <w:rPr>
                <w:rFonts w:ascii="宋体" w:eastAsia="宋体" w:hint="eastAsia"/>
                <w:sz w:val="21"/>
              </w:rPr>
            </w:pPr>
            <w:r>
              <w:rPr>
                <w:rFonts w:ascii="宋体" w:eastAsia="宋体" w:hint="eastAsia"/>
                <w:sz w:val="21"/>
              </w:rPr>
              <w:t>三级</w:t>
            </w:r>
          </w:p>
        </w:tc>
        <w:tc>
          <w:tcPr>
            <w:tcW w:w="910" w:type="dxa"/>
            <w:tcBorders>
              <w:top w:val="single" w:sz="6" w:space="0" w:color="000000"/>
              <w:left w:val="single" w:sz="6" w:space="0" w:color="000000"/>
              <w:right w:val="single" w:sz="6" w:space="0" w:color="000000"/>
            </w:tcBorders>
          </w:tcPr>
          <w:p>
            <w:pPr>
              <w:pStyle w:val="TableParagraph"/>
              <w:spacing w:before="46"/>
              <w:ind w:left="240" w:right="194"/>
              <w:rPr>
                <w:rFonts w:ascii="宋体" w:eastAsia="宋体" w:hint="eastAsia"/>
                <w:sz w:val="21"/>
              </w:rPr>
            </w:pPr>
            <w:r>
              <w:rPr>
                <w:rFonts w:ascii="宋体" w:eastAsia="宋体" w:hint="eastAsia"/>
                <w:sz w:val="21"/>
              </w:rPr>
              <w:t>三级</w:t>
            </w:r>
          </w:p>
        </w:tc>
        <w:tc>
          <w:tcPr>
            <w:tcW w:w="912" w:type="dxa"/>
            <w:tcBorders>
              <w:top w:val="single" w:sz="6" w:space="0" w:color="000000"/>
              <w:left w:val="single" w:sz="6" w:space="0" w:color="000000"/>
              <w:right w:val="single" w:sz="6" w:space="0" w:color="000000"/>
            </w:tcBorders>
          </w:tcPr>
          <w:p>
            <w:pPr>
              <w:pStyle w:val="TableParagraph"/>
              <w:ind w:left="49"/>
              <w:rPr>
                <w:sz w:val="21"/>
              </w:rPr>
            </w:pPr>
            <w:r>
              <w:rPr>
                <w:w w:val="100"/>
                <w:sz w:val="21"/>
              </w:rPr>
              <w:t>/</w:t>
            </w:r>
          </w:p>
        </w:tc>
        <w:tc>
          <w:tcPr>
            <w:tcW w:w="910" w:type="dxa"/>
            <w:tcBorders>
              <w:top w:val="single" w:sz="6" w:space="0" w:color="000000"/>
              <w:left w:val="single" w:sz="6" w:space="0" w:color="000000"/>
            </w:tcBorders>
          </w:tcPr>
          <w:p>
            <w:pPr>
              <w:pStyle w:val="TableParagraph"/>
              <w:ind w:left="59"/>
              <w:rPr>
                <w:sz w:val="21"/>
              </w:rPr>
            </w:pPr>
            <w:r>
              <w:rPr>
                <w:w w:val="100"/>
                <w:sz w:val="21"/>
              </w:rPr>
              <w:t>/</w:t>
            </w:r>
          </w:p>
        </w:tc>
      </w:tr>
    </w:tbl>
    <w:p>
      <w:pPr>
        <w:spacing w:before="47"/>
        <w:ind w:left="657" w:right="0" w:firstLine="0"/>
        <w:jc w:val="left"/>
        <w:rPr>
          <w:sz w:val="21"/>
        </w:rPr>
      </w:pPr>
      <w:r>
        <w:rPr>
          <w:sz w:val="21"/>
        </w:rPr>
        <w:t>注：</w:t>
      </w:r>
      <w:r>
        <w:rPr>
          <w:rFonts w:ascii="Times New Roman" w:hAnsi="Times New Roman" w:eastAsia="Times New Roman"/>
          <w:position w:val="1"/>
          <w:sz w:val="21"/>
        </w:rPr>
        <w:t>“/”</w:t>
      </w:r>
      <w:r>
        <w:rPr>
          <w:sz w:val="21"/>
        </w:rPr>
        <w:t>表示可不开展土壤环境影响评价工作。</w:t>
      </w:r>
    </w:p>
    <w:p>
      <w:pPr>
        <w:pStyle w:val="Heading3"/>
        <w:spacing w:before="126"/>
        <w:ind w:left="237"/>
      </w:pPr>
      <w:bookmarkStart w:name="_bookmark29" w:id="57"/>
      <w:bookmarkEnd w:id="57"/>
      <w:r>
        <w:rPr>
          <w:b w:val="0"/>
        </w:rPr>
      </w:r>
      <w:r>
        <w:rPr>
          <w:rFonts w:ascii="Times New Roman" w:eastAsia="Times New Roman"/>
        </w:rPr>
        <w:t>2.4.2 </w:t>
      </w:r>
      <w:r>
        <w:rPr/>
        <w:t>评价范围</w:t>
      </w:r>
    </w:p>
    <w:p>
      <w:pPr>
        <w:spacing w:before="160"/>
        <w:ind w:left="719" w:right="0" w:firstLine="0"/>
        <w:jc w:val="left"/>
        <w:rPr>
          <w:b/>
          <w:sz w:val="24"/>
        </w:rPr>
      </w:pPr>
      <w:r>
        <w:rPr>
          <w:rFonts w:ascii="Times New Roman" w:eastAsia="Times New Roman"/>
          <w:b/>
          <w:sz w:val="24"/>
        </w:rPr>
        <w:t>1</w:t>
      </w:r>
      <w:r>
        <w:rPr>
          <w:b/>
          <w:sz w:val="24"/>
        </w:rPr>
        <w:t>、地表水环境影响评价范围</w:t>
      </w:r>
    </w:p>
    <w:p>
      <w:pPr>
        <w:pStyle w:val="BodyText"/>
        <w:spacing w:line="364" w:lineRule="auto" w:before="161"/>
        <w:ind w:right="247" w:firstLine="480"/>
        <w:jc w:val="both"/>
      </w:pPr>
      <w:r>
        <w:rPr>
          <w:spacing w:val="-4"/>
        </w:rPr>
        <w:t>根据《环境影响评价技术导则 地表水环境》</w:t>
      </w:r>
      <w:r>
        <w:rPr/>
        <w:t>（</w:t>
      </w:r>
      <w:r>
        <w:rPr>
          <w:rFonts w:ascii="Times New Roman" w:eastAsia="Times New Roman"/>
          <w:position w:val="1"/>
        </w:rPr>
        <w:t>HJ </w:t>
      </w:r>
      <w:r>
        <w:rPr>
          <w:rFonts w:ascii="Times New Roman" w:eastAsia="Times New Roman"/>
          <w:spacing w:val="-3"/>
          <w:position w:val="1"/>
        </w:rPr>
        <w:t>2.3-2018</w:t>
      </w:r>
      <w:r>
        <w:rPr>
          <w:spacing w:val="-3"/>
        </w:rPr>
        <w:t>），</w:t>
      </w:r>
      <w:r>
        <w:rPr>
          <w:spacing w:val="-9"/>
        </w:rPr>
        <w:t>评价等级为三级 </w:t>
      </w:r>
      <w:r>
        <w:rPr>
          <w:rFonts w:ascii="Times New Roman" w:eastAsia="Times New Roman"/>
          <w:position w:val="1"/>
        </w:rPr>
        <w:t>B </w:t>
      </w:r>
      <w:r>
        <w:rPr/>
        <w:t>的水污染型建设项目，评价范围应满足其依托污水处理设施环境可行性分析的要求，并须覆盖环境风险影响范围所及的水环境保护目标水域。因此，本项目主要分析绍兴污水处理厂的可依托性，并对周边地表水做简要的风险分析。</w:t>
      </w:r>
    </w:p>
    <w:p>
      <w:pPr>
        <w:pStyle w:val="Heading3"/>
        <w:spacing w:before="3"/>
      </w:pPr>
      <w:r>
        <w:rPr>
          <w:rFonts w:ascii="Times New Roman" w:eastAsia="Times New Roman"/>
        </w:rPr>
        <w:t>2</w:t>
      </w:r>
      <w:r>
        <w:rPr/>
        <w:t>、地下水环境影响评价范围</w:t>
      </w:r>
    </w:p>
    <w:p>
      <w:pPr>
        <w:pStyle w:val="BodyText"/>
        <w:spacing w:line="364" w:lineRule="auto" w:before="160"/>
        <w:ind w:right="179" w:firstLine="480"/>
      </w:pPr>
      <w:r>
        <w:rPr/>
        <w:t>根据《环境影响评价技术导则 地下水环境》（</w:t>
      </w:r>
      <w:r>
        <w:rPr>
          <w:rFonts w:ascii="Times New Roman" w:eastAsia="Times New Roman"/>
          <w:position w:val="1"/>
        </w:rPr>
        <w:t>HJ 610-2016</w:t>
      </w:r>
      <w:r>
        <w:rPr/>
        <w:t>），本项目地下水评价等级为三级，评价范围一般不大于 </w:t>
      </w:r>
      <w:r>
        <w:rPr>
          <w:rFonts w:ascii="Times New Roman" w:eastAsia="Times New Roman"/>
          <w:position w:val="1"/>
        </w:rPr>
        <w:t>6km</w:t>
      </w:r>
      <w:r>
        <w:rPr>
          <w:rFonts w:ascii="Times New Roman" w:eastAsia="Times New Roman"/>
          <w:position w:val="1"/>
          <w:vertAlign w:val="superscript"/>
        </w:rPr>
        <w:t>2</w:t>
      </w:r>
      <w:r>
        <w:rPr>
          <w:vertAlign w:val="baseline"/>
        </w:rPr>
        <w:t>。</w:t>
      </w:r>
    </w:p>
    <w:p>
      <w:pPr>
        <w:pStyle w:val="Heading3"/>
        <w:spacing w:before="2"/>
      </w:pPr>
      <w:r>
        <w:rPr>
          <w:rFonts w:ascii="Times New Roman" w:eastAsia="Times New Roman"/>
        </w:rPr>
        <w:t>3</w:t>
      </w:r>
      <w:r>
        <w:rPr/>
        <w:t>、空气环境影响评价范围</w:t>
      </w:r>
    </w:p>
    <w:p>
      <w:pPr>
        <w:pStyle w:val="BodyText"/>
        <w:spacing w:before="157"/>
        <w:ind w:left="717"/>
      </w:pPr>
      <w:r>
        <w:rPr>
          <w:position w:val="2"/>
        </w:rPr>
        <w:t>根据《环境影响评价技术导则 大气环境》（</w:t>
      </w:r>
      <w:r>
        <w:rPr>
          <w:rFonts w:ascii="Times New Roman" w:eastAsia="Times New Roman"/>
          <w:position w:val="2"/>
        </w:rPr>
        <w:t>HJ 2.2-2018</w:t>
      </w:r>
      <w:r>
        <w:rPr>
          <w:position w:val="2"/>
        </w:rPr>
        <w:t>），一级评价项目 </w:t>
      </w:r>
      <w:r>
        <w:rPr>
          <w:rFonts w:ascii="Times New Roman" w:eastAsia="Times New Roman"/>
          <w:i/>
          <w:position w:val="2"/>
        </w:rPr>
        <w:t>D</w:t>
      </w:r>
      <w:r>
        <w:rPr>
          <w:rFonts w:ascii="Times New Roman" w:eastAsia="Times New Roman"/>
          <w:i/>
          <w:sz w:val="16"/>
        </w:rPr>
        <w:t>10%</w:t>
      </w:r>
      <w:r>
        <w:rPr>
          <w:position w:val="2"/>
        </w:rPr>
        <w:t>小于</w:t>
      </w:r>
    </w:p>
    <w:p>
      <w:pPr>
        <w:pStyle w:val="ListParagraph"/>
        <w:numPr>
          <w:ilvl w:val="1"/>
          <w:numId w:val="12"/>
        </w:numPr>
        <w:tabs>
          <w:tab w:pos="539" w:val="left" w:leader="none"/>
        </w:tabs>
        <w:spacing w:line="240" w:lineRule="auto" w:before="164" w:after="0"/>
        <w:ind w:left="538" w:right="0" w:hanging="302"/>
        <w:jc w:val="left"/>
        <w:rPr>
          <w:rFonts w:ascii="Times New Roman" w:eastAsia="Times New Roman"/>
          <w:sz w:val="22"/>
        </w:rPr>
      </w:pPr>
      <w:r>
        <w:rPr>
          <w:rFonts w:ascii="Times New Roman" w:eastAsia="Times New Roman"/>
          <w:position w:val="1"/>
          <w:sz w:val="24"/>
        </w:rPr>
        <w:t>km </w:t>
      </w:r>
      <w:r>
        <w:rPr>
          <w:sz w:val="24"/>
        </w:rPr>
        <w:t>时（</w:t>
      </w:r>
      <w:r>
        <w:rPr>
          <w:spacing w:val="-12"/>
          <w:sz w:val="24"/>
        </w:rPr>
        <w:t>本项目约 </w:t>
      </w:r>
      <w:r>
        <w:rPr>
          <w:rFonts w:ascii="Times New Roman" w:eastAsia="Times New Roman"/>
          <w:position w:val="1"/>
          <w:sz w:val="24"/>
        </w:rPr>
        <w:t>875m</w:t>
      </w:r>
      <w:r>
        <w:rPr>
          <w:sz w:val="24"/>
        </w:rPr>
        <w:t>），</w:t>
      </w:r>
      <w:r>
        <w:rPr>
          <w:spacing w:val="-5"/>
          <w:sz w:val="24"/>
        </w:rPr>
        <w:t>大气环境影响评价范围为边长 </w:t>
      </w:r>
      <w:r>
        <w:rPr>
          <w:rFonts w:ascii="Times New Roman" w:eastAsia="Times New Roman"/>
          <w:position w:val="1"/>
          <w:sz w:val="24"/>
        </w:rPr>
        <w:t>5km </w:t>
      </w:r>
      <w:r>
        <w:rPr>
          <w:sz w:val="24"/>
        </w:rPr>
        <w:t>的矩形区域。</w:t>
      </w:r>
    </w:p>
    <w:p>
      <w:pPr>
        <w:pStyle w:val="Heading3"/>
        <w:spacing w:before="160"/>
      </w:pPr>
      <w:r>
        <w:rPr>
          <w:rFonts w:ascii="Times New Roman" w:eastAsia="Times New Roman"/>
        </w:rPr>
        <w:t>4</w:t>
      </w:r>
      <w:r>
        <w:rPr/>
        <w:t>、声环境影响评价范围</w:t>
      </w:r>
    </w:p>
    <w:p>
      <w:pPr>
        <w:pStyle w:val="BodyText"/>
        <w:spacing w:line="364" w:lineRule="auto" w:before="161"/>
        <w:ind w:right="209" w:firstLine="480"/>
      </w:pPr>
      <w:r>
        <w:rPr/>
        <w:t>根据《环境影响评价技术导则 声环境》（</w:t>
      </w:r>
      <w:r>
        <w:rPr>
          <w:rFonts w:ascii="Times New Roman" w:eastAsia="Times New Roman"/>
          <w:position w:val="1"/>
        </w:rPr>
        <w:t>HJ 2.4-2009</w:t>
      </w:r>
      <w:r>
        <w:rPr/>
        <w:t>），本项目声环境评价范围为厂界外 </w:t>
      </w:r>
      <w:r>
        <w:rPr>
          <w:rFonts w:ascii="Times New Roman" w:eastAsia="Times New Roman"/>
          <w:position w:val="1"/>
        </w:rPr>
        <w:t>200m </w:t>
      </w:r>
      <w:r>
        <w:rPr/>
        <w:t>范围内。</w:t>
      </w:r>
    </w:p>
    <w:p>
      <w:pPr>
        <w:pStyle w:val="Heading3"/>
        <w:spacing w:before="1"/>
      </w:pPr>
      <w:r>
        <w:rPr>
          <w:rFonts w:ascii="Times New Roman" w:eastAsia="Times New Roman"/>
        </w:rPr>
        <w:t>5</w:t>
      </w:r>
      <w:r>
        <w:rPr/>
        <w:t>、生态环境评价范围</w:t>
      </w:r>
    </w:p>
    <w:p>
      <w:pPr>
        <w:pStyle w:val="BodyText"/>
        <w:spacing w:line="364" w:lineRule="auto" w:before="161"/>
        <w:ind w:right="252" w:firstLine="480"/>
      </w:pPr>
      <w:r>
        <w:rPr/>
        <w:t>根据《环境影响评价技术导则 生态影响》（</w:t>
      </w:r>
      <w:r>
        <w:rPr>
          <w:rFonts w:ascii="Times New Roman" w:eastAsia="Times New Roman"/>
          <w:position w:val="1"/>
        </w:rPr>
        <w:t>HJ 19-2011</w:t>
      </w:r>
      <w:r>
        <w:rPr/>
        <w:t>），确定本项目生态影响评价范围为项目拟建地块及周边 </w:t>
      </w:r>
      <w:r>
        <w:rPr>
          <w:rFonts w:ascii="Times New Roman" w:eastAsia="Times New Roman"/>
          <w:position w:val="1"/>
        </w:rPr>
        <w:t>200m </w:t>
      </w:r>
      <w:r>
        <w:rPr/>
        <w:t>范围。</w:t>
      </w:r>
    </w:p>
    <w:p>
      <w:pPr>
        <w:pStyle w:val="Heading3"/>
        <w:spacing w:before="1"/>
      </w:pPr>
      <w:r>
        <w:rPr>
          <w:rFonts w:ascii="Times New Roman" w:eastAsia="Times New Roman"/>
        </w:rPr>
        <w:t>6</w:t>
      </w:r>
      <w:r>
        <w:rPr/>
        <w:t>、风险评价范围</w:t>
      </w:r>
    </w:p>
    <w:p>
      <w:pPr>
        <w:pStyle w:val="BodyText"/>
        <w:spacing w:line="364" w:lineRule="auto" w:before="161"/>
        <w:ind w:right="83" w:firstLine="480"/>
      </w:pPr>
      <w:r>
        <w:rPr/>
        <w:t>依据《建设项目环境风险评价技术导则》（</w:t>
      </w:r>
      <w:r>
        <w:rPr>
          <w:rFonts w:ascii="Times New Roman" w:eastAsia="Times New Roman"/>
          <w:position w:val="1"/>
        </w:rPr>
        <w:t>HJ 169-2018</w:t>
      </w:r>
      <w:r>
        <w:rPr/>
        <w:t>），项目环境风险评价等级为简单分析，环境风险评价范围分别参照地表水、地下水、大气等环境要素的评价范围。</w:t>
      </w:r>
    </w:p>
    <w:p>
      <w:pPr>
        <w:pStyle w:val="Heading3"/>
        <w:spacing w:before="1"/>
      </w:pPr>
      <w:r>
        <w:rPr>
          <w:rFonts w:ascii="Times New Roman" w:eastAsia="Times New Roman"/>
        </w:rPr>
        <w:t>7</w:t>
      </w:r>
      <w:r>
        <w:rPr/>
        <w:t>、土壤评价范围</w:t>
      </w:r>
    </w:p>
    <w:p>
      <w:pPr>
        <w:pStyle w:val="BodyText"/>
        <w:spacing w:line="364" w:lineRule="auto" w:before="161"/>
        <w:ind w:right="177" w:firstLine="480"/>
      </w:pPr>
      <w:r>
        <w:rPr/>
        <w:t>根据《环境影响评价技术导则 土壤环境（试行）》（</w:t>
      </w:r>
      <w:r>
        <w:rPr>
          <w:rFonts w:ascii="Times New Roman" w:eastAsia="Times New Roman"/>
          <w:position w:val="1"/>
        </w:rPr>
        <w:t>HJ 964-2018</w:t>
      </w:r>
      <w:r>
        <w:rPr/>
        <w:t>），本项目土壤环境影响评价等级为三级，评价范围为占地范围内部及其外侧 </w:t>
      </w:r>
      <w:r>
        <w:rPr>
          <w:rFonts w:ascii="Times New Roman" w:eastAsia="Times New Roman"/>
          <w:position w:val="1"/>
        </w:rPr>
        <w:t>50m </w:t>
      </w:r>
      <w:r>
        <w:rPr/>
        <w:t>范围内。</w:t>
      </w:r>
    </w:p>
    <w:p>
      <w:pPr>
        <w:spacing w:after="0" w:line="364" w:lineRule="auto"/>
        <w:sectPr>
          <w:pgSz w:w="11910" w:h="16840"/>
          <w:pgMar w:header="874" w:footer="1004" w:top="1400" w:bottom="1200" w:left="1040" w:right="1160"/>
        </w:sectPr>
      </w:pPr>
    </w:p>
    <w:p>
      <w:pPr>
        <w:pStyle w:val="BodyText"/>
        <w:spacing w:before="121"/>
        <w:ind w:left="717"/>
      </w:pPr>
      <w:r>
        <w:rPr/>
        <w:t>综上，各要素具体的评价范围列表如下所示。</w:t>
      </w:r>
    </w:p>
    <w:p>
      <w:pPr>
        <w:pStyle w:val="Heading3"/>
        <w:ind w:left="219" w:right="236"/>
        <w:jc w:val="center"/>
      </w:pPr>
      <w:r>
        <w:rPr/>
        <w:t>表 </w:t>
      </w:r>
      <w:r>
        <w:rPr>
          <w:rFonts w:ascii="Times New Roman" w:eastAsia="Times New Roman"/>
        </w:rPr>
        <w:t>2.4-7  </w:t>
      </w:r>
      <w:r>
        <w:rPr/>
        <w:t>评价范围一览表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34"/>
        <w:gridCol w:w="7898"/>
      </w:tblGrid>
      <w:tr>
        <w:trPr>
          <w:trHeight w:val="359" w:hRule="atLeast"/>
        </w:trPr>
        <w:tc>
          <w:tcPr>
            <w:tcW w:w="1534" w:type="dxa"/>
            <w:tcBorders>
              <w:bottom w:val="single" w:sz="6" w:space="0" w:color="000000"/>
              <w:right w:val="single" w:sz="6" w:space="0" w:color="000000"/>
            </w:tcBorders>
          </w:tcPr>
          <w:p>
            <w:pPr>
              <w:pStyle w:val="TableParagraph"/>
              <w:spacing w:before="43"/>
              <w:ind w:left="220" w:right="197"/>
              <w:rPr>
                <w:rFonts w:ascii="宋体" w:eastAsia="宋体" w:hint="eastAsia"/>
                <w:b/>
                <w:sz w:val="21"/>
              </w:rPr>
            </w:pPr>
            <w:r>
              <w:rPr>
                <w:rFonts w:ascii="宋体" w:eastAsia="宋体" w:hint="eastAsia"/>
                <w:b/>
                <w:sz w:val="21"/>
              </w:rPr>
              <w:t>环境要素</w:t>
            </w:r>
          </w:p>
        </w:tc>
        <w:tc>
          <w:tcPr>
            <w:tcW w:w="7898" w:type="dxa"/>
            <w:tcBorders>
              <w:left w:val="single" w:sz="6" w:space="0" w:color="000000"/>
              <w:bottom w:val="single" w:sz="6" w:space="0" w:color="000000"/>
            </w:tcBorders>
          </w:tcPr>
          <w:p>
            <w:pPr>
              <w:pStyle w:val="TableParagraph"/>
              <w:spacing w:before="43"/>
              <w:ind w:left="781" w:right="751"/>
              <w:rPr>
                <w:rFonts w:ascii="宋体" w:eastAsia="宋体" w:hint="eastAsia"/>
                <w:b/>
                <w:sz w:val="21"/>
              </w:rPr>
            </w:pPr>
            <w:r>
              <w:rPr>
                <w:rFonts w:ascii="宋体" w:eastAsia="宋体" w:hint="eastAsia"/>
                <w:b/>
                <w:sz w:val="21"/>
              </w:rPr>
              <w:t>评价范围</w:t>
            </w:r>
          </w:p>
        </w:tc>
      </w:tr>
      <w:tr>
        <w:trPr>
          <w:trHeight w:val="359" w:hRule="atLeast"/>
        </w:trPr>
        <w:tc>
          <w:tcPr>
            <w:tcW w:w="1534" w:type="dxa"/>
            <w:tcBorders>
              <w:top w:val="single" w:sz="6" w:space="0" w:color="000000"/>
              <w:bottom w:val="single" w:sz="6" w:space="0" w:color="000000"/>
              <w:right w:val="single" w:sz="6" w:space="0" w:color="000000"/>
            </w:tcBorders>
          </w:tcPr>
          <w:p>
            <w:pPr>
              <w:pStyle w:val="TableParagraph"/>
              <w:spacing w:before="44"/>
              <w:ind w:left="220" w:right="200"/>
              <w:rPr>
                <w:rFonts w:ascii="宋体" w:eastAsia="宋体" w:hint="eastAsia"/>
                <w:sz w:val="21"/>
              </w:rPr>
            </w:pPr>
            <w:r>
              <w:rPr>
                <w:rFonts w:ascii="宋体" w:eastAsia="宋体" w:hint="eastAsia"/>
                <w:sz w:val="21"/>
              </w:rPr>
              <w:t>地表水环境</w:t>
            </w:r>
          </w:p>
        </w:tc>
        <w:tc>
          <w:tcPr>
            <w:tcW w:w="7898" w:type="dxa"/>
            <w:tcBorders>
              <w:top w:val="single" w:sz="6" w:space="0" w:color="000000"/>
              <w:left w:val="single" w:sz="6" w:space="0" w:color="000000"/>
              <w:bottom w:val="single" w:sz="6" w:space="0" w:color="000000"/>
            </w:tcBorders>
          </w:tcPr>
          <w:p>
            <w:pPr>
              <w:pStyle w:val="TableParagraph"/>
              <w:spacing w:before="44"/>
              <w:ind w:left="783" w:right="751"/>
              <w:rPr>
                <w:rFonts w:ascii="宋体" w:eastAsia="宋体" w:hint="eastAsia"/>
                <w:sz w:val="21"/>
              </w:rPr>
            </w:pPr>
            <w:r>
              <w:rPr>
                <w:rFonts w:ascii="宋体" w:eastAsia="宋体" w:hint="eastAsia"/>
                <w:sz w:val="21"/>
              </w:rPr>
              <w:t>分析绍兴污水处理厂的可依托性，对周围地表水体做简要的风险分析</w:t>
            </w:r>
          </w:p>
        </w:tc>
      </w:tr>
      <w:tr>
        <w:trPr>
          <w:trHeight w:val="356" w:hRule="atLeast"/>
        </w:trPr>
        <w:tc>
          <w:tcPr>
            <w:tcW w:w="1534" w:type="dxa"/>
            <w:tcBorders>
              <w:top w:val="single" w:sz="6" w:space="0" w:color="000000"/>
              <w:bottom w:val="single" w:sz="6" w:space="0" w:color="000000"/>
              <w:right w:val="single" w:sz="6" w:space="0" w:color="000000"/>
            </w:tcBorders>
          </w:tcPr>
          <w:p>
            <w:pPr>
              <w:pStyle w:val="TableParagraph"/>
              <w:spacing w:before="44"/>
              <w:ind w:left="220" w:right="200"/>
              <w:rPr>
                <w:rFonts w:ascii="宋体" w:eastAsia="宋体" w:hint="eastAsia"/>
                <w:sz w:val="21"/>
              </w:rPr>
            </w:pPr>
            <w:r>
              <w:rPr>
                <w:rFonts w:ascii="宋体" w:eastAsia="宋体" w:hint="eastAsia"/>
                <w:sz w:val="21"/>
              </w:rPr>
              <w:t>地下水环境</w:t>
            </w:r>
          </w:p>
        </w:tc>
        <w:tc>
          <w:tcPr>
            <w:tcW w:w="7898" w:type="dxa"/>
            <w:tcBorders>
              <w:top w:val="single" w:sz="6" w:space="0" w:color="000000"/>
              <w:left w:val="single" w:sz="6" w:space="0" w:color="000000"/>
              <w:bottom w:val="single" w:sz="6" w:space="0" w:color="000000"/>
            </w:tcBorders>
          </w:tcPr>
          <w:p>
            <w:pPr>
              <w:pStyle w:val="TableParagraph"/>
              <w:spacing w:before="53"/>
              <w:ind w:left="779" w:right="751"/>
              <w:rPr>
                <w:sz w:val="14"/>
              </w:rPr>
            </w:pPr>
            <w:r>
              <w:rPr>
                <w:sz w:val="21"/>
              </w:rPr>
              <w:t>6km</w:t>
            </w:r>
            <w:r>
              <w:rPr>
                <w:position w:val="7"/>
                <w:sz w:val="14"/>
              </w:rPr>
              <w:t>2</w:t>
            </w:r>
          </w:p>
        </w:tc>
      </w:tr>
      <w:tr>
        <w:trPr>
          <w:trHeight w:val="359" w:hRule="atLeast"/>
        </w:trPr>
        <w:tc>
          <w:tcPr>
            <w:tcW w:w="1534" w:type="dxa"/>
            <w:tcBorders>
              <w:top w:val="single" w:sz="6" w:space="0" w:color="000000"/>
              <w:bottom w:val="single" w:sz="6" w:space="0" w:color="000000"/>
              <w:right w:val="single" w:sz="6" w:space="0" w:color="000000"/>
            </w:tcBorders>
          </w:tcPr>
          <w:p>
            <w:pPr>
              <w:pStyle w:val="TableParagraph"/>
              <w:spacing w:before="46"/>
              <w:ind w:left="220" w:right="200"/>
              <w:rPr>
                <w:rFonts w:ascii="宋体" w:eastAsia="宋体" w:hint="eastAsia"/>
                <w:sz w:val="21"/>
              </w:rPr>
            </w:pPr>
            <w:r>
              <w:rPr>
                <w:rFonts w:ascii="宋体" w:eastAsia="宋体" w:hint="eastAsia"/>
                <w:sz w:val="21"/>
              </w:rPr>
              <w:t>环境空气</w:t>
            </w:r>
          </w:p>
        </w:tc>
        <w:tc>
          <w:tcPr>
            <w:tcW w:w="7898" w:type="dxa"/>
            <w:tcBorders>
              <w:top w:val="single" w:sz="6" w:space="0" w:color="000000"/>
              <w:left w:val="single" w:sz="6" w:space="0" w:color="000000"/>
              <w:bottom w:val="single" w:sz="6" w:space="0" w:color="000000"/>
            </w:tcBorders>
          </w:tcPr>
          <w:p>
            <w:pPr>
              <w:pStyle w:val="TableParagraph"/>
              <w:spacing w:before="46"/>
              <w:ind w:left="781" w:right="751"/>
              <w:rPr>
                <w:rFonts w:ascii="宋体" w:eastAsia="宋体" w:hint="eastAsia"/>
                <w:sz w:val="21"/>
              </w:rPr>
            </w:pPr>
            <w:r>
              <w:rPr>
                <w:rFonts w:ascii="宋体" w:eastAsia="宋体" w:hint="eastAsia"/>
                <w:sz w:val="21"/>
              </w:rPr>
              <w:t>以厂址为中心区域，</w:t>
            </w:r>
            <w:r>
              <w:rPr>
                <w:sz w:val="21"/>
              </w:rPr>
              <w:t>5km </w:t>
            </w:r>
            <w:r>
              <w:rPr>
                <w:rFonts w:ascii="宋体" w:eastAsia="宋体" w:hint="eastAsia"/>
                <w:sz w:val="21"/>
              </w:rPr>
              <w:t>为边长的矩形区域</w:t>
            </w:r>
          </w:p>
        </w:tc>
      </w:tr>
      <w:tr>
        <w:trPr>
          <w:trHeight w:val="359" w:hRule="atLeast"/>
        </w:trPr>
        <w:tc>
          <w:tcPr>
            <w:tcW w:w="1534" w:type="dxa"/>
            <w:tcBorders>
              <w:top w:val="single" w:sz="6" w:space="0" w:color="000000"/>
              <w:bottom w:val="single" w:sz="6" w:space="0" w:color="000000"/>
              <w:right w:val="single" w:sz="6" w:space="0" w:color="000000"/>
            </w:tcBorders>
          </w:tcPr>
          <w:p>
            <w:pPr>
              <w:pStyle w:val="TableParagraph"/>
              <w:spacing w:before="44"/>
              <w:ind w:left="220" w:right="197"/>
              <w:rPr>
                <w:rFonts w:ascii="宋体" w:eastAsia="宋体" w:hint="eastAsia"/>
                <w:sz w:val="21"/>
              </w:rPr>
            </w:pPr>
            <w:r>
              <w:rPr>
                <w:rFonts w:ascii="宋体" w:eastAsia="宋体" w:hint="eastAsia"/>
                <w:sz w:val="21"/>
              </w:rPr>
              <w:t>声环境</w:t>
            </w:r>
          </w:p>
        </w:tc>
        <w:tc>
          <w:tcPr>
            <w:tcW w:w="7898" w:type="dxa"/>
            <w:tcBorders>
              <w:top w:val="single" w:sz="6" w:space="0" w:color="000000"/>
              <w:left w:val="single" w:sz="6" w:space="0" w:color="000000"/>
              <w:bottom w:val="single" w:sz="6" w:space="0" w:color="000000"/>
            </w:tcBorders>
          </w:tcPr>
          <w:p>
            <w:pPr>
              <w:pStyle w:val="TableParagraph"/>
              <w:spacing w:before="44"/>
              <w:ind w:left="783" w:right="750"/>
              <w:rPr>
                <w:rFonts w:ascii="宋体" w:eastAsia="宋体" w:hint="eastAsia"/>
                <w:sz w:val="21"/>
              </w:rPr>
            </w:pPr>
            <w:r>
              <w:rPr>
                <w:rFonts w:ascii="宋体" w:eastAsia="宋体" w:hint="eastAsia"/>
                <w:sz w:val="21"/>
              </w:rPr>
              <w:t>厂界外 </w:t>
            </w:r>
            <w:r>
              <w:rPr>
                <w:sz w:val="21"/>
              </w:rPr>
              <w:t>200m </w:t>
            </w:r>
            <w:r>
              <w:rPr>
                <w:rFonts w:ascii="宋体" w:eastAsia="宋体" w:hint="eastAsia"/>
                <w:sz w:val="21"/>
              </w:rPr>
              <w:t>范围内</w:t>
            </w:r>
          </w:p>
        </w:tc>
      </w:tr>
      <w:tr>
        <w:trPr>
          <w:trHeight w:val="359" w:hRule="atLeast"/>
        </w:trPr>
        <w:tc>
          <w:tcPr>
            <w:tcW w:w="1534" w:type="dxa"/>
            <w:tcBorders>
              <w:top w:val="single" w:sz="6" w:space="0" w:color="000000"/>
              <w:bottom w:val="single" w:sz="6" w:space="0" w:color="000000"/>
              <w:right w:val="single" w:sz="6" w:space="0" w:color="000000"/>
            </w:tcBorders>
          </w:tcPr>
          <w:p>
            <w:pPr>
              <w:pStyle w:val="TableParagraph"/>
              <w:spacing w:before="44"/>
              <w:ind w:left="220" w:right="200"/>
              <w:rPr>
                <w:rFonts w:ascii="宋体" w:eastAsia="宋体" w:hint="eastAsia"/>
                <w:sz w:val="21"/>
              </w:rPr>
            </w:pPr>
            <w:r>
              <w:rPr>
                <w:rFonts w:ascii="宋体" w:eastAsia="宋体" w:hint="eastAsia"/>
                <w:sz w:val="21"/>
              </w:rPr>
              <w:t>生态环境</w:t>
            </w:r>
          </w:p>
        </w:tc>
        <w:tc>
          <w:tcPr>
            <w:tcW w:w="7898" w:type="dxa"/>
            <w:tcBorders>
              <w:top w:val="single" w:sz="6" w:space="0" w:color="000000"/>
              <w:left w:val="single" w:sz="6" w:space="0" w:color="000000"/>
              <w:bottom w:val="single" w:sz="6" w:space="0" w:color="000000"/>
            </w:tcBorders>
          </w:tcPr>
          <w:p>
            <w:pPr>
              <w:pStyle w:val="TableParagraph"/>
              <w:spacing w:before="44"/>
              <w:ind w:left="783" w:right="750"/>
              <w:rPr>
                <w:rFonts w:ascii="宋体" w:eastAsia="宋体" w:hint="eastAsia"/>
                <w:sz w:val="21"/>
              </w:rPr>
            </w:pPr>
            <w:r>
              <w:rPr>
                <w:rFonts w:ascii="宋体" w:eastAsia="宋体" w:hint="eastAsia"/>
                <w:sz w:val="21"/>
              </w:rPr>
              <w:t>项目拟建地块及周边 </w:t>
            </w:r>
            <w:r>
              <w:rPr>
                <w:sz w:val="21"/>
              </w:rPr>
              <w:t>200m </w:t>
            </w:r>
            <w:r>
              <w:rPr>
                <w:rFonts w:ascii="宋体" w:eastAsia="宋体" w:hint="eastAsia"/>
                <w:sz w:val="21"/>
              </w:rPr>
              <w:t>范围</w:t>
            </w:r>
          </w:p>
        </w:tc>
      </w:tr>
      <w:tr>
        <w:trPr>
          <w:trHeight w:val="357" w:hRule="atLeast"/>
        </w:trPr>
        <w:tc>
          <w:tcPr>
            <w:tcW w:w="1534" w:type="dxa"/>
            <w:tcBorders>
              <w:top w:val="single" w:sz="6" w:space="0" w:color="000000"/>
              <w:bottom w:val="single" w:sz="6" w:space="0" w:color="000000"/>
              <w:right w:val="single" w:sz="6" w:space="0" w:color="000000"/>
            </w:tcBorders>
          </w:tcPr>
          <w:p>
            <w:pPr>
              <w:pStyle w:val="TableParagraph"/>
              <w:spacing w:before="44"/>
              <w:ind w:left="220" w:right="200"/>
              <w:rPr>
                <w:rFonts w:ascii="宋体" w:eastAsia="宋体" w:hint="eastAsia"/>
                <w:sz w:val="21"/>
              </w:rPr>
            </w:pPr>
            <w:r>
              <w:rPr>
                <w:rFonts w:ascii="宋体" w:eastAsia="宋体" w:hint="eastAsia"/>
                <w:sz w:val="21"/>
              </w:rPr>
              <w:t>风险评价</w:t>
            </w:r>
          </w:p>
        </w:tc>
        <w:tc>
          <w:tcPr>
            <w:tcW w:w="7898" w:type="dxa"/>
            <w:tcBorders>
              <w:top w:val="single" w:sz="6" w:space="0" w:color="000000"/>
              <w:left w:val="single" w:sz="6" w:space="0" w:color="000000"/>
              <w:bottom w:val="single" w:sz="6" w:space="0" w:color="000000"/>
            </w:tcBorders>
          </w:tcPr>
          <w:p>
            <w:pPr>
              <w:pStyle w:val="TableParagraph"/>
              <w:spacing w:before="44"/>
              <w:ind w:left="783" w:right="750"/>
              <w:rPr>
                <w:rFonts w:ascii="宋体" w:eastAsia="宋体" w:hint="eastAsia"/>
                <w:sz w:val="21"/>
              </w:rPr>
            </w:pPr>
            <w:r>
              <w:rPr>
                <w:rFonts w:ascii="宋体" w:eastAsia="宋体" w:hint="eastAsia"/>
                <w:sz w:val="21"/>
              </w:rPr>
              <w:t>简单分析，参照地表水、地下水、大气评价范围</w:t>
            </w:r>
          </w:p>
        </w:tc>
      </w:tr>
      <w:tr>
        <w:trPr>
          <w:trHeight w:val="359" w:hRule="atLeast"/>
        </w:trPr>
        <w:tc>
          <w:tcPr>
            <w:tcW w:w="1534" w:type="dxa"/>
            <w:tcBorders>
              <w:top w:val="single" w:sz="6" w:space="0" w:color="000000"/>
              <w:right w:val="single" w:sz="6" w:space="0" w:color="000000"/>
            </w:tcBorders>
          </w:tcPr>
          <w:p>
            <w:pPr>
              <w:pStyle w:val="TableParagraph"/>
              <w:spacing w:before="47"/>
              <w:ind w:left="220" w:right="197"/>
              <w:rPr>
                <w:rFonts w:ascii="宋体" w:eastAsia="宋体" w:hint="eastAsia"/>
                <w:sz w:val="21"/>
              </w:rPr>
            </w:pPr>
            <w:r>
              <w:rPr>
                <w:rFonts w:ascii="宋体" w:eastAsia="宋体" w:hint="eastAsia"/>
                <w:sz w:val="21"/>
              </w:rPr>
              <w:t>土壤</w:t>
            </w:r>
          </w:p>
        </w:tc>
        <w:tc>
          <w:tcPr>
            <w:tcW w:w="7898" w:type="dxa"/>
            <w:tcBorders>
              <w:top w:val="single" w:sz="6" w:space="0" w:color="000000"/>
              <w:left w:val="single" w:sz="6" w:space="0" w:color="000000"/>
            </w:tcBorders>
          </w:tcPr>
          <w:p>
            <w:pPr>
              <w:pStyle w:val="TableParagraph"/>
              <w:spacing w:before="47"/>
              <w:ind w:left="783" w:right="751"/>
              <w:rPr>
                <w:rFonts w:ascii="宋体" w:eastAsia="宋体" w:hint="eastAsia"/>
                <w:sz w:val="21"/>
              </w:rPr>
            </w:pPr>
            <w:r>
              <w:rPr>
                <w:rFonts w:ascii="宋体" w:eastAsia="宋体" w:hint="eastAsia"/>
                <w:sz w:val="21"/>
              </w:rPr>
              <w:t>占地范围内部及其外侧 </w:t>
            </w:r>
            <w:r>
              <w:rPr>
                <w:sz w:val="21"/>
              </w:rPr>
              <w:t>50m </w:t>
            </w:r>
            <w:r>
              <w:rPr>
                <w:rFonts w:ascii="宋体" w:eastAsia="宋体" w:hint="eastAsia"/>
                <w:sz w:val="21"/>
              </w:rPr>
              <w:t>范围内</w:t>
            </w:r>
          </w:p>
        </w:tc>
      </w:tr>
    </w:tbl>
    <w:p>
      <w:pPr>
        <w:pStyle w:val="ListParagraph"/>
        <w:numPr>
          <w:ilvl w:val="1"/>
          <w:numId w:val="16"/>
        </w:numPr>
        <w:tabs>
          <w:tab w:pos="730" w:val="left" w:leader="none"/>
        </w:tabs>
        <w:spacing w:line="240" w:lineRule="auto" w:before="135" w:after="0"/>
        <w:ind w:left="729" w:right="0" w:hanging="493"/>
        <w:jc w:val="left"/>
        <w:rPr>
          <w:b/>
          <w:sz w:val="28"/>
        </w:rPr>
      </w:pPr>
      <w:bookmarkStart w:name="_bookmark30" w:id="58"/>
      <w:bookmarkEnd w:id="58"/>
      <w:r>
        <w:rPr/>
      </w:r>
      <w:bookmarkStart w:name="_bookmark30" w:id="59"/>
      <w:bookmarkEnd w:id="59"/>
      <w:r>
        <w:rPr>
          <w:b/>
          <w:sz w:val="28"/>
        </w:rPr>
        <w:t>相关规划及环境功能区划</w:t>
      </w:r>
    </w:p>
    <w:p>
      <w:pPr>
        <w:pStyle w:val="ListParagraph"/>
        <w:numPr>
          <w:ilvl w:val="2"/>
          <w:numId w:val="16"/>
        </w:numPr>
        <w:tabs>
          <w:tab w:pos="838" w:val="left" w:leader="none"/>
        </w:tabs>
        <w:spacing w:line="240" w:lineRule="auto" w:before="214" w:after="0"/>
        <w:ind w:left="837" w:right="0" w:hanging="601"/>
        <w:jc w:val="left"/>
        <w:rPr>
          <w:b/>
          <w:sz w:val="24"/>
        </w:rPr>
      </w:pPr>
      <w:bookmarkStart w:name="_bookmark31" w:id="60"/>
      <w:bookmarkEnd w:id="60"/>
      <w:r>
        <w:rPr/>
      </w:r>
      <w:bookmarkStart w:name="_bookmark31" w:id="61"/>
      <w:bookmarkEnd w:id="61"/>
      <w:r>
        <w:rPr>
          <w:b/>
          <w:sz w:val="24"/>
        </w:rPr>
        <w:t>柯岩街道土地利用总体规划</w:t>
      </w:r>
      <w:r>
        <w:rPr>
          <w:b/>
          <w:sz w:val="24"/>
        </w:rPr>
        <w:t>（</w:t>
      </w:r>
      <w:r>
        <w:rPr>
          <w:rFonts w:ascii="Times New Roman" w:eastAsia="Times New Roman"/>
          <w:b/>
          <w:sz w:val="24"/>
        </w:rPr>
        <w:t>2006-2020</w:t>
      </w:r>
      <w:r>
        <w:rPr>
          <w:rFonts w:ascii="Times New Roman" w:eastAsia="Times New Roman"/>
          <w:b/>
          <w:spacing w:val="-1"/>
          <w:sz w:val="24"/>
        </w:rPr>
        <w:t> </w:t>
      </w:r>
      <w:r>
        <w:rPr>
          <w:b/>
          <w:sz w:val="24"/>
        </w:rPr>
        <w:t>年）及符合性分析</w:t>
      </w:r>
    </w:p>
    <w:p>
      <w:pPr>
        <w:spacing w:before="160"/>
        <w:ind w:left="719" w:right="0" w:firstLine="0"/>
        <w:jc w:val="left"/>
        <w:rPr>
          <w:b/>
          <w:sz w:val="24"/>
        </w:rPr>
      </w:pPr>
      <w:r>
        <w:rPr>
          <w:rFonts w:ascii="Times New Roman" w:eastAsia="Times New Roman"/>
          <w:b/>
          <w:sz w:val="24"/>
        </w:rPr>
        <w:t>1</w:t>
      </w:r>
      <w:r>
        <w:rPr>
          <w:b/>
          <w:sz w:val="24"/>
        </w:rPr>
        <w:t>、规划范围</w:t>
      </w:r>
    </w:p>
    <w:p>
      <w:pPr>
        <w:pStyle w:val="BodyText"/>
        <w:spacing w:before="161"/>
        <w:ind w:left="717"/>
      </w:pPr>
      <w:r>
        <w:rPr/>
        <w:t>柯岩街道行政辖区内的全部土地，总面积为 </w:t>
      </w:r>
      <w:r>
        <w:rPr>
          <w:rFonts w:ascii="Times New Roman" w:eastAsia="Times New Roman"/>
          <w:position w:val="1"/>
        </w:rPr>
        <w:t>4532.01 </w:t>
      </w:r>
      <w:r>
        <w:rPr/>
        <w:t>公顷。</w:t>
      </w:r>
    </w:p>
    <w:p>
      <w:pPr>
        <w:pStyle w:val="Heading3"/>
        <w:spacing w:before="160"/>
      </w:pPr>
      <w:r>
        <w:rPr>
          <w:rFonts w:ascii="Times New Roman" w:eastAsia="Times New Roman"/>
        </w:rPr>
        <w:t>2</w:t>
      </w:r>
      <w:r>
        <w:rPr/>
        <w:t>、规划期限</w:t>
      </w:r>
    </w:p>
    <w:p>
      <w:pPr>
        <w:pStyle w:val="BodyText"/>
        <w:spacing w:before="161"/>
        <w:ind w:left="717"/>
      </w:pPr>
      <w:r>
        <w:rPr/>
        <w:t>规划期限：</w:t>
      </w:r>
      <w:r>
        <w:rPr>
          <w:rFonts w:ascii="Times New Roman" w:eastAsia="Times New Roman"/>
          <w:position w:val="1"/>
        </w:rPr>
        <w:t>2006-2020 </w:t>
      </w:r>
      <w:r>
        <w:rPr/>
        <w:t>年。</w:t>
      </w:r>
    </w:p>
    <w:p>
      <w:pPr>
        <w:pStyle w:val="Heading3"/>
      </w:pPr>
      <w:r>
        <w:rPr>
          <w:rFonts w:ascii="Times New Roman" w:eastAsia="Times New Roman"/>
        </w:rPr>
        <w:t>3</w:t>
      </w:r>
      <w:r>
        <w:rPr/>
        <w:t>、土地利用控制指标</w:t>
      </w:r>
    </w:p>
    <w:p>
      <w:pPr>
        <w:pStyle w:val="ListParagraph"/>
        <w:numPr>
          <w:ilvl w:val="3"/>
          <w:numId w:val="16"/>
        </w:numPr>
        <w:tabs>
          <w:tab w:pos="1323" w:val="left" w:leader="none"/>
        </w:tabs>
        <w:spacing w:line="240" w:lineRule="auto" w:before="160" w:after="0"/>
        <w:ind w:left="1323" w:right="0" w:hanging="604"/>
        <w:jc w:val="left"/>
        <w:rPr>
          <w:b/>
          <w:sz w:val="22"/>
        </w:rPr>
      </w:pPr>
      <w:r>
        <w:rPr>
          <w:b/>
          <w:sz w:val="24"/>
        </w:rPr>
        <w:t>耕地与基本农田保护指标</w:t>
      </w:r>
    </w:p>
    <w:p>
      <w:pPr>
        <w:pStyle w:val="BodyText"/>
        <w:spacing w:before="161"/>
        <w:ind w:left="717"/>
      </w:pPr>
      <w:r>
        <w:rPr>
          <w:spacing w:val="-5"/>
        </w:rPr>
        <w:t>绍兴县下达给柯岩街道的 </w:t>
      </w:r>
      <w:r>
        <w:rPr>
          <w:rFonts w:ascii="Times New Roman" w:eastAsia="Times New Roman"/>
          <w:position w:val="1"/>
        </w:rPr>
        <w:t>2020 </w:t>
      </w:r>
      <w:r>
        <w:rPr>
          <w:spacing w:val="-8"/>
        </w:rPr>
        <w:t>年耕地保有量为 </w:t>
      </w:r>
      <w:r>
        <w:rPr>
          <w:rFonts w:ascii="Times New Roman" w:eastAsia="Times New Roman"/>
          <w:position w:val="1"/>
        </w:rPr>
        <w:t>818.57 </w:t>
      </w:r>
      <w:r>
        <w:rPr>
          <w:spacing w:val="-10"/>
        </w:rPr>
        <w:t>公顷，规划期间基本农田保护</w:t>
      </w:r>
    </w:p>
    <w:p>
      <w:pPr>
        <w:pStyle w:val="BodyText"/>
        <w:spacing w:before="160"/>
        <w:ind w:left="0" w:right="12"/>
        <w:jc w:val="center"/>
      </w:pPr>
      <w:r>
        <w:rPr>
          <w:spacing w:val="-10"/>
        </w:rPr>
        <w:t>任务为 </w:t>
      </w:r>
      <w:r>
        <w:rPr>
          <w:rFonts w:ascii="Times New Roman" w:eastAsia="Times New Roman"/>
          <w:position w:val="1"/>
        </w:rPr>
        <w:t>111.64</w:t>
      </w:r>
      <w:r>
        <w:rPr>
          <w:rFonts w:ascii="Times New Roman" w:eastAsia="Times New Roman"/>
          <w:spacing w:val="24"/>
          <w:position w:val="1"/>
        </w:rPr>
        <w:t> </w:t>
      </w:r>
      <w:r>
        <w:rPr>
          <w:spacing w:val="-2"/>
        </w:rPr>
        <w:t>公顷，土地开发复垦整理补充耕地任务为 </w:t>
      </w:r>
      <w:r>
        <w:rPr>
          <w:rFonts w:ascii="Times New Roman" w:eastAsia="Times New Roman"/>
          <w:position w:val="1"/>
        </w:rPr>
        <w:t>57.77</w:t>
      </w:r>
      <w:r>
        <w:rPr>
          <w:rFonts w:ascii="Times New Roman" w:eastAsia="Times New Roman"/>
          <w:spacing w:val="24"/>
          <w:position w:val="1"/>
        </w:rPr>
        <w:t> </w:t>
      </w:r>
      <w:r>
        <w:rPr/>
        <w:t>公顷，建设占用耕地量为</w:t>
      </w:r>
    </w:p>
    <w:p>
      <w:pPr>
        <w:pStyle w:val="BodyText"/>
        <w:spacing w:before="161"/>
      </w:pPr>
      <w:r>
        <w:rPr>
          <w:rFonts w:ascii="Times New Roman" w:eastAsia="Times New Roman"/>
          <w:position w:val="1"/>
        </w:rPr>
        <w:t>372.33 </w:t>
      </w:r>
      <w:r>
        <w:rPr/>
        <w:t>公顷，标准农田保护任务为 </w:t>
      </w:r>
      <w:r>
        <w:rPr>
          <w:rFonts w:ascii="Times New Roman" w:eastAsia="Times New Roman"/>
          <w:position w:val="1"/>
        </w:rPr>
        <w:t>784.65 </w:t>
      </w:r>
      <w:r>
        <w:rPr/>
        <w:t>公顷。</w:t>
      </w:r>
    </w:p>
    <w:p>
      <w:pPr>
        <w:pStyle w:val="Heading3"/>
        <w:numPr>
          <w:ilvl w:val="3"/>
          <w:numId w:val="16"/>
        </w:numPr>
        <w:tabs>
          <w:tab w:pos="1323" w:val="left" w:leader="none"/>
        </w:tabs>
        <w:spacing w:line="240" w:lineRule="auto" w:before="160" w:after="0"/>
        <w:ind w:left="1323" w:right="0" w:hanging="604"/>
        <w:jc w:val="left"/>
        <w:rPr>
          <w:sz w:val="22"/>
        </w:rPr>
      </w:pPr>
      <w:r>
        <w:rPr/>
        <w:t>建设用地控制指标</w:t>
      </w:r>
    </w:p>
    <w:p>
      <w:pPr>
        <w:pStyle w:val="BodyText"/>
        <w:spacing w:before="161"/>
        <w:ind w:left="717"/>
      </w:pPr>
      <w:r>
        <w:rPr/>
        <w:t>绍兴县下达给柯岩街道的规划期间新增建设占用土地规模为 </w:t>
      </w:r>
      <w:r>
        <w:rPr>
          <w:rFonts w:ascii="Times New Roman" w:eastAsia="Times New Roman"/>
          <w:position w:val="1"/>
        </w:rPr>
        <w:t>413.67 </w:t>
      </w:r>
      <w:r>
        <w:rPr/>
        <w:t>公顷，新增建设</w:t>
      </w:r>
    </w:p>
    <w:p>
      <w:pPr>
        <w:pStyle w:val="BodyText"/>
        <w:spacing w:before="160"/>
      </w:pPr>
      <w:r>
        <w:rPr/>
        <w:t>用地规模为 </w:t>
      </w:r>
      <w:r>
        <w:rPr>
          <w:rFonts w:ascii="Times New Roman" w:eastAsia="Times New Roman"/>
          <w:position w:val="1"/>
        </w:rPr>
        <w:t>413.57 </w:t>
      </w:r>
      <w:r>
        <w:rPr/>
        <w:t>公顷，</w:t>
      </w:r>
      <w:r>
        <w:rPr>
          <w:rFonts w:ascii="Times New Roman" w:eastAsia="Times New Roman"/>
          <w:position w:val="1"/>
        </w:rPr>
        <w:t>2020 </w:t>
      </w:r>
      <w:r>
        <w:rPr/>
        <w:t>年末城乡规模为 </w:t>
      </w:r>
      <w:r>
        <w:rPr>
          <w:rFonts w:ascii="Times New Roman" w:eastAsia="Times New Roman"/>
          <w:position w:val="1"/>
        </w:rPr>
        <w:t>1267.24 </w:t>
      </w:r>
      <w:r>
        <w:rPr/>
        <w:t>公顷。</w:t>
      </w:r>
    </w:p>
    <w:p>
      <w:pPr>
        <w:pStyle w:val="Heading3"/>
        <w:numPr>
          <w:ilvl w:val="3"/>
          <w:numId w:val="16"/>
        </w:numPr>
        <w:tabs>
          <w:tab w:pos="1323" w:val="left" w:leader="none"/>
        </w:tabs>
        <w:spacing w:line="240" w:lineRule="auto" w:before="161" w:after="0"/>
        <w:ind w:left="1323" w:right="0" w:hanging="604"/>
        <w:jc w:val="left"/>
        <w:rPr>
          <w:sz w:val="22"/>
        </w:rPr>
      </w:pPr>
      <w:r>
        <w:rPr/>
        <w:t>土地节约集约利用目标</w:t>
      </w:r>
    </w:p>
    <w:p>
      <w:pPr>
        <w:pStyle w:val="BodyText"/>
        <w:spacing w:before="161"/>
        <w:ind w:left="717"/>
      </w:pPr>
      <w:r>
        <w:rPr>
          <w:spacing w:val="-5"/>
        </w:rPr>
        <w:t>绍兴县下达给柯岩街道的 </w:t>
      </w:r>
      <w:r>
        <w:rPr>
          <w:rFonts w:ascii="Times New Roman" w:eastAsia="Times New Roman"/>
          <w:position w:val="1"/>
        </w:rPr>
        <w:t>2020</w:t>
      </w:r>
      <w:r>
        <w:rPr>
          <w:rFonts w:ascii="Times New Roman" w:eastAsia="Times New Roman"/>
          <w:spacing w:val="9"/>
          <w:position w:val="1"/>
        </w:rPr>
        <w:t> </w:t>
      </w:r>
      <w:r>
        <w:rPr>
          <w:spacing w:val="-5"/>
        </w:rPr>
        <w:t>年末人均城镇工矿用地目标为 </w:t>
      </w:r>
      <w:r>
        <w:rPr>
          <w:rFonts w:ascii="Times New Roman" w:eastAsia="Times New Roman"/>
          <w:position w:val="1"/>
        </w:rPr>
        <w:t>73.44</w:t>
      </w:r>
      <w:r>
        <w:rPr>
          <w:rFonts w:ascii="Times New Roman" w:eastAsia="Times New Roman"/>
          <w:spacing w:val="7"/>
          <w:position w:val="1"/>
        </w:rPr>
        <w:t> </w:t>
      </w:r>
      <w:r>
        <w:rPr/>
        <w:t>平方米，人均城</w:t>
      </w:r>
    </w:p>
    <w:p>
      <w:pPr>
        <w:pStyle w:val="BodyText"/>
        <w:spacing w:before="160"/>
      </w:pPr>
      <w:r>
        <w:rPr>
          <w:spacing w:val="-9"/>
        </w:rPr>
        <w:t>镇用地目标为 </w:t>
      </w:r>
      <w:r>
        <w:rPr>
          <w:rFonts w:ascii="Times New Roman" w:eastAsia="Times New Roman"/>
          <w:position w:val="1"/>
        </w:rPr>
        <w:t>73.10 </w:t>
      </w:r>
      <w:r>
        <w:rPr>
          <w:spacing w:val="-7"/>
        </w:rPr>
        <w:t>平方米，人均农居点用地目标为 </w:t>
      </w:r>
      <w:r>
        <w:rPr>
          <w:rFonts w:ascii="Times New Roman" w:eastAsia="Times New Roman"/>
          <w:position w:val="1"/>
        </w:rPr>
        <w:t>79.69 </w:t>
      </w:r>
      <w:r>
        <w:rPr>
          <w:spacing w:val="-3"/>
        </w:rPr>
        <w:t>平方米，万元二三产业增加值</w:t>
      </w:r>
    </w:p>
    <w:p>
      <w:pPr>
        <w:pStyle w:val="BodyText"/>
        <w:spacing w:before="161"/>
      </w:pPr>
      <w:r>
        <w:rPr/>
        <w:t>用地量目标为 </w:t>
      </w:r>
      <w:r>
        <w:rPr>
          <w:rFonts w:ascii="Times New Roman" w:eastAsia="Times New Roman"/>
          <w:position w:val="1"/>
        </w:rPr>
        <w:t>16.00 </w:t>
      </w:r>
      <w:r>
        <w:rPr/>
        <w:t>平方米。</w:t>
      </w:r>
    </w:p>
    <w:p>
      <w:pPr>
        <w:pStyle w:val="Heading3"/>
        <w:spacing w:before="160"/>
      </w:pPr>
      <w:r>
        <w:rPr>
          <w:rFonts w:ascii="Times New Roman" w:eastAsia="Times New Roman"/>
        </w:rPr>
        <w:t>4</w:t>
      </w:r>
      <w:r>
        <w:rPr/>
        <w:t>、耕地与基本农田保护</w:t>
      </w:r>
    </w:p>
    <w:p>
      <w:pPr>
        <w:pStyle w:val="ListParagraph"/>
        <w:numPr>
          <w:ilvl w:val="0"/>
          <w:numId w:val="17"/>
        </w:numPr>
        <w:tabs>
          <w:tab w:pos="1323" w:val="left" w:leader="none"/>
        </w:tabs>
        <w:spacing w:line="240" w:lineRule="auto" w:before="161" w:after="0"/>
        <w:ind w:left="1323" w:right="0" w:hanging="604"/>
        <w:jc w:val="left"/>
        <w:rPr>
          <w:b/>
          <w:sz w:val="24"/>
        </w:rPr>
      </w:pPr>
      <w:r>
        <w:rPr>
          <w:b/>
          <w:sz w:val="24"/>
        </w:rPr>
        <w:t>严格控制非农建设占用耕地</w:t>
      </w:r>
    </w:p>
    <w:p>
      <w:pPr>
        <w:pStyle w:val="BodyText"/>
        <w:spacing w:before="160"/>
        <w:ind w:left="717"/>
      </w:pPr>
      <w:r>
        <w:rPr/>
        <w:t>根据国家的有关规定建立严格的耕地保护制度，依法保护好基本农田保护区。实施</w:t>
      </w:r>
    </w:p>
    <w:p>
      <w:pPr>
        <w:spacing w:after="0"/>
        <w:sectPr>
          <w:pgSz w:w="11910" w:h="16840"/>
          <w:pgMar w:header="874" w:footer="1004" w:top="1400" w:bottom="1200" w:left="1040" w:right="1160"/>
        </w:sectPr>
      </w:pPr>
    </w:p>
    <w:p>
      <w:pPr>
        <w:pStyle w:val="BodyText"/>
        <w:spacing w:line="364" w:lineRule="auto" w:before="121"/>
        <w:ind w:right="131"/>
        <w:jc w:val="both"/>
      </w:pPr>
      <w:r>
        <w:rPr>
          <w:spacing w:val="-3"/>
        </w:rPr>
        <w:t>严格的非农建设占用耕地政策，各重大项目选址尽量少占耕地甚至不占耕地，规划期内， </w:t>
      </w:r>
      <w:r>
        <w:rPr>
          <w:spacing w:val="-5"/>
        </w:rPr>
        <w:t>建设占用耕地不超过 </w:t>
      </w:r>
      <w:r>
        <w:rPr>
          <w:rFonts w:ascii="Times New Roman" w:eastAsia="Times New Roman"/>
          <w:position w:val="1"/>
        </w:rPr>
        <w:t>358.82 </w:t>
      </w:r>
      <w:r>
        <w:rPr>
          <w:spacing w:val="-3"/>
        </w:rPr>
        <w:t>公顷，确保规划期末柯岩街道的耕地保有量不少于 </w:t>
      </w:r>
      <w:r>
        <w:rPr>
          <w:rFonts w:ascii="Times New Roman" w:eastAsia="Times New Roman"/>
          <w:position w:val="1"/>
        </w:rPr>
        <w:t>81857 </w:t>
      </w:r>
      <w:r>
        <w:rPr/>
        <w:t>公</w:t>
      </w:r>
    </w:p>
    <w:p>
      <w:pPr>
        <w:pStyle w:val="BodyText"/>
        <w:spacing w:before="1"/>
      </w:pPr>
      <w:r>
        <w:rPr/>
        <w:t>顷，通过土地整理、复垦和凯发，规划耕地面积达到 </w:t>
      </w:r>
      <w:r>
        <w:rPr>
          <w:rFonts w:ascii="Times New Roman" w:eastAsia="Times New Roman"/>
          <w:position w:val="1"/>
        </w:rPr>
        <w:t>1083.81 </w:t>
      </w:r>
      <w:r>
        <w:rPr/>
        <w:t>公顷。</w:t>
      </w:r>
    </w:p>
    <w:p>
      <w:pPr>
        <w:pStyle w:val="Heading3"/>
        <w:numPr>
          <w:ilvl w:val="0"/>
          <w:numId w:val="17"/>
        </w:numPr>
        <w:tabs>
          <w:tab w:pos="1323" w:val="left" w:leader="none"/>
        </w:tabs>
        <w:spacing w:line="240" w:lineRule="auto" w:before="161" w:after="0"/>
        <w:ind w:left="1323" w:right="0" w:hanging="604"/>
        <w:jc w:val="left"/>
      </w:pPr>
      <w:r>
        <w:rPr/>
        <w:t>基本农田结构和布局</w:t>
      </w:r>
    </w:p>
    <w:p>
      <w:pPr>
        <w:pStyle w:val="BodyText"/>
        <w:spacing w:before="160"/>
        <w:ind w:left="717"/>
      </w:pPr>
      <w:r>
        <w:rPr>
          <w:spacing w:val="-3"/>
        </w:rPr>
        <w:t>规划期内，全街道基本农田面积为 </w:t>
      </w:r>
      <w:r>
        <w:rPr>
          <w:rFonts w:ascii="Times New Roman" w:eastAsia="Times New Roman"/>
          <w:position w:val="1"/>
        </w:rPr>
        <w:t>111.64</w:t>
      </w:r>
      <w:r>
        <w:rPr>
          <w:rFonts w:ascii="Times New Roman" w:eastAsia="Times New Roman"/>
          <w:spacing w:val="17"/>
          <w:position w:val="1"/>
        </w:rPr>
        <w:t> </w:t>
      </w:r>
      <w:r>
        <w:rPr/>
        <w:t>公顷，同时在基本农田保护区内预留一般</w:t>
      </w:r>
    </w:p>
    <w:p>
      <w:pPr>
        <w:pStyle w:val="BodyText"/>
        <w:spacing w:before="161"/>
      </w:pPr>
      <w:r>
        <w:rPr>
          <w:spacing w:val="-15"/>
        </w:rPr>
        <w:t>耕地 </w:t>
      </w:r>
      <w:r>
        <w:rPr>
          <w:rFonts w:ascii="Times New Roman" w:eastAsia="Times New Roman"/>
          <w:position w:val="1"/>
        </w:rPr>
        <w:t>7.93</w:t>
      </w:r>
      <w:r>
        <w:rPr>
          <w:rFonts w:ascii="Times New Roman" w:eastAsia="Times New Roman"/>
          <w:spacing w:val="16"/>
          <w:position w:val="1"/>
        </w:rPr>
        <w:t> </w:t>
      </w:r>
      <w:r>
        <w:rPr/>
        <w:t>公顷，基本农田由上一轮规划的基本农田范围内的保留耕地，以及新调入的土</w:t>
      </w:r>
    </w:p>
    <w:p>
      <w:pPr>
        <w:pStyle w:val="BodyText"/>
        <w:spacing w:before="160"/>
      </w:pPr>
      <w:r>
        <w:rPr>
          <w:spacing w:val="-10"/>
        </w:rPr>
        <w:t>壤肥力较好、远离污染区的耕地组成，调入面积为 </w:t>
      </w:r>
      <w:r>
        <w:rPr>
          <w:rFonts w:ascii="Times New Roman" w:eastAsia="Times New Roman"/>
          <w:position w:val="1"/>
        </w:rPr>
        <w:t>19.38 </w:t>
      </w:r>
      <w:r>
        <w:rPr>
          <w:spacing w:val="-6"/>
        </w:rPr>
        <w:t>公顷。主要分布在规划杨绍线以</w:t>
      </w:r>
    </w:p>
    <w:p>
      <w:pPr>
        <w:pStyle w:val="BodyText"/>
        <w:spacing w:before="161"/>
      </w:pPr>
      <w:r>
        <w:rPr/>
        <w:t>南地区。其中，以里庄村、丰项村和河塔村分布的数量较多，划设基本农田集中区 </w:t>
      </w:r>
      <w:r>
        <w:rPr>
          <w:rFonts w:ascii="Times New Roman" w:eastAsia="Times New Roman"/>
          <w:position w:val="1"/>
        </w:rPr>
        <w:t>2 </w:t>
      </w:r>
      <w:r>
        <w:rPr/>
        <w:t>个，</w:t>
      </w:r>
    </w:p>
    <w:p>
      <w:pPr>
        <w:pStyle w:val="BodyText"/>
        <w:spacing w:before="161"/>
      </w:pPr>
      <w:r>
        <w:rPr/>
        <w:t>总面积 </w:t>
      </w:r>
      <w:r>
        <w:rPr>
          <w:rFonts w:ascii="Times New Roman" w:eastAsia="Times New Roman"/>
          <w:position w:val="1"/>
        </w:rPr>
        <w:t>87.29 </w:t>
      </w:r>
      <w:r>
        <w:rPr/>
        <w:t>公顷。同时，将重点建设项目和城市、建制镇一定范围的上一轮基本农田调</w:t>
      </w:r>
    </w:p>
    <w:p>
      <w:pPr>
        <w:pStyle w:val="BodyText"/>
        <w:spacing w:before="160"/>
      </w:pPr>
      <w:r>
        <w:rPr/>
        <w:t>出，面积为 </w:t>
      </w:r>
      <w:r>
        <w:rPr>
          <w:rFonts w:ascii="Times New Roman" w:eastAsia="Times New Roman"/>
          <w:position w:val="1"/>
        </w:rPr>
        <w:t>952.01 </w:t>
      </w:r>
      <w:r>
        <w:rPr/>
        <w:t>公顷。</w:t>
      </w:r>
    </w:p>
    <w:p>
      <w:pPr>
        <w:pStyle w:val="Heading3"/>
        <w:numPr>
          <w:ilvl w:val="0"/>
          <w:numId w:val="17"/>
        </w:numPr>
        <w:tabs>
          <w:tab w:pos="1323" w:val="left" w:leader="none"/>
        </w:tabs>
        <w:spacing w:line="240" w:lineRule="auto" w:before="161" w:after="0"/>
        <w:ind w:left="1323" w:right="0" w:hanging="604"/>
        <w:jc w:val="left"/>
      </w:pPr>
      <w:r>
        <w:rPr/>
        <w:t>标准农田保护与建设</w:t>
      </w:r>
    </w:p>
    <w:p>
      <w:pPr>
        <w:pStyle w:val="BodyText"/>
        <w:spacing w:line="364" w:lineRule="auto" w:before="160"/>
        <w:ind w:right="251" w:firstLine="480"/>
        <w:jc w:val="both"/>
      </w:pPr>
      <w:r>
        <w:rPr/>
        <w:t>加强标准农田保护，落实标准农田“先补后占、占补平衡”制度。经过对标准农田</w:t>
      </w:r>
      <w:r>
        <w:rPr>
          <w:spacing w:val="-2"/>
        </w:rPr>
        <w:t>分布和柯岩街道建设用地规划布局的空间分析，在允许建设区内涉及标准农田 </w:t>
      </w:r>
      <w:r>
        <w:rPr>
          <w:rFonts w:ascii="Times New Roman" w:hAnsi="Times New Roman" w:eastAsia="Times New Roman"/>
          <w:position w:val="1"/>
        </w:rPr>
        <w:t>216.22 </w:t>
      </w:r>
      <w:r>
        <w:rPr>
          <w:spacing w:val="-17"/>
        </w:rPr>
        <w:t>公</w:t>
      </w:r>
    </w:p>
    <w:p>
      <w:pPr>
        <w:pStyle w:val="BodyText"/>
        <w:spacing w:line="364" w:lineRule="auto" w:before="2"/>
        <w:ind w:right="249"/>
        <w:jc w:val="both"/>
      </w:pPr>
      <w:r>
        <w:rPr>
          <w:spacing w:val="-4"/>
        </w:rPr>
        <w:t>顷，在有条件建设区内涉及 </w:t>
      </w:r>
      <w:r>
        <w:rPr>
          <w:rFonts w:ascii="Times New Roman" w:hAnsi="Times New Roman" w:eastAsia="Times New Roman"/>
          <w:position w:val="1"/>
        </w:rPr>
        <w:t>779.63</w:t>
      </w:r>
      <w:r>
        <w:rPr>
          <w:rFonts w:ascii="Times New Roman" w:hAnsi="Times New Roman" w:eastAsia="Times New Roman"/>
          <w:spacing w:val="16"/>
          <w:position w:val="1"/>
        </w:rPr>
        <w:t> </w:t>
      </w:r>
      <w:r>
        <w:rPr>
          <w:spacing w:val="-1"/>
        </w:rPr>
        <w:t>公顷，及时开展允许建设用地区内标准农田的移位建</w:t>
      </w:r>
      <w:r>
        <w:rPr/>
        <w:t>设，做到质量不降低、面积不减少。标准农田占用必须按有关规定和程序进行审批，严格实行标准农田“先补后占、占补平衡”。</w:t>
      </w:r>
    </w:p>
    <w:p>
      <w:pPr>
        <w:pStyle w:val="BodyText"/>
        <w:spacing w:line="364" w:lineRule="auto" w:before="2"/>
        <w:ind w:right="131" w:firstLine="480"/>
      </w:pPr>
      <w:r>
        <w:rPr>
          <w:spacing w:val="-10"/>
        </w:rPr>
        <w:t>严格标准农田管理，确保标准农田数量。规划期内标准农田面积不少于 </w:t>
      </w:r>
      <w:r>
        <w:rPr>
          <w:rFonts w:ascii="Times New Roman" w:eastAsia="Times New Roman"/>
          <w:position w:val="1"/>
        </w:rPr>
        <w:t>784.65 </w:t>
      </w:r>
      <w:r>
        <w:rPr>
          <w:spacing w:val="-5"/>
        </w:rPr>
        <w:t>公顷。</w:t>
      </w:r>
      <w:r>
        <w:rPr/>
        <w:t>对位于允许建设区范围内的标准农田，将于规划期内由全县统一安排农村土地综合整治项目和标准农田建设加以补建或异地补建。</w:t>
      </w:r>
    </w:p>
    <w:p>
      <w:pPr>
        <w:pStyle w:val="Heading3"/>
        <w:spacing w:before="2"/>
      </w:pPr>
      <w:r>
        <w:rPr>
          <w:rFonts w:ascii="Times New Roman" w:eastAsia="Times New Roman"/>
        </w:rPr>
        <w:t>5</w:t>
      </w:r>
      <w:r>
        <w:rPr/>
        <w:t>、城乡建设用地规划与优化布局</w:t>
      </w:r>
    </w:p>
    <w:p>
      <w:pPr>
        <w:pStyle w:val="BodyText"/>
        <w:spacing w:line="364" w:lineRule="auto" w:before="160"/>
        <w:ind w:right="249" w:firstLine="480"/>
        <w:jc w:val="both"/>
      </w:pPr>
      <w:r>
        <w:rPr>
          <w:spacing w:val="-2"/>
        </w:rPr>
        <w:t>规划目标：采用科学积极的措施盘活全街道现有的 </w:t>
      </w:r>
      <w:r>
        <w:rPr>
          <w:rFonts w:ascii="Times New Roman" w:eastAsia="Times New Roman"/>
          <w:position w:val="1"/>
        </w:rPr>
        <w:t>225.33 </w:t>
      </w:r>
      <w:r>
        <w:rPr>
          <w:spacing w:val="-2"/>
        </w:rPr>
        <w:t>公顷存量用地，提高节约</w:t>
      </w:r>
      <w:r>
        <w:rPr/>
        <w:t>集约用地水平，严格控制城镇用地增长规模与速度，防止城镇用地扩张超越人口城镇化和就业结构转移进程，保障必要的重点区块建设。规划期内，新增建设占用土地不超过</w:t>
      </w:r>
    </w:p>
    <w:p>
      <w:pPr>
        <w:pStyle w:val="ListParagraph"/>
        <w:numPr>
          <w:ilvl w:val="1"/>
          <w:numId w:val="18"/>
        </w:numPr>
        <w:tabs>
          <w:tab w:pos="958" w:val="left" w:leader="none"/>
        </w:tabs>
        <w:spacing w:line="364" w:lineRule="auto" w:before="3" w:after="0"/>
        <w:ind w:left="237" w:right="249" w:firstLine="0"/>
        <w:jc w:val="both"/>
        <w:rPr>
          <w:sz w:val="24"/>
        </w:rPr>
      </w:pPr>
      <w:r>
        <w:rPr>
          <w:spacing w:val="-10"/>
          <w:sz w:val="24"/>
        </w:rPr>
        <w:t>公顷，新增建设占用耕地不超过 </w:t>
      </w:r>
      <w:r>
        <w:rPr>
          <w:rFonts w:ascii="Times New Roman" w:eastAsia="Times New Roman"/>
          <w:position w:val="1"/>
          <w:sz w:val="24"/>
        </w:rPr>
        <w:t>358.82 </w:t>
      </w:r>
      <w:r>
        <w:rPr>
          <w:spacing w:val="-19"/>
          <w:sz w:val="24"/>
        </w:rPr>
        <w:t>公顷。到 </w:t>
      </w:r>
      <w:r>
        <w:rPr>
          <w:rFonts w:ascii="Times New Roman" w:eastAsia="Times New Roman"/>
          <w:position w:val="1"/>
          <w:sz w:val="24"/>
        </w:rPr>
        <w:t>2020 </w:t>
      </w:r>
      <w:r>
        <w:rPr>
          <w:spacing w:val="-7"/>
          <w:sz w:val="24"/>
        </w:rPr>
        <w:t>年，全街道城乡建设用地规</w:t>
      </w:r>
      <w:r>
        <w:rPr>
          <w:spacing w:val="-13"/>
          <w:sz w:val="24"/>
        </w:rPr>
        <w:t>模控制在 </w:t>
      </w:r>
      <w:r>
        <w:rPr>
          <w:rFonts w:ascii="Times New Roman" w:eastAsia="Times New Roman"/>
          <w:position w:val="1"/>
          <w:sz w:val="24"/>
        </w:rPr>
        <w:t>1249.39 </w:t>
      </w:r>
      <w:r>
        <w:rPr>
          <w:spacing w:val="-7"/>
          <w:sz w:val="24"/>
        </w:rPr>
        <w:t>公顷以内，其中城镇用地规模控制在 </w:t>
      </w:r>
      <w:r>
        <w:rPr>
          <w:rFonts w:ascii="Times New Roman" w:eastAsia="Times New Roman"/>
          <w:position w:val="1"/>
          <w:sz w:val="24"/>
        </w:rPr>
        <w:t>1014.96 </w:t>
      </w:r>
      <w:r>
        <w:rPr>
          <w:spacing w:val="-5"/>
          <w:sz w:val="24"/>
        </w:rPr>
        <w:t>公顷以内；人均城镇工矿</w:t>
      </w:r>
      <w:r>
        <w:rPr>
          <w:spacing w:val="-11"/>
          <w:sz w:val="24"/>
        </w:rPr>
        <w:t>用地控制在 </w:t>
      </w:r>
      <w:r>
        <w:rPr>
          <w:rFonts w:ascii="Times New Roman" w:eastAsia="Times New Roman"/>
          <w:position w:val="1"/>
          <w:sz w:val="24"/>
        </w:rPr>
        <w:t>72.84 </w:t>
      </w:r>
      <w:r>
        <w:rPr>
          <w:spacing w:val="-6"/>
          <w:sz w:val="24"/>
        </w:rPr>
        <w:t>平方米以内；人均城镇建设用地控制在 </w:t>
      </w:r>
      <w:r>
        <w:rPr>
          <w:rFonts w:ascii="Times New Roman" w:eastAsia="Times New Roman"/>
          <w:position w:val="1"/>
          <w:sz w:val="24"/>
        </w:rPr>
        <w:t>72.50 </w:t>
      </w:r>
      <w:r>
        <w:rPr>
          <w:spacing w:val="-4"/>
          <w:sz w:val="24"/>
        </w:rPr>
        <w:t>平方米以内；人均农居点</w:t>
      </w:r>
      <w:r>
        <w:rPr>
          <w:spacing w:val="-11"/>
          <w:sz w:val="24"/>
        </w:rPr>
        <w:t>用地控制在 </w:t>
      </w:r>
      <w:r>
        <w:rPr>
          <w:rFonts w:ascii="Times New Roman" w:eastAsia="Times New Roman"/>
          <w:position w:val="1"/>
          <w:sz w:val="24"/>
        </w:rPr>
        <w:t>79.61 </w:t>
      </w:r>
      <w:r>
        <w:rPr>
          <w:spacing w:val="-3"/>
          <w:sz w:val="24"/>
        </w:rPr>
        <w:t>平方米以内；万元二三产业增加值用地量不超过 </w:t>
      </w:r>
      <w:r>
        <w:rPr>
          <w:rFonts w:ascii="Times New Roman" w:eastAsia="Times New Roman"/>
          <w:position w:val="1"/>
          <w:sz w:val="24"/>
        </w:rPr>
        <w:t>16.00 </w:t>
      </w:r>
      <w:r>
        <w:rPr>
          <w:sz w:val="24"/>
        </w:rPr>
        <w:t>平方米。</w:t>
      </w:r>
    </w:p>
    <w:p>
      <w:pPr>
        <w:pStyle w:val="Heading3"/>
        <w:spacing w:before="2"/>
      </w:pPr>
      <w:r>
        <w:rPr>
          <w:rFonts w:ascii="Times New Roman" w:eastAsia="Times New Roman"/>
        </w:rPr>
        <w:t>6</w:t>
      </w:r>
      <w:r>
        <w:rPr/>
        <w:t>、土地用途分区管制</w:t>
      </w:r>
    </w:p>
    <w:p>
      <w:pPr>
        <w:pStyle w:val="ListParagraph"/>
        <w:numPr>
          <w:ilvl w:val="2"/>
          <w:numId w:val="18"/>
        </w:numPr>
        <w:tabs>
          <w:tab w:pos="1323" w:val="left" w:leader="none"/>
        </w:tabs>
        <w:spacing w:line="240" w:lineRule="auto" w:before="160" w:after="0"/>
        <w:ind w:left="1323" w:right="0" w:hanging="604"/>
        <w:jc w:val="left"/>
        <w:rPr>
          <w:b/>
          <w:sz w:val="24"/>
        </w:rPr>
      </w:pPr>
      <w:r>
        <w:rPr>
          <w:b/>
          <w:sz w:val="24"/>
        </w:rPr>
        <w:t>基本农田保护区</w:t>
      </w:r>
    </w:p>
    <w:p>
      <w:pPr>
        <w:spacing w:after="0" w:line="240" w:lineRule="auto"/>
        <w:jc w:val="left"/>
        <w:rPr>
          <w:sz w:val="24"/>
        </w:rPr>
        <w:sectPr>
          <w:pgSz w:w="11910" w:h="16840"/>
          <w:pgMar w:header="874" w:footer="1004" w:top="1400" w:bottom="1200" w:left="1040" w:right="1160"/>
        </w:sectPr>
      </w:pPr>
    </w:p>
    <w:p>
      <w:pPr>
        <w:pStyle w:val="BodyText"/>
        <w:spacing w:line="364" w:lineRule="auto" w:before="121"/>
        <w:ind w:right="131" w:firstLine="480"/>
      </w:pPr>
      <w:r>
        <w:rPr/>
        <w:t>基本农田保护区是指主要对耕地及其他优质农用地进行特殊保护和管理规定的土地</w:t>
      </w:r>
      <w:r>
        <w:rPr>
          <w:spacing w:val="-12"/>
        </w:rPr>
        <w:t>用途区。该区面积 </w:t>
      </w:r>
      <w:r>
        <w:rPr>
          <w:rFonts w:ascii="Times New Roman" w:eastAsia="Times New Roman"/>
          <w:position w:val="1"/>
        </w:rPr>
        <w:t>140.07 </w:t>
      </w:r>
      <w:r>
        <w:rPr>
          <w:spacing w:val="-10"/>
        </w:rPr>
        <w:t>公顷，占全街道土地总面积的 </w:t>
      </w:r>
      <w:r>
        <w:rPr>
          <w:rFonts w:ascii="Times New Roman" w:eastAsia="Times New Roman"/>
          <w:spacing w:val="-7"/>
          <w:position w:val="1"/>
        </w:rPr>
        <w:t>3.09%</w:t>
      </w:r>
      <w:r>
        <w:rPr>
          <w:spacing w:val="-11"/>
        </w:rPr>
        <w:t>，区内有耕地 </w:t>
      </w:r>
      <w:r>
        <w:rPr>
          <w:rFonts w:ascii="Times New Roman" w:eastAsia="Times New Roman"/>
          <w:position w:val="1"/>
        </w:rPr>
        <w:t>119.57 </w:t>
      </w:r>
      <w:r>
        <w:rPr>
          <w:spacing w:val="-5"/>
        </w:rPr>
        <w:t>公顷， </w:t>
      </w:r>
      <w:r>
        <w:rPr>
          <w:spacing w:val="-8"/>
        </w:rPr>
        <w:t>占该区总面积的 </w:t>
      </w:r>
      <w:r>
        <w:rPr>
          <w:rFonts w:ascii="Times New Roman" w:eastAsia="Times New Roman"/>
          <w:spacing w:val="-4"/>
          <w:position w:val="1"/>
        </w:rPr>
        <w:t>85.36%</w:t>
      </w:r>
      <w:r>
        <w:rPr>
          <w:spacing w:val="-8"/>
        </w:rPr>
        <w:t>，其中基本农田面积为 </w:t>
      </w:r>
      <w:r>
        <w:rPr>
          <w:rFonts w:ascii="Times New Roman" w:eastAsia="Times New Roman"/>
          <w:position w:val="1"/>
        </w:rPr>
        <w:t>111.64 </w:t>
      </w:r>
      <w:r>
        <w:rPr>
          <w:spacing w:val="-5"/>
        </w:rPr>
        <w:t>公顷，为规划基期难以确定且符合规划的建设项目、独立选址或线性工程、新农村建设等民生工程</w:t>
      </w:r>
      <w:r>
        <w:rPr/>
        <w:t>（如杨绍线、变电所、新农村建设等项目）</w:t>
      </w:r>
      <w:r>
        <w:rPr>
          <w:spacing w:val="-7"/>
        </w:rPr>
        <w:t>预留一般耕地 </w:t>
      </w:r>
      <w:r>
        <w:rPr>
          <w:rFonts w:ascii="Times New Roman" w:eastAsia="Times New Roman"/>
          <w:position w:val="1"/>
        </w:rPr>
        <w:t>7.93 </w:t>
      </w:r>
      <w:r>
        <w:rPr/>
        <w:t>公顷，其他主要为农村道路、农田水利等设施。基本农田保护区管制规则如下：</w:t>
      </w:r>
    </w:p>
    <w:p>
      <w:pPr>
        <w:pStyle w:val="ListParagraph"/>
        <w:numPr>
          <w:ilvl w:val="0"/>
          <w:numId w:val="19"/>
        </w:numPr>
        <w:tabs>
          <w:tab w:pos="1079" w:val="left" w:leader="none"/>
        </w:tabs>
        <w:spacing w:line="364" w:lineRule="auto" w:before="4" w:after="0"/>
        <w:ind w:left="237" w:right="254" w:firstLine="480"/>
        <w:jc w:val="left"/>
        <w:rPr>
          <w:sz w:val="24"/>
        </w:rPr>
      </w:pPr>
      <w:r>
        <w:rPr>
          <w:spacing w:val="-6"/>
          <w:sz w:val="24"/>
        </w:rPr>
        <w:t>禁止在基本农田保护区内建房、建窑、建坟、挖砂、采矿、取土、堆放固体废弃</w:t>
      </w:r>
      <w:r>
        <w:rPr>
          <w:sz w:val="24"/>
        </w:rPr>
        <w:t>物或进行其他破坏基本农田的活动；禁止占用基本农田发展林果业和挖塘养鱼。</w:t>
      </w:r>
    </w:p>
    <w:p>
      <w:pPr>
        <w:pStyle w:val="ListParagraph"/>
        <w:numPr>
          <w:ilvl w:val="0"/>
          <w:numId w:val="19"/>
        </w:numPr>
        <w:tabs>
          <w:tab w:pos="1079" w:val="left" w:leader="none"/>
        </w:tabs>
        <w:spacing w:line="364" w:lineRule="auto" w:before="2" w:after="0"/>
        <w:ind w:left="237" w:right="255" w:firstLine="480"/>
        <w:jc w:val="left"/>
        <w:rPr>
          <w:sz w:val="24"/>
        </w:rPr>
      </w:pPr>
      <w:r>
        <w:rPr>
          <w:spacing w:val="-3"/>
          <w:sz w:val="24"/>
        </w:rPr>
        <w:t>区内土地主要用作基本农田和直接为基本农田服务的农田道路、水利、农田防护</w:t>
      </w:r>
      <w:r>
        <w:rPr>
          <w:sz w:val="24"/>
        </w:rPr>
        <w:t>林及其他农业设施；区内的一般耕地，应按照基本农田管制政策进行管护。</w:t>
      </w:r>
    </w:p>
    <w:p>
      <w:pPr>
        <w:pStyle w:val="ListParagraph"/>
        <w:numPr>
          <w:ilvl w:val="0"/>
          <w:numId w:val="19"/>
        </w:numPr>
        <w:tabs>
          <w:tab w:pos="1079" w:val="left" w:leader="none"/>
        </w:tabs>
        <w:spacing w:line="364" w:lineRule="auto" w:before="1" w:after="0"/>
        <w:ind w:left="237" w:right="227" w:firstLine="480"/>
        <w:jc w:val="left"/>
        <w:rPr>
          <w:sz w:val="24"/>
        </w:rPr>
      </w:pPr>
      <w:r>
        <w:rPr>
          <w:spacing w:val="-1"/>
          <w:sz w:val="24"/>
        </w:rPr>
        <w:t>区内现有的非农建设用地和其他零星农用地应当整理、复垦或调整为基本农田， </w:t>
      </w:r>
      <w:r>
        <w:rPr>
          <w:sz w:val="24"/>
        </w:rPr>
        <w:t>规划期内确实不能复垦或调整的，可保留现状，但不得扩大面积。</w:t>
      </w:r>
    </w:p>
    <w:p>
      <w:pPr>
        <w:pStyle w:val="ListParagraph"/>
        <w:numPr>
          <w:ilvl w:val="0"/>
          <w:numId w:val="19"/>
        </w:numPr>
        <w:tabs>
          <w:tab w:pos="1079" w:val="left" w:leader="none"/>
        </w:tabs>
        <w:spacing w:line="240" w:lineRule="auto" w:before="1" w:after="0"/>
        <w:ind w:left="1078" w:right="0" w:hanging="362"/>
        <w:jc w:val="left"/>
        <w:rPr>
          <w:sz w:val="24"/>
        </w:rPr>
      </w:pPr>
      <w:r>
        <w:rPr>
          <w:sz w:val="24"/>
        </w:rPr>
        <w:t>禁止占用区内土地进行非农建设。</w:t>
      </w:r>
    </w:p>
    <w:p>
      <w:pPr>
        <w:pStyle w:val="ListParagraph"/>
        <w:numPr>
          <w:ilvl w:val="0"/>
          <w:numId w:val="19"/>
        </w:numPr>
        <w:tabs>
          <w:tab w:pos="1079" w:val="left" w:leader="none"/>
        </w:tabs>
        <w:spacing w:line="364" w:lineRule="auto" w:before="160" w:after="0"/>
        <w:ind w:left="237" w:right="249" w:firstLine="480"/>
        <w:jc w:val="both"/>
        <w:rPr>
          <w:sz w:val="24"/>
        </w:rPr>
      </w:pPr>
      <w:r>
        <w:rPr>
          <w:spacing w:val="-4"/>
          <w:sz w:val="24"/>
        </w:rPr>
        <w:t>根据规划安排，占用基本农田保护区预留的耕地面积但不突破预留规模的独立建</w:t>
      </w:r>
      <w:r>
        <w:rPr>
          <w:sz w:val="24"/>
        </w:rPr>
        <w:t>设项目（如变电站</w:t>
      </w:r>
      <w:r>
        <w:rPr>
          <w:spacing w:val="3"/>
          <w:sz w:val="24"/>
        </w:rPr>
        <w:t>）</w:t>
      </w:r>
      <w:r>
        <w:rPr>
          <w:sz w:val="24"/>
        </w:rPr>
        <w:t>，一级在规划布局范围内的交通、水利等限行工程和旅游项目、以及新农村建设等民生工程，不再补划基本农田，简化相应用地报批程序。</w:t>
      </w:r>
    </w:p>
    <w:p>
      <w:pPr>
        <w:pStyle w:val="Heading3"/>
        <w:numPr>
          <w:ilvl w:val="2"/>
          <w:numId w:val="18"/>
        </w:numPr>
        <w:tabs>
          <w:tab w:pos="1323" w:val="left" w:leader="none"/>
        </w:tabs>
        <w:spacing w:line="240" w:lineRule="auto" w:before="3" w:after="0"/>
        <w:ind w:left="1323" w:right="0" w:hanging="604"/>
        <w:jc w:val="left"/>
      </w:pPr>
      <w:r>
        <w:rPr/>
        <w:t>一般农地区</w:t>
      </w:r>
    </w:p>
    <w:p>
      <w:pPr>
        <w:pStyle w:val="BodyText"/>
        <w:spacing w:line="364" w:lineRule="auto" w:before="160"/>
        <w:ind w:right="130" w:firstLine="480"/>
        <w:jc w:val="both"/>
      </w:pPr>
      <w:r>
        <w:rPr>
          <w:spacing w:val="-3"/>
        </w:rPr>
        <w:t>一般农地区是指基本农田保护区意外，以发展种植农业为主的区域，包含一般耕地、</w:t>
      </w:r>
      <w:r>
        <w:rPr>
          <w:spacing w:val="-5"/>
        </w:rPr>
        <w:t>园地、零星林地等及耕地内为农业生产服务的农村道路、农田水利用地及其他零星地类。</w:t>
      </w:r>
      <w:r>
        <w:rPr>
          <w:spacing w:val="-11"/>
        </w:rPr>
        <w:t>该区总面积 </w:t>
      </w:r>
      <w:r>
        <w:rPr>
          <w:rFonts w:ascii="Times New Roman" w:eastAsia="Times New Roman"/>
          <w:position w:val="1"/>
        </w:rPr>
        <w:t>5.66 </w:t>
      </w:r>
      <w:r>
        <w:rPr>
          <w:spacing w:val="-5"/>
        </w:rPr>
        <w:t>公顷，占全街道土地总面积的 </w:t>
      </w:r>
      <w:r>
        <w:rPr>
          <w:rFonts w:ascii="Times New Roman" w:eastAsia="Times New Roman"/>
          <w:position w:val="1"/>
        </w:rPr>
        <w:t>0.12%</w:t>
      </w:r>
      <w:r>
        <w:rPr/>
        <w:t>。一般农地区管制规则如下：</w:t>
      </w:r>
    </w:p>
    <w:p>
      <w:pPr>
        <w:pStyle w:val="ListParagraph"/>
        <w:numPr>
          <w:ilvl w:val="0"/>
          <w:numId w:val="20"/>
        </w:numPr>
        <w:tabs>
          <w:tab w:pos="1079" w:val="left" w:leader="none"/>
        </w:tabs>
        <w:spacing w:line="364" w:lineRule="auto" w:before="2" w:after="0"/>
        <w:ind w:left="237" w:right="253" w:firstLine="480"/>
        <w:jc w:val="left"/>
        <w:rPr>
          <w:sz w:val="24"/>
        </w:rPr>
      </w:pPr>
      <w:r>
        <w:rPr>
          <w:spacing w:val="-4"/>
          <w:sz w:val="24"/>
        </w:rPr>
        <w:t>该区主要用于农业生产，优先安排农村道路、农田水利、农田防护林及其它农业</w:t>
      </w:r>
      <w:r>
        <w:rPr>
          <w:sz w:val="24"/>
        </w:rPr>
        <w:t>设施等用途，不再划定城镇用地等用途。</w:t>
      </w:r>
    </w:p>
    <w:p>
      <w:pPr>
        <w:pStyle w:val="ListParagraph"/>
        <w:numPr>
          <w:ilvl w:val="0"/>
          <w:numId w:val="20"/>
        </w:numPr>
        <w:tabs>
          <w:tab w:pos="1079" w:val="left" w:leader="none"/>
        </w:tabs>
        <w:spacing w:line="364" w:lineRule="auto" w:before="1" w:after="0"/>
        <w:ind w:left="237" w:right="227" w:firstLine="480"/>
        <w:jc w:val="both"/>
        <w:rPr>
          <w:sz w:val="24"/>
        </w:rPr>
      </w:pPr>
      <w:r>
        <w:rPr>
          <w:spacing w:val="-1"/>
          <w:sz w:val="24"/>
        </w:rPr>
        <w:t>严格保护区内耕地，不得擅自转变用途；严格控制占用区内土地进行非农建设； </w:t>
      </w:r>
      <w:r>
        <w:rPr>
          <w:sz w:val="24"/>
        </w:rPr>
        <w:t>村庄建设、农村居民点配套设施、特殊选址项目局部不符合土地利用总体规划，但符合村庄布局规划、相关专项规划的，在建设用地总量不变的前提下，可依法局部调整。</w:t>
      </w:r>
    </w:p>
    <w:p>
      <w:pPr>
        <w:pStyle w:val="BodyText"/>
        <w:spacing w:line="364" w:lineRule="auto" w:before="3"/>
        <w:ind w:right="131" w:firstLine="480"/>
      </w:pPr>
      <w:r>
        <w:rPr>
          <w:rFonts w:ascii="Times New Roman" w:eastAsia="Times New Roman"/>
          <w:position w:val="1"/>
        </w:rPr>
        <w:t>3</w:t>
      </w:r>
      <w:r>
        <w:rPr>
          <w:spacing w:val="-12"/>
        </w:rPr>
        <w:t>、区内现有的非农建设用地和其他零星用地应优先整理、复垦或调整为耕地、园地， </w:t>
      </w:r>
      <w:r>
        <w:rPr/>
        <w:t>规划期内确实不能整理、复垦或调整的，可保留现状，但不得扩大面积。</w:t>
      </w:r>
    </w:p>
    <w:p>
      <w:pPr>
        <w:pStyle w:val="BodyText"/>
        <w:spacing w:before="1"/>
        <w:ind w:left="717"/>
      </w:pPr>
      <w:r>
        <w:rPr>
          <w:rFonts w:ascii="Times New Roman" w:eastAsia="Times New Roman"/>
          <w:position w:val="1"/>
        </w:rPr>
        <w:t>4</w:t>
      </w:r>
      <w:r>
        <w:rPr/>
        <w:t>）严禁区内农用地转为未利用地。</w:t>
      </w:r>
    </w:p>
    <w:p>
      <w:pPr>
        <w:pStyle w:val="Heading3"/>
        <w:numPr>
          <w:ilvl w:val="2"/>
          <w:numId w:val="18"/>
        </w:numPr>
        <w:tabs>
          <w:tab w:pos="1323" w:val="left" w:leader="none"/>
        </w:tabs>
        <w:spacing w:line="240" w:lineRule="auto" w:before="160" w:after="0"/>
        <w:ind w:left="1323" w:right="0" w:hanging="604"/>
        <w:jc w:val="left"/>
      </w:pPr>
      <w:r>
        <w:rPr/>
        <w:t>林业用地区</w:t>
      </w:r>
    </w:p>
    <w:p>
      <w:pPr>
        <w:spacing w:after="0" w:line="240" w:lineRule="auto"/>
        <w:jc w:val="left"/>
        <w:sectPr>
          <w:pgSz w:w="11910" w:h="16840"/>
          <w:pgMar w:header="874" w:footer="1004" w:top="1400" w:bottom="1200" w:left="1040" w:right="1160"/>
        </w:sectPr>
      </w:pPr>
    </w:p>
    <w:p>
      <w:pPr>
        <w:pStyle w:val="BodyText"/>
        <w:spacing w:line="364" w:lineRule="auto" w:before="121"/>
        <w:ind w:right="202" w:firstLine="480"/>
      </w:pPr>
      <w:r>
        <w:rPr/>
        <w:t>林业用地区是指为林业发展需要划定的土地用途区。该区总面积为 </w:t>
      </w:r>
      <w:r>
        <w:rPr>
          <w:rFonts w:ascii="Times New Roman" w:eastAsia="Times New Roman"/>
          <w:position w:val="1"/>
        </w:rPr>
        <w:t>614.34 </w:t>
      </w:r>
      <w:r>
        <w:rPr/>
        <w:t>公顷，占全街道土地总面积的 </w:t>
      </w:r>
      <w:r>
        <w:rPr>
          <w:rFonts w:ascii="Times New Roman" w:eastAsia="Times New Roman"/>
          <w:position w:val="1"/>
        </w:rPr>
        <w:t>13.56%</w:t>
      </w:r>
      <w:r>
        <w:rPr/>
        <w:t>。</w:t>
      </w:r>
    </w:p>
    <w:p>
      <w:pPr>
        <w:pStyle w:val="BodyText"/>
        <w:spacing w:before="1"/>
        <w:ind w:left="717"/>
      </w:pPr>
      <w:r>
        <w:rPr/>
        <w:t>林业用地区管制规则：</w:t>
      </w:r>
    </w:p>
    <w:p>
      <w:pPr>
        <w:pStyle w:val="ListParagraph"/>
        <w:numPr>
          <w:ilvl w:val="0"/>
          <w:numId w:val="21"/>
        </w:numPr>
        <w:tabs>
          <w:tab w:pos="1079" w:val="left" w:leader="none"/>
        </w:tabs>
        <w:spacing w:line="240" w:lineRule="auto" w:before="161" w:after="0"/>
        <w:ind w:left="1078" w:right="0" w:hanging="362"/>
        <w:jc w:val="left"/>
        <w:rPr>
          <w:sz w:val="24"/>
        </w:rPr>
      </w:pPr>
      <w:r>
        <w:rPr>
          <w:sz w:val="24"/>
        </w:rPr>
        <w:t>区内土地主要用于林业生产，以及直接为林业生产和生态建设服务的营林设施。</w:t>
      </w:r>
    </w:p>
    <w:p>
      <w:pPr>
        <w:pStyle w:val="ListParagraph"/>
        <w:numPr>
          <w:ilvl w:val="0"/>
          <w:numId w:val="21"/>
        </w:numPr>
        <w:tabs>
          <w:tab w:pos="1079" w:val="left" w:leader="none"/>
        </w:tabs>
        <w:spacing w:line="364" w:lineRule="auto" w:before="160" w:after="0"/>
        <w:ind w:left="237" w:right="251" w:firstLine="480"/>
        <w:jc w:val="left"/>
        <w:rPr>
          <w:sz w:val="24"/>
        </w:rPr>
      </w:pPr>
      <w:r>
        <w:rPr>
          <w:spacing w:val="-2"/>
          <w:sz w:val="24"/>
        </w:rPr>
        <w:t>区内现有的非农建设用地应调整为林地和其他类型的营林设施，规划期内确实不</w:t>
      </w:r>
      <w:r>
        <w:rPr>
          <w:sz w:val="24"/>
        </w:rPr>
        <w:t>能调整的，可保留现状，但不得扩大面积。</w:t>
      </w:r>
    </w:p>
    <w:p>
      <w:pPr>
        <w:pStyle w:val="ListParagraph"/>
        <w:numPr>
          <w:ilvl w:val="0"/>
          <w:numId w:val="21"/>
        </w:numPr>
        <w:tabs>
          <w:tab w:pos="1079" w:val="left" w:leader="none"/>
        </w:tabs>
        <w:spacing w:line="364" w:lineRule="auto" w:before="2" w:after="0"/>
        <w:ind w:left="237" w:right="227" w:firstLine="480"/>
        <w:jc w:val="left"/>
        <w:rPr>
          <w:sz w:val="24"/>
        </w:rPr>
      </w:pPr>
      <w:r>
        <w:rPr>
          <w:spacing w:val="-1"/>
          <w:sz w:val="24"/>
        </w:rPr>
        <w:t>保护现有林地资源，禁止毁林开荒等其他毁林行为；鼓励依法开垦荒山、荒坡， </w:t>
      </w:r>
      <w:r>
        <w:rPr>
          <w:sz w:val="24"/>
        </w:rPr>
        <w:t>植树造林，扩大森林覆盖率；鼓励区内进行依法有序的生态建设活动。</w:t>
      </w:r>
    </w:p>
    <w:p>
      <w:pPr>
        <w:pStyle w:val="ListParagraph"/>
        <w:numPr>
          <w:ilvl w:val="0"/>
          <w:numId w:val="21"/>
        </w:numPr>
        <w:tabs>
          <w:tab w:pos="1079" w:val="left" w:leader="none"/>
        </w:tabs>
        <w:spacing w:line="240" w:lineRule="auto" w:before="1" w:after="0"/>
        <w:ind w:left="1078" w:right="0" w:hanging="362"/>
        <w:jc w:val="left"/>
        <w:rPr>
          <w:sz w:val="24"/>
        </w:rPr>
      </w:pPr>
      <w:r>
        <w:rPr>
          <w:sz w:val="24"/>
        </w:rPr>
        <w:t>禁止占用区内林地、耕地进行非农建设。</w:t>
      </w:r>
    </w:p>
    <w:p>
      <w:pPr>
        <w:pStyle w:val="ListParagraph"/>
        <w:numPr>
          <w:ilvl w:val="0"/>
          <w:numId w:val="21"/>
        </w:numPr>
        <w:tabs>
          <w:tab w:pos="1079" w:val="left" w:leader="none"/>
        </w:tabs>
        <w:spacing w:line="240" w:lineRule="auto" w:before="161" w:after="0"/>
        <w:ind w:left="1078" w:right="0" w:hanging="362"/>
        <w:jc w:val="left"/>
        <w:rPr>
          <w:sz w:val="24"/>
        </w:rPr>
      </w:pPr>
      <w:r>
        <w:rPr>
          <w:sz w:val="24"/>
        </w:rPr>
        <w:t>不得占用生态林地区的土地进行新的生产建设活动。</w:t>
      </w:r>
    </w:p>
    <w:p>
      <w:pPr>
        <w:pStyle w:val="ListParagraph"/>
        <w:numPr>
          <w:ilvl w:val="0"/>
          <w:numId w:val="21"/>
        </w:numPr>
        <w:tabs>
          <w:tab w:pos="1079" w:val="left" w:leader="none"/>
        </w:tabs>
        <w:spacing w:line="240" w:lineRule="auto" w:before="160" w:after="0"/>
        <w:ind w:left="1078" w:right="0" w:hanging="362"/>
        <w:jc w:val="left"/>
        <w:rPr>
          <w:sz w:val="24"/>
        </w:rPr>
      </w:pPr>
      <w:r>
        <w:rPr>
          <w:sz w:val="24"/>
        </w:rPr>
        <w:t>强化管理，坚持依法治林，严禁乱砍滥伐。</w:t>
      </w:r>
    </w:p>
    <w:p>
      <w:pPr>
        <w:pStyle w:val="ListParagraph"/>
        <w:numPr>
          <w:ilvl w:val="0"/>
          <w:numId w:val="21"/>
        </w:numPr>
        <w:tabs>
          <w:tab w:pos="1079" w:val="left" w:leader="none"/>
        </w:tabs>
        <w:spacing w:line="240" w:lineRule="auto" w:before="161" w:after="0"/>
        <w:ind w:left="1078" w:right="0" w:hanging="362"/>
        <w:jc w:val="left"/>
        <w:rPr>
          <w:sz w:val="24"/>
        </w:rPr>
      </w:pPr>
      <w:r>
        <w:rPr>
          <w:sz w:val="24"/>
        </w:rPr>
        <w:t>严禁区内农用地转为未利用地。</w:t>
      </w:r>
    </w:p>
    <w:p>
      <w:pPr>
        <w:pStyle w:val="Heading3"/>
        <w:numPr>
          <w:ilvl w:val="2"/>
          <w:numId w:val="18"/>
        </w:numPr>
        <w:tabs>
          <w:tab w:pos="1323" w:val="left" w:leader="none"/>
        </w:tabs>
        <w:spacing w:line="240" w:lineRule="auto" w:before="160" w:after="0"/>
        <w:ind w:left="1323" w:right="0" w:hanging="604"/>
        <w:jc w:val="left"/>
      </w:pPr>
      <w:r>
        <w:rPr/>
        <w:t>城镇建设用地区</w:t>
      </w:r>
    </w:p>
    <w:p>
      <w:pPr>
        <w:pStyle w:val="BodyText"/>
        <w:spacing w:line="364" w:lineRule="auto" w:before="161"/>
        <w:ind w:right="254" w:firstLine="480"/>
      </w:pPr>
      <w:r>
        <w:rPr/>
        <w:t>城镇建设用地区是指为城镇（城市、建制镇）建设需要划定的土地用途区。该区总面积为 </w:t>
      </w:r>
      <w:r>
        <w:rPr>
          <w:rFonts w:ascii="Times New Roman" w:eastAsia="Times New Roman"/>
          <w:position w:val="1"/>
        </w:rPr>
        <w:t>2032.34 </w:t>
      </w:r>
      <w:r>
        <w:rPr/>
        <w:t>公顷，占全街道土地总面积的 </w:t>
      </w:r>
      <w:r>
        <w:rPr>
          <w:rFonts w:ascii="Times New Roman" w:eastAsia="Times New Roman"/>
          <w:position w:val="1"/>
        </w:rPr>
        <w:t>44.84%</w:t>
      </w:r>
      <w:r>
        <w:rPr/>
        <w:t>。</w:t>
      </w:r>
    </w:p>
    <w:p>
      <w:pPr>
        <w:pStyle w:val="BodyText"/>
        <w:spacing w:before="1"/>
        <w:ind w:left="717"/>
      </w:pPr>
      <w:r>
        <w:rPr/>
        <w:t>城镇建设用地区管制规则：</w:t>
      </w:r>
    </w:p>
    <w:p>
      <w:pPr>
        <w:pStyle w:val="ListParagraph"/>
        <w:numPr>
          <w:ilvl w:val="0"/>
          <w:numId w:val="22"/>
        </w:numPr>
        <w:tabs>
          <w:tab w:pos="1079" w:val="left" w:leader="none"/>
        </w:tabs>
        <w:spacing w:line="364" w:lineRule="auto" w:before="161" w:after="0"/>
        <w:ind w:left="237" w:right="255" w:firstLine="480"/>
        <w:jc w:val="left"/>
        <w:rPr>
          <w:sz w:val="24"/>
        </w:rPr>
      </w:pPr>
      <w:r>
        <w:rPr>
          <w:spacing w:val="-4"/>
          <w:sz w:val="24"/>
        </w:rPr>
        <w:t>区内规划土地用途主要为城镇建设，须符合经批准的城市、建制镇建设规划、国</w:t>
      </w:r>
      <w:r>
        <w:rPr>
          <w:sz w:val="24"/>
        </w:rPr>
        <w:t>民经济社会发展规划及其他相关规划，严格执行国家规定的用地标准。</w:t>
      </w:r>
    </w:p>
    <w:p>
      <w:pPr>
        <w:pStyle w:val="ListParagraph"/>
        <w:numPr>
          <w:ilvl w:val="0"/>
          <w:numId w:val="22"/>
        </w:numPr>
        <w:tabs>
          <w:tab w:pos="1079" w:val="left" w:leader="none"/>
        </w:tabs>
        <w:spacing w:line="364" w:lineRule="auto" w:before="1" w:after="0"/>
        <w:ind w:left="237" w:right="131" w:firstLine="480"/>
        <w:jc w:val="left"/>
        <w:rPr>
          <w:sz w:val="24"/>
        </w:rPr>
      </w:pPr>
      <w:r>
        <w:rPr>
          <w:spacing w:val="-8"/>
          <w:sz w:val="24"/>
        </w:rPr>
        <w:t>优化城镇用地格局，增强建设用地空间布局的弹性，有限利用现有低效建设用地</w:t>
      </w:r>
      <w:r>
        <w:rPr>
          <w:spacing w:val="-5"/>
          <w:sz w:val="24"/>
        </w:rPr>
        <w:t>、闲置地和废弃地，提高城镇土地利用率。</w:t>
      </w:r>
    </w:p>
    <w:p>
      <w:pPr>
        <w:pStyle w:val="ListParagraph"/>
        <w:numPr>
          <w:ilvl w:val="0"/>
          <w:numId w:val="22"/>
        </w:numPr>
        <w:tabs>
          <w:tab w:pos="1079" w:val="left" w:leader="none"/>
        </w:tabs>
        <w:spacing w:line="240" w:lineRule="auto" w:before="1" w:after="0"/>
        <w:ind w:left="1078" w:right="0" w:hanging="362"/>
        <w:jc w:val="left"/>
        <w:rPr>
          <w:sz w:val="24"/>
        </w:rPr>
      </w:pPr>
      <w:r>
        <w:rPr>
          <w:sz w:val="24"/>
        </w:rPr>
        <w:t>鼓励其他零散分布的工矿企业向工业园区集中。</w:t>
      </w:r>
    </w:p>
    <w:p>
      <w:pPr>
        <w:pStyle w:val="ListParagraph"/>
        <w:numPr>
          <w:ilvl w:val="0"/>
          <w:numId w:val="22"/>
        </w:numPr>
        <w:tabs>
          <w:tab w:pos="1079" w:val="left" w:leader="none"/>
        </w:tabs>
        <w:spacing w:line="240" w:lineRule="auto" w:before="161" w:after="0"/>
        <w:ind w:left="1078" w:right="0" w:hanging="362"/>
        <w:jc w:val="left"/>
        <w:rPr>
          <w:sz w:val="24"/>
        </w:rPr>
      </w:pPr>
      <w:r>
        <w:rPr>
          <w:sz w:val="24"/>
        </w:rPr>
        <w:t>区内农用地在批准改变用途前，应当按原用途使用，不得荒芜。</w:t>
      </w:r>
    </w:p>
    <w:p>
      <w:pPr>
        <w:pStyle w:val="ListParagraph"/>
        <w:numPr>
          <w:ilvl w:val="0"/>
          <w:numId w:val="22"/>
        </w:numPr>
        <w:tabs>
          <w:tab w:pos="1079" w:val="left" w:leader="none"/>
        </w:tabs>
        <w:spacing w:line="364" w:lineRule="auto" w:before="160" w:after="0"/>
        <w:ind w:left="237" w:right="227" w:firstLine="480"/>
        <w:jc w:val="left"/>
        <w:rPr>
          <w:sz w:val="24"/>
        </w:rPr>
      </w:pPr>
      <w:r>
        <w:rPr>
          <w:spacing w:val="-1"/>
          <w:sz w:val="24"/>
        </w:rPr>
        <w:t>积极推进区内废弃工矿用地的复垦开发工作，规划期间确实不能整理、复垦的， </w:t>
      </w:r>
      <w:r>
        <w:rPr>
          <w:sz w:val="24"/>
        </w:rPr>
        <w:t>可保留现状，但不得扩大面积。</w:t>
      </w:r>
    </w:p>
    <w:p>
      <w:pPr>
        <w:pStyle w:val="BodyText"/>
        <w:spacing w:line="364" w:lineRule="auto" w:before="2"/>
        <w:ind w:right="129" w:firstLine="482"/>
      </w:pPr>
      <w:r>
        <w:rPr>
          <w:b/>
          <w:spacing w:val="1"/>
        </w:rPr>
        <w:t>符合性分析：</w:t>
      </w:r>
      <w:r>
        <w:rPr/>
        <w:t>本项目拟建址位于柯桥区柯岩街道丰项村，根据《关于天圣集团农业生态产业链项目落地建设相关事宜的专题会议纪要》（绍兴市柯桥区人民政府专题会议纪要</w:t>
      </w:r>
      <w:r>
        <w:rPr>
          <w:rFonts w:ascii="Times New Roman" w:eastAsia="Times New Roman"/>
          <w:position w:val="1"/>
        </w:rPr>
        <w:t>[2020]24 </w:t>
      </w:r>
      <w:r>
        <w:rPr/>
        <w:t>号</w:t>
      </w:r>
      <w:r>
        <w:rPr>
          <w:spacing w:val="-17"/>
        </w:rPr>
        <w:t>），</w:t>
      </w:r>
      <w:r>
        <w:rPr>
          <w:spacing w:val="-5"/>
        </w:rPr>
        <w:t>本项目需占用设施农用地 </w:t>
      </w:r>
      <w:r>
        <w:rPr>
          <w:rFonts w:ascii="Times New Roman" w:eastAsia="Times New Roman"/>
          <w:position w:val="1"/>
        </w:rPr>
        <w:t>78.5 </w:t>
      </w:r>
      <w:r>
        <w:rPr>
          <w:spacing w:val="-17"/>
        </w:rPr>
        <w:t>亩</w:t>
      </w:r>
      <w:r>
        <w:rPr/>
        <w:t>（包括一般农田和永久基本农田</w:t>
      </w:r>
      <w:r>
        <w:rPr>
          <w:spacing w:val="-17"/>
        </w:rPr>
        <w:t>）</w:t>
      </w:r>
      <w:r>
        <w:rPr>
          <w:spacing w:val="-13"/>
        </w:rPr>
        <w:t>。</w:t>
      </w:r>
      <w:r>
        <w:rPr>
          <w:spacing w:val="-8"/>
        </w:rPr>
        <w:t>目前，企业已完成设施农用地备案</w:t>
      </w:r>
      <w:r>
        <w:rPr/>
        <w:t>（</w:t>
      </w:r>
      <w:r>
        <w:rPr>
          <w:spacing w:val="-1"/>
        </w:rPr>
        <w:t>备案号：</w:t>
      </w:r>
      <w:r>
        <w:rPr>
          <w:rFonts w:ascii="Times New Roman" w:eastAsia="Times New Roman"/>
          <w:spacing w:val="-4"/>
          <w:position w:val="1"/>
        </w:rPr>
        <w:t>330603Y0120211001</w:t>
      </w:r>
      <w:r>
        <w:rPr>
          <w:spacing w:val="-2"/>
        </w:rPr>
        <w:t>，详见附件五</w:t>
      </w:r>
      <w:r>
        <w:rPr>
          <w:spacing w:val="-32"/>
        </w:rPr>
        <w:t>）</w:t>
      </w:r>
      <w:r>
        <w:rPr>
          <w:spacing w:val="-11"/>
        </w:rPr>
        <w:t>。因此， </w:t>
      </w:r>
      <w:r>
        <w:rPr/>
        <w:t>本项目符合城镇总体规划和土地利用规划。</w:t>
      </w:r>
    </w:p>
    <w:p>
      <w:pPr>
        <w:spacing w:after="0" w:line="364" w:lineRule="auto"/>
        <w:sectPr>
          <w:pgSz w:w="11910" w:h="16840"/>
          <w:pgMar w:header="874" w:footer="1004" w:top="1400" w:bottom="1200" w:left="1040" w:right="1160"/>
        </w:sectPr>
      </w:pPr>
    </w:p>
    <w:p>
      <w:pPr>
        <w:pStyle w:val="Heading3"/>
        <w:numPr>
          <w:ilvl w:val="2"/>
          <w:numId w:val="16"/>
        </w:numPr>
        <w:tabs>
          <w:tab w:pos="838" w:val="left" w:leader="none"/>
        </w:tabs>
        <w:spacing w:line="240" w:lineRule="auto" w:before="121" w:after="0"/>
        <w:ind w:left="837" w:right="0" w:hanging="601"/>
        <w:jc w:val="left"/>
      </w:pPr>
      <w:bookmarkStart w:name="_bookmark32" w:id="62"/>
      <w:bookmarkEnd w:id="62"/>
      <w:r>
        <w:rPr>
          <w:b w:val="0"/>
        </w:rPr>
      </w:r>
      <w:bookmarkStart w:name="_bookmark32" w:id="63"/>
      <w:bookmarkEnd w:id="63"/>
      <w:r>
        <w:rPr/>
        <w:t>绍兴市</w:t>
      </w:r>
      <w:r>
        <w:rPr>
          <w:rFonts w:ascii="Times New Roman" w:hAnsi="Times New Roman" w:eastAsia="Times New Roman"/>
        </w:rPr>
        <w:t>“</w:t>
      </w:r>
      <w:r>
        <w:rPr/>
        <w:t>十三五</w:t>
      </w:r>
      <w:r>
        <w:rPr>
          <w:rFonts w:ascii="Times New Roman" w:hAnsi="Times New Roman" w:eastAsia="Times New Roman"/>
          <w:spacing w:val="-3"/>
        </w:rPr>
        <w:t>”</w:t>
      </w:r>
      <w:r>
        <w:rPr/>
        <w:t>品质农业发展规划及符合性分析</w:t>
      </w:r>
    </w:p>
    <w:p>
      <w:pPr>
        <w:spacing w:before="161"/>
        <w:ind w:left="719" w:right="0" w:firstLine="0"/>
        <w:jc w:val="left"/>
        <w:rPr>
          <w:b/>
          <w:sz w:val="24"/>
        </w:rPr>
      </w:pPr>
      <w:r>
        <w:rPr>
          <w:rFonts w:ascii="Times New Roman" w:eastAsia="Times New Roman"/>
          <w:b/>
          <w:sz w:val="24"/>
        </w:rPr>
        <w:t>1</w:t>
      </w:r>
      <w:r>
        <w:rPr>
          <w:b/>
          <w:sz w:val="24"/>
        </w:rPr>
        <w:t>、规划范围与时限</w:t>
      </w:r>
    </w:p>
    <w:p>
      <w:pPr>
        <w:pStyle w:val="BodyText"/>
        <w:spacing w:line="364" w:lineRule="auto" w:before="160"/>
        <w:ind w:left="717" w:right="4187"/>
      </w:pPr>
      <w:r>
        <w:rPr/>
        <w:t>规划范围：本规划范围为整个绍兴市域范围。规划年限：规划年限为 </w:t>
      </w:r>
      <w:r>
        <w:rPr>
          <w:rFonts w:ascii="Times New Roman" w:hAnsi="Times New Roman" w:eastAsia="Times New Roman"/>
          <w:position w:val="1"/>
        </w:rPr>
        <w:t>2016</w:t>
      </w:r>
      <w:r>
        <w:rPr/>
        <w:t>——</w:t>
      </w:r>
      <w:r>
        <w:rPr>
          <w:rFonts w:ascii="Times New Roman" w:hAnsi="Times New Roman" w:eastAsia="Times New Roman"/>
          <w:position w:val="1"/>
        </w:rPr>
        <w:t>2020 </w:t>
      </w:r>
      <w:r>
        <w:rPr/>
        <w:t>年。</w:t>
      </w:r>
    </w:p>
    <w:p>
      <w:pPr>
        <w:pStyle w:val="Heading3"/>
        <w:spacing w:before="1"/>
      </w:pPr>
      <w:r>
        <w:rPr>
          <w:rFonts w:ascii="Times New Roman" w:eastAsia="Times New Roman"/>
        </w:rPr>
        <w:t>2</w:t>
      </w:r>
      <w:r>
        <w:rPr/>
        <w:t>、指导思想</w:t>
      </w:r>
    </w:p>
    <w:p>
      <w:pPr>
        <w:pStyle w:val="BodyText"/>
        <w:spacing w:line="364" w:lineRule="auto" w:before="161"/>
        <w:ind w:right="113" w:firstLine="480"/>
      </w:pPr>
      <w:r>
        <w:rPr/>
        <w:t>按照新型工业化、信息化、城镇化、绿色化和农业现代化协同推进的要求，以</w:t>
      </w:r>
      <w:r>
        <w:rPr>
          <w:rFonts w:ascii="Times New Roman" w:hAnsi="Times New Roman" w:eastAsia="Times New Roman"/>
          <w:position w:val="1"/>
        </w:rPr>
        <w:t>“</w:t>
      </w:r>
      <w:r>
        <w:rPr/>
        <w:t>建设生态绍兴，共享品质生活</w:t>
      </w:r>
      <w:r>
        <w:rPr>
          <w:rFonts w:ascii="Times New Roman" w:hAnsi="Times New Roman" w:eastAsia="Times New Roman"/>
          <w:position w:val="1"/>
        </w:rPr>
        <w:t>”</w:t>
      </w:r>
      <w:r>
        <w:rPr/>
        <w:t>为主题，以全面提升现代农业发展水平为主线，以园区建设、生态循环农业创建、农业产业集聚区、特色农业小镇培育和智慧农业示范区建设为平台， 坚持生产生态生活一体、精细精准精品并举，加快发展科技农业、休闲农业、外向农业、加工农业、智慧农业，着力建设高效生态、特色精品、安全放心的品质农业强市，基本实现农业现代化。</w:t>
      </w:r>
    </w:p>
    <w:p>
      <w:pPr>
        <w:pStyle w:val="Heading3"/>
        <w:spacing w:before="4"/>
      </w:pPr>
      <w:r>
        <w:rPr>
          <w:rFonts w:ascii="Times New Roman" w:eastAsia="Times New Roman"/>
        </w:rPr>
        <w:t>3</w:t>
      </w:r>
      <w:r>
        <w:rPr/>
        <w:t>、规划目标</w:t>
      </w:r>
    </w:p>
    <w:p>
      <w:pPr>
        <w:pStyle w:val="BodyText"/>
        <w:spacing w:line="364" w:lineRule="auto" w:before="161"/>
        <w:ind w:right="248" w:firstLine="480"/>
        <w:jc w:val="both"/>
      </w:pPr>
      <w:r>
        <w:rPr/>
        <w:t>到</w:t>
      </w:r>
      <w:r>
        <w:rPr>
          <w:rFonts w:ascii="Times New Roman" w:hAnsi="Times New Roman" w:eastAsia="Times New Roman"/>
          <w:position w:val="1"/>
        </w:rPr>
        <w:t>“</w:t>
      </w:r>
      <w:r>
        <w:rPr/>
        <w:t>十三五</w:t>
      </w:r>
      <w:r>
        <w:rPr>
          <w:rFonts w:ascii="Times New Roman" w:hAnsi="Times New Roman" w:eastAsia="Times New Roman"/>
          <w:position w:val="1"/>
        </w:rPr>
        <w:t>”</w:t>
      </w:r>
      <w:r>
        <w:rPr>
          <w:spacing w:val="-13"/>
        </w:rPr>
        <w:t>末，农业综合生产能力稳步提升，产业结构逐步优化，农业适度规模经营</w:t>
      </w:r>
      <w:r>
        <w:rPr/>
        <w:t>加快发展，物质技术装备条件更加先进，科技支撑更加有力，农产品质量明显提升，农业资源利用和生态环境保护水平不断提高，农民收入持续增加，为高水平全面建成小康社会、基本实现农业现代化打下坚实基础。</w:t>
      </w:r>
    </w:p>
    <w:p>
      <w:pPr>
        <w:pStyle w:val="Heading3"/>
        <w:spacing w:before="2"/>
      </w:pPr>
      <w:r>
        <w:rPr>
          <w:rFonts w:ascii="Times New Roman" w:eastAsia="Times New Roman"/>
        </w:rPr>
        <w:t>4</w:t>
      </w:r>
      <w:r>
        <w:rPr/>
        <w:t>、重点产业</w:t>
      </w:r>
    </w:p>
    <w:p>
      <w:pPr>
        <w:pStyle w:val="BodyText"/>
        <w:spacing w:line="364" w:lineRule="auto" w:before="161"/>
        <w:ind w:right="209" w:firstLine="480"/>
        <w:jc w:val="both"/>
      </w:pPr>
      <w:r>
        <w:rPr/>
        <w:t>畜牧产业。做精生猪、绍鸭、长毛兔等传统养殖产业，加快发展奶牛、湖羊等新兴养殖产业，巩固饲料及添加剂生产等优势产业，努力提升养殖的设施化、生态化，产品的特色化、精品化，队伍的专业化、装备化水平，基本实现畜牧业现代化。加强屠宰监管、疫病防控、疫病监测，建立家禽定点屠宰可追溯体系，努力实现主城区家禽定点屠宰产品市场占有率、病死病害家禽无害化处理率、活禽交易和不合格产品举报投诉查处</w:t>
      </w:r>
      <w:r>
        <w:rPr>
          <w:spacing w:val="-16"/>
        </w:rPr>
        <w:t>率三个 </w:t>
      </w:r>
      <w:r>
        <w:rPr>
          <w:rFonts w:ascii="Times New Roman" w:hAnsi="Times New Roman" w:eastAsia="Times New Roman"/>
          <w:position w:val="1"/>
        </w:rPr>
        <w:t>100%</w:t>
      </w:r>
      <w:r>
        <w:rPr>
          <w:spacing w:val="-1"/>
        </w:rPr>
        <w:t>。继续深化畜牧兽医体系改革，加快推进县级动物卫生监督派出机构建设， </w:t>
      </w:r>
      <w:r>
        <w:rPr>
          <w:spacing w:val="-2"/>
        </w:rPr>
        <w:t>进一步充实检疫申报点、畜禽屠宰场</w:t>
      </w:r>
      <w:r>
        <w:rPr/>
        <w:t>（厂</w:t>
      </w:r>
      <w:r>
        <w:rPr>
          <w:spacing w:val="-3"/>
        </w:rPr>
        <w:t>）、畜禽批发市场的官方兽医力量。推进</w:t>
      </w:r>
      <w:r>
        <w:rPr>
          <w:rFonts w:ascii="Times New Roman" w:hAnsi="Times New Roman" w:eastAsia="Times New Roman"/>
          <w:position w:val="1"/>
        </w:rPr>
        <w:t>“</w:t>
      </w:r>
      <w:r>
        <w:rPr/>
        <w:t>互联网</w:t>
      </w:r>
      <w:r>
        <w:rPr>
          <w:rFonts w:ascii="Times New Roman" w:hAnsi="Times New Roman" w:eastAsia="Times New Roman"/>
          <w:position w:val="1"/>
        </w:rPr>
        <w:t>+</w:t>
      </w:r>
      <w:r>
        <w:rPr/>
        <w:t>畜牧</w:t>
      </w:r>
      <w:r>
        <w:rPr>
          <w:rFonts w:ascii="Times New Roman" w:hAnsi="Times New Roman" w:eastAsia="Times New Roman"/>
          <w:position w:val="1"/>
        </w:rPr>
        <w:t>”</w:t>
      </w:r>
      <w:r>
        <w:rPr>
          <w:spacing w:val="-1"/>
        </w:rPr>
        <w:t>，建立畜牧业大数据，实现生产与市场信息共享、对接，年存栏 </w:t>
      </w:r>
      <w:r>
        <w:rPr>
          <w:rFonts w:ascii="Times New Roman" w:hAnsi="Times New Roman" w:eastAsia="Times New Roman"/>
          <w:position w:val="1"/>
        </w:rPr>
        <w:t>500 </w:t>
      </w:r>
      <w:r>
        <w:rPr/>
        <w:t>头以上规模养殖场基本实现视频监控全覆盖。扎实推进病死生猪无害化集中处理基础设施建设， 初步建立工厂化集中处理为主，碳化、焚烧、化制、生物处理等小型集中处理点为辅的</w:t>
      </w:r>
      <w:r>
        <w:rPr>
          <w:spacing w:val="-3"/>
        </w:rPr>
        <w:t>病害动物无害化集中处理网络。到 </w:t>
      </w:r>
      <w:r>
        <w:rPr>
          <w:rFonts w:ascii="Times New Roman" w:hAnsi="Times New Roman" w:eastAsia="Times New Roman"/>
          <w:position w:val="1"/>
        </w:rPr>
        <w:t>2020 </w:t>
      </w:r>
      <w:r>
        <w:rPr>
          <w:spacing w:val="-3"/>
        </w:rPr>
        <w:t>年，全市肉类总产量稳定在 </w:t>
      </w:r>
      <w:r>
        <w:rPr>
          <w:rFonts w:ascii="Times New Roman" w:hAnsi="Times New Roman" w:eastAsia="Times New Roman"/>
          <w:position w:val="1"/>
        </w:rPr>
        <w:t>15 </w:t>
      </w:r>
      <w:r>
        <w:rPr/>
        <w:t>万吨左右，畜产品自给率保持在 </w:t>
      </w:r>
      <w:r>
        <w:rPr>
          <w:rFonts w:ascii="Times New Roman" w:hAnsi="Times New Roman" w:eastAsia="Times New Roman"/>
          <w:position w:val="1"/>
        </w:rPr>
        <w:t>50%</w:t>
      </w:r>
      <w:r>
        <w:rPr/>
        <w:t>左右；基本建成覆盖饲养、屠宰、经营、运输等各环节的病害畜禽</w:t>
      </w:r>
    </w:p>
    <w:p>
      <w:pPr>
        <w:spacing w:after="0" w:line="364" w:lineRule="auto"/>
        <w:jc w:val="both"/>
        <w:sectPr>
          <w:pgSz w:w="11910" w:h="16840"/>
          <w:pgMar w:header="874" w:footer="1004" w:top="1400" w:bottom="1200" w:left="1040" w:right="1160"/>
        </w:sectPr>
      </w:pPr>
    </w:p>
    <w:p>
      <w:pPr>
        <w:pStyle w:val="BodyText"/>
        <w:spacing w:before="121"/>
      </w:pPr>
      <w:r>
        <w:rPr/>
        <w:t>无害化处理体系。</w:t>
      </w:r>
    </w:p>
    <w:p>
      <w:pPr>
        <w:pStyle w:val="BodyText"/>
        <w:spacing w:line="364" w:lineRule="auto" w:before="161"/>
        <w:ind w:right="132" w:firstLine="482"/>
      </w:pPr>
      <w:r>
        <w:rPr>
          <w:b/>
          <w:spacing w:val="-3"/>
        </w:rPr>
        <w:t>符合性分析：</w:t>
      </w:r>
      <w:r>
        <w:rPr>
          <w:spacing w:val="-8"/>
        </w:rPr>
        <w:t>本项目属于年存栏 </w:t>
      </w:r>
      <w:r>
        <w:rPr>
          <w:rFonts w:ascii="Times New Roman" w:hAnsi="Times New Roman" w:eastAsia="Times New Roman"/>
          <w:position w:val="1"/>
        </w:rPr>
        <w:t>500</w:t>
      </w:r>
      <w:r>
        <w:rPr>
          <w:rFonts w:ascii="Times New Roman" w:hAnsi="Times New Roman" w:eastAsia="Times New Roman"/>
          <w:spacing w:val="-1"/>
          <w:position w:val="1"/>
        </w:rPr>
        <w:t> </w:t>
      </w:r>
      <w:r>
        <w:rPr>
          <w:spacing w:val="-3"/>
        </w:rPr>
        <w:t>头以上的规模养殖场，应实行视频监控全覆盖。</w:t>
      </w:r>
      <w:r>
        <w:rPr/>
        <w:t>项目产生的废水经自建污水站处理达标后纳入市政污水管网，猪粪、污泥、饲料残渣、病死猪无害化处置产物等经发酵处理后外运生产有机肥。因此，项目的建设符合绍兴市 </w:t>
      </w:r>
      <w:r>
        <w:rPr>
          <w:rFonts w:ascii="Times New Roman" w:hAnsi="Times New Roman" w:eastAsia="Times New Roman"/>
          <w:position w:val="1"/>
        </w:rPr>
        <w:t>“</w:t>
      </w:r>
      <w:r>
        <w:rPr/>
        <w:t>十三五</w:t>
      </w:r>
      <w:r>
        <w:rPr>
          <w:rFonts w:ascii="Times New Roman" w:hAnsi="Times New Roman" w:eastAsia="Times New Roman"/>
          <w:position w:val="1"/>
        </w:rPr>
        <w:t>”</w:t>
      </w:r>
      <w:r>
        <w:rPr/>
        <w:t>品质农业发展规划要求。</w:t>
      </w:r>
    </w:p>
    <w:p>
      <w:pPr>
        <w:pStyle w:val="Heading3"/>
        <w:numPr>
          <w:ilvl w:val="2"/>
          <w:numId w:val="16"/>
        </w:numPr>
        <w:tabs>
          <w:tab w:pos="838" w:val="left" w:leader="none"/>
        </w:tabs>
        <w:spacing w:line="240" w:lineRule="auto" w:before="2" w:after="0"/>
        <w:ind w:left="837" w:right="0" w:hanging="601"/>
        <w:jc w:val="left"/>
      </w:pPr>
      <w:bookmarkStart w:name="_bookmark33" w:id="64"/>
      <w:bookmarkEnd w:id="64"/>
      <w:r>
        <w:rPr>
          <w:b w:val="0"/>
        </w:rPr>
      </w:r>
      <w:bookmarkStart w:name="_bookmark33" w:id="65"/>
      <w:bookmarkEnd w:id="65"/>
      <w:r>
        <w:rPr/>
        <w:t>柯桥区畜禽养殖禁养区划分与管理规定及符合性分析</w:t>
      </w:r>
    </w:p>
    <w:p>
      <w:pPr>
        <w:pStyle w:val="BodyText"/>
        <w:spacing w:line="364" w:lineRule="auto" w:before="161"/>
        <w:ind w:right="249" w:firstLine="480"/>
        <w:jc w:val="both"/>
      </w:pPr>
      <w:r>
        <w:rPr/>
        <w:t>为进一步优化畜禽养殖业布局和结构，切实抓好生态环境保护工作，根据相关法律法规要求，柯桥区重新对畜禽养殖禁养区进行了划定，特制定了《柯桥区畜禽养殖禁养区划分与管理规定》（绍市环柯桥</w:t>
      </w:r>
      <w:r>
        <w:rPr>
          <w:rFonts w:ascii="Times New Roman" w:eastAsia="Times New Roman"/>
          <w:position w:val="1"/>
        </w:rPr>
        <w:t>[2020]1 </w:t>
      </w:r>
      <w:r>
        <w:rPr/>
        <w:t>号），具体内容如下：</w:t>
      </w:r>
    </w:p>
    <w:p>
      <w:pPr>
        <w:pStyle w:val="Heading3"/>
        <w:spacing w:before="2"/>
      </w:pPr>
      <w:r>
        <w:rPr>
          <w:rFonts w:ascii="Times New Roman" w:eastAsia="Times New Roman"/>
        </w:rPr>
        <w:t>1</w:t>
      </w:r>
      <w:r>
        <w:rPr/>
        <w:t>、划分原则</w:t>
      </w:r>
    </w:p>
    <w:p>
      <w:pPr>
        <w:pStyle w:val="BodyText"/>
        <w:spacing w:line="364" w:lineRule="auto" w:before="160"/>
        <w:ind w:right="133" w:firstLine="480"/>
      </w:pPr>
      <w:r>
        <w:rPr/>
        <w:t>依法保护生态环境原则；生态环境保护与畜禽养殖业健康协调发展原则；维护群众</w:t>
      </w:r>
      <w:r>
        <w:rPr>
          <w:spacing w:val="-3"/>
        </w:rPr>
        <w:t>合法权益与改善生态环境质量相统一原则；畜禽养殖业发展现状与发展规划相结合原则； </w:t>
      </w:r>
      <w:r>
        <w:rPr/>
        <w:t>突出重点和可操作性原则。</w:t>
      </w:r>
    </w:p>
    <w:p>
      <w:pPr>
        <w:pStyle w:val="Heading3"/>
        <w:spacing w:before="2"/>
      </w:pPr>
      <w:r>
        <w:rPr>
          <w:rFonts w:ascii="Times New Roman" w:eastAsia="Times New Roman"/>
        </w:rPr>
        <w:t>2</w:t>
      </w:r>
      <w:r>
        <w:rPr/>
        <w:t>、划分依据</w:t>
      </w:r>
    </w:p>
    <w:p>
      <w:pPr>
        <w:pStyle w:val="BodyText"/>
        <w:spacing w:line="364" w:lineRule="auto" w:before="161"/>
        <w:ind w:right="248" w:firstLine="480"/>
        <w:jc w:val="both"/>
      </w:pPr>
      <w:r>
        <w:rPr/>
        <w:t>《中华人民共和国环境保护法》、《中华人民共和国畜牧法》、《中华人民共和国水污染防治法》、《动物防疫法》、《畜禽养殖污染防治管理办法》、《畜禽规模养殖污染防治条例》、《中华人民共和国自然保护区条例》、《中华人民共和国风景名胜区条例》、《浙江省饮用水水源保护条例》、《浙江省风景名胜区条例》、《浙江省水污染防治条例》、《浙江省鉴湖水域保护条例》、《浙江省曹娥江流域水环境保护条例》等法律法规要求。</w:t>
      </w:r>
    </w:p>
    <w:p>
      <w:pPr>
        <w:pStyle w:val="Heading3"/>
        <w:spacing w:before="4"/>
      </w:pPr>
      <w:r>
        <w:rPr>
          <w:rFonts w:ascii="Times New Roman" w:eastAsia="Times New Roman"/>
        </w:rPr>
        <w:t>3</w:t>
      </w:r>
      <w:r>
        <w:rPr/>
        <w:t>、禁养区范围</w:t>
      </w:r>
    </w:p>
    <w:p>
      <w:pPr>
        <w:pStyle w:val="ListParagraph"/>
        <w:numPr>
          <w:ilvl w:val="0"/>
          <w:numId w:val="23"/>
        </w:numPr>
        <w:tabs>
          <w:tab w:pos="1319" w:val="left" w:leader="none"/>
        </w:tabs>
        <w:spacing w:line="240" w:lineRule="auto" w:before="160" w:after="0"/>
        <w:ind w:left="1318" w:right="0" w:hanging="602"/>
        <w:jc w:val="left"/>
        <w:rPr>
          <w:sz w:val="24"/>
        </w:rPr>
      </w:pPr>
      <w:r>
        <w:rPr>
          <w:sz w:val="24"/>
        </w:rPr>
        <w:t>城镇建成区范围内禁止建设养殖场。</w:t>
      </w:r>
    </w:p>
    <w:p>
      <w:pPr>
        <w:pStyle w:val="ListParagraph"/>
        <w:numPr>
          <w:ilvl w:val="0"/>
          <w:numId w:val="23"/>
        </w:numPr>
        <w:tabs>
          <w:tab w:pos="1319" w:val="left" w:leader="none"/>
        </w:tabs>
        <w:spacing w:line="240" w:lineRule="auto" w:before="161" w:after="0"/>
        <w:ind w:left="1318" w:right="0" w:hanging="602"/>
        <w:jc w:val="left"/>
        <w:rPr>
          <w:sz w:val="24"/>
        </w:rPr>
      </w:pPr>
      <w:r>
        <w:rPr>
          <w:sz w:val="24"/>
        </w:rPr>
        <w:t>自然保护区核心区和缓冲区范围内，禁止建设养殖场。</w:t>
      </w:r>
    </w:p>
    <w:p>
      <w:pPr>
        <w:pStyle w:val="ListParagraph"/>
        <w:numPr>
          <w:ilvl w:val="0"/>
          <w:numId w:val="23"/>
        </w:numPr>
        <w:tabs>
          <w:tab w:pos="1319" w:val="left" w:leader="none"/>
        </w:tabs>
        <w:spacing w:line="240" w:lineRule="auto" w:before="161" w:after="0"/>
        <w:ind w:left="1318" w:right="0" w:hanging="602"/>
        <w:jc w:val="left"/>
        <w:rPr>
          <w:sz w:val="24"/>
        </w:rPr>
      </w:pPr>
      <w:r>
        <w:rPr>
          <w:sz w:val="24"/>
        </w:rPr>
        <w:t>风景名胜区核心景区禁建养殖场，其他区域禁建有污染物排放的养殖场。</w:t>
      </w:r>
    </w:p>
    <w:p>
      <w:pPr>
        <w:pStyle w:val="ListParagraph"/>
        <w:numPr>
          <w:ilvl w:val="0"/>
          <w:numId w:val="23"/>
        </w:numPr>
        <w:tabs>
          <w:tab w:pos="1319" w:val="left" w:leader="none"/>
        </w:tabs>
        <w:spacing w:line="364" w:lineRule="auto" w:before="160" w:after="0"/>
        <w:ind w:left="237" w:right="257" w:firstLine="480"/>
        <w:jc w:val="left"/>
        <w:rPr>
          <w:sz w:val="24"/>
        </w:rPr>
      </w:pPr>
      <w:r>
        <w:rPr>
          <w:spacing w:val="-4"/>
          <w:sz w:val="24"/>
        </w:rPr>
        <w:t>饮用水源保护区：饮水水源保护一级保护区内禁止建设养殖场。饮用水水源二</w:t>
      </w:r>
      <w:r>
        <w:rPr>
          <w:sz w:val="24"/>
        </w:rPr>
        <w:t>级保护区禁止建设有污染物排放的养殖场。</w:t>
      </w:r>
    </w:p>
    <w:p>
      <w:pPr>
        <w:pStyle w:val="ListParagraph"/>
        <w:numPr>
          <w:ilvl w:val="0"/>
          <w:numId w:val="23"/>
        </w:numPr>
        <w:tabs>
          <w:tab w:pos="1319" w:val="left" w:leader="none"/>
        </w:tabs>
        <w:spacing w:line="240" w:lineRule="auto" w:before="2" w:after="0"/>
        <w:ind w:left="1318" w:right="0" w:hanging="602"/>
        <w:jc w:val="left"/>
        <w:rPr>
          <w:sz w:val="24"/>
        </w:rPr>
      </w:pPr>
      <w:r>
        <w:rPr>
          <w:sz w:val="24"/>
        </w:rPr>
        <w:t>法律法规规定需要特殊保护的其他禁止养殖区域。</w:t>
      </w:r>
    </w:p>
    <w:p>
      <w:pPr>
        <w:pStyle w:val="Heading3"/>
        <w:spacing w:before="160"/>
      </w:pPr>
      <w:r>
        <w:rPr>
          <w:rFonts w:ascii="Times New Roman" w:eastAsia="Times New Roman"/>
        </w:rPr>
        <w:t>4</w:t>
      </w:r>
      <w:r>
        <w:rPr/>
        <w:t>、管理要求</w:t>
      </w:r>
    </w:p>
    <w:p>
      <w:pPr>
        <w:pStyle w:val="ListParagraph"/>
        <w:numPr>
          <w:ilvl w:val="0"/>
          <w:numId w:val="24"/>
        </w:numPr>
        <w:tabs>
          <w:tab w:pos="1319" w:val="left" w:leader="none"/>
        </w:tabs>
        <w:spacing w:line="240" w:lineRule="auto" w:before="160" w:after="0"/>
        <w:ind w:left="1318" w:right="0" w:hanging="602"/>
        <w:jc w:val="left"/>
        <w:rPr>
          <w:sz w:val="24"/>
        </w:rPr>
      </w:pPr>
      <w:r>
        <w:rPr>
          <w:sz w:val="24"/>
        </w:rPr>
        <w:t>严格执行畜禽养殖准入审批制度</w:t>
      </w:r>
    </w:p>
    <w:p>
      <w:pPr>
        <w:spacing w:after="0" w:line="240" w:lineRule="auto"/>
        <w:jc w:val="left"/>
        <w:rPr>
          <w:sz w:val="24"/>
        </w:rPr>
        <w:sectPr>
          <w:pgSz w:w="11910" w:h="16840"/>
          <w:pgMar w:header="874" w:footer="1004" w:top="1400" w:bottom="1200" w:left="1040" w:right="1160"/>
        </w:sectPr>
      </w:pPr>
    </w:p>
    <w:p>
      <w:pPr>
        <w:pStyle w:val="BodyText"/>
        <w:spacing w:line="364" w:lineRule="auto" w:before="121"/>
        <w:ind w:right="249" w:firstLine="480"/>
        <w:jc w:val="both"/>
      </w:pPr>
      <w:r>
        <w:rPr/>
        <w:t>新建、扩建畜禽养殖场选址必须符合城镇建设总体规划、土地利用总体规划、畜牧业发展规划、生态环境保护规划。按照相关规定办理用地和生态环境等审批手续。严格执行生态环境相关规定。</w:t>
      </w:r>
    </w:p>
    <w:p>
      <w:pPr>
        <w:pStyle w:val="ListParagraph"/>
        <w:numPr>
          <w:ilvl w:val="0"/>
          <w:numId w:val="24"/>
        </w:numPr>
        <w:tabs>
          <w:tab w:pos="1319" w:val="left" w:leader="none"/>
        </w:tabs>
        <w:spacing w:line="240" w:lineRule="auto" w:before="2" w:after="0"/>
        <w:ind w:left="1318" w:right="0" w:hanging="602"/>
        <w:jc w:val="left"/>
        <w:rPr>
          <w:sz w:val="24"/>
        </w:rPr>
      </w:pPr>
      <w:r>
        <w:rPr>
          <w:sz w:val="24"/>
        </w:rPr>
        <w:t>强化属地管理责任</w:t>
      </w:r>
    </w:p>
    <w:p>
      <w:pPr>
        <w:pStyle w:val="BodyText"/>
        <w:spacing w:line="364" w:lineRule="auto" w:before="160"/>
        <w:ind w:right="259" w:firstLine="480"/>
      </w:pPr>
      <w:r>
        <w:rPr/>
        <w:t>各镇（街道）应严格按照本规定，结合本辖区经济社会发展规划和畜禽养殖发展规划，抓好具体工作的落实。</w:t>
      </w:r>
    </w:p>
    <w:p>
      <w:pPr>
        <w:pStyle w:val="ListParagraph"/>
        <w:numPr>
          <w:ilvl w:val="0"/>
          <w:numId w:val="24"/>
        </w:numPr>
        <w:tabs>
          <w:tab w:pos="1319" w:val="left" w:leader="none"/>
        </w:tabs>
        <w:spacing w:line="240" w:lineRule="auto" w:before="2" w:after="0"/>
        <w:ind w:left="1318" w:right="0" w:hanging="602"/>
        <w:jc w:val="left"/>
        <w:rPr>
          <w:sz w:val="24"/>
        </w:rPr>
      </w:pPr>
      <w:r>
        <w:rPr>
          <w:sz w:val="24"/>
        </w:rPr>
        <w:t>形成工作合力</w:t>
      </w:r>
    </w:p>
    <w:p>
      <w:pPr>
        <w:pStyle w:val="BodyText"/>
        <w:spacing w:line="364" w:lineRule="auto" w:before="160"/>
        <w:ind w:right="249" w:firstLine="480"/>
        <w:jc w:val="both"/>
      </w:pPr>
      <w:r>
        <w:rPr/>
        <w:t>区发改局、财政局、农业农村局、自然资源和规划分局、行政审批局、生态环境分局等部门要各司其职，紧密配合，以法律法规为准绳，在严格执行新建、改建和扩建畜禽养殖项目审批程序的基础上深化</w:t>
      </w:r>
      <w:r>
        <w:rPr>
          <w:rFonts w:ascii="Times New Roman" w:hAnsi="Times New Roman" w:eastAsia="Times New Roman"/>
          <w:position w:val="1"/>
        </w:rPr>
        <w:t>“</w:t>
      </w:r>
      <w:r>
        <w:rPr/>
        <w:t>最多跑一次</w:t>
      </w:r>
      <w:r>
        <w:rPr>
          <w:rFonts w:ascii="Times New Roman" w:hAnsi="Times New Roman" w:eastAsia="Times New Roman"/>
          <w:position w:val="1"/>
        </w:rPr>
        <w:t>”</w:t>
      </w:r>
      <w:r>
        <w:rPr>
          <w:spacing w:val="-13"/>
        </w:rPr>
        <w:t>改革，优化养殖场审批流程，同时切实加</w:t>
      </w:r>
      <w:r>
        <w:rPr/>
        <w:t>强新建、已建畜禽养殖场污染治理的监督管理，确保全区畜禽养殖业科学健康发展。</w:t>
      </w:r>
    </w:p>
    <w:p>
      <w:pPr>
        <w:pStyle w:val="Heading3"/>
        <w:spacing w:before="3"/>
      </w:pPr>
      <w:r>
        <w:rPr>
          <w:rFonts w:ascii="Times New Roman" w:eastAsia="Times New Roman"/>
        </w:rPr>
        <w:t>5</w:t>
      </w:r>
      <w:r>
        <w:rPr/>
        <w:t>、具体禁养区范围</w:t>
      </w:r>
    </w:p>
    <w:p>
      <w:pPr>
        <w:pStyle w:val="ListParagraph"/>
        <w:numPr>
          <w:ilvl w:val="0"/>
          <w:numId w:val="25"/>
        </w:numPr>
        <w:tabs>
          <w:tab w:pos="1323" w:val="left" w:leader="none"/>
        </w:tabs>
        <w:spacing w:line="240" w:lineRule="auto" w:before="161" w:after="0"/>
        <w:ind w:left="1323" w:right="0" w:hanging="604"/>
        <w:jc w:val="left"/>
        <w:rPr>
          <w:b/>
          <w:sz w:val="24"/>
        </w:rPr>
      </w:pPr>
      <w:r>
        <w:rPr>
          <w:b/>
          <w:sz w:val="24"/>
        </w:rPr>
        <w:t>饮用水水源保护区（保护范围）畜禽禁养区（</w:t>
      </w:r>
      <w:r>
        <w:rPr>
          <w:b/>
          <w:spacing w:val="-19"/>
          <w:sz w:val="24"/>
        </w:rPr>
        <w:t>编号 </w:t>
      </w:r>
      <w:r>
        <w:rPr>
          <w:rFonts w:ascii="Times New Roman" w:eastAsia="Times New Roman"/>
          <w:b/>
          <w:sz w:val="24"/>
        </w:rPr>
        <w:t>jy01</w:t>
      </w:r>
      <w:r>
        <w:rPr>
          <w:b/>
          <w:sz w:val="24"/>
        </w:rPr>
        <w:t>）</w:t>
      </w:r>
    </w:p>
    <w:p>
      <w:pPr>
        <w:pStyle w:val="BodyText"/>
        <w:spacing w:line="364" w:lineRule="auto" w:before="160"/>
        <w:ind w:right="131" w:firstLine="480"/>
      </w:pPr>
      <w:r>
        <w:rPr>
          <w:spacing w:val="-6"/>
        </w:rPr>
        <w:t>汤浦水库饮用水源保护区：稽东镇、王坛镇和平水镇的祝家、合心、宋家店、王化、</w:t>
      </w:r>
      <w:r>
        <w:rPr>
          <w:spacing w:val="-27"/>
        </w:rPr>
        <w:t>小舜江、沈村、横路、黄壤坞、岔路口、中美岙等村，面积 </w:t>
      </w:r>
      <w:r>
        <w:rPr>
          <w:rFonts w:ascii="Times New Roman" w:eastAsia="Times New Roman"/>
          <w:position w:val="1"/>
        </w:rPr>
        <w:t>287.24 </w:t>
      </w:r>
      <w:r>
        <w:rPr/>
        <w:t>平方公里</w:t>
      </w:r>
      <w:r>
        <w:rPr>
          <w:spacing w:val="-164"/>
        </w:rPr>
        <w:t>。</w:t>
      </w:r>
      <w:r>
        <w:rPr/>
        <w:t>（</w:t>
      </w:r>
      <w:r>
        <w:rPr>
          <w:spacing w:val="-19"/>
        </w:rPr>
        <w:t>编号 </w:t>
      </w:r>
      <w:r>
        <w:rPr>
          <w:rFonts w:ascii="Times New Roman" w:eastAsia="Times New Roman"/>
          <w:spacing w:val="-3"/>
          <w:position w:val="1"/>
        </w:rPr>
        <w:t>jy01-01</w:t>
      </w:r>
      <w:r>
        <w:rPr>
          <w:spacing w:val="-3"/>
        </w:rPr>
        <w:t>）</w:t>
      </w:r>
    </w:p>
    <w:p>
      <w:pPr>
        <w:pStyle w:val="BodyText"/>
        <w:spacing w:before="2"/>
        <w:ind w:left="717"/>
      </w:pPr>
      <w:r>
        <w:rPr/>
        <w:t>平水江水库饮用水源保护区：水库集雨区（周边山脊线以内）以上游河流沿岸纵深</w:t>
      </w:r>
    </w:p>
    <w:p>
      <w:pPr>
        <w:pStyle w:val="BodyText"/>
        <w:spacing w:before="160"/>
      </w:pPr>
      <w:r>
        <w:rPr>
          <w:rFonts w:ascii="Times New Roman" w:eastAsia="Times New Roman"/>
          <w:position w:val="1"/>
        </w:rPr>
        <w:t>1000 </w:t>
      </w:r>
      <w:r>
        <w:rPr/>
        <w:t>米，面积 </w:t>
      </w:r>
      <w:r>
        <w:rPr>
          <w:rFonts w:ascii="Times New Roman" w:eastAsia="Times New Roman"/>
          <w:position w:val="1"/>
        </w:rPr>
        <w:t>73.49 </w:t>
      </w:r>
      <w:r>
        <w:rPr/>
        <w:t>平方公里。（编号 </w:t>
      </w:r>
      <w:r>
        <w:rPr>
          <w:rFonts w:ascii="Times New Roman" w:eastAsia="Times New Roman"/>
          <w:position w:val="1"/>
        </w:rPr>
        <w:t>jy01-02</w:t>
      </w:r>
      <w:r>
        <w:rPr/>
        <w:t>）。</w:t>
      </w:r>
    </w:p>
    <w:p>
      <w:pPr>
        <w:pStyle w:val="BodyText"/>
        <w:spacing w:line="364" w:lineRule="auto" w:before="161"/>
        <w:ind w:right="132" w:firstLine="480"/>
        <w:jc w:val="both"/>
      </w:pPr>
      <w:r>
        <w:rPr/>
        <w:t>饮水水源保护一级保护区内禁止建设养殖场。饮用水水源二级保护区禁止建设有污染物排放的养殖场（注：畜禽粪便、养殖废水、沼渣、沼液等经过无害化处理用作肥料</w:t>
      </w:r>
      <w:r>
        <w:rPr>
          <w:spacing w:val="-13"/>
        </w:rPr>
        <w:t>还田，符合法律法规要求及国家和地方相关标准不造成环境污染的，不属于排放污染物</w:t>
      </w:r>
      <w:r>
        <w:rPr>
          <w:spacing w:val="-89"/>
        </w:rPr>
        <w:t>）</w:t>
      </w:r>
      <w:r>
        <w:rPr>
          <w:spacing w:val="-17"/>
        </w:rPr>
        <w:t>。</w:t>
      </w:r>
    </w:p>
    <w:p>
      <w:pPr>
        <w:pStyle w:val="Heading3"/>
        <w:numPr>
          <w:ilvl w:val="0"/>
          <w:numId w:val="25"/>
        </w:numPr>
        <w:tabs>
          <w:tab w:pos="1323" w:val="left" w:leader="none"/>
        </w:tabs>
        <w:spacing w:line="240" w:lineRule="auto" w:before="2" w:after="0"/>
        <w:ind w:left="1323" w:right="0" w:hanging="604"/>
        <w:jc w:val="both"/>
      </w:pPr>
      <w:r>
        <w:rPr/>
        <w:t>自然保护区畜禽禁养区（</w:t>
      </w:r>
      <w:r>
        <w:rPr>
          <w:spacing w:val="-20"/>
        </w:rPr>
        <w:t>编号 </w:t>
      </w:r>
      <w:r>
        <w:rPr>
          <w:rFonts w:ascii="Times New Roman" w:eastAsia="Times New Roman"/>
        </w:rPr>
        <w:t>jy02</w:t>
      </w:r>
      <w:r>
        <w:rPr/>
        <w:t>）</w:t>
      </w:r>
    </w:p>
    <w:p>
      <w:pPr>
        <w:pStyle w:val="BodyText"/>
        <w:spacing w:line="364" w:lineRule="auto" w:before="160"/>
        <w:ind w:left="717" w:right="1159"/>
        <w:jc w:val="both"/>
      </w:pPr>
      <w:r>
        <w:rPr/>
        <w:t>杨汛桥芝塘湖鹭鸟保护区（区级），</w:t>
      </w:r>
      <w:r>
        <w:rPr>
          <w:spacing w:val="-20"/>
        </w:rPr>
        <w:t>面积 </w:t>
      </w:r>
      <w:r>
        <w:rPr>
          <w:rFonts w:ascii="Times New Roman" w:eastAsia="Times New Roman"/>
          <w:position w:val="1"/>
        </w:rPr>
        <w:t>2.41</w:t>
      </w:r>
      <w:r>
        <w:rPr>
          <w:rFonts w:ascii="Times New Roman" w:eastAsia="Times New Roman"/>
          <w:spacing w:val="2"/>
          <w:position w:val="1"/>
        </w:rPr>
        <w:t> </w:t>
      </w:r>
      <w:r>
        <w:rPr/>
        <w:t>平方公里。（</w:t>
      </w:r>
      <w:r>
        <w:rPr>
          <w:spacing w:val="-20"/>
        </w:rPr>
        <w:t>编号 </w:t>
      </w:r>
      <w:r>
        <w:rPr>
          <w:rFonts w:ascii="Times New Roman" w:eastAsia="Times New Roman"/>
          <w:spacing w:val="-3"/>
          <w:position w:val="1"/>
        </w:rPr>
        <w:t>jy02-01</w:t>
      </w:r>
      <w:r>
        <w:rPr>
          <w:spacing w:val="-3"/>
        </w:rPr>
        <w:t>） </w:t>
      </w:r>
      <w:r>
        <w:rPr/>
        <w:t>西路桂花林自然保护区（区级），</w:t>
      </w:r>
      <w:r>
        <w:rPr>
          <w:spacing w:val="-21"/>
        </w:rPr>
        <w:t>面积 </w:t>
      </w:r>
      <w:r>
        <w:rPr>
          <w:rFonts w:ascii="Times New Roman" w:eastAsia="Times New Roman"/>
          <w:position w:val="1"/>
        </w:rPr>
        <w:t>1 </w:t>
      </w:r>
      <w:r>
        <w:rPr/>
        <w:t>平方公里。（</w:t>
      </w:r>
      <w:r>
        <w:rPr>
          <w:spacing w:val="-20"/>
        </w:rPr>
        <w:t>编号 </w:t>
      </w:r>
      <w:r>
        <w:rPr>
          <w:rFonts w:ascii="Times New Roman" w:eastAsia="Times New Roman"/>
          <w:position w:val="1"/>
        </w:rPr>
        <w:t>jy02-02</w:t>
      </w:r>
      <w:r>
        <w:rPr/>
        <w:t>）</w:t>
      </w:r>
    </w:p>
    <w:p>
      <w:pPr>
        <w:pStyle w:val="BodyText"/>
        <w:spacing w:before="2"/>
        <w:ind w:left="717"/>
        <w:jc w:val="both"/>
      </w:pPr>
      <w:r>
        <w:rPr/>
        <w:t>稽东香榧林自然保护区（区级），</w:t>
      </w:r>
      <w:r>
        <w:rPr>
          <w:spacing w:val="-21"/>
        </w:rPr>
        <w:t>面积 </w:t>
      </w:r>
      <w:r>
        <w:rPr>
          <w:rFonts w:ascii="Times New Roman" w:eastAsia="Times New Roman"/>
          <w:position w:val="1"/>
        </w:rPr>
        <w:t>2 </w:t>
      </w:r>
      <w:r>
        <w:rPr/>
        <w:t>平方公里。（</w:t>
      </w:r>
      <w:r>
        <w:rPr>
          <w:spacing w:val="-20"/>
        </w:rPr>
        <w:t>编号 </w:t>
      </w:r>
      <w:r>
        <w:rPr>
          <w:rFonts w:ascii="Times New Roman" w:eastAsia="Times New Roman"/>
          <w:position w:val="1"/>
        </w:rPr>
        <w:t>jy02-03</w:t>
      </w:r>
      <w:r>
        <w:rPr/>
        <w:t>）</w:t>
      </w:r>
    </w:p>
    <w:p>
      <w:pPr>
        <w:pStyle w:val="BodyText"/>
        <w:spacing w:before="160"/>
        <w:ind w:left="717"/>
      </w:pPr>
      <w:r>
        <w:rPr/>
        <w:t>兰亭大庙坞鹭鸟自然保护区（区级），面积 </w:t>
      </w:r>
      <w:r>
        <w:rPr>
          <w:rFonts w:ascii="Times New Roman" w:eastAsia="Times New Roman"/>
          <w:position w:val="1"/>
        </w:rPr>
        <w:t>0.67 </w:t>
      </w:r>
      <w:r>
        <w:rPr/>
        <w:t>平方公里。（编号 </w:t>
      </w:r>
      <w:r>
        <w:rPr>
          <w:rFonts w:ascii="Times New Roman" w:eastAsia="Times New Roman"/>
          <w:position w:val="1"/>
        </w:rPr>
        <w:t>jy02-04</w:t>
      </w:r>
      <w:r>
        <w:rPr/>
        <w:t>）</w:t>
      </w:r>
    </w:p>
    <w:p>
      <w:pPr>
        <w:pStyle w:val="BodyText"/>
        <w:spacing w:line="364" w:lineRule="auto" w:before="161"/>
        <w:ind w:left="717" w:right="438"/>
      </w:pPr>
      <w:r>
        <w:rPr/>
        <w:t>王城白虎山古松群落自然保护区（区级），</w:t>
      </w:r>
      <w:r>
        <w:rPr>
          <w:spacing w:val="-20"/>
        </w:rPr>
        <w:t>面积 </w:t>
      </w:r>
      <w:r>
        <w:rPr>
          <w:rFonts w:ascii="Times New Roman" w:eastAsia="Times New Roman"/>
          <w:position w:val="1"/>
        </w:rPr>
        <w:t>0.03</w:t>
      </w:r>
      <w:r>
        <w:rPr>
          <w:rFonts w:ascii="Times New Roman" w:eastAsia="Times New Roman"/>
          <w:spacing w:val="3"/>
          <w:position w:val="1"/>
        </w:rPr>
        <w:t> </w:t>
      </w:r>
      <w:r>
        <w:rPr/>
        <w:t>平方公里。（</w:t>
      </w:r>
      <w:r>
        <w:rPr>
          <w:spacing w:val="-20"/>
        </w:rPr>
        <w:t>编号 </w:t>
      </w:r>
      <w:r>
        <w:rPr>
          <w:rFonts w:ascii="Times New Roman" w:eastAsia="Times New Roman"/>
          <w:spacing w:val="-3"/>
          <w:position w:val="1"/>
        </w:rPr>
        <w:t>jy02-05</w:t>
      </w:r>
      <w:r>
        <w:rPr>
          <w:spacing w:val="-3"/>
        </w:rPr>
        <w:t>） </w:t>
      </w:r>
      <w:r>
        <w:rPr/>
        <w:t>自然保护区核心区和缓冲区范围内，禁止建设养殖场。</w:t>
      </w:r>
    </w:p>
    <w:p>
      <w:pPr>
        <w:pStyle w:val="Heading3"/>
        <w:numPr>
          <w:ilvl w:val="0"/>
          <w:numId w:val="25"/>
        </w:numPr>
        <w:tabs>
          <w:tab w:pos="1323" w:val="left" w:leader="none"/>
        </w:tabs>
        <w:spacing w:line="240" w:lineRule="auto" w:before="1" w:after="0"/>
        <w:ind w:left="1323" w:right="0" w:hanging="604"/>
        <w:jc w:val="left"/>
      </w:pPr>
      <w:r>
        <w:rPr/>
        <w:t>风景名胜区畜禽禁养区（</w:t>
      </w:r>
      <w:r>
        <w:rPr>
          <w:spacing w:val="-21"/>
        </w:rPr>
        <w:t>编号 </w:t>
      </w:r>
      <w:r>
        <w:rPr>
          <w:rFonts w:ascii="Times New Roman" w:eastAsia="Times New Roman"/>
        </w:rPr>
        <w:t>jy03</w:t>
      </w:r>
      <w:r>
        <w:rPr/>
        <w:t>）</w:t>
      </w:r>
    </w:p>
    <w:p>
      <w:pPr>
        <w:pStyle w:val="BodyText"/>
        <w:spacing w:before="160"/>
        <w:ind w:left="717"/>
      </w:pPr>
      <w:r>
        <w:rPr/>
        <w:t>鉴湖风景名胜区：东起越城区东跨湖桥，西至柯桥区湖塘街道西跨湖桥，北近杭甬</w:t>
      </w:r>
    </w:p>
    <w:p>
      <w:pPr>
        <w:spacing w:after="0"/>
        <w:sectPr>
          <w:pgSz w:w="11910" w:h="16840"/>
          <w:pgMar w:header="874" w:footer="1004" w:top="1400" w:bottom="1200" w:left="1040" w:right="1160"/>
        </w:sectPr>
      </w:pPr>
    </w:p>
    <w:p>
      <w:pPr>
        <w:pStyle w:val="BodyText"/>
        <w:spacing w:before="121"/>
        <w:jc w:val="both"/>
      </w:pPr>
      <w:r>
        <w:rPr/>
        <w:t>铁路，南交南复线，面积 </w:t>
      </w:r>
      <w:r>
        <w:rPr>
          <w:rFonts w:ascii="Times New Roman" w:eastAsia="Times New Roman"/>
          <w:position w:val="1"/>
        </w:rPr>
        <w:t>24.63 </w:t>
      </w:r>
      <w:r>
        <w:rPr/>
        <w:t>平方公里。（编号 </w:t>
      </w:r>
      <w:r>
        <w:rPr>
          <w:rFonts w:ascii="Times New Roman" w:eastAsia="Times New Roman"/>
          <w:position w:val="1"/>
        </w:rPr>
        <w:t>jy03-01</w:t>
      </w:r>
      <w:r>
        <w:rPr/>
        <w:t>）</w:t>
      </w:r>
    </w:p>
    <w:p>
      <w:pPr>
        <w:pStyle w:val="BodyText"/>
        <w:spacing w:line="364" w:lineRule="auto" w:before="161"/>
        <w:ind w:right="249" w:firstLine="480"/>
        <w:jc w:val="both"/>
      </w:pPr>
      <w:r>
        <w:rPr/>
        <w:t>其中，风景名胜区的核心景区禁止建设养殖场；其他区域禁止建设有污染物排放的养殖场（注：畜禽粪便、养殖废水、沼渣、沼液等经过无害化处理用作肥料还田，符合法律法规要求以及国家和地方相关标准不造成环境污染的，不属于排放污染物）。</w:t>
      </w:r>
    </w:p>
    <w:p>
      <w:pPr>
        <w:pStyle w:val="ListParagraph"/>
        <w:numPr>
          <w:ilvl w:val="0"/>
          <w:numId w:val="25"/>
        </w:numPr>
        <w:tabs>
          <w:tab w:pos="1323" w:val="left" w:leader="none"/>
        </w:tabs>
        <w:spacing w:line="364" w:lineRule="auto" w:before="1" w:after="0"/>
        <w:ind w:left="717" w:right="252" w:firstLine="2"/>
        <w:jc w:val="both"/>
        <w:rPr>
          <w:sz w:val="24"/>
        </w:rPr>
      </w:pPr>
      <w:r>
        <w:rPr>
          <w:b/>
          <w:sz w:val="24"/>
        </w:rPr>
        <w:t>城镇居民区、文化教育科学研究区等人口集中区域畜禽禁养区（</w:t>
      </w:r>
      <w:r>
        <w:rPr>
          <w:b/>
          <w:spacing w:val="-20"/>
          <w:sz w:val="24"/>
        </w:rPr>
        <w:t>编号 </w:t>
      </w:r>
      <w:r>
        <w:rPr>
          <w:rFonts w:ascii="Times New Roman" w:eastAsia="Times New Roman"/>
          <w:b/>
          <w:sz w:val="24"/>
        </w:rPr>
        <w:t>jy04</w:t>
      </w:r>
      <w:r>
        <w:rPr>
          <w:b/>
          <w:sz w:val="24"/>
        </w:rPr>
        <w:t>） </w:t>
      </w:r>
      <w:r>
        <w:rPr>
          <w:spacing w:val="-4"/>
          <w:sz w:val="24"/>
        </w:rPr>
        <w:t>柯桥城区建成区范围为：东：镜水路</w:t>
      </w:r>
      <w:r>
        <w:rPr>
          <w:rFonts w:ascii="Times New Roman" w:eastAsia="Times New Roman"/>
          <w:position w:val="1"/>
          <w:sz w:val="24"/>
        </w:rPr>
        <w:t>-</w:t>
      </w:r>
      <w:r>
        <w:rPr>
          <w:spacing w:val="-7"/>
          <w:sz w:val="24"/>
        </w:rPr>
        <w:t>区界；南：高尔夫路</w:t>
      </w:r>
      <w:r>
        <w:rPr>
          <w:rFonts w:ascii="Times New Roman" w:eastAsia="Times New Roman"/>
          <w:position w:val="1"/>
          <w:sz w:val="24"/>
        </w:rPr>
        <w:t>-104</w:t>
      </w:r>
      <w:r>
        <w:rPr>
          <w:rFonts w:ascii="Times New Roman" w:eastAsia="Times New Roman"/>
          <w:spacing w:val="-1"/>
          <w:position w:val="1"/>
          <w:sz w:val="24"/>
        </w:rPr>
        <w:t> </w:t>
      </w:r>
      <w:r>
        <w:rPr>
          <w:sz w:val="24"/>
        </w:rPr>
        <w:t>国道南复线</w:t>
      </w:r>
      <w:r>
        <w:rPr>
          <w:rFonts w:ascii="Times New Roman" w:eastAsia="Times New Roman"/>
          <w:position w:val="1"/>
          <w:sz w:val="24"/>
        </w:rPr>
        <w:t>-</w:t>
      </w:r>
      <w:r>
        <w:rPr>
          <w:spacing w:val="-4"/>
          <w:sz w:val="24"/>
        </w:rPr>
        <w:t>柯南大道</w:t>
      </w:r>
    </w:p>
    <w:p>
      <w:pPr>
        <w:pStyle w:val="BodyText"/>
        <w:spacing w:line="364" w:lineRule="auto" w:before="2"/>
        <w:ind w:right="249"/>
        <w:jc w:val="both"/>
      </w:pPr>
      <w:r>
        <w:rPr>
          <w:rFonts w:ascii="Times New Roman" w:eastAsia="Times New Roman"/>
          <w:position w:val="1"/>
        </w:rPr>
        <w:t>-</w:t>
      </w:r>
      <w:r>
        <w:rPr/>
        <w:t>鉴湖；西：湖安线</w:t>
      </w:r>
      <w:r>
        <w:rPr>
          <w:rFonts w:ascii="Times New Roman" w:eastAsia="Times New Roman"/>
          <w:position w:val="1"/>
        </w:rPr>
        <w:t>-</w:t>
      </w:r>
      <w:r>
        <w:rPr/>
        <w:t>小佐路</w:t>
      </w:r>
      <w:r>
        <w:rPr>
          <w:rFonts w:ascii="Times New Roman" w:eastAsia="Times New Roman"/>
          <w:position w:val="1"/>
        </w:rPr>
        <w:t>-</w:t>
      </w:r>
      <w:r>
        <w:rPr/>
        <w:t>大坂湖直江</w:t>
      </w:r>
      <w:r>
        <w:rPr>
          <w:rFonts w:ascii="Times New Roman" w:eastAsia="Times New Roman"/>
          <w:position w:val="1"/>
        </w:rPr>
        <w:t>-</w:t>
      </w:r>
      <w:r>
        <w:rPr/>
        <w:t>越州大道</w:t>
      </w:r>
      <w:r>
        <w:rPr>
          <w:rFonts w:ascii="Times New Roman" w:eastAsia="Times New Roman"/>
          <w:position w:val="1"/>
        </w:rPr>
        <w:t>-</w:t>
      </w:r>
      <w:r>
        <w:rPr/>
        <w:t>金柯桥大道</w:t>
      </w:r>
      <w:r>
        <w:rPr>
          <w:rFonts w:ascii="Times New Roman" w:eastAsia="Times New Roman"/>
          <w:position w:val="1"/>
        </w:rPr>
        <w:t>-</w:t>
      </w:r>
      <w:r>
        <w:rPr/>
        <w:t>马路江；北至杭甬高速， 面积合计 </w:t>
      </w:r>
      <w:r>
        <w:rPr>
          <w:rFonts w:ascii="Times New Roman" w:eastAsia="Times New Roman"/>
          <w:position w:val="1"/>
        </w:rPr>
        <w:t>72 </w:t>
      </w:r>
      <w:r>
        <w:rPr/>
        <w:t>平方公里。（编号 </w:t>
      </w:r>
      <w:r>
        <w:rPr>
          <w:rFonts w:ascii="Times New Roman" w:eastAsia="Times New Roman"/>
          <w:position w:val="1"/>
        </w:rPr>
        <w:t>jy04-01</w:t>
      </w:r>
      <w:r>
        <w:rPr/>
        <w:t>）</w:t>
      </w:r>
    </w:p>
    <w:p>
      <w:pPr>
        <w:pStyle w:val="BodyText"/>
        <w:spacing w:line="364" w:lineRule="auto" w:before="1"/>
        <w:ind w:right="254" w:firstLine="480"/>
      </w:pPr>
      <w:r>
        <w:rPr/>
        <w:t>柯桥中心城区以外的各镇、街道居民区、文化教育科学研究区等人口集中区域，以最终报批规划为准。（编号 </w:t>
      </w:r>
      <w:r>
        <w:rPr>
          <w:rFonts w:ascii="Times New Roman" w:eastAsia="Times New Roman"/>
          <w:position w:val="1"/>
        </w:rPr>
        <w:t>jy04-02</w:t>
      </w:r>
      <w:r>
        <w:rPr/>
        <w:t>）</w:t>
      </w:r>
    </w:p>
    <w:p>
      <w:pPr>
        <w:pStyle w:val="Heading3"/>
        <w:numPr>
          <w:ilvl w:val="0"/>
          <w:numId w:val="25"/>
        </w:numPr>
        <w:tabs>
          <w:tab w:pos="1323" w:val="left" w:leader="none"/>
        </w:tabs>
        <w:spacing w:line="240" w:lineRule="auto" w:before="2" w:after="0"/>
        <w:ind w:left="1323" w:right="0" w:hanging="604"/>
        <w:jc w:val="left"/>
      </w:pPr>
      <w:r>
        <w:rPr/>
        <w:t>法律、法规规定的其他禁止养殖区域（</w:t>
      </w:r>
      <w:r>
        <w:rPr>
          <w:spacing w:val="-20"/>
        </w:rPr>
        <w:t>编号 </w:t>
      </w:r>
      <w:r>
        <w:rPr>
          <w:rFonts w:ascii="Times New Roman" w:eastAsia="Times New Roman"/>
        </w:rPr>
        <w:t>jy05</w:t>
      </w:r>
      <w:r>
        <w:rPr/>
        <w:t>）</w:t>
      </w:r>
    </w:p>
    <w:p>
      <w:pPr>
        <w:pStyle w:val="BodyText"/>
        <w:spacing w:line="364" w:lineRule="auto" w:before="160"/>
        <w:ind w:right="113" w:firstLine="480"/>
      </w:pPr>
      <w:r>
        <w:rPr/>
        <w:t>鉴湖水域保护区：《浙江省鉴湖水域保护条例》规定：鉴湖水域特别保护区范围为： 东起越城区东跨湖桥，西至柯桥区湖塘西跨湖桥之间的鉴湖主体水域，及其南侧一千米、北侧五百米内的水域，以及原西郭水厂取水口与原柯桥水厂取水口上游一千米、下游五百米内的水域。</w:t>
      </w:r>
    </w:p>
    <w:p>
      <w:pPr>
        <w:pStyle w:val="BodyText"/>
        <w:spacing w:line="364" w:lineRule="auto" w:before="3"/>
        <w:ind w:right="133" w:firstLine="480"/>
      </w:pPr>
      <w:r>
        <w:rPr/>
        <w:t>鉴湖水域一般保护区：南池江、坡塘江、娄宫江、漓渚江、秋湖江、项里江、型塘</w:t>
      </w:r>
      <w:r>
        <w:rPr>
          <w:spacing w:val="-7"/>
        </w:rPr>
        <w:t>江、夏履江、西小江等鉴湖上游水域；特别保护区北侧边界至萧甬铁路之间的下游水域； </w:t>
      </w:r>
      <w:r>
        <w:rPr/>
        <w:t>柯桥区人民政府所在地城镇建成区范围内属于鉴湖水系除特别保护区外的河道水域</w:t>
      </w:r>
      <w:r>
        <w:rPr>
          <w:spacing w:val="-144"/>
        </w:rPr>
        <w:t>。</w:t>
      </w:r>
      <w:r>
        <w:rPr/>
        <w:t>（编</w:t>
      </w:r>
      <w:r>
        <w:rPr>
          <w:spacing w:val="-30"/>
        </w:rPr>
        <w:t>号 </w:t>
      </w:r>
      <w:r>
        <w:rPr>
          <w:rFonts w:ascii="Times New Roman" w:eastAsia="Times New Roman"/>
          <w:position w:val="1"/>
        </w:rPr>
        <w:t>jy05-01</w:t>
      </w:r>
      <w:r>
        <w:rPr/>
        <w:t>）</w:t>
      </w:r>
    </w:p>
    <w:p>
      <w:pPr>
        <w:pStyle w:val="BodyText"/>
        <w:spacing w:line="364" w:lineRule="auto" w:before="2"/>
        <w:ind w:right="248" w:firstLine="480"/>
        <w:jc w:val="both"/>
      </w:pPr>
      <w:r>
        <w:rPr/>
        <w:t>曹娥江流域保护区：《浙江省曹娥江流域水环境保护条例》规定曹娥江流域水环境重点保护区为镜岭大桥以下的澄潭江及其堤岸每侧一般不少于五十米、嵊州市南津桥到曹娥江大闸的曹娥江干流及其堤岸每侧一般不少于一百米的区域。上述范围内属于柯桥区的区域。（编号 </w:t>
      </w:r>
      <w:r>
        <w:rPr>
          <w:rFonts w:ascii="Times New Roman" w:eastAsia="Times New Roman"/>
          <w:position w:val="1"/>
        </w:rPr>
        <w:t>jy05-02</w:t>
      </w:r>
      <w:r>
        <w:rPr/>
        <w:t>）</w:t>
      </w:r>
    </w:p>
    <w:p>
      <w:pPr>
        <w:pStyle w:val="BodyText"/>
        <w:spacing w:line="364" w:lineRule="auto" w:before="3"/>
        <w:ind w:right="254" w:firstLine="480"/>
      </w:pPr>
      <w:r>
        <w:rPr/>
        <w:t>禁养区内禁止建设畜禽养殖场、养殖小区。已建设各类养殖场要限期关停、搬迁， 实现粪污全量资源化不排放污染的养殖场、养殖小区除外。</w:t>
      </w:r>
    </w:p>
    <w:p>
      <w:pPr>
        <w:pStyle w:val="Heading3"/>
        <w:numPr>
          <w:ilvl w:val="0"/>
          <w:numId w:val="25"/>
        </w:numPr>
        <w:tabs>
          <w:tab w:pos="1323" w:val="left" w:leader="none"/>
        </w:tabs>
        <w:spacing w:line="240" w:lineRule="auto" w:before="2" w:after="0"/>
        <w:ind w:left="1323" w:right="0" w:hanging="604"/>
        <w:jc w:val="left"/>
      </w:pPr>
      <w:r>
        <w:rPr/>
        <w:t>其他说明</w:t>
      </w:r>
    </w:p>
    <w:p>
      <w:pPr>
        <w:pStyle w:val="ListParagraph"/>
        <w:numPr>
          <w:ilvl w:val="0"/>
          <w:numId w:val="26"/>
        </w:numPr>
        <w:tabs>
          <w:tab w:pos="1079" w:val="left" w:leader="none"/>
        </w:tabs>
        <w:spacing w:line="364" w:lineRule="auto" w:before="160" w:after="0"/>
        <w:ind w:left="237" w:right="251" w:firstLine="480"/>
        <w:jc w:val="both"/>
        <w:rPr>
          <w:sz w:val="24"/>
        </w:rPr>
      </w:pPr>
      <w:r>
        <w:rPr>
          <w:spacing w:val="-4"/>
          <w:sz w:val="24"/>
        </w:rPr>
        <w:t>部分饮用水水源保护区、自然保护区、风景名胜区及城镇居民区、文化教育科学</w:t>
      </w:r>
      <w:r>
        <w:rPr>
          <w:spacing w:val="-2"/>
          <w:sz w:val="24"/>
        </w:rPr>
        <w:t>研究区等人口集中区域的范围相互重叠，调整后柯桥区畜禽养殖禁养区面积为 </w:t>
      </w:r>
      <w:r>
        <w:rPr>
          <w:rFonts w:ascii="Times New Roman" w:eastAsia="Times New Roman"/>
          <w:position w:val="1"/>
          <w:sz w:val="24"/>
        </w:rPr>
        <w:t>455.73</w:t>
      </w:r>
      <w:r>
        <w:rPr>
          <w:rFonts w:ascii="Times New Roman" w:eastAsia="Times New Roman"/>
          <w:spacing w:val="17"/>
          <w:position w:val="1"/>
          <w:sz w:val="24"/>
        </w:rPr>
        <w:t> </w:t>
      </w:r>
      <w:r>
        <w:rPr>
          <w:spacing w:val="-17"/>
          <w:sz w:val="24"/>
        </w:rPr>
        <w:t>平</w:t>
      </w:r>
      <w:r>
        <w:rPr>
          <w:sz w:val="24"/>
        </w:rPr>
        <w:t>方公里（此面积不包括各集镇城镇居民区和文化教育科学研究区等人口集中区域）。</w:t>
      </w:r>
    </w:p>
    <w:p>
      <w:pPr>
        <w:spacing w:after="0" w:line="364" w:lineRule="auto"/>
        <w:jc w:val="both"/>
        <w:rPr>
          <w:sz w:val="24"/>
        </w:rPr>
        <w:sectPr>
          <w:pgSz w:w="11910" w:h="16840"/>
          <w:pgMar w:header="874" w:footer="1004" w:top="1400" w:bottom="1200" w:left="1040" w:right="1160"/>
        </w:sectPr>
      </w:pPr>
    </w:p>
    <w:p>
      <w:pPr>
        <w:pStyle w:val="ListParagraph"/>
        <w:numPr>
          <w:ilvl w:val="0"/>
          <w:numId w:val="26"/>
        </w:numPr>
        <w:tabs>
          <w:tab w:pos="1079" w:val="left" w:leader="none"/>
        </w:tabs>
        <w:spacing w:line="364" w:lineRule="auto" w:before="121" w:after="0"/>
        <w:ind w:left="237" w:right="253" w:firstLine="480"/>
        <w:jc w:val="left"/>
        <w:rPr>
          <w:sz w:val="24"/>
        </w:rPr>
      </w:pPr>
      <w:r>
        <w:rPr>
          <w:spacing w:val="-4"/>
          <w:sz w:val="24"/>
        </w:rPr>
        <w:t>如饮用水水源保护区、自然保护区、风景名胜区及城镇居民区、文化教育科学研</w:t>
      </w:r>
      <w:r>
        <w:rPr>
          <w:sz w:val="24"/>
        </w:rPr>
        <w:t>究区等人口集中区域的范围经法定程序调整后，畜禽养殖禁养区范围相应调整。</w:t>
      </w:r>
    </w:p>
    <w:p>
      <w:pPr>
        <w:pStyle w:val="ListParagraph"/>
        <w:numPr>
          <w:ilvl w:val="0"/>
          <w:numId w:val="26"/>
        </w:numPr>
        <w:tabs>
          <w:tab w:pos="1079" w:val="left" w:leader="none"/>
        </w:tabs>
        <w:spacing w:line="240" w:lineRule="auto" w:before="1" w:after="0"/>
        <w:ind w:left="1078" w:right="0" w:hanging="362"/>
        <w:jc w:val="left"/>
        <w:rPr>
          <w:sz w:val="24"/>
        </w:rPr>
      </w:pPr>
      <w:r>
        <w:rPr>
          <w:sz w:val="24"/>
        </w:rPr>
        <w:t>其他法律法规对畜禽养殖有禁养规定的，参照禁养区管理。</w:t>
      </w:r>
    </w:p>
    <w:p>
      <w:pPr>
        <w:pStyle w:val="BodyText"/>
        <w:spacing w:line="364" w:lineRule="auto" w:before="161"/>
        <w:ind w:right="136" w:firstLine="482"/>
      </w:pPr>
      <w:r>
        <w:rPr>
          <w:b/>
          <w:spacing w:val="1"/>
        </w:rPr>
        <w:t>符合性分析：</w:t>
      </w:r>
      <w:r>
        <w:rPr/>
        <w:t>本项目拟建址位于柯桥区柯岩街道丰项村，不属于人口集中区，不触</w:t>
      </w:r>
      <w:r>
        <w:rPr>
          <w:spacing w:val="-4"/>
        </w:rPr>
        <w:t>及禁养区。本项目为畜禽养殖场新建项目，目前已完成设施农用地备案</w:t>
      </w:r>
      <w:r>
        <w:rPr/>
        <w:t>（详见附件五</w:t>
      </w:r>
      <w:r>
        <w:rPr>
          <w:spacing w:val="-12"/>
        </w:rPr>
        <w:t>）， </w:t>
      </w:r>
      <w:r>
        <w:rPr>
          <w:spacing w:val="-8"/>
        </w:rPr>
        <w:t>符合城镇总体规划和土地利用规划。项目符合绍兴市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生态环境分区管控方案要</w:t>
      </w:r>
      <w:r>
        <w:rPr>
          <w:spacing w:val="-8"/>
        </w:rPr>
        <w:t>求</w:t>
      </w:r>
      <w:r>
        <w:rPr/>
        <w:t>（</w:t>
      </w:r>
      <w:r>
        <w:rPr>
          <w:spacing w:val="-16"/>
        </w:rPr>
        <w:t>详见第 </w:t>
      </w:r>
      <w:r>
        <w:rPr>
          <w:rFonts w:ascii="Times New Roman" w:hAnsi="Times New Roman" w:eastAsia="Times New Roman"/>
          <w:position w:val="1"/>
        </w:rPr>
        <w:t>2.5.5 </w:t>
      </w:r>
      <w:r>
        <w:rPr/>
        <w:t>章</w:t>
      </w:r>
      <w:r>
        <w:rPr>
          <w:spacing w:val="-5"/>
        </w:rPr>
        <w:t>）</w:t>
      </w:r>
      <w:r>
        <w:rPr>
          <w:spacing w:val="-4"/>
        </w:rPr>
        <w:t>。本环评要求企业严格落实各项污染防治措施，实现污染物达标排放。因此，项目符合柯桥区畜禽养殖禁养区划分与管理规定要求。</w:t>
      </w:r>
    </w:p>
    <w:p>
      <w:pPr>
        <w:pStyle w:val="Heading3"/>
        <w:numPr>
          <w:ilvl w:val="2"/>
          <w:numId w:val="16"/>
        </w:numPr>
        <w:tabs>
          <w:tab w:pos="838" w:val="left" w:leader="none"/>
        </w:tabs>
        <w:spacing w:line="240" w:lineRule="auto" w:before="3" w:after="0"/>
        <w:ind w:left="837" w:right="0" w:hanging="601"/>
        <w:jc w:val="left"/>
      </w:pPr>
      <w:bookmarkStart w:name="_bookmark34" w:id="66"/>
      <w:bookmarkEnd w:id="66"/>
      <w:r>
        <w:rPr>
          <w:b w:val="0"/>
        </w:rPr>
      </w:r>
      <w:bookmarkStart w:name="_bookmark34" w:id="67"/>
      <w:bookmarkEnd w:id="67"/>
      <w:r>
        <w:rPr/>
        <w:t>浙江省畜禽养殖污染防治规划</w:t>
      </w:r>
    </w:p>
    <w:p>
      <w:pPr>
        <w:pStyle w:val="BodyText"/>
        <w:spacing w:line="364" w:lineRule="auto" w:before="161"/>
        <w:ind w:right="253" w:firstLine="480"/>
      </w:pPr>
      <w:r>
        <w:rPr/>
        <w:t>浙江省畜禽养殖污染防治规划由省环保厅、省农业厅牵头编制本规划，是</w:t>
      </w:r>
      <w:r>
        <w:rPr>
          <w:rFonts w:ascii="Times New Roman" w:hAnsi="Times New Roman" w:eastAsia="Times New Roman"/>
          <w:position w:val="1"/>
        </w:rPr>
        <w:t>“</w:t>
      </w:r>
      <w:r>
        <w:rPr/>
        <w:t>十三五</w:t>
      </w:r>
      <w:r>
        <w:rPr>
          <w:rFonts w:ascii="Times New Roman" w:hAnsi="Times New Roman" w:eastAsia="Times New Roman"/>
          <w:position w:val="1"/>
        </w:rPr>
        <w:t>” </w:t>
      </w:r>
      <w:r>
        <w:rPr/>
        <w:t>时期全省畜禽养殖污染防治工作的指导性文件。</w:t>
      </w:r>
    </w:p>
    <w:p>
      <w:pPr>
        <w:pStyle w:val="Heading3"/>
        <w:spacing w:before="1"/>
      </w:pPr>
      <w:r>
        <w:rPr>
          <w:rFonts w:ascii="Times New Roman" w:eastAsia="Times New Roman"/>
        </w:rPr>
        <w:t>1</w:t>
      </w:r>
      <w:r>
        <w:rPr/>
        <w:t>、规划时限和范围</w:t>
      </w:r>
    </w:p>
    <w:p>
      <w:pPr>
        <w:pStyle w:val="BodyText"/>
        <w:spacing w:line="364" w:lineRule="auto" w:before="161"/>
        <w:ind w:right="250" w:firstLine="480"/>
      </w:pPr>
      <w:r>
        <w:rPr>
          <w:spacing w:val="-9"/>
        </w:rPr>
        <w:t>规划基准年为 </w:t>
      </w:r>
      <w:r>
        <w:rPr>
          <w:rFonts w:ascii="Times New Roman" w:eastAsia="Times New Roman"/>
          <w:position w:val="1"/>
        </w:rPr>
        <w:t>2015 </w:t>
      </w:r>
      <w:r>
        <w:rPr>
          <w:spacing w:val="-7"/>
        </w:rPr>
        <w:t>年，规划时限为 </w:t>
      </w:r>
      <w:r>
        <w:rPr>
          <w:rFonts w:ascii="Times New Roman" w:eastAsia="Times New Roman"/>
          <w:position w:val="1"/>
        </w:rPr>
        <w:t>2016-2020 </w:t>
      </w:r>
      <w:r>
        <w:rPr>
          <w:spacing w:val="-1"/>
        </w:rPr>
        <w:t>年。规划范围为浙江省省域，规划对</w:t>
      </w:r>
      <w:r>
        <w:rPr/>
        <w:t>象包括辖区范围内的规模化畜禽养殖场（养殖小区）和其它养殖户。</w:t>
      </w:r>
    </w:p>
    <w:p>
      <w:pPr>
        <w:pStyle w:val="Heading3"/>
        <w:spacing w:before="1"/>
      </w:pPr>
      <w:r>
        <w:rPr>
          <w:rFonts w:ascii="Times New Roman" w:eastAsia="Times New Roman"/>
        </w:rPr>
        <w:t>2</w:t>
      </w:r>
      <w:r>
        <w:rPr/>
        <w:t>、规划目标</w:t>
      </w:r>
    </w:p>
    <w:p>
      <w:pPr>
        <w:pStyle w:val="BodyText"/>
        <w:spacing w:before="161"/>
        <w:ind w:left="717"/>
        <w:rPr>
          <w:rFonts w:ascii="Times New Roman" w:eastAsia="Times New Roman"/>
        </w:rPr>
      </w:pPr>
      <w:r>
        <w:rPr>
          <w:spacing w:val="-31"/>
        </w:rPr>
        <w:t>到 </w:t>
      </w:r>
      <w:r>
        <w:rPr>
          <w:rFonts w:ascii="Times New Roman" w:eastAsia="Times New Roman"/>
          <w:position w:val="1"/>
        </w:rPr>
        <w:t>2017 </w:t>
      </w:r>
      <w:r>
        <w:rPr>
          <w:spacing w:val="-22"/>
        </w:rPr>
        <w:t>年，进一步提升畜禽养殖污染治理的标准化、生态化水平，对年出栏生猪 </w:t>
      </w:r>
      <w:r>
        <w:rPr>
          <w:rFonts w:ascii="Times New Roman" w:eastAsia="Times New Roman"/>
          <w:position w:val="1"/>
        </w:rPr>
        <w:t>1000</w:t>
      </w:r>
    </w:p>
    <w:p>
      <w:pPr>
        <w:pStyle w:val="BodyText"/>
        <w:spacing w:line="364" w:lineRule="auto" w:before="160"/>
        <w:ind w:right="82"/>
      </w:pPr>
      <w:r>
        <w:rPr/>
        <w:t>头以上的规模场进行标准化改造，保留的近 </w:t>
      </w:r>
      <w:r>
        <w:rPr>
          <w:rFonts w:ascii="Times New Roman" w:eastAsia="Times New Roman"/>
          <w:position w:val="1"/>
        </w:rPr>
        <w:t>1 </w:t>
      </w:r>
      <w:r>
        <w:rPr/>
        <w:t>万家生猪规模养殖场进行设施修复与资源化利用再提升。各地制定并实施农牧对接规划和实施方案，建立健全农牧对接长效机制。</w:t>
      </w:r>
    </w:p>
    <w:p>
      <w:pPr>
        <w:pStyle w:val="BodyText"/>
        <w:spacing w:line="364" w:lineRule="auto" w:before="1"/>
        <w:ind w:right="257" w:firstLine="480"/>
      </w:pPr>
      <w:r>
        <w:rPr>
          <w:spacing w:val="-31"/>
        </w:rPr>
        <w:t>到 </w:t>
      </w:r>
      <w:r>
        <w:rPr>
          <w:rFonts w:ascii="Times New Roman" w:eastAsia="Times New Roman"/>
          <w:position w:val="1"/>
        </w:rPr>
        <w:t>2020 </w:t>
      </w:r>
      <w:r>
        <w:rPr>
          <w:spacing w:val="-6"/>
        </w:rPr>
        <w:t>年，基本建立生态消纳为主、工业治理为辅的畜禽养殖污染防治体系，降低</w:t>
      </w:r>
      <w:r>
        <w:rPr/>
        <w:t>危害群众健康和环境质量的畜禽养殖污染风险。</w:t>
      </w:r>
    </w:p>
    <w:p>
      <w:pPr>
        <w:pStyle w:val="BodyText"/>
        <w:spacing w:line="364" w:lineRule="auto" w:before="2"/>
        <w:ind w:right="252" w:firstLine="480"/>
      </w:pPr>
      <w:r>
        <w:rPr>
          <w:rFonts w:ascii="Times New Roman" w:hAnsi="Times New Roman" w:eastAsia="Times New Roman"/>
          <w:position w:val="1"/>
        </w:rPr>
        <w:t>——</w:t>
      </w:r>
      <w:r>
        <w:rPr/>
        <w:t>全省畜牧业布局合理、结构优化、产业层次提升。同时，化学需氧量、氨氮减排工作完成国家下达的任务。</w:t>
      </w:r>
    </w:p>
    <w:p>
      <w:pPr>
        <w:pStyle w:val="BodyText"/>
        <w:spacing w:line="364" w:lineRule="auto" w:before="1"/>
        <w:ind w:right="252" w:firstLine="480"/>
        <w:jc w:val="both"/>
      </w:pPr>
      <w:r>
        <w:rPr>
          <w:rFonts w:ascii="Times New Roman" w:hAnsi="Times New Roman" w:eastAsia="Times New Roman"/>
          <w:position w:val="1"/>
        </w:rPr>
        <w:t>——</w:t>
      </w:r>
      <w:r>
        <w:rPr/>
        <w:t>规模畜禽养殖场（小区）配套建设废弃物处理设施比例达 </w:t>
      </w:r>
      <w:r>
        <w:rPr>
          <w:rFonts w:ascii="Times New Roman" w:hAnsi="Times New Roman" w:eastAsia="Times New Roman"/>
          <w:position w:val="1"/>
        </w:rPr>
        <w:t>80%</w:t>
      </w:r>
      <w:r>
        <w:rPr>
          <w:spacing w:val="-3"/>
        </w:rPr>
        <w:t>以上，废弃物综</w:t>
      </w:r>
      <w:r>
        <w:rPr>
          <w:spacing w:val="-6"/>
        </w:rPr>
        <w:t>合利用及处置比例达到 </w:t>
      </w:r>
      <w:r>
        <w:rPr>
          <w:rFonts w:ascii="Times New Roman" w:hAnsi="Times New Roman" w:eastAsia="Times New Roman"/>
          <w:spacing w:val="-9"/>
          <w:position w:val="1"/>
        </w:rPr>
        <w:t>95%</w:t>
      </w:r>
      <w:r>
        <w:rPr>
          <w:spacing w:val="-7"/>
        </w:rPr>
        <w:t>，规模化畜禽养殖场整治达标率达到 </w:t>
      </w:r>
      <w:r>
        <w:rPr>
          <w:rFonts w:ascii="Times New Roman" w:hAnsi="Times New Roman" w:eastAsia="Times New Roman"/>
          <w:position w:val="1"/>
        </w:rPr>
        <w:t>100%</w:t>
      </w:r>
      <w:r>
        <w:rPr>
          <w:spacing w:val="-8"/>
        </w:rPr>
        <w:t>。提高畜禽粪便养</w:t>
      </w:r>
      <w:r>
        <w:rPr>
          <w:spacing w:val="-3"/>
        </w:rPr>
        <w:t>分还田比例，全省耕地土壤有机质含量平均提高 </w:t>
      </w:r>
      <w:r>
        <w:rPr>
          <w:rFonts w:ascii="Times New Roman" w:hAnsi="Times New Roman" w:eastAsia="Times New Roman"/>
          <w:position w:val="1"/>
        </w:rPr>
        <w:t>0.2 </w:t>
      </w:r>
      <w:r>
        <w:rPr/>
        <w:t>个百分点。</w:t>
      </w:r>
    </w:p>
    <w:p>
      <w:pPr>
        <w:pStyle w:val="BodyText"/>
        <w:spacing w:line="364" w:lineRule="auto" w:before="2"/>
        <w:ind w:right="252" w:firstLine="480"/>
        <w:jc w:val="both"/>
      </w:pPr>
      <w:r>
        <w:rPr>
          <w:rFonts w:ascii="Times New Roman" w:hAnsi="Times New Roman" w:eastAsia="Times New Roman"/>
          <w:position w:val="1"/>
        </w:rPr>
        <w:t>——</w:t>
      </w:r>
      <w:r>
        <w:rPr/>
        <w:t>畜牧业生态化水平进一步提升，实现农牧融合发展、畜禽排泄物资源化利用， 形成</w:t>
      </w:r>
      <w:r>
        <w:rPr>
          <w:rFonts w:ascii="Times New Roman" w:hAnsi="Times New Roman" w:eastAsia="Times New Roman"/>
          <w:position w:val="1"/>
        </w:rPr>
        <w:t>“</w:t>
      </w:r>
      <w:r>
        <w:rPr/>
        <w:t>主体小循环、园区中循环、县域大循环</w:t>
      </w:r>
      <w:r>
        <w:rPr>
          <w:rFonts w:ascii="Times New Roman" w:hAnsi="Times New Roman" w:eastAsia="Times New Roman"/>
          <w:position w:val="1"/>
        </w:rPr>
        <w:t>”</w:t>
      </w:r>
      <w:r>
        <w:rPr>
          <w:spacing w:val="-5"/>
        </w:rPr>
        <w:t>的格局，创建美丽生态牧场 </w:t>
      </w:r>
      <w:r>
        <w:rPr>
          <w:rFonts w:ascii="Times New Roman" w:hAnsi="Times New Roman" w:eastAsia="Times New Roman"/>
          <w:position w:val="1"/>
        </w:rPr>
        <w:t>1000 </w:t>
      </w:r>
      <w:r>
        <w:rPr>
          <w:spacing w:val="-4"/>
        </w:rPr>
        <w:t>个，畜牧</w:t>
      </w:r>
    </w:p>
    <w:p>
      <w:pPr>
        <w:pStyle w:val="BodyText"/>
        <w:spacing w:before="1"/>
        <w:jc w:val="both"/>
      </w:pPr>
      <w:r>
        <w:rPr/>
        <w:t>业绿色发展示范县 </w:t>
      </w:r>
      <w:r>
        <w:rPr>
          <w:rFonts w:ascii="Times New Roman" w:eastAsia="Times New Roman"/>
          <w:position w:val="1"/>
        </w:rPr>
        <w:t>20 </w:t>
      </w:r>
      <w:r>
        <w:rPr/>
        <w:t>个。</w:t>
      </w:r>
    </w:p>
    <w:p>
      <w:pPr>
        <w:pStyle w:val="Heading3"/>
      </w:pPr>
      <w:r>
        <w:rPr>
          <w:rFonts w:ascii="Times New Roman" w:eastAsia="Times New Roman"/>
        </w:rPr>
        <w:t>3</w:t>
      </w:r>
      <w:r>
        <w:rPr/>
        <w:t>、主要任务</w:t>
      </w:r>
    </w:p>
    <w:p>
      <w:pPr>
        <w:spacing w:after="0"/>
        <w:sectPr>
          <w:pgSz w:w="11910" w:h="16840"/>
          <w:pgMar w:header="874" w:footer="1004" w:top="1400" w:bottom="1200" w:left="1040" w:right="1160"/>
        </w:sectPr>
      </w:pPr>
    </w:p>
    <w:p>
      <w:pPr>
        <w:pStyle w:val="ListParagraph"/>
        <w:numPr>
          <w:ilvl w:val="0"/>
          <w:numId w:val="27"/>
        </w:numPr>
        <w:tabs>
          <w:tab w:pos="1319" w:val="left" w:leader="none"/>
        </w:tabs>
        <w:spacing w:line="240" w:lineRule="auto" w:before="121" w:after="0"/>
        <w:ind w:left="1318" w:right="0" w:hanging="602"/>
        <w:jc w:val="left"/>
        <w:rPr>
          <w:sz w:val="24"/>
        </w:rPr>
      </w:pPr>
      <w:r>
        <w:rPr>
          <w:sz w:val="24"/>
        </w:rPr>
        <w:t>坚持源头治理，推进畜牧业转型升级</w:t>
      </w:r>
    </w:p>
    <w:p>
      <w:pPr>
        <w:pStyle w:val="BodyText"/>
        <w:spacing w:line="364" w:lineRule="auto" w:before="161"/>
        <w:ind w:right="249" w:firstLine="480"/>
        <w:jc w:val="both"/>
      </w:pPr>
      <w:r>
        <w:rPr/>
        <w:t>完善农牧对接顶层设计、推进农牧深度融合。以绿色示范创建为载体推进废弃物的</w:t>
      </w:r>
      <w:r>
        <w:rPr>
          <w:spacing w:val="-4"/>
        </w:rPr>
        <w:t>资源化利用结合耕地质量保护与提升行动及《浙江省</w:t>
      </w:r>
      <w:r>
        <w:rPr>
          <w:rFonts w:ascii="Times New Roman" w:hAnsi="Times New Roman" w:eastAsia="Times New Roman"/>
          <w:position w:val="1"/>
        </w:rPr>
        <w:t>“</w:t>
      </w:r>
      <w:r>
        <w:rPr/>
        <w:t>十三五</w:t>
      </w:r>
      <w:r>
        <w:rPr>
          <w:rFonts w:ascii="Times New Roman" w:hAnsi="Times New Roman" w:eastAsia="Times New Roman"/>
          <w:position w:val="1"/>
        </w:rPr>
        <w:t>”</w:t>
      </w:r>
      <w:r>
        <w:rPr>
          <w:spacing w:val="-9"/>
        </w:rPr>
        <w:t>畜牧业发展规划》的有关要</w:t>
      </w:r>
      <w:r>
        <w:rPr/>
        <w:t>求，通过花园式美丽生态牧场创建、标准化养殖示范牧场创建、绿色发展示范县创建等工作手段，加大有机肥生产和使用扶持政策，引导农户使用以畜禽粪便为原料的商品有机肥或规模化积造的农家肥，建立粪肥还田利用的通道，推进有机肥、农家肥补贴政策和耕地有机质提升奖励政策。提倡多元发展，优化畜牧业产业结构。</w:t>
      </w:r>
    </w:p>
    <w:p>
      <w:pPr>
        <w:pStyle w:val="ListParagraph"/>
        <w:numPr>
          <w:ilvl w:val="0"/>
          <w:numId w:val="27"/>
        </w:numPr>
        <w:tabs>
          <w:tab w:pos="1319" w:val="left" w:leader="none"/>
        </w:tabs>
        <w:spacing w:line="240" w:lineRule="auto" w:before="3" w:after="0"/>
        <w:ind w:left="1318" w:right="0" w:hanging="602"/>
        <w:jc w:val="left"/>
        <w:rPr>
          <w:sz w:val="24"/>
        </w:rPr>
      </w:pPr>
      <w:r>
        <w:rPr>
          <w:sz w:val="24"/>
        </w:rPr>
        <w:t>坚持分区分类管理，实现畜牧业合理布局</w:t>
      </w:r>
    </w:p>
    <w:p>
      <w:pPr>
        <w:pStyle w:val="BodyText"/>
        <w:spacing w:line="364" w:lineRule="auto" w:before="161"/>
        <w:ind w:right="248" w:firstLine="480"/>
        <w:jc w:val="both"/>
      </w:pPr>
      <w:r>
        <w:rPr/>
        <w:t>实行畜禽养殖禁限养区域严控，认真落实禁养区各项管理规定，依法关闭和搬迁禁养区内的违规畜禽养殖场（小区）和养殖专业户。实行畜禽养殖污染生态化治理和工业化治理分类管控，按照《关于深化推进畜牧业转型升级科学落实生态化治理要求的指导性意见》精神，实施生态化或工业化治理。严格规模化畜禽养殖场环境准入退出，各县</w:t>
      </w:r>
    </w:p>
    <w:p>
      <w:pPr>
        <w:pStyle w:val="BodyText"/>
        <w:spacing w:line="364" w:lineRule="auto" w:before="3"/>
        <w:ind w:right="249"/>
        <w:jc w:val="both"/>
      </w:pPr>
      <w:r>
        <w:rPr/>
        <w:t>（市、区）畜牧业发展规划应当统筹考虑环境承载能力（特别是可用于消纳的土地量） 以及畜禽养殖污染防治要求，并依法开展畜牧业发展规划的环境影响评价，确保畜禽养殖产业发展符合区域环境功能定位和环境保护要求。</w:t>
      </w:r>
    </w:p>
    <w:p>
      <w:pPr>
        <w:pStyle w:val="ListParagraph"/>
        <w:numPr>
          <w:ilvl w:val="0"/>
          <w:numId w:val="27"/>
        </w:numPr>
        <w:tabs>
          <w:tab w:pos="1319" w:val="left" w:leader="none"/>
        </w:tabs>
        <w:spacing w:line="240" w:lineRule="auto" w:before="2" w:after="0"/>
        <w:ind w:left="1318" w:right="0" w:hanging="602"/>
        <w:jc w:val="left"/>
        <w:rPr>
          <w:sz w:val="24"/>
        </w:rPr>
      </w:pPr>
      <w:r>
        <w:rPr>
          <w:sz w:val="24"/>
        </w:rPr>
        <w:t>坚持落实主体责任，抓好畜禽养殖污染治理</w:t>
      </w:r>
    </w:p>
    <w:p>
      <w:pPr>
        <w:pStyle w:val="BodyText"/>
        <w:spacing w:line="364" w:lineRule="auto" w:before="160"/>
        <w:ind w:right="249" w:firstLine="480"/>
        <w:jc w:val="both"/>
      </w:pPr>
      <w:r>
        <w:rPr/>
        <w:t>严格落实畜禽养殖废弃物治理的主体责任。发挥典型示范带动作用，逐步规范治污设施，在全省树立一批畜禽养殖污染整治做得好的地区标杆和养殖场标杆，总结、推广好的防治经验和治理模式，通过现场会、媒体宣传等各种形式，加强各地区、各养殖场间的交流和学习，推动以点带面，形成示范效应，逐步规范畜禽养殖治污设施。加强畜禽养殖行业配套场所污染治理。按照国家和省有关动物防疫规定，加强畜禽屠宰加工场</w:t>
      </w:r>
    </w:p>
    <w:p>
      <w:pPr>
        <w:pStyle w:val="BodyText"/>
        <w:spacing w:line="364" w:lineRule="auto" w:before="3"/>
        <w:ind w:right="249"/>
        <w:jc w:val="both"/>
      </w:pPr>
      <w:r>
        <w:rPr/>
        <w:t>（点）、粪便集中处置场、病死畜禽集中处置场等场所的污染治理，加快淘汰一批低小散屠宰场（点），规范染疫畜禽以及染疫畜禽排泄物、染疫畜禽产品、病死或者死因不明的畜禽尸体等病害畜禽废弃物无害化处理，避免二次污染。</w:t>
      </w:r>
    </w:p>
    <w:p>
      <w:pPr>
        <w:pStyle w:val="ListParagraph"/>
        <w:numPr>
          <w:ilvl w:val="0"/>
          <w:numId w:val="27"/>
        </w:numPr>
        <w:tabs>
          <w:tab w:pos="1319" w:val="left" w:leader="none"/>
        </w:tabs>
        <w:spacing w:line="240" w:lineRule="auto" w:before="3" w:after="0"/>
        <w:ind w:left="1318" w:right="0" w:hanging="602"/>
        <w:jc w:val="left"/>
        <w:rPr>
          <w:sz w:val="24"/>
        </w:rPr>
      </w:pPr>
      <w:r>
        <w:rPr>
          <w:sz w:val="24"/>
        </w:rPr>
        <w:t>坚持依法治污，完善相关的法规、政策和标准</w:t>
      </w:r>
    </w:p>
    <w:p>
      <w:pPr>
        <w:pStyle w:val="BodyText"/>
        <w:spacing w:line="364" w:lineRule="auto" w:before="160"/>
        <w:ind w:right="249" w:firstLine="480"/>
        <w:jc w:val="both"/>
      </w:pPr>
      <w:r>
        <w:rPr/>
        <w:t>完善畜禽养殖污染防治法规制度配套措施，贯彻落实《浙江省畜禽养殖污染防治办</w:t>
      </w:r>
      <w:r>
        <w:rPr>
          <w:spacing w:val="-3"/>
        </w:rPr>
        <w:t>法》相关要求，特别是</w:t>
      </w:r>
      <w:r>
        <w:rPr>
          <w:rFonts w:ascii="Times New Roman" w:hAnsi="Times New Roman" w:eastAsia="Times New Roman"/>
          <w:position w:val="1"/>
        </w:rPr>
        <w:t>“</w:t>
      </w:r>
      <w:r>
        <w:rPr>
          <w:spacing w:val="-2"/>
        </w:rPr>
        <w:t>新建、改建和扩建畜禽养殖场</w:t>
      </w:r>
      <w:r>
        <w:rPr/>
        <w:t>（养殖小区</w:t>
      </w:r>
      <w:r>
        <w:rPr>
          <w:spacing w:val="-3"/>
        </w:rPr>
        <w:t>）</w:t>
      </w:r>
      <w:r>
        <w:rPr>
          <w:spacing w:val="-2"/>
        </w:rPr>
        <w:t>应当符合畜牧业发展</w:t>
      </w:r>
      <w:r>
        <w:rPr>
          <w:spacing w:val="-1"/>
        </w:rPr>
        <w:t>规划和畜禽养殖污染防治规划，按照国家和省有关规定进行环境影响评价</w:t>
      </w:r>
      <w:r>
        <w:rPr>
          <w:rFonts w:ascii="Times New Roman" w:hAnsi="Times New Roman" w:eastAsia="Times New Roman"/>
          <w:position w:val="1"/>
        </w:rPr>
        <w:t>”</w:t>
      </w:r>
      <w:r>
        <w:rPr>
          <w:spacing w:val="-3"/>
        </w:rPr>
        <w:t>要严格加以落</w:t>
      </w:r>
      <w:r>
        <w:rPr/>
        <w:t>实，有序推进全省规模化畜禽养殖企业实现持证排污。规模化畜禽养殖场（小区）应采</w:t>
      </w:r>
    </w:p>
    <w:p>
      <w:pPr>
        <w:spacing w:after="0" w:line="364" w:lineRule="auto"/>
        <w:jc w:val="both"/>
        <w:sectPr>
          <w:pgSz w:w="11910" w:h="16840"/>
          <w:pgMar w:header="874" w:footer="1004" w:top="1400" w:bottom="1200" w:left="1040" w:right="1160"/>
        </w:sectPr>
      </w:pPr>
    </w:p>
    <w:p>
      <w:pPr>
        <w:pStyle w:val="BodyText"/>
        <w:spacing w:line="364" w:lineRule="auto" w:before="121"/>
        <w:ind w:right="113"/>
      </w:pPr>
      <w:r>
        <w:rPr/>
        <w:t>用雨污分流、干湿分离、有机肥生产、污水资源化利用全过程控制的减排措施；新、改、扩建规模化畜禽养殖场（小区）要积极采取干清粪等有效方式减少污水产生量，逐步实现畜禽养殖密集区域的养殖废弃物统一收集、统一处理。</w:t>
      </w:r>
    </w:p>
    <w:p>
      <w:pPr>
        <w:pStyle w:val="ListParagraph"/>
        <w:numPr>
          <w:ilvl w:val="0"/>
          <w:numId w:val="27"/>
        </w:numPr>
        <w:tabs>
          <w:tab w:pos="1319" w:val="left" w:leader="none"/>
        </w:tabs>
        <w:spacing w:line="240" w:lineRule="auto" w:before="2" w:after="0"/>
        <w:ind w:left="1318" w:right="0" w:hanging="602"/>
        <w:jc w:val="left"/>
        <w:rPr>
          <w:sz w:val="24"/>
        </w:rPr>
      </w:pPr>
      <w:r>
        <w:rPr>
          <w:sz w:val="24"/>
        </w:rPr>
        <w:t>坚持严格执法，加强环境监管基础能力建设</w:t>
      </w:r>
    </w:p>
    <w:p>
      <w:pPr>
        <w:pStyle w:val="BodyText"/>
        <w:spacing w:line="364" w:lineRule="auto" w:before="160"/>
        <w:ind w:right="249" w:firstLine="480"/>
        <w:jc w:val="both"/>
      </w:pPr>
      <w:r>
        <w:rPr/>
        <w:t>加强畜禽养殖业环境监督执法加大对畜禽养殖业的环保督察力度，督促地方政府及相关部门落实环境监管责任。提升畜禽养殖环境信息化管理水平，建立畜禽养殖环境信息化管理平台，全面掌握辖区内畜禽养殖污染源分布、主要污染物排放、废弃物综合利用、污染防治设施建设、环境管理相关制度执行等情况，为畜禽养殖主要污染物减排和畜禽养殖业环境监管工作奠定基础。</w:t>
      </w:r>
    </w:p>
    <w:p>
      <w:pPr>
        <w:pStyle w:val="ListParagraph"/>
        <w:numPr>
          <w:ilvl w:val="0"/>
          <w:numId w:val="27"/>
        </w:numPr>
        <w:tabs>
          <w:tab w:pos="1319" w:val="left" w:leader="none"/>
        </w:tabs>
        <w:spacing w:line="240" w:lineRule="auto" w:before="4" w:after="0"/>
        <w:ind w:left="1318" w:right="0" w:hanging="602"/>
        <w:jc w:val="left"/>
        <w:rPr>
          <w:sz w:val="24"/>
        </w:rPr>
      </w:pPr>
      <w:r>
        <w:rPr>
          <w:sz w:val="24"/>
        </w:rPr>
        <w:t>坚持技术创新，开展污染防治技术示范和推广</w:t>
      </w:r>
    </w:p>
    <w:p>
      <w:pPr>
        <w:pStyle w:val="BodyText"/>
        <w:spacing w:line="364" w:lineRule="auto" w:before="161"/>
        <w:ind w:right="249" w:firstLine="480"/>
        <w:jc w:val="both"/>
      </w:pPr>
      <w:r>
        <w:rPr/>
        <w:t>加强新型实用技术研发、筛选与示范，通过项目模式，对畜禽养殖废弃物综合利用和污染治理技术的研发予以支持。建立技术推广与服务体系，构建畜禽养殖污染防治工程技术中心和科研成果转化与推广平台，及时发布畜禽养殖污染防治技术信息。开展畜禽养殖污染防治科技下乡活动，推动环保、农业等科研机构与畜禽养殖场（小区）、养殖专业户的</w:t>
      </w:r>
      <w:r>
        <w:rPr>
          <w:rFonts w:ascii="Times New Roman" w:hAnsi="Times New Roman" w:eastAsia="Times New Roman"/>
          <w:position w:val="1"/>
        </w:rPr>
        <w:t>“</w:t>
      </w:r>
      <w:r>
        <w:rPr/>
        <w:t>一对一</w:t>
      </w:r>
      <w:r>
        <w:rPr>
          <w:rFonts w:ascii="Times New Roman" w:hAnsi="Times New Roman" w:eastAsia="Times New Roman"/>
          <w:position w:val="1"/>
        </w:rPr>
        <w:t>”</w:t>
      </w:r>
      <w:r>
        <w:rPr>
          <w:spacing w:val="-12"/>
        </w:rPr>
        <w:t>技术帮扶，推广先进适用的畜禽养殖污染防治模式。加强畜禽养殖污</w:t>
      </w:r>
      <w:r>
        <w:rPr/>
        <w:t>染防治专家和技术人员队伍建设，定期组织专家咨询、技术人员培训等活动。</w:t>
      </w:r>
    </w:p>
    <w:p>
      <w:pPr>
        <w:pStyle w:val="BodyText"/>
        <w:spacing w:line="364" w:lineRule="auto" w:before="4"/>
        <w:ind w:right="132" w:firstLine="482"/>
      </w:pPr>
      <w:r>
        <w:rPr>
          <w:b/>
          <w:spacing w:val="-2"/>
        </w:rPr>
        <w:t>符合性分析：</w:t>
      </w:r>
      <w:r>
        <w:rPr>
          <w:spacing w:val="-4"/>
        </w:rPr>
        <w:t>本项目为规模化畜禽养殖项目，拟采用自动喂料系统、自动消毒系统、</w:t>
      </w:r>
      <w:r>
        <w:rPr>
          <w:spacing w:val="-5"/>
        </w:rPr>
        <w:t>温控系统等，所采用的技术、工艺均比较先进。项目拟建址不在畜禽养殖禁养区范围内， </w:t>
      </w:r>
      <w:r>
        <w:rPr/>
        <w:t>废水、废气均能做到达标排放，粪便、污泥等经发酵处理后外运生产有机肥。因此，本项目的建设符合浙江省畜禽养殖污染防治规划。</w:t>
      </w:r>
    </w:p>
    <w:p>
      <w:pPr>
        <w:pStyle w:val="Heading3"/>
        <w:numPr>
          <w:ilvl w:val="2"/>
          <w:numId w:val="16"/>
        </w:numPr>
        <w:tabs>
          <w:tab w:pos="838" w:val="left" w:leader="none"/>
        </w:tabs>
        <w:spacing w:line="240" w:lineRule="auto" w:before="2" w:after="0"/>
        <w:ind w:left="837" w:right="0" w:hanging="601"/>
        <w:jc w:val="left"/>
      </w:pPr>
      <w:bookmarkStart w:name="_bookmark35" w:id="68"/>
      <w:bookmarkEnd w:id="68"/>
      <w:r>
        <w:rPr>
          <w:b w:val="0"/>
        </w:rPr>
      </w:r>
      <w:bookmarkStart w:name="_bookmark35" w:id="69"/>
      <w:bookmarkEnd w:id="69"/>
      <w:r>
        <w:rPr/>
        <w:t>绍兴市</w:t>
      </w:r>
      <w:r>
        <w:rPr>
          <w:rFonts w:ascii="Times New Roman" w:hAnsi="Times New Roman" w:eastAsia="Times New Roman"/>
        </w:rPr>
        <w:t>“</w:t>
      </w:r>
      <w:r>
        <w:rPr/>
        <w:t>三线一单</w:t>
      </w:r>
      <w:r>
        <w:rPr>
          <w:rFonts w:ascii="Times New Roman" w:hAnsi="Times New Roman" w:eastAsia="Times New Roman"/>
        </w:rPr>
        <w:t>”</w:t>
      </w:r>
      <w:r>
        <w:rPr/>
        <w:t>生态环境分区管控方案及符合性分析</w:t>
      </w:r>
    </w:p>
    <w:p>
      <w:pPr>
        <w:pStyle w:val="BodyText"/>
        <w:spacing w:line="364" w:lineRule="auto" w:before="160"/>
        <w:ind w:right="252" w:firstLine="480"/>
        <w:jc w:val="right"/>
      </w:pPr>
      <w:r>
        <w:rPr/>
        <w:t>根据《绍兴市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生态环境分区管控方案》（</w:t>
      </w:r>
      <w:r>
        <w:rPr>
          <w:rFonts w:ascii="Times New Roman" w:hAnsi="Times New Roman" w:eastAsia="Times New Roman"/>
          <w:position w:val="1"/>
        </w:rPr>
        <w:t>2020</w:t>
      </w:r>
      <w:r>
        <w:rPr>
          <w:rFonts w:ascii="Times New Roman" w:hAnsi="Times New Roman" w:eastAsia="Times New Roman"/>
          <w:spacing w:val="18"/>
          <w:position w:val="1"/>
        </w:rPr>
        <w:t> </w:t>
      </w:r>
      <w:r>
        <w:rPr>
          <w:spacing w:val="-21"/>
        </w:rPr>
        <w:t>年 </w:t>
      </w:r>
      <w:r>
        <w:rPr>
          <w:rFonts w:ascii="Times New Roman" w:hAnsi="Times New Roman" w:eastAsia="Times New Roman"/>
          <w:position w:val="1"/>
        </w:rPr>
        <w:t>8</w:t>
      </w:r>
      <w:r>
        <w:rPr>
          <w:rFonts w:ascii="Times New Roman" w:hAnsi="Times New Roman" w:eastAsia="Times New Roman"/>
          <w:spacing w:val="19"/>
          <w:position w:val="1"/>
        </w:rPr>
        <w:t> </w:t>
      </w:r>
      <w:r>
        <w:rPr/>
        <w:t>月），</w:t>
      </w:r>
      <w:r>
        <w:rPr>
          <w:spacing w:val="-2"/>
        </w:rPr>
        <w:t>绍兴市共划定</w:t>
      </w:r>
      <w:r>
        <w:rPr>
          <w:spacing w:val="-9"/>
        </w:rPr>
        <w:t>环境管控单元 </w:t>
      </w:r>
      <w:r>
        <w:rPr>
          <w:rFonts w:ascii="Times New Roman" w:hAnsi="Times New Roman" w:eastAsia="Times New Roman"/>
          <w:position w:val="1"/>
        </w:rPr>
        <w:t>203 </w:t>
      </w:r>
      <w:r>
        <w:rPr>
          <w:spacing w:val="-11"/>
        </w:rPr>
        <w:t>个，其中优先保护单元 </w:t>
      </w:r>
      <w:r>
        <w:rPr>
          <w:rFonts w:ascii="Times New Roman" w:hAnsi="Times New Roman" w:eastAsia="Times New Roman"/>
          <w:position w:val="1"/>
        </w:rPr>
        <w:t>110 </w:t>
      </w:r>
      <w:r>
        <w:rPr>
          <w:spacing w:val="-14"/>
        </w:rPr>
        <w:t>个，总面积为 </w:t>
      </w:r>
      <w:r>
        <w:rPr>
          <w:rFonts w:ascii="Times New Roman" w:hAnsi="Times New Roman" w:eastAsia="Times New Roman"/>
          <w:position w:val="1"/>
        </w:rPr>
        <w:t>3418.14 </w:t>
      </w:r>
      <w:r>
        <w:rPr>
          <w:spacing w:val="-7"/>
        </w:rPr>
        <w:t>平方公里，占全市市</w:t>
      </w:r>
    </w:p>
    <w:p>
      <w:pPr>
        <w:pStyle w:val="BodyText"/>
        <w:spacing w:before="2"/>
        <w:ind w:left="0" w:right="249"/>
        <w:jc w:val="right"/>
      </w:pPr>
      <w:r>
        <w:rPr>
          <w:spacing w:val="-13"/>
        </w:rPr>
        <w:t>域面积的 </w:t>
      </w:r>
      <w:r>
        <w:rPr>
          <w:rFonts w:ascii="Times New Roman" w:eastAsia="Times New Roman"/>
          <w:spacing w:val="-3"/>
          <w:position w:val="1"/>
        </w:rPr>
        <w:t>41.31%</w:t>
      </w:r>
      <w:r>
        <w:rPr>
          <w:spacing w:val="-10"/>
        </w:rPr>
        <w:t>；重点管控单元 </w:t>
      </w:r>
      <w:r>
        <w:rPr>
          <w:rFonts w:ascii="Times New Roman" w:eastAsia="Times New Roman"/>
          <w:position w:val="1"/>
        </w:rPr>
        <w:t>87</w:t>
      </w:r>
      <w:r>
        <w:rPr>
          <w:rFonts w:ascii="Times New Roman" w:eastAsia="Times New Roman"/>
          <w:spacing w:val="2"/>
          <w:position w:val="1"/>
        </w:rPr>
        <w:t> </w:t>
      </w:r>
      <w:r>
        <w:rPr>
          <w:spacing w:val="-12"/>
        </w:rPr>
        <w:t>个，总面积为 </w:t>
      </w:r>
      <w:r>
        <w:rPr>
          <w:rFonts w:ascii="Times New Roman" w:eastAsia="Times New Roman"/>
          <w:position w:val="1"/>
        </w:rPr>
        <w:t>1411.70</w:t>
      </w:r>
      <w:r>
        <w:rPr>
          <w:rFonts w:ascii="Times New Roman" w:eastAsia="Times New Roman"/>
          <w:spacing w:val="1"/>
          <w:position w:val="1"/>
        </w:rPr>
        <w:t> </w:t>
      </w:r>
      <w:r>
        <w:rPr>
          <w:spacing w:val="-3"/>
        </w:rPr>
        <w:t>平方公里，占全市市域面积的</w:t>
      </w:r>
    </w:p>
    <w:p>
      <w:pPr>
        <w:pStyle w:val="ListParagraph"/>
        <w:numPr>
          <w:ilvl w:val="1"/>
          <w:numId w:val="28"/>
        </w:numPr>
        <w:tabs>
          <w:tab w:pos="779" w:val="left" w:leader="none"/>
        </w:tabs>
        <w:spacing w:line="240" w:lineRule="auto" w:before="161" w:after="0"/>
        <w:ind w:left="778" w:right="0" w:hanging="542"/>
        <w:jc w:val="left"/>
        <w:rPr>
          <w:sz w:val="24"/>
        </w:rPr>
      </w:pPr>
      <w:r>
        <w:rPr>
          <w:rFonts w:ascii="Times New Roman" w:eastAsia="Times New Roman"/>
          <w:position w:val="1"/>
          <w:sz w:val="24"/>
        </w:rPr>
        <w:t>%</w:t>
      </w:r>
      <w:r>
        <w:rPr>
          <w:spacing w:val="-3"/>
          <w:sz w:val="24"/>
        </w:rPr>
        <w:t>，其中产业集聚重点管控单元 </w:t>
      </w:r>
      <w:r>
        <w:rPr>
          <w:rFonts w:ascii="Times New Roman" w:eastAsia="Times New Roman"/>
          <w:position w:val="1"/>
          <w:sz w:val="24"/>
        </w:rPr>
        <w:t>46</w:t>
      </w:r>
      <w:r>
        <w:rPr>
          <w:rFonts w:ascii="Times New Roman" w:eastAsia="Times New Roman"/>
          <w:spacing w:val="19"/>
          <w:position w:val="1"/>
          <w:sz w:val="24"/>
        </w:rPr>
        <w:t> </w:t>
      </w:r>
      <w:r>
        <w:rPr>
          <w:spacing w:val="-4"/>
          <w:sz w:val="24"/>
        </w:rPr>
        <w:t>个，城镇生活重点管控单元 </w:t>
      </w:r>
      <w:r>
        <w:rPr>
          <w:rFonts w:ascii="Times New Roman" w:eastAsia="Times New Roman"/>
          <w:position w:val="1"/>
          <w:sz w:val="24"/>
        </w:rPr>
        <w:t>41</w:t>
      </w:r>
      <w:r>
        <w:rPr>
          <w:rFonts w:ascii="Times New Roman" w:eastAsia="Times New Roman"/>
          <w:spacing w:val="19"/>
          <w:position w:val="1"/>
          <w:sz w:val="24"/>
        </w:rPr>
        <w:t> </w:t>
      </w:r>
      <w:r>
        <w:rPr>
          <w:sz w:val="24"/>
        </w:rPr>
        <w:t>个；一般管控单</w:t>
      </w:r>
    </w:p>
    <w:p>
      <w:pPr>
        <w:pStyle w:val="BodyText"/>
        <w:spacing w:line="364" w:lineRule="auto" w:before="160"/>
        <w:ind w:right="249"/>
      </w:pPr>
      <w:r>
        <w:rPr>
          <w:spacing w:val="-30"/>
        </w:rPr>
        <w:t>元 </w:t>
      </w:r>
      <w:r>
        <w:rPr>
          <w:rFonts w:ascii="Times New Roman" w:hAnsi="Times New Roman" w:eastAsia="Times New Roman"/>
          <w:position w:val="1"/>
        </w:rPr>
        <w:t>6 </w:t>
      </w:r>
      <w:r>
        <w:rPr>
          <w:spacing w:val="-13"/>
        </w:rPr>
        <w:t>个，总面积 </w:t>
      </w:r>
      <w:r>
        <w:rPr>
          <w:rFonts w:ascii="Times New Roman" w:hAnsi="Times New Roman" w:eastAsia="Times New Roman"/>
          <w:position w:val="1"/>
        </w:rPr>
        <w:t>3444.95 </w:t>
      </w:r>
      <w:r>
        <w:rPr>
          <w:spacing w:val="-7"/>
        </w:rPr>
        <w:t>平方公里，占全市市域面积的 </w:t>
      </w:r>
      <w:r>
        <w:rPr>
          <w:rFonts w:ascii="Times New Roman" w:hAnsi="Times New Roman" w:eastAsia="Times New Roman"/>
          <w:position w:val="1"/>
        </w:rPr>
        <w:t>41.63%</w:t>
      </w:r>
      <w:r>
        <w:rPr>
          <w:spacing w:val="-3"/>
        </w:rPr>
        <w:t>。本项目拟建址位于</w:t>
      </w:r>
      <w:r>
        <w:rPr>
          <w:rFonts w:ascii="Times New Roman" w:hAnsi="Times New Roman" w:eastAsia="Times New Roman"/>
          <w:position w:val="1"/>
        </w:rPr>
        <w:t>“</w:t>
      </w:r>
      <w:r>
        <w:rPr>
          <w:spacing w:val="-7"/>
        </w:rPr>
        <w:t>柯桥</w:t>
      </w:r>
      <w:r>
        <w:rPr/>
        <w:t>区一般管控单元（</w:t>
      </w:r>
      <w:r>
        <w:rPr>
          <w:rFonts w:ascii="Times New Roman" w:hAnsi="Times New Roman" w:eastAsia="Times New Roman"/>
          <w:position w:val="1"/>
        </w:rPr>
        <w:t>ZH33060330001</w:t>
      </w:r>
      <w:r>
        <w:rPr/>
        <w:t>）</w:t>
      </w:r>
      <w:r>
        <w:rPr>
          <w:rFonts w:ascii="Times New Roman" w:hAnsi="Times New Roman" w:eastAsia="Times New Roman"/>
          <w:position w:val="1"/>
        </w:rPr>
        <w:t>”</w:t>
      </w:r>
      <w:r>
        <w:rPr/>
        <w:t>内，该环境管控单元准入清单如下：</w:t>
      </w:r>
    </w:p>
    <w:p>
      <w:pPr>
        <w:pStyle w:val="Heading3"/>
        <w:spacing w:before="1"/>
      </w:pPr>
      <w:r>
        <w:rPr>
          <w:rFonts w:ascii="Times New Roman" w:eastAsia="Times New Roman"/>
        </w:rPr>
        <w:t>1</w:t>
      </w:r>
      <w:r>
        <w:rPr/>
        <w:t>、空间布局约束</w:t>
      </w:r>
    </w:p>
    <w:p>
      <w:pPr>
        <w:pStyle w:val="ListParagraph"/>
        <w:numPr>
          <w:ilvl w:val="2"/>
          <w:numId w:val="28"/>
        </w:numPr>
        <w:tabs>
          <w:tab w:pos="601" w:val="left" w:leader="none"/>
        </w:tabs>
        <w:spacing w:line="240" w:lineRule="auto" w:before="161" w:after="0"/>
        <w:ind w:left="1318" w:right="257" w:hanging="1319"/>
        <w:jc w:val="right"/>
        <w:rPr>
          <w:sz w:val="24"/>
        </w:rPr>
      </w:pPr>
      <w:r>
        <w:rPr>
          <w:spacing w:val="-1"/>
          <w:sz w:val="24"/>
        </w:rPr>
        <w:t>原则上禁止新建三类工业项目</w:t>
      </w:r>
      <w:r>
        <w:rPr>
          <w:sz w:val="24"/>
        </w:rPr>
        <w:t>（重污染行业整治提升选址于此的除外</w:t>
      </w:r>
      <w:r>
        <w:rPr>
          <w:spacing w:val="-8"/>
          <w:sz w:val="24"/>
        </w:rPr>
        <w:t>）</w:t>
      </w:r>
      <w:r>
        <w:rPr>
          <w:spacing w:val="-4"/>
          <w:sz w:val="24"/>
        </w:rPr>
        <w:t>，现有</w:t>
      </w:r>
    </w:p>
    <w:p>
      <w:pPr>
        <w:spacing w:after="0" w:line="240" w:lineRule="auto"/>
        <w:jc w:val="right"/>
        <w:rPr>
          <w:sz w:val="24"/>
        </w:rPr>
        <w:sectPr>
          <w:pgSz w:w="11910" w:h="16840"/>
          <w:pgMar w:header="874" w:footer="1004" w:top="1400" w:bottom="1200" w:left="1040" w:right="1160"/>
        </w:sectPr>
      </w:pPr>
    </w:p>
    <w:p>
      <w:pPr>
        <w:pStyle w:val="BodyText"/>
        <w:spacing w:before="121"/>
      </w:pPr>
      <w:r>
        <w:rPr/>
        <w:t>三类工业项目扩建、改建不得增加污染物排放总量并严格控制环境风险。</w:t>
      </w:r>
    </w:p>
    <w:p>
      <w:pPr>
        <w:pStyle w:val="ListParagraph"/>
        <w:numPr>
          <w:ilvl w:val="2"/>
          <w:numId w:val="28"/>
        </w:numPr>
        <w:tabs>
          <w:tab w:pos="1319" w:val="left" w:leader="none"/>
        </w:tabs>
        <w:spacing w:line="364" w:lineRule="auto" w:before="161" w:after="0"/>
        <w:ind w:left="237" w:right="249" w:firstLine="480"/>
        <w:jc w:val="both"/>
        <w:rPr>
          <w:sz w:val="24"/>
        </w:rPr>
      </w:pPr>
      <w:r>
        <w:rPr>
          <w:spacing w:val="-2"/>
          <w:sz w:val="24"/>
        </w:rPr>
        <w:t>禁止新建涉及一类重金属、持久性有机污染物排放的二类工业项目，禁止在工业功能区（</w:t>
      </w:r>
      <w:r>
        <w:rPr>
          <w:spacing w:val="-1"/>
          <w:sz w:val="24"/>
        </w:rPr>
        <w:t>小微园区、工业集聚点</w:t>
      </w:r>
      <w:r>
        <w:rPr>
          <w:sz w:val="24"/>
        </w:rPr>
        <w:t>）外新建其他二类工业项目，一二产融合的加工类项目、利用当地资源的加工项目、工程项目配套的临时性项目等确实难以集聚的二类工业项目除外；工业功能区（小微园区、工业集聚点）外现有二类工业项目改建、扩建，不得增加污染物排放总量。</w:t>
      </w:r>
    </w:p>
    <w:p>
      <w:pPr>
        <w:pStyle w:val="ListParagraph"/>
        <w:numPr>
          <w:ilvl w:val="2"/>
          <w:numId w:val="28"/>
        </w:numPr>
        <w:tabs>
          <w:tab w:pos="1319" w:val="left" w:leader="none"/>
        </w:tabs>
        <w:spacing w:line="240" w:lineRule="auto" w:before="3" w:after="0"/>
        <w:ind w:left="1318" w:right="0" w:hanging="602"/>
        <w:jc w:val="left"/>
        <w:rPr>
          <w:sz w:val="24"/>
        </w:rPr>
      </w:pPr>
      <w:r>
        <w:rPr>
          <w:sz w:val="24"/>
        </w:rPr>
        <w:t>建立集镇居住商业区、耕地保护区与工业功能区等集聚区块之间的防护带。</w:t>
      </w:r>
    </w:p>
    <w:p>
      <w:pPr>
        <w:pStyle w:val="ListParagraph"/>
        <w:numPr>
          <w:ilvl w:val="2"/>
          <w:numId w:val="28"/>
        </w:numPr>
        <w:tabs>
          <w:tab w:pos="1319" w:val="left" w:leader="none"/>
        </w:tabs>
        <w:spacing w:line="240" w:lineRule="auto" w:before="160" w:after="0"/>
        <w:ind w:left="1318" w:right="0" w:hanging="602"/>
        <w:jc w:val="left"/>
        <w:rPr>
          <w:sz w:val="24"/>
        </w:rPr>
      </w:pPr>
      <w:r>
        <w:rPr>
          <w:spacing w:val="-6"/>
          <w:sz w:val="24"/>
        </w:rPr>
        <w:t>严格执行畜禽养殖禁养区规定，根据区域用地和消纳水平，合理确定养殖规模。</w:t>
      </w:r>
    </w:p>
    <w:p>
      <w:pPr>
        <w:pStyle w:val="ListParagraph"/>
        <w:numPr>
          <w:ilvl w:val="2"/>
          <w:numId w:val="28"/>
        </w:numPr>
        <w:tabs>
          <w:tab w:pos="1319" w:val="left" w:leader="none"/>
        </w:tabs>
        <w:spacing w:line="240" w:lineRule="auto" w:before="161" w:after="0"/>
        <w:ind w:left="1318" w:right="0" w:hanging="602"/>
        <w:jc w:val="left"/>
        <w:rPr>
          <w:sz w:val="24"/>
        </w:rPr>
      </w:pPr>
      <w:r>
        <w:rPr>
          <w:sz w:val="24"/>
        </w:rPr>
        <w:t>加强基本农田保护，严格限制非农项目占用耕地。</w:t>
      </w:r>
    </w:p>
    <w:p>
      <w:pPr>
        <w:pStyle w:val="Heading3"/>
      </w:pPr>
      <w:r>
        <w:rPr>
          <w:rFonts w:ascii="Times New Roman" w:eastAsia="Times New Roman"/>
        </w:rPr>
        <w:t>2</w:t>
      </w:r>
      <w:r>
        <w:rPr/>
        <w:t>、污染物排放管控</w:t>
      </w:r>
    </w:p>
    <w:p>
      <w:pPr>
        <w:pStyle w:val="ListParagraph"/>
        <w:numPr>
          <w:ilvl w:val="0"/>
          <w:numId w:val="29"/>
        </w:numPr>
        <w:tabs>
          <w:tab w:pos="1319" w:val="left" w:leader="none"/>
        </w:tabs>
        <w:spacing w:line="240" w:lineRule="auto" w:before="160" w:after="0"/>
        <w:ind w:left="1318" w:right="0" w:hanging="602"/>
        <w:jc w:val="left"/>
        <w:rPr>
          <w:sz w:val="24"/>
        </w:rPr>
      </w:pPr>
      <w:r>
        <w:rPr>
          <w:sz w:val="24"/>
        </w:rPr>
        <w:t>加强工业污染物排放管控，原则上管控单元内工业污染物排放总量不得增加。</w:t>
      </w:r>
    </w:p>
    <w:p>
      <w:pPr>
        <w:pStyle w:val="ListParagraph"/>
        <w:numPr>
          <w:ilvl w:val="0"/>
          <w:numId w:val="29"/>
        </w:numPr>
        <w:tabs>
          <w:tab w:pos="1319" w:val="left" w:leader="none"/>
        </w:tabs>
        <w:spacing w:line="364" w:lineRule="auto" w:before="161" w:after="0"/>
        <w:ind w:left="237" w:right="257" w:firstLine="480"/>
        <w:jc w:val="left"/>
        <w:rPr>
          <w:sz w:val="24"/>
        </w:rPr>
      </w:pPr>
      <w:r>
        <w:rPr>
          <w:spacing w:val="-4"/>
          <w:sz w:val="24"/>
        </w:rPr>
        <w:t>加强农业面源污染治理，严格控制化肥农药施加量，合理水产养殖布局，控制</w:t>
      </w:r>
      <w:r>
        <w:rPr>
          <w:sz w:val="24"/>
        </w:rPr>
        <w:t>水产养殖污染，逐步削减农业面源污染物排放量。</w:t>
      </w:r>
    </w:p>
    <w:p>
      <w:pPr>
        <w:pStyle w:val="Heading3"/>
        <w:spacing w:before="1"/>
      </w:pPr>
      <w:r>
        <w:rPr>
          <w:rFonts w:ascii="Times New Roman" w:eastAsia="Times New Roman"/>
        </w:rPr>
        <w:t>3</w:t>
      </w:r>
      <w:r>
        <w:rPr/>
        <w:t>、环境风险防控</w:t>
      </w:r>
    </w:p>
    <w:p>
      <w:pPr>
        <w:pStyle w:val="ListParagraph"/>
        <w:numPr>
          <w:ilvl w:val="0"/>
          <w:numId w:val="30"/>
        </w:numPr>
        <w:tabs>
          <w:tab w:pos="1319" w:val="left" w:leader="none"/>
        </w:tabs>
        <w:spacing w:line="240" w:lineRule="auto" w:before="160" w:after="0"/>
        <w:ind w:left="1318" w:right="0" w:hanging="602"/>
        <w:jc w:val="left"/>
        <w:rPr>
          <w:sz w:val="24"/>
        </w:rPr>
      </w:pPr>
      <w:r>
        <w:rPr>
          <w:sz w:val="24"/>
        </w:rPr>
        <w:t>加强生态公益林保护与建设，防止水土流失。</w:t>
      </w:r>
    </w:p>
    <w:p>
      <w:pPr>
        <w:pStyle w:val="ListParagraph"/>
        <w:numPr>
          <w:ilvl w:val="0"/>
          <w:numId w:val="30"/>
        </w:numPr>
        <w:tabs>
          <w:tab w:pos="1319" w:val="left" w:leader="none"/>
        </w:tabs>
        <w:spacing w:line="364" w:lineRule="auto" w:before="161" w:after="0"/>
        <w:ind w:left="237" w:right="257" w:firstLine="480"/>
        <w:jc w:val="left"/>
        <w:rPr>
          <w:sz w:val="24"/>
        </w:rPr>
      </w:pPr>
      <w:r>
        <w:rPr>
          <w:spacing w:val="-3"/>
          <w:sz w:val="24"/>
        </w:rPr>
        <w:t>禁止向农用地排放重金属或者其他有毒有害物质含量超标的污水、污泥，以及</w:t>
      </w:r>
      <w:r>
        <w:rPr>
          <w:sz w:val="24"/>
        </w:rPr>
        <w:t>可能造成土壤污染的清淤底泥、尾矿、矿渣等。</w:t>
      </w:r>
    </w:p>
    <w:p>
      <w:pPr>
        <w:pStyle w:val="ListParagraph"/>
        <w:numPr>
          <w:ilvl w:val="0"/>
          <w:numId w:val="30"/>
        </w:numPr>
        <w:tabs>
          <w:tab w:pos="1319" w:val="left" w:leader="none"/>
        </w:tabs>
        <w:spacing w:line="240" w:lineRule="auto" w:before="2" w:after="0"/>
        <w:ind w:left="1318" w:right="0" w:hanging="602"/>
        <w:jc w:val="left"/>
        <w:rPr>
          <w:sz w:val="24"/>
        </w:rPr>
      </w:pPr>
      <w:r>
        <w:rPr>
          <w:sz w:val="24"/>
        </w:rPr>
        <w:t>加强农田土壤、灌溉水的监测及评价，对周边或区域环境风险源进行评估。</w:t>
      </w:r>
    </w:p>
    <w:p>
      <w:pPr>
        <w:pStyle w:val="Heading3"/>
        <w:spacing w:before="160"/>
      </w:pPr>
      <w:r>
        <w:rPr>
          <w:rFonts w:ascii="Times New Roman" w:eastAsia="Times New Roman"/>
        </w:rPr>
        <w:t>4</w:t>
      </w:r>
      <w:r>
        <w:rPr/>
        <w:t>、资源开发效率要求</w:t>
      </w:r>
    </w:p>
    <w:p>
      <w:pPr>
        <w:pStyle w:val="ListParagraph"/>
        <w:numPr>
          <w:ilvl w:val="0"/>
          <w:numId w:val="31"/>
        </w:numPr>
        <w:tabs>
          <w:tab w:pos="1319" w:val="left" w:leader="none"/>
        </w:tabs>
        <w:spacing w:line="240" w:lineRule="auto" w:before="161" w:after="0"/>
        <w:ind w:left="1318" w:right="0" w:hanging="602"/>
        <w:jc w:val="left"/>
        <w:rPr>
          <w:sz w:val="24"/>
        </w:rPr>
      </w:pPr>
      <w:r>
        <w:rPr>
          <w:sz w:val="24"/>
        </w:rPr>
        <w:t>实行水资源消耗总量和强度双控，推进农业节水，提高农业用水效率。</w:t>
      </w:r>
    </w:p>
    <w:p>
      <w:pPr>
        <w:pStyle w:val="ListParagraph"/>
        <w:numPr>
          <w:ilvl w:val="0"/>
          <w:numId w:val="31"/>
        </w:numPr>
        <w:tabs>
          <w:tab w:pos="1319" w:val="left" w:leader="none"/>
        </w:tabs>
        <w:spacing w:line="240" w:lineRule="auto" w:before="160" w:after="0"/>
        <w:ind w:left="1318" w:right="0" w:hanging="602"/>
        <w:jc w:val="left"/>
        <w:rPr>
          <w:sz w:val="24"/>
        </w:rPr>
      </w:pPr>
      <w:r>
        <w:rPr>
          <w:sz w:val="24"/>
        </w:rPr>
        <w:t>优化能源结构，加强能源清洁利用。</w:t>
      </w:r>
    </w:p>
    <w:p>
      <w:pPr>
        <w:pStyle w:val="BodyText"/>
        <w:spacing w:line="364" w:lineRule="auto" w:before="161"/>
        <w:ind w:right="247" w:firstLine="482"/>
        <w:jc w:val="both"/>
      </w:pPr>
      <w:r>
        <w:rPr>
          <w:b/>
        </w:rPr>
        <w:t>符合性分析：</w:t>
      </w:r>
      <w:r>
        <w:rPr/>
        <w:t>本项目为生猪规模化养殖项目，属于农业项目，目前已完成设施农用地备案（详见附件五）。本项目废水经自建污水站处理达标后纳管排放，粪便经发酵处理后外运生产有机肥，不采用土地消纳方式，当地环境承载力可以接受，也不会增加农业面源污染物排放。因此，本项目符合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生态环境分区管控方案。</w:t>
      </w:r>
    </w:p>
    <w:p>
      <w:pPr>
        <w:pStyle w:val="Heading2"/>
        <w:numPr>
          <w:ilvl w:val="1"/>
          <w:numId w:val="32"/>
        </w:numPr>
        <w:tabs>
          <w:tab w:pos="730" w:val="left" w:leader="none"/>
        </w:tabs>
        <w:spacing w:line="240" w:lineRule="auto" w:before="54" w:after="0"/>
        <w:ind w:left="729" w:right="0" w:hanging="493"/>
        <w:jc w:val="left"/>
      </w:pPr>
      <w:bookmarkStart w:name="_bookmark36" w:id="70"/>
      <w:bookmarkEnd w:id="70"/>
      <w:r>
        <w:rPr>
          <w:b w:val="0"/>
        </w:rPr>
      </w:r>
      <w:bookmarkStart w:name="_bookmark36" w:id="71"/>
      <w:bookmarkEnd w:id="71"/>
      <w:r>
        <w:rPr/>
        <w:t>主要环境保护目标</w:t>
      </w:r>
    </w:p>
    <w:p>
      <w:pPr>
        <w:pStyle w:val="Heading3"/>
        <w:spacing w:before="214"/>
      </w:pPr>
      <w:r>
        <w:rPr>
          <w:rFonts w:ascii="Times New Roman" w:eastAsia="Times New Roman"/>
        </w:rPr>
        <w:t>1</w:t>
      </w:r>
      <w:r>
        <w:rPr/>
        <w:t>、环境保护目标</w:t>
      </w:r>
    </w:p>
    <w:p>
      <w:pPr>
        <w:pStyle w:val="ListParagraph"/>
        <w:numPr>
          <w:ilvl w:val="2"/>
          <w:numId w:val="32"/>
        </w:numPr>
        <w:tabs>
          <w:tab w:pos="1319" w:val="left" w:leader="none"/>
        </w:tabs>
        <w:spacing w:line="364" w:lineRule="auto" w:before="160" w:after="0"/>
        <w:ind w:left="237" w:right="253" w:firstLine="480"/>
        <w:jc w:val="left"/>
        <w:rPr>
          <w:sz w:val="24"/>
        </w:rPr>
      </w:pPr>
      <w:r>
        <w:rPr>
          <w:spacing w:val="-5"/>
          <w:sz w:val="24"/>
        </w:rPr>
        <w:t>环境空气：评价区内大气环境质量不降级，环境空气满足功能区要求，即环境</w:t>
      </w:r>
      <w:r>
        <w:rPr>
          <w:sz w:val="24"/>
        </w:rPr>
        <w:t>空气质量应满足《环境空气质量标准》（</w:t>
      </w:r>
      <w:r>
        <w:rPr>
          <w:rFonts w:ascii="Times New Roman" w:eastAsia="Times New Roman"/>
          <w:position w:val="1"/>
          <w:sz w:val="24"/>
        </w:rPr>
        <w:t>GB</w:t>
      </w:r>
      <w:r>
        <w:rPr>
          <w:rFonts w:ascii="Times New Roman" w:eastAsia="Times New Roman"/>
          <w:spacing w:val="-1"/>
          <w:position w:val="1"/>
          <w:sz w:val="24"/>
        </w:rPr>
        <w:t> </w:t>
      </w:r>
      <w:r>
        <w:rPr>
          <w:rFonts w:ascii="Times New Roman" w:eastAsia="Times New Roman"/>
          <w:position w:val="1"/>
          <w:sz w:val="24"/>
        </w:rPr>
        <w:t>3095-2012</w:t>
      </w:r>
      <w:r>
        <w:rPr>
          <w:sz w:val="24"/>
        </w:rPr>
        <w:t>）二级标准等标准的要求。</w:t>
      </w:r>
    </w:p>
    <w:p>
      <w:pPr>
        <w:spacing w:after="0" w:line="364" w:lineRule="auto"/>
        <w:jc w:val="left"/>
        <w:rPr>
          <w:sz w:val="24"/>
        </w:rPr>
        <w:sectPr>
          <w:pgSz w:w="11910" w:h="16840"/>
          <w:pgMar w:header="874" w:footer="1004" w:top="1400" w:bottom="1200" w:left="1040" w:right="1160"/>
        </w:sectPr>
      </w:pPr>
    </w:p>
    <w:p>
      <w:pPr>
        <w:pStyle w:val="ListParagraph"/>
        <w:numPr>
          <w:ilvl w:val="2"/>
          <w:numId w:val="32"/>
        </w:numPr>
        <w:tabs>
          <w:tab w:pos="1319" w:val="left" w:leader="none"/>
        </w:tabs>
        <w:spacing w:line="364" w:lineRule="auto" w:before="121" w:after="0"/>
        <w:ind w:left="237" w:right="252" w:firstLine="480"/>
        <w:jc w:val="left"/>
        <w:rPr>
          <w:sz w:val="24"/>
        </w:rPr>
      </w:pPr>
      <w:r>
        <w:rPr>
          <w:spacing w:val="-4"/>
          <w:sz w:val="24"/>
        </w:rPr>
        <w:t>水环境：项目各类废水经厂内预处理后由市政污水管网接入绍兴市污水处理厂</w:t>
      </w:r>
      <w:r>
        <w:rPr>
          <w:sz w:val="24"/>
        </w:rPr>
        <w:t>处理，应确保污水厂运行不受冲击、流经厂区的地下水质量维持现状。</w:t>
      </w:r>
    </w:p>
    <w:p>
      <w:pPr>
        <w:pStyle w:val="ListParagraph"/>
        <w:numPr>
          <w:ilvl w:val="2"/>
          <w:numId w:val="32"/>
        </w:numPr>
        <w:tabs>
          <w:tab w:pos="1319" w:val="left" w:leader="none"/>
        </w:tabs>
        <w:spacing w:line="240" w:lineRule="auto" w:before="1" w:after="0"/>
        <w:ind w:left="1318" w:right="0" w:hanging="602"/>
        <w:jc w:val="left"/>
        <w:rPr>
          <w:sz w:val="24"/>
        </w:rPr>
      </w:pPr>
      <w:r>
        <w:rPr>
          <w:spacing w:val="-3"/>
          <w:sz w:val="24"/>
        </w:rPr>
        <w:t>环境噪声：区域噪声不超标，即厂界噪声符合 </w:t>
      </w:r>
      <w:r>
        <w:rPr>
          <w:rFonts w:ascii="Times New Roman" w:eastAsia="Times New Roman"/>
          <w:position w:val="1"/>
          <w:sz w:val="24"/>
        </w:rPr>
        <w:t>2 </w:t>
      </w:r>
      <w:r>
        <w:rPr>
          <w:sz w:val="24"/>
        </w:rPr>
        <w:t>类标准。</w:t>
      </w:r>
    </w:p>
    <w:p>
      <w:pPr>
        <w:pStyle w:val="ListParagraph"/>
        <w:numPr>
          <w:ilvl w:val="2"/>
          <w:numId w:val="32"/>
        </w:numPr>
        <w:tabs>
          <w:tab w:pos="1319" w:val="left" w:leader="none"/>
        </w:tabs>
        <w:spacing w:line="364" w:lineRule="auto" w:before="161" w:after="0"/>
        <w:ind w:left="237" w:right="252" w:firstLine="480"/>
        <w:jc w:val="left"/>
        <w:rPr>
          <w:sz w:val="24"/>
        </w:rPr>
      </w:pPr>
      <w:r>
        <w:rPr>
          <w:spacing w:val="-5"/>
          <w:sz w:val="24"/>
        </w:rPr>
        <w:t>土壤环境：厂区及周边农田土壤环境质量不超过 </w:t>
      </w:r>
      <w:r>
        <w:rPr>
          <w:rFonts w:ascii="Times New Roman" w:eastAsia="Times New Roman"/>
          <w:position w:val="1"/>
          <w:sz w:val="24"/>
        </w:rPr>
        <w:t>GB</w:t>
      </w:r>
      <w:r>
        <w:rPr>
          <w:rFonts w:ascii="Times New Roman" w:eastAsia="Times New Roman"/>
          <w:spacing w:val="-2"/>
          <w:position w:val="1"/>
          <w:sz w:val="24"/>
        </w:rPr>
        <w:t> </w:t>
      </w:r>
      <w:r>
        <w:rPr>
          <w:rFonts w:ascii="Times New Roman" w:eastAsia="Times New Roman"/>
          <w:position w:val="1"/>
          <w:sz w:val="24"/>
        </w:rPr>
        <w:t>15618-2018 </w:t>
      </w:r>
      <w:r>
        <w:rPr>
          <w:spacing w:val="-2"/>
          <w:sz w:val="24"/>
        </w:rPr>
        <w:t>农用地土壤污</w:t>
      </w:r>
      <w:r>
        <w:rPr>
          <w:sz w:val="24"/>
        </w:rPr>
        <w:t>染风险筛选值。</w:t>
      </w:r>
    </w:p>
    <w:p>
      <w:pPr>
        <w:pStyle w:val="Heading3"/>
        <w:spacing w:before="1"/>
      </w:pPr>
      <w:r>
        <w:rPr>
          <w:rFonts w:ascii="Times New Roman" w:eastAsia="Times New Roman"/>
        </w:rPr>
        <w:t>2</w:t>
      </w:r>
      <w:r>
        <w:rPr/>
        <w:t>、环境敏感区</w:t>
      </w:r>
    </w:p>
    <w:p>
      <w:pPr>
        <w:pStyle w:val="BodyText"/>
        <w:spacing w:line="364" w:lineRule="auto" w:before="161"/>
        <w:ind w:right="198" w:firstLine="480"/>
        <w:jc w:val="both"/>
      </w:pPr>
      <w:r>
        <w:rPr>
          <w:spacing w:val="-8"/>
        </w:rPr>
        <w:t>根据调查，本项目周边地表水环境概况如表 </w:t>
      </w:r>
      <w:r>
        <w:rPr>
          <w:rFonts w:ascii="Times New Roman" w:eastAsia="Times New Roman"/>
          <w:position w:val="1"/>
        </w:rPr>
        <w:t>2.6-1 </w:t>
      </w:r>
      <w:r>
        <w:rPr>
          <w:spacing w:val="-12"/>
        </w:rPr>
        <w:t>所示</w:t>
      </w:r>
      <w:r>
        <w:rPr/>
        <w:t>（不涉及分类管理名录中提及的敏感保护目标）</w:t>
      </w:r>
      <w:r>
        <w:rPr>
          <w:spacing w:val="-13"/>
        </w:rPr>
        <w:t>，厂界外 </w:t>
      </w:r>
      <w:r>
        <w:rPr>
          <w:rFonts w:ascii="Times New Roman" w:eastAsia="Times New Roman"/>
          <w:position w:val="1"/>
        </w:rPr>
        <w:t>50m </w:t>
      </w:r>
      <w:r>
        <w:rPr>
          <w:spacing w:val="-5"/>
        </w:rPr>
        <w:t>范围内土壤环境保护目标如表 </w:t>
      </w:r>
      <w:r>
        <w:rPr>
          <w:rFonts w:ascii="Times New Roman" w:eastAsia="Times New Roman"/>
          <w:position w:val="1"/>
        </w:rPr>
        <w:t>2.6-2 </w:t>
      </w:r>
      <w:r>
        <w:rPr>
          <w:spacing w:val="-9"/>
        </w:rPr>
        <w:t>所示，厂界外 </w:t>
      </w:r>
      <w:r>
        <w:rPr>
          <w:rFonts w:ascii="Times New Roman" w:eastAsia="Times New Roman"/>
          <w:position w:val="1"/>
        </w:rPr>
        <w:t>200m </w:t>
      </w:r>
      <w:r>
        <w:rPr>
          <w:spacing w:val="-4"/>
        </w:rPr>
        <w:t>范围内不涉及声环境保护目标，厂界外 </w:t>
      </w:r>
      <w:r>
        <w:rPr>
          <w:rFonts w:ascii="Times New Roman" w:eastAsia="Times New Roman"/>
          <w:position w:val="1"/>
        </w:rPr>
        <w:t>2.5km </w:t>
      </w:r>
      <w:r>
        <w:rPr>
          <w:spacing w:val="-5"/>
        </w:rPr>
        <w:t>范围内大气环境保护目标如表 </w:t>
      </w:r>
      <w:r>
        <w:rPr>
          <w:rFonts w:ascii="Times New Roman" w:eastAsia="Times New Roman"/>
          <w:position w:val="1"/>
        </w:rPr>
        <w:t>2.6-3 </w:t>
      </w:r>
      <w:r>
        <w:rPr>
          <w:spacing w:val="-5"/>
        </w:rPr>
        <w:t>所示， </w:t>
      </w:r>
      <w:r>
        <w:rPr>
          <w:spacing w:val="-9"/>
        </w:rPr>
        <w:t>运输线路沿线 </w:t>
      </w:r>
      <w:r>
        <w:rPr>
          <w:rFonts w:ascii="Times New Roman" w:eastAsia="Times New Roman"/>
          <w:position w:val="1"/>
        </w:rPr>
        <w:t>200m </w:t>
      </w:r>
      <w:r>
        <w:rPr>
          <w:spacing w:val="-6"/>
        </w:rPr>
        <w:t>范围内敏感目标如表 </w:t>
      </w:r>
      <w:r>
        <w:rPr>
          <w:rFonts w:ascii="Times New Roman" w:eastAsia="Times New Roman"/>
          <w:position w:val="1"/>
        </w:rPr>
        <w:t>2.6-4 </w:t>
      </w:r>
      <w:r>
        <w:rPr/>
        <w:t>所示。</w:t>
      </w:r>
    </w:p>
    <w:p>
      <w:pPr>
        <w:pStyle w:val="Heading3"/>
        <w:spacing w:before="3"/>
        <w:ind w:left="3300"/>
        <w:jc w:val="both"/>
      </w:pPr>
      <w:r>
        <w:rPr/>
        <w:t>表 </w:t>
      </w:r>
      <w:r>
        <w:rPr>
          <w:rFonts w:ascii="Times New Roman" w:eastAsia="Times New Roman"/>
        </w:rPr>
        <w:t>2.6-1  </w:t>
      </w:r>
      <w:r>
        <w:rPr/>
        <w:t>项目周围水环境概况</w:t>
      </w:r>
    </w:p>
    <w:p>
      <w:pPr>
        <w:pStyle w:val="BodyText"/>
        <w:spacing w:before="1"/>
        <w:ind w:left="0"/>
        <w:rPr>
          <w:b/>
          <w:sz w:val="6"/>
        </w:rPr>
      </w:pPr>
    </w:p>
    <w:tbl>
      <w:tblPr>
        <w:tblW w:w="0" w:type="auto"/>
        <w:jc w:val="left"/>
        <w:tblInd w:w="2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61"/>
        <w:gridCol w:w="3063"/>
        <w:gridCol w:w="1073"/>
        <w:gridCol w:w="1992"/>
        <w:gridCol w:w="1540"/>
        <w:gridCol w:w="1108"/>
      </w:tblGrid>
      <w:tr>
        <w:trPr>
          <w:trHeight w:val="359" w:hRule="atLeast"/>
        </w:trPr>
        <w:tc>
          <w:tcPr>
            <w:tcW w:w="461" w:type="dxa"/>
            <w:tcBorders>
              <w:bottom w:val="single" w:sz="6" w:space="0" w:color="000000"/>
              <w:right w:val="single" w:sz="6" w:space="0" w:color="000000"/>
            </w:tcBorders>
          </w:tcPr>
          <w:p>
            <w:pPr>
              <w:pStyle w:val="TableParagraph"/>
              <w:spacing w:before="44"/>
              <w:ind w:left="20" w:right="-15"/>
              <w:rPr>
                <w:rFonts w:ascii="宋体" w:eastAsia="宋体" w:hint="eastAsia"/>
                <w:b/>
                <w:sz w:val="21"/>
              </w:rPr>
            </w:pPr>
            <w:r>
              <w:rPr>
                <w:rFonts w:ascii="宋体" w:eastAsia="宋体" w:hint="eastAsia"/>
                <w:b/>
                <w:sz w:val="21"/>
              </w:rPr>
              <w:t>序号</w:t>
            </w:r>
          </w:p>
        </w:tc>
        <w:tc>
          <w:tcPr>
            <w:tcW w:w="3063" w:type="dxa"/>
            <w:tcBorders>
              <w:left w:val="single" w:sz="6" w:space="0" w:color="000000"/>
              <w:bottom w:val="single" w:sz="6" w:space="0" w:color="000000"/>
              <w:right w:val="single" w:sz="6" w:space="0" w:color="000000"/>
            </w:tcBorders>
          </w:tcPr>
          <w:p>
            <w:pPr>
              <w:pStyle w:val="TableParagraph"/>
              <w:spacing w:before="44"/>
              <w:ind w:left="46" w:right="19"/>
              <w:rPr>
                <w:rFonts w:ascii="宋体" w:eastAsia="宋体" w:hint="eastAsia"/>
                <w:b/>
                <w:sz w:val="21"/>
              </w:rPr>
            </w:pPr>
            <w:r>
              <w:rPr>
                <w:rFonts w:ascii="宋体" w:eastAsia="宋体" w:hint="eastAsia"/>
                <w:b/>
                <w:sz w:val="21"/>
              </w:rPr>
              <w:t>敏感点名称</w:t>
            </w:r>
          </w:p>
        </w:tc>
        <w:tc>
          <w:tcPr>
            <w:tcW w:w="1073" w:type="dxa"/>
            <w:tcBorders>
              <w:left w:val="single" w:sz="6" w:space="0" w:color="000000"/>
              <w:bottom w:val="single" w:sz="6" w:space="0" w:color="000000"/>
              <w:right w:val="single" w:sz="6" w:space="0" w:color="000000"/>
            </w:tcBorders>
          </w:tcPr>
          <w:p>
            <w:pPr>
              <w:pStyle w:val="TableParagraph"/>
              <w:spacing w:before="44"/>
              <w:ind w:left="310" w:right="285"/>
              <w:rPr>
                <w:rFonts w:ascii="宋体" w:eastAsia="宋体" w:hint="eastAsia"/>
                <w:b/>
                <w:sz w:val="21"/>
              </w:rPr>
            </w:pPr>
            <w:r>
              <w:rPr>
                <w:rFonts w:ascii="宋体" w:eastAsia="宋体" w:hint="eastAsia"/>
                <w:b/>
                <w:sz w:val="21"/>
              </w:rPr>
              <w:t>方位</w:t>
            </w:r>
          </w:p>
        </w:tc>
        <w:tc>
          <w:tcPr>
            <w:tcW w:w="1992" w:type="dxa"/>
            <w:tcBorders>
              <w:left w:val="single" w:sz="6" w:space="0" w:color="000000"/>
              <w:bottom w:val="single" w:sz="6" w:space="0" w:color="000000"/>
              <w:right w:val="single" w:sz="6" w:space="0" w:color="000000"/>
            </w:tcBorders>
          </w:tcPr>
          <w:p>
            <w:pPr>
              <w:pStyle w:val="TableParagraph"/>
              <w:spacing w:before="44"/>
              <w:ind w:left="554" w:right="531"/>
              <w:rPr>
                <w:rFonts w:ascii="宋体" w:eastAsia="宋体" w:hint="eastAsia"/>
                <w:b/>
                <w:sz w:val="21"/>
              </w:rPr>
            </w:pPr>
            <w:r>
              <w:rPr>
                <w:rFonts w:ascii="宋体" w:eastAsia="宋体" w:hint="eastAsia"/>
                <w:b/>
                <w:sz w:val="21"/>
              </w:rPr>
              <w:t>距厂界</w:t>
            </w:r>
          </w:p>
        </w:tc>
        <w:tc>
          <w:tcPr>
            <w:tcW w:w="1540" w:type="dxa"/>
            <w:tcBorders>
              <w:left w:val="single" w:sz="6" w:space="0" w:color="000000"/>
              <w:bottom w:val="single" w:sz="6" w:space="0" w:color="000000"/>
              <w:right w:val="single" w:sz="6" w:space="0" w:color="000000"/>
            </w:tcBorders>
          </w:tcPr>
          <w:p>
            <w:pPr>
              <w:pStyle w:val="TableParagraph"/>
              <w:spacing w:before="44"/>
              <w:ind w:left="25"/>
              <w:rPr>
                <w:rFonts w:ascii="宋体" w:eastAsia="宋体" w:hint="eastAsia"/>
                <w:b/>
                <w:sz w:val="21"/>
              </w:rPr>
            </w:pPr>
            <w:r>
              <w:rPr>
                <w:rFonts w:ascii="宋体" w:eastAsia="宋体" w:hint="eastAsia"/>
                <w:b/>
                <w:sz w:val="21"/>
              </w:rPr>
              <w:t>描述</w:t>
            </w:r>
          </w:p>
        </w:tc>
        <w:tc>
          <w:tcPr>
            <w:tcW w:w="1108" w:type="dxa"/>
            <w:tcBorders>
              <w:left w:val="single" w:sz="6" w:space="0" w:color="000000"/>
              <w:bottom w:val="single" w:sz="6" w:space="0" w:color="000000"/>
            </w:tcBorders>
          </w:tcPr>
          <w:p>
            <w:pPr>
              <w:pStyle w:val="TableParagraph"/>
              <w:spacing w:before="44"/>
              <w:ind w:left="30"/>
              <w:rPr>
                <w:rFonts w:ascii="宋体" w:eastAsia="宋体" w:hint="eastAsia"/>
                <w:b/>
                <w:sz w:val="21"/>
              </w:rPr>
            </w:pPr>
            <w:r>
              <w:rPr>
                <w:rFonts w:ascii="宋体" w:eastAsia="宋体" w:hint="eastAsia"/>
                <w:b/>
                <w:sz w:val="21"/>
              </w:rPr>
              <w:t>保护类别</w:t>
            </w:r>
          </w:p>
        </w:tc>
      </w:tr>
      <w:tr>
        <w:trPr>
          <w:trHeight w:val="359" w:hRule="atLeast"/>
        </w:trPr>
        <w:tc>
          <w:tcPr>
            <w:tcW w:w="461" w:type="dxa"/>
            <w:tcBorders>
              <w:top w:val="single" w:sz="6" w:space="0" w:color="000000"/>
              <w:bottom w:val="single" w:sz="6" w:space="0" w:color="000000"/>
              <w:right w:val="single" w:sz="6" w:space="0" w:color="000000"/>
            </w:tcBorders>
          </w:tcPr>
          <w:p>
            <w:pPr>
              <w:pStyle w:val="TableParagraph"/>
              <w:ind w:left="25"/>
              <w:rPr>
                <w:sz w:val="21"/>
              </w:rPr>
            </w:pPr>
            <w:r>
              <w:rPr>
                <w:w w:val="100"/>
                <w:sz w:val="21"/>
              </w:rPr>
              <w:t>1</w:t>
            </w:r>
          </w:p>
        </w:tc>
        <w:tc>
          <w:tcPr>
            <w:tcW w:w="3063" w:type="dxa"/>
            <w:tcBorders>
              <w:top w:val="single" w:sz="6" w:space="0" w:color="000000"/>
              <w:left w:val="single" w:sz="6" w:space="0" w:color="000000"/>
              <w:bottom w:val="single" w:sz="6" w:space="0" w:color="000000"/>
              <w:right w:val="single" w:sz="6" w:space="0" w:color="000000"/>
            </w:tcBorders>
          </w:tcPr>
          <w:p>
            <w:pPr>
              <w:pStyle w:val="TableParagraph"/>
              <w:spacing w:before="44"/>
              <w:ind w:left="47" w:right="19"/>
              <w:rPr>
                <w:rFonts w:ascii="宋体" w:eastAsia="宋体" w:hint="eastAsia"/>
                <w:sz w:val="21"/>
              </w:rPr>
            </w:pPr>
            <w:r>
              <w:rPr>
                <w:rFonts w:ascii="宋体" w:eastAsia="宋体" w:hint="eastAsia"/>
                <w:sz w:val="21"/>
              </w:rPr>
              <w:t>大洋水库</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W</w:t>
            </w:r>
          </w:p>
        </w:tc>
        <w:tc>
          <w:tcPr>
            <w:tcW w:w="1992" w:type="dxa"/>
            <w:tcBorders>
              <w:top w:val="single" w:sz="6" w:space="0" w:color="000000"/>
              <w:left w:val="single" w:sz="6" w:space="0" w:color="000000"/>
              <w:bottom w:val="single" w:sz="6" w:space="0" w:color="000000"/>
              <w:right w:val="single" w:sz="6" w:space="0" w:color="000000"/>
            </w:tcBorders>
          </w:tcPr>
          <w:p>
            <w:pPr>
              <w:pStyle w:val="TableParagraph"/>
              <w:spacing w:before="44"/>
              <w:ind w:left="560" w:right="531"/>
              <w:rPr>
                <w:sz w:val="21"/>
              </w:rPr>
            </w:pPr>
            <w:r>
              <w:rPr>
                <w:rFonts w:ascii="宋体" w:eastAsia="宋体" w:hint="eastAsia"/>
                <w:sz w:val="21"/>
              </w:rPr>
              <w:t>约 </w:t>
            </w:r>
            <w:r>
              <w:rPr>
                <w:sz w:val="21"/>
              </w:rPr>
              <w:t>660m</w:t>
            </w:r>
          </w:p>
        </w:tc>
        <w:tc>
          <w:tcPr>
            <w:tcW w:w="1540"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宋体" w:eastAsia="宋体" w:hint="eastAsia"/>
                <w:sz w:val="21"/>
              </w:rPr>
            </w:pPr>
            <w:r>
              <w:rPr>
                <w:rFonts w:ascii="宋体" w:eastAsia="宋体" w:hint="eastAsia"/>
                <w:sz w:val="21"/>
              </w:rPr>
              <w:t>农业用水区</w:t>
            </w:r>
          </w:p>
        </w:tc>
        <w:tc>
          <w:tcPr>
            <w:tcW w:w="1108" w:type="dxa"/>
            <w:tcBorders>
              <w:top w:val="single" w:sz="6" w:space="0" w:color="000000"/>
              <w:left w:val="single" w:sz="6" w:space="0" w:color="000000"/>
              <w:bottom w:val="single" w:sz="6" w:space="0" w:color="000000"/>
            </w:tcBorders>
          </w:tcPr>
          <w:p>
            <w:pPr>
              <w:pStyle w:val="TableParagraph"/>
              <w:spacing w:before="46"/>
              <w:ind w:left="28"/>
              <w:rPr>
                <w:rFonts w:ascii="宋体" w:hAnsi="宋体" w:eastAsia="宋体" w:hint="eastAsia"/>
                <w:sz w:val="21"/>
              </w:rPr>
            </w:pPr>
            <w:r>
              <w:rPr>
                <w:rFonts w:ascii="宋体" w:hAnsi="宋体" w:eastAsia="宋体" w:hint="eastAsia"/>
                <w:sz w:val="21"/>
              </w:rPr>
              <w:t>地表水Ⅲ类</w:t>
            </w:r>
          </w:p>
        </w:tc>
      </w:tr>
      <w:tr>
        <w:trPr>
          <w:trHeight w:val="356" w:hRule="atLeast"/>
        </w:trPr>
        <w:tc>
          <w:tcPr>
            <w:tcW w:w="461" w:type="dxa"/>
            <w:tcBorders>
              <w:top w:val="single" w:sz="6" w:space="0" w:color="000000"/>
              <w:bottom w:val="single" w:sz="6" w:space="0" w:color="000000"/>
              <w:right w:val="single" w:sz="6" w:space="0" w:color="000000"/>
            </w:tcBorders>
          </w:tcPr>
          <w:p>
            <w:pPr>
              <w:pStyle w:val="TableParagraph"/>
              <w:ind w:left="25"/>
              <w:rPr>
                <w:sz w:val="21"/>
              </w:rPr>
            </w:pPr>
            <w:r>
              <w:rPr>
                <w:w w:val="100"/>
                <w:sz w:val="21"/>
              </w:rPr>
              <w:t>2</w:t>
            </w:r>
          </w:p>
        </w:tc>
        <w:tc>
          <w:tcPr>
            <w:tcW w:w="3063" w:type="dxa"/>
            <w:tcBorders>
              <w:top w:val="single" w:sz="6" w:space="0" w:color="000000"/>
              <w:left w:val="single" w:sz="6" w:space="0" w:color="000000"/>
              <w:bottom w:val="single" w:sz="6" w:space="0" w:color="000000"/>
              <w:right w:val="single" w:sz="6" w:space="0" w:color="000000"/>
            </w:tcBorders>
          </w:tcPr>
          <w:p>
            <w:pPr>
              <w:pStyle w:val="TableParagraph"/>
              <w:spacing w:before="44"/>
              <w:ind w:left="46" w:right="19"/>
              <w:rPr>
                <w:rFonts w:ascii="宋体" w:eastAsia="宋体" w:hint="eastAsia"/>
                <w:sz w:val="21"/>
              </w:rPr>
            </w:pPr>
            <w:r>
              <w:rPr>
                <w:rFonts w:ascii="宋体" w:eastAsia="宋体" w:hint="eastAsia"/>
                <w:sz w:val="21"/>
              </w:rPr>
              <w:t>项里溪</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N</w:t>
            </w:r>
          </w:p>
        </w:tc>
        <w:tc>
          <w:tcPr>
            <w:tcW w:w="1992" w:type="dxa"/>
            <w:tcBorders>
              <w:top w:val="single" w:sz="6" w:space="0" w:color="000000"/>
              <w:left w:val="single" w:sz="6" w:space="0" w:color="000000"/>
              <w:bottom w:val="single" w:sz="6" w:space="0" w:color="000000"/>
              <w:right w:val="single" w:sz="6" w:space="0" w:color="000000"/>
            </w:tcBorders>
          </w:tcPr>
          <w:p>
            <w:pPr>
              <w:pStyle w:val="TableParagraph"/>
              <w:spacing w:before="44"/>
              <w:ind w:left="559" w:right="531"/>
              <w:rPr>
                <w:rFonts w:ascii="宋体" w:eastAsia="宋体" w:hint="eastAsia"/>
                <w:sz w:val="21"/>
              </w:rPr>
            </w:pPr>
            <w:r>
              <w:rPr>
                <w:rFonts w:ascii="宋体" w:eastAsia="宋体" w:hint="eastAsia"/>
                <w:sz w:val="21"/>
              </w:rPr>
              <w:t>紧邻</w:t>
            </w:r>
          </w:p>
        </w:tc>
        <w:tc>
          <w:tcPr>
            <w:tcW w:w="1540"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宋体" w:eastAsia="宋体" w:hint="eastAsia"/>
                <w:sz w:val="21"/>
              </w:rPr>
            </w:pPr>
            <w:r>
              <w:rPr>
                <w:rFonts w:ascii="宋体" w:eastAsia="宋体" w:hint="eastAsia"/>
                <w:sz w:val="21"/>
              </w:rPr>
              <w:t>农业用水区</w:t>
            </w:r>
          </w:p>
        </w:tc>
        <w:tc>
          <w:tcPr>
            <w:tcW w:w="1108" w:type="dxa"/>
            <w:tcBorders>
              <w:top w:val="single" w:sz="6" w:space="0" w:color="000000"/>
              <w:left w:val="single" w:sz="6" w:space="0" w:color="000000"/>
              <w:bottom w:val="single" w:sz="6" w:space="0" w:color="000000"/>
            </w:tcBorders>
          </w:tcPr>
          <w:p>
            <w:pPr>
              <w:pStyle w:val="TableParagraph"/>
              <w:spacing w:before="46"/>
              <w:ind w:left="28"/>
              <w:rPr>
                <w:rFonts w:ascii="宋体" w:hAnsi="宋体" w:eastAsia="宋体" w:hint="eastAsia"/>
                <w:sz w:val="21"/>
              </w:rPr>
            </w:pPr>
            <w:r>
              <w:rPr>
                <w:rFonts w:ascii="宋体" w:hAnsi="宋体" w:eastAsia="宋体" w:hint="eastAsia"/>
                <w:sz w:val="21"/>
              </w:rPr>
              <w:t>地表水Ⅲ类</w:t>
            </w:r>
          </w:p>
        </w:tc>
      </w:tr>
      <w:tr>
        <w:trPr>
          <w:trHeight w:val="359" w:hRule="atLeast"/>
        </w:trPr>
        <w:tc>
          <w:tcPr>
            <w:tcW w:w="461" w:type="dxa"/>
            <w:tcBorders>
              <w:top w:val="single" w:sz="6" w:space="0" w:color="000000"/>
              <w:bottom w:val="single" w:sz="6" w:space="0" w:color="000000"/>
              <w:right w:val="single" w:sz="6" w:space="0" w:color="000000"/>
            </w:tcBorders>
          </w:tcPr>
          <w:p>
            <w:pPr>
              <w:pStyle w:val="TableParagraph"/>
              <w:spacing w:before="60"/>
              <w:ind w:left="25"/>
              <w:rPr>
                <w:sz w:val="21"/>
              </w:rPr>
            </w:pPr>
            <w:r>
              <w:rPr>
                <w:w w:val="100"/>
                <w:sz w:val="21"/>
              </w:rPr>
              <w:t>3</w:t>
            </w:r>
          </w:p>
        </w:tc>
        <w:tc>
          <w:tcPr>
            <w:tcW w:w="3063" w:type="dxa"/>
            <w:tcBorders>
              <w:top w:val="single" w:sz="6" w:space="0" w:color="000000"/>
              <w:left w:val="single" w:sz="6" w:space="0" w:color="000000"/>
              <w:bottom w:val="single" w:sz="6" w:space="0" w:color="000000"/>
              <w:right w:val="single" w:sz="6" w:space="0" w:color="000000"/>
            </w:tcBorders>
          </w:tcPr>
          <w:p>
            <w:pPr>
              <w:pStyle w:val="TableParagraph"/>
              <w:spacing w:before="46"/>
              <w:ind w:left="49" w:right="19"/>
              <w:rPr>
                <w:rFonts w:ascii="宋体" w:eastAsia="宋体" w:hint="eastAsia"/>
                <w:sz w:val="21"/>
              </w:rPr>
            </w:pPr>
            <w:r>
              <w:rPr>
                <w:rFonts w:ascii="宋体" w:eastAsia="宋体" w:hint="eastAsia"/>
                <w:sz w:val="21"/>
              </w:rPr>
              <w:t>项里溪支流</w:t>
            </w:r>
          </w:p>
        </w:tc>
        <w:tc>
          <w:tcPr>
            <w:tcW w:w="306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
              <w:jc w:val="left"/>
              <w:rPr>
                <w:rFonts w:ascii="宋体" w:eastAsia="宋体" w:hint="eastAsia"/>
                <w:sz w:val="21"/>
              </w:rPr>
            </w:pPr>
            <w:r>
              <w:rPr>
                <w:rFonts w:ascii="宋体" w:eastAsia="宋体" w:hint="eastAsia"/>
                <w:sz w:val="21"/>
              </w:rPr>
              <w:t>自西南方向穿过本项目所在地块</w:t>
            </w:r>
          </w:p>
        </w:tc>
        <w:tc>
          <w:tcPr>
            <w:tcW w:w="1540" w:type="dxa"/>
            <w:tcBorders>
              <w:top w:val="single" w:sz="6" w:space="0" w:color="000000"/>
              <w:left w:val="single" w:sz="6" w:space="0" w:color="000000"/>
              <w:bottom w:val="single" w:sz="6" w:space="0" w:color="000000"/>
              <w:right w:val="single" w:sz="6" w:space="0" w:color="000000"/>
            </w:tcBorders>
          </w:tcPr>
          <w:p>
            <w:pPr>
              <w:pStyle w:val="TableParagraph"/>
              <w:spacing w:before="46"/>
              <w:ind w:left="28"/>
              <w:rPr>
                <w:rFonts w:ascii="宋体" w:eastAsia="宋体" w:hint="eastAsia"/>
                <w:sz w:val="21"/>
              </w:rPr>
            </w:pPr>
            <w:r>
              <w:rPr>
                <w:rFonts w:ascii="宋体" w:eastAsia="宋体" w:hint="eastAsia"/>
                <w:sz w:val="21"/>
              </w:rPr>
              <w:t>农业用水区</w:t>
            </w:r>
          </w:p>
        </w:tc>
        <w:tc>
          <w:tcPr>
            <w:tcW w:w="1108" w:type="dxa"/>
            <w:tcBorders>
              <w:top w:val="single" w:sz="6" w:space="0" w:color="000000"/>
              <w:left w:val="single" w:sz="6" w:space="0" w:color="000000"/>
              <w:bottom w:val="single" w:sz="6" w:space="0" w:color="000000"/>
            </w:tcBorders>
          </w:tcPr>
          <w:p>
            <w:pPr>
              <w:pStyle w:val="TableParagraph"/>
              <w:spacing w:before="49"/>
              <w:ind w:left="28"/>
              <w:rPr>
                <w:rFonts w:ascii="宋体" w:hAnsi="宋体" w:eastAsia="宋体" w:hint="eastAsia"/>
                <w:sz w:val="21"/>
              </w:rPr>
            </w:pPr>
            <w:r>
              <w:rPr>
                <w:rFonts w:ascii="宋体" w:hAnsi="宋体" w:eastAsia="宋体" w:hint="eastAsia"/>
                <w:sz w:val="21"/>
              </w:rPr>
              <w:t>地表水Ⅲ类</w:t>
            </w:r>
          </w:p>
        </w:tc>
      </w:tr>
      <w:tr>
        <w:trPr>
          <w:trHeight w:val="359" w:hRule="atLeast"/>
        </w:trPr>
        <w:tc>
          <w:tcPr>
            <w:tcW w:w="461" w:type="dxa"/>
            <w:tcBorders>
              <w:top w:val="single" w:sz="6" w:space="0" w:color="000000"/>
              <w:bottom w:val="single" w:sz="6" w:space="0" w:color="000000"/>
              <w:right w:val="single" w:sz="6" w:space="0" w:color="000000"/>
            </w:tcBorders>
          </w:tcPr>
          <w:p>
            <w:pPr>
              <w:pStyle w:val="TableParagraph"/>
              <w:ind w:left="25"/>
              <w:rPr>
                <w:sz w:val="21"/>
              </w:rPr>
            </w:pPr>
            <w:r>
              <w:rPr>
                <w:w w:val="100"/>
                <w:sz w:val="21"/>
              </w:rPr>
              <w:t>4</w:t>
            </w:r>
          </w:p>
        </w:tc>
        <w:tc>
          <w:tcPr>
            <w:tcW w:w="3063" w:type="dxa"/>
            <w:tcBorders>
              <w:top w:val="single" w:sz="6" w:space="0" w:color="000000"/>
              <w:left w:val="single" w:sz="6" w:space="0" w:color="000000"/>
              <w:bottom w:val="single" w:sz="6" w:space="0" w:color="000000"/>
              <w:right w:val="single" w:sz="6" w:space="0" w:color="000000"/>
            </w:tcBorders>
          </w:tcPr>
          <w:p>
            <w:pPr>
              <w:pStyle w:val="TableParagraph"/>
              <w:spacing w:before="44"/>
              <w:ind w:left="49" w:right="19"/>
              <w:rPr>
                <w:rFonts w:ascii="宋体" w:eastAsia="宋体" w:hint="eastAsia"/>
                <w:sz w:val="21"/>
              </w:rPr>
            </w:pPr>
            <w:r>
              <w:rPr>
                <w:rFonts w:ascii="宋体" w:eastAsia="宋体" w:hint="eastAsia"/>
                <w:sz w:val="21"/>
              </w:rPr>
              <w:t>项里江（鉴湖水域一般保护区）</w:t>
            </w:r>
          </w:p>
        </w:tc>
        <w:tc>
          <w:tcPr>
            <w:tcW w:w="1073" w:type="dxa"/>
            <w:tcBorders>
              <w:top w:val="single" w:sz="6" w:space="0" w:color="000000"/>
              <w:left w:val="single" w:sz="6" w:space="0" w:color="000000"/>
              <w:bottom w:val="single" w:sz="6" w:space="0" w:color="000000"/>
              <w:right w:val="single" w:sz="6" w:space="0" w:color="000000"/>
            </w:tcBorders>
          </w:tcPr>
          <w:p>
            <w:pPr>
              <w:pStyle w:val="TableParagraph"/>
              <w:ind w:left="310" w:right="280"/>
              <w:rPr>
                <w:sz w:val="21"/>
              </w:rPr>
            </w:pPr>
            <w:r>
              <w:rPr>
                <w:sz w:val="21"/>
              </w:rPr>
              <w:t>NE</w:t>
            </w:r>
          </w:p>
        </w:tc>
        <w:tc>
          <w:tcPr>
            <w:tcW w:w="1992" w:type="dxa"/>
            <w:tcBorders>
              <w:top w:val="single" w:sz="6" w:space="0" w:color="000000"/>
              <w:left w:val="single" w:sz="6" w:space="0" w:color="000000"/>
              <w:bottom w:val="single" w:sz="6" w:space="0" w:color="000000"/>
              <w:right w:val="single" w:sz="6" w:space="0" w:color="000000"/>
            </w:tcBorders>
          </w:tcPr>
          <w:p>
            <w:pPr>
              <w:pStyle w:val="TableParagraph"/>
              <w:spacing w:before="44"/>
              <w:ind w:left="560" w:right="531"/>
              <w:rPr>
                <w:sz w:val="21"/>
              </w:rPr>
            </w:pPr>
            <w:r>
              <w:rPr>
                <w:rFonts w:ascii="宋体" w:eastAsia="宋体" w:hint="eastAsia"/>
                <w:sz w:val="21"/>
              </w:rPr>
              <w:t>约 </w:t>
            </w:r>
            <w:r>
              <w:rPr>
                <w:sz w:val="21"/>
              </w:rPr>
              <w:t>1.3km</w:t>
            </w:r>
          </w:p>
        </w:tc>
        <w:tc>
          <w:tcPr>
            <w:tcW w:w="1540"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宋体" w:eastAsia="宋体" w:hint="eastAsia"/>
                <w:sz w:val="21"/>
              </w:rPr>
            </w:pPr>
            <w:r>
              <w:rPr>
                <w:rFonts w:ascii="宋体" w:eastAsia="宋体" w:hint="eastAsia"/>
                <w:sz w:val="21"/>
              </w:rPr>
              <w:t>农业用水区</w:t>
            </w:r>
          </w:p>
        </w:tc>
        <w:tc>
          <w:tcPr>
            <w:tcW w:w="1108" w:type="dxa"/>
            <w:tcBorders>
              <w:top w:val="single" w:sz="6" w:space="0" w:color="000000"/>
              <w:left w:val="single" w:sz="6" w:space="0" w:color="000000"/>
              <w:bottom w:val="single" w:sz="6" w:space="0" w:color="000000"/>
            </w:tcBorders>
          </w:tcPr>
          <w:p>
            <w:pPr>
              <w:pStyle w:val="TableParagraph"/>
              <w:spacing w:before="46"/>
              <w:ind w:left="28"/>
              <w:rPr>
                <w:rFonts w:ascii="宋体" w:hAnsi="宋体" w:eastAsia="宋体" w:hint="eastAsia"/>
                <w:sz w:val="21"/>
              </w:rPr>
            </w:pPr>
            <w:r>
              <w:rPr>
                <w:rFonts w:ascii="宋体" w:hAnsi="宋体" w:eastAsia="宋体" w:hint="eastAsia"/>
                <w:sz w:val="21"/>
              </w:rPr>
              <w:t>地表水Ⅲ类</w:t>
            </w:r>
          </w:p>
        </w:tc>
      </w:tr>
      <w:tr>
        <w:trPr>
          <w:trHeight w:val="357" w:hRule="atLeast"/>
        </w:trPr>
        <w:tc>
          <w:tcPr>
            <w:tcW w:w="461" w:type="dxa"/>
            <w:tcBorders>
              <w:top w:val="single" w:sz="6" w:space="0" w:color="000000"/>
              <w:right w:val="single" w:sz="6" w:space="0" w:color="000000"/>
            </w:tcBorders>
          </w:tcPr>
          <w:p>
            <w:pPr>
              <w:pStyle w:val="TableParagraph"/>
              <w:ind w:left="25"/>
              <w:rPr>
                <w:sz w:val="21"/>
              </w:rPr>
            </w:pPr>
            <w:r>
              <w:rPr>
                <w:w w:val="100"/>
                <w:sz w:val="21"/>
              </w:rPr>
              <w:t>5</w:t>
            </w:r>
          </w:p>
        </w:tc>
        <w:tc>
          <w:tcPr>
            <w:tcW w:w="3063" w:type="dxa"/>
            <w:tcBorders>
              <w:top w:val="single" w:sz="6" w:space="0" w:color="000000"/>
              <w:left w:val="single" w:sz="6" w:space="0" w:color="000000"/>
              <w:right w:val="single" w:sz="6" w:space="0" w:color="000000"/>
            </w:tcBorders>
          </w:tcPr>
          <w:p>
            <w:pPr>
              <w:pStyle w:val="TableParagraph"/>
              <w:spacing w:before="44"/>
              <w:ind w:left="46" w:right="19"/>
              <w:rPr>
                <w:rFonts w:ascii="宋体" w:eastAsia="宋体" w:hint="eastAsia"/>
                <w:sz w:val="21"/>
              </w:rPr>
            </w:pPr>
            <w:r>
              <w:rPr>
                <w:rFonts w:ascii="宋体" w:eastAsia="宋体" w:hint="eastAsia"/>
                <w:sz w:val="21"/>
              </w:rPr>
              <w:t>鉴湖</w:t>
            </w:r>
          </w:p>
        </w:tc>
        <w:tc>
          <w:tcPr>
            <w:tcW w:w="1073" w:type="dxa"/>
            <w:tcBorders>
              <w:top w:val="single" w:sz="6" w:space="0" w:color="000000"/>
              <w:left w:val="single" w:sz="6" w:space="0" w:color="000000"/>
              <w:right w:val="single" w:sz="6" w:space="0" w:color="000000"/>
            </w:tcBorders>
          </w:tcPr>
          <w:p>
            <w:pPr>
              <w:pStyle w:val="TableParagraph"/>
              <w:ind w:left="310" w:right="280"/>
              <w:rPr>
                <w:sz w:val="21"/>
              </w:rPr>
            </w:pPr>
            <w:r>
              <w:rPr>
                <w:sz w:val="21"/>
              </w:rPr>
              <w:t>NE</w:t>
            </w:r>
          </w:p>
        </w:tc>
        <w:tc>
          <w:tcPr>
            <w:tcW w:w="1992" w:type="dxa"/>
            <w:tcBorders>
              <w:top w:val="single" w:sz="6" w:space="0" w:color="000000"/>
              <w:left w:val="single" w:sz="6" w:space="0" w:color="000000"/>
              <w:right w:val="single" w:sz="6" w:space="0" w:color="000000"/>
            </w:tcBorders>
          </w:tcPr>
          <w:p>
            <w:pPr>
              <w:pStyle w:val="TableParagraph"/>
              <w:spacing w:before="44"/>
              <w:ind w:left="560" w:right="531"/>
              <w:rPr>
                <w:sz w:val="21"/>
              </w:rPr>
            </w:pPr>
            <w:r>
              <w:rPr>
                <w:rFonts w:ascii="宋体" w:eastAsia="宋体" w:hint="eastAsia"/>
                <w:sz w:val="21"/>
              </w:rPr>
              <w:t>约 </w:t>
            </w:r>
            <w:r>
              <w:rPr>
                <w:sz w:val="21"/>
              </w:rPr>
              <w:t>4.0km</w:t>
            </w:r>
          </w:p>
        </w:tc>
        <w:tc>
          <w:tcPr>
            <w:tcW w:w="1540" w:type="dxa"/>
            <w:tcBorders>
              <w:top w:val="single" w:sz="6" w:space="0" w:color="000000"/>
              <w:left w:val="single" w:sz="6" w:space="0" w:color="000000"/>
              <w:right w:val="single" w:sz="6" w:space="0" w:color="000000"/>
            </w:tcBorders>
          </w:tcPr>
          <w:p>
            <w:pPr>
              <w:pStyle w:val="TableParagraph"/>
              <w:spacing w:before="44"/>
              <w:ind w:left="25"/>
              <w:rPr>
                <w:rFonts w:ascii="宋体" w:eastAsia="宋体" w:hint="eastAsia"/>
                <w:sz w:val="21"/>
              </w:rPr>
            </w:pPr>
            <w:r>
              <w:rPr>
                <w:rFonts w:ascii="宋体" w:eastAsia="宋体" w:hint="eastAsia"/>
                <w:sz w:val="21"/>
              </w:rPr>
              <w:t>景观娱乐用水区</w:t>
            </w:r>
          </w:p>
        </w:tc>
        <w:tc>
          <w:tcPr>
            <w:tcW w:w="1108" w:type="dxa"/>
            <w:tcBorders>
              <w:top w:val="single" w:sz="6" w:space="0" w:color="000000"/>
              <w:left w:val="single" w:sz="6" w:space="0" w:color="000000"/>
            </w:tcBorders>
          </w:tcPr>
          <w:p>
            <w:pPr>
              <w:pStyle w:val="TableParagraph"/>
              <w:spacing w:before="47"/>
              <w:ind w:left="28"/>
              <w:rPr>
                <w:rFonts w:ascii="宋体" w:hAnsi="宋体" w:eastAsia="宋体" w:hint="eastAsia"/>
                <w:sz w:val="21"/>
              </w:rPr>
            </w:pPr>
            <w:r>
              <w:rPr>
                <w:rFonts w:ascii="宋体" w:hAnsi="宋体" w:eastAsia="宋体" w:hint="eastAsia"/>
                <w:sz w:val="21"/>
              </w:rPr>
              <w:t>地表水Ⅱ类</w:t>
            </w:r>
          </w:p>
        </w:tc>
      </w:tr>
    </w:tbl>
    <w:p>
      <w:pPr>
        <w:spacing w:before="26"/>
        <w:ind w:left="657" w:right="0" w:firstLine="0"/>
        <w:jc w:val="left"/>
        <w:rPr>
          <w:sz w:val="21"/>
        </w:rPr>
      </w:pPr>
      <w:r>
        <w:rPr>
          <w:sz w:val="21"/>
        </w:rPr>
        <w:t>注：距离指直线最近距离。</w:t>
      </w:r>
    </w:p>
    <w:p>
      <w:pPr>
        <w:pStyle w:val="Heading3"/>
        <w:spacing w:before="102"/>
        <w:ind w:left="219" w:right="236"/>
        <w:jc w:val="center"/>
      </w:pPr>
      <w:r>
        <w:rPr>
          <w:spacing w:val="-31"/>
        </w:rPr>
        <w:t>表 </w:t>
      </w:r>
      <w:r>
        <w:rPr>
          <w:rFonts w:ascii="Times New Roman" w:eastAsia="Times New Roman"/>
        </w:rPr>
        <w:t>2.6-2</w:t>
      </w:r>
      <w:r>
        <w:rPr>
          <w:rFonts w:ascii="Times New Roman" w:eastAsia="Times New Roman"/>
          <w:spacing w:val="56"/>
        </w:rPr>
        <w:t> </w:t>
      </w:r>
      <w:r>
        <w:rPr/>
        <w:t>项目周围土壤环境保护目标</w:t>
      </w:r>
    </w:p>
    <w:p>
      <w:pPr>
        <w:pStyle w:val="BodyText"/>
        <w:spacing w:before="1"/>
        <w:ind w:left="0"/>
        <w:rPr>
          <w:b/>
          <w:sz w:val="6"/>
        </w:rPr>
      </w:pP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8"/>
        <w:gridCol w:w="2242"/>
        <w:gridCol w:w="2239"/>
        <w:gridCol w:w="1646"/>
        <w:gridCol w:w="2527"/>
      </w:tblGrid>
      <w:tr>
        <w:trPr>
          <w:trHeight w:val="359" w:hRule="atLeast"/>
        </w:trPr>
        <w:tc>
          <w:tcPr>
            <w:tcW w:w="588" w:type="dxa"/>
            <w:tcBorders>
              <w:bottom w:val="single" w:sz="6" w:space="0" w:color="000000"/>
              <w:right w:val="single" w:sz="6" w:space="0" w:color="000000"/>
            </w:tcBorders>
          </w:tcPr>
          <w:p>
            <w:pPr>
              <w:pStyle w:val="TableParagraph"/>
              <w:spacing w:before="46"/>
              <w:ind w:left="65" w:right="37"/>
              <w:rPr>
                <w:rFonts w:ascii="宋体" w:eastAsia="宋体" w:hint="eastAsia"/>
                <w:b/>
                <w:sz w:val="21"/>
              </w:rPr>
            </w:pPr>
            <w:r>
              <w:rPr>
                <w:rFonts w:ascii="宋体" w:eastAsia="宋体" w:hint="eastAsia"/>
                <w:b/>
                <w:sz w:val="21"/>
              </w:rPr>
              <w:t>序号</w:t>
            </w:r>
          </w:p>
        </w:tc>
        <w:tc>
          <w:tcPr>
            <w:tcW w:w="2242" w:type="dxa"/>
            <w:tcBorders>
              <w:left w:val="single" w:sz="6" w:space="0" w:color="000000"/>
              <w:bottom w:val="single" w:sz="6" w:space="0" w:color="000000"/>
              <w:right w:val="single" w:sz="6" w:space="0" w:color="000000"/>
            </w:tcBorders>
          </w:tcPr>
          <w:p>
            <w:pPr>
              <w:pStyle w:val="TableParagraph"/>
              <w:spacing w:before="46"/>
              <w:ind w:left="263" w:right="240"/>
              <w:rPr>
                <w:rFonts w:ascii="宋体" w:eastAsia="宋体" w:hint="eastAsia"/>
                <w:b/>
                <w:sz w:val="21"/>
              </w:rPr>
            </w:pPr>
            <w:r>
              <w:rPr>
                <w:rFonts w:ascii="宋体" w:eastAsia="宋体" w:hint="eastAsia"/>
                <w:b/>
                <w:sz w:val="21"/>
              </w:rPr>
              <w:t>敏感点名称</w:t>
            </w:r>
          </w:p>
        </w:tc>
        <w:tc>
          <w:tcPr>
            <w:tcW w:w="2239" w:type="dxa"/>
            <w:tcBorders>
              <w:left w:val="single" w:sz="6" w:space="0" w:color="000000"/>
              <w:bottom w:val="single" w:sz="6" w:space="0" w:color="000000"/>
              <w:right w:val="single" w:sz="6" w:space="0" w:color="000000"/>
            </w:tcBorders>
          </w:tcPr>
          <w:p>
            <w:pPr>
              <w:pStyle w:val="TableParagraph"/>
              <w:spacing w:before="46"/>
              <w:ind w:left="263" w:right="237"/>
              <w:rPr>
                <w:rFonts w:ascii="宋体" w:eastAsia="宋体" w:hint="eastAsia"/>
                <w:b/>
                <w:sz w:val="21"/>
              </w:rPr>
            </w:pPr>
            <w:r>
              <w:rPr>
                <w:rFonts w:ascii="宋体" w:eastAsia="宋体" w:hint="eastAsia"/>
                <w:b/>
                <w:sz w:val="21"/>
              </w:rPr>
              <w:t>方位</w:t>
            </w:r>
          </w:p>
        </w:tc>
        <w:tc>
          <w:tcPr>
            <w:tcW w:w="1646" w:type="dxa"/>
            <w:tcBorders>
              <w:left w:val="single" w:sz="6" w:space="0" w:color="000000"/>
              <w:bottom w:val="single" w:sz="6" w:space="0" w:color="000000"/>
              <w:right w:val="single" w:sz="6" w:space="0" w:color="000000"/>
            </w:tcBorders>
          </w:tcPr>
          <w:p>
            <w:pPr>
              <w:pStyle w:val="TableParagraph"/>
              <w:spacing w:before="46"/>
              <w:ind w:left="193" w:right="168"/>
              <w:rPr>
                <w:rFonts w:ascii="宋体" w:eastAsia="宋体" w:hint="eastAsia"/>
                <w:b/>
                <w:sz w:val="21"/>
              </w:rPr>
            </w:pPr>
            <w:r>
              <w:rPr>
                <w:rFonts w:ascii="宋体" w:eastAsia="宋体" w:hint="eastAsia"/>
                <w:b/>
                <w:sz w:val="21"/>
              </w:rPr>
              <w:t>距厂界（</w:t>
            </w:r>
            <w:r>
              <w:rPr>
                <w:b/>
                <w:sz w:val="21"/>
              </w:rPr>
              <w:t>m</w:t>
            </w:r>
            <w:r>
              <w:rPr>
                <w:rFonts w:ascii="宋体" w:eastAsia="宋体" w:hint="eastAsia"/>
                <w:b/>
                <w:sz w:val="21"/>
              </w:rPr>
              <w:t>）</w:t>
            </w:r>
          </w:p>
        </w:tc>
        <w:tc>
          <w:tcPr>
            <w:tcW w:w="2527" w:type="dxa"/>
            <w:tcBorders>
              <w:left w:val="single" w:sz="6" w:space="0" w:color="000000"/>
              <w:bottom w:val="single" w:sz="6" w:space="0" w:color="000000"/>
            </w:tcBorders>
          </w:tcPr>
          <w:p>
            <w:pPr>
              <w:pStyle w:val="TableParagraph"/>
              <w:spacing w:before="46"/>
              <w:ind w:left="302" w:right="270"/>
              <w:rPr>
                <w:rFonts w:ascii="宋体" w:eastAsia="宋体" w:hint="eastAsia"/>
                <w:b/>
                <w:sz w:val="21"/>
              </w:rPr>
            </w:pPr>
            <w:r>
              <w:rPr>
                <w:rFonts w:ascii="宋体" w:eastAsia="宋体" w:hint="eastAsia"/>
                <w:b/>
                <w:sz w:val="21"/>
              </w:rPr>
              <w:t>保护类别</w:t>
            </w:r>
          </w:p>
        </w:tc>
      </w:tr>
      <w:tr>
        <w:trPr>
          <w:trHeight w:val="359" w:hRule="atLeast"/>
        </w:trPr>
        <w:tc>
          <w:tcPr>
            <w:tcW w:w="588" w:type="dxa"/>
            <w:tcBorders>
              <w:top w:val="single" w:sz="6" w:space="0" w:color="000000"/>
              <w:bottom w:val="single" w:sz="6" w:space="0" w:color="000000"/>
              <w:right w:val="single" w:sz="6" w:space="0" w:color="000000"/>
            </w:tcBorders>
          </w:tcPr>
          <w:p>
            <w:pPr>
              <w:pStyle w:val="TableParagraph"/>
              <w:ind w:left="28"/>
              <w:rPr>
                <w:sz w:val="21"/>
              </w:rPr>
            </w:pPr>
            <w:r>
              <w:rPr>
                <w:w w:val="100"/>
                <w:sz w:val="21"/>
              </w:rPr>
              <w:t>1</w:t>
            </w:r>
          </w:p>
        </w:tc>
        <w:tc>
          <w:tcPr>
            <w:tcW w:w="2242" w:type="dxa"/>
            <w:tcBorders>
              <w:top w:val="single" w:sz="6" w:space="0" w:color="000000"/>
              <w:left w:val="single" w:sz="6" w:space="0" w:color="000000"/>
              <w:bottom w:val="single" w:sz="6" w:space="0" w:color="000000"/>
              <w:right w:val="single" w:sz="6" w:space="0" w:color="000000"/>
            </w:tcBorders>
          </w:tcPr>
          <w:p>
            <w:pPr>
              <w:pStyle w:val="TableParagraph"/>
              <w:spacing w:before="44"/>
              <w:ind w:left="266" w:right="240"/>
              <w:rPr>
                <w:rFonts w:ascii="宋体" w:eastAsia="宋体" w:hint="eastAsia"/>
                <w:sz w:val="21"/>
              </w:rPr>
            </w:pPr>
            <w:r>
              <w:rPr>
                <w:rFonts w:ascii="宋体" w:eastAsia="宋体" w:hint="eastAsia"/>
                <w:sz w:val="21"/>
              </w:rPr>
              <w:t>耕地（基本农田）</w:t>
            </w:r>
          </w:p>
        </w:tc>
        <w:tc>
          <w:tcPr>
            <w:tcW w:w="2239" w:type="dxa"/>
            <w:tcBorders>
              <w:top w:val="single" w:sz="6" w:space="0" w:color="000000"/>
              <w:left w:val="single" w:sz="6" w:space="0" w:color="000000"/>
              <w:bottom w:val="single" w:sz="6" w:space="0" w:color="000000"/>
              <w:right w:val="single" w:sz="6" w:space="0" w:color="000000"/>
            </w:tcBorders>
          </w:tcPr>
          <w:p>
            <w:pPr>
              <w:pStyle w:val="TableParagraph"/>
              <w:spacing w:before="44"/>
              <w:ind w:left="266" w:right="237"/>
              <w:rPr>
                <w:rFonts w:ascii="宋体" w:eastAsia="宋体" w:hint="eastAsia"/>
                <w:sz w:val="21"/>
              </w:rPr>
            </w:pPr>
            <w:r>
              <w:rPr>
                <w:rFonts w:ascii="宋体" w:eastAsia="宋体" w:hint="eastAsia"/>
                <w:sz w:val="21"/>
              </w:rPr>
              <w:t>拟建址内北侧区域</w:t>
            </w:r>
          </w:p>
        </w:tc>
        <w:tc>
          <w:tcPr>
            <w:tcW w:w="1646" w:type="dxa"/>
            <w:tcBorders>
              <w:top w:val="single" w:sz="6" w:space="0" w:color="000000"/>
              <w:left w:val="single" w:sz="6" w:space="0" w:color="000000"/>
              <w:bottom w:val="single" w:sz="6" w:space="0" w:color="000000"/>
              <w:right w:val="single" w:sz="6" w:space="0" w:color="000000"/>
            </w:tcBorders>
          </w:tcPr>
          <w:p>
            <w:pPr>
              <w:pStyle w:val="TableParagraph"/>
              <w:ind w:left="26"/>
              <w:rPr>
                <w:sz w:val="21"/>
              </w:rPr>
            </w:pPr>
            <w:r>
              <w:rPr>
                <w:w w:val="100"/>
                <w:sz w:val="21"/>
              </w:rPr>
              <w:t>/</w:t>
            </w:r>
          </w:p>
        </w:tc>
        <w:tc>
          <w:tcPr>
            <w:tcW w:w="2527" w:type="dxa"/>
            <w:tcBorders>
              <w:top w:val="single" w:sz="6" w:space="0" w:color="000000"/>
              <w:left w:val="single" w:sz="6" w:space="0" w:color="000000"/>
              <w:bottom w:val="single" w:sz="6" w:space="0" w:color="000000"/>
            </w:tcBorders>
          </w:tcPr>
          <w:p>
            <w:pPr>
              <w:pStyle w:val="TableParagraph"/>
              <w:spacing w:before="44"/>
              <w:ind w:left="302" w:right="272"/>
              <w:rPr>
                <w:rFonts w:ascii="宋体" w:eastAsia="宋体" w:hint="eastAsia"/>
                <w:sz w:val="21"/>
              </w:rPr>
            </w:pPr>
            <w:r>
              <w:rPr>
                <w:rFonts w:ascii="宋体" w:eastAsia="宋体" w:hint="eastAsia"/>
                <w:sz w:val="21"/>
              </w:rPr>
              <w:t>农用地土壤污染风险</w:t>
            </w:r>
          </w:p>
        </w:tc>
      </w:tr>
      <w:tr>
        <w:trPr>
          <w:trHeight w:val="359" w:hRule="atLeast"/>
        </w:trPr>
        <w:tc>
          <w:tcPr>
            <w:tcW w:w="588" w:type="dxa"/>
            <w:tcBorders>
              <w:top w:val="single" w:sz="6" w:space="0" w:color="000000"/>
              <w:bottom w:val="single" w:sz="6" w:space="0" w:color="000000"/>
              <w:right w:val="single" w:sz="6" w:space="0" w:color="000000"/>
            </w:tcBorders>
          </w:tcPr>
          <w:p>
            <w:pPr>
              <w:pStyle w:val="TableParagraph"/>
              <w:ind w:left="28"/>
              <w:rPr>
                <w:sz w:val="21"/>
              </w:rPr>
            </w:pPr>
            <w:r>
              <w:rPr>
                <w:w w:val="100"/>
                <w:sz w:val="21"/>
              </w:rPr>
              <w:t>2</w:t>
            </w:r>
          </w:p>
        </w:tc>
        <w:tc>
          <w:tcPr>
            <w:tcW w:w="2242" w:type="dxa"/>
            <w:tcBorders>
              <w:top w:val="single" w:sz="6" w:space="0" w:color="000000"/>
              <w:left w:val="single" w:sz="6" w:space="0" w:color="000000"/>
              <w:bottom w:val="single" w:sz="6" w:space="0" w:color="000000"/>
              <w:right w:val="single" w:sz="6" w:space="0" w:color="000000"/>
            </w:tcBorders>
          </w:tcPr>
          <w:p>
            <w:pPr>
              <w:pStyle w:val="TableParagraph"/>
              <w:spacing w:before="44"/>
              <w:ind w:left="266" w:right="240"/>
              <w:rPr>
                <w:rFonts w:ascii="宋体" w:eastAsia="宋体" w:hint="eastAsia"/>
                <w:sz w:val="21"/>
              </w:rPr>
            </w:pPr>
            <w:r>
              <w:rPr>
                <w:rFonts w:ascii="宋体" w:eastAsia="宋体" w:hint="eastAsia"/>
                <w:sz w:val="21"/>
              </w:rPr>
              <w:t>耕地（一般农田）</w:t>
            </w:r>
          </w:p>
        </w:tc>
        <w:tc>
          <w:tcPr>
            <w:tcW w:w="2239" w:type="dxa"/>
            <w:tcBorders>
              <w:top w:val="single" w:sz="6" w:space="0" w:color="000000"/>
              <w:left w:val="single" w:sz="6" w:space="0" w:color="000000"/>
              <w:bottom w:val="single" w:sz="6" w:space="0" w:color="000000"/>
              <w:right w:val="single" w:sz="6" w:space="0" w:color="000000"/>
            </w:tcBorders>
          </w:tcPr>
          <w:p>
            <w:pPr>
              <w:pStyle w:val="TableParagraph"/>
              <w:spacing w:before="44"/>
              <w:ind w:left="266" w:right="237"/>
              <w:rPr>
                <w:rFonts w:ascii="宋体" w:eastAsia="宋体" w:hint="eastAsia"/>
                <w:sz w:val="21"/>
              </w:rPr>
            </w:pPr>
            <w:r>
              <w:rPr>
                <w:rFonts w:ascii="宋体" w:eastAsia="宋体" w:hint="eastAsia"/>
                <w:sz w:val="21"/>
              </w:rPr>
              <w:t>拟建址内南侧区域</w:t>
            </w:r>
          </w:p>
        </w:tc>
        <w:tc>
          <w:tcPr>
            <w:tcW w:w="1646" w:type="dxa"/>
            <w:tcBorders>
              <w:top w:val="single" w:sz="6" w:space="0" w:color="000000"/>
              <w:left w:val="single" w:sz="6" w:space="0" w:color="000000"/>
              <w:bottom w:val="single" w:sz="6" w:space="0" w:color="000000"/>
              <w:right w:val="single" w:sz="6" w:space="0" w:color="000000"/>
            </w:tcBorders>
          </w:tcPr>
          <w:p>
            <w:pPr>
              <w:pStyle w:val="TableParagraph"/>
              <w:ind w:left="26"/>
              <w:rPr>
                <w:sz w:val="21"/>
              </w:rPr>
            </w:pPr>
            <w:r>
              <w:rPr>
                <w:w w:val="100"/>
                <w:sz w:val="21"/>
              </w:rPr>
              <w:t>/</w:t>
            </w:r>
          </w:p>
        </w:tc>
        <w:tc>
          <w:tcPr>
            <w:tcW w:w="2527" w:type="dxa"/>
            <w:tcBorders>
              <w:top w:val="single" w:sz="6" w:space="0" w:color="000000"/>
              <w:left w:val="single" w:sz="6" w:space="0" w:color="000000"/>
              <w:bottom w:val="single" w:sz="6" w:space="0" w:color="000000"/>
            </w:tcBorders>
          </w:tcPr>
          <w:p>
            <w:pPr>
              <w:pStyle w:val="TableParagraph"/>
              <w:spacing w:before="44"/>
              <w:ind w:left="302" w:right="272"/>
              <w:rPr>
                <w:rFonts w:ascii="宋体" w:eastAsia="宋体" w:hint="eastAsia"/>
                <w:sz w:val="21"/>
              </w:rPr>
            </w:pPr>
            <w:r>
              <w:rPr>
                <w:rFonts w:ascii="宋体" w:eastAsia="宋体" w:hint="eastAsia"/>
                <w:sz w:val="21"/>
              </w:rPr>
              <w:t>农用地土壤污染风险</w:t>
            </w:r>
          </w:p>
        </w:tc>
      </w:tr>
      <w:tr>
        <w:trPr>
          <w:trHeight w:val="356" w:hRule="atLeast"/>
        </w:trPr>
        <w:tc>
          <w:tcPr>
            <w:tcW w:w="588" w:type="dxa"/>
            <w:tcBorders>
              <w:top w:val="single" w:sz="6" w:space="0" w:color="000000"/>
              <w:right w:val="single" w:sz="6" w:space="0" w:color="000000"/>
            </w:tcBorders>
          </w:tcPr>
          <w:p>
            <w:pPr>
              <w:pStyle w:val="TableParagraph"/>
              <w:ind w:left="28"/>
              <w:rPr>
                <w:sz w:val="21"/>
              </w:rPr>
            </w:pPr>
            <w:r>
              <w:rPr>
                <w:w w:val="100"/>
                <w:sz w:val="21"/>
              </w:rPr>
              <w:t>3</w:t>
            </w:r>
          </w:p>
        </w:tc>
        <w:tc>
          <w:tcPr>
            <w:tcW w:w="2242" w:type="dxa"/>
            <w:tcBorders>
              <w:top w:val="single" w:sz="6" w:space="0" w:color="000000"/>
              <w:left w:val="single" w:sz="6" w:space="0" w:color="000000"/>
              <w:right w:val="single" w:sz="6" w:space="0" w:color="000000"/>
            </w:tcBorders>
          </w:tcPr>
          <w:p>
            <w:pPr>
              <w:pStyle w:val="TableParagraph"/>
              <w:spacing w:before="44"/>
              <w:ind w:left="266" w:right="240"/>
              <w:rPr>
                <w:rFonts w:ascii="宋体" w:eastAsia="宋体" w:hint="eastAsia"/>
                <w:sz w:val="21"/>
              </w:rPr>
            </w:pPr>
            <w:r>
              <w:rPr>
                <w:rFonts w:ascii="宋体" w:eastAsia="宋体" w:hint="eastAsia"/>
                <w:sz w:val="21"/>
              </w:rPr>
              <w:t>耕地（基本农田）</w:t>
            </w:r>
          </w:p>
        </w:tc>
        <w:tc>
          <w:tcPr>
            <w:tcW w:w="2239" w:type="dxa"/>
            <w:tcBorders>
              <w:top w:val="single" w:sz="6" w:space="0" w:color="000000"/>
              <w:left w:val="single" w:sz="6" w:space="0" w:color="000000"/>
              <w:right w:val="single" w:sz="6" w:space="0" w:color="000000"/>
            </w:tcBorders>
          </w:tcPr>
          <w:p>
            <w:pPr>
              <w:pStyle w:val="TableParagraph"/>
              <w:spacing w:before="44"/>
              <w:ind w:left="263" w:right="237"/>
              <w:rPr>
                <w:sz w:val="21"/>
              </w:rPr>
            </w:pPr>
            <w:r>
              <w:rPr>
                <w:rFonts w:ascii="宋体" w:eastAsia="宋体" w:hint="eastAsia"/>
                <w:sz w:val="21"/>
              </w:rPr>
              <w:t>地块</w:t>
            </w:r>
            <w:r>
              <w:rPr>
                <w:sz w:val="21"/>
              </w:rPr>
              <w:t>NE/W/NW</w:t>
            </w:r>
          </w:p>
        </w:tc>
        <w:tc>
          <w:tcPr>
            <w:tcW w:w="1646" w:type="dxa"/>
            <w:tcBorders>
              <w:top w:val="single" w:sz="6" w:space="0" w:color="000000"/>
              <w:left w:val="single" w:sz="6" w:space="0" w:color="000000"/>
              <w:right w:val="single" w:sz="6" w:space="0" w:color="000000"/>
            </w:tcBorders>
          </w:tcPr>
          <w:p>
            <w:pPr>
              <w:pStyle w:val="TableParagraph"/>
              <w:spacing w:before="44"/>
              <w:ind w:left="193" w:right="163"/>
              <w:rPr>
                <w:rFonts w:ascii="宋体" w:eastAsia="宋体" w:hint="eastAsia"/>
                <w:sz w:val="21"/>
              </w:rPr>
            </w:pPr>
            <w:r>
              <w:rPr>
                <w:rFonts w:ascii="宋体" w:eastAsia="宋体" w:hint="eastAsia"/>
                <w:sz w:val="21"/>
              </w:rPr>
              <w:t>紧邻</w:t>
            </w:r>
          </w:p>
        </w:tc>
        <w:tc>
          <w:tcPr>
            <w:tcW w:w="2527" w:type="dxa"/>
            <w:tcBorders>
              <w:top w:val="single" w:sz="6" w:space="0" w:color="000000"/>
              <w:left w:val="single" w:sz="6" w:space="0" w:color="000000"/>
            </w:tcBorders>
          </w:tcPr>
          <w:p>
            <w:pPr>
              <w:pStyle w:val="TableParagraph"/>
              <w:spacing w:before="44"/>
              <w:ind w:left="302" w:right="272"/>
              <w:rPr>
                <w:rFonts w:ascii="宋体" w:eastAsia="宋体" w:hint="eastAsia"/>
                <w:sz w:val="21"/>
              </w:rPr>
            </w:pPr>
            <w:r>
              <w:rPr>
                <w:rFonts w:ascii="宋体" w:eastAsia="宋体" w:hint="eastAsia"/>
                <w:sz w:val="21"/>
              </w:rPr>
              <w:t>农用地土壤污染风险</w:t>
            </w:r>
          </w:p>
        </w:tc>
      </w:tr>
    </w:tbl>
    <w:p>
      <w:pPr>
        <w:spacing w:before="26"/>
        <w:ind w:left="657" w:right="0" w:firstLine="0"/>
        <w:jc w:val="left"/>
        <w:rPr>
          <w:sz w:val="21"/>
        </w:rPr>
      </w:pPr>
      <w:r>
        <w:rPr>
          <w:spacing w:val="-3"/>
          <w:sz w:val="21"/>
        </w:rPr>
        <w:t>注：依据柯岩街道土地利用总体规划局部图确定，详见附图十二。</w:t>
      </w:r>
    </w:p>
    <w:p>
      <w:pPr>
        <w:pStyle w:val="Heading3"/>
        <w:spacing w:before="101"/>
        <w:ind w:left="219" w:right="236"/>
        <w:jc w:val="center"/>
      </w:pPr>
      <w:r>
        <w:rPr>
          <w:spacing w:val="-31"/>
        </w:rPr>
        <w:t>表 </w:t>
      </w:r>
      <w:r>
        <w:rPr>
          <w:rFonts w:ascii="Times New Roman" w:eastAsia="Times New Roman"/>
        </w:rPr>
        <w:t>2.6-4</w:t>
      </w:r>
      <w:r>
        <w:rPr>
          <w:rFonts w:ascii="Times New Roman" w:eastAsia="Times New Roman"/>
          <w:spacing w:val="56"/>
        </w:rPr>
        <w:t> </w:t>
      </w:r>
      <w:r>
        <w:rPr/>
        <w:t>运输线路沿线环境保护目标</w:t>
      </w:r>
    </w:p>
    <w:p>
      <w:pPr>
        <w:pStyle w:val="BodyText"/>
        <w:spacing w:before="2"/>
        <w:ind w:left="0"/>
        <w:rPr>
          <w:b/>
          <w:sz w:val="6"/>
        </w:rPr>
      </w:pPr>
    </w:p>
    <w:tbl>
      <w:tblPr>
        <w:tblW w:w="0" w:type="auto"/>
        <w:jc w:val="left"/>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9"/>
        <w:gridCol w:w="1530"/>
        <w:gridCol w:w="2876"/>
        <w:gridCol w:w="624"/>
        <w:gridCol w:w="2377"/>
        <w:gridCol w:w="1239"/>
      </w:tblGrid>
      <w:tr>
        <w:trPr>
          <w:trHeight w:val="359" w:hRule="atLeast"/>
        </w:trPr>
        <w:tc>
          <w:tcPr>
            <w:tcW w:w="629" w:type="dxa"/>
            <w:tcBorders>
              <w:bottom w:val="single" w:sz="6" w:space="0" w:color="000000"/>
              <w:right w:val="single" w:sz="6" w:space="0" w:color="000000"/>
            </w:tcBorders>
          </w:tcPr>
          <w:p>
            <w:pPr>
              <w:pStyle w:val="TableParagraph"/>
              <w:spacing w:before="44"/>
              <w:ind w:left="84" w:right="59"/>
              <w:rPr>
                <w:rFonts w:ascii="宋体" w:eastAsia="宋体" w:hint="eastAsia"/>
                <w:b/>
                <w:sz w:val="21"/>
              </w:rPr>
            </w:pPr>
            <w:r>
              <w:rPr>
                <w:rFonts w:ascii="宋体" w:eastAsia="宋体" w:hint="eastAsia"/>
                <w:b/>
                <w:sz w:val="21"/>
              </w:rPr>
              <w:t>序号</w:t>
            </w:r>
          </w:p>
        </w:tc>
        <w:tc>
          <w:tcPr>
            <w:tcW w:w="1530" w:type="dxa"/>
            <w:tcBorders>
              <w:left w:val="single" w:sz="6" w:space="0" w:color="000000"/>
              <w:bottom w:val="single" w:sz="6" w:space="0" w:color="000000"/>
              <w:right w:val="single" w:sz="6" w:space="0" w:color="000000"/>
            </w:tcBorders>
          </w:tcPr>
          <w:p>
            <w:pPr>
              <w:pStyle w:val="TableParagraph"/>
              <w:spacing w:before="44"/>
              <w:ind w:left="222" w:right="198"/>
              <w:rPr>
                <w:rFonts w:ascii="宋体" w:eastAsia="宋体" w:hint="eastAsia"/>
                <w:b/>
                <w:sz w:val="21"/>
              </w:rPr>
            </w:pPr>
            <w:r>
              <w:rPr>
                <w:rFonts w:ascii="宋体" w:eastAsia="宋体" w:hint="eastAsia"/>
                <w:b/>
                <w:sz w:val="21"/>
              </w:rPr>
              <w:t>敏感点名称</w:t>
            </w:r>
          </w:p>
        </w:tc>
        <w:tc>
          <w:tcPr>
            <w:tcW w:w="2876" w:type="dxa"/>
            <w:tcBorders>
              <w:left w:val="single" w:sz="6" w:space="0" w:color="000000"/>
              <w:bottom w:val="single" w:sz="6" w:space="0" w:color="000000"/>
              <w:right w:val="single" w:sz="6" w:space="0" w:color="000000"/>
            </w:tcBorders>
          </w:tcPr>
          <w:p>
            <w:pPr>
              <w:pStyle w:val="TableParagraph"/>
              <w:spacing w:before="44"/>
              <w:ind w:left="1001" w:right="975"/>
              <w:rPr>
                <w:rFonts w:ascii="宋体" w:eastAsia="宋体" w:hint="eastAsia"/>
                <w:b/>
                <w:sz w:val="21"/>
              </w:rPr>
            </w:pPr>
            <w:r>
              <w:rPr>
                <w:rFonts w:ascii="宋体" w:eastAsia="宋体" w:hint="eastAsia"/>
                <w:b/>
                <w:sz w:val="21"/>
              </w:rPr>
              <w:t>保护内容</w:t>
            </w:r>
          </w:p>
        </w:tc>
        <w:tc>
          <w:tcPr>
            <w:tcW w:w="624" w:type="dxa"/>
            <w:tcBorders>
              <w:left w:val="single" w:sz="6" w:space="0" w:color="000000"/>
              <w:bottom w:val="single" w:sz="6" w:space="0" w:color="000000"/>
              <w:right w:val="single" w:sz="6" w:space="0" w:color="000000"/>
            </w:tcBorders>
          </w:tcPr>
          <w:p>
            <w:pPr>
              <w:pStyle w:val="TableParagraph"/>
              <w:spacing w:before="44"/>
              <w:ind w:left="84" w:right="63"/>
              <w:rPr>
                <w:rFonts w:ascii="宋体" w:eastAsia="宋体" w:hint="eastAsia"/>
                <w:b/>
                <w:sz w:val="21"/>
              </w:rPr>
            </w:pPr>
            <w:r>
              <w:rPr>
                <w:rFonts w:ascii="宋体" w:eastAsia="宋体" w:hint="eastAsia"/>
                <w:b/>
                <w:sz w:val="21"/>
              </w:rPr>
              <w:t>方位</w:t>
            </w:r>
          </w:p>
        </w:tc>
        <w:tc>
          <w:tcPr>
            <w:tcW w:w="2377" w:type="dxa"/>
            <w:tcBorders>
              <w:left w:val="single" w:sz="6" w:space="0" w:color="000000"/>
              <w:bottom w:val="single" w:sz="6" w:space="0" w:color="000000"/>
              <w:right w:val="single" w:sz="6" w:space="0" w:color="000000"/>
            </w:tcBorders>
          </w:tcPr>
          <w:p>
            <w:pPr>
              <w:pStyle w:val="TableParagraph"/>
              <w:spacing w:before="44"/>
              <w:ind w:left="348" w:right="323"/>
              <w:rPr>
                <w:rFonts w:ascii="宋体" w:eastAsia="宋体" w:hint="eastAsia"/>
                <w:b/>
                <w:sz w:val="21"/>
              </w:rPr>
            </w:pPr>
            <w:r>
              <w:rPr>
                <w:rFonts w:ascii="宋体" w:eastAsia="宋体" w:hint="eastAsia"/>
                <w:b/>
                <w:sz w:val="21"/>
              </w:rPr>
              <w:t>距道路边界（</w:t>
            </w:r>
            <w:r>
              <w:rPr>
                <w:b/>
                <w:sz w:val="21"/>
              </w:rPr>
              <w:t>m</w:t>
            </w:r>
            <w:r>
              <w:rPr>
                <w:rFonts w:ascii="宋体" w:eastAsia="宋体" w:hint="eastAsia"/>
                <w:b/>
                <w:sz w:val="21"/>
              </w:rPr>
              <w:t>）</w:t>
            </w:r>
          </w:p>
        </w:tc>
        <w:tc>
          <w:tcPr>
            <w:tcW w:w="1239" w:type="dxa"/>
            <w:tcBorders>
              <w:left w:val="single" w:sz="6" w:space="0" w:color="000000"/>
              <w:bottom w:val="single" w:sz="6" w:space="0" w:color="000000"/>
            </w:tcBorders>
          </w:tcPr>
          <w:p>
            <w:pPr>
              <w:pStyle w:val="TableParagraph"/>
              <w:spacing w:before="44"/>
              <w:ind w:left="197"/>
              <w:jc w:val="left"/>
              <w:rPr>
                <w:rFonts w:ascii="宋体" w:eastAsia="宋体" w:hint="eastAsia"/>
                <w:b/>
                <w:sz w:val="21"/>
              </w:rPr>
            </w:pPr>
            <w:r>
              <w:rPr>
                <w:rFonts w:ascii="宋体" w:eastAsia="宋体" w:hint="eastAsia"/>
                <w:b/>
                <w:sz w:val="21"/>
              </w:rPr>
              <w:t>保护类别</w:t>
            </w:r>
          </w:p>
        </w:tc>
      </w:tr>
      <w:tr>
        <w:trPr>
          <w:trHeight w:val="351" w:hRule="atLeast"/>
        </w:trPr>
        <w:tc>
          <w:tcPr>
            <w:tcW w:w="629" w:type="dxa"/>
            <w:tcBorders>
              <w:top w:val="single" w:sz="6" w:space="0" w:color="000000"/>
              <w:bottom w:val="single" w:sz="6" w:space="0" w:color="000000"/>
              <w:right w:val="single" w:sz="6" w:space="0" w:color="000000"/>
            </w:tcBorders>
          </w:tcPr>
          <w:p>
            <w:pPr>
              <w:pStyle w:val="TableParagraph"/>
              <w:ind w:left="25"/>
              <w:rPr>
                <w:sz w:val="21"/>
              </w:rPr>
            </w:pPr>
            <w:r>
              <w:rPr>
                <w:w w:val="100"/>
                <w:sz w:val="21"/>
              </w:rPr>
              <w:t>1</w:t>
            </w:r>
          </w:p>
        </w:tc>
        <w:tc>
          <w:tcPr>
            <w:tcW w:w="1530" w:type="dxa"/>
            <w:tcBorders>
              <w:top w:val="single" w:sz="6" w:space="0" w:color="000000"/>
              <w:left w:val="single" w:sz="6" w:space="0" w:color="000000"/>
              <w:bottom w:val="single" w:sz="6" w:space="0" w:color="000000"/>
              <w:right w:val="single" w:sz="6" w:space="0" w:color="000000"/>
            </w:tcBorders>
          </w:tcPr>
          <w:p>
            <w:pPr>
              <w:pStyle w:val="TableParagraph"/>
              <w:spacing w:before="51"/>
              <w:ind w:left="220" w:right="198"/>
              <w:rPr>
                <w:rFonts w:ascii="宋体" w:eastAsia="宋体" w:hint="eastAsia"/>
                <w:sz w:val="20"/>
              </w:rPr>
            </w:pPr>
            <w:r>
              <w:rPr>
                <w:rFonts w:ascii="宋体" w:eastAsia="宋体" w:hint="eastAsia"/>
                <w:sz w:val="20"/>
              </w:rPr>
              <w:t>丰项村</w:t>
            </w:r>
          </w:p>
        </w:tc>
        <w:tc>
          <w:tcPr>
            <w:tcW w:w="2876" w:type="dxa"/>
            <w:tcBorders>
              <w:top w:val="single" w:sz="6" w:space="0" w:color="000000"/>
              <w:left w:val="single" w:sz="6" w:space="0" w:color="000000"/>
              <w:bottom w:val="single" w:sz="6" w:space="0" w:color="000000"/>
              <w:right w:val="single" w:sz="6" w:space="0" w:color="000000"/>
            </w:tcBorders>
          </w:tcPr>
          <w:p>
            <w:pPr>
              <w:pStyle w:val="TableParagraph"/>
              <w:spacing w:before="51"/>
              <w:ind w:left="442"/>
              <w:jc w:val="left"/>
              <w:rPr>
                <w:rFonts w:ascii="宋体" w:eastAsia="宋体" w:hint="eastAsia"/>
                <w:sz w:val="20"/>
              </w:rPr>
            </w:pPr>
            <w:r>
              <w:rPr>
                <w:rFonts w:ascii="宋体" w:eastAsia="宋体" w:hint="eastAsia"/>
                <w:sz w:val="20"/>
              </w:rPr>
              <w:t>约 </w:t>
            </w:r>
            <w:r>
              <w:rPr>
                <w:sz w:val="20"/>
              </w:rPr>
              <w:t>1014 </w:t>
            </w:r>
            <w:r>
              <w:rPr>
                <w:rFonts w:ascii="宋体" w:eastAsia="宋体" w:hint="eastAsia"/>
                <w:sz w:val="20"/>
              </w:rPr>
              <w:t>户，约 </w:t>
            </w:r>
            <w:r>
              <w:rPr>
                <w:sz w:val="20"/>
              </w:rPr>
              <w:t>3047 </w:t>
            </w:r>
            <w:r>
              <w:rPr>
                <w:rFonts w:ascii="宋体" w:eastAsia="宋体" w:hint="eastAsia"/>
                <w:sz w:val="20"/>
              </w:rPr>
              <w:t>人</w:t>
            </w:r>
          </w:p>
        </w:tc>
        <w:tc>
          <w:tcPr>
            <w:tcW w:w="624"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w:t>
            </w:r>
          </w:p>
        </w:tc>
        <w:tc>
          <w:tcPr>
            <w:tcW w:w="2377" w:type="dxa"/>
            <w:tcBorders>
              <w:top w:val="single" w:sz="6" w:space="0" w:color="000000"/>
              <w:left w:val="single" w:sz="6" w:space="0" w:color="000000"/>
              <w:bottom w:val="single" w:sz="6" w:space="0" w:color="000000"/>
              <w:right w:val="single" w:sz="6" w:space="0" w:color="000000"/>
            </w:tcBorders>
          </w:tcPr>
          <w:p>
            <w:pPr>
              <w:pStyle w:val="TableParagraph"/>
              <w:spacing w:before="44"/>
              <w:ind w:left="348" w:right="322"/>
              <w:rPr>
                <w:rFonts w:ascii="宋体" w:eastAsia="宋体" w:hint="eastAsia"/>
                <w:sz w:val="21"/>
              </w:rPr>
            </w:pPr>
            <w:r>
              <w:rPr>
                <w:rFonts w:ascii="宋体" w:eastAsia="宋体" w:hint="eastAsia"/>
                <w:sz w:val="21"/>
              </w:rPr>
              <w:t>穿过</w:t>
            </w:r>
          </w:p>
        </w:tc>
        <w:tc>
          <w:tcPr>
            <w:tcW w:w="1239" w:type="dxa"/>
            <w:vMerge w:val="restart"/>
            <w:tcBorders>
              <w:top w:val="single" w:sz="6" w:space="0" w:color="000000"/>
              <w:left w:val="single" w:sz="6" w:space="0" w:color="000000"/>
            </w:tcBorders>
          </w:tcPr>
          <w:p>
            <w:pPr>
              <w:pStyle w:val="TableParagraph"/>
              <w:spacing w:before="51"/>
              <w:ind w:left="199"/>
              <w:jc w:val="left"/>
              <w:rPr>
                <w:rFonts w:ascii="宋体" w:eastAsia="宋体" w:hint="eastAsia"/>
                <w:sz w:val="21"/>
              </w:rPr>
            </w:pPr>
            <w:r>
              <w:rPr>
                <w:rFonts w:ascii="宋体" w:eastAsia="宋体" w:hint="eastAsia"/>
                <w:sz w:val="21"/>
              </w:rPr>
              <w:t>空气二类</w:t>
            </w:r>
          </w:p>
          <w:p>
            <w:pPr>
              <w:pStyle w:val="TableParagraph"/>
              <w:spacing w:before="91"/>
              <w:ind w:left="302"/>
              <w:jc w:val="left"/>
              <w:rPr>
                <w:rFonts w:ascii="宋体" w:eastAsia="宋体" w:hint="eastAsia"/>
                <w:sz w:val="21"/>
              </w:rPr>
            </w:pPr>
            <w:r>
              <w:rPr>
                <w:rFonts w:ascii="宋体" w:eastAsia="宋体" w:hint="eastAsia"/>
                <w:sz w:val="21"/>
              </w:rPr>
              <w:t>声二类</w:t>
            </w:r>
          </w:p>
        </w:tc>
      </w:tr>
      <w:tr>
        <w:trPr>
          <w:trHeight w:val="349" w:hRule="atLeast"/>
        </w:trPr>
        <w:tc>
          <w:tcPr>
            <w:tcW w:w="629" w:type="dxa"/>
            <w:tcBorders>
              <w:top w:val="single" w:sz="6" w:space="0" w:color="000000"/>
              <w:right w:val="single" w:sz="6" w:space="0" w:color="000000"/>
            </w:tcBorders>
          </w:tcPr>
          <w:p>
            <w:pPr>
              <w:pStyle w:val="TableParagraph"/>
              <w:spacing w:before="50"/>
              <w:ind w:left="25"/>
              <w:rPr>
                <w:sz w:val="21"/>
              </w:rPr>
            </w:pPr>
            <w:r>
              <w:rPr>
                <w:w w:val="100"/>
                <w:sz w:val="21"/>
              </w:rPr>
              <w:t>2</w:t>
            </w:r>
          </w:p>
        </w:tc>
        <w:tc>
          <w:tcPr>
            <w:tcW w:w="1530" w:type="dxa"/>
            <w:tcBorders>
              <w:top w:val="single" w:sz="6" w:space="0" w:color="000000"/>
              <w:left w:val="single" w:sz="6" w:space="0" w:color="000000"/>
              <w:right w:val="single" w:sz="6" w:space="0" w:color="000000"/>
            </w:tcBorders>
          </w:tcPr>
          <w:p>
            <w:pPr>
              <w:pStyle w:val="TableParagraph"/>
              <w:spacing w:before="44"/>
              <w:ind w:left="220" w:right="198"/>
              <w:rPr>
                <w:rFonts w:ascii="宋体" w:eastAsia="宋体" w:hint="eastAsia"/>
                <w:sz w:val="20"/>
              </w:rPr>
            </w:pPr>
            <w:r>
              <w:rPr>
                <w:rFonts w:ascii="宋体" w:eastAsia="宋体" w:hint="eastAsia"/>
                <w:sz w:val="20"/>
              </w:rPr>
              <w:t>河塔村</w:t>
            </w:r>
          </w:p>
        </w:tc>
        <w:tc>
          <w:tcPr>
            <w:tcW w:w="2876" w:type="dxa"/>
            <w:tcBorders>
              <w:top w:val="single" w:sz="6" w:space="0" w:color="000000"/>
              <w:left w:val="single" w:sz="6" w:space="0" w:color="000000"/>
              <w:right w:val="single" w:sz="6" w:space="0" w:color="000000"/>
            </w:tcBorders>
          </w:tcPr>
          <w:p>
            <w:pPr>
              <w:pStyle w:val="TableParagraph"/>
              <w:spacing w:before="44"/>
              <w:ind w:left="495"/>
              <w:jc w:val="left"/>
              <w:rPr>
                <w:rFonts w:ascii="宋体" w:eastAsia="宋体" w:hint="eastAsia"/>
                <w:sz w:val="20"/>
              </w:rPr>
            </w:pPr>
            <w:r>
              <w:rPr>
                <w:rFonts w:ascii="宋体" w:eastAsia="宋体" w:hint="eastAsia"/>
                <w:sz w:val="20"/>
              </w:rPr>
              <w:t>约 </w:t>
            </w:r>
            <w:r>
              <w:rPr>
                <w:sz w:val="20"/>
              </w:rPr>
              <w:t>375 </w:t>
            </w:r>
            <w:r>
              <w:rPr>
                <w:rFonts w:ascii="宋体" w:eastAsia="宋体" w:hint="eastAsia"/>
                <w:sz w:val="20"/>
              </w:rPr>
              <w:t>户，约 </w:t>
            </w:r>
            <w:r>
              <w:rPr>
                <w:sz w:val="20"/>
              </w:rPr>
              <w:t>1171 </w:t>
            </w:r>
            <w:r>
              <w:rPr>
                <w:rFonts w:ascii="宋体" w:eastAsia="宋体" w:hint="eastAsia"/>
                <w:sz w:val="20"/>
              </w:rPr>
              <w:t>人</w:t>
            </w:r>
          </w:p>
        </w:tc>
        <w:tc>
          <w:tcPr>
            <w:tcW w:w="624" w:type="dxa"/>
            <w:tcBorders>
              <w:top w:val="single" w:sz="6" w:space="0" w:color="000000"/>
              <w:left w:val="single" w:sz="6" w:space="0" w:color="000000"/>
              <w:right w:val="single" w:sz="6" w:space="0" w:color="000000"/>
            </w:tcBorders>
          </w:tcPr>
          <w:p>
            <w:pPr>
              <w:pStyle w:val="TableParagraph"/>
              <w:spacing w:before="50"/>
              <w:ind w:left="23"/>
              <w:rPr>
                <w:sz w:val="21"/>
              </w:rPr>
            </w:pPr>
            <w:r>
              <w:rPr>
                <w:w w:val="100"/>
                <w:sz w:val="21"/>
              </w:rPr>
              <w:t>W</w:t>
            </w:r>
          </w:p>
        </w:tc>
        <w:tc>
          <w:tcPr>
            <w:tcW w:w="2377" w:type="dxa"/>
            <w:tcBorders>
              <w:top w:val="single" w:sz="6" w:space="0" w:color="000000"/>
              <w:left w:val="single" w:sz="6" w:space="0" w:color="000000"/>
              <w:right w:val="single" w:sz="6" w:space="0" w:color="000000"/>
            </w:tcBorders>
          </w:tcPr>
          <w:p>
            <w:pPr>
              <w:pStyle w:val="TableParagraph"/>
              <w:spacing w:before="36"/>
              <w:ind w:left="348" w:right="321"/>
              <w:rPr>
                <w:sz w:val="21"/>
              </w:rPr>
            </w:pPr>
            <w:r>
              <w:rPr>
                <w:rFonts w:ascii="宋体" w:eastAsia="宋体" w:hint="eastAsia"/>
                <w:sz w:val="21"/>
              </w:rPr>
              <w:t>约 </w:t>
            </w:r>
            <w:r>
              <w:rPr>
                <w:sz w:val="21"/>
              </w:rPr>
              <w:t>5m</w:t>
            </w:r>
          </w:p>
        </w:tc>
        <w:tc>
          <w:tcPr>
            <w:tcW w:w="1239" w:type="dxa"/>
            <w:vMerge/>
            <w:tcBorders>
              <w:top w:val="nil"/>
              <w:left w:val="single" w:sz="6" w:space="0" w:color="000000"/>
            </w:tcBorders>
          </w:tcPr>
          <w:p>
            <w:pPr>
              <w:rPr>
                <w:sz w:val="2"/>
                <w:szCs w:val="2"/>
              </w:rPr>
            </w:pPr>
          </w:p>
        </w:tc>
      </w:tr>
    </w:tbl>
    <w:p>
      <w:pPr>
        <w:spacing w:before="26"/>
        <w:ind w:left="657" w:right="0" w:firstLine="0"/>
        <w:jc w:val="left"/>
        <w:rPr>
          <w:sz w:val="21"/>
        </w:rPr>
      </w:pPr>
      <w:r>
        <w:rPr>
          <w:sz w:val="21"/>
        </w:rPr>
        <w:t>注：距离指直线最近距离。</w:t>
      </w:r>
    </w:p>
    <w:p>
      <w:pPr>
        <w:spacing w:after="0"/>
        <w:jc w:val="left"/>
        <w:rPr>
          <w:sz w:val="21"/>
        </w:rPr>
        <w:sectPr>
          <w:pgSz w:w="11910" w:h="16840"/>
          <w:pgMar w:header="874" w:footer="1004" w:top="1400" w:bottom="1200" w:left="1040" w:right="1160"/>
        </w:sectPr>
      </w:pPr>
    </w:p>
    <w:p>
      <w:pPr>
        <w:pStyle w:val="Heading3"/>
        <w:spacing w:before="118"/>
        <w:ind w:left="3925" w:right="3933"/>
        <w:jc w:val="center"/>
      </w:pPr>
      <w:r>
        <w:rPr/>
        <w:t>表 </w:t>
      </w:r>
      <w:r>
        <w:rPr>
          <w:rFonts w:ascii="Times New Roman" w:eastAsia="Times New Roman"/>
        </w:rPr>
        <w:t>2.6-3  </w:t>
      </w:r>
      <w:r>
        <w:rPr/>
        <w:t>项目周围大气环境保护目标一览表</w:t>
      </w:r>
    </w:p>
    <w:p>
      <w:pPr>
        <w:pStyle w:val="BodyText"/>
        <w:spacing w:before="2"/>
        <w:ind w:left="0"/>
        <w:rPr>
          <w:b/>
          <w:sz w:val="6"/>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7"/>
        <w:gridCol w:w="2050"/>
        <w:gridCol w:w="1032"/>
        <w:gridCol w:w="1186"/>
        <w:gridCol w:w="1082"/>
        <w:gridCol w:w="1036"/>
        <w:gridCol w:w="3674"/>
        <w:gridCol w:w="1241"/>
        <w:gridCol w:w="1444"/>
        <w:gridCol w:w="1444"/>
      </w:tblGrid>
      <w:tr>
        <w:trPr>
          <w:trHeight w:val="359" w:hRule="atLeast"/>
        </w:trPr>
        <w:tc>
          <w:tcPr>
            <w:tcW w:w="3709" w:type="dxa"/>
            <w:gridSpan w:val="3"/>
            <w:vMerge w:val="restart"/>
            <w:tcBorders>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633" w:right="1610"/>
              <w:rPr>
                <w:rFonts w:ascii="宋体" w:eastAsia="宋体" w:hint="eastAsia"/>
                <w:b/>
                <w:sz w:val="20"/>
              </w:rPr>
            </w:pPr>
            <w:r>
              <w:rPr>
                <w:rFonts w:ascii="宋体" w:eastAsia="宋体" w:hint="eastAsia"/>
                <w:b/>
                <w:sz w:val="20"/>
              </w:rPr>
              <w:t>名称</w:t>
            </w:r>
          </w:p>
        </w:tc>
        <w:tc>
          <w:tcPr>
            <w:tcW w:w="2268" w:type="dxa"/>
            <w:gridSpan w:val="2"/>
            <w:tcBorders>
              <w:left w:val="single" w:sz="6" w:space="0" w:color="000000"/>
              <w:bottom w:val="single" w:sz="6" w:space="0" w:color="000000"/>
              <w:right w:val="single" w:sz="6" w:space="0" w:color="000000"/>
            </w:tcBorders>
          </w:tcPr>
          <w:p>
            <w:pPr>
              <w:pStyle w:val="TableParagraph"/>
              <w:spacing w:before="51"/>
              <w:ind w:left="71" w:right="35"/>
              <w:rPr>
                <w:rFonts w:ascii="宋体" w:eastAsia="宋体" w:hint="eastAsia"/>
                <w:b/>
                <w:sz w:val="20"/>
              </w:rPr>
            </w:pPr>
            <w:r>
              <w:rPr>
                <w:rFonts w:ascii="宋体" w:eastAsia="宋体" w:hint="eastAsia"/>
                <w:b/>
                <w:sz w:val="20"/>
              </w:rPr>
              <w:t>坐标</w:t>
            </w:r>
          </w:p>
        </w:tc>
        <w:tc>
          <w:tcPr>
            <w:tcW w:w="1036" w:type="dxa"/>
            <w:vMerge w:val="restart"/>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24"/>
              <w:jc w:val="left"/>
              <w:rPr>
                <w:rFonts w:ascii="宋体" w:eastAsia="宋体" w:hint="eastAsia"/>
                <w:b/>
                <w:sz w:val="20"/>
              </w:rPr>
            </w:pPr>
            <w:r>
              <w:rPr>
                <w:rFonts w:ascii="宋体" w:eastAsia="宋体" w:hint="eastAsia"/>
                <w:b/>
                <w:sz w:val="20"/>
              </w:rPr>
              <w:t>保护对象</w:t>
            </w:r>
          </w:p>
        </w:tc>
        <w:tc>
          <w:tcPr>
            <w:tcW w:w="3674" w:type="dxa"/>
            <w:vMerge w:val="restart"/>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76" w:right="38"/>
              <w:rPr>
                <w:rFonts w:ascii="宋体" w:eastAsia="宋体" w:hint="eastAsia"/>
                <w:b/>
                <w:sz w:val="20"/>
              </w:rPr>
            </w:pPr>
            <w:r>
              <w:rPr>
                <w:rFonts w:ascii="宋体" w:eastAsia="宋体" w:hint="eastAsia"/>
                <w:b/>
                <w:sz w:val="20"/>
              </w:rPr>
              <w:t>保护内容</w:t>
            </w:r>
          </w:p>
        </w:tc>
        <w:tc>
          <w:tcPr>
            <w:tcW w:w="1241" w:type="dxa"/>
            <w:vMerge w:val="restart"/>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28"/>
              <w:jc w:val="left"/>
              <w:rPr>
                <w:rFonts w:ascii="宋体" w:eastAsia="宋体" w:hint="eastAsia"/>
                <w:b/>
                <w:sz w:val="20"/>
              </w:rPr>
            </w:pPr>
            <w:r>
              <w:rPr>
                <w:rFonts w:ascii="宋体" w:eastAsia="宋体" w:hint="eastAsia"/>
                <w:b/>
                <w:sz w:val="20"/>
              </w:rPr>
              <w:t>环境功能区</w:t>
            </w:r>
          </w:p>
        </w:tc>
        <w:tc>
          <w:tcPr>
            <w:tcW w:w="1444" w:type="dxa"/>
            <w:vMerge w:val="restart"/>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31"/>
              <w:jc w:val="left"/>
              <w:rPr>
                <w:rFonts w:ascii="宋体" w:eastAsia="宋体" w:hint="eastAsia"/>
                <w:b/>
                <w:sz w:val="20"/>
              </w:rPr>
            </w:pPr>
            <w:r>
              <w:rPr>
                <w:rFonts w:ascii="宋体" w:eastAsia="宋体" w:hint="eastAsia"/>
                <w:b/>
                <w:sz w:val="20"/>
              </w:rPr>
              <w:t>相对厂址方位</w:t>
            </w:r>
          </w:p>
        </w:tc>
        <w:tc>
          <w:tcPr>
            <w:tcW w:w="1444" w:type="dxa"/>
            <w:vMerge w:val="restart"/>
            <w:tcBorders>
              <w:left w:val="single" w:sz="6" w:space="0" w:color="000000"/>
              <w:bottom w:val="single" w:sz="6" w:space="0" w:color="000000"/>
            </w:tcBorders>
          </w:tcPr>
          <w:p>
            <w:pPr>
              <w:pStyle w:val="TableParagraph"/>
              <w:spacing w:before="7"/>
              <w:jc w:val="left"/>
              <w:rPr>
                <w:rFonts w:ascii="宋体"/>
                <w:b/>
                <w:sz w:val="18"/>
              </w:rPr>
            </w:pPr>
          </w:p>
          <w:p>
            <w:pPr>
              <w:pStyle w:val="TableParagraph"/>
              <w:spacing w:before="1"/>
              <w:ind w:left="132"/>
              <w:jc w:val="left"/>
              <w:rPr>
                <w:rFonts w:ascii="宋体" w:eastAsia="宋体" w:hint="eastAsia"/>
                <w:b/>
                <w:sz w:val="20"/>
              </w:rPr>
            </w:pPr>
            <w:r>
              <w:rPr>
                <w:rFonts w:ascii="宋体" w:eastAsia="宋体" w:hint="eastAsia"/>
                <w:b/>
                <w:sz w:val="20"/>
              </w:rPr>
              <w:t>相对厂界距离</w:t>
            </w:r>
          </w:p>
        </w:tc>
      </w:tr>
      <w:tr>
        <w:trPr>
          <w:trHeight w:val="356" w:hRule="atLeast"/>
        </w:trPr>
        <w:tc>
          <w:tcPr>
            <w:tcW w:w="3709" w:type="dxa"/>
            <w:gridSpan w:val="3"/>
            <w:vMerge/>
            <w:tcBorders>
              <w:top w:val="nil"/>
              <w:bottom w:val="single" w:sz="6" w:space="0" w:color="000000"/>
              <w:right w:val="single" w:sz="6" w:space="0" w:color="000000"/>
            </w:tcBorders>
          </w:tcPr>
          <w:p>
            <w:pPr>
              <w:rPr>
                <w:sz w:val="2"/>
                <w:szCs w:val="2"/>
              </w:rPr>
            </w:pP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1"/>
              <w:ind w:left="106" w:right="74"/>
              <w:rPr>
                <w:rFonts w:ascii="宋体" w:eastAsia="宋体" w:hint="eastAsia"/>
                <w:b/>
                <w:sz w:val="20"/>
              </w:rPr>
            </w:pPr>
            <w:r>
              <w:rPr>
                <w:rFonts w:ascii="宋体" w:eastAsia="宋体" w:hint="eastAsia"/>
                <w:b/>
                <w:sz w:val="20"/>
              </w:rPr>
              <w:t>东经</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1"/>
              <w:ind w:left="101" w:right="71"/>
              <w:rPr>
                <w:rFonts w:ascii="宋体" w:eastAsia="宋体" w:hint="eastAsia"/>
                <w:b/>
                <w:sz w:val="20"/>
              </w:rPr>
            </w:pPr>
            <w:r>
              <w:rPr>
                <w:rFonts w:ascii="宋体" w:eastAsia="宋体" w:hint="eastAsia"/>
                <w:b/>
                <w:sz w:val="20"/>
              </w:rPr>
              <w:t>北纬</w:t>
            </w:r>
          </w:p>
        </w:tc>
        <w:tc>
          <w:tcPr>
            <w:tcW w:w="1036" w:type="dxa"/>
            <w:vMerge/>
            <w:tcBorders>
              <w:top w:val="nil"/>
              <w:left w:val="single" w:sz="6" w:space="0" w:color="000000"/>
              <w:bottom w:val="single" w:sz="6" w:space="0" w:color="000000"/>
              <w:right w:val="single" w:sz="6" w:space="0" w:color="000000"/>
            </w:tcBorders>
          </w:tcPr>
          <w:p>
            <w:pPr>
              <w:rPr>
                <w:sz w:val="2"/>
                <w:szCs w:val="2"/>
              </w:rPr>
            </w:pPr>
          </w:p>
        </w:tc>
        <w:tc>
          <w:tcPr>
            <w:tcW w:w="3674"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bottom w:val="single" w:sz="6" w:space="0" w:color="000000"/>
              <w:right w:val="single" w:sz="6" w:space="0" w:color="000000"/>
            </w:tcBorders>
          </w:tcPr>
          <w:p>
            <w:pPr>
              <w:rPr>
                <w:sz w:val="2"/>
                <w:szCs w:val="2"/>
              </w:rPr>
            </w:pPr>
          </w:p>
        </w:tc>
        <w:tc>
          <w:tcPr>
            <w:tcW w:w="1444" w:type="dxa"/>
            <w:vMerge/>
            <w:tcBorders>
              <w:top w:val="nil"/>
              <w:left w:val="single" w:sz="6" w:space="0" w:color="000000"/>
              <w:bottom w:val="single" w:sz="6" w:space="0" w:color="000000"/>
              <w:right w:val="single" w:sz="6" w:space="0" w:color="000000"/>
            </w:tcBorders>
          </w:tcPr>
          <w:p>
            <w:pPr>
              <w:rPr>
                <w:sz w:val="2"/>
                <w:szCs w:val="2"/>
              </w:rPr>
            </w:pPr>
          </w:p>
        </w:tc>
        <w:tc>
          <w:tcPr>
            <w:tcW w:w="1444" w:type="dxa"/>
            <w:vMerge/>
            <w:tcBorders>
              <w:top w:val="nil"/>
              <w:left w:val="single" w:sz="6" w:space="0" w:color="000000"/>
              <w:bottom w:val="single" w:sz="6" w:space="0" w:color="000000"/>
            </w:tcBorders>
          </w:tcPr>
          <w:p>
            <w:pPr>
              <w:rPr>
                <w:sz w:val="2"/>
                <w:szCs w:val="2"/>
              </w:rPr>
            </w:pPr>
          </w:p>
        </w:tc>
      </w:tr>
      <w:tr>
        <w:trPr>
          <w:trHeight w:val="351" w:hRule="atLeast"/>
        </w:trPr>
        <w:tc>
          <w:tcPr>
            <w:tcW w:w="627"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1"/>
              <w:jc w:val="left"/>
              <w:rPr>
                <w:rFonts w:ascii="宋体"/>
                <w:b/>
                <w:sz w:val="21"/>
              </w:rPr>
            </w:pPr>
          </w:p>
          <w:p>
            <w:pPr>
              <w:pStyle w:val="TableParagraph"/>
              <w:spacing w:line="336" w:lineRule="auto" w:before="0"/>
              <w:ind w:left="112" w:right="91"/>
              <w:jc w:val="left"/>
              <w:rPr>
                <w:rFonts w:ascii="宋体" w:eastAsia="宋体" w:hint="eastAsia"/>
                <w:sz w:val="20"/>
              </w:rPr>
            </w:pPr>
            <w:r>
              <w:rPr>
                <w:rFonts w:ascii="宋体" w:eastAsia="宋体" w:hint="eastAsia"/>
                <w:sz w:val="20"/>
              </w:rPr>
              <w:t>柯岩街道</w:t>
            </w:r>
          </w:p>
        </w:tc>
        <w:tc>
          <w:tcPr>
            <w:tcW w:w="20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70"/>
              <w:ind w:left="609" w:right="584"/>
              <w:rPr>
                <w:rFonts w:ascii="宋体" w:eastAsia="宋体" w:hint="eastAsia"/>
                <w:sz w:val="20"/>
              </w:rPr>
            </w:pPr>
            <w:r>
              <w:rPr>
                <w:rFonts w:ascii="宋体" w:eastAsia="宋体" w:hint="eastAsia"/>
                <w:sz w:val="20"/>
              </w:rPr>
              <w:t>丰项村</w:t>
            </w:r>
          </w:p>
        </w:tc>
        <w:tc>
          <w:tcPr>
            <w:tcW w:w="1032" w:type="dxa"/>
            <w:tcBorders>
              <w:top w:val="single" w:sz="6" w:space="0" w:color="000000"/>
              <w:left w:val="single" w:sz="6" w:space="0" w:color="000000"/>
              <w:bottom w:val="single" w:sz="6" w:space="0" w:color="000000"/>
              <w:right w:val="single" w:sz="6" w:space="0" w:color="000000"/>
            </w:tcBorders>
          </w:tcPr>
          <w:p>
            <w:pPr>
              <w:pStyle w:val="TableParagraph"/>
              <w:spacing w:before="54"/>
              <w:ind w:left="99" w:right="77"/>
              <w:rPr>
                <w:rFonts w:ascii="宋体" w:eastAsia="宋体" w:hint="eastAsia"/>
                <w:sz w:val="20"/>
              </w:rPr>
            </w:pPr>
            <w:r>
              <w:rPr>
                <w:rFonts w:ascii="宋体" w:eastAsia="宋体" w:hint="eastAsia"/>
                <w:sz w:val="20"/>
              </w:rPr>
              <w:t>丰一</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65"/>
              <w:ind w:left="106" w:right="75"/>
              <w:rPr>
                <w:sz w:val="20"/>
              </w:rPr>
            </w:pPr>
            <w:r>
              <w:rPr>
                <w:sz w:val="20"/>
              </w:rPr>
              <w:t>120.468593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65"/>
              <w:ind w:left="99" w:right="74"/>
              <w:rPr>
                <w:sz w:val="20"/>
              </w:rPr>
            </w:pPr>
            <w:r>
              <w:rPr>
                <w:sz w:val="20"/>
              </w:rPr>
              <w:t>30.016692</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54"/>
              <w:ind w:left="105" w:right="73"/>
              <w:rPr>
                <w:rFonts w:ascii="宋体" w:eastAsia="宋体" w:hint="eastAsia"/>
                <w:sz w:val="20"/>
              </w:rPr>
            </w:pPr>
            <w:r>
              <w:rPr>
                <w:rFonts w:ascii="宋体" w:eastAsia="宋体" w:hint="eastAsia"/>
                <w:sz w:val="20"/>
              </w:rPr>
              <w:t>居住区</w:t>
            </w:r>
          </w:p>
        </w:tc>
        <w:tc>
          <w:tcPr>
            <w:tcW w:w="367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2"/>
              </w:rPr>
            </w:pPr>
          </w:p>
          <w:p>
            <w:pPr>
              <w:pStyle w:val="TableParagraph"/>
              <w:spacing w:before="144"/>
              <w:ind w:left="848"/>
              <w:jc w:val="left"/>
              <w:rPr>
                <w:rFonts w:ascii="宋体" w:eastAsia="宋体" w:hint="eastAsia"/>
                <w:sz w:val="20"/>
              </w:rPr>
            </w:pPr>
            <w:r>
              <w:rPr>
                <w:rFonts w:ascii="宋体" w:eastAsia="宋体" w:hint="eastAsia"/>
                <w:sz w:val="20"/>
              </w:rPr>
              <w:t>约 </w:t>
            </w:r>
            <w:r>
              <w:rPr>
                <w:position w:val="1"/>
                <w:sz w:val="20"/>
              </w:rPr>
              <w:t>1014 </w:t>
            </w:r>
            <w:r>
              <w:rPr>
                <w:rFonts w:ascii="宋体" w:eastAsia="宋体" w:hint="eastAsia"/>
                <w:sz w:val="20"/>
              </w:rPr>
              <w:t>户，约 </w:t>
            </w:r>
            <w:r>
              <w:rPr>
                <w:position w:val="1"/>
                <w:sz w:val="20"/>
              </w:rPr>
              <w:t>3047 </w:t>
            </w:r>
            <w:r>
              <w:rPr>
                <w:rFonts w:ascii="宋体" w:eastAsia="宋体" w:hint="eastAsia"/>
                <w:sz w:val="20"/>
              </w:rPr>
              <w:t>人</w:t>
            </w:r>
          </w:p>
        </w:tc>
        <w:tc>
          <w:tcPr>
            <w:tcW w:w="1241"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1"/>
              <w:jc w:val="left"/>
              <w:rPr>
                <w:rFonts w:ascii="宋体"/>
                <w:b/>
                <w:sz w:val="21"/>
              </w:rPr>
            </w:pPr>
          </w:p>
          <w:p>
            <w:pPr>
              <w:pStyle w:val="TableParagraph"/>
              <w:spacing w:line="336" w:lineRule="auto" w:before="0"/>
              <w:ind w:left="330" w:right="195" w:hanging="99"/>
              <w:jc w:val="left"/>
              <w:rPr>
                <w:rFonts w:ascii="宋体" w:eastAsia="宋体" w:hint="eastAsia"/>
                <w:sz w:val="20"/>
              </w:rPr>
            </w:pPr>
            <w:r>
              <w:rPr>
                <w:rFonts w:ascii="宋体" w:eastAsia="宋体" w:hint="eastAsia"/>
                <w:sz w:val="20"/>
              </w:rPr>
              <w:t>二类空气功能区</w:t>
            </w: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65"/>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54"/>
              <w:ind w:left="284" w:right="234"/>
              <w:rPr>
                <w:sz w:val="20"/>
              </w:rPr>
            </w:pPr>
            <w:r>
              <w:rPr>
                <w:rFonts w:ascii="宋体" w:eastAsia="宋体" w:hint="eastAsia"/>
                <w:sz w:val="20"/>
              </w:rPr>
              <w:t>约 </w:t>
            </w:r>
            <w:r>
              <w:rPr>
                <w:sz w:val="20"/>
              </w:rPr>
              <w:t>760m</w:t>
            </w:r>
          </w:p>
        </w:tc>
      </w:tr>
      <w:tr>
        <w:trPr>
          <w:trHeight w:val="344" w:hRule="atLeast"/>
        </w:trPr>
        <w:tc>
          <w:tcPr>
            <w:tcW w:w="627" w:type="dxa"/>
            <w:vMerge/>
            <w:tcBorders>
              <w:top w:val="nil"/>
              <w:right w:val="single" w:sz="6" w:space="0" w:color="000000"/>
            </w:tcBorders>
          </w:tcPr>
          <w:p>
            <w:pPr>
              <w:rPr>
                <w:sz w:val="2"/>
                <w:szCs w:val="2"/>
              </w:rPr>
            </w:pPr>
          </w:p>
        </w:tc>
        <w:tc>
          <w:tcPr>
            <w:tcW w:w="2050" w:type="dxa"/>
            <w:vMerge/>
            <w:tcBorders>
              <w:top w:val="nil"/>
              <w:left w:val="single" w:sz="6" w:space="0" w:color="000000"/>
              <w:bottom w:val="single" w:sz="6" w:space="0" w:color="000000"/>
              <w:right w:val="single" w:sz="6" w:space="0" w:color="000000"/>
            </w:tcBorders>
          </w:tcPr>
          <w:p>
            <w:pPr>
              <w:rPr>
                <w:sz w:val="2"/>
                <w:szCs w:val="2"/>
              </w:rPr>
            </w:pPr>
          </w:p>
        </w:tc>
        <w:tc>
          <w:tcPr>
            <w:tcW w:w="1032" w:type="dxa"/>
            <w:tcBorders>
              <w:top w:val="single" w:sz="6" w:space="0" w:color="000000"/>
              <w:left w:val="single" w:sz="6" w:space="0" w:color="000000"/>
              <w:bottom w:val="single" w:sz="6" w:space="0" w:color="000000"/>
              <w:right w:val="single" w:sz="6" w:space="0" w:color="000000"/>
            </w:tcBorders>
          </w:tcPr>
          <w:p>
            <w:pPr>
              <w:pStyle w:val="TableParagraph"/>
              <w:spacing w:before="44"/>
              <w:ind w:left="99" w:right="77"/>
              <w:rPr>
                <w:rFonts w:ascii="宋体" w:eastAsia="宋体" w:hint="eastAsia"/>
                <w:sz w:val="20"/>
              </w:rPr>
            </w:pPr>
            <w:r>
              <w:rPr>
                <w:rFonts w:ascii="宋体" w:eastAsia="宋体" w:hint="eastAsia"/>
                <w:sz w:val="20"/>
              </w:rPr>
              <w:t>丰二</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120.469630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30.020067</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1250m</w:t>
            </w:r>
          </w:p>
        </w:tc>
      </w:tr>
      <w:tr>
        <w:trPr>
          <w:trHeight w:val="345" w:hRule="atLeast"/>
        </w:trPr>
        <w:tc>
          <w:tcPr>
            <w:tcW w:w="627" w:type="dxa"/>
            <w:vMerge/>
            <w:tcBorders>
              <w:top w:val="nil"/>
              <w:right w:val="single" w:sz="6" w:space="0" w:color="000000"/>
            </w:tcBorders>
          </w:tcPr>
          <w:p>
            <w:pPr>
              <w:rPr>
                <w:sz w:val="2"/>
                <w:szCs w:val="2"/>
              </w:rPr>
            </w:pPr>
          </w:p>
        </w:tc>
        <w:tc>
          <w:tcPr>
            <w:tcW w:w="2050" w:type="dxa"/>
            <w:vMerge/>
            <w:tcBorders>
              <w:top w:val="nil"/>
              <w:left w:val="single" w:sz="6" w:space="0" w:color="000000"/>
              <w:bottom w:val="single" w:sz="6" w:space="0" w:color="000000"/>
              <w:right w:val="single" w:sz="6" w:space="0" w:color="000000"/>
            </w:tcBorders>
          </w:tcPr>
          <w:p>
            <w:pPr>
              <w:rPr>
                <w:sz w:val="2"/>
                <w:szCs w:val="2"/>
              </w:rPr>
            </w:pPr>
          </w:p>
        </w:tc>
        <w:tc>
          <w:tcPr>
            <w:tcW w:w="1032" w:type="dxa"/>
            <w:tcBorders>
              <w:top w:val="single" w:sz="6" w:space="0" w:color="000000"/>
              <w:left w:val="single" w:sz="6" w:space="0" w:color="000000"/>
              <w:bottom w:val="single" w:sz="6" w:space="0" w:color="000000"/>
              <w:right w:val="single" w:sz="6" w:space="0" w:color="000000"/>
            </w:tcBorders>
          </w:tcPr>
          <w:p>
            <w:pPr>
              <w:pStyle w:val="TableParagraph"/>
              <w:spacing w:before="44"/>
              <w:ind w:left="99" w:right="77"/>
              <w:rPr>
                <w:rFonts w:ascii="宋体" w:eastAsia="宋体" w:hint="eastAsia"/>
                <w:sz w:val="20"/>
              </w:rPr>
            </w:pPr>
            <w:r>
              <w:rPr>
                <w:rFonts w:ascii="宋体" w:eastAsia="宋体" w:hint="eastAsia"/>
                <w:sz w:val="20"/>
              </w:rPr>
              <w:t>项里</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120.463772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30.018713</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555m</w:t>
            </w:r>
          </w:p>
        </w:tc>
      </w:tr>
      <w:tr>
        <w:trPr>
          <w:trHeight w:val="342"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024" w:right="999"/>
              <w:rPr>
                <w:rFonts w:ascii="宋体" w:eastAsia="宋体" w:hint="eastAsia"/>
                <w:sz w:val="20"/>
              </w:rPr>
            </w:pPr>
            <w:r>
              <w:rPr>
                <w:rFonts w:ascii="宋体" w:eastAsia="宋体" w:hint="eastAsia"/>
                <w:sz w:val="20"/>
              </w:rPr>
              <w:t>河塔村</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120.457229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30.025012</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4"/>
              <w:ind w:left="76" w:right="40"/>
              <w:rPr>
                <w:rFonts w:ascii="宋体" w:eastAsia="宋体" w:hint="eastAsia"/>
                <w:sz w:val="20"/>
              </w:rPr>
            </w:pPr>
            <w:r>
              <w:rPr>
                <w:rFonts w:ascii="宋体" w:eastAsia="宋体" w:hint="eastAsia"/>
                <w:sz w:val="20"/>
              </w:rPr>
              <w:t>约 </w:t>
            </w:r>
            <w:r>
              <w:rPr>
                <w:position w:val="1"/>
                <w:sz w:val="20"/>
              </w:rPr>
              <w:t>375 </w:t>
            </w:r>
            <w:r>
              <w:rPr>
                <w:rFonts w:ascii="宋体" w:eastAsia="宋体" w:hint="eastAsia"/>
                <w:sz w:val="20"/>
              </w:rPr>
              <w:t>户，约 </w:t>
            </w:r>
            <w:r>
              <w:rPr>
                <w:position w:val="1"/>
                <w:sz w:val="20"/>
              </w:rPr>
              <w:t>1171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1220m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1024" w:right="999"/>
              <w:rPr>
                <w:rFonts w:ascii="宋体" w:eastAsia="宋体" w:hint="eastAsia"/>
                <w:sz w:val="20"/>
              </w:rPr>
            </w:pPr>
            <w:r>
              <w:rPr>
                <w:rFonts w:ascii="宋体" w:eastAsia="宋体" w:hint="eastAsia"/>
                <w:sz w:val="20"/>
              </w:rPr>
              <w:t>秋湖村</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7"/>
              <w:ind w:left="106" w:right="75"/>
              <w:rPr>
                <w:sz w:val="20"/>
              </w:rPr>
            </w:pPr>
            <w:r>
              <w:rPr>
                <w:sz w:val="20"/>
              </w:rPr>
              <w:t>120.477812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7"/>
              <w:ind w:left="99" w:right="74"/>
              <w:rPr>
                <w:sz w:val="20"/>
              </w:rPr>
            </w:pPr>
            <w:r>
              <w:rPr>
                <w:sz w:val="20"/>
              </w:rPr>
              <w:t>30.028685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6"/>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6"/>
              <w:ind w:left="76" w:right="42"/>
              <w:rPr>
                <w:rFonts w:ascii="宋体" w:eastAsia="宋体" w:hint="eastAsia"/>
                <w:sz w:val="20"/>
              </w:rPr>
            </w:pPr>
            <w:r>
              <w:rPr>
                <w:rFonts w:ascii="宋体" w:eastAsia="宋体" w:hint="eastAsia"/>
                <w:sz w:val="20"/>
              </w:rPr>
              <w:t>约 </w:t>
            </w:r>
            <w:r>
              <w:rPr>
                <w:position w:val="1"/>
                <w:sz w:val="20"/>
              </w:rPr>
              <w:t>712 </w:t>
            </w:r>
            <w:r>
              <w:rPr>
                <w:rFonts w:ascii="宋体" w:eastAsia="宋体" w:hint="eastAsia"/>
                <w:sz w:val="20"/>
              </w:rPr>
              <w:t>户，约 </w:t>
            </w:r>
            <w:r>
              <w:rPr>
                <w:position w:val="1"/>
                <w:sz w:val="20"/>
              </w:rPr>
              <w:t>2161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7"/>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6"/>
              <w:ind w:left="284" w:right="236"/>
              <w:rPr>
                <w:sz w:val="20"/>
              </w:rPr>
            </w:pPr>
            <w:r>
              <w:rPr>
                <w:rFonts w:ascii="宋体" w:eastAsia="宋体" w:hint="eastAsia"/>
                <w:sz w:val="20"/>
              </w:rPr>
              <w:t>约 </w:t>
            </w:r>
            <w:r>
              <w:rPr>
                <w:sz w:val="20"/>
              </w:rPr>
              <w:t>2200m</w:t>
            </w:r>
          </w:p>
        </w:tc>
      </w:tr>
      <w:tr>
        <w:trPr>
          <w:trHeight w:val="344" w:hRule="atLeast"/>
        </w:trPr>
        <w:tc>
          <w:tcPr>
            <w:tcW w:w="627"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44"/>
              <w:ind w:left="609" w:right="586"/>
              <w:rPr>
                <w:rFonts w:ascii="宋体" w:eastAsia="宋体" w:hint="eastAsia"/>
                <w:sz w:val="20"/>
              </w:rPr>
            </w:pPr>
            <w:r>
              <w:rPr>
                <w:rFonts w:ascii="宋体" w:eastAsia="宋体" w:hint="eastAsia"/>
                <w:sz w:val="20"/>
              </w:rPr>
              <w:t>南闲社区</w:t>
            </w:r>
          </w:p>
        </w:tc>
        <w:tc>
          <w:tcPr>
            <w:tcW w:w="1032" w:type="dxa"/>
            <w:tcBorders>
              <w:top w:val="single" w:sz="6" w:space="0" w:color="000000"/>
              <w:left w:val="single" w:sz="6" w:space="0" w:color="000000"/>
              <w:bottom w:val="single" w:sz="6" w:space="0" w:color="000000"/>
              <w:right w:val="single" w:sz="6" w:space="0" w:color="000000"/>
            </w:tcBorders>
          </w:tcPr>
          <w:p>
            <w:pPr>
              <w:pStyle w:val="TableParagraph"/>
              <w:spacing w:before="44"/>
              <w:ind w:left="99" w:right="74"/>
              <w:rPr>
                <w:rFonts w:ascii="宋体" w:eastAsia="宋体" w:hint="eastAsia"/>
                <w:sz w:val="20"/>
              </w:rPr>
            </w:pPr>
            <w:r>
              <w:rPr>
                <w:rFonts w:ascii="宋体" w:eastAsia="宋体" w:hint="eastAsia"/>
                <w:sz w:val="20"/>
              </w:rPr>
              <w:t>清和园</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120.468936</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101" w:right="73"/>
              <w:rPr>
                <w:sz w:val="20"/>
              </w:rPr>
            </w:pPr>
            <w:r>
              <w:rPr>
                <w:sz w:val="20"/>
              </w:rPr>
              <w:t>30.027115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4"/>
              <w:ind w:left="76" w:right="40"/>
              <w:rPr>
                <w:rFonts w:ascii="宋体" w:eastAsia="宋体" w:hint="eastAsia"/>
                <w:sz w:val="20"/>
              </w:rPr>
            </w:pPr>
            <w:r>
              <w:rPr>
                <w:rFonts w:ascii="宋体" w:eastAsia="宋体" w:hint="eastAsia"/>
                <w:sz w:val="20"/>
              </w:rPr>
              <w:t>约 </w:t>
            </w:r>
            <w:r>
              <w:rPr>
                <w:position w:val="1"/>
                <w:sz w:val="20"/>
              </w:rPr>
              <w:t>168 </w:t>
            </w:r>
            <w:r>
              <w:rPr>
                <w:rFonts w:ascii="宋体" w:eastAsia="宋体" w:hint="eastAsia"/>
                <w:sz w:val="20"/>
              </w:rPr>
              <w:t>户，约 </w:t>
            </w:r>
            <w:r>
              <w:rPr>
                <w:position w:val="1"/>
                <w:sz w:val="20"/>
              </w:rPr>
              <w:t>700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1820m</w:t>
            </w:r>
          </w:p>
        </w:tc>
      </w:tr>
      <w:tr>
        <w:trPr>
          <w:trHeight w:val="344" w:hRule="atLeast"/>
        </w:trPr>
        <w:tc>
          <w:tcPr>
            <w:tcW w:w="627" w:type="dxa"/>
            <w:vMerge/>
            <w:tcBorders>
              <w:top w:val="nil"/>
              <w:right w:val="single" w:sz="6" w:space="0" w:color="000000"/>
            </w:tcBorders>
          </w:tcPr>
          <w:p>
            <w:pPr>
              <w:rPr>
                <w:sz w:val="2"/>
                <w:szCs w:val="2"/>
              </w:rPr>
            </w:pPr>
          </w:p>
        </w:tc>
        <w:tc>
          <w:tcPr>
            <w:tcW w:w="2050" w:type="dxa"/>
            <w:tcBorders>
              <w:top w:val="single" w:sz="6" w:space="0" w:color="000000"/>
              <w:left w:val="single" w:sz="6" w:space="0" w:color="000000"/>
              <w:bottom w:val="single" w:sz="6" w:space="0" w:color="000000"/>
              <w:right w:val="single" w:sz="6" w:space="0" w:color="000000"/>
            </w:tcBorders>
          </w:tcPr>
          <w:p>
            <w:pPr>
              <w:pStyle w:val="TableParagraph"/>
              <w:spacing w:before="44"/>
              <w:ind w:left="609" w:right="584"/>
              <w:rPr>
                <w:rFonts w:ascii="宋体" w:eastAsia="宋体" w:hint="eastAsia"/>
                <w:sz w:val="20"/>
              </w:rPr>
            </w:pPr>
            <w:r>
              <w:rPr>
                <w:rFonts w:ascii="宋体" w:eastAsia="宋体" w:hint="eastAsia"/>
                <w:sz w:val="20"/>
              </w:rPr>
              <w:t>州山村</w:t>
            </w:r>
          </w:p>
        </w:tc>
        <w:tc>
          <w:tcPr>
            <w:tcW w:w="1032" w:type="dxa"/>
            <w:tcBorders>
              <w:top w:val="single" w:sz="6" w:space="0" w:color="000000"/>
              <w:left w:val="single" w:sz="6" w:space="0" w:color="000000"/>
              <w:bottom w:val="single" w:sz="6" w:space="0" w:color="000000"/>
              <w:right w:val="single" w:sz="6" w:space="0" w:color="000000"/>
            </w:tcBorders>
          </w:tcPr>
          <w:p>
            <w:pPr>
              <w:pStyle w:val="TableParagraph"/>
              <w:spacing w:before="44"/>
              <w:ind w:left="99" w:right="77"/>
              <w:rPr>
                <w:rFonts w:ascii="宋体" w:eastAsia="宋体" w:hint="eastAsia"/>
                <w:sz w:val="20"/>
              </w:rPr>
            </w:pPr>
            <w:r>
              <w:rPr>
                <w:rFonts w:ascii="宋体" w:eastAsia="宋体" w:hint="eastAsia"/>
                <w:sz w:val="20"/>
              </w:rPr>
              <w:t>州山小学</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120.458867</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30.030860</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6"/>
              <w:rPr>
                <w:rFonts w:ascii="宋体" w:eastAsia="宋体" w:hint="eastAsia"/>
                <w:sz w:val="20"/>
              </w:rPr>
            </w:pPr>
            <w:r>
              <w:rPr>
                <w:rFonts w:ascii="宋体" w:eastAsia="宋体" w:hint="eastAsia"/>
                <w:sz w:val="20"/>
              </w:rPr>
              <w:t>文化教育</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4"/>
              <w:ind w:left="76" w:right="42"/>
              <w:rPr>
                <w:rFonts w:ascii="宋体" w:eastAsia="宋体" w:hint="eastAsia"/>
                <w:sz w:val="20"/>
              </w:rPr>
            </w:pPr>
            <w:r>
              <w:rPr>
                <w:rFonts w:ascii="宋体" w:eastAsia="宋体" w:hint="eastAsia"/>
                <w:sz w:val="20"/>
              </w:rPr>
              <w:t>师生约 </w:t>
            </w:r>
            <w:r>
              <w:rPr>
                <w:position w:val="1"/>
                <w:sz w:val="20"/>
              </w:rPr>
              <w:t>2000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2290m</w:t>
            </w:r>
          </w:p>
        </w:tc>
      </w:tr>
      <w:tr>
        <w:trPr>
          <w:trHeight w:val="342"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546"/>
              <w:jc w:val="left"/>
              <w:rPr>
                <w:rFonts w:ascii="宋体" w:eastAsia="宋体" w:hint="eastAsia"/>
                <w:sz w:val="20"/>
              </w:rPr>
            </w:pPr>
            <w:r>
              <w:rPr>
                <w:rFonts w:ascii="宋体" w:eastAsia="宋体" w:hint="eastAsia"/>
                <w:sz w:val="20"/>
              </w:rPr>
              <w:t>鉴湖旅游度假区管委会</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7"/>
              <w:ind w:left="106" w:right="75"/>
              <w:rPr>
                <w:sz w:val="20"/>
              </w:rPr>
            </w:pPr>
            <w:r>
              <w:rPr>
                <w:sz w:val="20"/>
              </w:rPr>
              <w:t>120.469807</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7"/>
              <w:ind w:left="99" w:right="74"/>
              <w:rPr>
                <w:sz w:val="20"/>
              </w:rPr>
            </w:pPr>
            <w:r>
              <w:rPr>
                <w:sz w:val="20"/>
              </w:rPr>
              <w:t>30.028387</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6"/>
              <w:rPr>
                <w:rFonts w:ascii="宋体" w:eastAsia="宋体" w:hint="eastAsia"/>
                <w:sz w:val="20"/>
              </w:rPr>
            </w:pPr>
            <w:r>
              <w:rPr>
                <w:rFonts w:ascii="宋体" w:eastAsia="宋体" w:hint="eastAsia"/>
                <w:sz w:val="20"/>
              </w:rPr>
              <w:t>行政办公</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57"/>
              <w:ind w:left="36"/>
              <w:rPr>
                <w:sz w:val="20"/>
              </w:rPr>
            </w:pPr>
            <w:r>
              <w:rPr>
                <w:w w:val="99"/>
                <w:sz w:val="20"/>
              </w:rPr>
              <w:t>/</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7"/>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4"/>
              <w:ind w:left="280" w:right="237"/>
              <w:rPr>
                <w:sz w:val="20"/>
              </w:rPr>
            </w:pPr>
            <w:r>
              <w:rPr>
                <w:rFonts w:ascii="宋体" w:eastAsia="宋体" w:hint="eastAsia"/>
                <w:sz w:val="20"/>
              </w:rPr>
              <w:t>约 </w:t>
            </w:r>
            <w:r>
              <w:rPr>
                <w:sz w:val="20"/>
              </w:rPr>
              <w:t>2110m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7"/>
              <w:ind w:left="1024" w:right="1002"/>
              <w:rPr>
                <w:rFonts w:ascii="宋体" w:eastAsia="宋体" w:hint="eastAsia"/>
                <w:sz w:val="20"/>
              </w:rPr>
            </w:pPr>
            <w:r>
              <w:rPr>
                <w:rFonts w:ascii="宋体" w:eastAsia="宋体" w:hint="eastAsia"/>
                <w:sz w:val="20"/>
              </w:rPr>
              <w:t>区福利中心</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7"/>
              <w:ind w:left="106" w:right="75"/>
              <w:rPr>
                <w:sz w:val="20"/>
              </w:rPr>
            </w:pPr>
            <w:r>
              <w:rPr>
                <w:sz w:val="20"/>
              </w:rPr>
              <w:t>120.463253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7"/>
              <w:ind w:left="99" w:right="74"/>
              <w:rPr>
                <w:sz w:val="20"/>
              </w:rPr>
            </w:pPr>
            <w:r>
              <w:rPr>
                <w:sz w:val="20"/>
              </w:rPr>
              <w:t>30.030562</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7"/>
              <w:ind w:left="105" w:right="76"/>
              <w:rPr>
                <w:rFonts w:ascii="宋体" w:eastAsia="宋体" w:hint="eastAsia"/>
                <w:sz w:val="20"/>
              </w:rPr>
            </w:pPr>
            <w:r>
              <w:rPr>
                <w:rFonts w:ascii="宋体" w:eastAsia="宋体" w:hint="eastAsia"/>
                <w:sz w:val="20"/>
              </w:rPr>
              <w:t>医疗卫生</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7"/>
              <w:ind w:left="76" w:right="40"/>
              <w:rPr>
                <w:rFonts w:ascii="宋体" w:eastAsia="宋体" w:hint="eastAsia"/>
                <w:sz w:val="20"/>
              </w:rPr>
            </w:pPr>
            <w:r>
              <w:rPr>
                <w:rFonts w:ascii="宋体" w:eastAsia="宋体" w:hint="eastAsia"/>
                <w:sz w:val="20"/>
              </w:rPr>
              <w:t>总床位约 </w:t>
            </w:r>
            <w:r>
              <w:rPr>
                <w:position w:val="1"/>
                <w:sz w:val="20"/>
              </w:rPr>
              <w:t>422 </w:t>
            </w:r>
            <w:r>
              <w:rPr>
                <w:rFonts w:ascii="宋体" w:eastAsia="宋体" w:hint="eastAsia"/>
                <w:sz w:val="20"/>
              </w:rPr>
              <w:t>张</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7"/>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7"/>
              <w:ind w:left="284" w:right="236"/>
              <w:rPr>
                <w:sz w:val="20"/>
              </w:rPr>
            </w:pPr>
            <w:r>
              <w:rPr>
                <w:rFonts w:ascii="宋体" w:eastAsia="宋体" w:hint="eastAsia"/>
                <w:sz w:val="20"/>
              </w:rPr>
              <w:t>约 </w:t>
            </w:r>
            <w:r>
              <w:rPr>
                <w:sz w:val="20"/>
              </w:rPr>
              <w:t>2120m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024" w:right="1001"/>
              <w:rPr>
                <w:rFonts w:ascii="宋体" w:eastAsia="宋体" w:hint="eastAsia"/>
                <w:sz w:val="20"/>
              </w:rPr>
            </w:pPr>
            <w:r>
              <w:rPr>
                <w:rFonts w:ascii="宋体" w:eastAsia="宋体" w:hint="eastAsia"/>
                <w:sz w:val="20"/>
              </w:rPr>
              <w:t>区委党校</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120.467132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30.028315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6"/>
              <w:rPr>
                <w:rFonts w:ascii="宋体" w:eastAsia="宋体" w:hint="eastAsia"/>
                <w:sz w:val="20"/>
              </w:rPr>
            </w:pPr>
            <w:r>
              <w:rPr>
                <w:rFonts w:ascii="宋体" w:eastAsia="宋体" w:hint="eastAsia"/>
                <w:sz w:val="20"/>
              </w:rPr>
              <w:t>文化教育</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4"/>
              <w:ind w:left="76" w:right="43"/>
              <w:rPr>
                <w:rFonts w:ascii="宋体" w:eastAsia="宋体" w:hint="eastAsia"/>
                <w:sz w:val="20"/>
              </w:rPr>
            </w:pPr>
            <w:r>
              <w:rPr>
                <w:rFonts w:ascii="宋体" w:eastAsia="宋体" w:hint="eastAsia"/>
                <w:sz w:val="20"/>
              </w:rPr>
              <w:t>教职工约 </w:t>
            </w:r>
            <w:r>
              <w:rPr>
                <w:position w:val="1"/>
                <w:sz w:val="20"/>
              </w:rPr>
              <w:t>24 </w:t>
            </w:r>
            <w:r>
              <w:rPr>
                <w:rFonts w:ascii="宋体" w:eastAsia="宋体" w:hint="eastAsia"/>
                <w:sz w:val="20"/>
              </w:rPr>
              <w:t>人，可容 </w:t>
            </w:r>
            <w:r>
              <w:rPr>
                <w:position w:val="1"/>
                <w:sz w:val="20"/>
              </w:rPr>
              <w:t>1000 </w:t>
            </w:r>
            <w:r>
              <w:rPr>
                <w:rFonts w:ascii="宋体" w:eastAsia="宋体" w:hint="eastAsia"/>
                <w:sz w:val="20"/>
              </w:rPr>
              <w:t>名学员培训</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8"/>
              <w:rPr>
                <w:sz w:val="20"/>
              </w:rPr>
            </w:pPr>
            <w:r>
              <w:rPr>
                <w:w w:val="99"/>
                <w:sz w:val="20"/>
              </w:rPr>
              <w:t>N</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1960m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70"/>
              <w:jc w:val="left"/>
              <w:rPr>
                <w:sz w:val="20"/>
              </w:rPr>
            </w:pPr>
            <w:r>
              <w:rPr>
                <w:rFonts w:ascii="宋体" w:eastAsia="宋体" w:hint="eastAsia"/>
                <w:sz w:val="20"/>
              </w:rPr>
              <w:t>规划敏感用地 </w:t>
            </w:r>
            <w:r>
              <w:rPr>
                <w:position w:val="1"/>
                <w:sz w:val="20"/>
              </w:rPr>
              <w:t>1</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120.470577</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30.017282</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1010m</w:t>
            </w:r>
          </w:p>
        </w:tc>
      </w:tr>
      <w:tr>
        <w:trPr>
          <w:trHeight w:val="342"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70"/>
              <w:jc w:val="left"/>
              <w:rPr>
                <w:sz w:val="20"/>
              </w:rPr>
            </w:pPr>
            <w:r>
              <w:rPr>
                <w:rFonts w:ascii="宋体" w:eastAsia="宋体" w:hint="eastAsia"/>
                <w:sz w:val="20"/>
              </w:rPr>
              <w:t>规划敏感用地 </w:t>
            </w:r>
            <w:r>
              <w:rPr>
                <w:position w:val="1"/>
                <w:sz w:val="20"/>
              </w:rPr>
              <w:t>2</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120.473109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30.014386</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5"/>
              <w:rPr>
                <w:sz w:val="20"/>
              </w:rPr>
            </w:pPr>
            <w:r>
              <w:rPr>
                <w:w w:val="99"/>
                <w:sz w:val="20"/>
              </w:rPr>
              <w:t>E</w:t>
            </w:r>
          </w:p>
        </w:tc>
        <w:tc>
          <w:tcPr>
            <w:tcW w:w="1444" w:type="dxa"/>
            <w:tcBorders>
              <w:top w:val="single" w:sz="6" w:space="0" w:color="000000"/>
              <w:left w:val="single" w:sz="6" w:space="0" w:color="000000"/>
              <w:bottom w:val="single" w:sz="6" w:space="0" w:color="000000"/>
            </w:tcBorders>
          </w:tcPr>
          <w:p>
            <w:pPr>
              <w:pStyle w:val="TableParagraph"/>
              <w:spacing w:before="44"/>
              <w:ind w:left="280" w:right="237"/>
              <w:rPr>
                <w:sz w:val="20"/>
              </w:rPr>
            </w:pPr>
            <w:r>
              <w:rPr>
                <w:rFonts w:ascii="宋体" w:eastAsia="宋体" w:hint="eastAsia"/>
                <w:sz w:val="20"/>
              </w:rPr>
              <w:t>约 </w:t>
            </w:r>
            <w:r>
              <w:rPr>
                <w:sz w:val="20"/>
              </w:rPr>
              <w:t>1110m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870"/>
              <w:jc w:val="left"/>
              <w:rPr>
                <w:sz w:val="20"/>
              </w:rPr>
            </w:pPr>
            <w:r>
              <w:rPr>
                <w:rFonts w:ascii="宋体" w:eastAsia="宋体" w:hint="eastAsia"/>
                <w:sz w:val="20"/>
              </w:rPr>
              <w:t>规划敏感用地 </w:t>
            </w:r>
            <w:r>
              <w:rPr>
                <w:position w:val="1"/>
                <w:sz w:val="20"/>
              </w:rPr>
              <w:t>3</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7"/>
              <w:ind w:left="106" w:right="75"/>
              <w:rPr>
                <w:sz w:val="20"/>
              </w:rPr>
            </w:pPr>
            <w:r>
              <w:rPr>
                <w:sz w:val="20"/>
              </w:rPr>
              <w:t>120.475646</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7"/>
              <w:ind w:left="99" w:right="74"/>
              <w:rPr>
                <w:sz w:val="20"/>
              </w:rPr>
            </w:pPr>
            <w:r>
              <w:rPr>
                <w:sz w:val="20"/>
              </w:rPr>
              <w:t>30.014782</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7"/>
              <w:ind w:left="35"/>
              <w:rPr>
                <w:sz w:val="20"/>
              </w:rPr>
            </w:pPr>
            <w:r>
              <w:rPr>
                <w:w w:val="99"/>
                <w:sz w:val="20"/>
              </w:rPr>
              <w:t>E</w:t>
            </w:r>
          </w:p>
        </w:tc>
        <w:tc>
          <w:tcPr>
            <w:tcW w:w="1444" w:type="dxa"/>
            <w:tcBorders>
              <w:top w:val="single" w:sz="6" w:space="0" w:color="000000"/>
              <w:left w:val="single" w:sz="6" w:space="0" w:color="000000"/>
              <w:bottom w:val="single" w:sz="6" w:space="0" w:color="000000"/>
            </w:tcBorders>
          </w:tcPr>
          <w:p>
            <w:pPr>
              <w:pStyle w:val="TableParagraph"/>
              <w:spacing w:before="46"/>
              <w:ind w:left="284" w:right="234"/>
              <w:rPr>
                <w:sz w:val="20"/>
              </w:rPr>
            </w:pPr>
            <w:r>
              <w:rPr>
                <w:rFonts w:ascii="宋体" w:eastAsia="宋体" w:hint="eastAsia"/>
                <w:sz w:val="20"/>
              </w:rPr>
              <w:t>约 </w:t>
            </w:r>
            <w:r>
              <w:rPr>
                <w:sz w:val="20"/>
              </w:rPr>
              <w:t>1320m</w:t>
            </w:r>
          </w:p>
        </w:tc>
      </w:tr>
      <w:tr>
        <w:trPr>
          <w:trHeight w:val="345"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70"/>
              <w:jc w:val="left"/>
              <w:rPr>
                <w:sz w:val="20"/>
              </w:rPr>
            </w:pPr>
            <w:r>
              <w:rPr>
                <w:rFonts w:ascii="宋体" w:eastAsia="宋体" w:hint="eastAsia"/>
                <w:sz w:val="20"/>
              </w:rPr>
              <w:t>规划敏感用地 </w:t>
            </w:r>
            <w:r>
              <w:rPr>
                <w:position w:val="1"/>
                <w:sz w:val="20"/>
              </w:rPr>
              <w:t>4</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120.479374</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30.015265</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5"/>
              <w:rPr>
                <w:sz w:val="20"/>
              </w:rPr>
            </w:pPr>
            <w:r>
              <w:rPr>
                <w:w w:val="99"/>
                <w:sz w:val="20"/>
              </w:rPr>
              <w:t>E</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1640m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70"/>
              <w:jc w:val="left"/>
              <w:rPr>
                <w:sz w:val="20"/>
              </w:rPr>
            </w:pPr>
            <w:r>
              <w:rPr>
                <w:rFonts w:ascii="宋体" w:eastAsia="宋体" w:hint="eastAsia"/>
                <w:sz w:val="20"/>
              </w:rPr>
              <w:t>规划敏感用地 </w:t>
            </w:r>
            <w:r>
              <w:rPr>
                <w:position w:val="1"/>
                <w:sz w:val="20"/>
              </w:rPr>
              <w:t>5</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120.477829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30.018205</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1490m</w:t>
            </w:r>
          </w:p>
        </w:tc>
      </w:tr>
      <w:tr>
        <w:trPr>
          <w:trHeight w:val="341"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70"/>
              <w:jc w:val="left"/>
              <w:rPr>
                <w:sz w:val="20"/>
              </w:rPr>
            </w:pPr>
            <w:r>
              <w:rPr>
                <w:rFonts w:ascii="宋体" w:eastAsia="宋体" w:hint="eastAsia"/>
                <w:sz w:val="20"/>
              </w:rPr>
              <w:t>规划敏感用地 </w:t>
            </w:r>
            <w:r>
              <w:rPr>
                <w:position w:val="1"/>
                <w:sz w:val="20"/>
              </w:rPr>
              <w:t>6</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120.476456</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30.021381</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1800m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870"/>
              <w:jc w:val="left"/>
              <w:rPr>
                <w:sz w:val="20"/>
              </w:rPr>
            </w:pPr>
            <w:r>
              <w:rPr>
                <w:rFonts w:ascii="宋体" w:eastAsia="宋体" w:hint="eastAsia"/>
                <w:sz w:val="20"/>
              </w:rPr>
              <w:t>规划敏感用地 </w:t>
            </w:r>
            <w:r>
              <w:rPr>
                <w:position w:val="1"/>
                <w:sz w:val="20"/>
              </w:rPr>
              <w:t>7</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7"/>
              <w:ind w:left="106" w:right="75"/>
              <w:rPr>
                <w:sz w:val="20"/>
              </w:rPr>
            </w:pPr>
            <w:r>
              <w:rPr>
                <w:sz w:val="20"/>
              </w:rPr>
              <w:t>120.481391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7"/>
              <w:ind w:left="99" w:right="74"/>
              <w:rPr>
                <w:sz w:val="20"/>
              </w:rPr>
            </w:pPr>
            <w:r>
              <w:rPr>
                <w:sz w:val="20"/>
              </w:rPr>
              <w:t>30.018441</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7"/>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6"/>
              <w:ind w:left="284" w:right="234"/>
              <w:rPr>
                <w:sz w:val="20"/>
              </w:rPr>
            </w:pPr>
            <w:r>
              <w:rPr>
                <w:rFonts w:ascii="宋体" w:eastAsia="宋体" w:hint="eastAsia"/>
                <w:sz w:val="20"/>
              </w:rPr>
              <w:t>约 </w:t>
            </w:r>
            <w:r>
              <w:rPr>
                <w:sz w:val="20"/>
              </w:rPr>
              <w:t>2030m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70"/>
              <w:jc w:val="left"/>
              <w:rPr>
                <w:sz w:val="20"/>
              </w:rPr>
            </w:pPr>
            <w:r>
              <w:rPr>
                <w:rFonts w:ascii="宋体" w:eastAsia="宋体" w:hint="eastAsia"/>
                <w:sz w:val="20"/>
              </w:rPr>
              <w:t>规划敏感用地 </w:t>
            </w:r>
            <w:r>
              <w:rPr>
                <w:position w:val="1"/>
                <w:sz w:val="20"/>
              </w:rPr>
              <w:t>8</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120.480340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30.021552</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2100m</w:t>
            </w:r>
          </w:p>
        </w:tc>
      </w:tr>
      <w:tr>
        <w:trPr>
          <w:trHeight w:val="34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70"/>
              <w:jc w:val="left"/>
              <w:rPr>
                <w:sz w:val="20"/>
              </w:rPr>
            </w:pPr>
            <w:r>
              <w:rPr>
                <w:rFonts w:ascii="宋体" w:eastAsia="宋体" w:hint="eastAsia"/>
                <w:sz w:val="20"/>
              </w:rPr>
              <w:t>规划敏感用地 </w:t>
            </w:r>
            <w:r>
              <w:rPr>
                <w:position w:val="1"/>
                <w:sz w:val="20"/>
              </w:rPr>
              <w:t>9</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120.471853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30.026960</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1960m</w:t>
            </w:r>
          </w:p>
        </w:tc>
      </w:tr>
      <w:tr>
        <w:trPr>
          <w:trHeight w:val="342"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822"/>
              <w:jc w:val="left"/>
              <w:rPr>
                <w:sz w:val="20"/>
              </w:rPr>
            </w:pPr>
            <w:r>
              <w:rPr>
                <w:rFonts w:ascii="宋体" w:eastAsia="宋体" w:hint="eastAsia"/>
                <w:sz w:val="20"/>
              </w:rPr>
              <w:t>规划敏感用地 </w:t>
            </w:r>
            <w:r>
              <w:rPr>
                <w:position w:val="1"/>
                <w:sz w:val="20"/>
              </w:rPr>
              <w:t>10</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120.472561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30.030886</w:t>
            </w:r>
          </w:p>
        </w:tc>
        <w:tc>
          <w:tcPr>
            <w:tcW w:w="47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742" w:right="1712"/>
              <w:rPr>
                <w:rFonts w:ascii="宋体" w:eastAsia="宋体" w:hint="eastAsia"/>
                <w:sz w:val="20"/>
              </w:rPr>
            </w:pPr>
            <w:r>
              <w:rPr>
                <w:rFonts w:ascii="宋体" w:eastAsia="宋体" w:hint="eastAsia"/>
                <w:sz w:val="20"/>
              </w:rPr>
              <w:t>规划居住用地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09"/>
              <w:rPr>
                <w:sz w:val="20"/>
              </w:rPr>
            </w:pPr>
            <w:r>
              <w:rPr>
                <w:sz w:val="20"/>
              </w:rPr>
              <w:t>NE</w:t>
            </w:r>
          </w:p>
        </w:tc>
        <w:tc>
          <w:tcPr>
            <w:tcW w:w="1444" w:type="dxa"/>
            <w:tcBorders>
              <w:top w:val="single" w:sz="6" w:space="0" w:color="000000"/>
              <w:left w:val="single" w:sz="6" w:space="0" w:color="000000"/>
              <w:bottom w:val="single" w:sz="6" w:space="0" w:color="000000"/>
            </w:tcBorders>
          </w:tcPr>
          <w:p>
            <w:pPr>
              <w:pStyle w:val="TableParagraph"/>
              <w:spacing w:before="44"/>
              <w:ind w:left="284" w:right="234"/>
              <w:rPr>
                <w:sz w:val="20"/>
              </w:rPr>
            </w:pPr>
            <w:r>
              <w:rPr>
                <w:rFonts w:ascii="宋体" w:eastAsia="宋体" w:hint="eastAsia"/>
                <w:sz w:val="20"/>
              </w:rPr>
              <w:t>约 </w:t>
            </w:r>
            <w:r>
              <w:rPr>
                <w:sz w:val="20"/>
              </w:rPr>
              <w:t>2430m</w:t>
            </w:r>
          </w:p>
        </w:tc>
      </w:tr>
      <w:tr>
        <w:trPr>
          <w:trHeight w:val="354"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right w:val="single" w:sz="6" w:space="0" w:color="000000"/>
            </w:tcBorders>
          </w:tcPr>
          <w:p>
            <w:pPr>
              <w:pStyle w:val="TableParagraph"/>
              <w:spacing w:before="46"/>
              <w:ind w:left="822"/>
              <w:jc w:val="left"/>
              <w:rPr>
                <w:sz w:val="20"/>
              </w:rPr>
            </w:pPr>
            <w:r>
              <w:rPr>
                <w:rFonts w:ascii="宋体" w:eastAsia="宋体" w:hint="eastAsia"/>
                <w:sz w:val="20"/>
              </w:rPr>
              <w:t>规划敏感用地 </w:t>
            </w:r>
            <w:r>
              <w:rPr>
                <w:position w:val="1"/>
                <w:sz w:val="20"/>
              </w:rPr>
              <w:t>11</w:t>
            </w:r>
          </w:p>
        </w:tc>
        <w:tc>
          <w:tcPr>
            <w:tcW w:w="1186" w:type="dxa"/>
            <w:tcBorders>
              <w:top w:val="single" w:sz="6" w:space="0" w:color="000000"/>
              <w:left w:val="single" w:sz="6" w:space="0" w:color="000000"/>
              <w:right w:val="single" w:sz="6" w:space="0" w:color="000000"/>
            </w:tcBorders>
          </w:tcPr>
          <w:p>
            <w:pPr>
              <w:pStyle w:val="TableParagraph"/>
              <w:spacing w:before="57"/>
              <w:ind w:left="106" w:right="75"/>
              <w:rPr>
                <w:sz w:val="20"/>
              </w:rPr>
            </w:pPr>
            <w:r>
              <w:rPr>
                <w:sz w:val="20"/>
              </w:rPr>
              <w:t>120.460888</w:t>
            </w:r>
          </w:p>
        </w:tc>
        <w:tc>
          <w:tcPr>
            <w:tcW w:w="1082" w:type="dxa"/>
            <w:tcBorders>
              <w:top w:val="single" w:sz="6" w:space="0" w:color="000000"/>
              <w:left w:val="single" w:sz="6" w:space="0" w:color="000000"/>
              <w:right w:val="single" w:sz="6" w:space="0" w:color="000000"/>
            </w:tcBorders>
          </w:tcPr>
          <w:p>
            <w:pPr>
              <w:pStyle w:val="TableParagraph"/>
              <w:spacing w:before="57"/>
              <w:ind w:left="99" w:right="74"/>
              <w:rPr>
                <w:sz w:val="20"/>
              </w:rPr>
            </w:pPr>
            <w:r>
              <w:rPr>
                <w:sz w:val="20"/>
              </w:rPr>
              <w:t>30.029470</w:t>
            </w:r>
          </w:p>
        </w:tc>
        <w:tc>
          <w:tcPr>
            <w:tcW w:w="4710" w:type="dxa"/>
            <w:gridSpan w:val="2"/>
            <w:tcBorders>
              <w:top w:val="single" w:sz="6" w:space="0" w:color="000000"/>
              <w:left w:val="single" w:sz="6" w:space="0" w:color="000000"/>
              <w:right w:val="single" w:sz="6" w:space="0" w:color="000000"/>
            </w:tcBorders>
          </w:tcPr>
          <w:p>
            <w:pPr>
              <w:pStyle w:val="TableParagraph"/>
              <w:spacing w:before="46"/>
              <w:ind w:left="964"/>
              <w:jc w:val="left"/>
              <w:rPr>
                <w:rFonts w:ascii="宋体" w:eastAsia="宋体" w:hint="eastAsia"/>
                <w:sz w:val="20"/>
              </w:rPr>
            </w:pPr>
            <w:r>
              <w:rPr>
                <w:rFonts w:ascii="宋体" w:eastAsia="宋体" w:hint="eastAsia"/>
                <w:sz w:val="20"/>
              </w:rPr>
              <w:t>规划居住用地、规划中小学用地</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right w:val="single" w:sz="6" w:space="0" w:color="000000"/>
            </w:tcBorders>
          </w:tcPr>
          <w:p>
            <w:pPr>
              <w:pStyle w:val="TableParagraph"/>
              <w:spacing w:before="57"/>
              <w:ind w:left="38"/>
              <w:rPr>
                <w:sz w:val="20"/>
              </w:rPr>
            </w:pPr>
            <w:r>
              <w:rPr>
                <w:w w:val="99"/>
                <w:sz w:val="20"/>
              </w:rPr>
              <w:t>N</w:t>
            </w:r>
          </w:p>
        </w:tc>
        <w:tc>
          <w:tcPr>
            <w:tcW w:w="1444" w:type="dxa"/>
            <w:tcBorders>
              <w:top w:val="single" w:sz="6" w:space="0" w:color="000000"/>
              <w:left w:val="single" w:sz="6" w:space="0" w:color="000000"/>
            </w:tcBorders>
          </w:tcPr>
          <w:p>
            <w:pPr>
              <w:pStyle w:val="TableParagraph"/>
              <w:spacing w:before="46"/>
              <w:ind w:left="284" w:right="234"/>
              <w:rPr>
                <w:sz w:val="20"/>
              </w:rPr>
            </w:pPr>
            <w:r>
              <w:rPr>
                <w:rFonts w:ascii="宋体" w:eastAsia="宋体" w:hint="eastAsia"/>
                <w:sz w:val="20"/>
              </w:rPr>
              <w:t>约 </w:t>
            </w:r>
            <w:r>
              <w:rPr>
                <w:sz w:val="20"/>
              </w:rPr>
              <w:t>1880m</w:t>
            </w:r>
          </w:p>
        </w:tc>
      </w:tr>
    </w:tbl>
    <w:p>
      <w:pPr>
        <w:spacing w:after="0"/>
        <w:rPr>
          <w:sz w:val="20"/>
        </w:rPr>
        <w:sectPr>
          <w:headerReference w:type="default" r:id="rId19"/>
          <w:footerReference w:type="default" r:id="rId20"/>
          <w:pgSz w:w="16840" w:h="11910" w:orient="landscape"/>
          <w:pgMar w:header="874" w:footer="1004" w:top="1180" w:bottom="1200" w:left="900" w:right="860"/>
          <w:pgNumType w:start="39"/>
        </w:sectPr>
      </w:pPr>
    </w:p>
    <w:p>
      <w:pPr>
        <w:pStyle w:val="BodyText"/>
        <w:spacing w:before="10"/>
        <w:ind w:left="0"/>
        <w:rPr>
          <w:b/>
          <w:sz w:val="2"/>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27"/>
        <w:gridCol w:w="2050"/>
        <w:gridCol w:w="1032"/>
        <w:gridCol w:w="1186"/>
        <w:gridCol w:w="1082"/>
        <w:gridCol w:w="1036"/>
        <w:gridCol w:w="3674"/>
        <w:gridCol w:w="1241"/>
        <w:gridCol w:w="1444"/>
        <w:gridCol w:w="1444"/>
      </w:tblGrid>
      <w:tr>
        <w:trPr>
          <w:trHeight w:val="351" w:hRule="atLeast"/>
        </w:trPr>
        <w:tc>
          <w:tcPr>
            <w:tcW w:w="3709" w:type="dxa"/>
            <w:gridSpan w:val="3"/>
            <w:vMerge w:val="restart"/>
            <w:tcBorders>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633" w:right="1610"/>
              <w:rPr>
                <w:rFonts w:ascii="宋体" w:eastAsia="宋体" w:hint="eastAsia"/>
                <w:b/>
                <w:sz w:val="20"/>
              </w:rPr>
            </w:pPr>
            <w:r>
              <w:rPr>
                <w:rFonts w:ascii="宋体" w:eastAsia="宋体" w:hint="eastAsia"/>
                <w:b/>
                <w:sz w:val="20"/>
              </w:rPr>
              <w:t>名称</w:t>
            </w:r>
          </w:p>
        </w:tc>
        <w:tc>
          <w:tcPr>
            <w:tcW w:w="2268" w:type="dxa"/>
            <w:gridSpan w:val="2"/>
            <w:tcBorders>
              <w:left w:val="single" w:sz="6" w:space="0" w:color="000000"/>
              <w:bottom w:val="single" w:sz="6" w:space="0" w:color="000000"/>
              <w:right w:val="single" w:sz="6" w:space="0" w:color="000000"/>
            </w:tcBorders>
          </w:tcPr>
          <w:p>
            <w:pPr>
              <w:pStyle w:val="TableParagraph"/>
              <w:spacing w:before="51"/>
              <w:ind w:left="71" w:right="35"/>
              <w:rPr>
                <w:rFonts w:ascii="宋体" w:eastAsia="宋体" w:hint="eastAsia"/>
                <w:b/>
                <w:sz w:val="20"/>
              </w:rPr>
            </w:pPr>
            <w:r>
              <w:rPr>
                <w:rFonts w:ascii="宋体" w:eastAsia="宋体" w:hint="eastAsia"/>
                <w:b/>
                <w:sz w:val="20"/>
              </w:rPr>
              <w:t>坐标</w:t>
            </w:r>
          </w:p>
        </w:tc>
        <w:tc>
          <w:tcPr>
            <w:tcW w:w="1036" w:type="dxa"/>
            <w:vMerge w:val="restart"/>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24"/>
              <w:jc w:val="left"/>
              <w:rPr>
                <w:rFonts w:ascii="宋体" w:eastAsia="宋体" w:hint="eastAsia"/>
                <w:b/>
                <w:sz w:val="20"/>
              </w:rPr>
            </w:pPr>
            <w:r>
              <w:rPr>
                <w:rFonts w:ascii="宋体" w:eastAsia="宋体" w:hint="eastAsia"/>
                <w:b/>
                <w:sz w:val="20"/>
              </w:rPr>
              <w:t>保护对象</w:t>
            </w:r>
          </w:p>
        </w:tc>
        <w:tc>
          <w:tcPr>
            <w:tcW w:w="3674" w:type="dxa"/>
            <w:vMerge w:val="restart"/>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76" w:right="38"/>
              <w:rPr>
                <w:rFonts w:ascii="宋体" w:eastAsia="宋体" w:hint="eastAsia"/>
                <w:b/>
                <w:sz w:val="20"/>
              </w:rPr>
            </w:pPr>
            <w:r>
              <w:rPr>
                <w:rFonts w:ascii="宋体" w:eastAsia="宋体" w:hint="eastAsia"/>
                <w:b/>
                <w:sz w:val="20"/>
              </w:rPr>
              <w:t>保护内容</w:t>
            </w:r>
          </w:p>
        </w:tc>
        <w:tc>
          <w:tcPr>
            <w:tcW w:w="1241" w:type="dxa"/>
            <w:vMerge w:val="restart"/>
            <w:tcBorders>
              <w:left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28"/>
              <w:jc w:val="left"/>
              <w:rPr>
                <w:rFonts w:ascii="宋体" w:eastAsia="宋体" w:hint="eastAsia"/>
                <w:b/>
                <w:sz w:val="20"/>
              </w:rPr>
            </w:pPr>
            <w:r>
              <w:rPr>
                <w:rFonts w:ascii="宋体" w:eastAsia="宋体" w:hint="eastAsia"/>
                <w:b/>
                <w:sz w:val="20"/>
              </w:rPr>
              <w:t>环境功能区</w:t>
            </w:r>
          </w:p>
        </w:tc>
        <w:tc>
          <w:tcPr>
            <w:tcW w:w="1444" w:type="dxa"/>
            <w:vMerge w:val="restart"/>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1"/>
              <w:ind w:left="131"/>
              <w:jc w:val="left"/>
              <w:rPr>
                <w:rFonts w:ascii="宋体" w:eastAsia="宋体" w:hint="eastAsia"/>
                <w:b/>
                <w:sz w:val="20"/>
              </w:rPr>
            </w:pPr>
            <w:r>
              <w:rPr>
                <w:rFonts w:ascii="宋体" w:eastAsia="宋体" w:hint="eastAsia"/>
                <w:b/>
                <w:sz w:val="20"/>
              </w:rPr>
              <w:t>相对厂址方位</w:t>
            </w:r>
          </w:p>
        </w:tc>
        <w:tc>
          <w:tcPr>
            <w:tcW w:w="1444" w:type="dxa"/>
            <w:vMerge w:val="restart"/>
            <w:tcBorders>
              <w:left w:val="single" w:sz="6" w:space="0" w:color="000000"/>
              <w:bottom w:val="single" w:sz="6" w:space="0" w:color="000000"/>
            </w:tcBorders>
          </w:tcPr>
          <w:p>
            <w:pPr>
              <w:pStyle w:val="TableParagraph"/>
              <w:spacing w:before="7"/>
              <w:jc w:val="left"/>
              <w:rPr>
                <w:rFonts w:ascii="宋体"/>
                <w:b/>
                <w:sz w:val="18"/>
              </w:rPr>
            </w:pPr>
          </w:p>
          <w:p>
            <w:pPr>
              <w:pStyle w:val="TableParagraph"/>
              <w:spacing w:before="1"/>
              <w:ind w:left="132"/>
              <w:jc w:val="left"/>
              <w:rPr>
                <w:rFonts w:ascii="宋体" w:eastAsia="宋体" w:hint="eastAsia"/>
                <w:b/>
                <w:sz w:val="20"/>
              </w:rPr>
            </w:pPr>
            <w:r>
              <w:rPr>
                <w:rFonts w:ascii="宋体" w:eastAsia="宋体" w:hint="eastAsia"/>
                <w:b/>
                <w:sz w:val="20"/>
              </w:rPr>
              <w:t>相对厂界距离</w:t>
            </w:r>
          </w:p>
        </w:tc>
      </w:tr>
      <w:tr>
        <w:trPr>
          <w:trHeight w:val="341" w:hRule="atLeast"/>
        </w:trPr>
        <w:tc>
          <w:tcPr>
            <w:tcW w:w="3709" w:type="dxa"/>
            <w:gridSpan w:val="3"/>
            <w:vMerge/>
            <w:tcBorders>
              <w:top w:val="nil"/>
              <w:bottom w:val="single" w:sz="6" w:space="0" w:color="000000"/>
              <w:right w:val="single" w:sz="6" w:space="0" w:color="000000"/>
            </w:tcBorders>
          </w:tcPr>
          <w:p>
            <w:pPr>
              <w:rPr>
                <w:sz w:val="2"/>
                <w:szCs w:val="2"/>
              </w:rPr>
            </w:pP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44"/>
              <w:ind w:left="106" w:right="74"/>
              <w:rPr>
                <w:rFonts w:ascii="宋体" w:eastAsia="宋体" w:hint="eastAsia"/>
                <w:b/>
                <w:sz w:val="20"/>
              </w:rPr>
            </w:pPr>
            <w:r>
              <w:rPr>
                <w:rFonts w:ascii="宋体" w:eastAsia="宋体" w:hint="eastAsia"/>
                <w:b/>
                <w:sz w:val="20"/>
              </w:rPr>
              <w:t>东经</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44"/>
              <w:ind w:left="101" w:right="71"/>
              <w:rPr>
                <w:rFonts w:ascii="宋体" w:eastAsia="宋体" w:hint="eastAsia"/>
                <w:b/>
                <w:sz w:val="20"/>
              </w:rPr>
            </w:pPr>
            <w:r>
              <w:rPr>
                <w:rFonts w:ascii="宋体" w:eastAsia="宋体" w:hint="eastAsia"/>
                <w:b/>
                <w:sz w:val="20"/>
              </w:rPr>
              <w:t>北纬</w:t>
            </w:r>
          </w:p>
        </w:tc>
        <w:tc>
          <w:tcPr>
            <w:tcW w:w="1036" w:type="dxa"/>
            <w:vMerge/>
            <w:tcBorders>
              <w:top w:val="nil"/>
              <w:left w:val="single" w:sz="6" w:space="0" w:color="000000"/>
              <w:bottom w:val="single" w:sz="6" w:space="0" w:color="000000"/>
              <w:right w:val="single" w:sz="6" w:space="0" w:color="000000"/>
            </w:tcBorders>
          </w:tcPr>
          <w:p>
            <w:pPr>
              <w:rPr>
                <w:sz w:val="2"/>
                <w:szCs w:val="2"/>
              </w:rPr>
            </w:pPr>
          </w:p>
        </w:tc>
        <w:tc>
          <w:tcPr>
            <w:tcW w:w="3674"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right w:val="single" w:sz="6" w:space="0" w:color="000000"/>
            </w:tcBorders>
          </w:tcPr>
          <w:p>
            <w:pPr>
              <w:rPr>
                <w:sz w:val="2"/>
                <w:szCs w:val="2"/>
              </w:rPr>
            </w:pPr>
          </w:p>
        </w:tc>
        <w:tc>
          <w:tcPr>
            <w:tcW w:w="1444" w:type="dxa"/>
            <w:vMerge/>
            <w:tcBorders>
              <w:top w:val="nil"/>
              <w:left w:val="single" w:sz="6" w:space="0" w:color="000000"/>
              <w:bottom w:val="single" w:sz="6" w:space="0" w:color="000000"/>
              <w:right w:val="single" w:sz="6" w:space="0" w:color="000000"/>
            </w:tcBorders>
          </w:tcPr>
          <w:p>
            <w:pPr>
              <w:rPr>
                <w:sz w:val="2"/>
                <w:szCs w:val="2"/>
              </w:rPr>
            </w:pPr>
          </w:p>
        </w:tc>
        <w:tc>
          <w:tcPr>
            <w:tcW w:w="1444" w:type="dxa"/>
            <w:vMerge/>
            <w:tcBorders>
              <w:top w:val="nil"/>
              <w:left w:val="single" w:sz="6" w:space="0" w:color="000000"/>
              <w:bottom w:val="single" w:sz="6" w:space="0" w:color="000000"/>
            </w:tcBorders>
          </w:tcPr>
          <w:p>
            <w:pPr>
              <w:rPr>
                <w:sz w:val="2"/>
                <w:szCs w:val="2"/>
              </w:rPr>
            </w:pPr>
          </w:p>
        </w:tc>
      </w:tr>
      <w:tr>
        <w:trPr>
          <w:trHeight w:val="344" w:hRule="atLeast"/>
        </w:trPr>
        <w:tc>
          <w:tcPr>
            <w:tcW w:w="6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27"/>
              </w:rPr>
            </w:pPr>
          </w:p>
          <w:p>
            <w:pPr>
              <w:pStyle w:val="TableParagraph"/>
              <w:spacing w:line="336" w:lineRule="auto" w:before="1"/>
              <w:ind w:left="112" w:right="91"/>
              <w:jc w:val="left"/>
              <w:rPr>
                <w:rFonts w:ascii="宋体" w:eastAsia="宋体" w:hint="eastAsia"/>
                <w:sz w:val="20"/>
              </w:rPr>
            </w:pPr>
            <w:r>
              <w:rPr>
                <w:rFonts w:ascii="宋体" w:eastAsia="宋体" w:hint="eastAsia"/>
                <w:sz w:val="20"/>
              </w:rPr>
              <w:t>福全街道</w:t>
            </w:r>
          </w:p>
        </w:tc>
        <w:tc>
          <w:tcPr>
            <w:tcW w:w="20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630"/>
              <w:jc w:val="left"/>
              <w:rPr>
                <w:rFonts w:ascii="宋体" w:eastAsia="宋体" w:hint="eastAsia"/>
                <w:sz w:val="20"/>
              </w:rPr>
            </w:pPr>
            <w:r>
              <w:rPr>
                <w:rFonts w:ascii="宋体" w:eastAsia="宋体" w:hint="eastAsia"/>
                <w:sz w:val="20"/>
              </w:rPr>
              <w:t>新迪埠村</w:t>
            </w:r>
          </w:p>
        </w:tc>
        <w:tc>
          <w:tcPr>
            <w:tcW w:w="1032" w:type="dxa"/>
            <w:tcBorders>
              <w:top w:val="single" w:sz="6" w:space="0" w:color="000000"/>
              <w:left w:val="single" w:sz="6" w:space="0" w:color="000000"/>
              <w:bottom w:val="single" w:sz="6" w:space="0" w:color="000000"/>
              <w:right w:val="single" w:sz="6" w:space="0" w:color="000000"/>
            </w:tcBorders>
          </w:tcPr>
          <w:p>
            <w:pPr>
              <w:pStyle w:val="TableParagraph"/>
              <w:spacing w:before="46"/>
              <w:ind w:left="99" w:right="77"/>
              <w:rPr>
                <w:rFonts w:ascii="宋体" w:eastAsia="宋体" w:hint="eastAsia"/>
                <w:sz w:val="20"/>
              </w:rPr>
            </w:pPr>
            <w:r>
              <w:rPr>
                <w:rFonts w:ascii="宋体" w:eastAsia="宋体" w:hint="eastAsia"/>
                <w:sz w:val="20"/>
              </w:rPr>
              <w:t>迪埠</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7"/>
              <w:ind w:left="106" w:right="75"/>
              <w:rPr>
                <w:sz w:val="20"/>
              </w:rPr>
            </w:pPr>
            <w:r>
              <w:rPr>
                <w:sz w:val="20"/>
              </w:rPr>
              <w:t>120.470924</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7"/>
              <w:ind w:left="99" w:right="74"/>
              <w:rPr>
                <w:sz w:val="20"/>
              </w:rPr>
            </w:pPr>
            <w:r>
              <w:rPr>
                <w:sz w:val="20"/>
              </w:rPr>
              <w:t>30.000727</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6"/>
              <w:ind w:left="105" w:right="73"/>
              <w:rPr>
                <w:rFonts w:ascii="宋体" w:eastAsia="宋体" w:hint="eastAsia"/>
                <w:sz w:val="20"/>
              </w:rPr>
            </w:pPr>
            <w:r>
              <w:rPr>
                <w:rFonts w:ascii="宋体" w:eastAsia="宋体" w:hint="eastAsia"/>
                <w:sz w:val="20"/>
              </w:rPr>
              <w:t>居住区</w:t>
            </w:r>
          </w:p>
        </w:tc>
        <w:tc>
          <w:tcPr>
            <w:tcW w:w="367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896"/>
              <w:jc w:val="left"/>
              <w:rPr>
                <w:rFonts w:ascii="宋体" w:eastAsia="宋体" w:hint="eastAsia"/>
                <w:sz w:val="20"/>
              </w:rPr>
            </w:pPr>
            <w:r>
              <w:rPr>
                <w:rFonts w:ascii="宋体" w:eastAsia="宋体" w:hint="eastAsia"/>
                <w:sz w:val="20"/>
              </w:rPr>
              <w:t>约 </w:t>
            </w:r>
            <w:r>
              <w:rPr>
                <w:position w:val="1"/>
                <w:sz w:val="20"/>
              </w:rPr>
              <w:t>805 </w:t>
            </w:r>
            <w:r>
              <w:rPr>
                <w:rFonts w:ascii="宋体" w:eastAsia="宋体" w:hint="eastAsia"/>
                <w:sz w:val="20"/>
              </w:rPr>
              <w:t>户，约 </w:t>
            </w:r>
            <w:r>
              <w:rPr>
                <w:position w:val="1"/>
                <w:sz w:val="20"/>
              </w:rPr>
              <w:t>2465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7"/>
              <w:ind w:left="544" w:right="510"/>
              <w:rPr>
                <w:sz w:val="20"/>
              </w:rPr>
            </w:pPr>
            <w:r>
              <w:rPr>
                <w:sz w:val="20"/>
              </w:rPr>
              <w:t>SE</w:t>
            </w:r>
          </w:p>
        </w:tc>
        <w:tc>
          <w:tcPr>
            <w:tcW w:w="1444" w:type="dxa"/>
            <w:tcBorders>
              <w:top w:val="single" w:sz="6" w:space="0" w:color="000000"/>
              <w:left w:val="single" w:sz="6" w:space="0" w:color="000000"/>
              <w:bottom w:val="single" w:sz="6" w:space="0" w:color="000000"/>
            </w:tcBorders>
          </w:tcPr>
          <w:p>
            <w:pPr>
              <w:pStyle w:val="TableParagraph"/>
              <w:spacing w:before="46"/>
              <w:ind w:left="284" w:right="236"/>
              <w:rPr>
                <w:sz w:val="20"/>
              </w:rPr>
            </w:pPr>
            <w:r>
              <w:rPr>
                <w:rFonts w:ascii="宋体" w:eastAsia="宋体" w:hint="eastAsia"/>
                <w:sz w:val="20"/>
              </w:rPr>
              <w:t>约 </w:t>
            </w:r>
            <w:r>
              <w:rPr>
                <w:sz w:val="20"/>
              </w:rPr>
              <w:t>980m</w:t>
            </w:r>
          </w:p>
        </w:tc>
      </w:tr>
      <w:tr>
        <w:trPr>
          <w:trHeight w:val="344" w:hRule="atLeast"/>
        </w:trPr>
        <w:tc>
          <w:tcPr>
            <w:tcW w:w="627" w:type="dxa"/>
            <w:vMerge/>
            <w:tcBorders>
              <w:top w:val="nil"/>
              <w:bottom w:val="single" w:sz="6" w:space="0" w:color="000000"/>
              <w:right w:val="single" w:sz="6" w:space="0" w:color="000000"/>
            </w:tcBorders>
          </w:tcPr>
          <w:p>
            <w:pPr>
              <w:rPr>
                <w:sz w:val="2"/>
                <w:szCs w:val="2"/>
              </w:rPr>
            </w:pPr>
          </w:p>
        </w:tc>
        <w:tc>
          <w:tcPr>
            <w:tcW w:w="2050" w:type="dxa"/>
            <w:vMerge/>
            <w:tcBorders>
              <w:top w:val="nil"/>
              <w:left w:val="single" w:sz="6" w:space="0" w:color="000000"/>
              <w:bottom w:val="single" w:sz="6" w:space="0" w:color="000000"/>
              <w:right w:val="single" w:sz="6" w:space="0" w:color="000000"/>
            </w:tcBorders>
          </w:tcPr>
          <w:p>
            <w:pPr>
              <w:rPr>
                <w:sz w:val="2"/>
                <w:szCs w:val="2"/>
              </w:rPr>
            </w:pPr>
          </w:p>
        </w:tc>
        <w:tc>
          <w:tcPr>
            <w:tcW w:w="1032" w:type="dxa"/>
            <w:tcBorders>
              <w:top w:val="single" w:sz="6" w:space="0" w:color="000000"/>
              <w:left w:val="single" w:sz="6" w:space="0" w:color="000000"/>
              <w:bottom w:val="single" w:sz="6" w:space="0" w:color="000000"/>
              <w:right w:val="single" w:sz="6" w:space="0" w:color="000000"/>
            </w:tcBorders>
          </w:tcPr>
          <w:p>
            <w:pPr>
              <w:pStyle w:val="TableParagraph"/>
              <w:spacing w:before="44"/>
              <w:ind w:left="99" w:right="74"/>
              <w:rPr>
                <w:rFonts w:ascii="宋体" w:eastAsia="宋体" w:hint="eastAsia"/>
                <w:sz w:val="20"/>
              </w:rPr>
            </w:pPr>
            <w:r>
              <w:rPr>
                <w:rFonts w:ascii="宋体" w:eastAsia="宋体" w:hint="eastAsia"/>
                <w:sz w:val="20"/>
              </w:rPr>
              <w:t>洪家墩</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120.471691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29.995926</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10"/>
              <w:rPr>
                <w:sz w:val="20"/>
              </w:rPr>
            </w:pPr>
            <w:r>
              <w:rPr>
                <w:sz w:val="20"/>
              </w:rPr>
              <w:t>SE</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1360m</w:t>
            </w:r>
          </w:p>
        </w:tc>
      </w:tr>
      <w:tr>
        <w:trPr>
          <w:trHeight w:val="344" w:hRule="atLeast"/>
        </w:trPr>
        <w:tc>
          <w:tcPr>
            <w:tcW w:w="627" w:type="dxa"/>
            <w:vMerge/>
            <w:tcBorders>
              <w:top w:val="nil"/>
              <w:bottom w:val="single" w:sz="6" w:space="0" w:color="000000"/>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024" w:right="999"/>
              <w:rPr>
                <w:rFonts w:ascii="宋体" w:eastAsia="宋体" w:hint="eastAsia"/>
                <w:sz w:val="20"/>
              </w:rPr>
            </w:pPr>
            <w:r>
              <w:rPr>
                <w:rFonts w:ascii="宋体" w:eastAsia="宋体" w:hint="eastAsia"/>
                <w:sz w:val="20"/>
              </w:rPr>
              <w:t>兴联村</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120.480909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30.005898</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4"/>
              <w:ind w:left="76" w:right="42"/>
              <w:rPr>
                <w:rFonts w:ascii="宋体" w:eastAsia="宋体" w:hint="eastAsia"/>
                <w:sz w:val="20"/>
              </w:rPr>
            </w:pPr>
            <w:r>
              <w:rPr>
                <w:rFonts w:ascii="宋体" w:eastAsia="宋体" w:hint="eastAsia"/>
                <w:sz w:val="20"/>
              </w:rPr>
              <w:t>约 </w:t>
            </w:r>
            <w:r>
              <w:rPr>
                <w:position w:val="1"/>
                <w:sz w:val="20"/>
              </w:rPr>
              <w:t>610 </w:t>
            </w:r>
            <w:r>
              <w:rPr>
                <w:rFonts w:ascii="宋体" w:eastAsia="宋体" w:hint="eastAsia"/>
                <w:sz w:val="20"/>
              </w:rPr>
              <w:t>户，约 </w:t>
            </w:r>
            <w:r>
              <w:rPr>
                <w:position w:val="1"/>
                <w:sz w:val="20"/>
              </w:rPr>
              <w:t>1805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35"/>
              <w:rPr>
                <w:sz w:val="20"/>
              </w:rPr>
            </w:pPr>
            <w:r>
              <w:rPr>
                <w:w w:val="99"/>
                <w:sz w:val="20"/>
              </w:rPr>
              <w:t>E</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1620m</w:t>
            </w:r>
          </w:p>
        </w:tc>
      </w:tr>
      <w:tr>
        <w:trPr>
          <w:trHeight w:val="342" w:hRule="atLeast"/>
        </w:trPr>
        <w:tc>
          <w:tcPr>
            <w:tcW w:w="627" w:type="dxa"/>
            <w:vMerge/>
            <w:tcBorders>
              <w:top w:val="nil"/>
              <w:bottom w:val="single" w:sz="6" w:space="0" w:color="000000"/>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024" w:right="999"/>
              <w:rPr>
                <w:rFonts w:ascii="宋体" w:eastAsia="宋体" w:hint="eastAsia"/>
                <w:sz w:val="20"/>
              </w:rPr>
            </w:pPr>
            <w:r>
              <w:rPr>
                <w:rFonts w:ascii="宋体" w:eastAsia="宋体" w:hint="eastAsia"/>
                <w:sz w:val="20"/>
              </w:rPr>
              <w:t>梅三村</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120.478409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29.998255</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4"/>
              <w:ind w:left="76" w:right="42"/>
              <w:rPr>
                <w:rFonts w:ascii="宋体" w:eastAsia="宋体" w:hint="eastAsia"/>
                <w:sz w:val="20"/>
              </w:rPr>
            </w:pPr>
            <w:r>
              <w:rPr>
                <w:rFonts w:ascii="宋体" w:eastAsia="宋体" w:hint="eastAsia"/>
                <w:sz w:val="20"/>
              </w:rPr>
              <w:t>约 </w:t>
            </w:r>
            <w:r>
              <w:rPr>
                <w:position w:val="1"/>
                <w:sz w:val="20"/>
              </w:rPr>
              <w:t>551 </w:t>
            </w:r>
            <w:r>
              <w:rPr>
                <w:rFonts w:ascii="宋体" w:eastAsia="宋体" w:hint="eastAsia"/>
                <w:sz w:val="20"/>
              </w:rPr>
              <w:t>户，约 </w:t>
            </w:r>
            <w:r>
              <w:rPr>
                <w:position w:val="1"/>
                <w:sz w:val="20"/>
              </w:rPr>
              <w:t>1760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10"/>
              <w:rPr>
                <w:sz w:val="20"/>
              </w:rPr>
            </w:pPr>
            <w:r>
              <w:rPr>
                <w:sz w:val="20"/>
              </w:rPr>
              <w:t>SE</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1780m</w:t>
            </w:r>
          </w:p>
        </w:tc>
      </w:tr>
      <w:tr>
        <w:trPr>
          <w:trHeight w:val="344" w:hRule="atLeast"/>
        </w:trPr>
        <w:tc>
          <w:tcPr>
            <w:tcW w:w="627" w:type="dxa"/>
            <w:vMerge/>
            <w:tcBorders>
              <w:top w:val="nil"/>
              <w:bottom w:val="single" w:sz="6" w:space="0" w:color="000000"/>
              <w:right w:val="single" w:sz="6" w:space="0" w:color="000000"/>
            </w:tcBorders>
          </w:tcPr>
          <w:p>
            <w:pPr>
              <w:rPr>
                <w:sz w:val="2"/>
                <w:szCs w:val="2"/>
              </w:rPr>
            </w:pP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1024" w:right="999"/>
              <w:rPr>
                <w:rFonts w:ascii="宋体" w:eastAsia="宋体" w:hint="eastAsia"/>
                <w:sz w:val="20"/>
              </w:rPr>
            </w:pPr>
            <w:r>
              <w:rPr>
                <w:rFonts w:ascii="宋体" w:eastAsia="宋体" w:hint="eastAsia"/>
                <w:sz w:val="20"/>
              </w:rPr>
              <w:t>容山村</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7"/>
              <w:ind w:left="106" w:right="75"/>
              <w:rPr>
                <w:sz w:val="20"/>
              </w:rPr>
            </w:pPr>
            <w:r>
              <w:rPr>
                <w:sz w:val="20"/>
              </w:rPr>
              <w:t>120.472292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7"/>
              <w:ind w:left="99" w:right="74"/>
              <w:rPr>
                <w:sz w:val="20"/>
              </w:rPr>
            </w:pPr>
            <w:r>
              <w:rPr>
                <w:sz w:val="20"/>
              </w:rPr>
              <w:t>29.990079</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6"/>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6"/>
              <w:ind w:left="76" w:right="38"/>
              <w:rPr>
                <w:rFonts w:ascii="宋体" w:eastAsia="宋体" w:hint="eastAsia"/>
                <w:sz w:val="20"/>
              </w:rPr>
            </w:pPr>
            <w:r>
              <w:rPr>
                <w:rFonts w:ascii="宋体" w:eastAsia="宋体" w:hint="eastAsia"/>
                <w:sz w:val="20"/>
              </w:rPr>
              <w:t>约 </w:t>
            </w:r>
            <w:r>
              <w:rPr>
                <w:position w:val="1"/>
                <w:sz w:val="20"/>
              </w:rPr>
              <w:t>1050 </w:t>
            </w:r>
            <w:r>
              <w:rPr>
                <w:rFonts w:ascii="宋体" w:eastAsia="宋体" w:hint="eastAsia"/>
                <w:sz w:val="20"/>
              </w:rPr>
              <w:t>户，约 </w:t>
            </w:r>
            <w:r>
              <w:rPr>
                <w:position w:val="1"/>
                <w:sz w:val="20"/>
              </w:rPr>
              <w:t>3280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7"/>
              <w:ind w:left="38"/>
              <w:rPr>
                <w:sz w:val="20"/>
              </w:rPr>
            </w:pPr>
            <w:r>
              <w:rPr>
                <w:w w:val="99"/>
                <w:sz w:val="20"/>
              </w:rPr>
              <w:t>S</w:t>
            </w:r>
          </w:p>
        </w:tc>
        <w:tc>
          <w:tcPr>
            <w:tcW w:w="1444" w:type="dxa"/>
            <w:tcBorders>
              <w:top w:val="single" w:sz="6" w:space="0" w:color="000000"/>
              <w:left w:val="single" w:sz="6" w:space="0" w:color="000000"/>
              <w:bottom w:val="single" w:sz="6" w:space="0" w:color="000000"/>
            </w:tcBorders>
          </w:tcPr>
          <w:p>
            <w:pPr>
              <w:pStyle w:val="TableParagraph"/>
              <w:spacing w:before="46"/>
              <w:ind w:left="284" w:right="236"/>
              <w:rPr>
                <w:sz w:val="20"/>
              </w:rPr>
            </w:pPr>
            <w:r>
              <w:rPr>
                <w:rFonts w:ascii="宋体" w:eastAsia="宋体" w:hint="eastAsia"/>
                <w:sz w:val="20"/>
              </w:rPr>
              <w:t>约 </w:t>
            </w:r>
            <w:r>
              <w:rPr>
                <w:sz w:val="20"/>
              </w:rPr>
              <w:t>2070m</w:t>
            </w:r>
          </w:p>
        </w:tc>
      </w:tr>
      <w:tr>
        <w:trPr>
          <w:trHeight w:val="344" w:hRule="atLeast"/>
        </w:trPr>
        <w:tc>
          <w:tcPr>
            <w:tcW w:w="627" w:type="dxa"/>
            <w:vMerge w:val="restart"/>
            <w:tcBorders>
              <w:top w:val="single" w:sz="6" w:space="0" w:color="000000"/>
              <w:right w:val="single" w:sz="6" w:space="0" w:color="000000"/>
            </w:tcBorders>
          </w:tcPr>
          <w:p>
            <w:pPr>
              <w:pStyle w:val="TableParagraph"/>
              <w:spacing w:before="54"/>
              <w:ind w:left="112"/>
              <w:jc w:val="left"/>
              <w:rPr>
                <w:rFonts w:ascii="宋体" w:eastAsia="宋体" w:hint="eastAsia"/>
                <w:sz w:val="20"/>
              </w:rPr>
            </w:pPr>
            <w:r>
              <w:rPr>
                <w:rFonts w:ascii="宋体" w:eastAsia="宋体" w:hint="eastAsia"/>
                <w:w w:val="95"/>
                <w:sz w:val="20"/>
              </w:rPr>
              <w:t>湖塘</w:t>
            </w:r>
          </w:p>
          <w:p>
            <w:pPr>
              <w:pStyle w:val="TableParagraph"/>
              <w:spacing w:before="101"/>
              <w:ind w:left="112"/>
              <w:jc w:val="left"/>
              <w:rPr>
                <w:rFonts w:ascii="宋体" w:eastAsia="宋体" w:hint="eastAsia"/>
                <w:sz w:val="20"/>
              </w:rPr>
            </w:pPr>
            <w:r>
              <w:rPr>
                <w:rFonts w:ascii="宋体" w:eastAsia="宋体" w:hint="eastAsia"/>
                <w:w w:val="95"/>
                <w:sz w:val="20"/>
              </w:rPr>
              <w:t>街道</w:t>
            </w:r>
          </w:p>
        </w:tc>
        <w:tc>
          <w:tcPr>
            <w:tcW w:w="308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024" w:right="999"/>
              <w:rPr>
                <w:rFonts w:ascii="宋体" w:eastAsia="宋体" w:hint="eastAsia"/>
                <w:sz w:val="20"/>
              </w:rPr>
            </w:pPr>
            <w:r>
              <w:rPr>
                <w:rFonts w:ascii="宋体" w:eastAsia="宋体" w:hint="eastAsia"/>
                <w:sz w:val="20"/>
              </w:rPr>
              <w:t>兴华村</w:t>
            </w:r>
          </w:p>
        </w:tc>
        <w:tc>
          <w:tcPr>
            <w:tcW w:w="1186" w:type="dxa"/>
            <w:tcBorders>
              <w:top w:val="single" w:sz="6" w:space="0" w:color="000000"/>
              <w:left w:val="single" w:sz="6" w:space="0" w:color="000000"/>
              <w:bottom w:val="single" w:sz="6" w:space="0" w:color="000000"/>
              <w:right w:val="single" w:sz="6" w:space="0" w:color="000000"/>
            </w:tcBorders>
          </w:tcPr>
          <w:p>
            <w:pPr>
              <w:pStyle w:val="TableParagraph"/>
              <w:spacing w:before="55"/>
              <w:ind w:left="106" w:right="75"/>
              <w:rPr>
                <w:sz w:val="20"/>
              </w:rPr>
            </w:pPr>
            <w:r>
              <w:rPr>
                <w:sz w:val="20"/>
              </w:rPr>
              <w:t>120.443194</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55"/>
              <w:ind w:left="99" w:right="74"/>
              <w:rPr>
                <w:sz w:val="20"/>
              </w:rPr>
            </w:pPr>
            <w:r>
              <w:rPr>
                <w:sz w:val="20"/>
              </w:rPr>
              <w:t>29.997352</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bottom w:val="single" w:sz="6" w:space="0" w:color="000000"/>
              <w:right w:val="single" w:sz="6" w:space="0" w:color="000000"/>
            </w:tcBorders>
          </w:tcPr>
          <w:p>
            <w:pPr>
              <w:pStyle w:val="TableParagraph"/>
              <w:spacing w:before="44"/>
              <w:ind w:left="76" w:right="42"/>
              <w:rPr>
                <w:rFonts w:ascii="宋体" w:eastAsia="宋体" w:hint="eastAsia"/>
                <w:sz w:val="20"/>
              </w:rPr>
            </w:pPr>
            <w:r>
              <w:rPr>
                <w:rFonts w:ascii="宋体" w:eastAsia="宋体" w:hint="eastAsia"/>
                <w:sz w:val="20"/>
              </w:rPr>
              <w:t>约 </w:t>
            </w:r>
            <w:r>
              <w:rPr>
                <w:position w:val="1"/>
                <w:sz w:val="20"/>
              </w:rPr>
              <w:t>448 </w:t>
            </w:r>
            <w:r>
              <w:rPr>
                <w:rFonts w:ascii="宋体" w:eastAsia="宋体" w:hint="eastAsia"/>
                <w:sz w:val="20"/>
              </w:rPr>
              <w:t>户，约 </w:t>
            </w:r>
            <w:r>
              <w:rPr>
                <w:position w:val="1"/>
                <w:sz w:val="20"/>
              </w:rPr>
              <w:t>1463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bottom w:val="single" w:sz="6" w:space="0" w:color="000000"/>
              <w:right w:val="single" w:sz="6" w:space="0" w:color="000000"/>
            </w:tcBorders>
          </w:tcPr>
          <w:p>
            <w:pPr>
              <w:pStyle w:val="TableParagraph"/>
              <w:spacing w:before="55"/>
              <w:ind w:left="544" w:right="510"/>
              <w:rPr>
                <w:sz w:val="20"/>
              </w:rPr>
            </w:pPr>
            <w:r>
              <w:rPr>
                <w:sz w:val="20"/>
              </w:rPr>
              <w:t>SW</w:t>
            </w:r>
          </w:p>
        </w:tc>
        <w:tc>
          <w:tcPr>
            <w:tcW w:w="1444" w:type="dxa"/>
            <w:tcBorders>
              <w:top w:val="single" w:sz="6" w:space="0" w:color="000000"/>
              <w:left w:val="single" w:sz="6" w:space="0" w:color="000000"/>
              <w:bottom w:val="single" w:sz="6" w:space="0" w:color="000000"/>
            </w:tcBorders>
          </w:tcPr>
          <w:p>
            <w:pPr>
              <w:pStyle w:val="TableParagraph"/>
              <w:spacing w:before="44"/>
              <w:ind w:left="284" w:right="236"/>
              <w:rPr>
                <w:sz w:val="20"/>
              </w:rPr>
            </w:pPr>
            <w:r>
              <w:rPr>
                <w:rFonts w:ascii="宋体" w:eastAsia="宋体" w:hint="eastAsia"/>
                <w:sz w:val="20"/>
              </w:rPr>
              <w:t>约 </w:t>
            </w:r>
            <w:r>
              <w:rPr>
                <w:sz w:val="20"/>
              </w:rPr>
              <w:t>1700m</w:t>
            </w:r>
          </w:p>
        </w:tc>
      </w:tr>
      <w:tr>
        <w:trPr>
          <w:trHeight w:val="351" w:hRule="atLeast"/>
        </w:trPr>
        <w:tc>
          <w:tcPr>
            <w:tcW w:w="627" w:type="dxa"/>
            <w:vMerge/>
            <w:tcBorders>
              <w:top w:val="nil"/>
              <w:right w:val="single" w:sz="6" w:space="0" w:color="000000"/>
            </w:tcBorders>
          </w:tcPr>
          <w:p>
            <w:pPr>
              <w:rPr>
                <w:sz w:val="2"/>
                <w:szCs w:val="2"/>
              </w:rPr>
            </w:pPr>
          </w:p>
        </w:tc>
        <w:tc>
          <w:tcPr>
            <w:tcW w:w="3082" w:type="dxa"/>
            <w:gridSpan w:val="2"/>
            <w:tcBorders>
              <w:top w:val="single" w:sz="6" w:space="0" w:color="000000"/>
              <w:left w:val="single" w:sz="6" w:space="0" w:color="000000"/>
              <w:right w:val="single" w:sz="6" w:space="0" w:color="000000"/>
            </w:tcBorders>
          </w:tcPr>
          <w:p>
            <w:pPr>
              <w:pStyle w:val="TableParagraph"/>
              <w:spacing w:before="44"/>
              <w:ind w:left="1024" w:right="999"/>
              <w:rPr>
                <w:rFonts w:ascii="宋体" w:eastAsia="宋体" w:hint="eastAsia"/>
                <w:sz w:val="20"/>
              </w:rPr>
            </w:pPr>
            <w:r>
              <w:rPr>
                <w:rFonts w:ascii="宋体" w:eastAsia="宋体" w:hint="eastAsia"/>
                <w:sz w:val="20"/>
              </w:rPr>
              <w:t>永信村</w:t>
            </w:r>
          </w:p>
        </w:tc>
        <w:tc>
          <w:tcPr>
            <w:tcW w:w="1186" w:type="dxa"/>
            <w:tcBorders>
              <w:top w:val="single" w:sz="6" w:space="0" w:color="000000"/>
              <w:left w:val="single" w:sz="6" w:space="0" w:color="000000"/>
              <w:right w:val="single" w:sz="6" w:space="0" w:color="000000"/>
            </w:tcBorders>
          </w:tcPr>
          <w:p>
            <w:pPr>
              <w:pStyle w:val="TableParagraph"/>
              <w:spacing w:before="55"/>
              <w:ind w:left="106" w:right="75"/>
              <w:rPr>
                <w:sz w:val="20"/>
              </w:rPr>
            </w:pPr>
            <w:r>
              <w:rPr>
                <w:sz w:val="20"/>
              </w:rPr>
              <w:t>120.435612</w:t>
            </w:r>
          </w:p>
        </w:tc>
        <w:tc>
          <w:tcPr>
            <w:tcW w:w="1082" w:type="dxa"/>
            <w:tcBorders>
              <w:top w:val="single" w:sz="6" w:space="0" w:color="000000"/>
              <w:left w:val="single" w:sz="6" w:space="0" w:color="000000"/>
              <w:right w:val="single" w:sz="6" w:space="0" w:color="000000"/>
            </w:tcBorders>
          </w:tcPr>
          <w:p>
            <w:pPr>
              <w:pStyle w:val="TableParagraph"/>
              <w:spacing w:before="55"/>
              <w:ind w:left="99" w:right="74"/>
              <w:rPr>
                <w:sz w:val="20"/>
              </w:rPr>
            </w:pPr>
            <w:r>
              <w:rPr>
                <w:sz w:val="20"/>
              </w:rPr>
              <w:t>30.012947</w:t>
            </w:r>
          </w:p>
        </w:tc>
        <w:tc>
          <w:tcPr>
            <w:tcW w:w="1036" w:type="dxa"/>
            <w:tcBorders>
              <w:top w:val="single" w:sz="6" w:space="0" w:color="000000"/>
              <w:left w:val="single" w:sz="6" w:space="0" w:color="000000"/>
              <w:right w:val="single" w:sz="6" w:space="0" w:color="000000"/>
            </w:tcBorders>
          </w:tcPr>
          <w:p>
            <w:pPr>
              <w:pStyle w:val="TableParagraph"/>
              <w:spacing w:before="44"/>
              <w:ind w:left="105" w:right="73"/>
              <w:rPr>
                <w:rFonts w:ascii="宋体" w:eastAsia="宋体" w:hint="eastAsia"/>
                <w:sz w:val="20"/>
              </w:rPr>
            </w:pPr>
            <w:r>
              <w:rPr>
                <w:rFonts w:ascii="宋体" w:eastAsia="宋体" w:hint="eastAsia"/>
                <w:sz w:val="20"/>
              </w:rPr>
              <w:t>居住区</w:t>
            </w:r>
          </w:p>
        </w:tc>
        <w:tc>
          <w:tcPr>
            <w:tcW w:w="3674" w:type="dxa"/>
            <w:tcBorders>
              <w:top w:val="single" w:sz="6" w:space="0" w:color="000000"/>
              <w:left w:val="single" w:sz="6" w:space="0" w:color="000000"/>
              <w:right w:val="single" w:sz="6" w:space="0" w:color="000000"/>
            </w:tcBorders>
          </w:tcPr>
          <w:p>
            <w:pPr>
              <w:pStyle w:val="TableParagraph"/>
              <w:spacing w:before="44"/>
              <w:ind w:left="76" w:right="42"/>
              <w:rPr>
                <w:rFonts w:ascii="宋体" w:eastAsia="宋体" w:hint="eastAsia"/>
                <w:sz w:val="20"/>
              </w:rPr>
            </w:pPr>
            <w:r>
              <w:rPr>
                <w:rFonts w:ascii="宋体" w:eastAsia="宋体" w:hint="eastAsia"/>
                <w:sz w:val="20"/>
              </w:rPr>
              <w:t>约 </w:t>
            </w:r>
            <w:r>
              <w:rPr>
                <w:position w:val="1"/>
                <w:sz w:val="20"/>
              </w:rPr>
              <w:t>358 </w:t>
            </w:r>
            <w:r>
              <w:rPr>
                <w:rFonts w:ascii="宋体" w:eastAsia="宋体" w:hint="eastAsia"/>
                <w:sz w:val="20"/>
              </w:rPr>
              <w:t>户，约 </w:t>
            </w:r>
            <w:r>
              <w:rPr>
                <w:position w:val="1"/>
                <w:sz w:val="20"/>
              </w:rPr>
              <w:t>1210 </w:t>
            </w:r>
            <w:r>
              <w:rPr>
                <w:rFonts w:ascii="宋体" w:eastAsia="宋体" w:hint="eastAsia"/>
                <w:sz w:val="20"/>
              </w:rPr>
              <w:t>人</w:t>
            </w:r>
          </w:p>
        </w:tc>
        <w:tc>
          <w:tcPr>
            <w:tcW w:w="1241" w:type="dxa"/>
            <w:vMerge/>
            <w:tcBorders>
              <w:top w:val="nil"/>
              <w:left w:val="single" w:sz="6" w:space="0" w:color="000000"/>
              <w:right w:val="single" w:sz="6" w:space="0" w:color="000000"/>
            </w:tcBorders>
          </w:tcPr>
          <w:p>
            <w:pPr>
              <w:rPr>
                <w:sz w:val="2"/>
                <w:szCs w:val="2"/>
              </w:rPr>
            </w:pPr>
          </w:p>
        </w:tc>
        <w:tc>
          <w:tcPr>
            <w:tcW w:w="1444" w:type="dxa"/>
            <w:tcBorders>
              <w:top w:val="single" w:sz="6" w:space="0" w:color="000000"/>
              <w:left w:val="single" w:sz="6" w:space="0" w:color="000000"/>
              <w:right w:val="single" w:sz="6" w:space="0" w:color="000000"/>
            </w:tcBorders>
          </w:tcPr>
          <w:p>
            <w:pPr>
              <w:pStyle w:val="TableParagraph"/>
              <w:spacing w:before="55"/>
              <w:ind w:left="544" w:right="510"/>
              <w:rPr>
                <w:sz w:val="20"/>
              </w:rPr>
            </w:pPr>
            <w:r>
              <w:rPr>
                <w:sz w:val="20"/>
              </w:rPr>
              <w:t>NW</w:t>
            </w:r>
          </w:p>
        </w:tc>
        <w:tc>
          <w:tcPr>
            <w:tcW w:w="1444" w:type="dxa"/>
            <w:tcBorders>
              <w:top w:val="single" w:sz="6" w:space="0" w:color="000000"/>
              <w:left w:val="single" w:sz="6" w:space="0" w:color="000000"/>
            </w:tcBorders>
          </w:tcPr>
          <w:p>
            <w:pPr>
              <w:pStyle w:val="TableParagraph"/>
              <w:spacing w:before="44"/>
              <w:ind w:left="284" w:right="236"/>
              <w:rPr>
                <w:sz w:val="20"/>
              </w:rPr>
            </w:pPr>
            <w:r>
              <w:rPr>
                <w:rFonts w:ascii="宋体" w:eastAsia="宋体" w:hint="eastAsia"/>
                <w:sz w:val="20"/>
              </w:rPr>
              <w:t>约 </w:t>
            </w:r>
            <w:r>
              <w:rPr>
                <w:sz w:val="20"/>
              </w:rPr>
              <w:t>2130m</w:t>
            </w:r>
          </w:p>
        </w:tc>
      </w:tr>
    </w:tbl>
    <w:p>
      <w:pPr>
        <w:spacing w:before="47"/>
        <w:ind w:left="652" w:right="0" w:firstLine="0"/>
        <w:jc w:val="left"/>
        <w:rPr>
          <w:sz w:val="21"/>
        </w:rPr>
      </w:pPr>
      <w:r>
        <w:rPr>
          <w:sz w:val="21"/>
        </w:rPr>
        <w:t>注：边界是指本项目评价边界，距离是指最近距离，坐标指中心经纬度坐标；项里小学已不再开设、翠峰禅寺不属于文物保护单位。</w:t>
      </w:r>
    </w:p>
    <w:p>
      <w:pPr>
        <w:spacing w:after="0"/>
        <w:jc w:val="left"/>
        <w:rPr>
          <w:sz w:val="21"/>
        </w:rPr>
        <w:sectPr>
          <w:pgSz w:w="16840" w:h="11910" w:orient="landscape"/>
          <w:pgMar w:header="874" w:footer="1004" w:top="1180" w:bottom="1200" w:left="900" w:right="860"/>
        </w:sectPr>
      </w:pPr>
    </w:p>
    <w:p>
      <w:pPr>
        <w:pStyle w:val="Heading1"/>
        <w:spacing w:before="144"/>
      </w:pPr>
      <w:bookmarkStart w:name="_bookmark37" w:id="72"/>
      <w:bookmarkEnd w:id="72"/>
      <w:r>
        <w:rPr>
          <w:b w:val="0"/>
        </w:rPr>
      </w:r>
      <w:r>
        <w:rPr/>
        <w:t>第三章 建设项目工程分析</w:t>
      </w:r>
    </w:p>
    <w:p>
      <w:pPr>
        <w:pStyle w:val="Heading2"/>
        <w:numPr>
          <w:ilvl w:val="1"/>
          <w:numId w:val="33"/>
        </w:numPr>
        <w:tabs>
          <w:tab w:pos="730" w:val="left" w:leader="none"/>
        </w:tabs>
        <w:spacing w:line="240" w:lineRule="auto" w:before="252" w:after="0"/>
        <w:ind w:left="729" w:right="0" w:hanging="493"/>
        <w:jc w:val="left"/>
      </w:pPr>
      <w:bookmarkStart w:name="_bookmark38" w:id="73"/>
      <w:bookmarkEnd w:id="73"/>
      <w:r>
        <w:rPr>
          <w:b w:val="0"/>
        </w:rPr>
      </w:r>
      <w:bookmarkStart w:name="_bookmark38" w:id="74"/>
      <w:bookmarkEnd w:id="74"/>
      <w:r>
        <w:rPr>
          <w:w w:val="95"/>
        </w:rPr>
        <w:t>建设项目概况</w:t>
      </w:r>
    </w:p>
    <w:p>
      <w:pPr>
        <w:pStyle w:val="Heading3"/>
        <w:numPr>
          <w:ilvl w:val="2"/>
          <w:numId w:val="33"/>
        </w:numPr>
        <w:tabs>
          <w:tab w:pos="838" w:val="left" w:leader="none"/>
        </w:tabs>
        <w:spacing w:line="240" w:lineRule="auto" w:before="214" w:after="0"/>
        <w:ind w:left="837" w:right="0" w:hanging="601"/>
        <w:jc w:val="left"/>
      </w:pPr>
      <w:bookmarkStart w:name="_bookmark39" w:id="75"/>
      <w:bookmarkEnd w:id="75"/>
      <w:r>
        <w:rPr>
          <w:b w:val="0"/>
        </w:rPr>
      </w:r>
      <w:bookmarkStart w:name="_bookmark39" w:id="76"/>
      <w:bookmarkEnd w:id="76"/>
      <w:r>
        <w:rPr/>
        <w:t>项目基本情况</w:t>
      </w:r>
    </w:p>
    <w:p>
      <w:pPr>
        <w:spacing w:line="374" w:lineRule="auto" w:before="165"/>
        <w:ind w:left="719" w:right="3219" w:firstLine="0"/>
        <w:jc w:val="left"/>
        <w:rPr>
          <w:sz w:val="24"/>
        </w:rPr>
      </w:pPr>
      <w:r>
        <w:rPr>
          <w:b/>
          <w:sz w:val="24"/>
        </w:rPr>
        <w:t>项目名称：</w:t>
      </w:r>
      <w:r>
        <w:rPr>
          <w:sz w:val="24"/>
        </w:rPr>
        <w:t>天圣集团农业生态产业链项目</w:t>
      </w:r>
      <w:r>
        <w:rPr>
          <w:rFonts w:ascii="Times New Roman" w:hAnsi="Times New Roman" w:eastAsia="Times New Roman"/>
          <w:position w:val="1"/>
          <w:sz w:val="24"/>
        </w:rPr>
        <w:t>—</w:t>
      </w:r>
      <w:r>
        <w:rPr>
          <w:sz w:val="24"/>
        </w:rPr>
        <w:t>生猪养殖； </w:t>
      </w:r>
      <w:r>
        <w:rPr>
          <w:b/>
          <w:sz w:val="24"/>
        </w:rPr>
        <w:t>建设单位：</w:t>
      </w:r>
      <w:r>
        <w:rPr>
          <w:sz w:val="24"/>
        </w:rPr>
        <w:t>绍兴天圣牧业有限公司；</w:t>
      </w:r>
    </w:p>
    <w:p>
      <w:pPr>
        <w:spacing w:before="1"/>
        <w:ind w:left="719" w:right="0" w:firstLine="0"/>
        <w:jc w:val="left"/>
        <w:rPr>
          <w:sz w:val="24"/>
        </w:rPr>
      </w:pPr>
      <w:r>
        <w:rPr>
          <w:b/>
          <w:sz w:val="24"/>
        </w:rPr>
        <w:t>建设性质：</w:t>
      </w:r>
      <w:r>
        <w:rPr>
          <w:sz w:val="24"/>
        </w:rPr>
        <w:t>新建；</w:t>
      </w:r>
    </w:p>
    <w:p>
      <w:pPr>
        <w:spacing w:before="172"/>
        <w:ind w:left="719" w:right="0" w:firstLine="0"/>
        <w:jc w:val="left"/>
        <w:rPr>
          <w:sz w:val="24"/>
        </w:rPr>
      </w:pPr>
      <w:r>
        <w:rPr>
          <w:b/>
          <w:sz w:val="24"/>
        </w:rPr>
        <w:t>项目所属行业：</w:t>
      </w:r>
      <w:r>
        <w:rPr>
          <w:rFonts w:ascii="Times New Roman" w:eastAsia="Times New Roman"/>
          <w:position w:val="1"/>
          <w:sz w:val="24"/>
        </w:rPr>
        <w:t>A0313</w:t>
      </w:r>
      <w:r>
        <w:rPr>
          <w:sz w:val="24"/>
        </w:rPr>
        <w:t>，猪的饲养；</w:t>
      </w:r>
    </w:p>
    <w:p>
      <w:pPr>
        <w:spacing w:before="173"/>
        <w:ind w:left="719" w:right="0" w:firstLine="0"/>
        <w:jc w:val="left"/>
        <w:rPr>
          <w:sz w:val="24"/>
        </w:rPr>
      </w:pPr>
      <w:r>
        <w:rPr>
          <w:b/>
          <w:sz w:val="24"/>
        </w:rPr>
        <w:t>项目建设地点：</w:t>
      </w:r>
      <w:r>
        <w:rPr>
          <w:sz w:val="24"/>
        </w:rPr>
        <w:t>绍兴市柯桥区柯岩街道丰项村；</w:t>
      </w:r>
    </w:p>
    <w:p>
      <w:pPr>
        <w:pStyle w:val="BodyText"/>
        <w:spacing w:line="374" w:lineRule="auto" w:before="173"/>
        <w:ind w:left="719" w:right="129"/>
      </w:pPr>
      <w:r>
        <w:rPr>
          <w:b/>
          <w:spacing w:val="-8"/>
        </w:rPr>
        <w:t>项目总投资：</w:t>
      </w:r>
      <w:r>
        <w:rPr>
          <w:spacing w:val="-16"/>
        </w:rPr>
        <w:t>总投资 </w:t>
      </w:r>
      <w:r>
        <w:rPr>
          <w:rFonts w:ascii="Times New Roman" w:eastAsia="Times New Roman"/>
          <w:position w:val="1"/>
        </w:rPr>
        <w:t>5 </w:t>
      </w:r>
      <w:r>
        <w:rPr>
          <w:spacing w:val="-14"/>
        </w:rPr>
        <w:t>亿元，其中固定资产 </w:t>
      </w:r>
      <w:r>
        <w:rPr>
          <w:rFonts w:ascii="Times New Roman" w:eastAsia="Times New Roman"/>
          <w:position w:val="1"/>
        </w:rPr>
        <w:t>36542.08 </w:t>
      </w:r>
      <w:r>
        <w:rPr>
          <w:spacing w:val="-16"/>
        </w:rPr>
        <w:t>万元，流动资金 </w:t>
      </w:r>
      <w:r>
        <w:rPr>
          <w:rFonts w:ascii="Times New Roman" w:eastAsia="Times New Roman"/>
          <w:position w:val="1"/>
        </w:rPr>
        <w:t>13457.92 </w:t>
      </w:r>
      <w:r>
        <w:rPr>
          <w:spacing w:val="-5"/>
        </w:rPr>
        <w:t>万元； </w:t>
      </w:r>
      <w:r>
        <w:rPr>
          <w:b/>
          <w:spacing w:val="-7"/>
        </w:rPr>
        <w:t>主要建设内容及规模：</w:t>
      </w:r>
      <w:r>
        <w:rPr/>
        <w:t>根据绍兴市柯桥区人民政府专题会议纪要</w:t>
      </w:r>
      <w:r>
        <w:rPr>
          <w:rFonts w:ascii="Times New Roman" w:eastAsia="Times New Roman"/>
          <w:position w:val="1"/>
        </w:rPr>
        <w:t>[2020]24 </w:t>
      </w:r>
      <w:r>
        <w:rPr>
          <w:spacing w:val="-15"/>
        </w:rPr>
        <w:t>号文件《关</w:t>
      </w:r>
    </w:p>
    <w:p>
      <w:pPr>
        <w:pStyle w:val="BodyText"/>
        <w:spacing w:line="374" w:lineRule="auto" w:before="1"/>
        <w:ind w:right="131"/>
      </w:pPr>
      <w:r>
        <w:rPr/>
        <w:t>于天圣集团农业生态产业链项目落地建设相关事宜的专题会议纪要》（详见附件二）， </w:t>
      </w:r>
      <w:r>
        <w:rPr>
          <w:spacing w:val="-6"/>
        </w:rPr>
        <w:t>本项目为天圣集团农业生态产业链项目中的生猪养殖子项目。需占用设施农用地 </w:t>
      </w:r>
      <w:r>
        <w:rPr>
          <w:rFonts w:ascii="Times New Roman" w:eastAsia="Times New Roman"/>
          <w:position w:val="1"/>
        </w:rPr>
        <w:t>78.5 </w:t>
      </w:r>
      <w:r>
        <w:rPr>
          <w:spacing w:val="-8"/>
        </w:rPr>
        <w:t>亩，</w:t>
      </w:r>
    </w:p>
    <w:p>
      <w:pPr>
        <w:pStyle w:val="BodyText"/>
      </w:pPr>
      <w:r>
        <w:rPr/>
        <w:t>新建存栏 </w:t>
      </w:r>
      <w:r>
        <w:rPr>
          <w:rFonts w:ascii="Times New Roman" w:eastAsia="Times New Roman"/>
          <w:position w:val="1"/>
        </w:rPr>
        <w:t>5 </w:t>
      </w:r>
      <w:r>
        <w:rPr/>
        <w:t>万头（出栏约 </w:t>
      </w:r>
      <w:r>
        <w:rPr>
          <w:rFonts w:ascii="Times New Roman" w:eastAsia="Times New Roman"/>
          <w:position w:val="1"/>
        </w:rPr>
        <w:t>8.6 </w:t>
      </w:r>
      <w:r>
        <w:rPr/>
        <w:t>万头）规模的现代化生猪养殖基地。</w:t>
      </w:r>
    </w:p>
    <w:p>
      <w:pPr>
        <w:pStyle w:val="BodyText"/>
        <w:spacing w:before="173"/>
        <w:ind w:left="719"/>
      </w:pPr>
      <w:r>
        <w:rPr>
          <w:b/>
        </w:rPr>
        <w:t>劳动定员：</w:t>
      </w:r>
      <w:r>
        <w:rPr/>
        <w:t>本项目劳动定员 </w:t>
      </w:r>
      <w:r>
        <w:rPr>
          <w:rFonts w:ascii="Times New Roman" w:eastAsia="Times New Roman"/>
          <w:position w:val="1"/>
        </w:rPr>
        <w:t>90 </w:t>
      </w:r>
      <w:r>
        <w:rPr/>
        <w:t>人（约 </w:t>
      </w:r>
      <w:r>
        <w:rPr>
          <w:rFonts w:ascii="Times New Roman" w:eastAsia="Times New Roman"/>
          <w:position w:val="1"/>
        </w:rPr>
        <w:t>70 </w:t>
      </w:r>
      <w:r>
        <w:rPr/>
        <w:t>人住宿），两班制生产，年工作 </w:t>
      </w:r>
      <w:r>
        <w:rPr>
          <w:rFonts w:ascii="Times New Roman" w:eastAsia="Times New Roman"/>
          <w:position w:val="1"/>
        </w:rPr>
        <w:t>365 </w:t>
      </w:r>
      <w:r>
        <w:rPr/>
        <w:t>天。</w:t>
      </w:r>
    </w:p>
    <w:p>
      <w:pPr>
        <w:pStyle w:val="BodyText"/>
        <w:spacing w:before="173"/>
        <w:ind w:left="719"/>
      </w:pPr>
      <w:r>
        <w:rPr>
          <w:b/>
        </w:rPr>
        <w:t>建设起止年限：</w:t>
      </w:r>
      <w:r>
        <w:rPr/>
        <w:t>项目建设工期为 </w:t>
      </w:r>
      <w:r>
        <w:rPr>
          <w:rFonts w:ascii="Times New Roman" w:eastAsia="Times New Roman"/>
          <w:position w:val="1"/>
        </w:rPr>
        <w:t>2021 </w:t>
      </w:r>
      <w:r>
        <w:rPr/>
        <w:t>年 </w:t>
      </w:r>
      <w:r>
        <w:rPr>
          <w:rFonts w:ascii="Times New Roman" w:eastAsia="Times New Roman"/>
          <w:position w:val="1"/>
        </w:rPr>
        <w:t>7 </w:t>
      </w:r>
      <w:r>
        <w:rPr/>
        <w:t>月至 </w:t>
      </w:r>
      <w:r>
        <w:rPr>
          <w:rFonts w:ascii="Times New Roman" w:eastAsia="Times New Roman"/>
          <w:position w:val="1"/>
        </w:rPr>
        <w:t>2022 </w:t>
      </w:r>
      <w:r>
        <w:rPr/>
        <w:t>年 </w:t>
      </w:r>
      <w:r>
        <w:rPr>
          <w:rFonts w:ascii="Times New Roman" w:eastAsia="Times New Roman"/>
          <w:position w:val="1"/>
        </w:rPr>
        <w:t>1 </w:t>
      </w:r>
      <w:r>
        <w:rPr/>
        <w:t>月。</w:t>
      </w:r>
    </w:p>
    <w:p>
      <w:pPr>
        <w:pStyle w:val="Heading3"/>
        <w:numPr>
          <w:ilvl w:val="2"/>
          <w:numId w:val="33"/>
        </w:numPr>
        <w:tabs>
          <w:tab w:pos="838" w:val="left" w:leader="none"/>
        </w:tabs>
        <w:spacing w:line="240" w:lineRule="auto" w:before="167" w:after="0"/>
        <w:ind w:left="837" w:right="0" w:hanging="601"/>
        <w:jc w:val="left"/>
      </w:pPr>
      <w:bookmarkStart w:name="_bookmark40" w:id="77"/>
      <w:bookmarkEnd w:id="77"/>
      <w:r>
        <w:rPr>
          <w:b w:val="0"/>
        </w:rPr>
      </w:r>
      <w:bookmarkStart w:name="_bookmark40" w:id="78"/>
      <w:bookmarkEnd w:id="78"/>
      <w:r>
        <w:rPr/>
        <w:t>项目产品方案</w:t>
      </w:r>
    </w:p>
    <w:p>
      <w:pPr>
        <w:spacing w:before="166"/>
        <w:ind w:left="719" w:right="0" w:firstLine="0"/>
        <w:jc w:val="left"/>
        <w:rPr>
          <w:b/>
          <w:sz w:val="24"/>
        </w:rPr>
      </w:pPr>
      <w:r>
        <w:rPr>
          <w:rFonts w:ascii="Times New Roman" w:eastAsia="Times New Roman"/>
          <w:b/>
          <w:sz w:val="24"/>
        </w:rPr>
        <w:t>1</w:t>
      </w:r>
      <w:r>
        <w:rPr>
          <w:b/>
          <w:sz w:val="24"/>
        </w:rPr>
        <w:t>、产品方案</w:t>
      </w:r>
    </w:p>
    <w:p>
      <w:pPr>
        <w:pStyle w:val="BodyText"/>
        <w:spacing w:before="172"/>
        <w:ind w:left="717"/>
      </w:pPr>
      <w:r>
        <w:rPr/>
        <w:t>项目设计存栏生猪 </w:t>
      </w:r>
      <w:r>
        <w:rPr>
          <w:rFonts w:ascii="Times New Roman" w:eastAsia="Times New Roman"/>
          <w:position w:val="1"/>
        </w:rPr>
        <w:t>5 </w:t>
      </w:r>
      <w:r>
        <w:rPr/>
        <w:t>万头，建成后年出栏商品猪约 </w:t>
      </w:r>
      <w:r>
        <w:rPr>
          <w:rFonts w:ascii="Times New Roman" w:eastAsia="Times New Roman"/>
          <w:position w:val="1"/>
        </w:rPr>
        <w:t>8.6 </w:t>
      </w:r>
      <w:r>
        <w:rPr/>
        <w:t>万头，具体见表 </w:t>
      </w:r>
      <w:r>
        <w:rPr>
          <w:rFonts w:ascii="Times New Roman" w:eastAsia="Times New Roman"/>
          <w:position w:val="1"/>
        </w:rPr>
        <w:t>3.1-1</w:t>
      </w:r>
      <w:r>
        <w:rPr/>
        <w:t>。</w:t>
      </w:r>
    </w:p>
    <w:p>
      <w:pPr>
        <w:pStyle w:val="Heading3"/>
        <w:spacing w:before="173"/>
        <w:ind w:left="218" w:right="236"/>
        <w:jc w:val="center"/>
      </w:pPr>
      <w:r>
        <w:rPr/>
        <w:t>表 </w:t>
      </w:r>
      <w:r>
        <w:rPr>
          <w:rFonts w:ascii="Times New Roman" w:eastAsia="Times New Roman"/>
        </w:rPr>
        <w:t>3.1-1  </w:t>
      </w:r>
      <w:r>
        <w:rPr/>
        <w:t>本设计存栏、出栏结构方案</w:t>
      </w:r>
    </w:p>
    <w:p>
      <w:pPr>
        <w:pStyle w:val="BodyText"/>
        <w:spacing w:before="9"/>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95"/>
        <w:gridCol w:w="1496"/>
        <w:gridCol w:w="3461"/>
        <w:gridCol w:w="2979"/>
      </w:tblGrid>
      <w:tr>
        <w:trPr>
          <w:trHeight w:val="311" w:hRule="atLeast"/>
        </w:trPr>
        <w:tc>
          <w:tcPr>
            <w:tcW w:w="1495" w:type="dxa"/>
            <w:tcBorders>
              <w:bottom w:val="single" w:sz="6" w:space="0" w:color="000000"/>
              <w:right w:val="single" w:sz="6" w:space="0" w:color="000000"/>
            </w:tcBorders>
          </w:tcPr>
          <w:p>
            <w:pPr>
              <w:pStyle w:val="TableParagraph"/>
              <w:spacing w:before="22"/>
              <w:ind w:left="513" w:right="494"/>
              <w:rPr>
                <w:rFonts w:ascii="宋体" w:eastAsia="宋体" w:hint="eastAsia"/>
                <w:b/>
                <w:sz w:val="21"/>
              </w:rPr>
            </w:pPr>
            <w:r>
              <w:rPr>
                <w:rFonts w:ascii="宋体" w:eastAsia="宋体" w:hint="eastAsia"/>
                <w:b/>
                <w:sz w:val="21"/>
              </w:rPr>
              <w:t>分类</w:t>
            </w:r>
          </w:p>
        </w:tc>
        <w:tc>
          <w:tcPr>
            <w:tcW w:w="1496" w:type="dxa"/>
            <w:tcBorders>
              <w:left w:val="single" w:sz="6" w:space="0" w:color="000000"/>
              <w:bottom w:val="single" w:sz="6" w:space="0" w:color="000000"/>
              <w:right w:val="single" w:sz="6" w:space="0" w:color="000000"/>
            </w:tcBorders>
          </w:tcPr>
          <w:p>
            <w:pPr>
              <w:pStyle w:val="TableParagraph"/>
              <w:spacing w:before="22"/>
              <w:ind w:left="522" w:right="497"/>
              <w:rPr>
                <w:rFonts w:ascii="宋体" w:eastAsia="宋体" w:hint="eastAsia"/>
                <w:b/>
                <w:sz w:val="21"/>
              </w:rPr>
            </w:pPr>
            <w:r>
              <w:rPr>
                <w:rFonts w:ascii="宋体" w:eastAsia="宋体" w:hint="eastAsia"/>
                <w:b/>
                <w:sz w:val="21"/>
              </w:rPr>
              <w:t>序号</w:t>
            </w:r>
          </w:p>
        </w:tc>
        <w:tc>
          <w:tcPr>
            <w:tcW w:w="3461" w:type="dxa"/>
            <w:tcBorders>
              <w:left w:val="single" w:sz="6" w:space="0" w:color="000000"/>
              <w:bottom w:val="single" w:sz="6" w:space="0" w:color="000000"/>
              <w:right w:val="single" w:sz="6" w:space="0" w:color="000000"/>
            </w:tcBorders>
          </w:tcPr>
          <w:p>
            <w:pPr>
              <w:pStyle w:val="TableParagraph"/>
              <w:spacing w:before="22"/>
              <w:ind w:left="1083" w:right="1059"/>
              <w:rPr>
                <w:rFonts w:ascii="宋体" w:eastAsia="宋体" w:hint="eastAsia"/>
                <w:b/>
                <w:sz w:val="21"/>
              </w:rPr>
            </w:pPr>
            <w:r>
              <w:rPr>
                <w:rFonts w:ascii="宋体" w:eastAsia="宋体" w:hint="eastAsia"/>
                <w:b/>
                <w:sz w:val="21"/>
              </w:rPr>
              <w:t>猪种类</w:t>
            </w:r>
          </w:p>
        </w:tc>
        <w:tc>
          <w:tcPr>
            <w:tcW w:w="2979" w:type="dxa"/>
            <w:tcBorders>
              <w:left w:val="single" w:sz="6" w:space="0" w:color="000000"/>
              <w:bottom w:val="single" w:sz="6" w:space="0" w:color="000000"/>
            </w:tcBorders>
          </w:tcPr>
          <w:p>
            <w:pPr>
              <w:pStyle w:val="TableParagraph"/>
              <w:spacing w:before="22"/>
              <w:ind w:left="948" w:right="914"/>
              <w:rPr>
                <w:rFonts w:ascii="宋体" w:eastAsia="宋体" w:hint="eastAsia"/>
                <w:b/>
                <w:sz w:val="21"/>
              </w:rPr>
            </w:pPr>
            <w:r>
              <w:rPr>
                <w:rFonts w:ascii="宋体" w:eastAsia="宋体" w:hint="eastAsia"/>
                <w:b/>
                <w:sz w:val="21"/>
              </w:rPr>
              <w:t>数量（头）</w:t>
            </w:r>
          </w:p>
        </w:tc>
      </w:tr>
      <w:tr>
        <w:trPr>
          <w:trHeight w:val="313" w:hRule="atLeast"/>
        </w:trPr>
        <w:tc>
          <w:tcPr>
            <w:tcW w:w="1495"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29"/>
              </w:rPr>
            </w:pPr>
          </w:p>
          <w:p>
            <w:pPr>
              <w:pStyle w:val="TableParagraph"/>
              <w:spacing w:before="0"/>
              <w:ind w:left="514" w:right="491"/>
              <w:rPr>
                <w:rFonts w:ascii="宋体" w:eastAsia="宋体" w:hint="eastAsia"/>
                <w:sz w:val="21"/>
              </w:rPr>
            </w:pPr>
            <w:r>
              <w:rPr>
                <w:rFonts w:ascii="宋体" w:eastAsia="宋体" w:hint="eastAsia"/>
                <w:sz w:val="21"/>
              </w:rPr>
              <w:t>存栏</w:t>
            </w: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9"/>
              <w:ind w:left="27"/>
              <w:rPr>
                <w:sz w:val="21"/>
              </w:rPr>
            </w:pPr>
            <w:r>
              <w:rPr>
                <w:w w:val="100"/>
                <w:sz w:val="21"/>
              </w:rPr>
              <w:t>1</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5"/>
              <w:ind w:left="1087" w:right="1058"/>
              <w:rPr>
                <w:rFonts w:ascii="宋体" w:eastAsia="宋体" w:hint="eastAsia"/>
                <w:sz w:val="21"/>
              </w:rPr>
            </w:pPr>
            <w:r>
              <w:rPr>
                <w:rFonts w:ascii="宋体" w:eastAsia="宋体" w:hint="eastAsia"/>
                <w:sz w:val="21"/>
              </w:rPr>
              <w:t>种公猪</w:t>
            </w:r>
          </w:p>
        </w:tc>
        <w:tc>
          <w:tcPr>
            <w:tcW w:w="2979" w:type="dxa"/>
            <w:tcBorders>
              <w:top w:val="single" w:sz="6" w:space="0" w:color="000000"/>
              <w:left w:val="single" w:sz="6" w:space="0" w:color="000000"/>
              <w:bottom w:val="single" w:sz="6" w:space="0" w:color="000000"/>
            </w:tcBorders>
          </w:tcPr>
          <w:p>
            <w:pPr>
              <w:pStyle w:val="TableParagraph"/>
              <w:spacing w:before="39"/>
              <w:ind w:left="948" w:right="914"/>
              <w:rPr>
                <w:sz w:val="21"/>
              </w:rPr>
            </w:pPr>
            <w:r>
              <w:rPr>
                <w:sz w:val="21"/>
              </w:rPr>
              <w:t>80</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6"/>
              <w:ind w:left="27"/>
              <w:rPr>
                <w:sz w:val="21"/>
              </w:rPr>
            </w:pPr>
            <w:r>
              <w:rPr>
                <w:w w:val="100"/>
                <w:sz w:val="21"/>
              </w:rPr>
              <w:t>2</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2"/>
              <w:ind w:left="1087" w:right="1059"/>
              <w:rPr>
                <w:rFonts w:ascii="宋体" w:eastAsia="宋体" w:hint="eastAsia"/>
                <w:sz w:val="21"/>
              </w:rPr>
            </w:pPr>
            <w:r>
              <w:rPr>
                <w:rFonts w:ascii="宋体" w:eastAsia="宋体" w:hint="eastAsia"/>
                <w:sz w:val="21"/>
              </w:rPr>
              <w:t>空怀配种母猪</w:t>
            </w:r>
          </w:p>
        </w:tc>
        <w:tc>
          <w:tcPr>
            <w:tcW w:w="2979" w:type="dxa"/>
            <w:tcBorders>
              <w:top w:val="single" w:sz="6" w:space="0" w:color="000000"/>
              <w:left w:val="single" w:sz="6" w:space="0" w:color="000000"/>
              <w:bottom w:val="single" w:sz="6" w:space="0" w:color="000000"/>
            </w:tcBorders>
          </w:tcPr>
          <w:p>
            <w:pPr>
              <w:pStyle w:val="TableParagraph"/>
              <w:spacing w:before="36"/>
              <w:ind w:left="948" w:right="914"/>
              <w:rPr>
                <w:sz w:val="21"/>
              </w:rPr>
            </w:pPr>
            <w:r>
              <w:rPr>
                <w:sz w:val="21"/>
              </w:rPr>
              <w:t>200</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6"/>
              <w:ind w:left="27"/>
              <w:rPr>
                <w:sz w:val="21"/>
              </w:rPr>
            </w:pPr>
            <w:r>
              <w:rPr>
                <w:w w:val="100"/>
                <w:sz w:val="21"/>
              </w:rPr>
              <w:t>3</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2"/>
              <w:ind w:left="1085" w:right="1059"/>
              <w:rPr>
                <w:rFonts w:ascii="宋体" w:eastAsia="宋体" w:hint="eastAsia"/>
                <w:sz w:val="21"/>
              </w:rPr>
            </w:pPr>
            <w:r>
              <w:rPr>
                <w:rFonts w:ascii="宋体" w:eastAsia="宋体" w:hint="eastAsia"/>
                <w:sz w:val="21"/>
              </w:rPr>
              <w:t>妊娠母猪</w:t>
            </w:r>
          </w:p>
        </w:tc>
        <w:tc>
          <w:tcPr>
            <w:tcW w:w="2979" w:type="dxa"/>
            <w:tcBorders>
              <w:top w:val="single" w:sz="6" w:space="0" w:color="000000"/>
              <w:left w:val="single" w:sz="6" w:space="0" w:color="000000"/>
              <w:bottom w:val="single" w:sz="6" w:space="0" w:color="000000"/>
            </w:tcBorders>
          </w:tcPr>
          <w:p>
            <w:pPr>
              <w:pStyle w:val="TableParagraph"/>
              <w:spacing w:before="36"/>
              <w:ind w:left="948" w:right="914"/>
              <w:rPr>
                <w:sz w:val="21"/>
              </w:rPr>
            </w:pPr>
            <w:r>
              <w:rPr>
                <w:sz w:val="21"/>
              </w:rPr>
              <w:t>2600</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6"/>
              <w:ind w:left="27"/>
              <w:rPr>
                <w:sz w:val="21"/>
              </w:rPr>
            </w:pPr>
            <w:r>
              <w:rPr>
                <w:w w:val="100"/>
                <w:sz w:val="21"/>
              </w:rPr>
              <w:t>4</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2"/>
              <w:ind w:left="1085" w:right="1059"/>
              <w:rPr>
                <w:rFonts w:ascii="宋体" w:eastAsia="宋体" w:hint="eastAsia"/>
                <w:sz w:val="21"/>
              </w:rPr>
            </w:pPr>
            <w:r>
              <w:rPr>
                <w:rFonts w:ascii="宋体" w:eastAsia="宋体" w:hint="eastAsia"/>
                <w:sz w:val="21"/>
              </w:rPr>
              <w:t>哺乳母猪</w:t>
            </w:r>
          </w:p>
        </w:tc>
        <w:tc>
          <w:tcPr>
            <w:tcW w:w="2979" w:type="dxa"/>
            <w:tcBorders>
              <w:top w:val="single" w:sz="6" w:space="0" w:color="000000"/>
              <w:left w:val="single" w:sz="6" w:space="0" w:color="000000"/>
              <w:bottom w:val="single" w:sz="6" w:space="0" w:color="000000"/>
            </w:tcBorders>
          </w:tcPr>
          <w:p>
            <w:pPr>
              <w:pStyle w:val="TableParagraph"/>
              <w:spacing w:before="36"/>
              <w:ind w:left="948" w:right="914"/>
              <w:rPr>
                <w:sz w:val="21"/>
              </w:rPr>
            </w:pPr>
            <w:r>
              <w:rPr>
                <w:sz w:val="21"/>
              </w:rPr>
              <w:t>765</w:t>
            </w:r>
          </w:p>
        </w:tc>
      </w:tr>
      <w:tr>
        <w:trPr>
          <w:trHeight w:val="313"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9"/>
              <w:ind w:left="27"/>
              <w:rPr>
                <w:sz w:val="21"/>
              </w:rPr>
            </w:pPr>
            <w:r>
              <w:rPr>
                <w:w w:val="100"/>
                <w:sz w:val="21"/>
              </w:rPr>
              <w:t>5</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5"/>
              <w:ind w:left="1085" w:right="1059"/>
              <w:rPr>
                <w:rFonts w:ascii="宋体" w:eastAsia="宋体" w:hint="eastAsia"/>
                <w:sz w:val="21"/>
              </w:rPr>
            </w:pPr>
            <w:r>
              <w:rPr>
                <w:rFonts w:ascii="宋体" w:eastAsia="宋体" w:hint="eastAsia"/>
                <w:sz w:val="21"/>
              </w:rPr>
              <w:t>哺乳仔猪</w:t>
            </w:r>
          </w:p>
        </w:tc>
        <w:tc>
          <w:tcPr>
            <w:tcW w:w="2979" w:type="dxa"/>
            <w:tcBorders>
              <w:top w:val="single" w:sz="6" w:space="0" w:color="000000"/>
              <w:left w:val="single" w:sz="6" w:space="0" w:color="000000"/>
              <w:bottom w:val="single" w:sz="6" w:space="0" w:color="000000"/>
            </w:tcBorders>
          </w:tcPr>
          <w:p>
            <w:pPr>
              <w:pStyle w:val="TableParagraph"/>
              <w:spacing w:before="39"/>
              <w:ind w:left="948" w:right="914"/>
              <w:rPr>
                <w:sz w:val="21"/>
              </w:rPr>
            </w:pPr>
            <w:r>
              <w:rPr>
                <w:sz w:val="21"/>
              </w:rPr>
              <w:t>6014</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6"/>
              <w:ind w:left="27"/>
              <w:rPr>
                <w:sz w:val="21"/>
              </w:rPr>
            </w:pPr>
            <w:r>
              <w:rPr>
                <w:w w:val="100"/>
                <w:sz w:val="21"/>
              </w:rPr>
              <w:t>6</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2"/>
              <w:ind w:left="1085" w:right="1059"/>
              <w:rPr>
                <w:rFonts w:ascii="宋体" w:eastAsia="宋体" w:hint="eastAsia"/>
                <w:sz w:val="21"/>
              </w:rPr>
            </w:pPr>
            <w:r>
              <w:rPr>
                <w:rFonts w:ascii="宋体" w:eastAsia="宋体" w:hint="eastAsia"/>
                <w:sz w:val="21"/>
              </w:rPr>
              <w:t>断奶仔猪</w:t>
            </w:r>
          </w:p>
        </w:tc>
        <w:tc>
          <w:tcPr>
            <w:tcW w:w="2979" w:type="dxa"/>
            <w:tcBorders>
              <w:top w:val="single" w:sz="6" w:space="0" w:color="000000"/>
              <w:left w:val="single" w:sz="6" w:space="0" w:color="000000"/>
              <w:bottom w:val="single" w:sz="6" w:space="0" w:color="000000"/>
            </w:tcBorders>
          </w:tcPr>
          <w:p>
            <w:pPr>
              <w:pStyle w:val="TableParagraph"/>
              <w:spacing w:before="36"/>
              <w:ind w:left="948" w:right="911"/>
              <w:rPr>
                <w:sz w:val="21"/>
              </w:rPr>
            </w:pPr>
            <w:r>
              <w:rPr>
                <w:sz w:val="21"/>
              </w:rPr>
              <w:t>11642</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6"/>
              <w:ind w:left="27"/>
              <w:rPr>
                <w:sz w:val="21"/>
              </w:rPr>
            </w:pPr>
            <w:r>
              <w:rPr>
                <w:w w:val="100"/>
                <w:sz w:val="21"/>
              </w:rPr>
              <w:t>7</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2"/>
              <w:ind w:left="1087" w:right="1058"/>
              <w:rPr>
                <w:rFonts w:ascii="宋体" w:eastAsia="宋体" w:hint="eastAsia"/>
                <w:sz w:val="21"/>
              </w:rPr>
            </w:pPr>
            <w:r>
              <w:rPr>
                <w:rFonts w:ascii="宋体" w:eastAsia="宋体" w:hint="eastAsia"/>
                <w:sz w:val="21"/>
              </w:rPr>
              <w:t>育肥猪</w:t>
            </w:r>
          </w:p>
        </w:tc>
        <w:tc>
          <w:tcPr>
            <w:tcW w:w="2979" w:type="dxa"/>
            <w:tcBorders>
              <w:top w:val="single" w:sz="6" w:space="0" w:color="000000"/>
              <w:left w:val="single" w:sz="6" w:space="0" w:color="000000"/>
              <w:bottom w:val="single" w:sz="6" w:space="0" w:color="000000"/>
            </w:tcBorders>
          </w:tcPr>
          <w:p>
            <w:pPr>
              <w:pStyle w:val="TableParagraph"/>
              <w:spacing w:before="36"/>
              <w:ind w:left="948" w:right="914"/>
              <w:rPr>
                <w:sz w:val="21"/>
              </w:rPr>
            </w:pPr>
            <w:r>
              <w:rPr>
                <w:sz w:val="21"/>
              </w:rPr>
              <w:t>29247</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6"/>
              <w:ind w:left="27"/>
              <w:rPr>
                <w:sz w:val="21"/>
              </w:rPr>
            </w:pPr>
            <w:r>
              <w:rPr>
                <w:w w:val="100"/>
                <w:sz w:val="21"/>
              </w:rPr>
              <w:t>8</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2"/>
              <w:ind w:left="1085" w:right="1059"/>
              <w:rPr>
                <w:rFonts w:ascii="宋体" w:eastAsia="宋体" w:hint="eastAsia"/>
                <w:sz w:val="21"/>
              </w:rPr>
            </w:pPr>
            <w:r>
              <w:rPr>
                <w:rFonts w:ascii="宋体" w:eastAsia="宋体" w:hint="eastAsia"/>
                <w:sz w:val="21"/>
              </w:rPr>
              <w:t>后备公猪</w:t>
            </w:r>
          </w:p>
        </w:tc>
        <w:tc>
          <w:tcPr>
            <w:tcW w:w="2979" w:type="dxa"/>
            <w:tcBorders>
              <w:top w:val="single" w:sz="6" w:space="0" w:color="000000"/>
              <w:left w:val="single" w:sz="6" w:space="0" w:color="000000"/>
              <w:bottom w:val="single" w:sz="6" w:space="0" w:color="000000"/>
            </w:tcBorders>
          </w:tcPr>
          <w:p>
            <w:pPr>
              <w:pStyle w:val="TableParagraph"/>
              <w:spacing w:before="36"/>
              <w:ind w:left="948" w:right="914"/>
              <w:rPr>
                <w:sz w:val="21"/>
              </w:rPr>
            </w:pPr>
            <w:r>
              <w:rPr>
                <w:sz w:val="21"/>
              </w:rPr>
              <w:t>120</w:t>
            </w:r>
          </w:p>
        </w:tc>
      </w:tr>
      <w:tr>
        <w:trPr>
          <w:trHeight w:val="313"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9"/>
              <w:ind w:left="27"/>
              <w:rPr>
                <w:sz w:val="21"/>
              </w:rPr>
            </w:pPr>
            <w:r>
              <w:rPr>
                <w:w w:val="100"/>
                <w:sz w:val="21"/>
              </w:rPr>
              <w:t>9</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5"/>
              <w:ind w:left="1085" w:right="1059"/>
              <w:rPr>
                <w:rFonts w:ascii="宋体" w:eastAsia="宋体" w:hint="eastAsia"/>
                <w:sz w:val="21"/>
              </w:rPr>
            </w:pPr>
            <w:r>
              <w:rPr>
                <w:rFonts w:ascii="宋体" w:eastAsia="宋体" w:hint="eastAsia"/>
                <w:sz w:val="21"/>
              </w:rPr>
              <w:t>后备母猪</w:t>
            </w:r>
          </w:p>
        </w:tc>
        <w:tc>
          <w:tcPr>
            <w:tcW w:w="2979" w:type="dxa"/>
            <w:tcBorders>
              <w:top w:val="single" w:sz="6" w:space="0" w:color="000000"/>
              <w:left w:val="single" w:sz="6" w:space="0" w:color="000000"/>
              <w:bottom w:val="single" w:sz="6" w:space="0" w:color="000000"/>
            </w:tcBorders>
          </w:tcPr>
          <w:p>
            <w:pPr>
              <w:pStyle w:val="TableParagraph"/>
              <w:spacing w:before="39"/>
              <w:ind w:left="948" w:right="914"/>
              <w:rPr>
                <w:sz w:val="21"/>
              </w:rPr>
            </w:pPr>
            <w:r>
              <w:rPr>
                <w:sz w:val="21"/>
              </w:rPr>
              <w:t>400</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1496" w:type="dxa"/>
            <w:tcBorders>
              <w:top w:val="single" w:sz="6" w:space="0" w:color="000000"/>
              <w:left w:val="single" w:sz="6" w:space="0" w:color="000000"/>
              <w:bottom w:val="single" w:sz="6" w:space="0" w:color="000000"/>
              <w:right w:val="single" w:sz="6" w:space="0" w:color="000000"/>
            </w:tcBorders>
          </w:tcPr>
          <w:p>
            <w:pPr>
              <w:pStyle w:val="TableParagraph"/>
              <w:spacing w:before="36"/>
              <w:ind w:left="522" w:right="495"/>
              <w:rPr>
                <w:sz w:val="21"/>
              </w:rPr>
            </w:pPr>
            <w:r>
              <w:rPr>
                <w:sz w:val="21"/>
              </w:rPr>
              <w:t>10</w:t>
            </w:r>
          </w:p>
        </w:tc>
        <w:tc>
          <w:tcPr>
            <w:tcW w:w="3461" w:type="dxa"/>
            <w:tcBorders>
              <w:top w:val="single" w:sz="6" w:space="0" w:color="000000"/>
              <w:left w:val="single" w:sz="6" w:space="0" w:color="000000"/>
              <w:bottom w:val="single" w:sz="6" w:space="0" w:color="000000"/>
              <w:right w:val="single" w:sz="6" w:space="0" w:color="000000"/>
            </w:tcBorders>
          </w:tcPr>
          <w:p>
            <w:pPr>
              <w:pStyle w:val="TableParagraph"/>
              <w:spacing w:before="22"/>
              <w:ind w:left="1085" w:right="1059"/>
              <w:rPr>
                <w:rFonts w:ascii="宋体" w:eastAsia="宋体" w:hint="eastAsia"/>
                <w:sz w:val="21"/>
              </w:rPr>
            </w:pPr>
            <w:r>
              <w:rPr>
                <w:rFonts w:ascii="宋体" w:eastAsia="宋体" w:hint="eastAsia"/>
                <w:sz w:val="21"/>
              </w:rPr>
              <w:t>隔离种猪</w:t>
            </w:r>
          </w:p>
        </w:tc>
        <w:tc>
          <w:tcPr>
            <w:tcW w:w="2979" w:type="dxa"/>
            <w:tcBorders>
              <w:top w:val="single" w:sz="6" w:space="0" w:color="000000"/>
              <w:left w:val="single" w:sz="6" w:space="0" w:color="000000"/>
              <w:bottom w:val="single" w:sz="6" w:space="0" w:color="000000"/>
            </w:tcBorders>
          </w:tcPr>
          <w:p>
            <w:pPr>
              <w:pStyle w:val="TableParagraph"/>
              <w:spacing w:before="36"/>
              <w:ind w:left="948" w:right="914"/>
              <w:rPr>
                <w:sz w:val="21"/>
              </w:rPr>
            </w:pPr>
            <w:r>
              <w:rPr>
                <w:sz w:val="21"/>
              </w:rPr>
              <w:t>1500</w:t>
            </w:r>
          </w:p>
        </w:tc>
      </w:tr>
      <w:tr>
        <w:trPr>
          <w:trHeight w:val="311" w:hRule="atLeast"/>
        </w:trPr>
        <w:tc>
          <w:tcPr>
            <w:tcW w:w="1495" w:type="dxa"/>
            <w:vMerge/>
            <w:tcBorders>
              <w:top w:val="nil"/>
              <w:bottom w:val="single" w:sz="6" w:space="0" w:color="000000"/>
              <w:right w:val="single" w:sz="6" w:space="0" w:color="000000"/>
            </w:tcBorders>
          </w:tcPr>
          <w:p>
            <w:pPr>
              <w:rPr>
                <w:sz w:val="2"/>
                <w:szCs w:val="2"/>
              </w:rPr>
            </w:pPr>
          </w:p>
        </w:tc>
        <w:tc>
          <w:tcPr>
            <w:tcW w:w="495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940" w:right="1909"/>
              <w:rPr>
                <w:rFonts w:ascii="宋体" w:eastAsia="宋体" w:hint="eastAsia"/>
                <w:sz w:val="21"/>
              </w:rPr>
            </w:pPr>
            <w:r>
              <w:rPr>
                <w:rFonts w:ascii="宋体" w:eastAsia="宋体" w:hint="eastAsia"/>
                <w:sz w:val="21"/>
              </w:rPr>
              <w:t>合计</w:t>
            </w:r>
          </w:p>
        </w:tc>
        <w:tc>
          <w:tcPr>
            <w:tcW w:w="2979" w:type="dxa"/>
            <w:tcBorders>
              <w:top w:val="single" w:sz="6" w:space="0" w:color="000000"/>
              <w:left w:val="single" w:sz="6" w:space="0" w:color="000000"/>
              <w:bottom w:val="single" w:sz="6" w:space="0" w:color="000000"/>
            </w:tcBorders>
          </w:tcPr>
          <w:p>
            <w:pPr>
              <w:pStyle w:val="TableParagraph"/>
              <w:spacing w:before="36"/>
              <w:ind w:left="948" w:right="914"/>
              <w:rPr>
                <w:sz w:val="21"/>
              </w:rPr>
            </w:pPr>
            <w:r>
              <w:rPr>
                <w:sz w:val="21"/>
              </w:rPr>
              <w:t>52568</w:t>
            </w:r>
          </w:p>
        </w:tc>
      </w:tr>
      <w:tr>
        <w:trPr>
          <w:trHeight w:val="311" w:hRule="atLeast"/>
        </w:trPr>
        <w:tc>
          <w:tcPr>
            <w:tcW w:w="1495" w:type="dxa"/>
            <w:tcBorders>
              <w:top w:val="single" w:sz="6" w:space="0" w:color="000000"/>
              <w:right w:val="single" w:sz="6" w:space="0" w:color="000000"/>
            </w:tcBorders>
          </w:tcPr>
          <w:p>
            <w:pPr>
              <w:pStyle w:val="TableParagraph"/>
              <w:spacing w:line="269" w:lineRule="exact" w:before="22"/>
              <w:ind w:left="514" w:right="491"/>
              <w:rPr>
                <w:rFonts w:ascii="宋体" w:eastAsia="宋体" w:hint="eastAsia"/>
                <w:sz w:val="21"/>
              </w:rPr>
            </w:pPr>
            <w:r>
              <w:rPr>
                <w:rFonts w:ascii="宋体" w:eastAsia="宋体" w:hint="eastAsia"/>
                <w:sz w:val="21"/>
              </w:rPr>
              <w:t>出栏</w:t>
            </w:r>
          </w:p>
        </w:tc>
        <w:tc>
          <w:tcPr>
            <w:tcW w:w="4957" w:type="dxa"/>
            <w:gridSpan w:val="2"/>
            <w:tcBorders>
              <w:top w:val="single" w:sz="6" w:space="0" w:color="000000"/>
              <w:left w:val="single" w:sz="6" w:space="0" w:color="000000"/>
              <w:right w:val="single" w:sz="6" w:space="0" w:color="000000"/>
            </w:tcBorders>
          </w:tcPr>
          <w:p>
            <w:pPr>
              <w:pStyle w:val="TableParagraph"/>
              <w:spacing w:line="269" w:lineRule="exact" w:before="22"/>
              <w:ind w:left="1940" w:right="1911"/>
              <w:rPr>
                <w:rFonts w:ascii="宋体" w:eastAsia="宋体" w:hint="eastAsia"/>
                <w:sz w:val="21"/>
              </w:rPr>
            </w:pPr>
            <w:r>
              <w:rPr>
                <w:rFonts w:ascii="宋体" w:eastAsia="宋体" w:hint="eastAsia"/>
                <w:sz w:val="21"/>
              </w:rPr>
              <w:t>无公害肉猪</w:t>
            </w:r>
          </w:p>
        </w:tc>
        <w:tc>
          <w:tcPr>
            <w:tcW w:w="2979" w:type="dxa"/>
            <w:tcBorders>
              <w:top w:val="single" w:sz="6" w:space="0" w:color="000000"/>
              <w:left w:val="single" w:sz="6" w:space="0" w:color="000000"/>
            </w:tcBorders>
          </w:tcPr>
          <w:p>
            <w:pPr>
              <w:pStyle w:val="TableParagraph"/>
              <w:spacing w:before="36"/>
              <w:ind w:left="948" w:right="914"/>
              <w:rPr>
                <w:sz w:val="21"/>
              </w:rPr>
            </w:pPr>
            <w:r>
              <w:rPr>
                <w:sz w:val="21"/>
              </w:rPr>
              <w:t>86500</w:t>
            </w:r>
          </w:p>
        </w:tc>
      </w:tr>
    </w:tbl>
    <w:p>
      <w:pPr>
        <w:spacing w:after="0"/>
        <w:rPr>
          <w:sz w:val="21"/>
        </w:rPr>
        <w:sectPr>
          <w:headerReference w:type="default" r:id="rId21"/>
          <w:footerReference w:type="default" r:id="rId22"/>
          <w:pgSz w:w="11910" w:h="16840"/>
          <w:pgMar w:header="874" w:footer="1004" w:top="1400" w:bottom="1200" w:left="1040" w:right="1160"/>
          <w:pgNumType w:start="41"/>
        </w:sectPr>
      </w:pPr>
    </w:p>
    <w:p>
      <w:pPr>
        <w:spacing w:before="110"/>
        <w:ind w:left="719" w:right="0" w:firstLine="0"/>
        <w:jc w:val="left"/>
        <w:rPr>
          <w:b/>
          <w:sz w:val="24"/>
        </w:rPr>
      </w:pPr>
      <w:r>
        <w:rPr>
          <w:rFonts w:ascii="Times New Roman" w:eastAsia="Times New Roman"/>
          <w:b/>
          <w:sz w:val="24"/>
        </w:rPr>
        <w:t>2</w:t>
      </w:r>
      <w:r>
        <w:rPr>
          <w:b/>
          <w:sz w:val="24"/>
        </w:rPr>
        <w:t>、生产指标</w:t>
      </w:r>
    </w:p>
    <w:p>
      <w:pPr>
        <w:pStyle w:val="BodyText"/>
        <w:spacing w:line="374" w:lineRule="auto" w:before="172"/>
        <w:ind w:right="249" w:firstLine="480"/>
        <w:jc w:val="both"/>
      </w:pPr>
      <w:r>
        <w:rPr/>
        <w:t>生产条件、饲料供应、销售市场是决定猪群大小的主要依据，而决定猪群结构的主要依据是猪的生产性能，尤其是繁殖性能，其次是生产技术水平。养猪场的主要生产性</w:t>
      </w:r>
      <w:r>
        <w:rPr>
          <w:spacing w:val="-2"/>
        </w:rPr>
        <w:t>能参数包括繁殖周期、母猪年产窝数、生产节律、成活率、种猪更新率等，见表 </w:t>
      </w:r>
      <w:r>
        <w:rPr>
          <w:rFonts w:ascii="Times New Roman" w:eastAsia="Times New Roman"/>
          <w:position w:val="1"/>
        </w:rPr>
        <w:t>3.1-2</w:t>
      </w:r>
      <w:r>
        <w:rPr/>
        <w:t>。</w:t>
      </w:r>
    </w:p>
    <w:p>
      <w:pPr>
        <w:pStyle w:val="Heading3"/>
        <w:spacing w:before="1"/>
        <w:ind w:left="3540"/>
        <w:jc w:val="both"/>
      </w:pPr>
      <w:r>
        <w:rPr/>
        <w:t>表 </w:t>
      </w:r>
      <w:r>
        <w:rPr>
          <w:rFonts w:ascii="Times New Roman" w:eastAsia="Times New Roman"/>
        </w:rPr>
        <w:t>3.1-2  </w:t>
      </w:r>
      <w:r>
        <w:rPr/>
        <w:t>生产指标参数表</w:t>
      </w:r>
    </w:p>
    <w:p>
      <w:pPr>
        <w:pStyle w:val="BodyText"/>
        <w:spacing w:before="9"/>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98"/>
        <w:gridCol w:w="4941"/>
        <w:gridCol w:w="1499"/>
        <w:gridCol w:w="1496"/>
      </w:tblGrid>
      <w:tr>
        <w:trPr>
          <w:trHeight w:val="359" w:hRule="atLeast"/>
        </w:trPr>
        <w:tc>
          <w:tcPr>
            <w:tcW w:w="1498" w:type="dxa"/>
            <w:tcBorders>
              <w:bottom w:val="single" w:sz="6" w:space="0" w:color="000000"/>
              <w:right w:val="single" w:sz="6" w:space="0" w:color="000000"/>
            </w:tcBorders>
          </w:tcPr>
          <w:p>
            <w:pPr>
              <w:pStyle w:val="TableParagraph"/>
              <w:spacing w:before="46"/>
              <w:ind w:left="516" w:right="496"/>
              <w:rPr>
                <w:rFonts w:ascii="宋体" w:eastAsia="宋体" w:hint="eastAsia"/>
                <w:b/>
                <w:sz w:val="21"/>
              </w:rPr>
            </w:pPr>
            <w:r>
              <w:rPr>
                <w:rFonts w:ascii="宋体" w:eastAsia="宋体" w:hint="eastAsia"/>
                <w:b/>
                <w:sz w:val="21"/>
              </w:rPr>
              <w:t>序号</w:t>
            </w:r>
          </w:p>
        </w:tc>
        <w:tc>
          <w:tcPr>
            <w:tcW w:w="4941" w:type="dxa"/>
            <w:tcBorders>
              <w:left w:val="single" w:sz="6" w:space="0" w:color="000000"/>
              <w:bottom w:val="single" w:sz="6" w:space="0" w:color="000000"/>
              <w:right w:val="single" w:sz="6" w:space="0" w:color="000000"/>
            </w:tcBorders>
          </w:tcPr>
          <w:p>
            <w:pPr>
              <w:pStyle w:val="TableParagraph"/>
              <w:spacing w:before="46"/>
              <w:ind w:left="1510" w:right="1483"/>
              <w:rPr>
                <w:rFonts w:ascii="宋体" w:eastAsia="宋体" w:hint="eastAsia"/>
                <w:b/>
                <w:sz w:val="21"/>
              </w:rPr>
            </w:pPr>
            <w:r>
              <w:rPr>
                <w:rFonts w:ascii="宋体" w:eastAsia="宋体" w:hint="eastAsia"/>
                <w:b/>
                <w:sz w:val="21"/>
              </w:rPr>
              <w:t>项目名称</w:t>
            </w:r>
          </w:p>
        </w:tc>
        <w:tc>
          <w:tcPr>
            <w:tcW w:w="1499" w:type="dxa"/>
            <w:tcBorders>
              <w:left w:val="single" w:sz="6" w:space="0" w:color="000000"/>
              <w:bottom w:val="single" w:sz="6" w:space="0" w:color="000000"/>
              <w:right w:val="single" w:sz="6" w:space="0" w:color="000000"/>
            </w:tcBorders>
          </w:tcPr>
          <w:p>
            <w:pPr>
              <w:pStyle w:val="TableParagraph"/>
              <w:spacing w:before="46"/>
              <w:ind w:left="524" w:right="498"/>
              <w:rPr>
                <w:rFonts w:ascii="宋体" w:eastAsia="宋体" w:hint="eastAsia"/>
                <w:b/>
                <w:sz w:val="21"/>
              </w:rPr>
            </w:pPr>
            <w:r>
              <w:rPr>
                <w:rFonts w:ascii="宋体" w:eastAsia="宋体" w:hint="eastAsia"/>
                <w:b/>
                <w:sz w:val="21"/>
              </w:rPr>
              <w:t>单位</w:t>
            </w:r>
          </w:p>
        </w:tc>
        <w:tc>
          <w:tcPr>
            <w:tcW w:w="1496" w:type="dxa"/>
            <w:tcBorders>
              <w:left w:val="single" w:sz="6" w:space="0" w:color="000000"/>
              <w:bottom w:val="single" w:sz="6" w:space="0" w:color="000000"/>
            </w:tcBorders>
          </w:tcPr>
          <w:p>
            <w:pPr>
              <w:pStyle w:val="TableParagraph"/>
              <w:spacing w:before="46"/>
              <w:ind w:left="519" w:right="491"/>
              <w:rPr>
                <w:rFonts w:ascii="宋体" w:eastAsia="宋体" w:hint="eastAsia"/>
                <w:b/>
                <w:sz w:val="21"/>
              </w:rPr>
            </w:pPr>
            <w:r>
              <w:rPr>
                <w:rFonts w:ascii="宋体" w:eastAsia="宋体" w:hint="eastAsia"/>
                <w:b/>
                <w:sz w:val="21"/>
              </w:rPr>
              <w:t>参数</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spacing w:before="44"/>
              <w:ind w:left="20"/>
              <w:rPr>
                <w:rFonts w:ascii="宋体" w:eastAsia="宋体" w:hint="eastAsia"/>
                <w:b/>
                <w:sz w:val="21"/>
              </w:rPr>
            </w:pPr>
            <w:r>
              <w:rPr>
                <w:rFonts w:ascii="宋体" w:eastAsia="宋体" w:hint="eastAsia"/>
                <w:b/>
                <w:w w:val="100"/>
                <w:sz w:val="21"/>
              </w:rPr>
              <w:t>一</w:t>
            </w:r>
          </w:p>
        </w:tc>
        <w:tc>
          <w:tcPr>
            <w:tcW w:w="7936" w:type="dxa"/>
            <w:gridSpan w:val="3"/>
            <w:tcBorders>
              <w:top w:val="single" w:sz="6" w:space="0" w:color="000000"/>
              <w:left w:val="single" w:sz="6" w:space="0" w:color="000000"/>
              <w:bottom w:val="single" w:sz="6" w:space="0" w:color="000000"/>
            </w:tcBorders>
          </w:tcPr>
          <w:p>
            <w:pPr>
              <w:pStyle w:val="TableParagraph"/>
              <w:spacing w:before="44"/>
              <w:ind w:left="3532" w:right="3497"/>
              <w:rPr>
                <w:rFonts w:ascii="宋体" w:eastAsia="宋体" w:hint="eastAsia"/>
                <w:b/>
                <w:sz w:val="21"/>
              </w:rPr>
            </w:pPr>
            <w:r>
              <w:rPr>
                <w:rFonts w:ascii="宋体" w:eastAsia="宋体" w:hint="eastAsia"/>
                <w:b/>
                <w:sz w:val="21"/>
              </w:rPr>
              <w:t>繁殖性能</w:t>
            </w:r>
          </w:p>
        </w:tc>
      </w:tr>
      <w:tr>
        <w:trPr>
          <w:trHeight w:val="357"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1</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0" w:right="1483"/>
              <w:rPr>
                <w:rFonts w:ascii="宋体" w:eastAsia="宋体" w:hint="eastAsia"/>
                <w:sz w:val="21"/>
              </w:rPr>
            </w:pPr>
            <w:r>
              <w:rPr>
                <w:rFonts w:ascii="宋体" w:eastAsia="宋体" w:hint="eastAsia"/>
                <w:sz w:val="21"/>
              </w:rPr>
              <w:t>妊娠期</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天</w:t>
            </w:r>
          </w:p>
        </w:tc>
        <w:tc>
          <w:tcPr>
            <w:tcW w:w="1496" w:type="dxa"/>
            <w:tcBorders>
              <w:top w:val="single" w:sz="6" w:space="0" w:color="000000"/>
              <w:left w:val="single" w:sz="6" w:space="0" w:color="000000"/>
              <w:bottom w:val="single" w:sz="6" w:space="0" w:color="000000"/>
            </w:tcBorders>
          </w:tcPr>
          <w:p>
            <w:pPr>
              <w:pStyle w:val="TableParagraph"/>
              <w:ind w:left="519" w:right="488"/>
              <w:rPr>
                <w:sz w:val="21"/>
              </w:rPr>
            </w:pPr>
            <w:r>
              <w:rPr>
                <w:sz w:val="21"/>
              </w:rPr>
              <w:t>114</w:t>
            </w:r>
          </w:p>
        </w:tc>
      </w:tr>
      <w:tr>
        <w:trPr>
          <w:trHeight w:val="360" w:hRule="atLeast"/>
        </w:trPr>
        <w:tc>
          <w:tcPr>
            <w:tcW w:w="1498" w:type="dxa"/>
            <w:tcBorders>
              <w:top w:val="single" w:sz="6" w:space="0" w:color="000000"/>
              <w:bottom w:val="single" w:sz="6" w:space="0" w:color="000000"/>
              <w:right w:val="single" w:sz="6" w:space="0" w:color="000000"/>
            </w:tcBorders>
          </w:tcPr>
          <w:p>
            <w:pPr>
              <w:pStyle w:val="TableParagraph"/>
              <w:spacing w:before="61"/>
              <w:ind w:left="20"/>
              <w:rPr>
                <w:sz w:val="21"/>
              </w:rPr>
            </w:pPr>
            <w:r>
              <w:rPr>
                <w:w w:val="100"/>
                <w:sz w:val="21"/>
              </w:rPr>
              <w:t>2</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7"/>
              <w:ind w:left="1510" w:right="1483"/>
              <w:rPr>
                <w:rFonts w:ascii="宋体" w:eastAsia="宋体" w:hint="eastAsia"/>
                <w:sz w:val="21"/>
              </w:rPr>
            </w:pPr>
            <w:r>
              <w:rPr>
                <w:rFonts w:ascii="宋体" w:eastAsia="宋体" w:hint="eastAsia"/>
                <w:sz w:val="21"/>
              </w:rPr>
              <w:t>哺乳期</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7"/>
              <w:ind w:left="26"/>
              <w:rPr>
                <w:rFonts w:ascii="宋体" w:eastAsia="宋体" w:hint="eastAsia"/>
                <w:sz w:val="21"/>
              </w:rPr>
            </w:pPr>
            <w:r>
              <w:rPr>
                <w:rFonts w:ascii="宋体" w:eastAsia="宋体" w:hint="eastAsia"/>
                <w:w w:val="100"/>
                <w:sz w:val="21"/>
              </w:rPr>
              <w:t>天</w:t>
            </w:r>
          </w:p>
        </w:tc>
        <w:tc>
          <w:tcPr>
            <w:tcW w:w="1496" w:type="dxa"/>
            <w:tcBorders>
              <w:top w:val="single" w:sz="6" w:space="0" w:color="000000"/>
              <w:left w:val="single" w:sz="6" w:space="0" w:color="000000"/>
              <w:bottom w:val="single" w:sz="6" w:space="0" w:color="000000"/>
            </w:tcBorders>
          </w:tcPr>
          <w:p>
            <w:pPr>
              <w:pStyle w:val="TableParagraph"/>
              <w:spacing w:before="61"/>
              <w:ind w:left="519" w:right="491"/>
              <w:rPr>
                <w:sz w:val="21"/>
              </w:rPr>
            </w:pPr>
            <w:r>
              <w:rPr>
                <w:sz w:val="21"/>
              </w:rPr>
              <w:t>21</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3</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0" w:right="1483"/>
              <w:rPr>
                <w:rFonts w:ascii="宋体" w:eastAsia="宋体" w:hint="eastAsia"/>
                <w:sz w:val="21"/>
              </w:rPr>
            </w:pPr>
            <w:r>
              <w:rPr>
                <w:rFonts w:ascii="宋体" w:eastAsia="宋体" w:hint="eastAsia"/>
                <w:sz w:val="21"/>
              </w:rPr>
              <w:t>断奶后至受胎</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天</w:t>
            </w:r>
          </w:p>
        </w:tc>
        <w:tc>
          <w:tcPr>
            <w:tcW w:w="1496" w:type="dxa"/>
            <w:tcBorders>
              <w:top w:val="single" w:sz="6" w:space="0" w:color="000000"/>
              <w:left w:val="single" w:sz="6" w:space="0" w:color="000000"/>
              <w:bottom w:val="single" w:sz="6" w:space="0" w:color="000000"/>
            </w:tcBorders>
          </w:tcPr>
          <w:p>
            <w:pPr>
              <w:pStyle w:val="TableParagraph"/>
              <w:ind w:left="28"/>
              <w:rPr>
                <w:sz w:val="21"/>
              </w:rPr>
            </w:pPr>
            <w:r>
              <w:rPr>
                <w:w w:val="100"/>
                <w:sz w:val="21"/>
              </w:rPr>
              <w:t>7</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4</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2" w:right="1483"/>
              <w:rPr>
                <w:rFonts w:ascii="宋体" w:eastAsia="宋体" w:hint="eastAsia"/>
                <w:sz w:val="21"/>
              </w:rPr>
            </w:pPr>
            <w:r>
              <w:rPr>
                <w:rFonts w:ascii="宋体" w:eastAsia="宋体" w:hint="eastAsia"/>
                <w:sz w:val="21"/>
              </w:rPr>
              <w:t>情期受胎率</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w w:val="100"/>
                <w:sz w:val="21"/>
              </w:rPr>
              <w:t>%</w:t>
            </w:r>
          </w:p>
        </w:tc>
        <w:tc>
          <w:tcPr>
            <w:tcW w:w="1496" w:type="dxa"/>
            <w:tcBorders>
              <w:top w:val="single" w:sz="6" w:space="0" w:color="000000"/>
              <w:left w:val="single" w:sz="6" w:space="0" w:color="000000"/>
              <w:bottom w:val="single" w:sz="6" w:space="0" w:color="000000"/>
            </w:tcBorders>
          </w:tcPr>
          <w:p>
            <w:pPr>
              <w:pStyle w:val="TableParagraph"/>
              <w:ind w:left="519" w:right="491"/>
              <w:rPr>
                <w:sz w:val="21"/>
              </w:rPr>
            </w:pPr>
            <w:r>
              <w:rPr>
                <w:sz w:val="21"/>
              </w:rPr>
              <w:t>85</w:t>
            </w:r>
          </w:p>
        </w:tc>
      </w:tr>
      <w:tr>
        <w:trPr>
          <w:trHeight w:val="356"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5</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2" w:right="1483"/>
              <w:rPr>
                <w:rFonts w:ascii="宋体" w:eastAsia="宋体" w:hint="eastAsia"/>
                <w:sz w:val="21"/>
              </w:rPr>
            </w:pPr>
            <w:r>
              <w:rPr>
                <w:rFonts w:ascii="宋体" w:eastAsia="宋体" w:hint="eastAsia"/>
                <w:sz w:val="21"/>
              </w:rPr>
              <w:t>妊娠诊断</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天</w:t>
            </w:r>
          </w:p>
        </w:tc>
        <w:tc>
          <w:tcPr>
            <w:tcW w:w="1496" w:type="dxa"/>
            <w:tcBorders>
              <w:top w:val="single" w:sz="6" w:space="0" w:color="000000"/>
              <w:left w:val="single" w:sz="6" w:space="0" w:color="000000"/>
              <w:bottom w:val="single" w:sz="6" w:space="0" w:color="000000"/>
            </w:tcBorders>
          </w:tcPr>
          <w:p>
            <w:pPr>
              <w:pStyle w:val="TableParagraph"/>
              <w:ind w:left="28"/>
              <w:rPr>
                <w:sz w:val="21"/>
              </w:rPr>
            </w:pPr>
            <w:r>
              <w:rPr>
                <w:w w:val="100"/>
                <w:sz w:val="21"/>
              </w:rPr>
              <w:t>3</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spacing w:before="60"/>
              <w:ind w:left="20"/>
              <w:rPr>
                <w:sz w:val="21"/>
              </w:rPr>
            </w:pPr>
            <w:r>
              <w:rPr>
                <w:w w:val="100"/>
                <w:sz w:val="21"/>
              </w:rPr>
              <w:t>6</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6"/>
              <w:ind w:left="1512" w:right="1483"/>
              <w:rPr>
                <w:rFonts w:ascii="宋体" w:eastAsia="宋体" w:hint="eastAsia"/>
                <w:sz w:val="21"/>
              </w:rPr>
            </w:pPr>
            <w:r>
              <w:rPr>
                <w:rFonts w:ascii="宋体" w:eastAsia="宋体" w:hint="eastAsia"/>
                <w:sz w:val="21"/>
              </w:rPr>
              <w:t>繁殖周期</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6"/>
              <w:ind w:left="26"/>
              <w:rPr>
                <w:rFonts w:ascii="宋体" w:eastAsia="宋体" w:hint="eastAsia"/>
                <w:sz w:val="21"/>
              </w:rPr>
            </w:pPr>
            <w:r>
              <w:rPr>
                <w:rFonts w:ascii="宋体" w:eastAsia="宋体" w:hint="eastAsia"/>
                <w:w w:val="100"/>
                <w:sz w:val="21"/>
              </w:rPr>
              <w:t>天</w:t>
            </w:r>
          </w:p>
        </w:tc>
        <w:tc>
          <w:tcPr>
            <w:tcW w:w="1496" w:type="dxa"/>
            <w:tcBorders>
              <w:top w:val="single" w:sz="6" w:space="0" w:color="000000"/>
              <w:left w:val="single" w:sz="6" w:space="0" w:color="000000"/>
              <w:bottom w:val="single" w:sz="6" w:space="0" w:color="000000"/>
            </w:tcBorders>
          </w:tcPr>
          <w:p>
            <w:pPr>
              <w:pStyle w:val="TableParagraph"/>
              <w:spacing w:before="60"/>
              <w:ind w:left="519" w:right="486"/>
              <w:rPr>
                <w:sz w:val="21"/>
              </w:rPr>
            </w:pPr>
            <w:r>
              <w:rPr>
                <w:sz w:val="21"/>
              </w:rPr>
              <w:t>156</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7</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0" w:right="1483"/>
              <w:rPr>
                <w:rFonts w:ascii="宋体" w:eastAsia="宋体" w:hint="eastAsia"/>
                <w:sz w:val="21"/>
              </w:rPr>
            </w:pPr>
            <w:r>
              <w:rPr>
                <w:rFonts w:ascii="宋体" w:eastAsia="宋体" w:hint="eastAsia"/>
                <w:sz w:val="21"/>
              </w:rPr>
              <w:t>母猪年产仔胎次</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胎</w:t>
            </w:r>
          </w:p>
        </w:tc>
        <w:tc>
          <w:tcPr>
            <w:tcW w:w="1496" w:type="dxa"/>
            <w:tcBorders>
              <w:top w:val="single" w:sz="6" w:space="0" w:color="000000"/>
              <w:left w:val="single" w:sz="6" w:space="0" w:color="000000"/>
              <w:bottom w:val="single" w:sz="6" w:space="0" w:color="000000"/>
            </w:tcBorders>
          </w:tcPr>
          <w:p>
            <w:pPr>
              <w:pStyle w:val="TableParagraph"/>
              <w:ind w:left="519" w:right="486"/>
              <w:rPr>
                <w:sz w:val="21"/>
              </w:rPr>
            </w:pPr>
            <w:r>
              <w:rPr>
                <w:sz w:val="21"/>
              </w:rPr>
              <w:t>2.34</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8</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2" w:right="1483"/>
              <w:rPr>
                <w:rFonts w:ascii="宋体" w:eastAsia="宋体" w:hint="eastAsia"/>
                <w:sz w:val="21"/>
              </w:rPr>
            </w:pPr>
            <w:r>
              <w:rPr>
                <w:rFonts w:ascii="宋体" w:eastAsia="宋体" w:hint="eastAsia"/>
                <w:sz w:val="21"/>
              </w:rPr>
              <w:t>经产母猪窝产仔数</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头</w:t>
            </w:r>
          </w:p>
        </w:tc>
        <w:tc>
          <w:tcPr>
            <w:tcW w:w="1496" w:type="dxa"/>
            <w:tcBorders>
              <w:top w:val="single" w:sz="6" w:space="0" w:color="000000"/>
              <w:left w:val="single" w:sz="6" w:space="0" w:color="000000"/>
              <w:bottom w:val="single" w:sz="6" w:space="0" w:color="000000"/>
            </w:tcBorders>
          </w:tcPr>
          <w:p>
            <w:pPr>
              <w:pStyle w:val="TableParagraph"/>
              <w:ind w:left="519" w:right="491"/>
              <w:rPr>
                <w:sz w:val="21"/>
              </w:rPr>
            </w:pPr>
            <w:r>
              <w:rPr>
                <w:sz w:val="21"/>
              </w:rPr>
              <w:t>15</w:t>
            </w:r>
          </w:p>
        </w:tc>
      </w:tr>
      <w:tr>
        <w:trPr>
          <w:trHeight w:val="357"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9</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2" w:right="1483"/>
              <w:rPr>
                <w:rFonts w:ascii="宋体" w:eastAsia="宋体" w:hint="eastAsia"/>
                <w:sz w:val="21"/>
              </w:rPr>
            </w:pPr>
            <w:r>
              <w:rPr>
                <w:rFonts w:ascii="宋体" w:eastAsia="宋体" w:hint="eastAsia"/>
                <w:sz w:val="21"/>
              </w:rPr>
              <w:t>经产母猪窝产活仔数</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头</w:t>
            </w:r>
          </w:p>
        </w:tc>
        <w:tc>
          <w:tcPr>
            <w:tcW w:w="1496" w:type="dxa"/>
            <w:tcBorders>
              <w:top w:val="single" w:sz="6" w:space="0" w:color="000000"/>
              <w:left w:val="single" w:sz="6" w:space="0" w:color="000000"/>
              <w:bottom w:val="single" w:sz="6" w:space="0" w:color="000000"/>
            </w:tcBorders>
          </w:tcPr>
          <w:p>
            <w:pPr>
              <w:pStyle w:val="TableParagraph"/>
              <w:ind w:left="519" w:right="491"/>
              <w:rPr>
                <w:sz w:val="21"/>
              </w:rPr>
            </w:pPr>
            <w:r>
              <w:rPr>
                <w:sz w:val="21"/>
              </w:rPr>
              <w:t>14</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spacing w:before="60"/>
              <w:ind w:left="516" w:right="496"/>
              <w:rPr>
                <w:sz w:val="21"/>
              </w:rPr>
            </w:pPr>
            <w:r>
              <w:rPr>
                <w:sz w:val="21"/>
              </w:rPr>
              <w:t>10</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6"/>
              <w:ind w:left="1510" w:right="1483"/>
              <w:rPr>
                <w:rFonts w:ascii="宋体" w:eastAsia="宋体" w:hint="eastAsia"/>
                <w:sz w:val="21"/>
              </w:rPr>
            </w:pPr>
            <w:r>
              <w:rPr>
                <w:rFonts w:ascii="宋体" w:eastAsia="宋体" w:hint="eastAsia"/>
                <w:sz w:val="21"/>
              </w:rPr>
              <w:t>种公猪年更新率</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60"/>
              <w:ind w:left="24"/>
              <w:rPr>
                <w:sz w:val="21"/>
              </w:rPr>
            </w:pPr>
            <w:r>
              <w:rPr>
                <w:w w:val="100"/>
                <w:sz w:val="21"/>
              </w:rPr>
              <w:t>%</w:t>
            </w:r>
          </w:p>
        </w:tc>
        <w:tc>
          <w:tcPr>
            <w:tcW w:w="1496" w:type="dxa"/>
            <w:tcBorders>
              <w:top w:val="single" w:sz="6" w:space="0" w:color="000000"/>
              <w:left w:val="single" w:sz="6" w:space="0" w:color="000000"/>
              <w:bottom w:val="single" w:sz="6" w:space="0" w:color="000000"/>
            </w:tcBorders>
          </w:tcPr>
          <w:p>
            <w:pPr>
              <w:pStyle w:val="TableParagraph"/>
              <w:spacing w:before="60"/>
              <w:ind w:left="519" w:right="491"/>
              <w:rPr>
                <w:sz w:val="21"/>
              </w:rPr>
            </w:pPr>
            <w:r>
              <w:rPr>
                <w:sz w:val="21"/>
              </w:rPr>
              <w:t>50</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ind w:left="512" w:right="496"/>
              <w:rPr>
                <w:sz w:val="21"/>
              </w:rPr>
            </w:pPr>
            <w:r>
              <w:rPr>
                <w:sz w:val="21"/>
              </w:rPr>
              <w:t>11</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0" w:right="1483"/>
              <w:rPr>
                <w:rFonts w:ascii="宋体" w:eastAsia="宋体" w:hint="eastAsia"/>
                <w:sz w:val="21"/>
              </w:rPr>
            </w:pPr>
            <w:r>
              <w:rPr>
                <w:rFonts w:ascii="宋体" w:eastAsia="宋体" w:hint="eastAsia"/>
                <w:sz w:val="21"/>
              </w:rPr>
              <w:t>母猪年更新率</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w w:val="100"/>
                <w:sz w:val="21"/>
              </w:rPr>
              <w:t>%</w:t>
            </w:r>
          </w:p>
        </w:tc>
        <w:tc>
          <w:tcPr>
            <w:tcW w:w="1496" w:type="dxa"/>
            <w:tcBorders>
              <w:top w:val="single" w:sz="6" w:space="0" w:color="000000"/>
              <w:left w:val="single" w:sz="6" w:space="0" w:color="000000"/>
              <w:bottom w:val="single" w:sz="6" w:space="0" w:color="000000"/>
            </w:tcBorders>
          </w:tcPr>
          <w:p>
            <w:pPr>
              <w:pStyle w:val="TableParagraph"/>
              <w:ind w:left="519" w:right="491"/>
              <w:rPr>
                <w:sz w:val="21"/>
              </w:rPr>
            </w:pPr>
            <w:r>
              <w:rPr>
                <w:sz w:val="21"/>
              </w:rPr>
              <w:t>35</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ind w:left="516" w:right="496"/>
              <w:rPr>
                <w:sz w:val="21"/>
              </w:rPr>
            </w:pPr>
            <w:r>
              <w:rPr>
                <w:sz w:val="21"/>
              </w:rPr>
              <w:t>12</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2" w:right="1483"/>
              <w:rPr>
                <w:rFonts w:ascii="宋体" w:eastAsia="宋体" w:hint="eastAsia"/>
                <w:sz w:val="21"/>
              </w:rPr>
            </w:pPr>
            <w:r>
              <w:rPr>
                <w:rFonts w:ascii="宋体" w:eastAsia="宋体" w:hint="eastAsia"/>
                <w:sz w:val="21"/>
              </w:rPr>
              <w:t>公母比例</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w:t>
            </w:r>
          </w:p>
        </w:tc>
        <w:tc>
          <w:tcPr>
            <w:tcW w:w="1496" w:type="dxa"/>
            <w:tcBorders>
              <w:top w:val="single" w:sz="6" w:space="0" w:color="000000"/>
              <w:left w:val="single" w:sz="6" w:space="0" w:color="000000"/>
              <w:bottom w:val="single" w:sz="6" w:space="0" w:color="000000"/>
            </w:tcBorders>
          </w:tcPr>
          <w:p>
            <w:pPr>
              <w:pStyle w:val="TableParagraph"/>
              <w:ind w:left="519" w:right="491"/>
              <w:rPr>
                <w:sz w:val="21"/>
              </w:rPr>
            </w:pPr>
            <w:r>
              <w:rPr>
                <w:sz w:val="21"/>
              </w:rPr>
              <w:t>1:20</w:t>
            </w:r>
          </w:p>
        </w:tc>
      </w:tr>
      <w:tr>
        <w:trPr>
          <w:trHeight w:val="357" w:hRule="atLeast"/>
        </w:trPr>
        <w:tc>
          <w:tcPr>
            <w:tcW w:w="1498" w:type="dxa"/>
            <w:tcBorders>
              <w:top w:val="single" w:sz="6" w:space="0" w:color="000000"/>
              <w:bottom w:val="single" w:sz="6" w:space="0" w:color="000000"/>
              <w:right w:val="single" w:sz="6" w:space="0" w:color="000000"/>
            </w:tcBorders>
          </w:tcPr>
          <w:p>
            <w:pPr>
              <w:pStyle w:val="TableParagraph"/>
              <w:spacing w:before="44"/>
              <w:ind w:left="20"/>
              <w:rPr>
                <w:rFonts w:ascii="宋体" w:eastAsia="宋体" w:hint="eastAsia"/>
                <w:b/>
                <w:sz w:val="21"/>
              </w:rPr>
            </w:pPr>
            <w:r>
              <w:rPr>
                <w:rFonts w:ascii="宋体" w:eastAsia="宋体" w:hint="eastAsia"/>
                <w:b/>
                <w:w w:val="100"/>
                <w:sz w:val="21"/>
              </w:rPr>
              <w:t>二</w:t>
            </w:r>
          </w:p>
        </w:tc>
        <w:tc>
          <w:tcPr>
            <w:tcW w:w="7936" w:type="dxa"/>
            <w:gridSpan w:val="3"/>
            <w:tcBorders>
              <w:top w:val="single" w:sz="6" w:space="0" w:color="000000"/>
              <w:left w:val="single" w:sz="6" w:space="0" w:color="000000"/>
              <w:bottom w:val="single" w:sz="6" w:space="0" w:color="000000"/>
            </w:tcBorders>
          </w:tcPr>
          <w:p>
            <w:pPr>
              <w:pStyle w:val="TableParagraph"/>
              <w:spacing w:before="44"/>
              <w:ind w:left="3532" w:right="3497"/>
              <w:rPr>
                <w:rFonts w:ascii="宋体" w:eastAsia="宋体" w:hint="eastAsia"/>
                <w:b/>
                <w:sz w:val="21"/>
              </w:rPr>
            </w:pPr>
            <w:r>
              <w:rPr>
                <w:rFonts w:ascii="宋体" w:eastAsia="宋体" w:hint="eastAsia"/>
                <w:b/>
                <w:sz w:val="21"/>
              </w:rPr>
              <w:t>生产性能</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spacing w:before="60"/>
              <w:ind w:left="20"/>
              <w:rPr>
                <w:sz w:val="21"/>
              </w:rPr>
            </w:pPr>
            <w:r>
              <w:rPr>
                <w:w w:val="100"/>
                <w:sz w:val="21"/>
              </w:rPr>
              <w:t>1</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6"/>
              <w:ind w:left="1510" w:right="1483"/>
              <w:rPr>
                <w:rFonts w:ascii="宋体" w:eastAsia="宋体" w:hint="eastAsia"/>
                <w:sz w:val="21"/>
              </w:rPr>
            </w:pPr>
            <w:r>
              <w:rPr>
                <w:rFonts w:ascii="宋体" w:eastAsia="宋体" w:hint="eastAsia"/>
                <w:sz w:val="21"/>
              </w:rPr>
              <w:t>哺乳仔猪成活率</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spacing w:before="60"/>
              <w:ind w:left="24"/>
              <w:rPr>
                <w:sz w:val="21"/>
              </w:rPr>
            </w:pPr>
            <w:r>
              <w:rPr>
                <w:w w:val="100"/>
                <w:sz w:val="21"/>
              </w:rPr>
              <w:t>%</w:t>
            </w:r>
          </w:p>
        </w:tc>
        <w:tc>
          <w:tcPr>
            <w:tcW w:w="1496" w:type="dxa"/>
            <w:tcBorders>
              <w:top w:val="single" w:sz="6" w:space="0" w:color="000000"/>
              <w:left w:val="single" w:sz="6" w:space="0" w:color="000000"/>
              <w:bottom w:val="single" w:sz="6" w:space="0" w:color="000000"/>
            </w:tcBorders>
          </w:tcPr>
          <w:p>
            <w:pPr>
              <w:pStyle w:val="TableParagraph"/>
              <w:spacing w:before="60"/>
              <w:ind w:left="519" w:right="491"/>
              <w:rPr>
                <w:sz w:val="21"/>
              </w:rPr>
            </w:pPr>
            <w:r>
              <w:rPr>
                <w:sz w:val="21"/>
              </w:rPr>
              <w:t>91</w:t>
            </w:r>
          </w:p>
        </w:tc>
      </w:tr>
      <w:tr>
        <w:trPr>
          <w:trHeight w:val="359" w:hRule="atLeast"/>
        </w:trPr>
        <w:tc>
          <w:tcPr>
            <w:tcW w:w="1498"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2</w:t>
            </w:r>
          </w:p>
        </w:tc>
        <w:tc>
          <w:tcPr>
            <w:tcW w:w="4941" w:type="dxa"/>
            <w:tcBorders>
              <w:top w:val="single" w:sz="6" w:space="0" w:color="000000"/>
              <w:left w:val="single" w:sz="6" w:space="0" w:color="000000"/>
              <w:bottom w:val="single" w:sz="6" w:space="0" w:color="000000"/>
              <w:right w:val="single" w:sz="6" w:space="0" w:color="000000"/>
            </w:tcBorders>
          </w:tcPr>
          <w:p>
            <w:pPr>
              <w:pStyle w:val="TableParagraph"/>
              <w:spacing w:before="44"/>
              <w:ind w:left="1510" w:right="1483"/>
              <w:rPr>
                <w:rFonts w:ascii="宋体" w:eastAsia="宋体" w:hint="eastAsia"/>
                <w:sz w:val="21"/>
              </w:rPr>
            </w:pPr>
            <w:r>
              <w:rPr>
                <w:rFonts w:ascii="宋体" w:eastAsia="宋体" w:hint="eastAsia"/>
                <w:sz w:val="21"/>
              </w:rPr>
              <w:t>断奶仔猪成活率</w:t>
            </w:r>
          </w:p>
        </w:tc>
        <w:tc>
          <w:tcPr>
            <w:tcW w:w="1499"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w w:val="100"/>
                <w:sz w:val="21"/>
              </w:rPr>
              <w:t>%</w:t>
            </w:r>
          </w:p>
        </w:tc>
        <w:tc>
          <w:tcPr>
            <w:tcW w:w="1496" w:type="dxa"/>
            <w:tcBorders>
              <w:top w:val="single" w:sz="6" w:space="0" w:color="000000"/>
              <w:left w:val="single" w:sz="6" w:space="0" w:color="000000"/>
              <w:bottom w:val="single" w:sz="6" w:space="0" w:color="000000"/>
            </w:tcBorders>
          </w:tcPr>
          <w:p>
            <w:pPr>
              <w:pStyle w:val="TableParagraph"/>
              <w:ind w:left="519" w:right="491"/>
              <w:rPr>
                <w:sz w:val="21"/>
              </w:rPr>
            </w:pPr>
            <w:r>
              <w:rPr>
                <w:sz w:val="21"/>
              </w:rPr>
              <w:t>94</w:t>
            </w:r>
          </w:p>
        </w:tc>
      </w:tr>
      <w:tr>
        <w:trPr>
          <w:trHeight w:val="356" w:hRule="atLeast"/>
        </w:trPr>
        <w:tc>
          <w:tcPr>
            <w:tcW w:w="1498" w:type="dxa"/>
            <w:tcBorders>
              <w:top w:val="single" w:sz="6" w:space="0" w:color="000000"/>
              <w:right w:val="single" w:sz="6" w:space="0" w:color="000000"/>
            </w:tcBorders>
          </w:tcPr>
          <w:p>
            <w:pPr>
              <w:pStyle w:val="TableParagraph"/>
              <w:ind w:left="20"/>
              <w:rPr>
                <w:sz w:val="21"/>
              </w:rPr>
            </w:pPr>
            <w:r>
              <w:rPr>
                <w:w w:val="100"/>
                <w:sz w:val="21"/>
              </w:rPr>
              <w:t>3</w:t>
            </w:r>
          </w:p>
        </w:tc>
        <w:tc>
          <w:tcPr>
            <w:tcW w:w="4941" w:type="dxa"/>
            <w:tcBorders>
              <w:top w:val="single" w:sz="6" w:space="0" w:color="000000"/>
              <w:left w:val="single" w:sz="6" w:space="0" w:color="000000"/>
              <w:right w:val="single" w:sz="6" w:space="0" w:color="000000"/>
            </w:tcBorders>
          </w:tcPr>
          <w:p>
            <w:pPr>
              <w:pStyle w:val="TableParagraph"/>
              <w:spacing w:before="44"/>
              <w:ind w:left="1510" w:right="1483"/>
              <w:rPr>
                <w:rFonts w:ascii="宋体" w:eastAsia="宋体" w:hint="eastAsia"/>
                <w:sz w:val="21"/>
              </w:rPr>
            </w:pPr>
            <w:r>
              <w:rPr>
                <w:rFonts w:ascii="宋体" w:eastAsia="宋体" w:hint="eastAsia"/>
                <w:sz w:val="21"/>
              </w:rPr>
              <w:t>生长育成猪活率</w:t>
            </w:r>
          </w:p>
        </w:tc>
        <w:tc>
          <w:tcPr>
            <w:tcW w:w="1499" w:type="dxa"/>
            <w:tcBorders>
              <w:top w:val="single" w:sz="6" w:space="0" w:color="000000"/>
              <w:left w:val="single" w:sz="6" w:space="0" w:color="000000"/>
              <w:right w:val="single" w:sz="6" w:space="0" w:color="000000"/>
            </w:tcBorders>
          </w:tcPr>
          <w:p>
            <w:pPr>
              <w:pStyle w:val="TableParagraph"/>
              <w:ind w:left="24"/>
              <w:rPr>
                <w:sz w:val="21"/>
              </w:rPr>
            </w:pPr>
            <w:r>
              <w:rPr>
                <w:w w:val="100"/>
                <w:sz w:val="21"/>
              </w:rPr>
              <w:t>%</w:t>
            </w:r>
          </w:p>
        </w:tc>
        <w:tc>
          <w:tcPr>
            <w:tcW w:w="1496" w:type="dxa"/>
            <w:tcBorders>
              <w:top w:val="single" w:sz="6" w:space="0" w:color="000000"/>
              <w:left w:val="single" w:sz="6" w:space="0" w:color="000000"/>
            </w:tcBorders>
          </w:tcPr>
          <w:p>
            <w:pPr>
              <w:pStyle w:val="TableParagraph"/>
              <w:ind w:left="519" w:right="491"/>
              <w:rPr>
                <w:sz w:val="21"/>
              </w:rPr>
            </w:pPr>
            <w:r>
              <w:rPr>
                <w:sz w:val="21"/>
              </w:rPr>
              <w:t>96</w:t>
            </w:r>
          </w:p>
        </w:tc>
      </w:tr>
    </w:tbl>
    <w:p>
      <w:pPr>
        <w:pStyle w:val="ListParagraph"/>
        <w:numPr>
          <w:ilvl w:val="2"/>
          <w:numId w:val="33"/>
        </w:numPr>
        <w:tabs>
          <w:tab w:pos="838" w:val="left" w:leader="none"/>
        </w:tabs>
        <w:spacing w:line="240" w:lineRule="auto" w:before="85" w:after="0"/>
        <w:ind w:left="837" w:right="0" w:hanging="601"/>
        <w:jc w:val="left"/>
        <w:rPr>
          <w:b/>
          <w:sz w:val="24"/>
        </w:rPr>
      </w:pPr>
      <w:bookmarkStart w:name="_bookmark41" w:id="79"/>
      <w:bookmarkEnd w:id="79"/>
      <w:r>
        <w:rPr/>
      </w:r>
      <w:bookmarkStart w:name="_bookmark41" w:id="80"/>
      <w:bookmarkEnd w:id="80"/>
      <w:r>
        <w:rPr>
          <w:b/>
          <w:sz w:val="24"/>
        </w:rPr>
        <w:t>原辅料消耗情况</w:t>
      </w:r>
    </w:p>
    <w:p>
      <w:pPr>
        <w:spacing w:before="165"/>
        <w:ind w:left="719" w:right="0" w:firstLine="0"/>
        <w:jc w:val="left"/>
        <w:rPr>
          <w:b/>
          <w:sz w:val="24"/>
        </w:rPr>
      </w:pPr>
      <w:r>
        <w:rPr>
          <w:rFonts w:ascii="Times New Roman" w:eastAsia="Times New Roman"/>
          <w:b/>
          <w:sz w:val="24"/>
        </w:rPr>
        <w:t>1</w:t>
      </w:r>
      <w:r>
        <w:rPr>
          <w:b/>
          <w:sz w:val="24"/>
        </w:rPr>
        <w:t>、饲料供应</w:t>
      </w:r>
    </w:p>
    <w:p>
      <w:pPr>
        <w:pStyle w:val="BodyText"/>
        <w:spacing w:before="172"/>
        <w:ind w:left="717"/>
      </w:pPr>
      <w:r>
        <w:rPr>
          <w:spacing w:val="-12"/>
        </w:rPr>
        <w:t>本项目建成后，年需饲料约 </w:t>
      </w:r>
      <w:r>
        <w:rPr>
          <w:rFonts w:ascii="Times New Roman" w:eastAsia="Times New Roman"/>
          <w:position w:val="1"/>
        </w:rPr>
        <w:t>39400 </w:t>
      </w:r>
      <w:r>
        <w:rPr>
          <w:spacing w:val="-16"/>
        </w:rPr>
        <w:t>吨，均为外购成品饲料</w:t>
      </w:r>
      <w:r>
        <w:rPr/>
        <w:t>（本项目不涉及饲料加工</w:t>
      </w:r>
      <w:r>
        <w:rPr>
          <w:spacing w:val="-67"/>
        </w:rPr>
        <w:t>）</w:t>
      </w:r>
      <w:r>
        <w:rPr/>
        <w:t>。</w:t>
      </w:r>
    </w:p>
    <w:p>
      <w:pPr>
        <w:pStyle w:val="Heading3"/>
        <w:spacing w:before="173"/>
      </w:pPr>
      <w:r>
        <w:rPr>
          <w:rFonts w:ascii="Times New Roman" w:eastAsia="Times New Roman"/>
        </w:rPr>
        <w:t>2</w:t>
      </w:r>
      <w:r>
        <w:rPr/>
        <w:t>、用水情况</w:t>
      </w:r>
    </w:p>
    <w:p>
      <w:pPr>
        <w:pStyle w:val="BodyText"/>
        <w:spacing w:before="173"/>
        <w:ind w:left="717"/>
      </w:pPr>
      <w:r>
        <w:rPr/>
        <w:t>养殖场生产、生活用水均由项目地附近市政供水管网接入，年用水量约 </w:t>
      </w:r>
      <w:r>
        <w:rPr>
          <w:rFonts w:ascii="Times New Roman" w:eastAsia="Times New Roman"/>
          <w:position w:val="1"/>
        </w:rPr>
        <w:t>20 </w:t>
      </w:r>
      <w:r>
        <w:rPr/>
        <w:t>万吨。</w:t>
      </w:r>
    </w:p>
    <w:p>
      <w:pPr>
        <w:pStyle w:val="Heading3"/>
        <w:spacing w:before="172"/>
      </w:pPr>
      <w:r>
        <w:rPr>
          <w:rFonts w:ascii="Times New Roman" w:eastAsia="Times New Roman"/>
        </w:rPr>
        <w:t>3</w:t>
      </w:r>
      <w:r>
        <w:rPr/>
        <w:t>、其他原辅材料</w:t>
      </w:r>
    </w:p>
    <w:p>
      <w:pPr>
        <w:pStyle w:val="BodyText"/>
        <w:spacing w:before="173"/>
        <w:ind w:left="717"/>
      </w:pPr>
      <w:r>
        <w:rPr/>
        <w:t>项目其他原辅材料包括除臭、消毒、兽药、发酵添加剂等，详见表 </w:t>
      </w:r>
      <w:r>
        <w:rPr>
          <w:rFonts w:ascii="Times New Roman" w:eastAsia="Times New Roman"/>
          <w:position w:val="1"/>
        </w:rPr>
        <w:t>3.1-3</w:t>
      </w:r>
      <w:r>
        <w:rPr/>
        <w:t>。</w:t>
      </w:r>
    </w:p>
    <w:p>
      <w:pPr>
        <w:pStyle w:val="Heading3"/>
        <w:spacing w:before="168"/>
        <w:ind w:left="218" w:right="236"/>
        <w:jc w:val="center"/>
      </w:pPr>
      <w:r>
        <w:rPr/>
        <w:t>表 </w:t>
      </w:r>
      <w:r>
        <w:rPr>
          <w:rFonts w:ascii="Times New Roman" w:eastAsia="Times New Roman"/>
        </w:rPr>
        <w:t>3.1-3  </w:t>
      </w:r>
      <w:r>
        <w:rPr/>
        <w:t>项目其他原辅材料消耗</w:t>
      </w:r>
    </w:p>
    <w:p>
      <w:pPr>
        <w:pStyle w:val="BodyText"/>
        <w:spacing w:before="1"/>
        <w:ind w:left="0"/>
        <w:rPr>
          <w:b/>
          <w:sz w:val="6"/>
        </w:rPr>
      </w:pPr>
    </w:p>
    <w:tbl>
      <w:tblPr>
        <w:tblW w:w="0" w:type="auto"/>
        <w:jc w:val="left"/>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6"/>
        <w:gridCol w:w="2137"/>
        <w:gridCol w:w="1244"/>
        <w:gridCol w:w="5369"/>
      </w:tblGrid>
      <w:tr>
        <w:trPr>
          <w:trHeight w:val="359" w:hRule="atLeast"/>
        </w:trPr>
        <w:tc>
          <w:tcPr>
            <w:tcW w:w="526" w:type="dxa"/>
            <w:tcBorders>
              <w:bottom w:val="single" w:sz="6" w:space="0" w:color="000000"/>
              <w:right w:val="single" w:sz="6" w:space="0" w:color="000000"/>
            </w:tcBorders>
          </w:tcPr>
          <w:p>
            <w:pPr>
              <w:pStyle w:val="TableParagraph"/>
              <w:spacing w:before="46"/>
              <w:ind w:left="29" w:right="11"/>
              <w:rPr>
                <w:rFonts w:ascii="宋体" w:eastAsia="宋体" w:hint="eastAsia"/>
                <w:b/>
                <w:sz w:val="21"/>
              </w:rPr>
            </w:pPr>
            <w:r>
              <w:rPr>
                <w:rFonts w:ascii="宋体" w:eastAsia="宋体" w:hint="eastAsia"/>
                <w:b/>
                <w:sz w:val="21"/>
              </w:rPr>
              <w:t>序号</w:t>
            </w:r>
          </w:p>
        </w:tc>
        <w:tc>
          <w:tcPr>
            <w:tcW w:w="2137" w:type="dxa"/>
            <w:tcBorders>
              <w:left w:val="single" w:sz="6" w:space="0" w:color="000000"/>
              <w:bottom w:val="single" w:sz="6" w:space="0" w:color="000000"/>
              <w:right w:val="single" w:sz="6" w:space="0" w:color="000000"/>
            </w:tcBorders>
          </w:tcPr>
          <w:p>
            <w:pPr>
              <w:pStyle w:val="TableParagraph"/>
              <w:spacing w:before="46"/>
              <w:ind w:left="88" w:right="66"/>
              <w:rPr>
                <w:rFonts w:ascii="宋体" w:eastAsia="宋体" w:hint="eastAsia"/>
                <w:b/>
                <w:sz w:val="21"/>
              </w:rPr>
            </w:pPr>
            <w:r>
              <w:rPr>
                <w:rFonts w:ascii="宋体" w:eastAsia="宋体" w:hint="eastAsia"/>
                <w:b/>
                <w:sz w:val="21"/>
              </w:rPr>
              <w:t>名称</w:t>
            </w:r>
          </w:p>
        </w:tc>
        <w:tc>
          <w:tcPr>
            <w:tcW w:w="1244" w:type="dxa"/>
            <w:tcBorders>
              <w:left w:val="single" w:sz="6" w:space="0" w:color="000000"/>
              <w:bottom w:val="single" w:sz="6" w:space="0" w:color="000000"/>
              <w:right w:val="single" w:sz="6" w:space="0" w:color="000000"/>
            </w:tcBorders>
          </w:tcPr>
          <w:p>
            <w:pPr>
              <w:pStyle w:val="TableParagraph"/>
              <w:spacing w:before="46"/>
              <w:ind w:left="67" w:right="44"/>
              <w:rPr>
                <w:rFonts w:ascii="宋体" w:eastAsia="宋体" w:hint="eastAsia"/>
                <w:b/>
                <w:sz w:val="21"/>
              </w:rPr>
            </w:pPr>
            <w:r>
              <w:rPr>
                <w:rFonts w:ascii="宋体" w:eastAsia="宋体" w:hint="eastAsia"/>
                <w:b/>
                <w:sz w:val="21"/>
              </w:rPr>
              <w:t>用量（</w:t>
            </w:r>
            <w:r>
              <w:rPr>
                <w:b/>
                <w:sz w:val="21"/>
              </w:rPr>
              <w:t>t/a</w:t>
            </w:r>
            <w:r>
              <w:rPr>
                <w:rFonts w:ascii="宋体" w:eastAsia="宋体" w:hint="eastAsia"/>
                <w:b/>
                <w:sz w:val="21"/>
              </w:rPr>
              <w:t>）</w:t>
            </w:r>
          </w:p>
        </w:tc>
        <w:tc>
          <w:tcPr>
            <w:tcW w:w="5369" w:type="dxa"/>
            <w:tcBorders>
              <w:left w:val="single" w:sz="6" w:space="0" w:color="000000"/>
              <w:bottom w:val="single" w:sz="6" w:space="0" w:color="000000"/>
            </w:tcBorders>
          </w:tcPr>
          <w:p>
            <w:pPr>
              <w:pStyle w:val="TableParagraph"/>
              <w:spacing w:before="46"/>
              <w:ind w:left="43" w:right="12"/>
              <w:rPr>
                <w:rFonts w:ascii="宋体" w:eastAsia="宋体" w:hint="eastAsia"/>
                <w:b/>
                <w:sz w:val="21"/>
              </w:rPr>
            </w:pPr>
            <w:r>
              <w:rPr>
                <w:rFonts w:ascii="宋体" w:eastAsia="宋体" w:hint="eastAsia"/>
                <w:b/>
                <w:sz w:val="21"/>
              </w:rPr>
              <w:t>备注</w:t>
            </w:r>
          </w:p>
        </w:tc>
      </w:tr>
      <w:tr>
        <w:trPr>
          <w:trHeight w:val="356" w:hRule="atLeast"/>
        </w:trPr>
        <w:tc>
          <w:tcPr>
            <w:tcW w:w="526" w:type="dxa"/>
            <w:tcBorders>
              <w:top w:val="single" w:sz="6" w:space="0" w:color="000000"/>
              <w:right w:val="single" w:sz="6" w:space="0" w:color="000000"/>
            </w:tcBorders>
          </w:tcPr>
          <w:p>
            <w:pPr>
              <w:pStyle w:val="TableParagraph"/>
              <w:ind w:left="18"/>
              <w:rPr>
                <w:sz w:val="21"/>
              </w:rPr>
            </w:pPr>
            <w:r>
              <w:rPr>
                <w:w w:val="100"/>
                <w:sz w:val="21"/>
              </w:rPr>
              <w:t>1</w:t>
            </w:r>
          </w:p>
        </w:tc>
        <w:tc>
          <w:tcPr>
            <w:tcW w:w="2137" w:type="dxa"/>
            <w:tcBorders>
              <w:top w:val="single" w:sz="6" w:space="0" w:color="000000"/>
              <w:left w:val="single" w:sz="6" w:space="0" w:color="000000"/>
              <w:right w:val="single" w:sz="6" w:space="0" w:color="000000"/>
            </w:tcBorders>
          </w:tcPr>
          <w:p>
            <w:pPr>
              <w:pStyle w:val="TableParagraph"/>
              <w:spacing w:before="44"/>
              <w:ind w:left="90" w:right="64"/>
              <w:rPr>
                <w:rFonts w:ascii="宋体" w:eastAsia="宋体" w:hint="eastAsia"/>
                <w:sz w:val="21"/>
              </w:rPr>
            </w:pPr>
            <w:r>
              <w:rPr>
                <w:rFonts w:ascii="宋体" w:eastAsia="宋体" w:hint="eastAsia"/>
                <w:sz w:val="21"/>
              </w:rPr>
              <w:t>生石灰</w:t>
            </w:r>
          </w:p>
        </w:tc>
        <w:tc>
          <w:tcPr>
            <w:tcW w:w="1244" w:type="dxa"/>
            <w:tcBorders>
              <w:top w:val="single" w:sz="6" w:space="0" w:color="000000"/>
              <w:left w:val="single" w:sz="6" w:space="0" w:color="000000"/>
              <w:right w:val="single" w:sz="6" w:space="0" w:color="000000"/>
            </w:tcBorders>
          </w:tcPr>
          <w:p>
            <w:pPr>
              <w:pStyle w:val="TableParagraph"/>
              <w:ind w:left="65" w:right="44"/>
              <w:rPr>
                <w:sz w:val="21"/>
              </w:rPr>
            </w:pPr>
            <w:r>
              <w:rPr>
                <w:sz w:val="21"/>
              </w:rPr>
              <w:t>15</w:t>
            </w:r>
          </w:p>
        </w:tc>
        <w:tc>
          <w:tcPr>
            <w:tcW w:w="5369" w:type="dxa"/>
            <w:tcBorders>
              <w:top w:val="single" w:sz="6" w:space="0" w:color="000000"/>
              <w:left w:val="single" w:sz="6" w:space="0" w:color="000000"/>
            </w:tcBorders>
          </w:tcPr>
          <w:p>
            <w:pPr>
              <w:pStyle w:val="TableParagraph"/>
              <w:spacing w:before="44"/>
              <w:ind w:left="43" w:right="10"/>
              <w:rPr>
                <w:rFonts w:ascii="宋体" w:eastAsia="宋体" w:hint="eastAsia"/>
                <w:sz w:val="21"/>
              </w:rPr>
            </w:pPr>
            <w:r>
              <w:rPr>
                <w:rFonts w:ascii="宋体" w:eastAsia="宋体" w:hint="eastAsia"/>
                <w:sz w:val="21"/>
              </w:rPr>
              <w:t>猪舍、地面等的消毒</w:t>
            </w:r>
          </w:p>
        </w:tc>
      </w:tr>
    </w:tbl>
    <w:p>
      <w:pPr>
        <w:spacing w:after="0"/>
        <w:rPr>
          <w:rFonts w:ascii="宋体" w:eastAsia="宋体" w:hint="eastAsia"/>
          <w:sz w:val="21"/>
        </w:rPr>
        <w:sectPr>
          <w:pgSz w:w="11910" w:h="16840"/>
          <w:pgMar w:header="874" w:footer="1004" w:top="1400" w:bottom="1200" w:left="1040" w:right="1160"/>
        </w:sectPr>
      </w:pPr>
    </w:p>
    <w:tbl>
      <w:tblPr>
        <w:tblW w:w="0" w:type="auto"/>
        <w:jc w:val="left"/>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6"/>
        <w:gridCol w:w="2137"/>
        <w:gridCol w:w="1244"/>
        <w:gridCol w:w="5369"/>
      </w:tblGrid>
      <w:tr>
        <w:trPr>
          <w:trHeight w:val="359" w:hRule="atLeast"/>
        </w:trPr>
        <w:tc>
          <w:tcPr>
            <w:tcW w:w="526" w:type="dxa"/>
            <w:tcBorders>
              <w:bottom w:val="single" w:sz="6" w:space="0" w:color="000000"/>
              <w:right w:val="single" w:sz="6" w:space="0" w:color="000000"/>
            </w:tcBorders>
          </w:tcPr>
          <w:p>
            <w:pPr>
              <w:pStyle w:val="TableParagraph"/>
              <w:spacing w:before="46"/>
              <w:ind w:left="29" w:right="11"/>
              <w:rPr>
                <w:rFonts w:ascii="宋体" w:eastAsia="宋体" w:hint="eastAsia"/>
                <w:b/>
                <w:sz w:val="21"/>
              </w:rPr>
            </w:pPr>
            <w:r>
              <w:rPr>
                <w:rFonts w:ascii="宋体" w:eastAsia="宋体" w:hint="eastAsia"/>
                <w:b/>
                <w:sz w:val="21"/>
              </w:rPr>
              <w:t>序号</w:t>
            </w:r>
          </w:p>
        </w:tc>
        <w:tc>
          <w:tcPr>
            <w:tcW w:w="2137" w:type="dxa"/>
            <w:tcBorders>
              <w:left w:val="single" w:sz="6" w:space="0" w:color="000000"/>
              <w:bottom w:val="single" w:sz="6" w:space="0" w:color="000000"/>
              <w:right w:val="single" w:sz="6" w:space="0" w:color="000000"/>
            </w:tcBorders>
          </w:tcPr>
          <w:p>
            <w:pPr>
              <w:pStyle w:val="TableParagraph"/>
              <w:spacing w:before="46"/>
              <w:ind w:left="88" w:right="66"/>
              <w:rPr>
                <w:rFonts w:ascii="宋体" w:eastAsia="宋体" w:hint="eastAsia"/>
                <w:b/>
                <w:sz w:val="21"/>
              </w:rPr>
            </w:pPr>
            <w:r>
              <w:rPr>
                <w:rFonts w:ascii="宋体" w:eastAsia="宋体" w:hint="eastAsia"/>
                <w:b/>
                <w:sz w:val="21"/>
              </w:rPr>
              <w:t>名称</w:t>
            </w:r>
          </w:p>
        </w:tc>
        <w:tc>
          <w:tcPr>
            <w:tcW w:w="1244" w:type="dxa"/>
            <w:tcBorders>
              <w:left w:val="single" w:sz="6" w:space="0" w:color="000000"/>
              <w:bottom w:val="single" w:sz="6" w:space="0" w:color="000000"/>
              <w:right w:val="single" w:sz="6" w:space="0" w:color="000000"/>
            </w:tcBorders>
          </w:tcPr>
          <w:p>
            <w:pPr>
              <w:pStyle w:val="TableParagraph"/>
              <w:spacing w:before="46"/>
              <w:ind w:left="67" w:right="44"/>
              <w:rPr>
                <w:rFonts w:ascii="宋体" w:eastAsia="宋体" w:hint="eastAsia"/>
                <w:b/>
                <w:sz w:val="21"/>
              </w:rPr>
            </w:pPr>
            <w:r>
              <w:rPr>
                <w:rFonts w:ascii="宋体" w:eastAsia="宋体" w:hint="eastAsia"/>
                <w:b/>
                <w:sz w:val="21"/>
              </w:rPr>
              <w:t>用量（</w:t>
            </w:r>
            <w:r>
              <w:rPr>
                <w:b/>
                <w:sz w:val="21"/>
              </w:rPr>
              <w:t>t/a</w:t>
            </w:r>
            <w:r>
              <w:rPr>
                <w:rFonts w:ascii="宋体" w:eastAsia="宋体" w:hint="eastAsia"/>
                <w:b/>
                <w:sz w:val="21"/>
              </w:rPr>
              <w:t>）</w:t>
            </w:r>
          </w:p>
        </w:tc>
        <w:tc>
          <w:tcPr>
            <w:tcW w:w="5369" w:type="dxa"/>
            <w:tcBorders>
              <w:left w:val="single" w:sz="6" w:space="0" w:color="000000"/>
              <w:bottom w:val="single" w:sz="6" w:space="0" w:color="000000"/>
            </w:tcBorders>
          </w:tcPr>
          <w:p>
            <w:pPr>
              <w:pStyle w:val="TableParagraph"/>
              <w:spacing w:before="46"/>
              <w:ind w:left="43" w:right="12"/>
              <w:rPr>
                <w:rFonts w:ascii="宋体" w:eastAsia="宋体" w:hint="eastAsia"/>
                <w:b/>
                <w:sz w:val="21"/>
              </w:rPr>
            </w:pPr>
            <w:r>
              <w:rPr>
                <w:rFonts w:ascii="宋体" w:eastAsia="宋体" w:hint="eastAsia"/>
                <w:b/>
                <w:sz w:val="21"/>
              </w:rPr>
              <w:t>备注</w:t>
            </w:r>
          </w:p>
        </w:tc>
      </w:tr>
      <w:tr>
        <w:trPr>
          <w:trHeight w:val="359" w:hRule="atLeast"/>
        </w:trPr>
        <w:tc>
          <w:tcPr>
            <w:tcW w:w="526"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2</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6"/>
              <w:rPr>
                <w:rFonts w:ascii="宋体" w:eastAsia="宋体" w:hint="eastAsia"/>
                <w:sz w:val="21"/>
              </w:rPr>
            </w:pPr>
            <w:r>
              <w:rPr>
                <w:rFonts w:ascii="宋体" w:eastAsia="宋体" w:hint="eastAsia"/>
                <w:sz w:val="21"/>
              </w:rPr>
              <w:t>过氧乙酸</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2</w:t>
            </w:r>
          </w:p>
        </w:tc>
        <w:tc>
          <w:tcPr>
            <w:tcW w:w="5369" w:type="dxa"/>
            <w:tcBorders>
              <w:top w:val="single" w:sz="6" w:space="0" w:color="000000"/>
              <w:left w:val="single" w:sz="6" w:space="0" w:color="000000"/>
              <w:bottom w:val="single" w:sz="6" w:space="0" w:color="000000"/>
            </w:tcBorders>
          </w:tcPr>
          <w:p>
            <w:pPr>
              <w:pStyle w:val="TableParagraph"/>
              <w:spacing w:before="44"/>
              <w:ind w:left="43" w:right="12"/>
              <w:rPr>
                <w:rFonts w:ascii="宋体" w:eastAsia="宋体" w:hint="eastAsia"/>
                <w:sz w:val="21"/>
              </w:rPr>
            </w:pPr>
            <w:r>
              <w:rPr>
                <w:sz w:val="21"/>
              </w:rPr>
              <w:t>0.1%</w:t>
            </w:r>
            <w:r>
              <w:rPr>
                <w:rFonts w:ascii="宋体" w:eastAsia="宋体" w:hint="eastAsia"/>
                <w:sz w:val="21"/>
              </w:rPr>
              <w:t>溶液用于喷洒猪舍消毒</w:t>
            </w:r>
          </w:p>
        </w:tc>
      </w:tr>
      <w:tr>
        <w:trPr>
          <w:trHeight w:val="357" w:hRule="atLeast"/>
        </w:trPr>
        <w:tc>
          <w:tcPr>
            <w:tcW w:w="526"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3</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4"/>
              <w:rPr>
                <w:rFonts w:ascii="宋体" w:eastAsia="宋体" w:hint="eastAsia"/>
                <w:sz w:val="21"/>
              </w:rPr>
            </w:pPr>
            <w:r>
              <w:rPr>
                <w:rFonts w:ascii="宋体" w:eastAsia="宋体" w:hint="eastAsia"/>
                <w:sz w:val="21"/>
              </w:rPr>
              <w:t>兽药</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2</w:t>
            </w:r>
          </w:p>
        </w:tc>
        <w:tc>
          <w:tcPr>
            <w:tcW w:w="5369" w:type="dxa"/>
            <w:tcBorders>
              <w:top w:val="single" w:sz="6" w:space="0" w:color="000000"/>
              <w:left w:val="single" w:sz="6" w:space="0" w:color="000000"/>
              <w:bottom w:val="single" w:sz="6" w:space="0" w:color="000000"/>
            </w:tcBorders>
          </w:tcPr>
          <w:p>
            <w:pPr>
              <w:pStyle w:val="TableParagraph"/>
              <w:spacing w:before="44"/>
              <w:ind w:left="43" w:right="12"/>
              <w:rPr>
                <w:rFonts w:ascii="宋体" w:eastAsia="宋体" w:hint="eastAsia"/>
                <w:sz w:val="21"/>
              </w:rPr>
            </w:pPr>
            <w:r>
              <w:rPr>
                <w:rFonts w:ascii="宋体" w:eastAsia="宋体" w:hint="eastAsia"/>
                <w:sz w:val="21"/>
              </w:rPr>
              <w:t>由兽药公司购入</w:t>
            </w:r>
          </w:p>
        </w:tc>
      </w:tr>
      <w:tr>
        <w:trPr>
          <w:trHeight w:val="359" w:hRule="atLeast"/>
        </w:trPr>
        <w:tc>
          <w:tcPr>
            <w:tcW w:w="526" w:type="dxa"/>
            <w:tcBorders>
              <w:top w:val="single" w:sz="6" w:space="0" w:color="000000"/>
              <w:bottom w:val="single" w:sz="6" w:space="0" w:color="000000"/>
              <w:right w:val="single" w:sz="6" w:space="0" w:color="000000"/>
            </w:tcBorders>
          </w:tcPr>
          <w:p>
            <w:pPr>
              <w:pStyle w:val="TableParagraph"/>
              <w:spacing w:before="60"/>
              <w:ind w:left="18"/>
              <w:rPr>
                <w:sz w:val="21"/>
              </w:rPr>
            </w:pPr>
            <w:r>
              <w:rPr>
                <w:w w:val="100"/>
                <w:sz w:val="21"/>
              </w:rPr>
              <w:t>4</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6"/>
              <w:ind w:left="90" w:right="64"/>
              <w:rPr>
                <w:rFonts w:ascii="宋体" w:eastAsia="宋体" w:hint="eastAsia"/>
                <w:sz w:val="21"/>
              </w:rPr>
            </w:pPr>
            <w:r>
              <w:rPr>
                <w:rFonts w:ascii="宋体" w:eastAsia="宋体" w:hint="eastAsia"/>
                <w:sz w:val="21"/>
              </w:rPr>
              <w:t>脱硫剂</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spacing w:before="60"/>
              <w:ind w:left="67" w:right="41"/>
              <w:rPr>
                <w:sz w:val="21"/>
              </w:rPr>
            </w:pPr>
            <w:r>
              <w:rPr>
                <w:sz w:val="21"/>
              </w:rPr>
              <w:t>5.0</w:t>
            </w:r>
          </w:p>
        </w:tc>
        <w:tc>
          <w:tcPr>
            <w:tcW w:w="5369" w:type="dxa"/>
            <w:tcBorders>
              <w:top w:val="single" w:sz="6" w:space="0" w:color="000000"/>
              <w:left w:val="single" w:sz="6" w:space="0" w:color="000000"/>
              <w:bottom w:val="single" w:sz="6" w:space="0" w:color="000000"/>
            </w:tcBorders>
          </w:tcPr>
          <w:p>
            <w:pPr>
              <w:pStyle w:val="TableParagraph"/>
              <w:spacing w:before="46"/>
              <w:ind w:left="43" w:right="12"/>
              <w:rPr>
                <w:rFonts w:ascii="宋体" w:eastAsia="宋体" w:hint="eastAsia"/>
                <w:sz w:val="21"/>
              </w:rPr>
            </w:pPr>
            <w:r>
              <w:rPr>
                <w:rFonts w:ascii="宋体" w:eastAsia="宋体" w:hint="eastAsia"/>
                <w:sz w:val="21"/>
              </w:rPr>
              <w:t>用于沼气脱硫</w:t>
            </w:r>
          </w:p>
        </w:tc>
      </w:tr>
      <w:tr>
        <w:trPr>
          <w:trHeight w:val="359" w:hRule="atLeast"/>
        </w:trPr>
        <w:tc>
          <w:tcPr>
            <w:tcW w:w="526"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5</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6"/>
              <w:rPr>
                <w:rFonts w:ascii="宋体" w:eastAsia="宋体" w:hint="eastAsia"/>
                <w:sz w:val="21"/>
              </w:rPr>
            </w:pPr>
            <w:r>
              <w:rPr>
                <w:sz w:val="21"/>
              </w:rPr>
              <w:t>PAM</w:t>
            </w:r>
            <w:r>
              <w:rPr>
                <w:rFonts w:ascii="宋体" w:eastAsia="宋体" w:hint="eastAsia"/>
                <w:sz w:val="21"/>
              </w:rPr>
              <w:t>（聚丙烯酰胺）</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67" w:right="41"/>
              <w:rPr>
                <w:sz w:val="21"/>
              </w:rPr>
            </w:pPr>
            <w:r>
              <w:rPr>
                <w:sz w:val="21"/>
              </w:rPr>
              <w:t>4.5</w:t>
            </w:r>
          </w:p>
        </w:tc>
        <w:tc>
          <w:tcPr>
            <w:tcW w:w="5369" w:type="dxa"/>
            <w:tcBorders>
              <w:top w:val="single" w:sz="6" w:space="0" w:color="000000"/>
              <w:left w:val="single" w:sz="6" w:space="0" w:color="000000"/>
              <w:bottom w:val="single" w:sz="6" w:space="0" w:color="000000"/>
            </w:tcBorders>
          </w:tcPr>
          <w:p>
            <w:pPr>
              <w:pStyle w:val="TableParagraph"/>
              <w:spacing w:before="44"/>
              <w:ind w:left="43" w:right="9"/>
              <w:rPr>
                <w:rFonts w:ascii="宋体" w:eastAsia="宋体" w:hint="eastAsia"/>
                <w:sz w:val="21"/>
              </w:rPr>
            </w:pPr>
            <w:r>
              <w:rPr>
                <w:rFonts w:ascii="宋体" w:eastAsia="宋体" w:hint="eastAsia"/>
                <w:sz w:val="21"/>
              </w:rPr>
              <w:t>包括 </w:t>
            </w:r>
            <w:r>
              <w:rPr>
                <w:sz w:val="21"/>
              </w:rPr>
              <w:t>PAM</w:t>
            </w:r>
            <w:r>
              <w:rPr>
                <w:position w:val="7"/>
                <w:sz w:val="14"/>
              </w:rPr>
              <w:t>-</w:t>
            </w:r>
            <w:r>
              <w:rPr>
                <w:rFonts w:ascii="宋体" w:eastAsia="宋体" w:hint="eastAsia"/>
                <w:sz w:val="21"/>
              </w:rPr>
              <w:t>和 </w:t>
            </w:r>
            <w:r>
              <w:rPr>
                <w:sz w:val="21"/>
              </w:rPr>
              <w:t>PAM</w:t>
            </w:r>
            <w:r>
              <w:rPr>
                <w:position w:val="7"/>
                <w:sz w:val="14"/>
              </w:rPr>
              <w:t>+</w:t>
            </w:r>
            <w:r>
              <w:rPr>
                <w:rFonts w:ascii="宋体" w:eastAsia="宋体" w:hint="eastAsia"/>
                <w:sz w:val="21"/>
              </w:rPr>
              <w:t>，占比约 </w:t>
            </w:r>
            <w:r>
              <w:rPr>
                <w:sz w:val="21"/>
              </w:rPr>
              <w:t>7:5</w:t>
            </w:r>
            <w:r>
              <w:rPr>
                <w:rFonts w:ascii="宋体" w:eastAsia="宋体" w:hint="eastAsia"/>
                <w:sz w:val="21"/>
              </w:rPr>
              <w:t>，用于污水处理</w:t>
            </w:r>
          </w:p>
        </w:tc>
      </w:tr>
      <w:tr>
        <w:trPr>
          <w:trHeight w:val="359" w:hRule="atLeast"/>
        </w:trPr>
        <w:tc>
          <w:tcPr>
            <w:tcW w:w="526"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6</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3"/>
              <w:rPr>
                <w:rFonts w:ascii="宋体" w:eastAsia="宋体" w:hint="eastAsia"/>
                <w:sz w:val="21"/>
              </w:rPr>
            </w:pPr>
            <w:r>
              <w:rPr>
                <w:sz w:val="21"/>
              </w:rPr>
              <w:t>PAC</w:t>
            </w:r>
            <w:r>
              <w:rPr>
                <w:rFonts w:ascii="宋体" w:eastAsia="宋体" w:hint="eastAsia"/>
                <w:sz w:val="21"/>
              </w:rPr>
              <w:t>（聚合氯化铝）</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67" w:right="44"/>
              <w:rPr>
                <w:sz w:val="21"/>
              </w:rPr>
            </w:pPr>
            <w:r>
              <w:rPr>
                <w:sz w:val="21"/>
              </w:rPr>
              <w:t>110</w:t>
            </w:r>
          </w:p>
        </w:tc>
        <w:tc>
          <w:tcPr>
            <w:tcW w:w="5369" w:type="dxa"/>
            <w:tcBorders>
              <w:top w:val="single" w:sz="6" w:space="0" w:color="000000"/>
              <w:left w:val="single" w:sz="6" w:space="0" w:color="000000"/>
              <w:bottom w:val="single" w:sz="6" w:space="0" w:color="000000"/>
            </w:tcBorders>
          </w:tcPr>
          <w:p>
            <w:pPr>
              <w:pStyle w:val="TableParagraph"/>
              <w:spacing w:before="44"/>
              <w:ind w:left="43" w:right="12"/>
              <w:rPr>
                <w:rFonts w:ascii="宋体" w:eastAsia="宋体" w:hint="eastAsia"/>
                <w:sz w:val="21"/>
              </w:rPr>
            </w:pPr>
            <w:r>
              <w:rPr>
                <w:rFonts w:ascii="宋体" w:eastAsia="宋体" w:hint="eastAsia"/>
                <w:sz w:val="21"/>
              </w:rPr>
              <w:t>用于污水处理</w:t>
            </w:r>
          </w:p>
        </w:tc>
      </w:tr>
      <w:tr>
        <w:trPr>
          <w:trHeight w:val="357" w:hRule="atLeast"/>
        </w:trPr>
        <w:tc>
          <w:tcPr>
            <w:tcW w:w="526"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7</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3"/>
              <w:rPr>
                <w:rFonts w:ascii="宋体" w:eastAsia="宋体" w:hint="eastAsia"/>
                <w:sz w:val="21"/>
              </w:rPr>
            </w:pPr>
            <w:r>
              <w:rPr>
                <w:sz w:val="21"/>
              </w:rPr>
              <w:t>PFS</w:t>
            </w:r>
            <w:r>
              <w:rPr>
                <w:rFonts w:ascii="宋体" w:eastAsia="宋体" w:hint="eastAsia"/>
                <w:sz w:val="21"/>
              </w:rPr>
              <w:t>（聚合硫酸铁）</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67" w:right="41"/>
              <w:rPr>
                <w:sz w:val="21"/>
              </w:rPr>
            </w:pPr>
            <w:r>
              <w:rPr>
                <w:sz w:val="21"/>
              </w:rPr>
              <w:t>182</w:t>
            </w:r>
          </w:p>
        </w:tc>
        <w:tc>
          <w:tcPr>
            <w:tcW w:w="5369" w:type="dxa"/>
            <w:tcBorders>
              <w:top w:val="single" w:sz="6" w:space="0" w:color="000000"/>
              <w:left w:val="single" w:sz="6" w:space="0" w:color="000000"/>
              <w:bottom w:val="single" w:sz="6" w:space="0" w:color="000000"/>
            </w:tcBorders>
          </w:tcPr>
          <w:p>
            <w:pPr>
              <w:pStyle w:val="TableParagraph"/>
              <w:spacing w:before="44"/>
              <w:ind w:left="43" w:right="12"/>
              <w:rPr>
                <w:rFonts w:ascii="宋体" w:eastAsia="宋体" w:hint="eastAsia"/>
                <w:sz w:val="21"/>
              </w:rPr>
            </w:pPr>
            <w:r>
              <w:rPr>
                <w:rFonts w:ascii="宋体" w:eastAsia="宋体" w:hint="eastAsia"/>
                <w:sz w:val="21"/>
              </w:rPr>
              <w:t>用于污水处理</w:t>
            </w:r>
          </w:p>
        </w:tc>
      </w:tr>
      <w:tr>
        <w:trPr>
          <w:trHeight w:val="359" w:hRule="atLeast"/>
        </w:trPr>
        <w:tc>
          <w:tcPr>
            <w:tcW w:w="526" w:type="dxa"/>
            <w:tcBorders>
              <w:top w:val="single" w:sz="6" w:space="0" w:color="000000"/>
              <w:bottom w:val="single" w:sz="6" w:space="0" w:color="000000"/>
              <w:right w:val="single" w:sz="6" w:space="0" w:color="000000"/>
            </w:tcBorders>
          </w:tcPr>
          <w:p>
            <w:pPr>
              <w:pStyle w:val="TableParagraph"/>
              <w:spacing w:before="60"/>
              <w:ind w:left="18"/>
              <w:rPr>
                <w:sz w:val="21"/>
              </w:rPr>
            </w:pPr>
            <w:r>
              <w:rPr>
                <w:w w:val="100"/>
                <w:sz w:val="21"/>
              </w:rPr>
              <w:t>8</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6"/>
              <w:ind w:left="90" w:right="66"/>
              <w:rPr>
                <w:rFonts w:ascii="宋体" w:eastAsia="宋体" w:hint="eastAsia"/>
                <w:sz w:val="21"/>
              </w:rPr>
            </w:pPr>
            <w:r>
              <w:rPr>
                <w:rFonts w:ascii="宋体" w:eastAsia="宋体" w:hint="eastAsia"/>
                <w:sz w:val="21"/>
              </w:rPr>
              <w:t>氢氧化钠</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spacing w:before="60"/>
              <w:ind w:left="65" w:right="44"/>
              <w:rPr>
                <w:sz w:val="21"/>
              </w:rPr>
            </w:pPr>
            <w:r>
              <w:rPr>
                <w:sz w:val="21"/>
              </w:rPr>
              <w:t>22</w:t>
            </w:r>
          </w:p>
        </w:tc>
        <w:tc>
          <w:tcPr>
            <w:tcW w:w="5369" w:type="dxa"/>
            <w:tcBorders>
              <w:top w:val="single" w:sz="6" w:space="0" w:color="000000"/>
              <w:left w:val="single" w:sz="6" w:space="0" w:color="000000"/>
              <w:bottom w:val="single" w:sz="6" w:space="0" w:color="000000"/>
            </w:tcBorders>
          </w:tcPr>
          <w:p>
            <w:pPr>
              <w:pStyle w:val="TableParagraph"/>
              <w:spacing w:before="46"/>
              <w:ind w:left="41" w:right="12"/>
              <w:rPr>
                <w:rFonts w:ascii="宋体" w:eastAsia="宋体" w:hint="eastAsia"/>
                <w:sz w:val="21"/>
              </w:rPr>
            </w:pPr>
            <w:r>
              <w:rPr>
                <w:rFonts w:ascii="宋体" w:eastAsia="宋体" w:hint="eastAsia"/>
                <w:sz w:val="21"/>
              </w:rPr>
              <w:t>用于污水处理及其除臭系统</w:t>
            </w:r>
          </w:p>
        </w:tc>
      </w:tr>
      <w:tr>
        <w:trPr>
          <w:trHeight w:val="359" w:hRule="atLeast"/>
        </w:trPr>
        <w:tc>
          <w:tcPr>
            <w:tcW w:w="526"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9</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6"/>
              <w:rPr>
                <w:rFonts w:ascii="宋体" w:eastAsia="宋体" w:hint="eastAsia"/>
                <w:sz w:val="21"/>
              </w:rPr>
            </w:pPr>
            <w:r>
              <w:rPr>
                <w:rFonts w:ascii="宋体" w:eastAsia="宋体" w:hint="eastAsia"/>
                <w:sz w:val="21"/>
              </w:rPr>
              <w:t>次氯酸钠</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67" w:right="41"/>
              <w:rPr>
                <w:sz w:val="21"/>
              </w:rPr>
            </w:pPr>
            <w:r>
              <w:rPr>
                <w:sz w:val="21"/>
              </w:rPr>
              <w:t>3.6</w:t>
            </w:r>
          </w:p>
        </w:tc>
        <w:tc>
          <w:tcPr>
            <w:tcW w:w="5369" w:type="dxa"/>
            <w:tcBorders>
              <w:top w:val="single" w:sz="6" w:space="0" w:color="000000"/>
              <w:left w:val="single" w:sz="6" w:space="0" w:color="000000"/>
              <w:bottom w:val="single" w:sz="6" w:space="0" w:color="000000"/>
            </w:tcBorders>
          </w:tcPr>
          <w:p>
            <w:pPr>
              <w:pStyle w:val="TableParagraph"/>
              <w:spacing w:before="44"/>
              <w:ind w:left="43" w:right="10"/>
              <w:rPr>
                <w:rFonts w:ascii="宋体" w:eastAsia="宋体" w:hint="eastAsia"/>
                <w:sz w:val="21"/>
              </w:rPr>
            </w:pPr>
            <w:r>
              <w:rPr>
                <w:rFonts w:ascii="宋体" w:eastAsia="宋体" w:hint="eastAsia"/>
                <w:sz w:val="21"/>
              </w:rPr>
              <w:t>用于污水站除臭系统</w:t>
            </w:r>
          </w:p>
        </w:tc>
      </w:tr>
      <w:tr>
        <w:trPr>
          <w:trHeight w:val="359" w:hRule="atLeast"/>
        </w:trPr>
        <w:tc>
          <w:tcPr>
            <w:tcW w:w="526" w:type="dxa"/>
            <w:tcBorders>
              <w:top w:val="single" w:sz="6" w:space="0" w:color="000000"/>
              <w:bottom w:val="single" w:sz="6" w:space="0" w:color="000000"/>
              <w:right w:val="single" w:sz="6" w:space="0" w:color="000000"/>
            </w:tcBorders>
          </w:tcPr>
          <w:p>
            <w:pPr>
              <w:pStyle w:val="TableParagraph"/>
              <w:ind w:left="29" w:right="11"/>
              <w:rPr>
                <w:sz w:val="21"/>
              </w:rPr>
            </w:pPr>
            <w:r>
              <w:rPr>
                <w:sz w:val="21"/>
              </w:rPr>
              <w:t>10</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6"/>
              <w:rPr>
                <w:rFonts w:ascii="宋体" w:eastAsia="宋体" w:hint="eastAsia"/>
                <w:sz w:val="21"/>
              </w:rPr>
            </w:pPr>
            <w:r>
              <w:rPr>
                <w:rFonts w:ascii="宋体" w:eastAsia="宋体" w:hint="eastAsia"/>
                <w:sz w:val="21"/>
              </w:rPr>
              <w:t>无害化处置添加剂</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67" w:right="41"/>
              <w:rPr>
                <w:sz w:val="21"/>
              </w:rPr>
            </w:pPr>
            <w:r>
              <w:rPr>
                <w:sz w:val="21"/>
              </w:rPr>
              <w:t>180</w:t>
            </w:r>
          </w:p>
        </w:tc>
        <w:tc>
          <w:tcPr>
            <w:tcW w:w="5369" w:type="dxa"/>
            <w:tcBorders>
              <w:top w:val="single" w:sz="6" w:space="0" w:color="000000"/>
              <w:left w:val="single" w:sz="6" w:space="0" w:color="000000"/>
              <w:bottom w:val="single" w:sz="6" w:space="0" w:color="000000"/>
            </w:tcBorders>
          </w:tcPr>
          <w:p>
            <w:pPr>
              <w:pStyle w:val="TableParagraph"/>
              <w:spacing w:before="44"/>
              <w:ind w:left="43" w:right="12"/>
              <w:rPr>
                <w:rFonts w:ascii="宋体" w:eastAsia="宋体" w:hint="eastAsia"/>
                <w:sz w:val="21"/>
              </w:rPr>
            </w:pPr>
            <w:r>
              <w:rPr>
                <w:rFonts w:ascii="宋体" w:eastAsia="宋体" w:hint="eastAsia"/>
                <w:sz w:val="21"/>
              </w:rPr>
              <w:t>主要为垫料（谷糠、锯末、麸皮、秸秆）及少量益生菌</w:t>
            </w:r>
          </w:p>
        </w:tc>
      </w:tr>
      <w:tr>
        <w:trPr>
          <w:trHeight w:val="357" w:hRule="atLeast"/>
        </w:trPr>
        <w:tc>
          <w:tcPr>
            <w:tcW w:w="526" w:type="dxa"/>
            <w:tcBorders>
              <w:top w:val="single" w:sz="6" w:space="0" w:color="000000"/>
              <w:bottom w:val="single" w:sz="6" w:space="0" w:color="000000"/>
              <w:right w:val="single" w:sz="6" w:space="0" w:color="000000"/>
            </w:tcBorders>
          </w:tcPr>
          <w:p>
            <w:pPr>
              <w:pStyle w:val="TableParagraph"/>
              <w:ind w:left="24" w:right="11"/>
              <w:rPr>
                <w:sz w:val="21"/>
              </w:rPr>
            </w:pPr>
            <w:r>
              <w:rPr>
                <w:sz w:val="21"/>
              </w:rPr>
              <w:t>11</w:t>
            </w:r>
          </w:p>
        </w:tc>
        <w:tc>
          <w:tcPr>
            <w:tcW w:w="2137" w:type="dxa"/>
            <w:tcBorders>
              <w:top w:val="single" w:sz="6" w:space="0" w:color="000000"/>
              <w:left w:val="single" w:sz="6" w:space="0" w:color="000000"/>
              <w:bottom w:val="single" w:sz="6" w:space="0" w:color="000000"/>
              <w:right w:val="single" w:sz="6" w:space="0" w:color="000000"/>
            </w:tcBorders>
          </w:tcPr>
          <w:p>
            <w:pPr>
              <w:pStyle w:val="TableParagraph"/>
              <w:spacing w:before="44"/>
              <w:ind w:left="90" w:right="64"/>
              <w:rPr>
                <w:rFonts w:ascii="宋体" w:eastAsia="宋体" w:hint="eastAsia"/>
                <w:sz w:val="21"/>
              </w:rPr>
            </w:pPr>
            <w:r>
              <w:rPr>
                <w:rFonts w:ascii="宋体" w:eastAsia="宋体" w:hint="eastAsia"/>
                <w:sz w:val="21"/>
              </w:rPr>
              <w:t>导热油</w:t>
            </w:r>
          </w:p>
        </w:tc>
        <w:tc>
          <w:tcPr>
            <w:tcW w:w="1244" w:type="dxa"/>
            <w:tcBorders>
              <w:top w:val="single" w:sz="6" w:space="0" w:color="000000"/>
              <w:left w:val="single" w:sz="6" w:space="0" w:color="000000"/>
              <w:bottom w:val="single" w:sz="6" w:space="0" w:color="000000"/>
              <w:right w:val="single" w:sz="6" w:space="0" w:color="000000"/>
            </w:tcBorders>
          </w:tcPr>
          <w:p>
            <w:pPr>
              <w:pStyle w:val="TableParagraph"/>
              <w:ind w:left="67" w:right="41"/>
              <w:rPr>
                <w:sz w:val="21"/>
              </w:rPr>
            </w:pPr>
            <w:r>
              <w:rPr>
                <w:sz w:val="21"/>
              </w:rPr>
              <w:t>0.15</w:t>
            </w:r>
          </w:p>
        </w:tc>
        <w:tc>
          <w:tcPr>
            <w:tcW w:w="5369" w:type="dxa"/>
            <w:tcBorders>
              <w:top w:val="single" w:sz="6" w:space="0" w:color="000000"/>
              <w:left w:val="single" w:sz="6" w:space="0" w:color="000000"/>
              <w:bottom w:val="single" w:sz="6" w:space="0" w:color="000000"/>
            </w:tcBorders>
          </w:tcPr>
          <w:p>
            <w:pPr>
              <w:pStyle w:val="TableParagraph"/>
              <w:spacing w:before="44"/>
              <w:ind w:left="43" w:right="10"/>
              <w:rPr>
                <w:rFonts w:ascii="宋体" w:eastAsia="宋体" w:hint="eastAsia"/>
                <w:sz w:val="21"/>
              </w:rPr>
            </w:pPr>
            <w:r>
              <w:rPr>
                <w:rFonts w:ascii="宋体" w:eastAsia="宋体" w:hint="eastAsia"/>
                <w:sz w:val="21"/>
              </w:rPr>
              <w:t>病死猪无害化处置</w:t>
            </w:r>
          </w:p>
        </w:tc>
      </w:tr>
      <w:tr>
        <w:trPr>
          <w:trHeight w:val="716" w:hRule="atLeast"/>
        </w:trPr>
        <w:tc>
          <w:tcPr>
            <w:tcW w:w="526" w:type="dxa"/>
            <w:tcBorders>
              <w:top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9" w:right="11"/>
              <w:rPr>
                <w:sz w:val="21"/>
              </w:rPr>
            </w:pPr>
            <w:r>
              <w:rPr>
                <w:sz w:val="21"/>
              </w:rPr>
              <w:t>12</w:t>
            </w:r>
          </w:p>
        </w:tc>
        <w:tc>
          <w:tcPr>
            <w:tcW w:w="2137" w:type="dxa"/>
            <w:tcBorders>
              <w:top w:val="single" w:sz="6" w:space="0" w:color="000000"/>
              <w:left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90" w:right="66"/>
              <w:rPr>
                <w:rFonts w:ascii="宋体" w:eastAsia="宋体" w:hint="eastAsia"/>
                <w:sz w:val="21"/>
              </w:rPr>
            </w:pPr>
            <w:r>
              <w:rPr>
                <w:rFonts w:ascii="宋体" w:eastAsia="宋体" w:hint="eastAsia"/>
                <w:sz w:val="21"/>
              </w:rPr>
              <w:t>生物除臭剂</w:t>
            </w:r>
          </w:p>
        </w:tc>
        <w:tc>
          <w:tcPr>
            <w:tcW w:w="1244" w:type="dxa"/>
            <w:tcBorders>
              <w:top w:val="single" w:sz="6" w:space="0" w:color="000000"/>
              <w:left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67" w:right="41"/>
              <w:rPr>
                <w:rFonts w:ascii="宋体" w:eastAsia="宋体" w:hint="eastAsia"/>
                <w:sz w:val="21"/>
              </w:rPr>
            </w:pPr>
            <w:r>
              <w:rPr>
                <w:rFonts w:ascii="宋体" w:eastAsia="宋体" w:hint="eastAsia"/>
                <w:sz w:val="21"/>
              </w:rPr>
              <w:t>若干</w:t>
            </w:r>
          </w:p>
        </w:tc>
        <w:tc>
          <w:tcPr>
            <w:tcW w:w="5369" w:type="dxa"/>
            <w:tcBorders>
              <w:top w:val="single" w:sz="6" w:space="0" w:color="000000"/>
              <w:left w:val="single" w:sz="6" w:space="0" w:color="000000"/>
            </w:tcBorders>
          </w:tcPr>
          <w:p>
            <w:pPr>
              <w:pStyle w:val="TableParagraph"/>
              <w:spacing w:before="46"/>
              <w:ind w:left="43" w:right="12"/>
              <w:rPr>
                <w:rFonts w:ascii="宋体" w:eastAsia="宋体" w:hint="eastAsia"/>
                <w:sz w:val="21"/>
              </w:rPr>
            </w:pPr>
            <w:r>
              <w:rPr>
                <w:rFonts w:ascii="宋体" w:eastAsia="宋体" w:hint="eastAsia"/>
                <w:sz w:val="21"/>
              </w:rPr>
              <w:t>主要成分为微生物菌剂或植物提取物，用于养殖区、集粪</w:t>
            </w:r>
          </w:p>
          <w:p>
            <w:pPr>
              <w:pStyle w:val="TableParagraph"/>
              <w:spacing w:before="89"/>
              <w:ind w:left="43" w:right="9"/>
              <w:rPr>
                <w:rFonts w:ascii="宋体" w:eastAsia="宋体" w:hint="eastAsia"/>
                <w:sz w:val="21"/>
              </w:rPr>
            </w:pPr>
            <w:r>
              <w:rPr>
                <w:rFonts w:ascii="宋体" w:eastAsia="宋体" w:hint="eastAsia"/>
                <w:sz w:val="21"/>
              </w:rPr>
              <w:t>间、污水站等区域的喷洒除臭</w:t>
            </w:r>
          </w:p>
        </w:tc>
      </w:tr>
    </w:tbl>
    <w:p>
      <w:pPr>
        <w:pStyle w:val="ListParagraph"/>
        <w:numPr>
          <w:ilvl w:val="2"/>
          <w:numId w:val="33"/>
        </w:numPr>
        <w:tabs>
          <w:tab w:pos="838" w:val="left" w:leader="none"/>
        </w:tabs>
        <w:spacing w:line="240" w:lineRule="auto" w:before="107" w:after="0"/>
        <w:ind w:left="837" w:right="0" w:hanging="601"/>
        <w:jc w:val="left"/>
        <w:rPr>
          <w:b/>
          <w:sz w:val="24"/>
        </w:rPr>
      </w:pPr>
      <w:bookmarkStart w:name="_bookmark42" w:id="81"/>
      <w:bookmarkEnd w:id="81"/>
      <w:r>
        <w:rPr/>
      </w:r>
      <w:bookmarkStart w:name="_bookmark42" w:id="82"/>
      <w:bookmarkEnd w:id="82"/>
      <w:r>
        <w:rPr>
          <w:b/>
          <w:sz w:val="24"/>
        </w:rPr>
        <w:t>设备配置情况</w:t>
      </w:r>
    </w:p>
    <w:p>
      <w:pPr>
        <w:spacing w:before="165"/>
        <w:ind w:left="719" w:right="0" w:firstLine="0"/>
        <w:jc w:val="left"/>
        <w:rPr>
          <w:b/>
          <w:sz w:val="24"/>
        </w:rPr>
      </w:pPr>
      <w:r>
        <w:rPr>
          <w:rFonts w:ascii="Times New Roman" w:eastAsia="Times New Roman"/>
          <w:b/>
          <w:sz w:val="24"/>
        </w:rPr>
        <w:t>1</w:t>
      </w:r>
      <w:r>
        <w:rPr>
          <w:b/>
          <w:sz w:val="24"/>
        </w:rPr>
        <w:t>、生产设备配置</w:t>
      </w:r>
    </w:p>
    <w:p>
      <w:pPr>
        <w:pStyle w:val="BodyText"/>
        <w:spacing w:before="173"/>
        <w:ind w:left="717"/>
      </w:pPr>
      <w:r>
        <w:rPr/>
        <w:t>根据建设单位提供的资料，本项目设备配置清单见表 </w:t>
      </w:r>
      <w:r>
        <w:rPr>
          <w:rFonts w:ascii="Times New Roman" w:eastAsia="Times New Roman"/>
          <w:position w:val="1"/>
        </w:rPr>
        <w:t>3.1-4</w:t>
      </w:r>
      <w:r>
        <w:rPr/>
        <w:t>。</w:t>
      </w:r>
    </w:p>
    <w:p>
      <w:pPr>
        <w:pStyle w:val="Heading3"/>
        <w:spacing w:before="168"/>
        <w:ind w:left="218" w:right="236"/>
        <w:jc w:val="center"/>
      </w:pPr>
      <w:r>
        <w:rPr/>
        <w:t>表 </w:t>
      </w:r>
      <w:r>
        <w:rPr>
          <w:rFonts w:ascii="Times New Roman" w:eastAsia="Times New Roman"/>
        </w:rPr>
        <w:t>3.1-4  </w:t>
      </w:r>
      <w:r>
        <w:rPr/>
        <w:t>本项目设备配置清单一览表</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34"/>
        <w:gridCol w:w="2736"/>
        <w:gridCol w:w="1725"/>
        <w:gridCol w:w="1543"/>
        <w:gridCol w:w="2390"/>
      </w:tblGrid>
      <w:tr>
        <w:trPr>
          <w:trHeight w:val="359" w:hRule="atLeast"/>
        </w:trPr>
        <w:tc>
          <w:tcPr>
            <w:tcW w:w="1034" w:type="dxa"/>
            <w:tcBorders>
              <w:bottom w:val="single" w:sz="6" w:space="0" w:color="000000"/>
              <w:right w:val="single" w:sz="6" w:space="0" w:color="000000"/>
            </w:tcBorders>
          </w:tcPr>
          <w:p>
            <w:pPr>
              <w:pStyle w:val="TableParagraph"/>
              <w:spacing w:before="48"/>
              <w:ind w:left="284" w:right="265"/>
              <w:rPr>
                <w:rFonts w:ascii="宋体" w:eastAsia="宋体" w:hint="eastAsia"/>
                <w:b/>
                <w:sz w:val="21"/>
              </w:rPr>
            </w:pPr>
            <w:r>
              <w:rPr>
                <w:rFonts w:ascii="宋体" w:eastAsia="宋体" w:hint="eastAsia"/>
                <w:b/>
                <w:sz w:val="21"/>
              </w:rPr>
              <w:t>序号</w:t>
            </w:r>
          </w:p>
        </w:tc>
        <w:tc>
          <w:tcPr>
            <w:tcW w:w="2736" w:type="dxa"/>
            <w:tcBorders>
              <w:left w:val="single" w:sz="6" w:space="0" w:color="000000"/>
              <w:bottom w:val="single" w:sz="6" w:space="0" w:color="000000"/>
              <w:right w:val="single" w:sz="6" w:space="0" w:color="000000"/>
            </w:tcBorders>
          </w:tcPr>
          <w:p>
            <w:pPr>
              <w:pStyle w:val="TableParagraph"/>
              <w:spacing w:before="48"/>
              <w:ind w:left="620" w:right="591"/>
              <w:rPr>
                <w:rFonts w:ascii="宋体" w:eastAsia="宋体" w:hint="eastAsia"/>
                <w:b/>
                <w:sz w:val="21"/>
              </w:rPr>
            </w:pPr>
            <w:r>
              <w:rPr>
                <w:rFonts w:ascii="宋体" w:eastAsia="宋体" w:hint="eastAsia"/>
                <w:b/>
                <w:sz w:val="21"/>
              </w:rPr>
              <w:t>设备名称</w:t>
            </w:r>
          </w:p>
        </w:tc>
        <w:tc>
          <w:tcPr>
            <w:tcW w:w="1725" w:type="dxa"/>
            <w:tcBorders>
              <w:left w:val="single" w:sz="6" w:space="0" w:color="000000"/>
              <w:bottom w:val="single" w:sz="6" w:space="0" w:color="000000"/>
              <w:right w:val="single" w:sz="6" w:space="0" w:color="000000"/>
            </w:tcBorders>
          </w:tcPr>
          <w:p>
            <w:pPr>
              <w:pStyle w:val="TableParagraph"/>
              <w:spacing w:before="48"/>
              <w:ind w:left="293" w:right="264"/>
              <w:rPr>
                <w:rFonts w:ascii="宋体" w:eastAsia="宋体" w:hint="eastAsia"/>
                <w:b/>
                <w:sz w:val="21"/>
              </w:rPr>
            </w:pPr>
            <w:r>
              <w:rPr>
                <w:rFonts w:ascii="宋体" w:eastAsia="宋体" w:hint="eastAsia"/>
                <w:b/>
                <w:sz w:val="21"/>
              </w:rPr>
              <w:t>规格</w:t>
            </w:r>
          </w:p>
        </w:tc>
        <w:tc>
          <w:tcPr>
            <w:tcW w:w="1543" w:type="dxa"/>
            <w:tcBorders>
              <w:left w:val="single" w:sz="6" w:space="0" w:color="000000"/>
              <w:bottom w:val="single" w:sz="6" w:space="0" w:color="000000"/>
              <w:right w:val="single" w:sz="6" w:space="0" w:color="000000"/>
            </w:tcBorders>
          </w:tcPr>
          <w:p>
            <w:pPr>
              <w:pStyle w:val="TableParagraph"/>
              <w:spacing w:before="48"/>
              <w:ind w:left="546" w:right="516"/>
              <w:rPr>
                <w:rFonts w:ascii="宋体" w:eastAsia="宋体" w:hint="eastAsia"/>
                <w:b/>
                <w:sz w:val="21"/>
              </w:rPr>
            </w:pPr>
            <w:r>
              <w:rPr>
                <w:rFonts w:ascii="宋体" w:eastAsia="宋体" w:hint="eastAsia"/>
                <w:b/>
                <w:sz w:val="21"/>
              </w:rPr>
              <w:t>数量</w:t>
            </w:r>
          </w:p>
        </w:tc>
        <w:tc>
          <w:tcPr>
            <w:tcW w:w="2390" w:type="dxa"/>
            <w:tcBorders>
              <w:left w:val="single" w:sz="6" w:space="0" w:color="000000"/>
              <w:bottom w:val="single" w:sz="6" w:space="0" w:color="000000"/>
            </w:tcBorders>
          </w:tcPr>
          <w:p>
            <w:pPr>
              <w:pStyle w:val="TableParagraph"/>
              <w:spacing w:before="48"/>
              <w:ind w:left="343" w:right="301"/>
              <w:rPr>
                <w:rFonts w:ascii="宋体" w:eastAsia="宋体" w:hint="eastAsia"/>
                <w:b/>
                <w:sz w:val="21"/>
              </w:rPr>
            </w:pPr>
            <w:r>
              <w:rPr>
                <w:rFonts w:ascii="宋体" w:eastAsia="宋体" w:hint="eastAsia"/>
                <w:b/>
                <w:sz w:val="21"/>
              </w:rPr>
              <w:t>备注</w:t>
            </w: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1</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7"/>
              <w:ind w:left="620" w:right="590"/>
              <w:rPr>
                <w:rFonts w:ascii="宋体" w:eastAsia="宋体" w:hint="eastAsia"/>
                <w:sz w:val="21"/>
              </w:rPr>
            </w:pPr>
            <w:r>
              <w:rPr>
                <w:rFonts w:ascii="宋体" w:eastAsia="宋体" w:hint="eastAsia"/>
                <w:sz w:val="21"/>
              </w:rPr>
              <w:t>定位栏</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297" w:right="263"/>
              <w:rPr>
                <w:sz w:val="21"/>
              </w:rPr>
            </w:pPr>
            <w:r>
              <w:rPr>
                <w:sz w:val="21"/>
              </w:rPr>
              <w:t>65*220</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7"/>
              <w:ind w:right="403"/>
              <w:jc w:val="right"/>
              <w:rPr>
                <w:rFonts w:ascii="宋体" w:eastAsia="宋体" w:hint="eastAsia"/>
                <w:sz w:val="21"/>
              </w:rPr>
            </w:pPr>
            <w:r>
              <w:rPr>
                <w:position w:val="1"/>
                <w:sz w:val="21"/>
              </w:rPr>
              <w:t>3200 </w:t>
            </w:r>
            <w:r>
              <w:rPr>
                <w:rFonts w:ascii="宋体" w:eastAsia="宋体" w:hint="eastAsia"/>
                <w:sz w:val="21"/>
              </w:rPr>
              <w:t>个</w:t>
            </w:r>
          </w:p>
        </w:tc>
        <w:tc>
          <w:tcPr>
            <w:tcW w:w="2390" w:type="dxa"/>
            <w:tcBorders>
              <w:top w:val="single" w:sz="6" w:space="0" w:color="000000"/>
              <w:left w:val="single" w:sz="6" w:space="0" w:color="000000"/>
              <w:bottom w:val="single" w:sz="6" w:space="0" w:color="000000"/>
            </w:tcBorders>
          </w:tcPr>
          <w:p>
            <w:pPr>
              <w:pStyle w:val="TableParagraph"/>
              <w:spacing w:before="47"/>
              <w:ind w:left="343" w:right="301"/>
              <w:rPr>
                <w:rFonts w:ascii="宋体" w:eastAsia="宋体" w:hint="eastAsia"/>
                <w:sz w:val="21"/>
              </w:rPr>
            </w:pPr>
            <w:r>
              <w:rPr>
                <w:rFonts w:ascii="宋体" w:eastAsia="宋体" w:hint="eastAsia"/>
                <w:sz w:val="21"/>
              </w:rPr>
              <w:t>配怀舍</w:t>
            </w: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2</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90"/>
              <w:rPr>
                <w:rFonts w:ascii="宋体" w:eastAsia="宋体" w:hint="eastAsia"/>
                <w:sz w:val="21"/>
              </w:rPr>
            </w:pPr>
            <w:r>
              <w:rPr>
                <w:rFonts w:ascii="宋体" w:eastAsia="宋体" w:hint="eastAsia"/>
                <w:sz w:val="21"/>
              </w:rPr>
              <w:t>产栏</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295" w:right="264"/>
              <w:rPr>
                <w:sz w:val="21"/>
              </w:rPr>
            </w:pPr>
            <w:r>
              <w:rPr>
                <w:sz w:val="21"/>
              </w:rPr>
              <w:t>180*240</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right="453"/>
              <w:jc w:val="right"/>
              <w:rPr>
                <w:rFonts w:ascii="宋体" w:eastAsia="宋体" w:hint="eastAsia"/>
                <w:sz w:val="21"/>
              </w:rPr>
            </w:pPr>
            <w:r>
              <w:rPr>
                <w:position w:val="1"/>
                <w:sz w:val="21"/>
              </w:rPr>
              <w:t>780 </w:t>
            </w:r>
            <w:r>
              <w:rPr>
                <w:rFonts w:ascii="宋体" w:eastAsia="宋体" w:hint="eastAsia"/>
                <w:sz w:val="21"/>
              </w:rPr>
              <w:t>个</w:t>
            </w:r>
          </w:p>
        </w:tc>
        <w:tc>
          <w:tcPr>
            <w:tcW w:w="2390" w:type="dxa"/>
            <w:tcBorders>
              <w:top w:val="single" w:sz="6" w:space="0" w:color="000000"/>
              <w:left w:val="single" w:sz="6" w:space="0" w:color="000000"/>
              <w:bottom w:val="single" w:sz="6" w:space="0" w:color="000000"/>
            </w:tcBorders>
          </w:tcPr>
          <w:p>
            <w:pPr>
              <w:pStyle w:val="TableParagraph"/>
              <w:spacing w:before="46"/>
              <w:ind w:left="343" w:right="301"/>
              <w:rPr>
                <w:rFonts w:ascii="宋体" w:eastAsia="宋体" w:hint="eastAsia"/>
                <w:sz w:val="21"/>
              </w:rPr>
            </w:pPr>
            <w:r>
              <w:rPr>
                <w:rFonts w:ascii="宋体" w:eastAsia="宋体" w:hint="eastAsia"/>
                <w:sz w:val="21"/>
              </w:rPr>
              <w:t>产房</w:t>
            </w:r>
          </w:p>
        </w:tc>
      </w:tr>
      <w:tr>
        <w:trPr>
          <w:trHeight w:val="356" w:hRule="atLeast"/>
        </w:trPr>
        <w:tc>
          <w:tcPr>
            <w:tcW w:w="103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3</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90"/>
              <w:rPr>
                <w:rFonts w:ascii="宋体" w:eastAsia="宋体" w:hint="eastAsia"/>
                <w:sz w:val="21"/>
              </w:rPr>
            </w:pPr>
            <w:r>
              <w:rPr>
                <w:rFonts w:ascii="宋体" w:eastAsia="宋体" w:hint="eastAsia"/>
                <w:sz w:val="21"/>
              </w:rPr>
              <w:t>保温灯</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296" w:right="264"/>
              <w:rPr>
                <w:sz w:val="21"/>
              </w:rPr>
            </w:pPr>
            <w:r>
              <w:rPr>
                <w:sz w:val="21"/>
              </w:rPr>
              <w:t>200W</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right="377"/>
              <w:jc w:val="right"/>
              <w:rPr>
                <w:rFonts w:ascii="宋体" w:eastAsia="宋体" w:hint="eastAsia"/>
                <w:sz w:val="21"/>
              </w:rPr>
            </w:pPr>
            <w:r>
              <w:rPr>
                <w:position w:val="1"/>
                <w:sz w:val="21"/>
              </w:rPr>
              <w:t>1200 </w:t>
            </w:r>
            <w:r>
              <w:rPr>
                <w:rFonts w:ascii="宋体" w:eastAsia="宋体" w:hint="eastAsia"/>
                <w:sz w:val="21"/>
              </w:rPr>
              <w:t>个</w:t>
            </w:r>
          </w:p>
        </w:tc>
        <w:tc>
          <w:tcPr>
            <w:tcW w:w="2390" w:type="dxa"/>
            <w:tcBorders>
              <w:top w:val="single" w:sz="6" w:space="0" w:color="000000"/>
              <w:left w:val="single" w:sz="6" w:space="0" w:color="000000"/>
              <w:bottom w:val="single" w:sz="6" w:space="0" w:color="000000"/>
            </w:tcBorders>
          </w:tcPr>
          <w:p>
            <w:pPr>
              <w:pStyle w:val="TableParagraph"/>
              <w:spacing w:before="46"/>
              <w:ind w:left="343" w:right="301"/>
              <w:rPr>
                <w:rFonts w:ascii="宋体" w:eastAsia="宋体" w:hint="eastAsia"/>
                <w:sz w:val="21"/>
              </w:rPr>
            </w:pPr>
            <w:r>
              <w:rPr>
                <w:rFonts w:ascii="宋体" w:eastAsia="宋体" w:hint="eastAsia"/>
                <w:sz w:val="21"/>
              </w:rPr>
              <w:t>产房</w:t>
            </w: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spacing w:before="60"/>
              <w:ind w:left="19"/>
              <w:rPr>
                <w:sz w:val="21"/>
              </w:rPr>
            </w:pPr>
            <w:r>
              <w:rPr>
                <w:w w:val="100"/>
                <w:sz w:val="21"/>
              </w:rPr>
              <w:t>4</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9"/>
              <w:ind w:left="620" w:right="590"/>
              <w:rPr>
                <w:rFonts w:ascii="宋体" w:eastAsia="宋体" w:hint="eastAsia"/>
                <w:sz w:val="21"/>
              </w:rPr>
            </w:pPr>
            <w:r>
              <w:rPr>
                <w:rFonts w:ascii="宋体" w:eastAsia="宋体" w:hint="eastAsia"/>
                <w:sz w:val="21"/>
              </w:rPr>
              <w:t>饲料塔</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spacing w:before="49"/>
              <w:ind w:left="296" w:right="264"/>
              <w:rPr>
                <w:rFonts w:ascii="宋体" w:eastAsia="宋体" w:hint="eastAsia"/>
                <w:sz w:val="21"/>
              </w:rPr>
            </w:pPr>
            <w:r>
              <w:rPr>
                <w:position w:val="1"/>
                <w:sz w:val="21"/>
              </w:rPr>
              <w:t>11t/</w:t>
            </w:r>
            <w:r>
              <w:rPr>
                <w:rFonts w:ascii="宋体" w:eastAsia="宋体" w:hint="eastAsia"/>
                <w:sz w:val="21"/>
              </w:rPr>
              <w:t>个</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9"/>
              <w:ind w:left="544"/>
              <w:jc w:val="left"/>
              <w:rPr>
                <w:rFonts w:ascii="宋体" w:eastAsia="宋体" w:hint="eastAsia"/>
                <w:sz w:val="21"/>
              </w:rPr>
            </w:pPr>
            <w:r>
              <w:rPr>
                <w:position w:val="1"/>
                <w:sz w:val="21"/>
              </w:rPr>
              <w:t>30 </w:t>
            </w:r>
            <w:r>
              <w:rPr>
                <w:rFonts w:ascii="宋体" w:eastAsia="宋体" w:hint="eastAsia"/>
                <w:sz w:val="21"/>
              </w:rPr>
              <w:t>个</w:t>
            </w:r>
          </w:p>
        </w:tc>
        <w:tc>
          <w:tcPr>
            <w:tcW w:w="2390" w:type="dxa"/>
            <w:tcBorders>
              <w:top w:val="single" w:sz="6" w:space="0" w:color="000000"/>
              <w:left w:val="single" w:sz="6" w:space="0" w:color="000000"/>
              <w:bottom w:val="single" w:sz="6" w:space="0" w:color="000000"/>
            </w:tcBorders>
          </w:tcPr>
          <w:p>
            <w:pPr>
              <w:pStyle w:val="TableParagraph"/>
              <w:spacing w:before="49"/>
              <w:ind w:left="343" w:right="301"/>
              <w:rPr>
                <w:rFonts w:ascii="宋体" w:eastAsia="宋体" w:hint="eastAsia"/>
                <w:sz w:val="21"/>
              </w:rPr>
            </w:pPr>
            <w:r>
              <w:rPr>
                <w:rFonts w:ascii="宋体" w:eastAsia="宋体" w:hint="eastAsia"/>
                <w:sz w:val="21"/>
              </w:rPr>
              <w:t>猪场内</w:t>
            </w: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5</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89"/>
              <w:rPr>
                <w:rFonts w:ascii="宋体" w:eastAsia="宋体" w:hint="eastAsia"/>
                <w:sz w:val="21"/>
              </w:rPr>
            </w:pPr>
            <w:r>
              <w:rPr>
                <w:rFonts w:ascii="宋体" w:eastAsia="宋体" w:hint="eastAsia"/>
                <w:sz w:val="21"/>
              </w:rPr>
              <w:t>专用变压器</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296" w:right="264"/>
              <w:rPr>
                <w:sz w:val="21"/>
              </w:rPr>
            </w:pPr>
            <w:r>
              <w:rPr>
                <w:sz w:val="21"/>
              </w:rPr>
              <w:t>2000KVA</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8" w:right="513"/>
              <w:rPr>
                <w:rFonts w:ascii="宋体" w:eastAsia="宋体" w:hint="eastAsia"/>
                <w:sz w:val="21"/>
              </w:rPr>
            </w:pPr>
            <w:r>
              <w:rPr>
                <w:position w:val="1"/>
                <w:sz w:val="21"/>
              </w:rPr>
              <w:t>2 </w:t>
            </w:r>
            <w:r>
              <w:rPr>
                <w:rFonts w:ascii="宋体" w:eastAsia="宋体" w:hint="eastAsia"/>
                <w:sz w:val="21"/>
              </w:rPr>
              <w:t>台</w:t>
            </w:r>
          </w:p>
        </w:tc>
        <w:tc>
          <w:tcPr>
            <w:tcW w:w="2390" w:type="dxa"/>
            <w:tcBorders>
              <w:top w:val="single" w:sz="6" w:space="0" w:color="000000"/>
              <w:left w:val="single" w:sz="6" w:space="0" w:color="000000"/>
              <w:bottom w:val="single" w:sz="6" w:space="0" w:color="000000"/>
            </w:tcBorders>
          </w:tcPr>
          <w:p>
            <w:pPr>
              <w:pStyle w:val="TableParagraph"/>
              <w:ind w:left="40"/>
              <w:rPr>
                <w:sz w:val="21"/>
              </w:rPr>
            </w:pPr>
            <w:r>
              <w:rPr>
                <w:w w:val="100"/>
                <w:sz w:val="21"/>
              </w:rPr>
              <w:t>-</w:t>
            </w: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6</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89"/>
              <w:rPr>
                <w:rFonts w:ascii="宋体" w:eastAsia="宋体" w:hint="eastAsia"/>
                <w:sz w:val="21"/>
              </w:rPr>
            </w:pPr>
            <w:r>
              <w:rPr>
                <w:rFonts w:ascii="宋体" w:eastAsia="宋体" w:hint="eastAsia"/>
                <w:sz w:val="21"/>
              </w:rPr>
              <w:t>供水水泵</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8" w:right="513"/>
              <w:rPr>
                <w:rFonts w:ascii="宋体" w:eastAsia="宋体" w:hint="eastAsia"/>
                <w:sz w:val="21"/>
              </w:rPr>
            </w:pPr>
            <w:r>
              <w:rPr>
                <w:rFonts w:ascii="宋体" w:eastAsia="宋体" w:hint="eastAsia"/>
                <w:sz w:val="21"/>
              </w:rPr>
              <w:t>若干</w:t>
            </w:r>
          </w:p>
        </w:tc>
        <w:tc>
          <w:tcPr>
            <w:tcW w:w="2390" w:type="dxa"/>
            <w:tcBorders>
              <w:top w:val="single" w:sz="6" w:space="0" w:color="000000"/>
              <w:left w:val="single" w:sz="6" w:space="0" w:color="000000"/>
              <w:bottom w:val="single" w:sz="6" w:space="0" w:color="000000"/>
            </w:tcBorders>
          </w:tcPr>
          <w:p>
            <w:pPr>
              <w:pStyle w:val="TableParagraph"/>
              <w:ind w:left="40"/>
              <w:rPr>
                <w:sz w:val="21"/>
              </w:rPr>
            </w:pPr>
            <w:r>
              <w:rPr>
                <w:w w:val="100"/>
                <w:sz w:val="21"/>
              </w:rPr>
              <w:t>-</w:t>
            </w:r>
          </w:p>
        </w:tc>
      </w:tr>
      <w:tr>
        <w:trPr>
          <w:trHeight w:val="356" w:hRule="atLeast"/>
        </w:trPr>
        <w:tc>
          <w:tcPr>
            <w:tcW w:w="103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7</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91"/>
              <w:rPr>
                <w:rFonts w:ascii="宋体" w:eastAsia="宋体" w:hint="eastAsia"/>
                <w:sz w:val="21"/>
              </w:rPr>
            </w:pPr>
            <w:r>
              <w:rPr>
                <w:rFonts w:ascii="宋体" w:eastAsia="宋体" w:hint="eastAsia"/>
                <w:sz w:val="21"/>
              </w:rPr>
              <w:t>冲洗喷雾消毒机</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4"/>
              <w:jc w:val="left"/>
              <w:rPr>
                <w:rFonts w:ascii="宋体" w:eastAsia="宋体" w:hint="eastAsia"/>
                <w:sz w:val="21"/>
              </w:rPr>
            </w:pPr>
            <w:r>
              <w:rPr>
                <w:position w:val="1"/>
                <w:sz w:val="21"/>
              </w:rPr>
              <w:t>10 </w:t>
            </w:r>
            <w:r>
              <w:rPr>
                <w:rFonts w:ascii="宋体" w:eastAsia="宋体" w:hint="eastAsia"/>
                <w:sz w:val="21"/>
              </w:rPr>
              <w:t>台</w:t>
            </w:r>
          </w:p>
        </w:tc>
        <w:tc>
          <w:tcPr>
            <w:tcW w:w="2390" w:type="dxa"/>
            <w:tcBorders>
              <w:top w:val="single" w:sz="6" w:space="0" w:color="000000"/>
              <w:left w:val="single" w:sz="6" w:space="0" w:color="000000"/>
              <w:bottom w:val="single" w:sz="6" w:space="0" w:color="000000"/>
            </w:tcBorders>
          </w:tcPr>
          <w:p>
            <w:pPr>
              <w:pStyle w:val="TableParagraph"/>
              <w:spacing w:before="46"/>
              <w:ind w:left="345" w:right="301"/>
              <w:rPr>
                <w:rFonts w:ascii="宋体" w:eastAsia="宋体" w:hint="eastAsia"/>
                <w:sz w:val="21"/>
              </w:rPr>
            </w:pPr>
            <w:r>
              <w:rPr>
                <w:rFonts w:ascii="宋体" w:eastAsia="宋体" w:hint="eastAsia"/>
                <w:sz w:val="21"/>
              </w:rPr>
              <w:t>清洁消毒</w:t>
            </w: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spacing w:before="60"/>
              <w:ind w:left="19"/>
              <w:rPr>
                <w:sz w:val="21"/>
              </w:rPr>
            </w:pPr>
            <w:r>
              <w:rPr>
                <w:w w:val="100"/>
                <w:sz w:val="21"/>
              </w:rPr>
              <w:t>8</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9"/>
              <w:ind w:left="620" w:right="589"/>
              <w:rPr>
                <w:rFonts w:ascii="宋体" w:eastAsia="宋体" w:hint="eastAsia"/>
                <w:sz w:val="21"/>
              </w:rPr>
            </w:pPr>
            <w:r>
              <w:rPr>
                <w:rFonts w:ascii="宋体" w:eastAsia="宋体" w:hint="eastAsia"/>
                <w:sz w:val="21"/>
              </w:rPr>
              <w:t>高压冲洗机</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spacing w:before="60"/>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9"/>
              <w:ind w:left="548" w:right="513"/>
              <w:rPr>
                <w:rFonts w:ascii="宋体" w:eastAsia="宋体" w:hint="eastAsia"/>
                <w:sz w:val="21"/>
              </w:rPr>
            </w:pPr>
            <w:r>
              <w:rPr>
                <w:position w:val="1"/>
                <w:sz w:val="21"/>
              </w:rPr>
              <w:t>4 </w:t>
            </w:r>
            <w:r>
              <w:rPr>
                <w:rFonts w:ascii="宋体" w:eastAsia="宋体" w:hint="eastAsia"/>
                <w:sz w:val="21"/>
              </w:rPr>
              <w:t>台</w:t>
            </w:r>
          </w:p>
        </w:tc>
        <w:tc>
          <w:tcPr>
            <w:tcW w:w="2390" w:type="dxa"/>
            <w:tcBorders>
              <w:top w:val="single" w:sz="6" w:space="0" w:color="000000"/>
              <w:left w:val="single" w:sz="6" w:space="0" w:color="000000"/>
              <w:bottom w:val="single" w:sz="6" w:space="0" w:color="000000"/>
            </w:tcBorders>
          </w:tcPr>
          <w:p>
            <w:pPr>
              <w:pStyle w:val="TableParagraph"/>
              <w:spacing w:before="49"/>
              <w:ind w:left="345" w:right="301"/>
              <w:rPr>
                <w:rFonts w:ascii="宋体" w:eastAsia="宋体" w:hint="eastAsia"/>
                <w:sz w:val="21"/>
              </w:rPr>
            </w:pPr>
            <w:r>
              <w:rPr>
                <w:rFonts w:ascii="宋体" w:eastAsia="宋体" w:hint="eastAsia"/>
                <w:sz w:val="21"/>
              </w:rPr>
              <w:t>猪舍冲洗</w:t>
            </w: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9</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89"/>
              <w:rPr>
                <w:rFonts w:ascii="宋体" w:eastAsia="宋体" w:hint="eastAsia"/>
                <w:sz w:val="21"/>
              </w:rPr>
            </w:pPr>
            <w:r>
              <w:rPr>
                <w:rFonts w:ascii="宋体" w:eastAsia="宋体" w:hint="eastAsia"/>
                <w:sz w:val="21"/>
              </w:rPr>
              <w:t>除臭设备</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8" w:right="513"/>
              <w:rPr>
                <w:rFonts w:ascii="宋体" w:eastAsia="宋体" w:hint="eastAsia"/>
                <w:sz w:val="21"/>
              </w:rPr>
            </w:pPr>
            <w:r>
              <w:rPr>
                <w:position w:val="1"/>
                <w:sz w:val="21"/>
              </w:rPr>
              <w:t>1 </w:t>
            </w:r>
            <w:r>
              <w:rPr>
                <w:rFonts w:ascii="宋体" w:eastAsia="宋体" w:hint="eastAsia"/>
                <w:sz w:val="21"/>
              </w:rPr>
              <w:t>套</w:t>
            </w:r>
          </w:p>
        </w:tc>
        <w:tc>
          <w:tcPr>
            <w:tcW w:w="2390" w:type="dxa"/>
            <w:tcBorders>
              <w:top w:val="single" w:sz="6" w:space="0" w:color="000000"/>
              <w:left w:val="single" w:sz="6" w:space="0" w:color="000000"/>
              <w:bottom w:val="single" w:sz="6" w:space="0" w:color="000000"/>
            </w:tcBorders>
          </w:tcPr>
          <w:p>
            <w:pPr>
              <w:pStyle w:val="TableParagraph"/>
              <w:spacing w:before="46"/>
              <w:ind w:left="343" w:right="301"/>
              <w:rPr>
                <w:rFonts w:ascii="宋体" w:eastAsia="宋体" w:hint="eastAsia"/>
                <w:sz w:val="21"/>
              </w:rPr>
            </w:pPr>
            <w:r>
              <w:rPr>
                <w:rFonts w:ascii="宋体" w:eastAsia="宋体" w:hint="eastAsia"/>
                <w:sz w:val="21"/>
              </w:rPr>
              <w:t>生物除臭装置</w:t>
            </w:r>
          </w:p>
        </w:tc>
      </w:tr>
      <w:tr>
        <w:trPr>
          <w:trHeight w:val="360" w:hRule="atLeast"/>
        </w:trPr>
        <w:tc>
          <w:tcPr>
            <w:tcW w:w="1034" w:type="dxa"/>
            <w:tcBorders>
              <w:top w:val="single" w:sz="6" w:space="0" w:color="000000"/>
              <w:bottom w:val="single" w:sz="6" w:space="0" w:color="000000"/>
              <w:right w:val="single" w:sz="6" w:space="0" w:color="000000"/>
            </w:tcBorders>
          </w:tcPr>
          <w:p>
            <w:pPr>
              <w:pStyle w:val="TableParagraph"/>
              <w:ind w:left="284" w:right="265"/>
              <w:rPr>
                <w:sz w:val="21"/>
              </w:rPr>
            </w:pPr>
            <w:r>
              <w:rPr>
                <w:sz w:val="21"/>
              </w:rPr>
              <w:t>10</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7"/>
              <w:ind w:left="620" w:right="589"/>
              <w:rPr>
                <w:rFonts w:ascii="宋体" w:eastAsia="宋体" w:hint="eastAsia"/>
                <w:sz w:val="21"/>
              </w:rPr>
            </w:pPr>
            <w:r>
              <w:rPr>
                <w:rFonts w:ascii="宋体" w:eastAsia="宋体" w:hint="eastAsia"/>
                <w:sz w:val="21"/>
              </w:rPr>
              <w:t>通风设施</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7"/>
              <w:ind w:right="453"/>
              <w:jc w:val="right"/>
              <w:rPr>
                <w:rFonts w:ascii="宋体" w:eastAsia="宋体" w:hint="eastAsia"/>
                <w:sz w:val="21"/>
              </w:rPr>
            </w:pPr>
            <w:r>
              <w:rPr>
                <w:position w:val="1"/>
                <w:sz w:val="21"/>
              </w:rPr>
              <w:t>100 </w:t>
            </w:r>
            <w:r>
              <w:rPr>
                <w:rFonts w:ascii="宋体" w:eastAsia="宋体" w:hint="eastAsia"/>
                <w:sz w:val="21"/>
              </w:rPr>
              <w:t>套</w:t>
            </w:r>
          </w:p>
        </w:tc>
        <w:tc>
          <w:tcPr>
            <w:tcW w:w="2390" w:type="dxa"/>
            <w:tcBorders>
              <w:top w:val="single" w:sz="6" w:space="0" w:color="000000"/>
              <w:left w:val="single" w:sz="6" w:space="0" w:color="000000"/>
              <w:bottom w:val="single" w:sz="6" w:space="0" w:color="000000"/>
            </w:tcBorders>
          </w:tcPr>
          <w:p>
            <w:pPr>
              <w:pStyle w:val="TableParagraph"/>
              <w:ind w:left="40"/>
              <w:rPr>
                <w:sz w:val="21"/>
              </w:rPr>
            </w:pPr>
            <w:r>
              <w:rPr>
                <w:w w:val="100"/>
                <w:sz w:val="21"/>
              </w:rPr>
              <w:t>-</w:t>
            </w:r>
          </w:p>
        </w:tc>
      </w:tr>
      <w:tr>
        <w:trPr>
          <w:trHeight w:val="356" w:hRule="atLeast"/>
        </w:trPr>
        <w:tc>
          <w:tcPr>
            <w:tcW w:w="1034" w:type="dxa"/>
            <w:tcBorders>
              <w:top w:val="single" w:sz="6" w:space="0" w:color="000000"/>
              <w:bottom w:val="single" w:sz="6" w:space="0" w:color="000000"/>
              <w:right w:val="single" w:sz="6" w:space="0" w:color="000000"/>
            </w:tcBorders>
          </w:tcPr>
          <w:p>
            <w:pPr>
              <w:pStyle w:val="TableParagraph"/>
              <w:ind w:left="279" w:right="265"/>
              <w:rPr>
                <w:sz w:val="21"/>
              </w:rPr>
            </w:pPr>
            <w:r>
              <w:rPr>
                <w:sz w:val="21"/>
              </w:rPr>
              <w:t>11</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91"/>
              <w:rPr>
                <w:rFonts w:ascii="宋体" w:eastAsia="宋体" w:hint="eastAsia"/>
                <w:sz w:val="21"/>
              </w:rPr>
            </w:pPr>
            <w:r>
              <w:rPr>
                <w:rFonts w:ascii="宋体" w:eastAsia="宋体" w:hint="eastAsia"/>
                <w:sz w:val="21"/>
              </w:rPr>
              <w:t>自动喂料系统</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8" w:right="513"/>
              <w:rPr>
                <w:rFonts w:ascii="宋体" w:eastAsia="宋体" w:hint="eastAsia"/>
                <w:sz w:val="21"/>
              </w:rPr>
            </w:pPr>
            <w:r>
              <w:rPr>
                <w:position w:val="1"/>
                <w:sz w:val="21"/>
              </w:rPr>
              <w:t>2 </w:t>
            </w:r>
            <w:r>
              <w:rPr>
                <w:rFonts w:ascii="宋体" w:eastAsia="宋体" w:hint="eastAsia"/>
                <w:sz w:val="21"/>
              </w:rPr>
              <w:t>套</w:t>
            </w:r>
          </w:p>
        </w:tc>
        <w:tc>
          <w:tcPr>
            <w:tcW w:w="2390"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spacing w:before="60"/>
              <w:ind w:left="284" w:right="265"/>
              <w:rPr>
                <w:sz w:val="21"/>
              </w:rPr>
            </w:pPr>
            <w:r>
              <w:rPr>
                <w:sz w:val="21"/>
              </w:rPr>
              <w:t>12</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9"/>
              <w:ind w:left="620" w:right="591"/>
              <w:rPr>
                <w:rFonts w:ascii="宋体" w:eastAsia="宋体" w:hint="eastAsia"/>
                <w:sz w:val="21"/>
              </w:rPr>
            </w:pPr>
            <w:r>
              <w:rPr>
                <w:rFonts w:ascii="宋体" w:eastAsia="宋体" w:hint="eastAsia"/>
                <w:sz w:val="21"/>
              </w:rPr>
              <w:t>智能温控系统</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spacing w:before="60"/>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9"/>
              <w:ind w:left="548" w:right="513"/>
              <w:rPr>
                <w:rFonts w:ascii="宋体" w:eastAsia="宋体" w:hint="eastAsia"/>
                <w:sz w:val="21"/>
              </w:rPr>
            </w:pPr>
            <w:r>
              <w:rPr>
                <w:position w:val="1"/>
                <w:sz w:val="21"/>
              </w:rPr>
              <w:t>2 </w:t>
            </w:r>
            <w:r>
              <w:rPr>
                <w:rFonts w:ascii="宋体" w:eastAsia="宋体" w:hint="eastAsia"/>
                <w:sz w:val="21"/>
              </w:rPr>
              <w:t>套</w:t>
            </w:r>
          </w:p>
        </w:tc>
        <w:tc>
          <w:tcPr>
            <w:tcW w:w="2390"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ind w:left="284" w:right="265"/>
              <w:rPr>
                <w:sz w:val="21"/>
              </w:rPr>
            </w:pPr>
            <w:r>
              <w:rPr>
                <w:sz w:val="21"/>
              </w:rPr>
              <w:t>13</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91"/>
              <w:rPr>
                <w:rFonts w:ascii="宋体" w:eastAsia="宋体" w:hint="eastAsia"/>
                <w:sz w:val="21"/>
              </w:rPr>
            </w:pPr>
            <w:r>
              <w:rPr>
                <w:rFonts w:ascii="宋体" w:eastAsia="宋体" w:hint="eastAsia"/>
                <w:sz w:val="21"/>
              </w:rPr>
              <w:t>自动清粪系统</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8" w:right="513"/>
              <w:rPr>
                <w:rFonts w:ascii="宋体" w:eastAsia="宋体" w:hint="eastAsia"/>
                <w:sz w:val="21"/>
              </w:rPr>
            </w:pPr>
            <w:r>
              <w:rPr>
                <w:position w:val="1"/>
                <w:sz w:val="21"/>
              </w:rPr>
              <w:t>8 </w:t>
            </w:r>
            <w:r>
              <w:rPr>
                <w:rFonts w:ascii="宋体" w:eastAsia="宋体" w:hint="eastAsia"/>
                <w:sz w:val="21"/>
              </w:rPr>
              <w:t>套</w:t>
            </w:r>
          </w:p>
        </w:tc>
        <w:tc>
          <w:tcPr>
            <w:tcW w:w="2390"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59" w:hRule="atLeast"/>
        </w:trPr>
        <w:tc>
          <w:tcPr>
            <w:tcW w:w="1034" w:type="dxa"/>
            <w:tcBorders>
              <w:top w:val="single" w:sz="6" w:space="0" w:color="000000"/>
              <w:bottom w:val="single" w:sz="6" w:space="0" w:color="000000"/>
              <w:right w:val="single" w:sz="6" w:space="0" w:color="000000"/>
            </w:tcBorders>
          </w:tcPr>
          <w:p>
            <w:pPr>
              <w:pStyle w:val="TableParagraph"/>
              <w:ind w:left="284" w:right="265"/>
              <w:rPr>
                <w:sz w:val="21"/>
              </w:rPr>
            </w:pPr>
            <w:r>
              <w:rPr>
                <w:sz w:val="21"/>
              </w:rPr>
              <w:t>14</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89"/>
              <w:rPr>
                <w:rFonts w:ascii="宋体" w:eastAsia="宋体" w:hint="eastAsia"/>
                <w:sz w:val="21"/>
              </w:rPr>
            </w:pPr>
            <w:r>
              <w:rPr>
                <w:rFonts w:ascii="宋体" w:eastAsia="宋体" w:hint="eastAsia"/>
                <w:sz w:val="21"/>
              </w:rPr>
              <w:t>病死猪冷库</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8" w:right="513"/>
              <w:rPr>
                <w:rFonts w:ascii="宋体" w:eastAsia="宋体" w:hint="eastAsia"/>
                <w:sz w:val="21"/>
              </w:rPr>
            </w:pPr>
            <w:r>
              <w:rPr>
                <w:position w:val="1"/>
                <w:sz w:val="21"/>
              </w:rPr>
              <w:t>1 </w:t>
            </w:r>
            <w:r>
              <w:rPr>
                <w:rFonts w:ascii="宋体" w:eastAsia="宋体" w:hint="eastAsia"/>
                <w:sz w:val="21"/>
              </w:rPr>
              <w:t>套</w:t>
            </w:r>
          </w:p>
        </w:tc>
        <w:tc>
          <w:tcPr>
            <w:tcW w:w="2390" w:type="dxa"/>
            <w:tcBorders>
              <w:top w:val="single" w:sz="6" w:space="0" w:color="000000"/>
              <w:left w:val="single" w:sz="6" w:space="0" w:color="000000"/>
              <w:bottom w:val="single" w:sz="6" w:space="0" w:color="000000"/>
            </w:tcBorders>
          </w:tcPr>
          <w:p>
            <w:pPr>
              <w:pStyle w:val="TableParagraph"/>
              <w:spacing w:before="46"/>
              <w:ind w:left="345" w:right="301"/>
              <w:rPr>
                <w:rFonts w:ascii="宋体" w:eastAsia="宋体" w:hint="eastAsia"/>
                <w:sz w:val="21"/>
              </w:rPr>
            </w:pPr>
            <w:r>
              <w:rPr>
                <w:rFonts w:ascii="宋体" w:eastAsia="宋体" w:hint="eastAsia"/>
                <w:sz w:val="21"/>
              </w:rPr>
              <w:t>病死猪暂存</w:t>
            </w:r>
          </w:p>
        </w:tc>
      </w:tr>
      <w:tr>
        <w:trPr>
          <w:trHeight w:val="356" w:hRule="atLeast"/>
        </w:trPr>
        <w:tc>
          <w:tcPr>
            <w:tcW w:w="1034" w:type="dxa"/>
            <w:tcBorders>
              <w:top w:val="single" w:sz="6" w:space="0" w:color="000000"/>
              <w:bottom w:val="single" w:sz="6" w:space="0" w:color="000000"/>
              <w:right w:val="single" w:sz="6" w:space="0" w:color="000000"/>
            </w:tcBorders>
          </w:tcPr>
          <w:p>
            <w:pPr>
              <w:pStyle w:val="TableParagraph"/>
              <w:ind w:left="284" w:right="265"/>
              <w:rPr>
                <w:sz w:val="21"/>
              </w:rPr>
            </w:pPr>
            <w:r>
              <w:rPr>
                <w:sz w:val="21"/>
              </w:rPr>
              <w:t>15</w:t>
            </w:r>
          </w:p>
        </w:tc>
        <w:tc>
          <w:tcPr>
            <w:tcW w:w="2736" w:type="dxa"/>
            <w:tcBorders>
              <w:top w:val="single" w:sz="6" w:space="0" w:color="000000"/>
              <w:left w:val="single" w:sz="6" w:space="0" w:color="000000"/>
              <w:bottom w:val="single" w:sz="6" w:space="0" w:color="000000"/>
              <w:right w:val="single" w:sz="6" w:space="0" w:color="000000"/>
            </w:tcBorders>
          </w:tcPr>
          <w:p>
            <w:pPr>
              <w:pStyle w:val="TableParagraph"/>
              <w:spacing w:before="46"/>
              <w:ind w:left="620" w:right="591"/>
              <w:rPr>
                <w:rFonts w:ascii="宋体" w:eastAsia="宋体" w:hint="eastAsia"/>
                <w:sz w:val="21"/>
              </w:rPr>
            </w:pPr>
            <w:r>
              <w:rPr>
                <w:rFonts w:ascii="宋体" w:eastAsia="宋体" w:hint="eastAsia"/>
                <w:sz w:val="21"/>
              </w:rPr>
              <w:t>无害化处理设备</w:t>
            </w:r>
          </w:p>
        </w:tc>
        <w:tc>
          <w:tcPr>
            <w:tcW w:w="1725" w:type="dxa"/>
            <w:tcBorders>
              <w:top w:val="single" w:sz="6" w:space="0" w:color="000000"/>
              <w:left w:val="single" w:sz="6" w:space="0" w:color="000000"/>
              <w:bottom w:val="single" w:sz="6" w:space="0" w:color="000000"/>
              <w:right w:val="single" w:sz="6" w:space="0" w:color="000000"/>
            </w:tcBorders>
          </w:tcPr>
          <w:p>
            <w:pPr>
              <w:pStyle w:val="TableParagraph"/>
              <w:ind w:left="297" w:right="264"/>
              <w:rPr>
                <w:sz w:val="21"/>
              </w:rPr>
            </w:pPr>
            <w:r>
              <w:rPr>
                <w:sz w:val="21"/>
              </w:rPr>
              <w:t>ZC-11FJX25</w:t>
            </w:r>
          </w:p>
        </w:tc>
        <w:tc>
          <w:tcPr>
            <w:tcW w:w="1543" w:type="dxa"/>
            <w:tcBorders>
              <w:top w:val="single" w:sz="6" w:space="0" w:color="000000"/>
              <w:left w:val="single" w:sz="6" w:space="0" w:color="000000"/>
              <w:bottom w:val="single" w:sz="6" w:space="0" w:color="000000"/>
              <w:right w:val="single" w:sz="6" w:space="0" w:color="000000"/>
            </w:tcBorders>
          </w:tcPr>
          <w:p>
            <w:pPr>
              <w:pStyle w:val="TableParagraph"/>
              <w:spacing w:before="46"/>
              <w:ind w:left="548" w:right="513"/>
              <w:rPr>
                <w:rFonts w:ascii="宋体" w:eastAsia="宋体" w:hint="eastAsia"/>
                <w:sz w:val="21"/>
              </w:rPr>
            </w:pPr>
            <w:r>
              <w:rPr>
                <w:position w:val="1"/>
                <w:sz w:val="21"/>
              </w:rPr>
              <w:t>2 </w:t>
            </w:r>
            <w:r>
              <w:rPr>
                <w:rFonts w:ascii="宋体" w:eastAsia="宋体" w:hint="eastAsia"/>
                <w:sz w:val="21"/>
              </w:rPr>
              <w:t>套</w:t>
            </w:r>
          </w:p>
        </w:tc>
        <w:tc>
          <w:tcPr>
            <w:tcW w:w="2390" w:type="dxa"/>
            <w:tcBorders>
              <w:top w:val="single" w:sz="6" w:space="0" w:color="000000"/>
              <w:left w:val="single" w:sz="6" w:space="0" w:color="000000"/>
              <w:bottom w:val="single" w:sz="6" w:space="0" w:color="000000"/>
            </w:tcBorders>
          </w:tcPr>
          <w:p>
            <w:pPr>
              <w:pStyle w:val="TableParagraph"/>
              <w:spacing w:before="46"/>
              <w:ind w:left="345" w:right="301"/>
              <w:rPr>
                <w:rFonts w:ascii="宋体" w:eastAsia="宋体" w:hint="eastAsia"/>
                <w:sz w:val="21"/>
              </w:rPr>
            </w:pPr>
            <w:r>
              <w:rPr>
                <w:rFonts w:ascii="宋体" w:eastAsia="宋体" w:hint="eastAsia"/>
                <w:sz w:val="21"/>
              </w:rPr>
              <w:t>病死猪无害化处置</w:t>
            </w:r>
          </w:p>
        </w:tc>
      </w:tr>
      <w:tr>
        <w:trPr>
          <w:trHeight w:val="361" w:hRule="atLeast"/>
        </w:trPr>
        <w:tc>
          <w:tcPr>
            <w:tcW w:w="1034" w:type="dxa"/>
            <w:tcBorders>
              <w:top w:val="single" w:sz="6" w:space="0" w:color="000000"/>
              <w:right w:val="single" w:sz="6" w:space="0" w:color="000000"/>
            </w:tcBorders>
          </w:tcPr>
          <w:p>
            <w:pPr>
              <w:pStyle w:val="TableParagraph"/>
              <w:spacing w:before="60"/>
              <w:ind w:left="284" w:right="265"/>
              <w:rPr>
                <w:sz w:val="21"/>
              </w:rPr>
            </w:pPr>
            <w:r>
              <w:rPr>
                <w:sz w:val="21"/>
              </w:rPr>
              <w:t>16</w:t>
            </w:r>
          </w:p>
        </w:tc>
        <w:tc>
          <w:tcPr>
            <w:tcW w:w="2736" w:type="dxa"/>
            <w:tcBorders>
              <w:top w:val="single" w:sz="6" w:space="0" w:color="000000"/>
              <w:left w:val="single" w:sz="6" w:space="0" w:color="000000"/>
              <w:right w:val="single" w:sz="6" w:space="0" w:color="000000"/>
            </w:tcBorders>
          </w:tcPr>
          <w:p>
            <w:pPr>
              <w:pStyle w:val="TableParagraph"/>
              <w:spacing w:before="49"/>
              <w:ind w:left="620" w:right="591"/>
              <w:rPr>
                <w:rFonts w:ascii="宋体" w:eastAsia="宋体" w:hint="eastAsia"/>
                <w:sz w:val="21"/>
              </w:rPr>
            </w:pPr>
            <w:r>
              <w:rPr>
                <w:rFonts w:ascii="宋体" w:eastAsia="宋体" w:hint="eastAsia"/>
                <w:sz w:val="21"/>
              </w:rPr>
              <w:t>立式封闭发酵罐</w:t>
            </w:r>
          </w:p>
        </w:tc>
        <w:tc>
          <w:tcPr>
            <w:tcW w:w="1725" w:type="dxa"/>
            <w:tcBorders>
              <w:top w:val="single" w:sz="6" w:space="0" w:color="000000"/>
              <w:left w:val="single" w:sz="6" w:space="0" w:color="000000"/>
              <w:right w:val="single" w:sz="6" w:space="0" w:color="000000"/>
            </w:tcBorders>
          </w:tcPr>
          <w:p>
            <w:pPr>
              <w:pStyle w:val="TableParagraph"/>
              <w:spacing w:before="60"/>
              <w:ind w:left="297" w:right="264"/>
              <w:rPr>
                <w:sz w:val="21"/>
              </w:rPr>
            </w:pPr>
            <w:r>
              <w:rPr>
                <w:sz w:val="21"/>
              </w:rPr>
              <w:t>TC-200A</w:t>
            </w:r>
          </w:p>
        </w:tc>
        <w:tc>
          <w:tcPr>
            <w:tcW w:w="1543" w:type="dxa"/>
            <w:tcBorders>
              <w:top w:val="single" w:sz="6" w:space="0" w:color="000000"/>
              <w:left w:val="single" w:sz="6" w:space="0" w:color="000000"/>
              <w:right w:val="single" w:sz="6" w:space="0" w:color="000000"/>
            </w:tcBorders>
          </w:tcPr>
          <w:p>
            <w:pPr>
              <w:pStyle w:val="TableParagraph"/>
              <w:spacing w:before="49"/>
              <w:ind w:left="548" w:right="513"/>
              <w:rPr>
                <w:rFonts w:ascii="宋体" w:eastAsia="宋体" w:hint="eastAsia"/>
                <w:sz w:val="21"/>
              </w:rPr>
            </w:pPr>
            <w:r>
              <w:rPr>
                <w:position w:val="1"/>
                <w:sz w:val="21"/>
              </w:rPr>
              <w:t>2 </w:t>
            </w:r>
            <w:r>
              <w:rPr>
                <w:rFonts w:ascii="宋体" w:eastAsia="宋体" w:hint="eastAsia"/>
                <w:sz w:val="21"/>
              </w:rPr>
              <w:t>套</w:t>
            </w:r>
          </w:p>
        </w:tc>
        <w:tc>
          <w:tcPr>
            <w:tcW w:w="2390" w:type="dxa"/>
            <w:tcBorders>
              <w:top w:val="single" w:sz="6" w:space="0" w:color="000000"/>
              <w:left w:val="single" w:sz="6" w:space="0" w:color="000000"/>
            </w:tcBorders>
          </w:tcPr>
          <w:p>
            <w:pPr>
              <w:pStyle w:val="TableParagraph"/>
              <w:spacing w:before="49"/>
              <w:ind w:left="345" w:right="301"/>
              <w:rPr>
                <w:rFonts w:ascii="宋体" w:eastAsia="宋体" w:hint="eastAsia"/>
                <w:sz w:val="21"/>
              </w:rPr>
            </w:pPr>
            <w:r>
              <w:rPr>
                <w:rFonts w:ascii="宋体" w:eastAsia="宋体" w:hint="eastAsia"/>
                <w:sz w:val="21"/>
              </w:rPr>
              <w:t>猪粪发酵</w:t>
            </w:r>
          </w:p>
        </w:tc>
      </w:tr>
    </w:tbl>
    <w:p>
      <w:pPr>
        <w:spacing w:after="0"/>
        <w:rPr>
          <w:rFonts w:ascii="宋体" w:eastAsia="宋体" w:hint="eastAsia"/>
          <w:sz w:val="21"/>
        </w:rPr>
        <w:sectPr>
          <w:pgSz w:w="11910" w:h="16840"/>
          <w:pgMar w:header="874" w:footer="1004" w:top="1400" w:bottom="1200" w:left="1040" w:right="1160"/>
        </w:sectPr>
      </w:pPr>
    </w:p>
    <w:p>
      <w:pPr>
        <w:spacing w:before="110"/>
        <w:ind w:left="719" w:right="0" w:firstLine="0"/>
        <w:jc w:val="left"/>
        <w:rPr>
          <w:b/>
          <w:sz w:val="24"/>
        </w:rPr>
      </w:pPr>
      <w:r>
        <w:rPr>
          <w:rFonts w:ascii="Times New Roman" w:eastAsia="Times New Roman"/>
          <w:b/>
          <w:sz w:val="24"/>
        </w:rPr>
        <w:t>2</w:t>
      </w:r>
      <w:r>
        <w:rPr>
          <w:b/>
          <w:sz w:val="24"/>
        </w:rPr>
        <w:t>、猪栏配置</w:t>
      </w:r>
    </w:p>
    <w:p>
      <w:pPr>
        <w:pStyle w:val="BodyText"/>
        <w:spacing w:before="172"/>
        <w:ind w:left="717"/>
      </w:pPr>
      <w:r>
        <w:rPr/>
        <w:t>根据企业提供的资料，本项目各类猪群猪栏配置情况见表 </w:t>
      </w:r>
      <w:r>
        <w:rPr>
          <w:rFonts w:ascii="Times New Roman" w:eastAsia="Times New Roman"/>
          <w:position w:val="1"/>
        </w:rPr>
        <w:t>3.1-5</w:t>
      </w:r>
      <w:r>
        <w:rPr/>
        <w:t>。</w:t>
      </w:r>
    </w:p>
    <w:p>
      <w:pPr>
        <w:pStyle w:val="Heading3"/>
        <w:spacing w:before="168"/>
        <w:ind w:left="219" w:right="236"/>
        <w:jc w:val="center"/>
      </w:pPr>
      <w:r>
        <w:rPr/>
        <w:t>表 </w:t>
      </w:r>
      <w:r>
        <w:rPr>
          <w:rFonts w:ascii="Times New Roman" w:eastAsia="Times New Roman"/>
        </w:rPr>
        <w:t>3.1-5  </w:t>
      </w:r>
      <w:r>
        <w:rPr/>
        <w:t>本项目猪栏配置情况表</w:t>
      </w:r>
    </w:p>
    <w:p>
      <w:pPr>
        <w:pStyle w:val="BodyText"/>
        <w:spacing w:before="2"/>
        <w:ind w:left="0"/>
        <w:rPr>
          <w:b/>
          <w:sz w:val="6"/>
        </w:rPr>
      </w:pPr>
    </w:p>
    <w:tbl>
      <w:tblPr>
        <w:tblW w:w="0" w:type="auto"/>
        <w:jc w:val="left"/>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1"/>
        <w:gridCol w:w="1023"/>
        <w:gridCol w:w="1026"/>
        <w:gridCol w:w="836"/>
        <w:gridCol w:w="1220"/>
        <w:gridCol w:w="452"/>
        <w:gridCol w:w="836"/>
        <w:gridCol w:w="837"/>
        <w:gridCol w:w="836"/>
        <w:gridCol w:w="836"/>
        <w:gridCol w:w="743"/>
      </w:tblGrid>
      <w:tr>
        <w:trPr>
          <w:trHeight w:val="716" w:hRule="atLeast"/>
        </w:trPr>
        <w:tc>
          <w:tcPr>
            <w:tcW w:w="641" w:type="dxa"/>
            <w:tcBorders>
              <w:bottom w:val="single" w:sz="6" w:space="0" w:color="000000"/>
              <w:right w:val="single" w:sz="6" w:space="0" w:color="000000"/>
            </w:tcBorders>
          </w:tcPr>
          <w:p>
            <w:pPr>
              <w:pStyle w:val="TableParagraph"/>
              <w:spacing w:before="0"/>
              <w:jc w:val="left"/>
              <w:rPr>
                <w:rFonts w:ascii="宋体"/>
                <w:b/>
                <w:sz w:val="19"/>
              </w:rPr>
            </w:pPr>
          </w:p>
          <w:p>
            <w:pPr>
              <w:pStyle w:val="TableParagraph"/>
              <w:spacing w:before="0"/>
              <w:ind w:left="29" w:right="6"/>
              <w:rPr>
                <w:rFonts w:ascii="宋体" w:eastAsia="宋体" w:hint="eastAsia"/>
                <w:b/>
                <w:sz w:val="18"/>
              </w:rPr>
            </w:pPr>
            <w:r>
              <w:rPr>
                <w:rFonts w:ascii="宋体" w:eastAsia="宋体" w:hint="eastAsia"/>
                <w:b/>
                <w:sz w:val="18"/>
              </w:rPr>
              <w:t>猪舍</w:t>
            </w:r>
          </w:p>
        </w:tc>
        <w:tc>
          <w:tcPr>
            <w:tcW w:w="1023" w:type="dxa"/>
            <w:tcBorders>
              <w:left w:val="single" w:sz="6" w:space="0" w:color="000000"/>
              <w:bottom w:val="single" w:sz="6" w:space="0" w:color="000000"/>
              <w:right w:val="single" w:sz="6" w:space="0" w:color="000000"/>
            </w:tcBorders>
          </w:tcPr>
          <w:p>
            <w:pPr>
              <w:pStyle w:val="TableParagraph"/>
              <w:spacing w:before="0"/>
              <w:jc w:val="left"/>
              <w:rPr>
                <w:rFonts w:ascii="宋体"/>
                <w:b/>
                <w:sz w:val="19"/>
              </w:rPr>
            </w:pPr>
          </w:p>
          <w:p>
            <w:pPr>
              <w:pStyle w:val="TableParagraph"/>
              <w:spacing w:before="0"/>
              <w:ind w:left="27"/>
              <w:rPr>
                <w:rFonts w:ascii="宋体" w:eastAsia="宋体" w:hint="eastAsia"/>
                <w:b/>
                <w:sz w:val="18"/>
              </w:rPr>
            </w:pPr>
            <w:r>
              <w:rPr>
                <w:rFonts w:ascii="宋体" w:eastAsia="宋体" w:hint="eastAsia"/>
                <w:b/>
                <w:sz w:val="18"/>
              </w:rPr>
              <w:t>位置</w:t>
            </w:r>
          </w:p>
        </w:tc>
        <w:tc>
          <w:tcPr>
            <w:tcW w:w="1026" w:type="dxa"/>
            <w:tcBorders>
              <w:left w:val="single" w:sz="6" w:space="0" w:color="000000"/>
              <w:bottom w:val="single" w:sz="6" w:space="0" w:color="000000"/>
              <w:right w:val="single" w:sz="6" w:space="0" w:color="000000"/>
            </w:tcBorders>
          </w:tcPr>
          <w:p>
            <w:pPr>
              <w:pStyle w:val="TableParagraph"/>
              <w:spacing w:before="0"/>
              <w:jc w:val="left"/>
              <w:rPr>
                <w:rFonts w:ascii="宋体"/>
                <w:b/>
                <w:sz w:val="19"/>
              </w:rPr>
            </w:pPr>
          </w:p>
          <w:p>
            <w:pPr>
              <w:pStyle w:val="TableParagraph"/>
              <w:spacing w:before="0"/>
              <w:ind w:left="48" w:right="23"/>
              <w:rPr>
                <w:rFonts w:ascii="宋体" w:eastAsia="宋体" w:hint="eastAsia"/>
                <w:b/>
                <w:sz w:val="18"/>
              </w:rPr>
            </w:pPr>
            <w:r>
              <w:rPr>
                <w:rFonts w:ascii="宋体" w:eastAsia="宋体" w:hint="eastAsia"/>
                <w:b/>
                <w:sz w:val="18"/>
              </w:rPr>
              <w:t>猪栏名称</w:t>
            </w:r>
          </w:p>
        </w:tc>
        <w:tc>
          <w:tcPr>
            <w:tcW w:w="836" w:type="dxa"/>
            <w:tcBorders>
              <w:left w:val="single" w:sz="6" w:space="0" w:color="000000"/>
              <w:bottom w:val="single" w:sz="6" w:space="0" w:color="000000"/>
              <w:right w:val="single" w:sz="6" w:space="0" w:color="000000"/>
            </w:tcBorders>
          </w:tcPr>
          <w:p>
            <w:pPr>
              <w:pStyle w:val="TableParagraph"/>
              <w:spacing w:before="0"/>
              <w:jc w:val="left"/>
              <w:rPr>
                <w:rFonts w:ascii="宋体"/>
                <w:b/>
                <w:sz w:val="19"/>
              </w:rPr>
            </w:pPr>
          </w:p>
          <w:p>
            <w:pPr>
              <w:pStyle w:val="TableParagraph"/>
              <w:spacing w:before="0"/>
              <w:ind w:right="36"/>
              <w:jc w:val="right"/>
              <w:rPr>
                <w:rFonts w:ascii="宋体" w:eastAsia="宋体" w:hint="eastAsia"/>
                <w:b/>
                <w:sz w:val="18"/>
              </w:rPr>
            </w:pPr>
            <w:r>
              <w:rPr>
                <w:rFonts w:ascii="宋体" w:eastAsia="宋体" w:hint="eastAsia"/>
                <w:b/>
                <w:w w:val="95"/>
                <w:sz w:val="18"/>
              </w:rPr>
              <w:t>猪栏尺寸</w:t>
            </w:r>
          </w:p>
        </w:tc>
        <w:tc>
          <w:tcPr>
            <w:tcW w:w="1220" w:type="dxa"/>
            <w:tcBorders>
              <w:left w:val="single" w:sz="6" w:space="0" w:color="000000"/>
              <w:bottom w:val="single" w:sz="6" w:space="0" w:color="000000"/>
              <w:right w:val="single" w:sz="6" w:space="0" w:color="000000"/>
            </w:tcBorders>
          </w:tcPr>
          <w:p>
            <w:pPr>
              <w:pStyle w:val="TableParagraph"/>
              <w:spacing w:before="0"/>
              <w:jc w:val="left"/>
              <w:rPr>
                <w:rFonts w:ascii="宋体"/>
                <w:b/>
                <w:sz w:val="19"/>
              </w:rPr>
            </w:pPr>
          </w:p>
          <w:p>
            <w:pPr>
              <w:pStyle w:val="TableParagraph"/>
              <w:spacing w:before="0"/>
              <w:ind w:left="231" w:right="211"/>
              <w:rPr>
                <w:rFonts w:ascii="宋体" w:eastAsia="宋体" w:hint="eastAsia"/>
                <w:b/>
                <w:sz w:val="18"/>
              </w:rPr>
            </w:pPr>
            <w:r>
              <w:rPr>
                <w:rFonts w:ascii="宋体" w:eastAsia="宋体" w:hint="eastAsia"/>
                <w:b/>
                <w:sz w:val="18"/>
              </w:rPr>
              <w:t>猪群种类</w:t>
            </w:r>
          </w:p>
        </w:tc>
        <w:tc>
          <w:tcPr>
            <w:tcW w:w="452" w:type="dxa"/>
            <w:tcBorders>
              <w:left w:val="single" w:sz="6" w:space="0" w:color="000000"/>
              <w:bottom w:val="single" w:sz="6" w:space="0" w:color="000000"/>
              <w:right w:val="single" w:sz="6" w:space="0" w:color="000000"/>
            </w:tcBorders>
          </w:tcPr>
          <w:p>
            <w:pPr>
              <w:pStyle w:val="TableParagraph"/>
              <w:spacing w:before="0"/>
              <w:jc w:val="left"/>
              <w:rPr>
                <w:rFonts w:ascii="宋体"/>
                <w:b/>
                <w:sz w:val="19"/>
              </w:rPr>
            </w:pPr>
          </w:p>
          <w:p>
            <w:pPr>
              <w:pStyle w:val="TableParagraph"/>
              <w:spacing w:before="0"/>
              <w:ind w:left="28" w:right="6"/>
              <w:rPr>
                <w:rFonts w:ascii="宋体" w:eastAsia="宋体" w:hint="eastAsia"/>
                <w:b/>
                <w:sz w:val="18"/>
              </w:rPr>
            </w:pPr>
            <w:r>
              <w:rPr>
                <w:rFonts w:ascii="宋体" w:eastAsia="宋体" w:hint="eastAsia"/>
                <w:b/>
                <w:sz w:val="18"/>
              </w:rPr>
              <w:t>组数</w:t>
            </w:r>
          </w:p>
        </w:tc>
        <w:tc>
          <w:tcPr>
            <w:tcW w:w="836" w:type="dxa"/>
            <w:tcBorders>
              <w:left w:val="single" w:sz="6" w:space="0" w:color="000000"/>
              <w:bottom w:val="single" w:sz="6" w:space="0" w:color="000000"/>
              <w:right w:val="single" w:sz="6" w:space="0" w:color="000000"/>
            </w:tcBorders>
          </w:tcPr>
          <w:p>
            <w:pPr>
              <w:pStyle w:val="TableParagraph"/>
              <w:spacing w:before="64"/>
              <w:ind w:left="58"/>
              <w:jc w:val="left"/>
              <w:rPr>
                <w:rFonts w:ascii="宋体" w:eastAsia="宋体" w:hint="eastAsia"/>
                <w:b/>
                <w:sz w:val="18"/>
              </w:rPr>
            </w:pPr>
            <w:r>
              <w:rPr>
                <w:rFonts w:ascii="宋体" w:eastAsia="宋体" w:hint="eastAsia"/>
                <w:b/>
                <w:sz w:val="18"/>
              </w:rPr>
              <w:t>每组栏数</w:t>
            </w:r>
          </w:p>
          <w:p>
            <w:pPr>
              <w:pStyle w:val="TableParagraph"/>
              <w:spacing w:before="129"/>
              <w:ind w:left="147"/>
              <w:jc w:val="left"/>
              <w:rPr>
                <w:rFonts w:ascii="宋体" w:eastAsia="宋体" w:hint="eastAsia"/>
                <w:b/>
                <w:sz w:val="18"/>
              </w:rPr>
            </w:pPr>
            <w:r>
              <w:rPr>
                <w:rFonts w:ascii="宋体" w:eastAsia="宋体" w:hint="eastAsia"/>
                <w:b/>
                <w:sz w:val="18"/>
              </w:rPr>
              <w:t>（个）</w:t>
            </w:r>
          </w:p>
        </w:tc>
        <w:tc>
          <w:tcPr>
            <w:tcW w:w="837" w:type="dxa"/>
            <w:tcBorders>
              <w:left w:val="single" w:sz="6" w:space="0" w:color="000000"/>
              <w:bottom w:val="single" w:sz="6" w:space="0" w:color="000000"/>
              <w:right w:val="single" w:sz="6" w:space="0" w:color="000000"/>
            </w:tcBorders>
          </w:tcPr>
          <w:p>
            <w:pPr>
              <w:pStyle w:val="TableParagraph"/>
              <w:spacing w:before="64"/>
              <w:ind w:left="57"/>
              <w:jc w:val="left"/>
              <w:rPr>
                <w:rFonts w:ascii="宋体" w:eastAsia="宋体" w:hint="eastAsia"/>
                <w:b/>
                <w:sz w:val="18"/>
              </w:rPr>
            </w:pPr>
            <w:r>
              <w:rPr>
                <w:rFonts w:ascii="宋体" w:eastAsia="宋体" w:hint="eastAsia"/>
                <w:b/>
                <w:sz w:val="18"/>
              </w:rPr>
              <w:t>总栏位数</w:t>
            </w:r>
          </w:p>
          <w:p>
            <w:pPr>
              <w:pStyle w:val="TableParagraph"/>
              <w:spacing w:before="129"/>
              <w:ind w:left="146"/>
              <w:jc w:val="left"/>
              <w:rPr>
                <w:rFonts w:ascii="宋体" w:eastAsia="宋体" w:hint="eastAsia"/>
                <w:b/>
                <w:sz w:val="18"/>
              </w:rPr>
            </w:pPr>
            <w:r>
              <w:rPr>
                <w:rFonts w:ascii="宋体" w:eastAsia="宋体" w:hint="eastAsia"/>
                <w:b/>
                <w:sz w:val="18"/>
              </w:rPr>
              <w:t>（个）</w:t>
            </w:r>
          </w:p>
        </w:tc>
        <w:tc>
          <w:tcPr>
            <w:tcW w:w="836" w:type="dxa"/>
            <w:tcBorders>
              <w:left w:val="single" w:sz="6" w:space="0" w:color="000000"/>
              <w:bottom w:val="single" w:sz="6" w:space="0" w:color="000000"/>
              <w:right w:val="single" w:sz="6" w:space="0" w:color="000000"/>
            </w:tcBorders>
          </w:tcPr>
          <w:p>
            <w:pPr>
              <w:pStyle w:val="TableParagraph"/>
              <w:spacing w:before="64"/>
              <w:ind w:left="56"/>
              <w:jc w:val="left"/>
              <w:rPr>
                <w:rFonts w:ascii="宋体" w:eastAsia="宋体" w:hint="eastAsia"/>
                <w:b/>
                <w:sz w:val="18"/>
              </w:rPr>
            </w:pPr>
            <w:r>
              <w:rPr>
                <w:rFonts w:ascii="宋体" w:eastAsia="宋体" w:hint="eastAsia"/>
                <w:b/>
                <w:w w:val="95"/>
                <w:sz w:val="18"/>
              </w:rPr>
              <w:t>最大存栏</w:t>
            </w:r>
          </w:p>
          <w:p>
            <w:pPr>
              <w:pStyle w:val="TableParagraph"/>
              <w:spacing w:before="129"/>
              <w:ind w:left="56"/>
              <w:jc w:val="left"/>
              <w:rPr>
                <w:rFonts w:ascii="宋体" w:eastAsia="宋体" w:hint="eastAsia"/>
                <w:b/>
                <w:sz w:val="18"/>
              </w:rPr>
            </w:pPr>
            <w:r>
              <w:rPr>
                <w:rFonts w:ascii="宋体" w:eastAsia="宋体" w:hint="eastAsia"/>
                <w:b/>
                <w:w w:val="95"/>
                <w:sz w:val="18"/>
              </w:rPr>
              <w:t>量（头）</w:t>
            </w:r>
          </w:p>
        </w:tc>
        <w:tc>
          <w:tcPr>
            <w:tcW w:w="836" w:type="dxa"/>
            <w:tcBorders>
              <w:left w:val="single" w:sz="6" w:space="0" w:color="000000"/>
              <w:bottom w:val="single" w:sz="6" w:space="0" w:color="000000"/>
              <w:right w:val="single" w:sz="6" w:space="0" w:color="000000"/>
            </w:tcBorders>
          </w:tcPr>
          <w:p>
            <w:pPr>
              <w:pStyle w:val="TableParagraph"/>
              <w:spacing w:before="64"/>
              <w:ind w:left="55"/>
              <w:jc w:val="left"/>
              <w:rPr>
                <w:rFonts w:ascii="宋体" w:eastAsia="宋体" w:hint="eastAsia"/>
                <w:b/>
                <w:sz w:val="18"/>
              </w:rPr>
            </w:pPr>
            <w:r>
              <w:rPr>
                <w:rFonts w:ascii="宋体" w:eastAsia="宋体" w:hint="eastAsia"/>
                <w:b/>
                <w:w w:val="95"/>
                <w:sz w:val="18"/>
              </w:rPr>
              <w:t>实际存栏</w:t>
            </w:r>
          </w:p>
          <w:p>
            <w:pPr>
              <w:pStyle w:val="TableParagraph"/>
              <w:spacing w:before="129"/>
              <w:ind w:left="55"/>
              <w:jc w:val="left"/>
              <w:rPr>
                <w:rFonts w:ascii="宋体" w:eastAsia="宋体" w:hint="eastAsia"/>
                <w:b/>
                <w:sz w:val="18"/>
              </w:rPr>
            </w:pPr>
            <w:r>
              <w:rPr>
                <w:rFonts w:ascii="宋体" w:eastAsia="宋体" w:hint="eastAsia"/>
                <w:b/>
                <w:w w:val="95"/>
                <w:sz w:val="18"/>
              </w:rPr>
              <w:t>量（头）</w:t>
            </w:r>
          </w:p>
        </w:tc>
        <w:tc>
          <w:tcPr>
            <w:tcW w:w="743" w:type="dxa"/>
            <w:tcBorders>
              <w:left w:val="single" w:sz="6" w:space="0" w:color="000000"/>
              <w:bottom w:val="single" w:sz="6" w:space="0" w:color="000000"/>
            </w:tcBorders>
          </w:tcPr>
          <w:p>
            <w:pPr>
              <w:pStyle w:val="TableParagraph"/>
              <w:spacing w:before="0"/>
              <w:jc w:val="left"/>
              <w:rPr>
                <w:rFonts w:ascii="宋体"/>
                <w:b/>
                <w:sz w:val="19"/>
              </w:rPr>
            </w:pPr>
          </w:p>
          <w:p>
            <w:pPr>
              <w:pStyle w:val="TableParagraph"/>
              <w:spacing w:before="0"/>
              <w:ind w:left="31" w:right="12"/>
              <w:rPr>
                <w:rFonts w:ascii="宋体" w:eastAsia="宋体" w:hint="eastAsia"/>
                <w:b/>
                <w:sz w:val="18"/>
              </w:rPr>
            </w:pPr>
            <w:r>
              <w:rPr>
                <w:rFonts w:ascii="宋体" w:eastAsia="宋体" w:hint="eastAsia"/>
                <w:b/>
                <w:sz w:val="18"/>
              </w:rPr>
              <w:t>备注</w:t>
            </w:r>
          </w:p>
        </w:tc>
      </w:tr>
      <w:tr>
        <w:trPr>
          <w:trHeight w:val="359" w:hRule="atLeast"/>
        </w:trPr>
        <w:tc>
          <w:tcPr>
            <w:tcW w:w="641"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11"/>
              <w:jc w:val="left"/>
              <w:rPr>
                <w:rFonts w:ascii="宋体"/>
                <w:b/>
                <w:sz w:val="12"/>
              </w:rPr>
            </w:pPr>
          </w:p>
          <w:p>
            <w:pPr>
              <w:pStyle w:val="TableParagraph"/>
              <w:spacing w:before="0"/>
              <w:ind w:left="49"/>
              <w:jc w:val="left"/>
              <w:rPr>
                <w:rFonts w:ascii="宋体" w:eastAsia="宋体" w:hint="eastAsia"/>
                <w:sz w:val="18"/>
              </w:rPr>
            </w:pPr>
            <w:r>
              <w:rPr>
                <w:rFonts w:ascii="宋体" w:eastAsia="宋体" w:hint="eastAsia"/>
                <w:sz w:val="18"/>
              </w:rPr>
              <w:t>母猪舍</w:t>
            </w:r>
          </w:p>
        </w:tc>
        <w:tc>
          <w:tcPr>
            <w:tcW w:w="10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1"/>
              <w:jc w:val="left"/>
              <w:rPr>
                <w:rFonts w:ascii="宋体"/>
                <w:b/>
                <w:sz w:val="28"/>
              </w:rPr>
            </w:pPr>
          </w:p>
          <w:p>
            <w:pPr>
              <w:pStyle w:val="TableParagraph"/>
              <w:spacing w:before="0"/>
              <w:ind w:left="66"/>
              <w:jc w:val="left"/>
              <w:rPr>
                <w:rFonts w:ascii="宋体" w:eastAsia="宋体" w:hint="eastAsia"/>
                <w:sz w:val="18"/>
              </w:rPr>
            </w:pPr>
            <w:r>
              <w:rPr>
                <w:rFonts w:ascii="宋体" w:eastAsia="宋体" w:hint="eastAsia"/>
                <w:spacing w:val="-12"/>
                <w:sz w:val="18"/>
              </w:rPr>
              <w:t>车间一 </w:t>
            </w:r>
            <w:r>
              <w:rPr>
                <w:sz w:val="18"/>
              </w:rPr>
              <w:t>4 </w:t>
            </w:r>
            <w:r>
              <w:rPr>
                <w:rFonts w:ascii="宋体" w:eastAsia="宋体" w:hint="eastAsia"/>
                <w:sz w:val="18"/>
              </w:rPr>
              <w:t>层</w:t>
            </w:r>
          </w:p>
        </w:tc>
        <w:tc>
          <w:tcPr>
            <w:tcW w:w="10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19"/>
              </w:rPr>
            </w:pPr>
          </w:p>
          <w:p>
            <w:pPr>
              <w:pStyle w:val="TableParagraph"/>
              <w:spacing w:before="0"/>
              <w:ind w:left="248"/>
              <w:jc w:val="left"/>
              <w:rPr>
                <w:rFonts w:ascii="宋体" w:eastAsia="宋体" w:hint="eastAsia"/>
                <w:sz w:val="18"/>
              </w:rPr>
            </w:pPr>
            <w:r>
              <w:rPr>
                <w:rFonts w:ascii="宋体" w:eastAsia="宋体" w:hint="eastAsia"/>
                <w:sz w:val="18"/>
              </w:rPr>
              <w:t>限位栏</w:t>
            </w:r>
          </w:p>
        </w:tc>
        <w:tc>
          <w:tcPr>
            <w:tcW w:w="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20"/>
              </w:rPr>
            </w:pPr>
          </w:p>
          <w:p>
            <w:pPr>
              <w:pStyle w:val="TableParagraph"/>
              <w:spacing w:before="1"/>
              <w:ind w:left="106"/>
              <w:jc w:val="left"/>
              <w:rPr>
                <w:sz w:val="18"/>
              </w:rPr>
            </w:pPr>
            <w:r>
              <w:rPr>
                <w:sz w:val="18"/>
              </w:rPr>
              <w:t>2.2*0.65</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19"/>
              </w:rPr>
            </w:pPr>
          </w:p>
          <w:p>
            <w:pPr>
              <w:pStyle w:val="TableParagraph"/>
              <w:spacing w:before="0"/>
              <w:ind w:left="251"/>
              <w:jc w:val="left"/>
              <w:rPr>
                <w:rFonts w:ascii="宋体" w:eastAsia="宋体" w:hint="eastAsia"/>
                <w:sz w:val="18"/>
              </w:rPr>
            </w:pPr>
            <w:r>
              <w:rPr>
                <w:rFonts w:ascii="宋体" w:eastAsia="宋体" w:hint="eastAsia"/>
                <w:sz w:val="18"/>
              </w:rPr>
              <w:t>妊娠母猪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9"/>
              <w:ind w:left="28" w:right="6"/>
              <w:rPr>
                <w:sz w:val="18"/>
              </w:rPr>
            </w:pPr>
            <w:r>
              <w:rPr>
                <w:sz w:val="18"/>
              </w:rPr>
              <w:t>15</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261"/>
              <w:jc w:val="right"/>
              <w:rPr>
                <w:sz w:val="18"/>
              </w:rPr>
            </w:pPr>
            <w:r>
              <w:rPr>
                <w:sz w:val="18"/>
              </w:rPr>
              <w:t>203</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9"/>
              <w:ind w:left="218" w:right="204"/>
              <w:rPr>
                <w:sz w:val="18"/>
              </w:rPr>
            </w:pPr>
            <w:r>
              <w:rPr>
                <w:sz w:val="18"/>
              </w:rPr>
              <w:t>3045</w:t>
            </w:r>
          </w:p>
        </w:tc>
        <w:tc>
          <w:tcPr>
            <w:tcW w:w="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20"/>
              </w:rPr>
            </w:pPr>
          </w:p>
          <w:p>
            <w:pPr>
              <w:pStyle w:val="TableParagraph"/>
              <w:spacing w:before="1"/>
              <w:ind w:left="236"/>
              <w:jc w:val="left"/>
              <w:rPr>
                <w:sz w:val="18"/>
              </w:rPr>
            </w:pPr>
            <w:r>
              <w:rPr>
                <w:sz w:val="18"/>
              </w:rPr>
              <w:t>3194</w:t>
            </w:r>
          </w:p>
        </w:tc>
        <w:tc>
          <w:tcPr>
            <w:tcW w:w="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20"/>
              </w:rPr>
            </w:pPr>
          </w:p>
          <w:p>
            <w:pPr>
              <w:pStyle w:val="TableParagraph"/>
              <w:spacing w:before="1"/>
              <w:ind w:left="235"/>
              <w:jc w:val="left"/>
              <w:rPr>
                <w:sz w:val="18"/>
              </w:rPr>
            </w:pPr>
            <w:r>
              <w:rPr>
                <w:sz w:val="18"/>
              </w:rPr>
              <w:t>2600</w:t>
            </w:r>
          </w:p>
        </w:tc>
        <w:tc>
          <w:tcPr>
            <w:tcW w:w="743" w:type="dxa"/>
            <w:tcBorders>
              <w:top w:val="single" w:sz="6" w:space="0" w:color="000000"/>
              <w:left w:val="single" w:sz="6" w:space="0" w:color="000000"/>
              <w:bottom w:val="single" w:sz="6" w:space="0" w:color="000000"/>
            </w:tcBorders>
          </w:tcPr>
          <w:p>
            <w:pPr>
              <w:pStyle w:val="TableParagraph"/>
              <w:spacing w:before="67"/>
              <w:ind w:left="31" w:right="12"/>
              <w:rPr>
                <w:rFonts w:ascii="宋体" w:eastAsia="宋体" w:hint="eastAsia"/>
                <w:sz w:val="18"/>
              </w:rPr>
            </w:pPr>
            <w:r>
              <w:rPr>
                <w:sz w:val="18"/>
              </w:rPr>
              <w:t>1 </w:t>
            </w:r>
            <w:r>
              <w:rPr>
                <w:rFonts w:ascii="宋体" w:eastAsia="宋体" w:hint="eastAsia"/>
                <w:sz w:val="18"/>
              </w:rPr>
              <w:t>头</w:t>
            </w:r>
            <w:r>
              <w:rPr>
                <w:sz w:val="18"/>
              </w:rPr>
              <w:t>/</w:t>
            </w:r>
            <w:r>
              <w:rPr>
                <w:rFonts w:ascii="宋体" w:eastAsia="宋体" w:hint="eastAsia"/>
                <w:sz w:val="18"/>
              </w:rPr>
              <w:t>栏</w:t>
            </w: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261"/>
              <w:jc w:val="right"/>
              <w:rPr>
                <w:sz w:val="18"/>
              </w:rPr>
            </w:pPr>
            <w:r>
              <w:rPr>
                <w:sz w:val="18"/>
              </w:rPr>
              <w:t>149</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6"/>
              <w:ind w:left="218" w:right="200"/>
              <w:rPr>
                <w:sz w:val="18"/>
              </w:rPr>
            </w:pPr>
            <w:r>
              <w:rPr>
                <w:sz w:val="18"/>
              </w:rPr>
              <w:t>149</w:t>
            </w: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tcBorders>
              <w:top w:val="single" w:sz="6" w:space="0" w:color="000000"/>
              <w:left w:val="single" w:sz="6" w:space="0" w:color="000000"/>
              <w:bottom w:val="single" w:sz="6" w:space="0" w:color="000000"/>
            </w:tcBorders>
          </w:tcPr>
          <w:p>
            <w:pPr>
              <w:pStyle w:val="TableParagraph"/>
              <w:spacing w:before="64"/>
              <w:ind w:left="31" w:right="12"/>
              <w:rPr>
                <w:rFonts w:ascii="宋体" w:eastAsia="宋体" w:hint="eastAsia"/>
                <w:sz w:val="18"/>
              </w:rPr>
            </w:pPr>
            <w:r>
              <w:rPr>
                <w:sz w:val="18"/>
              </w:rPr>
              <w:t>1 </w:t>
            </w:r>
            <w:r>
              <w:rPr>
                <w:rFonts w:ascii="宋体" w:eastAsia="宋体" w:hint="eastAsia"/>
                <w:sz w:val="18"/>
              </w:rPr>
              <w:t>头</w:t>
            </w:r>
            <w:r>
              <w:rPr>
                <w:sz w:val="18"/>
              </w:rPr>
              <w:t>/</w:t>
            </w:r>
            <w:r>
              <w:rPr>
                <w:rFonts w:ascii="宋体" w:eastAsia="宋体" w:hint="eastAsia"/>
                <w:sz w:val="18"/>
              </w:rPr>
              <w:t>栏</w:t>
            </w: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68"/>
              <w:jc w:val="left"/>
              <w:rPr>
                <w:rFonts w:ascii="宋体" w:eastAsia="宋体" w:hint="eastAsia"/>
                <w:sz w:val="18"/>
              </w:rPr>
            </w:pPr>
            <w:r>
              <w:rPr>
                <w:rFonts w:ascii="宋体" w:eastAsia="宋体" w:hint="eastAsia"/>
                <w:sz w:val="18"/>
              </w:rPr>
              <w:t>配怀舍大栏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126"/>
              <w:jc w:val="right"/>
              <w:rPr>
                <w:sz w:val="18"/>
              </w:rPr>
            </w:pPr>
            <w:r>
              <w:rPr>
                <w:sz w:val="18"/>
              </w:rPr>
              <w:t>2.2*2.6</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71"/>
              <w:jc w:val="left"/>
              <w:rPr>
                <w:rFonts w:ascii="宋体" w:eastAsia="宋体" w:hint="eastAsia"/>
                <w:sz w:val="18"/>
              </w:rPr>
            </w:pPr>
            <w:r>
              <w:rPr>
                <w:rFonts w:ascii="宋体" w:eastAsia="宋体" w:hint="eastAsia"/>
                <w:sz w:val="18"/>
              </w:rPr>
              <w:t>空怀配种母猪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16</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left="15"/>
              <w:rPr>
                <w:sz w:val="18"/>
              </w:rPr>
            </w:pPr>
            <w:r>
              <w:rPr>
                <w:sz w:val="18"/>
              </w:rPr>
              <w:t>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6"/>
              <w:ind w:left="218" w:right="200"/>
              <w:rPr>
                <w:sz w:val="18"/>
              </w:rPr>
            </w:pPr>
            <w:r>
              <w:rPr>
                <w:sz w:val="18"/>
              </w:rPr>
              <w:t>16</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88"/>
              <w:rPr>
                <w:sz w:val="18"/>
              </w:rPr>
            </w:pPr>
            <w:r>
              <w:rPr>
                <w:sz w:val="18"/>
              </w:rPr>
              <w:t>112</w:t>
            </w:r>
          </w:p>
        </w:tc>
        <w:tc>
          <w:tcPr>
            <w:tcW w:w="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20"/>
              </w:rPr>
            </w:pPr>
          </w:p>
          <w:p>
            <w:pPr>
              <w:pStyle w:val="TableParagraph"/>
              <w:spacing w:before="0"/>
              <w:ind w:left="281"/>
              <w:jc w:val="left"/>
              <w:rPr>
                <w:sz w:val="18"/>
              </w:rPr>
            </w:pPr>
            <w:r>
              <w:rPr>
                <w:sz w:val="18"/>
              </w:rPr>
              <w:t>200</w:t>
            </w:r>
          </w:p>
        </w:tc>
        <w:tc>
          <w:tcPr>
            <w:tcW w:w="743" w:type="dxa"/>
            <w:tcBorders>
              <w:top w:val="single" w:sz="6" w:space="0" w:color="000000"/>
              <w:left w:val="single" w:sz="6" w:space="0" w:color="000000"/>
              <w:bottom w:val="single" w:sz="6" w:space="0" w:color="000000"/>
            </w:tcBorders>
          </w:tcPr>
          <w:p>
            <w:pPr>
              <w:pStyle w:val="TableParagraph"/>
              <w:spacing w:before="64"/>
              <w:ind w:left="31" w:right="12"/>
              <w:rPr>
                <w:rFonts w:ascii="宋体" w:eastAsia="宋体" w:hint="eastAsia"/>
                <w:sz w:val="18"/>
              </w:rPr>
            </w:pPr>
            <w:r>
              <w:rPr>
                <w:sz w:val="18"/>
              </w:rPr>
              <w:t>7 </w:t>
            </w:r>
            <w:r>
              <w:rPr>
                <w:rFonts w:ascii="宋体" w:eastAsia="宋体" w:hint="eastAsia"/>
                <w:sz w:val="18"/>
              </w:rPr>
              <w:t>头</w:t>
            </w:r>
            <w:r>
              <w:rPr>
                <w:sz w:val="18"/>
              </w:rPr>
              <w:t>/</w:t>
            </w:r>
            <w:r>
              <w:rPr>
                <w:rFonts w:ascii="宋体" w:eastAsia="宋体" w:hint="eastAsia"/>
                <w:sz w:val="18"/>
              </w:rPr>
              <w:t>栏</w:t>
            </w:r>
          </w:p>
        </w:tc>
      </w:tr>
      <w:tr>
        <w:trPr>
          <w:trHeight w:val="356"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2.2*2.35</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16</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left="15"/>
              <w:rPr>
                <w:sz w:val="18"/>
              </w:rPr>
            </w:pPr>
            <w:r>
              <w:rPr>
                <w:sz w:val="18"/>
              </w:rPr>
              <w:t>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6"/>
              <w:ind w:left="218" w:right="200"/>
              <w:rPr>
                <w:sz w:val="18"/>
              </w:rPr>
            </w:pPr>
            <w:r>
              <w:rPr>
                <w:sz w:val="18"/>
              </w:rPr>
              <w:t>16</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left="105" w:right="88"/>
              <w:rPr>
                <w:sz w:val="18"/>
              </w:rPr>
            </w:pPr>
            <w:r>
              <w:rPr>
                <w:sz w:val="18"/>
              </w:rPr>
              <w:t>96</w:t>
            </w: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tcBorders>
              <w:top w:val="single" w:sz="6" w:space="0" w:color="000000"/>
              <w:left w:val="single" w:sz="6" w:space="0" w:color="000000"/>
              <w:bottom w:val="single" w:sz="6" w:space="0" w:color="000000"/>
            </w:tcBorders>
          </w:tcPr>
          <w:p>
            <w:pPr>
              <w:pStyle w:val="TableParagraph"/>
              <w:spacing w:before="64"/>
              <w:ind w:left="31" w:right="12"/>
              <w:rPr>
                <w:rFonts w:ascii="宋体" w:eastAsia="宋体" w:hint="eastAsia"/>
                <w:sz w:val="18"/>
              </w:rPr>
            </w:pPr>
            <w:r>
              <w:rPr>
                <w:sz w:val="18"/>
              </w:rPr>
              <w:t>6 </w:t>
            </w:r>
            <w:r>
              <w:rPr>
                <w:rFonts w:ascii="宋体" w:eastAsia="宋体" w:hint="eastAsia"/>
                <w:sz w:val="18"/>
              </w:rPr>
              <w:t>头</w:t>
            </w:r>
            <w:r>
              <w:rPr>
                <w:sz w:val="18"/>
              </w:rPr>
              <w:t>/</w:t>
            </w:r>
            <w:r>
              <w:rPr>
                <w:rFonts w:ascii="宋体" w:eastAsia="宋体" w:hint="eastAsia"/>
                <w:sz w:val="18"/>
              </w:rPr>
              <w:t>栏</w:t>
            </w:r>
          </w:p>
        </w:tc>
      </w:tr>
      <w:tr>
        <w:trPr>
          <w:trHeight w:val="360" w:hRule="atLeast"/>
        </w:trPr>
        <w:tc>
          <w:tcPr>
            <w:tcW w:w="641" w:type="dxa"/>
            <w:vMerge w:val="restart"/>
            <w:tcBorders>
              <w:top w:val="single" w:sz="6" w:space="0" w:color="000000"/>
              <w:bottom w:val="single" w:sz="6" w:space="0" w:color="000000"/>
              <w:right w:val="single" w:sz="6" w:space="0" w:color="000000"/>
            </w:tcBorders>
          </w:tcPr>
          <w:p>
            <w:pPr>
              <w:pStyle w:val="TableParagraph"/>
              <w:spacing w:before="11"/>
              <w:jc w:val="left"/>
              <w:rPr>
                <w:rFonts w:ascii="宋体"/>
                <w:b/>
                <w:sz w:val="19"/>
              </w:rPr>
            </w:pPr>
          </w:p>
          <w:p>
            <w:pPr>
              <w:pStyle w:val="TableParagraph"/>
              <w:spacing w:before="0"/>
              <w:ind w:left="49"/>
              <w:jc w:val="left"/>
              <w:rPr>
                <w:rFonts w:ascii="宋体" w:eastAsia="宋体" w:hint="eastAsia"/>
                <w:sz w:val="18"/>
              </w:rPr>
            </w:pPr>
            <w:r>
              <w:rPr>
                <w:rFonts w:ascii="宋体" w:eastAsia="宋体" w:hint="eastAsia"/>
                <w:sz w:val="18"/>
              </w:rPr>
              <w:t>公猪舍</w:t>
            </w:r>
          </w:p>
        </w:tc>
        <w:tc>
          <w:tcPr>
            <w:tcW w:w="10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9"/>
              </w:rPr>
            </w:pPr>
          </w:p>
          <w:p>
            <w:pPr>
              <w:pStyle w:val="TableParagraph"/>
              <w:spacing w:before="0"/>
              <w:ind w:left="66"/>
              <w:jc w:val="left"/>
              <w:rPr>
                <w:rFonts w:ascii="宋体" w:eastAsia="宋体" w:hint="eastAsia"/>
                <w:sz w:val="18"/>
              </w:rPr>
            </w:pPr>
            <w:r>
              <w:rPr>
                <w:rFonts w:ascii="宋体" w:eastAsia="宋体" w:hint="eastAsia"/>
                <w:spacing w:val="-12"/>
                <w:sz w:val="18"/>
              </w:rPr>
              <w:t>车间一 </w:t>
            </w:r>
            <w:r>
              <w:rPr>
                <w:sz w:val="18"/>
              </w:rPr>
              <w:t>3 </w:t>
            </w:r>
            <w:r>
              <w:rPr>
                <w:rFonts w:ascii="宋体" w:eastAsia="宋体" w:hint="eastAsia"/>
                <w:sz w:val="18"/>
              </w:rPr>
              <w:t>层</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before="67"/>
              <w:ind w:left="48" w:right="20"/>
              <w:rPr>
                <w:rFonts w:ascii="宋体" w:eastAsia="宋体" w:hint="eastAsia"/>
                <w:sz w:val="18"/>
              </w:rPr>
            </w:pPr>
            <w:r>
              <w:rPr>
                <w:rFonts w:ascii="宋体" w:eastAsia="宋体" w:hint="eastAsia"/>
                <w:sz w:val="18"/>
              </w:rPr>
              <w:t>种公猪栏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126"/>
              <w:jc w:val="right"/>
              <w:rPr>
                <w:sz w:val="18"/>
              </w:rPr>
            </w:pPr>
            <w:r>
              <w:rPr>
                <w:sz w:val="18"/>
              </w:rPr>
              <w:t>0.7*2.4</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9"/>
              </w:rPr>
            </w:pPr>
          </w:p>
          <w:p>
            <w:pPr>
              <w:pStyle w:val="TableParagraph"/>
              <w:spacing w:before="0"/>
              <w:ind w:left="343"/>
              <w:jc w:val="left"/>
              <w:rPr>
                <w:rFonts w:ascii="宋体" w:eastAsia="宋体" w:hint="eastAsia"/>
                <w:sz w:val="18"/>
              </w:rPr>
            </w:pPr>
            <w:r>
              <w:rPr>
                <w:rFonts w:ascii="宋体" w:eastAsia="宋体" w:hint="eastAsia"/>
                <w:sz w:val="18"/>
              </w:rPr>
              <w:t>种公猪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9"/>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306"/>
              <w:jc w:val="right"/>
              <w:rPr>
                <w:sz w:val="18"/>
              </w:rPr>
            </w:pPr>
            <w:r>
              <w:rPr>
                <w:sz w:val="18"/>
              </w:rPr>
              <w:t>81</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9"/>
              <w:ind w:left="218" w:right="200"/>
              <w:rPr>
                <w:sz w:val="18"/>
              </w:rPr>
            </w:pPr>
            <w:r>
              <w:rPr>
                <w:sz w:val="18"/>
              </w:rPr>
              <w:t>81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left="105" w:right="88"/>
              <w:rPr>
                <w:sz w:val="18"/>
              </w:rPr>
            </w:pPr>
            <w:r>
              <w:rPr>
                <w:sz w:val="18"/>
              </w:rPr>
              <w:t>81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left="103" w:right="88"/>
              <w:rPr>
                <w:sz w:val="18"/>
              </w:rPr>
            </w:pPr>
            <w:r>
              <w:rPr>
                <w:sz w:val="18"/>
              </w:rPr>
              <w:t>80</w:t>
            </w:r>
          </w:p>
        </w:tc>
        <w:tc>
          <w:tcPr>
            <w:tcW w:w="743" w:type="dxa"/>
            <w:tcBorders>
              <w:top w:val="single" w:sz="6" w:space="0" w:color="000000"/>
              <w:left w:val="single" w:sz="6" w:space="0" w:color="000000"/>
              <w:bottom w:val="single" w:sz="6" w:space="0" w:color="000000"/>
            </w:tcBorders>
          </w:tcPr>
          <w:p>
            <w:pPr>
              <w:pStyle w:val="TableParagraph"/>
              <w:spacing w:before="67"/>
              <w:ind w:left="31" w:right="12"/>
              <w:rPr>
                <w:rFonts w:ascii="宋体" w:eastAsia="宋体" w:hint="eastAsia"/>
                <w:sz w:val="18"/>
              </w:rPr>
            </w:pPr>
            <w:r>
              <w:rPr>
                <w:sz w:val="18"/>
              </w:rPr>
              <w:t>1 </w:t>
            </w:r>
            <w:r>
              <w:rPr>
                <w:rFonts w:ascii="宋体" w:eastAsia="宋体" w:hint="eastAsia"/>
                <w:sz w:val="18"/>
              </w:rPr>
              <w:t>头</w:t>
            </w:r>
            <w:r>
              <w:rPr>
                <w:sz w:val="18"/>
              </w:rPr>
              <w:t>/</w:t>
            </w:r>
            <w:r>
              <w:rPr>
                <w:rFonts w:ascii="宋体" w:eastAsia="宋体" w:hint="eastAsia"/>
                <w:sz w:val="18"/>
              </w:rPr>
              <w:t>栏</w:t>
            </w: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before="64"/>
              <w:ind w:left="48" w:right="23"/>
              <w:rPr>
                <w:rFonts w:ascii="宋体" w:eastAsia="宋体" w:hint="eastAsia"/>
                <w:sz w:val="18"/>
              </w:rPr>
            </w:pPr>
            <w:r>
              <w:rPr>
                <w:rFonts w:ascii="宋体" w:eastAsia="宋体" w:hint="eastAsia"/>
                <w:sz w:val="18"/>
              </w:rPr>
              <w:t>福利栏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126"/>
              <w:jc w:val="right"/>
              <w:rPr>
                <w:sz w:val="18"/>
              </w:rPr>
            </w:pPr>
            <w:r>
              <w:rPr>
                <w:sz w:val="18"/>
              </w:rPr>
              <w:t>2.4*2.4</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27</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6"/>
              <w:ind w:left="218" w:right="200"/>
              <w:rPr>
                <w:sz w:val="18"/>
              </w:rPr>
            </w:pPr>
            <w:r>
              <w:rPr>
                <w:sz w:val="18"/>
              </w:rPr>
              <w:t>27</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left="105" w:right="88"/>
              <w:rPr>
                <w:sz w:val="18"/>
              </w:rPr>
            </w:pPr>
            <w:r>
              <w:rPr>
                <w:sz w:val="18"/>
              </w:rPr>
              <w:t>135</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263"/>
              <w:jc w:val="right"/>
              <w:rPr>
                <w:sz w:val="18"/>
              </w:rPr>
            </w:pPr>
            <w:r>
              <w:rPr>
                <w:sz w:val="18"/>
              </w:rPr>
              <w:t>120</w:t>
            </w:r>
          </w:p>
        </w:tc>
        <w:tc>
          <w:tcPr>
            <w:tcW w:w="743" w:type="dxa"/>
            <w:tcBorders>
              <w:top w:val="single" w:sz="6" w:space="0" w:color="000000"/>
              <w:left w:val="single" w:sz="6" w:space="0" w:color="000000"/>
              <w:bottom w:val="single" w:sz="6" w:space="0" w:color="000000"/>
            </w:tcBorders>
          </w:tcPr>
          <w:p>
            <w:pPr>
              <w:pStyle w:val="TableParagraph"/>
              <w:spacing w:before="64"/>
              <w:ind w:left="31" w:right="12"/>
              <w:rPr>
                <w:rFonts w:ascii="宋体" w:eastAsia="宋体" w:hint="eastAsia"/>
                <w:sz w:val="18"/>
              </w:rPr>
            </w:pPr>
            <w:r>
              <w:rPr>
                <w:sz w:val="18"/>
              </w:rPr>
              <w:t>5 </w:t>
            </w:r>
            <w:r>
              <w:rPr>
                <w:rFonts w:ascii="宋体" w:eastAsia="宋体" w:hint="eastAsia"/>
                <w:sz w:val="18"/>
              </w:rPr>
              <w:t>头</w:t>
            </w:r>
            <w:r>
              <w:rPr>
                <w:sz w:val="18"/>
              </w:rPr>
              <w:t>/</w:t>
            </w:r>
            <w:r>
              <w:rPr>
                <w:rFonts w:ascii="宋体" w:eastAsia="宋体" w:hint="eastAsia"/>
                <w:sz w:val="18"/>
              </w:rPr>
              <w:t>栏</w:t>
            </w:r>
          </w:p>
        </w:tc>
      </w:tr>
      <w:tr>
        <w:trPr>
          <w:trHeight w:val="359" w:hRule="atLeast"/>
        </w:trPr>
        <w:tc>
          <w:tcPr>
            <w:tcW w:w="641" w:type="dxa"/>
            <w:tcBorders>
              <w:top w:val="single" w:sz="6" w:space="0" w:color="000000"/>
              <w:bottom w:val="single" w:sz="6" w:space="0" w:color="000000"/>
              <w:right w:val="single" w:sz="6" w:space="0" w:color="000000"/>
            </w:tcBorders>
          </w:tcPr>
          <w:p>
            <w:pPr>
              <w:pStyle w:val="TableParagraph"/>
              <w:spacing w:before="64"/>
              <w:ind w:left="29" w:right="8"/>
              <w:rPr>
                <w:rFonts w:ascii="宋体" w:eastAsia="宋体" w:hint="eastAsia"/>
                <w:sz w:val="18"/>
              </w:rPr>
            </w:pPr>
            <w:r>
              <w:rPr>
                <w:rFonts w:ascii="宋体" w:eastAsia="宋体" w:hint="eastAsia"/>
                <w:sz w:val="18"/>
              </w:rPr>
              <w:t>后备舍</w:t>
            </w:r>
          </w:p>
        </w:tc>
        <w:tc>
          <w:tcPr>
            <w:tcW w:w="1023" w:type="dxa"/>
            <w:tcBorders>
              <w:top w:val="single" w:sz="6" w:space="0" w:color="000000"/>
              <w:left w:val="single" w:sz="6" w:space="0" w:color="000000"/>
              <w:bottom w:val="single" w:sz="6" w:space="0" w:color="000000"/>
              <w:right w:val="single" w:sz="6" w:space="0" w:color="000000"/>
            </w:tcBorders>
          </w:tcPr>
          <w:p>
            <w:pPr>
              <w:pStyle w:val="TableParagraph"/>
              <w:spacing w:before="64"/>
              <w:ind w:left="27"/>
              <w:rPr>
                <w:rFonts w:ascii="宋体" w:eastAsia="宋体" w:hint="eastAsia"/>
                <w:sz w:val="18"/>
              </w:rPr>
            </w:pPr>
            <w:r>
              <w:rPr>
                <w:rFonts w:ascii="宋体" w:eastAsia="宋体" w:hint="eastAsia"/>
                <w:sz w:val="18"/>
              </w:rPr>
              <w:t>车间一 </w:t>
            </w:r>
            <w:r>
              <w:rPr>
                <w:sz w:val="18"/>
              </w:rPr>
              <w:t>3 </w:t>
            </w:r>
            <w:r>
              <w:rPr>
                <w:rFonts w:ascii="宋体" w:eastAsia="宋体" w:hint="eastAsia"/>
                <w:sz w:val="18"/>
              </w:rPr>
              <w:t>层</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before="64"/>
              <w:ind w:left="48" w:right="23"/>
              <w:rPr>
                <w:rFonts w:ascii="宋体" w:eastAsia="宋体" w:hint="eastAsia"/>
                <w:sz w:val="18"/>
              </w:rPr>
            </w:pPr>
            <w:r>
              <w:rPr>
                <w:rFonts w:ascii="宋体" w:eastAsia="宋体" w:hint="eastAsia"/>
                <w:sz w:val="18"/>
              </w:rPr>
              <w:t>后备母猪栏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6.25*3.6</w:t>
            </w:r>
          </w:p>
        </w:tc>
        <w:tc>
          <w:tcPr>
            <w:tcW w:w="1220" w:type="dxa"/>
            <w:tcBorders>
              <w:top w:val="single" w:sz="6" w:space="0" w:color="000000"/>
              <w:left w:val="single" w:sz="6" w:space="0" w:color="000000"/>
              <w:bottom w:val="single" w:sz="6" w:space="0" w:color="000000"/>
              <w:right w:val="single" w:sz="6" w:space="0" w:color="000000"/>
            </w:tcBorders>
          </w:tcPr>
          <w:p>
            <w:pPr>
              <w:pStyle w:val="TableParagraph"/>
              <w:spacing w:before="64"/>
              <w:ind w:left="229" w:right="211"/>
              <w:rPr>
                <w:rFonts w:ascii="宋体" w:eastAsia="宋体" w:hint="eastAsia"/>
                <w:sz w:val="18"/>
              </w:rPr>
            </w:pPr>
            <w:r>
              <w:rPr>
                <w:rFonts w:ascii="宋体" w:eastAsia="宋体" w:hint="eastAsia"/>
                <w:sz w:val="18"/>
              </w:rPr>
              <w:t>后备母猪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20</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6"/>
              <w:ind w:left="218" w:right="200"/>
              <w:rPr>
                <w:sz w:val="18"/>
              </w:rPr>
            </w:pPr>
            <w:r>
              <w:rPr>
                <w:sz w:val="18"/>
              </w:rPr>
              <w:t>20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left="105" w:right="88"/>
              <w:rPr>
                <w:sz w:val="18"/>
              </w:rPr>
            </w:pPr>
            <w:r>
              <w:rPr>
                <w:sz w:val="18"/>
              </w:rPr>
              <w:t>400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263"/>
              <w:jc w:val="right"/>
              <w:rPr>
                <w:sz w:val="18"/>
              </w:rPr>
            </w:pPr>
            <w:r>
              <w:rPr>
                <w:sz w:val="18"/>
              </w:rPr>
              <w:t>400</w:t>
            </w:r>
          </w:p>
        </w:tc>
        <w:tc>
          <w:tcPr>
            <w:tcW w:w="743" w:type="dxa"/>
            <w:tcBorders>
              <w:top w:val="single" w:sz="6" w:space="0" w:color="000000"/>
              <w:left w:val="single" w:sz="6" w:space="0" w:color="000000"/>
              <w:bottom w:val="single" w:sz="6" w:space="0" w:color="000000"/>
            </w:tcBorders>
          </w:tcPr>
          <w:p>
            <w:pPr>
              <w:pStyle w:val="TableParagraph"/>
              <w:spacing w:before="64"/>
              <w:ind w:left="31" w:right="13"/>
              <w:rPr>
                <w:rFonts w:ascii="宋体" w:eastAsia="宋体" w:hint="eastAsia"/>
                <w:sz w:val="18"/>
              </w:rPr>
            </w:pPr>
            <w:r>
              <w:rPr>
                <w:sz w:val="18"/>
              </w:rPr>
              <w:t>20 </w:t>
            </w:r>
            <w:r>
              <w:rPr>
                <w:rFonts w:ascii="宋体" w:eastAsia="宋体" w:hint="eastAsia"/>
                <w:sz w:val="18"/>
              </w:rPr>
              <w:t>头</w:t>
            </w:r>
            <w:r>
              <w:rPr>
                <w:sz w:val="18"/>
              </w:rPr>
              <w:t>/</w:t>
            </w:r>
            <w:r>
              <w:rPr>
                <w:rFonts w:ascii="宋体" w:eastAsia="宋体" w:hint="eastAsia"/>
                <w:sz w:val="18"/>
              </w:rPr>
              <w:t>栏</w:t>
            </w:r>
          </w:p>
        </w:tc>
      </w:tr>
      <w:tr>
        <w:trPr>
          <w:trHeight w:val="356" w:hRule="atLeast"/>
        </w:trPr>
        <w:tc>
          <w:tcPr>
            <w:tcW w:w="641"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jc w:val="left"/>
              <w:rPr>
                <w:rFonts w:ascii="宋体"/>
                <w:b/>
                <w:sz w:val="18"/>
              </w:rPr>
            </w:pPr>
          </w:p>
          <w:p>
            <w:pPr>
              <w:pStyle w:val="TableParagraph"/>
              <w:spacing w:before="0"/>
              <w:ind w:left="49"/>
              <w:jc w:val="left"/>
              <w:rPr>
                <w:rFonts w:ascii="宋体" w:eastAsia="宋体" w:hint="eastAsia"/>
                <w:sz w:val="18"/>
              </w:rPr>
            </w:pPr>
            <w:r>
              <w:rPr>
                <w:rFonts w:ascii="宋体" w:eastAsia="宋体" w:hint="eastAsia"/>
                <w:sz w:val="18"/>
              </w:rPr>
              <w:t>育肥舍</w:t>
            </w:r>
          </w:p>
        </w:tc>
        <w:tc>
          <w:tcPr>
            <w:tcW w:w="10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14"/>
              </w:rPr>
            </w:pPr>
          </w:p>
          <w:p>
            <w:pPr>
              <w:pStyle w:val="TableParagraph"/>
              <w:spacing w:before="0"/>
              <w:ind w:left="66"/>
              <w:jc w:val="left"/>
              <w:rPr>
                <w:rFonts w:ascii="宋体" w:eastAsia="宋体" w:hint="eastAsia"/>
                <w:sz w:val="18"/>
              </w:rPr>
            </w:pPr>
            <w:r>
              <w:rPr>
                <w:rFonts w:ascii="宋体" w:eastAsia="宋体" w:hint="eastAsia"/>
                <w:spacing w:val="-12"/>
                <w:sz w:val="18"/>
              </w:rPr>
              <w:t>车间一 </w:t>
            </w:r>
            <w:r>
              <w:rPr>
                <w:sz w:val="18"/>
              </w:rPr>
              <w:t>3 </w:t>
            </w:r>
            <w:r>
              <w:rPr>
                <w:rFonts w:ascii="宋体" w:eastAsia="宋体" w:hint="eastAsia"/>
                <w:sz w:val="18"/>
              </w:rPr>
              <w:t>层</w:t>
            </w:r>
          </w:p>
        </w:tc>
        <w:tc>
          <w:tcPr>
            <w:tcW w:w="10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3"/>
              <w:jc w:val="left"/>
              <w:rPr>
                <w:rFonts w:ascii="宋体"/>
                <w:b/>
                <w:sz w:val="16"/>
              </w:rPr>
            </w:pPr>
          </w:p>
          <w:p>
            <w:pPr>
              <w:pStyle w:val="TableParagraph"/>
              <w:spacing w:before="0"/>
              <w:ind w:left="248"/>
              <w:jc w:val="left"/>
              <w:rPr>
                <w:rFonts w:ascii="宋体" w:eastAsia="宋体" w:hint="eastAsia"/>
                <w:sz w:val="18"/>
              </w:rPr>
            </w:pPr>
            <w:r>
              <w:rPr>
                <w:rFonts w:ascii="宋体" w:eastAsia="宋体" w:hint="eastAsia"/>
                <w:sz w:val="18"/>
              </w:rPr>
              <w:t>育肥栏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6.25*3.6</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3"/>
              <w:jc w:val="left"/>
              <w:rPr>
                <w:rFonts w:ascii="宋体"/>
                <w:b/>
                <w:sz w:val="16"/>
              </w:rPr>
            </w:pPr>
          </w:p>
          <w:p>
            <w:pPr>
              <w:pStyle w:val="TableParagraph"/>
              <w:spacing w:before="0"/>
              <w:ind w:left="343"/>
              <w:jc w:val="left"/>
              <w:rPr>
                <w:rFonts w:ascii="宋体" w:eastAsia="宋体" w:hint="eastAsia"/>
                <w:sz w:val="18"/>
              </w:rPr>
            </w:pPr>
            <w:r>
              <w:rPr>
                <w:rFonts w:ascii="宋体" w:eastAsia="宋体" w:hint="eastAsia"/>
                <w:sz w:val="18"/>
              </w:rPr>
              <w:t>育肥猪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13</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20</w:t>
            </w:r>
          </w:p>
        </w:tc>
        <w:tc>
          <w:tcPr>
            <w:tcW w:w="83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20"/>
              </w:rPr>
            </w:pPr>
          </w:p>
          <w:p>
            <w:pPr>
              <w:pStyle w:val="TableParagraph"/>
              <w:spacing w:before="0"/>
              <w:ind w:left="237"/>
              <w:jc w:val="left"/>
              <w:rPr>
                <w:sz w:val="18"/>
              </w:rPr>
            </w:pPr>
            <w:r>
              <w:rPr>
                <w:sz w:val="18"/>
              </w:rPr>
              <w:t>1320</w:t>
            </w:r>
          </w:p>
        </w:tc>
        <w:tc>
          <w:tcPr>
            <w:tcW w:w="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20"/>
              </w:rPr>
            </w:pPr>
          </w:p>
          <w:p>
            <w:pPr>
              <w:pStyle w:val="TableParagraph"/>
              <w:spacing w:before="0"/>
              <w:ind w:left="191"/>
              <w:jc w:val="left"/>
              <w:rPr>
                <w:sz w:val="18"/>
              </w:rPr>
            </w:pPr>
            <w:r>
              <w:rPr>
                <w:sz w:val="18"/>
              </w:rPr>
              <w:t>31680</w:t>
            </w:r>
          </w:p>
        </w:tc>
        <w:tc>
          <w:tcPr>
            <w:tcW w:w="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20"/>
              </w:rPr>
            </w:pPr>
          </w:p>
          <w:p>
            <w:pPr>
              <w:pStyle w:val="TableParagraph"/>
              <w:spacing w:before="0"/>
              <w:ind w:left="190"/>
              <w:jc w:val="left"/>
              <w:rPr>
                <w:sz w:val="18"/>
              </w:rPr>
            </w:pPr>
            <w:r>
              <w:rPr>
                <w:sz w:val="18"/>
              </w:rPr>
              <w:t>29247</w:t>
            </w:r>
          </w:p>
        </w:tc>
        <w:tc>
          <w:tcPr>
            <w:tcW w:w="743" w:type="dxa"/>
            <w:vMerge w:val="restart"/>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ind w:left="50"/>
              <w:jc w:val="left"/>
              <w:rPr>
                <w:rFonts w:ascii="宋体" w:eastAsia="宋体" w:hint="eastAsia"/>
                <w:sz w:val="18"/>
              </w:rPr>
            </w:pPr>
            <w:r>
              <w:rPr>
                <w:sz w:val="18"/>
              </w:rPr>
              <w:t>24 </w:t>
            </w:r>
            <w:r>
              <w:rPr>
                <w:rFonts w:ascii="宋体" w:eastAsia="宋体" w:hint="eastAsia"/>
                <w:sz w:val="18"/>
              </w:rPr>
              <w:t>头</w:t>
            </w:r>
            <w:r>
              <w:rPr>
                <w:sz w:val="18"/>
              </w:rPr>
              <w:t>/</w:t>
            </w:r>
            <w:r>
              <w:rPr>
                <w:rFonts w:ascii="宋体" w:eastAsia="宋体" w:hint="eastAsia"/>
                <w:sz w:val="18"/>
              </w:rPr>
              <w:t>栏</w:t>
            </w: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81"/>
              <w:jc w:val="right"/>
              <w:rPr>
                <w:sz w:val="18"/>
              </w:rPr>
            </w:pPr>
            <w:r>
              <w:rPr>
                <w:sz w:val="18"/>
              </w:rPr>
              <w:t>4.93*3.6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9"/>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4.37*3.6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14"/>
              </w:rPr>
            </w:pPr>
          </w:p>
          <w:p>
            <w:pPr>
              <w:pStyle w:val="TableParagraph"/>
              <w:spacing w:before="0"/>
              <w:ind w:left="66"/>
              <w:jc w:val="left"/>
              <w:rPr>
                <w:rFonts w:ascii="宋体" w:eastAsia="宋体" w:hint="eastAsia"/>
                <w:sz w:val="18"/>
              </w:rPr>
            </w:pPr>
            <w:r>
              <w:rPr>
                <w:rFonts w:ascii="宋体" w:eastAsia="宋体" w:hint="eastAsia"/>
                <w:spacing w:val="-12"/>
                <w:sz w:val="18"/>
              </w:rPr>
              <w:t>车间一 </w:t>
            </w:r>
            <w:r>
              <w:rPr>
                <w:sz w:val="18"/>
              </w:rPr>
              <w:t>2 </w:t>
            </w:r>
            <w:r>
              <w:rPr>
                <w:rFonts w:ascii="宋体" w:eastAsia="宋体" w:hint="eastAsia"/>
                <w:sz w:val="18"/>
              </w:rPr>
              <w:t>层</w:t>
            </w:r>
          </w:p>
        </w:tc>
        <w:tc>
          <w:tcPr>
            <w:tcW w:w="10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3"/>
              <w:jc w:val="left"/>
              <w:rPr>
                <w:rFonts w:ascii="宋体"/>
                <w:b/>
                <w:sz w:val="16"/>
              </w:rPr>
            </w:pPr>
          </w:p>
          <w:p>
            <w:pPr>
              <w:pStyle w:val="TableParagraph"/>
              <w:spacing w:before="0"/>
              <w:ind w:left="248"/>
              <w:jc w:val="left"/>
              <w:rPr>
                <w:rFonts w:ascii="宋体" w:eastAsia="宋体" w:hint="eastAsia"/>
                <w:sz w:val="18"/>
              </w:rPr>
            </w:pPr>
            <w:r>
              <w:rPr>
                <w:rFonts w:ascii="宋体" w:eastAsia="宋体" w:hint="eastAsia"/>
                <w:sz w:val="18"/>
              </w:rPr>
              <w:t>育肥栏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6.25*3.6</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3"/>
              <w:jc w:val="left"/>
              <w:rPr>
                <w:rFonts w:ascii="宋体"/>
                <w:b/>
                <w:sz w:val="16"/>
              </w:rPr>
            </w:pPr>
          </w:p>
          <w:p>
            <w:pPr>
              <w:pStyle w:val="TableParagraph"/>
              <w:spacing w:before="0"/>
              <w:ind w:left="343"/>
              <w:jc w:val="left"/>
              <w:rPr>
                <w:rFonts w:ascii="宋体" w:eastAsia="宋体" w:hint="eastAsia"/>
                <w:sz w:val="18"/>
              </w:rPr>
            </w:pPr>
            <w:r>
              <w:rPr>
                <w:rFonts w:ascii="宋体" w:eastAsia="宋体" w:hint="eastAsia"/>
                <w:sz w:val="18"/>
              </w:rPr>
              <w:t>育肥猪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15</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20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7"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4.93*3.6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81"/>
              <w:jc w:val="right"/>
              <w:rPr>
                <w:sz w:val="18"/>
              </w:rPr>
            </w:pPr>
            <w:r>
              <w:rPr>
                <w:sz w:val="18"/>
              </w:rPr>
              <w:t>4.37*3.6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9"/>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14"/>
              </w:rPr>
            </w:pPr>
          </w:p>
          <w:p>
            <w:pPr>
              <w:pStyle w:val="TableParagraph"/>
              <w:spacing w:before="0"/>
              <w:ind w:left="66"/>
              <w:jc w:val="left"/>
              <w:rPr>
                <w:rFonts w:ascii="宋体" w:eastAsia="宋体" w:hint="eastAsia"/>
                <w:sz w:val="18"/>
              </w:rPr>
            </w:pPr>
            <w:r>
              <w:rPr>
                <w:rFonts w:ascii="宋体" w:eastAsia="宋体" w:hint="eastAsia"/>
                <w:spacing w:val="-12"/>
                <w:sz w:val="18"/>
              </w:rPr>
              <w:t>车间一 </w:t>
            </w:r>
            <w:r>
              <w:rPr>
                <w:sz w:val="18"/>
              </w:rPr>
              <w:t>1 </w:t>
            </w:r>
            <w:r>
              <w:rPr>
                <w:rFonts w:ascii="宋体" w:eastAsia="宋体" w:hint="eastAsia"/>
                <w:sz w:val="18"/>
              </w:rPr>
              <w:t>层</w:t>
            </w:r>
          </w:p>
        </w:tc>
        <w:tc>
          <w:tcPr>
            <w:tcW w:w="10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3"/>
              <w:jc w:val="left"/>
              <w:rPr>
                <w:rFonts w:ascii="宋体"/>
                <w:b/>
                <w:sz w:val="16"/>
              </w:rPr>
            </w:pPr>
          </w:p>
          <w:p>
            <w:pPr>
              <w:pStyle w:val="TableParagraph"/>
              <w:spacing w:before="0"/>
              <w:ind w:left="248"/>
              <w:jc w:val="left"/>
              <w:rPr>
                <w:rFonts w:ascii="宋体" w:eastAsia="宋体" w:hint="eastAsia"/>
                <w:sz w:val="18"/>
              </w:rPr>
            </w:pPr>
            <w:r>
              <w:rPr>
                <w:rFonts w:ascii="宋体" w:eastAsia="宋体" w:hint="eastAsia"/>
                <w:sz w:val="18"/>
              </w:rPr>
              <w:t>育肥栏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7"/>
              <w:ind w:right="81"/>
              <w:jc w:val="right"/>
              <w:rPr>
                <w:sz w:val="18"/>
              </w:rPr>
            </w:pPr>
            <w:r>
              <w:rPr>
                <w:sz w:val="18"/>
              </w:rPr>
              <w:t>6.25*3.6</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3"/>
              <w:jc w:val="left"/>
              <w:rPr>
                <w:rFonts w:ascii="宋体"/>
                <w:b/>
                <w:sz w:val="16"/>
              </w:rPr>
            </w:pPr>
          </w:p>
          <w:p>
            <w:pPr>
              <w:pStyle w:val="TableParagraph"/>
              <w:spacing w:before="0"/>
              <w:ind w:left="343"/>
              <w:jc w:val="left"/>
              <w:rPr>
                <w:rFonts w:ascii="宋体" w:eastAsia="宋体" w:hint="eastAsia"/>
                <w:sz w:val="18"/>
              </w:rPr>
            </w:pPr>
            <w:r>
              <w:rPr>
                <w:rFonts w:ascii="宋体" w:eastAsia="宋体" w:hint="eastAsia"/>
                <w:sz w:val="18"/>
              </w:rPr>
              <w:t>育肥猪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7"/>
              <w:ind w:left="28" w:right="6"/>
              <w:rPr>
                <w:sz w:val="18"/>
              </w:rPr>
            </w:pPr>
            <w:r>
              <w:rPr>
                <w:sz w:val="18"/>
              </w:rPr>
              <w:t>15</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7"/>
              <w:ind w:right="306"/>
              <w:jc w:val="right"/>
              <w:rPr>
                <w:sz w:val="18"/>
              </w:rPr>
            </w:pPr>
            <w:r>
              <w:rPr>
                <w:sz w:val="18"/>
              </w:rPr>
              <w:t>20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4.93*3.6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7"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81"/>
              <w:jc w:val="right"/>
              <w:rPr>
                <w:sz w:val="18"/>
              </w:rPr>
            </w:pPr>
            <w:r>
              <w:rPr>
                <w:sz w:val="18"/>
              </w:rPr>
              <w:t>4.37*3.6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19"/>
              </w:rPr>
            </w:pPr>
          </w:p>
          <w:p>
            <w:pPr>
              <w:pStyle w:val="TableParagraph"/>
              <w:spacing w:before="0"/>
              <w:ind w:left="66"/>
              <w:jc w:val="left"/>
              <w:rPr>
                <w:rFonts w:ascii="宋体" w:eastAsia="宋体" w:hint="eastAsia"/>
                <w:sz w:val="18"/>
              </w:rPr>
            </w:pPr>
            <w:r>
              <w:rPr>
                <w:rFonts w:ascii="宋体" w:eastAsia="宋体" w:hint="eastAsia"/>
                <w:spacing w:val="-12"/>
                <w:sz w:val="18"/>
              </w:rPr>
              <w:t>车间二 </w:t>
            </w:r>
            <w:r>
              <w:rPr>
                <w:sz w:val="18"/>
              </w:rPr>
              <w:t>2 </w:t>
            </w:r>
            <w:r>
              <w:rPr>
                <w:rFonts w:ascii="宋体" w:eastAsia="宋体" w:hint="eastAsia"/>
                <w:sz w:val="18"/>
              </w:rPr>
              <w:t>层</w:t>
            </w:r>
          </w:p>
        </w:tc>
        <w:tc>
          <w:tcPr>
            <w:tcW w:w="10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19"/>
              </w:rPr>
            </w:pPr>
          </w:p>
          <w:p>
            <w:pPr>
              <w:pStyle w:val="TableParagraph"/>
              <w:spacing w:before="0"/>
              <w:ind w:left="248"/>
              <w:jc w:val="left"/>
              <w:rPr>
                <w:rFonts w:ascii="宋体" w:eastAsia="宋体" w:hint="eastAsia"/>
                <w:sz w:val="18"/>
              </w:rPr>
            </w:pPr>
            <w:r>
              <w:rPr>
                <w:rFonts w:ascii="宋体" w:eastAsia="宋体" w:hint="eastAsia"/>
                <w:sz w:val="18"/>
              </w:rPr>
              <w:t>育肥栏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126"/>
              <w:jc w:val="right"/>
              <w:rPr>
                <w:sz w:val="18"/>
              </w:rPr>
            </w:pPr>
            <w:r>
              <w:rPr>
                <w:sz w:val="18"/>
              </w:rPr>
              <w:t>7.0*3.6</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19"/>
              </w:rPr>
            </w:pPr>
          </w:p>
          <w:p>
            <w:pPr>
              <w:pStyle w:val="TableParagraph"/>
              <w:spacing w:before="0"/>
              <w:ind w:left="343"/>
              <w:jc w:val="left"/>
              <w:rPr>
                <w:rFonts w:ascii="宋体" w:eastAsia="宋体" w:hint="eastAsia"/>
                <w:sz w:val="18"/>
              </w:rPr>
            </w:pPr>
            <w:r>
              <w:rPr>
                <w:rFonts w:ascii="宋体" w:eastAsia="宋体" w:hint="eastAsia"/>
                <w:sz w:val="18"/>
              </w:rPr>
              <w:t>育肥猪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9"/>
              <w:ind w:left="28" w:right="6"/>
              <w:rPr>
                <w:sz w:val="18"/>
              </w:rPr>
            </w:pPr>
            <w:r>
              <w:rPr>
                <w:sz w:val="18"/>
              </w:rPr>
              <w:t>10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126"/>
              <w:jc w:val="right"/>
              <w:rPr>
                <w:sz w:val="18"/>
              </w:rPr>
            </w:pPr>
            <w:r>
              <w:rPr>
                <w:sz w:val="18"/>
              </w:rPr>
              <w:t>6.4*3.6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66"/>
              <w:jc w:val="left"/>
              <w:rPr>
                <w:rFonts w:ascii="宋体" w:eastAsia="宋体" w:hint="eastAsia"/>
                <w:sz w:val="18"/>
              </w:rPr>
            </w:pPr>
            <w:r>
              <w:rPr>
                <w:rFonts w:ascii="宋体" w:eastAsia="宋体" w:hint="eastAsia"/>
                <w:spacing w:val="-12"/>
                <w:sz w:val="18"/>
              </w:rPr>
              <w:t>车间二 </w:t>
            </w:r>
            <w:r>
              <w:rPr>
                <w:sz w:val="18"/>
              </w:rPr>
              <w:t>1 </w:t>
            </w:r>
            <w:r>
              <w:rPr>
                <w:rFonts w:ascii="宋体" w:eastAsia="宋体" w:hint="eastAsia"/>
                <w:sz w:val="18"/>
              </w:rPr>
              <w:t>层</w:t>
            </w:r>
          </w:p>
        </w:tc>
        <w:tc>
          <w:tcPr>
            <w:tcW w:w="102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248"/>
              <w:jc w:val="left"/>
              <w:rPr>
                <w:rFonts w:ascii="宋体" w:eastAsia="宋体" w:hint="eastAsia"/>
                <w:sz w:val="18"/>
              </w:rPr>
            </w:pPr>
            <w:r>
              <w:rPr>
                <w:rFonts w:ascii="宋体" w:eastAsia="宋体" w:hint="eastAsia"/>
                <w:sz w:val="18"/>
              </w:rPr>
              <w:t>育肥栏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126"/>
              <w:jc w:val="right"/>
              <w:rPr>
                <w:sz w:val="18"/>
              </w:rPr>
            </w:pPr>
            <w:r>
              <w:rPr>
                <w:sz w:val="18"/>
              </w:rPr>
              <w:t>7.0*3.6</w:t>
            </w:r>
          </w:p>
        </w:tc>
        <w:tc>
          <w:tcPr>
            <w:tcW w:w="122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343"/>
              <w:jc w:val="left"/>
              <w:rPr>
                <w:rFonts w:ascii="宋体" w:eastAsia="宋体" w:hint="eastAsia"/>
                <w:sz w:val="18"/>
              </w:rPr>
            </w:pPr>
            <w:r>
              <w:rPr>
                <w:rFonts w:ascii="宋体" w:eastAsia="宋体" w:hint="eastAsia"/>
                <w:sz w:val="18"/>
              </w:rPr>
              <w:t>育肥猪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6" w:hRule="atLeast"/>
        </w:trPr>
        <w:tc>
          <w:tcPr>
            <w:tcW w:w="641" w:type="dxa"/>
            <w:vMerge/>
            <w:tcBorders>
              <w:top w:val="nil"/>
              <w:bottom w:val="single" w:sz="6" w:space="0" w:color="000000"/>
              <w:right w:val="single" w:sz="6" w:space="0" w:color="000000"/>
            </w:tcBorders>
          </w:tcPr>
          <w:p>
            <w:pPr>
              <w:rPr>
                <w:sz w:val="2"/>
                <w:szCs w:val="2"/>
              </w:rPr>
            </w:pPr>
          </w:p>
        </w:tc>
        <w:tc>
          <w:tcPr>
            <w:tcW w:w="1023" w:type="dxa"/>
            <w:vMerge/>
            <w:tcBorders>
              <w:top w:val="nil"/>
              <w:left w:val="single" w:sz="6" w:space="0" w:color="000000"/>
              <w:bottom w:val="single" w:sz="6" w:space="0" w:color="000000"/>
              <w:right w:val="single" w:sz="6" w:space="0" w:color="000000"/>
            </w:tcBorders>
          </w:tcPr>
          <w:p>
            <w:pPr>
              <w:rPr>
                <w:sz w:val="2"/>
                <w:szCs w:val="2"/>
              </w:rPr>
            </w:pPr>
          </w:p>
        </w:tc>
        <w:tc>
          <w:tcPr>
            <w:tcW w:w="1026" w:type="dxa"/>
            <w:vMerge/>
            <w:tcBorders>
              <w:top w:val="nil"/>
              <w:left w:val="single" w:sz="6" w:space="0" w:color="000000"/>
              <w:bottom w:val="single" w:sz="6" w:space="0" w:color="000000"/>
              <w:right w:val="single" w:sz="6" w:space="0" w:color="000000"/>
            </w:tcBorders>
          </w:tcPr>
          <w:p>
            <w:pPr>
              <w:rPr>
                <w:sz w:val="2"/>
                <w:szCs w:val="2"/>
              </w:rPr>
            </w:pP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126"/>
              <w:jc w:val="right"/>
              <w:rPr>
                <w:sz w:val="18"/>
              </w:rPr>
            </w:pPr>
            <w:r>
              <w:rPr>
                <w:sz w:val="18"/>
              </w:rPr>
              <w:t>6.4*3.6</w:t>
            </w:r>
          </w:p>
        </w:tc>
        <w:tc>
          <w:tcPr>
            <w:tcW w:w="1220" w:type="dxa"/>
            <w:vMerge/>
            <w:tcBorders>
              <w:top w:val="nil"/>
              <w:left w:val="single" w:sz="6" w:space="0" w:color="000000"/>
              <w:bottom w:val="single" w:sz="6" w:space="0" w:color="000000"/>
              <w:right w:val="single" w:sz="6" w:space="0" w:color="000000"/>
            </w:tcBorders>
          </w:tcPr>
          <w:p>
            <w:pPr>
              <w:rPr>
                <w:sz w:val="2"/>
                <w:szCs w:val="2"/>
              </w:rPr>
            </w:pP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10</w:t>
            </w:r>
          </w:p>
        </w:tc>
        <w:tc>
          <w:tcPr>
            <w:tcW w:w="837"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836" w:type="dxa"/>
            <w:vMerge/>
            <w:tcBorders>
              <w:top w:val="nil"/>
              <w:left w:val="single" w:sz="6" w:space="0" w:color="000000"/>
              <w:bottom w:val="single" w:sz="6" w:space="0" w:color="000000"/>
              <w:right w:val="single" w:sz="6" w:space="0" w:color="000000"/>
            </w:tcBorders>
          </w:tcPr>
          <w:p>
            <w:pPr>
              <w:rPr>
                <w:sz w:val="2"/>
                <w:szCs w:val="2"/>
              </w:rPr>
            </w:pPr>
          </w:p>
        </w:tc>
        <w:tc>
          <w:tcPr>
            <w:tcW w:w="743" w:type="dxa"/>
            <w:vMerge/>
            <w:tcBorders>
              <w:top w:val="nil"/>
              <w:left w:val="single" w:sz="6" w:space="0" w:color="000000"/>
              <w:bottom w:val="single" w:sz="6" w:space="0" w:color="000000"/>
            </w:tcBorders>
          </w:tcPr>
          <w:p>
            <w:pPr>
              <w:rPr>
                <w:sz w:val="2"/>
                <w:szCs w:val="2"/>
              </w:rPr>
            </w:pPr>
          </w:p>
        </w:tc>
      </w:tr>
      <w:tr>
        <w:trPr>
          <w:trHeight w:val="359" w:hRule="atLeast"/>
        </w:trPr>
        <w:tc>
          <w:tcPr>
            <w:tcW w:w="641" w:type="dxa"/>
            <w:tcBorders>
              <w:top w:val="single" w:sz="6" w:space="0" w:color="000000"/>
              <w:bottom w:val="single" w:sz="6" w:space="0" w:color="000000"/>
              <w:right w:val="single" w:sz="6" w:space="0" w:color="000000"/>
            </w:tcBorders>
          </w:tcPr>
          <w:p>
            <w:pPr>
              <w:pStyle w:val="TableParagraph"/>
              <w:spacing w:before="67"/>
              <w:ind w:left="29" w:right="8"/>
              <w:rPr>
                <w:rFonts w:ascii="宋体" w:eastAsia="宋体" w:hint="eastAsia"/>
                <w:sz w:val="18"/>
              </w:rPr>
            </w:pPr>
            <w:r>
              <w:rPr>
                <w:rFonts w:ascii="宋体" w:eastAsia="宋体" w:hint="eastAsia"/>
                <w:sz w:val="18"/>
              </w:rPr>
              <w:t>保育舍</w:t>
            </w:r>
          </w:p>
        </w:tc>
        <w:tc>
          <w:tcPr>
            <w:tcW w:w="1023" w:type="dxa"/>
            <w:tcBorders>
              <w:top w:val="single" w:sz="6" w:space="0" w:color="000000"/>
              <w:left w:val="single" w:sz="6" w:space="0" w:color="000000"/>
              <w:bottom w:val="single" w:sz="6" w:space="0" w:color="000000"/>
              <w:right w:val="single" w:sz="6" w:space="0" w:color="000000"/>
            </w:tcBorders>
          </w:tcPr>
          <w:p>
            <w:pPr>
              <w:pStyle w:val="TableParagraph"/>
              <w:spacing w:before="67"/>
              <w:ind w:left="27"/>
              <w:rPr>
                <w:rFonts w:ascii="宋体" w:eastAsia="宋体" w:hint="eastAsia"/>
                <w:sz w:val="18"/>
              </w:rPr>
            </w:pPr>
            <w:r>
              <w:rPr>
                <w:rFonts w:ascii="宋体" w:eastAsia="宋体" w:hint="eastAsia"/>
                <w:sz w:val="18"/>
              </w:rPr>
              <w:t>车间二 </w:t>
            </w:r>
            <w:r>
              <w:rPr>
                <w:sz w:val="18"/>
              </w:rPr>
              <w:t>3 </w:t>
            </w:r>
            <w:r>
              <w:rPr>
                <w:rFonts w:ascii="宋体" w:eastAsia="宋体" w:hint="eastAsia"/>
                <w:sz w:val="18"/>
              </w:rPr>
              <w:t>层</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before="67"/>
              <w:ind w:left="48" w:right="23"/>
              <w:rPr>
                <w:rFonts w:ascii="宋体" w:eastAsia="宋体" w:hint="eastAsia"/>
                <w:sz w:val="18"/>
              </w:rPr>
            </w:pPr>
            <w:r>
              <w:rPr>
                <w:rFonts w:ascii="宋体" w:eastAsia="宋体" w:hint="eastAsia"/>
                <w:sz w:val="18"/>
              </w:rPr>
              <w:t>保育栏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126"/>
              <w:jc w:val="right"/>
              <w:rPr>
                <w:sz w:val="18"/>
              </w:rPr>
            </w:pPr>
            <w:r>
              <w:rPr>
                <w:sz w:val="18"/>
              </w:rPr>
              <w:t>3.1*2.8</w:t>
            </w:r>
          </w:p>
        </w:tc>
        <w:tc>
          <w:tcPr>
            <w:tcW w:w="1220" w:type="dxa"/>
            <w:tcBorders>
              <w:top w:val="single" w:sz="6" w:space="0" w:color="000000"/>
              <w:left w:val="single" w:sz="6" w:space="0" w:color="000000"/>
              <w:bottom w:val="single" w:sz="6" w:space="0" w:color="000000"/>
              <w:right w:val="single" w:sz="6" w:space="0" w:color="000000"/>
            </w:tcBorders>
          </w:tcPr>
          <w:p>
            <w:pPr>
              <w:pStyle w:val="TableParagraph"/>
              <w:spacing w:before="67"/>
              <w:ind w:left="229" w:right="211"/>
              <w:rPr>
                <w:rFonts w:ascii="宋体" w:eastAsia="宋体" w:hint="eastAsia"/>
                <w:sz w:val="18"/>
              </w:rPr>
            </w:pPr>
            <w:r>
              <w:rPr>
                <w:rFonts w:ascii="宋体" w:eastAsia="宋体" w:hint="eastAsia"/>
                <w:sz w:val="18"/>
              </w:rPr>
              <w:t>断奶仔猪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9"/>
              <w:ind w:left="28" w:right="6"/>
              <w:rPr>
                <w:sz w:val="18"/>
              </w:rPr>
            </w:pPr>
            <w:r>
              <w:rPr>
                <w:sz w:val="18"/>
              </w:rPr>
              <w:t>20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306"/>
              <w:jc w:val="right"/>
              <w:rPr>
                <w:sz w:val="18"/>
              </w:rPr>
            </w:pPr>
            <w:r>
              <w:rPr>
                <w:sz w:val="18"/>
              </w:rPr>
              <w:t>26</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9"/>
              <w:ind w:left="218" w:right="200"/>
              <w:rPr>
                <w:sz w:val="18"/>
              </w:rPr>
            </w:pPr>
            <w:r>
              <w:rPr>
                <w:sz w:val="18"/>
              </w:rPr>
              <w:t>520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88"/>
              <w:rPr>
                <w:sz w:val="18"/>
              </w:rPr>
            </w:pPr>
            <w:r>
              <w:rPr>
                <w:sz w:val="18"/>
              </w:rPr>
              <w:t>12480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9"/>
              <w:ind w:right="179"/>
              <w:jc w:val="right"/>
              <w:rPr>
                <w:sz w:val="18"/>
              </w:rPr>
            </w:pPr>
            <w:r>
              <w:rPr>
                <w:sz w:val="18"/>
              </w:rPr>
              <w:t>11642</w:t>
            </w:r>
          </w:p>
        </w:tc>
        <w:tc>
          <w:tcPr>
            <w:tcW w:w="743" w:type="dxa"/>
            <w:tcBorders>
              <w:top w:val="single" w:sz="6" w:space="0" w:color="000000"/>
              <w:left w:val="single" w:sz="6" w:space="0" w:color="000000"/>
              <w:bottom w:val="single" w:sz="6" w:space="0" w:color="000000"/>
            </w:tcBorders>
          </w:tcPr>
          <w:p>
            <w:pPr>
              <w:pStyle w:val="TableParagraph"/>
              <w:spacing w:before="67"/>
              <w:ind w:left="31" w:right="13"/>
              <w:rPr>
                <w:rFonts w:ascii="宋体" w:eastAsia="宋体" w:hint="eastAsia"/>
                <w:sz w:val="18"/>
              </w:rPr>
            </w:pPr>
            <w:r>
              <w:rPr>
                <w:sz w:val="18"/>
              </w:rPr>
              <w:t>24 </w:t>
            </w:r>
            <w:r>
              <w:rPr>
                <w:rFonts w:ascii="宋体" w:eastAsia="宋体" w:hint="eastAsia"/>
                <w:sz w:val="18"/>
              </w:rPr>
              <w:t>头</w:t>
            </w:r>
            <w:r>
              <w:rPr>
                <w:sz w:val="18"/>
              </w:rPr>
              <w:t>/</w:t>
            </w:r>
            <w:r>
              <w:rPr>
                <w:rFonts w:ascii="宋体" w:eastAsia="宋体" w:hint="eastAsia"/>
                <w:sz w:val="18"/>
              </w:rPr>
              <w:t>栏</w:t>
            </w:r>
          </w:p>
        </w:tc>
      </w:tr>
      <w:tr>
        <w:trPr>
          <w:trHeight w:val="359" w:hRule="atLeast"/>
        </w:trPr>
        <w:tc>
          <w:tcPr>
            <w:tcW w:w="641" w:type="dxa"/>
            <w:tcBorders>
              <w:top w:val="single" w:sz="6" w:space="0" w:color="000000"/>
              <w:bottom w:val="single" w:sz="6" w:space="0" w:color="000000"/>
              <w:right w:val="single" w:sz="6" w:space="0" w:color="000000"/>
            </w:tcBorders>
          </w:tcPr>
          <w:p>
            <w:pPr>
              <w:pStyle w:val="TableParagraph"/>
              <w:spacing w:before="64"/>
              <w:ind w:left="29" w:right="8"/>
              <w:rPr>
                <w:rFonts w:ascii="宋体" w:eastAsia="宋体" w:hint="eastAsia"/>
                <w:sz w:val="18"/>
              </w:rPr>
            </w:pPr>
            <w:r>
              <w:rPr>
                <w:rFonts w:ascii="宋体" w:eastAsia="宋体" w:hint="eastAsia"/>
                <w:sz w:val="18"/>
              </w:rPr>
              <w:t>分娩舍</w:t>
            </w:r>
          </w:p>
        </w:tc>
        <w:tc>
          <w:tcPr>
            <w:tcW w:w="1023" w:type="dxa"/>
            <w:tcBorders>
              <w:top w:val="single" w:sz="6" w:space="0" w:color="000000"/>
              <w:left w:val="single" w:sz="6" w:space="0" w:color="000000"/>
              <w:bottom w:val="single" w:sz="6" w:space="0" w:color="000000"/>
              <w:right w:val="single" w:sz="6" w:space="0" w:color="000000"/>
            </w:tcBorders>
          </w:tcPr>
          <w:p>
            <w:pPr>
              <w:pStyle w:val="TableParagraph"/>
              <w:spacing w:before="64"/>
              <w:ind w:left="27"/>
              <w:rPr>
                <w:rFonts w:ascii="宋体" w:eastAsia="宋体" w:hint="eastAsia"/>
                <w:sz w:val="18"/>
              </w:rPr>
            </w:pPr>
            <w:r>
              <w:rPr>
                <w:rFonts w:ascii="宋体" w:eastAsia="宋体" w:hint="eastAsia"/>
                <w:sz w:val="18"/>
              </w:rPr>
              <w:t>车间二 </w:t>
            </w:r>
            <w:r>
              <w:rPr>
                <w:sz w:val="18"/>
              </w:rPr>
              <w:t>4 </w:t>
            </w:r>
            <w:r>
              <w:rPr>
                <w:rFonts w:ascii="宋体" w:eastAsia="宋体" w:hint="eastAsia"/>
                <w:sz w:val="18"/>
              </w:rPr>
              <w:t>层</w:t>
            </w:r>
          </w:p>
        </w:tc>
        <w:tc>
          <w:tcPr>
            <w:tcW w:w="1026" w:type="dxa"/>
            <w:tcBorders>
              <w:top w:val="single" w:sz="6" w:space="0" w:color="000000"/>
              <w:left w:val="single" w:sz="6" w:space="0" w:color="000000"/>
              <w:bottom w:val="single" w:sz="6" w:space="0" w:color="000000"/>
              <w:right w:val="single" w:sz="6" w:space="0" w:color="000000"/>
            </w:tcBorders>
          </w:tcPr>
          <w:p>
            <w:pPr>
              <w:pStyle w:val="TableParagraph"/>
              <w:spacing w:before="64"/>
              <w:ind w:left="48" w:right="23"/>
              <w:rPr>
                <w:rFonts w:ascii="宋体" w:eastAsia="宋体" w:hint="eastAsia"/>
                <w:sz w:val="18"/>
              </w:rPr>
            </w:pPr>
            <w:r>
              <w:rPr>
                <w:rFonts w:ascii="宋体" w:eastAsia="宋体" w:hint="eastAsia"/>
                <w:sz w:val="18"/>
              </w:rPr>
              <w:t>分娩栏</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126"/>
              <w:jc w:val="right"/>
              <w:rPr>
                <w:sz w:val="18"/>
              </w:rPr>
            </w:pPr>
            <w:r>
              <w:rPr>
                <w:sz w:val="18"/>
              </w:rPr>
              <w:t>1.8*2.4</w:t>
            </w:r>
          </w:p>
        </w:tc>
        <w:tc>
          <w:tcPr>
            <w:tcW w:w="1220" w:type="dxa"/>
            <w:tcBorders>
              <w:top w:val="single" w:sz="6" w:space="0" w:color="000000"/>
              <w:left w:val="single" w:sz="6" w:space="0" w:color="000000"/>
              <w:bottom w:val="single" w:sz="6" w:space="0" w:color="000000"/>
              <w:right w:val="single" w:sz="6" w:space="0" w:color="000000"/>
            </w:tcBorders>
          </w:tcPr>
          <w:p>
            <w:pPr>
              <w:pStyle w:val="TableParagraph"/>
              <w:spacing w:before="64"/>
              <w:ind w:left="229" w:right="211"/>
              <w:rPr>
                <w:rFonts w:ascii="宋体" w:eastAsia="宋体" w:hint="eastAsia"/>
                <w:sz w:val="18"/>
              </w:rPr>
            </w:pPr>
            <w:r>
              <w:rPr>
                <w:rFonts w:ascii="宋体" w:eastAsia="宋体" w:hint="eastAsia"/>
                <w:sz w:val="18"/>
              </w:rPr>
              <w:t>哺乳母猪</w:t>
            </w:r>
          </w:p>
        </w:tc>
        <w:tc>
          <w:tcPr>
            <w:tcW w:w="452" w:type="dxa"/>
            <w:tcBorders>
              <w:top w:val="single" w:sz="6" w:space="0" w:color="000000"/>
              <w:left w:val="single" w:sz="6" w:space="0" w:color="000000"/>
              <w:bottom w:val="single" w:sz="6" w:space="0" w:color="000000"/>
              <w:right w:val="single" w:sz="6" w:space="0" w:color="000000"/>
            </w:tcBorders>
          </w:tcPr>
          <w:p>
            <w:pPr>
              <w:pStyle w:val="TableParagraph"/>
              <w:spacing w:before="76"/>
              <w:ind w:left="28" w:right="6"/>
              <w:rPr>
                <w:sz w:val="18"/>
              </w:rPr>
            </w:pPr>
            <w:r>
              <w:rPr>
                <w:sz w:val="18"/>
              </w:rPr>
              <w:t>10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306"/>
              <w:jc w:val="right"/>
              <w:rPr>
                <w:sz w:val="18"/>
              </w:rPr>
            </w:pPr>
            <w:r>
              <w:rPr>
                <w:sz w:val="18"/>
              </w:rPr>
              <w:t>80</w:t>
            </w:r>
          </w:p>
        </w:tc>
        <w:tc>
          <w:tcPr>
            <w:tcW w:w="837" w:type="dxa"/>
            <w:tcBorders>
              <w:top w:val="single" w:sz="6" w:space="0" w:color="000000"/>
              <w:left w:val="single" w:sz="6" w:space="0" w:color="000000"/>
              <w:bottom w:val="single" w:sz="6" w:space="0" w:color="000000"/>
              <w:right w:val="single" w:sz="6" w:space="0" w:color="000000"/>
            </w:tcBorders>
          </w:tcPr>
          <w:p>
            <w:pPr>
              <w:pStyle w:val="TableParagraph"/>
              <w:spacing w:before="76"/>
              <w:ind w:left="218" w:right="200"/>
              <w:rPr>
                <w:sz w:val="18"/>
              </w:rPr>
            </w:pPr>
            <w:r>
              <w:rPr>
                <w:sz w:val="18"/>
              </w:rPr>
              <w:t>800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left="105" w:right="88"/>
              <w:rPr>
                <w:sz w:val="18"/>
              </w:rPr>
            </w:pPr>
            <w:r>
              <w:rPr>
                <w:sz w:val="18"/>
              </w:rPr>
              <w:t>800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76"/>
              <w:ind w:right="263"/>
              <w:jc w:val="right"/>
              <w:rPr>
                <w:sz w:val="18"/>
              </w:rPr>
            </w:pPr>
            <w:r>
              <w:rPr>
                <w:sz w:val="18"/>
              </w:rPr>
              <w:t>765</w:t>
            </w:r>
          </w:p>
        </w:tc>
        <w:tc>
          <w:tcPr>
            <w:tcW w:w="743" w:type="dxa"/>
            <w:tcBorders>
              <w:top w:val="single" w:sz="6" w:space="0" w:color="000000"/>
              <w:left w:val="single" w:sz="6" w:space="0" w:color="000000"/>
              <w:bottom w:val="single" w:sz="6" w:space="0" w:color="000000"/>
            </w:tcBorders>
          </w:tcPr>
          <w:p>
            <w:pPr>
              <w:pStyle w:val="TableParagraph"/>
              <w:spacing w:before="64"/>
              <w:ind w:left="31" w:right="12"/>
              <w:rPr>
                <w:rFonts w:ascii="宋体" w:eastAsia="宋体" w:hint="eastAsia"/>
                <w:sz w:val="18"/>
              </w:rPr>
            </w:pPr>
            <w:r>
              <w:rPr>
                <w:sz w:val="18"/>
              </w:rPr>
              <w:t>1 </w:t>
            </w:r>
            <w:r>
              <w:rPr>
                <w:rFonts w:ascii="宋体" w:eastAsia="宋体" w:hint="eastAsia"/>
                <w:sz w:val="18"/>
              </w:rPr>
              <w:t>头</w:t>
            </w:r>
            <w:r>
              <w:rPr>
                <w:sz w:val="18"/>
              </w:rPr>
              <w:t>/</w:t>
            </w:r>
            <w:r>
              <w:rPr>
                <w:rFonts w:ascii="宋体" w:eastAsia="宋体" w:hint="eastAsia"/>
                <w:sz w:val="18"/>
              </w:rPr>
              <w:t>栏</w:t>
            </w:r>
          </w:p>
        </w:tc>
      </w:tr>
      <w:tr>
        <w:trPr>
          <w:trHeight w:val="357" w:hRule="atLeast"/>
        </w:trPr>
        <w:tc>
          <w:tcPr>
            <w:tcW w:w="641" w:type="dxa"/>
            <w:tcBorders>
              <w:top w:val="single" w:sz="6" w:space="0" w:color="000000"/>
              <w:right w:val="single" w:sz="6" w:space="0" w:color="000000"/>
            </w:tcBorders>
          </w:tcPr>
          <w:p>
            <w:pPr>
              <w:pStyle w:val="TableParagraph"/>
              <w:spacing w:before="64"/>
              <w:ind w:left="29" w:right="8"/>
              <w:rPr>
                <w:rFonts w:ascii="宋体" w:eastAsia="宋体" w:hint="eastAsia"/>
                <w:sz w:val="18"/>
              </w:rPr>
            </w:pPr>
            <w:r>
              <w:rPr>
                <w:rFonts w:ascii="宋体" w:eastAsia="宋体" w:hint="eastAsia"/>
                <w:sz w:val="18"/>
              </w:rPr>
              <w:t>隔离舍</w:t>
            </w:r>
          </w:p>
        </w:tc>
        <w:tc>
          <w:tcPr>
            <w:tcW w:w="1023" w:type="dxa"/>
            <w:tcBorders>
              <w:top w:val="single" w:sz="6" w:space="0" w:color="000000"/>
              <w:left w:val="single" w:sz="6" w:space="0" w:color="000000"/>
              <w:right w:val="single" w:sz="6" w:space="0" w:color="000000"/>
            </w:tcBorders>
          </w:tcPr>
          <w:p>
            <w:pPr>
              <w:pStyle w:val="TableParagraph"/>
              <w:spacing w:before="64"/>
              <w:ind w:left="25"/>
              <w:rPr>
                <w:rFonts w:ascii="宋体" w:eastAsia="宋体" w:hint="eastAsia"/>
                <w:sz w:val="18"/>
              </w:rPr>
            </w:pPr>
            <w:r>
              <w:rPr>
                <w:rFonts w:ascii="宋体" w:eastAsia="宋体" w:hint="eastAsia"/>
                <w:sz w:val="18"/>
              </w:rPr>
              <w:t>隔离舍</w:t>
            </w:r>
          </w:p>
        </w:tc>
        <w:tc>
          <w:tcPr>
            <w:tcW w:w="1026" w:type="dxa"/>
            <w:tcBorders>
              <w:top w:val="single" w:sz="6" w:space="0" w:color="000000"/>
              <w:left w:val="single" w:sz="6" w:space="0" w:color="000000"/>
              <w:right w:val="single" w:sz="6" w:space="0" w:color="000000"/>
            </w:tcBorders>
          </w:tcPr>
          <w:p>
            <w:pPr>
              <w:pStyle w:val="TableParagraph"/>
              <w:spacing w:before="64"/>
              <w:ind w:left="48" w:right="23"/>
              <w:rPr>
                <w:rFonts w:ascii="宋体" w:eastAsia="宋体" w:hint="eastAsia"/>
                <w:sz w:val="18"/>
              </w:rPr>
            </w:pPr>
            <w:r>
              <w:rPr>
                <w:rFonts w:ascii="宋体" w:eastAsia="宋体" w:hint="eastAsia"/>
                <w:sz w:val="18"/>
              </w:rPr>
              <w:t>隔离栏</w:t>
            </w:r>
          </w:p>
        </w:tc>
        <w:tc>
          <w:tcPr>
            <w:tcW w:w="836" w:type="dxa"/>
            <w:tcBorders>
              <w:top w:val="single" w:sz="6" w:space="0" w:color="000000"/>
              <w:left w:val="single" w:sz="6" w:space="0" w:color="000000"/>
              <w:right w:val="single" w:sz="6" w:space="0" w:color="000000"/>
            </w:tcBorders>
          </w:tcPr>
          <w:p>
            <w:pPr>
              <w:pStyle w:val="TableParagraph"/>
              <w:spacing w:before="76"/>
              <w:ind w:left="22"/>
              <w:rPr>
                <w:sz w:val="18"/>
              </w:rPr>
            </w:pPr>
            <w:r>
              <w:rPr>
                <w:sz w:val="18"/>
              </w:rPr>
              <w:t>/</w:t>
            </w:r>
          </w:p>
        </w:tc>
        <w:tc>
          <w:tcPr>
            <w:tcW w:w="1220" w:type="dxa"/>
            <w:tcBorders>
              <w:top w:val="single" w:sz="6" w:space="0" w:color="000000"/>
              <w:left w:val="single" w:sz="6" w:space="0" w:color="000000"/>
              <w:right w:val="single" w:sz="6" w:space="0" w:color="000000"/>
            </w:tcBorders>
          </w:tcPr>
          <w:p>
            <w:pPr>
              <w:pStyle w:val="TableParagraph"/>
              <w:spacing w:before="64"/>
              <w:ind w:left="229" w:right="211"/>
              <w:rPr>
                <w:rFonts w:ascii="宋体" w:eastAsia="宋体" w:hint="eastAsia"/>
                <w:sz w:val="18"/>
              </w:rPr>
            </w:pPr>
            <w:r>
              <w:rPr>
                <w:rFonts w:ascii="宋体" w:eastAsia="宋体" w:hint="eastAsia"/>
                <w:sz w:val="18"/>
              </w:rPr>
              <w:t>隔离种猪</w:t>
            </w:r>
          </w:p>
        </w:tc>
        <w:tc>
          <w:tcPr>
            <w:tcW w:w="452" w:type="dxa"/>
            <w:tcBorders>
              <w:top w:val="single" w:sz="6" w:space="0" w:color="000000"/>
              <w:left w:val="single" w:sz="6" w:space="0" w:color="000000"/>
              <w:right w:val="single" w:sz="6" w:space="0" w:color="000000"/>
            </w:tcBorders>
          </w:tcPr>
          <w:p>
            <w:pPr>
              <w:pStyle w:val="TableParagraph"/>
              <w:spacing w:before="76"/>
              <w:ind w:left="16"/>
              <w:rPr>
                <w:sz w:val="18"/>
              </w:rPr>
            </w:pPr>
            <w:r>
              <w:rPr>
                <w:sz w:val="18"/>
              </w:rPr>
              <w:t>1</w:t>
            </w:r>
          </w:p>
        </w:tc>
        <w:tc>
          <w:tcPr>
            <w:tcW w:w="836" w:type="dxa"/>
            <w:tcBorders>
              <w:top w:val="single" w:sz="6" w:space="0" w:color="000000"/>
              <w:left w:val="single" w:sz="6" w:space="0" w:color="000000"/>
              <w:right w:val="single" w:sz="6" w:space="0" w:color="000000"/>
            </w:tcBorders>
          </w:tcPr>
          <w:p>
            <w:pPr>
              <w:pStyle w:val="TableParagraph"/>
              <w:spacing w:before="76"/>
              <w:ind w:right="306"/>
              <w:jc w:val="right"/>
              <w:rPr>
                <w:sz w:val="18"/>
              </w:rPr>
            </w:pPr>
            <w:r>
              <w:rPr>
                <w:sz w:val="18"/>
              </w:rPr>
              <w:t>50</w:t>
            </w:r>
          </w:p>
        </w:tc>
        <w:tc>
          <w:tcPr>
            <w:tcW w:w="837" w:type="dxa"/>
            <w:tcBorders>
              <w:top w:val="single" w:sz="6" w:space="0" w:color="000000"/>
              <w:left w:val="single" w:sz="6" w:space="0" w:color="000000"/>
              <w:right w:val="single" w:sz="6" w:space="0" w:color="000000"/>
            </w:tcBorders>
          </w:tcPr>
          <w:p>
            <w:pPr>
              <w:pStyle w:val="TableParagraph"/>
              <w:spacing w:before="76"/>
              <w:ind w:left="218" w:right="200"/>
              <w:rPr>
                <w:sz w:val="18"/>
              </w:rPr>
            </w:pPr>
            <w:r>
              <w:rPr>
                <w:sz w:val="18"/>
              </w:rPr>
              <w:t>50</w:t>
            </w:r>
          </w:p>
        </w:tc>
        <w:tc>
          <w:tcPr>
            <w:tcW w:w="836" w:type="dxa"/>
            <w:tcBorders>
              <w:top w:val="single" w:sz="6" w:space="0" w:color="000000"/>
              <w:left w:val="single" w:sz="6" w:space="0" w:color="000000"/>
              <w:right w:val="single" w:sz="6" w:space="0" w:color="000000"/>
            </w:tcBorders>
          </w:tcPr>
          <w:p>
            <w:pPr>
              <w:pStyle w:val="TableParagraph"/>
              <w:spacing w:before="76"/>
              <w:ind w:left="101" w:right="88"/>
              <w:rPr>
                <w:sz w:val="18"/>
              </w:rPr>
            </w:pPr>
            <w:r>
              <w:rPr>
                <w:sz w:val="18"/>
              </w:rPr>
              <w:t>1700</w:t>
            </w:r>
          </w:p>
        </w:tc>
        <w:tc>
          <w:tcPr>
            <w:tcW w:w="836" w:type="dxa"/>
            <w:tcBorders>
              <w:top w:val="single" w:sz="6" w:space="0" w:color="000000"/>
              <w:left w:val="single" w:sz="6" w:space="0" w:color="000000"/>
              <w:right w:val="single" w:sz="6" w:space="0" w:color="000000"/>
            </w:tcBorders>
          </w:tcPr>
          <w:p>
            <w:pPr>
              <w:pStyle w:val="TableParagraph"/>
              <w:spacing w:before="76"/>
              <w:ind w:right="222"/>
              <w:jc w:val="right"/>
              <w:rPr>
                <w:sz w:val="18"/>
              </w:rPr>
            </w:pPr>
            <w:r>
              <w:rPr>
                <w:sz w:val="18"/>
              </w:rPr>
              <w:t>1500</w:t>
            </w:r>
          </w:p>
        </w:tc>
        <w:tc>
          <w:tcPr>
            <w:tcW w:w="743" w:type="dxa"/>
            <w:tcBorders>
              <w:top w:val="single" w:sz="6" w:space="0" w:color="000000"/>
              <w:left w:val="single" w:sz="6" w:space="0" w:color="000000"/>
            </w:tcBorders>
          </w:tcPr>
          <w:p>
            <w:pPr>
              <w:pStyle w:val="TableParagraph"/>
              <w:spacing w:before="64"/>
              <w:ind w:left="31" w:right="13"/>
              <w:rPr>
                <w:rFonts w:ascii="宋体" w:eastAsia="宋体" w:hint="eastAsia"/>
                <w:sz w:val="18"/>
              </w:rPr>
            </w:pPr>
            <w:r>
              <w:rPr>
                <w:sz w:val="18"/>
              </w:rPr>
              <w:t>30 </w:t>
            </w:r>
            <w:r>
              <w:rPr>
                <w:rFonts w:ascii="宋体" w:eastAsia="宋体" w:hint="eastAsia"/>
                <w:sz w:val="18"/>
              </w:rPr>
              <w:t>头</w:t>
            </w:r>
            <w:r>
              <w:rPr>
                <w:sz w:val="18"/>
              </w:rPr>
              <w:t>/</w:t>
            </w:r>
            <w:r>
              <w:rPr>
                <w:rFonts w:ascii="宋体" w:eastAsia="宋体" w:hint="eastAsia"/>
                <w:sz w:val="18"/>
              </w:rPr>
              <w:t>栏</w:t>
            </w:r>
          </w:p>
        </w:tc>
      </w:tr>
    </w:tbl>
    <w:p>
      <w:pPr>
        <w:spacing w:before="89"/>
        <w:ind w:left="719" w:right="0" w:firstLine="0"/>
        <w:jc w:val="left"/>
        <w:rPr>
          <w:b/>
          <w:sz w:val="24"/>
        </w:rPr>
      </w:pPr>
      <w:r>
        <w:rPr>
          <w:rFonts w:ascii="Times New Roman" w:eastAsia="Times New Roman"/>
          <w:b/>
          <w:sz w:val="24"/>
        </w:rPr>
        <w:t>3</w:t>
      </w:r>
      <w:r>
        <w:rPr>
          <w:b/>
          <w:sz w:val="24"/>
        </w:rPr>
        <w:t>、无害化处理设备清单</w:t>
      </w:r>
    </w:p>
    <w:p>
      <w:pPr>
        <w:pStyle w:val="BodyText"/>
        <w:spacing w:before="172"/>
        <w:ind w:left="717"/>
      </w:pPr>
      <w:r>
        <w:rPr/>
        <w:t>无害化处理设备清单详见表 </w:t>
      </w:r>
      <w:r>
        <w:rPr>
          <w:rFonts w:ascii="Times New Roman" w:eastAsia="Times New Roman"/>
          <w:position w:val="1"/>
        </w:rPr>
        <w:t>3.1-6</w:t>
      </w:r>
      <w:r>
        <w:rPr/>
        <w:t>。</w:t>
      </w:r>
    </w:p>
    <w:p>
      <w:pPr>
        <w:pStyle w:val="Heading3"/>
        <w:spacing w:before="168"/>
        <w:ind w:left="221" w:right="236"/>
        <w:jc w:val="center"/>
      </w:pPr>
      <w:r>
        <w:rPr/>
        <w:t>表 </w:t>
      </w:r>
      <w:r>
        <w:rPr>
          <w:rFonts w:ascii="Times New Roman" w:eastAsia="Times New Roman"/>
        </w:rPr>
        <w:t>3.1-6  </w:t>
      </w:r>
      <w:r>
        <w:rPr/>
        <w:t>无害化处理设备清单</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158"/>
        <w:gridCol w:w="1510"/>
        <w:gridCol w:w="830"/>
        <w:gridCol w:w="4102"/>
      </w:tblGrid>
      <w:tr>
        <w:trPr>
          <w:trHeight w:val="359" w:hRule="atLeast"/>
        </w:trPr>
        <w:tc>
          <w:tcPr>
            <w:tcW w:w="830" w:type="dxa"/>
            <w:tcBorders>
              <w:bottom w:val="single" w:sz="6" w:space="0" w:color="000000"/>
              <w:right w:val="single" w:sz="6" w:space="0" w:color="000000"/>
            </w:tcBorders>
          </w:tcPr>
          <w:p>
            <w:pPr>
              <w:pStyle w:val="TableParagraph"/>
              <w:spacing w:before="48"/>
              <w:ind w:left="183" w:right="162"/>
              <w:rPr>
                <w:rFonts w:ascii="宋体" w:eastAsia="宋体" w:hint="eastAsia"/>
                <w:b/>
                <w:sz w:val="21"/>
              </w:rPr>
            </w:pPr>
            <w:r>
              <w:rPr>
                <w:rFonts w:ascii="宋体" w:eastAsia="宋体" w:hint="eastAsia"/>
                <w:b/>
                <w:sz w:val="21"/>
              </w:rPr>
              <w:t>序号</w:t>
            </w:r>
          </w:p>
        </w:tc>
        <w:tc>
          <w:tcPr>
            <w:tcW w:w="2158" w:type="dxa"/>
            <w:tcBorders>
              <w:left w:val="single" w:sz="6" w:space="0" w:color="000000"/>
              <w:bottom w:val="single" w:sz="6" w:space="0" w:color="000000"/>
              <w:right w:val="single" w:sz="6" w:space="0" w:color="000000"/>
            </w:tcBorders>
          </w:tcPr>
          <w:p>
            <w:pPr>
              <w:pStyle w:val="TableParagraph"/>
              <w:spacing w:before="48"/>
              <w:ind w:left="344" w:right="318"/>
              <w:rPr>
                <w:rFonts w:ascii="宋体" w:eastAsia="宋体" w:hint="eastAsia"/>
                <w:b/>
                <w:sz w:val="21"/>
              </w:rPr>
            </w:pPr>
            <w:r>
              <w:rPr>
                <w:rFonts w:ascii="宋体" w:eastAsia="宋体" w:hint="eastAsia"/>
                <w:b/>
                <w:sz w:val="21"/>
              </w:rPr>
              <w:t>设备名称</w:t>
            </w:r>
          </w:p>
        </w:tc>
        <w:tc>
          <w:tcPr>
            <w:tcW w:w="1510" w:type="dxa"/>
            <w:tcBorders>
              <w:left w:val="single" w:sz="6" w:space="0" w:color="000000"/>
              <w:bottom w:val="single" w:sz="6" w:space="0" w:color="000000"/>
              <w:right w:val="single" w:sz="6" w:space="0" w:color="000000"/>
            </w:tcBorders>
          </w:tcPr>
          <w:p>
            <w:pPr>
              <w:pStyle w:val="TableParagraph"/>
              <w:spacing w:before="48"/>
              <w:ind w:left="264" w:right="237"/>
              <w:rPr>
                <w:rFonts w:ascii="宋体" w:eastAsia="宋体" w:hint="eastAsia"/>
                <w:b/>
                <w:sz w:val="21"/>
              </w:rPr>
            </w:pPr>
            <w:r>
              <w:rPr>
                <w:rFonts w:ascii="宋体" w:eastAsia="宋体" w:hint="eastAsia"/>
                <w:b/>
                <w:sz w:val="21"/>
              </w:rPr>
              <w:t>规格</w:t>
            </w:r>
          </w:p>
        </w:tc>
        <w:tc>
          <w:tcPr>
            <w:tcW w:w="830" w:type="dxa"/>
            <w:tcBorders>
              <w:left w:val="single" w:sz="6" w:space="0" w:color="000000"/>
              <w:bottom w:val="single" w:sz="6" w:space="0" w:color="000000"/>
              <w:right w:val="single" w:sz="6" w:space="0" w:color="000000"/>
            </w:tcBorders>
          </w:tcPr>
          <w:p>
            <w:pPr>
              <w:pStyle w:val="TableParagraph"/>
              <w:spacing w:before="48"/>
              <w:ind w:right="179"/>
              <w:jc w:val="right"/>
              <w:rPr>
                <w:rFonts w:ascii="宋体" w:eastAsia="宋体" w:hint="eastAsia"/>
                <w:b/>
                <w:sz w:val="21"/>
              </w:rPr>
            </w:pPr>
            <w:r>
              <w:rPr>
                <w:rFonts w:ascii="宋体" w:eastAsia="宋体" w:hint="eastAsia"/>
                <w:b/>
                <w:sz w:val="21"/>
              </w:rPr>
              <w:t>数量</w:t>
            </w:r>
          </w:p>
        </w:tc>
        <w:tc>
          <w:tcPr>
            <w:tcW w:w="4102" w:type="dxa"/>
            <w:tcBorders>
              <w:left w:val="single" w:sz="6" w:space="0" w:color="000000"/>
              <w:bottom w:val="single" w:sz="6" w:space="0" w:color="000000"/>
            </w:tcBorders>
          </w:tcPr>
          <w:p>
            <w:pPr>
              <w:pStyle w:val="TableParagraph"/>
              <w:spacing w:before="48"/>
              <w:ind w:left="1826" w:right="1790"/>
              <w:rPr>
                <w:rFonts w:ascii="宋体" w:eastAsia="宋体" w:hint="eastAsia"/>
                <w:b/>
                <w:sz w:val="21"/>
              </w:rPr>
            </w:pPr>
            <w:r>
              <w:rPr>
                <w:rFonts w:ascii="宋体" w:eastAsia="宋体" w:hint="eastAsia"/>
                <w:b/>
                <w:sz w:val="21"/>
              </w:rPr>
              <w:t>备注</w:t>
            </w:r>
          </w:p>
        </w:tc>
      </w:tr>
      <w:tr>
        <w:trPr>
          <w:trHeight w:val="716" w:hRule="atLeast"/>
        </w:trPr>
        <w:tc>
          <w:tcPr>
            <w:tcW w:w="830" w:type="dxa"/>
            <w:tcBorders>
              <w:top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1"/>
              <w:rPr>
                <w:sz w:val="21"/>
              </w:rPr>
            </w:pPr>
            <w:r>
              <w:rPr>
                <w:w w:val="100"/>
                <w:sz w:val="21"/>
              </w:rPr>
              <w:t>1</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344" w:right="318"/>
              <w:rPr>
                <w:rFonts w:ascii="宋体" w:eastAsia="宋体" w:hint="eastAsia"/>
                <w:sz w:val="18"/>
              </w:rPr>
            </w:pPr>
            <w:r>
              <w:rPr>
                <w:rFonts w:ascii="宋体" w:eastAsia="宋体" w:hint="eastAsia"/>
                <w:sz w:val="18"/>
              </w:rPr>
              <w:t>无害化处理机主机</w:t>
            </w:r>
          </w:p>
        </w:tc>
        <w:tc>
          <w:tcPr>
            <w:tcW w:w="15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ind w:left="264" w:right="239"/>
              <w:rPr>
                <w:sz w:val="18"/>
              </w:rPr>
            </w:pPr>
            <w:r>
              <w:rPr>
                <w:sz w:val="18"/>
              </w:rPr>
              <w:t>ZC-11FJX25</w:t>
            </w:r>
          </w:p>
        </w:tc>
        <w:tc>
          <w:tcPr>
            <w:tcW w:w="83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right="231"/>
              <w:jc w:val="right"/>
              <w:rPr>
                <w:rFonts w:ascii="宋体" w:eastAsia="宋体" w:hint="eastAsia"/>
                <w:sz w:val="18"/>
              </w:rPr>
            </w:pPr>
            <w:r>
              <w:rPr>
                <w:sz w:val="18"/>
              </w:rPr>
              <w:t>2 </w:t>
            </w:r>
            <w:r>
              <w:rPr>
                <w:rFonts w:ascii="宋体" w:eastAsia="宋体" w:hint="eastAsia"/>
                <w:sz w:val="18"/>
              </w:rPr>
              <w:t>台</w:t>
            </w:r>
          </w:p>
        </w:tc>
        <w:tc>
          <w:tcPr>
            <w:tcW w:w="4102" w:type="dxa"/>
            <w:tcBorders>
              <w:top w:val="single" w:sz="6" w:space="0" w:color="000000"/>
              <w:left w:val="single" w:sz="6" w:space="0" w:color="000000"/>
              <w:bottom w:val="single" w:sz="6" w:space="0" w:color="000000"/>
            </w:tcBorders>
          </w:tcPr>
          <w:p>
            <w:pPr>
              <w:pStyle w:val="TableParagraph"/>
              <w:spacing w:before="64"/>
              <w:ind w:left="641"/>
              <w:jc w:val="left"/>
              <w:rPr>
                <w:rFonts w:ascii="宋体" w:hAnsi="宋体" w:eastAsia="宋体" w:hint="eastAsia"/>
                <w:sz w:val="18"/>
              </w:rPr>
            </w:pPr>
            <w:r>
              <w:rPr>
                <w:rFonts w:ascii="宋体" w:hAnsi="宋体" w:eastAsia="宋体" w:hint="eastAsia"/>
                <w:sz w:val="18"/>
              </w:rPr>
              <w:t>箱体容积 </w:t>
            </w:r>
            <w:r>
              <w:rPr>
                <w:sz w:val="18"/>
              </w:rPr>
              <w:t>25m</w:t>
            </w:r>
            <w:r>
              <w:rPr>
                <w:rFonts w:ascii="宋体" w:hAnsi="宋体" w:eastAsia="宋体" w:hint="eastAsia"/>
                <w:sz w:val="18"/>
              </w:rPr>
              <w:t>³，批处理量 </w:t>
            </w:r>
            <w:r>
              <w:rPr>
                <w:sz w:val="18"/>
              </w:rPr>
              <w:t>1125kg</w:t>
            </w:r>
            <w:r>
              <w:rPr>
                <w:rFonts w:ascii="宋体" w:hAnsi="宋体" w:eastAsia="宋体" w:hint="eastAsia"/>
                <w:sz w:val="18"/>
              </w:rPr>
              <w:t>，</w:t>
            </w:r>
          </w:p>
          <w:p>
            <w:pPr>
              <w:pStyle w:val="TableParagraph"/>
              <w:spacing w:before="130"/>
              <w:ind w:left="591"/>
              <w:jc w:val="left"/>
              <w:rPr>
                <w:rFonts w:ascii="宋体" w:hAnsi="宋体" w:eastAsia="宋体" w:hint="eastAsia"/>
                <w:sz w:val="18"/>
              </w:rPr>
            </w:pPr>
            <w:r>
              <w:rPr>
                <w:rFonts w:ascii="宋体" w:hAnsi="宋体" w:eastAsia="宋体" w:hint="eastAsia"/>
                <w:sz w:val="18"/>
              </w:rPr>
              <w:t>导热油加热，工作温度范围 </w:t>
            </w:r>
            <w:r>
              <w:rPr>
                <w:sz w:val="18"/>
              </w:rPr>
              <w:t>50~140</w:t>
            </w:r>
            <w:r>
              <w:rPr>
                <w:rFonts w:ascii="宋体" w:hAnsi="宋体" w:eastAsia="宋体" w:hint="eastAsia"/>
                <w:sz w:val="18"/>
              </w:rPr>
              <w:t>℃</w:t>
            </w:r>
          </w:p>
        </w:tc>
      </w:tr>
      <w:tr>
        <w:trPr>
          <w:trHeight w:val="361" w:hRule="atLeast"/>
        </w:trPr>
        <w:tc>
          <w:tcPr>
            <w:tcW w:w="830" w:type="dxa"/>
            <w:tcBorders>
              <w:top w:val="single" w:sz="6" w:space="0" w:color="000000"/>
              <w:right w:val="single" w:sz="6" w:space="0" w:color="000000"/>
            </w:tcBorders>
          </w:tcPr>
          <w:p>
            <w:pPr>
              <w:pStyle w:val="TableParagraph"/>
              <w:spacing w:before="60"/>
              <w:ind w:left="21"/>
              <w:rPr>
                <w:sz w:val="21"/>
              </w:rPr>
            </w:pPr>
            <w:r>
              <w:rPr>
                <w:w w:val="100"/>
                <w:sz w:val="21"/>
              </w:rPr>
              <w:t>2</w:t>
            </w:r>
          </w:p>
        </w:tc>
        <w:tc>
          <w:tcPr>
            <w:tcW w:w="2158" w:type="dxa"/>
            <w:tcBorders>
              <w:top w:val="single" w:sz="6" w:space="0" w:color="000000"/>
              <w:left w:val="single" w:sz="6" w:space="0" w:color="000000"/>
              <w:right w:val="single" w:sz="6" w:space="0" w:color="000000"/>
            </w:tcBorders>
          </w:tcPr>
          <w:p>
            <w:pPr>
              <w:pStyle w:val="TableParagraph"/>
              <w:spacing w:before="67"/>
              <w:ind w:left="342" w:right="318"/>
              <w:rPr>
                <w:rFonts w:ascii="宋体" w:eastAsia="宋体" w:hint="eastAsia"/>
                <w:sz w:val="18"/>
              </w:rPr>
            </w:pPr>
            <w:r>
              <w:rPr>
                <w:rFonts w:ascii="宋体" w:eastAsia="宋体" w:hint="eastAsia"/>
                <w:sz w:val="18"/>
              </w:rPr>
              <w:t>自动液压提升斗</w:t>
            </w:r>
          </w:p>
        </w:tc>
        <w:tc>
          <w:tcPr>
            <w:tcW w:w="1510" w:type="dxa"/>
            <w:tcBorders>
              <w:top w:val="single" w:sz="6" w:space="0" w:color="000000"/>
              <w:left w:val="single" w:sz="6" w:space="0" w:color="000000"/>
              <w:right w:val="single" w:sz="6" w:space="0" w:color="000000"/>
            </w:tcBorders>
          </w:tcPr>
          <w:p>
            <w:pPr>
              <w:pStyle w:val="TableParagraph"/>
              <w:spacing w:before="67"/>
              <w:ind w:left="309"/>
              <w:jc w:val="left"/>
              <w:rPr>
                <w:rFonts w:ascii="宋体" w:eastAsia="宋体" w:hint="eastAsia"/>
                <w:sz w:val="18"/>
              </w:rPr>
            </w:pPr>
            <w:r>
              <w:rPr>
                <w:sz w:val="18"/>
              </w:rPr>
              <w:t>0.45 </w:t>
            </w:r>
            <w:r>
              <w:rPr>
                <w:rFonts w:ascii="宋体" w:eastAsia="宋体" w:hint="eastAsia"/>
                <w:sz w:val="18"/>
              </w:rPr>
              <w:t>立方米</w:t>
            </w:r>
          </w:p>
        </w:tc>
        <w:tc>
          <w:tcPr>
            <w:tcW w:w="830" w:type="dxa"/>
            <w:tcBorders>
              <w:top w:val="single" w:sz="6" w:space="0" w:color="000000"/>
              <w:left w:val="single" w:sz="6" w:space="0" w:color="000000"/>
              <w:right w:val="single" w:sz="6" w:space="0" w:color="000000"/>
            </w:tcBorders>
          </w:tcPr>
          <w:p>
            <w:pPr>
              <w:pStyle w:val="TableParagraph"/>
              <w:spacing w:before="67"/>
              <w:ind w:right="231"/>
              <w:jc w:val="right"/>
              <w:rPr>
                <w:rFonts w:ascii="宋体" w:eastAsia="宋体" w:hint="eastAsia"/>
                <w:sz w:val="18"/>
              </w:rPr>
            </w:pPr>
            <w:r>
              <w:rPr>
                <w:sz w:val="18"/>
              </w:rPr>
              <w:t>2 </w:t>
            </w:r>
            <w:r>
              <w:rPr>
                <w:rFonts w:ascii="宋体" w:eastAsia="宋体" w:hint="eastAsia"/>
                <w:sz w:val="18"/>
              </w:rPr>
              <w:t>套</w:t>
            </w:r>
          </w:p>
        </w:tc>
        <w:tc>
          <w:tcPr>
            <w:tcW w:w="4102" w:type="dxa"/>
            <w:tcBorders>
              <w:top w:val="single" w:sz="6" w:space="0" w:color="000000"/>
              <w:left w:val="single" w:sz="6" w:space="0" w:color="000000"/>
            </w:tcBorders>
          </w:tcPr>
          <w:p>
            <w:pPr>
              <w:pStyle w:val="TableParagraph"/>
              <w:spacing w:before="0"/>
              <w:jc w:val="left"/>
              <w:rPr>
                <w:sz w:val="18"/>
              </w:rPr>
            </w:pPr>
          </w:p>
        </w:tc>
      </w:tr>
    </w:tbl>
    <w:p>
      <w:pPr>
        <w:spacing w:after="0"/>
        <w:jc w:val="left"/>
        <w:rPr>
          <w:sz w:val="18"/>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30"/>
        <w:gridCol w:w="2158"/>
        <w:gridCol w:w="1510"/>
        <w:gridCol w:w="830"/>
        <w:gridCol w:w="4102"/>
      </w:tblGrid>
      <w:tr>
        <w:trPr>
          <w:trHeight w:val="359" w:hRule="atLeast"/>
        </w:trPr>
        <w:tc>
          <w:tcPr>
            <w:tcW w:w="830" w:type="dxa"/>
            <w:tcBorders>
              <w:bottom w:val="single" w:sz="6" w:space="0" w:color="000000"/>
              <w:right w:val="single" w:sz="6" w:space="0" w:color="000000"/>
            </w:tcBorders>
          </w:tcPr>
          <w:p>
            <w:pPr>
              <w:pStyle w:val="TableParagraph"/>
              <w:spacing w:before="49"/>
              <w:ind w:left="183" w:right="162"/>
              <w:rPr>
                <w:rFonts w:ascii="宋体" w:eastAsia="宋体" w:hint="eastAsia"/>
                <w:b/>
                <w:sz w:val="21"/>
              </w:rPr>
            </w:pPr>
            <w:r>
              <w:rPr>
                <w:rFonts w:ascii="宋体" w:eastAsia="宋体" w:hint="eastAsia"/>
                <w:b/>
                <w:sz w:val="21"/>
              </w:rPr>
              <w:t>序号</w:t>
            </w:r>
          </w:p>
        </w:tc>
        <w:tc>
          <w:tcPr>
            <w:tcW w:w="2158" w:type="dxa"/>
            <w:tcBorders>
              <w:left w:val="single" w:sz="6" w:space="0" w:color="000000"/>
              <w:bottom w:val="single" w:sz="6" w:space="0" w:color="000000"/>
              <w:right w:val="single" w:sz="6" w:space="0" w:color="000000"/>
            </w:tcBorders>
          </w:tcPr>
          <w:p>
            <w:pPr>
              <w:pStyle w:val="TableParagraph"/>
              <w:spacing w:before="49"/>
              <w:ind w:left="344" w:right="318"/>
              <w:rPr>
                <w:rFonts w:ascii="宋体" w:eastAsia="宋体" w:hint="eastAsia"/>
                <w:b/>
                <w:sz w:val="21"/>
              </w:rPr>
            </w:pPr>
            <w:r>
              <w:rPr>
                <w:rFonts w:ascii="宋体" w:eastAsia="宋体" w:hint="eastAsia"/>
                <w:b/>
                <w:sz w:val="21"/>
              </w:rPr>
              <w:t>设备名称</w:t>
            </w:r>
          </w:p>
        </w:tc>
        <w:tc>
          <w:tcPr>
            <w:tcW w:w="1510" w:type="dxa"/>
            <w:tcBorders>
              <w:left w:val="single" w:sz="6" w:space="0" w:color="000000"/>
              <w:bottom w:val="single" w:sz="6" w:space="0" w:color="000000"/>
              <w:right w:val="single" w:sz="6" w:space="0" w:color="000000"/>
            </w:tcBorders>
          </w:tcPr>
          <w:p>
            <w:pPr>
              <w:pStyle w:val="TableParagraph"/>
              <w:spacing w:before="49"/>
              <w:ind w:left="264" w:right="237"/>
              <w:rPr>
                <w:rFonts w:ascii="宋体" w:eastAsia="宋体" w:hint="eastAsia"/>
                <w:b/>
                <w:sz w:val="21"/>
              </w:rPr>
            </w:pPr>
            <w:r>
              <w:rPr>
                <w:rFonts w:ascii="宋体" w:eastAsia="宋体" w:hint="eastAsia"/>
                <w:b/>
                <w:sz w:val="21"/>
              </w:rPr>
              <w:t>规格</w:t>
            </w:r>
          </w:p>
        </w:tc>
        <w:tc>
          <w:tcPr>
            <w:tcW w:w="830" w:type="dxa"/>
            <w:tcBorders>
              <w:left w:val="single" w:sz="6" w:space="0" w:color="000000"/>
              <w:bottom w:val="single" w:sz="6" w:space="0" w:color="000000"/>
              <w:right w:val="single" w:sz="6" w:space="0" w:color="000000"/>
            </w:tcBorders>
          </w:tcPr>
          <w:p>
            <w:pPr>
              <w:pStyle w:val="TableParagraph"/>
              <w:spacing w:before="49"/>
              <w:ind w:right="179"/>
              <w:jc w:val="right"/>
              <w:rPr>
                <w:rFonts w:ascii="宋体" w:eastAsia="宋体" w:hint="eastAsia"/>
                <w:b/>
                <w:sz w:val="21"/>
              </w:rPr>
            </w:pPr>
            <w:r>
              <w:rPr>
                <w:rFonts w:ascii="宋体" w:eastAsia="宋体" w:hint="eastAsia"/>
                <w:b/>
                <w:sz w:val="21"/>
              </w:rPr>
              <w:t>数量</w:t>
            </w:r>
          </w:p>
        </w:tc>
        <w:tc>
          <w:tcPr>
            <w:tcW w:w="4102" w:type="dxa"/>
            <w:tcBorders>
              <w:left w:val="single" w:sz="6" w:space="0" w:color="000000"/>
              <w:bottom w:val="single" w:sz="6" w:space="0" w:color="000000"/>
            </w:tcBorders>
          </w:tcPr>
          <w:p>
            <w:pPr>
              <w:pStyle w:val="TableParagraph"/>
              <w:spacing w:before="49"/>
              <w:ind w:left="1826" w:right="1790"/>
              <w:rPr>
                <w:rFonts w:ascii="宋体" w:eastAsia="宋体" w:hint="eastAsia"/>
                <w:b/>
                <w:sz w:val="21"/>
              </w:rPr>
            </w:pPr>
            <w:r>
              <w:rPr>
                <w:rFonts w:ascii="宋体" w:eastAsia="宋体" w:hint="eastAsia"/>
                <w:b/>
                <w:sz w:val="21"/>
              </w:rPr>
              <w:t>备注</w:t>
            </w:r>
          </w:p>
        </w:tc>
      </w:tr>
      <w:tr>
        <w:trPr>
          <w:trHeight w:val="359" w:hRule="atLeast"/>
        </w:trPr>
        <w:tc>
          <w:tcPr>
            <w:tcW w:w="830"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3</w:t>
            </w:r>
          </w:p>
        </w:tc>
        <w:tc>
          <w:tcPr>
            <w:tcW w:w="2158" w:type="dxa"/>
            <w:tcBorders>
              <w:top w:val="single" w:sz="6" w:space="0" w:color="000000"/>
              <w:left w:val="single" w:sz="6" w:space="0" w:color="000000"/>
              <w:bottom w:val="single" w:sz="6" w:space="0" w:color="000000"/>
              <w:right w:val="single" w:sz="6" w:space="0" w:color="000000"/>
            </w:tcBorders>
          </w:tcPr>
          <w:p>
            <w:pPr>
              <w:pStyle w:val="TableParagraph"/>
              <w:spacing w:before="64"/>
              <w:ind w:left="342" w:right="318"/>
              <w:rPr>
                <w:rFonts w:ascii="宋体" w:eastAsia="宋体" w:hint="eastAsia"/>
                <w:sz w:val="18"/>
              </w:rPr>
            </w:pPr>
            <w:r>
              <w:rPr>
                <w:rFonts w:ascii="宋体" w:eastAsia="宋体" w:hint="eastAsia"/>
                <w:sz w:val="18"/>
              </w:rPr>
              <w:t>皮带输送机</w:t>
            </w:r>
          </w:p>
        </w:tc>
        <w:tc>
          <w:tcPr>
            <w:tcW w:w="1510" w:type="dxa"/>
            <w:tcBorders>
              <w:top w:val="single" w:sz="6" w:space="0" w:color="000000"/>
              <w:left w:val="single" w:sz="6" w:space="0" w:color="000000"/>
              <w:bottom w:val="single" w:sz="6" w:space="0" w:color="000000"/>
              <w:right w:val="single" w:sz="6" w:space="0" w:color="000000"/>
            </w:tcBorders>
          </w:tcPr>
          <w:p>
            <w:pPr>
              <w:pStyle w:val="TableParagraph"/>
              <w:spacing w:before="76"/>
              <w:ind w:left="264" w:right="239"/>
              <w:rPr>
                <w:sz w:val="18"/>
              </w:rPr>
            </w:pPr>
            <w:r>
              <w:rPr>
                <w:sz w:val="18"/>
              </w:rPr>
              <w:t>SSJ64/250</w:t>
            </w:r>
          </w:p>
        </w:tc>
        <w:tc>
          <w:tcPr>
            <w:tcW w:w="830" w:type="dxa"/>
            <w:tcBorders>
              <w:top w:val="single" w:sz="6" w:space="0" w:color="000000"/>
              <w:left w:val="single" w:sz="6" w:space="0" w:color="000000"/>
              <w:bottom w:val="single" w:sz="6" w:space="0" w:color="000000"/>
              <w:right w:val="single" w:sz="6" w:space="0" w:color="000000"/>
            </w:tcBorders>
          </w:tcPr>
          <w:p>
            <w:pPr>
              <w:pStyle w:val="TableParagraph"/>
              <w:spacing w:before="64"/>
              <w:ind w:right="231"/>
              <w:jc w:val="right"/>
              <w:rPr>
                <w:rFonts w:ascii="宋体" w:eastAsia="宋体" w:hint="eastAsia"/>
                <w:sz w:val="18"/>
              </w:rPr>
            </w:pPr>
            <w:r>
              <w:rPr>
                <w:sz w:val="18"/>
              </w:rPr>
              <w:t>2 </w:t>
            </w:r>
            <w:r>
              <w:rPr>
                <w:rFonts w:ascii="宋体" w:eastAsia="宋体" w:hint="eastAsia"/>
                <w:sz w:val="18"/>
              </w:rPr>
              <w:t>台</w:t>
            </w:r>
          </w:p>
        </w:tc>
        <w:tc>
          <w:tcPr>
            <w:tcW w:w="4102"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59" w:hRule="atLeast"/>
        </w:trPr>
        <w:tc>
          <w:tcPr>
            <w:tcW w:w="830" w:type="dxa"/>
            <w:tcBorders>
              <w:top w:val="single" w:sz="6" w:space="0" w:color="000000"/>
              <w:right w:val="single" w:sz="6" w:space="0" w:color="000000"/>
            </w:tcBorders>
          </w:tcPr>
          <w:p>
            <w:pPr>
              <w:pStyle w:val="TableParagraph"/>
              <w:ind w:left="21"/>
              <w:rPr>
                <w:sz w:val="21"/>
              </w:rPr>
            </w:pPr>
            <w:r>
              <w:rPr>
                <w:w w:val="100"/>
                <w:sz w:val="21"/>
              </w:rPr>
              <w:t>4</w:t>
            </w:r>
          </w:p>
        </w:tc>
        <w:tc>
          <w:tcPr>
            <w:tcW w:w="2158" w:type="dxa"/>
            <w:tcBorders>
              <w:top w:val="single" w:sz="6" w:space="0" w:color="000000"/>
              <w:left w:val="single" w:sz="6" w:space="0" w:color="000000"/>
              <w:right w:val="single" w:sz="6" w:space="0" w:color="000000"/>
            </w:tcBorders>
          </w:tcPr>
          <w:p>
            <w:pPr>
              <w:pStyle w:val="TableParagraph"/>
              <w:spacing w:before="64"/>
              <w:ind w:left="344" w:right="318"/>
              <w:rPr>
                <w:rFonts w:ascii="宋体" w:eastAsia="宋体" w:hint="eastAsia"/>
                <w:sz w:val="18"/>
              </w:rPr>
            </w:pPr>
            <w:r>
              <w:rPr>
                <w:rFonts w:ascii="宋体" w:eastAsia="宋体" w:hint="eastAsia"/>
                <w:sz w:val="18"/>
              </w:rPr>
              <w:t>除臭系统</w:t>
            </w:r>
          </w:p>
        </w:tc>
        <w:tc>
          <w:tcPr>
            <w:tcW w:w="1510" w:type="dxa"/>
            <w:tcBorders>
              <w:top w:val="single" w:sz="6" w:space="0" w:color="000000"/>
              <w:left w:val="single" w:sz="6" w:space="0" w:color="000000"/>
              <w:right w:val="single" w:sz="6" w:space="0" w:color="000000"/>
            </w:tcBorders>
          </w:tcPr>
          <w:p>
            <w:pPr>
              <w:pStyle w:val="TableParagraph"/>
              <w:spacing w:before="76"/>
              <w:ind w:left="264" w:right="237"/>
              <w:rPr>
                <w:sz w:val="18"/>
              </w:rPr>
            </w:pPr>
            <w:r>
              <w:rPr>
                <w:sz w:val="18"/>
              </w:rPr>
              <w:t>XDT4500</w:t>
            </w:r>
          </w:p>
        </w:tc>
        <w:tc>
          <w:tcPr>
            <w:tcW w:w="830" w:type="dxa"/>
            <w:tcBorders>
              <w:top w:val="single" w:sz="6" w:space="0" w:color="000000"/>
              <w:left w:val="single" w:sz="6" w:space="0" w:color="000000"/>
              <w:right w:val="single" w:sz="6" w:space="0" w:color="000000"/>
            </w:tcBorders>
          </w:tcPr>
          <w:p>
            <w:pPr>
              <w:pStyle w:val="TableParagraph"/>
              <w:spacing w:before="64"/>
              <w:ind w:right="231"/>
              <w:jc w:val="right"/>
              <w:rPr>
                <w:rFonts w:ascii="宋体" w:eastAsia="宋体" w:hint="eastAsia"/>
                <w:sz w:val="18"/>
              </w:rPr>
            </w:pPr>
            <w:r>
              <w:rPr>
                <w:sz w:val="18"/>
              </w:rPr>
              <w:t>2 </w:t>
            </w:r>
            <w:r>
              <w:rPr>
                <w:rFonts w:ascii="宋体" w:eastAsia="宋体" w:hint="eastAsia"/>
                <w:sz w:val="18"/>
              </w:rPr>
              <w:t>套</w:t>
            </w:r>
          </w:p>
        </w:tc>
        <w:tc>
          <w:tcPr>
            <w:tcW w:w="4102" w:type="dxa"/>
            <w:tcBorders>
              <w:top w:val="single" w:sz="6" w:space="0" w:color="000000"/>
              <w:left w:val="single" w:sz="6" w:space="0" w:color="000000"/>
            </w:tcBorders>
          </w:tcPr>
          <w:p>
            <w:pPr>
              <w:pStyle w:val="TableParagraph"/>
              <w:spacing w:before="0"/>
              <w:jc w:val="left"/>
              <w:rPr>
                <w:sz w:val="20"/>
              </w:rPr>
            </w:pPr>
          </w:p>
        </w:tc>
      </w:tr>
    </w:tbl>
    <w:p>
      <w:pPr>
        <w:pStyle w:val="ListParagraph"/>
        <w:numPr>
          <w:ilvl w:val="2"/>
          <w:numId w:val="33"/>
        </w:numPr>
        <w:tabs>
          <w:tab w:pos="838" w:val="left" w:leader="none"/>
        </w:tabs>
        <w:spacing w:line="240" w:lineRule="auto" w:before="105" w:after="0"/>
        <w:ind w:left="837" w:right="0" w:hanging="601"/>
        <w:jc w:val="left"/>
        <w:rPr>
          <w:b/>
          <w:sz w:val="24"/>
        </w:rPr>
      </w:pPr>
      <w:bookmarkStart w:name="_bookmark43" w:id="83"/>
      <w:bookmarkEnd w:id="83"/>
      <w:r>
        <w:rPr/>
      </w:r>
      <w:bookmarkStart w:name="_bookmark43" w:id="84"/>
      <w:bookmarkEnd w:id="84"/>
      <w:r>
        <w:rPr>
          <w:b/>
          <w:sz w:val="24"/>
        </w:rPr>
        <w:t>项目工程组成</w:t>
      </w:r>
    </w:p>
    <w:p>
      <w:pPr>
        <w:pStyle w:val="BodyText"/>
        <w:spacing w:line="374" w:lineRule="auto" w:before="165"/>
        <w:ind w:right="254" w:firstLine="480"/>
      </w:pPr>
      <w:r>
        <w:rPr/>
        <w:t>本项目工程组成主要包括主体工程、辅助工程、公用工程、环保工程、储运工程， 具体见表 </w:t>
      </w:r>
      <w:r>
        <w:rPr>
          <w:rFonts w:ascii="Times New Roman" w:eastAsia="Times New Roman"/>
          <w:position w:val="1"/>
        </w:rPr>
        <w:t>3.1-7</w:t>
      </w:r>
      <w:r>
        <w:rPr/>
        <w:t>。</w:t>
      </w:r>
    </w:p>
    <w:p>
      <w:pPr>
        <w:pStyle w:val="Heading3"/>
        <w:spacing w:line="304" w:lineRule="exact" w:before="0"/>
        <w:ind w:left="219" w:right="236"/>
        <w:jc w:val="center"/>
      </w:pPr>
      <w:r>
        <w:rPr/>
        <w:t>表 </w:t>
      </w:r>
      <w:r>
        <w:rPr>
          <w:rFonts w:ascii="Times New Roman" w:eastAsia="Times New Roman"/>
        </w:rPr>
        <w:t>3.1-7  </w:t>
      </w:r>
      <w:r>
        <w:rPr/>
        <w:t>项目工程组成</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708"/>
        <w:gridCol w:w="1277"/>
        <w:gridCol w:w="5636"/>
        <w:gridCol w:w="707"/>
      </w:tblGrid>
      <w:tr>
        <w:trPr>
          <w:trHeight w:val="359" w:hRule="atLeast"/>
        </w:trPr>
        <w:tc>
          <w:tcPr>
            <w:tcW w:w="1102" w:type="dxa"/>
            <w:tcBorders>
              <w:bottom w:val="single" w:sz="6" w:space="0" w:color="000000"/>
              <w:right w:val="single" w:sz="6" w:space="0" w:color="000000"/>
            </w:tcBorders>
          </w:tcPr>
          <w:p>
            <w:pPr>
              <w:pStyle w:val="TableParagraph"/>
              <w:spacing w:before="44"/>
              <w:ind w:left="109" w:right="86"/>
              <w:rPr>
                <w:rFonts w:ascii="宋体" w:eastAsia="宋体" w:hint="eastAsia"/>
                <w:b/>
                <w:sz w:val="21"/>
              </w:rPr>
            </w:pPr>
            <w:r>
              <w:rPr>
                <w:rFonts w:ascii="宋体" w:eastAsia="宋体" w:hint="eastAsia"/>
                <w:b/>
                <w:sz w:val="21"/>
              </w:rPr>
              <w:t>工程类别</w:t>
            </w:r>
          </w:p>
        </w:tc>
        <w:tc>
          <w:tcPr>
            <w:tcW w:w="7621" w:type="dxa"/>
            <w:gridSpan w:val="3"/>
            <w:tcBorders>
              <w:left w:val="single" w:sz="6" w:space="0" w:color="000000"/>
              <w:bottom w:val="single" w:sz="6" w:space="0" w:color="000000"/>
              <w:right w:val="single" w:sz="6" w:space="0" w:color="000000"/>
            </w:tcBorders>
          </w:tcPr>
          <w:p>
            <w:pPr>
              <w:pStyle w:val="TableParagraph"/>
              <w:spacing w:before="44"/>
              <w:ind w:left="1173" w:right="1142"/>
              <w:rPr>
                <w:rFonts w:ascii="宋体" w:eastAsia="宋体" w:hint="eastAsia"/>
                <w:b/>
                <w:sz w:val="21"/>
              </w:rPr>
            </w:pPr>
            <w:r>
              <w:rPr>
                <w:rFonts w:ascii="宋体" w:eastAsia="宋体" w:hint="eastAsia"/>
                <w:b/>
                <w:sz w:val="21"/>
              </w:rPr>
              <w:t>主要内容</w:t>
            </w:r>
          </w:p>
        </w:tc>
        <w:tc>
          <w:tcPr>
            <w:tcW w:w="707" w:type="dxa"/>
            <w:tcBorders>
              <w:left w:val="single" w:sz="6" w:space="0" w:color="000000"/>
              <w:bottom w:val="single" w:sz="6" w:space="0" w:color="000000"/>
            </w:tcBorders>
          </w:tcPr>
          <w:p>
            <w:pPr>
              <w:pStyle w:val="TableParagraph"/>
              <w:spacing w:before="44"/>
              <w:ind w:left="149"/>
              <w:jc w:val="left"/>
              <w:rPr>
                <w:rFonts w:ascii="宋体" w:eastAsia="宋体" w:hint="eastAsia"/>
                <w:b/>
                <w:sz w:val="21"/>
              </w:rPr>
            </w:pPr>
            <w:r>
              <w:rPr>
                <w:rFonts w:ascii="宋体" w:eastAsia="宋体" w:hint="eastAsia"/>
                <w:b/>
                <w:sz w:val="21"/>
              </w:rPr>
              <w:t>备注</w:t>
            </w:r>
          </w:p>
        </w:tc>
      </w:tr>
      <w:tr>
        <w:trPr>
          <w:trHeight w:val="1077" w:hRule="atLeast"/>
        </w:trPr>
        <w:tc>
          <w:tcPr>
            <w:tcW w:w="1102"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06" w:right="86"/>
              <w:rPr>
                <w:rFonts w:ascii="宋体" w:eastAsia="宋体" w:hint="eastAsia"/>
                <w:sz w:val="21"/>
              </w:rPr>
            </w:pPr>
            <w:r>
              <w:rPr>
                <w:rFonts w:ascii="宋体" w:eastAsia="宋体" w:hint="eastAsia"/>
                <w:sz w:val="21"/>
              </w:rPr>
              <w:t>主体工程</w:t>
            </w:r>
          </w:p>
        </w:tc>
        <w:tc>
          <w:tcPr>
            <w:tcW w:w="762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136" w:firstLine="26"/>
              <w:jc w:val="left"/>
              <w:rPr>
                <w:rFonts w:ascii="宋体" w:eastAsia="宋体" w:hint="eastAsia"/>
                <w:sz w:val="21"/>
              </w:rPr>
            </w:pPr>
            <w:r>
              <w:rPr>
                <w:rFonts w:ascii="宋体" w:eastAsia="宋体" w:hint="eastAsia"/>
                <w:spacing w:val="-8"/>
                <w:sz w:val="21"/>
              </w:rPr>
              <w:t>在厂区中部建设 </w:t>
            </w:r>
            <w:r>
              <w:rPr>
                <w:sz w:val="21"/>
              </w:rPr>
              <w:t>2 </w:t>
            </w:r>
            <w:r>
              <w:rPr>
                <w:rFonts w:ascii="宋体" w:eastAsia="宋体" w:hint="eastAsia"/>
                <w:spacing w:val="-25"/>
                <w:sz w:val="21"/>
              </w:rPr>
              <w:t>幢 </w:t>
            </w:r>
            <w:r>
              <w:rPr>
                <w:sz w:val="21"/>
              </w:rPr>
              <w:t>4 </w:t>
            </w:r>
            <w:r>
              <w:rPr>
                <w:rFonts w:ascii="宋体" w:eastAsia="宋体" w:hint="eastAsia"/>
                <w:spacing w:val="-7"/>
                <w:sz w:val="21"/>
              </w:rPr>
              <w:t>层生产车间，其中车间一 </w:t>
            </w:r>
            <w:r>
              <w:rPr>
                <w:sz w:val="21"/>
              </w:rPr>
              <w:t>1~2 </w:t>
            </w:r>
            <w:r>
              <w:rPr>
                <w:rFonts w:ascii="宋体" w:eastAsia="宋体" w:hint="eastAsia"/>
                <w:spacing w:val="-3"/>
                <w:sz w:val="21"/>
              </w:rPr>
              <w:t>层布置育肥舍、</w:t>
            </w:r>
            <w:r>
              <w:rPr>
                <w:sz w:val="21"/>
              </w:rPr>
              <w:t>3 </w:t>
            </w:r>
            <w:r>
              <w:rPr>
                <w:rFonts w:ascii="宋体" w:eastAsia="宋体" w:hint="eastAsia"/>
                <w:spacing w:val="-3"/>
                <w:sz w:val="21"/>
              </w:rPr>
              <w:t>层布置育</w:t>
            </w:r>
          </w:p>
          <w:p>
            <w:pPr>
              <w:pStyle w:val="TableParagraph"/>
              <w:spacing w:line="350" w:lineRule="atLeast" w:before="10"/>
              <w:ind w:left="349" w:right="41" w:hanging="214"/>
              <w:jc w:val="left"/>
              <w:rPr>
                <w:rFonts w:ascii="宋体" w:eastAsia="宋体" w:hint="eastAsia"/>
                <w:sz w:val="21"/>
              </w:rPr>
            </w:pPr>
            <w:r>
              <w:rPr>
                <w:rFonts w:ascii="宋体" w:eastAsia="宋体" w:hint="eastAsia"/>
                <w:sz w:val="21"/>
              </w:rPr>
              <w:t>肥舍和后备舍、</w:t>
            </w:r>
            <w:r>
              <w:rPr>
                <w:sz w:val="21"/>
              </w:rPr>
              <w:t>4 </w:t>
            </w:r>
            <w:r>
              <w:rPr>
                <w:rFonts w:ascii="宋体" w:eastAsia="宋体" w:hint="eastAsia"/>
                <w:sz w:val="21"/>
              </w:rPr>
              <w:t>层布置配怀舍；车间二 </w:t>
            </w:r>
            <w:r>
              <w:rPr>
                <w:sz w:val="21"/>
              </w:rPr>
              <w:t>1~2 </w:t>
            </w:r>
            <w:r>
              <w:rPr>
                <w:rFonts w:ascii="宋体" w:eastAsia="宋体" w:hint="eastAsia"/>
                <w:sz w:val="21"/>
              </w:rPr>
              <w:t>层布置育肥舍、</w:t>
            </w:r>
            <w:r>
              <w:rPr>
                <w:sz w:val="21"/>
              </w:rPr>
              <w:t>3 </w:t>
            </w:r>
            <w:r>
              <w:rPr>
                <w:rFonts w:ascii="宋体" w:eastAsia="宋体" w:hint="eastAsia"/>
                <w:sz w:val="21"/>
              </w:rPr>
              <w:t>层布置保育舍、</w:t>
            </w:r>
            <w:r>
              <w:rPr>
                <w:sz w:val="21"/>
              </w:rPr>
              <w:t>4 </w:t>
            </w:r>
            <w:r>
              <w:rPr>
                <w:rFonts w:ascii="宋体" w:eastAsia="宋体" w:hint="eastAsia"/>
                <w:sz w:val="21"/>
              </w:rPr>
              <w:t>层布置分娩舍；在厂区西南侧布置 </w:t>
            </w:r>
            <w:r>
              <w:rPr>
                <w:sz w:val="21"/>
              </w:rPr>
              <w:t>1 </w:t>
            </w:r>
            <w:r>
              <w:rPr>
                <w:rFonts w:ascii="宋体" w:eastAsia="宋体" w:hint="eastAsia"/>
                <w:sz w:val="21"/>
              </w:rPr>
              <w:t>栋单层隔离舍。设计存栏生猪 </w:t>
            </w:r>
            <w:r>
              <w:rPr>
                <w:sz w:val="21"/>
              </w:rPr>
              <w:t>5 </w:t>
            </w:r>
            <w:r>
              <w:rPr>
                <w:rFonts w:ascii="宋体" w:eastAsia="宋体" w:hint="eastAsia"/>
                <w:sz w:val="21"/>
              </w:rPr>
              <w:t>万头。</w:t>
            </w:r>
          </w:p>
        </w:tc>
        <w:tc>
          <w:tcPr>
            <w:tcW w:w="70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8"/>
              <w:ind w:left="151"/>
              <w:jc w:val="left"/>
              <w:rPr>
                <w:rFonts w:ascii="宋体" w:eastAsia="宋体" w:hint="eastAsia"/>
                <w:sz w:val="21"/>
              </w:rPr>
            </w:pPr>
            <w:r>
              <w:rPr>
                <w:rFonts w:ascii="宋体" w:eastAsia="宋体" w:hint="eastAsia"/>
                <w:sz w:val="21"/>
              </w:rPr>
              <w:t>新建</w:t>
            </w:r>
          </w:p>
        </w:tc>
      </w:tr>
      <w:tr>
        <w:trPr>
          <w:trHeight w:val="717" w:hRule="atLeast"/>
        </w:trPr>
        <w:tc>
          <w:tcPr>
            <w:tcW w:w="1102" w:type="dxa"/>
            <w:tcBorders>
              <w:top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06" w:right="86"/>
              <w:rPr>
                <w:rFonts w:ascii="宋体" w:eastAsia="宋体" w:hint="eastAsia"/>
                <w:sz w:val="21"/>
              </w:rPr>
            </w:pPr>
            <w:r>
              <w:rPr>
                <w:rFonts w:ascii="宋体" w:eastAsia="宋体" w:hint="eastAsia"/>
                <w:sz w:val="21"/>
              </w:rPr>
              <w:t>辅助工程</w:t>
            </w:r>
          </w:p>
        </w:tc>
        <w:tc>
          <w:tcPr>
            <w:tcW w:w="198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368"/>
              <w:jc w:val="left"/>
              <w:rPr>
                <w:rFonts w:ascii="宋体" w:eastAsia="宋体" w:hint="eastAsia"/>
                <w:sz w:val="21"/>
              </w:rPr>
            </w:pPr>
            <w:r>
              <w:rPr>
                <w:rFonts w:ascii="宋体" w:eastAsia="宋体" w:hint="eastAsia"/>
                <w:sz w:val="21"/>
              </w:rPr>
              <w:t>办公、宿舍等</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33"/>
              <w:rPr>
                <w:rFonts w:ascii="宋体" w:eastAsia="宋体" w:hint="eastAsia"/>
                <w:sz w:val="21"/>
              </w:rPr>
            </w:pPr>
            <w:r>
              <w:rPr>
                <w:rFonts w:ascii="宋体" w:eastAsia="宋体" w:hint="eastAsia"/>
                <w:sz w:val="21"/>
              </w:rPr>
              <w:t>在厂区南侧设 </w:t>
            </w:r>
            <w:r>
              <w:rPr>
                <w:sz w:val="21"/>
              </w:rPr>
              <w:t>1 </w:t>
            </w:r>
            <w:r>
              <w:rPr>
                <w:rFonts w:ascii="宋体" w:eastAsia="宋体" w:hint="eastAsia"/>
                <w:sz w:val="21"/>
              </w:rPr>
              <w:t>幢 </w:t>
            </w:r>
            <w:r>
              <w:rPr>
                <w:sz w:val="21"/>
              </w:rPr>
              <w:t>4 </w:t>
            </w:r>
            <w:r>
              <w:rPr>
                <w:rFonts w:ascii="宋体" w:eastAsia="宋体" w:hint="eastAsia"/>
                <w:sz w:val="21"/>
              </w:rPr>
              <w:t>层综合楼，兼员工宿舍；在厂区东北侧</w:t>
            </w:r>
          </w:p>
          <w:p>
            <w:pPr>
              <w:pStyle w:val="TableParagraph"/>
              <w:spacing w:before="88"/>
              <w:ind w:left="28"/>
              <w:rPr>
                <w:rFonts w:ascii="宋体" w:eastAsia="宋体" w:hint="eastAsia"/>
                <w:sz w:val="21"/>
              </w:rPr>
            </w:pPr>
            <w:r>
              <w:rPr>
                <w:rFonts w:ascii="宋体" w:eastAsia="宋体" w:hint="eastAsia"/>
                <w:sz w:val="21"/>
              </w:rPr>
              <w:t>设 </w:t>
            </w:r>
            <w:r>
              <w:rPr>
                <w:sz w:val="21"/>
              </w:rPr>
              <w:t>1 </w:t>
            </w:r>
            <w:r>
              <w:rPr>
                <w:rFonts w:ascii="宋体" w:eastAsia="宋体" w:hint="eastAsia"/>
                <w:sz w:val="21"/>
              </w:rPr>
              <w:t>幢 </w:t>
            </w:r>
            <w:r>
              <w:rPr>
                <w:sz w:val="21"/>
              </w:rPr>
              <w:t>2 </w:t>
            </w:r>
            <w:r>
              <w:rPr>
                <w:rFonts w:ascii="宋体" w:eastAsia="宋体" w:hint="eastAsia"/>
                <w:sz w:val="21"/>
              </w:rPr>
              <w:t>层办公楼和 </w:t>
            </w:r>
            <w:r>
              <w:rPr>
                <w:sz w:val="21"/>
              </w:rPr>
              <w:t>1 </w:t>
            </w:r>
            <w:r>
              <w:rPr>
                <w:rFonts w:ascii="宋体" w:eastAsia="宋体" w:hint="eastAsia"/>
                <w:sz w:val="21"/>
              </w:rPr>
              <w:t>幢 </w:t>
            </w:r>
            <w:r>
              <w:rPr>
                <w:sz w:val="21"/>
              </w:rPr>
              <w:t>1 </w:t>
            </w:r>
            <w:r>
              <w:rPr>
                <w:rFonts w:ascii="宋体" w:eastAsia="宋体" w:hint="eastAsia"/>
                <w:sz w:val="21"/>
              </w:rPr>
              <w:t>层洗消中心。</w:t>
            </w:r>
          </w:p>
        </w:tc>
        <w:tc>
          <w:tcPr>
            <w:tcW w:w="707" w:type="dxa"/>
            <w:tcBorders>
              <w:top w:val="single" w:sz="6" w:space="0" w:color="000000"/>
              <w:left w:val="single" w:sz="6" w:space="0" w:color="000000"/>
              <w:bottom w:val="single" w:sz="6" w:space="0" w:color="000000"/>
            </w:tcBorders>
          </w:tcPr>
          <w:p>
            <w:pPr>
              <w:pStyle w:val="TableParagraph"/>
              <w:spacing w:before="6"/>
              <w:jc w:val="left"/>
              <w:rPr>
                <w:rFonts w:ascii="宋体"/>
                <w:b/>
                <w:sz w:val="17"/>
              </w:rPr>
            </w:pPr>
          </w:p>
          <w:p>
            <w:pPr>
              <w:pStyle w:val="TableParagraph"/>
              <w:spacing w:before="0"/>
              <w:ind w:left="151"/>
              <w:jc w:val="left"/>
              <w:rPr>
                <w:rFonts w:ascii="宋体" w:eastAsia="宋体" w:hint="eastAsia"/>
                <w:sz w:val="21"/>
              </w:rPr>
            </w:pPr>
            <w:r>
              <w:rPr>
                <w:rFonts w:ascii="宋体" w:eastAsia="宋体" w:hint="eastAsia"/>
                <w:sz w:val="21"/>
              </w:rPr>
              <w:t>新建</w:t>
            </w:r>
          </w:p>
        </w:tc>
      </w:tr>
      <w:tr>
        <w:trPr>
          <w:trHeight w:val="359" w:hRule="atLeast"/>
        </w:trPr>
        <w:tc>
          <w:tcPr>
            <w:tcW w:w="1102"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1"/>
              <w:jc w:val="left"/>
              <w:rPr>
                <w:rFonts w:ascii="宋体"/>
                <w:b/>
                <w:sz w:val="19"/>
              </w:rPr>
            </w:pPr>
          </w:p>
          <w:p>
            <w:pPr>
              <w:pStyle w:val="TableParagraph"/>
              <w:spacing w:before="0"/>
              <w:ind w:left="129"/>
              <w:jc w:val="left"/>
              <w:rPr>
                <w:rFonts w:ascii="宋体" w:eastAsia="宋体" w:hint="eastAsia"/>
                <w:sz w:val="21"/>
              </w:rPr>
            </w:pPr>
            <w:r>
              <w:rPr>
                <w:rFonts w:ascii="宋体" w:eastAsia="宋体" w:hint="eastAsia"/>
                <w:sz w:val="21"/>
              </w:rPr>
              <w:t>公用工程</w:t>
            </w:r>
          </w:p>
        </w:tc>
        <w:tc>
          <w:tcPr>
            <w:tcW w:w="198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577"/>
              <w:jc w:val="left"/>
              <w:rPr>
                <w:rFonts w:ascii="宋体" w:eastAsia="宋体" w:hint="eastAsia"/>
                <w:sz w:val="21"/>
              </w:rPr>
            </w:pPr>
            <w:r>
              <w:rPr>
                <w:rFonts w:ascii="宋体" w:eastAsia="宋体" w:hint="eastAsia"/>
                <w:sz w:val="21"/>
              </w:rPr>
              <w:t>供水系统</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宋体" w:eastAsia="宋体" w:hint="eastAsia"/>
                <w:sz w:val="21"/>
              </w:rPr>
            </w:pPr>
            <w:r>
              <w:rPr>
                <w:rFonts w:ascii="宋体" w:eastAsia="宋体" w:hint="eastAsia"/>
                <w:sz w:val="21"/>
              </w:rPr>
              <w:t>企业生产、生活用水均由项目拟建址附近市政管网供应。</w:t>
            </w:r>
          </w:p>
        </w:tc>
        <w:tc>
          <w:tcPr>
            <w:tcW w:w="707" w:type="dxa"/>
            <w:tcBorders>
              <w:top w:val="single" w:sz="6" w:space="0" w:color="000000"/>
              <w:left w:val="single" w:sz="6" w:space="0" w:color="000000"/>
              <w:bottom w:val="single" w:sz="6" w:space="0" w:color="000000"/>
            </w:tcBorders>
          </w:tcPr>
          <w:p>
            <w:pPr>
              <w:pStyle w:val="TableParagraph"/>
              <w:spacing w:before="44"/>
              <w:ind w:left="151"/>
              <w:jc w:val="left"/>
              <w:rPr>
                <w:rFonts w:ascii="宋体" w:eastAsia="宋体" w:hint="eastAsia"/>
                <w:sz w:val="21"/>
              </w:rPr>
            </w:pPr>
            <w:r>
              <w:rPr>
                <w:rFonts w:ascii="宋体" w:eastAsia="宋体" w:hint="eastAsia"/>
                <w:sz w:val="21"/>
              </w:rPr>
              <w:t>新建</w:t>
            </w:r>
          </w:p>
        </w:tc>
      </w:tr>
      <w:tr>
        <w:trPr>
          <w:trHeight w:val="1792" w:hRule="atLeast"/>
        </w:trPr>
        <w:tc>
          <w:tcPr>
            <w:tcW w:w="1102" w:type="dxa"/>
            <w:vMerge/>
            <w:tcBorders>
              <w:top w:val="nil"/>
              <w:bottom w:val="single" w:sz="6" w:space="0" w:color="000000"/>
              <w:right w:val="single" w:sz="6" w:space="0" w:color="000000"/>
            </w:tcBorders>
          </w:tcPr>
          <w:p>
            <w:pPr>
              <w:rPr>
                <w:sz w:val="2"/>
                <w:szCs w:val="2"/>
              </w:rPr>
            </w:pPr>
          </w:p>
        </w:tc>
        <w:tc>
          <w:tcPr>
            <w:tcW w:w="198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19"/>
              </w:rPr>
            </w:pPr>
          </w:p>
          <w:p>
            <w:pPr>
              <w:pStyle w:val="TableParagraph"/>
              <w:spacing w:before="0"/>
              <w:ind w:left="577"/>
              <w:jc w:val="left"/>
              <w:rPr>
                <w:rFonts w:ascii="宋体" w:eastAsia="宋体" w:hint="eastAsia"/>
                <w:sz w:val="21"/>
              </w:rPr>
            </w:pPr>
            <w:r>
              <w:rPr>
                <w:rFonts w:ascii="宋体" w:eastAsia="宋体" w:hint="eastAsia"/>
                <w:sz w:val="21"/>
              </w:rPr>
              <w:t>排水系统</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4" w:right="78"/>
              <w:jc w:val="both"/>
              <w:rPr>
                <w:rFonts w:ascii="宋体" w:eastAsia="宋体" w:hint="eastAsia"/>
                <w:sz w:val="21"/>
              </w:rPr>
            </w:pPr>
            <w:r>
              <w:rPr>
                <w:rFonts w:ascii="宋体" w:eastAsia="宋体" w:hint="eastAsia"/>
                <w:spacing w:val="-8"/>
                <w:sz w:val="21"/>
              </w:rPr>
              <w:t>雨污分流，初期雨水经初期雨水池收集后汇入自建污水站处</w:t>
            </w:r>
            <w:r>
              <w:rPr>
                <w:rFonts w:ascii="宋体" w:eastAsia="宋体" w:hint="eastAsia"/>
                <w:spacing w:val="-9"/>
                <w:sz w:val="21"/>
              </w:rPr>
              <w:t>理，洁净雨水排入周边河道，生产生活废水经自建污水处理</w:t>
            </w:r>
            <w:r>
              <w:rPr>
                <w:rFonts w:ascii="宋体" w:eastAsia="宋体" w:hint="eastAsia"/>
                <w:spacing w:val="-8"/>
                <w:sz w:val="21"/>
              </w:rPr>
              <w:t>站处理达标后全部纳入市政污水管网</w:t>
            </w:r>
            <w:r>
              <w:rPr>
                <w:rFonts w:ascii="宋体" w:eastAsia="宋体" w:hint="eastAsia"/>
                <w:sz w:val="21"/>
              </w:rPr>
              <w:t>（</w:t>
            </w:r>
            <w:r>
              <w:rPr>
                <w:rFonts w:ascii="宋体" w:eastAsia="宋体" w:hint="eastAsia"/>
                <w:spacing w:val="-3"/>
                <w:sz w:val="21"/>
              </w:rPr>
              <w:t>项目拟建址与市政排</w:t>
            </w:r>
            <w:r>
              <w:rPr>
                <w:rFonts w:ascii="宋体" w:eastAsia="宋体" w:hint="eastAsia"/>
                <w:spacing w:val="-5"/>
                <w:sz w:val="21"/>
              </w:rPr>
              <w:t>污总管的衔接工作由绍兴柯桥排水有限公司负责建设，预计</w:t>
            </w:r>
          </w:p>
          <w:p>
            <w:pPr>
              <w:pStyle w:val="TableParagraph"/>
              <w:spacing w:before="4"/>
              <w:ind w:left="618"/>
              <w:jc w:val="both"/>
              <w:rPr>
                <w:rFonts w:ascii="宋体" w:eastAsia="宋体" w:hint="eastAsia"/>
                <w:sz w:val="21"/>
              </w:rPr>
            </w:pPr>
            <w:r>
              <w:rPr>
                <w:rFonts w:ascii="宋体" w:eastAsia="宋体" w:hint="eastAsia"/>
                <w:sz w:val="21"/>
              </w:rPr>
              <w:t>于 </w:t>
            </w:r>
            <w:r>
              <w:rPr>
                <w:sz w:val="21"/>
              </w:rPr>
              <w:t>2021 </w:t>
            </w:r>
            <w:r>
              <w:rPr>
                <w:rFonts w:ascii="宋体" w:eastAsia="宋体" w:hint="eastAsia"/>
                <w:sz w:val="21"/>
              </w:rPr>
              <w:t>年 </w:t>
            </w:r>
            <w:r>
              <w:rPr>
                <w:sz w:val="21"/>
              </w:rPr>
              <w:t>10 </w:t>
            </w:r>
            <w:r>
              <w:rPr>
                <w:rFonts w:ascii="宋体" w:eastAsia="宋体" w:hint="eastAsia"/>
                <w:sz w:val="21"/>
              </w:rPr>
              <w:t>月底前建成投用，详见附件七）。</w:t>
            </w:r>
          </w:p>
        </w:tc>
        <w:tc>
          <w:tcPr>
            <w:tcW w:w="70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19"/>
              </w:rPr>
            </w:pPr>
          </w:p>
          <w:p>
            <w:pPr>
              <w:pStyle w:val="TableParagraph"/>
              <w:spacing w:before="0"/>
              <w:ind w:left="151"/>
              <w:jc w:val="left"/>
              <w:rPr>
                <w:rFonts w:ascii="宋体" w:eastAsia="宋体" w:hint="eastAsia"/>
                <w:sz w:val="21"/>
              </w:rPr>
            </w:pPr>
            <w:r>
              <w:rPr>
                <w:rFonts w:ascii="宋体" w:eastAsia="宋体" w:hint="eastAsia"/>
                <w:sz w:val="21"/>
              </w:rPr>
              <w:t>新建</w:t>
            </w:r>
          </w:p>
        </w:tc>
      </w:tr>
      <w:tr>
        <w:trPr>
          <w:trHeight w:val="359" w:hRule="atLeast"/>
        </w:trPr>
        <w:tc>
          <w:tcPr>
            <w:tcW w:w="1102" w:type="dxa"/>
            <w:vMerge/>
            <w:tcBorders>
              <w:top w:val="nil"/>
              <w:bottom w:val="single" w:sz="6" w:space="0" w:color="000000"/>
              <w:right w:val="single" w:sz="6" w:space="0" w:color="000000"/>
            </w:tcBorders>
          </w:tcPr>
          <w:p>
            <w:pPr>
              <w:rPr>
                <w:sz w:val="2"/>
                <w:szCs w:val="2"/>
              </w:rPr>
            </w:pPr>
          </w:p>
        </w:tc>
        <w:tc>
          <w:tcPr>
            <w:tcW w:w="198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577"/>
              <w:jc w:val="left"/>
              <w:rPr>
                <w:rFonts w:ascii="宋体" w:eastAsia="宋体" w:hint="eastAsia"/>
                <w:sz w:val="21"/>
              </w:rPr>
            </w:pPr>
            <w:r>
              <w:rPr>
                <w:rFonts w:ascii="宋体" w:eastAsia="宋体" w:hint="eastAsia"/>
                <w:sz w:val="21"/>
              </w:rPr>
              <w:t>供电系统</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6"/>
              <w:ind w:left="26"/>
              <w:rPr>
                <w:rFonts w:ascii="宋体" w:eastAsia="宋体" w:hint="eastAsia"/>
                <w:sz w:val="21"/>
              </w:rPr>
            </w:pPr>
            <w:r>
              <w:rPr>
                <w:rFonts w:ascii="宋体" w:eastAsia="宋体" w:hint="eastAsia"/>
                <w:sz w:val="21"/>
              </w:rPr>
              <w:t>设 </w:t>
            </w:r>
            <w:r>
              <w:rPr>
                <w:sz w:val="21"/>
              </w:rPr>
              <w:t>4500KVA </w:t>
            </w:r>
            <w:r>
              <w:rPr>
                <w:rFonts w:ascii="宋体" w:eastAsia="宋体" w:hint="eastAsia"/>
                <w:sz w:val="21"/>
              </w:rPr>
              <w:t>变配电房 </w:t>
            </w:r>
            <w:r>
              <w:rPr>
                <w:sz w:val="21"/>
              </w:rPr>
              <w:t>1 </w:t>
            </w:r>
            <w:r>
              <w:rPr>
                <w:rFonts w:ascii="宋体" w:eastAsia="宋体" w:hint="eastAsia"/>
                <w:sz w:val="21"/>
              </w:rPr>
              <w:t>座，用电由柯桥区电网供应。</w:t>
            </w:r>
          </w:p>
        </w:tc>
        <w:tc>
          <w:tcPr>
            <w:tcW w:w="707" w:type="dxa"/>
            <w:tcBorders>
              <w:top w:val="single" w:sz="6" w:space="0" w:color="000000"/>
              <w:left w:val="single" w:sz="6" w:space="0" w:color="000000"/>
              <w:bottom w:val="single" w:sz="6" w:space="0" w:color="000000"/>
            </w:tcBorders>
          </w:tcPr>
          <w:p>
            <w:pPr>
              <w:pStyle w:val="TableParagraph"/>
              <w:spacing w:before="46"/>
              <w:ind w:left="151"/>
              <w:jc w:val="left"/>
              <w:rPr>
                <w:rFonts w:ascii="宋体" w:eastAsia="宋体" w:hint="eastAsia"/>
                <w:sz w:val="21"/>
              </w:rPr>
            </w:pPr>
            <w:r>
              <w:rPr>
                <w:rFonts w:ascii="宋体" w:eastAsia="宋体" w:hint="eastAsia"/>
                <w:sz w:val="21"/>
              </w:rPr>
              <w:t>新建</w:t>
            </w:r>
          </w:p>
        </w:tc>
      </w:tr>
      <w:tr>
        <w:trPr>
          <w:trHeight w:val="1076" w:hRule="atLeast"/>
        </w:trPr>
        <w:tc>
          <w:tcPr>
            <w:tcW w:w="1102" w:type="dxa"/>
            <w:vMerge/>
            <w:tcBorders>
              <w:top w:val="nil"/>
              <w:bottom w:val="single" w:sz="6" w:space="0" w:color="000000"/>
              <w:right w:val="single" w:sz="6" w:space="0" w:color="000000"/>
            </w:tcBorders>
          </w:tcPr>
          <w:p>
            <w:pPr>
              <w:rPr>
                <w:sz w:val="2"/>
                <w:szCs w:val="2"/>
              </w:rPr>
            </w:pPr>
          </w:p>
        </w:tc>
        <w:tc>
          <w:tcPr>
            <w:tcW w:w="198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263"/>
              <w:jc w:val="left"/>
              <w:rPr>
                <w:rFonts w:ascii="宋体" w:eastAsia="宋体" w:hint="eastAsia"/>
                <w:sz w:val="21"/>
              </w:rPr>
            </w:pPr>
            <w:r>
              <w:rPr>
                <w:rFonts w:ascii="宋体" w:eastAsia="宋体" w:hint="eastAsia"/>
                <w:sz w:val="21"/>
              </w:rPr>
              <w:t>供暖及降温系统</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jc w:val="left"/>
              <w:rPr>
                <w:rFonts w:ascii="宋体" w:eastAsia="宋体" w:hint="eastAsia"/>
                <w:sz w:val="21"/>
              </w:rPr>
            </w:pPr>
            <w:r>
              <w:rPr>
                <w:rFonts w:ascii="宋体" w:eastAsia="宋体" w:hint="eastAsia"/>
                <w:sz w:val="21"/>
              </w:rPr>
              <w:t>猪场所在地冬、春季节昼夜温差较大，为了提高仔猪的成活</w:t>
            </w:r>
          </w:p>
          <w:p>
            <w:pPr>
              <w:pStyle w:val="TableParagraph"/>
              <w:spacing w:line="350" w:lineRule="atLeast" w:before="10"/>
              <w:ind w:left="2404" w:right="35" w:hanging="2290"/>
              <w:jc w:val="left"/>
              <w:rPr>
                <w:rFonts w:ascii="宋体" w:eastAsia="宋体" w:hint="eastAsia"/>
                <w:sz w:val="21"/>
              </w:rPr>
            </w:pPr>
            <w:r>
              <w:rPr>
                <w:rFonts w:ascii="宋体" w:eastAsia="宋体" w:hint="eastAsia"/>
                <w:sz w:val="21"/>
              </w:rPr>
              <w:t>率，分娩舍、保育舍均采用电热保温，夏暑降温采用湿帘风机系统。</w:t>
            </w:r>
          </w:p>
        </w:tc>
        <w:tc>
          <w:tcPr>
            <w:tcW w:w="70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8"/>
              <w:ind w:left="151"/>
              <w:jc w:val="left"/>
              <w:rPr>
                <w:rFonts w:ascii="宋体" w:eastAsia="宋体" w:hint="eastAsia"/>
                <w:sz w:val="21"/>
              </w:rPr>
            </w:pPr>
            <w:r>
              <w:rPr>
                <w:rFonts w:ascii="宋体" w:eastAsia="宋体" w:hint="eastAsia"/>
                <w:sz w:val="21"/>
              </w:rPr>
              <w:t>新建</w:t>
            </w:r>
          </w:p>
        </w:tc>
      </w:tr>
      <w:tr>
        <w:trPr>
          <w:trHeight w:val="717" w:hRule="atLeast"/>
        </w:trPr>
        <w:tc>
          <w:tcPr>
            <w:tcW w:w="1102" w:type="dxa"/>
            <w:vMerge/>
            <w:tcBorders>
              <w:top w:val="nil"/>
              <w:bottom w:val="single" w:sz="6" w:space="0" w:color="000000"/>
              <w:right w:val="single" w:sz="6" w:space="0" w:color="000000"/>
            </w:tcBorders>
          </w:tcPr>
          <w:p>
            <w:pPr>
              <w:rPr>
                <w:sz w:val="2"/>
                <w:szCs w:val="2"/>
              </w:rPr>
            </w:pPr>
          </w:p>
        </w:tc>
        <w:tc>
          <w:tcPr>
            <w:tcW w:w="198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577"/>
              <w:jc w:val="left"/>
              <w:rPr>
                <w:rFonts w:ascii="宋体" w:eastAsia="宋体" w:hint="eastAsia"/>
                <w:sz w:val="21"/>
              </w:rPr>
            </w:pPr>
            <w:r>
              <w:rPr>
                <w:rFonts w:ascii="宋体" w:eastAsia="宋体" w:hint="eastAsia"/>
                <w:sz w:val="21"/>
              </w:rPr>
              <w:t>防疫系统</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31"/>
              <w:rPr>
                <w:rFonts w:ascii="宋体" w:eastAsia="宋体" w:hint="eastAsia"/>
                <w:sz w:val="21"/>
              </w:rPr>
            </w:pPr>
            <w:r>
              <w:rPr>
                <w:rFonts w:ascii="宋体" w:eastAsia="宋体" w:hint="eastAsia"/>
                <w:sz w:val="21"/>
              </w:rPr>
              <w:t>建设防疫隔离墙、防疫沟、防疫林、人员消毒通道，配备消</w:t>
            </w:r>
          </w:p>
          <w:p>
            <w:pPr>
              <w:pStyle w:val="TableParagraph"/>
              <w:spacing w:before="91"/>
              <w:ind w:left="28"/>
              <w:rPr>
                <w:rFonts w:ascii="宋体" w:eastAsia="宋体" w:hint="eastAsia"/>
                <w:sz w:val="21"/>
              </w:rPr>
            </w:pPr>
            <w:r>
              <w:rPr>
                <w:rFonts w:ascii="宋体" w:eastAsia="宋体" w:hint="eastAsia"/>
                <w:sz w:val="21"/>
              </w:rPr>
              <w:t>毒设施和电子监控设施。</w:t>
            </w:r>
          </w:p>
        </w:tc>
        <w:tc>
          <w:tcPr>
            <w:tcW w:w="707" w:type="dxa"/>
            <w:tcBorders>
              <w:top w:val="single" w:sz="6" w:space="0" w:color="000000"/>
              <w:left w:val="single" w:sz="6" w:space="0" w:color="000000"/>
              <w:bottom w:val="single" w:sz="6" w:space="0" w:color="000000"/>
            </w:tcBorders>
          </w:tcPr>
          <w:p>
            <w:pPr>
              <w:pStyle w:val="TableParagraph"/>
              <w:spacing w:before="6"/>
              <w:jc w:val="left"/>
              <w:rPr>
                <w:rFonts w:ascii="宋体"/>
                <w:b/>
                <w:sz w:val="17"/>
              </w:rPr>
            </w:pPr>
          </w:p>
          <w:p>
            <w:pPr>
              <w:pStyle w:val="TableParagraph"/>
              <w:spacing w:before="0"/>
              <w:ind w:left="151"/>
              <w:jc w:val="left"/>
              <w:rPr>
                <w:rFonts w:ascii="宋体" w:eastAsia="宋体" w:hint="eastAsia"/>
                <w:sz w:val="21"/>
              </w:rPr>
            </w:pPr>
            <w:r>
              <w:rPr>
                <w:rFonts w:ascii="宋体" w:eastAsia="宋体" w:hint="eastAsia"/>
                <w:sz w:val="21"/>
              </w:rPr>
              <w:t>新建</w:t>
            </w:r>
          </w:p>
        </w:tc>
      </w:tr>
      <w:tr>
        <w:trPr>
          <w:trHeight w:val="1070" w:hRule="atLeast"/>
        </w:trPr>
        <w:tc>
          <w:tcPr>
            <w:tcW w:w="1102"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25"/>
              </w:rPr>
            </w:pPr>
          </w:p>
          <w:p>
            <w:pPr>
              <w:pStyle w:val="TableParagraph"/>
              <w:spacing w:before="0"/>
              <w:ind w:left="129"/>
              <w:jc w:val="left"/>
              <w:rPr>
                <w:rFonts w:ascii="宋体" w:eastAsia="宋体" w:hint="eastAsia"/>
                <w:sz w:val="21"/>
              </w:rPr>
            </w:pPr>
            <w:r>
              <w:rPr>
                <w:rFonts w:ascii="宋体" w:eastAsia="宋体" w:hint="eastAsia"/>
                <w:sz w:val="21"/>
              </w:rPr>
              <w:t>环保工程</w:t>
            </w:r>
          </w:p>
        </w:tc>
        <w:tc>
          <w:tcPr>
            <w:tcW w:w="708"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25"/>
              </w:rPr>
            </w:pPr>
          </w:p>
          <w:p>
            <w:pPr>
              <w:pStyle w:val="TableParagraph"/>
              <w:spacing w:before="0"/>
              <w:ind w:left="150"/>
              <w:jc w:val="left"/>
              <w:rPr>
                <w:rFonts w:ascii="宋体" w:eastAsia="宋体" w:hint="eastAsia"/>
                <w:sz w:val="21"/>
              </w:rPr>
            </w:pPr>
            <w:r>
              <w:rPr>
                <w:rFonts w:ascii="宋体" w:eastAsia="宋体" w:hint="eastAsia"/>
                <w:sz w:val="21"/>
              </w:rPr>
              <w:t>废气</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222"/>
              <w:jc w:val="left"/>
              <w:rPr>
                <w:rFonts w:ascii="宋体" w:eastAsia="宋体" w:hint="eastAsia"/>
                <w:sz w:val="21"/>
              </w:rPr>
            </w:pPr>
            <w:r>
              <w:rPr>
                <w:rFonts w:ascii="宋体" w:eastAsia="宋体" w:hint="eastAsia"/>
                <w:sz w:val="21"/>
              </w:rPr>
              <w:t>猪舍臭气</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jc w:val="left"/>
              <w:rPr>
                <w:rFonts w:ascii="宋体" w:eastAsia="宋体" w:hint="eastAsia"/>
                <w:sz w:val="21"/>
              </w:rPr>
            </w:pPr>
            <w:r>
              <w:rPr>
                <w:rFonts w:ascii="宋体" w:eastAsia="宋体" w:hint="eastAsia"/>
                <w:sz w:val="21"/>
              </w:rPr>
              <w:t>加强猪舍排风；科学合理配置日粮；每天及时清理粪污；定</w:t>
            </w:r>
          </w:p>
          <w:p>
            <w:pPr>
              <w:pStyle w:val="TableParagraph"/>
              <w:spacing w:line="350" w:lineRule="atLeast" w:before="10"/>
              <w:ind w:left="770" w:right="24" w:hanging="656"/>
              <w:jc w:val="left"/>
              <w:rPr>
                <w:rFonts w:ascii="宋体" w:eastAsia="宋体" w:hint="eastAsia"/>
                <w:sz w:val="21"/>
              </w:rPr>
            </w:pPr>
            <w:r>
              <w:rPr>
                <w:rFonts w:ascii="宋体" w:eastAsia="宋体" w:hint="eastAsia"/>
                <w:sz w:val="21"/>
              </w:rPr>
              <w:t>期喷雾除臭和消毒；合理设置猪舍结构；猪舍通风侧外部设置喷雾</w:t>
            </w:r>
            <w:r>
              <w:rPr>
                <w:sz w:val="21"/>
              </w:rPr>
              <w:t>+</w:t>
            </w:r>
            <w:r>
              <w:rPr>
                <w:rFonts w:ascii="宋体" w:eastAsia="宋体" w:hint="eastAsia"/>
                <w:sz w:val="21"/>
              </w:rPr>
              <w:t>过滤除臭系统，降低臭气排放源强。</w:t>
            </w:r>
          </w:p>
        </w:tc>
        <w:tc>
          <w:tcPr>
            <w:tcW w:w="70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8"/>
              <w:ind w:left="151"/>
              <w:jc w:val="left"/>
              <w:rPr>
                <w:rFonts w:ascii="宋体" w:eastAsia="宋体" w:hint="eastAsia"/>
                <w:sz w:val="21"/>
              </w:rPr>
            </w:pPr>
            <w:r>
              <w:rPr>
                <w:rFonts w:ascii="宋体" w:eastAsia="宋体" w:hint="eastAsia"/>
                <w:sz w:val="21"/>
              </w:rPr>
              <w:t>新建</w:t>
            </w:r>
          </w:p>
        </w:tc>
      </w:tr>
      <w:tr>
        <w:trPr>
          <w:trHeight w:val="1419" w:hRule="atLeast"/>
        </w:trPr>
        <w:tc>
          <w:tcPr>
            <w:tcW w:w="1102" w:type="dxa"/>
            <w:vMerge/>
            <w:tcBorders>
              <w:top w:val="nil"/>
              <w:right w:val="single" w:sz="6" w:space="0" w:color="000000"/>
            </w:tcBorders>
          </w:tcPr>
          <w:p>
            <w:pPr>
              <w:rPr>
                <w:sz w:val="2"/>
                <w:szCs w:val="2"/>
              </w:rPr>
            </w:pPr>
          </w:p>
        </w:tc>
        <w:tc>
          <w:tcPr>
            <w:tcW w:w="708" w:type="dxa"/>
            <w:vMerge/>
            <w:tcBorders>
              <w:top w:val="nil"/>
              <w:left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line="319" w:lineRule="auto" w:before="140"/>
              <w:ind w:left="537" w:right="89" w:hanging="421"/>
              <w:jc w:val="left"/>
              <w:rPr>
                <w:rFonts w:ascii="宋体" w:eastAsia="宋体" w:hint="eastAsia"/>
                <w:sz w:val="21"/>
              </w:rPr>
            </w:pPr>
            <w:r>
              <w:rPr>
                <w:rFonts w:ascii="宋体" w:eastAsia="宋体" w:hint="eastAsia"/>
                <w:sz w:val="21"/>
              </w:rPr>
              <w:t>粪污处理臭气</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36"/>
              <w:ind w:left="114" w:right="79"/>
              <w:jc w:val="both"/>
              <w:rPr>
                <w:sz w:val="21"/>
              </w:rPr>
            </w:pPr>
            <w:r>
              <w:rPr>
                <w:rFonts w:ascii="宋体" w:hAnsi="宋体" w:eastAsia="宋体" w:hint="eastAsia"/>
                <w:spacing w:val="-6"/>
                <w:sz w:val="21"/>
              </w:rPr>
              <w:t>项目采用干清粪工艺；对污水处理区各构筑物池体加盖，对</w:t>
            </w:r>
            <w:r>
              <w:rPr>
                <w:rFonts w:ascii="宋体" w:hAnsi="宋体" w:eastAsia="宋体" w:hint="eastAsia"/>
                <w:spacing w:val="-8"/>
                <w:sz w:val="21"/>
              </w:rPr>
              <w:t>固液分离间、猪粪投料间、有机肥仓库</w:t>
            </w:r>
            <w:r>
              <w:rPr>
                <w:rFonts w:ascii="宋体" w:hAnsi="宋体" w:eastAsia="宋体" w:hint="eastAsia"/>
                <w:sz w:val="21"/>
              </w:rPr>
              <w:t>（</w:t>
            </w:r>
            <w:r>
              <w:rPr>
                <w:rFonts w:ascii="宋体" w:hAnsi="宋体" w:eastAsia="宋体" w:hint="eastAsia"/>
                <w:spacing w:val="-3"/>
                <w:sz w:val="21"/>
              </w:rPr>
              <w:t>含病死猪无害化处理间</w:t>
            </w:r>
            <w:r>
              <w:rPr>
                <w:rFonts w:ascii="宋体" w:hAnsi="宋体" w:eastAsia="宋体" w:hint="eastAsia"/>
                <w:spacing w:val="-8"/>
                <w:sz w:val="21"/>
              </w:rPr>
              <w:t>）</w:t>
            </w:r>
            <w:r>
              <w:rPr>
                <w:rFonts w:ascii="宋体" w:hAnsi="宋体" w:eastAsia="宋体" w:hint="eastAsia"/>
                <w:spacing w:val="-4"/>
                <w:sz w:val="21"/>
              </w:rPr>
              <w:t>进行整体负压抽风，上述废气合并至一套</w:t>
            </w:r>
            <w:r>
              <w:rPr>
                <w:sz w:val="21"/>
              </w:rPr>
              <w:t>“</w:t>
            </w:r>
            <w:r>
              <w:rPr>
                <w:rFonts w:ascii="宋体" w:hAnsi="宋体" w:eastAsia="宋体" w:hint="eastAsia"/>
                <w:spacing w:val="-3"/>
                <w:sz w:val="21"/>
              </w:rPr>
              <w:t>二级喷淋</w:t>
            </w:r>
            <w:r>
              <w:rPr>
                <w:sz w:val="21"/>
              </w:rPr>
              <w:t>”</w:t>
            </w:r>
          </w:p>
          <w:p>
            <w:pPr>
              <w:pStyle w:val="TableParagraph"/>
              <w:spacing w:before="4"/>
              <w:ind w:left="114"/>
              <w:jc w:val="both"/>
              <w:rPr>
                <w:rFonts w:ascii="宋体" w:eastAsia="宋体" w:hint="eastAsia"/>
                <w:sz w:val="21"/>
              </w:rPr>
            </w:pPr>
            <w:r>
              <w:rPr>
                <w:rFonts w:ascii="宋体" w:eastAsia="宋体" w:hint="eastAsia"/>
                <w:spacing w:val="-13"/>
                <w:sz w:val="21"/>
              </w:rPr>
              <w:t>除臭装置处理，尾气由对应的 </w:t>
            </w:r>
            <w:r>
              <w:rPr>
                <w:sz w:val="21"/>
              </w:rPr>
              <w:t>15m </w:t>
            </w:r>
            <w:r>
              <w:rPr>
                <w:rFonts w:ascii="宋体" w:eastAsia="宋体" w:hint="eastAsia"/>
                <w:spacing w:val="-18"/>
                <w:sz w:val="21"/>
              </w:rPr>
              <w:t>高排气筒</w:t>
            </w:r>
            <w:r>
              <w:rPr>
                <w:rFonts w:ascii="宋体" w:eastAsia="宋体" w:hint="eastAsia"/>
                <w:spacing w:val="-11"/>
                <w:sz w:val="21"/>
              </w:rPr>
              <w:t>（</w:t>
            </w:r>
            <w:r>
              <w:rPr>
                <w:spacing w:val="-11"/>
                <w:sz w:val="21"/>
              </w:rPr>
              <w:t>DA001</w:t>
            </w:r>
            <w:r>
              <w:rPr>
                <w:rFonts w:ascii="宋体" w:eastAsia="宋体" w:hint="eastAsia"/>
                <w:spacing w:val="-11"/>
                <w:sz w:val="21"/>
              </w:rPr>
              <w:t>）排放。</w:t>
            </w:r>
          </w:p>
        </w:tc>
        <w:tc>
          <w:tcPr>
            <w:tcW w:w="70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0"/>
              <w:jc w:val="left"/>
              <w:rPr>
                <w:rFonts w:ascii="宋体"/>
                <w:b/>
                <w:sz w:val="24"/>
              </w:rPr>
            </w:pPr>
          </w:p>
          <w:p>
            <w:pPr>
              <w:pStyle w:val="TableParagraph"/>
              <w:spacing w:before="0"/>
              <w:ind w:left="151"/>
              <w:jc w:val="left"/>
              <w:rPr>
                <w:rFonts w:ascii="宋体" w:eastAsia="宋体" w:hint="eastAsia"/>
                <w:sz w:val="21"/>
              </w:rPr>
            </w:pPr>
            <w:r>
              <w:rPr>
                <w:rFonts w:ascii="宋体" w:eastAsia="宋体" w:hint="eastAsia"/>
                <w:sz w:val="21"/>
              </w:rPr>
              <w:t>新建</w:t>
            </w:r>
          </w:p>
        </w:tc>
      </w:tr>
      <w:tr>
        <w:trPr>
          <w:trHeight w:val="701" w:hRule="atLeast"/>
        </w:trPr>
        <w:tc>
          <w:tcPr>
            <w:tcW w:w="1102" w:type="dxa"/>
            <w:vMerge/>
            <w:tcBorders>
              <w:top w:val="nil"/>
              <w:right w:val="single" w:sz="6" w:space="0" w:color="000000"/>
            </w:tcBorders>
          </w:tcPr>
          <w:p>
            <w:pPr>
              <w:rPr>
                <w:sz w:val="2"/>
                <w:szCs w:val="2"/>
              </w:rPr>
            </w:pPr>
          </w:p>
        </w:tc>
        <w:tc>
          <w:tcPr>
            <w:tcW w:w="708" w:type="dxa"/>
            <w:vMerge/>
            <w:tcBorders>
              <w:top w:val="nil"/>
              <w:left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36"/>
              <w:ind w:left="98" w:right="73"/>
              <w:rPr>
                <w:rFonts w:ascii="宋体" w:eastAsia="宋体" w:hint="eastAsia"/>
                <w:sz w:val="21"/>
              </w:rPr>
            </w:pPr>
            <w:r>
              <w:rPr>
                <w:rFonts w:ascii="宋体" w:eastAsia="宋体" w:hint="eastAsia"/>
                <w:sz w:val="21"/>
              </w:rPr>
              <w:t>猪粪发酵臭</w:t>
            </w:r>
          </w:p>
          <w:p>
            <w:pPr>
              <w:pStyle w:val="TableParagraph"/>
              <w:spacing w:before="91"/>
              <w:ind w:left="24"/>
              <w:rPr>
                <w:rFonts w:ascii="宋体" w:eastAsia="宋体" w:hint="eastAsia"/>
                <w:sz w:val="21"/>
              </w:rPr>
            </w:pPr>
            <w:r>
              <w:rPr>
                <w:rFonts w:ascii="宋体" w:eastAsia="宋体" w:hint="eastAsia"/>
                <w:w w:val="100"/>
                <w:sz w:val="21"/>
              </w:rPr>
              <w:t>气</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36"/>
              <w:ind w:left="196"/>
              <w:jc w:val="left"/>
              <w:rPr>
                <w:rFonts w:ascii="宋体" w:eastAsia="宋体" w:hint="eastAsia"/>
                <w:sz w:val="21"/>
              </w:rPr>
            </w:pPr>
            <w:r>
              <w:rPr>
                <w:rFonts w:ascii="宋体" w:eastAsia="宋体" w:hint="eastAsia"/>
                <w:spacing w:val="-3"/>
                <w:sz w:val="21"/>
              </w:rPr>
              <w:t>猪粪发酵罐臭气经设备配套的喷淋除臭装置处理后由对应</w:t>
            </w:r>
          </w:p>
          <w:p>
            <w:pPr>
              <w:pStyle w:val="TableParagraph"/>
              <w:spacing w:before="91"/>
              <w:ind w:left="215"/>
              <w:jc w:val="left"/>
              <w:rPr>
                <w:rFonts w:ascii="宋体" w:eastAsia="宋体" w:hint="eastAsia"/>
                <w:sz w:val="21"/>
              </w:rPr>
            </w:pPr>
            <w:r>
              <w:rPr>
                <w:rFonts w:ascii="宋体" w:eastAsia="宋体" w:hint="eastAsia"/>
                <w:spacing w:val="-25"/>
                <w:sz w:val="21"/>
              </w:rPr>
              <w:t>的 </w:t>
            </w:r>
            <w:r>
              <w:rPr>
                <w:sz w:val="21"/>
              </w:rPr>
              <w:t>15m </w:t>
            </w:r>
            <w:r>
              <w:rPr>
                <w:rFonts w:ascii="宋体" w:eastAsia="宋体" w:hint="eastAsia"/>
                <w:spacing w:val="-3"/>
                <w:sz w:val="21"/>
              </w:rPr>
              <w:t>高排气筒</w:t>
            </w:r>
            <w:r>
              <w:rPr>
                <w:rFonts w:ascii="宋体" w:eastAsia="宋体" w:hint="eastAsia"/>
                <w:sz w:val="21"/>
              </w:rPr>
              <w:t>（</w:t>
            </w:r>
            <w:r>
              <w:rPr>
                <w:sz w:val="21"/>
              </w:rPr>
              <w:t>DA002-1</w:t>
            </w:r>
            <w:r>
              <w:rPr>
                <w:rFonts w:ascii="宋体" w:eastAsia="宋体" w:hint="eastAsia"/>
                <w:spacing w:val="-3"/>
                <w:sz w:val="21"/>
              </w:rPr>
              <w:t>、</w:t>
            </w:r>
            <w:r>
              <w:rPr>
                <w:sz w:val="21"/>
              </w:rPr>
              <w:t>DA002-2</w:t>
            </w:r>
            <w:r>
              <w:rPr>
                <w:rFonts w:ascii="宋体" w:eastAsia="宋体" w:hint="eastAsia"/>
                <w:spacing w:val="-18"/>
                <w:sz w:val="21"/>
              </w:rPr>
              <w:t>，共 </w:t>
            </w:r>
            <w:r>
              <w:rPr>
                <w:sz w:val="21"/>
              </w:rPr>
              <w:t>2</w:t>
            </w:r>
            <w:r>
              <w:rPr>
                <w:spacing w:val="4"/>
                <w:sz w:val="21"/>
              </w:rPr>
              <w:t> </w:t>
            </w:r>
            <w:r>
              <w:rPr>
                <w:rFonts w:ascii="宋体" w:eastAsia="宋体" w:hint="eastAsia"/>
                <w:spacing w:val="-3"/>
                <w:sz w:val="21"/>
              </w:rPr>
              <w:t>个</w:t>
            </w:r>
            <w:r>
              <w:rPr>
                <w:rFonts w:ascii="宋体" w:eastAsia="宋体" w:hint="eastAsia"/>
                <w:sz w:val="21"/>
              </w:rPr>
              <w:t>）</w:t>
            </w:r>
            <w:r>
              <w:rPr>
                <w:rFonts w:ascii="宋体" w:eastAsia="宋体" w:hint="eastAsia"/>
                <w:spacing w:val="-2"/>
                <w:sz w:val="21"/>
              </w:rPr>
              <w:t>排放。</w:t>
            </w:r>
          </w:p>
        </w:tc>
        <w:tc>
          <w:tcPr>
            <w:tcW w:w="707" w:type="dxa"/>
            <w:tcBorders>
              <w:top w:val="single" w:sz="6" w:space="0" w:color="000000"/>
              <w:left w:val="single" w:sz="6" w:space="0" w:color="000000"/>
              <w:bottom w:val="single" w:sz="6" w:space="0" w:color="000000"/>
            </w:tcBorders>
          </w:tcPr>
          <w:p>
            <w:pPr>
              <w:pStyle w:val="TableParagraph"/>
              <w:spacing w:before="11"/>
              <w:jc w:val="left"/>
              <w:rPr>
                <w:rFonts w:ascii="宋体"/>
                <w:b/>
                <w:sz w:val="16"/>
              </w:rPr>
            </w:pPr>
          </w:p>
          <w:p>
            <w:pPr>
              <w:pStyle w:val="TableParagraph"/>
              <w:spacing w:before="0"/>
              <w:ind w:left="151"/>
              <w:jc w:val="left"/>
              <w:rPr>
                <w:rFonts w:ascii="宋体" w:eastAsia="宋体" w:hint="eastAsia"/>
                <w:sz w:val="21"/>
              </w:rPr>
            </w:pPr>
            <w:r>
              <w:rPr>
                <w:rFonts w:ascii="宋体" w:eastAsia="宋体" w:hint="eastAsia"/>
                <w:sz w:val="21"/>
              </w:rPr>
              <w:t>新建</w:t>
            </w:r>
          </w:p>
        </w:tc>
      </w:tr>
      <w:tr>
        <w:trPr>
          <w:trHeight w:val="709" w:hRule="atLeast"/>
        </w:trPr>
        <w:tc>
          <w:tcPr>
            <w:tcW w:w="1102" w:type="dxa"/>
            <w:vMerge/>
            <w:tcBorders>
              <w:top w:val="nil"/>
              <w:right w:val="single" w:sz="6" w:space="0" w:color="000000"/>
            </w:tcBorders>
          </w:tcPr>
          <w:p>
            <w:pPr>
              <w:rPr>
                <w:sz w:val="2"/>
                <w:szCs w:val="2"/>
              </w:rPr>
            </w:pPr>
          </w:p>
        </w:tc>
        <w:tc>
          <w:tcPr>
            <w:tcW w:w="708" w:type="dxa"/>
            <w:vMerge/>
            <w:tcBorders>
              <w:top w:val="nil"/>
              <w:left w:val="single" w:sz="6" w:space="0" w:color="000000"/>
              <w:right w:val="single" w:sz="6" w:space="0" w:color="000000"/>
            </w:tcBorders>
          </w:tcPr>
          <w:p>
            <w:pPr>
              <w:rPr>
                <w:sz w:val="2"/>
                <w:szCs w:val="2"/>
              </w:rPr>
            </w:pPr>
          </w:p>
        </w:tc>
        <w:tc>
          <w:tcPr>
            <w:tcW w:w="1277" w:type="dxa"/>
            <w:tcBorders>
              <w:top w:val="single" w:sz="6" w:space="0" w:color="000000"/>
              <w:left w:val="single" w:sz="6" w:space="0" w:color="000000"/>
              <w:right w:val="single" w:sz="6" w:space="0" w:color="000000"/>
            </w:tcBorders>
          </w:tcPr>
          <w:p>
            <w:pPr>
              <w:pStyle w:val="TableParagraph"/>
              <w:spacing w:before="39"/>
              <w:ind w:left="98" w:right="73"/>
              <w:rPr>
                <w:rFonts w:ascii="宋体" w:eastAsia="宋体" w:hint="eastAsia"/>
                <w:sz w:val="21"/>
              </w:rPr>
            </w:pPr>
            <w:r>
              <w:rPr>
                <w:rFonts w:ascii="宋体" w:eastAsia="宋体" w:hint="eastAsia"/>
                <w:sz w:val="21"/>
              </w:rPr>
              <w:t>无害化处理</w:t>
            </w:r>
          </w:p>
          <w:p>
            <w:pPr>
              <w:pStyle w:val="TableParagraph"/>
              <w:spacing w:before="88"/>
              <w:ind w:left="97" w:right="73"/>
              <w:rPr>
                <w:rFonts w:ascii="宋体" w:eastAsia="宋体" w:hint="eastAsia"/>
                <w:sz w:val="21"/>
              </w:rPr>
            </w:pPr>
            <w:r>
              <w:rPr>
                <w:rFonts w:ascii="宋体" w:eastAsia="宋体" w:hint="eastAsia"/>
                <w:sz w:val="21"/>
              </w:rPr>
              <w:t>臭气</w:t>
            </w:r>
          </w:p>
        </w:tc>
        <w:tc>
          <w:tcPr>
            <w:tcW w:w="5636" w:type="dxa"/>
            <w:tcBorders>
              <w:top w:val="single" w:sz="6" w:space="0" w:color="000000"/>
              <w:left w:val="single" w:sz="6" w:space="0" w:color="000000"/>
              <w:right w:val="single" w:sz="6" w:space="0" w:color="000000"/>
            </w:tcBorders>
          </w:tcPr>
          <w:p>
            <w:pPr>
              <w:pStyle w:val="TableParagraph"/>
              <w:spacing w:before="39"/>
              <w:ind w:left="196"/>
              <w:jc w:val="left"/>
              <w:rPr>
                <w:rFonts w:ascii="宋体" w:eastAsia="宋体" w:hint="eastAsia"/>
                <w:sz w:val="21"/>
              </w:rPr>
            </w:pPr>
            <w:r>
              <w:rPr>
                <w:rFonts w:ascii="宋体" w:eastAsia="宋体" w:hint="eastAsia"/>
                <w:sz w:val="21"/>
              </w:rPr>
              <w:t>无害化处理臭气经设备配套的喷淋除臭装置处理后由对应</w:t>
            </w:r>
          </w:p>
          <w:p>
            <w:pPr>
              <w:pStyle w:val="TableParagraph"/>
              <w:spacing w:before="88"/>
              <w:ind w:left="114"/>
              <w:jc w:val="left"/>
              <w:rPr>
                <w:rFonts w:ascii="宋体" w:eastAsia="宋体" w:hint="eastAsia"/>
                <w:sz w:val="21"/>
              </w:rPr>
            </w:pPr>
            <w:r>
              <w:rPr>
                <w:rFonts w:ascii="宋体" w:eastAsia="宋体" w:hint="eastAsia"/>
                <w:spacing w:val="-26"/>
                <w:sz w:val="21"/>
              </w:rPr>
              <w:t>的 </w:t>
            </w:r>
            <w:r>
              <w:rPr>
                <w:sz w:val="21"/>
              </w:rPr>
              <w:t>15m </w:t>
            </w:r>
            <w:r>
              <w:rPr>
                <w:rFonts w:ascii="宋体" w:eastAsia="宋体" w:hint="eastAsia"/>
                <w:spacing w:val="-3"/>
                <w:sz w:val="21"/>
              </w:rPr>
              <w:t>高排气筒</w:t>
            </w:r>
            <w:r>
              <w:rPr>
                <w:rFonts w:ascii="宋体" w:eastAsia="宋体" w:hint="eastAsia"/>
                <w:sz w:val="21"/>
              </w:rPr>
              <w:t>（</w:t>
            </w:r>
            <w:r>
              <w:rPr>
                <w:sz w:val="21"/>
              </w:rPr>
              <w:t>DA003-1</w:t>
            </w:r>
            <w:r>
              <w:rPr>
                <w:rFonts w:ascii="宋体" w:eastAsia="宋体" w:hint="eastAsia"/>
                <w:spacing w:val="-3"/>
                <w:sz w:val="21"/>
              </w:rPr>
              <w:t>、</w:t>
            </w:r>
            <w:r>
              <w:rPr>
                <w:sz w:val="21"/>
              </w:rPr>
              <w:t>DA003-2</w:t>
            </w:r>
            <w:r>
              <w:rPr>
                <w:rFonts w:ascii="宋体" w:eastAsia="宋体" w:hint="eastAsia"/>
                <w:spacing w:val="-17"/>
                <w:sz w:val="21"/>
              </w:rPr>
              <w:t>，共 </w:t>
            </w:r>
            <w:r>
              <w:rPr>
                <w:sz w:val="21"/>
              </w:rPr>
              <w:t>2 </w:t>
            </w:r>
            <w:r>
              <w:rPr>
                <w:rFonts w:ascii="宋体" w:eastAsia="宋体" w:hint="eastAsia"/>
                <w:spacing w:val="-3"/>
                <w:sz w:val="21"/>
              </w:rPr>
              <w:t>个</w:t>
            </w:r>
            <w:r>
              <w:rPr>
                <w:rFonts w:ascii="宋体" w:eastAsia="宋体" w:hint="eastAsia"/>
                <w:sz w:val="21"/>
              </w:rPr>
              <w:t>）</w:t>
            </w:r>
            <w:r>
              <w:rPr>
                <w:rFonts w:ascii="宋体" w:eastAsia="宋体" w:hint="eastAsia"/>
                <w:spacing w:val="-3"/>
                <w:sz w:val="21"/>
              </w:rPr>
              <w:t>排放，做</w:t>
            </w:r>
          </w:p>
        </w:tc>
        <w:tc>
          <w:tcPr>
            <w:tcW w:w="707" w:type="dxa"/>
            <w:tcBorders>
              <w:top w:val="single" w:sz="6" w:space="0" w:color="000000"/>
              <w:left w:val="single" w:sz="6" w:space="0" w:color="000000"/>
            </w:tcBorders>
          </w:tcPr>
          <w:p>
            <w:pPr>
              <w:pStyle w:val="TableParagraph"/>
              <w:spacing w:before="11"/>
              <w:jc w:val="left"/>
              <w:rPr>
                <w:rFonts w:ascii="宋体"/>
                <w:b/>
                <w:sz w:val="16"/>
              </w:rPr>
            </w:pPr>
          </w:p>
          <w:p>
            <w:pPr>
              <w:pStyle w:val="TableParagraph"/>
              <w:spacing w:before="0"/>
              <w:ind w:left="151"/>
              <w:jc w:val="left"/>
              <w:rPr>
                <w:rFonts w:ascii="宋体" w:eastAsia="宋体" w:hint="eastAsia"/>
                <w:sz w:val="21"/>
              </w:rPr>
            </w:pPr>
            <w:r>
              <w:rPr>
                <w:rFonts w:ascii="宋体" w:eastAsia="宋体" w:hint="eastAsia"/>
                <w:sz w:val="21"/>
              </w:rPr>
              <w:t>新建</w:t>
            </w:r>
          </w:p>
        </w:tc>
      </w:tr>
    </w:tbl>
    <w:p>
      <w:pPr>
        <w:spacing w:after="0"/>
        <w:jc w:val="left"/>
        <w:rPr>
          <w:rFonts w:ascii="宋体" w:eastAsia="宋体" w:hint="eastAsia"/>
          <w:sz w:val="21"/>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708"/>
        <w:gridCol w:w="1277"/>
        <w:gridCol w:w="5636"/>
        <w:gridCol w:w="707"/>
      </w:tblGrid>
      <w:tr>
        <w:trPr>
          <w:trHeight w:val="359" w:hRule="atLeast"/>
        </w:trPr>
        <w:tc>
          <w:tcPr>
            <w:tcW w:w="1102" w:type="dxa"/>
            <w:tcBorders>
              <w:bottom w:val="single" w:sz="6" w:space="0" w:color="000000"/>
              <w:right w:val="single" w:sz="6" w:space="0" w:color="000000"/>
            </w:tcBorders>
          </w:tcPr>
          <w:p>
            <w:pPr>
              <w:pStyle w:val="TableParagraph"/>
              <w:spacing w:before="46"/>
              <w:ind w:left="109" w:right="86"/>
              <w:rPr>
                <w:rFonts w:ascii="宋体" w:eastAsia="宋体" w:hint="eastAsia"/>
                <w:b/>
                <w:sz w:val="21"/>
              </w:rPr>
            </w:pPr>
            <w:r>
              <w:rPr>
                <w:rFonts w:ascii="宋体" w:eastAsia="宋体" w:hint="eastAsia"/>
                <w:b/>
                <w:sz w:val="21"/>
              </w:rPr>
              <w:t>工程类别</w:t>
            </w:r>
          </w:p>
        </w:tc>
        <w:tc>
          <w:tcPr>
            <w:tcW w:w="7621" w:type="dxa"/>
            <w:gridSpan w:val="3"/>
            <w:tcBorders>
              <w:left w:val="single" w:sz="6" w:space="0" w:color="000000"/>
              <w:bottom w:val="single" w:sz="6" w:space="0" w:color="000000"/>
              <w:right w:val="single" w:sz="6" w:space="0" w:color="000000"/>
            </w:tcBorders>
          </w:tcPr>
          <w:p>
            <w:pPr>
              <w:pStyle w:val="TableParagraph"/>
              <w:spacing w:before="46"/>
              <w:ind w:left="1173" w:right="1142"/>
              <w:rPr>
                <w:rFonts w:ascii="宋体" w:eastAsia="宋体" w:hint="eastAsia"/>
                <w:b/>
                <w:sz w:val="21"/>
              </w:rPr>
            </w:pPr>
            <w:r>
              <w:rPr>
                <w:rFonts w:ascii="宋体" w:eastAsia="宋体" w:hint="eastAsia"/>
                <w:b/>
                <w:sz w:val="21"/>
              </w:rPr>
              <w:t>主要内容</w:t>
            </w:r>
          </w:p>
        </w:tc>
        <w:tc>
          <w:tcPr>
            <w:tcW w:w="707" w:type="dxa"/>
            <w:tcBorders>
              <w:left w:val="single" w:sz="6" w:space="0" w:color="000000"/>
              <w:bottom w:val="single" w:sz="6" w:space="0" w:color="000000"/>
            </w:tcBorders>
          </w:tcPr>
          <w:p>
            <w:pPr>
              <w:pStyle w:val="TableParagraph"/>
              <w:spacing w:before="46"/>
              <w:ind w:left="149"/>
              <w:jc w:val="left"/>
              <w:rPr>
                <w:rFonts w:ascii="宋体" w:eastAsia="宋体" w:hint="eastAsia"/>
                <w:b/>
                <w:sz w:val="21"/>
              </w:rPr>
            </w:pPr>
            <w:r>
              <w:rPr>
                <w:rFonts w:ascii="宋体" w:eastAsia="宋体" w:hint="eastAsia"/>
                <w:b/>
                <w:sz w:val="21"/>
              </w:rPr>
              <w:t>备注</w:t>
            </w:r>
          </w:p>
        </w:tc>
      </w:tr>
      <w:tr>
        <w:trPr>
          <w:trHeight w:val="359" w:hRule="atLeast"/>
        </w:trPr>
        <w:tc>
          <w:tcPr>
            <w:tcW w:w="1102" w:type="dxa"/>
            <w:vMerge w:val="restart"/>
            <w:tcBorders>
              <w:top w:val="single" w:sz="6" w:space="0" w:color="000000"/>
              <w:bottom w:val="single" w:sz="6" w:space="0" w:color="000000"/>
              <w:right w:val="single" w:sz="6" w:space="0" w:color="000000"/>
            </w:tcBorders>
          </w:tcPr>
          <w:p>
            <w:pPr>
              <w:pStyle w:val="TableParagraph"/>
              <w:spacing w:before="0"/>
              <w:jc w:val="left"/>
              <w:rPr>
                <w:sz w:val="22"/>
              </w:rPr>
            </w:pPr>
          </w:p>
        </w:tc>
        <w:tc>
          <w:tcPr>
            <w:tcW w:w="70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31"/>
              <w:rPr>
                <w:rFonts w:ascii="宋体" w:eastAsia="宋体" w:hint="eastAsia"/>
                <w:sz w:val="21"/>
              </w:rPr>
            </w:pPr>
            <w:r>
              <w:rPr>
                <w:rFonts w:ascii="宋体" w:eastAsia="宋体" w:hint="eastAsia"/>
                <w:sz w:val="21"/>
              </w:rPr>
              <w:t>好车间日常消毒。</w:t>
            </w:r>
          </w:p>
        </w:tc>
        <w:tc>
          <w:tcPr>
            <w:tcW w:w="707" w:type="dxa"/>
            <w:tcBorders>
              <w:top w:val="single" w:sz="6" w:space="0" w:color="000000"/>
              <w:left w:val="single" w:sz="6" w:space="0" w:color="000000"/>
              <w:bottom w:val="single" w:sz="6" w:space="0" w:color="000000"/>
            </w:tcBorders>
          </w:tcPr>
          <w:p>
            <w:pPr>
              <w:pStyle w:val="TableParagraph"/>
              <w:spacing w:before="0"/>
              <w:jc w:val="left"/>
              <w:rPr>
                <w:sz w:val="22"/>
              </w:rPr>
            </w:pPr>
          </w:p>
        </w:tc>
      </w:tr>
      <w:tr>
        <w:trPr>
          <w:trHeight w:val="717" w:hRule="atLeast"/>
        </w:trPr>
        <w:tc>
          <w:tcPr>
            <w:tcW w:w="1102" w:type="dxa"/>
            <w:vMerge/>
            <w:tcBorders>
              <w:top w:val="nil"/>
              <w:bottom w:val="single" w:sz="6" w:space="0" w:color="000000"/>
              <w:right w:val="single" w:sz="6" w:space="0" w:color="000000"/>
            </w:tcBorders>
          </w:tcPr>
          <w:p>
            <w:pPr>
              <w:rPr>
                <w:sz w:val="2"/>
                <w:szCs w:val="2"/>
              </w:rPr>
            </w:pPr>
          </w:p>
        </w:tc>
        <w:tc>
          <w:tcPr>
            <w:tcW w:w="708" w:type="dxa"/>
            <w:vMerge/>
            <w:tcBorders>
              <w:top w:val="nil"/>
              <w:left w:val="single" w:sz="6" w:space="0" w:color="000000"/>
              <w:bottom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97" w:right="73"/>
              <w:rPr>
                <w:rFonts w:ascii="宋体" w:eastAsia="宋体" w:hint="eastAsia"/>
                <w:sz w:val="21"/>
              </w:rPr>
            </w:pPr>
            <w:r>
              <w:rPr>
                <w:rFonts w:ascii="宋体" w:eastAsia="宋体" w:hint="eastAsia"/>
                <w:sz w:val="21"/>
              </w:rPr>
              <w:t>沼气</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162"/>
              <w:jc w:val="left"/>
              <w:rPr>
                <w:rFonts w:ascii="宋体" w:eastAsia="宋体" w:hint="eastAsia"/>
                <w:sz w:val="21"/>
              </w:rPr>
            </w:pPr>
            <w:r>
              <w:rPr>
                <w:rFonts w:ascii="宋体" w:eastAsia="宋体" w:hint="eastAsia"/>
                <w:sz w:val="21"/>
              </w:rPr>
              <w:t>经脱水脱硫预处理后由锅炉（</w:t>
            </w:r>
            <w:r>
              <w:rPr>
                <w:sz w:val="21"/>
              </w:rPr>
              <w:t>1 </w:t>
            </w:r>
            <w:r>
              <w:rPr>
                <w:rFonts w:ascii="宋体" w:eastAsia="宋体" w:hint="eastAsia"/>
                <w:sz w:val="21"/>
              </w:rPr>
              <w:t>台 </w:t>
            </w:r>
            <w:r>
              <w:rPr>
                <w:sz w:val="21"/>
              </w:rPr>
              <w:t>0.7MW </w:t>
            </w:r>
            <w:r>
              <w:rPr>
                <w:rFonts w:ascii="宋体" w:eastAsia="宋体" w:hint="eastAsia"/>
                <w:sz w:val="21"/>
              </w:rPr>
              <w:t>热水沼气锅炉）</w:t>
            </w:r>
          </w:p>
          <w:p>
            <w:pPr>
              <w:pStyle w:val="TableParagraph"/>
              <w:spacing w:before="88"/>
              <w:ind w:left="227"/>
              <w:jc w:val="left"/>
              <w:rPr>
                <w:rFonts w:ascii="宋体" w:eastAsia="宋体" w:hint="eastAsia"/>
                <w:sz w:val="21"/>
              </w:rPr>
            </w:pPr>
            <w:r>
              <w:rPr>
                <w:rFonts w:ascii="宋体" w:eastAsia="宋体" w:hint="eastAsia"/>
                <w:sz w:val="21"/>
              </w:rPr>
              <w:t>和食堂综合利用，尾气由 </w:t>
            </w:r>
            <w:r>
              <w:rPr>
                <w:sz w:val="21"/>
              </w:rPr>
              <w:t>8m </w:t>
            </w:r>
            <w:r>
              <w:rPr>
                <w:rFonts w:ascii="宋体" w:eastAsia="宋体" w:hint="eastAsia"/>
                <w:sz w:val="21"/>
              </w:rPr>
              <w:t>高排气筒（</w:t>
            </w:r>
            <w:r>
              <w:rPr>
                <w:sz w:val="21"/>
              </w:rPr>
              <w:t>DA004</w:t>
            </w:r>
            <w:r>
              <w:rPr>
                <w:rFonts w:ascii="宋体" w:eastAsia="宋体" w:hint="eastAsia"/>
                <w:sz w:val="21"/>
              </w:rPr>
              <w:t>）排放。</w:t>
            </w:r>
          </w:p>
        </w:tc>
        <w:tc>
          <w:tcPr>
            <w:tcW w:w="707" w:type="dxa"/>
            <w:tcBorders>
              <w:top w:val="single" w:sz="6" w:space="0" w:color="000000"/>
              <w:left w:val="single" w:sz="6" w:space="0" w:color="000000"/>
              <w:bottom w:val="single" w:sz="6" w:space="0" w:color="000000"/>
            </w:tcBorders>
          </w:tcPr>
          <w:p>
            <w:pPr>
              <w:pStyle w:val="TableParagraph"/>
              <w:spacing w:before="6"/>
              <w:jc w:val="left"/>
              <w:rPr>
                <w:rFonts w:ascii="宋体"/>
                <w:b/>
                <w:sz w:val="17"/>
              </w:rPr>
            </w:pPr>
          </w:p>
          <w:p>
            <w:pPr>
              <w:pStyle w:val="TableParagraph"/>
              <w:spacing w:before="0"/>
              <w:ind w:left="151"/>
              <w:jc w:val="left"/>
              <w:rPr>
                <w:rFonts w:ascii="宋体" w:eastAsia="宋体" w:hint="eastAsia"/>
                <w:sz w:val="21"/>
              </w:rPr>
            </w:pPr>
            <w:r>
              <w:rPr>
                <w:rFonts w:ascii="宋体" w:eastAsia="宋体" w:hint="eastAsia"/>
                <w:sz w:val="21"/>
              </w:rPr>
              <w:t>新建</w:t>
            </w:r>
          </w:p>
        </w:tc>
      </w:tr>
      <w:tr>
        <w:trPr>
          <w:trHeight w:val="359" w:hRule="atLeast"/>
        </w:trPr>
        <w:tc>
          <w:tcPr>
            <w:tcW w:w="1102" w:type="dxa"/>
            <w:vMerge/>
            <w:tcBorders>
              <w:top w:val="nil"/>
              <w:bottom w:val="single" w:sz="6" w:space="0" w:color="000000"/>
              <w:right w:val="single" w:sz="6" w:space="0" w:color="000000"/>
            </w:tcBorders>
          </w:tcPr>
          <w:p>
            <w:pPr>
              <w:rPr>
                <w:sz w:val="2"/>
                <w:szCs w:val="2"/>
              </w:rPr>
            </w:pPr>
          </w:p>
        </w:tc>
        <w:tc>
          <w:tcPr>
            <w:tcW w:w="708" w:type="dxa"/>
            <w:vMerge/>
            <w:tcBorders>
              <w:top w:val="nil"/>
              <w:left w:val="single" w:sz="6" w:space="0" w:color="000000"/>
              <w:bottom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4"/>
              <w:ind w:left="98" w:right="73"/>
              <w:rPr>
                <w:rFonts w:ascii="宋体" w:eastAsia="宋体" w:hint="eastAsia"/>
                <w:sz w:val="21"/>
              </w:rPr>
            </w:pPr>
            <w:r>
              <w:rPr>
                <w:rFonts w:ascii="宋体" w:eastAsia="宋体" w:hint="eastAsia"/>
                <w:sz w:val="21"/>
              </w:rPr>
              <w:t>食堂油烟</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30"/>
              <w:rPr>
                <w:rFonts w:ascii="宋体" w:eastAsia="宋体" w:hint="eastAsia"/>
                <w:sz w:val="21"/>
              </w:rPr>
            </w:pPr>
            <w:r>
              <w:rPr>
                <w:rFonts w:ascii="宋体" w:eastAsia="宋体" w:hint="eastAsia"/>
                <w:sz w:val="21"/>
              </w:rPr>
              <w:t>经油烟净化器处理后引至屋顶高空排放。</w:t>
            </w:r>
          </w:p>
        </w:tc>
        <w:tc>
          <w:tcPr>
            <w:tcW w:w="707" w:type="dxa"/>
            <w:tcBorders>
              <w:top w:val="single" w:sz="6" w:space="0" w:color="000000"/>
              <w:left w:val="single" w:sz="6" w:space="0" w:color="000000"/>
              <w:bottom w:val="single" w:sz="6" w:space="0" w:color="000000"/>
            </w:tcBorders>
          </w:tcPr>
          <w:p>
            <w:pPr>
              <w:pStyle w:val="TableParagraph"/>
              <w:spacing w:before="44"/>
              <w:ind w:left="151"/>
              <w:jc w:val="left"/>
              <w:rPr>
                <w:rFonts w:ascii="宋体" w:eastAsia="宋体" w:hint="eastAsia"/>
                <w:sz w:val="21"/>
              </w:rPr>
            </w:pPr>
            <w:r>
              <w:rPr>
                <w:rFonts w:ascii="宋体" w:eastAsia="宋体" w:hint="eastAsia"/>
                <w:sz w:val="21"/>
              </w:rPr>
              <w:t>新建</w:t>
            </w:r>
          </w:p>
        </w:tc>
      </w:tr>
      <w:tr>
        <w:trPr>
          <w:trHeight w:val="1074" w:hRule="atLeast"/>
        </w:trPr>
        <w:tc>
          <w:tcPr>
            <w:tcW w:w="1102" w:type="dxa"/>
            <w:vMerge/>
            <w:tcBorders>
              <w:top w:val="nil"/>
              <w:bottom w:val="single" w:sz="6" w:space="0" w:color="000000"/>
              <w:right w:val="single" w:sz="6" w:space="0" w:color="000000"/>
            </w:tcBorders>
          </w:tcPr>
          <w:p>
            <w:pPr>
              <w:rPr>
                <w:sz w:val="2"/>
                <w:szCs w:val="2"/>
              </w:rPr>
            </w:pP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5"/>
              <w:ind w:left="150"/>
              <w:jc w:val="left"/>
              <w:rPr>
                <w:rFonts w:ascii="宋体" w:eastAsia="宋体" w:hint="eastAsia"/>
                <w:sz w:val="21"/>
              </w:rPr>
            </w:pPr>
            <w:r>
              <w:rPr>
                <w:rFonts w:ascii="宋体" w:eastAsia="宋体" w:hint="eastAsia"/>
                <w:sz w:val="21"/>
              </w:rPr>
              <w:t>废水</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5"/>
              <w:ind w:left="98" w:right="73"/>
              <w:rPr>
                <w:rFonts w:ascii="宋体" w:eastAsia="宋体" w:hint="eastAsia"/>
                <w:sz w:val="21"/>
              </w:rPr>
            </w:pPr>
            <w:r>
              <w:rPr>
                <w:rFonts w:ascii="宋体" w:eastAsia="宋体" w:hint="eastAsia"/>
                <w:sz w:val="21"/>
              </w:rPr>
              <w:t>污水处理站</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4" w:right="69"/>
              <w:rPr>
                <w:rFonts w:ascii="宋体" w:hAnsi="宋体" w:eastAsia="宋体" w:hint="eastAsia"/>
                <w:sz w:val="21"/>
              </w:rPr>
            </w:pPr>
            <w:r>
              <w:rPr>
                <w:rFonts w:ascii="宋体" w:hAnsi="宋体" w:eastAsia="宋体" w:hint="eastAsia"/>
                <w:spacing w:val="-8"/>
                <w:sz w:val="21"/>
              </w:rPr>
              <w:t>在厂区西北侧设置 </w:t>
            </w:r>
            <w:r>
              <w:rPr>
                <w:sz w:val="21"/>
              </w:rPr>
              <w:t>1 </w:t>
            </w:r>
            <w:r>
              <w:rPr>
                <w:rFonts w:ascii="宋体" w:hAnsi="宋体" w:eastAsia="宋体" w:hint="eastAsia"/>
                <w:spacing w:val="-10"/>
                <w:sz w:val="21"/>
              </w:rPr>
              <w:t>套处理能力为 </w:t>
            </w:r>
            <w:r>
              <w:rPr>
                <w:sz w:val="21"/>
              </w:rPr>
              <w:t>600m³/d </w:t>
            </w:r>
            <w:r>
              <w:rPr>
                <w:rFonts w:ascii="宋体" w:hAnsi="宋体" w:eastAsia="宋体" w:hint="eastAsia"/>
                <w:spacing w:val="-3"/>
                <w:sz w:val="21"/>
              </w:rPr>
              <w:t>污水处理系统， 采用</w:t>
            </w:r>
            <w:r>
              <w:rPr>
                <w:spacing w:val="-3"/>
                <w:sz w:val="21"/>
              </w:rPr>
              <w:t>“</w:t>
            </w:r>
            <w:r>
              <w:rPr>
                <w:rFonts w:ascii="宋体" w:hAnsi="宋体" w:eastAsia="宋体" w:hint="eastAsia"/>
                <w:spacing w:val="-2"/>
                <w:sz w:val="21"/>
              </w:rPr>
              <w:t>预处理</w:t>
            </w:r>
            <w:r>
              <w:rPr>
                <w:sz w:val="21"/>
              </w:rPr>
              <w:t>+</w:t>
            </w:r>
            <w:r>
              <w:rPr>
                <w:rFonts w:ascii="宋体" w:hAnsi="宋体" w:eastAsia="宋体" w:hint="eastAsia"/>
                <w:spacing w:val="-3"/>
                <w:sz w:val="21"/>
              </w:rPr>
              <w:t>厌氧发酵</w:t>
            </w:r>
            <w:r>
              <w:rPr>
                <w:sz w:val="21"/>
              </w:rPr>
              <w:t>+</w:t>
            </w:r>
            <w:r>
              <w:rPr>
                <w:rFonts w:ascii="宋体" w:hAnsi="宋体" w:eastAsia="宋体" w:hint="eastAsia"/>
                <w:spacing w:val="-2"/>
                <w:sz w:val="21"/>
              </w:rPr>
              <w:t>生化</w:t>
            </w:r>
            <w:r>
              <w:rPr>
                <w:sz w:val="21"/>
              </w:rPr>
              <w:t>/</w:t>
            </w:r>
            <w:r>
              <w:rPr>
                <w:rFonts w:ascii="宋体" w:hAnsi="宋体" w:eastAsia="宋体" w:hint="eastAsia"/>
                <w:sz w:val="21"/>
              </w:rPr>
              <w:t>物化</w:t>
            </w:r>
            <w:r>
              <w:rPr>
                <w:spacing w:val="-3"/>
                <w:sz w:val="21"/>
              </w:rPr>
              <w:t>”</w:t>
            </w:r>
            <w:r>
              <w:rPr>
                <w:rFonts w:ascii="宋体" w:hAnsi="宋体" w:eastAsia="宋体" w:hint="eastAsia"/>
                <w:spacing w:val="-13"/>
                <w:sz w:val="21"/>
              </w:rPr>
              <w:t>处理工艺，处理达标后纳</w:t>
            </w:r>
          </w:p>
          <w:p>
            <w:pPr>
              <w:pStyle w:val="TableParagraph"/>
              <w:spacing w:before="2"/>
              <w:ind w:left="28"/>
              <w:rPr>
                <w:rFonts w:ascii="宋体" w:eastAsia="宋体" w:hint="eastAsia"/>
                <w:sz w:val="21"/>
              </w:rPr>
            </w:pPr>
            <w:r>
              <w:rPr>
                <w:rFonts w:ascii="宋体" w:eastAsia="宋体" w:hint="eastAsia"/>
                <w:sz w:val="21"/>
              </w:rPr>
              <w:t>入市政管网。</w:t>
            </w:r>
          </w:p>
        </w:tc>
        <w:tc>
          <w:tcPr>
            <w:tcW w:w="70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5"/>
              <w:ind w:left="151"/>
              <w:jc w:val="left"/>
              <w:rPr>
                <w:rFonts w:ascii="宋体" w:eastAsia="宋体" w:hint="eastAsia"/>
                <w:sz w:val="21"/>
              </w:rPr>
            </w:pPr>
            <w:r>
              <w:rPr>
                <w:rFonts w:ascii="宋体" w:eastAsia="宋体" w:hint="eastAsia"/>
                <w:sz w:val="21"/>
              </w:rPr>
              <w:t>新建</w:t>
            </w:r>
          </w:p>
        </w:tc>
      </w:tr>
      <w:tr>
        <w:trPr>
          <w:trHeight w:val="1795" w:hRule="atLeast"/>
        </w:trPr>
        <w:tc>
          <w:tcPr>
            <w:tcW w:w="1102" w:type="dxa"/>
            <w:vMerge/>
            <w:tcBorders>
              <w:top w:val="nil"/>
              <w:bottom w:val="single" w:sz="6" w:space="0" w:color="000000"/>
              <w:right w:val="single" w:sz="6" w:space="0" w:color="000000"/>
            </w:tcBorders>
          </w:tcPr>
          <w:p>
            <w:pPr>
              <w:rPr>
                <w:sz w:val="2"/>
                <w:szCs w:val="2"/>
              </w:rPr>
            </w:pPr>
          </w:p>
        </w:tc>
        <w:tc>
          <w:tcPr>
            <w:tcW w:w="70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0"/>
              <w:jc w:val="left"/>
              <w:rPr>
                <w:rFonts w:ascii="宋体"/>
                <w:b/>
                <w:sz w:val="16"/>
              </w:rPr>
            </w:pPr>
          </w:p>
          <w:p>
            <w:pPr>
              <w:pStyle w:val="TableParagraph"/>
              <w:spacing w:before="0"/>
              <w:ind w:left="150"/>
              <w:jc w:val="left"/>
              <w:rPr>
                <w:rFonts w:ascii="宋体" w:eastAsia="宋体" w:hint="eastAsia"/>
                <w:sz w:val="21"/>
              </w:rPr>
            </w:pPr>
            <w:r>
              <w:rPr>
                <w:rFonts w:ascii="宋体" w:eastAsia="宋体" w:hint="eastAsia"/>
                <w:sz w:val="21"/>
              </w:rPr>
              <w:t>固废</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98" w:right="73"/>
              <w:rPr>
                <w:rFonts w:ascii="宋体" w:eastAsia="宋体" w:hint="eastAsia"/>
                <w:sz w:val="21"/>
              </w:rPr>
            </w:pPr>
            <w:r>
              <w:rPr>
                <w:rFonts w:ascii="宋体" w:eastAsia="宋体" w:hint="eastAsia"/>
                <w:sz w:val="21"/>
              </w:rPr>
              <w:t>发酵产物</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6"/>
              <w:ind w:left="114" w:right="38"/>
              <w:jc w:val="both"/>
              <w:rPr>
                <w:rFonts w:ascii="宋体" w:eastAsia="宋体" w:hint="eastAsia"/>
                <w:sz w:val="21"/>
              </w:rPr>
            </w:pPr>
            <w:r>
              <w:rPr>
                <w:rFonts w:ascii="宋体" w:eastAsia="宋体" w:hint="eastAsia"/>
                <w:spacing w:val="-8"/>
                <w:sz w:val="21"/>
              </w:rPr>
              <w:t>粪便、饲料残渣、污泥、病死猪无害化处理产物等进猪粪发</w:t>
            </w:r>
            <w:r>
              <w:rPr>
                <w:rFonts w:ascii="宋体" w:eastAsia="宋体" w:hint="eastAsia"/>
                <w:spacing w:val="-5"/>
                <w:sz w:val="21"/>
              </w:rPr>
              <w:t>酵车间利用立式封闭发酵罐处理，采用高温好氧发酵原理， </w:t>
            </w:r>
            <w:r>
              <w:rPr>
                <w:rFonts w:ascii="宋体" w:eastAsia="宋体" w:hint="eastAsia"/>
                <w:spacing w:val="-6"/>
                <w:sz w:val="21"/>
              </w:rPr>
              <w:t>处理后的产物外运至第三方企业生产有机肥。其中病死猪产</w:t>
            </w:r>
            <w:r>
              <w:rPr>
                <w:rFonts w:ascii="宋体" w:eastAsia="宋体" w:hint="eastAsia"/>
                <w:spacing w:val="-4"/>
                <w:sz w:val="21"/>
              </w:rPr>
              <w:t>生后及时暂存于病死猪冷库，按绍柯农</w:t>
            </w:r>
            <w:r>
              <w:rPr>
                <w:sz w:val="21"/>
              </w:rPr>
              <w:t>[2019]4 </w:t>
            </w:r>
            <w:r>
              <w:rPr>
                <w:rFonts w:ascii="宋体" w:eastAsia="宋体" w:hint="eastAsia"/>
                <w:spacing w:val="-2"/>
                <w:sz w:val="21"/>
              </w:rPr>
              <w:t>号要求自行</w:t>
            </w:r>
          </w:p>
          <w:p>
            <w:pPr>
              <w:pStyle w:val="TableParagraph"/>
              <w:spacing w:before="5"/>
              <w:ind w:left="114"/>
              <w:jc w:val="left"/>
              <w:rPr>
                <w:rFonts w:ascii="宋体" w:eastAsia="宋体" w:hint="eastAsia"/>
                <w:sz w:val="21"/>
              </w:rPr>
            </w:pPr>
            <w:r>
              <w:rPr>
                <w:rFonts w:ascii="宋体" w:eastAsia="宋体" w:hint="eastAsia"/>
                <w:sz w:val="21"/>
              </w:rPr>
              <w:t>处置，采用高温生物降解技术，处理后的产物再二次发酵。</w:t>
            </w:r>
          </w:p>
        </w:tc>
        <w:tc>
          <w:tcPr>
            <w:tcW w:w="707" w:type="dxa"/>
            <w:vMerge w:val="restart"/>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0"/>
              <w:jc w:val="left"/>
              <w:rPr>
                <w:rFonts w:ascii="宋体"/>
                <w:b/>
                <w:sz w:val="16"/>
              </w:rPr>
            </w:pPr>
          </w:p>
          <w:p>
            <w:pPr>
              <w:pStyle w:val="TableParagraph"/>
              <w:spacing w:before="0"/>
              <w:ind w:left="151"/>
              <w:jc w:val="left"/>
              <w:rPr>
                <w:rFonts w:ascii="宋体" w:eastAsia="宋体" w:hint="eastAsia"/>
                <w:sz w:val="21"/>
              </w:rPr>
            </w:pPr>
            <w:r>
              <w:rPr>
                <w:rFonts w:ascii="宋体" w:eastAsia="宋体" w:hint="eastAsia"/>
                <w:sz w:val="21"/>
              </w:rPr>
              <w:t>新建</w:t>
            </w:r>
          </w:p>
        </w:tc>
      </w:tr>
      <w:tr>
        <w:trPr>
          <w:trHeight w:val="1077" w:hRule="atLeast"/>
        </w:trPr>
        <w:tc>
          <w:tcPr>
            <w:tcW w:w="1102" w:type="dxa"/>
            <w:vMerge/>
            <w:tcBorders>
              <w:top w:val="nil"/>
              <w:bottom w:val="single" w:sz="6" w:space="0" w:color="000000"/>
              <w:right w:val="single" w:sz="6" w:space="0" w:color="000000"/>
            </w:tcBorders>
          </w:tcPr>
          <w:p>
            <w:pPr>
              <w:rPr>
                <w:sz w:val="2"/>
                <w:szCs w:val="2"/>
              </w:rPr>
            </w:pPr>
          </w:p>
        </w:tc>
        <w:tc>
          <w:tcPr>
            <w:tcW w:w="708" w:type="dxa"/>
            <w:vMerge/>
            <w:tcBorders>
              <w:top w:val="nil"/>
              <w:left w:val="single" w:sz="6" w:space="0" w:color="000000"/>
              <w:bottom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98" w:right="73"/>
              <w:rPr>
                <w:rFonts w:ascii="宋体" w:eastAsia="宋体" w:hint="eastAsia"/>
                <w:sz w:val="21"/>
              </w:rPr>
            </w:pPr>
            <w:r>
              <w:rPr>
                <w:rFonts w:ascii="宋体" w:eastAsia="宋体" w:hint="eastAsia"/>
                <w:sz w:val="21"/>
              </w:rPr>
              <w:t>其他废物</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jc w:val="left"/>
              <w:rPr>
                <w:rFonts w:ascii="宋体" w:eastAsia="宋体" w:hint="eastAsia"/>
                <w:sz w:val="21"/>
              </w:rPr>
            </w:pPr>
            <w:r>
              <w:rPr>
                <w:rFonts w:ascii="宋体" w:eastAsia="宋体" w:hint="eastAsia"/>
                <w:sz w:val="21"/>
              </w:rPr>
              <w:t>一般废包装物收集后外卖综合利用，废脱硫剂由供应商更换</w:t>
            </w:r>
          </w:p>
          <w:p>
            <w:pPr>
              <w:pStyle w:val="TableParagraph"/>
              <w:spacing w:line="350" w:lineRule="atLeast" w:before="10"/>
              <w:ind w:left="1562" w:right="82" w:hanging="1448"/>
              <w:jc w:val="left"/>
              <w:rPr>
                <w:rFonts w:ascii="宋体" w:eastAsia="宋体" w:hint="eastAsia"/>
                <w:sz w:val="21"/>
              </w:rPr>
            </w:pPr>
            <w:r>
              <w:rPr>
                <w:rFonts w:ascii="宋体" w:eastAsia="宋体" w:hint="eastAsia"/>
                <w:spacing w:val="-9"/>
                <w:sz w:val="21"/>
              </w:rPr>
              <w:t>回收，危化品废包装物、废矿物油、医疗废物委托有相应危</w:t>
            </w:r>
            <w:r>
              <w:rPr>
                <w:rFonts w:ascii="宋体" w:eastAsia="宋体" w:hint="eastAsia"/>
                <w:spacing w:val="-3"/>
                <w:sz w:val="21"/>
              </w:rPr>
              <w:t>废处理资质的单位安全处置</w:t>
            </w:r>
          </w:p>
        </w:tc>
        <w:tc>
          <w:tcPr>
            <w:tcW w:w="707" w:type="dxa"/>
            <w:vMerge/>
            <w:tcBorders>
              <w:top w:val="nil"/>
              <w:left w:val="single" w:sz="6" w:space="0" w:color="000000"/>
              <w:bottom w:val="single" w:sz="6" w:space="0" w:color="000000"/>
            </w:tcBorders>
          </w:tcPr>
          <w:p>
            <w:pPr>
              <w:rPr>
                <w:sz w:val="2"/>
                <w:szCs w:val="2"/>
              </w:rPr>
            </w:pPr>
          </w:p>
        </w:tc>
      </w:tr>
      <w:tr>
        <w:trPr>
          <w:trHeight w:val="359" w:hRule="atLeast"/>
        </w:trPr>
        <w:tc>
          <w:tcPr>
            <w:tcW w:w="1102" w:type="dxa"/>
            <w:vMerge/>
            <w:tcBorders>
              <w:top w:val="nil"/>
              <w:bottom w:val="single" w:sz="6" w:space="0" w:color="000000"/>
              <w:right w:val="single" w:sz="6" w:space="0" w:color="000000"/>
            </w:tcBorders>
          </w:tcPr>
          <w:p>
            <w:pPr>
              <w:rPr>
                <w:sz w:val="2"/>
                <w:szCs w:val="2"/>
              </w:rPr>
            </w:pPr>
          </w:p>
        </w:tc>
        <w:tc>
          <w:tcPr>
            <w:tcW w:w="708" w:type="dxa"/>
            <w:vMerge/>
            <w:tcBorders>
              <w:top w:val="nil"/>
              <w:left w:val="single" w:sz="6" w:space="0" w:color="000000"/>
              <w:bottom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4"/>
              <w:ind w:left="98" w:right="73"/>
              <w:rPr>
                <w:rFonts w:ascii="宋体" w:eastAsia="宋体" w:hint="eastAsia"/>
                <w:sz w:val="21"/>
              </w:rPr>
            </w:pPr>
            <w:r>
              <w:rPr>
                <w:rFonts w:ascii="宋体" w:eastAsia="宋体" w:hint="eastAsia"/>
                <w:sz w:val="21"/>
              </w:rPr>
              <w:t>生活垃圾</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sz w:val="21"/>
              </w:rPr>
              <w:t>由环卫部门统一收集处理。</w:t>
            </w:r>
          </w:p>
        </w:tc>
        <w:tc>
          <w:tcPr>
            <w:tcW w:w="707" w:type="dxa"/>
            <w:vMerge/>
            <w:tcBorders>
              <w:top w:val="nil"/>
              <w:left w:val="single" w:sz="6" w:space="0" w:color="000000"/>
              <w:bottom w:val="single" w:sz="6" w:space="0" w:color="000000"/>
            </w:tcBorders>
          </w:tcPr>
          <w:p>
            <w:pPr>
              <w:rPr>
                <w:sz w:val="2"/>
                <w:szCs w:val="2"/>
              </w:rPr>
            </w:pPr>
          </w:p>
        </w:tc>
      </w:tr>
      <w:tr>
        <w:trPr>
          <w:trHeight w:val="359" w:hRule="atLeast"/>
        </w:trPr>
        <w:tc>
          <w:tcPr>
            <w:tcW w:w="1102" w:type="dxa"/>
            <w:tcBorders>
              <w:top w:val="single" w:sz="6" w:space="0" w:color="000000"/>
              <w:right w:val="single" w:sz="6" w:space="0" w:color="000000"/>
            </w:tcBorders>
          </w:tcPr>
          <w:p>
            <w:pPr>
              <w:pStyle w:val="TableParagraph"/>
              <w:spacing w:before="44"/>
              <w:ind w:left="106" w:right="86"/>
              <w:rPr>
                <w:rFonts w:ascii="宋体" w:eastAsia="宋体" w:hint="eastAsia"/>
                <w:sz w:val="21"/>
              </w:rPr>
            </w:pPr>
            <w:r>
              <w:rPr>
                <w:rFonts w:ascii="宋体" w:eastAsia="宋体" w:hint="eastAsia"/>
                <w:sz w:val="21"/>
              </w:rPr>
              <w:t>储运工程</w:t>
            </w:r>
          </w:p>
        </w:tc>
        <w:tc>
          <w:tcPr>
            <w:tcW w:w="7621" w:type="dxa"/>
            <w:gridSpan w:val="3"/>
            <w:tcBorders>
              <w:top w:val="single" w:sz="6" w:space="0" w:color="000000"/>
              <w:left w:val="single" w:sz="6" w:space="0" w:color="000000"/>
              <w:right w:val="single" w:sz="6" w:space="0" w:color="000000"/>
            </w:tcBorders>
          </w:tcPr>
          <w:p>
            <w:pPr>
              <w:pStyle w:val="TableParagraph"/>
              <w:spacing w:before="44"/>
              <w:ind w:left="1173" w:right="1142"/>
              <w:rPr>
                <w:rFonts w:ascii="宋体" w:eastAsia="宋体" w:hint="eastAsia"/>
                <w:sz w:val="21"/>
              </w:rPr>
            </w:pPr>
            <w:r>
              <w:rPr>
                <w:rFonts w:ascii="宋体" w:eastAsia="宋体" w:hint="eastAsia"/>
                <w:sz w:val="21"/>
              </w:rPr>
              <w:t>生活办公区、养殖区分开出入，保证符合卫生防疫要求。</w:t>
            </w:r>
          </w:p>
        </w:tc>
        <w:tc>
          <w:tcPr>
            <w:tcW w:w="707" w:type="dxa"/>
            <w:tcBorders>
              <w:top w:val="single" w:sz="6" w:space="0" w:color="000000"/>
              <w:left w:val="single" w:sz="6" w:space="0" w:color="000000"/>
            </w:tcBorders>
          </w:tcPr>
          <w:p>
            <w:pPr>
              <w:pStyle w:val="TableParagraph"/>
              <w:spacing w:before="44"/>
              <w:ind w:left="151"/>
              <w:jc w:val="left"/>
              <w:rPr>
                <w:rFonts w:ascii="宋体" w:eastAsia="宋体" w:hint="eastAsia"/>
                <w:sz w:val="21"/>
              </w:rPr>
            </w:pPr>
            <w:r>
              <w:rPr>
                <w:rFonts w:ascii="宋体" w:eastAsia="宋体" w:hint="eastAsia"/>
                <w:sz w:val="21"/>
              </w:rPr>
              <w:t>新建</w:t>
            </w:r>
          </w:p>
        </w:tc>
      </w:tr>
    </w:tbl>
    <w:p>
      <w:pPr>
        <w:pStyle w:val="ListParagraph"/>
        <w:numPr>
          <w:ilvl w:val="2"/>
          <w:numId w:val="33"/>
        </w:numPr>
        <w:tabs>
          <w:tab w:pos="838" w:val="left" w:leader="none"/>
        </w:tabs>
        <w:spacing w:line="240" w:lineRule="auto" w:before="105" w:after="0"/>
        <w:ind w:left="837" w:right="0" w:hanging="601"/>
        <w:jc w:val="both"/>
        <w:rPr>
          <w:b/>
          <w:sz w:val="24"/>
        </w:rPr>
      </w:pPr>
      <w:bookmarkStart w:name="_bookmark44" w:id="85"/>
      <w:bookmarkEnd w:id="85"/>
      <w:r>
        <w:rPr/>
      </w:r>
      <w:bookmarkStart w:name="_bookmark44" w:id="86"/>
      <w:bookmarkEnd w:id="86"/>
      <w:r>
        <w:rPr>
          <w:b/>
          <w:sz w:val="24"/>
        </w:rPr>
        <w:t>项目平面布置</w:t>
      </w:r>
    </w:p>
    <w:p>
      <w:pPr>
        <w:pStyle w:val="BodyText"/>
        <w:spacing w:line="374" w:lineRule="auto" w:before="165"/>
        <w:ind w:right="249" w:firstLine="480"/>
        <w:jc w:val="both"/>
      </w:pPr>
      <w:r>
        <w:rPr>
          <w:spacing w:val="-3"/>
        </w:rPr>
        <w:t>本项目拟建址位于柯桥区柯岩街道丰项村西南侧约 </w:t>
      </w:r>
      <w:r>
        <w:rPr>
          <w:rFonts w:ascii="Times New Roman" w:eastAsia="Times New Roman"/>
          <w:position w:val="1"/>
        </w:rPr>
        <w:t>555m </w:t>
      </w:r>
      <w:r>
        <w:rPr>
          <w:spacing w:val="-12"/>
        </w:rPr>
        <w:t>处的山坳内，四面环山，东</w:t>
      </w:r>
      <w:r>
        <w:rPr/>
        <w:t>北侧相对较为开阔，所在地易形成山谷风。</w:t>
      </w:r>
    </w:p>
    <w:p>
      <w:pPr>
        <w:pStyle w:val="BodyText"/>
        <w:spacing w:line="364" w:lineRule="auto"/>
        <w:ind w:right="251" w:firstLine="480"/>
        <w:jc w:val="both"/>
        <w:rPr>
          <w:rFonts w:ascii="Times New Roman" w:eastAsia="Times New Roman"/>
        </w:rPr>
      </w:pPr>
      <w:r>
        <w:rPr/>
        <w:t>根据总平面布置图，本项目厂区整体呈不规则形状，出入口位于厂区东北侧。结合</w:t>
      </w:r>
      <w:r>
        <w:rPr>
          <w:spacing w:val="-2"/>
        </w:rPr>
        <w:t>地势及风向，拟在厂区南侧地势相对较高且气流畅通处布置 </w:t>
      </w:r>
      <w:r>
        <w:rPr>
          <w:rFonts w:ascii="Times New Roman" w:eastAsia="Times New Roman"/>
          <w:position w:val="1"/>
        </w:rPr>
        <w:t>1 </w:t>
      </w:r>
      <w:r>
        <w:rPr>
          <w:spacing w:val="-18"/>
        </w:rPr>
        <w:t>幢 </w:t>
      </w:r>
      <w:r>
        <w:rPr>
          <w:rFonts w:ascii="Times New Roman" w:eastAsia="Times New Roman"/>
          <w:position w:val="1"/>
        </w:rPr>
        <w:t>4 </w:t>
      </w:r>
      <w:r>
        <w:rPr>
          <w:spacing w:val="-2"/>
        </w:rPr>
        <w:t>层综合楼，兼员工宿</w:t>
      </w:r>
      <w:r>
        <w:rPr>
          <w:spacing w:val="-3"/>
        </w:rPr>
        <w:t>舍；主体生产区布置在厂区中部，包括 </w:t>
      </w:r>
      <w:r>
        <w:rPr>
          <w:rFonts w:ascii="Times New Roman" w:eastAsia="Times New Roman"/>
          <w:position w:val="1"/>
        </w:rPr>
        <w:t>2 </w:t>
      </w:r>
      <w:r>
        <w:rPr>
          <w:spacing w:val="-23"/>
        </w:rPr>
        <w:t>幢 </w:t>
      </w:r>
      <w:r>
        <w:rPr>
          <w:rFonts w:ascii="Times New Roman" w:eastAsia="Times New Roman"/>
          <w:position w:val="1"/>
        </w:rPr>
        <w:t>4 </w:t>
      </w:r>
      <w:r>
        <w:rPr>
          <w:spacing w:val="-4"/>
        </w:rPr>
        <w:t>层生产车间，其中车间一 </w:t>
      </w:r>
      <w:r>
        <w:rPr>
          <w:rFonts w:ascii="Times New Roman" w:eastAsia="Times New Roman"/>
          <w:position w:val="1"/>
        </w:rPr>
        <w:t>1~2 </w:t>
      </w:r>
      <w:r>
        <w:rPr>
          <w:spacing w:val="-3"/>
        </w:rPr>
        <w:t>层布置育肥</w:t>
      </w:r>
      <w:r>
        <w:rPr/>
        <w:t>舍、</w:t>
      </w:r>
      <w:r>
        <w:rPr>
          <w:rFonts w:ascii="Times New Roman" w:eastAsia="Times New Roman"/>
          <w:position w:val="1"/>
        </w:rPr>
        <w:t>3 </w:t>
      </w:r>
      <w:r>
        <w:rPr/>
        <w:t>层布置育肥舍和后备舍、</w:t>
      </w:r>
      <w:r>
        <w:rPr>
          <w:rFonts w:ascii="Times New Roman" w:eastAsia="Times New Roman"/>
          <w:position w:val="1"/>
        </w:rPr>
        <w:t>4 </w:t>
      </w:r>
      <w:r>
        <w:rPr>
          <w:spacing w:val="-5"/>
        </w:rPr>
        <w:t>层布置配怀舍，车间二 </w:t>
      </w:r>
      <w:r>
        <w:rPr>
          <w:rFonts w:ascii="Times New Roman" w:eastAsia="Times New Roman"/>
          <w:position w:val="1"/>
        </w:rPr>
        <w:t>1~2 </w:t>
      </w:r>
      <w:r>
        <w:rPr/>
        <w:t>层布置育肥舍、</w:t>
      </w:r>
      <w:r>
        <w:rPr>
          <w:rFonts w:ascii="Times New Roman" w:eastAsia="Times New Roman"/>
          <w:position w:val="1"/>
        </w:rPr>
        <w:t>3 </w:t>
      </w:r>
      <w:r>
        <w:rPr>
          <w:spacing w:val="-4"/>
        </w:rPr>
        <w:t>层布置保</w:t>
      </w:r>
      <w:r>
        <w:rPr>
          <w:spacing w:val="-10"/>
        </w:rPr>
        <w:t>育舍、</w:t>
      </w:r>
      <w:r>
        <w:rPr>
          <w:rFonts w:ascii="Times New Roman" w:eastAsia="Times New Roman"/>
          <w:position w:val="1"/>
        </w:rPr>
        <w:t>4 </w:t>
      </w:r>
      <w:r>
        <w:rPr>
          <w:spacing w:val="-7"/>
        </w:rPr>
        <w:t>层布置分娩舍；拟在远离主体生产区且地势相对平缓、废气容易扩散的西南侧布</w:t>
      </w:r>
      <w:r>
        <w:rPr>
          <w:spacing w:val="-20"/>
        </w:rPr>
        <w:t>置 </w:t>
      </w:r>
      <w:r>
        <w:rPr>
          <w:rFonts w:ascii="Times New Roman" w:eastAsia="Times New Roman"/>
          <w:position w:val="1"/>
        </w:rPr>
        <w:t>1 </w:t>
      </w:r>
      <w:r>
        <w:rPr>
          <w:spacing w:val="-2"/>
        </w:rPr>
        <w:t>栋单层隔离舍；拟在靠近敏感点及周边配套道路的东北侧布置 </w:t>
      </w:r>
      <w:r>
        <w:rPr>
          <w:rFonts w:ascii="Times New Roman" w:eastAsia="Times New Roman"/>
          <w:position w:val="1"/>
        </w:rPr>
        <w:t>1 </w:t>
      </w:r>
      <w:r>
        <w:rPr>
          <w:spacing w:val="-20"/>
        </w:rPr>
        <w:t>幢 </w:t>
      </w:r>
      <w:r>
        <w:rPr>
          <w:rFonts w:ascii="Times New Roman" w:eastAsia="Times New Roman"/>
          <w:position w:val="1"/>
        </w:rPr>
        <w:t>2 </w:t>
      </w:r>
      <w:r>
        <w:rPr>
          <w:spacing w:val="-7"/>
        </w:rPr>
        <w:t>层办公楼和 </w:t>
      </w:r>
      <w:r>
        <w:rPr>
          <w:rFonts w:ascii="Times New Roman" w:eastAsia="Times New Roman"/>
          <w:spacing w:val="-11"/>
          <w:position w:val="1"/>
        </w:rPr>
        <w:t>1</w:t>
      </w:r>
    </w:p>
    <w:p>
      <w:pPr>
        <w:pStyle w:val="BodyText"/>
        <w:spacing w:line="364" w:lineRule="auto"/>
        <w:ind w:right="254"/>
        <w:jc w:val="both"/>
      </w:pPr>
      <w:r>
        <w:rPr/>
        <w:t>幢 </w:t>
      </w:r>
      <w:r>
        <w:rPr>
          <w:rFonts w:ascii="Times New Roman" w:eastAsia="Times New Roman"/>
          <w:position w:val="1"/>
        </w:rPr>
        <w:t>1 </w:t>
      </w:r>
      <w:r>
        <w:rPr/>
        <w:t>层洗消中心；拟在厂区地势较低且远离敏感点的西北侧布置粪污处理区，以方便废水的收集处理并减少恶臭气体对周边敏感点的影响。</w:t>
      </w:r>
    </w:p>
    <w:p>
      <w:pPr>
        <w:pStyle w:val="BodyText"/>
        <w:spacing w:line="364" w:lineRule="auto" w:before="2"/>
        <w:ind w:right="249" w:firstLine="480"/>
        <w:jc w:val="both"/>
      </w:pPr>
      <w:r>
        <w:rPr/>
        <w:t>综上，本项目总平布置充分考虑了地形条件、生产流程和物料流向，结合运输线路顺畅等因素，养猪场内按不同的功能分区布置，使养猪场布置既符合生产工艺的要求， 又能充分发挥辅助设施的作用。从生产管理及环境保护的角度分析本项目总平布置基本是合理的。</w:t>
      </w:r>
    </w:p>
    <w:p>
      <w:pPr>
        <w:spacing w:after="0" w:line="364" w:lineRule="auto"/>
        <w:jc w:val="both"/>
        <w:sectPr>
          <w:pgSz w:w="11910" w:h="16840"/>
          <w:pgMar w:header="874" w:footer="1004" w:top="1400" w:bottom="1200" w:left="1040" w:right="1160"/>
        </w:sectPr>
      </w:pPr>
    </w:p>
    <w:p>
      <w:pPr>
        <w:pStyle w:val="BodyText"/>
        <w:spacing w:before="105"/>
        <w:ind w:left="717"/>
      </w:pPr>
      <w:r>
        <w:rPr/>
        <w:t>具体的平面布置图详见附图二，总平面经济技术指标详见表 </w:t>
      </w:r>
      <w:r>
        <w:rPr>
          <w:rFonts w:ascii="Times New Roman" w:eastAsia="Times New Roman"/>
          <w:position w:val="1"/>
        </w:rPr>
        <w:t>3.1-8</w:t>
      </w:r>
      <w:r>
        <w:rPr/>
        <w:t>。</w:t>
      </w:r>
    </w:p>
    <w:p>
      <w:pPr>
        <w:pStyle w:val="Heading3"/>
        <w:ind w:left="218" w:right="236"/>
        <w:jc w:val="center"/>
      </w:pPr>
      <w:r>
        <w:rPr/>
        <w:t>表 </w:t>
      </w:r>
      <w:r>
        <w:rPr>
          <w:rFonts w:ascii="Times New Roman" w:eastAsia="Times New Roman"/>
        </w:rPr>
        <w:t>3.1-8  </w:t>
      </w:r>
      <w:r>
        <w:rPr/>
        <w:t>总平面主要经济技术指标</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85"/>
        <w:gridCol w:w="2072"/>
        <w:gridCol w:w="1342"/>
        <w:gridCol w:w="1342"/>
        <w:gridCol w:w="3891"/>
      </w:tblGrid>
      <w:tr>
        <w:trPr>
          <w:trHeight w:val="359" w:hRule="atLeast"/>
        </w:trPr>
        <w:tc>
          <w:tcPr>
            <w:tcW w:w="785" w:type="dxa"/>
            <w:tcBorders>
              <w:bottom w:val="single" w:sz="6" w:space="0" w:color="000000"/>
              <w:right w:val="single" w:sz="6" w:space="0" w:color="000000"/>
            </w:tcBorders>
          </w:tcPr>
          <w:p>
            <w:pPr>
              <w:pStyle w:val="TableParagraph"/>
              <w:spacing w:before="46"/>
              <w:ind w:left="159" w:right="141"/>
              <w:rPr>
                <w:rFonts w:ascii="宋体" w:eastAsia="宋体" w:hint="eastAsia"/>
                <w:b/>
                <w:sz w:val="21"/>
              </w:rPr>
            </w:pPr>
            <w:r>
              <w:rPr>
                <w:rFonts w:ascii="宋体" w:eastAsia="宋体" w:hint="eastAsia"/>
                <w:b/>
                <w:sz w:val="21"/>
              </w:rPr>
              <w:t>序号</w:t>
            </w:r>
          </w:p>
        </w:tc>
        <w:tc>
          <w:tcPr>
            <w:tcW w:w="2072" w:type="dxa"/>
            <w:tcBorders>
              <w:left w:val="single" w:sz="6" w:space="0" w:color="000000"/>
              <w:bottom w:val="single" w:sz="6" w:space="0" w:color="000000"/>
              <w:right w:val="single" w:sz="6" w:space="0" w:color="000000"/>
            </w:tcBorders>
          </w:tcPr>
          <w:p>
            <w:pPr>
              <w:pStyle w:val="TableParagraph"/>
              <w:spacing w:before="46"/>
              <w:ind w:left="286" w:right="261"/>
              <w:rPr>
                <w:rFonts w:ascii="宋体" w:eastAsia="宋体" w:hint="eastAsia"/>
                <w:b/>
                <w:sz w:val="21"/>
              </w:rPr>
            </w:pPr>
            <w:r>
              <w:rPr>
                <w:rFonts w:ascii="宋体" w:eastAsia="宋体" w:hint="eastAsia"/>
                <w:b/>
                <w:sz w:val="21"/>
              </w:rPr>
              <w:t>项目</w:t>
            </w:r>
          </w:p>
        </w:tc>
        <w:tc>
          <w:tcPr>
            <w:tcW w:w="1342" w:type="dxa"/>
            <w:tcBorders>
              <w:left w:val="single" w:sz="6" w:space="0" w:color="000000"/>
              <w:bottom w:val="single" w:sz="6" w:space="0" w:color="000000"/>
              <w:right w:val="single" w:sz="6" w:space="0" w:color="000000"/>
            </w:tcBorders>
          </w:tcPr>
          <w:p>
            <w:pPr>
              <w:pStyle w:val="TableParagraph"/>
              <w:spacing w:before="46"/>
              <w:ind w:left="132" w:right="103"/>
              <w:rPr>
                <w:rFonts w:ascii="宋体" w:eastAsia="宋体" w:hint="eastAsia"/>
                <w:b/>
                <w:sz w:val="21"/>
              </w:rPr>
            </w:pPr>
            <w:r>
              <w:rPr>
                <w:rFonts w:ascii="宋体" w:eastAsia="宋体" w:hint="eastAsia"/>
                <w:b/>
                <w:sz w:val="21"/>
              </w:rPr>
              <w:t>占地面积</w:t>
            </w:r>
          </w:p>
        </w:tc>
        <w:tc>
          <w:tcPr>
            <w:tcW w:w="1342" w:type="dxa"/>
            <w:tcBorders>
              <w:left w:val="single" w:sz="6" w:space="0" w:color="000000"/>
              <w:bottom w:val="single" w:sz="6" w:space="0" w:color="000000"/>
              <w:right w:val="single" w:sz="6" w:space="0" w:color="000000"/>
            </w:tcBorders>
          </w:tcPr>
          <w:p>
            <w:pPr>
              <w:pStyle w:val="TableParagraph"/>
              <w:spacing w:before="46"/>
              <w:ind w:right="224"/>
              <w:jc w:val="right"/>
              <w:rPr>
                <w:rFonts w:ascii="宋体" w:eastAsia="宋体" w:hint="eastAsia"/>
                <w:b/>
                <w:sz w:val="21"/>
              </w:rPr>
            </w:pPr>
            <w:r>
              <w:rPr>
                <w:rFonts w:ascii="宋体" w:eastAsia="宋体" w:hint="eastAsia"/>
                <w:b/>
                <w:sz w:val="21"/>
              </w:rPr>
              <w:t>建筑面积</w:t>
            </w:r>
          </w:p>
        </w:tc>
        <w:tc>
          <w:tcPr>
            <w:tcW w:w="3891" w:type="dxa"/>
            <w:tcBorders>
              <w:left w:val="single" w:sz="6" w:space="0" w:color="000000"/>
              <w:bottom w:val="single" w:sz="6" w:space="0" w:color="000000"/>
            </w:tcBorders>
          </w:tcPr>
          <w:p>
            <w:pPr>
              <w:pStyle w:val="TableParagraph"/>
              <w:spacing w:before="46"/>
              <w:ind w:left="453" w:right="421"/>
              <w:rPr>
                <w:rFonts w:ascii="宋体" w:eastAsia="宋体" w:hint="eastAsia"/>
                <w:b/>
                <w:sz w:val="21"/>
              </w:rPr>
            </w:pPr>
            <w:r>
              <w:rPr>
                <w:rFonts w:ascii="宋体" w:eastAsia="宋体" w:hint="eastAsia"/>
                <w:b/>
                <w:sz w:val="21"/>
              </w:rPr>
              <w:t>备注</w:t>
            </w:r>
          </w:p>
        </w:tc>
      </w:tr>
      <w:tr>
        <w:trPr>
          <w:trHeight w:val="359" w:hRule="atLeast"/>
        </w:trPr>
        <w:tc>
          <w:tcPr>
            <w:tcW w:w="785"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1</w:t>
            </w: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61"/>
              <w:rPr>
                <w:rFonts w:ascii="宋体" w:eastAsia="宋体" w:hint="eastAsia"/>
                <w:sz w:val="21"/>
              </w:rPr>
            </w:pPr>
            <w:r>
              <w:rPr>
                <w:rFonts w:ascii="宋体" w:eastAsia="宋体" w:hint="eastAsia"/>
                <w:sz w:val="21"/>
              </w:rPr>
              <w:t>规划总用地面积</w:t>
            </w:r>
          </w:p>
        </w:tc>
        <w:tc>
          <w:tcPr>
            <w:tcW w:w="268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5"/>
              <w:ind w:left="364"/>
              <w:jc w:val="left"/>
              <w:rPr>
                <w:rFonts w:ascii="宋体" w:eastAsia="宋体" w:hint="eastAsia"/>
                <w:sz w:val="21"/>
              </w:rPr>
            </w:pPr>
            <w:r>
              <w:rPr>
                <w:position w:val="1"/>
                <w:sz w:val="21"/>
              </w:rPr>
              <w:t>52334.0m</w:t>
            </w:r>
            <w:r>
              <w:rPr>
                <w:position w:val="8"/>
                <w:sz w:val="14"/>
              </w:rPr>
              <w:t>2</w:t>
            </w:r>
            <w:r>
              <w:rPr>
                <w:rFonts w:ascii="宋体" w:eastAsia="宋体" w:hint="eastAsia"/>
                <w:sz w:val="21"/>
              </w:rPr>
              <w:t>（</w:t>
            </w:r>
            <w:r>
              <w:rPr>
                <w:position w:val="1"/>
                <w:sz w:val="21"/>
              </w:rPr>
              <w:t>78.5 </w:t>
            </w:r>
            <w:r>
              <w:rPr>
                <w:rFonts w:ascii="宋体" w:eastAsia="宋体" w:hint="eastAsia"/>
                <w:sz w:val="21"/>
              </w:rPr>
              <w:t>亩）</w:t>
            </w:r>
          </w:p>
        </w:tc>
        <w:tc>
          <w:tcPr>
            <w:tcW w:w="3891" w:type="dxa"/>
            <w:tcBorders>
              <w:top w:val="single" w:sz="6" w:space="0" w:color="000000"/>
              <w:left w:val="single" w:sz="6" w:space="0" w:color="000000"/>
              <w:bottom w:val="single" w:sz="6" w:space="0" w:color="000000"/>
            </w:tcBorders>
          </w:tcPr>
          <w:p>
            <w:pPr>
              <w:pStyle w:val="TableParagraph"/>
              <w:ind w:left="33"/>
              <w:rPr>
                <w:sz w:val="21"/>
              </w:rPr>
            </w:pPr>
            <w:r>
              <w:rPr>
                <w:w w:val="100"/>
                <w:sz w:val="21"/>
              </w:rPr>
              <w:t>/</w:t>
            </w:r>
          </w:p>
        </w:tc>
      </w:tr>
      <w:tr>
        <w:trPr>
          <w:trHeight w:val="356" w:hRule="atLeast"/>
        </w:trPr>
        <w:tc>
          <w:tcPr>
            <w:tcW w:w="785"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2</w:t>
            </w: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59"/>
              <w:rPr>
                <w:rFonts w:ascii="宋体" w:eastAsia="宋体" w:hint="eastAsia"/>
                <w:sz w:val="21"/>
              </w:rPr>
            </w:pPr>
            <w:r>
              <w:rPr>
                <w:rFonts w:ascii="宋体" w:eastAsia="宋体" w:hint="eastAsia"/>
                <w:sz w:val="21"/>
              </w:rPr>
              <w:t>建构筑物</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03"/>
              <w:rPr>
                <w:sz w:val="14"/>
              </w:rPr>
            </w:pPr>
            <w:r>
              <w:rPr>
                <w:sz w:val="21"/>
              </w:rPr>
              <w:t>23070m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right="267"/>
              <w:jc w:val="right"/>
              <w:rPr>
                <w:sz w:val="14"/>
              </w:rPr>
            </w:pPr>
            <w:r>
              <w:rPr>
                <w:sz w:val="21"/>
              </w:rPr>
              <w:t>84240m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spacing w:before="46"/>
              <w:ind w:left="455" w:right="419"/>
              <w:rPr>
                <w:rFonts w:ascii="宋体" w:eastAsia="宋体" w:hint="eastAsia"/>
                <w:sz w:val="21"/>
              </w:rPr>
            </w:pPr>
            <w:r>
              <w:rPr>
                <w:rFonts w:ascii="宋体" w:eastAsia="宋体" w:hint="eastAsia"/>
                <w:sz w:val="21"/>
              </w:rPr>
              <w:t>环保区建构筑物未计入</w:t>
            </w:r>
          </w:p>
        </w:tc>
      </w:tr>
      <w:tr>
        <w:trPr>
          <w:trHeight w:val="359" w:hRule="atLeast"/>
        </w:trPr>
        <w:tc>
          <w:tcPr>
            <w:tcW w:w="785"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44"/>
              <w:ind w:left="181"/>
              <w:jc w:val="left"/>
              <w:rPr>
                <w:rFonts w:ascii="宋体" w:eastAsia="宋体" w:hint="eastAsia"/>
                <w:sz w:val="21"/>
              </w:rPr>
            </w:pPr>
            <w:r>
              <w:rPr>
                <w:rFonts w:ascii="宋体" w:eastAsia="宋体" w:hint="eastAsia"/>
                <w:sz w:val="21"/>
              </w:rPr>
              <w:t>其中</w:t>
            </w: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9"/>
              <w:ind w:left="286" w:right="261"/>
              <w:rPr>
                <w:rFonts w:ascii="宋体" w:eastAsia="宋体" w:hint="eastAsia"/>
                <w:sz w:val="21"/>
              </w:rPr>
            </w:pPr>
            <w:r>
              <w:rPr>
                <w:rFonts w:ascii="宋体" w:eastAsia="宋体" w:hint="eastAsia"/>
                <w:sz w:val="21"/>
              </w:rPr>
              <w:t>高配房</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5"/>
              <w:ind w:left="130" w:right="103"/>
              <w:rPr>
                <w:sz w:val="14"/>
              </w:rPr>
            </w:pPr>
            <w:r>
              <w:rPr>
                <w:sz w:val="21"/>
              </w:rPr>
              <w:t>255m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5"/>
              <w:ind w:left="402"/>
              <w:jc w:val="left"/>
              <w:rPr>
                <w:sz w:val="14"/>
              </w:rPr>
            </w:pPr>
            <w:r>
              <w:rPr>
                <w:sz w:val="21"/>
              </w:rPr>
              <w:t>255m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spacing w:before="60"/>
              <w:ind w:left="455" w:right="421"/>
              <w:rPr>
                <w:sz w:val="21"/>
              </w:rPr>
            </w:pPr>
            <w:r>
              <w:rPr>
                <w:sz w:val="21"/>
              </w:rPr>
              <w:t>1F</w:t>
            </w:r>
          </w:p>
        </w:tc>
      </w:tr>
      <w:tr>
        <w:trPr>
          <w:trHeight w:val="359" w:hRule="atLeast"/>
        </w:trPr>
        <w:tc>
          <w:tcPr>
            <w:tcW w:w="785" w:type="dxa"/>
            <w:vMerge/>
            <w:tcBorders>
              <w:top w:val="nil"/>
              <w:bottom w:val="single" w:sz="6" w:space="0" w:color="000000"/>
              <w:right w:val="single" w:sz="6" w:space="0" w:color="000000"/>
            </w:tcBorders>
          </w:tcPr>
          <w:p>
            <w:pPr>
              <w:rPr>
                <w:sz w:val="2"/>
                <w:szCs w:val="2"/>
              </w:rPr>
            </w:pP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61"/>
              <w:rPr>
                <w:rFonts w:ascii="宋体" w:eastAsia="宋体" w:hint="eastAsia"/>
                <w:sz w:val="21"/>
              </w:rPr>
            </w:pPr>
            <w:r>
              <w:rPr>
                <w:rFonts w:ascii="宋体" w:eastAsia="宋体" w:hint="eastAsia"/>
                <w:sz w:val="21"/>
              </w:rPr>
              <w:t>办公楼</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03"/>
              <w:rPr>
                <w:sz w:val="14"/>
              </w:rPr>
            </w:pPr>
            <w:r>
              <w:rPr>
                <w:sz w:val="21"/>
              </w:rPr>
              <w:t>720m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right="320"/>
              <w:jc w:val="right"/>
              <w:rPr>
                <w:sz w:val="14"/>
              </w:rPr>
            </w:pPr>
            <w:r>
              <w:rPr>
                <w:sz w:val="21"/>
              </w:rPr>
              <w:t>1440m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ind w:left="455" w:right="421"/>
              <w:rPr>
                <w:sz w:val="21"/>
              </w:rPr>
            </w:pPr>
            <w:r>
              <w:rPr>
                <w:sz w:val="21"/>
              </w:rPr>
              <w:t>2F</w:t>
            </w:r>
          </w:p>
        </w:tc>
      </w:tr>
      <w:tr>
        <w:trPr>
          <w:trHeight w:val="359" w:hRule="atLeast"/>
        </w:trPr>
        <w:tc>
          <w:tcPr>
            <w:tcW w:w="785" w:type="dxa"/>
            <w:vMerge/>
            <w:tcBorders>
              <w:top w:val="nil"/>
              <w:bottom w:val="single" w:sz="6" w:space="0" w:color="000000"/>
              <w:right w:val="single" w:sz="6" w:space="0" w:color="000000"/>
            </w:tcBorders>
          </w:tcPr>
          <w:p>
            <w:pPr>
              <w:rPr>
                <w:sz w:val="2"/>
                <w:szCs w:val="2"/>
              </w:rPr>
            </w:pP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59"/>
              <w:rPr>
                <w:rFonts w:ascii="宋体" w:eastAsia="宋体" w:hint="eastAsia"/>
                <w:sz w:val="21"/>
              </w:rPr>
            </w:pPr>
            <w:r>
              <w:rPr>
                <w:rFonts w:ascii="宋体" w:eastAsia="宋体" w:hint="eastAsia"/>
                <w:sz w:val="21"/>
              </w:rPr>
              <w:t>洗消中心</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03"/>
              <w:rPr>
                <w:sz w:val="14"/>
              </w:rPr>
            </w:pPr>
            <w:r>
              <w:rPr>
                <w:sz w:val="21"/>
              </w:rPr>
              <w:t>200m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left="402"/>
              <w:jc w:val="left"/>
              <w:rPr>
                <w:sz w:val="14"/>
              </w:rPr>
            </w:pPr>
            <w:r>
              <w:rPr>
                <w:sz w:val="21"/>
              </w:rPr>
              <w:t>200m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ind w:left="455" w:right="421"/>
              <w:rPr>
                <w:sz w:val="21"/>
              </w:rPr>
            </w:pPr>
            <w:r>
              <w:rPr>
                <w:sz w:val="21"/>
              </w:rPr>
              <w:t>1F</w:t>
            </w:r>
          </w:p>
        </w:tc>
      </w:tr>
      <w:tr>
        <w:trPr>
          <w:trHeight w:val="357" w:hRule="atLeast"/>
        </w:trPr>
        <w:tc>
          <w:tcPr>
            <w:tcW w:w="785" w:type="dxa"/>
            <w:vMerge/>
            <w:tcBorders>
              <w:top w:val="nil"/>
              <w:bottom w:val="single" w:sz="6" w:space="0" w:color="000000"/>
              <w:right w:val="single" w:sz="6" w:space="0" w:color="000000"/>
            </w:tcBorders>
          </w:tcPr>
          <w:p>
            <w:pPr>
              <w:rPr>
                <w:sz w:val="2"/>
                <w:szCs w:val="2"/>
              </w:rPr>
            </w:pP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61"/>
              <w:rPr>
                <w:rFonts w:ascii="宋体" w:eastAsia="宋体" w:hint="eastAsia"/>
                <w:sz w:val="21"/>
              </w:rPr>
            </w:pPr>
            <w:r>
              <w:rPr>
                <w:rFonts w:ascii="宋体" w:eastAsia="宋体" w:hint="eastAsia"/>
                <w:sz w:val="21"/>
              </w:rPr>
              <w:t>综合楼</w:t>
            </w:r>
            <w:r>
              <w:rPr>
                <w:position w:val="1"/>
                <w:sz w:val="21"/>
              </w:rPr>
              <w:t>+</w:t>
            </w:r>
            <w:r>
              <w:rPr>
                <w:rFonts w:ascii="宋体" w:eastAsia="宋体" w:hint="eastAsia"/>
                <w:sz w:val="21"/>
              </w:rPr>
              <w:t>宿舍</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03"/>
              <w:rPr>
                <w:sz w:val="14"/>
              </w:rPr>
            </w:pPr>
            <w:r>
              <w:rPr>
                <w:sz w:val="21"/>
              </w:rPr>
              <w:t>1000m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right="320"/>
              <w:jc w:val="right"/>
              <w:rPr>
                <w:sz w:val="14"/>
              </w:rPr>
            </w:pPr>
            <w:r>
              <w:rPr>
                <w:sz w:val="21"/>
              </w:rPr>
              <w:t>4000m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ind w:left="455" w:right="421"/>
              <w:rPr>
                <w:sz w:val="21"/>
              </w:rPr>
            </w:pPr>
            <w:r>
              <w:rPr>
                <w:sz w:val="21"/>
              </w:rPr>
              <w:t>4F</w:t>
            </w:r>
          </w:p>
        </w:tc>
      </w:tr>
      <w:tr>
        <w:trPr>
          <w:trHeight w:val="359" w:hRule="atLeast"/>
        </w:trPr>
        <w:tc>
          <w:tcPr>
            <w:tcW w:w="785" w:type="dxa"/>
            <w:vMerge/>
            <w:tcBorders>
              <w:top w:val="nil"/>
              <w:bottom w:val="single" w:sz="6" w:space="0" w:color="000000"/>
              <w:right w:val="single" w:sz="6" w:space="0" w:color="000000"/>
            </w:tcBorders>
          </w:tcPr>
          <w:p>
            <w:pPr>
              <w:rPr>
                <w:sz w:val="2"/>
                <w:szCs w:val="2"/>
              </w:rPr>
            </w:pP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9"/>
              <w:ind w:left="286" w:right="261"/>
              <w:rPr>
                <w:rFonts w:ascii="宋体" w:eastAsia="宋体" w:hint="eastAsia"/>
                <w:sz w:val="21"/>
              </w:rPr>
            </w:pPr>
            <w:r>
              <w:rPr>
                <w:rFonts w:ascii="宋体" w:eastAsia="宋体" w:hint="eastAsia"/>
                <w:sz w:val="21"/>
              </w:rPr>
              <w:t>车间一</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6"/>
              <w:ind w:left="132" w:right="103"/>
              <w:rPr>
                <w:sz w:val="14"/>
              </w:rPr>
            </w:pPr>
            <w:r>
              <w:rPr>
                <w:sz w:val="21"/>
              </w:rPr>
              <w:t>11300m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6"/>
              <w:ind w:right="267"/>
              <w:jc w:val="right"/>
              <w:rPr>
                <w:sz w:val="14"/>
              </w:rPr>
            </w:pPr>
            <w:r>
              <w:rPr>
                <w:sz w:val="21"/>
              </w:rPr>
              <w:t>45200m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spacing w:before="49"/>
              <w:ind w:left="455" w:right="421"/>
              <w:rPr>
                <w:rFonts w:ascii="宋体" w:eastAsia="宋体" w:hint="eastAsia"/>
                <w:sz w:val="21"/>
              </w:rPr>
            </w:pPr>
            <w:r>
              <w:rPr>
                <w:position w:val="1"/>
                <w:sz w:val="21"/>
              </w:rPr>
              <w:t>4F</w:t>
            </w:r>
            <w:r>
              <w:rPr>
                <w:rFonts w:ascii="宋体" w:eastAsia="宋体" w:hint="eastAsia"/>
                <w:sz w:val="21"/>
              </w:rPr>
              <w:t>，含育肥舍、后备舍及配怀舍</w:t>
            </w:r>
          </w:p>
        </w:tc>
      </w:tr>
      <w:tr>
        <w:trPr>
          <w:trHeight w:val="359" w:hRule="atLeast"/>
        </w:trPr>
        <w:tc>
          <w:tcPr>
            <w:tcW w:w="785" w:type="dxa"/>
            <w:vMerge/>
            <w:tcBorders>
              <w:top w:val="nil"/>
              <w:bottom w:val="single" w:sz="6" w:space="0" w:color="000000"/>
              <w:right w:val="single" w:sz="6" w:space="0" w:color="000000"/>
            </w:tcBorders>
          </w:tcPr>
          <w:p>
            <w:pPr>
              <w:rPr>
                <w:sz w:val="2"/>
                <w:szCs w:val="2"/>
              </w:rPr>
            </w:pP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61"/>
              <w:rPr>
                <w:rFonts w:ascii="宋体" w:eastAsia="宋体" w:hint="eastAsia"/>
                <w:sz w:val="21"/>
              </w:rPr>
            </w:pPr>
            <w:r>
              <w:rPr>
                <w:rFonts w:ascii="宋体" w:eastAsia="宋体" w:hint="eastAsia"/>
                <w:sz w:val="21"/>
              </w:rPr>
              <w:t>车间二</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03"/>
              <w:rPr>
                <w:sz w:val="14"/>
              </w:rPr>
            </w:pPr>
            <w:r>
              <w:rPr>
                <w:sz w:val="21"/>
              </w:rPr>
              <w:t>7850m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right="267"/>
              <w:jc w:val="right"/>
              <w:rPr>
                <w:sz w:val="14"/>
              </w:rPr>
            </w:pPr>
            <w:r>
              <w:rPr>
                <w:sz w:val="21"/>
              </w:rPr>
              <w:t>31400m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spacing w:before="46"/>
              <w:ind w:left="455" w:right="421"/>
              <w:rPr>
                <w:rFonts w:ascii="宋体" w:eastAsia="宋体" w:hint="eastAsia"/>
                <w:sz w:val="21"/>
              </w:rPr>
            </w:pPr>
            <w:r>
              <w:rPr>
                <w:position w:val="1"/>
                <w:sz w:val="21"/>
              </w:rPr>
              <w:t>4F</w:t>
            </w:r>
            <w:r>
              <w:rPr>
                <w:rFonts w:ascii="宋体" w:eastAsia="宋体" w:hint="eastAsia"/>
                <w:sz w:val="21"/>
              </w:rPr>
              <w:t>，含育肥舍、分娩舍及保育舍</w:t>
            </w:r>
          </w:p>
        </w:tc>
      </w:tr>
      <w:tr>
        <w:trPr>
          <w:trHeight w:val="359" w:hRule="atLeast"/>
        </w:trPr>
        <w:tc>
          <w:tcPr>
            <w:tcW w:w="785" w:type="dxa"/>
            <w:vMerge/>
            <w:tcBorders>
              <w:top w:val="nil"/>
              <w:bottom w:val="single" w:sz="6" w:space="0" w:color="000000"/>
              <w:right w:val="single" w:sz="6" w:space="0" w:color="000000"/>
            </w:tcBorders>
          </w:tcPr>
          <w:p>
            <w:pPr>
              <w:rPr>
                <w:sz w:val="2"/>
                <w:szCs w:val="2"/>
              </w:rPr>
            </w:pP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59"/>
              <w:rPr>
                <w:rFonts w:ascii="宋体" w:eastAsia="宋体" w:hint="eastAsia"/>
                <w:sz w:val="21"/>
              </w:rPr>
            </w:pPr>
            <w:r>
              <w:rPr>
                <w:rFonts w:ascii="宋体" w:eastAsia="宋体" w:hint="eastAsia"/>
                <w:sz w:val="21"/>
              </w:rPr>
              <w:t>种猪隔离舍</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left="130" w:right="103"/>
              <w:rPr>
                <w:sz w:val="14"/>
              </w:rPr>
            </w:pPr>
            <w:r>
              <w:rPr>
                <w:sz w:val="21"/>
              </w:rPr>
              <w:t>1745m</w:t>
            </w:r>
            <w:r>
              <w:rPr>
                <w:position w:val="7"/>
                <w:sz w:val="14"/>
              </w:rPr>
              <w:t>2</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53"/>
              <w:ind w:right="320"/>
              <w:jc w:val="right"/>
              <w:rPr>
                <w:sz w:val="14"/>
              </w:rPr>
            </w:pPr>
            <w:r>
              <w:rPr>
                <w:sz w:val="21"/>
              </w:rPr>
              <w:t>1745m</w:t>
            </w:r>
            <w:r>
              <w:rPr>
                <w:position w:val="7"/>
                <w:sz w:val="14"/>
              </w:rPr>
              <w:t>2</w:t>
            </w:r>
          </w:p>
        </w:tc>
        <w:tc>
          <w:tcPr>
            <w:tcW w:w="3891" w:type="dxa"/>
            <w:tcBorders>
              <w:top w:val="single" w:sz="6" w:space="0" w:color="000000"/>
              <w:left w:val="single" w:sz="6" w:space="0" w:color="000000"/>
              <w:bottom w:val="single" w:sz="6" w:space="0" w:color="000000"/>
            </w:tcBorders>
          </w:tcPr>
          <w:p>
            <w:pPr>
              <w:pStyle w:val="TableParagraph"/>
              <w:spacing w:before="46"/>
              <w:ind w:left="455" w:right="420"/>
              <w:rPr>
                <w:rFonts w:ascii="宋体" w:eastAsia="宋体" w:hint="eastAsia"/>
                <w:sz w:val="21"/>
              </w:rPr>
            </w:pPr>
            <w:r>
              <w:rPr>
                <w:position w:val="1"/>
                <w:sz w:val="21"/>
              </w:rPr>
              <w:t>1F</w:t>
            </w:r>
            <w:r>
              <w:rPr>
                <w:rFonts w:ascii="宋体" w:eastAsia="宋体" w:hint="eastAsia"/>
                <w:sz w:val="21"/>
              </w:rPr>
              <w:t>，钢结构</w:t>
            </w:r>
          </w:p>
        </w:tc>
      </w:tr>
      <w:tr>
        <w:trPr>
          <w:trHeight w:val="356" w:hRule="atLeast"/>
        </w:trPr>
        <w:tc>
          <w:tcPr>
            <w:tcW w:w="785"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3</w:t>
            </w:r>
          </w:p>
        </w:tc>
        <w:tc>
          <w:tcPr>
            <w:tcW w:w="2072" w:type="dxa"/>
            <w:tcBorders>
              <w:top w:val="single" w:sz="6" w:space="0" w:color="000000"/>
              <w:left w:val="single" w:sz="6" w:space="0" w:color="000000"/>
              <w:bottom w:val="single" w:sz="6" w:space="0" w:color="000000"/>
              <w:right w:val="single" w:sz="6" w:space="0" w:color="000000"/>
            </w:tcBorders>
          </w:tcPr>
          <w:p>
            <w:pPr>
              <w:pStyle w:val="TableParagraph"/>
              <w:spacing w:before="46"/>
              <w:ind w:left="286" w:right="259"/>
              <w:rPr>
                <w:rFonts w:ascii="宋体" w:eastAsia="宋体" w:hint="eastAsia"/>
                <w:sz w:val="21"/>
              </w:rPr>
            </w:pPr>
            <w:r>
              <w:rPr>
                <w:rFonts w:ascii="宋体" w:eastAsia="宋体" w:hint="eastAsia"/>
                <w:sz w:val="21"/>
              </w:rPr>
              <w:t>建筑密度</w:t>
            </w:r>
          </w:p>
        </w:tc>
        <w:tc>
          <w:tcPr>
            <w:tcW w:w="2684" w:type="dxa"/>
            <w:gridSpan w:val="2"/>
            <w:tcBorders>
              <w:top w:val="single" w:sz="6" w:space="0" w:color="000000"/>
              <w:left w:val="single" w:sz="6" w:space="0" w:color="000000"/>
              <w:bottom w:val="single" w:sz="6" w:space="0" w:color="000000"/>
              <w:right w:val="single" w:sz="6" w:space="0" w:color="000000"/>
            </w:tcBorders>
          </w:tcPr>
          <w:p>
            <w:pPr>
              <w:pStyle w:val="TableParagraph"/>
              <w:ind w:left="179" w:right="149"/>
              <w:rPr>
                <w:sz w:val="21"/>
              </w:rPr>
            </w:pPr>
            <w:r>
              <w:rPr>
                <w:sz w:val="21"/>
              </w:rPr>
              <w:t>44%</w:t>
            </w:r>
          </w:p>
        </w:tc>
        <w:tc>
          <w:tcPr>
            <w:tcW w:w="3891" w:type="dxa"/>
            <w:tcBorders>
              <w:top w:val="single" w:sz="6" w:space="0" w:color="000000"/>
              <w:left w:val="single" w:sz="6" w:space="0" w:color="000000"/>
              <w:bottom w:val="single" w:sz="6" w:space="0" w:color="000000"/>
            </w:tcBorders>
          </w:tcPr>
          <w:p>
            <w:pPr>
              <w:pStyle w:val="TableParagraph"/>
              <w:ind w:left="33"/>
              <w:rPr>
                <w:sz w:val="21"/>
              </w:rPr>
            </w:pPr>
            <w:r>
              <w:rPr>
                <w:w w:val="100"/>
                <w:sz w:val="21"/>
              </w:rPr>
              <w:t>/</w:t>
            </w:r>
          </w:p>
        </w:tc>
      </w:tr>
      <w:tr>
        <w:trPr>
          <w:trHeight w:val="361" w:hRule="atLeast"/>
        </w:trPr>
        <w:tc>
          <w:tcPr>
            <w:tcW w:w="785" w:type="dxa"/>
            <w:tcBorders>
              <w:top w:val="single" w:sz="6" w:space="0" w:color="000000"/>
              <w:right w:val="single" w:sz="6" w:space="0" w:color="000000"/>
            </w:tcBorders>
          </w:tcPr>
          <w:p>
            <w:pPr>
              <w:pStyle w:val="TableParagraph"/>
              <w:spacing w:before="60"/>
              <w:ind w:left="18"/>
              <w:rPr>
                <w:sz w:val="21"/>
              </w:rPr>
            </w:pPr>
            <w:r>
              <w:rPr>
                <w:w w:val="100"/>
                <w:sz w:val="21"/>
              </w:rPr>
              <w:t>4</w:t>
            </w:r>
          </w:p>
        </w:tc>
        <w:tc>
          <w:tcPr>
            <w:tcW w:w="2072" w:type="dxa"/>
            <w:tcBorders>
              <w:top w:val="single" w:sz="6" w:space="0" w:color="000000"/>
              <w:left w:val="single" w:sz="6" w:space="0" w:color="000000"/>
              <w:right w:val="single" w:sz="6" w:space="0" w:color="000000"/>
            </w:tcBorders>
          </w:tcPr>
          <w:p>
            <w:pPr>
              <w:pStyle w:val="TableParagraph"/>
              <w:spacing w:before="49"/>
              <w:ind w:left="286" w:right="261"/>
              <w:rPr>
                <w:rFonts w:ascii="宋体" w:eastAsia="宋体" w:hint="eastAsia"/>
                <w:sz w:val="21"/>
              </w:rPr>
            </w:pPr>
            <w:r>
              <w:rPr>
                <w:rFonts w:ascii="宋体" w:eastAsia="宋体" w:hint="eastAsia"/>
                <w:sz w:val="21"/>
              </w:rPr>
              <w:t>容积率</w:t>
            </w:r>
          </w:p>
        </w:tc>
        <w:tc>
          <w:tcPr>
            <w:tcW w:w="2684" w:type="dxa"/>
            <w:gridSpan w:val="2"/>
            <w:tcBorders>
              <w:top w:val="single" w:sz="6" w:space="0" w:color="000000"/>
              <w:left w:val="single" w:sz="6" w:space="0" w:color="000000"/>
              <w:right w:val="single" w:sz="6" w:space="0" w:color="000000"/>
            </w:tcBorders>
          </w:tcPr>
          <w:p>
            <w:pPr>
              <w:pStyle w:val="TableParagraph"/>
              <w:spacing w:before="60"/>
              <w:ind w:left="179" w:right="149"/>
              <w:rPr>
                <w:sz w:val="21"/>
              </w:rPr>
            </w:pPr>
            <w:r>
              <w:rPr>
                <w:sz w:val="21"/>
              </w:rPr>
              <w:t>1.61%</w:t>
            </w:r>
          </w:p>
        </w:tc>
        <w:tc>
          <w:tcPr>
            <w:tcW w:w="3891" w:type="dxa"/>
            <w:tcBorders>
              <w:top w:val="single" w:sz="6" w:space="0" w:color="000000"/>
              <w:left w:val="single" w:sz="6" w:space="0" w:color="000000"/>
            </w:tcBorders>
          </w:tcPr>
          <w:p>
            <w:pPr>
              <w:pStyle w:val="TableParagraph"/>
              <w:spacing w:before="60"/>
              <w:ind w:left="33"/>
              <w:rPr>
                <w:sz w:val="21"/>
              </w:rPr>
            </w:pPr>
            <w:r>
              <w:rPr>
                <w:w w:val="100"/>
                <w:sz w:val="21"/>
              </w:rPr>
              <w:t>/</w:t>
            </w:r>
          </w:p>
        </w:tc>
      </w:tr>
    </w:tbl>
    <w:p>
      <w:pPr>
        <w:pStyle w:val="ListParagraph"/>
        <w:numPr>
          <w:ilvl w:val="2"/>
          <w:numId w:val="33"/>
        </w:numPr>
        <w:tabs>
          <w:tab w:pos="838" w:val="left" w:leader="none"/>
        </w:tabs>
        <w:spacing w:line="240" w:lineRule="auto" w:before="82" w:after="0"/>
        <w:ind w:left="837" w:right="0" w:hanging="601"/>
        <w:jc w:val="both"/>
        <w:rPr>
          <w:b/>
          <w:sz w:val="24"/>
        </w:rPr>
      </w:pPr>
      <w:bookmarkStart w:name="_bookmark45" w:id="87"/>
      <w:bookmarkEnd w:id="87"/>
      <w:r>
        <w:rPr/>
      </w:r>
      <w:bookmarkStart w:name="_bookmark45" w:id="88"/>
      <w:bookmarkEnd w:id="88"/>
      <w:r>
        <w:rPr>
          <w:b/>
          <w:sz w:val="24"/>
        </w:rPr>
        <w:t>养殖场兽医消毒、卫生防疫制度</w:t>
      </w:r>
    </w:p>
    <w:p>
      <w:pPr>
        <w:pStyle w:val="BodyText"/>
        <w:spacing w:line="364" w:lineRule="auto" w:before="161"/>
        <w:ind w:right="249" w:firstLine="480"/>
        <w:jc w:val="both"/>
      </w:pPr>
      <w:r>
        <w:rPr/>
        <w:t>在各阶段猪出栏后，通过高压水枪喷淋烧碱水或石灰石对猪舍进行消毒处理，发生特别疫情时用高锰酸钾消毒液进行消毒处理。猪只按时接种疫苗。场内部养殖区、办公生活区建设实体隔离墙。</w:t>
      </w:r>
    </w:p>
    <w:p>
      <w:pPr>
        <w:pStyle w:val="BodyText"/>
        <w:spacing w:line="364" w:lineRule="auto" w:before="2"/>
        <w:ind w:right="254" w:firstLine="480"/>
      </w:pPr>
      <w:r>
        <w:rPr/>
        <w:t>在猪场生产中应坚持“防病重于治病”的方针，防止和消灭种猪疾病，特别是传染病、代谢病，使种猪更好地发挥生产性能，延长使用年限，提高养猪的经济效益。</w:t>
      </w:r>
    </w:p>
    <w:p>
      <w:pPr>
        <w:pStyle w:val="Heading3"/>
        <w:numPr>
          <w:ilvl w:val="3"/>
          <w:numId w:val="33"/>
        </w:numPr>
        <w:tabs>
          <w:tab w:pos="1323" w:val="left" w:leader="none"/>
        </w:tabs>
        <w:spacing w:line="240" w:lineRule="auto" w:before="1" w:after="0"/>
        <w:ind w:left="1323" w:right="0" w:hanging="604"/>
        <w:jc w:val="left"/>
        <w:rPr>
          <w:sz w:val="22"/>
        </w:rPr>
      </w:pPr>
      <w:r>
        <w:rPr/>
        <w:t>日常的预防措施</w:t>
      </w:r>
    </w:p>
    <w:p>
      <w:pPr>
        <w:pStyle w:val="BodyText"/>
        <w:spacing w:line="364" w:lineRule="auto" w:before="161"/>
        <w:ind w:right="249" w:firstLine="480"/>
        <w:jc w:val="both"/>
      </w:pPr>
      <w:r>
        <w:rPr/>
        <w:t>①把好大门入口关。猪场场区和生产区应设围墙或挖防疫沟，场区、生产区、猪舍门口设置脚踏消毒池和紫外线灯，生产区设更衣室。内部车辆出入须经消毒池，通过喷雾消毒后才能通行。大门口应设标识“防疫重地，谢绝参观”，设专人把手，严禁外来车辆和人员入场，进入生产区时必须洗手消毒并经紫外线消毒通道（有消毒水池和紫外线光）方可进入。</w:t>
      </w:r>
    </w:p>
    <w:p>
      <w:pPr>
        <w:pStyle w:val="BodyText"/>
        <w:spacing w:line="364" w:lineRule="auto" w:before="3"/>
        <w:ind w:right="249" w:firstLine="480"/>
        <w:jc w:val="both"/>
      </w:pPr>
      <w:r>
        <w:rPr/>
        <w:t>②防止交叉感染。各舍饲养员禁止窜场窜岗，以防止交叉感染。场区环境应该保持干净清洁，随时驱赶进入场区的野鸟，严防其粪便污染饲料和运动场；坚持定期的全场消毒和带猪消毒，发病期间要天天消毒；做好消毒灭鼠灭蚊蝇工作。病死猪和解剖病料必须做无害化处理，不得任其污染环境，造成人为疾病发生。</w:t>
      </w:r>
    </w:p>
    <w:p>
      <w:pPr>
        <w:pStyle w:val="BodyText"/>
        <w:spacing w:line="364" w:lineRule="auto" w:before="3"/>
        <w:ind w:right="249" w:firstLine="480"/>
      </w:pPr>
      <w:r>
        <w:rPr/>
        <w:t>③科学疾病防治。兽医对病死猪要勤于解剖，病料应进行实验室检验，依据药敏结果用药防治。初期投药后兽医应仍进行跟踪治疗，直到病愈为止。兽医根据药敏试验，</w:t>
      </w:r>
    </w:p>
    <w:p>
      <w:pPr>
        <w:spacing w:after="0" w:line="364" w:lineRule="auto"/>
        <w:sectPr>
          <w:pgSz w:w="11910" w:h="16840"/>
          <w:pgMar w:header="874" w:footer="1004" w:top="1400" w:bottom="1200" w:left="1040" w:right="1160"/>
        </w:sectPr>
      </w:pPr>
    </w:p>
    <w:p>
      <w:pPr>
        <w:pStyle w:val="BodyText"/>
        <w:spacing w:line="364" w:lineRule="auto" w:before="105"/>
        <w:ind w:right="249"/>
      </w:pPr>
      <w:r>
        <w:rPr/>
        <w:t>临床用药情况，发病日龄和季节结合生产实践，获得本场的用药程序。在选药时，避免使用假冒伪劣兽药而造成治疗和免疫失败，造成严重经济损失。</w:t>
      </w:r>
    </w:p>
    <w:p>
      <w:pPr>
        <w:pStyle w:val="BodyText"/>
        <w:spacing w:line="364" w:lineRule="auto" w:before="1"/>
        <w:ind w:right="249" w:firstLine="480"/>
        <w:jc w:val="both"/>
      </w:pPr>
      <w:r>
        <w:rPr/>
        <w:t>④做好基础免疫工作。为了预防传染病的发生，种猪场必须制定合理的免疫程序以保护猪群健康。种猪免疫应避开产蛋高峰期，雏猪免疫应考虑母源抗体的存在。使用油乳剂灭活苗时要预温，否则注射到皮下的疫苗形成疫苗团而不易吸收；夏季要保证充足饮水，选择凉爽时进行免疫。</w:t>
      </w:r>
    </w:p>
    <w:p>
      <w:pPr>
        <w:pStyle w:val="Heading3"/>
        <w:numPr>
          <w:ilvl w:val="3"/>
          <w:numId w:val="33"/>
        </w:numPr>
        <w:tabs>
          <w:tab w:pos="1323" w:val="left" w:leader="none"/>
        </w:tabs>
        <w:spacing w:line="240" w:lineRule="auto" w:before="3" w:after="0"/>
        <w:ind w:left="1323" w:right="0" w:hanging="604"/>
        <w:jc w:val="left"/>
        <w:rPr>
          <w:sz w:val="22"/>
        </w:rPr>
      </w:pPr>
      <w:r>
        <w:rPr/>
        <w:t>发生疫情时的紧急防制措施</w:t>
      </w:r>
    </w:p>
    <w:p>
      <w:pPr>
        <w:pStyle w:val="BodyText"/>
        <w:spacing w:before="160"/>
        <w:ind w:left="717"/>
      </w:pPr>
      <w:r>
        <w:rPr/>
        <w:t>①应立即组成防疫小组，尽快做出确切诊断，迅速向有关上级部门报告疫情。</w:t>
      </w:r>
    </w:p>
    <w:p>
      <w:pPr>
        <w:pStyle w:val="BodyText"/>
        <w:spacing w:line="364" w:lineRule="auto" w:before="161"/>
        <w:ind w:right="137" w:firstLine="480"/>
        <w:jc w:val="both"/>
      </w:pPr>
      <w:r>
        <w:rPr/>
        <w:t>②迅速隔离病猪，对危害较重的传染病应及时划区封锁，建立封锁带，出人人员和车辆要严格消毒，同时严格消毒污染环境。解除封锁的条件是在最后一只病猪痊愈或屠</w:t>
      </w:r>
      <w:r>
        <w:rPr>
          <w:spacing w:val="-4"/>
        </w:rPr>
        <w:t>宰后两个潜伏期内再无新病例出现，经全面消毒，报上级主管部门批准，方可解除封锁。</w:t>
      </w:r>
    </w:p>
    <w:p>
      <w:pPr>
        <w:pStyle w:val="BodyText"/>
        <w:spacing w:line="364" w:lineRule="auto" w:before="2"/>
        <w:ind w:right="254" w:firstLine="480"/>
      </w:pPr>
      <w:r>
        <w:rPr/>
        <w:t>③对病猪及封锁区内的猪只实行合理的综合防制措施，包括疫苗的紧急接种、抗生素疗法、高免血清的特异性疗法、化学疗法、增强体质和生理机能的辅助疗法等。</w:t>
      </w:r>
    </w:p>
    <w:p>
      <w:pPr>
        <w:pStyle w:val="Heading2"/>
        <w:numPr>
          <w:ilvl w:val="1"/>
          <w:numId w:val="33"/>
        </w:numPr>
        <w:tabs>
          <w:tab w:pos="730" w:val="left" w:leader="none"/>
        </w:tabs>
        <w:spacing w:line="240" w:lineRule="auto" w:before="53" w:after="0"/>
        <w:ind w:left="729" w:right="0" w:hanging="493"/>
        <w:jc w:val="left"/>
      </w:pPr>
      <w:bookmarkStart w:name="_bookmark46" w:id="89"/>
      <w:bookmarkEnd w:id="89"/>
      <w:r>
        <w:rPr>
          <w:b w:val="0"/>
        </w:rPr>
      </w:r>
      <w:bookmarkStart w:name="_bookmark46" w:id="90"/>
      <w:bookmarkEnd w:id="90"/>
      <w:r>
        <w:rPr/>
        <w:t>影响因素分析</w:t>
      </w:r>
    </w:p>
    <w:p>
      <w:pPr>
        <w:pStyle w:val="Heading3"/>
        <w:numPr>
          <w:ilvl w:val="2"/>
          <w:numId w:val="33"/>
        </w:numPr>
        <w:tabs>
          <w:tab w:pos="838" w:val="left" w:leader="none"/>
        </w:tabs>
        <w:spacing w:line="240" w:lineRule="auto" w:before="214" w:after="0"/>
        <w:ind w:left="837" w:right="0" w:hanging="601"/>
        <w:jc w:val="left"/>
      </w:pPr>
      <w:bookmarkStart w:name="_bookmark47" w:id="91"/>
      <w:bookmarkEnd w:id="91"/>
      <w:r>
        <w:rPr>
          <w:b w:val="0"/>
        </w:rPr>
      </w:r>
      <w:bookmarkStart w:name="_bookmark47" w:id="92"/>
      <w:bookmarkEnd w:id="92"/>
      <w:r>
        <w:rPr/>
        <w:t>生产工艺流程及产污节点分析</w:t>
      </w:r>
    </w:p>
    <w:p>
      <w:pPr>
        <w:spacing w:before="160"/>
        <w:ind w:left="719" w:right="0" w:firstLine="0"/>
        <w:jc w:val="left"/>
        <w:rPr>
          <w:b/>
          <w:sz w:val="24"/>
        </w:rPr>
      </w:pPr>
      <w:r>
        <w:rPr/>
        <w:pict>
          <v:group style="position:absolute;margin-left:227.26442pt;margin-top:46.615551pt;width:45.2pt;height:4.55pt;mso-position-horizontal-relative:page;mso-position-vertical-relative:paragraph;z-index:251685888" coordorigin="4545,932" coordsize="904,91">
            <v:line style="position:absolute" from="4545,972" to="5328,972" stroked="true" strokeweight=".480184pt" strokecolor="#000000">
              <v:stroke dashstyle="solid"/>
            </v:line>
            <v:shape style="position:absolute;left:5318;top:932;width:131;height:91" coordorigin="5318,932" coordsize="131,91" path="m5318,932l5318,1022,5449,972,5318,932xe" filled="true" fillcolor="#000000" stroked="false">
              <v:path arrowok="t"/>
              <v:fill type="solid"/>
            </v:shape>
            <w10:wrap type="none"/>
          </v:group>
        </w:pict>
      </w:r>
      <w:r>
        <w:rPr/>
        <w:pict>
          <v:group style="position:absolute;margin-left:326.162323pt;margin-top:46.615559pt;width:45.2pt;height:4.55pt;mso-position-horizontal-relative:page;mso-position-vertical-relative:paragraph;z-index:251686912" coordorigin="6523,932" coordsize="904,91">
            <v:line style="position:absolute" from="6523,972" to="7306,972" stroked="true" strokeweight=".480184pt" strokecolor="#000000">
              <v:stroke dashstyle="solid"/>
            </v:line>
            <v:shape style="position:absolute;left:7296;top:932;width:131;height:91" coordorigin="7296,932" coordsize="131,91" path="m7296,932l7296,1022,7427,972,7296,932xe" filled="true" fillcolor="#000000" stroked="false">
              <v:path arrowok="t"/>
              <v:fill type="solid"/>
            </v:shape>
            <w10:wrap type="none"/>
          </v:group>
        </w:pict>
      </w:r>
      <w:r>
        <w:rPr/>
        <w:pict>
          <v:group style="position:absolute;margin-left:425.060211pt;margin-top:46.615562pt;width:45.2pt;height:4.55pt;mso-position-horizontal-relative:page;mso-position-vertical-relative:paragraph;z-index:251692032" coordorigin="8501,932" coordsize="904,91">
            <v:line style="position:absolute" from="8501,972" to="9284,972" stroked="true" strokeweight=".480184pt" strokecolor="#000000">
              <v:stroke dashstyle="solid"/>
            </v:line>
            <v:shape style="position:absolute;left:9274;top:932;width:131;height:91" coordorigin="9274,932" coordsize="131,91" path="m9274,932l9274,1022,9405,972,9274,932xe" filled="true" fillcolor="#000000" stroked="false">
              <v:path arrowok="t"/>
              <v:fill type="solid"/>
            </v:shape>
            <w10:wrap type="none"/>
          </v:group>
        </w:pict>
      </w:r>
      <w:r>
        <w:rPr/>
        <w:pict>
          <v:group style="position:absolute;margin-left:131.880646pt;margin-top:46.615547pt;width:41.7pt;height:4.55pt;mso-position-horizontal-relative:page;mso-position-vertical-relative:paragraph;z-index:251693056" coordorigin="2638,932" coordsize="834,91">
            <v:line style="position:absolute" from="2638,972" to="3350,972" stroked="true" strokeweight=".480184pt" strokecolor="#000000">
              <v:stroke dashstyle="solid"/>
            </v:line>
            <v:shape style="position:absolute;left:3340;top:932;width:131;height:91" coordorigin="3340,932" coordsize="131,91" path="m3340,932l3340,1022,3471,972,3340,932xe" filled="true" fillcolor="#000000" stroked="false">
              <v:path arrowok="t"/>
              <v:fill type="solid"/>
            </v:shape>
            <w10:wrap type="none"/>
          </v:group>
        </w:pict>
      </w:r>
      <w:r>
        <w:rPr>
          <w:rFonts w:ascii="Times New Roman" w:eastAsia="Times New Roman"/>
          <w:b/>
          <w:sz w:val="24"/>
        </w:rPr>
        <w:t>1</w:t>
      </w:r>
      <w:r>
        <w:rPr>
          <w:b/>
          <w:sz w:val="24"/>
        </w:rPr>
        <w:t>、饲养工艺流程</w:t>
      </w:r>
    </w:p>
    <w:p>
      <w:pPr>
        <w:pStyle w:val="BodyText"/>
        <w:spacing w:before="12"/>
        <w:ind w:left="0"/>
        <w:rPr>
          <w:b/>
          <w:sz w:val="14"/>
        </w:rPr>
      </w:pPr>
      <w:r>
        <w:rPr/>
        <w:pict>
          <v:shape style="position:absolute;margin-left:74.148369pt;margin-top:11.773777pt;width:57.75pt;height:27.05pt;mso-position-horizontal-relative:page;mso-position-vertical-relative:paragraph;z-index:-251635712;mso-wrap-distance-left:0;mso-wrap-distance-right:0" type="#_x0000_t202" filled="false" stroked="true" strokeweight=".480504pt" strokecolor="#000000">
            <v:textbox inset="0,0,0,0">
              <w:txbxContent>
                <w:p>
                  <w:pPr>
                    <w:spacing w:before="161"/>
                    <w:ind w:left="52" w:right="0" w:firstLine="0"/>
                    <w:jc w:val="left"/>
                    <w:rPr>
                      <w:sz w:val="16"/>
                    </w:rPr>
                  </w:pPr>
                  <w:r>
                    <w:rPr>
                      <w:sz w:val="16"/>
                    </w:rPr>
                    <w:t>配种妊娠</w:t>
                  </w:r>
                  <w:r>
                    <w:rPr>
                      <w:rFonts w:ascii="Times New Roman" w:eastAsia="Times New Roman"/>
                      <w:sz w:val="16"/>
                    </w:rPr>
                    <w:t>114</w:t>
                  </w:r>
                  <w:r>
                    <w:rPr>
                      <w:sz w:val="16"/>
                    </w:rPr>
                    <w:t>天</w:t>
                  </w:r>
                </w:p>
              </w:txbxContent>
            </v:textbox>
            <v:stroke dashstyle="solid"/>
            <w10:wrap type="topAndBottom"/>
          </v:shape>
        </w:pict>
      </w:r>
      <w:r>
        <w:rPr/>
        <w:pict>
          <v:shape style="position:absolute;margin-left:173.548294pt;margin-top:11.773783pt;width:53.75pt;height:27.05pt;mso-position-horizontal-relative:page;mso-position-vertical-relative:paragraph;z-index:-251634688;mso-wrap-distance-left:0;mso-wrap-distance-right:0" type="#_x0000_t202" filled="false" stroked="true" strokeweight=".480543pt" strokecolor="#000000">
            <v:textbox inset="0,0,0,0">
              <w:txbxContent>
                <w:p>
                  <w:pPr>
                    <w:spacing w:before="161"/>
                    <w:ind w:left="208" w:right="0" w:firstLine="0"/>
                    <w:jc w:val="left"/>
                    <w:rPr>
                      <w:sz w:val="16"/>
                    </w:rPr>
                  </w:pPr>
                  <w:r>
                    <w:rPr>
                      <w:sz w:val="16"/>
                    </w:rPr>
                    <w:t>分娩</w:t>
                  </w:r>
                  <w:r>
                    <w:rPr>
                      <w:rFonts w:ascii="Times New Roman" w:eastAsia="Times New Roman"/>
                      <w:sz w:val="16"/>
                    </w:rPr>
                    <w:t>25</w:t>
                  </w:r>
                  <w:r>
                    <w:rPr>
                      <w:sz w:val="16"/>
                    </w:rPr>
                    <w:t>天</w:t>
                  </w:r>
                </w:p>
              </w:txbxContent>
            </v:textbox>
            <v:stroke dashstyle="solid"/>
            <w10:wrap type="topAndBottom"/>
          </v:shape>
        </w:pict>
      </w:r>
      <w:r>
        <w:rPr/>
        <w:pict>
          <v:shape style="position:absolute;margin-left:272.446198pt;margin-top:11.773789pt;width:53.75pt;height:27.05pt;mso-position-horizontal-relative:page;mso-position-vertical-relative:paragraph;z-index:-251633664;mso-wrap-distance-left:0;mso-wrap-distance-right:0" type="#_x0000_t202" filled="false" stroked="true" strokeweight=".480543pt" strokecolor="#000000">
            <v:textbox inset="0,0,0,0">
              <w:txbxContent>
                <w:p>
                  <w:pPr>
                    <w:spacing w:before="161"/>
                    <w:ind w:left="209" w:right="0" w:firstLine="0"/>
                    <w:jc w:val="left"/>
                    <w:rPr>
                      <w:sz w:val="16"/>
                    </w:rPr>
                  </w:pPr>
                  <w:r>
                    <w:rPr>
                      <w:sz w:val="16"/>
                    </w:rPr>
                    <w:t>保育</w:t>
                  </w:r>
                  <w:r>
                    <w:rPr>
                      <w:rFonts w:ascii="Times New Roman" w:eastAsia="Times New Roman"/>
                      <w:sz w:val="16"/>
                    </w:rPr>
                    <w:t>45</w:t>
                  </w:r>
                  <w:r>
                    <w:rPr>
                      <w:sz w:val="16"/>
                    </w:rPr>
                    <w:t>天</w:t>
                  </w:r>
                </w:p>
              </w:txbxContent>
            </v:textbox>
            <v:stroke dashstyle="solid"/>
            <w10:wrap type="topAndBottom"/>
          </v:shape>
        </w:pict>
      </w:r>
      <w:r>
        <w:rPr/>
        <w:pict>
          <v:shape style="position:absolute;margin-left:371.344086pt;margin-top:11.773795pt;width:53.75pt;height:27.05pt;mso-position-horizontal-relative:page;mso-position-vertical-relative:paragraph;z-index:-251632640;mso-wrap-distance-left:0;mso-wrap-distance-right:0" type="#_x0000_t202" filled="false" stroked="true" strokeweight=".480543pt" strokecolor="#000000">
            <v:textbox inset="0,0,0,0">
              <w:txbxContent>
                <w:p>
                  <w:pPr>
                    <w:spacing w:before="161"/>
                    <w:ind w:left="170" w:right="0" w:firstLine="0"/>
                    <w:jc w:val="left"/>
                    <w:rPr>
                      <w:sz w:val="16"/>
                    </w:rPr>
                  </w:pPr>
                  <w:r>
                    <w:rPr>
                      <w:sz w:val="16"/>
                    </w:rPr>
                    <w:t>育肥</w:t>
                  </w:r>
                  <w:r>
                    <w:rPr>
                      <w:rFonts w:ascii="Times New Roman" w:eastAsia="Times New Roman"/>
                      <w:sz w:val="16"/>
                    </w:rPr>
                    <w:t>180</w:t>
                  </w:r>
                  <w:r>
                    <w:rPr>
                      <w:sz w:val="16"/>
                    </w:rPr>
                    <w:t>天</w:t>
                  </w:r>
                </w:p>
              </w:txbxContent>
            </v:textbox>
            <v:stroke dashstyle="solid"/>
            <w10:wrap type="topAndBottom"/>
          </v:shape>
        </w:pict>
      </w:r>
      <w:r>
        <w:rPr/>
        <w:pict>
          <v:shape style="position:absolute;margin-left:470.242004pt;margin-top:11.773801pt;width:44.7pt;height:27.05pt;mso-position-horizontal-relative:page;mso-position-vertical-relative:paragraph;z-index:-251631616;mso-wrap-distance-left:0;mso-wrap-distance-right:0" type="#_x0000_t202" filled="false" stroked="true" strokeweight=".480659pt" strokecolor="#000000">
            <v:textbox inset="0,0,0,0">
              <w:txbxContent>
                <w:p>
                  <w:pPr>
                    <w:pStyle w:val="BodyText"/>
                    <w:spacing w:before="7"/>
                    <w:ind w:left="0"/>
                    <w:rPr>
                      <w:b/>
                      <w:sz w:val="12"/>
                    </w:rPr>
                  </w:pPr>
                </w:p>
                <w:p>
                  <w:pPr>
                    <w:spacing w:before="0"/>
                    <w:ind w:left="121" w:right="0" w:firstLine="0"/>
                    <w:jc w:val="left"/>
                    <w:rPr>
                      <w:sz w:val="16"/>
                    </w:rPr>
                  </w:pPr>
                  <w:r>
                    <w:rPr>
                      <w:sz w:val="16"/>
                    </w:rPr>
                    <w:t>肥猪出售</w:t>
                  </w:r>
                </w:p>
              </w:txbxContent>
            </v:textbox>
            <v:stroke dashstyle="solid"/>
            <w10:wrap type="topAndBottom"/>
          </v:shape>
        </w:pict>
      </w:r>
    </w:p>
    <w:p>
      <w:pPr>
        <w:pStyle w:val="BodyText"/>
        <w:spacing w:before="3"/>
        <w:ind w:left="0"/>
        <w:rPr>
          <w:b/>
          <w:sz w:val="22"/>
        </w:rPr>
      </w:pPr>
    </w:p>
    <w:p>
      <w:pPr>
        <w:spacing w:after="0"/>
        <w:rPr>
          <w:sz w:val="22"/>
        </w:rPr>
        <w:sectPr>
          <w:pgSz w:w="11910" w:h="16840"/>
          <w:pgMar w:header="874" w:footer="1004" w:top="1400" w:bottom="1200" w:left="1040" w:right="1160"/>
        </w:sectPr>
      </w:pPr>
    </w:p>
    <w:p>
      <w:pPr>
        <w:spacing w:before="82"/>
        <w:ind w:left="527" w:right="0" w:firstLine="0"/>
        <w:jc w:val="left"/>
        <w:rPr>
          <w:rFonts w:ascii="Times New Roman" w:eastAsia="Times New Roman"/>
          <w:sz w:val="16"/>
        </w:rPr>
      </w:pPr>
      <w:r>
        <w:rPr/>
        <w:pict>
          <v:group style="position:absolute;margin-left:297.045166pt;margin-top:-15.976768pt;width:4.55pt;height:18.05pt;mso-position-horizontal-relative:page;mso-position-vertical-relative:paragraph;z-index:251687936" coordorigin="5941,-320" coordsize="91,361">
            <v:line style="position:absolute" from="5981,-320" to="5981,-79" stroked="true" strokeweight=".481939pt" strokecolor="#000000">
              <v:stroke dashstyle="solid"/>
            </v:line>
            <v:shape style="position:absolute;left:5940;top:-90;width:91;height:131" coordorigin="5941,-89" coordsize="91,131" path="m6031,-89l5941,-89,5981,41,6031,-89xe" filled="true" fillcolor="#000000" stroked="false">
              <v:path arrowok="t"/>
              <v:fill type="solid"/>
            </v:shape>
            <w10:wrap type="none"/>
          </v:group>
        </w:pict>
      </w:r>
      <w:r>
        <w:rPr/>
        <w:pict>
          <v:group style="position:absolute;margin-left:395.943054pt;margin-top:-15.976762pt;width:4.55pt;height:18.05pt;mso-position-horizontal-relative:page;mso-position-vertical-relative:paragraph;z-index:251688960" coordorigin="7919,-320" coordsize="91,361">
            <v:line style="position:absolute" from="7959,-320" to="7959,-79" stroked="true" strokeweight=".481939pt" strokecolor="#000000">
              <v:stroke dashstyle="solid"/>
            </v:line>
            <v:shape style="position:absolute;left:7918;top:-90;width:91;height:131" coordorigin="7919,-89" coordsize="91,131" path="m8009,-89l7919,-89,7959,41,8009,-89xe" filled="true" fillcolor="#000000" stroked="false">
              <v:path arrowok="t"/>
              <v:fill type="solid"/>
            </v:shape>
            <w10:wrap type="none"/>
          </v:group>
        </w:pict>
      </w:r>
      <w:r>
        <w:rPr/>
        <w:pict>
          <v:group style="position:absolute;margin-left:198.147263pt;margin-top:-15.976773pt;width:4.55pt;height:18.05pt;mso-position-horizontal-relative:page;mso-position-vertical-relative:paragraph;z-index:251689984" coordorigin="3963,-320" coordsize="91,361">
            <v:line style="position:absolute" from="4003,-320" to="4003,-79" stroked="true" strokeweight=".481939pt" strokecolor="#000000">
              <v:stroke dashstyle="solid"/>
            </v:line>
            <v:shape style="position:absolute;left:3962;top:-90;width:91;height:131" coordorigin="3963,-89" coordsize="91,131" path="m4053,-89l3963,-89,4003,41,4053,-89xe" filled="true" fillcolor="#000000" stroked="false">
              <v:path arrowok="t"/>
              <v:fill type="solid"/>
            </v:shape>
            <w10:wrap type="none"/>
          </v:group>
        </w:pict>
      </w:r>
      <w:r>
        <w:rPr/>
        <w:pict>
          <v:group style="position:absolute;margin-left:99.249367pt;margin-top:-15.976779pt;width:4.05pt;height:18.05pt;mso-position-horizontal-relative:page;mso-position-vertical-relative:paragraph;z-index:251691008" coordorigin="1985,-320" coordsize="81,361">
            <v:line style="position:absolute" from="2025,-320" to="2025,-79" stroked="true" strokeweight=".481939pt" strokecolor="#000000">
              <v:stroke dashstyle="solid"/>
            </v:line>
            <v:shape style="position:absolute;left:1984;top:-90;width:81;height:131" coordorigin="1985,-89" coordsize="81,131" path="m2065,-89l1985,-89,2025,41,2065,-89xe" filled="true" fillcolor="#000000" stroked="false">
              <v:path arrowok="t"/>
              <v:fill type="solid"/>
            </v:shape>
            <w10:wrap type="none"/>
          </v:group>
        </w:pict>
      </w:r>
      <w:r>
        <w:rPr>
          <w:rFonts w:ascii="Times New Roman" w:eastAsia="Times New Roman"/>
          <w:sz w:val="16"/>
        </w:rPr>
        <w:t>G1</w:t>
      </w:r>
      <w:r>
        <w:rPr>
          <w:sz w:val="16"/>
        </w:rPr>
        <w:t>、</w:t>
      </w:r>
      <w:r>
        <w:rPr>
          <w:rFonts w:ascii="Times New Roman" w:eastAsia="Times New Roman"/>
          <w:sz w:val="16"/>
        </w:rPr>
        <w:t>W1</w:t>
      </w:r>
      <w:r>
        <w:rPr>
          <w:sz w:val="16"/>
        </w:rPr>
        <w:t>、</w:t>
      </w:r>
      <w:r>
        <w:rPr>
          <w:rFonts w:ascii="Times New Roman" w:eastAsia="Times New Roman"/>
          <w:sz w:val="16"/>
        </w:rPr>
        <w:t>S1</w:t>
      </w:r>
    </w:p>
    <w:p>
      <w:pPr>
        <w:spacing w:before="82"/>
        <w:ind w:left="527" w:right="0" w:firstLine="0"/>
        <w:jc w:val="left"/>
        <w:rPr>
          <w:rFonts w:ascii="Times New Roman" w:eastAsia="Times New Roman"/>
          <w:sz w:val="16"/>
        </w:rPr>
      </w:pPr>
      <w:r>
        <w:rPr/>
        <w:br w:type="column"/>
      </w:r>
      <w:r>
        <w:rPr>
          <w:rFonts w:ascii="Times New Roman" w:eastAsia="Times New Roman"/>
          <w:sz w:val="16"/>
        </w:rPr>
        <w:t>G1</w:t>
      </w:r>
      <w:r>
        <w:rPr>
          <w:sz w:val="16"/>
        </w:rPr>
        <w:t>、</w:t>
      </w:r>
      <w:r>
        <w:rPr>
          <w:rFonts w:ascii="Times New Roman" w:eastAsia="Times New Roman"/>
          <w:sz w:val="16"/>
        </w:rPr>
        <w:t>W1</w:t>
      </w:r>
      <w:r>
        <w:rPr>
          <w:sz w:val="16"/>
        </w:rPr>
        <w:t>、</w:t>
      </w:r>
      <w:r>
        <w:rPr>
          <w:rFonts w:ascii="Times New Roman" w:eastAsia="Times New Roman"/>
          <w:sz w:val="16"/>
        </w:rPr>
        <w:t>S1</w:t>
      </w:r>
    </w:p>
    <w:p>
      <w:pPr>
        <w:tabs>
          <w:tab w:pos="2506" w:val="left" w:leader="none"/>
        </w:tabs>
        <w:spacing w:before="82"/>
        <w:ind w:left="527" w:right="0" w:firstLine="0"/>
        <w:jc w:val="left"/>
        <w:rPr>
          <w:rFonts w:ascii="Times New Roman" w:eastAsia="Times New Roman"/>
          <w:sz w:val="16"/>
        </w:rPr>
      </w:pPr>
      <w:r>
        <w:rPr/>
        <w:br w:type="column"/>
      </w:r>
      <w:r>
        <w:rPr>
          <w:rFonts w:ascii="Times New Roman" w:eastAsia="Times New Roman"/>
          <w:sz w:val="16"/>
        </w:rPr>
        <w:t>G1</w:t>
      </w:r>
      <w:r>
        <w:rPr>
          <w:sz w:val="16"/>
        </w:rPr>
        <w:t>、</w:t>
      </w:r>
      <w:r>
        <w:rPr>
          <w:rFonts w:ascii="Times New Roman" w:eastAsia="Times New Roman"/>
          <w:sz w:val="16"/>
        </w:rPr>
        <w:t>W1</w:t>
      </w:r>
      <w:r>
        <w:rPr>
          <w:sz w:val="16"/>
        </w:rPr>
        <w:t>、</w:t>
      </w:r>
      <w:r>
        <w:rPr>
          <w:rFonts w:ascii="Times New Roman" w:eastAsia="Times New Roman"/>
          <w:sz w:val="16"/>
        </w:rPr>
        <w:t>S1</w:t>
        <w:tab/>
        <w:t>G1</w:t>
      </w:r>
      <w:r>
        <w:rPr>
          <w:sz w:val="16"/>
        </w:rPr>
        <w:t>、</w:t>
      </w:r>
      <w:r>
        <w:rPr>
          <w:rFonts w:ascii="Times New Roman" w:eastAsia="Times New Roman"/>
          <w:sz w:val="16"/>
        </w:rPr>
        <w:t>W1</w:t>
      </w:r>
      <w:r>
        <w:rPr>
          <w:sz w:val="16"/>
        </w:rPr>
        <w:t>、</w:t>
      </w:r>
      <w:r>
        <w:rPr>
          <w:rFonts w:ascii="Times New Roman" w:eastAsia="Times New Roman"/>
          <w:sz w:val="16"/>
        </w:rPr>
        <w:t>S1</w:t>
      </w:r>
    </w:p>
    <w:p>
      <w:pPr>
        <w:spacing w:after="0"/>
        <w:jc w:val="left"/>
        <w:rPr>
          <w:rFonts w:ascii="Times New Roman" w:eastAsia="Times New Roman"/>
          <w:sz w:val="16"/>
        </w:rPr>
        <w:sectPr>
          <w:type w:val="continuous"/>
          <w:pgSz w:w="11910" w:h="16840"/>
          <w:pgMar w:top="1400" w:bottom="1200" w:left="1040" w:right="1160"/>
          <w:cols w:num="3" w:equalWidth="0">
            <w:col w:w="1487" w:space="492"/>
            <w:col w:w="1487" w:space="492"/>
            <w:col w:w="5752"/>
          </w:cols>
        </w:sectPr>
      </w:pPr>
    </w:p>
    <w:p>
      <w:pPr>
        <w:pStyle w:val="BodyText"/>
        <w:spacing w:before="10"/>
        <w:ind w:left="0"/>
        <w:rPr>
          <w:rFonts w:ascii="Times New Roman"/>
          <w:sz w:val="22"/>
        </w:rPr>
      </w:pPr>
    </w:p>
    <w:p>
      <w:pPr>
        <w:spacing w:after="0"/>
        <w:rPr>
          <w:rFonts w:ascii="Times New Roman"/>
          <w:sz w:val="22"/>
        </w:rPr>
        <w:sectPr>
          <w:type w:val="continuous"/>
          <w:pgSz w:w="11910" w:h="16840"/>
          <w:pgMar w:top="1400" w:bottom="1200" w:left="1040" w:right="1160"/>
        </w:sectPr>
      </w:pPr>
    </w:p>
    <w:p>
      <w:pPr>
        <w:pStyle w:val="BodyText"/>
        <w:ind w:left="0"/>
        <w:rPr>
          <w:rFonts w:ascii="Times New Roman"/>
        </w:rPr>
      </w:pPr>
    </w:p>
    <w:p>
      <w:pPr>
        <w:pStyle w:val="BodyText"/>
        <w:spacing w:before="4"/>
        <w:ind w:left="0"/>
        <w:rPr>
          <w:rFonts w:ascii="Times New Roman"/>
          <w:sz w:val="23"/>
        </w:rPr>
      </w:pPr>
    </w:p>
    <w:p>
      <w:pPr>
        <w:pStyle w:val="Heading3"/>
        <w:spacing w:before="0"/>
      </w:pPr>
      <w:r>
        <w:rPr/>
        <w:t>工艺流程简述：</w:t>
      </w:r>
    </w:p>
    <w:p>
      <w:pPr>
        <w:pStyle w:val="ListParagraph"/>
        <w:numPr>
          <w:ilvl w:val="0"/>
          <w:numId w:val="34"/>
        </w:numPr>
        <w:tabs>
          <w:tab w:pos="1079" w:val="left" w:leader="none"/>
        </w:tabs>
        <w:spacing w:line="240" w:lineRule="auto" w:before="160" w:after="0"/>
        <w:ind w:left="1078" w:right="0" w:hanging="362"/>
        <w:jc w:val="left"/>
        <w:rPr>
          <w:sz w:val="24"/>
        </w:rPr>
      </w:pPr>
      <w:r>
        <w:rPr>
          <w:spacing w:val="-4"/>
          <w:sz w:val="24"/>
        </w:rPr>
        <w:t>配种妊娠阶段</w:t>
      </w:r>
    </w:p>
    <w:p>
      <w:pPr>
        <w:pStyle w:val="Heading3"/>
        <w:spacing w:before="76"/>
        <w:ind w:left="717"/>
      </w:pPr>
      <w:r>
        <w:rPr>
          <w:b w:val="0"/>
        </w:rPr>
        <w:br w:type="column"/>
      </w:r>
      <w:r>
        <w:rPr/>
        <w:t>图 </w:t>
      </w:r>
      <w:r>
        <w:rPr>
          <w:rFonts w:ascii="Times New Roman" w:eastAsia="Times New Roman"/>
        </w:rPr>
        <w:t>3.2-1  </w:t>
      </w:r>
      <w:r>
        <w:rPr/>
        <w:t>猪场饲养工艺流程图</w:t>
      </w:r>
    </w:p>
    <w:p>
      <w:pPr>
        <w:spacing w:after="0"/>
        <w:sectPr>
          <w:type w:val="continuous"/>
          <w:pgSz w:w="11910" w:h="16840"/>
          <w:pgMar w:top="1400" w:bottom="1200" w:left="1040" w:right="1160"/>
          <w:cols w:num="2" w:equalWidth="0">
            <w:col w:w="2518" w:space="65"/>
            <w:col w:w="7127"/>
          </w:cols>
        </w:sectPr>
      </w:pPr>
    </w:p>
    <w:p>
      <w:pPr>
        <w:pStyle w:val="BodyText"/>
        <w:spacing w:line="364" w:lineRule="auto" w:before="162"/>
        <w:ind w:right="249" w:firstLine="480"/>
      </w:pPr>
      <w:r>
        <w:rPr>
          <w:spacing w:val="-1"/>
        </w:rPr>
        <w:t>配种妊娠阶段母猪要完成配种并度过妊娠期，配种后生产母猪在妊娠舍饲养 </w:t>
      </w:r>
      <w:r>
        <w:rPr>
          <w:rFonts w:ascii="Times New Roman" w:eastAsia="Times New Roman"/>
          <w:position w:val="1"/>
        </w:rPr>
        <w:t>114 </w:t>
      </w:r>
      <w:r>
        <w:rPr>
          <w:spacing w:val="-17"/>
        </w:rPr>
        <w:t>天</w:t>
      </w:r>
      <w:r>
        <w:rPr/>
        <w:t>后，提前一周进入分娩舍。妊娠舍单头笼养，控制膘情，减少争食应激，提高受胎率。</w:t>
      </w:r>
    </w:p>
    <w:p>
      <w:pPr>
        <w:pStyle w:val="ListParagraph"/>
        <w:numPr>
          <w:ilvl w:val="0"/>
          <w:numId w:val="34"/>
        </w:numPr>
        <w:tabs>
          <w:tab w:pos="1079" w:val="left" w:leader="none"/>
        </w:tabs>
        <w:spacing w:line="240" w:lineRule="auto" w:before="1" w:after="0"/>
        <w:ind w:left="1078" w:right="0" w:hanging="362"/>
        <w:jc w:val="left"/>
        <w:rPr>
          <w:sz w:val="24"/>
        </w:rPr>
      </w:pPr>
      <w:r>
        <w:rPr>
          <w:sz w:val="24"/>
        </w:rPr>
        <w:t>分娩泌乳阶段</w:t>
      </w:r>
    </w:p>
    <w:p>
      <w:pPr>
        <w:pStyle w:val="BodyText"/>
        <w:spacing w:line="364" w:lineRule="auto" w:before="160"/>
        <w:ind w:right="252" w:firstLine="480"/>
      </w:pPr>
      <w:r>
        <w:rPr/>
        <w:t>产仔哺乳阶段完成分娩和对仔猪的哺育。仔猪的哺育期一般为 </w:t>
      </w:r>
      <w:r>
        <w:rPr>
          <w:rFonts w:ascii="Times New Roman" w:eastAsia="Times New Roman"/>
          <w:position w:val="1"/>
        </w:rPr>
        <w:t>3~4 </w:t>
      </w:r>
      <w:r>
        <w:rPr/>
        <w:t>周。断奶后仔猪转入保育舍，母猪返回配种。</w:t>
      </w:r>
    </w:p>
    <w:p>
      <w:pPr>
        <w:pStyle w:val="ListParagraph"/>
        <w:numPr>
          <w:ilvl w:val="0"/>
          <w:numId w:val="34"/>
        </w:numPr>
        <w:tabs>
          <w:tab w:pos="1079" w:val="left" w:leader="none"/>
        </w:tabs>
        <w:spacing w:line="240" w:lineRule="auto" w:before="1" w:after="0"/>
        <w:ind w:left="1078" w:right="0" w:hanging="362"/>
        <w:jc w:val="left"/>
        <w:rPr>
          <w:sz w:val="24"/>
        </w:rPr>
      </w:pPr>
      <w:r>
        <w:rPr>
          <w:sz w:val="24"/>
        </w:rPr>
        <w:t>仔猪保育阶段</w:t>
      </w:r>
    </w:p>
    <w:p>
      <w:pPr>
        <w:pStyle w:val="BodyText"/>
        <w:spacing w:before="161"/>
        <w:ind w:left="717"/>
      </w:pPr>
      <w:r>
        <w:rPr/>
        <w:t>仔猪小群饲养，在保育舍经 </w:t>
      </w:r>
      <w:r>
        <w:rPr>
          <w:rFonts w:ascii="Times New Roman" w:eastAsia="Times New Roman"/>
          <w:position w:val="1"/>
        </w:rPr>
        <w:t>45 </w:t>
      </w:r>
      <w:r>
        <w:rPr/>
        <w:t>天培育后转入育肥舍饲养。</w:t>
      </w:r>
    </w:p>
    <w:p>
      <w:pPr>
        <w:spacing w:after="0"/>
        <w:sectPr>
          <w:type w:val="continuous"/>
          <w:pgSz w:w="11910" w:h="16840"/>
          <w:pgMar w:top="1400" w:bottom="1200" w:left="1040" w:right="1160"/>
        </w:sectPr>
      </w:pPr>
    </w:p>
    <w:p>
      <w:pPr>
        <w:pStyle w:val="ListParagraph"/>
        <w:numPr>
          <w:ilvl w:val="0"/>
          <w:numId w:val="34"/>
        </w:numPr>
        <w:tabs>
          <w:tab w:pos="1079" w:val="left" w:leader="none"/>
        </w:tabs>
        <w:spacing w:line="240" w:lineRule="auto" w:before="105" w:after="0"/>
        <w:ind w:left="1078" w:right="0" w:hanging="362"/>
        <w:jc w:val="left"/>
        <w:rPr>
          <w:sz w:val="24"/>
        </w:rPr>
      </w:pPr>
      <w:r>
        <w:rPr>
          <w:sz w:val="24"/>
        </w:rPr>
        <w:t>生长育肥阶段</w:t>
      </w:r>
    </w:p>
    <w:p>
      <w:pPr>
        <w:pStyle w:val="BodyText"/>
        <w:spacing w:line="364" w:lineRule="auto" w:before="161"/>
        <w:ind w:right="252" w:firstLine="480"/>
      </w:pPr>
      <w:r>
        <w:rPr>
          <w:spacing w:val="-5"/>
        </w:rPr>
        <w:t>保育猪在育肥舍饲养至月龄 </w:t>
      </w:r>
      <w:r>
        <w:rPr>
          <w:rFonts w:ascii="Times New Roman" w:eastAsia="Times New Roman"/>
          <w:spacing w:val="-3"/>
          <w:position w:val="1"/>
        </w:rPr>
        <w:t>9~11 </w:t>
      </w:r>
      <w:r>
        <w:rPr>
          <w:spacing w:val="-8"/>
        </w:rPr>
        <w:t>月出栏出售，即育肥舍养殖约 </w:t>
      </w:r>
      <w:r>
        <w:rPr>
          <w:rFonts w:ascii="Times New Roman" w:eastAsia="Times New Roman"/>
          <w:position w:val="1"/>
        </w:rPr>
        <w:t>6~8 </w:t>
      </w:r>
      <w:r>
        <w:rPr>
          <w:spacing w:val="-7"/>
        </w:rPr>
        <w:t>个月，此时商品</w:t>
      </w:r>
      <w:r>
        <w:rPr>
          <w:spacing w:val="-16"/>
        </w:rPr>
        <w:t>猪体重 </w:t>
      </w:r>
      <w:r>
        <w:rPr>
          <w:rFonts w:ascii="Times New Roman" w:eastAsia="Times New Roman"/>
          <w:position w:val="1"/>
        </w:rPr>
        <w:t>120~130 </w:t>
      </w:r>
      <w:r>
        <w:rPr/>
        <w:t>公斤。</w:t>
      </w:r>
    </w:p>
    <w:p>
      <w:pPr>
        <w:pStyle w:val="Heading3"/>
        <w:spacing w:before="1"/>
      </w:pPr>
      <w:r>
        <w:rPr>
          <w:rFonts w:ascii="Times New Roman" w:eastAsia="Times New Roman"/>
        </w:rPr>
        <w:t>2</w:t>
      </w:r>
      <w:r>
        <w:rPr/>
        <w:t>、项目生态养殖模式</w:t>
      </w:r>
    </w:p>
    <w:p>
      <w:pPr>
        <w:pStyle w:val="BodyText"/>
        <w:spacing w:line="364" w:lineRule="auto" w:before="160"/>
        <w:ind w:right="255" w:firstLine="480"/>
        <w:jc w:val="both"/>
      </w:pPr>
      <w:r>
        <w:rPr>
          <w:spacing w:val="4"/>
        </w:rPr>
        <w:t>本项目将采用</w:t>
      </w:r>
      <w:r>
        <w:rPr>
          <w:rFonts w:ascii="Times New Roman" w:hAnsi="Times New Roman" w:eastAsia="Times New Roman"/>
          <w:spacing w:val="6"/>
          <w:position w:val="1"/>
        </w:rPr>
        <w:t>“</w:t>
      </w:r>
      <w:r>
        <w:rPr>
          <w:spacing w:val="4"/>
        </w:rPr>
        <w:t>猪舍采用全自动机械清粪</w:t>
      </w:r>
      <w:r>
        <w:rPr>
          <w:rFonts w:ascii="Times New Roman" w:hAnsi="Times New Roman" w:eastAsia="Times New Roman"/>
          <w:spacing w:val="3"/>
          <w:position w:val="1"/>
        </w:rPr>
        <w:t>+</w:t>
      </w:r>
      <w:r>
        <w:rPr>
          <w:spacing w:val="4"/>
        </w:rPr>
        <w:t>猪粪密闭式高温发酵罐</w:t>
      </w:r>
      <w:r>
        <w:rPr>
          <w:rFonts w:ascii="Times New Roman" w:hAnsi="Times New Roman" w:eastAsia="Times New Roman"/>
          <w:spacing w:val="6"/>
          <w:position w:val="1"/>
        </w:rPr>
        <w:t>+</w:t>
      </w:r>
      <w:r>
        <w:rPr>
          <w:spacing w:val="3"/>
        </w:rPr>
        <w:t>高效污水处理和纳管</w:t>
      </w:r>
      <w:r>
        <w:rPr>
          <w:rFonts w:ascii="Times New Roman" w:hAnsi="Times New Roman" w:eastAsia="Times New Roman"/>
          <w:spacing w:val="3"/>
          <w:position w:val="1"/>
        </w:rPr>
        <w:t>”</w:t>
      </w:r>
      <w:r>
        <w:rPr>
          <w:spacing w:val="-2"/>
        </w:rPr>
        <w:t>生态养殖模式进行粪污处置，粪污全部实现无害化处理，并对全场主要排放源排出</w:t>
      </w:r>
      <w:r>
        <w:rPr/>
        <w:t>的臭气进行收集处理，确保新建猪场在污染防控方面达到美丽生态牧场的要求。</w:t>
      </w:r>
    </w:p>
    <w:p>
      <w:pPr>
        <w:pStyle w:val="BodyText"/>
        <w:spacing w:before="2"/>
        <w:ind w:left="717"/>
        <w:jc w:val="both"/>
      </w:pPr>
      <w:r>
        <w:rPr/>
        <w:pict>
          <v:shape style="position:absolute;margin-left:196.487885pt;margin-top:22.098284pt;width:70.7pt;height:18.95pt;mso-position-horizontal-relative:page;mso-position-vertical-relative:paragraph;z-index:-251622400;mso-wrap-distance-left:0;mso-wrap-distance-right:0" type="#_x0000_t202" filled="false" stroked="true" strokeweight=".689192pt" strokecolor="#000000">
            <v:textbox inset="0,0,0,0">
              <w:txbxContent>
                <w:p>
                  <w:pPr>
                    <w:spacing w:before="59"/>
                    <w:ind w:left="298" w:right="0" w:firstLine="0"/>
                    <w:jc w:val="left"/>
                    <w:rPr>
                      <w:sz w:val="18"/>
                    </w:rPr>
                  </w:pPr>
                  <w:r>
                    <w:rPr>
                      <w:w w:val="110"/>
                      <w:sz w:val="18"/>
                    </w:rPr>
                    <w:t>生猪养殖</w:t>
                  </w:r>
                </w:p>
              </w:txbxContent>
            </v:textbox>
            <v:stroke dashstyle="solid"/>
            <w10:wrap type="topAndBottom"/>
          </v:shape>
        </w:pict>
      </w:r>
      <w:r>
        <w:rPr/>
        <w:t>项目生态养殖模式见图 </w:t>
      </w:r>
      <w:r>
        <w:rPr>
          <w:rFonts w:ascii="Times New Roman" w:eastAsia="Times New Roman"/>
          <w:position w:val="1"/>
        </w:rPr>
        <w:t>3.1-2</w:t>
      </w:r>
      <w:r>
        <w:rPr/>
        <w:t>。</w:t>
      </w:r>
    </w:p>
    <w:p>
      <w:pPr>
        <w:pStyle w:val="BodyText"/>
        <w:ind w:left="0"/>
        <w:rPr>
          <w:sz w:val="20"/>
        </w:rPr>
      </w:pPr>
    </w:p>
    <w:p>
      <w:pPr>
        <w:pStyle w:val="BodyText"/>
        <w:spacing w:before="11"/>
        <w:ind w:left="0"/>
      </w:pPr>
    </w:p>
    <w:p>
      <w:pPr>
        <w:spacing w:before="80"/>
        <w:ind w:left="2270" w:right="0" w:firstLine="0"/>
        <w:jc w:val="left"/>
        <w:rPr>
          <w:sz w:val="18"/>
        </w:rPr>
      </w:pPr>
      <w:r>
        <w:rPr/>
        <w:pict>
          <v:group style="position:absolute;margin-left:184.231934pt;margin-top:-30.572485pt;width:94.8pt;height:54.1pt;mso-position-horizontal-relative:page;mso-position-vertical-relative:paragraph;z-index:251700224" coordorigin="3685,-611" coordsize="1896,1082">
            <v:shape style="position:absolute;left:3106;top:6821;width:851;height:1036" coordorigin="3106,6822" coordsize="851,1036" path="m4637,-611l4637,-70m5485,-70l5485,377e" filled="false" stroked="true" strokeweight=".702469pt" strokecolor="#000000">
              <v:path arrowok="t"/>
              <v:stroke dashstyle="solid"/>
            </v:shape>
            <v:shape style="position:absolute;left:5420;top:346;width:130;height:124" type="#_x0000_t75" stroked="false">
              <v:imagedata r:id="rId23" o:title=""/>
            </v:shape>
            <v:line style="position:absolute" from="5485,-70" to="3789,-70" stroked="true" strokeweight=".686933pt" strokecolor="#000000">
              <v:stroke dashstyle="solid"/>
            </v:line>
            <v:line style="position:absolute" from="3789,-70" to="3789,377" stroked="true" strokeweight=".718005pt" strokecolor="#000000">
              <v:stroke dashstyle="solid"/>
            </v:line>
            <v:shape style="position:absolute;left:3723;top:346;width:130;height:124" type="#_x0000_t75" stroked="false">
              <v:imagedata r:id="rId23" o:title=""/>
            </v:shape>
            <v:shape style="position:absolute;left:3684;top:-612;width:1896;height:1082" type="#_x0000_t202" filled="false" stroked="false">
              <v:textbox inset="0,0,0,0">
                <w:txbxContent>
                  <w:p>
                    <w:pPr>
                      <w:tabs>
                        <w:tab w:pos="1100" w:val="left" w:leader="none"/>
                      </w:tabs>
                      <w:spacing w:before="149"/>
                      <w:ind w:left="0" w:right="0" w:firstLine="0"/>
                      <w:jc w:val="left"/>
                      <w:rPr>
                        <w:sz w:val="18"/>
                      </w:rPr>
                    </w:pPr>
                    <w:r>
                      <w:rPr>
                        <w:w w:val="110"/>
                        <w:sz w:val="18"/>
                      </w:rPr>
                      <w:t>雨</w:t>
                    </w:r>
                    <w:r>
                      <w:rPr>
                        <w:spacing w:val="14"/>
                        <w:w w:val="110"/>
                        <w:sz w:val="18"/>
                      </w:rPr>
                      <w:t>污</w:t>
                    </w:r>
                    <w:r>
                      <w:rPr>
                        <w:w w:val="110"/>
                        <w:sz w:val="18"/>
                      </w:rPr>
                      <w:t>分流</w:t>
                      <w:tab/>
                      <w:t>干</w:t>
                    </w:r>
                    <w:r>
                      <w:rPr>
                        <w:spacing w:val="14"/>
                        <w:w w:val="110"/>
                        <w:sz w:val="18"/>
                      </w:rPr>
                      <w:t>湿</w:t>
                    </w:r>
                    <w:r>
                      <w:rPr>
                        <w:w w:val="110"/>
                        <w:sz w:val="18"/>
                      </w:rPr>
                      <w:t>分</w:t>
                    </w:r>
                    <w:r>
                      <w:rPr>
                        <w:spacing w:val="-19"/>
                        <w:w w:val="110"/>
                        <w:sz w:val="18"/>
                      </w:rPr>
                      <w:t>离</w:t>
                    </w:r>
                  </w:p>
                </w:txbxContent>
              </v:textbox>
              <w10:wrap type="none"/>
            </v:shape>
            <w10:wrap type="none"/>
          </v:group>
        </w:pict>
      </w:r>
      <w:r>
        <w:rPr/>
        <w:pict>
          <v:group style="position:absolute;margin-left:97.208527pt;margin-top:23.174356pt;width:198.6pt;height:89.95pt;mso-position-horizontal-relative:page;mso-position-vertical-relative:paragraph;z-index:-315552768" coordorigin="1944,463" coordsize="3972,1799">
            <v:line style="position:absolute" from="3789,849" to="3789,1552" stroked="true" strokeweight=".718005pt" strokecolor="#000000">
              <v:stroke dashstyle="solid"/>
            </v:line>
            <v:shape style="position:absolute;left:2375;top:1552;width:2827;height:231" coordorigin="2375,1552" coordsize="2827,231" path="m2375,1783l2375,1552,5202,1552e" filled="false" stroked="true" strokeweight=".687139pt" strokecolor="#000000">
              <v:path arrowok="t"/>
              <v:stroke dashstyle="solid"/>
            </v:shape>
            <v:shape style="position:absolute;left:2310;top:1753;width:130;height:124" type="#_x0000_t75" stroked="false">
              <v:imagedata r:id="rId24" o:title=""/>
            </v:shape>
            <v:shape style="position:absolute;left:3723;top:1552;width:130;height:325" type="#_x0000_t75" stroked="false">
              <v:imagedata r:id="rId25" o:title=""/>
            </v:shape>
            <v:shape style="position:absolute;left:5137;top:1552;width:130;height:325" type="#_x0000_t75" stroked="false">
              <v:imagedata r:id="rId25" o:title=""/>
            </v:shape>
            <v:shape style="position:absolute;left:5060;top:470;width:849;height:379" type="#_x0000_t202" filled="false" stroked="true" strokeweight=".69249pt" strokecolor="#000000">
              <v:textbox inset="0,0,0,0">
                <w:txbxContent>
                  <w:p>
                    <w:pPr>
                      <w:spacing w:before="64"/>
                      <w:ind w:left="217" w:right="0" w:firstLine="0"/>
                      <w:jc w:val="left"/>
                      <w:rPr>
                        <w:sz w:val="18"/>
                      </w:rPr>
                    </w:pPr>
                    <w:r>
                      <w:rPr>
                        <w:w w:val="110"/>
                        <w:sz w:val="18"/>
                      </w:rPr>
                      <w:t>干粪</w:t>
                    </w:r>
                  </w:p>
                </w:txbxContent>
              </v:textbox>
              <v:stroke dashstyle="solid"/>
              <w10:wrap type="none"/>
            </v:shape>
            <v:shape style="position:absolute;left:3081;top:470;width:1414;height:379" type="#_x0000_t202" filled="false" stroked="true" strokeweight=".689192pt" strokecolor="#000000">
              <v:textbox inset="0,0,0,0">
                <w:txbxContent>
                  <w:p>
                    <w:pPr>
                      <w:spacing w:before="64"/>
                      <w:ind w:left="297" w:right="0" w:firstLine="0"/>
                      <w:jc w:val="left"/>
                      <w:rPr>
                        <w:sz w:val="18"/>
                      </w:rPr>
                    </w:pPr>
                    <w:r>
                      <w:rPr>
                        <w:w w:val="110"/>
                        <w:sz w:val="18"/>
                      </w:rPr>
                      <w:t>厌氧发酵</w:t>
                    </w:r>
                  </w:p>
                </w:txbxContent>
              </v:textbox>
              <v:stroke dashstyle="solid"/>
              <w10:wrap type="none"/>
            </v:shape>
            <v:shape style="position:absolute;left:3110;top:1876;width:1386;height:379" type="#_x0000_t202" filled="false" stroked="true" strokeweight=".689278pt" strokecolor="#000000">
              <v:textbox inset="0,0,0,0">
                <w:txbxContent>
                  <w:p>
                    <w:pPr>
                      <w:spacing w:before="68"/>
                      <w:ind w:left="283" w:right="0" w:firstLine="0"/>
                      <w:jc w:val="left"/>
                      <w:rPr>
                        <w:sz w:val="18"/>
                      </w:rPr>
                    </w:pPr>
                    <w:r>
                      <w:rPr>
                        <w:w w:val="110"/>
                        <w:sz w:val="18"/>
                      </w:rPr>
                      <w:t>废水处理</w:t>
                    </w:r>
                  </w:p>
                </w:txbxContent>
              </v:textbox>
              <v:stroke dashstyle="solid"/>
              <w10:wrap type="none"/>
            </v:shape>
            <v:shape style="position:absolute;left:1951;top:1876;width:849;height:379" type="#_x0000_t202" filled="false" stroked="true" strokeweight=".69249pt" strokecolor="#000000">
              <v:textbox inset="0,0,0,0">
                <w:txbxContent>
                  <w:p>
                    <w:pPr>
                      <w:spacing w:before="68"/>
                      <w:ind w:left="211" w:right="0" w:firstLine="0"/>
                      <w:jc w:val="left"/>
                      <w:rPr>
                        <w:sz w:val="18"/>
                      </w:rPr>
                    </w:pPr>
                    <w:r>
                      <w:rPr>
                        <w:w w:val="110"/>
                        <w:sz w:val="18"/>
                      </w:rPr>
                      <w:t>沼气</w:t>
                    </w:r>
                  </w:p>
                </w:txbxContent>
              </v:textbox>
              <v:stroke dashstyle="solid"/>
              <w10:wrap type="none"/>
            </v:shape>
            <w10:wrap type="none"/>
          </v:group>
        </w:pict>
      </w:r>
      <w:r>
        <w:rPr>
          <w:w w:val="110"/>
          <w:sz w:val="18"/>
        </w:rPr>
        <w:t>污水</w:t>
      </w:r>
    </w:p>
    <w:p>
      <w:pPr>
        <w:pStyle w:val="BodyText"/>
        <w:spacing w:before="12"/>
        <w:ind w:left="0"/>
        <w:rPr>
          <w:sz w:val="27"/>
        </w:rPr>
      </w:pPr>
    </w:p>
    <w:p>
      <w:pPr>
        <w:tabs>
          <w:tab w:pos="3597" w:val="left" w:leader="none"/>
        </w:tabs>
        <w:spacing w:line="240" w:lineRule="auto"/>
        <w:ind w:left="2683" w:right="0" w:firstLine="0"/>
        <w:rPr>
          <w:sz w:val="20"/>
        </w:rPr>
      </w:pPr>
      <w:r>
        <w:rPr>
          <w:sz w:val="20"/>
        </w:rPr>
        <w:drawing>
          <wp:inline distT="0" distB="0" distL="0" distR="0">
            <wp:extent cx="81284" cy="238125"/>
            <wp:effectExtent l="0" t="0" r="0" b="0"/>
            <wp:docPr id="1" name="image14.png"/>
            <wp:cNvGraphicFramePr>
              <a:graphicFrameLocks noChangeAspect="1"/>
            </wp:cNvGraphicFramePr>
            <a:graphic>
              <a:graphicData uri="http://schemas.openxmlformats.org/drawingml/2006/picture">
                <pic:pic>
                  <pic:nvPicPr>
                    <pic:cNvPr id="2" name="image14.png"/>
                    <pic:cNvPicPr/>
                  </pic:nvPicPr>
                  <pic:blipFill>
                    <a:blip r:embed="rId26" cstate="print"/>
                    <a:stretch>
                      <a:fillRect/>
                    </a:stretch>
                  </pic:blipFill>
                  <pic:spPr>
                    <a:xfrm>
                      <a:off x="0" y="0"/>
                      <a:ext cx="81284" cy="238125"/>
                    </a:xfrm>
                    <a:prstGeom prst="rect">
                      <a:avLst/>
                    </a:prstGeom>
                  </pic:spPr>
                </pic:pic>
              </a:graphicData>
            </a:graphic>
          </wp:inline>
        </w:drawing>
      </w:r>
      <w:r>
        <w:rPr>
          <w:sz w:val="20"/>
        </w:rPr>
      </w:r>
      <w:r>
        <w:rPr>
          <w:sz w:val="20"/>
        </w:rPr>
        <w:tab/>
      </w:r>
      <w:r>
        <w:rPr>
          <w:position w:val="21"/>
          <w:sz w:val="20"/>
        </w:rPr>
        <w:pict>
          <v:group style="width:267.8pt;height:87.85pt;mso-position-horizontal-relative:char;mso-position-vertical-relative:line" coordorigin="0,0" coordsize="5356,1757">
            <v:line style="position:absolute" from="1392,1425" to="1979,1425" stroked="true" strokeweight=".686935pt" strokecolor="#000000">
              <v:stroke dashstyle="solid"/>
            </v:line>
            <v:shape style="position:absolute;left:2131;top:1363;width:130;height:124" type="#_x0000_t75" stroked="false">
              <v:imagedata r:id="rId27" o:title=""/>
            </v:shape>
            <v:rect style="position:absolute;left:1979;top:1127;width:976;height:623" filled="true" fillcolor="#ffffff" stroked="false">
              <v:fill type="solid"/>
            </v:rect>
            <v:shape style="position:absolute;left:1270;top:7;width:1225;height:1046" coordorigin="1271,7" coordsize="1225,1046" path="m1271,7l2495,7,2495,1052e" filled="false" stroked="true" strokeweight=".700028pt" strokecolor="#000000">
              <v:path arrowok="t"/>
              <v:stroke dashstyle="solid"/>
            </v:shape>
            <v:shape style="position:absolute;left:2430;top:1021;width:130;height:124" type="#_x0000_t75" stroked="false">
              <v:imagedata r:id="rId28" o:title=""/>
            </v:shape>
            <v:line style="position:absolute" from="2954,1425" to="3528,1425" stroked="true" strokeweight=".686936pt" strokecolor="#000000">
              <v:stroke dashstyle="solid"/>
            </v:line>
            <v:shape style="position:absolute;left:4133;top:1363;width:130;height:124" type="#_x0000_t75" stroked="false">
              <v:imagedata r:id="rId27" o:title=""/>
            </v:shape>
            <v:rect style="position:absolute;left:3527;top:1235;width:1821;height:379" filled="true" fillcolor="#ffffff" stroked="false">
              <v:fill type="solid"/>
            </v:rect>
            <v:shape style="position:absolute;left:3527;top:1221;width:1821;height:379" type="#_x0000_t202" filled="false" stroked="true" strokeweight=".688335pt" strokecolor="#000000">
              <v:textbox inset="0,0,0,0">
                <w:txbxContent>
                  <w:p>
                    <w:pPr>
                      <w:spacing w:before="82"/>
                      <w:ind w:left="209" w:right="0" w:firstLine="0"/>
                      <w:jc w:val="left"/>
                      <w:rPr>
                        <w:sz w:val="18"/>
                      </w:rPr>
                    </w:pPr>
                    <w:r>
                      <w:rPr>
                        <w:w w:val="110"/>
                        <w:sz w:val="18"/>
                      </w:rPr>
                      <w:t>外运生产有机肥</w:t>
                    </w:r>
                  </w:p>
                </w:txbxContent>
              </v:textbox>
              <v:stroke dashstyle="longdash"/>
              <w10:wrap type="none"/>
            </v:shape>
            <v:shape style="position:absolute;left:6;top:1221;width:1386;height:379" type="#_x0000_t202" filled="false" stroked="true" strokeweight=".689278pt" strokecolor="#000000">
              <v:textbox inset="0,0,0,0">
                <w:txbxContent>
                  <w:p>
                    <w:pPr>
                      <w:spacing w:before="54"/>
                      <w:ind w:left="85" w:right="0" w:firstLine="0"/>
                      <w:jc w:val="left"/>
                      <w:rPr>
                        <w:sz w:val="18"/>
                      </w:rPr>
                    </w:pPr>
                    <w:r>
                      <w:rPr>
                        <w:w w:val="110"/>
                        <w:sz w:val="18"/>
                      </w:rPr>
                      <w:t>固液分离残渣</w:t>
                    </w:r>
                  </w:p>
                </w:txbxContent>
              </v:textbox>
              <v:stroke dashstyle="solid"/>
              <w10:wrap type="none"/>
            </v:shape>
            <v:shape style="position:absolute;left:1979;top:1127;width:976;height:623" type="#_x0000_t202" filled="false" stroked="true" strokeweight=".696497pt" strokecolor="#000000">
              <v:textbox inset="0,0,0,0">
                <w:txbxContent>
                  <w:p>
                    <w:pPr>
                      <w:spacing w:line="240" w:lineRule="auto" w:before="10"/>
                      <w:rPr>
                        <w:sz w:val="14"/>
                      </w:rPr>
                    </w:pPr>
                  </w:p>
                  <w:p>
                    <w:pPr>
                      <w:spacing w:before="0"/>
                      <w:ind w:left="283" w:right="0" w:firstLine="0"/>
                      <w:jc w:val="left"/>
                      <w:rPr>
                        <w:sz w:val="18"/>
                      </w:rPr>
                    </w:pPr>
                    <w:r>
                      <w:rPr>
                        <w:w w:val="110"/>
                        <w:sz w:val="18"/>
                      </w:rPr>
                      <w:t>发酵</w:t>
                    </w:r>
                  </w:p>
                </w:txbxContent>
              </v:textbox>
              <v:stroke dashstyle="solid"/>
              <w10:wrap type="none"/>
            </v:shape>
          </v:group>
        </w:pict>
      </w:r>
      <w:r>
        <w:rPr>
          <w:position w:val="21"/>
          <w:sz w:val="20"/>
        </w:rPr>
      </w:r>
    </w:p>
    <w:p>
      <w:pPr>
        <w:spacing w:after="0" w:line="240" w:lineRule="auto"/>
        <w:rPr>
          <w:sz w:val="20"/>
        </w:rPr>
        <w:sectPr>
          <w:pgSz w:w="11910" w:h="16840"/>
          <w:pgMar w:header="874" w:footer="1004" w:top="1400" w:bottom="1200" w:left="1040" w:right="1160"/>
        </w:sectPr>
      </w:pPr>
    </w:p>
    <w:p>
      <w:pPr>
        <w:spacing w:before="58"/>
        <w:ind w:left="918" w:right="0" w:firstLine="0"/>
        <w:jc w:val="left"/>
        <w:rPr>
          <w:sz w:val="18"/>
        </w:rPr>
      </w:pPr>
      <w:r>
        <w:rPr/>
        <w:drawing>
          <wp:anchor distT="0" distB="0" distL="0" distR="0" allowOverlap="1" layoutInCell="1" locked="0" behindDoc="0" simplePos="0" relativeHeight="251706368">
            <wp:simplePos x="0" y="0"/>
            <wp:positionH relativeFrom="page">
              <wp:posOffset>1467165</wp:posOffset>
            </wp:positionH>
            <wp:positionV relativeFrom="paragraph">
              <wp:posOffset>-253625</wp:posOffset>
            </wp:positionV>
            <wp:extent cx="81284" cy="238125"/>
            <wp:effectExtent l="0" t="0" r="0" b="0"/>
            <wp:wrapNone/>
            <wp:docPr id="3" name="image14.png"/>
            <wp:cNvGraphicFramePr>
              <a:graphicFrameLocks noChangeAspect="1"/>
            </wp:cNvGraphicFramePr>
            <a:graphic>
              <a:graphicData uri="http://schemas.openxmlformats.org/drawingml/2006/picture">
                <pic:pic>
                  <pic:nvPicPr>
                    <pic:cNvPr id="4" name="image14.png"/>
                    <pic:cNvPicPr/>
                  </pic:nvPicPr>
                  <pic:blipFill>
                    <a:blip r:embed="rId26" cstate="print"/>
                    <a:stretch>
                      <a:fillRect/>
                    </a:stretch>
                  </pic:blipFill>
                  <pic:spPr>
                    <a:xfrm>
                      <a:off x="0" y="0"/>
                      <a:ext cx="81284" cy="238125"/>
                    </a:xfrm>
                    <a:prstGeom prst="rect">
                      <a:avLst/>
                    </a:prstGeom>
                  </pic:spPr>
                </pic:pic>
              </a:graphicData>
            </a:graphic>
          </wp:anchor>
        </w:drawing>
      </w:r>
      <w:r>
        <w:rPr>
          <w:w w:val="110"/>
          <w:sz w:val="18"/>
        </w:rPr>
        <w:t>锅炉</w:t>
      </w:r>
      <w:r>
        <w:rPr>
          <w:rFonts w:ascii="Times New Roman" w:eastAsia="Times New Roman"/>
          <w:w w:val="110"/>
          <w:sz w:val="18"/>
        </w:rPr>
        <w:t>/</w:t>
      </w:r>
      <w:r>
        <w:rPr>
          <w:w w:val="110"/>
          <w:sz w:val="18"/>
        </w:rPr>
        <w:t>食堂</w:t>
      </w:r>
    </w:p>
    <w:p>
      <w:pPr>
        <w:pStyle w:val="BodyText"/>
        <w:ind w:left="0"/>
        <w:rPr>
          <w:sz w:val="20"/>
        </w:rPr>
      </w:pPr>
    </w:p>
    <w:p>
      <w:pPr>
        <w:pStyle w:val="BodyText"/>
        <w:spacing w:before="5"/>
        <w:ind w:left="0"/>
        <w:rPr>
          <w:sz w:val="28"/>
        </w:rPr>
      </w:pPr>
    </w:p>
    <w:p>
      <w:pPr>
        <w:pStyle w:val="Heading3"/>
        <w:numPr>
          <w:ilvl w:val="0"/>
          <w:numId w:val="35"/>
        </w:numPr>
        <w:tabs>
          <w:tab w:pos="1323" w:val="left" w:leader="none"/>
        </w:tabs>
        <w:spacing w:line="240" w:lineRule="auto" w:before="0" w:after="0"/>
        <w:ind w:left="1323" w:right="0" w:hanging="604"/>
        <w:jc w:val="left"/>
      </w:pPr>
      <w:r>
        <w:rPr>
          <w:spacing w:val="-5"/>
        </w:rPr>
        <w:t>清粪方式</w:t>
      </w:r>
    </w:p>
    <w:p>
      <w:pPr>
        <w:spacing w:before="58"/>
        <w:ind w:left="62" w:right="0" w:firstLine="0"/>
        <w:jc w:val="left"/>
        <w:rPr>
          <w:sz w:val="18"/>
        </w:rPr>
      </w:pPr>
      <w:r>
        <w:rPr/>
        <w:br w:type="column"/>
      </w:r>
      <w:r>
        <w:rPr>
          <w:w w:val="110"/>
          <w:sz w:val="18"/>
        </w:rPr>
        <w:t>纳管排放</w:t>
      </w:r>
    </w:p>
    <w:p>
      <w:pPr>
        <w:pStyle w:val="BodyText"/>
        <w:spacing w:before="5"/>
        <w:ind w:left="0"/>
        <w:rPr>
          <w:sz w:val="34"/>
        </w:rPr>
      </w:pPr>
      <w:r>
        <w:rPr/>
        <w:br w:type="column"/>
      </w:r>
      <w:r>
        <w:rPr>
          <w:sz w:val="34"/>
        </w:rPr>
      </w:r>
    </w:p>
    <w:p>
      <w:pPr>
        <w:pStyle w:val="Heading3"/>
        <w:spacing w:before="0"/>
        <w:ind w:left="79"/>
      </w:pPr>
      <w:r>
        <w:rPr/>
        <w:t>图 </w:t>
      </w:r>
      <w:r>
        <w:rPr>
          <w:rFonts w:ascii="Times New Roman" w:eastAsia="Times New Roman"/>
        </w:rPr>
        <w:t>3.2-2  </w:t>
      </w:r>
      <w:r>
        <w:rPr/>
        <w:t>项目生态养殖模式图</w:t>
      </w:r>
    </w:p>
    <w:p>
      <w:pPr>
        <w:spacing w:after="0"/>
        <w:sectPr>
          <w:type w:val="continuous"/>
          <w:pgSz w:w="11910" w:h="16840"/>
          <w:pgMar w:top="1400" w:bottom="1200" w:left="1040" w:right="1160"/>
          <w:cols w:num="3" w:equalWidth="0">
            <w:col w:w="2285" w:space="40"/>
            <w:col w:w="857" w:space="39"/>
            <w:col w:w="6489"/>
          </w:cols>
        </w:sectPr>
      </w:pPr>
    </w:p>
    <w:p>
      <w:pPr>
        <w:pStyle w:val="BodyText"/>
        <w:spacing w:line="364" w:lineRule="auto" w:before="160"/>
        <w:ind w:right="134" w:firstLine="480"/>
      </w:pPr>
      <w:r>
        <w:rPr/>
        <w:t>猪舍内恶臭主要源自舍内粪污的分解排放，舍内粪污的清粪工艺很大程度上影响着猪舍内外环境空气质量和人畜健康。人工清粪存在着劳动强度大、清理不净、舍内外空</w:t>
      </w:r>
      <w:r>
        <w:rPr>
          <w:spacing w:val="-14"/>
        </w:rPr>
        <w:t>气质量差、后续污水处理难度和成本高等问题，本项目采用全自动机械清粪</w:t>
      </w:r>
      <w:r>
        <w:rPr/>
        <w:t>（干湿分离</w:t>
      </w:r>
      <w:r>
        <w:rPr>
          <w:spacing w:val="-67"/>
        </w:rPr>
        <w:t>）</w:t>
      </w:r>
      <w:r>
        <w:rPr>
          <w:spacing w:val="-16"/>
        </w:rPr>
        <w:t>、</w:t>
      </w:r>
      <w:r>
        <w:rPr/>
        <w:t>转运技术与装备，实现猪舍清粪过程的全自动化和全地下化。</w:t>
      </w:r>
    </w:p>
    <w:p>
      <w:pPr>
        <w:pStyle w:val="BodyText"/>
        <w:spacing w:line="364" w:lineRule="auto" w:before="3"/>
        <w:ind w:right="249" w:firstLine="480"/>
        <w:jc w:val="both"/>
      </w:pPr>
      <w:r>
        <w:rPr/>
        <w:t>本项目采用的干清粪工艺可做到日产日清。干清粪工艺是在缝隙地板下设一斜坡， 使固液分离。即猪栏后半部分采用漏缝地板，下部分为水泥斜坡，粪便漏落后在斜坡上实现粪便和污水在猪舍内自动分离。干粪采用机械每天清粪，经每幢猪舍尾端的粪车密闭运输至猪粪发酵车间进行发酵处理，猪尿及污水经管道接入污水处理站。</w:t>
      </w:r>
    </w:p>
    <w:p>
      <w:pPr>
        <w:pStyle w:val="Heading3"/>
        <w:numPr>
          <w:ilvl w:val="0"/>
          <w:numId w:val="35"/>
        </w:numPr>
        <w:tabs>
          <w:tab w:pos="1323" w:val="left" w:leader="none"/>
        </w:tabs>
        <w:spacing w:line="240" w:lineRule="auto" w:before="3" w:after="0"/>
        <w:ind w:left="1323" w:right="0" w:hanging="604"/>
        <w:jc w:val="left"/>
      </w:pPr>
      <w:r>
        <w:rPr/>
        <w:t>废水处理工艺流程</w:t>
      </w:r>
    </w:p>
    <w:p>
      <w:pPr>
        <w:pStyle w:val="BodyText"/>
        <w:spacing w:line="364" w:lineRule="auto" w:before="160"/>
        <w:ind w:right="251" w:firstLine="480"/>
      </w:pPr>
      <w:r>
        <w:rPr/>
        <w:t>根据企业提供的资料，本项目建成后，拟采用</w:t>
      </w:r>
      <w:r>
        <w:rPr>
          <w:rFonts w:ascii="Times New Roman" w:hAnsi="Times New Roman" w:eastAsia="Times New Roman"/>
          <w:position w:val="1"/>
        </w:rPr>
        <w:t>“</w:t>
      </w:r>
      <w:r>
        <w:rPr/>
        <w:t>预处理</w:t>
      </w:r>
      <w:r>
        <w:rPr>
          <w:rFonts w:ascii="Times New Roman" w:hAnsi="Times New Roman" w:eastAsia="Times New Roman"/>
          <w:position w:val="1"/>
        </w:rPr>
        <w:t>+</w:t>
      </w:r>
      <w:r>
        <w:rPr/>
        <w:t>厌氧发酵</w:t>
      </w:r>
      <w:r>
        <w:rPr>
          <w:rFonts w:ascii="Times New Roman" w:hAnsi="Times New Roman" w:eastAsia="Times New Roman"/>
          <w:position w:val="1"/>
        </w:rPr>
        <w:t>+</w:t>
      </w:r>
      <w:r>
        <w:rPr/>
        <w:t>生化</w:t>
      </w:r>
      <w:r>
        <w:rPr>
          <w:rFonts w:ascii="Times New Roman" w:hAnsi="Times New Roman" w:eastAsia="Times New Roman"/>
          <w:position w:val="1"/>
        </w:rPr>
        <w:t>/</w:t>
      </w:r>
      <w:r>
        <w:rPr/>
        <w:t>物化</w:t>
      </w:r>
      <w:r>
        <w:rPr>
          <w:rFonts w:ascii="Times New Roman" w:hAnsi="Times New Roman" w:eastAsia="Times New Roman"/>
          <w:position w:val="1"/>
        </w:rPr>
        <w:t>”</w:t>
      </w:r>
      <w:r>
        <w:rPr/>
        <w:t>处理工艺处理各类废水，污水处理设施设计处理能力为 </w:t>
      </w:r>
      <w:r>
        <w:rPr>
          <w:rFonts w:ascii="Times New Roman" w:hAnsi="Times New Roman" w:eastAsia="Times New Roman"/>
          <w:position w:val="1"/>
        </w:rPr>
        <w:t>600t/d</w:t>
      </w:r>
      <w:r>
        <w:rPr/>
        <w:t>，具体工艺流程如下图所示。</w:t>
      </w:r>
    </w:p>
    <w:p>
      <w:pPr>
        <w:spacing w:after="0" w:line="364" w:lineRule="auto"/>
        <w:sectPr>
          <w:type w:val="continuous"/>
          <w:pgSz w:w="11910" w:h="16840"/>
          <w:pgMar w:top="1400" w:bottom="1200" w:left="1040" w:right="1160"/>
        </w:sectPr>
      </w:pPr>
    </w:p>
    <w:p>
      <w:pPr>
        <w:pStyle w:val="BodyText"/>
        <w:spacing w:before="1"/>
        <w:ind w:left="0"/>
        <w:rPr>
          <w:sz w:val="11"/>
        </w:rPr>
      </w:pPr>
    </w:p>
    <w:p>
      <w:pPr>
        <w:pStyle w:val="BodyText"/>
        <w:ind w:left="1393"/>
        <w:rPr>
          <w:sz w:val="20"/>
        </w:rPr>
      </w:pPr>
      <w:r>
        <w:rPr>
          <w:sz w:val="20"/>
        </w:rPr>
        <w:drawing>
          <wp:inline distT="0" distB="0" distL="0" distR="0">
            <wp:extent cx="3902463" cy="5769483"/>
            <wp:effectExtent l="0" t="0" r="0" b="0"/>
            <wp:docPr id="5" name="image17.jpeg"/>
            <wp:cNvGraphicFramePr>
              <a:graphicFrameLocks noChangeAspect="1"/>
            </wp:cNvGraphicFramePr>
            <a:graphic>
              <a:graphicData uri="http://schemas.openxmlformats.org/drawingml/2006/picture">
                <pic:pic>
                  <pic:nvPicPr>
                    <pic:cNvPr id="6" name="image17.jpeg"/>
                    <pic:cNvPicPr/>
                  </pic:nvPicPr>
                  <pic:blipFill>
                    <a:blip r:embed="rId29" cstate="print"/>
                    <a:stretch>
                      <a:fillRect/>
                    </a:stretch>
                  </pic:blipFill>
                  <pic:spPr>
                    <a:xfrm>
                      <a:off x="0" y="0"/>
                      <a:ext cx="3902463" cy="5769483"/>
                    </a:xfrm>
                    <a:prstGeom prst="rect">
                      <a:avLst/>
                    </a:prstGeom>
                  </pic:spPr>
                </pic:pic>
              </a:graphicData>
            </a:graphic>
          </wp:inline>
        </w:drawing>
      </w:r>
      <w:r>
        <w:rPr>
          <w:sz w:val="20"/>
        </w:rPr>
      </w:r>
    </w:p>
    <w:p>
      <w:pPr>
        <w:pStyle w:val="BodyText"/>
        <w:ind w:left="0"/>
        <w:rPr>
          <w:sz w:val="20"/>
        </w:rPr>
      </w:pPr>
    </w:p>
    <w:p>
      <w:pPr>
        <w:pStyle w:val="BodyText"/>
        <w:spacing w:before="12"/>
        <w:ind w:left="0"/>
        <w:rPr>
          <w:sz w:val="16"/>
        </w:rPr>
      </w:pPr>
    </w:p>
    <w:p>
      <w:pPr>
        <w:spacing w:after="0"/>
        <w:rPr>
          <w:sz w:val="16"/>
        </w:rPr>
        <w:sectPr>
          <w:pgSz w:w="11910" w:h="16840"/>
          <w:pgMar w:header="874" w:footer="1004" w:top="1400" w:bottom="1200" w:left="1040" w:right="1160"/>
        </w:sectPr>
      </w:pPr>
    </w:p>
    <w:p>
      <w:pPr>
        <w:pStyle w:val="BodyText"/>
        <w:ind w:left="0"/>
      </w:pPr>
    </w:p>
    <w:p>
      <w:pPr>
        <w:pStyle w:val="BodyText"/>
        <w:spacing w:before="6"/>
        <w:ind w:left="0"/>
        <w:rPr>
          <w:sz w:val="18"/>
        </w:rPr>
      </w:pPr>
    </w:p>
    <w:p>
      <w:pPr>
        <w:pStyle w:val="Heading3"/>
        <w:spacing w:before="0"/>
      </w:pPr>
      <w:r>
        <w:rPr/>
        <w:t>工艺流程简述：</w:t>
      </w:r>
    </w:p>
    <w:p>
      <w:pPr>
        <w:spacing w:before="76"/>
        <w:ind w:left="611" w:right="0" w:firstLine="0"/>
        <w:jc w:val="left"/>
        <w:rPr>
          <w:b/>
          <w:sz w:val="24"/>
        </w:rPr>
      </w:pPr>
      <w:r>
        <w:rPr/>
        <w:br w:type="column"/>
      </w:r>
      <w:r>
        <w:rPr>
          <w:b/>
          <w:sz w:val="24"/>
        </w:rPr>
        <w:t>图 </w:t>
      </w:r>
      <w:r>
        <w:rPr>
          <w:rFonts w:ascii="Times New Roman" w:eastAsia="Times New Roman"/>
          <w:b/>
          <w:sz w:val="24"/>
        </w:rPr>
        <w:t>3.2-3  </w:t>
      </w:r>
      <w:r>
        <w:rPr>
          <w:b/>
          <w:sz w:val="24"/>
        </w:rPr>
        <w:t>污水处理工艺流程示意图</w:t>
      </w:r>
    </w:p>
    <w:p>
      <w:pPr>
        <w:spacing w:after="0"/>
        <w:jc w:val="left"/>
        <w:rPr>
          <w:sz w:val="24"/>
        </w:rPr>
        <w:sectPr>
          <w:type w:val="continuous"/>
          <w:pgSz w:w="11910" w:h="16840"/>
          <w:pgMar w:top="1400" w:bottom="1200" w:left="1040" w:right="1160"/>
          <w:cols w:num="2" w:equalWidth="0">
            <w:col w:w="2407" w:space="40"/>
            <w:col w:w="7263"/>
          </w:cols>
        </w:sectPr>
      </w:pPr>
    </w:p>
    <w:p>
      <w:pPr>
        <w:pStyle w:val="ListParagraph"/>
        <w:numPr>
          <w:ilvl w:val="0"/>
          <w:numId w:val="36"/>
        </w:numPr>
        <w:tabs>
          <w:tab w:pos="1079" w:val="left" w:leader="none"/>
        </w:tabs>
        <w:spacing w:line="364" w:lineRule="auto" w:before="161" w:after="0"/>
        <w:ind w:left="237" w:right="226" w:firstLine="480"/>
        <w:jc w:val="left"/>
        <w:rPr>
          <w:sz w:val="24"/>
        </w:rPr>
      </w:pPr>
      <w:r>
        <w:rPr>
          <w:spacing w:val="-1"/>
          <w:sz w:val="24"/>
        </w:rPr>
        <w:t>预处理系统：通过固液分离、初沉池等物理作用，去除水中大部分颗粒污染物， </w:t>
      </w:r>
      <w:r>
        <w:rPr>
          <w:sz w:val="24"/>
        </w:rPr>
        <w:t>减少后续设备堵塞问题等，以利于设备稳定运行。</w:t>
      </w:r>
    </w:p>
    <w:p>
      <w:pPr>
        <w:pStyle w:val="ListParagraph"/>
        <w:numPr>
          <w:ilvl w:val="0"/>
          <w:numId w:val="36"/>
        </w:numPr>
        <w:tabs>
          <w:tab w:pos="1079" w:val="left" w:leader="none"/>
        </w:tabs>
        <w:spacing w:line="364" w:lineRule="auto" w:before="1" w:after="0"/>
        <w:ind w:left="237" w:right="249" w:firstLine="480"/>
        <w:jc w:val="left"/>
        <w:rPr>
          <w:sz w:val="24"/>
        </w:rPr>
      </w:pPr>
      <w:r>
        <w:rPr>
          <w:spacing w:val="-1"/>
          <w:sz w:val="24"/>
        </w:rPr>
        <w:t>厌氧处理系统：通过自然沉降、厌氧发酵等作用，去除废水中大部分 </w:t>
      </w:r>
      <w:r>
        <w:rPr>
          <w:rFonts w:ascii="Times New Roman" w:eastAsia="Times New Roman"/>
          <w:sz w:val="24"/>
        </w:rPr>
        <w:t>SS</w:t>
      </w:r>
      <w:r>
        <w:rPr>
          <w:rFonts w:ascii="Times New Roman" w:eastAsia="Times New Roman"/>
          <w:spacing w:val="34"/>
          <w:sz w:val="24"/>
        </w:rPr>
        <w:t> </w:t>
      </w:r>
      <w:r>
        <w:rPr>
          <w:spacing w:val="-6"/>
          <w:sz w:val="24"/>
        </w:rPr>
        <w:t>及有机</w:t>
      </w:r>
      <w:r>
        <w:rPr>
          <w:sz w:val="24"/>
        </w:rPr>
        <w:t>物，降低水中有机物浓度，以利于后续生化处理。</w:t>
      </w:r>
    </w:p>
    <w:p>
      <w:pPr>
        <w:pStyle w:val="ListParagraph"/>
        <w:numPr>
          <w:ilvl w:val="0"/>
          <w:numId w:val="36"/>
        </w:numPr>
        <w:tabs>
          <w:tab w:pos="1079" w:val="left" w:leader="none"/>
        </w:tabs>
        <w:spacing w:line="364" w:lineRule="auto" w:before="2" w:after="0"/>
        <w:ind w:left="237" w:right="251" w:firstLine="480"/>
        <w:jc w:val="left"/>
        <w:rPr>
          <w:sz w:val="24"/>
        </w:rPr>
      </w:pPr>
      <w:r>
        <w:rPr>
          <w:spacing w:val="-21"/>
          <w:sz w:val="24"/>
        </w:rPr>
        <w:t>三级 </w:t>
      </w:r>
      <w:r>
        <w:rPr>
          <w:rFonts w:ascii="Times New Roman" w:eastAsia="Times New Roman"/>
          <w:sz w:val="24"/>
        </w:rPr>
        <w:t>A/O</w:t>
      </w:r>
      <w:r>
        <w:rPr>
          <w:rFonts w:ascii="Times New Roman" w:eastAsia="Times New Roman"/>
          <w:spacing w:val="-2"/>
          <w:sz w:val="24"/>
        </w:rPr>
        <w:t> </w:t>
      </w:r>
      <w:r>
        <w:rPr>
          <w:spacing w:val="-7"/>
          <w:sz w:val="24"/>
        </w:rPr>
        <w:t>生物处理系统：通过缺氧、好氧等生物作用，去除废水中大部分不易降</w:t>
      </w:r>
      <w:r>
        <w:rPr>
          <w:spacing w:val="-5"/>
          <w:sz w:val="24"/>
        </w:rPr>
        <w:t>解有机物，同时去除废水中 </w:t>
      </w:r>
      <w:r>
        <w:rPr>
          <w:rFonts w:ascii="Times New Roman" w:eastAsia="Times New Roman"/>
          <w:sz w:val="24"/>
        </w:rPr>
        <w:t>98%</w:t>
      </w:r>
      <w:r>
        <w:rPr>
          <w:sz w:val="24"/>
        </w:rPr>
        <w:t>以上的氨氮。</w:t>
      </w:r>
    </w:p>
    <w:p>
      <w:pPr>
        <w:pStyle w:val="ListParagraph"/>
        <w:numPr>
          <w:ilvl w:val="0"/>
          <w:numId w:val="36"/>
        </w:numPr>
        <w:tabs>
          <w:tab w:pos="1079" w:val="left" w:leader="none"/>
        </w:tabs>
        <w:spacing w:line="240" w:lineRule="auto" w:before="1" w:after="0"/>
        <w:ind w:left="1078" w:right="0" w:hanging="362"/>
        <w:jc w:val="left"/>
        <w:rPr>
          <w:sz w:val="24"/>
        </w:rPr>
      </w:pPr>
      <w:r>
        <w:rPr>
          <w:sz w:val="24"/>
        </w:rPr>
        <w:t>化学处理系统：通过投加除磷剂，去除废水中含磷物质，降低出水总磷。</w:t>
      </w:r>
    </w:p>
    <w:p>
      <w:pPr>
        <w:spacing w:after="0" w:line="240" w:lineRule="auto"/>
        <w:jc w:val="left"/>
        <w:rPr>
          <w:sz w:val="24"/>
        </w:rPr>
        <w:sectPr>
          <w:type w:val="continuous"/>
          <w:pgSz w:w="11910" w:h="16840"/>
          <w:pgMar w:top="1400" w:bottom="1200" w:left="1040" w:right="1160"/>
        </w:sectPr>
      </w:pPr>
    </w:p>
    <w:p>
      <w:pPr>
        <w:pStyle w:val="Heading3"/>
        <w:numPr>
          <w:ilvl w:val="0"/>
          <w:numId w:val="35"/>
        </w:numPr>
        <w:tabs>
          <w:tab w:pos="1323" w:val="left" w:leader="none"/>
        </w:tabs>
        <w:spacing w:line="240" w:lineRule="auto" w:before="105" w:after="0"/>
        <w:ind w:left="1323" w:right="0" w:hanging="604"/>
        <w:jc w:val="left"/>
      </w:pPr>
      <w:r>
        <w:rPr/>
        <w:t>猪粪发酵工艺流程</w:t>
      </w:r>
    </w:p>
    <w:p>
      <w:pPr>
        <w:pStyle w:val="BodyText"/>
        <w:spacing w:before="161"/>
        <w:ind w:left="717"/>
        <w:jc w:val="both"/>
      </w:pPr>
      <w:r>
        <w:rPr/>
        <w:t>本项目猪粪采用高温好氧发酵工艺进行处理，主要设备为 </w:t>
      </w:r>
      <w:r>
        <w:rPr>
          <w:rFonts w:ascii="Times New Roman" w:hAnsi="Times New Roman" w:eastAsia="Times New Roman"/>
          <w:position w:val="1"/>
        </w:rPr>
        <w:t>2 </w:t>
      </w:r>
      <w:r>
        <w:rPr/>
        <w:t>台 </w:t>
      </w:r>
      <w:r>
        <w:rPr>
          <w:rFonts w:ascii="Times New Roman" w:hAnsi="Times New Roman" w:eastAsia="Times New Roman"/>
          <w:position w:val="1"/>
        </w:rPr>
        <w:t>200m³</w:t>
      </w:r>
      <w:r>
        <w:rPr/>
        <w:t>立式封闭发酵罐</w:t>
      </w:r>
    </w:p>
    <w:p>
      <w:pPr>
        <w:pStyle w:val="BodyText"/>
        <w:spacing w:line="364" w:lineRule="auto" w:before="160"/>
        <w:ind w:right="249"/>
        <w:jc w:val="both"/>
      </w:pPr>
      <w:r>
        <w:rPr/>
        <w:pict>
          <v:group style="position:absolute;margin-left:109.333755pt;margin-top:115.014954pt;width:37.450pt;height:3pt;mso-position-horizontal-relative:page;mso-position-vertical-relative:paragraph;z-index:251708416" coordorigin="2187,2300" coordsize="749,60">
            <v:line style="position:absolute" from="2187,2326" to="2850,2326" stroked="true" strokeweight=".142008pt" strokecolor="#000000">
              <v:stroke dashstyle="solid"/>
            </v:line>
            <v:shape style="position:absolute;left:2841;top:2300;width:94;height:60" coordorigin="2842,2300" coordsize="94,60" path="m2842,2300l2842,2360,2935,2326,2842,2300xe" filled="true" fillcolor="#000000" stroked="false">
              <v:path arrowok="t"/>
              <v:fill type="solid"/>
            </v:shape>
            <w10:wrap type="none"/>
          </v:group>
        </w:pict>
      </w:r>
      <w:r>
        <w:rPr/>
        <w:pict>
          <v:group style="position:absolute;margin-left:183.747986pt;margin-top:86.266846pt;width:318.6pt;height:76.5pt;mso-position-horizontal-relative:page;mso-position-vertical-relative:paragraph;z-index:-315548672" coordorigin="3675,1725" coordsize="6372,1530">
            <v:line style="position:absolute" from="3675,2326" to="4330,2326" stroked="true" strokeweight=".142008pt" strokecolor="#000000">
              <v:stroke dashstyle="solid"/>
            </v:line>
            <v:shape style="position:absolute;left:4321;top:2300;width:94;height:60" coordorigin="4321,2300" coordsize="94,60" path="m4321,2300l4321,2360,4415,2326,4321,2300xe" filled="true" fillcolor="#000000" stroked="false">
              <v:path arrowok="t"/>
              <v:fill type="solid"/>
            </v:shape>
            <v:line style="position:absolute" from="5163,2326" to="5818,2326" stroked="true" strokeweight=".142008pt" strokecolor="#000000">
              <v:stroke dashstyle="solid"/>
            </v:line>
            <v:shape style="position:absolute;left:5809;top:2300;width:94;height:60" coordorigin="5810,2300" coordsize="94,60" path="m5810,2300l5810,2360,5903,2326,5810,2300xe" filled="true" fillcolor="#000000" stroked="false">
              <v:path arrowok="t"/>
              <v:fill type="solid"/>
            </v:shape>
            <v:line style="position:absolute" from="6652,2326" to="7306,2326" stroked="true" strokeweight=".142008pt" strokecolor="#000000">
              <v:stroke dashstyle="solid"/>
            </v:line>
            <v:shape style="position:absolute;left:7297;top:2300;width:94;height:60" coordorigin="7298,2300" coordsize="94,60" path="m7298,2300l7298,2360,7391,2326,7298,2300xe" filled="true" fillcolor="#000000" stroked="false">
              <v:path arrowok="t"/>
              <v:fill type="solid"/>
            </v:shape>
            <v:line style="position:absolute" from="8131,2326" to="8795,2326" stroked="true" strokeweight=".142008pt" strokecolor="#000000">
              <v:stroke dashstyle="solid"/>
            </v:line>
            <v:shape style="position:absolute;left:8786;top:2300;width:94;height:60" coordorigin="8786,2300" coordsize="94,60" path="m8786,2300l8786,2360,8880,2326,8786,2300xe" filled="true" fillcolor="#000000" stroked="false">
              <v:path arrowok="t"/>
              <v:fill type="solid"/>
            </v:shape>
            <v:shape style="position:absolute;left:9619;top:2325;width:426;height:895" coordorigin="9620,2326" coordsize="426,895" path="m9620,2326l10045,2326,10045,3221,9705,3221e" filled="false" stroked="true" strokeweight=".141791pt" strokecolor="#000000">
              <v:path arrowok="t"/>
              <v:stroke dashstyle="solid"/>
            </v:shape>
            <v:shape style="position:absolute;left:9619;top:3186;width:94;height:69" coordorigin="9620,3186" coordsize="94,69" path="m9713,3186l9620,3221,9713,3255,9713,3186xe" filled="true" fillcolor="#000000" stroked="false">
              <v:path arrowok="t"/>
              <v:fill type="solid"/>
            </v:shape>
            <v:rect style="position:absolute;left:4270;top:1729;width:5503;height:895" filled="false" stroked="true" strokeweight=".408964pt" strokecolor="#000000">
              <v:stroke dashstyle="shortdash"/>
            </v:rect>
            <w10:wrap type="none"/>
          </v:group>
        </w:pict>
      </w:r>
      <w:r>
        <w:rPr/>
        <w:pict>
          <v:shape style="position:absolute;margin-left:443.985138pt;margin-top:109.052338pt;width:37pt;height:14.95pt;mso-position-horizontal-relative:page;mso-position-vertical-relative:paragraph;z-index:251716608" type="#_x0000_t202" filled="true" fillcolor="#8b8b8b" stroked="true" strokeweight=".408877pt" strokecolor="#000000">
            <v:textbox inset="0,0,0,0">
              <w:txbxContent>
                <w:p>
                  <w:pPr>
                    <w:spacing w:before="57"/>
                    <w:ind w:left="92" w:right="0" w:firstLine="0"/>
                    <w:jc w:val="left"/>
                    <w:rPr>
                      <w:sz w:val="13"/>
                    </w:rPr>
                  </w:pPr>
                  <w:r>
                    <w:rPr>
                      <w:w w:val="105"/>
                      <w:sz w:val="13"/>
                    </w:rPr>
                    <w:t>腐熟阶段</w:t>
                  </w:r>
                </w:p>
              </w:txbxContent>
            </v:textbox>
            <v:fill opacity="19532f" type="solid"/>
            <v:stroke dashstyle="solid"/>
            <w10:wrap type="none"/>
          </v:shape>
        </w:pict>
      </w:r>
      <w:r>
        <w:rPr/>
        <w:pict>
          <v:shape style="position:absolute;margin-left:146.753479pt;margin-top:109.052338pt;width:37pt;height:14.95pt;mso-position-horizontal-relative:page;mso-position-vertical-relative:paragraph;z-index:251717632" type="#_x0000_t202" filled="true" fillcolor="#8b8b8b" stroked="true" strokeweight=".408877pt" strokecolor="#000000">
            <v:textbox inset="0,0,0,0">
              <w:txbxContent>
                <w:p>
                  <w:pPr>
                    <w:spacing w:before="57"/>
                    <w:ind w:left="161" w:right="0" w:firstLine="0"/>
                    <w:jc w:val="left"/>
                    <w:rPr>
                      <w:sz w:val="13"/>
                    </w:rPr>
                  </w:pPr>
                  <w:r>
                    <w:rPr>
                      <w:w w:val="105"/>
                      <w:sz w:val="13"/>
                    </w:rPr>
                    <w:t>进料斗</w:t>
                  </w:r>
                </w:p>
              </w:txbxContent>
            </v:textbox>
            <v:fill opacity="19532f" type="solid"/>
            <v:stroke dashstyle="solid"/>
            <w10:wrap type="none"/>
          </v:shape>
        </w:pict>
      </w:r>
      <w:r>
        <w:rPr/>
        <w:pict>
          <v:shape style="position:absolute;margin-left:369.570923pt;margin-top:109.052345pt;width:37pt;height:14.95pt;mso-position-horizontal-relative:page;mso-position-vertical-relative:paragraph;z-index:251718656" type="#_x0000_t202" filled="true" fillcolor="#8b8b8b" stroked="true" strokeweight=".408877pt" strokecolor="#000000">
            <v:textbox inset="0,0,0,0">
              <w:txbxContent>
                <w:p>
                  <w:pPr>
                    <w:spacing w:before="57"/>
                    <w:ind w:left="95" w:right="0" w:firstLine="0"/>
                    <w:jc w:val="left"/>
                    <w:rPr>
                      <w:sz w:val="13"/>
                    </w:rPr>
                  </w:pPr>
                  <w:r>
                    <w:rPr>
                      <w:w w:val="105"/>
                      <w:sz w:val="13"/>
                    </w:rPr>
                    <w:t>降温阶段</w:t>
                  </w:r>
                </w:p>
              </w:txbxContent>
            </v:textbox>
            <v:fill opacity="19532f" type="solid"/>
            <v:stroke dashstyle="solid"/>
            <w10:wrap type="none"/>
          </v:shape>
        </w:pict>
      </w:r>
      <w:r>
        <w:rPr/>
        <w:pict>
          <v:shape style="position:absolute;margin-left:295.156708pt;margin-top:109.052338pt;width:37.450pt;height:14.95pt;mso-position-horizontal-relative:page;mso-position-vertical-relative:paragraph;z-index:251719680" type="#_x0000_t202" filled="true" fillcolor="#8b8b8b" stroked="true" strokeweight=".40888pt" strokecolor="#000000">
            <v:textbox inset="0,0,0,0">
              <w:txbxContent>
                <w:p>
                  <w:pPr>
                    <w:spacing w:before="57"/>
                    <w:ind w:left="97" w:right="0" w:firstLine="0"/>
                    <w:jc w:val="left"/>
                    <w:rPr>
                      <w:sz w:val="13"/>
                    </w:rPr>
                  </w:pPr>
                  <w:r>
                    <w:rPr>
                      <w:w w:val="105"/>
                      <w:sz w:val="13"/>
                    </w:rPr>
                    <w:t>高温阶段</w:t>
                  </w:r>
                </w:p>
              </w:txbxContent>
            </v:textbox>
            <v:fill opacity="19532f" type="solid"/>
            <v:stroke dashstyle="solid"/>
            <w10:wrap type="none"/>
          </v:shape>
        </w:pict>
      </w:r>
      <w:r>
        <w:rPr/>
        <w:pict>
          <v:shape style="position:absolute;margin-left:220.742477pt;margin-top:109.05233pt;width:37.450pt;height:14.95pt;mso-position-horizontal-relative:page;mso-position-vertical-relative:paragraph;z-index:251720704" type="#_x0000_t202" filled="true" fillcolor="#8b8b8b" stroked="true" strokeweight=".40888pt" strokecolor="#000000">
            <v:textbox inset="0,0,0,0">
              <w:txbxContent>
                <w:p>
                  <w:pPr>
                    <w:spacing w:before="57"/>
                    <w:ind w:left="99" w:right="0" w:firstLine="0"/>
                    <w:jc w:val="left"/>
                    <w:rPr>
                      <w:sz w:val="13"/>
                    </w:rPr>
                  </w:pPr>
                  <w:r>
                    <w:rPr>
                      <w:w w:val="105"/>
                      <w:sz w:val="13"/>
                    </w:rPr>
                    <w:t>升温阶段</w:t>
                  </w:r>
                </w:p>
              </w:txbxContent>
            </v:textbox>
            <v:fill opacity="19532f" type="solid"/>
            <v:stroke dashstyle="solid"/>
            <w10:wrap type="none"/>
          </v:shape>
        </w:pict>
      </w:r>
      <w:r>
        <w:rPr>
          <w:spacing w:val="-5"/>
        </w:rPr>
        <w:t>（</w:t>
      </w:r>
      <w:r>
        <w:rPr>
          <w:rFonts w:ascii="Times New Roman" w:eastAsia="Times New Roman"/>
          <w:spacing w:val="-5"/>
          <w:position w:val="1"/>
        </w:rPr>
        <w:t>TC-200A</w:t>
      </w:r>
      <w:r>
        <w:rPr>
          <w:spacing w:val="-5"/>
        </w:rPr>
        <w:t>）</w:t>
      </w:r>
      <w:r>
        <w:rPr>
          <w:spacing w:val="-9"/>
        </w:rPr>
        <w:t>。主要原理为通过微生物的生命活动，把一部分被吸收的有机质氧化成简单</w:t>
      </w:r>
      <w:r>
        <w:rPr/>
        <w:t>的无机物，并提供生命活动所需要的能量；同时把另一部分有机物转化合成新的细胞物</w:t>
      </w:r>
      <w:r>
        <w:rPr>
          <w:spacing w:val="-3"/>
        </w:rPr>
        <w:t>质，使微生物增殖。整个发酵过程由四个阶段组成，具体如图 </w:t>
      </w:r>
      <w:r>
        <w:rPr>
          <w:rFonts w:ascii="Times New Roman" w:eastAsia="Times New Roman"/>
          <w:position w:val="1"/>
        </w:rPr>
        <w:t>3.1-4 </w:t>
      </w:r>
      <w:r>
        <w:rPr/>
        <w:t>所示。</w:t>
      </w:r>
    </w:p>
    <w:p>
      <w:pPr>
        <w:pStyle w:val="BodyText"/>
        <w:spacing w:before="6"/>
        <w:ind w:left="0"/>
        <w:rPr>
          <w:sz w:val="11"/>
        </w:rPr>
      </w:pPr>
      <w:r>
        <w:rPr/>
        <w:pict>
          <v:shape style="position:absolute;margin-left:213.718155pt;margin-top:8.585978pt;width:274.75pt;height:22.2pt;mso-position-horizontal-relative:page;mso-position-vertical-relative:paragraph;z-index:-251609088;mso-wrap-distance-left:0;mso-wrap-distance-right:0" type="#_x0000_t202" filled="false" stroked="false">
            <v:textbox inset="0,0,0,0">
              <w:txbxContent>
                <w:p>
                  <w:pPr>
                    <w:spacing w:before="62"/>
                    <w:ind w:left="1592" w:right="0" w:firstLine="0"/>
                    <w:jc w:val="left"/>
                    <w:rPr>
                      <w:sz w:val="13"/>
                    </w:rPr>
                  </w:pPr>
                  <w:r>
                    <w:rPr>
                      <w:w w:val="105"/>
                      <w:sz w:val="13"/>
                    </w:rPr>
                    <w:t>通风、搅拌、发酵过程</w:t>
                  </w:r>
                  <w:r>
                    <w:rPr>
                      <w:rFonts w:ascii="Times New Roman" w:eastAsia="Times New Roman"/>
                      <w:w w:val="105"/>
                      <w:sz w:val="13"/>
                    </w:rPr>
                    <w:t>7~10</w:t>
                  </w:r>
                  <w:r>
                    <w:rPr>
                      <w:w w:val="105"/>
                      <w:sz w:val="13"/>
                    </w:rPr>
                    <w:t>天，密闭除臭</w:t>
                  </w:r>
                </w:p>
              </w:txbxContent>
            </v:textbox>
            <w10:wrap type="topAndBottom"/>
          </v:shape>
        </w:pict>
      </w:r>
    </w:p>
    <w:p>
      <w:pPr>
        <w:spacing w:before="50"/>
        <w:ind w:left="363" w:right="0" w:firstLine="0"/>
        <w:jc w:val="left"/>
        <w:rPr>
          <w:sz w:val="13"/>
        </w:rPr>
      </w:pPr>
      <w:r>
        <w:rPr>
          <w:w w:val="105"/>
          <w:sz w:val="13"/>
        </w:rPr>
        <w:t>粪污、辅料</w:t>
      </w:r>
    </w:p>
    <w:p>
      <w:pPr>
        <w:pStyle w:val="BodyText"/>
        <w:spacing w:before="9"/>
        <w:ind w:left="0"/>
        <w:rPr>
          <w:sz w:val="26"/>
        </w:rPr>
      </w:pPr>
    </w:p>
    <w:p>
      <w:pPr>
        <w:spacing w:before="87"/>
        <w:ind w:left="1862" w:right="0" w:firstLine="0"/>
        <w:jc w:val="left"/>
        <w:rPr>
          <w:sz w:val="13"/>
        </w:rPr>
      </w:pPr>
      <w:r>
        <w:rPr>
          <w:w w:val="105"/>
          <w:sz w:val="13"/>
        </w:rPr>
        <w:t>每天进料、出料</w:t>
      </w:r>
    </w:p>
    <w:p>
      <w:pPr>
        <w:pStyle w:val="BodyText"/>
        <w:spacing w:before="3"/>
        <w:ind w:left="0"/>
        <w:rPr>
          <w:sz w:val="10"/>
        </w:rPr>
      </w:pPr>
    </w:p>
    <w:p>
      <w:pPr>
        <w:spacing w:before="0"/>
        <w:ind w:left="1074" w:right="2649" w:firstLine="0"/>
        <w:jc w:val="center"/>
        <w:rPr>
          <w:sz w:val="13"/>
        </w:rPr>
      </w:pPr>
      <w:r>
        <w:rPr/>
        <w:pict>
          <v:group style="position:absolute;margin-left:406.56543pt;margin-top:2.532887pt;width:37.450pt;height:3.45pt;mso-position-horizontal-relative:page;mso-position-vertical-relative:paragraph;z-index:251710464" coordorigin="8131,51" coordsize="749,69">
            <v:line style="position:absolute" from="8880,85" to="8225,85" stroked="true" strokeweight=".142008pt" strokecolor="#000000">
              <v:stroke dashstyle="solid"/>
            </v:line>
            <v:shape style="position:absolute;left:8131;top:50;width:94;height:69" coordorigin="8131,51" coordsize="94,69" path="m8225,51l8131,85,8225,119,8225,51xe" filled="true" fillcolor="#000000" stroked="false">
              <v:path arrowok="t"/>
              <v:fill type="solid"/>
            </v:shape>
            <w10:wrap type="none"/>
          </v:group>
        </w:pict>
      </w:r>
      <w:r>
        <w:rPr/>
        <w:pict>
          <v:group style="position:absolute;margin-left:332.576447pt;margin-top:2.532878pt;width:37pt;height:3.45pt;mso-position-horizontal-relative:page;mso-position-vertical-relative:paragraph;z-index:251711488" coordorigin="6652,51" coordsize="740,69">
            <v:line style="position:absolute" from="7391,85" to="6737,85" stroked="true" strokeweight=".142008pt" strokecolor="#000000">
              <v:stroke dashstyle="solid"/>
            </v:line>
            <v:shape style="position:absolute;left:6651;top:50;width:94;height:69" coordorigin="6652,51" coordsize="94,69" path="m6745,51l6652,85,6745,119,6745,51xe" filled="true" fillcolor="#000000" stroked="false">
              <v:path arrowok="t"/>
              <v:fill type="solid"/>
            </v:shape>
            <w10:wrap type="none"/>
          </v:group>
        </w:pict>
      </w:r>
      <w:r>
        <w:rPr/>
        <w:pict>
          <v:group style="position:absolute;margin-left:265.391022pt;margin-top:2.53287pt;width:29.8pt;height:3.45pt;mso-position-horizontal-relative:page;mso-position-vertical-relative:paragraph;z-index:251712512" coordorigin="5308,51" coordsize="596,69">
            <v:line style="position:absolute" from="5903,85" to="5393,85" stroked="true" strokeweight=".142008pt" strokecolor="#000000">
              <v:stroke dashstyle="solid"/>
            </v:line>
            <v:shape style="position:absolute;left:5307;top:50;width:94;height:69" coordorigin="5308,51" coordsize="94,69" path="m5401,51l5308,85,5401,119,5401,51xe" filled="true" fillcolor="#000000" stroked="false">
              <v:path arrowok="t"/>
              <v:fill type="solid"/>
            </v:shape>
            <w10:wrap type="none"/>
          </v:group>
        </w:pict>
      </w:r>
      <w:r>
        <w:rPr/>
        <w:pict>
          <v:shape style="position:absolute;margin-left:443.985168pt;margin-top:-3.005425pt;width:37pt;height:14.95pt;mso-position-horizontal-relative:page;mso-position-vertical-relative:paragraph;z-index:251713536" type="#_x0000_t202" filled="true" fillcolor="#8b8b8b" stroked="true" strokeweight=".408877pt" strokecolor="#000000">
            <v:textbox inset="0,0,0,0">
              <w:txbxContent>
                <w:p>
                  <w:pPr>
                    <w:spacing w:before="56"/>
                    <w:ind w:left="229" w:right="0" w:firstLine="0"/>
                    <w:jc w:val="left"/>
                    <w:rPr>
                      <w:sz w:val="13"/>
                    </w:rPr>
                  </w:pPr>
                  <w:r>
                    <w:rPr>
                      <w:w w:val="105"/>
                      <w:sz w:val="13"/>
                    </w:rPr>
                    <w:t>出料</w:t>
                  </w:r>
                </w:p>
              </w:txbxContent>
            </v:textbox>
            <v:fill opacity="19532f" type="solid"/>
            <v:stroke dashstyle="solid"/>
            <w10:wrap type="none"/>
          </v:shape>
        </w:pict>
      </w:r>
      <w:r>
        <w:rPr/>
        <w:pict>
          <v:shape style="position:absolute;margin-left:369.570923pt;margin-top:-3.005434pt;width:37pt;height:14.95pt;mso-position-horizontal-relative:page;mso-position-vertical-relative:paragraph;z-index:251714560" type="#_x0000_t202" filled="true" fillcolor="#8b8b8b" stroked="true" strokeweight=".408877pt" strokecolor="#000000">
            <v:textbox inset="0,0,0,0">
              <w:txbxContent>
                <w:p>
                  <w:pPr>
                    <w:spacing w:before="56"/>
                    <w:ind w:left="231" w:right="0" w:firstLine="0"/>
                    <w:jc w:val="left"/>
                    <w:rPr>
                      <w:sz w:val="13"/>
                    </w:rPr>
                  </w:pPr>
                  <w:r>
                    <w:rPr>
                      <w:w w:val="105"/>
                      <w:sz w:val="13"/>
                    </w:rPr>
                    <w:t>冷却</w:t>
                  </w:r>
                </w:p>
              </w:txbxContent>
            </v:textbox>
            <v:fill opacity="19532f" type="solid"/>
            <v:stroke dashstyle="solid"/>
            <w10:wrap type="none"/>
          </v:shape>
        </w:pict>
      </w:r>
      <w:r>
        <w:rPr/>
        <w:pict>
          <v:shape style="position:absolute;margin-left:295.156708pt;margin-top:-3.005443pt;width:37.450pt;height:14.95pt;mso-position-horizontal-relative:page;mso-position-vertical-relative:paragraph;z-index:251715584" type="#_x0000_t202" filled="true" fillcolor="#8b8b8b" stroked="true" strokeweight=".40888pt" strokecolor="#000000">
            <v:textbox inset="0,0,0,0">
              <w:txbxContent>
                <w:p>
                  <w:pPr>
                    <w:spacing w:before="56"/>
                    <w:ind w:left="233" w:right="0" w:firstLine="0"/>
                    <w:jc w:val="left"/>
                    <w:rPr>
                      <w:sz w:val="13"/>
                    </w:rPr>
                  </w:pPr>
                  <w:r>
                    <w:rPr>
                      <w:w w:val="105"/>
                      <w:sz w:val="13"/>
                    </w:rPr>
                    <w:t>打包</w:t>
                  </w:r>
                </w:p>
              </w:txbxContent>
            </v:textbox>
            <v:fill opacity="19532f" type="solid"/>
            <v:stroke dashstyle="solid"/>
            <w10:wrap type="none"/>
          </v:shape>
        </w:pict>
      </w:r>
      <w:r>
        <w:rPr>
          <w:w w:val="105"/>
          <w:sz w:val="13"/>
        </w:rPr>
        <w:t>外运</w:t>
      </w:r>
    </w:p>
    <w:p>
      <w:pPr>
        <w:pStyle w:val="BodyText"/>
        <w:spacing w:before="11"/>
        <w:ind w:left="0"/>
        <w:rPr>
          <w:sz w:val="28"/>
        </w:rPr>
      </w:pPr>
    </w:p>
    <w:p>
      <w:pPr>
        <w:pStyle w:val="Heading3"/>
        <w:spacing w:before="77"/>
        <w:ind w:left="2937"/>
        <w:jc w:val="both"/>
      </w:pPr>
      <w:r>
        <w:rPr/>
        <w:t>图 </w:t>
      </w:r>
      <w:r>
        <w:rPr>
          <w:rFonts w:ascii="Times New Roman" w:eastAsia="Times New Roman"/>
        </w:rPr>
        <w:t>3.2-4  </w:t>
      </w:r>
      <w:r>
        <w:rPr/>
        <w:t>猪粪高温好氧发酵工艺流程</w:t>
      </w:r>
    </w:p>
    <w:p>
      <w:pPr>
        <w:pStyle w:val="BodyText"/>
        <w:spacing w:line="364" w:lineRule="auto" w:before="160"/>
        <w:ind w:right="218" w:firstLine="482"/>
        <w:jc w:val="both"/>
      </w:pPr>
      <w:r>
        <w:rPr>
          <w:b/>
        </w:rPr>
        <w:t>工艺流程简述：</w:t>
      </w:r>
      <w:r>
        <w:rPr/>
        <w:t>将新鲜畜禽粪便与发酵菌种按照一定比例混合达到发酵所需条件。混合物料经输送设备直接输送至立体好氧发酵仓料斗，发酵过程开始后，在风机提供氧</w:t>
      </w:r>
      <w:r>
        <w:rPr>
          <w:spacing w:val="-6"/>
        </w:rPr>
        <w:t>气的条件下，好氧微生物迅速繁殖，物料温度随之迅速升高，</w:t>
      </w:r>
      <w:r>
        <w:rPr>
          <w:rFonts w:ascii="Times New Roman" w:eastAsia="Times New Roman"/>
          <w:spacing w:val="-6"/>
          <w:position w:val="1"/>
        </w:rPr>
        <w:t>2~3</w:t>
      </w:r>
      <w:r>
        <w:rPr>
          <w:rFonts w:ascii="Times New Roman" w:eastAsia="Times New Roman"/>
          <w:spacing w:val="-1"/>
          <w:position w:val="1"/>
        </w:rPr>
        <w:t> </w:t>
      </w:r>
      <w:r>
        <w:rPr>
          <w:spacing w:val="-4"/>
        </w:rPr>
        <w:t>天进入高温期。在此阶段内有机物被分解，水分蒸发减少，病原菌和杂草种子等被杀死，实现物料的无害化和</w:t>
      </w:r>
      <w:r>
        <w:rPr>
          <w:spacing w:val="-9"/>
        </w:rPr>
        <w:t>稳定化。一次发酵过程持续 </w:t>
      </w:r>
      <w:r>
        <w:rPr>
          <w:rFonts w:ascii="Times New Roman" w:eastAsia="Times New Roman"/>
          <w:position w:val="1"/>
        </w:rPr>
        <w:t>7~10 </w:t>
      </w:r>
      <w:r>
        <w:rPr>
          <w:spacing w:val="-1"/>
        </w:rPr>
        <w:t>天，整个发酵过程中，内部搅拌装置对物料进行翻拌， </w:t>
      </w:r>
      <w:r>
        <w:rPr/>
        <w:t>使整个空间物料进行进一步混匀，提高产品质量。发酵处理后的畜禽粪便一部分作为回流物料回到好氧发酵系统前与新进物料混合，大部分经包装后外运至第三方厂家生产有机肥。系统所产生的臭气经过收集系统进入除臭装置系统，消除了二次污染。</w:t>
      </w:r>
    </w:p>
    <w:p>
      <w:pPr>
        <w:pStyle w:val="ListParagraph"/>
        <w:numPr>
          <w:ilvl w:val="0"/>
          <w:numId w:val="37"/>
        </w:numPr>
        <w:tabs>
          <w:tab w:pos="1079" w:val="left" w:leader="none"/>
        </w:tabs>
        <w:spacing w:line="240" w:lineRule="auto" w:before="5" w:after="0"/>
        <w:ind w:left="1078" w:right="0" w:hanging="362"/>
        <w:jc w:val="left"/>
        <w:rPr>
          <w:sz w:val="24"/>
        </w:rPr>
      </w:pPr>
      <w:r>
        <w:rPr>
          <w:sz w:val="24"/>
        </w:rPr>
        <w:t>升温阶段</w:t>
      </w:r>
    </w:p>
    <w:p>
      <w:pPr>
        <w:pStyle w:val="BodyText"/>
        <w:spacing w:line="364" w:lineRule="auto" w:before="161"/>
        <w:ind w:right="249" w:firstLine="480"/>
        <w:jc w:val="both"/>
      </w:pPr>
      <w:r>
        <w:rPr/>
        <w:t>发酵初期（</w:t>
      </w:r>
      <w:r>
        <w:rPr>
          <w:spacing w:val="-5"/>
        </w:rPr>
        <w:t>通常在 </w:t>
      </w:r>
      <w:r>
        <w:rPr>
          <w:rFonts w:ascii="Times New Roman" w:hAnsi="Times New Roman" w:eastAsia="Times New Roman"/>
          <w:position w:val="1"/>
        </w:rPr>
        <w:t>1~3 </w:t>
      </w:r>
      <w:r>
        <w:rPr/>
        <w:t>天），</w:t>
      </w:r>
      <w:r>
        <w:rPr>
          <w:spacing w:val="-1"/>
        </w:rPr>
        <w:t>粪污中嗜温性微生物利用可溶性和易降解性有机物作</w:t>
      </w:r>
      <w:r>
        <w:rPr>
          <w:spacing w:val="-16"/>
        </w:rPr>
        <w:t>为营养和能量来源，迅速增殖，并释放出热能，使粪污温度不断上升。此阶段温度在 </w:t>
      </w:r>
      <w:r>
        <w:rPr>
          <w:rFonts w:ascii="Times New Roman" w:hAnsi="Times New Roman" w:eastAsia="Times New Roman"/>
          <w:spacing w:val="-6"/>
          <w:position w:val="1"/>
        </w:rPr>
        <w:t>45</w:t>
      </w:r>
      <w:r>
        <w:rPr>
          <w:spacing w:val="-6"/>
        </w:rPr>
        <w:t>℃ </w:t>
      </w:r>
      <w:r>
        <w:rPr/>
        <w:t>范围内，微生物以中温、需氧型为主，通常是一些无芽胞细菌。微生物类型较多，主要是细菌、真菌和放线菌。其中细菌主要利用水溶性单糖等，放线菌和真菌对于分解纤维素和半纤维素物质具有特殊的功能。</w:t>
      </w:r>
    </w:p>
    <w:p>
      <w:pPr>
        <w:pStyle w:val="ListParagraph"/>
        <w:numPr>
          <w:ilvl w:val="0"/>
          <w:numId w:val="37"/>
        </w:numPr>
        <w:tabs>
          <w:tab w:pos="1079" w:val="left" w:leader="none"/>
        </w:tabs>
        <w:spacing w:line="240" w:lineRule="auto" w:before="3" w:after="0"/>
        <w:ind w:left="1078" w:right="0" w:hanging="362"/>
        <w:jc w:val="left"/>
        <w:rPr>
          <w:sz w:val="24"/>
        </w:rPr>
      </w:pPr>
      <w:r>
        <w:rPr>
          <w:sz w:val="24"/>
        </w:rPr>
        <w:t>高温阶段</w:t>
      </w:r>
    </w:p>
    <w:p>
      <w:pPr>
        <w:pStyle w:val="BodyText"/>
        <w:spacing w:line="364" w:lineRule="auto" w:before="161"/>
        <w:ind w:right="248" w:firstLine="480"/>
        <w:jc w:val="both"/>
      </w:pPr>
      <w:r>
        <w:rPr>
          <w:spacing w:val="-7"/>
        </w:rPr>
        <w:t>当粪污温度上升到 </w:t>
      </w:r>
      <w:r>
        <w:rPr>
          <w:rFonts w:ascii="Times New Roman" w:hAnsi="Times New Roman" w:eastAsia="Times New Roman"/>
          <w:position w:val="1"/>
        </w:rPr>
        <w:t>45</w:t>
      </w:r>
      <w:r>
        <w:rPr>
          <w:spacing w:val="-3"/>
        </w:rPr>
        <w:t>℃以上时，即进入高温阶段。通常从发酵开始，只须 </w:t>
      </w:r>
      <w:r>
        <w:rPr>
          <w:rFonts w:ascii="Times New Roman" w:hAnsi="Times New Roman" w:eastAsia="Times New Roman"/>
          <w:position w:val="1"/>
        </w:rPr>
        <w:t>2~3 </w:t>
      </w:r>
      <w:r>
        <w:rPr/>
        <w:t>天时</w:t>
      </w:r>
      <w:r>
        <w:rPr>
          <w:spacing w:val="-6"/>
        </w:rPr>
        <w:t>间温度便能迅速地升高到 </w:t>
      </w:r>
      <w:r>
        <w:rPr>
          <w:rFonts w:ascii="Times New Roman" w:hAnsi="Times New Roman" w:eastAsia="Times New Roman"/>
          <w:position w:val="1"/>
        </w:rPr>
        <w:t>65</w:t>
      </w:r>
      <w:r>
        <w:rPr>
          <w:spacing w:val="-1"/>
        </w:rPr>
        <w:t>℃，一周内堆温可达到最高值</w:t>
      </w:r>
      <w:r>
        <w:rPr/>
        <w:t>（</w:t>
      </w:r>
      <w:r>
        <w:rPr>
          <w:spacing w:val="-12"/>
        </w:rPr>
        <w:t>最高温可达 </w:t>
      </w:r>
      <w:r>
        <w:rPr>
          <w:rFonts w:ascii="Times New Roman" w:hAnsi="Times New Roman" w:eastAsia="Times New Roman"/>
          <w:position w:val="1"/>
        </w:rPr>
        <w:t>80</w:t>
      </w:r>
      <w:r>
        <w:rPr/>
        <w:t>℃）</w:t>
      </w:r>
      <w:r>
        <w:rPr>
          <w:spacing w:val="-3"/>
        </w:rPr>
        <w:t>。嗜温性微生物受到抑制，嗜热性微生物逐渐取而代之。除前一阶段残留的和新形成的可溶性有</w:t>
      </w:r>
      <w:r>
        <w:rPr>
          <w:spacing w:val="-18"/>
        </w:rPr>
        <w:t>机物继续分解转化外，半纤维素、纤维素、蛋白质等复杂有机物也开始强烈分解。在 </w:t>
      </w:r>
      <w:r>
        <w:rPr>
          <w:rFonts w:ascii="Times New Roman" w:hAnsi="Times New Roman" w:eastAsia="Times New Roman"/>
          <w:spacing w:val="-5"/>
          <w:position w:val="1"/>
        </w:rPr>
        <w:t>50</w:t>
      </w:r>
      <w:r>
        <w:rPr>
          <w:spacing w:val="-5"/>
        </w:rPr>
        <w:t>℃</w:t>
      </w:r>
    </w:p>
    <w:p>
      <w:pPr>
        <w:spacing w:after="0" w:line="364" w:lineRule="auto"/>
        <w:jc w:val="both"/>
        <w:sectPr>
          <w:pgSz w:w="11910" w:h="16840"/>
          <w:pgMar w:header="874" w:footer="1004" w:top="1400" w:bottom="1200" w:left="1040" w:right="1160"/>
        </w:sectPr>
      </w:pPr>
    </w:p>
    <w:p>
      <w:pPr>
        <w:pStyle w:val="BodyText"/>
        <w:spacing w:line="364" w:lineRule="auto" w:before="105"/>
        <w:ind w:right="252"/>
        <w:jc w:val="both"/>
      </w:pPr>
      <w:r>
        <w:rPr>
          <w:spacing w:val="-1"/>
        </w:rPr>
        <w:t>左右进行活动的主要是嗜热性真菌和放线菌；温度上升到 </w:t>
      </w:r>
      <w:r>
        <w:rPr>
          <w:rFonts w:ascii="Times New Roman" w:hAnsi="Times New Roman" w:eastAsia="Times New Roman"/>
          <w:position w:val="1"/>
        </w:rPr>
        <w:t>60</w:t>
      </w:r>
      <w:r>
        <w:rPr>
          <w:spacing w:val="-2"/>
        </w:rPr>
        <w:t>℃时，真菌几乎完全停止活动，仅有嗜热性放线菌和细菌活动；温度上升到 </w:t>
      </w:r>
      <w:r>
        <w:rPr>
          <w:rFonts w:ascii="Times New Roman" w:hAnsi="Times New Roman" w:eastAsia="Times New Roman"/>
          <w:position w:val="1"/>
        </w:rPr>
        <w:t>70</w:t>
      </w:r>
      <w:r>
        <w:rPr>
          <w:spacing w:val="-2"/>
        </w:rPr>
        <w:t>℃以上时，大多数嗜热性微生物已不</w:t>
      </w:r>
      <w:r>
        <w:rPr/>
        <w:t>适宜，微生物大量死亡或进入休眠状态。</w:t>
      </w:r>
    </w:p>
    <w:p>
      <w:pPr>
        <w:pStyle w:val="ListParagraph"/>
        <w:numPr>
          <w:ilvl w:val="0"/>
          <w:numId w:val="37"/>
        </w:numPr>
        <w:tabs>
          <w:tab w:pos="1079" w:val="left" w:leader="none"/>
        </w:tabs>
        <w:spacing w:line="240" w:lineRule="auto" w:before="2" w:after="0"/>
        <w:ind w:left="1078" w:right="0" w:hanging="362"/>
        <w:jc w:val="left"/>
        <w:rPr>
          <w:sz w:val="24"/>
        </w:rPr>
      </w:pPr>
      <w:r>
        <w:rPr>
          <w:sz w:val="24"/>
        </w:rPr>
        <w:t>降温阶段</w:t>
      </w:r>
    </w:p>
    <w:p>
      <w:pPr>
        <w:pStyle w:val="BodyText"/>
        <w:spacing w:line="364" w:lineRule="auto" w:before="160"/>
        <w:ind w:right="249" w:firstLine="480"/>
        <w:jc w:val="both"/>
      </w:pPr>
      <w:r>
        <w:rPr>
          <w:spacing w:val="-1"/>
        </w:rPr>
        <w:t>随着微生物活动减弱，产生的热量减少，温度自动下降。当温度降至 </w:t>
      </w:r>
      <w:r>
        <w:rPr>
          <w:rFonts w:ascii="Times New Roman" w:hAnsi="Times New Roman" w:eastAsia="Times New Roman"/>
          <w:position w:val="1"/>
        </w:rPr>
        <w:t>40</w:t>
      </w:r>
      <w:r>
        <w:rPr>
          <w:spacing w:val="-3"/>
        </w:rPr>
        <w:t>℃以下时， </w:t>
      </w:r>
      <w:r>
        <w:rPr/>
        <w:t>处于休眠状态的嗜热性微生物又重新活动，继续分解难分解的有机物但微生物活性普遍下降，发热量减少，有机物趋于稳定，需氧量大大减少，发酵进入腐熟阶段。</w:t>
      </w:r>
    </w:p>
    <w:p>
      <w:pPr>
        <w:pStyle w:val="ListParagraph"/>
        <w:numPr>
          <w:ilvl w:val="0"/>
          <w:numId w:val="37"/>
        </w:numPr>
        <w:tabs>
          <w:tab w:pos="1079" w:val="left" w:leader="none"/>
        </w:tabs>
        <w:spacing w:line="240" w:lineRule="auto" w:before="2" w:after="0"/>
        <w:ind w:left="1078" w:right="0" w:hanging="362"/>
        <w:jc w:val="left"/>
        <w:rPr>
          <w:sz w:val="24"/>
        </w:rPr>
      </w:pPr>
      <w:r>
        <w:rPr>
          <w:sz w:val="24"/>
        </w:rPr>
        <w:t>腐熟阶段</w:t>
      </w:r>
    </w:p>
    <w:p>
      <w:pPr>
        <w:pStyle w:val="BodyText"/>
        <w:spacing w:before="161"/>
        <w:ind w:left="717"/>
      </w:pPr>
      <w:r>
        <w:rPr/>
        <w:t>在腐熟阶段，有机肥基本达到稳定，可出料。</w:t>
      </w:r>
    </w:p>
    <w:p>
      <w:pPr>
        <w:pStyle w:val="BodyText"/>
        <w:spacing w:line="364" w:lineRule="auto" w:before="161"/>
        <w:ind w:right="249" w:firstLine="482"/>
        <w:jc w:val="both"/>
      </w:pPr>
      <w:r>
        <w:rPr/>
        <w:drawing>
          <wp:anchor distT="0" distB="0" distL="0" distR="0" allowOverlap="1" layoutInCell="1" locked="0" behindDoc="0" simplePos="0" relativeHeight="62">
            <wp:simplePos x="0" y="0"/>
            <wp:positionH relativeFrom="page">
              <wp:posOffset>1302519</wp:posOffset>
            </wp:positionH>
            <wp:positionV relativeFrom="paragraph">
              <wp:posOffset>1922783</wp:posOffset>
            </wp:positionV>
            <wp:extent cx="4884327" cy="3826764"/>
            <wp:effectExtent l="0" t="0" r="0" b="0"/>
            <wp:wrapTopAndBottom/>
            <wp:docPr id="7" name="image18.jpeg"/>
            <wp:cNvGraphicFramePr>
              <a:graphicFrameLocks noChangeAspect="1"/>
            </wp:cNvGraphicFramePr>
            <a:graphic>
              <a:graphicData uri="http://schemas.openxmlformats.org/drawingml/2006/picture">
                <pic:pic>
                  <pic:nvPicPr>
                    <pic:cNvPr id="8" name="image18.jpeg"/>
                    <pic:cNvPicPr/>
                  </pic:nvPicPr>
                  <pic:blipFill>
                    <a:blip r:embed="rId30" cstate="print"/>
                    <a:stretch>
                      <a:fillRect/>
                    </a:stretch>
                  </pic:blipFill>
                  <pic:spPr>
                    <a:xfrm>
                      <a:off x="0" y="0"/>
                      <a:ext cx="4884327" cy="3826764"/>
                    </a:xfrm>
                    <a:prstGeom prst="rect">
                      <a:avLst/>
                    </a:prstGeom>
                  </pic:spPr>
                </pic:pic>
              </a:graphicData>
            </a:graphic>
          </wp:anchor>
        </w:drawing>
      </w:r>
      <w:r>
        <w:rPr>
          <w:b/>
        </w:rPr>
        <w:t>发酵设备简介：</w:t>
      </w:r>
      <w:r>
        <w:rPr/>
        <w:t>本项目采用的是立式封闭罐体结构，节约占地面积，降低设备安装对面积的要求。整个设备结构分为三部分，下部基座部分包含液压站、风机及大推力液压搅拌轴等。中部为双层隔热罐体、设备自动控制系统、单侧基肥导出装置等，罐体内外壁采用不锈钢板，有效的延长罐体寿命和降低腐熟料残留，中间有聚氨酯发泡剂填充的保温层。上部由风雨棚、检修平台及排风设施等装置构成。附属设备有热交换装置、自动翻斗提升机、废气过滤系统装置。具体详见图 </w:t>
      </w:r>
      <w:r>
        <w:rPr>
          <w:rFonts w:ascii="Times New Roman" w:eastAsia="Times New Roman"/>
          <w:position w:val="1"/>
        </w:rPr>
        <w:t>3.2-5</w:t>
      </w:r>
      <w:r>
        <w:rPr/>
        <w:t>。</w:t>
      </w:r>
    </w:p>
    <w:p>
      <w:pPr>
        <w:pStyle w:val="Heading3"/>
        <w:spacing w:before="126"/>
        <w:ind w:left="218" w:right="236"/>
        <w:jc w:val="center"/>
      </w:pPr>
      <w:r>
        <w:rPr/>
        <w:t>图 </w:t>
      </w:r>
      <w:r>
        <w:rPr>
          <w:rFonts w:ascii="Times New Roman" w:eastAsia="Times New Roman"/>
        </w:rPr>
        <w:t>3.2-5  </w:t>
      </w:r>
      <w:r>
        <w:rPr/>
        <w:t>本项目立式发酵罐示意图</w:t>
      </w:r>
    </w:p>
    <w:p>
      <w:pPr>
        <w:spacing w:after="0"/>
        <w:jc w:val="center"/>
        <w:sectPr>
          <w:pgSz w:w="11910" w:h="16840"/>
          <w:pgMar w:header="874" w:footer="1004" w:top="1400" w:bottom="1200" w:left="1040" w:right="1160"/>
        </w:sectPr>
      </w:pPr>
    </w:p>
    <w:p>
      <w:pPr>
        <w:pStyle w:val="ListParagraph"/>
        <w:numPr>
          <w:ilvl w:val="0"/>
          <w:numId w:val="35"/>
        </w:numPr>
        <w:tabs>
          <w:tab w:pos="1323" w:val="left" w:leader="none"/>
        </w:tabs>
        <w:spacing w:line="240" w:lineRule="auto" w:before="105" w:after="0"/>
        <w:ind w:left="1323" w:right="0" w:hanging="604"/>
        <w:jc w:val="left"/>
        <w:rPr>
          <w:b/>
          <w:sz w:val="24"/>
        </w:rPr>
      </w:pPr>
      <w:r>
        <w:rPr>
          <w:b/>
          <w:sz w:val="24"/>
        </w:rPr>
        <w:t>臭气处理工艺流程</w:t>
      </w:r>
    </w:p>
    <w:p>
      <w:pPr>
        <w:pStyle w:val="ListParagraph"/>
        <w:numPr>
          <w:ilvl w:val="0"/>
          <w:numId w:val="38"/>
        </w:numPr>
        <w:tabs>
          <w:tab w:pos="1082" w:val="left" w:leader="none"/>
        </w:tabs>
        <w:spacing w:line="240" w:lineRule="auto" w:before="161" w:after="0"/>
        <w:ind w:left="1081" w:right="0" w:hanging="363"/>
        <w:jc w:val="left"/>
        <w:rPr>
          <w:b/>
          <w:sz w:val="24"/>
        </w:rPr>
      </w:pPr>
      <w:r>
        <w:rPr>
          <w:b/>
          <w:sz w:val="24"/>
        </w:rPr>
        <w:t>猪舍臭气</w:t>
      </w:r>
    </w:p>
    <w:p>
      <w:pPr>
        <w:pStyle w:val="BodyText"/>
        <w:spacing w:line="364" w:lineRule="auto" w:before="160"/>
        <w:ind w:right="254" w:firstLine="480"/>
      </w:pPr>
      <w:r>
        <w:rPr/>
        <w:t>猪场的恶臭污染减排是个系统工程，应从源头减排、饲养过程减排和末端治理等不同环节上科学采取相应措施控制恶臭污染。</w:t>
      </w:r>
    </w:p>
    <w:p>
      <w:pPr>
        <w:pStyle w:val="BodyText"/>
        <w:spacing w:line="364" w:lineRule="auto" w:before="1"/>
        <w:ind w:right="131" w:firstLine="480"/>
      </w:pPr>
      <w:r>
        <w:rPr/>
        <w:t>降低饲料中的粗蛋白水平可有效降低猪的臭气排放，同时在饲料中添加微生物制剂</w:t>
      </w:r>
      <w:r>
        <w:rPr>
          <w:spacing w:val="-4"/>
        </w:rPr>
        <w:t>可改善猪的肠道功能，降低单位畜禽粪污产生量，实现从源头减少畜禽粪污和臭气减排。</w:t>
      </w:r>
    </w:p>
    <w:p>
      <w:pPr>
        <w:pStyle w:val="BodyText"/>
        <w:spacing w:line="364" w:lineRule="auto" w:before="2"/>
        <w:ind w:right="248" w:firstLine="480"/>
        <w:jc w:val="both"/>
      </w:pPr>
      <w:r>
        <w:rPr/>
        <w:t>粪污采用全自动机械清理技术，及时清理猪舍的粪便，经密闭运粪车运至发酵间处理，减少生产及运输过程中臭气的无组织排放量。舍内臭气通过环控系统排除到特定空间，减少臭气对猪只的影响。</w:t>
      </w:r>
    </w:p>
    <w:p>
      <w:pPr>
        <w:pStyle w:val="BodyText"/>
        <w:spacing w:line="364" w:lineRule="auto" w:before="2"/>
        <w:ind w:right="247" w:firstLine="480"/>
        <w:jc w:val="both"/>
      </w:pPr>
      <w:r>
        <w:rPr/>
        <w:t>采用喷淋</w:t>
      </w:r>
      <w:r>
        <w:rPr>
          <w:rFonts w:ascii="Times New Roman" w:eastAsia="Times New Roman"/>
        </w:rPr>
        <w:t>+</w:t>
      </w:r>
      <w:r>
        <w:rPr>
          <w:spacing w:val="-3"/>
        </w:rPr>
        <w:t>过滤除臭工艺进行猪舍臭气的末端治理。在场内主要臭气排放的构筑物建设等宽的臭气收集处理间，在臭气处理间安装管道喷雾系统，利用喷雾形成的水幕降解空气中的臭气分子，从而达到臭气末端治理的目的。根据设计单位提供的工程实例，采</w:t>
      </w:r>
      <w:r>
        <w:rPr>
          <w:spacing w:val="-11"/>
          <w:position w:val="2"/>
        </w:rPr>
        <w:t>用该工艺可实现 </w:t>
      </w:r>
      <w:r>
        <w:rPr>
          <w:rFonts w:ascii="Times New Roman" w:eastAsia="Times New Roman"/>
          <w:position w:val="2"/>
        </w:rPr>
        <w:t>NH</w:t>
      </w:r>
      <w:r>
        <w:rPr>
          <w:rFonts w:ascii="Times New Roman" w:eastAsia="Times New Roman"/>
          <w:sz w:val="16"/>
        </w:rPr>
        <w:t>3</w:t>
      </w:r>
      <w:r>
        <w:rPr>
          <w:spacing w:val="-7"/>
          <w:position w:val="2"/>
        </w:rPr>
        <w:t>、粉尘、恶臭减排 </w:t>
      </w:r>
      <w:r>
        <w:rPr>
          <w:rFonts w:ascii="Times New Roman" w:eastAsia="Times New Roman"/>
          <w:position w:val="2"/>
        </w:rPr>
        <w:t>80%</w:t>
      </w:r>
      <w:r>
        <w:rPr>
          <w:spacing w:val="-9"/>
          <w:position w:val="2"/>
        </w:rPr>
        <w:t>，微生物减排 </w:t>
      </w:r>
      <w:r>
        <w:rPr>
          <w:rFonts w:ascii="Times New Roman" w:eastAsia="Times New Roman"/>
          <w:position w:val="2"/>
        </w:rPr>
        <w:t>70%</w:t>
      </w:r>
      <w:r>
        <w:rPr>
          <w:position w:val="2"/>
        </w:rPr>
        <w:t>。</w:t>
      </w:r>
    </w:p>
    <w:p>
      <w:pPr>
        <w:pStyle w:val="Heading3"/>
        <w:numPr>
          <w:ilvl w:val="0"/>
          <w:numId w:val="38"/>
        </w:numPr>
        <w:tabs>
          <w:tab w:pos="1082" w:val="left" w:leader="none"/>
        </w:tabs>
        <w:spacing w:line="240" w:lineRule="auto" w:before="2" w:after="0"/>
        <w:ind w:left="1081" w:right="0" w:hanging="363"/>
        <w:jc w:val="left"/>
      </w:pPr>
      <w:r>
        <w:rPr/>
        <w:t>污水站臭气</w:t>
      </w:r>
    </w:p>
    <w:p>
      <w:pPr>
        <w:pStyle w:val="BodyText"/>
        <w:spacing w:line="364" w:lineRule="auto" w:before="161"/>
        <w:ind w:right="254" w:firstLine="480"/>
        <w:jc w:val="both"/>
      </w:pPr>
      <w:r>
        <w:rPr/>
        <w:t>污水处理站在污水处理工程中会产生少量恶臭，其主要成分为硫化氢和氨气，主要来源为集污池、调节池、厌氧罐、</w:t>
      </w:r>
      <w:r>
        <w:rPr>
          <w:rFonts w:ascii="Times New Roman" w:eastAsia="Times New Roman"/>
        </w:rPr>
        <w:t>A/O </w:t>
      </w:r>
      <w:r>
        <w:rPr/>
        <w:t>生化处理池等。本项目对污水处理区域所有的液面均进行密封处理，内部臭气集中收集，经过处理达标后由 </w:t>
      </w:r>
      <w:r>
        <w:rPr>
          <w:rFonts w:ascii="Times New Roman" w:eastAsia="Times New Roman"/>
        </w:rPr>
        <w:t>15m </w:t>
      </w:r>
      <w:r>
        <w:rPr/>
        <w:t>高排气筒排放。</w:t>
      </w:r>
    </w:p>
    <w:p>
      <w:pPr>
        <w:pStyle w:val="Heading3"/>
        <w:spacing w:before="2"/>
      </w:pPr>
      <w:r>
        <w:rPr>
          <w:rFonts w:ascii="Times New Roman" w:eastAsia="Times New Roman"/>
        </w:rPr>
        <w:t>3</w:t>
      </w:r>
      <w:r>
        <w:rPr/>
        <w:t>、病死猪无害化处理工艺</w:t>
      </w:r>
    </w:p>
    <w:p>
      <w:pPr>
        <w:pStyle w:val="BodyText"/>
        <w:spacing w:line="364" w:lineRule="auto" w:before="161"/>
        <w:ind w:right="248" w:firstLine="480"/>
        <w:jc w:val="both"/>
      </w:pPr>
      <w:r>
        <w:rPr/>
        <w:t>本项目病死猪产生后及时清理并暂存于无害化处理间的冷藏间内（母猪分娩废物等也一起暂存处理</w:t>
      </w:r>
      <w:r>
        <w:rPr>
          <w:spacing w:val="-3"/>
        </w:rPr>
        <w:t>）</w:t>
      </w:r>
      <w:r>
        <w:rPr>
          <w:spacing w:val="-2"/>
        </w:rPr>
        <w:t>，暂按绍柯农</w:t>
      </w:r>
      <w:r>
        <w:rPr>
          <w:rFonts w:ascii="Times New Roman" w:hAnsi="Times New Roman" w:eastAsia="Times New Roman"/>
        </w:rPr>
        <w:t>[2019]4 </w:t>
      </w:r>
      <w:r>
        <w:rPr>
          <w:spacing w:val="-3"/>
        </w:rPr>
        <w:t>号要求自行处置。根据《关于病害动物无害化处</w:t>
      </w:r>
      <w:r>
        <w:rPr>
          <w:spacing w:val="-7"/>
        </w:rPr>
        <w:t>理有关意见的复函》</w:t>
      </w:r>
      <w:r>
        <w:rPr/>
        <w:t>（环办函</w:t>
      </w:r>
      <w:r>
        <w:rPr>
          <w:rFonts w:ascii="Times New Roman" w:hAnsi="Times New Roman" w:eastAsia="Times New Roman"/>
        </w:rPr>
        <w:t>[2014]789 </w:t>
      </w:r>
      <w:r>
        <w:rPr/>
        <w:t>号</w:t>
      </w:r>
      <w:r>
        <w:rPr>
          <w:spacing w:val="-27"/>
        </w:rPr>
        <w:t>）</w:t>
      </w:r>
      <w:r>
        <w:rPr>
          <w:spacing w:val="-4"/>
        </w:rPr>
        <w:t>的规定，</w:t>
      </w:r>
      <w:r>
        <w:rPr>
          <w:rFonts w:ascii="Times New Roman" w:hAnsi="Times New Roman" w:eastAsia="Times New Roman"/>
          <w:spacing w:val="-15"/>
        </w:rPr>
        <w:t>“</w:t>
      </w:r>
      <w:r>
        <w:rPr>
          <w:spacing w:val="-1"/>
        </w:rPr>
        <w:t>为防治动物传染病而需要收集和处</w:t>
      </w:r>
      <w:r>
        <w:rPr/>
        <w:t>置的废物</w:t>
      </w:r>
      <w:r>
        <w:rPr>
          <w:rFonts w:ascii="Times New Roman" w:hAnsi="Times New Roman" w:eastAsia="Times New Roman"/>
        </w:rPr>
        <w:t>”</w:t>
      </w:r>
      <w:r>
        <w:rPr>
          <w:spacing w:val="-3"/>
        </w:rPr>
        <w:t>被列入《国家危险废物名录》中，因此本项目病死猪属性为危险废物，适用代</w:t>
      </w:r>
      <w:r>
        <w:rPr>
          <w:spacing w:val="-23"/>
        </w:rPr>
        <w:t>码为 </w:t>
      </w:r>
      <w:r>
        <w:rPr>
          <w:rFonts w:ascii="Times New Roman" w:hAnsi="Times New Roman" w:eastAsia="Times New Roman"/>
        </w:rPr>
        <w:t>HW01,841-003-01</w:t>
      </w:r>
      <w:r>
        <w:rPr>
          <w:spacing w:val="-11"/>
        </w:rPr>
        <w:t>。但是，根据法律位阶高于部门规章的法律适用规则，病害动物的</w:t>
      </w:r>
      <w:r>
        <w:rPr>
          <w:spacing w:val="-10"/>
        </w:rPr>
        <w:t>无害化处理应执行《动物防疫法》，即应当按照国务院兽医主管部门的规定进行无害化</w:t>
      </w:r>
      <w:r>
        <w:rPr>
          <w:spacing w:val="-20"/>
        </w:rPr>
        <w:t>处理；同时，根据《关于进一步加强病死动物无害化处理监管工作的通知</w:t>
      </w:r>
      <w:r>
        <w:rPr>
          <w:spacing w:val="-216"/>
        </w:rPr>
        <w:t>》</w:t>
      </w:r>
      <w:r>
        <w:rPr/>
        <w:t>（农医发</w:t>
      </w:r>
      <w:r>
        <w:rPr>
          <w:rFonts w:ascii="Times New Roman" w:hAnsi="Times New Roman" w:eastAsia="Times New Roman"/>
          <w:spacing w:val="-3"/>
        </w:rPr>
        <w:t>[2012]12 </w:t>
      </w:r>
      <w:r>
        <w:rPr/>
        <w:t>号），动物卫生监督机构承担病死动物及动物产品无害化处理的监督责任。</w:t>
      </w:r>
    </w:p>
    <w:p>
      <w:pPr>
        <w:pStyle w:val="BodyText"/>
        <w:spacing w:line="364" w:lineRule="auto" w:before="5"/>
        <w:ind w:right="133" w:firstLine="480"/>
      </w:pPr>
      <w:r>
        <w:rPr/>
        <w:t>本项目拟采用</w:t>
      </w:r>
      <w:r>
        <w:rPr>
          <w:rFonts w:ascii="Times New Roman" w:hAnsi="Times New Roman" w:eastAsia="Times New Roman"/>
        </w:rPr>
        <w:t>“</w:t>
      </w:r>
      <w:r>
        <w:rPr/>
        <w:t>生物降解</w:t>
      </w:r>
      <w:r>
        <w:rPr>
          <w:rFonts w:ascii="Times New Roman" w:hAnsi="Times New Roman" w:eastAsia="Times New Roman"/>
        </w:rPr>
        <w:t>+</w:t>
      </w:r>
      <w:r>
        <w:rPr/>
        <w:t>高温杀菌</w:t>
      </w:r>
      <w:r>
        <w:rPr>
          <w:rFonts w:ascii="Times New Roman" w:hAnsi="Times New Roman" w:eastAsia="Times New Roman"/>
          <w:spacing w:val="-35"/>
        </w:rPr>
        <w:t>”</w:t>
      </w:r>
      <w:r>
        <w:rPr>
          <w:spacing w:val="-35"/>
        </w:rPr>
        <w:t>（</w:t>
      </w:r>
      <w:r>
        <w:rPr/>
        <w:t>高温生物降解法</w:t>
      </w:r>
      <w:r>
        <w:rPr>
          <w:spacing w:val="-68"/>
        </w:rPr>
        <w:t>）</w:t>
      </w:r>
      <w:r>
        <w:rPr>
          <w:spacing w:val="-2"/>
        </w:rPr>
        <w:t>无害化处理工艺处理病死猪。</w:t>
      </w:r>
      <w:r>
        <w:rPr/>
        <w:t>该技术可有效克服传统病死畜禽处理方法存在的处理不彻底、污染大气和水源、占用土地资源等问题，降低对居民身体健康和公共卫生安全的威胁，推进畜牧业转型升级，促</w:t>
      </w:r>
    </w:p>
    <w:p>
      <w:pPr>
        <w:spacing w:after="0" w:line="364" w:lineRule="auto"/>
        <w:sectPr>
          <w:pgSz w:w="11910" w:h="16840"/>
          <w:pgMar w:header="874" w:footer="1004" w:top="1400" w:bottom="1200" w:left="1040" w:right="1160"/>
        </w:sectPr>
      </w:pPr>
    </w:p>
    <w:p>
      <w:pPr>
        <w:pStyle w:val="BodyText"/>
        <w:spacing w:line="364" w:lineRule="auto" w:before="105"/>
        <w:ind w:right="132"/>
      </w:pPr>
      <w:r>
        <w:rPr/>
        <w:t>进畜牧业绿色发展。高温生物降解法是采用垫料吸水，通过加热和添加生物酶的处理方</w:t>
      </w:r>
      <w:r>
        <w:rPr>
          <w:spacing w:val="-8"/>
        </w:rPr>
        <w:t>式，在常压、高温、</w:t>
      </w:r>
      <w:r>
        <w:rPr>
          <w:rFonts w:ascii="Times New Roman" w:hAnsi="Times New Roman" w:eastAsia="Times New Roman"/>
        </w:rPr>
        <w:t>10h </w:t>
      </w:r>
      <w:r>
        <w:rPr>
          <w:spacing w:val="-2"/>
        </w:rPr>
        <w:t>以内灭杀细菌和病毒的病死畜禽处理工艺。处理工艺过程为：把病死畜禽尸体投入无害化处理机设备的处理槽中，并添加专用的微生物菌剂和辅料</w:t>
      </w:r>
      <w:r>
        <w:rPr/>
        <w:t>（谷糠、锯末、麸皮、秸秆等</w:t>
      </w:r>
      <w:r>
        <w:rPr>
          <w:spacing w:val="2"/>
        </w:rPr>
        <w:t>）</w:t>
      </w:r>
      <w:r>
        <w:rPr/>
        <w:t>，通过分切、绞碎、发酵、杀菌、干燥五大步骤对病死畜禽</w:t>
      </w:r>
      <w:r>
        <w:rPr>
          <w:spacing w:val="-6"/>
        </w:rPr>
        <w:t>进行处理，将有机物成功转化为无害颗粒状有机肥原料；整个过程的分切、绞碎、发酵、</w:t>
      </w:r>
      <w:r>
        <w:rPr>
          <w:spacing w:val="-8"/>
        </w:rPr>
        <w:t>杀菌、干燥五大步骤均在密闭的</w:t>
      </w:r>
      <w:r>
        <w:rPr>
          <w:rFonts w:ascii="Times New Roman" w:hAnsi="Times New Roman" w:eastAsia="Times New Roman"/>
        </w:rPr>
        <w:t>“</w:t>
      </w:r>
      <w:r>
        <w:rPr/>
        <w:t>处理槽</w:t>
      </w:r>
      <w:r>
        <w:rPr>
          <w:rFonts w:ascii="Times New Roman" w:hAnsi="Times New Roman" w:eastAsia="Times New Roman"/>
        </w:rPr>
        <w:t>”</w:t>
      </w:r>
      <w:r>
        <w:rPr>
          <w:spacing w:val="-16"/>
        </w:rPr>
        <w:t>内一气呵成自动完成，无烟、无臭、无血水排放， </w:t>
      </w:r>
      <w:r>
        <w:rPr/>
        <w:t>科学、高效、清洁、环保。处理后的产物同猪粪一起进发酵罐处理后外运至第三方企业生产有机肥，可实现病害动物的无害化处理与资源化合理利用。</w:t>
      </w:r>
    </w:p>
    <w:p>
      <w:pPr>
        <w:pStyle w:val="BodyText"/>
        <w:spacing w:before="6"/>
        <w:ind w:left="717"/>
      </w:pPr>
      <w:r>
        <w:rPr/>
        <w:pict>
          <v:group style="position:absolute;margin-left:161.006668pt;margin-top:31.736849pt;width:350.7pt;height:80.55pt;mso-position-horizontal-relative:page;mso-position-vertical-relative:paragraph;z-index:251735040" coordorigin="3220,635" coordsize="7014,1611">
            <v:line style="position:absolute" from="3871,1124" to="4423,1124" stroked="true" strokeweight=".142008pt" strokecolor="#000000">
              <v:stroke dashstyle="solid"/>
            </v:line>
            <v:shape style="position:absolute;left:4414;top:1098;width:94;height:60" coordorigin="4415,1099" coordsize="94,60" path="m4415,1099l4415,1159,4508,1124,4415,1099xe" filled="true" fillcolor="#000000" stroked="false">
              <v:path arrowok="t"/>
              <v:fill type="solid"/>
            </v:shape>
            <v:line style="position:absolute" from="5155,1124" to="5554,1124" stroked="true" strokeweight=".142008pt" strokecolor="#000000">
              <v:stroke dashstyle="solid"/>
            </v:line>
            <v:shape style="position:absolute;left:5545;top:1098;width:94;height:60" coordorigin="5546,1099" coordsize="94,60" path="m5546,1099l5546,1159,5639,1124,5546,1099xe" filled="true" fillcolor="#000000" stroked="false">
              <v:path arrowok="t"/>
              <v:fill type="solid"/>
            </v:shape>
            <v:line style="position:absolute" from="7408,1124" to="7800,1124" stroked="true" strokeweight=".142008pt" strokecolor="#000000">
              <v:stroke dashstyle="solid"/>
            </v:line>
            <v:shape style="position:absolute;left:7791;top:1098;width:94;height:60" coordorigin="7791,1099" coordsize="94,60" path="m7791,1099l7791,1159,7885,1124,7791,1099xe" filled="true" fillcolor="#000000" stroked="false">
              <v:path arrowok="t"/>
              <v:fill type="solid"/>
            </v:shape>
            <v:line style="position:absolute" from="8531,1124" to="8922,1124" stroked="true" strokeweight=".142008pt" strokecolor="#000000">
              <v:stroke dashstyle="solid"/>
            </v:line>
            <v:shape style="position:absolute;left:8922;top:1098;width:94;height:60" coordorigin="8922,1099" coordsize="94,60" path="m8922,1099l8922,1159,9016,1124,8922,1099xe" filled="true" fillcolor="#000000" stroked="false">
              <v:path arrowok="t"/>
              <v:fill type="solid"/>
            </v:shape>
            <v:rect style="position:absolute;left:4193;top:638;width:5877;height:759" filled="false" stroked="true" strokeweight=".408971pt" strokecolor="#000000">
              <v:stroke dashstyle="shortdash"/>
            </v:rect>
            <v:shape style="position:absolute;left:9653;top:1124;width:579;height:972" coordorigin="9654,1124" coordsize="579,972" path="m9654,1124l10232,1124,10232,2096,9739,2096e" filled="false" stroked="true" strokeweight=".141811pt" strokecolor="#000000">
              <v:path arrowok="t"/>
              <v:stroke dashstyle="solid"/>
            </v:shape>
            <v:shape style="position:absolute;left:9653;top:2061;width:94;height:60" coordorigin="9654,2062" coordsize="94,60" path="m9747,2062l9654,2096,9747,2121,9747,2062xe" filled="true" fillcolor="#000000" stroked="false">
              <v:path arrowok="t"/>
              <v:fill type="solid"/>
            </v:shape>
            <v:line style="position:absolute" from="6277,1124" to="6677,1124" stroked="true" strokeweight=".142008pt" strokecolor="#000000">
              <v:stroke dashstyle="solid"/>
            </v:line>
            <v:shape style="position:absolute;left:6668;top:1098;width:94;height:60" coordorigin="6669,1099" coordsize="94,60" path="m6669,1099l6669,1159,6762,1124,6669,1099xe" filled="true" fillcolor="#000000" stroked="false">
              <v:path arrowok="t"/>
              <v:fill type="solid"/>
            </v:shape>
            <v:line style="position:absolute" from="7085,2096" to="6686,2096" stroked="true" strokeweight=".142008pt" strokecolor="#000000">
              <v:stroke dashstyle="solid"/>
            </v:line>
            <v:shape style="position:absolute;left:6600;top:2061;width:94;height:60" coordorigin="6601,2062" coordsize="94,60" path="m6694,2062l6601,2096,6694,2121,6694,2062xe" filled="true" fillcolor="#000000" stroked="false">
              <v:path arrowok="t"/>
              <v:fill type="solid"/>
            </v:shape>
            <v:line style="position:absolute" from="7085,1397" to="7085,1457" stroked="true" strokeweight=".141741pt" strokecolor="#000000">
              <v:stroke dashstyle="shortdot"/>
            </v:line>
            <v:shape style="position:absolute;left:7051;top:1448;width:69;height:94" coordorigin="7051,1448" coordsize="69,94" path="m7119,1448l7051,1448,7085,1542,7119,1448xe" filled="true" fillcolor="#000000" stroked="false">
              <v:path arrowok="t"/>
              <v:fill type="solid"/>
            </v:shape>
            <v:line style="position:absolute" from="9016,2096" to="8616,2096" stroked="true" strokeweight=".142008pt" strokecolor="#000000">
              <v:stroke dashstyle="solid"/>
            </v:line>
            <v:shape style="position:absolute;left:8531;top:2061;width:94;height:60" coordorigin="8531,2062" coordsize="94,60" path="m8625,2062l8531,2096,8625,2121,8625,2062xe" filled="true" fillcolor="#000000" stroked="false">
              <v:path arrowok="t"/>
              <v:fill type="solid"/>
            </v:shape>
            <v:shape style="position:absolute;left:6410;top:717;width:1381;height:137" type="#_x0000_t202" filled="false" stroked="false">
              <v:textbox inset="0,0,0,0">
                <w:txbxContent>
                  <w:p>
                    <w:pPr>
                      <w:spacing w:line="136" w:lineRule="exact" w:before="0"/>
                      <w:ind w:left="0" w:right="0" w:firstLine="0"/>
                      <w:jc w:val="left"/>
                      <w:rPr>
                        <w:sz w:val="13"/>
                      </w:rPr>
                    </w:pPr>
                    <w:r>
                      <w:rPr>
                        <w:w w:val="105"/>
                        <w:sz w:val="13"/>
                      </w:rPr>
                      <w:t>密闭处理机内一气呵成</w:t>
                    </w:r>
                  </w:p>
                </w:txbxContent>
              </v:textbox>
              <w10:wrap type="none"/>
            </v:shape>
            <v:shape style="position:absolute;left:6686;top:1562;width:814;height:114" type="#_x0000_t202" filled="false" stroked="false">
              <v:textbox inset="0,0,0,0">
                <w:txbxContent>
                  <w:p>
                    <w:pPr>
                      <w:spacing w:line="114" w:lineRule="exact" w:before="0"/>
                      <w:ind w:left="0" w:right="0" w:firstLine="0"/>
                      <w:jc w:val="left"/>
                      <w:rPr>
                        <w:sz w:val="11"/>
                      </w:rPr>
                    </w:pPr>
                    <w:r>
                      <w:rPr>
                        <w:sz w:val="11"/>
                      </w:rPr>
                      <w:t>喷淋废水、臭气</w:t>
                    </w:r>
                  </w:p>
                </w:txbxContent>
              </v:textbox>
              <w10:wrap type="none"/>
            </v:shape>
            <v:shape style="position:absolute;left:6224;top:2021;width:293;height:137" type="#_x0000_t202" filled="false" stroked="false">
              <v:textbox inset="0,0,0,0">
                <w:txbxContent>
                  <w:p>
                    <w:pPr>
                      <w:spacing w:line="136" w:lineRule="exact" w:before="0"/>
                      <w:ind w:left="0" w:right="0" w:firstLine="0"/>
                      <w:jc w:val="left"/>
                      <w:rPr>
                        <w:sz w:val="13"/>
                      </w:rPr>
                    </w:pPr>
                    <w:r>
                      <w:rPr>
                        <w:w w:val="105"/>
                        <w:sz w:val="13"/>
                      </w:rPr>
                      <w:t>外运</w:t>
                    </w:r>
                  </w:p>
                </w:txbxContent>
              </v:textbox>
              <w10:wrap type="none"/>
            </v:shape>
            <v:shape style="position:absolute;left:9015;top:1942;width:638;height:299" type="#_x0000_t202" filled="true" fillcolor="#8b8b8b" stroked="true" strokeweight=".408847pt" strokecolor="#000000">
              <v:textbox inset="0,0,0,0">
                <w:txbxContent>
                  <w:p>
                    <w:pPr>
                      <w:spacing w:before="62"/>
                      <w:ind w:left="177" w:right="0" w:firstLine="0"/>
                      <w:jc w:val="left"/>
                      <w:rPr>
                        <w:sz w:val="13"/>
                      </w:rPr>
                    </w:pPr>
                    <w:r>
                      <w:rPr>
                        <w:w w:val="105"/>
                        <w:sz w:val="13"/>
                      </w:rPr>
                      <w:t>出料</w:t>
                    </w:r>
                  </w:p>
                </w:txbxContent>
              </v:textbox>
              <v:fill opacity="19532f" type="solid"/>
              <v:stroke dashstyle="solid"/>
              <w10:wrap type="none"/>
            </v:shape>
            <v:shape style="position:absolute;left:7085;top:1942;width:1446;height:299" type="#_x0000_t202" filled="true" fillcolor="#8b8b8b" stroked="true" strokeweight=".408953pt" strokecolor="#000000">
              <v:textbox inset="0,0,0,0">
                <w:txbxContent>
                  <w:p>
                    <w:pPr>
                      <w:spacing w:before="62"/>
                      <w:ind w:left="105" w:right="0" w:firstLine="0"/>
                      <w:jc w:val="left"/>
                      <w:rPr>
                        <w:sz w:val="13"/>
                      </w:rPr>
                    </w:pPr>
                    <w:r>
                      <w:rPr>
                        <w:w w:val="105"/>
                        <w:sz w:val="13"/>
                      </w:rPr>
                      <w:t>猪粪发酵罐二次发酵</w:t>
                    </w:r>
                  </w:p>
                </w:txbxContent>
              </v:textbox>
              <v:fill opacity="19532f" type="solid"/>
              <v:stroke dashstyle="solid"/>
              <w10:wrap type="none"/>
            </v:shape>
            <v:shape style="position:absolute;left:9015;top:979;width:638;height:299" type="#_x0000_t202" filled="true" fillcolor="#8b8b8b" stroked="true" strokeweight=".408847pt" strokecolor="#000000">
              <v:textbox inset="0,0,0,0">
                <w:txbxContent>
                  <w:p>
                    <w:pPr>
                      <w:spacing w:before="59"/>
                      <w:ind w:left="177" w:right="0" w:firstLine="0"/>
                      <w:jc w:val="left"/>
                      <w:rPr>
                        <w:sz w:val="13"/>
                      </w:rPr>
                    </w:pPr>
                    <w:r>
                      <w:rPr>
                        <w:w w:val="105"/>
                        <w:sz w:val="13"/>
                      </w:rPr>
                      <w:t>干燥</w:t>
                    </w:r>
                  </w:p>
                </w:txbxContent>
              </v:textbox>
              <v:fill opacity="19532f" type="solid"/>
              <v:stroke dashstyle="solid"/>
              <w10:wrap type="none"/>
            </v:shape>
            <v:shape style="position:absolute;left:3224;top:979;width:647;height:299" type="#_x0000_t202" filled="true" fillcolor="#8b8b8b" stroked="true" strokeweight=".40885pt" strokecolor="#000000">
              <v:textbox inset="0,0,0,0">
                <w:txbxContent>
                  <w:p>
                    <w:pPr>
                      <w:spacing w:before="59"/>
                      <w:ind w:left="115" w:right="0" w:firstLine="0"/>
                      <w:jc w:val="left"/>
                      <w:rPr>
                        <w:sz w:val="13"/>
                      </w:rPr>
                    </w:pPr>
                    <w:r>
                      <w:rPr>
                        <w:w w:val="105"/>
                        <w:sz w:val="13"/>
                      </w:rPr>
                      <w:t>进料斗</w:t>
                    </w:r>
                  </w:p>
                </w:txbxContent>
              </v:textbox>
              <v:fill opacity="19532f" type="solid"/>
              <v:stroke dashstyle="solid"/>
              <w10:wrap type="none"/>
            </v:shape>
            <v:shape style="position:absolute;left:7884;top:979;width:647;height:299" type="#_x0000_t202" filled="true" fillcolor="#8b8b8b" stroked="true" strokeweight=".40885pt" strokecolor="#000000">
              <v:textbox inset="0,0,0,0">
                <w:txbxContent>
                  <w:p>
                    <w:pPr>
                      <w:spacing w:before="59"/>
                      <w:ind w:left="183" w:right="0" w:firstLine="0"/>
                      <w:jc w:val="left"/>
                      <w:rPr>
                        <w:sz w:val="13"/>
                      </w:rPr>
                    </w:pPr>
                    <w:r>
                      <w:rPr>
                        <w:w w:val="105"/>
                        <w:sz w:val="13"/>
                      </w:rPr>
                      <w:t>杀菌</w:t>
                    </w:r>
                  </w:p>
                </w:txbxContent>
              </v:textbox>
              <v:fill opacity="19532f" type="solid"/>
              <v:stroke dashstyle="solid"/>
              <w10:wrap type="none"/>
            </v:shape>
            <v:shape style="position:absolute;left:6762;top:979;width:647;height:299" type="#_x0000_t202" filled="true" fillcolor="#8b8b8b" stroked="true" strokeweight=".40885pt" strokecolor="#000000">
              <v:textbox inset="0,0,0,0">
                <w:txbxContent>
                  <w:p>
                    <w:pPr>
                      <w:spacing w:before="59"/>
                      <w:ind w:left="181" w:right="0" w:firstLine="0"/>
                      <w:jc w:val="left"/>
                      <w:rPr>
                        <w:sz w:val="13"/>
                      </w:rPr>
                    </w:pPr>
                    <w:r>
                      <w:rPr>
                        <w:w w:val="105"/>
                        <w:sz w:val="13"/>
                      </w:rPr>
                      <w:t>发酵</w:t>
                    </w:r>
                  </w:p>
                </w:txbxContent>
              </v:textbox>
              <v:fill opacity="19532f" type="solid"/>
              <v:stroke dashstyle="solid"/>
              <w10:wrap type="none"/>
            </v:shape>
            <v:shape style="position:absolute;left:5639;top:979;width:638;height:299" type="#_x0000_t202" filled="true" fillcolor="#8b8b8b" stroked="true" strokeweight=".408847pt" strokecolor="#000000">
              <v:textbox inset="0,0,0,0">
                <w:txbxContent>
                  <w:p>
                    <w:pPr>
                      <w:spacing w:before="59"/>
                      <w:ind w:left="179" w:right="0" w:firstLine="0"/>
                      <w:jc w:val="left"/>
                      <w:rPr>
                        <w:sz w:val="13"/>
                      </w:rPr>
                    </w:pPr>
                    <w:r>
                      <w:rPr>
                        <w:w w:val="105"/>
                        <w:sz w:val="13"/>
                      </w:rPr>
                      <w:t>搅碎</w:t>
                    </w:r>
                  </w:p>
                </w:txbxContent>
              </v:textbox>
              <v:fill opacity="19532f" type="solid"/>
              <v:stroke dashstyle="solid"/>
              <w10:wrap type="none"/>
            </v:shape>
            <v:shape style="position:absolute;left:4508;top:979;width:647;height:299" type="#_x0000_t202" filled="true" fillcolor="#8b8b8b" stroked="true" strokeweight=".40885pt" strokecolor="#000000">
              <v:textbox inset="0,0,0,0">
                <w:txbxContent>
                  <w:p>
                    <w:pPr>
                      <w:spacing w:before="59"/>
                      <w:ind w:left="185" w:right="0" w:firstLine="0"/>
                      <w:jc w:val="left"/>
                      <w:rPr>
                        <w:sz w:val="13"/>
                      </w:rPr>
                    </w:pPr>
                    <w:r>
                      <w:rPr>
                        <w:w w:val="105"/>
                        <w:sz w:val="13"/>
                      </w:rPr>
                      <w:t>分切</w:t>
                    </w:r>
                  </w:p>
                </w:txbxContent>
              </v:textbox>
              <v:fill opacity="19532f" type="solid"/>
              <v:stroke dashstyle="solid"/>
              <w10:wrap type="none"/>
            </v:shape>
            <w10:wrap type="none"/>
          </v:group>
        </w:pict>
      </w:r>
      <w:r>
        <w:rPr/>
        <w:t>具体工艺如下图所示：</w:t>
      </w:r>
    </w:p>
    <w:p>
      <w:pPr>
        <w:pStyle w:val="BodyText"/>
        <w:ind w:left="0"/>
      </w:pPr>
    </w:p>
    <w:p>
      <w:pPr>
        <w:pStyle w:val="BodyText"/>
        <w:spacing w:before="11"/>
        <w:ind w:left="0"/>
        <w:rPr>
          <w:sz w:val="32"/>
        </w:rPr>
      </w:pPr>
    </w:p>
    <w:p>
      <w:pPr>
        <w:spacing w:before="0"/>
        <w:ind w:left="814" w:right="0" w:firstLine="0"/>
        <w:jc w:val="left"/>
        <w:rPr>
          <w:sz w:val="13"/>
        </w:rPr>
      </w:pPr>
      <w:r>
        <w:rPr/>
        <w:pict>
          <v:group style="position:absolute;margin-left:137.398544pt;margin-top:2.807781pt;width:23.85pt;height:3pt;mso-position-horizontal-relative:page;mso-position-vertical-relative:paragraph;z-index:251722752" coordorigin="2748,56" coordsize="477,60">
            <v:line style="position:absolute" from="2748,82" to="3139,82" stroked="true" strokeweight=".142008pt" strokecolor="#000000">
              <v:stroke dashstyle="solid"/>
            </v:line>
            <v:shape style="position:absolute;left:3130;top:56;width:94;height:60" coordorigin="3131,56" coordsize="94,60" path="m3131,56l3131,116,3224,82,3131,56xe" filled="true" fillcolor="#000000" stroked="false">
              <v:path arrowok="t"/>
              <v:fill type="solid"/>
            </v:shape>
            <w10:wrap type="none"/>
          </v:group>
        </w:pict>
      </w:r>
      <w:r>
        <w:rPr>
          <w:w w:val="105"/>
          <w:sz w:val="13"/>
        </w:rPr>
        <w:t>病死猪、辅料</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7"/>
        </w:rPr>
      </w:pPr>
    </w:p>
    <w:p>
      <w:pPr>
        <w:pStyle w:val="Heading3"/>
        <w:spacing w:before="76"/>
        <w:ind w:left="218" w:right="236"/>
        <w:jc w:val="center"/>
      </w:pPr>
      <w:r>
        <w:rPr/>
        <w:t>图 </w:t>
      </w:r>
      <w:r>
        <w:rPr>
          <w:rFonts w:ascii="Times New Roman" w:eastAsia="Times New Roman"/>
        </w:rPr>
        <w:t>3.2-6  </w:t>
      </w:r>
      <w:r>
        <w:rPr/>
        <w:t>病死猪无害化处理工艺流程</w:t>
      </w:r>
    </w:p>
    <w:p>
      <w:pPr>
        <w:pStyle w:val="ListParagraph"/>
        <w:numPr>
          <w:ilvl w:val="0"/>
          <w:numId w:val="39"/>
        </w:numPr>
        <w:tabs>
          <w:tab w:pos="1323" w:val="left" w:leader="none"/>
        </w:tabs>
        <w:spacing w:line="240" w:lineRule="auto" w:before="161" w:after="0"/>
        <w:ind w:left="1323" w:right="0" w:hanging="604"/>
        <w:jc w:val="left"/>
        <w:rPr>
          <w:b/>
          <w:sz w:val="24"/>
        </w:rPr>
      </w:pPr>
      <w:r>
        <w:rPr>
          <w:b/>
          <w:sz w:val="24"/>
        </w:rPr>
        <w:t>与传统无害化处理技术的优缺点对比</w:t>
      </w:r>
    </w:p>
    <w:p>
      <w:pPr>
        <w:pStyle w:val="BodyText"/>
        <w:spacing w:line="364" w:lineRule="auto" w:before="160"/>
        <w:ind w:right="249" w:firstLine="480"/>
        <w:jc w:val="both"/>
      </w:pPr>
      <w:r>
        <w:rPr/>
        <w:t>《农业部关于印发</w:t>
      </w:r>
      <w:r>
        <w:rPr>
          <w:rFonts w:ascii="Times New Roman" w:eastAsia="Times New Roman"/>
        </w:rPr>
        <w:t>&lt;</w:t>
      </w:r>
      <w:r>
        <w:rPr/>
        <w:t>病死及病害动物无害化处理技术规范</w:t>
      </w:r>
      <w:r>
        <w:rPr>
          <w:rFonts w:ascii="Times New Roman" w:eastAsia="Times New Roman"/>
        </w:rPr>
        <w:t>&gt;</w:t>
      </w:r>
      <w:r>
        <w:rPr>
          <w:spacing w:val="-24"/>
        </w:rPr>
        <w:t>的通知》</w:t>
      </w:r>
      <w:r>
        <w:rPr/>
        <w:t>（农医发</w:t>
      </w:r>
      <w:r>
        <w:rPr>
          <w:rFonts w:ascii="Times New Roman" w:eastAsia="Times New Roman"/>
          <w:spacing w:val="-3"/>
        </w:rPr>
        <w:t>[2017]25 </w:t>
      </w:r>
      <w:r>
        <w:rPr/>
        <w:t>号）列举了五种方法，即深埋法、化制法、焚烧法、高温法和硫酸分解法，以及目前中小型处理中心及养殖场使用较多的高温生物降解法，六项处理工艺的优缺点如下：</w:t>
      </w:r>
    </w:p>
    <w:p>
      <w:pPr>
        <w:pStyle w:val="Heading3"/>
        <w:spacing w:before="2"/>
        <w:ind w:left="2697"/>
        <w:jc w:val="both"/>
      </w:pPr>
      <w:r>
        <w:rPr/>
        <w:t>表 </w:t>
      </w:r>
      <w:r>
        <w:rPr>
          <w:rFonts w:ascii="Times New Roman" w:eastAsia="Times New Roman"/>
        </w:rPr>
        <w:t>3.2-1  </w:t>
      </w:r>
      <w:r>
        <w:rPr/>
        <w:t>六种无害化处理技术优缺点对比</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34"/>
        <w:gridCol w:w="3586"/>
        <w:gridCol w:w="4510"/>
      </w:tblGrid>
      <w:tr>
        <w:trPr>
          <w:trHeight w:val="359" w:hRule="atLeast"/>
        </w:trPr>
        <w:tc>
          <w:tcPr>
            <w:tcW w:w="1334" w:type="dxa"/>
            <w:tcBorders>
              <w:bottom w:val="single" w:sz="6" w:space="0" w:color="000000"/>
              <w:right w:val="single" w:sz="6" w:space="0" w:color="000000"/>
            </w:tcBorders>
          </w:tcPr>
          <w:p>
            <w:pPr>
              <w:pStyle w:val="TableParagraph"/>
              <w:spacing w:before="46"/>
              <w:ind w:left="119" w:right="98"/>
              <w:rPr>
                <w:rFonts w:ascii="宋体" w:eastAsia="宋体" w:hint="eastAsia"/>
                <w:b/>
                <w:sz w:val="21"/>
              </w:rPr>
            </w:pPr>
            <w:r>
              <w:rPr>
                <w:rFonts w:ascii="宋体" w:eastAsia="宋体" w:hint="eastAsia"/>
                <w:b/>
                <w:sz w:val="21"/>
              </w:rPr>
              <w:t>技术</w:t>
            </w:r>
          </w:p>
        </w:tc>
        <w:tc>
          <w:tcPr>
            <w:tcW w:w="3586" w:type="dxa"/>
            <w:tcBorders>
              <w:left w:val="single" w:sz="6" w:space="0" w:color="000000"/>
              <w:bottom w:val="single" w:sz="6" w:space="0" w:color="000000"/>
              <w:right w:val="single" w:sz="6" w:space="0" w:color="000000"/>
            </w:tcBorders>
          </w:tcPr>
          <w:p>
            <w:pPr>
              <w:pStyle w:val="TableParagraph"/>
              <w:spacing w:before="46"/>
              <w:ind w:left="100" w:right="70"/>
              <w:rPr>
                <w:rFonts w:ascii="宋体" w:eastAsia="宋体" w:hint="eastAsia"/>
                <w:b/>
                <w:sz w:val="21"/>
              </w:rPr>
            </w:pPr>
            <w:r>
              <w:rPr>
                <w:rFonts w:ascii="宋体" w:eastAsia="宋体" w:hint="eastAsia"/>
                <w:b/>
                <w:sz w:val="21"/>
              </w:rPr>
              <w:t>优点</w:t>
            </w:r>
          </w:p>
        </w:tc>
        <w:tc>
          <w:tcPr>
            <w:tcW w:w="4510" w:type="dxa"/>
            <w:tcBorders>
              <w:left w:val="single" w:sz="6" w:space="0" w:color="000000"/>
              <w:bottom w:val="single" w:sz="6" w:space="0" w:color="000000"/>
            </w:tcBorders>
          </w:tcPr>
          <w:p>
            <w:pPr>
              <w:pStyle w:val="TableParagraph"/>
              <w:spacing w:before="46"/>
              <w:ind w:left="139" w:right="103"/>
              <w:rPr>
                <w:rFonts w:ascii="宋体" w:eastAsia="宋体" w:hint="eastAsia"/>
                <w:b/>
                <w:sz w:val="21"/>
              </w:rPr>
            </w:pPr>
            <w:r>
              <w:rPr>
                <w:rFonts w:ascii="宋体" w:eastAsia="宋体" w:hint="eastAsia"/>
                <w:b/>
                <w:sz w:val="21"/>
              </w:rPr>
              <w:t>缺点</w:t>
            </w:r>
          </w:p>
        </w:tc>
      </w:tr>
      <w:tr>
        <w:trPr>
          <w:trHeight w:val="1077" w:hRule="atLeast"/>
        </w:trPr>
        <w:tc>
          <w:tcPr>
            <w:tcW w:w="1334"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0"/>
              <w:ind w:left="119" w:right="98"/>
              <w:rPr>
                <w:rFonts w:ascii="宋体" w:eastAsia="宋体" w:hint="eastAsia"/>
                <w:sz w:val="21"/>
              </w:rPr>
            </w:pPr>
            <w:r>
              <w:rPr>
                <w:rFonts w:ascii="宋体" w:eastAsia="宋体" w:hint="eastAsia"/>
                <w:sz w:val="21"/>
              </w:rPr>
              <w:t>深埋法</w:t>
            </w:r>
          </w:p>
        </w:tc>
        <w:tc>
          <w:tcPr>
            <w:tcW w:w="3586"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0"/>
              <w:ind w:left="100" w:right="69"/>
              <w:rPr>
                <w:rFonts w:ascii="宋体" w:eastAsia="宋体" w:hint="eastAsia"/>
                <w:sz w:val="21"/>
              </w:rPr>
            </w:pPr>
            <w:r>
              <w:rPr>
                <w:rFonts w:ascii="宋体" w:eastAsia="宋体" w:hint="eastAsia"/>
                <w:sz w:val="21"/>
              </w:rPr>
              <w:t>操作简单，尸体直接投入深埋。</w:t>
            </w:r>
          </w:p>
        </w:tc>
        <w:tc>
          <w:tcPr>
            <w:tcW w:w="4510" w:type="dxa"/>
            <w:tcBorders>
              <w:top w:val="single" w:sz="6" w:space="0" w:color="000000"/>
              <w:left w:val="single" w:sz="6" w:space="0" w:color="000000"/>
              <w:bottom w:val="single" w:sz="6" w:space="0" w:color="000000"/>
            </w:tcBorders>
          </w:tcPr>
          <w:p>
            <w:pPr>
              <w:pStyle w:val="TableParagraph"/>
              <w:spacing w:before="46"/>
              <w:ind w:left="161"/>
              <w:jc w:val="left"/>
              <w:rPr>
                <w:rFonts w:ascii="宋体" w:eastAsia="宋体" w:hint="eastAsia"/>
                <w:sz w:val="21"/>
              </w:rPr>
            </w:pPr>
            <w:r>
              <w:rPr>
                <w:rFonts w:ascii="宋体" w:eastAsia="宋体" w:hint="eastAsia"/>
                <w:sz w:val="21"/>
              </w:rPr>
              <w:t>占用大量土地资源，集中处理的人工费用高，</w:t>
            </w:r>
          </w:p>
          <w:p>
            <w:pPr>
              <w:pStyle w:val="TableParagraph"/>
              <w:spacing w:line="350" w:lineRule="atLeast" w:before="10"/>
              <w:ind w:left="1736" w:right="118" w:hanging="1575"/>
              <w:jc w:val="left"/>
              <w:rPr>
                <w:rFonts w:ascii="宋体" w:eastAsia="宋体" w:hint="eastAsia"/>
                <w:sz w:val="21"/>
              </w:rPr>
            </w:pPr>
            <w:r>
              <w:rPr>
                <w:rFonts w:ascii="宋体" w:eastAsia="宋体" w:hint="eastAsia"/>
                <w:sz w:val="21"/>
              </w:rPr>
              <w:t>病毒、细菌及寄生虫等易传播，并容易导致地下水污染。</w:t>
            </w:r>
          </w:p>
        </w:tc>
      </w:tr>
      <w:tr>
        <w:trPr>
          <w:trHeight w:val="717" w:hRule="atLeast"/>
        </w:trPr>
        <w:tc>
          <w:tcPr>
            <w:tcW w:w="1334" w:type="dxa"/>
            <w:tcBorders>
              <w:top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1"/>
              <w:ind w:left="119" w:right="98"/>
              <w:rPr>
                <w:rFonts w:ascii="宋体" w:eastAsia="宋体" w:hint="eastAsia"/>
                <w:sz w:val="21"/>
              </w:rPr>
            </w:pPr>
            <w:r>
              <w:rPr>
                <w:rFonts w:ascii="宋体" w:eastAsia="宋体" w:hint="eastAsia"/>
                <w:sz w:val="21"/>
              </w:rPr>
              <w:t>化制法</w:t>
            </w:r>
          </w:p>
        </w:tc>
        <w:tc>
          <w:tcPr>
            <w:tcW w:w="3586" w:type="dxa"/>
            <w:tcBorders>
              <w:top w:val="single" w:sz="6" w:space="0" w:color="000000"/>
              <w:left w:val="single" w:sz="6" w:space="0" w:color="000000"/>
              <w:bottom w:val="single" w:sz="6" w:space="0" w:color="000000"/>
              <w:right w:val="single" w:sz="6" w:space="0" w:color="000000"/>
            </w:tcBorders>
          </w:tcPr>
          <w:p>
            <w:pPr>
              <w:pStyle w:val="TableParagraph"/>
              <w:spacing w:before="46"/>
              <w:ind w:left="100" w:right="71"/>
              <w:rPr>
                <w:rFonts w:ascii="宋体" w:eastAsia="宋体" w:hint="eastAsia"/>
                <w:sz w:val="21"/>
              </w:rPr>
            </w:pPr>
            <w:r>
              <w:rPr>
                <w:rFonts w:ascii="宋体" w:eastAsia="宋体" w:hint="eastAsia"/>
                <w:sz w:val="21"/>
              </w:rPr>
              <w:t>处理量大，处理时间短，产出物附加</w:t>
            </w:r>
          </w:p>
          <w:p>
            <w:pPr>
              <w:pStyle w:val="TableParagraph"/>
              <w:spacing w:before="89"/>
              <w:ind w:left="100" w:right="70"/>
              <w:rPr>
                <w:rFonts w:ascii="宋体" w:eastAsia="宋体" w:hint="eastAsia"/>
                <w:sz w:val="21"/>
              </w:rPr>
            </w:pPr>
            <w:r>
              <w:rPr>
                <w:rFonts w:ascii="宋体" w:eastAsia="宋体" w:hint="eastAsia"/>
                <w:sz w:val="21"/>
              </w:rPr>
              <w:t>值高。</w:t>
            </w:r>
          </w:p>
        </w:tc>
        <w:tc>
          <w:tcPr>
            <w:tcW w:w="4510" w:type="dxa"/>
            <w:tcBorders>
              <w:top w:val="single" w:sz="6" w:space="0" w:color="000000"/>
              <w:left w:val="single" w:sz="6" w:space="0" w:color="000000"/>
              <w:bottom w:val="single" w:sz="6" w:space="0" w:color="000000"/>
            </w:tcBorders>
          </w:tcPr>
          <w:p>
            <w:pPr>
              <w:pStyle w:val="TableParagraph"/>
              <w:spacing w:before="46"/>
              <w:ind w:left="161"/>
              <w:jc w:val="left"/>
              <w:rPr>
                <w:rFonts w:ascii="宋体" w:eastAsia="宋体" w:hint="eastAsia"/>
                <w:sz w:val="21"/>
              </w:rPr>
            </w:pPr>
            <w:r>
              <w:rPr>
                <w:rFonts w:ascii="宋体" w:eastAsia="宋体" w:hint="eastAsia"/>
                <w:spacing w:val="-3"/>
                <w:sz w:val="21"/>
              </w:rPr>
              <w:t>一次性投资过大，设备占地面积广，设备处理</w:t>
            </w:r>
          </w:p>
          <w:p>
            <w:pPr>
              <w:pStyle w:val="TableParagraph"/>
              <w:spacing w:before="89"/>
              <w:ind w:left="161"/>
              <w:jc w:val="left"/>
              <w:rPr>
                <w:rFonts w:ascii="宋体" w:eastAsia="宋体" w:hint="eastAsia"/>
                <w:sz w:val="21"/>
              </w:rPr>
            </w:pPr>
            <w:r>
              <w:rPr>
                <w:rFonts w:ascii="宋体" w:eastAsia="宋体" w:hint="eastAsia"/>
                <w:spacing w:val="-3"/>
                <w:sz w:val="21"/>
              </w:rPr>
              <w:t>过程产生的臭气、废水量很大，处理成本高。</w:t>
            </w:r>
          </w:p>
        </w:tc>
      </w:tr>
      <w:tr>
        <w:trPr>
          <w:trHeight w:val="716" w:hRule="atLeast"/>
        </w:trPr>
        <w:tc>
          <w:tcPr>
            <w:tcW w:w="1334" w:type="dxa"/>
            <w:tcBorders>
              <w:top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19" w:right="98"/>
              <w:rPr>
                <w:rFonts w:ascii="宋体" w:eastAsia="宋体" w:hint="eastAsia"/>
                <w:sz w:val="21"/>
              </w:rPr>
            </w:pPr>
            <w:r>
              <w:rPr>
                <w:rFonts w:ascii="宋体" w:eastAsia="宋体" w:hint="eastAsia"/>
                <w:sz w:val="21"/>
              </w:rPr>
              <w:t>焚烧法</w:t>
            </w:r>
          </w:p>
        </w:tc>
        <w:tc>
          <w:tcPr>
            <w:tcW w:w="3586" w:type="dxa"/>
            <w:tcBorders>
              <w:top w:val="single" w:sz="6" w:space="0" w:color="000000"/>
              <w:left w:val="single" w:sz="6" w:space="0" w:color="000000"/>
              <w:bottom w:val="single" w:sz="6" w:space="0" w:color="000000"/>
              <w:right w:val="single" w:sz="6" w:space="0" w:color="000000"/>
            </w:tcBorders>
          </w:tcPr>
          <w:p>
            <w:pPr>
              <w:pStyle w:val="TableParagraph"/>
              <w:spacing w:before="46"/>
              <w:ind w:left="100" w:right="71"/>
              <w:rPr>
                <w:rFonts w:ascii="宋体" w:eastAsia="宋体" w:hint="eastAsia"/>
                <w:sz w:val="21"/>
              </w:rPr>
            </w:pPr>
            <w:r>
              <w:rPr>
                <w:rFonts w:ascii="宋体" w:eastAsia="宋体" w:hint="eastAsia"/>
                <w:sz w:val="21"/>
              </w:rPr>
              <w:t>操作简单，尸体直接燃烧，病毒、细</w:t>
            </w:r>
          </w:p>
          <w:p>
            <w:pPr>
              <w:pStyle w:val="TableParagraph"/>
              <w:spacing w:before="91"/>
              <w:ind w:left="100" w:right="71"/>
              <w:rPr>
                <w:rFonts w:ascii="宋体" w:eastAsia="宋体" w:hint="eastAsia"/>
                <w:sz w:val="21"/>
              </w:rPr>
            </w:pPr>
            <w:r>
              <w:rPr>
                <w:rFonts w:ascii="宋体" w:eastAsia="宋体" w:hint="eastAsia"/>
                <w:sz w:val="21"/>
              </w:rPr>
              <w:t>菌及寄生虫等杀灭彻底。</w:t>
            </w:r>
          </w:p>
        </w:tc>
        <w:tc>
          <w:tcPr>
            <w:tcW w:w="4510" w:type="dxa"/>
            <w:tcBorders>
              <w:top w:val="single" w:sz="6" w:space="0" w:color="000000"/>
              <w:left w:val="single" w:sz="6" w:space="0" w:color="000000"/>
              <w:bottom w:val="single" w:sz="6" w:space="0" w:color="000000"/>
            </w:tcBorders>
          </w:tcPr>
          <w:p>
            <w:pPr>
              <w:pStyle w:val="TableParagraph"/>
              <w:spacing w:before="46"/>
              <w:ind w:left="143" w:right="103"/>
              <w:rPr>
                <w:rFonts w:ascii="宋体" w:eastAsia="宋体" w:hint="eastAsia"/>
                <w:sz w:val="21"/>
              </w:rPr>
            </w:pPr>
            <w:r>
              <w:rPr>
                <w:rFonts w:ascii="宋体" w:eastAsia="宋体" w:hint="eastAsia"/>
                <w:sz w:val="21"/>
              </w:rPr>
              <w:t>燃料费用高，所产生浓烟、臭味容易造成环境</w:t>
            </w:r>
          </w:p>
          <w:p>
            <w:pPr>
              <w:pStyle w:val="TableParagraph"/>
              <w:spacing w:before="91"/>
              <w:ind w:left="143" w:right="102"/>
              <w:rPr>
                <w:rFonts w:ascii="宋体" w:eastAsia="宋体" w:hint="eastAsia"/>
                <w:sz w:val="21"/>
              </w:rPr>
            </w:pPr>
            <w:r>
              <w:rPr>
                <w:rFonts w:ascii="宋体" w:eastAsia="宋体" w:hint="eastAsia"/>
                <w:sz w:val="21"/>
              </w:rPr>
              <w:t>污染。</w:t>
            </w:r>
          </w:p>
        </w:tc>
      </w:tr>
      <w:tr>
        <w:trPr>
          <w:trHeight w:val="716" w:hRule="atLeast"/>
        </w:trPr>
        <w:tc>
          <w:tcPr>
            <w:tcW w:w="1334" w:type="dxa"/>
            <w:tcBorders>
              <w:top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19" w:right="98"/>
              <w:rPr>
                <w:rFonts w:ascii="宋体" w:eastAsia="宋体" w:hint="eastAsia"/>
                <w:sz w:val="21"/>
              </w:rPr>
            </w:pPr>
            <w:r>
              <w:rPr>
                <w:rFonts w:ascii="宋体" w:eastAsia="宋体" w:hint="eastAsia"/>
                <w:sz w:val="21"/>
              </w:rPr>
              <w:t>高温法</w:t>
            </w:r>
          </w:p>
        </w:tc>
        <w:tc>
          <w:tcPr>
            <w:tcW w:w="3586" w:type="dxa"/>
            <w:tcBorders>
              <w:top w:val="single" w:sz="6" w:space="0" w:color="000000"/>
              <w:left w:val="single" w:sz="6" w:space="0" w:color="000000"/>
              <w:bottom w:val="single" w:sz="6" w:space="0" w:color="000000"/>
              <w:right w:val="single" w:sz="6" w:space="0" w:color="000000"/>
            </w:tcBorders>
          </w:tcPr>
          <w:p>
            <w:pPr>
              <w:pStyle w:val="TableParagraph"/>
              <w:spacing w:before="46"/>
              <w:ind w:left="100" w:right="71"/>
              <w:rPr>
                <w:rFonts w:ascii="宋体" w:eastAsia="宋体" w:hint="eastAsia"/>
                <w:sz w:val="21"/>
              </w:rPr>
            </w:pPr>
            <w:r>
              <w:rPr>
                <w:rFonts w:ascii="宋体" w:eastAsia="宋体" w:hint="eastAsia"/>
                <w:sz w:val="21"/>
              </w:rPr>
              <w:t>病毒、细菌及寄生虫等杀灭彻底，可</w:t>
            </w:r>
          </w:p>
          <w:p>
            <w:pPr>
              <w:pStyle w:val="TableParagraph"/>
              <w:spacing w:before="91"/>
              <w:ind w:left="100" w:right="68"/>
              <w:rPr>
                <w:rFonts w:ascii="宋体" w:eastAsia="宋体" w:hint="eastAsia"/>
                <w:sz w:val="21"/>
              </w:rPr>
            </w:pPr>
            <w:r>
              <w:rPr>
                <w:rFonts w:ascii="宋体" w:eastAsia="宋体" w:hint="eastAsia"/>
                <w:sz w:val="21"/>
              </w:rPr>
              <w:t>回收油脂等产物。</w:t>
            </w:r>
          </w:p>
        </w:tc>
        <w:tc>
          <w:tcPr>
            <w:tcW w:w="4510" w:type="dxa"/>
            <w:tcBorders>
              <w:top w:val="single" w:sz="6" w:space="0" w:color="000000"/>
              <w:left w:val="single" w:sz="6" w:space="0" w:color="000000"/>
              <w:bottom w:val="single" w:sz="6" w:space="0" w:color="000000"/>
            </w:tcBorders>
          </w:tcPr>
          <w:p>
            <w:pPr>
              <w:pStyle w:val="TableParagraph"/>
              <w:spacing w:before="46"/>
              <w:ind w:left="143" w:right="103"/>
              <w:rPr>
                <w:rFonts w:ascii="宋体" w:eastAsia="宋体" w:hint="eastAsia"/>
                <w:sz w:val="21"/>
              </w:rPr>
            </w:pPr>
            <w:r>
              <w:rPr>
                <w:rFonts w:ascii="宋体" w:eastAsia="宋体" w:hint="eastAsia"/>
                <w:sz w:val="21"/>
              </w:rPr>
              <w:t>处理过程复杂，设备占地面积广，一次性投资</w:t>
            </w:r>
          </w:p>
          <w:p>
            <w:pPr>
              <w:pStyle w:val="TableParagraph"/>
              <w:spacing w:before="91"/>
              <w:ind w:left="140" w:right="103"/>
              <w:rPr>
                <w:rFonts w:ascii="宋体" w:eastAsia="宋体" w:hint="eastAsia"/>
                <w:sz w:val="21"/>
              </w:rPr>
            </w:pPr>
            <w:r>
              <w:rPr>
                <w:rFonts w:ascii="宋体" w:eastAsia="宋体" w:hint="eastAsia"/>
                <w:sz w:val="21"/>
              </w:rPr>
              <w:t>成本及运行费用高。</w:t>
            </w:r>
          </w:p>
        </w:tc>
      </w:tr>
      <w:tr>
        <w:trPr>
          <w:trHeight w:val="719" w:hRule="atLeast"/>
        </w:trPr>
        <w:tc>
          <w:tcPr>
            <w:tcW w:w="1334" w:type="dxa"/>
            <w:tcBorders>
              <w:top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22" w:right="98"/>
              <w:rPr>
                <w:rFonts w:ascii="宋体" w:eastAsia="宋体" w:hint="eastAsia"/>
                <w:sz w:val="21"/>
              </w:rPr>
            </w:pPr>
            <w:r>
              <w:rPr>
                <w:rFonts w:ascii="宋体" w:eastAsia="宋体" w:hint="eastAsia"/>
                <w:sz w:val="21"/>
              </w:rPr>
              <w:t>硫酸分解法</w:t>
            </w:r>
          </w:p>
        </w:tc>
        <w:tc>
          <w:tcPr>
            <w:tcW w:w="3586" w:type="dxa"/>
            <w:tcBorders>
              <w:top w:val="single" w:sz="6" w:space="0" w:color="000000"/>
              <w:left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0" w:right="71"/>
              <w:rPr>
                <w:rFonts w:ascii="宋体" w:eastAsia="宋体" w:hint="eastAsia"/>
                <w:sz w:val="21"/>
              </w:rPr>
            </w:pPr>
            <w:r>
              <w:rPr>
                <w:rFonts w:ascii="宋体" w:eastAsia="宋体" w:hint="eastAsia"/>
                <w:sz w:val="21"/>
              </w:rPr>
              <w:t>病毒、细菌及寄生虫等杀灭彻底。</w:t>
            </w:r>
          </w:p>
        </w:tc>
        <w:tc>
          <w:tcPr>
            <w:tcW w:w="4510" w:type="dxa"/>
            <w:tcBorders>
              <w:top w:val="single" w:sz="6" w:space="0" w:color="000000"/>
              <w:left w:val="single" w:sz="6" w:space="0" w:color="000000"/>
            </w:tcBorders>
          </w:tcPr>
          <w:p>
            <w:pPr>
              <w:pStyle w:val="TableParagraph"/>
              <w:spacing w:before="49"/>
              <w:ind w:left="161"/>
              <w:jc w:val="left"/>
              <w:rPr>
                <w:rFonts w:ascii="宋体" w:eastAsia="宋体" w:hint="eastAsia"/>
                <w:sz w:val="21"/>
              </w:rPr>
            </w:pPr>
            <w:r>
              <w:rPr>
                <w:rFonts w:ascii="宋体" w:eastAsia="宋体" w:hint="eastAsia"/>
                <w:sz w:val="21"/>
              </w:rPr>
              <w:t>使用高浓度硫酸存在一定安全隐患，一次性投</w:t>
            </w:r>
          </w:p>
          <w:p>
            <w:pPr>
              <w:pStyle w:val="TableParagraph"/>
              <w:spacing w:before="88"/>
              <w:ind w:left="115" w:right="-44"/>
              <w:jc w:val="left"/>
              <w:rPr>
                <w:rFonts w:ascii="宋体" w:eastAsia="宋体" w:hint="eastAsia"/>
                <w:sz w:val="21"/>
              </w:rPr>
            </w:pPr>
            <w:r>
              <w:rPr>
                <w:rFonts w:ascii="宋体" w:eastAsia="宋体" w:hint="eastAsia"/>
                <w:spacing w:val="-4"/>
                <w:sz w:val="21"/>
              </w:rPr>
              <w:t>资成本及运行费用高，终端产物后处理费用高。</w:t>
            </w:r>
          </w:p>
        </w:tc>
      </w:tr>
    </w:tbl>
    <w:p>
      <w:pPr>
        <w:spacing w:after="0"/>
        <w:jc w:val="left"/>
        <w:rPr>
          <w:rFonts w:ascii="宋体" w:eastAsia="宋体" w:hint="eastAsia"/>
          <w:sz w:val="21"/>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34"/>
        <w:gridCol w:w="3586"/>
        <w:gridCol w:w="4510"/>
      </w:tblGrid>
      <w:tr>
        <w:trPr>
          <w:trHeight w:val="359" w:hRule="atLeast"/>
        </w:trPr>
        <w:tc>
          <w:tcPr>
            <w:tcW w:w="1334" w:type="dxa"/>
            <w:tcBorders>
              <w:bottom w:val="single" w:sz="6" w:space="0" w:color="000000"/>
              <w:right w:val="single" w:sz="6" w:space="0" w:color="000000"/>
            </w:tcBorders>
          </w:tcPr>
          <w:p>
            <w:pPr>
              <w:pStyle w:val="TableParagraph"/>
              <w:spacing w:before="49"/>
              <w:ind w:left="455"/>
              <w:jc w:val="left"/>
              <w:rPr>
                <w:rFonts w:ascii="宋体" w:eastAsia="宋体" w:hint="eastAsia"/>
                <w:b/>
                <w:sz w:val="21"/>
              </w:rPr>
            </w:pPr>
            <w:r>
              <w:rPr>
                <w:rFonts w:ascii="宋体" w:eastAsia="宋体" w:hint="eastAsia"/>
                <w:b/>
                <w:sz w:val="21"/>
              </w:rPr>
              <w:t>技术</w:t>
            </w:r>
          </w:p>
        </w:tc>
        <w:tc>
          <w:tcPr>
            <w:tcW w:w="3586" w:type="dxa"/>
            <w:tcBorders>
              <w:left w:val="single" w:sz="6" w:space="0" w:color="000000"/>
              <w:bottom w:val="single" w:sz="6" w:space="0" w:color="000000"/>
              <w:right w:val="single" w:sz="6" w:space="0" w:color="000000"/>
            </w:tcBorders>
          </w:tcPr>
          <w:p>
            <w:pPr>
              <w:pStyle w:val="TableParagraph"/>
              <w:spacing w:before="49"/>
              <w:ind w:left="100" w:right="70"/>
              <w:rPr>
                <w:rFonts w:ascii="宋体" w:eastAsia="宋体" w:hint="eastAsia"/>
                <w:b/>
                <w:sz w:val="21"/>
              </w:rPr>
            </w:pPr>
            <w:r>
              <w:rPr>
                <w:rFonts w:ascii="宋体" w:eastAsia="宋体" w:hint="eastAsia"/>
                <w:b/>
                <w:sz w:val="21"/>
              </w:rPr>
              <w:t>优点</w:t>
            </w:r>
          </w:p>
        </w:tc>
        <w:tc>
          <w:tcPr>
            <w:tcW w:w="4510" w:type="dxa"/>
            <w:tcBorders>
              <w:left w:val="single" w:sz="6" w:space="0" w:color="000000"/>
              <w:bottom w:val="single" w:sz="6" w:space="0" w:color="000000"/>
            </w:tcBorders>
          </w:tcPr>
          <w:p>
            <w:pPr>
              <w:pStyle w:val="TableParagraph"/>
              <w:spacing w:before="49"/>
              <w:ind w:left="139" w:right="103"/>
              <w:rPr>
                <w:rFonts w:ascii="宋体" w:eastAsia="宋体" w:hint="eastAsia"/>
                <w:b/>
                <w:sz w:val="21"/>
              </w:rPr>
            </w:pPr>
            <w:r>
              <w:rPr>
                <w:rFonts w:ascii="宋体" w:eastAsia="宋体" w:hint="eastAsia"/>
                <w:b/>
                <w:sz w:val="21"/>
              </w:rPr>
              <w:t>缺点</w:t>
            </w:r>
          </w:p>
        </w:tc>
      </w:tr>
      <w:tr>
        <w:trPr>
          <w:trHeight w:val="1436" w:hRule="atLeast"/>
        </w:trPr>
        <w:tc>
          <w:tcPr>
            <w:tcW w:w="1334" w:type="dxa"/>
            <w:tcBorders>
              <w:top w:val="single" w:sz="6" w:space="0" w:color="000000"/>
              <w:right w:val="single" w:sz="6" w:space="0" w:color="000000"/>
            </w:tcBorders>
          </w:tcPr>
          <w:p>
            <w:pPr>
              <w:pStyle w:val="TableParagraph"/>
              <w:spacing w:before="0"/>
              <w:jc w:val="left"/>
              <w:rPr>
                <w:rFonts w:ascii="宋体"/>
                <w:b/>
                <w:sz w:val="20"/>
              </w:rPr>
            </w:pPr>
          </w:p>
          <w:p>
            <w:pPr>
              <w:pStyle w:val="TableParagraph"/>
              <w:spacing w:line="319" w:lineRule="auto" w:before="150"/>
              <w:ind w:left="455" w:right="114" w:hanging="315"/>
              <w:jc w:val="left"/>
              <w:rPr>
                <w:rFonts w:ascii="宋体" w:eastAsia="宋体" w:hint="eastAsia"/>
                <w:sz w:val="21"/>
              </w:rPr>
            </w:pPr>
            <w:r>
              <w:rPr>
                <w:rFonts w:ascii="宋体" w:eastAsia="宋体" w:hint="eastAsia"/>
                <w:sz w:val="21"/>
              </w:rPr>
              <w:t>高温生物降解法</w:t>
            </w:r>
          </w:p>
        </w:tc>
        <w:tc>
          <w:tcPr>
            <w:tcW w:w="3586" w:type="dxa"/>
            <w:tcBorders>
              <w:top w:val="single" w:sz="6" w:space="0" w:color="000000"/>
              <w:left w:val="single" w:sz="6" w:space="0" w:color="000000"/>
              <w:right w:val="single" w:sz="6" w:space="0" w:color="000000"/>
            </w:tcBorders>
          </w:tcPr>
          <w:p>
            <w:pPr>
              <w:pStyle w:val="TableParagraph"/>
              <w:spacing w:line="321" w:lineRule="auto" w:before="46"/>
              <w:ind w:left="223" w:right="86" w:hanging="106"/>
              <w:jc w:val="left"/>
              <w:rPr>
                <w:rFonts w:ascii="宋体" w:eastAsia="宋体" w:hint="eastAsia"/>
                <w:sz w:val="21"/>
              </w:rPr>
            </w:pPr>
            <w:r>
              <w:rPr>
                <w:rFonts w:ascii="宋体" w:eastAsia="宋体" w:hint="eastAsia"/>
                <w:sz w:val="21"/>
              </w:rPr>
              <w:t>操作方便、投入较少，适用于规模养殖场和以村为集中点的小规模处理</w:t>
            </w:r>
          </w:p>
          <w:p>
            <w:pPr>
              <w:pStyle w:val="TableParagraph"/>
              <w:spacing w:line="266" w:lineRule="exact" w:before="0"/>
              <w:ind w:left="115" w:right="-29"/>
              <w:jc w:val="left"/>
              <w:rPr>
                <w:rFonts w:ascii="宋体" w:eastAsia="宋体" w:hint="eastAsia"/>
                <w:sz w:val="21"/>
              </w:rPr>
            </w:pPr>
            <w:r>
              <w:rPr>
                <w:rFonts w:ascii="宋体" w:eastAsia="宋体" w:hint="eastAsia"/>
                <w:spacing w:val="-12"/>
                <w:sz w:val="21"/>
              </w:rPr>
              <w:t>点，终端产物可作为有机肥加工辅料，</w:t>
            </w:r>
          </w:p>
          <w:p>
            <w:pPr>
              <w:pStyle w:val="TableParagraph"/>
              <w:spacing w:before="91"/>
              <w:ind w:left="537"/>
              <w:jc w:val="left"/>
              <w:rPr>
                <w:rFonts w:ascii="宋体" w:eastAsia="宋体" w:hint="eastAsia"/>
                <w:sz w:val="21"/>
              </w:rPr>
            </w:pPr>
            <w:r>
              <w:rPr>
                <w:rFonts w:ascii="宋体" w:eastAsia="宋体" w:hint="eastAsia"/>
                <w:sz w:val="21"/>
              </w:rPr>
              <w:t>无烟、无臭、无污水产生。</w:t>
            </w:r>
          </w:p>
        </w:tc>
        <w:tc>
          <w:tcPr>
            <w:tcW w:w="4510" w:type="dxa"/>
            <w:tcBorders>
              <w:top w:val="single" w:sz="6" w:space="0" w:color="000000"/>
              <w:left w:val="single" w:sz="6" w:space="0" w:color="000000"/>
            </w:tcBorders>
          </w:tcPr>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before="0"/>
              <w:ind w:left="141" w:right="103"/>
              <w:rPr>
                <w:rFonts w:ascii="宋体" w:eastAsia="宋体" w:hint="eastAsia"/>
                <w:sz w:val="21"/>
              </w:rPr>
            </w:pPr>
            <w:r>
              <w:rPr>
                <w:rFonts w:ascii="宋体" w:eastAsia="宋体" w:hint="eastAsia"/>
                <w:sz w:val="21"/>
              </w:rPr>
              <w:t>批处理量较小、处理周期较长。</w:t>
            </w:r>
          </w:p>
        </w:tc>
      </w:tr>
    </w:tbl>
    <w:p>
      <w:pPr>
        <w:pStyle w:val="ListParagraph"/>
        <w:numPr>
          <w:ilvl w:val="0"/>
          <w:numId w:val="39"/>
        </w:numPr>
        <w:tabs>
          <w:tab w:pos="1323" w:val="left" w:leader="none"/>
        </w:tabs>
        <w:spacing w:line="240" w:lineRule="auto" w:before="105" w:after="0"/>
        <w:ind w:left="1323" w:right="0" w:hanging="604"/>
        <w:jc w:val="left"/>
        <w:rPr>
          <w:b/>
          <w:sz w:val="24"/>
        </w:rPr>
      </w:pPr>
      <w:r>
        <w:rPr>
          <w:b/>
          <w:sz w:val="24"/>
        </w:rPr>
        <w:t>畜禽尸体处理机工作原理</w:t>
      </w:r>
    </w:p>
    <w:p>
      <w:pPr>
        <w:pStyle w:val="BodyText"/>
        <w:spacing w:line="364" w:lineRule="auto" w:before="160"/>
        <w:ind w:right="85" w:firstLine="480"/>
      </w:pPr>
      <w:r>
        <w:rPr/>
        <w:t>处理机运行时，通过减速机带动刀辊以设定的正反转时间和停止时间交替循环运转， 刀辊上的动刀与处理槽内锅壁上的定刀所组成的动定刀组合对处理物进行分切、绞碎。</w:t>
      </w:r>
    </w:p>
    <w:p>
      <w:pPr>
        <w:pStyle w:val="BodyText"/>
        <w:spacing w:line="364" w:lineRule="auto" w:before="1"/>
        <w:ind w:right="249" w:firstLine="480"/>
        <w:jc w:val="both"/>
      </w:pPr>
      <w:r>
        <w:rPr/>
        <w:t>处理时，通过添加的专用微生物菌，使有机物在处理过程中在生物酶的作用下，有机物料的大分子物质（蛋白质、纤维素）被降解成小分子物质（氨基酸、糖类）从而达到分解有机物的目的。</w:t>
      </w:r>
    </w:p>
    <w:p>
      <w:pPr>
        <w:pStyle w:val="BodyText"/>
        <w:spacing w:line="364" w:lineRule="auto" w:before="3"/>
        <w:ind w:right="249" w:firstLine="480"/>
        <w:jc w:val="both"/>
      </w:pPr>
      <w:r>
        <w:rPr/>
        <w:t>处理机中设有高温加热系统，其功能是对处理物进行高温杀菌、干燥。处理机的加热系统是由处理槽内、外锅壁间的夹层里的导热油、电加热棒及温控系统组成。通过加热导热油来对处理槽内的处理物进行高温加热，可保证加热装置的持续均衡加热，热损失小。温控系统分别对导热油温及物料温度进行监控，可保证加热温度安全准确，各段</w:t>
      </w:r>
      <w:r>
        <w:rPr>
          <w:spacing w:val="-5"/>
        </w:rPr>
        <w:t>加热时间和温度控制均由 </w:t>
      </w:r>
      <w:r>
        <w:rPr>
          <w:rFonts w:ascii="Times New Roman" w:eastAsia="Times New Roman"/>
        </w:rPr>
        <w:t>PLC </w:t>
      </w:r>
      <w:r>
        <w:rPr/>
        <w:t>自动控制。</w:t>
      </w:r>
    </w:p>
    <w:p>
      <w:pPr>
        <w:pStyle w:val="BodyText"/>
        <w:spacing w:line="364" w:lineRule="auto" w:before="3"/>
        <w:ind w:right="254" w:firstLine="480"/>
        <w:jc w:val="both"/>
      </w:pPr>
      <w:r>
        <w:rPr/>
        <w:t>物料处理过程中产生的高温水气由排气口排出后引至洗涤塔进行洗涤、消毒、除臭</w:t>
      </w:r>
      <w:r>
        <w:rPr>
          <w:spacing w:val="-6"/>
        </w:rPr>
        <w:t>处理，尾气由对应的 </w:t>
      </w:r>
      <w:r>
        <w:rPr>
          <w:rFonts w:ascii="Times New Roman" w:eastAsia="Times New Roman"/>
        </w:rPr>
        <w:t>15m </w:t>
      </w:r>
      <w:r>
        <w:rPr/>
        <w:t>高排气筒排放。</w:t>
      </w:r>
    </w:p>
    <w:p>
      <w:pPr>
        <w:pStyle w:val="Heading3"/>
        <w:numPr>
          <w:ilvl w:val="0"/>
          <w:numId w:val="39"/>
        </w:numPr>
        <w:tabs>
          <w:tab w:pos="1323" w:val="left" w:leader="none"/>
        </w:tabs>
        <w:spacing w:line="240" w:lineRule="auto" w:before="1" w:after="0"/>
        <w:ind w:left="1323" w:right="0" w:hanging="604"/>
        <w:jc w:val="left"/>
      </w:pPr>
      <w:r>
        <w:rPr/>
        <w:t>工作流程</w:t>
      </w:r>
    </w:p>
    <w:p>
      <w:pPr>
        <w:pStyle w:val="ListParagraph"/>
        <w:numPr>
          <w:ilvl w:val="0"/>
          <w:numId w:val="40"/>
        </w:numPr>
        <w:tabs>
          <w:tab w:pos="1079" w:val="left" w:leader="none"/>
        </w:tabs>
        <w:spacing w:line="364" w:lineRule="auto" w:before="161" w:after="0"/>
        <w:ind w:left="237" w:right="250" w:firstLine="480"/>
        <w:jc w:val="both"/>
        <w:rPr>
          <w:sz w:val="24"/>
        </w:rPr>
      </w:pPr>
      <w:r>
        <w:rPr>
          <w:spacing w:val="-5"/>
          <w:sz w:val="24"/>
        </w:rPr>
        <w:t>投料：首先按照重量比病死猪：垫料</w:t>
      </w:r>
      <w:r>
        <w:rPr>
          <w:rFonts w:ascii="Times New Roman" w:eastAsia="Times New Roman"/>
          <w:sz w:val="24"/>
        </w:rPr>
        <w:t>=3</w:t>
      </w:r>
      <w:r>
        <w:rPr>
          <w:rFonts w:ascii="Times New Roman" w:eastAsia="Times New Roman"/>
          <w:spacing w:val="-1"/>
          <w:sz w:val="24"/>
        </w:rPr>
        <w:t> </w:t>
      </w:r>
      <w:r>
        <w:rPr>
          <w:spacing w:val="-3"/>
          <w:sz w:val="24"/>
        </w:rPr>
        <w:t>的比例将垫料</w:t>
      </w:r>
      <w:r>
        <w:rPr>
          <w:sz w:val="24"/>
        </w:rPr>
        <w:t>（</w:t>
      </w:r>
      <w:r>
        <w:rPr>
          <w:spacing w:val="-6"/>
          <w:sz w:val="24"/>
        </w:rPr>
        <w:t>谷糠、锯末、麸皮等</w:t>
      </w:r>
      <w:r>
        <w:rPr>
          <w:spacing w:val="-15"/>
          <w:sz w:val="24"/>
        </w:rPr>
        <w:t>） </w:t>
      </w:r>
      <w:r>
        <w:rPr>
          <w:spacing w:val="-8"/>
          <w:sz w:val="24"/>
        </w:rPr>
        <w:t>投入处理槽，再按每 </w:t>
      </w:r>
      <w:r>
        <w:rPr>
          <w:rFonts w:ascii="Times New Roman" w:eastAsia="Times New Roman"/>
          <w:sz w:val="24"/>
        </w:rPr>
        <w:t>1000 </w:t>
      </w:r>
      <w:r>
        <w:rPr>
          <w:spacing w:val="-12"/>
          <w:sz w:val="24"/>
        </w:rPr>
        <w:t>千克添加 </w:t>
      </w:r>
      <w:r>
        <w:rPr>
          <w:rFonts w:ascii="Times New Roman" w:eastAsia="Times New Roman"/>
          <w:sz w:val="24"/>
        </w:rPr>
        <w:t>1 </w:t>
      </w:r>
      <w:r>
        <w:rPr>
          <w:spacing w:val="-1"/>
          <w:sz w:val="24"/>
        </w:rPr>
        <w:t>千克益生菌的比例投入益生菌，最后通过上料机构</w:t>
      </w:r>
      <w:r>
        <w:rPr>
          <w:spacing w:val="-4"/>
          <w:sz w:val="24"/>
        </w:rPr>
        <w:t>料斗投入病死畜禽。投料完毕后，关闭处理槽上盖。</w:t>
      </w:r>
    </w:p>
    <w:p>
      <w:pPr>
        <w:pStyle w:val="ListParagraph"/>
        <w:numPr>
          <w:ilvl w:val="0"/>
          <w:numId w:val="40"/>
        </w:numPr>
        <w:tabs>
          <w:tab w:pos="1079" w:val="left" w:leader="none"/>
        </w:tabs>
        <w:spacing w:line="364" w:lineRule="auto" w:before="2" w:after="0"/>
        <w:ind w:left="237" w:right="249" w:firstLine="480"/>
        <w:jc w:val="both"/>
        <w:rPr>
          <w:sz w:val="24"/>
        </w:rPr>
      </w:pPr>
      <w:r>
        <w:rPr>
          <w:spacing w:val="-8"/>
          <w:sz w:val="24"/>
        </w:rPr>
        <w:t>设备按设定自动运转。由 </w:t>
      </w:r>
      <w:r>
        <w:rPr>
          <w:rFonts w:ascii="Times New Roman" w:hAnsi="Times New Roman" w:eastAsia="Times New Roman"/>
          <w:sz w:val="24"/>
        </w:rPr>
        <w:t>PLC </w:t>
      </w:r>
      <w:r>
        <w:rPr>
          <w:spacing w:val="-5"/>
          <w:sz w:val="24"/>
        </w:rPr>
        <w:t>控制各个处理阶段的主轴运转、加热、尾气处理</w:t>
      </w:r>
      <w:r>
        <w:rPr>
          <w:spacing w:val="-11"/>
          <w:sz w:val="24"/>
        </w:rPr>
        <w:t>直至处理过程结束。通过分切、绞碎可以加快益生菌分解速度。当处理槽内温度达</w:t>
      </w:r>
      <w:r>
        <w:rPr>
          <w:rFonts w:ascii="Times New Roman" w:hAnsi="Times New Roman" w:eastAsia="Times New Roman"/>
          <w:spacing w:val="-3"/>
          <w:sz w:val="24"/>
        </w:rPr>
        <w:t>50~70</w:t>
      </w:r>
      <w:r>
        <w:rPr>
          <w:spacing w:val="-12"/>
          <w:sz w:val="24"/>
        </w:rPr>
        <w:t>℃时，生物活性酶对动物尸体进行降解处理；将温度升至 </w:t>
      </w:r>
      <w:r>
        <w:rPr>
          <w:rFonts w:ascii="Times New Roman" w:hAnsi="Times New Roman" w:eastAsia="Times New Roman"/>
          <w:sz w:val="24"/>
        </w:rPr>
        <w:t>120~150</w:t>
      </w:r>
      <w:r>
        <w:rPr>
          <w:sz w:val="24"/>
        </w:rPr>
        <w:t>℃时对降解物进</w:t>
      </w:r>
      <w:r>
        <w:rPr>
          <w:spacing w:val="-4"/>
          <w:sz w:val="24"/>
        </w:rPr>
        <w:t>行高温杀菌消毒，以完全杀灭各种病源微生物。另外，尾气的排放与料温是相关的，料温达一定程度时尾气排放，尾气排放可控制料温灭菌，也可通过排湿加快降解速度。</w:t>
      </w:r>
    </w:p>
    <w:p>
      <w:pPr>
        <w:pStyle w:val="ListParagraph"/>
        <w:numPr>
          <w:ilvl w:val="0"/>
          <w:numId w:val="40"/>
        </w:numPr>
        <w:tabs>
          <w:tab w:pos="1079" w:val="left" w:leader="none"/>
        </w:tabs>
        <w:spacing w:line="240" w:lineRule="auto" w:before="3" w:after="0"/>
        <w:ind w:left="1078" w:right="0" w:hanging="362"/>
        <w:jc w:val="left"/>
        <w:rPr>
          <w:sz w:val="24"/>
        </w:rPr>
      </w:pPr>
      <w:r>
        <w:rPr>
          <w:sz w:val="24"/>
        </w:rPr>
        <w:t>出料：打开出料门，处理产物经出料输送机输出后进发酵罐进行二次发酵。</w:t>
      </w:r>
    </w:p>
    <w:p>
      <w:pPr>
        <w:pStyle w:val="Heading3"/>
      </w:pPr>
      <w:r>
        <w:rPr>
          <w:rFonts w:ascii="Times New Roman" w:eastAsia="Times New Roman"/>
        </w:rPr>
        <w:t>4</w:t>
      </w:r>
      <w:r>
        <w:rPr/>
        <w:t>、沼气系统工艺流程</w:t>
      </w:r>
    </w:p>
    <w:p>
      <w:pPr>
        <w:pStyle w:val="BodyText"/>
        <w:spacing w:before="160"/>
        <w:ind w:left="717"/>
      </w:pPr>
      <w:r>
        <w:rPr/>
        <w:t>项目污水站厌氧罐产生的沼气经脱水脱硫预处理后暂存于罐顶约 </w:t>
      </w:r>
      <w:r>
        <w:rPr>
          <w:rFonts w:ascii="Times New Roman" w:hAnsi="Times New Roman" w:eastAsia="Times New Roman"/>
          <w:position w:val="1"/>
        </w:rPr>
        <w:t>500m³</w:t>
      </w:r>
      <w:r>
        <w:rPr/>
        <w:t>的储气罐内，</w:t>
      </w:r>
    </w:p>
    <w:p>
      <w:pPr>
        <w:spacing w:after="0"/>
        <w:sectPr>
          <w:pgSz w:w="11910" w:h="16840"/>
          <w:pgMar w:header="874" w:footer="1004" w:top="1400" w:bottom="1200" w:left="1040" w:right="1160"/>
        </w:sectPr>
      </w:pPr>
    </w:p>
    <w:p>
      <w:pPr>
        <w:pStyle w:val="BodyText"/>
        <w:spacing w:before="105"/>
      </w:pPr>
      <w:r>
        <w:rPr/>
        <w:pict>
          <v:group style="position:absolute;margin-left:151.813232pt;margin-top:59.625359pt;width:20pt;height:5pt;mso-position-horizontal-relative:page;mso-position-vertical-relative:paragraph;z-index:251738112" coordorigin="3036,1193" coordsize="400,100">
            <v:line style="position:absolute" from="3036,1237" to="3302,1237" stroked="true" strokeweight=".532365pt" strokecolor="#000000">
              <v:stroke dashstyle="solid"/>
            </v:line>
            <v:shape style="position:absolute;left:3291;top:1192;width:145;height:100" coordorigin="3291,1193" coordsize="145,100" path="m3291,1193l3291,1292,3436,1237,3291,1193xe" filled="true" fillcolor="#000000" stroked="false">
              <v:path arrowok="t"/>
              <v:fill type="solid"/>
            </v:shape>
            <w10:wrap type="none"/>
          </v:group>
        </w:pict>
      </w:r>
      <w:r>
        <w:rPr/>
        <w:pict>
          <v:group style="position:absolute;margin-left:92.474617pt;margin-top:59.625351pt;width:20pt;height:5pt;mso-position-horizontal-relative:page;mso-position-vertical-relative:paragraph;z-index:251739136" coordorigin="1849,1193" coordsize="400,100">
            <v:line style="position:absolute" from="1849,1237" to="2116,1237" stroked="true" strokeweight=".532365pt" strokecolor="#000000">
              <v:stroke dashstyle="solid"/>
            </v:line>
            <v:shape style="position:absolute;left:2104;top:1192;width:145;height:100" coordorigin="2105,1193" coordsize="145,100" path="m2105,1193l2105,1292,2249,1237,2105,1193xe" filled="true" fillcolor="#000000" stroked="false">
              <v:path arrowok="t"/>
              <v:fill type="solid"/>
            </v:shape>
            <w10:wrap type="none"/>
          </v:group>
        </w:pict>
      </w:r>
      <w:r>
        <w:rPr/>
        <w:pict>
          <v:group style="position:absolute;margin-left:211.706406pt;margin-top:59.625366pt;width:20pt;height:5pt;mso-position-horizontal-relative:page;mso-position-vertical-relative:paragraph;z-index:251740160" coordorigin="4234,1193" coordsize="400,100">
            <v:line style="position:absolute" from="4234,1237" to="4500,1237" stroked="true" strokeweight=".532365pt" strokecolor="#000000">
              <v:stroke dashstyle="solid"/>
            </v:line>
            <v:shape style="position:absolute;left:4489;top:1192;width:145;height:100" coordorigin="4489,1193" coordsize="145,100" path="m4489,1193l4489,1292,4633,1237,4489,1193xe" filled="true" fillcolor="#000000" stroked="false">
              <v:path arrowok="t"/>
              <v:fill type="solid"/>
            </v:shape>
            <w10:wrap type="none"/>
          </v:group>
        </w:pict>
      </w:r>
      <w:r>
        <w:rPr/>
        <w:pict>
          <v:group style="position:absolute;margin-left:271.045013pt;margin-top:59.625374pt;width:20pt;height:5pt;mso-position-horizontal-relative:page;mso-position-vertical-relative:paragraph;z-index:251741184" coordorigin="5421,1193" coordsize="400,100">
            <v:line style="position:absolute" from="5421,1237" to="5687,1237" stroked="true" strokeweight=".532365pt" strokecolor="#000000">
              <v:stroke dashstyle="solid"/>
            </v:line>
            <v:shape style="position:absolute;left:5676;top:1192;width:145;height:100" coordorigin="5676,1193" coordsize="145,100" path="m5676,1193l5676,1292,5820,1237,5676,1193xe" filled="true" fillcolor="#000000" stroked="false">
              <v:path arrowok="t"/>
              <v:fill type="solid"/>
            </v:shape>
            <w10:wrap type="none"/>
          </v:group>
        </w:pict>
      </w:r>
      <w:r>
        <w:rPr/>
        <w:pict>
          <v:group style="position:absolute;margin-left:330.938171pt;margin-top:59.625381pt;width:20pt;height:5pt;mso-position-horizontal-relative:page;mso-position-vertical-relative:paragraph;z-index:251742208" coordorigin="6619,1193" coordsize="400,100">
            <v:line style="position:absolute" from="6619,1237" to="6885,1237" stroked="true" strokeweight=".532365pt" strokecolor="#000000">
              <v:stroke dashstyle="solid"/>
            </v:line>
            <v:shape style="position:absolute;left:6873;top:1192;width:145;height:100" coordorigin="6874,1193" coordsize="145,100" path="m6874,1193l6874,1292,7018,1237,6874,1193xe" filled="true" fillcolor="#000000" stroked="false">
              <v:path arrowok="t"/>
              <v:fill type="solid"/>
            </v:shape>
            <w10:wrap type="none"/>
          </v:group>
        </w:pict>
      </w:r>
      <w:r>
        <w:rPr/>
        <w:pict>
          <v:group style="position:absolute;margin-left:390.276794pt;margin-top:59.625389pt;width:20pt;height:5pt;mso-position-horizontal-relative:page;mso-position-vertical-relative:paragraph;z-index:251743232" coordorigin="7806,1193" coordsize="400,100">
            <v:line style="position:absolute" from="7806,1237" to="8072,1237" stroked="true" strokeweight=".532365pt" strokecolor="#000000">
              <v:stroke dashstyle="solid"/>
            </v:line>
            <v:shape style="position:absolute;left:8060;top:1192;width:145;height:100" coordorigin="8061,1193" coordsize="145,100" path="m8061,1193l8061,1292,8205,1237,8061,1193xe" filled="true" fillcolor="#000000" stroked="false">
              <v:path arrowok="t"/>
              <v:fill type="solid"/>
            </v:shape>
            <w10:wrap type="none"/>
          </v:group>
        </w:pict>
      </w:r>
      <w:r>
        <w:rPr/>
        <w:pict>
          <v:group style="position:absolute;margin-left:409.975006pt;margin-top:38.552635pt;width:80.150pt;height:46.05pt;mso-position-horizontal-relative:page;mso-position-vertical-relative:paragraph;z-index:251745280" coordorigin="8200,771" coordsize="1603,921">
            <v:shape style="position:absolute;left:9203;top:826;width:466;height:411" coordorigin="9203,827" coordsize="466,411" path="m9203,1237l9491,1237,9491,827,9669,827e" filled="false" stroked="true" strokeweight=".532373pt" strokecolor="#000000">
              <v:path arrowok="t"/>
              <v:stroke dashstyle="solid"/>
            </v:shape>
            <v:shape style="position:absolute;left:9657;top:771;width:145;height:100" coordorigin="9658,771" coordsize="145,100" path="m9658,771l9658,871,9802,827,9658,771xe" filled="true" fillcolor="#000000" stroked="false">
              <v:path arrowok="t"/>
              <v:fill type="solid"/>
            </v:shape>
            <v:shape style="position:absolute;left:9203;top:1236;width:466;height:400" coordorigin="9203,1237" coordsize="466,400" path="m9203,1237l9491,1237,9491,1636,9669,1636e" filled="false" stroked="true" strokeweight=".532373pt" strokecolor="#000000">
              <v:path arrowok="t"/>
              <v:stroke dashstyle="solid"/>
            </v:shape>
            <v:shape style="position:absolute;left:9657;top:1591;width:145;height:100" coordorigin="9658,1592" coordsize="145,100" path="m9658,1592l9658,1692,9802,1636,9658,1592xe" filled="true" fillcolor="#000000" stroked="false">
              <v:path arrowok="t"/>
              <v:fill type="solid"/>
            </v:shape>
            <v:shape style="position:absolute;left:8204;top:1037;width:999;height:411" type="#_x0000_t202" filled="true" fillcolor="#a4a4a4" stroked="true" strokeweight=".532369pt" strokecolor="#000000">
              <v:textbox inset="0,0,0,0">
                <w:txbxContent>
                  <w:p>
                    <w:pPr>
                      <w:spacing w:before="86"/>
                      <w:ind w:left="139" w:right="0" w:firstLine="0"/>
                      <w:jc w:val="left"/>
                      <w:rPr>
                        <w:sz w:val="17"/>
                      </w:rPr>
                    </w:pPr>
                    <w:r>
                      <w:rPr>
                        <w:w w:val="105"/>
                        <w:sz w:val="17"/>
                      </w:rPr>
                      <w:t>冷却调压</w:t>
                    </w:r>
                  </w:p>
                </w:txbxContent>
              </v:textbox>
              <v:fill opacity="19532f" type="solid"/>
              <v:stroke dashstyle="solid"/>
              <w10:wrap type="none"/>
            </v:shape>
            <w10:wrap type="none"/>
          </v:group>
        </w:pict>
      </w:r>
      <w:r>
        <w:rPr/>
        <w:pict>
          <v:shape style="position:absolute;margin-left:350.902588pt;margin-top:51.861736pt;width:39.4pt;height:20.55pt;mso-position-horizontal-relative:page;mso-position-vertical-relative:paragraph;z-index:251746304" type="#_x0000_t202" filled="true" fillcolor="#a4a4a4" stroked="true" strokeweight=".532371pt" strokecolor="#000000">
            <v:textbox inset="0,0,0,0">
              <w:txbxContent>
                <w:p>
                  <w:pPr>
                    <w:spacing w:before="86"/>
                    <w:ind w:left="123" w:right="0" w:firstLine="0"/>
                    <w:jc w:val="left"/>
                    <w:rPr>
                      <w:sz w:val="17"/>
                    </w:rPr>
                  </w:pPr>
                  <w:r>
                    <w:rPr>
                      <w:w w:val="105"/>
                      <w:sz w:val="17"/>
                    </w:rPr>
                    <w:t>阻火器</w:t>
                  </w:r>
                </w:p>
              </w:txbxContent>
            </v:textbox>
            <v:fill opacity="19532f" type="solid"/>
            <v:stroke dashstyle="solid"/>
            <w10:wrap type="none"/>
          </v:shape>
        </w:pict>
      </w:r>
      <w:r>
        <w:rPr/>
        <w:pict>
          <v:shape style="position:absolute;margin-left:291.009399pt;margin-top:51.861729pt;width:39.950pt;height:20.55pt;mso-position-horizontal-relative:page;mso-position-vertical-relative:paragraph;z-index:251747328" type="#_x0000_t202" filled="true" fillcolor="#a4a4a4" stroked="true" strokeweight=".53237pt" strokecolor="#000000">
            <v:textbox inset="0,0,0,0">
              <w:txbxContent>
                <w:p>
                  <w:pPr>
                    <w:spacing w:before="86"/>
                    <w:ind w:left="128" w:right="0" w:firstLine="0"/>
                    <w:jc w:val="left"/>
                    <w:rPr>
                      <w:sz w:val="17"/>
                    </w:rPr>
                  </w:pPr>
                  <w:r>
                    <w:rPr>
                      <w:w w:val="105"/>
                      <w:sz w:val="17"/>
                    </w:rPr>
                    <w:t>贮气柜</w:t>
                  </w:r>
                </w:p>
              </w:txbxContent>
            </v:textbox>
            <v:fill opacity="19532f" type="solid"/>
            <v:stroke dashstyle="solid"/>
            <w10:wrap type="none"/>
          </v:shape>
        </w:pict>
      </w:r>
      <w:r>
        <w:rPr/>
        <w:pict>
          <v:shape style="position:absolute;margin-left:231.670792pt;margin-top:51.861721pt;width:39.4pt;height:20.55pt;mso-position-horizontal-relative:page;mso-position-vertical-relative:paragraph;z-index:251748352" type="#_x0000_t202" filled="true" fillcolor="#a4a4a4" stroked="true" strokeweight=".532371pt" strokecolor="#000000">
            <v:textbox inset="0,0,0,0">
              <w:txbxContent>
                <w:p>
                  <w:pPr>
                    <w:spacing w:before="86"/>
                    <w:ind w:left="123" w:right="0" w:firstLine="0"/>
                    <w:jc w:val="left"/>
                    <w:rPr>
                      <w:sz w:val="17"/>
                    </w:rPr>
                  </w:pPr>
                  <w:r>
                    <w:rPr>
                      <w:w w:val="105"/>
                      <w:sz w:val="17"/>
                    </w:rPr>
                    <w:t>脱硫塔</w:t>
                  </w:r>
                </w:p>
              </w:txbxContent>
            </v:textbox>
            <v:fill opacity="19532f" type="solid"/>
            <v:stroke dashstyle="solid"/>
            <w10:wrap type="none"/>
          </v:shape>
        </w:pict>
      </w:r>
      <w:r>
        <w:rPr/>
        <w:pict>
          <v:shape style="position:absolute;margin-left:171.777618pt;margin-top:51.861713pt;width:39.950pt;height:20.55pt;mso-position-horizontal-relative:page;mso-position-vertical-relative:paragraph;z-index:251749376" type="#_x0000_t202" filled="true" fillcolor="#a4a4a4" stroked="true" strokeweight=".53237pt" strokecolor="#000000">
            <v:textbox inset="0,0,0,0">
              <w:txbxContent>
                <w:p>
                  <w:pPr>
                    <w:spacing w:before="86"/>
                    <w:ind w:left="128" w:right="0" w:firstLine="0"/>
                    <w:jc w:val="left"/>
                    <w:rPr>
                      <w:sz w:val="17"/>
                    </w:rPr>
                  </w:pPr>
                  <w:r>
                    <w:rPr>
                      <w:w w:val="105"/>
                      <w:sz w:val="17"/>
                    </w:rPr>
                    <w:t>脱水器</w:t>
                  </w:r>
                </w:p>
              </w:txbxContent>
            </v:textbox>
            <v:fill opacity="19532f" type="solid"/>
            <v:stroke dashstyle="solid"/>
            <w10:wrap type="none"/>
          </v:shape>
        </w:pict>
      </w:r>
      <w:r>
        <w:rPr/>
        <w:pict>
          <v:shape style="position:absolute;margin-left:112.439011pt;margin-top:51.861706pt;width:39.4pt;height:20.55pt;mso-position-horizontal-relative:page;mso-position-vertical-relative:paragraph;z-index:251750400" type="#_x0000_t202" filled="true" fillcolor="#a4a4a4" stroked="true" strokeweight=".532371pt" strokecolor="#000000">
            <v:textbox inset="0,0,0,0">
              <w:txbxContent>
                <w:p>
                  <w:pPr>
                    <w:spacing w:before="86"/>
                    <w:ind w:left="122" w:right="0" w:firstLine="0"/>
                    <w:jc w:val="left"/>
                    <w:rPr>
                      <w:sz w:val="17"/>
                    </w:rPr>
                  </w:pPr>
                  <w:r>
                    <w:rPr>
                      <w:w w:val="105"/>
                      <w:sz w:val="17"/>
                    </w:rPr>
                    <w:t>过滤器</w:t>
                  </w:r>
                </w:p>
              </w:txbxContent>
            </v:textbox>
            <v:fill opacity="19532f" type="solid"/>
            <v:stroke dashstyle="solid"/>
            <w10:wrap type="none"/>
          </v:shape>
        </w:pict>
      </w:r>
      <w:r>
        <w:rPr/>
        <w:t>然后供厂区内热水锅炉、食堂进行综合利用，工艺如下：</w:t>
      </w:r>
    </w:p>
    <w:p>
      <w:pPr>
        <w:pStyle w:val="BodyText"/>
        <w:spacing w:before="1"/>
        <w:ind w:left="0"/>
        <w:rPr>
          <w:sz w:val="14"/>
        </w:rPr>
      </w:pPr>
      <w:r>
        <w:rPr/>
        <w:pict>
          <v:shape style="position:absolute;margin-left:490.098755pt;margin-top:11.293231pt;width:29.4pt;height:20pt;mso-position-horizontal-relative:page;mso-position-vertical-relative:paragraph;z-index:-251580416;mso-wrap-distance-left:0;mso-wrap-distance-right:0" type="#_x0000_t202" filled="false" stroked="true" strokeweight=".532372pt" strokecolor="#000000">
            <v:textbox inset="0,0,0,0">
              <w:txbxContent>
                <w:p>
                  <w:pPr>
                    <w:spacing w:before="81"/>
                    <w:ind w:left="110" w:right="0" w:firstLine="0"/>
                    <w:jc w:val="left"/>
                    <w:rPr>
                      <w:sz w:val="17"/>
                    </w:rPr>
                  </w:pPr>
                  <w:r>
                    <w:rPr>
                      <w:w w:val="105"/>
                      <w:sz w:val="17"/>
                    </w:rPr>
                    <w:t>锅炉</w:t>
                  </w:r>
                </w:p>
              </w:txbxContent>
            </v:textbox>
            <v:stroke dashstyle="solid"/>
            <w10:wrap type="topAndBottom"/>
          </v:shape>
        </w:pict>
      </w:r>
    </w:p>
    <w:p>
      <w:pPr>
        <w:spacing w:before="57" w:after="83"/>
        <w:ind w:left="392" w:right="0" w:firstLine="0"/>
        <w:jc w:val="left"/>
        <w:rPr>
          <w:sz w:val="17"/>
        </w:rPr>
      </w:pPr>
      <w:r>
        <w:rPr>
          <w:w w:val="105"/>
          <w:sz w:val="17"/>
        </w:rPr>
        <w:t>沼气</w:t>
      </w:r>
    </w:p>
    <w:p>
      <w:pPr>
        <w:pStyle w:val="BodyText"/>
        <w:ind w:left="8755"/>
        <w:rPr>
          <w:sz w:val="20"/>
        </w:rPr>
      </w:pPr>
      <w:r>
        <w:rPr>
          <w:position w:val="0"/>
          <w:sz w:val="20"/>
        </w:rPr>
        <w:pict>
          <v:shape style="width:29.4pt;height:20pt;mso-position-horizontal-relative:char;mso-position-vertical-relative:line" type="#_x0000_t202" filled="false" stroked="true" strokeweight=".532372pt" strokecolor="#000000">
            <w10:anchorlock/>
            <v:textbox inset="0,0,0,0">
              <w:txbxContent>
                <w:p>
                  <w:pPr>
                    <w:spacing w:before="85"/>
                    <w:ind w:left="110" w:right="0" w:firstLine="0"/>
                    <w:jc w:val="left"/>
                    <w:rPr>
                      <w:sz w:val="17"/>
                    </w:rPr>
                  </w:pPr>
                  <w:r>
                    <w:rPr>
                      <w:w w:val="105"/>
                      <w:sz w:val="17"/>
                    </w:rPr>
                    <w:t>食堂</w:t>
                  </w:r>
                </w:p>
              </w:txbxContent>
            </v:textbox>
            <v:stroke dashstyle="solid"/>
          </v:shape>
        </w:pict>
      </w:r>
      <w:r>
        <w:rPr>
          <w:position w:val="0"/>
          <w:sz w:val="20"/>
        </w:rPr>
      </w:r>
    </w:p>
    <w:p>
      <w:pPr>
        <w:pStyle w:val="BodyText"/>
        <w:spacing w:before="2"/>
        <w:ind w:left="0"/>
        <w:rPr>
          <w:sz w:val="14"/>
        </w:rPr>
      </w:pPr>
    </w:p>
    <w:p>
      <w:pPr>
        <w:pStyle w:val="Heading3"/>
        <w:spacing w:before="76"/>
        <w:ind w:left="2937"/>
      </w:pPr>
      <w:r>
        <w:rPr/>
        <w:t>图 </w:t>
      </w:r>
      <w:r>
        <w:rPr>
          <w:rFonts w:ascii="Times New Roman" w:eastAsia="Times New Roman"/>
        </w:rPr>
        <w:t>3.2-7  </w:t>
      </w:r>
      <w:r>
        <w:rPr/>
        <w:t>沼气净化及利用流程示意图</w:t>
      </w:r>
    </w:p>
    <w:p>
      <w:pPr>
        <w:pStyle w:val="BodyText"/>
        <w:spacing w:line="364" w:lineRule="auto" w:before="161"/>
        <w:ind w:right="130" w:firstLine="482"/>
      </w:pPr>
      <w:r>
        <w:rPr>
          <w:b/>
          <w:spacing w:val="-1"/>
        </w:rPr>
        <w:t>工艺流程简述：</w:t>
      </w:r>
      <w:r>
        <w:rPr>
          <w:spacing w:val="-6"/>
        </w:rPr>
        <w:t>沼气净化系统由过滤器、脱水器、脱硫塔、阻火器、贮气柜等组成。</w:t>
      </w:r>
      <w:r>
        <w:rPr/>
        <w:t>厌氧消化产生的沼气经过滤器、脱水器处理降低其粉尘、硅氧烷、水蒸气等杂质气体含量，该过程中产生的水直接回到厌氧发酵池。脱水后的沼气经脱硫塔吸收降低沼气中硫化物、氨等杂质气体，最后进入贮气柜储存。贮气柜沼气经阻火器、冷却调压处理后， 以稳定的压力、流速和流量供厂区内热水锅炉及食堂使用。</w:t>
      </w:r>
    </w:p>
    <w:p>
      <w:pPr>
        <w:pStyle w:val="Heading3"/>
        <w:numPr>
          <w:ilvl w:val="2"/>
          <w:numId w:val="33"/>
        </w:numPr>
        <w:tabs>
          <w:tab w:pos="838" w:val="left" w:leader="none"/>
        </w:tabs>
        <w:spacing w:line="240" w:lineRule="auto" w:before="4" w:after="0"/>
        <w:ind w:left="837" w:right="0" w:hanging="601"/>
        <w:jc w:val="left"/>
      </w:pPr>
      <w:bookmarkStart w:name="_bookmark48" w:id="93"/>
      <w:bookmarkEnd w:id="93"/>
      <w:r>
        <w:rPr>
          <w:b w:val="0"/>
        </w:rPr>
      </w:r>
      <w:bookmarkStart w:name="_bookmark48" w:id="94"/>
      <w:bookmarkEnd w:id="94"/>
      <w:r>
        <w:rPr/>
        <w:t>污染因子识别</w:t>
      </w:r>
    </w:p>
    <w:p>
      <w:pPr>
        <w:spacing w:before="160"/>
        <w:ind w:left="719" w:right="0" w:firstLine="0"/>
        <w:jc w:val="left"/>
        <w:rPr>
          <w:b/>
          <w:sz w:val="24"/>
        </w:rPr>
      </w:pPr>
      <w:r>
        <w:rPr>
          <w:rFonts w:ascii="Times New Roman" w:eastAsia="Times New Roman"/>
          <w:b/>
          <w:sz w:val="24"/>
        </w:rPr>
        <w:t>1</w:t>
      </w:r>
      <w:r>
        <w:rPr>
          <w:b/>
          <w:sz w:val="24"/>
        </w:rPr>
        <w:t>、生产运行过程污染因子识别</w:t>
      </w:r>
    </w:p>
    <w:p>
      <w:pPr>
        <w:pStyle w:val="BodyText"/>
        <w:spacing w:line="364" w:lineRule="auto" w:before="161"/>
        <w:ind w:right="252" w:firstLine="480"/>
        <w:jc w:val="both"/>
      </w:pPr>
      <w:r>
        <w:rPr>
          <w:spacing w:val="-2"/>
        </w:rPr>
        <w:t>废水：项目产生的废水主要有养殖废水</w:t>
      </w:r>
      <w:r>
        <w:rPr/>
        <w:t>（</w:t>
      </w:r>
      <w:r>
        <w:rPr>
          <w:rFonts w:ascii="Times New Roman" w:eastAsia="Times New Roman"/>
          <w:position w:val="1"/>
        </w:rPr>
        <w:t>W1</w:t>
      </w:r>
      <w:r>
        <w:rPr>
          <w:spacing w:val="-3"/>
        </w:rPr>
        <w:t>，包括猪尿、饮用水撒漏水、猪舍冲洗</w:t>
      </w:r>
      <w:r>
        <w:rPr/>
        <w:t>水等）、废气处理喷淋废水（</w:t>
      </w:r>
      <w:r>
        <w:rPr>
          <w:rFonts w:ascii="Times New Roman" w:eastAsia="Times New Roman"/>
          <w:position w:val="1"/>
        </w:rPr>
        <w:t>W2</w:t>
      </w:r>
      <w:r>
        <w:rPr/>
        <w:t>）、初期雨水（</w:t>
      </w:r>
      <w:r>
        <w:rPr>
          <w:rFonts w:ascii="Times New Roman" w:eastAsia="Times New Roman"/>
          <w:position w:val="1"/>
        </w:rPr>
        <w:t>W3</w:t>
      </w:r>
      <w:r>
        <w:rPr/>
        <w:t>）及生活污水（</w:t>
      </w:r>
      <w:r>
        <w:rPr>
          <w:rFonts w:ascii="Times New Roman" w:eastAsia="Times New Roman"/>
          <w:position w:val="1"/>
        </w:rPr>
        <w:t>W4</w:t>
      </w:r>
      <w:r>
        <w:rPr/>
        <w:t>）；</w:t>
      </w:r>
      <w:r>
        <w:rPr>
          <w:spacing w:val="-3"/>
        </w:rPr>
        <w:t>另，本项目</w:t>
      </w:r>
      <w:r>
        <w:rPr/>
        <w:t>消毒用水为蒸发损耗不外排，洗消废水量极少，本环评不予定量分析。</w:t>
      </w:r>
    </w:p>
    <w:p>
      <w:pPr>
        <w:pStyle w:val="BodyText"/>
        <w:spacing w:line="364" w:lineRule="auto" w:before="2"/>
        <w:ind w:right="209" w:firstLine="480"/>
      </w:pPr>
      <w:r>
        <w:rPr/>
        <w:t>废气：项目产生的废气主要为猪舍臭气（</w:t>
      </w:r>
      <w:r>
        <w:rPr>
          <w:rFonts w:ascii="Times New Roman" w:eastAsia="Times New Roman"/>
          <w:position w:val="1"/>
        </w:rPr>
        <w:t>G1</w:t>
      </w:r>
      <w:r>
        <w:rPr/>
        <w:t>）、粪污处理臭气（</w:t>
      </w:r>
      <w:r>
        <w:rPr>
          <w:rFonts w:ascii="Times New Roman" w:eastAsia="Times New Roman"/>
          <w:position w:val="1"/>
        </w:rPr>
        <w:t>G2</w:t>
      </w:r>
      <w:r>
        <w:rPr/>
        <w:t>）、猪粪发酵臭气（</w:t>
      </w:r>
      <w:r>
        <w:rPr>
          <w:rFonts w:ascii="Times New Roman" w:eastAsia="Times New Roman"/>
          <w:position w:val="1"/>
        </w:rPr>
        <w:t>G3</w:t>
      </w:r>
      <w:r>
        <w:rPr/>
        <w:t>）、病死猪无害化处理臭气（</w:t>
      </w:r>
      <w:r>
        <w:rPr>
          <w:rFonts w:ascii="Times New Roman" w:eastAsia="Times New Roman"/>
          <w:position w:val="1"/>
        </w:rPr>
        <w:t>G4</w:t>
      </w:r>
      <w:r>
        <w:rPr/>
        <w:t>）、沼气锅炉废气（</w:t>
      </w:r>
      <w:r>
        <w:rPr>
          <w:rFonts w:ascii="Times New Roman" w:eastAsia="Times New Roman"/>
          <w:position w:val="1"/>
        </w:rPr>
        <w:t>G5</w:t>
      </w:r>
      <w:r>
        <w:rPr/>
        <w:t>）及食堂油烟（</w:t>
      </w:r>
      <w:r>
        <w:rPr>
          <w:rFonts w:ascii="Times New Roman" w:eastAsia="Times New Roman"/>
          <w:position w:val="1"/>
        </w:rPr>
        <w:t>G6</w:t>
      </w:r>
      <w:r>
        <w:rPr/>
        <w:t>）。</w:t>
      </w:r>
    </w:p>
    <w:p>
      <w:pPr>
        <w:pStyle w:val="BodyText"/>
        <w:spacing w:line="364" w:lineRule="auto" w:before="1"/>
        <w:ind w:right="136" w:firstLine="480"/>
      </w:pPr>
      <w:r>
        <w:rPr/>
        <w:t>固废：项目产生的固废主要包括发酵产物（</w:t>
      </w:r>
      <w:r>
        <w:rPr>
          <w:rFonts w:ascii="Times New Roman" w:eastAsia="Times New Roman"/>
          <w:position w:val="1"/>
        </w:rPr>
        <w:t>S1</w:t>
      </w:r>
      <w:r>
        <w:rPr/>
        <w:t>）、一般废包装物（</w:t>
      </w:r>
      <w:r>
        <w:rPr>
          <w:rFonts w:ascii="Times New Roman" w:eastAsia="Times New Roman"/>
          <w:position w:val="1"/>
        </w:rPr>
        <w:t>S2</w:t>
      </w:r>
      <w:r>
        <w:rPr/>
        <w:t>）、危化品废</w:t>
      </w:r>
      <w:r>
        <w:rPr>
          <w:spacing w:val="-4"/>
        </w:rPr>
        <w:t>包装物</w:t>
      </w:r>
      <w:r>
        <w:rPr>
          <w:spacing w:val="-3"/>
        </w:rPr>
        <w:t>（</w:t>
      </w:r>
      <w:r>
        <w:rPr>
          <w:rFonts w:ascii="Times New Roman" w:eastAsia="Times New Roman"/>
          <w:spacing w:val="-3"/>
          <w:position w:val="1"/>
        </w:rPr>
        <w:t>S3</w:t>
      </w:r>
      <w:r>
        <w:rPr>
          <w:spacing w:val="-3"/>
        </w:rPr>
        <w:t>）</w:t>
      </w:r>
      <w:r>
        <w:rPr>
          <w:spacing w:val="-4"/>
        </w:rPr>
        <w:t>、废矿物油</w:t>
      </w:r>
      <w:r>
        <w:rPr/>
        <w:t>（</w:t>
      </w:r>
      <w:r>
        <w:rPr>
          <w:rFonts w:ascii="Times New Roman" w:eastAsia="Times New Roman"/>
          <w:position w:val="1"/>
        </w:rPr>
        <w:t>S4</w:t>
      </w:r>
      <w:r>
        <w:rPr/>
        <w:t>）</w:t>
      </w:r>
      <w:r>
        <w:rPr>
          <w:spacing w:val="-4"/>
        </w:rPr>
        <w:t>、医疗废物</w:t>
      </w:r>
      <w:r>
        <w:rPr/>
        <w:t>（</w:t>
      </w:r>
      <w:r>
        <w:rPr>
          <w:rFonts w:ascii="Times New Roman" w:eastAsia="Times New Roman"/>
          <w:position w:val="1"/>
        </w:rPr>
        <w:t>S5</w:t>
      </w:r>
      <w:r>
        <w:rPr/>
        <w:t>）</w:t>
      </w:r>
      <w:r>
        <w:rPr>
          <w:spacing w:val="-4"/>
        </w:rPr>
        <w:t>、废脱硫剂</w:t>
      </w:r>
      <w:r>
        <w:rPr>
          <w:spacing w:val="-3"/>
        </w:rPr>
        <w:t>（</w:t>
      </w:r>
      <w:r>
        <w:rPr>
          <w:rFonts w:ascii="Times New Roman" w:eastAsia="Times New Roman"/>
          <w:spacing w:val="-3"/>
          <w:position w:val="1"/>
        </w:rPr>
        <w:t>S6</w:t>
      </w:r>
      <w:r>
        <w:rPr>
          <w:spacing w:val="-3"/>
        </w:rPr>
        <w:t>）</w:t>
      </w:r>
      <w:r>
        <w:rPr>
          <w:spacing w:val="-2"/>
        </w:rPr>
        <w:t>及生活垃圾</w:t>
      </w:r>
      <w:r>
        <w:rPr/>
        <w:t>（</w:t>
      </w:r>
      <w:r>
        <w:rPr>
          <w:rFonts w:ascii="Times New Roman" w:eastAsia="Times New Roman"/>
          <w:position w:val="1"/>
        </w:rPr>
        <w:t>S7</w:t>
      </w:r>
      <w:r>
        <w:rPr/>
        <w:t>）</w:t>
      </w:r>
      <w:r>
        <w:rPr>
          <w:spacing w:val="-8"/>
        </w:rPr>
        <w:t>。</w:t>
      </w:r>
      <w:r>
        <w:rPr/>
        <w:t>另外，淘汰猪作为正常猪外销，环评不再单独分析。</w:t>
      </w:r>
    </w:p>
    <w:p>
      <w:pPr>
        <w:pStyle w:val="BodyText"/>
        <w:spacing w:before="2"/>
        <w:ind w:left="717"/>
      </w:pPr>
      <w:r>
        <w:rPr/>
        <w:t>噪声：主要为机械类设备运行过程中产生的噪声、猪叫声等。</w:t>
      </w:r>
    </w:p>
    <w:p>
      <w:pPr>
        <w:pStyle w:val="Heading3"/>
        <w:spacing w:before="160"/>
        <w:ind w:left="220" w:right="236"/>
        <w:jc w:val="center"/>
      </w:pPr>
      <w:r>
        <w:rPr/>
        <w:t>表 </w:t>
      </w:r>
      <w:r>
        <w:rPr>
          <w:rFonts w:ascii="Times New Roman" w:eastAsia="Times New Roman"/>
        </w:rPr>
        <w:t>3.2-2  </w:t>
      </w:r>
      <w:r>
        <w:rPr/>
        <w:t>项目生产运行过程污染因子汇总</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6"/>
        <w:gridCol w:w="713"/>
        <w:gridCol w:w="3287"/>
        <w:gridCol w:w="4247"/>
      </w:tblGrid>
      <w:tr>
        <w:trPr>
          <w:trHeight w:val="359" w:hRule="atLeast"/>
        </w:trPr>
        <w:tc>
          <w:tcPr>
            <w:tcW w:w="1186" w:type="dxa"/>
            <w:tcBorders>
              <w:bottom w:val="single" w:sz="6" w:space="0" w:color="000000"/>
              <w:right w:val="single" w:sz="6" w:space="0" w:color="000000"/>
            </w:tcBorders>
          </w:tcPr>
          <w:p>
            <w:pPr>
              <w:pStyle w:val="TableParagraph"/>
              <w:spacing w:before="46"/>
              <w:ind w:left="169"/>
              <w:jc w:val="left"/>
              <w:rPr>
                <w:rFonts w:ascii="宋体" w:eastAsia="宋体" w:hint="eastAsia"/>
                <w:b/>
                <w:sz w:val="21"/>
              </w:rPr>
            </w:pPr>
            <w:r>
              <w:rPr>
                <w:rFonts w:ascii="宋体" w:eastAsia="宋体" w:hint="eastAsia"/>
                <w:b/>
                <w:sz w:val="21"/>
              </w:rPr>
              <w:t>污染类型</w:t>
            </w:r>
          </w:p>
        </w:tc>
        <w:tc>
          <w:tcPr>
            <w:tcW w:w="713" w:type="dxa"/>
            <w:tcBorders>
              <w:left w:val="single" w:sz="6" w:space="0" w:color="000000"/>
              <w:bottom w:val="single" w:sz="6" w:space="0" w:color="000000"/>
              <w:right w:val="single" w:sz="6" w:space="0" w:color="000000"/>
            </w:tcBorders>
          </w:tcPr>
          <w:p>
            <w:pPr>
              <w:pStyle w:val="TableParagraph"/>
              <w:spacing w:before="46"/>
              <w:ind w:left="126" w:right="106"/>
              <w:rPr>
                <w:rFonts w:ascii="宋体" w:eastAsia="宋体" w:hint="eastAsia"/>
                <w:b/>
                <w:sz w:val="21"/>
              </w:rPr>
            </w:pPr>
            <w:r>
              <w:rPr>
                <w:rFonts w:ascii="宋体" w:eastAsia="宋体" w:hint="eastAsia"/>
                <w:b/>
                <w:sz w:val="21"/>
              </w:rPr>
              <w:t>编号</w:t>
            </w:r>
          </w:p>
        </w:tc>
        <w:tc>
          <w:tcPr>
            <w:tcW w:w="3287" w:type="dxa"/>
            <w:tcBorders>
              <w:left w:val="single" w:sz="6" w:space="0" w:color="000000"/>
              <w:bottom w:val="single" w:sz="6" w:space="0" w:color="000000"/>
              <w:right w:val="single" w:sz="6" w:space="0" w:color="000000"/>
            </w:tcBorders>
          </w:tcPr>
          <w:p>
            <w:pPr>
              <w:pStyle w:val="TableParagraph"/>
              <w:spacing w:before="46"/>
              <w:ind w:left="261" w:right="237"/>
              <w:rPr>
                <w:rFonts w:ascii="宋体" w:eastAsia="宋体" w:hint="eastAsia"/>
                <w:b/>
                <w:sz w:val="21"/>
              </w:rPr>
            </w:pPr>
            <w:r>
              <w:rPr>
                <w:rFonts w:ascii="宋体" w:eastAsia="宋体" w:hint="eastAsia"/>
                <w:b/>
                <w:sz w:val="21"/>
              </w:rPr>
              <w:t>排放源</w:t>
            </w:r>
          </w:p>
        </w:tc>
        <w:tc>
          <w:tcPr>
            <w:tcW w:w="4247" w:type="dxa"/>
            <w:tcBorders>
              <w:left w:val="single" w:sz="6" w:space="0" w:color="000000"/>
              <w:bottom w:val="single" w:sz="6" w:space="0" w:color="000000"/>
            </w:tcBorders>
          </w:tcPr>
          <w:p>
            <w:pPr>
              <w:pStyle w:val="TableParagraph"/>
              <w:spacing w:before="46"/>
              <w:ind w:left="179" w:right="148"/>
              <w:rPr>
                <w:rFonts w:ascii="宋体" w:eastAsia="宋体" w:hint="eastAsia"/>
                <w:b/>
                <w:sz w:val="21"/>
              </w:rPr>
            </w:pPr>
            <w:r>
              <w:rPr>
                <w:rFonts w:ascii="宋体" w:eastAsia="宋体" w:hint="eastAsia"/>
                <w:b/>
                <w:sz w:val="21"/>
              </w:rPr>
              <w:t>污染物（因子）</w:t>
            </w:r>
          </w:p>
        </w:tc>
      </w:tr>
      <w:tr>
        <w:trPr>
          <w:trHeight w:val="359" w:hRule="atLeast"/>
        </w:trPr>
        <w:tc>
          <w:tcPr>
            <w:tcW w:w="1186"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before="1"/>
              <w:ind w:left="380"/>
              <w:jc w:val="left"/>
              <w:rPr>
                <w:rFonts w:ascii="宋体" w:eastAsia="宋体" w:hint="eastAsia"/>
                <w:sz w:val="21"/>
              </w:rPr>
            </w:pPr>
            <w:r>
              <w:rPr>
                <w:rFonts w:ascii="宋体" w:eastAsia="宋体" w:hint="eastAsia"/>
                <w:sz w:val="21"/>
              </w:rPr>
              <w:t>废水</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W1</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1" w:right="237"/>
              <w:rPr>
                <w:rFonts w:ascii="宋体" w:eastAsia="宋体" w:hint="eastAsia"/>
                <w:sz w:val="21"/>
              </w:rPr>
            </w:pPr>
            <w:r>
              <w:rPr>
                <w:rFonts w:ascii="宋体" w:eastAsia="宋体" w:hint="eastAsia"/>
                <w:sz w:val="21"/>
              </w:rPr>
              <w:t>各类猪舍</w:t>
            </w:r>
          </w:p>
        </w:tc>
        <w:tc>
          <w:tcPr>
            <w:tcW w:w="4247" w:type="dxa"/>
            <w:tcBorders>
              <w:top w:val="single" w:sz="6" w:space="0" w:color="000000"/>
              <w:left w:val="single" w:sz="6" w:space="0" w:color="000000"/>
              <w:bottom w:val="single" w:sz="6" w:space="0" w:color="000000"/>
            </w:tcBorders>
          </w:tcPr>
          <w:p>
            <w:pPr>
              <w:pStyle w:val="TableParagraph"/>
              <w:spacing w:before="48"/>
              <w:ind w:left="179" w:right="148"/>
              <w:rPr>
                <w:rFonts w:ascii="宋体" w:eastAsia="宋体" w:hint="eastAsia"/>
                <w:sz w:val="21"/>
              </w:rPr>
            </w:pPr>
            <w:r>
              <w:rPr>
                <w:rFonts w:ascii="宋体" w:eastAsia="宋体" w:hint="eastAsia"/>
                <w:position w:val="1"/>
                <w:sz w:val="21"/>
              </w:rPr>
              <w:t>养殖废水（</w:t>
            </w:r>
            <w:r>
              <w:rPr>
                <w:position w:val="2"/>
                <w:sz w:val="21"/>
              </w:rPr>
              <w:t>COD</w:t>
            </w:r>
            <w:r>
              <w:rPr>
                <w:sz w:val="14"/>
              </w:rPr>
              <w:t>Cr</w:t>
            </w:r>
            <w:r>
              <w:rPr>
                <w:rFonts w:ascii="宋体" w:eastAsia="宋体" w:hint="eastAsia"/>
                <w:position w:val="1"/>
                <w:sz w:val="21"/>
              </w:rPr>
              <w:t>、</w:t>
            </w:r>
            <w:r>
              <w:rPr>
                <w:position w:val="2"/>
                <w:sz w:val="21"/>
              </w:rPr>
              <w:t>NH</w:t>
            </w:r>
            <w:r>
              <w:rPr>
                <w:sz w:val="14"/>
              </w:rPr>
              <w:t>3</w:t>
            </w:r>
            <w:r>
              <w:rPr>
                <w:position w:val="2"/>
                <w:sz w:val="21"/>
              </w:rPr>
              <w:t>-N</w:t>
            </w:r>
            <w:r>
              <w:rPr>
                <w:rFonts w:ascii="宋体" w:eastAsia="宋体" w:hint="eastAsia"/>
                <w:position w:val="1"/>
                <w:sz w:val="21"/>
              </w:rPr>
              <w:t>、</w:t>
            </w:r>
            <w:r>
              <w:rPr>
                <w:position w:val="2"/>
                <w:sz w:val="21"/>
              </w:rPr>
              <w:t>TN</w:t>
            </w:r>
            <w:r>
              <w:rPr>
                <w:rFonts w:ascii="宋体" w:eastAsia="宋体" w:hint="eastAsia"/>
                <w:position w:val="1"/>
                <w:sz w:val="21"/>
              </w:rPr>
              <w:t>、</w:t>
            </w:r>
            <w:r>
              <w:rPr>
                <w:position w:val="2"/>
                <w:sz w:val="21"/>
              </w:rPr>
              <w:t>TP </w:t>
            </w:r>
            <w:r>
              <w:rPr>
                <w:rFonts w:ascii="宋体" w:eastAsia="宋体" w:hint="eastAsia"/>
                <w:position w:val="1"/>
                <w:sz w:val="21"/>
              </w:rPr>
              <w:t>等）</w:t>
            </w:r>
          </w:p>
        </w:tc>
      </w:tr>
      <w:tr>
        <w:trPr>
          <w:trHeight w:val="356"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W2</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7"/>
              <w:rPr>
                <w:rFonts w:ascii="宋体" w:eastAsia="宋体" w:hint="eastAsia"/>
                <w:sz w:val="21"/>
              </w:rPr>
            </w:pPr>
            <w:r>
              <w:rPr>
                <w:rFonts w:ascii="宋体" w:eastAsia="宋体" w:hint="eastAsia"/>
                <w:sz w:val="21"/>
              </w:rPr>
              <w:t>废气处理</w:t>
            </w:r>
          </w:p>
        </w:tc>
        <w:tc>
          <w:tcPr>
            <w:tcW w:w="4247" w:type="dxa"/>
            <w:tcBorders>
              <w:top w:val="single" w:sz="6" w:space="0" w:color="000000"/>
              <w:left w:val="single" w:sz="6" w:space="0" w:color="000000"/>
              <w:bottom w:val="single" w:sz="6" w:space="0" w:color="000000"/>
            </w:tcBorders>
          </w:tcPr>
          <w:p>
            <w:pPr>
              <w:pStyle w:val="TableParagraph"/>
              <w:spacing w:before="48"/>
              <w:ind w:left="176" w:right="148"/>
              <w:rPr>
                <w:rFonts w:ascii="宋体" w:eastAsia="宋体" w:hint="eastAsia"/>
                <w:sz w:val="21"/>
              </w:rPr>
            </w:pPr>
            <w:r>
              <w:rPr>
                <w:rFonts w:ascii="宋体" w:eastAsia="宋体" w:hint="eastAsia"/>
                <w:position w:val="1"/>
                <w:sz w:val="21"/>
              </w:rPr>
              <w:t>喷淋废水（</w:t>
            </w:r>
            <w:r>
              <w:rPr>
                <w:position w:val="2"/>
                <w:sz w:val="21"/>
              </w:rPr>
              <w:t>COD</w:t>
            </w:r>
            <w:r>
              <w:rPr>
                <w:sz w:val="14"/>
              </w:rPr>
              <w:t>Cr</w:t>
            </w:r>
            <w:r>
              <w:rPr>
                <w:rFonts w:ascii="宋体" w:eastAsia="宋体" w:hint="eastAsia"/>
                <w:position w:val="1"/>
                <w:sz w:val="21"/>
              </w:rPr>
              <w:t>、</w:t>
            </w:r>
            <w:r>
              <w:rPr>
                <w:position w:val="2"/>
                <w:sz w:val="21"/>
              </w:rPr>
              <w:t>NH</w:t>
            </w:r>
            <w:r>
              <w:rPr>
                <w:sz w:val="14"/>
              </w:rPr>
              <w:t>3</w:t>
            </w:r>
            <w:r>
              <w:rPr>
                <w:position w:val="2"/>
                <w:sz w:val="21"/>
              </w:rPr>
              <w:t>-N </w:t>
            </w:r>
            <w:r>
              <w:rPr>
                <w:rFonts w:ascii="宋体" w:eastAsia="宋体" w:hint="eastAsia"/>
                <w:position w:val="1"/>
                <w:sz w:val="21"/>
              </w:rPr>
              <w:t>等）</w:t>
            </w:r>
          </w:p>
        </w:tc>
      </w:tr>
      <w:tr>
        <w:trPr>
          <w:trHeight w:val="359"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104"/>
              <w:rPr>
                <w:sz w:val="21"/>
              </w:rPr>
            </w:pPr>
            <w:r>
              <w:rPr>
                <w:sz w:val="21"/>
              </w:rPr>
              <w:t>W3</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9"/>
              <w:ind w:left="264" w:right="235"/>
              <w:rPr>
                <w:rFonts w:ascii="宋体" w:eastAsia="宋体" w:hint="eastAsia"/>
                <w:sz w:val="21"/>
              </w:rPr>
            </w:pPr>
            <w:r>
              <w:rPr>
                <w:rFonts w:ascii="宋体" w:eastAsia="宋体" w:hint="eastAsia"/>
                <w:sz w:val="21"/>
              </w:rPr>
              <w:t>雨水</w:t>
            </w:r>
          </w:p>
        </w:tc>
        <w:tc>
          <w:tcPr>
            <w:tcW w:w="4247" w:type="dxa"/>
            <w:tcBorders>
              <w:top w:val="single" w:sz="6" w:space="0" w:color="000000"/>
              <w:left w:val="single" w:sz="6" w:space="0" w:color="000000"/>
              <w:bottom w:val="single" w:sz="6" w:space="0" w:color="000000"/>
            </w:tcBorders>
          </w:tcPr>
          <w:p>
            <w:pPr>
              <w:pStyle w:val="TableParagraph"/>
              <w:spacing w:before="51"/>
              <w:ind w:left="176" w:right="148"/>
              <w:rPr>
                <w:rFonts w:ascii="宋体" w:eastAsia="宋体" w:hint="eastAsia"/>
                <w:sz w:val="21"/>
              </w:rPr>
            </w:pPr>
            <w:r>
              <w:rPr>
                <w:rFonts w:ascii="宋体" w:eastAsia="宋体" w:hint="eastAsia"/>
                <w:position w:val="1"/>
                <w:sz w:val="21"/>
              </w:rPr>
              <w:t>初期雨水（</w:t>
            </w:r>
            <w:r>
              <w:rPr>
                <w:position w:val="2"/>
                <w:sz w:val="21"/>
              </w:rPr>
              <w:t>COD</w:t>
            </w:r>
            <w:r>
              <w:rPr>
                <w:sz w:val="14"/>
              </w:rPr>
              <w:t>Cr</w:t>
            </w:r>
            <w:r>
              <w:rPr>
                <w:rFonts w:ascii="宋体" w:eastAsia="宋体" w:hint="eastAsia"/>
                <w:position w:val="1"/>
                <w:sz w:val="21"/>
              </w:rPr>
              <w:t>、</w:t>
            </w:r>
            <w:r>
              <w:rPr>
                <w:position w:val="2"/>
                <w:sz w:val="21"/>
              </w:rPr>
              <w:t>SS </w:t>
            </w:r>
            <w:r>
              <w:rPr>
                <w:rFonts w:ascii="宋体" w:eastAsia="宋体" w:hint="eastAsia"/>
                <w:position w:val="1"/>
                <w:sz w:val="21"/>
              </w:rPr>
              <w:t>等）</w:t>
            </w:r>
          </w:p>
        </w:tc>
      </w:tr>
      <w:tr>
        <w:trPr>
          <w:trHeight w:val="359"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W4</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7"/>
              <w:rPr>
                <w:rFonts w:ascii="宋体" w:eastAsia="宋体" w:hint="eastAsia"/>
                <w:sz w:val="21"/>
              </w:rPr>
            </w:pPr>
            <w:r>
              <w:rPr>
                <w:rFonts w:ascii="宋体" w:eastAsia="宋体" w:hint="eastAsia"/>
                <w:sz w:val="21"/>
              </w:rPr>
              <w:t>职工生活</w:t>
            </w:r>
          </w:p>
        </w:tc>
        <w:tc>
          <w:tcPr>
            <w:tcW w:w="4247" w:type="dxa"/>
            <w:tcBorders>
              <w:top w:val="single" w:sz="6" w:space="0" w:color="000000"/>
              <w:left w:val="single" w:sz="6" w:space="0" w:color="000000"/>
              <w:bottom w:val="single" w:sz="6" w:space="0" w:color="000000"/>
            </w:tcBorders>
          </w:tcPr>
          <w:p>
            <w:pPr>
              <w:pStyle w:val="TableParagraph"/>
              <w:spacing w:before="48"/>
              <w:ind w:left="178" w:right="148"/>
              <w:rPr>
                <w:rFonts w:ascii="宋体" w:eastAsia="宋体" w:hint="eastAsia"/>
                <w:sz w:val="21"/>
              </w:rPr>
            </w:pPr>
            <w:r>
              <w:rPr>
                <w:rFonts w:ascii="宋体" w:eastAsia="宋体" w:hint="eastAsia"/>
                <w:position w:val="1"/>
                <w:sz w:val="21"/>
              </w:rPr>
              <w:t>生活污水（</w:t>
            </w:r>
            <w:r>
              <w:rPr>
                <w:position w:val="2"/>
                <w:sz w:val="21"/>
              </w:rPr>
              <w:t>COD</w:t>
            </w:r>
            <w:r>
              <w:rPr>
                <w:sz w:val="14"/>
              </w:rPr>
              <w:t>Cr</w:t>
            </w:r>
            <w:r>
              <w:rPr>
                <w:rFonts w:ascii="宋体" w:eastAsia="宋体" w:hint="eastAsia"/>
                <w:position w:val="1"/>
                <w:sz w:val="21"/>
              </w:rPr>
              <w:t>、</w:t>
            </w:r>
            <w:r>
              <w:rPr>
                <w:position w:val="2"/>
                <w:sz w:val="21"/>
              </w:rPr>
              <w:t>NH</w:t>
            </w:r>
            <w:r>
              <w:rPr>
                <w:sz w:val="14"/>
              </w:rPr>
              <w:t>3</w:t>
            </w:r>
            <w:r>
              <w:rPr>
                <w:position w:val="2"/>
                <w:sz w:val="21"/>
              </w:rPr>
              <w:t>-N </w:t>
            </w:r>
            <w:r>
              <w:rPr>
                <w:rFonts w:ascii="宋体" w:eastAsia="宋体" w:hint="eastAsia"/>
                <w:position w:val="1"/>
                <w:sz w:val="21"/>
              </w:rPr>
              <w:t>等）</w:t>
            </w:r>
          </w:p>
        </w:tc>
      </w:tr>
      <w:tr>
        <w:trPr>
          <w:trHeight w:val="351" w:hRule="atLeast"/>
        </w:trPr>
        <w:tc>
          <w:tcPr>
            <w:tcW w:w="1186"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before="1"/>
              <w:ind w:left="380"/>
              <w:jc w:val="left"/>
              <w:rPr>
                <w:rFonts w:ascii="宋体" w:eastAsia="宋体" w:hint="eastAsia"/>
                <w:sz w:val="21"/>
              </w:rPr>
            </w:pPr>
            <w:r>
              <w:rPr>
                <w:rFonts w:ascii="宋体" w:eastAsia="宋体" w:hint="eastAsia"/>
                <w:sz w:val="21"/>
              </w:rPr>
              <w:t>废气</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0"/>
              <w:rPr>
                <w:sz w:val="21"/>
              </w:rPr>
            </w:pPr>
            <w:r>
              <w:rPr>
                <w:sz w:val="21"/>
              </w:rPr>
              <w:t>G1</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1" w:right="237"/>
              <w:rPr>
                <w:rFonts w:ascii="宋体" w:eastAsia="宋体" w:hint="eastAsia"/>
                <w:sz w:val="21"/>
              </w:rPr>
            </w:pPr>
            <w:r>
              <w:rPr>
                <w:rFonts w:ascii="宋体" w:eastAsia="宋体" w:hint="eastAsia"/>
                <w:sz w:val="21"/>
              </w:rPr>
              <w:t>各类猪舍</w:t>
            </w:r>
          </w:p>
        </w:tc>
        <w:tc>
          <w:tcPr>
            <w:tcW w:w="4247" w:type="dxa"/>
            <w:tcBorders>
              <w:top w:val="single" w:sz="6" w:space="0" w:color="000000"/>
              <w:left w:val="single" w:sz="6" w:space="0" w:color="000000"/>
              <w:bottom w:val="single" w:sz="6" w:space="0" w:color="000000"/>
            </w:tcBorders>
          </w:tcPr>
          <w:p>
            <w:pPr>
              <w:pStyle w:val="TableParagraph"/>
              <w:spacing w:before="46"/>
              <w:ind w:left="176" w:right="148"/>
              <w:rPr>
                <w:rFonts w:ascii="宋体" w:eastAsia="宋体" w:hint="eastAsia"/>
                <w:sz w:val="21"/>
              </w:rPr>
            </w:pPr>
            <w:r>
              <w:rPr>
                <w:rFonts w:ascii="宋体" w:eastAsia="宋体" w:hint="eastAsia"/>
                <w:sz w:val="21"/>
              </w:rPr>
              <w:t>臭气（氨、硫化氢、臭气）</w:t>
            </w:r>
          </w:p>
        </w:tc>
      </w:tr>
      <w:tr>
        <w:trPr>
          <w:trHeight w:val="341" w:hRule="atLeast"/>
        </w:trPr>
        <w:tc>
          <w:tcPr>
            <w:tcW w:w="1186" w:type="dxa"/>
            <w:vMerge/>
            <w:tcBorders>
              <w:top w:val="nil"/>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before="50"/>
              <w:ind w:left="126" w:right="100"/>
              <w:rPr>
                <w:sz w:val="21"/>
              </w:rPr>
            </w:pPr>
            <w:r>
              <w:rPr>
                <w:sz w:val="21"/>
              </w:rPr>
              <w:t>G2</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39"/>
              <w:ind w:left="264" w:right="237"/>
              <w:rPr>
                <w:rFonts w:ascii="宋体" w:eastAsia="宋体" w:hint="eastAsia"/>
                <w:sz w:val="21"/>
              </w:rPr>
            </w:pPr>
            <w:r>
              <w:rPr>
                <w:rFonts w:ascii="宋体" w:eastAsia="宋体" w:hint="eastAsia"/>
                <w:sz w:val="21"/>
              </w:rPr>
              <w:t>粪污处理</w:t>
            </w:r>
          </w:p>
        </w:tc>
        <w:tc>
          <w:tcPr>
            <w:tcW w:w="4247" w:type="dxa"/>
            <w:tcBorders>
              <w:top w:val="single" w:sz="6" w:space="0" w:color="000000"/>
              <w:left w:val="single" w:sz="6" w:space="0" w:color="000000"/>
              <w:bottom w:val="single" w:sz="6" w:space="0" w:color="000000"/>
            </w:tcBorders>
          </w:tcPr>
          <w:p>
            <w:pPr>
              <w:pStyle w:val="TableParagraph"/>
              <w:spacing w:before="39"/>
              <w:ind w:left="176" w:right="148"/>
              <w:rPr>
                <w:rFonts w:ascii="宋体" w:eastAsia="宋体" w:hint="eastAsia"/>
                <w:sz w:val="21"/>
              </w:rPr>
            </w:pPr>
            <w:r>
              <w:rPr>
                <w:rFonts w:ascii="宋体" w:eastAsia="宋体" w:hint="eastAsia"/>
                <w:sz w:val="21"/>
              </w:rPr>
              <w:t>臭气（氨、硫化氢、臭气）</w:t>
            </w:r>
          </w:p>
        </w:tc>
      </w:tr>
      <w:tr>
        <w:trPr>
          <w:trHeight w:val="344" w:hRule="atLeast"/>
        </w:trPr>
        <w:tc>
          <w:tcPr>
            <w:tcW w:w="1186" w:type="dxa"/>
            <w:vMerge/>
            <w:tcBorders>
              <w:top w:val="nil"/>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before="53"/>
              <w:ind w:left="126" w:right="100"/>
              <w:rPr>
                <w:sz w:val="21"/>
              </w:rPr>
            </w:pPr>
            <w:r>
              <w:rPr>
                <w:sz w:val="21"/>
              </w:rPr>
              <w:t>G3</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1"/>
              <w:ind w:left="264" w:right="237"/>
              <w:rPr>
                <w:rFonts w:ascii="宋体" w:eastAsia="宋体" w:hint="eastAsia"/>
                <w:sz w:val="21"/>
              </w:rPr>
            </w:pPr>
            <w:r>
              <w:rPr>
                <w:rFonts w:ascii="宋体" w:eastAsia="宋体" w:hint="eastAsia"/>
                <w:sz w:val="21"/>
              </w:rPr>
              <w:t>猪粪发酵</w:t>
            </w:r>
          </w:p>
        </w:tc>
        <w:tc>
          <w:tcPr>
            <w:tcW w:w="4247" w:type="dxa"/>
            <w:tcBorders>
              <w:top w:val="single" w:sz="6" w:space="0" w:color="000000"/>
              <w:left w:val="single" w:sz="6" w:space="0" w:color="000000"/>
              <w:bottom w:val="single" w:sz="6" w:space="0" w:color="000000"/>
            </w:tcBorders>
          </w:tcPr>
          <w:p>
            <w:pPr>
              <w:pStyle w:val="TableParagraph"/>
              <w:spacing w:before="41"/>
              <w:ind w:left="176" w:right="148"/>
              <w:rPr>
                <w:rFonts w:ascii="宋体" w:eastAsia="宋体" w:hint="eastAsia"/>
                <w:sz w:val="21"/>
              </w:rPr>
            </w:pPr>
            <w:r>
              <w:rPr>
                <w:rFonts w:ascii="宋体" w:eastAsia="宋体" w:hint="eastAsia"/>
                <w:sz w:val="21"/>
              </w:rPr>
              <w:t>臭气（氨、硫化氢、臭气）</w:t>
            </w:r>
          </w:p>
        </w:tc>
      </w:tr>
      <w:tr>
        <w:trPr>
          <w:trHeight w:val="349" w:hRule="atLeast"/>
        </w:trPr>
        <w:tc>
          <w:tcPr>
            <w:tcW w:w="1186" w:type="dxa"/>
            <w:vMerge/>
            <w:tcBorders>
              <w:top w:val="nil"/>
              <w:right w:val="single" w:sz="6" w:space="0" w:color="000000"/>
            </w:tcBorders>
          </w:tcPr>
          <w:p>
            <w:pPr>
              <w:rPr>
                <w:sz w:val="2"/>
                <w:szCs w:val="2"/>
              </w:rPr>
            </w:pPr>
          </w:p>
        </w:tc>
        <w:tc>
          <w:tcPr>
            <w:tcW w:w="713" w:type="dxa"/>
            <w:tcBorders>
              <w:top w:val="single" w:sz="6" w:space="0" w:color="000000"/>
              <w:left w:val="single" w:sz="6" w:space="0" w:color="000000"/>
              <w:right w:val="single" w:sz="6" w:space="0" w:color="000000"/>
            </w:tcBorders>
          </w:tcPr>
          <w:p>
            <w:pPr>
              <w:pStyle w:val="TableParagraph"/>
              <w:spacing w:before="50"/>
              <w:ind w:left="126" w:right="100"/>
              <w:rPr>
                <w:sz w:val="21"/>
              </w:rPr>
            </w:pPr>
            <w:r>
              <w:rPr>
                <w:sz w:val="21"/>
              </w:rPr>
              <w:t>G4</w:t>
            </w:r>
          </w:p>
        </w:tc>
        <w:tc>
          <w:tcPr>
            <w:tcW w:w="3287" w:type="dxa"/>
            <w:tcBorders>
              <w:top w:val="single" w:sz="6" w:space="0" w:color="000000"/>
              <w:left w:val="single" w:sz="6" w:space="0" w:color="000000"/>
              <w:right w:val="single" w:sz="6" w:space="0" w:color="000000"/>
            </w:tcBorders>
          </w:tcPr>
          <w:p>
            <w:pPr>
              <w:pStyle w:val="TableParagraph"/>
              <w:spacing w:before="39"/>
              <w:ind w:left="264" w:right="237"/>
              <w:rPr>
                <w:rFonts w:ascii="宋体" w:eastAsia="宋体" w:hint="eastAsia"/>
                <w:sz w:val="21"/>
              </w:rPr>
            </w:pPr>
            <w:r>
              <w:rPr>
                <w:rFonts w:ascii="宋体" w:eastAsia="宋体" w:hint="eastAsia"/>
                <w:sz w:val="21"/>
              </w:rPr>
              <w:t>病死猪无害化处理</w:t>
            </w:r>
          </w:p>
        </w:tc>
        <w:tc>
          <w:tcPr>
            <w:tcW w:w="4247" w:type="dxa"/>
            <w:tcBorders>
              <w:top w:val="single" w:sz="6" w:space="0" w:color="000000"/>
              <w:left w:val="single" w:sz="6" w:space="0" w:color="000000"/>
            </w:tcBorders>
          </w:tcPr>
          <w:p>
            <w:pPr>
              <w:pStyle w:val="TableParagraph"/>
              <w:spacing w:before="39"/>
              <w:ind w:left="176" w:right="148"/>
              <w:rPr>
                <w:rFonts w:ascii="宋体" w:eastAsia="宋体" w:hint="eastAsia"/>
                <w:sz w:val="21"/>
              </w:rPr>
            </w:pPr>
            <w:r>
              <w:rPr>
                <w:rFonts w:ascii="宋体" w:eastAsia="宋体" w:hint="eastAsia"/>
                <w:sz w:val="21"/>
              </w:rPr>
              <w:t>臭气（氨、硫化氢、臭气）</w:t>
            </w:r>
          </w:p>
        </w:tc>
      </w:tr>
    </w:tbl>
    <w:p>
      <w:pPr>
        <w:spacing w:after="0"/>
        <w:rPr>
          <w:rFonts w:ascii="宋体" w:eastAsia="宋体" w:hint="eastAsia"/>
          <w:sz w:val="21"/>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6"/>
        <w:gridCol w:w="713"/>
        <w:gridCol w:w="3287"/>
        <w:gridCol w:w="4247"/>
      </w:tblGrid>
      <w:tr>
        <w:trPr>
          <w:trHeight w:val="359" w:hRule="atLeast"/>
        </w:trPr>
        <w:tc>
          <w:tcPr>
            <w:tcW w:w="1186" w:type="dxa"/>
            <w:tcBorders>
              <w:bottom w:val="single" w:sz="6" w:space="0" w:color="000000"/>
              <w:right w:val="single" w:sz="6" w:space="0" w:color="000000"/>
            </w:tcBorders>
          </w:tcPr>
          <w:p>
            <w:pPr>
              <w:pStyle w:val="TableParagraph"/>
              <w:spacing w:before="49"/>
              <w:ind w:left="150" w:right="130"/>
              <w:rPr>
                <w:rFonts w:ascii="宋体" w:eastAsia="宋体" w:hint="eastAsia"/>
                <w:b/>
                <w:sz w:val="21"/>
              </w:rPr>
            </w:pPr>
            <w:r>
              <w:rPr>
                <w:rFonts w:ascii="宋体" w:eastAsia="宋体" w:hint="eastAsia"/>
                <w:b/>
                <w:sz w:val="21"/>
              </w:rPr>
              <w:t>污染类型</w:t>
            </w:r>
          </w:p>
        </w:tc>
        <w:tc>
          <w:tcPr>
            <w:tcW w:w="713" w:type="dxa"/>
            <w:tcBorders>
              <w:left w:val="single" w:sz="6" w:space="0" w:color="000000"/>
              <w:bottom w:val="single" w:sz="6" w:space="0" w:color="000000"/>
              <w:right w:val="single" w:sz="6" w:space="0" w:color="000000"/>
            </w:tcBorders>
          </w:tcPr>
          <w:p>
            <w:pPr>
              <w:pStyle w:val="TableParagraph"/>
              <w:spacing w:before="49"/>
              <w:ind w:left="126" w:right="106"/>
              <w:rPr>
                <w:rFonts w:ascii="宋体" w:eastAsia="宋体" w:hint="eastAsia"/>
                <w:b/>
                <w:sz w:val="21"/>
              </w:rPr>
            </w:pPr>
            <w:r>
              <w:rPr>
                <w:rFonts w:ascii="宋体" w:eastAsia="宋体" w:hint="eastAsia"/>
                <w:b/>
                <w:sz w:val="21"/>
              </w:rPr>
              <w:t>编号</w:t>
            </w:r>
          </w:p>
        </w:tc>
        <w:tc>
          <w:tcPr>
            <w:tcW w:w="3287" w:type="dxa"/>
            <w:tcBorders>
              <w:left w:val="single" w:sz="6" w:space="0" w:color="000000"/>
              <w:bottom w:val="single" w:sz="6" w:space="0" w:color="000000"/>
              <w:right w:val="single" w:sz="6" w:space="0" w:color="000000"/>
            </w:tcBorders>
          </w:tcPr>
          <w:p>
            <w:pPr>
              <w:pStyle w:val="TableParagraph"/>
              <w:spacing w:before="49"/>
              <w:ind w:left="261" w:right="237"/>
              <w:rPr>
                <w:rFonts w:ascii="宋体" w:eastAsia="宋体" w:hint="eastAsia"/>
                <w:b/>
                <w:sz w:val="21"/>
              </w:rPr>
            </w:pPr>
            <w:r>
              <w:rPr>
                <w:rFonts w:ascii="宋体" w:eastAsia="宋体" w:hint="eastAsia"/>
                <w:b/>
                <w:sz w:val="21"/>
              </w:rPr>
              <w:t>排放源</w:t>
            </w:r>
          </w:p>
        </w:tc>
        <w:tc>
          <w:tcPr>
            <w:tcW w:w="4247" w:type="dxa"/>
            <w:tcBorders>
              <w:left w:val="single" w:sz="6" w:space="0" w:color="000000"/>
              <w:bottom w:val="single" w:sz="6" w:space="0" w:color="000000"/>
            </w:tcBorders>
          </w:tcPr>
          <w:p>
            <w:pPr>
              <w:pStyle w:val="TableParagraph"/>
              <w:spacing w:before="49"/>
              <w:ind w:left="179" w:right="148"/>
              <w:rPr>
                <w:rFonts w:ascii="宋体" w:eastAsia="宋体" w:hint="eastAsia"/>
                <w:b/>
                <w:sz w:val="21"/>
              </w:rPr>
            </w:pPr>
            <w:r>
              <w:rPr>
                <w:rFonts w:ascii="宋体" w:eastAsia="宋体" w:hint="eastAsia"/>
                <w:b/>
                <w:sz w:val="21"/>
              </w:rPr>
              <w:t>污染物（因子）</w:t>
            </w:r>
          </w:p>
        </w:tc>
      </w:tr>
      <w:tr>
        <w:trPr>
          <w:trHeight w:val="359" w:hRule="atLeast"/>
        </w:trPr>
        <w:tc>
          <w:tcPr>
            <w:tcW w:w="1186" w:type="dxa"/>
            <w:vMerge w:val="restart"/>
            <w:tcBorders>
              <w:top w:val="single" w:sz="6" w:space="0" w:color="000000"/>
              <w:bottom w:val="single" w:sz="6" w:space="0" w:color="000000"/>
              <w:right w:val="single" w:sz="6" w:space="0" w:color="000000"/>
            </w:tcBorders>
          </w:tcPr>
          <w:p>
            <w:pPr>
              <w:pStyle w:val="TableParagraph"/>
              <w:spacing w:before="0"/>
              <w:jc w:val="left"/>
              <w:rPr>
                <w:sz w:val="20"/>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0"/>
              <w:rPr>
                <w:sz w:val="21"/>
              </w:rPr>
            </w:pPr>
            <w:r>
              <w:rPr>
                <w:sz w:val="21"/>
              </w:rPr>
              <w:t>G5</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1" w:right="237"/>
              <w:rPr>
                <w:rFonts w:ascii="宋体" w:eastAsia="宋体" w:hint="eastAsia"/>
                <w:sz w:val="21"/>
              </w:rPr>
            </w:pPr>
            <w:r>
              <w:rPr>
                <w:rFonts w:ascii="宋体" w:eastAsia="宋体" w:hint="eastAsia"/>
                <w:sz w:val="21"/>
              </w:rPr>
              <w:t>沼气锅炉</w:t>
            </w:r>
          </w:p>
        </w:tc>
        <w:tc>
          <w:tcPr>
            <w:tcW w:w="4247" w:type="dxa"/>
            <w:tcBorders>
              <w:top w:val="single" w:sz="6" w:space="0" w:color="000000"/>
              <w:left w:val="single" w:sz="6" w:space="0" w:color="000000"/>
              <w:bottom w:val="single" w:sz="6" w:space="0" w:color="000000"/>
            </w:tcBorders>
          </w:tcPr>
          <w:p>
            <w:pPr>
              <w:pStyle w:val="TableParagraph"/>
              <w:spacing w:before="48"/>
              <w:ind w:left="176" w:right="148"/>
              <w:rPr>
                <w:rFonts w:ascii="宋体" w:eastAsia="宋体" w:hint="eastAsia"/>
                <w:sz w:val="21"/>
              </w:rPr>
            </w:pPr>
            <w:r>
              <w:rPr>
                <w:rFonts w:ascii="宋体" w:eastAsia="宋体" w:hint="eastAsia"/>
                <w:position w:val="1"/>
                <w:sz w:val="21"/>
              </w:rPr>
              <w:t>沼气燃烧废气（</w:t>
            </w:r>
            <w:r>
              <w:rPr>
                <w:position w:val="2"/>
                <w:sz w:val="21"/>
              </w:rPr>
              <w:t>SO</w:t>
            </w:r>
            <w:r>
              <w:rPr>
                <w:sz w:val="14"/>
              </w:rPr>
              <w:t>2</w:t>
            </w:r>
            <w:r>
              <w:rPr>
                <w:rFonts w:ascii="宋体" w:eastAsia="宋体" w:hint="eastAsia"/>
                <w:position w:val="1"/>
                <w:sz w:val="21"/>
              </w:rPr>
              <w:t>、</w:t>
            </w:r>
            <w:r>
              <w:rPr>
                <w:position w:val="2"/>
                <w:sz w:val="21"/>
              </w:rPr>
              <w:t>NO</w:t>
            </w:r>
            <w:r>
              <w:rPr>
                <w:sz w:val="14"/>
              </w:rPr>
              <w:t>x</w:t>
            </w:r>
            <w:r>
              <w:rPr>
                <w:rFonts w:ascii="宋体" w:eastAsia="宋体" w:hint="eastAsia"/>
                <w:position w:val="1"/>
                <w:sz w:val="21"/>
              </w:rPr>
              <w:t>）</w:t>
            </w:r>
          </w:p>
        </w:tc>
      </w:tr>
      <w:tr>
        <w:trPr>
          <w:trHeight w:val="357"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0"/>
              <w:rPr>
                <w:sz w:val="21"/>
              </w:rPr>
            </w:pPr>
            <w:r>
              <w:rPr>
                <w:sz w:val="21"/>
              </w:rPr>
              <w:t>G6</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5"/>
              <w:rPr>
                <w:rFonts w:ascii="宋体" w:eastAsia="宋体" w:hint="eastAsia"/>
                <w:sz w:val="21"/>
              </w:rPr>
            </w:pPr>
            <w:r>
              <w:rPr>
                <w:rFonts w:ascii="宋体" w:eastAsia="宋体" w:hint="eastAsia"/>
                <w:sz w:val="21"/>
              </w:rPr>
              <w:t>食堂</w:t>
            </w:r>
          </w:p>
        </w:tc>
        <w:tc>
          <w:tcPr>
            <w:tcW w:w="4247" w:type="dxa"/>
            <w:tcBorders>
              <w:top w:val="single" w:sz="6" w:space="0" w:color="000000"/>
              <w:left w:val="single" w:sz="6" w:space="0" w:color="000000"/>
              <w:bottom w:val="single" w:sz="6" w:space="0" w:color="000000"/>
            </w:tcBorders>
          </w:tcPr>
          <w:p>
            <w:pPr>
              <w:pStyle w:val="TableParagraph"/>
              <w:spacing w:before="46"/>
              <w:ind w:left="179" w:right="145"/>
              <w:rPr>
                <w:rFonts w:ascii="宋体" w:eastAsia="宋体" w:hint="eastAsia"/>
                <w:sz w:val="21"/>
              </w:rPr>
            </w:pPr>
            <w:r>
              <w:rPr>
                <w:rFonts w:ascii="宋体" w:eastAsia="宋体" w:hint="eastAsia"/>
                <w:sz w:val="21"/>
              </w:rPr>
              <w:t>食堂油烟</w:t>
            </w:r>
          </w:p>
        </w:tc>
      </w:tr>
      <w:tr>
        <w:trPr>
          <w:trHeight w:val="359" w:hRule="atLeast"/>
        </w:trPr>
        <w:tc>
          <w:tcPr>
            <w:tcW w:w="1186"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44"/>
              <w:ind w:left="172"/>
              <w:jc w:val="left"/>
              <w:rPr>
                <w:rFonts w:ascii="宋体" w:eastAsia="宋体" w:hint="eastAsia"/>
                <w:sz w:val="21"/>
              </w:rPr>
            </w:pPr>
            <w:r>
              <w:rPr>
                <w:rFonts w:ascii="宋体" w:eastAsia="宋体" w:hint="eastAsia"/>
                <w:sz w:val="21"/>
              </w:rPr>
              <w:t>固体废物</w:t>
            </w: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104"/>
              <w:rPr>
                <w:sz w:val="21"/>
              </w:rPr>
            </w:pPr>
            <w:r>
              <w:rPr>
                <w:sz w:val="21"/>
              </w:rPr>
              <w:t>S1</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9"/>
              <w:ind w:left="264" w:right="235"/>
              <w:rPr>
                <w:rFonts w:ascii="宋体" w:eastAsia="宋体" w:hint="eastAsia"/>
                <w:sz w:val="21"/>
              </w:rPr>
            </w:pPr>
            <w:r>
              <w:rPr>
                <w:rFonts w:ascii="宋体" w:eastAsia="宋体" w:hint="eastAsia"/>
                <w:sz w:val="21"/>
              </w:rPr>
              <w:t>发酵罐</w:t>
            </w:r>
          </w:p>
        </w:tc>
        <w:tc>
          <w:tcPr>
            <w:tcW w:w="4247" w:type="dxa"/>
            <w:tcBorders>
              <w:top w:val="single" w:sz="6" w:space="0" w:color="000000"/>
              <w:left w:val="single" w:sz="6" w:space="0" w:color="000000"/>
              <w:bottom w:val="single" w:sz="6" w:space="0" w:color="000000"/>
            </w:tcBorders>
          </w:tcPr>
          <w:p>
            <w:pPr>
              <w:pStyle w:val="TableParagraph"/>
              <w:spacing w:before="49"/>
              <w:ind w:left="179" w:right="145"/>
              <w:rPr>
                <w:rFonts w:ascii="宋体" w:eastAsia="宋体" w:hint="eastAsia"/>
                <w:sz w:val="21"/>
              </w:rPr>
            </w:pPr>
            <w:r>
              <w:rPr>
                <w:rFonts w:ascii="宋体" w:eastAsia="宋体" w:hint="eastAsia"/>
                <w:sz w:val="21"/>
              </w:rPr>
              <w:t>发酵产物</w:t>
            </w:r>
          </w:p>
        </w:tc>
      </w:tr>
      <w:tr>
        <w:trPr>
          <w:trHeight w:val="359"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S2</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5"/>
              <w:rPr>
                <w:rFonts w:ascii="宋体" w:eastAsia="宋体" w:hint="eastAsia"/>
                <w:sz w:val="21"/>
              </w:rPr>
            </w:pPr>
            <w:r>
              <w:rPr>
                <w:rFonts w:ascii="宋体" w:eastAsia="宋体" w:hint="eastAsia"/>
                <w:sz w:val="21"/>
              </w:rPr>
              <w:t>非危化品包装</w:t>
            </w:r>
          </w:p>
        </w:tc>
        <w:tc>
          <w:tcPr>
            <w:tcW w:w="4247" w:type="dxa"/>
            <w:tcBorders>
              <w:top w:val="single" w:sz="6" w:space="0" w:color="000000"/>
              <w:left w:val="single" w:sz="6" w:space="0" w:color="000000"/>
              <w:bottom w:val="single" w:sz="6" w:space="0" w:color="000000"/>
            </w:tcBorders>
          </w:tcPr>
          <w:p>
            <w:pPr>
              <w:pStyle w:val="TableParagraph"/>
              <w:spacing w:before="46"/>
              <w:ind w:left="179" w:right="148"/>
              <w:rPr>
                <w:rFonts w:ascii="宋体" w:eastAsia="宋体" w:hint="eastAsia"/>
                <w:sz w:val="21"/>
              </w:rPr>
            </w:pPr>
            <w:r>
              <w:rPr>
                <w:rFonts w:ascii="宋体" w:eastAsia="宋体" w:hint="eastAsia"/>
                <w:sz w:val="21"/>
              </w:rPr>
              <w:t>一般废包装物</w:t>
            </w:r>
          </w:p>
        </w:tc>
      </w:tr>
      <w:tr>
        <w:trPr>
          <w:trHeight w:val="359"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S3</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7"/>
              <w:rPr>
                <w:rFonts w:ascii="宋体" w:eastAsia="宋体" w:hint="eastAsia"/>
                <w:sz w:val="21"/>
              </w:rPr>
            </w:pPr>
            <w:r>
              <w:rPr>
                <w:rFonts w:ascii="宋体" w:eastAsia="宋体" w:hint="eastAsia"/>
                <w:sz w:val="21"/>
              </w:rPr>
              <w:t>危化品包装</w:t>
            </w:r>
          </w:p>
        </w:tc>
        <w:tc>
          <w:tcPr>
            <w:tcW w:w="4247" w:type="dxa"/>
            <w:tcBorders>
              <w:top w:val="single" w:sz="6" w:space="0" w:color="000000"/>
              <w:left w:val="single" w:sz="6" w:space="0" w:color="000000"/>
              <w:bottom w:val="single" w:sz="6" w:space="0" w:color="000000"/>
            </w:tcBorders>
          </w:tcPr>
          <w:p>
            <w:pPr>
              <w:pStyle w:val="TableParagraph"/>
              <w:spacing w:before="46"/>
              <w:ind w:left="179" w:right="148"/>
              <w:rPr>
                <w:rFonts w:ascii="宋体" w:eastAsia="宋体" w:hint="eastAsia"/>
                <w:sz w:val="21"/>
              </w:rPr>
            </w:pPr>
            <w:r>
              <w:rPr>
                <w:rFonts w:ascii="宋体" w:eastAsia="宋体" w:hint="eastAsia"/>
                <w:sz w:val="21"/>
              </w:rPr>
              <w:t>危化品废包装物</w:t>
            </w:r>
          </w:p>
        </w:tc>
      </w:tr>
      <w:tr>
        <w:trPr>
          <w:trHeight w:val="357"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S4</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5"/>
              <w:rPr>
                <w:rFonts w:ascii="宋体" w:eastAsia="宋体" w:hint="eastAsia"/>
                <w:sz w:val="21"/>
              </w:rPr>
            </w:pPr>
            <w:r>
              <w:rPr>
                <w:rFonts w:ascii="宋体" w:eastAsia="宋体" w:hint="eastAsia"/>
                <w:sz w:val="21"/>
              </w:rPr>
              <w:t>无害化处理机</w:t>
            </w:r>
          </w:p>
        </w:tc>
        <w:tc>
          <w:tcPr>
            <w:tcW w:w="4247" w:type="dxa"/>
            <w:tcBorders>
              <w:top w:val="single" w:sz="6" w:space="0" w:color="000000"/>
              <w:left w:val="single" w:sz="6" w:space="0" w:color="000000"/>
              <w:bottom w:val="single" w:sz="6" w:space="0" w:color="000000"/>
            </w:tcBorders>
          </w:tcPr>
          <w:p>
            <w:pPr>
              <w:pStyle w:val="TableParagraph"/>
              <w:spacing w:before="46"/>
              <w:ind w:left="179" w:right="145"/>
              <w:rPr>
                <w:rFonts w:ascii="宋体" w:eastAsia="宋体" w:hint="eastAsia"/>
                <w:sz w:val="21"/>
              </w:rPr>
            </w:pPr>
            <w:r>
              <w:rPr>
                <w:rFonts w:ascii="宋体" w:eastAsia="宋体" w:hint="eastAsia"/>
                <w:sz w:val="21"/>
              </w:rPr>
              <w:t>废矿物油</w:t>
            </w:r>
          </w:p>
        </w:tc>
      </w:tr>
      <w:tr>
        <w:trPr>
          <w:trHeight w:val="359"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104"/>
              <w:rPr>
                <w:sz w:val="21"/>
              </w:rPr>
            </w:pPr>
            <w:r>
              <w:rPr>
                <w:sz w:val="21"/>
              </w:rPr>
              <w:t>S5</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9"/>
              <w:ind w:left="264" w:right="237"/>
              <w:rPr>
                <w:rFonts w:ascii="宋体" w:eastAsia="宋体" w:hint="eastAsia"/>
                <w:sz w:val="21"/>
              </w:rPr>
            </w:pPr>
            <w:r>
              <w:rPr>
                <w:rFonts w:ascii="宋体" w:eastAsia="宋体" w:hint="eastAsia"/>
                <w:sz w:val="21"/>
              </w:rPr>
              <w:t>猪卫生防疫</w:t>
            </w:r>
          </w:p>
        </w:tc>
        <w:tc>
          <w:tcPr>
            <w:tcW w:w="4247" w:type="dxa"/>
            <w:tcBorders>
              <w:top w:val="single" w:sz="6" w:space="0" w:color="000000"/>
              <w:left w:val="single" w:sz="6" w:space="0" w:color="000000"/>
              <w:bottom w:val="single" w:sz="6" w:space="0" w:color="000000"/>
            </w:tcBorders>
          </w:tcPr>
          <w:p>
            <w:pPr>
              <w:pStyle w:val="TableParagraph"/>
              <w:spacing w:before="49"/>
              <w:ind w:left="179" w:right="145"/>
              <w:rPr>
                <w:rFonts w:ascii="宋体" w:eastAsia="宋体" w:hint="eastAsia"/>
                <w:sz w:val="21"/>
              </w:rPr>
            </w:pPr>
            <w:r>
              <w:rPr>
                <w:rFonts w:ascii="宋体" w:eastAsia="宋体" w:hint="eastAsia"/>
                <w:sz w:val="21"/>
              </w:rPr>
              <w:t>医疗废物</w:t>
            </w:r>
          </w:p>
        </w:tc>
      </w:tr>
      <w:tr>
        <w:trPr>
          <w:trHeight w:val="359"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S6</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7"/>
              <w:rPr>
                <w:rFonts w:ascii="宋体" w:eastAsia="宋体" w:hint="eastAsia"/>
                <w:sz w:val="21"/>
              </w:rPr>
            </w:pPr>
            <w:r>
              <w:rPr>
                <w:rFonts w:ascii="宋体" w:eastAsia="宋体" w:hint="eastAsia"/>
                <w:sz w:val="21"/>
              </w:rPr>
              <w:t>沼气脱硫</w:t>
            </w:r>
          </w:p>
        </w:tc>
        <w:tc>
          <w:tcPr>
            <w:tcW w:w="4247" w:type="dxa"/>
            <w:tcBorders>
              <w:top w:val="single" w:sz="6" w:space="0" w:color="000000"/>
              <w:left w:val="single" w:sz="6" w:space="0" w:color="000000"/>
              <w:bottom w:val="single" w:sz="6" w:space="0" w:color="000000"/>
            </w:tcBorders>
          </w:tcPr>
          <w:p>
            <w:pPr>
              <w:pStyle w:val="TableParagraph"/>
              <w:spacing w:before="46"/>
              <w:ind w:left="179" w:right="145"/>
              <w:rPr>
                <w:rFonts w:ascii="宋体" w:eastAsia="宋体" w:hint="eastAsia"/>
                <w:sz w:val="21"/>
              </w:rPr>
            </w:pPr>
            <w:r>
              <w:rPr>
                <w:rFonts w:ascii="宋体" w:eastAsia="宋体" w:hint="eastAsia"/>
                <w:sz w:val="21"/>
              </w:rPr>
              <w:t>废脱硫剂</w:t>
            </w:r>
          </w:p>
        </w:tc>
      </w:tr>
      <w:tr>
        <w:trPr>
          <w:trHeight w:val="359" w:hRule="atLeast"/>
        </w:trPr>
        <w:tc>
          <w:tcPr>
            <w:tcW w:w="1186" w:type="dxa"/>
            <w:vMerge/>
            <w:tcBorders>
              <w:top w:val="nil"/>
              <w:bottom w:val="single" w:sz="6" w:space="0" w:color="000000"/>
              <w:right w:val="single" w:sz="6" w:space="0" w:color="000000"/>
            </w:tcBorders>
          </w:tcPr>
          <w:p>
            <w:pPr>
              <w:rPr>
                <w:sz w:val="2"/>
                <w:szCs w:val="2"/>
              </w:rPr>
            </w:pPr>
          </w:p>
        </w:tc>
        <w:tc>
          <w:tcPr>
            <w:tcW w:w="713" w:type="dxa"/>
            <w:tcBorders>
              <w:top w:val="single" w:sz="6" w:space="0" w:color="000000"/>
              <w:left w:val="single" w:sz="6" w:space="0" w:color="000000"/>
              <w:bottom w:val="single" w:sz="6" w:space="0" w:color="000000"/>
              <w:right w:val="single" w:sz="6" w:space="0" w:color="000000"/>
            </w:tcBorders>
          </w:tcPr>
          <w:p>
            <w:pPr>
              <w:pStyle w:val="TableParagraph"/>
              <w:ind w:left="126" w:right="104"/>
              <w:rPr>
                <w:sz w:val="21"/>
              </w:rPr>
            </w:pPr>
            <w:r>
              <w:rPr>
                <w:sz w:val="21"/>
              </w:rPr>
              <w:t>S7</w:t>
            </w:r>
          </w:p>
        </w:tc>
        <w:tc>
          <w:tcPr>
            <w:tcW w:w="3287" w:type="dxa"/>
            <w:tcBorders>
              <w:top w:val="single" w:sz="6" w:space="0" w:color="000000"/>
              <w:left w:val="single" w:sz="6" w:space="0" w:color="000000"/>
              <w:bottom w:val="single" w:sz="6" w:space="0" w:color="000000"/>
              <w:right w:val="single" w:sz="6" w:space="0" w:color="000000"/>
            </w:tcBorders>
          </w:tcPr>
          <w:p>
            <w:pPr>
              <w:pStyle w:val="TableParagraph"/>
              <w:spacing w:before="46"/>
              <w:ind w:left="264" w:right="237"/>
              <w:rPr>
                <w:rFonts w:ascii="宋体" w:eastAsia="宋体" w:hint="eastAsia"/>
                <w:sz w:val="21"/>
              </w:rPr>
            </w:pPr>
            <w:r>
              <w:rPr>
                <w:rFonts w:ascii="宋体" w:eastAsia="宋体" w:hint="eastAsia"/>
                <w:sz w:val="21"/>
              </w:rPr>
              <w:t>职工生活</w:t>
            </w:r>
          </w:p>
        </w:tc>
        <w:tc>
          <w:tcPr>
            <w:tcW w:w="4247" w:type="dxa"/>
            <w:tcBorders>
              <w:top w:val="single" w:sz="6" w:space="0" w:color="000000"/>
              <w:left w:val="single" w:sz="6" w:space="0" w:color="000000"/>
              <w:bottom w:val="single" w:sz="6" w:space="0" w:color="000000"/>
            </w:tcBorders>
          </w:tcPr>
          <w:p>
            <w:pPr>
              <w:pStyle w:val="TableParagraph"/>
              <w:spacing w:before="46"/>
              <w:ind w:left="179" w:right="145"/>
              <w:rPr>
                <w:rFonts w:ascii="宋体" w:eastAsia="宋体" w:hint="eastAsia"/>
                <w:sz w:val="21"/>
              </w:rPr>
            </w:pPr>
            <w:r>
              <w:rPr>
                <w:rFonts w:ascii="宋体" w:eastAsia="宋体" w:hint="eastAsia"/>
                <w:sz w:val="21"/>
              </w:rPr>
              <w:t>生活垃圾</w:t>
            </w:r>
          </w:p>
        </w:tc>
      </w:tr>
      <w:tr>
        <w:trPr>
          <w:trHeight w:val="356" w:hRule="atLeast"/>
        </w:trPr>
        <w:tc>
          <w:tcPr>
            <w:tcW w:w="1186" w:type="dxa"/>
            <w:tcBorders>
              <w:top w:val="single" w:sz="6" w:space="0" w:color="000000"/>
              <w:right w:val="single" w:sz="6" w:space="0" w:color="000000"/>
            </w:tcBorders>
          </w:tcPr>
          <w:p>
            <w:pPr>
              <w:pStyle w:val="TableParagraph"/>
              <w:spacing w:before="46"/>
              <w:ind w:left="150" w:right="130"/>
              <w:rPr>
                <w:rFonts w:ascii="宋体" w:eastAsia="宋体" w:hint="eastAsia"/>
                <w:sz w:val="21"/>
              </w:rPr>
            </w:pPr>
            <w:r>
              <w:rPr>
                <w:rFonts w:ascii="宋体" w:eastAsia="宋体" w:hint="eastAsia"/>
                <w:sz w:val="21"/>
              </w:rPr>
              <w:t>噪声</w:t>
            </w:r>
          </w:p>
        </w:tc>
        <w:tc>
          <w:tcPr>
            <w:tcW w:w="713" w:type="dxa"/>
            <w:tcBorders>
              <w:top w:val="single" w:sz="6" w:space="0" w:color="000000"/>
              <w:left w:val="single" w:sz="6" w:space="0" w:color="000000"/>
              <w:right w:val="single" w:sz="6" w:space="0" w:color="000000"/>
            </w:tcBorders>
          </w:tcPr>
          <w:p>
            <w:pPr>
              <w:pStyle w:val="TableParagraph"/>
              <w:ind w:left="24"/>
              <w:rPr>
                <w:sz w:val="21"/>
              </w:rPr>
            </w:pPr>
            <w:r>
              <w:rPr>
                <w:w w:val="100"/>
                <w:sz w:val="21"/>
              </w:rPr>
              <w:t>N</w:t>
            </w:r>
          </w:p>
        </w:tc>
        <w:tc>
          <w:tcPr>
            <w:tcW w:w="3287" w:type="dxa"/>
            <w:tcBorders>
              <w:top w:val="single" w:sz="6" w:space="0" w:color="000000"/>
              <w:left w:val="single" w:sz="6" w:space="0" w:color="000000"/>
              <w:right w:val="single" w:sz="6" w:space="0" w:color="000000"/>
            </w:tcBorders>
          </w:tcPr>
          <w:p>
            <w:pPr>
              <w:pStyle w:val="TableParagraph"/>
              <w:spacing w:before="46"/>
              <w:ind w:left="264" w:right="237"/>
              <w:rPr>
                <w:rFonts w:ascii="宋体" w:eastAsia="宋体" w:hint="eastAsia"/>
                <w:sz w:val="21"/>
              </w:rPr>
            </w:pPr>
            <w:r>
              <w:rPr>
                <w:rFonts w:ascii="宋体" w:eastAsia="宋体" w:hint="eastAsia"/>
                <w:sz w:val="21"/>
              </w:rPr>
              <w:t>风机、水泵等设备运行，猪叫</w:t>
            </w:r>
          </w:p>
        </w:tc>
        <w:tc>
          <w:tcPr>
            <w:tcW w:w="4247" w:type="dxa"/>
            <w:tcBorders>
              <w:top w:val="single" w:sz="6" w:space="0" w:color="000000"/>
              <w:left w:val="single" w:sz="6" w:space="0" w:color="000000"/>
            </w:tcBorders>
          </w:tcPr>
          <w:p>
            <w:pPr>
              <w:pStyle w:val="TableParagraph"/>
              <w:spacing w:before="46"/>
              <w:ind w:left="179" w:right="148"/>
              <w:rPr>
                <w:rFonts w:ascii="宋体" w:eastAsia="宋体" w:hint="eastAsia"/>
                <w:sz w:val="21"/>
              </w:rPr>
            </w:pPr>
            <w:r>
              <w:rPr>
                <w:rFonts w:ascii="宋体" w:eastAsia="宋体" w:hint="eastAsia"/>
                <w:sz w:val="21"/>
              </w:rPr>
              <w:t>噪声</w:t>
            </w:r>
          </w:p>
        </w:tc>
      </w:tr>
    </w:tbl>
    <w:p>
      <w:pPr>
        <w:spacing w:before="107"/>
        <w:ind w:left="719" w:right="0" w:firstLine="0"/>
        <w:jc w:val="left"/>
        <w:rPr>
          <w:b/>
          <w:sz w:val="24"/>
        </w:rPr>
      </w:pPr>
      <w:r>
        <w:rPr>
          <w:rFonts w:ascii="Times New Roman" w:eastAsia="Times New Roman"/>
          <w:b/>
          <w:sz w:val="24"/>
        </w:rPr>
        <w:t>2</w:t>
      </w:r>
      <w:r>
        <w:rPr>
          <w:b/>
          <w:sz w:val="24"/>
        </w:rPr>
        <w:t>、非生产过程污染因子识别</w:t>
      </w:r>
    </w:p>
    <w:p>
      <w:pPr>
        <w:pStyle w:val="BodyText"/>
        <w:spacing w:before="161"/>
        <w:ind w:left="717"/>
      </w:pPr>
      <w:r>
        <w:rPr/>
        <w:t>本项目装卸、储运、运输环节污染物产生情况见表 </w:t>
      </w:r>
      <w:r>
        <w:rPr>
          <w:rFonts w:ascii="Times New Roman" w:eastAsia="Times New Roman"/>
          <w:position w:val="1"/>
        </w:rPr>
        <w:t>3.2-3</w:t>
      </w:r>
      <w:r>
        <w:rPr/>
        <w:t>。</w:t>
      </w:r>
    </w:p>
    <w:p>
      <w:pPr>
        <w:pStyle w:val="Heading3"/>
        <w:spacing w:before="160"/>
        <w:ind w:left="2215"/>
      </w:pPr>
      <w:r>
        <w:rPr/>
        <w:t>表 </w:t>
      </w:r>
      <w:r>
        <w:rPr>
          <w:rFonts w:ascii="Times New Roman" w:eastAsia="Times New Roman"/>
        </w:rPr>
        <w:t>3.2-3  </w:t>
      </w:r>
      <w:r>
        <w:rPr/>
        <w:t>项目装卸、储存、运输过程污染因子汇总</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8"/>
        <w:gridCol w:w="5248"/>
        <w:gridCol w:w="3227"/>
      </w:tblGrid>
      <w:tr>
        <w:trPr>
          <w:trHeight w:val="359" w:hRule="atLeast"/>
        </w:trPr>
        <w:tc>
          <w:tcPr>
            <w:tcW w:w="958" w:type="dxa"/>
            <w:tcBorders>
              <w:bottom w:val="single" w:sz="4" w:space="0" w:color="000000"/>
              <w:right w:val="single" w:sz="4" w:space="0" w:color="000000"/>
            </w:tcBorders>
          </w:tcPr>
          <w:p>
            <w:pPr>
              <w:pStyle w:val="TableParagraph"/>
              <w:spacing w:before="46"/>
              <w:ind w:left="265"/>
              <w:jc w:val="left"/>
              <w:rPr>
                <w:rFonts w:ascii="宋体" w:eastAsia="宋体" w:hint="eastAsia"/>
                <w:b/>
                <w:sz w:val="21"/>
              </w:rPr>
            </w:pPr>
            <w:r>
              <w:rPr>
                <w:rFonts w:ascii="宋体" w:eastAsia="宋体" w:hint="eastAsia"/>
                <w:b/>
                <w:sz w:val="21"/>
              </w:rPr>
              <w:t>项目</w:t>
            </w:r>
          </w:p>
        </w:tc>
        <w:tc>
          <w:tcPr>
            <w:tcW w:w="5248" w:type="dxa"/>
            <w:tcBorders>
              <w:left w:val="single" w:sz="4" w:space="0" w:color="000000"/>
              <w:bottom w:val="single" w:sz="4" w:space="0" w:color="000000"/>
              <w:right w:val="single" w:sz="4" w:space="0" w:color="000000"/>
            </w:tcBorders>
          </w:tcPr>
          <w:p>
            <w:pPr>
              <w:pStyle w:val="TableParagraph"/>
              <w:spacing w:before="46"/>
              <w:ind w:left="91" w:right="64"/>
              <w:rPr>
                <w:rFonts w:ascii="宋体" w:eastAsia="宋体" w:hint="eastAsia"/>
                <w:b/>
                <w:sz w:val="21"/>
              </w:rPr>
            </w:pPr>
            <w:r>
              <w:rPr>
                <w:rFonts w:ascii="宋体" w:eastAsia="宋体" w:hint="eastAsia"/>
                <w:b/>
                <w:sz w:val="21"/>
              </w:rPr>
              <w:t>污染源</w:t>
            </w:r>
          </w:p>
        </w:tc>
        <w:tc>
          <w:tcPr>
            <w:tcW w:w="3227" w:type="dxa"/>
            <w:tcBorders>
              <w:left w:val="single" w:sz="4" w:space="0" w:color="000000"/>
              <w:bottom w:val="single" w:sz="4" w:space="0" w:color="000000"/>
            </w:tcBorders>
          </w:tcPr>
          <w:p>
            <w:pPr>
              <w:pStyle w:val="TableParagraph"/>
              <w:spacing w:before="46"/>
              <w:ind w:left="130" w:right="94"/>
              <w:rPr>
                <w:rFonts w:ascii="宋体" w:eastAsia="宋体" w:hint="eastAsia"/>
                <w:b/>
                <w:sz w:val="21"/>
              </w:rPr>
            </w:pPr>
            <w:r>
              <w:rPr>
                <w:rFonts w:ascii="宋体" w:eastAsia="宋体" w:hint="eastAsia"/>
                <w:b/>
                <w:sz w:val="21"/>
              </w:rPr>
              <w:t>主要污染因子</w:t>
            </w:r>
          </w:p>
        </w:tc>
      </w:tr>
      <w:tr>
        <w:trPr>
          <w:trHeight w:val="359" w:hRule="atLeast"/>
        </w:trPr>
        <w:tc>
          <w:tcPr>
            <w:tcW w:w="958" w:type="dxa"/>
            <w:tcBorders>
              <w:top w:val="single" w:sz="4" w:space="0" w:color="000000"/>
              <w:bottom w:val="single" w:sz="4" w:space="0" w:color="000000"/>
              <w:right w:val="single" w:sz="4" w:space="0" w:color="000000"/>
            </w:tcBorders>
          </w:tcPr>
          <w:p>
            <w:pPr>
              <w:pStyle w:val="TableParagraph"/>
              <w:spacing w:before="46"/>
              <w:ind w:left="268"/>
              <w:jc w:val="left"/>
              <w:rPr>
                <w:rFonts w:ascii="宋体" w:eastAsia="宋体" w:hint="eastAsia"/>
                <w:sz w:val="21"/>
              </w:rPr>
            </w:pPr>
            <w:r>
              <w:rPr>
                <w:rFonts w:ascii="宋体" w:eastAsia="宋体" w:hint="eastAsia"/>
                <w:sz w:val="21"/>
              </w:rPr>
              <w:t>废水</w:t>
            </w:r>
          </w:p>
        </w:tc>
        <w:tc>
          <w:tcPr>
            <w:tcW w:w="5248" w:type="dxa"/>
            <w:tcBorders>
              <w:top w:val="single" w:sz="4" w:space="0" w:color="000000"/>
              <w:left w:val="single" w:sz="4" w:space="0" w:color="000000"/>
              <w:bottom w:val="single" w:sz="4" w:space="0" w:color="000000"/>
              <w:right w:val="single" w:sz="4" w:space="0" w:color="000000"/>
            </w:tcBorders>
          </w:tcPr>
          <w:p>
            <w:pPr>
              <w:pStyle w:val="TableParagraph"/>
              <w:spacing w:before="46"/>
              <w:ind w:left="93" w:right="64"/>
              <w:rPr>
                <w:rFonts w:ascii="宋体" w:eastAsia="宋体" w:hint="eastAsia"/>
                <w:sz w:val="21"/>
              </w:rPr>
            </w:pPr>
            <w:r>
              <w:rPr>
                <w:rFonts w:ascii="宋体" w:eastAsia="宋体" w:hint="eastAsia"/>
                <w:sz w:val="21"/>
              </w:rPr>
              <w:t>废水输送管道破损时泄露、污水站构筑物破损泄露</w:t>
            </w:r>
          </w:p>
        </w:tc>
        <w:tc>
          <w:tcPr>
            <w:tcW w:w="3227" w:type="dxa"/>
            <w:tcBorders>
              <w:top w:val="single" w:sz="4" w:space="0" w:color="000000"/>
              <w:left w:val="single" w:sz="4" w:space="0" w:color="000000"/>
              <w:bottom w:val="single" w:sz="4" w:space="0" w:color="000000"/>
            </w:tcBorders>
          </w:tcPr>
          <w:p>
            <w:pPr>
              <w:pStyle w:val="TableParagraph"/>
              <w:spacing w:before="48"/>
              <w:ind w:left="131" w:right="94"/>
              <w:rPr>
                <w:sz w:val="21"/>
              </w:rPr>
            </w:pPr>
            <w:r>
              <w:rPr>
                <w:position w:val="2"/>
                <w:sz w:val="21"/>
              </w:rPr>
              <w:t>COD</w:t>
            </w:r>
            <w:r>
              <w:rPr>
                <w:sz w:val="14"/>
              </w:rPr>
              <w:t>Cr</w:t>
            </w:r>
            <w:r>
              <w:rPr>
                <w:rFonts w:ascii="宋体" w:eastAsia="宋体" w:hint="eastAsia"/>
                <w:position w:val="1"/>
                <w:sz w:val="21"/>
              </w:rPr>
              <w:t>、</w:t>
            </w:r>
            <w:r>
              <w:rPr>
                <w:position w:val="2"/>
                <w:sz w:val="21"/>
              </w:rPr>
              <w:t>NH</w:t>
            </w:r>
            <w:r>
              <w:rPr>
                <w:sz w:val="14"/>
              </w:rPr>
              <w:t>3</w:t>
            </w:r>
            <w:r>
              <w:rPr>
                <w:position w:val="2"/>
                <w:sz w:val="21"/>
              </w:rPr>
              <w:t>-N</w:t>
            </w:r>
            <w:r>
              <w:rPr>
                <w:rFonts w:ascii="宋体" w:eastAsia="宋体" w:hint="eastAsia"/>
                <w:position w:val="1"/>
                <w:sz w:val="21"/>
              </w:rPr>
              <w:t>、</w:t>
            </w:r>
            <w:r>
              <w:rPr>
                <w:position w:val="2"/>
                <w:sz w:val="21"/>
              </w:rPr>
              <w:t>TN</w:t>
            </w:r>
            <w:r>
              <w:rPr>
                <w:rFonts w:ascii="宋体" w:eastAsia="宋体" w:hint="eastAsia"/>
                <w:position w:val="1"/>
                <w:sz w:val="21"/>
              </w:rPr>
              <w:t>、</w:t>
            </w:r>
            <w:r>
              <w:rPr>
                <w:position w:val="2"/>
                <w:sz w:val="21"/>
              </w:rPr>
              <w:t>TP</w:t>
            </w:r>
          </w:p>
        </w:tc>
      </w:tr>
      <w:tr>
        <w:trPr>
          <w:trHeight w:val="357" w:hRule="atLeast"/>
        </w:trPr>
        <w:tc>
          <w:tcPr>
            <w:tcW w:w="958" w:type="dxa"/>
            <w:tcBorders>
              <w:top w:val="single" w:sz="4" w:space="0" w:color="000000"/>
              <w:bottom w:val="single" w:sz="4" w:space="0" w:color="000000"/>
              <w:right w:val="single" w:sz="4" w:space="0" w:color="000000"/>
            </w:tcBorders>
          </w:tcPr>
          <w:p>
            <w:pPr>
              <w:pStyle w:val="TableParagraph"/>
              <w:spacing w:before="46"/>
              <w:ind w:left="268"/>
              <w:jc w:val="left"/>
              <w:rPr>
                <w:rFonts w:ascii="宋体" w:eastAsia="宋体" w:hint="eastAsia"/>
                <w:sz w:val="21"/>
              </w:rPr>
            </w:pPr>
            <w:r>
              <w:rPr>
                <w:rFonts w:ascii="宋体" w:eastAsia="宋体" w:hint="eastAsia"/>
                <w:sz w:val="21"/>
              </w:rPr>
              <w:t>废气</w:t>
            </w:r>
          </w:p>
        </w:tc>
        <w:tc>
          <w:tcPr>
            <w:tcW w:w="5248" w:type="dxa"/>
            <w:tcBorders>
              <w:top w:val="single" w:sz="4" w:space="0" w:color="000000"/>
              <w:left w:val="single" w:sz="4" w:space="0" w:color="000000"/>
              <w:bottom w:val="single" w:sz="4" w:space="0" w:color="000000"/>
              <w:right w:val="single" w:sz="4" w:space="0" w:color="000000"/>
            </w:tcBorders>
          </w:tcPr>
          <w:p>
            <w:pPr>
              <w:pStyle w:val="TableParagraph"/>
              <w:spacing w:before="46"/>
              <w:ind w:left="90" w:right="64"/>
              <w:rPr>
                <w:rFonts w:ascii="宋体" w:eastAsia="宋体" w:hint="eastAsia"/>
                <w:sz w:val="21"/>
              </w:rPr>
            </w:pPr>
            <w:r>
              <w:rPr>
                <w:rFonts w:ascii="宋体" w:eastAsia="宋体" w:hint="eastAsia"/>
                <w:sz w:val="21"/>
              </w:rPr>
              <w:t>粪便、污泥等在装卸、储存、运输过程泄露</w:t>
            </w:r>
          </w:p>
        </w:tc>
        <w:tc>
          <w:tcPr>
            <w:tcW w:w="3227" w:type="dxa"/>
            <w:tcBorders>
              <w:top w:val="single" w:sz="4" w:space="0" w:color="000000"/>
              <w:left w:val="single" w:sz="4" w:space="0" w:color="000000"/>
              <w:bottom w:val="single" w:sz="4" w:space="0" w:color="000000"/>
            </w:tcBorders>
          </w:tcPr>
          <w:p>
            <w:pPr>
              <w:pStyle w:val="TableParagraph"/>
              <w:spacing w:before="46"/>
              <w:ind w:left="132" w:right="93"/>
              <w:rPr>
                <w:rFonts w:ascii="宋体" w:eastAsia="宋体" w:hint="eastAsia"/>
                <w:sz w:val="21"/>
              </w:rPr>
            </w:pPr>
            <w:r>
              <w:rPr>
                <w:rFonts w:ascii="宋体" w:eastAsia="宋体" w:hint="eastAsia"/>
                <w:sz w:val="21"/>
              </w:rPr>
              <w:t>氨、硫化氢、臭气等</w:t>
            </w:r>
          </w:p>
        </w:tc>
      </w:tr>
      <w:tr>
        <w:trPr>
          <w:trHeight w:val="717" w:hRule="atLeast"/>
        </w:trPr>
        <w:tc>
          <w:tcPr>
            <w:tcW w:w="958" w:type="dxa"/>
            <w:tcBorders>
              <w:top w:val="single" w:sz="4" w:space="0" w:color="000000"/>
              <w:right w:val="single" w:sz="4" w:space="0" w:color="000000"/>
            </w:tcBorders>
          </w:tcPr>
          <w:p>
            <w:pPr>
              <w:pStyle w:val="TableParagraph"/>
              <w:spacing w:before="8"/>
              <w:jc w:val="left"/>
              <w:rPr>
                <w:rFonts w:ascii="宋体"/>
                <w:b/>
                <w:sz w:val="17"/>
              </w:rPr>
            </w:pPr>
          </w:p>
          <w:p>
            <w:pPr>
              <w:pStyle w:val="TableParagraph"/>
              <w:spacing w:before="0"/>
              <w:ind w:left="268"/>
              <w:jc w:val="left"/>
              <w:rPr>
                <w:rFonts w:ascii="宋体" w:eastAsia="宋体" w:hint="eastAsia"/>
                <w:sz w:val="21"/>
              </w:rPr>
            </w:pPr>
            <w:r>
              <w:rPr>
                <w:rFonts w:ascii="宋体" w:eastAsia="宋体" w:hint="eastAsia"/>
                <w:sz w:val="21"/>
              </w:rPr>
              <w:t>固废</w:t>
            </w:r>
          </w:p>
        </w:tc>
        <w:tc>
          <w:tcPr>
            <w:tcW w:w="5248" w:type="dxa"/>
            <w:tcBorders>
              <w:top w:val="single" w:sz="4" w:space="0" w:color="000000"/>
              <w:left w:val="single" w:sz="4" w:space="0" w:color="000000"/>
              <w:right w:val="single" w:sz="4" w:space="0" w:color="000000"/>
            </w:tcBorders>
          </w:tcPr>
          <w:p>
            <w:pPr>
              <w:pStyle w:val="TableParagraph"/>
              <w:spacing w:before="46"/>
              <w:ind w:left="93" w:right="64"/>
              <w:rPr>
                <w:rFonts w:ascii="宋体" w:eastAsia="宋体" w:hint="eastAsia"/>
                <w:sz w:val="21"/>
              </w:rPr>
            </w:pPr>
            <w:r>
              <w:rPr>
                <w:rFonts w:ascii="宋体" w:eastAsia="宋体" w:hint="eastAsia"/>
                <w:sz w:val="21"/>
              </w:rPr>
              <w:t>粪便、污泥、废矿物油、医疗废物等在装卸、储存、运</w:t>
            </w:r>
          </w:p>
          <w:p>
            <w:pPr>
              <w:pStyle w:val="TableParagraph"/>
              <w:spacing w:before="92"/>
              <w:ind w:left="93" w:right="64"/>
              <w:rPr>
                <w:rFonts w:ascii="宋体" w:eastAsia="宋体" w:hint="eastAsia"/>
                <w:sz w:val="21"/>
              </w:rPr>
            </w:pPr>
            <w:r>
              <w:rPr>
                <w:rFonts w:ascii="宋体" w:eastAsia="宋体" w:hint="eastAsia"/>
                <w:sz w:val="21"/>
              </w:rPr>
              <w:t>输过程泄露</w:t>
            </w:r>
          </w:p>
        </w:tc>
        <w:tc>
          <w:tcPr>
            <w:tcW w:w="3227" w:type="dxa"/>
            <w:tcBorders>
              <w:top w:val="single" w:sz="4" w:space="0" w:color="000000"/>
              <w:left w:val="single" w:sz="4" w:space="0" w:color="000000"/>
            </w:tcBorders>
          </w:tcPr>
          <w:p>
            <w:pPr>
              <w:pStyle w:val="TableParagraph"/>
              <w:spacing w:before="46"/>
              <w:ind w:left="132" w:right="94"/>
              <w:rPr>
                <w:rFonts w:ascii="宋体" w:eastAsia="宋体" w:hint="eastAsia"/>
                <w:sz w:val="21"/>
              </w:rPr>
            </w:pPr>
            <w:r>
              <w:rPr>
                <w:rFonts w:ascii="宋体" w:eastAsia="宋体" w:hint="eastAsia"/>
                <w:sz w:val="21"/>
              </w:rPr>
              <w:t>粪便、污泥、废矿物油、医疗废</w:t>
            </w:r>
          </w:p>
          <w:p>
            <w:pPr>
              <w:pStyle w:val="TableParagraph"/>
              <w:spacing w:before="92"/>
              <w:ind w:left="130" w:right="94"/>
              <w:rPr>
                <w:rFonts w:ascii="宋体" w:eastAsia="宋体" w:hint="eastAsia"/>
                <w:sz w:val="21"/>
              </w:rPr>
            </w:pPr>
            <w:r>
              <w:rPr>
                <w:rFonts w:ascii="宋体" w:eastAsia="宋体" w:hint="eastAsia"/>
                <w:sz w:val="21"/>
              </w:rPr>
              <w:t>物等</w:t>
            </w:r>
          </w:p>
        </w:tc>
      </w:tr>
    </w:tbl>
    <w:p>
      <w:pPr>
        <w:pStyle w:val="Heading3"/>
        <w:numPr>
          <w:ilvl w:val="2"/>
          <w:numId w:val="33"/>
        </w:numPr>
        <w:tabs>
          <w:tab w:pos="838" w:val="left" w:leader="none"/>
        </w:tabs>
        <w:spacing w:line="240" w:lineRule="auto" w:before="84" w:after="0"/>
        <w:ind w:left="837" w:right="0" w:hanging="601"/>
        <w:jc w:val="left"/>
      </w:pPr>
      <w:bookmarkStart w:name="_bookmark49" w:id="95"/>
      <w:bookmarkEnd w:id="95"/>
      <w:r>
        <w:rPr>
          <w:b w:val="0"/>
        </w:rPr>
      </w:r>
      <w:bookmarkStart w:name="_bookmark49" w:id="96"/>
      <w:bookmarkEnd w:id="96"/>
      <w:r>
        <w:rPr/>
        <w:t>环境影响减缓措施</w:t>
      </w:r>
    </w:p>
    <w:p>
      <w:pPr>
        <w:pStyle w:val="BodyText"/>
        <w:spacing w:line="364" w:lineRule="auto" w:before="161"/>
        <w:ind w:right="254" w:firstLine="480"/>
      </w:pPr>
      <w:r>
        <w:rPr/>
        <w:t>根据环评提出的污染防治措施，对项目生产过程中主要从源头控制、过程控制、末端治理、回收利用等方面提出对周边环境影响的减缓措施，具体如下。</w:t>
      </w:r>
    </w:p>
    <w:p>
      <w:pPr>
        <w:pStyle w:val="Heading3"/>
        <w:spacing w:before="1"/>
        <w:ind w:left="2335"/>
      </w:pPr>
      <w:r>
        <w:rPr/>
        <w:t>表 </w:t>
      </w:r>
      <w:r>
        <w:rPr>
          <w:rFonts w:ascii="Times New Roman" w:eastAsia="Times New Roman"/>
        </w:rPr>
        <w:t>3.2-4  </w:t>
      </w:r>
      <w:r>
        <w:rPr/>
        <w:t>本项目对周边环境影响的减缓措施汇总</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2"/>
        <w:gridCol w:w="1128"/>
        <w:gridCol w:w="4537"/>
        <w:gridCol w:w="3085"/>
      </w:tblGrid>
      <w:tr>
        <w:trPr>
          <w:trHeight w:val="359" w:hRule="atLeast"/>
        </w:trPr>
        <w:tc>
          <w:tcPr>
            <w:tcW w:w="682" w:type="dxa"/>
            <w:tcBorders>
              <w:bottom w:val="single" w:sz="4" w:space="0" w:color="000000"/>
              <w:right w:val="single" w:sz="4" w:space="0" w:color="000000"/>
            </w:tcBorders>
          </w:tcPr>
          <w:p>
            <w:pPr>
              <w:pStyle w:val="TableParagraph"/>
              <w:spacing w:before="46"/>
              <w:ind w:left="129"/>
              <w:jc w:val="left"/>
              <w:rPr>
                <w:rFonts w:ascii="宋体" w:eastAsia="宋体" w:hint="eastAsia"/>
                <w:b/>
                <w:sz w:val="21"/>
              </w:rPr>
            </w:pPr>
            <w:r>
              <w:rPr>
                <w:rFonts w:ascii="宋体" w:eastAsia="宋体" w:hint="eastAsia"/>
                <w:b/>
                <w:sz w:val="21"/>
              </w:rPr>
              <w:t>序号</w:t>
            </w:r>
          </w:p>
        </w:tc>
        <w:tc>
          <w:tcPr>
            <w:tcW w:w="1128" w:type="dxa"/>
            <w:tcBorders>
              <w:left w:val="single" w:sz="4" w:space="0" w:color="000000"/>
              <w:bottom w:val="single" w:sz="4" w:space="0" w:color="000000"/>
              <w:right w:val="single" w:sz="4" w:space="0" w:color="000000"/>
            </w:tcBorders>
          </w:tcPr>
          <w:p>
            <w:pPr>
              <w:pStyle w:val="TableParagraph"/>
              <w:spacing w:before="46"/>
              <w:ind w:left="361"/>
              <w:jc w:val="left"/>
              <w:rPr>
                <w:rFonts w:ascii="宋体" w:eastAsia="宋体" w:hint="eastAsia"/>
                <w:b/>
                <w:sz w:val="21"/>
              </w:rPr>
            </w:pPr>
            <w:r>
              <w:rPr>
                <w:rFonts w:ascii="宋体" w:eastAsia="宋体" w:hint="eastAsia"/>
                <w:b/>
                <w:sz w:val="21"/>
              </w:rPr>
              <w:t>类别</w:t>
            </w:r>
          </w:p>
        </w:tc>
        <w:tc>
          <w:tcPr>
            <w:tcW w:w="4537" w:type="dxa"/>
            <w:tcBorders>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b/>
                <w:sz w:val="21"/>
              </w:rPr>
            </w:pPr>
            <w:r>
              <w:rPr>
                <w:rFonts w:ascii="宋体" w:eastAsia="宋体" w:hint="eastAsia"/>
                <w:b/>
                <w:sz w:val="21"/>
              </w:rPr>
              <w:t>措施内容</w:t>
            </w:r>
          </w:p>
        </w:tc>
        <w:tc>
          <w:tcPr>
            <w:tcW w:w="3085" w:type="dxa"/>
            <w:tcBorders>
              <w:left w:val="single" w:sz="4" w:space="0" w:color="000000"/>
              <w:bottom w:val="single" w:sz="4" w:space="0" w:color="000000"/>
            </w:tcBorders>
          </w:tcPr>
          <w:p>
            <w:pPr>
              <w:pStyle w:val="TableParagraph"/>
              <w:spacing w:before="46"/>
              <w:ind w:left="58" w:right="23"/>
              <w:rPr>
                <w:rFonts w:ascii="宋体" w:eastAsia="宋体" w:hint="eastAsia"/>
                <w:b/>
                <w:sz w:val="21"/>
              </w:rPr>
            </w:pPr>
            <w:r>
              <w:rPr>
                <w:rFonts w:ascii="宋体" w:eastAsia="宋体" w:hint="eastAsia"/>
                <w:b/>
                <w:sz w:val="21"/>
              </w:rPr>
              <w:t>目的</w:t>
            </w:r>
          </w:p>
        </w:tc>
      </w:tr>
      <w:tr>
        <w:trPr>
          <w:trHeight w:val="359" w:hRule="atLeast"/>
        </w:trPr>
        <w:tc>
          <w:tcPr>
            <w:tcW w:w="682" w:type="dxa"/>
            <w:vMerge w:val="restart"/>
            <w:tcBorders>
              <w:top w:val="single" w:sz="4" w:space="0" w:color="000000"/>
              <w:bottom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18"/>
              <w:rPr>
                <w:sz w:val="21"/>
              </w:rPr>
            </w:pPr>
            <w:r>
              <w:rPr>
                <w:w w:val="100"/>
                <w:sz w:val="21"/>
              </w:rPr>
              <w:t>1</w:t>
            </w:r>
          </w:p>
        </w:tc>
        <w:tc>
          <w:tcPr>
            <w:tcW w:w="112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18"/>
              </w:rPr>
            </w:pPr>
          </w:p>
          <w:p>
            <w:pPr>
              <w:pStyle w:val="TableParagraph"/>
              <w:spacing w:before="0"/>
              <w:ind w:left="153"/>
              <w:jc w:val="left"/>
              <w:rPr>
                <w:rFonts w:ascii="宋体" w:eastAsia="宋体" w:hint="eastAsia"/>
                <w:sz w:val="21"/>
              </w:rPr>
            </w:pPr>
            <w:r>
              <w:rPr>
                <w:rFonts w:ascii="宋体" w:eastAsia="宋体" w:hint="eastAsia"/>
                <w:sz w:val="21"/>
              </w:rPr>
              <w:t>源头控制</w:t>
            </w: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生产用饲料全部采购成品</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减少粉尘的排放，减少能耗</w:t>
            </w:r>
          </w:p>
        </w:tc>
      </w:tr>
      <w:tr>
        <w:trPr>
          <w:trHeight w:val="357"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选用低噪声的加工设备</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减少设备噪声源强</w:t>
            </w:r>
          </w:p>
        </w:tc>
      </w:tr>
      <w:tr>
        <w:trPr>
          <w:trHeight w:val="360" w:hRule="atLeast"/>
        </w:trPr>
        <w:tc>
          <w:tcPr>
            <w:tcW w:w="682" w:type="dxa"/>
            <w:vMerge w:val="restart"/>
            <w:tcBorders>
              <w:top w:val="single" w:sz="4" w:space="0" w:color="000000"/>
              <w:bottom w:val="single" w:sz="4" w:space="0" w:color="000000"/>
              <w:right w:val="single" w:sz="4"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9"/>
              <w:jc w:val="left"/>
              <w:rPr>
                <w:rFonts w:ascii="宋体"/>
                <w:b/>
                <w:sz w:val="32"/>
              </w:rPr>
            </w:pPr>
          </w:p>
          <w:p>
            <w:pPr>
              <w:pStyle w:val="TableParagraph"/>
              <w:spacing w:before="0"/>
              <w:ind w:left="18"/>
              <w:rPr>
                <w:sz w:val="21"/>
              </w:rPr>
            </w:pPr>
            <w:r>
              <w:rPr>
                <w:w w:val="100"/>
                <w:sz w:val="21"/>
              </w:rPr>
              <w:t>2</w:t>
            </w:r>
          </w:p>
        </w:tc>
        <w:tc>
          <w:tcPr>
            <w:tcW w:w="112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0"/>
              <w:jc w:val="left"/>
              <w:rPr>
                <w:rFonts w:ascii="宋体"/>
                <w:b/>
                <w:sz w:val="15"/>
              </w:rPr>
            </w:pPr>
          </w:p>
          <w:p>
            <w:pPr>
              <w:pStyle w:val="TableParagraph"/>
              <w:spacing w:before="0"/>
              <w:ind w:left="153"/>
              <w:jc w:val="left"/>
              <w:rPr>
                <w:rFonts w:ascii="宋体" w:eastAsia="宋体" w:hint="eastAsia"/>
                <w:sz w:val="21"/>
              </w:rPr>
            </w:pPr>
            <w:r>
              <w:rPr>
                <w:rFonts w:ascii="宋体" w:eastAsia="宋体" w:hint="eastAsia"/>
                <w:sz w:val="21"/>
              </w:rPr>
              <w:t>过程控制</w:t>
            </w: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7"/>
              <w:ind w:left="52" w:right="22"/>
              <w:rPr>
                <w:rFonts w:ascii="宋体" w:eastAsia="宋体" w:hint="eastAsia"/>
                <w:sz w:val="21"/>
              </w:rPr>
            </w:pPr>
            <w:r>
              <w:rPr>
                <w:rFonts w:ascii="宋体" w:eastAsia="宋体" w:hint="eastAsia"/>
                <w:sz w:val="21"/>
              </w:rPr>
              <w:t>采用智能环控系统</w:t>
            </w:r>
          </w:p>
        </w:tc>
        <w:tc>
          <w:tcPr>
            <w:tcW w:w="3085" w:type="dxa"/>
            <w:tcBorders>
              <w:top w:val="single" w:sz="4" w:space="0" w:color="000000"/>
              <w:left w:val="single" w:sz="4" w:space="0" w:color="000000"/>
              <w:bottom w:val="single" w:sz="4" w:space="0" w:color="000000"/>
            </w:tcBorders>
          </w:tcPr>
          <w:p>
            <w:pPr>
              <w:pStyle w:val="TableParagraph"/>
              <w:spacing w:before="47"/>
              <w:ind w:left="61" w:right="23"/>
              <w:rPr>
                <w:rFonts w:ascii="宋体" w:eastAsia="宋体" w:hint="eastAsia"/>
                <w:sz w:val="21"/>
              </w:rPr>
            </w:pPr>
            <w:r>
              <w:rPr>
                <w:rFonts w:ascii="宋体" w:eastAsia="宋体" w:hint="eastAsia"/>
                <w:sz w:val="21"/>
              </w:rPr>
              <w:t>优化环境，降低成本</w:t>
            </w:r>
          </w:p>
        </w:tc>
      </w:tr>
      <w:tr>
        <w:trPr>
          <w:trHeight w:val="359"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采用气动输送自动喂料装置供给饲料</w:t>
            </w:r>
          </w:p>
        </w:tc>
        <w:tc>
          <w:tcPr>
            <w:tcW w:w="3085" w:type="dxa"/>
            <w:tcBorders>
              <w:top w:val="single" w:sz="4" w:space="0" w:color="000000"/>
              <w:left w:val="single" w:sz="4" w:space="0" w:color="000000"/>
              <w:bottom w:val="single" w:sz="4" w:space="0" w:color="000000"/>
            </w:tcBorders>
          </w:tcPr>
          <w:p>
            <w:pPr>
              <w:pStyle w:val="TableParagraph"/>
              <w:spacing w:before="46"/>
              <w:ind w:left="62" w:right="23"/>
              <w:rPr>
                <w:rFonts w:ascii="宋体" w:eastAsia="宋体" w:hint="eastAsia"/>
                <w:sz w:val="21"/>
              </w:rPr>
            </w:pPr>
            <w:r>
              <w:rPr>
                <w:rFonts w:ascii="宋体" w:eastAsia="宋体" w:hint="eastAsia"/>
                <w:sz w:val="21"/>
              </w:rPr>
              <w:t>减少人工转运的遗撒，降低成本</w:t>
            </w:r>
          </w:p>
        </w:tc>
      </w:tr>
      <w:tr>
        <w:trPr>
          <w:trHeight w:val="357"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2" w:right="22"/>
              <w:rPr>
                <w:rFonts w:ascii="宋体" w:eastAsia="宋体" w:hint="eastAsia"/>
                <w:sz w:val="21"/>
              </w:rPr>
            </w:pPr>
            <w:r>
              <w:rPr>
                <w:rFonts w:ascii="宋体" w:eastAsia="宋体" w:hint="eastAsia"/>
                <w:sz w:val="21"/>
              </w:rPr>
              <w:t>猪舍、猪粪发酵间地面做好防腐防渗建设</w:t>
            </w:r>
          </w:p>
        </w:tc>
        <w:tc>
          <w:tcPr>
            <w:tcW w:w="3085" w:type="dxa"/>
            <w:tcBorders>
              <w:top w:val="single" w:sz="4" w:space="0" w:color="000000"/>
              <w:left w:val="single" w:sz="4" w:space="0" w:color="000000"/>
              <w:bottom w:val="single" w:sz="4" w:space="0" w:color="000000"/>
            </w:tcBorders>
          </w:tcPr>
          <w:p>
            <w:pPr>
              <w:pStyle w:val="TableParagraph"/>
              <w:spacing w:before="46"/>
              <w:ind w:left="62" w:right="22"/>
              <w:rPr>
                <w:rFonts w:ascii="宋体" w:eastAsia="宋体" w:hint="eastAsia"/>
                <w:sz w:val="21"/>
              </w:rPr>
            </w:pPr>
            <w:r>
              <w:rPr>
                <w:rFonts w:ascii="宋体" w:eastAsia="宋体" w:hint="eastAsia"/>
                <w:sz w:val="21"/>
              </w:rPr>
              <w:t>减少废水泄露</w:t>
            </w:r>
          </w:p>
        </w:tc>
      </w:tr>
      <w:tr>
        <w:trPr>
          <w:trHeight w:val="359"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采用干清粪工艺</w:t>
            </w:r>
          </w:p>
        </w:tc>
        <w:tc>
          <w:tcPr>
            <w:tcW w:w="3085" w:type="dxa"/>
            <w:tcBorders>
              <w:top w:val="single" w:sz="4" w:space="0" w:color="000000"/>
              <w:left w:val="single" w:sz="4" w:space="0" w:color="000000"/>
              <w:bottom w:val="single" w:sz="4" w:space="0" w:color="000000"/>
            </w:tcBorders>
          </w:tcPr>
          <w:p>
            <w:pPr>
              <w:pStyle w:val="TableParagraph"/>
              <w:spacing w:before="46"/>
              <w:ind w:left="62" w:right="22"/>
              <w:rPr>
                <w:rFonts w:ascii="宋体" w:eastAsia="宋体" w:hint="eastAsia"/>
                <w:sz w:val="21"/>
              </w:rPr>
            </w:pPr>
            <w:r>
              <w:rPr>
                <w:rFonts w:ascii="宋体" w:eastAsia="宋体" w:hint="eastAsia"/>
                <w:sz w:val="21"/>
              </w:rPr>
              <w:t>减少废水产生量</w:t>
            </w:r>
          </w:p>
        </w:tc>
      </w:tr>
      <w:tr>
        <w:trPr>
          <w:trHeight w:val="359"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2" w:right="22"/>
              <w:rPr>
                <w:rFonts w:ascii="宋体" w:eastAsia="宋体" w:hint="eastAsia"/>
                <w:sz w:val="21"/>
              </w:rPr>
            </w:pPr>
            <w:r>
              <w:rPr>
                <w:rFonts w:ascii="宋体" w:eastAsia="宋体" w:hint="eastAsia"/>
                <w:sz w:val="21"/>
              </w:rPr>
              <w:t>沼气利用前经脱水脱硫预处理</w:t>
            </w:r>
          </w:p>
        </w:tc>
        <w:tc>
          <w:tcPr>
            <w:tcW w:w="3085" w:type="dxa"/>
            <w:tcBorders>
              <w:top w:val="single" w:sz="4" w:space="0" w:color="000000"/>
              <w:left w:val="single" w:sz="4" w:space="0" w:color="000000"/>
              <w:bottom w:val="single" w:sz="4" w:space="0" w:color="000000"/>
            </w:tcBorders>
          </w:tcPr>
          <w:p>
            <w:pPr>
              <w:pStyle w:val="TableParagraph"/>
              <w:spacing w:before="46"/>
              <w:ind w:left="62" w:right="22"/>
              <w:rPr>
                <w:rFonts w:ascii="宋体" w:eastAsia="宋体" w:hint="eastAsia"/>
                <w:sz w:val="21"/>
              </w:rPr>
            </w:pPr>
            <w:r>
              <w:rPr>
                <w:rFonts w:ascii="宋体" w:eastAsia="宋体" w:hint="eastAsia"/>
                <w:sz w:val="21"/>
              </w:rPr>
              <w:t>减少沼气中硫化氢的含量</w:t>
            </w:r>
          </w:p>
        </w:tc>
      </w:tr>
      <w:tr>
        <w:trPr>
          <w:trHeight w:val="357"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2" w:right="22"/>
              <w:rPr>
                <w:rFonts w:ascii="宋体" w:eastAsia="宋体" w:hint="eastAsia"/>
                <w:sz w:val="21"/>
              </w:rPr>
            </w:pPr>
            <w:r>
              <w:rPr>
                <w:rFonts w:ascii="宋体" w:eastAsia="宋体" w:hint="eastAsia"/>
                <w:sz w:val="21"/>
              </w:rPr>
              <w:t>设备合理布置，高噪声设备安装减震器等</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减少噪声对周围环境的影响</w:t>
            </w:r>
          </w:p>
        </w:tc>
      </w:tr>
      <w:tr>
        <w:trPr>
          <w:trHeight w:val="349" w:hRule="atLeast"/>
        </w:trPr>
        <w:tc>
          <w:tcPr>
            <w:tcW w:w="682" w:type="dxa"/>
            <w:vMerge w:val="restart"/>
            <w:tcBorders>
              <w:top w:val="single" w:sz="4" w:space="0" w:color="000000"/>
              <w:right w:val="single" w:sz="4" w:space="0" w:color="000000"/>
            </w:tcBorders>
          </w:tcPr>
          <w:p>
            <w:pPr>
              <w:pStyle w:val="TableParagraph"/>
              <w:spacing w:before="0"/>
              <w:jc w:val="left"/>
              <w:rPr>
                <w:rFonts w:ascii="宋体"/>
                <w:b/>
                <w:sz w:val="22"/>
              </w:rPr>
            </w:pPr>
          </w:p>
          <w:p>
            <w:pPr>
              <w:pStyle w:val="TableParagraph"/>
              <w:spacing w:before="146"/>
              <w:ind w:left="18"/>
              <w:rPr>
                <w:sz w:val="21"/>
              </w:rPr>
            </w:pPr>
            <w:r>
              <w:rPr>
                <w:w w:val="100"/>
                <w:sz w:val="21"/>
              </w:rPr>
              <w:t>3</w:t>
            </w:r>
          </w:p>
        </w:tc>
        <w:tc>
          <w:tcPr>
            <w:tcW w:w="1128" w:type="dxa"/>
            <w:vMerge w:val="restart"/>
            <w:tcBorders>
              <w:top w:val="single" w:sz="4" w:space="0" w:color="000000"/>
              <w:left w:val="single" w:sz="4" w:space="0" w:color="000000"/>
              <w:right w:val="single" w:sz="4" w:space="0" w:color="000000"/>
            </w:tcBorders>
          </w:tcPr>
          <w:p>
            <w:pPr>
              <w:pStyle w:val="TableParagraph"/>
              <w:spacing w:before="0"/>
              <w:jc w:val="left"/>
              <w:rPr>
                <w:rFonts w:ascii="宋体"/>
                <w:b/>
                <w:sz w:val="20"/>
              </w:rPr>
            </w:pPr>
          </w:p>
          <w:p>
            <w:pPr>
              <w:pStyle w:val="TableParagraph"/>
              <w:spacing w:before="160"/>
              <w:ind w:left="153"/>
              <w:jc w:val="left"/>
              <w:rPr>
                <w:rFonts w:ascii="宋体" w:eastAsia="宋体" w:hint="eastAsia"/>
                <w:sz w:val="21"/>
              </w:rPr>
            </w:pPr>
            <w:r>
              <w:rPr>
                <w:rFonts w:ascii="宋体" w:eastAsia="宋体" w:hint="eastAsia"/>
                <w:sz w:val="21"/>
              </w:rPr>
              <w:t>末端治理</w:t>
            </w: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2" w:right="22"/>
              <w:rPr>
                <w:rFonts w:ascii="宋体" w:hAnsi="宋体" w:eastAsia="宋体" w:hint="eastAsia"/>
                <w:sz w:val="21"/>
              </w:rPr>
            </w:pPr>
            <w:r>
              <w:rPr>
                <w:rFonts w:ascii="宋体" w:hAnsi="宋体" w:eastAsia="宋体" w:hint="eastAsia"/>
                <w:sz w:val="21"/>
              </w:rPr>
              <w:t>废水经</w:t>
            </w:r>
            <w:r>
              <w:rPr>
                <w:position w:val="1"/>
                <w:sz w:val="21"/>
              </w:rPr>
              <w:t>“</w:t>
            </w:r>
            <w:r>
              <w:rPr>
                <w:rFonts w:ascii="宋体" w:hAnsi="宋体" w:eastAsia="宋体" w:hint="eastAsia"/>
                <w:sz w:val="21"/>
              </w:rPr>
              <w:t>厌氧</w:t>
            </w:r>
            <w:r>
              <w:rPr>
                <w:position w:val="1"/>
                <w:sz w:val="21"/>
              </w:rPr>
              <w:t>+</w:t>
            </w:r>
            <w:r>
              <w:rPr>
                <w:rFonts w:ascii="宋体" w:hAnsi="宋体" w:eastAsia="宋体" w:hint="eastAsia"/>
                <w:sz w:val="21"/>
              </w:rPr>
              <w:t>好氧</w:t>
            </w:r>
            <w:r>
              <w:rPr>
                <w:position w:val="1"/>
                <w:sz w:val="21"/>
              </w:rPr>
              <w:t>”</w:t>
            </w:r>
            <w:r>
              <w:rPr>
                <w:rFonts w:ascii="宋体" w:hAnsi="宋体" w:eastAsia="宋体" w:hint="eastAsia"/>
                <w:sz w:val="21"/>
              </w:rPr>
              <w:t>工艺处理后排放</w:t>
            </w:r>
          </w:p>
        </w:tc>
        <w:tc>
          <w:tcPr>
            <w:tcW w:w="3085" w:type="dxa"/>
            <w:tcBorders>
              <w:top w:val="single" w:sz="4" w:space="0" w:color="000000"/>
              <w:left w:val="single" w:sz="4" w:space="0" w:color="000000"/>
              <w:bottom w:val="single" w:sz="4" w:space="0" w:color="000000"/>
            </w:tcBorders>
          </w:tcPr>
          <w:p>
            <w:pPr>
              <w:pStyle w:val="TableParagraph"/>
              <w:spacing w:before="46"/>
              <w:ind w:left="62" w:right="22"/>
              <w:rPr>
                <w:rFonts w:ascii="宋体" w:eastAsia="宋体" w:hint="eastAsia"/>
                <w:sz w:val="21"/>
              </w:rPr>
            </w:pPr>
            <w:r>
              <w:rPr>
                <w:rFonts w:ascii="宋体" w:eastAsia="宋体" w:hint="eastAsia"/>
                <w:sz w:val="21"/>
              </w:rPr>
              <w:t>减少</w:t>
            </w:r>
            <w:r>
              <w:rPr>
                <w:position w:val="1"/>
                <w:sz w:val="21"/>
              </w:rPr>
              <w:t>COD </w:t>
            </w:r>
            <w:r>
              <w:rPr>
                <w:rFonts w:ascii="宋体" w:eastAsia="宋体" w:hint="eastAsia"/>
                <w:sz w:val="21"/>
              </w:rPr>
              <w:t>等的排放量</w:t>
            </w:r>
          </w:p>
        </w:tc>
      </w:tr>
      <w:tr>
        <w:trPr>
          <w:trHeight w:val="339" w:hRule="atLeast"/>
        </w:trPr>
        <w:tc>
          <w:tcPr>
            <w:tcW w:w="682" w:type="dxa"/>
            <w:vMerge/>
            <w:tcBorders>
              <w:top w:val="nil"/>
              <w:right w:val="single" w:sz="4" w:space="0" w:color="000000"/>
            </w:tcBorders>
          </w:tcPr>
          <w:p>
            <w:pPr>
              <w:rPr>
                <w:sz w:val="2"/>
                <w:szCs w:val="2"/>
              </w:rPr>
            </w:pPr>
          </w:p>
        </w:tc>
        <w:tc>
          <w:tcPr>
            <w:tcW w:w="1128" w:type="dxa"/>
            <w:vMerge/>
            <w:tcBorders>
              <w:top w:val="nil"/>
              <w:left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36"/>
              <w:ind w:left="54" w:right="22"/>
              <w:rPr>
                <w:rFonts w:ascii="宋体" w:eastAsia="宋体" w:hint="eastAsia"/>
                <w:sz w:val="21"/>
              </w:rPr>
            </w:pPr>
            <w:r>
              <w:rPr>
                <w:rFonts w:ascii="宋体" w:eastAsia="宋体" w:hint="eastAsia"/>
                <w:sz w:val="21"/>
              </w:rPr>
              <w:t>加强猪舍通风换气，臭气经喷淋过滤处理后排放</w:t>
            </w:r>
          </w:p>
        </w:tc>
        <w:tc>
          <w:tcPr>
            <w:tcW w:w="3085" w:type="dxa"/>
            <w:tcBorders>
              <w:top w:val="single" w:sz="4" w:space="0" w:color="000000"/>
              <w:left w:val="single" w:sz="4" w:space="0" w:color="000000"/>
              <w:bottom w:val="single" w:sz="4" w:space="0" w:color="000000"/>
            </w:tcBorders>
          </w:tcPr>
          <w:p>
            <w:pPr>
              <w:pStyle w:val="TableParagraph"/>
              <w:spacing w:before="36"/>
              <w:ind w:left="61" w:right="23"/>
              <w:rPr>
                <w:rFonts w:ascii="宋体" w:eastAsia="宋体" w:hint="eastAsia"/>
                <w:sz w:val="21"/>
              </w:rPr>
            </w:pPr>
            <w:r>
              <w:rPr>
                <w:rFonts w:ascii="宋体" w:eastAsia="宋体" w:hint="eastAsia"/>
                <w:sz w:val="21"/>
              </w:rPr>
              <w:t>减少恶臭对周围环境的影响</w:t>
            </w:r>
          </w:p>
        </w:tc>
      </w:tr>
      <w:tr>
        <w:trPr>
          <w:trHeight w:val="346" w:hRule="atLeast"/>
        </w:trPr>
        <w:tc>
          <w:tcPr>
            <w:tcW w:w="682" w:type="dxa"/>
            <w:vMerge/>
            <w:tcBorders>
              <w:top w:val="nil"/>
              <w:right w:val="single" w:sz="4" w:space="0" w:color="000000"/>
            </w:tcBorders>
          </w:tcPr>
          <w:p>
            <w:pPr>
              <w:rPr>
                <w:sz w:val="2"/>
                <w:szCs w:val="2"/>
              </w:rPr>
            </w:pPr>
          </w:p>
        </w:tc>
        <w:tc>
          <w:tcPr>
            <w:tcW w:w="1128" w:type="dxa"/>
            <w:vMerge/>
            <w:tcBorders>
              <w:top w:val="nil"/>
              <w:left w:val="single" w:sz="4" w:space="0" w:color="000000"/>
              <w:right w:val="single" w:sz="4" w:space="0" w:color="000000"/>
            </w:tcBorders>
          </w:tcPr>
          <w:p>
            <w:pPr>
              <w:rPr>
                <w:sz w:val="2"/>
                <w:szCs w:val="2"/>
              </w:rPr>
            </w:pPr>
          </w:p>
        </w:tc>
        <w:tc>
          <w:tcPr>
            <w:tcW w:w="4537" w:type="dxa"/>
            <w:tcBorders>
              <w:top w:val="single" w:sz="4" w:space="0" w:color="000000"/>
              <w:left w:val="single" w:sz="4" w:space="0" w:color="000000"/>
              <w:right w:val="single" w:sz="4" w:space="0" w:color="000000"/>
            </w:tcBorders>
          </w:tcPr>
          <w:p>
            <w:pPr>
              <w:pStyle w:val="TableParagraph"/>
              <w:spacing w:before="36"/>
              <w:ind w:left="50" w:right="22"/>
              <w:rPr>
                <w:rFonts w:ascii="宋体" w:eastAsia="宋体" w:hint="eastAsia"/>
                <w:sz w:val="21"/>
              </w:rPr>
            </w:pPr>
            <w:r>
              <w:rPr>
                <w:rFonts w:ascii="宋体" w:eastAsia="宋体" w:hint="eastAsia"/>
                <w:sz w:val="21"/>
              </w:rPr>
              <w:t>粪污处理区臭气经收集处理后排放</w:t>
            </w:r>
          </w:p>
        </w:tc>
        <w:tc>
          <w:tcPr>
            <w:tcW w:w="3085" w:type="dxa"/>
            <w:tcBorders>
              <w:top w:val="single" w:sz="4" w:space="0" w:color="000000"/>
              <w:left w:val="single" w:sz="4" w:space="0" w:color="000000"/>
            </w:tcBorders>
          </w:tcPr>
          <w:p>
            <w:pPr>
              <w:pStyle w:val="TableParagraph"/>
              <w:spacing w:before="36"/>
              <w:ind w:left="61" w:right="23"/>
              <w:rPr>
                <w:rFonts w:ascii="宋体" w:eastAsia="宋体" w:hint="eastAsia"/>
                <w:sz w:val="21"/>
              </w:rPr>
            </w:pPr>
            <w:r>
              <w:rPr>
                <w:rFonts w:ascii="宋体" w:eastAsia="宋体" w:hint="eastAsia"/>
                <w:sz w:val="21"/>
              </w:rPr>
              <w:t>减少恶臭对周围环境的影响</w:t>
            </w:r>
          </w:p>
        </w:tc>
      </w:tr>
    </w:tbl>
    <w:p>
      <w:pPr>
        <w:spacing w:after="0"/>
        <w:rPr>
          <w:rFonts w:ascii="宋体" w:eastAsia="宋体" w:hint="eastAsia"/>
          <w:sz w:val="21"/>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2"/>
        <w:gridCol w:w="1128"/>
        <w:gridCol w:w="4537"/>
        <w:gridCol w:w="3085"/>
      </w:tblGrid>
      <w:tr>
        <w:trPr>
          <w:trHeight w:val="359" w:hRule="atLeast"/>
        </w:trPr>
        <w:tc>
          <w:tcPr>
            <w:tcW w:w="682" w:type="dxa"/>
            <w:tcBorders>
              <w:bottom w:val="single" w:sz="4" w:space="0" w:color="000000"/>
              <w:right w:val="single" w:sz="4" w:space="0" w:color="000000"/>
            </w:tcBorders>
          </w:tcPr>
          <w:p>
            <w:pPr>
              <w:pStyle w:val="TableParagraph"/>
              <w:spacing w:before="49"/>
              <w:ind w:left="129"/>
              <w:jc w:val="left"/>
              <w:rPr>
                <w:rFonts w:ascii="宋体" w:eastAsia="宋体" w:hint="eastAsia"/>
                <w:b/>
                <w:sz w:val="21"/>
              </w:rPr>
            </w:pPr>
            <w:r>
              <w:rPr>
                <w:rFonts w:ascii="宋体" w:eastAsia="宋体" w:hint="eastAsia"/>
                <w:b/>
                <w:sz w:val="21"/>
              </w:rPr>
              <w:t>序号</w:t>
            </w:r>
          </w:p>
        </w:tc>
        <w:tc>
          <w:tcPr>
            <w:tcW w:w="1128" w:type="dxa"/>
            <w:tcBorders>
              <w:left w:val="single" w:sz="4" w:space="0" w:color="000000"/>
              <w:bottom w:val="single" w:sz="4" w:space="0" w:color="000000"/>
              <w:right w:val="single" w:sz="4" w:space="0" w:color="000000"/>
            </w:tcBorders>
          </w:tcPr>
          <w:p>
            <w:pPr>
              <w:pStyle w:val="TableParagraph"/>
              <w:spacing w:before="49"/>
              <w:ind w:left="361"/>
              <w:jc w:val="left"/>
              <w:rPr>
                <w:rFonts w:ascii="宋体" w:eastAsia="宋体" w:hint="eastAsia"/>
                <w:b/>
                <w:sz w:val="21"/>
              </w:rPr>
            </w:pPr>
            <w:r>
              <w:rPr>
                <w:rFonts w:ascii="宋体" w:eastAsia="宋体" w:hint="eastAsia"/>
                <w:b/>
                <w:sz w:val="21"/>
              </w:rPr>
              <w:t>类别</w:t>
            </w:r>
          </w:p>
        </w:tc>
        <w:tc>
          <w:tcPr>
            <w:tcW w:w="4537" w:type="dxa"/>
            <w:tcBorders>
              <w:left w:val="single" w:sz="4" w:space="0" w:color="000000"/>
              <w:bottom w:val="single" w:sz="4" w:space="0" w:color="000000"/>
              <w:right w:val="single" w:sz="4" w:space="0" w:color="000000"/>
            </w:tcBorders>
          </w:tcPr>
          <w:p>
            <w:pPr>
              <w:pStyle w:val="TableParagraph"/>
              <w:spacing w:before="49"/>
              <w:ind w:left="50" w:right="22"/>
              <w:rPr>
                <w:rFonts w:ascii="宋体" w:eastAsia="宋体" w:hint="eastAsia"/>
                <w:b/>
                <w:sz w:val="21"/>
              </w:rPr>
            </w:pPr>
            <w:r>
              <w:rPr>
                <w:rFonts w:ascii="宋体" w:eastAsia="宋体" w:hint="eastAsia"/>
                <w:b/>
                <w:sz w:val="21"/>
              </w:rPr>
              <w:t>措施内容</w:t>
            </w:r>
          </w:p>
        </w:tc>
        <w:tc>
          <w:tcPr>
            <w:tcW w:w="3085" w:type="dxa"/>
            <w:tcBorders>
              <w:left w:val="single" w:sz="4" w:space="0" w:color="000000"/>
              <w:bottom w:val="single" w:sz="4" w:space="0" w:color="000000"/>
            </w:tcBorders>
          </w:tcPr>
          <w:p>
            <w:pPr>
              <w:pStyle w:val="TableParagraph"/>
              <w:spacing w:before="49"/>
              <w:ind w:left="58" w:right="23"/>
              <w:rPr>
                <w:rFonts w:ascii="宋体" w:eastAsia="宋体" w:hint="eastAsia"/>
                <w:b/>
                <w:sz w:val="21"/>
              </w:rPr>
            </w:pPr>
            <w:r>
              <w:rPr>
                <w:rFonts w:ascii="宋体" w:eastAsia="宋体" w:hint="eastAsia"/>
                <w:b/>
                <w:sz w:val="21"/>
              </w:rPr>
              <w:t>目的</w:t>
            </w:r>
          </w:p>
        </w:tc>
      </w:tr>
      <w:tr>
        <w:trPr>
          <w:trHeight w:val="359" w:hRule="atLeast"/>
        </w:trPr>
        <w:tc>
          <w:tcPr>
            <w:tcW w:w="682" w:type="dxa"/>
            <w:vMerge w:val="restart"/>
            <w:tcBorders>
              <w:top w:val="single" w:sz="4" w:space="0" w:color="000000"/>
              <w:bottom w:val="single" w:sz="4" w:space="0" w:color="000000"/>
              <w:right w:val="single" w:sz="4" w:space="0" w:color="000000"/>
            </w:tcBorders>
          </w:tcPr>
          <w:p>
            <w:pPr>
              <w:pStyle w:val="TableParagraph"/>
              <w:spacing w:before="0"/>
              <w:jc w:val="left"/>
              <w:rPr>
                <w:sz w:val="22"/>
              </w:rPr>
            </w:pPr>
          </w:p>
        </w:tc>
        <w:tc>
          <w:tcPr>
            <w:tcW w:w="1128"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sz w:val="2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猪粪发酵臭气经配套的喷淋装置处理后排放</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减少恶臭对周围环境的影响</w:t>
            </w:r>
          </w:p>
        </w:tc>
      </w:tr>
      <w:tr>
        <w:trPr>
          <w:trHeight w:val="357"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2" w:right="22"/>
              <w:rPr>
                <w:rFonts w:ascii="宋体" w:eastAsia="宋体" w:hint="eastAsia"/>
                <w:sz w:val="21"/>
              </w:rPr>
            </w:pPr>
            <w:r>
              <w:rPr>
                <w:rFonts w:ascii="宋体" w:eastAsia="宋体" w:hint="eastAsia"/>
                <w:sz w:val="21"/>
              </w:rPr>
              <w:t>病死猪厂内冷库暂存，及时无害化处理</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减少恶臭的排放及疾病的传播</w:t>
            </w:r>
          </w:p>
        </w:tc>
      </w:tr>
      <w:tr>
        <w:trPr>
          <w:trHeight w:val="359"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危化品废包装物收集后委托有资质单位处置</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减少固废对环境的不利影响</w:t>
            </w:r>
          </w:p>
        </w:tc>
      </w:tr>
      <w:tr>
        <w:trPr>
          <w:trHeight w:val="359"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医疗废物委托有资质的单位安全处置</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减少固废对环境的不利影响</w:t>
            </w:r>
          </w:p>
        </w:tc>
      </w:tr>
      <w:tr>
        <w:trPr>
          <w:trHeight w:val="357" w:hRule="atLeast"/>
        </w:trPr>
        <w:tc>
          <w:tcPr>
            <w:tcW w:w="682" w:type="dxa"/>
            <w:vMerge/>
            <w:tcBorders>
              <w:top w:val="nil"/>
              <w:bottom w:val="single" w:sz="4" w:space="0" w:color="000000"/>
              <w:right w:val="single" w:sz="4" w:space="0" w:color="000000"/>
            </w:tcBorders>
          </w:tcPr>
          <w:p>
            <w:pPr>
              <w:rPr>
                <w:sz w:val="2"/>
                <w:szCs w:val="2"/>
              </w:rPr>
            </w:pPr>
          </w:p>
        </w:tc>
        <w:tc>
          <w:tcPr>
            <w:tcW w:w="1128" w:type="dxa"/>
            <w:vMerge/>
            <w:tcBorders>
              <w:top w:val="nil"/>
              <w:left w:val="single" w:sz="4" w:space="0" w:color="000000"/>
              <w:bottom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0" w:right="22"/>
              <w:rPr>
                <w:rFonts w:ascii="宋体" w:eastAsia="宋体" w:hint="eastAsia"/>
                <w:sz w:val="21"/>
              </w:rPr>
            </w:pPr>
            <w:r>
              <w:rPr>
                <w:rFonts w:ascii="宋体" w:eastAsia="宋体" w:hint="eastAsia"/>
                <w:sz w:val="21"/>
              </w:rPr>
              <w:t>生活垃圾由环卫部门定期清运处置</w:t>
            </w:r>
          </w:p>
        </w:tc>
        <w:tc>
          <w:tcPr>
            <w:tcW w:w="3085" w:type="dxa"/>
            <w:tcBorders>
              <w:top w:val="single" w:sz="4" w:space="0" w:color="000000"/>
              <w:left w:val="single" w:sz="4" w:space="0" w:color="000000"/>
              <w:bottom w:val="single" w:sz="4" w:space="0" w:color="000000"/>
            </w:tcBorders>
          </w:tcPr>
          <w:p>
            <w:pPr>
              <w:pStyle w:val="TableParagraph"/>
              <w:spacing w:before="46"/>
              <w:ind w:left="61" w:right="23"/>
              <w:rPr>
                <w:rFonts w:ascii="宋体" w:eastAsia="宋体" w:hint="eastAsia"/>
                <w:sz w:val="21"/>
              </w:rPr>
            </w:pPr>
            <w:r>
              <w:rPr>
                <w:rFonts w:ascii="宋体" w:eastAsia="宋体" w:hint="eastAsia"/>
                <w:sz w:val="21"/>
              </w:rPr>
              <w:t>减少固废对环境的不利影响</w:t>
            </w:r>
          </w:p>
        </w:tc>
      </w:tr>
      <w:tr>
        <w:trPr>
          <w:trHeight w:val="349" w:hRule="atLeast"/>
        </w:trPr>
        <w:tc>
          <w:tcPr>
            <w:tcW w:w="682" w:type="dxa"/>
            <w:vMerge w:val="restart"/>
            <w:tcBorders>
              <w:top w:val="single" w:sz="4" w:space="0" w:color="000000"/>
              <w:right w:val="single" w:sz="4" w:space="0" w:color="000000"/>
            </w:tcBorders>
          </w:tcPr>
          <w:p>
            <w:pPr>
              <w:pStyle w:val="TableParagraph"/>
              <w:spacing w:before="0"/>
              <w:jc w:val="left"/>
              <w:rPr>
                <w:rFonts w:ascii="宋体"/>
                <w:b/>
                <w:sz w:val="22"/>
              </w:rPr>
            </w:pPr>
          </w:p>
          <w:p>
            <w:pPr>
              <w:pStyle w:val="TableParagraph"/>
              <w:spacing w:before="5"/>
              <w:jc w:val="left"/>
              <w:rPr>
                <w:rFonts w:ascii="宋体"/>
                <w:b/>
                <w:sz w:val="25"/>
              </w:rPr>
            </w:pPr>
          </w:p>
          <w:p>
            <w:pPr>
              <w:pStyle w:val="TableParagraph"/>
              <w:spacing w:before="0"/>
              <w:ind w:left="18"/>
              <w:rPr>
                <w:sz w:val="21"/>
              </w:rPr>
            </w:pPr>
            <w:r>
              <w:rPr>
                <w:w w:val="100"/>
                <w:sz w:val="21"/>
              </w:rPr>
              <w:t>4</w:t>
            </w:r>
          </w:p>
        </w:tc>
        <w:tc>
          <w:tcPr>
            <w:tcW w:w="1128" w:type="dxa"/>
            <w:vMerge w:val="restart"/>
            <w:tcBorders>
              <w:top w:val="single" w:sz="4" w:space="0" w:color="000000"/>
              <w:left w:val="single" w:sz="4" w:space="0" w:color="000000"/>
              <w:right w:val="single" w:sz="4" w:space="0" w:color="000000"/>
            </w:tcBorders>
          </w:tcPr>
          <w:p>
            <w:pPr>
              <w:pStyle w:val="TableParagraph"/>
              <w:spacing w:before="0"/>
              <w:jc w:val="left"/>
              <w:rPr>
                <w:rFonts w:ascii="宋体"/>
                <w:b/>
                <w:sz w:val="20"/>
              </w:rPr>
            </w:pPr>
          </w:p>
          <w:p>
            <w:pPr>
              <w:pStyle w:val="TableParagraph"/>
              <w:spacing w:before="6"/>
              <w:jc w:val="left"/>
              <w:rPr>
                <w:rFonts w:ascii="宋体"/>
                <w:b/>
                <w:sz w:val="26"/>
              </w:rPr>
            </w:pPr>
          </w:p>
          <w:p>
            <w:pPr>
              <w:pStyle w:val="TableParagraph"/>
              <w:spacing w:before="1"/>
              <w:ind w:left="153"/>
              <w:jc w:val="left"/>
              <w:rPr>
                <w:rFonts w:ascii="宋体" w:eastAsia="宋体" w:hint="eastAsia"/>
                <w:sz w:val="21"/>
              </w:rPr>
            </w:pPr>
            <w:r>
              <w:rPr>
                <w:rFonts w:ascii="宋体" w:eastAsia="宋体" w:hint="eastAsia"/>
                <w:sz w:val="21"/>
              </w:rPr>
              <w:t>回收利用</w:t>
            </w: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46"/>
              <w:ind w:left="52" w:right="22"/>
              <w:rPr>
                <w:rFonts w:ascii="宋体" w:eastAsia="宋体" w:hint="eastAsia"/>
                <w:sz w:val="21"/>
              </w:rPr>
            </w:pPr>
            <w:r>
              <w:rPr>
                <w:rFonts w:ascii="宋体" w:eastAsia="宋体" w:hint="eastAsia"/>
                <w:sz w:val="21"/>
              </w:rPr>
              <w:t>沼气供热水锅炉、食堂综合利用</w:t>
            </w:r>
          </w:p>
        </w:tc>
        <w:tc>
          <w:tcPr>
            <w:tcW w:w="3085" w:type="dxa"/>
            <w:tcBorders>
              <w:top w:val="single" w:sz="4" w:space="0" w:color="000000"/>
              <w:left w:val="single" w:sz="4" w:space="0" w:color="000000"/>
              <w:bottom w:val="single" w:sz="4" w:space="0" w:color="000000"/>
            </w:tcBorders>
          </w:tcPr>
          <w:p>
            <w:pPr>
              <w:pStyle w:val="TableParagraph"/>
              <w:spacing w:before="46"/>
              <w:ind w:left="62" w:right="22"/>
              <w:rPr>
                <w:rFonts w:ascii="宋体" w:eastAsia="宋体" w:hint="eastAsia"/>
                <w:sz w:val="21"/>
              </w:rPr>
            </w:pPr>
            <w:r>
              <w:rPr>
                <w:rFonts w:ascii="宋体" w:eastAsia="宋体" w:hint="eastAsia"/>
                <w:sz w:val="21"/>
              </w:rPr>
              <w:t>实现沼气的资源化利用</w:t>
            </w:r>
          </w:p>
        </w:tc>
      </w:tr>
      <w:tr>
        <w:trPr>
          <w:trHeight w:val="339" w:hRule="atLeast"/>
        </w:trPr>
        <w:tc>
          <w:tcPr>
            <w:tcW w:w="682" w:type="dxa"/>
            <w:vMerge/>
            <w:tcBorders>
              <w:top w:val="nil"/>
              <w:right w:val="single" w:sz="4" w:space="0" w:color="000000"/>
            </w:tcBorders>
          </w:tcPr>
          <w:p>
            <w:pPr>
              <w:rPr>
                <w:sz w:val="2"/>
                <w:szCs w:val="2"/>
              </w:rPr>
            </w:pPr>
          </w:p>
        </w:tc>
        <w:tc>
          <w:tcPr>
            <w:tcW w:w="1128" w:type="dxa"/>
            <w:vMerge/>
            <w:tcBorders>
              <w:top w:val="nil"/>
              <w:left w:val="single" w:sz="4" w:space="0" w:color="000000"/>
              <w:right w:val="single" w:sz="4" w:space="0" w:color="000000"/>
            </w:tcBorders>
          </w:tcPr>
          <w:p>
            <w:pPr>
              <w:rPr>
                <w:sz w:val="2"/>
                <w:szCs w:val="2"/>
              </w:rPr>
            </w:pPr>
          </w:p>
        </w:tc>
        <w:tc>
          <w:tcPr>
            <w:tcW w:w="4537" w:type="dxa"/>
            <w:tcBorders>
              <w:top w:val="single" w:sz="4" w:space="0" w:color="000000"/>
              <w:left w:val="single" w:sz="4" w:space="0" w:color="000000"/>
              <w:bottom w:val="single" w:sz="4" w:space="0" w:color="000000"/>
              <w:right w:val="single" w:sz="4" w:space="0" w:color="000000"/>
            </w:tcBorders>
          </w:tcPr>
          <w:p>
            <w:pPr>
              <w:pStyle w:val="TableParagraph"/>
              <w:spacing w:before="36"/>
              <w:ind w:left="50" w:right="22"/>
              <w:rPr>
                <w:rFonts w:ascii="宋体" w:eastAsia="宋体" w:hint="eastAsia"/>
                <w:sz w:val="21"/>
              </w:rPr>
            </w:pPr>
            <w:r>
              <w:rPr>
                <w:rFonts w:ascii="宋体" w:eastAsia="宋体" w:hint="eastAsia"/>
                <w:sz w:val="21"/>
              </w:rPr>
              <w:t>一般废包装物收集后回收综合利用</w:t>
            </w:r>
          </w:p>
        </w:tc>
        <w:tc>
          <w:tcPr>
            <w:tcW w:w="3085" w:type="dxa"/>
            <w:tcBorders>
              <w:top w:val="single" w:sz="4" w:space="0" w:color="000000"/>
              <w:left w:val="single" w:sz="4" w:space="0" w:color="000000"/>
              <w:bottom w:val="single" w:sz="4" w:space="0" w:color="000000"/>
            </w:tcBorders>
          </w:tcPr>
          <w:p>
            <w:pPr>
              <w:pStyle w:val="TableParagraph"/>
              <w:spacing w:before="36"/>
              <w:ind w:left="62" w:right="22"/>
              <w:rPr>
                <w:rFonts w:ascii="宋体" w:eastAsia="宋体" w:hint="eastAsia"/>
                <w:sz w:val="21"/>
              </w:rPr>
            </w:pPr>
            <w:r>
              <w:rPr>
                <w:rFonts w:ascii="宋体" w:eastAsia="宋体" w:hint="eastAsia"/>
                <w:sz w:val="21"/>
              </w:rPr>
              <w:t>实现固废的资源化利用</w:t>
            </w:r>
          </w:p>
        </w:tc>
      </w:tr>
      <w:tr>
        <w:trPr>
          <w:trHeight w:val="705" w:hRule="atLeast"/>
        </w:trPr>
        <w:tc>
          <w:tcPr>
            <w:tcW w:w="682" w:type="dxa"/>
            <w:vMerge/>
            <w:tcBorders>
              <w:top w:val="nil"/>
              <w:right w:val="single" w:sz="4" w:space="0" w:color="000000"/>
            </w:tcBorders>
          </w:tcPr>
          <w:p>
            <w:pPr>
              <w:rPr>
                <w:sz w:val="2"/>
                <w:szCs w:val="2"/>
              </w:rPr>
            </w:pPr>
          </w:p>
        </w:tc>
        <w:tc>
          <w:tcPr>
            <w:tcW w:w="1128" w:type="dxa"/>
            <w:vMerge/>
            <w:tcBorders>
              <w:top w:val="nil"/>
              <w:left w:val="single" w:sz="4" w:space="0" w:color="000000"/>
              <w:right w:val="single" w:sz="4" w:space="0" w:color="000000"/>
            </w:tcBorders>
          </w:tcPr>
          <w:p>
            <w:pPr>
              <w:rPr>
                <w:sz w:val="2"/>
                <w:szCs w:val="2"/>
              </w:rPr>
            </w:pPr>
          </w:p>
        </w:tc>
        <w:tc>
          <w:tcPr>
            <w:tcW w:w="4537" w:type="dxa"/>
            <w:tcBorders>
              <w:top w:val="single" w:sz="4" w:space="0" w:color="000000"/>
              <w:left w:val="single" w:sz="4" w:space="0" w:color="000000"/>
              <w:right w:val="single" w:sz="4" w:space="0" w:color="000000"/>
            </w:tcBorders>
          </w:tcPr>
          <w:p>
            <w:pPr>
              <w:pStyle w:val="TableParagraph"/>
              <w:spacing w:before="36"/>
              <w:ind w:left="54" w:right="22"/>
              <w:rPr>
                <w:rFonts w:ascii="宋体" w:eastAsia="宋体" w:hint="eastAsia"/>
                <w:sz w:val="21"/>
              </w:rPr>
            </w:pPr>
            <w:r>
              <w:rPr>
                <w:rFonts w:ascii="宋体" w:eastAsia="宋体" w:hint="eastAsia"/>
                <w:sz w:val="21"/>
              </w:rPr>
              <w:t>粪便、饲料残渣、污泥、病死猪无害化处理产物</w:t>
            </w:r>
          </w:p>
          <w:p>
            <w:pPr>
              <w:pStyle w:val="TableParagraph"/>
              <w:spacing w:before="89"/>
              <w:ind w:left="52" w:right="22"/>
              <w:rPr>
                <w:rFonts w:ascii="宋体" w:eastAsia="宋体" w:hint="eastAsia"/>
                <w:sz w:val="21"/>
              </w:rPr>
            </w:pPr>
            <w:r>
              <w:rPr>
                <w:rFonts w:ascii="宋体" w:eastAsia="宋体" w:hint="eastAsia"/>
                <w:sz w:val="21"/>
              </w:rPr>
              <w:t>等经发酵处理后外运生产有机肥</w:t>
            </w:r>
          </w:p>
        </w:tc>
        <w:tc>
          <w:tcPr>
            <w:tcW w:w="3085" w:type="dxa"/>
            <w:tcBorders>
              <w:top w:val="single" w:sz="4" w:space="0" w:color="000000"/>
              <w:left w:val="single" w:sz="4" w:space="0" w:color="000000"/>
            </w:tcBorders>
          </w:tcPr>
          <w:p>
            <w:pPr>
              <w:pStyle w:val="TableParagraph"/>
              <w:spacing w:before="11"/>
              <w:jc w:val="left"/>
              <w:rPr>
                <w:rFonts w:ascii="宋体"/>
                <w:b/>
                <w:sz w:val="16"/>
              </w:rPr>
            </w:pPr>
          </w:p>
          <w:p>
            <w:pPr>
              <w:pStyle w:val="TableParagraph"/>
              <w:spacing w:before="0"/>
              <w:ind w:left="62" w:right="22"/>
              <w:rPr>
                <w:rFonts w:ascii="宋体" w:eastAsia="宋体" w:hint="eastAsia"/>
                <w:sz w:val="21"/>
              </w:rPr>
            </w:pPr>
            <w:r>
              <w:rPr>
                <w:rFonts w:ascii="宋体" w:eastAsia="宋体" w:hint="eastAsia"/>
                <w:sz w:val="21"/>
              </w:rPr>
              <w:t>实现固废的资源化利用</w:t>
            </w:r>
          </w:p>
        </w:tc>
      </w:tr>
    </w:tbl>
    <w:p>
      <w:pPr>
        <w:pStyle w:val="Heading3"/>
        <w:numPr>
          <w:ilvl w:val="2"/>
          <w:numId w:val="33"/>
        </w:numPr>
        <w:tabs>
          <w:tab w:pos="838" w:val="left" w:leader="none"/>
        </w:tabs>
        <w:spacing w:line="240" w:lineRule="auto" w:before="107" w:after="0"/>
        <w:ind w:left="837" w:right="0" w:hanging="601"/>
        <w:jc w:val="left"/>
      </w:pPr>
      <w:bookmarkStart w:name="_bookmark50" w:id="97"/>
      <w:bookmarkEnd w:id="97"/>
      <w:r>
        <w:rPr>
          <w:b w:val="0"/>
        </w:rPr>
      </w:r>
      <w:bookmarkStart w:name="_bookmark50" w:id="98"/>
      <w:bookmarkEnd w:id="98"/>
      <w:r>
        <w:rPr/>
        <w:t>清洁生产分析</w:t>
      </w:r>
    </w:p>
    <w:p>
      <w:pPr>
        <w:pStyle w:val="BodyText"/>
        <w:spacing w:line="364" w:lineRule="auto" w:before="161"/>
        <w:ind w:right="113" w:firstLine="480"/>
      </w:pPr>
      <w:r>
        <w:rPr/>
        <w:t>本项目为规模化生猪养殖项目，目前国家尚未制定畜禽养殖类清洁生产标准。因此， 本报告将结合本项目的生产特点，从原料和产品、生产工艺与装备、资源能源利用指标、污染物产生指标（末端处理前）、废物回收利用要求和环境管理要求六方面进行清洁生产分析。评价方法采用定量和定性相结合的评价方法，最后给出结论，并提出建议。</w:t>
      </w:r>
    </w:p>
    <w:p>
      <w:pPr>
        <w:pStyle w:val="Heading3"/>
        <w:spacing w:before="2"/>
      </w:pPr>
      <w:r>
        <w:rPr>
          <w:rFonts w:ascii="Times New Roman" w:eastAsia="Times New Roman"/>
        </w:rPr>
        <w:t>1</w:t>
      </w:r>
      <w:r>
        <w:rPr/>
        <w:t>、原料和产品指标分析</w:t>
      </w:r>
    </w:p>
    <w:p>
      <w:pPr>
        <w:pStyle w:val="ListParagraph"/>
        <w:numPr>
          <w:ilvl w:val="0"/>
          <w:numId w:val="41"/>
        </w:numPr>
        <w:tabs>
          <w:tab w:pos="1319" w:val="left" w:leader="none"/>
        </w:tabs>
        <w:spacing w:line="240" w:lineRule="auto" w:before="161" w:after="0"/>
        <w:ind w:left="1318" w:right="0" w:hanging="602"/>
        <w:jc w:val="left"/>
        <w:rPr>
          <w:sz w:val="24"/>
        </w:rPr>
      </w:pPr>
      <w:r>
        <w:rPr>
          <w:sz w:val="24"/>
        </w:rPr>
        <w:t>原材料的清洁性分析</w:t>
      </w:r>
    </w:p>
    <w:p>
      <w:pPr>
        <w:pStyle w:val="BodyText"/>
        <w:spacing w:before="160"/>
        <w:ind w:left="717"/>
      </w:pPr>
      <w:r>
        <w:rPr/>
        <w:t>本项目饲料全部采购成品，不会产生加工粉尘，因此本项目原料符合清洁生产要求。</w:t>
      </w:r>
    </w:p>
    <w:p>
      <w:pPr>
        <w:pStyle w:val="ListParagraph"/>
        <w:numPr>
          <w:ilvl w:val="0"/>
          <w:numId w:val="41"/>
        </w:numPr>
        <w:tabs>
          <w:tab w:pos="1319" w:val="left" w:leader="none"/>
        </w:tabs>
        <w:spacing w:line="240" w:lineRule="auto" w:before="161" w:after="0"/>
        <w:ind w:left="1318" w:right="0" w:hanging="602"/>
        <w:jc w:val="left"/>
        <w:rPr>
          <w:sz w:val="24"/>
        </w:rPr>
      </w:pPr>
      <w:r>
        <w:rPr>
          <w:sz w:val="24"/>
        </w:rPr>
        <w:t>产品分析</w:t>
      </w:r>
    </w:p>
    <w:p>
      <w:pPr>
        <w:pStyle w:val="BodyText"/>
        <w:spacing w:line="364" w:lineRule="auto" w:before="160"/>
        <w:ind w:right="253" w:firstLine="480"/>
        <w:jc w:val="both"/>
      </w:pPr>
      <w:r>
        <w:rPr/>
        <w:t>本项目饲养过程中对猪进行健康检查，出厂时按《种畜禽调运检疫技术规范》进行</w:t>
      </w:r>
      <w:r>
        <w:rPr>
          <w:spacing w:val="-4"/>
        </w:rPr>
        <w:t>检查确定为健康动物者，并有</w:t>
      </w:r>
      <w:r>
        <w:rPr>
          <w:rFonts w:ascii="Times New Roman" w:hAnsi="Times New Roman" w:eastAsia="Times New Roman"/>
        </w:rPr>
        <w:t>“</w:t>
      </w:r>
      <w:r>
        <w:rPr/>
        <w:t>健康合格证</w:t>
      </w:r>
      <w:r>
        <w:rPr>
          <w:rFonts w:ascii="Times New Roman" w:hAnsi="Times New Roman" w:eastAsia="Times New Roman"/>
        </w:rPr>
        <w:t>”</w:t>
      </w:r>
      <w:r>
        <w:rPr>
          <w:spacing w:val="-11"/>
        </w:rPr>
        <w:t>方予出场。因此，本项目生产的猪相对于畜禽</w:t>
      </w:r>
      <w:r>
        <w:rPr/>
        <w:t>散户饲养的猪更安全、卫生，符合清洁生产的要求。</w:t>
      </w:r>
    </w:p>
    <w:p>
      <w:pPr>
        <w:pStyle w:val="Heading3"/>
        <w:spacing w:before="2"/>
      </w:pPr>
      <w:r>
        <w:rPr>
          <w:rFonts w:ascii="Times New Roman" w:eastAsia="Times New Roman"/>
        </w:rPr>
        <w:t>2</w:t>
      </w:r>
      <w:r>
        <w:rPr/>
        <w:t>、养殖工艺与装备</w:t>
      </w:r>
    </w:p>
    <w:p>
      <w:pPr>
        <w:pStyle w:val="ListParagraph"/>
        <w:numPr>
          <w:ilvl w:val="0"/>
          <w:numId w:val="42"/>
        </w:numPr>
        <w:tabs>
          <w:tab w:pos="1319" w:val="left" w:leader="none"/>
        </w:tabs>
        <w:spacing w:line="240" w:lineRule="auto" w:before="161" w:after="0"/>
        <w:ind w:left="1318" w:right="0" w:hanging="602"/>
        <w:jc w:val="left"/>
        <w:rPr>
          <w:sz w:val="24"/>
        </w:rPr>
      </w:pPr>
      <w:r>
        <w:rPr>
          <w:sz w:val="24"/>
        </w:rPr>
        <w:t>养殖工艺</w:t>
      </w:r>
    </w:p>
    <w:p>
      <w:pPr>
        <w:spacing w:line="364" w:lineRule="auto" w:before="160"/>
        <w:ind w:left="2575" w:right="2426" w:hanging="1859"/>
        <w:jc w:val="left"/>
        <w:rPr>
          <w:b/>
          <w:sz w:val="24"/>
        </w:rPr>
      </w:pPr>
      <w:r>
        <w:rPr/>
        <w:pict>
          <v:shape style="position:absolute;margin-left:57.743999pt;margin-top:50.749996pt;width:473.75pt;height:132.4pt;mso-position-horizontal-relative:page;mso-position-vertical-relative:paragraph;z-index:251751424"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03"/>
                    <w:gridCol w:w="2916"/>
                    <w:gridCol w:w="5211"/>
                  </w:tblGrid>
                  <w:tr>
                    <w:trPr>
                      <w:trHeight w:val="359" w:hRule="atLeast"/>
                    </w:trPr>
                    <w:tc>
                      <w:tcPr>
                        <w:tcW w:w="1303" w:type="dxa"/>
                        <w:tcBorders>
                          <w:bottom w:val="single" w:sz="6" w:space="0" w:color="000000"/>
                          <w:right w:val="single" w:sz="6" w:space="0" w:color="000000"/>
                        </w:tcBorders>
                      </w:tcPr>
                      <w:p>
                        <w:pPr>
                          <w:pStyle w:val="TableParagraph"/>
                          <w:spacing w:before="48"/>
                          <w:ind w:left="103" w:right="84"/>
                          <w:rPr>
                            <w:rFonts w:ascii="宋体" w:eastAsia="宋体" w:hint="eastAsia"/>
                            <w:b/>
                            <w:sz w:val="21"/>
                          </w:rPr>
                        </w:pPr>
                        <w:r>
                          <w:rPr>
                            <w:rFonts w:ascii="宋体" w:eastAsia="宋体" w:hint="eastAsia"/>
                            <w:b/>
                            <w:sz w:val="21"/>
                          </w:rPr>
                          <w:t>类型</w:t>
                        </w:r>
                      </w:p>
                    </w:tc>
                    <w:tc>
                      <w:tcPr>
                        <w:tcW w:w="2916" w:type="dxa"/>
                        <w:tcBorders>
                          <w:left w:val="single" w:sz="6" w:space="0" w:color="000000"/>
                          <w:bottom w:val="single" w:sz="6" w:space="0" w:color="000000"/>
                          <w:right w:val="single" w:sz="6" w:space="0" w:color="000000"/>
                        </w:tcBorders>
                      </w:tcPr>
                      <w:p>
                        <w:pPr>
                          <w:pStyle w:val="TableParagraph"/>
                          <w:spacing w:before="48"/>
                          <w:ind w:left="81" w:right="49"/>
                          <w:rPr>
                            <w:rFonts w:ascii="宋体" w:eastAsia="宋体" w:hint="eastAsia"/>
                            <w:b/>
                            <w:sz w:val="21"/>
                          </w:rPr>
                        </w:pPr>
                        <w:r>
                          <w:rPr>
                            <w:rFonts w:ascii="宋体" w:eastAsia="宋体" w:hint="eastAsia"/>
                            <w:b/>
                            <w:sz w:val="21"/>
                          </w:rPr>
                          <w:t>传统养殖模式</w:t>
                        </w:r>
                      </w:p>
                    </w:tc>
                    <w:tc>
                      <w:tcPr>
                        <w:tcW w:w="5211" w:type="dxa"/>
                        <w:tcBorders>
                          <w:left w:val="single" w:sz="6" w:space="0" w:color="000000"/>
                          <w:bottom w:val="single" w:sz="6" w:space="0" w:color="000000"/>
                        </w:tcBorders>
                      </w:tcPr>
                      <w:p>
                        <w:pPr>
                          <w:pStyle w:val="TableParagraph"/>
                          <w:spacing w:before="48"/>
                          <w:ind w:left="50" w:right="10"/>
                          <w:rPr>
                            <w:rFonts w:ascii="宋体" w:eastAsia="宋体" w:hint="eastAsia"/>
                            <w:b/>
                            <w:sz w:val="21"/>
                          </w:rPr>
                        </w:pPr>
                        <w:r>
                          <w:rPr>
                            <w:rFonts w:ascii="宋体" w:eastAsia="宋体" w:hint="eastAsia"/>
                            <w:b/>
                            <w:sz w:val="21"/>
                          </w:rPr>
                          <w:t>本项目养殖模式</w:t>
                        </w:r>
                      </w:p>
                    </w:tc>
                  </w:tr>
                  <w:tr>
                    <w:trPr>
                      <w:trHeight w:val="359" w:hRule="atLeast"/>
                    </w:trPr>
                    <w:tc>
                      <w:tcPr>
                        <w:tcW w:w="1303" w:type="dxa"/>
                        <w:tcBorders>
                          <w:top w:val="single" w:sz="6" w:space="0" w:color="000000"/>
                          <w:bottom w:val="single" w:sz="6" w:space="0" w:color="000000"/>
                          <w:right w:val="single" w:sz="6" w:space="0" w:color="000000"/>
                        </w:tcBorders>
                      </w:tcPr>
                      <w:p>
                        <w:pPr>
                          <w:pStyle w:val="TableParagraph"/>
                          <w:spacing w:before="49"/>
                          <w:ind w:left="105" w:right="84"/>
                          <w:rPr>
                            <w:rFonts w:ascii="宋体" w:eastAsia="宋体" w:hint="eastAsia"/>
                            <w:sz w:val="21"/>
                          </w:rPr>
                        </w:pPr>
                        <w:r>
                          <w:rPr>
                            <w:rFonts w:ascii="宋体" w:eastAsia="宋体" w:hint="eastAsia"/>
                            <w:sz w:val="21"/>
                          </w:rPr>
                          <w:t>养殖规模</w:t>
                        </w:r>
                      </w:p>
                    </w:tc>
                    <w:tc>
                      <w:tcPr>
                        <w:tcW w:w="2916" w:type="dxa"/>
                        <w:tcBorders>
                          <w:top w:val="single" w:sz="6" w:space="0" w:color="000000"/>
                          <w:left w:val="single" w:sz="6" w:space="0" w:color="000000"/>
                          <w:bottom w:val="single" w:sz="6" w:space="0" w:color="000000"/>
                          <w:right w:val="single" w:sz="6" w:space="0" w:color="000000"/>
                        </w:tcBorders>
                      </w:tcPr>
                      <w:p>
                        <w:pPr>
                          <w:pStyle w:val="TableParagraph"/>
                          <w:spacing w:before="49"/>
                          <w:ind w:left="81" w:right="49"/>
                          <w:rPr>
                            <w:rFonts w:ascii="宋体" w:eastAsia="宋体" w:hint="eastAsia"/>
                            <w:sz w:val="21"/>
                          </w:rPr>
                        </w:pPr>
                        <w:r>
                          <w:rPr>
                            <w:rFonts w:ascii="宋体" w:eastAsia="宋体" w:hint="eastAsia"/>
                            <w:sz w:val="21"/>
                          </w:rPr>
                          <w:t>小、零散分布</w:t>
                        </w:r>
                      </w:p>
                    </w:tc>
                    <w:tc>
                      <w:tcPr>
                        <w:tcW w:w="5211" w:type="dxa"/>
                        <w:tcBorders>
                          <w:top w:val="single" w:sz="6" w:space="0" w:color="000000"/>
                          <w:left w:val="single" w:sz="6" w:space="0" w:color="000000"/>
                          <w:bottom w:val="single" w:sz="6" w:space="0" w:color="000000"/>
                        </w:tcBorders>
                      </w:tcPr>
                      <w:p>
                        <w:pPr>
                          <w:pStyle w:val="TableParagraph"/>
                          <w:spacing w:before="49"/>
                          <w:ind w:left="48" w:right="10"/>
                          <w:rPr>
                            <w:rFonts w:ascii="宋体" w:eastAsia="宋体" w:hint="eastAsia"/>
                            <w:sz w:val="21"/>
                          </w:rPr>
                        </w:pPr>
                        <w:r>
                          <w:rPr>
                            <w:rFonts w:ascii="宋体" w:eastAsia="宋体" w:hint="eastAsia"/>
                            <w:sz w:val="21"/>
                          </w:rPr>
                          <w:t>规模化养殖</w:t>
                        </w:r>
                      </w:p>
                    </w:tc>
                  </w:tr>
                  <w:tr>
                    <w:trPr>
                      <w:trHeight w:val="359" w:hRule="atLeast"/>
                    </w:trPr>
                    <w:tc>
                      <w:tcPr>
                        <w:tcW w:w="1303" w:type="dxa"/>
                        <w:tcBorders>
                          <w:top w:val="single" w:sz="6" w:space="0" w:color="000000"/>
                          <w:bottom w:val="single" w:sz="6" w:space="0" w:color="000000"/>
                          <w:right w:val="single" w:sz="6" w:space="0" w:color="000000"/>
                        </w:tcBorders>
                      </w:tcPr>
                      <w:p>
                        <w:pPr>
                          <w:pStyle w:val="TableParagraph"/>
                          <w:spacing w:before="46"/>
                          <w:ind w:left="105" w:right="82"/>
                          <w:rPr>
                            <w:rFonts w:ascii="宋体" w:eastAsia="宋体" w:hint="eastAsia"/>
                            <w:sz w:val="21"/>
                          </w:rPr>
                        </w:pPr>
                        <w:r>
                          <w:rPr>
                            <w:rFonts w:ascii="宋体" w:eastAsia="宋体" w:hint="eastAsia"/>
                            <w:sz w:val="21"/>
                          </w:rPr>
                          <w:t>选址</w:t>
                        </w:r>
                      </w:p>
                    </w:tc>
                    <w:tc>
                      <w:tcPr>
                        <w:tcW w:w="2916" w:type="dxa"/>
                        <w:tcBorders>
                          <w:top w:val="single" w:sz="6" w:space="0" w:color="000000"/>
                          <w:left w:val="single" w:sz="6" w:space="0" w:color="000000"/>
                          <w:bottom w:val="single" w:sz="6" w:space="0" w:color="000000"/>
                          <w:right w:val="single" w:sz="6" w:space="0" w:color="000000"/>
                        </w:tcBorders>
                      </w:tcPr>
                      <w:p>
                        <w:pPr>
                          <w:pStyle w:val="TableParagraph"/>
                          <w:spacing w:before="46"/>
                          <w:ind w:left="81" w:right="50"/>
                          <w:rPr>
                            <w:rFonts w:ascii="宋体" w:eastAsia="宋体" w:hint="eastAsia"/>
                            <w:sz w:val="21"/>
                          </w:rPr>
                        </w:pPr>
                        <w:r>
                          <w:rPr>
                            <w:rFonts w:ascii="宋体" w:eastAsia="宋体" w:hint="eastAsia"/>
                            <w:sz w:val="21"/>
                          </w:rPr>
                          <w:t>无科学合理的规划，按需养殖</w:t>
                        </w:r>
                      </w:p>
                    </w:tc>
                    <w:tc>
                      <w:tcPr>
                        <w:tcW w:w="5211" w:type="dxa"/>
                        <w:tcBorders>
                          <w:top w:val="single" w:sz="6" w:space="0" w:color="000000"/>
                          <w:left w:val="single" w:sz="6" w:space="0" w:color="000000"/>
                          <w:bottom w:val="single" w:sz="6" w:space="0" w:color="000000"/>
                        </w:tcBorders>
                      </w:tcPr>
                      <w:p>
                        <w:pPr>
                          <w:pStyle w:val="TableParagraph"/>
                          <w:spacing w:before="46"/>
                          <w:ind w:left="51" w:right="10"/>
                          <w:rPr>
                            <w:rFonts w:ascii="宋体" w:eastAsia="宋体" w:hint="eastAsia"/>
                            <w:sz w:val="21"/>
                          </w:rPr>
                        </w:pPr>
                        <w:r>
                          <w:rPr>
                            <w:rFonts w:ascii="宋体" w:eastAsia="宋体" w:hint="eastAsia"/>
                            <w:sz w:val="21"/>
                          </w:rPr>
                          <w:t>科学合理的选址，本项目位于柯桥区非禁养区</w:t>
                        </w:r>
                      </w:p>
                    </w:tc>
                  </w:tr>
                  <w:tr>
                    <w:trPr>
                      <w:trHeight w:val="359" w:hRule="atLeast"/>
                    </w:trPr>
                    <w:tc>
                      <w:tcPr>
                        <w:tcW w:w="1303" w:type="dxa"/>
                        <w:tcBorders>
                          <w:top w:val="single" w:sz="6" w:space="0" w:color="000000"/>
                          <w:bottom w:val="single" w:sz="6" w:space="0" w:color="000000"/>
                          <w:right w:val="single" w:sz="6" w:space="0" w:color="000000"/>
                        </w:tcBorders>
                      </w:tcPr>
                      <w:p>
                        <w:pPr>
                          <w:pStyle w:val="TableParagraph"/>
                          <w:spacing w:before="46"/>
                          <w:ind w:left="105" w:right="84"/>
                          <w:rPr>
                            <w:rFonts w:ascii="宋体" w:eastAsia="宋体" w:hint="eastAsia"/>
                            <w:sz w:val="21"/>
                          </w:rPr>
                        </w:pPr>
                        <w:r>
                          <w:rPr>
                            <w:rFonts w:ascii="宋体" w:eastAsia="宋体" w:hint="eastAsia"/>
                            <w:sz w:val="21"/>
                          </w:rPr>
                          <w:t>养殖场所</w:t>
                        </w:r>
                      </w:p>
                    </w:tc>
                    <w:tc>
                      <w:tcPr>
                        <w:tcW w:w="2916" w:type="dxa"/>
                        <w:tcBorders>
                          <w:top w:val="single" w:sz="6" w:space="0" w:color="000000"/>
                          <w:left w:val="single" w:sz="6" w:space="0" w:color="000000"/>
                          <w:bottom w:val="single" w:sz="6" w:space="0" w:color="000000"/>
                          <w:right w:val="single" w:sz="6" w:space="0" w:color="000000"/>
                        </w:tcBorders>
                      </w:tcPr>
                      <w:p>
                        <w:pPr>
                          <w:pStyle w:val="TableParagraph"/>
                          <w:spacing w:before="46"/>
                          <w:ind w:left="81" w:right="49"/>
                          <w:rPr>
                            <w:rFonts w:ascii="宋体" w:eastAsia="宋体" w:hint="eastAsia"/>
                            <w:sz w:val="21"/>
                          </w:rPr>
                        </w:pPr>
                        <w:r>
                          <w:rPr>
                            <w:rFonts w:ascii="宋体" w:eastAsia="宋体" w:hint="eastAsia"/>
                            <w:sz w:val="21"/>
                          </w:rPr>
                          <w:t>开放式</w:t>
                        </w:r>
                      </w:p>
                    </w:tc>
                    <w:tc>
                      <w:tcPr>
                        <w:tcW w:w="5211" w:type="dxa"/>
                        <w:tcBorders>
                          <w:top w:val="single" w:sz="6" w:space="0" w:color="000000"/>
                          <w:left w:val="single" w:sz="6" w:space="0" w:color="000000"/>
                          <w:bottom w:val="single" w:sz="6" w:space="0" w:color="000000"/>
                        </w:tcBorders>
                      </w:tcPr>
                      <w:p>
                        <w:pPr>
                          <w:pStyle w:val="TableParagraph"/>
                          <w:spacing w:before="46"/>
                          <w:ind w:left="48" w:right="10"/>
                          <w:rPr>
                            <w:rFonts w:ascii="宋体" w:eastAsia="宋体" w:hint="eastAsia"/>
                            <w:sz w:val="21"/>
                          </w:rPr>
                        </w:pPr>
                        <w:r>
                          <w:rPr>
                            <w:rFonts w:ascii="宋体" w:eastAsia="宋体" w:hint="eastAsia"/>
                            <w:sz w:val="21"/>
                          </w:rPr>
                          <w:t>厂房式养殖</w:t>
                        </w:r>
                      </w:p>
                    </w:tc>
                  </w:tr>
                  <w:tr>
                    <w:trPr>
                      <w:trHeight w:val="716" w:hRule="atLeast"/>
                    </w:trPr>
                    <w:tc>
                      <w:tcPr>
                        <w:tcW w:w="1303" w:type="dxa"/>
                        <w:tcBorders>
                          <w:top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5" w:right="84"/>
                          <w:rPr>
                            <w:rFonts w:ascii="宋体" w:eastAsia="宋体" w:hint="eastAsia"/>
                            <w:sz w:val="21"/>
                          </w:rPr>
                        </w:pPr>
                        <w:r>
                          <w:rPr>
                            <w:rFonts w:ascii="宋体" w:eastAsia="宋体" w:hint="eastAsia"/>
                            <w:sz w:val="21"/>
                          </w:rPr>
                          <w:t>清粪工艺</w:t>
                        </w:r>
                      </w:p>
                    </w:tc>
                    <w:tc>
                      <w:tcPr>
                        <w:tcW w:w="2916" w:type="dxa"/>
                        <w:tcBorders>
                          <w:top w:val="single" w:sz="6" w:space="0" w:color="000000"/>
                          <w:left w:val="single" w:sz="6" w:space="0" w:color="000000"/>
                          <w:bottom w:val="single" w:sz="6" w:space="0" w:color="000000"/>
                          <w:right w:val="single" w:sz="6" w:space="0" w:color="000000"/>
                        </w:tcBorders>
                      </w:tcPr>
                      <w:p>
                        <w:pPr>
                          <w:pStyle w:val="TableParagraph"/>
                          <w:spacing w:before="46"/>
                          <w:ind w:left="81" w:right="50"/>
                          <w:rPr>
                            <w:rFonts w:ascii="宋体" w:eastAsia="宋体" w:hint="eastAsia"/>
                            <w:sz w:val="21"/>
                          </w:rPr>
                        </w:pPr>
                        <w:r>
                          <w:rPr>
                            <w:rFonts w:ascii="宋体" w:eastAsia="宋体" w:hint="eastAsia"/>
                            <w:sz w:val="21"/>
                          </w:rPr>
                          <w:t>水泡粪工艺，猪舍需要每天清</w:t>
                        </w:r>
                      </w:p>
                      <w:p>
                        <w:pPr>
                          <w:pStyle w:val="TableParagraph"/>
                          <w:spacing w:before="89"/>
                          <w:ind w:left="81" w:right="50"/>
                          <w:rPr>
                            <w:rFonts w:ascii="宋体" w:eastAsia="宋体" w:hint="eastAsia"/>
                            <w:sz w:val="21"/>
                          </w:rPr>
                        </w:pPr>
                        <w:r>
                          <w:rPr>
                            <w:rFonts w:ascii="宋体" w:eastAsia="宋体" w:hint="eastAsia"/>
                            <w:sz w:val="21"/>
                          </w:rPr>
                          <w:t>洗，产生大量养殖废水</w:t>
                        </w:r>
                      </w:p>
                    </w:tc>
                    <w:tc>
                      <w:tcPr>
                        <w:tcW w:w="5211" w:type="dxa"/>
                        <w:tcBorders>
                          <w:top w:val="single" w:sz="6" w:space="0" w:color="000000"/>
                          <w:left w:val="single" w:sz="6" w:space="0" w:color="000000"/>
                          <w:bottom w:val="single" w:sz="6" w:space="0" w:color="000000"/>
                        </w:tcBorders>
                      </w:tcPr>
                      <w:p>
                        <w:pPr>
                          <w:pStyle w:val="TableParagraph"/>
                          <w:spacing w:before="8"/>
                          <w:jc w:val="left"/>
                          <w:rPr>
                            <w:rFonts w:ascii="宋体"/>
                            <w:b/>
                            <w:sz w:val="17"/>
                          </w:rPr>
                        </w:pPr>
                      </w:p>
                      <w:p>
                        <w:pPr>
                          <w:pStyle w:val="TableParagraph"/>
                          <w:spacing w:before="0"/>
                          <w:ind w:left="53" w:right="10"/>
                          <w:rPr>
                            <w:rFonts w:ascii="宋体" w:eastAsia="宋体" w:hint="eastAsia"/>
                            <w:sz w:val="21"/>
                          </w:rPr>
                        </w:pPr>
                        <w:r>
                          <w:rPr>
                            <w:rFonts w:ascii="宋体" w:eastAsia="宋体" w:hint="eastAsia"/>
                            <w:sz w:val="21"/>
                          </w:rPr>
                          <w:t>采用干清粪工艺，节约用水的同时减少养殖废水排放量</w:t>
                        </w:r>
                      </w:p>
                    </w:tc>
                  </w:tr>
                  <w:tr>
                    <w:trPr>
                      <w:trHeight w:val="359" w:hRule="atLeast"/>
                    </w:trPr>
                    <w:tc>
                      <w:tcPr>
                        <w:tcW w:w="1303" w:type="dxa"/>
                        <w:tcBorders>
                          <w:top w:val="single" w:sz="6" w:space="0" w:color="000000"/>
                          <w:right w:val="single" w:sz="6" w:space="0" w:color="000000"/>
                        </w:tcBorders>
                      </w:tcPr>
                      <w:p>
                        <w:pPr>
                          <w:pStyle w:val="TableParagraph"/>
                          <w:spacing w:before="46"/>
                          <w:ind w:left="105" w:right="84"/>
                          <w:rPr>
                            <w:rFonts w:ascii="宋体" w:eastAsia="宋体" w:hint="eastAsia"/>
                            <w:sz w:val="21"/>
                          </w:rPr>
                        </w:pPr>
                        <w:r>
                          <w:rPr>
                            <w:rFonts w:ascii="宋体" w:eastAsia="宋体" w:hint="eastAsia"/>
                            <w:sz w:val="21"/>
                          </w:rPr>
                          <w:t>猪只健康</w:t>
                        </w:r>
                      </w:p>
                    </w:tc>
                    <w:tc>
                      <w:tcPr>
                        <w:tcW w:w="2916" w:type="dxa"/>
                        <w:tcBorders>
                          <w:top w:val="single" w:sz="6" w:space="0" w:color="000000"/>
                          <w:left w:val="single" w:sz="6" w:space="0" w:color="000000"/>
                          <w:right w:val="single" w:sz="6" w:space="0" w:color="000000"/>
                        </w:tcBorders>
                      </w:tcPr>
                      <w:p>
                        <w:pPr>
                          <w:pStyle w:val="TableParagraph"/>
                          <w:spacing w:before="46"/>
                          <w:ind w:left="80" w:right="50"/>
                          <w:rPr>
                            <w:rFonts w:ascii="宋体" w:eastAsia="宋体" w:hint="eastAsia"/>
                            <w:sz w:val="21"/>
                          </w:rPr>
                        </w:pPr>
                        <w:r>
                          <w:rPr>
                            <w:rFonts w:ascii="宋体" w:eastAsia="宋体" w:hint="eastAsia"/>
                            <w:sz w:val="21"/>
                          </w:rPr>
                          <w:t>无法保证</w:t>
                        </w:r>
                      </w:p>
                    </w:tc>
                    <w:tc>
                      <w:tcPr>
                        <w:tcW w:w="5211" w:type="dxa"/>
                        <w:tcBorders>
                          <w:top w:val="single" w:sz="6" w:space="0" w:color="000000"/>
                          <w:left w:val="single" w:sz="6" w:space="0" w:color="000000"/>
                        </w:tcBorders>
                      </w:tcPr>
                      <w:p>
                        <w:pPr>
                          <w:pStyle w:val="TableParagraph"/>
                          <w:spacing w:before="46"/>
                          <w:ind w:left="53" w:right="10"/>
                          <w:rPr>
                            <w:rFonts w:ascii="宋体" w:eastAsia="宋体" w:hint="eastAsia"/>
                            <w:sz w:val="21"/>
                          </w:rPr>
                        </w:pPr>
                        <w:r>
                          <w:rPr>
                            <w:rFonts w:ascii="宋体" w:eastAsia="宋体" w:hint="eastAsia"/>
                            <w:sz w:val="21"/>
                          </w:rPr>
                          <w:t>通过添加益生菌既改善了猪肠道的微生态平衡、提高饲</w:t>
                        </w:r>
                      </w:p>
                    </w:tc>
                  </w:tr>
                </w:tbl>
                <w:p>
                  <w:pPr>
                    <w:pStyle w:val="BodyText"/>
                    <w:ind w:left="0"/>
                  </w:pPr>
                </w:p>
              </w:txbxContent>
            </v:textbox>
            <w10:wrap type="none"/>
          </v:shape>
        </w:pict>
      </w:r>
      <w:r>
        <w:rPr>
          <w:spacing w:val="-3"/>
          <w:sz w:val="24"/>
        </w:rPr>
        <w:t>项目生态处置型养殖模式与传统养殖模式的对比详见表 </w:t>
      </w:r>
      <w:r>
        <w:rPr>
          <w:rFonts w:ascii="Times New Roman" w:eastAsia="Times New Roman"/>
          <w:sz w:val="24"/>
        </w:rPr>
        <w:t>3.2-5</w:t>
      </w:r>
      <w:r>
        <w:rPr>
          <w:spacing w:val="-15"/>
          <w:sz w:val="24"/>
        </w:rPr>
        <w:t>。</w:t>
      </w:r>
      <w:r>
        <w:rPr>
          <w:b/>
          <w:spacing w:val="-30"/>
          <w:sz w:val="24"/>
        </w:rPr>
        <w:t>表 </w:t>
      </w:r>
      <w:r>
        <w:rPr>
          <w:rFonts w:ascii="Times New Roman" w:eastAsia="Times New Roman"/>
          <w:b/>
          <w:sz w:val="24"/>
        </w:rPr>
        <w:t>3.2-5</w:t>
      </w:r>
      <w:r>
        <w:rPr>
          <w:rFonts w:ascii="Times New Roman" w:eastAsia="Times New Roman"/>
          <w:b/>
          <w:spacing w:val="58"/>
          <w:sz w:val="24"/>
        </w:rPr>
        <w:t> </w:t>
      </w:r>
      <w:r>
        <w:rPr>
          <w:b/>
          <w:sz w:val="24"/>
        </w:rPr>
        <w:t>项目养殖模式与传统养殖模式对比</w:t>
      </w:r>
    </w:p>
    <w:p>
      <w:pPr>
        <w:spacing w:after="0" w:line="364" w:lineRule="auto"/>
        <w:jc w:val="left"/>
        <w:rPr>
          <w:sz w:val="24"/>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03"/>
        <w:gridCol w:w="2916"/>
        <w:gridCol w:w="5211"/>
      </w:tblGrid>
      <w:tr>
        <w:trPr>
          <w:trHeight w:val="359" w:hRule="atLeast"/>
        </w:trPr>
        <w:tc>
          <w:tcPr>
            <w:tcW w:w="1303" w:type="dxa"/>
            <w:tcBorders>
              <w:bottom w:val="single" w:sz="6" w:space="0" w:color="000000"/>
              <w:right w:val="single" w:sz="6" w:space="0" w:color="000000"/>
            </w:tcBorders>
          </w:tcPr>
          <w:p>
            <w:pPr>
              <w:pStyle w:val="TableParagraph"/>
              <w:spacing w:before="49"/>
              <w:ind w:left="103" w:right="84"/>
              <w:rPr>
                <w:rFonts w:ascii="宋体" w:eastAsia="宋体" w:hint="eastAsia"/>
                <w:b/>
                <w:sz w:val="21"/>
              </w:rPr>
            </w:pPr>
            <w:r>
              <w:rPr>
                <w:rFonts w:ascii="宋体" w:eastAsia="宋体" w:hint="eastAsia"/>
                <w:b/>
                <w:sz w:val="21"/>
              </w:rPr>
              <w:t>类型</w:t>
            </w:r>
          </w:p>
        </w:tc>
        <w:tc>
          <w:tcPr>
            <w:tcW w:w="2916" w:type="dxa"/>
            <w:tcBorders>
              <w:left w:val="single" w:sz="6" w:space="0" w:color="000000"/>
              <w:bottom w:val="single" w:sz="6" w:space="0" w:color="000000"/>
              <w:right w:val="single" w:sz="6" w:space="0" w:color="000000"/>
            </w:tcBorders>
          </w:tcPr>
          <w:p>
            <w:pPr>
              <w:pStyle w:val="TableParagraph"/>
              <w:spacing w:before="49"/>
              <w:ind w:left="81" w:right="49"/>
              <w:rPr>
                <w:rFonts w:ascii="宋体" w:eastAsia="宋体" w:hint="eastAsia"/>
                <w:b/>
                <w:sz w:val="21"/>
              </w:rPr>
            </w:pPr>
            <w:r>
              <w:rPr>
                <w:rFonts w:ascii="宋体" w:eastAsia="宋体" w:hint="eastAsia"/>
                <w:b/>
                <w:sz w:val="21"/>
              </w:rPr>
              <w:t>传统养殖模式</w:t>
            </w:r>
          </w:p>
        </w:tc>
        <w:tc>
          <w:tcPr>
            <w:tcW w:w="5211" w:type="dxa"/>
            <w:tcBorders>
              <w:left w:val="single" w:sz="6" w:space="0" w:color="000000"/>
              <w:bottom w:val="single" w:sz="6" w:space="0" w:color="000000"/>
            </w:tcBorders>
          </w:tcPr>
          <w:p>
            <w:pPr>
              <w:pStyle w:val="TableParagraph"/>
              <w:spacing w:before="49"/>
              <w:ind w:left="50" w:right="10"/>
              <w:rPr>
                <w:rFonts w:ascii="宋体" w:eastAsia="宋体" w:hint="eastAsia"/>
                <w:b/>
                <w:sz w:val="21"/>
              </w:rPr>
            </w:pPr>
            <w:r>
              <w:rPr>
                <w:rFonts w:ascii="宋体" w:eastAsia="宋体" w:hint="eastAsia"/>
                <w:b/>
                <w:sz w:val="21"/>
              </w:rPr>
              <w:t>本项目养殖模式</w:t>
            </w:r>
          </w:p>
        </w:tc>
      </w:tr>
      <w:tr>
        <w:trPr>
          <w:trHeight w:val="1076" w:hRule="atLeast"/>
        </w:trPr>
        <w:tc>
          <w:tcPr>
            <w:tcW w:w="1303" w:type="dxa"/>
            <w:tcBorders>
              <w:top w:val="single" w:sz="6" w:space="0" w:color="000000"/>
              <w:bottom w:val="single" w:sz="6" w:space="0" w:color="000000"/>
              <w:right w:val="single" w:sz="6" w:space="0" w:color="000000"/>
            </w:tcBorders>
          </w:tcPr>
          <w:p>
            <w:pPr>
              <w:pStyle w:val="TableParagraph"/>
              <w:spacing w:before="0"/>
              <w:jc w:val="left"/>
              <w:rPr>
                <w:sz w:val="22"/>
              </w:rPr>
            </w:pPr>
          </w:p>
        </w:tc>
        <w:tc>
          <w:tcPr>
            <w:tcW w:w="2916"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5211" w:type="dxa"/>
            <w:tcBorders>
              <w:top w:val="single" w:sz="6" w:space="0" w:color="000000"/>
              <w:left w:val="single" w:sz="6" w:space="0" w:color="000000"/>
              <w:bottom w:val="single" w:sz="6" w:space="0" w:color="000000"/>
            </w:tcBorders>
          </w:tcPr>
          <w:p>
            <w:pPr>
              <w:pStyle w:val="TableParagraph"/>
              <w:spacing w:before="46"/>
              <w:ind w:left="116"/>
              <w:jc w:val="left"/>
              <w:rPr>
                <w:rFonts w:ascii="宋体" w:eastAsia="宋体" w:hint="eastAsia"/>
                <w:sz w:val="21"/>
              </w:rPr>
            </w:pPr>
            <w:r>
              <w:rPr>
                <w:rFonts w:ascii="宋体" w:eastAsia="宋体" w:hint="eastAsia"/>
                <w:sz w:val="21"/>
              </w:rPr>
              <w:t>料利用率，又增强了猪的抗病力；厂内设有兽医室，配</w:t>
            </w:r>
          </w:p>
          <w:p>
            <w:pPr>
              <w:pStyle w:val="TableParagraph"/>
              <w:spacing w:line="350" w:lineRule="atLeast" w:before="10"/>
              <w:ind w:left="1983" w:right="24" w:hanging="1868"/>
              <w:jc w:val="left"/>
              <w:rPr>
                <w:rFonts w:ascii="宋体" w:eastAsia="宋体" w:hint="eastAsia"/>
                <w:sz w:val="21"/>
              </w:rPr>
            </w:pPr>
            <w:r>
              <w:rPr>
                <w:rFonts w:ascii="宋体" w:eastAsia="宋体" w:hint="eastAsia"/>
                <w:sz w:val="21"/>
              </w:rPr>
              <w:t>备有专业的兽医；另外厂区内有严格的消毒防疫制度， 确保猪只健康</w:t>
            </w:r>
          </w:p>
        </w:tc>
      </w:tr>
      <w:tr>
        <w:trPr>
          <w:trHeight w:val="717" w:hRule="atLeast"/>
        </w:trPr>
        <w:tc>
          <w:tcPr>
            <w:tcW w:w="1303" w:type="dxa"/>
            <w:tcBorders>
              <w:top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5" w:right="84"/>
              <w:rPr>
                <w:rFonts w:ascii="宋体" w:eastAsia="宋体" w:hint="eastAsia"/>
                <w:sz w:val="21"/>
              </w:rPr>
            </w:pPr>
            <w:r>
              <w:rPr>
                <w:rFonts w:ascii="宋体" w:eastAsia="宋体" w:hint="eastAsia"/>
                <w:sz w:val="21"/>
              </w:rPr>
              <w:t>养殖工艺</w:t>
            </w:r>
          </w:p>
        </w:tc>
        <w:tc>
          <w:tcPr>
            <w:tcW w:w="2916" w:type="dxa"/>
            <w:tcBorders>
              <w:top w:val="single" w:sz="6" w:space="0" w:color="000000"/>
              <w:left w:val="single" w:sz="6" w:space="0" w:color="000000"/>
              <w:bottom w:val="single" w:sz="6" w:space="0" w:color="000000"/>
              <w:right w:val="single" w:sz="6" w:space="0" w:color="000000"/>
            </w:tcBorders>
          </w:tcPr>
          <w:p>
            <w:pPr>
              <w:pStyle w:val="TableParagraph"/>
              <w:spacing w:before="46"/>
              <w:ind w:left="81" w:right="50"/>
              <w:rPr>
                <w:rFonts w:ascii="宋体" w:eastAsia="宋体" w:hint="eastAsia"/>
                <w:sz w:val="21"/>
              </w:rPr>
            </w:pPr>
            <w:r>
              <w:rPr>
                <w:rFonts w:ascii="宋体" w:eastAsia="宋体" w:hint="eastAsia"/>
                <w:sz w:val="21"/>
              </w:rPr>
              <w:t>人工喂料、人工清粪、劳动力</w:t>
            </w:r>
          </w:p>
          <w:p>
            <w:pPr>
              <w:pStyle w:val="TableParagraph"/>
              <w:spacing w:before="89"/>
              <w:ind w:left="81" w:right="50"/>
              <w:rPr>
                <w:rFonts w:ascii="宋体" w:eastAsia="宋体" w:hint="eastAsia"/>
                <w:sz w:val="21"/>
              </w:rPr>
            </w:pPr>
            <w:r>
              <w:rPr>
                <w:rFonts w:ascii="宋体" w:eastAsia="宋体" w:hint="eastAsia"/>
                <w:sz w:val="21"/>
              </w:rPr>
              <w:t>消耗大，现代化程度低</w:t>
            </w:r>
          </w:p>
        </w:tc>
        <w:tc>
          <w:tcPr>
            <w:tcW w:w="5211" w:type="dxa"/>
            <w:tcBorders>
              <w:top w:val="single" w:sz="6" w:space="0" w:color="000000"/>
              <w:left w:val="single" w:sz="6" w:space="0" w:color="000000"/>
              <w:bottom w:val="single" w:sz="6" w:space="0" w:color="000000"/>
            </w:tcBorders>
          </w:tcPr>
          <w:p>
            <w:pPr>
              <w:pStyle w:val="TableParagraph"/>
              <w:spacing w:before="46"/>
              <w:ind w:left="53" w:right="10"/>
              <w:rPr>
                <w:rFonts w:ascii="宋体" w:eastAsia="宋体" w:hint="eastAsia"/>
                <w:sz w:val="21"/>
              </w:rPr>
            </w:pPr>
            <w:r>
              <w:rPr>
                <w:rFonts w:ascii="宋体" w:eastAsia="宋体" w:hint="eastAsia"/>
                <w:sz w:val="21"/>
              </w:rPr>
              <w:t>项目实施后采用自动喂料系统，机械化程度高，工艺设</w:t>
            </w:r>
          </w:p>
          <w:p>
            <w:pPr>
              <w:pStyle w:val="TableParagraph"/>
              <w:spacing w:before="89"/>
              <w:ind w:left="50" w:right="10"/>
              <w:rPr>
                <w:rFonts w:ascii="宋体" w:eastAsia="宋体" w:hint="eastAsia"/>
                <w:sz w:val="21"/>
              </w:rPr>
            </w:pPr>
            <w:r>
              <w:rPr>
                <w:rFonts w:ascii="宋体" w:eastAsia="宋体" w:hint="eastAsia"/>
                <w:sz w:val="21"/>
              </w:rPr>
              <w:t>备技术较为先进</w:t>
            </w:r>
          </w:p>
        </w:tc>
      </w:tr>
      <w:tr>
        <w:trPr>
          <w:trHeight w:val="359" w:hRule="atLeast"/>
        </w:trPr>
        <w:tc>
          <w:tcPr>
            <w:tcW w:w="1303" w:type="dxa"/>
            <w:tcBorders>
              <w:top w:val="single" w:sz="6" w:space="0" w:color="000000"/>
              <w:bottom w:val="single" w:sz="6" w:space="0" w:color="000000"/>
              <w:right w:val="single" w:sz="6" w:space="0" w:color="000000"/>
            </w:tcBorders>
          </w:tcPr>
          <w:p>
            <w:pPr>
              <w:pStyle w:val="TableParagraph"/>
              <w:spacing w:before="46"/>
              <w:ind w:left="105" w:right="84"/>
              <w:rPr>
                <w:rFonts w:ascii="宋体" w:eastAsia="宋体" w:hint="eastAsia"/>
                <w:sz w:val="21"/>
              </w:rPr>
            </w:pPr>
            <w:r>
              <w:rPr>
                <w:rFonts w:ascii="宋体" w:eastAsia="宋体" w:hint="eastAsia"/>
                <w:sz w:val="21"/>
              </w:rPr>
              <w:t>畜禽疫病</w:t>
            </w:r>
          </w:p>
        </w:tc>
        <w:tc>
          <w:tcPr>
            <w:tcW w:w="2916" w:type="dxa"/>
            <w:tcBorders>
              <w:top w:val="single" w:sz="6" w:space="0" w:color="000000"/>
              <w:left w:val="single" w:sz="6" w:space="0" w:color="000000"/>
              <w:bottom w:val="single" w:sz="6" w:space="0" w:color="000000"/>
              <w:right w:val="single" w:sz="6" w:space="0" w:color="000000"/>
            </w:tcBorders>
          </w:tcPr>
          <w:p>
            <w:pPr>
              <w:pStyle w:val="TableParagraph"/>
              <w:spacing w:before="46"/>
              <w:ind w:left="81" w:right="49"/>
              <w:rPr>
                <w:rFonts w:ascii="宋体" w:eastAsia="宋体" w:hint="eastAsia"/>
                <w:sz w:val="21"/>
              </w:rPr>
            </w:pPr>
            <w:r>
              <w:rPr>
                <w:rFonts w:ascii="宋体" w:eastAsia="宋体" w:hint="eastAsia"/>
                <w:sz w:val="21"/>
              </w:rPr>
              <w:t>无法有效抵御</w:t>
            </w:r>
          </w:p>
        </w:tc>
        <w:tc>
          <w:tcPr>
            <w:tcW w:w="5211" w:type="dxa"/>
            <w:tcBorders>
              <w:top w:val="single" w:sz="6" w:space="0" w:color="000000"/>
              <w:left w:val="single" w:sz="6" w:space="0" w:color="000000"/>
              <w:bottom w:val="single" w:sz="6" w:space="0" w:color="000000"/>
            </w:tcBorders>
          </w:tcPr>
          <w:p>
            <w:pPr>
              <w:pStyle w:val="TableParagraph"/>
              <w:spacing w:before="46"/>
              <w:ind w:left="48" w:right="10"/>
              <w:rPr>
                <w:rFonts w:ascii="宋体" w:eastAsia="宋体" w:hint="eastAsia"/>
                <w:sz w:val="21"/>
              </w:rPr>
            </w:pPr>
            <w:r>
              <w:rPr>
                <w:rFonts w:ascii="宋体" w:eastAsia="宋体" w:hint="eastAsia"/>
                <w:sz w:val="21"/>
              </w:rPr>
              <w:t>项目设有完善的防疫制度，可有效抵御疫病风险</w:t>
            </w:r>
          </w:p>
        </w:tc>
      </w:tr>
      <w:tr>
        <w:trPr>
          <w:trHeight w:val="359" w:hRule="atLeast"/>
        </w:trPr>
        <w:tc>
          <w:tcPr>
            <w:tcW w:w="1303" w:type="dxa"/>
            <w:tcBorders>
              <w:top w:val="single" w:sz="6" w:space="0" w:color="000000"/>
              <w:bottom w:val="nil"/>
              <w:right w:val="single" w:sz="6" w:space="0" w:color="000000"/>
            </w:tcBorders>
          </w:tcPr>
          <w:p>
            <w:pPr>
              <w:pStyle w:val="TableParagraph"/>
              <w:spacing w:before="0"/>
              <w:jc w:val="left"/>
              <w:rPr>
                <w:sz w:val="22"/>
              </w:rPr>
            </w:pPr>
          </w:p>
        </w:tc>
        <w:tc>
          <w:tcPr>
            <w:tcW w:w="2916" w:type="dxa"/>
            <w:tcBorders>
              <w:top w:val="single" w:sz="6" w:space="0" w:color="000000"/>
              <w:left w:val="single" w:sz="6" w:space="0" w:color="000000"/>
              <w:bottom w:val="nil"/>
              <w:right w:val="single" w:sz="6" w:space="0" w:color="000000"/>
            </w:tcBorders>
          </w:tcPr>
          <w:p>
            <w:pPr>
              <w:pStyle w:val="TableParagraph"/>
              <w:spacing w:before="0"/>
              <w:jc w:val="left"/>
              <w:rPr>
                <w:sz w:val="22"/>
              </w:rPr>
            </w:pPr>
          </w:p>
        </w:tc>
        <w:tc>
          <w:tcPr>
            <w:tcW w:w="5211" w:type="dxa"/>
            <w:tcBorders>
              <w:top w:val="single" w:sz="6" w:space="0" w:color="000000"/>
              <w:left w:val="single" w:sz="6" w:space="0" w:color="000000"/>
              <w:bottom w:val="nil"/>
            </w:tcBorders>
          </w:tcPr>
          <w:p>
            <w:pPr>
              <w:pStyle w:val="TableParagraph"/>
              <w:spacing w:before="46"/>
              <w:ind w:left="53" w:right="10"/>
              <w:rPr>
                <w:rFonts w:ascii="宋体" w:eastAsia="宋体" w:hint="eastAsia"/>
                <w:sz w:val="21"/>
              </w:rPr>
            </w:pPr>
            <w:r>
              <w:rPr>
                <w:rFonts w:ascii="宋体" w:eastAsia="宋体" w:hint="eastAsia"/>
                <w:sz w:val="21"/>
              </w:rPr>
              <w:t>项目废气经收集处理后达标排放；养殖废水经自建污水</w:t>
            </w:r>
          </w:p>
        </w:tc>
      </w:tr>
      <w:tr>
        <w:trPr>
          <w:trHeight w:val="358" w:hRule="atLeast"/>
        </w:trPr>
        <w:tc>
          <w:tcPr>
            <w:tcW w:w="1303" w:type="dxa"/>
            <w:tcBorders>
              <w:top w:val="nil"/>
              <w:bottom w:val="nil"/>
              <w:right w:val="single" w:sz="6" w:space="0" w:color="000000"/>
            </w:tcBorders>
          </w:tcPr>
          <w:p>
            <w:pPr>
              <w:pStyle w:val="TableParagraph"/>
              <w:spacing w:before="0"/>
              <w:jc w:val="left"/>
              <w:rPr>
                <w:sz w:val="22"/>
              </w:rPr>
            </w:pPr>
          </w:p>
        </w:tc>
        <w:tc>
          <w:tcPr>
            <w:tcW w:w="2916" w:type="dxa"/>
            <w:tcBorders>
              <w:top w:val="nil"/>
              <w:left w:val="single" w:sz="6" w:space="0" w:color="000000"/>
              <w:bottom w:val="nil"/>
              <w:right w:val="single" w:sz="6" w:space="0" w:color="000000"/>
            </w:tcBorders>
          </w:tcPr>
          <w:p>
            <w:pPr>
              <w:pStyle w:val="TableParagraph"/>
              <w:spacing w:before="0"/>
              <w:jc w:val="left"/>
              <w:rPr>
                <w:sz w:val="22"/>
              </w:rPr>
            </w:pPr>
          </w:p>
        </w:tc>
        <w:tc>
          <w:tcPr>
            <w:tcW w:w="5211" w:type="dxa"/>
            <w:tcBorders>
              <w:top w:val="nil"/>
              <w:left w:val="single" w:sz="6" w:space="0" w:color="000000"/>
              <w:bottom w:val="nil"/>
            </w:tcBorders>
          </w:tcPr>
          <w:p>
            <w:pPr>
              <w:pStyle w:val="TableParagraph"/>
              <w:spacing w:before="44"/>
              <w:ind w:left="53" w:right="10"/>
              <w:rPr>
                <w:rFonts w:ascii="宋体" w:eastAsia="宋体" w:hint="eastAsia"/>
                <w:sz w:val="21"/>
              </w:rPr>
            </w:pPr>
            <w:r>
              <w:rPr>
                <w:rFonts w:ascii="宋体" w:eastAsia="宋体" w:hint="eastAsia"/>
                <w:sz w:val="21"/>
              </w:rPr>
              <w:t>处理站处理达标后纳管排放；发酵产物（为粪便、饲料</w:t>
            </w:r>
          </w:p>
        </w:tc>
      </w:tr>
      <w:tr>
        <w:trPr>
          <w:trHeight w:val="1435" w:hRule="atLeast"/>
        </w:trPr>
        <w:tc>
          <w:tcPr>
            <w:tcW w:w="1303" w:type="dxa"/>
            <w:tcBorders>
              <w:top w:val="nil"/>
              <w:bottom w:val="nil"/>
              <w:right w:val="single" w:sz="6" w:space="0" w:color="000000"/>
            </w:tcBorders>
          </w:tcPr>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before="0"/>
              <w:ind w:left="105" w:right="84"/>
              <w:rPr>
                <w:rFonts w:ascii="宋体" w:eastAsia="宋体" w:hint="eastAsia"/>
                <w:sz w:val="21"/>
              </w:rPr>
            </w:pPr>
            <w:r>
              <w:rPr>
                <w:rFonts w:ascii="宋体" w:eastAsia="宋体" w:hint="eastAsia"/>
                <w:sz w:val="21"/>
              </w:rPr>
              <w:t>污染物处置</w:t>
            </w:r>
          </w:p>
        </w:tc>
        <w:tc>
          <w:tcPr>
            <w:tcW w:w="2916" w:type="dxa"/>
            <w:tcBorders>
              <w:top w:val="nil"/>
              <w:left w:val="single" w:sz="6" w:space="0" w:color="000000"/>
              <w:bottom w:val="nil"/>
              <w:right w:val="single" w:sz="6" w:space="0" w:color="000000"/>
            </w:tcBorders>
          </w:tcPr>
          <w:p>
            <w:pPr>
              <w:pStyle w:val="TableParagraph"/>
              <w:spacing w:before="8"/>
              <w:jc w:val="left"/>
              <w:rPr>
                <w:rFonts w:ascii="宋体"/>
                <w:b/>
                <w:sz w:val="17"/>
              </w:rPr>
            </w:pPr>
          </w:p>
          <w:p>
            <w:pPr>
              <w:pStyle w:val="TableParagraph"/>
              <w:spacing w:line="319" w:lineRule="auto" w:before="0"/>
              <w:ind w:left="88" w:right="54"/>
              <w:rPr>
                <w:rFonts w:ascii="宋体" w:eastAsia="宋体" w:hint="eastAsia"/>
                <w:sz w:val="21"/>
              </w:rPr>
            </w:pPr>
            <w:r>
              <w:rPr>
                <w:rFonts w:ascii="宋体" w:eastAsia="宋体" w:hint="eastAsia"/>
                <w:sz w:val="21"/>
              </w:rPr>
              <w:t>养殖废水及废气直接排放，污染周边环境；养殖粪便直接作为农用肥使用</w:t>
            </w:r>
          </w:p>
        </w:tc>
        <w:tc>
          <w:tcPr>
            <w:tcW w:w="5211" w:type="dxa"/>
            <w:tcBorders>
              <w:top w:val="nil"/>
              <w:left w:val="single" w:sz="6" w:space="0" w:color="000000"/>
              <w:bottom w:val="nil"/>
            </w:tcBorders>
          </w:tcPr>
          <w:p>
            <w:pPr>
              <w:pStyle w:val="TableParagraph"/>
              <w:spacing w:line="319" w:lineRule="auto" w:before="46"/>
              <w:ind w:left="116" w:right="70"/>
              <w:jc w:val="both"/>
              <w:rPr>
                <w:rFonts w:ascii="宋体" w:eastAsia="宋体" w:hint="eastAsia"/>
                <w:sz w:val="21"/>
              </w:rPr>
            </w:pPr>
            <w:r>
              <w:rPr>
                <w:rFonts w:ascii="宋体" w:eastAsia="宋体" w:hint="eastAsia"/>
                <w:spacing w:val="-8"/>
                <w:sz w:val="21"/>
              </w:rPr>
              <w:t>残渣、污泥、病死猪无害化处理产物等经猪粪发酵罐发</w:t>
            </w:r>
            <w:r>
              <w:rPr>
                <w:rFonts w:ascii="宋体" w:eastAsia="宋体" w:hint="eastAsia"/>
                <w:spacing w:val="-6"/>
                <w:sz w:val="21"/>
              </w:rPr>
              <w:t>酵后的产物</w:t>
            </w:r>
            <w:r>
              <w:rPr>
                <w:rFonts w:ascii="宋体" w:eastAsia="宋体" w:hint="eastAsia"/>
                <w:spacing w:val="-25"/>
                <w:sz w:val="21"/>
              </w:rPr>
              <w:t>）</w:t>
            </w:r>
            <w:r>
              <w:rPr>
                <w:rFonts w:ascii="宋体" w:eastAsia="宋体" w:hint="eastAsia"/>
                <w:spacing w:val="-5"/>
                <w:sz w:val="21"/>
              </w:rPr>
              <w:t>外运至第三方企业生产有机肥、一般废包</w:t>
            </w:r>
            <w:r>
              <w:rPr>
                <w:rFonts w:ascii="宋体" w:eastAsia="宋体" w:hint="eastAsia"/>
                <w:spacing w:val="-7"/>
                <w:sz w:val="21"/>
              </w:rPr>
              <w:t>装物外卖综合利用，废脱硫剂由供应商更换回收，危化</w:t>
            </w:r>
          </w:p>
          <w:p>
            <w:pPr>
              <w:pStyle w:val="TableParagraph"/>
              <w:spacing w:before="2"/>
              <w:ind w:left="116"/>
              <w:jc w:val="left"/>
              <w:rPr>
                <w:rFonts w:ascii="宋体" w:eastAsia="宋体" w:hint="eastAsia"/>
                <w:sz w:val="21"/>
              </w:rPr>
            </w:pPr>
            <w:r>
              <w:rPr>
                <w:rFonts w:ascii="宋体" w:eastAsia="宋体" w:hint="eastAsia"/>
                <w:spacing w:val="-8"/>
                <w:sz w:val="21"/>
              </w:rPr>
              <w:t>品废包装物、废矿物油、医疗废物委托有相应危废处理</w:t>
            </w:r>
          </w:p>
        </w:tc>
      </w:tr>
      <w:tr>
        <w:trPr>
          <w:trHeight w:val="358" w:hRule="atLeast"/>
        </w:trPr>
        <w:tc>
          <w:tcPr>
            <w:tcW w:w="1303" w:type="dxa"/>
            <w:tcBorders>
              <w:top w:val="nil"/>
              <w:bottom w:val="nil"/>
              <w:right w:val="single" w:sz="6" w:space="0" w:color="000000"/>
            </w:tcBorders>
          </w:tcPr>
          <w:p>
            <w:pPr>
              <w:pStyle w:val="TableParagraph"/>
              <w:spacing w:before="0"/>
              <w:jc w:val="left"/>
              <w:rPr>
                <w:sz w:val="22"/>
              </w:rPr>
            </w:pPr>
          </w:p>
        </w:tc>
        <w:tc>
          <w:tcPr>
            <w:tcW w:w="2916" w:type="dxa"/>
            <w:tcBorders>
              <w:top w:val="nil"/>
              <w:left w:val="single" w:sz="6" w:space="0" w:color="000000"/>
              <w:bottom w:val="nil"/>
              <w:right w:val="single" w:sz="6" w:space="0" w:color="000000"/>
            </w:tcBorders>
          </w:tcPr>
          <w:p>
            <w:pPr>
              <w:pStyle w:val="TableParagraph"/>
              <w:spacing w:before="0"/>
              <w:jc w:val="left"/>
              <w:rPr>
                <w:sz w:val="22"/>
              </w:rPr>
            </w:pPr>
          </w:p>
        </w:tc>
        <w:tc>
          <w:tcPr>
            <w:tcW w:w="5211" w:type="dxa"/>
            <w:tcBorders>
              <w:top w:val="nil"/>
              <w:left w:val="single" w:sz="6" w:space="0" w:color="000000"/>
              <w:bottom w:val="nil"/>
            </w:tcBorders>
          </w:tcPr>
          <w:p>
            <w:pPr>
              <w:pStyle w:val="TableParagraph"/>
              <w:spacing w:before="46"/>
              <w:ind w:left="98" w:right="10"/>
              <w:rPr>
                <w:rFonts w:ascii="宋体" w:eastAsia="宋体" w:hint="eastAsia"/>
                <w:sz w:val="21"/>
              </w:rPr>
            </w:pPr>
            <w:r>
              <w:rPr>
                <w:rFonts w:ascii="宋体" w:eastAsia="宋体" w:hint="eastAsia"/>
                <w:sz w:val="21"/>
              </w:rPr>
              <w:t>资质的单位安全处置。各项污染物均能做到妥善处理，</w:t>
            </w:r>
          </w:p>
        </w:tc>
      </w:tr>
      <w:tr>
        <w:trPr>
          <w:trHeight w:val="357" w:hRule="atLeast"/>
        </w:trPr>
        <w:tc>
          <w:tcPr>
            <w:tcW w:w="1303" w:type="dxa"/>
            <w:tcBorders>
              <w:top w:val="nil"/>
              <w:right w:val="single" w:sz="6" w:space="0" w:color="000000"/>
            </w:tcBorders>
          </w:tcPr>
          <w:p>
            <w:pPr>
              <w:pStyle w:val="TableParagraph"/>
              <w:spacing w:before="0"/>
              <w:jc w:val="left"/>
              <w:rPr>
                <w:sz w:val="22"/>
              </w:rPr>
            </w:pPr>
          </w:p>
        </w:tc>
        <w:tc>
          <w:tcPr>
            <w:tcW w:w="2916" w:type="dxa"/>
            <w:tcBorders>
              <w:top w:val="nil"/>
              <w:left w:val="single" w:sz="6" w:space="0" w:color="000000"/>
              <w:right w:val="single" w:sz="6" w:space="0" w:color="000000"/>
            </w:tcBorders>
          </w:tcPr>
          <w:p>
            <w:pPr>
              <w:pStyle w:val="TableParagraph"/>
              <w:spacing w:before="0"/>
              <w:jc w:val="left"/>
              <w:rPr>
                <w:sz w:val="22"/>
              </w:rPr>
            </w:pPr>
          </w:p>
        </w:tc>
        <w:tc>
          <w:tcPr>
            <w:tcW w:w="5211" w:type="dxa"/>
            <w:tcBorders>
              <w:top w:val="nil"/>
              <w:left w:val="single" w:sz="6" w:space="0" w:color="000000"/>
            </w:tcBorders>
          </w:tcPr>
          <w:p>
            <w:pPr>
              <w:pStyle w:val="TableParagraph"/>
              <w:spacing w:before="44"/>
              <w:ind w:left="48" w:right="10"/>
              <w:rPr>
                <w:rFonts w:ascii="宋体" w:eastAsia="宋体" w:hint="eastAsia"/>
                <w:sz w:val="21"/>
              </w:rPr>
            </w:pPr>
            <w:r>
              <w:rPr>
                <w:rFonts w:ascii="宋体" w:eastAsia="宋体" w:hint="eastAsia"/>
                <w:sz w:val="21"/>
              </w:rPr>
              <w:t>不会对周围环境产生较大影响</w:t>
            </w:r>
          </w:p>
        </w:tc>
      </w:tr>
    </w:tbl>
    <w:p>
      <w:pPr>
        <w:pStyle w:val="BodyText"/>
        <w:spacing w:line="364" w:lineRule="auto" w:before="105"/>
        <w:ind w:right="247" w:firstLine="480"/>
        <w:jc w:val="both"/>
      </w:pPr>
      <w:r>
        <w:rPr/>
        <w:t>通过对比，得到本项目养殖模式具有较好的清洁生产水平：具体为①通过添加益生菌既改善了猪肠道的微生态平衡、提高饲料利用率，又增强了猪的抗病力；②通过干清粪工艺的使用，减少猪舍冲洗用水量的同时减少污染物产生量；③项目实施后采用自动喂料系统，工艺设备技术较为先进；④项目废气经收集处理后达标排放，养殖废水经自建污水处理站处理达标后纳管排放，各类固体废物均能得到妥善处置，不会对周围环境产生较大影响。</w:t>
      </w:r>
    </w:p>
    <w:p>
      <w:pPr>
        <w:pStyle w:val="ListParagraph"/>
        <w:numPr>
          <w:ilvl w:val="0"/>
          <w:numId w:val="42"/>
        </w:numPr>
        <w:tabs>
          <w:tab w:pos="1319" w:val="left" w:leader="none"/>
        </w:tabs>
        <w:spacing w:line="240" w:lineRule="auto" w:before="4" w:after="0"/>
        <w:ind w:left="1318" w:right="0" w:hanging="602"/>
        <w:jc w:val="left"/>
        <w:rPr>
          <w:sz w:val="24"/>
        </w:rPr>
      </w:pPr>
      <w:r>
        <w:rPr>
          <w:sz w:val="24"/>
        </w:rPr>
        <w:t>装备</w:t>
      </w:r>
    </w:p>
    <w:p>
      <w:pPr>
        <w:pStyle w:val="BodyText"/>
        <w:spacing w:line="364" w:lineRule="auto" w:before="160"/>
        <w:ind w:right="146" w:firstLine="480"/>
      </w:pPr>
      <w:r>
        <w:rPr>
          <w:spacing w:val="-4"/>
        </w:rPr>
        <w:t>本项目设备选用低噪声低能耗设备，对照《产业结构调整指导目录</w:t>
      </w:r>
      <w:r>
        <w:rPr/>
        <w:t>（</w:t>
      </w:r>
      <w:r>
        <w:rPr>
          <w:rFonts w:ascii="Times New Roman" w:eastAsia="Times New Roman"/>
        </w:rPr>
        <w:t>2019 </w:t>
      </w:r>
      <w:r>
        <w:rPr/>
        <w:t>年本</w:t>
      </w:r>
      <w:r>
        <w:rPr>
          <w:spacing w:val="-17"/>
        </w:rPr>
        <w:t>）</w:t>
      </w:r>
      <w:r>
        <w:rPr>
          <w:spacing w:val="-25"/>
        </w:rPr>
        <w:t>》， </w:t>
      </w:r>
      <w:r>
        <w:rPr/>
        <w:t>本项目所使用的设备均不属于国家淘汰、落后设备。</w:t>
      </w:r>
    </w:p>
    <w:p>
      <w:pPr>
        <w:pStyle w:val="Heading3"/>
        <w:spacing w:before="1"/>
      </w:pPr>
      <w:r>
        <w:rPr>
          <w:rFonts w:ascii="Times New Roman" w:eastAsia="Times New Roman"/>
        </w:rPr>
        <w:t>3</w:t>
      </w:r>
      <w:r>
        <w:rPr/>
        <w:t>、资源能源循环利用</w:t>
      </w:r>
    </w:p>
    <w:p>
      <w:pPr>
        <w:pStyle w:val="BodyText"/>
        <w:spacing w:line="364" w:lineRule="auto" w:before="161"/>
        <w:ind w:right="248" w:firstLine="480"/>
        <w:jc w:val="both"/>
      </w:pPr>
      <w:r>
        <w:rPr/>
        <w:t>项目运行过程均采用电能，为清洁能源。项目产生的粪便、饲料残渣、污泥、病死猪无害化处理产物等经发酵处理后外运生产有机肥，不会对周围环境产生较大影响，既能使资源得到合理利用又可解决环境污染问题。</w:t>
      </w:r>
    </w:p>
    <w:p>
      <w:pPr>
        <w:pStyle w:val="Heading3"/>
        <w:spacing w:before="2"/>
      </w:pPr>
      <w:r>
        <w:rPr>
          <w:rFonts w:ascii="Times New Roman" w:eastAsia="Times New Roman"/>
        </w:rPr>
        <w:t>4</w:t>
      </w:r>
      <w:r>
        <w:rPr/>
        <w:t>、污染物产生指标</w:t>
      </w:r>
    </w:p>
    <w:p>
      <w:pPr>
        <w:pStyle w:val="ListParagraph"/>
        <w:numPr>
          <w:ilvl w:val="0"/>
          <w:numId w:val="43"/>
        </w:numPr>
        <w:tabs>
          <w:tab w:pos="1319" w:val="left" w:leader="none"/>
        </w:tabs>
        <w:spacing w:line="240" w:lineRule="auto" w:before="161" w:after="0"/>
        <w:ind w:left="1318" w:right="0" w:hanging="602"/>
        <w:jc w:val="left"/>
        <w:rPr>
          <w:sz w:val="24"/>
        </w:rPr>
      </w:pPr>
      <w:r>
        <w:rPr>
          <w:sz w:val="24"/>
        </w:rPr>
        <w:t>水污染物分析</w:t>
      </w:r>
    </w:p>
    <w:p>
      <w:pPr>
        <w:pStyle w:val="BodyText"/>
        <w:spacing w:line="364" w:lineRule="auto" w:before="160"/>
        <w:ind w:right="249" w:firstLine="480"/>
        <w:jc w:val="both"/>
      </w:pPr>
      <w:r>
        <w:rPr/>
        <w:t>项目采用干清粪工艺，做到日常免冲洗，仅定期冲洗即可。干清粪即粪便经自动刮粪机进行收集，尿及污水从下水道流出，平时不冲洗猪圈，节约用水的同时也减少了养殖废水的产生，充分体现了清洁生产的原则。</w:t>
      </w:r>
    </w:p>
    <w:p>
      <w:pPr>
        <w:spacing w:after="0" w:line="364" w:lineRule="auto"/>
        <w:jc w:val="both"/>
        <w:sectPr>
          <w:pgSz w:w="11910" w:h="16840"/>
          <w:pgMar w:header="874" w:footer="1004" w:top="1400" w:bottom="1200" w:left="1040" w:right="1160"/>
        </w:sectPr>
      </w:pPr>
    </w:p>
    <w:p>
      <w:pPr>
        <w:pStyle w:val="BodyText"/>
        <w:spacing w:line="364" w:lineRule="auto" w:before="105"/>
        <w:ind w:right="249" w:firstLine="480"/>
        <w:jc w:val="both"/>
      </w:pPr>
      <w:r>
        <w:rPr/>
        <w:t>根据工程分析，本项目养殖废水日最大废水量为夏季 </w:t>
      </w:r>
      <w:r>
        <w:rPr>
          <w:rFonts w:ascii="Times New Roman" w:hAnsi="Times New Roman" w:eastAsia="Times New Roman"/>
        </w:rPr>
        <w:t>0.87m</w:t>
      </w:r>
      <w:r>
        <w:rPr>
          <w:rFonts w:ascii="Times New Roman" w:hAnsi="Times New Roman" w:eastAsia="Times New Roman"/>
          <w:position w:val="9"/>
          <w:sz w:val="16"/>
        </w:rPr>
        <w:t>3</w:t>
      </w:r>
      <w:r>
        <w:rPr>
          <w:rFonts w:ascii="Times New Roman" w:hAnsi="Times New Roman" w:eastAsia="Times New Roman"/>
        </w:rPr>
        <w:t>/</w:t>
      </w:r>
      <w:r>
        <w:rPr/>
        <w:t>百头</w:t>
      </w:r>
      <w:r>
        <w:rPr>
          <w:rFonts w:ascii="Times New Roman" w:hAnsi="Times New Roman" w:eastAsia="Times New Roman"/>
        </w:rPr>
        <w:t>·d</w:t>
      </w:r>
      <w:r>
        <w:rPr/>
        <w:t>、冬季 </w:t>
      </w:r>
      <w:r>
        <w:rPr>
          <w:rFonts w:ascii="Times New Roman" w:hAnsi="Times New Roman" w:eastAsia="Times New Roman"/>
        </w:rPr>
        <w:t>0.73m</w:t>
      </w:r>
      <w:r>
        <w:rPr>
          <w:rFonts w:ascii="Times New Roman" w:hAnsi="Times New Roman" w:eastAsia="Times New Roman"/>
          <w:position w:val="9"/>
          <w:sz w:val="16"/>
        </w:rPr>
        <w:t>3</w:t>
      </w:r>
      <w:r>
        <w:rPr>
          <w:rFonts w:ascii="Times New Roman" w:hAnsi="Times New Roman" w:eastAsia="Times New Roman"/>
        </w:rPr>
        <w:t>/ </w:t>
      </w:r>
      <w:r>
        <w:rPr/>
        <w:t>百头</w:t>
      </w:r>
      <w:r>
        <w:rPr>
          <w:rFonts w:ascii="Times New Roman" w:hAnsi="Times New Roman" w:eastAsia="Times New Roman"/>
        </w:rPr>
        <w:t>·d</w:t>
      </w:r>
      <w:r>
        <w:rPr/>
        <w:t>，能够满足《生猪养殖业环境准入指导意见（修订）》中废水产生量限制规定</w:t>
      </w:r>
      <w:r>
        <w:rPr>
          <w:rFonts w:ascii="Times New Roman" w:hAnsi="Times New Roman" w:eastAsia="Times New Roman"/>
        </w:rPr>
        <w:t>“</w:t>
      </w:r>
      <w:r>
        <w:rPr/>
        <w:t>夏季</w:t>
      </w:r>
      <w:r>
        <w:rPr>
          <w:rFonts w:ascii="Times New Roman" w:hAnsi="Times New Roman" w:eastAsia="Times New Roman"/>
        </w:rPr>
        <w:t>≤1.0m</w:t>
      </w:r>
      <w:r>
        <w:rPr>
          <w:rFonts w:ascii="Times New Roman" w:hAnsi="Times New Roman" w:eastAsia="Times New Roman"/>
          <w:position w:val="9"/>
          <w:sz w:val="16"/>
        </w:rPr>
        <w:t>3</w:t>
      </w:r>
      <w:r>
        <w:rPr>
          <w:rFonts w:ascii="Times New Roman" w:hAnsi="Times New Roman" w:eastAsia="Times New Roman"/>
        </w:rPr>
        <w:t>/</w:t>
      </w:r>
      <w:r>
        <w:rPr/>
        <w:t>百头</w:t>
      </w:r>
      <w:r>
        <w:rPr>
          <w:rFonts w:ascii="Times New Roman" w:hAnsi="Times New Roman" w:eastAsia="Times New Roman"/>
        </w:rPr>
        <w:t>·d</w:t>
      </w:r>
      <w:r>
        <w:rPr/>
        <w:t>、冬季</w:t>
      </w:r>
      <w:r>
        <w:rPr>
          <w:rFonts w:ascii="Times New Roman" w:hAnsi="Times New Roman" w:eastAsia="Times New Roman"/>
        </w:rPr>
        <w:t>≤0.8m</w:t>
      </w:r>
      <w:r>
        <w:rPr>
          <w:rFonts w:ascii="Times New Roman" w:hAnsi="Times New Roman" w:eastAsia="Times New Roman"/>
          <w:position w:val="9"/>
          <w:sz w:val="16"/>
        </w:rPr>
        <w:t>3</w:t>
      </w:r>
      <w:r>
        <w:rPr>
          <w:rFonts w:ascii="Times New Roman" w:hAnsi="Times New Roman" w:eastAsia="Times New Roman"/>
        </w:rPr>
        <w:t>/</w:t>
      </w:r>
      <w:r>
        <w:rPr/>
        <w:t>百头</w:t>
      </w:r>
      <w:r>
        <w:rPr>
          <w:rFonts w:ascii="Times New Roman" w:hAnsi="Times New Roman" w:eastAsia="Times New Roman"/>
        </w:rPr>
        <w:t>·d”</w:t>
      </w:r>
      <w:r>
        <w:rPr/>
        <w:t>。</w:t>
      </w:r>
    </w:p>
    <w:p>
      <w:pPr>
        <w:pStyle w:val="ListParagraph"/>
        <w:numPr>
          <w:ilvl w:val="0"/>
          <w:numId w:val="43"/>
        </w:numPr>
        <w:tabs>
          <w:tab w:pos="1319" w:val="left" w:leader="none"/>
        </w:tabs>
        <w:spacing w:line="240" w:lineRule="auto" w:before="2" w:after="0"/>
        <w:ind w:left="1318" w:right="0" w:hanging="602"/>
        <w:jc w:val="left"/>
        <w:rPr>
          <w:sz w:val="24"/>
        </w:rPr>
      </w:pPr>
      <w:r>
        <w:rPr>
          <w:sz w:val="24"/>
        </w:rPr>
        <w:t>废气污染物分析</w:t>
      </w:r>
    </w:p>
    <w:p>
      <w:pPr>
        <w:pStyle w:val="BodyText"/>
        <w:spacing w:line="364" w:lineRule="auto" w:before="160"/>
        <w:ind w:right="133" w:firstLine="480"/>
      </w:pPr>
      <w:r>
        <w:rPr/>
        <w:t>养殖场恶臭通过智能环控系统进行自动控制，粪污处理区恶臭经收集处理后排放， </w:t>
      </w:r>
      <w:r>
        <w:rPr>
          <w:spacing w:val="-3"/>
        </w:rPr>
        <w:t>食堂油烟经油烟净化器处理后引至屋顶排放，各项污染物的排放均能符合有关排放标准。</w:t>
      </w:r>
    </w:p>
    <w:p>
      <w:pPr>
        <w:pStyle w:val="ListParagraph"/>
        <w:numPr>
          <w:ilvl w:val="0"/>
          <w:numId w:val="43"/>
        </w:numPr>
        <w:tabs>
          <w:tab w:pos="1319" w:val="left" w:leader="none"/>
        </w:tabs>
        <w:spacing w:line="240" w:lineRule="auto" w:before="2" w:after="0"/>
        <w:ind w:left="1318" w:right="0" w:hanging="602"/>
        <w:jc w:val="left"/>
        <w:rPr>
          <w:sz w:val="24"/>
        </w:rPr>
      </w:pPr>
      <w:r>
        <w:rPr>
          <w:sz w:val="24"/>
        </w:rPr>
        <w:t>噪声</w:t>
      </w:r>
    </w:p>
    <w:p>
      <w:pPr>
        <w:pStyle w:val="BodyText"/>
        <w:spacing w:before="160"/>
        <w:ind w:left="717"/>
      </w:pPr>
      <w:r>
        <w:rPr/>
        <w:t>项目使用的各类设备等均为低噪声设备，可有效减轻噪声影响。</w:t>
      </w:r>
    </w:p>
    <w:p>
      <w:pPr>
        <w:pStyle w:val="ListParagraph"/>
        <w:numPr>
          <w:ilvl w:val="0"/>
          <w:numId w:val="43"/>
        </w:numPr>
        <w:tabs>
          <w:tab w:pos="1319" w:val="left" w:leader="none"/>
        </w:tabs>
        <w:spacing w:line="240" w:lineRule="auto" w:before="161" w:after="0"/>
        <w:ind w:left="1318" w:right="0" w:hanging="602"/>
        <w:jc w:val="left"/>
        <w:rPr>
          <w:sz w:val="24"/>
        </w:rPr>
      </w:pPr>
      <w:r>
        <w:rPr>
          <w:sz w:val="24"/>
        </w:rPr>
        <w:t>固废</w:t>
      </w:r>
    </w:p>
    <w:p>
      <w:pPr>
        <w:pStyle w:val="BodyText"/>
        <w:spacing w:line="364" w:lineRule="auto" w:before="161"/>
        <w:ind w:right="252" w:firstLine="480"/>
        <w:jc w:val="both"/>
      </w:pPr>
      <w:r>
        <w:rPr/>
        <w:t>项目发酵产物外运至第三方企业生产有机肥、一般废包装物外卖综合利用，废脱硫剂由供应商更换回收，危化品废包装物、废矿物油、医疗废物委托有相应危废处理资质的单位安全处置。项目运行过程可实现废弃物的无害化、资源化，符合清洁生产要求。</w:t>
      </w:r>
    </w:p>
    <w:p>
      <w:pPr>
        <w:pStyle w:val="BodyText"/>
        <w:spacing w:before="2"/>
        <w:ind w:left="717"/>
      </w:pPr>
      <w:r>
        <w:rPr/>
        <w:t>综上，污染物产生指标方面处于行业领先水平。</w:t>
      </w:r>
    </w:p>
    <w:p>
      <w:pPr>
        <w:pStyle w:val="Heading3"/>
        <w:spacing w:before="160"/>
      </w:pPr>
      <w:r>
        <w:rPr>
          <w:rFonts w:ascii="Times New Roman" w:eastAsia="Times New Roman"/>
        </w:rPr>
        <w:t>5</w:t>
      </w:r>
      <w:r>
        <w:rPr/>
        <w:t>、废物回收利用要求</w:t>
      </w:r>
    </w:p>
    <w:p>
      <w:pPr>
        <w:pStyle w:val="BodyText"/>
        <w:spacing w:line="364" w:lineRule="auto" w:before="161"/>
        <w:ind w:right="252" w:firstLine="480"/>
      </w:pPr>
      <w:r>
        <w:rPr/>
        <w:t>项目发酵产物外运至第三方企业生产有机肥、一般废包装物外卖综合利用，废脱硫剂由供应商更换回收，危险废物委托有相应危废处理资质的单位安全处置。</w:t>
      </w:r>
    </w:p>
    <w:p>
      <w:pPr>
        <w:pStyle w:val="Heading3"/>
        <w:spacing w:before="1"/>
      </w:pPr>
      <w:r>
        <w:rPr>
          <w:rFonts w:ascii="Times New Roman" w:eastAsia="Times New Roman"/>
        </w:rPr>
        <w:t>6</w:t>
      </w:r>
      <w:r>
        <w:rPr/>
        <w:t>、环境管理要求</w:t>
      </w:r>
    </w:p>
    <w:p>
      <w:pPr>
        <w:pStyle w:val="BodyText"/>
        <w:spacing w:line="364" w:lineRule="auto" w:before="161"/>
        <w:ind w:right="254" w:firstLine="480"/>
      </w:pPr>
      <w:r>
        <w:rPr/>
        <w:t>本项目指定专人主管环境保护工作，积极配合当地环境监督管理部门的工作，抓好厂区的环境保护工作。</w:t>
      </w:r>
    </w:p>
    <w:p>
      <w:pPr>
        <w:pStyle w:val="BodyText"/>
        <w:spacing w:line="364" w:lineRule="auto" w:before="1"/>
        <w:ind w:right="254" w:firstLine="480"/>
      </w:pPr>
      <w:r>
        <w:rPr/>
        <w:t>环境管理是实现清洁生产的最重要的组成部分。为本项目更好的实现清洁生产的要求，本环评要求企业维护好各种环保设施，确保正常可靠运行。</w:t>
      </w:r>
    </w:p>
    <w:p>
      <w:pPr>
        <w:pStyle w:val="Heading3"/>
        <w:spacing w:before="1"/>
      </w:pPr>
      <w:r>
        <w:rPr>
          <w:rFonts w:ascii="Times New Roman" w:eastAsia="Times New Roman"/>
        </w:rPr>
        <w:t>7</w:t>
      </w:r>
      <w:r>
        <w:rPr/>
        <w:t>、清洁生产分析结论</w:t>
      </w:r>
    </w:p>
    <w:p>
      <w:pPr>
        <w:pStyle w:val="BodyText"/>
        <w:spacing w:before="161"/>
        <w:ind w:left="717"/>
      </w:pPr>
      <w:r>
        <w:rPr/>
        <w:t>通过以上六个指标分析，项目具有较好的清洁生产水平，符合清洁生产要求。</w:t>
      </w:r>
    </w:p>
    <w:p>
      <w:pPr>
        <w:pStyle w:val="Heading3"/>
        <w:numPr>
          <w:ilvl w:val="2"/>
          <w:numId w:val="33"/>
        </w:numPr>
        <w:tabs>
          <w:tab w:pos="838" w:val="left" w:leader="none"/>
        </w:tabs>
        <w:spacing w:line="240" w:lineRule="auto" w:before="161" w:after="0"/>
        <w:ind w:left="837" w:right="0" w:hanging="601"/>
        <w:jc w:val="left"/>
      </w:pPr>
      <w:bookmarkStart w:name="_bookmark51" w:id="99"/>
      <w:bookmarkEnd w:id="99"/>
      <w:r>
        <w:rPr>
          <w:b w:val="0"/>
        </w:rPr>
      </w:r>
      <w:bookmarkStart w:name="_bookmark51" w:id="100"/>
      <w:bookmarkEnd w:id="100"/>
      <w:r>
        <w:rPr/>
        <w:t>施工期影响因素分析</w:t>
      </w:r>
    </w:p>
    <w:p>
      <w:pPr>
        <w:pStyle w:val="BodyText"/>
        <w:spacing w:line="364" w:lineRule="auto" w:before="160"/>
        <w:ind w:right="135" w:firstLine="480"/>
      </w:pPr>
      <w:r>
        <w:rPr/>
        <w:t>本项目在建设阶段由于建设施工和装修，不可避免地将对周围环境产生一定不利影</w:t>
      </w:r>
      <w:r>
        <w:rPr>
          <w:spacing w:val="-11"/>
        </w:rPr>
        <w:t>响。根据分析，施工期主要污染因子为废水</w:t>
      </w:r>
      <w:r>
        <w:rPr/>
        <w:t>（</w:t>
      </w:r>
      <w:r>
        <w:rPr>
          <w:spacing w:val="-6"/>
        </w:rPr>
        <w:t>生活污水、施工废水</w:t>
      </w:r>
      <w:r>
        <w:rPr>
          <w:spacing w:val="-34"/>
        </w:rPr>
        <w:t>）</w:t>
      </w:r>
      <w:r>
        <w:rPr>
          <w:spacing w:val="-23"/>
        </w:rPr>
        <w:t>、废气</w:t>
      </w:r>
      <w:r>
        <w:rPr/>
        <w:t>（施工扬尘</w:t>
      </w:r>
      <w:r>
        <w:rPr>
          <w:spacing w:val="-34"/>
        </w:rPr>
        <w:t>）</w:t>
      </w:r>
      <w:r>
        <w:rPr>
          <w:spacing w:val="-14"/>
        </w:rPr>
        <w:t>、</w:t>
      </w:r>
      <w:r>
        <w:rPr/>
        <w:t>噪声（机械噪声）、固废（生活垃圾、建筑垃圾）等。</w:t>
      </w:r>
    </w:p>
    <w:p>
      <w:pPr>
        <w:pStyle w:val="Heading3"/>
        <w:spacing w:before="2"/>
      </w:pPr>
      <w:r>
        <w:rPr>
          <w:rFonts w:ascii="Times New Roman" w:eastAsia="Times New Roman"/>
        </w:rPr>
        <w:t>1</w:t>
      </w:r>
      <w:r>
        <w:rPr/>
        <w:t>、废水</w:t>
      </w:r>
    </w:p>
    <w:p>
      <w:pPr>
        <w:pStyle w:val="BodyText"/>
        <w:spacing w:before="160"/>
        <w:ind w:left="717"/>
      </w:pPr>
      <w:r>
        <w:rPr/>
        <w:t>施工期的废水排放主要来自建筑施工人员的生活污水和施工废水。</w:t>
      </w:r>
    </w:p>
    <w:p>
      <w:pPr>
        <w:spacing w:after="0"/>
        <w:sectPr>
          <w:pgSz w:w="11910" w:h="16840"/>
          <w:pgMar w:header="874" w:footer="1004" w:top="1400" w:bottom="1200" w:left="1040" w:right="1160"/>
        </w:sectPr>
      </w:pPr>
    </w:p>
    <w:p>
      <w:pPr>
        <w:pStyle w:val="BodyText"/>
        <w:spacing w:line="364" w:lineRule="auto" w:before="105"/>
        <w:ind w:right="129" w:firstLine="480"/>
      </w:pPr>
      <w:r>
        <w:rPr>
          <w:spacing w:val="-3"/>
        </w:rPr>
        <w:t>生活污水施工期间按日均施工人员 </w:t>
      </w:r>
      <w:r>
        <w:rPr>
          <w:rFonts w:ascii="Times New Roman" w:hAnsi="Times New Roman" w:eastAsia="Times New Roman"/>
        </w:rPr>
        <w:t>30 </w:t>
      </w:r>
      <w:r>
        <w:rPr>
          <w:spacing w:val="-5"/>
        </w:rPr>
        <w:t>人计，生活用水量按 </w:t>
      </w:r>
      <w:r>
        <w:rPr>
          <w:rFonts w:ascii="Times New Roman" w:hAnsi="Times New Roman" w:eastAsia="Times New Roman"/>
        </w:rPr>
        <w:t>120 </w:t>
      </w:r>
      <w:r>
        <w:rPr/>
        <w:t>升</w:t>
      </w:r>
      <w:r>
        <w:rPr>
          <w:rFonts w:ascii="Times New Roman" w:hAnsi="Times New Roman" w:eastAsia="Times New Roman"/>
        </w:rPr>
        <w:t>/</w:t>
      </w:r>
      <w:r>
        <w:rPr/>
        <w:t>人</w:t>
      </w:r>
      <w:r>
        <w:rPr>
          <w:rFonts w:ascii="Times New Roman" w:hAnsi="Times New Roman" w:eastAsia="Times New Roman"/>
        </w:rPr>
        <w:t>·</w:t>
      </w:r>
      <w:r>
        <w:rPr/>
        <w:t>日计，则日生</w:t>
      </w:r>
      <w:r>
        <w:rPr>
          <w:spacing w:val="-11"/>
        </w:rPr>
        <w:t>活用水量约 </w:t>
      </w:r>
      <w:r>
        <w:rPr>
          <w:rFonts w:ascii="Times New Roman" w:hAnsi="Times New Roman" w:eastAsia="Times New Roman"/>
          <w:spacing w:val="-5"/>
        </w:rPr>
        <w:t>3.60t/d</w:t>
      </w:r>
      <w:r>
        <w:rPr>
          <w:spacing w:val="-7"/>
        </w:rPr>
        <w:t>，生活污水排放量按用水量的 </w:t>
      </w:r>
      <w:r>
        <w:rPr>
          <w:rFonts w:ascii="Times New Roman" w:hAnsi="Times New Roman" w:eastAsia="Times New Roman"/>
        </w:rPr>
        <w:t>90%</w:t>
      </w:r>
      <w:r>
        <w:rPr>
          <w:spacing w:val="-11"/>
        </w:rPr>
        <w:t>计，则生活污水日排放量约 </w:t>
      </w:r>
      <w:r>
        <w:rPr>
          <w:rFonts w:ascii="Times New Roman" w:hAnsi="Times New Roman" w:eastAsia="Times New Roman"/>
        </w:rPr>
        <w:t>3.24t/d</w:t>
      </w:r>
      <w:r>
        <w:rPr/>
        <w:t>， </w:t>
      </w:r>
      <w:r>
        <w:rPr>
          <w:spacing w:val="-8"/>
          <w:position w:val="2"/>
        </w:rPr>
        <w:t>主要污染因子为 </w:t>
      </w:r>
      <w:r>
        <w:rPr>
          <w:rFonts w:ascii="Times New Roman" w:hAnsi="Times New Roman" w:eastAsia="Times New Roman"/>
          <w:position w:val="2"/>
        </w:rPr>
        <w:t>COD</w:t>
      </w:r>
      <w:r>
        <w:rPr>
          <w:rFonts w:ascii="Times New Roman" w:hAnsi="Times New Roman" w:eastAsia="Times New Roman"/>
          <w:sz w:val="16"/>
        </w:rPr>
        <w:t>Cr</w:t>
      </w:r>
      <w:r>
        <w:rPr>
          <w:position w:val="2"/>
        </w:rPr>
        <w:t>、氨氮等。生活污水经移动式化粪池预处理后由环卫部门清运。</w:t>
      </w:r>
    </w:p>
    <w:p>
      <w:pPr>
        <w:pStyle w:val="BodyText"/>
        <w:spacing w:line="364" w:lineRule="auto" w:before="2"/>
        <w:ind w:right="254" w:firstLine="480"/>
      </w:pPr>
      <w:r>
        <w:rPr/>
        <w:t>施工废水主要为设备清洗含油废水，及开挖土方的地层水和浇水泥工序污水，其水量与地层水位和天气状况有极大关系，主要污染因子为 </w:t>
      </w:r>
      <w:r>
        <w:rPr>
          <w:rFonts w:ascii="Times New Roman" w:eastAsia="Times New Roman"/>
        </w:rPr>
        <w:t>SS</w:t>
      </w:r>
      <w:r>
        <w:rPr/>
        <w:t>。经沉淀后回用或绿化。</w:t>
      </w:r>
    </w:p>
    <w:p>
      <w:pPr>
        <w:pStyle w:val="Heading3"/>
        <w:spacing w:before="1"/>
      </w:pPr>
      <w:r>
        <w:rPr>
          <w:rFonts w:ascii="Times New Roman" w:eastAsia="Times New Roman"/>
        </w:rPr>
        <w:t>2</w:t>
      </w:r>
      <w:r>
        <w:rPr/>
        <w:t>、扬尘</w:t>
      </w:r>
    </w:p>
    <w:p>
      <w:pPr>
        <w:pStyle w:val="BodyText"/>
        <w:spacing w:line="364" w:lineRule="auto" w:before="161"/>
        <w:ind w:right="254" w:firstLine="480"/>
      </w:pPr>
      <w:r>
        <w:rPr/>
        <w:t>扬尘是施工阶段大气污染物的主要来源，它包括露天堆场和裸露场地的风力扬尘、土石方和建筑材料运输所产生的动力道路扬尘。</w:t>
      </w:r>
    </w:p>
    <w:p>
      <w:pPr>
        <w:pStyle w:val="BodyText"/>
        <w:spacing w:line="364" w:lineRule="auto" w:before="1"/>
        <w:ind w:right="133" w:firstLine="480"/>
      </w:pPr>
      <w:r>
        <w:rPr/>
        <w:t>对整个施工期而言，施工产生的扬尘主要集中在土建施工阶段，按起尘的原因可分</w:t>
      </w:r>
      <w:r>
        <w:rPr>
          <w:spacing w:val="-4"/>
        </w:rPr>
        <w:t>为风力起尘和动力起尘。露天堆放的建材及裸露的施工区表层浮尘由于天气干燥及大风， </w:t>
      </w:r>
      <w:r>
        <w:rPr/>
        <w:t>产生风力扬尘；而动力起尘，主要是在建材的装卸、搅拌的过程中，由于外力而产生的尘粒再悬浮而造成，其中施工及装卸车辆造成的扬尘最为严重。</w:t>
      </w:r>
    </w:p>
    <w:p>
      <w:pPr>
        <w:pStyle w:val="ListParagraph"/>
        <w:numPr>
          <w:ilvl w:val="0"/>
          <w:numId w:val="44"/>
        </w:numPr>
        <w:tabs>
          <w:tab w:pos="1319" w:val="left" w:leader="none"/>
        </w:tabs>
        <w:spacing w:line="240" w:lineRule="auto" w:before="3" w:after="0"/>
        <w:ind w:left="1318" w:right="0" w:hanging="602"/>
        <w:jc w:val="left"/>
        <w:rPr>
          <w:sz w:val="24"/>
        </w:rPr>
      </w:pPr>
      <w:r>
        <w:rPr>
          <w:sz w:val="24"/>
        </w:rPr>
        <w:t>露天堆场和裸露场地的风力扬尘</w:t>
      </w:r>
    </w:p>
    <w:p>
      <w:pPr>
        <w:pStyle w:val="BodyText"/>
        <w:spacing w:line="364" w:lineRule="auto" w:before="160"/>
        <w:ind w:right="133" w:firstLine="480"/>
      </w:pPr>
      <w:r>
        <w:rPr/>
        <w:t>由于施工的需要，一些建材需露天堆放，一些施工点表层土壤需人工开挖、堆放， </w:t>
      </w:r>
      <w:r>
        <w:rPr>
          <w:spacing w:val="-4"/>
        </w:rPr>
        <w:t>在气候干燥又有风的情况下，会产生扬尘，其扬尘量可按堆放场地起尘的经验公式计算：</w:t>
      </w:r>
    </w:p>
    <w:p>
      <w:pPr>
        <w:spacing w:before="0"/>
        <w:ind w:left="221" w:right="236" w:firstLine="0"/>
        <w:jc w:val="center"/>
        <w:rPr>
          <w:rFonts w:ascii="Times New Roman"/>
          <w:i/>
          <w:sz w:val="16"/>
        </w:rPr>
      </w:pPr>
      <w:r>
        <w:rPr>
          <w:rFonts w:ascii="Times New Roman"/>
          <w:i/>
          <w:sz w:val="24"/>
        </w:rPr>
        <w:t>Q</w:t>
      </w:r>
      <w:r>
        <w:rPr>
          <w:rFonts w:ascii="Times New Roman"/>
          <w:sz w:val="24"/>
        </w:rPr>
        <w:t>=2.1(</w:t>
      </w:r>
      <w:r>
        <w:rPr>
          <w:rFonts w:ascii="Times New Roman"/>
          <w:i/>
          <w:sz w:val="24"/>
        </w:rPr>
        <w:t>V</w:t>
      </w:r>
      <w:r>
        <w:rPr>
          <w:rFonts w:ascii="Times New Roman"/>
          <w:i/>
          <w:position w:val="-1"/>
          <w:sz w:val="16"/>
        </w:rPr>
        <w:t>50</w:t>
      </w:r>
      <w:r>
        <w:rPr>
          <w:rFonts w:ascii="Times New Roman"/>
          <w:sz w:val="24"/>
        </w:rPr>
        <w:t>-</w:t>
      </w:r>
      <w:r>
        <w:rPr>
          <w:rFonts w:ascii="Times New Roman"/>
          <w:i/>
          <w:sz w:val="24"/>
        </w:rPr>
        <w:t>V</w:t>
      </w:r>
      <w:r>
        <w:rPr>
          <w:rFonts w:ascii="Times New Roman"/>
          <w:i/>
          <w:position w:val="-1"/>
          <w:sz w:val="16"/>
        </w:rPr>
        <w:t>0</w:t>
      </w:r>
      <w:r>
        <w:rPr>
          <w:rFonts w:ascii="Times New Roman"/>
          <w:sz w:val="24"/>
        </w:rPr>
        <w:t>)</w:t>
      </w:r>
      <w:r>
        <w:rPr>
          <w:rFonts w:ascii="Times New Roman"/>
          <w:position w:val="9"/>
          <w:sz w:val="16"/>
        </w:rPr>
        <w:t>3</w:t>
      </w:r>
      <w:r>
        <w:rPr>
          <w:rFonts w:ascii="Times New Roman"/>
          <w:i/>
          <w:sz w:val="24"/>
        </w:rPr>
        <w:t>e</w:t>
      </w:r>
      <w:r>
        <w:rPr>
          <w:rFonts w:ascii="Times New Roman"/>
          <w:position w:val="9"/>
          <w:sz w:val="16"/>
        </w:rPr>
        <w:t>-1.023</w:t>
      </w:r>
      <w:r>
        <w:rPr>
          <w:rFonts w:ascii="Times New Roman"/>
          <w:i/>
          <w:position w:val="9"/>
          <w:sz w:val="16"/>
        </w:rPr>
        <w:t>w</w:t>
      </w:r>
    </w:p>
    <w:p>
      <w:pPr>
        <w:pStyle w:val="BodyText"/>
        <w:spacing w:line="364" w:lineRule="auto" w:before="176"/>
        <w:ind w:left="1437" w:right="4731" w:hanging="720"/>
      </w:pPr>
      <w:r>
        <w:rPr/>
        <w:t>其中：</w:t>
      </w:r>
      <w:r>
        <w:rPr>
          <w:rFonts w:ascii="Times New Roman" w:hAnsi="Times New Roman" w:eastAsia="Times New Roman"/>
          <w:i/>
          <w:position w:val="1"/>
        </w:rPr>
        <w:t>Q</w:t>
      </w:r>
      <w:r>
        <w:rPr>
          <w:rFonts w:ascii="Times New Roman" w:hAnsi="Times New Roman" w:eastAsia="Times New Roman"/>
          <w:position w:val="1"/>
        </w:rPr>
        <w:t>——</w:t>
      </w:r>
      <w:r>
        <w:rPr/>
        <w:t>起尘量，</w:t>
      </w:r>
      <w:r>
        <w:rPr>
          <w:rFonts w:ascii="Times New Roman" w:hAnsi="Times New Roman" w:eastAsia="Times New Roman"/>
          <w:position w:val="1"/>
        </w:rPr>
        <w:t>kg/</w:t>
      </w:r>
      <w:r>
        <w:rPr>
          <w:spacing w:val="4"/>
        </w:rPr>
        <w:t>吨</w:t>
      </w:r>
      <w:r>
        <w:rPr>
          <w:rFonts w:ascii="Times New Roman" w:hAnsi="Times New Roman" w:eastAsia="Times New Roman"/>
          <w:spacing w:val="-6"/>
          <w:position w:val="1"/>
        </w:rPr>
        <w:t>·</w:t>
      </w:r>
      <w:r>
        <w:rPr/>
        <w:t>年； </w:t>
      </w:r>
      <w:r>
        <w:rPr>
          <w:rFonts w:ascii="Times New Roman" w:hAnsi="Times New Roman" w:eastAsia="Times New Roman"/>
          <w:i/>
          <w:position w:val="2"/>
        </w:rPr>
        <w:t>V</w:t>
      </w:r>
      <w:r>
        <w:rPr>
          <w:rFonts w:ascii="Times New Roman" w:hAnsi="Times New Roman" w:eastAsia="Times New Roman"/>
          <w:i/>
          <w:sz w:val="16"/>
        </w:rPr>
        <w:t>50</w:t>
      </w:r>
      <w:r>
        <w:rPr>
          <w:rFonts w:ascii="Times New Roman" w:hAnsi="Times New Roman" w:eastAsia="Times New Roman"/>
          <w:position w:val="2"/>
        </w:rPr>
        <w:t>——</w:t>
      </w:r>
      <w:r>
        <w:rPr>
          <w:position w:val="2"/>
        </w:rPr>
        <w:t>距地面</w:t>
      </w:r>
      <w:r>
        <w:rPr>
          <w:rFonts w:ascii="Times New Roman" w:hAnsi="Times New Roman" w:eastAsia="Times New Roman"/>
          <w:position w:val="2"/>
        </w:rPr>
        <w:t>50</w:t>
      </w:r>
      <w:r>
        <w:rPr>
          <w:spacing w:val="-3"/>
          <w:position w:val="2"/>
        </w:rPr>
        <w:t>米处风速，</w:t>
      </w:r>
      <w:r>
        <w:rPr>
          <w:rFonts w:ascii="Times New Roman" w:hAnsi="Times New Roman" w:eastAsia="Times New Roman"/>
          <w:spacing w:val="-3"/>
          <w:position w:val="2"/>
        </w:rPr>
        <w:t>m/s</w:t>
      </w:r>
      <w:r>
        <w:rPr>
          <w:spacing w:val="-3"/>
          <w:position w:val="2"/>
        </w:rPr>
        <w:t>； </w:t>
      </w:r>
      <w:r>
        <w:rPr>
          <w:rFonts w:ascii="Times New Roman" w:hAnsi="Times New Roman" w:eastAsia="Times New Roman"/>
          <w:i/>
          <w:position w:val="2"/>
        </w:rPr>
        <w:t>V</w:t>
      </w:r>
      <w:r>
        <w:rPr>
          <w:rFonts w:ascii="Times New Roman" w:hAnsi="Times New Roman" w:eastAsia="Times New Roman"/>
          <w:i/>
          <w:sz w:val="16"/>
        </w:rPr>
        <w:t>0</w:t>
      </w:r>
      <w:r>
        <w:rPr>
          <w:rFonts w:ascii="Times New Roman" w:hAnsi="Times New Roman" w:eastAsia="Times New Roman"/>
          <w:position w:val="2"/>
        </w:rPr>
        <w:t>——</w:t>
      </w:r>
      <w:r>
        <w:rPr>
          <w:position w:val="2"/>
        </w:rPr>
        <w:t>起尘风速，</w:t>
      </w:r>
      <w:r>
        <w:rPr>
          <w:rFonts w:ascii="Times New Roman" w:hAnsi="Times New Roman" w:eastAsia="Times New Roman"/>
          <w:position w:val="2"/>
        </w:rPr>
        <w:t>m/s</w:t>
      </w:r>
      <w:r>
        <w:rPr>
          <w:position w:val="2"/>
        </w:rPr>
        <w:t>；</w:t>
      </w:r>
    </w:p>
    <w:p>
      <w:pPr>
        <w:pStyle w:val="BodyText"/>
        <w:spacing w:before="2"/>
        <w:ind w:left="1437"/>
      </w:pPr>
      <w:r>
        <w:rPr>
          <w:rFonts w:ascii="Times New Roman" w:hAnsi="Times New Roman" w:eastAsia="Times New Roman"/>
          <w:i/>
          <w:position w:val="1"/>
        </w:rPr>
        <w:t>W</w:t>
      </w:r>
      <w:r>
        <w:rPr>
          <w:rFonts w:ascii="Times New Roman" w:hAnsi="Times New Roman" w:eastAsia="Times New Roman"/>
          <w:position w:val="1"/>
        </w:rPr>
        <w:t>——</w:t>
      </w:r>
      <w:r>
        <w:rPr/>
        <w:t>尘粒的含水率，</w:t>
      </w:r>
      <w:r>
        <w:rPr>
          <w:rFonts w:ascii="Times New Roman" w:hAnsi="Times New Roman" w:eastAsia="Times New Roman"/>
          <w:position w:val="1"/>
        </w:rPr>
        <w:t>%</w:t>
      </w:r>
      <w:r>
        <w:rPr/>
        <w:t>。</w:t>
      </w:r>
    </w:p>
    <w:p>
      <w:pPr>
        <w:pStyle w:val="BodyText"/>
        <w:spacing w:line="364" w:lineRule="auto" w:before="159"/>
        <w:ind w:right="249" w:firstLine="480"/>
        <w:jc w:val="both"/>
      </w:pPr>
      <w:r>
        <w:rPr>
          <w:rFonts w:ascii="Times New Roman" w:eastAsia="Times New Roman"/>
          <w:i/>
          <w:position w:val="2"/>
        </w:rPr>
        <w:t>V</w:t>
      </w:r>
      <w:r>
        <w:rPr>
          <w:rFonts w:ascii="Times New Roman" w:eastAsia="Times New Roman"/>
          <w:i/>
          <w:sz w:val="16"/>
        </w:rPr>
        <w:t>0 </w:t>
      </w:r>
      <w:r>
        <w:rPr>
          <w:position w:val="2"/>
        </w:rPr>
        <w:t>与粒径和含水率有关，因此减少露天堆放和保证一定的含水率及减少裸露地面是</w:t>
      </w:r>
      <w:r>
        <w:rPr/>
        <w:t>减少风力起尘的有效手段。尘粒在空气中的传播扩散情况与风速气象条件有关，也与尘粒本身的沉降速度有关。不同的尘粒的沉降速度见下表：</w:t>
      </w:r>
    </w:p>
    <w:p>
      <w:pPr>
        <w:pStyle w:val="Heading3"/>
        <w:spacing w:before="4"/>
        <w:ind w:left="3057"/>
        <w:jc w:val="both"/>
      </w:pPr>
      <w:r>
        <w:rPr/>
        <w:t>表 </w:t>
      </w:r>
      <w:r>
        <w:rPr>
          <w:rFonts w:ascii="Times New Roman" w:eastAsia="Times New Roman"/>
        </w:rPr>
        <w:t>3.2-6  </w:t>
      </w:r>
      <w:r>
        <w:rPr/>
        <w:t>不同粒径尘粒的沉降速度</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45"/>
        <w:gridCol w:w="984"/>
        <w:gridCol w:w="984"/>
        <w:gridCol w:w="984"/>
        <w:gridCol w:w="984"/>
        <w:gridCol w:w="984"/>
        <w:gridCol w:w="984"/>
        <w:gridCol w:w="982"/>
      </w:tblGrid>
      <w:tr>
        <w:trPr>
          <w:trHeight w:val="359" w:hRule="atLeast"/>
        </w:trPr>
        <w:tc>
          <w:tcPr>
            <w:tcW w:w="2545" w:type="dxa"/>
            <w:tcBorders>
              <w:bottom w:val="single" w:sz="6" w:space="0" w:color="000000"/>
              <w:right w:val="single" w:sz="6" w:space="0" w:color="000000"/>
            </w:tcBorders>
          </w:tcPr>
          <w:p>
            <w:pPr>
              <w:pStyle w:val="TableParagraph"/>
              <w:spacing w:before="46"/>
              <w:ind w:left="461" w:right="441"/>
              <w:rPr>
                <w:rFonts w:ascii="宋体" w:eastAsia="宋体" w:hint="eastAsia"/>
                <w:b/>
                <w:sz w:val="21"/>
              </w:rPr>
            </w:pPr>
            <w:r>
              <w:rPr>
                <w:rFonts w:ascii="宋体" w:eastAsia="宋体" w:hint="eastAsia"/>
                <w:b/>
                <w:sz w:val="21"/>
              </w:rPr>
              <w:t>粒径（微米）</w:t>
            </w:r>
          </w:p>
        </w:tc>
        <w:tc>
          <w:tcPr>
            <w:tcW w:w="984" w:type="dxa"/>
            <w:tcBorders>
              <w:left w:val="single" w:sz="6" w:space="0" w:color="000000"/>
              <w:bottom w:val="single" w:sz="6" w:space="0" w:color="000000"/>
              <w:right w:val="single" w:sz="6" w:space="0" w:color="000000"/>
            </w:tcBorders>
          </w:tcPr>
          <w:p>
            <w:pPr>
              <w:pStyle w:val="TableParagraph"/>
              <w:spacing w:before="57"/>
              <w:ind w:left="236" w:right="213"/>
              <w:rPr>
                <w:sz w:val="21"/>
              </w:rPr>
            </w:pPr>
            <w:r>
              <w:rPr>
                <w:sz w:val="21"/>
              </w:rPr>
              <w:t>10</w:t>
            </w:r>
          </w:p>
        </w:tc>
        <w:tc>
          <w:tcPr>
            <w:tcW w:w="984" w:type="dxa"/>
            <w:tcBorders>
              <w:left w:val="single" w:sz="6" w:space="0" w:color="000000"/>
              <w:bottom w:val="single" w:sz="6" w:space="0" w:color="000000"/>
              <w:right w:val="single" w:sz="6" w:space="0" w:color="000000"/>
            </w:tcBorders>
          </w:tcPr>
          <w:p>
            <w:pPr>
              <w:pStyle w:val="TableParagraph"/>
              <w:spacing w:before="57"/>
              <w:ind w:left="239" w:right="212"/>
              <w:rPr>
                <w:sz w:val="21"/>
              </w:rPr>
            </w:pPr>
            <w:r>
              <w:rPr>
                <w:sz w:val="21"/>
              </w:rPr>
              <w:t>20</w:t>
            </w:r>
          </w:p>
        </w:tc>
        <w:tc>
          <w:tcPr>
            <w:tcW w:w="984" w:type="dxa"/>
            <w:tcBorders>
              <w:left w:val="single" w:sz="6" w:space="0" w:color="000000"/>
              <w:bottom w:val="single" w:sz="6" w:space="0" w:color="000000"/>
              <w:right w:val="single" w:sz="6" w:space="0" w:color="000000"/>
            </w:tcBorders>
          </w:tcPr>
          <w:p>
            <w:pPr>
              <w:pStyle w:val="TableParagraph"/>
              <w:spacing w:before="57"/>
              <w:ind w:left="239" w:right="211"/>
              <w:rPr>
                <w:sz w:val="21"/>
              </w:rPr>
            </w:pPr>
            <w:r>
              <w:rPr>
                <w:sz w:val="21"/>
              </w:rPr>
              <w:t>30</w:t>
            </w:r>
          </w:p>
        </w:tc>
        <w:tc>
          <w:tcPr>
            <w:tcW w:w="984" w:type="dxa"/>
            <w:tcBorders>
              <w:left w:val="single" w:sz="6" w:space="0" w:color="000000"/>
              <w:bottom w:val="single" w:sz="6" w:space="0" w:color="000000"/>
              <w:right w:val="single" w:sz="6" w:space="0" w:color="000000"/>
            </w:tcBorders>
          </w:tcPr>
          <w:p>
            <w:pPr>
              <w:pStyle w:val="TableParagraph"/>
              <w:spacing w:before="57"/>
              <w:ind w:left="239" w:right="211"/>
              <w:rPr>
                <w:sz w:val="21"/>
              </w:rPr>
            </w:pPr>
            <w:r>
              <w:rPr>
                <w:sz w:val="21"/>
              </w:rPr>
              <w:t>40</w:t>
            </w:r>
          </w:p>
        </w:tc>
        <w:tc>
          <w:tcPr>
            <w:tcW w:w="984" w:type="dxa"/>
            <w:tcBorders>
              <w:left w:val="single" w:sz="6" w:space="0" w:color="000000"/>
              <w:bottom w:val="single" w:sz="6" w:space="0" w:color="000000"/>
              <w:right w:val="single" w:sz="6" w:space="0" w:color="000000"/>
            </w:tcBorders>
          </w:tcPr>
          <w:p>
            <w:pPr>
              <w:pStyle w:val="TableParagraph"/>
              <w:spacing w:before="57"/>
              <w:ind w:left="239" w:right="210"/>
              <w:rPr>
                <w:sz w:val="21"/>
              </w:rPr>
            </w:pPr>
            <w:r>
              <w:rPr>
                <w:sz w:val="21"/>
              </w:rPr>
              <w:t>50</w:t>
            </w:r>
          </w:p>
        </w:tc>
        <w:tc>
          <w:tcPr>
            <w:tcW w:w="984" w:type="dxa"/>
            <w:tcBorders>
              <w:left w:val="single" w:sz="6" w:space="0" w:color="000000"/>
              <w:bottom w:val="single" w:sz="6" w:space="0" w:color="000000"/>
              <w:right w:val="single" w:sz="6" w:space="0" w:color="000000"/>
            </w:tcBorders>
          </w:tcPr>
          <w:p>
            <w:pPr>
              <w:pStyle w:val="TableParagraph"/>
              <w:spacing w:before="57"/>
              <w:ind w:left="239" w:right="210"/>
              <w:rPr>
                <w:sz w:val="21"/>
              </w:rPr>
            </w:pPr>
            <w:r>
              <w:rPr>
                <w:sz w:val="21"/>
              </w:rPr>
              <w:t>60</w:t>
            </w:r>
          </w:p>
        </w:tc>
        <w:tc>
          <w:tcPr>
            <w:tcW w:w="982" w:type="dxa"/>
            <w:tcBorders>
              <w:left w:val="single" w:sz="6" w:space="0" w:color="000000"/>
              <w:bottom w:val="single" w:sz="6" w:space="0" w:color="000000"/>
            </w:tcBorders>
          </w:tcPr>
          <w:p>
            <w:pPr>
              <w:pStyle w:val="TableParagraph"/>
              <w:spacing w:before="57"/>
              <w:ind w:left="97" w:right="62"/>
              <w:rPr>
                <w:sz w:val="21"/>
              </w:rPr>
            </w:pPr>
            <w:r>
              <w:rPr>
                <w:sz w:val="21"/>
              </w:rPr>
              <w:t>70</w:t>
            </w:r>
          </w:p>
        </w:tc>
      </w:tr>
      <w:tr>
        <w:trPr>
          <w:trHeight w:val="359" w:hRule="atLeast"/>
        </w:trPr>
        <w:tc>
          <w:tcPr>
            <w:tcW w:w="2545" w:type="dxa"/>
            <w:tcBorders>
              <w:top w:val="single" w:sz="6" w:space="0" w:color="000000"/>
              <w:bottom w:val="single" w:sz="6" w:space="0" w:color="000000"/>
              <w:right w:val="single" w:sz="6" w:space="0" w:color="000000"/>
            </w:tcBorders>
          </w:tcPr>
          <w:p>
            <w:pPr>
              <w:pStyle w:val="TableParagraph"/>
              <w:spacing w:before="46"/>
              <w:ind w:left="461" w:right="441"/>
              <w:rPr>
                <w:rFonts w:ascii="宋体" w:eastAsia="宋体" w:hint="eastAsia"/>
                <w:b/>
                <w:sz w:val="21"/>
              </w:rPr>
            </w:pPr>
            <w:r>
              <w:rPr>
                <w:rFonts w:ascii="宋体" w:eastAsia="宋体" w:hint="eastAsia"/>
                <w:b/>
                <w:sz w:val="21"/>
              </w:rPr>
              <w:t>沉降速度（</w:t>
            </w:r>
            <w:r>
              <w:rPr>
                <w:b/>
                <w:sz w:val="21"/>
              </w:rPr>
              <w:t>m/s</w:t>
            </w:r>
            <w:r>
              <w:rPr>
                <w:rFonts w:ascii="宋体" w:eastAsia="宋体" w:hint="eastAsia"/>
                <w:b/>
                <w:sz w:val="21"/>
              </w:rPr>
              <w:t>）</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6" w:right="213"/>
              <w:rPr>
                <w:sz w:val="21"/>
              </w:rPr>
            </w:pPr>
            <w:r>
              <w:rPr>
                <w:sz w:val="21"/>
              </w:rPr>
              <w:t>0.003</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2"/>
              <w:rPr>
                <w:sz w:val="21"/>
              </w:rPr>
            </w:pPr>
            <w:r>
              <w:rPr>
                <w:sz w:val="21"/>
              </w:rPr>
              <w:t>0.012</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1"/>
              <w:rPr>
                <w:sz w:val="21"/>
              </w:rPr>
            </w:pPr>
            <w:r>
              <w:rPr>
                <w:sz w:val="21"/>
              </w:rPr>
              <w:t>0.027</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1"/>
              <w:rPr>
                <w:sz w:val="21"/>
              </w:rPr>
            </w:pPr>
            <w:r>
              <w:rPr>
                <w:sz w:val="21"/>
              </w:rPr>
              <w:t>0.048</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0"/>
              <w:rPr>
                <w:sz w:val="21"/>
              </w:rPr>
            </w:pPr>
            <w:r>
              <w:rPr>
                <w:sz w:val="21"/>
              </w:rPr>
              <w:t>0.075</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0"/>
              <w:rPr>
                <w:sz w:val="21"/>
              </w:rPr>
            </w:pPr>
            <w:r>
              <w:rPr>
                <w:sz w:val="21"/>
              </w:rPr>
              <w:t>0.108</w:t>
            </w:r>
          </w:p>
        </w:tc>
        <w:tc>
          <w:tcPr>
            <w:tcW w:w="982" w:type="dxa"/>
            <w:tcBorders>
              <w:top w:val="single" w:sz="6" w:space="0" w:color="000000"/>
              <w:left w:val="single" w:sz="6" w:space="0" w:color="000000"/>
              <w:bottom w:val="single" w:sz="6" w:space="0" w:color="000000"/>
            </w:tcBorders>
          </w:tcPr>
          <w:p>
            <w:pPr>
              <w:pStyle w:val="TableParagraph"/>
              <w:ind w:left="97" w:right="57"/>
              <w:rPr>
                <w:sz w:val="21"/>
              </w:rPr>
            </w:pPr>
            <w:r>
              <w:rPr>
                <w:sz w:val="21"/>
              </w:rPr>
              <w:t>0.147</w:t>
            </w:r>
          </w:p>
        </w:tc>
      </w:tr>
      <w:tr>
        <w:trPr>
          <w:trHeight w:val="356" w:hRule="atLeast"/>
        </w:trPr>
        <w:tc>
          <w:tcPr>
            <w:tcW w:w="2545" w:type="dxa"/>
            <w:tcBorders>
              <w:top w:val="single" w:sz="6" w:space="0" w:color="000000"/>
              <w:bottom w:val="single" w:sz="6" w:space="0" w:color="000000"/>
              <w:right w:val="single" w:sz="6" w:space="0" w:color="000000"/>
            </w:tcBorders>
          </w:tcPr>
          <w:p>
            <w:pPr>
              <w:pStyle w:val="TableParagraph"/>
              <w:spacing w:before="46"/>
              <w:ind w:left="461" w:right="441"/>
              <w:rPr>
                <w:rFonts w:ascii="宋体" w:eastAsia="宋体" w:hint="eastAsia"/>
                <w:b/>
                <w:sz w:val="21"/>
              </w:rPr>
            </w:pPr>
            <w:r>
              <w:rPr>
                <w:rFonts w:ascii="宋体" w:eastAsia="宋体" w:hint="eastAsia"/>
                <w:b/>
                <w:sz w:val="21"/>
              </w:rPr>
              <w:t>粒径（微米）</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6" w:right="213"/>
              <w:rPr>
                <w:sz w:val="21"/>
              </w:rPr>
            </w:pPr>
            <w:r>
              <w:rPr>
                <w:sz w:val="21"/>
              </w:rPr>
              <w:t>80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2"/>
              <w:rPr>
                <w:sz w:val="21"/>
              </w:rPr>
            </w:pPr>
            <w:r>
              <w:rPr>
                <w:sz w:val="21"/>
              </w:rPr>
              <w:t>90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1"/>
              <w:rPr>
                <w:sz w:val="21"/>
              </w:rPr>
            </w:pPr>
            <w:r>
              <w:rPr>
                <w:sz w:val="21"/>
              </w:rPr>
              <w:t>100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1"/>
              <w:rPr>
                <w:sz w:val="21"/>
              </w:rPr>
            </w:pPr>
            <w:r>
              <w:rPr>
                <w:sz w:val="21"/>
              </w:rPr>
              <w:t>150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0"/>
              <w:rPr>
                <w:sz w:val="21"/>
              </w:rPr>
            </w:pPr>
            <w:r>
              <w:rPr>
                <w:sz w:val="21"/>
              </w:rPr>
              <w:t>200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0"/>
              <w:rPr>
                <w:sz w:val="21"/>
              </w:rPr>
            </w:pPr>
            <w:r>
              <w:rPr>
                <w:sz w:val="21"/>
              </w:rPr>
              <w:t>250</w:t>
            </w:r>
          </w:p>
        </w:tc>
        <w:tc>
          <w:tcPr>
            <w:tcW w:w="982" w:type="dxa"/>
            <w:tcBorders>
              <w:top w:val="single" w:sz="6" w:space="0" w:color="000000"/>
              <w:left w:val="single" w:sz="6" w:space="0" w:color="000000"/>
              <w:bottom w:val="single" w:sz="6" w:space="0" w:color="000000"/>
            </w:tcBorders>
          </w:tcPr>
          <w:p>
            <w:pPr>
              <w:pStyle w:val="TableParagraph"/>
              <w:ind w:left="97" w:right="57"/>
              <w:rPr>
                <w:sz w:val="21"/>
              </w:rPr>
            </w:pPr>
            <w:r>
              <w:rPr>
                <w:sz w:val="21"/>
              </w:rPr>
              <w:t>300</w:t>
            </w:r>
          </w:p>
        </w:tc>
      </w:tr>
      <w:tr>
        <w:trPr>
          <w:trHeight w:val="359" w:hRule="atLeast"/>
        </w:trPr>
        <w:tc>
          <w:tcPr>
            <w:tcW w:w="2545" w:type="dxa"/>
            <w:tcBorders>
              <w:top w:val="single" w:sz="6" w:space="0" w:color="000000"/>
              <w:bottom w:val="single" w:sz="6" w:space="0" w:color="000000"/>
              <w:right w:val="single" w:sz="6" w:space="0" w:color="000000"/>
            </w:tcBorders>
          </w:tcPr>
          <w:p>
            <w:pPr>
              <w:pStyle w:val="TableParagraph"/>
              <w:spacing w:before="49"/>
              <w:ind w:left="461" w:right="441"/>
              <w:rPr>
                <w:rFonts w:ascii="宋体" w:eastAsia="宋体" w:hint="eastAsia"/>
                <w:b/>
                <w:sz w:val="21"/>
              </w:rPr>
            </w:pPr>
            <w:r>
              <w:rPr>
                <w:rFonts w:ascii="宋体" w:eastAsia="宋体" w:hint="eastAsia"/>
                <w:b/>
                <w:sz w:val="21"/>
              </w:rPr>
              <w:t>沉降速度（</w:t>
            </w:r>
            <w:r>
              <w:rPr>
                <w:b/>
                <w:sz w:val="21"/>
              </w:rPr>
              <w:t>m/s</w:t>
            </w:r>
            <w:r>
              <w:rPr>
                <w:rFonts w:ascii="宋体" w:eastAsia="宋体" w:hint="eastAsia"/>
                <w:b/>
                <w:sz w:val="21"/>
              </w:rPr>
              <w:t>）</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60"/>
              <w:ind w:left="236" w:right="213"/>
              <w:rPr>
                <w:sz w:val="21"/>
              </w:rPr>
            </w:pPr>
            <w:r>
              <w:rPr>
                <w:sz w:val="21"/>
              </w:rPr>
              <w:t>0.126</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60"/>
              <w:ind w:left="239" w:right="212"/>
              <w:rPr>
                <w:sz w:val="21"/>
              </w:rPr>
            </w:pPr>
            <w:r>
              <w:rPr>
                <w:sz w:val="21"/>
              </w:rPr>
              <w:t>0.170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60"/>
              <w:ind w:left="239" w:right="211"/>
              <w:rPr>
                <w:sz w:val="21"/>
              </w:rPr>
            </w:pPr>
            <w:r>
              <w:rPr>
                <w:sz w:val="21"/>
              </w:rPr>
              <w:t>0.182</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60"/>
              <w:ind w:left="239" w:right="211"/>
              <w:rPr>
                <w:sz w:val="21"/>
              </w:rPr>
            </w:pPr>
            <w:r>
              <w:rPr>
                <w:sz w:val="21"/>
              </w:rPr>
              <w:t>0.239</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60"/>
              <w:ind w:left="239" w:right="210"/>
              <w:rPr>
                <w:sz w:val="21"/>
              </w:rPr>
            </w:pPr>
            <w:r>
              <w:rPr>
                <w:sz w:val="21"/>
              </w:rPr>
              <w:t>0.804</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spacing w:before="60"/>
              <w:ind w:left="239" w:right="210"/>
              <w:rPr>
                <w:sz w:val="21"/>
              </w:rPr>
            </w:pPr>
            <w:r>
              <w:rPr>
                <w:sz w:val="21"/>
              </w:rPr>
              <w:t>1.005</w:t>
            </w:r>
          </w:p>
        </w:tc>
        <w:tc>
          <w:tcPr>
            <w:tcW w:w="982" w:type="dxa"/>
            <w:tcBorders>
              <w:top w:val="single" w:sz="6" w:space="0" w:color="000000"/>
              <w:left w:val="single" w:sz="6" w:space="0" w:color="000000"/>
              <w:bottom w:val="single" w:sz="6" w:space="0" w:color="000000"/>
            </w:tcBorders>
          </w:tcPr>
          <w:p>
            <w:pPr>
              <w:pStyle w:val="TableParagraph"/>
              <w:spacing w:before="60"/>
              <w:ind w:left="97" w:right="57"/>
              <w:rPr>
                <w:sz w:val="21"/>
              </w:rPr>
            </w:pPr>
            <w:r>
              <w:rPr>
                <w:sz w:val="21"/>
              </w:rPr>
              <w:t>1.829</w:t>
            </w:r>
          </w:p>
        </w:tc>
      </w:tr>
      <w:tr>
        <w:trPr>
          <w:trHeight w:val="359" w:hRule="atLeast"/>
        </w:trPr>
        <w:tc>
          <w:tcPr>
            <w:tcW w:w="2545" w:type="dxa"/>
            <w:tcBorders>
              <w:top w:val="single" w:sz="6" w:space="0" w:color="000000"/>
              <w:bottom w:val="single" w:sz="6" w:space="0" w:color="000000"/>
              <w:right w:val="single" w:sz="6" w:space="0" w:color="000000"/>
            </w:tcBorders>
          </w:tcPr>
          <w:p>
            <w:pPr>
              <w:pStyle w:val="TableParagraph"/>
              <w:spacing w:before="46"/>
              <w:ind w:left="461" w:right="441"/>
              <w:rPr>
                <w:rFonts w:ascii="宋体" w:eastAsia="宋体" w:hint="eastAsia"/>
                <w:b/>
                <w:sz w:val="21"/>
              </w:rPr>
            </w:pPr>
            <w:r>
              <w:rPr>
                <w:rFonts w:ascii="宋体" w:eastAsia="宋体" w:hint="eastAsia"/>
                <w:b/>
                <w:sz w:val="21"/>
              </w:rPr>
              <w:t>粒径（微米）</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6" w:right="213"/>
              <w:rPr>
                <w:sz w:val="21"/>
              </w:rPr>
            </w:pPr>
            <w:r>
              <w:rPr>
                <w:sz w:val="21"/>
              </w:rPr>
              <w:t>450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2"/>
              <w:rPr>
                <w:sz w:val="21"/>
              </w:rPr>
            </w:pPr>
            <w:r>
              <w:rPr>
                <w:sz w:val="21"/>
              </w:rPr>
              <w:t>550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1"/>
              <w:rPr>
                <w:sz w:val="21"/>
              </w:rPr>
            </w:pPr>
            <w:r>
              <w:rPr>
                <w:sz w:val="21"/>
              </w:rPr>
              <w:t>650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1"/>
              <w:rPr>
                <w:sz w:val="21"/>
              </w:rPr>
            </w:pPr>
            <w:r>
              <w:rPr>
                <w:sz w:val="21"/>
              </w:rPr>
              <w:t>750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0"/>
              <w:rPr>
                <w:sz w:val="21"/>
              </w:rPr>
            </w:pPr>
            <w:r>
              <w:rPr>
                <w:sz w:val="21"/>
              </w:rPr>
              <w:t>850</w:t>
            </w:r>
          </w:p>
        </w:tc>
        <w:tc>
          <w:tcPr>
            <w:tcW w:w="984" w:type="dxa"/>
            <w:tcBorders>
              <w:top w:val="single" w:sz="6" w:space="0" w:color="000000"/>
              <w:left w:val="single" w:sz="6" w:space="0" w:color="000000"/>
              <w:bottom w:val="single" w:sz="6" w:space="0" w:color="000000"/>
              <w:right w:val="single" w:sz="6" w:space="0" w:color="000000"/>
            </w:tcBorders>
          </w:tcPr>
          <w:p>
            <w:pPr>
              <w:pStyle w:val="TableParagraph"/>
              <w:ind w:left="239" w:right="210"/>
              <w:rPr>
                <w:sz w:val="21"/>
              </w:rPr>
            </w:pPr>
            <w:r>
              <w:rPr>
                <w:sz w:val="21"/>
              </w:rPr>
              <w:t>950</w:t>
            </w:r>
          </w:p>
        </w:tc>
        <w:tc>
          <w:tcPr>
            <w:tcW w:w="982" w:type="dxa"/>
            <w:tcBorders>
              <w:top w:val="single" w:sz="6" w:space="0" w:color="000000"/>
              <w:left w:val="single" w:sz="6" w:space="0" w:color="000000"/>
              <w:bottom w:val="single" w:sz="6" w:space="0" w:color="000000"/>
            </w:tcBorders>
          </w:tcPr>
          <w:p>
            <w:pPr>
              <w:pStyle w:val="TableParagraph"/>
              <w:ind w:left="97" w:right="57"/>
              <w:rPr>
                <w:sz w:val="21"/>
              </w:rPr>
            </w:pPr>
            <w:r>
              <w:rPr>
                <w:sz w:val="21"/>
              </w:rPr>
              <w:t>1050</w:t>
            </w:r>
          </w:p>
        </w:tc>
      </w:tr>
      <w:tr>
        <w:trPr>
          <w:trHeight w:val="359" w:hRule="atLeast"/>
        </w:trPr>
        <w:tc>
          <w:tcPr>
            <w:tcW w:w="2545" w:type="dxa"/>
            <w:tcBorders>
              <w:top w:val="single" w:sz="6" w:space="0" w:color="000000"/>
              <w:right w:val="single" w:sz="6" w:space="0" w:color="000000"/>
            </w:tcBorders>
          </w:tcPr>
          <w:p>
            <w:pPr>
              <w:pStyle w:val="TableParagraph"/>
              <w:spacing w:before="46"/>
              <w:ind w:left="461" w:right="441"/>
              <w:rPr>
                <w:rFonts w:ascii="宋体" w:eastAsia="宋体" w:hint="eastAsia"/>
                <w:b/>
                <w:sz w:val="21"/>
              </w:rPr>
            </w:pPr>
            <w:r>
              <w:rPr>
                <w:rFonts w:ascii="宋体" w:eastAsia="宋体" w:hint="eastAsia"/>
                <w:b/>
                <w:sz w:val="21"/>
              </w:rPr>
              <w:t>沉降速度（</w:t>
            </w:r>
            <w:r>
              <w:rPr>
                <w:b/>
                <w:sz w:val="21"/>
              </w:rPr>
              <w:t>m/s</w:t>
            </w:r>
            <w:r>
              <w:rPr>
                <w:rFonts w:ascii="宋体" w:eastAsia="宋体" w:hint="eastAsia"/>
                <w:b/>
                <w:sz w:val="21"/>
              </w:rPr>
              <w:t>）</w:t>
            </w:r>
          </w:p>
        </w:tc>
        <w:tc>
          <w:tcPr>
            <w:tcW w:w="984" w:type="dxa"/>
            <w:tcBorders>
              <w:top w:val="single" w:sz="6" w:space="0" w:color="000000"/>
              <w:left w:val="single" w:sz="6" w:space="0" w:color="000000"/>
              <w:right w:val="single" w:sz="6" w:space="0" w:color="000000"/>
            </w:tcBorders>
          </w:tcPr>
          <w:p>
            <w:pPr>
              <w:pStyle w:val="TableParagraph"/>
              <w:ind w:left="238" w:right="213"/>
              <w:rPr>
                <w:sz w:val="21"/>
              </w:rPr>
            </w:pPr>
            <w:r>
              <w:rPr>
                <w:sz w:val="21"/>
              </w:rPr>
              <w:t>2.211</w:t>
            </w:r>
          </w:p>
        </w:tc>
        <w:tc>
          <w:tcPr>
            <w:tcW w:w="984" w:type="dxa"/>
            <w:tcBorders>
              <w:top w:val="single" w:sz="6" w:space="0" w:color="000000"/>
              <w:left w:val="single" w:sz="6" w:space="0" w:color="000000"/>
              <w:right w:val="single" w:sz="6" w:space="0" w:color="000000"/>
            </w:tcBorders>
          </w:tcPr>
          <w:p>
            <w:pPr>
              <w:pStyle w:val="TableParagraph"/>
              <w:ind w:left="239" w:right="212"/>
              <w:rPr>
                <w:sz w:val="21"/>
              </w:rPr>
            </w:pPr>
            <w:r>
              <w:rPr>
                <w:sz w:val="21"/>
              </w:rPr>
              <w:t>2.614</w:t>
            </w:r>
          </w:p>
        </w:tc>
        <w:tc>
          <w:tcPr>
            <w:tcW w:w="984" w:type="dxa"/>
            <w:tcBorders>
              <w:top w:val="single" w:sz="6" w:space="0" w:color="000000"/>
              <w:left w:val="single" w:sz="6" w:space="0" w:color="000000"/>
              <w:right w:val="single" w:sz="6" w:space="0" w:color="000000"/>
            </w:tcBorders>
          </w:tcPr>
          <w:p>
            <w:pPr>
              <w:pStyle w:val="TableParagraph"/>
              <w:ind w:left="239" w:right="211"/>
              <w:rPr>
                <w:sz w:val="21"/>
              </w:rPr>
            </w:pPr>
            <w:r>
              <w:rPr>
                <w:sz w:val="21"/>
              </w:rPr>
              <w:t>3.016</w:t>
            </w:r>
          </w:p>
        </w:tc>
        <w:tc>
          <w:tcPr>
            <w:tcW w:w="984" w:type="dxa"/>
            <w:tcBorders>
              <w:top w:val="single" w:sz="6" w:space="0" w:color="000000"/>
              <w:left w:val="single" w:sz="6" w:space="0" w:color="000000"/>
              <w:right w:val="single" w:sz="6" w:space="0" w:color="000000"/>
            </w:tcBorders>
          </w:tcPr>
          <w:p>
            <w:pPr>
              <w:pStyle w:val="TableParagraph"/>
              <w:ind w:left="239" w:right="211"/>
              <w:rPr>
                <w:sz w:val="21"/>
              </w:rPr>
            </w:pPr>
            <w:r>
              <w:rPr>
                <w:sz w:val="21"/>
              </w:rPr>
              <w:t>3.418</w:t>
            </w:r>
          </w:p>
        </w:tc>
        <w:tc>
          <w:tcPr>
            <w:tcW w:w="984" w:type="dxa"/>
            <w:tcBorders>
              <w:top w:val="single" w:sz="6" w:space="0" w:color="000000"/>
              <w:left w:val="single" w:sz="6" w:space="0" w:color="000000"/>
              <w:right w:val="single" w:sz="6" w:space="0" w:color="000000"/>
            </w:tcBorders>
          </w:tcPr>
          <w:p>
            <w:pPr>
              <w:pStyle w:val="TableParagraph"/>
              <w:ind w:left="239" w:right="210"/>
              <w:rPr>
                <w:sz w:val="21"/>
              </w:rPr>
            </w:pPr>
            <w:r>
              <w:rPr>
                <w:sz w:val="21"/>
              </w:rPr>
              <w:t>3.820</w:t>
            </w:r>
          </w:p>
        </w:tc>
        <w:tc>
          <w:tcPr>
            <w:tcW w:w="984" w:type="dxa"/>
            <w:tcBorders>
              <w:top w:val="single" w:sz="6" w:space="0" w:color="000000"/>
              <w:left w:val="single" w:sz="6" w:space="0" w:color="000000"/>
              <w:right w:val="single" w:sz="6" w:space="0" w:color="000000"/>
            </w:tcBorders>
          </w:tcPr>
          <w:p>
            <w:pPr>
              <w:pStyle w:val="TableParagraph"/>
              <w:ind w:left="239" w:right="210"/>
              <w:rPr>
                <w:sz w:val="21"/>
              </w:rPr>
            </w:pPr>
            <w:r>
              <w:rPr>
                <w:sz w:val="21"/>
              </w:rPr>
              <w:t>4.222</w:t>
            </w:r>
          </w:p>
        </w:tc>
        <w:tc>
          <w:tcPr>
            <w:tcW w:w="982" w:type="dxa"/>
            <w:tcBorders>
              <w:top w:val="single" w:sz="6" w:space="0" w:color="000000"/>
              <w:left w:val="single" w:sz="6" w:space="0" w:color="000000"/>
            </w:tcBorders>
          </w:tcPr>
          <w:p>
            <w:pPr>
              <w:pStyle w:val="TableParagraph"/>
              <w:ind w:left="97" w:right="57"/>
              <w:rPr>
                <w:sz w:val="21"/>
              </w:rPr>
            </w:pPr>
            <w:r>
              <w:rPr>
                <w:sz w:val="21"/>
              </w:rPr>
              <w:t>4.624</w:t>
            </w:r>
          </w:p>
        </w:tc>
      </w:tr>
    </w:tbl>
    <w:p>
      <w:pPr>
        <w:spacing w:after="0"/>
        <w:rPr>
          <w:sz w:val="21"/>
        </w:rPr>
        <w:sectPr>
          <w:pgSz w:w="11910" w:h="16840"/>
          <w:pgMar w:header="874" w:footer="1004" w:top="1400" w:bottom="1200" w:left="1040" w:right="1160"/>
        </w:sectPr>
      </w:pPr>
    </w:p>
    <w:p>
      <w:pPr>
        <w:pStyle w:val="BodyText"/>
        <w:spacing w:line="364" w:lineRule="auto" w:before="105"/>
        <w:ind w:right="249" w:firstLine="480"/>
        <w:jc w:val="both"/>
      </w:pPr>
      <w:r>
        <w:rPr>
          <w:spacing w:val="-1"/>
        </w:rPr>
        <w:t>由上表可知，尘粒的沉降速度随粒径的增大而迅速增大。当粒径为 </w:t>
      </w:r>
      <w:r>
        <w:rPr>
          <w:rFonts w:ascii="Times New Roman" w:eastAsia="Times New Roman"/>
        </w:rPr>
        <w:t>250</w:t>
      </w:r>
      <w:r>
        <w:rPr>
          <w:rFonts w:ascii="Times New Roman" w:eastAsia="Times New Roman"/>
          <w:spacing w:val="48"/>
        </w:rPr>
        <w:t> </w:t>
      </w:r>
      <w:r>
        <w:rPr>
          <w:spacing w:val="-4"/>
        </w:rPr>
        <w:t>微米时，沉</w:t>
      </w:r>
      <w:r>
        <w:rPr>
          <w:spacing w:val="-5"/>
        </w:rPr>
        <w:t>降速度为 </w:t>
      </w:r>
      <w:r>
        <w:rPr>
          <w:rFonts w:ascii="Times New Roman" w:eastAsia="Times New Roman"/>
        </w:rPr>
        <w:t>1.005m/s</w:t>
      </w:r>
      <w:r>
        <w:rPr>
          <w:spacing w:val="-4"/>
        </w:rPr>
        <w:t>，因此可以认为当尘粒大于 </w:t>
      </w:r>
      <w:r>
        <w:rPr>
          <w:rFonts w:ascii="Times New Roman" w:eastAsia="Times New Roman"/>
        </w:rPr>
        <w:t>250</w:t>
      </w:r>
      <w:r>
        <w:rPr>
          <w:rFonts w:ascii="Times New Roman" w:eastAsia="Times New Roman"/>
          <w:spacing w:val="36"/>
        </w:rPr>
        <w:t> </w:t>
      </w:r>
      <w:r>
        <w:rPr>
          <w:spacing w:val="-1"/>
        </w:rPr>
        <w:t>微米时，主要范围在扬尘点下风向距</w:t>
      </w:r>
      <w:r>
        <w:rPr/>
        <w:t>离范围内，而真正对外环境产生影响的是一些微小尘粒。根据现场的气候情况不同，其影响范围也有不同。施工期间，若不采取措施，扬尘势必对该区域环境产生一定影响。另据地区多年气象资料，全年产生施工扬尘的气象机会约 </w:t>
      </w:r>
      <w:r>
        <w:rPr>
          <w:rFonts w:ascii="Times New Roman" w:eastAsia="Times New Roman"/>
        </w:rPr>
        <w:t>30%</w:t>
      </w:r>
      <w:r>
        <w:rPr>
          <w:spacing w:val="-2"/>
        </w:rPr>
        <w:t>，特别可能在冬秋二季雨</w:t>
      </w:r>
      <w:r>
        <w:rPr/>
        <w:t>水偏小的时期。因此本工程若在冬秋二季施工应特别注意防尘的问题，制定必要的防尘措施，以减少施工扬尘对周围环境的影响。</w:t>
      </w:r>
    </w:p>
    <w:p>
      <w:pPr>
        <w:pStyle w:val="ListParagraph"/>
        <w:numPr>
          <w:ilvl w:val="0"/>
          <w:numId w:val="44"/>
        </w:numPr>
        <w:tabs>
          <w:tab w:pos="1319" w:val="left" w:leader="none"/>
        </w:tabs>
        <w:spacing w:line="240" w:lineRule="auto" w:before="4" w:after="0"/>
        <w:ind w:left="1318" w:right="0" w:hanging="602"/>
        <w:jc w:val="left"/>
        <w:rPr>
          <w:sz w:val="24"/>
        </w:rPr>
      </w:pPr>
      <w:r>
        <w:rPr>
          <w:sz w:val="24"/>
        </w:rPr>
        <w:t>车辆行驶的动力起尘</w:t>
      </w:r>
    </w:p>
    <w:p>
      <w:pPr>
        <w:pStyle w:val="BodyText"/>
        <w:spacing w:line="364" w:lineRule="auto" w:before="161"/>
        <w:ind w:right="253" w:firstLine="480"/>
      </w:pPr>
      <w:r>
        <w:rPr/>
        <w:t>据有关文献，车辆行驶产生的扬尘占总扬尘的 </w:t>
      </w:r>
      <w:r>
        <w:rPr>
          <w:rFonts w:ascii="Times New Roman" w:eastAsia="Times New Roman"/>
        </w:rPr>
        <w:t>60%</w:t>
      </w:r>
      <w:r>
        <w:rPr>
          <w:spacing w:val="-2"/>
        </w:rPr>
        <w:t>以上，车辆行驶产生的扬尘，在</w:t>
      </w:r>
      <w:r>
        <w:rPr/>
        <w:t>完全干燥情况下，可按下列经验公式计算：</w:t>
      </w:r>
    </w:p>
    <w:p>
      <w:pPr>
        <w:pStyle w:val="BodyText"/>
        <w:spacing w:before="15"/>
        <w:ind w:left="220" w:right="236"/>
        <w:jc w:val="center"/>
        <w:rPr>
          <w:rFonts w:ascii="Times New Roman"/>
        </w:rPr>
      </w:pPr>
      <w:r>
        <w:rPr>
          <w:rFonts w:ascii="Times New Roman"/>
          <w:i/>
        </w:rPr>
        <w:t>Q</w:t>
      </w:r>
      <w:r>
        <w:rPr>
          <w:rFonts w:ascii="Times New Roman"/>
        </w:rPr>
        <w:t>=0.123(</w:t>
      </w:r>
      <w:r>
        <w:rPr>
          <w:rFonts w:ascii="Times New Roman"/>
          <w:i/>
        </w:rPr>
        <w:t>V</w:t>
      </w:r>
      <w:r>
        <w:rPr>
          <w:rFonts w:ascii="Times New Roman"/>
        </w:rPr>
        <w:t>/5)(</w:t>
      </w:r>
      <w:r>
        <w:rPr>
          <w:rFonts w:ascii="Times New Roman"/>
          <w:i/>
        </w:rPr>
        <w:t>W</w:t>
      </w:r>
      <w:r>
        <w:rPr>
          <w:rFonts w:ascii="Times New Roman"/>
        </w:rPr>
        <w:t>/6.8)0.85(</w:t>
      </w:r>
      <w:r>
        <w:rPr>
          <w:rFonts w:ascii="Times New Roman"/>
          <w:i/>
        </w:rPr>
        <w:t>P</w:t>
      </w:r>
      <w:r>
        <w:rPr>
          <w:rFonts w:ascii="Times New Roman"/>
        </w:rPr>
        <w:t>/0.5)0.75</w:t>
      </w:r>
    </w:p>
    <w:p>
      <w:pPr>
        <w:pStyle w:val="BodyText"/>
        <w:spacing w:before="179"/>
        <w:ind w:left="717"/>
      </w:pPr>
      <w:r>
        <w:rPr/>
        <w:t>式中：</w:t>
      </w:r>
      <w:r>
        <w:rPr>
          <w:rFonts w:ascii="Times New Roman" w:hAnsi="Times New Roman" w:eastAsia="Times New Roman"/>
          <w:i/>
          <w:position w:val="1"/>
        </w:rPr>
        <w:t>Q</w:t>
      </w:r>
      <w:r>
        <w:rPr>
          <w:rFonts w:ascii="Times New Roman" w:hAnsi="Times New Roman" w:eastAsia="Times New Roman"/>
          <w:position w:val="1"/>
        </w:rPr>
        <w:t>——</w:t>
      </w:r>
      <w:r>
        <w:rPr/>
        <w:t>汽车行驶时的扬尘，</w:t>
      </w:r>
      <w:r>
        <w:rPr>
          <w:rFonts w:ascii="Times New Roman" w:hAnsi="Times New Roman" w:eastAsia="Times New Roman"/>
          <w:position w:val="1"/>
        </w:rPr>
        <w:t>kg/km·</w:t>
      </w:r>
      <w:r>
        <w:rPr/>
        <w:t>辆；</w:t>
      </w:r>
    </w:p>
    <w:p>
      <w:pPr>
        <w:pStyle w:val="BodyText"/>
        <w:spacing w:line="364" w:lineRule="auto" w:before="160"/>
        <w:ind w:left="1437" w:right="5653"/>
      </w:pPr>
      <w:r>
        <w:rPr>
          <w:rFonts w:ascii="Times New Roman" w:hAnsi="Times New Roman" w:eastAsia="Times New Roman"/>
          <w:i/>
          <w:position w:val="1"/>
        </w:rPr>
        <w:t>V</w:t>
      </w:r>
      <w:r>
        <w:rPr>
          <w:rFonts w:ascii="Times New Roman" w:hAnsi="Times New Roman" w:eastAsia="Times New Roman"/>
          <w:position w:val="1"/>
        </w:rPr>
        <w:t>——</w:t>
      </w:r>
      <w:r>
        <w:rPr/>
        <w:t>汽车速度，</w:t>
      </w:r>
      <w:r>
        <w:rPr>
          <w:rFonts w:ascii="Times New Roman" w:hAnsi="Times New Roman" w:eastAsia="Times New Roman"/>
          <w:position w:val="1"/>
        </w:rPr>
        <w:t>km/h</w:t>
      </w:r>
      <w:r>
        <w:rPr/>
        <w:t>； </w:t>
      </w:r>
      <w:r>
        <w:rPr>
          <w:rFonts w:ascii="Times New Roman" w:hAnsi="Times New Roman" w:eastAsia="Times New Roman"/>
          <w:i/>
          <w:position w:val="1"/>
        </w:rPr>
        <w:t>W</w:t>
      </w:r>
      <w:r>
        <w:rPr>
          <w:rFonts w:ascii="Times New Roman" w:hAnsi="Times New Roman" w:eastAsia="Times New Roman"/>
          <w:position w:val="1"/>
        </w:rPr>
        <w:t>——</w:t>
      </w:r>
      <w:r>
        <w:rPr/>
        <w:t>汽车载重量，吨；</w:t>
      </w:r>
    </w:p>
    <w:p>
      <w:pPr>
        <w:pStyle w:val="BodyText"/>
        <w:spacing w:before="1"/>
        <w:ind w:left="1437"/>
      </w:pPr>
      <w:r>
        <w:rPr>
          <w:rFonts w:ascii="Times New Roman" w:hAnsi="Times New Roman" w:eastAsia="Times New Roman"/>
          <w:i/>
          <w:position w:val="1"/>
        </w:rPr>
        <w:t>P</w:t>
      </w:r>
      <w:r>
        <w:rPr>
          <w:rFonts w:ascii="Times New Roman" w:hAnsi="Times New Roman" w:eastAsia="Times New Roman"/>
          <w:position w:val="1"/>
        </w:rPr>
        <w:t>——</w:t>
      </w:r>
      <w:r>
        <w:rPr/>
        <w:t>道路表面粉尘量，</w:t>
      </w:r>
      <w:r>
        <w:rPr>
          <w:rFonts w:ascii="Times New Roman" w:hAnsi="Times New Roman" w:eastAsia="Times New Roman"/>
          <w:position w:val="1"/>
        </w:rPr>
        <w:t>kg/m</w:t>
      </w:r>
      <w:r>
        <w:rPr>
          <w:rFonts w:ascii="Times New Roman" w:hAnsi="Times New Roman" w:eastAsia="Times New Roman"/>
          <w:position w:val="1"/>
          <w:vertAlign w:val="superscript"/>
        </w:rPr>
        <w:t>2</w:t>
      </w:r>
      <w:r>
        <w:rPr>
          <w:vertAlign w:val="baseline"/>
        </w:rPr>
        <w:t>。</w:t>
      </w:r>
    </w:p>
    <w:p>
      <w:pPr>
        <w:pStyle w:val="BodyText"/>
        <w:spacing w:line="364" w:lineRule="auto" w:before="161"/>
        <w:ind w:right="249" w:firstLine="480"/>
        <w:jc w:val="both"/>
      </w:pPr>
      <w:r>
        <w:rPr>
          <w:spacing w:val="-9"/>
        </w:rPr>
        <w:t>下表中为一辆 </w:t>
      </w:r>
      <w:r>
        <w:rPr>
          <w:rFonts w:ascii="Times New Roman" w:eastAsia="Times New Roman"/>
        </w:rPr>
        <w:t>10 </w:t>
      </w:r>
      <w:r>
        <w:rPr>
          <w:spacing w:val="-8"/>
        </w:rPr>
        <w:t>吨卡车，通过一段长度为 </w:t>
      </w:r>
      <w:r>
        <w:rPr>
          <w:rFonts w:ascii="Times New Roman" w:eastAsia="Times New Roman"/>
        </w:rPr>
        <w:t>1 </w:t>
      </w:r>
      <w:r>
        <w:rPr>
          <w:spacing w:val="-3"/>
        </w:rPr>
        <w:t>千米的路面时，不同路面清洁程度，不同行驶情况下的扬尘量。由此可见，在同样路面清洁程度条件下，车速越快，扬尘量越大；而在同样车速情况下，路面越脏，扬尘量越大。因此限速行驶及保持路面清洁是减少汽车扬尘的有效办法。</w:t>
      </w:r>
    </w:p>
    <w:p>
      <w:pPr>
        <w:pStyle w:val="Heading3"/>
        <w:spacing w:before="3"/>
        <w:ind w:left="1425"/>
        <w:jc w:val="both"/>
        <w:rPr>
          <w:rFonts w:ascii="Times New Roman" w:hAnsi="Times New Roman" w:eastAsia="Times New Roman"/>
        </w:rPr>
      </w:pPr>
      <w:r>
        <w:rPr/>
        <w:pict>
          <v:line style="position:absolute;mso-position-horizontal-relative:page;mso-position-vertical-relative:paragraph;z-index:-315505664" from="59.183998pt,21.030014pt" to="167.329998pt,52.110014pt" stroked="true" strokeweight=".72pt" strokecolor="#000000">
            <v:stroke dashstyle="solid"/>
            <w10:wrap type="none"/>
          </v:line>
        </w:pict>
      </w:r>
      <w:r>
        <w:rPr/>
        <w:t>表 </w:t>
      </w:r>
      <w:r>
        <w:rPr>
          <w:rFonts w:ascii="Times New Roman" w:hAnsi="Times New Roman" w:eastAsia="Times New Roman"/>
        </w:rPr>
        <w:t>3.2-7  </w:t>
      </w:r>
      <w:r>
        <w:rPr/>
        <w:t>在不同车速和地面清洁程度的汽车扬尘 单位：</w:t>
      </w:r>
      <w:r>
        <w:rPr>
          <w:rFonts w:ascii="Times New Roman" w:hAnsi="Times New Roman" w:eastAsia="Times New Roman"/>
        </w:rPr>
        <w:t>kg/</w:t>
      </w:r>
      <w:r>
        <w:rPr/>
        <w:t>辆</w:t>
      </w:r>
      <w:r>
        <w:rPr>
          <w:rFonts w:ascii="Times New Roman" w:hAnsi="Times New Roman" w:eastAsia="Times New Roman"/>
        </w:rPr>
        <w:t>·km</w:t>
      </w:r>
    </w:p>
    <w:p>
      <w:pPr>
        <w:pStyle w:val="BodyText"/>
        <w:spacing w:before="9"/>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85"/>
        <w:gridCol w:w="1212"/>
        <w:gridCol w:w="1208"/>
        <w:gridCol w:w="1205"/>
        <w:gridCol w:w="1208"/>
        <w:gridCol w:w="1207"/>
        <w:gridCol w:w="1207"/>
      </w:tblGrid>
      <w:tr>
        <w:trPr>
          <w:trHeight w:val="623" w:hRule="atLeast"/>
        </w:trPr>
        <w:tc>
          <w:tcPr>
            <w:tcW w:w="2185" w:type="dxa"/>
            <w:tcBorders>
              <w:bottom w:val="single" w:sz="6" w:space="0" w:color="000000"/>
              <w:right w:val="single" w:sz="6" w:space="0" w:color="000000"/>
            </w:tcBorders>
          </w:tcPr>
          <w:p>
            <w:pPr>
              <w:pStyle w:val="TableParagraph"/>
              <w:spacing w:before="31"/>
              <w:ind w:left="1280"/>
              <w:jc w:val="left"/>
              <w:rPr>
                <w:b/>
                <w:sz w:val="21"/>
              </w:rPr>
            </w:pPr>
            <w:r>
              <w:rPr>
                <w:b/>
                <w:sz w:val="21"/>
              </w:rPr>
              <w:t>P(kg/m</w:t>
            </w:r>
            <w:r>
              <w:rPr>
                <w:b/>
                <w:position w:val="7"/>
                <w:sz w:val="14"/>
              </w:rPr>
              <w:t>2</w:t>
            </w:r>
            <w:r>
              <w:rPr>
                <w:b/>
                <w:sz w:val="21"/>
              </w:rPr>
              <w:t>)</w:t>
            </w:r>
          </w:p>
          <w:p>
            <w:pPr>
              <w:pStyle w:val="TableParagraph"/>
              <w:spacing w:before="57"/>
              <w:ind w:left="210"/>
              <w:jc w:val="left"/>
              <w:rPr>
                <w:b/>
                <w:sz w:val="21"/>
              </w:rPr>
            </w:pPr>
            <w:r>
              <w:rPr>
                <w:rFonts w:ascii="宋体" w:eastAsia="宋体" w:hint="eastAsia"/>
                <w:b/>
                <w:sz w:val="21"/>
              </w:rPr>
              <w:t>车速</w:t>
            </w:r>
            <w:r>
              <w:rPr>
                <w:b/>
                <w:sz w:val="21"/>
              </w:rPr>
              <w:t>(km/h)</w:t>
            </w:r>
          </w:p>
        </w:tc>
        <w:tc>
          <w:tcPr>
            <w:tcW w:w="1212" w:type="dxa"/>
            <w:tcBorders>
              <w:left w:val="single" w:sz="6" w:space="0" w:color="000000"/>
              <w:bottom w:val="single" w:sz="6" w:space="0" w:color="000000"/>
              <w:right w:val="single" w:sz="6" w:space="0" w:color="000000"/>
            </w:tcBorders>
          </w:tcPr>
          <w:p>
            <w:pPr>
              <w:pStyle w:val="TableParagraph"/>
              <w:spacing w:before="192"/>
              <w:ind w:left="313" w:right="288"/>
              <w:rPr>
                <w:b/>
                <w:sz w:val="21"/>
              </w:rPr>
            </w:pPr>
            <w:r>
              <w:rPr>
                <w:b/>
                <w:sz w:val="21"/>
              </w:rPr>
              <w:t>0.1</w:t>
            </w:r>
          </w:p>
        </w:tc>
        <w:tc>
          <w:tcPr>
            <w:tcW w:w="1208" w:type="dxa"/>
            <w:tcBorders>
              <w:left w:val="single" w:sz="6" w:space="0" w:color="000000"/>
              <w:bottom w:val="single" w:sz="6" w:space="0" w:color="000000"/>
              <w:right w:val="single" w:sz="6" w:space="0" w:color="000000"/>
            </w:tcBorders>
          </w:tcPr>
          <w:p>
            <w:pPr>
              <w:pStyle w:val="TableParagraph"/>
              <w:spacing w:before="192"/>
              <w:ind w:left="350" w:right="326"/>
              <w:rPr>
                <w:b/>
                <w:sz w:val="21"/>
              </w:rPr>
            </w:pPr>
            <w:r>
              <w:rPr>
                <w:b/>
                <w:sz w:val="21"/>
              </w:rPr>
              <w:t>0.2</w:t>
            </w:r>
          </w:p>
        </w:tc>
        <w:tc>
          <w:tcPr>
            <w:tcW w:w="1205" w:type="dxa"/>
            <w:tcBorders>
              <w:left w:val="single" w:sz="6" w:space="0" w:color="000000"/>
              <w:bottom w:val="single" w:sz="6" w:space="0" w:color="000000"/>
              <w:right w:val="single" w:sz="6" w:space="0" w:color="000000"/>
            </w:tcBorders>
          </w:tcPr>
          <w:p>
            <w:pPr>
              <w:pStyle w:val="TableParagraph"/>
              <w:spacing w:before="192"/>
              <w:ind w:left="350" w:right="324"/>
              <w:rPr>
                <w:b/>
                <w:sz w:val="21"/>
              </w:rPr>
            </w:pPr>
            <w:r>
              <w:rPr>
                <w:b/>
                <w:sz w:val="21"/>
              </w:rPr>
              <w:t>0.3</w:t>
            </w:r>
          </w:p>
        </w:tc>
        <w:tc>
          <w:tcPr>
            <w:tcW w:w="1208" w:type="dxa"/>
            <w:tcBorders>
              <w:left w:val="single" w:sz="6" w:space="0" w:color="000000"/>
              <w:bottom w:val="single" w:sz="6" w:space="0" w:color="000000"/>
              <w:right w:val="single" w:sz="6" w:space="0" w:color="000000"/>
            </w:tcBorders>
          </w:tcPr>
          <w:p>
            <w:pPr>
              <w:pStyle w:val="TableParagraph"/>
              <w:spacing w:before="192"/>
              <w:ind w:left="352" w:right="324"/>
              <w:rPr>
                <w:b/>
                <w:sz w:val="21"/>
              </w:rPr>
            </w:pPr>
            <w:r>
              <w:rPr>
                <w:b/>
                <w:sz w:val="21"/>
              </w:rPr>
              <w:t>0.4</w:t>
            </w:r>
          </w:p>
        </w:tc>
        <w:tc>
          <w:tcPr>
            <w:tcW w:w="1207" w:type="dxa"/>
            <w:tcBorders>
              <w:left w:val="single" w:sz="6" w:space="0" w:color="000000"/>
              <w:bottom w:val="single" w:sz="6" w:space="0" w:color="000000"/>
              <w:right w:val="single" w:sz="6" w:space="0" w:color="000000"/>
            </w:tcBorders>
          </w:tcPr>
          <w:p>
            <w:pPr>
              <w:pStyle w:val="TableParagraph"/>
              <w:spacing w:before="192"/>
              <w:ind w:left="353" w:right="325"/>
              <w:rPr>
                <w:b/>
                <w:sz w:val="21"/>
              </w:rPr>
            </w:pPr>
            <w:r>
              <w:rPr>
                <w:b/>
                <w:sz w:val="21"/>
              </w:rPr>
              <w:t>0.5</w:t>
            </w:r>
          </w:p>
        </w:tc>
        <w:tc>
          <w:tcPr>
            <w:tcW w:w="1207" w:type="dxa"/>
            <w:tcBorders>
              <w:left w:val="single" w:sz="6" w:space="0" w:color="000000"/>
              <w:bottom w:val="single" w:sz="6" w:space="0" w:color="000000"/>
            </w:tcBorders>
          </w:tcPr>
          <w:p>
            <w:pPr>
              <w:pStyle w:val="TableParagraph"/>
              <w:spacing w:before="192"/>
              <w:ind w:left="354" w:right="317"/>
              <w:rPr>
                <w:b/>
                <w:sz w:val="21"/>
              </w:rPr>
            </w:pPr>
            <w:r>
              <w:rPr>
                <w:b/>
                <w:sz w:val="21"/>
              </w:rPr>
              <w:t>0.6</w:t>
            </w:r>
          </w:p>
        </w:tc>
      </w:tr>
      <w:tr>
        <w:trPr>
          <w:trHeight w:val="359" w:hRule="atLeast"/>
        </w:trPr>
        <w:tc>
          <w:tcPr>
            <w:tcW w:w="2185" w:type="dxa"/>
            <w:tcBorders>
              <w:top w:val="single" w:sz="6" w:space="0" w:color="000000"/>
              <w:bottom w:val="single" w:sz="6" w:space="0" w:color="000000"/>
              <w:right w:val="single" w:sz="6" w:space="0" w:color="000000"/>
            </w:tcBorders>
          </w:tcPr>
          <w:p>
            <w:pPr>
              <w:pStyle w:val="TableParagraph"/>
              <w:spacing w:before="60"/>
              <w:ind w:left="20"/>
              <w:rPr>
                <w:b/>
                <w:sz w:val="21"/>
              </w:rPr>
            </w:pPr>
            <w:r>
              <w:rPr>
                <w:b/>
                <w:w w:val="100"/>
                <w:sz w:val="21"/>
              </w:rPr>
              <w:t>5</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spacing w:before="60"/>
              <w:ind w:left="313" w:right="288"/>
              <w:rPr>
                <w:sz w:val="21"/>
              </w:rPr>
            </w:pPr>
            <w:r>
              <w:rPr>
                <w:sz w:val="21"/>
              </w:rPr>
              <w:t>0.051</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60"/>
              <w:ind w:left="350" w:right="326"/>
              <w:rPr>
                <w:sz w:val="21"/>
              </w:rPr>
            </w:pPr>
            <w:r>
              <w:rPr>
                <w:sz w:val="21"/>
              </w:rPr>
              <w:t>0.086</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spacing w:before="60"/>
              <w:ind w:left="349" w:right="325"/>
              <w:rPr>
                <w:sz w:val="21"/>
              </w:rPr>
            </w:pPr>
            <w:r>
              <w:rPr>
                <w:sz w:val="21"/>
              </w:rPr>
              <w:t>0.116</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60"/>
              <w:ind w:left="352" w:right="324"/>
              <w:rPr>
                <w:sz w:val="21"/>
              </w:rPr>
            </w:pPr>
            <w:r>
              <w:rPr>
                <w:sz w:val="21"/>
              </w:rPr>
              <w:t>0.144</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spacing w:before="60"/>
              <w:ind w:left="353" w:right="325"/>
              <w:rPr>
                <w:sz w:val="21"/>
              </w:rPr>
            </w:pPr>
            <w:r>
              <w:rPr>
                <w:sz w:val="21"/>
              </w:rPr>
              <w:t>0.171</w:t>
            </w:r>
          </w:p>
        </w:tc>
        <w:tc>
          <w:tcPr>
            <w:tcW w:w="1207" w:type="dxa"/>
            <w:tcBorders>
              <w:top w:val="single" w:sz="6" w:space="0" w:color="000000"/>
              <w:left w:val="single" w:sz="6" w:space="0" w:color="000000"/>
              <w:bottom w:val="single" w:sz="6" w:space="0" w:color="000000"/>
            </w:tcBorders>
          </w:tcPr>
          <w:p>
            <w:pPr>
              <w:pStyle w:val="TableParagraph"/>
              <w:spacing w:before="60"/>
              <w:ind w:left="354" w:right="318"/>
              <w:rPr>
                <w:sz w:val="21"/>
              </w:rPr>
            </w:pPr>
            <w:r>
              <w:rPr>
                <w:sz w:val="21"/>
              </w:rPr>
              <w:t>0.287</w:t>
            </w:r>
          </w:p>
        </w:tc>
      </w:tr>
      <w:tr>
        <w:trPr>
          <w:trHeight w:val="360" w:hRule="atLeast"/>
        </w:trPr>
        <w:tc>
          <w:tcPr>
            <w:tcW w:w="2185" w:type="dxa"/>
            <w:tcBorders>
              <w:top w:val="single" w:sz="6" w:space="0" w:color="000000"/>
              <w:bottom w:val="single" w:sz="6" w:space="0" w:color="000000"/>
              <w:right w:val="single" w:sz="6" w:space="0" w:color="000000"/>
            </w:tcBorders>
          </w:tcPr>
          <w:p>
            <w:pPr>
              <w:pStyle w:val="TableParagraph"/>
              <w:ind w:left="966" w:right="946"/>
              <w:rPr>
                <w:b/>
                <w:sz w:val="21"/>
              </w:rPr>
            </w:pPr>
            <w:r>
              <w:rPr>
                <w:b/>
                <w:sz w:val="21"/>
              </w:rPr>
              <w:t>10</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ind w:left="313" w:right="288"/>
              <w:rPr>
                <w:sz w:val="21"/>
              </w:rPr>
            </w:pPr>
            <w:r>
              <w:rPr>
                <w:sz w:val="21"/>
              </w:rPr>
              <w:t>0.102</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0" w:right="326"/>
              <w:rPr>
                <w:sz w:val="21"/>
              </w:rPr>
            </w:pPr>
            <w:r>
              <w:rPr>
                <w:sz w:val="21"/>
              </w:rPr>
              <w:t>0.171</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ind w:left="350" w:right="324"/>
              <w:rPr>
                <w:sz w:val="21"/>
              </w:rPr>
            </w:pPr>
            <w:r>
              <w:rPr>
                <w:sz w:val="21"/>
              </w:rPr>
              <w:t>0.232</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4"/>
              <w:rPr>
                <w:sz w:val="21"/>
              </w:rPr>
            </w:pPr>
            <w:r>
              <w:rPr>
                <w:sz w:val="21"/>
              </w:rPr>
              <w:t>0.289</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ind w:left="353" w:right="325"/>
              <w:rPr>
                <w:sz w:val="21"/>
              </w:rPr>
            </w:pPr>
            <w:r>
              <w:rPr>
                <w:sz w:val="21"/>
              </w:rPr>
              <w:t>0.341</w:t>
            </w:r>
          </w:p>
        </w:tc>
        <w:tc>
          <w:tcPr>
            <w:tcW w:w="1207" w:type="dxa"/>
            <w:tcBorders>
              <w:top w:val="single" w:sz="6" w:space="0" w:color="000000"/>
              <w:left w:val="single" w:sz="6" w:space="0" w:color="000000"/>
              <w:bottom w:val="single" w:sz="6" w:space="0" w:color="000000"/>
            </w:tcBorders>
          </w:tcPr>
          <w:p>
            <w:pPr>
              <w:pStyle w:val="TableParagraph"/>
              <w:ind w:left="354" w:right="318"/>
              <w:rPr>
                <w:sz w:val="21"/>
              </w:rPr>
            </w:pPr>
            <w:r>
              <w:rPr>
                <w:sz w:val="21"/>
              </w:rPr>
              <w:t>0.574</w:t>
            </w:r>
          </w:p>
        </w:tc>
      </w:tr>
      <w:tr>
        <w:trPr>
          <w:trHeight w:val="359" w:hRule="atLeast"/>
        </w:trPr>
        <w:tc>
          <w:tcPr>
            <w:tcW w:w="2185" w:type="dxa"/>
            <w:tcBorders>
              <w:top w:val="single" w:sz="6" w:space="0" w:color="000000"/>
              <w:bottom w:val="single" w:sz="6" w:space="0" w:color="000000"/>
              <w:right w:val="single" w:sz="6" w:space="0" w:color="000000"/>
            </w:tcBorders>
          </w:tcPr>
          <w:p>
            <w:pPr>
              <w:pStyle w:val="TableParagraph"/>
              <w:ind w:left="966" w:right="946"/>
              <w:rPr>
                <w:b/>
                <w:sz w:val="21"/>
              </w:rPr>
            </w:pPr>
            <w:r>
              <w:rPr>
                <w:b/>
                <w:sz w:val="21"/>
              </w:rPr>
              <w:t>15</w:t>
            </w:r>
          </w:p>
        </w:tc>
        <w:tc>
          <w:tcPr>
            <w:tcW w:w="1212" w:type="dxa"/>
            <w:tcBorders>
              <w:top w:val="single" w:sz="6" w:space="0" w:color="000000"/>
              <w:left w:val="single" w:sz="6" w:space="0" w:color="000000"/>
              <w:bottom w:val="single" w:sz="6" w:space="0" w:color="000000"/>
              <w:right w:val="single" w:sz="6" w:space="0" w:color="000000"/>
            </w:tcBorders>
          </w:tcPr>
          <w:p>
            <w:pPr>
              <w:pStyle w:val="TableParagraph"/>
              <w:ind w:left="313" w:right="288"/>
              <w:rPr>
                <w:sz w:val="21"/>
              </w:rPr>
            </w:pPr>
            <w:r>
              <w:rPr>
                <w:sz w:val="21"/>
              </w:rPr>
              <w:t>0.153</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0" w:right="326"/>
              <w:rPr>
                <w:sz w:val="21"/>
              </w:rPr>
            </w:pPr>
            <w:r>
              <w:rPr>
                <w:sz w:val="21"/>
              </w:rPr>
              <w:t>0.257</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ind w:left="350" w:right="324"/>
              <w:rPr>
                <w:sz w:val="21"/>
              </w:rPr>
            </w:pPr>
            <w:r>
              <w:rPr>
                <w:sz w:val="21"/>
              </w:rPr>
              <w:t>0.341</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4"/>
              <w:rPr>
                <w:sz w:val="21"/>
              </w:rPr>
            </w:pPr>
            <w:r>
              <w:rPr>
                <w:sz w:val="21"/>
              </w:rPr>
              <w:t>0.433</w:t>
            </w:r>
          </w:p>
        </w:tc>
        <w:tc>
          <w:tcPr>
            <w:tcW w:w="1207" w:type="dxa"/>
            <w:tcBorders>
              <w:top w:val="single" w:sz="6" w:space="0" w:color="000000"/>
              <w:left w:val="single" w:sz="6" w:space="0" w:color="000000"/>
              <w:bottom w:val="single" w:sz="6" w:space="0" w:color="000000"/>
              <w:right w:val="single" w:sz="6" w:space="0" w:color="000000"/>
            </w:tcBorders>
          </w:tcPr>
          <w:p>
            <w:pPr>
              <w:pStyle w:val="TableParagraph"/>
              <w:ind w:left="353" w:right="325"/>
              <w:rPr>
                <w:sz w:val="21"/>
              </w:rPr>
            </w:pPr>
            <w:r>
              <w:rPr>
                <w:sz w:val="21"/>
              </w:rPr>
              <w:t>0.512</w:t>
            </w:r>
          </w:p>
        </w:tc>
        <w:tc>
          <w:tcPr>
            <w:tcW w:w="1207" w:type="dxa"/>
            <w:tcBorders>
              <w:top w:val="single" w:sz="6" w:space="0" w:color="000000"/>
              <w:left w:val="single" w:sz="6" w:space="0" w:color="000000"/>
              <w:bottom w:val="single" w:sz="6" w:space="0" w:color="000000"/>
            </w:tcBorders>
          </w:tcPr>
          <w:p>
            <w:pPr>
              <w:pStyle w:val="TableParagraph"/>
              <w:ind w:left="354" w:right="318"/>
              <w:rPr>
                <w:sz w:val="21"/>
              </w:rPr>
            </w:pPr>
            <w:r>
              <w:rPr>
                <w:sz w:val="21"/>
              </w:rPr>
              <w:t>0.861</w:t>
            </w:r>
          </w:p>
        </w:tc>
      </w:tr>
      <w:tr>
        <w:trPr>
          <w:trHeight w:val="356" w:hRule="atLeast"/>
        </w:trPr>
        <w:tc>
          <w:tcPr>
            <w:tcW w:w="2185" w:type="dxa"/>
            <w:tcBorders>
              <w:top w:val="single" w:sz="6" w:space="0" w:color="000000"/>
              <w:right w:val="single" w:sz="6" w:space="0" w:color="000000"/>
            </w:tcBorders>
          </w:tcPr>
          <w:p>
            <w:pPr>
              <w:pStyle w:val="TableParagraph"/>
              <w:ind w:left="966" w:right="946"/>
              <w:rPr>
                <w:b/>
                <w:sz w:val="21"/>
              </w:rPr>
            </w:pPr>
            <w:r>
              <w:rPr>
                <w:b/>
                <w:sz w:val="21"/>
              </w:rPr>
              <w:t>20</w:t>
            </w:r>
          </w:p>
        </w:tc>
        <w:tc>
          <w:tcPr>
            <w:tcW w:w="1212" w:type="dxa"/>
            <w:tcBorders>
              <w:top w:val="single" w:sz="6" w:space="0" w:color="000000"/>
              <w:left w:val="single" w:sz="6" w:space="0" w:color="000000"/>
              <w:right w:val="single" w:sz="6" w:space="0" w:color="000000"/>
            </w:tcBorders>
          </w:tcPr>
          <w:p>
            <w:pPr>
              <w:pStyle w:val="TableParagraph"/>
              <w:ind w:left="313" w:right="288"/>
              <w:rPr>
                <w:sz w:val="21"/>
              </w:rPr>
            </w:pPr>
            <w:r>
              <w:rPr>
                <w:sz w:val="21"/>
              </w:rPr>
              <w:t>0.255</w:t>
            </w:r>
          </w:p>
        </w:tc>
        <w:tc>
          <w:tcPr>
            <w:tcW w:w="1208" w:type="dxa"/>
            <w:tcBorders>
              <w:top w:val="single" w:sz="6" w:space="0" w:color="000000"/>
              <w:left w:val="single" w:sz="6" w:space="0" w:color="000000"/>
              <w:right w:val="single" w:sz="6" w:space="0" w:color="000000"/>
            </w:tcBorders>
          </w:tcPr>
          <w:p>
            <w:pPr>
              <w:pStyle w:val="TableParagraph"/>
              <w:ind w:left="350" w:right="326"/>
              <w:rPr>
                <w:sz w:val="21"/>
              </w:rPr>
            </w:pPr>
            <w:r>
              <w:rPr>
                <w:sz w:val="21"/>
              </w:rPr>
              <w:t>0.429</w:t>
            </w:r>
          </w:p>
        </w:tc>
        <w:tc>
          <w:tcPr>
            <w:tcW w:w="1205" w:type="dxa"/>
            <w:tcBorders>
              <w:top w:val="single" w:sz="6" w:space="0" w:color="000000"/>
              <w:left w:val="single" w:sz="6" w:space="0" w:color="000000"/>
              <w:right w:val="single" w:sz="6" w:space="0" w:color="000000"/>
            </w:tcBorders>
          </w:tcPr>
          <w:p>
            <w:pPr>
              <w:pStyle w:val="TableParagraph"/>
              <w:ind w:left="350" w:right="324"/>
              <w:rPr>
                <w:sz w:val="21"/>
              </w:rPr>
            </w:pPr>
            <w:r>
              <w:rPr>
                <w:sz w:val="21"/>
              </w:rPr>
              <w:t>0.582</w:t>
            </w:r>
          </w:p>
        </w:tc>
        <w:tc>
          <w:tcPr>
            <w:tcW w:w="1208" w:type="dxa"/>
            <w:tcBorders>
              <w:top w:val="single" w:sz="6" w:space="0" w:color="000000"/>
              <w:left w:val="single" w:sz="6" w:space="0" w:color="000000"/>
              <w:right w:val="single" w:sz="6" w:space="0" w:color="000000"/>
            </w:tcBorders>
          </w:tcPr>
          <w:p>
            <w:pPr>
              <w:pStyle w:val="TableParagraph"/>
              <w:ind w:left="352" w:right="324"/>
              <w:rPr>
                <w:sz w:val="21"/>
              </w:rPr>
            </w:pPr>
            <w:r>
              <w:rPr>
                <w:sz w:val="21"/>
              </w:rPr>
              <w:t>0.722</w:t>
            </w:r>
          </w:p>
        </w:tc>
        <w:tc>
          <w:tcPr>
            <w:tcW w:w="1207" w:type="dxa"/>
            <w:tcBorders>
              <w:top w:val="single" w:sz="6" w:space="0" w:color="000000"/>
              <w:left w:val="single" w:sz="6" w:space="0" w:color="000000"/>
              <w:right w:val="single" w:sz="6" w:space="0" w:color="000000"/>
            </w:tcBorders>
          </w:tcPr>
          <w:p>
            <w:pPr>
              <w:pStyle w:val="TableParagraph"/>
              <w:ind w:left="353" w:right="325"/>
              <w:rPr>
                <w:sz w:val="21"/>
              </w:rPr>
            </w:pPr>
            <w:r>
              <w:rPr>
                <w:sz w:val="21"/>
              </w:rPr>
              <w:t>0.853</w:t>
            </w:r>
          </w:p>
        </w:tc>
        <w:tc>
          <w:tcPr>
            <w:tcW w:w="1207" w:type="dxa"/>
            <w:tcBorders>
              <w:top w:val="single" w:sz="6" w:space="0" w:color="000000"/>
              <w:left w:val="single" w:sz="6" w:space="0" w:color="000000"/>
            </w:tcBorders>
          </w:tcPr>
          <w:p>
            <w:pPr>
              <w:pStyle w:val="TableParagraph"/>
              <w:ind w:left="354" w:right="318"/>
              <w:rPr>
                <w:sz w:val="21"/>
              </w:rPr>
            </w:pPr>
            <w:r>
              <w:rPr>
                <w:sz w:val="21"/>
              </w:rPr>
              <w:t>1.432</w:t>
            </w:r>
          </w:p>
        </w:tc>
      </w:tr>
    </w:tbl>
    <w:p>
      <w:pPr>
        <w:pStyle w:val="BodyText"/>
        <w:spacing w:line="364" w:lineRule="auto" w:before="85"/>
        <w:ind w:right="249" w:firstLine="480"/>
        <w:jc w:val="both"/>
      </w:pPr>
      <w:r>
        <w:rPr>
          <w:spacing w:val="-6"/>
        </w:rPr>
        <w:t>一般情况下，施工工地、施工道路在自然风作用下产生的扬尘，其影响范围在 </w:t>
      </w:r>
      <w:r>
        <w:rPr>
          <w:rFonts w:ascii="Times New Roman" w:eastAsia="Times New Roman"/>
          <w:spacing w:val="-5"/>
        </w:rPr>
        <w:t>100m </w:t>
      </w:r>
      <w:r>
        <w:rPr>
          <w:spacing w:val="-1"/>
        </w:rPr>
        <w:t>以内。如果在施工期间对车辆行驶的路面实施洒水抑尘，每天洒水 </w:t>
      </w:r>
      <w:r>
        <w:rPr>
          <w:rFonts w:ascii="Times New Roman" w:eastAsia="Times New Roman"/>
        </w:rPr>
        <w:t>4~5 </w:t>
      </w:r>
      <w:r>
        <w:rPr>
          <w:spacing w:val="-3"/>
        </w:rPr>
        <w:t>次，可使扬尘减</w:t>
      </w:r>
      <w:r>
        <w:rPr>
          <w:spacing w:val="-20"/>
        </w:rPr>
        <w:t>少 </w:t>
      </w:r>
      <w:r>
        <w:rPr>
          <w:rFonts w:ascii="Times New Roman" w:eastAsia="Times New Roman"/>
        </w:rPr>
        <w:t>70%</w:t>
      </w:r>
      <w:r>
        <w:rPr>
          <w:spacing w:val="-2"/>
        </w:rPr>
        <w:t>左右，下表为施工场地洒水抑尘的试验结果。可见每天洒水 </w:t>
      </w:r>
      <w:r>
        <w:rPr>
          <w:rFonts w:ascii="Times New Roman" w:eastAsia="Times New Roman"/>
        </w:rPr>
        <w:t>4~5 </w:t>
      </w:r>
      <w:r>
        <w:rPr>
          <w:spacing w:val="-2"/>
        </w:rPr>
        <w:t>次进行抑尘，可</w:t>
      </w:r>
      <w:r>
        <w:rPr>
          <w:spacing w:val="-5"/>
        </w:rPr>
        <w:t>有效地控制施工扬尘，可将 </w:t>
      </w:r>
      <w:r>
        <w:rPr>
          <w:rFonts w:ascii="Times New Roman" w:eastAsia="Times New Roman"/>
        </w:rPr>
        <w:t>TSP </w:t>
      </w:r>
      <w:r>
        <w:rPr>
          <w:spacing w:val="-8"/>
        </w:rPr>
        <w:t>的污染距离缩小到 </w:t>
      </w:r>
      <w:r>
        <w:rPr>
          <w:rFonts w:ascii="Times New Roman" w:eastAsia="Times New Roman"/>
        </w:rPr>
        <w:t>20~50m </w:t>
      </w:r>
      <w:r>
        <w:rPr/>
        <w:t>范围。</w:t>
      </w:r>
    </w:p>
    <w:p>
      <w:pPr>
        <w:spacing w:after="0" w:line="364" w:lineRule="auto"/>
        <w:jc w:val="both"/>
        <w:sectPr>
          <w:pgSz w:w="11910" w:h="16840"/>
          <w:pgMar w:header="874" w:footer="1004" w:top="1400" w:bottom="1200" w:left="1040" w:right="1160"/>
        </w:sectPr>
      </w:pPr>
    </w:p>
    <w:p>
      <w:pPr>
        <w:pStyle w:val="Heading3"/>
        <w:spacing w:before="105"/>
        <w:ind w:left="218" w:right="236"/>
        <w:jc w:val="center"/>
      </w:pPr>
      <w:r>
        <w:rPr/>
        <w:t>表 </w:t>
      </w:r>
      <w:r>
        <w:rPr>
          <w:rFonts w:ascii="Times New Roman" w:eastAsia="Times New Roman"/>
        </w:rPr>
        <w:t>3.2-8  </w:t>
      </w:r>
      <w:r>
        <w:rPr/>
        <w:t>施工场地洒水试验结果</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41"/>
        <w:gridCol w:w="1286"/>
        <w:gridCol w:w="1047"/>
        <w:gridCol w:w="886"/>
        <w:gridCol w:w="886"/>
        <w:gridCol w:w="886"/>
      </w:tblGrid>
      <w:tr>
        <w:trPr>
          <w:trHeight w:val="359" w:hRule="atLeast"/>
        </w:trPr>
        <w:tc>
          <w:tcPr>
            <w:tcW w:w="5727" w:type="dxa"/>
            <w:gridSpan w:val="2"/>
            <w:tcBorders>
              <w:bottom w:val="single" w:sz="6" w:space="0" w:color="000000"/>
              <w:right w:val="single" w:sz="6" w:space="0" w:color="000000"/>
            </w:tcBorders>
          </w:tcPr>
          <w:p>
            <w:pPr>
              <w:pStyle w:val="TableParagraph"/>
              <w:spacing w:before="43"/>
              <w:ind w:left="2333" w:right="2312"/>
              <w:rPr>
                <w:rFonts w:ascii="宋体" w:eastAsia="宋体" w:hint="eastAsia"/>
                <w:b/>
                <w:sz w:val="21"/>
              </w:rPr>
            </w:pPr>
            <w:r>
              <w:rPr>
                <w:rFonts w:ascii="宋体" w:eastAsia="宋体" w:hint="eastAsia"/>
                <w:b/>
                <w:sz w:val="21"/>
              </w:rPr>
              <w:t>距离（</w:t>
            </w:r>
            <w:r>
              <w:rPr>
                <w:b/>
                <w:sz w:val="21"/>
              </w:rPr>
              <w:t>m</w:t>
            </w:r>
            <w:r>
              <w:rPr>
                <w:rFonts w:ascii="宋体" w:eastAsia="宋体" w:hint="eastAsia"/>
                <w:b/>
                <w:sz w:val="21"/>
              </w:rPr>
              <w:t>）</w:t>
            </w:r>
          </w:p>
        </w:tc>
        <w:tc>
          <w:tcPr>
            <w:tcW w:w="1047" w:type="dxa"/>
            <w:tcBorders>
              <w:left w:val="single" w:sz="6" w:space="0" w:color="000000"/>
              <w:bottom w:val="single" w:sz="6" w:space="0" w:color="000000"/>
              <w:right w:val="single" w:sz="6" w:space="0" w:color="000000"/>
            </w:tcBorders>
          </w:tcPr>
          <w:p>
            <w:pPr>
              <w:pStyle w:val="TableParagraph"/>
              <w:spacing w:before="57"/>
              <w:ind w:left="24"/>
              <w:rPr>
                <w:sz w:val="21"/>
              </w:rPr>
            </w:pPr>
            <w:r>
              <w:rPr>
                <w:w w:val="100"/>
                <w:sz w:val="21"/>
              </w:rPr>
              <w:t>5</w:t>
            </w:r>
          </w:p>
        </w:tc>
        <w:tc>
          <w:tcPr>
            <w:tcW w:w="886" w:type="dxa"/>
            <w:tcBorders>
              <w:left w:val="single" w:sz="6" w:space="0" w:color="000000"/>
              <w:bottom w:val="single" w:sz="6" w:space="0" w:color="000000"/>
              <w:right w:val="single" w:sz="6" w:space="0" w:color="000000"/>
            </w:tcBorders>
          </w:tcPr>
          <w:p>
            <w:pPr>
              <w:pStyle w:val="TableParagraph"/>
              <w:spacing w:before="57"/>
              <w:ind w:left="340"/>
              <w:jc w:val="left"/>
              <w:rPr>
                <w:sz w:val="21"/>
              </w:rPr>
            </w:pPr>
            <w:r>
              <w:rPr>
                <w:sz w:val="21"/>
              </w:rPr>
              <w:t>25</w:t>
            </w:r>
          </w:p>
        </w:tc>
        <w:tc>
          <w:tcPr>
            <w:tcW w:w="886" w:type="dxa"/>
            <w:tcBorders>
              <w:left w:val="single" w:sz="6" w:space="0" w:color="000000"/>
              <w:bottom w:val="single" w:sz="6" w:space="0" w:color="000000"/>
              <w:right w:val="single" w:sz="6" w:space="0" w:color="000000"/>
            </w:tcBorders>
          </w:tcPr>
          <w:p>
            <w:pPr>
              <w:pStyle w:val="TableParagraph"/>
              <w:spacing w:before="57"/>
              <w:ind w:left="241" w:right="216"/>
              <w:rPr>
                <w:sz w:val="21"/>
              </w:rPr>
            </w:pPr>
            <w:r>
              <w:rPr>
                <w:sz w:val="21"/>
              </w:rPr>
              <w:t>50</w:t>
            </w:r>
          </w:p>
        </w:tc>
        <w:tc>
          <w:tcPr>
            <w:tcW w:w="886" w:type="dxa"/>
            <w:tcBorders>
              <w:left w:val="single" w:sz="6" w:space="0" w:color="000000"/>
              <w:bottom w:val="single" w:sz="6" w:space="0" w:color="000000"/>
            </w:tcBorders>
          </w:tcPr>
          <w:p>
            <w:pPr>
              <w:pStyle w:val="TableParagraph"/>
              <w:spacing w:before="57"/>
              <w:ind w:left="247" w:right="209"/>
              <w:rPr>
                <w:sz w:val="21"/>
              </w:rPr>
            </w:pPr>
            <w:r>
              <w:rPr>
                <w:sz w:val="21"/>
              </w:rPr>
              <w:t>100</w:t>
            </w:r>
          </w:p>
        </w:tc>
      </w:tr>
      <w:tr>
        <w:trPr>
          <w:trHeight w:val="351" w:hRule="atLeast"/>
        </w:trPr>
        <w:tc>
          <w:tcPr>
            <w:tcW w:w="4441" w:type="dxa"/>
            <w:vMerge w:val="restart"/>
            <w:tcBorders>
              <w:top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865"/>
              <w:jc w:val="left"/>
              <w:rPr>
                <w:rFonts w:ascii="宋体" w:eastAsia="宋体" w:hint="eastAsia"/>
                <w:b/>
                <w:sz w:val="21"/>
              </w:rPr>
            </w:pPr>
            <w:r>
              <w:rPr>
                <w:b/>
                <w:sz w:val="21"/>
              </w:rPr>
              <w:t>TSP </w:t>
            </w:r>
            <w:r>
              <w:rPr>
                <w:rFonts w:ascii="宋体" w:eastAsia="宋体" w:hint="eastAsia"/>
                <w:b/>
                <w:sz w:val="21"/>
              </w:rPr>
              <w:t>小时平均浓度（</w:t>
            </w:r>
            <w:r>
              <w:rPr>
                <w:b/>
                <w:sz w:val="21"/>
              </w:rPr>
              <w:t>mg/m</w:t>
            </w:r>
            <w:r>
              <w:rPr>
                <w:b/>
                <w:position w:val="7"/>
                <w:sz w:val="14"/>
              </w:rPr>
              <w:t>3</w:t>
            </w:r>
            <w:r>
              <w:rPr>
                <w:rFonts w:ascii="宋体" w:eastAsia="宋体" w:hint="eastAsia"/>
                <w:b/>
                <w:sz w:val="21"/>
              </w:rPr>
              <w:t>）</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spacing w:before="44"/>
              <w:ind w:left="133" w:right="109"/>
              <w:rPr>
                <w:rFonts w:ascii="宋体" w:eastAsia="宋体" w:hint="eastAsia"/>
                <w:b/>
                <w:sz w:val="21"/>
              </w:rPr>
            </w:pPr>
            <w:r>
              <w:rPr>
                <w:rFonts w:ascii="宋体" w:eastAsia="宋体" w:hint="eastAsia"/>
                <w:b/>
                <w:sz w:val="21"/>
              </w:rPr>
              <w:t>不洒水</w:t>
            </w:r>
          </w:p>
        </w:tc>
        <w:tc>
          <w:tcPr>
            <w:tcW w:w="1047" w:type="dxa"/>
            <w:tcBorders>
              <w:top w:val="single" w:sz="6" w:space="0" w:color="000000"/>
              <w:left w:val="single" w:sz="6" w:space="0" w:color="000000"/>
              <w:bottom w:val="single" w:sz="6" w:space="0" w:color="000000"/>
              <w:right w:val="single" w:sz="6" w:space="0" w:color="000000"/>
            </w:tcBorders>
          </w:tcPr>
          <w:p>
            <w:pPr>
              <w:pStyle w:val="TableParagraph"/>
              <w:ind w:left="273" w:right="245"/>
              <w:rPr>
                <w:sz w:val="21"/>
              </w:rPr>
            </w:pPr>
            <w:r>
              <w:rPr>
                <w:sz w:val="21"/>
              </w:rPr>
              <w:t>10.14</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ind w:left="264"/>
              <w:jc w:val="left"/>
              <w:rPr>
                <w:sz w:val="21"/>
              </w:rPr>
            </w:pPr>
            <w:r>
              <w:rPr>
                <w:sz w:val="21"/>
              </w:rPr>
              <w:t>2.89</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ind w:left="246" w:right="216"/>
              <w:rPr>
                <w:sz w:val="21"/>
              </w:rPr>
            </w:pPr>
            <w:r>
              <w:rPr>
                <w:sz w:val="21"/>
              </w:rPr>
              <w:t>1.15</w:t>
            </w:r>
          </w:p>
        </w:tc>
        <w:tc>
          <w:tcPr>
            <w:tcW w:w="886" w:type="dxa"/>
            <w:tcBorders>
              <w:top w:val="single" w:sz="6" w:space="0" w:color="000000"/>
              <w:left w:val="single" w:sz="6" w:space="0" w:color="000000"/>
              <w:bottom w:val="single" w:sz="6" w:space="0" w:color="000000"/>
            </w:tcBorders>
          </w:tcPr>
          <w:p>
            <w:pPr>
              <w:pStyle w:val="TableParagraph"/>
              <w:ind w:left="247" w:right="209"/>
              <w:rPr>
                <w:sz w:val="21"/>
              </w:rPr>
            </w:pPr>
            <w:r>
              <w:rPr>
                <w:sz w:val="21"/>
              </w:rPr>
              <w:t>0.86</w:t>
            </w:r>
          </w:p>
        </w:tc>
      </w:tr>
      <w:tr>
        <w:trPr>
          <w:trHeight w:val="349" w:hRule="atLeast"/>
        </w:trPr>
        <w:tc>
          <w:tcPr>
            <w:tcW w:w="4441" w:type="dxa"/>
            <w:vMerge/>
            <w:tcBorders>
              <w:top w:val="nil"/>
              <w:right w:val="single" w:sz="6" w:space="0" w:color="000000"/>
            </w:tcBorders>
          </w:tcPr>
          <w:p>
            <w:pPr>
              <w:rPr>
                <w:sz w:val="2"/>
                <w:szCs w:val="2"/>
              </w:rPr>
            </w:pPr>
          </w:p>
        </w:tc>
        <w:tc>
          <w:tcPr>
            <w:tcW w:w="1286" w:type="dxa"/>
            <w:tcBorders>
              <w:top w:val="single" w:sz="6" w:space="0" w:color="000000"/>
              <w:left w:val="single" w:sz="6" w:space="0" w:color="000000"/>
              <w:right w:val="single" w:sz="6" w:space="0" w:color="000000"/>
            </w:tcBorders>
          </w:tcPr>
          <w:p>
            <w:pPr>
              <w:pStyle w:val="TableParagraph"/>
              <w:spacing w:before="36"/>
              <w:ind w:left="133" w:right="109"/>
              <w:rPr>
                <w:rFonts w:ascii="宋体" w:eastAsia="宋体" w:hint="eastAsia"/>
                <w:b/>
                <w:sz w:val="21"/>
              </w:rPr>
            </w:pPr>
            <w:r>
              <w:rPr>
                <w:rFonts w:ascii="宋体" w:eastAsia="宋体" w:hint="eastAsia"/>
                <w:b/>
                <w:sz w:val="21"/>
              </w:rPr>
              <w:t>洒水</w:t>
            </w:r>
          </w:p>
        </w:tc>
        <w:tc>
          <w:tcPr>
            <w:tcW w:w="1047" w:type="dxa"/>
            <w:tcBorders>
              <w:top w:val="single" w:sz="6" w:space="0" w:color="000000"/>
              <w:left w:val="single" w:sz="6" w:space="0" w:color="000000"/>
              <w:right w:val="single" w:sz="6" w:space="0" w:color="000000"/>
            </w:tcBorders>
          </w:tcPr>
          <w:p>
            <w:pPr>
              <w:pStyle w:val="TableParagraph"/>
              <w:spacing w:before="50"/>
              <w:ind w:left="273" w:right="245"/>
              <w:rPr>
                <w:sz w:val="21"/>
              </w:rPr>
            </w:pPr>
            <w:r>
              <w:rPr>
                <w:sz w:val="21"/>
              </w:rPr>
              <w:t>2.01</w:t>
            </w:r>
          </w:p>
        </w:tc>
        <w:tc>
          <w:tcPr>
            <w:tcW w:w="886" w:type="dxa"/>
            <w:tcBorders>
              <w:top w:val="single" w:sz="6" w:space="0" w:color="000000"/>
              <w:left w:val="single" w:sz="6" w:space="0" w:color="000000"/>
              <w:right w:val="single" w:sz="6" w:space="0" w:color="000000"/>
            </w:tcBorders>
          </w:tcPr>
          <w:p>
            <w:pPr>
              <w:pStyle w:val="TableParagraph"/>
              <w:spacing w:before="50"/>
              <w:ind w:left="264"/>
              <w:jc w:val="left"/>
              <w:rPr>
                <w:sz w:val="21"/>
              </w:rPr>
            </w:pPr>
            <w:r>
              <w:rPr>
                <w:sz w:val="21"/>
              </w:rPr>
              <w:t>1.40</w:t>
            </w:r>
          </w:p>
        </w:tc>
        <w:tc>
          <w:tcPr>
            <w:tcW w:w="886" w:type="dxa"/>
            <w:tcBorders>
              <w:top w:val="single" w:sz="6" w:space="0" w:color="000000"/>
              <w:left w:val="single" w:sz="6" w:space="0" w:color="000000"/>
              <w:right w:val="single" w:sz="6" w:space="0" w:color="000000"/>
            </w:tcBorders>
          </w:tcPr>
          <w:p>
            <w:pPr>
              <w:pStyle w:val="TableParagraph"/>
              <w:spacing w:before="50"/>
              <w:ind w:left="246" w:right="216"/>
              <w:rPr>
                <w:sz w:val="21"/>
              </w:rPr>
            </w:pPr>
            <w:r>
              <w:rPr>
                <w:sz w:val="21"/>
              </w:rPr>
              <w:t>0.67</w:t>
            </w:r>
          </w:p>
        </w:tc>
        <w:tc>
          <w:tcPr>
            <w:tcW w:w="886" w:type="dxa"/>
            <w:tcBorders>
              <w:top w:val="single" w:sz="6" w:space="0" w:color="000000"/>
              <w:left w:val="single" w:sz="6" w:space="0" w:color="000000"/>
            </w:tcBorders>
          </w:tcPr>
          <w:p>
            <w:pPr>
              <w:pStyle w:val="TableParagraph"/>
              <w:spacing w:before="50"/>
              <w:ind w:left="247" w:right="209"/>
              <w:rPr>
                <w:sz w:val="21"/>
              </w:rPr>
            </w:pPr>
            <w:r>
              <w:rPr>
                <w:sz w:val="21"/>
              </w:rPr>
              <w:t>0.60</w:t>
            </w:r>
          </w:p>
        </w:tc>
      </w:tr>
    </w:tbl>
    <w:p>
      <w:pPr>
        <w:pStyle w:val="BodyText"/>
        <w:spacing w:line="364" w:lineRule="auto" w:before="84"/>
        <w:ind w:right="250" w:firstLine="480"/>
        <w:jc w:val="both"/>
      </w:pPr>
      <w:r>
        <w:rPr/>
        <w:t>本项目的粉尘主要表现在交通沿线和工地附近，尤其是天气干燥及风速较大时影响</w:t>
      </w:r>
      <w:r>
        <w:rPr>
          <w:spacing w:val="-5"/>
        </w:rPr>
        <w:t>更为明显，使该区块及周围近地区大气中总悬浮颗粒</w:t>
      </w:r>
      <w:r>
        <w:rPr>
          <w:spacing w:val="-4"/>
        </w:rPr>
        <w:t>（</w:t>
      </w:r>
      <w:r>
        <w:rPr>
          <w:rFonts w:ascii="Times New Roman" w:eastAsia="Times New Roman"/>
          <w:spacing w:val="-4"/>
        </w:rPr>
        <w:t>TSP</w:t>
      </w:r>
      <w:r>
        <w:rPr>
          <w:spacing w:val="-4"/>
        </w:rPr>
        <w:t>）</w:t>
      </w:r>
      <w:r>
        <w:rPr>
          <w:spacing w:val="-6"/>
        </w:rPr>
        <w:t>浓度增大。在此建议加强施</w:t>
      </w:r>
      <w:r>
        <w:rPr/>
        <w:t>工场地及车辆进出路面的洒水抑尘措施，保持路面在一定湿度范围内，以预防起尘。</w:t>
      </w:r>
    </w:p>
    <w:p>
      <w:pPr>
        <w:pStyle w:val="Heading3"/>
        <w:spacing w:before="2"/>
      </w:pPr>
      <w:r>
        <w:rPr>
          <w:rFonts w:ascii="Times New Roman" w:eastAsia="Times New Roman"/>
        </w:rPr>
        <w:t>3</w:t>
      </w:r>
      <w:r>
        <w:rPr/>
        <w:t>、噪声</w:t>
      </w:r>
    </w:p>
    <w:p>
      <w:pPr>
        <w:pStyle w:val="BodyText"/>
        <w:spacing w:line="364" w:lineRule="auto" w:before="161"/>
        <w:ind w:right="249" w:firstLine="480"/>
        <w:jc w:val="both"/>
      </w:pPr>
      <w:r>
        <w:rPr/>
        <w:t>项目施工过程一般分为四个阶段：土石方阶段、基础施工阶段、结构施工阶段和装修阶段。这四个阶段所占施工时间较长，采用的施工机械较多，噪声污染较为严重。不同的施工阶段又有其独立的噪声特性，其影响程度及范围也不尽相同。</w:t>
      </w:r>
    </w:p>
    <w:p>
      <w:pPr>
        <w:pStyle w:val="ListParagraph"/>
        <w:numPr>
          <w:ilvl w:val="0"/>
          <w:numId w:val="45"/>
        </w:numPr>
        <w:tabs>
          <w:tab w:pos="1319" w:val="left" w:leader="none"/>
        </w:tabs>
        <w:spacing w:line="240" w:lineRule="auto" w:before="2" w:after="0"/>
        <w:ind w:left="1318" w:right="0" w:hanging="602"/>
        <w:jc w:val="left"/>
        <w:rPr>
          <w:sz w:val="24"/>
        </w:rPr>
      </w:pPr>
      <w:r>
        <w:rPr>
          <w:sz w:val="24"/>
        </w:rPr>
        <w:t>土石方施工阶段</w:t>
      </w:r>
    </w:p>
    <w:p>
      <w:pPr>
        <w:pStyle w:val="BodyText"/>
        <w:spacing w:line="364" w:lineRule="auto" w:before="160"/>
        <w:ind w:right="253" w:firstLine="480"/>
        <w:jc w:val="both"/>
      </w:pPr>
      <w:r>
        <w:rPr/>
        <w:t>土石方施工阶段的施工噪声没有明显的指向性，主要噪声是推土机、挖掘机、装载机和运输车辆等，其声功率级范围一般为 </w:t>
      </w:r>
      <w:r>
        <w:rPr>
          <w:rFonts w:ascii="Times New Roman" w:eastAsia="Times New Roman"/>
        </w:rPr>
        <w:t>80~100dB(A)</w:t>
      </w:r>
      <w:r>
        <w:rPr/>
        <w:t>，其中 </w:t>
      </w:r>
      <w:r>
        <w:rPr>
          <w:rFonts w:ascii="Times New Roman" w:eastAsia="Times New Roman"/>
        </w:rPr>
        <w:t>70%</w:t>
      </w:r>
      <w:r>
        <w:rPr/>
        <w:t>的声功率级集中在</w:t>
      </w:r>
      <w:r>
        <w:rPr>
          <w:rFonts w:ascii="Times New Roman" w:eastAsia="Times New Roman"/>
        </w:rPr>
        <w:t>80~90dB(A)</w:t>
      </w:r>
      <w:r>
        <w:rPr/>
        <w:t>范围内。</w:t>
      </w:r>
    </w:p>
    <w:p>
      <w:pPr>
        <w:pStyle w:val="ListParagraph"/>
        <w:numPr>
          <w:ilvl w:val="0"/>
          <w:numId w:val="45"/>
        </w:numPr>
        <w:tabs>
          <w:tab w:pos="1319" w:val="left" w:leader="none"/>
        </w:tabs>
        <w:spacing w:line="240" w:lineRule="auto" w:before="2" w:after="0"/>
        <w:ind w:left="1318" w:right="0" w:hanging="602"/>
        <w:jc w:val="left"/>
        <w:rPr>
          <w:sz w:val="24"/>
        </w:rPr>
      </w:pPr>
      <w:r>
        <w:rPr>
          <w:sz w:val="24"/>
        </w:rPr>
        <w:t>基础施工阶段</w:t>
      </w:r>
    </w:p>
    <w:p>
      <w:pPr>
        <w:pStyle w:val="BodyText"/>
        <w:spacing w:line="364" w:lineRule="auto" w:before="161"/>
        <w:ind w:right="133" w:firstLine="480"/>
      </w:pPr>
      <w:r>
        <w:rPr>
          <w:spacing w:val="-2"/>
        </w:rPr>
        <w:t>基础施工阶段的主要噪声源是打桩机，其声功率级范围为 </w:t>
      </w:r>
      <w:r>
        <w:rPr>
          <w:rFonts w:ascii="Times New Roman" w:eastAsia="Times New Roman"/>
        </w:rPr>
        <w:t>100~110dB(A)</w:t>
      </w:r>
      <w:r>
        <w:rPr/>
        <w:t>，属于周期性脉冲声，具有明显的指向性。严禁采用柴油冲击桩，应采用噪声相对较小的静压灌注</w:t>
      </w:r>
      <w:r>
        <w:rPr>
          <w:spacing w:val="-6"/>
        </w:rPr>
        <w:t>桩或其它技术，从而施工噪声将大幅度的减轻。另外，在基础施工阶段还有风镐、吊车、</w:t>
      </w:r>
      <w:r>
        <w:rPr>
          <w:spacing w:val="-4"/>
        </w:rPr>
        <w:t>平地机等施工机械设备，其声功率级一般在 </w:t>
      </w:r>
      <w:r>
        <w:rPr>
          <w:rFonts w:ascii="Times New Roman" w:eastAsia="Times New Roman"/>
        </w:rPr>
        <w:t>90~100dB(A)</w:t>
      </w:r>
      <w:r>
        <w:rPr/>
        <w:t>。</w:t>
      </w:r>
    </w:p>
    <w:p>
      <w:pPr>
        <w:pStyle w:val="ListParagraph"/>
        <w:numPr>
          <w:ilvl w:val="0"/>
          <w:numId w:val="45"/>
        </w:numPr>
        <w:tabs>
          <w:tab w:pos="1319" w:val="left" w:leader="none"/>
        </w:tabs>
        <w:spacing w:line="240" w:lineRule="auto" w:before="2" w:after="0"/>
        <w:ind w:left="1318" w:right="0" w:hanging="602"/>
        <w:jc w:val="left"/>
        <w:rPr>
          <w:sz w:val="24"/>
        </w:rPr>
      </w:pPr>
      <w:r>
        <w:rPr>
          <w:sz w:val="24"/>
        </w:rPr>
        <w:t>结构施工阶段</w:t>
      </w:r>
    </w:p>
    <w:p>
      <w:pPr>
        <w:pStyle w:val="BodyText"/>
        <w:spacing w:line="364" w:lineRule="auto" w:before="161"/>
        <w:ind w:right="249" w:firstLine="480"/>
        <w:jc w:val="both"/>
      </w:pPr>
      <w:r>
        <w:rPr/>
        <w:t>结构施工阶段是施工中周期最长的阶段，使用的设备种类较多。主要的噪声源有： 运输设备（包括汽车吊车、塔式吊车、运输平台、施工电梯等）；结构工程设备（包括混凝土搅拌机、振捣器、水泥搅拌等）；其他辅助设备（包括电锯、砂轮锯等）。结构施工阶段的声功率级介于 </w:t>
      </w:r>
      <w:r>
        <w:rPr>
          <w:rFonts w:ascii="Times New Roman" w:eastAsia="Times New Roman"/>
        </w:rPr>
        <w:t>90~100dB(A)</w:t>
      </w:r>
      <w:r>
        <w:rPr/>
        <w:t>，主要集中在 </w:t>
      </w:r>
      <w:r>
        <w:rPr>
          <w:rFonts w:ascii="Times New Roman" w:eastAsia="Times New Roman"/>
        </w:rPr>
        <w:t>95dB(A)</w:t>
      </w:r>
      <w:r>
        <w:rPr/>
        <w:t>左右。</w:t>
      </w:r>
    </w:p>
    <w:p>
      <w:pPr>
        <w:pStyle w:val="ListParagraph"/>
        <w:numPr>
          <w:ilvl w:val="0"/>
          <w:numId w:val="45"/>
        </w:numPr>
        <w:tabs>
          <w:tab w:pos="1319" w:val="left" w:leader="none"/>
        </w:tabs>
        <w:spacing w:line="240" w:lineRule="auto" w:before="3" w:after="0"/>
        <w:ind w:left="1318" w:right="0" w:hanging="602"/>
        <w:jc w:val="left"/>
        <w:rPr>
          <w:sz w:val="24"/>
        </w:rPr>
      </w:pPr>
      <w:r>
        <w:rPr>
          <w:sz w:val="24"/>
        </w:rPr>
        <w:t>装修阶段</w:t>
      </w:r>
    </w:p>
    <w:p>
      <w:pPr>
        <w:pStyle w:val="BodyText"/>
        <w:spacing w:line="364" w:lineRule="auto" w:before="160"/>
        <w:ind w:right="249" w:firstLine="480"/>
        <w:jc w:val="both"/>
      </w:pPr>
      <w:r>
        <w:rPr/>
        <w:t>装修施工阶段的声源数量较少，基本上没有强噪声源，是整个施工过程中噪声影响较小的环节。装修阶段的噪声设备主要有砂轮机、电钻、电梯、吊车、切割机等，其声功率级基本上介于 </w:t>
      </w:r>
      <w:r>
        <w:rPr>
          <w:rFonts w:ascii="Times New Roman" w:eastAsia="Times New Roman"/>
        </w:rPr>
        <w:t>80~100dB(A)</w:t>
      </w:r>
      <w:r>
        <w:rPr/>
        <w:t>。</w:t>
      </w:r>
    </w:p>
    <w:p>
      <w:pPr>
        <w:pStyle w:val="BodyText"/>
        <w:spacing w:before="2"/>
        <w:ind w:left="717"/>
        <w:jc w:val="both"/>
      </w:pPr>
      <w:r>
        <w:rPr/>
        <w:t>施工期各类单台施工机械在距离噪声源 </w:t>
      </w:r>
      <w:r>
        <w:rPr>
          <w:rFonts w:ascii="Times New Roman" w:eastAsia="Times New Roman"/>
        </w:rPr>
        <w:t>5m </w:t>
      </w:r>
      <w:r>
        <w:rPr/>
        <w:t>和 </w:t>
      </w:r>
      <w:r>
        <w:rPr>
          <w:rFonts w:ascii="Times New Roman" w:eastAsia="Times New Roman"/>
        </w:rPr>
        <w:t>10m </w:t>
      </w:r>
      <w:r>
        <w:rPr/>
        <w:t>的声级详见表 </w:t>
      </w:r>
      <w:r>
        <w:rPr>
          <w:rFonts w:ascii="Times New Roman" w:eastAsia="Times New Roman"/>
        </w:rPr>
        <w:t>3.2-9</w:t>
      </w:r>
      <w:r>
        <w:rPr/>
        <w:t>。</w:t>
      </w:r>
    </w:p>
    <w:p>
      <w:pPr>
        <w:spacing w:after="0"/>
        <w:jc w:val="both"/>
        <w:sectPr>
          <w:pgSz w:w="11910" w:h="16840"/>
          <w:pgMar w:header="874" w:footer="1004" w:top="1400" w:bottom="1200" w:left="1040" w:right="1160"/>
        </w:sectPr>
      </w:pPr>
    </w:p>
    <w:p>
      <w:pPr>
        <w:pStyle w:val="Heading3"/>
        <w:spacing w:before="105"/>
        <w:ind w:left="220" w:right="236"/>
        <w:jc w:val="center"/>
      </w:pPr>
      <w:r>
        <w:rPr/>
        <w:t>表</w:t>
      </w:r>
      <w:r>
        <w:rPr>
          <w:rFonts w:ascii="Times New Roman" w:eastAsia="Times New Roman"/>
        </w:rPr>
        <w:t>3.2-9</w:t>
      </w:r>
      <w:r>
        <w:rPr>
          <w:rFonts w:ascii="Times New Roman" w:eastAsia="Times New Roman"/>
          <w:spacing w:val="59"/>
        </w:rPr>
        <w:t> </w:t>
      </w:r>
      <w:r>
        <w:rPr/>
        <w:t>常用施工设备噪声源不同距离声级</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78"/>
        <w:gridCol w:w="1407"/>
        <w:gridCol w:w="1532"/>
        <w:gridCol w:w="1779"/>
        <w:gridCol w:w="1404"/>
        <w:gridCol w:w="1532"/>
      </w:tblGrid>
      <w:tr>
        <w:trPr>
          <w:trHeight w:val="359" w:hRule="atLeast"/>
        </w:trPr>
        <w:tc>
          <w:tcPr>
            <w:tcW w:w="1778" w:type="dxa"/>
            <w:tcBorders>
              <w:bottom w:val="single" w:sz="6" w:space="0" w:color="000000"/>
              <w:right w:val="single" w:sz="6" w:space="0" w:color="000000"/>
            </w:tcBorders>
          </w:tcPr>
          <w:p>
            <w:pPr>
              <w:pStyle w:val="TableParagraph"/>
              <w:spacing w:before="43"/>
              <w:ind w:left="237" w:right="213"/>
              <w:rPr>
                <w:rFonts w:ascii="宋体" w:eastAsia="宋体" w:hint="eastAsia"/>
                <w:b/>
                <w:sz w:val="21"/>
              </w:rPr>
            </w:pPr>
            <w:r>
              <w:rPr>
                <w:rFonts w:ascii="宋体" w:eastAsia="宋体" w:hint="eastAsia"/>
                <w:b/>
                <w:sz w:val="21"/>
              </w:rPr>
              <w:t>施工设备名称</w:t>
            </w:r>
          </w:p>
        </w:tc>
        <w:tc>
          <w:tcPr>
            <w:tcW w:w="1407" w:type="dxa"/>
            <w:tcBorders>
              <w:left w:val="single" w:sz="6" w:space="0" w:color="000000"/>
              <w:bottom w:val="single" w:sz="6" w:space="0" w:color="000000"/>
              <w:right w:val="single" w:sz="6" w:space="0" w:color="000000"/>
            </w:tcBorders>
          </w:tcPr>
          <w:p>
            <w:pPr>
              <w:pStyle w:val="TableParagraph"/>
              <w:spacing w:before="43"/>
              <w:ind w:left="182" w:right="150"/>
              <w:rPr>
                <w:b/>
                <w:sz w:val="21"/>
              </w:rPr>
            </w:pPr>
            <w:r>
              <w:rPr>
                <w:rFonts w:ascii="宋体" w:eastAsia="宋体" w:hint="eastAsia"/>
                <w:b/>
                <w:sz w:val="21"/>
              </w:rPr>
              <w:t>距声源 </w:t>
            </w:r>
            <w:r>
              <w:rPr>
                <w:b/>
                <w:sz w:val="21"/>
              </w:rPr>
              <w:t>5m</w:t>
            </w:r>
          </w:p>
        </w:tc>
        <w:tc>
          <w:tcPr>
            <w:tcW w:w="1532" w:type="dxa"/>
            <w:tcBorders>
              <w:left w:val="single" w:sz="6" w:space="0" w:color="000000"/>
              <w:bottom w:val="single" w:sz="6" w:space="0" w:color="000000"/>
              <w:right w:val="single" w:sz="6" w:space="0" w:color="000000"/>
            </w:tcBorders>
          </w:tcPr>
          <w:p>
            <w:pPr>
              <w:pStyle w:val="TableParagraph"/>
              <w:spacing w:before="43"/>
              <w:ind w:left="192" w:right="161"/>
              <w:rPr>
                <w:b/>
                <w:sz w:val="21"/>
              </w:rPr>
            </w:pPr>
            <w:r>
              <w:rPr>
                <w:rFonts w:ascii="宋体" w:eastAsia="宋体" w:hint="eastAsia"/>
                <w:b/>
                <w:sz w:val="21"/>
              </w:rPr>
              <w:t>距声源 </w:t>
            </w:r>
            <w:r>
              <w:rPr>
                <w:b/>
                <w:sz w:val="21"/>
              </w:rPr>
              <w:t>10m</w:t>
            </w:r>
          </w:p>
        </w:tc>
        <w:tc>
          <w:tcPr>
            <w:tcW w:w="1779" w:type="dxa"/>
            <w:tcBorders>
              <w:left w:val="single" w:sz="6" w:space="0" w:color="000000"/>
              <w:bottom w:val="single" w:sz="6" w:space="0" w:color="000000"/>
              <w:right w:val="single" w:sz="6" w:space="0" w:color="000000"/>
            </w:tcBorders>
          </w:tcPr>
          <w:p>
            <w:pPr>
              <w:pStyle w:val="TableParagraph"/>
              <w:spacing w:before="43"/>
              <w:ind w:left="244" w:right="214"/>
              <w:rPr>
                <w:rFonts w:ascii="宋体" w:eastAsia="宋体" w:hint="eastAsia"/>
                <w:b/>
                <w:sz w:val="21"/>
              </w:rPr>
            </w:pPr>
            <w:r>
              <w:rPr>
                <w:rFonts w:ascii="宋体" w:eastAsia="宋体" w:hint="eastAsia"/>
                <w:b/>
                <w:sz w:val="21"/>
              </w:rPr>
              <w:t>施工设备名称</w:t>
            </w:r>
          </w:p>
        </w:tc>
        <w:tc>
          <w:tcPr>
            <w:tcW w:w="1404" w:type="dxa"/>
            <w:tcBorders>
              <w:left w:val="single" w:sz="6" w:space="0" w:color="000000"/>
              <w:bottom w:val="single" w:sz="6" w:space="0" w:color="000000"/>
              <w:right w:val="single" w:sz="6" w:space="0" w:color="000000"/>
            </w:tcBorders>
          </w:tcPr>
          <w:p>
            <w:pPr>
              <w:pStyle w:val="TableParagraph"/>
              <w:spacing w:before="43"/>
              <w:ind w:left="179" w:right="150"/>
              <w:rPr>
                <w:b/>
                <w:sz w:val="21"/>
              </w:rPr>
            </w:pPr>
            <w:r>
              <w:rPr>
                <w:rFonts w:ascii="宋体" w:eastAsia="宋体" w:hint="eastAsia"/>
                <w:b/>
                <w:sz w:val="21"/>
              </w:rPr>
              <w:t>距声源 </w:t>
            </w:r>
            <w:r>
              <w:rPr>
                <w:b/>
                <w:sz w:val="21"/>
              </w:rPr>
              <w:t>5m</w:t>
            </w:r>
          </w:p>
        </w:tc>
        <w:tc>
          <w:tcPr>
            <w:tcW w:w="1532" w:type="dxa"/>
            <w:tcBorders>
              <w:left w:val="single" w:sz="6" w:space="0" w:color="000000"/>
              <w:bottom w:val="single" w:sz="6" w:space="0" w:color="000000"/>
            </w:tcBorders>
          </w:tcPr>
          <w:p>
            <w:pPr>
              <w:pStyle w:val="TableParagraph"/>
              <w:spacing w:before="43"/>
              <w:ind w:left="192" w:right="154"/>
              <w:rPr>
                <w:b/>
                <w:sz w:val="21"/>
              </w:rPr>
            </w:pPr>
            <w:r>
              <w:rPr>
                <w:rFonts w:ascii="宋体" w:eastAsia="宋体" w:hint="eastAsia"/>
                <w:b/>
                <w:sz w:val="21"/>
              </w:rPr>
              <w:t>距声源 </w:t>
            </w:r>
            <w:r>
              <w:rPr>
                <w:b/>
                <w:sz w:val="21"/>
              </w:rPr>
              <w:t>10m</w:t>
            </w:r>
          </w:p>
        </w:tc>
      </w:tr>
      <w:tr>
        <w:trPr>
          <w:trHeight w:val="359" w:hRule="atLeast"/>
        </w:trPr>
        <w:tc>
          <w:tcPr>
            <w:tcW w:w="1778" w:type="dxa"/>
            <w:tcBorders>
              <w:top w:val="single" w:sz="6" w:space="0" w:color="000000"/>
              <w:bottom w:val="single" w:sz="6" w:space="0" w:color="000000"/>
              <w:right w:val="single" w:sz="6" w:space="0" w:color="000000"/>
            </w:tcBorders>
          </w:tcPr>
          <w:p>
            <w:pPr>
              <w:pStyle w:val="TableParagraph"/>
              <w:spacing w:before="44"/>
              <w:ind w:left="234" w:right="213"/>
              <w:rPr>
                <w:rFonts w:ascii="宋体" w:eastAsia="宋体" w:hint="eastAsia"/>
                <w:sz w:val="21"/>
              </w:rPr>
            </w:pPr>
            <w:r>
              <w:rPr>
                <w:rFonts w:ascii="宋体" w:eastAsia="宋体" w:hint="eastAsia"/>
                <w:sz w:val="21"/>
              </w:rPr>
              <w:t>液压挖掘机</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ind w:left="182" w:right="150"/>
              <w:rPr>
                <w:sz w:val="21"/>
              </w:rPr>
            </w:pPr>
            <w:r>
              <w:rPr>
                <w:sz w:val="21"/>
              </w:rPr>
              <w:t>82~90</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ind w:left="191" w:right="161"/>
              <w:rPr>
                <w:sz w:val="21"/>
              </w:rPr>
            </w:pPr>
            <w:r>
              <w:rPr>
                <w:sz w:val="21"/>
              </w:rPr>
              <w:t>78~86</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4"/>
              <w:ind w:left="242" w:right="214"/>
              <w:rPr>
                <w:rFonts w:ascii="宋体" w:eastAsia="宋体" w:hint="eastAsia"/>
                <w:sz w:val="21"/>
              </w:rPr>
            </w:pPr>
            <w:r>
              <w:rPr>
                <w:rFonts w:ascii="宋体" w:eastAsia="宋体" w:hint="eastAsia"/>
                <w:sz w:val="21"/>
              </w:rPr>
              <w:t>振动夯锤</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ind w:left="178" w:right="150"/>
              <w:rPr>
                <w:sz w:val="21"/>
              </w:rPr>
            </w:pPr>
            <w:r>
              <w:rPr>
                <w:sz w:val="21"/>
              </w:rPr>
              <w:t>92~100</w:t>
            </w:r>
          </w:p>
        </w:tc>
        <w:tc>
          <w:tcPr>
            <w:tcW w:w="1532" w:type="dxa"/>
            <w:tcBorders>
              <w:top w:val="single" w:sz="6" w:space="0" w:color="000000"/>
              <w:left w:val="single" w:sz="6" w:space="0" w:color="000000"/>
              <w:bottom w:val="single" w:sz="6" w:space="0" w:color="000000"/>
            </w:tcBorders>
          </w:tcPr>
          <w:p>
            <w:pPr>
              <w:pStyle w:val="TableParagraph"/>
              <w:ind w:left="191" w:right="154"/>
              <w:rPr>
                <w:sz w:val="21"/>
              </w:rPr>
            </w:pPr>
            <w:r>
              <w:rPr>
                <w:sz w:val="21"/>
              </w:rPr>
              <w:t>86~94</w:t>
            </w:r>
          </w:p>
        </w:tc>
      </w:tr>
      <w:tr>
        <w:trPr>
          <w:trHeight w:val="357" w:hRule="atLeast"/>
        </w:trPr>
        <w:tc>
          <w:tcPr>
            <w:tcW w:w="1778" w:type="dxa"/>
            <w:tcBorders>
              <w:top w:val="single" w:sz="6" w:space="0" w:color="000000"/>
              <w:bottom w:val="single" w:sz="6" w:space="0" w:color="000000"/>
              <w:right w:val="single" w:sz="6" w:space="0" w:color="000000"/>
            </w:tcBorders>
          </w:tcPr>
          <w:p>
            <w:pPr>
              <w:pStyle w:val="TableParagraph"/>
              <w:spacing w:before="44"/>
              <w:ind w:left="234" w:right="213"/>
              <w:rPr>
                <w:rFonts w:ascii="宋体" w:eastAsia="宋体" w:hint="eastAsia"/>
                <w:sz w:val="21"/>
              </w:rPr>
            </w:pPr>
            <w:r>
              <w:rPr>
                <w:rFonts w:ascii="宋体" w:eastAsia="宋体" w:hint="eastAsia"/>
                <w:sz w:val="21"/>
              </w:rPr>
              <w:t>电动挖掘机</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ind w:left="182" w:right="150"/>
              <w:rPr>
                <w:sz w:val="21"/>
              </w:rPr>
            </w:pPr>
            <w:r>
              <w:rPr>
                <w:sz w:val="21"/>
              </w:rPr>
              <w:t>80~86</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ind w:left="191" w:right="161"/>
              <w:rPr>
                <w:sz w:val="21"/>
              </w:rPr>
            </w:pPr>
            <w:r>
              <w:rPr>
                <w:sz w:val="21"/>
              </w:rPr>
              <w:t>75~83</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4"/>
              <w:ind w:left="244" w:right="214"/>
              <w:rPr>
                <w:rFonts w:ascii="宋体" w:eastAsia="宋体" w:hint="eastAsia"/>
                <w:sz w:val="21"/>
              </w:rPr>
            </w:pPr>
            <w:r>
              <w:rPr>
                <w:rFonts w:ascii="宋体" w:eastAsia="宋体" w:hint="eastAsia"/>
                <w:sz w:val="21"/>
              </w:rPr>
              <w:t>打桩机</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ind w:left="179" w:right="148"/>
              <w:rPr>
                <w:sz w:val="21"/>
              </w:rPr>
            </w:pPr>
            <w:r>
              <w:rPr>
                <w:sz w:val="21"/>
              </w:rPr>
              <w:t>100~110</w:t>
            </w:r>
          </w:p>
        </w:tc>
        <w:tc>
          <w:tcPr>
            <w:tcW w:w="1532" w:type="dxa"/>
            <w:tcBorders>
              <w:top w:val="single" w:sz="6" w:space="0" w:color="000000"/>
              <w:left w:val="single" w:sz="6" w:space="0" w:color="000000"/>
              <w:bottom w:val="single" w:sz="6" w:space="0" w:color="000000"/>
            </w:tcBorders>
          </w:tcPr>
          <w:p>
            <w:pPr>
              <w:pStyle w:val="TableParagraph"/>
              <w:ind w:left="191" w:right="154"/>
              <w:rPr>
                <w:sz w:val="21"/>
              </w:rPr>
            </w:pPr>
            <w:r>
              <w:rPr>
                <w:sz w:val="21"/>
              </w:rPr>
              <w:t>95~105</w:t>
            </w:r>
          </w:p>
        </w:tc>
      </w:tr>
      <w:tr>
        <w:trPr>
          <w:trHeight w:val="359" w:hRule="atLeast"/>
        </w:trPr>
        <w:tc>
          <w:tcPr>
            <w:tcW w:w="1778" w:type="dxa"/>
            <w:tcBorders>
              <w:top w:val="single" w:sz="6" w:space="0" w:color="000000"/>
              <w:bottom w:val="single" w:sz="6" w:space="0" w:color="000000"/>
              <w:right w:val="single" w:sz="6" w:space="0" w:color="000000"/>
            </w:tcBorders>
          </w:tcPr>
          <w:p>
            <w:pPr>
              <w:pStyle w:val="TableParagraph"/>
              <w:spacing w:before="46"/>
              <w:ind w:left="234" w:right="213"/>
              <w:rPr>
                <w:rFonts w:ascii="宋体" w:eastAsia="宋体" w:hint="eastAsia"/>
                <w:sz w:val="21"/>
              </w:rPr>
            </w:pPr>
            <w:r>
              <w:rPr>
                <w:rFonts w:ascii="宋体" w:eastAsia="宋体" w:hint="eastAsia"/>
                <w:sz w:val="21"/>
              </w:rPr>
              <w:t>轮式装载机</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spacing w:before="60"/>
              <w:ind w:left="182" w:right="150"/>
              <w:rPr>
                <w:sz w:val="21"/>
              </w:rPr>
            </w:pPr>
            <w:r>
              <w:rPr>
                <w:sz w:val="21"/>
              </w:rPr>
              <w:t>90~95</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spacing w:before="60"/>
              <w:ind w:left="191" w:right="161"/>
              <w:rPr>
                <w:sz w:val="21"/>
              </w:rPr>
            </w:pPr>
            <w:r>
              <w:rPr>
                <w:sz w:val="21"/>
              </w:rPr>
              <w:t>85~91</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6"/>
              <w:ind w:left="242" w:right="214"/>
              <w:rPr>
                <w:rFonts w:ascii="宋体" w:eastAsia="宋体" w:hint="eastAsia"/>
                <w:sz w:val="21"/>
              </w:rPr>
            </w:pPr>
            <w:r>
              <w:rPr>
                <w:rFonts w:ascii="宋体" w:eastAsia="宋体" w:hint="eastAsia"/>
                <w:sz w:val="21"/>
              </w:rPr>
              <w:t>静力压桩机</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before="60"/>
              <w:ind w:left="178" w:right="150"/>
              <w:rPr>
                <w:sz w:val="21"/>
              </w:rPr>
            </w:pPr>
            <w:r>
              <w:rPr>
                <w:sz w:val="21"/>
              </w:rPr>
              <w:t>70~75</w:t>
            </w:r>
          </w:p>
        </w:tc>
        <w:tc>
          <w:tcPr>
            <w:tcW w:w="1532" w:type="dxa"/>
            <w:tcBorders>
              <w:top w:val="single" w:sz="6" w:space="0" w:color="000000"/>
              <w:left w:val="single" w:sz="6" w:space="0" w:color="000000"/>
              <w:bottom w:val="single" w:sz="6" w:space="0" w:color="000000"/>
            </w:tcBorders>
          </w:tcPr>
          <w:p>
            <w:pPr>
              <w:pStyle w:val="TableParagraph"/>
              <w:spacing w:before="60"/>
              <w:ind w:left="191" w:right="154"/>
              <w:rPr>
                <w:sz w:val="21"/>
              </w:rPr>
            </w:pPr>
            <w:r>
              <w:rPr>
                <w:sz w:val="21"/>
              </w:rPr>
              <w:t>68~73</w:t>
            </w:r>
          </w:p>
        </w:tc>
      </w:tr>
      <w:tr>
        <w:trPr>
          <w:trHeight w:val="359" w:hRule="atLeast"/>
        </w:trPr>
        <w:tc>
          <w:tcPr>
            <w:tcW w:w="1778" w:type="dxa"/>
            <w:tcBorders>
              <w:top w:val="single" w:sz="6" w:space="0" w:color="000000"/>
              <w:bottom w:val="single" w:sz="6" w:space="0" w:color="000000"/>
              <w:right w:val="single" w:sz="6" w:space="0" w:color="000000"/>
            </w:tcBorders>
          </w:tcPr>
          <w:p>
            <w:pPr>
              <w:pStyle w:val="TableParagraph"/>
              <w:spacing w:before="44"/>
              <w:ind w:left="237" w:right="213"/>
              <w:rPr>
                <w:rFonts w:ascii="宋体" w:eastAsia="宋体" w:hint="eastAsia"/>
                <w:sz w:val="21"/>
              </w:rPr>
            </w:pPr>
            <w:r>
              <w:rPr>
                <w:rFonts w:ascii="宋体" w:eastAsia="宋体" w:hint="eastAsia"/>
                <w:sz w:val="21"/>
              </w:rPr>
              <w:t>推土机</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ind w:left="182" w:right="150"/>
              <w:rPr>
                <w:sz w:val="21"/>
              </w:rPr>
            </w:pPr>
            <w:r>
              <w:rPr>
                <w:sz w:val="21"/>
              </w:rPr>
              <w:t>83~88</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ind w:left="191" w:right="161"/>
              <w:rPr>
                <w:sz w:val="21"/>
              </w:rPr>
            </w:pPr>
            <w:r>
              <w:rPr>
                <w:sz w:val="21"/>
              </w:rPr>
              <w:t>80~85</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4"/>
              <w:ind w:left="244" w:right="214"/>
              <w:rPr>
                <w:rFonts w:ascii="宋体" w:eastAsia="宋体" w:hint="eastAsia"/>
                <w:sz w:val="21"/>
              </w:rPr>
            </w:pPr>
            <w:r>
              <w:rPr>
                <w:rFonts w:ascii="宋体" w:eastAsia="宋体" w:hint="eastAsia"/>
                <w:sz w:val="21"/>
              </w:rPr>
              <w:t>风机</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ind w:left="178" w:right="150"/>
              <w:rPr>
                <w:sz w:val="21"/>
              </w:rPr>
            </w:pPr>
            <w:r>
              <w:rPr>
                <w:sz w:val="21"/>
              </w:rPr>
              <w:t>88~92</w:t>
            </w:r>
          </w:p>
        </w:tc>
        <w:tc>
          <w:tcPr>
            <w:tcW w:w="1532" w:type="dxa"/>
            <w:tcBorders>
              <w:top w:val="single" w:sz="6" w:space="0" w:color="000000"/>
              <w:left w:val="single" w:sz="6" w:space="0" w:color="000000"/>
              <w:bottom w:val="single" w:sz="6" w:space="0" w:color="000000"/>
            </w:tcBorders>
          </w:tcPr>
          <w:p>
            <w:pPr>
              <w:pStyle w:val="TableParagraph"/>
              <w:ind w:left="191" w:right="154"/>
              <w:rPr>
                <w:sz w:val="21"/>
              </w:rPr>
            </w:pPr>
            <w:r>
              <w:rPr>
                <w:sz w:val="21"/>
              </w:rPr>
              <w:t>83~87</w:t>
            </w:r>
          </w:p>
        </w:tc>
      </w:tr>
      <w:tr>
        <w:trPr>
          <w:trHeight w:val="359" w:hRule="atLeast"/>
        </w:trPr>
        <w:tc>
          <w:tcPr>
            <w:tcW w:w="1778" w:type="dxa"/>
            <w:tcBorders>
              <w:top w:val="single" w:sz="6" w:space="0" w:color="000000"/>
              <w:bottom w:val="single" w:sz="6" w:space="0" w:color="000000"/>
              <w:right w:val="single" w:sz="6" w:space="0" w:color="000000"/>
            </w:tcBorders>
          </w:tcPr>
          <w:p>
            <w:pPr>
              <w:pStyle w:val="TableParagraph"/>
              <w:spacing w:before="44"/>
              <w:ind w:left="237" w:right="213"/>
              <w:rPr>
                <w:rFonts w:ascii="宋体" w:eastAsia="宋体" w:hint="eastAsia"/>
                <w:sz w:val="21"/>
              </w:rPr>
            </w:pPr>
            <w:r>
              <w:rPr>
                <w:rFonts w:ascii="宋体" w:eastAsia="宋体" w:hint="eastAsia"/>
                <w:sz w:val="21"/>
              </w:rPr>
              <w:t>移动式发电机</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ind w:left="182" w:right="150"/>
              <w:rPr>
                <w:sz w:val="21"/>
              </w:rPr>
            </w:pPr>
            <w:r>
              <w:rPr>
                <w:sz w:val="21"/>
              </w:rPr>
              <w:t>95~102</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ind w:left="191" w:right="161"/>
              <w:rPr>
                <w:sz w:val="21"/>
              </w:rPr>
            </w:pPr>
            <w:r>
              <w:rPr>
                <w:sz w:val="21"/>
              </w:rPr>
              <w:t>90~98</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4"/>
              <w:ind w:left="244" w:right="214"/>
              <w:rPr>
                <w:rFonts w:ascii="宋体" w:eastAsia="宋体" w:hint="eastAsia"/>
                <w:sz w:val="21"/>
              </w:rPr>
            </w:pPr>
            <w:r>
              <w:rPr>
                <w:rFonts w:ascii="宋体" w:eastAsia="宋体" w:hint="eastAsia"/>
                <w:sz w:val="21"/>
              </w:rPr>
              <w:t>混凝土输送泵</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ind w:left="178" w:right="150"/>
              <w:rPr>
                <w:sz w:val="21"/>
              </w:rPr>
            </w:pPr>
            <w:r>
              <w:rPr>
                <w:sz w:val="21"/>
              </w:rPr>
              <w:t>88~95</w:t>
            </w:r>
          </w:p>
        </w:tc>
        <w:tc>
          <w:tcPr>
            <w:tcW w:w="1532" w:type="dxa"/>
            <w:tcBorders>
              <w:top w:val="single" w:sz="6" w:space="0" w:color="000000"/>
              <w:left w:val="single" w:sz="6" w:space="0" w:color="000000"/>
              <w:bottom w:val="single" w:sz="6" w:space="0" w:color="000000"/>
            </w:tcBorders>
          </w:tcPr>
          <w:p>
            <w:pPr>
              <w:pStyle w:val="TableParagraph"/>
              <w:ind w:left="191" w:right="154"/>
              <w:rPr>
                <w:sz w:val="21"/>
              </w:rPr>
            </w:pPr>
            <w:r>
              <w:rPr>
                <w:sz w:val="21"/>
              </w:rPr>
              <w:t>84~90</w:t>
            </w:r>
          </w:p>
        </w:tc>
      </w:tr>
      <w:tr>
        <w:trPr>
          <w:trHeight w:val="356" w:hRule="atLeast"/>
        </w:trPr>
        <w:tc>
          <w:tcPr>
            <w:tcW w:w="1778" w:type="dxa"/>
            <w:tcBorders>
              <w:top w:val="single" w:sz="6" w:space="0" w:color="000000"/>
              <w:bottom w:val="single" w:sz="6" w:space="0" w:color="000000"/>
              <w:right w:val="single" w:sz="6" w:space="0" w:color="000000"/>
            </w:tcBorders>
          </w:tcPr>
          <w:p>
            <w:pPr>
              <w:pStyle w:val="TableParagraph"/>
              <w:spacing w:before="44"/>
              <w:ind w:left="234" w:right="213"/>
              <w:rPr>
                <w:rFonts w:ascii="宋体" w:eastAsia="宋体" w:hint="eastAsia"/>
                <w:sz w:val="21"/>
              </w:rPr>
            </w:pPr>
            <w:r>
              <w:rPr>
                <w:rFonts w:ascii="宋体" w:eastAsia="宋体" w:hint="eastAsia"/>
                <w:sz w:val="21"/>
              </w:rPr>
              <w:t>各类压路机</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ind w:left="182" w:right="150"/>
              <w:rPr>
                <w:sz w:val="21"/>
              </w:rPr>
            </w:pPr>
            <w:r>
              <w:rPr>
                <w:sz w:val="21"/>
              </w:rPr>
              <w:t>80~90</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ind w:left="191" w:right="161"/>
              <w:rPr>
                <w:sz w:val="21"/>
              </w:rPr>
            </w:pPr>
            <w:r>
              <w:rPr>
                <w:sz w:val="21"/>
              </w:rPr>
              <w:t>76~86</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4"/>
              <w:ind w:left="242" w:right="214"/>
              <w:rPr>
                <w:rFonts w:ascii="宋体" w:eastAsia="宋体" w:hint="eastAsia"/>
                <w:sz w:val="21"/>
              </w:rPr>
            </w:pPr>
            <w:r>
              <w:rPr>
                <w:rFonts w:ascii="宋体" w:eastAsia="宋体" w:hint="eastAsia"/>
                <w:sz w:val="21"/>
              </w:rPr>
              <w:t>商砼搅拌车</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ind w:left="178" w:right="150"/>
              <w:rPr>
                <w:sz w:val="21"/>
              </w:rPr>
            </w:pPr>
            <w:r>
              <w:rPr>
                <w:sz w:val="21"/>
              </w:rPr>
              <w:t>85~90</w:t>
            </w:r>
          </w:p>
        </w:tc>
        <w:tc>
          <w:tcPr>
            <w:tcW w:w="1532" w:type="dxa"/>
            <w:tcBorders>
              <w:top w:val="single" w:sz="6" w:space="0" w:color="000000"/>
              <w:left w:val="single" w:sz="6" w:space="0" w:color="000000"/>
              <w:bottom w:val="single" w:sz="6" w:space="0" w:color="000000"/>
            </w:tcBorders>
          </w:tcPr>
          <w:p>
            <w:pPr>
              <w:pStyle w:val="TableParagraph"/>
              <w:ind w:left="191" w:right="154"/>
              <w:rPr>
                <w:sz w:val="21"/>
              </w:rPr>
            </w:pPr>
            <w:r>
              <w:rPr>
                <w:sz w:val="21"/>
              </w:rPr>
              <w:t>82~84</w:t>
            </w:r>
          </w:p>
        </w:tc>
      </w:tr>
      <w:tr>
        <w:trPr>
          <w:trHeight w:val="359" w:hRule="atLeast"/>
        </w:trPr>
        <w:tc>
          <w:tcPr>
            <w:tcW w:w="1778" w:type="dxa"/>
            <w:tcBorders>
              <w:top w:val="single" w:sz="6" w:space="0" w:color="000000"/>
              <w:bottom w:val="single" w:sz="6" w:space="0" w:color="000000"/>
              <w:right w:val="single" w:sz="6" w:space="0" w:color="000000"/>
            </w:tcBorders>
          </w:tcPr>
          <w:p>
            <w:pPr>
              <w:pStyle w:val="TableParagraph"/>
              <w:spacing w:before="46"/>
              <w:ind w:left="234" w:right="213"/>
              <w:rPr>
                <w:rFonts w:ascii="宋体" w:eastAsia="宋体" w:hint="eastAsia"/>
                <w:sz w:val="21"/>
              </w:rPr>
            </w:pPr>
            <w:r>
              <w:rPr>
                <w:rFonts w:ascii="宋体" w:eastAsia="宋体" w:hint="eastAsia"/>
                <w:sz w:val="21"/>
              </w:rPr>
              <w:t>重型运输车</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spacing w:before="60"/>
              <w:ind w:left="182" w:right="150"/>
              <w:rPr>
                <w:sz w:val="21"/>
              </w:rPr>
            </w:pPr>
            <w:r>
              <w:rPr>
                <w:sz w:val="21"/>
              </w:rPr>
              <w:t>82~90</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spacing w:before="60"/>
              <w:ind w:left="191" w:right="161"/>
              <w:rPr>
                <w:sz w:val="21"/>
              </w:rPr>
            </w:pPr>
            <w:r>
              <w:rPr>
                <w:sz w:val="21"/>
              </w:rPr>
              <w:t>78~86</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6"/>
              <w:ind w:left="244" w:right="214"/>
              <w:rPr>
                <w:rFonts w:ascii="宋体" w:eastAsia="宋体" w:hint="eastAsia"/>
                <w:sz w:val="21"/>
              </w:rPr>
            </w:pPr>
            <w:r>
              <w:rPr>
                <w:rFonts w:ascii="宋体" w:eastAsia="宋体" w:hint="eastAsia"/>
                <w:sz w:val="21"/>
              </w:rPr>
              <w:t>混凝土振捣器</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spacing w:before="60"/>
              <w:ind w:left="178" w:right="150"/>
              <w:rPr>
                <w:sz w:val="21"/>
              </w:rPr>
            </w:pPr>
            <w:r>
              <w:rPr>
                <w:sz w:val="21"/>
              </w:rPr>
              <w:t>80~88</w:t>
            </w:r>
          </w:p>
        </w:tc>
        <w:tc>
          <w:tcPr>
            <w:tcW w:w="1532" w:type="dxa"/>
            <w:tcBorders>
              <w:top w:val="single" w:sz="6" w:space="0" w:color="000000"/>
              <w:left w:val="single" w:sz="6" w:space="0" w:color="000000"/>
              <w:bottom w:val="single" w:sz="6" w:space="0" w:color="000000"/>
            </w:tcBorders>
          </w:tcPr>
          <w:p>
            <w:pPr>
              <w:pStyle w:val="TableParagraph"/>
              <w:spacing w:before="60"/>
              <w:ind w:left="191" w:right="154"/>
              <w:rPr>
                <w:sz w:val="21"/>
              </w:rPr>
            </w:pPr>
            <w:r>
              <w:rPr>
                <w:sz w:val="21"/>
              </w:rPr>
              <w:t>75~84</w:t>
            </w:r>
          </w:p>
        </w:tc>
      </w:tr>
      <w:tr>
        <w:trPr>
          <w:trHeight w:val="360" w:hRule="atLeast"/>
        </w:trPr>
        <w:tc>
          <w:tcPr>
            <w:tcW w:w="1778" w:type="dxa"/>
            <w:tcBorders>
              <w:top w:val="single" w:sz="6" w:space="0" w:color="000000"/>
              <w:bottom w:val="single" w:sz="6" w:space="0" w:color="000000"/>
              <w:right w:val="single" w:sz="6" w:space="0" w:color="000000"/>
            </w:tcBorders>
          </w:tcPr>
          <w:p>
            <w:pPr>
              <w:pStyle w:val="TableParagraph"/>
              <w:spacing w:before="44"/>
              <w:ind w:left="234" w:right="213"/>
              <w:rPr>
                <w:rFonts w:ascii="宋体" w:eastAsia="宋体" w:hint="eastAsia"/>
                <w:sz w:val="21"/>
              </w:rPr>
            </w:pPr>
            <w:r>
              <w:rPr>
                <w:rFonts w:ascii="宋体" w:eastAsia="宋体" w:hint="eastAsia"/>
                <w:sz w:val="21"/>
              </w:rPr>
              <w:t>木工电锯</w:t>
            </w:r>
          </w:p>
        </w:tc>
        <w:tc>
          <w:tcPr>
            <w:tcW w:w="1407" w:type="dxa"/>
            <w:tcBorders>
              <w:top w:val="single" w:sz="6" w:space="0" w:color="000000"/>
              <w:left w:val="single" w:sz="6" w:space="0" w:color="000000"/>
              <w:bottom w:val="single" w:sz="6" w:space="0" w:color="000000"/>
              <w:right w:val="single" w:sz="6" w:space="0" w:color="000000"/>
            </w:tcBorders>
          </w:tcPr>
          <w:p>
            <w:pPr>
              <w:pStyle w:val="TableParagraph"/>
              <w:ind w:left="182" w:right="150"/>
              <w:rPr>
                <w:sz w:val="21"/>
              </w:rPr>
            </w:pPr>
            <w:r>
              <w:rPr>
                <w:sz w:val="21"/>
              </w:rPr>
              <w:t>93~99</w:t>
            </w:r>
          </w:p>
        </w:tc>
        <w:tc>
          <w:tcPr>
            <w:tcW w:w="1532" w:type="dxa"/>
            <w:tcBorders>
              <w:top w:val="single" w:sz="6" w:space="0" w:color="000000"/>
              <w:left w:val="single" w:sz="6" w:space="0" w:color="000000"/>
              <w:bottom w:val="single" w:sz="6" w:space="0" w:color="000000"/>
              <w:right w:val="single" w:sz="6" w:space="0" w:color="000000"/>
            </w:tcBorders>
          </w:tcPr>
          <w:p>
            <w:pPr>
              <w:pStyle w:val="TableParagraph"/>
              <w:ind w:left="191" w:right="161"/>
              <w:rPr>
                <w:sz w:val="21"/>
              </w:rPr>
            </w:pPr>
            <w:r>
              <w:rPr>
                <w:sz w:val="21"/>
              </w:rPr>
              <w:t>90~95</w:t>
            </w:r>
          </w:p>
        </w:tc>
        <w:tc>
          <w:tcPr>
            <w:tcW w:w="1779" w:type="dxa"/>
            <w:tcBorders>
              <w:top w:val="single" w:sz="6" w:space="0" w:color="000000"/>
              <w:left w:val="single" w:sz="6" w:space="0" w:color="000000"/>
              <w:bottom w:val="single" w:sz="6" w:space="0" w:color="000000"/>
              <w:right w:val="single" w:sz="6" w:space="0" w:color="000000"/>
            </w:tcBorders>
          </w:tcPr>
          <w:p>
            <w:pPr>
              <w:pStyle w:val="TableParagraph"/>
              <w:spacing w:before="44"/>
              <w:ind w:left="244" w:right="214"/>
              <w:rPr>
                <w:rFonts w:ascii="宋体" w:eastAsia="宋体" w:hint="eastAsia"/>
                <w:sz w:val="21"/>
              </w:rPr>
            </w:pPr>
            <w:r>
              <w:rPr>
                <w:rFonts w:ascii="宋体" w:eastAsia="宋体" w:hint="eastAsia"/>
                <w:sz w:val="21"/>
              </w:rPr>
              <w:t>云石机</w:t>
            </w:r>
          </w:p>
        </w:tc>
        <w:tc>
          <w:tcPr>
            <w:tcW w:w="1404" w:type="dxa"/>
            <w:tcBorders>
              <w:top w:val="single" w:sz="6" w:space="0" w:color="000000"/>
              <w:left w:val="single" w:sz="6" w:space="0" w:color="000000"/>
              <w:bottom w:val="single" w:sz="6" w:space="0" w:color="000000"/>
              <w:right w:val="single" w:sz="6" w:space="0" w:color="000000"/>
            </w:tcBorders>
          </w:tcPr>
          <w:p>
            <w:pPr>
              <w:pStyle w:val="TableParagraph"/>
              <w:ind w:left="178" w:right="150"/>
              <w:rPr>
                <w:sz w:val="21"/>
              </w:rPr>
            </w:pPr>
            <w:r>
              <w:rPr>
                <w:sz w:val="21"/>
              </w:rPr>
              <w:t>90~96</w:t>
            </w:r>
          </w:p>
        </w:tc>
        <w:tc>
          <w:tcPr>
            <w:tcW w:w="1532" w:type="dxa"/>
            <w:tcBorders>
              <w:top w:val="single" w:sz="6" w:space="0" w:color="000000"/>
              <w:left w:val="single" w:sz="6" w:space="0" w:color="000000"/>
              <w:bottom w:val="single" w:sz="6" w:space="0" w:color="000000"/>
            </w:tcBorders>
          </w:tcPr>
          <w:p>
            <w:pPr>
              <w:pStyle w:val="TableParagraph"/>
              <w:ind w:left="191" w:right="154"/>
              <w:rPr>
                <w:sz w:val="21"/>
              </w:rPr>
            </w:pPr>
            <w:r>
              <w:rPr>
                <w:sz w:val="21"/>
              </w:rPr>
              <w:t>84~90</w:t>
            </w:r>
          </w:p>
        </w:tc>
      </w:tr>
      <w:tr>
        <w:trPr>
          <w:trHeight w:val="356" w:hRule="atLeast"/>
        </w:trPr>
        <w:tc>
          <w:tcPr>
            <w:tcW w:w="1778" w:type="dxa"/>
            <w:tcBorders>
              <w:top w:val="single" w:sz="6" w:space="0" w:color="000000"/>
              <w:right w:val="single" w:sz="6" w:space="0" w:color="000000"/>
            </w:tcBorders>
          </w:tcPr>
          <w:p>
            <w:pPr>
              <w:pStyle w:val="TableParagraph"/>
              <w:spacing w:before="44"/>
              <w:ind w:left="237" w:right="213"/>
              <w:rPr>
                <w:rFonts w:ascii="宋体" w:eastAsia="宋体" w:hint="eastAsia"/>
                <w:sz w:val="21"/>
              </w:rPr>
            </w:pPr>
            <w:r>
              <w:rPr>
                <w:rFonts w:ascii="宋体" w:eastAsia="宋体" w:hint="eastAsia"/>
                <w:sz w:val="21"/>
              </w:rPr>
              <w:t>电锤</w:t>
            </w:r>
          </w:p>
        </w:tc>
        <w:tc>
          <w:tcPr>
            <w:tcW w:w="1407" w:type="dxa"/>
            <w:tcBorders>
              <w:top w:val="single" w:sz="6" w:space="0" w:color="000000"/>
              <w:left w:val="single" w:sz="6" w:space="0" w:color="000000"/>
              <w:right w:val="single" w:sz="6" w:space="0" w:color="000000"/>
            </w:tcBorders>
          </w:tcPr>
          <w:p>
            <w:pPr>
              <w:pStyle w:val="TableParagraph"/>
              <w:ind w:left="182" w:right="150"/>
              <w:rPr>
                <w:sz w:val="21"/>
              </w:rPr>
            </w:pPr>
            <w:r>
              <w:rPr>
                <w:sz w:val="21"/>
              </w:rPr>
              <w:t>100~105</w:t>
            </w:r>
          </w:p>
        </w:tc>
        <w:tc>
          <w:tcPr>
            <w:tcW w:w="1532" w:type="dxa"/>
            <w:tcBorders>
              <w:top w:val="single" w:sz="6" w:space="0" w:color="000000"/>
              <w:left w:val="single" w:sz="6" w:space="0" w:color="000000"/>
              <w:right w:val="single" w:sz="6" w:space="0" w:color="000000"/>
            </w:tcBorders>
          </w:tcPr>
          <w:p>
            <w:pPr>
              <w:pStyle w:val="TableParagraph"/>
              <w:ind w:left="191" w:right="161"/>
              <w:rPr>
                <w:sz w:val="21"/>
              </w:rPr>
            </w:pPr>
            <w:r>
              <w:rPr>
                <w:sz w:val="21"/>
              </w:rPr>
              <w:t>95~99</w:t>
            </w:r>
          </w:p>
        </w:tc>
        <w:tc>
          <w:tcPr>
            <w:tcW w:w="1779" w:type="dxa"/>
            <w:tcBorders>
              <w:top w:val="single" w:sz="6" w:space="0" w:color="000000"/>
              <w:left w:val="single" w:sz="6" w:space="0" w:color="000000"/>
              <w:right w:val="single" w:sz="6" w:space="0" w:color="000000"/>
            </w:tcBorders>
          </w:tcPr>
          <w:p>
            <w:pPr>
              <w:pStyle w:val="TableParagraph"/>
              <w:spacing w:before="44"/>
              <w:ind w:left="244" w:right="214"/>
              <w:rPr>
                <w:rFonts w:ascii="宋体" w:eastAsia="宋体" w:hint="eastAsia"/>
                <w:sz w:val="21"/>
              </w:rPr>
            </w:pPr>
            <w:r>
              <w:rPr>
                <w:rFonts w:ascii="宋体" w:eastAsia="宋体" w:hint="eastAsia"/>
                <w:sz w:val="21"/>
              </w:rPr>
              <w:t>空压机</w:t>
            </w:r>
          </w:p>
        </w:tc>
        <w:tc>
          <w:tcPr>
            <w:tcW w:w="1404" w:type="dxa"/>
            <w:tcBorders>
              <w:top w:val="single" w:sz="6" w:space="0" w:color="000000"/>
              <w:left w:val="single" w:sz="6" w:space="0" w:color="000000"/>
              <w:right w:val="single" w:sz="6" w:space="0" w:color="000000"/>
            </w:tcBorders>
          </w:tcPr>
          <w:p>
            <w:pPr>
              <w:pStyle w:val="TableParagraph"/>
              <w:ind w:left="178" w:right="150"/>
              <w:rPr>
                <w:sz w:val="21"/>
              </w:rPr>
            </w:pPr>
            <w:r>
              <w:rPr>
                <w:sz w:val="21"/>
              </w:rPr>
              <w:t>88~92</w:t>
            </w:r>
          </w:p>
        </w:tc>
        <w:tc>
          <w:tcPr>
            <w:tcW w:w="1532" w:type="dxa"/>
            <w:tcBorders>
              <w:top w:val="single" w:sz="6" w:space="0" w:color="000000"/>
              <w:left w:val="single" w:sz="6" w:space="0" w:color="000000"/>
            </w:tcBorders>
          </w:tcPr>
          <w:p>
            <w:pPr>
              <w:pStyle w:val="TableParagraph"/>
              <w:ind w:left="191" w:right="154"/>
              <w:rPr>
                <w:sz w:val="21"/>
              </w:rPr>
            </w:pPr>
            <w:r>
              <w:rPr>
                <w:sz w:val="21"/>
              </w:rPr>
              <w:t>83~88</w:t>
            </w:r>
          </w:p>
        </w:tc>
      </w:tr>
    </w:tbl>
    <w:p>
      <w:pPr>
        <w:pStyle w:val="BodyText"/>
        <w:spacing w:line="364" w:lineRule="auto" w:before="84"/>
        <w:ind w:right="244" w:firstLine="480"/>
        <w:jc w:val="both"/>
      </w:pPr>
      <w:r>
        <w:rPr/>
        <w:t>当多台机械设备同时作业时，产生噪声叠加，根据类比调查，叠加后的噪声增加</w:t>
      </w:r>
      <w:r>
        <w:rPr>
          <w:rFonts w:ascii="Times New Roman" w:eastAsia="Times New Roman"/>
        </w:rPr>
        <w:t>3~8dB(A)</w:t>
      </w:r>
      <w:r>
        <w:rPr/>
        <w:t>，一般不会超过 </w:t>
      </w:r>
      <w:r>
        <w:rPr>
          <w:rFonts w:ascii="Times New Roman" w:eastAsia="Times New Roman"/>
        </w:rPr>
        <w:t>10dB(A)</w:t>
      </w:r>
      <w:r>
        <w:rPr/>
        <w:t>。由表可知，在这类施工机械中，噪声最大的为静压式打桩机，噪声声级范围达 </w:t>
      </w:r>
      <w:r>
        <w:rPr>
          <w:rFonts w:ascii="Times New Roman" w:eastAsia="Times New Roman"/>
        </w:rPr>
        <w:t>90~95dB(A)</w:t>
      </w:r>
      <w:r>
        <w:rPr/>
        <w:t>。</w:t>
      </w:r>
    </w:p>
    <w:p>
      <w:pPr>
        <w:pStyle w:val="Heading3"/>
        <w:spacing w:before="2"/>
      </w:pPr>
      <w:r>
        <w:rPr>
          <w:rFonts w:ascii="Times New Roman" w:eastAsia="Times New Roman"/>
        </w:rPr>
        <w:t>4</w:t>
      </w:r>
      <w:r>
        <w:rPr/>
        <w:t>、固体废物</w:t>
      </w:r>
    </w:p>
    <w:p>
      <w:pPr>
        <w:pStyle w:val="BodyText"/>
        <w:spacing w:before="160"/>
        <w:ind w:left="717"/>
      </w:pPr>
      <w:r>
        <w:rPr/>
        <w:t>施工期固体废物主要包括建筑垃圾和施工人员产生的生活垃圾。</w:t>
      </w:r>
    </w:p>
    <w:p>
      <w:pPr>
        <w:pStyle w:val="BodyText"/>
        <w:spacing w:line="364" w:lineRule="auto" w:before="161"/>
        <w:ind w:right="249" w:firstLine="480"/>
        <w:jc w:val="both"/>
      </w:pPr>
      <w:r>
        <w:rPr/>
        <w:t>本项目在建设过程中需进行开挖（建筑表土开挖），会产生大量的土石方及砂石、水泥、砖瓦、木材等各种废弃建筑材料，其产生量与建筑材料种类、建筑形式、建筑内容有关，具体产生量较难计算。本环评要求施工单位及时做好建筑垃圾的清运工作，倾倒地点应符合有关规定要求。</w:t>
      </w:r>
    </w:p>
    <w:p>
      <w:pPr>
        <w:pStyle w:val="BodyText"/>
        <w:spacing w:line="364" w:lineRule="auto" w:before="3"/>
        <w:ind w:right="252" w:firstLine="480"/>
        <w:jc w:val="both"/>
      </w:pPr>
      <w:r>
        <w:rPr>
          <w:spacing w:val="-3"/>
        </w:rPr>
        <w:t>施工人员的生活垃圾按人均 </w:t>
      </w:r>
      <w:r>
        <w:rPr>
          <w:rFonts w:ascii="Times New Roman" w:eastAsia="Times New Roman"/>
        </w:rPr>
        <w:t>0.5kg/d </w:t>
      </w:r>
      <w:r>
        <w:rPr>
          <w:spacing w:val="-3"/>
        </w:rPr>
        <w:t>的产生量估算，施工人员以 </w:t>
      </w:r>
      <w:r>
        <w:rPr>
          <w:rFonts w:ascii="Times New Roman" w:eastAsia="Times New Roman"/>
        </w:rPr>
        <w:t>30 </w:t>
      </w:r>
      <w:r>
        <w:rPr>
          <w:spacing w:val="-3"/>
        </w:rPr>
        <w:t>人计，则每天生</w:t>
      </w:r>
      <w:r>
        <w:rPr>
          <w:spacing w:val="-8"/>
        </w:rPr>
        <w:t>活垃圾产生量为 </w:t>
      </w:r>
      <w:r>
        <w:rPr>
          <w:rFonts w:ascii="Times New Roman" w:eastAsia="Times New Roman"/>
        </w:rPr>
        <w:t>15kg/d</w:t>
      </w:r>
      <w:r>
        <w:rPr/>
        <w:t>，统一收集后由环卫部门清运处置。</w:t>
      </w:r>
    </w:p>
    <w:p>
      <w:pPr>
        <w:pStyle w:val="Heading3"/>
        <w:spacing w:before="1"/>
      </w:pPr>
      <w:r>
        <w:rPr>
          <w:rFonts w:ascii="Times New Roman" w:eastAsia="Times New Roman"/>
        </w:rPr>
        <w:t>5</w:t>
      </w:r>
      <w:r>
        <w:rPr/>
        <w:t>、生态破坏</w:t>
      </w:r>
    </w:p>
    <w:p>
      <w:pPr>
        <w:pStyle w:val="BodyText"/>
        <w:spacing w:line="364" w:lineRule="auto" w:before="160"/>
        <w:ind w:right="255" w:firstLine="480"/>
        <w:jc w:val="both"/>
      </w:pPr>
      <w:r>
        <w:rPr/>
        <w:t>经过现场踏勘，项目拟建址四面环山，现状为农田，主要种植经济作物，不涉珍贵的动、植物物种，因此其生态系统敏感性一般，只要企业做好各项环保措施，则本项目产生的三废污染物皆可得到妥善治理，对周围生态环境影响较小。</w:t>
      </w:r>
    </w:p>
    <w:p>
      <w:pPr>
        <w:pStyle w:val="Heading2"/>
        <w:numPr>
          <w:ilvl w:val="1"/>
          <w:numId w:val="33"/>
        </w:numPr>
        <w:tabs>
          <w:tab w:pos="730" w:val="left" w:leader="none"/>
        </w:tabs>
        <w:spacing w:line="240" w:lineRule="auto" w:before="54" w:after="0"/>
        <w:ind w:left="729" w:right="0" w:hanging="493"/>
        <w:jc w:val="both"/>
      </w:pPr>
      <w:bookmarkStart w:name="_bookmark52" w:id="101"/>
      <w:bookmarkEnd w:id="101"/>
      <w:r>
        <w:rPr>
          <w:b w:val="0"/>
        </w:rPr>
      </w:r>
      <w:bookmarkStart w:name="_bookmark52" w:id="102"/>
      <w:bookmarkEnd w:id="102"/>
      <w:r>
        <w:rPr/>
        <w:t>运营期污染源强核算</w:t>
      </w:r>
    </w:p>
    <w:p>
      <w:pPr>
        <w:pStyle w:val="Heading3"/>
        <w:numPr>
          <w:ilvl w:val="2"/>
          <w:numId w:val="33"/>
        </w:numPr>
        <w:tabs>
          <w:tab w:pos="838" w:val="left" w:leader="none"/>
        </w:tabs>
        <w:spacing w:line="240" w:lineRule="auto" w:before="214" w:after="0"/>
        <w:ind w:left="837" w:right="0" w:hanging="601"/>
        <w:jc w:val="both"/>
      </w:pPr>
      <w:bookmarkStart w:name="_bookmark53" w:id="103"/>
      <w:bookmarkEnd w:id="103"/>
      <w:r>
        <w:rPr>
          <w:b w:val="0"/>
        </w:rPr>
      </w:r>
      <w:bookmarkStart w:name="_bookmark53" w:id="104"/>
      <w:bookmarkEnd w:id="104"/>
      <w:r>
        <w:rPr/>
        <w:t>废水污染源强核算</w:t>
      </w:r>
    </w:p>
    <w:p>
      <w:pPr>
        <w:pStyle w:val="BodyText"/>
        <w:spacing w:line="364" w:lineRule="auto" w:before="161"/>
        <w:ind w:right="247" w:firstLine="480"/>
        <w:jc w:val="both"/>
      </w:pPr>
      <w:r>
        <w:rPr>
          <w:spacing w:val="-2"/>
        </w:rPr>
        <w:t>项目运营期产生的废水主要包括养殖废水</w:t>
      </w:r>
      <w:r>
        <w:rPr>
          <w:spacing w:val="-6"/>
        </w:rPr>
        <w:t>（</w:t>
      </w:r>
      <w:r>
        <w:rPr>
          <w:rFonts w:ascii="Times New Roman" w:eastAsia="Times New Roman"/>
          <w:spacing w:val="-6"/>
          <w:position w:val="1"/>
        </w:rPr>
        <w:t>W1</w:t>
      </w:r>
      <w:r>
        <w:rPr>
          <w:spacing w:val="-6"/>
        </w:rPr>
        <w:t>）</w:t>
      </w:r>
      <w:r>
        <w:rPr>
          <w:spacing w:val="-7"/>
        </w:rPr>
        <w:t>、废气处理喷淋用水</w:t>
      </w:r>
      <w:r>
        <w:rPr>
          <w:spacing w:val="-6"/>
        </w:rPr>
        <w:t>（</w:t>
      </w:r>
      <w:r>
        <w:rPr>
          <w:rFonts w:ascii="Times New Roman" w:eastAsia="Times New Roman"/>
          <w:spacing w:val="-6"/>
          <w:position w:val="1"/>
        </w:rPr>
        <w:t>W2</w:t>
      </w:r>
      <w:r>
        <w:rPr>
          <w:spacing w:val="-6"/>
        </w:rPr>
        <w:t>）</w:t>
      </w:r>
      <w:r>
        <w:rPr>
          <w:spacing w:val="-7"/>
        </w:rPr>
        <w:t>、地表</w:t>
      </w:r>
      <w:r>
        <w:rPr>
          <w:spacing w:val="-11"/>
        </w:rPr>
        <w:t>初期雨水</w:t>
      </w:r>
      <w:r>
        <w:rPr>
          <w:spacing w:val="-6"/>
        </w:rPr>
        <w:t>（</w:t>
      </w:r>
      <w:r>
        <w:rPr>
          <w:rFonts w:ascii="Times New Roman" w:eastAsia="Times New Roman"/>
          <w:spacing w:val="-6"/>
          <w:position w:val="1"/>
        </w:rPr>
        <w:t>W3</w:t>
      </w:r>
      <w:r>
        <w:rPr>
          <w:spacing w:val="-6"/>
        </w:rPr>
        <w:t>）</w:t>
      </w:r>
      <w:r>
        <w:rPr>
          <w:spacing w:val="-3"/>
        </w:rPr>
        <w:t>及职工生活污水</w:t>
      </w:r>
      <w:r>
        <w:rPr>
          <w:spacing w:val="-6"/>
        </w:rPr>
        <w:t>（</w:t>
      </w:r>
      <w:r>
        <w:rPr>
          <w:rFonts w:ascii="Times New Roman" w:eastAsia="Times New Roman"/>
          <w:spacing w:val="-6"/>
          <w:position w:val="1"/>
        </w:rPr>
        <w:t>W4</w:t>
      </w:r>
      <w:r>
        <w:rPr>
          <w:spacing w:val="-6"/>
        </w:rPr>
        <w:t>）</w:t>
      </w:r>
      <w:r>
        <w:rPr>
          <w:spacing w:val="-7"/>
        </w:rPr>
        <w:t>。本项目采用雨污分流，同时在保持猪舍清洁干</w:t>
      </w:r>
      <w:r>
        <w:rPr>
          <w:spacing w:val="-6"/>
        </w:rPr>
        <w:t>净的前提下，尽量减少冲洗用水，从而从源头上减少了养猪场污水的排放量；另，本项</w:t>
      </w:r>
    </w:p>
    <w:p>
      <w:pPr>
        <w:spacing w:after="0" w:line="364" w:lineRule="auto"/>
        <w:jc w:val="both"/>
        <w:sectPr>
          <w:pgSz w:w="11910" w:h="16840"/>
          <w:pgMar w:header="874" w:footer="1004" w:top="1400" w:bottom="1200" w:left="1040" w:right="1160"/>
        </w:sectPr>
      </w:pPr>
    </w:p>
    <w:p>
      <w:pPr>
        <w:pStyle w:val="BodyText"/>
        <w:spacing w:before="105"/>
      </w:pPr>
      <w:r>
        <w:rPr/>
        <w:t>目消毒用水为蒸发损耗不外排，洗消废水量极少，本环评不予定量分析。</w:t>
      </w:r>
    </w:p>
    <w:p>
      <w:pPr>
        <w:pStyle w:val="Heading3"/>
      </w:pPr>
      <w:r>
        <w:rPr>
          <w:rFonts w:ascii="Times New Roman" w:eastAsia="Times New Roman"/>
        </w:rPr>
        <w:t>1</w:t>
      </w:r>
      <w:r>
        <w:rPr/>
        <w:t>、养殖废水（</w:t>
      </w:r>
      <w:r>
        <w:rPr>
          <w:rFonts w:ascii="Times New Roman" w:eastAsia="Times New Roman"/>
        </w:rPr>
        <w:t>W1</w:t>
      </w:r>
      <w:r>
        <w:rPr/>
        <w:t>）</w:t>
      </w:r>
    </w:p>
    <w:p>
      <w:pPr>
        <w:pStyle w:val="ListParagraph"/>
        <w:numPr>
          <w:ilvl w:val="0"/>
          <w:numId w:val="46"/>
        </w:numPr>
        <w:tabs>
          <w:tab w:pos="1323" w:val="left" w:leader="none"/>
        </w:tabs>
        <w:spacing w:line="240" w:lineRule="auto" w:before="160" w:after="0"/>
        <w:ind w:left="1323" w:right="0" w:hanging="604"/>
        <w:jc w:val="left"/>
        <w:rPr>
          <w:b/>
          <w:sz w:val="24"/>
        </w:rPr>
      </w:pPr>
      <w:r>
        <w:rPr>
          <w:b/>
          <w:sz w:val="24"/>
        </w:rPr>
        <w:t>猪尿</w:t>
      </w:r>
    </w:p>
    <w:p>
      <w:pPr>
        <w:pStyle w:val="BodyText"/>
        <w:spacing w:line="364" w:lineRule="auto" w:before="161"/>
        <w:ind w:right="131" w:firstLine="480"/>
      </w:pPr>
      <w:r>
        <w:rPr/>
        <w:t>本环评中养殖废水主要指猪尿，其产生量与猪的品种、性别、生长期、饲料甚至天</w:t>
      </w:r>
      <w:r>
        <w:rPr>
          <w:spacing w:val="-4"/>
        </w:rPr>
        <w:t>气等诸多因素有关，其中不同生长期的猪尿产生量波动较大，其他因素的影响相对较小。</w:t>
      </w:r>
      <w:r>
        <w:rPr/>
        <w:t>一般情况下，每头猪的尿液排泄量可按以下公式估算：</w:t>
      </w:r>
    </w:p>
    <w:p>
      <w:pPr>
        <w:pStyle w:val="BodyText"/>
        <w:spacing w:before="15"/>
        <w:ind w:left="222" w:right="236"/>
        <w:jc w:val="center"/>
        <w:rPr>
          <w:rFonts w:ascii="Times New Roman" w:hAnsi="Times New Roman"/>
          <w:i/>
        </w:rPr>
      </w:pPr>
      <w:r>
        <w:rPr>
          <w:rFonts w:ascii="Times New Roman" w:hAnsi="Times New Roman"/>
          <w:i/>
        </w:rPr>
        <w:t>Y</w:t>
      </w:r>
      <w:r>
        <w:rPr>
          <w:rFonts w:ascii="Times New Roman" w:hAnsi="Times New Roman"/>
          <w:i/>
          <w:vertAlign w:val="subscript"/>
        </w:rPr>
        <w:t>μ</w:t>
      </w:r>
      <w:r>
        <w:rPr>
          <w:rFonts w:ascii="Times New Roman" w:hAnsi="Times New Roman"/>
          <w:vertAlign w:val="baseline"/>
        </w:rPr>
        <w:t>=0.250+0.438</w:t>
      </w:r>
      <w:r>
        <w:rPr>
          <w:rFonts w:ascii="Times New Roman" w:hAnsi="Times New Roman"/>
          <w:i/>
          <w:vertAlign w:val="baseline"/>
        </w:rPr>
        <w:t>W</w:t>
      </w:r>
    </w:p>
    <w:p>
      <w:pPr>
        <w:pStyle w:val="BodyText"/>
        <w:spacing w:before="175"/>
        <w:ind w:left="717"/>
        <w:jc w:val="both"/>
      </w:pPr>
      <w:r>
        <w:rPr>
          <w:position w:val="2"/>
        </w:rPr>
        <w:t>式中：</w:t>
      </w:r>
      <w:r>
        <w:rPr>
          <w:rFonts w:ascii="Times New Roman" w:hAnsi="Times New Roman" w:eastAsia="Times New Roman"/>
          <w:i/>
          <w:position w:val="2"/>
        </w:rPr>
        <w:t>Y</w:t>
      </w:r>
      <w:r>
        <w:rPr>
          <w:rFonts w:ascii="Times New Roman" w:hAnsi="Times New Roman" w:eastAsia="Times New Roman"/>
          <w:i/>
          <w:sz w:val="16"/>
        </w:rPr>
        <w:t>μ </w:t>
      </w:r>
      <w:r>
        <w:rPr>
          <w:position w:val="2"/>
        </w:rPr>
        <w:t>为尿排泄量，</w:t>
      </w:r>
      <w:r>
        <w:rPr>
          <w:rFonts w:ascii="Times New Roman" w:hAnsi="Times New Roman" w:eastAsia="Times New Roman"/>
          <w:position w:val="2"/>
        </w:rPr>
        <w:t>kg</w:t>
      </w:r>
      <w:r>
        <w:rPr>
          <w:position w:val="2"/>
        </w:rPr>
        <w:t>；</w:t>
      </w:r>
      <w:r>
        <w:rPr>
          <w:rFonts w:ascii="Times New Roman" w:hAnsi="Times New Roman" w:eastAsia="Times New Roman"/>
          <w:i/>
          <w:position w:val="2"/>
        </w:rPr>
        <w:t>W </w:t>
      </w:r>
      <w:r>
        <w:rPr>
          <w:position w:val="2"/>
        </w:rPr>
        <w:t>为饮水量，</w:t>
      </w:r>
      <w:r>
        <w:rPr>
          <w:rFonts w:ascii="Times New Roman" w:hAnsi="Times New Roman" w:eastAsia="Times New Roman"/>
          <w:position w:val="2"/>
        </w:rPr>
        <w:t>kg</w:t>
      </w:r>
      <w:r>
        <w:rPr>
          <w:position w:val="2"/>
        </w:rPr>
        <w:t>。</w:t>
      </w:r>
    </w:p>
    <w:p>
      <w:pPr>
        <w:pStyle w:val="BodyText"/>
        <w:spacing w:line="364" w:lineRule="auto" w:before="165"/>
        <w:ind w:right="226" w:firstLine="480"/>
        <w:jc w:val="both"/>
      </w:pPr>
      <w:r>
        <w:rPr>
          <w:spacing w:val="-4"/>
        </w:rPr>
        <w:t>由此计算得本项目猪尿产生量约 </w:t>
      </w:r>
      <w:r>
        <w:rPr>
          <w:rFonts w:ascii="Times New Roman" w:hAnsi="Times New Roman" w:eastAsia="Times New Roman"/>
        </w:rPr>
        <w:t>51126.94t/a</w:t>
      </w:r>
      <w:r>
        <w:rPr/>
        <w:t>（</w:t>
      </w:r>
      <w:r>
        <w:rPr>
          <w:spacing w:val="-11"/>
        </w:rPr>
        <w:t>日产生量 </w:t>
      </w:r>
      <w:r>
        <w:rPr>
          <w:rFonts w:ascii="Times New Roman" w:hAnsi="Times New Roman" w:eastAsia="Times New Roman"/>
        </w:rPr>
        <w:t>119.47~160.46t/d</w:t>
      </w:r>
      <w:r>
        <w:rPr/>
        <w:t>）。项目存</w:t>
      </w:r>
      <w:r>
        <w:rPr>
          <w:spacing w:val="-12"/>
        </w:rPr>
        <w:t>栏猪 </w:t>
      </w:r>
      <w:r>
        <w:rPr>
          <w:rFonts w:ascii="Times New Roman" w:hAnsi="Times New Roman" w:eastAsia="Times New Roman"/>
        </w:rPr>
        <w:t>52568 </w:t>
      </w:r>
      <w:r>
        <w:rPr>
          <w:spacing w:val="-4"/>
        </w:rPr>
        <w:t>头，则平均每头猪排尿量为 </w:t>
      </w:r>
      <w:r>
        <w:rPr>
          <w:rFonts w:ascii="Times New Roman" w:hAnsi="Times New Roman" w:eastAsia="Times New Roman"/>
        </w:rPr>
        <w:t>2.27~3.05kg/</w:t>
      </w:r>
      <w:r>
        <w:rPr/>
        <w:t>头</w:t>
      </w:r>
      <w:r>
        <w:rPr>
          <w:rFonts w:ascii="Times New Roman" w:hAnsi="Times New Roman" w:eastAsia="Times New Roman"/>
        </w:rPr>
        <w:t>·d</w:t>
      </w:r>
      <w:r>
        <w:rPr>
          <w:spacing w:val="-4"/>
        </w:rPr>
        <w:t>，其中育肥肥猪为 </w:t>
      </w:r>
      <w:r>
        <w:rPr>
          <w:rFonts w:ascii="Times New Roman" w:hAnsi="Times New Roman" w:eastAsia="Times New Roman"/>
        </w:rPr>
        <w:t>2.88~3.54kg/ </w:t>
      </w:r>
      <w:r>
        <w:rPr/>
        <w:t>头</w:t>
      </w:r>
      <w:r>
        <w:rPr>
          <w:rFonts w:ascii="Times New Roman" w:hAnsi="Times New Roman" w:eastAsia="Times New Roman"/>
        </w:rPr>
        <w:t>·d</w:t>
      </w:r>
      <w:r>
        <w:rPr/>
        <w:t>，与《畜禽养殖业污染治理工程技术规范》（</w:t>
      </w:r>
      <w:r>
        <w:rPr>
          <w:rFonts w:ascii="Times New Roman" w:hAnsi="Times New Roman" w:eastAsia="Times New Roman"/>
        </w:rPr>
        <w:t>HJ</w:t>
      </w:r>
      <w:r>
        <w:rPr>
          <w:rFonts w:ascii="Times New Roman" w:hAnsi="Times New Roman" w:eastAsia="Times New Roman"/>
          <w:spacing w:val="57"/>
        </w:rPr>
        <w:t> </w:t>
      </w:r>
      <w:r>
        <w:rPr>
          <w:rFonts w:ascii="Times New Roman" w:hAnsi="Times New Roman" w:eastAsia="Times New Roman"/>
        </w:rPr>
        <w:t>497-2009</w:t>
      </w:r>
      <w:r>
        <w:rPr/>
        <w:t>）</w:t>
      </w:r>
      <w:r>
        <w:rPr>
          <w:spacing w:val="-15"/>
        </w:rPr>
        <w:t>中表 </w:t>
      </w:r>
      <w:r>
        <w:rPr>
          <w:rFonts w:ascii="Times New Roman" w:hAnsi="Times New Roman" w:eastAsia="Times New Roman"/>
        </w:rPr>
        <w:t>A.2 </w:t>
      </w:r>
      <w:r>
        <w:rPr/>
        <w:t>不同畜禽粪污日排泄量一览表中</w:t>
      </w:r>
      <w:r>
        <w:rPr>
          <w:rFonts w:ascii="Times New Roman" w:hAnsi="Times New Roman" w:eastAsia="Times New Roman"/>
        </w:rPr>
        <w:t>“</w:t>
      </w:r>
      <w:r>
        <w:rPr>
          <w:spacing w:val="-9"/>
        </w:rPr>
        <w:t>猪尿排泄量为 </w:t>
      </w:r>
      <w:r>
        <w:rPr>
          <w:rFonts w:ascii="Times New Roman" w:hAnsi="Times New Roman" w:eastAsia="Times New Roman"/>
        </w:rPr>
        <w:t>3.3kg/</w:t>
      </w:r>
      <w:r>
        <w:rPr/>
        <w:t>头</w:t>
      </w:r>
      <w:r>
        <w:rPr>
          <w:rFonts w:ascii="Times New Roman" w:hAnsi="Times New Roman" w:eastAsia="Times New Roman"/>
        </w:rPr>
        <w:t>·d”</w:t>
      </w:r>
      <w:r>
        <w:rPr>
          <w:spacing w:val="-1"/>
        </w:rPr>
        <w:t>接近，因此项目猪舍污水估算量较为合理。</w:t>
      </w:r>
    </w:p>
    <w:p>
      <w:pPr>
        <w:pStyle w:val="Heading3"/>
        <w:spacing w:before="2"/>
        <w:ind w:left="1821"/>
        <w:jc w:val="both"/>
        <w:rPr>
          <w:rFonts w:ascii="Times New Roman" w:eastAsia="Times New Roman"/>
        </w:rPr>
      </w:pPr>
      <w:r>
        <w:rPr/>
        <w:t>表 </w:t>
      </w:r>
      <w:r>
        <w:rPr>
          <w:rFonts w:ascii="Times New Roman" w:eastAsia="Times New Roman"/>
        </w:rPr>
        <w:t>3.3-1  </w:t>
      </w:r>
      <w:r>
        <w:rPr/>
        <w:t>项目各类猪舍日最大用水量 单位：日 </w:t>
      </w:r>
      <w:r>
        <w:rPr>
          <w:rFonts w:ascii="Times New Roman" w:eastAsia="Times New Roman"/>
        </w:rPr>
        <w:t>t/d</w:t>
      </w:r>
      <w:r>
        <w:rPr/>
        <w:t>、年 </w:t>
      </w:r>
      <w:r>
        <w:rPr>
          <w:rFonts w:ascii="Times New Roman" w:eastAsia="Times New Roman"/>
        </w:rPr>
        <w:t>t/a</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4"/>
        <w:gridCol w:w="629"/>
        <w:gridCol w:w="631"/>
        <w:gridCol w:w="838"/>
        <w:gridCol w:w="1277"/>
        <w:gridCol w:w="838"/>
        <w:gridCol w:w="838"/>
        <w:gridCol w:w="1091"/>
        <w:gridCol w:w="838"/>
        <w:gridCol w:w="838"/>
        <w:gridCol w:w="982"/>
      </w:tblGrid>
      <w:tr>
        <w:trPr>
          <w:trHeight w:val="359" w:hRule="atLeast"/>
        </w:trPr>
        <w:tc>
          <w:tcPr>
            <w:tcW w:w="634" w:type="dxa"/>
            <w:vMerge w:val="restart"/>
            <w:tcBorders>
              <w:bottom w:val="single" w:sz="6" w:space="0" w:color="000000"/>
              <w:right w:val="single" w:sz="6" w:space="0" w:color="000000"/>
            </w:tcBorders>
          </w:tcPr>
          <w:p>
            <w:pPr>
              <w:pStyle w:val="TableParagraph"/>
              <w:spacing w:before="8"/>
              <w:jc w:val="left"/>
              <w:rPr>
                <w:b/>
                <w:sz w:val="20"/>
              </w:rPr>
            </w:pPr>
          </w:p>
          <w:p>
            <w:pPr>
              <w:pStyle w:val="TableParagraph"/>
              <w:spacing w:before="0"/>
              <w:ind w:left="114"/>
              <w:jc w:val="left"/>
              <w:rPr>
                <w:rFonts w:ascii="宋体" w:eastAsia="宋体" w:hint="eastAsia"/>
                <w:b/>
                <w:sz w:val="20"/>
              </w:rPr>
            </w:pPr>
            <w:r>
              <w:rPr>
                <w:rFonts w:ascii="宋体" w:eastAsia="宋体" w:hint="eastAsia"/>
                <w:b/>
                <w:sz w:val="20"/>
              </w:rPr>
              <w:t>序号</w:t>
            </w:r>
          </w:p>
        </w:tc>
        <w:tc>
          <w:tcPr>
            <w:tcW w:w="1260" w:type="dxa"/>
            <w:gridSpan w:val="2"/>
            <w:vMerge w:val="restart"/>
            <w:tcBorders>
              <w:left w:val="single" w:sz="6" w:space="0" w:color="000000"/>
              <w:bottom w:val="single" w:sz="6" w:space="0" w:color="000000"/>
              <w:right w:val="single" w:sz="6" w:space="0" w:color="000000"/>
            </w:tcBorders>
          </w:tcPr>
          <w:p>
            <w:pPr>
              <w:pStyle w:val="TableParagraph"/>
              <w:spacing w:before="8"/>
              <w:jc w:val="left"/>
              <w:rPr>
                <w:b/>
                <w:sz w:val="20"/>
              </w:rPr>
            </w:pPr>
          </w:p>
          <w:p>
            <w:pPr>
              <w:pStyle w:val="TableParagraph"/>
              <w:spacing w:before="0"/>
              <w:ind w:left="433"/>
              <w:jc w:val="left"/>
              <w:rPr>
                <w:rFonts w:ascii="宋体" w:eastAsia="宋体" w:hint="eastAsia"/>
                <w:b/>
                <w:sz w:val="20"/>
              </w:rPr>
            </w:pPr>
            <w:r>
              <w:rPr>
                <w:rFonts w:ascii="宋体" w:eastAsia="宋体" w:hint="eastAsia"/>
                <w:b/>
                <w:sz w:val="20"/>
              </w:rPr>
              <w:t>类别</w:t>
            </w:r>
          </w:p>
        </w:tc>
        <w:tc>
          <w:tcPr>
            <w:tcW w:w="838" w:type="dxa"/>
            <w:vMerge w:val="restart"/>
            <w:tcBorders>
              <w:left w:val="single" w:sz="6" w:space="0" w:color="000000"/>
              <w:bottom w:val="single" w:sz="6" w:space="0" w:color="000000"/>
              <w:right w:val="single" w:sz="6" w:space="0" w:color="000000"/>
            </w:tcBorders>
          </w:tcPr>
          <w:p>
            <w:pPr>
              <w:pStyle w:val="TableParagraph"/>
              <w:spacing w:before="61"/>
              <w:ind w:left="101" w:right="75"/>
              <w:rPr>
                <w:rFonts w:ascii="宋体" w:eastAsia="宋体" w:hint="eastAsia"/>
                <w:b/>
                <w:sz w:val="20"/>
              </w:rPr>
            </w:pPr>
            <w:r>
              <w:rPr>
                <w:rFonts w:ascii="宋体" w:eastAsia="宋体" w:hint="eastAsia"/>
                <w:b/>
                <w:sz w:val="20"/>
              </w:rPr>
              <w:t>存栏</w:t>
            </w:r>
          </w:p>
          <w:p>
            <w:pPr>
              <w:pStyle w:val="TableParagraph"/>
              <w:spacing w:before="101"/>
              <w:ind w:left="100" w:right="75"/>
              <w:rPr>
                <w:rFonts w:ascii="宋体" w:eastAsia="宋体" w:hint="eastAsia"/>
                <w:b/>
                <w:sz w:val="20"/>
              </w:rPr>
            </w:pPr>
            <w:r>
              <w:rPr>
                <w:rFonts w:ascii="宋体" w:eastAsia="宋体" w:hint="eastAsia"/>
                <w:b/>
                <w:sz w:val="20"/>
              </w:rPr>
              <w:t>（头）</w:t>
            </w:r>
          </w:p>
        </w:tc>
        <w:tc>
          <w:tcPr>
            <w:tcW w:w="1277" w:type="dxa"/>
            <w:vMerge w:val="restart"/>
            <w:tcBorders>
              <w:left w:val="single" w:sz="6" w:space="0" w:color="000000"/>
              <w:bottom w:val="single" w:sz="6" w:space="0" w:color="000000"/>
              <w:right w:val="single" w:sz="6" w:space="0" w:color="000000"/>
            </w:tcBorders>
          </w:tcPr>
          <w:p>
            <w:pPr>
              <w:pStyle w:val="TableParagraph"/>
              <w:spacing w:before="61"/>
              <w:ind w:left="98" w:right="70"/>
              <w:rPr>
                <w:rFonts w:ascii="宋体" w:eastAsia="宋体" w:hint="eastAsia"/>
                <w:b/>
                <w:sz w:val="20"/>
              </w:rPr>
            </w:pPr>
            <w:r>
              <w:rPr>
                <w:rFonts w:ascii="宋体" w:eastAsia="宋体" w:hint="eastAsia"/>
                <w:b/>
                <w:sz w:val="20"/>
              </w:rPr>
              <w:t>饮用水量</w:t>
            </w:r>
          </w:p>
          <w:p>
            <w:pPr>
              <w:pStyle w:val="TableParagraph"/>
              <w:spacing w:before="101"/>
              <w:ind w:left="98" w:right="73"/>
              <w:rPr>
                <w:b/>
                <w:sz w:val="20"/>
              </w:rPr>
            </w:pPr>
            <w:r>
              <w:rPr>
                <w:rFonts w:ascii="宋体" w:hAnsi="宋体" w:eastAsia="宋体" w:hint="eastAsia"/>
                <w:b/>
                <w:sz w:val="20"/>
              </w:rPr>
              <w:t>（</w:t>
            </w:r>
            <w:r>
              <w:rPr>
                <w:b/>
                <w:sz w:val="20"/>
              </w:rPr>
              <w:t>L/d·</w:t>
            </w:r>
            <w:r>
              <w:rPr>
                <w:rFonts w:ascii="宋体" w:hAnsi="宋体" w:eastAsia="宋体" w:hint="eastAsia"/>
                <w:b/>
                <w:sz w:val="20"/>
              </w:rPr>
              <w:t>头）</w:t>
            </w:r>
            <w:r>
              <w:rPr>
                <w:b/>
                <w:sz w:val="20"/>
                <w:vertAlign w:val="superscript"/>
              </w:rPr>
              <w:t>*</w:t>
            </w:r>
          </w:p>
        </w:tc>
        <w:tc>
          <w:tcPr>
            <w:tcW w:w="2767" w:type="dxa"/>
            <w:gridSpan w:val="3"/>
            <w:tcBorders>
              <w:left w:val="single" w:sz="6" w:space="0" w:color="000000"/>
              <w:bottom w:val="single" w:sz="6" w:space="0" w:color="000000"/>
              <w:right w:val="single" w:sz="6" w:space="0" w:color="000000"/>
            </w:tcBorders>
          </w:tcPr>
          <w:p>
            <w:pPr>
              <w:pStyle w:val="TableParagraph"/>
              <w:spacing w:before="51"/>
              <w:ind w:left="1067" w:right="1041"/>
              <w:rPr>
                <w:rFonts w:ascii="宋体" w:eastAsia="宋体" w:hint="eastAsia"/>
                <w:b/>
                <w:sz w:val="20"/>
              </w:rPr>
            </w:pPr>
            <w:r>
              <w:rPr>
                <w:rFonts w:ascii="宋体" w:eastAsia="宋体" w:hint="eastAsia"/>
                <w:b/>
                <w:sz w:val="20"/>
              </w:rPr>
              <w:t>用水量</w:t>
            </w:r>
          </w:p>
        </w:tc>
        <w:tc>
          <w:tcPr>
            <w:tcW w:w="2658" w:type="dxa"/>
            <w:gridSpan w:val="3"/>
            <w:tcBorders>
              <w:left w:val="single" w:sz="6" w:space="0" w:color="000000"/>
              <w:bottom w:val="single" w:sz="6" w:space="0" w:color="000000"/>
            </w:tcBorders>
          </w:tcPr>
          <w:p>
            <w:pPr>
              <w:pStyle w:val="TableParagraph"/>
              <w:spacing w:before="51"/>
              <w:ind w:left="1013" w:right="979"/>
              <w:rPr>
                <w:rFonts w:ascii="宋体" w:eastAsia="宋体" w:hint="eastAsia"/>
                <w:b/>
                <w:sz w:val="20"/>
              </w:rPr>
            </w:pPr>
            <w:r>
              <w:rPr>
                <w:rFonts w:ascii="宋体" w:eastAsia="宋体" w:hint="eastAsia"/>
                <w:b/>
                <w:sz w:val="20"/>
              </w:rPr>
              <w:t>排尿量</w:t>
            </w:r>
          </w:p>
        </w:tc>
      </w:tr>
      <w:tr>
        <w:trPr>
          <w:trHeight w:val="359" w:hRule="atLeast"/>
        </w:trPr>
        <w:tc>
          <w:tcPr>
            <w:tcW w:w="634" w:type="dxa"/>
            <w:vMerge/>
            <w:tcBorders>
              <w:top w:val="nil"/>
              <w:bottom w:val="single" w:sz="6" w:space="0" w:color="000000"/>
              <w:right w:val="single" w:sz="6" w:space="0" w:color="000000"/>
            </w:tcBorders>
          </w:tcPr>
          <w:p>
            <w:pPr>
              <w:rPr>
                <w:sz w:val="2"/>
                <w:szCs w:val="2"/>
              </w:rPr>
            </w:pPr>
          </w:p>
        </w:tc>
        <w:tc>
          <w:tcPr>
            <w:tcW w:w="1260" w:type="dxa"/>
            <w:gridSpan w:val="2"/>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77" w:type="dxa"/>
            <w:vMerge/>
            <w:tcBorders>
              <w:top w:val="nil"/>
              <w:left w:val="single" w:sz="6" w:space="0" w:color="000000"/>
              <w:bottom w:val="single" w:sz="6" w:space="0" w:color="000000"/>
              <w:right w:val="single" w:sz="6" w:space="0" w:color="000000"/>
            </w:tcBorders>
          </w:tcPr>
          <w:p>
            <w:pPr>
              <w:rPr>
                <w:sz w:val="2"/>
                <w:szCs w:val="2"/>
              </w:rPr>
            </w:pP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1"/>
              <w:ind w:right="92"/>
              <w:jc w:val="right"/>
              <w:rPr>
                <w:rFonts w:ascii="宋体" w:eastAsia="宋体" w:hint="eastAsia"/>
                <w:b/>
                <w:sz w:val="20"/>
              </w:rPr>
            </w:pPr>
            <w:r>
              <w:rPr>
                <w:rFonts w:ascii="宋体" w:eastAsia="宋体" w:hint="eastAsia"/>
                <w:b/>
                <w:sz w:val="20"/>
              </w:rPr>
              <w:t>夏季日</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1"/>
              <w:ind w:left="102" w:right="73"/>
              <w:rPr>
                <w:rFonts w:ascii="宋体" w:eastAsia="宋体" w:hint="eastAsia"/>
                <w:b/>
                <w:sz w:val="20"/>
              </w:rPr>
            </w:pPr>
            <w:r>
              <w:rPr>
                <w:rFonts w:ascii="宋体" w:eastAsia="宋体" w:hint="eastAsia"/>
                <w:b/>
                <w:sz w:val="20"/>
              </w:rPr>
              <w:t>冬季日</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51"/>
              <w:ind w:left="349"/>
              <w:jc w:val="left"/>
              <w:rPr>
                <w:rFonts w:ascii="宋体" w:eastAsia="宋体" w:hint="eastAsia"/>
                <w:b/>
                <w:sz w:val="20"/>
              </w:rPr>
            </w:pPr>
            <w:r>
              <w:rPr>
                <w:rFonts w:ascii="宋体" w:eastAsia="宋体" w:hint="eastAsia"/>
                <w:b/>
                <w:sz w:val="20"/>
              </w:rPr>
              <w:t>全年</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1"/>
              <w:ind w:left="102" w:right="75"/>
              <w:rPr>
                <w:rFonts w:ascii="宋体" w:eastAsia="宋体" w:hint="eastAsia"/>
                <w:b/>
                <w:sz w:val="20"/>
              </w:rPr>
            </w:pPr>
            <w:r>
              <w:rPr>
                <w:rFonts w:ascii="宋体" w:eastAsia="宋体" w:hint="eastAsia"/>
                <w:b/>
                <w:sz w:val="20"/>
              </w:rPr>
              <w:t>夏季日</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51"/>
              <w:ind w:right="93"/>
              <w:jc w:val="right"/>
              <w:rPr>
                <w:rFonts w:ascii="宋体" w:eastAsia="宋体" w:hint="eastAsia"/>
                <w:b/>
                <w:sz w:val="20"/>
              </w:rPr>
            </w:pPr>
            <w:r>
              <w:rPr>
                <w:rFonts w:ascii="宋体" w:eastAsia="宋体" w:hint="eastAsia"/>
                <w:b/>
                <w:sz w:val="20"/>
              </w:rPr>
              <w:t>冬季日</w:t>
            </w:r>
          </w:p>
        </w:tc>
        <w:tc>
          <w:tcPr>
            <w:tcW w:w="982" w:type="dxa"/>
            <w:tcBorders>
              <w:top w:val="single" w:sz="6" w:space="0" w:color="000000"/>
              <w:left w:val="single" w:sz="6" w:space="0" w:color="000000"/>
              <w:bottom w:val="single" w:sz="6" w:space="0" w:color="000000"/>
            </w:tcBorders>
          </w:tcPr>
          <w:p>
            <w:pPr>
              <w:pStyle w:val="TableParagraph"/>
              <w:spacing w:before="51"/>
              <w:ind w:left="97" w:right="68"/>
              <w:rPr>
                <w:rFonts w:ascii="宋体" w:eastAsia="宋体" w:hint="eastAsia"/>
                <w:b/>
                <w:sz w:val="20"/>
              </w:rPr>
            </w:pPr>
            <w:r>
              <w:rPr>
                <w:rFonts w:ascii="宋体" w:eastAsia="宋体" w:hint="eastAsia"/>
                <w:b/>
                <w:sz w:val="20"/>
              </w:rPr>
              <w:t>全年</w:t>
            </w:r>
          </w:p>
        </w:tc>
      </w:tr>
      <w:tr>
        <w:trPr>
          <w:trHeight w:val="357" w:hRule="atLeast"/>
        </w:trPr>
        <w:tc>
          <w:tcPr>
            <w:tcW w:w="634" w:type="dxa"/>
            <w:tcBorders>
              <w:top w:val="single" w:sz="6" w:space="0" w:color="000000"/>
              <w:bottom w:val="single" w:sz="6" w:space="0" w:color="000000"/>
              <w:right w:val="single" w:sz="6" w:space="0" w:color="000000"/>
            </w:tcBorders>
          </w:tcPr>
          <w:p>
            <w:pPr>
              <w:pStyle w:val="TableParagraph"/>
              <w:spacing w:before="62"/>
              <w:ind w:left="265"/>
              <w:jc w:val="left"/>
              <w:rPr>
                <w:sz w:val="20"/>
              </w:rPr>
            </w:pPr>
            <w:r>
              <w:rPr>
                <w:w w:val="99"/>
                <w:sz w:val="20"/>
              </w:rPr>
              <w:t>1</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234"/>
              <w:jc w:val="left"/>
              <w:rPr>
                <w:rFonts w:ascii="宋体" w:eastAsia="宋体" w:hint="eastAsia"/>
                <w:sz w:val="20"/>
              </w:rPr>
            </w:pPr>
            <w:r>
              <w:rPr>
                <w:rFonts w:ascii="宋体" w:eastAsia="宋体" w:hint="eastAsia"/>
                <w:sz w:val="20"/>
              </w:rPr>
              <w:t>空怀母猪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1" w:right="75"/>
              <w:rPr>
                <w:sz w:val="20"/>
              </w:rPr>
            </w:pPr>
            <w:r>
              <w:rPr>
                <w:sz w:val="20"/>
              </w:rPr>
              <w:t>200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73"/>
              <w:rPr>
                <w:sz w:val="20"/>
              </w:rPr>
            </w:pPr>
            <w:r>
              <w:rPr>
                <w:sz w:val="20"/>
              </w:rPr>
              <w:t>15-20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8"/>
              <w:jc w:val="left"/>
              <w:rPr>
                <w:sz w:val="20"/>
              </w:rPr>
            </w:pPr>
            <w:r>
              <w:rPr>
                <w:sz w:val="20"/>
              </w:rPr>
              <w:t>4.00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0" w:right="75"/>
              <w:rPr>
                <w:sz w:val="20"/>
              </w:rPr>
            </w:pPr>
            <w:r>
              <w:rPr>
                <w:sz w:val="20"/>
              </w:rPr>
              <w:t>3.00</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5"/>
              <w:ind w:right="200"/>
              <w:jc w:val="right"/>
              <w:rPr>
                <w:sz w:val="20"/>
              </w:rPr>
            </w:pPr>
            <w:r>
              <w:rPr>
                <w:sz w:val="20"/>
              </w:rPr>
              <w:t>1278.50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1.80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7"/>
              <w:jc w:val="left"/>
              <w:rPr>
                <w:sz w:val="20"/>
              </w:rPr>
            </w:pPr>
            <w:r>
              <w:rPr>
                <w:sz w:val="20"/>
              </w:rPr>
              <w:t>1.36</w:t>
            </w:r>
          </w:p>
        </w:tc>
        <w:tc>
          <w:tcPr>
            <w:tcW w:w="982" w:type="dxa"/>
            <w:tcBorders>
              <w:top w:val="single" w:sz="6" w:space="0" w:color="000000"/>
              <w:left w:val="single" w:sz="6" w:space="0" w:color="000000"/>
              <w:bottom w:val="single" w:sz="6" w:space="0" w:color="000000"/>
            </w:tcBorders>
          </w:tcPr>
          <w:p>
            <w:pPr>
              <w:pStyle w:val="TableParagraph"/>
              <w:spacing w:before="65"/>
              <w:ind w:left="97" w:right="71"/>
              <w:rPr>
                <w:sz w:val="20"/>
              </w:rPr>
            </w:pPr>
            <w:r>
              <w:rPr>
                <w:sz w:val="20"/>
              </w:rPr>
              <w:t>578.23</w:t>
            </w:r>
          </w:p>
        </w:tc>
      </w:tr>
      <w:tr>
        <w:trPr>
          <w:trHeight w:val="359" w:hRule="atLeast"/>
        </w:trPr>
        <w:tc>
          <w:tcPr>
            <w:tcW w:w="634" w:type="dxa"/>
            <w:tcBorders>
              <w:top w:val="single" w:sz="6" w:space="0" w:color="000000"/>
              <w:bottom w:val="single" w:sz="6" w:space="0" w:color="000000"/>
              <w:right w:val="single" w:sz="6" w:space="0" w:color="000000"/>
            </w:tcBorders>
          </w:tcPr>
          <w:p>
            <w:pPr>
              <w:pStyle w:val="TableParagraph"/>
              <w:spacing w:before="65"/>
              <w:ind w:left="265"/>
              <w:jc w:val="left"/>
              <w:rPr>
                <w:sz w:val="20"/>
              </w:rPr>
            </w:pPr>
            <w:r>
              <w:rPr>
                <w:w w:val="99"/>
                <w:sz w:val="20"/>
              </w:rPr>
              <w:t>2</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4"/>
              <w:ind w:left="234"/>
              <w:jc w:val="left"/>
              <w:rPr>
                <w:rFonts w:ascii="宋体" w:eastAsia="宋体" w:hint="eastAsia"/>
                <w:sz w:val="20"/>
              </w:rPr>
            </w:pPr>
            <w:r>
              <w:rPr>
                <w:rFonts w:ascii="宋体" w:eastAsia="宋体" w:hint="eastAsia"/>
                <w:sz w:val="20"/>
              </w:rPr>
              <w:t>妊娠母猪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01" w:right="75"/>
              <w:rPr>
                <w:sz w:val="20"/>
              </w:rPr>
            </w:pPr>
            <w:r>
              <w:rPr>
                <w:sz w:val="20"/>
              </w:rPr>
              <w:t>2600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5"/>
              <w:ind w:left="96" w:right="73"/>
              <w:rPr>
                <w:sz w:val="20"/>
              </w:rPr>
            </w:pPr>
            <w:r>
              <w:rPr>
                <w:sz w:val="20"/>
              </w:rPr>
              <w:t>15-20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98"/>
              <w:jc w:val="left"/>
              <w:rPr>
                <w:sz w:val="20"/>
              </w:rPr>
            </w:pPr>
            <w:r>
              <w:rPr>
                <w:sz w:val="20"/>
              </w:rPr>
              <w:t>52.00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00" w:right="75"/>
              <w:rPr>
                <w:sz w:val="20"/>
              </w:rPr>
            </w:pPr>
            <w:r>
              <w:rPr>
                <w:sz w:val="20"/>
              </w:rPr>
              <w:t>39.00</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7"/>
              <w:ind w:right="148"/>
              <w:jc w:val="right"/>
              <w:rPr>
                <w:sz w:val="20"/>
              </w:rPr>
            </w:pPr>
            <w:r>
              <w:rPr>
                <w:sz w:val="20"/>
              </w:rPr>
              <w:t>16620.50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98" w:right="75"/>
              <w:rPr>
                <w:sz w:val="20"/>
              </w:rPr>
            </w:pPr>
            <w:r>
              <w:rPr>
                <w:sz w:val="20"/>
              </w:rPr>
              <w:t>23.43</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96"/>
              <w:jc w:val="left"/>
              <w:rPr>
                <w:sz w:val="20"/>
              </w:rPr>
            </w:pPr>
            <w:r>
              <w:rPr>
                <w:sz w:val="20"/>
              </w:rPr>
              <w:t>17.73</w:t>
            </w:r>
          </w:p>
        </w:tc>
        <w:tc>
          <w:tcPr>
            <w:tcW w:w="982" w:type="dxa"/>
            <w:tcBorders>
              <w:top w:val="single" w:sz="6" w:space="0" w:color="000000"/>
              <w:left w:val="single" w:sz="6" w:space="0" w:color="000000"/>
              <w:bottom w:val="single" w:sz="6" w:space="0" w:color="000000"/>
            </w:tcBorders>
          </w:tcPr>
          <w:p>
            <w:pPr>
              <w:pStyle w:val="TableParagraph"/>
              <w:spacing w:before="67"/>
              <w:ind w:left="97" w:right="71"/>
              <w:rPr>
                <w:sz w:val="20"/>
              </w:rPr>
            </w:pPr>
            <w:r>
              <w:rPr>
                <w:sz w:val="20"/>
              </w:rPr>
              <w:t>7517.03</w:t>
            </w:r>
          </w:p>
        </w:tc>
      </w:tr>
      <w:tr>
        <w:trPr>
          <w:trHeight w:val="359" w:hRule="atLeast"/>
        </w:trPr>
        <w:tc>
          <w:tcPr>
            <w:tcW w:w="634" w:type="dxa"/>
            <w:tcBorders>
              <w:top w:val="single" w:sz="6" w:space="0" w:color="000000"/>
              <w:bottom w:val="single" w:sz="6" w:space="0" w:color="000000"/>
              <w:right w:val="single" w:sz="6" w:space="0" w:color="000000"/>
            </w:tcBorders>
          </w:tcPr>
          <w:p>
            <w:pPr>
              <w:pStyle w:val="TableParagraph"/>
              <w:spacing w:before="62"/>
              <w:ind w:left="265"/>
              <w:jc w:val="left"/>
              <w:rPr>
                <w:sz w:val="20"/>
              </w:rPr>
            </w:pPr>
            <w:r>
              <w:rPr>
                <w:w w:val="99"/>
                <w:sz w:val="20"/>
              </w:rPr>
              <w:t>3</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234"/>
              <w:jc w:val="left"/>
              <w:rPr>
                <w:rFonts w:ascii="宋体" w:eastAsia="宋体" w:hint="eastAsia"/>
                <w:sz w:val="20"/>
              </w:rPr>
            </w:pPr>
            <w:r>
              <w:rPr>
                <w:rFonts w:ascii="宋体" w:eastAsia="宋体" w:hint="eastAsia"/>
                <w:sz w:val="20"/>
              </w:rPr>
              <w:t>哺乳母猪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1" w:right="75"/>
              <w:rPr>
                <w:sz w:val="20"/>
              </w:rPr>
            </w:pPr>
            <w:r>
              <w:rPr>
                <w:sz w:val="20"/>
              </w:rPr>
              <w:t>765</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73"/>
              <w:rPr>
                <w:sz w:val="20"/>
              </w:rPr>
            </w:pPr>
            <w:r>
              <w:rPr>
                <w:sz w:val="20"/>
              </w:rPr>
              <w:t>20-25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98"/>
              <w:jc w:val="left"/>
              <w:rPr>
                <w:sz w:val="20"/>
              </w:rPr>
            </w:pPr>
            <w:r>
              <w:rPr>
                <w:sz w:val="20"/>
              </w:rPr>
              <w:t>19.13</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0" w:right="75"/>
              <w:rPr>
                <w:sz w:val="20"/>
              </w:rPr>
            </w:pPr>
            <w:r>
              <w:rPr>
                <w:sz w:val="20"/>
              </w:rPr>
              <w:t>15.30</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5"/>
              <w:ind w:right="200"/>
              <w:jc w:val="right"/>
              <w:rPr>
                <w:sz w:val="20"/>
              </w:rPr>
            </w:pPr>
            <w:r>
              <w:rPr>
                <w:sz w:val="20"/>
              </w:rPr>
              <w:t>6286.39</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8.57</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7"/>
              <w:jc w:val="left"/>
              <w:rPr>
                <w:sz w:val="20"/>
              </w:rPr>
            </w:pPr>
            <w:r>
              <w:rPr>
                <w:sz w:val="20"/>
              </w:rPr>
              <w:t>6.89</w:t>
            </w:r>
          </w:p>
        </w:tc>
        <w:tc>
          <w:tcPr>
            <w:tcW w:w="982" w:type="dxa"/>
            <w:tcBorders>
              <w:top w:val="single" w:sz="6" w:space="0" w:color="000000"/>
              <w:left w:val="single" w:sz="6" w:space="0" w:color="000000"/>
              <w:bottom w:val="single" w:sz="6" w:space="0" w:color="000000"/>
            </w:tcBorders>
          </w:tcPr>
          <w:p>
            <w:pPr>
              <w:pStyle w:val="TableParagraph"/>
              <w:spacing w:before="65"/>
              <w:ind w:left="97" w:right="71"/>
              <w:rPr>
                <w:sz w:val="20"/>
              </w:rPr>
            </w:pPr>
            <w:r>
              <w:rPr>
                <w:sz w:val="20"/>
              </w:rPr>
              <w:t>2823.24</w:t>
            </w:r>
          </w:p>
        </w:tc>
      </w:tr>
      <w:tr>
        <w:trPr>
          <w:trHeight w:val="359" w:hRule="atLeast"/>
        </w:trPr>
        <w:tc>
          <w:tcPr>
            <w:tcW w:w="634" w:type="dxa"/>
            <w:tcBorders>
              <w:top w:val="single" w:sz="6" w:space="0" w:color="000000"/>
              <w:bottom w:val="single" w:sz="6" w:space="0" w:color="000000"/>
              <w:right w:val="single" w:sz="6" w:space="0" w:color="000000"/>
            </w:tcBorders>
          </w:tcPr>
          <w:p>
            <w:pPr>
              <w:pStyle w:val="TableParagraph"/>
              <w:spacing w:before="62"/>
              <w:ind w:left="265"/>
              <w:jc w:val="left"/>
              <w:rPr>
                <w:sz w:val="20"/>
              </w:rPr>
            </w:pPr>
            <w:r>
              <w:rPr>
                <w:w w:val="99"/>
                <w:sz w:val="20"/>
              </w:rPr>
              <w:t>4</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234"/>
              <w:jc w:val="left"/>
              <w:rPr>
                <w:rFonts w:ascii="宋体" w:eastAsia="宋体" w:hint="eastAsia"/>
                <w:sz w:val="20"/>
              </w:rPr>
            </w:pPr>
            <w:r>
              <w:rPr>
                <w:rFonts w:ascii="宋体" w:eastAsia="宋体" w:hint="eastAsia"/>
                <w:sz w:val="20"/>
              </w:rPr>
              <w:t>哺乳仔猪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1" w:right="75"/>
              <w:rPr>
                <w:sz w:val="20"/>
              </w:rPr>
            </w:pPr>
            <w:r>
              <w:rPr>
                <w:sz w:val="20"/>
              </w:rPr>
              <w:t>6014</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2"/>
              <w:ind w:left="25"/>
              <w:rPr>
                <w:sz w:val="20"/>
              </w:rPr>
            </w:pPr>
            <w:r>
              <w:rPr>
                <w:w w:val="99"/>
                <w:sz w:val="20"/>
              </w:rPr>
              <w:t>/</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
              <w:rPr>
                <w:sz w:val="20"/>
              </w:rPr>
            </w:pPr>
            <w:r>
              <w:rPr>
                <w:w w:val="99"/>
                <w:sz w:val="20"/>
              </w:rPr>
              <w:t>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3"/>
              <w:rPr>
                <w:sz w:val="20"/>
              </w:rPr>
            </w:pPr>
            <w:r>
              <w:rPr>
                <w:w w:val="99"/>
                <w:sz w:val="20"/>
              </w:rPr>
              <w:t>0</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5"/>
              <w:ind w:left="24"/>
              <w:rPr>
                <w:sz w:val="20"/>
              </w:rPr>
            </w:pPr>
            <w:r>
              <w:rPr>
                <w:w w:val="99"/>
                <w:sz w:val="20"/>
              </w:rPr>
              <w:t>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1.50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7"/>
              <w:jc w:val="left"/>
              <w:rPr>
                <w:sz w:val="20"/>
              </w:rPr>
            </w:pPr>
            <w:r>
              <w:rPr>
                <w:sz w:val="20"/>
              </w:rPr>
              <w:t>1.50</w:t>
            </w:r>
          </w:p>
        </w:tc>
        <w:tc>
          <w:tcPr>
            <w:tcW w:w="982" w:type="dxa"/>
            <w:tcBorders>
              <w:top w:val="single" w:sz="6" w:space="0" w:color="000000"/>
              <w:left w:val="single" w:sz="6" w:space="0" w:color="000000"/>
              <w:bottom w:val="single" w:sz="6" w:space="0" w:color="000000"/>
            </w:tcBorders>
          </w:tcPr>
          <w:p>
            <w:pPr>
              <w:pStyle w:val="TableParagraph"/>
              <w:spacing w:before="65"/>
              <w:ind w:left="97" w:right="71"/>
              <w:rPr>
                <w:sz w:val="20"/>
              </w:rPr>
            </w:pPr>
            <w:r>
              <w:rPr>
                <w:sz w:val="20"/>
              </w:rPr>
              <w:t>548.78</w:t>
            </w:r>
          </w:p>
        </w:tc>
      </w:tr>
      <w:tr>
        <w:trPr>
          <w:trHeight w:val="356" w:hRule="atLeast"/>
        </w:trPr>
        <w:tc>
          <w:tcPr>
            <w:tcW w:w="634" w:type="dxa"/>
            <w:tcBorders>
              <w:top w:val="single" w:sz="6" w:space="0" w:color="000000"/>
              <w:bottom w:val="single" w:sz="6" w:space="0" w:color="000000"/>
              <w:right w:val="single" w:sz="6" w:space="0" w:color="000000"/>
            </w:tcBorders>
          </w:tcPr>
          <w:p>
            <w:pPr>
              <w:pStyle w:val="TableParagraph"/>
              <w:spacing w:before="62"/>
              <w:ind w:left="265"/>
              <w:jc w:val="left"/>
              <w:rPr>
                <w:sz w:val="20"/>
              </w:rPr>
            </w:pPr>
            <w:r>
              <w:rPr>
                <w:w w:val="99"/>
                <w:sz w:val="20"/>
              </w:rPr>
              <w:t>5</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234"/>
              <w:jc w:val="left"/>
              <w:rPr>
                <w:rFonts w:ascii="宋体" w:eastAsia="宋体" w:hint="eastAsia"/>
                <w:sz w:val="20"/>
              </w:rPr>
            </w:pPr>
            <w:r>
              <w:rPr>
                <w:rFonts w:ascii="宋体" w:eastAsia="宋体" w:hint="eastAsia"/>
                <w:sz w:val="20"/>
              </w:rPr>
              <w:t>断奶仔猪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11642</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2"/>
              <w:ind w:left="97" w:right="73"/>
              <w:rPr>
                <w:sz w:val="20"/>
              </w:rPr>
            </w:pPr>
            <w:r>
              <w:rPr>
                <w:sz w:val="20"/>
              </w:rPr>
              <w:t>1.5-2.5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03"/>
              <w:jc w:val="left"/>
              <w:rPr>
                <w:sz w:val="20"/>
              </w:rPr>
            </w:pPr>
            <w:r>
              <w:rPr>
                <w:sz w:val="20"/>
              </w:rPr>
              <w:t>29.11</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0" w:right="75"/>
              <w:rPr>
                <w:sz w:val="20"/>
              </w:rPr>
            </w:pPr>
            <w:r>
              <w:rPr>
                <w:sz w:val="20"/>
              </w:rPr>
              <w:t>17.46</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5"/>
              <w:ind w:right="200"/>
              <w:jc w:val="right"/>
              <w:rPr>
                <w:sz w:val="20"/>
              </w:rPr>
            </w:pPr>
            <w:r>
              <w:rPr>
                <w:sz w:val="20"/>
              </w:rPr>
              <w:t>8510.30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15.66</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96"/>
              <w:jc w:val="left"/>
              <w:rPr>
                <w:sz w:val="20"/>
              </w:rPr>
            </w:pPr>
            <w:r>
              <w:rPr>
                <w:sz w:val="20"/>
              </w:rPr>
              <w:t>10.56</w:t>
            </w:r>
          </w:p>
        </w:tc>
        <w:tc>
          <w:tcPr>
            <w:tcW w:w="982" w:type="dxa"/>
            <w:tcBorders>
              <w:top w:val="single" w:sz="6" w:space="0" w:color="000000"/>
              <w:left w:val="single" w:sz="6" w:space="0" w:color="000000"/>
              <w:bottom w:val="single" w:sz="6" w:space="0" w:color="000000"/>
            </w:tcBorders>
          </w:tcPr>
          <w:p>
            <w:pPr>
              <w:pStyle w:val="TableParagraph"/>
              <w:spacing w:before="65"/>
              <w:ind w:left="97" w:right="71"/>
              <w:rPr>
                <w:sz w:val="20"/>
              </w:rPr>
            </w:pPr>
            <w:r>
              <w:rPr>
                <w:sz w:val="20"/>
              </w:rPr>
              <w:t>4789.84</w:t>
            </w:r>
          </w:p>
        </w:tc>
      </w:tr>
      <w:tr>
        <w:trPr>
          <w:trHeight w:val="359" w:hRule="atLeast"/>
        </w:trPr>
        <w:tc>
          <w:tcPr>
            <w:tcW w:w="634" w:type="dxa"/>
            <w:vMerge w:val="restart"/>
            <w:tcBorders>
              <w:top w:val="single" w:sz="6" w:space="0" w:color="000000"/>
              <w:bottom w:val="single" w:sz="6" w:space="0" w:color="000000"/>
              <w:right w:val="single" w:sz="6" w:space="0" w:color="000000"/>
            </w:tcBorders>
          </w:tcPr>
          <w:p>
            <w:pPr>
              <w:pStyle w:val="TableParagraph"/>
              <w:spacing w:before="10"/>
              <w:jc w:val="left"/>
              <w:rPr>
                <w:b/>
                <w:sz w:val="21"/>
              </w:rPr>
            </w:pPr>
          </w:p>
          <w:p>
            <w:pPr>
              <w:pStyle w:val="TableParagraph"/>
              <w:spacing w:before="0"/>
              <w:ind w:left="19"/>
              <w:rPr>
                <w:sz w:val="20"/>
              </w:rPr>
            </w:pPr>
            <w:r>
              <w:rPr>
                <w:w w:val="99"/>
                <w:sz w:val="20"/>
              </w:rPr>
              <w:t>6</w:t>
            </w:r>
          </w:p>
        </w:tc>
        <w:tc>
          <w:tcPr>
            <w:tcW w:w="62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1"/>
              <w:ind w:right="96"/>
              <w:jc w:val="right"/>
              <w:rPr>
                <w:rFonts w:ascii="宋体" w:eastAsia="宋体" w:hint="eastAsia"/>
                <w:sz w:val="20"/>
              </w:rPr>
            </w:pPr>
            <w:r>
              <w:rPr>
                <w:rFonts w:ascii="宋体" w:eastAsia="宋体" w:hint="eastAsia"/>
                <w:w w:val="95"/>
                <w:sz w:val="20"/>
              </w:rPr>
              <w:t>育肥</w:t>
            </w:r>
          </w:p>
          <w:p>
            <w:pPr>
              <w:pStyle w:val="TableParagraph"/>
              <w:spacing w:before="101"/>
              <w:ind w:right="195"/>
              <w:jc w:val="right"/>
              <w:rPr>
                <w:rFonts w:ascii="宋体" w:eastAsia="宋体" w:hint="eastAsia"/>
                <w:sz w:val="20"/>
              </w:rPr>
            </w:pPr>
            <w:r>
              <w:rPr>
                <w:rFonts w:ascii="宋体" w:eastAsia="宋体" w:hint="eastAsia"/>
                <w:w w:val="99"/>
                <w:sz w:val="20"/>
              </w:rPr>
              <w:t>猪</w:t>
            </w: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54"/>
              <w:ind w:right="96"/>
              <w:jc w:val="right"/>
              <w:rPr>
                <w:rFonts w:ascii="宋体" w:eastAsia="宋体" w:hint="eastAsia"/>
                <w:sz w:val="20"/>
              </w:rPr>
            </w:pPr>
            <w:r>
              <w:rPr>
                <w:rFonts w:ascii="宋体" w:eastAsia="宋体" w:hint="eastAsia"/>
                <w:w w:val="95"/>
                <w:sz w:val="20"/>
              </w:rPr>
              <w:t>中猪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5" w:right="75"/>
              <w:rPr>
                <w:sz w:val="20"/>
              </w:rPr>
            </w:pPr>
            <w:r>
              <w:rPr>
                <w:sz w:val="20"/>
              </w:rPr>
              <w:t>19498</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5"/>
              <w:ind w:left="97" w:right="73"/>
              <w:rPr>
                <w:sz w:val="20"/>
              </w:rPr>
            </w:pPr>
            <w:r>
              <w:rPr>
                <w:sz w:val="20"/>
              </w:rPr>
              <w:t>4.0-6.0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right="125"/>
              <w:jc w:val="right"/>
              <w:rPr>
                <w:sz w:val="20"/>
              </w:rPr>
            </w:pPr>
            <w:r>
              <w:rPr>
                <w:w w:val="95"/>
                <w:sz w:val="20"/>
              </w:rPr>
              <w:t>116.99</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00" w:right="75"/>
              <w:rPr>
                <w:sz w:val="20"/>
              </w:rPr>
            </w:pPr>
            <w:r>
              <w:rPr>
                <w:sz w:val="20"/>
              </w:rPr>
              <w:t>77.99</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7"/>
              <w:ind w:right="148"/>
              <w:jc w:val="right"/>
              <w:rPr>
                <w:sz w:val="20"/>
              </w:rPr>
            </w:pPr>
            <w:r>
              <w:rPr>
                <w:sz w:val="20"/>
              </w:rPr>
              <w:t>35622.85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98" w:right="75"/>
              <w:rPr>
                <w:sz w:val="20"/>
              </w:rPr>
            </w:pPr>
            <w:r>
              <w:rPr>
                <w:sz w:val="20"/>
              </w:rPr>
              <w:t>56.12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96"/>
              <w:jc w:val="left"/>
              <w:rPr>
                <w:sz w:val="20"/>
              </w:rPr>
            </w:pPr>
            <w:r>
              <w:rPr>
                <w:sz w:val="20"/>
              </w:rPr>
              <w:t>39.03</w:t>
            </w:r>
          </w:p>
        </w:tc>
        <w:tc>
          <w:tcPr>
            <w:tcW w:w="982" w:type="dxa"/>
            <w:tcBorders>
              <w:top w:val="single" w:sz="6" w:space="0" w:color="000000"/>
              <w:left w:val="single" w:sz="6" w:space="0" w:color="000000"/>
              <w:bottom w:val="single" w:sz="6" w:space="0" w:color="000000"/>
            </w:tcBorders>
          </w:tcPr>
          <w:p>
            <w:pPr>
              <w:pStyle w:val="TableParagraph"/>
              <w:spacing w:before="67"/>
              <w:ind w:left="97" w:right="71"/>
              <w:rPr>
                <w:sz w:val="20"/>
              </w:rPr>
            </w:pPr>
            <w:r>
              <w:rPr>
                <w:sz w:val="20"/>
              </w:rPr>
              <w:t>17382.00</w:t>
            </w:r>
          </w:p>
        </w:tc>
      </w:tr>
      <w:tr>
        <w:trPr>
          <w:trHeight w:val="359" w:hRule="atLeast"/>
        </w:trPr>
        <w:tc>
          <w:tcPr>
            <w:tcW w:w="634" w:type="dxa"/>
            <w:vMerge/>
            <w:tcBorders>
              <w:top w:val="nil"/>
              <w:bottom w:val="single" w:sz="6" w:space="0" w:color="000000"/>
              <w:right w:val="single" w:sz="6" w:space="0" w:color="000000"/>
            </w:tcBorders>
          </w:tcPr>
          <w:p>
            <w:pPr>
              <w:rPr>
                <w:sz w:val="2"/>
                <w:szCs w:val="2"/>
              </w:rPr>
            </w:pPr>
          </w:p>
        </w:tc>
        <w:tc>
          <w:tcPr>
            <w:tcW w:w="629" w:type="dxa"/>
            <w:vMerge/>
            <w:tcBorders>
              <w:top w:val="nil"/>
              <w:left w:val="single" w:sz="6" w:space="0" w:color="000000"/>
              <w:bottom w:val="single" w:sz="6" w:space="0" w:color="000000"/>
              <w:right w:val="single" w:sz="6" w:space="0" w:color="000000"/>
            </w:tcBorders>
          </w:tcPr>
          <w:p>
            <w:pPr>
              <w:rPr>
                <w:sz w:val="2"/>
                <w:szCs w:val="2"/>
              </w:rPr>
            </w:pPr>
          </w:p>
        </w:tc>
        <w:tc>
          <w:tcPr>
            <w:tcW w:w="631" w:type="dxa"/>
            <w:tcBorders>
              <w:top w:val="single" w:sz="6" w:space="0" w:color="000000"/>
              <w:left w:val="single" w:sz="6" w:space="0" w:color="000000"/>
              <w:bottom w:val="single" w:sz="6" w:space="0" w:color="000000"/>
              <w:right w:val="single" w:sz="6" w:space="0" w:color="000000"/>
            </w:tcBorders>
          </w:tcPr>
          <w:p>
            <w:pPr>
              <w:pStyle w:val="TableParagraph"/>
              <w:spacing w:before="51"/>
              <w:ind w:right="96"/>
              <w:jc w:val="right"/>
              <w:rPr>
                <w:rFonts w:ascii="宋体" w:eastAsia="宋体" w:hint="eastAsia"/>
                <w:sz w:val="20"/>
              </w:rPr>
            </w:pPr>
            <w:r>
              <w:rPr>
                <w:rFonts w:ascii="宋体" w:eastAsia="宋体" w:hint="eastAsia"/>
                <w:w w:val="95"/>
                <w:sz w:val="20"/>
              </w:rPr>
              <w:t>肥猪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2"/>
              <w:ind w:left="101" w:right="75"/>
              <w:rPr>
                <w:sz w:val="20"/>
              </w:rPr>
            </w:pPr>
            <w:r>
              <w:rPr>
                <w:sz w:val="20"/>
              </w:rPr>
              <w:t>9749</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2"/>
              <w:ind w:left="97" w:right="73"/>
              <w:rPr>
                <w:sz w:val="20"/>
              </w:rPr>
            </w:pPr>
            <w:r>
              <w:rPr>
                <w:sz w:val="20"/>
              </w:rPr>
              <w:t>6.0-7.5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98"/>
              <w:jc w:val="left"/>
              <w:rPr>
                <w:sz w:val="20"/>
              </w:rPr>
            </w:pPr>
            <w:r>
              <w:rPr>
                <w:sz w:val="20"/>
              </w:rPr>
              <w:t>73.12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0" w:right="75"/>
              <w:rPr>
                <w:sz w:val="20"/>
              </w:rPr>
            </w:pPr>
            <w:r>
              <w:rPr>
                <w:sz w:val="20"/>
              </w:rPr>
              <w:t>58.49</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5"/>
              <w:ind w:right="148"/>
              <w:jc w:val="right"/>
              <w:rPr>
                <w:sz w:val="20"/>
              </w:rPr>
            </w:pPr>
            <w:r>
              <w:rPr>
                <w:sz w:val="20"/>
              </w:rPr>
              <w:t>24033.72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34.46</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96"/>
              <w:jc w:val="left"/>
              <w:rPr>
                <w:sz w:val="20"/>
              </w:rPr>
            </w:pPr>
            <w:r>
              <w:rPr>
                <w:sz w:val="20"/>
              </w:rPr>
              <w:t>28.06</w:t>
            </w:r>
          </w:p>
        </w:tc>
        <w:tc>
          <w:tcPr>
            <w:tcW w:w="982" w:type="dxa"/>
            <w:tcBorders>
              <w:top w:val="single" w:sz="6" w:space="0" w:color="000000"/>
              <w:left w:val="single" w:sz="6" w:space="0" w:color="000000"/>
              <w:bottom w:val="single" w:sz="6" w:space="0" w:color="000000"/>
            </w:tcBorders>
          </w:tcPr>
          <w:p>
            <w:pPr>
              <w:pStyle w:val="TableParagraph"/>
              <w:spacing w:before="65"/>
              <w:ind w:left="97" w:right="71"/>
              <w:rPr>
                <w:sz w:val="20"/>
              </w:rPr>
            </w:pPr>
            <w:r>
              <w:rPr>
                <w:sz w:val="20"/>
              </w:rPr>
              <w:t>11416.37</w:t>
            </w:r>
          </w:p>
        </w:tc>
      </w:tr>
      <w:tr>
        <w:trPr>
          <w:trHeight w:val="359" w:hRule="atLeast"/>
        </w:trPr>
        <w:tc>
          <w:tcPr>
            <w:tcW w:w="634" w:type="dxa"/>
            <w:tcBorders>
              <w:top w:val="single" w:sz="6" w:space="0" w:color="000000"/>
              <w:bottom w:val="single" w:sz="6" w:space="0" w:color="000000"/>
              <w:right w:val="single" w:sz="6" w:space="0" w:color="000000"/>
            </w:tcBorders>
          </w:tcPr>
          <w:p>
            <w:pPr>
              <w:pStyle w:val="TableParagraph"/>
              <w:spacing w:before="62"/>
              <w:ind w:left="265"/>
              <w:jc w:val="left"/>
              <w:rPr>
                <w:sz w:val="20"/>
              </w:rPr>
            </w:pPr>
            <w:r>
              <w:rPr>
                <w:w w:val="99"/>
                <w:sz w:val="20"/>
              </w:rPr>
              <w:t>7</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234"/>
              <w:jc w:val="left"/>
              <w:rPr>
                <w:rFonts w:ascii="宋体" w:eastAsia="宋体" w:hint="eastAsia"/>
                <w:sz w:val="20"/>
              </w:rPr>
            </w:pPr>
            <w:r>
              <w:rPr>
                <w:rFonts w:ascii="宋体" w:eastAsia="宋体" w:hint="eastAsia"/>
                <w:sz w:val="20"/>
              </w:rPr>
              <w:t>后备母猪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1" w:right="75"/>
              <w:rPr>
                <w:sz w:val="20"/>
              </w:rPr>
            </w:pPr>
            <w:r>
              <w:rPr>
                <w:sz w:val="20"/>
              </w:rPr>
              <w:t>400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73"/>
              <w:rPr>
                <w:sz w:val="20"/>
              </w:rPr>
            </w:pPr>
            <w:r>
              <w:rPr>
                <w:sz w:val="20"/>
              </w:rPr>
              <w:t>15-20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8"/>
              <w:jc w:val="left"/>
              <w:rPr>
                <w:sz w:val="20"/>
              </w:rPr>
            </w:pPr>
            <w:r>
              <w:rPr>
                <w:sz w:val="20"/>
              </w:rPr>
              <w:t>8.00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0" w:right="75"/>
              <w:rPr>
                <w:sz w:val="20"/>
              </w:rPr>
            </w:pPr>
            <w:r>
              <w:rPr>
                <w:sz w:val="20"/>
              </w:rPr>
              <w:t>6.00</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5"/>
              <w:ind w:right="200"/>
              <w:jc w:val="right"/>
              <w:rPr>
                <w:sz w:val="20"/>
              </w:rPr>
            </w:pPr>
            <w:r>
              <w:rPr>
                <w:sz w:val="20"/>
              </w:rPr>
              <w:t>2557.00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3.60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7"/>
              <w:jc w:val="left"/>
              <w:rPr>
                <w:sz w:val="20"/>
              </w:rPr>
            </w:pPr>
            <w:r>
              <w:rPr>
                <w:sz w:val="20"/>
              </w:rPr>
              <w:t>2.73</w:t>
            </w:r>
          </w:p>
        </w:tc>
        <w:tc>
          <w:tcPr>
            <w:tcW w:w="982" w:type="dxa"/>
            <w:tcBorders>
              <w:top w:val="single" w:sz="6" w:space="0" w:color="000000"/>
              <w:left w:val="single" w:sz="6" w:space="0" w:color="000000"/>
              <w:bottom w:val="single" w:sz="6" w:space="0" w:color="000000"/>
            </w:tcBorders>
          </w:tcPr>
          <w:p>
            <w:pPr>
              <w:pStyle w:val="TableParagraph"/>
              <w:spacing w:before="65"/>
              <w:ind w:left="97" w:right="69"/>
              <w:rPr>
                <w:sz w:val="20"/>
              </w:rPr>
            </w:pPr>
            <w:r>
              <w:rPr>
                <w:sz w:val="20"/>
              </w:rPr>
              <w:t>1156.47</w:t>
            </w:r>
          </w:p>
        </w:tc>
      </w:tr>
      <w:tr>
        <w:trPr>
          <w:trHeight w:val="356" w:hRule="atLeast"/>
        </w:trPr>
        <w:tc>
          <w:tcPr>
            <w:tcW w:w="634" w:type="dxa"/>
            <w:tcBorders>
              <w:top w:val="single" w:sz="6" w:space="0" w:color="000000"/>
              <w:bottom w:val="single" w:sz="6" w:space="0" w:color="000000"/>
              <w:right w:val="single" w:sz="6" w:space="0" w:color="000000"/>
            </w:tcBorders>
          </w:tcPr>
          <w:p>
            <w:pPr>
              <w:pStyle w:val="TableParagraph"/>
              <w:spacing w:before="62"/>
              <w:ind w:left="265"/>
              <w:jc w:val="left"/>
              <w:rPr>
                <w:sz w:val="20"/>
              </w:rPr>
            </w:pPr>
            <w:r>
              <w:rPr>
                <w:w w:val="99"/>
                <w:sz w:val="20"/>
              </w:rPr>
              <w:t>8</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1"/>
              <w:ind w:left="332"/>
              <w:jc w:val="left"/>
              <w:rPr>
                <w:rFonts w:ascii="宋体" w:eastAsia="宋体" w:hint="eastAsia"/>
                <w:sz w:val="20"/>
              </w:rPr>
            </w:pPr>
            <w:r>
              <w:rPr>
                <w:rFonts w:ascii="宋体" w:eastAsia="宋体" w:hint="eastAsia"/>
                <w:sz w:val="20"/>
              </w:rPr>
              <w:t>种公猪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2"/>
              <w:ind w:left="101" w:right="75"/>
              <w:rPr>
                <w:sz w:val="20"/>
              </w:rPr>
            </w:pPr>
            <w:r>
              <w:rPr>
                <w:sz w:val="20"/>
              </w:rPr>
              <w:t>200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2"/>
              <w:ind w:left="96" w:right="73"/>
              <w:rPr>
                <w:sz w:val="20"/>
              </w:rPr>
            </w:pPr>
            <w:r>
              <w:rPr>
                <w:sz w:val="20"/>
              </w:rPr>
              <w:t>15-20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8"/>
              <w:jc w:val="left"/>
              <w:rPr>
                <w:sz w:val="20"/>
              </w:rPr>
            </w:pPr>
            <w:r>
              <w:rPr>
                <w:sz w:val="20"/>
              </w:rPr>
              <w:t>4.00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0" w:right="75"/>
              <w:rPr>
                <w:sz w:val="20"/>
              </w:rPr>
            </w:pPr>
            <w:r>
              <w:rPr>
                <w:sz w:val="20"/>
              </w:rPr>
              <w:t>3.00</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5"/>
              <w:ind w:right="200"/>
              <w:jc w:val="right"/>
              <w:rPr>
                <w:sz w:val="20"/>
              </w:rPr>
            </w:pPr>
            <w:r>
              <w:rPr>
                <w:sz w:val="20"/>
              </w:rPr>
              <w:t>1278.50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75"/>
              <w:rPr>
                <w:sz w:val="20"/>
              </w:rPr>
            </w:pPr>
            <w:r>
              <w:rPr>
                <w:sz w:val="20"/>
              </w:rPr>
              <w:t>1.80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247"/>
              <w:jc w:val="left"/>
              <w:rPr>
                <w:sz w:val="20"/>
              </w:rPr>
            </w:pPr>
            <w:r>
              <w:rPr>
                <w:sz w:val="20"/>
              </w:rPr>
              <w:t>1.36</w:t>
            </w:r>
          </w:p>
        </w:tc>
        <w:tc>
          <w:tcPr>
            <w:tcW w:w="982" w:type="dxa"/>
            <w:tcBorders>
              <w:top w:val="single" w:sz="6" w:space="0" w:color="000000"/>
              <w:left w:val="single" w:sz="6" w:space="0" w:color="000000"/>
              <w:bottom w:val="single" w:sz="6" w:space="0" w:color="000000"/>
            </w:tcBorders>
          </w:tcPr>
          <w:p>
            <w:pPr>
              <w:pStyle w:val="TableParagraph"/>
              <w:spacing w:before="65"/>
              <w:ind w:left="97" w:right="71"/>
              <w:rPr>
                <w:sz w:val="20"/>
              </w:rPr>
            </w:pPr>
            <w:r>
              <w:rPr>
                <w:sz w:val="20"/>
              </w:rPr>
              <w:t>578.23</w:t>
            </w:r>
          </w:p>
        </w:tc>
      </w:tr>
      <w:tr>
        <w:trPr>
          <w:trHeight w:val="359" w:hRule="atLeast"/>
        </w:trPr>
        <w:tc>
          <w:tcPr>
            <w:tcW w:w="634" w:type="dxa"/>
            <w:tcBorders>
              <w:top w:val="single" w:sz="6" w:space="0" w:color="000000"/>
              <w:bottom w:val="single" w:sz="6" w:space="0" w:color="000000"/>
              <w:right w:val="single" w:sz="6" w:space="0" w:color="000000"/>
            </w:tcBorders>
          </w:tcPr>
          <w:p>
            <w:pPr>
              <w:pStyle w:val="TableParagraph"/>
              <w:spacing w:before="65"/>
              <w:ind w:left="265"/>
              <w:jc w:val="left"/>
              <w:rPr>
                <w:sz w:val="20"/>
              </w:rPr>
            </w:pPr>
            <w:r>
              <w:rPr>
                <w:w w:val="99"/>
                <w:sz w:val="20"/>
              </w:rPr>
              <w:t>9</w:t>
            </w:r>
          </w:p>
        </w:tc>
        <w:tc>
          <w:tcPr>
            <w:tcW w:w="12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4"/>
              <w:ind w:left="234"/>
              <w:jc w:val="left"/>
              <w:rPr>
                <w:rFonts w:ascii="宋体" w:eastAsia="宋体" w:hint="eastAsia"/>
                <w:sz w:val="20"/>
              </w:rPr>
            </w:pPr>
            <w:r>
              <w:rPr>
                <w:rFonts w:ascii="宋体" w:eastAsia="宋体" w:hint="eastAsia"/>
                <w:sz w:val="20"/>
              </w:rPr>
              <w:t>隔离种猪</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5"/>
              <w:ind w:left="101" w:right="75"/>
              <w:rPr>
                <w:sz w:val="20"/>
              </w:rPr>
            </w:pPr>
            <w:r>
              <w:rPr>
                <w:sz w:val="20"/>
              </w:rPr>
              <w:t>1500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5"/>
              <w:ind w:left="96" w:right="73"/>
              <w:rPr>
                <w:sz w:val="20"/>
              </w:rPr>
            </w:pPr>
            <w:r>
              <w:rPr>
                <w:sz w:val="20"/>
              </w:rPr>
              <w:t>15-20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98"/>
              <w:jc w:val="left"/>
              <w:rPr>
                <w:sz w:val="20"/>
              </w:rPr>
            </w:pPr>
            <w:r>
              <w:rPr>
                <w:sz w:val="20"/>
              </w:rPr>
              <w:t>30.00</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00" w:right="75"/>
              <w:rPr>
                <w:sz w:val="20"/>
              </w:rPr>
            </w:pPr>
            <w:r>
              <w:rPr>
                <w:sz w:val="20"/>
              </w:rPr>
              <w:t>22.50</w:t>
            </w:r>
          </w:p>
        </w:tc>
        <w:tc>
          <w:tcPr>
            <w:tcW w:w="1091" w:type="dxa"/>
            <w:tcBorders>
              <w:top w:val="single" w:sz="6" w:space="0" w:color="000000"/>
              <w:left w:val="single" w:sz="6" w:space="0" w:color="000000"/>
              <w:bottom w:val="single" w:sz="6" w:space="0" w:color="000000"/>
              <w:right w:val="single" w:sz="6" w:space="0" w:color="000000"/>
            </w:tcBorders>
          </w:tcPr>
          <w:p>
            <w:pPr>
              <w:pStyle w:val="TableParagraph"/>
              <w:spacing w:before="67"/>
              <w:ind w:right="200"/>
              <w:jc w:val="right"/>
              <w:rPr>
                <w:sz w:val="20"/>
              </w:rPr>
            </w:pPr>
            <w:r>
              <w:rPr>
                <w:sz w:val="20"/>
              </w:rPr>
              <w:t>9588.75</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98" w:right="75"/>
              <w:rPr>
                <w:sz w:val="20"/>
              </w:rPr>
            </w:pPr>
            <w:r>
              <w:rPr>
                <w:sz w:val="20"/>
              </w:rPr>
              <w:t>13.52</w:t>
            </w:r>
          </w:p>
        </w:tc>
        <w:tc>
          <w:tcPr>
            <w:tcW w:w="838" w:type="dxa"/>
            <w:tcBorders>
              <w:top w:val="single" w:sz="6" w:space="0" w:color="000000"/>
              <w:left w:val="single" w:sz="6" w:space="0" w:color="000000"/>
              <w:bottom w:val="single" w:sz="6" w:space="0" w:color="000000"/>
              <w:right w:val="single" w:sz="6" w:space="0" w:color="000000"/>
            </w:tcBorders>
          </w:tcPr>
          <w:p>
            <w:pPr>
              <w:pStyle w:val="TableParagraph"/>
              <w:spacing w:before="67"/>
              <w:ind w:left="196"/>
              <w:jc w:val="left"/>
              <w:rPr>
                <w:sz w:val="20"/>
              </w:rPr>
            </w:pPr>
            <w:r>
              <w:rPr>
                <w:sz w:val="20"/>
              </w:rPr>
              <w:t>10.23</w:t>
            </w:r>
          </w:p>
        </w:tc>
        <w:tc>
          <w:tcPr>
            <w:tcW w:w="982" w:type="dxa"/>
            <w:tcBorders>
              <w:top w:val="single" w:sz="6" w:space="0" w:color="000000"/>
              <w:left w:val="single" w:sz="6" w:space="0" w:color="000000"/>
              <w:bottom w:val="single" w:sz="6" w:space="0" w:color="000000"/>
            </w:tcBorders>
          </w:tcPr>
          <w:p>
            <w:pPr>
              <w:pStyle w:val="TableParagraph"/>
              <w:spacing w:before="67"/>
              <w:ind w:left="97" w:right="71"/>
              <w:rPr>
                <w:sz w:val="20"/>
              </w:rPr>
            </w:pPr>
            <w:r>
              <w:rPr>
                <w:sz w:val="20"/>
              </w:rPr>
              <w:t>4336.75</w:t>
            </w:r>
          </w:p>
        </w:tc>
      </w:tr>
      <w:tr>
        <w:trPr>
          <w:trHeight w:val="359" w:hRule="atLeast"/>
        </w:trPr>
        <w:tc>
          <w:tcPr>
            <w:tcW w:w="1894" w:type="dxa"/>
            <w:gridSpan w:val="3"/>
            <w:tcBorders>
              <w:top w:val="single" w:sz="6" w:space="0" w:color="000000"/>
              <w:right w:val="single" w:sz="6" w:space="0" w:color="000000"/>
            </w:tcBorders>
          </w:tcPr>
          <w:p>
            <w:pPr>
              <w:pStyle w:val="TableParagraph"/>
              <w:spacing w:before="52"/>
              <w:ind w:left="493" w:right="475"/>
              <w:rPr>
                <w:rFonts w:ascii="宋体" w:eastAsia="宋体" w:hint="eastAsia"/>
                <w:sz w:val="20"/>
              </w:rPr>
            </w:pPr>
            <w:r>
              <w:rPr>
                <w:rFonts w:ascii="宋体" w:eastAsia="宋体" w:hint="eastAsia"/>
                <w:sz w:val="20"/>
              </w:rPr>
              <w:t>合计</w:t>
            </w:r>
          </w:p>
        </w:tc>
        <w:tc>
          <w:tcPr>
            <w:tcW w:w="838" w:type="dxa"/>
            <w:tcBorders>
              <w:top w:val="single" w:sz="6" w:space="0" w:color="000000"/>
              <w:left w:val="single" w:sz="6" w:space="0" w:color="000000"/>
              <w:right w:val="single" w:sz="6" w:space="0" w:color="000000"/>
            </w:tcBorders>
          </w:tcPr>
          <w:p>
            <w:pPr>
              <w:pStyle w:val="TableParagraph"/>
              <w:spacing w:before="65"/>
              <w:ind w:left="95" w:right="75"/>
              <w:rPr>
                <w:sz w:val="20"/>
              </w:rPr>
            </w:pPr>
            <w:r>
              <w:rPr>
                <w:sz w:val="20"/>
              </w:rPr>
              <w:t>52568</w:t>
            </w:r>
          </w:p>
        </w:tc>
        <w:tc>
          <w:tcPr>
            <w:tcW w:w="1277" w:type="dxa"/>
            <w:tcBorders>
              <w:top w:val="single" w:sz="6" w:space="0" w:color="000000"/>
              <w:left w:val="single" w:sz="6" w:space="0" w:color="000000"/>
              <w:right w:val="single" w:sz="6" w:space="0" w:color="000000"/>
            </w:tcBorders>
          </w:tcPr>
          <w:p>
            <w:pPr>
              <w:pStyle w:val="TableParagraph"/>
              <w:spacing w:before="63"/>
              <w:ind w:left="25"/>
              <w:rPr>
                <w:sz w:val="20"/>
              </w:rPr>
            </w:pPr>
            <w:r>
              <w:rPr>
                <w:w w:val="99"/>
                <w:sz w:val="20"/>
              </w:rPr>
              <w:t>/</w:t>
            </w:r>
          </w:p>
        </w:tc>
        <w:tc>
          <w:tcPr>
            <w:tcW w:w="838" w:type="dxa"/>
            <w:tcBorders>
              <w:top w:val="single" w:sz="6" w:space="0" w:color="000000"/>
              <w:left w:val="single" w:sz="6" w:space="0" w:color="000000"/>
              <w:right w:val="single" w:sz="6" w:space="0" w:color="000000"/>
            </w:tcBorders>
          </w:tcPr>
          <w:p>
            <w:pPr>
              <w:pStyle w:val="TableParagraph"/>
              <w:spacing w:before="65"/>
              <w:ind w:right="120"/>
              <w:jc w:val="right"/>
              <w:rPr>
                <w:sz w:val="20"/>
              </w:rPr>
            </w:pPr>
            <w:r>
              <w:rPr>
                <w:w w:val="95"/>
                <w:sz w:val="20"/>
              </w:rPr>
              <w:t>336.34</w:t>
            </w:r>
          </w:p>
        </w:tc>
        <w:tc>
          <w:tcPr>
            <w:tcW w:w="838" w:type="dxa"/>
            <w:tcBorders>
              <w:top w:val="single" w:sz="6" w:space="0" w:color="000000"/>
              <w:left w:val="single" w:sz="6" w:space="0" w:color="000000"/>
              <w:right w:val="single" w:sz="6" w:space="0" w:color="000000"/>
            </w:tcBorders>
          </w:tcPr>
          <w:p>
            <w:pPr>
              <w:pStyle w:val="TableParagraph"/>
              <w:spacing w:before="65"/>
              <w:ind w:left="102" w:right="75"/>
              <w:rPr>
                <w:sz w:val="20"/>
              </w:rPr>
            </w:pPr>
            <w:r>
              <w:rPr>
                <w:sz w:val="20"/>
              </w:rPr>
              <w:t>242.75</w:t>
            </w:r>
          </w:p>
        </w:tc>
        <w:tc>
          <w:tcPr>
            <w:tcW w:w="1091" w:type="dxa"/>
            <w:tcBorders>
              <w:top w:val="single" w:sz="6" w:space="0" w:color="000000"/>
              <w:left w:val="single" w:sz="6" w:space="0" w:color="000000"/>
              <w:right w:val="single" w:sz="6" w:space="0" w:color="000000"/>
            </w:tcBorders>
          </w:tcPr>
          <w:p>
            <w:pPr>
              <w:pStyle w:val="TableParagraph"/>
              <w:spacing w:before="65"/>
              <w:ind w:right="98"/>
              <w:jc w:val="right"/>
              <w:rPr>
                <w:sz w:val="20"/>
              </w:rPr>
            </w:pPr>
            <w:r>
              <w:rPr>
                <w:w w:val="95"/>
                <w:sz w:val="20"/>
              </w:rPr>
              <w:t>105776.51</w:t>
            </w:r>
          </w:p>
        </w:tc>
        <w:tc>
          <w:tcPr>
            <w:tcW w:w="838" w:type="dxa"/>
            <w:tcBorders>
              <w:top w:val="single" w:sz="6" w:space="0" w:color="000000"/>
              <w:left w:val="single" w:sz="6" w:space="0" w:color="000000"/>
              <w:right w:val="single" w:sz="6" w:space="0" w:color="000000"/>
            </w:tcBorders>
          </w:tcPr>
          <w:p>
            <w:pPr>
              <w:pStyle w:val="TableParagraph"/>
              <w:spacing w:before="65"/>
              <w:ind w:left="100" w:right="75"/>
              <w:rPr>
                <w:sz w:val="20"/>
              </w:rPr>
            </w:pPr>
            <w:r>
              <w:rPr>
                <w:sz w:val="20"/>
              </w:rPr>
              <w:t>160.46</w:t>
            </w:r>
          </w:p>
        </w:tc>
        <w:tc>
          <w:tcPr>
            <w:tcW w:w="838" w:type="dxa"/>
            <w:tcBorders>
              <w:top w:val="single" w:sz="6" w:space="0" w:color="000000"/>
              <w:left w:val="single" w:sz="6" w:space="0" w:color="000000"/>
              <w:right w:val="single" w:sz="6" w:space="0" w:color="000000"/>
            </w:tcBorders>
          </w:tcPr>
          <w:p>
            <w:pPr>
              <w:pStyle w:val="TableParagraph"/>
              <w:spacing w:before="65"/>
              <w:ind w:right="126"/>
              <w:jc w:val="right"/>
              <w:rPr>
                <w:sz w:val="20"/>
              </w:rPr>
            </w:pPr>
            <w:r>
              <w:rPr>
                <w:w w:val="95"/>
                <w:sz w:val="20"/>
              </w:rPr>
              <w:t>119.47</w:t>
            </w:r>
          </w:p>
        </w:tc>
        <w:tc>
          <w:tcPr>
            <w:tcW w:w="982" w:type="dxa"/>
            <w:tcBorders>
              <w:top w:val="single" w:sz="6" w:space="0" w:color="000000"/>
              <w:left w:val="single" w:sz="6" w:space="0" w:color="000000"/>
            </w:tcBorders>
          </w:tcPr>
          <w:p>
            <w:pPr>
              <w:pStyle w:val="TableParagraph"/>
              <w:spacing w:before="65"/>
              <w:ind w:left="97" w:right="71"/>
              <w:rPr>
                <w:sz w:val="20"/>
              </w:rPr>
            </w:pPr>
            <w:r>
              <w:rPr>
                <w:sz w:val="20"/>
              </w:rPr>
              <w:t>51126.94</w:t>
            </w:r>
          </w:p>
        </w:tc>
      </w:tr>
    </w:tbl>
    <w:p>
      <w:pPr>
        <w:spacing w:before="23"/>
        <w:ind w:left="657" w:right="0" w:firstLine="0"/>
        <w:jc w:val="left"/>
        <w:rPr>
          <w:sz w:val="21"/>
        </w:rPr>
      </w:pPr>
      <w:r>
        <w:rPr>
          <w:rFonts w:ascii="Times New Roman" w:eastAsia="Times New Roman"/>
          <w:sz w:val="21"/>
        </w:rPr>
        <w:t>*</w:t>
      </w:r>
      <w:r>
        <w:rPr>
          <w:sz w:val="21"/>
        </w:rPr>
        <w:t>注：饮用水量取自《中小规模猪场猪饮用水现状及问题分析》（湖南畜牧兽医，</w:t>
      </w:r>
      <w:r>
        <w:rPr>
          <w:rFonts w:ascii="Times New Roman" w:eastAsia="Times New Roman"/>
          <w:sz w:val="21"/>
        </w:rPr>
        <w:t>2017 </w:t>
      </w:r>
      <w:r>
        <w:rPr>
          <w:sz w:val="21"/>
        </w:rPr>
        <w:t>年第三期</w:t>
      </w:r>
    </w:p>
    <w:p>
      <w:pPr>
        <w:spacing w:before="43"/>
        <w:ind w:left="237" w:right="0" w:firstLine="0"/>
        <w:jc w:val="left"/>
        <w:rPr>
          <w:sz w:val="21"/>
        </w:rPr>
      </w:pPr>
      <w:r>
        <w:rPr>
          <w:rFonts w:ascii="Times New Roman" w:eastAsia="Times New Roman"/>
          <w:sz w:val="21"/>
        </w:rPr>
        <w:t>P11-12 </w:t>
      </w:r>
      <w:r>
        <w:rPr>
          <w:sz w:val="21"/>
        </w:rPr>
        <w:t>页），本环评夏季、冬季、春秋分别按最大饮用水量、最小饮用水量和平均饮用水量计算。</w:t>
      </w:r>
    </w:p>
    <w:p>
      <w:pPr>
        <w:pStyle w:val="Heading3"/>
        <w:numPr>
          <w:ilvl w:val="0"/>
          <w:numId w:val="46"/>
        </w:numPr>
        <w:tabs>
          <w:tab w:pos="1323" w:val="left" w:leader="none"/>
        </w:tabs>
        <w:spacing w:line="240" w:lineRule="auto" w:before="101" w:after="0"/>
        <w:ind w:left="1323" w:right="0" w:hanging="604"/>
        <w:jc w:val="left"/>
      </w:pPr>
      <w:r>
        <w:rPr/>
        <w:t>饮水系统撒漏水</w:t>
      </w:r>
    </w:p>
    <w:p>
      <w:pPr>
        <w:pStyle w:val="BodyText"/>
        <w:spacing w:before="161"/>
        <w:ind w:left="717"/>
      </w:pPr>
      <w:r>
        <w:rPr/>
        <w:t>饮水系统撒漏的水与选用的设备、猪只饮水习惯、生产管理水平等因素有关。</w:t>
      </w:r>
    </w:p>
    <w:p>
      <w:pPr>
        <w:pStyle w:val="BodyText"/>
        <w:spacing w:before="160"/>
        <w:ind w:left="717"/>
        <w:jc w:val="both"/>
      </w:pPr>
      <w:r>
        <w:rPr>
          <w:spacing w:val="19"/>
        </w:rPr>
        <w:t>本项目猪舍内配有饮水装置， 饮用水最大用量约 </w:t>
      </w:r>
      <w:r>
        <w:rPr>
          <w:rFonts w:ascii="Times New Roman" w:eastAsia="Times New Roman"/>
        </w:rPr>
        <w:t>105776.51t/a</w:t>
      </w:r>
      <w:r>
        <w:rPr>
          <w:rFonts w:ascii="Times New Roman" w:eastAsia="Times New Roman"/>
          <w:spacing w:val="-27"/>
        </w:rPr>
        <w:t> </w:t>
      </w:r>
      <w:r>
        <w:rPr/>
        <w:t>（</w:t>
      </w:r>
      <w:r>
        <w:rPr>
          <w:spacing w:val="5"/>
        </w:rPr>
        <w:t> 日饮水量约</w:t>
      </w:r>
    </w:p>
    <w:p>
      <w:pPr>
        <w:pStyle w:val="BodyText"/>
        <w:spacing w:before="161"/>
      </w:pPr>
      <w:r>
        <w:rPr>
          <w:rFonts w:ascii="Times New Roman" w:eastAsia="Times New Roman"/>
        </w:rPr>
        <w:t>242.75~336.34t/d</w:t>
      </w:r>
      <w:r>
        <w:rPr/>
        <w:t>），</w:t>
      </w:r>
      <w:r>
        <w:rPr>
          <w:spacing w:val="-4"/>
        </w:rPr>
        <w:t>详见表 </w:t>
      </w:r>
      <w:r>
        <w:rPr>
          <w:rFonts w:ascii="Times New Roman" w:eastAsia="Times New Roman"/>
        </w:rPr>
        <w:t>3.3-1</w:t>
      </w:r>
      <w:r>
        <w:rPr>
          <w:spacing w:val="-1"/>
        </w:rPr>
        <w:t>。饮水系统撒漏水以猪只饮用水量的 </w:t>
      </w:r>
      <w:r>
        <w:rPr>
          <w:rFonts w:ascii="Times New Roman" w:eastAsia="Times New Roman"/>
        </w:rPr>
        <w:t>5%</w:t>
      </w:r>
      <w:r>
        <w:rPr/>
        <w:t>计算，其中约</w:t>
      </w:r>
    </w:p>
    <w:p>
      <w:pPr>
        <w:pStyle w:val="BodyText"/>
        <w:spacing w:before="160"/>
      </w:pPr>
      <w:r>
        <w:rPr>
          <w:rFonts w:ascii="Times New Roman" w:eastAsia="Times New Roman"/>
        </w:rPr>
        <w:t>25%</w:t>
      </w:r>
      <w:r>
        <w:rPr>
          <w:rFonts w:ascii="Times New Roman" w:eastAsia="Times New Roman"/>
          <w:spacing w:val="-20"/>
        </w:rPr>
        <w:t> </w:t>
      </w:r>
      <w:r>
        <w:rPr>
          <w:spacing w:val="29"/>
        </w:rPr>
        <w:t>挥发进入空气中随猪舍通风系统排至室外， 剩余部分即 </w:t>
      </w:r>
      <w:r>
        <w:rPr>
          <w:rFonts w:ascii="Times New Roman" w:eastAsia="Times New Roman"/>
        </w:rPr>
        <w:t>3966.62t/a</w:t>
      </w:r>
      <w:r>
        <w:rPr>
          <w:rFonts w:ascii="Times New Roman" w:eastAsia="Times New Roman"/>
          <w:spacing w:val="-20"/>
        </w:rPr>
        <w:t> </w:t>
      </w:r>
      <w:r>
        <w:rPr/>
        <w:t>（ 日均</w:t>
      </w:r>
    </w:p>
    <w:p>
      <w:pPr>
        <w:spacing w:after="0"/>
        <w:sectPr>
          <w:pgSz w:w="11910" w:h="16840"/>
          <w:pgMar w:header="874" w:footer="1004" w:top="1400" w:bottom="1200" w:left="1040" w:right="1160"/>
        </w:sectPr>
      </w:pPr>
    </w:p>
    <w:p>
      <w:pPr>
        <w:pStyle w:val="BodyText"/>
        <w:spacing w:before="105"/>
      </w:pPr>
      <w:r>
        <w:rPr>
          <w:rFonts w:ascii="Times New Roman" w:eastAsia="Times New Roman"/>
        </w:rPr>
        <w:t>9.10~12.61t/d</w:t>
      </w:r>
      <w:r>
        <w:rPr/>
        <w:t>）随猪尿进入污水收集系统。</w:t>
      </w:r>
    </w:p>
    <w:p>
      <w:pPr>
        <w:pStyle w:val="Heading3"/>
        <w:numPr>
          <w:ilvl w:val="0"/>
          <w:numId w:val="46"/>
        </w:numPr>
        <w:tabs>
          <w:tab w:pos="1323" w:val="left" w:leader="none"/>
        </w:tabs>
        <w:spacing w:line="240" w:lineRule="auto" w:before="161" w:after="0"/>
        <w:ind w:left="1323" w:right="0" w:hanging="604"/>
        <w:jc w:val="left"/>
      </w:pPr>
      <w:r>
        <w:rPr/>
        <w:t>猪舍冲洗废水</w:t>
      </w:r>
    </w:p>
    <w:p>
      <w:pPr>
        <w:pStyle w:val="BodyText"/>
        <w:spacing w:line="364" w:lineRule="auto" w:before="160"/>
        <w:ind w:right="253" w:firstLine="480"/>
        <w:jc w:val="both"/>
        <w:rPr>
          <w:rFonts w:ascii="Times New Roman" w:hAnsi="Times New Roman" w:eastAsia="Times New Roman"/>
        </w:rPr>
      </w:pPr>
      <w:r>
        <w:rPr/>
        <w:t>项目猪舍内清洗采用高压水枪进行冲洗，根据企业提供的资料，本项目猪舍冲洗废</w:t>
      </w:r>
      <w:r>
        <w:rPr>
          <w:spacing w:val="18"/>
        </w:rPr>
        <w:t>水用水系数一般为 </w:t>
      </w:r>
      <w:r>
        <w:rPr>
          <w:rFonts w:ascii="Times New Roman" w:hAnsi="Times New Roman" w:eastAsia="Times New Roman"/>
        </w:rPr>
        <w:t>6~7L/m</w:t>
      </w:r>
      <w:r>
        <w:rPr>
          <w:rFonts w:ascii="Times New Roman" w:hAnsi="Times New Roman" w:eastAsia="Times New Roman"/>
          <w:position w:val="9"/>
          <w:sz w:val="16"/>
        </w:rPr>
        <w:t>2</w:t>
      </w:r>
      <w:r>
        <w:rPr>
          <w:rFonts w:ascii="Times New Roman" w:hAnsi="Times New Roman" w:eastAsia="Times New Roman"/>
        </w:rPr>
        <w:t>· </w:t>
      </w:r>
      <w:r>
        <w:rPr>
          <w:spacing w:val="21"/>
        </w:rPr>
        <w:t>次</w:t>
      </w:r>
      <w:r>
        <w:rPr/>
        <w:t>（</w:t>
      </w:r>
      <w:r>
        <w:rPr>
          <w:spacing w:val="7"/>
        </w:rPr>
        <w:t> 其中夏季用水较多取 </w:t>
      </w:r>
      <w:r>
        <w:rPr>
          <w:rFonts w:ascii="Times New Roman" w:hAnsi="Times New Roman" w:eastAsia="Times New Roman"/>
        </w:rPr>
        <w:t>7L/m</w:t>
      </w:r>
      <w:r>
        <w:rPr>
          <w:rFonts w:ascii="Times New Roman" w:hAnsi="Times New Roman" w:eastAsia="Times New Roman"/>
          <w:position w:val="9"/>
          <w:sz w:val="16"/>
        </w:rPr>
        <w:t>2</w:t>
      </w:r>
      <w:r>
        <w:rPr>
          <w:rFonts w:ascii="Times New Roman" w:hAnsi="Times New Roman" w:eastAsia="Times New Roman"/>
        </w:rPr>
        <w:t>· </w:t>
      </w:r>
      <w:r>
        <w:rPr>
          <w:spacing w:val="2"/>
        </w:rPr>
        <w:t>次， 冬季用水较少约</w:t>
      </w:r>
      <w:r>
        <w:rPr>
          <w:rFonts w:ascii="Times New Roman" w:hAnsi="Times New Roman" w:eastAsia="Times New Roman"/>
          <w:spacing w:val="2"/>
        </w:rPr>
        <w:t>6L/m</w:t>
      </w:r>
      <w:r>
        <w:rPr>
          <w:rFonts w:ascii="Times New Roman" w:hAnsi="Times New Roman" w:eastAsia="Times New Roman"/>
          <w:spacing w:val="2"/>
          <w:position w:val="9"/>
          <w:sz w:val="16"/>
        </w:rPr>
        <w:t>2</w:t>
      </w:r>
      <w:r>
        <w:rPr>
          <w:rFonts w:ascii="Times New Roman" w:hAnsi="Times New Roman" w:eastAsia="Times New Roman"/>
          <w:spacing w:val="2"/>
        </w:rPr>
        <w:t>·</w:t>
      </w:r>
      <w:r>
        <w:rPr>
          <w:spacing w:val="-3"/>
        </w:rPr>
        <w:t>次，春秋季取平均 </w:t>
      </w:r>
      <w:r>
        <w:rPr>
          <w:rFonts w:ascii="Times New Roman" w:hAnsi="Times New Roman" w:eastAsia="Times New Roman"/>
        </w:rPr>
        <w:t>6.5L/m</w:t>
      </w:r>
      <w:r>
        <w:rPr>
          <w:rFonts w:ascii="Times New Roman" w:hAnsi="Times New Roman" w:eastAsia="Times New Roman"/>
          <w:position w:val="9"/>
          <w:sz w:val="16"/>
        </w:rPr>
        <w:t>2</w:t>
      </w:r>
      <w:r>
        <w:rPr>
          <w:rFonts w:ascii="Times New Roman" w:hAnsi="Times New Roman" w:eastAsia="Times New Roman"/>
        </w:rPr>
        <w:t>·</w:t>
      </w:r>
      <w:r>
        <w:rPr/>
        <w:t>次），</w:t>
      </w:r>
      <w:r>
        <w:rPr>
          <w:spacing w:val="-2"/>
        </w:rPr>
        <w:t>冲洗废水产生量按用水量的 </w:t>
      </w:r>
      <w:r>
        <w:rPr>
          <w:rFonts w:ascii="Times New Roman" w:hAnsi="Times New Roman" w:eastAsia="Times New Roman"/>
        </w:rPr>
        <w:t>90%</w:t>
      </w:r>
      <w:r>
        <w:rPr/>
        <w:t>（夏季</w:t>
      </w:r>
      <w:r>
        <w:rPr>
          <w:spacing w:val="-4"/>
        </w:rPr>
        <w:t>）</w:t>
      </w:r>
      <w:r>
        <w:rPr>
          <w:rFonts w:ascii="Times New Roman" w:hAnsi="Times New Roman" w:eastAsia="Times New Roman"/>
          <w:spacing w:val="-4"/>
        </w:rPr>
        <w:t>~95%</w:t>
      </w:r>
    </w:p>
    <w:p>
      <w:pPr>
        <w:pStyle w:val="BodyText"/>
        <w:spacing w:line="364" w:lineRule="auto" w:before="2"/>
        <w:ind w:right="248"/>
        <w:jc w:val="both"/>
      </w:pPr>
      <w:r>
        <w:rPr/>
        <w:t>（冬季）计（春秋取平均）。根据企业提供的各类猪舍冲洗频率，计算得到项目猪舍冲洗废水量见表 </w:t>
      </w:r>
      <w:r>
        <w:rPr>
          <w:rFonts w:ascii="Times New Roman" w:eastAsia="Times New Roman"/>
        </w:rPr>
        <w:t>3.3-2</w:t>
      </w:r>
      <w:r>
        <w:rPr/>
        <w:t>，则冲洗废水量约 </w:t>
      </w:r>
      <w:r>
        <w:rPr>
          <w:rFonts w:ascii="Times New Roman" w:eastAsia="Times New Roman"/>
        </w:rPr>
        <w:t>47240.30t/a</w:t>
      </w:r>
      <w:r>
        <w:rPr/>
        <w:t>（日均 </w:t>
      </w:r>
      <w:r>
        <w:rPr>
          <w:rFonts w:ascii="Times New Roman" w:eastAsia="Times New Roman"/>
        </w:rPr>
        <w:t>256.70~283.72t/d</w:t>
      </w:r>
      <w:r>
        <w:rPr/>
        <w:t>）。</w:t>
      </w:r>
    </w:p>
    <w:p>
      <w:pPr>
        <w:pStyle w:val="Heading3"/>
        <w:spacing w:before="1"/>
        <w:ind w:left="3177"/>
        <w:jc w:val="both"/>
      </w:pPr>
      <w:r>
        <w:rPr/>
        <w:t>表 </w:t>
      </w:r>
      <w:r>
        <w:rPr>
          <w:rFonts w:ascii="Times New Roman" w:eastAsia="Times New Roman"/>
        </w:rPr>
        <w:t>3.3-2  </w:t>
      </w:r>
      <w:r>
        <w:rPr/>
        <w:t>猪舍冲洗废水产生情况</w:t>
      </w:r>
    </w:p>
    <w:p>
      <w:pPr>
        <w:pStyle w:val="BodyText"/>
        <w:spacing w:before="3"/>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98"/>
        <w:gridCol w:w="1385"/>
        <w:gridCol w:w="1428"/>
        <w:gridCol w:w="1620"/>
        <w:gridCol w:w="1048"/>
        <w:gridCol w:w="1046"/>
        <w:gridCol w:w="1050"/>
        <w:gridCol w:w="1151"/>
      </w:tblGrid>
      <w:tr>
        <w:trPr>
          <w:trHeight w:val="359" w:hRule="atLeast"/>
        </w:trPr>
        <w:tc>
          <w:tcPr>
            <w:tcW w:w="698"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36"/>
              <w:jc w:val="left"/>
              <w:rPr>
                <w:rFonts w:ascii="宋体" w:eastAsia="宋体" w:hint="eastAsia"/>
                <w:b/>
                <w:sz w:val="21"/>
              </w:rPr>
            </w:pPr>
            <w:r>
              <w:rPr>
                <w:rFonts w:ascii="宋体" w:eastAsia="宋体" w:hint="eastAsia"/>
                <w:b/>
                <w:sz w:val="21"/>
              </w:rPr>
              <w:t>序号</w:t>
            </w:r>
          </w:p>
        </w:tc>
        <w:tc>
          <w:tcPr>
            <w:tcW w:w="1385"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51" w:right="125"/>
              <w:rPr>
                <w:rFonts w:ascii="宋体" w:eastAsia="宋体" w:hint="eastAsia"/>
                <w:b/>
                <w:sz w:val="21"/>
              </w:rPr>
            </w:pPr>
            <w:r>
              <w:rPr>
                <w:rFonts w:ascii="宋体" w:eastAsia="宋体" w:hint="eastAsia"/>
                <w:b/>
                <w:sz w:val="21"/>
              </w:rPr>
              <w:t>猪舍</w:t>
            </w:r>
          </w:p>
        </w:tc>
        <w:tc>
          <w:tcPr>
            <w:tcW w:w="1428"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75"/>
              <w:jc w:val="left"/>
              <w:rPr>
                <w:rFonts w:ascii="宋体" w:eastAsia="宋体" w:hint="eastAsia"/>
                <w:b/>
                <w:sz w:val="21"/>
              </w:rPr>
            </w:pPr>
            <w:r>
              <w:rPr>
                <w:rFonts w:ascii="宋体" w:eastAsia="宋体" w:hint="eastAsia"/>
                <w:b/>
                <w:sz w:val="21"/>
              </w:rPr>
              <w:t>面积（</w:t>
            </w:r>
            <w:r>
              <w:rPr>
                <w:b/>
                <w:sz w:val="21"/>
              </w:rPr>
              <w:t>m</w:t>
            </w:r>
            <w:r>
              <w:rPr>
                <w:b/>
                <w:position w:val="8"/>
                <w:sz w:val="14"/>
              </w:rPr>
              <w:t>2</w:t>
            </w:r>
            <w:r>
              <w:rPr>
                <w:rFonts w:ascii="宋体" w:eastAsia="宋体" w:hint="eastAsia"/>
                <w:b/>
                <w:sz w:val="21"/>
              </w:rPr>
              <w:t>）</w:t>
            </w:r>
          </w:p>
        </w:tc>
        <w:tc>
          <w:tcPr>
            <w:tcW w:w="1620" w:type="dxa"/>
            <w:vMerge w:val="restart"/>
            <w:tcBorders>
              <w:left w:val="single" w:sz="6" w:space="0" w:color="000000"/>
              <w:bottom w:val="single" w:sz="6" w:space="0" w:color="000000"/>
              <w:right w:val="single" w:sz="6" w:space="0" w:color="000000"/>
            </w:tcBorders>
          </w:tcPr>
          <w:p>
            <w:pPr>
              <w:pStyle w:val="TableParagraph"/>
              <w:spacing w:before="56"/>
              <w:ind w:left="163" w:right="136"/>
              <w:rPr>
                <w:rFonts w:ascii="宋体" w:eastAsia="宋体" w:hint="eastAsia"/>
                <w:b/>
                <w:sz w:val="21"/>
              </w:rPr>
            </w:pPr>
            <w:r>
              <w:rPr>
                <w:rFonts w:ascii="宋体" w:eastAsia="宋体" w:hint="eastAsia"/>
                <w:b/>
                <w:sz w:val="21"/>
              </w:rPr>
              <w:t>年均冲洗次数</w:t>
            </w:r>
          </w:p>
          <w:p>
            <w:pPr>
              <w:pStyle w:val="TableParagraph"/>
              <w:spacing w:before="88"/>
              <w:ind w:left="159" w:right="136"/>
              <w:rPr>
                <w:rFonts w:ascii="宋体" w:eastAsia="宋体" w:hint="eastAsia"/>
                <w:b/>
                <w:sz w:val="21"/>
              </w:rPr>
            </w:pPr>
            <w:r>
              <w:rPr>
                <w:rFonts w:ascii="宋体" w:eastAsia="宋体" w:hint="eastAsia"/>
                <w:b/>
                <w:sz w:val="21"/>
              </w:rPr>
              <w:t>（次</w:t>
            </w:r>
            <w:r>
              <w:rPr>
                <w:b/>
                <w:sz w:val="21"/>
              </w:rPr>
              <w:t>/a</w:t>
            </w:r>
            <w:r>
              <w:rPr>
                <w:rFonts w:ascii="宋体" w:eastAsia="宋体" w:hint="eastAsia"/>
                <w:b/>
                <w:sz w:val="21"/>
              </w:rPr>
              <w:t>）</w:t>
            </w:r>
          </w:p>
        </w:tc>
        <w:tc>
          <w:tcPr>
            <w:tcW w:w="3144" w:type="dxa"/>
            <w:gridSpan w:val="3"/>
            <w:tcBorders>
              <w:left w:val="single" w:sz="6" w:space="0" w:color="000000"/>
              <w:bottom w:val="single" w:sz="6" w:space="0" w:color="000000"/>
              <w:right w:val="single" w:sz="6" w:space="0" w:color="000000"/>
            </w:tcBorders>
          </w:tcPr>
          <w:p>
            <w:pPr>
              <w:pStyle w:val="TableParagraph"/>
              <w:spacing w:before="46"/>
              <w:ind w:left="250"/>
              <w:jc w:val="left"/>
              <w:rPr>
                <w:rFonts w:ascii="宋体" w:eastAsia="宋体" w:hint="eastAsia"/>
                <w:b/>
                <w:sz w:val="21"/>
              </w:rPr>
            </w:pPr>
            <w:r>
              <w:rPr>
                <w:rFonts w:ascii="宋体" w:eastAsia="宋体" w:hint="eastAsia"/>
                <w:b/>
                <w:sz w:val="21"/>
              </w:rPr>
              <w:t>单次最大冲洗废水量（</w:t>
            </w:r>
            <w:r>
              <w:rPr>
                <w:b/>
                <w:sz w:val="21"/>
              </w:rPr>
              <w:t>t/</w:t>
            </w:r>
            <w:r>
              <w:rPr>
                <w:rFonts w:ascii="宋体" w:eastAsia="宋体" w:hint="eastAsia"/>
                <w:b/>
                <w:sz w:val="21"/>
              </w:rPr>
              <w:t>次）</w:t>
            </w:r>
          </w:p>
        </w:tc>
        <w:tc>
          <w:tcPr>
            <w:tcW w:w="1151" w:type="dxa"/>
            <w:vMerge w:val="restart"/>
            <w:tcBorders>
              <w:left w:val="single" w:sz="6" w:space="0" w:color="000000"/>
              <w:bottom w:val="single" w:sz="6" w:space="0" w:color="000000"/>
            </w:tcBorders>
          </w:tcPr>
          <w:p>
            <w:pPr>
              <w:pStyle w:val="TableParagraph"/>
              <w:spacing w:before="56"/>
              <w:ind w:left="164"/>
              <w:jc w:val="left"/>
              <w:rPr>
                <w:rFonts w:ascii="宋体" w:eastAsia="宋体" w:hint="eastAsia"/>
                <w:b/>
                <w:sz w:val="21"/>
              </w:rPr>
            </w:pPr>
            <w:r>
              <w:rPr>
                <w:rFonts w:ascii="宋体" w:eastAsia="宋体" w:hint="eastAsia"/>
                <w:b/>
                <w:sz w:val="21"/>
              </w:rPr>
              <w:t>年废水量</w:t>
            </w:r>
          </w:p>
          <w:p>
            <w:pPr>
              <w:pStyle w:val="TableParagraph"/>
              <w:spacing w:before="88"/>
              <w:ind w:left="258"/>
              <w:jc w:val="left"/>
              <w:rPr>
                <w:rFonts w:ascii="宋体" w:eastAsia="宋体" w:hint="eastAsia"/>
                <w:b/>
                <w:sz w:val="21"/>
              </w:rPr>
            </w:pPr>
            <w:r>
              <w:rPr>
                <w:rFonts w:ascii="宋体" w:eastAsia="宋体" w:hint="eastAsia"/>
                <w:b/>
                <w:sz w:val="21"/>
              </w:rPr>
              <w:t>（</w:t>
            </w:r>
            <w:r>
              <w:rPr>
                <w:b/>
                <w:sz w:val="21"/>
              </w:rPr>
              <w:t>t/a</w:t>
            </w:r>
            <w:r>
              <w:rPr>
                <w:rFonts w:ascii="宋体" w:eastAsia="宋体" w:hint="eastAsia"/>
                <w:b/>
                <w:sz w:val="21"/>
              </w:rPr>
              <w:t>）</w:t>
            </w:r>
          </w:p>
        </w:tc>
      </w:tr>
      <w:tr>
        <w:trPr>
          <w:trHeight w:val="359" w:hRule="atLeast"/>
        </w:trPr>
        <w:tc>
          <w:tcPr>
            <w:tcW w:w="698" w:type="dxa"/>
            <w:vMerge/>
            <w:tcBorders>
              <w:top w:val="nil"/>
              <w:bottom w:val="single" w:sz="6" w:space="0" w:color="000000"/>
              <w:right w:val="single" w:sz="6" w:space="0" w:color="000000"/>
            </w:tcBorders>
          </w:tcPr>
          <w:p>
            <w:pPr>
              <w:rPr>
                <w:sz w:val="2"/>
                <w:szCs w:val="2"/>
              </w:rPr>
            </w:pPr>
          </w:p>
        </w:tc>
        <w:tc>
          <w:tcPr>
            <w:tcW w:w="1385" w:type="dxa"/>
            <w:vMerge/>
            <w:tcBorders>
              <w:top w:val="nil"/>
              <w:left w:val="single" w:sz="6" w:space="0" w:color="000000"/>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620" w:type="dxa"/>
            <w:vMerge/>
            <w:tcBorders>
              <w:top w:val="nil"/>
              <w:left w:val="single" w:sz="6" w:space="0" w:color="000000"/>
              <w:bottom w:val="single" w:sz="6" w:space="0" w:color="000000"/>
              <w:right w:val="single" w:sz="6" w:space="0" w:color="000000"/>
            </w:tcBorders>
          </w:tcPr>
          <w:p>
            <w:pPr>
              <w:rPr>
                <w:sz w:val="2"/>
                <w:szCs w:val="2"/>
              </w:rPr>
            </w:pP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before="46"/>
              <w:ind w:left="317"/>
              <w:jc w:val="left"/>
              <w:rPr>
                <w:rFonts w:ascii="宋体" w:eastAsia="宋体" w:hint="eastAsia"/>
                <w:b/>
                <w:sz w:val="21"/>
              </w:rPr>
            </w:pPr>
            <w:r>
              <w:rPr>
                <w:rFonts w:ascii="宋体" w:eastAsia="宋体" w:hint="eastAsia"/>
                <w:b/>
                <w:sz w:val="21"/>
              </w:rPr>
              <w:t>夏季</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spacing w:before="46"/>
              <w:ind w:left="220" w:right="191"/>
              <w:rPr>
                <w:rFonts w:ascii="宋体" w:eastAsia="宋体" w:hint="eastAsia"/>
                <w:b/>
                <w:sz w:val="21"/>
              </w:rPr>
            </w:pPr>
            <w:r>
              <w:rPr>
                <w:rFonts w:ascii="宋体" w:eastAsia="宋体" w:hint="eastAsia"/>
                <w:b/>
                <w:sz w:val="21"/>
              </w:rPr>
              <w:t>冬季</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before="46"/>
              <w:ind w:left="127" w:right="92"/>
              <w:rPr>
                <w:rFonts w:ascii="宋体" w:eastAsia="宋体" w:hint="eastAsia"/>
                <w:b/>
                <w:sz w:val="21"/>
              </w:rPr>
            </w:pPr>
            <w:r>
              <w:rPr>
                <w:rFonts w:ascii="宋体" w:eastAsia="宋体" w:hint="eastAsia"/>
                <w:b/>
                <w:sz w:val="21"/>
              </w:rPr>
              <w:t>春秋</w:t>
            </w:r>
          </w:p>
        </w:tc>
        <w:tc>
          <w:tcPr>
            <w:tcW w:w="1151" w:type="dxa"/>
            <w:vMerge/>
            <w:tcBorders>
              <w:top w:val="nil"/>
              <w:left w:val="single" w:sz="6" w:space="0" w:color="000000"/>
              <w:bottom w:val="single" w:sz="6" w:space="0" w:color="000000"/>
            </w:tcBorders>
          </w:tcPr>
          <w:p>
            <w:pPr>
              <w:rPr>
                <w:sz w:val="2"/>
                <w:szCs w:val="2"/>
              </w:rPr>
            </w:pPr>
          </w:p>
        </w:tc>
      </w:tr>
      <w:tr>
        <w:trPr>
          <w:trHeight w:val="356" w:hRule="atLeast"/>
        </w:trPr>
        <w:tc>
          <w:tcPr>
            <w:tcW w:w="698"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1</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6"/>
              <w:ind w:left="154" w:right="123"/>
              <w:rPr>
                <w:rFonts w:ascii="宋体" w:eastAsia="宋体" w:hint="eastAsia"/>
                <w:sz w:val="21"/>
              </w:rPr>
            </w:pPr>
            <w:r>
              <w:rPr>
                <w:rFonts w:ascii="宋体" w:eastAsia="宋体" w:hint="eastAsia"/>
                <w:sz w:val="21"/>
              </w:rPr>
              <w:t>公猪栏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430"/>
              <w:jc w:val="left"/>
              <w:rPr>
                <w:sz w:val="21"/>
              </w:rPr>
            </w:pPr>
            <w:r>
              <w:rPr>
                <w:sz w:val="21"/>
              </w:rPr>
              <w:t>291.60</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ind w:left="346"/>
              <w:jc w:val="left"/>
              <w:rPr>
                <w:sz w:val="21"/>
              </w:rPr>
            </w:pPr>
            <w:r>
              <w:rPr>
                <w:sz w:val="21"/>
              </w:rPr>
              <w:t>1.84</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ind w:left="220" w:right="191"/>
              <w:rPr>
                <w:sz w:val="21"/>
              </w:rPr>
            </w:pPr>
            <w:r>
              <w:rPr>
                <w:sz w:val="21"/>
              </w:rPr>
              <w:t>1.66</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1.75</w:t>
            </w:r>
          </w:p>
        </w:tc>
        <w:tc>
          <w:tcPr>
            <w:tcW w:w="1151" w:type="dxa"/>
            <w:tcBorders>
              <w:top w:val="single" w:sz="6" w:space="0" w:color="000000"/>
              <w:left w:val="single" w:sz="6" w:space="0" w:color="000000"/>
              <w:bottom w:val="single" w:sz="6" w:space="0" w:color="000000"/>
            </w:tcBorders>
          </w:tcPr>
          <w:p>
            <w:pPr>
              <w:pStyle w:val="TableParagraph"/>
              <w:ind w:left="296"/>
              <w:jc w:val="left"/>
              <w:rPr>
                <w:sz w:val="21"/>
              </w:rPr>
            </w:pPr>
            <w:r>
              <w:rPr>
                <w:sz w:val="21"/>
              </w:rPr>
              <w:t>305.88</w:t>
            </w:r>
          </w:p>
        </w:tc>
      </w:tr>
      <w:tr>
        <w:trPr>
          <w:trHeight w:val="359" w:hRule="atLeast"/>
        </w:trPr>
        <w:tc>
          <w:tcPr>
            <w:tcW w:w="698" w:type="dxa"/>
            <w:tcBorders>
              <w:top w:val="single" w:sz="6" w:space="0" w:color="000000"/>
              <w:bottom w:val="single" w:sz="6" w:space="0" w:color="000000"/>
              <w:right w:val="single" w:sz="6" w:space="0" w:color="000000"/>
            </w:tcBorders>
          </w:tcPr>
          <w:p>
            <w:pPr>
              <w:pStyle w:val="TableParagraph"/>
              <w:spacing w:before="60"/>
              <w:ind w:left="19"/>
              <w:rPr>
                <w:sz w:val="21"/>
              </w:rPr>
            </w:pPr>
            <w:r>
              <w:rPr>
                <w:w w:val="100"/>
                <w:sz w:val="21"/>
              </w:rPr>
              <w:t>2</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9"/>
              <w:ind w:left="154" w:right="125"/>
              <w:rPr>
                <w:rFonts w:ascii="宋体" w:eastAsia="宋体" w:hint="eastAsia"/>
                <w:sz w:val="21"/>
              </w:rPr>
            </w:pPr>
            <w:r>
              <w:rPr>
                <w:rFonts w:ascii="宋体" w:eastAsia="宋体" w:hint="eastAsia"/>
                <w:sz w:val="21"/>
              </w:rPr>
              <w:t>后备母猪栏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60"/>
              <w:ind w:left="430"/>
              <w:jc w:val="left"/>
              <w:rPr>
                <w:sz w:val="21"/>
              </w:rPr>
            </w:pPr>
            <w:r>
              <w:rPr>
                <w:sz w:val="21"/>
              </w:rPr>
              <w:t>450.00</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spacing w:before="60"/>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before="60"/>
              <w:ind w:left="346"/>
              <w:jc w:val="left"/>
              <w:rPr>
                <w:sz w:val="21"/>
              </w:rPr>
            </w:pPr>
            <w:r>
              <w:rPr>
                <w:sz w:val="21"/>
              </w:rPr>
              <w:t>2.84</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spacing w:before="60"/>
              <w:ind w:left="220" w:right="191"/>
              <w:rPr>
                <w:sz w:val="21"/>
              </w:rPr>
            </w:pPr>
            <w:r>
              <w:rPr>
                <w:sz w:val="21"/>
              </w:rPr>
              <w:t>2.57</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92"/>
              <w:rPr>
                <w:sz w:val="21"/>
              </w:rPr>
            </w:pPr>
            <w:r>
              <w:rPr>
                <w:sz w:val="21"/>
              </w:rPr>
              <w:t>2.71</w:t>
            </w:r>
          </w:p>
        </w:tc>
        <w:tc>
          <w:tcPr>
            <w:tcW w:w="1151" w:type="dxa"/>
            <w:tcBorders>
              <w:top w:val="single" w:sz="6" w:space="0" w:color="000000"/>
              <w:left w:val="single" w:sz="6" w:space="0" w:color="000000"/>
              <w:bottom w:val="single" w:sz="6" w:space="0" w:color="000000"/>
            </w:tcBorders>
          </w:tcPr>
          <w:p>
            <w:pPr>
              <w:pStyle w:val="TableParagraph"/>
              <w:spacing w:before="60"/>
              <w:ind w:left="296"/>
              <w:jc w:val="left"/>
              <w:rPr>
                <w:sz w:val="21"/>
              </w:rPr>
            </w:pPr>
            <w:r>
              <w:rPr>
                <w:sz w:val="21"/>
              </w:rPr>
              <w:t>472.03</w:t>
            </w:r>
          </w:p>
        </w:tc>
      </w:tr>
      <w:tr>
        <w:trPr>
          <w:trHeight w:val="359" w:hRule="atLeast"/>
        </w:trPr>
        <w:tc>
          <w:tcPr>
            <w:tcW w:w="698"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3</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6"/>
              <w:ind w:left="154" w:right="125"/>
              <w:rPr>
                <w:rFonts w:ascii="宋体" w:eastAsia="宋体" w:hint="eastAsia"/>
                <w:sz w:val="21"/>
              </w:rPr>
            </w:pPr>
            <w:r>
              <w:rPr>
                <w:rFonts w:ascii="宋体" w:eastAsia="宋体" w:hint="eastAsia"/>
                <w:sz w:val="21"/>
              </w:rPr>
              <w:t>配怀舍大栏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430"/>
              <w:jc w:val="left"/>
              <w:rPr>
                <w:sz w:val="21"/>
              </w:rPr>
            </w:pPr>
            <w:r>
              <w:rPr>
                <w:sz w:val="21"/>
              </w:rPr>
              <w:t>174.24</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ind w:left="346"/>
              <w:jc w:val="left"/>
              <w:rPr>
                <w:sz w:val="21"/>
              </w:rPr>
            </w:pPr>
            <w:r>
              <w:rPr>
                <w:sz w:val="21"/>
              </w:rPr>
              <w:t>1.10</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ind w:left="220" w:right="191"/>
              <w:rPr>
                <w:sz w:val="21"/>
              </w:rPr>
            </w:pPr>
            <w:r>
              <w:rPr>
                <w:sz w:val="21"/>
              </w:rPr>
              <w:t>0.99</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1.05</w:t>
            </w:r>
          </w:p>
        </w:tc>
        <w:tc>
          <w:tcPr>
            <w:tcW w:w="1151" w:type="dxa"/>
            <w:tcBorders>
              <w:top w:val="single" w:sz="6" w:space="0" w:color="000000"/>
              <w:left w:val="single" w:sz="6" w:space="0" w:color="000000"/>
              <w:bottom w:val="single" w:sz="6" w:space="0" w:color="000000"/>
            </w:tcBorders>
          </w:tcPr>
          <w:p>
            <w:pPr>
              <w:pStyle w:val="TableParagraph"/>
              <w:ind w:left="296"/>
              <w:jc w:val="left"/>
              <w:rPr>
                <w:sz w:val="21"/>
              </w:rPr>
            </w:pPr>
            <w:r>
              <w:rPr>
                <w:sz w:val="21"/>
              </w:rPr>
              <w:t>182.77</w:t>
            </w:r>
          </w:p>
        </w:tc>
      </w:tr>
      <w:tr>
        <w:trPr>
          <w:trHeight w:val="359" w:hRule="atLeast"/>
        </w:trPr>
        <w:tc>
          <w:tcPr>
            <w:tcW w:w="698"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4</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6"/>
              <w:ind w:left="154" w:right="123"/>
              <w:rPr>
                <w:rFonts w:ascii="宋体" w:eastAsia="宋体" w:hint="eastAsia"/>
                <w:sz w:val="21"/>
              </w:rPr>
            </w:pPr>
            <w:r>
              <w:rPr>
                <w:rFonts w:ascii="宋体" w:eastAsia="宋体" w:hint="eastAsia"/>
                <w:sz w:val="21"/>
              </w:rPr>
              <w:t>限位栏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377"/>
              <w:jc w:val="left"/>
              <w:rPr>
                <w:sz w:val="21"/>
              </w:rPr>
            </w:pPr>
            <w:r>
              <w:rPr>
                <w:sz w:val="21"/>
              </w:rPr>
              <w:t>4567.42</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ind w:left="293"/>
              <w:jc w:val="left"/>
              <w:rPr>
                <w:sz w:val="21"/>
              </w:rPr>
            </w:pPr>
            <w:r>
              <w:rPr>
                <w:sz w:val="21"/>
              </w:rPr>
              <w:t>28.77</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ind w:left="220" w:right="192"/>
              <w:rPr>
                <w:sz w:val="21"/>
              </w:rPr>
            </w:pPr>
            <w:r>
              <w:rPr>
                <w:sz w:val="21"/>
              </w:rPr>
              <w:t>26.03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27.46</w:t>
            </w:r>
          </w:p>
        </w:tc>
        <w:tc>
          <w:tcPr>
            <w:tcW w:w="1151" w:type="dxa"/>
            <w:tcBorders>
              <w:top w:val="single" w:sz="6" w:space="0" w:color="000000"/>
              <w:left w:val="single" w:sz="6" w:space="0" w:color="000000"/>
              <w:bottom w:val="single" w:sz="6" w:space="0" w:color="000000"/>
            </w:tcBorders>
          </w:tcPr>
          <w:p>
            <w:pPr>
              <w:pStyle w:val="TableParagraph"/>
              <w:ind w:right="196"/>
              <w:jc w:val="right"/>
              <w:rPr>
                <w:sz w:val="21"/>
              </w:rPr>
            </w:pPr>
            <w:r>
              <w:rPr>
                <w:sz w:val="21"/>
              </w:rPr>
              <w:t>4791.05</w:t>
            </w:r>
          </w:p>
        </w:tc>
      </w:tr>
      <w:tr>
        <w:trPr>
          <w:trHeight w:val="356" w:hRule="atLeast"/>
        </w:trPr>
        <w:tc>
          <w:tcPr>
            <w:tcW w:w="698"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5</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6"/>
              <w:ind w:left="154" w:right="123"/>
              <w:rPr>
                <w:rFonts w:ascii="宋体" w:eastAsia="宋体" w:hint="eastAsia"/>
                <w:sz w:val="21"/>
              </w:rPr>
            </w:pPr>
            <w:r>
              <w:rPr>
                <w:rFonts w:ascii="宋体" w:eastAsia="宋体" w:hint="eastAsia"/>
                <w:sz w:val="21"/>
              </w:rPr>
              <w:t>分娩栏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377"/>
              <w:jc w:val="left"/>
              <w:rPr>
                <w:sz w:val="21"/>
              </w:rPr>
            </w:pPr>
            <w:r>
              <w:rPr>
                <w:sz w:val="21"/>
              </w:rPr>
              <w:t>3456.00</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ind w:left="293"/>
              <w:jc w:val="left"/>
              <w:rPr>
                <w:sz w:val="21"/>
              </w:rPr>
            </w:pPr>
            <w:r>
              <w:rPr>
                <w:sz w:val="21"/>
              </w:rPr>
              <w:t>21.77</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ind w:left="220" w:right="192"/>
              <w:rPr>
                <w:sz w:val="21"/>
              </w:rPr>
            </w:pPr>
            <w:r>
              <w:rPr>
                <w:sz w:val="21"/>
              </w:rPr>
              <w:t>19.70</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20.78</w:t>
            </w:r>
          </w:p>
        </w:tc>
        <w:tc>
          <w:tcPr>
            <w:tcW w:w="1151" w:type="dxa"/>
            <w:tcBorders>
              <w:top w:val="single" w:sz="6" w:space="0" w:color="000000"/>
              <w:left w:val="single" w:sz="6" w:space="0" w:color="000000"/>
              <w:bottom w:val="single" w:sz="6" w:space="0" w:color="000000"/>
            </w:tcBorders>
          </w:tcPr>
          <w:p>
            <w:pPr>
              <w:pStyle w:val="TableParagraph"/>
              <w:ind w:right="196"/>
              <w:jc w:val="right"/>
              <w:rPr>
                <w:sz w:val="21"/>
              </w:rPr>
            </w:pPr>
            <w:r>
              <w:rPr>
                <w:sz w:val="21"/>
              </w:rPr>
              <w:t>3625.21</w:t>
            </w:r>
          </w:p>
        </w:tc>
      </w:tr>
      <w:tr>
        <w:trPr>
          <w:trHeight w:val="359" w:hRule="atLeast"/>
        </w:trPr>
        <w:tc>
          <w:tcPr>
            <w:tcW w:w="698" w:type="dxa"/>
            <w:tcBorders>
              <w:top w:val="single" w:sz="6" w:space="0" w:color="000000"/>
              <w:bottom w:val="single" w:sz="6" w:space="0" w:color="000000"/>
              <w:right w:val="single" w:sz="6" w:space="0" w:color="000000"/>
            </w:tcBorders>
          </w:tcPr>
          <w:p>
            <w:pPr>
              <w:pStyle w:val="TableParagraph"/>
              <w:spacing w:before="60"/>
              <w:ind w:left="19"/>
              <w:rPr>
                <w:sz w:val="21"/>
              </w:rPr>
            </w:pPr>
            <w:r>
              <w:rPr>
                <w:w w:val="100"/>
                <w:sz w:val="21"/>
              </w:rPr>
              <w:t>6</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9"/>
              <w:ind w:left="154" w:right="123"/>
              <w:rPr>
                <w:rFonts w:ascii="宋体" w:eastAsia="宋体" w:hint="eastAsia"/>
                <w:sz w:val="21"/>
              </w:rPr>
            </w:pPr>
            <w:r>
              <w:rPr>
                <w:rFonts w:ascii="宋体" w:eastAsia="宋体" w:hint="eastAsia"/>
                <w:sz w:val="21"/>
              </w:rPr>
              <w:t>保育栏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60"/>
              <w:ind w:left="377"/>
              <w:jc w:val="left"/>
              <w:rPr>
                <w:sz w:val="21"/>
              </w:rPr>
            </w:pPr>
            <w:r>
              <w:rPr>
                <w:sz w:val="21"/>
              </w:rPr>
              <w:t>4513.60</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spacing w:before="60"/>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spacing w:before="60"/>
              <w:ind w:left="293"/>
              <w:jc w:val="left"/>
              <w:rPr>
                <w:sz w:val="21"/>
              </w:rPr>
            </w:pPr>
            <w:r>
              <w:rPr>
                <w:sz w:val="21"/>
              </w:rPr>
              <w:t>28.44</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spacing w:before="60"/>
              <w:ind w:left="220" w:right="192"/>
              <w:rPr>
                <w:sz w:val="21"/>
              </w:rPr>
            </w:pPr>
            <w:r>
              <w:rPr>
                <w:sz w:val="21"/>
              </w:rPr>
              <w:t>25.73</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92"/>
              <w:rPr>
                <w:sz w:val="21"/>
              </w:rPr>
            </w:pPr>
            <w:r>
              <w:rPr>
                <w:sz w:val="21"/>
              </w:rPr>
              <w:t>27.14</w:t>
            </w:r>
          </w:p>
        </w:tc>
        <w:tc>
          <w:tcPr>
            <w:tcW w:w="1151" w:type="dxa"/>
            <w:tcBorders>
              <w:top w:val="single" w:sz="6" w:space="0" w:color="000000"/>
              <w:left w:val="single" w:sz="6" w:space="0" w:color="000000"/>
              <w:bottom w:val="single" w:sz="6" w:space="0" w:color="000000"/>
            </w:tcBorders>
          </w:tcPr>
          <w:p>
            <w:pPr>
              <w:pStyle w:val="TableParagraph"/>
              <w:spacing w:before="60"/>
              <w:ind w:right="196"/>
              <w:jc w:val="right"/>
              <w:rPr>
                <w:sz w:val="21"/>
              </w:rPr>
            </w:pPr>
            <w:r>
              <w:rPr>
                <w:sz w:val="21"/>
              </w:rPr>
              <w:t>4734.60</w:t>
            </w:r>
          </w:p>
        </w:tc>
      </w:tr>
      <w:tr>
        <w:trPr>
          <w:trHeight w:val="359" w:hRule="atLeast"/>
        </w:trPr>
        <w:tc>
          <w:tcPr>
            <w:tcW w:w="698"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7</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6"/>
              <w:ind w:left="154" w:right="123"/>
              <w:rPr>
                <w:rFonts w:ascii="宋体" w:eastAsia="宋体" w:hint="eastAsia"/>
                <w:sz w:val="21"/>
              </w:rPr>
            </w:pPr>
            <w:r>
              <w:rPr>
                <w:rFonts w:ascii="宋体" w:eastAsia="宋体" w:hint="eastAsia"/>
                <w:sz w:val="21"/>
              </w:rPr>
              <w:t>育肥栏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324"/>
              <w:jc w:val="left"/>
              <w:rPr>
                <w:sz w:val="21"/>
              </w:rPr>
            </w:pPr>
            <w:r>
              <w:rPr>
                <w:sz w:val="21"/>
              </w:rPr>
              <w:t>30002.40</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ind w:left="240"/>
              <w:jc w:val="left"/>
              <w:rPr>
                <w:sz w:val="21"/>
              </w:rPr>
            </w:pPr>
            <w:r>
              <w:rPr>
                <w:sz w:val="21"/>
              </w:rPr>
              <w:t>189.02</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ind w:left="220" w:right="192"/>
              <w:rPr>
                <w:sz w:val="21"/>
              </w:rPr>
            </w:pPr>
            <w:r>
              <w:rPr>
                <w:sz w:val="21"/>
              </w:rPr>
              <w:t>171.01</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180.39</w:t>
            </w:r>
          </w:p>
        </w:tc>
        <w:tc>
          <w:tcPr>
            <w:tcW w:w="1151" w:type="dxa"/>
            <w:tcBorders>
              <w:top w:val="single" w:sz="6" w:space="0" w:color="000000"/>
              <w:left w:val="single" w:sz="6" w:space="0" w:color="000000"/>
              <w:bottom w:val="single" w:sz="6" w:space="0" w:color="000000"/>
            </w:tcBorders>
          </w:tcPr>
          <w:p>
            <w:pPr>
              <w:pStyle w:val="TableParagraph"/>
              <w:ind w:right="143"/>
              <w:jc w:val="right"/>
              <w:rPr>
                <w:sz w:val="21"/>
              </w:rPr>
            </w:pPr>
            <w:r>
              <w:rPr>
                <w:sz w:val="21"/>
              </w:rPr>
              <w:t>31471.39</w:t>
            </w:r>
          </w:p>
        </w:tc>
      </w:tr>
      <w:tr>
        <w:trPr>
          <w:trHeight w:val="359" w:hRule="atLeast"/>
        </w:trPr>
        <w:tc>
          <w:tcPr>
            <w:tcW w:w="698"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8</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47"/>
              <w:ind w:left="154" w:right="123"/>
              <w:rPr>
                <w:rFonts w:ascii="宋体" w:eastAsia="宋体" w:hint="eastAsia"/>
                <w:sz w:val="21"/>
              </w:rPr>
            </w:pPr>
            <w:r>
              <w:rPr>
                <w:rFonts w:ascii="宋体" w:eastAsia="宋体" w:hint="eastAsia"/>
                <w:sz w:val="21"/>
              </w:rPr>
              <w:t>隔离栏</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377"/>
              <w:jc w:val="left"/>
              <w:rPr>
                <w:sz w:val="21"/>
              </w:rPr>
            </w:pPr>
            <w:r>
              <w:rPr>
                <w:sz w:val="21"/>
              </w:rPr>
              <w:t>1580.00</w:t>
            </w:r>
          </w:p>
        </w:tc>
        <w:tc>
          <w:tcPr>
            <w:tcW w:w="1620" w:type="dxa"/>
            <w:tcBorders>
              <w:top w:val="single" w:sz="6" w:space="0" w:color="000000"/>
              <w:left w:val="single" w:sz="6" w:space="0" w:color="000000"/>
              <w:bottom w:val="single" w:sz="6" w:space="0" w:color="000000"/>
              <w:right w:val="single" w:sz="6" w:space="0" w:color="000000"/>
            </w:tcBorders>
          </w:tcPr>
          <w:p>
            <w:pPr>
              <w:pStyle w:val="TableParagraph"/>
              <w:ind w:left="163" w:right="136"/>
              <w:rPr>
                <w:sz w:val="21"/>
              </w:rPr>
            </w:pPr>
            <w:r>
              <w:rPr>
                <w:sz w:val="21"/>
              </w:rPr>
              <w:t>171</w:t>
            </w:r>
          </w:p>
        </w:tc>
        <w:tc>
          <w:tcPr>
            <w:tcW w:w="1048" w:type="dxa"/>
            <w:tcBorders>
              <w:top w:val="single" w:sz="6" w:space="0" w:color="000000"/>
              <w:left w:val="single" w:sz="6" w:space="0" w:color="000000"/>
              <w:bottom w:val="single" w:sz="6" w:space="0" w:color="000000"/>
              <w:right w:val="single" w:sz="6" w:space="0" w:color="000000"/>
            </w:tcBorders>
          </w:tcPr>
          <w:p>
            <w:pPr>
              <w:pStyle w:val="TableParagraph"/>
              <w:ind w:left="346"/>
              <w:jc w:val="left"/>
              <w:rPr>
                <w:sz w:val="21"/>
              </w:rPr>
            </w:pPr>
            <w:r>
              <w:rPr>
                <w:sz w:val="21"/>
              </w:rPr>
              <w:t>9.95</w:t>
            </w:r>
          </w:p>
        </w:tc>
        <w:tc>
          <w:tcPr>
            <w:tcW w:w="1046" w:type="dxa"/>
            <w:tcBorders>
              <w:top w:val="single" w:sz="6" w:space="0" w:color="000000"/>
              <w:left w:val="single" w:sz="6" w:space="0" w:color="000000"/>
              <w:bottom w:val="single" w:sz="6" w:space="0" w:color="000000"/>
              <w:right w:val="single" w:sz="6" w:space="0" w:color="000000"/>
            </w:tcBorders>
          </w:tcPr>
          <w:p>
            <w:pPr>
              <w:pStyle w:val="TableParagraph"/>
              <w:ind w:left="220" w:right="191"/>
              <w:rPr>
                <w:sz w:val="21"/>
              </w:rPr>
            </w:pPr>
            <w:r>
              <w:rPr>
                <w:sz w:val="21"/>
              </w:rPr>
              <w:t>9.01</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9.50</w:t>
            </w:r>
          </w:p>
        </w:tc>
        <w:tc>
          <w:tcPr>
            <w:tcW w:w="1151" w:type="dxa"/>
            <w:tcBorders>
              <w:top w:val="single" w:sz="6" w:space="0" w:color="000000"/>
              <w:left w:val="single" w:sz="6" w:space="0" w:color="000000"/>
              <w:bottom w:val="single" w:sz="6" w:space="0" w:color="000000"/>
            </w:tcBorders>
          </w:tcPr>
          <w:p>
            <w:pPr>
              <w:pStyle w:val="TableParagraph"/>
              <w:ind w:right="196"/>
              <w:jc w:val="right"/>
              <w:rPr>
                <w:sz w:val="21"/>
              </w:rPr>
            </w:pPr>
            <w:r>
              <w:rPr>
                <w:sz w:val="21"/>
              </w:rPr>
              <w:t>1657.36</w:t>
            </w:r>
          </w:p>
        </w:tc>
      </w:tr>
      <w:tr>
        <w:trPr>
          <w:trHeight w:val="359" w:hRule="atLeast"/>
        </w:trPr>
        <w:tc>
          <w:tcPr>
            <w:tcW w:w="698" w:type="dxa"/>
            <w:tcBorders>
              <w:top w:val="single" w:sz="6" w:space="0" w:color="000000"/>
              <w:right w:val="single" w:sz="6" w:space="0" w:color="000000"/>
            </w:tcBorders>
          </w:tcPr>
          <w:p>
            <w:pPr>
              <w:pStyle w:val="TableParagraph"/>
              <w:spacing w:before="46"/>
              <w:ind w:left="119" w:right="95"/>
              <w:rPr>
                <w:rFonts w:ascii="宋体" w:eastAsia="宋体" w:hint="eastAsia"/>
                <w:sz w:val="21"/>
              </w:rPr>
            </w:pPr>
            <w:r>
              <w:rPr>
                <w:rFonts w:ascii="宋体" w:eastAsia="宋体" w:hint="eastAsia"/>
                <w:sz w:val="21"/>
              </w:rPr>
              <w:t>合计</w:t>
            </w:r>
          </w:p>
        </w:tc>
        <w:tc>
          <w:tcPr>
            <w:tcW w:w="1385" w:type="dxa"/>
            <w:tcBorders>
              <w:top w:val="single" w:sz="6" w:space="0" w:color="000000"/>
              <w:left w:val="single" w:sz="6" w:space="0" w:color="000000"/>
              <w:right w:val="single" w:sz="6" w:space="0" w:color="000000"/>
            </w:tcBorders>
          </w:tcPr>
          <w:p>
            <w:pPr>
              <w:pStyle w:val="TableParagraph"/>
              <w:ind w:left="27"/>
              <w:rPr>
                <w:sz w:val="21"/>
              </w:rPr>
            </w:pPr>
            <w:r>
              <w:rPr>
                <w:w w:val="100"/>
                <w:sz w:val="21"/>
              </w:rPr>
              <w:t>/</w:t>
            </w:r>
          </w:p>
        </w:tc>
        <w:tc>
          <w:tcPr>
            <w:tcW w:w="1428" w:type="dxa"/>
            <w:tcBorders>
              <w:top w:val="single" w:sz="6" w:space="0" w:color="000000"/>
              <w:left w:val="single" w:sz="6" w:space="0" w:color="000000"/>
              <w:right w:val="single" w:sz="6" w:space="0" w:color="000000"/>
            </w:tcBorders>
          </w:tcPr>
          <w:p>
            <w:pPr>
              <w:pStyle w:val="TableParagraph"/>
              <w:ind w:left="324"/>
              <w:jc w:val="left"/>
              <w:rPr>
                <w:sz w:val="21"/>
              </w:rPr>
            </w:pPr>
            <w:r>
              <w:rPr>
                <w:sz w:val="21"/>
              </w:rPr>
              <w:t>45035.26</w:t>
            </w:r>
          </w:p>
        </w:tc>
        <w:tc>
          <w:tcPr>
            <w:tcW w:w="1620" w:type="dxa"/>
            <w:tcBorders>
              <w:top w:val="single" w:sz="6" w:space="0" w:color="000000"/>
              <w:left w:val="single" w:sz="6" w:space="0" w:color="000000"/>
              <w:right w:val="single" w:sz="6" w:space="0" w:color="000000"/>
            </w:tcBorders>
          </w:tcPr>
          <w:p>
            <w:pPr>
              <w:pStyle w:val="TableParagraph"/>
              <w:ind w:left="24"/>
              <w:rPr>
                <w:sz w:val="21"/>
              </w:rPr>
            </w:pPr>
            <w:r>
              <w:rPr>
                <w:w w:val="100"/>
                <w:sz w:val="21"/>
              </w:rPr>
              <w:t>/</w:t>
            </w:r>
          </w:p>
        </w:tc>
        <w:tc>
          <w:tcPr>
            <w:tcW w:w="1048" w:type="dxa"/>
            <w:tcBorders>
              <w:top w:val="single" w:sz="6" w:space="0" w:color="000000"/>
              <w:left w:val="single" w:sz="6" w:space="0" w:color="000000"/>
              <w:right w:val="single" w:sz="6" w:space="0" w:color="000000"/>
            </w:tcBorders>
          </w:tcPr>
          <w:p>
            <w:pPr>
              <w:pStyle w:val="TableParagraph"/>
              <w:ind w:left="240"/>
              <w:jc w:val="left"/>
              <w:rPr>
                <w:sz w:val="21"/>
              </w:rPr>
            </w:pPr>
            <w:r>
              <w:rPr>
                <w:sz w:val="21"/>
              </w:rPr>
              <w:t>283.72</w:t>
            </w:r>
          </w:p>
        </w:tc>
        <w:tc>
          <w:tcPr>
            <w:tcW w:w="1046" w:type="dxa"/>
            <w:tcBorders>
              <w:top w:val="single" w:sz="6" w:space="0" w:color="000000"/>
              <w:left w:val="single" w:sz="6" w:space="0" w:color="000000"/>
              <w:right w:val="single" w:sz="6" w:space="0" w:color="000000"/>
            </w:tcBorders>
          </w:tcPr>
          <w:p>
            <w:pPr>
              <w:pStyle w:val="TableParagraph"/>
              <w:ind w:left="220" w:right="192"/>
              <w:rPr>
                <w:sz w:val="21"/>
              </w:rPr>
            </w:pPr>
            <w:r>
              <w:rPr>
                <w:sz w:val="21"/>
              </w:rPr>
              <w:t>256.70</w:t>
            </w:r>
          </w:p>
        </w:tc>
        <w:tc>
          <w:tcPr>
            <w:tcW w:w="1050" w:type="dxa"/>
            <w:tcBorders>
              <w:top w:val="single" w:sz="6" w:space="0" w:color="000000"/>
              <w:left w:val="single" w:sz="6" w:space="0" w:color="000000"/>
              <w:right w:val="single" w:sz="6" w:space="0" w:color="000000"/>
            </w:tcBorders>
          </w:tcPr>
          <w:p>
            <w:pPr>
              <w:pStyle w:val="TableParagraph"/>
              <w:ind w:left="127" w:right="92"/>
              <w:rPr>
                <w:sz w:val="21"/>
              </w:rPr>
            </w:pPr>
            <w:r>
              <w:rPr>
                <w:sz w:val="21"/>
              </w:rPr>
              <w:t>270.77</w:t>
            </w:r>
          </w:p>
        </w:tc>
        <w:tc>
          <w:tcPr>
            <w:tcW w:w="1151" w:type="dxa"/>
            <w:tcBorders>
              <w:top w:val="single" w:sz="6" w:space="0" w:color="000000"/>
              <w:left w:val="single" w:sz="6" w:space="0" w:color="000000"/>
            </w:tcBorders>
          </w:tcPr>
          <w:p>
            <w:pPr>
              <w:pStyle w:val="TableParagraph"/>
              <w:ind w:right="143"/>
              <w:jc w:val="right"/>
              <w:rPr>
                <w:sz w:val="21"/>
              </w:rPr>
            </w:pPr>
            <w:r>
              <w:rPr>
                <w:sz w:val="21"/>
              </w:rPr>
              <w:t>47240.30</w:t>
            </w:r>
          </w:p>
        </w:tc>
      </w:tr>
    </w:tbl>
    <w:p>
      <w:pPr>
        <w:spacing w:before="23"/>
        <w:ind w:left="657" w:right="0" w:firstLine="0"/>
        <w:jc w:val="left"/>
        <w:rPr>
          <w:sz w:val="21"/>
        </w:rPr>
      </w:pPr>
      <w:r>
        <w:rPr>
          <w:sz w:val="21"/>
        </w:rPr>
        <w:t>注：冲洗频次按夏季每天冲洗 </w:t>
      </w:r>
      <w:r>
        <w:rPr>
          <w:rFonts w:ascii="Times New Roman" w:eastAsia="Times New Roman"/>
          <w:sz w:val="21"/>
        </w:rPr>
        <w:t>1 </w:t>
      </w:r>
      <w:r>
        <w:rPr>
          <w:sz w:val="21"/>
        </w:rPr>
        <w:t>次、冬季每五天冲洗 </w:t>
      </w:r>
      <w:r>
        <w:rPr>
          <w:rFonts w:ascii="Times New Roman" w:eastAsia="Times New Roman"/>
          <w:sz w:val="21"/>
        </w:rPr>
        <w:t>1 </w:t>
      </w:r>
      <w:r>
        <w:rPr>
          <w:sz w:val="21"/>
        </w:rPr>
        <w:t>次、春秋每三天冲洗 </w:t>
      </w:r>
      <w:r>
        <w:rPr>
          <w:rFonts w:ascii="Times New Roman" w:eastAsia="Times New Roman"/>
          <w:sz w:val="21"/>
        </w:rPr>
        <w:t>1 </w:t>
      </w:r>
      <w:r>
        <w:rPr>
          <w:sz w:val="21"/>
        </w:rPr>
        <w:t>次计算。</w:t>
      </w:r>
    </w:p>
    <w:p>
      <w:pPr>
        <w:pStyle w:val="Heading3"/>
        <w:numPr>
          <w:ilvl w:val="0"/>
          <w:numId w:val="46"/>
        </w:numPr>
        <w:tabs>
          <w:tab w:pos="1323" w:val="left" w:leader="none"/>
        </w:tabs>
        <w:spacing w:line="240" w:lineRule="auto" w:before="101" w:after="0"/>
        <w:ind w:left="1323" w:right="0" w:hanging="604"/>
        <w:jc w:val="left"/>
      </w:pPr>
      <w:r>
        <w:rPr/>
        <w:t>水帘降温用水</w:t>
      </w:r>
    </w:p>
    <w:p>
      <w:pPr>
        <w:pStyle w:val="BodyText"/>
        <w:spacing w:line="364" w:lineRule="auto" w:before="161"/>
        <w:ind w:right="250" w:firstLine="480"/>
        <w:jc w:val="both"/>
      </w:pPr>
      <w:r>
        <w:rPr>
          <w:spacing w:val="-5"/>
        </w:rPr>
        <w:t>天气炎热时猪舍采用水帘降温，每年降温时间按 </w:t>
      </w:r>
      <w:r>
        <w:rPr>
          <w:rFonts w:ascii="Times New Roman" w:eastAsia="Times New Roman"/>
        </w:rPr>
        <w:t>4 </w:t>
      </w:r>
      <w:r>
        <w:rPr>
          <w:spacing w:val="-11"/>
        </w:rPr>
        <w:t>个月</w:t>
      </w:r>
      <w:r>
        <w:rPr/>
        <w:t>（</w:t>
      </w:r>
      <w:r>
        <w:rPr>
          <w:rFonts w:ascii="Times New Roman" w:eastAsia="Times New Roman"/>
        </w:rPr>
        <w:t>120 </w:t>
      </w:r>
      <w:r>
        <w:rPr/>
        <w:t>天</w:t>
      </w:r>
      <w:r>
        <w:rPr>
          <w:spacing w:val="-22"/>
        </w:rPr>
        <w:t>）</w:t>
      </w:r>
      <w:r>
        <w:rPr>
          <w:spacing w:val="-6"/>
        </w:rPr>
        <w:t>计，根据建设单位</w:t>
      </w:r>
      <w:r>
        <w:rPr>
          <w:spacing w:val="-11"/>
        </w:rPr>
        <w:t>提供资料，场区降温水量约 </w:t>
      </w:r>
      <w:r>
        <w:rPr>
          <w:rFonts w:ascii="Times New Roman" w:eastAsia="Times New Roman"/>
          <w:spacing w:val="-5"/>
        </w:rPr>
        <w:t>100t/d</w:t>
      </w:r>
      <w:r>
        <w:rPr>
          <w:spacing w:val="-5"/>
        </w:rPr>
        <w:t>，降温过程由于蒸发损耗需定期补充新鲜水，损耗量按</w:t>
      </w:r>
      <w:r>
        <w:rPr>
          <w:rFonts w:ascii="Times New Roman" w:eastAsia="Times New Roman"/>
        </w:rPr>
        <w:t>15%</w:t>
      </w:r>
      <w:r>
        <w:rPr>
          <w:spacing w:val="-11"/>
        </w:rPr>
        <w:t>计，则场区补充新鲜水量约 </w:t>
      </w:r>
      <w:r>
        <w:rPr>
          <w:rFonts w:ascii="Times New Roman" w:eastAsia="Times New Roman"/>
          <w:spacing w:val="-4"/>
        </w:rPr>
        <w:t>15.0t/d</w:t>
      </w:r>
      <w:r>
        <w:rPr>
          <w:spacing w:val="-22"/>
        </w:rPr>
        <w:t>，即 </w:t>
      </w:r>
      <w:r>
        <w:rPr>
          <w:rFonts w:ascii="Times New Roman" w:eastAsia="Times New Roman"/>
        </w:rPr>
        <w:t>1800.0t/a</w:t>
      </w:r>
      <w:r>
        <w:rPr>
          <w:spacing w:val="-9"/>
        </w:rPr>
        <w:t>。水帘降温用水循环使用，仅补充新</w:t>
      </w:r>
      <w:r>
        <w:rPr/>
        <w:t>鲜用水，无外排废水。</w:t>
      </w:r>
    </w:p>
    <w:p>
      <w:pPr>
        <w:pStyle w:val="BodyText"/>
        <w:spacing w:line="364" w:lineRule="auto" w:before="3"/>
        <w:ind w:right="244" w:firstLine="480"/>
        <w:jc w:val="both"/>
      </w:pPr>
      <w:r>
        <w:rPr>
          <w:spacing w:val="9"/>
        </w:rPr>
        <w:t>综上，本项目养殖废水主要包括猪尿、饮水系统撒漏水、猪舍冲洗水，产生量约</w:t>
      </w:r>
      <w:r>
        <w:rPr>
          <w:rFonts w:ascii="Times New Roman" w:hAnsi="Times New Roman" w:eastAsia="Times New Roman"/>
          <w:spacing w:val="-3"/>
        </w:rPr>
        <w:t>102333.86t/a</w:t>
      </w:r>
      <w:r>
        <w:rPr>
          <w:spacing w:val="-3"/>
        </w:rPr>
        <w:t>（</w:t>
      </w:r>
      <w:r>
        <w:rPr>
          <w:spacing w:val="-18"/>
        </w:rPr>
        <w:t>日均 </w:t>
      </w:r>
      <w:r>
        <w:rPr>
          <w:rFonts w:ascii="Times New Roman" w:hAnsi="Times New Roman" w:eastAsia="Times New Roman"/>
          <w:spacing w:val="-5"/>
        </w:rPr>
        <w:t>385.27~456.79t/d</w:t>
      </w:r>
      <w:r>
        <w:rPr>
          <w:spacing w:val="-5"/>
        </w:rPr>
        <w:t>），</w:t>
      </w:r>
      <w:r>
        <w:rPr>
          <w:spacing w:val="-6"/>
        </w:rPr>
        <w:t>换算为百头猪日废水产生量分别为：夏季 </w:t>
      </w:r>
      <w:r>
        <w:rPr>
          <w:rFonts w:ascii="Times New Roman" w:hAnsi="Times New Roman" w:eastAsia="Times New Roman"/>
        </w:rPr>
        <w:t>0.87m</w:t>
      </w:r>
      <w:r>
        <w:rPr>
          <w:rFonts w:ascii="Times New Roman" w:hAnsi="Times New Roman" w:eastAsia="Times New Roman"/>
          <w:position w:val="9"/>
          <w:sz w:val="16"/>
        </w:rPr>
        <w:t>3</w:t>
      </w:r>
      <w:r>
        <w:rPr>
          <w:rFonts w:ascii="Times New Roman" w:hAnsi="Times New Roman" w:eastAsia="Times New Roman"/>
        </w:rPr>
        <w:t>/ </w:t>
      </w:r>
      <w:r>
        <w:rPr/>
        <w:t>百头</w:t>
      </w:r>
      <w:r>
        <w:rPr>
          <w:rFonts w:ascii="Times New Roman" w:hAnsi="Times New Roman" w:eastAsia="Times New Roman"/>
        </w:rPr>
        <w:t>·d</w:t>
      </w:r>
      <w:r>
        <w:rPr>
          <w:spacing w:val="3"/>
        </w:rPr>
        <w:t>、冬季 </w:t>
      </w:r>
      <w:r>
        <w:rPr>
          <w:rFonts w:ascii="Times New Roman" w:hAnsi="Times New Roman" w:eastAsia="Times New Roman"/>
        </w:rPr>
        <w:t>0.73m</w:t>
      </w:r>
      <w:r>
        <w:rPr>
          <w:rFonts w:ascii="Times New Roman" w:hAnsi="Times New Roman" w:eastAsia="Times New Roman"/>
          <w:position w:val="9"/>
          <w:sz w:val="16"/>
        </w:rPr>
        <w:t>3</w:t>
      </w:r>
      <w:r>
        <w:rPr>
          <w:rFonts w:ascii="Times New Roman" w:hAnsi="Times New Roman" w:eastAsia="Times New Roman"/>
        </w:rPr>
        <w:t>/</w:t>
      </w:r>
      <w:r>
        <w:rPr/>
        <w:t>百头</w:t>
      </w:r>
      <w:r>
        <w:rPr>
          <w:rFonts w:ascii="Times New Roman" w:hAnsi="Times New Roman" w:eastAsia="Times New Roman"/>
        </w:rPr>
        <w:t>·d</w:t>
      </w:r>
      <w:r>
        <w:rPr/>
        <w:t>，能够满足《生猪养殖业环境准入指导意见（修订）》中废水产生量限制规定值</w:t>
      </w:r>
      <w:r>
        <w:rPr>
          <w:rFonts w:ascii="Times New Roman" w:hAnsi="Times New Roman" w:eastAsia="Times New Roman"/>
          <w:spacing w:val="3"/>
        </w:rPr>
        <w:t>“</w:t>
      </w:r>
      <w:r>
        <w:rPr/>
        <w:t>夏季</w:t>
      </w:r>
      <w:r>
        <w:rPr>
          <w:rFonts w:ascii="Times New Roman" w:hAnsi="Times New Roman" w:eastAsia="Times New Roman"/>
        </w:rPr>
        <w:t>≤1.0m</w:t>
      </w:r>
      <w:r>
        <w:rPr>
          <w:rFonts w:ascii="Times New Roman" w:hAnsi="Times New Roman" w:eastAsia="Times New Roman"/>
          <w:position w:val="9"/>
          <w:sz w:val="16"/>
        </w:rPr>
        <w:t>3</w:t>
      </w:r>
      <w:r>
        <w:rPr>
          <w:rFonts w:ascii="Times New Roman" w:hAnsi="Times New Roman" w:eastAsia="Times New Roman"/>
        </w:rPr>
        <w:t>/</w:t>
      </w:r>
      <w:r>
        <w:rPr/>
        <w:t>百头</w:t>
      </w:r>
      <w:r>
        <w:rPr>
          <w:rFonts w:ascii="Times New Roman" w:hAnsi="Times New Roman" w:eastAsia="Times New Roman"/>
        </w:rPr>
        <w:t>·d</w:t>
      </w:r>
      <w:r>
        <w:rPr>
          <w:spacing w:val="1"/>
        </w:rPr>
        <w:t>、冬季</w:t>
      </w:r>
      <w:r>
        <w:rPr>
          <w:rFonts w:ascii="Times New Roman" w:hAnsi="Times New Roman" w:eastAsia="Times New Roman"/>
        </w:rPr>
        <w:t>≤0.8m</w:t>
      </w:r>
      <w:r>
        <w:rPr>
          <w:rFonts w:ascii="Times New Roman" w:hAnsi="Times New Roman" w:eastAsia="Times New Roman"/>
          <w:position w:val="9"/>
          <w:sz w:val="16"/>
        </w:rPr>
        <w:t>3</w:t>
      </w:r>
      <w:r>
        <w:rPr>
          <w:rFonts w:ascii="Times New Roman" w:hAnsi="Times New Roman" w:eastAsia="Times New Roman"/>
        </w:rPr>
        <w:t>/</w:t>
      </w:r>
      <w:r>
        <w:rPr/>
        <w:t>百头</w:t>
      </w:r>
      <w:r>
        <w:rPr>
          <w:rFonts w:ascii="Times New Roman" w:hAnsi="Times New Roman" w:eastAsia="Times New Roman"/>
        </w:rPr>
        <w:t>·d”</w:t>
      </w:r>
      <w:r>
        <w:rPr/>
        <w:t>。本项目各类猪舍均采用</w:t>
      </w:r>
      <w:r>
        <w:rPr>
          <w:spacing w:val="-8"/>
        </w:rPr>
        <w:t>干清粪工艺，废水水质参照《畜禽养殖业污染治理工程技术规范》</w:t>
      </w:r>
      <w:r>
        <w:rPr/>
        <w:t>（</w:t>
      </w:r>
      <w:r>
        <w:rPr>
          <w:rFonts w:ascii="Times New Roman" w:hAnsi="Times New Roman" w:eastAsia="Times New Roman"/>
        </w:rPr>
        <w:t>HJ</w:t>
      </w:r>
      <w:r>
        <w:rPr>
          <w:rFonts w:ascii="Times New Roman" w:hAnsi="Times New Roman" w:eastAsia="Times New Roman"/>
          <w:spacing w:val="-3"/>
        </w:rPr>
        <w:t> 497-2009</w:t>
      </w:r>
      <w:r>
        <w:rPr>
          <w:spacing w:val="-3"/>
        </w:rPr>
        <w:t>）</w:t>
      </w:r>
      <w:r>
        <w:rPr>
          <w:spacing w:val="-31"/>
        </w:rPr>
        <w:t>表 </w:t>
      </w:r>
      <w:r>
        <w:rPr>
          <w:rFonts w:ascii="Times New Roman" w:hAnsi="Times New Roman" w:eastAsia="Times New Roman"/>
        </w:rPr>
        <w:t>A.1 </w:t>
      </w:r>
      <w:r>
        <w:rPr/>
        <w:t>中干清粪浓度（实际废水中污染物浓度可能随清粪方式、清粪频次、清粪程度等高低起</w:t>
      </w:r>
      <w:r>
        <w:rPr>
          <w:position w:val="2"/>
        </w:rPr>
        <w:t>伏，废水处理工艺设计时应放大考虑）</w:t>
      </w:r>
      <w:r>
        <w:rPr>
          <w:spacing w:val="1"/>
          <w:position w:val="2"/>
        </w:rPr>
        <w:t>，由此计算得该股废水 </w:t>
      </w:r>
      <w:r>
        <w:rPr>
          <w:rFonts w:ascii="Times New Roman" w:hAnsi="Times New Roman" w:eastAsia="Times New Roman"/>
          <w:position w:val="2"/>
        </w:rPr>
        <w:t>COD</w:t>
      </w:r>
      <w:r>
        <w:rPr>
          <w:rFonts w:ascii="Times New Roman" w:hAnsi="Times New Roman" w:eastAsia="Times New Roman"/>
          <w:sz w:val="16"/>
        </w:rPr>
        <w:t>Cr</w:t>
      </w:r>
      <w:r>
        <w:rPr>
          <w:position w:val="2"/>
        </w:rPr>
        <w:t>、氨氮、总氮、总</w:t>
      </w:r>
    </w:p>
    <w:p>
      <w:pPr>
        <w:spacing w:after="0" w:line="364" w:lineRule="auto"/>
        <w:jc w:val="both"/>
        <w:sectPr>
          <w:pgSz w:w="11910" w:h="16840"/>
          <w:pgMar w:header="874" w:footer="1004" w:top="1400" w:bottom="1200" w:left="1040" w:right="1160"/>
        </w:sectPr>
      </w:pPr>
    </w:p>
    <w:p>
      <w:pPr>
        <w:spacing w:line="364" w:lineRule="auto" w:before="105"/>
        <w:ind w:left="1326" w:right="1286" w:hanging="1090"/>
        <w:jc w:val="left"/>
        <w:rPr>
          <w:rFonts w:ascii="Times New Roman" w:eastAsia="Times New Roman"/>
          <w:b/>
          <w:sz w:val="24"/>
        </w:rPr>
      </w:pPr>
      <w:r>
        <w:rPr/>
        <w:pict>
          <v:shape style="position:absolute;margin-left:57.743999pt;margin-top:47.970009pt;width:473.75pt;height:76.2pt;mso-position-horizontal-relative:page;mso-position-vertical-relative:paragraph;z-index:25175347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8"/>
                    <w:gridCol w:w="1256"/>
                    <w:gridCol w:w="963"/>
                    <w:gridCol w:w="1079"/>
                    <w:gridCol w:w="911"/>
                    <w:gridCol w:w="1077"/>
                    <w:gridCol w:w="912"/>
                    <w:gridCol w:w="1144"/>
                    <w:gridCol w:w="912"/>
                  </w:tblGrid>
                  <w:tr>
                    <w:trPr>
                      <w:trHeight w:val="359" w:hRule="atLeast"/>
                    </w:trPr>
                    <w:tc>
                      <w:tcPr>
                        <w:tcW w:w="1188" w:type="dxa"/>
                        <w:vMerge w:val="restart"/>
                        <w:tcBorders>
                          <w:bottom w:val="single" w:sz="6" w:space="0" w:color="000000"/>
                          <w:right w:val="single" w:sz="6" w:space="0" w:color="000000"/>
                        </w:tcBorders>
                      </w:tcPr>
                      <w:p>
                        <w:pPr>
                          <w:pStyle w:val="TableParagraph"/>
                          <w:spacing w:before="55"/>
                          <w:ind w:left="275"/>
                          <w:jc w:val="left"/>
                          <w:rPr>
                            <w:rFonts w:ascii="宋体" w:eastAsia="宋体" w:hint="eastAsia"/>
                            <w:b/>
                            <w:sz w:val="21"/>
                          </w:rPr>
                        </w:pPr>
                        <w:r>
                          <w:rPr>
                            <w:rFonts w:ascii="宋体" w:eastAsia="宋体" w:hint="eastAsia"/>
                            <w:b/>
                            <w:sz w:val="21"/>
                          </w:rPr>
                          <w:t>废水量</w:t>
                        </w:r>
                      </w:p>
                      <w:p>
                        <w:pPr>
                          <w:pStyle w:val="TableParagraph"/>
                          <w:spacing w:before="89"/>
                          <w:ind w:left="265"/>
                          <w:jc w:val="left"/>
                          <w:rPr>
                            <w:rFonts w:ascii="宋体" w:eastAsia="宋体" w:hint="eastAsia"/>
                            <w:b/>
                            <w:sz w:val="21"/>
                          </w:rPr>
                        </w:pPr>
                        <w:r>
                          <w:rPr>
                            <w:rFonts w:ascii="宋体" w:eastAsia="宋体" w:hint="eastAsia"/>
                            <w:b/>
                            <w:sz w:val="21"/>
                          </w:rPr>
                          <w:t>（</w:t>
                        </w:r>
                        <w:r>
                          <w:rPr>
                            <w:b/>
                            <w:sz w:val="21"/>
                          </w:rPr>
                          <w:t>t/a</w:t>
                        </w:r>
                        <w:r>
                          <w:rPr>
                            <w:rFonts w:ascii="宋体" w:eastAsia="宋体" w:hint="eastAsia"/>
                            <w:b/>
                            <w:sz w:val="21"/>
                          </w:rPr>
                          <w:t>）</w:t>
                        </w:r>
                      </w:p>
                    </w:tc>
                    <w:tc>
                      <w:tcPr>
                        <w:tcW w:w="2219" w:type="dxa"/>
                        <w:gridSpan w:val="2"/>
                        <w:tcBorders>
                          <w:left w:val="single" w:sz="6" w:space="0" w:color="000000"/>
                          <w:bottom w:val="single" w:sz="6" w:space="0" w:color="000000"/>
                          <w:right w:val="single" w:sz="6" w:space="0" w:color="000000"/>
                        </w:tcBorders>
                      </w:tcPr>
                      <w:p>
                        <w:pPr>
                          <w:pStyle w:val="TableParagraph"/>
                          <w:spacing w:before="59"/>
                          <w:ind w:left="781" w:right="752"/>
                          <w:rPr>
                            <w:b/>
                            <w:sz w:val="14"/>
                          </w:rPr>
                        </w:pPr>
                        <w:r>
                          <w:rPr>
                            <w:b/>
                            <w:position w:val="2"/>
                            <w:sz w:val="21"/>
                          </w:rPr>
                          <w:t>COD</w:t>
                        </w:r>
                        <w:r>
                          <w:rPr>
                            <w:b/>
                            <w:sz w:val="14"/>
                          </w:rPr>
                          <w:t>Cr</w:t>
                        </w:r>
                      </w:p>
                    </w:tc>
                    <w:tc>
                      <w:tcPr>
                        <w:tcW w:w="1990" w:type="dxa"/>
                        <w:gridSpan w:val="2"/>
                        <w:tcBorders>
                          <w:left w:val="single" w:sz="6" w:space="0" w:color="000000"/>
                          <w:bottom w:val="single" w:sz="6" w:space="0" w:color="000000"/>
                          <w:right w:val="single" w:sz="6" w:space="0" w:color="000000"/>
                        </w:tcBorders>
                      </w:tcPr>
                      <w:p>
                        <w:pPr>
                          <w:pStyle w:val="TableParagraph"/>
                          <w:spacing w:before="46"/>
                          <w:ind w:left="768" w:right="744"/>
                          <w:rPr>
                            <w:rFonts w:ascii="宋体" w:eastAsia="宋体" w:hint="eastAsia"/>
                            <w:b/>
                            <w:sz w:val="21"/>
                          </w:rPr>
                        </w:pPr>
                        <w:r>
                          <w:rPr>
                            <w:rFonts w:ascii="宋体" w:eastAsia="宋体" w:hint="eastAsia"/>
                            <w:b/>
                            <w:sz w:val="21"/>
                          </w:rPr>
                          <w:t>氨氮</w:t>
                        </w:r>
                      </w:p>
                    </w:tc>
                    <w:tc>
                      <w:tcPr>
                        <w:tcW w:w="1989" w:type="dxa"/>
                        <w:gridSpan w:val="2"/>
                        <w:tcBorders>
                          <w:left w:val="single" w:sz="6" w:space="0" w:color="000000"/>
                          <w:bottom w:val="single" w:sz="6" w:space="0" w:color="000000"/>
                          <w:right w:val="single" w:sz="6" w:space="0" w:color="000000"/>
                        </w:tcBorders>
                      </w:tcPr>
                      <w:p>
                        <w:pPr>
                          <w:pStyle w:val="TableParagraph"/>
                          <w:spacing w:before="46"/>
                          <w:ind w:left="763" w:right="748"/>
                          <w:rPr>
                            <w:rFonts w:ascii="宋体" w:eastAsia="宋体" w:hint="eastAsia"/>
                            <w:b/>
                            <w:sz w:val="21"/>
                          </w:rPr>
                        </w:pPr>
                        <w:r>
                          <w:rPr>
                            <w:rFonts w:ascii="宋体" w:eastAsia="宋体" w:hint="eastAsia"/>
                            <w:b/>
                            <w:sz w:val="21"/>
                          </w:rPr>
                          <w:t>总氮</w:t>
                        </w:r>
                      </w:p>
                    </w:tc>
                    <w:tc>
                      <w:tcPr>
                        <w:tcW w:w="2056" w:type="dxa"/>
                        <w:gridSpan w:val="2"/>
                        <w:tcBorders>
                          <w:left w:val="single" w:sz="6" w:space="0" w:color="000000"/>
                          <w:bottom w:val="single" w:sz="6" w:space="0" w:color="000000"/>
                        </w:tcBorders>
                      </w:tcPr>
                      <w:p>
                        <w:pPr>
                          <w:pStyle w:val="TableParagraph"/>
                          <w:spacing w:before="46"/>
                          <w:ind w:left="793" w:right="777"/>
                          <w:rPr>
                            <w:rFonts w:ascii="宋体" w:eastAsia="宋体" w:hint="eastAsia"/>
                            <w:b/>
                            <w:sz w:val="21"/>
                          </w:rPr>
                        </w:pPr>
                        <w:r>
                          <w:rPr>
                            <w:rFonts w:ascii="宋体" w:eastAsia="宋体" w:hint="eastAsia"/>
                            <w:b/>
                            <w:sz w:val="21"/>
                          </w:rPr>
                          <w:t>总磷</w:t>
                        </w:r>
                      </w:p>
                    </w:tc>
                  </w:tr>
                  <w:tr>
                    <w:trPr>
                      <w:trHeight w:val="359" w:hRule="atLeast"/>
                    </w:trPr>
                    <w:tc>
                      <w:tcPr>
                        <w:tcW w:w="1188" w:type="dxa"/>
                        <w:vMerge/>
                        <w:tcBorders>
                          <w:top w:val="nil"/>
                          <w:bottom w:val="single" w:sz="6" w:space="0" w:color="000000"/>
                          <w:right w:val="single" w:sz="6" w:space="0" w:color="000000"/>
                        </w:tcBorders>
                      </w:tcPr>
                      <w:p>
                        <w:pPr>
                          <w:rPr>
                            <w:sz w:val="2"/>
                            <w:szCs w:val="2"/>
                          </w:rPr>
                        </w:pP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46"/>
                          <w:ind w:left="422"/>
                          <w:jc w:val="left"/>
                          <w:rPr>
                            <w:rFonts w:ascii="宋体" w:eastAsia="宋体" w:hint="eastAsia"/>
                            <w:b/>
                            <w:sz w:val="21"/>
                          </w:rPr>
                        </w:pPr>
                        <w:r>
                          <w:rPr>
                            <w:rFonts w:ascii="宋体" w:eastAsia="宋体" w:hint="eastAsia"/>
                            <w:b/>
                            <w:sz w:val="21"/>
                          </w:rPr>
                          <w:t>浓度</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spacing w:before="46"/>
                          <w:ind w:left="124" w:right="99"/>
                          <w:rPr>
                            <w:rFonts w:ascii="宋体" w:eastAsia="宋体" w:hint="eastAsia"/>
                            <w:b/>
                            <w:sz w:val="21"/>
                          </w:rPr>
                        </w:pPr>
                        <w:r>
                          <w:rPr>
                            <w:rFonts w:ascii="宋体" w:eastAsia="宋体" w:hint="eastAsia"/>
                            <w:b/>
                            <w:sz w:val="21"/>
                          </w:rPr>
                          <w:t>产生量</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46"/>
                          <w:ind w:left="332"/>
                          <w:jc w:val="left"/>
                          <w:rPr>
                            <w:rFonts w:ascii="宋体" w:eastAsia="宋体" w:hint="eastAsia"/>
                            <w:b/>
                            <w:sz w:val="21"/>
                          </w:rPr>
                        </w:pPr>
                        <w:r>
                          <w:rPr>
                            <w:rFonts w:ascii="宋体" w:eastAsia="宋体" w:hint="eastAsia"/>
                            <w:b/>
                            <w:sz w:val="21"/>
                          </w:rPr>
                          <w:t>浓度</w:t>
                        </w:r>
                      </w:p>
                    </w:tc>
                    <w:tc>
                      <w:tcPr>
                        <w:tcW w:w="911" w:type="dxa"/>
                        <w:tcBorders>
                          <w:top w:val="single" w:sz="6" w:space="0" w:color="000000"/>
                          <w:left w:val="single" w:sz="6" w:space="0" w:color="000000"/>
                          <w:bottom w:val="single" w:sz="6" w:space="0" w:color="000000"/>
                          <w:right w:val="single" w:sz="6" w:space="0" w:color="000000"/>
                        </w:tcBorders>
                      </w:tcPr>
                      <w:p>
                        <w:pPr>
                          <w:pStyle w:val="TableParagraph"/>
                          <w:spacing w:before="46"/>
                          <w:ind w:left="141"/>
                          <w:jc w:val="left"/>
                          <w:rPr>
                            <w:rFonts w:ascii="宋体" w:eastAsia="宋体" w:hint="eastAsia"/>
                            <w:b/>
                            <w:sz w:val="21"/>
                          </w:rPr>
                        </w:pPr>
                        <w:r>
                          <w:rPr>
                            <w:rFonts w:ascii="宋体" w:eastAsia="宋体" w:hint="eastAsia"/>
                            <w:b/>
                            <w:sz w:val="21"/>
                          </w:rPr>
                          <w:t>产生量</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spacing w:before="46"/>
                          <w:ind w:left="327"/>
                          <w:jc w:val="left"/>
                          <w:rPr>
                            <w:rFonts w:ascii="宋体" w:eastAsia="宋体" w:hint="eastAsia"/>
                            <w:b/>
                            <w:sz w:val="21"/>
                          </w:rPr>
                        </w:pPr>
                        <w:r>
                          <w:rPr>
                            <w:rFonts w:ascii="宋体" w:eastAsia="宋体" w:hint="eastAsia"/>
                            <w:b/>
                            <w:sz w:val="21"/>
                          </w:rPr>
                          <w:t>浓度</w:t>
                        </w:r>
                      </w:p>
                    </w:tc>
                    <w:tc>
                      <w:tcPr>
                        <w:tcW w:w="912"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104"/>
                          <w:rPr>
                            <w:rFonts w:ascii="宋体" w:eastAsia="宋体" w:hint="eastAsia"/>
                            <w:b/>
                            <w:sz w:val="21"/>
                          </w:rPr>
                        </w:pPr>
                        <w:r>
                          <w:rPr>
                            <w:rFonts w:ascii="宋体" w:eastAsia="宋体" w:hint="eastAsia"/>
                            <w:b/>
                            <w:sz w:val="21"/>
                          </w:rPr>
                          <w:t>产生量</w:t>
                        </w:r>
                      </w:p>
                    </w:tc>
                    <w:tc>
                      <w:tcPr>
                        <w:tcW w:w="1144" w:type="dxa"/>
                        <w:tcBorders>
                          <w:top w:val="single" w:sz="6" w:space="0" w:color="000000"/>
                          <w:left w:val="single" w:sz="6" w:space="0" w:color="000000"/>
                          <w:bottom w:val="single" w:sz="6" w:space="0" w:color="000000"/>
                          <w:right w:val="single" w:sz="6" w:space="0" w:color="000000"/>
                        </w:tcBorders>
                      </w:tcPr>
                      <w:p>
                        <w:pPr>
                          <w:pStyle w:val="TableParagraph"/>
                          <w:spacing w:before="46"/>
                          <w:ind w:left="357"/>
                          <w:jc w:val="left"/>
                          <w:rPr>
                            <w:rFonts w:ascii="宋体" w:eastAsia="宋体" w:hint="eastAsia"/>
                            <w:b/>
                            <w:sz w:val="21"/>
                          </w:rPr>
                        </w:pPr>
                        <w:r>
                          <w:rPr>
                            <w:rFonts w:ascii="宋体" w:eastAsia="宋体" w:hint="eastAsia"/>
                            <w:b/>
                            <w:sz w:val="21"/>
                          </w:rPr>
                          <w:t>浓度</w:t>
                        </w:r>
                      </w:p>
                    </w:tc>
                    <w:tc>
                      <w:tcPr>
                        <w:tcW w:w="912" w:type="dxa"/>
                        <w:tcBorders>
                          <w:top w:val="single" w:sz="6" w:space="0" w:color="000000"/>
                          <w:left w:val="single" w:sz="6" w:space="0" w:color="000000"/>
                          <w:bottom w:val="single" w:sz="6" w:space="0" w:color="000000"/>
                        </w:tcBorders>
                      </w:tcPr>
                      <w:p>
                        <w:pPr>
                          <w:pStyle w:val="TableParagraph"/>
                          <w:spacing w:before="46"/>
                          <w:ind w:left="107" w:right="93"/>
                          <w:rPr>
                            <w:rFonts w:ascii="宋体" w:eastAsia="宋体" w:hint="eastAsia"/>
                            <w:b/>
                            <w:sz w:val="21"/>
                          </w:rPr>
                        </w:pPr>
                        <w:r>
                          <w:rPr>
                            <w:rFonts w:ascii="宋体" w:eastAsia="宋体" w:hint="eastAsia"/>
                            <w:b/>
                            <w:sz w:val="21"/>
                          </w:rPr>
                          <w:t>产生量</w:t>
                        </w:r>
                      </w:p>
                    </w:tc>
                  </w:tr>
                  <w:tr>
                    <w:trPr>
                      <w:trHeight w:val="716" w:hRule="atLeast"/>
                    </w:trPr>
                    <w:tc>
                      <w:tcPr>
                        <w:tcW w:w="1188" w:type="dxa"/>
                        <w:tcBorders>
                          <w:top w:val="single" w:sz="6" w:space="0" w:color="000000"/>
                          <w:right w:val="single" w:sz="6" w:space="0" w:color="000000"/>
                        </w:tcBorders>
                      </w:tcPr>
                      <w:p>
                        <w:pPr>
                          <w:pStyle w:val="TableParagraph"/>
                          <w:spacing w:before="7"/>
                          <w:jc w:val="left"/>
                          <w:rPr>
                            <w:rFonts w:ascii="宋体"/>
                            <w:sz w:val="18"/>
                          </w:rPr>
                        </w:pPr>
                      </w:p>
                      <w:p>
                        <w:pPr>
                          <w:pStyle w:val="TableParagraph"/>
                          <w:spacing w:before="0"/>
                          <w:ind w:left="145"/>
                          <w:jc w:val="left"/>
                          <w:rPr>
                            <w:sz w:val="21"/>
                          </w:rPr>
                        </w:pPr>
                        <w:r>
                          <w:rPr>
                            <w:sz w:val="21"/>
                          </w:rPr>
                          <w:t>102333.86</w:t>
                        </w:r>
                      </w:p>
                    </w:tc>
                    <w:tc>
                      <w:tcPr>
                        <w:tcW w:w="1256" w:type="dxa"/>
                        <w:tcBorders>
                          <w:top w:val="single" w:sz="6" w:space="0" w:color="000000"/>
                          <w:left w:val="single" w:sz="6" w:space="0" w:color="000000"/>
                          <w:right w:val="single" w:sz="6" w:space="0" w:color="000000"/>
                        </w:tcBorders>
                      </w:tcPr>
                      <w:p>
                        <w:pPr>
                          <w:pStyle w:val="TableParagraph"/>
                          <w:ind w:left="155"/>
                          <w:jc w:val="left"/>
                          <w:rPr>
                            <w:sz w:val="21"/>
                          </w:rPr>
                        </w:pPr>
                        <w:r>
                          <w:rPr>
                            <w:sz w:val="21"/>
                          </w:rPr>
                          <w:t>2510~2770</w:t>
                        </w:r>
                      </w:p>
                      <w:p>
                        <w:pPr>
                          <w:pStyle w:val="TableParagraph"/>
                          <w:spacing w:before="104"/>
                          <w:ind w:left="186"/>
                          <w:jc w:val="left"/>
                          <w:rPr>
                            <w:sz w:val="21"/>
                          </w:rPr>
                        </w:pPr>
                        <w:r>
                          <w:rPr>
                            <w:rFonts w:ascii="宋体" w:eastAsia="宋体" w:hint="eastAsia"/>
                            <w:spacing w:val="-18"/>
                            <w:sz w:val="21"/>
                          </w:rPr>
                          <w:t>平均 </w:t>
                        </w:r>
                        <w:r>
                          <w:rPr>
                            <w:position w:val="1"/>
                            <w:sz w:val="21"/>
                          </w:rPr>
                          <w:t>2640</w:t>
                        </w:r>
                      </w:p>
                    </w:tc>
                    <w:tc>
                      <w:tcPr>
                        <w:tcW w:w="963" w:type="dxa"/>
                        <w:tcBorders>
                          <w:top w:val="single" w:sz="6" w:space="0" w:color="000000"/>
                          <w:left w:val="single" w:sz="6" w:space="0" w:color="000000"/>
                          <w:right w:val="single" w:sz="6" w:space="0" w:color="000000"/>
                        </w:tcBorders>
                      </w:tcPr>
                      <w:p>
                        <w:pPr>
                          <w:pStyle w:val="TableParagraph"/>
                          <w:spacing w:before="7"/>
                          <w:jc w:val="left"/>
                          <w:rPr>
                            <w:rFonts w:ascii="宋体"/>
                            <w:sz w:val="18"/>
                          </w:rPr>
                        </w:pPr>
                      </w:p>
                      <w:p>
                        <w:pPr>
                          <w:pStyle w:val="TableParagraph"/>
                          <w:spacing w:before="0"/>
                          <w:ind w:left="126" w:right="99"/>
                          <w:rPr>
                            <w:sz w:val="21"/>
                          </w:rPr>
                        </w:pPr>
                        <w:r>
                          <w:rPr>
                            <w:sz w:val="21"/>
                          </w:rPr>
                          <w:t>270.161</w:t>
                        </w:r>
                      </w:p>
                    </w:tc>
                    <w:tc>
                      <w:tcPr>
                        <w:tcW w:w="1079" w:type="dxa"/>
                        <w:tcBorders>
                          <w:top w:val="single" w:sz="6" w:space="0" w:color="000000"/>
                          <w:left w:val="single" w:sz="6" w:space="0" w:color="000000"/>
                          <w:right w:val="single" w:sz="6" w:space="0" w:color="000000"/>
                        </w:tcBorders>
                      </w:tcPr>
                      <w:p>
                        <w:pPr>
                          <w:pStyle w:val="TableParagraph"/>
                          <w:ind w:left="171"/>
                          <w:jc w:val="left"/>
                          <w:rPr>
                            <w:sz w:val="21"/>
                          </w:rPr>
                        </w:pPr>
                        <w:r>
                          <w:rPr>
                            <w:sz w:val="21"/>
                          </w:rPr>
                          <w:t>234~288</w:t>
                        </w:r>
                      </w:p>
                      <w:p>
                        <w:pPr>
                          <w:pStyle w:val="TableParagraph"/>
                          <w:spacing w:before="104"/>
                          <w:ind w:left="150"/>
                          <w:jc w:val="left"/>
                          <w:rPr>
                            <w:sz w:val="21"/>
                          </w:rPr>
                        </w:pPr>
                        <w:r>
                          <w:rPr>
                            <w:rFonts w:ascii="宋体" w:eastAsia="宋体" w:hint="eastAsia"/>
                            <w:spacing w:val="-18"/>
                            <w:sz w:val="21"/>
                          </w:rPr>
                          <w:t>平均 </w:t>
                        </w:r>
                        <w:r>
                          <w:rPr>
                            <w:position w:val="1"/>
                            <w:sz w:val="21"/>
                          </w:rPr>
                          <w:t>261</w:t>
                        </w:r>
                      </w:p>
                    </w:tc>
                    <w:tc>
                      <w:tcPr>
                        <w:tcW w:w="911" w:type="dxa"/>
                        <w:tcBorders>
                          <w:top w:val="single" w:sz="6" w:space="0" w:color="000000"/>
                          <w:left w:val="single" w:sz="6" w:space="0" w:color="000000"/>
                          <w:right w:val="single" w:sz="6" w:space="0" w:color="000000"/>
                        </w:tcBorders>
                      </w:tcPr>
                      <w:p>
                        <w:pPr>
                          <w:pStyle w:val="TableParagraph"/>
                          <w:spacing w:before="7"/>
                          <w:jc w:val="left"/>
                          <w:rPr>
                            <w:rFonts w:ascii="宋体"/>
                            <w:sz w:val="18"/>
                          </w:rPr>
                        </w:pPr>
                      </w:p>
                      <w:p>
                        <w:pPr>
                          <w:pStyle w:val="TableParagraph"/>
                          <w:spacing w:before="0"/>
                          <w:ind w:left="170"/>
                          <w:jc w:val="left"/>
                          <w:rPr>
                            <w:sz w:val="21"/>
                          </w:rPr>
                        </w:pPr>
                        <w:r>
                          <w:rPr>
                            <w:sz w:val="21"/>
                          </w:rPr>
                          <w:t>26.709</w:t>
                        </w:r>
                      </w:p>
                    </w:tc>
                    <w:tc>
                      <w:tcPr>
                        <w:tcW w:w="1077" w:type="dxa"/>
                        <w:tcBorders>
                          <w:top w:val="single" w:sz="6" w:space="0" w:color="000000"/>
                          <w:left w:val="single" w:sz="6" w:space="0" w:color="000000"/>
                          <w:right w:val="single" w:sz="6" w:space="0" w:color="000000"/>
                        </w:tcBorders>
                      </w:tcPr>
                      <w:p>
                        <w:pPr>
                          <w:pStyle w:val="TableParagraph"/>
                          <w:ind w:left="166"/>
                          <w:jc w:val="left"/>
                          <w:rPr>
                            <w:sz w:val="21"/>
                          </w:rPr>
                        </w:pPr>
                        <w:r>
                          <w:rPr>
                            <w:sz w:val="21"/>
                          </w:rPr>
                          <w:t>317~423</w:t>
                        </w:r>
                      </w:p>
                      <w:p>
                        <w:pPr>
                          <w:pStyle w:val="TableParagraph"/>
                          <w:spacing w:before="104"/>
                          <w:ind w:left="145"/>
                          <w:jc w:val="left"/>
                          <w:rPr>
                            <w:sz w:val="21"/>
                          </w:rPr>
                        </w:pPr>
                        <w:r>
                          <w:rPr>
                            <w:rFonts w:ascii="宋体" w:eastAsia="宋体" w:hint="eastAsia"/>
                            <w:spacing w:val="-18"/>
                            <w:sz w:val="21"/>
                          </w:rPr>
                          <w:t>平均 </w:t>
                        </w:r>
                        <w:r>
                          <w:rPr>
                            <w:position w:val="1"/>
                            <w:sz w:val="21"/>
                          </w:rPr>
                          <w:t>370</w:t>
                        </w:r>
                      </w:p>
                    </w:tc>
                    <w:tc>
                      <w:tcPr>
                        <w:tcW w:w="912" w:type="dxa"/>
                        <w:tcBorders>
                          <w:top w:val="single" w:sz="6" w:space="0" w:color="000000"/>
                          <w:left w:val="single" w:sz="6" w:space="0" w:color="000000"/>
                          <w:right w:val="single" w:sz="6" w:space="0" w:color="000000"/>
                        </w:tcBorders>
                      </w:tcPr>
                      <w:p>
                        <w:pPr>
                          <w:pStyle w:val="TableParagraph"/>
                          <w:spacing w:before="7"/>
                          <w:jc w:val="left"/>
                          <w:rPr>
                            <w:rFonts w:ascii="宋体"/>
                            <w:sz w:val="18"/>
                          </w:rPr>
                        </w:pPr>
                      </w:p>
                      <w:p>
                        <w:pPr>
                          <w:pStyle w:val="TableParagraph"/>
                          <w:spacing w:before="0"/>
                          <w:ind w:left="119" w:right="100"/>
                          <w:rPr>
                            <w:sz w:val="21"/>
                          </w:rPr>
                        </w:pPr>
                        <w:r>
                          <w:rPr>
                            <w:sz w:val="21"/>
                          </w:rPr>
                          <w:t>37.864</w:t>
                        </w:r>
                      </w:p>
                    </w:tc>
                    <w:tc>
                      <w:tcPr>
                        <w:tcW w:w="1144" w:type="dxa"/>
                        <w:tcBorders>
                          <w:top w:val="single" w:sz="6" w:space="0" w:color="000000"/>
                          <w:left w:val="single" w:sz="6" w:space="0" w:color="000000"/>
                          <w:right w:val="single" w:sz="6" w:space="0" w:color="000000"/>
                        </w:tcBorders>
                      </w:tcPr>
                      <w:p>
                        <w:pPr>
                          <w:pStyle w:val="TableParagraph"/>
                          <w:ind w:left="144"/>
                          <w:jc w:val="left"/>
                          <w:rPr>
                            <w:sz w:val="21"/>
                          </w:rPr>
                        </w:pPr>
                        <w:r>
                          <w:rPr>
                            <w:sz w:val="21"/>
                          </w:rPr>
                          <w:t>34.7~52.4</w:t>
                        </w:r>
                      </w:p>
                      <w:p>
                        <w:pPr>
                          <w:pStyle w:val="TableParagraph"/>
                          <w:spacing w:before="104"/>
                          <w:ind w:left="148"/>
                          <w:jc w:val="left"/>
                          <w:rPr>
                            <w:sz w:val="21"/>
                          </w:rPr>
                        </w:pPr>
                        <w:r>
                          <w:rPr>
                            <w:rFonts w:ascii="宋体" w:eastAsia="宋体" w:hint="eastAsia"/>
                            <w:spacing w:val="-18"/>
                            <w:sz w:val="21"/>
                          </w:rPr>
                          <w:t>平均 </w:t>
                        </w:r>
                        <w:r>
                          <w:rPr>
                            <w:position w:val="1"/>
                            <w:sz w:val="21"/>
                          </w:rPr>
                          <w:t>43.5</w:t>
                        </w:r>
                      </w:p>
                    </w:tc>
                    <w:tc>
                      <w:tcPr>
                        <w:tcW w:w="912" w:type="dxa"/>
                        <w:tcBorders>
                          <w:top w:val="single" w:sz="6" w:space="0" w:color="000000"/>
                          <w:left w:val="single" w:sz="6" w:space="0" w:color="000000"/>
                        </w:tcBorders>
                      </w:tcPr>
                      <w:p>
                        <w:pPr>
                          <w:pStyle w:val="TableParagraph"/>
                          <w:spacing w:before="7"/>
                          <w:jc w:val="left"/>
                          <w:rPr>
                            <w:rFonts w:ascii="宋体"/>
                            <w:sz w:val="18"/>
                          </w:rPr>
                        </w:pPr>
                      </w:p>
                      <w:p>
                        <w:pPr>
                          <w:pStyle w:val="TableParagraph"/>
                          <w:spacing w:before="0"/>
                          <w:ind w:left="108" w:right="93"/>
                          <w:rPr>
                            <w:sz w:val="21"/>
                          </w:rPr>
                        </w:pPr>
                        <w:r>
                          <w:rPr>
                            <w:sz w:val="21"/>
                          </w:rPr>
                          <w:t>4.452</w:t>
                        </w:r>
                      </w:p>
                    </w:tc>
                  </w:tr>
                </w:tbl>
                <w:p>
                  <w:pPr>
                    <w:pStyle w:val="BodyText"/>
                    <w:ind w:left="0"/>
                  </w:pPr>
                </w:p>
              </w:txbxContent>
            </v:textbox>
            <w10:wrap type="none"/>
          </v:shape>
        </w:pict>
      </w:r>
      <w:r>
        <w:rPr>
          <w:spacing w:val="-8"/>
          <w:sz w:val="24"/>
        </w:rPr>
        <w:t>磷产生量分别为 </w:t>
      </w:r>
      <w:r>
        <w:rPr>
          <w:rFonts w:ascii="Times New Roman" w:eastAsia="Times New Roman"/>
          <w:sz w:val="24"/>
        </w:rPr>
        <w:t>270.161t/a</w:t>
      </w:r>
      <w:r>
        <w:rPr>
          <w:sz w:val="24"/>
        </w:rPr>
        <w:t>、</w:t>
      </w:r>
      <w:r>
        <w:rPr>
          <w:rFonts w:ascii="Times New Roman" w:eastAsia="Times New Roman"/>
          <w:sz w:val="24"/>
        </w:rPr>
        <w:t>26.709t/a</w:t>
      </w:r>
      <w:r>
        <w:rPr>
          <w:sz w:val="24"/>
        </w:rPr>
        <w:t>、</w:t>
      </w:r>
      <w:r>
        <w:rPr>
          <w:rFonts w:ascii="Times New Roman" w:eastAsia="Times New Roman"/>
          <w:sz w:val="24"/>
        </w:rPr>
        <w:t>37.864t/a </w:t>
      </w:r>
      <w:r>
        <w:rPr>
          <w:spacing w:val="-31"/>
          <w:sz w:val="24"/>
        </w:rPr>
        <w:t>及 </w:t>
      </w:r>
      <w:r>
        <w:rPr>
          <w:rFonts w:ascii="Times New Roman" w:eastAsia="Times New Roman"/>
          <w:sz w:val="24"/>
        </w:rPr>
        <w:t>4.452t/a</w:t>
      </w:r>
      <w:r>
        <w:rPr>
          <w:spacing w:val="-10"/>
          <w:sz w:val="24"/>
        </w:rPr>
        <w:t>，具体见表 </w:t>
      </w:r>
      <w:r>
        <w:rPr>
          <w:rFonts w:ascii="Times New Roman" w:eastAsia="Times New Roman"/>
          <w:sz w:val="24"/>
        </w:rPr>
        <w:t>3.3-3</w:t>
      </w:r>
      <w:r>
        <w:rPr>
          <w:spacing w:val="-11"/>
          <w:sz w:val="24"/>
        </w:rPr>
        <w:t>。</w:t>
      </w:r>
      <w:r>
        <w:rPr>
          <w:b/>
          <w:spacing w:val="-31"/>
          <w:sz w:val="24"/>
        </w:rPr>
        <w:t>表 </w:t>
      </w:r>
      <w:r>
        <w:rPr>
          <w:rFonts w:ascii="Times New Roman" w:eastAsia="Times New Roman"/>
          <w:b/>
          <w:sz w:val="24"/>
        </w:rPr>
        <w:t>3.3-3</w:t>
      </w:r>
      <w:r>
        <w:rPr>
          <w:rFonts w:ascii="Times New Roman" w:eastAsia="Times New Roman"/>
          <w:b/>
          <w:spacing w:val="58"/>
          <w:sz w:val="24"/>
        </w:rPr>
        <w:t> </w:t>
      </w:r>
      <w:r>
        <w:rPr>
          <w:b/>
          <w:spacing w:val="-4"/>
          <w:sz w:val="24"/>
        </w:rPr>
        <w:t>养殖废水污染源强产生情况 单位：浓度 </w:t>
      </w:r>
      <w:r>
        <w:rPr>
          <w:rFonts w:ascii="Times New Roman" w:eastAsia="Times New Roman"/>
          <w:b/>
          <w:sz w:val="24"/>
        </w:rPr>
        <w:t>mg/L</w:t>
      </w:r>
      <w:r>
        <w:rPr>
          <w:b/>
          <w:spacing w:val="-12"/>
          <w:sz w:val="24"/>
        </w:rPr>
        <w:t>、产生量 </w:t>
      </w:r>
      <w:r>
        <w:rPr>
          <w:rFonts w:ascii="Times New Roman" w:eastAsia="Times New Roman"/>
          <w:b/>
          <w:sz w:val="24"/>
        </w:rPr>
        <w:t>t/a</w:t>
      </w:r>
    </w:p>
    <w:p>
      <w:pPr>
        <w:pStyle w:val="BodyText"/>
        <w:ind w:left="0"/>
        <w:rPr>
          <w:rFonts w:ascii="Times New Roman"/>
          <w:b/>
          <w:sz w:val="26"/>
        </w:rPr>
      </w:pPr>
    </w:p>
    <w:p>
      <w:pPr>
        <w:pStyle w:val="BodyText"/>
        <w:ind w:left="0"/>
        <w:rPr>
          <w:rFonts w:ascii="Times New Roman"/>
          <w:b/>
          <w:sz w:val="26"/>
        </w:rPr>
      </w:pPr>
    </w:p>
    <w:p>
      <w:pPr>
        <w:pStyle w:val="BodyText"/>
        <w:ind w:left="0"/>
        <w:rPr>
          <w:rFonts w:ascii="Times New Roman"/>
          <w:b/>
          <w:sz w:val="26"/>
        </w:rPr>
      </w:pPr>
    </w:p>
    <w:p>
      <w:pPr>
        <w:pStyle w:val="BodyText"/>
        <w:ind w:left="0"/>
        <w:rPr>
          <w:rFonts w:ascii="Times New Roman"/>
          <w:b/>
          <w:sz w:val="26"/>
        </w:rPr>
      </w:pPr>
    </w:p>
    <w:p>
      <w:pPr>
        <w:pStyle w:val="BodyText"/>
        <w:spacing w:before="7"/>
        <w:ind w:left="0"/>
        <w:rPr>
          <w:rFonts w:ascii="Times New Roman"/>
          <w:b/>
          <w:sz w:val="28"/>
        </w:rPr>
      </w:pPr>
    </w:p>
    <w:p>
      <w:pPr>
        <w:pStyle w:val="Heading3"/>
        <w:spacing w:before="0"/>
      </w:pPr>
      <w:r>
        <w:rPr>
          <w:rFonts w:ascii="Times New Roman" w:eastAsia="Times New Roman"/>
        </w:rPr>
        <w:t>2</w:t>
      </w:r>
      <w:r>
        <w:rPr/>
        <w:t>、废气处理废水（</w:t>
      </w:r>
      <w:r>
        <w:rPr>
          <w:rFonts w:ascii="Times New Roman" w:eastAsia="Times New Roman"/>
        </w:rPr>
        <w:t>W2</w:t>
      </w:r>
      <w:r>
        <w:rPr/>
        <w:t>）</w:t>
      </w:r>
    </w:p>
    <w:p>
      <w:pPr>
        <w:pStyle w:val="BodyText"/>
        <w:spacing w:line="364" w:lineRule="auto" w:before="161"/>
        <w:ind w:right="137" w:firstLine="480"/>
      </w:pPr>
      <w:r>
        <w:rPr/>
        <w:t>企业拟采用</w:t>
      </w:r>
      <w:r>
        <w:rPr>
          <w:rFonts w:ascii="Times New Roman" w:hAnsi="Times New Roman" w:eastAsia="Times New Roman"/>
        </w:rPr>
        <w:t>“</w:t>
      </w:r>
      <w:r>
        <w:rPr/>
        <w:t>二级喷淋</w:t>
      </w:r>
      <w:r>
        <w:rPr>
          <w:rFonts w:ascii="Times New Roman" w:hAnsi="Times New Roman" w:eastAsia="Times New Roman"/>
        </w:rPr>
        <w:t>”</w:t>
      </w:r>
      <w:r>
        <w:rPr>
          <w:spacing w:val="-9"/>
        </w:rPr>
        <w:t>工艺处理粪污处理区臭气，猪粪发酵罐、病死猪处理机臭气分</w:t>
      </w:r>
      <w:r>
        <w:rPr>
          <w:spacing w:val="-8"/>
        </w:rPr>
        <w:t>别由配套的喷淋装置处理，三者设计处理风量分别为 </w:t>
      </w:r>
      <w:r>
        <w:rPr>
          <w:rFonts w:ascii="Times New Roman" w:hAnsi="Times New Roman" w:eastAsia="Times New Roman"/>
        </w:rPr>
        <w:t>50000m³/h</w:t>
      </w:r>
      <w:r>
        <w:rPr/>
        <w:t>（</w:t>
      </w:r>
      <w:r>
        <w:rPr>
          <w:rFonts w:ascii="Times New Roman" w:hAnsi="Times New Roman" w:eastAsia="Times New Roman"/>
        </w:rPr>
        <w:t>1 </w:t>
      </w:r>
      <w:r>
        <w:rPr/>
        <w:t>套）、</w:t>
      </w:r>
      <w:r>
        <w:rPr>
          <w:rFonts w:ascii="Times New Roman" w:hAnsi="Times New Roman" w:eastAsia="Times New Roman"/>
        </w:rPr>
        <w:t>3000m³/h</w:t>
      </w:r>
      <w:r>
        <w:rPr/>
        <w:t>（</w:t>
      </w:r>
      <w:r>
        <w:rPr>
          <w:rFonts w:ascii="Times New Roman" w:hAnsi="Times New Roman" w:eastAsia="Times New Roman"/>
        </w:rPr>
        <w:t>2 </w:t>
      </w:r>
      <w:r>
        <w:rPr/>
        <w:t>套）</w:t>
      </w:r>
      <w:r>
        <w:rPr>
          <w:spacing w:val="-28"/>
        </w:rPr>
        <w:t>及 </w:t>
      </w:r>
      <w:r>
        <w:rPr>
          <w:rFonts w:ascii="Times New Roman" w:hAnsi="Times New Roman" w:eastAsia="Times New Roman"/>
        </w:rPr>
        <w:t>500m³/h</w:t>
      </w:r>
      <w:r>
        <w:rPr/>
        <w:t>（</w:t>
      </w:r>
      <w:r>
        <w:rPr>
          <w:rFonts w:ascii="Times New Roman" w:hAnsi="Times New Roman" w:eastAsia="Times New Roman"/>
        </w:rPr>
        <w:t>2 </w:t>
      </w:r>
      <w:r>
        <w:rPr/>
        <w:t>套），</w:t>
      </w:r>
      <w:r>
        <w:rPr>
          <w:spacing w:val="-7"/>
        </w:rPr>
        <w:t>循环水量按液气比 </w:t>
      </w:r>
      <w:r>
        <w:rPr>
          <w:rFonts w:ascii="Times New Roman" w:hAnsi="Times New Roman" w:eastAsia="Times New Roman"/>
        </w:rPr>
        <w:t>2L/m³</w:t>
      </w:r>
      <w:r>
        <w:rPr>
          <w:spacing w:val="-7"/>
        </w:rPr>
        <w:t>计，则循环水量约 </w:t>
      </w:r>
      <w:r>
        <w:rPr>
          <w:rFonts w:ascii="Times New Roman" w:hAnsi="Times New Roman" w:eastAsia="Times New Roman"/>
        </w:rPr>
        <w:t>100m³/h</w:t>
      </w:r>
      <w:r>
        <w:rPr/>
        <w:t>、</w:t>
      </w:r>
      <w:r>
        <w:rPr>
          <w:rFonts w:ascii="Times New Roman" w:hAnsi="Times New Roman" w:eastAsia="Times New Roman"/>
        </w:rPr>
        <w:t>6m³/h </w:t>
      </w:r>
      <w:r>
        <w:rPr/>
        <w:t>及</w:t>
      </w:r>
      <w:r>
        <w:rPr>
          <w:rFonts w:ascii="Times New Roman" w:hAnsi="Times New Roman" w:eastAsia="Times New Roman"/>
        </w:rPr>
        <w:t>0.01m³/h</w:t>
      </w:r>
      <w:r>
        <w:rPr>
          <w:spacing w:val="-7"/>
        </w:rPr>
        <w:t>。为保证废气净化效果，循环槽需不断进行加水和排液，每天排液量按循环水量</w:t>
      </w:r>
      <w:r>
        <w:rPr>
          <w:spacing w:val="-36"/>
        </w:rPr>
        <w:t>的 </w:t>
      </w:r>
      <w:r>
        <w:rPr>
          <w:rFonts w:ascii="Times New Roman" w:hAnsi="Times New Roman" w:eastAsia="Times New Roman"/>
        </w:rPr>
        <w:t>20%</w:t>
      </w:r>
      <w:r>
        <w:rPr>
          <w:spacing w:val="-9"/>
        </w:rPr>
        <w:t>计，则更换废水量约 </w:t>
      </w:r>
      <w:r>
        <w:rPr>
          <w:rFonts w:ascii="Times New Roman" w:hAnsi="Times New Roman" w:eastAsia="Times New Roman"/>
        </w:rPr>
        <w:t>8177.5m³/a</w:t>
      </w:r>
      <w:r>
        <w:rPr/>
        <w:t>（</w:t>
      </w:r>
      <w:r>
        <w:rPr>
          <w:rFonts w:ascii="Times New Roman" w:hAnsi="Times New Roman" w:eastAsia="Times New Roman"/>
        </w:rPr>
        <w:t>22.4m³/d</w:t>
      </w:r>
      <w:r>
        <w:rPr/>
        <w:t>）；</w:t>
      </w:r>
      <w:r>
        <w:rPr>
          <w:spacing w:val="-2"/>
        </w:rPr>
        <w:t>另外，病死猪处理过程还会有冷凝</w:t>
      </w:r>
      <w:r>
        <w:rPr>
          <w:spacing w:val="-8"/>
        </w:rPr>
        <w:t>水排出，排出量按处理量的 </w:t>
      </w:r>
      <w:r>
        <w:rPr>
          <w:rFonts w:ascii="Times New Roman" w:hAnsi="Times New Roman" w:eastAsia="Times New Roman"/>
        </w:rPr>
        <w:t>10%</w:t>
      </w:r>
      <w:r>
        <w:rPr>
          <w:spacing w:val="-21"/>
        </w:rPr>
        <w:t>计约 </w:t>
      </w:r>
      <w:r>
        <w:rPr>
          <w:rFonts w:ascii="Times New Roman" w:hAnsi="Times New Roman" w:eastAsia="Times New Roman"/>
        </w:rPr>
        <w:t>44.8m³/a</w:t>
      </w:r>
      <w:r>
        <w:rPr/>
        <w:t>（</w:t>
      </w:r>
      <w:r>
        <w:rPr>
          <w:rFonts w:ascii="Times New Roman" w:hAnsi="Times New Roman" w:eastAsia="Times New Roman"/>
        </w:rPr>
        <w:t>0.12m³/d</w:t>
      </w:r>
      <w:r>
        <w:rPr/>
        <w:t>）</w:t>
      </w:r>
      <w:r>
        <w:rPr>
          <w:spacing w:val="-4"/>
        </w:rPr>
        <w:t>。此外，项目猪舍采用</w:t>
      </w:r>
      <w:r>
        <w:rPr>
          <w:rFonts w:ascii="Times New Roman" w:hAnsi="Times New Roman" w:eastAsia="Times New Roman"/>
        </w:rPr>
        <w:t>“</w:t>
      </w:r>
      <w:r>
        <w:rPr/>
        <w:t>喷淋</w:t>
      </w:r>
      <w:r>
        <w:rPr>
          <w:rFonts w:ascii="Times New Roman" w:hAnsi="Times New Roman" w:eastAsia="Times New Roman"/>
        </w:rPr>
        <w:t>+ </w:t>
      </w:r>
      <w:r>
        <w:rPr/>
        <w:t>过滤吸附</w:t>
      </w:r>
      <w:r>
        <w:rPr>
          <w:rFonts w:ascii="Times New Roman" w:hAnsi="Times New Roman" w:eastAsia="Times New Roman"/>
        </w:rPr>
        <w:t>”</w:t>
      </w:r>
      <w:r>
        <w:rPr>
          <w:spacing w:val="-12"/>
        </w:rPr>
        <w:t>的模式处理臭气，其喷淋用水循环使用定期排放，日常需定期补充并添加药剂， </w:t>
      </w:r>
      <w:r>
        <w:rPr/>
        <w:t>排水量按用水量（</w:t>
      </w:r>
      <w:r>
        <w:rPr>
          <w:rFonts w:ascii="Times New Roman" w:hAnsi="Times New Roman" w:eastAsia="Times New Roman"/>
        </w:rPr>
        <w:t>250t/d</w:t>
      </w:r>
      <w:r>
        <w:rPr/>
        <w:t>）</w:t>
      </w:r>
      <w:r>
        <w:rPr>
          <w:spacing w:val="-31"/>
        </w:rPr>
        <w:t>的 </w:t>
      </w:r>
      <w:r>
        <w:rPr>
          <w:rFonts w:ascii="Times New Roman" w:hAnsi="Times New Roman" w:eastAsia="Times New Roman"/>
        </w:rPr>
        <w:t>20%</w:t>
      </w:r>
      <w:r>
        <w:rPr>
          <w:spacing w:val="-20"/>
        </w:rPr>
        <w:t>计约 </w:t>
      </w:r>
      <w:r>
        <w:rPr>
          <w:rFonts w:ascii="Times New Roman" w:hAnsi="Times New Roman" w:eastAsia="Times New Roman"/>
        </w:rPr>
        <w:t>18250.0t/a</w:t>
      </w:r>
      <w:r>
        <w:rPr/>
        <w:t>（</w:t>
      </w:r>
      <w:r>
        <w:rPr>
          <w:rFonts w:ascii="Times New Roman" w:hAnsi="Times New Roman" w:eastAsia="Times New Roman"/>
        </w:rPr>
        <w:t>50.0t/d</w:t>
      </w:r>
      <w:r>
        <w:rPr/>
        <w:t>）。</w:t>
      </w:r>
    </w:p>
    <w:p>
      <w:pPr>
        <w:pStyle w:val="BodyText"/>
        <w:spacing w:line="364" w:lineRule="auto" w:before="5"/>
        <w:ind w:right="249" w:firstLine="480"/>
        <w:jc w:val="both"/>
      </w:pPr>
      <w:r>
        <w:rPr>
          <w:spacing w:val="-1"/>
          <w:position w:val="2"/>
        </w:rPr>
        <w:t>综上，废气处理废水合计约 </w:t>
      </w:r>
      <w:r>
        <w:rPr>
          <w:rFonts w:ascii="Times New Roman" w:hAnsi="Times New Roman" w:eastAsia="Times New Roman"/>
          <w:position w:val="2"/>
        </w:rPr>
        <w:t>26472.3m³/a</w:t>
      </w:r>
      <w:r>
        <w:rPr>
          <w:position w:val="2"/>
        </w:rPr>
        <w:t>（</w:t>
      </w:r>
      <w:r>
        <w:rPr>
          <w:rFonts w:ascii="Times New Roman" w:hAnsi="Times New Roman" w:eastAsia="Times New Roman"/>
          <w:position w:val="2"/>
        </w:rPr>
        <w:t>72.5m³/d</w:t>
      </w:r>
      <w:r>
        <w:rPr>
          <w:position w:val="2"/>
        </w:rPr>
        <w:t>），</w:t>
      </w:r>
      <w:r>
        <w:rPr>
          <w:spacing w:val="-2"/>
          <w:position w:val="2"/>
        </w:rPr>
        <w:t>该股废水中 </w:t>
      </w:r>
      <w:r>
        <w:rPr>
          <w:rFonts w:ascii="Times New Roman" w:hAnsi="Times New Roman" w:eastAsia="Times New Roman"/>
          <w:position w:val="2"/>
        </w:rPr>
        <w:t>COD</w:t>
      </w:r>
      <w:r>
        <w:rPr>
          <w:rFonts w:ascii="Times New Roman" w:hAnsi="Times New Roman" w:eastAsia="Times New Roman"/>
          <w:sz w:val="16"/>
        </w:rPr>
        <w:t>Cr</w:t>
      </w:r>
      <w:r>
        <w:rPr>
          <w:position w:val="2"/>
        </w:rPr>
        <w:t>、氨氮浓</w:t>
      </w:r>
      <w:r>
        <w:rPr>
          <w:spacing w:val="-13"/>
        </w:rPr>
        <w:t>度分别按 </w:t>
      </w:r>
      <w:r>
        <w:rPr>
          <w:rFonts w:ascii="Times New Roman" w:hAnsi="Times New Roman" w:eastAsia="Times New Roman"/>
        </w:rPr>
        <w:t>500mg/L</w:t>
      </w:r>
      <w:r>
        <w:rPr>
          <w:spacing w:val="-12"/>
        </w:rPr>
        <w:t>、</w:t>
      </w:r>
      <w:r>
        <w:rPr>
          <w:rFonts w:ascii="Times New Roman" w:hAnsi="Times New Roman" w:eastAsia="Times New Roman"/>
        </w:rPr>
        <w:t>20mg/L </w:t>
      </w:r>
      <w:r>
        <w:rPr>
          <w:spacing w:val="-9"/>
        </w:rPr>
        <w:t>考虑，则其产生量分别为 </w:t>
      </w:r>
      <w:r>
        <w:rPr>
          <w:rFonts w:ascii="Times New Roman" w:hAnsi="Times New Roman" w:eastAsia="Times New Roman"/>
        </w:rPr>
        <w:t>13.236t/a</w:t>
      </w:r>
      <w:r>
        <w:rPr>
          <w:spacing w:val="-12"/>
        </w:rPr>
        <w:t>、</w:t>
      </w:r>
      <w:r>
        <w:rPr>
          <w:rFonts w:ascii="Times New Roman" w:hAnsi="Times New Roman" w:eastAsia="Times New Roman"/>
        </w:rPr>
        <w:t>0.529t/a</w:t>
      </w:r>
      <w:r>
        <w:rPr/>
        <w:t>，引至自建污水站处理达标后纳管排放。</w:t>
      </w:r>
    </w:p>
    <w:p>
      <w:pPr>
        <w:pStyle w:val="Heading3"/>
        <w:spacing w:before="3"/>
      </w:pPr>
      <w:r>
        <w:rPr>
          <w:rFonts w:ascii="Times New Roman" w:eastAsia="Times New Roman"/>
        </w:rPr>
        <w:t>3</w:t>
      </w:r>
      <w:r>
        <w:rPr/>
        <w:t>、地表初期雨污水（</w:t>
      </w:r>
      <w:r>
        <w:rPr>
          <w:rFonts w:ascii="Times New Roman" w:eastAsia="Times New Roman"/>
        </w:rPr>
        <w:t>W3</w:t>
      </w:r>
      <w:r>
        <w:rPr/>
        <w:t>）</w:t>
      </w:r>
    </w:p>
    <w:p>
      <w:pPr>
        <w:pStyle w:val="BodyText"/>
        <w:spacing w:line="364" w:lineRule="auto" w:before="160"/>
        <w:ind w:right="250" w:firstLine="480"/>
        <w:jc w:val="both"/>
      </w:pPr>
      <w:r>
        <w:rPr/>
        <w:t>项目养殖区、污水处理区、猪粪发酵区可能由于猪粪的撒落、泄露等原因，初期雨</w:t>
      </w:r>
      <w:r>
        <w:rPr>
          <w:spacing w:val="-9"/>
        </w:rPr>
        <w:t>水含有较高的 </w:t>
      </w:r>
      <w:r>
        <w:rPr>
          <w:rFonts w:ascii="Times New Roman" w:eastAsia="Times New Roman"/>
          <w:position w:val="1"/>
        </w:rPr>
        <w:t>COD</w:t>
      </w:r>
      <w:r>
        <w:rPr>
          <w:spacing w:val="-27"/>
        </w:rPr>
        <w:t>、</w:t>
      </w:r>
      <w:r>
        <w:rPr>
          <w:rFonts w:ascii="Times New Roman" w:eastAsia="Times New Roman"/>
          <w:position w:val="1"/>
        </w:rPr>
        <w:t>SS </w:t>
      </w:r>
      <w:r>
        <w:rPr>
          <w:spacing w:val="-9"/>
        </w:rPr>
        <w:t>等，该区域初期雨水不能直接排入周边河道。本环评要求企业在</w:t>
      </w:r>
      <w:r>
        <w:rPr/>
        <w:t>该区域雨水排水系统末端设置初期雨水截留设施，将初期雨水收集接入自建污水处理站处理。本项目初期雨水考虑养殖区、污水处理区、猪粪发酵区周边裸露地面（各建构筑物屋顶雨水要求直接引至雨水排放口），</w:t>
      </w:r>
      <w:r>
        <w:rPr>
          <w:spacing w:val="-11"/>
        </w:rPr>
        <w:t>占地面积约 </w:t>
      </w:r>
      <w:r>
        <w:rPr>
          <w:rFonts w:ascii="Times New Roman" w:eastAsia="Times New Roman"/>
          <w:position w:val="1"/>
        </w:rPr>
        <w:t>0.8hm</w:t>
      </w:r>
      <w:r>
        <w:rPr>
          <w:rFonts w:ascii="Times New Roman" w:eastAsia="Times New Roman"/>
          <w:position w:val="1"/>
          <w:vertAlign w:val="superscript"/>
        </w:rPr>
        <w:t>2</w:t>
      </w:r>
      <w:r>
        <w:rPr>
          <w:vertAlign w:val="baseline"/>
        </w:rPr>
        <w:t>。</w:t>
      </w:r>
    </w:p>
    <w:p>
      <w:pPr>
        <w:pStyle w:val="BodyText"/>
        <w:spacing w:line="364" w:lineRule="auto" w:before="4"/>
        <w:ind w:right="129" w:firstLine="480"/>
      </w:pPr>
      <w:r>
        <w:rPr>
          <w:spacing w:val="4"/>
        </w:rPr>
        <w:t>上述区域初期雨水的发生量按年平均降水量</w:t>
      </w:r>
      <w:r>
        <w:rPr>
          <w:spacing w:val="2"/>
        </w:rPr>
        <w:t>（</w:t>
      </w:r>
      <w:r>
        <w:rPr>
          <w:rFonts w:ascii="Times New Roman" w:hAnsi="Times New Roman" w:eastAsia="Times New Roman"/>
          <w:spacing w:val="2"/>
          <w:position w:val="1"/>
        </w:rPr>
        <w:t>1475.7mm</w:t>
      </w:r>
      <w:r>
        <w:rPr>
          <w:spacing w:val="2"/>
        </w:rPr>
        <w:t>）</w:t>
      </w:r>
      <w:r>
        <w:rPr>
          <w:spacing w:val="4"/>
        </w:rPr>
        <w:t>的 </w:t>
      </w:r>
      <w:r>
        <w:rPr>
          <w:rFonts w:ascii="Times New Roman" w:hAnsi="Times New Roman" w:eastAsia="Times New Roman"/>
          <w:position w:val="1"/>
        </w:rPr>
        <w:t>10%</w:t>
      </w:r>
      <w:r>
        <w:rPr>
          <w:spacing w:val="5"/>
        </w:rPr>
        <w:t>估算</w:t>
      </w:r>
      <w:r>
        <w:rPr>
          <w:spacing w:val="6"/>
        </w:rPr>
        <w:t>（</w:t>
      </w:r>
      <w:r>
        <w:rPr>
          <w:spacing w:val="3"/>
        </w:rPr>
        <w:t>即降雨前</w:t>
      </w:r>
      <w:r>
        <w:rPr>
          <w:rFonts w:ascii="Times New Roman" w:hAnsi="Times New Roman" w:eastAsia="Times New Roman"/>
          <w:spacing w:val="3"/>
          <w:position w:val="2"/>
        </w:rPr>
        <w:t>10min </w:t>
      </w:r>
      <w:r>
        <w:rPr>
          <w:position w:val="2"/>
        </w:rPr>
        <w:t>雨量为初期雨水量</w:t>
      </w:r>
      <w:r>
        <w:rPr>
          <w:spacing w:val="-20"/>
          <w:position w:val="2"/>
        </w:rPr>
        <w:t>），</w:t>
      </w:r>
      <w:r>
        <w:rPr>
          <w:spacing w:val="-8"/>
          <w:position w:val="2"/>
        </w:rPr>
        <w:t>则初期雨水量约 </w:t>
      </w:r>
      <w:r>
        <w:rPr>
          <w:rFonts w:ascii="Times New Roman" w:hAnsi="Times New Roman" w:eastAsia="Times New Roman"/>
          <w:position w:val="2"/>
        </w:rPr>
        <w:t>1180.56m</w:t>
      </w:r>
      <w:r>
        <w:rPr>
          <w:rFonts w:ascii="Times New Roman" w:hAnsi="Times New Roman" w:eastAsia="Times New Roman"/>
          <w:position w:val="11"/>
          <w:sz w:val="16"/>
        </w:rPr>
        <w:t>3</w:t>
      </w:r>
      <w:r>
        <w:rPr>
          <w:rFonts w:ascii="Times New Roman" w:hAnsi="Times New Roman" w:eastAsia="Times New Roman"/>
          <w:position w:val="2"/>
        </w:rPr>
        <w:t>/a</w:t>
      </w:r>
      <w:r>
        <w:rPr>
          <w:spacing w:val="-11"/>
          <w:position w:val="2"/>
        </w:rPr>
        <w:t>。废水中主要污染物为 </w:t>
      </w:r>
      <w:r>
        <w:rPr>
          <w:rFonts w:ascii="Times New Roman" w:hAnsi="Times New Roman" w:eastAsia="Times New Roman"/>
          <w:position w:val="2"/>
        </w:rPr>
        <w:t>COD</w:t>
      </w:r>
      <w:r>
        <w:rPr>
          <w:rFonts w:ascii="Times New Roman" w:hAnsi="Times New Roman" w:eastAsia="Times New Roman"/>
          <w:sz w:val="16"/>
        </w:rPr>
        <w:t>Cr</w:t>
      </w:r>
      <w:r>
        <w:rPr>
          <w:position w:val="2"/>
        </w:rPr>
        <w:t>、</w:t>
      </w:r>
      <w:r>
        <w:rPr>
          <w:spacing w:val="-12"/>
        </w:rPr>
        <w:t>氨氮，浓度分别在 </w:t>
      </w:r>
      <w:r>
        <w:rPr>
          <w:rFonts w:ascii="Times New Roman" w:hAnsi="Times New Roman" w:eastAsia="Times New Roman"/>
          <w:position w:val="1"/>
        </w:rPr>
        <w:t>500mg/L</w:t>
      </w:r>
      <w:r>
        <w:rPr>
          <w:spacing w:val="-27"/>
        </w:rPr>
        <w:t>、</w:t>
      </w:r>
      <w:r>
        <w:rPr>
          <w:rFonts w:ascii="Times New Roman" w:hAnsi="Times New Roman" w:eastAsia="Times New Roman"/>
          <w:position w:val="1"/>
        </w:rPr>
        <w:t>15mg/L </w:t>
      </w:r>
      <w:r>
        <w:rPr>
          <w:spacing w:val="-8"/>
        </w:rPr>
        <w:t>左右。根据《石油化工企业给水排水系统设计规范》</w:t>
      </w:r>
      <w:r>
        <w:rPr>
          <w:spacing w:val="-34"/>
        </w:rPr>
        <w:t>第 </w:t>
      </w:r>
      <w:r>
        <w:rPr>
          <w:rFonts w:ascii="Times New Roman" w:hAnsi="Times New Roman" w:eastAsia="Times New Roman"/>
          <w:position w:val="1"/>
        </w:rPr>
        <w:t>5.3.4 </w:t>
      </w:r>
      <w:r>
        <w:rPr>
          <w:spacing w:val="-3"/>
        </w:rPr>
        <w:t>条规定，一次降雨污染雨水总量可按污染区面积与 </w:t>
      </w:r>
      <w:r>
        <w:rPr>
          <w:rFonts w:ascii="Times New Roman" w:hAnsi="Times New Roman" w:eastAsia="Times New Roman"/>
          <w:position w:val="1"/>
        </w:rPr>
        <w:t>10mm </w:t>
      </w:r>
      <w:r>
        <w:rPr/>
        <w:t>降水深度的乘积计算， </w:t>
      </w:r>
      <w:r>
        <w:rPr>
          <w:spacing w:val="-6"/>
        </w:rPr>
        <w:t>则一次初期雨水量约 </w:t>
      </w:r>
      <w:r>
        <w:rPr>
          <w:rFonts w:ascii="Times New Roman" w:hAnsi="Times New Roman" w:eastAsia="Times New Roman"/>
          <w:position w:val="1"/>
        </w:rPr>
        <w:t>80.00m</w:t>
      </w:r>
      <w:r>
        <w:rPr>
          <w:rFonts w:ascii="Times New Roman" w:hAnsi="Times New Roman" w:eastAsia="Times New Roman"/>
          <w:position w:val="1"/>
          <w:vertAlign w:val="superscript"/>
        </w:rPr>
        <w:t>3</w:t>
      </w:r>
      <w:r>
        <w:rPr>
          <w:spacing w:val="-12"/>
          <w:vertAlign w:val="baseline"/>
        </w:rPr>
        <w:t>。初期雨水排空时间一般要求小于 </w:t>
      </w:r>
      <w:r>
        <w:rPr>
          <w:rFonts w:ascii="Times New Roman" w:hAnsi="Times New Roman" w:eastAsia="Times New Roman"/>
          <w:spacing w:val="-12"/>
          <w:position w:val="1"/>
          <w:vertAlign w:val="baseline"/>
        </w:rPr>
        <w:t>120h</w:t>
      </w:r>
      <w:r>
        <w:rPr>
          <w:spacing w:val="-13"/>
          <w:vertAlign w:val="baseline"/>
        </w:rPr>
        <w:t>，本环评按 </w:t>
      </w:r>
      <w:r>
        <w:rPr>
          <w:rFonts w:ascii="Times New Roman" w:hAnsi="Times New Roman" w:eastAsia="Times New Roman"/>
          <w:position w:val="1"/>
          <w:vertAlign w:val="baseline"/>
        </w:rPr>
        <w:t>5 </w:t>
      </w:r>
      <w:r>
        <w:rPr>
          <w:vertAlign w:val="baseline"/>
        </w:rPr>
        <w:t>天处理</w:t>
      </w:r>
      <w:r>
        <w:rPr>
          <w:spacing w:val="-3"/>
          <w:vertAlign w:val="baseline"/>
        </w:rPr>
        <w:t>完成，则初期雨水处理量考虑 </w:t>
      </w:r>
      <w:r>
        <w:rPr>
          <w:rFonts w:ascii="Times New Roman" w:hAnsi="Times New Roman" w:eastAsia="Times New Roman"/>
          <w:position w:val="1"/>
          <w:vertAlign w:val="baseline"/>
        </w:rPr>
        <w:t>16.00m</w:t>
      </w:r>
      <w:r>
        <w:rPr>
          <w:rFonts w:ascii="Times New Roman" w:hAnsi="Times New Roman" w:eastAsia="Times New Roman"/>
          <w:position w:val="1"/>
          <w:vertAlign w:val="superscript"/>
        </w:rPr>
        <w:t>3</w:t>
      </w:r>
      <w:r>
        <w:rPr>
          <w:rFonts w:ascii="Times New Roman" w:hAnsi="Times New Roman" w:eastAsia="Times New Roman"/>
          <w:position w:val="1"/>
          <w:vertAlign w:val="baseline"/>
        </w:rPr>
        <w:t>/d</w:t>
      </w:r>
      <w:r>
        <w:rPr>
          <w:spacing w:val="-5"/>
          <w:vertAlign w:val="baseline"/>
        </w:rPr>
        <w:t>。初期雨水收集池有效容积按 </w:t>
      </w:r>
      <w:r>
        <w:rPr>
          <w:rFonts w:ascii="Times New Roman" w:hAnsi="Times New Roman" w:eastAsia="Times New Roman"/>
          <w:position w:val="1"/>
          <w:vertAlign w:val="baseline"/>
        </w:rPr>
        <w:t>100m³</w:t>
      </w:r>
      <w:r>
        <w:rPr>
          <w:vertAlign w:val="baseline"/>
        </w:rPr>
        <w:t>设计，废水</w:t>
      </w:r>
    </w:p>
    <w:p>
      <w:pPr>
        <w:spacing w:after="0" w:line="364" w:lineRule="auto"/>
        <w:sectPr>
          <w:pgSz w:w="11910" w:h="16840"/>
          <w:pgMar w:header="874" w:footer="1004" w:top="1400" w:bottom="1200" w:left="1040" w:right="1160"/>
        </w:sectPr>
      </w:pPr>
    </w:p>
    <w:p>
      <w:pPr>
        <w:pStyle w:val="BodyText"/>
        <w:spacing w:before="105"/>
      </w:pPr>
      <w:r>
        <w:rPr/>
        <w:t>处理站的设计规模须考虑初期雨水 </w:t>
      </w:r>
      <w:r>
        <w:rPr>
          <w:rFonts w:ascii="Times New Roman" w:eastAsia="Times New Roman"/>
          <w:position w:val="1"/>
        </w:rPr>
        <w:t>16.00m</w:t>
      </w:r>
      <w:r>
        <w:rPr>
          <w:rFonts w:ascii="Times New Roman" w:eastAsia="Times New Roman"/>
          <w:position w:val="1"/>
          <w:vertAlign w:val="superscript"/>
        </w:rPr>
        <w:t>3</w:t>
      </w:r>
      <w:r>
        <w:rPr>
          <w:rFonts w:ascii="Times New Roman" w:eastAsia="Times New Roman"/>
          <w:position w:val="1"/>
          <w:vertAlign w:val="baseline"/>
        </w:rPr>
        <w:t>/d </w:t>
      </w:r>
      <w:r>
        <w:rPr>
          <w:vertAlign w:val="baseline"/>
        </w:rPr>
        <w:t>的处理量。</w:t>
      </w:r>
    </w:p>
    <w:p>
      <w:pPr>
        <w:pStyle w:val="Heading3"/>
      </w:pPr>
      <w:r>
        <w:rPr>
          <w:rFonts w:ascii="Times New Roman" w:eastAsia="Times New Roman"/>
        </w:rPr>
        <w:t>4</w:t>
      </w:r>
      <w:r>
        <w:rPr/>
        <w:t>、生活污水（</w:t>
      </w:r>
      <w:r>
        <w:rPr>
          <w:rFonts w:ascii="Times New Roman" w:eastAsia="Times New Roman"/>
        </w:rPr>
        <w:t>W4</w:t>
      </w:r>
      <w:r>
        <w:rPr/>
        <w:t>）</w:t>
      </w:r>
    </w:p>
    <w:p>
      <w:pPr>
        <w:pStyle w:val="BodyText"/>
        <w:spacing w:line="364" w:lineRule="auto" w:before="160"/>
        <w:ind w:right="129" w:firstLine="480"/>
      </w:pPr>
      <w:r>
        <w:rPr>
          <w:spacing w:val="-8"/>
        </w:rPr>
        <w:t>本项目劳动定员 </w:t>
      </w:r>
      <w:r>
        <w:rPr>
          <w:rFonts w:ascii="Times New Roman" w:eastAsia="Times New Roman"/>
        </w:rPr>
        <w:t>90 </w:t>
      </w:r>
      <w:r>
        <w:rPr>
          <w:spacing w:val="-14"/>
        </w:rPr>
        <w:t>人，年工作日为 </w:t>
      </w:r>
      <w:r>
        <w:rPr>
          <w:rFonts w:ascii="Times New Roman" w:eastAsia="Times New Roman"/>
        </w:rPr>
        <w:t>365 </w:t>
      </w:r>
      <w:r>
        <w:rPr>
          <w:spacing w:val="-12"/>
        </w:rPr>
        <w:t>天，生活用水量以每人 </w:t>
      </w:r>
      <w:r>
        <w:rPr>
          <w:rFonts w:ascii="Times New Roman" w:eastAsia="Times New Roman"/>
        </w:rPr>
        <w:t>120L/d </w:t>
      </w:r>
      <w:r>
        <w:rPr>
          <w:spacing w:val="-8"/>
        </w:rPr>
        <w:t>计，则生活用</w:t>
      </w:r>
      <w:r>
        <w:rPr>
          <w:spacing w:val="-21"/>
        </w:rPr>
        <w:t>水量为 </w:t>
      </w:r>
      <w:r>
        <w:rPr>
          <w:rFonts w:ascii="Times New Roman" w:eastAsia="Times New Roman"/>
          <w:spacing w:val="-8"/>
        </w:rPr>
        <w:t>3942.00t/a</w:t>
      </w:r>
      <w:r>
        <w:rPr>
          <w:spacing w:val="-8"/>
        </w:rPr>
        <w:t>（</w:t>
      </w:r>
      <w:r>
        <w:rPr>
          <w:rFonts w:ascii="Times New Roman" w:eastAsia="Times New Roman"/>
          <w:spacing w:val="-8"/>
        </w:rPr>
        <w:t>10.8t/d</w:t>
      </w:r>
      <w:r>
        <w:rPr>
          <w:spacing w:val="-8"/>
        </w:rPr>
        <w:t>）</w:t>
      </w:r>
      <w:r>
        <w:rPr>
          <w:spacing w:val="-13"/>
        </w:rPr>
        <w:t>。生活污水排放量以用水量的 </w:t>
      </w:r>
      <w:r>
        <w:rPr>
          <w:rFonts w:ascii="Times New Roman" w:eastAsia="Times New Roman"/>
        </w:rPr>
        <w:t>85%</w:t>
      </w:r>
      <w:r>
        <w:rPr>
          <w:spacing w:val="-20"/>
        </w:rPr>
        <w:t>计为 </w:t>
      </w:r>
      <w:r>
        <w:rPr>
          <w:rFonts w:ascii="Times New Roman" w:eastAsia="Times New Roman"/>
          <w:spacing w:val="-11"/>
        </w:rPr>
        <w:t>3350.70t/a</w:t>
      </w:r>
      <w:r>
        <w:rPr>
          <w:spacing w:val="-11"/>
        </w:rPr>
        <w:t>（</w:t>
      </w:r>
      <w:r>
        <w:rPr>
          <w:rFonts w:ascii="Times New Roman" w:eastAsia="Times New Roman"/>
          <w:spacing w:val="-11"/>
        </w:rPr>
        <w:t>9.18t/d</w:t>
      </w:r>
      <w:r>
        <w:rPr>
          <w:spacing w:val="-11"/>
        </w:rPr>
        <w:t>））</w:t>
      </w:r>
      <w:r>
        <w:rPr>
          <w:spacing w:val="-10"/>
        </w:rPr>
        <w:t>。</w:t>
      </w:r>
      <w:r>
        <w:rPr>
          <w:spacing w:val="10"/>
          <w:position w:val="2"/>
        </w:rPr>
        <w:t>生活污水水质参照一般城镇生活污水水质 </w:t>
      </w:r>
      <w:r>
        <w:rPr>
          <w:rFonts w:ascii="Times New Roman" w:eastAsia="Times New Roman"/>
          <w:position w:val="2"/>
        </w:rPr>
        <w:t>COD</w:t>
      </w:r>
      <w:r>
        <w:rPr>
          <w:rFonts w:ascii="Times New Roman" w:eastAsia="Times New Roman"/>
          <w:sz w:val="16"/>
        </w:rPr>
        <w:t>Cr</w:t>
      </w:r>
      <w:r>
        <w:rPr>
          <w:rFonts w:ascii="Times New Roman" w:eastAsia="Times New Roman"/>
          <w:position w:val="2"/>
        </w:rPr>
        <w:t>350mg/L</w:t>
      </w:r>
      <w:r>
        <w:rPr>
          <w:spacing w:val="15"/>
          <w:position w:val="2"/>
        </w:rPr>
        <w:t>、</w:t>
      </w:r>
      <w:r>
        <w:rPr>
          <w:rFonts w:ascii="Times New Roman" w:eastAsia="Times New Roman"/>
          <w:position w:val="2"/>
        </w:rPr>
        <w:t>NH</w:t>
      </w:r>
      <w:r>
        <w:rPr>
          <w:rFonts w:ascii="Times New Roman" w:eastAsia="Times New Roman"/>
          <w:sz w:val="16"/>
        </w:rPr>
        <w:t>3</w:t>
      </w:r>
      <w:r>
        <w:rPr>
          <w:rFonts w:ascii="Times New Roman" w:eastAsia="Times New Roman"/>
          <w:position w:val="2"/>
        </w:rPr>
        <w:t>-N35mg/L</w:t>
      </w:r>
      <w:r>
        <w:rPr>
          <w:spacing w:val="14"/>
          <w:position w:val="2"/>
        </w:rPr>
        <w:t>、动植物油</w:t>
      </w:r>
      <w:r>
        <w:rPr>
          <w:rFonts w:ascii="Times New Roman" w:eastAsia="Times New Roman"/>
        </w:rPr>
        <w:t>50mg/L</w:t>
      </w:r>
      <w:r>
        <w:rPr>
          <w:spacing w:val="-6"/>
        </w:rPr>
        <w:t>，计算得其产生量分别为 </w:t>
      </w:r>
      <w:r>
        <w:rPr>
          <w:rFonts w:ascii="Times New Roman" w:eastAsia="Times New Roman"/>
        </w:rPr>
        <w:t>1.173t/a</w:t>
      </w:r>
      <w:r>
        <w:rPr/>
        <w:t>、</w:t>
      </w:r>
      <w:r>
        <w:rPr>
          <w:rFonts w:ascii="Times New Roman" w:eastAsia="Times New Roman"/>
        </w:rPr>
        <w:t>0.117t/a </w:t>
      </w:r>
      <w:r>
        <w:rPr>
          <w:spacing w:val="-30"/>
        </w:rPr>
        <w:t>及 </w:t>
      </w:r>
      <w:r>
        <w:rPr>
          <w:rFonts w:ascii="Times New Roman" w:eastAsia="Times New Roman"/>
        </w:rPr>
        <w:t>0.168t/a</w:t>
      </w:r>
      <w:r>
        <w:rPr/>
        <w:t>。</w:t>
      </w:r>
    </w:p>
    <w:p>
      <w:pPr>
        <w:pStyle w:val="Heading3"/>
        <w:spacing w:before="3"/>
      </w:pPr>
      <w:r>
        <w:rPr>
          <w:rFonts w:ascii="Times New Roman" w:eastAsia="Times New Roman"/>
        </w:rPr>
        <w:t>4</w:t>
      </w:r>
      <w:r>
        <w:rPr/>
        <w:t>、废水污染源强汇总</w:t>
      </w:r>
    </w:p>
    <w:p>
      <w:pPr>
        <w:pStyle w:val="ListParagraph"/>
        <w:numPr>
          <w:ilvl w:val="0"/>
          <w:numId w:val="47"/>
        </w:numPr>
        <w:tabs>
          <w:tab w:pos="1323" w:val="left" w:leader="none"/>
        </w:tabs>
        <w:spacing w:line="240" w:lineRule="auto" w:before="160" w:after="0"/>
        <w:ind w:left="1323" w:right="0" w:hanging="604"/>
        <w:jc w:val="left"/>
        <w:rPr>
          <w:b/>
          <w:sz w:val="24"/>
        </w:rPr>
      </w:pPr>
      <w:r>
        <w:rPr>
          <w:b/>
          <w:sz w:val="24"/>
        </w:rPr>
        <w:t>废水污染源强汇总</w:t>
      </w:r>
    </w:p>
    <w:p>
      <w:pPr>
        <w:pStyle w:val="BodyText"/>
        <w:spacing w:line="367" w:lineRule="auto" w:before="158"/>
        <w:ind w:right="129" w:firstLine="480"/>
      </w:pPr>
      <w:r>
        <w:rPr>
          <w:spacing w:val="-5"/>
          <w:position w:val="2"/>
        </w:rPr>
        <w:t>综上，本项目废水产生量约 </w:t>
      </w:r>
      <w:r>
        <w:rPr>
          <w:rFonts w:ascii="Times New Roman" w:hAnsi="Times New Roman" w:eastAsia="Times New Roman"/>
          <w:position w:val="2"/>
        </w:rPr>
        <w:t>133337.42t/a</w:t>
      </w:r>
      <w:r>
        <w:rPr>
          <w:position w:val="2"/>
        </w:rPr>
        <w:t>（</w:t>
      </w:r>
      <w:r>
        <w:rPr>
          <w:spacing w:val="-16"/>
          <w:position w:val="2"/>
        </w:rPr>
        <w:t>日最大 </w:t>
      </w:r>
      <w:r>
        <w:rPr>
          <w:rFonts w:ascii="Times New Roman" w:hAnsi="Times New Roman" w:eastAsia="Times New Roman"/>
          <w:position w:val="2"/>
        </w:rPr>
        <w:t>554.47t/d·</w:t>
      </w:r>
      <w:r>
        <w:rPr>
          <w:position w:val="2"/>
        </w:rPr>
        <w:t>夏季），</w:t>
      </w:r>
      <w:r>
        <w:rPr>
          <w:rFonts w:ascii="Times New Roman" w:hAnsi="Times New Roman" w:eastAsia="Times New Roman"/>
          <w:position w:val="2"/>
        </w:rPr>
        <w:t>COD</w:t>
      </w:r>
      <w:r>
        <w:rPr>
          <w:rFonts w:ascii="Times New Roman" w:hAnsi="Times New Roman" w:eastAsia="Times New Roman"/>
          <w:sz w:val="16"/>
        </w:rPr>
        <w:t>Cr</w:t>
      </w:r>
      <w:r>
        <w:rPr>
          <w:position w:val="2"/>
        </w:rPr>
        <w:t>、氨氮、</w:t>
      </w:r>
      <w:r>
        <w:rPr>
          <w:spacing w:val="-10"/>
        </w:rPr>
        <w:t>总氮、总磷产生量分别约 </w:t>
      </w:r>
      <w:r>
        <w:rPr>
          <w:rFonts w:ascii="Times New Roman" w:hAnsi="Times New Roman" w:eastAsia="Times New Roman"/>
          <w:position w:val="1"/>
        </w:rPr>
        <w:t>285.160t/a</w:t>
      </w:r>
      <w:r>
        <w:rPr>
          <w:spacing w:val="-22"/>
        </w:rPr>
        <w:t>、</w:t>
      </w:r>
      <w:r>
        <w:rPr>
          <w:rFonts w:ascii="Times New Roman" w:hAnsi="Times New Roman" w:eastAsia="Times New Roman"/>
          <w:position w:val="1"/>
        </w:rPr>
        <w:t>27.373t/a</w:t>
      </w:r>
      <w:r>
        <w:rPr>
          <w:spacing w:val="-22"/>
        </w:rPr>
        <w:t>、</w:t>
      </w:r>
      <w:r>
        <w:rPr>
          <w:rFonts w:ascii="Times New Roman" w:hAnsi="Times New Roman" w:eastAsia="Times New Roman"/>
          <w:position w:val="1"/>
        </w:rPr>
        <w:t>37.864t/a</w:t>
      </w:r>
      <w:r>
        <w:rPr>
          <w:rFonts w:ascii="Times New Roman" w:hAnsi="Times New Roman" w:eastAsia="Times New Roman"/>
          <w:spacing w:val="-2"/>
          <w:position w:val="1"/>
        </w:rPr>
        <w:t> </w:t>
      </w:r>
      <w:r>
        <w:rPr>
          <w:spacing w:val="-30"/>
        </w:rPr>
        <w:t>及 </w:t>
      </w:r>
      <w:r>
        <w:rPr>
          <w:rFonts w:ascii="Times New Roman" w:hAnsi="Times New Roman" w:eastAsia="Times New Roman"/>
          <w:position w:val="1"/>
        </w:rPr>
        <w:t>4.452t/a</w:t>
      </w:r>
      <w:r>
        <w:rPr>
          <w:spacing w:val="-5"/>
        </w:rPr>
        <w:t>。统一接入自建污水</w:t>
      </w:r>
      <w:r>
        <w:rPr>
          <w:spacing w:val="-4"/>
        </w:rPr>
        <w:t>处理站处理达《污水综合排放标准》</w:t>
      </w:r>
      <w:r>
        <w:rPr/>
        <w:t>（</w:t>
      </w:r>
      <w:r>
        <w:rPr>
          <w:rFonts w:ascii="Times New Roman" w:hAnsi="Times New Roman" w:eastAsia="Times New Roman"/>
          <w:position w:val="1"/>
        </w:rPr>
        <w:t>GB</w:t>
      </w:r>
      <w:r>
        <w:rPr>
          <w:rFonts w:ascii="Times New Roman" w:hAnsi="Times New Roman" w:eastAsia="Times New Roman"/>
          <w:spacing w:val="16"/>
          <w:position w:val="1"/>
        </w:rPr>
        <w:t> </w:t>
      </w:r>
      <w:r>
        <w:rPr>
          <w:rFonts w:ascii="Times New Roman" w:hAnsi="Times New Roman" w:eastAsia="Times New Roman"/>
          <w:position w:val="1"/>
        </w:rPr>
        <w:t>8978-1996</w:t>
      </w:r>
      <w:r>
        <w:rPr/>
        <w:t>）三级标准后纳入市政污水管网， </w:t>
      </w:r>
      <w:r>
        <w:rPr>
          <w:spacing w:val="-7"/>
        </w:rPr>
        <w:t>最终进入绍兴市污水处理厂处理达《城镇污水处理厂污染物排放标准》</w:t>
      </w:r>
      <w:r>
        <w:rPr/>
        <w:t>（</w:t>
      </w:r>
      <w:r>
        <w:rPr>
          <w:rFonts w:ascii="Times New Roman" w:hAnsi="Times New Roman" w:eastAsia="Times New Roman"/>
          <w:position w:val="1"/>
        </w:rPr>
        <w:t>GB</w:t>
      </w:r>
      <w:r>
        <w:rPr>
          <w:rFonts w:ascii="Times New Roman" w:hAnsi="Times New Roman" w:eastAsia="Times New Roman"/>
          <w:spacing w:val="12"/>
          <w:position w:val="1"/>
        </w:rPr>
        <w:t> </w:t>
      </w:r>
      <w:r>
        <w:rPr>
          <w:rFonts w:ascii="Times New Roman" w:hAnsi="Times New Roman" w:eastAsia="Times New Roman"/>
          <w:spacing w:val="-3"/>
          <w:position w:val="1"/>
        </w:rPr>
        <w:t>18918-2002</w:t>
      </w:r>
      <w:r>
        <w:rPr>
          <w:spacing w:val="-3"/>
        </w:rPr>
        <w:t>） </w:t>
      </w:r>
      <w:r>
        <w:rPr>
          <w:spacing w:val="-21"/>
          <w:position w:val="2"/>
        </w:rPr>
        <w:t>一级 </w:t>
      </w:r>
      <w:r>
        <w:rPr>
          <w:rFonts w:ascii="Times New Roman" w:hAnsi="Times New Roman" w:eastAsia="Times New Roman"/>
          <w:position w:val="2"/>
        </w:rPr>
        <w:t>A</w:t>
      </w:r>
      <w:r>
        <w:rPr>
          <w:rFonts w:ascii="Times New Roman" w:hAnsi="Times New Roman" w:eastAsia="Times New Roman"/>
          <w:spacing w:val="-2"/>
          <w:position w:val="2"/>
        </w:rPr>
        <w:t> </w:t>
      </w:r>
      <w:r>
        <w:rPr>
          <w:spacing w:val="-18"/>
          <w:position w:val="2"/>
        </w:rPr>
        <w:t>标后排入环境。则本项目最终纳管排放量为：废水量 </w:t>
      </w:r>
      <w:r>
        <w:rPr>
          <w:rFonts w:ascii="Times New Roman" w:hAnsi="Times New Roman" w:eastAsia="Times New Roman"/>
          <w:position w:val="2"/>
        </w:rPr>
        <w:t>133337.42t/a</w:t>
      </w:r>
      <w:r>
        <w:rPr>
          <w:spacing w:val="-108"/>
          <w:position w:val="2"/>
        </w:rPr>
        <w:t>、</w:t>
      </w:r>
      <w:r>
        <w:rPr>
          <w:rFonts w:ascii="Times New Roman" w:hAnsi="Times New Roman" w:eastAsia="Times New Roman"/>
          <w:position w:val="2"/>
        </w:rPr>
        <w:t>COD</w:t>
      </w:r>
      <w:r>
        <w:rPr>
          <w:rFonts w:ascii="Times New Roman" w:hAnsi="Times New Roman" w:eastAsia="Times New Roman"/>
          <w:sz w:val="16"/>
        </w:rPr>
        <w:t>Cr</w:t>
      </w:r>
      <w:r>
        <w:rPr>
          <w:rFonts w:ascii="Times New Roman" w:hAnsi="Times New Roman" w:eastAsia="Times New Roman"/>
          <w:position w:val="2"/>
        </w:rPr>
        <w:t>66.669t/a</w:t>
      </w:r>
      <w:r>
        <w:rPr>
          <w:spacing w:val="-11"/>
          <w:position w:val="2"/>
        </w:rPr>
        <w:t>、</w:t>
      </w:r>
      <w:r>
        <w:rPr>
          <w:spacing w:val="-13"/>
        </w:rPr>
        <w:t>氨氮 </w:t>
      </w:r>
      <w:r>
        <w:rPr>
          <w:rFonts w:ascii="Times New Roman" w:hAnsi="Times New Roman" w:eastAsia="Times New Roman"/>
          <w:position w:val="1"/>
        </w:rPr>
        <w:t>9.334t/a</w:t>
      </w:r>
      <w:r>
        <w:rPr>
          <w:spacing w:val="-10"/>
        </w:rPr>
        <w:t>、总氮 </w:t>
      </w:r>
      <w:r>
        <w:rPr>
          <w:rFonts w:ascii="Times New Roman" w:hAnsi="Times New Roman" w:eastAsia="Times New Roman"/>
          <w:position w:val="1"/>
        </w:rPr>
        <w:t>9.334t/a</w:t>
      </w:r>
      <w:r>
        <w:rPr>
          <w:spacing w:val="-10"/>
        </w:rPr>
        <w:t>、总磷 </w:t>
      </w:r>
      <w:r>
        <w:rPr>
          <w:rFonts w:ascii="Times New Roman" w:hAnsi="Times New Roman" w:eastAsia="Times New Roman"/>
          <w:position w:val="1"/>
        </w:rPr>
        <w:t>0.933t/a</w:t>
      </w:r>
      <w:r>
        <w:rPr>
          <w:spacing w:val="-3"/>
        </w:rPr>
        <w:t>；最终环境排放量为：废水量 </w:t>
      </w:r>
      <w:r>
        <w:rPr>
          <w:rFonts w:ascii="Times New Roman" w:hAnsi="Times New Roman" w:eastAsia="Times New Roman"/>
          <w:position w:val="1"/>
        </w:rPr>
        <w:t>133337.42t/a</w:t>
      </w:r>
      <w:r>
        <w:rPr/>
        <w:t>、</w:t>
      </w:r>
      <w:r>
        <w:rPr>
          <w:rFonts w:ascii="Times New Roman" w:hAnsi="Times New Roman" w:eastAsia="Times New Roman"/>
        </w:rPr>
        <w:t>COD</w:t>
      </w:r>
      <w:r>
        <w:rPr>
          <w:rFonts w:ascii="Times New Roman" w:hAnsi="Times New Roman" w:eastAsia="Times New Roman"/>
          <w:vertAlign w:val="subscript"/>
        </w:rPr>
        <w:t>Cr</w:t>
      </w:r>
      <w:r>
        <w:rPr>
          <w:rFonts w:ascii="Times New Roman" w:hAnsi="Times New Roman" w:eastAsia="Times New Roman"/>
          <w:vertAlign w:val="baseline"/>
        </w:rPr>
        <w:t>6.667t/a</w:t>
      </w:r>
      <w:r>
        <w:rPr>
          <w:spacing w:val="-16"/>
          <w:position w:val="0"/>
          <w:vertAlign w:val="baseline"/>
        </w:rPr>
        <w:t>、氨氮 </w:t>
      </w:r>
      <w:r>
        <w:rPr>
          <w:rFonts w:ascii="Times New Roman" w:hAnsi="Times New Roman" w:eastAsia="Times New Roman"/>
          <w:vertAlign w:val="baseline"/>
        </w:rPr>
        <w:t>0.667t/a</w:t>
      </w:r>
      <w:r>
        <w:rPr>
          <w:spacing w:val="-15"/>
          <w:position w:val="0"/>
          <w:vertAlign w:val="baseline"/>
        </w:rPr>
        <w:t>、总氮 </w:t>
      </w:r>
      <w:r>
        <w:rPr>
          <w:rFonts w:ascii="Times New Roman" w:hAnsi="Times New Roman" w:eastAsia="Times New Roman"/>
          <w:vertAlign w:val="baseline"/>
        </w:rPr>
        <w:t>2.000t/a</w:t>
      </w:r>
      <w:r>
        <w:rPr>
          <w:spacing w:val="-15"/>
          <w:position w:val="0"/>
          <w:vertAlign w:val="baseline"/>
        </w:rPr>
        <w:t>、总磷 </w:t>
      </w:r>
      <w:r>
        <w:rPr>
          <w:rFonts w:ascii="Times New Roman" w:hAnsi="Times New Roman" w:eastAsia="Times New Roman"/>
          <w:vertAlign w:val="baseline"/>
        </w:rPr>
        <w:t>0.067t/a</w:t>
      </w:r>
      <w:r>
        <w:rPr>
          <w:position w:val="0"/>
          <w:vertAlign w:val="baseline"/>
        </w:rPr>
        <w:t>。</w:t>
      </w:r>
    </w:p>
    <w:p>
      <w:pPr>
        <w:pStyle w:val="Heading3"/>
        <w:spacing w:line="239" w:lineRule="exact" w:before="0" w:after="24"/>
        <w:ind w:left="225" w:right="236"/>
        <w:jc w:val="center"/>
        <w:rPr>
          <w:rFonts w:ascii="Times New Roman" w:eastAsia="Times New Roman"/>
        </w:rPr>
      </w:pPr>
      <w:r>
        <w:rPr/>
        <w:t>表 </w:t>
      </w:r>
      <w:r>
        <w:rPr>
          <w:rFonts w:ascii="Times New Roman" w:eastAsia="Times New Roman"/>
        </w:rPr>
        <w:t>3.3-4  </w:t>
      </w:r>
      <w:r>
        <w:rPr/>
        <w:t>本项目废水污染源强汇总 单位 </w:t>
      </w:r>
      <w:r>
        <w:rPr>
          <w:rFonts w:ascii="Times New Roman" w:eastAsia="Times New Roman"/>
        </w:rPr>
        <w:t>t/a</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42"/>
        <w:gridCol w:w="1604"/>
        <w:gridCol w:w="1277"/>
        <w:gridCol w:w="1277"/>
        <w:gridCol w:w="1277"/>
        <w:gridCol w:w="2654"/>
      </w:tblGrid>
      <w:tr>
        <w:trPr>
          <w:trHeight w:val="359" w:hRule="atLeast"/>
        </w:trPr>
        <w:tc>
          <w:tcPr>
            <w:tcW w:w="1342" w:type="dxa"/>
            <w:tcBorders>
              <w:bottom w:val="single" w:sz="6" w:space="0" w:color="000000"/>
              <w:right w:val="single" w:sz="6" w:space="0" w:color="000000"/>
            </w:tcBorders>
          </w:tcPr>
          <w:p>
            <w:pPr>
              <w:pStyle w:val="TableParagraph"/>
              <w:spacing w:before="48"/>
              <w:ind w:left="249"/>
              <w:jc w:val="left"/>
              <w:rPr>
                <w:rFonts w:ascii="宋体" w:eastAsia="宋体" w:hint="eastAsia"/>
                <w:b/>
                <w:sz w:val="21"/>
              </w:rPr>
            </w:pPr>
            <w:r>
              <w:rPr>
                <w:rFonts w:ascii="宋体" w:eastAsia="宋体" w:hint="eastAsia"/>
                <w:b/>
                <w:sz w:val="21"/>
              </w:rPr>
              <w:t>废水种类</w:t>
            </w:r>
          </w:p>
        </w:tc>
        <w:tc>
          <w:tcPr>
            <w:tcW w:w="1604" w:type="dxa"/>
            <w:tcBorders>
              <w:left w:val="single" w:sz="6" w:space="0" w:color="000000"/>
              <w:bottom w:val="single" w:sz="6" w:space="0" w:color="000000"/>
              <w:right w:val="single" w:sz="6" w:space="0" w:color="000000"/>
            </w:tcBorders>
          </w:tcPr>
          <w:p>
            <w:pPr>
              <w:pStyle w:val="TableParagraph"/>
              <w:spacing w:before="48"/>
              <w:ind w:left="258" w:right="236"/>
              <w:rPr>
                <w:rFonts w:ascii="宋体" w:eastAsia="宋体" w:hint="eastAsia"/>
                <w:b/>
                <w:sz w:val="21"/>
              </w:rPr>
            </w:pPr>
            <w:r>
              <w:rPr>
                <w:rFonts w:ascii="宋体" w:eastAsia="宋体" w:hint="eastAsia"/>
                <w:b/>
                <w:sz w:val="21"/>
              </w:rPr>
              <w:t>污染物名称</w:t>
            </w:r>
          </w:p>
        </w:tc>
        <w:tc>
          <w:tcPr>
            <w:tcW w:w="1277" w:type="dxa"/>
            <w:tcBorders>
              <w:left w:val="single" w:sz="6" w:space="0" w:color="000000"/>
              <w:bottom w:val="single" w:sz="6" w:space="0" w:color="000000"/>
              <w:right w:val="single" w:sz="6" w:space="0" w:color="000000"/>
            </w:tcBorders>
          </w:tcPr>
          <w:p>
            <w:pPr>
              <w:pStyle w:val="TableParagraph"/>
              <w:spacing w:before="48"/>
              <w:ind w:left="95" w:right="73"/>
              <w:rPr>
                <w:rFonts w:ascii="宋体" w:eastAsia="宋体" w:hint="eastAsia"/>
                <w:b/>
                <w:sz w:val="21"/>
              </w:rPr>
            </w:pPr>
            <w:r>
              <w:rPr>
                <w:rFonts w:ascii="宋体" w:eastAsia="宋体" w:hint="eastAsia"/>
                <w:b/>
                <w:sz w:val="21"/>
              </w:rPr>
              <w:t>产生量</w:t>
            </w:r>
          </w:p>
        </w:tc>
        <w:tc>
          <w:tcPr>
            <w:tcW w:w="1277" w:type="dxa"/>
            <w:tcBorders>
              <w:left w:val="single" w:sz="6" w:space="0" w:color="000000"/>
              <w:bottom w:val="single" w:sz="6" w:space="0" w:color="000000"/>
              <w:right w:val="single" w:sz="6" w:space="0" w:color="000000"/>
            </w:tcBorders>
          </w:tcPr>
          <w:p>
            <w:pPr>
              <w:pStyle w:val="TableParagraph"/>
              <w:spacing w:before="48"/>
              <w:ind w:left="95" w:right="73"/>
              <w:rPr>
                <w:rFonts w:ascii="宋体" w:eastAsia="宋体" w:hint="eastAsia"/>
                <w:b/>
                <w:sz w:val="21"/>
              </w:rPr>
            </w:pPr>
            <w:r>
              <w:rPr>
                <w:rFonts w:ascii="宋体" w:eastAsia="宋体" w:hint="eastAsia"/>
                <w:b/>
                <w:sz w:val="21"/>
              </w:rPr>
              <w:t>削减量</w:t>
            </w:r>
          </w:p>
        </w:tc>
        <w:tc>
          <w:tcPr>
            <w:tcW w:w="1277" w:type="dxa"/>
            <w:tcBorders>
              <w:left w:val="single" w:sz="6" w:space="0" w:color="000000"/>
              <w:bottom w:val="single" w:sz="6" w:space="0" w:color="000000"/>
              <w:right w:val="single" w:sz="6" w:space="0" w:color="000000"/>
            </w:tcBorders>
          </w:tcPr>
          <w:p>
            <w:pPr>
              <w:pStyle w:val="TableParagraph"/>
              <w:spacing w:before="48"/>
              <w:ind w:left="98" w:right="71"/>
              <w:rPr>
                <w:rFonts w:ascii="宋体" w:eastAsia="宋体" w:hint="eastAsia"/>
                <w:b/>
                <w:sz w:val="21"/>
              </w:rPr>
            </w:pPr>
            <w:r>
              <w:rPr>
                <w:rFonts w:ascii="宋体" w:eastAsia="宋体" w:hint="eastAsia"/>
                <w:b/>
                <w:sz w:val="21"/>
              </w:rPr>
              <w:t>排放量</w:t>
            </w:r>
          </w:p>
        </w:tc>
        <w:tc>
          <w:tcPr>
            <w:tcW w:w="2654" w:type="dxa"/>
            <w:tcBorders>
              <w:left w:val="single" w:sz="6" w:space="0" w:color="000000"/>
              <w:bottom w:val="single" w:sz="6" w:space="0" w:color="000000"/>
            </w:tcBorders>
          </w:tcPr>
          <w:p>
            <w:pPr>
              <w:pStyle w:val="TableParagraph"/>
              <w:spacing w:before="48"/>
              <w:ind w:left="911"/>
              <w:jc w:val="left"/>
              <w:rPr>
                <w:rFonts w:ascii="宋体" w:eastAsia="宋体" w:hint="eastAsia"/>
                <w:b/>
                <w:sz w:val="21"/>
              </w:rPr>
            </w:pPr>
            <w:r>
              <w:rPr>
                <w:rFonts w:ascii="宋体" w:eastAsia="宋体" w:hint="eastAsia"/>
                <w:b/>
                <w:sz w:val="21"/>
              </w:rPr>
              <w:t>排放去向</w:t>
            </w:r>
          </w:p>
        </w:tc>
      </w:tr>
      <w:tr>
        <w:trPr>
          <w:trHeight w:val="351" w:hRule="atLeast"/>
        </w:trPr>
        <w:tc>
          <w:tcPr>
            <w:tcW w:w="1342" w:type="dxa"/>
            <w:vMerge w:val="restart"/>
            <w:tcBorders>
              <w:top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9"/>
              </w:rPr>
            </w:pPr>
          </w:p>
          <w:p>
            <w:pPr>
              <w:pStyle w:val="TableParagraph"/>
              <w:spacing w:before="1"/>
              <w:ind w:left="249"/>
              <w:jc w:val="left"/>
              <w:rPr>
                <w:rFonts w:ascii="宋体" w:eastAsia="宋体" w:hint="eastAsia"/>
                <w:sz w:val="21"/>
              </w:rPr>
            </w:pPr>
            <w:r>
              <w:rPr>
                <w:rFonts w:ascii="宋体" w:eastAsia="宋体" w:hint="eastAsia"/>
                <w:sz w:val="21"/>
              </w:rPr>
              <w:t>废水总量</w:t>
            </w: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9"/>
              <w:ind w:left="258" w:right="234"/>
              <w:rPr>
                <w:rFonts w:ascii="宋体" w:eastAsia="宋体" w:hint="eastAsia"/>
                <w:sz w:val="21"/>
              </w:rPr>
            </w:pPr>
            <w:r>
              <w:rPr>
                <w:rFonts w:ascii="宋体" w:eastAsia="宋体" w:hint="eastAsia"/>
                <w:sz w:val="21"/>
              </w:rPr>
              <w:t>废水总量</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0"/>
              <w:ind w:left="97" w:right="73"/>
              <w:rPr>
                <w:sz w:val="21"/>
              </w:rPr>
            </w:pPr>
            <w:r>
              <w:rPr>
                <w:sz w:val="21"/>
              </w:rPr>
              <w:t>133337.42</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0"/>
              <w:ind w:left="22"/>
              <w:rPr>
                <w:sz w:val="21"/>
              </w:rPr>
            </w:pPr>
            <w:r>
              <w:rPr>
                <w:w w:val="100"/>
                <w:sz w:val="21"/>
              </w:rPr>
              <w:t>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60"/>
              <w:ind w:left="98" w:right="69"/>
              <w:rPr>
                <w:sz w:val="21"/>
              </w:rPr>
            </w:pPr>
            <w:r>
              <w:rPr>
                <w:sz w:val="21"/>
              </w:rPr>
              <w:t>133337.42</w:t>
            </w:r>
          </w:p>
        </w:tc>
        <w:tc>
          <w:tcPr>
            <w:tcW w:w="2654" w:type="dxa"/>
            <w:vMerge w:val="restart"/>
            <w:tcBorders>
              <w:top w:val="single" w:sz="6" w:space="0" w:color="000000"/>
              <w:lef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line="321" w:lineRule="auto" w:before="155"/>
              <w:ind w:left="282" w:right="138" w:hanging="106"/>
              <w:jc w:val="left"/>
              <w:rPr>
                <w:rFonts w:ascii="宋体" w:eastAsia="宋体" w:hint="eastAsia"/>
                <w:sz w:val="21"/>
              </w:rPr>
            </w:pPr>
            <w:r>
              <w:rPr>
                <w:rFonts w:ascii="宋体" w:eastAsia="宋体" w:hint="eastAsia"/>
                <w:sz w:val="21"/>
              </w:rPr>
              <w:t>经自建污水处理站处理达标后纳入市政污水管网</w:t>
            </w:r>
          </w:p>
        </w:tc>
      </w:tr>
      <w:tr>
        <w:trPr>
          <w:trHeight w:val="344" w:hRule="atLeast"/>
        </w:trPr>
        <w:tc>
          <w:tcPr>
            <w:tcW w:w="1342" w:type="dxa"/>
            <w:vMerge/>
            <w:tcBorders>
              <w:top w:val="nil"/>
              <w:right w:val="single" w:sz="6" w:space="0" w:color="000000"/>
            </w:tcBorders>
          </w:tcPr>
          <w:p>
            <w:pPr>
              <w:rPr>
                <w:sz w:val="2"/>
                <w:szCs w:val="2"/>
              </w:rPr>
            </w:pP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9"/>
              <w:ind w:left="258" w:right="234"/>
              <w:rPr>
                <w:sz w:val="14"/>
              </w:rPr>
            </w:pPr>
            <w:r>
              <w:rPr>
                <w:position w:val="2"/>
                <w:sz w:val="21"/>
              </w:rPr>
              <w:t>COD</w:t>
            </w:r>
            <w:r>
              <w:rPr>
                <w:sz w:val="14"/>
              </w:rPr>
              <w:t>Cr</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7" w:right="73"/>
              <w:rPr>
                <w:sz w:val="21"/>
              </w:rPr>
            </w:pPr>
            <w:r>
              <w:rPr>
                <w:sz w:val="21"/>
              </w:rPr>
              <w:t>285.160</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8" w:right="73"/>
              <w:rPr>
                <w:sz w:val="21"/>
              </w:rPr>
            </w:pPr>
            <w:r>
              <w:rPr>
                <w:sz w:val="21"/>
              </w:rPr>
              <w:t>278.494</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8" w:right="71"/>
              <w:rPr>
                <w:sz w:val="21"/>
              </w:rPr>
            </w:pPr>
            <w:r>
              <w:rPr>
                <w:sz w:val="21"/>
              </w:rPr>
              <w:t>6.667</w:t>
            </w:r>
          </w:p>
        </w:tc>
        <w:tc>
          <w:tcPr>
            <w:tcW w:w="2654" w:type="dxa"/>
            <w:vMerge/>
            <w:tcBorders>
              <w:top w:val="nil"/>
              <w:left w:val="single" w:sz="6" w:space="0" w:color="000000"/>
            </w:tcBorders>
          </w:tcPr>
          <w:p>
            <w:pPr>
              <w:rPr>
                <w:sz w:val="2"/>
                <w:szCs w:val="2"/>
              </w:rPr>
            </w:pPr>
          </w:p>
        </w:tc>
      </w:tr>
      <w:tr>
        <w:trPr>
          <w:trHeight w:val="344" w:hRule="atLeast"/>
        </w:trPr>
        <w:tc>
          <w:tcPr>
            <w:tcW w:w="1342" w:type="dxa"/>
            <w:vMerge/>
            <w:tcBorders>
              <w:top w:val="nil"/>
              <w:right w:val="single" w:sz="6" w:space="0" w:color="000000"/>
            </w:tcBorders>
          </w:tcPr>
          <w:p>
            <w:pPr>
              <w:rPr>
                <w:sz w:val="2"/>
                <w:szCs w:val="2"/>
              </w:rPr>
            </w:pP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49"/>
              <w:ind w:left="258" w:right="234"/>
              <w:rPr>
                <w:sz w:val="21"/>
              </w:rPr>
            </w:pPr>
            <w:r>
              <w:rPr>
                <w:position w:val="2"/>
                <w:sz w:val="21"/>
              </w:rPr>
              <w:t>NH</w:t>
            </w:r>
            <w:r>
              <w:rPr>
                <w:sz w:val="14"/>
              </w:rPr>
              <w:t>3</w:t>
            </w:r>
            <w:r>
              <w:rPr>
                <w:position w:val="2"/>
                <w:sz w:val="21"/>
              </w:rPr>
              <w:t>-N</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5" w:right="73"/>
              <w:rPr>
                <w:sz w:val="21"/>
              </w:rPr>
            </w:pPr>
            <w:r>
              <w:rPr>
                <w:sz w:val="21"/>
              </w:rPr>
              <w:t>27.373</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5" w:right="73"/>
              <w:rPr>
                <w:sz w:val="21"/>
              </w:rPr>
            </w:pPr>
            <w:r>
              <w:rPr>
                <w:sz w:val="21"/>
              </w:rPr>
              <w:t>26.706</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8" w:right="71"/>
              <w:rPr>
                <w:sz w:val="21"/>
              </w:rPr>
            </w:pPr>
            <w:r>
              <w:rPr>
                <w:sz w:val="21"/>
              </w:rPr>
              <w:t>0.667</w:t>
            </w:r>
          </w:p>
        </w:tc>
        <w:tc>
          <w:tcPr>
            <w:tcW w:w="2654" w:type="dxa"/>
            <w:vMerge/>
            <w:tcBorders>
              <w:top w:val="nil"/>
              <w:left w:val="single" w:sz="6" w:space="0" w:color="000000"/>
            </w:tcBorders>
          </w:tcPr>
          <w:p>
            <w:pPr>
              <w:rPr>
                <w:sz w:val="2"/>
                <w:szCs w:val="2"/>
              </w:rPr>
            </w:pPr>
          </w:p>
        </w:tc>
      </w:tr>
      <w:tr>
        <w:trPr>
          <w:trHeight w:val="341" w:hRule="atLeast"/>
        </w:trPr>
        <w:tc>
          <w:tcPr>
            <w:tcW w:w="1342" w:type="dxa"/>
            <w:vMerge/>
            <w:tcBorders>
              <w:top w:val="nil"/>
              <w:right w:val="single" w:sz="6" w:space="0" w:color="000000"/>
            </w:tcBorders>
          </w:tcPr>
          <w:p>
            <w:pPr>
              <w:rPr>
                <w:sz w:val="2"/>
                <w:szCs w:val="2"/>
              </w:rPr>
            </w:pPr>
          </w:p>
        </w:tc>
        <w:tc>
          <w:tcPr>
            <w:tcW w:w="1604" w:type="dxa"/>
            <w:tcBorders>
              <w:top w:val="single" w:sz="6" w:space="0" w:color="000000"/>
              <w:left w:val="single" w:sz="6" w:space="0" w:color="000000"/>
              <w:bottom w:val="single" w:sz="6" w:space="0" w:color="000000"/>
              <w:right w:val="single" w:sz="6" w:space="0" w:color="000000"/>
            </w:tcBorders>
          </w:tcPr>
          <w:p>
            <w:pPr>
              <w:pStyle w:val="TableParagraph"/>
              <w:spacing w:before="50"/>
              <w:ind w:left="257" w:right="236"/>
              <w:rPr>
                <w:sz w:val="21"/>
              </w:rPr>
            </w:pPr>
            <w:r>
              <w:rPr>
                <w:sz w:val="21"/>
              </w:rPr>
              <w:t>TN</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5" w:right="73"/>
              <w:rPr>
                <w:sz w:val="21"/>
              </w:rPr>
            </w:pPr>
            <w:r>
              <w:rPr>
                <w:sz w:val="21"/>
              </w:rPr>
              <w:t>37.864</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5" w:right="73"/>
              <w:rPr>
                <w:sz w:val="21"/>
              </w:rPr>
            </w:pPr>
            <w:r>
              <w:rPr>
                <w:sz w:val="21"/>
              </w:rPr>
              <w:t>35.863</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50"/>
              <w:ind w:left="98" w:right="71"/>
              <w:rPr>
                <w:sz w:val="21"/>
              </w:rPr>
            </w:pPr>
            <w:r>
              <w:rPr>
                <w:sz w:val="21"/>
              </w:rPr>
              <w:t>2.000</w:t>
            </w:r>
          </w:p>
        </w:tc>
        <w:tc>
          <w:tcPr>
            <w:tcW w:w="2654" w:type="dxa"/>
            <w:vMerge/>
            <w:tcBorders>
              <w:top w:val="nil"/>
              <w:left w:val="single" w:sz="6" w:space="0" w:color="000000"/>
            </w:tcBorders>
          </w:tcPr>
          <w:p>
            <w:pPr>
              <w:rPr>
                <w:sz w:val="2"/>
                <w:szCs w:val="2"/>
              </w:rPr>
            </w:pPr>
          </w:p>
        </w:tc>
      </w:tr>
      <w:tr>
        <w:trPr>
          <w:trHeight w:val="354" w:hRule="atLeast"/>
        </w:trPr>
        <w:tc>
          <w:tcPr>
            <w:tcW w:w="1342" w:type="dxa"/>
            <w:vMerge/>
            <w:tcBorders>
              <w:top w:val="nil"/>
              <w:right w:val="single" w:sz="6" w:space="0" w:color="000000"/>
            </w:tcBorders>
          </w:tcPr>
          <w:p>
            <w:pPr>
              <w:rPr>
                <w:sz w:val="2"/>
                <w:szCs w:val="2"/>
              </w:rPr>
            </w:pPr>
          </w:p>
        </w:tc>
        <w:tc>
          <w:tcPr>
            <w:tcW w:w="1604" w:type="dxa"/>
            <w:tcBorders>
              <w:top w:val="single" w:sz="6" w:space="0" w:color="000000"/>
              <w:left w:val="single" w:sz="6" w:space="0" w:color="000000"/>
              <w:right w:val="single" w:sz="6" w:space="0" w:color="000000"/>
            </w:tcBorders>
          </w:tcPr>
          <w:p>
            <w:pPr>
              <w:pStyle w:val="TableParagraph"/>
              <w:spacing w:before="53"/>
              <w:ind w:left="258" w:right="233"/>
              <w:rPr>
                <w:sz w:val="21"/>
              </w:rPr>
            </w:pPr>
            <w:r>
              <w:rPr>
                <w:sz w:val="21"/>
              </w:rPr>
              <w:t>TP</w:t>
            </w:r>
          </w:p>
        </w:tc>
        <w:tc>
          <w:tcPr>
            <w:tcW w:w="1277" w:type="dxa"/>
            <w:tcBorders>
              <w:top w:val="single" w:sz="6" w:space="0" w:color="000000"/>
              <w:left w:val="single" w:sz="6" w:space="0" w:color="000000"/>
              <w:right w:val="single" w:sz="6" w:space="0" w:color="000000"/>
            </w:tcBorders>
          </w:tcPr>
          <w:p>
            <w:pPr>
              <w:pStyle w:val="TableParagraph"/>
              <w:spacing w:before="53"/>
              <w:ind w:left="95" w:right="73"/>
              <w:rPr>
                <w:sz w:val="21"/>
              </w:rPr>
            </w:pPr>
            <w:r>
              <w:rPr>
                <w:sz w:val="21"/>
              </w:rPr>
              <w:t>4.452</w:t>
            </w:r>
          </w:p>
        </w:tc>
        <w:tc>
          <w:tcPr>
            <w:tcW w:w="1277" w:type="dxa"/>
            <w:tcBorders>
              <w:top w:val="single" w:sz="6" w:space="0" w:color="000000"/>
              <w:left w:val="single" w:sz="6" w:space="0" w:color="000000"/>
              <w:right w:val="single" w:sz="6" w:space="0" w:color="000000"/>
            </w:tcBorders>
          </w:tcPr>
          <w:p>
            <w:pPr>
              <w:pStyle w:val="TableParagraph"/>
              <w:spacing w:before="53"/>
              <w:ind w:left="95" w:right="73"/>
              <w:rPr>
                <w:sz w:val="21"/>
              </w:rPr>
            </w:pPr>
            <w:r>
              <w:rPr>
                <w:sz w:val="21"/>
              </w:rPr>
              <w:t>4.385</w:t>
            </w:r>
          </w:p>
        </w:tc>
        <w:tc>
          <w:tcPr>
            <w:tcW w:w="1277" w:type="dxa"/>
            <w:tcBorders>
              <w:top w:val="single" w:sz="6" w:space="0" w:color="000000"/>
              <w:left w:val="single" w:sz="6" w:space="0" w:color="000000"/>
              <w:right w:val="single" w:sz="6" w:space="0" w:color="000000"/>
            </w:tcBorders>
          </w:tcPr>
          <w:p>
            <w:pPr>
              <w:pStyle w:val="TableParagraph"/>
              <w:spacing w:before="53"/>
              <w:ind w:left="98" w:right="71"/>
              <w:rPr>
                <w:sz w:val="21"/>
              </w:rPr>
            </w:pPr>
            <w:r>
              <w:rPr>
                <w:sz w:val="21"/>
              </w:rPr>
              <w:t>0.067</w:t>
            </w:r>
          </w:p>
        </w:tc>
        <w:tc>
          <w:tcPr>
            <w:tcW w:w="2654" w:type="dxa"/>
            <w:vMerge/>
            <w:tcBorders>
              <w:top w:val="nil"/>
              <w:left w:val="single" w:sz="6" w:space="0" w:color="000000"/>
            </w:tcBorders>
          </w:tcPr>
          <w:p>
            <w:pPr>
              <w:rPr>
                <w:sz w:val="2"/>
                <w:szCs w:val="2"/>
              </w:rPr>
            </w:pPr>
          </w:p>
        </w:tc>
      </w:tr>
    </w:tbl>
    <w:p>
      <w:pPr>
        <w:pStyle w:val="ListParagraph"/>
        <w:numPr>
          <w:ilvl w:val="0"/>
          <w:numId w:val="47"/>
        </w:numPr>
        <w:tabs>
          <w:tab w:pos="1323" w:val="left" w:leader="none"/>
        </w:tabs>
        <w:spacing w:line="240" w:lineRule="auto" w:before="81" w:after="0"/>
        <w:ind w:left="1323" w:right="0" w:hanging="604"/>
        <w:jc w:val="left"/>
        <w:rPr>
          <w:b/>
          <w:sz w:val="24"/>
        </w:rPr>
      </w:pPr>
      <w:r>
        <w:rPr>
          <w:b/>
          <w:sz w:val="24"/>
        </w:rPr>
        <w:t>水平衡</w:t>
      </w:r>
    </w:p>
    <w:p>
      <w:pPr>
        <w:pStyle w:val="BodyText"/>
        <w:spacing w:before="161"/>
        <w:ind w:left="717"/>
        <w:jc w:val="both"/>
      </w:pPr>
      <w:r>
        <w:rPr/>
        <w:t>本项目水平衡如图 </w:t>
      </w:r>
      <w:r>
        <w:rPr>
          <w:rFonts w:ascii="Times New Roman" w:eastAsia="Times New Roman"/>
          <w:position w:val="1"/>
        </w:rPr>
        <w:t>3.3-1 </w:t>
      </w:r>
      <w:r>
        <w:rPr/>
        <w:t>及图 </w:t>
      </w:r>
      <w:r>
        <w:rPr>
          <w:rFonts w:ascii="Times New Roman" w:eastAsia="Times New Roman"/>
          <w:position w:val="1"/>
        </w:rPr>
        <w:t>3.3-2 </w:t>
      </w:r>
      <w:r>
        <w:rPr/>
        <w:t>所示。</w:t>
      </w:r>
    </w:p>
    <w:p>
      <w:pPr>
        <w:pStyle w:val="BodyText"/>
        <w:spacing w:line="364" w:lineRule="auto" w:before="161"/>
        <w:ind w:right="252" w:firstLine="480"/>
        <w:jc w:val="both"/>
      </w:pPr>
      <w:r>
        <w:rPr>
          <w:spacing w:val="-8"/>
        </w:rPr>
        <w:t>由此可知，本项目日最大废水产生量为 </w:t>
      </w:r>
      <w:r>
        <w:rPr>
          <w:rFonts w:ascii="Times New Roman" w:hAnsi="Times New Roman" w:eastAsia="Times New Roman"/>
          <w:spacing w:val="-3"/>
          <w:position w:val="1"/>
        </w:rPr>
        <w:t>554.47m³/d</w:t>
      </w:r>
      <w:r>
        <w:rPr>
          <w:spacing w:val="-3"/>
        </w:rPr>
        <w:t>（</w:t>
      </w:r>
      <w:r>
        <w:rPr/>
        <w:t>夏季</w:t>
      </w:r>
      <w:r>
        <w:rPr>
          <w:spacing w:val="-29"/>
        </w:rPr>
        <w:t>），</w:t>
      </w:r>
      <w:r>
        <w:rPr>
          <w:spacing w:val="-2"/>
        </w:rPr>
        <w:t>因此本环评要求企业废</w:t>
      </w:r>
      <w:r>
        <w:rPr>
          <w:spacing w:val="-5"/>
        </w:rPr>
        <w:t>水处理站设计处理能力按 </w:t>
      </w:r>
      <w:r>
        <w:rPr>
          <w:rFonts w:ascii="Times New Roman" w:hAnsi="Times New Roman" w:eastAsia="Times New Roman"/>
          <w:position w:val="1"/>
        </w:rPr>
        <w:t>600m³/d </w:t>
      </w:r>
      <w:r>
        <w:rPr>
          <w:spacing w:val="-13"/>
        </w:rPr>
        <w:t>进行设计，以确保项目产生的各类废水均能得到有效处</w:t>
      </w:r>
      <w:r>
        <w:rPr/>
        <w:t>置。</w:t>
      </w:r>
    </w:p>
    <w:p>
      <w:pPr>
        <w:spacing w:after="0" w:line="364" w:lineRule="auto"/>
        <w:jc w:val="both"/>
        <w:sectPr>
          <w:pgSz w:w="11910" w:h="16840"/>
          <w:pgMar w:header="874" w:footer="1004" w:top="1400" w:bottom="1200" w:left="1040" w:right="1160"/>
        </w:sectPr>
      </w:pPr>
    </w:p>
    <w:p>
      <w:pPr>
        <w:pStyle w:val="BodyText"/>
        <w:spacing w:before="1"/>
        <w:ind w:left="0"/>
        <w:rPr>
          <w:sz w:val="14"/>
        </w:rPr>
      </w:pPr>
    </w:p>
    <w:p>
      <w:pPr>
        <w:spacing w:after="0"/>
        <w:rPr>
          <w:sz w:val="14"/>
        </w:rPr>
        <w:sectPr>
          <w:pgSz w:w="11910" w:h="16840"/>
          <w:pgMar w:header="874" w:footer="1004" w:top="1400" w:bottom="1200" w:left="1040" w:right="1160"/>
        </w:sectPr>
      </w:pPr>
    </w:p>
    <w:p>
      <w:pPr>
        <w:pStyle w:val="BodyText"/>
        <w:ind w:left="0"/>
        <w:rPr>
          <w:sz w:val="16"/>
        </w:rPr>
      </w:pPr>
    </w:p>
    <w:p>
      <w:pPr>
        <w:pStyle w:val="BodyText"/>
        <w:ind w:left="0"/>
        <w:rPr>
          <w:sz w:val="16"/>
        </w:rPr>
      </w:pPr>
    </w:p>
    <w:p>
      <w:pPr>
        <w:spacing w:before="114"/>
        <w:ind w:left="0" w:right="0" w:firstLine="0"/>
        <w:jc w:val="right"/>
        <w:rPr>
          <w:rFonts w:ascii="Times New Roman"/>
          <w:sz w:val="14"/>
        </w:rPr>
      </w:pPr>
      <w:r>
        <w:rPr/>
        <w:pict>
          <v:group style="position:absolute;margin-left:125.347275pt;margin-top:.714983pt;width:271pt;height:261.6500pt;mso-position-horizontal-relative:page;mso-position-vertical-relative:paragraph;z-index:-315492352" coordorigin="2507,14" coordsize="5420,5233">
            <v:rect style="position:absolute;left:3746;top:1429;width:1374;height:321" filled="false" stroked="true" strokeweight=".143011pt" strokecolor="#000000">
              <v:stroke dashstyle="solid"/>
            </v:rect>
            <v:shape style="position:absolute;left:2508;top:325;width:1171;height:2590" coordorigin="2508,326" coordsize="1171,2590" path="m2508,2915l2886,2915,2886,326,3679,326e" filled="false" stroked="true" strokeweight=".152668pt" strokecolor="#000000">
              <v:path arrowok="t"/>
              <v:stroke dashstyle="solid"/>
            </v:shape>
            <v:shape style="position:absolute;left:3669;top:299;width:78;height:63" coordorigin="3669,299" coordsize="78,63" path="m3669,299l3669,361,3747,326,3669,299xe" filled="true" fillcolor="#000000" stroked="false">
              <v:path arrowok="t"/>
              <v:fill type="solid"/>
            </v:shape>
            <v:shape style="position:absolute;left:2508;top:2915;width:1181;height:2305" coordorigin="2508,2915" coordsize="1181,2305" path="m2508,2915l2886,2915,2886,5220,3689,5220e" filled="false" stroked="true" strokeweight=".152195pt" strokecolor="#000000">
              <v:path arrowok="t"/>
              <v:stroke dashstyle="solid"/>
            </v:shape>
            <v:shape style="position:absolute;left:3679;top:5184;width:78;height:63" coordorigin="3679,5184" coordsize="78,63" path="m3679,5184l3679,5246,3756,5220,3679,5184xe" filled="true" fillcolor="#000000" stroked="false">
              <v:path arrowok="t"/>
              <v:fill type="solid"/>
            </v:shape>
            <v:shape style="position:absolute;left:5120;top:1589;width:2748;height:1344" coordorigin="5121,1589" coordsize="2748,1344" path="m5121,1589l7065,1589,7065,2933,7868,2933e" filled="false" stroked="true" strokeweight=".144755pt" strokecolor="#000000">
              <v:path arrowok="t"/>
              <v:stroke dashstyle="solid"/>
            </v:shape>
            <v:shape style="position:absolute;left:7858;top:2897;width:68;height:63" coordorigin="7858,2897" coordsize="68,63" path="m7858,2897l7858,2960,7926,2933,7858,2897xe" filled="true" fillcolor="#000000" stroked="false">
              <v:path arrowok="t"/>
              <v:fill type="solid"/>
            </v:shape>
            <v:shape style="position:absolute;left:5120;top:2932;width:2748;height:2287" coordorigin="5121,2933" coordsize="2748,2287" path="m5121,5220l7065,5220,7065,2933,7868,2933e" filled="false" stroked="true" strokeweight=".147440pt" strokecolor="#000000">
              <v:path arrowok="t"/>
              <v:stroke dashstyle="solid"/>
            </v:shape>
            <v:shape style="position:absolute;left:7858;top:2897;width:68;height:63" coordorigin="7858,2897" coordsize="68,63" path="m7858,2897l7858,2960,7926,2933,7858,2897xe" filled="true" fillcolor="#000000" stroked="false">
              <v:path arrowok="t"/>
              <v:fill type="solid"/>
            </v:shape>
            <v:shape style="position:absolute;left:5631;top:4935;width:157;height:287" type="#_x0000_t75" stroked="false">
              <v:imagedata r:id="rId31" o:title=""/>
            </v:shape>
            <v:shape style="position:absolute;left:5631;top:1286;width:118;height:305" type="#_x0000_t75" stroked="false">
              <v:imagedata r:id="rId32" o:title=""/>
            </v:shape>
            <v:shape style="position:absolute;left:5120;top:325;width:2748;height:2608" coordorigin="5121,326" coordsize="2748,2608" path="m5121,326l7065,326,7065,2933,7868,2933e" filled="false" stroked="true" strokeweight=".148241pt" strokecolor="#000000">
              <v:path arrowok="t"/>
              <v:stroke dashstyle="solid"/>
            </v:shape>
            <v:shape style="position:absolute;left:7858;top:2897;width:68;height:63" coordorigin="7858,2897" coordsize="68,63" path="m7858,2897l7858,2960,7926,2933,7858,2897xe" filled="true" fillcolor="#000000" stroked="false">
              <v:path arrowok="t"/>
              <v:fill type="solid"/>
            </v:shape>
            <v:shape style="position:absolute;left:5631;top:14;width:137;height:313" type="#_x0000_t75" stroked="false">
              <v:imagedata r:id="rId33" o:title=""/>
            </v:shape>
            <v:rect style="position:absolute;left:3746;top:2381;width:1374;height:312" filled="false" stroked="true" strokeweight=".142978pt" strokecolor="#000000">
              <v:stroke dashstyle="solid"/>
            </v:rect>
            <v:shape style="position:absolute;left:4433;top:2532;width:1539;height:472" coordorigin="4434,2532" coordsize="1539,472" path="m5121,2532l5972,2532,5972,3004,4434,3004,4434,2746e" filled="false" stroked="true" strokeweight=".143426pt" strokecolor="#000000">
              <v:path arrowok="t"/>
              <v:stroke dashstyle="solid"/>
            </v:shape>
            <v:shape style="position:absolute;left:4394;top:2692;width:78;height:63" coordorigin="4395,2693" coordsize="78,63" path="m4434,2693l4395,2755,4472,2755,4434,2693xe" filled="true" fillcolor="#000000" stroked="false">
              <v:path arrowok="t"/>
              <v:fill type="solid"/>
            </v:shape>
            <v:shape style="position:absolute;left:5631;top:2256;width:147;height:269" type="#_x0000_t75" stroked="false">
              <v:imagedata r:id="rId34" o:title=""/>
            </v:shape>
            <v:shape style="position:absolute;left:2508;top:2532;width:1181;height:383" coordorigin="2508,2532" coordsize="1181,383" path="m2508,2915l2886,2915,2886,2532,3689,2532e" filled="false" stroked="true" strokeweight=".14354pt" strokecolor="#000000">
              <v:path arrowok="t"/>
              <v:stroke dashstyle="solid"/>
            </v:shape>
            <v:shape style="position:absolute;left:3679;top:2505;width:68;height:63" coordorigin="3679,2506" coordsize="68,63" path="m3679,2506l3679,2568,3747,2532,3679,2506xe" filled="true" fillcolor="#000000" stroked="false">
              <v:path arrowok="t"/>
              <v:fill type="solid"/>
            </v:shape>
            <v:shape style="position:absolute;left:5631;top:672;width:137;height:287" type="#_x0000_t75" stroked="false">
              <v:imagedata r:id="rId35" o:title=""/>
            </v:shape>
            <v:shape style="position:absolute;left:4433;top:485;width:3435;height:2447" coordorigin="4434,486" coordsize="3435,2447" path="m4434,486l4434,958,7065,958,7065,2933,7868,2933e" filled="false" stroked="true" strokeweight=".146539pt" strokecolor="#000000">
              <v:path arrowok="t"/>
              <v:stroke dashstyle="solid"/>
            </v:shape>
            <v:shape style="position:absolute;left:7858;top:2897;width:68;height:63" coordorigin="7858,2897" coordsize="68,63" path="m7858,2897l7858,2960,7926,2933,7858,2897xe" filled="true" fillcolor="#000000" stroked="false">
              <v:path arrowok="t"/>
              <v:fill type="solid"/>
            </v:shape>
            <v:shape style="position:absolute;left:2508;top:1589;width:1171;height:1326" coordorigin="2508,1589" coordsize="1171,1326" path="m2508,2915l2886,2915,2886,1589,3679,1589e" filled="false" stroked="true" strokeweight=".149336pt" strokecolor="#000000">
              <v:path arrowok="t"/>
              <v:stroke dashstyle="solid"/>
            </v:shape>
            <v:shape style="position:absolute;left:3669;top:1553;width:78;height:72" coordorigin="3669,1554" coordsize="78,72" path="m3669,1554l3669,1625,3747,1589,3669,1554xe" filled="true" fillcolor="#000000" stroked="false">
              <v:path arrowok="t"/>
              <v:fill type="solid"/>
            </v:shape>
            <v:rect style="position:absolute;left:3746;top:3635;width:1471;height:321" filled="true" fillcolor="#ffffff" stroked="false">
              <v:fill type="solid"/>
            </v:rect>
            <v:rect style="position:absolute;left:3746;top:3635;width:1471;height:321" filled="false" stroked="true" strokeweight=".142933pt" strokecolor="#000000">
              <v:stroke dashstyle="solid"/>
            </v:rect>
            <v:shape style="position:absolute;left:4482;top:3796;width:1490;height:472" coordorigin="4482,3796" coordsize="1490,472" path="m5217,3796l5972,3796,5972,4268,4482,4268,4482,4010e" filled="false" stroked="true" strokeweight=".14349pt" strokecolor="#000000">
              <v:path arrowok="t"/>
              <v:stroke dashstyle="solid"/>
            </v:shape>
            <v:shape style="position:absolute;left:4452;top:3956;width:68;height:63" coordorigin="4453,3956" coordsize="68,63" path="m4482,3956l4453,4018,4521,4018,4482,3956xe" filled="true" fillcolor="#000000" stroked="false">
              <v:path arrowok="t"/>
              <v:fill type="solid"/>
            </v:shape>
            <v:shape style="position:absolute;left:5631;top:3511;width:147;height:278" type="#_x0000_t75" stroked="false">
              <v:imagedata r:id="rId36" o:title=""/>
            </v:shape>
            <v:shape style="position:absolute;left:2508;top:2915;width:1181;height:881" coordorigin="2508,2915" coordsize="1181,881" path="m2508,2915l2886,2915,2886,3796,3689,3796e" filled="false" stroked="true" strokeweight=".146801pt" strokecolor="#000000">
              <v:path arrowok="t"/>
              <v:stroke dashstyle="solid"/>
            </v:shape>
            <v:shape style="position:absolute;left:3679;top:3760;width:68;height:72" coordorigin="3679,3760" coordsize="68,72" path="m3679,3760l3679,3832,3747,3796,3679,3760xe" filled="true" fillcolor="#000000" stroked="false">
              <v:path arrowok="t"/>
              <v:fill type="solid"/>
            </v:shape>
            <v:shape style="position:absolute;left:5971;top:2932;width:1897;height:1086" coordorigin="5972,2933" coordsize="1897,1086" path="m5972,4018l7065,4018,7065,2933,7868,2933e" filled="false" stroked="true" strokeweight=".145424pt" strokecolor="#000000">
              <v:path arrowok="t"/>
              <v:stroke dashstyle="solid"/>
            </v:shape>
            <v:shape style="position:absolute;left:7858;top:2897;width:68;height:63" coordorigin="7858,2897" coordsize="68,63" path="m7858,2897l7858,2960,7926,2933,7858,2897xe" filled="true" fillcolor="#000000" stroked="false">
              <v:path arrowok="t"/>
              <v:fill type="solid"/>
            </v:shape>
            <w10:wrap type="none"/>
          </v:group>
        </w:pict>
      </w:r>
      <w:r>
        <w:rPr>
          <w:rFonts w:ascii="Times New Roman"/>
          <w:w w:val="110"/>
          <w:sz w:val="14"/>
        </w:rPr>
        <w:t>336.34</w:t>
      </w:r>
    </w:p>
    <w:p>
      <w:pPr>
        <w:spacing w:before="82"/>
        <w:ind w:left="1700" w:right="0" w:firstLine="0"/>
        <w:jc w:val="center"/>
        <w:rPr>
          <w:sz w:val="14"/>
        </w:rPr>
      </w:pPr>
      <w:r>
        <w:rPr/>
        <w:br w:type="column"/>
      </w:r>
      <w:r>
        <w:rPr>
          <w:w w:val="110"/>
          <w:sz w:val="14"/>
        </w:rPr>
        <w:t>新陈代谢消耗</w:t>
      </w:r>
    </w:p>
    <w:p>
      <w:pPr>
        <w:spacing w:before="1"/>
        <w:ind w:left="1700" w:right="0" w:firstLine="0"/>
        <w:jc w:val="center"/>
        <w:rPr>
          <w:rFonts w:ascii="Times New Roman"/>
          <w:sz w:val="14"/>
        </w:rPr>
      </w:pPr>
      <w:r>
        <w:rPr/>
        <w:pict>
          <v:shape style="position:absolute;margin-left:187.459564pt;margin-top:16.141739pt;width:68.6pt;height:15.6pt;mso-position-horizontal-relative:page;mso-position-vertical-relative:paragraph;z-index:251777024" type="#_x0000_t202" filled="false" stroked="true" strokeweight=".143082pt" strokecolor="#000000">
            <v:textbox inset="0,0,0,0">
              <w:txbxContent>
                <w:p>
                  <w:pPr>
                    <w:spacing w:before="59"/>
                    <w:ind w:left="292" w:right="0" w:firstLine="0"/>
                    <w:jc w:val="left"/>
                    <w:rPr>
                      <w:sz w:val="14"/>
                    </w:rPr>
                  </w:pPr>
                  <w:r>
                    <w:rPr>
                      <w:w w:val="110"/>
                      <w:sz w:val="14"/>
                    </w:rPr>
                    <w:t>猪只饮用水</w:t>
                  </w:r>
                </w:p>
              </w:txbxContent>
            </v:textbox>
            <v:stroke dashstyle="solid"/>
            <w10:wrap type="none"/>
          </v:shape>
        </w:pict>
      </w:r>
      <w:r>
        <w:rPr>
          <w:rFonts w:ascii="Times New Roman"/>
          <w:w w:val="110"/>
          <w:sz w:val="14"/>
        </w:rPr>
        <w:t>159.07</w:t>
      </w:r>
    </w:p>
    <w:p>
      <w:pPr>
        <w:pStyle w:val="BodyText"/>
        <w:ind w:left="0"/>
        <w:rPr>
          <w:rFonts w:ascii="Times New Roman"/>
          <w:sz w:val="16"/>
        </w:rPr>
      </w:pPr>
      <w:r>
        <w:rPr/>
        <w:br w:type="column"/>
      </w:r>
      <w:r>
        <w:rPr>
          <w:rFonts w:ascii="Times New Roman"/>
          <w:sz w:val="16"/>
        </w:rPr>
      </w:r>
    </w:p>
    <w:p>
      <w:pPr>
        <w:pStyle w:val="BodyText"/>
        <w:ind w:left="0"/>
        <w:rPr>
          <w:rFonts w:ascii="Times New Roman"/>
          <w:sz w:val="16"/>
        </w:rPr>
      </w:pPr>
    </w:p>
    <w:p>
      <w:pPr>
        <w:spacing w:before="119"/>
        <w:ind w:left="31" w:right="0" w:firstLine="0"/>
        <w:jc w:val="left"/>
        <w:rPr>
          <w:rFonts w:ascii="Times New Roman" w:eastAsia="Times New Roman"/>
          <w:sz w:val="14"/>
        </w:rPr>
      </w:pPr>
      <w:r>
        <w:rPr>
          <w:w w:val="110"/>
          <w:sz w:val="14"/>
        </w:rPr>
        <w:t>猪尿</w:t>
      </w:r>
      <w:r>
        <w:rPr>
          <w:rFonts w:ascii="Times New Roman" w:eastAsia="Times New Roman"/>
          <w:w w:val="110"/>
          <w:sz w:val="14"/>
        </w:rPr>
        <w:t>160.46</w:t>
      </w:r>
    </w:p>
    <w:p>
      <w:pPr>
        <w:spacing w:after="0"/>
        <w:jc w:val="left"/>
        <w:rPr>
          <w:rFonts w:ascii="Times New Roman" w:eastAsia="Times New Roman"/>
          <w:sz w:val="14"/>
        </w:rPr>
        <w:sectPr>
          <w:type w:val="continuous"/>
          <w:pgSz w:w="11910" w:h="16840"/>
          <w:pgMar w:top="1400" w:bottom="1200" w:left="1040" w:right="1160"/>
          <w:cols w:num="3" w:equalWidth="0">
            <w:col w:w="2489" w:space="40"/>
            <w:col w:w="2630" w:space="39"/>
            <w:col w:w="4512"/>
          </w:cols>
        </w:sectPr>
      </w:pPr>
    </w:p>
    <w:p>
      <w:pPr>
        <w:pStyle w:val="BodyText"/>
        <w:ind w:left="0"/>
        <w:rPr>
          <w:rFonts w:ascii="Times New Roman"/>
          <w:sz w:val="10"/>
        </w:rPr>
      </w:pPr>
    </w:p>
    <w:p>
      <w:pPr>
        <w:spacing w:after="0"/>
        <w:rPr>
          <w:rFonts w:ascii="Times New Roman"/>
          <w:sz w:val="10"/>
        </w:rPr>
        <w:sectPr>
          <w:type w:val="continuous"/>
          <w:pgSz w:w="11910" w:h="16840"/>
          <w:pgMar w:top="1400" w:bottom="1200" w:left="1040" w:right="1160"/>
        </w:sectPr>
      </w:pPr>
    </w:p>
    <w:p>
      <w:pPr>
        <w:pStyle w:val="BodyText"/>
        <w:ind w:left="0"/>
        <w:rPr>
          <w:rFonts w:ascii="Times New Roman"/>
          <w:sz w:val="14"/>
        </w:rPr>
      </w:pPr>
    </w:p>
    <w:p>
      <w:pPr>
        <w:pStyle w:val="BodyText"/>
        <w:spacing w:before="4"/>
        <w:ind w:left="0"/>
        <w:rPr>
          <w:rFonts w:ascii="Times New Roman"/>
          <w:sz w:val="16"/>
        </w:rPr>
      </w:pPr>
    </w:p>
    <w:p>
      <w:pPr>
        <w:spacing w:before="0"/>
        <w:ind w:left="0" w:right="0" w:firstLine="0"/>
        <w:jc w:val="right"/>
        <w:rPr>
          <w:sz w:val="14"/>
        </w:rPr>
      </w:pPr>
      <w:r>
        <w:rPr>
          <w:w w:val="110"/>
          <w:sz w:val="14"/>
        </w:rPr>
        <w:t>洒漏水</w:t>
      </w:r>
    </w:p>
    <w:p>
      <w:pPr>
        <w:spacing w:before="87"/>
        <w:ind w:left="211" w:right="0" w:firstLine="0"/>
        <w:jc w:val="left"/>
        <w:rPr>
          <w:rFonts w:ascii="Times New Roman" w:eastAsia="Times New Roman"/>
          <w:sz w:val="14"/>
        </w:rPr>
      </w:pPr>
      <w:r>
        <w:rPr/>
        <w:br w:type="column"/>
      </w:r>
      <w:r>
        <w:rPr>
          <w:w w:val="110"/>
          <w:sz w:val="14"/>
        </w:rPr>
        <w:t>损耗</w:t>
      </w:r>
      <w:r>
        <w:rPr>
          <w:rFonts w:ascii="Times New Roman" w:eastAsia="Times New Roman"/>
          <w:w w:val="110"/>
          <w:sz w:val="14"/>
        </w:rPr>
        <w:t>4.20</w:t>
      </w:r>
    </w:p>
    <w:p>
      <w:pPr>
        <w:pStyle w:val="BodyText"/>
        <w:ind w:left="0"/>
        <w:rPr>
          <w:rFonts w:ascii="Times New Roman"/>
          <w:sz w:val="16"/>
        </w:rPr>
      </w:pPr>
      <w:r>
        <w:rPr/>
        <w:br w:type="column"/>
      </w:r>
      <w:r>
        <w:rPr>
          <w:rFonts w:ascii="Times New Roman"/>
          <w:sz w:val="16"/>
        </w:rPr>
      </w:r>
    </w:p>
    <w:p>
      <w:pPr>
        <w:pStyle w:val="BodyText"/>
        <w:spacing w:before="9"/>
        <w:ind w:left="0"/>
        <w:rPr>
          <w:rFonts w:ascii="Times New Roman"/>
          <w:sz w:val="14"/>
        </w:rPr>
      </w:pPr>
    </w:p>
    <w:p>
      <w:pPr>
        <w:spacing w:before="0"/>
        <w:ind w:left="419" w:right="0" w:firstLine="0"/>
        <w:jc w:val="left"/>
        <w:rPr>
          <w:rFonts w:ascii="Times New Roman"/>
          <w:sz w:val="14"/>
        </w:rPr>
      </w:pPr>
      <w:r>
        <w:rPr>
          <w:rFonts w:ascii="Times New Roman"/>
          <w:w w:val="110"/>
          <w:sz w:val="14"/>
        </w:rPr>
        <w:t>12.61</w:t>
      </w:r>
    </w:p>
    <w:p>
      <w:pPr>
        <w:spacing w:after="0"/>
        <w:jc w:val="left"/>
        <w:rPr>
          <w:rFonts w:ascii="Times New Roman"/>
          <w:sz w:val="14"/>
        </w:rPr>
        <w:sectPr>
          <w:type w:val="continuous"/>
          <w:pgSz w:w="11910" w:h="16840"/>
          <w:pgMar w:top="1400" w:bottom="1200" w:left="1040" w:right="1160"/>
          <w:cols w:num="3" w:equalWidth="0">
            <w:col w:w="4135" w:space="40"/>
            <w:col w:w="792" w:space="39"/>
            <w:col w:w="4704"/>
          </w:cols>
        </w:sectPr>
      </w:pPr>
    </w:p>
    <w:p>
      <w:pPr>
        <w:pStyle w:val="BodyText"/>
        <w:spacing w:before="9"/>
        <w:ind w:left="0"/>
        <w:rPr>
          <w:rFonts w:ascii="Times New Roman"/>
          <w:sz w:val="9"/>
        </w:rPr>
      </w:pPr>
    </w:p>
    <w:p>
      <w:pPr>
        <w:spacing w:after="0"/>
        <w:rPr>
          <w:rFonts w:ascii="Times New Roman"/>
          <w:sz w:val="9"/>
        </w:rPr>
        <w:sectPr>
          <w:type w:val="continuous"/>
          <w:pgSz w:w="11910" w:h="16840"/>
          <w:pgMar w:top="1400" w:bottom="1200" w:left="1040" w:right="1160"/>
        </w:sectPr>
      </w:pPr>
    </w:p>
    <w:p>
      <w:pPr>
        <w:pStyle w:val="BodyText"/>
        <w:ind w:left="0"/>
        <w:rPr>
          <w:rFonts w:ascii="Times New Roman"/>
          <w:sz w:val="16"/>
        </w:rPr>
      </w:pPr>
    </w:p>
    <w:p>
      <w:pPr>
        <w:pStyle w:val="BodyText"/>
        <w:spacing w:before="11"/>
        <w:ind w:left="0"/>
        <w:rPr>
          <w:rFonts w:ascii="Times New Roman"/>
          <w:sz w:val="13"/>
        </w:rPr>
      </w:pPr>
    </w:p>
    <w:p>
      <w:pPr>
        <w:spacing w:before="0"/>
        <w:ind w:left="0" w:right="0" w:firstLine="0"/>
        <w:jc w:val="right"/>
        <w:rPr>
          <w:rFonts w:ascii="Times New Roman"/>
          <w:sz w:val="14"/>
        </w:rPr>
      </w:pPr>
      <w:r>
        <w:rPr>
          <w:rFonts w:ascii="Times New Roman"/>
          <w:w w:val="110"/>
          <w:sz w:val="14"/>
        </w:rPr>
        <w:t>315.24</w:t>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3"/>
        <w:ind w:left="0"/>
        <w:rPr>
          <w:rFonts w:ascii="Times New Roman"/>
          <w:sz w:val="20"/>
        </w:rPr>
      </w:pPr>
    </w:p>
    <w:p>
      <w:pPr>
        <w:spacing w:before="0"/>
        <w:ind w:left="0" w:right="75" w:firstLine="0"/>
        <w:jc w:val="right"/>
        <w:rPr>
          <w:rFonts w:ascii="Times New Roman"/>
          <w:sz w:val="14"/>
        </w:rPr>
      </w:pPr>
      <w:r>
        <w:rPr>
          <w:rFonts w:ascii="Times New Roman"/>
          <w:w w:val="110"/>
          <w:sz w:val="14"/>
        </w:rPr>
        <w:t>15.0</w:t>
      </w:r>
    </w:p>
    <w:p>
      <w:pPr>
        <w:pStyle w:val="BodyText"/>
        <w:spacing w:before="8"/>
        <w:ind w:left="0"/>
        <w:rPr>
          <w:rFonts w:ascii="Times New Roman"/>
          <w:sz w:val="14"/>
        </w:rPr>
      </w:pPr>
      <w:r>
        <w:rPr/>
        <w:pict>
          <v:shape style="position:absolute;margin-left:74.150490pt;margin-top:10.517577pt;width:51.3pt;height:22.7pt;mso-position-horizontal-relative:page;mso-position-vertical-relative:paragraph;z-index:-251561984;mso-wrap-distance-left:0;mso-wrap-distance-right:0" type="#_x0000_t202" filled="false" stroked="true" strokeweight=".144705pt" strokecolor="#000000">
            <v:textbox inset="0,0,0,0">
              <w:txbxContent>
                <w:p>
                  <w:pPr>
                    <w:spacing w:before="45"/>
                    <w:ind w:left="281" w:right="0" w:firstLine="0"/>
                    <w:jc w:val="left"/>
                    <w:rPr>
                      <w:sz w:val="14"/>
                    </w:rPr>
                  </w:pPr>
                  <w:r>
                    <w:rPr>
                      <w:w w:val="110"/>
                      <w:sz w:val="14"/>
                    </w:rPr>
                    <w:t>新鲜水</w:t>
                  </w:r>
                </w:p>
                <w:p>
                  <w:pPr>
                    <w:spacing w:before="5"/>
                    <w:ind w:left="300" w:right="0" w:firstLine="0"/>
                    <w:jc w:val="left"/>
                    <w:rPr>
                      <w:rFonts w:ascii="Times New Roman"/>
                      <w:sz w:val="14"/>
                    </w:rPr>
                  </w:pPr>
                  <w:r>
                    <w:rPr>
                      <w:rFonts w:ascii="Times New Roman"/>
                      <w:w w:val="110"/>
                      <w:sz w:val="14"/>
                    </w:rPr>
                    <w:t>767.98</w:t>
                  </w:r>
                </w:p>
              </w:txbxContent>
            </v:textbox>
            <v:stroke dashstyle="solid"/>
            <w10:wrap type="topAndBottom"/>
          </v:shape>
        </w:pict>
      </w:r>
    </w:p>
    <w:p>
      <w:pPr>
        <w:pStyle w:val="BodyText"/>
        <w:ind w:left="0"/>
        <w:rPr>
          <w:rFonts w:ascii="Times New Roman"/>
          <w:sz w:val="16"/>
        </w:rPr>
      </w:pPr>
    </w:p>
    <w:p>
      <w:pPr>
        <w:pStyle w:val="BodyText"/>
        <w:spacing w:before="2"/>
        <w:ind w:left="0"/>
        <w:rPr>
          <w:rFonts w:ascii="Times New Roman"/>
          <w:sz w:val="19"/>
        </w:rPr>
      </w:pPr>
    </w:p>
    <w:p>
      <w:pPr>
        <w:spacing w:before="0"/>
        <w:ind w:left="0" w:right="75" w:firstLine="0"/>
        <w:jc w:val="right"/>
        <w:rPr>
          <w:rFonts w:ascii="Times New Roman"/>
          <w:sz w:val="14"/>
        </w:rPr>
      </w:pPr>
      <w:r>
        <w:rPr>
          <w:rFonts w:ascii="Times New Roman"/>
          <w:w w:val="110"/>
          <w:sz w:val="14"/>
        </w:rPr>
        <w:t>90.6</w:t>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5"/>
        <w:ind w:left="0"/>
        <w:rPr>
          <w:rFonts w:ascii="Times New Roman"/>
          <w:sz w:val="13"/>
        </w:rPr>
      </w:pPr>
    </w:p>
    <w:p>
      <w:pPr>
        <w:spacing w:before="0"/>
        <w:ind w:left="0" w:right="36" w:firstLine="0"/>
        <w:jc w:val="right"/>
        <w:rPr>
          <w:rFonts w:ascii="Times New Roman"/>
          <w:sz w:val="14"/>
        </w:rPr>
      </w:pPr>
      <w:r>
        <w:rPr>
          <w:rFonts w:ascii="Times New Roman"/>
          <w:w w:val="110"/>
          <w:sz w:val="14"/>
        </w:rPr>
        <w:t>10.80</w:t>
      </w:r>
    </w:p>
    <w:p>
      <w:pPr>
        <w:spacing w:before="87"/>
        <w:ind w:left="0" w:right="0" w:firstLine="0"/>
        <w:jc w:val="right"/>
        <w:rPr>
          <w:rFonts w:ascii="Times New Roman" w:eastAsia="Times New Roman"/>
          <w:sz w:val="14"/>
        </w:rPr>
      </w:pPr>
      <w:r>
        <w:rPr/>
        <w:br w:type="column"/>
      </w:r>
      <w:r>
        <w:rPr>
          <w:w w:val="110"/>
          <w:sz w:val="14"/>
        </w:rPr>
        <w:t>损耗</w:t>
      </w:r>
      <w:r>
        <w:rPr>
          <w:rFonts w:ascii="Times New Roman" w:eastAsia="Times New Roman"/>
          <w:w w:val="110"/>
          <w:sz w:val="14"/>
        </w:rPr>
        <w:t>31.52</w:t>
      </w:r>
    </w:p>
    <w:p>
      <w:pPr>
        <w:pStyle w:val="BodyText"/>
        <w:spacing w:before="3"/>
        <w:ind w:left="0"/>
        <w:rPr>
          <w:rFonts w:ascii="Times New Roman"/>
          <w:sz w:val="11"/>
        </w:rPr>
      </w:pPr>
    </w:p>
    <w:p>
      <w:pPr>
        <w:pStyle w:val="BodyText"/>
        <w:ind w:left="178"/>
        <w:rPr>
          <w:rFonts w:ascii="Times New Roman"/>
          <w:sz w:val="20"/>
        </w:rPr>
      </w:pPr>
      <w:r>
        <w:rPr>
          <w:rFonts w:ascii="Times New Roman"/>
          <w:sz w:val="20"/>
        </w:rPr>
        <w:pict>
          <v:shape style="width:68.6pt;height:16.05pt;mso-position-horizontal-relative:char;mso-position-vertical-relative:line" type="#_x0000_t202" filled="false" stroked="true" strokeweight=".143121pt" strokecolor="#000000">
            <w10:anchorlock/>
            <v:textbox inset="0,0,0,0">
              <w:txbxContent>
                <w:p>
                  <w:pPr>
                    <w:spacing w:before="65"/>
                    <w:ind w:left="215" w:right="0" w:firstLine="0"/>
                    <w:jc w:val="left"/>
                    <w:rPr>
                      <w:sz w:val="14"/>
                    </w:rPr>
                  </w:pPr>
                  <w:r>
                    <w:rPr>
                      <w:w w:val="110"/>
                      <w:sz w:val="14"/>
                    </w:rPr>
                    <w:t>猪舍冲洗用水</w:t>
                  </w:r>
                </w:p>
              </w:txbxContent>
            </v:textbox>
            <v:stroke dashstyle="solid"/>
          </v:shape>
        </w:pict>
      </w:r>
      <w:r>
        <w:rPr>
          <w:rFonts w:ascii="Times New Roman"/>
          <w:sz w:val="20"/>
        </w:rPr>
      </w:r>
    </w:p>
    <w:p>
      <w:pPr>
        <w:pStyle w:val="BodyText"/>
        <w:spacing w:before="2"/>
        <w:ind w:left="0"/>
        <w:rPr>
          <w:rFonts w:ascii="Times New Roman"/>
          <w:sz w:val="21"/>
        </w:rPr>
      </w:pPr>
    </w:p>
    <w:p>
      <w:pPr>
        <w:spacing w:before="0"/>
        <w:ind w:left="0" w:right="11" w:firstLine="0"/>
        <w:jc w:val="right"/>
        <w:rPr>
          <w:rFonts w:ascii="Times New Roman" w:eastAsia="Times New Roman"/>
          <w:sz w:val="14"/>
        </w:rPr>
      </w:pPr>
      <w:r>
        <w:rPr>
          <w:w w:val="110"/>
          <w:sz w:val="14"/>
        </w:rPr>
        <w:t>损耗</w:t>
      </w:r>
      <w:r>
        <w:rPr>
          <w:rFonts w:ascii="Times New Roman" w:eastAsia="Times New Roman"/>
          <w:w w:val="110"/>
          <w:sz w:val="14"/>
        </w:rPr>
        <w:t>15.0</w:t>
      </w:r>
    </w:p>
    <w:p>
      <w:pPr>
        <w:pStyle w:val="BodyText"/>
        <w:spacing w:before="1"/>
        <w:ind w:left="0"/>
        <w:rPr>
          <w:rFonts w:ascii="Times New Roman"/>
          <w:sz w:val="11"/>
        </w:rPr>
      </w:pPr>
      <w:r>
        <w:rPr/>
        <w:pict>
          <v:shape style="position:absolute;margin-left:187.338638pt;margin-top:8.471877pt;width:68.7pt;height:15.6pt;mso-position-horizontal-relative:page;mso-position-vertical-relative:paragraph;z-index:-251559936;mso-wrap-distance-left:0;mso-wrap-distance-right:0" type="#_x0000_t202" filled="false" stroked="true" strokeweight=".143082pt" strokecolor="#000000">
            <v:textbox inset="0,0,0,0">
              <w:txbxContent>
                <w:p>
                  <w:pPr>
                    <w:spacing w:before="59"/>
                    <w:ind w:left="297" w:right="0" w:firstLine="0"/>
                    <w:jc w:val="left"/>
                    <w:rPr>
                      <w:sz w:val="14"/>
                    </w:rPr>
                  </w:pPr>
                  <w:r>
                    <w:rPr>
                      <w:w w:val="110"/>
                      <w:sz w:val="14"/>
                    </w:rPr>
                    <w:t>湿帘补充水</w:t>
                  </w:r>
                </w:p>
              </w:txbxContent>
            </v:textbox>
            <v:stroke dashstyle="solid"/>
            <w10:wrap type="topAndBottom"/>
          </v:shape>
        </w:pict>
      </w:r>
    </w:p>
    <w:p>
      <w:pPr>
        <w:spacing w:before="81"/>
        <w:ind w:left="0" w:right="189" w:firstLine="0"/>
        <w:jc w:val="right"/>
        <w:rPr>
          <w:sz w:val="14"/>
        </w:rPr>
      </w:pPr>
      <w:r>
        <w:rPr>
          <w:w w:val="110"/>
          <w:sz w:val="14"/>
        </w:rPr>
        <w:t>循环使用</w:t>
      </w:r>
    </w:p>
    <w:p>
      <w:pPr>
        <w:pStyle w:val="BodyText"/>
        <w:ind w:left="0"/>
        <w:rPr>
          <w:sz w:val="14"/>
        </w:rPr>
      </w:pPr>
    </w:p>
    <w:p>
      <w:pPr>
        <w:pStyle w:val="BodyText"/>
        <w:spacing w:before="8"/>
        <w:ind w:left="0"/>
        <w:rPr>
          <w:sz w:val="12"/>
        </w:rPr>
      </w:pPr>
    </w:p>
    <w:p>
      <w:pPr>
        <w:spacing w:before="0"/>
        <w:ind w:left="0" w:right="11" w:firstLine="0"/>
        <w:jc w:val="right"/>
        <w:rPr>
          <w:rFonts w:ascii="Times New Roman" w:eastAsia="Times New Roman"/>
          <w:sz w:val="14"/>
        </w:rPr>
      </w:pPr>
      <w:r>
        <w:rPr/>
        <w:pict>
          <v:shape style="position:absolute;margin-left:222.891312pt;margin-top:33.080524pt;width:75.75pt;height:14.05pt;mso-position-horizontal-relative:page;mso-position-vertical-relative:paragraph;z-index:251776000" type="#_x0000_t202" filled="false" stroked="true" strokeweight=".143674pt" strokecolor="#000000">
            <v:textbox inset="0,0,0,0">
              <w:txbxContent>
                <w:p>
                  <w:pPr>
                    <w:spacing w:before="77"/>
                    <w:ind w:left="775" w:right="0" w:firstLine="0"/>
                    <w:jc w:val="left"/>
                    <w:rPr>
                      <w:sz w:val="14"/>
                    </w:rPr>
                  </w:pPr>
                  <w:r>
                    <w:rPr>
                      <w:w w:val="110"/>
                      <w:sz w:val="14"/>
                    </w:rPr>
                    <w:t>循环使用</w:t>
                  </w:r>
                </w:p>
              </w:txbxContent>
            </v:textbox>
            <v:stroke dashstyle="solid"/>
            <w10:wrap type="none"/>
          </v:shape>
        </w:pict>
      </w:r>
      <w:r>
        <w:rPr>
          <w:w w:val="110"/>
          <w:sz w:val="14"/>
        </w:rPr>
        <w:t>损耗</w:t>
      </w:r>
      <w:r>
        <w:rPr>
          <w:rFonts w:ascii="Times New Roman" w:eastAsia="Times New Roman"/>
          <w:w w:val="110"/>
          <w:sz w:val="14"/>
        </w:rPr>
        <w:t>18.1</w:t>
      </w:r>
    </w:p>
    <w:p>
      <w:pPr>
        <w:pStyle w:val="BodyText"/>
        <w:spacing w:before="2"/>
        <w:ind w:left="0"/>
        <w:rPr>
          <w:rFonts w:ascii="Times New Roman"/>
          <w:sz w:val="11"/>
        </w:rPr>
      </w:pPr>
    </w:p>
    <w:p>
      <w:pPr>
        <w:pStyle w:val="BodyText"/>
        <w:ind w:left="178"/>
        <w:rPr>
          <w:rFonts w:ascii="Times New Roman"/>
          <w:sz w:val="20"/>
        </w:rPr>
      </w:pPr>
      <w:r>
        <w:rPr>
          <w:rFonts w:ascii="Times New Roman"/>
          <w:sz w:val="20"/>
        </w:rPr>
        <w:pict>
          <v:shape style="width:73.45pt;height:17.6pt;mso-position-horizontal-relative:char;mso-position-vertical-relative:line" type="#_x0000_t202" filled="false" stroked="true" strokeweight=".143031pt" strokecolor="#000000">
            <w10:anchorlock/>
            <v:textbox inset="0,0,0,0">
              <w:txbxContent>
                <w:p>
                  <w:pPr>
                    <w:spacing w:before="66"/>
                    <w:ind w:left="36" w:right="0" w:firstLine="0"/>
                    <w:jc w:val="left"/>
                    <w:rPr>
                      <w:sz w:val="14"/>
                    </w:rPr>
                  </w:pPr>
                  <w:r>
                    <w:rPr>
                      <w:w w:val="110"/>
                      <w:sz w:val="14"/>
                    </w:rPr>
                    <w:t>废气处理设施补充水</w:t>
                  </w:r>
                </w:p>
              </w:txbxContent>
            </v:textbox>
            <v:stroke dashstyle="solid"/>
          </v:shape>
        </w:pict>
      </w:r>
      <w:r>
        <w:rPr>
          <w:rFonts w:ascii="Times New Roman"/>
          <w:sz w:val="20"/>
        </w:rPr>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6"/>
        <w:ind w:left="0"/>
        <w:rPr>
          <w:rFonts w:ascii="Times New Roman"/>
          <w:sz w:val="14"/>
        </w:rPr>
      </w:pPr>
    </w:p>
    <w:p>
      <w:pPr>
        <w:spacing w:before="0"/>
        <w:ind w:left="0" w:right="3" w:firstLine="0"/>
        <w:jc w:val="right"/>
        <w:rPr>
          <w:rFonts w:ascii="Times New Roman" w:eastAsia="Times New Roman"/>
          <w:sz w:val="14"/>
        </w:rPr>
      </w:pPr>
      <w:r>
        <w:rPr/>
        <w:pict>
          <v:shape style="position:absolute;margin-left:187.459564pt;margin-top:15.770635pt;width:68.6pt;height:15.6pt;mso-position-horizontal-relative:page;mso-position-vertical-relative:paragraph;z-index:251774976" type="#_x0000_t202" filled="false" stroked="true" strokeweight=".143092pt" strokecolor="#000000">
            <v:textbox inset="0,0,0,0">
              <w:txbxContent>
                <w:p>
                  <w:pPr>
                    <w:spacing w:before="61"/>
                    <w:ind w:left="219" w:right="0" w:firstLine="0"/>
                    <w:jc w:val="left"/>
                    <w:rPr>
                      <w:sz w:val="14"/>
                    </w:rPr>
                  </w:pPr>
                  <w:r>
                    <w:rPr>
                      <w:w w:val="110"/>
                      <w:sz w:val="14"/>
                    </w:rPr>
                    <w:t>职工生活用水</w:t>
                  </w:r>
                </w:p>
              </w:txbxContent>
            </v:textbox>
            <v:stroke dashstyle="solid"/>
            <w10:wrap type="none"/>
          </v:shape>
        </w:pict>
      </w:r>
      <w:r>
        <w:rPr>
          <w:w w:val="110"/>
          <w:sz w:val="14"/>
        </w:rPr>
        <w:t>损耗</w:t>
      </w:r>
      <w:r>
        <w:rPr>
          <w:rFonts w:ascii="Times New Roman" w:eastAsia="Times New Roman"/>
          <w:w w:val="110"/>
          <w:sz w:val="14"/>
        </w:rPr>
        <w:t>1.62</w:t>
      </w:r>
    </w:p>
    <w:p>
      <w:pPr>
        <w:pStyle w:val="BodyText"/>
        <w:ind w:left="0"/>
        <w:rPr>
          <w:rFonts w:ascii="Times New Roman"/>
          <w:sz w:val="16"/>
        </w:rPr>
      </w:pPr>
      <w:r>
        <w:rPr/>
        <w:br w:type="column"/>
      </w:r>
      <w:r>
        <w:rPr>
          <w:rFonts w:ascii="Times New Roman"/>
          <w:sz w:val="16"/>
        </w:rPr>
      </w:r>
    </w:p>
    <w:p>
      <w:pPr>
        <w:pStyle w:val="BodyText"/>
        <w:spacing w:before="9"/>
        <w:ind w:left="0"/>
        <w:rPr>
          <w:rFonts w:ascii="Times New Roman"/>
          <w:sz w:val="14"/>
        </w:rPr>
      </w:pPr>
    </w:p>
    <w:p>
      <w:pPr>
        <w:spacing w:before="1"/>
        <w:ind w:left="0" w:right="0" w:firstLine="0"/>
        <w:jc w:val="right"/>
        <w:rPr>
          <w:rFonts w:ascii="Times New Roman"/>
          <w:sz w:val="14"/>
        </w:rPr>
      </w:pPr>
      <w:r>
        <w:rPr>
          <w:rFonts w:ascii="Times New Roman"/>
          <w:w w:val="110"/>
          <w:sz w:val="14"/>
        </w:rPr>
        <w:t>283.72</w:t>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2"/>
        <w:ind w:left="0"/>
        <w:rPr>
          <w:rFonts w:ascii="Times New Roman"/>
          <w:sz w:val="23"/>
        </w:rPr>
      </w:pPr>
    </w:p>
    <w:p>
      <w:pPr>
        <w:spacing w:before="0"/>
        <w:ind w:left="0" w:right="75" w:firstLine="0"/>
        <w:jc w:val="right"/>
        <w:rPr>
          <w:rFonts w:ascii="Times New Roman"/>
          <w:sz w:val="14"/>
        </w:rPr>
      </w:pPr>
      <w:r>
        <w:rPr>
          <w:rFonts w:ascii="Times New Roman"/>
          <w:w w:val="110"/>
          <w:sz w:val="14"/>
        </w:rPr>
        <w:t>72.5</w:t>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22"/>
        </w:rPr>
      </w:pPr>
    </w:p>
    <w:p>
      <w:pPr>
        <w:spacing w:before="1"/>
        <w:ind w:left="0" w:right="35" w:firstLine="0"/>
        <w:jc w:val="right"/>
        <w:rPr>
          <w:rFonts w:ascii="Times New Roman"/>
          <w:sz w:val="14"/>
        </w:rPr>
      </w:pPr>
      <w:r>
        <w:rPr>
          <w:rFonts w:ascii="Times New Roman"/>
          <w:w w:val="110"/>
          <w:sz w:val="14"/>
        </w:rPr>
        <w:t>9.18</w:t>
      </w:r>
    </w:p>
    <w:p>
      <w:pPr>
        <w:pStyle w:val="BodyText"/>
        <w:ind w:left="0"/>
        <w:rPr>
          <w:rFonts w:ascii="Times New Roman"/>
          <w:sz w:val="16"/>
        </w:rPr>
      </w:pPr>
      <w:r>
        <w:rPr/>
        <w:br w:type="column"/>
      </w:r>
      <w:r>
        <w:rPr>
          <w:rFonts w:ascii="Times New Roman"/>
          <w:sz w:val="16"/>
        </w:rPr>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8"/>
        <w:ind w:left="0"/>
        <w:rPr>
          <w:rFonts w:ascii="Times New Roman"/>
          <w:sz w:val="17"/>
        </w:rPr>
      </w:pPr>
    </w:p>
    <w:p>
      <w:pPr>
        <w:spacing w:before="0"/>
        <w:ind w:left="275" w:right="0" w:firstLine="0"/>
        <w:jc w:val="left"/>
        <w:rPr>
          <w:rFonts w:ascii="Times New Roman"/>
          <w:sz w:val="14"/>
        </w:rPr>
      </w:pPr>
      <w:r>
        <w:rPr>
          <w:rFonts w:ascii="Times New Roman"/>
          <w:w w:val="110"/>
          <w:sz w:val="14"/>
        </w:rPr>
        <w:t>456.79</w:t>
      </w:r>
    </w:p>
    <w:p>
      <w:pPr>
        <w:pStyle w:val="BodyText"/>
        <w:ind w:left="0"/>
        <w:rPr>
          <w:rFonts w:ascii="Times New Roman"/>
          <w:sz w:val="16"/>
        </w:rPr>
      </w:pPr>
    </w:p>
    <w:p>
      <w:pPr>
        <w:pStyle w:val="BodyText"/>
        <w:ind w:left="0"/>
        <w:rPr>
          <w:rFonts w:ascii="Times New Roman"/>
          <w:sz w:val="16"/>
        </w:rPr>
      </w:pPr>
    </w:p>
    <w:p>
      <w:pPr>
        <w:pStyle w:val="BodyText"/>
        <w:spacing w:before="8"/>
        <w:ind w:left="0"/>
        <w:rPr>
          <w:rFonts w:ascii="Times New Roman"/>
          <w:sz w:val="20"/>
        </w:rPr>
      </w:pPr>
    </w:p>
    <w:p>
      <w:pPr>
        <w:spacing w:before="1"/>
        <w:ind w:left="404" w:right="0" w:firstLine="0"/>
        <w:jc w:val="left"/>
        <w:rPr>
          <w:rFonts w:ascii="Times New Roman"/>
          <w:sz w:val="14"/>
        </w:rPr>
      </w:pPr>
      <w:r>
        <w:rPr>
          <w:rFonts w:ascii="Times New Roman"/>
          <w:w w:val="110"/>
          <w:sz w:val="14"/>
        </w:rPr>
        <w:t>538.47</w:t>
      </w:r>
    </w:p>
    <w:p>
      <w:pPr>
        <w:pStyle w:val="BodyText"/>
        <w:ind w:left="0"/>
        <w:rPr>
          <w:rFonts w:ascii="Times New Roman"/>
          <w:sz w:val="20"/>
        </w:rPr>
      </w:pPr>
      <w:r>
        <w:rPr/>
        <w:br w:type="column"/>
      </w:r>
      <w:r>
        <w:rPr>
          <w:rFonts w:ascii="Times New Roman"/>
          <w:sz w:val="20"/>
        </w:rPr>
      </w:r>
    </w:p>
    <w:p>
      <w:pPr>
        <w:pStyle w:val="BodyText"/>
        <w:spacing w:before="4" w:after="1"/>
        <w:ind w:left="0"/>
        <w:rPr>
          <w:rFonts w:ascii="Times New Roman"/>
          <w:sz w:val="28"/>
        </w:rPr>
      </w:pPr>
    </w:p>
    <w:tbl>
      <w:tblPr>
        <w:tblW w:w="0" w:type="auto"/>
        <w:jc w:val="left"/>
        <w:tblInd w:w="1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35"/>
        <w:gridCol w:w="425"/>
      </w:tblGrid>
      <w:tr>
        <w:trPr>
          <w:trHeight w:val="315" w:hRule="atLeast"/>
        </w:trPr>
        <w:tc>
          <w:tcPr>
            <w:tcW w:w="860" w:type="dxa"/>
            <w:gridSpan w:val="2"/>
          </w:tcPr>
          <w:p>
            <w:pPr>
              <w:pStyle w:val="TableParagraph"/>
              <w:spacing w:before="66"/>
              <w:ind w:left="121"/>
              <w:jc w:val="left"/>
              <w:rPr>
                <w:rFonts w:ascii="宋体" w:eastAsia="宋体" w:hint="eastAsia"/>
                <w:sz w:val="14"/>
              </w:rPr>
            </w:pPr>
            <w:r>
              <w:rPr>
                <w:rFonts w:ascii="宋体" w:eastAsia="宋体" w:hint="eastAsia"/>
                <w:w w:val="110"/>
                <w:sz w:val="14"/>
              </w:rPr>
              <w:t>初期雨水</w:t>
            </w:r>
          </w:p>
        </w:tc>
      </w:tr>
      <w:tr>
        <w:trPr>
          <w:trHeight w:val="736" w:hRule="atLeast"/>
        </w:trPr>
        <w:tc>
          <w:tcPr>
            <w:tcW w:w="435" w:type="dxa"/>
            <w:tcBorders>
              <w:left w:val="nil"/>
              <w:bottom w:val="nil"/>
            </w:tcBorders>
          </w:tcPr>
          <w:p>
            <w:pPr>
              <w:pStyle w:val="TableParagraph"/>
              <w:spacing w:before="0"/>
              <w:jc w:val="left"/>
              <w:rPr>
                <w:sz w:val="16"/>
              </w:rPr>
            </w:pPr>
          </w:p>
        </w:tc>
        <w:tc>
          <w:tcPr>
            <w:tcW w:w="425" w:type="dxa"/>
            <w:tcBorders>
              <w:bottom w:val="nil"/>
              <w:right w:val="nil"/>
            </w:tcBorders>
          </w:tcPr>
          <w:p>
            <w:pPr>
              <w:pStyle w:val="TableParagraph"/>
              <w:spacing w:before="11"/>
              <w:jc w:val="left"/>
              <w:rPr>
                <w:sz w:val="20"/>
              </w:rPr>
            </w:pPr>
          </w:p>
          <w:p>
            <w:pPr>
              <w:pStyle w:val="TableParagraph"/>
              <w:spacing w:before="0"/>
              <w:ind w:left="80" w:right="-15"/>
              <w:jc w:val="left"/>
              <w:rPr>
                <w:sz w:val="14"/>
              </w:rPr>
            </w:pPr>
            <w:r>
              <w:rPr>
                <w:w w:val="110"/>
                <w:sz w:val="14"/>
              </w:rPr>
              <w:t>16.00</w:t>
            </w:r>
          </w:p>
        </w:tc>
      </w:tr>
    </w:tbl>
    <w:p>
      <w:pPr>
        <w:pStyle w:val="BodyText"/>
        <w:spacing w:line="62" w:lineRule="exact"/>
        <w:ind w:left="560"/>
        <w:rPr>
          <w:rFonts w:ascii="Times New Roman"/>
          <w:sz w:val="6"/>
        </w:rPr>
      </w:pPr>
      <w:r>
        <w:rPr>
          <w:rFonts w:ascii="Times New Roman"/>
          <w:position w:val="0"/>
          <w:sz w:val="6"/>
        </w:rPr>
        <w:pict>
          <v:group style="width:3.4pt;height:3.15pt;mso-position-horizontal-relative:char;mso-position-vertical-relative:line" coordorigin="0,0" coordsize="68,63">
            <v:shape style="position:absolute;left:0;top:0;width:68;height:63" coordorigin="0,0" coordsize="68,63" path="m68,0l0,0,39,62,68,0xe" filled="true" fillcolor="#000000" stroked="false">
              <v:path arrowok="t"/>
              <v:fill type="solid"/>
            </v:shape>
          </v:group>
        </w:pict>
      </w:r>
      <w:r>
        <w:rPr>
          <w:rFonts w:ascii="Times New Roman"/>
          <w:position w:val="0"/>
          <w:sz w:val="6"/>
        </w:rPr>
      </w:r>
    </w:p>
    <w:p>
      <w:pPr>
        <w:spacing w:before="26"/>
        <w:ind w:left="1114" w:right="1408" w:firstLine="0"/>
        <w:jc w:val="center"/>
        <w:rPr>
          <w:rFonts w:ascii="Times New Roman"/>
          <w:sz w:val="14"/>
        </w:rPr>
      </w:pPr>
      <w:r>
        <w:rPr/>
        <w:pict>
          <v:shape style="position:absolute;margin-left:396.301361pt;margin-top:-.529147pt;width:43.05pt;height:22.7pt;mso-position-horizontal-relative:page;mso-position-vertical-relative:paragraph;z-index:251773952" type="#_x0000_t202" filled="false" stroked="true" strokeweight=".145441pt" strokecolor="#000000">
            <v:textbox inset="0,0,0,0">
              <w:txbxContent>
                <w:p>
                  <w:pPr>
                    <w:pStyle w:val="BodyText"/>
                    <w:spacing w:before="7"/>
                    <w:ind w:left="0"/>
                    <w:rPr>
                      <w:rFonts w:ascii="Times New Roman"/>
                      <w:b/>
                      <w:sz w:val="11"/>
                    </w:rPr>
                  </w:pPr>
                </w:p>
                <w:p>
                  <w:pPr>
                    <w:spacing w:before="0"/>
                    <w:ind w:left="44" w:right="0" w:firstLine="0"/>
                    <w:jc w:val="left"/>
                    <w:rPr>
                      <w:sz w:val="14"/>
                    </w:rPr>
                  </w:pPr>
                  <w:r>
                    <w:rPr>
                      <w:w w:val="110"/>
                      <w:sz w:val="14"/>
                    </w:rPr>
                    <w:t>污水处理站</w:t>
                  </w:r>
                </w:p>
              </w:txbxContent>
            </v:textbox>
            <v:stroke dashstyle="solid"/>
            <w10:wrap type="none"/>
          </v:shape>
        </w:pict>
      </w:r>
      <w:r>
        <w:rPr/>
        <w:pict>
          <v:shape style="position:absolute;margin-left:468.85788pt;margin-top:-.529138pt;width:43.05pt;height:22.7pt;mso-position-horizontal-relative:page;mso-position-vertical-relative:paragraph;z-index:251779072" type="#_x0000_t202" filled="false" stroked="true" strokeweight=".145441pt" strokecolor="#000000">
            <v:textbox inset="0,0,0,0">
              <w:txbxContent>
                <w:p>
                  <w:pPr>
                    <w:pStyle w:val="BodyText"/>
                    <w:spacing w:before="8"/>
                    <w:ind w:left="0"/>
                    <w:rPr>
                      <w:rFonts w:ascii="Times New Roman"/>
                      <w:b/>
                      <w:sz w:val="11"/>
                    </w:rPr>
                  </w:pPr>
                </w:p>
                <w:p>
                  <w:pPr>
                    <w:spacing w:before="0"/>
                    <w:ind w:left="118" w:right="0" w:firstLine="0"/>
                    <w:jc w:val="left"/>
                    <w:rPr>
                      <w:sz w:val="14"/>
                    </w:rPr>
                  </w:pPr>
                  <w:r>
                    <w:rPr>
                      <w:w w:val="110"/>
                      <w:sz w:val="14"/>
                    </w:rPr>
                    <w:t>达标纳管</w:t>
                  </w:r>
                </w:p>
              </w:txbxContent>
            </v:textbox>
            <v:stroke dashstyle="solid"/>
            <w10:wrap type="none"/>
          </v:shape>
        </w:pict>
      </w:r>
      <w:r>
        <w:rPr>
          <w:rFonts w:ascii="Times New Roman"/>
          <w:w w:val="110"/>
          <w:sz w:val="14"/>
        </w:rPr>
        <w:t>554.47</w:t>
      </w:r>
    </w:p>
    <w:p>
      <w:pPr>
        <w:pStyle w:val="BodyText"/>
        <w:spacing w:line="62" w:lineRule="exact"/>
        <w:ind w:left="1022"/>
        <w:rPr>
          <w:rFonts w:ascii="Times New Roman"/>
          <w:sz w:val="6"/>
        </w:rPr>
      </w:pPr>
      <w:r>
        <w:rPr>
          <w:rFonts w:ascii="Times New Roman"/>
          <w:position w:val="0"/>
          <w:sz w:val="6"/>
        </w:rPr>
        <w:pict>
          <v:group style="width:29.55pt;height:3.15pt;mso-position-horizontal-relative:char;mso-position-vertical-relative:line" coordorigin="0,0" coordsize="591,63">
            <v:shape style="position:absolute;left:0;top:35;width:533;height:2" coordorigin="0,36" coordsize="533,0" path="m0,36l135,36,532,36e" filled="false" stroked="true" strokeweight=".142359pt" strokecolor="#000000">
              <v:path arrowok="t"/>
              <v:stroke dashstyle="solid"/>
            </v:shape>
            <v:shape style="position:absolute;left:522;top:0;width:68;height:63" coordorigin="522,0" coordsize="68,63" path="m522,0l522,62,590,36,522,0xe" filled="true" fillcolor="#000000" stroked="false">
              <v:path arrowok="t"/>
              <v:fill type="solid"/>
            </v:shape>
          </v:group>
        </w:pict>
      </w:r>
      <w:r>
        <w:rPr>
          <w:rFonts w:ascii="Times New Roman"/>
          <w:position w:val="0"/>
          <w:sz w:val="6"/>
        </w:rPr>
      </w:r>
    </w:p>
    <w:p>
      <w:pPr>
        <w:spacing w:after="0" w:line="62" w:lineRule="exact"/>
        <w:rPr>
          <w:rFonts w:ascii="Times New Roman"/>
          <w:sz w:val="6"/>
        </w:rPr>
        <w:sectPr>
          <w:type w:val="continuous"/>
          <w:pgSz w:w="11910" w:h="16840"/>
          <w:pgMar w:top="1400" w:bottom="1200" w:left="1040" w:right="1160"/>
          <w:cols w:num="5" w:equalWidth="0">
            <w:col w:w="2489" w:space="40"/>
            <w:col w:w="2477" w:space="39"/>
            <w:col w:w="767" w:space="40"/>
            <w:col w:w="831" w:space="40"/>
            <w:col w:w="2987"/>
          </w:cols>
        </w:sectPr>
      </w:pPr>
    </w:p>
    <w:p>
      <w:pPr>
        <w:pStyle w:val="BodyText"/>
        <w:ind w:left="0"/>
        <w:rPr>
          <w:rFonts w:ascii="Times New Roman"/>
          <w:sz w:val="20"/>
        </w:rPr>
      </w:pPr>
    </w:p>
    <w:p>
      <w:pPr>
        <w:pStyle w:val="BodyText"/>
        <w:spacing w:before="2"/>
        <w:ind w:left="0"/>
        <w:rPr>
          <w:rFonts w:ascii="Times New Roman"/>
          <w:sz w:val="25"/>
        </w:rPr>
      </w:pPr>
    </w:p>
    <w:p>
      <w:pPr>
        <w:pStyle w:val="Heading3"/>
        <w:spacing w:before="74"/>
        <w:ind w:left="224" w:right="236"/>
        <w:jc w:val="center"/>
        <w:rPr>
          <w:rFonts w:ascii="Times New Roman" w:eastAsia="Times New Roman"/>
        </w:rPr>
      </w:pPr>
      <w:r>
        <w:rPr/>
        <w:t>图 </w:t>
      </w:r>
      <w:r>
        <w:rPr>
          <w:rFonts w:ascii="Times New Roman" w:eastAsia="Times New Roman"/>
        </w:rPr>
        <w:t>3.3-1  </w:t>
      </w:r>
      <w:r>
        <w:rPr/>
        <w:t>项目日最大水平衡图（夏季） 单位：</w:t>
      </w:r>
      <w:r>
        <w:rPr>
          <w:rFonts w:ascii="Times New Roman" w:eastAsia="Times New Roman"/>
        </w:rPr>
        <w:t>t/d</w:t>
      </w:r>
    </w:p>
    <w:p>
      <w:pPr>
        <w:pStyle w:val="BodyText"/>
        <w:spacing w:before="4"/>
        <w:ind w:left="0"/>
        <w:rPr>
          <w:rFonts w:ascii="Times New Roman"/>
          <w:b/>
          <w:sz w:val="20"/>
        </w:rPr>
      </w:pPr>
    </w:p>
    <w:p>
      <w:pPr>
        <w:spacing w:after="0"/>
        <w:rPr>
          <w:rFonts w:ascii="Times New Roman"/>
          <w:sz w:val="20"/>
        </w:rPr>
        <w:sectPr>
          <w:type w:val="continuous"/>
          <w:pgSz w:w="11910" w:h="16840"/>
          <w:pgMar w:top="1400" w:bottom="1200" w:left="1040" w:right="1160"/>
        </w:sectPr>
      </w:pPr>
    </w:p>
    <w:p>
      <w:pPr>
        <w:pStyle w:val="BodyText"/>
        <w:ind w:left="0"/>
        <w:rPr>
          <w:rFonts w:ascii="Times New Roman"/>
          <w:b/>
          <w:sz w:val="16"/>
        </w:rPr>
      </w:pPr>
    </w:p>
    <w:p>
      <w:pPr>
        <w:pStyle w:val="BodyText"/>
        <w:ind w:left="0"/>
        <w:rPr>
          <w:rFonts w:ascii="Times New Roman"/>
          <w:b/>
          <w:sz w:val="16"/>
        </w:rPr>
      </w:pPr>
    </w:p>
    <w:p>
      <w:pPr>
        <w:pStyle w:val="BodyText"/>
        <w:spacing w:before="7"/>
        <w:ind w:left="0"/>
        <w:rPr>
          <w:rFonts w:ascii="Times New Roman"/>
          <w:b/>
          <w:sz w:val="13"/>
        </w:rPr>
      </w:pPr>
    </w:p>
    <w:p>
      <w:pPr>
        <w:spacing w:before="0"/>
        <w:ind w:left="0" w:right="0" w:firstLine="0"/>
        <w:jc w:val="right"/>
        <w:rPr>
          <w:rFonts w:ascii="Times New Roman"/>
          <w:sz w:val="14"/>
        </w:rPr>
      </w:pPr>
      <w:r>
        <w:rPr>
          <w:rFonts w:ascii="Times New Roman"/>
          <w:w w:val="110"/>
          <w:sz w:val="14"/>
        </w:rPr>
        <w:t>105776.51</w:t>
      </w:r>
    </w:p>
    <w:p>
      <w:pPr>
        <w:spacing w:before="83"/>
        <w:ind w:left="783" w:right="3744" w:firstLine="0"/>
        <w:jc w:val="center"/>
        <w:rPr>
          <w:sz w:val="14"/>
        </w:rPr>
      </w:pPr>
      <w:r>
        <w:rPr/>
        <w:br w:type="column"/>
      </w:r>
      <w:r>
        <w:rPr>
          <w:w w:val="110"/>
          <w:sz w:val="14"/>
        </w:rPr>
        <w:t>新陈代谢消耗</w:t>
      </w:r>
    </w:p>
    <w:p>
      <w:pPr>
        <w:spacing w:before="1"/>
        <w:ind w:left="783" w:right="3744" w:firstLine="0"/>
        <w:jc w:val="center"/>
        <w:rPr>
          <w:rFonts w:ascii="Times New Roman"/>
          <w:sz w:val="14"/>
        </w:rPr>
      </w:pPr>
      <w:r>
        <w:rPr/>
        <w:pict>
          <v:group style="position:absolute;margin-left:125.347275pt;margin-top:8.133420pt;width:271pt;height:261.6500pt;mso-position-horizontal-relative:page;mso-position-vertical-relative:paragraph;z-index:-315490304" coordorigin="2507,163" coordsize="5420,5233">
            <v:rect style="position:absolute;left:3746;top:1577;width:1374;height:321" filled="false" stroked="true" strokeweight=".143011pt" strokecolor="#000000">
              <v:stroke dashstyle="solid"/>
            </v:rect>
            <v:shape style="position:absolute;left:2508;top:474;width:1171;height:2590" coordorigin="2508,474" coordsize="1171,2590" path="m2508,3063l2886,3063,2886,474,3679,474e" filled="false" stroked="true" strokeweight=".152668pt" strokecolor="#000000">
              <v:path arrowok="t"/>
              <v:stroke dashstyle="solid"/>
            </v:shape>
            <v:shape style="position:absolute;left:3669;top:447;width:78;height:63" coordorigin="3669,447" coordsize="78,63" path="m3669,447l3669,510,3747,474,3669,447xe" filled="true" fillcolor="#000000" stroked="false">
              <v:path arrowok="t"/>
              <v:fill type="solid"/>
            </v:shape>
            <v:shape style="position:absolute;left:2508;top:3063;width:1181;height:2305" coordorigin="2508,3063" coordsize="1181,2305" path="m2508,3063l2886,3063,2886,5368,3689,5368e" filled="false" stroked="true" strokeweight=".152195pt" strokecolor="#000000">
              <v:path arrowok="t"/>
              <v:stroke dashstyle="solid"/>
            </v:shape>
            <v:shape style="position:absolute;left:3679;top:5332;width:78;height:63" coordorigin="3679,5333" coordsize="78,63" path="m3679,5333l3679,5395,3756,5368,3679,5333xe" filled="true" fillcolor="#000000" stroked="false">
              <v:path arrowok="t"/>
              <v:fill type="solid"/>
            </v:shape>
            <v:shape style="position:absolute;left:5120;top:1737;width:2748;height:1344" coordorigin="5121,1738" coordsize="2748,1344" path="m5121,1738l7065,1738,7065,3081,7868,3081e" filled="false" stroked="true" strokeweight=".144755pt" strokecolor="#000000">
              <v:path arrowok="t"/>
              <v:stroke dashstyle="solid"/>
            </v:shape>
            <v:shape style="position:absolute;left:7858;top:3045;width:68;height:63" coordorigin="7858,3046" coordsize="68,63" path="m7858,3046l7858,3108,7926,3081,7858,3046xe" filled="true" fillcolor="#000000" stroked="false">
              <v:path arrowok="t"/>
              <v:fill type="solid"/>
            </v:shape>
            <v:shape style="position:absolute;left:5120;top:3081;width:2748;height:2287" coordorigin="5121,3081" coordsize="2748,2287" path="m5121,5368l7065,5368,7065,3081,7868,3081e" filled="false" stroked="true" strokeweight=".147440pt" strokecolor="#000000">
              <v:path arrowok="t"/>
              <v:stroke dashstyle="solid"/>
            </v:shape>
            <v:shape style="position:absolute;left:7858;top:3045;width:68;height:63" coordorigin="7858,3046" coordsize="68,63" path="m7858,3046l7858,3108,7926,3081,7858,3046xe" filled="true" fillcolor="#000000" stroked="false">
              <v:path arrowok="t"/>
              <v:fill type="solid"/>
            </v:shape>
            <v:shape style="position:absolute;left:5631;top:5083;width:157;height:287" type="#_x0000_t75" stroked="false">
              <v:imagedata r:id="rId37" o:title=""/>
            </v:shape>
            <v:shape style="position:absolute;left:5631;top:1435;width:137;height:305" type="#_x0000_t75" stroked="false">
              <v:imagedata r:id="rId38" o:title=""/>
            </v:shape>
            <v:shape style="position:absolute;left:5120;top:474;width:2748;height:2608" coordorigin="5121,474" coordsize="2748,2608" path="m5121,474l7065,474,7065,3081,7868,3081e" filled="false" stroked="true" strokeweight=".148241pt" strokecolor="#000000">
              <v:path arrowok="t"/>
              <v:stroke dashstyle="solid"/>
            </v:shape>
            <v:shape style="position:absolute;left:7858;top:3045;width:68;height:63" coordorigin="7858,3046" coordsize="68,63" path="m7858,3046l7858,3108,7926,3081,7858,3046xe" filled="true" fillcolor="#000000" stroked="false">
              <v:path arrowok="t"/>
              <v:fill type="solid"/>
            </v:shape>
            <v:shape style="position:absolute;left:5631;top:162;width:137;height:313" type="#_x0000_t75" stroked="false">
              <v:imagedata r:id="rId39" o:title=""/>
            </v:shape>
            <v:rect style="position:absolute;left:3746;top:2529;width:1374;height:312" filled="false" stroked="true" strokeweight=".142978pt" strokecolor="#000000">
              <v:stroke dashstyle="solid"/>
            </v:rect>
            <v:shape style="position:absolute;left:4433;top:2680;width:1539;height:472" coordorigin="4434,2681" coordsize="1539,472" path="m5121,2681l5972,2681,5972,3152,4434,3152,4434,2894e" filled="false" stroked="true" strokeweight=".143426pt" strokecolor="#000000">
              <v:path arrowok="t"/>
              <v:stroke dashstyle="solid"/>
            </v:shape>
            <v:shape style="position:absolute;left:4394;top:2841;width:78;height:63" coordorigin="4395,2841" coordsize="78,63" path="m4434,2841l4395,2903,4472,2903,4434,2841xe" filled="true" fillcolor="#000000" stroked="false">
              <v:path arrowok="t"/>
              <v:fill type="solid"/>
            </v:shape>
            <v:shape style="position:absolute;left:5631;top:2405;width:147;height:269" type="#_x0000_t75" stroked="false">
              <v:imagedata r:id="rId34" o:title=""/>
            </v:shape>
            <v:shape style="position:absolute;left:2508;top:2680;width:1181;height:383" coordorigin="2508,2681" coordsize="1181,383" path="m2508,3063l2886,3063,2886,2681,3689,2681e" filled="false" stroked="true" strokeweight=".14354pt" strokecolor="#000000">
              <v:path arrowok="t"/>
              <v:stroke dashstyle="solid"/>
            </v:shape>
            <v:shape style="position:absolute;left:3679;top:2654;width:68;height:63" coordorigin="3679,2654" coordsize="68,63" path="m3679,2654l3679,2716,3747,2681,3679,2654xe" filled="true" fillcolor="#000000" stroked="false">
              <v:path arrowok="t"/>
              <v:fill type="solid"/>
            </v:shape>
            <v:shape style="position:absolute;left:5631;top:821;width:137;height:287" type="#_x0000_t75" stroked="false">
              <v:imagedata r:id="rId35" o:title=""/>
            </v:shape>
            <v:shape style="position:absolute;left:4433;top:634;width:3435;height:2447" coordorigin="4434,634" coordsize="3435,2447" path="m4434,634l4434,1106,7065,1106,7065,3081,7868,3081e" filled="false" stroked="true" strokeweight=".146539pt" strokecolor="#000000">
              <v:path arrowok="t"/>
              <v:stroke dashstyle="solid"/>
            </v:shape>
            <v:shape style="position:absolute;left:7858;top:3045;width:68;height:63" coordorigin="7858,3046" coordsize="68,63" path="m7858,3046l7858,3108,7926,3081,7858,3046xe" filled="true" fillcolor="#000000" stroked="false">
              <v:path arrowok="t"/>
              <v:fill type="solid"/>
            </v:shape>
            <v:shape style="position:absolute;left:2508;top:1737;width:1171;height:1326" coordorigin="2508,1738" coordsize="1171,1326" path="m2508,3063l2886,3063,2886,1738,3679,1738e" filled="false" stroked="true" strokeweight=".149336pt" strokecolor="#000000">
              <v:path arrowok="t"/>
              <v:stroke dashstyle="solid"/>
            </v:shape>
            <v:shape style="position:absolute;left:3669;top:1702;width:78;height:72" coordorigin="3669,1702" coordsize="78,72" path="m3669,1702l3669,1773,3747,1738,3669,1702xe" filled="true" fillcolor="#000000" stroked="false">
              <v:path arrowok="t"/>
              <v:fill type="solid"/>
            </v:shape>
            <v:rect style="position:absolute;left:3746;top:3784;width:1471;height:321" filled="true" fillcolor="#ffffff" stroked="false">
              <v:fill type="solid"/>
            </v:rect>
            <v:rect style="position:absolute;left:3746;top:3784;width:1471;height:321" filled="false" stroked="true" strokeweight=".142933pt" strokecolor="#000000">
              <v:stroke dashstyle="solid"/>
            </v:rect>
            <v:shape style="position:absolute;left:4482;top:3944;width:1490;height:472" coordorigin="4482,3944" coordsize="1490,472" path="m5217,3944l5972,3944,5972,4416,4482,4416,4482,4158e" filled="false" stroked="true" strokeweight=".14349pt" strokecolor="#000000">
              <v:path arrowok="t"/>
              <v:stroke dashstyle="solid"/>
            </v:shape>
            <v:shape style="position:absolute;left:4452;top:4104;width:68;height:63" coordorigin="4453,4105" coordsize="68,63" path="m4482,4105l4453,4167,4521,4167,4482,4105xe" filled="true" fillcolor="#000000" stroked="false">
              <v:path arrowok="t"/>
              <v:fill type="solid"/>
            </v:shape>
            <v:shape style="position:absolute;left:5631;top:3659;width:147;height:278" type="#_x0000_t75" stroked="false">
              <v:imagedata r:id="rId36" o:title=""/>
            </v:shape>
            <v:shape style="position:absolute;left:2508;top:3063;width:1181;height:881" coordorigin="2508,3063" coordsize="1181,881" path="m2508,3063l2886,3063,2886,3944,3689,3944e" filled="false" stroked="true" strokeweight=".146801pt" strokecolor="#000000">
              <v:path arrowok="t"/>
              <v:stroke dashstyle="solid"/>
            </v:shape>
            <v:shape style="position:absolute;left:3679;top:3908;width:68;height:72" coordorigin="3679,3909" coordsize="68,72" path="m3679,3909l3679,3980,3747,3944,3679,3909xe" filled="true" fillcolor="#000000" stroked="false">
              <v:path arrowok="t"/>
              <v:fill type="solid"/>
            </v:shape>
            <v:shape style="position:absolute;left:5971;top:3081;width:1897;height:1095" coordorigin="5972,3081" coordsize="1897,1095" path="m5972,4176l7065,4176,7065,3081,7868,3081e" filled="false" stroked="true" strokeweight=".145462pt" strokecolor="#000000">
              <v:path arrowok="t"/>
              <v:stroke dashstyle="solid"/>
            </v:shape>
            <v:shape style="position:absolute;left:7858;top:3045;width:68;height:63" coordorigin="7858,3046" coordsize="68,63" path="m7858,3046l7858,3108,7926,3081,7858,3046xe" filled="true" fillcolor="#000000" stroked="false">
              <v:path arrowok="t"/>
              <v:fill type="solid"/>
            </v:shape>
            <w10:wrap type="none"/>
          </v:group>
        </w:pict>
      </w:r>
      <w:r>
        <w:rPr>
          <w:rFonts w:ascii="Times New Roman"/>
          <w:w w:val="110"/>
          <w:sz w:val="14"/>
        </w:rPr>
        <w:t>49360.74</w:t>
      </w:r>
    </w:p>
    <w:p>
      <w:pPr>
        <w:spacing w:before="63"/>
        <w:ind w:left="1570" w:right="2919" w:firstLine="0"/>
        <w:jc w:val="center"/>
        <w:rPr>
          <w:rFonts w:ascii="Times New Roman" w:eastAsia="Times New Roman"/>
          <w:sz w:val="14"/>
        </w:rPr>
      </w:pPr>
      <w:r>
        <w:rPr/>
        <w:pict>
          <v:shape style="position:absolute;margin-left:187.459564pt;margin-top:8.008486pt;width:68.6pt;height:15.6pt;mso-position-horizontal-relative:page;mso-position-vertical-relative:paragraph;z-index:251772928" type="#_x0000_t202" filled="false" stroked="true" strokeweight=".143082pt" strokecolor="#000000">
            <v:textbox inset="0,0,0,0">
              <w:txbxContent>
                <w:p>
                  <w:pPr>
                    <w:spacing w:before="59"/>
                    <w:ind w:left="292" w:right="0" w:firstLine="0"/>
                    <w:jc w:val="left"/>
                    <w:rPr>
                      <w:sz w:val="14"/>
                    </w:rPr>
                  </w:pPr>
                  <w:r>
                    <w:rPr>
                      <w:w w:val="110"/>
                      <w:sz w:val="14"/>
                    </w:rPr>
                    <w:t>猪只饮用水</w:t>
                  </w:r>
                </w:p>
              </w:txbxContent>
            </v:textbox>
            <v:stroke dashstyle="solid"/>
            <w10:wrap type="none"/>
          </v:shape>
        </w:pict>
      </w:r>
      <w:r>
        <w:rPr>
          <w:w w:val="110"/>
          <w:sz w:val="14"/>
        </w:rPr>
        <w:t>猪尿</w:t>
      </w:r>
      <w:r>
        <w:rPr>
          <w:rFonts w:ascii="Times New Roman" w:eastAsia="Times New Roman"/>
          <w:w w:val="110"/>
          <w:sz w:val="14"/>
        </w:rPr>
        <w:t>51126.94</w:t>
      </w:r>
    </w:p>
    <w:p>
      <w:pPr>
        <w:spacing w:after="0"/>
        <w:jc w:val="center"/>
        <w:rPr>
          <w:rFonts w:ascii="Times New Roman" w:eastAsia="Times New Roman"/>
          <w:sz w:val="14"/>
        </w:rPr>
        <w:sectPr>
          <w:type w:val="continuous"/>
          <w:pgSz w:w="11910" w:h="16840"/>
          <w:pgMar w:top="1400" w:bottom="1200" w:left="1040" w:right="1160"/>
          <w:cols w:num="2" w:equalWidth="0">
            <w:col w:w="2605" w:space="40"/>
            <w:col w:w="7065"/>
          </w:cols>
        </w:sectPr>
      </w:pPr>
    </w:p>
    <w:p>
      <w:pPr>
        <w:pStyle w:val="BodyText"/>
        <w:spacing w:before="1"/>
        <w:ind w:left="0"/>
        <w:rPr>
          <w:rFonts w:ascii="Times New Roman"/>
          <w:sz w:val="10"/>
        </w:rPr>
      </w:pPr>
    </w:p>
    <w:p>
      <w:pPr>
        <w:spacing w:after="0"/>
        <w:rPr>
          <w:rFonts w:ascii="Times New Roman"/>
          <w:sz w:val="10"/>
        </w:rPr>
        <w:sectPr>
          <w:type w:val="continuous"/>
          <w:pgSz w:w="11910" w:h="16840"/>
          <w:pgMar w:top="1400" w:bottom="1200" w:left="1040" w:right="1160"/>
        </w:sectPr>
      </w:pPr>
    </w:p>
    <w:p>
      <w:pPr>
        <w:pStyle w:val="BodyText"/>
        <w:ind w:left="0"/>
        <w:rPr>
          <w:rFonts w:ascii="Times New Roman"/>
          <w:sz w:val="14"/>
        </w:rPr>
      </w:pPr>
    </w:p>
    <w:p>
      <w:pPr>
        <w:pStyle w:val="BodyText"/>
        <w:spacing w:before="3"/>
        <w:ind w:left="0"/>
        <w:rPr>
          <w:rFonts w:ascii="Times New Roman"/>
          <w:sz w:val="16"/>
        </w:rPr>
      </w:pPr>
    </w:p>
    <w:p>
      <w:pPr>
        <w:spacing w:before="1"/>
        <w:ind w:left="0" w:right="0" w:firstLine="0"/>
        <w:jc w:val="right"/>
        <w:rPr>
          <w:sz w:val="14"/>
        </w:rPr>
      </w:pPr>
      <w:r>
        <w:rPr>
          <w:w w:val="110"/>
          <w:sz w:val="14"/>
        </w:rPr>
        <w:t>洒漏水</w:t>
      </w:r>
    </w:p>
    <w:p>
      <w:pPr>
        <w:spacing w:before="87"/>
        <w:ind w:left="122" w:right="0" w:firstLine="0"/>
        <w:jc w:val="left"/>
        <w:rPr>
          <w:rFonts w:ascii="Times New Roman" w:eastAsia="Times New Roman"/>
          <w:sz w:val="14"/>
        </w:rPr>
      </w:pPr>
      <w:r>
        <w:rPr/>
        <w:br w:type="column"/>
      </w:r>
      <w:r>
        <w:rPr>
          <w:w w:val="110"/>
          <w:sz w:val="14"/>
        </w:rPr>
        <w:t>损耗</w:t>
      </w:r>
      <w:r>
        <w:rPr>
          <w:rFonts w:ascii="Times New Roman" w:eastAsia="Times New Roman"/>
          <w:w w:val="110"/>
          <w:sz w:val="14"/>
        </w:rPr>
        <w:t>1322.21</w:t>
      </w:r>
    </w:p>
    <w:p>
      <w:pPr>
        <w:pStyle w:val="BodyText"/>
        <w:ind w:left="0"/>
        <w:rPr>
          <w:rFonts w:ascii="Times New Roman"/>
          <w:sz w:val="16"/>
        </w:rPr>
      </w:pPr>
      <w:r>
        <w:rPr/>
        <w:br w:type="column"/>
      </w:r>
      <w:r>
        <w:rPr>
          <w:rFonts w:ascii="Times New Roman"/>
          <w:sz w:val="16"/>
        </w:rPr>
      </w:r>
    </w:p>
    <w:p>
      <w:pPr>
        <w:pStyle w:val="BodyText"/>
        <w:spacing w:before="9"/>
        <w:ind w:left="0"/>
        <w:rPr>
          <w:rFonts w:ascii="Times New Roman"/>
          <w:sz w:val="14"/>
        </w:rPr>
      </w:pPr>
    </w:p>
    <w:p>
      <w:pPr>
        <w:spacing w:before="0"/>
        <w:ind w:left="197" w:right="0" w:firstLine="0"/>
        <w:jc w:val="left"/>
        <w:rPr>
          <w:rFonts w:ascii="Times New Roman"/>
          <w:sz w:val="14"/>
        </w:rPr>
      </w:pPr>
      <w:r>
        <w:rPr>
          <w:rFonts w:ascii="Times New Roman"/>
          <w:w w:val="110"/>
          <w:sz w:val="14"/>
        </w:rPr>
        <w:t>3966.62</w:t>
      </w:r>
    </w:p>
    <w:p>
      <w:pPr>
        <w:spacing w:after="0"/>
        <w:jc w:val="left"/>
        <w:rPr>
          <w:rFonts w:ascii="Times New Roman"/>
          <w:sz w:val="14"/>
        </w:rPr>
        <w:sectPr>
          <w:type w:val="continuous"/>
          <w:pgSz w:w="11910" w:h="16840"/>
          <w:pgMar w:top="1400" w:bottom="1200" w:left="1040" w:right="1160"/>
          <w:cols w:num="3" w:equalWidth="0">
            <w:col w:w="4135" w:space="40"/>
            <w:col w:w="936" w:space="39"/>
            <w:col w:w="4560"/>
          </w:cols>
        </w:sectPr>
      </w:pPr>
    </w:p>
    <w:p>
      <w:pPr>
        <w:pStyle w:val="BodyText"/>
        <w:spacing w:before="8"/>
        <w:ind w:left="0"/>
        <w:rPr>
          <w:rFonts w:ascii="Times New Roman"/>
          <w:sz w:val="9"/>
        </w:rPr>
      </w:pPr>
    </w:p>
    <w:p>
      <w:pPr>
        <w:spacing w:after="0"/>
        <w:rPr>
          <w:rFonts w:ascii="Times New Roman"/>
          <w:sz w:val="9"/>
        </w:rPr>
        <w:sectPr>
          <w:type w:val="continuous"/>
          <w:pgSz w:w="11910" w:h="16840"/>
          <w:pgMar w:top="1400" w:bottom="1200" w:left="1040" w:right="1160"/>
        </w:sectPr>
      </w:pPr>
    </w:p>
    <w:p>
      <w:pPr>
        <w:pStyle w:val="BodyText"/>
        <w:ind w:left="0"/>
        <w:rPr>
          <w:rFonts w:ascii="Times New Roman"/>
          <w:sz w:val="16"/>
        </w:rPr>
      </w:pPr>
    </w:p>
    <w:p>
      <w:pPr>
        <w:pStyle w:val="BodyText"/>
        <w:spacing w:before="11"/>
        <w:ind w:left="0"/>
        <w:rPr>
          <w:rFonts w:ascii="Times New Roman"/>
          <w:sz w:val="13"/>
        </w:rPr>
      </w:pPr>
    </w:p>
    <w:p>
      <w:pPr>
        <w:spacing w:before="0"/>
        <w:ind w:left="0" w:right="0" w:firstLine="0"/>
        <w:jc w:val="right"/>
        <w:rPr>
          <w:rFonts w:ascii="Times New Roman"/>
          <w:sz w:val="14"/>
        </w:rPr>
      </w:pPr>
      <w:r>
        <w:rPr/>
        <w:pict>
          <v:shape style="position:absolute;margin-left:187.459564pt;margin-top:2.685209pt;width:68.6pt;height:16.05pt;mso-position-horizontal-relative:page;mso-position-vertical-relative:paragraph;z-index:251771904" type="#_x0000_t202" filled="false" stroked="true" strokeweight=".143121pt" strokecolor="#000000">
            <v:textbox inset="0,0,0,0">
              <w:txbxContent>
                <w:p>
                  <w:pPr>
                    <w:spacing w:before="65"/>
                    <w:ind w:left="215" w:right="0" w:firstLine="0"/>
                    <w:jc w:val="left"/>
                    <w:rPr>
                      <w:sz w:val="14"/>
                    </w:rPr>
                  </w:pPr>
                  <w:r>
                    <w:rPr>
                      <w:w w:val="110"/>
                      <w:sz w:val="14"/>
                    </w:rPr>
                    <w:t>猪舍冲洗用水</w:t>
                  </w:r>
                </w:p>
              </w:txbxContent>
            </v:textbox>
            <v:stroke dashstyle="solid"/>
            <w10:wrap type="none"/>
          </v:shape>
        </w:pict>
      </w:r>
      <w:r>
        <w:rPr>
          <w:rFonts w:ascii="Times New Roman"/>
          <w:w w:val="110"/>
          <w:sz w:val="14"/>
        </w:rPr>
        <w:t>51723.00</w:t>
      </w:r>
    </w:p>
    <w:p>
      <w:pPr>
        <w:spacing w:before="87"/>
        <w:ind w:left="0" w:right="0" w:firstLine="0"/>
        <w:jc w:val="right"/>
        <w:rPr>
          <w:rFonts w:ascii="Times New Roman" w:eastAsia="Times New Roman"/>
          <w:sz w:val="14"/>
        </w:rPr>
      </w:pPr>
      <w:r>
        <w:rPr/>
        <w:br w:type="column"/>
      </w:r>
      <w:r>
        <w:rPr>
          <w:w w:val="110"/>
          <w:sz w:val="14"/>
        </w:rPr>
        <w:t>损耗</w:t>
      </w:r>
      <w:r>
        <w:rPr>
          <w:rFonts w:ascii="Times New Roman" w:eastAsia="Times New Roman"/>
          <w:w w:val="110"/>
          <w:sz w:val="14"/>
        </w:rPr>
        <w:t>4482.70</w:t>
      </w:r>
    </w:p>
    <w:p>
      <w:pPr>
        <w:pStyle w:val="BodyText"/>
        <w:ind w:left="0"/>
        <w:rPr>
          <w:rFonts w:ascii="Times New Roman"/>
          <w:sz w:val="16"/>
        </w:rPr>
      </w:pPr>
      <w:r>
        <w:rPr/>
        <w:br w:type="column"/>
      </w:r>
      <w:r>
        <w:rPr>
          <w:rFonts w:ascii="Times New Roman"/>
          <w:sz w:val="16"/>
        </w:rPr>
      </w:r>
    </w:p>
    <w:p>
      <w:pPr>
        <w:pStyle w:val="BodyText"/>
        <w:spacing w:before="10"/>
        <w:ind w:left="0"/>
        <w:rPr>
          <w:rFonts w:ascii="Times New Roman"/>
          <w:sz w:val="14"/>
        </w:rPr>
      </w:pPr>
    </w:p>
    <w:p>
      <w:pPr>
        <w:spacing w:before="0"/>
        <w:ind w:left="173" w:right="0" w:firstLine="0"/>
        <w:jc w:val="left"/>
        <w:rPr>
          <w:rFonts w:ascii="Times New Roman"/>
          <w:sz w:val="14"/>
        </w:rPr>
      </w:pPr>
      <w:r>
        <w:rPr>
          <w:rFonts w:ascii="Times New Roman"/>
          <w:w w:val="110"/>
          <w:sz w:val="14"/>
        </w:rPr>
        <w:t>47240.30</w:t>
      </w:r>
    </w:p>
    <w:p>
      <w:pPr>
        <w:spacing w:after="0"/>
        <w:jc w:val="left"/>
        <w:rPr>
          <w:rFonts w:ascii="Times New Roman"/>
          <w:sz w:val="14"/>
        </w:rPr>
        <w:sectPr>
          <w:type w:val="continuous"/>
          <w:pgSz w:w="11910" w:h="16840"/>
          <w:pgMar w:top="1400" w:bottom="1200" w:left="1040" w:right="1160"/>
          <w:cols w:num="3" w:equalWidth="0">
            <w:col w:w="2567" w:space="40"/>
            <w:col w:w="2490" w:space="39"/>
            <w:col w:w="4574"/>
          </w:cols>
        </w:sectPr>
      </w:pPr>
    </w:p>
    <w:p>
      <w:pPr>
        <w:pStyle w:val="BodyText"/>
        <w:spacing w:before="6"/>
        <w:ind w:left="0"/>
        <w:rPr>
          <w:rFonts w:ascii="Times New Roman"/>
          <w:sz w:val="3"/>
        </w:rPr>
      </w:pPr>
    </w:p>
    <w:p>
      <w:pPr>
        <w:pStyle w:val="BodyText"/>
        <w:ind w:left="6884"/>
        <w:rPr>
          <w:rFonts w:ascii="Times New Roman"/>
          <w:sz w:val="20"/>
        </w:rPr>
      </w:pPr>
      <w:r>
        <w:rPr>
          <w:rFonts w:ascii="Times New Roman"/>
          <w:sz w:val="20"/>
        </w:rPr>
        <w:pict>
          <v:shape style="width:43.05pt;height:16.05pt;mso-position-horizontal-relative:char;mso-position-vertical-relative:line" type="#_x0000_t202" filled="false" stroked="true" strokeweight=".144117pt" strokecolor="#000000">
            <w10:anchorlock/>
            <v:textbox inset="0,0,0,0">
              <w:txbxContent>
                <w:p>
                  <w:pPr>
                    <w:spacing w:before="67"/>
                    <w:ind w:left="121" w:right="0" w:firstLine="0"/>
                    <w:jc w:val="left"/>
                    <w:rPr>
                      <w:sz w:val="14"/>
                    </w:rPr>
                  </w:pPr>
                  <w:r>
                    <w:rPr>
                      <w:w w:val="110"/>
                      <w:sz w:val="14"/>
                    </w:rPr>
                    <w:t>初期雨水</w:t>
                  </w:r>
                </w:p>
              </w:txbxContent>
            </v:textbox>
            <v:stroke dashstyle="solid"/>
          </v:shape>
        </w:pict>
      </w:r>
      <w:r>
        <w:rPr>
          <w:rFonts w:ascii="Times New Roman"/>
          <w:sz w:val="20"/>
        </w:rPr>
      </w:r>
    </w:p>
    <w:p>
      <w:pPr>
        <w:spacing w:after="0"/>
        <w:rPr>
          <w:rFonts w:ascii="Times New Roman"/>
          <w:sz w:val="20"/>
        </w:rPr>
        <w:sectPr>
          <w:type w:val="continuous"/>
          <w:pgSz w:w="11910" w:h="16840"/>
          <w:pgMar w:top="1400" w:bottom="1200" w:left="1040" w:right="1160"/>
        </w:sectPr>
      </w:pPr>
    </w:p>
    <w:p>
      <w:pPr>
        <w:pStyle w:val="BodyText"/>
        <w:ind w:left="0"/>
        <w:rPr>
          <w:rFonts w:ascii="Times New Roman"/>
          <w:sz w:val="16"/>
        </w:rPr>
      </w:pPr>
    </w:p>
    <w:p>
      <w:pPr>
        <w:pStyle w:val="BodyText"/>
        <w:spacing w:before="4"/>
        <w:ind w:left="0"/>
        <w:rPr>
          <w:rFonts w:ascii="Times New Roman"/>
          <w:sz w:val="16"/>
        </w:rPr>
      </w:pPr>
    </w:p>
    <w:p>
      <w:pPr>
        <w:spacing w:before="0"/>
        <w:ind w:left="0" w:right="36" w:firstLine="0"/>
        <w:jc w:val="right"/>
        <w:rPr>
          <w:rFonts w:ascii="Times New Roman"/>
          <w:sz w:val="14"/>
        </w:rPr>
      </w:pPr>
      <w:r>
        <w:rPr>
          <w:rFonts w:ascii="Times New Roman"/>
          <w:w w:val="110"/>
          <w:sz w:val="14"/>
        </w:rPr>
        <w:t>1800.00</w:t>
      </w:r>
    </w:p>
    <w:p>
      <w:pPr>
        <w:pStyle w:val="BodyText"/>
        <w:spacing w:before="8"/>
        <w:ind w:left="0"/>
        <w:rPr>
          <w:rFonts w:ascii="Times New Roman"/>
          <w:sz w:val="14"/>
        </w:rPr>
      </w:pPr>
      <w:r>
        <w:rPr/>
        <w:pict>
          <v:shape style="position:absolute;margin-left:74.150490pt;margin-top:10.531421pt;width:51.3pt;height:22.7pt;mso-position-horizontal-relative:page;mso-position-vertical-relative:paragraph;z-index:-251554816;mso-wrap-distance-left:0;mso-wrap-distance-right:0" type="#_x0000_t202" filled="false" stroked="true" strokeweight=".144705pt" strokecolor="#000000">
            <v:textbox inset="0,0,0,0">
              <w:txbxContent>
                <w:p>
                  <w:pPr>
                    <w:spacing w:before="45"/>
                    <w:ind w:left="281" w:right="0" w:firstLine="0"/>
                    <w:jc w:val="left"/>
                    <w:rPr>
                      <w:sz w:val="14"/>
                    </w:rPr>
                  </w:pPr>
                  <w:r>
                    <w:rPr>
                      <w:w w:val="110"/>
                      <w:sz w:val="14"/>
                    </w:rPr>
                    <w:t>新鲜水</w:t>
                  </w:r>
                </w:p>
                <w:p>
                  <w:pPr>
                    <w:spacing w:before="5"/>
                    <w:ind w:left="184" w:right="0" w:firstLine="0"/>
                    <w:jc w:val="left"/>
                    <w:rPr>
                      <w:rFonts w:ascii="Times New Roman"/>
                      <w:sz w:val="14"/>
                    </w:rPr>
                  </w:pPr>
                  <w:r>
                    <w:rPr>
                      <w:rFonts w:ascii="Times New Roman"/>
                      <w:w w:val="110"/>
                      <w:sz w:val="14"/>
                    </w:rPr>
                    <w:t>196320.31</w:t>
                  </w:r>
                </w:p>
              </w:txbxContent>
            </v:textbox>
            <v:stroke dashstyle="solid"/>
            <w10:wrap type="topAndBottom"/>
          </v:shape>
        </w:pict>
      </w:r>
    </w:p>
    <w:p>
      <w:pPr>
        <w:pStyle w:val="BodyText"/>
        <w:ind w:left="0"/>
        <w:rPr>
          <w:rFonts w:ascii="Times New Roman"/>
          <w:sz w:val="16"/>
        </w:rPr>
      </w:pPr>
    </w:p>
    <w:p>
      <w:pPr>
        <w:pStyle w:val="BodyText"/>
        <w:spacing w:before="2"/>
        <w:ind w:left="0"/>
        <w:rPr>
          <w:rFonts w:ascii="Times New Roman"/>
          <w:sz w:val="19"/>
        </w:rPr>
      </w:pPr>
    </w:p>
    <w:p>
      <w:pPr>
        <w:spacing w:before="0"/>
        <w:ind w:left="0" w:right="0" w:firstLine="0"/>
        <w:jc w:val="right"/>
        <w:rPr>
          <w:rFonts w:ascii="Times New Roman"/>
          <w:sz w:val="14"/>
        </w:rPr>
      </w:pPr>
      <w:r>
        <w:rPr>
          <w:rFonts w:ascii="Times New Roman"/>
          <w:spacing w:val="-1"/>
          <w:w w:val="110"/>
          <w:sz w:val="14"/>
        </w:rPr>
        <w:t>33078.80</w:t>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5"/>
        <w:ind w:left="0"/>
        <w:rPr>
          <w:rFonts w:ascii="Times New Roman"/>
          <w:sz w:val="13"/>
        </w:rPr>
      </w:pPr>
    </w:p>
    <w:p>
      <w:pPr>
        <w:spacing w:before="0"/>
        <w:ind w:left="0" w:right="36" w:firstLine="0"/>
        <w:jc w:val="right"/>
        <w:rPr>
          <w:rFonts w:ascii="Times New Roman"/>
          <w:sz w:val="14"/>
        </w:rPr>
      </w:pPr>
      <w:r>
        <w:rPr>
          <w:rFonts w:ascii="Times New Roman"/>
          <w:w w:val="110"/>
          <w:sz w:val="14"/>
        </w:rPr>
        <w:t>3942.00</w:t>
      </w:r>
    </w:p>
    <w:p>
      <w:pPr>
        <w:spacing w:before="83"/>
        <w:ind w:left="0" w:right="0" w:firstLine="0"/>
        <w:jc w:val="right"/>
        <w:rPr>
          <w:rFonts w:ascii="Times New Roman" w:eastAsia="Times New Roman"/>
          <w:sz w:val="14"/>
        </w:rPr>
      </w:pPr>
      <w:r>
        <w:rPr/>
        <w:br w:type="column"/>
      </w:r>
      <w:r>
        <w:rPr>
          <w:w w:val="110"/>
          <w:sz w:val="14"/>
        </w:rPr>
        <w:t>损耗</w:t>
      </w:r>
      <w:r>
        <w:rPr>
          <w:rFonts w:ascii="Times New Roman" w:eastAsia="Times New Roman"/>
          <w:w w:val="110"/>
          <w:sz w:val="14"/>
        </w:rPr>
        <w:t>1800.00</w:t>
      </w:r>
    </w:p>
    <w:p>
      <w:pPr>
        <w:pStyle w:val="BodyText"/>
        <w:spacing w:before="2"/>
        <w:ind w:left="0"/>
        <w:rPr>
          <w:rFonts w:ascii="Times New Roman"/>
          <w:sz w:val="11"/>
        </w:rPr>
      </w:pPr>
      <w:r>
        <w:rPr/>
        <w:pict>
          <v:shape style="position:absolute;margin-left:187.338638pt;margin-top:8.488633pt;width:68.7pt;height:15.6pt;mso-position-horizontal-relative:page;mso-position-vertical-relative:paragraph;z-index:-251553792;mso-wrap-distance-left:0;mso-wrap-distance-right:0" type="#_x0000_t202" filled="false" stroked="true" strokeweight=".143082pt" strokecolor="#000000">
            <v:textbox inset="0,0,0,0">
              <w:txbxContent>
                <w:p>
                  <w:pPr>
                    <w:spacing w:before="59"/>
                    <w:ind w:left="297" w:right="0" w:firstLine="0"/>
                    <w:jc w:val="left"/>
                    <w:rPr>
                      <w:sz w:val="14"/>
                    </w:rPr>
                  </w:pPr>
                  <w:r>
                    <w:rPr>
                      <w:w w:val="110"/>
                      <w:sz w:val="14"/>
                    </w:rPr>
                    <w:t>湿帘补充水</w:t>
                  </w:r>
                </w:p>
              </w:txbxContent>
            </v:textbox>
            <v:stroke dashstyle="solid"/>
            <w10:wrap type="topAndBottom"/>
          </v:shape>
        </w:pict>
      </w:r>
    </w:p>
    <w:p>
      <w:pPr>
        <w:spacing w:before="81"/>
        <w:ind w:left="1588" w:right="0" w:firstLine="0"/>
        <w:jc w:val="left"/>
        <w:rPr>
          <w:sz w:val="14"/>
        </w:rPr>
      </w:pPr>
      <w:r>
        <w:rPr>
          <w:w w:val="110"/>
          <w:sz w:val="14"/>
        </w:rPr>
        <w:t>循环使用</w:t>
      </w:r>
    </w:p>
    <w:p>
      <w:pPr>
        <w:pStyle w:val="BodyText"/>
        <w:ind w:left="0"/>
        <w:rPr>
          <w:sz w:val="14"/>
        </w:rPr>
      </w:pPr>
    </w:p>
    <w:p>
      <w:pPr>
        <w:pStyle w:val="BodyText"/>
        <w:spacing w:before="8"/>
        <w:ind w:left="0"/>
        <w:rPr>
          <w:sz w:val="12"/>
        </w:rPr>
      </w:pPr>
    </w:p>
    <w:p>
      <w:pPr>
        <w:spacing w:before="0"/>
        <w:ind w:left="0" w:right="0" w:firstLine="0"/>
        <w:jc w:val="right"/>
        <w:rPr>
          <w:rFonts w:ascii="Times New Roman" w:eastAsia="Times New Roman"/>
          <w:sz w:val="14"/>
        </w:rPr>
      </w:pPr>
      <w:r>
        <w:rPr/>
        <w:pict>
          <v:shape style="position:absolute;margin-left:222.891312pt;margin-top:33.302982pt;width:75.75pt;height:13.8pt;mso-position-horizontal-relative:page;mso-position-vertical-relative:paragraph;z-index:251770880" type="#_x0000_t202" filled="false" stroked="true" strokeweight=".143674pt" strokecolor="#000000">
            <v:textbox inset="0,0,0,0">
              <w:txbxContent>
                <w:p>
                  <w:pPr>
                    <w:spacing w:before="73"/>
                    <w:ind w:left="775" w:right="0" w:firstLine="0"/>
                    <w:jc w:val="left"/>
                    <w:rPr>
                      <w:sz w:val="14"/>
                    </w:rPr>
                  </w:pPr>
                  <w:r>
                    <w:rPr>
                      <w:w w:val="110"/>
                      <w:sz w:val="14"/>
                    </w:rPr>
                    <w:t>循环使用</w:t>
                  </w:r>
                </w:p>
              </w:txbxContent>
            </v:textbox>
            <v:stroke dashstyle="solid"/>
            <w10:wrap type="none"/>
          </v:shape>
        </w:pict>
      </w:r>
      <w:r>
        <w:rPr>
          <w:w w:val="110"/>
          <w:sz w:val="14"/>
        </w:rPr>
        <w:t>损耗</w:t>
      </w:r>
      <w:r>
        <w:rPr>
          <w:rFonts w:ascii="Times New Roman" w:eastAsia="Times New Roman"/>
          <w:w w:val="110"/>
          <w:sz w:val="14"/>
        </w:rPr>
        <w:t>6606.50</w:t>
      </w:r>
    </w:p>
    <w:p>
      <w:pPr>
        <w:pStyle w:val="BodyText"/>
        <w:spacing w:before="2"/>
        <w:ind w:left="0"/>
        <w:rPr>
          <w:rFonts w:ascii="Times New Roman"/>
          <w:sz w:val="11"/>
        </w:rPr>
      </w:pPr>
    </w:p>
    <w:p>
      <w:pPr>
        <w:pStyle w:val="BodyText"/>
        <w:ind w:left="101"/>
        <w:rPr>
          <w:rFonts w:ascii="Times New Roman"/>
          <w:sz w:val="20"/>
        </w:rPr>
      </w:pPr>
      <w:r>
        <w:rPr>
          <w:rFonts w:ascii="Times New Roman"/>
          <w:sz w:val="20"/>
        </w:rPr>
        <w:pict>
          <v:shape style="width:73.45pt;height:17.8pt;mso-position-horizontal-relative:char;mso-position-vertical-relative:line" type="#_x0000_t202" filled="false" stroked="true" strokeweight=".143031pt" strokecolor="#000000">
            <w10:anchorlock/>
            <v:textbox inset="0,0,0,0">
              <w:txbxContent>
                <w:p>
                  <w:pPr>
                    <w:spacing w:before="66"/>
                    <w:ind w:left="36" w:right="0" w:firstLine="0"/>
                    <w:jc w:val="left"/>
                    <w:rPr>
                      <w:sz w:val="14"/>
                    </w:rPr>
                  </w:pPr>
                  <w:r>
                    <w:rPr>
                      <w:w w:val="110"/>
                      <w:sz w:val="14"/>
                    </w:rPr>
                    <w:t>废气处理设施补充水</w:t>
                  </w:r>
                </w:p>
              </w:txbxContent>
            </v:textbox>
            <v:stroke dashstyle="solid"/>
          </v:shape>
        </w:pict>
      </w:r>
      <w:r>
        <w:rPr>
          <w:rFonts w:ascii="Times New Roman"/>
          <w:sz w:val="20"/>
        </w:rPr>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6"/>
        <w:ind w:left="0"/>
        <w:rPr>
          <w:rFonts w:ascii="Times New Roman"/>
          <w:sz w:val="14"/>
        </w:rPr>
      </w:pPr>
    </w:p>
    <w:p>
      <w:pPr>
        <w:spacing w:before="0"/>
        <w:ind w:left="0" w:right="28" w:firstLine="0"/>
        <w:jc w:val="right"/>
        <w:rPr>
          <w:rFonts w:ascii="Times New Roman" w:eastAsia="Times New Roman"/>
          <w:sz w:val="14"/>
        </w:rPr>
      </w:pPr>
      <w:r>
        <w:rPr/>
        <w:pict>
          <v:shape style="position:absolute;margin-left:187.459564pt;margin-top:15.770627pt;width:68.6pt;height:15.6pt;mso-position-horizontal-relative:page;mso-position-vertical-relative:paragraph;z-index:251769856" type="#_x0000_t202" filled="false" stroked="true" strokeweight=".143092pt" strokecolor="#000000">
            <v:textbox inset="0,0,0,0">
              <w:txbxContent>
                <w:p>
                  <w:pPr>
                    <w:spacing w:before="61"/>
                    <w:ind w:left="219" w:right="0" w:firstLine="0"/>
                    <w:jc w:val="left"/>
                    <w:rPr>
                      <w:sz w:val="14"/>
                    </w:rPr>
                  </w:pPr>
                  <w:r>
                    <w:rPr>
                      <w:w w:val="110"/>
                      <w:sz w:val="14"/>
                    </w:rPr>
                    <w:t>职工生活用水</w:t>
                  </w:r>
                </w:p>
              </w:txbxContent>
            </v:textbox>
            <v:stroke dashstyle="solid"/>
            <w10:wrap type="none"/>
          </v:shape>
        </w:pict>
      </w:r>
      <w:r>
        <w:rPr>
          <w:w w:val="110"/>
          <w:sz w:val="14"/>
        </w:rPr>
        <w:t>损耗</w:t>
      </w:r>
      <w:r>
        <w:rPr>
          <w:rFonts w:ascii="Times New Roman" w:eastAsia="Times New Roman"/>
          <w:w w:val="110"/>
          <w:sz w:val="14"/>
        </w:rPr>
        <w:t>591.30</w:t>
      </w:r>
    </w:p>
    <w:p>
      <w:pPr>
        <w:pStyle w:val="BodyText"/>
        <w:ind w:left="0"/>
        <w:rPr>
          <w:rFonts w:ascii="Times New Roman"/>
          <w:sz w:val="16"/>
        </w:rPr>
      </w:pPr>
      <w:r>
        <w:rPr/>
        <w:br w:type="column"/>
      </w:r>
      <w:r>
        <w:rPr>
          <w:rFonts w:ascii="Times New Roman"/>
          <w:sz w:val="16"/>
        </w:rPr>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2"/>
        <w:ind w:left="0"/>
        <w:rPr>
          <w:rFonts w:ascii="Times New Roman"/>
          <w:sz w:val="20"/>
        </w:rPr>
      </w:pPr>
    </w:p>
    <w:p>
      <w:pPr>
        <w:spacing w:before="0"/>
        <w:ind w:left="161" w:right="0" w:firstLine="0"/>
        <w:jc w:val="left"/>
        <w:rPr>
          <w:rFonts w:ascii="Times New Roman"/>
          <w:sz w:val="14"/>
        </w:rPr>
      </w:pPr>
      <w:r>
        <w:rPr>
          <w:rFonts w:ascii="Times New Roman"/>
          <w:w w:val="110"/>
          <w:sz w:val="14"/>
        </w:rPr>
        <w:t>26472.30</w:t>
      </w: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ind w:left="0"/>
        <w:rPr>
          <w:rFonts w:ascii="Times New Roman"/>
          <w:sz w:val="16"/>
        </w:rPr>
      </w:pPr>
    </w:p>
    <w:p>
      <w:pPr>
        <w:pStyle w:val="BodyText"/>
        <w:spacing w:before="1"/>
        <w:ind w:left="0"/>
        <w:rPr>
          <w:rFonts w:ascii="Times New Roman"/>
          <w:sz w:val="22"/>
        </w:rPr>
      </w:pPr>
    </w:p>
    <w:p>
      <w:pPr>
        <w:spacing w:before="0"/>
        <w:ind w:left="240" w:right="0" w:firstLine="0"/>
        <w:jc w:val="left"/>
        <w:rPr>
          <w:rFonts w:ascii="Times New Roman"/>
          <w:sz w:val="14"/>
        </w:rPr>
      </w:pPr>
      <w:r>
        <w:rPr>
          <w:rFonts w:ascii="Times New Roman"/>
          <w:w w:val="110"/>
          <w:sz w:val="14"/>
        </w:rPr>
        <w:t>3350.70</w:t>
      </w:r>
    </w:p>
    <w:p>
      <w:pPr>
        <w:spacing w:before="21"/>
        <w:ind w:left="121" w:right="0" w:firstLine="0"/>
        <w:jc w:val="left"/>
        <w:rPr>
          <w:rFonts w:ascii="Times New Roman"/>
          <w:sz w:val="14"/>
        </w:rPr>
      </w:pPr>
      <w:r>
        <w:rPr/>
        <w:br w:type="column"/>
      </w:r>
      <w:r>
        <w:rPr>
          <w:rFonts w:ascii="Times New Roman"/>
          <w:w w:val="110"/>
          <w:sz w:val="14"/>
        </w:rPr>
        <w:t>102333.86</w:t>
      </w:r>
    </w:p>
    <w:p>
      <w:pPr>
        <w:pStyle w:val="BodyText"/>
        <w:ind w:left="0"/>
        <w:rPr>
          <w:rFonts w:ascii="Times New Roman"/>
          <w:sz w:val="16"/>
        </w:rPr>
      </w:pPr>
    </w:p>
    <w:p>
      <w:pPr>
        <w:pStyle w:val="BodyText"/>
        <w:ind w:left="0"/>
        <w:rPr>
          <w:rFonts w:ascii="Times New Roman"/>
          <w:sz w:val="16"/>
        </w:rPr>
      </w:pPr>
    </w:p>
    <w:p>
      <w:pPr>
        <w:pStyle w:val="BodyText"/>
        <w:spacing w:before="9"/>
        <w:ind w:left="0"/>
        <w:rPr>
          <w:rFonts w:ascii="Times New Roman"/>
          <w:sz w:val="20"/>
        </w:rPr>
      </w:pPr>
    </w:p>
    <w:p>
      <w:pPr>
        <w:spacing w:before="0"/>
        <w:ind w:left="209" w:right="0" w:firstLine="0"/>
        <w:jc w:val="left"/>
        <w:rPr>
          <w:rFonts w:ascii="Times New Roman"/>
          <w:sz w:val="14"/>
        </w:rPr>
      </w:pPr>
      <w:r>
        <w:rPr>
          <w:rFonts w:ascii="Times New Roman"/>
          <w:w w:val="110"/>
          <w:sz w:val="14"/>
        </w:rPr>
        <w:t>132156.86</w:t>
      </w:r>
    </w:p>
    <w:p>
      <w:pPr>
        <w:pStyle w:val="BodyText"/>
        <w:spacing w:before="8"/>
        <w:ind w:left="0"/>
        <w:rPr>
          <w:rFonts w:ascii="Times New Roman"/>
          <w:sz w:val="17"/>
        </w:rPr>
      </w:pPr>
      <w:r>
        <w:rPr/>
        <w:br w:type="column"/>
      </w:r>
      <w:r>
        <w:rPr>
          <w:rFonts w:ascii="Times New Roman"/>
          <w:sz w:val="17"/>
        </w:rPr>
      </w:r>
    </w:p>
    <w:p>
      <w:pPr>
        <w:spacing w:before="1"/>
        <w:ind w:left="513" w:right="0" w:firstLine="0"/>
        <w:jc w:val="left"/>
        <w:rPr>
          <w:rFonts w:ascii="Times New Roman"/>
          <w:sz w:val="14"/>
        </w:rPr>
      </w:pPr>
      <w:r>
        <w:rPr>
          <w:rFonts w:ascii="Times New Roman"/>
          <w:w w:val="110"/>
          <w:sz w:val="14"/>
        </w:rPr>
        <w:t>1180.56</w:t>
      </w:r>
    </w:p>
    <w:p>
      <w:pPr>
        <w:pStyle w:val="BodyText"/>
        <w:ind w:left="0"/>
        <w:rPr>
          <w:rFonts w:ascii="Times New Roman"/>
          <w:sz w:val="16"/>
        </w:rPr>
      </w:pPr>
    </w:p>
    <w:p>
      <w:pPr>
        <w:pStyle w:val="BodyText"/>
        <w:spacing w:before="9"/>
        <w:ind w:left="0"/>
        <w:rPr>
          <w:rFonts w:ascii="Times New Roman"/>
          <w:sz w:val="20"/>
        </w:rPr>
      </w:pPr>
    </w:p>
    <w:p>
      <w:pPr>
        <w:spacing w:before="0"/>
        <w:ind w:left="946" w:right="0" w:firstLine="0"/>
        <w:jc w:val="left"/>
        <w:rPr>
          <w:rFonts w:ascii="Times New Roman"/>
          <w:sz w:val="14"/>
        </w:rPr>
      </w:pPr>
      <w:r>
        <w:rPr/>
        <w:pict>
          <v:group style="position:absolute;margin-left:416.133484pt;margin-top:-41.425991pt;width:3.4pt;height:39.6pt;mso-position-horizontal-relative:page;mso-position-vertical-relative:paragraph;z-index:251766784" coordorigin="8323,-829" coordsize="68,792">
            <v:line style="position:absolute" from="8361,-829" to="8361,-90" stroked="true" strokeweight=".154774pt" strokecolor="#000000">
              <v:stroke dashstyle="solid"/>
            </v:line>
            <v:shape style="position:absolute;left:8322;top:-99;width:68;height:63" coordorigin="8323,-99" coordsize="68,63" path="m8390,-99l8323,-99,8361,-37,8390,-99xe" filled="true" fillcolor="#000000" stroked="false">
              <v:path arrowok="t"/>
              <v:fill type="solid"/>
            </v:shape>
            <w10:wrap type="none"/>
          </v:group>
        </w:pict>
      </w:r>
      <w:r>
        <w:rPr/>
        <w:pict>
          <v:shape style="position:absolute;margin-left:396.301361pt;margin-top:-1.829141pt;width:43.05pt;height:22.7pt;mso-position-horizontal-relative:page;mso-position-vertical-relative:paragraph;z-index:251768832" type="#_x0000_t202" filled="false" stroked="true" strokeweight=".145441pt" strokecolor="#000000">
            <v:textbox inset="0,0,0,0">
              <w:txbxContent>
                <w:p>
                  <w:pPr>
                    <w:pStyle w:val="BodyText"/>
                    <w:spacing w:before="7"/>
                    <w:ind w:left="0"/>
                    <w:rPr>
                      <w:rFonts w:ascii="Times New Roman"/>
                      <w:b/>
                      <w:sz w:val="11"/>
                    </w:rPr>
                  </w:pPr>
                </w:p>
                <w:p>
                  <w:pPr>
                    <w:spacing w:before="0"/>
                    <w:ind w:left="44" w:right="0" w:firstLine="0"/>
                    <w:jc w:val="left"/>
                    <w:rPr>
                      <w:sz w:val="14"/>
                    </w:rPr>
                  </w:pPr>
                  <w:r>
                    <w:rPr>
                      <w:w w:val="110"/>
                      <w:sz w:val="14"/>
                    </w:rPr>
                    <w:t>污水处理站</w:t>
                  </w:r>
                </w:p>
              </w:txbxContent>
            </v:textbox>
            <v:stroke dashstyle="solid"/>
            <w10:wrap type="none"/>
          </v:shape>
        </w:pict>
      </w:r>
      <w:r>
        <w:rPr/>
        <w:pict>
          <v:shape style="position:absolute;margin-left:476.597229pt;margin-top:-1.829139pt;width:42.6pt;height:22.7pt;mso-position-horizontal-relative:page;mso-position-vertical-relative:paragraph;z-index:251778048" type="#_x0000_t202" filled="false" stroked="true" strokeweight=".145493pt" strokecolor="#000000">
            <v:textbox inset="0,0,0,0">
              <w:txbxContent>
                <w:p>
                  <w:pPr>
                    <w:pStyle w:val="BodyText"/>
                    <w:spacing w:before="8"/>
                    <w:ind w:left="0"/>
                    <w:rPr>
                      <w:rFonts w:ascii="Times New Roman"/>
                      <w:b/>
                      <w:sz w:val="11"/>
                    </w:rPr>
                  </w:pPr>
                </w:p>
                <w:p>
                  <w:pPr>
                    <w:spacing w:before="0"/>
                    <w:ind w:left="115" w:right="0" w:firstLine="0"/>
                    <w:jc w:val="left"/>
                    <w:rPr>
                      <w:sz w:val="14"/>
                    </w:rPr>
                  </w:pPr>
                  <w:r>
                    <w:rPr>
                      <w:w w:val="110"/>
                      <w:sz w:val="14"/>
                    </w:rPr>
                    <w:t>达标纳管</w:t>
                  </w:r>
                </w:p>
              </w:txbxContent>
            </v:textbox>
            <v:stroke dashstyle="solid"/>
            <w10:wrap type="none"/>
          </v:shape>
        </w:pict>
      </w:r>
      <w:r>
        <w:rPr>
          <w:rFonts w:ascii="Times New Roman"/>
          <w:w w:val="110"/>
          <w:sz w:val="14"/>
        </w:rPr>
        <w:t>133337.42</w:t>
      </w:r>
    </w:p>
    <w:p>
      <w:pPr>
        <w:pStyle w:val="BodyText"/>
        <w:spacing w:line="62" w:lineRule="exact"/>
        <w:ind w:left="906"/>
        <w:rPr>
          <w:rFonts w:ascii="Times New Roman"/>
          <w:sz w:val="6"/>
        </w:rPr>
      </w:pPr>
      <w:r>
        <w:rPr>
          <w:rFonts w:ascii="Times New Roman"/>
          <w:position w:val="0"/>
          <w:sz w:val="6"/>
        </w:rPr>
        <w:pict>
          <v:group style="width:37.25pt;height:3.15pt;mso-position-horizontal-relative:char;mso-position-vertical-relative:line" coordorigin="0,0" coordsize="745,63">
            <v:shape style="position:absolute;left:0;top:35;width:678;height:2" coordorigin="0,36" coordsize="678,0" path="m0,36l135,36,677,36e" filled="false" stroked="true" strokeweight=".142359pt" strokecolor="#000000">
              <v:path arrowok="t"/>
              <v:stroke dashstyle="solid"/>
            </v:shape>
            <v:shape style="position:absolute;left:667;top:0;width:78;height:63" coordorigin="668,0" coordsize="78,63" path="m668,0l668,62,745,36,668,0xe" filled="true" fillcolor="#000000" stroked="false">
              <v:path arrowok="t"/>
              <v:fill type="solid"/>
            </v:shape>
          </v:group>
        </w:pict>
      </w:r>
      <w:r>
        <w:rPr>
          <w:rFonts w:ascii="Times New Roman"/>
          <w:position w:val="0"/>
          <w:sz w:val="6"/>
        </w:rPr>
      </w:r>
    </w:p>
    <w:p>
      <w:pPr>
        <w:spacing w:after="0" w:line="62" w:lineRule="exact"/>
        <w:rPr>
          <w:rFonts w:ascii="Times New Roman"/>
          <w:sz w:val="6"/>
        </w:rPr>
        <w:sectPr>
          <w:type w:val="continuous"/>
          <w:pgSz w:w="11910" w:h="16840"/>
          <w:pgMar w:top="1400" w:bottom="1200" w:left="1040" w:right="1160"/>
          <w:cols w:num="5" w:equalWidth="0">
            <w:col w:w="2567" w:space="40"/>
            <w:col w:w="2502" w:space="39"/>
            <w:col w:w="744" w:space="40"/>
            <w:col w:w="868" w:space="39"/>
            <w:col w:w="2871"/>
          </w:cols>
        </w:sectPr>
      </w:pPr>
    </w:p>
    <w:p>
      <w:pPr>
        <w:pStyle w:val="BodyText"/>
        <w:ind w:left="0"/>
        <w:rPr>
          <w:rFonts w:ascii="Times New Roman"/>
          <w:sz w:val="20"/>
        </w:rPr>
      </w:pPr>
    </w:p>
    <w:p>
      <w:pPr>
        <w:pStyle w:val="BodyText"/>
        <w:spacing w:before="3"/>
        <w:ind w:left="0"/>
        <w:rPr>
          <w:rFonts w:ascii="Times New Roman"/>
          <w:sz w:val="25"/>
        </w:rPr>
      </w:pPr>
    </w:p>
    <w:p>
      <w:pPr>
        <w:pStyle w:val="Heading3"/>
        <w:spacing w:before="74"/>
        <w:ind w:left="222" w:right="236"/>
        <w:jc w:val="center"/>
        <w:rPr>
          <w:rFonts w:ascii="Times New Roman" w:eastAsia="Times New Roman"/>
        </w:rPr>
      </w:pPr>
      <w:r>
        <w:rPr/>
        <w:t>图 </w:t>
      </w:r>
      <w:r>
        <w:rPr>
          <w:rFonts w:ascii="Times New Roman" w:eastAsia="Times New Roman"/>
        </w:rPr>
        <w:t>3.3-2  </w:t>
      </w:r>
      <w:r>
        <w:rPr/>
        <w:t>全年项目水平衡示意图 单位：</w:t>
      </w:r>
      <w:r>
        <w:rPr>
          <w:rFonts w:ascii="Times New Roman" w:eastAsia="Times New Roman"/>
        </w:rPr>
        <w:t>t/a</w:t>
      </w:r>
    </w:p>
    <w:p>
      <w:pPr>
        <w:spacing w:after="0"/>
        <w:jc w:val="center"/>
        <w:rPr>
          <w:rFonts w:ascii="Times New Roman" w:eastAsia="Times New Roman"/>
        </w:rPr>
        <w:sectPr>
          <w:type w:val="continuous"/>
          <w:pgSz w:w="11910" w:h="16840"/>
          <w:pgMar w:top="1400" w:bottom="1200" w:left="1040" w:right="1160"/>
        </w:sectPr>
      </w:pPr>
    </w:p>
    <w:p>
      <w:pPr>
        <w:pStyle w:val="ListParagraph"/>
        <w:numPr>
          <w:ilvl w:val="2"/>
          <w:numId w:val="48"/>
        </w:numPr>
        <w:tabs>
          <w:tab w:pos="838" w:val="left" w:leader="none"/>
        </w:tabs>
        <w:spacing w:line="240" w:lineRule="auto" w:before="105" w:after="0"/>
        <w:ind w:left="837" w:right="0" w:hanging="601"/>
        <w:jc w:val="left"/>
        <w:rPr>
          <w:b/>
          <w:sz w:val="24"/>
        </w:rPr>
      </w:pPr>
      <w:bookmarkStart w:name="_bookmark54" w:id="105"/>
      <w:bookmarkEnd w:id="105"/>
      <w:r>
        <w:rPr/>
      </w:r>
      <w:bookmarkStart w:name="_bookmark54" w:id="106"/>
      <w:bookmarkEnd w:id="106"/>
      <w:r>
        <w:rPr>
          <w:b/>
          <w:sz w:val="24"/>
        </w:rPr>
        <w:t>废气污染源强核算</w:t>
      </w:r>
    </w:p>
    <w:p>
      <w:pPr>
        <w:pStyle w:val="BodyText"/>
        <w:spacing w:line="364" w:lineRule="auto" w:before="161"/>
        <w:ind w:right="134" w:firstLine="480"/>
      </w:pPr>
      <w:r>
        <w:rPr/>
        <w:t>根据污染因子识别，该项目运营期产生的废气主要为猪舍臭气（</w:t>
      </w:r>
      <w:r>
        <w:rPr>
          <w:rFonts w:ascii="Times New Roman" w:eastAsia="Times New Roman"/>
          <w:position w:val="1"/>
        </w:rPr>
        <w:t>G1</w:t>
      </w:r>
      <w:r>
        <w:rPr/>
        <w:t>）、粪污处理臭气（</w:t>
      </w:r>
      <w:r>
        <w:rPr>
          <w:rFonts w:ascii="Times New Roman" w:eastAsia="Times New Roman"/>
          <w:position w:val="1"/>
        </w:rPr>
        <w:t>G2</w:t>
      </w:r>
      <w:r>
        <w:rPr/>
        <w:t>）、猪粪发酵臭气（</w:t>
      </w:r>
      <w:r>
        <w:rPr>
          <w:rFonts w:ascii="Times New Roman" w:eastAsia="Times New Roman"/>
          <w:position w:val="1"/>
        </w:rPr>
        <w:t>G3</w:t>
      </w:r>
      <w:r>
        <w:rPr/>
        <w:t>）、病死猪无害化处理臭气（</w:t>
      </w:r>
      <w:r>
        <w:rPr>
          <w:rFonts w:ascii="Times New Roman" w:eastAsia="Times New Roman"/>
          <w:position w:val="1"/>
        </w:rPr>
        <w:t>G4</w:t>
      </w:r>
      <w:r>
        <w:rPr/>
        <w:t>）、沼气锅炉废气（</w:t>
      </w:r>
      <w:r>
        <w:rPr>
          <w:rFonts w:ascii="Times New Roman" w:eastAsia="Times New Roman"/>
          <w:position w:val="1"/>
        </w:rPr>
        <w:t>G5</w:t>
      </w:r>
      <w:r>
        <w:rPr/>
        <w:t>） 及食堂油烟（</w:t>
      </w:r>
      <w:r>
        <w:rPr>
          <w:rFonts w:ascii="Times New Roman" w:eastAsia="Times New Roman"/>
          <w:position w:val="1"/>
        </w:rPr>
        <w:t>G6</w:t>
      </w:r>
      <w:r>
        <w:rPr/>
        <w:t>）等。猪粪清理后由运粪车密闭运输至发酵间处理，处理后的猪粪运输至第三方有机肥厂生产有机肥，运输过程臭气排放源强较小且难以定量核算，本环评不予定量分析，但要求加强运输车辆的密闭化，减少臭气的无组织排放。</w:t>
      </w:r>
    </w:p>
    <w:p>
      <w:pPr>
        <w:pStyle w:val="Heading3"/>
        <w:spacing w:before="3"/>
      </w:pPr>
      <w:r>
        <w:rPr>
          <w:rFonts w:ascii="Times New Roman" w:eastAsia="Times New Roman"/>
        </w:rPr>
        <w:t>1</w:t>
      </w:r>
      <w:r>
        <w:rPr/>
        <w:t>、猪舍废气（</w:t>
      </w:r>
      <w:r>
        <w:rPr>
          <w:rFonts w:ascii="Times New Roman" w:eastAsia="Times New Roman"/>
        </w:rPr>
        <w:t>G1</w:t>
      </w:r>
      <w:r>
        <w:rPr/>
        <w:t>）</w:t>
      </w:r>
    </w:p>
    <w:p>
      <w:pPr>
        <w:pStyle w:val="ListParagraph"/>
        <w:numPr>
          <w:ilvl w:val="3"/>
          <w:numId w:val="48"/>
        </w:numPr>
        <w:tabs>
          <w:tab w:pos="1319" w:val="left" w:leader="none"/>
        </w:tabs>
        <w:spacing w:line="240" w:lineRule="auto" w:before="160" w:after="0"/>
        <w:ind w:left="1318" w:right="0" w:hanging="602"/>
        <w:jc w:val="left"/>
        <w:rPr>
          <w:sz w:val="22"/>
        </w:rPr>
      </w:pPr>
      <w:r>
        <w:rPr>
          <w:sz w:val="24"/>
        </w:rPr>
        <w:t>臭气</w:t>
      </w:r>
    </w:p>
    <w:p>
      <w:pPr>
        <w:pStyle w:val="BodyText"/>
        <w:spacing w:line="364" w:lineRule="auto" w:before="161"/>
        <w:ind w:right="131" w:firstLine="480"/>
      </w:pPr>
      <w:r>
        <w:rPr>
          <w:spacing w:val="-6"/>
        </w:rPr>
        <w:t>养猪场恶臭来自猪的粪便、污水、垫料、饲料、畜尸等的腐败分解，猪的新鲜粪便， </w:t>
      </w:r>
      <w:r>
        <w:rPr/>
        <w:t>消化道排出的气体，皮脂腺和汗腺的分泌物，畜体的外激素，粘附在体表的污染物等， </w:t>
      </w:r>
      <w:r>
        <w:rPr>
          <w:spacing w:val="-5"/>
          <w:position w:val="2"/>
        </w:rPr>
        <w:t>呼出气中的 </w:t>
      </w:r>
      <w:r>
        <w:rPr>
          <w:rFonts w:ascii="Times New Roman" w:hAnsi="Times New Roman" w:eastAsia="Times New Roman"/>
          <w:position w:val="2"/>
        </w:rPr>
        <w:t>CO</w:t>
      </w:r>
      <w:r>
        <w:rPr>
          <w:rFonts w:ascii="Times New Roman" w:hAnsi="Times New Roman" w:eastAsia="Times New Roman"/>
          <w:sz w:val="16"/>
        </w:rPr>
        <w:t>2</w:t>
      </w:r>
      <w:r>
        <w:rPr>
          <w:position w:val="2"/>
        </w:rPr>
        <w:t>（</w:t>
      </w:r>
      <w:r>
        <w:rPr>
          <w:spacing w:val="-5"/>
          <w:position w:val="2"/>
        </w:rPr>
        <w:t>含量比大气中高约 </w:t>
      </w:r>
      <w:r>
        <w:rPr>
          <w:rFonts w:ascii="Times New Roman" w:hAnsi="Times New Roman" w:eastAsia="Times New Roman"/>
          <w:position w:val="2"/>
        </w:rPr>
        <w:t>100 </w:t>
      </w:r>
      <w:r>
        <w:rPr>
          <w:position w:val="2"/>
        </w:rPr>
        <w:t>倍）等也会散发猪特有的难闻气味。其中最主</w:t>
      </w:r>
      <w:r>
        <w:rPr/>
        <w:t>要的来源是猪粪便排出体外之后的腐败分解。据资料，猪粪中可散发出恶臭味化合物共</w:t>
      </w:r>
      <w:r>
        <w:rPr>
          <w:spacing w:val="-30"/>
        </w:rPr>
        <w:t>有 </w:t>
      </w:r>
      <w:r>
        <w:rPr>
          <w:rFonts w:ascii="Times New Roman" w:hAnsi="Times New Roman" w:eastAsia="Times New Roman"/>
          <w:position w:val="1"/>
        </w:rPr>
        <w:t>75~168 </w:t>
      </w:r>
      <w:r>
        <w:rPr>
          <w:spacing w:val="-12"/>
        </w:rPr>
        <w:t>种之多。生猪体内粗蛋白的代谢产物主要是硫化氢及醇类、醛类、酚类、酮类、</w:t>
      </w:r>
      <w:r>
        <w:rPr/>
        <w:t>酰胺、吲哚等碳水化合物和含氮有机物，它们在有氧条件下可分解成二氧化碳和硝酸盐而无害化，若粪便大量堆积，它们在无氧条件下发酵则会产生恶臭。研究表明排泄物在</w:t>
      </w:r>
      <w:r>
        <w:rPr>
          <w:rFonts w:ascii="Times New Roman" w:hAnsi="Times New Roman" w:eastAsia="Times New Roman"/>
          <w:position w:val="1"/>
        </w:rPr>
        <w:t>18</w:t>
      </w:r>
      <w:r>
        <w:rPr>
          <w:spacing w:val="-6"/>
        </w:rPr>
        <w:t>℃的情况下，经 </w:t>
      </w:r>
      <w:r>
        <w:rPr>
          <w:rFonts w:ascii="Times New Roman" w:hAnsi="Times New Roman" w:eastAsia="Times New Roman"/>
          <w:position w:val="1"/>
        </w:rPr>
        <w:t>70d </w:t>
      </w:r>
      <w:r>
        <w:rPr>
          <w:spacing w:val="-10"/>
        </w:rPr>
        <w:t>以后，有 </w:t>
      </w:r>
      <w:r>
        <w:rPr>
          <w:rFonts w:ascii="Times New Roman" w:hAnsi="Times New Roman" w:eastAsia="Times New Roman"/>
          <w:position w:val="1"/>
        </w:rPr>
        <w:t>24%</w:t>
      </w:r>
      <w:r>
        <w:rPr>
          <w:spacing w:val="-6"/>
        </w:rPr>
        <w:t>植物纤维片断和 </w:t>
      </w:r>
      <w:r>
        <w:rPr>
          <w:rFonts w:ascii="Times New Roman" w:hAnsi="Times New Roman" w:eastAsia="Times New Roman"/>
          <w:position w:val="1"/>
        </w:rPr>
        <w:t>43%</w:t>
      </w:r>
      <w:r>
        <w:rPr/>
        <w:t>粗蛋白发生降解，碳水化合物转化为挥发性脂肪酸，醇类及二氧化碳等，这些物质略带臭味和酸味；含氮化合物转化生成氨，硫酸，乙烯醇，三甲胺等，这些气体有腐败洋葱味、臭蛋味、臭鱼味等；含硫</w:t>
      </w:r>
      <w:r>
        <w:rPr>
          <w:spacing w:val="-3"/>
        </w:rPr>
        <w:t>化合物一部分通过酶解作用迅速放出硫酸盐，还有部分则被水解成硫化氢，二甲基硫醚， </w:t>
      </w:r>
      <w:r>
        <w:rPr/>
        <w:t>甲硫醇。除畜舍排出的有害气体外，猪场的粪池、粪堆也是恶臭气体的主要场所。</w:t>
      </w:r>
    </w:p>
    <w:p>
      <w:pPr>
        <w:pStyle w:val="BodyText"/>
        <w:spacing w:line="364" w:lineRule="auto" w:before="8"/>
        <w:ind w:right="131" w:firstLine="480"/>
      </w:pPr>
      <w:r>
        <w:rPr/>
        <w:t>猪粪的废气排放强度与生猪的数量、种类、生长阶段以及环境温度、清粪方式和清扫频次、管理水平、粪便和污水的无害化处理程度等因素有关。猪粪尿主要产生氨气、硫化氢气体等恶臭有害气体，在未及时清除或清除后不能及时处理的情况下，便会使臭味成倍增加，进一步产生甲基硫醇、二甲基二硫醚、甲硫醚、二甲胺等恶臭气体，并会</w:t>
      </w:r>
      <w:r>
        <w:rPr>
          <w:spacing w:val="-5"/>
        </w:rPr>
        <w:t>孳生大量蚊蝇，影响环境卫生。因此，恶臭气体主要污染物为有机物腐败时产生的氨气、</w:t>
      </w:r>
      <w:r>
        <w:rPr/>
        <w:t>动物有机体中蛋白质腐败时产生的硫化氢气体。</w:t>
      </w:r>
    </w:p>
    <w:p>
      <w:pPr>
        <w:pStyle w:val="ListParagraph"/>
        <w:numPr>
          <w:ilvl w:val="3"/>
          <w:numId w:val="48"/>
        </w:numPr>
        <w:tabs>
          <w:tab w:pos="1319" w:val="left" w:leader="none"/>
        </w:tabs>
        <w:spacing w:line="240" w:lineRule="auto" w:before="4" w:after="0"/>
        <w:ind w:left="1318" w:right="0" w:hanging="602"/>
        <w:jc w:val="left"/>
        <w:rPr>
          <w:sz w:val="22"/>
        </w:rPr>
      </w:pPr>
      <w:r>
        <w:rPr>
          <w:sz w:val="24"/>
        </w:rPr>
        <w:t>氨和硫化氢</w:t>
      </w:r>
    </w:p>
    <w:p>
      <w:pPr>
        <w:pStyle w:val="BodyText"/>
        <w:spacing w:line="362" w:lineRule="auto" w:before="161"/>
        <w:ind w:right="249" w:firstLine="480"/>
      </w:pPr>
      <w:r>
        <w:rPr>
          <w:spacing w:val="-1"/>
        </w:rPr>
        <w:t>根据山东农业大学林海等团队对一个年出栏 </w:t>
      </w:r>
      <w:r>
        <w:rPr>
          <w:rFonts w:ascii="Times New Roman" w:eastAsia="Times New Roman"/>
          <w:position w:val="1"/>
        </w:rPr>
        <w:t>15000 </w:t>
      </w:r>
      <w:r>
        <w:rPr>
          <w:spacing w:val="-2"/>
        </w:rPr>
        <w:t>头、采用干清粪工艺的生猪养殖</w:t>
      </w:r>
      <w:r>
        <w:rPr>
          <w:spacing w:val="-9"/>
          <w:position w:val="2"/>
        </w:rPr>
        <w:t>场进行了长期研究，研究对妊娠猪舍、哺乳仔猪舍、保育猪舍、育肥舍的 </w:t>
      </w:r>
      <w:r>
        <w:rPr>
          <w:rFonts w:ascii="Times New Roman" w:eastAsia="Times New Roman"/>
          <w:position w:val="2"/>
        </w:rPr>
        <w:t>NH</w:t>
      </w:r>
      <w:r>
        <w:rPr>
          <w:rFonts w:ascii="Times New Roman" w:eastAsia="Times New Roman"/>
          <w:sz w:val="16"/>
        </w:rPr>
        <w:t>3</w:t>
      </w:r>
      <w:r>
        <w:rPr>
          <w:spacing w:val="-24"/>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8"/>
          <w:position w:val="2"/>
        </w:rPr>
        <w:t>的日</w:t>
      </w:r>
    </w:p>
    <w:p>
      <w:pPr>
        <w:spacing w:after="0" w:line="362" w:lineRule="auto"/>
        <w:sectPr>
          <w:pgSz w:w="11910" w:h="16840"/>
          <w:pgMar w:header="874" w:footer="1004" w:top="1400" w:bottom="1200" w:left="1040" w:right="1160"/>
        </w:sectPr>
      </w:pPr>
    </w:p>
    <w:p>
      <w:pPr>
        <w:pStyle w:val="BodyText"/>
        <w:spacing w:line="364" w:lineRule="auto" w:before="102"/>
        <w:ind w:right="249"/>
        <w:jc w:val="both"/>
      </w:pPr>
      <w:r>
        <w:rPr>
          <w:spacing w:val="-8"/>
          <w:position w:val="2"/>
        </w:rPr>
        <w:t>浓度进行了监测，各猪舍 </w:t>
      </w:r>
      <w:r>
        <w:rPr>
          <w:rFonts w:ascii="Times New Roman" w:eastAsia="Times New Roman"/>
          <w:position w:val="2"/>
        </w:rPr>
        <w:t>NH</w:t>
      </w:r>
      <w:r>
        <w:rPr>
          <w:rFonts w:ascii="Times New Roman" w:eastAsia="Times New Roman"/>
          <w:sz w:val="16"/>
        </w:rPr>
        <w:t>3 </w:t>
      </w:r>
      <w:r>
        <w:rPr>
          <w:spacing w:val="-10"/>
          <w:position w:val="2"/>
        </w:rPr>
        <w:t>浓度一般在 </w:t>
      </w:r>
      <w:r>
        <w:rPr>
          <w:rFonts w:ascii="Times New Roman" w:eastAsia="Times New Roman"/>
          <w:spacing w:val="-3"/>
          <w:position w:val="2"/>
        </w:rPr>
        <w:t>2~15ppm</w:t>
      </w:r>
      <w:r>
        <w:rPr>
          <w:spacing w:val="-21"/>
          <w:position w:val="2"/>
        </w:rPr>
        <w:t>，即 </w:t>
      </w:r>
      <w:r>
        <w:rPr>
          <w:rFonts w:ascii="Times New Roman" w:eastAsia="Times New Roman"/>
          <w:spacing w:val="-3"/>
          <w:position w:val="2"/>
        </w:rPr>
        <w:t>1.5~11.4mg/m</w:t>
      </w:r>
      <w:r>
        <w:rPr>
          <w:rFonts w:ascii="Times New Roman" w:eastAsia="Times New Roman"/>
          <w:spacing w:val="-3"/>
          <w:position w:val="11"/>
          <w:sz w:val="16"/>
        </w:rPr>
        <w:t>3</w:t>
      </w:r>
      <w:r>
        <w:rPr>
          <w:spacing w:val="-4"/>
          <w:position w:val="2"/>
        </w:rPr>
        <w:t>，以育肥舍浓度最</w:t>
      </w:r>
      <w:r>
        <w:rPr>
          <w:position w:val="2"/>
        </w:rPr>
        <w:t>高，</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8"/>
          <w:position w:val="2"/>
        </w:rPr>
        <w:t>则一般在 </w:t>
      </w:r>
      <w:r>
        <w:rPr>
          <w:rFonts w:ascii="Times New Roman" w:eastAsia="Times New Roman"/>
          <w:position w:val="2"/>
        </w:rPr>
        <w:t>200~1100ppb </w:t>
      </w:r>
      <w:r>
        <w:rPr>
          <w:spacing w:val="-8"/>
          <w:position w:val="2"/>
        </w:rPr>
        <w:t>之间，即 </w:t>
      </w:r>
      <w:r>
        <w:rPr>
          <w:rFonts w:ascii="Times New Roman" w:eastAsia="Times New Roman"/>
          <w:position w:val="2"/>
        </w:rPr>
        <w:t>0.3~1.7mg/m</w:t>
      </w:r>
      <w:r>
        <w:rPr>
          <w:rFonts w:ascii="Times New Roman" w:eastAsia="Times New Roman"/>
          <w:position w:val="11"/>
          <w:sz w:val="16"/>
        </w:rPr>
        <w:t>3 </w:t>
      </w:r>
      <w:r>
        <w:rPr>
          <w:spacing w:val="-2"/>
          <w:position w:val="2"/>
        </w:rPr>
        <w:t>之间，以保育猪舍浓度为最高。</w:t>
      </w:r>
      <w:r>
        <w:rPr/>
        <w:t>二者浓度均低于《工作场所有害因素职业接触限值化学有害因素》（</w:t>
      </w:r>
      <w:r>
        <w:rPr>
          <w:rFonts w:ascii="Times New Roman" w:eastAsia="Times New Roman"/>
          <w:position w:val="1"/>
        </w:rPr>
        <w:t>GBZ 2.1-2019</w:t>
      </w:r>
      <w:r>
        <w:rPr/>
        <w:t>）中</w:t>
      </w:r>
      <w:r>
        <w:rPr>
          <w:rFonts w:ascii="Times New Roman" w:eastAsia="Times New Roman"/>
        </w:rPr>
        <w:t>NH</w:t>
      </w:r>
      <w:r>
        <w:rPr>
          <w:rFonts w:ascii="Times New Roman" w:eastAsia="Times New Roman"/>
          <w:vertAlign w:val="subscript"/>
        </w:rPr>
        <w:t>3</w:t>
      </w:r>
      <w:r>
        <w:rPr>
          <w:position w:val="0"/>
          <w:vertAlign w:val="baseline"/>
        </w:rPr>
        <w:t>、</w:t>
      </w:r>
      <w:r>
        <w:rPr>
          <w:rFonts w:ascii="Times New Roman" w:eastAsia="Times New Roman"/>
          <w:vertAlign w:val="baseline"/>
        </w:rPr>
        <w:t>H</w:t>
      </w:r>
      <w:r>
        <w:rPr>
          <w:rFonts w:ascii="Times New Roman" w:eastAsia="Times New Roman"/>
          <w:vertAlign w:val="subscript"/>
        </w:rPr>
        <w:t>2</w:t>
      </w:r>
      <w:r>
        <w:rPr>
          <w:rFonts w:ascii="Times New Roman" w:eastAsia="Times New Roman"/>
          <w:vertAlign w:val="baseline"/>
        </w:rPr>
        <w:t>S </w:t>
      </w:r>
      <w:r>
        <w:rPr>
          <w:spacing w:val="-6"/>
          <w:position w:val="0"/>
          <w:vertAlign w:val="baseline"/>
        </w:rPr>
        <w:t>的时间加权平均容许浓度 </w:t>
      </w:r>
      <w:r>
        <w:rPr>
          <w:rFonts w:ascii="Times New Roman" w:eastAsia="Times New Roman"/>
          <w:vertAlign w:val="baseline"/>
        </w:rPr>
        <w:t>20mg/m</w:t>
      </w:r>
      <w:r>
        <w:rPr>
          <w:rFonts w:ascii="Times New Roman" w:eastAsia="Times New Roman"/>
          <w:position w:val="9"/>
          <w:sz w:val="16"/>
          <w:vertAlign w:val="baseline"/>
        </w:rPr>
        <w:t>3 </w:t>
      </w:r>
      <w:r>
        <w:rPr>
          <w:spacing w:val="-30"/>
          <w:position w:val="0"/>
          <w:vertAlign w:val="baseline"/>
        </w:rPr>
        <w:t>及 </w:t>
      </w:r>
      <w:r>
        <w:rPr>
          <w:rFonts w:ascii="Times New Roman" w:eastAsia="Times New Roman"/>
          <w:vertAlign w:val="baseline"/>
        </w:rPr>
        <w:t>10mg/m</w:t>
      </w:r>
      <w:r>
        <w:rPr>
          <w:rFonts w:ascii="Times New Roman" w:eastAsia="Times New Roman"/>
          <w:position w:val="9"/>
          <w:sz w:val="16"/>
          <w:vertAlign w:val="baseline"/>
        </w:rPr>
        <w:t>3</w:t>
      </w:r>
      <w:r>
        <w:rPr>
          <w:position w:val="0"/>
          <w:vertAlign w:val="baseline"/>
        </w:rPr>
        <w:t>。</w:t>
      </w:r>
    </w:p>
    <w:p>
      <w:pPr>
        <w:pStyle w:val="BodyText"/>
        <w:spacing w:line="364" w:lineRule="auto"/>
        <w:ind w:right="117" w:firstLine="480"/>
      </w:pPr>
      <w:r>
        <w:rPr>
          <w:spacing w:val="-21"/>
        </w:rPr>
        <w:t>根据 </w:t>
      </w:r>
      <w:r>
        <w:rPr>
          <w:rFonts w:ascii="Times New Roman" w:hAnsi="Times New Roman" w:eastAsia="Times New Roman"/>
          <w:position w:val="1"/>
        </w:rPr>
        <w:t>2010 </w:t>
      </w:r>
      <w:r>
        <w:rPr>
          <w:spacing w:val="-2"/>
        </w:rPr>
        <w:t>年天津市环境影响评价中心孙艳青等人发表的《养猪场恶臭影响量化分析</w:t>
      </w:r>
      <w:r>
        <w:rPr>
          <w:spacing w:val="-7"/>
          <w:position w:val="2"/>
        </w:rPr>
        <w:t>及控制对策研究》，猪舍 </w:t>
      </w:r>
      <w:r>
        <w:rPr>
          <w:rFonts w:ascii="Times New Roman" w:hAnsi="Times New Roman" w:eastAsia="Times New Roman"/>
          <w:position w:val="2"/>
        </w:rPr>
        <w:t>NH</w:t>
      </w:r>
      <w:r>
        <w:rPr>
          <w:rFonts w:ascii="Times New Roman" w:hAnsi="Times New Roman" w:eastAsia="Times New Roman"/>
          <w:sz w:val="16"/>
        </w:rPr>
        <w:t>3 </w:t>
      </w:r>
      <w:r>
        <w:rPr>
          <w:spacing w:val="-26"/>
          <w:position w:val="2"/>
        </w:rPr>
        <w:t>和 </w:t>
      </w:r>
      <w:r>
        <w:rPr>
          <w:rFonts w:ascii="Times New Roman" w:hAnsi="Times New Roman" w:eastAsia="Times New Roman"/>
          <w:position w:val="2"/>
        </w:rPr>
        <w:t>H</w:t>
      </w:r>
      <w:r>
        <w:rPr>
          <w:rFonts w:ascii="Times New Roman" w:hAnsi="Times New Roman" w:eastAsia="Times New Roman"/>
          <w:sz w:val="16"/>
        </w:rPr>
        <w:t>2</w:t>
      </w:r>
      <w:r>
        <w:rPr>
          <w:rFonts w:ascii="Times New Roman" w:hAnsi="Times New Roman" w:eastAsia="Times New Roman"/>
          <w:position w:val="2"/>
        </w:rPr>
        <w:t>S </w:t>
      </w:r>
      <w:r>
        <w:rPr>
          <w:spacing w:val="-3"/>
          <w:position w:val="2"/>
        </w:rPr>
        <w:t>的排放强度受到许多因素的影响，包括生产工艺、</w:t>
      </w:r>
      <w:r>
        <w:rPr>
          <w:spacing w:val="-3"/>
        </w:rPr>
        <w:t>气温、湿度、猪群种类、室内排风情况以及粪便的堆积时间等。根据各猪舍浓度、空间</w:t>
      </w:r>
      <w:r>
        <w:rPr>
          <w:spacing w:val="-10"/>
          <w:position w:val="2"/>
        </w:rPr>
        <w:t>大小及排风强度，经对小猪仔和大猪的</w:t>
      </w:r>
      <w:r>
        <w:rPr>
          <w:rFonts w:ascii="Times New Roman" w:hAnsi="Times New Roman" w:eastAsia="Times New Roman"/>
          <w:position w:val="2"/>
        </w:rPr>
        <w:t>NH</w:t>
      </w:r>
      <w:r>
        <w:rPr>
          <w:rFonts w:ascii="Times New Roman" w:hAnsi="Times New Roman" w:eastAsia="Times New Roman"/>
          <w:sz w:val="16"/>
        </w:rPr>
        <w:t>3 </w:t>
      </w:r>
      <w:r>
        <w:rPr>
          <w:spacing w:val="-12"/>
          <w:position w:val="2"/>
        </w:rPr>
        <w:t>排放量统计，仔猪</w:t>
      </w:r>
      <w:r>
        <w:rPr>
          <w:rFonts w:ascii="Times New Roman" w:hAnsi="Times New Roman" w:eastAsia="Times New Roman"/>
          <w:position w:val="2"/>
        </w:rPr>
        <w:t>NH</w:t>
      </w:r>
      <w:r>
        <w:rPr>
          <w:rFonts w:ascii="Times New Roman" w:hAnsi="Times New Roman" w:eastAsia="Times New Roman"/>
          <w:sz w:val="16"/>
        </w:rPr>
        <w:t>3 </w:t>
      </w:r>
      <w:r>
        <w:rPr>
          <w:spacing w:val="9"/>
          <w:position w:val="2"/>
        </w:rPr>
        <w:t>排放量为</w:t>
      </w:r>
      <w:r>
        <w:rPr>
          <w:rFonts w:ascii="Times New Roman" w:hAnsi="Times New Roman" w:eastAsia="Times New Roman"/>
          <w:position w:val="2"/>
        </w:rPr>
        <w:t>0.6~0.8g/</w:t>
      </w:r>
      <w:r>
        <w:rPr>
          <w:position w:val="2"/>
        </w:rPr>
        <w:t>头</w:t>
      </w:r>
      <w:r>
        <w:rPr>
          <w:rFonts w:ascii="Times New Roman" w:hAnsi="Times New Roman" w:eastAsia="Times New Roman"/>
          <w:spacing w:val="-6"/>
          <w:position w:val="2"/>
        </w:rPr>
        <w:t>·d</w:t>
      </w:r>
      <w:r>
        <w:rPr>
          <w:spacing w:val="-6"/>
          <w:position w:val="2"/>
        </w:rPr>
        <w:t>， </w:t>
      </w:r>
      <w:r>
        <w:rPr>
          <w:spacing w:val="-15"/>
          <w:position w:val="0"/>
        </w:rPr>
        <w:t>保育猪 </w:t>
      </w:r>
      <w:r>
        <w:rPr>
          <w:rFonts w:ascii="Times New Roman" w:hAnsi="Times New Roman" w:eastAsia="Times New Roman"/>
        </w:rPr>
        <w:t>NH</w:t>
      </w:r>
      <w:r>
        <w:rPr>
          <w:rFonts w:ascii="Times New Roman" w:hAnsi="Times New Roman" w:eastAsia="Times New Roman"/>
          <w:vertAlign w:val="subscript"/>
        </w:rPr>
        <w:t>3</w:t>
      </w:r>
      <w:r>
        <w:rPr>
          <w:rFonts w:ascii="Times New Roman" w:hAnsi="Times New Roman" w:eastAsia="Times New Roman"/>
          <w:vertAlign w:val="baseline"/>
        </w:rPr>
        <w:t> </w:t>
      </w:r>
      <w:r>
        <w:rPr>
          <w:spacing w:val="-12"/>
          <w:position w:val="0"/>
          <w:vertAlign w:val="baseline"/>
        </w:rPr>
        <w:t>排放量为 </w:t>
      </w:r>
      <w:r>
        <w:rPr>
          <w:rFonts w:ascii="Times New Roman" w:hAnsi="Times New Roman" w:eastAsia="Times New Roman"/>
          <w:vertAlign w:val="baseline"/>
        </w:rPr>
        <w:t>0.8~1.1g/</w:t>
      </w:r>
      <w:r>
        <w:rPr>
          <w:position w:val="0"/>
          <w:vertAlign w:val="baseline"/>
        </w:rPr>
        <w:t>头</w:t>
      </w:r>
      <w:r>
        <w:rPr>
          <w:rFonts w:ascii="Times New Roman" w:hAnsi="Times New Roman" w:eastAsia="Times New Roman"/>
          <w:vertAlign w:val="baseline"/>
        </w:rPr>
        <w:t>·d</w:t>
      </w:r>
      <w:r>
        <w:rPr>
          <w:spacing w:val="-12"/>
          <w:position w:val="0"/>
          <w:vertAlign w:val="baseline"/>
        </w:rPr>
        <w:t>，中猪的 </w:t>
      </w:r>
      <w:r>
        <w:rPr>
          <w:rFonts w:ascii="Times New Roman" w:hAnsi="Times New Roman" w:eastAsia="Times New Roman"/>
          <w:vertAlign w:val="baseline"/>
        </w:rPr>
        <w:t>NH</w:t>
      </w:r>
      <w:r>
        <w:rPr>
          <w:rFonts w:ascii="Times New Roman" w:hAnsi="Times New Roman" w:eastAsia="Times New Roman"/>
          <w:vertAlign w:val="subscript"/>
        </w:rPr>
        <w:t>3</w:t>
      </w:r>
      <w:r>
        <w:rPr>
          <w:rFonts w:ascii="Times New Roman" w:hAnsi="Times New Roman" w:eastAsia="Times New Roman"/>
          <w:vertAlign w:val="baseline"/>
        </w:rPr>
        <w:t> </w:t>
      </w:r>
      <w:r>
        <w:rPr>
          <w:spacing w:val="-12"/>
          <w:position w:val="0"/>
          <w:vertAlign w:val="baseline"/>
        </w:rPr>
        <w:t>排放量为 </w:t>
      </w:r>
      <w:r>
        <w:rPr>
          <w:rFonts w:ascii="Times New Roman" w:hAnsi="Times New Roman" w:eastAsia="Times New Roman"/>
          <w:vertAlign w:val="baseline"/>
        </w:rPr>
        <w:t>1.9~2.1g/</w:t>
      </w:r>
      <w:r>
        <w:rPr>
          <w:spacing w:val="-3"/>
          <w:position w:val="0"/>
          <w:vertAlign w:val="baseline"/>
        </w:rPr>
        <w:t>头</w:t>
      </w:r>
      <w:r>
        <w:rPr>
          <w:rFonts w:ascii="Times New Roman" w:hAnsi="Times New Roman" w:eastAsia="Times New Roman"/>
          <w:spacing w:val="-4"/>
          <w:vertAlign w:val="baseline"/>
        </w:rPr>
        <w:t>·d</w:t>
      </w:r>
      <w:r>
        <w:rPr>
          <w:spacing w:val="-15"/>
          <w:position w:val="0"/>
          <w:vertAlign w:val="baseline"/>
        </w:rPr>
        <w:t>，大猪的 </w:t>
      </w:r>
      <w:r>
        <w:rPr>
          <w:rFonts w:ascii="Times New Roman" w:hAnsi="Times New Roman" w:eastAsia="Times New Roman"/>
          <w:vertAlign w:val="baseline"/>
        </w:rPr>
        <w:t>NH</w:t>
      </w:r>
      <w:r>
        <w:rPr>
          <w:rFonts w:ascii="Times New Roman" w:hAnsi="Times New Roman" w:eastAsia="Times New Roman"/>
          <w:vertAlign w:val="subscript"/>
        </w:rPr>
        <w:t>3</w:t>
      </w:r>
      <w:r>
        <w:rPr>
          <w:rFonts w:ascii="Times New Roman" w:hAnsi="Times New Roman" w:eastAsia="Times New Roman"/>
          <w:vertAlign w:val="baseline"/>
        </w:rPr>
        <w:t> </w:t>
      </w:r>
      <w:r>
        <w:rPr>
          <w:position w:val="0"/>
          <w:vertAlign w:val="baseline"/>
        </w:rPr>
        <w:t>排</w:t>
      </w:r>
      <w:r>
        <w:rPr>
          <w:spacing w:val="-12"/>
          <w:position w:val="2"/>
          <w:vertAlign w:val="baseline"/>
        </w:rPr>
        <w:t>放量为 </w:t>
      </w:r>
      <w:r>
        <w:rPr>
          <w:rFonts w:ascii="Times New Roman" w:hAnsi="Times New Roman" w:eastAsia="Times New Roman"/>
          <w:position w:val="2"/>
          <w:vertAlign w:val="baseline"/>
        </w:rPr>
        <w:t>5.6~5.7g/</w:t>
      </w:r>
      <w:r>
        <w:rPr>
          <w:position w:val="2"/>
          <w:vertAlign w:val="baseline"/>
        </w:rPr>
        <w:t>头</w:t>
      </w:r>
      <w:r>
        <w:rPr>
          <w:rFonts w:ascii="Times New Roman" w:hAnsi="Times New Roman" w:eastAsia="Times New Roman"/>
          <w:position w:val="2"/>
          <w:vertAlign w:val="baseline"/>
        </w:rPr>
        <w:t>·d</w:t>
      </w:r>
      <w:r>
        <w:rPr>
          <w:spacing w:val="-12"/>
          <w:position w:val="2"/>
          <w:vertAlign w:val="baseline"/>
        </w:rPr>
        <w:t>，母猪 </w:t>
      </w:r>
      <w:r>
        <w:rPr>
          <w:rFonts w:ascii="Times New Roman" w:hAnsi="Times New Roman" w:eastAsia="Times New Roman"/>
          <w:position w:val="2"/>
          <w:vertAlign w:val="baseline"/>
        </w:rPr>
        <w:t>NH</w:t>
      </w:r>
      <w:r>
        <w:rPr>
          <w:rFonts w:ascii="Times New Roman" w:hAnsi="Times New Roman" w:eastAsia="Times New Roman"/>
          <w:sz w:val="16"/>
          <w:vertAlign w:val="baseline"/>
        </w:rPr>
        <w:t>3 </w:t>
      </w:r>
      <w:r>
        <w:rPr>
          <w:spacing w:val="-9"/>
          <w:position w:val="2"/>
          <w:vertAlign w:val="baseline"/>
        </w:rPr>
        <w:t>排放量为 </w:t>
      </w:r>
      <w:r>
        <w:rPr>
          <w:rFonts w:ascii="Times New Roman" w:hAnsi="Times New Roman" w:eastAsia="Times New Roman"/>
          <w:position w:val="2"/>
          <w:vertAlign w:val="baseline"/>
        </w:rPr>
        <w:t>5.3g/</w:t>
      </w:r>
      <w:r>
        <w:rPr>
          <w:position w:val="2"/>
          <w:vertAlign w:val="baseline"/>
        </w:rPr>
        <w:t>头</w:t>
      </w:r>
      <w:r>
        <w:rPr>
          <w:rFonts w:ascii="Times New Roman" w:hAnsi="Times New Roman" w:eastAsia="Times New Roman"/>
          <w:position w:val="2"/>
          <w:vertAlign w:val="baseline"/>
        </w:rPr>
        <w:t>·d</w:t>
      </w:r>
      <w:r>
        <w:rPr>
          <w:spacing w:val="-1"/>
          <w:position w:val="2"/>
          <w:vertAlign w:val="baseline"/>
        </w:rPr>
        <w:t>，排放强度随气温增加而增加，受排</w:t>
      </w:r>
      <w:r>
        <w:rPr>
          <w:spacing w:val="-5"/>
          <w:position w:val="2"/>
          <w:vertAlign w:val="baseline"/>
        </w:rPr>
        <w:t>风影响则较小。经对猪舍 </w:t>
      </w:r>
      <w:r>
        <w:rPr>
          <w:rFonts w:ascii="Times New Roman" w:hAnsi="Times New Roman" w:eastAsia="Times New Roman"/>
          <w:position w:val="2"/>
          <w:vertAlign w:val="baseline"/>
        </w:rPr>
        <w:t>H</w:t>
      </w:r>
      <w:r>
        <w:rPr>
          <w:rFonts w:ascii="Times New Roman" w:hAnsi="Times New Roman" w:eastAsia="Times New Roman"/>
          <w:sz w:val="16"/>
          <w:vertAlign w:val="baseline"/>
        </w:rPr>
        <w:t>2</w:t>
      </w:r>
      <w:r>
        <w:rPr>
          <w:rFonts w:ascii="Times New Roman" w:hAnsi="Times New Roman" w:eastAsia="Times New Roman"/>
          <w:position w:val="2"/>
          <w:vertAlign w:val="baseline"/>
        </w:rPr>
        <w:t>S </w:t>
      </w:r>
      <w:r>
        <w:rPr>
          <w:spacing w:val="-3"/>
          <w:position w:val="2"/>
          <w:vertAlign w:val="baseline"/>
        </w:rPr>
        <w:t>气体排放强度统计，仔猪硫化氢排放量为 </w:t>
      </w:r>
      <w:r>
        <w:rPr>
          <w:rFonts w:ascii="Times New Roman" w:hAnsi="Times New Roman" w:eastAsia="Times New Roman"/>
          <w:position w:val="2"/>
          <w:vertAlign w:val="baseline"/>
        </w:rPr>
        <w:t>0.2g/</w:t>
      </w:r>
      <w:r>
        <w:rPr>
          <w:position w:val="2"/>
          <w:vertAlign w:val="baseline"/>
        </w:rPr>
        <w:t>头</w:t>
      </w:r>
      <w:r>
        <w:rPr>
          <w:rFonts w:ascii="Times New Roman" w:hAnsi="Times New Roman" w:eastAsia="Times New Roman"/>
          <w:position w:val="2"/>
          <w:vertAlign w:val="baseline"/>
        </w:rPr>
        <w:t>·d</w:t>
      </w:r>
      <w:r>
        <w:rPr>
          <w:position w:val="2"/>
          <w:vertAlign w:val="baseline"/>
        </w:rPr>
        <w:t>，保育</w:t>
      </w:r>
      <w:r>
        <w:rPr>
          <w:spacing w:val="-30"/>
          <w:position w:val="0"/>
          <w:vertAlign w:val="baseline"/>
        </w:rPr>
        <w:t>猪 </w:t>
      </w:r>
      <w:r>
        <w:rPr>
          <w:rFonts w:ascii="Times New Roman" w:hAnsi="Times New Roman" w:eastAsia="Times New Roman"/>
          <w:vertAlign w:val="baseline"/>
        </w:rPr>
        <w:t>H</w:t>
      </w:r>
      <w:r>
        <w:rPr>
          <w:rFonts w:ascii="Times New Roman" w:hAnsi="Times New Roman" w:eastAsia="Times New Roman"/>
          <w:vertAlign w:val="subscript"/>
        </w:rPr>
        <w:t>2</w:t>
      </w:r>
      <w:r>
        <w:rPr>
          <w:rFonts w:ascii="Times New Roman" w:hAnsi="Times New Roman" w:eastAsia="Times New Roman"/>
          <w:vertAlign w:val="baseline"/>
        </w:rPr>
        <w:t>S </w:t>
      </w:r>
      <w:r>
        <w:rPr>
          <w:spacing w:val="-12"/>
          <w:position w:val="0"/>
          <w:vertAlign w:val="baseline"/>
        </w:rPr>
        <w:t>排放量为 </w:t>
      </w:r>
      <w:r>
        <w:rPr>
          <w:rFonts w:ascii="Times New Roman" w:hAnsi="Times New Roman" w:eastAsia="Times New Roman"/>
          <w:vertAlign w:val="baseline"/>
        </w:rPr>
        <w:t>0.25g/</w:t>
      </w:r>
      <w:r>
        <w:rPr>
          <w:position w:val="0"/>
          <w:vertAlign w:val="baseline"/>
        </w:rPr>
        <w:t>头</w:t>
      </w:r>
      <w:r>
        <w:rPr>
          <w:rFonts w:ascii="Times New Roman" w:hAnsi="Times New Roman" w:eastAsia="Times New Roman"/>
          <w:vertAlign w:val="baseline"/>
        </w:rPr>
        <w:t>·d</w:t>
      </w:r>
      <w:r>
        <w:rPr>
          <w:spacing w:val="-12"/>
          <w:position w:val="0"/>
          <w:vertAlign w:val="baseline"/>
        </w:rPr>
        <w:t>，中猪的 </w:t>
      </w:r>
      <w:r>
        <w:rPr>
          <w:rFonts w:ascii="Times New Roman" w:hAnsi="Times New Roman" w:eastAsia="Times New Roman"/>
          <w:vertAlign w:val="baseline"/>
        </w:rPr>
        <w:t>H</w:t>
      </w:r>
      <w:r>
        <w:rPr>
          <w:rFonts w:ascii="Times New Roman" w:hAnsi="Times New Roman" w:eastAsia="Times New Roman"/>
          <w:vertAlign w:val="subscript"/>
        </w:rPr>
        <w:t>2</w:t>
      </w:r>
      <w:r>
        <w:rPr>
          <w:rFonts w:ascii="Times New Roman" w:hAnsi="Times New Roman" w:eastAsia="Times New Roman"/>
          <w:vertAlign w:val="baseline"/>
        </w:rPr>
        <w:t>S </w:t>
      </w:r>
      <w:r>
        <w:rPr>
          <w:spacing w:val="-14"/>
          <w:position w:val="0"/>
          <w:vertAlign w:val="baseline"/>
        </w:rPr>
        <w:t>排放量为 </w:t>
      </w:r>
      <w:r>
        <w:rPr>
          <w:rFonts w:ascii="Times New Roman" w:hAnsi="Times New Roman" w:eastAsia="Times New Roman"/>
          <w:vertAlign w:val="baseline"/>
        </w:rPr>
        <w:t>0.3g/</w:t>
      </w:r>
      <w:r>
        <w:rPr>
          <w:position w:val="0"/>
          <w:vertAlign w:val="baseline"/>
        </w:rPr>
        <w:t>头</w:t>
      </w:r>
      <w:r>
        <w:rPr>
          <w:rFonts w:ascii="Times New Roman" w:hAnsi="Times New Roman" w:eastAsia="Times New Roman"/>
          <w:vertAlign w:val="baseline"/>
        </w:rPr>
        <w:t>·d</w:t>
      </w:r>
      <w:r>
        <w:rPr>
          <w:spacing w:val="-12"/>
          <w:position w:val="0"/>
          <w:vertAlign w:val="baseline"/>
        </w:rPr>
        <w:t>，大猪的 </w:t>
      </w:r>
      <w:r>
        <w:rPr>
          <w:rFonts w:ascii="Times New Roman" w:hAnsi="Times New Roman" w:eastAsia="Times New Roman"/>
          <w:vertAlign w:val="baseline"/>
        </w:rPr>
        <w:t>H</w:t>
      </w:r>
      <w:r>
        <w:rPr>
          <w:rFonts w:ascii="Times New Roman" w:hAnsi="Times New Roman" w:eastAsia="Times New Roman"/>
          <w:vertAlign w:val="subscript"/>
        </w:rPr>
        <w:t>2</w:t>
      </w:r>
      <w:r>
        <w:rPr>
          <w:rFonts w:ascii="Times New Roman" w:hAnsi="Times New Roman" w:eastAsia="Times New Roman"/>
          <w:vertAlign w:val="baseline"/>
        </w:rPr>
        <w:t>S </w:t>
      </w:r>
      <w:r>
        <w:rPr>
          <w:spacing w:val="-12"/>
          <w:position w:val="0"/>
          <w:vertAlign w:val="baseline"/>
        </w:rPr>
        <w:t>排放量为 </w:t>
      </w:r>
      <w:r>
        <w:rPr>
          <w:rFonts w:ascii="Times New Roman" w:hAnsi="Times New Roman" w:eastAsia="Times New Roman"/>
          <w:vertAlign w:val="baseline"/>
        </w:rPr>
        <w:t>0.5g/ </w:t>
      </w:r>
      <w:r>
        <w:rPr>
          <w:position w:val="0"/>
          <w:vertAlign w:val="baseline"/>
        </w:rPr>
        <w:t>头</w:t>
      </w:r>
      <w:r>
        <w:rPr>
          <w:rFonts w:ascii="Times New Roman" w:hAnsi="Times New Roman" w:eastAsia="Times New Roman"/>
          <w:vertAlign w:val="baseline"/>
        </w:rPr>
        <w:t>·d</w:t>
      </w:r>
      <w:r>
        <w:rPr>
          <w:spacing w:val="-16"/>
          <w:position w:val="0"/>
          <w:vertAlign w:val="baseline"/>
        </w:rPr>
        <w:t>，母猪 </w:t>
      </w:r>
      <w:r>
        <w:rPr>
          <w:rFonts w:ascii="Times New Roman" w:hAnsi="Times New Roman" w:eastAsia="Times New Roman"/>
          <w:vertAlign w:val="baseline"/>
        </w:rPr>
        <w:t>H</w:t>
      </w:r>
      <w:r>
        <w:rPr>
          <w:rFonts w:ascii="Times New Roman" w:hAnsi="Times New Roman" w:eastAsia="Times New Roman"/>
          <w:vertAlign w:val="subscript"/>
        </w:rPr>
        <w:t>2</w:t>
      </w:r>
      <w:r>
        <w:rPr>
          <w:rFonts w:ascii="Times New Roman" w:hAnsi="Times New Roman" w:eastAsia="Times New Roman"/>
          <w:vertAlign w:val="baseline"/>
        </w:rPr>
        <w:t>S </w:t>
      </w:r>
      <w:r>
        <w:rPr>
          <w:spacing w:val="-12"/>
          <w:position w:val="0"/>
          <w:vertAlign w:val="baseline"/>
        </w:rPr>
        <w:t>排放量为 </w:t>
      </w:r>
      <w:r>
        <w:rPr>
          <w:rFonts w:ascii="Times New Roman" w:hAnsi="Times New Roman" w:eastAsia="Times New Roman"/>
          <w:vertAlign w:val="baseline"/>
        </w:rPr>
        <w:t>0.8g/</w:t>
      </w:r>
      <w:r>
        <w:rPr>
          <w:position w:val="0"/>
          <w:vertAlign w:val="baseline"/>
        </w:rPr>
        <w:t>头</w:t>
      </w:r>
      <w:r>
        <w:rPr>
          <w:rFonts w:ascii="Times New Roman" w:hAnsi="Times New Roman" w:eastAsia="Times New Roman"/>
          <w:vertAlign w:val="baseline"/>
        </w:rPr>
        <w:t>·d</w:t>
      </w:r>
      <w:r>
        <w:rPr>
          <w:position w:val="0"/>
          <w:vertAlign w:val="baseline"/>
        </w:rPr>
        <w:t>。</w:t>
      </w:r>
    </w:p>
    <w:p>
      <w:pPr>
        <w:pStyle w:val="BodyText"/>
        <w:spacing w:line="364" w:lineRule="auto" w:before="2"/>
        <w:ind w:right="247" w:firstLine="480"/>
        <w:jc w:val="both"/>
      </w:pPr>
      <w:r>
        <w:rPr/>
        <w:t>根据《家畜环境卫生学》（安立龙，高等教育出版社、</w:t>
      </w:r>
      <w:r>
        <w:rPr>
          <w:rFonts w:ascii="Times New Roman" w:eastAsia="Times New Roman"/>
          <w:position w:val="1"/>
        </w:rPr>
        <w:t>P136</w:t>
      </w:r>
      <w:r>
        <w:rPr/>
        <w:t>）中研究资料，通过在</w:t>
      </w:r>
      <w:r>
        <w:rPr>
          <w:spacing w:val="-2"/>
        </w:rPr>
        <w:t>畜禽口粮中投放 </w:t>
      </w:r>
      <w:r>
        <w:rPr>
          <w:rFonts w:ascii="Times New Roman" w:eastAsia="Times New Roman"/>
          <w:position w:val="1"/>
        </w:rPr>
        <w:t>EM </w:t>
      </w:r>
      <w:r>
        <w:rPr/>
        <w:t>菌等有益微生物复合制剂、科学合理的配置日粮等，猪舍内恶臭气</w:t>
      </w:r>
      <w:r>
        <w:rPr>
          <w:spacing w:val="-4"/>
          <w:position w:val="0"/>
        </w:rPr>
        <w:t>体得到有效降解，其中 </w:t>
      </w:r>
      <w:r>
        <w:rPr>
          <w:rFonts w:ascii="Times New Roman" w:eastAsia="Times New Roman"/>
        </w:rPr>
        <w:t>NH</w:t>
      </w:r>
      <w:r>
        <w:rPr>
          <w:rFonts w:ascii="Times New Roman" w:eastAsia="Times New Roman"/>
          <w:vertAlign w:val="subscript"/>
        </w:rPr>
        <w:t>3</w:t>
      </w:r>
      <w:r>
        <w:rPr>
          <w:rFonts w:ascii="Times New Roman" w:eastAsia="Times New Roman"/>
          <w:vertAlign w:val="baseline"/>
        </w:rPr>
        <w:t> </w:t>
      </w:r>
      <w:r>
        <w:rPr>
          <w:spacing w:val="-8"/>
          <w:position w:val="0"/>
          <w:vertAlign w:val="baseline"/>
        </w:rPr>
        <w:t>可以减少 </w:t>
      </w:r>
      <w:r>
        <w:rPr>
          <w:rFonts w:ascii="Times New Roman" w:eastAsia="Times New Roman"/>
          <w:vertAlign w:val="baseline"/>
        </w:rPr>
        <w:t>70.7%~73.8%</w:t>
      </w:r>
      <w:r>
        <w:rPr>
          <w:position w:val="0"/>
          <w:vertAlign w:val="baseline"/>
        </w:rPr>
        <w:t>、</w:t>
      </w:r>
      <w:r>
        <w:rPr>
          <w:rFonts w:ascii="Times New Roman" w:eastAsia="Times New Roman"/>
          <w:vertAlign w:val="baseline"/>
        </w:rPr>
        <w:t>H</w:t>
      </w:r>
      <w:r>
        <w:rPr>
          <w:rFonts w:ascii="Times New Roman" w:eastAsia="Times New Roman"/>
          <w:vertAlign w:val="subscript"/>
        </w:rPr>
        <w:t>2</w:t>
      </w:r>
      <w:r>
        <w:rPr>
          <w:rFonts w:ascii="Times New Roman" w:eastAsia="Times New Roman"/>
          <w:vertAlign w:val="baseline"/>
        </w:rPr>
        <w:t>S </w:t>
      </w:r>
      <w:r>
        <w:rPr>
          <w:spacing w:val="-8"/>
          <w:position w:val="0"/>
          <w:vertAlign w:val="baseline"/>
        </w:rPr>
        <w:t>可以减少 </w:t>
      </w:r>
      <w:r>
        <w:rPr>
          <w:rFonts w:ascii="Times New Roman" w:eastAsia="Times New Roman"/>
          <w:vertAlign w:val="baseline"/>
        </w:rPr>
        <w:t>80.9%~82.3%</w:t>
      </w:r>
      <w:r>
        <w:rPr>
          <w:position w:val="0"/>
          <w:vertAlign w:val="baseline"/>
        </w:rPr>
        <w:t>。本环</w:t>
      </w:r>
      <w:r>
        <w:rPr>
          <w:spacing w:val="-13"/>
          <w:vertAlign w:val="baseline"/>
        </w:rPr>
        <w:t>评分别按 </w:t>
      </w:r>
      <w:r>
        <w:rPr>
          <w:rFonts w:ascii="Times New Roman" w:eastAsia="Times New Roman"/>
          <w:position w:val="1"/>
          <w:vertAlign w:val="baseline"/>
        </w:rPr>
        <w:t>70%</w:t>
      </w:r>
      <w:r>
        <w:rPr>
          <w:spacing w:val="-30"/>
          <w:vertAlign w:val="baseline"/>
        </w:rPr>
        <w:t>及 </w:t>
      </w:r>
      <w:r>
        <w:rPr>
          <w:rFonts w:ascii="Times New Roman" w:eastAsia="Times New Roman"/>
          <w:position w:val="1"/>
          <w:vertAlign w:val="baseline"/>
        </w:rPr>
        <w:t>80%</w:t>
      </w:r>
      <w:r>
        <w:rPr>
          <w:spacing w:val="-3"/>
          <w:vertAlign w:val="baseline"/>
        </w:rPr>
        <w:t>计。由此计算得本项目各猪舍的废气产生量如表 </w:t>
      </w:r>
      <w:r>
        <w:rPr>
          <w:rFonts w:ascii="Times New Roman" w:eastAsia="Times New Roman"/>
          <w:position w:val="1"/>
          <w:vertAlign w:val="baseline"/>
        </w:rPr>
        <w:t>3.3-5 </w:t>
      </w:r>
      <w:r>
        <w:rPr>
          <w:vertAlign w:val="baseline"/>
        </w:rPr>
        <w:t>所示。</w:t>
      </w:r>
    </w:p>
    <w:p>
      <w:pPr>
        <w:pStyle w:val="Heading3"/>
        <w:spacing w:before="3"/>
        <w:ind w:left="219" w:right="236"/>
        <w:jc w:val="center"/>
      </w:pPr>
      <w:r>
        <w:rPr>
          <w:position w:val="1"/>
        </w:rPr>
        <w:t>表 </w:t>
      </w:r>
      <w:r>
        <w:rPr>
          <w:rFonts w:ascii="Times New Roman" w:eastAsia="Times New Roman"/>
          <w:position w:val="1"/>
        </w:rPr>
        <w:t>3.3-5  </w:t>
      </w:r>
      <w:r>
        <w:rPr>
          <w:position w:val="1"/>
        </w:rPr>
        <w:t>项目猪舍 </w:t>
      </w:r>
      <w:r>
        <w:rPr>
          <w:rFonts w:ascii="Times New Roman" w:eastAsia="Times New Roman"/>
          <w:position w:val="1"/>
        </w:rPr>
        <w:t>NH</w:t>
      </w:r>
      <w:r>
        <w:rPr>
          <w:rFonts w:ascii="Times New Roman" w:eastAsia="Times New Roman"/>
          <w:sz w:val="16"/>
        </w:rPr>
        <w:t>3</w:t>
      </w:r>
      <w:r>
        <w:rPr>
          <w:position w:val="1"/>
        </w:rPr>
        <w:t>、</w:t>
      </w:r>
      <w:r>
        <w:rPr>
          <w:rFonts w:ascii="Times New Roman" w:eastAsia="Times New Roman"/>
          <w:position w:val="1"/>
        </w:rPr>
        <w:t>H</w:t>
      </w:r>
      <w:r>
        <w:rPr>
          <w:rFonts w:ascii="Times New Roman" w:eastAsia="Times New Roman"/>
          <w:sz w:val="16"/>
        </w:rPr>
        <w:t>2</w:t>
      </w:r>
      <w:r>
        <w:rPr>
          <w:rFonts w:ascii="Times New Roman" w:eastAsia="Times New Roman"/>
          <w:position w:val="1"/>
        </w:rPr>
        <w:t>S </w:t>
      </w:r>
      <w:r>
        <w:rPr>
          <w:position w:val="1"/>
        </w:rPr>
        <w:t>产生量估算</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2"/>
        <w:gridCol w:w="1277"/>
        <w:gridCol w:w="996"/>
        <w:gridCol w:w="1208"/>
        <w:gridCol w:w="876"/>
        <w:gridCol w:w="1068"/>
        <w:gridCol w:w="1208"/>
        <w:gridCol w:w="879"/>
        <w:gridCol w:w="1069"/>
      </w:tblGrid>
      <w:tr>
        <w:trPr>
          <w:trHeight w:val="359" w:hRule="atLeast"/>
        </w:trPr>
        <w:tc>
          <w:tcPr>
            <w:tcW w:w="852" w:type="dxa"/>
            <w:vMerge w:val="restart"/>
            <w:tcBorders>
              <w:bottom w:val="single" w:sz="6" w:space="0" w:color="000000"/>
              <w:right w:val="single" w:sz="6" w:space="0" w:color="000000"/>
            </w:tcBorders>
          </w:tcPr>
          <w:p>
            <w:pPr>
              <w:pStyle w:val="TableParagraph"/>
              <w:spacing w:before="0"/>
              <w:jc w:val="left"/>
              <w:rPr>
                <w:rFonts w:ascii="宋体"/>
                <w:b/>
                <w:sz w:val="20"/>
              </w:rPr>
            </w:pPr>
          </w:p>
          <w:p>
            <w:pPr>
              <w:pStyle w:val="TableParagraph"/>
              <w:spacing w:before="157"/>
              <w:ind w:left="213"/>
              <w:jc w:val="left"/>
              <w:rPr>
                <w:rFonts w:ascii="宋体" w:eastAsia="宋体" w:hint="eastAsia"/>
                <w:b/>
                <w:sz w:val="21"/>
              </w:rPr>
            </w:pPr>
            <w:r>
              <w:rPr>
                <w:rFonts w:ascii="宋体" w:eastAsia="宋体" w:hint="eastAsia"/>
                <w:b/>
                <w:sz w:val="21"/>
              </w:rPr>
              <w:t>猪舍</w:t>
            </w:r>
          </w:p>
        </w:tc>
        <w:tc>
          <w:tcPr>
            <w:tcW w:w="1277" w:type="dxa"/>
            <w:vMerge w:val="restart"/>
            <w:tcBorders>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7"/>
              <w:ind w:left="431"/>
              <w:jc w:val="left"/>
              <w:rPr>
                <w:rFonts w:ascii="宋体" w:eastAsia="宋体" w:hint="eastAsia"/>
                <w:b/>
                <w:sz w:val="21"/>
              </w:rPr>
            </w:pPr>
            <w:r>
              <w:rPr>
                <w:rFonts w:ascii="宋体" w:eastAsia="宋体" w:hint="eastAsia"/>
                <w:b/>
                <w:sz w:val="21"/>
              </w:rPr>
              <w:t>猪群</w:t>
            </w:r>
          </w:p>
        </w:tc>
        <w:tc>
          <w:tcPr>
            <w:tcW w:w="996" w:type="dxa"/>
            <w:vMerge w:val="restart"/>
            <w:tcBorders>
              <w:left w:val="single" w:sz="6" w:space="0" w:color="000000"/>
              <w:bottom w:val="single" w:sz="6" w:space="0" w:color="000000"/>
              <w:right w:val="single" w:sz="6" w:space="0" w:color="000000"/>
            </w:tcBorders>
          </w:tcPr>
          <w:p>
            <w:pPr>
              <w:pStyle w:val="TableParagraph"/>
              <w:spacing w:before="3"/>
              <w:jc w:val="left"/>
              <w:rPr>
                <w:rFonts w:ascii="宋体"/>
                <w:b/>
                <w:sz w:val="32"/>
              </w:rPr>
            </w:pPr>
          </w:p>
          <w:p>
            <w:pPr>
              <w:pStyle w:val="TableParagraph"/>
              <w:spacing w:before="0"/>
              <w:ind w:left="115"/>
              <w:jc w:val="left"/>
              <w:rPr>
                <w:b/>
                <w:sz w:val="21"/>
              </w:rPr>
            </w:pPr>
            <w:r>
              <w:rPr>
                <w:rFonts w:ascii="宋体" w:eastAsia="宋体" w:hint="eastAsia"/>
                <w:b/>
                <w:sz w:val="21"/>
              </w:rPr>
              <w:t>数量</w:t>
            </w:r>
            <w:r>
              <w:rPr>
                <w:b/>
                <w:sz w:val="21"/>
              </w:rPr>
              <w:t>(</w:t>
            </w:r>
            <w:r>
              <w:rPr>
                <w:rFonts w:ascii="宋体" w:eastAsia="宋体" w:hint="eastAsia"/>
                <w:b/>
                <w:sz w:val="21"/>
              </w:rPr>
              <w:t>头</w:t>
            </w:r>
            <w:r>
              <w:rPr>
                <w:b/>
                <w:sz w:val="21"/>
              </w:rPr>
              <w:t>)</w:t>
            </w:r>
          </w:p>
        </w:tc>
        <w:tc>
          <w:tcPr>
            <w:tcW w:w="3152" w:type="dxa"/>
            <w:gridSpan w:val="3"/>
            <w:tcBorders>
              <w:left w:val="single" w:sz="6" w:space="0" w:color="000000"/>
              <w:bottom w:val="single" w:sz="6" w:space="0" w:color="000000"/>
              <w:right w:val="single" w:sz="6" w:space="0" w:color="000000"/>
            </w:tcBorders>
          </w:tcPr>
          <w:p>
            <w:pPr>
              <w:pStyle w:val="TableParagraph"/>
              <w:spacing w:before="59"/>
              <w:ind w:left="1370" w:right="1341"/>
              <w:rPr>
                <w:b/>
                <w:sz w:val="14"/>
              </w:rPr>
            </w:pPr>
            <w:r>
              <w:rPr>
                <w:b/>
                <w:position w:val="2"/>
                <w:sz w:val="21"/>
              </w:rPr>
              <w:t>NH</w:t>
            </w:r>
            <w:r>
              <w:rPr>
                <w:b/>
                <w:sz w:val="14"/>
              </w:rPr>
              <w:t>3</w:t>
            </w:r>
          </w:p>
        </w:tc>
        <w:tc>
          <w:tcPr>
            <w:tcW w:w="3156" w:type="dxa"/>
            <w:gridSpan w:val="3"/>
            <w:tcBorders>
              <w:left w:val="single" w:sz="6" w:space="0" w:color="000000"/>
              <w:bottom w:val="single" w:sz="6" w:space="0" w:color="000000"/>
            </w:tcBorders>
          </w:tcPr>
          <w:p>
            <w:pPr>
              <w:pStyle w:val="TableParagraph"/>
              <w:spacing w:before="59"/>
              <w:ind w:left="1388" w:right="1354"/>
              <w:rPr>
                <w:b/>
                <w:sz w:val="21"/>
              </w:rPr>
            </w:pPr>
            <w:r>
              <w:rPr>
                <w:b/>
                <w:position w:val="2"/>
                <w:sz w:val="21"/>
              </w:rPr>
              <w:t>H</w:t>
            </w:r>
            <w:r>
              <w:rPr>
                <w:b/>
                <w:sz w:val="14"/>
              </w:rPr>
              <w:t>2</w:t>
            </w:r>
            <w:r>
              <w:rPr>
                <w:b/>
                <w:position w:val="2"/>
                <w:sz w:val="21"/>
              </w:rPr>
              <w:t>S</w:t>
            </w:r>
          </w:p>
        </w:tc>
      </w:tr>
      <w:tr>
        <w:trPr>
          <w:trHeight w:val="717" w:hRule="atLeast"/>
        </w:trPr>
        <w:tc>
          <w:tcPr>
            <w:tcW w:w="852" w:type="dxa"/>
            <w:vMerge/>
            <w:tcBorders>
              <w:top w:val="nil"/>
              <w:bottom w:val="single" w:sz="6" w:space="0" w:color="000000"/>
              <w:right w:val="single" w:sz="6" w:space="0" w:color="000000"/>
            </w:tcBorders>
          </w:tcPr>
          <w:p>
            <w:pPr>
              <w:rPr>
                <w:sz w:val="2"/>
                <w:szCs w:val="2"/>
              </w:rPr>
            </w:pPr>
          </w:p>
        </w:tc>
        <w:tc>
          <w:tcPr>
            <w:tcW w:w="1277" w:type="dxa"/>
            <w:vMerge/>
            <w:tcBorders>
              <w:top w:val="nil"/>
              <w:left w:val="single" w:sz="6" w:space="0" w:color="000000"/>
              <w:bottom w:val="single" w:sz="6" w:space="0" w:color="000000"/>
              <w:right w:val="single" w:sz="6" w:space="0" w:color="000000"/>
            </w:tcBorders>
          </w:tcPr>
          <w:p>
            <w:pPr>
              <w:rPr>
                <w:sz w:val="2"/>
                <w:szCs w:val="2"/>
              </w:rPr>
            </w:pPr>
          </w:p>
        </w:tc>
        <w:tc>
          <w:tcPr>
            <w:tcW w:w="996" w:type="dxa"/>
            <w:vMerge/>
            <w:tcBorders>
              <w:top w:val="nil"/>
              <w:left w:val="single" w:sz="6" w:space="0" w:color="000000"/>
              <w:bottom w:val="single" w:sz="6" w:space="0" w:color="000000"/>
              <w:right w:val="single" w:sz="6" w:space="0" w:color="000000"/>
            </w:tcBorders>
          </w:tcPr>
          <w:p>
            <w:pPr>
              <w:rPr>
                <w:sz w:val="2"/>
                <w:szCs w:val="2"/>
              </w:rPr>
            </w:pP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46"/>
              <w:ind w:left="187"/>
              <w:jc w:val="left"/>
              <w:rPr>
                <w:rFonts w:ascii="宋体" w:eastAsia="宋体" w:hint="eastAsia"/>
                <w:b/>
                <w:sz w:val="21"/>
              </w:rPr>
            </w:pPr>
            <w:r>
              <w:rPr>
                <w:rFonts w:ascii="宋体" w:eastAsia="宋体" w:hint="eastAsia"/>
                <w:b/>
                <w:sz w:val="21"/>
              </w:rPr>
              <w:t>产生强度</w:t>
            </w:r>
          </w:p>
          <w:p>
            <w:pPr>
              <w:pStyle w:val="TableParagraph"/>
              <w:spacing w:before="91"/>
              <w:ind w:left="117"/>
              <w:jc w:val="left"/>
              <w:rPr>
                <w:rFonts w:ascii="宋体" w:hAnsi="宋体" w:eastAsia="宋体" w:hint="eastAsia"/>
                <w:b/>
                <w:sz w:val="21"/>
              </w:rPr>
            </w:pPr>
            <w:r>
              <w:rPr>
                <w:rFonts w:ascii="宋体" w:hAnsi="宋体" w:eastAsia="宋体" w:hint="eastAsia"/>
                <w:b/>
                <w:spacing w:val="-1"/>
                <w:sz w:val="21"/>
              </w:rPr>
              <w:t>（</w:t>
            </w:r>
            <w:r>
              <w:rPr>
                <w:b/>
                <w:spacing w:val="-1"/>
                <w:sz w:val="21"/>
              </w:rPr>
              <w:t>g/</w:t>
            </w:r>
            <w:r>
              <w:rPr>
                <w:rFonts w:ascii="宋体" w:hAnsi="宋体" w:eastAsia="宋体" w:hint="eastAsia"/>
                <w:b/>
                <w:spacing w:val="-1"/>
                <w:sz w:val="21"/>
              </w:rPr>
              <w:t>头</w:t>
            </w:r>
            <w:r>
              <w:rPr>
                <w:b/>
                <w:spacing w:val="-1"/>
                <w:sz w:val="21"/>
              </w:rPr>
              <w:t>·d</w:t>
            </w:r>
            <w:r>
              <w:rPr>
                <w:rFonts w:ascii="宋体" w:hAnsi="宋体" w:eastAsia="宋体" w:hint="eastAsia"/>
                <w:b/>
                <w:spacing w:val="-1"/>
                <w:sz w:val="21"/>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46"/>
              <w:ind w:left="124"/>
              <w:jc w:val="left"/>
              <w:rPr>
                <w:rFonts w:ascii="宋体" w:eastAsia="宋体" w:hint="eastAsia"/>
                <w:b/>
                <w:sz w:val="21"/>
              </w:rPr>
            </w:pPr>
            <w:r>
              <w:rPr>
                <w:rFonts w:ascii="宋体" w:eastAsia="宋体" w:hint="eastAsia"/>
                <w:b/>
                <w:sz w:val="21"/>
              </w:rPr>
              <w:t>产生量</w:t>
            </w:r>
          </w:p>
          <w:p>
            <w:pPr>
              <w:pStyle w:val="TableParagraph"/>
              <w:spacing w:before="91"/>
              <w:ind w:left="114"/>
              <w:jc w:val="left"/>
              <w:rPr>
                <w:rFonts w:ascii="宋体" w:eastAsia="宋体" w:hint="eastAsia"/>
                <w:b/>
                <w:sz w:val="21"/>
              </w:rPr>
            </w:pPr>
            <w:r>
              <w:rPr>
                <w:rFonts w:ascii="宋体" w:eastAsia="宋体" w:hint="eastAsia"/>
                <w:b/>
                <w:sz w:val="21"/>
              </w:rPr>
              <w:t>（</w:t>
            </w:r>
            <w:r>
              <w:rPr>
                <w:b/>
                <w:sz w:val="21"/>
              </w:rPr>
              <w:t>t/a</w:t>
            </w:r>
            <w:r>
              <w:rPr>
                <w:rFonts w:ascii="宋体" w:eastAsia="宋体" w:hint="eastAsia"/>
                <w:b/>
                <w:sz w:val="21"/>
              </w:rPr>
              <w:t>）</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jc w:val="left"/>
              <w:rPr>
                <w:rFonts w:ascii="宋体" w:eastAsia="宋体" w:hint="eastAsia"/>
                <w:b/>
                <w:sz w:val="21"/>
              </w:rPr>
            </w:pPr>
            <w:r>
              <w:rPr>
                <w:rFonts w:ascii="宋体" w:eastAsia="宋体" w:hint="eastAsia"/>
                <w:b/>
                <w:sz w:val="21"/>
              </w:rPr>
              <w:t>产生速率</w:t>
            </w:r>
          </w:p>
          <w:p>
            <w:pPr>
              <w:pStyle w:val="TableParagraph"/>
              <w:spacing w:before="91"/>
              <w:ind w:left="131"/>
              <w:jc w:val="left"/>
              <w:rPr>
                <w:rFonts w:ascii="宋体" w:eastAsia="宋体" w:hint="eastAsia"/>
                <w:b/>
                <w:sz w:val="21"/>
              </w:rPr>
            </w:pPr>
            <w:r>
              <w:rPr>
                <w:rFonts w:ascii="宋体" w:eastAsia="宋体" w:hint="eastAsia"/>
                <w:b/>
                <w:sz w:val="21"/>
              </w:rPr>
              <w:t>（</w:t>
            </w:r>
            <w:r>
              <w:rPr>
                <w:b/>
                <w:sz w:val="21"/>
              </w:rPr>
              <w:t>kg/h</w:t>
            </w:r>
            <w:r>
              <w:rPr>
                <w:rFonts w:ascii="宋体" w:eastAsia="宋体" w:hint="eastAsia"/>
                <w:b/>
                <w:sz w:val="21"/>
              </w:rPr>
              <w:t>）</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46"/>
              <w:ind w:left="189"/>
              <w:jc w:val="left"/>
              <w:rPr>
                <w:rFonts w:ascii="宋体" w:eastAsia="宋体" w:hint="eastAsia"/>
                <w:b/>
                <w:sz w:val="21"/>
              </w:rPr>
            </w:pPr>
            <w:r>
              <w:rPr>
                <w:rFonts w:ascii="宋体" w:eastAsia="宋体" w:hint="eastAsia"/>
                <w:b/>
                <w:sz w:val="21"/>
              </w:rPr>
              <w:t>产生强度</w:t>
            </w:r>
          </w:p>
          <w:p>
            <w:pPr>
              <w:pStyle w:val="TableParagraph"/>
              <w:spacing w:before="91"/>
              <w:ind w:left="119"/>
              <w:jc w:val="left"/>
              <w:rPr>
                <w:rFonts w:ascii="宋体" w:hAnsi="宋体" w:eastAsia="宋体" w:hint="eastAsia"/>
                <w:b/>
                <w:sz w:val="21"/>
              </w:rPr>
            </w:pPr>
            <w:r>
              <w:rPr>
                <w:rFonts w:ascii="宋体" w:hAnsi="宋体" w:eastAsia="宋体" w:hint="eastAsia"/>
                <w:b/>
                <w:spacing w:val="-1"/>
                <w:sz w:val="21"/>
              </w:rPr>
              <w:t>（</w:t>
            </w:r>
            <w:r>
              <w:rPr>
                <w:b/>
                <w:spacing w:val="-1"/>
                <w:sz w:val="21"/>
              </w:rPr>
              <w:t>g/</w:t>
            </w:r>
            <w:r>
              <w:rPr>
                <w:rFonts w:ascii="宋体" w:hAnsi="宋体" w:eastAsia="宋体" w:hint="eastAsia"/>
                <w:b/>
                <w:spacing w:val="-1"/>
                <w:sz w:val="21"/>
              </w:rPr>
              <w:t>头</w:t>
            </w:r>
            <w:r>
              <w:rPr>
                <w:b/>
                <w:sz w:val="21"/>
              </w:rPr>
              <w:t>·d</w:t>
            </w:r>
            <w:r>
              <w:rPr>
                <w:rFonts w:ascii="宋体" w:hAnsi="宋体" w:eastAsia="宋体" w:hint="eastAsia"/>
                <w:b/>
                <w:sz w:val="21"/>
              </w:rPr>
              <w:t>）</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spacing w:before="46"/>
              <w:ind w:left="126"/>
              <w:jc w:val="left"/>
              <w:rPr>
                <w:rFonts w:ascii="宋体" w:eastAsia="宋体" w:hint="eastAsia"/>
                <w:b/>
                <w:sz w:val="21"/>
              </w:rPr>
            </w:pPr>
            <w:r>
              <w:rPr>
                <w:rFonts w:ascii="宋体" w:eastAsia="宋体" w:hint="eastAsia"/>
                <w:b/>
                <w:sz w:val="21"/>
              </w:rPr>
              <w:t>产生量</w:t>
            </w:r>
          </w:p>
          <w:p>
            <w:pPr>
              <w:pStyle w:val="TableParagraph"/>
              <w:spacing w:before="91"/>
              <w:ind w:left="117"/>
              <w:jc w:val="left"/>
              <w:rPr>
                <w:rFonts w:ascii="宋体" w:eastAsia="宋体" w:hint="eastAsia"/>
                <w:b/>
                <w:sz w:val="21"/>
              </w:rPr>
            </w:pPr>
            <w:r>
              <w:rPr>
                <w:rFonts w:ascii="宋体" w:eastAsia="宋体" w:hint="eastAsia"/>
                <w:b/>
                <w:sz w:val="21"/>
              </w:rPr>
              <w:t>（</w:t>
            </w:r>
            <w:r>
              <w:rPr>
                <w:b/>
                <w:sz w:val="21"/>
              </w:rPr>
              <w:t>t/a</w:t>
            </w:r>
            <w:r>
              <w:rPr>
                <w:rFonts w:ascii="宋体" w:eastAsia="宋体" w:hint="eastAsia"/>
                <w:b/>
                <w:sz w:val="21"/>
              </w:rPr>
              <w:t>）</w:t>
            </w:r>
          </w:p>
        </w:tc>
        <w:tc>
          <w:tcPr>
            <w:tcW w:w="1069" w:type="dxa"/>
            <w:tcBorders>
              <w:top w:val="single" w:sz="6" w:space="0" w:color="000000"/>
              <w:left w:val="single" w:sz="6" w:space="0" w:color="000000"/>
              <w:bottom w:val="single" w:sz="6" w:space="0" w:color="000000"/>
            </w:tcBorders>
          </w:tcPr>
          <w:p>
            <w:pPr>
              <w:pStyle w:val="TableParagraph"/>
              <w:spacing w:before="46"/>
              <w:ind w:left="116"/>
              <w:jc w:val="left"/>
              <w:rPr>
                <w:rFonts w:ascii="宋体" w:eastAsia="宋体" w:hint="eastAsia"/>
                <w:b/>
                <w:sz w:val="21"/>
              </w:rPr>
            </w:pPr>
            <w:r>
              <w:rPr>
                <w:rFonts w:ascii="宋体" w:eastAsia="宋体" w:hint="eastAsia"/>
                <w:b/>
                <w:sz w:val="21"/>
              </w:rPr>
              <w:t>产生速率</w:t>
            </w:r>
          </w:p>
          <w:p>
            <w:pPr>
              <w:pStyle w:val="TableParagraph"/>
              <w:spacing w:before="91"/>
              <w:ind w:left="128"/>
              <w:jc w:val="left"/>
              <w:rPr>
                <w:rFonts w:ascii="宋体" w:eastAsia="宋体" w:hint="eastAsia"/>
                <w:b/>
                <w:sz w:val="21"/>
              </w:rPr>
            </w:pPr>
            <w:r>
              <w:rPr>
                <w:rFonts w:ascii="宋体" w:eastAsia="宋体" w:hint="eastAsia"/>
                <w:b/>
                <w:sz w:val="21"/>
              </w:rPr>
              <w:t>（</w:t>
            </w:r>
            <w:r>
              <w:rPr>
                <w:b/>
                <w:sz w:val="21"/>
              </w:rPr>
              <w:t>kg/h</w:t>
            </w:r>
            <w:r>
              <w:rPr>
                <w:rFonts w:ascii="宋体" w:eastAsia="宋体" w:hint="eastAsia"/>
                <w:b/>
                <w:sz w:val="21"/>
              </w:rPr>
              <w:t>）</w:t>
            </w:r>
          </w:p>
        </w:tc>
      </w:tr>
      <w:tr>
        <w:trPr>
          <w:trHeight w:val="359" w:hRule="atLeast"/>
        </w:trPr>
        <w:tc>
          <w:tcPr>
            <w:tcW w:w="852" w:type="dxa"/>
            <w:tcBorders>
              <w:top w:val="single" w:sz="6" w:space="0" w:color="000000"/>
              <w:bottom w:val="single" w:sz="6" w:space="0" w:color="000000"/>
              <w:right w:val="single" w:sz="6" w:space="0" w:color="000000"/>
            </w:tcBorders>
          </w:tcPr>
          <w:p>
            <w:pPr>
              <w:pStyle w:val="TableParagraph"/>
              <w:spacing w:before="46"/>
              <w:ind w:left="91" w:right="68"/>
              <w:rPr>
                <w:rFonts w:ascii="宋体" w:eastAsia="宋体" w:hint="eastAsia"/>
                <w:sz w:val="21"/>
              </w:rPr>
            </w:pPr>
            <w:r>
              <w:rPr>
                <w:rFonts w:ascii="宋体" w:eastAsia="宋体" w:hint="eastAsia"/>
                <w:sz w:val="21"/>
              </w:rPr>
              <w:t>公猪舍</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0"/>
              <w:rPr>
                <w:rFonts w:ascii="宋体" w:eastAsia="宋体" w:hint="eastAsia"/>
                <w:sz w:val="21"/>
              </w:rPr>
            </w:pPr>
            <w:r>
              <w:rPr>
                <w:rFonts w:ascii="宋体" w:eastAsia="宋体" w:hint="eastAsia"/>
                <w:sz w:val="21"/>
              </w:rPr>
              <w:t>种公猪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left="345"/>
              <w:jc w:val="left"/>
              <w:rPr>
                <w:sz w:val="21"/>
              </w:rPr>
            </w:pPr>
            <w:r>
              <w:rPr>
                <w:sz w:val="21"/>
              </w:rPr>
              <w:t>200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1.70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6"/>
              <w:jc w:val="left"/>
              <w:rPr>
                <w:sz w:val="21"/>
              </w:rPr>
            </w:pPr>
            <w:r>
              <w:rPr>
                <w:sz w:val="21"/>
              </w:rPr>
              <w:t>0.124</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0.0187</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0.10</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0.007</w:t>
            </w:r>
          </w:p>
        </w:tc>
        <w:tc>
          <w:tcPr>
            <w:tcW w:w="1069" w:type="dxa"/>
            <w:tcBorders>
              <w:top w:val="single" w:sz="6" w:space="0" w:color="000000"/>
              <w:left w:val="single" w:sz="6" w:space="0" w:color="000000"/>
              <w:bottom w:val="single" w:sz="6" w:space="0" w:color="000000"/>
            </w:tcBorders>
          </w:tcPr>
          <w:p>
            <w:pPr>
              <w:pStyle w:val="TableParagraph"/>
              <w:ind w:left="253"/>
              <w:jc w:val="left"/>
              <w:rPr>
                <w:sz w:val="21"/>
              </w:rPr>
            </w:pPr>
            <w:r>
              <w:rPr>
                <w:sz w:val="21"/>
              </w:rPr>
              <w:t>0.0011</w:t>
            </w:r>
          </w:p>
        </w:tc>
      </w:tr>
      <w:tr>
        <w:trPr>
          <w:trHeight w:val="359" w:hRule="atLeast"/>
        </w:trPr>
        <w:tc>
          <w:tcPr>
            <w:tcW w:w="852" w:type="dxa"/>
            <w:tcBorders>
              <w:top w:val="single" w:sz="6" w:space="0" w:color="000000"/>
              <w:bottom w:val="single" w:sz="6" w:space="0" w:color="000000"/>
              <w:right w:val="single" w:sz="6" w:space="0" w:color="000000"/>
            </w:tcBorders>
          </w:tcPr>
          <w:p>
            <w:pPr>
              <w:pStyle w:val="TableParagraph"/>
              <w:spacing w:before="46"/>
              <w:ind w:left="91" w:right="68"/>
              <w:rPr>
                <w:rFonts w:ascii="宋体" w:eastAsia="宋体" w:hint="eastAsia"/>
                <w:sz w:val="21"/>
              </w:rPr>
            </w:pPr>
            <w:r>
              <w:rPr>
                <w:rFonts w:ascii="宋体" w:eastAsia="宋体" w:hint="eastAsia"/>
                <w:sz w:val="21"/>
              </w:rPr>
              <w:t>后备舍</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2"/>
              <w:rPr>
                <w:rFonts w:ascii="宋体" w:eastAsia="宋体" w:hint="eastAsia"/>
                <w:sz w:val="21"/>
              </w:rPr>
            </w:pPr>
            <w:r>
              <w:rPr>
                <w:rFonts w:ascii="宋体" w:eastAsia="宋体" w:hint="eastAsia"/>
                <w:sz w:val="21"/>
              </w:rPr>
              <w:t>后备母猪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left="345"/>
              <w:jc w:val="left"/>
              <w:rPr>
                <w:sz w:val="21"/>
              </w:rPr>
            </w:pPr>
            <w:r>
              <w:rPr>
                <w:sz w:val="21"/>
              </w:rPr>
              <w:t>400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1.59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6"/>
              <w:jc w:val="left"/>
              <w:rPr>
                <w:sz w:val="21"/>
              </w:rPr>
            </w:pPr>
            <w:r>
              <w:rPr>
                <w:sz w:val="21"/>
              </w:rPr>
              <w:t>0.232</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0.0350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0.16</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0.023</w:t>
            </w:r>
          </w:p>
        </w:tc>
        <w:tc>
          <w:tcPr>
            <w:tcW w:w="1069"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0.0035</w:t>
            </w:r>
          </w:p>
        </w:tc>
      </w:tr>
      <w:tr>
        <w:trPr>
          <w:trHeight w:val="356" w:hRule="atLeast"/>
        </w:trPr>
        <w:tc>
          <w:tcPr>
            <w:tcW w:w="85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09"/>
              <w:jc w:val="left"/>
              <w:rPr>
                <w:rFonts w:ascii="宋体" w:eastAsia="宋体" w:hint="eastAsia"/>
                <w:sz w:val="21"/>
              </w:rPr>
            </w:pPr>
            <w:r>
              <w:rPr>
                <w:rFonts w:ascii="宋体" w:eastAsia="宋体" w:hint="eastAsia"/>
                <w:sz w:val="21"/>
              </w:rPr>
              <w:t>配怀舍</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2"/>
              <w:rPr>
                <w:rFonts w:ascii="宋体" w:eastAsia="宋体" w:hint="eastAsia"/>
                <w:sz w:val="21"/>
              </w:rPr>
            </w:pPr>
            <w:r>
              <w:rPr>
                <w:rFonts w:ascii="宋体" w:eastAsia="宋体" w:hint="eastAsia"/>
                <w:sz w:val="21"/>
              </w:rPr>
              <w:t>空怀配种猪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left="345"/>
              <w:jc w:val="left"/>
              <w:rPr>
                <w:sz w:val="21"/>
              </w:rPr>
            </w:pPr>
            <w:r>
              <w:rPr>
                <w:sz w:val="21"/>
              </w:rPr>
              <w:t>200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1.59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8"/>
              <w:jc w:val="left"/>
              <w:rPr>
                <w:sz w:val="21"/>
              </w:rPr>
            </w:pPr>
            <w:r>
              <w:rPr>
                <w:sz w:val="21"/>
              </w:rPr>
              <w:t>0.116</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0.0175</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0.16</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0.012</w:t>
            </w:r>
          </w:p>
        </w:tc>
        <w:tc>
          <w:tcPr>
            <w:tcW w:w="1069"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0.0018</w:t>
            </w:r>
          </w:p>
        </w:tc>
      </w:tr>
      <w:tr>
        <w:trPr>
          <w:trHeight w:val="360" w:hRule="atLeast"/>
        </w:trPr>
        <w:tc>
          <w:tcPr>
            <w:tcW w:w="852" w:type="dxa"/>
            <w:vMerge/>
            <w:tcBorders>
              <w:top w:val="nil"/>
              <w:bottom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9"/>
              <w:ind w:left="98" w:right="72"/>
              <w:rPr>
                <w:rFonts w:ascii="宋体" w:eastAsia="宋体" w:hint="eastAsia"/>
                <w:sz w:val="21"/>
              </w:rPr>
            </w:pPr>
            <w:r>
              <w:rPr>
                <w:rFonts w:ascii="宋体" w:eastAsia="宋体" w:hint="eastAsia"/>
                <w:sz w:val="21"/>
              </w:rPr>
              <w:t>妊娠母猪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spacing w:before="61"/>
              <w:ind w:right="263"/>
              <w:jc w:val="right"/>
              <w:rPr>
                <w:sz w:val="21"/>
              </w:rPr>
            </w:pPr>
            <w:r>
              <w:rPr>
                <w:sz w:val="21"/>
              </w:rPr>
              <w:t>2600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61"/>
              <w:ind w:left="352" w:right="326"/>
              <w:rPr>
                <w:sz w:val="21"/>
              </w:rPr>
            </w:pPr>
            <w:r>
              <w:rPr>
                <w:sz w:val="21"/>
              </w:rPr>
              <w:t>1.59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61"/>
              <w:ind w:left="206"/>
              <w:jc w:val="left"/>
              <w:rPr>
                <w:sz w:val="21"/>
              </w:rPr>
            </w:pPr>
            <w:r>
              <w:rPr>
                <w:sz w:val="21"/>
              </w:rPr>
              <w:t>1.509</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202"/>
              <w:rPr>
                <w:sz w:val="21"/>
              </w:rPr>
            </w:pPr>
            <w:r>
              <w:rPr>
                <w:sz w:val="21"/>
              </w:rPr>
              <w:t>0.2278</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61"/>
              <w:ind w:left="352" w:right="321"/>
              <w:rPr>
                <w:sz w:val="21"/>
              </w:rPr>
            </w:pPr>
            <w:r>
              <w:rPr>
                <w:sz w:val="21"/>
              </w:rPr>
              <w:t>0.16</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spacing w:before="61"/>
              <w:ind w:right="178"/>
              <w:jc w:val="right"/>
              <w:rPr>
                <w:sz w:val="21"/>
              </w:rPr>
            </w:pPr>
            <w:r>
              <w:rPr>
                <w:sz w:val="21"/>
              </w:rPr>
              <w:t>0.152</w:t>
            </w:r>
          </w:p>
        </w:tc>
        <w:tc>
          <w:tcPr>
            <w:tcW w:w="1069" w:type="dxa"/>
            <w:tcBorders>
              <w:top w:val="single" w:sz="6" w:space="0" w:color="000000"/>
              <w:left w:val="single" w:sz="6" w:space="0" w:color="000000"/>
              <w:bottom w:val="single" w:sz="6" w:space="0" w:color="000000"/>
            </w:tcBorders>
          </w:tcPr>
          <w:p>
            <w:pPr>
              <w:pStyle w:val="TableParagraph"/>
              <w:spacing w:before="61"/>
              <w:ind w:left="248"/>
              <w:jc w:val="left"/>
              <w:rPr>
                <w:sz w:val="21"/>
              </w:rPr>
            </w:pPr>
            <w:r>
              <w:rPr>
                <w:sz w:val="21"/>
              </w:rPr>
              <w:t>0.0229</w:t>
            </w:r>
          </w:p>
        </w:tc>
      </w:tr>
      <w:tr>
        <w:trPr>
          <w:trHeight w:val="359" w:hRule="atLeast"/>
        </w:trPr>
        <w:tc>
          <w:tcPr>
            <w:tcW w:w="85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09"/>
              <w:jc w:val="left"/>
              <w:rPr>
                <w:rFonts w:ascii="宋体" w:eastAsia="宋体" w:hint="eastAsia"/>
                <w:sz w:val="21"/>
              </w:rPr>
            </w:pPr>
            <w:r>
              <w:rPr>
                <w:rFonts w:ascii="宋体" w:eastAsia="宋体" w:hint="eastAsia"/>
                <w:sz w:val="21"/>
              </w:rPr>
              <w:t>分娩舍</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2"/>
              <w:rPr>
                <w:rFonts w:ascii="宋体" w:eastAsia="宋体" w:hint="eastAsia"/>
                <w:sz w:val="21"/>
              </w:rPr>
            </w:pPr>
            <w:r>
              <w:rPr>
                <w:rFonts w:ascii="宋体" w:eastAsia="宋体" w:hint="eastAsia"/>
                <w:sz w:val="21"/>
              </w:rPr>
              <w:t>哺乳母猪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left="345"/>
              <w:jc w:val="left"/>
              <w:rPr>
                <w:sz w:val="21"/>
              </w:rPr>
            </w:pPr>
            <w:r>
              <w:rPr>
                <w:sz w:val="21"/>
              </w:rPr>
              <w:t>765</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1.59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6"/>
              <w:jc w:val="left"/>
              <w:rPr>
                <w:sz w:val="21"/>
              </w:rPr>
            </w:pPr>
            <w:r>
              <w:rPr>
                <w:sz w:val="21"/>
              </w:rPr>
              <w:t>0.444</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0.0670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0.16</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0.045</w:t>
            </w:r>
          </w:p>
        </w:tc>
        <w:tc>
          <w:tcPr>
            <w:tcW w:w="1069"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0.0067</w:t>
            </w:r>
          </w:p>
        </w:tc>
      </w:tr>
      <w:tr>
        <w:trPr>
          <w:trHeight w:val="359" w:hRule="atLeast"/>
        </w:trPr>
        <w:tc>
          <w:tcPr>
            <w:tcW w:w="852" w:type="dxa"/>
            <w:vMerge/>
            <w:tcBorders>
              <w:top w:val="nil"/>
              <w:bottom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2"/>
              <w:rPr>
                <w:rFonts w:ascii="宋体" w:eastAsia="宋体" w:hint="eastAsia"/>
                <w:sz w:val="21"/>
              </w:rPr>
            </w:pPr>
            <w:r>
              <w:rPr>
                <w:rFonts w:ascii="宋体" w:eastAsia="宋体" w:hint="eastAsia"/>
                <w:sz w:val="21"/>
              </w:rPr>
              <w:t>哺乳仔猪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right="263"/>
              <w:jc w:val="right"/>
              <w:rPr>
                <w:sz w:val="21"/>
              </w:rPr>
            </w:pPr>
            <w:r>
              <w:rPr>
                <w:sz w:val="21"/>
              </w:rPr>
              <w:t>6014</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0.21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6"/>
              <w:jc w:val="left"/>
              <w:rPr>
                <w:sz w:val="21"/>
              </w:rPr>
            </w:pPr>
            <w:r>
              <w:rPr>
                <w:sz w:val="21"/>
              </w:rPr>
              <w:t>0.461</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0.0696</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0.04</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0.088</w:t>
            </w:r>
          </w:p>
        </w:tc>
        <w:tc>
          <w:tcPr>
            <w:tcW w:w="1069"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0.0133</w:t>
            </w:r>
          </w:p>
        </w:tc>
      </w:tr>
      <w:tr>
        <w:trPr>
          <w:trHeight w:val="356" w:hRule="atLeast"/>
        </w:trPr>
        <w:tc>
          <w:tcPr>
            <w:tcW w:w="852" w:type="dxa"/>
            <w:tcBorders>
              <w:top w:val="single" w:sz="6" w:space="0" w:color="000000"/>
              <w:bottom w:val="single" w:sz="6" w:space="0" w:color="000000"/>
              <w:right w:val="single" w:sz="6" w:space="0" w:color="000000"/>
            </w:tcBorders>
          </w:tcPr>
          <w:p>
            <w:pPr>
              <w:pStyle w:val="TableParagraph"/>
              <w:spacing w:before="46"/>
              <w:ind w:left="91" w:right="68"/>
              <w:rPr>
                <w:rFonts w:ascii="宋体" w:eastAsia="宋体" w:hint="eastAsia"/>
                <w:sz w:val="21"/>
              </w:rPr>
            </w:pPr>
            <w:r>
              <w:rPr>
                <w:rFonts w:ascii="宋体" w:eastAsia="宋体" w:hint="eastAsia"/>
                <w:sz w:val="21"/>
              </w:rPr>
              <w:t>保育舍</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2"/>
              <w:rPr>
                <w:rFonts w:ascii="宋体" w:eastAsia="宋体" w:hint="eastAsia"/>
                <w:sz w:val="21"/>
              </w:rPr>
            </w:pPr>
            <w:r>
              <w:rPr>
                <w:rFonts w:ascii="宋体" w:eastAsia="宋体" w:hint="eastAsia"/>
                <w:sz w:val="21"/>
              </w:rPr>
              <w:t>断奶仔猪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right="215"/>
              <w:jc w:val="right"/>
              <w:rPr>
                <w:sz w:val="21"/>
              </w:rPr>
            </w:pPr>
            <w:r>
              <w:rPr>
                <w:sz w:val="21"/>
              </w:rPr>
              <w:t>11642</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0.29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6"/>
              <w:jc w:val="left"/>
              <w:rPr>
                <w:sz w:val="21"/>
              </w:rPr>
            </w:pPr>
            <w:r>
              <w:rPr>
                <w:sz w:val="21"/>
              </w:rPr>
              <w:t>1.232</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0.1860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0.05</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0.212</w:t>
            </w:r>
          </w:p>
        </w:tc>
        <w:tc>
          <w:tcPr>
            <w:tcW w:w="1069"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0.0321</w:t>
            </w:r>
          </w:p>
        </w:tc>
      </w:tr>
      <w:tr>
        <w:trPr>
          <w:trHeight w:val="359" w:hRule="atLeast"/>
        </w:trPr>
        <w:tc>
          <w:tcPr>
            <w:tcW w:w="85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109"/>
              <w:jc w:val="left"/>
              <w:rPr>
                <w:rFonts w:ascii="宋体" w:eastAsia="宋体" w:hint="eastAsia"/>
                <w:sz w:val="21"/>
              </w:rPr>
            </w:pPr>
            <w:r>
              <w:rPr>
                <w:rFonts w:ascii="宋体" w:eastAsia="宋体" w:hint="eastAsia"/>
                <w:sz w:val="21"/>
              </w:rPr>
              <w:t>育肥舍</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9"/>
              <w:ind w:left="98" w:right="72"/>
              <w:rPr>
                <w:rFonts w:ascii="宋体" w:eastAsia="宋体" w:hint="eastAsia"/>
                <w:sz w:val="21"/>
              </w:rPr>
            </w:pPr>
            <w:r>
              <w:rPr>
                <w:rFonts w:ascii="宋体" w:eastAsia="宋体" w:hint="eastAsia"/>
                <w:sz w:val="21"/>
              </w:rPr>
              <w:t>育肥中猪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spacing w:before="60"/>
              <w:ind w:right="210"/>
              <w:jc w:val="right"/>
              <w:rPr>
                <w:sz w:val="21"/>
              </w:rPr>
            </w:pPr>
            <w:r>
              <w:rPr>
                <w:sz w:val="21"/>
              </w:rPr>
              <w:t>19498</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60"/>
              <w:ind w:left="352" w:right="326"/>
              <w:rPr>
                <w:sz w:val="21"/>
              </w:rPr>
            </w:pPr>
            <w:r>
              <w:rPr>
                <w:sz w:val="21"/>
              </w:rPr>
              <w:t>0.60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60"/>
              <w:ind w:left="206"/>
              <w:jc w:val="left"/>
              <w:rPr>
                <w:sz w:val="21"/>
              </w:rPr>
            </w:pPr>
            <w:r>
              <w:rPr>
                <w:sz w:val="21"/>
              </w:rPr>
              <w:t>4.270</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spacing w:before="60"/>
              <w:ind w:left="233" w:right="202"/>
              <w:rPr>
                <w:sz w:val="21"/>
              </w:rPr>
            </w:pPr>
            <w:r>
              <w:rPr>
                <w:sz w:val="21"/>
              </w:rPr>
              <w:t>0.6446</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spacing w:before="60"/>
              <w:ind w:left="352" w:right="321"/>
              <w:rPr>
                <w:sz w:val="21"/>
              </w:rPr>
            </w:pPr>
            <w:r>
              <w:rPr>
                <w:sz w:val="21"/>
              </w:rPr>
              <w:t>0.06</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spacing w:before="60"/>
              <w:ind w:right="178"/>
              <w:jc w:val="right"/>
              <w:rPr>
                <w:sz w:val="21"/>
              </w:rPr>
            </w:pPr>
            <w:r>
              <w:rPr>
                <w:sz w:val="21"/>
              </w:rPr>
              <w:t>0.427</w:t>
            </w:r>
          </w:p>
        </w:tc>
        <w:tc>
          <w:tcPr>
            <w:tcW w:w="1069" w:type="dxa"/>
            <w:tcBorders>
              <w:top w:val="single" w:sz="6" w:space="0" w:color="000000"/>
              <w:left w:val="single" w:sz="6" w:space="0" w:color="000000"/>
              <w:bottom w:val="single" w:sz="6" w:space="0" w:color="000000"/>
            </w:tcBorders>
          </w:tcPr>
          <w:p>
            <w:pPr>
              <w:pStyle w:val="TableParagraph"/>
              <w:spacing w:before="60"/>
              <w:ind w:left="248"/>
              <w:jc w:val="left"/>
              <w:rPr>
                <w:sz w:val="21"/>
              </w:rPr>
            </w:pPr>
            <w:r>
              <w:rPr>
                <w:sz w:val="21"/>
              </w:rPr>
              <w:t>0.0645</w:t>
            </w:r>
          </w:p>
        </w:tc>
      </w:tr>
      <w:tr>
        <w:trPr>
          <w:trHeight w:val="359" w:hRule="atLeast"/>
        </w:trPr>
        <w:tc>
          <w:tcPr>
            <w:tcW w:w="852" w:type="dxa"/>
            <w:vMerge/>
            <w:tcBorders>
              <w:top w:val="nil"/>
              <w:bottom w:val="single" w:sz="6" w:space="0" w:color="000000"/>
              <w:right w:val="single" w:sz="6" w:space="0" w:color="000000"/>
            </w:tcBorders>
          </w:tcPr>
          <w:p>
            <w:pPr>
              <w:rPr>
                <w:sz w:val="2"/>
                <w:szCs w:val="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2"/>
              <w:rPr>
                <w:rFonts w:ascii="宋体" w:eastAsia="宋体" w:hint="eastAsia"/>
                <w:sz w:val="21"/>
              </w:rPr>
            </w:pPr>
            <w:r>
              <w:rPr>
                <w:rFonts w:ascii="宋体" w:eastAsia="宋体" w:hint="eastAsia"/>
                <w:sz w:val="21"/>
              </w:rPr>
              <w:t>育肥大猪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right="263"/>
              <w:jc w:val="right"/>
              <w:rPr>
                <w:sz w:val="21"/>
              </w:rPr>
            </w:pPr>
            <w:r>
              <w:rPr>
                <w:sz w:val="21"/>
              </w:rPr>
              <w:t>9749</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1.70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6"/>
              <w:jc w:val="left"/>
              <w:rPr>
                <w:sz w:val="21"/>
              </w:rPr>
            </w:pPr>
            <w:r>
              <w:rPr>
                <w:sz w:val="21"/>
              </w:rPr>
              <w:t>6.049</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0.9132</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0.10</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0.356</w:t>
            </w:r>
          </w:p>
        </w:tc>
        <w:tc>
          <w:tcPr>
            <w:tcW w:w="1069"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0.0537</w:t>
            </w:r>
          </w:p>
        </w:tc>
      </w:tr>
      <w:tr>
        <w:trPr>
          <w:trHeight w:val="359" w:hRule="atLeast"/>
        </w:trPr>
        <w:tc>
          <w:tcPr>
            <w:tcW w:w="852" w:type="dxa"/>
            <w:tcBorders>
              <w:top w:val="single" w:sz="6" w:space="0" w:color="000000"/>
              <w:bottom w:val="single" w:sz="6" w:space="0" w:color="000000"/>
              <w:right w:val="single" w:sz="6" w:space="0" w:color="000000"/>
            </w:tcBorders>
          </w:tcPr>
          <w:p>
            <w:pPr>
              <w:pStyle w:val="TableParagraph"/>
              <w:spacing w:before="46"/>
              <w:ind w:left="91" w:right="68"/>
              <w:rPr>
                <w:rFonts w:ascii="宋体" w:eastAsia="宋体" w:hint="eastAsia"/>
                <w:sz w:val="21"/>
              </w:rPr>
            </w:pPr>
            <w:r>
              <w:rPr>
                <w:rFonts w:ascii="宋体" w:eastAsia="宋体" w:hint="eastAsia"/>
                <w:sz w:val="21"/>
              </w:rPr>
              <w:t>隔离舍</w:t>
            </w:r>
          </w:p>
        </w:tc>
        <w:tc>
          <w:tcPr>
            <w:tcW w:w="1277" w:type="dxa"/>
            <w:tcBorders>
              <w:top w:val="single" w:sz="6" w:space="0" w:color="000000"/>
              <w:left w:val="single" w:sz="6" w:space="0" w:color="000000"/>
              <w:bottom w:val="single" w:sz="6" w:space="0" w:color="000000"/>
              <w:right w:val="single" w:sz="6" w:space="0" w:color="000000"/>
            </w:tcBorders>
          </w:tcPr>
          <w:p>
            <w:pPr>
              <w:pStyle w:val="TableParagraph"/>
              <w:spacing w:before="46"/>
              <w:ind w:left="98" w:right="72"/>
              <w:rPr>
                <w:rFonts w:ascii="宋体" w:eastAsia="宋体" w:hint="eastAsia"/>
                <w:sz w:val="21"/>
              </w:rPr>
            </w:pPr>
            <w:r>
              <w:rPr>
                <w:rFonts w:ascii="宋体" w:eastAsia="宋体" w:hint="eastAsia"/>
                <w:sz w:val="21"/>
              </w:rPr>
              <w:t>隔离种猪</w:t>
            </w:r>
          </w:p>
        </w:tc>
        <w:tc>
          <w:tcPr>
            <w:tcW w:w="996" w:type="dxa"/>
            <w:tcBorders>
              <w:top w:val="single" w:sz="6" w:space="0" w:color="000000"/>
              <w:left w:val="single" w:sz="6" w:space="0" w:color="000000"/>
              <w:bottom w:val="single" w:sz="6" w:space="0" w:color="000000"/>
              <w:right w:val="single" w:sz="6" w:space="0" w:color="000000"/>
            </w:tcBorders>
          </w:tcPr>
          <w:p>
            <w:pPr>
              <w:pStyle w:val="TableParagraph"/>
              <w:ind w:right="263"/>
              <w:jc w:val="right"/>
              <w:rPr>
                <w:sz w:val="21"/>
              </w:rPr>
            </w:pPr>
            <w:r>
              <w:rPr>
                <w:sz w:val="21"/>
              </w:rPr>
              <w:t>1500</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6"/>
              <w:rPr>
                <w:sz w:val="21"/>
              </w:rPr>
            </w:pPr>
            <w:r>
              <w:rPr>
                <w:sz w:val="21"/>
              </w:rPr>
              <w:t>1.70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ind w:left="206"/>
              <w:jc w:val="left"/>
              <w:rPr>
                <w:sz w:val="21"/>
              </w:rPr>
            </w:pPr>
            <w:r>
              <w:rPr>
                <w:sz w:val="21"/>
              </w:rPr>
              <w:t>0.931</w:t>
            </w:r>
          </w:p>
        </w:tc>
        <w:tc>
          <w:tcPr>
            <w:tcW w:w="1068" w:type="dxa"/>
            <w:tcBorders>
              <w:top w:val="single" w:sz="6" w:space="0" w:color="000000"/>
              <w:left w:val="single" w:sz="6" w:space="0" w:color="000000"/>
              <w:bottom w:val="single" w:sz="6" w:space="0" w:color="000000"/>
              <w:right w:val="single" w:sz="6" w:space="0" w:color="000000"/>
            </w:tcBorders>
          </w:tcPr>
          <w:p>
            <w:pPr>
              <w:pStyle w:val="TableParagraph"/>
              <w:ind w:left="233" w:right="202"/>
              <w:rPr>
                <w:sz w:val="21"/>
              </w:rPr>
            </w:pPr>
            <w:r>
              <w:rPr>
                <w:sz w:val="21"/>
              </w:rPr>
              <w:t>0.1405</w:t>
            </w:r>
          </w:p>
        </w:tc>
        <w:tc>
          <w:tcPr>
            <w:tcW w:w="1208" w:type="dxa"/>
            <w:tcBorders>
              <w:top w:val="single" w:sz="6" w:space="0" w:color="000000"/>
              <w:left w:val="single" w:sz="6" w:space="0" w:color="000000"/>
              <w:bottom w:val="single" w:sz="6" w:space="0" w:color="000000"/>
              <w:right w:val="single" w:sz="6" w:space="0" w:color="000000"/>
            </w:tcBorders>
          </w:tcPr>
          <w:p>
            <w:pPr>
              <w:pStyle w:val="TableParagraph"/>
              <w:ind w:left="352" w:right="321"/>
              <w:rPr>
                <w:sz w:val="21"/>
              </w:rPr>
            </w:pPr>
            <w:r>
              <w:rPr>
                <w:sz w:val="21"/>
              </w:rPr>
              <w:t>0.10</w:t>
            </w:r>
          </w:p>
        </w:tc>
        <w:tc>
          <w:tcPr>
            <w:tcW w:w="879" w:type="dxa"/>
            <w:tcBorders>
              <w:top w:val="single" w:sz="6" w:space="0" w:color="000000"/>
              <w:left w:val="single" w:sz="6" w:space="0" w:color="000000"/>
              <w:bottom w:val="single" w:sz="6" w:space="0" w:color="000000"/>
              <w:right w:val="single" w:sz="6" w:space="0" w:color="000000"/>
            </w:tcBorders>
          </w:tcPr>
          <w:p>
            <w:pPr>
              <w:pStyle w:val="TableParagraph"/>
              <w:ind w:right="178"/>
              <w:jc w:val="right"/>
              <w:rPr>
                <w:sz w:val="21"/>
              </w:rPr>
            </w:pPr>
            <w:r>
              <w:rPr>
                <w:sz w:val="21"/>
              </w:rPr>
              <w:t>0.055</w:t>
            </w:r>
          </w:p>
        </w:tc>
        <w:tc>
          <w:tcPr>
            <w:tcW w:w="1069"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0.0083</w:t>
            </w:r>
          </w:p>
        </w:tc>
      </w:tr>
      <w:tr>
        <w:trPr>
          <w:trHeight w:val="359" w:hRule="atLeast"/>
        </w:trPr>
        <w:tc>
          <w:tcPr>
            <w:tcW w:w="852" w:type="dxa"/>
            <w:tcBorders>
              <w:top w:val="single" w:sz="6" w:space="0" w:color="000000"/>
              <w:right w:val="single" w:sz="6" w:space="0" w:color="000000"/>
            </w:tcBorders>
          </w:tcPr>
          <w:p>
            <w:pPr>
              <w:pStyle w:val="TableParagraph"/>
              <w:spacing w:before="46"/>
              <w:ind w:left="91" w:right="68"/>
              <w:rPr>
                <w:rFonts w:ascii="宋体" w:eastAsia="宋体" w:hint="eastAsia"/>
                <w:sz w:val="21"/>
              </w:rPr>
            </w:pPr>
            <w:r>
              <w:rPr>
                <w:rFonts w:ascii="宋体" w:eastAsia="宋体" w:hint="eastAsia"/>
                <w:sz w:val="21"/>
              </w:rPr>
              <w:t>合计</w:t>
            </w:r>
          </w:p>
        </w:tc>
        <w:tc>
          <w:tcPr>
            <w:tcW w:w="1277" w:type="dxa"/>
            <w:tcBorders>
              <w:top w:val="single" w:sz="6" w:space="0" w:color="000000"/>
              <w:left w:val="single" w:sz="6" w:space="0" w:color="000000"/>
              <w:right w:val="single" w:sz="6" w:space="0" w:color="000000"/>
            </w:tcBorders>
          </w:tcPr>
          <w:p>
            <w:pPr>
              <w:pStyle w:val="TableParagraph"/>
              <w:ind w:left="24"/>
              <w:rPr>
                <w:sz w:val="21"/>
              </w:rPr>
            </w:pPr>
            <w:r>
              <w:rPr>
                <w:w w:val="100"/>
                <w:sz w:val="21"/>
              </w:rPr>
              <w:t>/</w:t>
            </w:r>
          </w:p>
        </w:tc>
        <w:tc>
          <w:tcPr>
            <w:tcW w:w="996" w:type="dxa"/>
            <w:tcBorders>
              <w:top w:val="single" w:sz="6" w:space="0" w:color="000000"/>
              <w:left w:val="single" w:sz="6" w:space="0" w:color="000000"/>
              <w:right w:val="single" w:sz="6" w:space="0" w:color="000000"/>
            </w:tcBorders>
          </w:tcPr>
          <w:p>
            <w:pPr>
              <w:pStyle w:val="TableParagraph"/>
              <w:ind w:right="210"/>
              <w:jc w:val="right"/>
              <w:rPr>
                <w:sz w:val="21"/>
              </w:rPr>
            </w:pPr>
            <w:r>
              <w:rPr>
                <w:sz w:val="21"/>
              </w:rPr>
              <w:t>52568</w:t>
            </w:r>
          </w:p>
        </w:tc>
        <w:tc>
          <w:tcPr>
            <w:tcW w:w="1208" w:type="dxa"/>
            <w:tcBorders>
              <w:top w:val="single" w:sz="6" w:space="0" w:color="000000"/>
              <w:left w:val="single" w:sz="6" w:space="0" w:color="000000"/>
              <w:right w:val="single" w:sz="6" w:space="0" w:color="000000"/>
            </w:tcBorders>
          </w:tcPr>
          <w:p>
            <w:pPr>
              <w:pStyle w:val="TableParagraph"/>
              <w:ind w:left="22"/>
              <w:rPr>
                <w:sz w:val="21"/>
              </w:rPr>
            </w:pPr>
            <w:r>
              <w:rPr>
                <w:w w:val="100"/>
                <w:sz w:val="21"/>
              </w:rPr>
              <w:t>/</w:t>
            </w:r>
          </w:p>
        </w:tc>
        <w:tc>
          <w:tcPr>
            <w:tcW w:w="876" w:type="dxa"/>
            <w:tcBorders>
              <w:top w:val="single" w:sz="6" w:space="0" w:color="000000"/>
              <w:left w:val="single" w:sz="6" w:space="0" w:color="000000"/>
              <w:right w:val="single" w:sz="6" w:space="0" w:color="000000"/>
            </w:tcBorders>
          </w:tcPr>
          <w:p>
            <w:pPr>
              <w:pStyle w:val="TableParagraph"/>
              <w:ind w:left="153"/>
              <w:jc w:val="left"/>
              <w:rPr>
                <w:sz w:val="21"/>
              </w:rPr>
            </w:pPr>
            <w:r>
              <w:rPr>
                <w:sz w:val="21"/>
              </w:rPr>
              <w:t>15.369</w:t>
            </w:r>
          </w:p>
        </w:tc>
        <w:tc>
          <w:tcPr>
            <w:tcW w:w="1068" w:type="dxa"/>
            <w:tcBorders>
              <w:top w:val="single" w:sz="6" w:space="0" w:color="000000"/>
              <w:left w:val="single" w:sz="6" w:space="0" w:color="000000"/>
              <w:right w:val="single" w:sz="6" w:space="0" w:color="000000"/>
            </w:tcBorders>
          </w:tcPr>
          <w:p>
            <w:pPr>
              <w:pStyle w:val="TableParagraph"/>
              <w:ind w:left="233" w:right="202"/>
              <w:rPr>
                <w:sz w:val="21"/>
              </w:rPr>
            </w:pPr>
            <w:r>
              <w:rPr>
                <w:sz w:val="21"/>
              </w:rPr>
              <w:t>2.3201</w:t>
            </w:r>
          </w:p>
        </w:tc>
        <w:tc>
          <w:tcPr>
            <w:tcW w:w="1208" w:type="dxa"/>
            <w:tcBorders>
              <w:top w:val="single" w:sz="6" w:space="0" w:color="000000"/>
              <w:left w:val="single" w:sz="6" w:space="0" w:color="000000"/>
              <w:right w:val="single" w:sz="6" w:space="0" w:color="000000"/>
            </w:tcBorders>
          </w:tcPr>
          <w:p>
            <w:pPr>
              <w:pStyle w:val="TableParagraph"/>
              <w:ind w:left="27"/>
              <w:rPr>
                <w:sz w:val="21"/>
              </w:rPr>
            </w:pPr>
            <w:r>
              <w:rPr>
                <w:w w:val="100"/>
                <w:sz w:val="21"/>
              </w:rPr>
              <w:t>/</w:t>
            </w:r>
          </w:p>
        </w:tc>
        <w:tc>
          <w:tcPr>
            <w:tcW w:w="879" w:type="dxa"/>
            <w:tcBorders>
              <w:top w:val="single" w:sz="6" w:space="0" w:color="000000"/>
              <w:left w:val="single" w:sz="6" w:space="0" w:color="000000"/>
              <w:right w:val="single" w:sz="6" w:space="0" w:color="000000"/>
            </w:tcBorders>
          </w:tcPr>
          <w:p>
            <w:pPr>
              <w:pStyle w:val="TableParagraph"/>
              <w:ind w:right="178"/>
              <w:jc w:val="right"/>
              <w:rPr>
                <w:sz w:val="21"/>
              </w:rPr>
            </w:pPr>
            <w:r>
              <w:rPr>
                <w:sz w:val="21"/>
              </w:rPr>
              <w:t>1.377</w:t>
            </w:r>
          </w:p>
        </w:tc>
        <w:tc>
          <w:tcPr>
            <w:tcW w:w="1069" w:type="dxa"/>
            <w:tcBorders>
              <w:top w:val="single" w:sz="6" w:space="0" w:color="000000"/>
              <w:left w:val="single" w:sz="6" w:space="0" w:color="000000"/>
            </w:tcBorders>
          </w:tcPr>
          <w:p>
            <w:pPr>
              <w:pStyle w:val="TableParagraph"/>
              <w:ind w:left="248"/>
              <w:jc w:val="left"/>
              <w:rPr>
                <w:sz w:val="21"/>
              </w:rPr>
            </w:pPr>
            <w:r>
              <w:rPr>
                <w:sz w:val="21"/>
              </w:rPr>
              <w:t>0.2078</w:t>
            </w:r>
          </w:p>
        </w:tc>
      </w:tr>
    </w:tbl>
    <w:p>
      <w:pPr>
        <w:spacing w:after="0"/>
        <w:jc w:val="left"/>
        <w:rPr>
          <w:sz w:val="21"/>
        </w:rPr>
        <w:sectPr>
          <w:pgSz w:w="11910" w:h="16840"/>
          <w:pgMar w:header="874" w:footer="1004" w:top="1400" w:bottom="1200" w:left="1040" w:right="1160"/>
        </w:sectPr>
      </w:pPr>
    </w:p>
    <w:p>
      <w:pPr>
        <w:spacing w:line="319" w:lineRule="auto" w:before="67"/>
        <w:ind w:left="237" w:right="247" w:firstLine="420"/>
        <w:jc w:val="both"/>
        <w:rPr>
          <w:sz w:val="21"/>
        </w:rPr>
      </w:pPr>
      <w:r>
        <w:rPr>
          <w:spacing w:val="-13"/>
          <w:position w:val="2"/>
          <w:sz w:val="21"/>
        </w:rPr>
        <w:t>注：根据 </w:t>
      </w:r>
      <w:r>
        <w:rPr>
          <w:rFonts w:ascii="Times New Roman" w:eastAsia="Times New Roman"/>
          <w:position w:val="2"/>
          <w:sz w:val="21"/>
        </w:rPr>
        <w:t>Jacobson </w:t>
      </w:r>
      <w:r>
        <w:rPr>
          <w:spacing w:val="-15"/>
          <w:position w:val="2"/>
          <w:sz w:val="21"/>
        </w:rPr>
        <w:t>等</w:t>
      </w:r>
      <w:r>
        <w:rPr>
          <w:spacing w:val="-3"/>
          <w:position w:val="2"/>
          <w:sz w:val="21"/>
        </w:rPr>
        <w:t>（</w:t>
      </w:r>
      <w:r>
        <w:rPr>
          <w:rFonts w:ascii="Times New Roman" w:eastAsia="Times New Roman"/>
          <w:spacing w:val="-3"/>
          <w:position w:val="2"/>
          <w:sz w:val="21"/>
        </w:rPr>
        <w:t>2005</w:t>
      </w:r>
      <w:r>
        <w:rPr>
          <w:spacing w:val="-3"/>
          <w:position w:val="2"/>
          <w:sz w:val="21"/>
        </w:rPr>
        <w:t>）</w:t>
      </w:r>
      <w:r>
        <w:rPr>
          <w:spacing w:val="-4"/>
          <w:position w:val="2"/>
          <w:sz w:val="21"/>
        </w:rPr>
        <w:t>的研究，</w:t>
      </w:r>
      <w:r>
        <w:rPr>
          <w:rFonts w:ascii="Times New Roman" w:eastAsia="Times New Roman"/>
          <w:spacing w:val="-4"/>
          <w:position w:val="2"/>
          <w:sz w:val="21"/>
        </w:rPr>
        <w:t>NH</w:t>
      </w:r>
      <w:r>
        <w:rPr>
          <w:rFonts w:ascii="Times New Roman" w:eastAsia="Times New Roman"/>
          <w:spacing w:val="-4"/>
          <w:sz w:val="14"/>
        </w:rPr>
        <w:t>3 </w:t>
      </w:r>
      <w:r>
        <w:rPr>
          <w:spacing w:val="50"/>
          <w:position w:val="2"/>
          <w:sz w:val="21"/>
        </w:rPr>
        <w:t>和</w:t>
      </w:r>
      <w:r>
        <w:rPr>
          <w:rFonts w:ascii="Times New Roman" w:eastAsia="Times New Roman"/>
          <w:position w:val="2"/>
          <w:sz w:val="21"/>
        </w:rPr>
        <w:t>H</w:t>
      </w:r>
      <w:r>
        <w:rPr>
          <w:rFonts w:ascii="Times New Roman" w:eastAsia="Times New Roman"/>
          <w:sz w:val="14"/>
        </w:rPr>
        <w:t>2</w:t>
      </w:r>
      <w:r>
        <w:rPr>
          <w:rFonts w:ascii="Times New Roman" w:eastAsia="Times New Roman"/>
          <w:position w:val="2"/>
          <w:sz w:val="21"/>
        </w:rPr>
        <w:t>S </w:t>
      </w:r>
      <w:r>
        <w:rPr>
          <w:spacing w:val="-4"/>
          <w:position w:val="2"/>
          <w:sz w:val="21"/>
        </w:rPr>
        <w:t>排放量随季节的变化而变化，</w:t>
      </w:r>
      <w:r>
        <w:rPr>
          <w:rFonts w:ascii="Times New Roman" w:eastAsia="Times New Roman"/>
          <w:spacing w:val="-4"/>
          <w:position w:val="2"/>
          <w:sz w:val="21"/>
        </w:rPr>
        <w:t>NH</w:t>
      </w:r>
      <w:r>
        <w:rPr>
          <w:rFonts w:ascii="Times New Roman" w:eastAsia="Times New Roman"/>
          <w:spacing w:val="-4"/>
          <w:sz w:val="14"/>
        </w:rPr>
        <w:t>3 </w:t>
      </w:r>
      <w:r>
        <w:rPr>
          <w:spacing w:val="-3"/>
          <w:position w:val="2"/>
          <w:sz w:val="21"/>
        </w:rPr>
        <w:t>以春季排放最大，</w:t>
      </w:r>
      <w:r>
        <w:rPr>
          <w:rFonts w:ascii="Times New Roman" w:eastAsia="Times New Roman"/>
          <w:spacing w:val="-3"/>
          <w:position w:val="2"/>
          <w:sz w:val="21"/>
        </w:rPr>
        <w:t>H</w:t>
      </w:r>
      <w:r>
        <w:rPr>
          <w:rFonts w:ascii="Times New Roman" w:eastAsia="Times New Roman"/>
          <w:spacing w:val="-3"/>
          <w:sz w:val="14"/>
        </w:rPr>
        <w:t>2</w:t>
      </w:r>
      <w:r>
        <w:rPr>
          <w:rFonts w:ascii="Times New Roman" w:eastAsia="Times New Roman"/>
          <w:spacing w:val="-3"/>
          <w:position w:val="2"/>
          <w:sz w:val="21"/>
        </w:rPr>
        <w:t>S </w:t>
      </w:r>
      <w:r>
        <w:rPr>
          <w:spacing w:val="-5"/>
          <w:position w:val="2"/>
          <w:sz w:val="21"/>
        </w:rPr>
        <w:t>则以夏季为大，最大季节排放量约占全年排放量的 </w:t>
      </w:r>
      <w:r>
        <w:rPr>
          <w:rFonts w:ascii="Times New Roman" w:eastAsia="Times New Roman"/>
          <w:position w:val="2"/>
          <w:sz w:val="21"/>
        </w:rPr>
        <w:t>1/3</w:t>
      </w:r>
      <w:r>
        <w:rPr>
          <w:spacing w:val="-3"/>
          <w:position w:val="2"/>
          <w:sz w:val="21"/>
        </w:rPr>
        <w:t>，上表中速率为最大季节的速率。</w:t>
      </w:r>
    </w:p>
    <w:p>
      <w:pPr>
        <w:pStyle w:val="BodyText"/>
        <w:spacing w:line="364" w:lineRule="auto" w:before="40"/>
        <w:ind w:right="247" w:firstLine="480"/>
        <w:jc w:val="both"/>
      </w:pPr>
      <w:r>
        <w:rPr/>
        <w:t>项目实施后每天及时彻底的清理猪舍内的粪污，保持舍内清洁卫生、干燥；定期对猪舍进行彻底的消毒，包括栏舍、工具、饮水系统以及料槽等，以此降低恶臭气体的产</w:t>
      </w:r>
      <w:r>
        <w:rPr>
          <w:spacing w:val="-5"/>
        </w:rPr>
        <w:t>生。另外，企业拟在猪舍通风风机外安装喷淋</w:t>
      </w:r>
      <w:r>
        <w:rPr>
          <w:rFonts w:ascii="Times New Roman" w:eastAsia="Times New Roman"/>
          <w:position w:val="1"/>
        </w:rPr>
        <w:t>+</w:t>
      </w:r>
      <w:r>
        <w:rPr>
          <w:spacing w:val="-1"/>
        </w:rPr>
        <w:t>过滤除臭系统处理臭气</w:t>
      </w:r>
      <w:r>
        <w:rPr/>
        <w:t>（</w:t>
      </w:r>
      <w:r>
        <w:rPr>
          <w:spacing w:val="-2"/>
        </w:rPr>
        <w:t>兼喷淋吸收、过滤吸附和生物降解功能</w:t>
      </w:r>
      <w:r>
        <w:rPr>
          <w:spacing w:val="2"/>
        </w:rPr>
        <w:t>）</w:t>
      </w:r>
      <w:r>
        <w:rPr/>
        <w:t>，根据浙江大学农业生物环境工程研究所的检测研究，该装置</w:t>
      </w:r>
      <w:r>
        <w:rPr>
          <w:spacing w:val="-30"/>
          <w:position w:val="2"/>
        </w:rPr>
        <w:t>对 </w:t>
      </w:r>
      <w:r>
        <w:rPr>
          <w:rFonts w:ascii="Times New Roman" w:eastAsia="Times New Roman"/>
          <w:position w:val="2"/>
        </w:rPr>
        <w:t>NH</w:t>
      </w:r>
      <w:r>
        <w:rPr>
          <w:rFonts w:ascii="Times New Roman" w:eastAsia="Times New Roman"/>
          <w:sz w:val="16"/>
        </w:rPr>
        <w:t>3</w:t>
      </w:r>
      <w:r>
        <w:rPr>
          <w:spacing w:val="-29"/>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7"/>
          <w:position w:val="2"/>
        </w:rPr>
        <w:t>的去除率可分别达 </w:t>
      </w:r>
      <w:r>
        <w:rPr>
          <w:rFonts w:ascii="Times New Roman" w:eastAsia="Times New Roman"/>
          <w:position w:val="2"/>
        </w:rPr>
        <w:t>91.1%</w:t>
      </w:r>
      <w:r>
        <w:rPr>
          <w:spacing w:val="-30"/>
          <w:position w:val="2"/>
        </w:rPr>
        <w:t>及 </w:t>
      </w:r>
      <w:r>
        <w:rPr>
          <w:rFonts w:ascii="Times New Roman" w:eastAsia="Times New Roman"/>
          <w:spacing w:val="-5"/>
          <w:position w:val="2"/>
        </w:rPr>
        <w:t>79.1%</w:t>
      </w:r>
      <w:r>
        <w:rPr>
          <w:spacing w:val="-5"/>
          <w:position w:val="2"/>
        </w:rPr>
        <w:t>（</w:t>
      </w:r>
      <w:r>
        <w:rPr>
          <w:spacing w:val="-15"/>
          <w:position w:val="2"/>
        </w:rPr>
        <w:t>详见表 </w:t>
      </w:r>
      <w:r>
        <w:rPr>
          <w:rFonts w:ascii="Times New Roman" w:eastAsia="Times New Roman"/>
          <w:spacing w:val="-9"/>
          <w:position w:val="2"/>
        </w:rPr>
        <w:t>6.2-4</w:t>
      </w:r>
      <w:r>
        <w:rPr>
          <w:spacing w:val="-9"/>
          <w:position w:val="2"/>
        </w:rPr>
        <w:t>），</w:t>
      </w:r>
      <w:r>
        <w:rPr>
          <w:spacing w:val="-2"/>
          <w:position w:val="2"/>
        </w:rPr>
        <w:t>本环评保守考虑二者净</w:t>
      </w:r>
      <w:r>
        <w:rPr>
          <w:spacing w:val="-11"/>
        </w:rPr>
        <w:t>化效率分别按 </w:t>
      </w:r>
      <w:r>
        <w:rPr>
          <w:rFonts w:ascii="Times New Roman" w:eastAsia="Times New Roman"/>
          <w:position w:val="1"/>
        </w:rPr>
        <w:t>85%</w:t>
      </w:r>
      <w:r>
        <w:rPr>
          <w:spacing w:val="-30"/>
        </w:rPr>
        <w:t>及 </w:t>
      </w:r>
      <w:r>
        <w:rPr>
          <w:rFonts w:ascii="Times New Roman" w:eastAsia="Times New Roman"/>
          <w:position w:val="1"/>
        </w:rPr>
        <w:t>75%</w:t>
      </w:r>
      <w:r>
        <w:rPr>
          <w:spacing w:val="-4"/>
        </w:rPr>
        <w:t>计，由此计算得各猪舍恶臭源强如表 </w:t>
      </w:r>
      <w:r>
        <w:rPr>
          <w:rFonts w:ascii="Times New Roman" w:eastAsia="Times New Roman"/>
          <w:position w:val="1"/>
        </w:rPr>
        <w:t>3.3-6 </w:t>
      </w:r>
      <w:r>
        <w:rPr/>
        <w:t>所示。</w:t>
      </w:r>
    </w:p>
    <w:p>
      <w:pPr>
        <w:pStyle w:val="Heading3"/>
        <w:spacing w:before="4"/>
        <w:ind w:left="2455"/>
        <w:jc w:val="both"/>
      </w:pPr>
      <w:r>
        <w:rPr/>
        <w:t>表 </w:t>
      </w:r>
      <w:r>
        <w:rPr>
          <w:rFonts w:ascii="Times New Roman" w:eastAsia="Times New Roman"/>
        </w:rPr>
        <w:t>3.3-6  </w:t>
      </w:r>
      <w:r>
        <w:rPr/>
        <w:t>项目猪舍恶臭污染物产生及排放源强</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10"/>
        <w:gridCol w:w="1507"/>
        <w:gridCol w:w="3256"/>
        <w:gridCol w:w="945"/>
        <w:gridCol w:w="944"/>
        <w:gridCol w:w="944"/>
        <w:gridCol w:w="817"/>
      </w:tblGrid>
      <w:tr>
        <w:trPr>
          <w:trHeight w:val="311" w:hRule="atLeast"/>
        </w:trPr>
        <w:tc>
          <w:tcPr>
            <w:tcW w:w="1010" w:type="dxa"/>
            <w:vMerge w:val="restart"/>
            <w:tcBorders>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186"/>
              <w:jc w:val="left"/>
              <w:rPr>
                <w:rFonts w:ascii="宋体" w:eastAsia="宋体" w:hint="eastAsia"/>
                <w:b/>
                <w:sz w:val="21"/>
              </w:rPr>
            </w:pPr>
            <w:r>
              <w:rPr>
                <w:rFonts w:ascii="宋体" w:eastAsia="宋体" w:hint="eastAsia"/>
                <w:b/>
                <w:sz w:val="21"/>
              </w:rPr>
              <w:t>污染物</w:t>
            </w:r>
          </w:p>
        </w:tc>
        <w:tc>
          <w:tcPr>
            <w:tcW w:w="1507" w:type="dxa"/>
            <w:vMerge w:val="restart"/>
            <w:tcBorders>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105" w:right="76"/>
              <w:rPr>
                <w:rFonts w:ascii="宋体" w:eastAsia="宋体" w:hint="eastAsia"/>
                <w:b/>
                <w:sz w:val="21"/>
              </w:rPr>
            </w:pPr>
            <w:r>
              <w:rPr>
                <w:rFonts w:ascii="宋体" w:eastAsia="宋体" w:hint="eastAsia"/>
                <w:b/>
                <w:sz w:val="21"/>
              </w:rPr>
              <w:t>位置</w:t>
            </w:r>
          </w:p>
        </w:tc>
        <w:tc>
          <w:tcPr>
            <w:tcW w:w="3256" w:type="dxa"/>
            <w:vMerge w:val="restart"/>
            <w:tcBorders>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353" w:right="324"/>
              <w:rPr>
                <w:rFonts w:ascii="宋体" w:eastAsia="宋体" w:hint="eastAsia"/>
                <w:b/>
                <w:sz w:val="21"/>
              </w:rPr>
            </w:pPr>
            <w:r>
              <w:rPr>
                <w:rFonts w:ascii="宋体" w:eastAsia="宋体" w:hint="eastAsia"/>
                <w:b/>
                <w:sz w:val="21"/>
              </w:rPr>
              <w:t>猪群</w:t>
            </w:r>
          </w:p>
        </w:tc>
        <w:tc>
          <w:tcPr>
            <w:tcW w:w="1889" w:type="dxa"/>
            <w:gridSpan w:val="2"/>
            <w:tcBorders>
              <w:left w:val="single" w:sz="6" w:space="0" w:color="000000"/>
              <w:bottom w:val="single" w:sz="6" w:space="0" w:color="000000"/>
              <w:right w:val="single" w:sz="6" w:space="0" w:color="000000"/>
            </w:tcBorders>
          </w:tcPr>
          <w:p>
            <w:pPr>
              <w:pStyle w:val="TableParagraph"/>
              <w:spacing w:before="22"/>
              <w:ind w:left="532"/>
              <w:jc w:val="left"/>
              <w:rPr>
                <w:rFonts w:ascii="宋体" w:eastAsia="宋体" w:hint="eastAsia"/>
                <w:b/>
                <w:sz w:val="21"/>
              </w:rPr>
            </w:pPr>
            <w:r>
              <w:rPr>
                <w:rFonts w:ascii="宋体" w:eastAsia="宋体" w:hint="eastAsia"/>
                <w:b/>
                <w:sz w:val="21"/>
              </w:rPr>
              <w:t>产生情况</w:t>
            </w:r>
          </w:p>
        </w:tc>
        <w:tc>
          <w:tcPr>
            <w:tcW w:w="1761" w:type="dxa"/>
            <w:gridSpan w:val="2"/>
            <w:tcBorders>
              <w:left w:val="single" w:sz="6" w:space="0" w:color="000000"/>
              <w:bottom w:val="single" w:sz="6" w:space="0" w:color="000000"/>
            </w:tcBorders>
          </w:tcPr>
          <w:p>
            <w:pPr>
              <w:pStyle w:val="TableParagraph"/>
              <w:spacing w:before="22"/>
              <w:ind w:left="470"/>
              <w:jc w:val="left"/>
              <w:rPr>
                <w:rFonts w:ascii="宋体" w:eastAsia="宋体" w:hint="eastAsia"/>
                <w:b/>
                <w:sz w:val="21"/>
              </w:rPr>
            </w:pPr>
            <w:r>
              <w:rPr>
                <w:rFonts w:ascii="宋体" w:eastAsia="宋体" w:hint="eastAsia"/>
                <w:b/>
                <w:sz w:val="21"/>
              </w:rPr>
              <w:t>排放情况</w:t>
            </w:r>
          </w:p>
        </w:tc>
      </w:tr>
      <w:tr>
        <w:trPr>
          <w:trHeight w:val="313" w:hRule="atLeast"/>
        </w:trPr>
        <w:tc>
          <w:tcPr>
            <w:tcW w:w="1010" w:type="dxa"/>
            <w:vMerge/>
            <w:tcBorders>
              <w:top w:val="nil"/>
              <w:bottom w:val="single" w:sz="6" w:space="0" w:color="000000"/>
              <w:right w:val="single" w:sz="6" w:space="0" w:color="000000"/>
            </w:tcBorders>
          </w:tcPr>
          <w:p>
            <w:pPr>
              <w:rPr>
                <w:sz w:val="2"/>
                <w:szCs w:val="2"/>
              </w:rPr>
            </w:pPr>
          </w:p>
        </w:tc>
        <w:tc>
          <w:tcPr>
            <w:tcW w:w="1507" w:type="dxa"/>
            <w:vMerge/>
            <w:tcBorders>
              <w:top w:val="nil"/>
              <w:left w:val="single" w:sz="6" w:space="0" w:color="000000"/>
              <w:bottom w:val="single" w:sz="6" w:space="0" w:color="000000"/>
              <w:right w:val="single" w:sz="6" w:space="0" w:color="000000"/>
            </w:tcBorders>
          </w:tcPr>
          <w:p>
            <w:pPr>
              <w:rPr>
                <w:sz w:val="2"/>
                <w:szCs w:val="2"/>
              </w:rPr>
            </w:pPr>
          </w:p>
        </w:tc>
        <w:tc>
          <w:tcPr>
            <w:tcW w:w="3256" w:type="dxa"/>
            <w:vMerge/>
            <w:tcBorders>
              <w:top w:val="nil"/>
              <w:left w:val="single" w:sz="6" w:space="0" w:color="000000"/>
              <w:bottom w:val="single" w:sz="6" w:space="0" w:color="000000"/>
              <w:right w:val="single" w:sz="6" w:space="0" w:color="000000"/>
            </w:tcBorders>
          </w:tcPr>
          <w:p>
            <w:pPr>
              <w:rPr>
                <w:sz w:val="2"/>
                <w:szCs w:val="2"/>
              </w:rPr>
            </w:pP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41"/>
              <w:ind w:left="172" w:right="139"/>
              <w:rPr>
                <w:b/>
                <w:sz w:val="21"/>
              </w:rPr>
            </w:pPr>
            <w:r>
              <w:rPr>
                <w:b/>
                <w:sz w:val="21"/>
              </w:rPr>
              <w:t>kg/h</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41"/>
              <w:ind w:left="172" w:right="137"/>
              <w:rPr>
                <w:b/>
                <w:sz w:val="21"/>
              </w:rPr>
            </w:pPr>
            <w:r>
              <w:rPr>
                <w:b/>
                <w:sz w:val="21"/>
              </w:rPr>
              <w:t>t/a</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41"/>
              <w:ind w:left="172" w:right="137"/>
              <w:rPr>
                <w:b/>
                <w:sz w:val="21"/>
              </w:rPr>
            </w:pPr>
            <w:r>
              <w:rPr>
                <w:b/>
                <w:sz w:val="21"/>
              </w:rPr>
              <w:t>kg/h</w:t>
            </w:r>
          </w:p>
        </w:tc>
        <w:tc>
          <w:tcPr>
            <w:tcW w:w="817" w:type="dxa"/>
            <w:tcBorders>
              <w:top w:val="single" w:sz="6" w:space="0" w:color="000000"/>
              <w:left w:val="single" w:sz="6" w:space="0" w:color="000000"/>
              <w:bottom w:val="single" w:sz="6" w:space="0" w:color="000000"/>
            </w:tcBorders>
          </w:tcPr>
          <w:p>
            <w:pPr>
              <w:pStyle w:val="TableParagraph"/>
              <w:spacing w:before="41"/>
              <w:ind w:left="163" w:right="116"/>
              <w:rPr>
                <w:b/>
                <w:sz w:val="21"/>
              </w:rPr>
            </w:pPr>
            <w:r>
              <w:rPr>
                <w:b/>
                <w:sz w:val="21"/>
              </w:rPr>
              <w:t>t/a</w:t>
            </w:r>
          </w:p>
        </w:tc>
      </w:tr>
      <w:tr>
        <w:trPr>
          <w:trHeight w:val="357" w:hRule="atLeast"/>
        </w:trPr>
        <w:tc>
          <w:tcPr>
            <w:tcW w:w="1010"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202"/>
              <w:ind w:left="316"/>
              <w:jc w:val="left"/>
              <w:rPr>
                <w:sz w:val="14"/>
              </w:rPr>
            </w:pPr>
            <w:r>
              <w:rPr>
                <w:position w:val="2"/>
                <w:sz w:val="21"/>
              </w:rPr>
              <w:t>NH</w:t>
            </w:r>
            <w:r>
              <w:rPr>
                <w:sz w:val="14"/>
              </w:rPr>
              <w:t>3</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8" w:right="76"/>
              <w:rPr>
                <w:rFonts w:ascii="宋体" w:eastAsia="宋体" w:hint="eastAsia"/>
                <w:sz w:val="21"/>
              </w:rPr>
            </w:pPr>
            <w:r>
              <w:rPr>
                <w:rFonts w:ascii="宋体" w:eastAsia="宋体" w:hint="eastAsia"/>
                <w:sz w:val="21"/>
              </w:rPr>
              <w:t>车间一 </w:t>
            </w:r>
            <w:r>
              <w:rPr>
                <w:position w:val="1"/>
                <w:sz w:val="21"/>
              </w:rPr>
              <w:t>1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0.3777</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2.502</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0.0566</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0.375</w:t>
            </w:r>
          </w:p>
        </w:tc>
      </w:tr>
      <w:tr>
        <w:trPr>
          <w:trHeight w:val="359"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9"/>
              <w:ind w:left="108" w:right="76"/>
              <w:rPr>
                <w:rFonts w:ascii="宋体" w:eastAsia="宋体" w:hint="eastAsia"/>
                <w:sz w:val="21"/>
              </w:rPr>
            </w:pPr>
            <w:r>
              <w:rPr>
                <w:rFonts w:ascii="宋体" w:eastAsia="宋体" w:hint="eastAsia"/>
                <w:sz w:val="21"/>
              </w:rPr>
              <w:t>车间一 </w:t>
            </w:r>
            <w:r>
              <w:rPr>
                <w:position w:val="1"/>
                <w:sz w:val="21"/>
              </w:rPr>
              <w:t>2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9"/>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60"/>
              <w:ind w:left="173" w:right="139"/>
              <w:rPr>
                <w:sz w:val="21"/>
              </w:rPr>
            </w:pPr>
            <w:r>
              <w:rPr>
                <w:sz w:val="21"/>
              </w:rPr>
              <w:t>0.3777</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60"/>
              <w:ind w:left="173" w:right="136"/>
              <w:rPr>
                <w:sz w:val="21"/>
              </w:rPr>
            </w:pPr>
            <w:r>
              <w:rPr>
                <w:sz w:val="21"/>
              </w:rPr>
              <w:t>2.502</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60"/>
              <w:ind w:left="172" w:right="137"/>
              <w:rPr>
                <w:sz w:val="21"/>
              </w:rPr>
            </w:pPr>
            <w:r>
              <w:rPr>
                <w:sz w:val="21"/>
              </w:rPr>
              <w:t>0.0566</w:t>
            </w:r>
          </w:p>
        </w:tc>
        <w:tc>
          <w:tcPr>
            <w:tcW w:w="817" w:type="dxa"/>
            <w:tcBorders>
              <w:top w:val="single" w:sz="6" w:space="0" w:color="000000"/>
              <w:left w:val="single" w:sz="6" w:space="0" w:color="000000"/>
              <w:bottom w:val="single" w:sz="6" w:space="0" w:color="000000"/>
            </w:tcBorders>
          </w:tcPr>
          <w:p>
            <w:pPr>
              <w:pStyle w:val="TableParagraph"/>
              <w:spacing w:before="60"/>
              <w:ind w:left="165" w:right="116"/>
              <w:rPr>
                <w:sz w:val="21"/>
              </w:rPr>
            </w:pPr>
            <w:r>
              <w:rPr>
                <w:sz w:val="21"/>
              </w:rPr>
              <w:t>0.375</w:t>
            </w:r>
          </w:p>
        </w:tc>
      </w:tr>
      <w:tr>
        <w:trPr>
          <w:trHeight w:val="359"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8" w:right="76"/>
              <w:rPr>
                <w:rFonts w:ascii="宋体" w:eastAsia="宋体" w:hint="eastAsia"/>
                <w:sz w:val="21"/>
              </w:rPr>
            </w:pPr>
            <w:r>
              <w:rPr>
                <w:rFonts w:ascii="宋体" w:eastAsia="宋体" w:hint="eastAsia"/>
                <w:sz w:val="21"/>
              </w:rPr>
              <w:t>车间一 </w:t>
            </w:r>
            <w:r>
              <w:rPr>
                <w:position w:val="1"/>
                <w:sz w:val="21"/>
              </w:rPr>
              <w:t>3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6" w:right="324"/>
              <w:rPr>
                <w:rFonts w:ascii="宋体" w:eastAsia="宋体" w:hint="eastAsia"/>
                <w:sz w:val="21"/>
              </w:rPr>
            </w:pPr>
            <w:r>
              <w:rPr>
                <w:rFonts w:ascii="宋体" w:eastAsia="宋体" w:hint="eastAsia"/>
                <w:sz w:val="21"/>
              </w:rPr>
              <w:t>育肥猪、后备母猪、种公猪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0.5770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3.822</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0.0865</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0.573</w:t>
            </w:r>
          </w:p>
        </w:tc>
      </w:tr>
      <w:tr>
        <w:trPr>
          <w:trHeight w:val="359"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8" w:right="76"/>
              <w:rPr>
                <w:rFonts w:ascii="宋体" w:eastAsia="宋体" w:hint="eastAsia"/>
                <w:sz w:val="21"/>
              </w:rPr>
            </w:pPr>
            <w:r>
              <w:rPr>
                <w:rFonts w:ascii="宋体" w:eastAsia="宋体" w:hint="eastAsia"/>
                <w:sz w:val="21"/>
              </w:rPr>
              <w:t>车间一 </w:t>
            </w:r>
            <w:r>
              <w:rPr>
                <w:position w:val="1"/>
                <w:sz w:val="21"/>
              </w:rPr>
              <w:t>4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6" w:right="322"/>
              <w:rPr>
                <w:rFonts w:ascii="宋体" w:eastAsia="宋体" w:hint="eastAsia"/>
                <w:sz w:val="21"/>
              </w:rPr>
            </w:pPr>
            <w:r>
              <w:rPr>
                <w:rFonts w:ascii="宋体" w:eastAsia="宋体" w:hint="eastAsia"/>
                <w:sz w:val="21"/>
              </w:rPr>
              <w:t>妊娠母猪、空怀配种猪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0.0526</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0.348</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0.0079</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0.052</w:t>
            </w:r>
          </w:p>
        </w:tc>
      </w:tr>
      <w:tr>
        <w:trPr>
          <w:trHeight w:val="356"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8" w:right="76"/>
              <w:rPr>
                <w:rFonts w:ascii="宋体" w:eastAsia="宋体" w:hint="eastAsia"/>
                <w:sz w:val="21"/>
              </w:rPr>
            </w:pPr>
            <w:r>
              <w:rPr>
                <w:rFonts w:ascii="宋体" w:eastAsia="宋体" w:hint="eastAsia"/>
                <w:sz w:val="21"/>
              </w:rPr>
              <w:t>车间二 </w:t>
            </w:r>
            <w:r>
              <w:rPr>
                <w:position w:val="1"/>
                <w:sz w:val="21"/>
              </w:rPr>
              <w:t>1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0.2360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1.564</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0.0354</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0.235</w:t>
            </w:r>
          </w:p>
        </w:tc>
      </w:tr>
      <w:tr>
        <w:trPr>
          <w:trHeight w:val="359"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9"/>
              <w:ind w:left="108" w:right="76"/>
              <w:rPr>
                <w:rFonts w:ascii="宋体" w:eastAsia="宋体" w:hint="eastAsia"/>
                <w:sz w:val="21"/>
              </w:rPr>
            </w:pPr>
            <w:r>
              <w:rPr>
                <w:rFonts w:ascii="宋体" w:eastAsia="宋体" w:hint="eastAsia"/>
                <w:sz w:val="21"/>
              </w:rPr>
              <w:t>车间二 </w:t>
            </w:r>
            <w:r>
              <w:rPr>
                <w:position w:val="1"/>
                <w:sz w:val="21"/>
              </w:rPr>
              <w:t>2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9"/>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60"/>
              <w:ind w:left="173" w:right="139"/>
              <w:rPr>
                <w:sz w:val="21"/>
              </w:rPr>
            </w:pPr>
            <w:r>
              <w:rPr>
                <w:sz w:val="21"/>
              </w:rPr>
              <w:t>0.2360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60"/>
              <w:ind w:left="173" w:right="136"/>
              <w:rPr>
                <w:sz w:val="21"/>
              </w:rPr>
            </w:pPr>
            <w:r>
              <w:rPr>
                <w:sz w:val="21"/>
              </w:rPr>
              <w:t>1.564</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60"/>
              <w:ind w:left="172" w:right="137"/>
              <w:rPr>
                <w:sz w:val="21"/>
              </w:rPr>
            </w:pPr>
            <w:r>
              <w:rPr>
                <w:sz w:val="21"/>
              </w:rPr>
              <w:t>0.0354</w:t>
            </w:r>
          </w:p>
        </w:tc>
        <w:tc>
          <w:tcPr>
            <w:tcW w:w="817" w:type="dxa"/>
            <w:tcBorders>
              <w:top w:val="single" w:sz="6" w:space="0" w:color="000000"/>
              <w:left w:val="single" w:sz="6" w:space="0" w:color="000000"/>
              <w:bottom w:val="single" w:sz="6" w:space="0" w:color="000000"/>
            </w:tcBorders>
          </w:tcPr>
          <w:p>
            <w:pPr>
              <w:pStyle w:val="TableParagraph"/>
              <w:spacing w:before="60"/>
              <w:ind w:left="165" w:right="116"/>
              <w:rPr>
                <w:sz w:val="21"/>
              </w:rPr>
            </w:pPr>
            <w:r>
              <w:rPr>
                <w:sz w:val="21"/>
              </w:rPr>
              <w:t>0.235</w:t>
            </w:r>
          </w:p>
        </w:tc>
      </w:tr>
      <w:tr>
        <w:trPr>
          <w:trHeight w:val="359"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8" w:right="76"/>
              <w:rPr>
                <w:rFonts w:ascii="宋体" w:eastAsia="宋体" w:hint="eastAsia"/>
                <w:sz w:val="21"/>
              </w:rPr>
            </w:pPr>
            <w:r>
              <w:rPr>
                <w:rFonts w:ascii="宋体" w:eastAsia="宋体" w:hint="eastAsia"/>
                <w:sz w:val="21"/>
              </w:rPr>
              <w:t>车间二 </w:t>
            </w:r>
            <w:r>
              <w:rPr>
                <w:position w:val="1"/>
                <w:sz w:val="21"/>
              </w:rPr>
              <w:t>3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5" w:right="324"/>
              <w:rPr>
                <w:rFonts w:ascii="宋体" w:eastAsia="宋体" w:hint="eastAsia"/>
                <w:sz w:val="21"/>
              </w:rPr>
            </w:pPr>
            <w:r>
              <w:rPr>
                <w:rFonts w:ascii="宋体" w:eastAsia="宋体" w:hint="eastAsia"/>
                <w:sz w:val="21"/>
              </w:rPr>
              <w:t>断奶仔猪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0.1860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1.232</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0.0279</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0.185</w:t>
            </w:r>
          </w:p>
        </w:tc>
      </w:tr>
      <w:tr>
        <w:trPr>
          <w:trHeight w:val="359"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8" w:right="76"/>
              <w:rPr>
                <w:rFonts w:ascii="宋体" w:eastAsia="宋体" w:hint="eastAsia"/>
                <w:sz w:val="21"/>
              </w:rPr>
            </w:pPr>
            <w:r>
              <w:rPr>
                <w:rFonts w:ascii="宋体" w:eastAsia="宋体" w:hint="eastAsia"/>
                <w:sz w:val="21"/>
              </w:rPr>
              <w:t>车间二 </w:t>
            </w:r>
            <w:r>
              <w:rPr>
                <w:position w:val="1"/>
                <w:sz w:val="21"/>
              </w:rPr>
              <w:t>4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5" w:right="324"/>
              <w:rPr>
                <w:rFonts w:ascii="宋体" w:eastAsia="宋体" w:hint="eastAsia"/>
                <w:sz w:val="21"/>
              </w:rPr>
            </w:pPr>
            <w:r>
              <w:rPr>
                <w:rFonts w:ascii="宋体" w:eastAsia="宋体" w:hint="eastAsia"/>
                <w:sz w:val="21"/>
              </w:rPr>
              <w:t>哺乳母猪、哺乳仔猪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0.1366</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0.905</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0.0205</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0.136</w:t>
            </w:r>
          </w:p>
        </w:tc>
      </w:tr>
      <w:tr>
        <w:trPr>
          <w:trHeight w:val="356" w:hRule="atLeast"/>
        </w:trPr>
        <w:tc>
          <w:tcPr>
            <w:tcW w:w="1010" w:type="dxa"/>
            <w:vMerge/>
            <w:tcBorders>
              <w:top w:val="nil"/>
              <w:bottom w:val="single" w:sz="6" w:space="0" w:color="000000"/>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5" w:right="76"/>
              <w:rPr>
                <w:rFonts w:ascii="宋体" w:eastAsia="宋体" w:hint="eastAsia"/>
                <w:sz w:val="21"/>
              </w:rPr>
            </w:pPr>
            <w:r>
              <w:rPr>
                <w:rFonts w:ascii="宋体" w:eastAsia="宋体" w:hint="eastAsia"/>
                <w:sz w:val="21"/>
              </w:rPr>
              <w:t>隔离舍</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5" w:right="324"/>
              <w:rPr>
                <w:rFonts w:ascii="宋体" w:eastAsia="宋体" w:hint="eastAsia"/>
                <w:sz w:val="21"/>
              </w:rPr>
            </w:pPr>
            <w:r>
              <w:rPr>
                <w:rFonts w:ascii="宋体" w:eastAsia="宋体" w:hint="eastAsia"/>
                <w:sz w:val="21"/>
              </w:rPr>
              <w:t>隔离种猪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0.1405</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0.931</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0.0211</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0.140</w:t>
            </w:r>
          </w:p>
        </w:tc>
      </w:tr>
      <w:tr>
        <w:trPr>
          <w:trHeight w:val="359" w:hRule="atLeast"/>
        </w:trPr>
        <w:tc>
          <w:tcPr>
            <w:tcW w:w="1010" w:type="dxa"/>
            <w:vMerge/>
            <w:tcBorders>
              <w:top w:val="nil"/>
              <w:bottom w:val="single" w:sz="6" w:space="0" w:color="000000"/>
              <w:right w:val="single" w:sz="6" w:space="0" w:color="000000"/>
            </w:tcBorders>
          </w:tcPr>
          <w:p>
            <w:pPr>
              <w:rPr>
                <w:sz w:val="2"/>
                <w:szCs w:val="2"/>
              </w:rPr>
            </w:pPr>
          </w:p>
        </w:tc>
        <w:tc>
          <w:tcPr>
            <w:tcW w:w="476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2161" w:right="2127"/>
              <w:rPr>
                <w:rFonts w:ascii="宋体" w:eastAsia="宋体" w:hint="eastAsia"/>
                <w:sz w:val="21"/>
              </w:rPr>
            </w:pPr>
            <w:r>
              <w:rPr>
                <w:rFonts w:ascii="宋体" w:eastAsia="宋体" w:hint="eastAsia"/>
                <w:sz w:val="21"/>
              </w:rPr>
              <w:t>合计</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60"/>
              <w:ind w:left="173" w:right="139"/>
              <w:rPr>
                <w:sz w:val="21"/>
              </w:rPr>
            </w:pPr>
            <w:r>
              <w:rPr>
                <w:sz w:val="21"/>
              </w:rPr>
              <w:t>2.3201</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60"/>
              <w:ind w:left="173" w:right="136"/>
              <w:rPr>
                <w:sz w:val="21"/>
              </w:rPr>
            </w:pPr>
            <w:r>
              <w:rPr>
                <w:sz w:val="21"/>
              </w:rPr>
              <w:t>15.369</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60"/>
              <w:ind w:left="172" w:right="137"/>
              <w:rPr>
                <w:sz w:val="21"/>
              </w:rPr>
            </w:pPr>
            <w:r>
              <w:rPr>
                <w:sz w:val="21"/>
              </w:rPr>
              <w:t>0.3480</w:t>
            </w:r>
          </w:p>
        </w:tc>
        <w:tc>
          <w:tcPr>
            <w:tcW w:w="817" w:type="dxa"/>
            <w:tcBorders>
              <w:top w:val="single" w:sz="6" w:space="0" w:color="000000"/>
              <w:left w:val="single" w:sz="6" w:space="0" w:color="000000"/>
              <w:bottom w:val="single" w:sz="6" w:space="0" w:color="000000"/>
            </w:tcBorders>
          </w:tcPr>
          <w:p>
            <w:pPr>
              <w:pStyle w:val="TableParagraph"/>
              <w:spacing w:before="60"/>
              <w:ind w:left="165" w:right="116"/>
              <w:rPr>
                <w:sz w:val="21"/>
              </w:rPr>
            </w:pPr>
            <w:r>
              <w:rPr>
                <w:sz w:val="21"/>
              </w:rPr>
              <w:t>2.305</w:t>
            </w:r>
          </w:p>
        </w:tc>
      </w:tr>
      <w:tr>
        <w:trPr>
          <w:trHeight w:val="351" w:hRule="atLeast"/>
        </w:trPr>
        <w:tc>
          <w:tcPr>
            <w:tcW w:w="1010" w:type="dxa"/>
            <w:vMerge w:val="restart"/>
            <w:tcBorders>
              <w:top w:val="single" w:sz="6" w:space="0" w:color="000000"/>
              <w:right w:val="single" w:sz="6" w:space="0" w:color="000000"/>
            </w:tcBorders>
          </w:tcPr>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202"/>
              <w:ind w:left="335"/>
              <w:jc w:val="left"/>
              <w:rPr>
                <w:sz w:val="21"/>
              </w:rPr>
            </w:pPr>
            <w:r>
              <w:rPr>
                <w:position w:val="2"/>
                <w:sz w:val="21"/>
              </w:rPr>
              <w:t>H</w:t>
            </w:r>
            <w:r>
              <w:rPr>
                <w:sz w:val="14"/>
              </w:rPr>
              <w:t>2</w:t>
            </w:r>
            <w:r>
              <w:rPr>
                <w:position w:val="2"/>
                <w:sz w:val="21"/>
              </w:rPr>
              <w:t>S</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6"/>
              <w:ind w:left="108" w:right="76"/>
              <w:rPr>
                <w:rFonts w:ascii="宋体" w:eastAsia="宋体" w:hint="eastAsia"/>
                <w:sz w:val="21"/>
              </w:rPr>
            </w:pPr>
            <w:r>
              <w:rPr>
                <w:rFonts w:ascii="宋体" w:eastAsia="宋体" w:hint="eastAsia"/>
                <w:sz w:val="21"/>
              </w:rPr>
              <w:t>车间一 </w:t>
            </w:r>
            <w:r>
              <w:rPr>
                <w:position w:val="1"/>
                <w:sz w:val="21"/>
              </w:rPr>
              <w:t>1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6"/>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ind w:left="173" w:right="139"/>
              <w:rPr>
                <w:sz w:val="21"/>
              </w:rPr>
            </w:pPr>
            <w:r>
              <w:rPr>
                <w:sz w:val="21"/>
              </w:rPr>
              <w:t>0.0287</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3" w:right="136"/>
              <w:rPr>
                <w:sz w:val="21"/>
              </w:rPr>
            </w:pPr>
            <w:r>
              <w:rPr>
                <w:sz w:val="21"/>
              </w:rPr>
              <w:t>0.190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72" w:right="137"/>
              <w:rPr>
                <w:sz w:val="21"/>
              </w:rPr>
            </w:pPr>
            <w:r>
              <w:rPr>
                <w:sz w:val="21"/>
              </w:rPr>
              <w:t>0.0072</w:t>
            </w:r>
          </w:p>
        </w:tc>
        <w:tc>
          <w:tcPr>
            <w:tcW w:w="817" w:type="dxa"/>
            <w:tcBorders>
              <w:top w:val="single" w:sz="6" w:space="0" w:color="000000"/>
              <w:left w:val="single" w:sz="6" w:space="0" w:color="000000"/>
              <w:bottom w:val="single" w:sz="6" w:space="0" w:color="000000"/>
            </w:tcBorders>
          </w:tcPr>
          <w:p>
            <w:pPr>
              <w:pStyle w:val="TableParagraph"/>
              <w:ind w:left="165" w:right="116"/>
              <w:rPr>
                <w:sz w:val="21"/>
              </w:rPr>
            </w:pPr>
            <w:r>
              <w:rPr>
                <w:sz w:val="21"/>
              </w:rPr>
              <w:t>0.047</w:t>
            </w:r>
          </w:p>
        </w:tc>
      </w:tr>
      <w:tr>
        <w:trPr>
          <w:trHeight w:val="344"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08" w:right="76"/>
              <w:rPr>
                <w:rFonts w:ascii="宋体" w:eastAsia="宋体" w:hint="eastAsia"/>
                <w:sz w:val="21"/>
              </w:rPr>
            </w:pPr>
            <w:r>
              <w:rPr>
                <w:rFonts w:ascii="宋体" w:eastAsia="宋体" w:hint="eastAsia"/>
                <w:sz w:val="21"/>
              </w:rPr>
              <w:t>车间一 </w:t>
            </w:r>
            <w:r>
              <w:rPr>
                <w:position w:val="1"/>
                <w:sz w:val="21"/>
              </w:rPr>
              <w:t>2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39"/>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9"/>
              <w:rPr>
                <w:sz w:val="21"/>
              </w:rPr>
            </w:pPr>
            <w:r>
              <w:rPr>
                <w:sz w:val="21"/>
              </w:rPr>
              <w:t>0.0287</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6"/>
              <w:rPr>
                <w:sz w:val="21"/>
              </w:rPr>
            </w:pPr>
            <w:r>
              <w:rPr>
                <w:sz w:val="21"/>
              </w:rPr>
              <w:t>0.190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2" w:right="137"/>
              <w:rPr>
                <w:sz w:val="21"/>
              </w:rPr>
            </w:pPr>
            <w:r>
              <w:rPr>
                <w:sz w:val="21"/>
              </w:rPr>
              <w:t>0.0072</w:t>
            </w:r>
          </w:p>
        </w:tc>
        <w:tc>
          <w:tcPr>
            <w:tcW w:w="817" w:type="dxa"/>
            <w:tcBorders>
              <w:top w:val="single" w:sz="6" w:space="0" w:color="000000"/>
              <w:left w:val="single" w:sz="6" w:space="0" w:color="000000"/>
              <w:bottom w:val="single" w:sz="6" w:space="0" w:color="000000"/>
            </w:tcBorders>
          </w:tcPr>
          <w:p>
            <w:pPr>
              <w:pStyle w:val="TableParagraph"/>
              <w:spacing w:before="50"/>
              <w:ind w:left="165" w:right="116"/>
              <w:rPr>
                <w:sz w:val="21"/>
              </w:rPr>
            </w:pPr>
            <w:r>
              <w:rPr>
                <w:sz w:val="21"/>
              </w:rPr>
              <w:t>0.047</w:t>
            </w:r>
          </w:p>
        </w:tc>
      </w:tr>
      <w:tr>
        <w:trPr>
          <w:trHeight w:val="341"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08" w:right="76"/>
              <w:rPr>
                <w:rFonts w:ascii="宋体" w:eastAsia="宋体" w:hint="eastAsia"/>
                <w:sz w:val="21"/>
              </w:rPr>
            </w:pPr>
            <w:r>
              <w:rPr>
                <w:rFonts w:ascii="宋体" w:eastAsia="宋体" w:hint="eastAsia"/>
                <w:sz w:val="21"/>
              </w:rPr>
              <w:t>车间一 </w:t>
            </w:r>
            <w:r>
              <w:rPr>
                <w:position w:val="1"/>
                <w:sz w:val="21"/>
              </w:rPr>
              <w:t>3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39"/>
              <w:ind w:left="356" w:right="324"/>
              <w:rPr>
                <w:rFonts w:ascii="宋体" w:eastAsia="宋体" w:hint="eastAsia"/>
                <w:sz w:val="21"/>
              </w:rPr>
            </w:pPr>
            <w:r>
              <w:rPr>
                <w:rFonts w:ascii="宋体" w:eastAsia="宋体" w:hint="eastAsia"/>
                <w:sz w:val="21"/>
              </w:rPr>
              <w:t>育肥猪、后备母猪、种公猪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9"/>
              <w:rPr>
                <w:sz w:val="21"/>
              </w:rPr>
            </w:pPr>
            <w:r>
              <w:rPr>
                <w:sz w:val="21"/>
              </w:rPr>
              <w:t>0.0491</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6"/>
              <w:rPr>
                <w:sz w:val="21"/>
              </w:rPr>
            </w:pPr>
            <w:r>
              <w:rPr>
                <w:sz w:val="21"/>
              </w:rPr>
              <w:t>0.325</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2" w:right="137"/>
              <w:rPr>
                <w:sz w:val="21"/>
              </w:rPr>
            </w:pPr>
            <w:r>
              <w:rPr>
                <w:sz w:val="21"/>
              </w:rPr>
              <w:t>0.0123</w:t>
            </w:r>
          </w:p>
        </w:tc>
        <w:tc>
          <w:tcPr>
            <w:tcW w:w="817" w:type="dxa"/>
            <w:tcBorders>
              <w:top w:val="single" w:sz="6" w:space="0" w:color="000000"/>
              <w:left w:val="single" w:sz="6" w:space="0" w:color="000000"/>
              <w:bottom w:val="single" w:sz="6" w:space="0" w:color="000000"/>
            </w:tcBorders>
          </w:tcPr>
          <w:p>
            <w:pPr>
              <w:pStyle w:val="TableParagraph"/>
              <w:spacing w:before="50"/>
              <w:ind w:left="165" w:right="116"/>
              <w:rPr>
                <w:sz w:val="21"/>
              </w:rPr>
            </w:pPr>
            <w:r>
              <w:rPr>
                <w:sz w:val="21"/>
              </w:rPr>
              <w:t>0.081</w:t>
            </w:r>
          </w:p>
        </w:tc>
      </w:tr>
      <w:tr>
        <w:trPr>
          <w:trHeight w:val="344"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1"/>
              <w:ind w:left="108" w:right="76"/>
              <w:rPr>
                <w:rFonts w:ascii="宋体" w:eastAsia="宋体" w:hint="eastAsia"/>
                <w:sz w:val="21"/>
              </w:rPr>
            </w:pPr>
            <w:r>
              <w:rPr>
                <w:rFonts w:ascii="宋体" w:eastAsia="宋体" w:hint="eastAsia"/>
                <w:sz w:val="21"/>
              </w:rPr>
              <w:t>车间一 </w:t>
            </w:r>
            <w:r>
              <w:rPr>
                <w:position w:val="1"/>
                <w:sz w:val="21"/>
              </w:rPr>
              <w:t>4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1"/>
              <w:ind w:left="356" w:right="322"/>
              <w:rPr>
                <w:rFonts w:ascii="宋体" w:eastAsia="宋体" w:hint="eastAsia"/>
                <w:sz w:val="21"/>
              </w:rPr>
            </w:pPr>
            <w:r>
              <w:rPr>
                <w:rFonts w:ascii="宋体" w:eastAsia="宋体" w:hint="eastAsia"/>
                <w:sz w:val="21"/>
              </w:rPr>
              <w:t>妊娠母猪、空怀配种猪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3"/>
              <w:ind w:left="173" w:right="139"/>
              <w:rPr>
                <w:sz w:val="21"/>
              </w:rPr>
            </w:pPr>
            <w:r>
              <w:rPr>
                <w:sz w:val="21"/>
              </w:rPr>
              <w:t>0.0053</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3"/>
              <w:ind w:left="173" w:right="136"/>
              <w:rPr>
                <w:sz w:val="21"/>
              </w:rPr>
            </w:pPr>
            <w:r>
              <w:rPr>
                <w:sz w:val="21"/>
              </w:rPr>
              <w:t>0.035</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3"/>
              <w:ind w:left="172" w:right="137"/>
              <w:rPr>
                <w:sz w:val="21"/>
              </w:rPr>
            </w:pPr>
            <w:r>
              <w:rPr>
                <w:sz w:val="21"/>
              </w:rPr>
              <w:t>0.0013</w:t>
            </w:r>
          </w:p>
        </w:tc>
        <w:tc>
          <w:tcPr>
            <w:tcW w:w="817" w:type="dxa"/>
            <w:tcBorders>
              <w:top w:val="single" w:sz="6" w:space="0" w:color="000000"/>
              <w:left w:val="single" w:sz="6" w:space="0" w:color="000000"/>
              <w:bottom w:val="single" w:sz="6" w:space="0" w:color="000000"/>
            </w:tcBorders>
          </w:tcPr>
          <w:p>
            <w:pPr>
              <w:pStyle w:val="TableParagraph"/>
              <w:spacing w:before="53"/>
              <w:ind w:left="165" w:right="116"/>
              <w:rPr>
                <w:sz w:val="21"/>
              </w:rPr>
            </w:pPr>
            <w:r>
              <w:rPr>
                <w:sz w:val="21"/>
              </w:rPr>
              <w:t>0.009</w:t>
            </w:r>
          </w:p>
        </w:tc>
      </w:tr>
      <w:tr>
        <w:trPr>
          <w:trHeight w:val="344"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08" w:right="76"/>
              <w:rPr>
                <w:rFonts w:ascii="宋体" w:eastAsia="宋体" w:hint="eastAsia"/>
                <w:sz w:val="21"/>
              </w:rPr>
            </w:pPr>
            <w:r>
              <w:rPr>
                <w:rFonts w:ascii="宋体" w:eastAsia="宋体" w:hint="eastAsia"/>
                <w:sz w:val="21"/>
              </w:rPr>
              <w:t>车间二 </w:t>
            </w:r>
            <w:r>
              <w:rPr>
                <w:position w:val="1"/>
                <w:sz w:val="21"/>
              </w:rPr>
              <w:t>1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39"/>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9"/>
              <w:rPr>
                <w:sz w:val="21"/>
              </w:rPr>
            </w:pPr>
            <w:r>
              <w:rPr>
                <w:sz w:val="21"/>
              </w:rPr>
              <w:t>0.0179</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4"/>
              <w:rPr>
                <w:sz w:val="21"/>
              </w:rPr>
            </w:pPr>
            <w:r>
              <w:rPr>
                <w:sz w:val="21"/>
              </w:rPr>
              <w:t>0.119</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2" w:right="137"/>
              <w:rPr>
                <w:sz w:val="21"/>
              </w:rPr>
            </w:pPr>
            <w:r>
              <w:rPr>
                <w:sz w:val="21"/>
              </w:rPr>
              <w:t>0.0045</w:t>
            </w:r>
          </w:p>
        </w:tc>
        <w:tc>
          <w:tcPr>
            <w:tcW w:w="817" w:type="dxa"/>
            <w:tcBorders>
              <w:top w:val="single" w:sz="6" w:space="0" w:color="000000"/>
              <w:left w:val="single" w:sz="6" w:space="0" w:color="000000"/>
              <w:bottom w:val="single" w:sz="6" w:space="0" w:color="000000"/>
            </w:tcBorders>
          </w:tcPr>
          <w:p>
            <w:pPr>
              <w:pStyle w:val="TableParagraph"/>
              <w:spacing w:before="50"/>
              <w:ind w:left="165" w:right="116"/>
              <w:rPr>
                <w:sz w:val="21"/>
              </w:rPr>
            </w:pPr>
            <w:r>
              <w:rPr>
                <w:sz w:val="21"/>
              </w:rPr>
              <w:t>0.030</w:t>
            </w:r>
          </w:p>
        </w:tc>
      </w:tr>
      <w:tr>
        <w:trPr>
          <w:trHeight w:val="344"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08" w:right="76"/>
              <w:rPr>
                <w:rFonts w:ascii="宋体" w:eastAsia="宋体" w:hint="eastAsia"/>
                <w:sz w:val="21"/>
              </w:rPr>
            </w:pPr>
            <w:r>
              <w:rPr>
                <w:rFonts w:ascii="宋体" w:eastAsia="宋体" w:hint="eastAsia"/>
                <w:sz w:val="21"/>
              </w:rPr>
              <w:t>车间二 </w:t>
            </w:r>
            <w:r>
              <w:rPr>
                <w:position w:val="1"/>
                <w:sz w:val="21"/>
              </w:rPr>
              <w:t>2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39"/>
              <w:ind w:left="356" w:right="322"/>
              <w:rPr>
                <w:rFonts w:ascii="宋体" w:eastAsia="宋体" w:hint="eastAsia"/>
                <w:sz w:val="21"/>
              </w:rPr>
            </w:pPr>
            <w:r>
              <w:rPr>
                <w:rFonts w:ascii="宋体" w:eastAsia="宋体" w:hint="eastAsia"/>
                <w:sz w:val="21"/>
              </w:rPr>
              <w:t>育肥猪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9"/>
              <w:rPr>
                <w:sz w:val="21"/>
              </w:rPr>
            </w:pPr>
            <w:r>
              <w:rPr>
                <w:sz w:val="21"/>
              </w:rPr>
              <w:t>0.0179</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4"/>
              <w:rPr>
                <w:sz w:val="21"/>
              </w:rPr>
            </w:pPr>
            <w:r>
              <w:rPr>
                <w:sz w:val="21"/>
              </w:rPr>
              <w:t>0.119</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2" w:right="137"/>
              <w:rPr>
                <w:sz w:val="21"/>
              </w:rPr>
            </w:pPr>
            <w:r>
              <w:rPr>
                <w:sz w:val="21"/>
              </w:rPr>
              <w:t>0.0045</w:t>
            </w:r>
          </w:p>
        </w:tc>
        <w:tc>
          <w:tcPr>
            <w:tcW w:w="817" w:type="dxa"/>
            <w:tcBorders>
              <w:top w:val="single" w:sz="6" w:space="0" w:color="000000"/>
              <w:left w:val="single" w:sz="6" w:space="0" w:color="000000"/>
              <w:bottom w:val="single" w:sz="6" w:space="0" w:color="000000"/>
            </w:tcBorders>
          </w:tcPr>
          <w:p>
            <w:pPr>
              <w:pStyle w:val="TableParagraph"/>
              <w:spacing w:before="50"/>
              <w:ind w:left="165" w:right="116"/>
              <w:rPr>
                <w:sz w:val="21"/>
              </w:rPr>
            </w:pPr>
            <w:r>
              <w:rPr>
                <w:sz w:val="21"/>
              </w:rPr>
              <w:t>0.030</w:t>
            </w:r>
          </w:p>
        </w:tc>
      </w:tr>
      <w:tr>
        <w:trPr>
          <w:trHeight w:val="342"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08" w:right="76"/>
              <w:rPr>
                <w:rFonts w:ascii="宋体" w:eastAsia="宋体" w:hint="eastAsia"/>
                <w:sz w:val="21"/>
              </w:rPr>
            </w:pPr>
            <w:r>
              <w:rPr>
                <w:rFonts w:ascii="宋体" w:eastAsia="宋体" w:hint="eastAsia"/>
                <w:sz w:val="21"/>
              </w:rPr>
              <w:t>车间二 </w:t>
            </w:r>
            <w:r>
              <w:rPr>
                <w:position w:val="1"/>
                <w:sz w:val="21"/>
              </w:rPr>
              <w:t>3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39"/>
              <w:ind w:left="355" w:right="324"/>
              <w:rPr>
                <w:rFonts w:ascii="宋体" w:eastAsia="宋体" w:hint="eastAsia"/>
                <w:sz w:val="21"/>
              </w:rPr>
            </w:pPr>
            <w:r>
              <w:rPr>
                <w:rFonts w:ascii="宋体" w:eastAsia="宋体" w:hint="eastAsia"/>
                <w:sz w:val="21"/>
              </w:rPr>
              <w:t>断奶仔猪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1"/>
              <w:ind w:left="173" w:right="139"/>
              <w:rPr>
                <w:sz w:val="21"/>
              </w:rPr>
            </w:pPr>
            <w:r>
              <w:rPr>
                <w:sz w:val="21"/>
              </w:rPr>
              <w:t>0.0321</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1"/>
              <w:ind w:left="173" w:right="136"/>
              <w:rPr>
                <w:sz w:val="21"/>
              </w:rPr>
            </w:pPr>
            <w:r>
              <w:rPr>
                <w:sz w:val="21"/>
              </w:rPr>
              <w:t>0.212</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1"/>
              <w:ind w:left="172" w:right="137"/>
              <w:rPr>
                <w:sz w:val="21"/>
              </w:rPr>
            </w:pPr>
            <w:r>
              <w:rPr>
                <w:sz w:val="21"/>
              </w:rPr>
              <w:t>0.0080</w:t>
            </w:r>
          </w:p>
        </w:tc>
        <w:tc>
          <w:tcPr>
            <w:tcW w:w="817" w:type="dxa"/>
            <w:tcBorders>
              <w:top w:val="single" w:sz="6" w:space="0" w:color="000000"/>
              <w:left w:val="single" w:sz="6" w:space="0" w:color="000000"/>
              <w:bottom w:val="single" w:sz="6" w:space="0" w:color="000000"/>
            </w:tcBorders>
          </w:tcPr>
          <w:p>
            <w:pPr>
              <w:pStyle w:val="TableParagraph"/>
              <w:spacing w:before="51"/>
              <w:ind w:left="165" w:right="116"/>
              <w:rPr>
                <w:sz w:val="21"/>
              </w:rPr>
            </w:pPr>
            <w:r>
              <w:rPr>
                <w:sz w:val="21"/>
              </w:rPr>
              <w:t>0.053</w:t>
            </w:r>
          </w:p>
        </w:tc>
      </w:tr>
      <w:tr>
        <w:trPr>
          <w:trHeight w:val="344"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41"/>
              <w:ind w:left="108" w:right="76"/>
              <w:rPr>
                <w:rFonts w:ascii="宋体" w:eastAsia="宋体" w:hint="eastAsia"/>
                <w:sz w:val="21"/>
              </w:rPr>
            </w:pPr>
            <w:r>
              <w:rPr>
                <w:rFonts w:ascii="宋体" w:eastAsia="宋体" w:hint="eastAsia"/>
                <w:sz w:val="21"/>
              </w:rPr>
              <w:t>车间二 </w:t>
            </w:r>
            <w:r>
              <w:rPr>
                <w:position w:val="1"/>
                <w:sz w:val="21"/>
              </w:rPr>
              <w:t>4 </w:t>
            </w:r>
            <w:r>
              <w:rPr>
                <w:rFonts w:ascii="宋体" w:eastAsia="宋体" w:hint="eastAsia"/>
                <w:sz w:val="21"/>
              </w:rPr>
              <w:t>层</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41"/>
              <w:ind w:left="355" w:right="324"/>
              <w:rPr>
                <w:rFonts w:ascii="宋体" w:eastAsia="宋体" w:hint="eastAsia"/>
                <w:sz w:val="21"/>
              </w:rPr>
            </w:pPr>
            <w:r>
              <w:rPr>
                <w:rFonts w:ascii="宋体" w:eastAsia="宋体" w:hint="eastAsia"/>
                <w:sz w:val="21"/>
              </w:rPr>
              <w:t>哺乳母猪、哺乳仔猪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3"/>
              <w:ind w:left="173" w:right="139"/>
              <w:rPr>
                <w:sz w:val="21"/>
              </w:rPr>
            </w:pPr>
            <w:r>
              <w:rPr>
                <w:sz w:val="21"/>
              </w:rPr>
              <w:t>0.0200</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3"/>
              <w:ind w:left="173" w:right="136"/>
              <w:rPr>
                <w:sz w:val="21"/>
              </w:rPr>
            </w:pPr>
            <w:r>
              <w:rPr>
                <w:sz w:val="21"/>
              </w:rPr>
              <w:t>0.132</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3"/>
              <w:ind w:left="172" w:right="137"/>
              <w:rPr>
                <w:sz w:val="21"/>
              </w:rPr>
            </w:pPr>
            <w:r>
              <w:rPr>
                <w:sz w:val="21"/>
              </w:rPr>
              <w:t>0.0050</w:t>
            </w:r>
          </w:p>
        </w:tc>
        <w:tc>
          <w:tcPr>
            <w:tcW w:w="817" w:type="dxa"/>
            <w:tcBorders>
              <w:top w:val="single" w:sz="6" w:space="0" w:color="000000"/>
              <w:left w:val="single" w:sz="6" w:space="0" w:color="000000"/>
              <w:bottom w:val="single" w:sz="6" w:space="0" w:color="000000"/>
            </w:tcBorders>
          </w:tcPr>
          <w:p>
            <w:pPr>
              <w:pStyle w:val="TableParagraph"/>
              <w:spacing w:before="53"/>
              <w:ind w:left="165" w:right="116"/>
              <w:rPr>
                <w:sz w:val="21"/>
              </w:rPr>
            </w:pPr>
            <w:r>
              <w:rPr>
                <w:sz w:val="21"/>
              </w:rPr>
              <w:t>0.033</w:t>
            </w:r>
          </w:p>
        </w:tc>
      </w:tr>
      <w:tr>
        <w:trPr>
          <w:trHeight w:val="344" w:hRule="atLeast"/>
        </w:trPr>
        <w:tc>
          <w:tcPr>
            <w:tcW w:w="1010" w:type="dxa"/>
            <w:vMerge/>
            <w:tcBorders>
              <w:top w:val="nil"/>
              <w:right w:val="single" w:sz="6" w:space="0" w:color="000000"/>
            </w:tcBorders>
          </w:tcPr>
          <w:p>
            <w:pPr>
              <w:rPr>
                <w:sz w:val="2"/>
                <w:szCs w:val="2"/>
              </w:rPr>
            </w:pP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05" w:right="76"/>
              <w:rPr>
                <w:rFonts w:ascii="宋体" w:eastAsia="宋体" w:hint="eastAsia"/>
                <w:sz w:val="21"/>
              </w:rPr>
            </w:pPr>
            <w:r>
              <w:rPr>
                <w:rFonts w:ascii="宋体" w:eastAsia="宋体" w:hint="eastAsia"/>
                <w:sz w:val="21"/>
              </w:rPr>
              <w:t>隔离舍</w:t>
            </w:r>
          </w:p>
        </w:tc>
        <w:tc>
          <w:tcPr>
            <w:tcW w:w="3256" w:type="dxa"/>
            <w:tcBorders>
              <w:top w:val="single" w:sz="6" w:space="0" w:color="000000"/>
              <w:left w:val="single" w:sz="6" w:space="0" w:color="000000"/>
              <w:bottom w:val="single" w:sz="6" w:space="0" w:color="000000"/>
              <w:right w:val="single" w:sz="6" w:space="0" w:color="000000"/>
            </w:tcBorders>
          </w:tcPr>
          <w:p>
            <w:pPr>
              <w:pStyle w:val="TableParagraph"/>
              <w:spacing w:before="39"/>
              <w:ind w:left="355" w:right="324"/>
              <w:rPr>
                <w:rFonts w:ascii="宋体" w:eastAsia="宋体" w:hint="eastAsia"/>
                <w:sz w:val="21"/>
              </w:rPr>
            </w:pPr>
            <w:r>
              <w:rPr>
                <w:rFonts w:ascii="宋体" w:eastAsia="宋体" w:hint="eastAsia"/>
                <w:sz w:val="21"/>
              </w:rPr>
              <w:t>隔离种猪</w:t>
            </w:r>
          </w:p>
        </w:tc>
        <w:tc>
          <w:tcPr>
            <w:tcW w:w="945"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9"/>
              <w:rPr>
                <w:sz w:val="21"/>
              </w:rPr>
            </w:pPr>
            <w:r>
              <w:rPr>
                <w:sz w:val="21"/>
              </w:rPr>
              <w:t>0.0083</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3" w:right="136"/>
              <w:rPr>
                <w:sz w:val="21"/>
              </w:rPr>
            </w:pPr>
            <w:r>
              <w:rPr>
                <w:sz w:val="21"/>
              </w:rPr>
              <w:t>0.055</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50"/>
              <w:ind w:left="172" w:right="137"/>
              <w:rPr>
                <w:sz w:val="21"/>
              </w:rPr>
            </w:pPr>
            <w:r>
              <w:rPr>
                <w:sz w:val="21"/>
              </w:rPr>
              <w:t>0.0021</w:t>
            </w:r>
          </w:p>
        </w:tc>
        <w:tc>
          <w:tcPr>
            <w:tcW w:w="817" w:type="dxa"/>
            <w:tcBorders>
              <w:top w:val="single" w:sz="6" w:space="0" w:color="000000"/>
              <w:left w:val="single" w:sz="6" w:space="0" w:color="000000"/>
              <w:bottom w:val="single" w:sz="6" w:space="0" w:color="000000"/>
            </w:tcBorders>
          </w:tcPr>
          <w:p>
            <w:pPr>
              <w:pStyle w:val="TableParagraph"/>
              <w:spacing w:before="50"/>
              <w:ind w:left="165" w:right="116"/>
              <w:rPr>
                <w:sz w:val="21"/>
              </w:rPr>
            </w:pPr>
            <w:r>
              <w:rPr>
                <w:sz w:val="21"/>
              </w:rPr>
              <w:t>0.014</w:t>
            </w:r>
          </w:p>
        </w:tc>
      </w:tr>
      <w:tr>
        <w:trPr>
          <w:trHeight w:val="351" w:hRule="atLeast"/>
        </w:trPr>
        <w:tc>
          <w:tcPr>
            <w:tcW w:w="1010" w:type="dxa"/>
            <w:vMerge/>
            <w:tcBorders>
              <w:top w:val="nil"/>
              <w:right w:val="single" w:sz="6" w:space="0" w:color="000000"/>
            </w:tcBorders>
          </w:tcPr>
          <w:p>
            <w:pPr>
              <w:rPr>
                <w:sz w:val="2"/>
                <w:szCs w:val="2"/>
              </w:rPr>
            </w:pPr>
          </w:p>
        </w:tc>
        <w:tc>
          <w:tcPr>
            <w:tcW w:w="4763" w:type="dxa"/>
            <w:gridSpan w:val="2"/>
            <w:tcBorders>
              <w:top w:val="single" w:sz="6" w:space="0" w:color="000000"/>
              <w:left w:val="single" w:sz="6" w:space="0" w:color="000000"/>
              <w:right w:val="single" w:sz="6" w:space="0" w:color="000000"/>
            </w:tcBorders>
          </w:tcPr>
          <w:p>
            <w:pPr>
              <w:pStyle w:val="TableParagraph"/>
              <w:spacing w:before="39"/>
              <w:ind w:left="2161" w:right="2127"/>
              <w:rPr>
                <w:rFonts w:ascii="宋体" w:eastAsia="宋体" w:hint="eastAsia"/>
                <w:sz w:val="21"/>
              </w:rPr>
            </w:pPr>
            <w:r>
              <w:rPr>
                <w:rFonts w:ascii="宋体" w:eastAsia="宋体" w:hint="eastAsia"/>
                <w:sz w:val="21"/>
              </w:rPr>
              <w:t>合计</w:t>
            </w:r>
          </w:p>
        </w:tc>
        <w:tc>
          <w:tcPr>
            <w:tcW w:w="945" w:type="dxa"/>
            <w:tcBorders>
              <w:top w:val="single" w:sz="6" w:space="0" w:color="000000"/>
              <w:left w:val="single" w:sz="6" w:space="0" w:color="000000"/>
              <w:right w:val="single" w:sz="6" w:space="0" w:color="000000"/>
            </w:tcBorders>
          </w:tcPr>
          <w:p>
            <w:pPr>
              <w:pStyle w:val="TableParagraph"/>
              <w:spacing w:before="50"/>
              <w:ind w:left="173" w:right="139"/>
              <w:rPr>
                <w:sz w:val="21"/>
              </w:rPr>
            </w:pPr>
            <w:r>
              <w:rPr>
                <w:sz w:val="21"/>
              </w:rPr>
              <w:t>0.2078</w:t>
            </w:r>
          </w:p>
        </w:tc>
        <w:tc>
          <w:tcPr>
            <w:tcW w:w="944" w:type="dxa"/>
            <w:tcBorders>
              <w:top w:val="single" w:sz="6" w:space="0" w:color="000000"/>
              <w:left w:val="single" w:sz="6" w:space="0" w:color="000000"/>
              <w:right w:val="single" w:sz="6" w:space="0" w:color="000000"/>
            </w:tcBorders>
          </w:tcPr>
          <w:p>
            <w:pPr>
              <w:pStyle w:val="TableParagraph"/>
              <w:spacing w:before="50"/>
              <w:ind w:left="173" w:right="136"/>
              <w:rPr>
                <w:sz w:val="21"/>
              </w:rPr>
            </w:pPr>
            <w:r>
              <w:rPr>
                <w:sz w:val="21"/>
              </w:rPr>
              <w:t>1.377</w:t>
            </w:r>
          </w:p>
        </w:tc>
        <w:tc>
          <w:tcPr>
            <w:tcW w:w="944" w:type="dxa"/>
            <w:tcBorders>
              <w:top w:val="single" w:sz="6" w:space="0" w:color="000000"/>
              <w:left w:val="single" w:sz="6" w:space="0" w:color="000000"/>
              <w:right w:val="single" w:sz="6" w:space="0" w:color="000000"/>
            </w:tcBorders>
          </w:tcPr>
          <w:p>
            <w:pPr>
              <w:pStyle w:val="TableParagraph"/>
              <w:spacing w:before="50"/>
              <w:ind w:left="172" w:right="137"/>
              <w:rPr>
                <w:sz w:val="21"/>
              </w:rPr>
            </w:pPr>
            <w:r>
              <w:rPr>
                <w:sz w:val="21"/>
              </w:rPr>
              <w:t>0.0520</w:t>
            </w:r>
          </w:p>
        </w:tc>
        <w:tc>
          <w:tcPr>
            <w:tcW w:w="817" w:type="dxa"/>
            <w:tcBorders>
              <w:top w:val="single" w:sz="6" w:space="0" w:color="000000"/>
              <w:left w:val="single" w:sz="6" w:space="0" w:color="000000"/>
            </w:tcBorders>
          </w:tcPr>
          <w:p>
            <w:pPr>
              <w:pStyle w:val="TableParagraph"/>
              <w:spacing w:before="50"/>
              <w:ind w:left="165" w:right="116"/>
              <w:rPr>
                <w:sz w:val="21"/>
              </w:rPr>
            </w:pPr>
            <w:r>
              <w:rPr>
                <w:sz w:val="21"/>
              </w:rPr>
              <w:t>0.344</w:t>
            </w:r>
          </w:p>
        </w:tc>
      </w:tr>
    </w:tbl>
    <w:p>
      <w:pPr>
        <w:spacing w:before="82"/>
        <w:ind w:left="719" w:right="0" w:firstLine="0"/>
        <w:jc w:val="left"/>
        <w:rPr>
          <w:b/>
          <w:sz w:val="24"/>
        </w:rPr>
      </w:pPr>
      <w:r>
        <w:rPr>
          <w:rFonts w:ascii="Times New Roman" w:eastAsia="Times New Roman"/>
          <w:b/>
          <w:sz w:val="24"/>
        </w:rPr>
        <w:t>2</w:t>
      </w:r>
      <w:r>
        <w:rPr>
          <w:b/>
          <w:sz w:val="24"/>
        </w:rPr>
        <w:t>、粪污处理臭气（</w:t>
      </w:r>
      <w:r>
        <w:rPr>
          <w:rFonts w:ascii="Times New Roman" w:eastAsia="Times New Roman"/>
          <w:b/>
          <w:sz w:val="24"/>
        </w:rPr>
        <w:t>G2</w:t>
      </w:r>
      <w:r>
        <w:rPr>
          <w:b/>
          <w:sz w:val="24"/>
        </w:rPr>
        <w:t>）</w:t>
      </w:r>
    </w:p>
    <w:p>
      <w:pPr>
        <w:pStyle w:val="BodyText"/>
        <w:spacing w:line="364" w:lineRule="auto" w:before="160"/>
        <w:ind w:right="254" w:firstLine="480"/>
      </w:pPr>
      <w:r>
        <w:rPr/>
        <w:t>这部分废气主要包括污水预处理区臭气、污水生化物化处理区臭气，还包括一并收集的猪粪投料间臭气、病死猪处理间臭气及有机肥仓库等，具体如下。</w:t>
      </w:r>
    </w:p>
    <w:p>
      <w:pPr>
        <w:spacing w:after="0" w:line="364" w:lineRule="auto"/>
        <w:sectPr>
          <w:pgSz w:w="11910" w:h="16840"/>
          <w:pgMar w:header="874" w:footer="1004" w:top="1400" w:bottom="1200" w:left="1040" w:right="1160"/>
        </w:sectPr>
      </w:pPr>
    </w:p>
    <w:p>
      <w:pPr>
        <w:pStyle w:val="ListParagraph"/>
        <w:numPr>
          <w:ilvl w:val="0"/>
          <w:numId w:val="49"/>
        </w:numPr>
        <w:tabs>
          <w:tab w:pos="1319" w:val="left" w:leader="none"/>
        </w:tabs>
        <w:spacing w:line="364" w:lineRule="auto" w:before="105" w:after="0"/>
        <w:ind w:left="237" w:right="150" w:firstLine="480"/>
        <w:jc w:val="left"/>
        <w:rPr>
          <w:sz w:val="24"/>
        </w:rPr>
      </w:pPr>
      <w:r>
        <w:rPr>
          <w:spacing w:val="-6"/>
          <w:sz w:val="24"/>
        </w:rPr>
        <w:t>预处理区包括固液分离间、集水池、调节池、污泥池等</w:t>
      </w:r>
      <w:r>
        <w:rPr>
          <w:sz w:val="24"/>
        </w:rPr>
        <w:t>（占地面积约 </w:t>
      </w:r>
      <w:r>
        <w:rPr>
          <w:rFonts w:ascii="Times New Roman" w:hAnsi="Times New Roman" w:eastAsia="Times New Roman"/>
          <w:spacing w:val="-6"/>
          <w:sz w:val="24"/>
        </w:rPr>
        <w:t>532m</w:t>
      </w:r>
      <w:r>
        <w:rPr>
          <w:rFonts w:ascii="Times New Roman" w:hAnsi="Times New Roman" w:eastAsia="Times New Roman"/>
          <w:spacing w:val="-6"/>
          <w:position w:val="9"/>
          <w:sz w:val="16"/>
        </w:rPr>
        <w:t>2</w:t>
      </w:r>
      <w:r>
        <w:rPr>
          <w:spacing w:val="-6"/>
          <w:sz w:val="24"/>
        </w:rPr>
        <w:t>），</w:t>
      </w:r>
      <w:r>
        <w:rPr>
          <w:sz w:val="24"/>
        </w:rPr>
        <w:t>臭气产生强度较大，其臭气排污系数可通过单位时间内单位面积散发量表征， 取经验类</w:t>
      </w:r>
      <w:r>
        <w:rPr>
          <w:spacing w:val="-21"/>
          <w:position w:val="2"/>
          <w:sz w:val="24"/>
        </w:rPr>
        <w:t>比值 </w:t>
      </w:r>
      <w:r>
        <w:rPr>
          <w:rFonts w:ascii="Times New Roman" w:hAnsi="Times New Roman" w:eastAsia="Times New Roman"/>
          <w:position w:val="2"/>
          <w:sz w:val="24"/>
        </w:rPr>
        <w:t>0.520mg/s.m</w:t>
      </w:r>
      <w:r>
        <w:rPr>
          <w:rFonts w:ascii="Times New Roman" w:hAnsi="Times New Roman" w:eastAsia="Times New Roman"/>
          <w:position w:val="2"/>
          <w:sz w:val="24"/>
          <w:vertAlign w:val="superscript"/>
        </w:rPr>
        <w:t>2</w:t>
      </w:r>
      <w:r>
        <w:rPr>
          <w:position w:val="2"/>
          <w:sz w:val="24"/>
          <w:vertAlign w:val="baseline"/>
        </w:rPr>
        <w:t>（</w:t>
      </w:r>
      <w:r>
        <w:rPr>
          <w:rFonts w:ascii="Times New Roman" w:hAnsi="Times New Roman" w:eastAsia="Times New Roman"/>
          <w:position w:val="2"/>
          <w:sz w:val="24"/>
          <w:vertAlign w:val="baseline"/>
        </w:rPr>
        <w:t>NH</w:t>
      </w:r>
      <w:r>
        <w:rPr>
          <w:rFonts w:ascii="Times New Roman" w:hAnsi="Times New Roman" w:eastAsia="Times New Roman"/>
          <w:sz w:val="16"/>
          <w:vertAlign w:val="baseline"/>
        </w:rPr>
        <w:t>3</w:t>
      </w:r>
      <w:r>
        <w:rPr>
          <w:position w:val="2"/>
          <w:sz w:val="24"/>
          <w:vertAlign w:val="baseline"/>
        </w:rPr>
        <w:t>），</w:t>
      </w:r>
      <w:r>
        <w:rPr>
          <w:rFonts w:ascii="Times New Roman" w:hAnsi="Times New Roman" w:eastAsia="Times New Roman"/>
          <w:position w:val="2"/>
          <w:sz w:val="24"/>
          <w:vertAlign w:val="baseline"/>
        </w:rPr>
        <w:t>1.091×10</w:t>
      </w:r>
      <w:r>
        <w:rPr>
          <w:rFonts w:ascii="Times New Roman" w:hAnsi="Times New Roman" w:eastAsia="Times New Roman"/>
          <w:position w:val="2"/>
          <w:sz w:val="24"/>
          <w:vertAlign w:val="superscript"/>
        </w:rPr>
        <w:t>-3</w:t>
      </w:r>
      <w:r>
        <w:rPr>
          <w:rFonts w:ascii="Times New Roman" w:hAnsi="Times New Roman" w:eastAsia="Times New Roman"/>
          <w:position w:val="2"/>
          <w:sz w:val="24"/>
          <w:vertAlign w:val="baseline"/>
        </w:rPr>
        <w:t>mg/s.m</w:t>
      </w:r>
      <w:r>
        <w:rPr>
          <w:rFonts w:ascii="Times New Roman" w:hAnsi="Times New Roman" w:eastAsia="Times New Roman"/>
          <w:position w:val="2"/>
          <w:sz w:val="24"/>
          <w:vertAlign w:val="superscript"/>
        </w:rPr>
        <w:t>2</w:t>
      </w:r>
      <w:r>
        <w:rPr>
          <w:position w:val="2"/>
          <w:sz w:val="24"/>
          <w:vertAlign w:val="baseline"/>
        </w:rPr>
        <w:t>（</w:t>
      </w:r>
      <w:r>
        <w:rPr>
          <w:rFonts w:ascii="Times New Roman" w:hAnsi="Times New Roman" w:eastAsia="Times New Roman"/>
          <w:position w:val="2"/>
          <w:sz w:val="24"/>
          <w:vertAlign w:val="baseline"/>
        </w:rPr>
        <w:t>H</w:t>
      </w:r>
      <w:r>
        <w:rPr>
          <w:rFonts w:ascii="Times New Roman" w:hAnsi="Times New Roman" w:eastAsia="Times New Roman"/>
          <w:sz w:val="16"/>
          <w:vertAlign w:val="baseline"/>
        </w:rPr>
        <w:t>2</w:t>
      </w:r>
      <w:r>
        <w:rPr>
          <w:rFonts w:ascii="Times New Roman" w:hAnsi="Times New Roman" w:eastAsia="Times New Roman"/>
          <w:position w:val="2"/>
          <w:sz w:val="24"/>
          <w:vertAlign w:val="baseline"/>
        </w:rPr>
        <w:t>S</w:t>
      </w:r>
      <w:r>
        <w:rPr>
          <w:position w:val="2"/>
          <w:sz w:val="24"/>
          <w:vertAlign w:val="baseline"/>
        </w:rPr>
        <w:t>）。</w:t>
      </w:r>
    </w:p>
    <w:p>
      <w:pPr>
        <w:pStyle w:val="ListParagraph"/>
        <w:numPr>
          <w:ilvl w:val="0"/>
          <w:numId w:val="49"/>
        </w:numPr>
        <w:tabs>
          <w:tab w:pos="1319" w:val="left" w:leader="none"/>
        </w:tabs>
        <w:spacing w:line="364" w:lineRule="auto" w:before="0" w:after="0"/>
        <w:ind w:left="237" w:right="249" w:firstLine="480"/>
        <w:jc w:val="both"/>
        <w:rPr>
          <w:sz w:val="24"/>
        </w:rPr>
      </w:pPr>
      <w:r>
        <w:rPr>
          <w:sz w:val="24"/>
        </w:rPr>
        <w:t>为核定生化物化处理区（</w:t>
      </w:r>
      <w:r>
        <w:rPr>
          <w:spacing w:val="-7"/>
          <w:sz w:val="24"/>
        </w:rPr>
        <w:t>占地面积约 </w:t>
      </w:r>
      <w:r>
        <w:rPr>
          <w:rFonts w:ascii="Times New Roman" w:eastAsia="Times New Roman"/>
          <w:sz w:val="24"/>
        </w:rPr>
        <w:t>1239m</w:t>
      </w:r>
      <w:r>
        <w:rPr>
          <w:rFonts w:ascii="Times New Roman" w:eastAsia="Times New Roman"/>
          <w:position w:val="9"/>
          <w:sz w:val="16"/>
        </w:rPr>
        <w:t>2</w:t>
      </w:r>
      <w:r>
        <w:rPr>
          <w:sz w:val="24"/>
        </w:rPr>
        <w:t>）</w:t>
      </w:r>
      <w:r>
        <w:rPr>
          <w:spacing w:val="-5"/>
          <w:sz w:val="24"/>
        </w:rPr>
        <w:t>臭气，本环评根据美国 </w:t>
      </w:r>
      <w:r>
        <w:rPr>
          <w:rFonts w:ascii="Times New Roman" w:eastAsia="Times New Roman"/>
          <w:spacing w:val="-8"/>
          <w:sz w:val="24"/>
        </w:rPr>
        <w:t>EPA</w:t>
      </w:r>
      <w:r>
        <w:rPr>
          <w:rFonts w:ascii="Times New Roman" w:eastAsia="Times New Roman"/>
          <w:spacing w:val="20"/>
          <w:sz w:val="24"/>
        </w:rPr>
        <w:t> </w:t>
      </w:r>
      <w:r>
        <w:rPr>
          <w:spacing w:val="-12"/>
          <w:sz w:val="24"/>
        </w:rPr>
        <w:t>对</w:t>
      </w:r>
      <w:r>
        <w:rPr>
          <w:sz w:val="24"/>
        </w:rPr>
        <w:t>城市污水处理厂恶臭污染物产生情况的研究及项目污水处理工艺特点进行核算，每处理</w:t>
      </w:r>
      <w:r>
        <w:rPr>
          <w:rFonts w:ascii="Times New Roman" w:eastAsia="Times New Roman"/>
          <w:position w:val="2"/>
          <w:sz w:val="24"/>
        </w:rPr>
        <w:t>1gBOD</w:t>
      </w:r>
      <w:r>
        <w:rPr>
          <w:rFonts w:ascii="Times New Roman" w:eastAsia="Times New Roman"/>
          <w:sz w:val="16"/>
        </w:rPr>
        <w:t>5</w:t>
      </w:r>
      <w:r>
        <w:rPr>
          <w:rFonts w:ascii="Times New Roman" w:eastAsia="Times New Roman"/>
          <w:spacing w:val="-3"/>
          <w:sz w:val="16"/>
        </w:rPr>
        <w:t> </w:t>
      </w:r>
      <w:r>
        <w:rPr>
          <w:spacing w:val="-17"/>
          <w:position w:val="2"/>
          <w:sz w:val="24"/>
        </w:rPr>
        <w:t>可产生 </w:t>
      </w:r>
      <w:r>
        <w:rPr>
          <w:rFonts w:ascii="Times New Roman" w:eastAsia="Times New Roman"/>
          <w:position w:val="2"/>
          <w:sz w:val="24"/>
        </w:rPr>
        <w:t>0.0031gNH</w:t>
      </w:r>
      <w:r>
        <w:rPr>
          <w:rFonts w:ascii="Times New Roman" w:eastAsia="Times New Roman"/>
          <w:sz w:val="16"/>
        </w:rPr>
        <w:t>3</w:t>
      </w:r>
      <w:r>
        <w:rPr>
          <w:rFonts w:ascii="Times New Roman" w:eastAsia="Times New Roman"/>
          <w:spacing w:val="-3"/>
          <w:sz w:val="16"/>
        </w:rPr>
        <w:t> </w:t>
      </w:r>
      <w:r>
        <w:rPr>
          <w:spacing w:val="-34"/>
          <w:position w:val="2"/>
          <w:sz w:val="24"/>
        </w:rPr>
        <w:t>和 </w:t>
      </w:r>
      <w:r>
        <w:rPr>
          <w:rFonts w:ascii="Times New Roman" w:eastAsia="Times New Roman"/>
          <w:position w:val="2"/>
          <w:sz w:val="24"/>
        </w:rPr>
        <w:t>0.00012gH</w:t>
      </w:r>
      <w:r>
        <w:rPr>
          <w:rFonts w:ascii="Times New Roman" w:eastAsia="Times New Roman"/>
          <w:sz w:val="16"/>
        </w:rPr>
        <w:t>2</w:t>
      </w:r>
      <w:r>
        <w:rPr>
          <w:rFonts w:ascii="Times New Roman" w:eastAsia="Times New Roman"/>
          <w:position w:val="2"/>
          <w:sz w:val="24"/>
        </w:rPr>
        <w:t>S</w:t>
      </w:r>
      <w:r>
        <w:rPr>
          <w:spacing w:val="-10"/>
          <w:position w:val="2"/>
          <w:sz w:val="24"/>
        </w:rPr>
        <w:t>，本项目处理 </w:t>
      </w:r>
      <w:r>
        <w:rPr>
          <w:rFonts w:ascii="Times New Roman" w:eastAsia="Times New Roman"/>
          <w:position w:val="2"/>
          <w:sz w:val="24"/>
        </w:rPr>
        <w:t>BOD</w:t>
      </w:r>
      <w:r>
        <w:rPr>
          <w:rFonts w:ascii="Times New Roman" w:eastAsia="Times New Roman"/>
          <w:sz w:val="16"/>
        </w:rPr>
        <w:t>5</w:t>
      </w:r>
      <w:r>
        <w:rPr>
          <w:rFonts w:ascii="Times New Roman" w:eastAsia="Times New Roman"/>
          <w:spacing w:val="-3"/>
          <w:sz w:val="16"/>
        </w:rPr>
        <w:t> </w:t>
      </w:r>
      <w:r>
        <w:rPr>
          <w:spacing w:val="-24"/>
          <w:position w:val="2"/>
          <w:sz w:val="24"/>
        </w:rPr>
        <w:t>量约 </w:t>
      </w:r>
      <w:r>
        <w:rPr>
          <w:rFonts w:ascii="Times New Roman" w:eastAsia="Times New Roman"/>
          <w:position w:val="2"/>
          <w:sz w:val="24"/>
        </w:rPr>
        <w:t>200.01t/a</w:t>
      </w:r>
      <w:r>
        <w:rPr>
          <w:position w:val="2"/>
          <w:sz w:val="24"/>
        </w:rPr>
        <w:t>（厌氧罐出</w:t>
      </w:r>
      <w:r>
        <w:rPr>
          <w:spacing w:val="-31"/>
          <w:position w:val="2"/>
          <w:sz w:val="24"/>
        </w:rPr>
        <w:t>水 </w:t>
      </w:r>
      <w:r>
        <w:rPr>
          <w:rFonts w:ascii="Times New Roman" w:eastAsia="Times New Roman"/>
          <w:position w:val="2"/>
          <w:sz w:val="24"/>
        </w:rPr>
        <w:t>BOD</w:t>
      </w:r>
      <w:r>
        <w:rPr>
          <w:rFonts w:ascii="Times New Roman" w:eastAsia="Times New Roman"/>
          <w:sz w:val="16"/>
        </w:rPr>
        <w:t>5</w:t>
      </w:r>
      <w:r>
        <w:rPr>
          <w:rFonts w:ascii="Times New Roman" w:eastAsia="Times New Roman"/>
          <w:spacing w:val="2"/>
          <w:sz w:val="16"/>
        </w:rPr>
        <w:t> </w:t>
      </w:r>
      <w:r>
        <w:rPr>
          <w:spacing w:val="-8"/>
          <w:position w:val="2"/>
          <w:sz w:val="24"/>
        </w:rPr>
        <w:t>浓度保守考虑按 </w:t>
      </w:r>
      <w:r>
        <w:rPr>
          <w:rFonts w:ascii="Times New Roman" w:eastAsia="Times New Roman"/>
          <w:position w:val="2"/>
          <w:sz w:val="24"/>
        </w:rPr>
        <w:t>1800mg/L </w:t>
      </w:r>
      <w:r>
        <w:rPr>
          <w:position w:val="2"/>
          <w:sz w:val="24"/>
        </w:rPr>
        <w:t>计）。</w:t>
      </w:r>
    </w:p>
    <w:p>
      <w:pPr>
        <w:pStyle w:val="ListParagraph"/>
        <w:numPr>
          <w:ilvl w:val="0"/>
          <w:numId w:val="49"/>
        </w:numPr>
        <w:tabs>
          <w:tab w:pos="1319" w:val="left" w:leader="none"/>
        </w:tabs>
        <w:spacing w:line="364" w:lineRule="auto" w:before="0" w:after="0"/>
        <w:ind w:left="237" w:right="247" w:firstLine="480"/>
        <w:jc w:val="both"/>
        <w:rPr>
          <w:rFonts w:ascii="Times New Roman" w:hAnsi="Times New Roman" w:eastAsia="Times New Roman"/>
          <w:sz w:val="24"/>
        </w:rPr>
      </w:pPr>
      <w:r>
        <w:rPr>
          <w:sz w:val="24"/>
        </w:rPr>
        <w:t>猪粪投料间（</w:t>
      </w:r>
      <w:r>
        <w:rPr>
          <w:spacing w:val="-9"/>
          <w:sz w:val="24"/>
        </w:rPr>
        <w:t>占地面积约 </w:t>
      </w:r>
      <w:r>
        <w:rPr>
          <w:rFonts w:ascii="Times New Roman" w:hAnsi="Times New Roman" w:eastAsia="Times New Roman"/>
          <w:sz w:val="24"/>
        </w:rPr>
        <w:t>176m</w:t>
      </w:r>
      <w:r>
        <w:rPr>
          <w:rFonts w:ascii="Times New Roman" w:hAnsi="Times New Roman" w:eastAsia="Times New Roman"/>
          <w:position w:val="9"/>
          <w:sz w:val="16"/>
        </w:rPr>
        <w:t>2</w:t>
      </w:r>
      <w:r>
        <w:rPr>
          <w:sz w:val="24"/>
        </w:rPr>
        <w:t>）</w:t>
      </w:r>
      <w:r>
        <w:rPr>
          <w:spacing w:val="-2"/>
          <w:sz w:val="24"/>
        </w:rPr>
        <w:t>臭气参照天津市环境影响评价中心孙艳青等</w:t>
      </w:r>
      <w:r>
        <w:rPr>
          <w:spacing w:val="-2"/>
          <w:position w:val="2"/>
          <w:sz w:val="24"/>
        </w:rPr>
        <w:t>人发表的《养猪场恶臭影响量化分析及控制对策研究》，</w:t>
      </w:r>
      <w:r>
        <w:rPr>
          <w:rFonts w:ascii="Times New Roman" w:hAnsi="Times New Roman" w:eastAsia="Times New Roman"/>
          <w:spacing w:val="-2"/>
          <w:position w:val="2"/>
          <w:sz w:val="24"/>
        </w:rPr>
        <w:t>NH</w:t>
      </w:r>
      <w:r>
        <w:rPr>
          <w:rFonts w:ascii="Times New Roman" w:hAnsi="Times New Roman" w:eastAsia="Times New Roman"/>
          <w:spacing w:val="-2"/>
          <w:sz w:val="16"/>
        </w:rPr>
        <w:t>3</w:t>
      </w:r>
      <w:r>
        <w:rPr>
          <w:rFonts w:ascii="Times New Roman" w:hAnsi="Times New Roman" w:eastAsia="Times New Roman"/>
          <w:spacing w:val="22"/>
          <w:sz w:val="16"/>
        </w:rPr>
        <w:t> </w:t>
      </w:r>
      <w:r>
        <w:rPr>
          <w:spacing w:val="4"/>
          <w:position w:val="2"/>
          <w:sz w:val="24"/>
        </w:rPr>
        <w:t>的产生强度取 </w:t>
      </w:r>
      <w:r>
        <w:rPr>
          <w:rFonts w:ascii="Times New Roman" w:hAnsi="Times New Roman" w:eastAsia="Times New Roman"/>
          <w:position w:val="2"/>
          <w:sz w:val="24"/>
        </w:rPr>
        <w:t>4.35g/m</w:t>
      </w:r>
      <w:r>
        <w:rPr>
          <w:rFonts w:ascii="Times New Roman" w:hAnsi="Times New Roman" w:eastAsia="Times New Roman"/>
          <w:position w:val="2"/>
          <w:sz w:val="24"/>
          <w:vertAlign w:val="superscript"/>
        </w:rPr>
        <w:t>2</w:t>
      </w:r>
      <w:r>
        <w:rPr>
          <w:rFonts w:ascii="Times New Roman" w:hAnsi="Times New Roman" w:eastAsia="Times New Roman"/>
          <w:position w:val="2"/>
          <w:sz w:val="24"/>
          <w:vertAlign w:val="baseline"/>
        </w:rPr>
        <w:t>·d</w:t>
      </w:r>
    </w:p>
    <w:p>
      <w:pPr>
        <w:pStyle w:val="BodyText"/>
        <w:spacing w:line="309" w:lineRule="exact"/>
      </w:pPr>
      <w:r>
        <w:rPr>
          <w:position w:val="2"/>
        </w:rPr>
        <w:t>（</w:t>
      </w:r>
      <w:r>
        <w:rPr>
          <w:rFonts w:ascii="Times New Roman" w:hAnsi="Times New Roman" w:eastAsia="Times New Roman"/>
          <w:position w:val="2"/>
        </w:rPr>
        <w:t>H</w:t>
      </w:r>
      <w:r>
        <w:rPr>
          <w:rFonts w:ascii="Times New Roman" w:hAnsi="Times New Roman" w:eastAsia="Times New Roman"/>
          <w:sz w:val="16"/>
        </w:rPr>
        <w:t>2</w:t>
      </w:r>
      <w:r>
        <w:rPr>
          <w:rFonts w:ascii="Times New Roman" w:hAnsi="Times New Roman" w:eastAsia="Times New Roman"/>
          <w:position w:val="2"/>
        </w:rPr>
        <w:t>S </w:t>
      </w:r>
      <w:r>
        <w:rPr>
          <w:position w:val="2"/>
        </w:rPr>
        <w:t>产生强度取 </w:t>
      </w:r>
      <w:r>
        <w:rPr>
          <w:rFonts w:ascii="Times New Roman" w:hAnsi="Times New Roman" w:eastAsia="Times New Roman"/>
          <w:position w:val="2"/>
        </w:rPr>
        <w:t>NH</w:t>
      </w:r>
      <w:r>
        <w:rPr>
          <w:rFonts w:ascii="Times New Roman" w:hAnsi="Times New Roman" w:eastAsia="Times New Roman"/>
          <w:sz w:val="16"/>
        </w:rPr>
        <w:t>3 </w:t>
      </w:r>
      <w:r>
        <w:rPr>
          <w:position w:val="2"/>
        </w:rPr>
        <w:t>的 </w:t>
      </w:r>
      <w:r>
        <w:rPr>
          <w:rFonts w:ascii="Times New Roman" w:hAnsi="Times New Roman" w:eastAsia="Times New Roman"/>
          <w:position w:val="2"/>
        </w:rPr>
        <w:t>10%</w:t>
      </w:r>
      <w:r>
        <w:rPr>
          <w:position w:val="2"/>
        </w:rPr>
        <w:t>即 </w:t>
      </w:r>
      <w:r>
        <w:rPr>
          <w:rFonts w:ascii="Times New Roman" w:hAnsi="Times New Roman" w:eastAsia="Times New Roman"/>
          <w:position w:val="2"/>
        </w:rPr>
        <w:t>0.435g/m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·d</w:t>
      </w:r>
      <w:r>
        <w:rPr>
          <w:position w:val="2"/>
          <w:vertAlign w:val="baseline"/>
        </w:rPr>
        <w:t>）。</w:t>
      </w:r>
    </w:p>
    <w:p>
      <w:pPr>
        <w:pStyle w:val="ListParagraph"/>
        <w:numPr>
          <w:ilvl w:val="0"/>
          <w:numId w:val="49"/>
        </w:numPr>
        <w:tabs>
          <w:tab w:pos="1319" w:val="left" w:leader="none"/>
        </w:tabs>
        <w:spacing w:line="364" w:lineRule="auto" w:before="157" w:after="0"/>
        <w:ind w:left="237" w:right="131" w:firstLine="480"/>
        <w:jc w:val="left"/>
        <w:rPr>
          <w:sz w:val="24"/>
        </w:rPr>
      </w:pPr>
      <w:r>
        <w:rPr>
          <w:spacing w:val="-11"/>
          <w:sz w:val="24"/>
        </w:rPr>
        <w:t>病死猪处理过程会产生少量臭气，基本均以有组织的形式排放</w:t>
      </w:r>
      <w:r>
        <w:rPr>
          <w:sz w:val="24"/>
        </w:rPr>
        <w:t>（下文单独分析</w:t>
      </w:r>
      <w:r>
        <w:rPr>
          <w:spacing w:val="-57"/>
          <w:sz w:val="24"/>
        </w:rPr>
        <w:t>）</w:t>
      </w:r>
      <w:r>
        <w:rPr>
          <w:spacing w:val="-7"/>
          <w:sz w:val="24"/>
        </w:rPr>
        <w:t>，考虑到开门出料时会有少量臭气逸散</w:t>
      </w:r>
      <w:r>
        <w:rPr>
          <w:sz w:val="24"/>
        </w:rPr>
        <w:t>（因逸散量较小，不予定量分析），本环评要求对该处理间进行整体抽风，并将其引至粪污处理区对应的臭气处理装置处理。另外，有机肥仓库堆放的猪粪已经发酵处理，其散发的臭气强度已大幅减少，本环评亦不予定量计算，但也要求收集处理。</w:t>
      </w:r>
    </w:p>
    <w:p>
      <w:pPr>
        <w:pStyle w:val="BodyText"/>
        <w:spacing w:line="364" w:lineRule="auto" w:before="3"/>
        <w:ind w:right="134" w:firstLine="480"/>
      </w:pPr>
      <w:r>
        <w:rPr>
          <w:spacing w:val="-14"/>
        </w:rPr>
        <w:t>综上，本环评要求企业对污水处理区各构筑物池体加盖，对固液分离间</w:t>
      </w:r>
      <w:r>
        <w:rPr/>
        <w:t>（预处理区</w:t>
      </w:r>
      <w:r>
        <w:rPr>
          <w:spacing w:val="-67"/>
        </w:rPr>
        <w:t>）</w:t>
      </w:r>
      <w:r>
        <w:rPr>
          <w:spacing w:val="-16"/>
        </w:rPr>
        <w:t>、</w:t>
      </w:r>
      <w:r>
        <w:rPr/>
        <w:t>猪粪投料间、有机肥仓库（含病死猪无害化处理间</w:t>
      </w:r>
      <w:r>
        <w:rPr>
          <w:spacing w:val="3"/>
        </w:rPr>
        <w:t>）</w:t>
      </w:r>
      <w:r>
        <w:rPr/>
        <w:t>进行整体负压抽风，废气收集效率</w:t>
      </w:r>
      <w:r>
        <w:rPr>
          <w:spacing w:val="10"/>
        </w:rPr>
        <w:t>按 </w:t>
      </w:r>
      <w:r>
        <w:rPr>
          <w:rFonts w:ascii="Times New Roman" w:hAnsi="Times New Roman" w:eastAsia="Times New Roman"/>
        </w:rPr>
        <w:t>90% </w:t>
      </w:r>
      <w:r>
        <w:rPr>
          <w:spacing w:val="21"/>
        </w:rPr>
        <w:t>设计。上述废气合并至一套</w:t>
      </w:r>
      <w:r>
        <w:rPr>
          <w:rFonts w:ascii="Times New Roman" w:hAnsi="Times New Roman" w:eastAsia="Times New Roman"/>
          <w:spacing w:val="-20"/>
        </w:rPr>
        <w:t>“ </w:t>
      </w:r>
      <w:r>
        <w:rPr>
          <w:spacing w:val="21"/>
        </w:rPr>
        <w:t>二级喷淋</w:t>
      </w:r>
      <w:r>
        <w:rPr>
          <w:rFonts w:ascii="Times New Roman" w:hAnsi="Times New Roman" w:eastAsia="Times New Roman"/>
          <w:spacing w:val="-19"/>
        </w:rPr>
        <w:t>” </w:t>
      </w:r>
      <w:r>
        <w:rPr>
          <w:spacing w:val="21"/>
        </w:rPr>
        <w:t>除臭装置处理</w:t>
      </w:r>
      <w:r>
        <w:rPr/>
        <w:t>（</w:t>
      </w:r>
      <w:r>
        <w:rPr>
          <w:spacing w:val="5"/>
        </w:rPr>
        <w:t> 废气总风量设计为</w:t>
      </w:r>
      <w:r>
        <w:rPr>
          <w:rFonts w:ascii="Times New Roman" w:hAnsi="Times New Roman" w:eastAsia="Times New Roman"/>
          <w:spacing w:val="-4"/>
        </w:rPr>
        <w:t>50000m³/h</w:t>
      </w:r>
      <w:r>
        <w:rPr>
          <w:spacing w:val="-4"/>
        </w:rPr>
        <w:t>），</w:t>
      </w:r>
      <w:r>
        <w:rPr>
          <w:spacing w:val="-11"/>
        </w:rPr>
        <w:t>除臭效率按 </w:t>
      </w:r>
      <w:r>
        <w:rPr>
          <w:rFonts w:ascii="Times New Roman" w:hAnsi="Times New Roman" w:eastAsia="Times New Roman"/>
        </w:rPr>
        <w:t>80%</w:t>
      </w:r>
      <w:r>
        <w:rPr>
          <w:spacing w:val="-11"/>
        </w:rPr>
        <w:t>设计，尾气由对应的 </w:t>
      </w:r>
      <w:r>
        <w:rPr>
          <w:rFonts w:ascii="Times New Roman" w:hAnsi="Times New Roman" w:eastAsia="Times New Roman"/>
        </w:rPr>
        <w:t>15 </w:t>
      </w:r>
      <w:r>
        <w:rPr>
          <w:spacing w:val="-3"/>
        </w:rPr>
        <w:t>米高排气筒排放</w:t>
      </w:r>
      <w:r>
        <w:rPr>
          <w:spacing w:val="-4"/>
        </w:rPr>
        <w:t>（</w:t>
      </w:r>
      <w:r>
        <w:rPr>
          <w:rFonts w:ascii="Times New Roman" w:hAnsi="Times New Roman" w:eastAsia="Times New Roman"/>
          <w:spacing w:val="-4"/>
        </w:rPr>
        <w:t>DA001</w:t>
      </w:r>
      <w:r>
        <w:rPr>
          <w:spacing w:val="-4"/>
        </w:rPr>
        <w:t>）</w:t>
      </w:r>
      <w:r>
        <w:rPr>
          <w:spacing w:val="-7"/>
        </w:rPr>
        <w:t>。由此</w:t>
      </w:r>
      <w:r>
        <w:rPr>
          <w:spacing w:val="-10"/>
          <w:position w:val="2"/>
        </w:rPr>
        <w:t>可计算得粪污处理区臭气源强如表 </w:t>
      </w:r>
      <w:r>
        <w:rPr>
          <w:rFonts w:ascii="Times New Roman" w:hAnsi="Times New Roman" w:eastAsia="Times New Roman"/>
          <w:position w:val="2"/>
        </w:rPr>
        <w:t>3.3-7 </w:t>
      </w:r>
      <w:r>
        <w:rPr>
          <w:position w:val="2"/>
        </w:rPr>
        <w:t>所示，</w:t>
      </w:r>
      <w:r>
        <w:rPr>
          <w:rFonts w:ascii="Times New Roman" w:hAnsi="Times New Roman" w:eastAsia="Times New Roman"/>
          <w:position w:val="2"/>
        </w:rPr>
        <w:t>NH</w:t>
      </w:r>
      <w:r>
        <w:rPr>
          <w:rFonts w:ascii="Times New Roman" w:hAnsi="Times New Roman" w:eastAsia="Times New Roman"/>
          <w:sz w:val="16"/>
        </w:rPr>
        <w:t>3</w:t>
      </w:r>
      <w:r>
        <w:rPr>
          <w:position w:val="2"/>
        </w:rPr>
        <w:t>、</w:t>
      </w:r>
      <w:r>
        <w:rPr>
          <w:rFonts w:ascii="Times New Roman" w:hAnsi="Times New Roman" w:eastAsia="Times New Roman"/>
          <w:position w:val="2"/>
        </w:rPr>
        <w:t>H</w:t>
      </w:r>
      <w:r>
        <w:rPr>
          <w:rFonts w:ascii="Times New Roman" w:hAnsi="Times New Roman" w:eastAsia="Times New Roman"/>
          <w:sz w:val="16"/>
        </w:rPr>
        <w:t>2</w:t>
      </w:r>
      <w:r>
        <w:rPr>
          <w:rFonts w:ascii="Times New Roman" w:hAnsi="Times New Roman" w:eastAsia="Times New Roman"/>
          <w:position w:val="2"/>
        </w:rPr>
        <w:t>S </w:t>
      </w:r>
      <w:r>
        <w:rPr>
          <w:spacing w:val="-1"/>
          <w:position w:val="2"/>
        </w:rPr>
        <w:t>有组织排放速率均能符合《恶</w:t>
      </w:r>
      <w:r>
        <w:rPr>
          <w:spacing w:val="-1"/>
        </w:rPr>
        <w:t>臭污染物排放标准》（</w:t>
      </w:r>
      <w:r>
        <w:rPr>
          <w:rFonts w:ascii="Times New Roman" w:hAnsi="Times New Roman" w:eastAsia="Times New Roman"/>
          <w:spacing w:val="-1"/>
        </w:rPr>
        <w:t>GB </w:t>
      </w:r>
      <w:r>
        <w:rPr>
          <w:rFonts w:ascii="Times New Roman" w:hAnsi="Times New Roman" w:eastAsia="Times New Roman"/>
        </w:rPr>
        <w:t>14554-93</w:t>
      </w:r>
      <w:r>
        <w:rPr/>
        <w:t>）规定限值要求。</w:t>
      </w:r>
    </w:p>
    <w:p>
      <w:pPr>
        <w:pStyle w:val="Heading3"/>
        <w:spacing w:before="4"/>
        <w:ind w:left="3177"/>
      </w:pPr>
      <w:r>
        <w:rPr/>
        <w:t>表 </w:t>
      </w:r>
      <w:r>
        <w:rPr>
          <w:rFonts w:ascii="Times New Roman" w:eastAsia="Times New Roman"/>
        </w:rPr>
        <w:t>3.3-7  </w:t>
      </w:r>
      <w:r>
        <w:rPr/>
        <w:t>粪污处理臭气源强计算</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11"/>
        <w:gridCol w:w="862"/>
        <w:gridCol w:w="833"/>
        <w:gridCol w:w="723"/>
        <w:gridCol w:w="836"/>
        <w:gridCol w:w="720"/>
        <w:gridCol w:w="641"/>
        <w:gridCol w:w="834"/>
        <w:gridCol w:w="723"/>
        <w:gridCol w:w="834"/>
        <w:gridCol w:w="718"/>
      </w:tblGrid>
      <w:tr>
        <w:trPr>
          <w:trHeight w:val="359" w:hRule="atLeast"/>
        </w:trPr>
        <w:tc>
          <w:tcPr>
            <w:tcW w:w="1711" w:type="dxa"/>
            <w:vMerge w:val="restart"/>
            <w:tcBorders>
              <w:bottom w:val="single" w:sz="6" w:space="0" w:color="000000"/>
              <w:right w:val="single" w:sz="6" w:space="0" w:color="000000"/>
            </w:tcBorders>
          </w:tcPr>
          <w:p>
            <w:pPr>
              <w:pStyle w:val="TableParagraph"/>
              <w:spacing w:before="0"/>
              <w:jc w:val="left"/>
              <w:rPr>
                <w:rFonts w:ascii="宋体"/>
                <w:b/>
                <w:sz w:val="18"/>
              </w:rPr>
            </w:pPr>
          </w:p>
          <w:p>
            <w:pPr>
              <w:pStyle w:val="TableParagraph"/>
              <w:spacing w:before="1"/>
              <w:ind w:left="642"/>
              <w:jc w:val="left"/>
              <w:rPr>
                <w:rFonts w:ascii="宋体" w:eastAsia="宋体" w:hint="eastAsia"/>
                <w:b/>
                <w:sz w:val="21"/>
              </w:rPr>
            </w:pPr>
            <w:r>
              <w:rPr>
                <w:rFonts w:ascii="宋体" w:eastAsia="宋体" w:hint="eastAsia"/>
                <w:b/>
                <w:sz w:val="21"/>
              </w:rPr>
              <w:t>位置</w:t>
            </w:r>
            <w:r>
              <w:rPr>
                <w:rFonts w:ascii="宋体" w:eastAsia="宋体" w:hint="eastAsia"/>
                <w:b/>
                <w:w w:val="99"/>
                <w:sz w:val="21"/>
              </w:rPr>
              <w:t> </w:t>
            </w:r>
          </w:p>
        </w:tc>
        <w:tc>
          <w:tcPr>
            <w:tcW w:w="862" w:type="dxa"/>
            <w:vMerge w:val="restart"/>
            <w:tcBorders>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1"/>
              <w:ind w:left="117" w:right="-15"/>
              <w:jc w:val="left"/>
              <w:rPr>
                <w:rFonts w:ascii="宋体" w:eastAsia="宋体" w:hint="eastAsia"/>
                <w:b/>
                <w:sz w:val="21"/>
              </w:rPr>
            </w:pPr>
            <w:r>
              <w:rPr>
                <w:rFonts w:ascii="宋体" w:eastAsia="宋体" w:hint="eastAsia"/>
                <w:b/>
                <w:sz w:val="21"/>
              </w:rPr>
              <w:t>污染物</w:t>
            </w:r>
            <w:r>
              <w:rPr>
                <w:rFonts w:ascii="宋体" w:eastAsia="宋体" w:hint="eastAsia"/>
                <w:b/>
                <w:w w:val="99"/>
                <w:sz w:val="21"/>
              </w:rPr>
              <w:t> </w:t>
            </w:r>
          </w:p>
        </w:tc>
        <w:tc>
          <w:tcPr>
            <w:tcW w:w="1556" w:type="dxa"/>
            <w:gridSpan w:val="2"/>
            <w:tcBorders>
              <w:left w:val="single" w:sz="6" w:space="0" w:color="000000"/>
              <w:bottom w:val="single" w:sz="6" w:space="0" w:color="000000"/>
              <w:right w:val="single" w:sz="6" w:space="0" w:color="000000"/>
            </w:tcBorders>
          </w:tcPr>
          <w:p>
            <w:pPr>
              <w:pStyle w:val="TableParagraph"/>
              <w:spacing w:before="44"/>
              <w:ind w:left="360"/>
              <w:jc w:val="left"/>
              <w:rPr>
                <w:rFonts w:ascii="宋体" w:eastAsia="宋体" w:hint="eastAsia"/>
                <w:b/>
                <w:sz w:val="21"/>
              </w:rPr>
            </w:pPr>
            <w:r>
              <w:rPr>
                <w:rFonts w:ascii="宋体" w:eastAsia="宋体" w:hint="eastAsia"/>
                <w:b/>
                <w:sz w:val="21"/>
              </w:rPr>
              <w:t>产生情况</w:t>
            </w:r>
            <w:r>
              <w:rPr>
                <w:rFonts w:ascii="宋体" w:eastAsia="宋体" w:hint="eastAsia"/>
                <w:b/>
                <w:w w:val="99"/>
                <w:sz w:val="21"/>
              </w:rPr>
              <w:t> </w:t>
            </w:r>
          </w:p>
        </w:tc>
        <w:tc>
          <w:tcPr>
            <w:tcW w:w="2197" w:type="dxa"/>
            <w:gridSpan w:val="3"/>
            <w:tcBorders>
              <w:left w:val="single" w:sz="6" w:space="0" w:color="000000"/>
              <w:bottom w:val="single" w:sz="6" w:space="0" w:color="000000"/>
              <w:right w:val="single" w:sz="6" w:space="0" w:color="000000"/>
            </w:tcBorders>
          </w:tcPr>
          <w:p>
            <w:pPr>
              <w:pStyle w:val="TableParagraph"/>
              <w:spacing w:before="44"/>
              <w:ind w:left="578"/>
              <w:jc w:val="left"/>
              <w:rPr>
                <w:rFonts w:ascii="宋体" w:eastAsia="宋体" w:hint="eastAsia"/>
                <w:b/>
                <w:sz w:val="21"/>
              </w:rPr>
            </w:pPr>
            <w:r>
              <w:rPr>
                <w:rFonts w:ascii="宋体" w:eastAsia="宋体" w:hint="eastAsia"/>
                <w:b/>
                <w:sz w:val="21"/>
              </w:rPr>
              <w:t>有组织排放</w:t>
            </w:r>
            <w:r>
              <w:rPr>
                <w:rFonts w:ascii="宋体" w:eastAsia="宋体" w:hint="eastAsia"/>
                <w:b/>
                <w:w w:val="99"/>
                <w:sz w:val="21"/>
              </w:rPr>
              <w:t> </w:t>
            </w:r>
          </w:p>
        </w:tc>
        <w:tc>
          <w:tcPr>
            <w:tcW w:w="1557" w:type="dxa"/>
            <w:gridSpan w:val="2"/>
            <w:tcBorders>
              <w:left w:val="single" w:sz="6" w:space="0" w:color="000000"/>
              <w:bottom w:val="single" w:sz="6" w:space="0" w:color="000000"/>
              <w:right w:val="single" w:sz="6" w:space="0" w:color="000000"/>
            </w:tcBorders>
          </w:tcPr>
          <w:p>
            <w:pPr>
              <w:pStyle w:val="TableParagraph"/>
              <w:spacing w:before="44"/>
              <w:ind w:left="253"/>
              <w:jc w:val="left"/>
              <w:rPr>
                <w:rFonts w:ascii="宋体" w:eastAsia="宋体" w:hint="eastAsia"/>
                <w:b/>
                <w:sz w:val="21"/>
              </w:rPr>
            </w:pPr>
            <w:r>
              <w:rPr>
                <w:rFonts w:ascii="宋体" w:eastAsia="宋体" w:hint="eastAsia"/>
                <w:b/>
                <w:sz w:val="21"/>
              </w:rPr>
              <w:t>无组织排放</w:t>
            </w:r>
            <w:r>
              <w:rPr>
                <w:rFonts w:ascii="宋体" w:eastAsia="宋体" w:hint="eastAsia"/>
                <w:b/>
                <w:w w:val="99"/>
                <w:sz w:val="21"/>
              </w:rPr>
              <w:t> </w:t>
            </w:r>
          </w:p>
        </w:tc>
        <w:tc>
          <w:tcPr>
            <w:tcW w:w="1552" w:type="dxa"/>
            <w:gridSpan w:val="2"/>
            <w:tcBorders>
              <w:left w:val="single" w:sz="6" w:space="0" w:color="000000"/>
              <w:bottom w:val="single" w:sz="6" w:space="0" w:color="000000"/>
            </w:tcBorders>
          </w:tcPr>
          <w:p>
            <w:pPr>
              <w:pStyle w:val="TableParagraph"/>
              <w:spacing w:before="44"/>
              <w:ind w:left="357"/>
              <w:jc w:val="left"/>
              <w:rPr>
                <w:rFonts w:ascii="宋体" w:eastAsia="宋体" w:hint="eastAsia"/>
                <w:b/>
                <w:sz w:val="21"/>
              </w:rPr>
            </w:pPr>
            <w:r>
              <w:rPr>
                <w:rFonts w:ascii="宋体" w:eastAsia="宋体" w:hint="eastAsia"/>
                <w:b/>
                <w:sz w:val="21"/>
              </w:rPr>
              <w:t>排放合计</w:t>
            </w:r>
            <w:r>
              <w:rPr>
                <w:rFonts w:ascii="宋体" w:eastAsia="宋体" w:hint="eastAsia"/>
                <w:b/>
                <w:w w:val="99"/>
                <w:sz w:val="21"/>
              </w:rPr>
              <w:t> </w:t>
            </w:r>
          </w:p>
        </w:tc>
      </w:tr>
      <w:tr>
        <w:trPr>
          <w:trHeight w:val="359" w:hRule="atLeast"/>
        </w:trPr>
        <w:tc>
          <w:tcPr>
            <w:tcW w:w="1711" w:type="dxa"/>
            <w:vMerge/>
            <w:tcBorders>
              <w:top w:val="nil"/>
              <w:bottom w:val="single" w:sz="6" w:space="0" w:color="000000"/>
              <w:right w:val="single" w:sz="6" w:space="0" w:color="000000"/>
            </w:tcBorders>
          </w:tcPr>
          <w:p>
            <w:pPr>
              <w:rPr>
                <w:sz w:val="2"/>
                <w:szCs w:val="2"/>
              </w:rPr>
            </w:pPr>
          </w:p>
        </w:tc>
        <w:tc>
          <w:tcPr>
            <w:tcW w:w="862" w:type="dxa"/>
            <w:vMerge/>
            <w:tcBorders>
              <w:top w:val="nil"/>
              <w:left w:val="single" w:sz="6" w:space="0" w:color="000000"/>
              <w:bottom w:val="single" w:sz="6" w:space="0" w:color="000000"/>
              <w:right w:val="single" w:sz="6" w:space="0" w:color="000000"/>
            </w:tcBorders>
          </w:tcPr>
          <w:p>
            <w:pPr>
              <w:rPr>
                <w:sz w:val="2"/>
                <w:szCs w:val="2"/>
              </w:rPr>
            </w:pPr>
          </w:p>
        </w:tc>
        <w:tc>
          <w:tcPr>
            <w:tcW w:w="833" w:type="dxa"/>
            <w:tcBorders>
              <w:top w:val="single" w:sz="6" w:space="0" w:color="000000"/>
              <w:left w:val="single" w:sz="6" w:space="0" w:color="000000"/>
              <w:bottom w:val="single" w:sz="6" w:space="0" w:color="000000"/>
              <w:right w:val="single" w:sz="6" w:space="0" w:color="000000"/>
            </w:tcBorders>
          </w:tcPr>
          <w:p>
            <w:pPr>
              <w:pStyle w:val="TableParagraph"/>
              <w:ind w:left="113" w:right="87"/>
              <w:rPr>
                <w:b/>
                <w:sz w:val="21"/>
              </w:rPr>
            </w:pPr>
            <w:r>
              <w:rPr>
                <w:b/>
                <w:sz w:val="21"/>
              </w:rPr>
              <w:t>kg/h</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10" w:right="82"/>
              <w:rPr>
                <w:b/>
                <w:sz w:val="21"/>
              </w:rPr>
            </w:pPr>
            <w:r>
              <w:rPr>
                <w:b/>
                <w:sz w:val="21"/>
              </w:rPr>
              <w:t>t/a</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ind w:left="115" w:right="88"/>
              <w:rPr>
                <w:b/>
                <w:sz w:val="21"/>
              </w:rPr>
            </w:pPr>
            <w:r>
              <w:rPr>
                <w:b/>
                <w:sz w:val="21"/>
              </w:rPr>
              <w:t>kg/h</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6" w:right="82"/>
              <w:rPr>
                <w:b/>
                <w:sz w:val="21"/>
              </w:rPr>
            </w:pPr>
            <w:r>
              <w:rPr>
                <w:b/>
                <w:sz w:val="21"/>
              </w:rPr>
              <w:t>t/a</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ind w:left="118"/>
              <w:jc w:val="left"/>
              <w:rPr>
                <w:b/>
                <w:sz w:val="21"/>
              </w:rPr>
            </w:pPr>
            <w:r>
              <w:rPr>
                <w:b/>
                <w:sz w:val="21"/>
              </w:rPr>
              <w:t>m³/h</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2" w:right="88"/>
              <w:rPr>
                <w:b/>
                <w:sz w:val="21"/>
              </w:rPr>
            </w:pPr>
            <w:r>
              <w:rPr>
                <w:b/>
                <w:sz w:val="21"/>
              </w:rPr>
              <w:t>kg/h</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06" w:right="82"/>
              <w:rPr>
                <w:b/>
                <w:sz w:val="21"/>
              </w:rPr>
            </w:pPr>
            <w:r>
              <w:rPr>
                <w:b/>
                <w:sz w:val="21"/>
              </w:rPr>
              <w:t>t/a</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2" w:right="87"/>
              <w:rPr>
                <w:b/>
                <w:sz w:val="21"/>
              </w:rPr>
            </w:pPr>
            <w:r>
              <w:rPr>
                <w:b/>
                <w:sz w:val="21"/>
              </w:rPr>
              <w:t>kg/h</w:t>
            </w:r>
          </w:p>
        </w:tc>
        <w:tc>
          <w:tcPr>
            <w:tcW w:w="718" w:type="dxa"/>
            <w:tcBorders>
              <w:top w:val="single" w:sz="6" w:space="0" w:color="000000"/>
              <w:left w:val="single" w:sz="6" w:space="0" w:color="000000"/>
              <w:bottom w:val="single" w:sz="6" w:space="0" w:color="000000"/>
            </w:tcBorders>
          </w:tcPr>
          <w:p>
            <w:pPr>
              <w:pStyle w:val="TableParagraph"/>
              <w:ind w:left="104" w:right="75"/>
              <w:rPr>
                <w:b/>
                <w:sz w:val="21"/>
              </w:rPr>
            </w:pPr>
            <w:r>
              <w:rPr>
                <w:b/>
                <w:sz w:val="21"/>
              </w:rPr>
              <w:t>t/a</w:t>
            </w:r>
          </w:p>
        </w:tc>
      </w:tr>
      <w:tr>
        <w:trPr>
          <w:trHeight w:val="356" w:hRule="atLeast"/>
        </w:trPr>
        <w:tc>
          <w:tcPr>
            <w:tcW w:w="1711"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433"/>
              <w:jc w:val="left"/>
              <w:rPr>
                <w:rFonts w:ascii="宋体" w:eastAsia="宋体" w:hint="eastAsia"/>
                <w:sz w:val="21"/>
              </w:rPr>
            </w:pPr>
            <w:r>
              <w:rPr>
                <w:rFonts w:ascii="宋体" w:eastAsia="宋体" w:hint="eastAsia"/>
                <w:sz w:val="21"/>
              </w:rPr>
              <w:t>预处理区 </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57"/>
              <w:ind w:left="227" w:right="205"/>
              <w:rPr>
                <w:sz w:val="14"/>
              </w:rPr>
            </w:pPr>
            <w:r>
              <w:rPr>
                <w:position w:val="2"/>
                <w:sz w:val="21"/>
              </w:rPr>
              <w:t>NH</w:t>
            </w:r>
            <w:r>
              <w:rPr>
                <w:sz w:val="14"/>
              </w:rPr>
              <w:t>3</w:t>
            </w:r>
          </w:p>
        </w:tc>
        <w:tc>
          <w:tcPr>
            <w:tcW w:w="833" w:type="dxa"/>
            <w:tcBorders>
              <w:top w:val="single" w:sz="6" w:space="0" w:color="000000"/>
              <w:left w:val="single" w:sz="6" w:space="0" w:color="000000"/>
              <w:bottom w:val="single" w:sz="6" w:space="0" w:color="000000"/>
              <w:right w:val="single" w:sz="6" w:space="0" w:color="000000"/>
            </w:tcBorders>
          </w:tcPr>
          <w:p>
            <w:pPr>
              <w:pStyle w:val="TableParagraph"/>
              <w:ind w:left="113" w:right="87"/>
              <w:rPr>
                <w:sz w:val="21"/>
              </w:rPr>
            </w:pPr>
            <w:r>
              <w:rPr>
                <w:sz w:val="21"/>
              </w:rPr>
              <w:t>0.9959</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11" w:right="81"/>
              <w:rPr>
                <w:sz w:val="21"/>
              </w:rPr>
            </w:pPr>
            <w:r>
              <w:rPr>
                <w:sz w:val="21"/>
              </w:rPr>
              <w:t>8.724</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ind w:left="115" w:right="88"/>
              <w:rPr>
                <w:sz w:val="21"/>
              </w:rPr>
            </w:pPr>
            <w:r>
              <w:rPr>
                <w:sz w:val="21"/>
              </w:rPr>
              <w:t>0.1793</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1.570</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ind w:left="140"/>
              <w:jc w:val="left"/>
              <w:rPr>
                <w:sz w:val="21"/>
              </w:rPr>
            </w:pPr>
            <w:r>
              <w:rPr>
                <w:sz w:val="21"/>
              </w:rPr>
              <w:t>3.59</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1" w:right="88"/>
              <w:rPr>
                <w:sz w:val="21"/>
              </w:rPr>
            </w:pPr>
            <w:r>
              <w:rPr>
                <w:sz w:val="21"/>
              </w:rPr>
              <w:t>0.0996</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0.872</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2" w:right="87"/>
              <w:rPr>
                <w:sz w:val="21"/>
              </w:rPr>
            </w:pPr>
            <w:r>
              <w:rPr>
                <w:sz w:val="21"/>
              </w:rPr>
              <w:t>0.2789</w:t>
            </w:r>
          </w:p>
        </w:tc>
        <w:tc>
          <w:tcPr>
            <w:tcW w:w="718" w:type="dxa"/>
            <w:tcBorders>
              <w:top w:val="single" w:sz="6" w:space="0" w:color="000000"/>
              <w:left w:val="single" w:sz="6" w:space="0" w:color="000000"/>
              <w:bottom w:val="single" w:sz="6" w:space="0" w:color="000000"/>
            </w:tcBorders>
          </w:tcPr>
          <w:p>
            <w:pPr>
              <w:pStyle w:val="TableParagraph"/>
              <w:ind w:left="107" w:right="75"/>
              <w:rPr>
                <w:sz w:val="21"/>
              </w:rPr>
            </w:pPr>
            <w:r>
              <w:rPr>
                <w:sz w:val="21"/>
              </w:rPr>
              <w:t>2.443</w:t>
            </w:r>
          </w:p>
        </w:tc>
      </w:tr>
      <w:tr>
        <w:trPr>
          <w:trHeight w:val="359" w:hRule="atLeast"/>
        </w:trPr>
        <w:tc>
          <w:tcPr>
            <w:tcW w:w="1711" w:type="dxa"/>
            <w:vMerge/>
            <w:tcBorders>
              <w:top w:val="nil"/>
              <w:bottom w:val="single" w:sz="6" w:space="0" w:color="000000"/>
              <w:right w:val="single" w:sz="6" w:space="0" w:color="000000"/>
            </w:tcBorders>
          </w:tcPr>
          <w:p>
            <w:pPr>
              <w:rPr>
                <w:sz w:val="2"/>
                <w:szCs w:val="2"/>
              </w:rPr>
            </w:pP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59"/>
              <w:ind w:left="227" w:right="201"/>
              <w:rPr>
                <w:sz w:val="21"/>
              </w:rPr>
            </w:pPr>
            <w:r>
              <w:rPr>
                <w:position w:val="2"/>
                <w:sz w:val="21"/>
              </w:rPr>
              <w:t>H</w:t>
            </w:r>
            <w:r>
              <w:rPr>
                <w:sz w:val="14"/>
              </w:rPr>
              <w:t>2</w:t>
            </w:r>
            <w:r>
              <w:rPr>
                <w:position w:val="2"/>
                <w:sz w:val="21"/>
              </w:rPr>
              <w:t>S</w:t>
            </w:r>
          </w:p>
        </w:tc>
        <w:tc>
          <w:tcPr>
            <w:tcW w:w="833" w:type="dxa"/>
            <w:tcBorders>
              <w:top w:val="single" w:sz="6" w:space="0" w:color="000000"/>
              <w:left w:val="single" w:sz="6" w:space="0" w:color="000000"/>
              <w:bottom w:val="single" w:sz="6" w:space="0" w:color="000000"/>
              <w:right w:val="single" w:sz="6" w:space="0" w:color="000000"/>
            </w:tcBorders>
          </w:tcPr>
          <w:p>
            <w:pPr>
              <w:pStyle w:val="TableParagraph"/>
              <w:spacing w:before="60"/>
              <w:ind w:left="113" w:right="87"/>
              <w:rPr>
                <w:sz w:val="21"/>
              </w:rPr>
            </w:pPr>
            <w:r>
              <w:rPr>
                <w:sz w:val="21"/>
              </w:rPr>
              <w:t>0.0021</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spacing w:before="60"/>
              <w:ind w:left="111" w:right="81"/>
              <w:rPr>
                <w:sz w:val="21"/>
              </w:rPr>
            </w:pPr>
            <w:r>
              <w:rPr>
                <w:sz w:val="21"/>
              </w:rPr>
              <w:t>0.018</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60"/>
              <w:ind w:left="115" w:right="88"/>
              <w:rPr>
                <w:sz w:val="21"/>
              </w:rPr>
            </w:pPr>
            <w:r>
              <w:rPr>
                <w:sz w:val="21"/>
              </w:rPr>
              <w:t>0.0004</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109" w:right="82"/>
              <w:rPr>
                <w:sz w:val="21"/>
              </w:rPr>
            </w:pPr>
            <w:r>
              <w:rPr>
                <w:sz w:val="21"/>
              </w:rPr>
              <w:t>0.003</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60"/>
              <w:ind w:left="140"/>
              <w:jc w:val="left"/>
              <w:rPr>
                <w:sz w:val="21"/>
              </w:rPr>
            </w:pPr>
            <w:r>
              <w:rPr>
                <w:sz w:val="21"/>
              </w:rPr>
              <w:t>0.01</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spacing w:before="60"/>
              <w:ind w:left="111" w:right="88"/>
              <w:rPr>
                <w:sz w:val="21"/>
              </w:rPr>
            </w:pPr>
            <w:r>
              <w:rPr>
                <w:sz w:val="21"/>
              </w:rPr>
              <w:t>0.0002</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spacing w:before="60"/>
              <w:ind w:left="109" w:right="82"/>
              <w:rPr>
                <w:sz w:val="21"/>
              </w:rPr>
            </w:pPr>
            <w:r>
              <w:rPr>
                <w:sz w:val="21"/>
              </w:rPr>
              <w:t>0.002</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spacing w:before="60"/>
              <w:ind w:left="112" w:right="87"/>
              <w:rPr>
                <w:sz w:val="21"/>
              </w:rPr>
            </w:pPr>
            <w:r>
              <w:rPr>
                <w:sz w:val="21"/>
              </w:rPr>
              <w:t>0.0006</w:t>
            </w:r>
          </w:p>
        </w:tc>
        <w:tc>
          <w:tcPr>
            <w:tcW w:w="718" w:type="dxa"/>
            <w:tcBorders>
              <w:top w:val="single" w:sz="6" w:space="0" w:color="000000"/>
              <w:left w:val="single" w:sz="6" w:space="0" w:color="000000"/>
              <w:bottom w:val="single" w:sz="6" w:space="0" w:color="000000"/>
            </w:tcBorders>
          </w:tcPr>
          <w:p>
            <w:pPr>
              <w:pStyle w:val="TableParagraph"/>
              <w:spacing w:before="60"/>
              <w:ind w:left="107" w:right="75"/>
              <w:rPr>
                <w:sz w:val="21"/>
              </w:rPr>
            </w:pPr>
            <w:r>
              <w:rPr>
                <w:sz w:val="21"/>
              </w:rPr>
              <w:t>0.005</w:t>
            </w:r>
          </w:p>
        </w:tc>
      </w:tr>
      <w:tr>
        <w:trPr>
          <w:trHeight w:val="359" w:hRule="atLeast"/>
        </w:trPr>
        <w:tc>
          <w:tcPr>
            <w:tcW w:w="1711"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16" w:right="-15"/>
              <w:jc w:val="left"/>
              <w:rPr>
                <w:rFonts w:ascii="宋体" w:eastAsia="宋体" w:hint="eastAsia"/>
                <w:sz w:val="21"/>
              </w:rPr>
            </w:pPr>
            <w:r>
              <w:rPr>
                <w:rFonts w:ascii="宋体" w:eastAsia="宋体" w:hint="eastAsia"/>
                <w:spacing w:val="-3"/>
                <w:sz w:val="21"/>
              </w:rPr>
              <w:t>生化物化处理区</w:t>
            </w:r>
            <w:r>
              <w:rPr>
                <w:rFonts w:ascii="宋体" w:eastAsia="宋体" w:hint="eastAsia"/>
                <w:sz w:val="21"/>
              </w:rPr>
              <w:t> </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57"/>
              <w:ind w:left="227" w:right="205"/>
              <w:rPr>
                <w:sz w:val="14"/>
              </w:rPr>
            </w:pPr>
            <w:r>
              <w:rPr>
                <w:position w:val="2"/>
                <w:sz w:val="21"/>
              </w:rPr>
              <w:t>NH</w:t>
            </w:r>
            <w:r>
              <w:rPr>
                <w:sz w:val="14"/>
              </w:rPr>
              <w:t>3</w:t>
            </w:r>
          </w:p>
        </w:tc>
        <w:tc>
          <w:tcPr>
            <w:tcW w:w="833" w:type="dxa"/>
            <w:tcBorders>
              <w:top w:val="single" w:sz="6" w:space="0" w:color="000000"/>
              <w:left w:val="single" w:sz="6" w:space="0" w:color="000000"/>
              <w:bottom w:val="single" w:sz="6" w:space="0" w:color="000000"/>
              <w:right w:val="single" w:sz="6" w:space="0" w:color="000000"/>
            </w:tcBorders>
          </w:tcPr>
          <w:p>
            <w:pPr>
              <w:pStyle w:val="TableParagraph"/>
              <w:ind w:left="113" w:right="87"/>
              <w:rPr>
                <w:sz w:val="21"/>
              </w:rPr>
            </w:pPr>
            <w:r>
              <w:rPr>
                <w:sz w:val="21"/>
              </w:rPr>
              <w:t>0.0708</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11" w:right="81"/>
              <w:rPr>
                <w:sz w:val="21"/>
              </w:rPr>
            </w:pPr>
            <w:r>
              <w:rPr>
                <w:sz w:val="21"/>
              </w:rPr>
              <w:t>0.620</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ind w:left="115" w:right="88"/>
              <w:rPr>
                <w:sz w:val="21"/>
              </w:rPr>
            </w:pPr>
            <w:r>
              <w:rPr>
                <w:sz w:val="21"/>
              </w:rPr>
              <w:t>0.0127</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0.112</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ind w:left="140"/>
              <w:jc w:val="left"/>
              <w:rPr>
                <w:sz w:val="21"/>
              </w:rPr>
            </w:pPr>
            <w:r>
              <w:rPr>
                <w:sz w:val="21"/>
              </w:rPr>
              <w:t>0.25</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1" w:right="88"/>
              <w:rPr>
                <w:sz w:val="21"/>
              </w:rPr>
            </w:pPr>
            <w:r>
              <w:rPr>
                <w:sz w:val="21"/>
              </w:rPr>
              <w:t>0.0071</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0.062</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2" w:right="87"/>
              <w:rPr>
                <w:sz w:val="21"/>
              </w:rPr>
            </w:pPr>
            <w:r>
              <w:rPr>
                <w:sz w:val="21"/>
              </w:rPr>
              <w:t>0.0198</w:t>
            </w:r>
          </w:p>
        </w:tc>
        <w:tc>
          <w:tcPr>
            <w:tcW w:w="718" w:type="dxa"/>
            <w:tcBorders>
              <w:top w:val="single" w:sz="6" w:space="0" w:color="000000"/>
              <w:left w:val="single" w:sz="6" w:space="0" w:color="000000"/>
              <w:bottom w:val="single" w:sz="6" w:space="0" w:color="000000"/>
            </w:tcBorders>
          </w:tcPr>
          <w:p>
            <w:pPr>
              <w:pStyle w:val="TableParagraph"/>
              <w:ind w:left="107" w:right="75"/>
              <w:rPr>
                <w:sz w:val="21"/>
              </w:rPr>
            </w:pPr>
            <w:r>
              <w:rPr>
                <w:sz w:val="21"/>
              </w:rPr>
              <w:t>0.174</w:t>
            </w:r>
          </w:p>
        </w:tc>
      </w:tr>
      <w:tr>
        <w:trPr>
          <w:trHeight w:val="359" w:hRule="atLeast"/>
        </w:trPr>
        <w:tc>
          <w:tcPr>
            <w:tcW w:w="1711" w:type="dxa"/>
            <w:vMerge/>
            <w:tcBorders>
              <w:top w:val="nil"/>
              <w:bottom w:val="single" w:sz="6" w:space="0" w:color="000000"/>
              <w:right w:val="single" w:sz="6" w:space="0" w:color="000000"/>
            </w:tcBorders>
          </w:tcPr>
          <w:p>
            <w:pPr>
              <w:rPr>
                <w:sz w:val="2"/>
                <w:szCs w:val="2"/>
              </w:rPr>
            </w:pP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57"/>
              <w:ind w:left="227" w:right="201"/>
              <w:rPr>
                <w:sz w:val="21"/>
              </w:rPr>
            </w:pPr>
            <w:r>
              <w:rPr>
                <w:position w:val="2"/>
                <w:sz w:val="21"/>
              </w:rPr>
              <w:t>H</w:t>
            </w:r>
            <w:r>
              <w:rPr>
                <w:sz w:val="14"/>
              </w:rPr>
              <w:t>2</w:t>
            </w:r>
            <w:r>
              <w:rPr>
                <w:position w:val="2"/>
                <w:sz w:val="21"/>
              </w:rPr>
              <w:t>S</w:t>
            </w:r>
          </w:p>
        </w:tc>
        <w:tc>
          <w:tcPr>
            <w:tcW w:w="833" w:type="dxa"/>
            <w:tcBorders>
              <w:top w:val="single" w:sz="6" w:space="0" w:color="000000"/>
              <w:left w:val="single" w:sz="6" w:space="0" w:color="000000"/>
              <w:bottom w:val="single" w:sz="6" w:space="0" w:color="000000"/>
              <w:right w:val="single" w:sz="6" w:space="0" w:color="000000"/>
            </w:tcBorders>
          </w:tcPr>
          <w:p>
            <w:pPr>
              <w:pStyle w:val="TableParagraph"/>
              <w:ind w:left="113" w:right="87"/>
              <w:rPr>
                <w:sz w:val="21"/>
              </w:rPr>
            </w:pPr>
            <w:r>
              <w:rPr>
                <w:sz w:val="21"/>
              </w:rPr>
              <w:t>0.0027</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11" w:right="81"/>
              <w:rPr>
                <w:sz w:val="21"/>
              </w:rPr>
            </w:pPr>
            <w:r>
              <w:rPr>
                <w:sz w:val="21"/>
              </w:rPr>
              <w:t>0.024</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ind w:left="115" w:right="88"/>
              <w:rPr>
                <w:sz w:val="21"/>
              </w:rPr>
            </w:pPr>
            <w:r>
              <w:rPr>
                <w:sz w:val="21"/>
              </w:rPr>
              <w:t>0.0005</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0.004</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ind w:left="140"/>
              <w:jc w:val="left"/>
              <w:rPr>
                <w:sz w:val="21"/>
              </w:rPr>
            </w:pPr>
            <w:r>
              <w:rPr>
                <w:sz w:val="21"/>
              </w:rPr>
              <w:t>0.01</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1" w:right="88"/>
              <w:rPr>
                <w:sz w:val="21"/>
              </w:rPr>
            </w:pPr>
            <w:r>
              <w:rPr>
                <w:sz w:val="21"/>
              </w:rPr>
              <w:t>0.0003</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0.002</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2" w:right="87"/>
              <w:rPr>
                <w:sz w:val="21"/>
              </w:rPr>
            </w:pPr>
            <w:r>
              <w:rPr>
                <w:sz w:val="21"/>
              </w:rPr>
              <w:t>0.0008</w:t>
            </w:r>
          </w:p>
        </w:tc>
        <w:tc>
          <w:tcPr>
            <w:tcW w:w="718" w:type="dxa"/>
            <w:tcBorders>
              <w:top w:val="single" w:sz="6" w:space="0" w:color="000000"/>
              <w:left w:val="single" w:sz="6" w:space="0" w:color="000000"/>
              <w:bottom w:val="single" w:sz="6" w:space="0" w:color="000000"/>
            </w:tcBorders>
          </w:tcPr>
          <w:p>
            <w:pPr>
              <w:pStyle w:val="TableParagraph"/>
              <w:ind w:left="107" w:right="75"/>
              <w:rPr>
                <w:sz w:val="21"/>
              </w:rPr>
            </w:pPr>
            <w:r>
              <w:rPr>
                <w:sz w:val="21"/>
              </w:rPr>
              <w:t>0.007</w:t>
            </w:r>
          </w:p>
        </w:tc>
      </w:tr>
      <w:tr>
        <w:trPr>
          <w:trHeight w:val="357" w:hRule="atLeast"/>
        </w:trPr>
        <w:tc>
          <w:tcPr>
            <w:tcW w:w="1711"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328"/>
              <w:jc w:val="left"/>
              <w:rPr>
                <w:rFonts w:ascii="宋体" w:eastAsia="宋体" w:hint="eastAsia"/>
                <w:sz w:val="21"/>
              </w:rPr>
            </w:pPr>
            <w:r>
              <w:rPr>
                <w:rFonts w:ascii="宋体" w:eastAsia="宋体" w:hint="eastAsia"/>
                <w:sz w:val="21"/>
              </w:rPr>
              <w:t>猪粪投料间 </w:t>
            </w: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57"/>
              <w:ind w:left="227" w:right="205"/>
              <w:rPr>
                <w:sz w:val="14"/>
              </w:rPr>
            </w:pPr>
            <w:r>
              <w:rPr>
                <w:position w:val="2"/>
                <w:sz w:val="21"/>
              </w:rPr>
              <w:t>NH</w:t>
            </w:r>
            <w:r>
              <w:rPr>
                <w:sz w:val="14"/>
              </w:rPr>
              <w:t>3</w:t>
            </w:r>
          </w:p>
        </w:tc>
        <w:tc>
          <w:tcPr>
            <w:tcW w:w="833" w:type="dxa"/>
            <w:tcBorders>
              <w:top w:val="single" w:sz="6" w:space="0" w:color="000000"/>
              <w:left w:val="single" w:sz="6" w:space="0" w:color="000000"/>
              <w:bottom w:val="single" w:sz="6" w:space="0" w:color="000000"/>
              <w:right w:val="single" w:sz="6" w:space="0" w:color="000000"/>
            </w:tcBorders>
          </w:tcPr>
          <w:p>
            <w:pPr>
              <w:pStyle w:val="TableParagraph"/>
              <w:ind w:left="113" w:right="87"/>
              <w:rPr>
                <w:sz w:val="21"/>
              </w:rPr>
            </w:pPr>
            <w:r>
              <w:rPr>
                <w:sz w:val="21"/>
              </w:rPr>
              <w:t>0.0319</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11" w:right="81"/>
              <w:rPr>
                <w:sz w:val="21"/>
              </w:rPr>
            </w:pPr>
            <w:r>
              <w:rPr>
                <w:sz w:val="21"/>
              </w:rPr>
              <w:t>0.279</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ind w:left="115" w:right="88"/>
              <w:rPr>
                <w:sz w:val="21"/>
              </w:rPr>
            </w:pPr>
            <w:r>
              <w:rPr>
                <w:sz w:val="21"/>
              </w:rPr>
              <w:t>0.0057</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0.050</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ind w:left="145"/>
              <w:jc w:val="left"/>
              <w:rPr>
                <w:sz w:val="21"/>
              </w:rPr>
            </w:pPr>
            <w:r>
              <w:rPr>
                <w:sz w:val="21"/>
              </w:rPr>
              <w:t>0.11</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1" w:right="88"/>
              <w:rPr>
                <w:sz w:val="21"/>
              </w:rPr>
            </w:pPr>
            <w:r>
              <w:rPr>
                <w:sz w:val="21"/>
              </w:rPr>
              <w:t>0.0032</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ind w:left="109" w:right="82"/>
              <w:rPr>
                <w:sz w:val="21"/>
              </w:rPr>
            </w:pPr>
            <w:r>
              <w:rPr>
                <w:sz w:val="21"/>
              </w:rPr>
              <w:t>0.028</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ind w:left="112" w:right="87"/>
              <w:rPr>
                <w:sz w:val="21"/>
              </w:rPr>
            </w:pPr>
            <w:r>
              <w:rPr>
                <w:sz w:val="21"/>
              </w:rPr>
              <w:t>0.0089</w:t>
            </w:r>
          </w:p>
        </w:tc>
        <w:tc>
          <w:tcPr>
            <w:tcW w:w="718" w:type="dxa"/>
            <w:tcBorders>
              <w:top w:val="single" w:sz="6" w:space="0" w:color="000000"/>
              <w:left w:val="single" w:sz="6" w:space="0" w:color="000000"/>
              <w:bottom w:val="single" w:sz="6" w:space="0" w:color="000000"/>
            </w:tcBorders>
          </w:tcPr>
          <w:p>
            <w:pPr>
              <w:pStyle w:val="TableParagraph"/>
              <w:ind w:left="107" w:right="75"/>
              <w:rPr>
                <w:sz w:val="21"/>
              </w:rPr>
            </w:pPr>
            <w:r>
              <w:rPr>
                <w:sz w:val="21"/>
              </w:rPr>
              <w:t>0.078</w:t>
            </w:r>
          </w:p>
        </w:tc>
      </w:tr>
      <w:tr>
        <w:trPr>
          <w:trHeight w:val="359" w:hRule="atLeast"/>
        </w:trPr>
        <w:tc>
          <w:tcPr>
            <w:tcW w:w="1711" w:type="dxa"/>
            <w:vMerge/>
            <w:tcBorders>
              <w:top w:val="nil"/>
              <w:bottom w:val="single" w:sz="6" w:space="0" w:color="000000"/>
              <w:right w:val="single" w:sz="6" w:space="0" w:color="000000"/>
            </w:tcBorders>
          </w:tcPr>
          <w:p>
            <w:pPr>
              <w:rPr>
                <w:sz w:val="2"/>
                <w:szCs w:val="2"/>
              </w:rPr>
            </w:pPr>
          </w:p>
        </w:tc>
        <w:tc>
          <w:tcPr>
            <w:tcW w:w="862" w:type="dxa"/>
            <w:tcBorders>
              <w:top w:val="single" w:sz="6" w:space="0" w:color="000000"/>
              <w:left w:val="single" w:sz="6" w:space="0" w:color="000000"/>
              <w:bottom w:val="single" w:sz="6" w:space="0" w:color="000000"/>
              <w:right w:val="single" w:sz="6" w:space="0" w:color="000000"/>
            </w:tcBorders>
          </w:tcPr>
          <w:p>
            <w:pPr>
              <w:pStyle w:val="TableParagraph"/>
              <w:spacing w:before="59"/>
              <w:ind w:left="227" w:right="201"/>
              <w:rPr>
                <w:sz w:val="21"/>
              </w:rPr>
            </w:pPr>
            <w:r>
              <w:rPr>
                <w:position w:val="2"/>
                <w:sz w:val="21"/>
              </w:rPr>
              <w:t>H</w:t>
            </w:r>
            <w:r>
              <w:rPr>
                <w:sz w:val="14"/>
              </w:rPr>
              <w:t>2</w:t>
            </w:r>
            <w:r>
              <w:rPr>
                <w:position w:val="2"/>
                <w:sz w:val="21"/>
              </w:rPr>
              <w:t>S</w:t>
            </w:r>
          </w:p>
        </w:tc>
        <w:tc>
          <w:tcPr>
            <w:tcW w:w="833" w:type="dxa"/>
            <w:tcBorders>
              <w:top w:val="single" w:sz="6" w:space="0" w:color="000000"/>
              <w:left w:val="single" w:sz="6" w:space="0" w:color="000000"/>
              <w:bottom w:val="single" w:sz="6" w:space="0" w:color="000000"/>
              <w:right w:val="single" w:sz="6" w:space="0" w:color="000000"/>
            </w:tcBorders>
          </w:tcPr>
          <w:p>
            <w:pPr>
              <w:pStyle w:val="TableParagraph"/>
              <w:spacing w:before="60"/>
              <w:ind w:left="113" w:right="87"/>
              <w:rPr>
                <w:sz w:val="21"/>
              </w:rPr>
            </w:pPr>
            <w:r>
              <w:rPr>
                <w:sz w:val="21"/>
              </w:rPr>
              <w:t>0.0032</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spacing w:before="60"/>
              <w:ind w:left="111" w:right="81"/>
              <w:rPr>
                <w:sz w:val="21"/>
              </w:rPr>
            </w:pPr>
            <w:r>
              <w:rPr>
                <w:sz w:val="21"/>
              </w:rPr>
              <w:t>0.028</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60"/>
              <w:ind w:left="115" w:right="88"/>
              <w:rPr>
                <w:sz w:val="21"/>
              </w:rPr>
            </w:pPr>
            <w:r>
              <w:rPr>
                <w:sz w:val="21"/>
              </w:rPr>
              <w:t>0.0006</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109" w:right="82"/>
              <w:rPr>
                <w:sz w:val="21"/>
              </w:rPr>
            </w:pPr>
            <w:r>
              <w:rPr>
                <w:sz w:val="21"/>
              </w:rPr>
              <w:t>0.005</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60"/>
              <w:ind w:left="140"/>
              <w:jc w:val="left"/>
              <w:rPr>
                <w:sz w:val="21"/>
              </w:rPr>
            </w:pPr>
            <w:r>
              <w:rPr>
                <w:sz w:val="21"/>
              </w:rPr>
              <w:t>0.01</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spacing w:before="60"/>
              <w:ind w:left="111" w:right="88"/>
              <w:rPr>
                <w:sz w:val="21"/>
              </w:rPr>
            </w:pPr>
            <w:r>
              <w:rPr>
                <w:sz w:val="21"/>
              </w:rPr>
              <w:t>0.0003</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spacing w:before="60"/>
              <w:ind w:left="109" w:right="82"/>
              <w:rPr>
                <w:sz w:val="21"/>
              </w:rPr>
            </w:pPr>
            <w:r>
              <w:rPr>
                <w:sz w:val="21"/>
              </w:rPr>
              <w:t>0.003</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spacing w:before="60"/>
              <w:ind w:left="112" w:right="87"/>
              <w:rPr>
                <w:sz w:val="21"/>
              </w:rPr>
            </w:pPr>
            <w:r>
              <w:rPr>
                <w:sz w:val="21"/>
              </w:rPr>
              <w:t>0.0009</w:t>
            </w:r>
          </w:p>
        </w:tc>
        <w:tc>
          <w:tcPr>
            <w:tcW w:w="718" w:type="dxa"/>
            <w:tcBorders>
              <w:top w:val="single" w:sz="6" w:space="0" w:color="000000"/>
              <w:left w:val="single" w:sz="6" w:space="0" w:color="000000"/>
              <w:bottom w:val="single" w:sz="6" w:space="0" w:color="000000"/>
            </w:tcBorders>
          </w:tcPr>
          <w:p>
            <w:pPr>
              <w:pStyle w:val="TableParagraph"/>
              <w:spacing w:before="60"/>
              <w:ind w:left="107" w:right="75"/>
              <w:rPr>
                <w:sz w:val="21"/>
              </w:rPr>
            </w:pPr>
            <w:r>
              <w:rPr>
                <w:sz w:val="21"/>
              </w:rPr>
              <w:t>0.008</w:t>
            </w:r>
          </w:p>
        </w:tc>
      </w:tr>
      <w:tr>
        <w:trPr>
          <w:trHeight w:val="356" w:hRule="atLeast"/>
        </w:trPr>
        <w:tc>
          <w:tcPr>
            <w:tcW w:w="1711" w:type="dxa"/>
            <w:tcBorders>
              <w:top w:val="single" w:sz="6" w:space="0" w:color="000000"/>
              <w:right w:val="single" w:sz="6" w:space="0" w:color="000000"/>
            </w:tcBorders>
          </w:tcPr>
          <w:p>
            <w:pPr>
              <w:pStyle w:val="TableParagraph"/>
              <w:spacing w:before="44"/>
              <w:ind w:left="642"/>
              <w:jc w:val="left"/>
              <w:rPr>
                <w:rFonts w:ascii="宋体" w:eastAsia="宋体" w:hint="eastAsia"/>
                <w:sz w:val="21"/>
              </w:rPr>
            </w:pPr>
            <w:r>
              <w:rPr>
                <w:rFonts w:ascii="宋体" w:eastAsia="宋体" w:hint="eastAsia"/>
                <w:sz w:val="21"/>
              </w:rPr>
              <w:t>合计 </w:t>
            </w:r>
          </w:p>
        </w:tc>
        <w:tc>
          <w:tcPr>
            <w:tcW w:w="862" w:type="dxa"/>
            <w:tcBorders>
              <w:top w:val="single" w:sz="6" w:space="0" w:color="000000"/>
              <w:left w:val="single" w:sz="6" w:space="0" w:color="000000"/>
              <w:right w:val="single" w:sz="6" w:space="0" w:color="000000"/>
            </w:tcBorders>
          </w:tcPr>
          <w:p>
            <w:pPr>
              <w:pStyle w:val="TableParagraph"/>
              <w:spacing w:before="57"/>
              <w:ind w:left="227" w:right="205"/>
              <w:rPr>
                <w:sz w:val="14"/>
              </w:rPr>
            </w:pPr>
            <w:r>
              <w:rPr>
                <w:position w:val="2"/>
                <w:sz w:val="21"/>
              </w:rPr>
              <w:t>NH</w:t>
            </w:r>
            <w:r>
              <w:rPr>
                <w:sz w:val="14"/>
              </w:rPr>
              <w:t>3</w:t>
            </w:r>
          </w:p>
        </w:tc>
        <w:tc>
          <w:tcPr>
            <w:tcW w:w="833" w:type="dxa"/>
            <w:tcBorders>
              <w:top w:val="single" w:sz="6" w:space="0" w:color="000000"/>
              <w:left w:val="single" w:sz="6" w:space="0" w:color="000000"/>
              <w:right w:val="single" w:sz="6" w:space="0" w:color="000000"/>
            </w:tcBorders>
          </w:tcPr>
          <w:p>
            <w:pPr>
              <w:pStyle w:val="TableParagraph"/>
              <w:ind w:left="113" w:right="87"/>
              <w:rPr>
                <w:sz w:val="21"/>
              </w:rPr>
            </w:pPr>
            <w:r>
              <w:rPr>
                <w:sz w:val="21"/>
              </w:rPr>
              <w:t>1.0986</w:t>
            </w:r>
          </w:p>
        </w:tc>
        <w:tc>
          <w:tcPr>
            <w:tcW w:w="723" w:type="dxa"/>
            <w:tcBorders>
              <w:top w:val="single" w:sz="6" w:space="0" w:color="000000"/>
              <w:left w:val="single" w:sz="6" w:space="0" w:color="000000"/>
              <w:right w:val="single" w:sz="6" w:space="0" w:color="000000"/>
            </w:tcBorders>
          </w:tcPr>
          <w:p>
            <w:pPr>
              <w:pStyle w:val="TableParagraph"/>
              <w:ind w:left="111" w:right="81"/>
              <w:rPr>
                <w:sz w:val="21"/>
              </w:rPr>
            </w:pPr>
            <w:r>
              <w:rPr>
                <w:sz w:val="21"/>
              </w:rPr>
              <w:t>9.624</w:t>
            </w:r>
          </w:p>
        </w:tc>
        <w:tc>
          <w:tcPr>
            <w:tcW w:w="836" w:type="dxa"/>
            <w:tcBorders>
              <w:top w:val="single" w:sz="6" w:space="0" w:color="000000"/>
              <w:left w:val="single" w:sz="6" w:space="0" w:color="000000"/>
              <w:right w:val="single" w:sz="6" w:space="0" w:color="000000"/>
            </w:tcBorders>
          </w:tcPr>
          <w:p>
            <w:pPr>
              <w:pStyle w:val="TableParagraph"/>
              <w:ind w:left="115" w:right="88"/>
              <w:rPr>
                <w:sz w:val="21"/>
              </w:rPr>
            </w:pPr>
            <w:r>
              <w:rPr>
                <w:sz w:val="21"/>
              </w:rPr>
              <w:t>0.1977</w:t>
            </w:r>
          </w:p>
        </w:tc>
        <w:tc>
          <w:tcPr>
            <w:tcW w:w="720" w:type="dxa"/>
            <w:tcBorders>
              <w:top w:val="single" w:sz="6" w:space="0" w:color="000000"/>
              <w:left w:val="single" w:sz="6" w:space="0" w:color="000000"/>
              <w:right w:val="single" w:sz="6" w:space="0" w:color="000000"/>
            </w:tcBorders>
          </w:tcPr>
          <w:p>
            <w:pPr>
              <w:pStyle w:val="TableParagraph"/>
              <w:ind w:left="109" w:right="82"/>
              <w:rPr>
                <w:sz w:val="21"/>
              </w:rPr>
            </w:pPr>
            <w:r>
              <w:rPr>
                <w:sz w:val="21"/>
              </w:rPr>
              <w:t>1.732</w:t>
            </w:r>
          </w:p>
        </w:tc>
        <w:tc>
          <w:tcPr>
            <w:tcW w:w="641" w:type="dxa"/>
            <w:tcBorders>
              <w:top w:val="single" w:sz="6" w:space="0" w:color="000000"/>
              <w:left w:val="single" w:sz="6" w:space="0" w:color="000000"/>
              <w:right w:val="single" w:sz="6" w:space="0" w:color="000000"/>
            </w:tcBorders>
          </w:tcPr>
          <w:p>
            <w:pPr>
              <w:pStyle w:val="TableParagraph"/>
              <w:ind w:left="140"/>
              <w:jc w:val="left"/>
              <w:rPr>
                <w:sz w:val="21"/>
              </w:rPr>
            </w:pPr>
            <w:r>
              <w:rPr>
                <w:sz w:val="21"/>
              </w:rPr>
              <w:t>3.95</w:t>
            </w:r>
          </w:p>
        </w:tc>
        <w:tc>
          <w:tcPr>
            <w:tcW w:w="834" w:type="dxa"/>
            <w:tcBorders>
              <w:top w:val="single" w:sz="6" w:space="0" w:color="000000"/>
              <w:left w:val="single" w:sz="6" w:space="0" w:color="000000"/>
              <w:right w:val="single" w:sz="6" w:space="0" w:color="000000"/>
            </w:tcBorders>
          </w:tcPr>
          <w:p>
            <w:pPr>
              <w:pStyle w:val="TableParagraph"/>
              <w:ind w:left="111" w:right="88"/>
              <w:rPr>
                <w:sz w:val="21"/>
              </w:rPr>
            </w:pPr>
            <w:r>
              <w:rPr>
                <w:sz w:val="21"/>
              </w:rPr>
              <w:t>0.1099</w:t>
            </w:r>
          </w:p>
        </w:tc>
        <w:tc>
          <w:tcPr>
            <w:tcW w:w="723" w:type="dxa"/>
            <w:tcBorders>
              <w:top w:val="single" w:sz="6" w:space="0" w:color="000000"/>
              <w:left w:val="single" w:sz="6" w:space="0" w:color="000000"/>
              <w:right w:val="single" w:sz="6" w:space="0" w:color="000000"/>
            </w:tcBorders>
          </w:tcPr>
          <w:p>
            <w:pPr>
              <w:pStyle w:val="TableParagraph"/>
              <w:ind w:left="109" w:right="82"/>
              <w:rPr>
                <w:sz w:val="21"/>
              </w:rPr>
            </w:pPr>
            <w:r>
              <w:rPr>
                <w:sz w:val="21"/>
              </w:rPr>
              <w:t>0.962</w:t>
            </w:r>
          </w:p>
        </w:tc>
        <w:tc>
          <w:tcPr>
            <w:tcW w:w="834" w:type="dxa"/>
            <w:tcBorders>
              <w:top w:val="single" w:sz="6" w:space="0" w:color="000000"/>
              <w:left w:val="single" w:sz="6" w:space="0" w:color="000000"/>
              <w:right w:val="single" w:sz="6" w:space="0" w:color="000000"/>
            </w:tcBorders>
          </w:tcPr>
          <w:p>
            <w:pPr>
              <w:pStyle w:val="TableParagraph"/>
              <w:ind w:left="112" w:right="87"/>
              <w:rPr>
                <w:sz w:val="21"/>
              </w:rPr>
            </w:pPr>
            <w:r>
              <w:rPr>
                <w:sz w:val="21"/>
              </w:rPr>
              <w:t>0.3076</w:t>
            </w:r>
          </w:p>
        </w:tc>
        <w:tc>
          <w:tcPr>
            <w:tcW w:w="718" w:type="dxa"/>
            <w:tcBorders>
              <w:top w:val="single" w:sz="6" w:space="0" w:color="000000"/>
              <w:left w:val="single" w:sz="6" w:space="0" w:color="000000"/>
            </w:tcBorders>
          </w:tcPr>
          <w:p>
            <w:pPr>
              <w:pStyle w:val="TableParagraph"/>
              <w:ind w:left="107" w:right="75"/>
              <w:rPr>
                <w:sz w:val="21"/>
              </w:rPr>
            </w:pPr>
            <w:r>
              <w:rPr>
                <w:sz w:val="21"/>
              </w:rPr>
              <w:t>2.695</w:t>
            </w:r>
          </w:p>
        </w:tc>
      </w:tr>
    </w:tbl>
    <w:p>
      <w:pPr>
        <w:spacing w:after="0"/>
        <w:rPr>
          <w:sz w:val="21"/>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11"/>
        <w:gridCol w:w="862"/>
        <w:gridCol w:w="833"/>
        <w:gridCol w:w="723"/>
        <w:gridCol w:w="836"/>
        <w:gridCol w:w="720"/>
        <w:gridCol w:w="641"/>
        <w:gridCol w:w="834"/>
        <w:gridCol w:w="723"/>
        <w:gridCol w:w="834"/>
        <w:gridCol w:w="718"/>
      </w:tblGrid>
      <w:tr>
        <w:trPr>
          <w:trHeight w:val="352" w:hRule="atLeast"/>
        </w:trPr>
        <w:tc>
          <w:tcPr>
            <w:tcW w:w="1711" w:type="dxa"/>
            <w:vMerge w:val="restart"/>
            <w:tcBorders>
              <w:right w:val="single" w:sz="6" w:space="0" w:color="000000"/>
            </w:tcBorders>
          </w:tcPr>
          <w:p>
            <w:pPr>
              <w:pStyle w:val="TableParagraph"/>
              <w:spacing w:before="0"/>
              <w:jc w:val="left"/>
              <w:rPr>
                <w:rFonts w:ascii="宋体"/>
                <w:b/>
                <w:sz w:val="18"/>
              </w:rPr>
            </w:pPr>
          </w:p>
          <w:p>
            <w:pPr>
              <w:pStyle w:val="TableParagraph"/>
              <w:spacing w:before="0"/>
              <w:ind w:left="642"/>
              <w:jc w:val="left"/>
              <w:rPr>
                <w:rFonts w:ascii="宋体" w:eastAsia="宋体" w:hint="eastAsia"/>
                <w:b/>
                <w:sz w:val="21"/>
              </w:rPr>
            </w:pPr>
            <w:r>
              <w:rPr>
                <w:rFonts w:ascii="宋体" w:eastAsia="宋体" w:hint="eastAsia"/>
                <w:b/>
                <w:sz w:val="21"/>
              </w:rPr>
              <w:t>位置</w:t>
            </w:r>
            <w:r>
              <w:rPr>
                <w:rFonts w:ascii="宋体" w:eastAsia="宋体" w:hint="eastAsia"/>
                <w:b/>
                <w:w w:val="99"/>
                <w:sz w:val="21"/>
              </w:rPr>
              <w:t> </w:t>
            </w:r>
          </w:p>
        </w:tc>
        <w:tc>
          <w:tcPr>
            <w:tcW w:w="862" w:type="dxa"/>
            <w:vMerge w:val="restart"/>
            <w:tcBorders>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17" w:right="-15"/>
              <w:jc w:val="left"/>
              <w:rPr>
                <w:rFonts w:ascii="宋体" w:eastAsia="宋体" w:hint="eastAsia"/>
                <w:b/>
                <w:sz w:val="21"/>
              </w:rPr>
            </w:pPr>
            <w:r>
              <w:rPr>
                <w:rFonts w:ascii="宋体" w:eastAsia="宋体" w:hint="eastAsia"/>
                <w:b/>
                <w:sz w:val="21"/>
              </w:rPr>
              <w:t>污染物</w:t>
            </w:r>
            <w:r>
              <w:rPr>
                <w:rFonts w:ascii="宋体" w:eastAsia="宋体" w:hint="eastAsia"/>
                <w:b/>
                <w:w w:val="99"/>
                <w:sz w:val="21"/>
              </w:rPr>
              <w:t> </w:t>
            </w:r>
          </w:p>
        </w:tc>
        <w:tc>
          <w:tcPr>
            <w:tcW w:w="1556" w:type="dxa"/>
            <w:gridSpan w:val="2"/>
            <w:tcBorders>
              <w:left w:val="single" w:sz="6" w:space="0" w:color="000000"/>
              <w:bottom w:val="single" w:sz="6" w:space="0" w:color="000000"/>
              <w:right w:val="single" w:sz="6" w:space="0" w:color="000000"/>
            </w:tcBorders>
          </w:tcPr>
          <w:p>
            <w:pPr>
              <w:pStyle w:val="TableParagraph"/>
              <w:spacing w:before="46"/>
              <w:ind w:left="360"/>
              <w:jc w:val="left"/>
              <w:rPr>
                <w:rFonts w:ascii="宋体" w:eastAsia="宋体" w:hint="eastAsia"/>
                <w:b/>
                <w:sz w:val="21"/>
              </w:rPr>
            </w:pPr>
            <w:r>
              <w:rPr>
                <w:rFonts w:ascii="宋体" w:eastAsia="宋体" w:hint="eastAsia"/>
                <w:b/>
                <w:sz w:val="21"/>
              </w:rPr>
              <w:t>产生情况</w:t>
            </w:r>
            <w:r>
              <w:rPr>
                <w:rFonts w:ascii="宋体" w:eastAsia="宋体" w:hint="eastAsia"/>
                <w:b/>
                <w:w w:val="99"/>
                <w:sz w:val="21"/>
              </w:rPr>
              <w:t> </w:t>
            </w:r>
          </w:p>
        </w:tc>
        <w:tc>
          <w:tcPr>
            <w:tcW w:w="2197" w:type="dxa"/>
            <w:gridSpan w:val="3"/>
            <w:tcBorders>
              <w:left w:val="single" w:sz="6" w:space="0" w:color="000000"/>
              <w:bottom w:val="single" w:sz="6" w:space="0" w:color="000000"/>
              <w:right w:val="single" w:sz="6" w:space="0" w:color="000000"/>
            </w:tcBorders>
          </w:tcPr>
          <w:p>
            <w:pPr>
              <w:pStyle w:val="TableParagraph"/>
              <w:spacing w:before="46"/>
              <w:ind w:left="578"/>
              <w:jc w:val="left"/>
              <w:rPr>
                <w:rFonts w:ascii="宋体" w:eastAsia="宋体" w:hint="eastAsia"/>
                <w:b/>
                <w:sz w:val="21"/>
              </w:rPr>
            </w:pPr>
            <w:r>
              <w:rPr>
                <w:rFonts w:ascii="宋体" w:eastAsia="宋体" w:hint="eastAsia"/>
                <w:b/>
                <w:sz w:val="21"/>
              </w:rPr>
              <w:t>有组织排放</w:t>
            </w:r>
            <w:r>
              <w:rPr>
                <w:rFonts w:ascii="宋体" w:eastAsia="宋体" w:hint="eastAsia"/>
                <w:b/>
                <w:w w:val="99"/>
                <w:sz w:val="21"/>
              </w:rPr>
              <w:t> </w:t>
            </w:r>
          </w:p>
        </w:tc>
        <w:tc>
          <w:tcPr>
            <w:tcW w:w="1557" w:type="dxa"/>
            <w:gridSpan w:val="2"/>
            <w:tcBorders>
              <w:left w:val="single" w:sz="6" w:space="0" w:color="000000"/>
              <w:bottom w:val="single" w:sz="6" w:space="0" w:color="000000"/>
              <w:right w:val="single" w:sz="6" w:space="0" w:color="000000"/>
            </w:tcBorders>
          </w:tcPr>
          <w:p>
            <w:pPr>
              <w:pStyle w:val="TableParagraph"/>
              <w:spacing w:before="46"/>
              <w:ind w:left="253"/>
              <w:jc w:val="left"/>
              <w:rPr>
                <w:rFonts w:ascii="宋体" w:eastAsia="宋体" w:hint="eastAsia"/>
                <w:b/>
                <w:sz w:val="21"/>
              </w:rPr>
            </w:pPr>
            <w:r>
              <w:rPr>
                <w:rFonts w:ascii="宋体" w:eastAsia="宋体" w:hint="eastAsia"/>
                <w:b/>
                <w:sz w:val="21"/>
              </w:rPr>
              <w:t>无组织排放</w:t>
            </w:r>
            <w:r>
              <w:rPr>
                <w:rFonts w:ascii="宋体" w:eastAsia="宋体" w:hint="eastAsia"/>
                <w:b/>
                <w:w w:val="99"/>
                <w:sz w:val="21"/>
              </w:rPr>
              <w:t> </w:t>
            </w:r>
          </w:p>
        </w:tc>
        <w:tc>
          <w:tcPr>
            <w:tcW w:w="1552" w:type="dxa"/>
            <w:gridSpan w:val="2"/>
            <w:tcBorders>
              <w:left w:val="single" w:sz="6" w:space="0" w:color="000000"/>
              <w:bottom w:val="single" w:sz="6" w:space="0" w:color="000000"/>
            </w:tcBorders>
          </w:tcPr>
          <w:p>
            <w:pPr>
              <w:pStyle w:val="TableParagraph"/>
              <w:spacing w:before="46"/>
              <w:ind w:left="357"/>
              <w:jc w:val="left"/>
              <w:rPr>
                <w:rFonts w:ascii="宋体" w:eastAsia="宋体" w:hint="eastAsia"/>
                <w:b/>
                <w:sz w:val="21"/>
              </w:rPr>
            </w:pPr>
            <w:r>
              <w:rPr>
                <w:rFonts w:ascii="宋体" w:eastAsia="宋体" w:hint="eastAsia"/>
                <w:b/>
                <w:sz w:val="21"/>
              </w:rPr>
              <w:t>排放合计</w:t>
            </w:r>
            <w:r>
              <w:rPr>
                <w:rFonts w:ascii="宋体" w:eastAsia="宋体" w:hint="eastAsia"/>
                <w:b/>
                <w:w w:val="99"/>
                <w:sz w:val="21"/>
              </w:rPr>
              <w:t> </w:t>
            </w:r>
          </w:p>
        </w:tc>
      </w:tr>
      <w:tr>
        <w:trPr>
          <w:trHeight w:val="344" w:hRule="atLeast"/>
        </w:trPr>
        <w:tc>
          <w:tcPr>
            <w:tcW w:w="1711" w:type="dxa"/>
            <w:vMerge/>
            <w:tcBorders>
              <w:top w:val="nil"/>
              <w:right w:val="single" w:sz="6" w:space="0" w:color="000000"/>
            </w:tcBorders>
          </w:tcPr>
          <w:p>
            <w:pPr>
              <w:rPr>
                <w:sz w:val="2"/>
                <w:szCs w:val="2"/>
              </w:rPr>
            </w:pPr>
          </w:p>
        </w:tc>
        <w:tc>
          <w:tcPr>
            <w:tcW w:w="862" w:type="dxa"/>
            <w:vMerge/>
            <w:tcBorders>
              <w:top w:val="nil"/>
              <w:left w:val="single" w:sz="6" w:space="0" w:color="000000"/>
              <w:bottom w:val="single" w:sz="6" w:space="0" w:color="000000"/>
              <w:right w:val="single" w:sz="6" w:space="0" w:color="000000"/>
            </w:tcBorders>
          </w:tcPr>
          <w:p>
            <w:pPr>
              <w:rPr>
                <w:sz w:val="2"/>
                <w:szCs w:val="2"/>
              </w:rPr>
            </w:pPr>
          </w:p>
        </w:tc>
        <w:tc>
          <w:tcPr>
            <w:tcW w:w="833" w:type="dxa"/>
            <w:tcBorders>
              <w:top w:val="single" w:sz="6" w:space="0" w:color="000000"/>
              <w:left w:val="single" w:sz="6" w:space="0" w:color="000000"/>
              <w:bottom w:val="single" w:sz="6" w:space="0" w:color="000000"/>
              <w:right w:val="single" w:sz="6" w:space="0" w:color="000000"/>
            </w:tcBorders>
          </w:tcPr>
          <w:p>
            <w:pPr>
              <w:pStyle w:val="TableParagraph"/>
              <w:spacing w:before="50"/>
              <w:ind w:left="113" w:right="87"/>
              <w:rPr>
                <w:b/>
                <w:sz w:val="21"/>
              </w:rPr>
            </w:pPr>
            <w:r>
              <w:rPr>
                <w:b/>
                <w:sz w:val="21"/>
              </w:rPr>
              <w:t>kg/h</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spacing w:before="50"/>
              <w:ind w:left="110" w:right="82"/>
              <w:rPr>
                <w:b/>
                <w:sz w:val="21"/>
              </w:rPr>
            </w:pPr>
            <w:r>
              <w:rPr>
                <w:b/>
                <w:sz w:val="21"/>
              </w:rPr>
              <w:t>t/a</w:t>
            </w:r>
          </w:p>
        </w:tc>
        <w:tc>
          <w:tcPr>
            <w:tcW w:w="836" w:type="dxa"/>
            <w:tcBorders>
              <w:top w:val="single" w:sz="6" w:space="0" w:color="000000"/>
              <w:left w:val="single" w:sz="6" w:space="0" w:color="000000"/>
              <w:bottom w:val="single" w:sz="6" w:space="0" w:color="000000"/>
              <w:right w:val="single" w:sz="6" w:space="0" w:color="000000"/>
            </w:tcBorders>
          </w:tcPr>
          <w:p>
            <w:pPr>
              <w:pStyle w:val="TableParagraph"/>
              <w:spacing w:before="50"/>
              <w:ind w:left="115" w:right="88"/>
              <w:rPr>
                <w:b/>
                <w:sz w:val="21"/>
              </w:rPr>
            </w:pPr>
            <w:r>
              <w:rPr>
                <w:b/>
                <w:sz w:val="21"/>
              </w:rPr>
              <w:t>kg/h</w:t>
            </w: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50"/>
              <w:ind w:left="106" w:right="82"/>
              <w:rPr>
                <w:b/>
                <w:sz w:val="21"/>
              </w:rPr>
            </w:pPr>
            <w:r>
              <w:rPr>
                <w:b/>
                <w:sz w:val="21"/>
              </w:rPr>
              <w:t>t/a</w:t>
            </w:r>
          </w:p>
        </w:tc>
        <w:tc>
          <w:tcPr>
            <w:tcW w:w="641" w:type="dxa"/>
            <w:tcBorders>
              <w:top w:val="single" w:sz="6" w:space="0" w:color="000000"/>
              <w:left w:val="single" w:sz="6" w:space="0" w:color="000000"/>
              <w:bottom w:val="single" w:sz="6" w:space="0" w:color="000000"/>
              <w:right w:val="single" w:sz="6" w:space="0" w:color="000000"/>
            </w:tcBorders>
          </w:tcPr>
          <w:p>
            <w:pPr>
              <w:pStyle w:val="TableParagraph"/>
              <w:spacing w:before="50"/>
              <w:ind w:left="118"/>
              <w:jc w:val="left"/>
              <w:rPr>
                <w:b/>
                <w:sz w:val="21"/>
              </w:rPr>
            </w:pPr>
            <w:r>
              <w:rPr>
                <w:b/>
                <w:sz w:val="21"/>
              </w:rPr>
              <w:t>m³/h</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spacing w:before="50"/>
              <w:ind w:left="112" w:right="88"/>
              <w:rPr>
                <w:b/>
                <w:sz w:val="21"/>
              </w:rPr>
            </w:pPr>
            <w:r>
              <w:rPr>
                <w:b/>
                <w:sz w:val="21"/>
              </w:rPr>
              <w:t>kg/h</w:t>
            </w:r>
          </w:p>
        </w:tc>
        <w:tc>
          <w:tcPr>
            <w:tcW w:w="723" w:type="dxa"/>
            <w:tcBorders>
              <w:top w:val="single" w:sz="6" w:space="0" w:color="000000"/>
              <w:left w:val="single" w:sz="6" w:space="0" w:color="000000"/>
              <w:bottom w:val="single" w:sz="6" w:space="0" w:color="000000"/>
              <w:right w:val="single" w:sz="6" w:space="0" w:color="000000"/>
            </w:tcBorders>
          </w:tcPr>
          <w:p>
            <w:pPr>
              <w:pStyle w:val="TableParagraph"/>
              <w:spacing w:before="50"/>
              <w:ind w:left="106" w:right="82"/>
              <w:rPr>
                <w:b/>
                <w:sz w:val="21"/>
              </w:rPr>
            </w:pPr>
            <w:r>
              <w:rPr>
                <w:b/>
                <w:sz w:val="21"/>
              </w:rPr>
              <w:t>t/a</w:t>
            </w:r>
          </w:p>
        </w:tc>
        <w:tc>
          <w:tcPr>
            <w:tcW w:w="834" w:type="dxa"/>
            <w:tcBorders>
              <w:top w:val="single" w:sz="6" w:space="0" w:color="000000"/>
              <w:left w:val="single" w:sz="6" w:space="0" w:color="000000"/>
              <w:bottom w:val="single" w:sz="6" w:space="0" w:color="000000"/>
              <w:right w:val="single" w:sz="6" w:space="0" w:color="000000"/>
            </w:tcBorders>
          </w:tcPr>
          <w:p>
            <w:pPr>
              <w:pStyle w:val="TableParagraph"/>
              <w:spacing w:before="50"/>
              <w:ind w:left="112" w:right="87"/>
              <w:rPr>
                <w:b/>
                <w:sz w:val="21"/>
              </w:rPr>
            </w:pPr>
            <w:r>
              <w:rPr>
                <w:b/>
                <w:sz w:val="21"/>
              </w:rPr>
              <w:t>kg/h</w:t>
            </w:r>
          </w:p>
        </w:tc>
        <w:tc>
          <w:tcPr>
            <w:tcW w:w="718" w:type="dxa"/>
            <w:tcBorders>
              <w:top w:val="single" w:sz="6" w:space="0" w:color="000000"/>
              <w:left w:val="single" w:sz="6" w:space="0" w:color="000000"/>
              <w:bottom w:val="single" w:sz="6" w:space="0" w:color="000000"/>
            </w:tcBorders>
          </w:tcPr>
          <w:p>
            <w:pPr>
              <w:pStyle w:val="TableParagraph"/>
              <w:spacing w:before="50"/>
              <w:ind w:left="104" w:right="75"/>
              <w:rPr>
                <w:b/>
                <w:sz w:val="21"/>
              </w:rPr>
            </w:pPr>
            <w:r>
              <w:rPr>
                <w:b/>
                <w:sz w:val="21"/>
              </w:rPr>
              <w:t>t/a</w:t>
            </w:r>
          </w:p>
        </w:tc>
      </w:tr>
      <w:tr>
        <w:trPr>
          <w:trHeight w:val="349" w:hRule="atLeast"/>
        </w:trPr>
        <w:tc>
          <w:tcPr>
            <w:tcW w:w="1711" w:type="dxa"/>
            <w:vMerge/>
            <w:tcBorders>
              <w:top w:val="nil"/>
              <w:right w:val="single" w:sz="6" w:space="0" w:color="000000"/>
            </w:tcBorders>
          </w:tcPr>
          <w:p>
            <w:pPr>
              <w:rPr>
                <w:sz w:val="2"/>
                <w:szCs w:val="2"/>
              </w:rPr>
            </w:pPr>
          </w:p>
        </w:tc>
        <w:tc>
          <w:tcPr>
            <w:tcW w:w="862" w:type="dxa"/>
            <w:tcBorders>
              <w:top w:val="single" w:sz="6" w:space="0" w:color="000000"/>
              <w:left w:val="single" w:sz="6" w:space="0" w:color="000000"/>
              <w:right w:val="single" w:sz="6" w:space="0" w:color="000000"/>
            </w:tcBorders>
          </w:tcPr>
          <w:p>
            <w:pPr>
              <w:pStyle w:val="TableParagraph"/>
              <w:spacing w:before="49"/>
              <w:ind w:left="266"/>
              <w:jc w:val="left"/>
              <w:rPr>
                <w:sz w:val="21"/>
              </w:rPr>
            </w:pPr>
            <w:r>
              <w:rPr>
                <w:position w:val="2"/>
                <w:sz w:val="21"/>
              </w:rPr>
              <w:t>H</w:t>
            </w:r>
            <w:r>
              <w:rPr>
                <w:sz w:val="14"/>
              </w:rPr>
              <w:t>2</w:t>
            </w:r>
            <w:r>
              <w:rPr>
                <w:position w:val="2"/>
                <w:sz w:val="21"/>
              </w:rPr>
              <w:t>S</w:t>
            </w:r>
          </w:p>
        </w:tc>
        <w:tc>
          <w:tcPr>
            <w:tcW w:w="833" w:type="dxa"/>
            <w:tcBorders>
              <w:top w:val="single" w:sz="6" w:space="0" w:color="000000"/>
              <w:left w:val="single" w:sz="6" w:space="0" w:color="000000"/>
              <w:right w:val="single" w:sz="6" w:space="0" w:color="000000"/>
            </w:tcBorders>
          </w:tcPr>
          <w:p>
            <w:pPr>
              <w:pStyle w:val="TableParagraph"/>
              <w:spacing w:before="50"/>
              <w:ind w:left="113" w:right="87"/>
              <w:rPr>
                <w:sz w:val="21"/>
              </w:rPr>
            </w:pPr>
            <w:r>
              <w:rPr>
                <w:sz w:val="21"/>
              </w:rPr>
              <w:t>0.0080</w:t>
            </w:r>
          </w:p>
        </w:tc>
        <w:tc>
          <w:tcPr>
            <w:tcW w:w="723" w:type="dxa"/>
            <w:tcBorders>
              <w:top w:val="single" w:sz="6" w:space="0" w:color="000000"/>
              <w:left w:val="single" w:sz="6" w:space="0" w:color="000000"/>
              <w:right w:val="single" w:sz="6" w:space="0" w:color="000000"/>
            </w:tcBorders>
          </w:tcPr>
          <w:p>
            <w:pPr>
              <w:pStyle w:val="TableParagraph"/>
              <w:spacing w:before="50"/>
              <w:ind w:left="111" w:right="81"/>
              <w:rPr>
                <w:sz w:val="21"/>
              </w:rPr>
            </w:pPr>
            <w:r>
              <w:rPr>
                <w:sz w:val="21"/>
              </w:rPr>
              <w:t>0.070</w:t>
            </w:r>
          </w:p>
        </w:tc>
        <w:tc>
          <w:tcPr>
            <w:tcW w:w="836" w:type="dxa"/>
            <w:tcBorders>
              <w:top w:val="single" w:sz="6" w:space="0" w:color="000000"/>
              <w:left w:val="single" w:sz="6" w:space="0" w:color="000000"/>
              <w:right w:val="single" w:sz="6" w:space="0" w:color="000000"/>
            </w:tcBorders>
          </w:tcPr>
          <w:p>
            <w:pPr>
              <w:pStyle w:val="TableParagraph"/>
              <w:spacing w:before="50"/>
              <w:ind w:left="115" w:right="88"/>
              <w:rPr>
                <w:sz w:val="21"/>
              </w:rPr>
            </w:pPr>
            <w:r>
              <w:rPr>
                <w:sz w:val="21"/>
              </w:rPr>
              <w:t>0.0014</w:t>
            </w:r>
          </w:p>
        </w:tc>
        <w:tc>
          <w:tcPr>
            <w:tcW w:w="720" w:type="dxa"/>
            <w:tcBorders>
              <w:top w:val="single" w:sz="6" w:space="0" w:color="000000"/>
              <w:left w:val="single" w:sz="6" w:space="0" w:color="000000"/>
              <w:right w:val="single" w:sz="6" w:space="0" w:color="000000"/>
            </w:tcBorders>
          </w:tcPr>
          <w:p>
            <w:pPr>
              <w:pStyle w:val="TableParagraph"/>
              <w:spacing w:before="50"/>
              <w:ind w:left="109" w:right="82"/>
              <w:rPr>
                <w:sz w:val="21"/>
              </w:rPr>
            </w:pPr>
            <w:r>
              <w:rPr>
                <w:sz w:val="21"/>
              </w:rPr>
              <w:t>0.013</w:t>
            </w:r>
          </w:p>
        </w:tc>
        <w:tc>
          <w:tcPr>
            <w:tcW w:w="641" w:type="dxa"/>
            <w:tcBorders>
              <w:top w:val="single" w:sz="6" w:space="0" w:color="000000"/>
              <w:left w:val="single" w:sz="6" w:space="0" w:color="000000"/>
              <w:right w:val="single" w:sz="6" w:space="0" w:color="000000"/>
            </w:tcBorders>
          </w:tcPr>
          <w:p>
            <w:pPr>
              <w:pStyle w:val="TableParagraph"/>
              <w:spacing w:before="50"/>
              <w:ind w:left="140"/>
              <w:jc w:val="left"/>
              <w:rPr>
                <w:sz w:val="21"/>
              </w:rPr>
            </w:pPr>
            <w:r>
              <w:rPr>
                <w:sz w:val="21"/>
              </w:rPr>
              <w:t>0.03</w:t>
            </w:r>
          </w:p>
        </w:tc>
        <w:tc>
          <w:tcPr>
            <w:tcW w:w="834" w:type="dxa"/>
            <w:tcBorders>
              <w:top w:val="single" w:sz="6" w:space="0" w:color="000000"/>
              <w:left w:val="single" w:sz="6" w:space="0" w:color="000000"/>
              <w:right w:val="single" w:sz="6" w:space="0" w:color="000000"/>
            </w:tcBorders>
          </w:tcPr>
          <w:p>
            <w:pPr>
              <w:pStyle w:val="TableParagraph"/>
              <w:spacing w:before="50"/>
              <w:ind w:left="111" w:right="88"/>
              <w:rPr>
                <w:sz w:val="21"/>
              </w:rPr>
            </w:pPr>
            <w:r>
              <w:rPr>
                <w:sz w:val="21"/>
              </w:rPr>
              <w:t>0.0008</w:t>
            </w:r>
          </w:p>
        </w:tc>
        <w:tc>
          <w:tcPr>
            <w:tcW w:w="723" w:type="dxa"/>
            <w:tcBorders>
              <w:top w:val="single" w:sz="6" w:space="0" w:color="000000"/>
              <w:left w:val="single" w:sz="6" w:space="0" w:color="000000"/>
              <w:right w:val="single" w:sz="6" w:space="0" w:color="000000"/>
            </w:tcBorders>
          </w:tcPr>
          <w:p>
            <w:pPr>
              <w:pStyle w:val="TableParagraph"/>
              <w:spacing w:before="50"/>
              <w:ind w:left="109" w:right="82"/>
              <w:rPr>
                <w:sz w:val="21"/>
              </w:rPr>
            </w:pPr>
            <w:r>
              <w:rPr>
                <w:sz w:val="21"/>
              </w:rPr>
              <w:t>0.007</w:t>
            </w:r>
          </w:p>
        </w:tc>
        <w:tc>
          <w:tcPr>
            <w:tcW w:w="834" w:type="dxa"/>
            <w:tcBorders>
              <w:top w:val="single" w:sz="6" w:space="0" w:color="000000"/>
              <w:left w:val="single" w:sz="6" w:space="0" w:color="000000"/>
              <w:right w:val="single" w:sz="6" w:space="0" w:color="000000"/>
            </w:tcBorders>
          </w:tcPr>
          <w:p>
            <w:pPr>
              <w:pStyle w:val="TableParagraph"/>
              <w:spacing w:before="50"/>
              <w:ind w:left="112" w:right="87"/>
              <w:rPr>
                <w:sz w:val="21"/>
              </w:rPr>
            </w:pPr>
            <w:r>
              <w:rPr>
                <w:sz w:val="21"/>
              </w:rPr>
              <w:t>0.0022</w:t>
            </w:r>
          </w:p>
        </w:tc>
        <w:tc>
          <w:tcPr>
            <w:tcW w:w="718" w:type="dxa"/>
            <w:tcBorders>
              <w:top w:val="single" w:sz="6" w:space="0" w:color="000000"/>
              <w:left w:val="single" w:sz="6" w:space="0" w:color="000000"/>
            </w:tcBorders>
          </w:tcPr>
          <w:p>
            <w:pPr>
              <w:pStyle w:val="TableParagraph"/>
              <w:spacing w:before="50"/>
              <w:ind w:left="107" w:right="75"/>
              <w:rPr>
                <w:sz w:val="21"/>
              </w:rPr>
            </w:pPr>
            <w:r>
              <w:rPr>
                <w:sz w:val="21"/>
              </w:rPr>
              <w:t>0.020</w:t>
            </w:r>
          </w:p>
        </w:tc>
      </w:tr>
    </w:tbl>
    <w:p>
      <w:pPr>
        <w:spacing w:line="278" w:lineRule="auto" w:before="48"/>
        <w:ind w:left="237" w:right="143" w:firstLine="420"/>
        <w:jc w:val="left"/>
        <w:rPr>
          <w:sz w:val="21"/>
        </w:rPr>
      </w:pPr>
      <w:r>
        <w:rPr>
          <w:spacing w:val="-5"/>
          <w:sz w:val="21"/>
        </w:rPr>
        <w:t>注：预处理区各池体构筑物占地面积约 </w:t>
      </w:r>
      <w:r>
        <w:rPr>
          <w:rFonts w:ascii="Times New Roman" w:hAnsi="Times New Roman" w:eastAsia="Times New Roman"/>
          <w:sz w:val="21"/>
        </w:rPr>
        <w:t>442.13m</w:t>
      </w:r>
      <w:r>
        <w:rPr>
          <w:rFonts w:ascii="Times New Roman" w:hAnsi="Times New Roman" w:eastAsia="Times New Roman"/>
          <w:position w:val="7"/>
          <w:sz w:val="14"/>
        </w:rPr>
        <w:t>2</w:t>
      </w:r>
      <w:r>
        <w:rPr>
          <w:spacing w:val="-6"/>
          <w:sz w:val="21"/>
        </w:rPr>
        <w:t>，加盖高度为 </w:t>
      </w:r>
      <w:r>
        <w:rPr>
          <w:rFonts w:ascii="Times New Roman" w:hAnsi="Times New Roman" w:eastAsia="Times New Roman"/>
          <w:sz w:val="21"/>
        </w:rPr>
        <w:t>2m</w:t>
      </w:r>
      <w:r>
        <w:rPr>
          <w:spacing w:val="-6"/>
          <w:sz w:val="21"/>
        </w:rPr>
        <w:t>，换气次数 </w:t>
      </w:r>
      <w:r>
        <w:rPr>
          <w:rFonts w:ascii="Times New Roman" w:hAnsi="Times New Roman" w:eastAsia="Times New Roman"/>
          <w:sz w:val="21"/>
        </w:rPr>
        <w:t>8 </w:t>
      </w:r>
      <w:r>
        <w:rPr>
          <w:sz w:val="21"/>
        </w:rPr>
        <w:t>次</w:t>
      </w:r>
      <w:r>
        <w:rPr>
          <w:rFonts w:ascii="Times New Roman" w:hAnsi="Times New Roman" w:eastAsia="Times New Roman"/>
          <w:sz w:val="21"/>
        </w:rPr>
        <w:t>/h</w:t>
      </w:r>
      <w:r>
        <w:rPr>
          <w:spacing w:val="-3"/>
          <w:sz w:val="21"/>
        </w:rPr>
        <w:t>，所需风量</w:t>
      </w:r>
      <w:r>
        <w:rPr>
          <w:spacing w:val="-27"/>
          <w:sz w:val="21"/>
        </w:rPr>
        <w:t>约 </w:t>
      </w:r>
      <w:r>
        <w:rPr>
          <w:rFonts w:ascii="Times New Roman" w:hAnsi="Times New Roman" w:eastAsia="Times New Roman"/>
          <w:sz w:val="21"/>
        </w:rPr>
        <w:t>7074m³/h</w:t>
      </w:r>
      <w:r>
        <w:rPr>
          <w:spacing w:val="-7"/>
          <w:sz w:val="21"/>
        </w:rPr>
        <w:t>；固液分离间占地面积约 </w:t>
      </w:r>
      <w:r>
        <w:rPr>
          <w:rFonts w:ascii="Times New Roman" w:hAnsi="Times New Roman" w:eastAsia="Times New Roman"/>
          <w:sz w:val="21"/>
        </w:rPr>
        <w:t>90m</w:t>
      </w:r>
      <w:r>
        <w:rPr>
          <w:rFonts w:ascii="Times New Roman" w:hAnsi="Times New Roman" w:eastAsia="Times New Roman"/>
          <w:position w:val="7"/>
          <w:sz w:val="14"/>
        </w:rPr>
        <w:t>2</w:t>
      </w:r>
      <w:r>
        <w:rPr>
          <w:spacing w:val="-14"/>
          <w:sz w:val="21"/>
        </w:rPr>
        <w:t>，高约 </w:t>
      </w:r>
      <w:r>
        <w:rPr>
          <w:rFonts w:ascii="Times New Roman" w:hAnsi="Times New Roman" w:eastAsia="Times New Roman"/>
          <w:sz w:val="21"/>
        </w:rPr>
        <w:t>4m</w:t>
      </w:r>
      <w:r>
        <w:rPr>
          <w:spacing w:val="-11"/>
          <w:sz w:val="21"/>
        </w:rPr>
        <w:t>，换气次数 </w:t>
      </w:r>
      <w:r>
        <w:rPr>
          <w:rFonts w:ascii="Times New Roman" w:hAnsi="Times New Roman" w:eastAsia="Times New Roman"/>
          <w:sz w:val="21"/>
        </w:rPr>
        <w:t>8 </w:t>
      </w:r>
      <w:r>
        <w:rPr>
          <w:sz w:val="21"/>
        </w:rPr>
        <w:t>次</w:t>
      </w:r>
      <w:r>
        <w:rPr>
          <w:rFonts w:ascii="Times New Roman" w:hAnsi="Times New Roman" w:eastAsia="Times New Roman"/>
          <w:sz w:val="21"/>
        </w:rPr>
        <w:t>/h</w:t>
      </w:r>
      <w:r>
        <w:rPr>
          <w:spacing w:val="-10"/>
          <w:sz w:val="21"/>
        </w:rPr>
        <w:t>，所需风量约 </w:t>
      </w:r>
      <w:r>
        <w:rPr>
          <w:rFonts w:ascii="Times New Roman" w:hAnsi="Times New Roman" w:eastAsia="Times New Roman"/>
          <w:sz w:val="21"/>
        </w:rPr>
        <w:t>2880m³/h</w:t>
      </w:r>
      <w:r>
        <w:rPr>
          <w:spacing w:val="-2"/>
          <w:sz w:val="21"/>
        </w:rPr>
        <w:t>；废水</w:t>
      </w:r>
      <w:r>
        <w:rPr>
          <w:spacing w:val="-8"/>
          <w:sz w:val="21"/>
        </w:rPr>
        <w:t>处理区占地面积约 </w:t>
      </w:r>
      <w:r>
        <w:rPr>
          <w:rFonts w:ascii="Times New Roman" w:hAnsi="Times New Roman" w:eastAsia="Times New Roman"/>
          <w:spacing w:val="-3"/>
          <w:sz w:val="21"/>
        </w:rPr>
        <w:t>1239m</w:t>
      </w:r>
      <w:r>
        <w:rPr>
          <w:rFonts w:ascii="Times New Roman" w:hAnsi="Times New Roman" w:eastAsia="Times New Roman"/>
          <w:spacing w:val="-3"/>
          <w:position w:val="7"/>
          <w:sz w:val="14"/>
        </w:rPr>
        <w:t>2</w:t>
      </w:r>
      <w:r>
        <w:rPr>
          <w:spacing w:val="-10"/>
          <w:sz w:val="21"/>
        </w:rPr>
        <w:t>，加盖高度为 </w:t>
      </w:r>
      <w:r>
        <w:rPr>
          <w:rFonts w:ascii="Times New Roman" w:hAnsi="Times New Roman" w:eastAsia="Times New Roman"/>
          <w:spacing w:val="-3"/>
          <w:sz w:val="21"/>
        </w:rPr>
        <w:t>1.5m</w:t>
      </w:r>
      <w:r>
        <w:rPr>
          <w:spacing w:val="-11"/>
          <w:sz w:val="21"/>
        </w:rPr>
        <w:t>，换气次数 </w:t>
      </w:r>
      <w:r>
        <w:rPr>
          <w:rFonts w:ascii="Times New Roman" w:hAnsi="Times New Roman" w:eastAsia="Times New Roman"/>
          <w:sz w:val="21"/>
        </w:rPr>
        <w:t>8 </w:t>
      </w:r>
      <w:r>
        <w:rPr>
          <w:sz w:val="21"/>
        </w:rPr>
        <w:t>次</w:t>
      </w:r>
      <w:r>
        <w:rPr>
          <w:rFonts w:ascii="Times New Roman" w:hAnsi="Times New Roman" w:eastAsia="Times New Roman"/>
          <w:spacing w:val="-5"/>
          <w:sz w:val="21"/>
        </w:rPr>
        <w:t>/h</w:t>
      </w:r>
      <w:r>
        <w:rPr>
          <w:spacing w:val="-10"/>
          <w:sz w:val="21"/>
        </w:rPr>
        <w:t>，所需风量约 </w:t>
      </w:r>
      <w:r>
        <w:rPr>
          <w:rFonts w:ascii="Times New Roman" w:hAnsi="Times New Roman" w:eastAsia="Times New Roman"/>
          <w:sz w:val="21"/>
        </w:rPr>
        <w:t>14867m³/h</w:t>
      </w:r>
      <w:r>
        <w:rPr>
          <w:spacing w:val="-2"/>
          <w:sz w:val="21"/>
        </w:rPr>
        <w:t>；猪粪投料间</w:t>
      </w:r>
      <w:r>
        <w:rPr>
          <w:spacing w:val="-10"/>
          <w:sz w:val="21"/>
        </w:rPr>
        <w:t>占地面积约 </w:t>
      </w:r>
      <w:r>
        <w:rPr>
          <w:rFonts w:ascii="Times New Roman" w:hAnsi="Times New Roman" w:eastAsia="Times New Roman"/>
          <w:spacing w:val="-4"/>
          <w:sz w:val="21"/>
        </w:rPr>
        <w:t>176m</w:t>
      </w:r>
      <w:r>
        <w:rPr>
          <w:rFonts w:ascii="Times New Roman" w:hAnsi="Times New Roman" w:eastAsia="Times New Roman"/>
          <w:spacing w:val="-4"/>
          <w:position w:val="7"/>
          <w:sz w:val="14"/>
        </w:rPr>
        <w:t>2</w:t>
      </w:r>
      <w:r>
        <w:rPr>
          <w:spacing w:val="-13"/>
          <w:sz w:val="21"/>
        </w:rPr>
        <w:t>，高约 </w:t>
      </w:r>
      <w:r>
        <w:rPr>
          <w:rFonts w:ascii="Times New Roman" w:hAnsi="Times New Roman" w:eastAsia="Times New Roman"/>
          <w:spacing w:val="-7"/>
          <w:sz w:val="21"/>
        </w:rPr>
        <w:t>5m</w:t>
      </w:r>
      <w:r>
        <w:rPr>
          <w:spacing w:val="-10"/>
          <w:sz w:val="21"/>
        </w:rPr>
        <w:t>，换气次数 </w:t>
      </w:r>
      <w:r>
        <w:rPr>
          <w:rFonts w:ascii="Times New Roman" w:hAnsi="Times New Roman" w:eastAsia="Times New Roman"/>
          <w:sz w:val="21"/>
        </w:rPr>
        <w:t>10 </w:t>
      </w:r>
      <w:r>
        <w:rPr>
          <w:sz w:val="21"/>
        </w:rPr>
        <w:t>次</w:t>
      </w:r>
      <w:r>
        <w:rPr>
          <w:rFonts w:ascii="Times New Roman" w:hAnsi="Times New Roman" w:eastAsia="Times New Roman"/>
          <w:spacing w:val="-7"/>
          <w:sz w:val="21"/>
        </w:rPr>
        <w:t>/h</w:t>
      </w:r>
      <w:r>
        <w:rPr>
          <w:spacing w:val="-9"/>
          <w:sz w:val="21"/>
        </w:rPr>
        <w:t>，所需风量约 </w:t>
      </w:r>
      <w:r>
        <w:rPr>
          <w:rFonts w:ascii="Times New Roman" w:hAnsi="Times New Roman" w:eastAsia="Times New Roman"/>
          <w:spacing w:val="-3"/>
          <w:sz w:val="21"/>
        </w:rPr>
        <w:t>8800m³/h</w:t>
      </w:r>
      <w:r>
        <w:rPr>
          <w:spacing w:val="-7"/>
          <w:sz w:val="21"/>
        </w:rPr>
        <w:t>；有机肥仓库占地面积 </w:t>
      </w:r>
      <w:r>
        <w:rPr>
          <w:rFonts w:ascii="Times New Roman" w:hAnsi="Times New Roman" w:eastAsia="Times New Roman"/>
          <w:sz w:val="21"/>
        </w:rPr>
        <w:t>360m</w:t>
      </w:r>
      <w:r>
        <w:rPr>
          <w:rFonts w:ascii="Times New Roman" w:hAnsi="Times New Roman" w:eastAsia="Times New Roman"/>
          <w:position w:val="7"/>
          <w:sz w:val="14"/>
        </w:rPr>
        <w:t>2</w:t>
      </w:r>
      <w:r>
        <w:rPr>
          <w:sz w:val="21"/>
        </w:rPr>
        <w:t>， </w:t>
      </w:r>
      <w:r>
        <w:rPr>
          <w:spacing w:val="-17"/>
          <w:sz w:val="21"/>
        </w:rPr>
        <w:t>高约 </w:t>
      </w:r>
      <w:r>
        <w:rPr>
          <w:rFonts w:ascii="Times New Roman" w:hAnsi="Times New Roman" w:eastAsia="Times New Roman"/>
          <w:sz w:val="21"/>
        </w:rPr>
        <w:t>5m</w:t>
      </w:r>
      <w:r>
        <w:rPr>
          <w:spacing w:val="-11"/>
          <w:sz w:val="21"/>
        </w:rPr>
        <w:t>，换气次数 </w:t>
      </w:r>
      <w:r>
        <w:rPr>
          <w:rFonts w:ascii="Times New Roman" w:hAnsi="Times New Roman" w:eastAsia="Times New Roman"/>
          <w:sz w:val="21"/>
        </w:rPr>
        <w:t>8 </w:t>
      </w:r>
      <w:r>
        <w:rPr>
          <w:sz w:val="21"/>
        </w:rPr>
        <w:t>次</w:t>
      </w:r>
      <w:r>
        <w:rPr>
          <w:rFonts w:ascii="Times New Roman" w:hAnsi="Times New Roman" w:eastAsia="Times New Roman"/>
          <w:sz w:val="21"/>
        </w:rPr>
        <w:t>/h</w:t>
      </w:r>
      <w:r>
        <w:rPr>
          <w:spacing w:val="-9"/>
          <w:sz w:val="21"/>
        </w:rPr>
        <w:t>，所需风量约 </w:t>
      </w:r>
      <w:r>
        <w:rPr>
          <w:rFonts w:ascii="Times New Roman" w:hAnsi="Times New Roman" w:eastAsia="Times New Roman"/>
          <w:sz w:val="21"/>
        </w:rPr>
        <w:t>14400m³/h</w:t>
      </w:r>
      <w:r>
        <w:rPr>
          <w:spacing w:val="-3"/>
          <w:sz w:val="21"/>
        </w:rPr>
        <w:t>；另外，病死猪无害化处理间位于有机肥仓库内， </w:t>
      </w:r>
      <w:r>
        <w:rPr>
          <w:spacing w:val="-13"/>
          <w:sz w:val="21"/>
        </w:rPr>
        <w:t>抽风量按 </w:t>
      </w:r>
      <w:r>
        <w:rPr>
          <w:rFonts w:ascii="Times New Roman" w:hAnsi="Times New Roman" w:eastAsia="Times New Roman"/>
          <w:sz w:val="21"/>
        </w:rPr>
        <w:t>1500m³/h </w:t>
      </w:r>
      <w:r>
        <w:rPr>
          <w:spacing w:val="-6"/>
          <w:sz w:val="21"/>
        </w:rPr>
        <w:t>考虑。综上，该废气处理装置所需总风量约 </w:t>
      </w:r>
      <w:r>
        <w:rPr>
          <w:rFonts w:ascii="Times New Roman" w:hAnsi="Times New Roman" w:eastAsia="Times New Roman"/>
          <w:sz w:val="21"/>
        </w:rPr>
        <w:t>49521m³/h</w:t>
      </w:r>
      <w:r>
        <w:rPr>
          <w:spacing w:val="-12"/>
          <w:sz w:val="21"/>
        </w:rPr>
        <w:t>，取整按 </w:t>
      </w:r>
      <w:r>
        <w:rPr>
          <w:rFonts w:ascii="Times New Roman" w:hAnsi="Times New Roman" w:eastAsia="Times New Roman"/>
          <w:sz w:val="21"/>
        </w:rPr>
        <w:t>50000m³/h </w:t>
      </w:r>
      <w:r>
        <w:rPr>
          <w:spacing w:val="-2"/>
          <w:sz w:val="21"/>
        </w:rPr>
        <w:t>设计。</w:t>
      </w:r>
    </w:p>
    <w:p>
      <w:pPr>
        <w:pStyle w:val="Heading3"/>
        <w:spacing w:before="58"/>
      </w:pPr>
      <w:r>
        <w:rPr>
          <w:rFonts w:ascii="Times New Roman" w:eastAsia="Times New Roman"/>
        </w:rPr>
        <w:t>3</w:t>
      </w:r>
      <w:r>
        <w:rPr/>
        <w:t>、猪粪发酵臭气（</w:t>
      </w:r>
      <w:r>
        <w:rPr>
          <w:rFonts w:ascii="Times New Roman" w:eastAsia="Times New Roman"/>
        </w:rPr>
        <w:t>G3</w:t>
      </w:r>
      <w:r>
        <w:rPr/>
        <w:t>）</w:t>
      </w:r>
    </w:p>
    <w:p>
      <w:pPr>
        <w:pStyle w:val="BodyText"/>
        <w:spacing w:line="364" w:lineRule="auto" w:before="162"/>
        <w:ind w:right="129" w:firstLine="480"/>
      </w:pPr>
      <w:r>
        <w:rPr>
          <w:spacing w:val="-3"/>
        </w:rPr>
        <w:t>企业拟采用 </w:t>
      </w:r>
      <w:r>
        <w:rPr>
          <w:rFonts w:ascii="Times New Roman" w:hAnsi="Times New Roman" w:eastAsia="Times New Roman"/>
          <w:position w:val="1"/>
        </w:rPr>
        <w:t>2 </w:t>
      </w:r>
      <w:r>
        <w:rPr>
          <w:spacing w:val="-1"/>
        </w:rPr>
        <w:t>台立式发酵罐处理猪粪，发酵过程中产生的臭气经设备配套的喷淋装</w:t>
      </w:r>
      <w:r>
        <w:rPr>
          <w:spacing w:val="-8"/>
        </w:rPr>
        <w:t>置处理后由对应的 </w:t>
      </w:r>
      <w:r>
        <w:rPr>
          <w:rFonts w:ascii="Times New Roman" w:hAnsi="Times New Roman" w:eastAsia="Times New Roman"/>
          <w:position w:val="1"/>
        </w:rPr>
        <w:t>15m </w:t>
      </w:r>
      <w:r>
        <w:rPr/>
        <w:t>高排气筒（</w:t>
      </w:r>
      <w:r>
        <w:rPr>
          <w:rFonts w:ascii="Times New Roman" w:hAnsi="Times New Roman" w:eastAsia="Times New Roman"/>
          <w:position w:val="1"/>
        </w:rPr>
        <w:t>DA002-1</w:t>
      </w:r>
      <w:r>
        <w:rPr/>
        <w:t>、</w:t>
      </w:r>
      <w:r>
        <w:rPr>
          <w:rFonts w:ascii="Times New Roman" w:hAnsi="Times New Roman" w:eastAsia="Times New Roman"/>
          <w:position w:val="1"/>
        </w:rPr>
        <w:t>DA002-2</w:t>
      </w:r>
      <w:r>
        <w:rPr>
          <w:spacing w:val="-20"/>
        </w:rPr>
        <w:t>，共 </w:t>
      </w:r>
      <w:r>
        <w:rPr>
          <w:rFonts w:ascii="Times New Roman" w:hAnsi="Times New Roman" w:eastAsia="Times New Roman"/>
          <w:position w:val="1"/>
        </w:rPr>
        <w:t>2 </w:t>
      </w:r>
      <w:r>
        <w:rPr/>
        <w:t>个）排放。为核定其源强， </w:t>
      </w:r>
      <w:r>
        <w:rPr>
          <w:spacing w:val="-4"/>
        </w:rPr>
        <w:t>本环评类比了同类企业</w:t>
      </w:r>
      <w:r>
        <w:rPr/>
        <w:t>（浙江科强生态养殖有限公司</w:t>
      </w:r>
      <w:r>
        <w:rPr>
          <w:spacing w:val="-36"/>
        </w:rPr>
        <w:t>）</w:t>
      </w:r>
      <w:r>
        <w:rPr>
          <w:spacing w:val="-8"/>
        </w:rPr>
        <w:t>发酵罐的检测数据，详见表 </w:t>
      </w:r>
      <w:r>
        <w:rPr>
          <w:rFonts w:ascii="Times New Roman" w:hAnsi="Times New Roman" w:eastAsia="Times New Roman"/>
          <w:spacing w:val="-3"/>
          <w:position w:val="1"/>
        </w:rPr>
        <w:t>3.3-8</w:t>
      </w:r>
      <w:r>
        <w:rPr>
          <w:spacing w:val="-3"/>
        </w:rPr>
        <w:t>， </w:t>
      </w:r>
      <w:r>
        <w:rPr/>
        <w:t>可知该喷淋装置对氨和硫化氢的净化效率均能达到 </w:t>
      </w:r>
      <w:r>
        <w:rPr>
          <w:rFonts w:ascii="Times New Roman" w:hAnsi="Times New Roman" w:eastAsia="Times New Roman"/>
          <w:position w:val="1"/>
        </w:rPr>
        <w:t>80%</w:t>
      </w:r>
      <w:r>
        <w:rPr/>
        <w:t>以上，对臭气浓度的净化效率也</w:t>
      </w:r>
      <w:r>
        <w:rPr>
          <w:spacing w:val="-13"/>
        </w:rPr>
        <w:t>接近 </w:t>
      </w:r>
      <w:r>
        <w:rPr>
          <w:rFonts w:ascii="Times New Roman" w:hAnsi="Times New Roman" w:eastAsia="Times New Roman"/>
          <w:position w:val="1"/>
        </w:rPr>
        <w:t>80%</w:t>
      </w:r>
      <w:r>
        <w:rPr>
          <w:spacing w:val="-2"/>
        </w:rPr>
        <w:t>。本项目恶臭气体产生量取类比检测数据中最大值的 </w:t>
      </w:r>
      <w:r>
        <w:rPr>
          <w:rFonts w:ascii="Times New Roman" w:hAnsi="Times New Roman" w:eastAsia="Times New Roman"/>
          <w:position w:val="1"/>
        </w:rPr>
        <w:t>2 </w:t>
      </w:r>
      <w:r>
        <w:rPr/>
        <w:t>倍（本项目发酵罐处理</w:t>
      </w:r>
      <w:r>
        <w:rPr>
          <w:spacing w:val="-5"/>
        </w:rPr>
        <w:t>能力为浙江科强生态养殖有限公司的 </w:t>
      </w:r>
      <w:r>
        <w:rPr>
          <w:rFonts w:ascii="Times New Roman" w:hAnsi="Times New Roman" w:eastAsia="Times New Roman"/>
          <w:position w:val="1"/>
        </w:rPr>
        <w:t>2 </w:t>
      </w:r>
      <w:r>
        <w:rPr/>
        <w:t>倍</w:t>
      </w:r>
      <w:r>
        <w:rPr>
          <w:spacing w:val="-120"/>
        </w:rPr>
        <w:t>），</w:t>
      </w:r>
      <w:r>
        <w:rPr>
          <w:spacing w:val="-11"/>
        </w:rPr>
        <w:t>臭气净化效率均按 </w:t>
      </w:r>
      <w:r>
        <w:rPr>
          <w:rFonts w:ascii="Times New Roman" w:hAnsi="Times New Roman" w:eastAsia="Times New Roman"/>
          <w:position w:val="1"/>
        </w:rPr>
        <w:t>80%</w:t>
      </w:r>
      <w:r>
        <w:rPr>
          <w:spacing w:val="-28"/>
        </w:rPr>
        <w:t>考虑，风量按 </w:t>
      </w:r>
      <w:r>
        <w:rPr>
          <w:rFonts w:ascii="Times New Roman" w:hAnsi="Times New Roman" w:eastAsia="Times New Roman"/>
          <w:spacing w:val="-8"/>
          <w:position w:val="1"/>
        </w:rPr>
        <w:t>3000m³/h </w:t>
      </w:r>
      <w:r>
        <w:rPr>
          <w:spacing w:val="-8"/>
        </w:rPr>
        <w:t>考虑</w:t>
      </w:r>
      <w:r>
        <w:rPr/>
        <w:t>（单罐</w:t>
      </w:r>
      <w:r>
        <w:rPr>
          <w:spacing w:val="-15"/>
        </w:rPr>
        <w:t>），</w:t>
      </w:r>
      <w:r>
        <w:rPr>
          <w:spacing w:val="-3"/>
        </w:rPr>
        <w:t>可计算得达产情况下</w:t>
      </w:r>
      <w:r>
        <w:rPr/>
        <w:t>（</w:t>
      </w:r>
      <w:r>
        <w:rPr>
          <w:rFonts w:ascii="Times New Roman" w:hAnsi="Times New Roman" w:eastAsia="Times New Roman"/>
          <w:position w:val="1"/>
        </w:rPr>
        <w:t>365 </w:t>
      </w:r>
      <w:r>
        <w:rPr/>
        <w:t>天</w:t>
      </w:r>
      <w:r>
        <w:rPr>
          <w:rFonts w:ascii="Times New Roman" w:hAnsi="Times New Roman" w:eastAsia="Times New Roman"/>
          <w:position w:val="1"/>
        </w:rPr>
        <w:t>/a</w:t>
      </w:r>
      <w:r>
        <w:rPr>
          <w:spacing w:val="-15"/>
        </w:rPr>
        <w:t>、</w:t>
      </w:r>
      <w:r>
        <w:rPr>
          <w:rFonts w:ascii="Times New Roman" w:hAnsi="Times New Roman" w:eastAsia="Times New Roman"/>
          <w:spacing w:val="-3"/>
          <w:position w:val="1"/>
        </w:rPr>
        <w:t>24h/d</w:t>
      </w:r>
      <w:r>
        <w:rPr>
          <w:spacing w:val="-3"/>
        </w:rPr>
        <w:t>）</w:t>
      </w:r>
      <w:r>
        <w:rPr>
          <w:spacing w:val="-10"/>
        </w:rPr>
        <w:t>氨、硫化氢源强如表 </w:t>
      </w:r>
      <w:r>
        <w:rPr>
          <w:rFonts w:ascii="Times New Roman" w:hAnsi="Times New Roman" w:eastAsia="Times New Roman"/>
          <w:position w:val="1"/>
        </w:rPr>
        <w:t>3.3-9 </w:t>
      </w:r>
      <w:r>
        <w:rPr/>
        <w:t>所示， </w:t>
      </w:r>
      <w:r>
        <w:rPr>
          <w:spacing w:val="-20"/>
          <w:position w:val="2"/>
        </w:rPr>
        <w:t>可知 </w:t>
      </w:r>
      <w:r>
        <w:rPr>
          <w:rFonts w:ascii="Times New Roman" w:hAnsi="Times New Roman" w:eastAsia="Times New Roman"/>
          <w:position w:val="2"/>
        </w:rPr>
        <w:t>NH</w:t>
      </w:r>
      <w:r>
        <w:rPr>
          <w:rFonts w:ascii="Times New Roman" w:hAnsi="Times New Roman" w:eastAsia="Times New Roman"/>
          <w:sz w:val="16"/>
        </w:rPr>
        <w:t>3</w:t>
      </w:r>
      <w:r>
        <w:rPr>
          <w:spacing w:val="-22"/>
          <w:position w:val="2"/>
        </w:rPr>
        <w:t>、</w:t>
      </w:r>
      <w:r>
        <w:rPr>
          <w:rFonts w:ascii="Times New Roman" w:hAnsi="Times New Roman" w:eastAsia="Times New Roman"/>
          <w:position w:val="2"/>
        </w:rPr>
        <w:t>H</w:t>
      </w:r>
      <w:r>
        <w:rPr>
          <w:rFonts w:ascii="Times New Roman" w:hAnsi="Times New Roman" w:eastAsia="Times New Roman"/>
          <w:sz w:val="16"/>
        </w:rPr>
        <w:t>2</w:t>
      </w:r>
      <w:r>
        <w:rPr>
          <w:rFonts w:ascii="Times New Roman" w:hAnsi="Times New Roman" w:eastAsia="Times New Roman"/>
          <w:position w:val="2"/>
        </w:rPr>
        <w:t>S </w:t>
      </w:r>
      <w:r>
        <w:rPr>
          <w:spacing w:val="-5"/>
          <w:position w:val="2"/>
        </w:rPr>
        <w:t>有组织排放速率均能符合《恶臭污染物排放标准》</w:t>
      </w:r>
      <w:r>
        <w:rPr>
          <w:position w:val="2"/>
        </w:rPr>
        <w:t>（</w:t>
      </w:r>
      <w:r>
        <w:rPr>
          <w:rFonts w:ascii="Times New Roman" w:hAnsi="Times New Roman" w:eastAsia="Times New Roman"/>
          <w:position w:val="2"/>
        </w:rPr>
        <w:t>GB </w:t>
      </w:r>
      <w:r>
        <w:rPr>
          <w:rFonts w:ascii="Times New Roman" w:hAnsi="Times New Roman" w:eastAsia="Times New Roman"/>
          <w:spacing w:val="-3"/>
          <w:position w:val="2"/>
        </w:rPr>
        <w:t>14554-93</w:t>
      </w:r>
      <w:r>
        <w:rPr>
          <w:spacing w:val="-3"/>
          <w:position w:val="2"/>
        </w:rPr>
        <w:t>）</w:t>
      </w:r>
      <w:r>
        <w:rPr>
          <w:spacing w:val="-4"/>
          <w:position w:val="2"/>
        </w:rPr>
        <w:t>规定。</w:t>
      </w:r>
    </w:p>
    <w:p>
      <w:pPr>
        <w:pStyle w:val="Heading3"/>
        <w:spacing w:before="5"/>
        <w:ind w:left="1633"/>
        <w:rPr>
          <w:rFonts w:ascii="Times New Roman" w:hAnsi="Times New Roman" w:eastAsia="Times New Roman"/>
        </w:rPr>
      </w:pPr>
      <w:r>
        <w:rPr/>
        <w:t>表 </w:t>
      </w:r>
      <w:r>
        <w:rPr>
          <w:rFonts w:ascii="Times New Roman" w:hAnsi="Times New Roman" w:eastAsia="Times New Roman"/>
        </w:rPr>
        <w:t>3.3-8  </w:t>
      </w:r>
      <w:r>
        <w:rPr/>
        <w:t>发酵罐臭气检测结果 单位：浓度 </w:t>
      </w:r>
      <w:r>
        <w:rPr>
          <w:rFonts w:ascii="Times New Roman" w:hAnsi="Times New Roman" w:eastAsia="Times New Roman"/>
        </w:rPr>
        <w:t>mg/m</w:t>
      </w:r>
      <w:r>
        <w:rPr/>
        <w:t>³、速率 </w:t>
      </w:r>
      <w:r>
        <w:rPr>
          <w:rFonts w:ascii="Times New Roman" w:hAnsi="Times New Roman" w:eastAsia="Times New Roman"/>
        </w:rPr>
        <w:t>kg/h</w:t>
      </w:r>
    </w:p>
    <w:p>
      <w:pPr>
        <w:pStyle w:val="BodyText"/>
        <w:spacing w:before="9"/>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669"/>
        <w:gridCol w:w="1502"/>
        <w:gridCol w:w="868"/>
        <w:gridCol w:w="1050"/>
        <w:gridCol w:w="1298"/>
        <w:gridCol w:w="1297"/>
        <w:gridCol w:w="1509"/>
      </w:tblGrid>
      <w:tr>
        <w:trPr>
          <w:trHeight w:val="716" w:hRule="atLeast"/>
        </w:trPr>
        <w:tc>
          <w:tcPr>
            <w:tcW w:w="1231" w:type="dxa"/>
            <w:tcBorders>
              <w:bottom w:val="single" w:sz="6" w:space="0" w:color="000000"/>
              <w:right w:val="single" w:sz="6" w:space="0" w:color="000000"/>
            </w:tcBorders>
          </w:tcPr>
          <w:p>
            <w:pPr>
              <w:pStyle w:val="TableParagraph"/>
              <w:spacing w:before="5"/>
              <w:jc w:val="left"/>
              <w:rPr>
                <w:b/>
                <w:sz w:val="19"/>
              </w:rPr>
            </w:pPr>
          </w:p>
          <w:p>
            <w:pPr>
              <w:pStyle w:val="TableParagraph"/>
              <w:spacing w:before="0"/>
              <w:ind w:left="193"/>
              <w:jc w:val="left"/>
              <w:rPr>
                <w:rFonts w:ascii="宋体" w:eastAsia="宋体" w:hint="eastAsia"/>
                <w:b/>
                <w:sz w:val="21"/>
              </w:rPr>
            </w:pPr>
            <w:r>
              <w:rPr>
                <w:rFonts w:ascii="宋体" w:eastAsia="宋体" w:hint="eastAsia"/>
                <w:b/>
                <w:sz w:val="21"/>
              </w:rPr>
              <w:t>检测日期</w:t>
            </w:r>
          </w:p>
        </w:tc>
        <w:tc>
          <w:tcPr>
            <w:tcW w:w="669" w:type="dxa"/>
            <w:tcBorders>
              <w:left w:val="single" w:sz="6" w:space="0" w:color="000000"/>
              <w:bottom w:val="single" w:sz="6" w:space="0" w:color="000000"/>
              <w:right w:val="single" w:sz="6" w:space="0" w:color="000000"/>
            </w:tcBorders>
          </w:tcPr>
          <w:p>
            <w:pPr>
              <w:pStyle w:val="TableParagraph"/>
              <w:spacing w:before="44"/>
              <w:ind w:left="129"/>
              <w:jc w:val="left"/>
              <w:rPr>
                <w:rFonts w:ascii="宋体" w:eastAsia="宋体" w:hint="eastAsia"/>
                <w:b/>
                <w:sz w:val="21"/>
              </w:rPr>
            </w:pPr>
            <w:r>
              <w:rPr>
                <w:rFonts w:ascii="宋体" w:eastAsia="宋体" w:hint="eastAsia"/>
                <w:b/>
                <w:sz w:val="21"/>
              </w:rPr>
              <w:t>检测</w:t>
            </w:r>
          </w:p>
          <w:p>
            <w:pPr>
              <w:pStyle w:val="TableParagraph"/>
              <w:spacing w:before="90"/>
              <w:ind w:left="129"/>
              <w:jc w:val="left"/>
              <w:rPr>
                <w:rFonts w:ascii="宋体" w:eastAsia="宋体" w:hint="eastAsia"/>
                <w:b/>
                <w:sz w:val="21"/>
              </w:rPr>
            </w:pPr>
            <w:r>
              <w:rPr>
                <w:rFonts w:ascii="宋体" w:eastAsia="宋体" w:hint="eastAsia"/>
                <w:b/>
                <w:sz w:val="21"/>
              </w:rPr>
              <w:t>位置</w:t>
            </w:r>
          </w:p>
        </w:tc>
        <w:tc>
          <w:tcPr>
            <w:tcW w:w="1502" w:type="dxa"/>
            <w:tcBorders>
              <w:left w:val="single" w:sz="6" w:space="0" w:color="000000"/>
              <w:bottom w:val="single" w:sz="6" w:space="0" w:color="000000"/>
              <w:right w:val="single" w:sz="6" w:space="0" w:color="000000"/>
            </w:tcBorders>
          </w:tcPr>
          <w:p>
            <w:pPr>
              <w:pStyle w:val="TableParagraph"/>
              <w:spacing w:before="44"/>
              <w:ind w:left="231"/>
              <w:jc w:val="left"/>
              <w:rPr>
                <w:rFonts w:ascii="宋体" w:eastAsia="宋体" w:hint="eastAsia"/>
                <w:b/>
                <w:sz w:val="21"/>
              </w:rPr>
            </w:pPr>
            <w:r>
              <w:rPr>
                <w:rFonts w:ascii="宋体" w:eastAsia="宋体" w:hint="eastAsia"/>
                <w:b/>
                <w:sz w:val="21"/>
              </w:rPr>
              <w:t>标干态废气</w:t>
            </w:r>
          </w:p>
          <w:p>
            <w:pPr>
              <w:pStyle w:val="TableParagraph"/>
              <w:spacing w:before="90"/>
              <w:ind w:left="130"/>
              <w:jc w:val="left"/>
              <w:rPr>
                <w:rFonts w:ascii="宋体" w:hAnsi="宋体" w:eastAsia="宋体" w:hint="eastAsia"/>
                <w:b/>
                <w:sz w:val="21"/>
              </w:rPr>
            </w:pPr>
            <w:r>
              <w:rPr>
                <w:rFonts w:ascii="宋体" w:hAnsi="宋体" w:eastAsia="宋体" w:hint="eastAsia"/>
                <w:b/>
                <w:sz w:val="21"/>
              </w:rPr>
              <w:t>流量</w:t>
            </w:r>
            <w:r>
              <w:rPr>
                <w:rFonts w:ascii="宋体" w:hAnsi="宋体" w:eastAsia="宋体" w:hint="eastAsia"/>
                <w:b/>
                <w:spacing w:val="-11"/>
                <w:sz w:val="21"/>
              </w:rPr>
              <w:t>（</w:t>
            </w:r>
            <w:r>
              <w:rPr>
                <w:b/>
                <w:spacing w:val="-11"/>
                <w:sz w:val="21"/>
              </w:rPr>
              <w:t>m³/h</w:t>
            </w:r>
            <w:r>
              <w:rPr>
                <w:b/>
                <w:spacing w:val="1"/>
                <w:sz w:val="21"/>
              </w:rPr>
              <w:t> </w:t>
            </w:r>
            <w:r>
              <w:rPr>
                <w:rFonts w:ascii="宋体" w:hAnsi="宋体" w:eastAsia="宋体" w:hint="eastAsia"/>
                <w:b/>
                <w:sz w:val="21"/>
              </w:rPr>
              <w:t>）</w:t>
            </w:r>
          </w:p>
        </w:tc>
        <w:tc>
          <w:tcPr>
            <w:tcW w:w="868" w:type="dxa"/>
            <w:tcBorders>
              <w:left w:val="single" w:sz="6" w:space="0" w:color="000000"/>
              <w:bottom w:val="single" w:sz="6" w:space="0" w:color="000000"/>
              <w:right w:val="single" w:sz="6" w:space="0" w:color="000000"/>
            </w:tcBorders>
          </w:tcPr>
          <w:p>
            <w:pPr>
              <w:pStyle w:val="TableParagraph"/>
              <w:spacing w:before="44"/>
              <w:ind w:left="106" w:right="73"/>
              <w:rPr>
                <w:rFonts w:ascii="宋体" w:eastAsia="宋体" w:hint="eastAsia"/>
                <w:b/>
                <w:sz w:val="21"/>
              </w:rPr>
            </w:pPr>
            <w:r>
              <w:rPr>
                <w:rFonts w:ascii="宋体" w:eastAsia="宋体" w:hint="eastAsia"/>
                <w:b/>
                <w:sz w:val="21"/>
              </w:rPr>
              <w:t>氨排放</w:t>
            </w:r>
          </w:p>
          <w:p>
            <w:pPr>
              <w:pStyle w:val="TableParagraph"/>
              <w:spacing w:before="90"/>
              <w:ind w:left="106" w:right="73"/>
              <w:rPr>
                <w:rFonts w:ascii="宋体" w:eastAsia="宋体" w:hint="eastAsia"/>
                <w:b/>
                <w:sz w:val="21"/>
              </w:rPr>
            </w:pPr>
            <w:r>
              <w:rPr>
                <w:rFonts w:ascii="宋体" w:eastAsia="宋体" w:hint="eastAsia"/>
                <w:b/>
                <w:sz w:val="21"/>
              </w:rPr>
              <w:t>浓度</w:t>
            </w:r>
          </w:p>
        </w:tc>
        <w:tc>
          <w:tcPr>
            <w:tcW w:w="1050" w:type="dxa"/>
            <w:tcBorders>
              <w:left w:val="single" w:sz="6" w:space="0" w:color="000000"/>
              <w:bottom w:val="single" w:sz="6" w:space="0" w:color="000000"/>
              <w:right w:val="single" w:sz="6" w:space="0" w:color="000000"/>
            </w:tcBorders>
          </w:tcPr>
          <w:p>
            <w:pPr>
              <w:pStyle w:val="TableParagraph"/>
              <w:spacing w:before="44"/>
              <w:ind w:left="218"/>
              <w:jc w:val="left"/>
              <w:rPr>
                <w:rFonts w:ascii="宋体" w:eastAsia="宋体" w:hint="eastAsia"/>
                <w:b/>
                <w:sz w:val="21"/>
              </w:rPr>
            </w:pPr>
            <w:r>
              <w:rPr>
                <w:rFonts w:ascii="宋体" w:eastAsia="宋体" w:hint="eastAsia"/>
                <w:b/>
                <w:sz w:val="21"/>
              </w:rPr>
              <w:t>氨排放</w:t>
            </w:r>
          </w:p>
          <w:p>
            <w:pPr>
              <w:pStyle w:val="TableParagraph"/>
              <w:spacing w:before="90"/>
              <w:ind w:left="324"/>
              <w:jc w:val="left"/>
              <w:rPr>
                <w:rFonts w:ascii="宋体" w:eastAsia="宋体" w:hint="eastAsia"/>
                <w:b/>
                <w:sz w:val="21"/>
              </w:rPr>
            </w:pPr>
            <w:r>
              <w:rPr>
                <w:rFonts w:ascii="宋体" w:eastAsia="宋体" w:hint="eastAsia"/>
                <w:b/>
                <w:sz w:val="21"/>
              </w:rPr>
              <w:t>速率</w:t>
            </w:r>
          </w:p>
        </w:tc>
        <w:tc>
          <w:tcPr>
            <w:tcW w:w="1298" w:type="dxa"/>
            <w:tcBorders>
              <w:left w:val="single" w:sz="6" w:space="0" w:color="000000"/>
              <w:bottom w:val="single" w:sz="6" w:space="0" w:color="000000"/>
              <w:right w:val="single" w:sz="6" w:space="0" w:color="000000"/>
            </w:tcBorders>
          </w:tcPr>
          <w:p>
            <w:pPr>
              <w:pStyle w:val="TableParagraph"/>
              <w:spacing w:before="44"/>
              <w:ind w:left="113" w:right="74"/>
              <w:rPr>
                <w:rFonts w:ascii="宋体" w:eastAsia="宋体" w:hint="eastAsia"/>
                <w:b/>
                <w:sz w:val="21"/>
              </w:rPr>
            </w:pPr>
            <w:r>
              <w:rPr>
                <w:rFonts w:ascii="宋体" w:eastAsia="宋体" w:hint="eastAsia"/>
                <w:b/>
                <w:sz w:val="21"/>
              </w:rPr>
              <w:t>硫化氢排放</w:t>
            </w:r>
          </w:p>
          <w:p>
            <w:pPr>
              <w:pStyle w:val="TableParagraph"/>
              <w:spacing w:before="90"/>
              <w:ind w:left="109" w:right="74"/>
              <w:rPr>
                <w:rFonts w:ascii="宋体" w:eastAsia="宋体" w:hint="eastAsia"/>
                <w:b/>
                <w:sz w:val="21"/>
              </w:rPr>
            </w:pPr>
            <w:r>
              <w:rPr>
                <w:rFonts w:ascii="宋体" w:eastAsia="宋体" w:hint="eastAsia"/>
                <w:b/>
                <w:sz w:val="21"/>
              </w:rPr>
              <w:t>浓度</w:t>
            </w:r>
          </w:p>
        </w:tc>
        <w:tc>
          <w:tcPr>
            <w:tcW w:w="1297" w:type="dxa"/>
            <w:tcBorders>
              <w:left w:val="single" w:sz="6" w:space="0" w:color="000000"/>
              <w:bottom w:val="single" w:sz="6" w:space="0" w:color="000000"/>
              <w:right w:val="single" w:sz="6" w:space="0" w:color="000000"/>
            </w:tcBorders>
          </w:tcPr>
          <w:p>
            <w:pPr>
              <w:pStyle w:val="TableParagraph"/>
              <w:spacing w:before="44"/>
              <w:ind w:left="95" w:right="57"/>
              <w:rPr>
                <w:rFonts w:ascii="宋体" w:eastAsia="宋体" w:hint="eastAsia"/>
                <w:b/>
                <w:sz w:val="21"/>
              </w:rPr>
            </w:pPr>
            <w:r>
              <w:rPr>
                <w:rFonts w:ascii="宋体" w:eastAsia="宋体" w:hint="eastAsia"/>
                <w:b/>
                <w:sz w:val="21"/>
              </w:rPr>
              <w:t>硫化氢排放</w:t>
            </w:r>
          </w:p>
          <w:p>
            <w:pPr>
              <w:pStyle w:val="TableParagraph"/>
              <w:spacing w:before="90"/>
              <w:ind w:left="95" w:right="62"/>
              <w:rPr>
                <w:rFonts w:ascii="宋体" w:eastAsia="宋体" w:hint="eastAsia"/>
                <w:b/>
                <w:sz w:val="21"/>
              </w:rPr>
            </w:pPr>
            <w:r>
              <w:rPr>
                <w:rFonts w:ascii="宋体" w:eastAsia="宋体" w:hint="eastAsia"/>
                <w:b/>
                <w:sz w:val="21"/>
              </w:rPr>
              <w:t>速率</w:t>
            </w:r>
          </w:p>
        </w:tc>
        <w:tc>
          <w:tcPr>
            <w:tcW w:w="1509" w:type="dxa"/>
            <w:tcBorders>
              <w:left w:val="single" w:sz="6" w:space="0" w:color="000000"/>
              <w:bottom w:val="single" w:sz="6" w:space="0" w:color="000000"/>
            </w:tcBorders>
          </w:tcPr>
          <w:p>
            <w:pPr>
              <w:pStyle w:val="TableParagraph"/>
              <w:spacing w:before="44"/>
              <w:ind w:left="133"/>
              <w:jc w:val="left"/>
              <w:rPr>
                <w:rFonts w:ascii="宋体" w:eastAsia="宋体" w:hint="eastAsia"/>
                <w:b/>
                <w:sz w:val="21"/>
              </w:rPr>
            </w:pPr>
            <w:r>
              <w:rPr>
                <w:rFonts w:ascii="宋体" w:eastAsia="宋体" w:hint="eastAsia"/>
                <w:b/>
                <w:sz w:val="21"/>
              </w:rPr>
              <w:t>臭气排放浓度</w:t>
            </w:r>
          </w:p>
          <w:p>
            <w:pPr>
              <w:pStyle w:val="TableParagraph"/>
              <w:spacing w:before="90"/>
              <w:ind w:left="239"/>
              <w:jc w:val="left"/>
              <w:rPr>
                <w:rFonts w:ascii="宋体" w:eastAsia="宋体" w:hint="eastAsia"/>
                <w:b/>
                <w:sz w:val="21"/>
              </w:rPr>
            </w:pPr>
            <w:r>
              <w:rPr>
                <w:rFonts w:ascii="宋体" w:eastAsia="宋体" w:hint="eastAsia"/>
                <w:b/>
                <w:sz w:val="21"/>
              </w:rPr>
              <w:t>（无量纲）</w:t>
            </w:r>
          </w:p>
        </w:tc>
      </w:tr>
      <w:tr>
        <w:trPr>
          <w:trHeight w:val="359"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6"/>
              <w:jc w:val="left"/>
              <w:rPr>
                <w:b/>
                <w:sz w:val="21"/>
              </w:rPr>
            </w:pPr>
          </w:p>
          <w:p>
            <w:pPr>
              <w:pStyle w:val="TableParagraph"/>
              <w:spacing w:before="0"/>
              <w:ind w:left="140"/>
              <w:jc w:val="left"/>
              <w:rPr>
                <w:sz w:val="21"/>
              </w:rPr>
            </w:pPr>
            <w:r>
              <w:rPr>
                <w:sz w:val="21"/>
              </w:rPr>
              <w:t>2020.10.13</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6"/>
              <w:ind w:right="97"/>
              <w:jc w:val="right"/>
              <w:rPr>
                <w:rFonts w:ascii="宋体" w:eastAsia="宋体" w:hint="eastAsia"/>
                <w:sz w:val="21"/>
              </w:rPr>
            </w:pPr>
            <w:r>
              <w:rPr>
                <w:rFonts w:ascii="宋体" w:eastAsia="宋体" w:hint="eastAsia"/>
                <w:sz w:val="21"/>
              </w:rPr>
              <w:t>进口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spacing w:before="60"/>
              <w:ind w:left="326" w:right="295"/>
              <w:rPr>
                <w:sz w:val="21"/>
              </w:rPr>
            </w:pPr>
            <w:r>
              <w:rPr>
                <w:sz w:val="21"/>
              </w:rPr>
              <w:t>2.81E+03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spacing w:before="60"/>
              <w:ind w:left="106" w:right="73"/>
              <w:rPr>
                <w:sz w:val="21"/>
              </w:rPr>
            </w:pPr>
            <w:r>
              <w:rPr>
                <w:sz w:val="21"/>
              </w:rPr>
              <w:t>9.67</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92"/>
              <w:rPr>
                <w:sz w:val="21"/>
              </w:rPr>
            </w:pPr>
            <w:r>
              <w:rPr>
                <w:sz w:val="21"/>
              </w:rPr>
              <w:t>2.71E-02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60"/>
              <w:ind w:left="113" w:right="74"/>
              <w:rPr>
                <w:sz w:val="21"/>
              </w:rPr>
            </w:pPr>
            <w:r>
              <w:rPr>
                <w:sz w:val="21"/>
              </w:rPr>
              <w:t>0.169</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spacing w:before="60"/>
              <w:ind w:left="95" w:right="57"/>
              <w:rPr>
                <w:sz w:val="21"/>
              </w:rPr>
            </w:pPr>
            <w:r>
              <w:rPr>
                <w:sz w:val="21"/>
              </w:rPr>
              <w:t>4.74E-04</w:t>
            </w:r>
          </w:p>
        </w:tc>
        <w:tc>
          <w:tcPr>
            <w:tcW w:w="1509" w:type="dxa"/>
            <w:tcBorders>
              <w:top w:val="single" w:sz="6" w:space="0" w:color="000000"/>
              <w:left w:val="single" w:sz="6" w:space="0" w:color="000000"/>
              <w:bottom w:val="single" w:sz="6" w:space="0" w:color="000000"/>
            </w:tcBorders>
          </w:tcPr>
          <w:p>
            <w:pPr>
              <w:pStyle w:val="TableParagraph"/>
              <w:spacing w:before="60"/>
              <w:ind w:left="536" w:right="489"/>
              <w:rPr>
                <w:sz w:val="21"/>
              </w:rPr>
            </w:pPr>
            <w:r>
              <w:rPr>
                <w:sz w:val="21"/>
              </w:rPr>
              <w:t>965</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出口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2.53E+03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1.92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4.86E-03</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0.024</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6.07E-05</w:t>
            </w:r>
          </w:p>
        </w:tc>
        <w:tc>
          <w:tcPr>
            <w:tcW w:w="1509" w:type="dxa"/>
            <w:tcBorders>
              <w:top w:val="single" w:sz="6" w:space="0" w:color="000000"/>
              <w:left w:val="single" w:sz="6" w:space="0" w:color="000000"/>
              <w:bottom w:val="single" w:sz="6" w:space="0" w:color="000000"/>
            </w:tcBorders>
          </w:tcPr>
          <w:p>
            <w:pPr>
              <w:pStyle w:val="TableParagraph"/>
              <w:ind w:left="536" w:right="489"/>
              <w:rPr>
                <w:sz w:val="21"/>
              </w:rPr>
            </w:pPr>
            <w:r>
              <w:rPr>
                <w:sz w:val="21"/>
              </w:rPr>
              <w:t>214</w:t>
            </w:r>
          </w:p>
        </w:tc>
      </w:tr>
      <w:tr>
        <w:trPr>
          <w:trHeight w:val="359"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40"/>
              <w:jc w:val="left"/>
              <w:rPr>
                <w:sz w:val="21"/>
              </w:rPr>
            </w:pPr>
            <w:r>
              <w:rPr>
                <w:sz w:val="21"/>
              </w:rPr>
              <w:t>2020.10.14</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进口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2.70E+03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9.79</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2.64E-02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0.169</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4.57E-04</w:t>
            </w:r>
          </w:p>
        </w:tc>
        <w:tc>
          <w:tcPr>
            <w:tcW w:w="1509" w:type="dxa"/>
            <w:tcBorders>
              <w:top w:val="single" w:sz="6" w:space="0" w:color="000000"/>
              <w:left w:val="single" w:sz="6" w:space="0" w:color="000000"/>
              <w:bottom w:val="single" w:sz="6" w:space="0" w:color="000000"/>
            </w:tcBorders>
          </w:tcPr>
          <w:p>
            <w:pPr>
              <w:pStyle w:val="TableParagraph"/>
              <w:ind w:left="555"/>
              <w:jc w:val="left"/>
              <w:rPr>
                <w:sz w:val="21"/>
              </w:rPr>
            </w:pPr>
            <w:r>
              <w:rPr>
                <w:sz w:val="21"/>
              </w:rPr>
              <w:t>1012</w:t>
            </w:r>
          </w:p>
        </w:tc>
      </w:tr>
      <w:tr>
        <w:trPr>
          <w:trHeight w:val="357" w:hRule="atLeast"/>
        </w:trPr>
        <w:tc>
          <w:tcPr>
            <w:tcW w:w="1231" w:type="dxa"/>
            <w:vMerge/>
            <w:tcBorders>
              <w:top w:val="nil"/>
              <w:bottom w:val="single" w:sz="6" w:space="0" w:color="000000"/>
              <w:right w:val="single" w:sz="6" w:space="0" w:color="000000"/>
            </w:tcBorders>
          </w:tcPr>
          <w:p>
            <w:pPr>
              <w:rPr>
                <w:sz w:val="2"/>
                <w:szCs w:val="2"/>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出口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2.37E+03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1.82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4.32E-03</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0.023</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5.37E-05</w:t>
            </w:r>
          </w:p>
        </w:tc>
        <w:tc>
          <w:tcPr>
            <w:tcW w:w="1509" w:type="dxa"/>
            <w:tcBorders>
              <w:top w:val="single" w:sz="6" w:space="0" w:color="000000"/>
              <w:left w:val="single" w:sz="6" w:space="0" w:color="000000"/>
              <w:bottom w:val="single" w:sz="6" w:space="0" w:color="000000"/>
            </w:tcBorders>
          </w:tcPr>
          <w:p>
            <w:pPr>
              <w:pStyle w:val="TableParagraph"/>
              <w:ind w:left="536" w:right="489"/>
              <w:rPr>
                <w:sz w:val="21"/>
              </w:rPr>
            </w:pPr>
            <w:r>
              <w:rPr>
                <w:sz w:val="21"/>
              </w:rPr>
              <w:t>180</w:t>
            </w:r>
          </w:p>
        </w:tc>
      </w:tr>
      <w:tr>
        <w:trPr>
          <w:trHeight w:val="359"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6"/>
              <w:jc w:val="left"/>
              <w:rPr>
                <w:b/>
                <w:sz w:val="21"/>
              </w:rPr>
            </w:pPr>
          </w:p>
          <w:p>
            <w:pPr>
              <w:pStyle w:val="TableParagraph"/>
              <w:spacing w:before="0"/>
              <w:ind w:left="140"/>
              <w:jc w:val="left"/>
              <w:rPr>
                <w:sz w:val="21"/>
              </w:rPr>
            </w:pPr>
            <w:r>
              <w:rPr>
                <w:sz w:val="21"/>
              </w:rPr>
              <w:t>2020.10.15</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6"/>
              <w:ind w:right="97"/>
              <w:jc w:val="right"/>
              <w:rPr>
                <w:rFonts w:ascii="宋体" w:eastAsia="宋体" w:hint="eastAsia"/>
                <w:sz w:val="21"/>
              </w:rPr>
            </w:pPr>
            <w:r>
              <w:rPr>
                <w:rFonts w:ascii="宋体" w:eastAsia="宋体" w:hint="eastAsia"/>
                <w:sz w:val="21"/>
              </w:rPr>
              <w:t>进口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spacing w:before="60"/>
              <w:ind w:left="326" w:right="295"/>
              <w:rPr>
                <w:sz w:val="21"/>
              </w:rPr>
            </w:pPr>
            <w:r>
              <w:rPr>
                <w:sz w:val="21"/>
              </w:rPr>
              <w:t>2.74E+03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spacing w:before="60"/>
              <w:ind w:left="106" w:right="73"/>
              <w:rPr>
                <w:sz w:val="21"/>
              </w:rPr>
            </w:pPr>
            <w:r>
              <w:rPr>
                <w:sz w:val="21"/>
              </w:rPr>
              <w:t>8.40</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92"/>
              <w:rPr>
                <w:sz w:val="21"/>
              </w:rPr>
            </w:pPr>
            <w:r>
              <w:rPr>
                <w:sz w:val="21"/>
              </w:rPr>
              <w:t>2.30E-02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60"/>
              <w:ind w:left="113" w:right="74"/>
              <w:rPr>
                <w:sz w:val="21"/>
              </w:rPr>
            </w:pPr>
            <w:r>
              <w:rPr>
                <w:sz w:val="21"/>
              </w:rPr>
              <w:t>0.169</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spacing w:before="60"/>
              <w:ind w:left="95" w:right="57"/>
              <w:rPr>
                <w:sz w:val="21"/>
              </w:rPr>
            </w:pPr>
            <w:r>
              <w:rPr>
                <w:sz w:val="21"/>
              </w:rPr>
              <w:t>4.62E-04</w:t>
            </w:r>
          </w:p>
        </w:tc>
        <w:tc>
          <w:tcPr>
            <w:tcW w:w="1509" w:type="dxa"/>
            <w:tcBorders>
              <w:top w:val="single" w:sz="6" w:space="0" w:color="000000"/>
              <w:left w:val="single" w:sz="6" w:space="0" w:color="000000"/>
              <w:bottom w:val="single" w:sz="6" w:space="0" w:color="000000"/>
            </w:tcBorders>
          </w:tcPr>
          <w:p>
            <w:pPr>
              <w:pStyle w:val="TableParagraph"/>
              <w:spacing w:before="60"/>
              <w:ind w:left="536" w:right="489"/>
              <w:rPr>
                <w:sz w:val="21"/>
              </w:rPr>
            </w:pPr>
            <w:r>
              <w:rPr>
                <w:sz w:val="21"/>
              </w:rPr>
              <w:t>820</w:t>
            </w:r>
          </w:p>
        </w:tc>
      </w:tr>
      <w:tr>
        <w:trPr>
          <w:trHeight w:val="360" w:hRule="atLeast"/>
        </w:trPr>
        <w:tc>
          <w:tcPr>
            <w:tcW w:w="1231" w:type="dxa"/>
            <w:vMerge/>
            <w:tcBorders>
              <w:top w:val="nil"/>
              <w:bottom w:val="single" w:sz="6" w:space="0" w:color="000000"/>
              <w:right w:val="single" w:sz="6" w:space="0" w:color="000000"/>
            </w:tcBorders>
          </w:tcPr>
          <w:p>
            <w:pPr>
              <w:rPr>
                <w:sz w:val="2"/>
                <w:szCs w:val="2"/>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出口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2.38E+03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1.82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4.32E-03</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0.025</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6.02E-05</w:t>
            </w:r>
          </w:p>
        </w:tc>
        <w:tc>
          <w:tcPr>
            <w:tcW w:w="1509" w:type="dxa"/>
            <w:tcBorders>
              <w:top w:val="single" w:sz="6" w:space="0" w:color="000000"/>
              <w:left w:val="single" w:sz="6" w:space="0" w:color="000000"/>
              <w:bottom w:val="single" w:sz="6" w:space="0" w:color="000000"/>
            </w:tcBorders>
          </w:tcPr>
          <w:p>
            <w:pPr>
              <w:pStyle w:val="TableParagraph"/>
              <w:ind w:left="536" w:right="489"/>
              <w:rPr>
                <w:sz w:val="21"/>
              </w:rPr>
            </w:pPr>
            <w:r>
              <w:rPr>
                <w:sz w:val="21"/>
              </w:rPr>
              <w:t>180</w:t>
            </w:r>
          </w:p>
        </w:tc>
      </w:tr>
      <w:tr>
        <w:trPr>
          <w:trHeight w:val="359" w:hRule="atLeast"/>
        </w:trPr>
        <w:tc>
          <w:tcPr>
            <w:tcW w:w="1900" w:type="dxa"/>
            <w:gridSpan w:val="2"/>
            <w:tcBorders>
              <w:top w:val="single" w:sz="6" w:space="0" w:color="000000"/>
              <w:bottom w:val="single" w:sz="6" w:space="0" w:color="000000"/>
              <w:right w:val="single" w:sz="6" w:space="0" w:color="000000"/>
            </w:tcBorders>
          </w:tcPr>
          <w:p>
            <w:pPr>
              <w:pStyle w:val="TableParagraph"/>
              <w:spacing w:before="44"/>
              <w:ind w:left="529"/>
              <w:jc w:val="left"/>
              <w:rPr>
                <w:rFonts w:ascii="宋体" w:eastAsia="宋体" w:hint="eastAsia"/>
                <w:sz w:val="21"/>
              </w:rPr>
            </w:pPr>
            <w:r>
              <w:rPr>
                <w:rFonts w:ascii="宋体" w:eastAsia="宋体" w:hint="eastAsia"/>
                <w:sz w:val="21"/>
              </w:rPr>
              <w:t>净化效率</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918" w:type="dxa"/>
            <w:gridSpan w:val="2"/>
            <w:tcBorders>
              <w:top w:val="single" w:sz="6" w:space="0" w:color="000000"/>
              <w:left w:val="single" w:sz="6" w:space="0" w:color="000000"/>
              <w:bottom w:val="single" w:sz="6" w:space="0" w:color="000000"/>
              <w:right w:val="single" w:sz="6" w:space="0" w:color="000000"/>
            </w:tcBorders>
          </w:tcPr>
          <w:p>
            <w:pPr>
              <w:pStyle w:val="TableParagraph"/>
              <w:ind w:left="199" w:right="162"/>
              <w:rPr>
                <w:sz w:val="21"/>
              </w:rPr>
            </w:pPr>
            <w:r>
              <w:rPr>
                <w:sz w:val="21"/>
              </w:rPr>
              <w:t>82.3%</w:t>
            </w:r>
          </w:p>
        </w:tc>
        <w:tc>
          <w:tcPr>
            <w:tcW w:w="2595" w:type="dxa"/>
            <w:gridSpan w:val="2"/>
            <w:tcBorders>
              <w:top w:val="single" w:sz="6" w:space="0" w:color="000000"/>
              <w:left w:val="single" w:sz="6" w:space="0" w:color="000000"/>
              <w:bottom w:val="single" w:sz="6" w:space="0" w:color="000000"/>
              <w:right w:val="single" w:sz="6" w:space="0" w:color="000000"/>
            </w:tcBorders>
          </w:tcPr>
          <w:p>
            <w:pPr>
              <w:pStyle w:val="TableParagraph"/>
              <w:ind w:left="1019" w:right="978"/>
              <w:rPr>
                <w:sz w:val="21"/>
              </w:rPr>
            </w:pPr>
            <w:r>
              <w:rPr>
                <w:sz w:val="21"/>
              </w:rPr>
              <w:t>87.5%</w:t>
            </w:r>
          </w:p>
        </w:tc>
        <w:tc>
          <w:tcPr>
            <w:tcW w:w="1509" w:type="dxa"/>
            <w:tcBorders>
              <w:top w:val="single" w:sz="6" w:space="0" w:color="000000"/>
              <w:left w:val="single" w:sz="6" w:space="0" w:color="000000"/>
              <w:bottom w:val="single" w:sz="6" w:space="0" w:color="000000"/>
            </w:tcBorders>
          </w:tcPr>
          <w:p>
            <w:pPr>
              <w:pStyle w:val="TableParagraph"/>
              <w:ind w:left="495"/>
              <w:jc w:val="left"/>
              <w:rPr>
                <w:sz w:val="21"/>
              </w:rPr>
            </w:pPr>
            <w:r>
              <w:rPr>
                <w:sz w:val="21"/>
              </w:rPr>
              <w:t>79.4%</w:t>
            </w:r>
          </w:p>
        </w:tc>
      </w:tr>
      <w:tr>
        <w:trPr>
          <w:trHeight w:val="357" w:hRule="atLeast"/>
        </w:trPr>
        <w:tc>
          <w:tcPr>
            <w:tcW w:w="1900" w:type="dxa"/>
            <w:gridSpan w:val="2"/>
            <w:tcBorders>
              <w:top w:val="single" w:sz="6" w:space="0" w:color="000000"/>
              <w:bottom w:val="single" w:sz="6" w:space="0" w:color="000000"/>
              <w:right w:val="single" w:sz="6" w:space="0" w:color="000000"/>
            </w:tcBorders>
          </w:tcPr>
          <w:p>
            <w:pPr>
              <w:pStyle w:val="TableParagraph"/>
              <w:spacing w:before="44"/>
              <w:ind w:left="529"/>
              <w:jc w:val="left"/>
              <w:rPr>
                <w:rFonts w:ascii="宋体" w:eastAsia="宋体" w:hint="eastAsia"/>
                <w:sz w:val="21"/>
              </w:rPr>
            </w:pPr>
            <w:r>
              <w:rPr>
                <w:rFonts w:ascii="宋体" w:eastAsia="宋体" w:hint="eastAsia"/>
                <w:sz w:val="21"/>
              </w:rPr>
              <w:t>排放标准</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34"/>
              <w:rPr>
                <w:sz w:val="21"/>
              </w:rPr>
            </w:pPr>
            <w:r>
              <w:rPr>
                <w:w w:val="100"/>
                <w:sz w:val="21"/>
              </w:rPr>
              <w:t>/</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4.9</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36"/>
              <w:rPr>
                <w:sz w:val="21"/>
              </w:rPr>
            </w:pPr>
            <w:r>
              <w:rPr>
                <w:w w:val="100"/>
                <w:sz w:val="21"/>
              </w:rPr>
              <w:t>/</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0.33</w:t>
            </w:r>
          </w:p>
        </w:tc>
        <w:tc>
          <w:tcPr>
            <w:tcW w:w="1509" w:type="dxa"/>
            <w:tcBorders>
              <w:top w:val="single" w:sz="6" w:space="0" w:color="000000"/>
              <w:left w:val="single" w:sz="6" w:space="0" w:color="000000"/>
              <w:bottom w:val="single" w:sz="6" w:space="0" w:color="000000"/>
            </w:tcBorders>
          </w:tcPr>
          <w:p>
            <w:pPr>
              <w:pStyle w:val="TableParagraph"/>
              <w:ind w:left="555"/>
              <w:jc w:val="left"/>
              <w:rPr>
                <w:sz w:val="21"/>
              </w:rPr>
            </w:pPr>
            <w:r>
              <w:rPr>
                <w:sz w:val="21"/>
              </w:rPr>
              <w:t>2000</w:t>
            </w:r>
          </w:p>
        </w:tc>
      </w:tr>
      <w:tr>
        <w:trPr>
          <w:trHeight w:val="361" w:hRule="atLeast"/>
        </w:trPr>
        <w:tc>
          <w:tcPr>
            <w:tcW w:w="1900" w:type="dxa"/>
            <w:gridSpan w:val="2"/>
            <w:tcBorders>
              <w:top w:val="single" w:sz="6" w:space="0" w:color="000000"/>
              <w:right w:val="single" w:sz="6" w:space="0" w:color="000000"/>
            </w:tcBorders>
          </w:tcPr>
          <w:p>
            <w:pPr>
              <w:pStyle w:val="TableParagraph"/>
              <w:spacing w:before="46"/>
              <w:ind w:left="529"/>
              <w:jc w:val="left"/>
              <w:rPr>
                <w:rFonts w:ascii="宋体" w:eastAsia="宋体" w:hint="eastAsia"/>
                <w:sz w:val="21"/>
              </w:rPr>
            </w:pPr>
            <w:r>
              <w:rPr>
                <w:rFonts w:ascii="宋体" w:eastAsia="宋体" w:hint="eastAsia"/>
                <w:sz w:val="21"/>
              </w:rPr>
              <w:t>是否达标</w:t>
            </w:r>
          </w:p>
        </w:tc>
        <w:tc>
          <w:tcPr>
            <w:tcW w:w="1502" w:type="dxa"/>
            <w:tcBorders>
              <w:top w:val="single" w:sz="6" w:space="0" w:color="000000"/>
              <w:left w:val="single" w:sz="6" w:space="0" w:color="000000"/>
              <w:right w:val="single" w:sz="6" w:space="0" w:color="000000"/>
            </w:tcBorders>
          </w:tcPr>
          <w:p>
            <w:pPr>
              <w:pStyle w:val="TableParagraph"/>
              <w:spacing w:before="60"/>
              <w:ind w:left="32"/>
              <w:rPr>
                <w:sz w:val="21"/>
              </w:rPr>
            </w:pPr>
            <w:r>
              <w:rPr>
                <w:w w:val="100"/>
                <w:sz w:val="21"/>
              </w:rPr>
              <w:t>/</w:t>
            </w:r>
          </w:p>
        </w:tc>
        <w:tc>
          <w:tcPr>
            <w:tcW w:w="1918" w:type="dxa"/>
            <w:gridSpan w:val="2"/>
            <w:tcBorders>
              <w:top w:val="single" w:sz="6" w:space="0" w:color="000000"/>
              <w:left w:val="single" w:sz="6" w:space="0" w:color="000000"/>
              <w:right w:val="single" w:sz="6" w:space="0" w:color="000000"/>
            </w:tcBorders>
          </w:tcPr>
          <w:p>
            <w:pPr>
              <w:pStyle w:val="TableParagraph"/>
              <w:spacing w:before="46"/>
              <w:ind w:left="198" w:right="164"/>
              <w:rPr>
                <w:rFonts w:ascii="宋体" w:eastAsia="宋体" w:hint="eastAsia"/>
                <w:sz w:val="21"/>
              </w:rPr>
            </w:pPr>
            <w:r>
              <w:rPr>
                <w:rFonts w:ascii="宋体" w:eastAsia="宋体" w:hint="eastAsia"/>
                <w:sz w:val="21"/>
              </w:rPr>
              <w:t>达标</w:t>
            </w:r>
          </w:p>
        </w:tc>
        <w:tc>
          <w:tcPr>
            <w:tcW w:w="2595" w:type="dxa"/>
            <w:gridSpan w:val="2"/>
            <w:tcBorders>
              <w:top w:val="single" w:sz="6" w:space="0" w:color="000000"/>
              <w:left w:val="single" w:sz="6" w:space="0" w:color="000000"/>
              <w:right w:val="single" w:sz="6" w:space="0" w:color="000000"/>
            </w:tcBorders>
          </w:tcPr>
          <w:p>
            <w:pPr>
              <w:pStyle w:val="TableParagraph"/>
              <w:spacing w:before="46"/>
              <w:ind w:left="1016" w:right="978"/>
              <w:rPr>
                <w:rFonts w:ascii="宋体" w:eastAsia="宋体" w:hint="eastAsia"/>
                <w:sz w:val="21"/>
              </w:rPr>
            </w:pPr>
            <w:r>
              <w:rPr>
                <w:rFonts w:ascii="宋体" w:eastAsia="宋体" w:hint="eastAsia"/>
                <w:sz w:val="21"/>
              </w:rPr>
              <w:t>达标</w:t>
            </w:r>
          </w:p>
        </w:tc>
        <w:tc>
          <w:tcPr>
            <w:tcW w:w="1509" w:type="dxa"/>
            <w:tcBorders>
              <w:top w:val="single" w:sz="6" w:space="0" w:color="000000"/>
              <w:left w:val="single" w:sz="6" w:space="0" w:color="000000"/>
            </w:tcBorders>
          </w:tcPr>
          <w:p>
            <w:pPr>
              <w:pStyle w:val="TableParagraph"/>
              <w:spacing w:before="46"/>
              <w:ind w:left="555"/>
              <w:jc w:val="left"/>
              <w:rPr>
                <w:rFonts w:ascii="宋体" w:eastAsia="宋体" w:hint="eastAsia"/>
                <w:sz w:val="21"/>
              </w:rPr>
            </w:pPr>
            <w:r>
              <w:rPr>
                <w:rFonts w:ascii="宋体" w:eastAsia="宋体" w:hint="eastAsia"/>
                <w:sz w:val="21"/>
              </w:rPr>
              <w:t>达标</w:t>
            </w:r>
          </w:p>
        </w:tc>
      </w:tr>
    </w:tbl>
    <w:p>
      <w:pPr>
        <w:spacing w:before="82"/>
        <w:ind w:left="219" w:right="236" w:firstLine="0"/>
        <w:jc w:val="center"/>
        <w:rPr>
          <w:b/>
          <w:sz w:val="24"/>
        </w:rPr>
      </w:pPr>
      <w:r>
        <w:rPr>
          <w:b/>
          <w:sz w:val="24"/>
        </w:rPr>
        <w:t>表 </w:t>
      </w:r>
      <w:r>
        <w:rPr>
          <w:rFonts w:ascii="Times New Roman" w:eastAsia="Times New Roman"/>
          <w:b/>
          <w:sz w:val="24"/>
        </w:rPr>
        <w:t>3.3-9  </w:t>
      </w:r>
      <w:r>
        <w:rPr>
          <w:b/>
          <w:sz w:val="24"/>
        </w:rPr>
        <w:t>猪粪发酵罐臭气源强计算</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3"/>
        <w:gridCol w:w="1577"/>
        <w:gridCol w:w="1471"/>
        <w:gridCol w:w="1279"/>
        <w:gridCol w:w="1474"/>
        <w:gridCol w:w="1279"/>
        <w:gridCol w:w="1167"/>
      </w:tblGrid>
      <w:tr>
        <w:trPr>
          <w:trHeight w:val="359" w:hRule="atLeast"/>
        </w:trPr>
        <w:tc>
          <w:tcPr>
            <w:tcW w:w="1183"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378"/>
              <w:jc w:val="left"/>
              <w:rPr>
                <w:rFonts w:ascii="宋体" w:eastAsia="宋体" w:hint="eastAsia"/>
                <w:b/>
                <w:sz w:val="21"/>
              </w:rPr>
            </w:pPr>
            <w:r>
              <w:rPr>
                <w:rFonts w:ascii="宋体" w:eastAsia="宋体" w:hint="eastAsia"/>
                <w:b/>
                <w:sz w:val="21"/>
              </w:rPr>
              <w:t>位置</w:t>
            </w:r>
          </w:p>
        </w:tc>
        <w:tc>
          <w:tcPr>
            <w:tcW w:w="1577"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477"/>
              <w:jc w:val="left"/>
              <w:rPr>
                <w:rFonts w:ascii="宋体" w:eastAsia="宋体" w:hint="eastAsia"/>
                <w:b/>
                <w:sz w:val="21"/>
              </w:rPr>
            </w:pPr>
            <w:r>
              <w:rPr>
                <w:rFonts w:ascii="宋体" w:eastAsia="宋体" w:hint="eastAsia"/>
                <w:b/>
                <w:sz w:val="21"/>
              </w:rPr>
              <w:t>污染物</w:t>
            </w:r>
          </w:p>
        </w:tc>
        <w:tc>
          <w:tcPr>
            <w:tcW w:w="2750" w:type="dxa"/>
            <w:gridSpan w:val="2"/>
            <w:tcBorders>
              <w:left w:val="single" w:sz="6" w:space="0" w:color="000000"/>
              <w:bottom w:val="single" w:sz="6" w:space="0" w:color="000000"/>
              <w:right w:val="single" w:sz="6" w:space="0" w:color="000000"/>
            </w:tcBorders>
          </w:tcPr>
          <w:p>
            <w:pPr>
              <w:pStyle w:val="TableParagraph"/>
              <w:spacing w:before="46"/>
              <w:ind w:left="940" w:right="910"/>
              <w:rPr>
                <w:rFonts w:ascii="宋体" w:eastAsia="宋体" w:hint="eastAsia"/>
                <w:b/>
                <w:sz w:val="21"/>
              </w:rPr>
            </w:pPr>
            <w:r>
              <w:rPr>
                <w:rFonts w:ascii="宋体" w:eastAsia="宋体" w:hint="eastAsia"/>
                <w:b/>
                <w:sz w:val="21"/>
              </w:rPr>
              <w:t>产生情况</w:t>
            </w:r>
          </w:p>
        </w:tc>
        <w:tc>
          <w:tcPr>
            <w:tcW w:w="3920" w:type="dxa"/>
            <w:gridSpan w:val="3"/>
            <w:tcBorders>
              <w:left w:val="single" w:sz="6" w:space="0" w:color="000000"/>
              <w:bottom w:val="single" w:sz="6" w:space="0" w:color="000000"/>
            </w:tcBorders>
          </w:tcPr>
          <w:p>
            <w:pPr>
              <w:pStyle w:val="TableParagraph"/>
              <w:spacing w:before="46"/>
              <w:ind w:left="1019"/>
              <w:jc w:val="left"/>
              <w:rPr>
                <w:rFonts w:ascii="宋体" w:eastAsia="宋体" w:hint="eastAsia"/>
                <w:b/>
                <w:sz w:val="21"/>
              </w:rPr>
            </w:pPr>
            <w:r>
              <w:rPr>
                <w:rFonts w:ascii="宋体" w:eastAsia="宋体" w:hint="eastAsia"/>
                <w:b/>
                <w:sz w:val="21"/>
              </w:rPr>
              <w:t>排放情况（有组织）</w:t>
            </w:r>
          </w:p>
        </w:tc>
      </w:tr>
      <w:tr>
        <w:trPr>
          <w:trHeight w:val="356" w:hRule="atLeast"/>
        </w:trPr>
        <w:tc>
          <w:tcPr>
            <w:tcW w:w="1183" w:type="dxa"/>
            <w:vMerge/>
            <w:tcBorders>
              <w:top w:val="nil"/>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471" w:type="dxa"/>
            <w:tcBorders>
              <w:top w:val="single" w:sz="6" w:space="0" w:color="000000"/>
              <w:left w:val="single" w:sz="6" w:space="0" w:color="000000"/>
              <w:bottom w:val="single" w:sz="6" w:space="0" w:color="000000"/>
              <w:right w:val="single" w:sz="6" w:space="0" w:color="000000"/>
            </w:tcBorders>
          </w:tcPr>
          <w:p>
            <w:pPr>
              <w:pStyle w:val="TableParagraph"/>
              <w:spacing w:before="63"/>
              <w:ind w:left="432" w:right="405"/>
              <w:rPr>
                <w:b/>
                <w:sz w:val="21"/>
              </w:rPr>
            </w:pPr>
            <w:r>
              <w:rPr>
                <w:b/>
                <w:sz w:val="21"/>
              </w:rPr>
              <w:t>kg/h</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before="63"/>
              <w:ind w:left="389" w:right="358"/>
              <w:rPr>
                <w:b/>
                <w:sz w:val="21"/>
              </w:rPr>
            </w:pPr>
            <w:r>
              <w:rPr>
                <w:b/>
                <w:sz w:val="21"/>
              </w:rPr>
              <w:t>t/a</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63"/>
              <w:ind w:left="121" w:right="91"/>
              <w:rPr>
                <w:b/>
                <w:sz w:val="21"/>
              </w:rPr>
            </w:pPr>
            <w:r>
              <w:rPr>
                <w:b/>
                <w:sz w:val="21"/>
              </w:rPr>
              <w:t>kg/h</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before="63"/>
              <w:ind w:left="390" w:right="358"/>
              <w:rPr>
                <w:b/>
                <w:sz w:val="21"/>
              </w:rPr>
            </w:pPr>
            <w:r>
              <w:rPr>
                <w:b/>
                <w:sz w:val="21"/>
              </w:rPr>
              <w:t>t/a</w:t>
            </w:r>
          </w:p>
        </w:tc>
        <w:tc>
          <w:tcPr>
            <w:tcW w:w="1167" w:type="dxa"/>
            <w:tcBorders>
              <w:top w:val="single" w:sz="6" w:space="0" w:color="000000"/>
              <w:left w:val="single" w:sz="6" w:space="0" w:color="000000"/>
              <w:bottom w:val="single" w:sz="6" w:space="0" w:color="000000"/>
            </w:tcBorders>
          </w:tcPr>
          <w:p>
            <w:pPr>
              <w:pStyle w:val="TableParagraph"/>
              <w:spacing w:before="63"/>
              <w:ind w:left="365" w:right="326"/>
              <w:rPr>
                <w:b/>
                <w:sz w:val="21"/>
              </w:rPr>
            </w:pPr>
            <w:r>
              <w:rPr>
                <w:b/>
                <w:sz w:val="21"/>
              </w:rPr>
              <w:t>m³/h</w:t>
            </w:r>
          </w:p>
        </w:tc>
      </w:tr>
      <w:tr>
        <w:trPr>
          <w:trHeight w:val="351" w:hRule="atLeast"/>
        </w:trPr>
        <w:tc>
          <w:tcPr>
            <w:tcW w:w="1183" w:type="dxa"/>
            <w:vMerge w:val="restart"/>
            <w:tcBorders>
              <w:top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380"/>
              <w:jc w:val="left"/>
              <w:rPr>
                <w:rFonts w:ascii="宋体" w:eastAsia="宋体" w:hint="eastAsia"/>
                <w:sz w:val="21"/>
              </w:rPr>
            </w:pPr>
            <w:r>
              <w:rPr>
                <w:rFonts w:ascii="宋体" w:eastAsia="宋体" w:hint="eastAsia"/>
                <w:sz w:val="21"/>
              </w:rPr>
              <w:t>单罐</w:t>
            </w:r>
          </w:p>
        </w:tc>
        <w:tc>
          <w:tcPr>
            <w:tcW w:w="1577" w:type="dxa"/>
            <w:tcBorders>
              <w:top w:val="single" w:sz="6" w:space="0" w:color="000000"/>
              <w:left w:val="single" w:sz="6" w:space="0" w:color="000000"/>
              <w:bottom w:val="single" w:sz="6" w:space="0" w:color="000000"/>
              <w:right w:val="single" w:sz="6" w:space="0" w:color="000000"/>
            </w:tcBorders>
          </w:tcPr>
          <w:p>
            <w:pPr>
              <w:pStyle w:val="TableParagraph"/>
              <w:spacing w:before="59"/>
              <w:ind w:left="138" w:right="111"/>
              <w:rPr>
                <w:sz w:val="14"/>
              </w:rPr>
            </w:pPr>
            <w:r>
              <w:rPr>
                <w:position w:val="2"/>
                <w:sz w:val="21"/>
              </w:rPr>
              <w:t>NH</w:t>
            </w:r>
            <w:r>
              <w:rPr>
                <w:sz w:val="14"/>
              </w:rPr>
              <w:t>3</w:t>
            </w:r>
          </w:p>
        </w:tc>
        <w:tc>
          <w:tcPr>
            <w:tcW w:w="1471" w:type="dxa"/>
            <w:tcBorders>
              <w:top w:val="single" w:sz="6" w:space="0" w:color="000000"/>
              <w:left w:val="single" w:sz="6" w:space="0" w:color="000000"/>
              <w:bottom w:val="single" w:sz="6" w:space="0" w:color="000000"/>
              <w:right w:val="single" w:sz="6" w:space="0" w:color="000000"/>
            </w:tcBorders>
          </w:tcPr>
          <w:p>
            <w:pPr>
              <w:pStyle w:val="TableParagraph"/>
              <w:spacing w:before="60"/>
              <w:ind w:left="432" w:right="405"/>
              <w:rPr>
                <w:sz w:val="21"/>
              </w:rPr>
            </w:pPr>
            <w:r>
              <w:rPr>
                <w:sz w:val="21"/>
              </w:rPr>
              <w:t>0.0542</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before="60"/>
              <w:ind w:left="391" w:right="358"/>
              <w:rPr>
                <w:sz w:val="21"/>
              </w:rPr>
            </w:pPr>
            <w:r>
              <w:rPr>
                <w:sz w:val="21"/>
              </w:rPr>
              <w:t>0.475</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60"/>
              <w:ind w:left="121" w:right="90"/>
              <w:rPr>
                <w:sz w:val="21"/>
              </w:rPr>
            </w:pPr>
            <w:r>
              <w:rPr>
                <w:sz w:val="21"/>
              </w:rPr>
              <w:t>0.0108</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before="60"/>
              <w:ind w:left="392" w:right="358"/>
              <w:rPr>
                <w:sz w:val="21"/>
              </w:rPr>
            </w:pPr>
            <w:r>
              <w:rPr>
                <w:sz w:val="21"/>
              </w:rPr>
              <w:t>0.095</w:t>
            </w:r>
          </w:p>
        </w:tc>
        <w:tc>
          <w:tcPr>
            <w:tcW w:w="1167" w:type="dxa"/>
            <w:tcBorders>
              <w:top w:val="single" w:sz="6" w:space="0" w:color="000000"/>
              <w:left w:val="single" w:sz="6" w:space="0" w:color="000000"/>
              <w:bottom w:val="single" w:sz="6" w:space="0" w:color="000000"/>
            </w:tcBorders>
          </w:tcPr>
          <w:p>
            <w:pPr>
              <w:pStyle w:val="TableParagraph"/>
              <w:spacing w:before="60"/>
              <w:ind w:left="365" w:right="326"/>
              <w:rPr>
                <w:sz w:val="21"/>
              </w:rPr>
            </w:pPr>
            <w:r>
              <w:rPr>
                <w:sz w:val="21"/>
              </w:rPr>
              <w:t>3.61</w:t>
            </w:r>
          </w:p>
        </w:tc>
      </w:tr>
      <w:tr>
        <w:trPr>
          <w:trHeight w:val="349" w:hRule="atLeast"/>
        </w:trPr>
        <w:tc>
          <w:tcPr>
            <w:tcW w:w="1183" w:type="dxa"/>
            <w:vMerge/>
            <w:tcBorders>
              <w:top w:val="nil"/>
              <w:right w:val="single" w:sz="6" w:space="0" w:color="000000"/>
            </w:tcBorders>
          </w:tcPr>
          <w:p>
            <w:pPr>
              <w:rPr>
                <w:sz w:val="2"/>
                <w:szCs w:val="2"/>
              </w:rPr>
            </w:pPr>
          </w:p>
        </w:tc>
        <w:tc>
          <w:tcPr>
            <w:tcW w:w="1577" w:type="dxa"/>
            <w:tcBorders>
              <w:top w:val="single" w:sz="6" w:space="0" w:color="000000"/>
              <w:left w:val="single" w:sz="6" w:space="0" w:color="000000"/>
              <w:right w:val="single" w:sz="6" w:space="0" w:color="000000"/>
            </w:tcBorders>
          </w:tcPr>
          <w:p>
            <w:pPr>
              <w:pStyle w:val="TableParagraph"/>
              <w:spacing w:before="49"/>
              <w:ind w:left="137" w:right="111"/>
              <w:rPr>
                <w:sz w:val="21"/>
              </w:rPr>
            </w:pPr>
            <w:r>
              <w:rPr>
                <w:position w:val="2"/>
                <w:sz w:val="21"/>
              </w:rPr>
              <w:t>H</w:t>
            </w:r>
            <w:r>
              <w:rPr>
                <w:sz w:val="14"/>
              </w:rPr>
              <w:t>2</w:t>
            </w:r>
            <w:r>
              <w:rPr>
                <w:position w:val="2"/>
                <w:sz w:val="21"/>
              </w:rPr>
              <w:t>S</w:t>
            </w:r>
          </w:p>
        </w:tc>
        <w:tc>
          <w:tcPr>
            <w:tcW w:w="1471" w:type="dxa"/>
            <w:tcBorders>
              <w:top w:val="single" w:sz="6" w:space="0" w:color="000000"/>
              <w:left w:val="single" w:sz="6" w:space="0" w:color="000000"/>
              <w:right w:val="single" w:sz="6" w:space="0" w:color="000000"/>
            </w:tcBorders>
          </w:tcPr>
          <w:p>
            <w:pPr>
              <w:pStyle w:val="TableParagraph"/>
              <w:spacing w:before="50"/>
              <w:ind w:left="432" w:right="405"/>
              <w:rPr>
                <w:sz w:val="21"/>
              </w:rPr>
            </w:pPr>
            <w:r>
              <w:rPr>
                <w:sz w:val="21"/>
              </w:rPr>
              <w:t>0.0097</w:t>
            </w:r>
          </w:p>
        </w:tc>
        <w:tc>
          <w:tcPr>
            <w:tcW w:w="1279" w:type="dxa"/>
            <w:tcBorders>
              <w:top w:val="single" w:sz="6" w:space="0" w:color="000000"/>
              <w:left w:val="single" w:sz="6" w:space="0" w:color="000000"/>
              <w:right w:val="single" w:sz="6" w:space="0" w:color="000000"/>
            </w:tcBorders>
          </w:tcPr>
          <w:p>
            <w:pPr>
              <w:pStyle w:val="TableParagraph"/>
              <w:spacing w:before="50"/>
              <w:ind w:left="391" w:right="358"/>
              <w:rPr>
                <w:sz w:val="21"/>
              </w:rPr>
            </w:pPr>
            <w:r>
              <w:rPr>
                <w:sz w:val="21"/>
              </w:rPr>
              <w:t>0.085</w:t>
            </w:r>
          </w:p>
        </w:tc>
        <w:tc>
          <w:tcPr>
            <w:tcW w:w="1474" w:type="dxa"/>
            <w:tcBorders>
              <w:top w:val="single" w:sz="6" w:space="0" w:color="000000"/>
              <w:left w:val="single" w:sz="6" w:space="0" w:color="000000"/>
              <w:right w:val="single" w:sz="6" w:space="0" w:color="000000"/>
            </w:tcBorders>
          </w:tcPr>
          <w:p>
            <w:pPr>
              <w:pStyle w:val="TableParagraph"/>
              <w:spacing w:before="50"/>
              <w:ind w:left="121" w:right="90"/>
              <w:rPr>
                <w:sz w:val="21"/>
              </w:rPr>
            </w:pPr>
            <w:r>
              <w:rPr>
                <w:sz w:val="21"/>
              </w:rPr>
              <w:t>0.0019</w:t>
            </w:r>
          </w:p>
        </w:tc>
        <w:tc>
          <w:tcPr>
            <w:tcW w:w="1279" w:type="dxa"/>
            <w:tcBorders>
              <w:top w:val="single" w:sz="6" w:space="0" w:color="000000"/>
              <w:left w:val="single" w:sz="6" w:space="0" w:color="000000"/>
              <w:right w:val="single" w:sz="6" w:space="0" w:color="000000"/>
            </w:tcBorders>
          </w:tcPr>
          <w:p>
            <w:pPr>
              <w:pStyle w:val="TableParagraph"/>
              <w:spacing w:before="50"/>
              <w:ind w:left="392" w:right="358"/>
              <w:rPr>
                <w:sz w:val="21"/>
              </w:rPr>
            </w:pPr>
            <w:r>
              <w:rPr>
                <w:sz w:val="21"/>
              </w:rPr>
              <w:t>0.017</w:t>
            </w:r>
          </w:p>
        </w:tc>
        <w:tc>
          <w:tcPr>
            <w:tcW w:w="1167" w:type="dxa"/>
            <w:tcBorders>
              <w:top w:val="single" w:sz="6" w:space="0" w:color="000000"/>
              <w:left w:val="single" w:sz="6" w:space="0" w:color="000000"/>
            </w:tcBorders>
          </w:tcPr>
          <w:p>
            <w:pPr>
              <w:pStyle w:val="TableParagraph"/>
              <w:spacing w:before="50"/>
              <w:ind w:left="365" w:right="326"/>
              <w:rPr>
                <w:sz w:val="21"/>
              </w:rPr>
            </w:pPr>
            <w:r>
              <w:rPr>
                <w:sz w:val="21"/>
              </w:rPr>
              <w:t>0.65</w:t>
            </w:r>
          </w:p>
        </w:tc>
      </w:tr>
    </w:tbl>
    <w:p>
      <w:pPr>
        <w:spacing w:after="0"/>
        <w:rPr>
          <w:sz w:val="21"/>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83"/>
        <w:gridCol w:w="1577"/>
        <w:gridCol w:w="1471"/>
        <w:gridCol w:w="1279"/>
        <w:gridCol w:w="1474"/>
        <w:gridCol w:w="1279"/>
        <w:gridCol w:w="1167"/>
      </w:tblGrid>
      <w:tr>
        <w:trPr>
          <w:trHeight w:val="359" w:hRule="atLeast"/>
        </w:trPr>
        <w:tc>
          <w:tcPr>
            <w:tcW w:w="1183" w:type="dxa"/>
            <w:vMerge w:val="restart"/>
            <w:tcBorders>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378"/>
              <w:jc w:val="left"/>
              <w:rPr>
                <w:rFonts w:ascii="宋体" w:eastAsia="宋体" w:hint="eastAsia"/>
                <w:b/>
                <w:sz w:val="21"/>
              </w:rPr>
            </w:pPr>
            <w:r>
              <w:rPr>
                <w:rFonts w:ascii="宋体" w:eastAsia="宋体" w:hint="eastAsia"/>
                <w:b/>
                <w:sz w:val="21"/>
              </w:rPr>
              <w:t>位置</w:t>
            </w:r>
          </w:p>
        </w:tc>
        <w:tc>
          <w:tcPr>
            <w:tcW w:w="1577" w:type="dxa"/>
            <w:vMerge w:val="restart"/>
            <w:tcBorders>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477"/>
              <w:jc w:val="left"/>
              <w:rPr>
                <w:rFonts w:ascii="宋体" w:eastAsia="宋体" w:hint="eastAsia"/>
                <w:b/>
                <w:sz w:val="21"/>
              </w:rPr>
            </w:pPr>
            <w:r>
              <w:rPr>
                <w:rFonts w:ascii="宋体" w:eastAsia="宋体" w:hint="eastAsia"/>
                <w:b/>
                <w:sz w:val="21"/>
              </w:rPr>
              <w:t>污染物</w:t>
            </w:r>
          </w:p>
        </w:tc>
        <w:tc>
          <w:tcPr>
            <w:tcW w:w="2750" w:type="dxa"/>
            <w:gridSpan w:val="2"/>
            <w:tcBorders>
              <w:left w:val="single" w:sz="6" w:space="0" w:color="000000"/>
              <w:bottom w:val="single" w:sz="6" w:space="0" w:color="000000"/>
              <w:right w:val="single" w:sz="6" w:space="0" w:color="000000"/>
            </w:tcBorders>
          </w:tcPr>
          <w:p>
            <w:pPr>
              <w:pStyle w:val="TableParagraph"/>
              <w:spacing w:before="49"/>
              <w:ind w:left="940" w:right="910"/>
              <w:rPr>
                <w:rFonts w:ascii="宋体" w:eastAsia="宋体" w:hint="eastAsia"/>
                <w:b/>
                <w:sz w:val="21"/>
              </w:rPr>
            </w:pPr>
            <w:r>
              <w:rPr>
                <w:rFonts w:ascii="宋体" w:eastAsia="宋体" w:hint="eastAsia"/>
                <w:b/>
                <w:sz w:val="21"/>
              </w:rPr>
              <w:t>产生情况</w:t>
            </w:r>
          </w:p>
        </w:tc>
        <w:tc>
          <w:tcPr>
            <w:tcW w:w="3920" w:type="dxa"/>
            <w:gridSpan w:val="3"/>
            <w:tcBorders>
              <w:left w:val="single" w:sz="6" w:space="0" w:color="000000"/>
              <w:bottom w:val="single" w:sz="6" w:space="0" w:color="000000"/>
            </w:tcBorders>
          </w:tcPr>
          <w:p>
            <w:pPr>
              <w:pStyle w:val="TableParagraph"/>
              <w:spacing w:before="49"/>
              <w:ind w:left="1019"/>
              <w:jc w:val="left"/>
              <w:rPr>
                <w:rFonts w:ascii="宋体" w:eastAsia="宋体" w:hint="eastAsia"/>
                <w:b/>
                <w:sz w:val="21"/>
              </w:rPr>
            </w:pPr>
            <w:r>
              <w:rPr>
                <w:rFonts w:ascii="宋体" w:eastAsia="宋体" w:hint="eastAsia"/>
                <w:b/>
                <w:sz w:val="21"/>
              </w:rPr>
              <w:t>排放情况（有组织）</w:t>
            </w:r>
          </w:p>
        </w:tc>
      </w:tr>
      <w:tr>
        <w:trPr>
          <w:trHeight w:val="359" w:hRule="atLeast"/>
        </w:trPr>
        <w:tc>
          <w:tcPr>
            <w:tcW w:w="1183" w:type="dxa"/>
            <w:vMerge/>
            <w:tcBorders>
              <w:top w:val="nil"/>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471" w:type="dxa"/>
            <w:tcBorders>
              <w:top w:val="single" w:sz="6" w:space="0" w:color="000000"/>
              <w:left w:val="single" w:sz="6" w:space="0" w:color="000000"/>
              <w:bottom w:val="single" w:sz="6" w:space="0" w:color="000000"/>
              <w:right w:val="single" w:sz="6" w:space="0" w:color="000000"/>
            </w:tcBorders>
          </w:tcPr>
          <w:p>
            <w:pPr>
              <w:pStyle w:val="TableParagraph"/>
              <w:spacing w:before="63"/>
              <w:ind w:left="432" w:right="405"/>
              <w:rPr>
                <w:b/>
                <w:sz w:val="21"/>
              </w:rPr>
            </w:pPr>
            <w:r>
              <w:rPr>
                <w:b/>
                <w:sz w:val="21"/>
              </w:rPr>
              <w:t>kg/h</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before="63"/>
              <w:ind w:left="389" w:right="358"/>
              <w:rPr>
                <w:b/>
                <w:sz w:val="21"/>
              </w:rPr>
            </w:pPr>
            <w:r>
              <w:rPr>
                <w:b/>
                <w:sz w:val="21"/>
              </w:rPr>
              <w:t>t/a</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63"/>
              <w:ind w:left="121" w:right="91"/>
              <w:rPr>
                <w:b/>
                <w:sz w:val="21"/>
              </w:rPr>
            </w:pPr>
            <w:r>
              <w:rPr>
                <w:b/>
                <w:sz w:val="21"/>
              </w:rPr>
              <w:t>kg/h</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spacing w:before="63"/>
              <w:ind w:left="390" w:right="358"/>
              <w:rPr>
                <w:b/>
                <w:sz w:val="21"/>
              </w:rPr>
            </w:pPr>
            <w:r>
              <w:rPr>
                <w:b/>
                <w:sz w:val="21"/>
              </w:rPr>
              <w:t>t/a</w:t>
            </w:r>
          </w:p>
        </w:tc>
        <w:tc>
          <w:tcPr>
            <w:tcW w:w="1167" w:type="dxa"/>
            <w:tcBorders>
              <w:top w:val="single" w:sz="6" w:space="0" w:color="000000"/>
              <w:left w:val="single" w:sz="6" w:space="0" w:color="000000"/>
              <w:bottom w:val="single" w:sz="6" w:space="0" w:color="000000"/>
            </w:tcBorders>
          </w:tcPr>
          <w:p>
            <w:pPr>
              <w:pStyle w:val="TableParagraph"/>
              <w:spacing w:before="63"/>
              <w:ind w:left="365" w:right="326"/>
              <w:rPr>
                <w:b/>
                <w:sz w:val="21"/>
              </w:rPr>
            </w:pPr>
            <w:r>
              <w:rPr>
                <w:b/>
                <w:sz w:val="21"/>
              </w:rPr>
              <w:t>m³/h</w:t>
            </w:r>
          </w:p>
        </w:tc>
      </w:tr>
      <w:tr>
        <w:trPr>
          <w:trHeight w:val="349" w:hRule="atLeast"/>
        </w:trPr>
        <w:tc>
          <w:tcPr>
            <w:tcW w:w="1183" w:type="dxa"/>
            <w:vMerge w:val="restart"/>
            <w:tcBorders>
              <w:top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380"/>
              <w:jc w:val="left"/>
              <w:rPr>
                <w:rFonts w:ascii="宋体" w:eastAsia="宋体" w:hint="eastAsia"/>
                <w:sz w:val="21"/>
              </w:rPr>
            </w:pPr>
            <w:r>
              <w:rPr>
                <w:rFonts w:ascii="宋体" w:eastAsia="宋体" w:hint="eastAsia"/>
                <w:sz w:val="21"/>
              </w:rPr>
              <w:t>合计</w:t>
            </w:r>
          </w:p>
        </w:tc>
        <w:tc>
          <w:tcPr>
            <w:tcW w:w="1577" w:type="dxa"/>
            <w:tcBorders>
              <w:top w:val="single" w:sz="6" w:space="0" w:color="000000"/>
              <w:left w:val="single" w:sz="6" w:space="0" w:color="000000"/>
              <w:bottom w:val="single" w:sz="6" w:space="0" w:color="000000"/>
              <w:right w:val="single" w:sz="6" w:space="0" w:color="000000"/>
            </w:tcBorders>
          </w:tcPr>
          <w:p>
            <w:pPr>
              <w:pStyle w:val="TableParagraph"/>
              <w:spacing w:before="57"/>
              <w:ind w:left="138" w:right="111"/>
              <w:rPr>
                <w:sz w:val="14"/>
              </w:rPr>
            </w:pPr>
            <w:r>
              <w:rPr>
                <w:position w:val="2"/>
                <w:sz w:val="21"/>
              </w:rPr>
              <w:t>NH</w:t>
            </w:r>
            <w:r>
              <w:rPr>
                <w:sz w:val="14"/>
              </w:rPr>
              <w:t>3</w:t>
            </w:r>
          </w:p>
        </w:tc>
        <w:tc>
          <w:tcPr>
            <w:tcW w:w="1471" w:type="dxa"/>
            <w:tcBorders>
              <w:top w:val="single" w:sz="6" w:space="0" w:color="000000"/>
              <w:left w:val="single" w:sz="6" w:space="0" w:color="000000"/>
              <w:bottom w:val="single" w:sz="6" w:space="0" w:color="000000"/>
              <w:right w:val="single" w:sz="6" w:space="0" w:color="000000"/>
            </w:tcBorders>
          </w:tcPr>
          <w:p>
            <w:pPr>
              <w:pStyle w:val="TableParagraph"/>
              <w:ind w:left="432" w:right="405"/>
              <w:rPr>
                <w:sz w:val="21"/>
              </w:rPr>
            </w:pPr>
            <w:r>
              <w:rPr>
                <w:sz w:val="21"/>
              </w:rPr>
              <w:t>0.1084</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ind w:left="391" w:right="358"/>
              <w:rPr>
                <w:sz w:val="21"/>
              </w:rPr>
            </w:pPr>
            <w:r>
              <w:rPr>
                <w:sz w:val="21"/>
              </w:rPr>
              <w:t>0.950</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ind w:left="121" w:right="90"/>
              <w:rPr>
                <w:sz w:val="21"/>
              </w:rPr>
            </w:pPr>
            <w:r>
              <w:rPr>
                <w:sz w:val="21"/>
              </w:rPr>
              <w:t>0.0217</w:t>
            </w:r>
          </w:p>
        </w:tc>
        <w:tc>
          <w:tcPr>
            <w:tcW w:w="1279" w:type="dxa"/>
            <w:tcBorders>
              <w:top w:val="single" w:sz="6" w:space="0" w:color="000000"/>
              <w:left w:val="single" w:sz="6" w:space="0" w:color="000000"/>
              <w:bottom w:val="single" w:sz="6" w:space="0" w:color="000000"/>
              <w:right w:val="single" w:sz="6" w:space="0" w:color="000000"/>
            </w:tcBorders>
          </w:tcPr>
          <w:p>
            <w:pPr>
              <w:pStyle w:val="TableParagraph"/>
              <w:ind w:left="392" w:right="358"/>
              <w:rPr>
                <w:sz w:val="21"/>
              </w:rPr>
            </w:pPr>
            <w:r>
              <w:rPr>
                <w:sz w:val="21"/>
              </w:rPr>
              <w:t>0.190</w:t>
            </w:r>
          </w:p>
        </w:tc>
        <w:tc>
          <w:tcPr>
            <w:tcW w:w="1167" w:type="dxa"/>
            <w:tcBorders>
              <w:top w:val="single" w:sz="6" w:space="0" w:color="000000"/>
              <w:left w:val="single" w:sz="6" w:space="0" w:color="000000"/>
              <w:bottom w:val="single" w:sz="6" w:space="0" w:color="000000"/>
            </w:tcBorders>
          </w:tcPr>
          <w:p>
            <w:pPr>
              <w:pStyle w:val="TableParagraph"/>
              <w:ind w:left="41"/>
              <w:rPr>
                <w:sz w:val="21"/>
              </w:rPr>
            </w:pPr>
            <w:r>
              <w:rPr>
                <w:w w:val="100"/>
                <w:sz w:val="21"/>
              </w:rPr>
              <w:t>/</w:t>
            </w:r>
          </w:p>
        </w:tc>
      </w:tr>
      <w:tr>
        <w:trPr>
          <w:trHeight w:val="351" w:hRule="atLeast"/>
        </w:trPr>
        <w:tc>
          <w:tcPr>
            <w:tcW w:w="1183" w:type="dxa"/>
            <w:vMerge/>
            <w:tcBorders>
              <w:top w:val="nil"/>
              <w:right w:val="single" w:sz="6" w:space="0" w:color="000000"/>
            </w:tcBorders>
          </w:tcPr>
          <w:p>
            <w:pPr>
              <w:rPr>
                <w:sz w:val="2"/>
                <w:szCs w:val="2"/>
              </w:rPr>
            </w:pPr>
          </w:p>
        </w:tc>
        <w:tc>
          <w:tcPr>
            <w:tcW w:w="1577" w:type="dxa"/>
            <w:tcBorders>
              <w:top w:val="single" w:sz="6" w:space="0" w:color="000000"/>
              <w:left w:val="single" w:sz="6" w:space="0" w:color="000000"/>
              <w:right w:val="single" w:sz="6" w:space="0" w:color="000000"/>
            </w:tcBorders>
          </w:tcPr>
          <w:p>
            <w:pPr>
              <w:pStyle w:val="TableParagraph"/>
              <w:spacing w:before="52"/>
              <w:ind w:left="137" w:right="111"/>
              <w:rPr>
                <w:sz w:val="21"/>
              </w:rPr>
            </w:pPr>
            <w:r>
              <w:rPr>
                <w:position w:val="2"/>
                <w:sz w:val="21"/>
              </w:rPr>
              <w:t>H</w:t>
            </w:r>
            <w:r>
              <w:rPr>
                <w:sz w:val="14"/>
              </w:rPr>
              <w:t>2</w:t>
            </w:r>
            <w:r>
              <w:rPr>
                <w:position w:val="2"/>
                <w:sz w:val="21"/>
              </w:rPr>
              <w:t>S</w:t>
            </w:r>
          </w:p>
        </w:tc>
        <w:tc>
          <w:tcPr>
            <w:tcW w:w="1471" w:type="dxa"/>
            <w:tcBorders>
              <w:top w:val="single" w:sz="6" w:space="0" w:color="000000"/>
              <w:left w:val="single" w:sz="6" w:space="0" w:color="000000"/>
              <w:right w:val="single" w:sz="6" w:space="0" w:color="000000"/>
            </w:tcBorders>
          </w:tcPr>
          <w:p>
            <w:pPr>
              <w:pStyle w:val="TableParagraph"/>
              <w:spacing w:before="53"/>
              <w:ind w:left="432" w:right="405"/>
              <w:rPr>
                <w:sz w:val="21"/>
              </w:rPr>
            </w:pPr>
            <w:r>
              <w:rPr>
                <w:sz w:val="21"/>
              </w:rPr>
              <w:t>0.0194</w:t>
            </w:r>
          </w:p>
        </w:tc>
        <w:tc>
          <w:tcPr>
            <w:tcW w:w="1279" w:type="dxa"/>
            <w:tcBorders>
              <w:top w:val="single" w:sz="6" w:space="0" w:color="000000"/>
              <w:left w:val="single" w:sz="6" w:space="0" w:color="000000"/>
              <w:right w:val="single" w:sz="6" w:space="0" w:color="000000"/>
            </w:tcBorders>
          </w:tcPr>
          <w:p>
            <w:pPr>
              <w:pStyle w:val="TableParagraph"/>
              <w:spacing w:before="53"/>
              <w:ind w:left="391" w:right="358"/>
              <w:rPr>
                <w:sz w:val="21"/>
              </w:rPr>
            </w:pPr>
            <w:r>
              <w:rPr>
                <w:sz w:val="21"/>
              </w:rPr>
              <w:t>0.170</w:t>
            </w:r>
          </w:p>
        </w:tc>
        <w:tc>
          <w:tcPr>
            <w:tcW w:w="1474" w:type="dxa"/>
            <w:tcBorders>
              <w:top w:val="single" w:sz="6" w:space="0" w:color="000000"/>
              <w:left w:val="single" w:sz="6" w:space="0" w:color="000000"/>
              <w:right w:val="single" w:sz="6" w:space="0" w:color="000000"/>
            </w:tcBorders>
          </w:tcPr>
          <w:p>
            <w:pPr>
              <w:pStyle w:val="TableParagraph"/>
              <w:spacing w:before="53"/>
              <w:ind w:left="121" w:right="90"/>
              <w:rPr>
                <w:sz w:val="21"/>
              </w:rPr>
            </w:pPr>
            <w:r>
              <w:rPr>
                <w:sz w:val="21"/>
              </w:rPr>
              <w:t>0.0039</w:t>
            </w:r>
          </w:p>
        </w:tc>
        <w:tc>
          <w:tcPr>
            <w:tcW w:w="1279" w:type="dxa"/>
            <w:tcBorders>
              <w:top w:val="single" w:sz="6" w:space="0" w:color="000000"/>
              <w:left w:val="single" w:sz="6" w:space="0" w:color="000000"/>
              <w:right w:val="single" w:sz="6" w:space="0" w:color="000000"/>
            </w:tcBorders>
          </w:tcPr>
          <w:p>
            <w:pPr>
              <w:pStyle w:val="TableParagraph"/>
              <w:spacing w:before="53"/>
              <w:ind w:left="392" w:right="358"/>
              <w:rPr>
                <w:sz w:val="21"/>
              </w:rPr>
            </w:pPr>
            <w:r>
              <w:rPr>
                <w:sz w:val="21"/>
              </w:rPr>
              <w:t>0.034</w:t>
            </w:r>
          </w:p>
        </w:tc>
        <w:tc>
          <w:tcPr>
            <w:tcW w:w="1167" w:type="dxa"/>
            <w:tcBorders>
              <w:top w:val="single" w:sz="6" w:space="0" w:color="000000"/>
              <w:left w:val="single" w:sz="6" w:space="0" w:color="000000"/>
            </w:tcBorders>
          </w:tcPr>
          <w:p>
            <w:pPr>
              <w:pStyle w:val="TableParagraph"/>
              <w:spacing w:before="53"/>
              <w:ind w:left="41"/>
              <w:rPr>
                <w:sz w:val="21"/>
              </w:rPr>
            </w:pPr>
            <w:r>
              <w:rPr>
                <w:w w:val="100"/>
                <w:sz w:val="21"/>
              </w:rPr>
              <w:t>/</w:t>
            </w:r>
          </w:p>
        </w:tc>
      </w:tr>
    </w:tbl>
    <w:p>
      <w:pPr>
        <w:spacing w:before="107"/>
        <w:ind w:left="719" w:right="0" w:firstLine="0"/>
        <w:jc w:val="left"/>
        <w:rPr>
          <w:b/>
          <w:sz w:val="24"/>
        </w:rPr>
      </w:pPr>
      <w:r>
        <w:rPr>
          <w:rFonts w:ascii="Times New Roman" w:eastAsia="Times New Roman"/>
          <w:b/>
          <w:sz w:val="24"/>
        </w:rPr>
        <w:t>4</w:t>
      </w:r>
      <w:r>
        <w:rPr>
          <w:b/>
          <w:sz w:val="24"/>
        </w:rPr>
        <w:t>、病死猪无害化处理臭气（</w:t>
      </w:r>
      <w:r>
        <w:rPr>
          <w:rFonts w:ascii="Times New Roman" w:eastAsia="Times New Roman"/>
          <w:b/>
          <w:sz w:val="24"/>
        </w:rPr>
        <w:t>G4</w:t>
      </w:r>
      <w:r>
        <w:rPr>
          <w:b/>
          <w:sz w:val="24"/>
        </w:rPr>
        <w:t>）</w:t>
      </w:r>
    </w:p>
    <w:p>
      <w:pPr>
        <w:pStyle w:val="BodyText"/>
        <w:spacing w:line="364" w:lineRule="auto" w:before="161"/>
        <w:ind w:right="249" w:firstLine="480"/>
        <w:jc w:val="both"/>
      </w:pPr>
      <w:r>
        <w:rPr/>
        <w:t>本项目拟采用高温生物降解技术处理病死猪，根据《病死畜禽不同无害化处理方法的环评要点分析》（</w:t>
      </w:r>
      <w:r>
        <w:rPr>
          <w:spacing w:val="-5"/>
        </w:rPr>
        <w:t>陈永兴等，江西科学第 </w:t>
      </w:r>
      <w:r>
        <w:rPr>
          <w:rFonts w:ascii="Times New Roman" w:eastAsia="Times New Roman"/>
        </w:rPr>
        <w:t>34 </w:t>
      </w:r>
      <w:r>
        <w:rPr>
          <w:spacing w:val="-19"/>
        </w:rPr>
        <w:t>卷第 </w:t>
      </w:r>
      <w:r>
        <w:rPr>
          <w:rFonts w:ascii="Times New Roman" w:eastAsia="Times New Roman"/>
        </w:rPr>
        <w:t>5 </w:t>
      </w:r>
      <w:r>
        <w:rPr/>
        <w:t>期，</w:t>
      </w:r>
      <w:r>
        <w:rPr>
          <w:rFonts w:ascii="Times New Roman" w:eastAsia="Times New Roman"/>
        </w:rPr>
        <w:t>2016 </w:t>
      </w:r>
      <w:r>
        <w:rPr>
          <w:spacing w:val="-28"/>
        </w:rPr>
        <w:t>年 </w:t>
      </w:r>
      <w:r>
        <w:rPr>
          <w:rFonts w:ascii="Times New Roman" w:eastAsia="Times New Roman"/>
        </w:rPr>
        <w:t>10 </w:t>
      </w:r>
      <w:r>
        <w:rPr/>
        <w:t>月），相对于焚烧法、掩埋法、化制法、发酵法，高温生物降解法在降解、搅拌及破碎和杀菌过程中恶臭废气产生量相对较小，对周边环境空气的影响相对较小。根据《病死动物高温生物降解无害化处理技术推广应用探讨》（余波等</w:t>
      </w:r>
      <w:r>
        <w:rPr>
          <w:spacing w:val="3"/>
        </w:rPr>
        <w:t>）</w:t>
      </w:r>
      <w:r>
        <w:rPr/>
        <w:t>，该技术获得区级科技成果二等奖，处理过程无污水和烟气产生，处理现场无异味，不会污染环境。</w:t>
      </w:r>
    </w:p>
    <w:p>
      <w:pPr>
        <w:pStyle w:val="BodyText"/>
        <w:spacing w:line="364" w:lineRule="auto" w:before="4"/>
        <w:ind w:right="250" w:firstLine="480"/>
        <w:jc w:val="both"/>
      </w:pPr>
      <w:r>
        <w:rPr/>
        <w:t>本环评保守考虑，其废气源强类比化制法进行计算，采用化制法的同类企业产污系</w:t>
      </w:r>
      <w:r>
        <w:rPr>
          <w:position w:val="2"/>
        </w:rPr>
        <w:t>数为：</w:t>
      </w:r>
      <w:r>
        <w:rPr>
          <w:rFonts w:ascii="Times New Roman" w:hAnsi="Times New Roman" w:eastAsia="Times New Roman"/>
          <w:position w:val="2"/>
        </w:rPr>
        <w:t>NH</w:t>
      </w:r>
      <w:r>
        <w:rPr>
          <w:rFonts w:ascii="Times New Roman" w:hAnsi="Times New Roman" w:eastAsia="Times New Roman"/>
          <w:sz w:val="16"/>
        </w:rPr>
        <w:t>3 </w:t>
      </w:r>
      <w:r>
        <w:rPr>
          <w:spacing w:val="-25"/>
          <w:position w:val="2"/>
        </w:rPr>
        <w:t>为 </w:t>
      </w:r>
      <w:r>
        <w:rPr>
          <w:rFonts w:ascii="Times New Roman" w:hAnsi="Times New Roman" w:eastAsia="Times New Roman"/>
          <w:position w:val="2"/>
        </w:rPr>
        <w:t>6.67×10</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kg/t </w:t>
      </w:r>
      <w:r>
        <w:rPr>
          <w:position w:val="2"/>
          <w:vertAlign w:val="baseline"/>
        </w:rPr>
        <w:t>原料、</w:t>
      </w:r>
      <w:r>
        <w:rPr>
          <w:rFonts w:ascii="Times New Roman" w:hAnsi="Times New Roman" w:eastAsia="Times New Roman"/>
          <w:position w:val="2"/>
          <w:vertAlign w:val="baseline"/>
        </w:rPr>
        <w:t>H</w:t>
      </w:r>
      <w:r>
        <w:rPr>
          <w:rFonts w:ascii="Times New Roman" w:hAnsi="Times New Roman" w:eastAsia="Times New Roman"/>
          <w:sz w:val="16"/>
          <w:vertAlign w:val="baseline"/>
        </w:rPr>
        <w:t>2</w:t>
      </w:r>
      <w:r>
        <w:rPr>
          <w:rFonts w:ascii="Times New Roman" w:hAnsi="Times New Roman" w:eastAsia="Times New Roman"/>
          <w:position w:val="2"/>
          <w:vertAlign w:val="baseline"/>
        </w:rPr>
        <w:t>S </w:t>
      </w:r>
      <w:r>
        <w:rPr>
          <w:spacing w:val="-25"/>
          <w:position w:val="2"/>
          <w:vertAlign w:val="baseline"/>
        </w:rPr>
        <w:t>为 </w:t>
      </w:r>
      <w:r>
        <w:rPr>
          <w:rFonts w:ascii="Times New Roman" w:hAnsi="Times New Roman" w:eastAsia="Times New Roman"/>
          <w:position w:val="2"/>
          <w:vertAlign w:val="baseline"/>
        </w:rPr>
        <w:t>8.0×10</w:t>
      </w:r>
      <w:r>
        <w:rPr>
          <w:rFonts w:ascii="Times New Roman" w:hAnsi="Times New Roman" w:eastAsia="Times New Roman"/>
          <w:position w:val="2"/>
          <w:vertAlign w:val="superscript"/>
        </w:rPr>
        <w:t>-5</w:t>
      </w:r>
      <w:r>
        <w:rPr>
          <w:rFonts w:ascii="Times New Roman" w:hAnsi="Times New Roman" w:eastAsia="Times New Roman"/>
          <w:position w:val="2"/>
          <w:vertAlign w:val="baseline"/>
        </w:rPr>
        <w:t>kg/t </w:t>
      </w:r>
      <w:r>
        <w:rPr>
          <w:spacing w:val="-3"/>
          <w:position w:val="2"/>
          <w:vertAlign w:val="baseline"/>
        </w:rPr>
        <w:t>原料，本项目无害化处理物料量约</w:t>
      </w:r>
      <w:r>
        <w:rPr>
          <w:rFonts w:ascii="Times New Roman" w:hAnsi="Times New Roman" w:eastAsia="Times New Roman"/>
          <w:spacing w:val="-4"/>
          <w:vertAlign w:val="baseline"/>
        </w:rPr>
        <w:t>447.5t/a</w:t>
      </w:r>
      <w:r>
        <w:rPr>
          <w:spacing w:val="-9"/>
          <w:vertAlign w:val="baseline"/>
        </w:rPr>
        <w:t>，日均运行时间约 </w:t>
      </w:r>
      <w:r>
        <w:rPr>
          <w:rFonts w:ascii="Times New Roman" w:hAnsi="Times New Roman" w:eastAsia="Times New Roman"/>
          <w:vertAlign w:val="baseline"/>
        </w:rPr>
        <w:t>10 </w:t>
      </w:r>
      <w:r>
        <w:rPr>
          <w:spacing w:val="-8"/>
          <w:vertAlign w:val="baseline"/>
        </w:rPr>
        <w:t>小时，要求废气收集管线与处理机排气口实行硬链接，废气</w:t>
      </w:r>
      <w:r>
        <w:rPr>
          <w:spacing w:val="9"/>
          <w:vertAlign w:val="baseline"/>
        </w:rPr>
        <w:t>收集效率可按 </w:t>
      </w:r>
      <w:r>
        <w:rPr>
          <w:rFonts w:ascii="Times New Roman" w:hAnsi="Times New Roman" w:eastAsia="Times New Roman"/>
          <w:spacing w:val="2"/>
          <w:vertAlign w:val="baseline"/>
        </w:rPr>
        <w:t>100%</w:t>
      </w:r>
      <w:r>
        <w:rPr>
          <w:spacing w:val="10"/>
          <w:vertAlign w:val="baseline"/>
        </w:rPr>
        <w:t>考虑，废气引至配套的喷淋装置处理后由对应的 </w:t>
      </w:r>
      <w:r>
        <w:rPr>
          <w:rFonts w:ascii="Times New Roman" w:hAnsi="Times New Roman" w:eastAsia="Times New Roman"/>
          <w:vertAlign w:val="baseline"/>
        </w:rPr>
        <w:t>15m </w:t>
      </w:r>
      <w:r>
        <w:rPr>
          <w:spacing w:val="9"/>
          <w:vertAlign w:val="baseline"/>
        </w:rPr>
        <w:t>高排气筒</w:t>
      </w:r>
    </w:p>
    <w:p>
      <w:pPr>
        <w:pStyle w:val="BodyText"/>
        <w:spacing w:line="364" w:lineRule="auto"/>
        <w:ind w:right="249"/>
        <w:jc w:val="both"/>
      </w:pPr>
      <w:r>
        <w:rPr/>
        <w:t>（</w:t>
      </w:r>
      <w:r>
        <w:rPr>
          <w:rFonts w:ascii="Times New Roman" w:hAnsi="Times New Roman" w:eastAsia="Times New Roman"/>
        </w:rPr>
        <w:t>DA003-1</w:t>
      </w:r>
      <w:r>
        <w:rPr/>
        <w:t>、</w:t>
      </w:r>
      <w:r>
        <w:rPr>
          <w:rFonts w:ascii="Times New Roman" w:hAnsi="Times New Roman" w:eastAsia="Times New Roman"/>
        </w:rPr>
        <w:t>DA003-2</w:t>
      </w:r>
      <w:r>
        <w:rPr>
          <w:spacing w:val="-15"/>
        </w:rPr>
        <w:t>，共 </w:t>
      </w:r>
      <w:r>
        <w:rPr>
          <w:rFonts w:ascii="Times New Roman" w:hAnsi="Times New Roman" w:eastAsia="Times New Roman"/>
        </w:rPr>
        <w:t>2 </w:t>
      </w:r>
      <w:r>
        <w:rPr/>
        <w:t>个）排放（</w:t>
      </w:r>
      <w:r>
        <w:rPr>
          <w:spacing w:val="-5"/>
        </w:rPr>
        <w:t>每套装置设计风量约 </w:t>
      </w:r>
      <w:r>
        <w:rPr>
          <w:rFonts w:ascii="Times New Roman" w:hAnsi="Times New Roman" w:eastAsia="Times New Roman"/>
        </w:rPr>
        <w:t>500m³/h</w:t>
      </w:r>
      <w:r>
        <w:rPr/>
        <w:t>），</w:t>
      </w:r>
      <w:r>
        <w:rPr>
          <w:spacing w:val="-3"/>
        </w:rPr>
        <w:t>由此计算得该</w:t>
      </w:r>
      <w:r>
        <w:rPr>
          <w:spacing w:val="-5"/>
          <w:position w:val="2"/>
        </w:rPr>
        <w:t>股废气源强如表 </w:t>
      </w:r>
      <w:r>
        <w:rPr>
          <w:rFonts w:ascii="Times New Roman" w:hAnsi="Times New Roman" w:eastAsia="Times New Roman"/>
          <w:position w:val="2"/>
        </w:rPr>
        <w:t>3.3-10 </w:t>
      </w:r>
      <w:r>
        <w:rPr>
          <w:spacing w:val="-6"/>
          <w:position w:val="2"/>
        </w:rPr>
        <w:t>所示，可知 </w:t>
      </w:r>
      <w:r>
        <w:rPr>
          <w:rFonts w:ascii="Times New Roman" w:hAnsi="Times New Roman" w:eastAsia="Times New Roman"/>
          <w:position w:val="2"/>
        </w:rPr>
        <w:t>NH</w:t>
      </w:r>
      <w:r>
        <w:rPr>
          <w:rFonts w:ascii="Times New Roman" w:hAnsi="Times New Roman" w:eastAsia="Times New Roman"/>
          <w:sz w:val="16"/>
        </w:rPr>
        <w:t>3</w:t>
      </w:r>
      <w:r>
        <w:rPr>
          <w:position w:val="2"/>
        </w:rPr>
        <w:t>、</w:t>
      </w:r>
      <w:r>
        <w:rPr>
          <w:rFonts w:ascii="Times New Roman" w:hAnsi="Times New Roman" w:eastAsia="Times New Roman"/>
          <w:position w:val="2"/>
        </w:rPr>
        <w:t>H</w:t>
      </w:r>
      <w:r>
        <w:rPr>
          <w:rFonts w:ascii="Times New Roman" w:hAnsi="Times New Roman" w:eastAsia="Times New Roman"/>
          <w:sz w:val="16"/>
        </w:rPr>
        <w:t>2</w:t>
      </w:r>
      <w:r>
        <w:rPr>
          <w:rFonts w:ascii="Times New Roman" w:hAnsi="Times New Roman" w:eastAsia="Times New Roman"/>
          <w:position w:val="2"/>
        </w:rPr>
        <w:t>S </w:t>
      </w:r>
      <w:r>
        <w:rPr>
          <w:position w:val="2"/>
        </w:rPr>
        <w:t>有组织排放速率均能符合《恶臭污染物排</w:t>
      </w:r>
      <w:r>
        <w:rPr/>
        <w:t>放标准》（</w:t>
      </w:r>
      <w:r>
        <w:rPr>
          <w:rFonts w:ascii="Times New Roman" w:hAnsi="Times New Roman" w:eastAsia="Times New Roman"/>
        </w:rPr>
        <w:t>GB 14554-93</w:t>
      </w:r>
      <w:r>
        <w:rPr/>
        <w:t>）中的要求。</w:t>
      </w:r>
    </w:p>
    <w:p>
      <w:pPr>
        <w:pStyle w:val="Heading3"/>
        <w:spacing w:before="0"/>
        <w:ind w:left="2635"/>
        <w:jc w:val="both"/>
      </w:pPr>
      <w:r>
        <w:rPr/>
        <w:t>表 </w:t>
      </w:r>
      <w:r>
        <w:rPr>
          <w:rFonts w:ascii="Times New Roman" w:eastAsia="Times New Roman"/>
        </w:rPr>
        <w:t>3.3-10  </w:t>
      </w:r>
      <w:r>
        <w:rPr/>
        <w:t>病死猪无害化处理臭气源强计算</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82"/>
        <w:gridCol w:w="1302"/>
        <w:gridCol w:w="1522"/>
        <w:gridCol w:w="1525"/>
        <w:gridCol w:w="1523"/>
        <w:gridCol w:w="1522"/>
        <w:gridCol w:w="1059"/>
      </w:tblGrid>
      <w:tr>
        <w:trPr>
          <w:trHeight w:val="359" w:hRule="atLeast"/>
        </w:trPr>
        <w:tc>
          <w:tcPr>
            <w:tcW w:w="982"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277"/>
              <w:jc w:val="left"/>
              <w:rPr>
                <w:rFonts w:ascii="宋体" w:eastAsia="宋体" w:hint="eastAsia"/>
                <w:b/>
                <w:sz w:val="21"/>
              </w:rPr>
            </w:pPr>
            <w:r>
              <w:rPr>
                <w:rFonts w:ascii="宋体" w:eastAsia="宋体" w:hint="eastAsia"/>
                <w:b/>
                <w:sz w:val="21"/>
              </w:rPr>
              <w:t>位置</w:t>
            </w:r>
          </w:p>
        </w:tc>
        <w:tc>
          <w:tcPr>
            <w:tcW w:w="1302"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337"/>
              <w:jc w:val="left"/>
              <w:rPr>
                <w:rFonts w:ascii="宋体" w:eastAsia="宋体" w:hint="eastAsia"/>
                <w:b/>
                <w:sz w:val="21"/>
              </w:rPr>
            </w:pPr>
            <w:r>
              <w:rPr>
                <w:rFonts w:ascii="宋体" w:eastAsia="宋体" w:hint="eastAsia"/>
                <w:b/>
                <w:sz w:val="21"/>
              </w:rPr>
              <w:t>污染物</w:t>
            </w:r>
          </w:p>
        </w:tc>
        <w:tc>
          <w:tcPr>
            <w:tcW w:w="3047" w:type="dxa"/>
            <w:gridSpan w:val="2"/>
            <w:tcBorders>
              <w:left w:val="single" w:sz="6" w:space="0" w:color="000000"/>
              <w:bottom w:val="single" w:sz="6" w:space="0" w:color="000000"/>
              <w:right w:val="single" w:sz="6" w:space="0" w:color="000000"/>
            </w:tcBorders>
          </w:tcPr>
          <w:p>
            <w:pPr>
              <w:pStyle w:val="TableParagraph"/>
              <w:spacing w:before="46"/>
              <w:ind w:left="1085" w:right="1063"/>
              <w:rPr>
                <w:rFonts w:ascii="宋体" w:eastAsia="宋体" w:hint="eastAsia"/>
                <w:b/>
                <w:sz w:val="21"/>
              </w:rPr>
            </w:pPr>
            <w:r>
              <w:rPr>
                <w:rFonts w:ascii="宋体" w:eastAsia="宋体" w:hint="eastAsia"/>
                <w:b/>
                <w:sz w:val="21"/>
              </w:rPr>
              <w:t>产生情况</w:t>
            </w:r>
          </w:p>
        </w:tc>
        <w:tc>
          <w:tcPr>
            <w:tcW w:w="4104" w:type="dxa"/>
            <w:gridSpan w:val="3"/>
            <w:tcBorders>
              <w:left w:val="single" w:sz="6" w:space="0" w:color="000000"/>
              <w:bottom w:val="single" w:sz="6" w:space="0" w:color="000000"/>
            </w:tcBorders>
          </w:tcPr>
          <w:p>
            <w:pPr>
              <w:pStyle w:val="TableParagraph"/>
              <w:spacing w:before="46"/>
              <w:ind w:left="1104"/>
              <w:jc w:val="left"/>
              <w:rPr>
                <w:rFonts w:ascii="宋体" w:eastAsia="宋体" w:hint="eastAsia"/>
                <w:b/>
                <w:sz w:val="21"/>
              </w:rPr>
            </w:pPr>
            <w:r>
              <w:rPr>
                <w:rFonts w:ascii="宋体" w:eastAsia="宋体" w:hint="eastAsia"/>
                <w:b/>
                <w:sz w:val="21"/>
              </w:rPr>
              <w:t>排放情况（有组织）</w:t>
            </w:r>
          </w:p>
        </w:tc>
      </w:tr>
      <w:tr>
        <w:trPr>
          <w:trHeight w:val="356" w:hRule="atLeast"/>
        </w:trPr>
        <w:tc>
          <w:tcPr>
            <w:tcW w:w="982" w:type="dxa"/>
            <w:vMerge/>
            <w:tcBorders>
              <w:top w:val="nil"/>
              <w:bottom w:val="single" w:sz="6" w:space="0" w:color="000000"/>
              <w:right w:val="single" w:sz="6" w:space="0" w:color="000000"/>
            </w:tcBorders>
          </w:tcPr>
          <w:p>
            <w:pPr>
              <w:rPr>
                <w:sz w:val="2"/>
                <w:szCs w:val="2"/>
              </w:rPr>
            </w:pPr>
          </w:p>
        </w:tc>
        <w:tc>
          <w:tcPr>
            <w:tcW w:w="1302" w:type="dxa"/>
            <w:vMerge/>
            <w:tcBorders>
              <w:top w:val="nil"/>
              <w:left w:val="single" w:sz="6" w:space="0" w:color="000000"/>
              <w:bottom w:val="single" w:sz="6" w:space="0" w:color="000000"/>
              <w:right w:val="single" w:sz="6" w:space="0" w:color="000000"/>
            </w:tcBorders>
          </w:tcPr>
          <w:p>
            <w:pPr>
              <w:rPr>
                <w:sz w:val="2"/>
                <w:szCs w:val="2"/>
              </w:rPr>
            </w:pPr>
          </w:p>
        </w:tc>
        <w:tc>
          <w:tcPr>
            <w:tcW w:w="1522" w:type="dxa"/>
            <w:tcBorders>
              <w:top w:val="single" w:sz="6" w:space="0" w:color="000000"/>
              <w:left w:val="single" w:sz="6" w:space="0" w:color="000000"/>
              <w:bottom w:val="single" w:sz="6" w:space="0" w:color="000000"/>
              <w:right w:val="single" w:sz="6" w:space="0" w:color="000000"/>
            </w:tcBorders>
          </w:tcPr>
          <w:p>
            <w:pPr>
              <w:pStyle w:val="TableParagraph"/>
              <w:spacing w:before="63"/>
              <w:ind w:left="354" w:right="328"/>
              <w:rPr>
                <w:b/>
                <w:sz w:val="21"/>
              </w:rPr>
            </w:pPr>
            <w:r>
              <w:rPr>
                <w:b/>
                <w:sz w:val="21"/>
              </w:rPr>
              <w:t>kg/h</w:t>
            </w:r>
          </w:p>
        </w:tc>
        <w:tc>
          <w:tcPr>
            <w:tcW w:w="1525" w:type="dxa"/>
            <w:tcBorders>
              <w:top w:val="single" w:sz="6" w:space="0" w:color="000000"/>
              <w:left w:val="single" w:sz="6" w:space="0" w:color="000000"/>
              <w:bottom w:val="single" w:sz="6" w:space="0" w:color="000000"/>
              <w:right w:val="single" w:sz="6" w:space="0" w:color="000000"/>
            </w:tcBorders>
          </w:tcPr>
          <w:p>
            <w:pPr>
              <w:pStyle w:val="TableParagraph"/>
              <w:spacing w:before="63"/>
              <w:ind w:left="356" w:right="336"/>
              <w:rPr>
                <w:b/>
                <w:sz w:val="21"/>
              </w:rPr>
            </w:pPr>
            <w:r>
              <w:rPr>
                <w:b/>
                <w:sz w:val="21"/>
              </w:rPr>
              <w:t>t/a</w:t>
            </w:r>
          </w:p>
        </w:tc>
        <w:tc>
          <w:tcPr>
            <w:tcW w:w="1523" w:type="dxa"/>
            <w:tcBorders>
              <w:top w:val="single" w:sz="6" w:space="0" w:color="000000"/>
              <w:left w:val="single" w:sz="6" w:space="0" w:color="000000"/>
              <w:bottom w:val="single" w:sz="6" w:space="0" w:color="000000"/>
              <w:right w:val="single" w:sz="6" w:space="0" w:color="000000"/>
            </w:tcBorders>
          </w:tcPr>
          <w:p>
            <w:pPr>
              <w:pStyle w:val="TableParagraph"/>
              <w:spacing w:before="63"/>
              <w:ind w:left="355" w:right="337"/>
              <w:rPr>
                <w:b/>
                <w:sz w:val="21"/>
              </w:rPr>
            </w:pPr>
            <w:r>
              <w:rPr>
                <w:b/>
                <w:sz w:val="21"/>
              </w:rPr>
              <w:t>kg/h</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spacing w:before="63"/>
              <w:ind w:left="347" w:right="332"/>
              <w:rPr>
                <w:b/>
                <w:sz w:val="21"/>
              </w:rPr>
            </w:pPr>
            <w:r>
              <w:rPr>
                <w:b/>
                <w:sz w:val="21"/>
              </w:rPr>
              <w:t>t/a</w:t>
            </w:r>
          </w:p>
        </w:tc>
        <w:tc>
          <w:tcPr>
            <w:tcW w:w="1059" w:type="dxa"/>
            <w:tcBorders>
              <w:top w:val="single" w:sz="6" w:space="0" w:color="000000"/>
              <w:left w:val="single" w:sz="6" w:space="0" w:color="000000"/>
              <w:bottom w:val="single" w:sz="6" w:space="0" w:color="000000"/>
            </w:tcBorders>
          </w:tcPr>
          <w:p>
            <w:pPr>
              <w:pStyle w:val="TableParagraph"/>
              <w:spacing w:before="63"/>
              <w:ind w:left="273" w:right="246"/>
              <w:rPr>
                <w:b/>
                <w:sz w:val="21"/>
              </w:rPr>
            </w:pPr>
            <w:r>
              <w:rPr>
                <w:b/>
                <w:sz w:val="21"/>
              </w:rPr>
              <w:t>m³/h</w:t>
            </w:r>
          </w:p>
        </w:tc>
      </w:tr>
      <w:tr>
        <w:trPr>
          <w:trHeight w:val="359" w:hRule="atLeast"/>
        </w:trPr>
        <w:tc>
          <w:tcPr>
            <w:tcW w:w="98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277"/>
              <w:jc w:val="left"/>
              <w:rPr>
                <w:rFonts w:ascii="宋体" w:eastAsia="宋体" w:hint="eastAsia"/>
                <w:sz w:val="21"/>
              </w:rPr>
            </w:pPr>
            <w:r>
              <w:rPr>
                <w:rFonts w:ascii="宋体" w:eastAsia="宋体" w:hint="eastAsia"/>
                <w:sz w:val="21"/>
              </w:rPr>
              <w:t>单机</w:t>
            </w:r>
          </w:p>
        </w:tc>
        <w:tc>
          <w:tcPr>
            <w:tcW w:w="1302" w:type="dxa"/>
            <w:tcBorders>
              <w:top w:val="single" w:sz="6" w:space="0" w:color="000000"/>
              <w:left w:val="single" w:sz="6" w:space="0" w:color="000000"/>
              <w:bottom w:val="single" w:sz="6" w:space="0" w:color="000000"/>
              <w:right w:val="single" w:sz="6" w:space="0" w:color="000000"/>
            </w:tcBorders>
          </w:tcPr>
          <w:p>
            <w:pPr>
              <w:pStyle w:val="TableParagraph"/>
              <w:spacing w:before="59"/>
              <w:ind w:left="447" w:right="426"/>
              <w:rPr>
                <w:sz w:val="14"/>
              </w:rPr>
            </w:pPr>
            <w:r>
              <w:rPr>
                <w:position w:val="2"/>
                <w:sz w:val="21"/>
              </w:rPr>
              <w:t>NH</w:t>
            </w:r>
            <w:r>
              <w:rPr>
                <w:sz w:val="14"/>
              </w:rPr>
              <w:t>3</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ind w:left="354" w:right="328"/>
              <w:rPr>
                <w:sz w:val="21"/>
              </w:rPr>
            </w:pPr>
            <w:r>
              <w:rPr>
                <w:sz w:val="21"/>
              </w:rPr>
              <w:t>4.09E-04</w:t>
            </w:r>
          </w:p>
        </w:tc>
        <w:tc>
          <w:tcPr>
            <w:tcW w:w="1525" w:type="dxa"/>
            <w:tcBorders>
              <w:top w:val="single" w:sz="6" w:space="0" w:color="000000"/>
              <w:left w:val="single" w:sz="6" w:space="0" w:color="000000"/>
              <w:bottom w:val="single" w:sz="6" w:space="0" w:color="000000"/>
              <w:right w:val="single" w:sz="6" w:space="0" w:color="000000"/>
            </w:tcBorders>
          </w:tcPr>
          <w:p>
            <w:pPr>
              <w:pStyle w:val="TableParagraph"/>
              <w:ind w:left="358" w:right="336"/>
              <w:rPr>
                <w:sz w:val="21"/>
              </w:rPr>
            </w:pPr>
            <w:r>
              <w:rPr>
                <w:sz w:val="21"/>
              </w:rPr>
              <w:t>1.49E-03</w:t>
            </w:r>
          </w:p>
        </w:tc>
        <w:tc>
          <w:tcPr>
            <w:tcW w:w="1523" w:type="dxa"/>
            <w:tcBorders>
              <w:top w:val="single" w:sz="6" w:space="0" w:color="000000"/>
              <w:left w:val="single" w:sz="6" w:space="0" w:color="000000"/>
              <w:bottom w:val="single" w:sz="6" w:space="0" w:color="000000"/>
              <w:right w:val="single" w:sz="6" w:space="0" w:color="000000"/>
            </w:tcBorders>
          </w:tcPr>
          <w:p>
            <w:pPr>
              <w:pStyle w:val="TableParagraph"/>
              <w:ind w:left="355" w:right="337"/>
              <w:rPr>
                <w:sz w:val="21"/>
              </w:rPr>
            </w:pPr>
            <w:r>
              <w:rPr>
                <w:sz w:val="21"/>
              </w:rPr>
              <w:t>8.18E-05</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ind w:left="349" w:right="332"/>
              <w:rPr>
                <w:sz w:val="21"/>
              </w:rPr>
            </w:pPr>
            <w:r>
              <w:rPr>
                <w:sz w:val="21"/>
              </w:rPr>
              <w:t>2.98E-04</w:t>
            </w:r>
          </w:p>
        </w:tc>
        <w:tc>
          <w:tcPr>
            <w:tcW w:w="1059" w:type="dxa"/>
            <w:tcBorders>
              <w:top w:val="single" w:sz="6" w:space="0" w:color="000000"/>
              <w:left w:val="single" w:sz="6" w:space="0" w:color="000000"/>
              <w:bottom w:val="single" w:sz="6" w:space="0" w:color="000000"/>
            </w:tcBorders>
          </w:tcPr>
          <w:p>
            <w:pPr>
              <w:pStyle w:val="TableParagraph"/>
              <w:ind w:left="277" w:right="245"/>
              <w:rPr>
                <w:sz w:val="21"/>
              </w:rPr>
            </w:pPr>
            <w:r>
              <w:rPr>
                <w:sz w:val="21"/>
              </w:rPr>
              <w:t>0.16</w:t>
            </w:r>
          </w:p>
        </w:tc>
      </w:tr>
      <w:tr>
        <w:trPr>
          <w:trHeight w:val="359" w:hRule="atLeast"/>
        </w:trPr>
        <w:tc>
          <w:tcPr>
            <w:tcW w:w="982" w:type="dxa"/>
            <w:vMerge/>
            <w:tcBorders>
              <w:top w:val="nil"/>
              <w:bottom w:val="single" w:sz="6" w:space="0" w:color="000000"/>
              <w:right w:val="single" w:sz="6" w:space="0" w:color="000000"/>
            </w:tcBorders>
          </w:tcPr>
          <w:p>
            <w:pPr>
              <w:rPr>
                <w:sz w:val="2"/>
                <w:szCs w:val="2"/>
              </w:rPr>
            </w:pPr>
          </w:p>
        </w:tc>
        <w:tc>
          <w:tcPr>
            <w:tcW w:w="1302" w:type="dxa"/>
            <w:tcBorders>
              <w:top w:val="single" w:sz="6" w:space="0" w:color="000000"/>
              <w:left w:val="single" w:sz="6" w:space="0" w:color="000000"/>
              <w:bottom w:val="single" w:sz="6" w:space="0" w:color="000000"/>
              <w:right w:val="single" w:sz="6" w:space="0" w:color="000000"/>
            </w:tcBorders>
          </w:tcPr>
          <w:p>
            <w:pPr>
              <w:pStyle w:val="TableParagraph"/>
              <w:spacing w:before="57"/>
              <w:ind w:left="447" w:right="421"/>
              <w:rPr>
                <w:sz w:val="21"/>
              </w:rPr>
            </w:pPr>
            <w:r>
              <w:rPr>
                <w:position w:val="2"/>
                <w:sz w:val="21"/>
              </w:rPr>
              <w:t>H</w:t>
            </w:r>
            <w:r>
              <w:rPr>
                <w:sz w:val="14"/>
              </w:rPr>
              <w:t>2</w:t>
            </w:r>
            <w:r>
              <w:rPr>
                <w:position w:val="2"/>
                <w:sz w:val="21"/>
              </w:rPr>
              <w:t>S</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ind w:left="354" w:right="328"/>
              <w:rPr>
                <w:sz w:val="21"/>
              </w:rPr>
            </w:pPr>
            <w:r>
              <w:rPr>
                <w:sz w:val="21"/>
              </w:rPr>
              <w:t>4.90E-06</w:t>
            </w:r>
          </w:p>
        </w:tc>
        <w:tc>
          <w:tcPr>
            <w:tcW w:w="1525" w:type="dxa"/>
            <w:tcBorders>
              <w:top w:val="single" w:sz="6" w:space="0" w:color="000000"/>
              <w:left w:val="single" w:sz="6" w:space="0" w:color="000000"/>
              <w:bottom w:val="single" w:sz="6" w:space="0" w:color="000000"/>
              <w:right w:val="single" w:sz="6" w:space="0" w:color="000000"/>
            </w:tcBorders>
          </w:tcPr>
          <w:p>
            <w:pPr>
              <w:pStyle w:val="TableParagraph"/>
              <w:ind w:left="358" w:right="336"/>
              <w:rPr>
                <w:sz w:val="21"/>
              </w:rPr>
            </w:pPr>
            <w:r>
              <w:rPr>
                <w:sz w:val="21"/>
              </w:rPr>
              <w:t>1.79E-05</w:t>
            </w:r>
          </w:p>
        </w:tc>
        <w:tc>
          <w:tcPr>
            <w:tcW w:w="1523" w:type="dxa"/>
            <w:tcBorders>
              <w:top w:val="single" w:sz="6" w:space="0" w:color="000000"/>
              <w:left w:val="single" w:sz="6" w:space="0" w:color="000000"/>
              <w:bottom w:val="single" w:sz="6" w:space="0" w:color="000000"/>
              <w:right w:val="single" w:sz="6" w:space="0" w:color="000000"/>
            </w:tcBorders>
          </w:tcPr>
          <w:p>
            <w:pPr>
              <w:pStyle w:val="TableParagraph"/>
              <w:ind w:left="355" w:right="337"/>
              <w:rPr>
                <w:sz w:val="21"/>
              </w:rPr>
            </w:pPr>
            <w:r>
              <w:rPr>
                <w:sz w:val="21"/>
              </w:rPr>
              <w:t>9.81E-07</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ind w:left="349" w:right="332"/>
              <w:rPr>
                <w:sz w:val="21"/>
              </w:rPr>
            </w:pPr>
            <w:r>
              <w:rPr>
                <w:sz w:val="21"/>
              </w:rPr>
              <w:t>3.58E-06</w:t>
            </w:r>
          </w:p>
        </w:tc>
        <w:tc>
          <w:tcPr>
            <w:tcW w:w="1059" w:type="dxa"/>
            <w:tcBorders>
              <w:top w:val="single" w:sz="6" w:space="0" w:color="000000"/>
              <w:left w:val="single" w:sz="6" w:space="0" w:color="000000"/>
              <w:bottom w:val="single" w:sz="6" w:space="0" w:color="000000"/>
            </w:tcBorders>
          </w:tcPr>
          <w:p>
            <w:pPr>
              <w:pStyle w:val="TableParagraph"/>
              <w:ind w:left="277" w:right="246"/>
              <w:rPr>
                <w:sz w:val="21"/>
              </w:rPr>
            </w:pPr>
            <w:r>
              <w:rPr>
                <w:sz w:val="21"/>
              </w:rPr>
              <w:t>0.002</w:t>
            </w:r>
          </w:p>
        </w:tc>
      </w:tr>
      <w:tr>
        <w:trPr>
          <w:trHeight w:val="351" w:hRule="atLeast"/>
        </w:trPr>
        <w:tc>
          <w:tcPr>
            <w:tcW w:w="982" w:type="dxa"/>
            <w:vMerge w:val="restart"/>
            <w:tcBorders>
              <w:top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77"/>
              <w:jc w:val="left"/>
              <w:rPr>
                <w:rFonts w:ascii="宋体" w:eastAsia="宋体" w:hint="eastAsia"/>
                <w:sz w:val="21"/>
              </w:rPr>
            </w:pPr>
            <w:r>
              <w:rPr>
                <w:rFonts w:ascii="宋体" w:eastAsia="宋体" w:hint="eastAsia"/>
                <w:sz w:val="21"/>
              </w:rPr>
              <w:t>合计</w:t>
            </w:r>
          </w:p>
        </w:tc>
        <w:tc>
          <w:tcPr>
            <w:tcW w:w="1302" w:type="dxa"/>
            <w:tcBorders>
              <w:top w:val="single" w:sz="6" w:space="0" w:color="000000"/>
              <w:left w:val="single" w:sz="6" w:space="0" w:color="000000"/>
              <w:bottom w:val="single" w:sz="6" w:space="0" w:color="000000"/>
              <w:right w:val="single" w:sz="6" w:space="0" w:color="000000"/>
            </w:tcBorders>
          </w:tcPr>
          <w:p>
            <w:pPr>
              <w:pStyle w:val="TableParagraph"/>
              <w:spacing w:before="57"/>
              <w:ind w:left="447" w:right="426"/>
              <w:rPr>
                <w:sz w:val="14"/>
              </w:rPr>
            </w:pPr>
            <w:r>
              <w:rPr>
                <w:position w:val="2"/>
                <w:sz w:val="21"/>
              </w:rPr>
              <w:t>NH</w:t>
            </w:r>
            <w:r>
              <w:rPr>
                <w:sz w:val="14"/>
              </w:rPr>
              <w:t>3</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ind w:left="354" w:right="328"/>
              <w:rPr>
                <w:sz w:val="21"/>
              </w:rPr>
            </w:pPr>
            <w:r>
              <w:rPr>
                <w:sz w:val="21"/>
              </w:rPr>
              <w:t>8.18E-04</w:t>
            </w:r>
          </w:p>
        </w:tc>
        <w:tc>
          <w:tcPr>
            <w:tcW w:w="1525" w:type="dxa"/>
            <w:tcBorders>
              <w:top w:val="single" w:sz="6" w:space="0" w:color="000000"/>
              <w:left w:val="single" w:sz="6" w:space="0" w:color="000000"/>
              <w:bottom w:val="single" w:sz="6" w:space="0" w:color="000000"/>
              <w:right w:val="single" w:sz="6" w:space="0" w:color="000000"/>
            </w:tcBorders>
          </w:tcPr>
          <w:p>
            <w:pPr>
              <w:pStyle w:val="TableParagraph"/>
              <w:ind w:left="358" w:right="336"/>
              <w:rPr>
                <w:sz w:val="21"/>
              </w:rPr>
            </w:pPr>
            <w:r>
              <w:rPr>
                <w:sz w:val="21"/>
              </w:rPr>
              <w:t>2.98E-03</w:t>
            </w:r>
          </w:p>
        </w:tc>
        <w:tc>
          <w:tcPr>
            <w:tcW w:w="1523" w:type="dxa"/>
            <w:tcBorders>
              <w:top w:val="single" w:sz="6" w:space="0" w:color="000000"/>
              <w:left w:val="single" w:sz="6" w:space="0" w:color="000000"/>
              <w:bottom w:val="single" w:sz="6" w:space="0" w:color="000000"/>
              <w:right w:val="single" w:sz="6" w:space="0" w:color="000000"/>
            </w:tcBorders>
          </w:tcPr>
          <w:p>
            <w:pPr>
              <w:pStyle w:val="TableParagraph"/>
              <w:ind w:left="355" w:right="337"/>
              <w:rPr>
                <w:sz w:val="21"/>
              </w:rPr>
            </w:pPr>
            <w:r>
              <w:rPr>
                <w:sz w:val="21"/>
              </w:rPr>
              <w:t>1.64E-04</w:t>
            </w:r>
          </w:p>
        </w:tc>
        <w:tc>
          <w:tcPr>
            <w:tcW w:w="1522" w:type="dxa"/>
            <w:tcBorders>
              <w:top w:val="single" w:sz="6" w:space="0" w:color="000000"/>
              <w:left w:val="single" w:sz="6" w:space="0" w:color="000000"/>
              <w:bottom w:val="single" w:sz="6" w:space="0" w:color="000000"/>
              <w:right w:val="single" w:sz="6" w:space="0" w:color="000000"/>
            </w:tcBorders>
          </w:tcPr>
          <w:p>
            <w:pPr>
              <w:pStyle w:val="TableParagraph"/>
              <w:ind w:left="349" w:right="332"/>
              <w:rPr>
                <w:sz w:val="21"/>
              </w:rPr>
            </w:pPr>
            <w:r>
              <w:rPr>
                <w:sz w:val="21"/>
              </w:rPr>
              <w:t>5.97E-04</w:t>
            </w:r>
          </w:p>
        </w:tc>
        <w:tc>
          <w:tcPr>
            <w:tcW w:w="1059" w:type="dxa"/>
            <w:tcBorders>
              <w:top w:val="single" w:sz="6" w:space="0" w:color="000000"/>
              <w:left w:val="single" w:sz="6" w:space="0" w:color="000000"/>
              <w:bottom w:val="single" w:sz="6" w:space="0" w:color="000000"/>
            </w:tcBorders>
          </w:tcPr>
          <w:p>
            <w:pPr>
              <w:pStyle w:val="TableParagraph"/>
              <w:ind w:left="28"/>
              <w:rPr>
                <w:sz w:val="21"/>
              </w:rPr>
            </w:pPr>
            <w:r>
              <w:rPr>
                <w:w w:val="100"/>
                <w:sz w:val="21"/>
              </w:rPr>
              <w:t>/</w:t>
            </w:r>
          </w:p>
        </w:tc>
      </w:tr>
      <w:tr>
        <w:trPr>
          <w:trHeight w:val="349" w:hRule="atLeast"/>
        </w:trPr>
        <w:tc>
          <w:tcPr>
            <w:tcW w:w="982" w:type="dxa"/>
            <w:vMerge/>
            <w:tcBorders>
              <w:top w:val="nil"/>
              <w:right w:val="single" w:sz="6" w:space="0" w:color="000000"/>
            </w:tcBorders>
          </w:tcPr>
          <w:p>
            <w:pPr>
              <w:rPr>
                <w:sz w:val="2"/>
                <w:szCs w:val="2"/>
              </w:rPr>
            </w:pPr>
          </w:p>
        </w:tc>
        <w:tc>
          <w:tcPr>
            <w:tcW w:w="1302" w:type="dxa"/>
            <w:tcBorders>
              <w:top w:val="single" w:sz="6" w:space="0" w:color="000000"/>
              <w:left w:val="single" w:sz="6" w:space="0" w:color="000000"/>
              <w:right w:val="single" w:sz="6" w:space="0" w:color="000000"/>
            </w:tcBorders>
          </w:tcPr>
          <w:p>
            <w:pPr>
              <w:pStyle w:val="TableParagraph"/>
              <w:spacing w:before="50"/>
              <w:ind w:left="447" w:right="421"/>
              <w:rPr>
                <w:sz w:val="21"/>
              </w:rPr>
            </w:pPr>
            <w:r>
              <w:rPr>
                <w:position w:val="2"/>
                <w:sz w:val="21"/>
              </w:rPr>
              <w:t>H</w:t>
            </w:r>
            <w:r>
              <w:rPr>
                <w:sz w:val="14"/>
              </w:rPr>
              <w:t>2</w:t>
            </w:r>
            <w:r>
              <w:rPr>
                <w:position w:val="2"/>
                <w:sz w:val="21"/>
              </w:rPr>
              <w:t>S</w:t>
            </w:r>
          </w:p>
        </w:tc>
        <w:tc>
          <w:tcPr>
            <w:tcW w:w="1522" w:type="dxa"/>
            <w:tcBorders>
              <w:top w:val="single" w:sz="6" w:space="0" w:color="000000"/>
              <w:left w:val="single" w:sz="6" w:space="0" w:color="000000"/>
              <w:right w:val="single" w:sz="6" w:space="0" w:color="000000"/>
            </w:tcBorders>
          </w:tcPr>
          <w:p>
            <w:pPr>
              <w:pStyle w:val="TableParagraph"/>
              <w:spacing w:before="51"/>
              <w:ind w:left="354" w:right="328"/>
              <w:rPr>
                <w:sz w:val="21"/>
              </w:rPr>
            </w:pPr>
            <w:r>
              <w:rPr>
                <w:sz w:val="21"/>
              </w:rPr>
              <w:t>9.81E-06</w:t>
            </w:r>
          </w:p>
        </w:tc>
        <w:tc>
          <w:tcPr>
            <w:tcW w:w="1525" w:type="dxa"/>
            <w:tcBorders>
              <w:top w:val="single" w:sz="6" w:space="0" w:color="000000"/>
              <w:left w:val="single" w:sz="6" w:space="0" w:color="000000"/>
              <w:right w:val="single" w:sz="6" w:space="0" w:color="000000"/>
            </w:tcBorders>
          </w:tcPr>
          <w:p>
            <w:pPr>
              <w:pStyle w:val="TableParagraph"/>
              <w:spacing w:before="51"/>
              <w:ind w:left="358" w:right="336"/>
              <w:rPr>
                <w:sz w:val="21"/>
              </w:rPr>
            </w:pPr>
            <w:r>
              <w:rPr>
                <w:sz w:val="21"/>
              </w:rPr>
              <w:t>3.58E-05</w:t>
            </w:r>
          </w:p>
        </w:tc>
        <w:tc>
          <w:tcPr>
            <w:tcW w:w="1523" w:type="dxa"/>
            <w:tcBorders>
              <w:top w:val="single" w:sz="6" w:space="0" w:color="000000"/>
              <w:left w:val="single" w:sz="6" w:space="0" w:color="000000"/>
              <w:right w:val="single" w:sz="6" w:space="0" w:color="000000"/>
            </w:tcBorders>
          </w:tcPr>
          <w:p>
            <w:pPr>
              <w:pStyle w:val="TableParagraph"/>
              <w:spacing w:before="51"/>
              <w:ind w:left="355" w:right="337"/>
              <w:rPr>
                <w:sz w:val="21"/>
              </w:rPr>
            </w:pPr>
            <w:r>
              <w:rPr>
                <w:sz w:val="21"/>
              </w:rPr>
              <w:t>1.96E-06</w:t>
            </w:r>
          </w:p>
        </w:tc>
        <w:tc>
          <w:tcPr>
            <w:tcW w:w="1522" w:type="dxa"/>
            <w:tcBorders>
              <w:top w:val="single" w:sz="6" w:space="0" w:color="000000"/>
              <w:left w:val="single" w:sz="6" w:space="0" w:color="000000"/>
              <w:right w:val="single" w:sz="6" w:space="0" w:color="000000"/>
            </w:tcBorders>
          </w:tcPr>
          <w:p>
            <w:pPr>
              <w:pStyle w:val="TableParagraph"/>
              <w:spacing w:before="51"/>
              <w:ind w:left="349" w:right="332"/>
              <w:rPr>
                <w:sz w:val="21"/>
              </w:rPr>
            </w:pPr>
            <w:r>
              <w:rPr>
                <w:sz w:val="21"/>
              </w:rPr>
              <w:t>7.16E-06</w:t>
            </w:r>
          </w:p>
        </w:tc>
        <w:tc>
          <w:tcPr>
            <w:tcW w:w="1059" w:type="dxa"/>
            <w:tcBorders>
              <w:top w:val="single" w:sz="6" w:space="0" w:color="000000"/>
              <w:left w:val="single" w:sz="6" w:space="0" w:color="000000"/>
            </w:tcBorders>
          </w:tcPr>
          <w:p>
            <w:pPr>
              <w:pStyle w:val="TableParagraph"/>
              <w:spacing w:before="51"/>
              <w:ind w:left="28"/>
              <w:rPr>
                <w:sz w:val="21"/>
              </w:rPr>
            </w:pPr>
            <w:r>
              <w:rPr>
                <w:w w:val="100"/>
                <w:sz w:val="21"/>
              </w:rPr>
              <w:t>/</w:t>
            </w:r>
          </w:p>
        </w:tc>
      </w:tr>
    </w:tbl>
    <w:p>
      <w:pPr>
        <w:spacing w:before="84"/>
        <w:ind w:left="719" w:right="0" w:firstLine="0"/>
        <w:jc w:val="left"/>
        <w:rPr>
          <w:b/>
          <w:sz w:val="24"/>
        </w:rPr>
      </w:pPr>
      <w:r>
        <w:rPr>
          <w:rFonts w:ascii="Times New Roman" w:eastAsia="Times New Roman"/>
          <w:b/>
          <w:sz w:val="24"/>
        </w:rPr>
        <w:t>5</w:t>
      </w:r>
      <w:r>
        <w:rPr>
          <w:b/>
          <w:sz w:val="24"/>
        </w:rPr>
        <w:t>、沼气锅炉废气（</w:t>
      </w:r>
      <w:r>
        <w:rPr>
          <w:rFonts w:ascii="Times New Roman" w:eastAsia="Times New Roman"/>
          <w:b/>
          <w:sz w:val="24"/>
        </w:rPr>
        <w:t>G5</w:t>
      </w:r>
      <w:r>
        <w:rPr>
          <w:b/>
          <w:sz w:val="24"/>
        </w:rPr>
        <w:t>）</w:t>
      </w:r>
    </w:p>
    <w:p>
      <w:pPr>
        <w:pStyle w:val="BodyText"/>
        <w:spacing w:line="364" w:lineRule="auto" w:before="157"/>
        <w:ind w:right="132" w:firstLine="480"/>
        <w:jc w:val="both"/>
      </w:pPr>
      <w:r>
        <w:rPr>
          <w:spacing w:val="-13"/>
          <w:position w:val="2"/>
        </w:rPr>
        <w:t>根据《规模化畜禽养殖场沼气工程设计规范》</w:t>
      </w:r>
      <w:r>
        <w:rPr>
          <w:position w:val="2"/>
        </w:rPr>
        <w:t>（</w:t>
      </w:r>
      <w:r>
        <w:rPr>
          <w:rFonts w:ascii="Times New Roman" w:hAnsi="Times New Roman" w:eastAsia="Times New Roman"/>
          <w:position w:val="2"/>
        </w:rPr>
        <w:t>NY/T</w:t>
      </w:r>
      <w:r>
        <w:rPr>
          <w:rFonts w:ascii="Times New Roman" w:hAnsi="Times New Roman" w:eastAsia="Times New Roman"/>
          <w:spacing w:val="-6"/>
          <w:position w:val="2"/>
        </w:rPr>
        <w:t> </w:t>
      </w:r>
      <w:r>
        <w:rPr>
          <w:rFonts w:ascii="Times New Roman" w:hAnsi="Times New Roman" w:eastAsia="Times New Roman"/>
          <w:spacing w:val="-9"/>
          <w:position w:val="2"/>
        </w:rPr>
        <w:t>1222-2006</w:t>
      </w:r>
      <w:r>
        <w:rPr>
          <w:spacing w:val="-9"/>
          <w:position w:val="2"/>
        </w:rPr>
        <w:t>），</w:t>
      </w:r>
      <w:r>
        <w:rPr>
          <w:spacing w:val="-15"/>
          <w:position w:val="2"/>
        </w:rPr>
        <w:t>每处理 </w:t>
      </w:r>
      <w:r>
        <w:rPr>
          <w:rFonts w:ascii="Times New Roman" w:hAnsi="Times New Roman" w:eastAsia="Times New Roman"/>
          <w:position w:val="2"/>
        </w:rPr>
        <w:t>1kgCOD</w:t>
      </w:r>
      <w:r>
        <w:rPr>
          <w:rFonts w:ascii="Times New Roman" w:hAnsi="Times New Roman" w:eastAsia="Times New Roman"/>
          <w:sz w:val="16"/>
        </w:rPr>
        <w:t>Cr </w:t>
      </w:r>
      <w:r>
        <w:rPr>
          <w:spacing w:val="-13"/>
        </w:rPr>
        <w:t>可产 </w:t>
      </w:r>
      <w:r>
        <w:rPr>
          <w:rFonts w:ascii="Times New Roman" w:hAnsi="Times New Roman" w:eastAsia="Times New Roman"/>
          <w:position w:val="1"/>
        </w:rPr>
        <w:t>0.35m</w:t>
      </w:r>
      <w:r>
        <w:rPr>
          <w:rFonts w:ascii="Times New Roman" w:hAnsi="Times New Roman" w:eastAsia="Times New Roman"/>
          <w:position w:val="1"/>
          <w:vertAlign w:val="superscript"/>
        </w:rPr>
        <w:t>3</w:t>
      </w:r>
      <w:r>
        <w:rPr>
          <w:rFonts w:ascii="Times New Roman" w:hAnsi="Times New Roman" w:eastAsia="Times New Roman"/>
          <w:spacing w:val="-16"/>
          <w:position w:val="1"/>
          <w:vertAlign w:val="baseline"/>
        </w:rPr>
        <w:t> </w:t>
      </w:r>
      <w:r>
        <w:rPr>
          <w:spacing w:val="-1"/>
          <w:vertAlign w:val="baseline"/>
        </w:rPr>
        <w:t>沼气。考虑到进入沼气池的物料中除废水为主外，还会混入一定量的粪污， </w:t>
      </w:r>
      <w:r>
        <w:rPr>
          <w:spacing w:val="-4"/>
          <w:position w:val="2"/>
          <w:vertAlign w:val="baseline"/>
        </w:rPr>
        <w:t>保守考虑，本项目进出厌氧反应器的 </w:t>
      </w:r>
      <w:r>
        <w:rPr>
          <w:rFonts w:ascii="Times New Roman" w:hAnsi="Times New Roman" w:eastAsia="Times New Roman"/>
          <w:position w:val="2"/>
          <w:vertAlign w:val="baseline"/>
        </w:rPr>
        <w:t>COD</w:t>
      </w:r>
      <w:r>
        <w:rPr>
          <w:rFonts w:ascii="Times New Roman" w:hAnsi="Times New Roman" w:eastAsia="Times New Roman"/>
          <w:sz w:val="16"/>
          <w:vertAlign w:val="baseline"/>
        </w:rPr>
        <w:t>Cr </w:t>
      </w:r>
      <w:r>
        <w:rPr>
          <w:spacing w:val="-8"/>
          <w:position w:val="2"/>
          <w:vertAlign w:val="baseline"/>
        </w:rPr>
        <w:t>浓度分别按 </w:t>
      </w:r>
      <w:r>
        <w:rPr>
          <w:rFonts w:ascii="Times New Roman" w:hAnsi="Times New Roman" w:eastAsia="Times New Roman"/>
          <w:position w:val="2"/>
          <w:vertAlign w:val="baseline"/>
        </w:rPr>
        <w:t>10000mg/L</w:t>
      </w:r>
      <w:r>
        <w:rPr>
          <w:rFonts w:ascii="Times New Roman" w:hAnsi="Times New Roman" w:eastAsia="Times New Roman"/>
          <w:spacing w:val="16"/>
          <w:position w:val="2"/>
          <w:vertAlign w:val="baseline"/>
        </w:rPr>
        <w:t> </w:t>
      </w:r>
      <w:r>
        <w:rPr>
          <w:spacing w:val="-22"/>
          <w:position w:val="2"/>
          <w:vertAlign w:val="baseline"/>
        </w:rPr>
        <w:t>及 </w:t>
      </w:r>
      <w:r>
        <w:rPr>
          <w:rFonts w:ascii="Times New Roman" w:hAnsi="Times New Roman" w:eastAsia="Times New Roman"/>
          <w:position w:val="2"/>
          <w:vertAlign w:val="baseline"/>
        </w:rPr>
        <w:t>3500mg/L</w:t>
      </w:r>
      <w:r>
        <w:rPr>
          <w:rFonts w:ascii="Times New Roman" w:hAnsi="Times New Roman" w:eastAsia="Times New Roman"/>
          <w:spacing w:val="16"/>
          <w:position w:val="2"/>
          <w:vertAlign w:val="baseline"/>
        </w:rPr>
        <w:t> </w:t>
      </w:r>
      <w:r>
        <w:rPr>
          <w:position w:val="2"/>
          <w:vertAlign w:val="baseline"/>
        </w:rPr>
        <w:t>考虑， </w:t>
      </w:r>
      <w:r>
        <w:rPr>
          <w:spacing w:val="-5"/>
          <w:position w:val="2"/>
          <w:vertAlign w:val="baseline"/>
        </w:rPr>
        <w:t>进入厌氧反应器的废水量约 </w:t>
      </w:r>
      <w:r>
        <w:rPr>
          <w:rFonts w:ascii="Times New Roman" w:hAnsi="Times New Roman" w:eastAsia="Times New Roman"/>
          <w:spacing w:val="-3"/>
          <w:position w:val="2"/>
          <w:vertAlign w:val="baseline"/>
        </w:rPr>
        <w:t>133337.42t/a</w:t>
      </w:r>
      <w:r>
        <w:rPr>
          <w:spacing w:val="-8"/>
          <w:position w:val="2"/>
          <w:vertAlign w:val="baseline"/>
        </w:rPr>
        <w:t>，则厌氧反应器处理 </w:t>
      </w:r>
      <w:r>
        <w:rPr>
          <w:rFonts w:ascii="Times New Roman" w:hAnsi="Times New Roman" w:eastAsia="Times New Roman"/>
          <w:position w:val="2"/>
          <w:vertAlign w:val="baseline"/>
        </w:rPr>
        <w:t>COD</w:t>
      </w:r>
      <w:r>
        <w:rPr>
          <w:rFonts w:ascii="Times New Roman" w:hAnsi="Times New Roman" w:eastAsia="Times New Roman"/>
          <w:sz w:val="16"/>
          <w:vertAlign w:val="baseline"/>
        </w:rPr>
        <w:t>Cr </w:t>
      </w:r>
      <w:r>
        <w:rPr>
          <w:spacing w:val="-15"/>
          <w:position w:val="2"/>
          <w:vertAlign w:val="baseline"/>
        </w:rPr>
        <w:t>的量约 </w:t>
      </w:r>
      <w:r>
        <w:rPr>
          <w:rFonts w:ascii="Times New Roman" w:hAnsi="Times New Roman" w:eastAsia="Times New Roman"/>
          <w:spacing w:val="-4"/>
          <w:position w:val="2"/>
          <w:vertAlign w:val="baseline"/>
        </w:rPr>
        <w:t>866.69t/a</w:t>
      </w:r>
      <w:r>
        <w:rPr>
          <w:spacing w:val="-20"/>
          <w:position w:val="2"/>
          <w:vertAlign w:val="baseline"/>
        </w:rPr>
        <w:t>，由</w:t>
      </w:r>
      <w:r>
        <w:rPr>
          <w:spacing w:val="-6"/>
          <w:vertAlign w:val="baseline"/>
        </w:rPr>
        <w:t>此计算得沼气产生量约 </w:t>
      </w:r>
      <w:r>
        <w:rPr>
          <w:rFonts w:ascii="Times New Roman" w:hAnsi="Times New Roman" w:eastAsia="Times New Roman"/>
          <w:position w:val="1"/>
          <w:vertAlign w:val="baseline"/>
        </w:rPr>
        <w:t>303343m³/a</w:t>
      </w:r>
      <w:r>
        <w:rPr>
          <w:vertAlign w:val="baseline"/>
        </w:rPr>
        <w:t>（</w:t>
      </w:r>
      <w:r>
        <w:rPr>
          <w:spacing w:val="-22"/>
          <w:vertAlign w:val="baseline"/>
        </w:rPr>
        <w:t>约重 </w:t>
      </w:r>
      <w:r>
        <w:rPr>
          <w:rFonts w:ascii="Times New Roman" w:hAnsi="Times New Roman" w:eastAsia="Times New Roman"/>
          <w:spacing w:val="-3"/>
          <w:position w:val="1"/>
          <w:vertAlign w:val="baseline"/>
        </w:rPr>
        <w:t>387.00t/a</w:t>
      </w:r>
      <w:r>
        <w:rPr>
          <w:spacing w:val="-3"/>
          <w:vertAlign w:val="baseline"/>
        </w:rPr>
        <w:t>）</w:t>
      </w:r>
      <w:r>
        <w:rPr>
          <w:spacing w:val="-2"/>
          <w:vertAlign w:val="baseline"/>
        </w:rPr>
        <w:t>。沼气主要成分是甲烷和二氧化碳，</w:t>
      </w:r>
    </w:p>
    <w:p>
      <w:pPr>
        <w:spacing w:after="0" w:line="364" w:lineRule="auto"/>
        <w:jc w:val="both"/>
        <w:sectPr>
          <w:pgSz w:w="11910" w:h="16840"/>
          <w:pgMar w:header="874" w:footer="1004" w:top="1400" w:bottom="1200" w:left="1040" w:right="1160"/>
        </w:sectPr>
      </w:pPr>
    </w:p>
    <w:p>
      <w:pPr>
        <w:pStyle w:val="BodyText"/>
        <w:spacing w:line="362" w:lineRule="auto" w:before="105"/>
        <w:ind w:right="249"/>
      </w:pPr>
      <w:r>
        <w:rPr/>
        <w:t>另外还有少量的氮气、硫化氢、氨、一氧化碳、氢、水蒸气等，一般未经处理的沼气主</w:t>
      </w:r>
      <w:r>
        <w:rPr>
          <w:position w:val="2"/>
        </w:rPr>
        <w:t>要成分见表 </w:t>
      </w:r>
      <w:r>
        <w:rPr>
          <w:rFonts w:ascii="Times New Roman" w:eastAsia="Times New Roman"/>
          <w:position w:val="2"/>
        </w:rPr>
        <w:t>3.3-11</w:t>
      </w:r>
      <w:r>
        <w:rPr>
          <w:position w:val="2"/>
        </w:rPr>
        <w:t>，由此计算得本项目沼气中 </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position w:val="2"/>
        </w:rPr>
        <w:t>含量为 </w:t>
      </w:r>
      <w:r>
        <w:rPr>
          <w:rFonts w:ascii="Times New Roman" w:eastAsia="Times New Roman"/>
          <w:position w:val="2"/>
        </w:rPr>
        <w:t>3.033t/a</w:t>
      </w:r>
      <w:r>
        <w:rPr>
          <w:position w:val="2"/>
        </w:rPr>
        <w:t>。</w:t>
      </w:r>
    </w:p>
    <w:p>
      <w:pPr>
        <w:pStyle w:val="Heading3"/>
        <w:spacing w:before="7"/>
        <w:ind w:left="3245"/>
      </w:pPr>
      <w:r>
        <w:rPr/>
        <w:t>表 </w:t>
      </w:r>
      <w:r>
        <w:rPr>
          <w:rFonts w:ascii="Times New Roman" w:eastAsia="Times New Roman"/>
        </w:rPr>
        <w:t>3.3-11 </w:t>
      </w:r>
      <w:r>
        <w:rPr/>
        <w:t>沼气主要成分一览表</w:t>
      </w:r>
    </w:p>
    <w:p>
      <w:pPr>
        <w:pStyle w:val="BodyText"/>
        <w:spacing w:before="2"/>
        <w:ind w:left="0"/>
        <w:rPr>
          <w:b/>
          <w:sz w:val="6"/>
        </w:rPr>
      </w:pPr>
    </w:p>
    <w:tbl>
      <w:tblPr>
        <w:tblW w:w="0" w:type="auto"/>
        <w:jc w:val="left"/>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79"/>
        <w:gridCol w:w="888"/>
        <w:gridCol w:w="887"/>
        <w:gridCol w:w="887"/>
        <w:gridCol w:w="887"/>
        <w:gridCol w:w="887"/>
        <w:gridCol w:w="888"/>
        <w:gridCol w:w="887"/>
        <w:gridCol w:w="887"/>
        <w:gridCol w:w="887"/>
      </w:tblGrid>
      <w:tr>
        <w:trPr>
          <w:trHeight w:val="359" w:hRule="atLeast"/>
        </w:trPr>
        <w:tc>
          <w:tcPr>
            <w:tcW w:w="1279" w:type="dxa"/>
            <w:tcBorders>
              <w:bottom w:val="single" w:sz="6" w:space="0" w:color="000000"/>
              <w:right w:val="single" w:sz="6" w:space="0" w:color="000000"/>
            </w:tcBorders>
          </w:tcPr>
          <w:p>
            <w:pPr>
              <w:pStyle w:val="TableParagraph"/>
              <w:spacing w:before="44"/>
              <w:ind w:left="106" w:right="87"/>
              <w:rPr>
                <w:rFonts w:ascii="宋体" w:eastAsia="宋体" w:hint="eastAsia"/>
                <w:b/>
                <w:sz w:val="21"/>
              </w:rPr>
            </w:pPr>
            <w:r>
              <w:rPr>
                <w:rFonts w:ascii="宋体" w:eastAsia="宋体" w:hint="eastAsia"/>
                <w:b/>
                <w:sz w:val="21"/>
              </w:rPr>
              <w:t>项目</w:t>
            </w:r>
          </w:p>
        </w:tc>
        <w:tc>
          <w:tcPr>
            <w:tcW w:w="888" w:type="dxa"/>
            <w:tcBorders>
              <w:left w:val="single" w:sz="6" w:space="0" w:color="000000"/>
              <w:bottom w:val="single" w:sz="6" w:space="0" w:color="000000"/>
              <w:right w:val="single" w:sz="6" w:space="0" w:color="000000"/>
            </w:tcBorders>
          </w:tcPr>
          <w:p>
            <w:pPr>
              <w:pStyle w:val="TableParagraph"/>
              <w:spacing w:before="57"/>
              <w:ind w:left="132" w:right="115"/>
              <w:rPr>
                <w:b/>
                <w:sz w:val="14"/>
              </w:rPr>
            </w:pPr>
            <w:r>
              <w:rPr>
                <w:b/>
                <w:position w:val="2"/>
                <w:sz w:val="21"/>
              </w:rPr>
              <w:t>CH</w:t>
            </w:r>
            <w:r>
              <w:rPr>
                <w:b/>
                <w:sz w:val="14"/>
              </w:rPr>
              <w:t>4</w:t>
            </w:r>
          </w:p>
        </w:tc>
        <w:tc>
          <w:tcPr>
            <w:tcW w:w="887" w:type="dxa"/>
            <w:tcBorders>
              <w:left w:val="single" w:sz="6" w:space="0" w:color="000000"/>
              <w:bottom w:val="single" w:sz="6" w:space="0" w:color="000000"/>
              <w:right w:val="single" w:sz="6" w:space="0" w:color="000000"/>
            </w:tcBorders>
          </w:tcPr>
          <w:p>
            <w:pPr>
              <w:pStyle w:val="TableParagraph"/>
              <w:spacing w:before="57"/>
              <w:ind w:left="133" w:right="114"/>
              <w:rPr>
                <w:b/>
                <w:sz w:val="14"/>
              </w:rPr>
            </w:pPr>
            <w:r>
              <w:rPr>
                <w:b/>
                <w:position w:val="2"/>
                <w:sz w:val="21"/>
              </w:rPr>
              <w:t>CO</w:t>
            </w:r>
            <w:r>
              <w:rPr>
                <w:b/>
                <w:sz w:val="14"/>
              </w:rPr>
              <w:t>2</w:t>
            </w:r>
          </w:p>
        </w:tc>
        <w:tc>
          <w:tcPr>
            <w:tcW w:w="887" w:type="dxa"/>
            <w:tcBorders>
              <w:left w:val="single" w:sz="6" w:space="0" w:color="000000"/>
              <w:bottom w:val="single" w:sz="6" w:space="0" w:color="000000"/>
              <w:right w:val="single" w:sz="6" w:space="0" w:color="000000"/>
            </w:tcBorders>
          </w:tcPr>
          <w:p>
            <w:pPr>
              <w:pStyle w:val="TableParagraph"/>
              <w:spacing w:before="57"/>
              <w:ind w:left="135" w:right="114"/>
              <w:rPr>
                <w:b/>
                <w:sz w:val="14"/>
              </w:rPr>
            </w:pPr>
            <w:r>
              <w:rPr>
                <w:b/>
                <w:position w:val="2"/>
                <w:sz w:val="21"/>
              </w:rPr>
              <w:t>N</w:t>
            </w:r>
            <w:r>
              <w:rPr>
                <w:b/>
                <w:sz w:val="14"/>
              </w:rPr>
              <w:t>2</w:t>
            </w:r>
          </w:p>
        </w:tc>
        <w:tc>
          <w:tcPr>
            <w:tcW w:w="887" w:type="dxa"/>
            <w:tcBorders>
              <w:left w:val="single" w:sz="6" w:space="0" w:color="000000"/>
              <w:bottom w:val="single" w:sz="6" w:space="0" w:color="000000"/>
              <w:right w:val="single" w:sz="6" w:space="0" w:color="000000"/>
            </w:tcBorders>
          </w:tcPr>
          <w:p>
            <w:pPr>
              <w:pStyle w:val="TableParagraph"/>
              <w:spacing w:before="57"/>
              <w:ind w:left="135" w:right="114"/>
              <w:rPr>
                <w:b/>
                <w:sz w:val="21"/>
              </w:rPr>
            </w:pPr>
            <w:r>
              <w:rPr>
                <w:b/>
                <w:position w:val="2"/>
                <w:sz w:val="21"/>
              </w:rPr>
              <w:t>H</w:t>
            </w:r>
            <w:r>
              <w:rPr>
                <w:b/>
                <w:sz w:val="14"/>
              </w:rPr>
              <w:t>2</w:t>
            </w:r>
            <w:r>
              <w:rPr>
                <w:b/>
                <w:position w:val="2"/>
                <w:sz w:val="21"/>
              </w:rPr>
              <w:t>S</w:t>
            </w:r>
          </w:p>
        </w:tc>
        <w:tc>
          <w:tcPr>
            <w:tcW w:w="887" w:type="dxa"/>
            <w:tcBorders>
              <w:left w:val="single" w:sz="6" w:space="0" w:color="000000"/>
              <w:bottom w:val="single" w:sz="6" w:space="0" w:color="000000"/>
              <w:right w:val="single" w:sz="6" w:space="0" w:color="000000"/>
            </w:tcBorders>
          </w:tcPr>
          <w:p>
            <w:pPr>
              <w:pStyle w:val="TableParagraph"/>
              <w:spacing w:before="57"/>
              <w:ind w:left="140" w:right="114"/>
              <w:rPr>
                <w:b/>
                <w:sz w:val="14"/>
              </w:rPr>
            </w:pPr>
            <w:r>
              <w:rPr>
                <w:b/>
                <w:position w:val="2"/>
                <w:sz w:val="21"/>
              </w:rPr>
              <w:t>NH</w:t>
            </w:r>
            <w:r>
              <w:rPr>
                <w:b/>
                <w:sz w:val="14"/>
              </w:rPr>
              <w:t>3</w:t>
            </w:r>
          </w:p>
        </w:tc>
        <w:tc>
          <w:tcPr>
            <w:tcW w:w="888" w:type="dxa"/>
            <w:tcBorders>
              <w:left w:val="single" w:sz="6" w:space="0" w:color="000000"/>
              <w:bottom w:val="single" w:sz="6" w:space="0" w:color="000000"/>
              <w:right w:val="single" w:sz="6" w:space="0" w:color="000000"/>
            </w:tcBorders>
          </w:tcPr>
          <w:p>
            <w:pPr>
              <w:pStyle w:val="TableParagraph"/>
              <w:spacing w:before="57"/>
              <w:ind w:left="139" w:right="103"/>
              <w:rPr>
                <w:b/>
                <w:sz w:val="21"/>
              </w:rPr>
            </w:pPr>
            <w:r>
              <w:rPr>
                <w:b/>
                <w:sz w:val="21"/>
              </w:rPr>
              <w:t>CO</w:t>
            </w:r>
          </w:p>
        </w:tc>
        <w:tc>
          <w:tcPr>
            <w:tcW w:w="887" w:type="dxa"/>
            <w:tcBorders>
              <w:left w:val="single" w:sz="6" w:space="0" w:color="000000"/>
              <w:bottom w:val="single" w:sz="6" w:space="0" w:color="000000"/>
              <w:right w:val="single" w:sz="6" w:space="0" w:color="000000"/>
            </w:tcBorders>
          </w:tcPr>
          <w:p>
            <w:pPr>
              <w:pStyle w:val="TableParagraph"/>
              <w:spacing w:before="57"/>
              <w:ind w:left="138" w:right="114"/>
              <w:rPr>
                <w:b/>
                <w:sz w:val="14"/>
              </w:rPr>
            </w:pPr>
            <w:r>
              <w:rPr>
                <w:b/>
                <w:position w:val="2"/>
                <w:sz w:val="21"/>
              </w:rPr>
              <w:t>H</w:t>
            </w:r>
            <w:r>
              <w:rPr>
                <w:b/>
                <w:sz w:val="14"/>
              </w:rPr>
              <w:t>2</w:t>
            </w:r>
          </w:p>
        </w:tc>
        <w:tc>
          <w:tcPr>
            <w:tcW w:w="887" w:type="dxa"/>
            <w:tcBorders>
              <w:left w:val="single" w:sz="6" w:space="0" w:color="000000"/>
              <w:bottom w:val="single" w:sz="6" w:space="0" w:color="000000"/>
              <w:right w:val="single" w:sz="6" w:space="0" w:color="000000"/>
            </w:tcBorders>
          </w:tcPr>
          <w:p>
            <w:pPr>
              <w:pStyle w:val="TableParagraph"/>
              <w:spacing w:before="57"/>
              <w:ind w:left="241"/>
              <w:jc w:val="left"/>
              <w:rPr>
                <w:b/>
                <w:sz w:val="21"/>
              </w:rPr>
            </w:pPr>
            <w:r>
              <w:rPr>
                <w:b/>
                <w:position w:val="2"/>
                <w:sz w:val="21"/>
              </w:rPr>
              <w:t>H</w:t>
            </w:r>
            <w:r>
              <w:rPr>
                <w:b/>
                <w:sz w:val="14"/>
              </w:rPr>
              <w:t>2</w:t>
            </w:r>
            <w:r>
              <w:rPr>
                <w:b/>
                <w:position w:val="2"/>
                <w:sz w:val="21"/>
              </w:rPr>
              <w:t>O</w:t>
            </w:r>
          </w:p>
        </w:tc>
        <w:tc>
          <w:tcPr>
            <w:tcW w:w="887" w:type="dxa"/>
            <w:tcBorders>
              <w:left w:val="single" w:sz="6" w:space="0" w:color="000000"/>
              <w:bottom w:val="single" w:sz="6" w:space="0" w:color="000000"/>
            </w:tcBorders>
          </w:tcPr>
          <w:p>
            <w:pPr>
              <w:pStyle w:val="TableParagraph"/>
              <w:spacing w:before="44"/>
              <w:ind w:left="94" w:right="47"/>
              <w:rPr>
                <w:rFonts w:ascii="宋体" w:eastAsia="宋体" w:hint="eastAsia"/>
                <w:b/>
                <w:sz w:val="21"/>
              </w:rPr>
            </w:pPr>
            <w:r>
              <w:rPr>
                <w:rFonts w:ascii="宋体" w:eastAsia="宋体" w:hint="eastAsia"/>
                <w:b/>
                <w:sz w:val="21"/>
              </w:rPr>
              <w:t>合计</w:t>
            </w:r>
          </w:p>
        </w:tc>
      </w:tr>
      <w:tr>
        <w:trPr>
          <w:trHeight w:val="359" w:hRule="atLeast"/>
        </w:trPr>
        <w:tc>
          <w:tcPr>
            <w:tcW w:w="1279" w:type="dxa"/>
            <w:tcBorders>
              <w:top w:val="single" w:sz="6" w:space="0" w:color="000000"/>
              <w:bottom w:val="single" w:sz="6" w:space="0" w:color="000000"/>
              <w:right w:val="single" w:sz="6" w:space="0" w:color="000000"/>
            </w:tcBorders>
          </w:tcPr>
          <w:p>
            <w:pPr>
              <w:pStyle w:val="TableParagraph"/>
              <w:spacing w:before="44"/>
              <w:ind w:left="106" w:right="94"/>
              <w:rPr>
                <w:sz w:val="21"/>
              </w:rPr>
            </w:pPr>
            <w:r>
              <w:rPr>
                <w:rFonts w:ascii="宋体" w:eastAsia="宋体" w:hint="eastAsia"/>
                <w:sz w:val="21"/>
              </w:rPr>
              <w:t>体积分数</w:t>
            </w:r>
            <w:r>
              <w:rPr>
                <w:sz w:val="21"/>
              </w:rPr>
              <w:t>%</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ind w:left="139" w:right="115"/>
              <w:rPr>
                <w:sz w:val="21"/>
              </w:rPr>
            </w:pPr>
            <w:r>
              <w:rPr>
                <w:sz w:val="21"/>
              </w:rPr>
              <w:t>55</w:t>
            </w:r>
          </w:p>
        </w:tc>
        <w:tc>
          <w:tcPr>
            <w:tcW w:w="887" w:type="dxa"/>
            <w:tcBorders>
              <w:top w:val="single" w:sz="6" w:space="0" w:color="000000"/>
              <w:left w:val="single" w:sz="6" w:space="0" w:color="000000"/>
              <w:bottom w:val="single" w:sz="6" w:space="0" w:color="000000"/>
              <w:right w:val="single" w:sz="6" w:space="0" w:color="000000"/>
            </w:tcBorders>
          </w:tcPr>
          <w:p>
            <w:pPr>
              <w:pStyle w:val="TableParagraph"/>
              <w:ind w:left="140" w:right="114"/>
              <w:rPr>
                <w:sz w:val="21"/>
              </w:rPr>
            </w:pPr>
            <w:r>
              <w:rPr>
                <w:sz w:val="21"/>
              </w:rPr>
              <w:t>40</w:t>
            </w:r>
          </w:p>
        </w:tc>
        <w:tc>
          <w:tcPr>
            <w:tcW w:w="887" w:type="dxa"/>
            <w:tcBorders>
              <w:top w:val="single" w:sz="6" w:space="0" w:color="000000"/>
              <w:left w:val="single" w:sz="6" w:space="0" w:color="000000"/>
              <w:bottom w:val="single" w:sz="6" w:space="0" w:color="000000"/>
              <w:right w:val="single" w:sz="6" w:space="0" w:color="000000"/>
            </w:tcBorders>
          </w:tcPr>
          <w:p>
            <w:pPr>
              <w:pStyle w:val="TableParagraph"/>
              <w:ind w:left="18"/>
              <w:rPr>
                <w:sz w:val="21"/>
              </w:rPr>
            </w:pPr>
            <w:r>
              <w:rPr>
                <w:w w:val="100"/>
                <w:sz w:val="21"/>
              </w:rPr>
              <w:t>2</w:t>
            </w:r>
          </w:p>
        </w:tc>
        <w:tc>
          <w:tcPr>
            <w:tcW w:w="887"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2</w:t>
            </w:r>
          </w:p>
        </w:tc>
        <w:tc>
          <w:tcPr>
            <w:tcW w:w="887" w:type="dxa"/>
            <w:tcBorders>
              <w:top w:val="single" w:sz="6" w:space="0" w:color="000000"/>
              <w:left w:val="single" w:sz="6" w:space="0" w:color="000000"/>
              <w:bottom w:val="single" w:sz="6" w:space="0" w:color="000000"/>
              <w:right w:val="single" w:sz="6" w:space="0" w:color="000000"/>
            </w:tcBorders>
          </w:tcPr>
          <w:p>
            <w:pPr>
              <w:pStyle w:val="TableParagraph"/>
              <w:ind w:left="140" w:right="107"/>
              <w:rPr>
                <w:sz w:val="21"/>
              </w:rPr>
            </w:pPr>
            <w:r>
              <w:rPr>
                <w:sz w:val="21"/>
              </w:rPr>
              <w:t>0.1</w:t>
            </w:r>
          </w:p>
        </w:tc>
        <w:tc>
          <w:tcPr>
            <w:tcW w:w="888" w:type="dxa"/>
            <w:tcBorders>
              <w:top w:val="single" w:sz="6" w:space="0" w:color="000000"/>
              <w:left w:val="single" w:sz="6" w:space="0" w:color="000000"/>
              <w:bottom w:val="single" w:sz="6" w:space="0" w:color="000000"/>
              <w:right w:val="single" w:sz="6" w:space="0" w:color="000000"/>
            </w:tcBorders>
          </w:tcPr>
          <w:p>
            <w:pPr>
              <w:pStyle w:val="TableParagraph"/>
              <w:ind w:left="139" w:right="105"/>
              <w:rPr>
                <w:sz w:val="21"/>
              </w:rPr>
            </w:pPr>
            <w:r>
              <w:rPr>
                <w:sz w:val="21"/>
              </w:rPr>
              <w:t>0.2</w:t>
            </w:r>
          </w:p>
        </w:tc>
        <w:tc>
          <w:tcPr>
            <w:tcW w:w="887" w:type="dxa"/>
            <w:tcBorders>
              <w:top w:val="single" w:sz="6" w:space="0" w:color="000000"/>
              <w:left w:val="single" w:sz="6" w:space="0" w:color="000000"/>
              <w:bottom w:val="single" w:sz="6" w:space="0" w:color="000000"/>
              <w:right w:val="single" w:sz="6" w:space="0" w:color="000000"/>
            </w:tcBorders>
          </w:tcPr>
          <w:p>
            <w:pPr>
              <w:pStyle w:val="TableParagraph"/>
              <w:ind w:left="140" w:right="104"/>
              <w:rPr>
                <w:sz w:val="21"/>
              </w:rPr>
            </w:pPr>
            <w:r>
              <w:rPr>
                <w:sz w:val="21"/>
              </w:rPr>
              <w:t>0.2</w:t>
            </w:r>
          </w:p>
        </w:tc>
        <w:tc>
          <w:tcPr>
            <w:tcW w:w="887"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5</w:t>
            </w:r>
          </w:p>
        </w:tc>
        <w:tc>
          <w:tcPr>
            <w:tcW w:w="887" w:type="dxa"/>
            <w:tcBorders>
              <w:top w:val="single" w:sz="6" w:space="0" w:color="000000"/>
              <w:left w:val="single" w:sz="6" w:space="0" w:color="000000"/>
              <w:bottom w:val="single" w:sz="6" w:space="0" w:color="000000"/>
            </w:tcBorders>
          </w:tcPr>
          <w:p>
            <w:pPr>
              <w:pStyle w:val="TableParagraph"/>
              <w:ind w:left="94" w:right="46"/>
              <w:rPr>
                <w:sz w:val="21"/>
              </w:rPr>
            </w:pPr>
            <w:r>
              <w:rPr>
                <w:sz w:val="21"/>
              </w:rPr>
              <w:t>100</w:t>
            </w:r>
          </w:p>
        </w:tc>
      </w:tr>
      <w:tr>
        <w:trPr>
          <w:trHeight w:val="356" w:hRule="atLeast"/>
        </w:trPr>
        <w:tc>
          <w:tcPr>
            <w:tcW w:w="1279" w:type="dxa"/>
            <w:tcBorders>
              <w:top w:val="single" w:sz="6" w:space="0" w:color="000000"/>
              <w:right w:val="single" w:sz="6" w:space="0" w:color="000000"/>
            </w:tcBorders>
          </w:tcPr>
          <w:p>
            <w:pPr>
              <w:pStyle w:val="TableParagraph"/>
              <w:spacing w:before="44"/>
              <w:ind w:left="101" w:right="94"/>
              <w:rPr>
                <w:sz w:val="14"/>
              </w:rPr>
            </w:pPr>
            <w:r>
              <w:rPr>
                <w:rFonts w:ascii="宋体" w:eastAsia="宋体" w:hint="eastAsia"/>
                <w:sz w:val="21"/>
              </w:rPr>
              <w:t>浓度 </w:t>
            </w:r>
            <w:r>
              <w:rPr>
                <w:sz w:val="21"/>
              </w:rPr>
              <w:t>g/m</w:t>
            </w:r>
            <w:r>
              <w:rPr>
                <w:position w:val="7"/>
                <w:sz w:val="14"/>
              </w:rPr>
              <w:t>3</w:t>
            </w:r>
          </w:p>
        </w:tc>
        <w:tc>
          <w:tcPr>
            <w:tcW w:w="888" w:type="dxa"/>
            <w:tcBorders>
              <w:top w:val="single" w:sz="6" w:space="0" w:color="000000"/>
              <w:left w:val="single" w:sz="6" w:space="0" w:color="000000"/>
              <w:right w:val="single" w:sz="6" w:space="0" w:color="000000"/>
            </w:tcBorders>
          </w:tcPr>
          <w:p>
            <w:pPr>
              <w:pStyle w:val="TableParagraph"/>
              <w:ind w:left="139" w:right="115"/>
              <w:rPr>
                <w:sz w:val="21"/>
              </w:rPr>
            </w:pPr>
            <w:r>
              <w:rPr>
                <w:sz w:val="21"/>
              </w:rPr>
              <w:t>392.86</w:t>
            </w:r>
          </w:p>
        </w:tc>
        <w:tc>
          <w:tcPr>
            <w:tcW w:w="887" w:type="dxa"/>
            <w:tcBorders>
              <w:top w:val="single" w:sz="6" w:space="0" w:color="000000"/>
              <w:left w:val="single" w:sz="6" w:space="0" w:color="000000"/>
              <w:right w:val="single" w:sz="6" w:space="0" w:color="000000"/>
            </w:tcBorders>
          </w:tcPr>
          <w:p>
            <w:pPr>
              <w:pStyle w:val="TableParagraph"/>
              <w:ind w:left="140" w:right="114"/>
              <w:rPr>
                <w:sz w:val="21"/>
              </w:rPr>
            </w:pPr>
            <w:r>
              <w:rPr>
                <w:sz w:val="21"/>
              </w:rPr>
              <w:t>785.71</w:t>
            </w:r>
          </w:p>
        </w:tc>
        <w:tc>
          <w:tcPr>
            <w:tcW w:w="887" w:type="dxa"/>
            <w:tcBorders>
              <w:top w:val="single" w:sz="6" w:space="0" w:color="000000"/>
              <w:left w:val="single" w:sz="6" w:space="0" w:color="000000"/>
              <w:right w:val="single" w:sz="6" w:space="0" w:color="000000"/>
            </w:tcBorders>
          </w:tcPr>
          <w:p>
            <w:pPr>
              <w:pStyle w:val="TableParagraph"/>
              <w:ind w:left="140" w:right="112"/>
              <w:rPr>
                <w:sz w:val="21"/>
              </w:rPr>
            </w:pPr>
            <w:r>
              <w:rPr>
                <w:sz w:val="21"/>
              </w:rPr>
              <w:t>25.0</w:t>
            </w:r>
          </w:p>
        </w:tc>
        <w:tc>
          <w:tcPr>
            <w:tcW w:w="887" w:type="dxa"/>
            <w:tcBorders>
              <w:top w:val="single" w:sz="6" w:space="0" w:color="000000"/>
              <w:left w:val="single" w:sz="6" w:space="0" w:color="000000"/>
              <w:right w:val="single" w:sz="6" w:space="0" w:color="000000"/>
            </w:tcBorders>
          </w:tcPr>
          <w:p>
            <w:pPr>
              <w:pStyle w:val="TableParagraph"/>
              <w:ind w:left="140" w:right="109"/>
              <w:rPr>
                <w:sz w:val="21"/>
              </w:rPr>
            </w:pPr>
            <w:r>
              <w:rPr>
                <w:sz w:val="21"/>
              </w:rPr>
              <w:t>10</w:t>
            </w:r>
          </w:p>
        </w:tc>
        <w:tc>
          <w:tcPr>
            <w:tcW w:w="887" w:type="dxa"/>
            <w:tcBorders>
              <w:top w:val="single" w:sz="6" w:space="0" w:color="000000"/>
              <w:left w:val="single" w:sz="6" w:space="0" w:color="000000"/>
              <w:right w:val="single" w:sz="6" w:space="0" w:color="000000"/>
            </w:tcBorders>
          </w:tcPr>
          <w:p>
            <w:pPr>
              <w:pStyle w:val="TableParagraph"/>
              <w:ind w:left="140" w:right="107"/>
              <w:rPr>
                <w:sz w:val="21"/>
              </w:rPr>
            </w:pPr>
            <w:r>
              <w:rPr>
                <w:sz w:val="21"/>
              </w:rPr>
              <w:t>0.76</w:t>
            </w:r>
          </w:p>
        </w:tc>
        <w:tc>
          <w:tcPr>
            <w:tcW w:w="888" w:type="dxa"/>
            <w:tcBorders>
              <w:top w:val="single" w:sz="6" w:space="0" w:color="000000"/>
              <w:left w:val="single" w:sz="6" w:space="0" w:color="000000"/>
              <w:right w:val="single" w:sz="6" w:space="0" w:color="000000"/>
            </w:tcBorders>
          </w:tcPr>
          <w:p>
            <w:pPr>
              <w:pStyle w:val="TableParagraph"/>
              <w:ind w:left="139" w:right="105"/>
              <w:rPr>
                <w:sz w:val="21"/>
              </w:rPr>
            </w:pPr>
            <w:r>
              <w:rPr>
                <w:sz w:val="21"/>
              </w:rPr>
              <w:t>2.5</w:t>
            </w:r>
          </w:p>
        </w:tc>
        <w:tc>
          <w:tcPr>
            <w:tcW w:w="887" w:type="dxa"/>
            <w:tcBorders>
              <w:top w:val="single" w:sz="6" w:space="0" w:color="000000"/>
              <w:left w:val="single" w:sz="6" w:space="0" w:color="000000"/>
              <w:right w:val="single" w:sz="6" w:space="0" w:color="000000"/>
            </w:tcBorders>
          </w:tcPr>
          <w:p>
            <w:pPr>
              <w:pStyle w:val="TableParagraph"/>
              <w:ind w:left="140" w:right="104"/>
              <w:rPr>
                <w:sz w:val="21"/>
              </w:rPr>
            </w:pPr>
            <w:r>
              <w:rPr>
                <w:sz w:val="21"/>
              </w:rPr>
              <w:t>0.18</w:t>
            </w:r>
          </w:p>
        </w:tc>
        <w:tc>
          <w:tcPr>
            <w:tcW w:w="887" w:type="dxa"/>
            <w:tcBorders>
              <w:top w:val="single" w:sz="6" w:space="0" w:color="000000"/>
              <w:left w:val="single" w:sz="6" w:space="0" w:color="000000"/>
              <w:right w:val="single" w:sz="6" w:space="0" w:color="000000"/>
            </w:tcBorders>
          </w:tcPr>
          <w:p>
            <w:pPr>
              <w:pStyle w:val="TableParagraph"/>
              <w:ind w:left="193"/>
              <w:jc w:val="left"/>
              <w:rPr>
                <w:sz w:val="21"/>
              </w:rPr>
            </w:pPr>
            <w:r>
              <w:rPr>
                <w:sz w:val="21"/>
              </w:rPr>
              <w:t>40.18</w:t>
            </w:r>
          </w:p>
        </w:tc>
        <w:tc>
          <w:tcPr>
            <w:tcW w:w="887" w:type="dxa"/>
            <w:tcBorders>
              <w:top w:val="single" w:sz="6" w:space="0" w:color="000000"/>
              <w:left w:val="single" w:sz="6" w:space="0" w:color="000000"/>
            </w:tcBorders>
          </w:tcPr>
          <w:p>
            <w:pPr>
              <w:pStyle w:val="TableParagraph"/>
              <w:ind w:left="94" w:right="47"/>
              <w:rPr>
                <w:sz w:val="21"/>
              </w:rPr>
            </w:pPr>
            <w:r>
              <w:rPr>
                <w:sz w:val="21"/>
              </w:rPr>
              <w:t>1275.76</w:t>
            </w:r>
          </w:p>
        </w:tc>
      </w:tr>
    </w:tbl>
    <w:p>
      <w:pPr>
        <w:pStyle w:val="BodyText"/>
        <w:spacing w:line="364" w:lineRule="auto" w:before="81"/>
        <w:ind w:right="129" w:firstLine="480"/>
      </w:pPr>
      <w:r>
        <w:rPr>
          <w:spacing w:val="-13"/>
          <w:position w:val="2"/>
        </w:rPr>
        <w:t>因沼气中 </w:t>
      </w:r>
      <w:r>
        <w:rPr>
          <w:rFonts w:ascii="Times New Roman" w:eastAsia="Times New Roman"/>
          <w:spacing w:val="-1"/>
          <w:position w:val="2"/>
        </w:rPr>
        <w:t>H</w:t>
      </w:r>
      <w:r>
        <w:rPr>
          <w:rFonts w:ascii="Times New Roman" w:eastAsia="Times New Roman"/>
          <w:spacing w:val="1"/>
          <w:w w:val="100"/>
          <w:sz w:val="16"/>
        </w:rPr>
        <w:t>2</w:t>
      </w:r>
      <w:r>
        <w:rPr>
          <w:rFonts w:ascii="Times New Roman" w:eastAsia="Times New Roman"/>
          <w:position w:val="2"/>
        </w:rPr>
        <w:t>S </w:t>
      </w:r>
      <w:r>
        <w:rPr>
          <w:spacing w:val="-8"/>
          <w:position w:val="2"/>
        </w:rPr>
        <w:t>的浓度范围一般在 </w:t>
      </w:r>
      <w:r>
        <w:rPr>
          <w:rFonts w:ascii="Times New Roman" w:eastAsia="Times New Roman"/>
          <w:position w:val="2"/>
        </w:rPr>
        <w:t>1~12g/</w:t>
      </w:r>
      <w:r>
        <w:rPr>
          <w:rFonts w:ascii="Times New Roman" w:eastAsia="Times New Roman"/>
          <w:spacing w:val="1"/>
          <w:position w:val="2"/>
        </w:rPr>
        <w:t>m</w:t>
      </w:r>
      <w:r>
        <w:rPr>
          <w:rFonts w:ascii="Times New Roman" w:eastAsia="Times New Roman"/>
          <w:spacing w:val="1"/>
          <w:w w:val="100"/>
          <w:position w:val="11"/>
          <w:sz w:val="16"/>
        </w:rPr>
        <w:t>3</w:t>
      </w:r>
      <w:r>
        <w:rPr>
          <w:spacing w:val="-23"/>
          <w:position w:val="2"/>
        </w:rPr>
        <w:t>，大大超过《人工煤气</w:t>
      </w:r>
      <w:r>
        <w:rPr>
          <w:spacing w:val="-212"/>
          <w:position w:val="2"/>
        </w:rPr>
        <w:t>》</w:t>
      </w:r>
      <w:r>
        <w:rPr>
          <w:spacing w:val="3"/>
          <w:position w:val="2"/>
        </w:rPr>
        <w:t>（</w:t>
      </w:r>
      <w:r>
        <w:rPr>
          <w:rFonts w:ascii="Times New Roman" w:eastAsia="Times New Roman"/>
          <w:spacing w:val="-1"/>
          <w:position w:val="2"/>
        </w:rPr>
        <w:t>G</w:t>
      </w:r>
      <w:r>
        <w:rPr>
          <w:rFonts w:ascii="Times New Roman" w:eastAsia="Times New Roman"/>
          <w:position w:val="2"/>
        </w:rPr>
        <w:t>B/T 13612</w:t>
      </w:r>
      <w:r>
        <w:rPr>
          <w:rFonts w:ascii="Times New Roman" w:eastAsia="Times New Roman"/>
          <w:spacing w:val="-1"/>
          <w:position w:val="2"/>
        </w:rPr>
        <w:t>-</w:t>
      </w:r>
      <w:r>
        <w:rPr>
          <w:rFonts w:ascii="Times New Roman" w:eastAsia="Times New Roman"/>
          <w:position w:val="2"/>
        </w:rPr>
        <w:t>2006</w:t>
      </w:r>
      <w:r>
        <w:rPr>
          <w:position w:val="2"/>
        </w:rPr>
        <w:t>） </w:t>
      </w:r>
      <w:r>
        <w:rPr>
          <w:rFonts w:ascii="Times New Roman" w:eastAsia="Times New Roman"/>
          <w:position w:val="1"/>
        </w:rPr>
        <w:t>20mg/m</w:t>
      </w:r>
      <w:r>
        <w:rPr>
          <w:rFonts w:ascii="Times New Roman" w:eastAsia="Times New Roman"/>
          <w:position w:val="1"/>
          <w:vertAlign w:val="superscript"/>
        </w:rPr>
        <w:t>3</w:t>
      </w:r>
      <w:r>
        <w:rPr>
          <w:rFonts w:ascii="Times New Roman" w:eastAsia="Times New Roman"/>
          <w:position w:val="1"/>
          <w:vertAlign w:val="baseline"/>
        </w:rPr>
        <w:t> </w:t>
      </w:r>
      <w:r>
        <w:rPr>
          <w:spacing w:val="-1"/>
          <w:vertAlign w:val="baseline"/>
        </w:rPr>
        <w:t>的规定，若不进行预处理就直接作为燃料使用，将会对周围环境造成一定危害， 进而限制沼气的利用范围。因此，本项目沼气在利用前须进行脱硫净化处理，本环评建议企业采用干法脱硫技术进行脱硫</w:t>
      </w:r>
      <w:r>
        <w:rPr>
          <w:vertAlign w:val="baseline"/>
        </w:rPr>
        <w:t>（沼气中的硫化氢与活性物质氧化铁接触，生成硫化铁和水，然后含有硫化物的脱硫剂与空气中的氧接触，当有水存在时，铁的硫化物又转</w:t>
      </w:r>
      <w:r>
        <w:rPr>
          <w:position w:val="2"/>
          <w:vertAlign w:val="baseline"/>
        </w:rPr>
        <w:t>化为氧化铁和单体硫</w:t>
      </w:r>
      <w:r>
        <w:rPr>
          <w:spacing w:val="-12"/>
          <w:position w:val="2"/>
          <w:vertAlign w:val="baseline"/>
        </w:rPr>
        <w:t>），</w:t>
      </w:r>
      <w:r>
        <w:rPr>
          <w:spacing w:val="-5"/>
          <w:position w:val="2"/>
          <w:vertAlign w:val="baseline"/>
        </w:rPr>
        <w:t>根据同类工程的脱硫效果，脱硫后 </w:t>
      </w:r>
      <w:r>
        <w:rPr>
          <w:rFonts w:ascii="Times New Roman" w:eastAsia="Times New Roman"/>
          <w:position w:val="2"/>
          <w:vertAlign w:val="baseline"/>
        </w:rPr>
        <w:t>H</w:t>
      </w:r>
      <w:r>
        <w:rPr>
          <w:rFonts w:ascii="Times New Roman" w:eastAsia="Times New Roman"/>
          <w:sz w:val="16"/>
          <w:vertAlign w:val="baseline"/>
        </w:rPr>
        <w:t>2</w:t>
      </w:r>
      <w:r>
        <w:rPr>
          <w:rFonts w:ascii="Times New Roman" w:eastAsia="Times New Roman"/>
          <w:position w:val="2"/>
          <w:vertAlign w:val="baseline"/>
        </w:rPr>
        <w:t>S </w:t>
      </w:r>
      <w:r>
        <w:rPr>
          <w:spacing w:val="-5"/>
          <w:position w:val="2"/>
          <w:vertAlign w:val="baseline"/>
        </w:rPr>
        <w:t>浓度可满足《人工煤气》</w:t>
      </w:r>
    </w:p>
    <w:p>
      <w:pPr>
        <w:pStyle w:val="BodyText"/>
        <w:spacing w:line="364" w:lineRule="auto" w:before="1"/>
        <w:ind w:right="129"/>
      </w:pPr>
      <w:r>
        <w:rPr>
          <w:position w:val="0"/>
        </w:rPr>
        <w:t>（</w:t>
      </w:r>
      <w:r>
        <w:rPr>
          <w:rFonts w:ascii="Times New Roman" w:hAnsi="Times New Roman" w:eastAsia="Times New Roman"/>
        </w:rPr>
        <w:t>GB/T 13612-2006</w:t>
      </w:r>
      <w:r>
        <w:rPr>
          <w:position w:val="0"/>
        </w:rPr>
        <w:t>）</w:t>
      </w:r>
      <w:r>
        <w:rPr>
          <w:rFonts w:ascii="Times New Roman" w:hAnsi="Times New Roman" w:eastAsia="Times New Roman"/>
        </w:rPr>
        <w:t>20mg/m</w:t>
      </w:r>
      <w:r>
        <w:rPr>
          <w:rFonts w:ascii="Times New Roman" w:hAnsi="Times New Roman" w:eastAsia="Times New Roman"/>
          <w:position w:val="9"/>
          <w:sz w:val="16"/>
        </w:rPr>
        <w:t>3 </w:t>
      </w:r>
      <w:r>
        <w:rPr>
          <w:spacing w:val="-8"/>
          <w:position w:val="0"/>
        </w:rPr>
        <w:t>的规定。本环评按 </w:t>
      </w:r>
      <w:r>
        <w:rPr>
          <w:rFonts w:ascii="Times New Roman" w:hAnsi="Times New Roman" w:eastAsia="Times New Roman"/>
        </w:rPr>
        <w:t>20mg/m³</w:t>
      </w:r>
      <w:r>
        <w:rPr>
          <w:spacing w:val="-7"/>
          <w:position w:val="0"/>
        </w:rPr>
        <w:t>计算，则经处理后的 </w:t>
      </w:r>
      <w:r>
        <w:rPr>
          <w:rFonts w:ascii="Times New Roman" w:hAnsi="Times New Roman" w:eastAsia="Times New Roman"/>
        </w:rPr>
        <w:t>H</w:t>
      </w:r>
      <w:r>
        <w:rPr>
          <w:rFonts w:ascii="Times New Roman" w:hAnsi="Times New Roman" w:eastAsia="Times New Roman"/>
          <w:vertAlign w:val="subscript"/>
        </w:rPr>
        <w:t>2</w:t>
      </w:r>
      <w:r>
        <w:rPr>
          <w:rFonts w:ascii="Times New Roman" w:hAnsi="Times New Roman" w:eastAsia="Times New Roman"/>
          <w:vertAlign w:val="baseline"/>
        </w:rPr>
        <w:t>S </w:t>
      </w:r>
      <w:r>
        <w:rPr>
          <w:position w:val="0"/>
          <w:vertAlign w:val="baseline"/>
        </w:rPr>
        <w:t>含量</w:t>
      </w:r>
      <w:r>
        <w:rPr>
          <w:spacing w:val="-16"/>
          <w:vertAlign w:val="baseline"/>
        </w:rPr>
        <w:t>可降至 </w:t>
      </w:r>
      <w:r>
        <w:rPr>
          <w:rFonts w:ascii="Times New Roman" w:hAnsi="Times New Roman" w:eastAsia="Times New Roman"/>
          <w:position w:val="1"/>
          <w:vertAlign w:val="baseline"/>
        </w:rPr>
        <w:t>0.006t/a</w:t>
      </w:r>
      <w:r>
        <w:rPr>
          <w:spacing w:val="-4"/>
          <w:vertAlign w:val="baseline"/>
        </w:rPr>
        <w:t>。经脱硫后的沼气储存于贮气柜中用于热水锅炉和厂区食堂。因沼气的主</w:t>
      </w:r>
      <w:r>
        <w:rPr>
          <w:spacing w:val="-11"/>
          <w:position w:val="2"/>
          <w:vertAlign w:val="baseline"/>
        </w:rPr>
        <w:t>要成分是甲烷，燃烧后主要产生 </w:t>
      </w:r>
      <w:r>
        <w:rPr>
          <w:rFonts w:ascii="Times New Roman" w:hAnsi="Times New Roman" w:eastAsia="Times New Roman"/>
          <w:position w:val="2"/>
          <w:vertAlign w:val="baseline"/>
        </w:rPr>
        <w:t>CO</w:t>
      </w:r>
      <w:r>
        <w:rPr>
          <w:rFonts w:ascii="Times New Roman" w:hAnsi="Times New Roman" w:eastAsia="Times New Roman"/>
          <w:sz w:val="16"/>
          <w:vertAlign w:val="baseline"/>
        </w:rPr>
        <w:t>2 </w:t>
      </w:r>
      <w:r>
        <w:rPr>
          <w:spacing w:val="-30"/>
          <w:position w:val="2"/>
          <w:vertAlign w:val="baseline"/>
        </w:rPr>
        <w:t>和 </w:t>
      </w:r>
      <w:r>
        <w:rPr>
          <w:rFonts w:ascii="Times New Roman" w:hAnsi="Times New Roman" w:eastAsia="Times New Roman"/>
          <w:spacing w:val="-7"/>
          <w:position w:val="2"/>
          <w:vertAlign w:val="baseline"/>
        </w:rPr>
        <w:t>H</w:t>
      </w:r>
      <w:r>
        <w:rPr>
          <w:rFonts w:ascii="Times New Roman" w:hAnsi="Times New Roman" w:eastAsia="Times New Roman"/>
          <w:spacing w:val="-7"/>
          <w:sz w:val="16"/>
          <w:vertAlign w:val="baseline"/>
        </w:rPr>
        <w:t>2</w:t>
      </w:r>
      <w:r>
        <w:rPr>
          <w:rFonts w:ascii="Times New Roman" w:hAnsi="Times New Roman" w:eastAsia="Times New Roman"/>
          <w:spacing w:val="-7"/>
          <w:position w:val="2"/>
          <w:vertAlign w:val="baseline"/>
        </w:rPr>
        <w:t>O</w:t>
      </w:r>
      <w:r>
        <w:rPr>
          <w:spacing w:val="-15"/>
          <w:position w:val="2"/>
          <w:vertAlign w:val="baseline"/>
        </w:rPr>
        <w:t>，其中的 </w:t>
      </w:r>
      <w:r>
        <w:rPr>
          <w:rFonts w:ascii="Times New Roman" w:hAnsi="Times New Roman" w:eastAsia="Times New Roman"/>
          <w:position w:val="2"/>
          <w:vertAlign w:val="baseline"/>
        </w:rPr>
        <w:t>H</w:t>
      </w:r>
      <w:r>
        <w:rPr>
          <w:rFonts w:ascii="Times New Roman" w:hAnsi="Times New Roman" w:eastAsia="Times New Roman"/>
          <w:sz w:val="16"/>
          <w:vertAlign w:val="baseline"/>
        </w:rPr>
        <w:t>2</w:t>
      </w:r>
      <w:r>
        <w:rPr>
          <w:rFonts w:ascii="Times New Roman" w:hAnsi="Times New Roman" w:eastAsia="Times New Roman"/>
          <w:position w:val="2"/>
          <w:vertAlign w:val="baseline"/>
        </w:rPr>
        <w:t>S </w:t>
      </w:r>
      <w:r>
        <w:rPr>
          <w:spacing w:val="-9"/>
          <w:position w:val="2"/>
          <w:vertAlign w:val="baseline"/>
        </w:rPr>
        <w:t>也是可燃成分，燃烧产生 </w:t>
      </w:r>
      <w:r>
        <w:rPr>
          <w:rFonts w:ascii="Times New Roman" w:hAnsi="Times New Roman" w:eastAsia="Times New Roman"/>
          <w:position w:val="2"/>
          <w:vertAlign w:val="baseline"/>
        </w:rPr>
        <w:t>SO</w:t>
      </w:r>
      <w:r>
        <w:rPr>
          <w:rFonts w:ascii="Times New Roman" w:hAnsi="Times New Roman" w:eastAsia="Times New Roman"/>
          <w:sz w:val="16"/>
          <w:vertAlign w:val="baseline"/>
        </w:rPr>
        <w:t>2</w:t>
      </w:r>
      <w:r>
        <w:rPr>
          <w:position w:val="2"/>
          <w:vertAlign w:val="baseline"/>
        </w:rPr>
        <w:t>， </w:t>
      </w:r>
      <w:r>
        <w:rPr>
          <w:vertAlign w:val="baseline"/>
        </w:rPr>
        <w:t>本环评主要核算锅炉废气的产生情况。</w:t>
      </w:r>
    </w:p>
    <w:p>
      <w:pPr>
        <w:pStyle w:val="BodyText"/>
        <w:spacing w:line="362" w:lineRule="auto"/>
        <w:ind w:right="247" w:firstLine="480"/>
        <w:jc w:val="both"/>
      </w:pPr>
      <w:r>
        <w:rPr>
          <w:spacing w:val="-11"/>
        </w:rPr>
        <w:t>本项目拟设 </w:t>
      </w:r>
      <w:r>
        <w:rPr>
          <w:rFonts w:ascii="Times New Roman" w:hAnsi="Times New Roman" w:eastAsia="Times New Roman"/>
          <w:position w:val="1"/>
        </w:rPr>
        <w:t>1 </w:t>
      </w:r>
      <w:r>
        <w:rPr>
          <w:spacing w:val="-30"/>
        </w:rPr>
        <w:t>台 </w:t>
      </w:r>
      <w:r>
        <w:rPr>
          <w:rFonts w:ascii="Times New Roman" w:hAnsi="Times New Roman" w:eastAsia="Times New Roman"/>
          <w:position w:val="1"/>
        </w:rPr>
        <w:t>0.7MW</w:t>
      </w:r>
      <w:r>
        <w:rPr>
          <w:rFonts w:ascii="Times New Roman" w:hAnsi="Times New Roman" w:eastAsia="Times New Roman"/>
          <w:spacing w:val="-1"/>
          <w:position w:val="1"/>
        </w:rPr>
        <w:t> </w:t>
      </w:r>
      <w:r>
        <w:rPr>
          <w:spacing w:val="-10"/>
        </w:rPr>
        <w:t>热水锅炉对沼气进行综合利用，其耗气量最大约 </w:t>
      </w:r>
      <w:r>
        <w:rPr>
          <w:rFonts w:ascii="Times New Roman" w:hAnsi="Times New Roman" w:eastAsia="Times New Roman"/>
          <w:spacing w:val="-12"/>
          <w:position w:val="1"/>
        </w:rPr>
        <w:t>120m³/h</w:t>
      </w:r>
      <w:r>
        <w:rPr>
          <w:spacing w:val="-12"/>
        </w:rPr>
        <w:t>（</w:t>
      </w:r>
      <w:r>
        <w:rPr/>
        <w:t>日</w:t>
      </w:r>
      <w:r>
        <w:rPr>
          <w:spacing w:val="-4"/>
        </w:rPr>
        <w:t>均运行时间约 </w:t>
      </w:r>
      <w:r>
        <w:rPr>
          <w:rFonts w:ascii="Times New Roman" w:hAnsi="Times New Roman" w:eastAsia="Times New Roman"/>
          <w:position w:val="1"/>
        </w:rPr>
        <w:t>7h</w:t>
      </w:r>
      <w:r>
        <w:rPr/>
        <w:t>，可做到对沼气的全部利用），</w:t>
      </w:r>
      <w:r>
        <w:rPr>
          <w:spacing w:val="-7"/>
        </w:rPr>
        <w:t>尾气由 </w:t>
      </w:r>
      <w:r>
        <w:rPr>
          <w:rFonts w:ascii="Times New Roman" w:hAnsi="Times New Roman" w:eastAsia="Times New Roman"/>
          <w:position w:val="1"/>
        </w:rPr>
        <w:t>8m</w:t>
      </w:r>
      <w:r>
        <w:rPr>
          <w:rFonts w:ascii="Times New Roman" w:hAnsi="Times New Roman" w:eastAsia="Times New Roman"/>
          <w:spacing w:val="34"/>
          <w:position w:val="1"/>
        </w:rPr>
        <w:t> </w:t>
      </w:r>
      <w:r>
        <w:rPr/>
        <w:t>高排气筒（</w:t>
      </w:r>
      <w:r>
        <w:rPr>
          <w:rFonts w:ascii="Times New Roman" w:hAnsi="Times New Roman" w:eastAsia="Times New Roman"/>
          <w:position w:val="1"/>
        </w:rPr>
        <w:t>DA004</w:t>
      </w:r>
      <w:r>
        <w:rPr/>
        <w:t>）排放。</w:t>
      </w:r>
      <w:r>
        <w:rPr>
          <w:spacing w:val="-7"/>
          <w:position w:val="0"/>
        </w:rPr>
        <w:t>每燃烧 </w:t>
      </w:r>
      <w:r>
        <w:rPr>
          <w:rFonts w:ascii="Times New Roman" w:hAnsi="Times New Roman" w:eastAsia="Times New Roman"/>
        </w:rPr>
        <w:t>1m</w:t>
      </w:r>
      <w:r>
        <w:rPr>
          <w:rFonts w:ascii="Times New Roman" w:hAnsi="Times New Roman" w:eastAsia="Times New Roman"/>
          <w:position w:val="9"/>
          <w:sz w:val="16"/>
        </w:rPr>
        <w:t>3</w:t>
      </w:r>
      <w:r>
        <w:rPr>
          <w:rFonts w:ascii="Times New Roman" w:hAnsi="Times New Roman" w:eastAsia="Times New Roman"/>
          <w:spacing w:val="14"/>
          <w:position w:val="9"/>
          <w:sz w:val="16"/>
        </w:rPr>
        <w:t> </w:t>
      </w:r>
      <w:r>
        <w:rPr>
          <w:spacing w:val="-4"/>
          <w:position w:val="0"/>
        </w:rPr>
        <w:t>沼气产生废气量按 </w:t>
      </w:r>
      <w:r>
        <w:rPr>
          <w:rFonts w:ascii="Times New Roman" w:hAnsi="Times New Roman" w:eastAsia="Times New Roman"/>
        </w:rPr>
        <w:t>10.5m</w:t>
      </w:r>
      <w:r>
        <w:rPr>
          <w:rFonts w:ascii="Times New Roman" w:hAnsi="Times New Roman" w:eastAsia="Times New Roman"/>
          <w:position w:val="9"/>
          <w:sz w:val="16"/>
        </w:rPr>
        <w:t>3</w:t>
      </w:r>
      <w:r>
        <w:rPr>
          <w:rFonts w:ascii="Times New Roman" w:hAnsi="Times New Roman" w:eastAsia="Times New Roman"/>
          <w:spacing w:val="14"/>
          <w:position w:val="9"/>
          <w:sz w:val="16"/>
        </w:rPr>
        <w:t> </w:t>
      </w:r>
      <w:r>
        <w:rPr>
          <w:spacing w:val="-9"/>
          <w:position w:val="0"/>
        </w:rPr>
        <w:t>计为 </w:t>
      </w:r>
      <w:r>
        <w:rPr>
          <w:rFonts w:ascii="Times New Roman" w:hAnsi="Times New Roman" w:eastAsia="Times New Roman"/>
        </w:rPr>
        <w:t>318.51</w:t>
      </w:r>
      <w:r>
        <w:rPr>
          <w:rFonts w:ascii="Times New Roman" w:hAnsi="Times New Roman" w:eastAsia="Times New Roman"/>
          <w:spacing w:val="33"/>
        </w:rPr>
        <w:t> </w:t>
      </w:r>
      <w:r>
        <w:rPr>
          <w:spacing w:val="-14"/>
          <w:position w:val="0"/>
        </w:rPr>
        <w:t>万 </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/a</w:t>
      </w:r>
      <w:r>
        <w:rPr>
          <w:position w:val="0"/>
        </w:rPr>
        <w:t>（</w:t>
      </w:r>
      <w:r>
        <w:rPr>
          <w:rFonts w:ascii="Times New Roman" w:hAnsi="Times New Roman" w:eastAsia="Times New Roman"/>
        </w:rPr>
        <w:t>1246.62m³/h</w:t>
      </w:r>
      <w:r>
        <w:rPr>
          <w:position w:val="0"/>
        </w:rPr>
        <w:t>）；</w:t>
      </w:r>
      <w:r>
        <w:rPr>
          <w:rFonts w:ascii="Times New Roman" w:hAnsi="Times New Roman" w:eastAsia="Times New Roman"/>
        </w:rPr>
        <w:t>SO</w:t>
      </w:r>
      <w:r>
        <w:rPr>
          <w:rFonts w:ascii="Times New Roman" w:hAnsi="Times New Roman" w:eastAsia="Times New Roman"/>
          <w:vertAlign w:val="subscript"/>
        </w:rPr>
        <w:t>2</w:t>
      </w:r>
      <w:r>
        <w:rPr>
          <w:rFonts w:ascii="Times New Roman" w:hAnsi="Times New Roman" w:eastAsia="Times New Roman"/>
          <w:spacing w:val="-6"/>
          <w:vertAlign w:val="baseline"/>
        </w:rPr>
        <w:t> </w:t>
      </w:r>
      <w:r>
        <w:rPr>
          <w:position w:val="0"/>
          <w:vertAlign w:val="baseline"/>
        </w:rPr>
        <w:t>排放量</w:t>
      </w:r>
    </w:p>
    <w:p>
      <w:pPr>
        <w:pStyle w:val="BodyText"/>
        <w:spacing w:line="362" w:lineRule="auto" w:before="2"/>
        <w:ind w:right="247"/>
        <w:jc w:val="both"/>
        <w:rPr>
          <w:rFonts w:ascii="Times New Roman" w:hAnsi="Times New Roman" w:eastAsia="Times New Roman"/>
        </w:rPr>
      </w:pPr>
      <w:r>
        <w:rPr>
          <w:rFonts w:ascii="Times New Roman" w:hAnsi="Times New Roman" w:eastAsia="Times New Roman"/>
          <w:position w:val="1"/>
        </w:rPr>
        <w:t>=0.006×64/34=0.011t/a</w:t>
      </w:r>
      <w:r>
        <w:rPr/>
        <w:t>（</w:t>
      </w:r>
      <w:r>
        <w:rPr>
          <w:rFonts w:ascii="Times New Roman" w:hAnsi="Times New Roman" w:eastAsia="Times New Roman"/>
          <w:position w:val="1"/>
        </w:rPr>
        <w:t>0.0044kg/h</w:t>
      </w:r>
      <w:r>
        <w:rPr/>
        <w:t>），</w:t>
      </w:r>
      <w:r>
        <w:rPr>
          <w:spacing w:val="-17"/>
        </w:rPr>
        <w:t>排放浓度约 </w:t>
      </w:r>
      <w:r>
        <w:rPr>
          <w:rFonts w:ascii="Times New Roman" w:hAnsi="Times New Roman" w:eastAsia="Times New Roman"/>
          <w:position w:val="1"/>
        </w:rPr>
        <w:t>3.55mg/m³</w:t>
      </w:r>
      <w:r>
        <w:rPr>
          <w:spacing w:val="-4"/>
        </w:rPr>
        <w:t>，符合《锅炉大气污染物排</w:t>
      </w:r>
      <w:r>
        <w:rPr>
          <w:spacing w:val="-5"/>
        </w:rPr>
        <w:t>放标准》</w:t>
      </w:r>
      <w:r>
        <w:rPr/>
        <w:t>（</w:t>
      </w:r>
      <w:r>
        <w:rPr>
          <w:rFonts w:ascii="Times New Roman" w:hAnsi="Times New Roman" w:eastAsia="Times New Roman"/>
          <w:position w:val="1"/>
        </w:rPr>
        <w:t>GB</w:t>
      </w:r>
      <w:r>
        <w:rPr>
          <w:rFonts w:ascii="Times New Roman" w:hAnsi="Times New Roman" w:eastAsia="Times New Roman"/>
          <w:spacing w:val="-5"/>
          <w:position w:val="1"/>
        </w:rPr>
        <w:t> </w:t>
      </w:r>
      <w:r>
        <w:rPr>
          <w:rFonts w:ascii="Times New Roman" w:hAnsi="Times New Roman" w:eastAsia="Times New Roman"/>
          <w:position w:val="1"/>
        </w:rPr>
        <w:t>13271-2014</w:t>
      </w:r>
      <w:r>
        <w:rPr/>
        <w:t>）</w:t>
      </w:r>
      <w:r>
        <w:rPr>
          <w:spacing w:val="-3"/>
        </w:rPr>
        <w:t>燃气锅炉限值；另外，要求企业采用节能低氮燃烧技术，使</w:t>
      </w:r>
      <w:r>
        <w:rPr>
          <w:rFonts w:ascii="Times New Roman" w:hAnsi="Times New Roman" w:eastAsia="Times New Roman"/>
        </w:rPr>
        <w:t>NO</w:t>
      </w:r>
      <w:r>
        <w:rPr>
          <w:rFonts w:ascii="Times New Roman" w:hAnsi="Times New Roman" w:eastAsia="Times New Roman"/>
          <w:vertAlign w:val="subscript"/>
        </w:rPr>
        <w:t>x</w:t>
      </w:r>
      <w:r>
        <w:rPr>
          <w:rFonts w:ascii="Times New Roman" w:hAnsi="Times New Roman" w:eastAsia="Times New Roman"/>
          <w:spacing w:val="17"/>
          <w:vertAlign w:val="baseline"/>
        </w:rPr>
        <w:t> </w:t>
      </w:r>
      <w:r>
        <w:rPr>
          <w:spacing w:val="-1"/>
          <w:position w:val="0"/>
          <w:vertAlign w:val="baseline"/>
        </w:rPr>
        <w:t>浓度控制在 </w:t>
      </w:r>
      <w:r>
        <w:rPr>
          <w:rFonts w:ascii="Times New Roman" w:hAnsi="Times New Roman" w:eastAsia="Times New Roman"/>
          <w:vertAlign w:val="baseline"/>
        </w:rPr>
        <w:t>150mg/m</w:t>
      </w:r>
      <w:r>
        <w:rPr>
          <w:rFonts w:ascii="Times New Roman" w:hAnsi="Times New Roman" w:eastAsia="Times New Roman"/>
          <w:position w:val="9"/>
          <w:sz w:val="16"/>
          <w:vertAlign w:val="baseline"/>
        </w:rPr>
        <w:t>3</w:t>
      </w:r>
      <w:r>
        <w:rPr>
          <w:rFonts w:ascii="Times New Roman" w:hAnsi="Times New Roman" w:eastAsia="Times New Roman"/>
          <w:spacing w:val="37"/>
          <w:position w:val="9"/>
          <w:sz w:val="16"/>
          <w:vertAlign w:val="baseline"/>
        </w:rPr>
        <w:t> </w:t>
      </w:r>
      <w:r>
        <w:rPr>
          <w:position w:val="0"/>
          <w:vertAlign w:val="baseline"/>
        </w:rPr>
        <w:t>以下（</w:t>
      </w:r>
      <w:r>
        <w:rPr>
          <w:spacing w:val="-1"/>
          <w:position w:val="0"/>
          <w:vertAlign w:val="baseline"/>
        </w:rPr>
        <w:t>本环评按 </w:t>
      </w:r>
      <w:r>
        <w:rPr>
          <w:rFonts w:ascii="Times New Roman" w:hAnsi="Times New Roman" w:eastAsia="Times New Roman"/>
          <w:vertAlign w:val="baseline"/>
        </w:rPr>
        <w:t>150mg/m</w:t>
      </w:r>
      <w:r>
        <w:rPr>
          <w:rFonts w:ascii="Times New Roman" w:hAnsi="Times New Roman" w:eastAsia="Times New Roman"/>
          <w:position w:val="9"/>
          <w:sz w:val="16"/>
          <w:vertAlign w:val="baseline"/>
        </w:rPr>
        <w:t>3</w:t>
      </w:r>
      <w:r>
        <w:rPr>
          <w:rFonts w:ascii="Times New Roman" w:hAnsi="Times New Roman" w:eastAsia="Times New Roman"/>
          <w:spacing w:val="37"/>
          <w:position w:val="9"/>
          <w:sz w:val="16"/>
          <w:vertAlign w:val="baseline"/>
        </w:rPr>
        <w:t> </w:t>
      </w:r>
      <w:r>
        <w:rPr>
          <w:position w:val="0"/>
          <w:vertAlign w:val="baseline"/>
        </w:rPr>
        <w:t>计），</w:t>
      </w:r>
      <w:r>
        <w:rPr>
          <w:spacing w:val="-2"/>
          <w:position w:val="0"/>
          <w:vertAlign w:val="baseline"/>
        </w:rPr>
        <w:t>则 </w:t>
      </w:r>
      <w:r>
        <w:rPr>
          <w:rFonts w:ascii="Times New Roman" w:hAnsi="Times New Roman" w:eastAsia="Times New Roman"/>
          <w:vertAlign w:val="baseline"/>
        </w:rPr>
        <w:t>NO</w:t>
      </w:r>
      <w:r>
        <w:rPr>
          <w:rFonts w:ascii="Times New Roman" w:hAnsi="Times New Roman" w:eastAsia="Times New Roman"/>
          <w:vertAlign w:val="subscript"/>
        </w:rPr>
        <w:t>x</w:t>
      </w:r>
      <w:r>
        <w:rPr>
          <w:rFonts w:ascii="Times New Roman" w:hAnsi="Times New Roman" w:eastAsia="Times New Roman"/>
          <w:spacing w:val="17"/>
          <w:vertAlign w:val="baseline"/>
        </w:rPr>
        <w:t> </w:t>
      </w:r>
      <w:r>
        <w:rPr>
          <w:spacing w:val="-1"/>
          <w:position w:val="0"/>
          <w:vertAlign w:val="baseline"/>
        </w:rPr>
        <w:t>排放量约 </w:t>
      </w:r>
      <w:r>
        <w:rPr>
          <w:rFonts w:ascii="Times New Roman" w:hAnsi="Times New Roman" w:eastAsia="Times New Roman"/>
          <w:vertAlign w:val="baseline"/>
        </w:rPr>
        <w:t>0.478t/a</w:t>
      </w:r>
    </w:p>
    <w:p>
      <w:pPr>
        <w:pStyle w:val="BodyText"/>
        <w:spacing w:before="1"/>
      </w:pPr>
      <w:r>
        <w:rPr/>
        <w:t>（</w:t>
      </w:r>
      <w:r>
        <w:rPr>
          <w:rFonts w:ascii="Times New Roman" w:eastAsia="Times New Roman"/>
          <w:position w:val="1"/>
        </w:rPr>
        <w:t>0.1870kg/h</w:t>
      </w:r>
      <w:r>
        <w:rPr/>
        <w:t>）。</w:t>
      </w:r>
    </w:p>
    <w:p>
      <w:pPr>
        <w:pStyle w:val="Heading3"/>
        <w:spacing w:before="162"/>
      </w:pPr>
      <w:r>
        <w:rPr>
          <w:rFonts w:ascii="Times New Roman" w:eastAsia="Times New Roman"/>
        </w:rPr>
        <w:t>6</w:t>
      </w:r>
      <w:r>
        <w:rPr/>
        <w:t>、食堂油烟（</w:t>
      </w:r>
      <w:r>
        <w:rPr>
          <w:rFonts w:ascii="Times New Roman" w:eastAsia="Times New Roman"/>
        </w:rPr>
        <w:t>G6</w:t>
      </w:r>
      <w:r>
        <w:rPr/>
        <w:t>）</w:t>
      </w:r>
    </w:p>
    <w:p>
      <w:pPr>
        <w:pStyle w:val="BodyText"/>
        <w:spacing w:line="364" w:lineRule="auto" w:before="160"/>
        <w:ind w:right="130" w:firstLine="480"/>
        <w:jc w:val="both"/>
      </w:pPr>
      <w:r>
        <w:rPr>
          <w:spacing w:val="-12"/>
        </w:rPr>
        <w:t>本项目设 </w:t>
      </w:r>
      <w:r>
        <w:rPr>
          <w:rFonts w:ascii="Times New Roman" w:hAnsi="Times New Roman" w:eastAsia="Times New Roman"/>
        </w:rPr>
        <w:t>1 </w:t>
      </w:r>
      <w:r>
        <w:rPr/>
        <w:t>个食堂（</w:t>
      </w:r>
      <w:r>
        <w:rPr>
          <w:rFonts w:ascii="Times New Roman" w:hAnsi="Times New Roman" w:eastAsia="Times New Roman"/>
        </w:rPr>
        <w:t>3 </w:t>
      </w:r>
      <w:r>
        <w:rPr/>
        <w:t>个灶头），</w:t>
      </w:r>
      <w:r>
        <w:rPr>
          <w:spacing w:val="-10"/>
        </w:rPr>
        <w:t>项目员工为 </w:t>
      </w:r>
      <w:r>
        <w:rPr>
          <w:rFonts w:ascii="Times New Roman" w:hAnsi="Times New Roman" w:eastAsia="Times New Roman"/>
        </w:rPr>
        <w:t>90 </w:t>
      </w:r>
      <w:r>
        <w:rPr>
          <w:spacing w:val="-10"/>
        </w:rPr>
        <w:t>人，年工作 </w:t>
      </w:r>
      <w:r>
        <w:rPr>
          <w:rFonts w:ascii="Times New Roman" w:hAnsi="Times New Roman" w:eastAsia="Times New Roman"/>
        </w:rPr>
        <w:t>365 </w:t>
      </w:r>
      <w:r>
        <w:rPr/>
        <w:t>天。一般食堂的食</w:t>
      </w:r>
      <w:r>
        <w:rPr>
          <w:spacing w:val="-8"/>
        </w:rPr>
        <w:t>用油耗油系数为 </w:t>
      </w:r>
      <w:r>
        <w:rPr>
          <w:rFonts w:ascii="Times New Roman" w:hAnsi="Times New Roman" w:eastAsia="Times New Roman"/>
        </w:rPr>
        <w:t>7kg/100 </w:t>
      </w:r>
      <w:r>
        <w:rPr/>
        <w:t>人</w:t>
      </w:r>
      <w:r>
        <w:rPr>
          <w:rFonts w:ascii="Times New Roman" w:hAnsi="Times New Roman" w:eastAsia="Times New Roman"/>
          <w:spacing w:val="-10"/>
        </w:rPr>
        <w:t>·d</w:t>
      </w:r>
      <w:r>
        <w:rPr>
          <w:spacing w:val="-8"/>
        </w:rPr>
        <w:t>，由此推算出食用油用量约 </w:t>
      </w:r>
      <w:r>
        <w:rPr>
          <w:rFonts w:ascii="Times New Roman" w:hAnsi="Times New Roman" w:eastAsia="Times New Roman"/>
          <w:spacing w:val="-3"/>
        </w:rPr>
        <w:t>2.2995t/a</w:t>
      </w:r>
      <w:r>
        <w:rPr>
          <w:spacing w:val="-2"/>
        </w:rPr>
        <w:t>，一般油烟和油的挥发</w:t>
      </w:r>
      <w:r>
        <w:rPr>
          <w:spacing w:val="-10"/>
        </w:rPr>
        <w:t>量占总耗油量的 </w:t>
      </w:r>
      <w:r>
        <w:rPr>
          <w:rFonts w:ascii="Times New Roman" w:hAnsi="Times New Roman" w:eastAsia="Times New Roman"/>
        </w:rPr>
        <w:t>2%~4%</w:t>
      </w:r>
      <w:r>
        <w:rPr/>
        <w:t>（</w:t>
      </w:r>
      <w:r>
        <w:rPr>
          <w:spacing w:val="-8"/>
        </w:rPr>
        <w:t>本环评取平均值 </w:t>
      </w:r>
      <w:r>
        <w:rPr>
          <w:rFonts w:ascii="Times New Roman" w:hAnsi="Times New Roman" w:eastAsia="Times New Roman"/>
          <w:spacing w:val="-5"/>
        </w:rPr>
        <w:t>3%</w:t>
      </w:r>
      <w:r>
        <w:rPr>
          <w:spacing w:val="-5"/>
        </w:rPr>
        <w:t>），</w:t>
      </w:r>
      <w:r>
        <w:rPr>
          <w:spacing w:val="-6"/>
        </w:rPr>
        <w:t>则食堂油烟的产生量约 </w:t>
      </w:r>
      <w:r>
        <w:rPr>
          <w:rFonts w:ascii="Times New Roman" w:hAnsi="Times New Roman" w:eastAsia="Times New Roman"/>
        </w:rPr>
        <w:t>0.069t/a</w:t>
      </w:r>
      <w:r>
        <w:rPr>
          <w:spacing w:val="-4"/>
        </w:rPr>
        <w:t>。本环</w:t>
      </w:r>
      <w:r>
        <w:rPr>
          <w:spacing w:val="-9"/>
        </w:rPr>
        <w:t>评要求企业安装油烟净化器，净化效率不低于 </w:t>
      </w:r>
      <w:r>
        <w:rPr>
          <w:rFonts w:ascii="Times New Roman" w:hAnsi="Times New Roman" w:eastAsia="Times New Roman"/>
          <w:spacing w:val="-7"/>
        </w:rPr>
        <w:t>75%</w:t>
      </w:r>
      <w:r>
        <w:rPr>
          <w:spacing w:val="-4"/>
        </w:rPr>
        <w:t>，经净化后的油烟引至屋顶高空排放。</w:t>
      </w:r>
    </w:p>
    <w:p>
      <w:pPr>
        <w:spacing w:after="0" w:line="364" w:lineRule="auto"/>
        <w:jc w:val="both"/>
        <w:sectPr>
          <w:pgSz w:w="11910" w:h="16840"/>
          <w:pgMar w:header="874" w:footer="1004" w:top="1400" w:bottom="1200" w:left="1040" w:right="1160"/>
        </w:sectPr>
      </w:pPr>
    </w:p>
    <w:p>
      <w:pPr>
        <w:pStyle w:val="BodyText"/>
        <w:spacing w:before="2"/>
        <w:rPr>
          <w:rFonts w:ascii="Times New Roman" w:eastAsia="Times New Roman"/>
        </w:rPr>
      </w:pPr>
      <w:r>
        <w:rPr>
          <w:spacing w:val="-5"/>
        </w:rPr>
        <w:t>则食堂油烟有组织排放量约 </w:t>
      </w:r>
      <w:r>
        <w:rPr>
          <w:rFonts w:ascii="Times New Roman" w:eastAsia="Times New Roman"/>
          <w:spacing w:val="-3"/>
        </w:rPr>
        <w:t>0.017t</w:t>
      </w:r>
      <w:r>
        <w:rPr>
          <w:rFonts w:ascii="Times New Roman" w:eastAsia="Times New Roman"/>
          <w:spacing w:val="-12"/>
        </w:rPr>
        <w:t>/</w:t>
      </w:r>
      <w:r>
        <w:rPr>
          <w:spacing w:val="-234"/>
        </w:rPr>
        <w:t>（</w:t>
      </w:r>
      <w:r>
        <w:rPr>
          <w:rFonts w:ascii="Times New Roman" w:eastAsia="Times New Roman"/>
          <w:spacing w:val="-3"/>
        </w:rPr>
        <w:t>a</w:t>
      </w:r>
    </w:p>
    <w:p>
      <w:pPr>
        <w:pStyle w:val="ListParagraph"/>
        <w:numPr>
          <w:ilvl w:val="1"/>
          <w:numId w:val="50"/>
        </w:numPr>
        <w:tabs>
          <w:tab w:pos="626" w:val="left" w:leader="none"/>
        </w:tabs>
        <w:spacing w:line="240" w:lineRule="auto" w:before="2" w:after="0"/>
        <w:ind w:left="625" w:right="0" w:hanging="542"/>
        <w:jc w:val="left"/>
        <w:rPr>
          <w:rFonts w:ascii="Times New Roman" w:eastAsia="Times New Roman"/>
          <w:sz w:val="24"/>
        </w:rPr>
      </w:pPr>
      <w:r>
        <w:rPr>
          <w:rFonts w:ascii="Times New Roman" w:eastAsia="Times New Roman"/>
          <w:sz w:val="24"/>
        </w:rPr>
        <w:br w:type="column"/>
        <w:t>kg/h</w:t>
      </w:r>
      <w:r>
        <w:rPr>
          <w:spacing w:val="-116"/>
          <w:sz w:val="24"/>
        </w:rPr>
        <w:t>），</w:t>
      </w:r>
      <w:r>
        <w:rPr>
          <w:spacing w:val="-10"/>
          <w:sz w:val="24"/>
        </w:rPr>
        <w:t>排放浓度约 </w:t>
      </w:r>
      <w:r>
        <w:rPr>
          <w:rFonts w:ascii="Times New Roman" w:eastAsia="Times New Roman"/>
          <w:spacing w:val="-2"/>
          <w:sz w:val="24"/>
        </w:rPr>
        <w:t>1.97mg/</w:t>
      </w:r>
      <w:r>
        <w:rPr>
          <w:rFonts w:ascii="Times New Roman" w:eastAsia="Times New Roman"/>
          <w:spacing w:val="-35"/>
          <w:sz w:val="24"/>
        </w:rPr>
        <w:t>m</w:t>
      </w:r>
      <w:r>
        <w:rPr>
          <w:spacing w:val="-209"/>
          <w:sz w:val="24"/>
        </w:rPr>
        <w:t>（</w:t>
      </w:r>
      <w:r>
        <w:rPr>
          <w:rFonts w:ascii="Times New Roman" w:eastAsia="Times New Roman"/>
          <w:spacing w:val="-2"/>
          <w:w w:val="97"/>
          <w:sz w:val="24"/>
          <w:vertAlign w:val="superscript"/>
        </w:rPr>
        <w:t>3</w:t>
      </w:r>
    </w:p>
    <w:p>
      <w:pPr>
        <w:pStyle w:val="BodyText"/>
        <w:spacing w:before="2"/>
        <w:ind w:left="86"/>
        <w:rPr>
          <w:rFonts w:ascii="Times New Roman" w:hAnsi="Times New Roman" w:eastAsia="Times New Roman"/>
        </w:rPr>
      </w:pPr>
      <w:r>
        <w:rPr/>
        <w:br w:type="column"/>
      </w:r>
      <w:r>
        <w:rPr/>
        <w:t>风量按 </w:t>
      </w:r>
      <w:r>
        <w:rPr>
          <w:rFonts w:ascii="Times New Roman" w:hAnsi="Times New Roman" w:eastAsia="Times New Roman"/>
        </w:rPr>
        <w:t>6000m³/h</w:t>
      </w:r>
    </w:p>
    <w:p>
      <w:pPr>
        <w:spacing w:after="0"/>
        <w:rPr>
          <w:rFonts w:ascii="Times New Roman" w:hAnsi="Times New Roman" w:eastAsia="Times New Roman"/>
        </w:rPr>
        <w:sectPr>
          <w:type w:val="continuous"/>
          <w:pgSz w:w="11910" w:h="16840"/>
          <w:pgMar w:top="1400" w:bottom="1200" w:left="1040" w:right="1160"/>
          <w:cols w:num="3" w:equalWidth="0">
            <w:col w:w="3959" w:space="40"/>
            <w:col w:w="3624" w:space="39"/>
            <w:col w:w="2048"/>
          </w:cols>
        </w:sectPr>
      </w:pPr>
    </w:p>
    <w:p>
      <w:pPr>
        <w:pStyle w:val="BodyText"/>
        <w:spacing w:before="161"/>
      </w:pPr>
      <w:r>
        <w:rPr/>
        <w:t>计），符合《饮食业油烟排放标准（试行）》（</w:t>
      </w:r>
      <w:r>
        <w:rPr>
          <w:rFonts w:ascii="Times New Roman" w:eastAsia="Times New Roman"/>
        </w:rPr>
        <w:t>GB 18483-2001</w:t>
      </w:r>
      <w:r>
        <w:rPr/>
        <w:t>）的规定。</w:t>
      </w:r>
    </w:p>
    <w:p>
      <w:pPr>
        <w:spacing w:after="0"/>
        <w:sectPr>
          <w:type w:val="continuous"/>
          <w:pgSz w:w="11910" w:h="16840"/>
          <w:pgMar w:top="1400" w:bottom="1200" w:left="1040" w:right="1160"/>
        </w:sectPr>
      </w:pPr>
    </w:p>
    <w:p>
      <w:pPr>
        <w:pStyle w:val="Heading3"/>
        <w:spacing w:before="105"/>
      </w:pPr>
      <w:r>
        <w:rPr>
          <w:rFonts w:ascii="Times New Roman" w:eastAsia="Times New Roman"/>
        </w:rPr>
        <w:t>7</w:t>
      </w:r>
      <w:r>
        <w:rPr/>
        <w:t>、移动运输源强</w:t>
      </w:r>
    </w:p>
    <w:p>
      <w:pPr>
        <w:pStyle w:val="ListParagraph"/>
        <w:numPr>
          <w:ilvl w:val="2"/>
          <w:numId w:val="50"/>
        </w:numPr>
        <w:tabs>
          <w:tab w:pos="1319" w:val="left" w:leader="none"/>
        </w:tabs>
        <w:spacing w:line="364" w:lineRule="auto" w:before="161" w:after="0"/>
        <w:ind w:left="237" w:right="165" w:firstLine="480"/>
        <w:jc w:val="left"/>
        <w:rPr>
          <w:sz w:val="24"/>
        </w:rPr>
      </w:pPr>
      <w:r>
        <w:rPr>
          <w:spacing w:val="-2"/>
          <w:sz w:val="24"/>
        </w:rPr>
        <w:t>车辆尾气：本项目原材料和产品均采用汽车进行运输，按大车 </w:t>
      </w:r>
      <w:r>
        <w:rPr>
          <w:rFonts w:ascii="Times New Roman" w:eastAsia="Times New Roman"/>
          <w:position w:val="1"/>
          <w:sz w:val="24"/>
        </w:rPr>
        <w:t>10t</w:t>
      </w:r>
      <w:r>
        <w:rPr>
          <w:rFonts w:ascii="Times New Roman" w:eastAsia="Times New Roman"/>
          <w:spacing w:val="14"/>
          <w:position w:val="1"/>
          <w:sz w:val="24"/>
        </w:rPr>
        <w:t> </w:t>
      </w:r>
      <w:r>
        <w:rPr>
          <w:sz w:val="24"/>
        </w:rPr>
        <w:t>计，预计新</w:t>
      </w:r>
      <w:r>
        <w:rPr>
          <w:spacing w:val="-9"/>
          <w:sz w:val="24"/>
        </w:rPr>
        <w:t>增交通流量约 </w:t>
      </w:r>
      <w:r>
        <w:rPr>
          <w:rFonts w:ascii="Times New Roman" w:eastAsia="Times New Roman"/>
          <w:position w:val="1"/>
          <w:sz w:val="24"/>
        </w:rPr>
        <w:t>8000 </w:t>
      </w:r>
      <w:r>
        <w:rPr>
          <w:sz w:val="24"/>
        </w:rPr>
        <w:t>次</w:t>
      </w:r>
      <w:r>
        <w:rPr>
          <w:rFonts w:ascii="Times New Roman" w:eastAsia="Times New Roman"/>
          <w:position w:val="1"/>
          <w:sz w:val="24"/>
        </w:rPr>
        <w:t>/a</w:t>
      </w:r>
      <w:r>
        <w:rPr>
          <w:spacing w:val="-7"/>
          <w:sz w:val="24"/>
        </w:rPr>
        <w:t>，平均每天运输约 </w:t>
      </w:r>
      <w:r>
        <w:rPr>
          <w:rFonts w:ascii="Times New Roman" w:eastAsia="Times New Roman"/>
          <w:position w:val="1"/>
          <w:sz w:val="24"/>
        </w:rPr>
        <w:t>22 </w:t>
      </w:r>
      <w:r>
        <w:rPr>
          <w:spacing w:val="-9"/>
          <w:sz w:val="24"/>
        </w:rPr>
        <w:t>次，每天运输 </w:t>
      </w:r>
      <w:r>
        <w:rPr>
          <w:rFonts w:ascii="Times New Roman" w:eastAsia="Times New Roman"/>
          <w:position w:val="1"/>
          <w:sz w:val="24"/>
        </w:rPr>
        <w:t>3h</w:t>
      </w:r>
      <w:r>
        <w:rPr>
          <w:spacing w:val="-7"/>
          <w:sz w:val="24"/>
        </w:rPr>
        <w:t>，则新增车流量约 </w:t>
      </w:r>
      <w:r>
        <w:rPr>
          <w:rFonts w:ascii="Times New Roman" w:eastAsia="Times New Roman"/>
          <w:position w:val="1"/>
          <w:sz w:val="24"/>
        </w:rPr>
        <w:t>8 </w:t>
      </w:r>
      <w:r>
        <w:rPr>
          <w:sz w:val="24"/>
        </w:rPr>
        <w:t>辆</w:t>
      </w:r>
      <w:r>
        <w:rPr>
          <w:rFonts w:ascii="Times New Roman" w:eastAsia="Times New Roman"/>
          <w:position w:val="1"/>
          <w:sz w:val="24"/>
        </w:rPr>
        <w:t>/h</w:t>
      </w:r>
      <w:r>
        <w:rPr>
          <w:spacing w:val="-14"/>
          <w:sz w:val="24"/>
        </w:rPr>
        <w:t>。</w:t>
      </w:r>
      <w:r>
        <w:rPr>
          <w:sz w:val="24"/>
        </w:rPr>
        <w:t>道路汽车尾气的排放量与车流量、车速、不同车型的耗油量及排放系数有关。行驶车辆尾气中的污染物排放源强按连续线源计算，线源的中心线即路中心线。污染物排放源强按下式计算：</w:t>
      </w:r>
    </w:p>
    <w:p>
      <w:pPr>
        <w:spacing w:before="18"/>
        <w:ind w:left="1074" w:right="1810" w:firstLine="0"/>
        <w:jc w:val="center"/>
        <w:rPr>
          <w:rFonts w:ascii="Cambria Math" w:eastAsia="Cambria Math"/>
          <w:sz w:val="15"/>
        </w:rPr>
      </w:pPr>
      <w:r>
        <w:rPr>
          <w:rFonts w:ascii="Cambria Math" w:eastAsia="Cambria Math"/>
          <w:w w:val="110"/>
          <w:sz w:val="15"/>
        </w:rPr>
        <w:t>𝑘</w:t>
      </w:r>
    </w:p>
    <w:p>
      <w:pPr>
        <w:spacing w:before="82"/>
        <w:ind w:left="225" w:right="236" w:firstLine="0"/>
        <w:jc w:val="center"/>
        <w:rPr>
          <w:rFonts w:ascii="Cambria Math" w:hAnsi="Cambria Math" w:eastAsia="Cambria Math"/>
          <w:sz w:val="21"/>
        </w:rPr>
      </w:pPr>
      <w:r>
        <w:rPr>
          <w:rFonts w:ascii="Cambria Math" w:hAnsi="Cambria Math" w:eastAsia="Cambria Math"/>
          <w:w w:val="110"/>
          <w:sz w:val="21"/>
        </w:rPr>
        <w:t>𝑄</w:t>
      </w:r>
      <w:r>
        <w:rPr>
          <w:rFonts w:ascii="Cambria Math" w:hAnsi="Cambria Math" w:eastAsia="Cambria Math"/>
          <w:w w:val="110"/>
          <w:position w:val="-3"/>
          <w:sz w:val="15"/>
        </w:rPr>
        <w:t>𝑗  </w:t>
      </w:r>
      <w:r>
        <w:rPr>
          <w:rFonts w:ascii="Cambria Math" w:hAnsi="Cambria Math" w:eastAsia="Cambria Math"/>
          <w:w w:val="110"/>
          <w:sz w:val="21"/>
        </w:rPr>
        <w:t>= ∑(𝐴</w:t>
      </w:r>
      <w:r>
        <w:rPr>
          <w:rFonts w:ascii="Cambria Math" w:hAnsi="Cambria Math" w:eastAsia="Cambria Math"/>
          <w:w w:val="110"/>
          <w:position w:val="-3"/>
          <w:sz w:val="15"/>
        </w:rPr>
        <w:t>𝑖</w:t>
      </w:r>
      <w:r>
        <w:rPr>
          <w:rFonts w:ascii="Cambria Math" w:hAnsi="Cambria Math" w:eastAsia="Cambria Math"/>
          <w:w w:val="110"/>
          <w:sz w:val="21"/>
        </w:rPr>
        <w:t>𝐸</w:t>
      </w:r>
      <w:r>
        <w:rPr>
          <w:rFonts w:ascii="Cambria Math" w:hAnsi="Cambria Math" w:eastAsia="Cambria Math"/>
          <w:w w:val="110"/>
          <w:position w:val="-3"/>
          <w:sz w:val="15"/>
        </w:rPr>
        <w:t>𝑖𝑗</w:t>
      </w:r>
      <w:r>
        <w:rPr>
          <w:rFonts w:ascii="Cambria Math" w:hAnsi="Cambria Math" w:eastAsia="Cambria Math"/>
          <w:w w:val="110"/>
          <w:sz w:val="21"/>
        </w:rPr>
        <w:t>/3600)</w:t>
      </w:r>
    </w:p>
    <w:p>
      <w:pPr>
        <w:spacing w:before="53"/>
        <w:ind w:left="1074" w:right="1805" w:firstLine="0"/>
        <w:jc w:val="center"/>
        <w:rPr>
          <w:rFonts w:ascii="Cambria Math" w:eastAsia="Cambria Math"/>
          <w:sz w:val="15"/>
        </w:rPr>
      </w:pPr>
      <w:r>
        <w:rPr>
          <w:rFonts w:ascii="Cambria Math" w:eastAsia="Cambria Math"/>
          <w:w w:val="105"/>
          <w:sz w:val="15"/>
        </w:rPr>
        <w:t>𝑖=1</w:t>
      </w:r>
    </w:p>
    <w:p>
      <w:pPr>
        <w:pStyle w:val="BodyText"/>
        <w:spacing w:before="6"/>
        <w:ind w:left="0"/>
        <w:rPr>
          <w:rFonts w:ascii="Cambria Math"/>
          <w:sz w:val="13"/>
        </w:rPr>
      </w:pPr>
    </w:p>
    <w:p>
      <w:pPr>
        <w:pStyle w:val="BodyText"/>
      </w:pPr>
      <w:r>
        <w:rPr>
          <w:position w:val="2"/>
        </w:rPr>
        <w:t>式中：</w:t>
      </w:r>
      <w:r>
        <w:rPr>
          <w:rFonts w:ascii="Times New Roman" w:hAnsi="Times New Roman" w:eastAsia="Times New Roman"/>
          <w:i/>
          <w:position w:val="2"/>
        </w:rPr>
        <w:t>Q</w:t>
      </w:r>
      <w:r>
        <w:rPr>
          <w:rFonts w:ascii="Times New Roman" w:hAnsi="Times New Roman" w:eastAsia="Times New Roman"/>
          <w:i/>
          <w:sz w:val="16"/>
        </w:rPr>
        <w:t>j</w:t>
      </w:r>
      <w:r>
        <w:rPr>
          <w:rFonts w:ascii="Times New Roman" w:hAnsi="Times New Roman" w:eastAsia="Times New Roman"/>
          <w:position w:val="2"/>
        </w:rPr>
        <w:t>——</w:t>
      </w:r>
      <w:r>
        <w:rPr>
          <w:rFonts w:ascii="Times New Roman" w:hAnsi="Times New Roman" w:eastAsia="Times New Roman"/>
          <w:i/>
          <w:position w:val="2"/>
        </w:rPr>
        <w:t>j </w:t>
      </w:r>
      <w:r>
        <w:rPr>
          <w:position w:val="2"/>
        </w:rPr>
        <w:t>类气态污染物排放源强度，</w:t>
      </w:r>
      <w:r>
        <w:rPr>
          <w:rFonts w:ascii="Times New Roman" w:hAnsi="Times New Roman" w:eastAsia="Times New Roman"/>
          <w:position w:val="2"/>
        </w:rPr>
        <w:t>mg/s·m</w:t>
      </w:r>
      <w:r>
        <w:rPr>
          <w:position w:val="2"/>
        </w:rPr>
        <w:t>；</w:t>
      </w:r>
    </w:p>
    <w:p>
      <w:pPr>
        <w:pStyle w:val="BodyText"/>
        <w:spacing w:line="362" w:lineRule="auto" w:before="164"/>
        <w:ind w:left="957" w:right="2539"/>
      </w:pPr>
      <w:r>
        <w:rPr>
          <w:rFonts w:ascii="Times New Roman" w:hAnsi="Times New Roman" w:eastAsia="Times New Roman"/>
          <w:i/>
          <w:position w:val="1"/>
        </w:rPr>
        <w:t>i</w:t>
      </w:r>
      <w:r>
        <w:rPr/>
        <w:t>——表示汽车分类，分为大型车、中型车、小型车； </w:t>
      </w:r>
      <w:r>
        <w:rPr>
          <w:rFonts w:ascii="Times New Roman" w:hAnsi="Times New Roman" w:eastAsia="Times New Roman"/>
          <w:i/>
          <w:position w:val="2"/>
        </w:rPr>
        <w:t>A</w:t>
      </w:r>
      <w:r>
        <w:rPr>
          <w:rFonts w:ascii="Times New Roman" w:hAnsi="Times New Roman" w:eastAsia="Times New Roman"/>
          <w:i/>
          <w:sz w:val="16"/>
        </w:rPr>
        <w:t>i</w:t>
      </w:r>
      <w:r>
        <w:rPr>
          <w:spacing w:val="-12"/>
          <w:position w:val="2"/>
        </w:rPr>
        <w:t>——表示 </w:t>
      </w:r>
      <w:r>
        <w:rPr>
          <w:rFonts w:ascii="Times New Roman" w:hAnsi="Times New Roman" w:eastAsia="Times New Roman"/>
          <w:i/>
          <w:position w:val="2"/>
        </w:rPr>
        <w:t>i </w:t>
      </w:r>
      <w:r>
        <w:rPr>
          <w:spacing w:val="-1"/>
          <w:position w:val="2"/>
        </w:rPr>
        <w:t>类车辆预测年的车流量，辆</w:t>
      </w:r>
      <w:r>
        <w:rPr>
          <w:rFonts w:ascii="Times New Roman" w:hAnsi="Times New Roman" w:eastAsia="Times New Roman"/>
          <w:position w:val="2"/>
        </w:rPr>
        <w:t>/h</w:t>
      </w:r>
      <w:r>
        <w:rPr>
          <w:spacing w:val="-10"/>
          <w:position w:val="2"/>
        </w:rPr>
        <w:t>，本项目取 </w:t>
      </w:r>
      <w:r>
        <w:rPr>
          <w:rFonts w:ascii="Times New Roman" w:hAnsi="Times New Roman" w:eastAsia="Times New Roman"/>
          <w:spacing w:val="-7"/>
          <w:position w:val="2"/>
        </w:rPr>
        <w:t>8</w:t>
      </w:r>
      <w:r>
        <w:rPr>
          <w:spacing w:val="-7"/>
          <w:position w:val="2"/>
        </w:rPr>
        <w:t>；</w:t>
      </w:r>
    </w:p>
    <w:p>
      <w:pPr>
        <w:pStyle w:val="BodyText"/>
        <w:spacing w:line="364" w:lineRule="auto" w:before="4"/>
        <w:ind w:right="251" w:firstLine="720"/>
      </w:pPr>
      <w:r>
        <w:rPr>
          <w:rFonts w:ascii="Times New Roman" w:hAnsi="Times New Roman" w:eastAsia="Times New Roman"/>
          <w:i/>
          <w:position w:val="2"/>
        </w:rPr>
        <w:t>E</w:t>
      </w:r>
      <w:r>
        <w:rPr>
          <w:rFonts w:ascii="Times New Roman" w:hAnsi="Times New Roman" w:eastAsia="Times New Roman"/>
          <w:i/>
          <w:sz w:val="16"/>
        </w:rPr>
        <w:t>ij</w:t>
      </w:r>
      <w:r>
        <w:rPr>
          <w:rFonts w:ascii="Times New Roman" w:hAnsi="Times New Roman" w:eastAsia="Times New Roman"/>
          <w:position w:val="2"/>
        </w:rPr>
        <w:t>——</w:t>
      </w:r>
      <w:r>
        <w:rPr>
          <w:spacing w:val="-20"/>
          <w:position w:val="2"/>
        </w:rPr>
        <w:t>表示 </w:t>
      </w:r>
      <w:r>
        <w:rPr>
          <w:rFonts w:ascii="Times New Roman" w:hAnsi="Times New Roman" w:eastAsia="Times New Roman"/>
          <w:i/>
          <w:position w:val="2"/>
        </w:rPr>
        <w:t>i </w:t>
      </w:r>
      <w:r>
        <w:rPr>
          <w:spacing w:val="-15"/>
          <w:position w:val="2"/>
        </w:rPr>
        <w:t>类车辆 </w:t>
      </w:r>
      <w:r>
        <w:rPr>
          <w:rFonts w:ascii="Times New Roman" w:hAnsi="Times New Roman" w:eastAsia="Times New Roman"/>
          <w:i/>
          <w:position w:val="2"/>
        </w:rPr>
        <w:t>j </w:t>
      </w:r>
      <w:r>
        <w:rPr>
          <w:spacing w:val="-5"/>
          <w:position w:val="2"/>
        </w:rPr>
        <w:t>种污染物的单车排放因子，取导则中推荐值，</w:t>
      </w:r>
      <w:r>
        <w:rPr>
          <w:rFonts w:ascii="Times New Roman" w:hAnsi="Times New Roman" w:eastAsia="Times New Roman"/>
          <w:spacing w:val="-8"/>
          <w:position w:val="2"/>
        </w:rPr>
        <w:t>mg/(</w:t>
      </w:r>
      <w:r>
        <w:rPr>
          <w:position w:val="2"/>
        </w:rPr>
        <w:t>辆</w:t>
      </w:r>
      <w:r>
        <w:rPr>
          <w:rFonts w:ascii="Times New Roman" w:hAnsi="Times New Roman" w:eastAsia="Times New Roman"/>
          <w:spacing w:val="-10"/>
          <w:position w:val="2"/>
        </w:rPr>
        <w:t>·m)</w:t>
      </w:r>
      <w:r>
        <w:rPr>
          <w:spacing w:val="-5"/>
          <w:position w:val="2"/>
        </w:rPr>
        <w:t>，本项目为大车，</w:t>
      </w:r>
      <w:r>
        <w:rPr>
          <w:rFonts w:ascii="Times New Roman" w:hAnsi="Times New Roman" w:eastAsia="Times New Roman"/>
          <w:spacing w:val="-5"/>
          <w:position w:val="2"/>
        </w:rPr>
        <w:t>CO </w:t>
      </w:r>
      <w:r>
        <w:rPr>
          <w:spacing w:val="-10"/>
          <w:position w:val="2"/>
        </w:rPr>
        <w:t>排放因子取 </w:t>
      </w:r>
      <w:r>
        <w:rPr>
          <w:rFonts w:ascii="Times New Roman" w:hAnsi="Times New Roman" w:eastAsia="Times New Roman"/>
          <w:position w:val="2"/>
        </w:rPr>
        <w:t>0.74</w:t>
      </w:r>
      <w:r>
        <w:rPr>
          <w:position w:val="2"/>
        </w:rPr>
        <w:t>，</w:t>
      </w:r>
      <w:r>
        <w:rPr>
          <w:rFonts w:ascii="Times New Roman" w:hAnsi="Times New Roman" w:eastAsia="Times New Roman"/>
          <w:position w:val="2"/>
        </w:rPr>
        <w:t>NO</w:t>
      </w:r>
      <w:r>
        <w:rPr>
          <w:rFonts w:ascii="Times New Roman" w:hAnsi="Times New Roman" w:eastAsia="Times New Roman"/>
          <w:sz w:val="16"/>
        </w:rPr>
        <w:t>x </w:t>
      </w:r>
      <w:r>
        <w:rPr>
          <w:spacing w:val="-10"/>
          <w:position w:val="2"/>
        </w:rPr>
        <w:t>排放因子取 </w:t>
      </w:r>
      <w:r>
        <w:rPr>
          <w:rFonts w:ascii="Times New Roman" w:hAnsi="Times New Roman" w:eastAsia="Times New Roman"/>
          <w:position w:val="2"/>
        </w:rPr>
        <w:t>0.28</w:t>
      </w:r>
      <w:r>
        <w:rPr>
          <w:spacing w:val="-6"/>
          <w:position w:val="2"/>
        </w:rPr>
        <w:t>。计算得其源强见表 </w:t>
      </w:r>
      <w:r>
        <w:rPr>
          <w:rFonts w:ascii="Times New Roman" w:hAnsi="Times New Roman" w:eastAsia="Times New Roman"/>
          <w:position w:val="2"/>
        </w:rPr>
        <w:t>3.3-12</w:t>
      </w:r>
      <w:r>
        <w:rPr>
          <w:position w:val="2"/>
        </w:rPr>
        <w:t>。</w:t>
      </w:r>
    </w:p>
    <w:p>
      <w:pPr>
        <w:pStyle w:val="Heading3"/>
        <w:spacing w:before="4"/>
        <w:ind w:left="1353"/>
        <w:rPr>
          <w:rFonts w:ascii="Times New Roman" w:hAnsi="Times New Roman" w:eastAsia="Times New Roman"/>
        </w:rPr>
      </w:pPr>
      <w:r>
        <w:rPr/>
        <w:t>表 </w:t>
      </w:r>
      <w:r>
        <w:rPr>
          <w:rFonts w:ascii="Times New Roman" w:hAnsi="Times New Roman" w:eastAsia="Times New Roman"/>
        </w:rPr>
        <w:t>3.3-12  </w:t>
      </w:r>
      <w:r>
        <w:rPr/>
        <w:t>新增交通运输移动源排放污染物及排放量 单位：</w:t>
      </w:r>
      <w:r>
        <w:rPr>
          <w:rFonts w:ascii="Times New Roman" w:hAnsi="Times New Roman" w:eastAsia="Times New Roman"/>
        </w:rPr>
        <w:t>mg/s·m</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903"/>
        <w:gridCol w:w="2655"/>
        <w:gridCol w:w="2873"/>
      </w:tblGrid>
      <w:tr>
        <w:trPr>
          <w:trHeight w:val="359" w:hRule="atLeast"/>
        </w:trPr>
        <w:tc>
          <w:tcPr>
            <w:tcW w:w="3903" w:type="dxa"/>
            <w:tcBorders>
              <w:bottom w:val="single" w:sz="4" w:space="0" w:color="000000"/>
              <w:right w:val="single" w:sz="4" w:space="0" w:color="000000"/>
            </w:tcBorders>
          </w:tcPr>
          <w:p>
            <w:pPr>
              <w:pStyle w:val="TableParagraph"/>
              <w:spacing w:before="46"/>
              <w:ind w:left="999" w:right="981"/>
              <w:rPr>
                <w:rFonts w:ascii="宋体" w:eastAsia="宋体" w:hint="eastAsia"/>
                <w:b/>
                <w:sz w:val="21"/>
              </w:rPr>
            </w:pPr>
            <w:r>
              <w:rPr>
                <w:rFonts w:ascii="宋体" w:eastAsia="宋体" w:hint="eastAsia"/>
                <w:b/>
                <w:sz w:val="21"/>
              </w:rPr>
              <w:t>新增车流量（辆</w:t>
            </w:r>
            <w:r>
              <w:rPr>
                <w:b/>
                <w:sz w:val="21"/>
              </w:rPr>
              <w:t>/h</w:t>
            </w:r>
            <w:r>
              <w:rPr>
                <w:rFonts w:ascii="宋体" w:eastAsia="宋体" w:hint="eastAsia"/>
                <w:b/>
                <w:sz w:val="21"/>
              </w:rPr>
              <w:t>）</w:t>
            </w:r>
          </w:p>
        </w:tc>
        <w:tc>
          <w:tcPr>
            <w:tcW w:w="2655" w:type="dxa"/>
            <w:tcBorders>
              <w:left w:val="single" w:sz="4" w:space="0" w:color="000000"/>
              <w:bottom w:val="single" w:sz="4" w:space="0" w:color="000000"/>
              <w:right w:val="single" w:sz="4" w:space="0" w:color="000000"/>
            </w:tcBorders>
          </w:tcPr>
          <w:p>
            <w:pPr>
              <w:pStyle w:val="TableParagraph"/>
              <w:spacing w:before="46"/>
              <w:ind w:left="707" w:right="686"/>
              <w:rPr>
                <w:rFonts w:ascii="宋体" w:eastAsia="宋体" w:hint="eastAsia"/>
                <w:b/>
                <w:sz w:val="21"/>
              </w:rPr>
            </w:pPr>
            <w:r>
              <w:rPr>
                <w:b/>
                <w:sz w:val="21"/>
              </w:rPr>
              <w:t>CO </w:t>
            </w:r>
            <w:r>
              <w:rPr>
                <w:rFonts w:ascii="宋体" w:eastAsia="宋体" w:hint="eastAsia"/>
                <w:b/>
                <w:sz w:val="21"/>
              </w:rPr>
              <w:t>排放源强</w:t>
            </w:r>
          </w:p>
        </w:tc>
        <w:tc>
          <w:tcPr>
            <w:tcW w:w="2873" w:type="dxa"/>
            <w:tcBorders>
              <w:left w:val="single" w:sz="4" w:space="0" w:color="000000"/>
              <w:bottom w:val="single" w:sz="4" w:space="0" w:color="000000"/>
            </w:tcBorders>
          </w:tcPr>
          <w:p>
            <w:pPr>
              <w:pStyle w:val="TableParagraph"/>
              <w:spacing w:before="50"/>
              <w:ind w:left="791" w:right="757"/>
              <w:rPr>
                <w:rFonts w:ascii="宋体" w:eastAsia="宋体" w:hint="eastAsia"/>
                <w:b/>
                <w:sz w:val="21"/>
              </w:rPr>
            </w:pPr>
            <w:r>
              <w:rPr>
                <w:b/>
                <w:position w:val="2"/>
                <w:sz w:val="21"/>
              </w:rPr>
              <w:t>NO</w:t>
            </w:r>
            <w:r>
              <w:rPr>
                <w:b/>
                <w:sz w:val="14"/>
              </w:rPr>
              <w:t>x </w:t>
            </w:r>
            <w:r>
              <w:rPr>
                <w:rFonts w:ascii="宋体" w:eastAsia="宋体" w:hint="eastAsia"/>
                <w:b/>
                <w:position w:val="1"/>
                <w:sz w:val="21"/>
              </w:rPr>
              <w:t>排放源强</w:t>
            </w:r>
          </w:p>
        </w:tc>
      </w:tr>
      <w:tr>
        <w:trPr>
          <w:trHeight w:val="359" w:hRule="atLeast"/>
        </w:trPr>
        <w:tc>
          <w:tcPr>
            <w:tcW w:w="3903" w:type="dxa"/>
            <w:tcBorders>
              <w:top w:val="single" w:sz="4" w:space="0" w:color="000000"/>
              <w:right w:val="single" w:sz="4" w:space="0" w:color="000000"/>
            </w:tcBorders>
          </w:tcPr>
          <w:p>
            <w:pPr>
              <w:pStyle w:val="TableParagraph"/>
              <w:ind w:left="18"/>
              <w:rPr>
                <w:sz w:val="21"/>
              </w:rPr>
            </w:pPr>
            <w:r>
              <w:rPr>
                <w:w w:val="100"/>
                <w:sz w:val="21"/>
              </w:rPr>
              <w:t>8</w:t>
            </w:r>
          </w:p>
        </w:tc>
        <w:tc>
          <w:tcPr>
            <w:tcW w:w="2655" w:type="dxa"/>
            <w:tcBorders>
              <w:top w:val="single" w:sz="4" w:space="0" w:color="000000"/>
              <w:left w:val="single" w:sz="4" w:space="0" w:color="000000"/>
              <w:right w:val="single" w:sz="4" w:space="0" w:color="000000"/>
            </w:tcBorders>
          </w:tcPr>
          <w:p>
            <w:pPr>
              <w:pStyle w:val="TableParagraph"/>
              <w:ind w:left="707" w:right="683"/>
              <w:rPr>
                <w:sz w:val="21"/>
              </w:rPr>
            </w:pPr>
            <w:r>
              <w:rPr>
                <w:sz w:val="21"/>
              </w:rPr>
              <w:t>1.64E-03</w:t>
            </w:r>
          </w:p>
        </w:tc>
        <w:tc>
          <w:tcPr>
            <w:tcW w:w="2873" w:type="dxa"/>
            <w:tcBorders>
              <w:top w:val="single" w:sz="4" w:space="0" w:color="000000"/>
              <w:left w:val="single" w:sz="4" w:space="0" w:color="000000"/>
            </w:tcBorders>
          </w:tcPr>
          <w:p>
            <w:pPr>
              <w:pStyle w:val="TableParagraph"/>
              <w:ind w:left="791" w:right="755"/>
              <w:rPr>
                <w:sz w:val="21"/>
              </w:rPr>
            </w:pPr>
            <w:r>
              <w:rPr>
                <w:sz w:val="21"/>
              </w:rPr>
              <w:t>6.22E-04</w:t>
            </w:r>
          </w:p>
        </w:tc>
      </w:tr>
    </w:tbl>
    <w:p>
      <w:pPr>
        <w:pStyle w:val="ListParagraph"/>
        <w:numPr>
          <w:ilvl w:val="2"/>
          <w:numId w:val="50"/>
        </w:numPr>
        <w:tabs>
          <w:tab w:pos="1319" w:val="left" w:leader="none"/>
        </w:tabs>
        <w:spacing w:line="364" w:lineRule="auto" w:before="82" w:after="0"/>
        <w:ind w:left="237" w:right="252" w:firstLine="480"/>
        <w:jc w:val="left"/>
        <w:rPr>
          <w:sz w:val="24"/>
        </w:rPr>
      </w:pPr>
      <w:r>
        <w:rPr>
          <w:spacing w:val="-5"/>
          <w:sz w:val="24"/>
        </w:rPr>
        <w:t>运输扬尘：项目进出场运输会产生一定量的运输扬尘，通过采取路面硬化、安</w:t>
      </w:r>
      <w:r>
        <w:rPr>
          <w:sz w:val="24"/>
        </w:rPr>
        <w:t>排专人定时洒水清扫、进出场时对其进行洗消等措施，可有效控制运输扬尘。</w:t>
      </w:r>
    </w:p>
    <w:p>
      <w:pPr>
        <w:pStyle w:val="ListParagraph"/>
        <w:numPr>
          <w:ilvl w:val="2"/>
          <w:numId w:val="50"/>
        </w:numPr>
        <w:tabs>
          <w:tab w:pos="1319" w:val="left" w:leader="none"/>
        </w:tabs>
        <w:spacing w:line="364" w:lineRule="auto" w:before="1" w:after="0"/>
        <w:ind w:left="237" w:right="249" w:firstLine="480"/>
        <w:jc w:val="both"/>
        <w:rPr>
          <w:sz w:val="24"/>
        </w:rPr>
      </w:pPr>
      <w:r>
        <w:rPr>
          <w:spacing w:val="-5"/>
          <w:sz w:val="24"/>
        </w:rPr>
        <w:t>恶臭：项目进出场运输的猪只、发酵产物等会散发少量的恶臭，其中猪只出场时须进行冲洗，发酵产物经厂内发酵处理后已大幅削减恶臭散发强度，另外要求加强运输车辆的密闭化，可减少恶臭的无组织排放。</w:t>
      </w:r>
    </w:p>
    <w:p>
      <w:pPr>
        <w:pStyle w:val="Heading3"/>
        <w:spacing w:before="2"/>
      </w:pPr>
      <w:r>
        <w:rPr>
          <w:rFonts w:ascii="Times New Roman" w:eastAsia="Times New Roman"/>
        </w:rPr>
        <w:t>8</w:t>
      </w:r>
      <w:r>
        <w:rPr/>
        <w:t>、废气污染源强汇总</w:t>
      </w:r>
    </w:p>
    <w:p>
      <w:pPr>
        <w:pStyle w:val="BodyText"/>
        <w:spacing w:before="160"/>
        <w:ind w:left="717"/>
      </w:pPr>
      <w:r>
        <w:rPr/>
        <w:t>综上，本项目废气污染源强汇总见表 </w:t>
      </w:r>
      <w:r>
        <w:rPr>
          <w:rFonts w:ascii="Times New Roman" w:eastAsia="Times New Roman"/>
          <w:position w:val="1"/>
        </w:rPr>
        <w:t>3.3-13</w:t>
      </w:r>
      <w:r>
        <w:rPr/>
        <w:t>。</w:t>
      </w:r>
    </w:p>
    <w:p>
      <w:pPr>
        <w:pStyle w:val="Heading3"/>
        <w:ind w:left="222" w:right="236"/>
        <w:jc w:val="center"/>
        <w:rPr>
          <w:rFonts w:ascii="Times New Roman" w:eastAsia="Times New Roman"/>
        </w:rPr>
      </w:pPr>
      <w:r>
        <w:rPr/>
        <w:t>表 </w:t>
      </w:r>
      <w:r>
        <w:rPr>
          <w:rFonts w:ascii="Times New Roman" w:eastAsia="Times New Roman"/>
        </w:rPr>
        <w:t>3.3-13  </w:t>
      </w:r>
      <w:r>
        <w:rPr/>
        <w:t>项目废气污染源强汇总 单位：</w:t>
      </w:r>
      <w:r>
        <w:rPr>
          <w:rFonts w:ascii="Times New Roman" w:eastAsia="Times New Roman"/>
        </w:rPr>
        <w:t>t/a</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2"/>
        <w:gridCol w:w="1045"/>
        <w:gridCol w:w="992"/>
        <w:gridCol w:w="992"/>
        <w:gridCol w:w="841"/>
        <w:gridCol w:w="1004"/>
        <w:gridCol w:w="3520"/>
      </w:tblGrid>
      <w:tr>
        <w:trPr>
          <w:trHeight w:val="359" w:hRule="atLeast"/>
        </w:trPr>
        <w:tc>
          <w:tcPr>
            <w:tcW w:w="1042" w:type="dxa"/>
            <w:vMerge w:val="restart"/>
            <w:tcBorders>
              <w:bottom w:val="single" w:sz="6" w:space="0" w:color="000000"/>
              <w:right w:val="single" w:sz="6" w:space="0" w:color="000000"/>
            </w:tcBorders>
          </w:tcPr>
          <w:p>
            <w:pPr>
              <w:pStyle w:val="TableParagraph"/>
              <w:spacing w:before="8"/>
              <w:jc w:val="left"/>
              <w:rPr>
                <w:b/>
                <w:sz w:val="20"/>
              </w:rPr>
            </w:pPr>
          </w:p>
          <w:p>
            <w:pPr>
              <w:pStyle w:val="TableParagraph"/>
              <w:spacing w:before="0"/>
              <w:ind w:left="116"/>
              <w:jc w:val="left"/>
              <w:rPr>
                <w:rFonts w:ascii="宋体" w:eastAsia="宋体" w:hint="eastAsia"/>
                <w:b/>
                <w:sz w:val="20"/>
              </w:rPr>
            </w:pPr>
            <w:r>
              <w:rPr>
                <w:rFonts w:ascii="宋体" w:eastAsia="宋体" w:hint="eastAsia"/>
                <w:b/>
                <w:sz w:val="20"/>
              </w:rPr>
              <w:t>产生工序</w:t>
            </w:r>
          </w:p>
        </w:tc>
        <w:tc>
          <w:tcPr>
            <w:tcW w:w="1045" w:type="dxa"/>
            <w:vMerge w:val="restart"/>
            <w:tcBorders>
              <w:left w:val="single" w:sz="6" w:space="0" w:color="000000"/>
              <w:bottom w:val="single" w:sz="6" w:space="0" w:color="000000"/>
              <w:right w:val="single" w:sz="6" w:space="0" w:color="000000"/>
            </w:tcBorders>
          </w:tcPr>
          <w:p>
            <w:pPr>
              <w:pStyle w:val="TableParagraph"/>
              <w:spacing w:before="8"/>
              <w:jc w:val="left"/>
              <w:rPr>
                <w:b/>
                <w:sz w:val="20"/>
              </w:rPr>
            </w:pPr>
          </w:p>
          <w:p>
            <w:pPr>
              <w:pStyle w:val="TableParagraph"/>
              <w:spacing w:before="0"/>
              <w:ind w:left="227"/>
              <w:jc w:val="left"/>
              <w:rPr>
                <w:rFonts w:ascii="宋体" w:eastAsia="宋体" w:hint="eastAsia"/>
                <w:b/>
                <w:sz w:val="20"/>
              </w:rPr>
            </w:pPr>
            <w:r>
              <w:rPr>
                <w:rFonts w:ascii="宋体" w:eastAsia="宋体" w:hint="eastAsia"/>
                <w:b/>
                <w:sz w:val="20"/>
              </w:rPr>
              <w:t>污染物</w:t>
            </w:r>
          </w:p>
        </w:tc>
        <w:tc>
          <w:tcPr>
            <w:tcW w:w="992" w:type="dxa"/>
            <w:vMerge w:val="restart"/>
            <w:tcBorders>
              <w:left w:val="single" w:sz="6" w:space="0" w:color="000000"/>
              <w:bottom w:val="single" w:sz="6" w:space="0" w:color="000000"/>
              <w:right w:val="single" w:sz="6" w:space="0" w:color="000000"/>
            </w:tcBorders>
          </w:tcPr>
          <w:p>
            <w:pPr>
              <w:pStyle w:val="TableParagraph"/>
              <w:spacing w:before="8"/>
              <w:jc w:val="left"/>
              <w:rPr>
                <w:b/>
                <w:sz w:val="20"/>
              </w:rPr>
            </w:pPr>
          </w:p>
          <w:p>
            <w:pPr>
              <w:pStyle w:val="TableParagraph"/>
              <w:spacing w:before="0"/>
              <w:ind w:left="200"/>
              <w:jc w:val="left"/>
              <w:rPr>
                <w:rFonts w:ascii="宋体" w:eastAsia="宋体" w:hint="eastAsia"/>
                <w:b/>
                <w:sz w:val="20"/>
              </w:rPr>
            </w:pPr>
            <w:r>
              <w:rPr>
                <w:rFonts w:ascii="宋体" w:eastAsia="宋体" w:hint="eastAsia"/>
                <w:b/>
                <w:sz w:val="20"/>
              </w:rPr>
              <w:t>产生量</w:t>
            </w:r>
          </w:p>
        </w:tc>
        <w:tc>
          <w:tcPr>
            <w:tcW w:w="2837" w:type="dxa"/>
            <w:gridSpan w:val="3"/>
            <w:tcBorders>
              <w:left w:val="single" w:sz="6" w:space="0" w:color="000000"/>
              <w:bottom w:val="single" w:sz="6" w:space="0" w:color="000000"/>
              <w:right w:val="single" w:sz="6" w:space="0" w:color="000000"/>
            </w:tcBorders>
          </w:tcPr>
          <w:p>
            <w:pPr>
              <w:pStyle w:val="TableParagraph"/>
              <w:spacing w:before="53"/>
              <w:ind w:left="1102" w:right="1077"/>
              <w:rPr>
                <w:rFonts w:ascii="宋体" w:eastAsia="宋体" w:hint="eastAsia"/>
                <w:b/>
                <w:sz w:val="20"/>
              </w:rPr>
            </w:pPr>
            <w:r>
              <w:rPr>
                <w:rFonts w:ascii="宋体" w:eastAsia="宋体" w:hint="eastAsia"/>
                <w:b/>
                <w:sz w:val="20"/>
              </w:rPr>
              <w:t>排放量</w:t>
            </w:r>
          </w:p>
        </w:tc>
        <w:tc>
          <w:tcPr>
            <w:tcW w:w="3520" w:type="dxa"/>
            <w:vMerge w:val="restart"/>
            <w:tcBorders>
              <w:left w:val="single" w:sz="6" w:space="0" w:color="000000"/>
              <w:bottom w:val="single" w:sz="6" w:space="0" w:color="000000"/>
            </w:tcBorders>
          </w:tcPr>
          <w:p>
            <w:pPr>
              <w:pStyle w:val="TableParagraph"/>
              <w:spacing w:before="8"/>
              <w:jc w:val="left"/>
              <w:rPr>
                <w:b/>
                <w:sz w:val="20"/>
              </w:rPr>
            </w:pPr>
          </w:p>
          <w:p>
            <w:pPr>
              <w:pStyle w:val="TableParagraph"/>
              <w:spacing w:before="0"/>
              <w:ind w:left="1341" w:right="1313"/>
              <w:rPr>
                <w:rFonts w:ascii="宋体" w:eastAsia="宋体" w:hint="eastAsia"/>
                <w:b/>
                <w:sz w:val="20"/>
              </w:rPr>
            </w:pPr>
            <w:r>
              <w:rPr>
                <w:rFonts w:ascii="宋体" w:eastAsia="宋体" w:hint="eastAsia"/>
                <w:b/>
                <w:sz w:val="20"/>
              </w:rPr>
              <w:t>最终去向</w:t>
            </w:r>
          </w:p>
        </w:tc>
      </w:tr>
      <w:tr>
        <w:trPr>
          <w:trHeight w:val="359" w:hRule="atLeast"/>
        </w:trPr>
        <w:tc>
          <w:tcPr>
            <w:tcW w:w="1042" w:type="dxa"/>
            <w:vMerge/>
            <w:tcBorders>
              <w:top w:val="nil"/>
              <w:bottom w:val="single" w:sz="6" w:space="0" w:color="000000"/>
              <w:right w:val="single" w:sz="6" w:space="0" w:color="000000"/>
            </w:tcBorders>
          </w:tcPr>
          <w:p>
            <w:pPr>
              <w:rPr>
                <w:sz w:val="2"/>
                <w:szCs w:val="2"/>
              </w:rPr>
            </w:pPr>
          </w:p>
        </w:tc>
        <w:tc>
          <w:tcPr>
            <w:tcW w:w="1045" w:type="dxa"/>
            <w:vMerge/>
            <w:tcBorders>
              <w:top w:val="nil"/>
              <w:left w:val="single" w:sz="6" w:space="0" w:color="000000"/>
              <w:bottom w:val="single" w:sz="6" w:space="0" w:color="000000"/>
              <w:right w:val="single" w:sz="6" w:space="0" w:color="000000"/>
            </w:tcBorders>
          </w:tcPr>
          <w:p>
            <w:pPr>
              <w:rPr>
                <w:sz w:val="2"/>
                <w:szCs w:val="2"/>
              </w:rPr>
            </w:pPr>
          </w:p>
        </w:tc>
        <w:tc>
          <w:tcPr>
            <w:tcW w:w="992" w:type="dxa"/>
            <w:vMerge/>
            <w:tcBorders>
              <w:top w:val="nil"/>
              <w:left w:val="single" w:sz="6" w:space="0" w:color="000000"/>
              <w:bottom w:val="single" w:sz="6" w:space="0" w:color="000000"/>
              <w:right w:val="single" w:sz="6" w:space="0" w:color="000000"/>
            </w:tcBorders>
          </w:tcPr>
          <w:p>
            <w:pPr>
              <w:rPr>
                <w:sz w:val="2"/>
                <w:szCs w:val="2"/>
              </w:rPr>
            </w:pP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51"/>
              <w:ind w:left="178" w:right="156"/>
              <w:rPr>
                <w:rFonts w:ascii="宋体" w:eastAsia="宋体" w:hint="eastAsia"/>
                <w:b/>
                <w:sz w:val="20"/>
              </w:rPr>
            </w:pPr>
            <w:r>
              <w:rPr>
                <w:rFonts w:ascii="宋体" w:eastAsia="宋体" w:hint="eastAsia"/>
                <w:b/>
                <w:sz w:val="20"/>
              </w:rPr>
              <w:t>有组织</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51"/>
              <w:ind w:left="98" w:right="80"/>
              <w:rPr>
                <w:rFonts w:ascii="宋体" w:eastAsia="宋体" w:hint="eastAsia"/>
                <w:b/>
                <w:sz w:val="20"/>
              </w:rPr>
            </w:pPr>
            <w:r>
              <w:rPr>
                <w:rFonts w:ascii="宋体" w:eastAsia="宋体" w:hint="eastAsia"/>
                <w:b/>
                <w:sz w:val="20"/>
              </w:rPr>
              <w:t>无组织</w:t>
            </w:r>
          </w:p>
        </w:tc>
        <w:tc>
          <w:tcPr>
            <w:tcW w:w="1004" w:type="dxa"/>
            <w:tcBorders>
              <w:top w:val="single" w:sz="6" w:space="0" w:color="000000"/>
              <w:left w:val="single" w:sz="6" w:space="0" w:color="000000"/>
              <w:bottom w:val="single" w:sz="6" w:space="0" w:color="000000"/>
              <w:right w:val="single" w:sz="6" w:space="0" w:color="000000"/>
            </w:tcBorders>
          </w:tcPr>
          <w:p>
            <w:pPr>
              <w:pStyle w:val="TableParagraph"/>
              <w:spacing w:before="51"/>
              <w:ind w:left="303"/>
              <w:jc w:val="left"/>
              <w:rPr>
                <w:rFonts w:ascii="宋体" w:eastAsia="宋体" w:hint="eastAsia"/>
                <w:b/>
                <w:sz w:val="20"/>
              </w:rPr>
            </w:pPr>
            <w:r>
              <w:rPr>
                <w:rFonts w:ascii="宋体" w:eastAsia="宋体" w:hint="eastAsia"/>
                <w:b/>
                <w:sz w:val="20"/>
              </w:rPr>
              <w:t>合计</w:t>
            </w:r>
          </w:p>
        </w:tc>
        <w:tc>
          <w:tcPr>
            <w:tcW w:w="3520" w:type="dxa"/>
            <w:vMerge/>
            <w:tcBorders>
              <w:top w:val="nil"/>
              <w:left w:val="single" w:sz="6" w:space="0" w:color="000000"/>
              <w:bottom w:val="single" w:sz="6" w:space="0" w:color="000000"/>
            </w:tcBorders>
          </w:tcPr>
          <w:p>
            <w:pPr>
              <w:rPr>
                <w:sz w:val="2"/>
                <w:szCs w:val="2"/>
              </w:rPr>
            </w:pPr>
          </w:p>
        </w:tc>
      </w:tr>
      <w:tr>
        <w:trPr>
          <w:trHeight w:val="359" w:hRule="atLeast"/>
        </w:trPr>
        <w:tc>
          <w:tcPr>
            <w:tcW w:w="1042" w:type="dxa"/>
            <w:vMerge w:val="restart"/>
            <w:tcBorders>
              <w:top w:val="single" w:sz="6" w:space="0" w:color="000000"/>
              <w:bottom w:val="single" w:sz="6" w:space="0" w:color="000000"/>
              <w:right w:val="single" w:sz="6" w:space="0" w:color="000000"/>
            </w:tcBorders>
          </w:tcPr>
          <w:p>
            <w:pPr>
              <w:pStyle w:val="TableParagraph"/>
              <w:spacing w:before="8"/>
              <w:jc w:val="left"/>
              <w:rPr>
                <w:b/>
                <w:sz w:val="20"/>
              </w:rPr>
            </w:pPr>
          </w:p>
          <w:p>
            <w:pPr>
              <w:pStyle w:val="TableParagraph"/>
              <w:spacing w:before="1"/>
              <w:ind w:left="318"/>
              <w:jc w:val="left"/>
              <w:rPr>
                <w:rFonts w:ascii="宋体" w:eastAsia="宋体" w:hint="eastAsia"/>
                <w:sz w:val="20"/>
              </w:rPr>
            </w:pPr>
            <w:r>
              <w:rPr>
                <w:rFonts w:ascii="宋体" w:eastAsia="宋体" w:hint="eastAsia"/>
                <w:sz w:val="20"/>
              </w:rPr>
              <w:t>猪舍</w:t>
            </w:r>
          </w:p>
        </w:tc>
        <w:tc>
          <w:tcPr>
            <w:tcW w:w="1045" w:type="dxa"/>
            <w:tcBorders>
              <w:top w:val="single" w:sz="6" w:space="0" w:color="000000"/>
              <w:left w:val="single" w:sz="6" w:space="0" w:color="000000"/>
              <w:bottom w:val="single" w:sz="6" w:space="0" w:color="000000"/>
              <w:right w:val="single" w:sz="6" w:space="0" w:color="000000"/>
            </w:tcBorders>
          </w:tcPr>
          <w:p>
            <w:pPr>
              <w:pStyle w:val="TableParagraph"/>
              <w:spacing w:before="51"/>
              <w:ind w:left="26"/>
              <w:rPr>
                <w:rFonts w:ascii="宋体" w:eastAsia="宋体" w:hint="eastAsia"/>
                <w:sz w:val="20"/>
              </w:rPr>
            </w:pPr>
            <w:r>
              <w:rPr>
                <w:rFonts w:ascii="宋体" w:eastAsia="宋体" w:hint="eastAsia"/>
                <w:w w:val="99"/>
                <w:sz w:val="20"/>
              </w:rPr>
              <w:t>氨</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right="198"/>
              <w:jc w:val="right"/>
              <w:rPr>
                <w:sz w:val="20"/>
              </w:rPr>
            </w:pPr>
            <w:r>
              <w:rPr>
                <w:w w:val="95"/>
                <w:sz w:val="20"/>
              </w:rPr>
              <w:t>15.369</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21"/>
              <w:rPr>
                <w:sz w:val="20"/>
              </w:rPr>
            </w:pPr>
            <w:r>
              <w:rPr>
                <w:w w:val="99"/>
                <w:sz w:val="20"/>
              </w:rPr>
              <w:t>0</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62"/>
              <w:ind w:left="98" w:right="80"/>
              <w:rPr>
                <w:sz w:val="20"/>
              </w:rPr>
            </w:pPr>
            <w:r>
              <w:rPr>
                <w:sz w:val="20"/>
              </w:rPr>
              <w:t>2.305</w:t>
            </w:r>
          </w:p>
        </w:tc>
        <w:tc>
          <w:tcPr>
            <w:tcW w:w="1004" w:type="dxa"/>
            <w:tcBorders>
              <w:top w:val="single" w:sz="6" w:space="0" w:color="000000"/>
              <w:left w:val="single" w:sz="6" w:space="0" w:color="000000"/>
              <w:bottom w:val="single" w:sz="6" w:space="0" w:color="000000"/>
              <w:right w:val="single" w:sz="6" w:space="0" w:color="000000"/>
            </w:tcBorders>
          </w:tcPr>
          <w:p>
            <w:pPr>
              <w:pStyle w:val="TableParagraph"/>
              <w:spacing w:before="62"/>
              <w:ind w:left="279"/>
              <w:jc w:val="left"/>
              <w:rPr>
                <w:sz w:val="20"/>
              </w:rPr>
            </w:pPr>
            <w:r>
              <w:rPr>
                <w:sz w:val="20"/>
              </w:rPr>
              <w:t>2.305</w:t>
            </w:r>
          </w:p>
        </w:tc>
        <w:tc>
          <w:tcPr>
            <w:tcW w:w="3520" w:type="dxa"/>
            <w:vMerge w:val="restart"/>
            <w:tcBorders>
              <w:top w:val="single" w:sz="6" w:space="0" w:color="000000"/>
              <w:left w:val="single" w:sz="6" w:space="0" w:color="000000"/>
              <w:bottom w:val="single" w:sz="6" w:space="0" w:color="000000"/>
            </w:tcBorders>
          </w:tcPr>
          <w:p>
            <w:pPr>
              <w:pStyle w:val="TableParagraph"/>
              <w:spacing w:before="8"/>
              <w:jc w:val="left"/>
              <w:rPr>
                <w:b/>
                <w:sz w:val="20"/>
              </w:rPr>
            </w:pPr>
          </w:p>
          <w:p>
            <w:pPr>
              <w:pStyle w:val="TableParagraph"/>
              <w:spacing w:before="1"/>
              <w:ind w:left="161"/>
              <w:jc w:val="left"/>
              <w:rPr>
                <w:rFonts w:ascii="宋体" w:eastAsia="宋体" w:hint="eastAsia"/>
                <w:sz w:val="20"/>
              </w:rPr>
            </w:pPr>
            <w:r>
              <w:rPr>
                <w:rFonts w:ascii="宋体" w:eastAsia="宋体" w:hint="eastAsia"/>
                <w:sz w:val="20"/>
              </w:rPr>
              <w:t>经喷淋过滤处理后厂区内无组织排放</w:t>
            </w:r>
          </w:p>
        </w:tc>
      </w:tr>
      <w:tr>
        <w:trPr>
          <w:trHeight w:val="357" w:hRule="atLeast"/>
        </w:trPr>
        <w:tc>
          <w:tcPr>
            <w:tcW w:w="1042" w:type="dxa"/>
            <w:vMerge/>
            <w:tcBorders>
              <w:top w:val="nil"/>
              <w:bottom w:val="single" w:sz="6" w:space="0" w:color="000000"/>
              <w:right w:val="single" w:sz="6" w:space="0" w:color="000000"/>
            </w:tcBorders>
          </w:tcPr>
          <w:p>
            <w:pPr>
              <w:rPr>
                <w:sz w:val="2"/>
                <w:szCs w:val="2"/>
              </w:rPr>
            </w:pPr>
          </w:p>
        </w:tc>
        <w:tc>
          <w:tcPr>
            <w:tcW w:w="1045" w:type="dxa"/>
            <w:tcBorders>
              <w:top w:val="single" w:sz="6" w:space="0" w:color="000000"/>
              <w:left w:val="single" w:sz="6" w:space="0" w:color="000000"/>
              <w:bottom w:val="single" w:sz="6" w:space="0" w:color="000000"/>
              <w:right w:val="single" w:sz="6" w:space="0" w:color="000000"/>
            </w:tcBorders>
          </w:tcPr>
          <w:p>
            <w:pPr>
              <w:pStyle w:val="TableParagraph"/>
              <w:spacing w:before="51"/>
              <w:ind w:left="206" w:right="184"/>
              <w:rPr>
                <w:rFonts w:ascii="宋体" w:eastAsia="宋体" w:hint="eastAsia"/>
                <w:sz w:val="20"/>
              </w:rPr>
            </w:pPr>
            <w:r>
              <w:rPr>
                <w:rFonts w:ascii="宋体" w:eastAsia="宋体" w:hint="eastAsia"/>
                <w:sz w:val="20"/>
              </w:rPr>
              <w:t>硫化氢</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right="248"/>
              <w:jc w:val="right"/>
              <w:rPr>
                <w:sz w:val="20"/>
              </w:rPr>
            </w:pPr>
            <w:r>
              <w:rPr>
                <w:sz w:val="20"/>
              </w:rPr>
              <w:t>1.377</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21"/>
              <w:rPr>
                <w:sz w:val="20"/>
              </w:rPr>
            </w:pPr>
            <w:r>
              <w:rPr>
                <w:w w:val="99"/>
                <w:sz w:val="20"/>
              </w:rPr>
              <w:t>0</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62"/>
              <w:ind w:left="98" w:right="80"/>
              <w:rPr>
                <w:sz w:val="20"/>
              </w:rPr>
            </w:pPr>
            <w:r>
              <w:rPr>
                <w:sz w:val="20"/>
              </w:rPr>
              <w:t>0.344</w:t>
            </w:r>
          </w:p>
        </w:tc>
        <w:tc>
          <w:tcPr>
            <w:tcW w:w="1004" w:type="dxa"/>
            <w:tcBorders>
              <w:top w:val="single" w:sz="6" w:space="0" w:color="000000"/>
              <w:left w:val="single" w:sz="6" w:space="0" w:color="000000"/>
              <w:bottom w:val="single" w:sz="6" w:space="0" w:color="000000"/>
              <w:right w:val="single" w:sz="6" w:space="0" w:color="000000"/>
            </w:tcBorders>
          </w:tcPr>
          <w:p>
            <w:pPr>
              <w:pStyle w:val="TableParagraph"/>
              <w:spacing w:before="62"/>
              <w:ind w:left="279"/>
              <w:jc w:val="left"/>
              <w:rPr>
                <w:sz w:val="20"/>
              </w:rPr>
            </w:pPr>
            <w:r>
              <w:rPr>
                <w:sz w:val="20"/>
              </w:rPr>
              <w:t>0.344</w:t>
            </w:r>
          </w:p>
        </w:tc>
        <w:tc>
          <w:tcPr>
            <w:tcW w:w="3520" w:type="dxa"/>
            <w:vMerge/>
            <w:tcBorders>
              <w:top w:val="nil"/>
              <w:left w:val="single" w:sz="6" w:space="0" w:color="000000"/>
              <w:bottom w:val="single" w:sz="6" w:space="0" w:color="000000"/>
            </w:tcBorders>
          </w:tcPr>
          <w:p>
            <w:pPr>
              <w:rPr>
                <w:sz w:val="2"/>
                <w:szCs w:val="2"/>
              </w:rPr>
            </w:pPr>
          </w:p>
        </w:tc>
      </w:tr>
      <w:tr>
        <w:trPr>
          <w:trHeight w:val="359" w:hRule="atLeast"/>
        </w:trPr>
        <w:tc>
          <w:tcPr>
            <w:tcW w:w="1042" w:type="dxa"/>
            <w:vMerge w:val="restart"/>
            <w:tcBorders>
              <w:top w:val="single" w:sz="6" w:space="0" w:color="000000"/>
              <w:bottom w:val="single" w:sz="6" w:space="0" w:color="000000"/>
              <w:right w:val="single" w:sz="6" w:space="0" w:color="000000"/>
            </w:tcBorders>
          </w:tcPr>
          <w:p>
            <w:pPr>
              <w:pStyle w:val="TableParagraph"/>
              <w:spacing w:before="8"/>
              <w:jc w:val="left"/>
              <w:rPr>
                <w:b/>
                <w:sz w:val="20"/>
              </w:rPr>
            </w:pPr>
          </w:p>
          <w:p>
            <w:pPr>
              <w:pStyle w:val="TableParagraph"/>
              <w:spacing w:before="1"/>
              <w:ind w:left="119"/>
              <w:jc w:val="left"/>
              <w:rPr>
                <w:rFonts w:ascii="宋体" w:eastAsia="宋体" w:hint="eastAsia"/>
                <w:sz w:val="20"/>
              </w:rPr>
            </w:pPr>
            <w:r>
              <w:rPr>
                <w:rFonts w:ascii="宋体" w:eastAsia="宋体" w:hint="eastAsia"/>
                <w:sz w:val="20"/>
              </w:rPr>
              <w:t>粪污处理</w:t>
            </w:r>
          </w:p>
        </w:tc>
        <w:tc>
          <w:tcPr>
            <w:tcW w:w="1045" w:type="dxa"/>
            <w:tcBorders>
              <w:top w:val="single" w:sz="6" w:space="0" w:color="000000"/>
              <w:left w:val="single" w:sz="6" w:space="0" w:color="000000"/>
              <w:bottom w:val="single" w:sz="6" w:space="0" w:color="000000"/>
              <w:right w:val="single" w:sz="6" w:space="0" w:color="000000"/>
            </w:tcBorders>
          </w:tcPr>
          <w:p>
            <w:pPr>
              <w:pStyle w:val="TableParagraph"/>
              <w:spacing w:before="54"/>
              <w:ind w:left="26"/>
              <w:rPr>
                <w:rFonts w:ascii="宋体" w:eastAsia="宋体" w:hint="eastAsia"/>
                <w:sz w:val="20"/>
              </w:rPr>
            </w:pPr>
            <w:r>
              <w:rPr>
                <w:rFonts w:ascii="宋体" w:eastAsia="宋体" w:hint="eastAsia"/>
                <w:w w:val="99"/>
                <w:sz w:val="20"/>
              </w:rPr>
              <w:t>氨</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5"/>
              <w:ind w:right="248"/>
              <w:jc w:val="right"/>
              <w:rPr>
                <w:sz w:val="20"/>
              </w:rPr>
            </w:pPr>
            <w:r>
              <w:rPr>
                <w:sz w:val="20"/>
              </w:rPr>
              <w:t>9.624</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5"/>
              <w:ind w:left="178" w:right="156"/>
              <w:rPr>
                <w:sz w:val="20"/>
              </w:rPr>
            </w:pPr>
            <w:r>
              <w:rPr>
                <w:sz w:val="20"/>
              </w:rPr>
              <w:t>1.732</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65"/>
              <w:ind w:left="98" w:right="80"/>
              <w:rPr>
                <w:sz w:val="20"/>
              </w:rPr>
            </w:pPr>
            <w:r>
              <w:rPr>
                <w:sz w:val="20"/>
              </w:rPr>
              <w:t>0.962</w:t>
            </w:r>
          </w:p>
        </w:tc>
        <w:tc>
          <w:tcPr>
            <w:tcW w:w="1004" w:type="dxa"/>
            <w:tcBorders>
              <w:top w:val="single" w:sz="6" w:space="0" w:color="000000"/>
              <w:left w:val="single" w:sz="6" w:space="0" w:color="000000"/>
              <w:bottom w:val="single" w:sz="6" w:space="0" w:color="000000"/>
              <w:right w:val="single" w:sz="6" w:space="0" w:color="000000"/>
            </w:tcBorders>
          </w:tcPr>
          <w:p>
            <w:pPr>
              <w:pStyle w:val="TableParagraph"/>
              <w:spacing w:before="65"/>
              <w:ind w:left="279"/>
              <w:jc w:val="left"/>
              <w:rPr>
                <w:sz w:val="20"/>
              </w:rPr>
            </w:pPr>
            <w:r>
              <w:rPr>
                <w:sz w:val="20"/>
              </w:rPr>
              <w:t>2.695</w:t>
            </w:r>
          </w:p>
        </w:tc>
        <w:tc>
          <w:tcPr>
            <w:tcW w:w="3520" w:type="dxa"/>
            <w:vMerge w:val="restart"/>
            <w:tcBorders>
              <w:top w:val="single" w:sz="6" w:space="0" w:color="000000"/>
              <w:left w:val="single" w:sz="6" w:space="0" w:color="000000"/>
              <w:bottom w:val="single" w:sz="6" w:space="0" w:color="000000"/>
            </w:tcBorders>
          </w:tcPr>
          <w:p>
            <w:pPr>
              <w:pStyle w:val="TableParagraph"/>
              <w:spacing w:before="61"/>
              <w:ind w:left="173"/>
              <w:jc w:val="left"/>
              <w:rPr>
                <w:rFonts w:ascii="宋体" w:hAnsi="宋体" w:eastAsia="宋体" w:hint="eastAsia"/>
                <w:sz w:val="20"/>
              </w:rPr>
            </w:pPr>
            <w:r>
              <w:rPr>
                <w:rFonts w:ascii="宋体" w:hAnsi="宋体" w:eastAsia="宋体" w:hint="eastAsia"/>
                <w:w w:val="95"/>
                <w:sz w:val="20"/>
              </w:rPr>
              <w:t>经一套</w:t>
            </w:r>
            <w:r>
              <w:rPr>
                <w:w w:val="95"/>
                <w:position w:val="1"/>
                <w:sz w:val="20"/>
              </w:rPr>
              <w:t>“</w:t>
            </w:r>
            <w:r>
              <w:rPr>
                <w:rFonts w:ascii="宋体" w:hAnsi="宋体" w:eastAsia="宋体" w:hint="eastAsia"/>
                <w:w w:val="95"/>
                <w:sz w:val="20"/>
              </w:rPr>
              <w:t>二级喷淋</w:t>
            </w:r>
            <w:r>
              <w:rPr>
                <w:w w:val="95"/>
                <w:position w:val="1"/>
                <w:sz w:val="20"/>
              </w:rPr>
              <w:t>”</w:t>
            </w:r>
            <w:r>
              <w:rPr>
                <w:rFonts w:ascii="宋体" w:hAnsi="宋体" w:eastAsia="宋体" w:hint="eastAsia"/>
                <w:w w:val="95"/>
                <w:sz w:val="20"/>
              </w:rPr>
              <w:t>除臭装置处理后由</w:t>
            </w:r>
          </w:p>
          <w:p>
            <w:pPr>
              <w:pStyle w:val="TableParagraph"/>
              <w:spacing w:before="101"/>
              <w:ind w:left="139"/>
              <w:jc w:val="left"/>
              <w:rPr>
                <w:rFonts w:ascii="宋体" w:eastAsia="宋体" w:hint="eastAsia"/>
                <w:sz w:val="20"/>
              </w:rPr>
            </w:pPr>
            <w:r>
              <w:rPr>
                <w:rFonts w:ascii="宋体" w:eastAsia="宋体" w:hint="eastAsia"/>
                <w:spacing w:val="-13"/>
                <w:sz w:val="20"/>
              </w:rPr>
              <w:t>对应的 </w:t>
            </w:r>
            <w:r>
              <w:rPr>
                <w:position w:val="1"/>
                <w:sz w:val="20"/>
              </w:rPr>
              <w:t>15m</w:t>
            </w:r>
            <w:r>
              <w:rPr>
                <w:spacing w:val="-1"/>
                <w:position w:val="1"/>
                <w:sz w:val="20"/>
              </w:rPr>
              <w:t> </w:t>
            </w:r>
            <w:r>
              <w:rPr>
                <w:rFonts w:ascii="宋体" w:eastAsia="宋体" w:hint="eastAsia"/>
                <w:sz w:val="20"/>
              </w:rPr>
              <w:t>高排气筒（</w:t>
            </w:r>
            <w:r>
              <w:rPr>
                <w:position w:val="1"/>
                <w:sz w:val="20"/>
              </w:rPr>
              <w:t>DA001</w:t>
            </w:r>
            <w:r>
              <w:rPr>
                <w:rFonts w:ascii="宋体" w:eastAsia="宋体" w:hint="eastAsia"/>
                <w:sz w:val="20"/>
              </w:rPr>
              <w:t>）排放</w:t>
            </w:r>
          </w:p>
        </w:tc>
      </w:tr>
      <w:tr>
        <w:trPr>
          <w:trHeight w:val="359" w:hRule="atLeast"/>
        </w:trPr>
        <w:tc>
          <w:tcPr>
            <w:tcW w:w="1042" w:type="dxa"/>
            <w:vMerge/>
            <w:tcBorders>
              <w:top w:val="nil"/>
              <w:bottom w:val="single" w:sz="6" w:space="0" w:color="000000"/>
              <w:right w:val="single" w:sz="6" w:space="0" w:color="000000"/>
            </w:tcBorders>
          </w:tcPr>
          <w:p>
            <w:pPr>
              <w:rPr>
                <w:sz w:val="2"/>
                <w:szCs w:val="2"/>
              </w:rPr>
            </w:pPr>
          </w:p>
        </w:tc>
        <w:tc>
          <w:tcPr>
            <w:tcW w:w="1045" w:type="dxa"/>
            <w:tcBorders>
              <w:top w:val="single" w:sz="6" w:space="0" w:color="000000"/>
              <w:left w:val="single" w:sz="6" w:space="0" w:color="000000"/>
              <w:bottom w:val="single" w:sz="6" w:space="0" w:color="000000"/>
              <w:right w:val="single" w:sz="6" w:space="0" w:color="000000"/>
            </w:tcBorders>
          </w:tcPr>
          <w:p>
            <w:pPr>
              <w:pStyle w:val="TableParagraph"/>
              <w:spacing w:before="51"/>
              <w:ind w:left="206" w:right="184"/>
              <w:rPr>
                <w:rFonts w:ascii="宋体" w:eastAsia="宋体" w:hint="eastAsia"/>
                <w:sz w:val="20"/>
              </w:rPr>
            </w:pPr>
            <w:r>
              <w:rPr>
                <w:rFonts w:ascii="宋体" w:eastAsia="宋体" w:hint="eastAsia"/>
                <w:sz w:val="20"/>
              </w:rPr>
              <w:t>硫化氢</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right="248"/>
              <w:jc w:val="right"/>
              <w:rPr>
                <w:sz w:val="20"/>
              </w:rPr>
            </w:pPr>
            <w:r>
              <w:rPr>
                <w:sz w:val="20"/>
              </w:rPr>
              <w:t>0.070</w:t>
            </w:r>
          </w:p>
        </w:tc>
        <w:tc>
          <w:tcPr>
            <w:tcW w:w="992" w:type="dxa"/>
            <w:tcBorders>
              <w:top w:val="single" w:sz="6" w:space="0" w:color="000000"/>
              <w:left w:val="single" w:sz="6" w:space="0" w:color="000000"/>
              <w:bottom w:val="single" w:sz="6" w:space="0" w:color="000000"/>
              <w:right w:val="single" w:sz="6" w:space="0" w:color="000000"/>
            </w:tcBorders>
          </w:tcPr>
          <w:p>
            <w:pPr>
              <w:pStyle w:val="TableParagraph"/>
              <w:spacing w:before="62"/>
              <w:ind w:left="178" w:right="156"/>
              <w:rPr>
                <w:sz w:val="20"/>
              </w:rPr>
            </w:pPr>
            <w:r>
              <w:rPr>
                <w:sz w:val="20"/>
              </w:rPr>
              <w:t>0.013</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62"/>
              <w:ind w:left="98" w:right="80"/>
              <w:rPr>
                <w:sz w:val="20"/>
              </w:rPr>
            </w:pPr>
            <w:r>
              <w:rPr>
                <w:sz w:val="20"/>
              </w:rPr>
              <w:t>0.007</w:t>
            </w:r>
          </w:p>
        </w:tc>
        <w:tc>
          <w:tcPr>
            <w:tcW w:w="1004" w:type="dxa"/>
            <w:tcBorders>
              <w:top w:val="single" w:sz="6" w:space="0" w:color="000000"/>
              <w:left w:val="single" w:sz="6" w:space="0" w:color="000000"/>
              <w:bottom w:val="single" w:sz="6" w:space="0" w:color="000000"/>
              <w:right w:val="single" w:sz="6" w:space="0" w:color="000000"/>
            </w:tcBorders>
          </w:tcPr>
          <w:p>
            <w:pPr>
              <w:pStyle w:val="TableParagraph"/>
              <w:spacing w:before="62"/>
              <w:ind w:left="279"/>
              <w:jc w:val="left"/>
              <w:rPr>
                <w:sz w:val="20"/>
              </w:rPr>
            </w:pPr>
            <w:r>
              <w:rPr>
                <w:sz w:val="20"/>
              </w:rPr>
              <w:t>0.020</w:t>
            </w:r>
          </w:p>
        </w:tc>
        <w:tc>
          <w:tcPr>
            <w:tcW w:w="3520" w:type="dxa"/>
            <w:vMerge/>
            <w:tcBorders>
              <w:top w:val="nil"/>
              <w:left w:val="single" w:sz="6" w:space="0" w:color="000000"/>
              <w:bottom w:val="single" w:sz="6" w:space="0" w:color="000000"/>
            </w:tcBorders>
          </w:tcPr>
          <w:p>
            <w:pPr>
              <w:rPr>
                <w:sz w:val="2"/>
                <w:szCs w:val="2"/>
              </w:rPr>
            </w:pPr>
          </w:p>
        </w:tc>
      </w:tr>
      <w:tr>
        <w:trPr>
          <w:trHeight w:val="356" w:hRule="atLeast"/>
        </w:trPr>
        <w:tc>
          <w:tcPr>
            <w:tcW w:w="1042" w:type="dxa"/>
            <w:tcBorders>
              <w:top w:val="single" w:sz="6" w:space="0" w:color="000000"/>
              <w:right w:val="single" w:sz="6" w:space="0" w:color="000000"/>
            </w:tcBorders>
          </w:tcPr>
          <w:p>
            <w:pPr>
              <w:pStyle w:val="TableParagraph"/>
              <w:spacing w:before="51"/>
              <w:ind w:left="119"/>
              <w:jc w:val="left"/>
              <w:rPr>
                <w:rFonts w:ascii="宋体" w:eastAsia="宋体" w:hint="eastAsia"/>
                <w:sz w:val="20"/>
              </w:rPr>
            </w:pPr>
            <w:r>
              <w:rPr>
                <w:rFonts w:ascii="宋体" w:eastAsia="宋体" w:hint="eastAsia"/>
                <w:sz w:val="20"/>
              </w:rPr>
              <w:t>猪粪发酵</w:t>
            </w:r>
          </w:p>
        </w:tc>
        <w:tc>
          <w:tcPr>
            <w:tcW w:w="1045" w:type="dxa"/>
            <w:tcBorders>
              <w:top w:val="single" w:sz="6" w:space="0" w:color="000000"/>
              <w:left w:val="single" w:sz="6" w:space="0" w:color="000000"/>
              <w:right w:val="single" w:sz="6" w:space="0" w:color="000000"/>
            </w:tcBorders>
          </w:tcPr>
          <w:p>
            <w:pPr>
              <w:pStyle w:val="TableParagraph"/>
              <w:spacing w:before="51"/>
              <w:ind w:left="26"/>
              <w:rPr>
                <w:rFonts w:ascii="宋体" w:eastAsia="宋体" w:hint="eastAsia"/>
                <w:sz w:val="20"/>
              </w:rPr>
            </w:pPr>
            <w:r>
              <w:rPr>
                <w:rFonts w:ascii="宋体" w:eastAsia="宋体" w:hint="eastAsia"/>
                <w:w w:val="99"/>
                <w:sz w:val="20"/>
              </w:rPr>
              <w:t>氨</w:t>
            </w:r>
          </w:p>
        </w:tc>
        <w:tc>
          <w:tcPr>
            <w:tcW w:w="992" w:type="dxa"/>
            <w:tcBorders>
              <w:top w:val="single" w:sz="6" w:space="0" w:color="000000"/>
              <w:left w:val="single" w:sz="6" w:space="0" w:color="000000"/>
              <w:right w:val="single" w:sz="6" w:space="0" w:color="000000"/>
            </w:tcBorders>
          </w:tcPr>
          <w:p>
            <w:pPr>
              <w:pStyle w:val="TableParagraph"/>
              <w:spacing w:before="65"/>
              <w:ind w:right="248"/>
              <w:jc w:val="right"/>
              <w:rPr>
                <w:sz w:val="20"/>
              </w:rPr>
            </w:pPr>
            <w:r>
              <w:rPr>
                <w:sz w:val="20"/>
              </w:rPr>
              <w:t>0.950</w:t>
            </w:r>
          </w:p>
        </w:tc>
        <w:tc>
          <w:tcPr>
            <w:tcW w:w="992" w:type="dxa"/>
            <w:tcBorders>
              <w:top w:val="single" w:sz="6" w:space="0" w:color="000000"/>
              <w:left w:val="single" w:sz="6" w:space="0" w:color="000000"/>
              <w:right w:val="single" w:sz="6" w:space="0" w:color="000000"/>
            </w:tcBorders>
          </w:tcPr>
          <w:p>
            <w:pPr>
              <w:pStyle w:val="TableParagraph"/>
              <w:spacing w:before="65"/>
              <w:ind w:left="178" w:right="156"/>
              <w:rPr>
                <w:sz w:val="20"/>
              </w:rPr>
            </w:pPr>
            <w:r>
              <w:rPr>
                <w:sz w:val="20"/>
              </w:rPr>
              <w:t>0.190</w:t>
            </w:r>
          </w:p>
        </w:tc>
        <w:tc>
          <w:tcPr>
            <w:tcW w:w="841" w:type="dxa"/>
            <w:tcBorders>
              <w:top w:val="single" w:sz="6" w:space="0" w:color="000000"/>
              <w:left w:val="single" w:sz="6" w:space="0" w:color="000000"/>
              <w:right w:val="single" w:sz="6" w:space="0" w:color="000000"/>
            </w:tcBorders>
          </w:tcPr>
          <w:p>
            <w:pPr>
              <w:pStyle w:val="TableParagraph"/>
              <w:spacing w:before="62"/>
              <w:ind w:left="17"/>
              <w:rPr>
                <w:sz w:val="20"/>
              </w:rPr>
            </w:pPr>
            <w:r>
              <w:rPr>
                <w:w w:val="99"/>
                <w:sz w:val="20"/>
              </w:rPr>
              <w:t>0</w:t>
            </w:r>
          </w:p>
        </w:tc>
        <w:tc>
          <w:tcPr>
            <w:tcW w:w="1004" w:type="dxa"/>
            <w:tcBorders>
              <w:top w:val="single" w:sz="6" w:space="0" w:color="000000"/>
              <w:left w:val="single" w:sz="6" w:space="0" w:color="000000"/>
              <w:right w:val="single" w:sz="6" w:space="0" w:color="000000"/>
            </w:tcBorders>
          </w:tcPr>
          <w:p>
            <w:pPr>
              <w:pStyle w:val="TableParagraph"/>
              <w:spacing w:before="65"/>
              <w:ind w:left="279"/>
              <w:jc w:val="left"/>
              <w:rPr>
                <w:sz w:val="20"/>
              </w:rPr>
            </w:pPr>
            <w:r>
              <w:rPr>
                <w:sz w:val="20"/>
              </w:rPr>
              <w:t>0.190</w:t>
            </w:r>
          </w:p>
        </w:tc>
        <w:tc>
          <w:tcPr>
            <w:tcW w:w="3520" w:type="dxa"/>
            <w:tcBorders>
              <w:top w:val="single" w:sz="6" w:space="0" w:color="000000"/>
              <w:left w:val="single" w:sz="6" w:space="0" w:color="000000"/>
            </w:tcBorders>
          </w:tcPr>
          <w:p>
            <w:pPr>
              <w:pStyle w:val="TableParagraph"/>
              <w:spacing w:before="51"/>
              <w:ind w:left="161"/>
              <w:jc w:val="left"/>
              <w:rPr>
                <w:rFonts w:ascii="宋体" w:eastAsia="宋体" w:hint="eastAsia"/>
                <w:sz w:val="20"/>
              </w:rPr>
            </w:pPr>
            <w:r>
              <w:rPr>
                <w:rFonts w:ascii="宋体" w:eastAsia="宋体" w:hint="eastAsia"/>
                <w:sz w:val="20"/>
              </w:rPr>
              <w:t>经设备配套的喷淋装置处理后由对应</w:t>
            </w:r>
          </w:p>
        </w:tc>
      </w:tr>
    </w:tbl>
    <w:p>
      <w:pPr>
        <w:spacing w:after="0"/>
        <w:jc w:val="left"/>
        <w:rPr>
          <w:rFonts w:ascii="宋体" w:eastAsia="宋体" w:hint="eastAsia"/>
          <w:sz w:val="20"/>
        </w:rPr>
        <w:sectPr>
          <w:pgSz w:w="11910" w:h="16840"/>
          <w:pgMar w:header="874" w:footer="1004"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48"/>
        <w:gridCol w:w="1038"/>
        <w:gridCol w:w="995"/>
        <w:gridCol w:w="988"/>
        <w:gridCol w:w="841"/>
        <w:gridCol w:w="997"/>
        <w:gridCol w:w="3527"/>
      </w:tblGrid>
      <w:tr>
        <w:trPr>
          <w:trHeight w:val="359" w:hRule="atLeast"/>
        </w:trPr>
        <w:tc>
          <w:tcPr>
            <w:tcW w:w="1048" w:type="dxa"/>
            <w:vMerge w:val="restart"/>
            <w:tcBorders>
              <w:bottom w:val="single" w:sz="6" w:space="0" w:color="000000"/>
              <w:right w:val="single" w:sz="6" w:space="0" w:color="000000"/>
            </w:tcBorders>
          </w:tcPr>
          <w:p>
            <w:pPr>
              <w:pStyle w:val="TableParagraph"/>
              <w:spacing w:before="9"/>
              <w:jc w:val="left"/>
              <w:rPr>
                <w:b/>
                <w:sz w:val="20"/>
              </w:rPr>
            </w:pPr>
          </w:p>
          <w:p>
            <w:pPr>
              <w:pStyle w:val="TableParagraph"/>
              <w:spacing w:before="0"/>
              <w:ind w:left="116"/>
              <w:jc w:val="left"/>
              <w:rPr>
                <w:rFonts w:ascii="宋体" w:eastAsia="宋体" w:hint="eastAsia"/>
                <w:b/>
                <w:sz w:val="20"/>
              </w:rPr>
            </w:pPr>
            <w:r>
              <w:rPr>
                <w:rFonts w:ascii="宋体" w:eastAsia="宋体" w:hint="eastAsia"/>
                <w:b/>
                <w:sz w:val="20"/>
              </w:rPr>
              <w:t>产生工序</w:t>
            </w:r>
          </w:p>
        </w:tc>
        <w:tc>
          <w:tcPr>
            <w:tcW w:w="1038" w:type="dxa"/>
            <w:vMerge w:val="restart"/>
            <w:tcBorders>
              <w:left w:val="single" w:sz="6" w:space="0" w:color="000000"/>
              <w:bottom w:val="single" w:sz="6" w:space="0" w:color="000000"/>
              <w:right w:val="single" w:sz="6" w:space="0" w:color="000000"/>
            </w:tcBorders>
          </w:tcPr>
          <w:p>
            <w:pPr>
              <w:pStyle w:val="TableParagraph"/>
              <w:spacing w:before="9"/>
              <w:jc w:val="left"/>
              <w:rPr>
                <w:b/>
                <w:sz w:val="20"/>
              </w:rPr>
            </w:pPr>
          </w:p>
          <w:p>
            <w:pPr>
              <w:pStyle w:val="TableParagraph"/>
              <w:spacing w:before="0"/>
              <w:ind w:left="221"/>
              <w:jc w:val="left"/>
              <w:rPr>
                <w:rFonts w:ascii="宋体" w:eastAsia="宋体" w:hint="eastAsia"/>
                <w:b/>
                <w:sz w:val="20"/>
              </w:rPr>
            </w:pPr>
            <w:r>
              <w:rPr>
                <w:rFonts w:ascii="宋体" w:eastAsia="宋体" w:hint="eastAsia"/>
                <w:b/>
                <w:sz w:val="20"/>
              </w:rPr>
              <w:t>污染物</w:t>
            </w:r>
          </w:p>
        </w:tc>
        <w:tc>
          <w:tcPr>
            <w:tcW w:w="995" w:type="dxa"/>
            <w:vMerge w:val="restart"/>
            <w:tcBorders>
              <w:left w:val="single" w:sz="6" w:space="0" w:color="000000"/>
              <w:bottom w:val="single" w:sz="6" w:space="0" w:color="000000"/>
              <w:right w:val="single" w:sz="6" w:space="0" w:color="000000"/>
            </w:tcBorders>
          </w:tcPr>
          <w:p>
            <w:pPr>
              <w:pStyle w:val="TableParagraph"/>
              <w:spacing w:before="9"/>
              <w:jc w:val="left"/>
              <w:rPr>
                <w:b/>
                <w:sz w:val="20"/>
              </w:rPr>
            </w:pPr>
          </w:p>
          <w:p>
            <w:pPr>
              <w:pStyle w:val="TableParagraph"/>
              <w:spacing w:before="0"/>
              <w:ind w:left="201"/>
              <w:jc w:val="left"/>
              <w:rPr>
                <w:rFonts w:ascii="宋体" w:eastAsia="宋体" w:hint="eastAsia"/>
                <w:b/>
                <w:sz w:val="20"/>
              </w:rPr>
            </w:pPr>
            <w:r>
              <w:rPr>
                <w:rFonts w:ascii="宋体" w:eastAsia="宋体" w:hint="eastAsia"/>
                <w:b/>
                <w:sz w:val="20"/>
              </w:rPr>
              <w:t>产生量</w:t>
            </w:r>
          </w:p>
        </w:tc>
        <w:tc>
          <w:tcPr>
            <w:tcW w:w="2826" w:type="dxa"/>
            <w:gridSpan w:val="3"/>
            <w:tcBorders>
              <w:left w:val="single" w:sz="6" w:space="0" w:color="000000"/>
              <w:bottom w:val="single" w:sz="6" w:space="0" w:color="000000"/>
              <w:right w:val="single" w:sz="6" w:space="0" w:color="000000"/>
            </w:tcBorders>
          </w:tcPr>
          <w:p>
            <w:pPr>
              <w:pStyle w:val="TableParagraph"/>
              <w:spacing w:before="54"/>
              <w:ind w:left="1100" w:right="1068"/>
              <w:rPr>
                <w:rFonts w:ascii="宋体" w:eastAsia="宋体" w:hint="eastAsia"/>
                <w:b/>
                <w:sz w:val="20"/>
              </w:rPr>
            </w:pPr>
            <w:r>
              <w:rPr>
                <w:rFonts w:ascii="宋体" w:eastAsia="宋体" w:hint="eastAsia"/>
                <w:b/>
                <w:sz w:val="20"/>
              </w:rPr>
              <w:t>排放量</w:t>
            </w:r>
          </w:p>
        </w:tc>
        <w:tc>
          <w:tcPr>
            <w:tcW w:w="3527" w:type="dxa"/>
            <w:vMerge w:val="restart"/>
            <w:tcBorders>
              <w:left w:val="single" w:sz="6" w:space="0" w:color="000000"/>
              <w:bottom w:val="nil"/>
            </w:tcBorders>
          </w:tcPr>
          <w:p>
            <w:pPr>
              <w:pStyle w:val="TableParagraph"/>
              <w:spacing w:before="9"/>
              <w:jc w:val="left"/>
              <w:rPr>
                <w:b/>
                <w:sz w:val="20"/>
              </w:rPr>
            </w:pPr>
          </w:p>
          <w:p>
            <w:pPr>
              <w:pStyle w:val="TableParagraph"/>
              <w:spacing w:before="0"/>
              <w:ind w:left="1350" w:right="1311"/>
              <w:rPr>
                <w:rFonts w:ascii="宋体" w:eastAsia="宋体" w:hint="eastAsia"/>
                <w:b/>
                <w:sz w:val="20"/>
              </w:rPr>
            </w:pPr>
            <w:r>
              <w:rPr>
                <w:rFonts w:ascii="宋体" w:eastAsia="宋体" w:hint="eastAsia"/>
                <w:b/>
                <w:sz w:val="20"/>
              </w:rPr>
              <w:t>最终去向</w:t>
            </w:r>
          </w:p>
        </w:tc>
      </w:tr>
      <w:tr>
        <w:trPr>
          <w:trHeight w:val="359" w:hRule="atLeast"/>
        </w:trPr>
        <w:tc>
          <w:tcPr>
            <w:tcW w:w="1048" w:type="dxa"/>
            <w:vMerge/>
            <w:tcBorders>
              <w:top w:val="nil"/>
              <w:bottom w:val="single" w:sz="6" w:space="0" w:color="000000"/>
              <w:right w:val="single" w:sz="6" w:space="0" w:color="000000"/>
            </w:tcBorders>
          </w:tcPr>
          <w:p>
            <w:pPr>
              <w:rPr>
                <w:sz w:val="2"/>
                <w:szCs w:val="2"/>
              </w:rPr>
            </w:pPr>
          </w:p>
        </w:tc>
        <w:tc>
          <w:tcPr>
            <w:tcW w:w="1038" w:type="dxa"/>
            <w:vMerge/>
            <w:tcBorders>
              <w:top w:val="nil"/>
              <w:left w:val="single" w:sz="6" w:space="0" w:color="000000"/>
              <w:bottom w:val="single" w:sz="6" w:space="0" w:color="000000"/>
              <w:right w:val="single" w:sz="6" w:space="0" w:color="000000"/>
            </w:tcBorders>
          </w:tcPr>
          <w:p>
            <w:pPr>
              <w:rPr>
                <w:sz w:val="2"/>
                <w:szCs w:val="2"/>
              </w:rPr>
            </w:pPr>
          </w:p>
        </w:tc>
        <w:tc>
          <w:tcPr>
            <w:tcW w:w="995" w:type="dxa"/>
            <w:vMerge/>
            <w:tcBorders>
              <w:top w:val="nil"/>
              <w:left w:val="single" w:sz="6" w:space="0" w:color="000000"/>
              <w:bottom w:val="single" w:sz="6" w:space="0" w:color="000000"/>
              <w:right w:val="single" w:sz="6" w:space="0" w:color="000000"/>
            </w:tcBorders>
          </w:tcPr>
          <w:p>
            <w:pPr>
              <w:rPr>
                <w:sz w:val="2"/>
                <w:szCs w:val="2"/>
              </w:rPr>
            </w:pP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51"/>
              <w:ind w:left="107" w:right="85"/>
              <w:rPr>
                <w:rFonts w:ascii="宋体" w:eastAsia="宋体" w:hint="eastAsia"/>
                <w:b/>
                <w:sz w:val="20"/>
              </w:rPr>
            </w:pPr>
            <w:r>
              <w:rPr>
                <w:rFonts w:ascii="宋体" w:eastAsia="宋体" w:hint="eastAsia"/>
                <w:b/>
                <w:sz w:val="20"/>
              </w:rPr>
              <w:t>有组织</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51"/>
              <w:ind w:left="100" w:right="78"/>
              <w:rPr>
                <w:rFonts w:ascii="宋体" w:eastAsia="宋体" w:hint="eastAsia"/>
                <w:b/>
                <w:sz w:val="20"/>
              </w:rPr>
            </w:pPr>
            <w:r>
              <w:rPr>
                <w:rFonts w:ascii="宋体" w:eastAsia="宋体" w:hint="eastAsia"/>
                <w:b/>
                <w:sz w:val="20"/>
              </w:rPr>
              <w:t>无组织</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51"/>
              <w:ind w:left="116" w:right="84"/>
              <w:rPr>
                <w:rFonts w:ascii="宋体" w:eastAsia="宋体" w:hint="eastAsia"/>
                <w:b/>
                <w:sz w:val="20"/>
              </w:rPr>
            </w:pPr>
            <w:r>
              <w:rPr>
                <w:rFonts w:ascii="宋体" w:eastAsia="宋体" w:hint="eastAsia"/>
                <w:b/>
                <w:sz w:val="20"/>
              </w:rPr>
              <w:t>合计</w:t>
            </w:r>
          </w:p>
        </w:tc>
        <w:tc>
          <w:tcPr>
            <w:tcW w:w="3527" w:type="dxa"/>
            <w:vMerge/>
            <w:tcBorders>
              <w:top w:val="nil"/>
              <w:left w:val="single" w:sz="6" w:space="0" w:color="000000"/>
              <w:bottom w:val="nil"/>
            </w:tcBorders>
          </w:tcPr>
          <w:p>
            <w:pPr>
              <w:rPr>
                <w:sz w:val="2"/>
                <w:szCs w:val="2"/>
              </w:rPr>
            </w:pPr>
          </w:p>
        </w:tc>
      </w:tr>
      <w:tr>
        <w:trPr>
          <w:trHeight w:val="717" w:hRule="atLeast"/>
        </w:trPr>
        <w:tc>
          <w:tcPr>
            <w:tcW w:w="1048" w:type="dxa"/>
            <w:vMerge/>
            <w:tcBorders>
              <w:top w:val="nil"/>
              <w:bottom w:val="single" w:sz="6" w:space="0" w:color="000000"/>
              <w:right w:val="single" w:sz="6" w:space="0" w:color="000000"/>
            </w:tcBorders>
          </w:tcPr>
          <w:p>
            <w:pPr>
              <w:rPr>
                <w:sz w:val="2"/>
                <w:szCs w:val="2"/>
              </w:rPr>
            </w:pPr>
          </w:p>
        </w:tc>
        <w:tc>
          <w:tcPr>
            <w:tcW w:w="1038"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99" w:right="82"/>
              <w:rPr>
                <w:rFonts w:ascii="宋体" w:eastAsia="宋体" w:hint="eastAsia"/>
                <w:sz w:val="20"/>
              </w:rPr>
            </w:pPr>
            <w:r>
              <w:rPr>
                <w:rFonts w:ascii="宋体" w:eastAsia="宋体" w:hint="eastAsia"/>
                <w:sz w:val="20"/>
              </w:rPr>
              <w:t>硫化氢</w:t>
            </w:r>
          </w:p>
        </w:tc>
        <w:tc>
          <w:tcPr>
            <w:tcW w:w="995"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11" w:right="88"/>
              <w:rPr>
                <w:sz w:val="20"/>
              </w:rPr>
            </w:pPr>
            <w:r>
              <w:rPr>
                <w:sz w:val="20"/>
              </w:rPr>
              <w:t>0.170</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07" w:right="85"/>
              <w:rPr>
                <w:sz w:val="20"/>
              </w:rPr>
            </w:pPr>
            <w:r>
              <w:rPr>
                <w:sz w:val="20"/>
              </w:rPr>
              <w:t>0.034</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before="0"/>
              <w:ind w:left="21"/>
              <w:rPr>
                <w:sz w:val="20"/>
              </w:rPr>
            </w:pPr>
            <w:r>
              <w:rPr>
                <w:w w:val="99"/>
                <w:sz w:val="20"/>
              </w:rPr>
              <w:t>0</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17" w:right="84"/>
              <w:rPr>
                <w:sz w:val="20"/>
              </w:rPr>
            </w:pPr>
            <w:r>
              <w:rPr>
                <w:sz w:val="20"/>
              </w:rPr>
              <w:t>0.034</w:t>
            </w:r>
          </w:p>
        </w:tc>
        <w:tc>
          <w:tcPr>
            <w:tcW w:w="3527" w:type="dxa"/>
            <w:tcBorders>
              <w:top w:val="nil"/>
              <w:left w:val="single" w:sz="6" w:space="0" w:color="000000"/>
              <w:bottom w:val="single" w:sz="6" w:space="0" w:color="000000"/>
            </w:tcBorders>
          </w:tcPr>
          <w:p>
            <w:pPr>
              <w:pStyle w:val="TableParagraph"/>
              <w:spacing w:before="51"/>
              <w:ind w:left="120" w:right="-29"/>
              <w:jc w:val="left"/>
              <w:rPr>
                <w:rFonts w:ascii="宋体" w:eastAsia="宋体" w:hint="eastAsia"/>
                <w:sz w:val="20"/>
              </w:rPr>
            </w:pPr>
            <w:r>
              <w:rPr>
                <w:rFonts w:ascii="宋体" w:eastAsia="宋体" w:hint="eastAsia"/>
                <w:spacing w:val="-27"/>
                <w:sz w:val="20"/>
              </w:rPr>
              <w:t>的 </w:t>
            </w:r>
            <w:r>
              <w:rPr>
                <w:position w:val="1"/>
                <w:sz w:val="20"/>
              </w:rPr>
              <w:t>15m</w:t>
            </w:r>
            <w:r>
              <w:rPr>
                <w:spacing w:val="-1"/>
                <w:position w:val="1"/>
                <w:sz w:val="20"/>
              </w:rPr>
              <w:t> </w:t>
            </w:r>
            <w:r>
              <w:rPr>
                <w:rFonts w:ascii="宋体" w:eastAsia="宋体" w:hint="eastAsia"/>
                <w:spacing w:val="-21"/>
                <w:sz w:val="20"/>
              </w:rPr>
              <w:t>高排气筒</w:t>
            </w:r>
            <w:r>
              <w:rPr>
                <w:rFonts w:ascii="宋体" w:eastAsia="宋体" w:hint="eastAsia"/>
                <w:sz w:val="20"/>
              </w:rPr>
              <w:t>（</w:t>
            </w:r>
            <w:r>
              <w:rPr>
                <w:position w:val="1"/>
                <w:sz w:val="20"/>
              </w:rPr>
              <w:t>DA002-1</w:t>
            </w:r>
            <w:r>
              <w:rPr>
                <w:rFonts w:ascii="宋体" w:eastAsia="宋体" w:hint="eastAsia"/>
                <w:spacing w:val="-82"/>
                <w:sz w:val="20"/>
              </w:rPr>
              <w:t>、</w:t>
            </w:r>
            <w:r>
              <w:rPr>
                <w:position w:val="1"/>
                <w:sz w:val="20"/>
              </w:rPr>
              <w:t>DA002-2</w:t>
            </w:r>
            <w:r>
              <w:rPr>
                <w:rFonts w:ascii="宋体" w:eastAsia="宋体" w:hint="eastAsia"/>
                <w:sz w:val="20"/>
              </w:rPr>
              <w:t>，</w:t>
            </w:r>
          </w:p>
          <w:p>
            <w:pPr>
              <w:pStyle w:val="TableParagraph"/>
              <w:spacing w:before="102"/>
              <w:ind w:left="1171"/>
              <w:jc w:val="left"/>
              <w:rPr>
                <w:rFonts w:ascii="宋体" w:eastAsia="宋体" w:hint="eastAsia"/>
                <w:sz w:val="20"/>
              </w:rPr>
            </w:pPr>
            <w:r>
              <w:rPr>
                <w:rFonts w:ascii="宋体" w:eastAsia="宋体" w:hint="eastAsia"/>
                <w:sz w:val="20"/>
              </w:rPr>
              <w:t>共 </w:t>
            </w:r>
            <w:r>
              <w:rPr>
                <w:position w:val="1"/>
                <w:sz w:val="20"/>
              </w:rPr>
              <w:t>2 </w:t>
            </w:r>
            <w:r>
              <w:rPr>
                <w:rFonts w:ascii="宋体" w:eastAsia="宋体" w:hint="eastAsia"/>
                <w:sz w:val="20"/>
              </w:rPr>
              <w:t>个）排放</w:t>
            </w:r>
          </w:p>
        </w:tc>
      </w:tr>
      <w:tr>
        <w:trPr>
          <w:trHeight w:val="359" w:hRule="atLeast"/>
        </w:trPr>
        <w:tc>
          <w:tcPr>
            <w:tcW w:w="1048" w:type="dxa"/>
            <w:vMerge w:val="restart"/>
            <w:tcBorders>
              <w:top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line="336" w:lineRule="auto" w:before="0"/>
              <w:ind w:left="119" w:right="66"/>
              <w:jc w:val="left"/>
              <w:rPr>
                <w:rFonts w:ascii="宋体" w:eastAsia="宋体" w:hint="eastAsia"/>
                <w:sz w:val="20"/>
              </w:rPr>
            </w:pPr>
            <w:r>
              <w:rPr>
                <w:rFonts w:ascii="宋体" w:eastAsia="宋体" w:hint="eastAsia"/>
                <w:sz w:val="20"/>
              </w:rPr>
              <w:t>病死猪无害处处置</w:t>
            </w:r>
          </w:p>
        </w:tc>
        <w:tc>
          <w:tcPr>
            <w:tcW w:w="1038" w:type="dxa"/>
            <w:tcBorders>
              <w:top w:val="single" w:sz="6" w:space="0" w:color="000000"/>
              <w:left w:val="single" w:sz="6" w:space="0" w:color="000000"/>
              <w:bottom w:val="single" w:sz="6" w:space="0" w:color="000000"/>
              <w:right w:val="single" w:sz="6" w:space="0" w:color="000000"/>
            </w:tcBorders>
          </w:tcPr>
          <w:p>
            <w:pPr>
              <w:pStyle w:val="TableParagraph"/>
              <w:spacing w:before="51"/>
              <w:ind w:left="21"/>
              <w:rPr>
                <w:rFonts w:ascii="宋体" w:eastAsia="宋体" w:hint="eastAsia"/>
                <w:sz w:val="20"/>
              </w:rPr>
            </w:pPr>
            <w:r>
              <w:rPr>
                <w:rFonts w:ascii="宋体" w:eastAsia="宋体" w:hint="eastAsia"/>
                <w:w w:val="99"/>
                <w:sz w:val="20"/>
              </w:rPr>
              <w:t>氨</w:t>
            </w:r>
          </w:p>
        </w:tc>
        <w:tc>
          <w:tcPr>
            <w:tcW w:w="995" w:type="dxa"/>
            <w:tcBorders>
              <w:top w:val="single" w:sz="6" w:space="0" w:color="000000"/>
              <w:left w:val="single" w:sz="6" w:space="0" w:color="000000"/>
              <w:bottom w:val="single" w:sz="6" w:space="0" w:color="000000"/>
              <w:right w:val="single" w:sz="6" w:space="0" w:color="000000"/>
            </w:tcBorders>
          </w:tcPr>
          <w:p>
            <w:pPr>
              <w:pStyle w:val="TableParagraph"/>
              <w:spacing w:before="62"/>
              <w:ind w:left="113" w:right="88"/>
              <w:rPr>
                <w:sz w:val="20"/>
              </w:rPr>
            </w:pPr>
            <w:r>
              <w:rPr>
                <w:sz w:val="20"/>
              </w:rPr>
              <w:t>2.98E-03</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62"/>
              <w:ind w:left="109" w:right="85"/>
              <w:rPr>
                <w:sz w:val="20"/>
              </w:rPr>
            </w:pPr>
            <w:r>
              <w:rPr>
                <w:sz w:val="20"/>
              </w:rPr>
              <w:t>5.97E-04</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62"/>
              <w:ind w:left="21"/>
              <w:rPr>
                <w:sz w:val="20"/>
              </w:rPr>
            </w:pPr>
            <w:r>
              <w:rPr>
                <w:w w:val="99"/>
                <w:sz w:val="20"/>
              </w:rPr>
              <w:t>0</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62"/>
              <w:ind w:left="119" w:right="84"/>
              <w:rPr>
                <w:sz w:val="20"/>
              </w:rPr>
            </w:pPr>
            <w:r>
              <w:rPr>
                <w:sz w:val="20"/>
              </w:rPr>
              <w:t>5.97E-04</w:t>
            </w:r>
          </w:p>
        </w:tc>
        <w:tc>
          <w:tcPr>
            <w:tcW w:w="3527" w:type="dxa"/>
            <w:vMerge w:val="restart"/>
            <w:tcBorders>
              <w:top w:val="single" w:sz="6" w:space="0" w:color="000000"/>
              <w:left w:val="single" w:sz="6" w:space="0" w:color="000000"/>
              <w:bottom w:val="single" w:sz="6" w:space="0" w:color="000000"/>
            </w:tcBorders>
          </w:tcPr>
          <w:p>
            <w:pPr>
              <w:pStyle w:val="TableParagraph"/>
              <w:spacing w:line="336" w:lineRule="auto" w:before="51"/>
              <w:ind w:left="120" w:right="-29" w:firstLine="50"/>
              <w:jc w:val="left"/>
              <w:rPr>
                <w:rFonts w:ascii="宋体" w:eastAsia="宋体" w:hint="eastAsia"/>
                <w:sz w:val="20"/>
              </w:rPr>
            </w:pPr>
            <w:r>
              <w:rPr>
                <w:rFonts w:ascii="宋体" w:eastAsia="宋体" w:hint="eastAsia"/>
                <w:sz w:val="20"/>
              </w:rPr>
              <w:t>经设备配套的喷淋装置处理后由对应</w:t>
            </w:r>
            <w:r>
              <w:rPr>
                <w:rFonts w:ascii="宋体" w:eastAsia="宋体" w:hint="eastAsia"/>
                <w:spacing w:val="-27"/>
                <w:sz w:val="20"/>
              </w:rPr>
              <w:t>的 </w:t>
            </w:r>
            <w:r>
              <w:rPr>
                <w:position w:val="1"/>
                <w:sz w:val="20"/>
              </w:rPr>
              <w:t>15m</w:t>
            </w:r>
            <w:r>
              <w:rPr>
                <w:spacing w:val="-1"/>
                <w:position w:val="1"/>
                <w:sz w:val="20"/>
              </w:rPr>
              <w:t> </w:t>
            </w:r>
            <w:r>
              <w:rPr>
                <w:rFonts w:ascii="宋体" w:eastAsia="宋体" w:hint="eastAsia"/>
                <w:spacing w:val="-21"/>
                <w:sz w:val="20"/>
              </w:rPr>
              <w:t>高排气筒</w:t>
            </w:r>
            <w:r>
              <w:rPr>
                <w:rFonts w:ascii="宋体" w:eastAsia="宋体" w:hint="eastAsia"/>
                <w:sz w:val="20"/>
              </w:rPr>
              <w:t>（</w:t>
            </w:r>
            <w:r>
              <w:rPr>
                <w:position w:val="1"/>
                <w:sz w:val="20"/>
              </w:rPr>
              <w:t>DA003-1</w:t>
            </w:r>
            <w:r>
              <w:rPr>
                <w:rFonts w:ascii="宋体" w:eastAsia="宋体" w:hint="eastAsia"/>
                <w:spacing w:val="-82"/>
                <w:sz w:val="20"/>
              </w:rPr>
              <w:t>、</w:t>
            </w:r>
            <w:r>
              <w:rPr>
                <w:position w:val="1"/>
                <w:sz w:val="20"/>
              </w:rPr>
              <w:t>DA003-2</w:t>
            </w:r>
            <w:r>
              <w:rPr>
                <w:rFonts w:ascii="宋体" w:eastAsia="宋体" w:hint="eastAsia"/>
                <w:sz w:val="20"/>
              </w:rPr>
              <w:t>，</w:t>
            </w:r>
          </w:p>
          <w:p>
            <w:pPr>
              <w:pStyle w:val="TableParagraph"/>
              <w:spacing w:before="0"/>
              <w:ind w:left="1171"/>
              <w:jc w:val="left"/>
              <w:rPr>
                <w:rFonts w:ascii="宋体" w:eastAsia="宋体" w:hint="eastAsia"/>
                <w:sz w:val="20"/>
              </w:rPr>
            </w:pPr>
            <w:r>
              <w:rPr>
                <w:rFonts w:ascii="宋体" w:eastAsia="宋体" w:hint="eastAsia"/>
                <w:sz w:val="20"/>
              </w:rPr>
              <w:t>共 </w:t>
            </w:r>
            <w:r>
              <w:rPr>
                <w:position w:val="1"/>
                <w:sz w:val="20"/>
              </w:rPr>
              <w:t>2 </w:t>
            </w:r>
            <w:r>
              <w:rPr>
                <w:rFonts w:ascii="宋体" w:eastAsia="宋体" w:hint="eastAsia"/>
                <w:sz w:val="20"/>
              </w:rPr>
              <w:t>个）排放</w:t>
            </w:r>
          </w:p>
        </w:tc>
      </w:tr>
      <w:tr>
        <w:trPr>
          <w:trHeight w:val="702" w:hRule="atLeast"/>
        </w:trPr>
        <w:tc>
          <w:tcPr>
            <w:tcW w:w="1048" w:type="dxa"/>
            <w:vMerge/>
            <w:tcBorders>
              <w:top w:val="nil"/>
              <w:bottom w:val="single" w:sz="6" w:space="0" w:color="000000"/>
              <w:right w:val="single" w:sz="6" w:space="0" w:color="000000"/>
            </w:tcBorders>
          </w:tcPr>
          <w:p>
            <w:pPr>
              <w:rPr>
                <w:sz w:val="2"/>
                <w:szCs w:val="2"/>
              </w:rPr>
            </w:pPr>
          </w:p>
        </w:tc>
        <w:tc>
          <w:tcPr>
            <w:tcW w:w="1038"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19"/>
              </w:rPr>
            </w:pPr>
          </w:p>
          <w:p>
            <w:pPr>
              <w:pStyle w:val="TableParagraph"/>
              <w:spacing w:before="0"/>
              <w:ind w:left="99" w:right="82"/>
              <w:rPr>
                <w:rFonts w:ascii="宋体" w:eastAsia="宋体" w:hint="eastAsia"/>
                <w:sz w:val="20"/>
              </w:rPr>
            </w:pPr>
            <w:r>
              <w:rPr>
                <w:rFonts w:ascii="宋体" w:eastAsia="宋体" w:hint="eastAsia"/>
                <w:sz w:val="20"/>
              </w:rPr>
              <w:t>硫化氢</w:t>
            </w:r>
          </w:p>
        </w:tc>
        <w:tc>
          <w:tcPr>
            <w:tcW w:w="995"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20"/>
              </w:rPr>
            </w:pPr>
          </w:p>
          <w:p>
            <w:pPr>
              <w:pStyle w:val="TableParagraph"/>
              <w:spacing w:before="0"/>
              <w:ind w:left="113" w:right="88"/>
              <w:rPr>
                <w:sz w:val="20"/>
              </w:rPr>
            </w:pPr>
            <w:r>
              <w:rPr>
                <w:sz w:val="20"/>
              </w:rPr>
              <w:t>3.58E-05</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20"/>
              </w:rPr>
            </w:pPr>
          </w:p>
          <w:p>
            <w:pPr>
              <w:pStyle w:val="TableParagraph"/>
              <w:spacing w:before="0"/>
              <w:ind w:left="109" w:right="85"/>
              <w:rPr>
                <w:sz w:val="20"/>
              </w:rPr>
            </w:pPr>
            <w:r>
              <w:rPr>
                <w:sz w:val="20"/>
              </w:rPr>
              <w:t>7.16E-06</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20"/>
              </w:rPr>
            </w:pPr>
          </w:p>
          <w:p>
            <w:pPr>
              <w:pStyle w:val="TableParagraph"/>
              <w:spacing w:before="0"/>
              <w:ind w:left="21"/>
              <w:rPr>
                <w:sz w:val="20"/>
              </w:rPr>
            </w:pPr>
            <w:r>
              <w:rPr>
                <w:w w:val="99"/>
                <w:sz w:val="20"/>
              </w:rPr>
              <w:t>0</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20"/>
              </w:rPr>
            </w:pPr>
          </w:p>
          <w:p>
            <w:pPr>
              <w:pStyle w:val="TableParagraph"/>
              <w:spacing w:before="0"/>
              <w:ind w:left="119" w:right="84"/>
              <w:rPr>
                <w:sz w:val="20"/>
              </w:rPr>
            </w:pPr>
            <w:r>
              <w:rPr>
                <w:sz w:val="20"/>
              </w:rPr>
              <w:t>7.16E-06</w:t>
            </w:r>
          </w:p>
        </w:tc>
        <w:tc>
          <w:tcPr>
            <w:tcW w:w="3527" w:type="dxa"/>
            <w:vMerge/>
            <w:tcBorders>
              <w:top w:val="nil"/>
              <w:left w:val="single" w:sz="6" w:space="0" w:color="000000"/>
              <w:bottom w:val="single" w:sz="6" w:space="0" w:color="000000"/>
            </w:tcBorders>
          </w:tcPr>
          <w:p>
            <w:pPr>
              <w:rPr>
                <w:sz w:val="2"/>
                <w:szCs w:val="2"/>
              </w:rPr>
            </w:pPr>
          </w:p>
        </w:tc>
      </w:tr>
      <w:tr>
        <w:trPr>
          <w:trHeight w:val="357" w:hRule="atLeast"/>
        </w:trPr>
        <w:tc>
          <w:tcPr>
            <w:tcW w:w="1048" w:type="dxa"/>
            <w:vMerge w:val="restart"/>
            <w:tcBorders>
              <w:top w:val="single" w:sz="6" w:space="0" w:color="000000"/>
              <w:bottom w:val="single" w:sz="6" w:space="0" w:color="000000"/>
              <w:right w:val="single" w:sz="6" w:space="0" w:color="000000"/>
            </w:tcBorders>
          </w:tcPr>
          <w:p>
            <w:pPr>
              <w:pStyle w:val="TableParagraph"/>
              <w:spacing w:before="8"/>
              <w:jc w:val="left"/>
              <w:rPr>
                <w:b/>
                <w:sz w:val="20"/>
              </w:rPr>
            </w:pPr>
          </w:p>
          <w:p>
            <w:pPr>
              <w:pStyle w:val="TableParagraph"/>
              <w:spacing w:before="1"/>
              <w:ind w:left="119"/>
              <w:jc w:val="left"/>
              <w:rPr>
                <w:rFonts w:ascii="宋体" w:eastAsia="宋体" w:hint="eastAsia"/>
                <w:sz w:val="20"/>
              </w:rPr>
            </w:pPr>
            <w:r>
              <w:rPr>
                <w:rFonts w:ascii="宋体" w:eastAsia="宋体" w:hint="eastAsia"/>
                <w:sz w:val="20"/>
              </w:rPr>
              <w:t>沼气锅炉</w:t>
            </w:r>
          </w:p>
        </w:tc>
        <w:tc>
          <w:tcPr>
            <w:tcW w:w="1038" w:type="dxa"/>
            <w:tcBorders>
              <w:top w:val="single" w:sz="6" w:space="0" w:color="000000"/>
              <w:left w:val="single" w:sz="6" w:space="0" w:color="000000"/>
              <w:bottom w:val="single" w:sz="6" w:space="0" w:color="000000"/>
              <w:right w:val="single" w:sz="6" w:space="0" w:color="000000"/>
            </w:tcBorders>
          </w:tcPr>
          <w:p>
            <w:pPr>
              <w:pStyle w:val="TableParagraph"/>
              <w:spacing w:before="51"/>
              <w:ind w:left="101" w:right="82"/>
              <w:rPr>
                <w:rFonts w:ascii="宋体" w:eastAsia="宋体" w:hint="eastAsia"/>
                <w:sz w:val="20"/>
              </w:rPr>
            </w:pPr>
            <w:r>
              <w:rPr>
                <w:rFonts w:ascii="宋体" w:eastAsia="宋体" w:hint="eastAsia"/>
                <w:sz w:val="20"/>
              </w:rPr>
              <w:t>二氧化硫</w:t>
            </w:r>
          </w:p>
        </w:tc>
        <w:tc>
          <w:tcPr>
            <w:tcW w:w="995" w:type="dxa"/>
            <w:tcBorders>
              <w:top w:val="single" w:sz="6" w:space="0" w:color="000000"/>
              <w:left w:val="single" w:sz="6" w:space="0" w:color="000000"/>
              <w:bottom w:val="single" w:sz="6" w:space="0" w:color="000000"/>
              <w:right w:val="single" w:sz="6" w:space="0" w:color="000000"/>
            </w:tcBorders>
          </w:tcPr>
          <w:p>
            <w:pPr>
              <w:pStyle w:val="TableParagraph"/>
              <w:spacing w:before="62"/>
              <w:ind w:left="111" w:right="88"/>
              <w:rPr>
                <w:sz w:val="20"/>
              </w:rPr>
            </w:pPr>
            <w:r>
              <w:rPr>
                <w:sz w:val="20"/>
              </w:rPr>
              <w:t>0.011</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62"/>
              <w:ind w:left="107" w:right="85"/>
              <w:rPr>
                <w:sz w:val="20"/>
              </w:rPr>
            </w:pPr>
            <w:r>
              <w:rPr>
                <w:sz w:val="20"/>
              </w:rPr>
              <w:t>0.011</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62"/>
              <w:ind w:left="21"/>
              <w:rPr>
                <w:sz w:val="20"/>
              </w:rPr>
            </w:pPr>
            <w:r>
              <w:rPr>
                <w:w w:val="99"/>
                <w:sz w:val="20"/>
              </w:rPr>
              <w:t>0</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62"/>
              <w:ind w:left="117" w:right="84"/>
              <w:rPr>
                <w:sz w:val="20"/>
              </w:rPr>
            </w:pPr>
            <w:r>
              <w:rPr>
                <w:sz w:val="20"/>
              </w:rPr>
              <w:t>0.011</w:t>
            </w:r>
          </w:p>
        </w:tc>
        <w:tc>
          <w:tcPr>
            <w:tcW w:w="3527" w:type="dxa"/>
            <w:vMerge w:val="restart"/>
            <w:tcBorders>
              <w:top w:val="single" w:sz="6" w:space="0" w:color="000000"/>
              <w:left w:val="single" w:sz="6" w:space="0" w:color="000000"/>
              <w:bottom w:val="single" w:sz="6" w:space="0" w:color="000000"/>
            </w:tcBorders>
          </w:tcPr>
          <w:p>
            <w:pPr>
              <w:pStyle w:val="TableParagraph"/>
              <w:spacing w:before="8"/>
              <w:jc w:val="left"/>
              <w:rPr>
                <w:b/>
                <w:sz w:val="20"/>
              </w:rPr>
            </w:pPr>
          </w:p>
          <w:p>
            <w:pPr>
              <w:pStyle w:val="TableParagraph"/>
              <w:spacing w:before="1"/>
              <w:ind w:left="196"/>
              <w:jc w:val="left"/>
              <w:rPr>
                <w:rFonts w:ascii="宋体" w:eastAsia="宋体" w:hint="eastAsia"/>
                <w:sz w:val="20"/>
              </w:rPr>
            </w:pPr>
            <w:r>
              <w:rPr>
                <w:rFonts w:ascii="宋体" w:eastAsia="宋体" w:hint="eastAsia"/>
                <w:sz w:val="20"/>
              </w:rPr>
              <w:t>直接由 </w:t>
            </w:r>
            <w:r>
              <w:rPr>
                <w:position w:val="1"/>
                <w:sz w:val="20"/>
              </w:rPr>
              <w:t>8m </w:t>
            </w:r>
            <w:r>
              <w:rPr>
                <w:rFonts w:ascii="宋体" w:eastAsia="宋体" w:hint="eastAsia"/>
                <w:sz w:val="20"/>
              </w:rPr>
              <w:t>高排气筒（</w:t>
            </w:r>
            <w:r>
              <w:rPr>
                <w:position w:val="1"/>
                <w:sz w:val="20"/>
              </w:rPr>
              <w:t>DA004</w:t>
            </w:r>
            <w:r>
              <w:rPr>
                <w:rFonts w:ascii="宋体" w:eastAsia="宋体" w:hint="eastAsia"/>
                <w:sz w:val="20"/>
              </w:rPr>
              <w:t>）排放</w:t>
            </w:r>
          </w:p>
        </w:tc>
      </w:tr>
      <w:tr>
        <w:trPr>
          <w:trHeight w:val="359" w:hRule="atLeast"/>
        </w:trPr>
        <w:tc>
          <w:tcPr>
            <w:tcW w:w="1048" w:type="dxa"/>
            <w:vMerge/>
            <w:tcBorders>
              <w:top w:val="nil"/>
              <w:bottom w:val="single" w:sz="6" w:space="0" w:color="000000"/>
              <w:right w:val="single" w:sz="6" w:space="0" w:color="000000"/>
            </w:tcBorders>
          </w:tcPr>
          <w:p>
            <w:pPr>
              <w:rPr>
                <w:sz w:val="2"/>
                <w:szCs w:val="2"/>
              </w:rPr>
            </w:pPr>
          </w:p>
        </w:tc>
        <w:tc>
          <w:tcPr>
            <w:tcW w:w="1038" w:type="dxa"/>
            <w:tcBorders>
              <w:top w:val="single" w:sz="6" w:space="0" w:color="000000"/>
              <w:left w:val="single" w:sz="6" w:space="0" w:color="000000"/>
              <w:bottom w:val="single" w:sz="6" w:space="0" w:color="000000"/>
              <w:right w:val="single" w:sz="6" w:space="0" w:color="000000"/>
            </w:tcBorders>
          </w:tcPr>
          <w:p>
            <w:pPr>
              <w:pStyle w:val="TableParagraph"/>
              <w:spacing w:before="54"/>
              <w:ind w:left="101" w:right="82"/>
              <w:rPr>
                <w:rFonts w:ascii="宋体" w:eastAsia="宋体" w:hint="eastAsia"/>
                <w:sz w:val="20"/>
              </w:rPr>
            </w:pPr>
            <w:r>
              <w:rPr>
                <w:rFonts w:ascii="宋体" w:eastAsia="宋体" w:hint="eastAsia"/>
                <w:sz w:val="20"/>
              </w:rPr>
              <w:t>氮氧化物</w:t>
            </w:r>
          </w:p>
        </w:tc>
        <w:tc>
          <w:tcPr>
            <w:tcW w:w="995" w:type="dxa"/>
            <w:tcBorders>
              <w:top w:val="single" w:sz="6" w:space="0" w:color="000000"/>
              <w:left w:val="single" w:sz="6" w:space="0" w:color="000000"/>
              <w:bottom w:val="single" w:sz="6" w:space="0" w:color="000000"/>
              <w:right w:val="single" w:sz="6" w:space="0" w:color="000000"/>
            </w:tcBorders>
          </w:tcPr>
          <w:p>
            <w:pPr>
              <w:pStyle w:val="TableParagraph"/>
              <w:spacing w:before="65"/>
              <w:ind w:left="111" w:right="88"/>
              <w:rPr>
                <w:sz w:val="20"/>
              </w:rPr>
            </w:pPr>
            <w:r>
              <w:rPr>
                <w:sz w:val="20"/>
              </w:rPr>
              <w:t>0.478</w:t>
            </w:r>
          </w:p>
        </w:tc>
        <w:tc>
          <w:tcPr>
            <w:tcW w:w="988" w:type="dxa"/>
            <w:tcBorders>
              <w:top w:val="single" w:sz="6" w:space="0" w:color="000000"/>
              <w:left w:val="single" w:sz="6" w:space="0" w:color="000000"/>
              <w:bottom w:val="single" w:sz="6" w:space="0" w:color="000000"/>
              <w:right w:val="single" w:sz="6" w:space="0" w:color="000000"/>
            </w:tcBorders>
          </w:tcPr>
          <w:p>
            <w:pPr>
              <w:pStyle w:val="TableParagraph"/>
              <w:spacing w:before="65"/>
              <w:ind w:left="107" w:right="85"/>
              <w:rPr>
                <w:sz w:val="20"/>
              </w:rPr>
            </w:pPr>
            <w:r>
              <w:rPr>
                <w:sz w:val="20"/>
              </w:rPr>
              <w:t>0.478</w:t>
            </w:r>
          </w:p>
        </w:tc>
        <w:tc>
          <w:tcPr>
            <w:tcW w:w="841" w:type="dxa"/>
            <w:tcBorders>
              <w:top w:val="single" w:sz="6" w:space="0" w:color="000000"/>
              <w:left w:val="single" w:sz="6" w:space="0" w:color="000000"/>
              <w:bottom w:val="single" w:sz="6" w:space="0" w:color="000000"/>
              <w:right w:val="single" w:sz="6" w:space="0" w:color="000000"/>
            </w:tcBorders>
          </w:tcPr>
          <w:p>
            <w:pPr>
              <w:pStyle w:val="TableParagraph"/>
              <w:spacing w:before="65"/>
              <w:ind w:left="21"/>
              <w:rPr>
                <w:sz w:val="20"/>
              </w:rPr>
            </w:pPr>
            <w:r>
              <w:rPr>
                <w:w w:val="99"/>
                <w:sz w:val="20"/>
              </w:rPr>
              <w:t>0</w:t>
            </w:r>
          </w:p>
        </w:tc>
        <w:tc>
          <w:tcPr>
            <w:tcW w:w="997" w:type="dxa"/>
            <w:tcBorders>
              <w:top w:val="single" w:sz="6" w:space="0" w:color="000000"/>
              <w:left w:val="single" w:sz="6" w:space="0" w:color="000000"/>
              <w:bottom w:val="single" w:sz="6" w:space="0" w:color="000000"/>
              <w:right w:val="single" w:sz="6" w:space="0" w:color="000000"/>
            </w:tcBorders>
          </w:tcPr>
          <w:p>
            <w:pPr>
              <w:pStyle w:val="TableParagraph"/>
              <w:spacing w:before="65"/>
              <w:ind w:left="117" w:right="84"/>
              <w:rPr>
                <w:sz w:val="20"/>
              </w:rPr>
            </w:pPr>
            <w:r>
              <w:rPr>
                <w:sz w:val="20"/>
              </w:rPr>
              <w:t>0.478</w:t>
            </w:r>
          </w:p>
        </w:tc>
        <w:tc>
          <w:tcPr>
            <w:tcW w:w="3527" w:type="dxa"/>
            <w:vMerge/>
            <w:tcBorders>
              <w:top w:val="nil"/>
              <w:left w:val="single" w:sz="6" w:space="0" w:color="000000"/>
              <w:bottom w:val="single" w:sz="6" w:space="0" w:color="000000"/>
            </w:tcBorders>
          </w:tcPr>
          <w:p>
            <w:pPr>
              <w:rPr>
                <w:sz w:val="2"/>
                <w:szCs w:val="2"/>
              </w:rPr>
            </w:pPr>
          </w:p>
        </w:tc>
      </w:tr>
      <w:tr>
        <w:trPr>
          <w:trHeight w:val="357" w:hRule="atLeast"/>
        </w:trPr>
        <w:tc>
          <w:tcPr>
            <w:tcW w:w="1048" w:type="dxa"/>
            <w:tcBorders>
              <w:top w:val="single" w:sz="6" w:space="0" w:color="000000"/>
              <w:right w:val="single" w:sz="6" w:space="0" w:color="000000"/>
            </w:tcBorders>
          </w:tcPr>
          <w:p>
            <w:pPr>
              <w:pStyle w:val="TableParagraph"/>
              <w:spacing w:before="51"/>
              <w:ind w:left="318"/>
              <w:jc w:val="left"/>
              <w:rPr>
                <w:rFonts w:ascii="宋体" w:eastAsia="宋体" w:hint="eastAsia"/>
                <w:sz w:val="20"/>
              </w:rPr>
            </w:pPr>
            <w:r>
              <w:rPr>
                <w:rFonts w:ascii="宋体" w:eastAsia="宋体" w:hint="eastAsia"/>
                <w:sz w:val="20"/>
              </w:rPr>
              <w:t>食堂</w:t>
            </w:r>
          </w:p>
        </w:tc>
        <w:tc>
          <w:tcPr>
            <w:tcW w:w="1038" w:type="dxa"/>
            <w:tcBorders>
              <w:top w:val="single" w:sz="6" w:space="0" w:color="000000"/>
              <w:left w:val="single" w:sz="6" w:space="0" w:color="000000"/>
              <w:right w:val="single" w:sz="6" w:space="0" w:color="000000"/>
            </w:tcBorders>
          </w:tcPr>
          <w:p>
            <w:pPr>
              <w:pStyle w:val="TableParagraph"/>
              <w:spacing w:before="51"/>
              <w:ind w:left="101" w:right="82"/>
              <w:rPr>
                <w:rFonts w:ascii="宋体" w:eastAsia="宋体" w:hint="eastAsia"/>
                <w:sz w:val="20"/>
              </w:rPr>
            </w:pPr>
            <w:r>
              <w:rPr>
                <w:rFonts w:ascii="宋体" w:eastAsia="宋体" w:hint="eastAsia"/>
                <w:sz w:val="20"/>
              </w:rPr>
              <w:t>油烟</w:t>
            </w:r>
          </w:p>
        </w:tc>
        <w:tc>
          <w:tcPr>
            <w:tcW w:w="995" w:type="dxa"/>
            <w:tcBorders>
              <w:top w:val="single" w:sz="6" w:space="0" w:color="000000"/>
              <w:left w:val="single" w:sz="6" w:space="0" w:color="000000"/>
              <w:right w:val="single" w:sz="6" w:space="0" w:color="000000"/>
            </w:tcBorders>
          </w:tcPr>
          <w:p>
            <w:pPr>
              <w:pStyle w:val="TableParagraph"/>
              <w:spacing w:before="65"/>
              <w:ind w:left="111" w:right="88"/>
              <w:rPr>
                <w:sz w:val="20"/>
              </w:rPr>
            </w:pPr>
            <w:r>
              <w:rPr>
                <w:sz w:val="20"/>
              </w:rPr>
              <w:t>0.069</w:t>
            </w:r>
          </w:p>
        </w:tc>
        <w:tc>
          <w:tcPr>
            <w:tcW w:w="988" w:type="dxa"/>
            <w:tcBorders>
              <w:top w:val="single" w:sz="6" w:space="0" w:color="000000"/>
              <w:left w:val="single" w:sz="6" w:space="0" w:color="000000"/>
              <w:right w:val="single" w:sz="6" w:space="0" w:color="000000"/>
            </w:tcBorders>
          </w:tcPr>
          <w:p>
            <w:pPr>
              <w:pStyle w:val="TableParagraph"/>
              <w:spacing w:before="65"/>
              <w:ind w:left="107" w:right="85"/>
              <w:rPr>
                <w:sz w:val="20"/>
              </w:rPr>
            </w:pPr>
            <w:r>
              <w:rPr>
                <w:sz w:val="20"/>
              </w:rPr>
              <w:t>0.017</w:t>
            </w:r>
          </w:p>
        </w:tc>
        <w:tc>
          <w:tcPr>
            <w:tcW w:w="841" w:type="dxa"/>
            <w:tcBorders>
              <w:top w:val="single" w:sz="6" w:space="0" w:color="000000"/>
              <w:left w:val="single" w:sz="6" w:space="0" w:color="000000"/>
              <w:right w:val="single" w:sz="6" w:space="0" w:color="000000"/>
            </w:tcBorders>
          </w:tcPr>
          <w:p>
            <w:pPr>
              <w:pStyle w:val="TableParagraph"/>
              <w:spacing w:before="62"/>
              <w:ind w:left="21"/>
              <w:rPr>
                <w:sz w:val="20"/>
              </w:rPr>
            </w:pPr>
            <w:r>
              <w:rPr>
                <w:w w:val="99"/>
                <w:sz w:val="20"/>
              </w:rPr>
              <w:t>0</w:t>
            </w:r>
          </w:p>
        </w:tc>
        <w:tc>
          <w:tcPr>
            <w:tcW w:w="997" w:type="dxa"/>
            <w:tcBorders>
              <w:top w:val="single" w:sz="6" w:space="0" w:color="000000"/>
              <w:left w:val="single" w:sz="6" w:space="0" w:color="000000"/>
              <w:right w:val="single" w:sz="6" w:space="0" w:color="000000"/>
            </w:tcBorders>
          </w:tcPr>
          <w:p>
            <w:pPr>
              <w:pStyle w:val="TableParagraph"/>
              <w:spacing w:before="65"/>
              <w:ind w:left="117" w:right="84"/>
              <w:rPr>
                <w:sz w:val="20"/>
              </w:rPr>
            </w:pPr>
            <w:r>
              <w:rPr>
                <w:sz w:val="20"/>
              </w:rPr>
              <w:t>0.017</w:t>
            </w:r>
          </w:p>
        </w:tc>
        <w:tc>
          <w:tcPr>
            <w:tcW w:w="3527" w:type="dxa"/>
            <w:tcBorders>
              <w:top w:val="single" w:sz="6" w:space="0" w:color="000000"/>
              <w:left w:val="single" w:sz="6" w:space="0" w:color="000000"/>
            </w:tcBorders>
          </w:tcPr>
          <w:p>
            <w:pPr>
              <w:pStyle w:val="TableParagraph"/>
              <w:spacing w:before="51"/>
              <w:ind w:left="470"/>
              <w:jc w:val="left"/>
              <w:rPr>
                <w:rFonts w:ascii="宋体" w:eastAsia="宋体" w:hint="eastAsia"/>
                <w:sz w:val="20"/>
              </w:rPr>
            </w:pPr>
            <w:r>
              <w:rPr>
                <w:rFonts w:ascii="宋体" w:eastAsia="宋体" w:hint="eastAsia"/>
                <w:sz w:val="20"/>
              </w:rPr>
              <w:t>经油烟净化器处理后屋顶排放</w:t>
            </w:r>
          </w:p>
        </w:tc>
      </w:tr>
    </w:tbl>
    <w:p>
      <w:pPr>
        <w:pStyle w:val="ListParagraph"/>
        <w:numPr>
          <w:ilvl w:val="2"/>
          <w:numId w:val="48"/>
        </w:numPr>
        <w:tabs>
          <w:tab w:pos="838" w:val="left" w:leader="none"/>
        </w:tabs>
        <w:spacing w:line="240" w:lineRule="auto" w:before="107" w:after="0"/>
        <w:ind w:left="837" w:right="0" w:hanging="601"/>
        <w:jc w:val="left"/>
        <w:rPr>
          <w:b/>
          <w:sz w:val="24"/>
        </w:rPr>
      </w:pPr>
      <w:bookmarkStart w:name="_bookmark55" w:id="107"/>
      <w:bookmarkEnd w:id="107"/>
      <w:r>
        <w:rPr/>
      </w:r>
      <w:bookmarkStart w:name="_bookmark55" w:id="108"/>
      <w:bookmarkEnd w:id="108"/>
      <w:r>
        <w:rPr>
          <w:b/>
          <w:sz w:val="24"/>
        </w:rPr>
        <w:t>固废污染源强核算</w:t>
      </w:r>
    </w:p>
    <w:p>
      <w:pPr>
        <w:pStyle w:val="BodyText"/>
        <w:spacing w:line="364" w:lineRule="auto" w:before="161"/>
        <w:ind w:right="136" w:firstLine="480"/>
      </w:pPr>
      <w:r>
        <w:rPr/>
        <w:t>项目运营期产生的固废主要包括发酵产物（</w:t>
      </w:r>
      <w:r>
        <w:rPr>
          <w:rFonts w:ascii="Times New Roman" w:eastAsia="Times New Roman"/>
          <w:position w:val="1"/>
        </w:rPr>
        <w:t>S1</w:t>
      </w:r>
      <w:r>
        <w:rPr/>
        <w:t>）、一般废包装物（</w:t>
      </w:r>
      <w:r>
        <w:rPr>
          <w:rFonts w:ascii="Times New Roman" w:eastAsia="Times New Roman"/>
          <w:position w:val="1"/>
        </w:rPr>
        <w:t>S2</w:t>
      </w:r>
      <w:r>
        <w:rPr/>
        <w:t>）、危化品废</w:t>
      </w:r>
      <w:r>
        <w:rPr>
          <w:spacing w:val="-4"/>
        </w:rPr>
        <w:t>包装物</w:t>
      </w:r>
      <w:r>
        <w:rPr>
          <w:spacing w:val="-3"/>
        </w:rPr>
        <w:t>（</w:t>
      </w:r>
      <w:r>
        <w:rPr>
          <w:rFonts w:ascii="Times New Roman" w:eastAsia="Times New Roman"/>
          <w:spacing w:val="-3"/>
          <w:position w:val="1"/>
        </w:rPr>
        <w:t>S3</w:t>
      </w:r>
      <w:r>
        <w:rPr>
          <w:spacing w:val="-3"/>
        </w:rPr>
        <w:t>）</w:t>
      </w:r>
      <w:r>
        <w:rPr>
          <w:spacing w:val="-4"/>
        </w:rPr>
        <w:t>、废矿物油</w:t>
      </w:r>
      <w:r>
        <w:rPr/>
        <w:t>（</w:t>
      </w:r>
      <w:r>
        <w:rPr>
          <w:rFonts w:ascii="Times New Roman" w:eastAsia="Times New Roman"/>
          <w:position w:val="1"/>
        </w:rPr>
        <w:t>S4</w:t>
      </w:r>
      <w:r>
        <w:rPr/>
        <w:t>）</w:t>
      </w:r>
      <w:r>
        <w:rPr>
          <w:spacing w:val="-4"/>
        </w:rPr>
        <w:t>、医疗废物</w:t>
      </w:r>
      <w:r>
        <w:rPr/>
        <w:t>（</w:t>
      </w:r>
      <w:r>
        <w:rPr>
          <w:rFonts w:ascii="Times New Roman" w:eastAsia="Times New Roman"/>
          <w:position w:val="1"/>
        </w:rPr>
        <w:t>S5</w:t>
      </w:r>
      <w:r>
        <w:rPr/>
        <w:t>）</w:t>
      </w:r>
      <w:r>
        <w:rPr>
          <w:spacing w:val="-4"/>
        </w:rPr>
        <w:t>、废脱硫剂</w:t>
      </w:r>
      <w:r>
        <w:rPr>
          <w:spacing w:val="-3"/>
        </w:rPr>
        <w:t>（</w:t>
      </w:r>
      <w:r>
        <w:rPr>
          <w:rFonts w:ascii="Times New Roman" w:eastAsia="Times New Roman"/>
          <w:spacing w:val="-3"/>
          <w:position w:val="1"/>
        </w:rPr>
        <w:t>S6</w:t>
      </w:r>
      <w:r>
        <w:rPr>
          <w:spacing w:val="-3"/>
        </w:rPr>
        <w:t>）</w:t>
      </w:r>
      <w:r>
        <w:rPr>
          <w:spacing w:val="-2"/>
        </w:rPr>
        <w:t>及生活垃圾</w:t>
      </w:r>
      <w:r>
        <w:rPr/>
        <w:t>（</w:t>
      </w:r>
      <w:r>
        <w:rPr>
          <w:rFonts w:ascii="Times New Roman" w:eastAsia="Times New Roman"/>
          <w:position w:val="1"/>
        </w:rPr>
        <w:t>S7</w:t>
      </w:r>
      <w:r>
        <w:rPr/>
        <w:t>）</w:t>
      </w:r>
      <w:r>
        <w:rPr>
          <w:spacing w:val="-8"/>
        </w:rPr>
        <w:t>。</w:t>
      </w:r>
      <w:r>
        <w:rPr/>
        <w:t>另外，淘汰猪作为正常猪外销，环评不再单独分析。</w:t>
      </w:r>
    </w:p>
    <w:p>
      <w:pPr>
        <w:pStyle w:val="Heading3"/>
        <w:spacing w:line="254" w:lineRule="exact" w:before="0"/>
      </w:pPr>
      <w:r>
        <w:rPr>
          <w:rFonts w:ascii="Times New Roman" w:eastAsia="Times New Roman"/>
        </w:rPr>
        <w:t>1</w:t>
      </w:r>
      <w:r>
        <w:rPr/>
        <w:t>、副产物产生情况</w:t>
      </w:r>
    </w:p>
    <w:p>
      <w:pPr>
        <w:pStyle w:val="ListParagraph"/>
        <w:numPr>
          <w:ilvl w:val="0"/>
          <w:numId w:val="51"/>
        </w:numPr>
        <w:tabs>
          <w:tab w:pos="1323" w:val="left" w:leader="none"/>
        </w:tabs>
        <w:spacing w:line="240" w:lineRule="auto" w:before="107" w:after="0"/>
        <w:ind w:left="1323" w:right="0" w:hanging="604"/>
        <w:jc w:val="left"/>
        <w:rPr>
          <w:b/>
          <w:sz w:val="24"/>
        </w:rPr>
      </w:pPr>
      <w:r>
        <w:rPr>
          <w:b/>
          <w:sz w:val="24"/>
        </w:rPr>
        <w:t>发酵产物（</w:t>
      </w:r>
      <w:r>
        <w:rPr>
          <w:rFonts w:ascii="Times New Roman" w:eastAsia="Times New Roman"/>
          <w:b/>
          <w:sz w:val="24"/>
        </w:rPr>
        <w:t>S1</w:t>
      </w:r>
      <w:r>
        <w:rPr>
          <w:b/>
          <w:sz w:val="24"/>
        </w:rPr>
        <w:t>）</w:t>
      </w:r>
    </w:p>
    <w:p>
      <w:pPr>
        <w:pStyle w:val="BodyText"/>
        <w:spacing w:line="364" w:lineRule="auto" w:before="161"/>
        <w:ind w:right="250" w:firstLine="480"/>
        <w:jc w:val="both"/>
        <w:rPr>
          <w:rFonts w:ascii="Times New Roman" w:eastAsia="Times New Roman"/>
        </w:rPr>
      </w:pPr>
      <w:r>
        <w:rPr/>
        <w:t>本项目进发酵罐的原料包括干清粪猪粪、饲料残渣、污水站污泥及病死猪无害化处</w:t>
      </w:r>
      <w:r>
        <w:rPr>
          <w:spacing w:val="-5"/>
        </w:rPr>
        <w:t>理产物。其中，猪粪产生量约 </w:t>
      </w:r>
      <w:r>
        <w:rPr>
          <w:rFonts w:ascii="Times New Roman" w:eastAsia="Times New Roman"/>
          <w:position w:val="1"/>
        </w:rPr>
        <w:t>25485.8t/a</w:t>
      </w:r>
      <w:r>
        <w:rPr/>
        <w:t>（</w:t>
      </w:r>
      <w:r>
        <w:rPr>
          <w:spacing w:val="-20"/>
        </w:rPr>
        <w:t>根据 </w:t>
      </w:r>
      <w:r>
        <w:rPr>
          <w:rFonts w:ascii="Times New Roman" w:eastAsia="Times New Roman"/>
          <w:position w:val="1"/>
        </w:rPr>
        <w:t>HJ 497-2009 </w:t>
      </w:r>
      <w:r>
        <w:rPr>
          <w:spacing w:val="-7"/>
        </w:rPr>
        <w:t>中日粪便产生量按 </w:t>
      </w:r>
      <w:r>
        <w:rPr>
          <w:rFonts w:ascii="Times New Roman" w:eastAsia="Times New Roman"/>
          <w:position w:val="1"/>
        </w:rPr>
        <w:t>2kg/</w:t>
      </w:r>
      <w:r>
        <w:rPr>
          <w:spacing w:val="-7"/>
        </w:rPr>
        <w:t>只计</w:t>
      </w:r>
      <w:r>
        <w:rPr/>
        <w:t>算</w:t>
      </w:r>
      <w:r>
        <w:rPr>
          <w:spacing w:val="-39"/>
        </w:rPr>
        <w:t>），</w:t>
      </w:r>
      <w:r>
        <w:rPr>
          <w:spacing w:val="-7"/>
        </w:rPr>
        <w:t>饲料残渣产生量约 </w:t>
      </w:r>
      <w:r>
        <w:rPr>
          <w:rFonts w:ascii="Times New Roman" w:eastAsia="Times New Roman"/>
          <w:spacing w:val="-5"/>
          <w:position w:val="1"/>
        </w:rPr>
        <w:t>591.0t/a</w:t>
      </w:r>
      <w:r>
        <w:rPr>
          <w:spacing w:val="-5"/>
        </w:rPr>
        <w:t>（</w:t>
      </w:r>
      <w:r>
        <w:rPr>
          <w:spacing w:val="-8"/>
        </w:rPr>
        <w:t>按饲料用量的 </w:t>
      </w:r>
      <w:r>
        <w:rPr>
          <w:rFonts w:ascii="Times New Roman" w:eastAsia="Times New Roman"/>
          <w:position w:val="1"/>
        </w:rPr>
        <w:t>1.5%</w:t>
      </w:r>
      <w:r>
        <w:rPr/>
        <w:t>计算</w:t>
      </w:r>
      <w:r>
        <w:rPr>
          <w:spacing w:val="-39"/>
        </w:rPr>
        <w:t>），</w:t>
      </w:r>
      <w:r>
        <w:rPr>
          <w:spacing w:val="-8"/>
        </w:rPr>
        <w:t>污泥产生量约 </w:t>
      </w:r>
      <w:r>
        <w:rPr>
          <w:rFonts w:ascii="Times New Roman" w:eastAsia="Times New Roman"/>
          <w:spacing w:val="-5"/>
          <w:position w:val="1"/>
        </w:rPr>
        <w:t>546.2t/a</w:t>
      </w:r>
      <w:r>
        <w:rPr>
          <w:spacing w:val="-5"/>
        </w:rPr>
        <w:t>（</w:t>
      </w:r>
      <w:r>
        <w:rPr/>
        <w:t>含</w:t>
      </w:r>
      <w:r>
        <w:rPr>
          <w:spacing w:val="-13"/>
        </w:rPr>
        <w:t>水率约 </w:t>
      </w:r>
      <w:r>
        <w:rPr>
          <w:rFonts w:ascii="Times New Roman" w:eastAsia="Times New Roman"/>
          <w:position w:val="1"/>
        </w:rPr>
        <w:t>80%</w:t>
      </w:r>
      <w:r>
        <w:rPr>
          <w:spacing w:val="-17"/>
        </w:rPr>
        <w:t>，按 </w:t>
      </w:r>
      <w:r>
        <w:rPr>
          <w:rFonts w:ascii="Times New Roman" w:eastAsia="Times New Roman"/>
          <w:position w:val="1"/>
        </w:rPr>
        <w:t>0.5kg/kgCOD </w:t>
      </w:r>
      <w:r>
        <w:rPr/>
        <w:t>计算），</w:t>
      </w:r>
      <w:r>
        <w:rPr>
          <w:spacing w:val="-5"/>
        </w:rPr>
        <w:t>病死猪无害化处理产物约 </w:t>
      </w:r>
      <w:r>
        <w:rPr>
          <w:rFonts w:ascii="Times New Roman" w:eastAsia="Times New Roman"/>
          <w:position w:val="1"/>
        </w:rPr>
        <w:t>1745.2t/a</w:t>
      </w:r>
      <w:r>
        <w:rPr/>
        <w:t>（根据物料平衡计算</w:t>
      </w:r>
      <w:r>
        <w:rPr>
          <w:spacing w:val="-41"/>
        </w:rPr>
        <w:t>），</w:t>
      </w:r>
      <w:r>
        <w:rPr>
          <w:spacing w:val="-7"/>
        </w:rPr>
        <w:t>综上发酵原料合计约 </w:t>
      </w:r>
      <w:r>
        <w:rPr>
          <w:rFonts w:ascii="Times New Roman" w:eastAsia="Times New Roman"/>
          <w:position w:val="1"/>
        </w:rPr>
        <w:t>28368.2t/a</w:t>
      </w:r>
      <w:r>
        <w:rPr>
          <w:spacing w:val="-13"/>
        </w:rPr>
        <w:t>。发酵产物按原料的 </w:t>
      </w:r>
      <w:r>
        <w:rPr>
          <w:rFonts w:ascii="Times New Roman" w:eastAsia="Times New Roman"/>
          <w:position w:val="1"/>
        </w:rPr>
        <w:t>80%</w:t>
      </w:r>
      <w:r>
        <w:rPr>
          <w:spacing w:val="-19"/>
        </w:rPr>
        <w:t>计，预计为 </w:t>
      </w:r>
      <w:r>
        <w:rPr>
          <w:rFonts w:ascii="Times New Roman" w:eastAsia="Times New Roman"/>
          <w:position w:val="1"/>
        </w:rPr>
        <w:t>22695.0t/a</w:t>
      </w:r>
    </w:p>
    <w:p>
      <w:pPr>
        <w:pStyle w:val="BodyText"/>
        <w:spacing w:before="3"/>
      </w:pPr>
      <w:r>
        <w:rPr>
          <w:spacing w:val="-9"/>
        </w:rPr>
        <w:t>（</w:t>
      </w:r>
      <w:r>
        <w:rPr>
          <w:rFonts w:ascii="Times New Roman" w:eastAsia="Times New Roman"/>
          <w:spacing w:val="-9"/>
          <w:position w:val="1"/>
        </w:rPr>
        <w:t>62.2t/d</w:t>
      </w:r>
      <w:r>
        <w:rPr>
          <w:spacing w:val="-9"/>
        </w:rPr>
        <w:t>），属于一般废物，外运至第三方有机肥厂用于生产有机肥</w:t>
      </w:r>
      <w:r>
        <w:rPr/>
        <w:t>（协议详见附件八</w:t>
      </w:r>
      <w:r>
        <w:rPr>
          <w:spacing w:val="-44"/>
        </w:rPr>
        <w:t>）</w:t>
      </w:r>
      <w:r>
        <w:rPr/>
        <w:t>。</w:t>
      </w:r>
    </w:p>
    <w:p>
      <w:pPr>
        <w:pStyle w:val="Heading3"/>
        <w:numPr>
          <w:ilvl w:val="0"/>
          <w:numId w:val="51"/>
        </w:numPr>
        <w:tabs>
          <w:tab w:pos="1323" w:val="left" w:leader="none"/>
        </w:tabs>
        <w:spacing w:line="240" w:lineRule="auto" w:before="161" w:after="0"/>
        <w:ind w:left="1323" w:right="0" w:hanging="604"/>
        <w:jc w:val="left"/>
      </w:pPr>
      <w:r>
        <w:rPr/>
        <w:t>一般废包装物（</w:t>
      </w:r>
      <w:r>
        <w:rPr>
          <w:rFonts w:ascii="Times New Roman" w:eastAsia="Times New Roman"/>
        </w:rPr>
        <w:t>S2</w:t>
      </w:r>
      <w:r>
        <w:rPr/>
        <w:t>）</w:t>
      </w:r>
    </w:p>
    <w:p>
      <w:pPr>
        <w:pStyle w:val="BodyText"/>
        <w:spacing w:line="364" w:lineRule="auto" w:before="160"/>
        <w:ind w:right="250" w:firstLine="480"/>
        <w:jc w:val="both"/>
      </w:pPr>
      <w:r>
        <w:rPr>
          <w:spacing w:val="-3"/>
        </w:rPr>
        <w:t>项目饲料原料、生石灰、</w:t>
      </w:r>
      <w:r>
        <w:rPr>
          <w:rFonts w:ascii="Times New Roman" w:eastAsia="Times New Roman"/>
          <w:spacing w:val="-9"/>
          <w:position w:val="1"/>
        </w:rPr>
        <w:t>PAM</w:t>
      </w:r>
      <w:r>
        <w:rPr>
          <w:spacing w:val="-10"/>
        </w:rPr>
        <w:t>、</w:t>
      </w:r>
      <w:r>
        <w:rPr>
          <w:rFonts w:ascii="Times New Roman" w:eastAsia="Times New Roman"/>
          <w:spacing w:val="-9"/>
          <w:position w:val="1"/>
        </w:rPr>
        <w:t>PAC</w:t>
      </w:r>
      <w:r>
        <w:rPr>
          <w:spacing w:val="-10"/>
        </w:rPr>
        <w:t>、</w:t>
      </w:r>
      <w:r>
        <w:rPr>
          <w:rFonts w:ascii="Times New Roman" w:eastAsia="Times New Roman"/>
          <w:position w:val="1"/>
        </w:rPr>
        <w:t>PFS</w:t>
      </w:r>
      <w:r>
        <w:rPr>
          <w:spacing w:val="-3"/>
        </w:rPr>
        <w:t>、无害化处置添加剂等非危化品均采用编</w:t>
      </w:r>
      <w:r>
        <w:rPr>
          <w:spacing w:val="-7"/>
        </w:rPr>
        <w:t>织袋包装，包装袋预计产生量为 </w:t>
      </w:r>
      <w:r>
        <w:rPr>
          <w:rFonts w:ascii="Times New Roman" w:eastAsia="Times New Roman"/>
          <w:position w:val="1"/>
        </w:rPr>
        <w:t>79.8 </w:t>
      </w:r>
      <w:r>
        <w:rPr>
          <w:spacing w:val="-8"/>
        </w:rPr>
        <w:t>万只，重约 </w:t>
      </w:r>
      <w:r>
        <w:rPr>
          <w:rFonts w:ascii="Times New Roman" w:eastAsia="Times New Roman"/>
          <w:position w:val="1"/>
        </w:rPr>
        <w:t>40.0t/a</w:t>
      </w:r>
      <w:r>
        <w:rPr>
          <w:spacing w:val="-2"/>
        </w:rPr>
        <w:t>，属于一般废物，统一收集后外</w:t>
      </w:r>
      <w:r>
        <w:rPr/>
        <w:t>售给废品回收站综合利用。</w:t>
      </w:r>
    </w:p>
    <w:p>
      <w:pPr>
        <w:pStyle w:val="Heading3"/>
        <w:numPr>
          <w:ilvl w:val="0"/>
          <w:numId w:val="51"/>
        </w:numPr>
        <w:tabs>
          <w:tab w:pos="1323" w:val="left" w:leader="none"/>
        </w:tabs>
        <w:spacing w:line="240" w:lineRule="auto" w:before="3" w:after="0"/>
        <w:ind w:left="1323" w:right="0" w:hanging="604"/>
        <w:jc w:val="left"/>
      </w:pPr>
      <w:r>
        <w:rPr/>
        <w:t>危化品废包装物（</w:t>
      </w:r>
      <w:r>
        <w:rPr>
          <w:rFonts w:ascii="Times New Roman" w:eastAsia="Times New Roman"/>
        </w:rPr>
        <w:t>S3</w:t>
      </w:r>
      <w:r>
        <w:rPr/>
        <w:t>）</w:t>
      </w:r>
    </w:p>
    <w:p>
      <w:pPr>
        <w:pStyle w:val="BodyText"/>
        <w:spacing w:line="364" w:lineRule="auto" w:before="160"/>
        <w:ind w:right="86" w:firstLine="480"/>
      </w:pPr>
      <w:r>
        <w:rPr/>
        <w:t>项目过氧乙酸、导热油等危化品采用桶装形式，氢氧化钠、次氯酸钠采用袋装形式， 预计废包装桶产生量约 </w:t>
      </w:r>
      <w:r>
        <w:rPr>
          <w:rFonts w:ascii="Times New Roman" w:eastAsia="Times New Roman"/>
          <w:position w:val="1"/>
        </w:rPr>
        <w:t>0.5t/a</w:t>
      </w:r>
      <w:r>
        <w:rPr/>
        <w:t>，废包装袋产生量约 </w:t>
      </w:r>
      <w:r>
        <w:rPr>
          <w:rFonts w:ascii="Times New Roman" w:eastAsia="Times New Roman"/>
          <w:position w:val="1"/>
        </w:rPr>
        <w:t>0.1t/a</w:t>
      </w:r>
      <w:r>
        <w:rPr/>
        <w:t>，合计危化品废包装物产生量约</w:t>
      </w:r>
      <w:r>
        <w:rPr>
          <w:rFonts w:ascii="Times New Roman" w:eastAsia="Times New Roman"/>
          <w:position w:val="1"/>
        </w:rPr>
        <w:t>0.6t/a</w:t>
      </w:r>
      <w:r>
        <w:rPr/>
        <w:t>，属于危险废物（</w:t>
      </w:r>
      <w:r>
        <w:rPr>
          <w:rFonts w:ascii="Times New Roman" w:eastAsia="Times New Roman"/>
          <w:position w:val="1"/>
        </w:rPr>
        <w:t>HW49</w:t>
      </w:r>
      <w:r>
        <w:rPr/>
        <w:t>，</w:t>
      </w:r>
      <w:r>
        <w:rPr>
          <w:rFonts w:ascii="Times New Roman" w:eastAsia="Times New Roman"/>
          <w:position w:val="1"/>
        </w:rPr>
        <w:t>900-041-49</w:t>
      </w:r>
      <w:r>
        <w:rPr/>
        <w:t>，含有或沾染毒性、感染性危险废物的废弃包装物、容器、过滤吸附介质），收集后须委托有相应危废处理资质的单位安全处置。</w:t>
      </w:r>
    </w:p>
    <w:p>
      <w:pPr>
        <w:spacing w:after="0" w:line="364" w:lineRule="auto"/>
        <w:sectPr>
          <w:pgSz w:w="11910" w:h="16840"/>
          <w:pgMar w:header="874" w:footer="1004" w:top="1400" w:bottom="1200" w:left="1040" w:right="1160"/>
        </w:sectPr>
      </w:pPr>
    </w:p>
    <w:p>
      <w:pPr>
        <w:pStyle w:val="Heading3"/>
        <w:numPr>
          <w:ilvl w:val="0"/>
          <w:numId w:val="51"/>
        </w:numPr>
        <w:tabs>
          <w:tab w:pos="1323" w:val="left" w:leader="none"/>
        </w:tabs>
        <w:spacing w:line="240" w:lineRule="auto" w:before="105" w:after="0"/>
        <w:ind w:left="1323" w:right="0" w:hanging="604"/>
        <w:jc w:val="left"/>
      </w:pPr>
      <w:r>
        <w:rPr/>
        <w:t>废矿物油（</w:t>
      </w:r>
      <w:r>
        <w:rPr>
          <w:rFonts w:ascii="Times New Roman" w:eastAsia="Times New Roman"/>
        </w:rPr>
        <w:t>S4</w:t>
      </w:r>
      <w:r>
        <w:rPr/>
        <w:t>）</w:t>
      </w:r>
    </w:p>
    <w:p>
      <w:pPr>
        <w:pStyle w:val="BodyText"/>
        <w:spacing w:line="364" w:lineRule="auto" w:before="161"/>
        <w:ind w:right="251" w:firstLine="480"/>
        <w:jc w:val="both"/>
      </w:pPr>
      <w:r>
        <w:rPr/>
        <w:t>项目病死猪处理机须用导热油加热</w:t>
      </w:r>
      <w:r>
        <w:rPr>
          <w:spacing w:val="3"/>
        </w:rPr>
        <w:t>（</w:t>
      </w:r>
      <w:r>
        <w:rPr/>
        <w:t>具有低蒸汽压的高质量矿物型导热油，非联苯联苯醚</w:t>
      </w:r>
      <w:r>
        <w:rPr>
          <w:spacing w:val="-8"/>
        </w:rPr>
        <w:t>），</w:t>
      </w:r>
      <w:r>
        <w:rPr>
          <w:spacing w:val="-13"/>
        </w:rPr>
        <w:t>初装量约 </w:t>
      </w:r>
      <w:r>
        <w:rPr>
          <w:rFonts w:ascii="Times New Roman" w:eastAsia="Times New Roman"/>
          <w:position w:val="1"/>
        </w:rPr>
        <w:t>0.4t</w:t>
      </w:r>
      <w:r>
        <w:rPr/>
        <w:t>（</w:t>
      </w:r>
      <w:r>
        <w:rPr>
          <w:rFonts w:ascii="Times New Roman" w:eastAsia="Times New Roman"/>
          <w:position w:val="1"/>
        </w:rPr>
        <w:t>200kg/</w:t>
      </w:r>
      <w:r>
        <w:rPr>
          <w:spacing w:val="-18"/>
        </w:rPr>
        <w:t>台，共 </w:t>
      </w:r>
      <w:r>
        <w:rPr>
          <w:rFonts w:ascii="Times New Roman" w:eastAsia="Times New Roman"/>
          <w:position w:val="1"/>
        </w:rPr>
        <w:t>2 </w:t>
      </w:r>
      <w:r>
        <w:rPr/>
        <w:t>台</w:t>
      </w:r>
      <w:r>
        <w:rPr>
          <w:spacing w:val="-8"/>
        </w:rPr>
        <w:t>），</w:t>
      </w:r>
      <w:r>
        <w:rPr>
          <w:spacing w:val="-21"/>
        </w:rPr>
        <w:t>设计 </w:t>
      </w:r>
      <w:r>
        <w:rPr>
          <w:rFonts w:ascii="Times New Roman" w:eastAsia="Times New Roman"/>
          <w:position w:val="1"/>
        </w:rPr>
        <w:t>3~5 </w:t>
      </w:r>
      <w:r>
        <w:rPr>
          <w:spacing w:val="-2"/>
        </w:rPr>
        <w:t>年更换一次，则年均产生量约</w:t>
      </w:r>
      <w:r>
        <w:rPr>
          <w:rFonts w:ascii="Times New Roman" w:eastAsia="Times New Roman"/>
          <w:spacing w:val="-4"/>
          <w:position w:val="1"/>
        </w:rPr>
        <w:t>0.1t</w:t>
      </w:r>
      <w:r>
        <w:rPr>
          <w:spacing w:val="-5"/>
        </w:rPr>
        <w:t>，属于危险废物</w:t>
      </w:r>
      <w:r>
        <w:rPr>
          <w:spacing w:val="-3"/>
        </w:rPr>
        <w:t>（</w:t>
      </w:r>
      <w:r>
        <w:rPr>
          <w:rFonts w:ascii="Times New Roman" w:eastAsia="Times New Roman"/>
          <w:spacing w:val="-3"/>
          <w:position w:val="1"/>
        </w:rPr>
        <w:t>HW08</w:t>
      </w:r>
      <w:r>
        <w:rPr>
          <w:spacing w:val="-3"/>
        </w:rPr>
        <w:t>，</w:t>
      </w:r>
      <w:r>
        <w:rPr>
          <w:rFonts w:ascii="Times New Roman" w:eastAsia="Times New Roman"/>
          <w:spacing w:val="-3"/>
          <w:position w:val="1"/>
        </w:rPr>
        <w:t>900-249-08</w:t>
      </w:r>
      <w:r>
        <w:rPr>
          <w:spacing w:val="-7"/>
        </w:rPr>
        <w:t>，其他生产、销售、使用过程中产生的废矿物油及沾染矿物油的废弃包装物），收集后须委托有相应危废处理资质的单位安全处置。</w:t>
      </w:r>
    </w:p>
    <w:p>
      <w:pPr>
        <w:pStyle w:val="Heading3"/>
        <w:numPr>
          <w:ilvl w:val="0"/>
          <w:numId w:val="51"/>
        </w:numPr>
        <w:tabs>
          <w:tab w:pos="1323" w:val="left" w:leader="none"/>
        </w:tabs>
        <w:spacing w:line="240" w:lineRule="auto" w:before="2" w:after="0"/>
        <w:ind w:left="1323" w:right="0" w:hanging="604"/>
        <w:jc w:val="left"/>
      </w:pPr>
      <w:r>
        <w:rPr/>
        <w:t>医疗废物（</w:t>
      </w:r>
      <w:r>
        <w:rPr>
          <w:rFonts w:ascii="Times New Roman" w:eastAsia="Times New Roman"/>
        </w:rPr>
        <w:t>S5</w:t>
      </w:r>
      <w:r>
        <w:rPr/>
        <w:t>）</w:t>
      </w:r>
    </w:p>
    <w:p>
      <w:pPr>
        <w:pStyle w:val="BodyText"/>
        <w:spacing w:line="364" w:lineRule="auto" w:before="161"/>
        <w:ind w:right="247" w:firstLine="480"/>
        <w:jc w:val="both"/>
      </w:pPr>
      <w:r>
        <w:rPr/>
        <w:t>项目养殖场在卫生防疫、治疗过程中会产生医疗废物，产生系数约 </w:t>
      </w:r>
      <w:r>
        <w:rPr>
          <w:rFonts w:ascii="Times New Roman" w:hAnsi="Times New Roman" w:eastAsia="Times New Roman"/>
          <w:position w:val="1"/>
        </w:rPr>
        <w:t>0.05kg/</w:t>
      </w:r>
      <w:r>
        <w:rPr/>
        <w:t>头</w:t>
      </w:r>
      <w:r>
        <w:rPr>
          <w:rFonts w:ascii="Times New Roman" w:hAnsi="Times New Roman" w:eastAsia="Times New Roman"/>
          <w:position w:val="1"/>
        </w:rPr>
        <w:t>·a</w:t>
      </w:r>
      <w:r>
        <w:rPr/>
        <w:t>，则</w:t>
      </w:r>
      <w:r>
        <w:rPr>
          <w:spacing w:val="-6"/>
        </w:rPr>
        <w:t>项目医疗废物产生量约 </w:t>
      </w:r>
      <w:r>
        <w:rPr>
          <w:rFonts w:ascii="Times New Roman" w:hAnsi="Times New Roman" w:eastAsia="Times New Roman"/>
          <w:position w:val="1"/>
        </w:rPr>
        <w:t>4.3t/a</w:t>
      </w:r>
      <w:r>
        <w:rPr>
          <w:spacing w:val="-5"/>
        </w:rPr>
        <w:t>。医疗废物主要为一次性医疗用品及一次性医疗器械，携带</w:t>
      </w:r>
      <w:r>
        <w:rPr>
          <w:spacing w:val="-4"/>
        </w:rPr>
        <w:t>有病原微生物，易引发感染性疾病的传播，属于感染性医疗废物（</w:t>
      </w:r>
      <w:r>
        <w:rPr>
          <w:rFonts w:ascii="Times New Roman" w:hAnsi="Times New Roman" w:eastAsia="Times New Roman"/>
          <w:spacing w:val="-4"/>
          <w:position w:val="1"/>
        </w:rPr>
        <w:t>HW01</w:t>
      </w:r>
      <w:r>
        <w:rPr>
          <w:spacing w:val="-4"/>
        </w:rPr>
        <w:t>），收集后由柯</w:t>
      </w:r>
      <w:r>
        <w:rPr/>
        <w:t>桥区畜牧兽医局统一委托绍兴华鑫环保科技有限公司安全处置，协议见附件九。</w:t>
      </w:r>
    </w:p>
    <w:p>
      <w:pPr>
        <w:pStyle w:val="Heading3"/>
        <w:numPr>
          <w:ilvl w:val="0"/>
          <w:numId w:val="51"/>
        </w:numPr>
        <w:tabs>
          <w:tab w:pos="1323" w:val="left" w:leader="none"/>
        </w:tabs>
        <w:spacing w:line="240" w:lineRule="auto" w:before="3" w:after="0"/>
        <w:ind w:left="1323" w:right="0" w:hanging="604"/>
        <w:jc w:val="left"/>
      </w:pPr>
      <w:r>
        <w:rPr/>
        <w:t>废脱硫剂（</w:t>
      </w:r>
      <w:r>
        <w:rPr>
          <w:rFonts w:ascii="Times New Roman" w:eastAsia="Times New Roman"/>
        </w:rPr>
        <w:t>S6</w:t>
      </w:r>
      <w:r>
        <w:rPr/>
        <w:t>）</w:t>
      </w:r>
    </w:p>
    <w:p>
      <w:pPr>
        <w:pStyle w:val="BodyText"/>
        <w:spacing w:line="364" w:lineRule="auto" w:before="160"/>
        <w:ind w:right="113" w:firstLine="480"/>
      </w:pPr>
      <w:r>
        <w:rPr/>
        <w:t>项目采用干法脱硫工艺（沼气中的硫化氢与活性物质氧化铁接触，生成硫化铁和水， 然后含有硫化物的脱硫剂与空气中的氧接触，当有水存在时，铁的硫化物又转化为氧化铁和单体硫），预计脱硫剂每年更换一次，产生量约 </w:t>
      </w:r>
      <w:r>
        <w:rPr>
          <w:rFonts w:ascii="Times New Roman" w:eastAsia="Times New Roman"/>
          <w:position w:val="1"/>
        </w:rPr>
        <w:t>8.0t/a</w:t>
      </w:r>
      <w:r>
        <w:rPr/>
        <w:t>，属一般废物，由供应商更换回收并再生利用。</w:t>
      </w:r>
    </w:p>
    <w:p>
      <w:pPr>
        <w:pStyle w:val="Heading3"/>
        <w:numPr>
          <w:ilvl w:val="0"/>
          <w:numId w:val="51"/>
        </w:numPr>
        <w:tabs>
          <w:tab w:pos="1323" w:val="left" w:leader="none"/>
        </w:tabs>
        <w:spacing w:line="240" w:lineRule="auto" w:before="3" w:after="0"/>
        <w:ind w:left="1323" w:right="0" w:hanging="604"/>
        <w:jc w:val="left"/>
      </w:pPr>
      <w:r>
        <w:rPr/>
        <w:t>生活垃圾（</w:t>
      </w:r>
      <w:r>
        <w:rPr>
          <w:rFonts w:ascii="Times New Roman" w:eastAsia="Times New Roman"/>
        </w:rPr>
        <w:t>S7</w:t>
      </w:r>
      <w:r>
        <w:rPr/>
        <w:t>）</w:t>
      </w:r>
    </w:p>
    <w:p>
      <w:pPr>
        <w:pStyle w:val="BodyText"/>
        <w:spacing w:before="160"/>
        <w:ind w:left="717"/>
      </w:pPr>
      <w:r>
        <w:rPr/>
        <w:t>本项目劳动定员 </w:t>
      </w:r>
      <w:r>
        <w:rPr>
          <w:rFonts w:ascii="Times New Roman" w:eastAsia="Times New Roman"/>
          <w:position w:val="1"/>
        </w:rPr>
        <w:t>90 </w:t>
      </w:r>
      <w:r>
        <w:rPr/>
        <w:t>人，生活垃圾产生量按每人每天 </w:t>
      </w:r>
      <w:r>
        <w:rPr>
          <w:rFonts w:ascii="Times New Roman" w:eastAsia="Times New Roman"/>
          <w:position w:val="1"/>
        </w:rPr>
        <w:t>0.5kg </w:t>
      </w:r>
      <w:r>
        <w:rPr/>
        <w:t>计，则生活垃圾产生量约</w:t>
      </w:r>
    </w:p>
    <w:p>
      <w:pPr>
        <w:pStyle w:val="BodyText"/>
        <w:spacing w:line="364" w:lineRule="auto" w:before="161"/>
        <w:ind w:left="717" w:right="4880" w:hanging="480"/>
      </w:pPr>
      <w:r>
        <w:rPr>
          <w:rFonts w:ascii="Times New Roman" w:eastAsia="Times New Roman"/>
          <w:position w:val="1"/>
        </w:rPr>
        <w:t>16.4t/a</w:t>
      </w:r>
      <w:r>
        <w:rPr/>
        <w:t>，集中收集后由环卫部门统一清运。项目副产物产生情况汇总见表 </w:t>
      </w:r>
      <w:r>
        <w:rPr>
          <w:rFonts w:ascii="Times New Roman" w:eastAsia="Times New Roman"/>
          <w:position w:val="1"/>
        </w:rPr>
        <w:t>3.3-14</w:t>
      </w:r>
      <w:r>
        <w:rPr/>
        <w:t>。</w:t>
      </w:r>
    </w:p>
    <w:p>
      <w:pPr>
        <w:pStyle w:val="Heading3"/>
        <w:spacing w:before="1"/>
        <w:ind w:left="2635"/>
      </w:pPr>
      <w:r>
        <w:rPr/>
        <w:t>表 </w:t>
      </w:r>
      <w:r>
        <w:rPr>
          <w:rFonts w:ascii="Times New Roman" w:eastAsia="Times New Roman"/>
        </w:rPr>
        <w:t>3.3-14  </w:t>
      </w:r>
      <w:r>
        <w:rPr/>
        <w:t>项目主要副产物产生情况一览表</w:t>
      </w:r>
    </w:p>
    <w:p>
      <w:pPr>
        <w:pStyle w:val="BodyText"/>
        <w:spacing w:before="2"/>
        <w:ind w:left="0"/>
        <w:rPr>
          <w:b/>
          <w:sz w:val="6"/>
        </w:rPr>
      </w:pP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249"/>
        <w:gridCol w:w="1917"/>
        <w:gridCol w:w="650"/>
        <w:gridCol w:w="2237"/>
        <w:gridCol w:w="2189"/>
      </w:tblGrid>
      <w:tr>
        <w:trPr>
          <w:trHeight w:val="359" w:hRule="atLeast"/>
        </w:trPr>
        <w:tc>
          <w:tcPr>
            <w:tcW w:w="2249" w:type="dxa"/>
            <w:tcBorders>
              <w:bottom w:val="single" w:sz="4" w:space="0" w:color="000000"/>
              <w:right w:val="single" w:sz="4" w:space="0" w:color="000000"/>
            </w:tcBorders>
          </w:tcPr>
          <w:p>
            <w:pPr>
              <w:pStyle w:val="TableParagraph"/>
              <w:spacing w:before="46"/>
              <w:ind w:left="374" w:right="344"/>
              <w:rPr>
                <w:rFonts w:ascii="宋体" w:eastAsia="宋体" w:hint="eastAsia"/>
                <w:b/>
                <w:sz w:val="21"/>
              </w:rPr>
            </w:pPr>
            <w:r>
              <w:rPr>
                <w:rFonts w:ascii="宋体" w:eastAsia="宋体" w:hint="eastAsia"/>
                <w:b/>
                <w:sz w:val="21"/>
              </w:rPr>
              <w:t>固废种类</w:t>
            </w:r>
          </w:p>
        </w:tc>
        <w:tc>
          <w:tcPr>
            <w:tcW w:w="1917" w:type="dxa"/>
            <w:tcBorders>
              <w:left w:val="single" w:sz="4" w:space="0" w:color="000000"/>
              <w:bottom w:val="single" w:sz="4" w:space="0" w:color="000000"/>
              <w:right w:val="single" w:sz="4" w:space="0" w:color="000000"/>
            </w:tcBorders>
          </w:tcPr>
          <w:p>
            <w:pPr>
              <w:pStyle w:val="TableParagraph"/>
              <w:spacing w:before="46"/>
              <w:ind w:left="318" w:right="286"/>
              <w:rPr>
                <w:rFonts w:ascii="宋体" w:eastAsia="宋体" w:hint="eastAsia"/>
                <w:b/>
                <w:sz w:val="21"/>
              </w:rPr>
            </w:pPr>
            <w:r>
              <w:rPr>
                <w:rFonts w:ascii="宋体" w:eastAsia="宋体" w:hint="eastAsia"/>
                <w:b/>
                <w:sz w:val="21"/>
              </w:rPr>
              <w:t>产生工序</w:t>
            </w:r>
          </w:p>
        </w:tc>
        <w:tc>
          <w:tcPr>
            <w:tcW w:w="650" w:type="dxa"/>
            <w:tcBorders>
              <w:left w:val="single" w:sz="4" w:space="0" w:color="000000"/>
              <w:bottom w:val="single" w:sz="4" w:space="0" w:color="000000"/>
              <w:right w:val="single" w:sz="4" w:space="0" w:color="000000"/>
            </w:tcBorders>
          </w:tcPr>
          <w:p>
            <w:pPr>
              <w:pStyle w:val="TableParagraph"/>
              <w:spacing w:before="46"/>
              <w:ind w:left="102" w:right="73"/>
              <w:rPr>
                <w:rFonts w:ascii="宋体" w:eastAsia="宋体" w:hint="eastAsia"/>
                <w:b/>
                <w:sz w:val="21"/>
              </w:rPr>
            </w:pPr>
            <w:r>
              <w:rPr>
                <w:rFonts w:ascii="宋体" w:eastAsia="宋体" w:hint="eastAsia"/>
                <w:b/>
                <w:sz w:val="21"/>
              </w:rPr>
              <w:t>形态</w:t>
            </w:r>
          </w:p>
        </w:tc>
        <w:tc>
          <w:tcPr>
            <w:tcW w:w="2237" w:type="dxa"/>
            <w:tcBorders>
              <w:left w:val="single" w:sz="4" w:space="0" w:color="000000"/>
              <w:bottom w:val="single" w:sz="4" w:space="0" w:color="000000"/>
              <w:right w:val="single" w:sz="4" w:space="0" w:color="000000"/>
            </w:tcBorders>
          </w:tcPr>
          <w:p>
            <w:pPr>
              <w:pStyle w:val="TableParagraph"/>
              <w:spacing w:before="46"/>
              <w:ind w:left="266" w:right="234"/>
              <w:rPr>
                <w:rFonts w:ascii="宋体" w:eastAsia="宋体" w:hint="eastAsia"/>
                <w:b/>
                <w:sz w:val="21"/>
              </w:rPr>
            </w:pPr>
            <w:r>
              <w:rPr>
                <w:rFonts w:ascii="宋体" w:eastAsia="宋体" w:hint="eastAsia"/>
                <w:b/>
                <w:sz w:val="21"/>
              </w:rPr>
              <w:t>主要成分</w:t>
            </w:r>
          </w:p>
        </w:tc>
        <w:tc>
          <w:tcPr>
            <w:tcW w:w="2189" w:type="dxa"/>
            <w:tcBorders>
              <w:left w:val="single" w:sz="4" w:space="0" w:color="000000"/>
              <w:bottom w:val="single" w:sz="4" w:space="0" w:color="000000"/>
            </w:tcBorders>
          </w:tcPr>
          <w:p>
            <w:pPr>
              <w:pStyle w:val="TableParagraph"/>
              <w:spacing w:before="46"/>
              <w:ind w:left="366" w:right="335"/>
              <w:rPr>
                <w:b/>
                <w:sz w:val="21"/>
              </w:rPr>
            </w:pPr>
            <w:r>
              <w:rPr>
                <w:rFonts w:ascii="宋体" w:eastAsia="宋体" w:hint="eastAsia"/>
                <w:b/>
                <w:sz w:val="21"/>
              </w:rPr>
              <w:t>预计产生量</w:t>
            </w:r>
            <w:r>
              <w:rPr>
                <w:b/>
                <w:sz w:val="21"/>
              </w:rPr>
              <w:t>(t/a)</w:t>
            </w:r>
          </w:p>
        </w:tc>
      </w:tr>
      <w:tr>
        <w:trPr>
          <w:trHeight w:val="359" w:hRule="atLeast"/>
        </w:trPr>
        <w:tc>
          <w:tcPr>
            <w:tcW w:w="2249" w:type="dxa"/>
            <w:tcBorders>
              <w:top w:val="single" w:sz="4" w:space="0" w:color="000000"/>
              <w:bottom w:val="single" w:sz="4" w:space="0" w:color="000000"/>
              <w:right w:val="single" w:sz="4" w:space="0" w:color="000000"/>
            </w:tcBorders>
          </w:tcPr>
          <w:p>
            <w:pPr>
              <w:pStyle w:val="TableParagraph"/>
              <w:spacing w:before="46"/>
              <w:ind w:left="372" w:right="344"/>
              <w:rPr>
                <w:rFonts w:ascii="宋体" w:eastAsia="宋体" w:hint="eastAsia"/>
                <w:sz w:val="21"/>
              </w:rPr>
            </w:pPr>
            <w:r>
              <w:rPr>
                <w:rFonts w:ascii="宋体" w:eastAsia="宋体" w:hint="eastAsia"/>
                <w:sz w:val="21"/>
              </w:rPr>
              <w:t>发酵产物</w:t>
            </w:r>
          </w:p>
        </w:tc>
        <w:tc>
          <w:tcPr>
            <w:tcW w:w="1917" w:type="dxa"/>
            <w:tcBorders>
              <w:top w:val="single" w:sz="4" w:space="0" w:color="000000"/>
              <w:left w:val="single" w:sz="4" w:space="0" w:color="000000"/>
              <w:bottom w:val="single" w:sz="4" w:space="0" w:color="000000"/>
              <w:right w:val="single" w:sz="4" w:space="0" w:color="000000"/>
            </w:tcBorders>
          </w:tcPr>
          <w:p>
            <w:pPr>
              <w:pStyle w:val="TableParagraph"/>
              <w:spacing w:before="46"/>
              <w:ind w:left="317" w:right="287"/>
              <w:rPr>
                <w:rFonts w:ascii="宋体" w:eastAsia="宋体" w:hint="eastAsia"/>
                <w:sz w:val="21"/>
              </w:rPr>
            </w:pPr>
            <w:r>
              <w:rPr>
                <w:rFonts w:ascii="宋体" w:eastAsia="宋体" w:hint="eastAsia"/>
                <w:sz w:val="21"/>
              </w:rPr>
              <w:t>猪粪发酵罐</w:t>
            </w:r>
          </w:p>
        </w:tc>
        <w:tc>
          <w:tcPr>
            <w:tcW w:w="650"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69"/>
              <w:rPr>
                <w:rFonts w:ascii="宋体" w:eastAsia="宋体" w:hint="eastAsia"/>
                <w:sz w:val="21"/>
              </w:rPr>
            </w:pPr>
            <w:r>
              <w:rPr>
                <w:rFonts w:ascii="宋体" w:eastAsia="宋体" w:hint="eastAsia"/>
                <w:sz w:val="21"/>
              </w:rPr>
              <w:t>固态</w:t>
            </w:r>
          </w:p>
        </w:tc>
        <w:tc>
          <w:tcPr>
            <w:tcW w:w="2237" w:type="dxa"/>
            <w:tcBorders>
              <w:top w:val="single" w:sz="4" w:space="0" w:color="000000"/>
              <w:left w:val="single" w:sz="4" w:space="0" w:color="000000"/>
              <w:bottom w:val="single" w:sz="4" w:space="0" w:color="000000"/>
              <w:right w:val="single" w:sz="4" w:space="0" w:color="000000"/>
            </w:tcBorders>
          </w:tcPr>
          <w:p>
            <w:pPr>
              <w:pStyle w:val="TableParagraph"/>
              <w:spacing w:before="46"/>
              <w:ind w:left="266" w:right="234"/>
              <w:rPr>
                <w:rFonts w:ascii="宋体" w:eastAsia="宋体" w:hint="eastAsia"/>
                <w:sz w:val="21"/>
              </w:rPr>
            </w:pPr>
            <w:r>
              <w:rPr>
                <w:rFonts w:ascii="宋体" w:eastAsia="宋体" w:hint="eastAsia"/>
                <w:sz w:val="21"/>
              </w:rPr>
              <w:t>粪便、尿液等</w:t>
            </w:r>
          </w:p>
        </w:tc>
        <w:tc>
          <w:tcPr>
            <w:tcW w:w="2189" w:type="dxa"/>
            <w:tcBorders>
              <w:top w:val="single" w:sz="4" w:space="0" w:color="000000"/>
              <w:left w:val="single" w:sz="4" w:space="0" w:color="000000"/>
              <w:bottom w:val="single" w:sz="4" w:space="0" w:color="000000"/>
            </w:tcBorders>
          </w:tcPr>
          <w:p>
            <w:pPr>
              <w:pStyle w:val="TableParagraph"/>
              <w:ind w:left="366" w:right="331"/>
              <w:rPr>
                <w:sz w:val="21"/>
              </w:rPr>
            </w:pPr>
            <w:r>
              <w:rPr>
                <w:sz w:val="21"/>
              </w:rPr>
              <w:t>22695.0</w:t>
            </w:r>
          </w:p>
        </w:tc>
      </w:tr>
      <w:tr>
        <w:trPr>
          <w:trHeight w:val="357" w:hRule="atLeast"/>
        </w:trPr>
        <w:tc>
          <w:tcPr>
            <w:tcW w:w="2249" w:type="dxa"/>
            <w:tcBorders>
              <w:top w:val="single" w:sz="4" w:space="0" w:color="000000"/>
              <w:bottom w:val="single" w:sz="4" w:space="0" w:color="000000"/>
              <w:right w:val="single" w:sz="4" w:space="0" w:color="000000"/>
            </w:tcBorders>
          </w:tcPr>
          <w:p>
            <w:pPr>
              <w:pStyle w:val="TableParagraph"/>
              <w:spacing w:before="46"/>
              <w:ind w:left="374" w:right="344"/>
              <w:rPr>
                <w:rFonts w:ascii="宋体" w:eastAsia="宋体" w:hint="eastAsia"/>
                <w:sz w:val="21"/>
              </w:rPr>
            </w:pPr>
            <w:r>
              <w:rPr>
                <w:rFonts w:ascii="宋体" w:eastAsia="宋体" w:hint="eastAsia"/>
                <w:sz w:val="21"/>
              </w:rPr>
              <w:t>一般废包装物</w:t>
            </w:r>
          </w:p>
        </w:tc>
        <w:tc>
          <w:tcPr>
            <w:tcW w:w="1917" w:type="dxa"/>
            <w:tcBorders>
              <w:top w:val="single" w:sz="4" w:space="0" w:color="000000"/>
              <w:left w:val="single" w:sz="4" w:space="0" w:color="000000"/>
              <w:bottom w:val="single" w:sz="4" w:space="0" w:color="000000"/>
              <w:right w:val="single" w:sz="4" w:space="0" w:color="000000"/>
            </w:tcBorders>
          </w:tcPr>
          <w:p>
            <w:pPr>
              <w:pStyle w:val="TableParagraph"/>
              <w:spacing w:before="46"/>
              <w:ind w:left="317" w:right="287"/>
              <w:rPr>
                <w:rFonts w:ascii="宋体" w:eastAsia="宋体" w:hint="eastAsia"/>
                <w:sz w:val="21"/>
              </w:rPr>
            </w:pPr>
            <w:r>
              <w:rPr>
                <w:rFonts w:ascii="宋体" w:eastAsia="宋体" w:hint="eastAsia"/>
                <w:sz w:val="21"/>
              </w:rPr>
              <w:t>非危化品包装</w:t>
            </w:r>
          </w:p>
        </w:tc>
        <w:tc>
          <w:tcPr>
            <w:tcW w:w="650"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69"/>
              <w:rPr>
                <w:rFonts w:ascii="宋体" w:eastAsia="宋体" w:hint="eastAsia"/>
                <w:sz w:val="21"/>
              </w:rPr>
            </w:pPr>
            <w:r>
              <w:rPr>
                <w:rFonts w:ascii="宋体" w:eastAsia="宋体" w:hint="eastAsia"/>
                <w:sz w:val="21"/>
              </w:rPr>
              <w:t>固态</w:t>
            </w:r>
          </w:p>
        </w:tc>
        <w:tc>
          <w:tcPr>
            <w:tcW w:w="2237" w:type="dxa"/>
            <w:tcBorders>
              <w:top w:val="single" w:sz="4" w:space="0" w:color="000000"/>
              <w:left w:val="single" w:sz="4" w:space="0" w:color="000000"/>
              <w:bottom w:val="single" w:sz="4" w:space="0" w:color="000000"/>
              <w:right w:val="single" w:sz="4" w:space="0" w:color="000000"/>
            </w:tcBorders>
          </w:tcPr>
          <w:p>
            <w:pPr>
              <w:pStyle w:val="TableParagraph"/>
              <w:spacing w:before="46"/>
              <w:ind w:left="266" w:right="232"/>
              <w:rPr>
                <w:rFonts w:ascii="宋体" w:eastAsia="宋体" w:hint="eastAsia"/>
                <w:sz w:val="21"/>
              </w:rPr>
            </w:pPr>
            <w:r>
              <w:rPr>
                <w:rFonts w:ascii="宋体" w:eastAsia="宋体" w:hint="eastAsia"/>
                <w:sz w:val="21"/>
              </w:rPr>
              <w:t>塑料编织袋</w:t>
            </w:r>
          </w:p>
        </w:tc>
        <w:tc>
          <w:tcPr>
            <w:tcW w:w="2189" w:type="dxa"/>
            <w:tcBorders>
              <w:top w:val="single" w:sz="4" w:space="0" w:color="000000"/>
              <w:left w:val="single" w:sz="4" w:space="0" w:color="000000"/>
              <w:bottom w:val="single" w:sz="4" w:space="0" w:color="000000"/>
            </w:tcBorders>
          </w:tcPr>
          <w:p>
            <w:pPr>
              <w:pStyle w:val="TableParagraph"/>
              <w:ind w:left="366" w:right="333"/>
              <w:rPr>
                <w:sz w:val="21"/>
              </w:rPr>
            </w:pPr>
            <w:r>
              <w:rPr>
                <w:sz w:val="21"/>
              </w:rPr>
              <w:t>40.0</w:t>
            </w:r>
          </w:p>
        </w:tc>
      </w:tr>
      <w:tr>
        <w:trPr>
          <w:trHeight w:val="360" w:hRule="atLeast"/>
        </w:trPr>
        <w:tc>
          <w:tcPr>
            <w:tcW w:w="2249" w:type="dxa"/>
            <w:tcBorders>
              <w:top w:val="single" w:sz="4" w:space="0" w:color="000000"/>
              <w:bottom w:val="single" w:sz="4" w:space="0" w:color="000000"/>
              <w:right w:val="single" w:sz="4" w:space="0" w:color="000000"/>
            </w:tcBorders>
          </w:tcPr>
          <w:p>
            <w:pPr>
              <w:pStyle w:val="TableParagraph"/>
              <w:spacing w:before="47"/>
              <w:ind w:left="374" w:right="344"/>
              <w:rPr>
                <w:rFonts w:ascii="宋体" w:eastAsia="宋体" w:hint="eastAsia"/>
                <w:sz w:val="21"/>
              </w:rPr>
            </w:pPr>
            <w:r>
              <w:rPr>
                <w:rFonts w:ascii="宋体" w:eastAsia="宋体" w:hint="eastAsia"/>
                <w:sz w:val="21"/>
              </w:rPr>
              <w:t>危化品废包装物</w:t>
            </w:r>
          </w:p>
        </w:tc>
        <w:tc>
          <w:tcPr>
            <w:tcW w:w="1917" w:type="dxa"/>
            <w:tcBorders>
              <w:top w:val="single" w:sz="4" w:space="0" w:color="000000"/>
              <w:left w:val="single" w:sz="4" w:space="0" w:color="000000"/>
              <w:bottom w:val="single" w:sz="4" w:space="0" w:color="000000"/>
              <w:right w:val="single" w:sz="4" w:space="0" w:color="000000"/>
            </w:tcBorders>
          </w:tcPr>
          <w:p>
            <w:pPr>
              <w:pStyle w:val="TableParagraph"/>
              <w:spacing w:before="47"/>
              <w:ind w:left="317" w:right="287"/>
              <w:rPr>
                <w:rFonts w:ascii="宋体" w:eastAsia="宋体" w:hint="eastAsia"/>
                <w:sz w:val="21"/>
              </w:rPr>
            </w:pPr>
            <w:r>
              <w:rPr>
                <w:rFonts w:ascii="宋体" w:eastAsia="宋体" w:hint="eastAsia"/>
                <w:sz w:val="21"/>
              </w:rPr>
              <w:t>危化品包装</w:t>
            </w:r>
          </w:p>
        </w:tc>
        <w:tc>
          <w:tcPr>
            <w:tcW w:w="650" w:type="dxa"/>
            <w:tcBorders>
              <w:top w:val="single" w:sz="4" w:space="0" w:color="000000"/>
              <w:left w:val="single" w:sz="4" w:space="0" w:color="000000"/>
              <w:bottom w:val="single" w:sz="4" w:space="0" w:color="000000"/>
              <w:right w:val="single" w:sz="4" w:space="0" w:color="000000"/>
            </w:tcBorders>
          </w:tcPr>
          <w:p>
            <w:pPr>
              <w:pStyle w:val="TableParagraph"/>
              <w:spacing w:before="47"/>
              <w:ind w:left="103" w:right="69"/>
              <w:rPr>
                <w:rFonts w:ascii="宋体" w:eastAsia="宋体" w:hint="eastAsia"/>
                <w:sz w:val="21"/>
              </w:rPr>
            </w:pPr>
            <w:r>
              <w:rPr>
                <w:rFonts w:ascii="宋体" w:eastAsia="宋体" w:hint="eastAsia"/>
                <w:sz w:val="21"/>
              </w:rPr>
              <w:t>固态</w:t>
            </w:r>
          </w:p>
        </w:tc>
        <w:tc>
          <w:tcPr>
            <w:tcW w:w="2237" w:type="dxa"/>
            <w:tcBorders>
              <w:top w:val="single" w:sz="4" w:space="0" w:color="000000"/>
              <w:left w:val="single" w:sz="4" w:space="0" w:color="000000"/>
              <w:bottom w:val="single" w:sz="4" w:space="0" w:color="000000"/>
              <w:right w:val="single" w:sz="4" w:space="0" w:color="000000"/>
            </w:tcBorders>
          </w:tcPr>
          <w:p>
            <w:pPr>
              <w:pStyle w:val="TableParagraph"/>
              <w:spacing w:before="47"/>
              <w:ind w:left="266" w:right="234"/>
              <w:rPr>
                <w:rFonts w:ascii="宋体" w:eastAsia="宋体" w:hint="eastAsia"/>
                <w:sz w:val="21"/>
              </w:rPr>
            </w:pPr>
            <w:r>
              <w:rPr>
                <w:rFonts w:ascii="宋体" w:eastAsia="宋体" w:hint="eastAsia"/>
                <w:sz w:val="21"/>
              </w:rPr>
              <w:t>塑料、金属等</w:t>
            </w:r>
          </w:p>
        </w:tc>
        <w:tc>
          <w:tcPr>
            <w:tcW w:w="2189" w:type="dxa"/>
            <w:tcBorders>
              <w:top w:val="single" w:sz="4" w:space="0" w:color="000000"/>
              <w:left w:val="single" w:sz="4" w:space="0" w:color="000000"/>
              <w:bottom w:val="single" w:sz="4" w:space="0" w:color="000000"/>
            </w:tcBorders>
          </w:tcPr>
          <w:p>
            <w:pPr>
              <w:pStyle w:val="TableParagraph"/>
              <w:ind w:left="366" w:right="333"/>
              <w:rPr>
                <w:sz w:val="21"/>
              </w:rPr>
            </w:pPr>
            <w:r>
              <w:rPr>
                <w:sz w:val="21"/>
              </w:rPr>
              <w:t>0.6</w:t>
            </w:r>
          </w:p>
        </w:tc>
      </w:tr>
      <w:tr>
        <w:trPr>
          <w:trHeight w:val="359" w:hRule="atLeast"/>
        </w:trPr>
        <w:tc>
          <w:tcPr>
            <w:tcW w:w="2249" w:type="dxa"/>
            <w:tcBorders>
              <w:top w:val="single" w:sz="4" w:space="0" w:color="000000"/>
              <w:bottom w:val="single" w:sz="4" w:space="0" w:color="000000"/>
              <w:right w:val="single" w:sz="4" w:space="0" w:color="000000"/>
            </w:tcBorders>
          </w:tcPr>
          <w:p>
            <w:pPr>
              <w:pStyle w:val="TableParagraph"/>
              <w:spacing w:before="46"/>
              <w:ind w:left="372" w:right="344"/>
              <w:rPr>
                <w:rFonts w:ascii="宋体" w:eastAsia="宋体" w:hint="eastAsia"/>
                <w:sz w:val="21"/>
              </w:rPr>
            </w:pPr>
            <w:r>
              <w:rPr>
                <w:rFonts w:ascii="宋体" w:eastAsia="宋体" w:hint="eastAsia"/>
                <w:sz w:val="21"/>
              </w:rPr>
              <w:t>废矿物油</w:t>
            </w:r>
          </w:p>
        </w:tc>
        <w:tc>
          <w:tcPr>
            <w:tcW w:w="1917" w:type="dxa"/>
            <w:tcBorders>
              <w:top w:val="single" w:sz="4" w:space="0" w:color="000000"/>
              <w:left w:val="single" w:sz="4" w:space="0" w:color="000000"/>
              <w:bottom w:val="single" w:sz="4" w:space="0" w:color="000000"/>
              <w:right w:val="single" w:sz="4" w:space="0" w:color="000000"/>
            </w:tcBorders>
          </w:tcPr>
          <w:p>
            <w:pPr>
              <w:pStyle w:val="TableParagraph"/>
              <w:spacing w:before="46"/>
              <w:ind w:left="318" w:right="286"/>
              <w:rPr>
                <w:rFonts w:ascii="宋体" w:eastAsia="宋体" w:hint="eastAsia"/>
                <w:sz w:val="21"/>
              </w:rPr>
            </w:pPr>
            <w:r>
              <w:rPr>
                <w:rFonts w:ascii="宋体" w:eastAsia="宋体" w:hint="eastAsia"/>
                <w:sz w:val="21"/>
              </w:rPr>
              <w:t>无害化处理机</w:t>
            </w:r>
          </w:p>
        </w:tc>
        <w:tc>
          <w:tcPr>
            <w:tcW w:w="650"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69"/>
              <w:rPr>
                <w:rFonts w:ascii="宋体" w:eastAsia="宋体" w:hint="eastAsia"/>
                <w:sz w:val="21"/>
              </w:rPr>
            </w:pPr>
            <w:r>
              <w:rPr>
                <w:rFonts w:ascii="宋体" w:eastAsia="宋体" w:hint="eastAsia"/>
                <w:sz w:val="21"/>
              </w:rPr>
              <w:t>液态</w:t>
            </w:r>
          </w:p>
        </w:tc>
        <w:tc>
          <w:tcPr>
            <w:tcW w:w="2237" w:type="dxa"/>
            <w:tcBorders>
              <w:top w:val="single" w:sz="4" w:space="0" w:color="000000"/>
              <w:left w:val="single" w:sz="4" w:space="0" w:color="000000"/>
              <w:bottom w:val="single" w:sz="4" w:space="0" w:color="000000"/>
              <w:right w:val="single" w:sz="4" w:space="0" w:color="000000"/>
            </w:tcBorders>
          </w:tcPr>
          <w:p>
            <w:pPr>
              <w:pStyle w:val="TableParagraph"/>
              <w:spacing w:before="46"/>
              <w:ind w:left="266" w:right="232"/>
              <w:rPr>
                <w:rFonts w:ascii="宋体" w:eastAsia="宋体" w:hint="eastAsia"/>
                <w:sz w:val="21"/>
              </w:rPr>
            </w:pPr>
            <w:r>
              <w:rPr>
                <w:rFonts w:ascii="宋体" w:eastAsia="宋体" w:hint="eastAsia"/>
                <w:sz w:val="21"/>
              </w:rPr>
              <w:t>废导热油</w:t>
            </w:r>
          </w:p>
        </w:tc>
        <w:tc>
          <w:tcPr>
            <w:tcW w:w="2189" w:type="dxa"/>
            <w:tcBorders>
              <w:top w:val="single" w:sz="4" w:space="0" w:color="000000"/>
              <w:left w:val="single" w:sz="4" w:space="0" w:color="000000"/>
              <w:bottom w:val="single" w:sz="4" w:space="0" w:color="000000"/>
            </w:tcBorders>
          </w:tcPr>
          <w:p>
            <w:pPr>
              <w:pStyle w:val="TableParagraph"/>
              <w:ind w:left="366" w:right="333"/>
              <w:rPr>
                <w:sz w:val="21"/>
              </w:rPr>
            </w:pPr>
            <w:r>
              <w:rPr>
                <w:sz w:val="21"/>
              </w:rPr>
              <w:t>0.1</w:t>
            </w:r>
          </w:p>
        </w:tc>
      </w:tr>
      <w:tr>
        <w:trPr>
          <w:trHeight w:val="357" w:hRule="atLeast"/>
        </w:trPr>
        <w:tc>
          <w:tcPr>
            <w:tcW w:w="2249" w:type="dxa"/>
            <w:tcBorders>
              <w:top w:val="single" w:sz="4" w:space="0" w:color="000000"/>
              <w:bottom w:val="single" w:sz="4" w:space="0" w:color="000000"/>
              <w:right w:val="single" w:sz="4" w:space="0" w:color="000000"/>
            </w:tcBorders>
          </w:tcPr>
          <w:p>
            <w:pPr>
              <w:pStyle w:val="TableParagraph"/>
              <w:spacing w:before="46"/>
              <w:ind w:left="372" w:right="344"/>
              <w:rPr>
                <w:rFonts w:ascii="宋体" w:eastAsia="宋体" w:hint="eastAsia"/>
                <w:sz w:val="21"/>
              </w:rPr>
            </w:pPr>
            <w:r>
              <w:rPr>
                <w:rFonts w:ascii="宋体" w:eastAsia="宋体" w:hint="eastAsia"/>
                <w:sz w:val="21"/>
              </w:rPr>
              <w:t>医疗废物</w:t>
            </w:r>
          </w:p>
        </w:tc>
        <w:tc>
          <w:tcPr>
            <w:tcW w:w="1917" w:type="dxa"/>
            <w:tcBorders>
              <w:top w:val="single" w:sz="4" w:space="0" w:color="000000"/>
              <w:left w:val="single" w:sz="4" w:space="0" w:color="000000"/>
              <w:bottom w:val="single" w:sz="4" w:space="0" w:color="000000"/>
              <w:right w:val="single" w:sz="4" w:space="0" w:color="000000"/>
            </w:tcBorders>
          </w:tcPr>
          <w:p>
            <w:pPr>
              <w:pStyle w:val="TableParagraph"/>
              <w:spacing w:before="46"/>
              <w:ind w:left="317" w:right="287"/>
              <w:rPr>
                <w:rFonts w:ascii="宋体" w:eastAsia="宋体" w:hint="eastAsia"/>
                <w:sz w:val="21"/>
              </w:rPr>
            </w:pPr>
            <w:r>
              <w:rPr>
                <w:rFonts w:ascii="宋体" w:eastAsia="宋体" w:hint="eastAsia"/>
                <w:sz w:val="21"/>
              </w:rPr>
              <w:t>猪卫生防疫</w:t>
            </w:r>
          </w:p>
        </w:tc>
        <w:tc>
          <w:tcPr>
            <w:tcW w:w="650"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69"/>
              <w:rPr>
                <w:rFonts w:ascii="宋体" w:eastAsia="宋体" w:hint="eastAsia"/>
                <w:sz w:val="21"/>
              </w:rPr>
            </w:pPr>
            <w:r>
              <w:rPr>
                <w:rFonts w:ascii="宋体" w:eastAsia="宋体" w:hint="eastAsia"/>
                <w:sz w:val="21"/>
              </w:rPr>
              <w:t>固态</w:t>
            </w:r>
          </w:p>
        </w:tc>
        <w:tc>
          <w:tcPr>
            <w:tcW w:w="2237" w:type="dxa"/>
            <w:tcBorders>
              <w:top w:val="single" w:sz="4" w:space="0" w:color="000000"/>
              <w:left w:val="single" w:sz="4" w:space="0" w:color="000000"/>
              <w:bottom w:val="single" w:sz="4" w:space="0" w:color="000000"/>
              <w:right w:val="single" w:sz="4" w:space="0" w:color="000000"/>
            </w:tcBorders>
          </w:tcPr>
          <w:p>
            <w:pPr>
              <w:pStyle w:val="TableParagraph"/>
              <w:spacing w:before="46"/>
              <w:ind w:left="266" w:right="234"/>
              <w:rPr>
                <w:rFonts w:ascii="宋体" w:eastAsia="宋体" w:hint="eastAsia"/>
                <w:sz w:val="21"/>
              </w:rPr>
            </w:pPr>
            <w:r>
              <w:rPr>
                <w:rFonts w:ascii="宋体" w:eastAsia="宋体" w:hint="eastAsia"/>
                <w:sz w:val="21"/>
              </w:rPr>
              <w:t>沾染药物的物品</w:t>
            </w:r>
          </w:p>
        </w:tc>
        <w:tc>
          <w:tcPr>
            <w:tcW w:w="2189" w:type="dxa"/>
            <w:tcBorders>
              <w:top w:val="single" w:sz="4" w:space="0" w:color="000000"/>
              <w:left w:val="single" w:sz="4" w:space="0" w:color="000000"/>
              <w:bottom w:val="single" w:sz="4" w:space="0" w:color="000000"/>
            </w:tcBorders>
          </w:tcPr>
          <w:p>
            <w:pPr>
              <w:pStyle w:val="TableParagraph"/>
              <w:ind w:left="366" w:right="333"/>
              <w:rPr>
                <w:sz w:val="21"/>
              </w:rPr>
            </w:pPr>
            <w:r>
              <w:rPr>
                <w:sz w:val="21"/>
              </w:rPr>
              <w:t>4.3</w:t>
            </w:r>
          </w:p>
        </w:tc>
      </w:tr>
      <w:tr>
        <w:trPr>
          <w:trHeight w:val="359" w:hRule="atLeast"/>
        </w:trPr>
        <w:tc>
          <w:tcPr>
            <w:tcW w:w="2249" w:type="dxa"/>
            <w:tcBorders>
              <w:top w:val="single" w:sz="4" w:space="0" w:color="000000"/>
              <w:bottom w:val="single" w:sz="4" w:space="0" w:color="000000"/>
              <w:right w:val="single" w:sz="4" w:space="0" w:color="000000"/>
            </w:tcBorders>
          </w:tcPr>
          <w:p>
            <w:pPr>
              <w:pStyle w:val="TableParagraph"/>
              <w:spacing w:before="46"/>
              <w:ind w:left="372" w:right="344"/>
              <w:rPr>
                <w:rFonts w:ascii="宋体" w:eastAsia="宋体" w:hint="eastAsia"/>
                <w:sz w:val="21"/>
              </w:rPr>
            </w:pPr>
            <w:r>
              <w:rPr>
                <w:rFonts w:ascii="宋体" w:eastAsia="宋体" w:hint="eastAsia"/>
                <w:sz w:val="21"/>
              </w:rPr>
              <w:t>废脱硫剂</w:t>
            </w:r>
          </w:p>
        </w:tc>
        <w:tc>
          <w:tcPr>
            <w:tcW w:w="1917" w:type="dxa"/>
            <w:tcBorders>
              <w:top w:val="single" w:sz="4" w:space="0" w:color="000000"/>
              <w:left w:val="single" w:sz="4" w:space="0" w:color="000000"/>
              <w:bottom w:val="single" w:sz="4" w:space="0" w:color="000000"/>
              <w:right w:val="single" w:sz="4" w:space="0" w:color="000000"/>
            </w:tcBorders>
          </w:tcPr>
          <w:p>
            <w:pPr>
              <w:pStyle w:val="TableParagraph"/>
              <w:spacing w:before="46"/>
              <w:ind w:left="317" w:right="287"/>
              <w:rPr>
                <w:rFonts w:ascii="宋体" w:eastAsia="宋体" w:hint="eastAsia"/>
                <w:sz w:val="21"/>
              </w:rPr>
            </w:pPr>
            <w:r>
              <w:rPr>
                <w:rFonts w:ascii="宋体" w:eastAsia="宋体" w:hint="eastAsia"/>
                <w:sz w:val="21"/>
              </w:rPr>
              <w:t>沼气脱硫</w:t>
            </w:r>
          </w:p>
        </w:tc>
        <w:tc>
          <w:tcPr>
            <w:tcW w:w="650" w:type="dxa"/>
            <w:tcBorders>
              <w:top w:val="single" w:sz="4" w:space="0" w:color="000000"/>
              <w:left w:val="single" w:sz="4" w:space="0" w:color="000000"/>
              <w:bottom w:val="single" w:sz="4" w:space="0" w:color="000000"/>
              <w:right w:val="single" w:sz="4" w:space="0" w:color="000000"/>
            </w:tcBorders>
          </w:tcPr>
          <w:p>
            <w:pPr>
              <w:pStyle w:val="TableParagraph"/>
              <w:spacing w:before="46"/>
              <w:ind w:left="103" w:right="69"/>
              <w:rPr>
                <w:rFonts w:ascii="宋体" w:eastAsia="宋体" w:hint="eastAsia"/>
                <w:sz w:val="21"/>
              </w:rPr>
            </w:pPr>
            <w:r>
              <w:rPr>
                <w:rFonts w:ascii="宋体" w:eastAsia="宋体" w:hint="eastAsia"/>
                <w:sz w:val="21"/>
              </w:rPr>
              <w:t>固态</w:t>
            </w:r>
          </w:p>
        </w:tc>
        <w:tc>
          <w:tcPr>
            <w:tcW w:w="2237" w:type="dxa"/>
            <w:tcBorders>
              <w:top w:val="single" w:sz="4" w:space="0" w:color="000000"/>
              <w:left w:val="single" w:sz="4" w:space="0" w:color="000000"/>
              <w:bottom w:val="single" w:sz="4" w:space="0" w:color="000000"/>
              <w:right w:val="single" w:sz="4" w:space="0" w:color="000000"/>
            </w:tcBorders>
          </w:tcPr>
          <w:p>
            <w:pPr>
              <w:pStyle w:val="TableParagraph"/>
              <w:spacing w:before="46"/>
              <w:ind w:left="266" w:right="234"/>
              <w:rPr>
                <w:rFonts w:ascii="宋体" w:eastAsia="宋体" w:hint="eastAsia"/>
                <w:sz w:val="21"/>
              </w:rPr>
            </w:pPr>
            <w:r>
              <w:rPr>
                <w:rFonts w:ascii="宋体" w:eastAsia="宋体" w:hint="eastAsia"/>
                <w:sz w:val="21"/>
              </w:rPr>
              <w:t>硫磺</w:t>
            </w:r>
          </w:p>
        </w:tc>
        <w:tc>
          <w:tcPr>
            <w:tcW w:w="2189" w:type="dxa"/>
            <w:tcBorders>
              <w:top w:val="single" w:sz="4" w:space="0" w:color="000000"/>
              <w:left w:val="single" w:sz="4" w:space="0" w:color="000000"/>
              <w:bottom w:val="single" w:sz="4" w:space="0" w:color="000000"/>
            </w:tcBorders>
          </w:tcPr>
          <w:p>
            <w:pPr>
              <w:pStyle w:val="TableParagraph"/>
              <w:ind w:left="366" w:right="333"/>
              <w:rPr>
                <w:sz w:val="21"/>
              </w:rPr>
            </w:pPr>
            <w:r>
              <w:rPr>
                <w:sz w:val="21"/>
              </w:rPr>
              <w:t>8.0</w:t>
            </w:r>
          </w:p>
        </w:tc>
      </w:tr>
      <w:tr>
        <w:trPr>
          <w:trHeight w:val="356" w:hRule="atLeast"/>
        </w:trPr>
        <w:tc>
          <w:tcPr>
            <w:tcW w:w="2249" w:type="dxa"/>
            <w:tcBorders>
              <w:top w:val="single" w:sz="4" w:space="0" w:color="000000"/>
              <w:right w:val="single" w:sz="4" w:space="0" w:color="000000"/>
            </w:tcBorders>
          </w:tcPr>
          <w:p>
            <w:pPr>
              <w:pStyle w:val="TableParagraph"/>
              <w:spacing w:before="46"/>
              <w:ind w:left="372" w:right="344"/>
              <w:rPr>
                <w:rFonts w:ascii="宋体" w:eastAsia="宋体" w:hint="eastAsia"/>
                <w:sz w:val="21"/>
              </w:rPr>
            </w:pPr>
            <w:r>
              <w:rPr>
                <w:rFonts w:ascii="宋体" w:eastAsia="宋体" w:hint="eastAsia"/>
                <w:sz w:val="21"/>
              </w:rPr>
              <w:t>生活垃圾</w:t>
            </w:r>
          </w:p>
        </w:tc>
        <w:tc>
          <w:tcPr>
            <w:tcW w:w="1917" w:type="dxa"/>
            <w:tcBorders>
              <w:top w:val="single" w:sz="4" w:space="0" w:color="000000"/>
              <w:left w:val="single" w:sz="4" w:space="0" w:color="000000"/>
              <w:right w:val="single" w:sz="4" w:space="0" w:color="000000"/>
            </w:tcBorders>
          </w:tcPr>
          <w:p>
            <w:pPr>
              <w:pStyle w:val="TableParagraph"/>
              <w:spacing w:before="46"/>
              <w:ind w:left="317" w:right="287"/>
              <w:rPr>
                <w:rFonts w:ascii="宋体" w:eastAsia="宋体" w:hint="eastAsia"/>
                <w:sz w:val="21"/>
              </w:rPr>
            </w:pPr>
            <w:r>
              <w:rPr>
                <w:rFonts w:ascii="宋体" w:eastAsia="宋体" w:hint="eastAsia"/>
                <w:sz w:val="21"/>
              </w:rPr>
              <w:t>职工生活</w:t>
            </w:r>
          </w:p>
        </w:tc>
        <w:tc>
          <w:tcPr>
            <w:tcW w:w="650" w:type="dxa"/>
            <w:tcBorders>
              <w:top w:val="single" w:sz="4" w:space="0" w:color="000000"/>
              <w:left w:val="single" w:sz="4" w:space="0" w:color="000000"/>
              <w:right w:val="single" w:sz="4" w:space="0" w:color="000000"/>
            </w:tcBorders>
          </w:tcPr>
          <w:p>
            <w:pPr>
              <w:pStyle w:val="TableParagraph"/>
              <w:spacing w:before="46"/>
              <w:ind w:left="103" w:right="69"/>
              <w:rPr>
                <w:rFonts w:ascii="宋体" w:eastAsia="宋体" w:hint="eastAsia"/>
                <w:sz w:val="21"/>
              </w:rPr>
            </w:pPr>
            <w:r>
              <w:rPr>
                <w:rFonts w:ascii="宋体" w:eastAsia="宋体" w:hint="eastAsia"/>
                <w:sz w:val="21"/>
              </w:rPr>
              <w:t>固态</w:t>
            </w:r>
          </w:p>
        </w:tc>
        <w:tc>
          <w:tcPr>
            <w:tcW w:w="2237" w:type="dxa"/>
            <w:tcBorders>
              <w:top w:val="single" w:sz="4" w:space="0" w:color="000000"/>
              <w:left w:val="single" w:sz="4" w:space="0" w:color="000000"/>
              <w:right w:val="single" w:sz="4" w:space="0" w:color="000000"/>
            </w:tcBorders>
          </w:tcPr>
          <w:p>
            <w:pPr>
              <w:pStyle w:val="TableParagraph"/>
              <w:spacing w:before="46"/>
              <w:ind w:left="266" w:right="234"/>
              <w:rPr>
                <w:rFonts w:ascii="宋体" w:eastAsia="宋体" w:hint="eastAsia"/>
                <w:sz w:val="21"/>
              </w:rPr>
            </w:pPr>
            <w:r>
              <w:rPr>
                <w:rFonts w:ascii="宋体" w:eastAsia="宋体" w:hint="eastAsia"/>
                <w:sz w:val="21"/>
              </w:rPr>
              <w:t>纸、厨余物等</w:t>
            </w:r>
          </w:p>
        </w:tc>
        <w:tc>
          <w:tcPr>
            <w:tcW w:w="2189" w:type="dxa"/>
            <w:tcBorders>
              <w:top w:val="single" w:sz="4" w:space="0" w:color="000000"/>
              <w:left w:val="single" w:sz="4" w:space="0" w:color="000000"/>
            </w:tcBorders>
          </w:tcPr>
          <w:p>
            <w:pPr>
              <w:pStyle w:val="TableParagraph"/>
              <w:ind w:left="366" w:right="333"/>
              <w:rPr>
                <w:sz w:val="21"/>
              </w:rPr>
            </w:pPr>
            <w:r>
              <w:rPr>
                <w:sz w:val="21"/>
              </w:rPr>
              <w:t>16.4</w:t>
            </w:r>
          </w:p>
        </w:tc>
      </w:tr>
    </w:tbl>
    <w:p>
      <w:pPr>
        <w:spacing w:before="84"/>
        <w:ind w:left="719" w:right="0" w:firstLine="0"/>
        <w:jc w:val="left"/>
        <w:rPr>
          <w:b/>
          <w:sz w:val="24"/>
        </w:rPr>
      </w:pPr>
      <w:r>
        <w:rPr>
          <w:rFonts w:ascii="Times New Roman" w:eastAsia="Times New Roman"/>
          <w:b/>
          <w:sz w:val="24"/>
        </w:rPr>
        <w:t>2</w:t>
      </w:r>
      <w:r>
        <w:rPr>
          <w:b/>
          <w:sz w:val="24"/>
        </w:rPr>
        <w:t>、建设项目固废属性判定</w:t>
      </w:r>
    </w:p>
    <w:p>
      <w:pPr>
        <w:pStyle w:val="BodyText"/>
        <w:spacing w:line="364" w:lineRule="auto" w:before="161"/>
        <w:ind w:right="249" w:firstLine="480"/>
      </w:pPr>
      <w:r>
        <w:rPr/>
        <w:t>根据《固体废物鉴别标准 通则》（</w:t>
      </w:r>
      <w:r>
        <w:rPr>
          <w:rFonts w:ascii="Times New Roman" w:eastAsia="Times New Roman"/>
          <w:position w:val="1"/>
        </w:rPr>
        <w:t>GB 34330-2017</w:t>
      </w:r>
      <w:r>
        <w:rPr/>
        <w:t>）判断每种废物是否属于固体废物，具体见表 </w:t>
      </w:r>
      <w:r>
        <w:rPr>
          <w:rFonts w:ascii="Times New Roman" w:eastAsia="Times New Roman"/>
          <w:position w:val="1"/>
        </w:rPr>
        <w:t>3.3-15</w:t>
      </w:r>
      <w:r>
        <w:rPr/>
        <w:t>。</w:t>
      </w:r>
    </w:p>
    <w:p>
      <w:pPr>
        <w:spacing w:after="0" w:line="364" w:lineRule="auto"/>
        <w:sectPr>
          <w:pgSz w:w="11910" w:h="16840"/>
          <w:pgMar w:header="874" w:footer="1004" w:top="1400" w:bottom="1200" w:left="1040" w:right="1160"/>
        </w:sectPr>
      </w:pPr>
    </w:p>
    <w:p>
      <w:pPr>
        <w:pStyle w:val="Heading3"/>
        <w:spacing w:before="105"/>
        <w:ind w:left="221" w:right="236"/>
        <w:jc w:val="center"/>
      </w:pPr>
      <w:r>
        <w:rPr/>
        <w:t>表 </w:t>
      </w:r>
      <w:r>
        <w:rPr>
          <w:rFonts w:ascii="Times New Roman" w:eastAsia="Times New Roman"/>
        </w:rPr>
        <w:t>3.3-15  </w:t>
      </w:r>
      <w:r>
        <w:rPr/>
        <w:t>副产物属性判定表</w:t>
      </w:r>
    </w:p>
    <w:p>
      <w:pPr>
        <w:pStyle w:val="BodyText"/>
        <w:spacing w:before="2"/>
        <w:ind w:left="0"/>
        <w:rPr>
          <w:b/>
          <w:sz w:val="6"/>
        </w:rPr>
      </w:pPr>
    </w:p>
    <w:tbl>
      <w:tblPr>
        <w:tblW w:w="0" w:type="auto"/>
        <w:jc w:val="left"/>
        <w:tblInd w:w="2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3"/>
        <w:gridCol w:w="691"/>
        <w:gridCol w:w="2379"/>
        <w:gridCol w:w="2389"/>
        <w:gridCol w:w="1390"/>
      </w:tblGrid>
      <w:tr>
        <w:trPr>
          <w:trHeight w:val="359" w:hRule="atLeast"/>
        </w:trPr>
        <w:tc>
          <w:tcPr>
            <w:tcW w:w="2393" w:type="dxa"/>
            <w:tcBorders>
              <w:bottom w:val="single" w:sz="4" w:space="0" w:color="000000"/>
              <w:right w:val="single" w:sz="4" w:space="0" w:color="000000"/>
            </w:tcBorders>
          </w:tcPr>
          <w:p>
            <w:pPr>
              <w:pStyle w:val="TableParagraph"/>
              <w:spacing w:before="46"/>
              <w:ind w:left="446" w:right="416"/>
              <w:rPr>
                <w:rFonts w:ascii="宋体" w:eastAsia="宋体" w:hint="eastAsia"/>
                <w:b/>
                <w:sz w:val="21"/>
              </w:rPr>
            </w:pPr>
            <w:r>
              <w:rPr>
                <w:rFonts w:ascii="宋体" w:eastAsia="宋体" w:hint="eastAsia"/>
                <w:b/>
                <w:sz w:val="21"/>
              </w:rPr>
              <w:t>固废种类</w:t>
            </w:r>
          </w:p>
        </w:tc>
        <w:tc>
          <w:tcPr>
            <w:tcW w:w="691" w:type="dxa"/>
            <w:tcBorders>
              <w:left w:val="single" w:sz="4" w:space="0" w:color="000000"/>
              <w:bottom w:val="single" w:sz="4" w:space="0" w:color="000000"/>
              <w:right w:val="single" w:sz="4" w:space="0" w:color="000000"/>
            </w:tcBorders>
          </w:tcPr>
          <w:p>
            <w:pPr>
              <w:pStyle w:val="TableParagraph"/>
              <w:spacing w:before="46"/>
              <w:ind w:left="124" w:right="95"/>
              <w:rPr>
                <w:rFonts w:ascii="宋体" w:eastAsia="宋体" w:hint="eastAsia"/>
                <w:b/>
                <w:sz w:val="21"/>
              </w:rPr>
            </w:pPr>
            <w:r>
              <w:rPr>
                <w:rFonts w:ascii="宋体" w:eastAsia="宋体" w:hint="eastAsia"/>
                <w:b/>
                <w:sz w:val="21"/>
              </w:rPr>
              <w:t>形态</w:t>
            </w:r>
          </w:p>
        </w:tc>
        <w:tc>
          <w:tcPr>
            <w:tcW w:w="2379" w:type="dxa"/>
            <w:tcBorders>
              <w:left w:val="single" w:sz="4" w:space="0" w:color="000000"/>
              <w:bottom w:val="single" w:sz="4" w:space="0" w:color="000000"/>
              <w:right w:val="single" w:sz="4" w:space="0" w:color="000000"/>
            </w:tcBorders>
          </w:tcPr>
          <w:p>
            <w:pPr>
              <w:pStyle w:val="TableParagraph"/>
              <w:spacing w:before="46"/>
              <w:ind w:left="445" w:right="414"/>
              <w:rPr>
                <w:rFonts w:ascii="宋体" w:eastAsia="宋体" w:hint="eastAsia"/>
                <w:b/>
                <w:sz w:val="21"/>
              </w:rPr>
            </w:pPr>
            <w:r>
              <w:rPr>
                <w:rFonts w:ascii="宋体" w:eastAsia="宋体" w:hint="eastAsia"/>
                <w:b/>
                <w:sz w:val="21"/>
              </w:rPr>
              <w:t>主要成分</w:t>
            </w:r>
          </w:p>
        </w:tc>
        <w:tc>
          <w:tcPr>
            <w:tcW w:w="2389" w:type="dxa"/>
            <w:tcBorders>
              <w:left w:val="single" w:sz="4" w:space="0" w:color="000000"/>
              <w:bottom w:val="single" w:sz="4" w:space="0" w:color="000000"/>
              <w:right w:val="single" w:sz="4" w:space="0" w:color="000000"/>
            </w:tcBorders>
          </w:tcPr>
          <w:p>
            <w:pPr>
              <w:pStyle w:val="TableParagraph"/>
              <w:spacing w:before="46"/>
              <w:ind w:left="446" w:right="416"/>
              <w:rPr>
                <w:rFonts w:ascii="宋体" w:eastAsia="宋体" w:hint="eastAsia"/>
                <w:b/>
                <w:sz w:val="21"/>
              </w:rPr>
            </w:pPr>
            <w:r>
              <w:rPr>
                <w:rFonts w:ascii="宋体" w:eastAsia="宋体" w:hint="eastAsia"/>
                <w:b/>
                <w:sz w:val="21"/>
              </w:rPr>
              <w:t>是否属固体废物</w:t>
            </w:r>
          </w:p>
        </w:tc>
        <w:tc>
          <w:tcPr>
            <w:tcW w:w="1390" w:type="dxa"/>
            <w:tcBorders>
              <w:left w:val="single" w:sz="4" w:space="0" w:color="000000"/>
              <w:bottom w:val="single" w:sz="4" w:space="0" w:color="000000"/>
            </w:tcBorders>
          </w:tcPr>
          <w:p>
            <w:pPr>
              <w:pStyle w:val="TableParagraph"/>
              <w:spacing w:before="46"/>
              <w:ind w:left="151" w:right="125"/>
              <w:rPr>
                <w:rFonts w:ascii="宋体" w:eastAsia="宋体" w:hint="eastAsia"/>
                <w:b/>
                <w:sz w:val="21"/>
              </w:rPr>
            </w:pPr>
            <w:r>
              <w:rPr>
                <w:rFonts w:ascii="宋体" w:eastAsia="宋体" w:hint="eastAsia"/>
                <w:b/>
                <w:sz w:val="21"/>
              </w:rPr>
              <w:t>判定依据</w:t>
            </w:r>
          </w:p>
        </w:tc>
      </w:tr>
      <w:tr>
        <w:trPr>
          <w:trHeight w:val="359" w:hRule="atLeast"/>
        </w:trPr>
        <w:tc>
          <w:tcPr>
            <w:tcW w:w="2393" w:type="dxa"/>
            <w:tcBorders>
              <w:top w:val="single" w:sz="4" w:space="0" w:color="000000"/>
              <w:bottom w:val="single" w:sz="4" w:space="0" w:color="000000"/>
              <w:right w:val="single" w:sz="4" w:space="0" w:color="000000"/>
            </w:tcBorders>
          </w:tcPr>
          <w:p>
            <w:pPr>
              <w:pStyle w:val="TableParagraph"/>
              <w:spacing w:before="46"/>
              <w:ind w:left="444" w:right="416"/>
              <w:rPr>
                <w:rFonts w:ascii="宋体" w:eastAsia="宋体" w:hint="eastAsia"/>
                <w:sz w:val="21"/>
              </w:rPr>
            </w:pPr>
            <w:r>
              <w:rPr>
                <w:rFonts w:ascii="宋体" w:eastAsia="宋体" w:hint="eastAsia"/>
                <w:sz w:val="21"/>
              </w:rPr>
              <w:t>发酵产物</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6"/>
              <w:ind w:left="124" w:right="95"/>
              <w:rPr>
                <w:rFonts w:ascii="宋体" w:eastAsia="宋体" w:hint="eastAsia"/>
                <w:sz w:val="21"/>
              </w:rPr>
            </w:pPr>
            <w:r>
              <w:rPr>
                <w:rFonts w:ascii="宋体" w:eastAsia="宋体" w:hint="eastAsia"/>
                <w:sz w:val="21"/>
              </w:rPr>
              <w:t>固态</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before="46"/>
              <w:ind w:left="445" w:right="414"/>
              <w:rPr>
                <w:rFonts w:ascii="宋体" w:eastAsia="宋体" w:hint="eastAsia"/>
                <w:sz w:val="21"/>
              </w:rPr>
            </w:pPr>
            <w:r>
              <w:rPr>
                <w:rFonts w:ascii="宋体" w:eastAsia="宋体" w:hint="eastAsia"/>
                <w:sz w:val="21"/>
              </w:rPr>
              <w:t>粪便、尿液等</w:t>
            </w:r>
          </w:p>
        </w:tc>
        <w:tc>
          <w:tcPr>
            <w:tcW w:w="238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1390" w:type="dxa"/>
            <w:tcBorders>
              <w:top w:val="single" w:sz="4" w:space="0" w:color="000000"/>
              <w:left w:val="single" w:sz="4" w:space="0" w:color="000000"/>
              <w:bottom w:val="single" w:sz="4" w:space="0" w:color="000000"/>
            </w:tcBorders>
          </w:tcPr>
          <w:p>
            <w:pPr>
              <w:pStyle w:val="TableParagraph"/>
              <w:ind w:left="149" w:right="125"/>
              <w:rPr>
                <w:sz w:val="21"/>
              </w:rPr>
            </w:pPr>
            <w:r>
              <w:rPr>
                <w:sz w:val="21"/>
              </w:rPr>
              <w:t>4.1f</w:t>
            </w:r>
          </w:p>
        </w:tc>
      </w:tr>
      <w:tr>
        <w:trPr>
          <w:trHeight w:val="357" w:hRule="atLeast"/>
        </w:trPr>
        <w:tc>
          <w:tcPr>
            <w:tcW w:w="2393" w:type="dxa"/>
            <w:tcBorders>
              <w:top w:val="single" w:sz="4" w:space="0" w:color="000000"/>
              <w:bottom w:val="single" w:sz="4" w:space="0" w:color="000000"/>
              <w:right w:val="single" w:sz="4" w:space="0" w:color="000000"/>
            </w:tcBorders>
          </w:tcPr>
          <w:p>
            <w:pPr>
              <w:pStyle w:val="TableParagraph"/>
              <w:spacing w:before="46"/>
              <w:ind w:left="446" w:right="416"/>
              <w:rPr>
                <w:rFonts w:ascii="宋体" w:eastAsia="宋体" w:hint="eastAsia"/>
                <w:sz w:val="21"/>
              </w:rPr>
            </w:pPr>
            <w:r>
              <w:rPr>
                <w:rFonts w:ascii="宋体" w:eastAsia="宋体" w:hint="eastAsia"/>
                <w:sz w:val="21"/>
              </w:rPr>
              <w:t>一般废包装物</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6"/>
              <w:ind w:left="124" w:right="95"/>
              <w:rPr>
                <w:rFonts w:ascii="宋体" w:eastAsia="宋体" w:hint="eastAsia"/>
                <w:sz w:val="21"/>
              </w:rPr>
            </w:pPr>
            <w:r>
              <w:rPr>
                <w:rFonts w:ascii="宋体" w:eastAsia="宋体" w:hint="eastAsia"/>
                <w:sz w:val="21"/>
              </w:rPr>
              <w:t>固态</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before="46"/>
              <w:ind w:left="443" w:right="414"/>
              <w:rPr>
                <w:rFonts w:ascii="宋体" w:eastAsia="宋体" w:hint="eastAsia"/>
                <w:sz w:val="21"/>
              </w:rPr>
            </w:pPr>
            <w:r>
              <w:rPr>
                <w:rFonts w:ascii="宋体" w:eastAsia="宋体" w:hint="eastAsia"/>
                <w:sz w:val="21"/>
              </w:rPr>
              <w:t>塑料编织袋</w:t>
            </w:r>
          </w:p>
        </w:tc>
        <w:tc>
          <w:tcPr>
            <w:tcW w:w="238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1390" w:type="dxa"/>
            <w:tcBorders>
              <w:top w:val="single" w:sz="4" w:space="0" w:color="000000"/>
              <w:left w:val="single" w:sz="4" w:space="0" w:color="000000"/>
              <w:bottom w:val="single" w:sz="4" w:space="0" w:color="000000"/>
            </w:tcBorders>
          </w:tcPr>
          <w:p>
            <w:pPr>
              <w:pStyle w:val="TableParagraph"/>
              <w:ind w:left="151" w:right="125"/>
              <w:rPr>
                <w:sz w:val="21"/>
              </w:rPr>
            </w:pPr>
            <w:r>
              <w:rPr>
                <w:sz w:val="21"/>
              </w:rPr>
              <w:t>4.1h</w:t>
            </w:r>
          </w:p>
        </w:tc>
      </w:tr>
      <w:tr>
        <w:trPr>
          <w:trHeight w:val="359" w:hRule="atLeast"/>
        </w:trPr>
        <w:tc>
          <w:tcPr>
            <w:tcW w:w="2393" w:type="dxa"/>
            <w:tcBorders>
              <w:top w:val="single" w:sz="4" w:space="0" w:color="000000"/>
              <w:bottom w:val="single" w:sz="4" w:space="0" w:color="000000"/>
              <w:right w:val="single" w:sz="4" w:space="0" w:color="000000"/>
            </w:tcBorders>
          </w:tcPr>
          <w:p>
            <w:pPr>
              <w:pStyle w:val="TableParagraph"/>
              <w:spacing w:before="46"/>
              <w:ind w:left="446" w:right="416"/>
              <w:rPr>
                <w:rFonts w:ascii="宋体" w:eastAsia="宋体" w:hint="eastAsia"/>
                <w:sz w:val="21"/>
              </w:rPr>
            </w:pPr>
            <w:r>
              <w:rPr>
                <w:rFonts w:ascii="宋体" w:eastAsia="宋体" w:hint="eastAsia"/>
                <w:sz w:val="21"/>
              </w:rPr>
              <w:t>危化品废包装物</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6"/>
              <w:ind w:left="124" w:right="95"/>
              <w:rPr>
                <w:rFonts w:ascii="宋体" w:eastAsia="宋体" w:hint="eastAsia"/>
                <w:sz w:val="21"/>
              </w:rPr>
            </w:pPr>
            <w:r>
              <w:rPr>
                <w:rFonts w:ascii="宋体" w:eastAsia="宋体" w:hint="eastAsia"/>
                <w:sz w:val="21"/>
              </w:rPr>
              <w:t>固态</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before="46"/>
              <w:ind w:left="445" w:right="414"/>
              <w:rPr>
                <w:rFonts w:ascii="宋体" w:eastAsia="宋体" w:hint="eastAsia"/>
                <w:sz w:val="21"/>
              </w:rPr>
            </w:pPr>
            <w:r>
              <w:rPr>
                <w:rFonts w:ascii="宋体" w:eastAsia="宋体" w:hint="eastAsia"/>
                <w:sz w:val="21"/>
              </w:rPr>
              <w:t>塑料、金属等</w:t>
            </w:r>
          </w:p>
        </w:tc>
        <w:tc>
          <w:tcPr>
            <w:tcW w:w="238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1390" w:type="dxa"/>
            <w:tcBorders>
              <w:top w:val="single" w:sz="4" w:space="0" w:color="000000"/>
              <w:left w:val="single" w:sz="4" w:space="0" w:color="000000"/>
              <w:bottom w:val="single" w:sz="4" w:space="0" w:color="000000"/>
            </w:tcBorders>
          </w:tcPr>
          <w:p>
            <w:pPr>
              <w:pStyle w:val="TableParagraph"/>
              <w:ind w:left="151" w:right="125"/>
              <w:rPr>
                <w:sz w:val="21"/>
              </w:rPr>
            </w:pPr>
            <w:r>
              <w:rPr>
                <w:sz w:val="21"/>
              </w:rPr>
              <w:t>4.1h</w:t>
            </w:r>
          </w:p>
        </w:tc>
      </w:tr>
      <w:tr>
        <w:trPr>
          <w:trHeight w:val="359" w:hRule="atLeast"/>
        </w:trPr>
        <w:tc>
          <w:tcPr>
            <w:tcW w:w="2393" w:type="dxa"/>
            <w:tcBorders>
              <w:top w:val="single" w:sz="4" w:space="0" w:color="000000"/>
              <w:bottom w:val="single" w:sz="4" w:space="0" w:color="000000"/>
              <w:right w:val="single" w:sz="4" w:space="0" w:color="000000"/>
            </w:tcBorders>
          </w:tcPr>
          <w:p>
            <w:pPr>
              <w:pStyle w:val="TableParagraph"/>
              <w:spacing w:before="46"/>
              <w:ind w:left="444" w:right="416"/>
              <w:rPr>
                <w:rFonts w:ascii="宋体" w:eastAsia="宋体" w:hint="eastAsia"/>
                <w:sz w:val="21"/>
              </w:rPr>
            </w:pPr>
            <w:r>
              <w:rPr>
                <w:rFonts w:ascii="宋体" w:eastAsia="宋体" w:hint="eastAsia"/>
                <w:sz w:val="21"/>
              </w:rPr>
              <w:t>废矿物油</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6"/>
              <w:ind w:left="124" w:right="95"/>
              <w:rPr>
                <w:rFonts w:ascii="宋体" w:eastAsia="宋体" w:hint="eastAsia"/>
                <w:sz w:val="21"/>
              </w:rPr>
            </w:pPr>
            <w:r>
              <w:rPr>
                <w:rFonts w:ascii="宋体" w:eastAsia="宋体" w:hint="eastAsia"/>
                <w:sz w:val="21"/>
              </w:rPr>
              <w:t>液态</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before="46"/>
              <w:ind w:left="443" w:right="414"/>
              <w:rPr>
                <w:rFonts w:ascii="宋体" w:eastAsia="宋体" w:hint="eastAsia"/>
                <w:sz w:val="21"/>
              </w:rPr>
            </w:pPr>
            <w:r>
              <w:rPr>
                <w:rFonts w:ascii="宋体" w:eastAsia="宋体" w:hint="eastAsia"/>
                <w:sz w:val="21"/>
              </w:rPr>
              <w:t>废导热油</w:t>
            </w:r>
          </w:p>
        </w:tc>
        <w:tc>
          <w:tcPr>
            <w:tcW w:w="238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1390" w:type="dxa"/>
            <w:tcBorders>
              <w:top w:val="single" w:sz="4" w:space="0" w:color="000000"/>
              <w:left w:val="single" w:sz="4" w:space="0" w:color="000000"/>
              <w:bottom w:val="single" w:sz="4" w:space="0" w:color="000000"/>
            </w:tcBorders>
          </w:tcPr>
          <w:p>
            <w:pPr>
              <w:pStyle w:val="TableParagraph"/>
              <w:ind w:left="151" w:right="125"/>
              <w:rPr>
                <w:sz w:val="21"/>
              </w:rPr>
            </w:pPr>
            <w:r>
              <w:rPr>
                <w:sz w:val="21"/>
              </w:rPr>
              <w:t>4.1h</w:t>
            </w:r>
          </w:p>
        </w:tc>
      </w:tr>
      <w:tr>
        <w:trPr>
          <w:trHeight w:val="357" w:hRule="atLeast"/>
        </w:trPr>
        <w:tc>
          <w:tcPr>
            <w:tcW w:w="2393" w:type="dxa"/>
            <w:tcBorders>
              <w:top w:val="single" w:sz="4" w:space="0" w:color="000000"/>
              <w:bottom w:val="single" w:sz="4" w:space="0" w:color="000000"/>
              <w:right w:val="single" w:sz="4" w:space="0" w:color="000000"/>
            </w:tcBorders>
          </w:tcPr>
          <w:p>
            <w:pPr>
              <w:pStyle w:val="TableParagraph"/>
              <w:spacing w:before="46"/>
              <w:ind w:left="444" w:right="416"/>
              <w:rPr>
                <w:rFonts w:ascii="宋体" w:eastAsia="宋体" w:hint="eastAsia"/>
                <w:sz w:val="21"/>
              </w:rPr>
            </w:pPr>
            <w:r>
              <w:rPr>
                <w:rFonts w:ascii="宋体" w:eastAsia="宋体" w:hint="eastAsia"/>
                <w:sz w:val="21"/>
              </w:rPr>
              <w:t>医疗废物</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6"/>
              <w:ind w:left="124" w:right="95"/>
              <w:rPr>
                <w:rFonts w:ascii="宋体" w:eastAsia="宋体" w:hint="eastAsia"/>
                <w:sz w:val="21"/>
              </w:rPr>
            </w:pPr>
            <w:r>
              <w:rPr>
                <w:rFonts w:ascii="宋体" w:eastAsia="宋体" w:hint="eastAsia"/>
                <w:sz w:val="21"/>
              </w:rPr>
              <w:t>固态</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before="46"/>
              <w:ind w:left="445" w:right="414"/>
              <w:rPr>
                <w:rFonts w:ascii="宋体" w:eastAsia="宋体" w:hint="eastAsia"/>
                <w:sz w:val="21"/>
              </w:rPr>
            </w:pPr>
            <w:r>
              <w:rPr>
                <w:rFonts w:ascii="宋体" w:eastAsia="宋体" w:hint="eastAsia"/>
                <w:sz w:val="21"/>
              </w:rPr>
              <w:t>沾染药物的物品</w:t>
            </w:r>
          </w:p>
        </w:tc>
        <w:tc>
          <w:tcPr>
            <w:tcW w:w="238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1390" w:type="dxa"/>
            <w:tcBorders>
              <w:top w:val="single" w:sz="4" w:space="0" w:color="000000"/>
              <w:left w:val="single" w:sz="4" w:space="0" w:color="000000"/>
              <w:bottom w:val="single" w:sz="4" w:space="0" w:color="000000"/>
            </w:tcBorders>
          </w:tcPr>
          <w:p>
            <w:pPr>
              <w:pStyle w:val="TableParagraph"/>
              <w:ind w:left="153" w:right="125"/>
              <w:rPr>
                <w:sz w:val="21"/>
              </w:rPr>
            </w:pPr>
            <w:r>
              <w:rPr>
                <w:sz w:val="21"/>
              </w:rPr>
              <w:t>4.1c</w:t>
            </w:r>
          </w:p>
        </w:tc>
      </w:tr>
      <w:tr>
        <w:trPr>
          <w:trHeight w:val="359" w:hRule="atLeast"/>
        </w:trPr>
        <w:tc>
          <w:tcPr>
            <w:tcW w:w="2393" w:type="dxa"/>
            <w:tcBorders>
              <w:top w:val="single" w:sz="4" w:space="0" w:color="000000"/>
              <w:bottom w:val="single" w:sz="4" w:space="0" w:color="000000"/>
              <w:right w:val="single" w:sz="4" w:space="0" w:color="000000"/>
            </w:tcBorders>
          </w:tcPr>
          <w:p>
            <w:pPr>
              <w:pStyle w:val="TableParagraph"/>
              <w:spacing w:before="46"/>
              <w:ind w:left="444" w:right="416"/>
              <w:rPr>
                <w:rFonts w:ascii="宋体" w:eastAsia="宋体" w:hint="eastAsia"/>
                <w:sz w:val="21"/>
              </w:rPr>
            </w:pPr>
            <w:r>
              <w:rPr>
                <w:rFonts w:ascii="宋体" w:eastAsia="宋体" w:hint="eastAsia"/>
                <w:sz w:val="21"/>
              </w:rPr>
              <w:t>废脱硫剂</w:t>
            </w:r>
          </w:p>
        </w:tc>
        <w:tc>
          <w:tcPr>
            <w:tcW w:w="691" w:type="dxa"/>
            <w:tcBorders>
              <w:top w:val="single" w:sz="4" w:space="0" w:color="000000"/>
              <w:left w:val="single" w:sz="4" w:space="0" w:color="000000"/>
              <w:bottom w:val="single" w:sz="4" w:space="0" w:color="000000"/>
              <w:right w:val="single" w:sz="4" w:space="0" w:color="000000"/>
            </w:tcBorders>
          </w:tcPr>
          <w:p>
            <w:pPr>
              <w:pStyle w:val="TableParagraph"/>
              <w:spacing w:before="46"/>
              <w:ind w:left="124" w:right="95"/>
              <w:rPr>
                <w:rFonts w:ascii="宋体" w:eastAsia="宋体" w:hint="eastAsia"/>
                <w:sz w:val="21"/>
              </w:rPr>
            </w:pPr>
            <w:r>
              <w:rPr>
                <w:rFonts w:ascii="宋体" w:eastAsia="宋体" w:hint="eastAsia"/>
                <w:sz w:val="21"/>
              </w:rPr>
              <w:t>固态</w:t>
            </w:r>
          </w:p>
        </w:tc>
        <w:tc>
          <w:tcPr>
            <w:tcW w:w="2379" w:type="dxa"/>
            <w:tcBorders>
              <w:top w:val="single" w:sz="4" w:space="0" w:color="000000"/>
              <w:left w:val="single" w:sz="4" w:space="0" w:color="000000"/>
              <w:bottom w:val="single" w:sz="4" w:space="0" w:color="000000"/>
              <w:right w:val="single" w:sz="4" w:space="0" w:color="000000"/>
            </w:tcBorders>
          </w:tcPr>
          <w:p>
            <w:pPr>
              <w:pStyle w:val="TableParagraph"/>
              <w:spacing w:before="46"/>
              <w:ind w:left="445" w:right="414"/>
              <w:rPr>
                <w:rFonts w:ascii="宋体" w:eastAsia="宋体" w:hint="eastAsia"/>
                <w:sz w:val="21"/>
              </w:rPr>
            </w:pPr>
            <w:r>
              <w:rPr>
                <w:rFonts w:ascii="宋体" w:eastAsia="宋体" w:hint="eastAsia"/>
                <w:sz w:val="21"/>
              </w:rPr>
              <w:t>硫磺</w:t>
            </w:r>
          </w:p>
        </w:tc>
        <w:tc>
          <w:tcPr>
            <w:tcW w:w="238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1390" w:type="dxa"/>
            <w:tcBorders>
              <w:top w:val="single" w:sz="4" w:space="0" w:color="000000"/>
              <w:left w:val="single" w:sz="4" w:space="0" w:color="000000"/>
              <w:bottom w:val="single" w:sz="4" w:space="0" w:color="000000"/>
            </w:tcBorders>
          </w:tcPr>
          <w:p>
            <w:pPr>
              <w:pStyle w:val="TableParagraph"/>
              <w:ind w:left="152" w:right="125"/>
              <w:rPr>
                <w:sz w:val="21"/>
              </w:rPr>
            </w:pPr>
            <w:r>
              <w:rPr>
                <w:sz w:val="21"/>
              </w:rPr>
              <w:t>4.3l</w:t>
            </w:r>
          </w:p>
        </w:tc>
      </w:tr>
      <w:tr>
        <w:trPr>
          <w:trHeight w:val="356" w:hRule="atLeast"/>
        </w:trPr>
        <w:tc>
          <w:tcPr>
            <w:tcW w:w="2393" w:type="dxa"/>
            <w:tcBorders>
              <w:top w:val="single" w:sz="4" w:space="0" w:color="000000"/>
              <w:right w:val="single" w:sz="4" w:space="0" w:color="000000"/>
            </w:tcBorders>
          </w:tcPr>
          <w:p>
            <w:pPr>
              <w:pStyle w:val="TableParagraph"/>
              <w:spacing w:before="46"/>
              <w:ind w:left="444" w:right="416"/>
              <w:rPr>
                <w:rFonts w:ascii="宋体" w:eastAsia="宋体" w:hint="eastAsia"/>
                <w:sz w:val="21"/>
              </w:rPr>
            </w:pPr>
            <w:r>
              <w:rPr>
                <w:rFonts w:ascii="宋体" w:eastAsia="宋体" w:hint="eastAsia"/>
                <w:sz w:val="21"/>
              </w:rPr>
              <w:t>生活垃圾</w:t>
            </w:r>
          </w:p>
        </w:tc>
        <w:tc>
          <w:tcPr>
            <w:tcW w:w="691" w:type="dxa"/>
            <w:tcBorders>
              <w:top w:val="single" w:sz="4" w:space="0" w:color="000000"/>
              <w:left w:val="single" w:sz="4" w:space="0" w:color="000000"/>
              <w:right w:val="single" w:sz="4" w:space="0" w:color="000000"/>
            </w:tcBorders>
          </w:tcPr>
          <w:p>
            <w:pPr>
              <w:pStyle w:val="TableParagraph"/>
              <w:spacing w:before="46"/>
              <w:ind w:left="124" w:right="95"/>
              <w:rPr>
                <w:rFonts w:ascii="宋体" w:eastAsia="宋体" w:hint="eastAsia"/>
                <w:sz w:val="21"/>
              </w:rPr>
            </w:pPr>
            <w:r>
              <w:rPr>
                <w:rFonts w:ascii="宋体" w:eastAsia="宋体" w:hint="eastAsia"/>
                <w:sz w:val="21"/>
              </w:rPr>
              <w:t>固态</w:t>
            </w:r>
          </w:p>
        </w:tc>
        <w:tc>
          <w:tcPr>
            <w:tcW w:w="2379" w:type="dxa"/>
            <w:tcBorders>
              <w:top w:val="single" w:sz="4" w:space="0" w:color="000000"/>
              <w:left w:val="single" w:sz="4" w:space="0" w:color="000000"/>
              <w:right w:val="single" w:sz="4" w:space="0" w:color="000000"/>
            </w:tcBorders>
          </w:tcPr>
          <w:p>
            <w:pPr>
              <w:pStyle w:val="TableParagraph"/>
              <w:spacing w:before="46"/>
              <w:ind w:left="445" w:right="414"/>
              <w:rPr>
                <w:rFonts w:ascii="宋体" w:eastAsia="宋体" w:hint="eastAsia"/>
                <w:sz w:val="21"/>
              </w:rPr>
            </w:pPr>
            <w:r>
              <w:rPr>
                <w:rFonts w:ascii="宋体" w:eastAsia="宋体" w:hint="eastAsia"/>
                <w:sz w:val="21"/>
              </w:rPr>
              <w:t>纸、厨余物等</w:t>
            </w:r>
          </w:p>
        </w:tc>
        <w:tc>
          <w:tcPr>
            <w:tcW w:w="2389" w:type="dxa"/>
            <w:tcBorders>
              <w:top w:val="single" w:sz="4" w:space="0" w:color="000000"/>
              <w:left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1390" w:type="dxa"/>
            <w:tcBorders>
              <w:top w:val="single" w:sz="4" w:space="0" w:color="000000"/>
              <w:left w:val="single" w:sz="4" w:space="0" w:color="000000"/>
            </w:tcBorders>
          </w:tcPr>
          <w:p>
            <w:pPr>
              <w:pStyle w:val="TableParagraph"/>
              <w:ind w:left="151" w:right="125"/>
              <w:rPr>
                <w:sz w:val="21"/>
              </w:rPr>
            </w:pPr>
            <w:r>
              <w:rPr>
                <w:sz w:val="21"/>
              </w:rPr>
              <w:t>4.4b</w:t>
            </w:r>
          </w:p>
        </w:tc>
      </w:tr>
    </w:tbl>
    <w:p>
      <w:pPr>
        <w:spacing w:before="85"/>
        <w:ind w:left="719" w:right="0" w:firstLine="0"/>
        <w:jc w:val="left"/>
        <w:rPr>
          <w:b/>
          <w:sz w:val="24"/>
        </w:rPr>
      </w:pPr>
      <w:r>
        <w:rPr>
          <w:rFonts w:ascii="Times New Roman" w:eastAsia="Times New Roman"/>
          <w:b/>
          <w:sz w:val="24"/>
        </w:rPr>
        <w:t>3</w:t>
      </w:r>
      <w:r>
        <w:rPr>
          <w:b/>
          <w:sz w:val="24"/>
        </w:rPr>
        <w:t>、危险废物属性判定</w:t>
      </w:r>
    </w:p>
    <w:p>
      <w:pPr>
        <w:spacing w:line="364" w:lineRule="auto" w:before="160"/>
        <w:ind w:left="3237" w:right="134" w:hanging="2521"/>
        <w:jc w:val="left"/>
        <w:rPr>
          <w:b/>
          <w:sz w:val="24"/>
        </w:rPr>
      </w:pPr>
      <w:r>
        <w:rPr/>
        <w:pict>
          <v:shape style="position:absolute;margin-left:62.543999pt;margin-top:50.71999pt;width:464.3pt;height:149.9pt;mso-position-horizontal-relative:page;mso-position-vertical-relative:paragraph;z-index:25178009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69"/>
                    <w:gridCol w:w="597"/>
                    <w:gridCol w:w="2054"/>
                    <w:gridCol w:w="2059"/>
                    <w:gridCol w:w="2460"/>
                  </w:tblGrid>
                  <w:tr>
                    <w:trPr>
                      <w:trHeight w:val="359" w:hRule="atLeast"/>
                    </w:trPr>
                    <w:tc>
                      <w:tcPr>
                        <w:tcW w:w="2069" w:type="dxa"/>
                        <w:tcBorders>
                          <w:bottom w:val="single" w:sz="4" w:space="0" w:color="000000"/>
                          <w:right w:val="single" w:sz="4" w:space="0" w:color="000000"/>
                        </w:tcBorders>
                      </w:tcPr>
                      <w:p>
                        <w:pPr>
                          <w:pStyle w:val="TableParagraph"/>
                          <w:spacing w:before="48"/>
                          <w:ind w:left="278" w:right="250"/>
                          <w:rPr>
                            <w:rFonts w:ascii="宋体" w:eastAsia="宋体" w:hint="eastAsia"/>
                            <w:b/>
                            <w:sz w:val="21"/>
                          </w:rPr>
                        </w:pPr>
                        <w:r>
                          <w:rPr>
                            <w:rFonts w:ascii="宋体" w:eastAsia="宋体" w:hint="eastAsia"/>
                            <w:b/>
                            <w:sz w:val="21"/>
                          </w:rPr>
                          <w:t>固废种类</w:t>
                        </w:r>
                      </w:p>
                    </w:tc>
                    <w:tc>
                      <w:tcPr>
                        <w:tcW w:w="597" w:type="dxa"/>
                        <w:tcBorders>
                          <w:left w:val="single" w:sz="4" w:space="0" w:color="000000"/>
                          <w:bottom w:val="single" w:sz="4" w:space="0" w:color="000000"/>
                          <w:right w:val="single" w:sz="4" w:space="0" w:color="000000"/>
                        </w:tcBorders>
                      </w:tcPr>
                      <w:p>
                        <w:pPr>
                          <w:pStyle w:val="TableParagraph"/>
                          <w:spacing w:before="48"/>
                          <w:ind w:left="72" w:right="50"/>
                          <w:rPr>
                            <w:rFonts w:ascii="宋体" w:eastAsia="宋体" w:hint="eastAsia"/>
                            <w:b/>
                            <w:sz w:val="21"/>
                          </w:rPr>
                        </w:pPr>
                        <w:r>
                          <w:rPr>
                            <w:rFonts w:ascii="宋体" w:eastAsia="宋体" w:hint="eastAsia"/>
                            <w:b/>
                            <w:sz w:val="21"/>
                          </w:rPr>
                          <w:t>形态</w:t>
                        </w:r>
                      </w:p>
                    </w:tc>
                    <w:tc>
                      <w:tcPr>
                        <w:tcW w:w="2054" w:type="dxa"/>
                        <w:tcBorders>
                          <w:left w:val="single" w:sz="4" w:space="0" w:color="000000"/>
                          <w:bottom w:val="single" w:sz="4" w:space="0" w:color="000000"/>
                          <w:right w:val="single" w:sz="4" w:space="0" w:color="000000"/>
                        </w:tcBorders>
                      </w:tcPr>
                      <w:p>
                        <w:pPr>
                          <w:pStyle w:val="TableParagraph"/>
                          <w:spacing w:before="48"/>
                          <w:ind w:left="282" w:right="251"/>
                          <w:rPr>
                            <w:rFonts w:ascii="宋体" w:eastAsia="宋体" w:hint="eastAsia"/>
                            <w:b/>
                            <w:sz w:val="21"/>
                          </w:rPr>
                        </w:pPr>
                        <w:r>
                          <w:rPr>
                            <w:rFonts w:ascii="宋体" w:eastAsia="宋体" w:hint="eastAsia"/>
                            <w:b/>
                            <w:sz w:val="21"/>
                          </w:rPr>
                          <w:t>主要成分</w:t>
                        </w:r>
                      </w:p>
                    </w:tc>
                    <w:tc>
                      <w:tcPr>
                        <w:tcW w:w="2059" w:type="dxa"/>
                        <w:tcBorders>
                          <w:left w:val="single" w:sz="4" w:space="0" w:color="000000"/>
                          <w:bottom w:val="single" w:sz="4" w:space="0" w:color="000000"/>
                          <w:right w:val="single" w:sz="4" w:space="0" w:color="000000"/>
                        </w:tcBorders>
                      </w:tcPr>
                      <w:p>
                        <w:pPr>
                          <w:pStyle w:val="TableParagraph"/>
                          <w:spacing w:before="48"/>
                          <w:ind w:left="282" w:right="250"/>
                          <w:rPr>
                            <w:rFonts w:ascii="宋体" w:eastAsia="宋体" w:hint="eastAsia"/>
                            <w:b/>
                            <w:sz w:val="21"/>
                          </w:rPr>
                        </w:pPr>
                        <w:r>
                          <w:rPr>
                            <w:rFonts w:ascii="宋体" w:eastAsia="宋体" w:hint="eastAsia"/>
                            <w:b/>
                            <w:sz w:val="21"/>
                          </w:rPr>
                          <w:t>是否属危险废物</w:t>
                        </w:r>
                      </w:p>
                    </w:tc>
                    <w:tc>
                      <w:tcPr>
                        <w:tcW w:w="2460" w:type="dxa"/>
                        <w:tcBorders>
                          <w:left w:val="single" w:sz="4" w:space="0" w:color="000000"/>
                          <w:bottom w:val="single" w:sz="4" w:space="0" w:color="000000"/>
                        </w:tcBorders>
                      </w:tcPr>
                      <w:p>
                        <w:pPr>
                          <w:pStyle w:val="TableParagraph"/>
                          <w:spacing w:before="48"/>
                          <w:ind w:left="340" w:right="309"/>
                          <w:rPr>
                            <w:rFonts w:ascii="宋体" w:eastAsia="宋体" w:hint="eastAsia"/>
                            <w:b/>
                            <w:sz w:val="21"/>
                          </w:rPr>
                        </w:pPr>
                        <w:r>
                          <w:rPr>
                            <w:rFonts w:ascii="宋体" w:eastAsia="宋体" w:hint="eastAsia"/>
                            <w:b/>
                            <w:sz w:val="21"/>
                          </w:rPr>
                          <w:t>废物代码</w:t>
                        </w:r>
                      </w:p>
                    </w:tc>
                  </w:tr>
                  <w:tr>
                    <w:trPr>
                      <w:trHeight w:val="359" w:hRule="atLeast"/>
                    </w:trPr>
                    <w:tc>
                      <w:tcPr>
                        <w:tcW w:w="2069" w:type="dxa"/>
                        <w:tcBorders>
                          <w:top w:val="single" w:sz="4" w:space="0" w:color="000000"/>
                          <w:bottom w:val="single" w:sz="4" w:space="0" w:color="000000"/>
                          <w:right w:val="single" w:sz="4" w:space="0" w:color="000000"/>
                        </w:tcBorders>
                      </w:tcPr>
                      <w:p>
                        <w:pPr>
                          <w:pStyle w:val="TableParagraph"/>
                          <w:spacing w:before="46"/>
                          <w:ind w:left="280" w:right="250"/>
                          <w:rPr>
                            <w:rFonts w:ascii="宋体" w:eastAsia="宋体" w:hint="eastAsia"/>
                            <w:sz w:val="21"/>
                          </w:rPr>
                        </w:pPr>
                        <w:r>
                          <w:rPr>
                            <w:rFonts w:ascii="宋体" w:eastAsia="宋体" w:hint="eastAsia"/>
                            <w:sz w:val="21"/>
                          </w:rPr>
                          <w:t>发酵产物</w:t>
                        </w:r>
                      </w:p>
                    </w:tc>
                    <w:tc>
                      <w:tcPr>
                        <w:tcW w:w="597" w:type="dxa"/>
                        <w:tcBorders>
                          <w:top w:val="single" w:sz="4" w:space="0" w:color="000000"/>
                          <w:left w:val="single" w:sz="4" w:space="0" w:color="000000"/>
                          <w:bottom w:val="single" w:sz="4" w:space="0" w:color="000000"/>
                          <w:right w:val="single" w:sz="4" w:space="0" w:color="000000"/>
                        </w:tcBorders>
                      </w:tcPr>
                      <w:p>
                        <w:pPr>
                          <w:pStyle w:val="TableParagraph"/>
                          <w:spacing w:before="46"/>
                          <w:ind w:left="73" w:right="46"/>
                          <w:rPr>
                            <w:rFonts w:ascii="宋体" w:eastAsia="宋体" w:hint="eastAsia"/>
                            <w:sz w:val="21"/>
                          </w:rPr>
                        </w:pPr>
                        <w:r>
                          <w:rPr>
                            <w:rFonts w:ascii="宋体" w:eastAsia="宋体" w:hint="eastAsia"/>
                            <w:sz w:val="21"/>
                          </w:rPr>
                          <w:t>固态</w:t>
                        </w:r>
                      </w:p>
                    </w:tc>
                    <w:tc>
                      <w:tcPr>
                        <w:tcW w:w="2054" w:type="dxa"/>
                        <w:tcBorders>
                          <w:top w:val="single" w:sz="4" w:space="0" w:color="000000"/>
                          <w:left w:val="single" w:sz="4" w:space="0" w:color="000000"/>
                          <w:bottom w:val="single" w:sz="4" w:space="0" w:color="000000"/>
                          <w:right w:val="single" w:sz="4" w:space="0" w:color="000000"/>
                        </w:tcBorders>
                      </w:tcPr>
                      <w:p>
                        <w:pPr>
                          <w:pStyle w:val="TableParagraph"/>
                          <w:spacing w:before="46"/>
                          <w:ind w:left="282" w:right="251"/>
                          <w:rPr>
                            <w:rFonts w:ascii="宋体" w:eastAsia="宋体" w:hint="eastAsia"/>
                            <w:sz w:val="21"/>
                          </w:rPr>
                        </w:pPr>
                        <w:r>
                          <w:rPr>
                            <w:rFonts w:ascii="宋体" w:eastAsia="宋体" w:hint="eastAsia"/>
                            <w:sz w:val="21"/>
                          </w:rPr>
                          <w:t>粪便、尿液等</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否</w:t>
                        </w:r>
                      </w:p>
                    </w:tc>
                    <w:tc>
                      <w:tcPr>
                        <w:tcW w:w="2460" w:type="dxa"/>
                        <w:tcBorders>
                          <w:top w:val="single" w:sz="4" w:space="0" w:color="000000"/>
                          <w:left w:val="single" w:sz="4" w:space="0" w:color="000000"/>
                          <w:bottom w:val="single" w:sz="4" w:space="0" w:color="000000"/>
                        </w:tcBorders>
                      </w:tcPr>
                      <w:p>
                        <w:pPr>
                          <w:pStyle w:val="TableParagraph"/>
                          <w:ind w:left="340" w:right="309"/>
                          <w:rPr>
                            <w:sz w:val="21"/>
                          </w:rPr>
                        </w:pPr>
                        <w:r>
                          <w:rPr>
                            <w:sz w:val="21"/>
                          </w:rPr>
                          <w:t>030-001-33</w:t>
                        </w:r>
                      </w:p>
                    </w:tc>
                  </w:tr>
                  <w:tr>
                    <w:trPr>
                      <w:trHeight w:val="357" w:hRule="atLeast"/>
                    </w:trPr>
                    <w:tc>
                      <w:tcPr>
                        <w:tcW w:w="2069" w:type="dxa"/>
                        <w:tcBorders>
                          <w:top w:val="single" w:sz="4" w:space="0" w:color="000000"/>
                          <w:bottom w:val="single" w:sz="4" w:space="0" w:color="000000"/>
                          <w:right w:val="single" w:sz="4" w:space="0" w:color="000000"/>
                        </w:tcBorders>
                      </w:tcPr>
                      <w:p>
                        <w:pPr>
                          <w:pStyle w:val="TableParagraph"/>
                          <w:spacing w:before="46"/>
                          <w:ind w:left="278" w:right="250"/>
                          <w:rPr>
                            <w:rFonts w:ascii="宋体" w:eastAsia="宋体" w:hint="eastAsia"/>
                            <w:sz w:val="21"/>
                          </w:rPr>
                        </w:pPr>
                        <w:r>
                          <w:rPr>
                            <w:rFonts w:ascii="宋体" w:eastAsia="宋体" w:hint="eastAsia"/>
                            <w:sz w:val="21"/>
                          </w:rPr>
                          <w:t>一般废包装物</w:t>
                        </w:r>
                      </w:p>
                    </w:tc>
                    <w:tc>
                      <w:tcPr>
                        <w:tcW w:w="597" w:type="dxa"/>
                        <w:tcBorders>
                          <w:top w:val="single" w:sz="4" w:space="0" w:color="000000"/>
                          <w:left w:val="single" w:sz="4" w:space="0" w:color="000000"/>
                          <w:bottom w:val="single" w:sz="4" w:space="0" w:color="000000"/>
                          <w:right w:val="single" w:sz="4" w:space="0" w:color="000000"/>
                        </w:tcBorders>
                      </w:tcPr>
                      <w:p>
                        <w:pPr>
                          <w:pStyle w:val="TableParagraph"/>
                          <w:spacing w:before="46"/>
                          <w:ind w:left="73" w:right="46"/>
                          <w:rPr>
                            <w:rFonts w:ascii="宋体" w:eastAsia="宋体" w:hint="eastAsia"/>
                            <w:sz w:val="21"/>
                          </w:rPr>
                        </w:pPr>
                        <w:r>
                          <w:rPr>
                            <w:rFonts w:ascii="宋体" w:eastAsia="宋体" w:hint="eastAsia"/>
                            <w:sz w:val="21"/>
                          </w:rPr>
                          <w:t>固态</w:t>
                        </w:r>
                      </w:p>
                    </w:tc>
                    <w:tc>
                      <w:tcPr>
                        <w:tcW w:w="2054" w:type="dxa"/>
                        <w:tcBorders>
                          <w:top w:val="single" w:sz="4" w:space="0" w:color="000000"/>
                          <w:left w:val="single" w:sz="4" w:space="0" w:color="000000"/>
                          <w:bottom w:val="single" w:sz="4" w:space="0" w:color="000000"/>
                          <w:right w:val="single" w:sz="4" w:space="0" w:color="000000"/>
                        </w:tcBorders>
                      </w:tcPr>
                      <w:p>
                        <w:pPr>
                          <w:pStyle w:val="TableParagraph"/>
                          <w:spacing w:before="46"/>
                          <w:ind w:left="279" w:right="251"/>
                          <w:rPr>
                            <w:rFonts w:ascii="宋体" w:eastAsia="宋体" w:hint="eastAsia"/>
                            <w:sz w:val="21"/>
                          </w:rPr>
                        </w:pPr>
                        <w:r>
                          <w:rPr>
                            <w:rFonts w:ascii="宋体" w:eastAsia="宋体" w:hint="eastAsia"/>
                            <w:sz w:val="21"/>
                          </w:rPr>
                          <w:t>塑料编织袋</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否</w:t>
                        </w:r>
                      </w:p>
                    </w:tc>
                    <w:tc>
                      <w:tcPr>
                        <w:tcW w:w="2460" w:type="dxa"/>
                        <w:tcBorders>
                          <w:top w:val="single" w:sz="4" w:space="0" w:color="000000"/>
                          <w:left w:val="single" w:sz="4" w:space="0" w:color="000000"/>
                          <w:bottom w:val="single" w:sz="4" w:space="0" w:color="000000"/>
                        </w:tcBorders>
                      </w:tcPr>
                      <w:p>
                        <w:pPr>
                          <w:pStyle w:val="TableParagraph"/>
                          <w:ind w:left="340" w:right="309"/>
                          <w:rPr>
                            <w:sz w:val="21"/>
                          </w:rPr>
                        </w:pPr>
                        <w:r>
                          <w:rPr>
                            <w:sz w:val="21"/>
                          </w:rPr>
                          <w:t>223-001-07</w:t>
                        </w:r>
                      </w:p>
                    </w:tc>
                  </w:tr>
                  <w:tr>
                    <w:trPr>
                      <w:trHeight w:val="359" w:hRule="atLeast"/>
                    </w:trPr>
                    <w:tc>
                      <w:tcPr>
                        <w:tcW w:w="2069" w:type="dxa"/>
                        <w:tcBorders>
                          <w:top w:val="single" w:sz="4" w:space="0" w:color="000000"/>
                          <w:bottom w:val="single" w:sz="4" w:space="0" w:color="000000"/>
                          <w:right w:val="single" w:sz="4" w:space="0" w:color="000000"/>
                        </w:tcBorders>
                      </w:tcPr>
                      <w:p>
                        <w:pPr>
                          <w:pStyle w:val="TableParagraph"/>
                          <w:spacing w:before="49"/>
                          <w:ind w:left="278" w:right="250"/>
                          <w:rPr>
                            <w:rFonts w:ascii="宋体" w:eastAsia="宋体" w:hint="eastAsia"/>
                            <w:sz w:val="21"/>
                          </w:rPr>
                        </w:pPr>
                        <w:r>
                          <w:rPr>
                            <w:rFonts w:ascii="宋体" w:eastAsia="宋体" w:hint="eastAsia"/>
                            <w:sz w:val="21"/>
                          </w:rPr>
                          <w:t>危化品废包装物</w:t>
                        </w:r>
                      </w:p>
                    </w:tc>
                    <w:tc>
                      <w:tcPr>
                        <w:tcW w:w="597" w:type="dxa"/>
                        <w:tcBorders>
                          <w:top w:val="single" w:sz="4" w:space="0" w:color="000000"/>
                          <w:left w:val="single" w:sz="4" w:space="0" w:color="000000"/>
                          <w:bottom w:val="single" w:sz="4" w:space="0" w:color="000000"/>
                          <w:right w:val="single" w:sz="4" w:space="0" w:color="000000"/>
                        </w:tcBorders>
                      </w:tcPr>
                      <w:p>
                        <w:pPr>
                          <w:pStyle w:val="TableParagraph"/>
                          <w:spacing w:before="49"/>
                          <w:ind w:left="73" w:right="46"/>
                          <w:rPr>
                            <w:rFonts w:ascii="宋体" w:eastAsia="宋体" w:hint="eastAsia"/>
                            <w:sz w:val="21"/>
                          </w:rPr>
                        </w:pPr>
                        <w:r>
                          <w:rPr>
                            <w:rFonts w:ascii="宋体" w:eastAsia="宋体" w:hint="eastAsia"/>
                            <w:sz w:val="21"/>
                          </w:rPr>
                          <w:t>固态</w:t>
                        </w:r>
                      </w:p>
                    </w:tc>
                    <w:tc>
                      <w:tcPr>
                        <w:tcW w:w="2054" w:type="dxa"/>
                        <w:tcBorders>
                          <w:top w:val="single" w:sz="4" w:space="0" w:color="000000"/>
                          <w:left w:val="single" w:sz="4" w:space="0" w:color="000000"/>
                          <w:bottom w:val="single" w:sz="4" w:space="0" w:color="000000"/>
                          <w:right w:val="single" w:sz="4" w:space="0" w:color="000000"/>
                        </w:tcBorders>
                      </w:tcPr>
                      <w:p>
                        <w:pPr>
                          <w:pStyle w:val="TableParagraph"/>
                          <w:spacing w:before="49"/>
                          <w:ind w:left="282" w:right="251"/>
                          <w:rPr>
                            <w:rFonts w:ascii="宋体" w:eastAsia="宋体" w:hint="eastAsia"/>
                            <w:sz w:val="21"/>
                          </w:rPr>
                        </w:pPr>
                        <w:r>
                          <w:rPr>
                            <w:rFonts w:ascii="宋体" w:eastAsia="宋体" w:hint="eastAsia"/>
                            <w:sz w:val="21"/>
                          </w:rPr>
                          <w:t>塑料、金属等</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49"/>
                          <w:ind w:left="27"/>
                          <w:rPr>
                            <w:rFonts w:ascii="宋体" w:eastAsia="宋体" w:hint="eastAsia"/>
                            <w:sz w:val="21"/>
                          </w:rPr>
                        </w:pPr>
                        <w:r>
                          <w:rPr>
                            <w:rFonts w:ascii="宋体" w:eastAsia="宋体" w:hint="eastAsia"/>
                            <w:w w:val="100"/>
                            <w:sz w:val="21"/>
                          </w:rPr>
                          <w:t>是</w:t>
                        </w:r>
                      </w:p>
                    </w:tc>
                    <w:tc>
                      <w:tcPr>
                        <w:tcW w:w="2460" w:type="dxa"/>
                        <w:tcBorders>
                          <w:top w:val="single" w:sz="4" w:space="0" w:color="000000"/>
                          <w:left w:val="single" w:sz="4" w:space="0" w:color="000000"/>
                          <w:bottom w:val="single" w:sz="4" w:space="0" w:color="000000"/>
                        </w:tcBorders>
                      </w:tcPr>
                      <w:p>
                        <w:pPr>
                          <w:pStyle w:val="TableParagraph"/>
                          <w:spacing w:before="49"/>
                          <w:ind w:left="341" w:right="309"/>
                          <w:rPr>
                            <w:sz w:val="21"/>
                          </w:rPr>
                        </w:pPr>
                        <w:r>
                          <w:rPr>
                            <w:position w:val="1"/>
                            <w:sz w:val="21"/>
                          </w:rPr>
                          <w:t>HW49</w:t>
                        </w:r>
                        <w:r>
                          <w:rPr>
                            <w:rFonts w:ascii="宋体" w:eastAsia="宋体" w:hint="eastAsia"/>
                            <w:sz w:val="21"/>
                          </w:rPr>
                          <w:t>，</w:t>
                        </w:r>
                        <w:r>
                          <w:rPr>
                            <w:position w:val="1"/>
                            <w:sz w:val="21"/>
                          </w:rPr>
                          <w:t>900-041-49</w:t>
                        </w:r>
                      </w:p>
                    </w:tc>
                  </w:tr>
                  <w:tr>
                    <w:trPr>
                      <w:trHeight w:val="359" w:hRule="atLeast"/>
                    </w:trPr>
                    <w:tc>
                      <w:tcPr>
                        <w:tcW w:w="2069" w:type="dxa"/>
                        <w:tcBorders>
                          <w:top w:val="single" w:sz="4" w:space="0" w:color="000000"/>
                          <w:bottom w:val="single" w:sz="4" w:space="0" w:color="000000"/>
                          <w:right w:val="single" w:sz="4" w:space="0" w:color="000000"/>
                        </w:tcBorders>
                      </w:tcPr>
                      <w:p>
                        <w:pPr>
                          <w:pStyle w:val="TableParagraph"/>
                          <w:spacing w:before="46"/>
                          <w:ind w:left="280" w:right="250"/>
                          <w:rPr>
                            <w:rFonts w:ascii="宋体" w:eastAsia="宋体" w:hint="eastAsia"/>
                            <w:sz w:val="21"/>
                          </w:rPr>
                        </w:pPr>
                        <w:r>
                          <w:rPr>
                            <w:rFonts w:ascii="宋体" w:eastAsia="宋体" w:hint="eastAsia"/>
                            <w:sz w:val="21"/>
                          </w:rPr>
                          <w:t>废矿物油</w:t>
                        </w:r>
                      </w:p>
                    </w:tc>
                    <w:tc>
                      <w:tcPr>
                        <w:tcW w:w="597" w:type="dxa"/>
                        <w:tcBorders>
                          <w:top w:val="single" w:sz="4" w:space="0" w:color="000000"/>
                          <w:left w:val="single" w:sz="4" w:space="0" w:color="000000"/>
                          <w:bottom w:val="single" w:sz="4" w:space="0" w:color="000000"/>
                          <w:right w:val="single" w:sz="4" w:space="0" w:color="000000"/>
                        </w:tcBorders>
                      </w:tcPr>
                      <w:p>
                        <w:pPr>
                          <w:pStyle w:val="TableParagraph"/>
                          <w:spacing w:before="46"/>
                          <w:ind w:left="73" w:right="46"/>
                          <w:rPr>
                            <w:rFonts w:ascii="宋体" w:eastAsia="宋体" w:hint="eastAsia"/>
                            <w:sz w:val="21"/>
                          </w:rPr>
                        </w:pPr>
                        <w:r>
                          <w:rPr>
                            <w:rFonts w:ascii="宋体" w:eastAsia="宋体" w:hint="eastAsia"/>
                            <w:sz w:val="21"/>
                          </w:rPr>
                          <w:t>液态</w:t>
                        </w:r>
                      </w:p>
                    </w:tc>
                    <w:tc>
                      <w:tcPr>
                        <w:tcW w:w="2054" w:type="dxa"/>
                        <w:tcBorders>
                          <w:top w:val="single" w:sz="4" w:space="0" w:color="000000"/>
                          <w:left w:val="single" w:sz="4" w:space="0" w:color="000000"/>
                          <w:bottom w:val="single" w:sz="4" w:space="0" w:color="000000"/>
                          <w:right w:val="single" w:sz="4" w:space="0" w:color="000000"/>
                        </w:tcBorders>
                      </w:tcPr>
                      <w:p>
                        <w:pPr>
                          <w:pStyle w:val="TableParagraph"/>
                          <w:spacing w:before="46"/>
                          <w:ind w:left="279" w:right="251"/>
                          <w:rPr>
                            <w:rFonts w:ascii="宋体" w:eastAsia="宋体" w:hint="eastAsia"/>
                            <w:sz w:val="21"/>
                          </w:rPr>
                        </w:pPr>
                        <w:r>
                          <w:rPr>
                            <w:rFonts w:ascii="宋体" w:eastAsia="宋体" w:hint="eastAsia"/>
                            <w:sz w:val="21"/>
                          </w:rPr>
                          <w:t>废导热油</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2460" w:type="dxa"/>
                        <w:tcBorders>
                          <w:top w:val="single" w:sz="4" w:space="0" w:color="000000"/>
                          <w:left w:val="single" w:sz="4" w:space="0" w:color="000000"/>
                          <w:bottom w:val="single" w:sz="4" w:space="0" w:color="000000"/>
                        </w:tcBorders>
                      </w:tcPr>
                      <w:p>
                        <w:pPr>
                          <w:pStyle w:val="TableParagraph"/>
                          <w:spacing w:before="46"/>
                          <w:ind w:left="341" w:right="309"/>
                          <w:rPr>
                            <w:sz w:val="21"/>
                          </w:rPr>
                        </w:pPr>
                        <w:r>
                          <w:rPr>
                            <w:position w:val="1"/>
                            <w:sz w:val="21"/>
                          </w:rPr>
                          <w:t>HW08</w:t>
                        </w:r>
                        <w:r>
                          <w:rPr>
                            <w:rFonts w:ascii="宋体" w:eastAsia="宋体" w:hint="eastAsia"/>
                            <w:sz w:val="21"/>
                          </w:rPr>
                          <w:t>，</w:t>
                        </w:r>
                        <w:r>
                          <w:rPr>
                            <w:position w:val="1"/>
                            <w:sz w:val="21"/>
                          </w:rPr>
                          <w:t>900-249-08</w:t>
                        </w:r>
                      </w:p>
                    </w:tc>
                  </w:tr>
                  <w:tr>
                    <w:trPr>
                      <w:trHeight w:val="357" w:hRule="atLeast"/>
                    </w:trPr>
                    <w:tc>
                      <w:tcPr>
                        <w:tcW w:w="2069" w:type="dxa"/>
                        <w:tcBorders>
                          <w:top w:val="single" w:sz="4" w:space="0" w:color="000000"/>
                          <w:bottom w:val="single" w:sz="4" w:space="0" w:color="000000"/>
                          <w:right w:val="single" w:sz="4" w:space="0" w:color="000000"/>
                        </w:tcBorders>
                      </w:tcPr>
                      <w:p>
                        <w:pPr>
                          <w:pStyle w:val="TableParagraph"/>
                          <w:spacing w:before="46"/>
                          <w:ind w:left="280" w:right="250"/>
                          <w:rPr>
                            <w:rFonts w:ascii="宋体" w:eastAsia="宋体" w:hint="eastAsia"/>
                            <w:sz w:val="21"/>
                          </w:rPr>
                        </w:pPr>
                        <w:r>
                          <w:rPr>
                            <w:rFonts w:ascii="宋体" w:eastAsia="宋体" w:hint="eastAsia"/>
                            <w:sz w:val="21"/>
                          </w:rPr>
                          <w:t>医疗废物</w:t>
                        </w:r>
                      </w:p>
                    </w:tc>
                    <w:tc>
                      <w:tcPr>
                        <w:tcW w:w="597" w:type="dxa"/>
                        <w:tcBorders>
                          <w:top w:val="single" w:sz="4" w:space="0" w:color="000000"/>
                          <w:left w:val="single" w:sz="4" w:space="0" w:color="000000"/>
                          <w:bottom w:val="single" w:sz="4" w:space="0" w:color="000000"/>
                          <w:right w:val="single" w:sz="4" w:space="0" w:color="000000"/>
                        </w:tcBorders>
                      </w:tcPr>
                      <w:p>
                        <w:pPr>
                          <w:pStyle w:val="TableParagraph"/>
                          <w:spacing w:before="46"/>
                          <w:ind w:left="73" w:right="46"/>
                          <w:rPr>
                            <w:rFonts w:ascii="宋体" w:eastAsia="宋体" w:hint="eastAsia"/>
                            <w:sz w:val="21"/>
                          </w:rPr>
                        </w:pPr>
                        <w:r>
                          <w:rPr>
                            <w:rFonts w:ascii="宋体" w:eastAsia="宋体" w:hint="eastAsia"/>
                            <w:sz w:val="21"/>
                          </w:rPr>
                          <w:t>固态</w:t>
                        </w:r>
                      </w:p>
                    </w:tc>
                    <w:tc>
                      <w:tcPr>
                        <w:tcW w:w="2054" w:type="dxa"/>
                        <w:tcBorders>
                          <w:top w:val="single" w:sz="4" w:space="0" w:color="000000"/>
                          <w:left w:val="single" w:sz="4" w:space="0" w:color="000000"/>
                          <w:bottom w:val="single" w:sz="4" w:space="0" w:color="000000"/>
                          <w:right w:val="single" w:sz="4" w:space="0" w:color="000000"/>
                        </w:tcBorders>
                      </w:tcPr>
                      <w:p>
                        <w:pPr>
                          <w:pStyle w:val="TableParagraph"/>
                          <w:spacing w:before="46"/>
                          <w:ind w:left="282" w:right="251"/>
                          <w:rPr>
                            <w:rFonts w:ascii="宋体" w:eastAsia="宋体" w:hint="eastAsia"/>
                            <w:sz w:val="21"/>
                          </w:rPr>
                        </w:pPr>
                        <w:r>
                          <w:rPr>
                            <w:rFonts w:ascii="宋体" w:eastAsia="宋体" w:hint="eastAsia"/>
                            <w:sz w:val="21"/>
                          </w:rPr>
                          <w:t>沾染药物的物品</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是</w:t>
                        </w:r>
                      </w:p>
                    </w:tc>
                    <w:tc>
                      <w:tcPr>
                        <w:tcW w:w="2460" w:type="dxa"/>
                        <w:tcBorders>
                          <w:top w:val="single" w:sz="4" w:space="0" w:color="000000"/>
                          <w:left w:val="single" w:sz="4" w:space="0" w:color="000000"/>
                          <w:bottom w:val="single" w:sz="4" w:space="0" w:color="000000"/>
                        </w:tcBorders>
                      </w:tcPr>
                      <w:p>
                        <w:pPr>
                          <w:pStyle w:val="TableParagraph"/>
                          <w:spacing w:before="46"/>
                          <w:ind w:left="341" w:right="309"/>
                          <w:rPr>
                            <w:sz w:val="21"/>
                          </w:rPr>
                        </w:pPr>
                        <w:r>
                          <w:rPr>
                            <w:position w:val="1"/>
                            <w:sz w:val="21"/>
                          </w:rPr>
                          <w:t>HW01</w:t>
                        </w:r>
                        <w:r>
                          <w:rPr>
                            <w:rFonts w:ascii="宋体" w:eastAsia="宋体" w:hint="eastAsia"/>
                            <w:sz w:val="21"/>
                          </w:rPr>
                          <w:t>，</w:t>
                        </w:r>
                        <w:r>
                          <w:rPr>
                            <w:position w:val="1"/>
                            <w:sz w:val="21"/>
                          </w:rPr>
                          <w:t>841-001-01</w:t>
                        </w:r>
                      </w:p>
                    </w:tc>
                  </w:tr>
                  <w:tr>
                    <w:trPr>
                      <w:trHeight w:val="360" w:hRule="atLeast"/>
                    </w:trPr>
                    <w:tc>
                      <w:tcPr>
                        <w:tcW w:w="2069" w:type="dxa"/>
                        <w:tcBorders>
                          <w:top w:val="single" w:sz="4" w:space="0" w:color="000000"/>
                          <w:bottom w:val="single" w:sz="4" w:space="0" w:color="000000"/>
                          <w:right w:val="single" w:sz="4" w:space="0" w:color="000000"/>
                        </w:tcBorders>
                      </w:tcPr>
                      <w:p>
                        <w:pPr>
                          <w:pStyle w:val="TableParagraph"/>
                          <w:spacing w:before="49"/>
                          <w:ind w:left="280" w:right="250"/>
                          <w:rPr>
                            <w:rFonts w:ascii="宋体" w:eastAsia="宋体" w:hint="eastAsia"/>
                            <w:sz w:val="21"/>
                          </w:rPr>
                        </w:pPr>
                        <w:r>
                          <w:rPr>
                            <w:rFonts w:ascii="宋体" w:eastAsia="宋体" w:hint="eastAsia"/>
                            <w:sz w:val="21"/>
                          </w:rPr>
                          <w:t>废脱硫剂</w:t>
                        </w:r>
                      </w:p>
                    </w:tc>
                    <w:tc>
                      <w:tcPr>
                        <w:tcW w:w="597" w:type="dxa"/>
                        <w:tcBorders>
                          <w:top w:val="single" w:sz="4" w:space="0" w:color="000000"/>
                          <w:left w:val="single" w:sz="4" w:space="0" w:color="000000"/>
                          <w:bottom w:val="single" w:sz="4" w:space="0" w:color="000000"/>
                          <w:right w:val="single" w:sz="4" w:space="0" w:color="000000"/>
                        </w:tcBorders>
                      </w:tcPr>
                      <w:p>
                        <w:pPr>
                          <w:pStyle w:val="TableParagraph"/>
                          <w:spacing w:before="49"/>
                          <w:ind w:left="73" w:right="46"/>
                          <w:rPr>
                            <w:rFonts w:ascii="宋体" w:eastAsia="宋体" w:hint="eastAsia"/>
                            <w:sz w:val="21"/>
                          </w:rPr>
                        </w:pPr>
                        <w:r>
                          <w:rPr>
                            <w:rFonts w:ascii="宋体" w:eastAsia="宋体" w:hint="eastAsia"/>
                            <w:sz w:val="21"/>
                          </w:rPr>
                          <w:t>固态</w:t>
                        </w:r>
                      </w:p>
                    </w:tc>
                    <w:tc>
                      <w:tcPr>
                        <w:tcW w:w="2054" w:type="dxa"/>
                        <w:tcBorders>
                          <w:top w:val="single" w:sz="4" w:space="0" w:color="000000"/>
                          <w:left w:val="single" w:sz="4" w:space="0" w:color="000000"/>
                          <w:bottom w:val="single" w:sz="4" w:space="0" w:color="000000"/>
                          <w:right w:val="single" w:sz="4" w:space="0" w:color="000000"/>
                        </w:tcBorders>
                      </w:tcPr>
                      <w:p>
                        <w:pPr>
                          <w:pStyle w:val="TableParagraph"/>
                          <w:spacing w:before="49"/>
                          <w:ind w:left="282" w:right="251"/>
                          <w:rPr>
                            <w:rFonts w:ascii="宋体" w:eastAsia="宋体" w:hint="eastAsia"/>
                            <w:sz w:val="21"/>
                          </w:rPr>
                        </w:pPr>
                        <w:r>
                          <w:rPr>
                            <w:rFonts w:ascii="宋体" w:eastAsia="宋体" w:hint="eastAsia"/>
                            <w:sz w:val="21"/>
                          </w:rPr>
                          <w:t>硫磺</w:t>
                        </w:r>
                      </w:p>
                    </w:tc>
                    <w:tc>
                      <w:tcPr>
                        <w:tcW w:w="2059" w:type="dxa"/>
                        <w:tcBorders>
                          <w:top w:val="single" w:sz="4" w:space="0" w:color="000000"/>
                          <w:left w:val="single" w:sz="4" w:space="0" w:color="000000"/>
                          <w:bottom w:val="single" w:sz="4" w:space="0" w:color="000000"/>
                          <w:right w:val="single" w:sz="4" w:space="0" w:color="000000"/>
                        </w:tcBorders>
                      </w:tcPr>
                      <w:p>
                        <w:pPr>
                          <w:pStyle w:val="TableParagraph"/>
                          <w:spacing w:before="49"/>
                          <w:ind w:left="27"/>
                          <w:rPr>
                            <w:rFonts w:ascii="宋体" w:eastAsia="宋体" w:hint="eastAsia"/>
                            <w:sz w:val="21"/>
                          </w:rPr>
                        </w:pPr>
                        <w:r>
                          <w:rPr>
                            <w:rFonts w:ascii="宋体" w:eastAsia="宋体" w:hint="eastAsia"/>
                            <w:w w:val="100"/>
                            <w:sz w:val="21"/>
                          </w:rPr>
                          <w:t>否</w:t>
                        </w:r>
                      </w:p>
                    </w:tc>
                    <w:tc>
                      <w:tcPr>
                        <w:tcW w:w="2460" w:type="dxa"/>
                        <w:tcBorders>
                          <w:top w:val="single" w:sz="4" w:space="0" w:color="000000"/>
                          <w:left w:val="single" w:sz="4" w:space="0" w:color="000000"/>
                          <w:bottom w:val="single" w:sz="4" w:space="0" w:color="000000"/>
                        </w:tcBorders>
                      </w:tcPr>
                      <w:p>
                        <w:pPr>
                          <w:pStyle w:val="TableParagraph"/>
                          <w:spacing w:before="61"/>
                          <w:ind w:left="340" w:right="309"/>
                          <w:rPr>
                            <w:sz w:val="21"/>
                          </w:rPr>
                        </w:pPr>
                        <w:r>
                          <w:rPr>
                            <w:sz w:val="21"/>
                          </w:rPr>
                          <w:t>260-001-54</w:t>
                        </w:r>
                      </w:p>
                    </w:tc>
                  </w:tr>
                  <w:tr>
                    <w:trPr>
                      <w:trHeight w:val="356" w:hRule="atLeast"/>
                    </w:trPr>
                    <w:tc>
                      <w:tcPr>
                        <w:tcW w:w="2069" w:type="dxa"/>
                        <w:tcBorders>
                          <w:top w:val="single" w:sz="4" w:space="0" w:color="000000"/>
                          <w:right w:val="single" w:sz="4" w:space="0" w:color="000000"/>
                        </w:tcBorders>
                      </w:tcPr>
                      <w:p>
                        <w:pPr>
                          <w:pStyle w:val="TableParagraph"/>
                          <w:spacing w:before="46"/>
                          <w:ind w:left="280" w:right="250"/>
                          <w:rPr>
                            <w:rFonts w:ascii="宋体" w:eastAsia="宋体" w:hint="eastAsia"/>
                            <w:sz w:val="21"/>
                          </w:rPr>
                        </w:pPr>
                        <w:r>
                          <w:rPr>
                            <w:rFonts w:ascii="宋体" w:eastAsia="宋体" w:hint="eastAsia"/>
                            <w:sz w:val="21"/>
                          </w:rPr>
                          <w:t>生活垃圾</w:t>
                        </w:r>
                      </w:p>
                    </w:tc>
                    <w:tc>
                      <w:tcPr>
                        <w:tcW w:w="597" w:type="dxa"/>
                        <w:tcBorders>
                          <w:top w:val="single" w:sz="4" w:space="0" w:color="000000"/>
                          <w:left w:val="single" w:sz="4" w:space="0" w:color="000000"/>
                          <w:right w:val="single" w:sz="4" w:space="0" w:color="000000"/>
                        </w:tcBorders>
                      </w:tcPr>
                      <w:p>
                        <w:pPr>
                          <w:pStyle w:val="TableParagraph"/>
                          <w:spacing w:before="46"/>
                          <w:ind w:left="73" w:right="46"/>
                          <w:rPr>
                            <w:rFonts w:ascii="宋体" w:eastAsia="宋体" w:hint="eastAsia"/>
                            <w:sz w:val="21"/>
                          </w:rPr>
                        </w:pPr>
                        <w:r>
                          <w:rPr>
                            <w:rFonts w:ascii="宋体" w:eastAsia="宋体" w:hint="eastAsia"/>
                            <w:sz w:val="21"/>
                          </w:rPr>
                          <w:t>固态</w:t>
                        </w:r>
                      </w:p>
                    </w:tc>
                    <w:tc>
                      <w:tcPr>
                        <w:tcW w:w="2054" w:type="dxa"/>
                        <w:tcBorders>
                          <w:top w:val="single" w:sz="4" w:space="0" w:color="000000"/>
                          <w:left w:val="single" w:sz="4" w:space="0" w:color="000000"/>
                          <w:right w:val="single" w:sz="4" w:space="0" w:color="000000"/>
                        </w:tcBorders>
                      </w:tcPr>
                      <w:p>
                        <w:pPr>
                          <w:pStyle w:val="TableParagraph"/>
                          <w:spacing w:before="46"/>
                          <w:ind w:left="282" w:right="251"/>
                          <w:rPr>
                            <w:rFonts w:ascii="宋体" w:eastAsia="宋体" w:hint="eastAsia"/>
                            <w:sz w:val="21"/>
                          </w:rPr>
                        </w:pPr>
                        <w:r>
                          <w:rPr>
                            <w:rFonts w:ascii="宋体" w:eastAsia="宋体" w:hint="eastAsia"/>
                            <w:sz w:val="21"/>
                          </w:rPr>
                          <w:t>纸、厨余物等</w:t>
                        </w:r>
                      </w:p>
                    </w:tc>
                    <w:tc>
                      <w:tcPr>
                        <w:tcW w:w="2059" w:type="dxa"/>
                        <w:tcBorders>
                          <w:top w:val="single" w:sz="4" w:space="0" w:color="000000"/>
                          <w:left w:val="single" w:sz="4" w:space="0" w:color="000000"/>
                          <w:right w:val="single" w:sz="4" w:space="0" w:color="000000"/>
                        </w:tcBorders>
                      </w:tcPr>
                      <w:p>
                        <w:pPr>
                          <w:pStyle w:val="TableParagraph"/>
                          <w:spacing w:before="46"/>
                          <w:ind w:left="27"/>
                          <w:rPr>
                            <w:rFonts w:ascii="宋体" w:eastAsia="宋体" w:hint="eastAsia"/>
                            <w:sz w:val="21"/>
                          </w:rPr>
                        </w:pPr>
                        <w:r>
                          <w:rPr>
                            <w:rFonts w:ascii="宋体" w:eastAsia="宋体" w:hint="eastAsia"/>
                            <w:w w:val="100"/>
                            <w:sz w:val="21"/>
                          </w:rPr>
                          <w:t>否</w:t>
                        </w:r>
                      </w:p>
                    </w:tc>
                    <w:tc>
                      <w:tcPr>
                        <w:tcW w:w="2460" w:type="dxa"/>
                        <w:tcBorders>
                          <w:top w:val="single" w:sz="4" w:space="0" w:color="000000"/>
                          <w:left w:val="single" w:sz="4" w:space="0" w:color="000000"/>
                        </w:tcBorders>
                      </w:tcPr>
                      <w:p>
                        <w:pPr>
                          <w:pStyle w:val="TableParagraph"/>
                          <w:ind w:left="32"/>
                          <w:rPr>
                            <w:sz w:val="21"/>
                          </w:rPr>
                        </w:pPr>
                        <w:r>
                          <w:rPr>
                            <w:w w:val="100"/>
                            <w:sz w:val="21"/>
                          </w:rPr>
                          <w:t>/</w:t>
                        </w:r>
                      </w:p>
                    </w:tc>
                  </w:tr>
                </w:tbl>
                <w:p>
                  <w:pPr>
                    <w:pStyle w:val="BodyText"/>
                    <w:ind w:left="0"/>
                  </w:pPr>
                </w:p>
              </w:txbxContent>
            </v:textbox>
            <w10:wrap type="none"/>
          </v:shape>
        </w:pict>
      </w:r>
      <w:r>
        <w:rPr>
          <w:spacing w:val="-26"/>
          <w:sz w:val="24"/>
        </w:rPr>
        <w:t>根据《国家危险废物名录》以及《危险废物鉴别标准》，固废属性判定结果见表 </w:t>
      </w:r>
      <w:r>
        <w:rPr>
          <w:rFonts w:ascii="Times New Roman" w:eastAsia="Times New Roman"/>
          <w:position w:val="1"/>
          <w:sz w:val="24"/>
        </w:rPr>
        <w:t>3.3-16</w:t>
      </w:r>
      <w:r>
        <w:rPr>
          <w:spacing w:val="-14"/>
          <w:sz w:val="24"/>
        </w:rPr>
        <w:t>。</w:t>
      </w:r>
      <w:r>
        <w:rPr>
          <w:b/>
          <w:spacing w:val="-30"/>
          <w:sz w:val="24"/>
        </w:rPr>
        <w:t>表 </w:t>
      </w:r>
      <w:r>
        <w:rPr>
          <w:rFonts w:ascii="Times New Roman" w:eastAsia="Times New Roman"/>
          <w:b/>
          <w:sz w:val="24"/>
        </w:rPr>
        <w:t>3.3-16  </w:t>
      </w:r>
      <w:r>
        <w:rPr>
          <w:b/>
          <w:sz w:val="24"/>
        </w:rPr>
        <w:t>危险废物属性判定表</w:t>
      </w: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spacing w:before="7"/>
        <w:ind w:left="0"/>
        <w:rPr>
          <w:b/>
          <w:sz w:val="23"/>
        </w:rPr>
      </w:pPr>
    </w:p>
    <w:p>
      <w:pPr>
        <w:spacing w:before="0"/>
        <w:ind w:left="657" w:right="0" w:firstLine="0"/>
        <w:jc w:val="left"/>
        <w:rPr>
          <w:sz w:val="21"/>
        </w:rPr>
      </w:pPr>
      <w:r>
        <w:rPr>
          <w:sz w:val="21"/>
        </w:rPr>
        <w:t>注：一般废物代码确定的依据为《一般固体废物分类与代码》（</w:t>
      </w:r>
      <w:r>
        <w:rPr>
          <w:rFonts w:ascii="Times New Roman" w:eastAsia="Times New Roman"/>
          <w:position w:val="1"/>
          <w:sz w:val="21"/>
        </w:rPr>
        <w:t>GB/T 39198-2020</w:t>
      </w:r>
      <w:r>
        <w:rPr>
          <w:sz w:val="21"/>
        </w:rPr>
        <w:t>）。</w:t>
      </w:r>
    </w:p>
    <w:p>
      <w:pPr>
        <w:pStyle w:val="Heading3"/>
        <w:spacing w:before="126"/>
      </w:pPr>
      <w:r>
        <w:rPr>
          <w:rFonts w:ascii="Times New Roman" w:eastAsia="Times New Roman"/>
        </w:rPr>
        <w:t>4</w:t>
      </w:r>
      <w:r>
        <w:rPr/>
        <w:t>、固体废物分析情况汇总</w:t>
      </w:r>
    </w:p>
    <w:p>
      <w:pPr>
        <w:spacing w:line="364" w:lineRule="auto" w:before="161"/>
        <w:ind w:left="2515" w:right="1520" w:hanging="1799"/>
        <w:jc w:val="left"/>
        <w:rPr>
          <w:b/>
          <w:sz w:val="24"/>
        </w:rPr>
      </w:pPr>
      <w:r>
        <w:rPr/>
        <w:pict>
          <v:shape style="position:absolute;margin-left:62.543999pt;margin-top:50.769989pt;width:464.15pt;height:149.950pt;mso-position-horizontal-relative:page;mso-position-vertical-relative:paragraph;z-index:25178112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83"/>
                    <w:gridCol w:w="1515"/>
                    <w:gridCol w:w="514"/>
                    <w:gridCol w:w="1770"/>
                    <w:gridCol w:w="1614"/>
                    <w:gridCol w:w="1016"/>
                    <w:gridCol w:w="1031"/>
                  </w:tblGrid>
                  <w:tr>
                    <w:trPr>
                      <w:trHeight w:val="359" w:hRule="atLeast"/>
                    </w:trPr>
                    <w:tc>
                      <w:tcPr>
                        <w:tcW w:w="1783" w:type="dxa"/>
                        <w:tcBorders>
                          <w:bottom w:val="single" w:sz="4" w:space="0" w:color="000000"/>
                          <w:right w:val="single" w:sz="4" w:space="0" w:color="000000"/>
                        </w:tcBorders>
                      </w:tcPr>
                      <w:p>
                        <w:pPr>
                          <w:pStyle w:val="TableParagraph"/>
                          <w:spacing w:before="46"/>
                          <w:ind w:left="139" w:right="113"/>
                          <w:rPr>
                            <w:rFonts w:ascii="宋体" w:eastAsia="宋体" w:hint="eastAsia"/>
                            <w:b/>
                            <w:sz w:val="21"/>
                          </w:rPr>
                        </w:pPr>
                        <w:r>
                          <w:rPr>
                            <w:rFonts w:ascii="宋体" w:eastAsia="宋体" w:hint="eastAsia"/>
                            <w:b/>
                            <w:sz w:val="21"/>
                          </w:rPr>
                          <w:t>固废种类</w:t>
                        </w:r>
                      </w:p>
                    </w:tc>
                    <w:tc>
                      <w:tcPr>
                        <w:tcW w:w="1515" w:type="dxa"/>
                        <w:tcBorders>
                          <w:left w:val="single" w:sz="4" w:space="0" w:color="000000"/>
                          <w:bottom w:val="single" w:sz="4" w:space="0" w:color="000000"/>
                          <w:right w:val="single" w:sz="4" w:space="0" w:color="000000"/>
                        </w:tcBorders>
                      </w:tcPr>
                      <w:p>
                        <w:pPr>
                          <w:pStyle w:val="TableParagraph"/>
                          <w:spacing w:before="46"/>
                          <w:ind w:left="31" w:right="4"/>
                          <w:rPr>
                            <w:rFonts w:ascii="宋体" w:eastAsia="宋体" w:hint="eastAsia"/>
                            <w:b/>
                            <w:sz w:val="21"/>
                          </w:rPr>
                        </w:pPr>
                        <w:r>
                          <w:rPr>
                            <w:rFonts w:ascii="宋体" w:eastAsia="宋体" w:hint="eastAsia"/>
                            <w:b/>
                            <w:sz w:val="21"/>
                          </w:rPr>
                          <w:t>产生工序</w:t>
                        </w:r>
                      </w:p>
                    </w:tc>
                    <w:tc>
                      <w:tcPr>
                        <w:tcW w:w="514" w:type="dxa"/>
                        <w:tcBorders>
                          <w:left w:val="single" w:sz="4" w:space="0" w:color="000000"/>
                          <w:bottom w:val="single" w:sz="4" w:space="0" w:color="000000"/>
                          <w:right w:val="single" w:sz="4" w:space="0" w:color="000000"/>
                        </w:tcBorders>
                      </w:tcPr>
                      <w:p>
                        <w:pPr>
                          <w:pStyle w:val="TableParagraph"/>
                          <w:spacing w:before="46"/>
                          <w:ind w:right="24"/>
                          <w:jc w:val="right"/>
                          <w:rPr>
                            <w:rFonts w:ascii="宋体" w:eastAsia="宋体" w:hint="eastAsia"/>
                            <w:b/>
                            <w:sz w:val="21"/>
                          </w:rPr>
                        </w:pPr>
                        <w:r>
                          <w:rPr>
                            <w:rFonts w:ascii="宋体" w:eastAsia="宋体" w:hint="eastAsia"/>
                            <w:b/>
                            <w:sz w:val="21"/>
                          </w:rPr>
                          <w:t>形态</w:t>
                        </w:r>
                      </w:p>
                    </w:tc>
                    <w:tc>
                      <w:tcPr>
                        <w:tcW w:w="1770" w:type="dxa"/>
                        <w:tcBorders>
                          <w:left w:val="single" w:sz="4" w:space="0" w:color="000000"/>
                          <w:bottom w:val="single" w:sz="4" w:space="0" w:color="000000"/>
                          <w:right w:val="single" w:sz="4" w:space="0" w:color="000000"/>
                        </w:tcBorders>
                      </w:tcPr>
                      <w:p>
                        <w:pPr>
                          <w:pStyle w:val="TableParagraph"/>
                          <w:spacing w:before="46"/>
                          <w:ind w:left="137" w:right="112"/>
                          <w:rPr>
                            <w:rFonts w:ascii="宋体" w:eastAsia="宋体" w:hint="eastAsia"/>
                            <w:b/>
                            <w:sz w:val="21"/>
                          </w:rPr>
                        </w:pPr>
                        <w:r>
                          <w:rPr>
                            <w:rFonts w:ascii="宋体" w:eastAsia="宋体" w:hint="eastAsia"/>
                            <w:b/>
                            <w:sz w:val="21"/>
                          </w:rPr>
                          <w:t>主要成分</w:t>
                        </w:r>
                      </w:p>
                    </w:tc>
                    <w:tc>
                      <w:tcPr>
                        <w:tcW w:w="1614" w:type="dxa"/>
                        <w:tcBorders>
                          <w:left w:val="single" w:sz="4" w:space="0" w:color="000000"/>
                          <w:bottom w:val="single" w:sz="4" w:space="0" w:color="000000"/>
                          <w:right w:val="single" w:sz="4" w:space="0" w:color="000000"/>
                        </w:tcBorders>
                      </w:tcPr>
                      <w:p>
                        <w:pPr>
                          <w:pStyle w:val="TableParagraph"/>
                          <w:spacing w:before="46"/>
                          <w:ind w:left="99" w:right="71"/>
                          <w:rPr>
                            <w:b/>
                            <w:sz w:val="21"/>
                          </w:rPr>
                        </w:pPr>
                        <w:r>
                          <w:rPr>
                            <w:rFonts w:ascii="宋体" w:eastAsia="宋体" w:hint="eastAsia"/>
                            <w:b/>
                            <w:sz w:val="21"/>
                          </w:rPr>
                          <w:t>预计产生量 </w:t>
                        </w:r>
                        <w:r>
                          <w:rPr>
                            <w:b/>
                            <w:sz w:val="21"/>
                          </w:rPr>
                          <w:t>t/a</w:t>
                        </w:r>
                      </w:p>
                    </w:tc>
                    <w:tc>
                      <w:tcPr>
                        <w:tcW w:w="1016" w:type="dxa"/>
                        <w:tcBorders>
                          <w:left w:val="single" w:sz="4" w:space="0" w:color="000000"/>
                          <w:bottom w:val="single" w:sz="4" w:space="0" w:color="000000"/>
                          <w:right w:val="single" w:sz="4" w:space="0" w:color="000000"/>
                        </w:tcBorders>
                      </w:tcPr>
                      <w:p>
                        <w:pPr>
                          <w:pStyle w:val="TableParagraph"/>
                          <w:spacing w:before="46"/>
                          <w:ind w:left="73" w:right="51"/>
                          <w:rPr>
                            <w:rFonts w:ascii="宋体" w:eastAsia="宋体" w:hint="eastAsia"/>
                            <w:b/>
                            <w:sz w:val="21"/>
                          </w:rPr>
                        </w:pPr>
                        <w:r>
                          <w:rPr>
                            <w:rFonts w:ascii="宋体" w:eastAsia="宋体" w:hint="eastAsia"/>
                            <w:b/>
                            <w:sz w:val="21"/>
                          </w:rPr>
                          <w:t>属性</w:t>
                        </w:r>
                      </w:p>
                    </w:tc>
                    <w:tc>
                      <w:tcPr>
                        <w:tcW w:w="1031" w:type="dxa"/>
                        <w:tcBorders>
                          <w:left w:val="single" w:sz="4" w:space="0" w:color="000000"/>
                          <w:bottom w:val="single" w:sz="4" w:space="0" w:color="000000"/>
                        </w:tcBorders>
                      </w:tcPr>
                      <w:p>
                        <w:pPr>
                          <w:pStyle w:val="TableParagraph"/>
                          <w:spacing w:before="46"/>
                          <w:ind w:left="43" w:right="23"/>
                          <w:rPr>
                            <w:rFonts w:ascii="宋体" w:eastAsia="宋体" w:hint="eastAsia"/>
                            <w:b/>
                            <w:sz w:val="21"/>
                          </w:rPr>
                        </w:pPr>
                        <w:r>
                          <w:rPr>
                            <w:rFonts w:ascii="宋体" w:eastAsia="宋体" w:hint="eastAsia"/>
                            <w:b/>
                            <w:sz w:val="21"/>
                          </w:rPr>
                          <w:t>危废代码</w:t>
                        </w:r>
                      </w:p>
                    </w:tc>
                  </w:tr>
                  <w:tr>
                    <w:trPr>
                      <w:trHeight w:val="357" w:hRule="atLeast"/>
                    </w:trPr>
                    <w:tc>
                      <w:tcPr>
                        <w:tcW w:w="1783" w:type="dxa"/>
                        <w:tcBorders>
                          <w:top w:val="single" w:sz="4" w:space="0" w:color="000000"/>
                          <w:bottom w:val="single" w:sz="4" w:space="0" w:color="000000"/>
                          <w:right w:val="single" w:sz="4" w:space="0" w:color="000000"/>
                        </w:tcBorders>
                      </w:tcPr>
                      <w:p>
                        <w:pPr>
                          <w:pStyle w:val="TableParagraph"/>
                          <w:spacing w:before="46"/>
                          <w:ind w:left="139" w:right="111"/>
                          <w:rPr>
                            <w:rFonts w:ascii="宋体" w:eastAsia="宋体" w:hint="eastAsia"/>
                            <w:sz w:val="21"/>
                          </w:rPr>
                        </w:pPr>
                        <w:r>
                          <w:rPr>
                            <w:rFonts w:ascii="宋体" w:eastAsia="宋体" w:hint="eastAsia"/>
                            <w:sz w:val="21"/>
                          </w:rPr>
                          <w:t>发酵产物</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before="46"/>
                          <w:ind w:left="31" w:right="7"/>
                          <w:rPr>
                            <w:rFonts w:ascii="宋体" w:eastAsia="宋体" w:hint="eastAsia"/>
                            <w:sz w:val="21"/>
                          </w:rPr>
                        </w:pPr>
                        <w:r>
                          <w:rPr>
                            <w:rFonts w:ascii="宋体" w:eastAsia="宋体" w:hint="eastAsia"/>
                            <w:sz w:val="21"/>
                          </w:rPr>
                          <w:t>猪粪发酵罐</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46"/>
                          <w:ind w:right="24"/>
                          <w:jc w:val="right"/>
                          <w:rPr>
                            <w:rFonts w:ascii="宋体" w:eastAsia="宋体" w:hint="eastAsia"/>
                            <w:sz w:val="21"/>
                          </w:rPr>
                        </w:pPr>
                        <w:r>
                          <w:rPr>
                            <w:rFonts w:ascii="宋体" w:eastAsia="宋体" w:hint="eastAsia"/>
                            <w:sz w:val="21"/>
                          </w:rPr>
                          <w:t>固态</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46"/>
                          <w:ind w:left="137" w:right="113"/>
                          <w:rPr>
                            <w:rFonts w:ascii="宋体" w:eastAsia="宋体" w:hint="eastAsia"/>
                            <w:sz w:val="21"/>
                          </w:rPr>
                        </w:pPr>
                        <w:r>
                          <w:rPr>
                            <w:rFonts w:ascii="宋体" w:eastAsia="宋体" w:hint="eastAsia"/>
                            <w:sz w:val="21"/>
                          </w:rPr>
                          <w:t>粪便、尿液等</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ind w:left="98" w:right="71"/>
                          <w:rPr>
                            <w:sz w:val="21"/>
                          </w:rPr>
                        </w:pPr>
                        <w:r>
                          <w:rPr>
                            <w:sz w:val="21"/>
                          </w:rPr>
                          <w:t>22695.0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46"/>
                          <w:ind w:left="75" w:right="51"/>
                          <w:rPr>
                            <w:rFonts w:ascii="宋体" w:eastAsia="宋体" w:hint="eastAsia"/>
                            <w:sz w:val="21"/>
                          </w:rPr>
                        </w:pPr>
                        <w:r>
                          <w:rPr>
                            <w:rFonts w:ascii="宋体" w:eastAsia="宋体" w:hint="eastAsia"/>
                            <w:sz w:val="21"/>
                          </w:rPr>
                          <w:t>一般废物</w:t>
                        </w:r>
                      </w:p>
                    </w:tc>
                    <w:tc>
                      <w:tcPr>
                        <w:tcW w:w="1031" w:type="dxa"/>
                        <w:tcBorders>
                          <w:top w:val="single" w:sz="4" w:space="0" w:color="000000"/>
                          <w:left w:val="single" w:sz="4" w:space="0" w:color="000000"/>
                          <w:bottom w:val="single" w:sz="4" w:space="0" w:color="000000"/>
                        </w:tcBorders>
                      </w:tcPr>
                      <w:p>
                        <w:pPr>
                          <w:pStyle w:val="TableParagraph"/>
                          <w:ind w:left="17"/>
                          <w:rPr>
                            <w:sz w:val="21"/>
                          </w:rPr>
                        </w:pPr>
                        <w:r>
                          <w:rPr>
                            <w:w w:val="100"/>
                            <w:sz w:val="21"/>
                          </w:rPr>
                          <w:t>/</w:t>
                        </w:r>
                      </w:p>
                    </w:tc>
                  </w:tr>
                  <w:tr>
                    <w:trPr>
                      <w:trHeight w:val="360" w:hRule="atLeast"/>
                    </w:trPr>
                    <w:tc>
                      <w:tcPr>
                        <w:tcW w:w="1783" w:type="dxa"/>
                        <w:tcBorders>
                          <w:top w:val="single" w:sz="4" w:space="0" w:color="000000"/>
                          <w:bottom w:val="single" w:sz="4" w:space="0" w:color="000000"/>
                          <w:right w:val="single" w:sz="4" w:space="0" w:color="000000"/>
                        </w:tcBorders>
                      </w:tcPr>
                      <w:p>
                        <w:pPr>
                          <w:pStyle w:val="TableParagraph"/>
                          <w:spacing w:before="49"/>
                          <w:ind w:left="139" w:right="113"/>
                          <w:rPr>
                            <w:rFonts w:ascii="宋体" w:eastAsia="宋体" w:hint="eastAsia"/>
                            <w:sz w:val="21"/>
                          </w:rPr>
                        </w:pPr>
                        <w:r>
                          <w:rPr>
                            <w:rFonts w:ascii="宋体" w:eastAsia="宋体" w:hint="eastAsia"/>
                            <w:sz w:val="21"/>
                          </w:rPr>
                          <w:t>一般废包装物</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before="49"/>
                          <w:ind w:left="31" w:right="7"/>
                          <w:rPr>
                            <w:rFonts w:ascii="宋体" w:eastAsia="宋体" w:hint="eastAsia"/>
                            <w:sz w:val="21"/>
                          </w:rPr>
                        </w:pPr>
                        <w:r>
                          <w:rPr>
                            <w:rFonts w:ascii="宋体" w:eastAsia="宋体" w:hint="eastAsia"/>
                            <w:sz w:val="21"/>
                          </w:rPr>
                          <w:t>非危化品包装</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49"/>
                          <w:ind w:right="24"/>
                          <w:jc w:val="right"/>
                          <w:rPr>
                            <w:rFonts w:ascii="宋体" w:eastAsia="宋体" w:hint="eastAsia"/>
                            <w:sz w:val="21"/>
                          </w:rPr>
                        </w:pPr>
                        <w:r>
                          <w:rPr>
                            <w:rFonts w:ascii="宋体" w:eastAsia="宋体" w:hint="eastAsia"/>
                            <w:sz w:val="21"/>
                          </w:rPr>
                          <w:t>固态</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49"/>
                          <w:ind w:left="137" w:right="110"/>
                          <w:rPr>
                            <w:rFonts w:ascii="宋体" w:eastAsia="宋体" w:hint="eastAsia"/>
                            <w:sz w:val="21"/>
                          </w:rPr>
                        </w:pPr>
                        <w:r>
                          <w:rPr>
                            <w:rFonts w:ascii="宋体" w:eastAsia="宋体" w:hint="eastAsia"/>
                            <w:sz w:val="21"/>
                          </w:rPr>
                          <w:t>塑料编织袋</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spacing w:before="60"/>
                          <w:ind w:left="96" w:right="71"/>
                          <w:rPr>
                            <w:sz w:val="21"/>
                          </w:rPr>
                        </w:pPr>
                        <w:r>
                          <w:rPr>
                            <w:sz w:val="21"/>
                          </w:rPr>
                          <w:t>40.0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49"/>
                          <w:ind w:left="75" w:right="51"/>
                          <w:rPr>
                            <w:rFonts w:ascii="宋体" w:eastAsia="宋体" w:hint="eastAsia"/>
                            <w:sz w:val="21"/>
                          </w:rPr>
                        </w:pPr>
                        <w:r>
                          <w:rPr>
                            <w:rFonts w:ascii="宋体" w:eastAsia="宋体" w:hint="eastAsia"/>
                            <w:sz w:val="21"/>
                          </w:rPr>
                          <w:t>一般废物</w:t>
                        </w:r>
                      </w:p>
                    </w:tc>
                    <w:tc>
                      <w:tcPr>
                        <w:tcW w:w="1031" w:type="dxa"/>
                        <w:tcBorders>
                          <w:top w:val="single" w:sz="4" w:space="0" w:color="000000"/>
                          <w:left w:val="single" w:sz="4" w:space="0" w:color="000000"/>
                          <w:bottom w:val="single" w:sz="4" w:space="0" w:color="000000"/>
                        </w:tcBorders>
                      </w:tcPr>
                      <w:p>
                        <w:pPr>
                          <w:pStyle w:val="TableParagraph"/>
                          <w:spacing w:before="60"/>
                          <w:ind w:left="17"/>
                          <w:rPr>
                            <w:sz w:val="21"/>
                          </w:rPr>
                        </w:pPr>
                        <w:r>
                          <w:rPr>
                            <w:w w:val="100"/>
                            <w:sz w:val="21"/>
                          </w:rPr>
                          <w:t>/</w:t>
                        </w:r>
                      </w:p>
                    </w:tc>
                  </w:tr>
                  <w:tr>
                    <w:trPr>
                      <w:trHeight w:val="359" w:hRule="atLeast"/>
                    </w:trPr>
                    <w:tc>
                      <w:tcPr>
                        <w:tcW w:w="1783" w:type="dxa"/>
                        <w:tcBorders>
                          <w:top w:val="single" w:sz="4" w:space="0" w:color="000000"/>
                          <w:bottom w:val="single" w:sz="4" w:space="0" w:color="000000"/>
                          <w:right w:val="single" w:sz="4" w:space="0" w:color="000000"/>
                        </w:tcBorders>
                      </w:tcPr>
                      <w:p>
                        <w:pPr>
                          <w:pStyle w:val="TableParagraph"/>
                          <w:spacing w:before="46"/>
                          <w:ind w:left="139" w:right="113"/>
                          <w:rPr>
                            <w:rFonts w:ascii="宋体" w:eastAsia="宋体" w:hint="eastAsia"/>
                            <w:sz w:val="21"/>
                          </w:rPr>
                        </w:pPr>
                        <w:r>
                          <w:rPr>
                            <w:rFonts w:ascii="宋体" w:eastAsia="宋体" w:hint="eastAsia"/>
                            <w:sz w:val="21"/>
                          </w:rPr>
                          <w:t>危化品废包装物</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before="46"/>
                          <w:ind w:left="31" w:right="7"/>
                          <w:rPr>
                            <w:rFonts w:ascii="宋体" w:eastAsia="宋体" w:hint="eastAsia"/>
                            <w:sz w:val="21"/>
                          </w:rPr>
                        </w:pPr>
                        <w:r>
                          <w:rPr>
                            <w:rFonts w:ascii="宋体" w:eastAsia="宋体" w:hint="eastAsia"/>
                            <w:sz w:val="21"/>
                          </w:rPr>
                          <w:t>危化品包装</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46"/>
                          <w:ind w:right="24"/>
                          <w:jc w:val="right"/>
                          <w:rPr>
                            <w:rFonts w:ascii="宋体" w:eastAsia="宋体" w:hint="eastAsia"/>
                            <w:sz w:val="21"/>
                          </w:rPr>
                        </w:pPr>
                        <w:r>
                          <w:rPr>
                            <w:rFonts w:ascii="宋体" w:eastAsia="宋体" w:hint="eastAsia"/>
                            <w:sz w:val="21"/>
                          </w:rPr>
                          <w:t>固态</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46"/>
                          <w:ind w:left="137" w:right="113"/>
                          <w:rPr>
                            <w:rFonts w:ascii="宋体" w:eastAsia="宋体" w:hint="eastAsia"/>
                            <w:sz w:val="21"/>
                          </w:rPr>
                        </w:pPr>
                        <w:r>
                          <w:rPr>
                            <w:rFonts w:ascii="宋体" w:eastAsia="宋体" w:hint="eastAsia"/>
                            <w:sz w:val="21"/>
                          </w:rPr>
                          <w:t>塑料、金属等</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ind w:left="96" w:right="71"/>
                          <w:rPr>
                            <w:sz w:val="21"/>
                          </w:rPr>
                        </w:pPr>
                        <w:r>
                          <w:rPr>
                            <w:sz w:val="21"/>
                          </w:rPr>
                          <w:t>0.6</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46"/>
                          <w:ind w:left="75" w:right="51"/>
                          <w:rPr>
                            <w:rFonts w:ascii="宋体" w:eastAsia="宋体" w:hint="eastAsia"/>
                            <w:sz w:val="21"/>
                          </w:rPr>
                        </w:pPr>
                        <w:r>
                          <w:rPr>
                            <w:rFonts w:ascii="宋体" w:eastAsia="宋体" w:hint="eastAsia"/>
                            <w:sz w:val="21"/>
                          </w:rPr>
                          <w:t>危险废物</w:t>
                        </w:r>
                      </w:p>
                    </w:tc>
                    <w:tc>
                      <w:tcPr>
                        <w:tcW w:w="1031" w:type="dxa"/>
                        <w:tcBorders>
                          <w:top w:val="single" w:sz="4" w:space="0" w:color="000000"/>
                          <w:left w:val="single" w:sz="4" w:space="0" w:color="000000"/>
                          <w:bottom w:val="single" w:sz="4" w:space="0" w:color="000000"/>
                        </w:tcBorders>
                      </w:tcPr>
                      <w:p>
                        <w:pPr>
                          <w:pStyle w:val="TableParagraph"/>
                          <w:ind w:left="41" w:right="23"/>
                          <w:rPr>
                            <w:sz w:val="21"/>
                          </w:rPr>
                        </w:pPr>
                        <w:r>
                          <w:rPr>
                            <w:sz w:val="21"/>
                          </w:rPr>
                          <w:t>HW49</w:t>
                        </w:r>
                      </w:p>
                    </w:tc>
                  </w:tr>
                  <w:tr>
                    <w:trPr>
                      <w:trHeight w:val="357" w:hRule="atLeast"/>
                    </w:trPr>
                    <w:tc>
                      <w:tcPr>
                        <w:tcW w:w="1783" w:type="dxa"/>
                        <w:tcBorders>
                          <w:top w:val="single" w:sz="4" w:space="0" w:color="000000"/>
                          <w:bottom w:val="single" w:sz="4" w:space="0" w:color="000000"/>
                          <w:right w:val="single" w:sz="4" w:space="0" w:color="000000"/>
                        </w:tcBorders>
                      </w:tcPr>
                      <w:p>
                        <w:pPr>
                          <w:pStyle w:val="TableParagraph"/>
                          <w:spacing w:before="46"/>
                          <w:ind w:left="139" w:right="111"/>
                          <w:rPr>
                            <w:rFonts w:ascii="宋体" w:eastAsia="宋体" w:hint="eastAsia"/>
                            <w:sz w:val="21"/>
                          </w:rPr>
                        </w:pPr>
                        <w:r>
                          <w:rPr>
                            <w:rFonts w:ascii="宋体" w:eastAsia="宋体" w:hint="eastAsia"/>
                            <w:sz w:val="21"/>
                          </w:rPr>
                          <w:t>废矿物油</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before="46"/>
                          <w:ind w:left="31" w:right="5"/>
                          <w:rPr>
                            <w:rFonts w:ascii="宋体" w:eastAsia="宋体" w:hint="eastAsia"/>
                            <w:sz w:val="21"/>
                          </w:rPr>
                        </w:pPr>
                        <w:r>
                          <w:rPr>
                            <w:rFonts w:ascii="宋体" w:eastAsia="宋体" w:hint="eastAsia"/>
                            <w:sz w:val="21"/>
                          </w:rPr>
                          <w:t>无害化处理机</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46"/>
                          <w:ind w:right="24"/>
                          <w:jc w:val="right"/>
                          <w:rPr>
                            <w:rFonts w:ascii="宋体" w:eastAsia="宋体" w:hint="eastAsia"/>
                            <w:sz w:val="21"/>
                          </w:rPr>
                        </w:pPr>
                        <w:r>
                          <w:rPr>
                            <w:rFonts w:ascii="宋体" w:eastAsia="宋体" w:hint="eastAsia"/>
                            <w:sz w:val="21"/>
                          </w:rPr>
                          <w:t>液态</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46"/>
                          <w:ind w:left="137" w:right="110"/>
                          <w:rPr>
                            <w:rFonts w:ascii="宋体" w:eastAsia="宋体" w:hint="eastAsia"/>
                            <w:sz w:val="21"/>
                          </w:rPr>
                        </w:pPr>
                        <w:r>
                          <w:rPr>
                            <w:rFonts w:ascii="宋体" w:eastAsia="宋体" w:hint="eastAsia"/>
                            <w:sz w:val="21"/>
                          </w:rPr>
                          <w:t>废导热油</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ind w:left="96" w:right="71"/>
                          <w:rPr>
                            <w:sz w:val="21"/>
                          </w:rPr>
                        </w:pPr>
                        <w:r>
                          <w:rPr>
                            <w:sz w:val="21"/>
                          </w:rPr>
                          <w:t>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46"/>
                          <w:ind w:left="75" w:right="51"/>
                          <w:rPr>
                            <w:rFonts w:ascii="宋体" w:eastAsia="宋体" w:hint="eastAsia"/>
                            <w:sz w:val="21"/>
                          </w:rPr>
                        </w:pPr>
                        <w:r>
                          <w:rPr>
                            <w:rFonts w:ascii="宋体" w:eastAsia="宋体" w:hint="eastAsia"/>
                            <w:sz w:val="21"/>
                          </w:rPr>
                          <w:t>危险废物</w:t>
                        </w:r>
                      </w:p>
                    </w:tc>
                    <w:tc>
                      <w:tcPr>
                        <w:tcW w:w="1031" w:type="dxa"/>
                        <w:tcBorders>
                          <w:top w:val="single" w:sz="4" w:space="0" w:color="000000"/>
                          <w:left w:val="single" w:sz="4" w:space="0" w:color="000000"/>
                          <w:bottom w:val="single" w:sz="4" w:space="0" w:color="000000"/>
                        </w:tcBorders>
                      </w:tcPr>
                      <w:p>
                        <w:pPr>
                          <w:pStyle w:val="TableParagraph"/>
                          <w:ind w:left="41" w:right="23"/>
                          <w:rPr>
                            <w:sz w:val="21"/>
                          </w:rPr>
                        </w:pPr>
                        <w:r>
                          <w:rPr>
                            <w:sz w:val="21"/>
                          </w:rPr>
                          <w:t>HW08</w:t>
                        </w:r>
                      </w:p>
                    </w:tc>
                  </w:tr>
                  <w:tr>
                    <w:trPr>
                      <w:trHeight w:val="359" w:hRule="atLeast"/>
                    </w:trPr>
                    <w:tc>
                      <w:tcPr>
                        <w:tcW w:w="1783" w:type="dxa"/>
                        <w:tcBorders>
                          <w:top w:val="single" w:sz="4" w:space="0" w:color="000000"/>
                          <w:bottom w:val="single" w:sz="4" w:space="0" w:color="000000"/>
                          <w:right w:val="single" w:sz="4" w:space="0" w:color="000000"/>
                        </w:tcBorders>
                      </w:tcPr>
                      <w:p>
                        <w:pPr>
                          <w:pStyle w:val="TableParagraph"/>
                          <w:spacing w:before="49"/>
                          <w:ind w:left="139" w:right="111"/>
                          <w:rPr>
                            <w:rFonts w:ascii="宋体" w:eastAsia="宋体" w:hint="eastAsia"/>
                            <w:sz w:val="21"/>
                          </w:rPr>
                        </w:pPr>
                        <w:r>
                          <w:rPr>
                            <w:rFonts w:ascii="宋体" w:eastAsia="宋体" w:hint="eastAsia"/>
                            <w:sz w:val="21"/>
                          </w:rPr>
                          <w:t>医疗废物</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before="49"/>
                          <w:ind w:left="31" w:right="7"/>
                          <w:rPr>
                            <w:rFonts w:ascii="宋体" w:eastAsia="宋体" w:hint="eastAsia"/>
                            <w:sz w:val="21"/>
                          </w:rPr>
                        </w:pPr>
                        <w:r>
                          <w:rPr>
                            <w:rFonts w:ascii="宋体" w:eastAsia="宋体" w:hint="eastAsia"/>
                            <w:sz w:val="21"/>
                          </w:rPr>
                          <w:t>猪卫生防疫</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49"/>
                          <w:ind w:right="24"/>
                          <w:jc w:val="right"/>
                          <w:rPr>
                            <w:rFonts w:ascii="宋体" w:eastAsia="宋体" w:hint="eastAsia"/>
                            <w:sz w:val="21"/>
                          </w:rPr>
                        </w:pPr>
                        <w:r>
                          <w:rPr>
                            <w:rFonts w:ascii="宋体" w:eastAsia="宋体" w:hint="eastAsia"/>
                            <w:sz w:val="21"/>
                          </w:rPr>
                          <w:t>固态</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49"/>
                          <w:ind w:left="137" w:right="113"/>
                          <w:rPr>
                            <w:rFonts w:ascii="宋体" w:eastAsia="宋体" w:hint="eastAsia"/>
                            <w:sz w:val="21"/>
                          </w:rPr>
                        </w:pPr>
                        <w:r>
                          <w:rPr>
                            <w:rFonts w:ascii="宋体" w:eastAsia="宋体" w:hint="eastAsia"/>
                            <w:sz w:val="21"/>
                          </w:rPr>
                          <w:t>沾染药物的物品</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spacing w:before="60"/>
                          <w:ind w:left="96" w:right="71"/>
                          <w:rPr>
                            <w:sz w:val="21"/>
                          </w:rPr>
                        </w:pPr>
                        <w:r>
                          <w:rPr>
                            <w:sz w:val="21"/>
                          </w:rPr>
                          <w:t>4.3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49"/>
                          <w:ind w:left="75" w:right="51"/>
                          <w:rPr>
                            <w:rFonts w:ascii="宋体" w:eastAsia="宋体" w:hint="eastAsia"/>
                            <w:sz w:val="21"/>
                          </w:rPr>
                        </w:pPr>
                        <w:r>
                          <w:rPr>
                            <w:rFonts w:ascii="宋体" w:eastAsia="宋体" w:hint="eastAsia"/>
                            <w:sz w:val="21"/>
                          </w:rPr>
                          <w:t>危险废物</w:t>
                        </w:r>
                      </w:p>
                    </w:tc>
                    <w:tc>
                      <w:tcPr>
                        <w:tcW w:w="1031" w:type="dxa"/>
                        <w:tcBorders>
                          <w:top w:val="single" w:sz="4" w:space="0" w:color="000000"/>
                          <w:left w:val="single" w:sz="4" w:space="0" w:color="000000"/>
                          <w:bottom w:val="single" w:sz="4" w:space="0" w:color="000000"/>
                        </w:tcBorders>
                      </w:tcPr>
                      <w:p>
                        <w:pPr>
                          <w:pStyle w:val="TableParagraph"/>
                          <w:spacing w:before="60"/>
                          <w:ind w:left="41" w:right="23"/>
                          <w:rPr>
                            <w:sz w:val="21"/>
                          </w:rPr>
                        </w:pPr>
                        <w:r>
                          <w:rPr>
                            <w:sz w:val="21"/>
                          </w:rPr>
                          <w:t>HW01</w:t>
                        </w:r>
                      </w:p>
                    </w:tc>
                  </w:tr>
                  <w:tr>
                    <w:trPr>
                      <w:trHeight w:val="359" w:hRule="atLeast"/>
                    </w:trPr>
                    <w:tc>
                      <w:tcPr>
                        <w:tcW w:w="1783" w:type="dxa"/>
                        <w:tcBorders>
                          <w:top w:val="single" w:sz="4" w:space="0" w:color="000000"/>
                          <w:bottom w:val="single" w:sz="4" w:space="0" w:color="000000"/>
                          <w:right w:val="single" w:sz="4" w:space="0" w:color="000000"/>
                        </w:tcBorders>
                      </w:tcPr>
                      <w:p>
                        <w:pPr>
                          <w:pStyle w:val="TableParagraph"/>
                          <w:spacing w:before="46"/>
                          <w:ind w:left="139" w:right="111"/>
                          <w:rPr>
                            <w:rFonts w:ascii="宋体" w:eastAsia="宋体" w:hint="eastAsia"/>
                            <w:sz w:val="21"/>
                          </w:rPr>
                        </w:pPr>
                        <w:r>
                          <w:rPr>
                            <w:rFonts w:ascii="宋体" w:eastAsia="宋体" w:hint="eastAsia"/>
                            <w:sz w:val="21"/>
                          </w:rPr>
                          <w:t>废脱硫剂</w:t>
                        </w:r>
                      </w:p>
                    </w:tc>
                    <w:tc>
                      <w:tcPr>
                        <w:tcW w:w="1515" w:type="dxa"/>
                        <w:tcBorders>
                          <w:top w:val="single" w:sz="4" w:space="0" w:color="000000"/>
                          <w:left w:val="single" w:sz="4" w:space="0" w:color="000000"/>
                          <w:bottom w:val="single" w:sz="4" w:space="0" w:color="000000"/>
                          <w:right w:val="single" w:sz="4" w:space="0" w:color="000000"/>
                        </w:tcBorders>
                      </w:tcPr>
                      <w:p>
                        <w:pPr>
                          <w:pStyle w:val="TableParagraph"/>
                          <w:spacing w:before="46"/>
                          <w:ind w:left="31" w:right="7"/>
                          <w:rPr>
                            <w:rFonts w:ascii="宋体" w:eastAsia="宋体" w:hint="eastAsia"/>
                            <w:sz w:val="21"/>
                          </w:rPr>
                        </w:pPr>
                        <w:r>
                          <w:rPr>
                            <w:rFonts w:ascii="宋体" w:eastAsia="宋体" w:hint="eastAsia"/>
                            <w:sz w:val="21"/>
                          </w:rPr>
                          <w:t>沼气脱硫</w:t>
                        </w:r>
                      </w:p>
                    </w:tc>
                    <w:tc>
                      <w:tcPr>
                        <w:tcW w:w="514" w:type="dxa"/>
                        <w:tcBorders>
                          <w:top w:val="single" w:sz="4" w:space="0" w:color="000000"/>
                          <w:left w:val="single" w:sz="4" w:space="0" w:color="000000"/>
                          <w:bottom w:val="single" w:sz="4" w:space="0" w:color="000000"/>
                          <w:right w:val="single" w:sz="4" w:space="0" w:color="000000"/>
                        </w:tcBorders>
                      </w:tcPr>
                      <w:p>
                        <w:pPr>
                          <w:pStyle w:val="TableParagraph"/>
                          <w:spacing w:before="46"/>
                          <w:ind w:right="24"/>
                          <w:jc w:val="right"/>
                          <w:rPr>
                            <w:rFonts w:ascii="宋体" w:eastAsia="宋体" w:hint="eastAsia"/>
                            <w:sz w:val="21"/>
                          </w:rPr>
                        </w:pPr>
                        <w:r>
                          <w:rPr>
                            <w:rFonts w:ascii="宋体" w:eastAsia="宋体" w:hint="eastAsia"/>
                            <w:sz w:val="21"/>
                          </w:rPr>
                          <w:t>固态</w:t>
                        </w:r>
                      </w:p>
                    </w:tc>
                    <w:tc>
                      <w:tcPr>
                        <w:tcW w:w="1770" w:type="dxa"/>
                        <w:tcBorders>
                          <w:top w:val="single" w:sz="4" w:space="0" w:color="000000"/>
                          <w:left w:val="single" w:sz="4" w:space="0" w:color="000000"/>
                          <w:bottom w:val="single" w:sz="4" w:space="0" w:color="000000"/>
                          <w:right w:val="single" w:sz="4" w:space="0" w:color="000000"/>
                        </w:tcBorders>
                      </w:tcPr>
                      <w:p>
                        <w:pPr>
                          <w:pStyle w:val="TableParagraph"/>
                          <w:spacing w:before="46"/>
                          <w:ind w:left="137" w:right="112"/>
                          <w:rPr>
                            <w:rFonts w:ascii="宋体" w:eastAsia="宋体" w:hint="eastAsia"/>
                            <w:sz w:val="21"/>
                          </w:rPr>
                        </w:pPr>
                        <w:r>
                          <w:rPr>
                            <w:rFonts w:ascii="宋体" w:eastAsia="宋体" w:hint="eastAsia"/>
                            <w:sz w:val="21"/>
                          </w:rPr>
                          <w:t>硫磺</w:t>
                        </w:r>
                      </w:p>
                    </w:tc>
                    <w:tc>
                      <w:tcPr>
                        <w:tcW w:w="1614" w:type="dxa"/>
                        <w:tcBorders>
                          <w:top w:val="single" w:sz="4" w:space="0" w:color="000000"/>
                          <w:left w:val="single" w:sz="4" w:space="0" w:color="000000"/>
                          <w:bottom w:val="single" w:sz="4" w:space="0" w:color="000000"/>
                          <w:right w:val="single" w:sz="4" w:space="0" w:color="000000"/>
                        </w:tcBorders>
                      </w:tcPr>
                      <w:p>
                        <w:pPr>
                          <w:pStyle w:val="TableParagraph"/>
                          <w:ind w:left="96" w:right="71"/>
                          <w:rPr>
                            <w:sz w:val="21"/>
                          </w:rPr>
                        </w:pPr>
                        <w:r>
                          <w:rPr>
                            <w:sz w:val="21"/>
                          </w:rPr>
                          <w:t>8.0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46"/>
                          <w:ind w:left="75" w:right="51"/>
                          <w:rPr>
                            <w:rFonts w:ascii="宋体" w:eastAsia="宋体" w:hint="eastAsia"/>
                            <w:sz w:val="21"/>
                          </w:rPr>
                        </w:pPr>
                        <w:r>
                          <w:rPr>
                            <w:rFonts w:ascii="宋体" w:eastAsia="宋体" w:hint="eastAsia"/>
                            <w:sz w:val="21"/>
                          </w:rPr>
                          <w:t>一般废物</w:t>
                        </w:r>
                      </w:p>
                    </w:tc>
                    <w:tc>
                      <w:tcPr>
                        <w:tcW w:w="1031" w:type="dxa"/>
                        <w:tcBorders>
                          <w:top w:val="single" w:sz="4" w:space="0" w:color="000000"/>
                          <w:left w:val="single" w:sz="4" w:space="0" w:color="000000"/>
                          <w:bottom w:val="single" w:sz="4" w:space="0" w:color="000000"/>
                        </w:tcBorders>
                      </w:tcPr>
                      <w:p>
                        <w:pPr>
                          <w:pStyle w:val="TableParagraph"/>
                          <w:ind w:left="17"/>
                          <w:rPr>
                            <w:sz w:val="21"/>
                          </w:rPr>
                        </w:pPr>
                        <w:r>
                          <w:rPr>
                            <w:w w:val="100"/>
                            <w:sz w:val="21"/>
                          </w:rPr>
                          <w:t>/</w:t>
                        </w:r>
                      </w:p>
                    </w:tc>
                  </w:tr>
                  <w:tr>
                    <w:trPr>
                      <w:trHeight w:val="356" w:hRule="atLeast"/>
                    </w:trPr>
                    <w:tc>
                      <w:tcPr>
                        <w:tcW w:w="1783" w:type="dxa"/>
                        <w:tcBorders>
                          <w:top w:val="single" w:sz="4" w:space="0" w:color="000000"/>
                          <w:right w:val="single" w:sz="4" w:space="0" w:color="000000"/>
                        </w:tcBorders>
                      </w:tcPr>
                      <w:p>
                        <w:pPr>
                          <w:pStyle w:val="TableParagraph"/>
                          <w:spacing w:before="46"/>
                          <w:ind w:left="139" w:right="111"/>
                          <w:rPr>
                            <w:rFonts w:ascii="宋体" w:eastAsia="宋体" w:hint="eastAsia"/>
                            <w:sz w:val="21"/>
                          </w:rPr>
                        </w:pPr>
                        <w:r>
                          <w:rPr>
                            <w:rFonts w:ascii="宋体" w:eastAsia="宋体" w:hint="eastAsia"/>
                            <w:sz w:val="21"/>
                          </w:rPr>
                          <w:t>生活垃圾</w:t>
                        </w:r>
                      </w:p>
                    </w:tc>
                    <w:tc>
                      <w:tcPr>
                        <w:tcW w:w="1515" w:type="dxa"/>
                        <w:tcBorders>
                          <w:top w:val="single" w:sz="4" w:space="0" w:color="000000"/>
                          <w:left w:val="single" w:sz="4" w:space="0" w:color="000000"/>
                          <w:right w:val="single" w:sz="4" w:space="0" w:color="000000"/>
                        </w:tcBorders>
                      </w:tcPr>
                      <w:p>
                        <w:pPr>
                          <w:pStyle w:val="TableParagraph"/>
                          <w:spacing w:before="46"/>
                          <w:ind w:left="31" w:right="7"/>
                          <w:rPr>
                            <w:rFonts w:ascii="宋体" w:eastAsia="宋体" w:hint="eastAsia"/>
                            <w:sz w:val="21"/>
                          </w:rPr>
                        </w:pPr>
                        <w:r>
                          <w:rPr>
                            <w:rFonts w:ascii="宋体" w:eastAsia="宋体" w:hint="eastAsia"/>
                            <w:sz w:val="21"/>
                          </w:rPr>
                          <w:t>职工生活</w:t>
                        </w:r>
                      </w:p>
                    </w:tc>
                    <w:tc>
                      <w:tcPr>
                        <w:tcW w:w="514" w:type="dxa"/>
                        <w:tcBorders>
                          <w:top w:val="single" w:sz="4" w:space="0" w:color="000000"/>
                          <w:left w:val="single" w:sz="4" w:space="0" w:color="000000"/>
                          <w:right w:val="single" w:sz="4" w:space="0" w:color="000000"/>
                        </w:tcBorders>
                      </w:tcPr>
                      <w:p>
                        <w:pPr>
                          <w:pStyle w:val="TableParagraph"/>
                          <w:spacing w:before="46"/>
                          <w:ind w:right="24"/>
                          <w:jc w:val="right"/>
                          <w:rPr>
                            <w:rFonts w:ascii="宋体" w:eastAsia="宋体" w:hint="eastAsia"/>
                            <w:sz w:val="21"/>
                          </w:rPr>
                        </w:pPr>
                        <w:r>
                          <w:rPr>
                            <w:rFonts w:ascii="宋体" w:eastAsia="宋体" w:hint="eastAsia"/>
                            <w:sz w:val="21"/>
                          </w:rPr>
                          <w:t>固态</w:t>
                        </w:r>
                      </w:p>
                    </w:tc>
                    <w:tc>
                      <w:tcPr>
                        <w:tcW w:w="1770" w:type="dxa"/>
                        <w:tcBorders>
                          <w:top w:val="single" w:sz="4" w:space="0" w:color="000000"/>
                          <w:left w:val="single" w:sz="4" w:space="0" w:color="000000"/>
                          <w:right w:val="single" w:sz="4" w:space="0" w:color="000000"/>
                        </w:tcBorders>
                      </w:tcPr>
                      <w:p>
                        <w:pPr>
                          <w:pStyle w:val="TableParagraph"/>
                          <w:spacing w:before="46"/>
                          <w:ind w:left="137" w:right="113"/>
                          <w:rPr>
                            <w:rFonts w:ascii="宋体" w:eastAsia="宋体" w:hint="eastAsia"/>
                            <w:sz w:val="21"/>
                          </w:rPr>
                        </w:pPr>
                        <w:r>
                          <w:rPr>
                            <w:rFonts w:ascii="宋体" w:eastAsia="宋体" w:hint="eastAsia"/>
                            <w:sz w:val="21"/>
                          </w:rPr>
                          <w:t>纸、厨余物等</w:t>
                        </w:r>
                      </w:p>
                    </w:tc>
                    <w:tc>
                      <w:tcPr>
                        <w:tcW w:w="1614" w:type="dxa"/>
                        <w:tcBorders>
                          <w:top w:val="single" w:sz="4" w:space="0" w:color="000000"/>
                          <w:left w:val="single" w:sz="4" w:space="0" w:color="000000"/>
                          <w:right w:val="single" w:sz="4" w:space="0" w:color="000000"/>
                        </w:tcBorders>
                      </w:tcPr>
                      <w:p>
                        <w:pPr>
                          <w:pStyle w:val="TableParagraph"/>
                          <w:ind w:left="96" w:right="71"/>
                          <w:rPr>
                            <w:sz w:val="21"/>
                          </w:rPr>
                        </w:pPr>
                        <w:r>
                          <w:rPr>
                            <w:sz w:val="21"/>
                          </w:rPr>
                          <w:t>16.4</w:t>
                        </w:r>
                      </w:p>
                    </w:tc>
                    <w:tc>
                      <w:tcPr>
                        <w:tcW w:w="1016" w:type="dxa"/>
                        <w:tcBorders>
                          <w:top w:val="single" w:sz="4" w:space="0" w:color="000000"/>
                          <w:left w:val="single" w:sz="4" w:space="0" w:color="000000"/>
                          <w:right w:val="single" w:sz="4" w:space="0" w:color="000000"/>
                        </w:tcBorders>
                      </w:tcPr>
                      <w:p>
                        <w:pPr>
                          <w:pStyle w:val="TableParagraph"/>
                          <w:spacing w:before="46"/>
                          <w:ind w:left="75" w:right="51"/>
                          <w:rPr>
                            <w:rFonts w:ascii="宋体" w:eastAsia="宋体" w:hint="eastAsia"/>
                            <w:sz w:val="21"/>
                          </w:rPr>
                        </w:pPr>
                        <w:r>
                          <w:rPr>
                            <w:rFonts w:ascii="宋体" w:eastAsia="宋体" w:hint="eastAsia"/>
                            <w:sz w:val="21"/>
                          </w:rPr>
                          <w:t>生活垃圾</w:t>
                        </w:r>
                      </w:p>
                    </w:tc>
                    <w:tc>
                      <w:tcPr>
                        <w:tcW w:w="1031" w:type="dxa"/>
                        <w:tcBorders>
                          <w:top w:val="single" w:sz="4" w:space="0" w:color="000000"/>
                          <w:left w:val="single" w:sz="4" w:space="0" w:color="000000"/>
                        </w:tcBorders>
                      </w:tcPr>
                      <w:p>
                        <w:pPr>
                          <w:pStyle w:val="TableParagraph"/>
                          <w:ind w:left="17"/>
                          <w:rPr>
                            <w:sz w:val="21"/>
                          </w:rPr>
                        </w:pPr>
                        <w:r>
                          <w:rPr>
                            <w:w w:val="100"/>
                            <w:sz w:val="21"/>
                          </w:rPr>
                          <w:t>/</w:t>
                        </w:r>
                      </w:p>
                    </w:tc>
                  </w:tr>
                </w:tbl>
                <w:p>
                  <w:pPr>
                    <w:pStyle w:val="BodyText"/>
                    <w:ind w:left="0"/>
                  </w:pPr>
                </w:p>
              </w:txbxContent>
            </v:textbox>
            <w10:wrap type="none"/>
          </v:shape>
        </w:pict>
      </w:r>
      <w:r>
        <w:rPr>
          <w:sz w:val="24"/>
        </w:rPr>
        <w:t>项目产生的固体废物名称、类别、属性和数量等情况汇总见表 </w:t>
      </w:r>
      <w:r>
        <w:rPr>
          <w:rFonts w:ascii="Times New Roman" w:eastAsia="Times New Roman"/>
          <w:position w:val="1"/>
          <w:sz w:val="24"/>
        </w:rPr>
        <w:t>3.3-17</w:t>
      </w:r>
      <w:r>
        <w:rPr>
          <w:sz w:val="24"/>
        </w:rPr>
        <w:t>。</w:t>
      </w:r>
      <w:r>
        <w:rPr>
          <w:b/>
          <w:sz w:val="24"/>
        </w:rPr>
        <w:t>表 </w:t>
      </w:r>
      <w:r>
        <w:rPr>
          <w:rFonts w:ascii="Times New Roman" w:eastAsia="Times New Roman"/>
          <w:b/>
          <w:sz w:val="24"/>
        </w:rPr>
        <w:t>3.3-17  </w:t>
      </w:r>
      <w:r>
        <w:rPr>
          <w:b/>
          <w:sz w:val="24"/>
        </w:rPr>
        <w:t>建设项目固体废物分析结果汇总表</w:t>
      </w: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ind w:left="0"/>
        <w:rPr>
          <w:b/>
          <w:sz w:val="26"/>
        </w:rPr>
      </w:pPr>
    </w:p>
    <w:p>
      <w:pPr>
        <w:pStyle w:val="BodyText"/>
        <w:spacing w:before="3"/>
        <w:ind w:left="0"/>
        <w:rPr>
          <w:b/>
          <w:sz w:val="26"/>
        </w:rPr>
      </w:pPr>
    </w:p>
    <w:p>
      <w:pPr>
        <w:pStyle w:val="BodyText"/>
        <w:ind w:left="717"/>
      </w:pPr>
      <w:r>
        <w:rPr/>
        <w:t>可知，本项目固体废物产生总量约 </w:t>
      </w:r>
      <w:r>
        <w:rPr>
          <w:rFonts w:ascii="Times New Roman" w:eastAsia="Times New Roman"/>
          <w:position w:val="1"/>
        </w:rPr>
        <w:t>22764.4t/a</w:t>
      </w:r>
      <w:r>
        <w:rPr/>
        <w:t>，其中生活垃圾约 </w:t>
      </w:r>
      <w:r>
        <w:rPr>
          <w:rFonts w:ascii="Times New Roman" w:eastAsia="Times New Roman"/>
          <w:position w:val="1"/>
        </w:rPr>
        <w:t>16.4t/a</w:t>
      </w:r>
      <w:r>
        <w:rPr/>
        <w:t>，一般废物约</w:t>
      </w:r>
    </w:p>
    <w:p>
      <w:pPr>
        <w:pStyle w:val="BodyText"/>
        <w:spacing w:before="161"/>
      </w:pPr>
      <w:r>
        <w:rPr>
          <w:rFonts w:ascii="Times New Roman" w:eastAsia="Times New Roman"/>
          <w:position w:val="1"/>
        </w:rPr>
        <w:t>22743.</w:t>
      </w:r>
      <w:r>
        <w:rPr>
          <w:rFonts w:ascii="Times New Roman" w:eastAsia="Times New Roman"/>
          <w:spacing w:val="-1"/>
          <w:position w:val="1"/>
        </w:rPr>
        <w:t>0</w:t>
      </w:r>
      <w:r>
        <w:rPr>
          <w:rFonts w:ascii="Times New Roman" w:eastAsia="Times New Roman"/>
          <w:position w:val="1"/>
        </w:rPr>
        <w:t>t/</w:t>
      </w:r>
      <w:r>
        <w:rPr>
          <w:rFonts w:ascii="Times New Roman" w:eastAsia="Times New Roman"/>
          <w:spacing w:val="-1"/>
          <w:position w:val="1"/>
        </w:rPr>
        <w:t>a</w:t>
      </w:r>
      <w:r>
        <w:rPr>
          <w:spacing w:val="-25"/>
        </w:rPr>
        <w:t>，危险废物约 </w:t>
      </w:r>
      <w:r>
        <w:rPr>
          <w:rFonts w:ascii="Times New Roman" w:eastAsia="Times New Roman"/>
          <w:position w:val="1"/>
        </w:rPr>
        <w:t>5.0t</w:t>
      </w:r>
      <w:r>
        <w:rPr>
          <w:rFonts w:ascii="Times New Roman" w:eastAsia="Times New Roman"/>
          <w:spacing w:val="-2"/>
          <w:position w:val="1"/>
        </w:rPr>
        <w:t>/</w:t>
      </w:r>
      <w:r>
        <w:rPr>
          <w:spacing w:val="-238"/>
        </w:rPr>
        <w:t>（</w:t>
      </w:r>
      <w:r>
        <w:rPr>
          <w:rFonts w:ascii="Times New Roman" w:eastAsia="Times New Roman"/>
          <w:position w:val="1"/>
        </w:rPr>
        <w:t>a</w:t>
      </w:r>
      <w:r>
        <w:rPr>
          <w:rFonts w:ascii="Times New Roman" w:eastAsia="Times New Roman"/>
          <w:spacing w:val="5"/>
          <w:position w:val="1"/>
        </w:rPr>
        <w:t>  </w:t>
      </w:r>
      <w:r>
        <w:rPr>
          <w:spacing w:val="-22"/>
        </w:rPr>
        <w:t>包括危化品废包装物、废矿物油、医疗废物，详见表 </w:t>
      </w:r>
      <w:r>
        <w:rPr>
          <w:rFonts w:ascii="Times New Roman" w:eastAsia="Times New Roman"/>
          <w:position w:val="1"/>
        </w:rPr>
        <w:t>3.3</w:t>
      </w:r>
      <w:r>
        <w:rPr>
          <w:rFonts w:ascii="Times New Roman" w:eastAsia="Times New Roman"/>
          <w:spacing w:val="-1"/>
          <w:position w:val="1"/>
        </w:rPr>
        <w:t>-</w:t>
      </w:r>
      <w:r>
        <w:rPr>
          <w:rFonts w:ascii="Times New Roman" w:eastAsia="Times New Roman"/>
          <w:position w:val="1"/>
        </w:rPr>
        <w:t>18</w:t>
      </w:r>
      <w:r>
        <w:rPr>
          <w:spacing w:val="-108"/>
        </w:rPr>
        <w:t>）</w:t>
      </w:r>
      <w:r>
        <w:rPr/>
        <w:t>。</w:t>
      </w:r>
    </w:p>
    <w:p>
      <w:pPr>
        <w:spacing w:after="0"/>
        <w:sectPr>
          <w:pgSz w:w="11910" w:h="16840"/>
          <w:pgMar w:header="874" w:footer="1004" w:top="1400" w:bottom="1200" w:left="1040" w:right="1160"/>
        </w:sectPr>
      </w:pPr>
    </w:p>
    <w:p>
      <w:pPr>
        <w:spacing w:before="68" w:after="19"/>
        <w:ind w:left="3608" w:right="3608"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203"/>
        <w:rPr>
          <w:sz w:val="2"/>
        </w:rPr>
      </w:pPr>
      <w:r>
        <w:rPr>
          <w:sz w:val="2"/>
        </w:rPr>
        <w:pict>
          <v:group style="width:700.9pt;height:.75pt;mso-position-horizontal-relative:char;mso-position-vertical-relative:line" coordorigin="0,0" coordsize="14018,15">
            <v:line style="position:absolute" from="0,7" to="14018,7" stroked="true" strokeweight=".72pt" strokecolor="#000000">
              <v:stroke dashstyle="solid"/>
            </v:line>
          </v:group>
        </w:pict>
      </w:r>
      <w:r>
        <w:rPr>
          <w:sz w:val="2"/>
        </w:rPr>
      </w:r>
    </w:p>
    <w:p>
      <w:pPr>
        <w:pStyle w:val="BodyText"/>
        <w:spacing w:before="3"/>
        <w:ind w:left="0"/>
        <w:rPr>
          <w:sz w:val="23"/>
        </w:rPr>
      </w:pPr>
    </w:p>
    <w:p>
      <w:pPr>
        <w:pStyle w:val="Heading3"/>
        <w:spacing w:before="76"/>
        <w:ind w:left="3609" w:right="3608"/>
        <w:jc w:val="center"/>
      </w:pPr>
      <w:r>
        <w:rPr/>
        <w:t>表 </w:t>
      </w:r>
      <w:r>
        <w:rPr>
          <w:rFonts w:ascii="Times New Roman" w:eastAsia="Times New Roman"/>
        </w:rPr>
        <w:t>3.3-18  </w:t>
      </w:r>
      <w:r>
        <w:rPr/>
        <w:t>项目危险废物分析情况表</w:t>
      </w:r>
    </w:p>
    <w:p>
      <w:pPr>
        <w:pStyle w:val="BodyText"/>
        <w:spacing w:before="2"/>
        <w:ind w:left="0"/>
        <w:rPr>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8"/>
        <w:gridCol w:w="1079"/>
        <w:gridCol w:w="1079"/>
        <w:gridCol w:w="1221"/>
        <w:gridCol w:w="870"/>
        <w:gridCol w:w="1079"/>
        <w:gridCol w:w="738"/>
        <w:gridCol w:w="1139"/>
        <w:gridCol w:w="1093"/>
        <w:gridCol w:w="1139"/>
        <w:gridCol w:w="1125"/>
        <w:gridCol w:w="2953"/>
      </w:tblGrid>
      <w:tr>
        <w:trPr>
          <w:trHeight w:val="716" w:hRule="atLeast"/>
        </w:trPr>
        <w:tc>
          <w:tcPr>
            <w:tcW w:w="648" w:type="dxa"/>
            <w:tcBorders>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92" w:right="71"/>
              <w:rPr>
                <w:rFonts w:ascii="宋体" w:eastAsia="宋体" w:hint="eastAsia"/>
                <w:b/>
                <w:sz w:val="21"/>
              </w:rPr>
            </w:pPr>
            <w:r>
              <w:rPr>
                <w:rFonts w:ascii="宋体" w:eastAsia="宋体" w:hint="eastAsia"/>
                <w:b/>
                <w:sz w:val="21"/>
              </w:rPr>
              <w:t>序号</w:t>
            </w:r>
          </w:p>
        </w:tc>
        <w:tc>
          <w:tcPr>
            <w:tcW w:w="1079" w:type="dxa"/>
            <w:tcBorders>
              <w:left w:val="single" w:sz="6" w:space="0" w:color="000000"/>
              <w:bottom w:val="single" w:sz="6" w:space="0" w:color="000000"/>
              <w:right w:val="single" w:sz="6" w:space="0" w:color="000000"/>
            </w:tcBorders>
          </w:tcPr>
          <w:p>
            <w:pPr>
              <w:pStyle w:val="TableParagraph"/>
              <w:spacing w:before="46"/>
              <w:ind w:left="100" w:right="70"/>
              <w:rPr>
                <w:rFonts w:ascii="宋体" w:eastAsia="宋体" w:hint="eastAsia"/>
                <w:b/>
                <w:sz w:val="21"/>
              </w:rPr>
            </w:pPr>
            <w:r>
              <w:rPr>
                <w:rFonts w:ascii="宋体" w:eastAsia="宋体" w:hint="eastAsia"/>
                <w:b/>
                <w:sz w:val="21"/>
              </w:rPr>
              <w:t>危险废物</w:t>
            </w:r>
          </w:p>
          <w:p>
            <w:pPr>
              <w:pStyle w:val="TableParagraph"/>
              <w:spacing w:before="91"/>
              <w:ind w:left="100" w:right="70"/>
              <w:rPr>
                <w:rFonts w:ascii="宋体" w:eastAsia="宋体" w:hint="eastAsia"/>
                <w:b/>
                <w:sz w:val="21"/>
              </w:rPr>
            </w:pPr>
            <w:r>
              <w:rPr>
                <w:rFonts w:ascii="宋体" w:eastAsia="宋体" w:hint="eastAsia"/>
                <w:b/>
                <w:sz w:val="21"/>
              </w:rPr>
              <w:t>名称</w:t>
            </w:r>
          </w:p>
        </w:tc>
        <w:tc>
          <w:tcPr>
            <w:tcW w:w="1079" w:type="dxa"/>
            <w:tcBorders>
              <w:left w:val="single" w:sz="6" w:space="0" w:color="000000"/>
              <w:bottom w:val="single" w:sz="6" w:space="0" w:color="000000"/>
              <w:right w:val="single" w:sz="6" w:space="0" w:color="000000"/>
            </w:tcBorders>
          </w:tcPr>
          <w:p>
            <w:pPr>
              <w:pStyle w:val="TableParagraph"/>
              <w:spacing w:before="46"/>
              <w:ind w:left="102" w:right="70"/>
              <w:rPr>
                <w:rFonts w:ascii="宋体" w:eastAsia="宋体" w:hint="eastAsia"/>
                <w:b/>
                <w:sz w:val="21"/>
              </w:rPr>
            </w:pPr>
            <w:r>
              <w:rPr>
                <w:rFonts w:ascii="宋体" w:eastAsia="宋体" w:hint="eastAsia"/>
                <w:b/>
                <w:sz w:val="21"/>
              </w:rPr>
              <w:t>危险废物</w:t>
            </w:r>
          </w:p>
          <w:p>
            <w:pPr>
              <w:pStyle w:val="TableParagraph"/>
              <w:spacing w:before="91"/>
              <w:ind w:left="102" w:right="70"/>
              <w:rPr>
                <w:rFonts w:ascii="宋体" w:eastAsia="宋体" w:hint="eastAsia"/>
                <w:b/>
                <w:sz w:val="21"/>
              </w:rPr>
            </w:pPr>
            <w:r>
              <w:rPr>
                <w:rFonts w:ascii="宋体" w:eastAsia="宋体" w:hint="eastAsia"/>
                <w:b/>
                <w:sz w:val="21"/>
              </w:rPr>
              <w:t>类别</w:t>
            </w:r>
          </w:p>
        </w:tc>
        <w:tc>
          <w:tcPr>
            <w:tcW w:w="1221" w:type="dxa"/>
            <w:tcBorders>
              <w:left w:val="single" w:sz="6" w:space="0" w:color="000000"/>
              <w:bottom w:val="single" w:sz="6" w:space="0" w:color="000000"/>
              <w:right w:val="single" w:sz="6" w:space="0" w:color="000000"/>
            </w:tcBorders>
          </w:tcPr>
          <w:p>
            <w:pPr>
              <w:pStyle w:val="TableParagraph"/>
              <w:spacing w:before="46"/>
              <w:ind w:left="179" w:right="143"/>
              <w:rPr>
                <w:rFonts w:ascii="宋体" w:eastAsia="宋体" w:hint="eastAsia"/>
                <w:b/>
                <w:sz w:val="21"/>
              </w:rPr>
            </w:pPr>
            <w:r>
              <w:rPr>
                <w:rFonts w:ascii="宋体" w:eastAsia="宋体" w:hint="eastAsia"/>
                <w:b/>
                <w:sz w:val="21"/>
              </w:rPr>
              <w:t>危险废物</w:t>
            </w:r>
          </w:p>
          <w:p>
            <w:pPr>
              <w:pStyle w:val="TableParagraph"/>
              <w:spacing w:before="91"/>
              <w:ind w:left="174" w:right="143"/>
              <w:rPr>
                <w:rFonts w:ascii="宋体" w:eastAsia="宋体" w:hint="eastAsia"/>
                <w:b/>
                <w:sz w:val="21"/>
              </w:rPr>
            </w:pPr>
            <w:r>
              <w:rPr>
                <w:rFonts w:ascii="宋体" w:eastAsia="宋体" w:hint="eastAsia"/>
                <w:b/>
                <w:sz w:val="21"/>
              </w:rPr>
              <w:t>代码</w:t>
            </w:r>
          </w:p>
        </w:tc>
        <w:tc>
          <w:tcPr>
            <w:tcW w:w="870" w:type="dxa"/>
            <w:tcBorders>
              <w:left w:val="single" w:sz="6" w:space="0" w:color="000000"/>
              <w:bottom w:val="single" w:sz="6" w:space="0" w:color="000000"/>
              <w:right w:val="single" w:sz="6" w:space="0" w:color="000000"/>
            </w:tcBorders>
          </w:tcPr>
          <w:p>
            <w:pPr>
              <w:pStyle w:val="TableParagraph"/>
              <w:spacing w:before="46"/>
              <w:ind w:left="128"/>
              <w:jc w:val="left"/>
              <w:rPr>
                <w:rFonts w:ascii="宋体" w:eastAsia="宋体" w:hint="eastAsia"/>
                <w:b/>
                <w:sz w:val="21"/>
              </w:rPr>
            </w:pPr>
            <w:r>
              <w:rPr>
                <w:rFonts w:ascii="宋体" w:eastAsia="宋体" w:hint="eastAsia"/>
                <w:b/>
                <w:sz w:val="21"/>
              </w:rPr>
              <w:t>产生量</w:t>
            </w:r>
          </w:p>
          <w:p>
            <w:pPr>
              <w:pStyle w:val="TableParagraph"/>
              <w:spacing w:before="91"/>
              <w:ind w:left="118"/>
              <w:jc w:val="left"/>
              <w:rPr>
                <w:rFonts w:ascii="宋体" w:eastAsia="宋体" w:hint="eastAsia"/>
                <w:b/>
                <w:sz w:val="21"/>
              </w:rPr>
            </w:pPr>
            <w:r>
              <w:rPr>
                <w:rFonts w:ascii="宋体" w:eastAsia="宋体" w:hint="eastAsia"/>
                <w:b/>
                <w:sz w:val="21"/>
              </w:rPr>
              <w:t>（</w:t>
            </w:r>
            <w:r>
              <w:rPr>
                <w:b/>
                <w:sz w:val="21"/>
              </w:rPr>
              <w:t>t/a</w:t>
            </w:r>
            <w:r>
              <w:rPr>
                <w:rFonts w:ascii="宋体" w:eastAsia="宋体" w:hint="eastAsia"/>
                <w:b/>
                <w:sz w:val="21"/>
              </w:rPr>
              <w:t>）</w:t>
            </w:r>
          </w:p>
        </w:tc>
        <w:tc>
          <w:tcPr>
            <w:tcW w:w="1079" w:type="dxa"/>
            <w:tcBorders>
              <w:left w:val="single" w:sz="6" w:space="0" w:color="000000"/>
              <w:bottom w:val="single" w:sz="6" w:space="0" w:color="000000"/>
              <w:right w:val="single" w:sz="6" w:space="0" w:color="000000"/>
            </w:tcBorders>
          </w:tcPr>
          <w:p>
            <w:pPr>
              <w:pStyle w:val="TableParagraph"/>
              <w:spacing w:before="46"/>
              <w:ind w:left="105" w:right="66"/>
              <w:rPr>
                <w:rFonts w:ascii="宋体" w:eastAsia="宋体" w:hint="eastAsia"/>
                <w:b/>
                <w:sz w:val="21"/>
              </w:rPr>
            </w:pPr>
            <w:r>
              <w:rPr>
                <w:rFonts w:ascii="宋体" w:eastAsia="宋体" w:hint="eastAsia"/>
                <w:b/>
                <w:sz w:val="21"/>
              </w:rPr>
              <w:t>产生工序</w:t>
            </w:r>
          </w:p>
          <w:p>
            <w:pPr>
              <w:pStyle w:val="TableParagraph"/>
              <w:spacing w:before="91"/>
              <w:ind w:left="105" w:right="66"/>
              <w:rPr>
                <w:rFonts w:ascii="宋体" w:eastAsia="宋体" w:hint="eastAsia"/>
                <w:b/>
                <w:sz w:val="21"/>
              </w:rPr>
            </w:pPr>
            <w:r>
              <w:rPr>
                <w:rFonts w:ascii="宋体" w:eastAsia="宋体" w:hint="eastAsia"/>
                <w:b/>
                <w:sz w:val="21"/>
              </w:rPr>
              <w:t>及装置</w:t>
            </w:r>
          </w:p>
        </w:tc>
        <w:tc>
          <w:tcPr>
            <w:tcW w:w="738"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51" w:right="110"/>
              <w:rPr>
                <w:rFonts w:ascii="宋体" w:eastAsia="宋体" w:hint="eastAsia"/>
                <w:b/>
                <w:sz w:val="21"/>
              </w:rPr>
            </w:pPr>
            <w:r>
              <w:rPr>
                <w:rFonts w:ascii="宋体" w:eastAsia="宋体" w:hint="eastAsia"/>
                <w:b/>
                <w:sz w:val="21"/>
              </w:rPr>
              <w:t>形态</w:t>
            </w:r>
          </w:p>
        </w:tc>
        <w:tc>
          <w:tcPr>
            <w:tcW w:w="1139"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9" w:right="63"/>
              <w:rPr>
                <w:rFonts w:ascii="宋体" w:eastAsia="宋体" w:hint="eastAsia"/>
                <w:b/>
                <w:sz w:val="21"/>
              </w:rPr>
            </w:pPr>
            <w:r>
              <w:rPr>
                <w:rFonts w:ascii="宋体" w:eastAsia="宋体" w:hint="eastAsia"/>
                <w:b/>
                <w:sz w:val="21"/>
              </w:rPr>
              <w:t>主要成分</w:t>
            </w:r>
          </w:p>
        </w:tc>
        <w:tc>
          <w:tcPr>
            <w:tcW w:w="1093"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20" w:right="73"/>
              <w:rPr>
                <w:rFonts w:ascii="宋体" w:eastAsia="宋体" w:hint="eastAsia"/>
                <w:b/>
                <w:sz w:val="21"/>
              </w:rPr>
            </w:pPr>
            <w:r>
              <w:rPr>
                <w:rFonts w:ascii="宋体" w:eastAsia="宋体" w:hint="eastAsia"/>
                <w:b/>
                <w:sz w:val="21"/>
              </w:rPr>
              <w:t>有害成分</w:t>
            </w:r>
          </w:p>
        </w:tc>
        <w:tc>
          <w:tcPr>
            <w:tcW w:w="1139"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9" w:right="58"/>
              <w:rPr>
                <w:rFonts w:ascii="宋体" w:eastAsia="宋体" w:hint="eastAsia"/>
                <w:b/>
                <w:sz w:val="21"/>
              </w:rPr>
            </w:pPr>
            <w:r>
              <w:rPr>
                <w:rFonts w:ascii="宋体" w:eastAsia="宋体" w:hint="eastAsia"/>
                <w:b/>
                <w:sz w:val="21"/>
              </w:rPr>
              <w:t>产生周期</w:t>
            </w:r>
          </w:p>
        </w:tc>
        <w:tc>
          <w:tcPr>
            <w:tcW w:w="1125"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39" w:right="86"/>
              <w:rPr>
                <w:rFonts w:ascii="宋体" w:eastAsia="宋体" w:hint="eastAsia"/>
                <w:b/>
                <w:sz w:val="21"/>
              </w:rPr>
            </w:pPr>
            <w:r>
              <w:rPr>
                <w:rFonts w:ascii="宋体" w:eastAsia="宋体" w:hint="eastAsia"/>
                <w:b/>
                <w:sz w:val="21"/>
              </w:rPr>
              <w:t>危险特性</w:t>
            </w:r>
          </w:p>
        </w:tc>
        <w:tc>
          <w:tcPr>
            <w:tcW w:w="2953" w:type="dxa"/>
            <w:tcBorders>
              <w:left w:val="single" w:sz="6" w:space="0" w:color="000000"/>
              <w:bottom w:val="single" w:sz="6" w:space="0" w:color="000000"/>
            </w:tcBorders>
          </w:tcPr>
          <w:p>
            <w:pPr>
              <w:pStyle w:val="TableParagraph"/>
              <w:spacing w:before="8"/>
              <w:jc w:val="left"/>
              <w:rPr>
                <w:rFonts w:ascii="宋体"/>
                <w:b/>
                <w:sz w:val="17"/>
              </w:rPr>
            </w:pPr>
          </w:p>
          <w:p>
            <w:pPr>
              <w:pStyle w:val="TableParagraph"/>
              <w:spacing w:before="0"/>
              <w:ind w:left="863"/>
              <w:jc w:val="left"/>
              <w:rPr>
                <w:rFonts w:ascii="宋体" w:eastAsia="宋体" w:hint="eastAsia"/>
                <w:b/>
                <w:sz w:val="21"/>
              </w:rPr>
            </w:pPr>
            <w:r>
              <w:rPr>
                <w:rFonts w:ascii="宋体" w:eastAsia="宋体" w:hint="eastAsia"/>
                <w:b/>
                <w:sz w:val="21"/>
              </w:rPr>
              <w:t>污染防治措施</w:t>
            </w:r>
          </w:p>
        </w:tc>
      </w:tr>
      <w:tr>
        <w:trPr>
          <w:trHeight w:val="1075" w:hRule="atLeast"/>
        </w:trPr>
        <w:tc>
          <w:tcPr>
            <w:tcW w:w="648" w:type="dxa"/>
            <w:tcBorders>
              <w:top w:val="single" w:sz="6" w:space="0" w:color="000000"/>
              <w:bottom w:val="single" w:sz="6" w:space="0" w:color="000000"/>
              <w:right w:val="single" w:sz="6" w:space="0" w:color="000000"/>
            </w:tcBorders>
          </w:tcPr>
          <w:p>
            <w:pPr>
              <w:pStyle w:val="TableParagraph"/>
              <w:spacing w:before="8"/>
              <w:jc w:val="left"/>
              <w:rPr>
                <w:rFonts w:ascii="宋体"/>
                <w:b/>
                <w:sz w:val="32"/>
              </w:rPr>
            </w:pPr>
          </w:p>
          <w:p>
            <w:pPr>
              <w:pStyle w:val="TableParagraph"/>
              <w:spacing w:before="0"/>
              <w:ind w:left="21"/>
              <w:rPr>
                <w:sz w:val="21"/>
              </w:rPr>
            </w:pPr>
            <w:r>
              <w:rPr>
                <w:w w:val="100"/>
                <w:sz w:val="21"/>
              </w:rPr>
              <w:t>1</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line="319" w:lineRule="auto" w:before="0"/>
              <w:ind w:left="230" w:right="92" w:hanging="104"/>
              <w:jc w:val="left"/>
              <w:rPr>
                <w:rFonts w:ascii="宋体" w:eastAsia="宋体" w:hint="eastAsia"/>
                <w:sz w:val="21"/>
              </w:rPr>
            </w:pPr>
            <w:r>
              <w:rPr>
                <w:rFonts w:ascii="宋体" w:eastAsia="宋体" w:hint="eastAsia"/>
                <w:sz w:val="21"/>
              </w:rPr>
              <w:t>危化品废包装物</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5" w:right="70"/>
              <w:rPr>
                <w:rFonts w:ascii="宋体" w:eastAsia="宋体" w:hint="eastAsia"/>
                <w:sz w:val="21"/>
              </w:rPr>
            </w:pPr>
            <w:r>
              <w:rPr>
                <w:rFonts w:ascii="宋体" w:eastAsia="宋体" w:hint="eastAsia"/>
                <w:sz w:val="21"/>
              </w:rPr>
              <w:t>其他废物</w:t>
            </w:r>
          </w:p>
          <w:p>
            <w:pPr>
              <w:pStyle w:val="TableParagraph"/>
              <w:spacing w:before="101"/>
              <w:ind w:left="100" w:right="70"/>
              <w:rPr>
                <w:sz w:val="21"/>
              </w:rPr>
            </w:pPr>
            <w:r>
              <w:rPr>
                <w:sz w:val="21"/>
              </w:rPr>
              <w:t>HW49</w:t>
            </w:r>
          </w:p>
        </w:tc>
        <w:tc>
          <w:tcPr>
            <w:tcW w:w="122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32"/>
              </w:rPr>
            </w:pPr>
          </w:p>
          <w:p>
            <w:pPr>
              <w:pStyle w:val="TableParagraph"/>
              <w:spacing w:before="0"/>
              <w:ind w:left="129"/>
              <w:jc w:val="left"/>
              <w:rPr>
                <w:sz w:val="21"/>
              </w:rPr>
            </w:pPr>
            <w:r>
              <w:rPr>
                <w:sz w:val="21"/>
              </w:rPr>
              <w:t>900-041-49</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32"/>
              </w:rPr>
            </w:pPr>
          </w:p>
          <w:p>
            <w:pPr>
              <w:pStyle w:val="TableParagraph"/>
              <w:spacing w:before="0"/>
              <w:ind w:left="125" w:right="86"/>
              <w:rPr>
                <w:sz w:val="21"/>
              </w:rPr>
            </w:pPr>
            <w:r>
              <w:rPr>
                <w:sz w:val="21"/>
              </w:rPr>
              <w:t>0.6</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line="319" w:lineRule="auto" w:before="0"/>
              <w:ind w:left="446" w:right="87" w:hanging="315"/>
              <w:jc w:val="left"/>
              <w:rPr>
                <w:rFonts w:ascii="宋体" w:eastAsia="宋体" w:hint="eastAsia"/>
                <w:sz w:val="21"/>
              </w:rPr>
            </w:pPr>
            <w:r>
              <w:rPr>
                <w:rFonts w:ascii="宋体" w:eastAsia="宋体" w:hint="eastAsia"/>
                <w:sz w:val="21"/>
              </w:rPr>
              <w:t>危化品包装</w:t>
            </w:r>
          </w:p>
        </w:tc>
        <w:tc>
          <w:tcPr>
            <w:tcW w:w="738"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1"/>
              <w:ind w:left="151" w:right="110"/>
              <w:rPr>
                <w:rFonts w:ascii="宋体" w:eastAsia="宋体" w:hint="eastAsia"/>
                <w:sz w:val="21"/>
              </w:rPr>
            </w:pPr>
            <w:r>
              <w:rPr>
                <w:rFonts w:ascii="宋体" w:eastAsia="宋体" w:hint="eastAsia"/>
                <w:sz w:val="21"/>
              </w:rPr>
              <w:t>固态</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line="319" w:lineRule="auto" w:before="0"/>
              <w:ind w:left="373" w:right="116" w:hanging="212"/>
              <w:jc w:val="left"/>
              <w:rPr>
                <w:rFonts w:ascii="宋体" w:eastAsia="宋体" w:hint="eastAsia"/>
                <w:sz w:val="21"/>
              </w:rPr>
            </w:pPr>
            <w:r>
              <w:rPr>
                <w:rFonts w:ascii="宋体" w:eastAsia="宋体" w:hint="eastAsia"/>
                <w:sz w:val="21"/>
              </w:rPr>
              <w:t>塑料、金属等</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line="319" w:lineRule="auto" w:before="0"/>
              <w:ind w:left="456" w:right="91" w:hanging="315"/>
              <w:jc w:val="left"/>
              <w:rPr>
                <w:rFonts w:ascii="宋体" w:eastAsia="宋体" w:hint="eastAsia"/>
                <w:sz w:val="21"/>
              </w:rPr>
            </w:pPr>
            <w:r>
              <w:rPr>
                <w:rFonts w:ascii="宋体" w:eastAsia="宋体" w:hint="eastAsia"/>
                <w:sz w:val="21"/>
              </w:rPr>
              <w:t>残留危化品</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1"/>
              <w:ind w:left="109" w:right="58"/>
              <w:rPr>
                <w:rFonts w:ascii="宋体" w:eastAsia="宋体" w:hint="eastAsia"/>
                <w:sz w:val="21"/>
              </w:rPr>
            </w:pPr>
            <w:r>
              <w:rPr>
                <w:rFonts w:ascii="宋体" w:eastAsia="宋体" w:hint="eastAsia"/>
                <w:sz w:val="21"/>
              </w:rPr>
              <w:t>每天</w:t>
            </w:r>
          </w:p>
        </w:tc>
        <w:tc>
          <w:tcPr>
            <w:tcW w:w="1125"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32"/>
              </w:rPr>
            </w:pPr>
          </w:p>
          <w:p>
            <w:pPr>
              <w:pStyle w:val="TableParagraph"/>
              <w:spacing w:before="0"/>
              <w:ind w:left="135" w:right="86"/>
              <w:rPr>
                <w:sz w:val="21"/>
              </w:rPr>
            </w:pPr>
            <w:r>
              <w:rPr>
                <w:sz w:val="21"/>
              </w:rPr>
              <w:t>T/IN</w:t>
            </w:r>
          </w:p>
        </w:tc>
        <w:tc>
          <w:tcPr>
            <w:tcW w:w="2953" w:type="dxa"/>
            <w:tcBorders>
              <w:top w:val="single" w:sz="6" w:space="0" w:color="000000"/>
              <w:left w:val="single" w:sz="6" w:space="0" w:color="000000"/>
              <w:bottom w:val="nil"/>
            </w:tcBorders>
          </w:tcPr>
          <w:p>
            <w:pPr>
              <w:pStyle w:val="TableParagraph"/>
              <w:spacing w:before="10"/>
              <w:jc w:val="left"/>
              <w:rPr>
                <w:rFonts w:ascii="宋体"/>
                <w:b/>
                <w:sz w:val="25"/>
              </w:rPr>
            </w:pPr>
          </w:p>
          <w:p>
            <w:pPr>
              <w:pStyle w:val="TableParagraph"/>
              <w:spacing w:line="350" w:lineRule="atLeast" w:before="0"/>
              <w:ind w:left="143" w:right="65" w:hanging="15"/>
              <w:jc w:val="left"/>
              <w:rPr>
                <w:rFonts w:ascii="宋体" w:hAnsi="宋体" w:eastAsia="宋体" w:hint="eastAsia"/>
                <w:sz w:val="21"/>
              </w:rPr>
            </w:pPr>
            <w:r>
              <w:rPr>
                <w:rFonts w:ascii="宋体" w:hAnsi="宋体" w:eastAsia="宋体" w:hint="eastAsia"/>
                <w:sz w:val="21"/>
              </w:rPr>
              <w:t>暂存于专门的危险废物暂存间内，储存场所须做好</w:t>
            </w:r>
            <w:r>
              <w:rPr>
                <w:position w:val="1"/>
                <w:sz w:val="21"/>
              </w:rPr>
              <w:t>“</w:t>
            </w:r>
            <w:r>
              <w:rPr>
                <w:rFonts w:ascii="宋体" w:hAnsi="宋体" w:eastAsia="宋体" w:hint="eastAsia"/>
                <w:sz w:val="21"/>
              </w:rPr>
              <w:t>三防</w:t>
            </w:r>
            <w:r>
              <w:rPr>
                <w:position w:val="1"/>
                <w:sz w:val="21"/>
              </w:rPr>
              <w:t>”</w:t>
            </w:r>
            <w:r>
              <w:rPr>
                <w:rFonts w:ascii="宋体" w:hAnsi="宋体" w:eastAsia="宋体" w:hint="eastAsia"/>
                <w:sz w:val="21"/>
              </w:rPr>
              <w:t>措</w:t>
            </w:r>
          </w:p>
        </w:tc>
      </w:tr>
      <w:tr>
        <w:trPr>
          <w:trHeight w:val="1072" w:hRule="atLeast"/>
        </w:trPr>
        <w:tc>
          <w:tcPr>
            <w:tcW w:w="648" w:type="dxa"/>
            <w:tcBorders>
              <w:top w:val="single" w:sz="6" w:space="0" w:color="000000"/>
              <w:bottom w:val="single" w:sz="6" w:space="0" w:color="000000"/>
              <w:right w:val="single" w:sz="6" w:space="0" w:color="000000"/>
            </w:tcBorders>
          </w:tcPr>
          <w:p>
            <w:pPr>
              <w:pStyle w:val="TableParagraph"/>
              <w:spacing w:before="5"/>
              <w:jc w:val="left"/>
              <w:rPr>
                <w:rFonts w:ascii="宋体"/>
                <w:b/>
                <w:sz w:val="32"/>
              </w:rPr>
            </w:pPr>
          </w:p>
          <w:p>
            <w:pPr>
              <w:pStyle w:val="TableParagraph"/>
              <w:spacing w:before="0"/>
              <w:ind w:left="21"/>
              <w:rPr>
                <w:sz w:val="21"/>
              </w:rPr>
            </w:pPr>
            <w:r>
              <w:rPr>
                <w:w w:val="100"/>
                <w:sz w:val="21"/>
              </w:rPr>
              <w:t>2</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03" w:right="70"/>
              <w:rPr>
                <w:rFonts w:ascii="宋体" w:eastAsia="宋体" w:hint="eastAsia"/>
                <w:sz w:val="21"/>
              </w:rPr>
            </w:pPr>
            <w:r>
              <w:rPr>
                <w:rFonts w:ascii="宋体" w:eastAsia="宋体" w:hint="eastAsia"/>
                <w:sz w:val="21"/>
              </w:rPr>
              <w:t>废矿物油</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05" w:right="70"/>
              <w:rPr>
                <w:rFonts w:ascii="宋体" w:eastAsia="宋体" w:hint="eastAsia"/>
                <w:sz w:val="21"/>
              </w:rPr>
            </w:pPr>
            <w:r>
              <w:rPr>
                <w:rFonts w:ascii="宋体" w:eastAsia="宋体" w:hint="eastAsia"/>
                <w:sz w:val="21"/>
              </w:rPr>
              <w:t>废矿物油</w:t>
            </w:r>
          </w:p>
          <w:p>
            <w:pPr>
              <w:pStyle w:val="TableParagraph"/>
              <w:spacing w:before="102"/>
              <w:ind w:left="102" w:right="70"/>
              <w:rPr>
                <w:sz w:val="21"/>
              </w:rPr>
            </w:pPr>
            <w:r>
              <w:rPr>
                <w:sz w:val="21"/>
              </w:rPr>
              <w:t>HW08</w:t>
            </w:r>
          </w:p>
        </w:tc>
        <w:tc>
          <w:tcPr>
            <w:tcW w:w="1221"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宋体"/>
                <w:b/>
                <w:sz w:val="32"/>
              </w:rPr>
            </w:pPr>
          </w:p>
          <w:p>
            <w:pPr>
              <w:pStyle w:val="TableParagraph"/>
              <w:spacing w:before="0"/>
              <w:ind w:left="129"/>
              <w:jc w:val="left"/>
              <w:rPr>
                <w:sz w:val="21"/>
              </w:rPr>
            </w:pPr>
            <w:r>
              <w:rPr>
                <w:sz w:val="21"/>
              </w:rPr>
              <w:t>900-249-08</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宋体"/>
                <w:b/>
                <w:sz w:val="32"/>
              </w:rPr>
            </w:pPr>
          </w:p>
          <w:p>
            <w:pPr>
              <w:pStyle w:val="TableParagraph"/>
              <w:spacing w:before="0"/>
              <w:ind w:left="125" w:right="86"/>
              <w:rPr>
                <w:sz w:val="21"/>
              </w:rPr>
            </w:pPr>
            <w:r>
              <w:rPr>
                <w:sz w:val="21"/>
              </w:rPr>
              <w:t>0.1</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line="321" w:lineRule="auto" w:before="0"/>
              <w:ind w:left="340" w:right="87" w:hanging="209"/>
              <w:jc w:val="left"/>
              <w:rPr>
                <w:rFonts w:ascii="宋体" w:eastAsia="宋体" w:hint="eastAsia"/>
                <w:sz w:val="21"/>
              </w:rPr>
            </w:pPr>
            <w:r>
              <w:rPr>
                <w:rFonts w:ascii="宋体" w:eastAsia="宋体" w:hint="eastAsia"/>
                <w:sz w:val="21"/>
              </w:rPr>
              <w:t>无害化处理机</w:t>
            </w:r>
          </w:p>
        </w:tc>
        <w:tc>
          <w:tcPr>
            <w:tcW w:w="738"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51" w:right="110"/>
              <w:rPr>
                <w:rFonts w:ascii="宋体" w:eastAsia="宋体" w:hint="eastAsia"/>
                <w:sz w:val="21"/>
              </w:rPr>
            </w:pPr>
            <w:r>
              <w:rPr>
                <w:rFonts w:ascii="宋体" w:eastAsia="宋体" w:hint="eastAsia"/>
                <w:sz w:val="21"/>
              </w:rPr>
              <w:t>液态</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09" w:right="66"/>
              <w:rPr>
                <w:rFonts w:ascii="宋体" w:eastAsia="宋体" w:hint="eastAsia"/>
                <w:sz w:val="21"/>
              </w:rPr>
            </w:pPr>
            <w:r>
              <w:rPr>
                <w:rFonts w:ascii="宋体" w:eastAsia="宋体" w:hint="eastAsia"/>
                <w:sz w:val="21"/>
              </w:rPr>
              <w:t>废导热油</w:t>
            </w:r>
          </w:p>
        </w:tc>
        <w:tc>
          <w:tcPr>
            <w:tcW w:w="109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20" w:right="71"/>
              <w:rPr>
                <w:rFonts w:ascii="宋体" w:eastAsia="宋体" w:hint="eastAsia"/>
                <w:sz w:val="21"/>
              </w:rPr>
            </w:pPr>
            <w:r>
              <w:rPr>
                <w:rFonts w:ascii="宋体" w:eastAsia="宋体" w:hint="eastAsia"/>
                <w:sz w:val="21"/>
              </w:rPr>
              <w:t>废导热油</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31"/>
              </w:rPr>
            </w:pPr>
          </w:p>
          <w:p>
            <w:pPr>
              <w:pStyle w:val="TableParagraph"/>
              <w:spacing w:before="1"/>
              <w:ind w:left="109" w:right="60"/>
              <w:rPr>
                <w:rFonts w:ascii="宋体" w:eastAsia="宋体" w:hint="eastAsia"/>
                <w:sz w:val="21"/>
              </w:rPr>
            </w:pPr>
            <w:r>
              <w:rPr>
                <w:rFonts w:ascii="宋体" w:eastAsia="宋体" w:hint="eastAsia"/>
                <w:sz w:val="21"/>
              </w:rPr>
              <w:t>每 </w:t>
            </w:r>
            <w:r>
              <w:rPr>
                <w:position w:val="1"/>
                <w:sz w:val="21"/>
              </w:rPr>
              <w:t>3~5 </w:t>
            </w:r>
            <w:r>
              <w:rPr>
                <w:rFonts w:ascii="宋体" w:eastAsia="宋体" w:hint="eastAsia"/>
                <w:sz w:val="21"/>
              </w:rPr>
              <w:t>年</w:t>
            </w:r>
          </w:p>
        </w:tc>
        <w:tc>
          <w:tcPr>
            <w:tcW w:w="1125"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31"/>
              </w:rPr>
            </w:pPr>
          </w:p>
          <w:p>
            <w:pPr>
              <w:pStyle w:val="TableParagraph"/>
              <w:spacing w:before="1"/>
              <w:ind w:left="137" w:right="86"/>
              <w:rPr>
                <w:sz w:val="21"/>
              </w:rPr>
            </w:pPr>
            <w:r>
              <w:rPr>
                <w:position w:val="1"/>
                <w:sz w:val="21"/>
              </w:rPr>
              <w:t>T</w:t>
            </w:r>
            <w:r>
              <w:rPr>
                <w:rFonts w:ascii="宋体" w:eastAsia="宋体" w:hint="eastAsia"/>
                <w:sz w:val="21"/>
              </w:rPr>
              <w:t>，</w:t>
            </w:r>
            <w:r>
              <w:rPr>
                <w:position w:val="1"/>
                <w:sz w:val="21"/>
              </w:rPr>
              <w:t>I</w:t>
            </w:r>
          </w:p>
        </w:tc>
        <w:tc>
          <w:tcPr>
            <w:tcW w:w="2953" w:type="dxa"/>
            <w:tcBorders>
              <w:top w:val="nil"/>
              <w:left w:val="single" w:sz="6" w:space="0" w:color="000000"/>
              <w:bottom w:val="single" w:sz="6" w:space="0" w:color="000000"/>
            </w:tcBorders>
          </w:tcPr>
          <w:p>
            <w:pPr>
              <w:pStyle w:val="TableParagraph"/>
              <w:spacing w:line="319" w:lineRule="auto" w:before="39"/>
              <w:ind w:left="446" w:right="65" w:hanging="317"/>
              <w:jc w:val="left"/>
              <w:rPr>
                <w:rFonts w:ascii="宋体" w:eastAsia="宋体" w:hint="eastAsia"/>
                <w:sz w:val="21"/>
              </w:rPr>
            </w:pPr>
            <w:r>
              <w:rPr>
                <w:rFonts w:ascii="宋体" w:eastAsia="宋体" w:hint="eastAsia"/>
                <w:sz w:val="21"/>
              </w:rPr>
              <w:t>施；须签订危险废物委托处置协议，并及时委托处置</w:t>
            </w:r>
          </w:p>
        </w:tc>
      </w:tr>
      <w:tr>
        <w:trPr>
          <w:trHeight w:val="1437" w:hRule="atLeast"/>
        </w:trPr>
        <w:tc>
          <w:tcPr>
            <w:tcW w:w="648" w:type="dxa"/>
            <w:tcBorders>
              <w:top w:val="single" w:sz="6" w:space="0" w:color="000000"/>
              <w:bottom w:val="nil"/>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7"/>
              <w:jc w:val="left"/>
              <w:rPr>
                <w:rFonts w:ascii="宋体"/>
                <w:b/>
                <w:sz w:val="16"/>
              </w:rPr>
            </w:pPr>
          </w:p>
          <w:p>
            <w:pPr>
              <w:pStyle w:val="TableParagraph"/>
              <w:spacing w:before="0"/>
              <w:ind w:left="21"/>
              <w:rPr>
                <w:sz w:val="21"/>
              </w:rPr>
            </w:pPr>
            <w:r>
              <w:rPr>
                <w:w w:val="100"/>
                <w:sz w:val="21"/>
              </w:rPr>
              <w:t>3</w:t>
            </w:r>
          </w:p>
        </w:tc>
        <w:tc>
          <w:tcPr>
            <w:tcW w:w="1079"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103" w:right="70"/>
              <w:rPr>
                <w:rFonts w:ascii="宋体" w:eastAsia="宋体" w:hint="eastAsia"/>
                <w:sz w:val="21"/>
              </w:rPr>
            </w:pPr>
            <w:r>
              <w:rPr>
                <w:rFonts w:ascii="宋体" w:eastAsia="宋体" w:hint="eastAsia"/>
                <w:sz w:val="21"/>
              </w:rPr>
              <w:t>医疗废物</w:t>
            </w:r>
          </w:p>
        </w:tc>
        <w:tc>
          <w:tcPr>
            <w:tcW w:w="1079"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25"/>
              </w:rPr>
            </w:pPr>
          </w:p>
          <w:p>
            <w:pPr>
              <w:pStyle w:val="TableParagraph"/>
              <w:spacing w:before="0"/>
              <w:ind w:left="105" w:right="70"/>
              <w:rPr>
                <w:rFonts w:ascii="宋体" w:eastAsia="宋体" w:hint="eastAsia"/>
                <w:sz w:val="21"/>
              </w:rPr>
            </w:pPr>
            <w:r>
              <w:rPr>
                <w:rFonts w:ascii="宋体" w:eastAsia="宋体" w:hint="eastAsia"/>
                <w:sz w:val="21"/>
              </w:rPr>
              <w:t>医疗废物</w:t>
            </w:r>
          </w:p>
          <w:p>
            <w:pPr>
              <w:pStyle w:val="TableParagraph"/>
              <w:spacing w:before="100"/>
              <w:ind w:left="102" w:right="70"/>
              <w:rPr>
                <w:sz w:val="21"/>
              </w:rPr>
            </w:pPr>
            <w:r>
              <w:rPr>
                <w:sz w:val="21"/>
              </w:rPr>
              <w:t>HW01</w:t>
            </w:r>
          </w:p>
        </w:tc>
        <w:tc>
          <w:tcPr>
            <w:tcW w:w="1221"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7"/>
              <w:jc w:val="left"/>
              <w:rPr>
                <w:rFonts w:ascii="宋体"/>
                <w:b/>
                <w:sz w:val="16"/>
              </w:rPr>
            </w:pPr>
          </w:p>
          <w:p>
            <w:pPr>
              <w:pStyle w:val="TableParagraph"/>
              <w:spacing w:before="0"/>
              <w:ind w:left="129"/>
              <w:jc w:val="left"/>
              <w:rPr>
                <w:sz w:val="21"/>
              </w:rPr>
            </w:pPr>
            <w:r>
              <w:rPr>
                <w:sz w:val="21"/>
              </w:rPr>
              <w:t>841-001-01</w:t>
            </w:r>
          </w:p>
        </w:tc>
        <w:tc>
          <w:tcPr>
            <w:tcW w:w="870"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7"/>
              <w:jc w:val="left"/>
              <w:rPr>
                <w:rFonts w:ascii="宋体"/>
                <w:b/>
                <w:sz w:val="16"/>
              </w:rPr>
            </w:pPr>
          </w:p>
          <w:p>
            <w:pPr>
              <w:pStyle w:val="TableParagraph"/>
              <w:spacing w:before="0"/>
              <w:ind w:left="125" w:right="86"/>
              <w:rPr>
                <w:sz w:val="21"/>
              </w:rPr>
            </w:pPr>
            <w:r>
              <w:rPr>
                <w:sz w:val="21"/>
              </w:rPr>
              <w:t>4.3</w:t>
            </w:r>
          </w:p>
        </w:tc>
        <w:tc>
          <w:tcPr>
            <w:tcW w:w="1079"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25"/>
              </w:rPr>
            </w:pPr>
          </w:p>
          <w:p>
            <w:pPr>
              <w:pStyle w:val="TableParagraph"/>
              <w:spacing w:line="319" w:lineRule="auto" w:before="0"/>
              <w:ind w:left="446" w:right="87" w:hanging="315"/>
              <w:jc w:val="left"/>
              <w:rPr>
                <w:rFonts w:ascii="宋体" w:eastAsia="宋体" w:hint="eastAsia"/>
                <w:sz w:val="21"/>
              </w:rPr>
            </w:pPr>
            <w:r>
              <w:rPr>
                <w:rFonts w:ascii="宋体" w:eastAsia="宋体" w:hint="eastAsia"/>
                <w:sz w:val="21"/>
              </w:rPr>
              <w:t>猪卫生防疫</w:t>
            </w:r>
          </w:p>
        </w:tc>
        <w:tc>
          <w:tcPr>
            <w:tcW w:w="738"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151" w:right="110"/>
              <w:rPr>
                <w:rFonts w:ascii="宋体" w:eastAsia="宋体" w:hint="eastAsia"/>
                <w:sz w:val="21"/>
              </w:rPr>
            </w:pPr>
            <w:r>
              <w:rPr>
                <w:rFonts w:ascii="宋体" w:eastAsia="宋体" w:hint="eastAsia"/>
                <w:sz w:val="21"/>
              </w:rPr>
              <w:t>固态</w:t>
            </w:r>
          </w:p>
        </w:tc>
        <w:tc>
          <w:tcPr>
            <w:tcW w:w="1139"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25"/>
              </w:rPr>
            </w:pPr>
          </w:p>
          <w:p>
            <w:pPr>
              <w:pStyle w:val="TableParagraph"/>
              <w:spacing w:line="319" w:lineRule="auto" w:before="0"/>
              <w:ind w:left="268" w:right="116" w:hanging="106"/>
              <w:jc w:val="left"/>
              <w:rPr>
                <w:rFonts w:ascii="宋体" w:eastAsia="宋体" w:hint="eastAsia"/>
                <w:sz w:val="21"/>
              </w:rPr>
            </w:pPr>
            <w:r>
              <w:rPr>
                <w:rFonts w:ascii="宋体" w:eastAsia="宋体" w:hint="eastAsia"/>
                <w:sz w:val="21"/>
              </w:rPr>
              <w:t>沾染药物的物品</w:t>
            </w:r>
          </w:p>
        </w:tc>
        <w:tc>
          <w:tcPr>
            <w:tcW w:w="1093"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120" w:right="73"/>
              <w:rPr>
                <w:rFonts w:ascii="宋体" w:eastAsia="宋体" w:hint="eastAsia"/>
                <w:sz w:val="21"/>
              </w:rPr>
            </w:pPr>
            <w:r>
              <w:rPr>
                <w:rFonts w:ascii="宋体" w:eastAsia="宋体" w:hint="eastAsia"/>
                <w:sz w:val="21"/>
              </w:rPr>
              <w:t>药物</w:t>
            </w:r>
          </w:p>
        </w:tc>
        <w:tc>
          <w:tcPr>
            <w:tcW w:w="1139"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109" w:right="58"/>
              <w:rPr>
                <w:rFonts w:ascii="宋体" w:eastAsia="宋体" w:hint="eastAsia"/>
                <w:sz w:val="21"/>
              </w:rPr>
            </w:pPr>
            <w:r>
              <w:rPr>
                <w:rFonts w:ascii="宋体" w:eastAsia="宋体" w:hint="eastAsia"/>
                <w:sz w:val="21"/>
              </w:rPr>
              <w:t>每月</w:t>
            </w:r>
          </w:p>
        </w:tc>
        <w:tc>
          <w:tcPr>
            <w:tcW w:w="1125" w:type="dxa"/>
            <w:tcBorders>
              <w:top w:val="single" w:sz="6" w:space="0" w:color="000000"/>
              <w:left w:val="single" w:sz="6" w:space="0" w:color="000000"/>
              <w:bottom w:val="nil"/>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7"/>
              <w:jc w:val="left"/>
              <w:rPr>
                <w:rFonts w:ascii="宋体"/>
                <w:b/>
                <w:sz w:val="16"/>
              </w:rPr>
            </w:pPr>
          </w:p>
          <w:p>
            <w:pPr>
              <w:pStyle w:val="TableParagraph"/>
              <w:spacing w:before="0"/>
              <w:ind w:left="135" w:right="86"/>
              <w:rPr>
                <w:sz w:val="21"/>
              </w:rPr>
            </w:pPr>
            <w:r>
              <w:rPr>
                <w:sz w:val="21"/>
              </w:rPr>
              <w:t>T/IN</w:t>
            </w:r>
          </w:p>
        </w:tc>
        <w:tc>
          <w:tcPr>
            <w:tcW w:w="2953" w:type="dxa"/>
            <w:tcBorders>
              <w:top w:val="single" w:sz="6" w:space="0" w:color="000000"/>
              <w:left w:val="single" w:sz="6" w:space="0" w:color="000000"/>
              <w:bottom w:val="nil"/>
            </w:tcBorders>
          </w:tcPr>
          <w:p>
            <w:pPr>
              <w:pStyle w:val="TableParagraph"/>
              <w:spacing w:line="319" w:lineRule="auto" w:before="46"/>
              <w:ind w:left="129" w:right="65"/>
              <w:jc w:val="both"/>
              <w:rPr>
                <w:rFonts w:ascii="宋体" w:hAnsi="宋体" w:eastAsia="宋体" w:hint="eastAsia"/>
                <w:sz w:val="21"/>
              </w:rPr>
            </w:pPr>
            <w:r>
              <w:rPr>
                <w:rFonts w:ascii="宋体" w:hAnsi="宋体" w:eastAsia="宋体" w:hint="eastAsia"/>
                <w:spacing w:val="-4"/>
                <w:sz w:val="21"/>
              </w:rPr>
              <w:t>医疗废物暂存于医疗废物堆放</w:t>
            </w:r>
            <w:r>
              <w:rPr>
                <w:rFonts w:ascii="宋体" w:hAnsi="宋体" w:eastAsia="宋体" w:hint="eastAsia"/>
                <w:spacing w:val="-3"/>
                <w:sz w:val="21"/>
              </w:rPr>
              <w:t>间内，储存场所须做好</w:t>
            </w:r>
            <w:r>
              <w:rPr>
                <w:spacing w:val="-3"/>
                <w:position w:val="1"/>
                <w:sz w:val="21"/>
              </w:rPr>
              <w:t>“</w:t>
            </w:r>
            <w:r>
              <w:rPr>
                <w:rFonts w:ascii="宋体" w:hAnsi="宋体" w:eastAsia="宋体" w:hint="eastAsia"/>
                <w:spacing w:val="-2"/>
                <w:sz w:val="21"/>
              </w:rPr>
              <w:t>三防</w:t>
            </w:r>
            <w:r>
              <w:rPr>
                <w:position w:val="1"/>
                <w:sz w:val="21"/>
              </w:rPr>
              <w:t>” </w:t>
            </w:r>
            <w:r>
              <w:rPr>
                <w:rFonts w:ascii="宋体" w:hAnsi="宋体" w:eastAsia="宋体" w:hint="eastAsia"/>
                <w:spacing w:val="-4"/>
                <w:sz w:val="21"/>
              </w:rPr>
              <w:t>措施；由柯桥区畜牧兽医局统</w:t>
            </w:r>
          </w:p>
          <w:p>
            <w:pPr>
              <w:pStyle w:val="TableParagraph"/>
              <w:spacing w:before="5"/>
              <w:ind w:left="129"/>
              <w:jc w:val="left"/>
              <w:rPr>
                <w:rFonts w:ascii="宋体" w:eastAsia="宋体" w:hint="eastAsia"/>
                <w:sz w:val="21"/>
              </w:rPr>
            </w:pPr>
            <w:r>
              <w:rPr>
                <w:rFonts w:ascii="宋体" w:eastAsia="宋体" w:hint="eastAsia"/>
                <w:spacing w:val="-3"/>
                <w:sz w:val="21"/>
              </w:rPr>
              <w:t>一委托绍兴华鑫环保科技有限</w:t>
            </w:r>
          </w:p>
        </w:tc>
      </w:tr>
      <w:tr>
        <w:trPr>
          <w:trHeight w:val="354" w:hRule="atLeast"/>
        </w:trPr>
        <w:tc>
          <w:tcPr>
            <w:tcW w:w="648" w:type="dxa"/>
            <w:tcBorders>
              <w:top w:val="nil"/>
              <w:right w:val="single" w:sz="6" w:space="0" w:color="000000"/>
            </w:tcBorders>
          </w:tcPr>
          <w:p>
            <w:pPr>
              <w:pStyle w:val="TableParagraph"/>
              <w:spacing w:before="0"/>
              <w:jc w:val="left"/>
              <w:rPr>
                <w:sz w:val="20"/>
              </w:rPr>
            </w:pPr>
          </w:p>
        </w:tc>
        <w:tc>
          <w:tcPr>
            <w:tcW w:w="1079" w:type="dxa"/>
            <w:tcBorders>
              <w:top w:val="nil"/>
              <w:left w:val="single" w:sz="6" w:space="0" w:color="000000"/>
              <w:right w:val="single" w:sz="6" w:space="0" w:color="000000"/>
            </w:tcBorders>
          </w:tcPr>
          <w:p>
            <w:pPr>
              <w:pStyle w:val="TableParagraph"/>
              <w:spacing w:before="0"/>
              <w:jc w:val="left"/>
              <w:rPr>
                <w:sz w:val="20"/>
              </w:rPr>
            </w:pPr>
          </w:p>
        </w:tc>
        <w:tc>
          <w:tcPr>
            <w:tcW w:w="1079" w:type="dxa"/>
            <w:tcBorders>
              <w:top w:val="nil"/>
              <w:left w:val="single" w:sz="6" w:space="0" w:color="000000"/>
              <w:right w:val="single" w:sz="6" w:space="0" w:color="000000"/>
            </w:tcBorders>
          </w:tcPr>
          <w:p>
            <w:pPr>
              <w:pStyle w:val="TableParagraph"/>
              <w:spacing w:before="0"/>
              <w:jc w:val="left"/>
              <w:rPr>
                <w:sz w:val="20"/>
              </w:rPr>
            </w:pPr>
          </w:p>
        </w:tc>
        <w:tc>
          <w:tcPr>
            <w:tcW w:w="1221" w:type="dxa"/>
            <w:tcBorders>
              <w:top w:val="nil"/>
              <w:left w:val="single" w:sz="6" w:space="0" w:color="000000"/>
              <w:right w:val="single" w:sz="6" w:space="0" w:color="000000"/>
            </w:tcBorders>
          </w:tcPr>
          <w:p>
            <w:pPr>
              <w:pStyle w:val="TableParagraph"/>
              <w:spacing w:before="0"/>
              <w:jc w:val="left"/>
              <w:rPr>
                <w:sz w:val="20"/>
              </w:rPr>
            </w:pPr>
          </w:p>
        </w:tc>
        <w:tc>
          <w:tcPr>
            <w:tcW w:w="870" w:type="dxa"/>
            <w:tcBorders>
              <w:top w:val="nil"/>
              <w:left w:val="single" w:sz="6" w:space="0" w:color="000000"/>
              <w:right w:val="single" w:sz="6" w:space="0" w:color="000000"/>
            </w:tcBorders>
          </w:tcPr>
          <w:p>
            <w:pPr>
              <w:pStyle w:val="TableParagraph"/>
              <w:spacing w:before="0"/>
              <w:jc w:val="left"/>
              <w:rPr>
                <w:sz w:val="20"/>
              </w:rPr>
            </w:pPr>
          </w:p>
        </w:tc>
        <w:tc>
          <w:tcPr>
            <w:tcW w:w="1079" w:type="dxa"/>
            <w:tcBorders>
              <w:top w:val="nil"/>
              <w:left w:val="single" w:sz="6" w:space="0" w:color="000000"/>
              <w:right w:val="single" w:sz="6" w:space="0" w:color="000000"/>
            </w:tcBorders>
          </w:tcPr>
          <w:p>
            <w:pPr>
              <w:pStyle w:val="TableParagraph"/>
              <w:spacing w:before="0"/>
              <w:jc w:val="left"/>
              <w:rPr>
                <w:sz w:val="20"/>
              </w:rPr>
            </w:pPr>
          </w:p>
        </w:tc>
        <w:tc>
          <w:tcPr>
            <w:tcW w:w="738" w:type="dxa"/>
            <w:tcBorders>
              <w:top w:val="nil"/>
              <w:left w:val="single" w:sz="6" w:space="0" w:color="000000"/>
              <w:right w:val="single" w:sz="6" w:space="0" w:color="000000"/>
            </w:tcBorders>
          </w:tcPr>
          <w:p>
            <w:pPr>
              <w:pStyle w:val="TableParagraph"/>
              <w:spacing w:before="0"/>
              <w:jc w:val="left"/>
              <w:rPr>
                <w:sz w:val="20"/>
              </w:rPr>
            </w:pPr>
          </w:p>
        </w:tc>
        <w:tc>
          <w:tcPr>
            <w:tcW w:w="1139" w:type="dxa"/>
            <w:tcBorders>
              <w:top w:val="nil"/>
              <w:left w:val="single" w:sz="6" w:space="0" w:color="000000"/>
              <w:right w:val="single" w:sz="6" w:space="0" w:color="000000"/>
            </w:tcBorders>
          </w:tcPr>
          <w:p>
            <w:pPr>
              <w:pStyle w:val="TableParagraph"/>
              <w:spacing w:before="0"/>
              <w:jc w:val="left"/>
              <w:rPr>
                <w:sz w:val="20"/>
              </w:rPr>
            </w:pPr>
          </w:p>
        </w:tc>
        <w:tc>
          <w:tcPr>
            <w:tcW w:w="1093" w:type="dxa"/>
            <w:tcBorders>
              <w:top w:val="nil"/>
              <w:left w:val="single" w:sz="6" w:space="0" w:color="000000"/>
              <w:right w:val="single" w:sz="6" w:space="0" w:color="000000"/>
            </w:tcBorders>
          </w:tcPr>
          <w:p>
            <w:pPr>
              <w:pStyle w:val="TableParagraph"/>
              <w:spacing w:before="0"/>
              <w:jc w:val="left"/>
              <w:rPr>
                <w:sz w:val="20"/>
              </w:rPr>
            </w:pPr>
          </w:p>
        </w:tc>
        <w:tc>
          <w:tcPr>
            <w:tcW w:w="1139" w:type="dxa"/>
            <w:tcBorders>
              <w:top w:val="nil"/>
              <w:left w:val="single" w:sz="6" w:space="0" w:color="000000"/>
              <w:right w:val="single" w:sz="6" w:space="0" w:color="000000"/>
            </w:tcBorders>
          </w:tcPr>
          <w:p>
            <w:pPr>
              <w:pStyle w:val="TableParagraph"/>
              <w:spacing w:before="0"/>
              <w:jc w:val="left"/>
              <w:rPr>
                <w:sz w:val="20"/>
              </w:rPr>
            </w:pPr>
          </w:p>
        </w:tc>
        <w:tc>
          <w:tcPr>
            <w:tcW w:w="1125" w:type="dxa"/>
            <w:tcBorders>
              <w:top w:val="nil"/>
              <w:left w:val="single" w:sz="6" w:space="0" w:color="000000"/>
              <w:right w:val="single" w:sz="6" w:space="0" w:color="000000"/>
            </w:tcBorders>
          </w:tcPr>
          <w:p>
            <w:pPr>
              <w:pStyle w:val="TableParagraph"/>
              <w:spacing w:before="0"/>
              <w:jc w:val="left"/>
              <w:rPr>
                <w:sz w:val="20"/>
              </w:rPr>
            </w:pPr>
          </w:p>
        </w:tc>
        <w:tc>
          <w:tcPr>
            <w:tcW w:w="2953" w:type="dxa"/>
            <w:tcBorders>
              <w:top w:val="nil"/>
              <w:left w:val="single" w:sz="6" w:space="0" w:color="000000"/>
            </w:tcBorders>
          </w:tcPr>
          <w:p>
            <w:pPr>
              <w:pStyle w:val="TableParagraph"/>
              <w:spacing w:before="44"/>
              <w:ind w:left="866"/>
              <w:jc w:val="left"/>
              <w:rPr>
                <w:rFonts w:ascii="宋体" w:eastAsia="宋体" w:hint="eastAsia"/>
                <w:sz w:val="21"/>
              </w:rPr>
            </w:pPr>
            <w:r>
              <w:rPr>
                <w:rFonts w:ascii="宋体" w:eastAsia="宋体" w:hint="eastAsia"/>
                <w:sz w:val="21"/>
              </w:rPr>
              <w:t>公司安全处置</w:t>
            </w:r>
          </w:p>
        </w:tc>
      </w:tr>
    </w:tbl>
    <w:p>
      <w:pPr>
        <w:spacing w:after="0"/>
        <w:jc w:val="left"/>
        <w:rPr>
          <w:rFonts w:ascii="宋体" w:eastAsia="宋体" w:hint="eastAsia"/>
          <w:sz w:val="21"/>
        </w:rPr>
        <w:sectPr>
          <w:headerReference w:type="default" r:id="rId40"/>
          <w:footerReference w:type="default" r:id="rId41"/>
          <w:pgSz w:w="16840" w:h="11910" w:orient="landscape"/>
          <w:pgMar w:header="0" w:footer="1004" w:top="780" w:bottom="1200" w:left="1200" w:right="1200"/>
        </w:sectPr>
      </w:pPr>
    </w:p>
    <w:p>
      <w:pPr>
        <w:pStyle w:val="ListParagraph"/>
        <w:numPr>
          <w:ilvl w:val="2"/>
          <w:numId w:val="48"/>
        </w:numPr>
        <w:tabs>
          <w:tab w:pos="838" w:val="left" w:leader="none"/>
        </w:tabs>
        <w:spacing w:line="240" w:lineRule="auto" w:before="92" w:after="0"/>
        <w:ind w:left="837" w:right="0" w:hanging="601"/>
        <w:jc w:val="both"/>
        <w:rPr>
          <w:b/>
          <w:sz w:val="24"/>
        </w:rPr>
      </w:pPr>
      <w:bookmarkStart w:name="_bookmark56" w:id="109"/>
      <w:bookmarkEnd w:id="109"/>
      <w:r>
        <w:rPr/>
      </w:r>
      <w:bookmarkStart w:name="_bookmark56" w:id="110"/>
      <w:bookmarkEnd w:id="110"/>
      <w:r>
        <w:rPr>
          <w:b/>
          <w:sz w:val="24"/>
        </w:rPr>
        <w:t>噪声污染源强核算</w:t>
      </w:r>
    </w:p>
    <w:p>
      <w:pPr>
        <w:pStyle w:val="BodyText"/>
        <w:spacing w:line="364" w:lineRule="auto" w:before="160"/>
        <w:ind w:right="250" w:firstLine="480"/>
        <w:jc w:val="both"/>
      </w:pPr>
      <w:r>
        <w:rPr/>
        <w:t>项目噪声污染主要来源于各类风机、水泵、搅拌机等机械类设备的运行，其噪声级</w:t>
      </w:r>
      <w:r>
        <w:rPr>
          <w:spacing w:val="-29"/>
        </w:rPr>
        <w:t>在 </w:t>
      </w:r>
      <w:r>
        <w:rPr>
          <w:rFonts w:ascii="Times New Roman" w:eastAsia="Times New Roman"/>
          <w:spacing w:val="-4"/>
          <w:position w:val="1"/>
        </w:rPr>
        <w:t>70~75dB</w:t>
      </w:r>
      <w:r>
        <w:rPr>
          <w:spacing w:val="-4"/>
        </w:rPr>
        <w:t>（</w:t>
      </w:r>
      <w:r>
        <w:rPr>
          <w:rFonts w:ascii="Times New Roman" w:eastAsia="Times New Roman"/>
          <w:spacing w:val="-4"/>
          <w:position w:val="1"/>
        </w:rPr>
        <w:t>A</w:t>
      </w:r>
      <w:r>
        <w:rPr>
          <w:spacing w:val="-4"/>
        </w:rPr>
        <w:t>）</w:t>
      </w:r>
      <w:r>
        <w:rPr>
          <w:spacing w:val="-6"/>
        </w:rPr>
        <w:t>之间。这些噪声源在车间内部形成混响声场，以面源的形式对外界造成</w:t>
      </w:r>
      <w:r>
        <w:rPr>
          <w:spacing w:val="-3"/>
        </w:rPr>
        <w:t>影响。根据类比调查，各机械设备的噪声声级见表 </w:t>
      </w:r>
      <w:r>
        <w:rPr>
          <w:rFonts w:ascii="Times New Roman" w:eastAsia="Times New Roman"/>
          <w:position w:val="1"/>
        </w:rPr>
        <w:t>3.3-19</w:t>
      </w:r>
      <w:r>
        <w:rPr/>
        <w:t>。</w:t>
      </w:r>
    </w:p>
    <w:p>
      <w:pPr>
        <w:pStyle w:val="Heading3"/>
        <w:spacing w:before="2"/>
        <w:ind w:left="2997"/>
        <w:jc w:val="both"/>
      </w:pPr>
      <w:r>
        <w:rPr/>
        <w:t>表 </w:t>
      </w:r>
      <w:r>
        <w:rPr>
          <w:rFonts w:ascii="Times New Roman" w:eastAsia="Times New Roman"/>
        </w:rPr>
        <w:t>3.3-19  </w:t>
      </w:r>
      <w:r>
        <w:rPr/>
        <w:t>项目主要噪声源及噪声级</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1"/>
        <w:gridCol w:w="1393"/>
        <w:gridCol w:w="1848"/>
        <w:gridCol w:w="1164"/>
        <w:gridCol w:w="1164"/>
        <w:gridCol w:w="1361"/>
        <w:gridCol w:w="1800"/>
      </w:tblGrid>
      <w:tr>
        <w:trPr>
          <w:trHeight w:val="359" w:hRule="atLeast"/>
        </w:trPr>
        <w:tc>
          <w:tcPr>
            <w:tcW w:w="701"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38"/>
              <w:jc w:val="left"/>
              <w:rPr>
                <w:rFonts w:ascii="宋体" w:eastAsia="宋体" w:hint="eastAsia"/>
                <w:b/>
                <w:sz w:val="21"/>
              </w:rPr>
            </w:pPr>
            <w:r>
              <w:rPr>
                <w:rFonts w:ascii="宋体" w:eastAsia="宋体" w:hint="eastAsia"/>
                <w:b/>
                <w:sz w:val="21"/>
              </w:rPr>
              <w:t>序号</w:t>
            </w:r>
          </w:p>
        </w:tc>
        <w:tc>
          <w:tcPr>
            <w:tcW w:w="1393"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385"/>
              <w:jc w:val="left"/>
              <w:rPr>
                <w:rFonts w:ascii="宋体" w:eastAsia="宋体" w:hint="eastAsia"/>
                <w:b/>
                <w:sz w:val="21"/>
              </w:rPr>
            </w:pPr>
            <w:r>
              <w:rPr>
                <w:rFonts w:ascii="宋体" w:eastAsia="宋体" w:hint="eastAsia"/>
                <w:b/>
                <w:sz w:val="21"/>
              </w:rPr>
              <w:t>噪声源</w:t>
            </w:r>
          </w:p>
        </w:tc>
        <w:tc>
          <w:tcPr>
            <w:tcW w:w="1848"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507"/>
              <w:jc w:val="left"/>
              <w:rPr>
                <w:rFonts w:ascii="宋体" w:eastAsia="宋体" w:hint="eastAsia"/>
                <w:b/>
                <w:sz w:val="21"/>
              </w:rPr>
            </w:pPr>
            <w:r>
              <w:rPr>
                <w:rFonts w:ascii="宋体" w:eastAsia="宋体" w:hint="eastAsia"/>
                <w:b/>
                <w:sz w:val="21"/>
              </w:rPr>
              <w:t>声源位置</w:t>
            </w:r>
          </w:p>
        </w:tc>
        <w:tc>
          <w:tcPr>
            <w:tcW w:w="1164"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67"/>
              <w:jc w:val="left"/>
              <w:rPr>
                <w:rFonts w:ascii="宋体" w:eastAsia="宋体" w:hint="eastAsia"/>
                <w:b/>
                <w:sz w:val="21"/>
              </w:rPr>
            </w:pPr>
            <w:r>
              <w:rPr>
                <w:rFonts w:ascii="宋体" w:eastAsia="宋体" w:hint="eastAsia"/>
                <w:b/>
                <w:sz w:val="21"/>
              </w:rPr>
              <w:t>时间特性</w:t>
            </w:r>
          </w:p>
        </w:tc>
        <w:tc>
          <w:tcPr>
            <w:tcW w:w="1164" w:type="dxa"/>
            <w:vMerge w:val="restart"/>
            <w:tcBorders>
              <w:left w:val="single" w:sz="6" w:space="0" w:color="000000"/>
              <w:bottom w:val="single" w:sz="6" w:space="0" w:color="000000"/>
              <w:right w:val="single" w:sz="6" w:space="0" w:color="000000"/>
            </w:tcBorders>
          </w:tcPr>
          <w:p>
            <w:pPr>
              <w:pStyle w:val="TableParagraph"/>
              <w:spacing w:before="55"/>
              <w:ind w:left="167"/>
              <w:jc w:val="left"/>
              <w:rPr>
                <w:rFonts w:ascii="宋体" w:eastAsia="宋体" w:hint="eastAsia"/>
                <w:b/>
                <w:sz w:val="21"/>
              </w:rPr>
            </w:pPr>
            <w:r>
              <w:rPr>
                <w:rFonts w:ascii="宋体" w:eastAsia="宋体" w:hint="eastAsia"/>
                <w:b/>
                <w:sz w:val="21"/>
              </w:rPr>
              <w:t>设备数量</w:t>
            </w:r>
          </w:p>
          <w:p>
            <w:pPr>
              <w:pStyle w:val="TableParagraph"/>
              <w:spacing w:before="89"/>
              <w:ind w:left="136"/>
              <w:jc w:val="left"/>
              <w:rPr>
                <w:rFonts w:ascii="宋体" w:eastAsia="宋体" w:hint="eastAsia"/>
                <w:b/>
                <w:sz w:val="21"/>
              </w:rPr>
            </w:pPr>
            <w:r>
              <w:rPr>
                <w:rFonts w:ascii="宋体" w:eastAsia="宋体" w:hint="eastAsia"/>
                <w:b/>
                <w:sz w:val="21"/>
              </w:rPr>
              <w:t>（台</w:t>
            </w:r>
            <w:r>
              <w:rPr>
                <w:b/>
                <w:spacing w:val="-4"/>
                <w:sz w:val="21"/>
              </w:rPr>
              <w:t>/</w:t>
            </w:r>
            <w:r>
              <w:rPr>
                <w:rFonts w:ascii="宋体" w:eastAsia="宋体" w:hint="eastAsia"/>
                <w:b/>
                <w:sz w:val="21"/>
              </w:rPr>
              <w:t>套）</w:t>
            </w:r>
          </w:p>
        </w:tc>
        <w:tc>
          <w:tcPr>
            <w:tcW w:w="3161" w:type="dxa"/>
            <w:gridSpan w:val="2"/>
            <w:tcBorders>
              <w:left w:val="single" w:sz="6" w:space="0" w:color="000000"/>
              <w:bottom w:val="single" w:sz="6" w:space="0" w:color="000000"/>
            </w:tcBorders>
          </w:tcPr>
          <w:p>
            <w:pPr>
              <w:pStyle w:val="TableParagraph"/>
              <w:spacing w:before="46"/>
              <w:ind w:left="955"/>
              <w:jc w:val="left"/>
              <w:rPr>
                <w:rFonts w:ascii="宋体" w:eastAsia="宋体" w:hint="eastAsia"/>
                <w:b/>
                <w:sz w:val="21"/>
              </w:rPr>
            </w:pPr>
            <w:r>
              <w:rPr>
                <w:rFonts w:ascii="宋体" w:eastAsia="宋体" w:hint="eastAsia"/>
                <w:b/>
                <w:sz w:val="21"/>
              </w:rPr>
              <w:t>主要声源情况</w:t>
            </w:r>
          </w:p>
        </w:tc>
      </w:tr>
      <w:tr>
        <w:trPr>
          <w:trHeight w:val="359" w:hRule="atLeast"/>
        </w:trPr>
        <w:tc>
          <w:tcPr>
            <w:tcW w:w="701" w:type="dxa"/>
            <w:vMerge/>
            <w:tcBorders>
              <w:top w:val="nil"/>
              <w:bottom w:val="single" w:sz="6" w:space="0" w:color="000000"/>
              <w:right w:val="single" w:sz="6" w:space="0" w:color="000000"/>
            </w:tcBorders>
          </w:tcPr>
          <w:p>
            <w:pPr>
              <w:rPr>
                <w:sz w:val="2"/>
                <w:szCs w:val="2"/>
              </w:rPr>
            </w:pPr>
          </w:p>
        </w:tc>
        <w:tc>
          <w:tcPr>
            <w:tcW w:w="1393" w:type="dxa"/>
            <w:vMerge/>
            <w:tcBorders>
              <w:top w:val="nil"/>
              <w:left w:val="single" w:sz="6" w:space="0" w:color="000000"/>
              <w:bottom w:val="single" w:sz="6" w:space="0" w:color="000000"/>
              <w:right w:val="single" w:sz="6" w:space="0" w:color="000000"/>
            </w:tcBorders>
          </w:tcPr>
          <w:p>
            <w:pPr>
              <w:rPr>
                <w:sz w:val="2"/>
                <w:szCs w:val="2"/>
              </w:rPr>
            </w:pPr>
          </w:p>
        </w:tc>
        <w:tc>
          <w:tcPr>
            <w:tcW w:w="1848" w:type="dxa"/>
            <w:vMerge/>
            <w:tcBorders>
              <w:top w:val="nil"/>
              <w:left w:val="single" w:sz="6" w:space="0" w:color="000000"/>
              <w:bottom w:val="single" w:sz="6" w:space="0" w:color="000000"/>
              <w:right w:val="single" w:sz="6" w:space="0" w:color="000000"/>
            </w:tcBorders>
          </w:tcPr>
          <w:p>
            <w:pPr>
              <w:rPr>
                <w:sz w:val="2"/>
                <w:szCs w:val="2"/>
              </w:rPr>
            </w:pPr>
          </w:p>
        </w:tc>
        <w:tc>
          <w:tcPr>
            <w:tcW w:w="1164" w:type="dxa"/>
            <w:vMerge/>
            <w:tcBorders>
              <w:top w:val="nil"/>
              <w:left w:val="single" w:sz="6" w:space="0" w:color="000000"/>
              <w:bottom w:val="single" w:sz="6" w:space="0" w:color="000000"/>
              <w:right w:val="single" w:sz="6" w:space="0" w:color="000000"/>
            </w:tcBorders>
          </w:tcPr>
          <w:p>
            <w:pPr>
              <w:rPr>
                <w:sz w:val="2"/>
                <w:szCs w:val="2"/>
              </w:rPr>
            </w:pPr>
          </w:p>
        </w:tc>
        <w:tc>
          <w:tcPr>
            <w:tcW w:w="1164" w:type="dxa"/>
            <w:vMerge/>
            <w:tcBorders>
              <w:top w:val="nil"/>
              <w:left w:val="single" w:sz="6" w:space="0" w:color="000000"/>
              <w:bottom w:val="single" w:sz="6" w:space="0" w:color="000000"/>
              <w:right w:val="single" w:sz="6" w:space="0" w:color="000000"/>
            </w:tcBorders>
          </w:tcPr>
          <w:p>
            <w:pPr>
              <w:rPr>
                <w:sz w:val="2"/>
                <w:szCs w:val="2"/>
              </w:rPr>
            </w:pPr>
          </w:p>
        </w:tc>
        <w:tc>
          <w:tcPr>
            <w:tcW w:w="1361" w:type="dxa"/>
            <w:tcBorders>
              <w:top w:val="single" w:sz="6" w:space="0" w:color="000000"/>
              <w:left w:val="single" w:sz="6" w:space="0" w:color="000000"/>
              <w:bottom w:val="single" w:sz="6" w:space="0" w:color="000000"/>
              <w:right w:val="single" w:sz="6" w:space="0" w:color="000000"/>
            </w:tcBorders>
          </w:tcPr>
          <w:p>
            <w:pPr>
              <w:pStyle w:val="TableParagraph"/>
              <w:spacing w:before="46"/>
              <w:ind w:left="129" w:right="101"/>
              <w:rPr>
                <w:b/>
                <w:sz w:val="21"/>
              </w:rPr>
            </w:pPr>
            <w:r>
              <w:rPr>
                <w:rFonts w:ascii="宋体" w:eastAsia="宋体" w:hint="eastAsia"/>
                <w:b/>
                <w:sz w:val="21"/>
              </w:rPr>
              <w:t>声级 </w:t>
            </w:r>
            <w:r>
              <w:rPr>
                <w:b/>
                <w:sz w:val="21"/>
              </w:rPr>
              <w:t>dB(A)</w:t>
            </w:r>
          </w:p>
        </w:tc>
        <w:tc>
          <w:tcPr>
            <w:tcW w:w="1800" w:type="dxa"/>
            <w:tcBorders>
              <w:top w:val="single" w:sz="6" w:space="0" w:color="000000"/>
              <w:left w:val="single" w:sz="6" w:space="0" w:color="000000"/>
              <w:bottom w:val="single" w:sz="6" w:space="0" w:color="000000"/>
            </w:tcBorders>
          </w:tcPr>
          <w:p>
            <w:pPr>
              <w:pStyle w:val="TableParagraph"/>
              <w:spacing w:before="46"/>
              <w:ind w:left="462" w:right="431"/>
              <w:rPr>
                <w:rFonts w:ascii="宋体" w:eastAsia="宋体" w:hint="eastAsia"/>
                <w:b/>
                <w:sz w:val="21"/>
              </w:rPr>
            </w:pPr>
            <w:r>
              <w:rPr>
                <w:rFonts w:ascii="宋体" w:eastAsia="宋体" w:hint="eastAsia"/>
                <w:b/>
                <w:sz w:val="21"/>
              </w:rPr>
              <w:t>测点位置</w:t>
            </w:r>
          </w:p>
        </w:tc>
      </w:tr>
      <w:tr>
        <w:trPr>
          <w:trHeight w:val="357" w:hRule="atLeast"/>
        </w:trPr>
        <w:tc>
          <w:tcPr>
            <w:tcW w:w="701"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1</w:t>
            </w:r>
          </w:p>
        </w:tc>
        <w:tc>
          <w:tcPr>
            <w:tcW w:w="1393" w:type="dxa"/>
            <w:tcBorders>
              <w:top w:val="single" w:sz="6" w:space="0" w:color="000000"/>
              <w:left w:val="single" w:sz="6" w:space="0" w:color="000000"/>
              <w:bottom w:val="single" w:sz="6" w:space="0" w:color="000000"/>
              <w:right w:val="single" w:sz="6" w:space="0" w:color="000000"/>
            </w:tcBorders>
          </w:tcPr>
          <w:p>
            <w:pPr>
              <w:pStyle w:val="TableParagraph"/>
              <w:spacing w:before="46"/>
              <w:ind w:left="367" w:right="340"/>
              <w:rPr>
                <w:rFonts w:ascii="宋体" w:eastAsia="宋体" w:hint="eastAsia"/>
                <w:sz w:val="21"/>
              </w:rPr>
            </w:pPr>
            <w:r>
              <w:rPr>
                <w:rFonts w:ascii="宋体" w:eastAsia="宋体" w:hint="eastAsia"/>
                <w:sz w:val="21"/>
              </w:rPr>
              <w:t>风机</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46"/>
              <w:ind w:left="69" w:right="42"/>
              <w:rPr>
                <w:rFonts w:ascii="宋体" w:eastAsia="宋体" w:hint="eastAsia"/>
                <w:sz w:val="21"/>
              </w:rPr>
            </w:pPr>
            <w:r>
              <w:rPr>
                <w:rFonts w:ascii="宋体" w:eastAsia="宋体" w:hint="eastAsia"/>
                <w:sz w:val="21"/>
              </w:rPr>
              <w:t>猪舍</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right="345"/>
              <w:jc w:val="right"/>
              <w:rPr>
                <w:rFonts w:ascii="宋体" w:eastAsia="宋体" w:hint="eastAsia"/>
                <w:sz w:val="21"/>
              </w:rPr>
            </w:pPr>
            <w:r>
              <w:rPr>
                <w:rFonts w:ascii="宋体" w:eastAsia="宋体" w:hint="eastAsia"/>
                <w:sz w:val="21"/>
              </w:rPr>
              <w:t>连续</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left="359" w:right="329"/>
              <w:rPr>
                <w:rFonts w:ascii="宋体" w:eastAsia="宋体" w:hint="eastAsia"/>
                <w:sz w:val="21"/>
              </w:rPr>
            </w:pPr>
            <w:r>
              <w:rPr>
                <w:rFonts w:ascii="宋体" w:eastAsia="宋体" w:hint="eastAsia"/>
                <w:sz w:val="21"/>
              </w:rPr>
              <w:t>若干</w:t>
            </w:r>
          </w:p>
        </w:tc>
        <w:tc>
          <w:tcPr>
            <w:tcW w:w="1361" w:type="dxa"/>
            <w:tcBorders>
              <w:top w:val="single" w:sz="6" w:space="0" w:color="000000"/>
              <w:left w:val="single" w:sz="6" w:space="0" w:color="000000"/>
              <w:bottom w:val="single" w:sz="6" w:space="0" w:color="000000"/>
              <w:right w:val="single" w:sz="6" w:space="0" w:color="000000"/>
            </w:tcBorders>
          </w:tcPr>
          <w:p>
            <w:pPr>
              <w:pStyle w:val="TableParagraph"/>
              <w:ind w:left="127" w:right="101"/>
              <w:rPr>
                <w:sz w:val="21"/>
              </w:rPr>
            </w:pPr>
            <w:r>
              <w:rPr>
                <w:sz w:val="21"/>
              </w:rPr>
              <w:t>70</w:t>
            </w:r>
          </w:p>
        </w:tc>
        <w:tc>
          <w:tcPr>
            <w:tcW w:w="1800" w:type="dxa"/>
            <w:vMerge w:val="restart"/>
            <w:tcBorders>
              <w:top w:val="single" w:sz="6" w:space="0" w:color="000000"/>
              <w:left w:val="single" w:sz="6" w:space="0" w:color="000000"/>
              <w:bottom w:val="single" w:sz="6" w:space="0" w:color="000000"/>
            </w:tcBorders>
          </w:tcPr>
          <w:p>
            <w:pPr>
              <w:pStyle w:val="TableParagraph"/>
              <w:spacing w:before="11"/>
              <w:jc w:val="left"/>
              <w:rPr>
                <w:rFonts w:ascii="宋体"/>
                <w:b/>
                <w:sz w:val="32"/>
              </w:rPr>
            </w:pPr>
          </w:p>
          <w:p>
            <w:pPr>
              <w:pStyle w:val="TableParagraph"/>
              <w:spacing w:before="0"/>
              <w:ind w:left="191"/>
              <w:jc w:val="left"/>
              <w:rPr>
                <w:rFonts w:ascii="宋体" w:eastAsia="宋体" w:hint="eastAsia"/>
                <w:sz w:val="21"/>
              </w:rPr>
            </w:pPr>
            <w:r>
              <w:rPr>
                <w:rFonts w:ascii="宋体" w:eastAsia="宋体" w:hint="eastAsia"/>
                <w:sz w:val="21"/>
              </w:rPr>
              <w:t>距离设备 </w:t>
            </w:r>
            <w:r>
              <w:rPr>
                <w:position w:val="1"/>
                <w:sz w:val="21"/>
              </w:rPr>
              <w:t>1m </w:t>
            </w:r>
            <w:r>
              <w:rPr>
                <w:rFonts w:ascii="宋体" w:eastAsia="宋体" w:hint="eastAsia"/>
                <w:sz w:val="21"/>
              </w:rPr>
              <w:t>处</w:t>
            </w:r>
          </w:p>
        </w:tc>
      </w:tr>
      <w:tr>
        <w:trPr>
          <w:trHeight w:val="360" w:hRule="atLeast"/>
        </w:trPr>
        <w:tc>
          <w:tcPr>
            <w:tcW w:w="701" w:type="dxa"/>
            <w:tcBorders>
              <w:top w:val="single" w:sz="6" w:space="0" w:color="000000"/>
              <w:bottom w:val="single" w:sz="6" w:space="0" w:color="000000"/>
              <w:right w:val="single" w:sz="6" w:space="0" w:color="000000"/>
            </w:tcBorders>
          </w:tcPr>
          <w:p>
            <w:pPr>
              <w:pStyle w:val="TableParagraph"/>
              <w:spacing w:before="61"/>
              <w:ind w:left="21"/>
              <w:rPr>
                <w:sz w:val="21"/>
              </w:rPr>
            </w:pPr>
            <w:r>
              <w:rPr>
                <w:w w:val="100"/>
                <w:sz w:val="21"/>
              </w:rPr>
              <w:t>2</w:t>
            </w:r>
          </w:p>
        </w:tc>
        <w:tc>
          <w:tcPr>
            <w:tcW w:w="1393" w:type="dxa"/>
            <w:tcBorders>
              <w:top w:val="single" w:sz="6" w:space="0" w:color="000000"/>
              <w:left w:val="single" w:sz="6" w:space="0" w:color="000000"/>
              <w:bottom w:val="single" w:sz="6" w:space="0" w:color="000000"/>
              <w:right w:val="single" w:sz="6" w:space="0" w:color="000000"/>
            </w:tcBorders>
          </w:tcPr>
          <w:p>
            <w:pPr>
              <w:pStyle w:val="TableParagraph"/>
              <w:spacing w:before="49"/>
              <w:ind w:left="367" w:right="340"/>
              <w:rPr>
                <w:rFonts w:ascii="宋体" w:eastAsia="宋体" w:hint="eastAsia"/>
                <w:sz w:val="21"/>
              </w:rPr>
            </w:pPr>
            <w:r>
              <w:rPr>
                <w:rFonts w:ascii="宋体" w:eastAsia="宋体" w:hint="eastAsia"/>
                <w:sz w:val="21"/>
              </w:rPr>
              <w:t>水泵</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49"/>
              <w:ind w:left="71" w:right="42"/>
              <w:rPr>
                <w:rFonts w:ascii="宋体" w:eastAsia="宋体" w:hint="eastAsia"/>
                <w:sz w:val="21"/>
              </w:rPr>
            </w:pPr>
            <w:r>
              <w:rPr>
                <w:rFonts w:ascii="宋体" w:eastAsia="宋体" w:hint="eastAsia"/>
                <w:sz w:val="21"/>
              </w:rPr>
              <w:t>猪舍、污水处理站</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9"/>
              <w:ind w:right="345"/>
              <w:jc w:val="right"/>
              <w:rPr>
                <w:rFonts w:ascii="宋体" w:eastAsia="宋体" w:hint="eastAsia"/>
                <w:sz w:val="21"/>
              </w:rPr>
            </w:pPr>
            <w:r>
              <w:rPr>
                <w:rFonts w:ascii="宋体" w:eastAsia="宋体" w:hint="eastAsia"/>
                <w:sz w:val="21"/>
              </w:rPr>
              <w:t>连续</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9"/>
              <w:ind w:left="359" w:right="329"/>
              <w:rPr>
                <w:rFonts w:ascii="宋体" w:eastAsia="宋体" w:hint="eastAsia"/>
                <w:sz w:val="21"/>
              </w:rPr>
            </w:pPr>
            <w:r>
              <w:rPr>
                <w:rFonts w:ascii="宋体" w:eastAsia="宋体" w:hint="eastAsia"/>
                <w:sz w:val="21"/>
              </w:rPr>
              <w:t>若干</w:t>
            </w:r>
          </w:p>
        </w:tc>
        <w:tc>
          <w:tcPr>
            <w:tcW w:w="1361" w:type="dxa"/>
            <w:tcBorders>
              <w:top w:val="single" w:sz="6" w:space="0" w:color="000000"/>
              <w:left w:val="single" w:sz="6" w:space="0" w:color="000000"/>
              <w:bottom w:val="single" w:sz="6" w:space="0" w:color="000000"/>
              <w:right w:val="single" w:sz="6" w:space="0" w:color="000000"/>
            </w:tcBorders>
          </w:tcPr>
          <w:p>
            <w:pPr>
              <w:pStyle w:val="TableParagraph"/>
              <w:spacing w:before="61"/>
              <w:ind w:left="127" w:right="101"/>
              <w:rPr>
                <w:sz w:val="21"/>
              </w:rPr>
            </w:pPr>
            <w:r>
              <w:rPr>
                <w:sz w:val="21"/>
              </w:rPr>
              <w:t>70</w:t>
            </w:r>
          </w:p>
        </w:tc>
        <w:tc>
          <w:tcPr>
            <w:tcW w:w="1800" w:type="dxa"/>
            <w:vMerge/>
            <w:tcBorders>
              <w:top w:val="nil"/>
              <w:left w:val="single" w:sz="6" w:space="0" w:color="000000"/>
              <w:bottom w:val="single" w:sz="6" w:space="0" w:color="000000"/>
            </w:tcBorders>
          </w:tcPr>
          <w:p>
            <w:pPr>
              <w:rPr>
                <w:sz w:val="2"/>
                <w:szCs w:val="2"/>
              </w:rPr>
            </w:pPr>
          </w:p>
        </w:tc>
      </w:tr>
      <w:tr>
        <w:trPr>
          <w:trHeight w:val="359" w:hRule="atLeast"/>
        </w:trPr>
        <w:tc>
          <w:tcPr>
            <w:tcW w:w="701"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3</w:t>
            </w:r>
          </w:p>
        </w:tc>
        <w:tc>
          <w:tcPr>
            <w:tcW w:w="1393" w:type="dxa"/>
            <w:tcBorders>
              <w:top w:val="single" w:sz="6" w:space="0" w:color="000000"/>
              <w:left w:val="single" w:sz="6" w:space="0" w:color="000000"/>
              <w:bottom w:val="single" w:sz="6" w:space="0" w:color="000000"/>
              <w:right w:val="single" w:sz="6" w:space="0" w:color="000000"/>
            </w:tcBorders>
          </w:tcPr>
          <w:p>
            <w:pPr>
              <w:pStyle w:val="TableParagraph"/>
              <w:spacing w:before="46"/>
              <w:ind w:left="367" w:right="340"/>
              <w:rPr>
                <w:rFonts w:ascii="宋体" w:eastAsia="宋体" w:hint="eastAsia"/>
                <w:sz w:val="21"/>
              </w:rPr>
            </w:pPr>
            <w:r>
              <w:rPr>
                <w:rFonts w:ascii="宋体" w:eastAsia="宋体" w:hint="eastAsia"/>
                <w:sz w:val="21"/>
              </w:rPr>
              <w:t>搅拌机</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46"/>
              <w:ind w:left="71" w:right="42"/>
              <w:rPr>
                <w:rFonts w:ascii="宋体" w:eastAsia="宋体" w:hint="eastAsia"/>
                <w:sz w:val="21"/>
              </w:rPr>
            </w:pPr>
            <w:r>
              <w:rPr>
                <w:rFonts w:ascii="宋体" w:eastAsia="宋体" w:hint="eastAsia"/>
                <w:sz w:val="21"/>
              </w:rPr>
              <w:t>污水处理站</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right="345"/>
              <w:jc w:val="right"/>
              <w:rPr>
                <w:rFonts w:ascii="宋体" w:eastAsia="宋体" w:hint="eastAsia"/>
                <w:sz w:val="21"/>
              </w:rPr>
            </w:pPr>
            <w:r>
              <w:rPr>
                <w:rFonts w:ascii="宋体" w:eastAsia="宋体" w:hint="eastAsia"/>
                <w:sz w:val="21"/>
              </w:rPr>
              <w:t>连续</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left="359" w:right="329"/>
              <w:rPr>
                <w:rFonts w:ascii="宋体" w:eastAsia="宋体" w:hint="eastAsia"/>
                <w:sz w:val="21"/>
              </w:rPr>
            </w:pPr>
            <w:r>
              <w:rPr>
                <w:rFonts w:ascii="宋体" w:eastAsia="宋体" w:hint="eastAsia"/>
                <w:sz w:val="21"/>
              </w:rPr>
              <w:t>若干</w:t>
            </w:r>
          </w:p>
        </w:tc>
        <w:tc>
          <w:tcPr>
            <w:tcW w:w="1361" w:type="dxa"/>
            <w:tcBorders>
              <w:top w:val="single" w:sz="6" w:space="0" w:color="000000"/>
              <w:left w:val="single" w:sz="6" w:space="0" w:color="000000"/>
              <w:bottom w:val="single" w:sz="6" w:space="0" w:color="000000"/>
              <w:right w:val="single" w:sz="6" w:space="0" w:color="000000"/>
            </w:tcBorders>
          </w:tcPr>
          <w:p>
            <w:pPr>
              <w:pStyle w:val="TableParagraph"/>
              <w:ind w:left="127" w:right="101"/>
              <w:rPr>
                <w:sz w:val="21"/>
              </w:rPr>
            </w:pPr>
            <w:r>
              <w:rPr>
                <w:sz w:val="21"/>
              </w:rPr>
              <w:t>75</w:t>
            </w:r>
          </w:p>
        </w:tc>
        <w:tc>
          <w:tcPr>
            <w:tcW w:w="1800" w:type="dxa"/>
            <w:vMerge/>
            <w:tcBorders>
              <w:top w:val="nil"/>
              <w:left w:val="single" w:sz="6" w:space="0" w:color="000000"/>
              <w:bottom w:val="single" w:sz="6" w:space="0" w:color="000000"/>
            </w:tcBorders>
          </w:tcPr>
          <w:p>
            <w:pPr>
              <w:rPr>
                <w:sz w:val="2"/>
                <w:szCs w:val="2"/>
              </w:rPr>
            </w:pPr>
          </w:p>
        </w:tc>
      </w:tr>
      <w:tr>
        <w:trPr>
          <w:trHeight w:val="356" w:hRule="atLeast"/>
        </w:trPr>
        <w:tc>
          <w:tcPr>
            <w:tcW w:w="701" w:type="dxa"/>
            <w:tcBorders>
              <w:top w:val="single" w:sz="6" w:space="0" w:color="000000"/>
              <w:right w:val="single" w:sz="6" w:space="0" w:color="000000"/>
            </w:tcBorders>
          </w:tcPr>
          <w:p>
            <w:pPr>
              <w:pStyle w:val="TableParagraph"/>
              <w:ind w:left="21"/>
              <w:rPr>
                <w:sz w:val="21"/>
              </w:rPr>
            </w:pPr>
            <w:r>
              <w:rPr>
                <w:w w:val="100"/>
                <w:sz w:val="21"/>
              </w:rPr>
              <w:t>4</w:t>
            </w:r>
          </w:p>
        </w:tc>
        <w:tc>
          <w:tcPr>
            <w:tcW w:w="1393" w:type="dxa"/>
            <w:tcBorders>
              <w:top w:val="single" w:sz="6" w:space="0" w:color="000000"/>
              <w:left w:val="single" w:sz="6" w:space="0" w:color="000000"/>
              <w:right w:val="single" w:sz="6" w:space="0" w:color="000000"/>
            </w:tcBorders>
          </w:tcPr>
          <w:p>
            <w:pPr>
              <w:pStyle w:val="TableParagraph"/>
              <w:spacing w:before="46"/>
              <w:ind w:left="367" w:right="340"/>
              <w:rPr>
                <w:rFonts w:ascii="宋体" w:eastAsia="宋体" w:hint="eastAsia"/>
                <w:sz w:val="21"/>
              </w:rPr>
            </w:pPr>
            <w:r>
              <w:rPr>
                <w:rFonts w:ascii="宋体" w:eastAsia="宋体" w:hint="eastAsia"/>
                <w:sz w:val="21"/>
              </w:rPr>
              <w:t>猪叫</w:t>
            </w:r>
          </w:p>
        </w:tc>
        <w:tc>
          <w:tcPr>
            <w:tcW w:w="1848" w:type="dxa"/>
            <w:tcBorders>
              <w:top w:val="single" w:sz="6" w:space="0" w:color="000000"/>
              <w:left w:val="single" w:sz="6" w:space="0" w:color="000000"/>
              <w:right w:val="single" w:sz="6" w:space="0" w:color="000000"/>
            </w:tcBorders>
          </w:tcPr>
          <w:p>
            <w:pPr>
              <w:pStyle w:val="TableParagraph"/>
              <w:spacing w:before="46"/>
              <w:ind w:left="69" w:right="42"/>
              <w:rPr>
                <w:rFonts w:ascii="宋体" w:eastAsia="宋体" w:hint="eastAsia"/>
                <w:sz w:val="21"/>
              </w:rPr>
            </w:pPr>
            <w:r>
              <w:rPr>
                <w:rFonts w:ascii="宋体" w:eastAsia="宋体" w:hint="eastAsia"/>
                <w:sz w:val="21"/>
              </w:rPr>
              <w:t>猪舍</w:t>
            </w:r>
          </w:p>
        </w:tc>
        <w:tc>
          <w:tcPr>
            <w:tcW w:w="1164" w:type="dxa"/>
            <w:tcBorders>
              <w:top w:val="single" w:sz="6" w:space="0" w:color="000000"/>
              <w:left w:val="single" w:sz="6" w:space="0" w:color="000000"/>
              <w:right w:val="single" w:sz="6" w:space="0" w:color="000000"/>
            </w:tcBorders>
          </w:tcPr>
          <w:p>
            <w:pPr>
              <w:pStyle w:val="TableParagraph"/>
              <w:spacing w:before="46"/>
              <w:ind w:right="345"/>
              <w:jc w:val="right"/>
              <w:rPr>
                <w:rFonts w:ascii="宋体" w:eastAsia="宋体" w:hint="eastAsia"/>
                <w:sz w:val="21"/>
              </w:rPr>
            </w:pPr>
            <w:r>
              <w:rPr>
                <w:rFonts w:ascii="宋体" w:eastAsia="宋体" w:hint="eastAsia"/>
                <w:sz w:val="21"/>
              </w:rPr>
              <w:t>间断</w:t>
            </w:r>
          </w:p>
        </w:tc>
        <w:tc>
          <w:tcPr>
            <w:tcW w:w="1164" w:type="dxa"/>
            <w:tcBorders>
              <w:top w:val="single" w:sz="6" w:space="0" w:color="000000"/>
              <w:left w:val="single" w:sz="6" w:space="0" w:color="000000"/>
              <w:right w:val="single" w:sz="6" w:space="0" w:color="000000"/>
            </w:tcBorders>
          </w:tcPr>
          <w:p>
            <w:pPr>
              <w:pStyle w:val="TableParagraph"/>
              <w:ind w:left="26"/>
              <w:rPr>
                <w:sz w:val="21"/>
              </w:rPr>
            </w:pPr>
            <w:r>
              <w:rPr>
                <w:w w:val="100"/>
                <w:sz w:val="21"/>
              </w:rPr>
              <w:t>/</w:t>
            </w:r>
          </w:p>
        </w:tc>
        <w:tc>
          <w:tcPr>
            <w:tcW w:w="1361" w:type="dxa"/>
            <w:tcBorders>
              <w:top w:val="single" w:sz="6" w:space="0" w:color="000000"/>
              <w:left w:val="single" w:sz="6" w:space="0" w:color="000000"/>
              <w:right w:val="single" w:sz="6" w:space="0" w:color="000000"/>
            </w:tcBorders>
          </w:tcPr>
          <w:p>
            <w:pPr>
              <w:pStyle w:val="TableParagraph"/>
              <w:ind w:left="127" w:right="101"/>
              <w:rPr>
                <w:sz w:val="21"/>
              </w:rPr>
            </w:pPr>
            <w:r>
              <w:rPr>
                <w:sz w:val="21"/>
              </w:rPr>
              <w:t>70</w:t>
            </w:r>
          </w:p>
        </w:tc>
        <w:tc>
          <w:tcPr>
            <w:tcW w:w="1800" w:type="dxa"/>
            <w:tcBorders>
              <w:top w:val="single" w:sz="6" w:space="0" w:color="000000"/>
              <w:left w:val="single" w:sz="6" w:space="0" w:color="000000"/>
            </w:tcBorders>
          </w:tcPr>
          <w:p>
            <w:pPr>
              <w:pStyle w:val="TableParagraph"/>
              <w:ind w:left="32"/>
              <w:rPr>
                <w:sz w:val="21"/>
              </w:rPr>
            </w:pPr>
            <w:r>
              <w:rPr>
                <w:w w:val="100"/>
                <w:sz w:val="21"/>
              </w:rPr>
              <w:t>/</w:t>
            </w:r>
          </w:p>
        </w:tc>
      </w:tr>
    </w:tbl>
    <w:p>
      <w:pPr>
        <w:pStyle w:val="ListParagraph"/>
        <w:numPr>
          <w:ilvl w:val="2"/>
          <w:numId w:val="48"/>
        </w:numPr>
        <w:tabs>
          <w:tab w:pos="838" w:val="left" w:leader="none"/>
        </w:tabs>
        <w:spacing w:line="240" w:lineRule="auto" w:before="84" w:after="0"/>
        <w:ind w:left="837" w:right="0" w:hanging="601"/>
        <w:jc w:val="both"/>
        <w:rPr>
          <w:b/>
          <w:sz w:val="24"/>
        </w:rPr>
      </w:pPr>
      <w:bookmarkStart w:name="_bookmark57" w:id="111"/>
      <w:bookmarkEnd w:id="111"/>
      <w:r>
        <w:rPr/>
      </w:r>
      <w:bookmarkStart w:name="_bookmark57" w:id="112"/>
      <w:bookmarkEnd w:id="112"/>
      <w:r>
        <w:rPr>
          <w:b/>
          <w:sz w:val="24"/>
        </w:rPr>
        <w:t>污染源强汇总</w:t>
      </w:r>
    </w:p>
    <w:p>
      <w:pPr>
        <w:pStyle w:val="BodyText"/>
        <w:spacing w:before="161"/>
        <w:ind w:left="717"/>
      </w:pPr>
      <w:r>
        <w:rPr/>
        <w:t>本项目污染源强汇总如表 </w:t>
      </w:r>
      <w:r>
        <w:rPr>
          <w:rFonts w:ascii="Times New Roman" w:eastAsia="Times New Roman"/>
          <w:position w:val="1"/>
        </w:rPr>
        <w:t>3.3-20 </w:t>
      </w:r>
      <w:r>
        <w:rPr/>
        <w:t>所示。</w:t>
      </w:r>
    </w:p>
    <w:p>
      <w:pPr>
        <w:pStyle w:val="Heading3"/>
        <w:spacing w:before="160"/>
        <w:ind w:left="222" w:right="236"/>
        <w:jc w:val="center"/>
        <w:rPr>
          <w:rFonts w:ascii="Times New Roman" w:eastAsia="Times New Roman"/>
        </w:rPr>
      </w:pPr>
      <w:r>
        <w:rPr/>
        <w:t>表 </w:t>
      </w:r>
      <w:r>
        <w:rPr>
          <w:rFonts w:ascii="Times New Roman" w:eastAsia="Times New Roman"/>
        </w:rPr>
        <w:t>3.3-20  </w:t>
      </w:r>
      <w:r>
        <w:rPr/>
        <w:t>本项目污染物产生及排放情况汇总 单位：</w:t>
      </w:r>
      <w:r>
        <w:rPr>
          <w:rFonts w:ascii="Times New Roman" w:eastAsia="Times New Roman"/>
        </w:rPr>
        <w:t>t/a</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1836"/>
        <w:gridCol w:w="1841"/>
        <w:gridCol w:w="1611"/>
        <w:gridCol w:w="1303"/>
        <w:gridCol w:w="1608"/>
      </w:tblGrid>
      <w:tr>
        <w:trPr>
          <w:trHeight w:val="359" w:hRule="atLeast"/>
        </w:trPr>
        <w:tc>
          <w:tcPr>
            <w:tcW w:w="1231" w:type="dxa"/>
            <w:tcBorders>
              <w:bottom w:val="single" w:sz="6" w:space="0" w:color="000000"/>
              <w:right w:val="single" w:sz="6" w:space="0" w:color="000000"/>
            </w:tcBorders>
          </w:tcPr>
          <w:p>
            <w:pPr>
              <w:pStyle w:val="TableParagraph"/>
              <w:spacing w:before="48"/>
              <w:ind w:left="296"/>
              <w:jc w:val="left"/>
              <w:rPr>
                <w:rFonts w:ascii="宋体" w:eastAsia="宋体" w:hint="eastAsia"/>
                <w:b/>
                <w:sz w:val="21"/>
              </w:rPr>
            </w:pPr>
            <w:r>
              <w:rPr>
                <w:rFonts w:ascii="宋体" w:eastAsia="宋体" w:hint="eastAsia"/>
                <w:b/>
                <w:sz w:val="21"/>
              </w:rPr>
              <w:t>污染物</w:t>
            </w:r>
          </w:p>
        </w:tc>
        <w:tc>
          <w:tcPr>
            <w:tcW w:w="1836" w:type="dxa"/>
            <w:tcBorders>
              <w:left w:val="single" w:sz="6" w:space="0" w:color="000000"/>
              <w:bottom w:val="single" w:sz="6" w:space="0" w:color="000000"/>
              <w:right w:val="single" w:sz="6" w:space="0" w:color="000000"/>
            </w:tcBorders>
          </w:tcPr>
          <w:p>
            <w:pPr>
              <w:pStyle w:val="TableParagraph"/>
              <w:spacing w:before="48"/>
              <w:ind w:left="171" w:right="140"/>
              <w:rPr>
                <w:rFonts w:ascii="宋体" w:eastAsia="宋体" w:hint="eastAsia"/>
                <w:b/>
                <w:sz w:val="21"/>
              </w:rPr>
            </w:pPr>
            <w:r>
              <w:rPr>
                <w:rFonts w:ascii="宋体" w:eastAsia="宋体" w:hint="eastAsia"/>
                <w:b/>
                <w:sz w:val="21"/>
              </w:rPr>
              <w:t>产生工序</w:t>
            </w:r>
          </w:p>
        </w:tc>
        <w:tc>
          <w:tcPr>
            <w:tcW w:w="1841" w:type="dxa"/>
            <w:tcBorders>
              <w:left w:val="single" w:sz="6" w:space="0" w:color="000000"/>
              <w:bottom w:val="single" w:sz="6" w:space="0" w:color="000000"/>
              <w:right w:val="single" w:sz="6" w:space="0" w:color="000000"/>
            </w:tcBorders>
          </w:tcPr>
          <w:p>
            <w:pPr>
              <w:pStyle w:val="TableParagraph"/>
              <w:spacing w:before="48"/>
              <w:ind w:left="116" w:right="89"/>
              <w:rPr>
                <w:rFonts w:ascii="宋体" w:eastAsia="宋体" w:hint="eastAsia"/>
                <w:b/>
                <w:sz w:val="21"/>
              </w:rPr>
            </w:pPr>
            <w:r>
              <w:rPr>
                <w:rFonts w:ascii="宋体" w:eastAsia="宋体" w:hint="eastAsia"/>
                <w:b/>
                <w:sz w:val="21"/>
              </w:rPr>
              <w:t>污染物名称</w:t>
            </w:r>
          </w:p>
        </w:tc>
        <w:tc>
          <w:tcPr>
            <w:tcW w:w="1611" w:type="dxa"/>
            <w:tcBorders>
              <w:left w:val="single" w:sz="6" w:space="0" w:color="000000"/>
              <w:bottom w:val="single" w:sz="6" w:space="0" w:color="000000"/>
              <w:right w:val="single" w:sz="6" w:space="0" w:color="000000"/>
            </w:tcBorders>
          </w:tcPr>
          <w:p>
            <w:pPr>
              <w:pStyle w:val="TableParagraph"/>
              <w:spacing w:before="48"/>
              <w:ind w:left="343" w:right="316"/>
              <w:rPr>
                <w:rFonts w:ascii="宋体" w:eastAsia="宋体" w:hint="eastAsia"/>
                <w:b/>
                <w:sz w:val="21"/>
              </w:rPr>
            </w:pPr>
            <w:r>
              <w:rPr>
                <w:rFonts w:ascii="宋体" w:eastAsia="宋体" w:hint="eastAsia"/>
                <w:b/>
                <w:sz w:val="21"/>
              </w:rPr>
              <w:t>产生量</w:t>
            </w:r>
          </w:p>
        </w:tc>
        <w:tc>
          <w:tcPr>
            <w:tcW w:w="1303" w:type="dxa"/>
            <w:tcBorders>
              <w:left w:val="single" w:sz="6" w:space="0" w:color="000000"/>
              <w:bottom w:val="single" w:sz="6" w:space="0" w:color="000000"/>
              <w:right w:val="single" w:sz="6" w:space="0" w:color="000000"/>
            </w:tcBorders>
          </w:tcPr>
          <w:p>
            <w:pPr>
              <w:pStyle w:val="TableParagraph"/>
              <w:spacing w:before="48"/>
              <w:ind w:left="247" w:right="219"/>
              <w:rPr>
                <w:rFonts w:ascii="宋体" w:eastAsia="宋体" w:hint="eastAsia"/>
                <w:b/>
                <w:sz w:val="21"/>
              </w:rPr>
            </w:pPr>
            <w:r>
              <w:rPr>
                <w:rFonts w:ascii="宋体" w:eastAsia="宋体" w:hint="eastAsia"/>
                <w:b/>
                <w:sz w:val="21"/>
              </w:rPr>
              <w:t>削减量</w:t>
            </w:r>
          </w:p>
        </w:tc>
        <w:tc>
          <w:tcPr>
            <w:tcW w:w="1608" w:type="dxa"/>
            <w:tcBorders>
              <w:left w:val="single" w:sz="6" w:space="0" w:color="000000"/>
              <w:bottom w:val="single" w:sz="6" w:space="0" w:color="000000"/>
            </w:tcBorders>
          </w:tcPr>
          <w:p>
            <w:pPr>
              <w:pStyle w:val="TableParagraph"/>
              <w:spacing w:before="48"/>
              <w:ind w:left="341" w:right="308"/>
              <w:rPr>
                <w:rFonts w:ascii="宋体" w:eastAsia="宋体" w:hint="eastAsia"/>
                <w:b/>
                <w:sz w:val="21"/>
              </w:rPr>
            </w:pPr>
            <w:r>
              <w:rPr>
                <w:rFonts w:ascii="宋体" w:eastAsia="宋体" w:hint="eastAsia"/>
                <w:b/>
                <w:sz w:val="21"/>
              </w:rPr>
              <w:t>排放量</w:t>
            </w:r>
          </w:p>
        </w:tc>
      </w:tr>
      <w:tr>
        <w:trPr>
          <w:trHeight w:val="359"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2"/>
              <w:jc w:val="left"/>
              <w:rPr>
                <w:b/>
                <w:sz w:val="29"/>
              </w:rPr>
            </w:pPr>
          </w:p>
          <w:p>
            <w:pPr>
              <w:pStyle w:val="TableParagraph"/>
              <w:spacing w:before="0"/>
              <w:ind w:left="405"/>
              <w:jc w:val="left"/>
              <w:rPr>
                <w:rFonts w:ascii="宋体" w:eastAsia="宋体" w:hint="eastAsia"/>
                <w:sz w:val="21"/>
              </w:rPr>
            </w:pPr>
            <w:r>
              <w:rPr>
                <w:rFonts w:ascii="宋体" w:eastAsia="宋体" w:hint="eastAsia"/>
                <w:sz w:val="21"/>
              </w:rPr>
              <w:t>废水</w:t>
            </w: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line="321" w:lineRule="auto" w:before="155"/>
              <w:ind w:left="503" w:right="472"/>
              <w:jc w:val="left"/>
              <w:rPr>
                <w:rFonts w:ascii="宋体" w:eastAsia="宋体" w:hint="eastAsia"/>
                <w:sz w:val="21"/>
              </w:rPr>
            </w:pPr>
            <w:r>
              <w:rPr>
                <w:rFonts w:ascii="宋体" w:eastAsia="宋体" w:hint="eastAsia"/>
                <w:sz w:val="21"/>
              </w:rPr>
              <w:t>生产废水生活污水</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89"/>
              <w:rPr>
                <w:rFonts w:ascii="宋体" w:eastAsia="宋体" w:hint="eastAsia"/>
                <w:sz w:val="21"/>
              </w:rPr>
            </w:pPr>
            <w:r>
              <w:rPr>
                <w:rFonts w:ascii="宋体" w:eastAsia="宋体" w:hint="eastAsia"/>
                <w:sz w:val="21"/>
              </w:rPr>
              <w:t>废水总量</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6" w:right="316"/>
              <w:rPr>
                <w:sz w:val="21"/>
              </w:rPr>
            </w:pPr>
            <w:r>
              <w:rPr>
                <w:sz w:val="21"/>
              </w:rPr>
              <w:t>133337.42</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0</w:t>
            </w:r>
          </w:p>
        </w:tc>
        <w:tc>
          <w:tcPr>
            <w:tcW w:w="1608" w:type="dxa"/>
            <w:tcBorders>
              <w:top w:val="single" w:sz="6" w:space="0" w:color="000000"/>
              <w:left w:val="single" w:sz="6" w:space="0" w:color="000000"/>
              <w:bottom w:val="single" w:sz="6" w:space="0" w:color="000000"/>
            </w:tcBorders>
          </w:tcPr>
          <w:p>
            <w:pPr>
              <w:pStyle w:val="TableParagraph"/>
              <w:ind w:left="344" w:right="308"/>
              <w:rPr>
                <w:sz w:val="21"/>
              </w:rPr>
            </w:pPr>
            <w:r>
              <w:rPr>
                <w:sz w:val="21"/>
              </w:rPr>
              <w:t>133337.42</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57"/>
              <w:ind w:left="118" w:right="89"/>
              <w:rPr>
                <w:sz w:val="14"/>
              </w:rPr>
            </w:pPr>
            <w:r>
              <w:rPr>
                <w:position w:val="2"/>
                <w:sz w:val="21"/>
              </w:rPr>
              <w:t>COD</w:t>
            </w:r>
            <w:r>
              <w:rPr>
                <w:sz w:val="14"/>
              </w:rPr>
              <w:t>Cr</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6" w:right="316"/>
              <w:rPr>
                <w:sz w:val="21"/>
              </w:rPr>
            </w:pPr>
            <w:r>
              <w:rPr>
                <w:sz w:val="21"/>
              </w:rPr>
              <w:t>285.160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49" w:right="219"/>
              <w:rPr>
                <w:sz w:val="21"/>
              </w:rPr>
            </w:pPr>
            <w:r>
              <w:rPr>
                <w:sz w:val="21"/>
              </w:rPr>
              <w:t>278.494</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6.667</w:t>
            </w:r>
          </w:p>
        </w:tc>
      </w:tr>
      <w:tr>
        <w:trPr>
          <w:trHeight w:val="357"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57"/>
              <w:ind w:left="117" w:right="89"/>
              <w:rPr>
                <w:sz w:val="21"/>
              </w:rPr>
            </w:pPr>
            <w:r>
              <w:rPr>
                <w:position w:val="2"/>
                <w:sz w:val="21"/>
              </w:rPr>
              <w:t>NH</w:t>
            </w:r>
            <w:r>
              <w:rPr>
                <w:sz w:val="14"/>
              </w:rPr>
              <w:t>3</w:t>
            </w:r>
            <w:r>
              <w:rPr>
                <w:position w:val="2"/>
                <w:sz w:val="21"/>
              </w:rPr>
              <w:t>-N</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27.373</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26.706</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0.667</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60"/>
              <w:ind w:left="116" w:right="89"/>
              <w:rPr>
                <w:sz w:val="21"/>
              </w:rPr>
            </w:pPr>
            <w:r>
              <w:rPr>
                <w:sz w:val="21"/>
              </w:rPr>
              <w:t>TN</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60"/>
              <w:ind w:left="343" w:right="316"/>
              <w:rPr>
                <w:sz w:val="21"/>
              </w:rPr>
            </w:pPr>
            <w:r>
              <w:rPr>
                <w:sz w:val="21"/>
              </w:rPr>
              <w:t>37.864</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19"/>
              <w:rPr>
                <w:sz w:val="21"/>
              </w:rPr>
            </w:pPr>
            <w:r>
              <w:rPr>
                <w:sz w:val="21"/>
              </w:rPr>
              <w:t>35.863</w:t>
            </w:r>
          </w:p>
        </w:tc>
        <w:tc>
          <w:tcPr>
            <w:tcW w:w="1608" w:type="dxa"/>
            <w:tcBorders>
              <w:top w:val="single" w:sz="6" w:space="0" w:color="000000"/>
              <w:left w:val="single" w:sz="6" w:space="0" w:color="000000"/>
              <w:bottom w:val="single" w:sz="6" w:space="0" w:color="000000"/>
            </w:tcBorders>
          </w:tcPr>
          <w:p>
            <w:pPr>
              <w:pStyle w:val="TableParagraph"/>
              <w:spacing w:before="60"/>
              <w:ind w:left="341" w:right="308"/>
              <w:rPr>
                <w:sz w:val="21"/>
              </w:rPr>
            </w:pPr>
            <w:r>
              <w:rPr>
                <w:sz w:val="21"/>
              </w:rPr>
              <w:t>2.000</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ind w:left="119" w:right="89"/>
              <w:rPr>
                <w:sz w:val="21"/>
              </w:rPr>
            </w:pPr>
            <w:r>
              <w:rPr>
                <w:sz w:val="21"/>
              </w:rPr>
              <w:t>TP</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4.452</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4.385</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0.067</w:t>
            </w:r>
          </w:p>
        </w:tc>
      </w:tr>
      <w:tr>
        <w:trPr>
          <w:trHeight w:val="359"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7"/>
              <w:jc w:val="left"/>
              <w:rPr>
                <w:b/>
                <w:sz w:val="26"/>
              </w:rPr>
            </w:pPr>
          </w:p>
          <w:p>
            <w:pPr>
              <w:pStyle w:val="TableParagraph"/>
              <w:spacing w:before="0"/>
              <w:ind w:left="405"/>
              <w:jc w:val="left"/>
              <w:rPr>
                <w:rFonts w:ascii="宋体" w:eastAsia="宋体" w:hint="eastAsia"/>
                <w:sz w:val="21"/>
              </w:rPr>
            </w:pPr>
            <w:r>
              <w:rPr>
                <w:rFonts w:ascii="宋体" w:eastAsia="宋体" w:hint="eastAsia"/>
                <w:sz w:val="21"/>
              </w:rPr>
              <w:t>废气</w:t>
            </w: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0"/>
              </w:rPr>
            </w:pPr>
          </w:p>
          <w:p>
            <w:pPr>
              <w:pStyle w:val="TableParagraph"/>
              <w:spacing w:before="0"/>
              <w:ind w:left="171" w:right="140"/>
              <w:rPr>
                <w:rFonts w:ascii="宋体" w:eastAsia="宋体" w:hint="eastAsia"/>
                <w:sz w:val="21"/>
              </w:rPr>
            </w:pPr>
            <w:r>
              <w:rPr>
                <w:rFonts w:ascii="宋体" w:eastAsia="宋体" w:hint="eastAsia"/>
                <w:sz w:val="21"/>
              </w:rPr>
              <w:t>猪舍</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15.369</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13.064</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2.305</w:t>
            </w:r>
          </w:p>
        </w:tc>
      </w:tr>
      <w:tr>
        <w:trPr>
          <w:trHeight w:val="357"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1.377</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1.033</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0.344</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b/>
                <w:sz w:val="20"/>
              </w:rPr>
            </w:pPr>
          </w:p>
          <w:p>
            <w:pPr>
              <w:pStyle w:val="TableParagraph"/>
              <w:spacing w:before="0"/>
              <w:ind w:left="503"/>
              <w:jc w:val="left"/>
              <w:rPr>
                <w:rFonts w:ascii="宋体" w:eastAsia="宋体" w:hint="eastAsia"/>
                <w:sz w:val="21"/>
              </w:rPr>
            </w:pPr>
            <w:r>
              <w:rPr>
                <w:rFonts w:ascii="宋体" w:eastAsia="宋体" w:hint="eastAsia"/>
                <w:sz w:val="21"/>
              </w:rPr>
              <w:t>粪污处理</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9"/>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9.624</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82"/>
              <w:ind w:left="247" w:right="219"/>
              <w:rPr>
                <w:sz w:val="21"/>
              </w:rPr>
            </w:pPr>
            <w:r>
              <w:rPr>
                <w:sz w:val="21"/>
              </w:rPr>
              <w:t>6.929</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2.695</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0.070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82"/>
              <w:ind w:left="247" w:right="219"/>
              <w:rPr>
                <w:sz w:val="21"/>
              </w:rPr>
            </w:pPr>
            <w:r>
              <w:rPr>
                <w:sz w:val="21"/>
              </w:rPr>
              <w:t>0.050</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0.020</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0"/>
              </w:rPr>
            </w:pPr>
          </w:p>
          <w:p>
            <w:pPr>
              <w:pStyle w:val="TableParagraph"/>
              <w:spacing w:before="0"/>
              <w:ind w:left="503"/>
              <w:jc w:val="left"/>
              <w:rPr>
                <w:rFonts w:ascii="宋体" w:eastAsia="宋体" w:hint="eastAsia"/>
                <w:sz w:val="21"/>
              </w:rPr>
            </w:pPr>
            <w:r>
              <w:rPr>
                <w:rFonts w:ascii="宋体" w:eastAsia="宋体" w:hint="eastAsia"/>
                <w:sz w:val="21"/>
              </w:rPr>
              <w:t>猪粪发酵</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0.950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0.760</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0.190</w:t>
            </w:r>
          </w:p>
        </w:tc>
      </w:tr>
      <w:tr>
        <w:trPr>
          <w:trHeight w:val="357"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0.170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0.136</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0.034</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6"/>
              <w:ind w:left="171" w:right="140"/>
              <w:rPr>
                <w:rFonts w:ascii="宋体" w:eastAsia="宋体" w:hint="eastAsia"/>
                <w:sz w:val="21"/>
              </w:rPr>
            </w:pPr>
            <w:r>
              <w:rPr>
                <w:rFonts w:ascii="宋体" w:eastAsia="宋体" w:hint="eastAsia"/>
                <w:sz w:val="21"/>
              </w:rPr>
              <w:t>病死猪无害化处</w:t>
            </w:r>
          </w:p>
          <w:p>
            <w:pPr>
              <w:pStyle w:val="TableParagraph"/>
              <w:spacing w:before="89"/>
              <w:ind w:left="26"/>
              <w:rPr>
                <w:rFonts w:ascii="宋体" w:eastAsia="宋体" w:hint="eastAsia"/>
                <w:sz w:val="21"/>
              </w:rPr>
            </w:pPr>
            <w:r>
              <w:rPr>
                <w:rFonts w:ascii="宋体" w:eastAsia="宋体" w:hint="eastAsia"/>
                <w:w w:val="100"/>
                <w:sz w:val="21"/>
              </w:rPr>
              <w:t>理</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9"/>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2.98E-03</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82"/>
              <w:ind w:left="252" w:right="219"/>
              <w:rPr>
                <w:sz w:val="21"/>
              </w:rPr>
            </w:pPr>
            <w:r>
              <w:rPr>
                <w:sz w:val="21"/>
              </w:rPr>
              <w:t>2.38E-03</w:t>
            </w:r>
          </w:p>
        </w:tc>
        <w:tc>
          <w:tcPr>
            <w:tcW w:w="1608" w:type="dxa"/>
            <w:tcBorders>
              <w:top w:val="single" w:sz="6" w:space="0" w:color="000000"/>
              <w:left w:val="single" w:sz="6" w:space="0" w:color="000000"/>
              <w:bottom w:val="single" w:sz="6" w:space="0" w:color="000000"/>
            </w:tcBorders>
          </w:tcPr>
          <w:p>
            <w:pPr>
              <w:pStyle w:val="TableParagraph"/>
              <w:ind w:left="342" w:right="308"/>
              <w:rPr>
                <w:sz w:val="21"/>
              </w:rPr>
            </w:pPr>
            <w:r>
              <w:rPr>
                <w:sz w:val="21"/>
              </w:rPr>
              <w:t>5.97E-04</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3.58E-05</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82"/>
              <w:ind w:left="252" w:right="219"/>
              <w:rPr>
                <w:sz w:val="21"/>
              </w:rPr>
            </w:pPr>
            <w:r>
              <w:rPr>
                <w:sz w:val="21"/>
              </w:rPr>
              <w:t>2.86E-05</w:t>
            </w:r>
          </w:p>
        </w:tc>
        <w:tc>
          <w:tcPr>
            <w:tcW w:w="1608" w:type="dxa"/>
            <w:tcBorders>
              <w:top w:val="single" w:sz="6" w:space="0" w:color="000000"/>
              <w:left w:val="single" w:sz="6" w:space="0" w:color="000000"/>
              <w:bottom w:val="single" w:sz="6" w:space="0" w:color="000000"/>
            </w:tcBorders>
          </w:tcPr>
          <w:p>
            <w:pPr>
              <w:pStyle w:val="TableParagraph"/>
              <w:ind w:left="342" w:right="308"/>
              <w:rPr>
                <w:sz w:val="21"/>
              </w:rPr>
            </w:pPr>
            <w:r>
              <w:rPr>
                <w:sz w:val="21"/>
              </w:rPr>
              <w:t>7.16E-06</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0"/>
              </w:rPr>
            </w:pPr>
          </w:p>
          <w:p>
            <w:pPr>
              <w:pStyle w:val="TableParagraph"/>
              <w:spacing w:before="0"/>
              <w:ind w:left="503"/>
              <w:jc w:val="left"/>
              <w:rPr>
                <w:rFonts w:ascii="宋体" w:eastAsia="宋体" w:hint="eastAsia"/>
                <w:sz w:val="21"/>
              </w:rPr>
            </w:pPr>
            <w:r>
              <w:rPr>
                <w:rFonts w:ascii="宋体" w:eastAsia="宋体" w:hint="eastAsia"/>
                <w:sz w:val="21"/>
              </w:rPr>
              <w:t>沼气锅炉</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89"/>
              <w:rPr>
                <w:rFonts w:ascii="宋体" w:eastAsia="宋体" w:hint="eastAsia"/>
                <w:sz w:val="21"/>
              </w:rPr>
            </w:pPr>
            <w:r>
              <w:rPr>
                <w:rFonts w:ascii="宋体" w:eastAsia="宋体" w:hint="eastAsia"/>
                <w:sz w:val="21"/>
              </w:rPr>
              <w:t>二氧化硫</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6" w:right="316"/>
              <w:rPr>
                <w:sz w:val="21"/>
              </w:rPr>
            </w:pPr>
            <w:r>
              <w:rPr>
                <w:sz w:val="21"/>
              </w:rPr>
              <w:t>0.011</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0</w:t>
            </w:r>
          </w:p>
        </w:tc>
        <w:tc>
          <w:tcPr>
            <w:tcW w:w="1608" w:type="dxa"/>
            <w:tcBorders>
              <w:top w:val="single" w:sz="6" w:space="0" w:color="000000"/>
              <w:left w:val="single" w:sz="6" w:space="0" w:color="000000"/>
              <w:bottom w:val="single" w:sz="6" w:space="0" w:color="000000"/>
            </w:tcBorders>
          </w:tcPr>
          <w:p>
            <w:pPr>
              <w:pStyle w:val="TableParagraph"/>
              <w:ind w:left="344" w:right="308"/>
              <w:rPr>
                <w:sz w:val="21"/>
              </w:rPr>
            </w:pPr>
            <w:r>
              <w:rPr>
                <w:sz w:val="21"/>
              </w:rPr>
              <w:t>0.011</w:t>
            </w:r>
          </w:p>
        </w:tc>
      </w:tr>
      <w:tr>
        <w:trPr>
          <w:trHeight w:val="357"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89"/>
              <w:rPr>
                <w:rFonts w:ascii="宋体" w:eastAsia="宋体" w:hint="eastAsia"/>
                <w:sz w:val="21"/>
              </w:rPr>
            </w:pPr>
            <w:r>
              <w:rPr>
                <w:rFonts w:ascii="宋体" w:eastAsia="宋体" w:hint="eastAsia"/>
                <w:sz w:val="21"/>
              </w:rPr>
              <w:t>氮氧化物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0.478</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0</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0.478</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49"/>
              <w:ind w:left="171" w:right="140"/>
              <w:rPr>
                <w:rFonts w:ascii="宋体" w:eastAsia="宋体" w:hint="eastAsia"/>
                <w:sz w:val="21"/>
              </w:rPr>
            </w:pPr>
            <w:r>
              <w:rPr>
                <w:rFonts w:ascii="宋体" w:eastAsia="宋体" w:hint="eastAsia"/>
                <w:sz w:val="21"/>
              </w:rPr>
              <w:t>食堂</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9"/>
              <w:ind w:left="116" w:right="89"/>
              <w:rPr>
                <w:rFonts w:ascii="宋体" w:eastAsia="宋体" w:hint="eastAsia"/>
                <w:sz w:val="21"/>
              </w:rPr>
            </w:pPr>
            <w:r>
              <w:rPr>
                <w:rFonts w:ascii="宋体" w:eastAsia="宋体" w:hint="eastAsia"/>
                <w:sz w:val="21"/>
              </w:rPr>
              <w:t>油烟</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60"/>
              <w:ind w:left="343" w:right="316"/>
              <w:rPr>
                <w:sz w:val="21"/>
              </w:rPr>
            </w:pPr>
            <w:r>
              <w:rPr>
                <w:sz w:val="21"/>
              </w:rPr>
              <w:t>0.069</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19"/>
              <w:rPr>
                <w:sz w:val="21"/>
              </w:rPr>
            </w:pPr>
            <w:r>
              <w:rPr>
                <w:sz w:val="21"/>
              </w:rPr>
              <w:t>0.052</w:t>
            </w:r>
          </w:p>
        </w:tc>
        <w:tc>
          <w:tcPr>
            <w:tcW w:w="1608" w:type="dxa"/>
            <w:tcBorders>
              <w:top w:val="single" w:sz="6" w:space="0" w:color="000000"/>
              <w:left w:val="single" w:sz="6" w:space="0" w:color="000000"/>
              <w:bottom w:val="single" w:sz="6" w:space="0" w:color="000000"/>
            </w:tcBorders>
          </w:tcPr>
          <w:p>
            <w:pPr>
              <w:pStyle w:val="TableParagraph"/>
              <w:spacing w:before="60"/>
              <w:ind w:left="341" w:right="308"/>
              <w:rPr>
                <w:sz w:val="21"/>
              </w:rPr>
            </w:pPr>
            <w:r>
              <w:rPr>
                <w:sz w:val="21"/>
              </w:rPr>
              <w:t>0.017</w:t>
            </w:r>
          </w:p>
        </w:tc>
      </w:tr>
      <w:tr>
        <w:trPr>
          <w:trHeight w:val="351" w:hRule="atLeast"/>
        </w:trPr>
        <w:tc>
          <w:tcPr>
            <w:tcW w:w="1231" w:type="dxa"/>
            <w:vMerge w:val="restart"/>
            <w:tcBorders>
              <w:top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48"/>
              <w:ind w:left="405"/>
              <w:jc w:val="left"/>
              <w:rPr>
                <w:rFonts w:ascii="宋体" w:eastAsia="宋体" w:hint="eastAsia"/>
                <w:sz w:val="21"/>
              </w:rPr>
            </w:pPr>
            <w:r>
              <w:rPr>
                <w:rFonts w:ascii="宋体" w:eastAsia="宋体" w:hint="eastAsia"/>
                <w:sz w:val="21"/>
              </w:rPr>
              <w:t>固废</w:t>
            </w: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46"/>
              <w:ind w:left="169" w:right="140"/>
              <w:rPr>
                <w:rFonts w:ascii="宋体" w:eastAsia="宋体" w:hint="eastAsia"/>
                <w:sz w:val="21"/>
              </w:rPr>
            </w:pPr>
            <w:r>
              <w:rPr>
                <w:rFonts w:ascii="宋体" w:eastAsia="宋体" w:hint="eastAsia"/>
                <w:sz w:val="21"/>
              </w:rPr>
              <w:t>猪粪发酵罐</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89"/>
              <w:rPr>
                <w:rFonts w:ascii="宋体" w:eastAsia="宋体" w:hint="eastAsia"/>
                <w:sz w:val="21"/>
              </w:rPr>
            </w:pPr>
            <w:r>
              <w:rPr>
                <w:rFonts w:ascii="宋体" w:eastAsia="宋体" w:hint="eastAsia"/>
                <w:sz w:val="21"/>
              </w:rPr>
              <w:t>发酵产物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6" w:right="316"/>
              <w:rPr>
                <w:sz w:val="21"/>
              </w:rPr>
            </w:pPr>
            <w:r>
              <w:rPr>
                <w:sz w:val="21"/>
              </w:rPr>
              <w:t>22695.0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49" w:right="219"/>
              <w:rPr>
                <w:sz w:val="21"/>
              </w:rPr>
            </w:pPr>
            <w:r>
              <w:rPr>
                <w:sz w:val="21"/>
              </w:rPr>
              <w:t>22695.0</w:t>
            </w:r>
          </w:p>
        </w:tc>
        <w:tc>
          <w:tcPr>
            <w:tcW w:w="1608" w:type="dxa"/>
            <w:tcBorders>
              <w:top w:val="single" w:sz="6" w:space="0" w:color="000000"/>
              <w:left w:val="single" w:sz="6" w:space="0" w:color="000000"/>
              <w:bottom w:val="single" w:sz="6" w:space="0" w:color="000000"/>
            </w:tcBorders>
          </w:tcPr>
          <w:p>
            <w:pPr>
              <w:pStyle w:val="TableParagraph"/>
              <w:ind w:left="33"/>
              <w:rPr>
                <w:sz w:val="21"/>
              </w:rPr>
            </w:pPr>
            <w:r>
              <w:rPr>
                <w:w w:val="100"/>
                <w:sz w:val="21"/>
              </w:rPr>
              <w:t>0</w:t>
            </w:r>
          </w:p>
        </w:tc>
      </w:tr>
      <w:tr>
        <w:trPr>
          <w:trHeight w:val="344"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39"/>
              <w:ind w:left="169" w:right="140"/>
              <w:rPr>
                <w:rFonts w:ascii="宋体" w:eastAsia="宋体" w:hint="eastAsia"/>
                <w:sz w:val="21"/>
              </w:rPr>
            </w:pPr>
            <w:r>
              <w:rPr>
                <w:rFonts w:ascii="宋体" w:eastAsia="宋体" w:hint="eastAsia"/>
                <w:sz w:val="21"/>
              </w:rPr>
              <w:t>非危化品包装</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7" w:right="89"/>
              <w:rPr>
                <w:rFonts w:ascii="宋体" w:eastAsia="宋体" w:hint="eastAsia"/>
                <w:sz w:val="21"/>
              </w:rPr>
            </w:pPr>
            <w:r>
              <w:rPr>
                <w:rFonts w:ascii="宋体" w:eastAsia="宋体" w:hint="eastAsia"/>
                <w:sz w:val="21"/>
              </w:rPr>
              <w:t>一般废包装物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40.0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52" w:right="219"/>
              <w:rPr>
                <w:sz w:val="21"/>
              </w:rPr>
            </w:pPr>
            <w:r>
              <w:rPr>
                <w:sz w:val="21"/>
              </w:rPr>
              <w:t>40.0</w:t>
            </w:r>
          </w:p>
        </w:tc>
        <w:tc>
          <w:tcPr>
            <w:tcW w:w="1608" w:type="dxa"/>
            <w:tcBorders>
              <w:top w:val="single" w:sz="6" w:space="0" w:color="000000"/>
              <w:left w:val="single" w:sz="6" w:space="0" w:color="000000"/>
              <w:bottom w:val="single" w:sz="6" w:space="0" w:color="000000"/>
            </w:tcBorders>
          </w:tcPr>
          <w:p>
            <w:pPr>
              <w:pStyle w:val="TableParagraph"/>
              <w:spacing w:before="50"/>
              <w:ind w:left="33"/>
              <w:rPr>
                <w:sz w:val="21"/>
              </w:rPr>
            </w:pPr>
            <w:r>
              <w:rPr>
                <w:w w:val="100"/>
                <w:sz w:val="21"/>
              </w:rPr>
              <w:t>0</w:t>
            </w:r>
          </w:p>
        </w:tc>
      </w:tr>
      <w:tr>
        <w:trPr>
          <w:trHeight w:val="341"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39"/>
              <w:ind w:left="169" w:right="140"/>
              <w:rPr>
                <w:rFonts w:ascii="宋体" w:eastAsia="宋体" w:hint="eastAsia"/>
                <w:sz w:val="21"/>
              </w:rPr>
            </w:pPr>
            <w:r>
              <w:rPr>
                <w:rFonts w:ascii="宋体" w:eastAsia="宋体" w:hint="eastAsia"/>
                <w:sz w:val="21"/>
              </w:rPr>
              <w:t>危化品包装</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6" w:right="89"/>
              <w:rPr>
                <w:rFonts w:ascii="宋体" w:eastAsia="宋体" w:hint="eastAsia"/>
                <w:sz w:val="21"/>
              </w:rPr>
            </w:pPr>
            <w:r>
              <w:rPr>
                <w:rFonts w:ascii="宋体" w:eastAsia="宋体" w:hint="eastAsia"/>
                <w:sz w:val="21"/>
              </w:rPr>
              <w:t>危化品废包装物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0.6</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52" w:right="219"/>
              <w:rPr>
                <w:sz w:val="21"/>
              </w:rPr>
            </w:pPr>
            <w:r>
              <w:rPr>
                <w:sz w:val="21"/>
              </w:rPr>
              <w:t>0.6</w:t>
            </w:r>
          </w:p>
        </w:tc>
        <w:tc>
          <w:tcPr>
            <w:tcW w:w="1608" w:type="dxa"/>
            <w:tcBorders>
              <w:top w:val="single" w:sz="6" w:space="0" w:color="000000"/>
              <w:left w:val="single" w:sz="6" w:space="0" w:color="000000"/>
              <w:bottom w:val="single" w:sz="6" w:space="0" w:color="000000"/>
            </w:tcBorders>
          </w:tcPr>
          <w:p>
            <w:pPr>
              <w:pStyle w:val="TableParagraph"/>
              <w:spacing w:before="50"/>
              <w:ind w:left="33"/>
              <w:rPr>
                <w:sz w:val="21"/>
              </w:rPr>
            </w:pPr>
            <w:r>
              <w:rPr>
                <w:w w:val="100"/>
                <w:sz w:val="21"/>
              </w:rPr>
              <w:t>0</w:t>
            </w:r>
          </w:p>
        </w:tc>
      </w:tr>
      <w:tr>
        <w:trPr>
          <w:trHeight w:val="353"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right w:val="single" w:sz="6" w:space="0" w:color="000000"/>
            </w:tcBorders>
          </w:tcPr>
          <w:p>
            <w:pPr>
              <w:pStyle w:val="TableParagraph"/>
              <w:spacing w:before="41"/>
              <w:ind w:left="171" w:right="140"/>
              <w:rPr>
                <w:rFonts w:ascii="宋体" w:eastAsia="宋体" w:hint="eastAsia"/>
                <w:sz w:val="21"/>
              </w:rPr>
            </w:pPr>
            <w:r>
              <w:rPr>
                <w:rFonts w:ascii="宋体" w:eastAsia="宋体" w:hint="eastAsia"/>
                <w:sz w:val="21"/>
              </w:rPr>
              <w:t>无害化处理机</w:t>
            </w:r>
          </w:p>
        </w:tc>
        <w:tc>
          <w:tcPr>
            <w:tcW w:w="1841" w:type="dxa"/>
            <w:tcBorders>
              <w:top w:val="single" w:sz="6" w:space="0" w:color="000000"/>
              <w:left w:val="single" w:sz="6" w:space="0" w:color="000000"/>
              <w:right w:val="single" w:sz="6" w:space="0" w:color="000000"/>
            </w:tcBorders>
          </w:tcPr>
          <w:p>
            <w:pPr>
              <w:pStyle w:val="TableParagraph"/>
              <w:spacing w:before="41"/>
              <w:ind w:left="119" w:right="89"/>
              <w:rPr>
                <w:rFonts w:ascii="宋体" w:eastAsia="宋体" w:hint="eastAsia"/>
                <w:sz w:val="21"/>
              </w:rPr>
            </w:pPr>
            <w:r>
              <w:rPr>
                <w:rFonts w:ascii="宋体" w:eastAsia="宋体" w:hint="eastAsia"/>
                <w:sz w:val="21"/>
              </w:rPr>
              <w:t>废矿物油</w:t>
            </w:r>
          </w:p>
        </w:tc>
        <w:tc>
          <w:tcPr>
            <w:tcW w:w="1611" w:type="dxa"/>
            <w:tcBorders>
              <w:top w:val="single" w:sz="6" w:space="0" w:color="000000"/>
              <w:left w:val="single" w:sz="6" w:space="0" w:color="000000"/>
              <w:right w:val="single" w:sz="6" w:space="0" w:color="000000"/>
            </w:tcBorders>
          </w:tcPr>
          <w:p>
            <w:pPr>
              <w:pStyle w:val="TableParagraph"/>
              <w:spacing w:before="53"/>
              <w:ind w:left="343" w:right="316"/>
              <w:rPr>
                <w:sz w:val="21"/>
              </w:rPr>
            </w:pPr>
            <w:r>
              <w:rPr>
                <w:sz w:val="21"/>
              </w:rPr>
              <w:t>0.1</w:t>
            </w:r>
          </w:p>
        </w:tc>
        <w:tc>
          <w:tcPr>
            <w:tcW w:w="1303" w:type="dxa"/>
            <w:tcBorders>
              <w:top w:val="single" w:sz="6" w:space="0" w:color="000000"/>
              <w:left w:val="single" w:sz="6" w:space="0" w:color="000000"/>
              <w:right w:val="single" w:sz="6" w:space="0" w:color="000000"/>
            </w:tcBorders>
          </w:tcPr>
          <w:p>
            <w:pPr>
              <w:pStyle w:val="TableParagraph"/>
              <w:spacing w:before="53"/>
              <w:ind w:left="252" w:right="219"/>
              <w:rPr>
                <w:sz w:val="21"/>
              </w:rPr>
            </w:pPr>
            <w:r>
              <w:rPr>
                <w:sz w:val="21"/>
              </w:rPr>
              <w:t>0.1</w:t>
            </w:r>
          </w:p>
        </w:tc>
        <w:tc>
          <w:tcPr>
            <w:tcW w:w="1608" w:type="dxa"/>
            <w:tcBorders>
              <w:top w:val="single" w:sz="6" w:space="0" w:color="000000"/>
              <w:left w:val="single" w:sz="6" w:space="0" w:color="000000"/>
            </w:tcBorders>
          </w:tcPr>
          <w:p>
            <w:pPr>
              <w:pStyle w:val="TableParagraph"/>
              <w:spacing w:before="53"/>
              <w:ind w:left="33"/>
              <w:rPr>
                <w:sz w:val="21"/>
              </w:rPr>
            </w:pPr>
            <w:r>
              <w:rPr>
                <w:w w:val="100"/>
                <w:sz w:val="21"/>
              </w:rPr>
              <w:t>0</w:t>
            </w:r>
          </w:p>
        </w:tc>
      </w:tr>
    </w:tbl>
    <w:p>
      <w:pPr>
        <w:spacing w:after="0"/>
        <w:rPr>
          <w:sz w:val="21"/>
        </w:rPr>
        <w:sectPr>
          <w:headerReference w:type="default" r:id="rId42"/>
          <w:footerReference w:type="default" r:id="rId43"/>
          <w:pgSz w:w="11910" w:h="16840"/>
          <w:pgMar w:header="874" w:footer="1004" w:top="1420" w:bottom="1200" w:left="1040" w:right="1160"/>
          <w:pgNumType w:start="82"/>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1836"/>
        <w:gridCol w:w="1841"/>
        <w:gridCol w:w="1611"/>
        <w:gridCol w:w="1303"/>
        <w:gridCol w:w="1608"/>
      </w:tblGrid>
      <w:tr>
        <w:trPr>
          <w:trHeight w:val="359" w:hRule="atLeast"/>
        </w:trPr>
        <w:tc>
          <w:tcPr>
            <w:tcW w:w="1231" w:type="dxa"/>
            <w:tcBorders>
              <w:bottom w:val="single" w:sz="6" w:space="0" w:color="000000"/>
              <w:right w:val="single" w:sz="6" w:space="0" w:color="000000"/>
            </w:tcBorders>
          </w:tcPr>
          <w:p>
            <w:pPr>
              <w:pStyle w:val="TableParagraph"/>
              <w:spacing w:before="49"/>
              <w:ind w:left="296"/>
              <w:jc w:val="left"/>
              <w:rPr>
                <w:rFonts w:ascii="宋体" w:eastAsia="宋体" w:hint="eastAsia"/>
                <w:b/>
                <w:sz w:val="21"/>
              </w:rPr>
            </w:pPr>
            <w:r>
              <w:rPr>
                <w:rFonts w:ascii="宋体" w:eastAsia="宋体" w:hint="eastAsia"/>
                <w:b/>
                <w:sz w:val="21"/>
              </w:rPr>
              <w:t>污染物</w:t>
            </w:r>
          </w:p>
        </w:tc>
        <w:tc>
          <w:tcPr>
            <w:tcW w:w="1836" w:type="dxa"/>
            <w:tcBorders>
              <w:left w:val="single" w:sz="6" w:space="0" w:color="000000"/>
              <w:bottom w:val="single" w:sz="6" w:space="0" w:color="000000"/>
              <w:right w:val="single" w:sz="6" w:space="0" w:color="000000"/>
            </w:tcBorders>
          </w:tcPr>
          <w:p>
            <w:pPr>
              <w:pStyle w:val="TableParagraph"/>
              <w:spacing w:before="49"/>
              <w:ind w:left="171" w:right="140"/>
              <w:rPr>
                <w:rFonts w:ascii="宋体" w:eastAsia="宋体" w:hint="eastAsia"/>
                <w:b/>
                <w:sz w:val="21"/>
              </w:rPr>
            </w:pPr>
            <w:r>
              <w:rPr>
                <w:rFonts w:ascii="宋体" w:eastAsia="宋体" w:hint="eastAsia"/>
                <w:b/>
                <w:sz w:val="21"/>
              </w:rPr>
              <w:t>产生工序</w:t>
            </w:r>
          </w:p>
        </w:tc>
        <w:tc>
          <w:tcPr>
            <w:tcW w:w="1841" w:type="dxa"/>
            <w:tcBorders>
              <w:left w:val="single" w:sz="6" w:space="0" w:color="000000"/>
              <w:bottom w:val="single" w:sz="6" w:space="0" w:color="000000"/>
              <w:right w:val="single" w:sz="6" w:space="0" w:color="000000"/>
            </w:tcBorders>
          </w:tcPr>
          <w:p>
            <w:pPr>
              <w:pStyle w:val="TableParagraph"/>
              <w:spacing w:before="49"/>
              <w:ind w:left="116" w:right="89"/>
              <w:rPr>
                <w:rFonts w:ascii="宋体" w:eastAsia="宋体" w:hint="eastAsia"/>
                <w:b/>
                <w:sz w:val="21"/>
              </w:rPr>
            </w:pPr>
            <w:r>
              <w:rPr>
                <w:rFonts w:ascii="宋体" w:eastAsia="宋体" w:hint="eastAsia"/>
                <w:b/>
                <w:sz w:val="21"/>
              </w:rPr>
              <w:t>污染物名称</w:t>
            </w:r>
          </w:p>
        </w:tc>
        <w:tc>
          <w:tcPr>
            <w:tcW w:w="1611" w:type="dxa"/>
            <w:tcBorders>
              <w:left w:val="single" w:sz="6" w:space="0" w:color="000000"/>
              <w:bottom w:val="single" w:sz="6" w:space="0" w:color="000000"/>
              <w:right w:val="single" w:sz="6" w:space="0" w:color="000000"/>
            </w:tcBorders>
          </w:tcPr>
          <w:p>
            <w:pPr>
              <w:pStyle w:val="TableParagraph"/>
              <w:spacing w:before="49"/>
              <w:ind w:left="343" w:right="316"/>
              <w:rPr>
                <w:rFonts w:ascii="宋体" w:eastAsia="宋体" w:hint="eastAsia"/>
                <w:b/>
                <w:sz w:val="21"/>
              </w:rPr>
            </w:pPr>
            <w:r>
              <w:rPr>
                <w:rFonts w:ascii="宋体" w:eastAsia="宋体" w:hint="eastAsia"/>
                <w:b/>
                <w:sz w:val="21"/>
              </w:rPr>
              <w:t>产生量</w:t>
            </w:r>
          </w:p>
        </w:tc>
        <w:tc>
          <w:tcPr>
            <w:tcW w:w="1303" w:type="dxa"/>
            <w:tcBorders>
              <w:left w:val="single" w:sz="6" w:space="0" w:color="000000"/>
              <w:bottom w:val="single" w:sz="6" w:space="0" w:color="000000"/>
              <w:right w:val="single" w:sz="6" w:space="0" w:color="000000"/>
            </w:tcBorders>
          </w:tcPr>
          <w:p>
            <w:pPr>
              <w:pStyle w:val="TableParagraph"/>
              <w:spacing w:before="49"/>
              <w:ind w:left="247" w:right="219"/>
              <w:rPr>
                <w:rFonts w:ascii="宋体" w:eastAsia="宋体" w:hint="eastAsia"/>
                <w:b/>
                <w:sz w:val="21"/>
              </w:rPr>
            </w:pPr>
            <w:r>
              <w:rPr>
                <w:rFonts w:ascii="宋体" w:eastAsia="宋体" w:hint="eastAsia"/>
                <w:b/>
                <w:sz w:val="21"/>
              </w:rPr>
              <w:t>削减量</w:t>
            </w:r>
          </w:p>
        </w:tc>
        <w:tc>
          <w:tcPr>
            <w:tcW w:w="1608" w:type="dxa"/>
            <w:tcBorders>
              <w:left w:val="single" w:sz="6" w:space="0" w:color="000000"/>
              <w:bottom w:val="single" w:sz="6" w:space="0" w:color="000000"/>
            </w:tcBorders>
          </w:tcPr>
          <w:p>
            <w:pPr>
              <w:pStyle w:val="TableParagraph"/>
              <w:spacing w:before="49"/>
              <w:ind w:left="341" w:right="308"/>
              <w:rPr>
                <w:rFonts w:ascii="宋体" w:eastAsia="宋体" w:hint="eastAsia"/>
                <w:b/>
                <w:sz w:val="21"/>
              </w:rPr>
            </w:pPr>
            <w:r>
              <w:rPr>
                <w:rFonts w:ascii="宋体" w:eastAsia="宋体" w:hint="eastAsia"/>
                <w:b/>
                <w:sz w:val="21"/>
              </w:rPr>
              <w:t>排放量</w:t>
            </w:r>
          </w:p>
        </w:tc>
      </w:tr>
      <w:tr>
        <w:trPr>
          <w:trHeight w:val="351" w:hRule="atLeast"/>
        </w:trPr>
        <w:tc>
          <w:tcPr>
            <w:tcW w:w="1231" w:type="dxa"/>
            <w:vMerge w:val="restart"/>
            <w:tcBorders>
              <w:top w:val="single" w:sz="6" w:space="0" w:color="000000"/>
              <w:right w:val="single" w:sz="6" w:space="0" w:color="000000"/>
            </w:tcBorders>
          </w:tcPr>
          <w:p>
            <w:pPr>
              <w:pStyle w:val="TableParagraph"/>
              <w:spacing w:before="0"/>
              <w:jc w:val="left"/>
              <w:rPr>
                <w:sz w:val="2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46"/>
              <w:ind w:left="169" w:right="140"/>
              <w:rPr>
                <w:rFonts w:ascii="宋体" w:eastAsia="宋体" w:hint="eastAsia"/>
                <w:sz w:val="21"/>
              </w:rPr>
            </w:pPr>
            <w:r>
              <w:rPr>
                <w:rFonts w:ascii="宋体" w:eastAsia="宋体" w:hint="eastAsia"/>
                <w:sz w:val="21"/>
              </w:rPr>
              <w:t>猪卫生防疫</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89"/>
              <w:rPr>
                <w:rFonts w:ascii="宋体" w:eastAsia="宋体" w:hint="eastAsia"/>
                <w:sz w:val="21"/>
              </w:rPr>
            </w:pPr>
            <w:r>
              <w:rPr>
                <w:rFonts w:ascii="宋体" w:eastAsia="宋体" w:hint="eastAsia"/>
                <w:sz w:val="21"/>
              </w:rPr>
              <w:t>医疗废物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4.3</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4.3</w:t>
            </w:r>
          </w:p>
        </w:tc>
        <w:tc>
          <w:tcPr>
            <w:tcW w:w="1608" w:type="dxa"/>
            <w:tcBorders>
              <w:top w:val="single" w:sz="6" w:space="0" w:color="000000"/>
              <w:left w:val="single" w:sz="6" w:space="0" w:color="000000"/>
              <w:bottom w:val="single" w:sz="6" w:space="0" w:color="000000"/>
            </w:tcBorders>
          </w:tcPr>
          <w:p>
            <w:pPr>
              <w:pStyle w:val="TableParagraph"/>
              <w:ind w:left="33"/>
              <w:rPr>
                <w:sz w:val="21"/>
              </w:rPr>
            </w:pPr>
            <w:r>
              <w:rPr>
                <w:w w:val="100"/>
                <w:sz w:val="21"/>
              </w:rPr>
              <w:t>0</w:t>
            </w:r>
          </w:p>
        </w:tc>
      </w:tr>
      <w:tr>
        <w:trPr>
          <w:trHeight w:val="342"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39"/>
              <w:ind w:left="169" w:right="140"/>
              <w:rPr>
                <w:rFonts w:ascii="宋体" w:eastAsia="宋体" w:hint="eastAsia"/>
                <w:sz w:val="21"/>
              </w:rPr>
            </w:pPr>
            <w:r>
              <w:rPr>
                <w:rFonts w:ascii="宋体" w:eastAsia="宋体" w:hint="eastAsia"/>
                <w:sz w:val="21"/>
              </w:rPr>
              <w:t>沼气脱硫</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9" w:right="89"/>
              <w:rPr>
                <w:rFonts w:ascii="宋体" w:eastAsia="宋体" w:hint="eastAsia"/>
                <w:sz w:val="21"/>
              </w:rPr>
            </w:pPr>
            <w:r>
              <w:rPr>
                <w:rFonts w:ascii="宋体" w:eastAsia="宋体" w:hint="eastAsia"/>
                <w:sz w:val="21"/>
              </w:rPr>
              <w:t>废脱硫剂</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8.0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52" w:right="219"/>
              <w:rPr>
                <w:sz w:val="21"/>
              </w:rPr>
            </w:pPr>
            <w:r>
              <w:rPr>
                <w:sz w:val="21"/>
              </w:rPr>
              <w:t>8.0</w:t>
            </w:r>
          </w:p>
        </w:tc>
        <w:tc>
          <w:tcPr>
            <w:tcW w:w="1608" w:type="dxa"/>
            <w:tcBorders>
              <w:top w:val="single" w:sz="6" w:space="0" w:color="000000"/>
              <w:left w:val="single" w:sz="6" w:space="0" w:color="000000"/>
              <w:bottom w:val="single" w:sz="6" w:space="0" w:color="000000"/>
            </w:tcBorders>
          </w:tcPr>
          <w:p>
            <w:pPr>
              <w:pStyle w:val="TableParagraph"/>
              <w:spacing w:before="50"/>
              <w:ind w:left="33"/>
              <w:rPr>
                <w:sz w:val="21"/>
              </w:rPr>
            </w:pPr>
            <w:r>
              <w:rPr>
                <w:w w:val="100"/>
                <w:sz w:val="21"/>
              </w:rPr>
              <w:t>0</w:t>
            </w:r>
          </w:p>
        </w:tc>
      </w:tr>
      <w:tr>
        <w:trPr>
          <w:trHeight w:val="353"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right w:val="single" w:sz="6" w:space="0" w:color="000000"/>
            </w:tcBorders>
          </w:tcPr>
          <w:p>
            <w:pPr>
              <w:pStyle w:val="TableParagraph"/>
              <w:spacing w:before="41"/>
              <w:ind w:left="169" w:right="140"/>
              <w:rPr>
                <w:rFonts w:ascii="宋体" w:eastAsia="宋体" w:hint="eastAsia"/>
                <w:sz w:val="21"/>
              </w:rPr>
            </w:pPr>
            <w:r>
              <w:rPr>
                <w:rFonts w:ascii="宋体" w:eastAsia="宋体" w:hint="eastAsia"/>
                <w:sz w:val="21"/>
              </w:rPr>
              <w:t>职工生活</w:t>
            </w:r>
          </w:p>
        </w:tc>
        <w:tc>
          <w:tcPr>
            <w:tcW w:w="1841" w:type="dxa"/>
            <w:tcBorders>
              <w:top w:val="single" w:sz="6" w:space="0" w:color="000000"/>
              <w:left w:val="single" w:sz="6" w:space="0" w:color="000000"/>
              <w:right w:val="single" w:sz="6" w:space="0" w:color="000000"/>
            </w:tcBorders>
          </w:tcPr>
          <w:p>
            <w:pPr>
              <w:pStyle w:val="TableParagraph"/>
              <w:spacing w:before="41"/>
              <w:ind w:left="119" w:right="89"/>
              <w:rPr>
                <w:rFonts w:ascii="宋体" w:eastAsia="宋体" w:hint="eastAsia"/>
                <w:sz w:val="21"/>
              </w:rPr>
            </w:pPr>
            <w:r>
              <w:rPr>
                <w:rFonts w:ascii="宋体" w:eastAsia="宋体" w:hint="eastAsia"/>
                <w:sz w:val="21"/>
              </w:rPr>
              <w:t>生活垃圾</w:t>
            </w:r>
          </w:p>
        </w:tc>
        <w:tc>
          <w:tcPr>
            <w:tcW w:w="1611" w:type="dxa"/>
            <w:tcBorders>
              <w:top w:val="single" w:sz="6" w:space="0" w:color="000000"/>
              <w:left w:val="single" w:sz="6" w:space="0" w:color="000000"/>
              <w:right w:val="single" w:sz="6" w:space="0" w:color="000000"/>
            </w:tcBorders>
          </w:tcPr>
          <w:p>
            <w:pPr>
              <w:pStyle w:val="TableParagraph"/>
              <w:spacing w:before="53"/>
              <w:ind w:left="343" w:right="316"/>
              <w:rPr>
                <w:sz w:val="21"/>
              </w:rPr>
            </w:pPr>
            <w:r>
              <w:rPr>
                <w:sz w:val="21"/>
              </w:rPr>
              <w:t>16.4</w:t>
            </w:r>
          </w:p>
        </w:tc>
        <w:tc>
          <w:tcPr>
            <w:tcW w:w="1303" w:type="dxa"/>
            <w:tcBorders>
              <w:top w:val="single" w:sz="6" w:space="0" w:color="000000"/>
              <w:left w:val="single" w:sz="6" w:space="0" w:color="000000"/>
              <w:right w:val="single" w:sz="6" w:space="0" w:color="000000"/>
            </w:tcBorders>
          </w:tcPr>
          <w:p>
            <w:pPr>
              <w:pStyle w:val="TableParagraph"/>
              <w:spacing w:before="53"/>
              <w:ind w:left="252" w:right="219"/>
              <w:rPr>
                <w:sz w:val="21"/>
              </w:rPr>
            </w:pPr>
            <w:r>
              <w:rPr>
                <w:sz w:val="21"/>
              </w:rPr>
              <w:t>16.4</w:t>
            </w:r>
          </w:p>
        </w:tc>
        <w:tc>
          <w:tcPr>
            <w:tcW w:w="1608" w:type="dxa"/>
            <w:tcBorders>
              <w:top w:val="single" w:sz="6" w:space="0" w:color="000000"/>
              <w:left w:val="single" w:sz="6" w:space="0" w:color="000000"/>
            </w:tcBorders>
          </w:tcPr>
          <w:p>
            <w:pPr>
              <w:pStyle w:val="TableParagraph"/>
              <w:spacing w:before="53"/>
              <w:ind w:left="33"/>
              <w:rPr>
                <w:sz w:val="21"/>
              </w:rPr>
            </w:pPr>
            <w:r>
              <w:rPr>
                <w:w w:val="100"/>
                <w:sz w:val="21"/>
              </w:rPr>
              <w:t>0</w:t>
            </w:r>
          </w:p>
        </w:tc>
      </w:tr>
    </w:tbl>
    <w:p>
      <w:pPr>
        <w:pStyle w:val="BodyText"/>
        <w:spacing w:before="3"/>
        <w:ind w:left="0"/>
        <w:rPr>
          <w:rFonts w:ascii="Times New Roman"/>
          <w:b/>
          <w:sz w:val="6"/>
        </w:rPr>
      </w:pPr>
    </w:p>
    <w:p>
      <w:pPr>
        <w:pStyle w:val="Heading2"/>
        <w:numPr>
          <w:ilvl w:val="1"/>
          <w:numId w:val="52"/>
        </w:numPr>
        <w:tabs>
          <w:tab w:pos="730" w:val="left" w:leader="none"/>
        </w:tabs>
        <w:spacing w:line="240" w:lineRule="auto" w:before="71" w:after="0"/>
        <w:ind w:left="729" w:right="0" w:hanging="493"/>
        <w:jc w:val="both"/>
      </w:pPr>
      <w:bookmarkStart w:name="_bookmark58" w:id="113"/>
      <w:bookmarkEnd w:id="113"/>
      <w:r>
        <w:rPr>
          <w:b w:val="0"/>
        </w:rPr>
      </w:r>
      <w:bookmarkStart w:name="_bookmark58" w:id="114"/>
      <w:bookmarkEnd w:id="114"/>
      <w:r>
        <w:rPr/>
        <w:t>总量控制</w:t>
      </w:r>
    </w:p>
    <w:p>
      <w:pPr>
        <w:pStyle w:val="ListParagraph"/>
        <w:numPr>
          <w:ilvl w:val="2"/>
          <w:numId w:val="52"/>
        </w:numPr>
        <w:tabs>
          <w:tab w:pos="838" w:val="left" w:leader="none"/>
        </w:tabs>
        <w:spacing w:line="240" w:lineRule="auto" w:before="214" w:after="0"/>
        <w:ind w:left="837" w:right="0" w:hanging="601"/>
        <w:jc w:val="both"/>
        <w:rPr>
          <w:b/>
          <w:sz w:val="24"/>
        </w:rPr>
      </w:pPr>
      <w:bookmarkStart w:name="_bookmark59" w:id="115"/>
      <w:bookmarkEnd w:id="115"/>
      <w:r>
        <w:rPr/>
      </w:r>
      <w:bookmarkStart w:name="_bookmark59" w:id="116"/>
      <w:bookmarkEnd w:id="116"/>
      <w:r>
        <w:rPr>
          <w:b/>
          <w:sz w:val="24"/>
        </w:rPr>
        <w:t>总量控制基本原则</w:t>
      </w:r>
    </w:p>
    <w:p>
      <w:pPr>
        <w:pStyle w:val="ListParagraph"/>
        <w:numPr>
          <w:ilvl w:val="3"/>
          <w:numId w:val="52"/>
        </w:numPr>
        <w:tabs>
          <w:tab w:pos="1319" w:val="left" w:leader="none"/>
        </w:tabs>
        <w:spacing w:line="364" w:lineRule="auto" w:before="160" w:after="0"/>
        <w:ind w:left="237" w:right="249" w:firstLine="480"/>
        <w:jc w:val="both"/>
        <w:rPr>
          <w:sz w:val="24"/>
        </w:rPr>
      </w:pPr>
      <w:r>
        <w:rPr>
          <w:spacing w:val="-12"/>
          <w:sz w:val="24"/>
        </w:rPr>
        <w:t>根据《浙江省建设项目主要污染物总量准入审核办法</w:t>
      </w:r>
      <w:r>
        <w:rPr>
          <w:sz w:val="24"/>
        </w:rPr>
        <w:t>（试行</w:t>
      </w:r>
      <w:r>
        <w:rPr>
          <w:spacing w:val="-72"/>
          <w:sz w:val="24"/>
        </w:rPr>
        <w:t>）</w:t>
      </w:r>
      <w:r>
        <w:rPr>
          <w:spacing w:val="-142"/>
          <w:sz w:val="24"/>
        </w:rPr>
        <w:t>》</w:t>
      </w:r>
      <w:r>
        <w:rPr>
          <w:sz w:val="24"/>
        </w:rPr>
        <w:t>（浙环发</w:t>
      </w:r>
      <w:r>
        <w:rPr>
          <w:rFonts w:ascii="Times New Roman" w:hAnsi="Times New Roman" w:eastAsia="Times New Roman"/>
          <w:spacing w:val="-3"/>
          <w:sz w:val="24"/>
        </w:rPr>
        <w:t>[2012]10</w:t>
      </w:r>
      <w:r>
        <w:rPr>
          <w:sz w:val="24"/>
        </w:rPr>
        <w:t>号）的要求：新建、改建、扩建项目应充分考虑当地环境质量和区域主要污染物总量减排要求，按照最严格的环境保护要求建设污染治理设施，立足于通过</w:t>
      </w:r>
      <w:r>
        <w:rPr>
          <w:rFonts w:ascii="Times New Roman" w:hAnsi="Times New Roman" w:eastAsia="Times New Roman"/>
          <w:sz w:val="24"/>
        </w:rPr>
        <w:t>“</w:t>
      </w:r>
      <w:r>
        <w:rPr>
          <w:sz w:val="24"/>
        </w:rPr>
        <w:t>以新带老</w:t>
      </w:r>
      <w:r>
        <w:rPr>
          <w:rFonts w:ascii="Times New Roman" w:hAnsi="Times New Roman" w:eastAsia="Times New Roman"/>
          <w:sz w:val="24"/>
        </w:rPr>
        <w:t>”</w:t>
      </w:r>
      <w:r>
        <w:rPr>
          <w:sz w:val="24"/>
        </w:rPr>
        <w:t>做到</w:t>
      </w:r>
      <w:r>
        <w:rPr>
          <w:rFonts w:ascii="Times New Roman" w:hAnsi="Times New Roman" w:eastAsia="Times New Roman"/>
          <w:spacing w:val="-4"/>
          <w:sz w:val="24"/>
        </w:rPr>
        <w:t>“</w:t>
      </w:r>
      <w:r>
        <w:rPr>
          <w:spacing w:val="-4"/>
          <w:sz w:val="24"/>
        </w:rPr>
        <w:t>增产减污</w:t>
      </w:r>
      <w:r>
        <w:rPr>
          <w:rFonts w:ascii="Times New Roman" w:hAnsi="Times New Roman" w:eastAsia="Times New Roman"/>
          <w:spacing w:val="-3"/>
          <w:sz w:val="24"/>
        </w:rPr>
        <w:t>”</w:t>
      </w:r>
      <w:r>
        <w:rPr>
          <w:spacing w:val="-4"/>
          <w:sz w:val="24"/>
        </w:rPr>
        <w:t>，以实现企业自身总量平衡。确需新增主要污染物排放量的，新增部</w:t>
      </w:r>
      <w:r>
        <w:rPr>
          <w:spacing w:val="-5"/>
          <w:sz w:val="24"/>
        </w:rPr>
        <w:t>分应按规定的比例要求对该</w:t>
      </w:r>
      <w:r>
        <w:rPr>
          <w:sz w:val="24"/>
        </w:rPr>
        <w:t>（多）项主要污染物进行外部削减替代，以实现区域总量平衡。</w:t>
      </w:r>
    </w:p>
    <w:p>
      <w:pPr>
        <w:pStyle w:val="ListParagraph"/>
        <w:numPr>
          <w:ilvl w:val="3"/>
          <w:numId w:val="52"/>
        </w:numPr>
        <w:tabs>
          <w:tab w:pos="1319" w:val="left" w:leader="none"/>
        </w:tabs>
        <w:spacing w:line="364" w:lineRule="auto" w:before="4" w:after="0"/>
        <w:ind w:left="237" w:right="249" w:firstLine="480"/>
        <w:jc w:val="both"/>
        <w:rPr>
          <w:sz w:val="24"/>
        </w:rPr>
      </w:pPr>
      <w:r>
        <w:rPr>
          <w:spacing w:val="-6"/>
          <w:sz w:val="24"/>
        </w:rPr>
        <w:t>根据《关于印发</w:t>
      </w:r>
      <w:r>
        <w:rPr>
          <w:rFonts w:ascii="Times New Roman" w:hAnsi="Times New Roman" w:eastAsia="Times New Roman"/>
          <w:sz w:val="24"/>
        </w:rPr>
        <w:t>&lt;</w:t>
      </w:r>
      <w:r>
        <w:rPr>
          <w:sz w:val="24"/>
        </w:rPr>
        <w:t>建设项目主要污染物排放总量指标审核及管理暂行办法</w:t>
      </w:r>
      <w:r>
        <w:rPr>
          <w:rFonts w:ascii="Times New Roman" w:hAnsi="Times New Roman" w:eastAsia="Times New Roman"/>
          <w:sz w:val="24"/>
        </w:rPr>
        <w:t>&gt;</w:t>
      </w:r>
      <w:r>
        <w:rPr>
          <w:sz w:val="24"/>
        </w:rPr>
        <w:t>的</w:t>
      </w:r>
      <w:r>
        <w:rPr>
          <w:spacing w:val="-10"/>
          <w:sz w:val="24"/>
        </w:rPr>
        <w:t>通知》</w:t>
      </w:r>
      <w:r>
        <w:rPr>
          <w:sz w:val="24"/>
        </w:rPr>
        <w:t>（环发</w:t>
      </w:r>
      <w:r>
        <w:rPr>
          <w:rFonts w:ascii="Times New Roman" w:hAnsi="Times New Roman" w:eastAsia="Times New Roman"/>
          <w:sz w:val="24"/>
        </w:rPr>
        <w:t>[2014]197</w:t>
      </w:r>
      <w:r>
        <w:rPr>
          <w:rFonts w:ascii="Times New Roman" w:hAnsi="Times New Roman" w:eastAsia="Times New Roman"/>
          <w:spacing w:val="-2"/>
          <w:sz w:val="24"/>
        </w:rPr>
        <w:t> </w:t>
      </w:r>
      <w:r>
        <w:rPr>
          <w:sz w:val="24"/>
        </w:rPr>
        <w:t>号</w:t>
      </w:r>
      <w:r>
        <w:rPr>
          <w:spacing w:val="-6"/>
          <w:sz w:val="24"/>
        </w:rPr>
        <w:t>）：</w:t>
      </w:r>
      <w:r>
        <w:rPr>
          <w:rFonts w:ascii="Times New Roman" w:hAnsi="Times New Roman" w:eastAsia="Times New Roman"/>
          <w:spacing w:val="-6"/>
          <w:sz w:val="24"/>
        </w:rPr>
        <w:t>“</w:t>
      </w:r>
      <w:r>
        <w:rPr>
          <w:sz w:val="24"/>
        </w:rPr>
        <w:t>用于建设项目的</w:t>
      </w:r>
      <w:r>
        <w:rPr>
          <w:rFonts w:ascii="Times New Roman" w:hAnsi="Times New Roman" w:eastAsia="Times New Roman"/>
          <w:sz w:val="24"/>
        </w:rPr>
        <w:t>‘</w:t>
      </w:r>
      <w:r>
        <w:rPr>
          <w:sz w:val="24"/>
        </w:rPr>
        <w:t>可替代总量指标</w:t>
      </w:r>
      <w:r>
        <w:rPr>
          <w:rFonts w:ascii="Times New Roman" w:hAnsi="Times New Roman" w:eastAsia="Times New Roman"/>
          <w:sz w:val="24"/>
        </w:rPr>
        <w:t>’</w:t>
      </w:r>
      <w:r>
        <w:rPr>
          <w:sz w:val="24"/>
        </w:rPr>
        <w:t>不得低于建设项目所需</w:t>
      </w:r>
      <w:r>
        <w:rPr>
          <w:spacing w:val="-3"/>
          <w:sz w:val="24"/>
        </w:rPr>
        <w:t>替代的主要污染物排放总量指标。上一年度环境空气质量年平均浓度不达标的城市、水环境质量未达到要求的市县，相关污染物应按照建设项目所需替代的主要污染物排放总量</w:t>
      </w:r>
      <w:r>
        <w:rPr>
          <w:spacing w:val="-14"/>
          <w:position w:val="2"/>
          <w:sz w:val="24"/>
        </w:rPr>
        <w:t>指标的 </w:t>
      </w:r>
      <w:r>
        <w:rPr>
          <w:rFonts w:ascii="Times New Roman" w:hAnsi="Times New Roman" w:eastAsia="Times New Roman"/>
          <w:position w:val="2"/>
          <w:sz w:val="24"/>
        </w:rPr>
        <w:t>2</w:t>
      </w:r>
      <w:r>
        <w:rPr>
          <w:rFonts w:ascii="Times New Roman" w:hAnsi="Times New Roman" w:eastAsia="Times New Roman"/>
          <w:spacing w:val="14"/>
          <w:position w:val="2"/>
          <w:sz w:val="24"/>
        </w:rPr>
        <w:t> </w:t>
      </w:r>
      <w:r>
        <w:rPr>
          <w:spacing w:val="-1"/>
          <w:position w:val="2"/>
          <w:sz w:val="24"/>
        </w:rPr>
        <w:t>倍进行削减替代；细颗粒物</w:t>
      </w:r>
      <w:r>
        <w:rPr>
          <w:position w:val="2"/>
          <w:sz w:val="24"/>
        </w:rPr>
        <w:t>（</w:t>
      </w:r>
      <w:r>
        <w:rPr>
          <w:rFonts w:ascii="Times New Roman" w:hAnsi="Times New Roman" w:eastAsia="Times New Roman"/>
          <w:position w:val="2"/>
          <w:sz w:val="24"/>
        </w:rPr>
        <w:t>PM</w:t>
      </w:r>
      <w:r>
        <w:rPr>
          <w:rFonts w:ascii="Times New Roman" w:hAnsi="Times New Roman" w:eastAsia="Times New Roman"/>
          <w:sz w:val="16"/>
        </w:rPr>
        <w:t>2.5</w:t>
      </w:r>
      <w:r>
        <w:rPr>
          <w:position w:val="2"/>
          <w:sz w:val="24"/>
        </w:rPr>
        <w:t>）年均浓度不达标的城市，二氧化硫、氮氧</w:t>
      </w:r>
    </w:p>
    <w:p>
      <w:pPr>
        <w:pStyle w:val="BodyText"/>
        <w:spacing w:line="364" w:lineRule="auto" w:before="3"/>
        <w:ind w:right="252"/>
        <w:jc w:val="both"/>
        <w:rPr>
          <w:rFonts w:ascii="Times New Roman" w:hAnsi="Times New Roman" w:eastAsia="Times New Roman"/>
        </w:rPr>
      </w:pPr>
      <w:r>
        <w:rPr/>
        <w:t>化物、烟粉尘、挥发性有机物四项污染物均需进行 </w:t>
      </w:r>
      <w:r>
        <w:rPr>
          <w:rFonts w:ascii="Times New Roman" w:hAnsi="Times New Roman" w:eastAsia="Times New Roman"/>
        </w:rPr>
        <w:t>2 </w:t>
      </w:r>
      <w:r>
        <w:rPr/>
        <w:t>倍削减替代。地方有更严格倍量替代要求的，按照相关规定执行。</w:t>
      </w:r>
      <w:r>
        <w:rPr>
          <w:rFonts w:ascii="Times New Roman" w:hAnsi="Times New Roman" w:eastAsia="Times New Roman"/>
        </w:rPr>
        <w:t>”</w:t>
      </w:r>
    </w:p>
    <w:p>
      <w:pPr>
        <w:pStyle w:val="ListParagraph"/>
        <w:numPr>
          <w:ilvl w:val="3"/>
          <w:numId w:val="52"/>
        </w:numPr>
        <w:tabs>
          <w:tab w:pos="1319" w:val="left" w:leader="none"/>
        </w:tabs>
        <w:spacing w:line="364" w:lineRule="auto" w:before="1" w:after="0"/>
        <w:ind w:left="237" w:right="131" w:firstLine="480"/>
        <w:jc w:val="left"/>
        <w:rPr>
          <w:sz w:val="24"/>
        </w:rPr>
      </w:pPr>
      <w:r>
        <w:rPr>
          <w:spacing w:val="-1"/>
          <w:sz w:val="24"/>
        </w:rPr>
        <w:t>根据《关于加强固定污染源氮磷污染防治的通知》</w:t>
      </w:r>
      <w:r>
        <w:rPr>
          <w:sz w:val="24"/>
        </w:rPr>
        <w:t>（环水体</w:t>
      </w:r>
      <w:r>
        <w:rPr>
          <w:rFonts w:ascii="Times New Roman" w:eastAsia="Times New Roman"/>
          <w:sz w:val="24"/>
        </w:rPr>
        <w:t>[2018]16</w:t>
      </w:r>
      <w:r>
        <w:rPr>
          <w:rFonts w:ascii="Times New Roman" w:eastAsia="Times New Roman"/>
          <w:spacing w:val="-1"/>
          <w:sz w:val="24"/>
        </w:rPr>
        <w:t> </w:t>
      </w:r>
      <w:r>
        <w:rPr>
          <w:sz w:val="24"/>
        </w:rPr>
        <w:t>号）：重</w:t>
      </w:r>
      <w:r>
        <w:rPr>
          <w:spacing w:val="-3"/>
          <w:sz w:val="24"/>
        </w:rPr>
        <w:t>点流域要以实施排污许可制为契机和抓手，严格控制并逐步削减重点行业氮磷排放总量， </w:t>
      </w:r>
      <w:r>
        <w:rPr>
          <w:spacing w:val="-4"/>
          <w:sz w:val="24"/>
        </w:rPr>
        <w:t>推动流域水质改善。本项目为畜禽养殖项目，属于该文件规定的总氮总磷排放重点行业。</w:t>
      </w:r>
    </w:p>
    <w:p>
      <w:pPr>
        <w:pStyle w:val="BodyText"/>
        <w:spacing w:line="364" w:lineRule="auto" w:before="1"/>
        <w:ind w:right="131" w:firstLine="480"/>
      </w:pPr>
      <w:r>
        <w:rPr>
          <w:spacing w:val="-7"/>
          <w:position w:val="2"/>
        </w:rPr>
        <w:t>综上，结合企业各类污染物排放情况，纳入本企业总量控制的污染物主要为 </w:t>
      </w:r>
      <w:r>
        <w:rPr>
          <w:rFonts w:ascii="Times New Roman" w:eastAsia="Times New Roman"/>
          <w:position w:val="2"/>
        </w:rPr>
        <w:t>COD</w:t>
      </w:r>
      <w:r>
        <w:rPr>
          <w:rFonts w:ascii="Times New Roman" w:eastAsia="Times New Roman"/>
          <w:sz w:val="16"/>
        </w:rPr>
        <w:t>Cr</w:t>
      </w:r>
      <w:r>
        <w:rPr>
          <w:spacing w:val="-14"/>
          <w:position w:val="2"/>
        </w:rPr>
        <w:t>、</w:t>
      </w:r>
      <w:r>
        <w:rPr>
          <w:rFonts w:ascii="Times New Roman" w:eastAsia="Times New Roman"/>
          <w:position w:val="2"/>
        </w:rPr>
        <w:t>NH</w:t>
      </w:r>
      <w:r>
        <w:rPr>
          <w:rFonts w:ascii="Times New Roman" w:eastAsia="Times New Roman"/>
          <w:sz w:val="16"/>
        </w:rPr>
        <w:t>3</w:t>
      </w:r>
      <w:r>
        <w:rPr>
          <w:rFonts w:ascii="Times New Roman" w:eastAsia="Times New Roman"/>
          <w:position w:val="2"/>
        </w:rPr>
        <w:t>-N</w:t>
      </w:r>
      <w:r>
        <w:rPr>
          <w:position w:val="2"/>
        </w:rPr>
        <w:t>、</w:t>
      </w:r>
      <w:r>
        <w:rPr>
          <w:rFonts w:ascii="Times New Roman" w:eastAsia="Times New Roman"/>
          <w:position w:val="2"/>
        </w:rPr>
        <w:t>TN</w:t>
      </w:r>
      <w:r>
        <w:rPr>
          <w:position w:val="2"/>
        </w:rPr>
        <w:t>、</w:t>
      </w:r>
      <w:r>
        <w:rPr>
          <w:rFonts w:ascii="Times New Roman" w:eastAsia="Times New Roman"/>
          <w:position w:val="2"/>
        </w:rPr>
        <w:t>TP</w:t>
      </w:r>
      <w:r>
        <w:rPr>
          <w:position w:val="2"/>
        </w:rPr>
        <w:t>、</w:t>
      </w:r>
      <w:r>
        <w:rPr>
          <w:rFonts w:ascii="Times New Roman" w:eastAsia="Times New Roman"/>
          <w:position w:val="2"/>
        </w:rPr>
        <w:t>SO</w:t>
      </w:r>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x </w:t>
      </w:r>
      <w:r>
        <w:rPr>
          <w:spacing w:val="-30"/>
          <w:position w:val="2"/>
        </w:rPr>
        <w:t>等 </w:t>
      </w:r>
      <w:r>
        <w:rPr>
          <w:rFonts w:ascii="Times New Roman" w:eastAsia="Times New Roman"/>
          <w:position w:val="2"/>
        </w:rPr>
        <w:t>6 </w:t>
      </w:r>
      <w:r>
        <w:rPr>
          <w:position w:val="2"/>
        </w:rPr>
        <w:t>个指标。</w:t>
      </w:r>
    </w:p>
    <w:p>
      <w:pPr>
        <w:pStyle w:val="Heading3"/>
        <w:numPr>
          <w:ilvl w:val="2"/>
          <w:numId w:val="52"/>
        </w:numPr>
        <w:tabs>
          <w:tab w:pos="838" w:val="left" w:leader="none"/>
        </w:tabs>
        <w:spacing w:line="240" w:lineRule="auto" w:before="3" w:after="0"/>
        <w:ind w:left="837" w:right="0" w:hanging="601"/>
        <w:jc w:val="left"/>
      </w:pPr>
      <w:bookmarkStart w:name="_bookmark60" w:id="117"/>
      <w:bookmarkEnd w:id="117"/>
      <w:r>
        <w:rPr>
          <w:b w:val="0"/>
        </w:rPr>
      </w:r>
      <w:bookmarkStart w:name="_bookmark60" w:id="118"/>
      <w:bookmarkEnd w:id="118"/>
      <w:r>
        <w:rPr/>
        <w:t>总量控制指标建议值</w:t>
      </w:r>
    </w:p>
    <w:p>
      <w:pPr>
        <w:spacing w:before="160"/>
        <w:ind w:left="719" w:right="0" w:firstLine="0"/>
        <w:jc w:val="left"/>
        <w:rPr>
          <w:b/>
          <w:sz w:val="24"/>
        </w:rPr>
      </w:pPr>
      <w:r>
        <w:rPr>
          <w:rFonts w:ascii="Times New Roman" w:eastAsia="Times New Roman"/>
          <w:b/>
          <w:sz w:val="24"/>
        </w:rPr>
        <w:t>1</w:t>
      </w:r>
      <w:r>
        <w:rPr>
          <w:b/>
          <w:sz w:val="24"/>
        </w:rPr>
        <w:t>、项目废水污染物总量控制建议</w:t>
      </w:r>
    </w:p>
    <w:p>
      <w:pPr>
        <w:pStyle w:val="BodyText"/>
        <w:spacing w:line="364" w:lineRule="auto" w:before="161"/>
        <w:ind w:right="129" w:firstLine="480"/>
      </w:pPr>
      <w:r>
        <w:rPr>
          <w:spacing w:val="-13"/>
        </w:rPr>
        <w:t>本项目为新建项目，根据工程分析，本项目最终纳管排放量为：废水量 </w:t>
      </w:r>
      <w:r>
        <w:rPr>
          <w:rFonts w:ascii="Times New Roman" w:eastAsia="Times New Roman"/>
        </w:rPr>
        <w:t>133337.42t/a</w:t>
      </w:r>
      <w:r>
        <w:rPr>
          <w:spacing w:val="-15"/>
        </w:rPr>
        <w:t>、</w:t>
      </w:r>
      <w:r>
        <w:rPr>
          <w:rFonts w:ascii="Times New Roman" w:eastAsia="Times New Roman"/>
          <w:position w:val="2"/>
        </w:rPr>
        <w:t>COD</w:t>
      </w:r>
      <w:r>
        <w:rPr>
          <w:rFonts w:ascii="Times New Roman" w:eastAsia="Times New Roman"/>
          <w:sz w:val="16"/>
        </w:rPr>
        <w:t>Cr</w:t>
      </w:r>
      <w:r>
        <w:rPr>
          <w:rFonts w:ascii="Times New Roman" w:eastAsia="Times New Roman"/>
          <w:position w:val="2"/>
        </w:rPr>
        <w:t>66.669t/a</w:t>
      </w:r>
      <w:r>
        <w:rPr>
          <w:spacing w:val="-9"/>
          <w:position w:val="2"/>
        </w:rPr>
        <w:t>、氨氮 </w:t>
      </w:r>
      <w:r>
        <w:rPr>
          <w:rFonts w:ascii="Times New Roman" w:eastAsia="Times New Roman"/>
          <w:position w:val="2"/>
        </w:rPr>
        <w:t>9.334t/a</w:t>
      </w:r>
      <w:r>
        <w:rPr>
          <w:spacing w:val="-9"/>
          <w:position w:val="2"/>
        </w:rPr>
        <w:t>、总氮 </w:t>
      </w:r>
      <w:r>
        <w:rPr>
          <w:rFonts w:ascii="Times New Roman" w:eastAsia="Times New Roman"/>
          <w:position w:val="2"/>
        </w:rPr>
        <w:t>9.334t/a</w:t>
      </w:r>
      <w:r>
        <w:rPr>
          <w:spacing w:val="-9"/>
          <w:position w:val="2"/>
        </w:rPr>
        <w:t>、总磷 </w:t>
      </w:r>
      <w:r>
        <w:rPr>
          <w:rFonts w:ascii="Times New Roman" w:eastAsia="Times New Roman"/>
          <w:position w:val="2"/>
        </w:rPr>
        <w:t>0.933t/a</w:t>
      </w:r>
      <w:r>
        <w:rPr>
          <w:position w:val="2"/>
        </w:rPr>
        <w:t>；最终环境排放量为：废水</w:t>
      </w:r>
      <w:r>
        <w:rPr>
          <w:spacing w:val="-31"/>
          <w:position w:val="2"/>
        </w:rPr>
        <w:t>量 </w:t>
      </w:r>
      <w:r>
        <w:rPr>
          <w:rFonts w:ascii="Times New Roman" w:eastAsia="Times New Roman"/>
          <w:position w:val="2"/>
        </w:rPr>
        <w:t>133337.42t/a</w:t>
      </w:r>
      <w:r>
        <w:rPr>
          <w:position w:val="2"/>
        </w:rPr>
        <w:t>、</w:t>
      </w:r>
      <w:r>
        <w:rPr>
          <w:rFonts w:ascii="Times New Roman" w:eastAsia="Times New Roman"/>
          <w:position w:val="2"/>
        </w:rPr>
        <w:t>COD</w:t>
      </w:r>
      <w:r>
        <w:rPr>
          <w:rFonts w:ascii="Times New Roman" w:eastAsia="Times New Roman"/>
          <w:sz w:val="16"/>
        </w:rPr>
        <w:t>Cr</w:t>
      </w:r>
      <w:r>
        <w:rPr>
          <w:rFonts w:ascii="Times New Roman" w:eastAsia="Times New Roman"/>
          <w:position w:val="2"/>
        </w:rPr>
        <w:t>6.667t/a</w:t>
      </w:r>
      <w:r>
        <w:rPr>
          <w:spacing w:val="-15"/>
          <w:position w:val="2"/>
        </w:rPr>
        <w:t>、氨氮 </w:t>
      </w:r>
      <w:r>
        <w:rPr>
          <w:rFonts w:ascii="Times New Roman" w:eastAsia="Times New Roman"/>
          <w:position w:val="2"/>
        </w:rPr>
        <w:t>0.667t/a</w:t>
      </w:r>
      <w:r>
        <w:rPr>
          <w:spacing w:val="-16"/>
          <w:position w:val="2"/>
        </w:rPr>
        <w:t>、总氮 </w:t>
      </w:r>
      <w:r>
        <w:rPr>
          <w:rFonts w:ascii="Times New Roman" w:eastAsia="Times New Roman"/>
          <w:position w:val="2"/>
        </w:rPr>
        <w:t>2.000t/a</w:t>
      </w:r>
      <w:r>
        <w:rPr>
          <w:spacing w:val="-15"/>
          <w:position w:val="2"/>
        </w:rPr>
        <w:t>、总磷 </w:t>
      </w:r>
      <w:r>
        <w:rPr>
          <w:rFonts w:ascii="Times New Roman" w:eastAsia="Times New Roman"/>
          <w:position w:val="2"/>
        </w:rPr>
        <w:t>0.067t/a</w:t>
      </w:r>
      <w:r>
        <w:rPr>
          <w:position w:val="2"/>
        </w:rPr>
        <w:t>。</w:t>
      </w:r>
    </w:p>
    <w:p>
      <w:pPr>
        <w:pStyle w:val="Heading3"/>
        <w:spacing w:before="2"/>
      </w:pPr>
      <w:r>
        <w:rPr>
          <w:rFonts w:ascii="Times New Roman" w:eastAsia="Times New Roman"/>
        </w:rPr>
        <w:t>2</w:t>
      </w:r>
      <w:r>
        <w:rPr/>
        <w:t>、项目废气污染物总量控制建议</w:t>
      </w:r>
    </w:p>
    <w:p>
      <w:pPr>
        <w:pStyle w:val="BodyText"/>
        <w:spacing w:before="159"/>
        <w:ind w:left="717"/>
        <w:rPr>
          <w:rFonts w:ascii="Times New Roman" w:eastAsia="Times New Roman"/>
          <w:sz w:val="16"/>
        </w:rPr>
      </w:pPr>
      <w:r>
        <w:rPr>
          <w:position w:val="2"/>
        </w:rPr>
        <w:t>本项目拟配套 </w:t>
      </w:r>
      <w:r>
        <w:rPr>
          <w:rFonts w:ascii="Times New Roman" w:eastAsia="Times New Roman"/>
          <w:position w:val="2"/>
        </w:rPr>
        <w:t>1 </w:t>
      </w:r>
      <w:r>
        <w:rPr>
          <w:position w:val="2"/>
        </w:rPr>
        <w:t>台 </w:t>
      </w:r>
      <w:r>
        <w:rPr>
          <w:rFonts w:ascii="Times New Roman" w:eastAsia="Times New Roman"/>
          <w:position w:val="2"/>
        </w:rPr>
        <w:t>0.7MW </w:t>
      </w:r>
      <w:r>
        <w:rPr>
          <w:position w:val="2"/>
        </w:rPr>
        <w:t>的沼气热水锅炉对沼气进行综合利用，会排放的少量 </w:t>
      </w:r>
      <w:r>
        <w:rPr>
          <w:rFonts w:ascii="Times New Roman" w:eastAsia="Times New Roman"/>
          <w:position w:val="2"/>
        </w:rPr>
        <w:t>SO</w:t>
      </w:r>
      <w:r>
        <w:rPr>
          <w:rFonts w:ascii="Times New Roman" w:eastAsia="Times New Roman"/>
          <w:sz w:val="16"/>
        </w:rPr>
        <w:t>2</w:t>
      </w:r>
    </w:p>
    <w:p>
      <w:pPr>
        <w:spacing w:after="0"/>
        <w:rPr>
          <w:rFonts w:ascii="Times New Roman" w:eastAsia="Times New Roman"/>
          <w:sz w:val="16"/>
        </w:rPr>
        <w:sectPr>
          <w:pgSz w:w="11910" w:h="16840"/>
          <w:pgMar w:header="874" w:footer="1004" w:top="1420" w:bottom="1200" w:left="1040" w:right="1160"/>
        </w:sectPr>
      </w:pPr>
    </w:p>
    <w:p>
      <w:pPr>
        <w:pStyle w:val="BodyText"/>
        <w:spacing w:before="91"/>
      </w:pPr>
      <w:r>
        <w:rPr>
          <w:position w:val="2"/>
        </w:rPr>
        <w:t>及 </w:t>
      </w:r>
      <w:r>
        <w:rPr>
          <w:rFonts w:ascii="Times New Roman" w:eastAsia="Times New Roman"/>
          <w:position w:val="2"/>
        </w:rPr>
        <w:t>NO</w:t>
      </w:r>
      <w:r>
        <w:rPr>
          <w:rFonts w:ascii="Times New Roman" w:eastAsia="Times New Roman"/>
          <w:sz w:val="16"/>
        </w:rPr>
        <w:t>x</w:t>
      </w:r>
      <w:r>
        <w:rPr>
          <w:position w:val="2"/>
        </w:rPr>
        <w:t>，根据工程分析，二者排放量分别约 </w:t>
      </w:r>
      <w:r>
        <w:rPr>
          <w:rFonts w:ascii="Times New Roman" w:eastAsia="Times New Roman"/>
          <w:position w:val="2"/>
        </w:rPr>
        <w:t>0.011t/a</w:t>
      </w:r>
      <w:r>
        <w:rPr>
          <w:position w:val="2"/>
        </w:rPr>
        <w:t>、</w:t>
      </w:r>
      <w:r>
        <w:rPr>
          <w:rFonts w:ascii="Times New Roman" w:eastAsia="Times New Roman"/>
          <w:position w:val="2"/>
        </w:rPr>
        <w:t>0.478t/a</w:t>
      </w:r>
      <w:r>
        <w:rPr>
          <w:position w:val="2"/>
        </w:rPr>
        <w:t>。</w:t>
      </w:r>
    </w:p>
    <w:p>
      <w:pPr>
        <w:pStyle w:val="Heading3"/>
      </w:pPr>
      <w:r>
        <w:rPr>
          <w:rFonts w:ascii="Times New Roman" w:eastAsia="Times New Roman"/>
        </w:rPr>
        <w:t>3</w:t>
      </w:r>
      <w:r>
        <w:rPr/>
        <w:t>、总量控制指标建议值</w:t>
      </w:r>
    </w:p>
    <w:p>
      <w:pPr>
        <w:pStyle w:val="BodyText"/>
        <w:spacing w:line="364" w:lineRule="auto" w:before="161"/>
        <w:ind w:right="249" w:firstLine="480"/>
        <w:jc w:val="both"/>
      </w:pPr>
      <w:r>
        <w:rPr/>
        <w:t>本项目为新建项目，在其发生实际排污行为前，企业须向有关管理部门申请办理各类污染物总量排放许可（企业已对此作出了承诺，详见附件六</w:t>
      </w:r>
      <w:r>
        <w:rPr>
          <w:spacing w:val="3"/>
        </w:rPr>
        <w:t>）</w:t>
      </w:r>
      <w:r>
        <w:rPr/>
        <w:t>。建议总量控制方案： </w:t>
      </w:r>
      <w:r>
        <w:rPr>
          <w:position w:val="2"/>
        </w:rPr>
        <w:t>废水纳管排放量</w:t>
      </w:r>
      <w:r>
        <w:rPr>
          <w:rFonts w:ascii="Times New Roman" w:hAnsi="Times New Roman" w:eastAsia="Times New Roman"/>
          <w:position w:val="2"/>
        </w:rPr>
        <w:t>≤13.33 </w:t>
      </w:r>
      <w:r>
        <w:rPr>
          <w:spacing w:val="-26"/>
          <w:position w:val="2"/>
        </w:rPr>
        <w:t>万 </w:t>
      </w:r>
      <w:r>
        <w:rPr>
          <w:rFonts w:ascii="Times New Roman" w:hAnsi="Times New Roman" w:eastAsia="Times New Roman"/>
          <w:position w:val="2"/>
        </w:rPr>
        <w:t>t/a</w:t>
      </w:r>
      <w:r>
        <w:rPr>
          <w:position w:val="2"/>
        </w:rPr>
        <w:t>，</w:t>
      </w:r>
      <w:r>
        <w:rPr>
          <w:rFonts w:ascii="Times New Roman" w:hAnsi="Times New Roman" w:eastAsia="Times New Roman"/>
          <w:position w:val="2"/>
        </w:rPr>
        <w:t>COD</w:t>
      </w:r>
      <w:r>
        <w:rPr>
          <w:rFonts w:ascii="Times New Roman" w:hAnsi="Times New Roman" w:eastAsia="Times New Roman"/>
          <w:sz w:val="16"/>
        </w:rPr>
        <w:t>Cr </w:t>
      </w:r>
      <w:r>
        <w:rPr>
          <w:spacing w:val="-1"/>
          <w:position w:val="2"/>
        </w:rPr>
        <w:t>纳管排放量</w:t>
      </w:r>
      <w:r>
        <w:rPr>
          <w:rFonts w:ascii="Times New Roman" w:hAnsi="Times New Roman" w:eastAsia="Times New Roman"/>
          <w:position w:val="2"/>
        </w:rPr>
        <w:t>≤66.669t/a</w:t>
      </w:r>
      <w:r>
        <w:rPr>
          <w:position w:val="2"/>
        </w:rPr>
        <w:t>，氨氮纳管排放量</w:t>
      </w:r>
      <w:r>
        <w:rPr>
          <w:rFonts w:ascii="Times New Roman" w:hAnsi="Times New Roman" w:eastAsia="Times New Roman"/>
          <w:position w:val="2"/>
        </w:rPr>
        <w:t>≤9.334t/a</w:t>
      </w:r>
      <w:r>
        <w:rPr>
          <w:position w:val="2"/>
        </w:rPr>
        <w:t>， </w:t>
      </w:r>
      <w:r>
        <w:rPr>
          <w:spacing w:val="-1"/>
          <w:position w:val="2"/>
        </w:rPr>
        <w:t>总氮纳管排放量</w:t>
      </w:r>
      <w:r>
        <w:rPr>
          <w:rFonts w:ascii="Times New Roman" w:hAnsi="Times New Roman" w:eastAsia="Times New Roman"/>
          <w:position w:val="2"/>
        </w:rPr>
        <w:t>≤9.334t/</w:t>
      </w:r>
      <w:r>
        <w:rPr>
          <w:rFonts w:ascii="Times New Roman" w:hAnsi="Times New Roman" w:eastAsia="Times New Roman"/>
          <w:spacing w:val="-1"/>
          <w:position w:val="2"/>
        </w:rPr>
        <w:t>a</w:t>
      </w:r>
      <w:r>
        <w:rPr>
          <w:spacing w:val="-15"/>
          <w:position w:val="2"/>
        </w:rPr>
        <w:t>，总磷纳管排放量</w:t>
      </w:r>
      <w:r>
        <w:rPr>
          <w:rFonts w:ascii="Times New Roman" w:hAnsi="Times New Roman" w:eastAsia="Times New Roman"/>
          <w:position w:val="2"/>
        </w:rPr>
        <w:t>≤0.933t/</w:t>
      </w:r>
      <w:r>
        <w:rPr>
          <w:rFonts w:ascii="Times New Roman" w:hAnsi="Times New Roman" w:eastAsia="Times New Roman"/>
          <w:spacing w:val="-1"/>
          <w:position w:val="2"/>
        </w:rPr>
        <w:t>a</w:t>
      </w:r>
      <w:r>
        <w:rPr>
          <w:spacing w:val="-15"/>
          <w:position w:val="2"/>
        </w:rPr>
        <w:t>；废水环境排放量</w:t>
      </w:r>
      <w:r>
        <w:rPr>
          <w:rFonts w:ascii="Times New Roman" w:hAnsi="Times New Roman" w:eastAsia="Times New Roman"/>
          <w:position w:val="2"/>
        </w:rPr>
        <w:t>≤13.33 </w:t>
      </w:r>
      <w:r>
        <w:rPr>
          <w:spacing w:val="-30"/>
          <w:position w:val="2"/>
        </w:rPr>
        <w:t>万 </w:t>
      </w:r>
      <w:r>
        <w:rPr>
          <w:rFonts w:ascii="Times New Roman" w:hAnsi="Times New Roman" w:eastAsia="Times New Roman"/>
          <w:position w:val="2"/>
        </w:rPr>
        <w:t>t/</w:t>
      </w:r>
      <w:r>
        <w:rPr>
          <w:rFonts w:ascii="Times New Roman" w:hAnsi="Times New Roman" w:eastAsia="Times New Roman"/>
          <w:spacing w:val="-1"/>
          <w:position w:val="2"/>
        </w:rPr>
        <w:t>a</w:t>
      </w:r>
      <w:r>
        <w:rPr>
          <w:spacing w:val="-104"/>
          <w:position w:val="2"/>
        </w:rPr>
        <w:t>，</w:t>
      </w:r>
      <w:r>
        <w:rPr>
          <w:rFonts w:ascii="Times New Roman" w:hAnsi="Times New Roman" w:eastAsia="Times New Roman"/>
          <w:position w:val="2"/>
        </w:rPr>
        <w:t>C</w:t>
      </w:r>
      <w:r>
        <w:rPr>
          <w:rFonts w:ascii="Times New Roman" w:hAnsi="Times New Roman" w:eastAsia="Times New Roman"/>
          <w:spacing w:val="-1"/>
          <w:position w:val="2"/>
        </w:rPr>
        <w:t>OD</w:t>
      </w:r>
      <w:r>
        <w:rPr>
          <w:rFonts w:ascii="Times New Roman" w:hAnsi="Times New Roman" w:eastAsia="Times New Roman"/>
          <w:w w:val="100"/>
          <w:sz w:val="16"/>
        </w:rPr>
        <w:t>Cr</w:t>
      </w:r>
      <w:r>
        <w:rPr/>
        <w:t>环境排放量</w:t>
      </w:r>
      <w:r>
        <w:rPr>
          <w:rFonts w:ascii="Times New Roman" w:hAnsi="Times New Roman" w:eastAsia="Times New Roman"/>
        </w:rPr>
        <w:t>≤6.667t/a</w:t>
      </w:r>
      <w:r>
        <w:rPr/>
        <w:t>，氨氮环境排放量</w:t>
      </w:r>
      <w:r>
        <w:rPr>
          <w:rFonts w:ascii="Times New Roman" w:hAnsi="Times New Roman" w:eastAsia="Times New Roman"/>
        </w:rPr>
        <w:t>≤0.667t/a</w:t>
      </w:r>
      <w:r>
        <w:rPr/>
        <w:t>，总氮环境排放量</w:t>
      </w:r>
      <w:r>
        <w:rPr>
          <w:rFonts w:ascii="Times New Roman" w:hAnsi="Times New Roman" w:eastAsia="Times New Roman"/>
        </w:rPr>
        <w:t>≤2.000t/a</w:t>
      </w:r>
      <w:r>
        <w:rPr>
          <w:spacing w:val="-2"/>
        </w:rPr>
        <w:t>，总磷环境排</w:t>
      </w:r>
      <w:r>
        <w:rPr>
          <w:position w:val="2"/>
        </w:rPr>
        <w:t>放量</w:t>
      </w:r>
      <w:r>
        <w:rPr>
          <w:rFonts w:ascii="Times New Roman" w:hAnsi="Times New Roman" w:eastAsia="Times New Roman"/>
          <w:position w:val="2"/>
        </w:rPr>
        <w:t>≤0.067t/a</w:t>
      </w:r>
      <w:r>
        <w:rPr>
          <w:position w:val="2"/>
        </w:rPr>
        <w:t>，</w:t>
      </w:r>
      <w:r>
        <w:rPr>
          <w:rFonts w:ascii="Times New Roman" w:hAnsi="Times New Roman" w:eastAsia="Times New Roman"/>
          <w:position w:val="2"/>
        </w:rPr>
        <w:t>SO</w:t>
      </w:r>
      <w:r>
        <w:rPr>
          <w:rFonts w:ascii="Times New Roman" w:hAnsi="Times New Roman" w:eastAsia="Times New Roman"/>
          <w:sz w:val="16"/>
        </w:rPr>
        <w:t>2 </w:t>
      </w:r>
      <w:r>
        <w:rPr>
          <w:spacing w:val="-2"/>
          <w:position w:val="2"/>
        </w:rPr>
        <w:t>环境排放量</w:t>
      </w:r>
      <w:r>
        <w:rPr>
          <w:rFonts w:ascii="Times New Roman" w:hAnsi="Times New Roman" w:eastAsia="Times New Roman"/>
          <w:position w:val="2"/>
        </w:rPr>
        <w:t>≤0.011t/a</w:t>
      </w:r>
      <w:r>
        <w:rPr>
          <w:position w:val="2"/>
        </w:rPr>
        <w:t>，</w:t>
      </w:r>
      <w:r>
        <w:rPr>
          <w:rFonts w:ascii="Times New Roman" w:hAnsi="Times New Roman" w:eastAsia="Times New Roman"/>
          <w:position w:val="2"/>
        </w:rPr>
        <w:t>NO</w:t>
      </w:r>
      <w:r>
        <w:rPr>
          <w:rFonts w:ascii="Times New Roman" w:hAnsi="Times New Roman" w:eastAsia="Times New Roman"/>
          <w:sz w:val="16"/>
        </w:rPr>
        <w:t>x </w:t>
      </w:r>
      <w:r>
        <w:rPr>
          <w:position w:val="2"/>
        </w:rPr>
        <w:t>环境排放量</w:t>
      </w:r>
      <w:r>
        <w:rPr>
          <w:rFonts w:ascii="Times New Roman" w:hAnsi="Times New Roman" w:eastAsia="Times New Roman"/>
          <w:position w:val="2"/>
        </w:rPr>
        <w:t>≤0.478t/a</w:t>
      </w:r>
      <w:r>
        <w:rPr>
          <w:position w:val="2"/>
        </w:rPr>
        <w:t>。</w:t>
      </w:r>
    </w:p>
    <w:p>
      <w:pPr>
        <w:pStyle w:val="Heading3"/>
        <w:numPr>
          <w:ilvl w:val="2"/>
          <w:numId w:val="52"/>
        </w:numPr>
        <w:tabs>
          <w:tab w:pos="838" w:val="left" w:leader="none"/>
        </w:tabs>
        <w:spacing w:line="240" w:lineRule="auto" w:before="4" w:after="0"/>
        <w:ind w:left="837" w:right="0" w:hanging="601"/>
        <w:jc w:val="both"/>
      </w:pPr>
      <w:bookmarkStart w:name="_bookmark61" w:id="119"/>
      <w:bookmarkEnd w:id="119"/>
      <w:r>
        <w:rPr>
          <w:b w:val="0"/>
        </w:rPr>
      </w:r>
      <w:bookmarkStart w:name="_bookmark61" w:id="120"/>
      <w:bookmarkEnd w:id="120"/>
      <w:r>
        <w:rPr/>
        <w:t>总量平衡方案</w:t>
      </w:r>
    </w:p>
    <w:p>
      <w:pPr>
        <w:pStyle w:val="BodyText"/>
        <w:spacing w:before="160"/>
        <w:ind w:left="717"/>
      </w:pPr>
      <w:r>
        <w:rPr/>
        <w:t>《浙江省建设项目主要污染物总量准入审核办法（试行）》（浙环发</w:t>
      </w:r>
      <w:r>
        <w:rPr>
          <w:rFonts w:ascii="Times New Roman" w:eastAsia="Times New Roman"/>
        </w:rPr>
        <w:t>[2012]10 </w:t>
      </w:r>
      <w:r>
        <w:rPr/>
        <w:t>号）、</w:t>
      </w:r>
    </w:p>
    <w:p>
      <w:pPr>
        <w:pStyle w:val="BodyText"/>
        <w:spacing w:line="364" w:lineRule="auto" w:before="161"/>
        <w:ind w:right="249"/>
      </w:pPr>
      <w:r>
        <w:rPr/>
        <w:t>《绍兴市人民政府办公室关于印发绍兴市区排污权有偿使用和交易试点工作实施办法的通知》（绍政办发</w:t>
      </w:r>
      <w:r>
        <w:rPr>
          <w:rFonts w:ascii="Times New Roman" w:eastAsia="Times New Roman"/>
        </w:rPr>
        <w:t>[2012]5 </w:t>
      </w:r>
      <w:r>
        <w:rPr/>
        <w:t>号）等均为工业类项目的主要污染物总量准入审核。</w:t>
      </w:r>
    </w:p>
    <w:p>
      <w:pPr>
        <w:pStyle w:val="BodyText"/>
        <w:spacing w:line="364" w:lineRule="auto" w:before="1"/>
        <w:ind w:right="129" w:firstLine="480"/>
      </w:pPr>
      <w:r>
        <w:rPr/>
        <w:t>本项目主要从事猪的饲养，属于《</w:t>
      </w:r>
      <w:r>
        <w:rPr>
          <w:rFonts w:ascii="Times New Roman" w:hAnsi="Times New Roman" w:eastAsia="Times New Roman"/>
        </w:rPr>
        <w:t>2017 </w:t>
      </w:r>
      <w:r>
        <w:rPr>
          <w:spacing w:val="-2"/>
        </w:rPr>
        <w:t>国民经济行业分类》中 </w:t>
      </w:r>
      <w:r>
        <w:rPr>
          <w:rFonts w:ascii="Times New Roman" w:hAnsi="Times New Roman" w:eastAsia="Times New Roman"/>
        </w:rPr>
        <w:t>A </w:t>
      </w:r>
      <w:r>
        <w:rPr/>
        <w:t>类</w:t>
      </w:r>
      <w:r>
        <w:rPr>
          <w:rFonts w:ascii="Times New Roman" w:hAnsi="Times New Roman" w:eastAsia="Times New Roman"/>
        </w:rPr>
        <w:t>“</w:t>
      </w:r>
      <w:r>
        <w:rPr/>
        <w:t>农、林、牧、渔业</w:t>
      </w:r>
      <w:r>
        <w:rPr>
          <w:rFonts w:ascii="Times New Roman" w:hAnsi="Times New Roman" w:eastAsia="Times New Roman"/>
        </w:rPr>
        <w:t>”</w:t>
      </w:r>
      <w:r>
        <w:rPr>
          <w:spacing w:val="-3"/>
        </w:rPr>
        <w:t>中的畜牧业，不同于一般工业项目，暂不参与排污权交易。同时，根据《关于天圣集团农业生态产业链项目落地建设相关事宜的专题会议纪要》</w:t>
      </w:r>
      <w:r>
        <w:rPr/>
        <w:t>（</w:t>
      </w:r>
      <w:r>
        <w:rPr>
          <w:rFonts w:ascii="Times New Roman" w:hAnsi="Times New Roman" w:eastAsia="Times New Roman"/>
        </w:rPr>
        <w:t>[2020]24 </w:t>
      </w:r>
      <w:r>
        <w:rPr/>
        <w:t>号），由区生</w:t>
      </w:r>
      <w:r>
        <w:rPr>
          <w:spacing w:val="-2"/>
        </w:rPr>
        <w:t>态环境分局指导落实排污指标的划转和排污许可证的申领工作</w:t>
      </w:r>
      <w:r>
        <w:rPr/>
        <w:t>（详见附件二</w:t>
      </w:r>
      <w:r>
        <w:rPr>
          <w:spacing w:val="-36"/>
        </w:rPr>
        <w:t>）；</w:t>
      </w:r>
      <w:r>
        <w:rPr>
          <w:spacing w:val="-9"/>
        </w:rPr>
        <w:t>根据《关</w:t>
      </w:r>
      <w:r>
        <w:rPr>
          <w:spacing w:val="-8"/>
        </w:rPr>
        <w:t>于要求明确天圣生态农业产业链项目排污指标的请示》</w:t>
      </w:r>
      <w:r>
        <w:rPr/>
        <w:t>（详见附件六），本项目环评审</w:t>
      </w:r>
      <w:r>
        <w:rPr>
          <w:spacing w:val="-9"/>
          <w:position w:val="2"/>
        </w:rPr>
        <w:t>批暂无需取得污染物总量排放指标。因此，本项目涉及的 </w:t>
      </w:r>
      <w:r>
        <w:rPr>
          <w:rFonts w:ascii="Times New Roman" w:hAnsi="Times New Roman" w:eastAsia="Times New Roman"/>
          <w:position w:val="2"/>
        </w:rPr>
        <w:t>COD</w:t>
      </w:r>
      <w:r>
        <w:rPr>
          <w:rFonts w:ascii="Times New Roman" w:hAnsi="Times New Roman" w:eastAsia="Times New Roman"/>
          <w:sz w:val="16"/>
        </w:rPr>
        <w:t>Cr</w:t>
      </w:r>
      <w:r>
        <w:rPr>
          <w:spacing w:val="-44"/>
          <w:position w:val="2"/>
        </w:rPr>
        <w:t>、</w:t>
      </w:r>
      <w:r>
        <w:rPr>
          <w:rFonts w:ascii="Times New Roman" w:hAnsi="Times New Roman" w:eastAsia="Times New Roman"/>
          <w:position w:val="2"/>
        </w:rPr>
        <w:t>NH</w:t>
      </w:r>
      <w:r>
        <w:rPr>
          <w:rFonts w:ascii="Times New Roman" w:hAnsi="Times New Roman" w:eastAsia="Times New Roman"/>
          <w:sz w:val="16"/>
        </w:rPr>
        <w:t>3</w:t>
      </w:r>
      <w:r>
        <w:rPr>
          <w:rFonts w:ascii="Times New Roman" w:hAnsi="Times New Roman" w:eastAsia="Times New Roman"/>
          <w:position w:val="2"/>
        </w:rPr>
        <w:t>-N</w:t>
      </w:r>
      <w:r>
        <w:rPr>
          <w:spacing w:val="-44"/>
          <w:position w:val="2"/>
        </w:rPr>
        <w:t>、</w:t>
      </w:r>
      <w:r>
        <w:rPr>
          <w:rFonts w:ascii="Times New Roman" w:hAnsi="Times New Roman" w:eastAsia="Times New Roman"/>
          <w:position w:val="2"/>
        </w:rPr>
        <w:t>TN</w:t>
      </w:r>
      <w:r>
        <w:rPr>
          <w:spacing w:val="-44"/>
          <w:position w:val="2"/>
        </w:rPr>
        <w:t>、</w:t>
      </w:r>
      <w:r>
        <w:rPr>
          <w:rFonts w:ascii="Times New Roman" w:hAnsi="Times New Roman" w:eastAsia="Times New Roman"/>
          <w:position w:val="2"/>
        </w:rPr>
        <w:t>TP</w:t>
      </w:r>
      <w:r>
        <w:rPr>
          <w:spacing w:val="-43"/>
          <w:position w:val="2"/>
        </w:rPr>
        <w:t>、</w:t>
      </w:r>
      <w:r>
        <w:rPr>
          <w:rFonts w:ascii="Times New Roman" w:hAnsi="Times New Roman" w:eastAsia="Times New Roman"/>
          <w:position w:val="2"/>
        </w:rPr>
        <w:t>SO</w:t>
      </w:r>
      <w:r>
        <w:rPr>
          <w:rFonts w:ascii="Times New Roman" w:hAnsi="Times New Roman" w:eastAsia="Times New Roman"/>
          <w:sz w:val="16"/>
        </w:rPr>
        <w:t>2</w:t>
      </w:r>
      <w:r>
        <w:rPr>
          <w:position w:val="2"/>
        </w:rPr>
        <w:t>、</w:t>
      </w:r>
      <w:r>
        <w:rPr>
          <w:rFonts w:ascii="Times New Roman" w:hAnsi="Times New Roman" w:eastAsia="Times New Roman"/>
          <w:position w:val="2"/>
        </w:rPr>
        <w:t>NO</w:t>
      </w:r>
      <w:r>
        <w:rPr>
          <w:rFonts w:ascii="Times New Roman" w:hAnsi="Times New Roman" w:eastAsia="Times New Roman"/>
          <w:sz w:val="16"/>
        </w:rPr>
        <w:t>x</w:t>
      </w:r>
      <w:r>
        <w:rPr>
          <w:rFonts w:ascii="Times New Roman" w:hAnsi="Times New Roman" w:eastAsia="Times New Roman"/>
          <w:spacing w:val="5"/>
          <w:sz w:val="16"/>
        </w:rPr>
        <w:t> </w:t>
      </w:r>
      <w:r>
        <w:rPr>
          <w:position w:val="2"/>
        </w:rPr>
        <w:t>等污染物排放总量由绍兴市柯桥区相关部门根据会议纪要</w:t>
      </w:r>
      <w:r>
        <w:rPr>
          <w:rFonts w:ascii="Times New Roman" w:hAnsi="Times New Roman" w:eastAsia="Times New Roman"/>
          <w:position w:val="2"/>
        </w:rPr>
        <w:t>[2020]24</w:t>
      </w:r>
      <w:r>
        <w:rPr>
          <w:rFonts w:ascii="Times New Roman" w:hAnsi="Times New Roman" w:eastAsia="Times New Roman"/>
          <w:spacing w:val="2"/>
          <w:position w:val="2"/>
        </w:rPr>
        <w:t>  </w:t>
      </w:r>
      <w:r>
        <w:rPr>
          <w:position w:val="2"/>
        </w:rPr>
        <w:t>号等有关政策予</w:t>
      </w:r>
      <w:r>
        <w:rPr>
          <w:spacing w:val="-6"/>
        </w:rPr>
        <w:t>以落实，具体方案见表 </w:t>
      </w:r>
      <w:r>
        <w:rPr>
          <w:rFonts w:ascii="Times New Roman" w:hAnsi="Times New Roman" w:eastAsia="Times New Roman"/>
        </w:rPr>
        <w:t>3.4-1</w:t>
      </w:r>
      <w:r>
        <w:rPr/>
        <w:t>。</w:t>
      </w:r>
    </w:p>
    <w:p>
      <w:pPr>
        <w:pStyle w:val="Heading3"/>
        <w:spacing w:before="5"/>
        <w:ind w:left="1780"/>
        <w:rPr>
          <w:rFonts w:ascii="Times New Roman" w:eastAsia="Times New Roman"/>
        </w:rPr>
      </w:pPr>
      <w:r>
        <w:rPr/>
        <w:t>表 </w:t>
      </w:r>
      <w:r>
        <w:rPr>
          <w:rFonts w:ascii="Times New Roman" w:eastAsia="Times New Roman"/>
        </w:rPr>
        <w:t>3.4-1  </w:t>
      </w:r>
      <w:r>
        <w:rPr/>
        <w:t>本项目实施后企业污染物总量控制方案 单位：</w:t>
      </w:r>
      <w:r>
        <w:rPr>
          <w:rFonts w:ascii="Times New Roman" w:eastAsia="Times New Roman"/>
        </w:rPr>
        <w:t>t/a</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3"/>
        <w:gridCol w:w="1452"/>
        <w:gridCol w:w="2265"/>
        <w:gridCol w:w="2126"/>
        <w:gridCol w:w="2942"/>
      </w:tblGrid>
      <w:tr>
        <w:trPr>
          <w:trHeight w:val="359" w:hRule="atLeast"/>
        </w:trPr>
        <w:tc>
          <w:tcPr>
            <w:tcW w:w="2095" w:type="dxa"/>
            <w:gridSpan w:val="2"/>
            <w:tcBorders>
              <w:bottom w:val="single" w:sz="4" w:space="0" w:color="000000"/>
              <w:right w:val="single" w:sz="4" w:space="0" w:color="000000"/>
            </w:tcBorders>
          </w:tcPr>
          <w:p>
            <w:pPr>
              <w:pStyle w:val="TableParagraph"/>
              <w:spacing w:before="43"/>
              <w:ind w:left="814" w:right="798"/>
              <w:rPr>
                <w:rFonts w:ascii="宋体" w:eastAsia="宋体" w:hint="eastAsia"/>
                <w:b/>
                <w:sz w:val="21"/>
              </w:rPr>
            </w:pPr>
            <w:r>
              <w:rPr>
                <w:rFonts w:ascii="宋体" w:eastAsia="宋体" w:hint="eastAsia"/>
                <w:b/>
                <w:sz w:val="21"/>
              </w:rPr>
              <w:t>指标</w:t>
            </w:r>
          </w:p>
        </w:tc>
        <w:tc>
          <w:tcPr>
            <w:tcW w:w="2265" w:type="dxa"/>
            <w:tcBorders>
              <w:left w:val="single" w:sz="4" w:space="0" w:color="000000"/>
              <w:bottom w:val="single" w:sz="4" w:space="0" w:color="000000"/>
              <w:right w:val="single" w:sz="4" w:space="0" w:color="000000"/>
            </w:tcBorders>
          </w:tcPr>
          <w:p>
            <w:pPr>
              <w:pStyle w:val="TableParagraph"/>
              <w:spacing w:before="43"/>
              <w:ind w:left="173" w:right="143"/>
              <w:rPr>
                <w:rFonts w:ascii="宋体" w:eastAsia="宋体" w:hint="eastAsia"/>
                <w:b/>
                <w:sz w:val="21"/>
              </w:rPr>
            </w:pPr>
            <w:r>
              <w:rPr>
                <w:rFonts w:ascii="宋体" w:eastAsia="宋体" w:hint="eastAsia"/>
                <w:b/>
                <w:sz w:val="21"/>
              </w:rPr>
              <w:t>本项目污染物排放量</w:t>
            </w:r>
          </w:p>
        </w:tc>
        <w:tc>
          <w:tcPr>
            <w:tcW w:w="2126" w:type="dxa"/>
            <w:tcBorders>
              <w:left w:val="single" w:sz="4" w:space="0" w:color="000000"/>
              <w:bottom w:val="single" w:sz="4" w:space="0" w:color="000000"/>
              <w:right w:val="single" w:sz="4" w:space="0" w:color="000000"/>
            </w:tcBorders>
          </w:tcPr>
          <w:p>
            <w:pPr>
              <w:pStyle w:val="TableParagraph"/>
              <w:spacing w:before="43"/>
              <w:ind w:left="105" w:right="73"/>
              <w:rPr>
                <w:rFonts w:ascii="宋体" w:eastAsia="宋体" w:hint="eastAsia"/>
                <w:b/>
                <w:sz w:val="21"/>
              </w:rPr>
            </w:pPr>
            <w:r>
              <w:rPr>
                <w:rFonts w:ascii="宋体" w:eastAsia="宋体" w:hint="eastAsia"/>
                <w:b/>
                <w:sz w:val="21"/>
              </w:rPr>
              <w:t>总量控制指标建议值</w:t>
            </w:r>
          </w:p>
        </w:tc>
        <w:tc>
          <w:tcPr>
            <w:tcW w:w="2942" w:type="dxa"/>
            <w:tcBorders>
              <w:left w:val="single" w:sz="4" w:space="0" w:color="000000"/>
              <w:bottom w:val="single" w:sz="4" w:space="0" w:color="000000"/>
            </w:tcBorders>
          </w:tcPr>
          <w:p>
            <w:pPr>
              <w:pStyle w:val="TableParagraph"/>
              <w:spacing w:before="43"/>
              <w:ind w:left="80" w:right="36"/>
              <w:rPr>
                <w:rFonts w:ascii="宋体" w:eastAsia="宋体" w:hint="eastAsia"/>
                <w:b/>
                <w:sz w:val="21"/>
              </w:rPr>
            </w:pPr>
            <w:r>
              <w:rPr>
                <w:rFonts w:ascii="宋体" w:eastAsia="宋体" w:hint="eastAsia"/>
                <w:b/>
                <w:sz w:val="21"/>
              </w:rPr>
              <w:t>削减替代量</w:t>
            </w:r>
          </w:p>
        </w:tc>
      </w:tr>
      <w:tr>
        <w:trPr>
          <w:trHeight w:val="360" w:hRule="atLeast"/>
        </w:trPr>
        <w:tc>
          <w:tcPr>
            <w:tcW w:w="643" w:type="dxa"/>
            <w:tcBorders>
              <w:top w:val="single" w:sz="4" w:space="0" w:color="000000"/>
              <w:bottom w:val="nil"/>
              <w:right w:val="single" w:sz="4" w:space="0" w:color="000000"/>
            </w:tcBorders>
          </w:tcPr>
          <w:p>
            <w:pPr>
              <w:pStyle w:val="TableParagraph"/>
              <w:spacing w:before="0"/>
              <w:jc w:val="left"/>
              <w:rPr>
                <w:sz w:val="22"/>
              </w:rPr>
            </w:pPr>
          </w:p>
        </w:tc>
        <w:tc>
          <w:tcPr>
            <w:tcW w:w="1452" w:type="dxa"/>
            <w:tcBorders>
              <w:top w:val="single" w:sz="4" w:space="0" w:color="000000"/>
              <w:left w:val="single" w:sz="4" w:space="0" w:color="000000"/>
              <w:bottom w:val="nil"/>
              <w:right w:val="single" w:sz="4" w:space="0" w:color="000000"/>
            </w:tcBorders>
          </w:tcPr>
          <w:p>
            <w:pPr>
              <w:pStyle w:val="TableParagraph"/>
              <w:spacing w:before="0"/>
              <w:jc w:val="left"/>
              <w:rPr>
                <w:sz w:val="22"/>
              </w:rPr>
            </w:pPr>
          </w:p>
        </w:tc>
        <w:tc>
          <w:tcPr>
            <w:tcW w:w="2265" w:type="dxa"/>
            <w:tcBorders>
              <w:top w:val="single" w:sz="4" w:space="0" w:color="000000"/>
              <w:left w:val="single" w:sz="4" w:space="0" w:color="000000"/>
              <w:bottom w:val="nil"/>
              <w:right w:val="single" w:sz="4" w:space="0" w:color="000000"/>
            </w:tcBorders>
          </w:tcPr>
          <w:p>
            <w:pPr>
              <w:pStyle w:val="TableParagraph"/>
              <w:ind w:left="173" w:right="140"/>
              <w:rPr>
                <w:sz w:val="21"/>
              </w:rPr>
            </w:pPr>
            <w:r>
              <w:rPr>
                <w:sz w:val="21"/>
              </w:rPr>
              <w:t>133337.42</w:t>
            </w:r>
          </w:p>
        </w:tc>
        <w:tc>
          <w:tcPr>
            <w:tcW w:w="2126" w:type="dxa"/>
            <w:tcBorders>
              <w:top w:val="single" w:sz="4" w:space="0" w:color="000000"/>
              <w:left w:val="single" w:sz="4" w:space="0" w:color="000000"/>
              <w:bottom w:val="nil"/>
              <w:right w:val="single" w:sz="4" w:space="0" w:color="000000"/>
            </w:tcBorders>
          </w:tcPr>
          <w:p>
            <w:pPr>
              <w:pStyle w:val="TableParagraph"/>
              <w:ind w:left="105" w:right="70"/>
              <w:rPr>
                <w:sz w:val="21"/>
              </w:rPr>
            </w:pPr>
            <w:r>
              <w:rPr>
                <w:sz w:val="21"/>
              </w:rPr>
              <w:t>133337.42</w:t>
            </w:r>
          </w:p>
        </w:tc>
        <w:tc>
          <w:tcPr>
            <w:tcW w:w="2942" w:type="dxa"/>
            <w:tcBorders>
              <w:top w:val="single" w:sz="4" w:space="0" w:color="000000"/>
              <w:left w:val="single" w:sz="4" w:space="0" w:color="000000"/>
              <w:bottom w:val="nil"/>
            </w:tcBorders>
          </w:tcPr>
          <w:p>
            <w:pPr>
              <w:pStyle w:val="TableParagraph"/>
              <w:spacing w:before="0"/>
              <w:jc w:val="left"/>
              <w:rPr>
                <w:sz w:val="22"/>
              </w:rPr>
            </w:pPr>
          </w:p>
        </w:tc>
      </w:tr>
      <w:tr>
        <w:trPr>
          <w:trHeight w:val="365" w:hRule="atLeast"/>
        </w:trPr>
        <w:tc>
          <w:tcPr>
            <w:tcW w:w="643" w:type="dxa"/>
            <w:tcBorders>
              <w:top w:val="nil"/>
              <w:bottom w:val="nil"/>
              <w:right w:val="single" w:sz="4" w:space="0" w:color="000000"/>
            </w:tcBorders>
          </w:tcPr>
          <w:p>
            <w:pPr>
              <w:pStyle w:val="TableParagraph"/>
              <w:spacing w:before="0"/>
              <w:jc w:val="left"/>
              <w:rPr>
                <w:sz w:val="22"/>
              </w:rPr>
            </w:pPr>
          </w:p>
        </w:tc>
        <w:tc>
          <w:tcPr>
            <w:tcW w:w="1452" w:type="dxa"/>
            <w:tcBorders>
              <w:top w:val="nil"/>
              <w:left w:val="single" w:sz="4" w:space="0" w:color="000000"/>
              <w:bottom w:val="nil"/>
              <w:right w:val="single" w:sz="4" w:space="0" w:color="000000"/>
            </w:tcBorders>
          </w:tcPr>
          <w:p>
            <w:pPr>
              <w:pStyle w:val="TableParagraph"/>
              <w:spacing w:before="44"/>
              <w:ind w:left="401" w:right="370"/>
              <w:rPr>
                <w:rFonts w:ascii="宋体" w:eastAsia="宋体" w:hint="eastAsia"/>
                <w:sz w:val="21"/>
              </w:rPr>
            </w:pPr>
            <w:r>
              <w:rPr>
                <w:rFonts w:ascii="宋体" w:eastAsia="宋体" w:hint="eastAsia"/>
                <w:sz w:val="21"/>
              </w:rPr>
              <w:t>废水量</w:t>
            </w:r>
          </w:p>
        </w:tc>
        <w:tc>
          <w:tcPr>
            <w:tcW w:w="2265" w:type="dxa"/>
            <w:tcBorders>
              <w:top w:val="nil"/>
              <w:left w:val="single" w:sz="4" w:space="0" w:color="000000"/>
              <w:bottom w:val="nil"/>
              <w:right w:val="single" w:sz="4" w:space="0" w:color="000000"/>
            </w:tcBorders>
          </w:tcPr>
          <w:p>
            <w:pPr>
              <w:pStyle w:val="TableParagraph"/>
              <w:spacing w:before="46"/>
              <w:ind w:left="173" w:right="143"/>
              <w:rPr>
                <w:sz w:val="21"/>
              </w:rPr>
            </w:pPr>
            <w:r>
              <w:rPr>
                <w:rFonts w:ascii="宋体" w:eastAsia="宋体" w:hint="eastAsia"/>
                <w:sz w:val="21"/>
              </w:rPr>
              <w:t>日最大 </w:t>
            </w:r>
            <w:r>
              <w:rPr>
                <w:position w:val="1"/>
                <w:sz w:val="21"/>
              </w:rPr>
              <w:t>554.47t/d</w:t>
            </w:r>
          </w:p>
        </w:tc>
        <w:tc>
          <w:tcPr>
            <w:tcW w:w="2126" w:type="dxa"/>
            <w:tcBorders>
              <w:top w:val="nil"/>
              <w:left w:val="single" w:sz="4" w:space="0" w:color="000000"/>
              <w:bottom w:val="nil"/>
              <w:right w:val="single" w:sz="4" w:space="0" w:color="000000"/>
            </w:tcBorders>
          </w:tcPr>
          <w:p>
            <w:pPr>
              <w:pStyle w:val="TableParagraph"/>
              <w:spacing w:before="46"/>
              <w:ind w:left="105" w:right="73"/>
              <w:rPr>
                <w:sz w:val="21"/>
              </w:rPr>
            </w:pPr>
            <w:r>
              <w:rPr>
                <w:rFonts w:ascii="宋体" w:eastAsia="宋体" w:hint="eastAsia"/>
                <w:sz w:val="21"/>
              </w:rPr>
              <w:t>日最大 </w:t>
            </w:r>
            <w:r>
              <w:rPr>
                <w:position w:val="1"/>
                <w:sz w:val="21"/>
              </w:rPr>
              <w:t>554.47t/d</w:t>
            </w:r>
          </w:p>
        </w:tc>
        <w:tc>
          <w:tcPr>
            <w:tcW w:w="2942" w:type="dxa"/>
            <w:tcBorders>
              <w:top w:val="nil"/>
              <w:left w:val="single" w:sz="4" w:space="0" w:color="000000"/>
              <w:bottom w:val="nil"/>
            </w:tcBorders>
          </w:tcPr>
          <w:p>
            <w:pPr>
              <w:pStyle w:val="TableParagraph"/>
              <w:spacing w:before="72"/>
              <w:ind w:left="81" w:right="34"/>
              <w:rPr>
                <w:rFonts w:ascii="宋体" w:eastAsia="宋体" w:hint="eastAsia"/>
                <w:sz w:val="21"/>
              </w:rPr>
            </w:pPr>
            <w:r>
              <w:rPr>
                <w:rFonts w:ascii="宋体" w:eastAsia="宋体" w:hint="eastAsia"/>
                <w:sz w:val="21"/>
              </w:rPr>
              <w:t>本项目属于农业项目，新增污</w:t>
            </w:r>
          </w:p>
        </w:tc>
      </w:tr>
      <w:tr>
        <w:trPr>
          <w:trHeight w:val="351" w:hRule="atLeast"/>
        </w:trPr>
        <w:tc>
          <w:tcPr>
            <w:tcW w:w="643" w:type="dxa"/>
            <w:tcBorders>
              <w:top w:val="nil"/>
              <w:bottom w:val="nil"/>
              <w:right w:val="single" w:sz="4" w:space="0" w:color="000000"/>
            </w:tcBorders>
          </w:tcPr>
          <w:p>
            <w:pPr>
              <w:pStyle w:val="TableParagraph"/>
              <w:spacing w:before="0"/>
              <w:jc w:val="left"/>
              <w:rPr>
                <w:sz w:val="22"/>
              </w:rPr>
            </w:pPr>
          </w:p>
        </w:tc>
        <w:tc>
          <w:tcPr>
            <w:tcW w:w="1452" w:type="dxa"/>
            <w:tcBorders>
              <w:top w:val="nil"/>
              <w:left w:val="single" w:sz="4" w:space="0" w:color="000000"/>
              <w:bottom w:val="single" w:sz="4" w:space="0" w:color="000000"/>
              <w:right w:val="single" w:sz="4" w:space="0" w:color="000000"/>
            </w:tcBorders>
          </w:tcPr>
          <w:p>
            <w:pPr>
              <w:pStyle w:val="TableParagraph"/>
              <w:spacing w:before="0"/>
              <w:jc w:val="left"/>
              <w:rPr>
                <w:sz w:val="22"/>
              </w:rPr>
            </w:pPr>
          </w:p>
        </w:tc>
        <w:tc>
          <w:tcPr>
            <w:tcW w:w="2265" w:type="dxa"/>
            <w:tcBorders>
              <w:top w:val="nil"/>
              <w:left w:val="single" w:sz="4" w:space="0" w:color="000000"/>
              <w:bottom w:val="single" w:sz="4" w:space="0" w:color="000000"/>
              <w:right w:val="single" w:sz="4" w:space="0" w:color="000000"/>
            </w:tcBorders>
          </w:tcPr>
          <w:p>
            <w:pPr>
              <w:pStyle w:val="TableParagraph"/>
              <w:spacing w:before="38"/>
              <w:ind w:left="173" w:right="143"/>
              <w:rPr>
                <w:sz w:val="21"/>
              </w:rPr>
            </w:pPr>
            <w:r>
              <w:rPr>
                <w:rFonts w:ascii="宋体" w:eastAsia="宋体" w:hint="eastAsia"/>
                <w:sz w:val="21"/>
              </w:rPr>
              <w:t>日平均 </w:t>
            </w:r>
            <w:r>
              <w:rPr>
                <w:position w:val="1"/>
                <w:sz w:val="21"/>
              </w:rPr>
              <w:t>365.31t/d</w:t>
            </w:r>
          </w:p>
        </w:tc>
        <w:tc>
          <w:tcPr>
            <w:tcW w:w="2126" w:type="dxa"/>
            <w:tcBorders>
              <w:top w:val="nil"/>
              <w:left w:val="single" w:sz="4" w:space="0" w:color="000000"/>
              <w:bottom w:val="single" w:sz="4" w:space="0" w:color="000000"/>
              <w:right w:val="single" w:sz="4" w:space="0" w:color="000000"/>
            </w:tcBorders>
          </w:tcPr>
          <w:p>
            <w:pPr>
              <w:pStyle w:val="TableParagraph"/>
              <w:spacing w:before="38"/>
              <w:ind w:left="105" w:right="73"/>
              <w:rPr>
                <w:sz w:val="21"/>
              </w:rPr>
            </w:pPr>
            <w:r>
              <w:rPr>
                <w:rFonts w:ascii="宋体" w:eastAsia="宋体" w:hint="eastAsia"/>
                <w:sz w:val="21"/>
              </w:rPr>
              <w:t>日平均 </w:t>
            </w:r>
            <w:r>
              <w:rPr>
                <w:position w:val="1"/>
                <w:sz w:val="21"/>
              </w:rPr>
              <w:t>365.31t/d</w:t>
            </w:r>
          </w:p>
        </w:tc>
        <w:tc>
          <w:tcPr>
            <w:tcW w:w="2942" w:type="dxa"/>
            <w:tcBorders>
              <w:top w:val="nil"/>
              <w:left w:val="single" w:sz="4" w:space="0" w:color="000000"/>
              <w:bottom w:val="nil"/>
            </w:tcBorders>
          </w:tcPr>
          <w:p>
            <w:pPr>
              <w:pStyle w:val="TableParagraph"/>
              <w:spacing w:line="264" w:lineRule="exact" w:before="67"/>
              <w:ind w:left="76" w:right="36"/>
              <w:rPr>
                <w:rFonts w:ascii="宋体" w:eastAsia="宋体" w:hint="eastAsia"/>
                <w:sz w:val="21"/>
              </w:rPr>
            </w:pPr>
            <w:r>
              <w:rPr>
                <w:rFonts w:ascii="宋体" w:eastAsia="宋体" w:hint="eastAsia"/>
                <w:sz w:val="21"/>
              </w:rPr>
              <w:t>染物排放指标由绍兴市柯桥</w:t>
            </w:r>
          </w:p>
        </w:tc>
      </w:tr>
      <w:tr>
        <w:trPr>
          <w:trHeight w:val="357" w:hRule="atLeast"/>
        </w:trPr>
        <w:tc>
          <w:tcPr>
            <w:tcW w:w="643" w:type="dxa"/>
            <w:tcBorders>
              <w:top w:val="nil"/>
              <w:bottom w:val="nil"/>
              <w:right w:val="single" w:sz="4" w:space="0" w:color="000000"/>
            </w:tcBorders>
          </w:tcPr>
          <w:p>
            <w:pPr>
              <w:pStyle w:val="TableParagraph"/>
              <w:spacing w:before="53"/>
              <w:ind w:left="109"/>
              <w:jc w:val="left"/>
              <w:rPr>
                <w:rFonts w:ascii="宋体" w:eastAsia="宋体" w:hint="eastAsia"/>
                <w:sz w:val="21"/>
              </w:rPr>
            </w:pPr>
            <w:r>
              <w:rPr>
                <w:rFonts w:ascii="宋体" w:eastAsia="宋体" w:hint="eastAsia"/>
                <w:sz w:val="21"/>
              </w:rPr>
              <w:t>废水</w:t>
            </w:r>
          </w:p>
        </w:tc>
        <w:tc>
          <w:tcPr>
            <w:tcW w:w="1452" w:type="dxa"/>
            <w:tcBorders>
              <w:top w:val="single" w:sz="4" w:space="0" w:color="000000"/>
              <w:left w:val="single" w:sz="4" w:space="0" w:color="000000"/>
              <w:bottom w:val="single" w:sz="4" w:space="0" w:color="000000"/>
              <w:right w:val="single" w:sz="4" w:space="0" w:color="000000"/>
            </w:tcBorders>
          </w:tcPr>
          <w:p>
            <w:pPr>
              <w:pStyle w:val="TableParagraph"/>
              <w:spacing w:before="57"/>
              <w:ind w:left="401" w:right="369"/>
              <w:rPr>
                <w:sz w:val="14"/>
              </w:rPr>
            </w:pPr>
            <w:r>
              <w:rPr>
                <w:position w:val="2"/>
                <w:sz w:val="21"/>
              </w:rPr>
              <w:t>COD</w:t>
            </w:r>
            <w:r>
              <w:rPr>
                <w:sz w:val="14"/>
              </w:rPr>
              <w:t>Cr</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ind w:left="173" w:right="143"/>
              <w:rPr>
                <w:sz w:val="21"/>
              </w:rPr>
            </w:pPr>
            <w:r>
              <w:rPr>
                <w:sz w:val="21"/>
              </w:rPr>
              <w:t>6.667</w:t>
            </w:r>
          </w:p>
        </w:tc>
        <w:tc>
          <w:tcPr>
            <w:tcW w:w="2126" w:type="dxa"/>
            <w:tcBorders>
              <w:top w:val="single" w:sz="4" w:space="0" w:color="000000"/>
              <w:left w:val="single" w:sz="4" w:space="0" w:color="000000"/>
              <w:bottom w:val="single" w:sz="4" w:space="0" w:color="000000"/>
              <w:right w:val="single" w:sz="4" w:space="0" w:color="000000"/>
            </w:tcBorders>
          </w:tcPr>
          <w:p>
            <w:pPr>
              <w:pStyle w:val="TableParagraph"/>
              <w:ind w:left="105" w:right="73"/>
              <w:rPr>
                <w:sz w:val="21"/>
              </w:rPr>
            </w:pPr>
            <w:r>
              <w:rPr>
                <w:sz w:val="21"/>
              </w:rPr>
              <w:t>6.667</w:t>
            </w:r>
          </w:p>
        </w:tc>
        <w:tc>
          <w:tcPr>
            <w:tcW w:w="2942" w:type="dxa"/>
            <w:tcBorders>
              <w:top w:val="nil"/>
              <w:left w:val="single" w:sz="4" w:space="0" w:color="000000"/>
              <w:bottom w:val="nil"/>
            </w:tcBorders>
          </w:tcPr>
          <w:p>
            <w:pPr>
              <w:pStyle w:val="TableParagraph"/>
              <w:spacing w:before="63"/>
              <w:ind w:left="78" w:right="36"/>
              <w:rPr>
                <w:rFonts w:ascii="宋体" w:eastAsia="宋体" w:hint="eastAsia"/>
                <w:sz w:val="21"/>
              </w:rPr>
            </w:pPr>
            <w:r>
              <w:rPr>
                <w:rFonts w:ascii="宋体" w:eastAsia="宋体" w:hint="eastAsia"/>
                <w:sz w:val="21"/>
              </w:rPr>
              <w:t>区相关部门根据柯桥区人民</w:t>
            </w:r>
          </w:p>
        </w:tc>
      </w:tr>
      <w:tr>
        <w:trPr>
          <w:trHeight w:val="359" w:hRule="atLeast"/>
        </w:trPr>
        <w:tc>
          <w:tcPr>
            <w:tcW w:w="643" w:type="dxa"/>
            <w:tcBorders>
              <w:top w:val="nil"/>
              <w:bottom w:val="nil"/>
              <w:right w:val="single" w:sz="4" w:space="0" w:color="000000"/>
            </w:tcBorders>
          </w:tcPr>
          <w:p>
            <w:pPr>
              <w:pStyle w:val="TableParagraph"/>
              <w:spacing w:before="0"/>
              <w:jc w:val="left"/>
              <w:rPr>
                <w:sz w:val="22"/>
              </w:rPr>
            </w:pPr>
          </w:p>
        </w:tc>
        <w:tc>
          <w:tcPr>
            <w:tcW w:w="1452" w:type="dxa"/>
            <w:tcBorders>
              <w:top w:val="single" w:sz="4" w:space="0" w:color="000000"/>
              <w:left w:val="single" w:sz="4" w:space="0" w:color="000000"/>
              <w:bottom w:val="single" w:sz="4" w:space="0" w:color="000000"/>
              <w:right w:val="single" w:sz="4" w:space="0" w:color="000000"/>
            </w:tcBorders>
          </w:tcPr>
          <w:p>
            <w:pPr>
              <w:pStyle w:val="TableParagraph"/>
              <w:spacing w:before="44"/>
              <w:ind w:left="401" w:right="370"/>
              <w:rPr>
                <w:rFonts w:ascii="宋体" w:eastAsia="宋体" w:hint="eastAsia"/>
                <w:sz w:val="21"/>
              </w:rPr>
            </w:pPr>
            <w:r>
              <w:rPr>
                <w:rFonts w:ascii="宋体" w:eastAsia="宋体" w:hint="eastAsia"/>
                <w:sz w:val="21"/>
              </w:rPr>
              <w:t>氨氮</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ind w:left="173" w:right="143"/>
              <w:rPr>
                <w:sz w:val="21"/>
              </w:rPr>
            </w:pPr>
            <w:r>
              <w:rPr>
                <w:sz w:val="21"/>
              </w:rPr>
              <w:t>0.667</w:t>
            </w:r>
          </w:p>
        </w:tc>
        <w:tc>
          <w:tcPr>
            <w:tcW w:w="2126" w:type="dxa"/>
            <w:tcBorders>
              <w:top w:val="single" w:sz="4" w:space="0" w:color="000000"/>
              <w:left w:val="single" w:sz="4" w:space="0" w:color="000000"/>
              <w:bottom w:val="single" w:sz="4" w:space="0" w:color="000000"/>
              <w:right w:val="single" w:sz="4" w:space="0" w:color="000000"/>
            </w:tcBorders>
          </w:tcPr>
          <w:p>
            <w:pPr>
              <w:pStyle w:val="TableParagraph"/>
              <w:ind w:left="105" w:right="73"/>
              <w:rPr>
                <w:sz w:val="21"/>
              </w:rPr>
            </w:pPr>
            <w:r>
              <w:rPr>
                <w:sz w:val="21"/>
              </w:rPr>
              <w:t>0.667</w:t>
            </w:r>
          </w:p>
        </w:tc>
        <w:tc>
          <w:tcPr>
            <w:tcW w:w="2942" w:type="dxa"/>
            <w:tcBorders>
              <w:top w:val="nil"/>
              <w:left w:val="single" w:sz="4" w:space="0" w:color="000000"/>
              <w:bottom w:val="nil"/>
            </w:tcBorders>
          </w:tcPr>
          <w:p>
            <w:pPr>
              <w:pStyle w:val="TableParagraph"/>
              <w:spacing w:before="56"/>
              <w:ind w:left="81" w:right="34"/>
              <w:rPr>
                <w:rFonts w:ascii="宋体" w:eastAsia="宋体" w:hint="eastAsia"/>
                <w:sz w:val="21"/>
              </w:rPr>
            </w:pPr>
            <w:r>
              <w:rPr>
                <w:rFonts w:ascii="宋体" w:eastAsia="宋体" w:hint="eastAsia"/>
                <w:sz w:val="21"/>
              </w:rPr>
              <w:t>政府办公室</w:t>
            </w:r>
            <w:r>
              <w:rPr>
                <w:sz w:val="21"/>
              </w:rPr>
              <w:t>[2020]24 </w:t>
            </w:r>
            <w:r>
              <w:rPr>
                <w:rFonts w:ascii="宋体" w:eastAsia="宋体" w:hint="eastAsia"/>
                <w:sz w:val="21"/>
              </w:rPr>
              <w:t>号专题会</w:t>
            </w:r>
          </w:p>
        </w:tc>
      </w:tr>
      <w:tr>
        <w:trPr>
          <w:trHeight w:val="359" w:hRule="atLeast"/>
        </w:trPr>
        <w:tc>
          <w:tcPr>
            <w:tcW w:w="643" w:type="dxa"/>
            <w:tcBorders>
              <w:top w:val="nil"/>
              <w:bottom w:val="nil"/>
              <w:right w:val="single" w:sz="4" w:space="0" w:color="000000"/>
            </w:tcBorders>
          </w:tcPr>
          <w:p>
            <w:pPr>
              <w:pStyle w:val="TableParagraph"/>
              <w:spacing w:before="0"/>
              <w:jc w:val="left"/>
              <w:rPr>
                <w:sz w:val="22"/>
              </w:rPr>
            </w:pPr>
          </w:p>
        </w:tc>
        <w:tc>
          <w:tcPr>
            <w:tcW w:w="1452" w:type="dxa"/>
            <w:tcBorders>
              <w:top w:val="single" w:sz="4" w:space="0" w:color="000000"/>
              <w:left w:val="single" w:sz="4" w:space="0" w:color="000000"/>
              <w:bottom w:val="single" w:sz="4" w:space="0" w:color="000000"/>
              <w:right w:val="single" w:sz="4" w:space="0" w:color="000000"/>
            </w:tcBorders>
          </w:tcPr>
          <w:p>
            <w:pPr>
              <w:pStyle w:val="TableParagraph"/>
              <w:spacing w:before="44"/>
              <w:ind w:left="401" w:right="370"/>
              <w:rPr>
                <w:rFonts w:ascii="宋体" w:eastAsia="宋体" w:hint="eastAsia"/>
                <w:sz w:val="21"/>
              </w:rPr>
            </w:pPr>
            <w:r>
              <w:rPr>
                <w:rFonts w:ascii="宋体" w:eastAsia="宋体" w:hint="eastAsia"/>
                <w:sz w:val="21"/>
              </w:rPr>
              <w:t>总氮</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ind w:left="173" w:right="143"/>
              <w:rPr>
                <w:sz w:val="21"/>
              </w:rPr>
            </w:pPr>
            <w:r>
              <w:rPr>
                <w:sz w:val="21"/>
              </w:rPr>
              <w:t>2.000</w:t>
            </w:r>
          </w:p>
        </w:tc>
        <w:tc>
          <w:tcPr>
            <w:tcW w:w="2126" w:type="dxa"/>
            <w:tcBorders>
              <w:top w:val="single" w:sz="4" w:space="0" w:color="000000"/>
              <w:left w:val="single" w:sz="4" w:space="0" w:color="000000"/>
              <w:bottom w:val="single" w:sz="4" w:space="0" w:color="000000"/>
              <w:right w:val="single" w:sz="4" w:space="0" w:color="000000"/>
            </w:tcBorders>
          </w:tcPr>
          <w:p>
            <w:pPr>
              <w:pStyle w:val="TableParagraph"/>
              <w:ind w:left="105" w:right="73"/>
              <w:rPr>
                <w:sz w:val="21"/>
              </w:rPr>
            </w:pPr>
            <w:r>
              <w:rPr>
                <w:sz w:val="21"/>
              </w:rPr>
              <w:t>2.000</w:t>
            </w:r>
          </w:p>
        </w:tc>
        <w:tc>
          <w:tcPr>
            <w:tcW w:w="2942" w:type="dxa"/>
            <w:tcBorders>
              <w:top w:val="nil"/>
              <w:left w:val="single" w:sz="4" w:space="0" w:color="000000"/>
              <w:bottom w:val="nil"/>
            </w:tcBorders>
          </w:tcPr>
          <w:p>
            <w:pPr>
              <w:pStyle w:val="TableParagraph"/>
              <w:spacing w:before="44"/>
              <w:ind w:left="81" w:right="36"/>
              <w:rPr>
                <w:sz w:val="21"/>
              </w:rPr>
            </w:pPr>
            <w:r>
              <w:rPr>
                <w:rFonts w:ascii="宋体" w:eastAsia="宋体" w:hint="eastAsia"/>
                <w:sz w:val="21"/>
              </w:rPr>
              <w:t>议纪要、市生态环境局</w:t>
            </w:r>
            <w:r>
              <w:rPr>
                <w:sz w:val="21"/>
              </w:rPr>
              <w:t>[2020]5</w:t>
            </w:r>
          </w:p>
        </w:tc>
      </w:tr>
      <w:tr>
        <w:trPr>
          <w:trHeight w:val="357" w:hRule="atLeast"/>
        </w:trPr>
        <w:tc>
          <w:tcPr>
            <w:tcW w:w="643" w:type="dxa"/>
            <w:tcBorders>
              <w:top w:val="nil"/>
              <w:bottom w:val="single" w:sz="4" w:space="0" w:color="000000"/>
              <w:right w:val="single" w:sz="4" w:space="0" w:color="000000"/>
            </w:tcBorders>
          </w:tcPr>
          <w:p>
            <w:pPr>
              <w:pStyle w:val="TableParagraph"/>
              <w:spacing w:before="0"/>
              <w:jc w:val="left"/>
              <w:rPr>
                <w:sz w:val="22"/>
              </w:rPr>
            </w:pPr>
          </w:p>
        </w:tc>
        <w:tc>
          <w:tcPr>
            <w:tcW w:w="1452" w:type="dxa"/>
            <w:tcBorders>
              <w:top w:val="single" w:sz="4" w:space="0" w:color="000000"/>
              <w:left w:val="single" w:sz="4" w:space="0" w:color="000000"/>
              <w:bottom w:val="single" w:sz="4" w:space="0" w:color="000000"/>
              <w:right w:val="single" w:sz="4" w:space="0" w:color="000000"/>
            </w:tcBorders>
          </w:tcPr>
          <w:p>
            <w:pPr>
              <w:pStyle w:val="TableParagraph"/>
              <w:spacing w:before="44"/>
              <w:ind w:left="401" w:right="370"/>
              <w:rPr>
                <w:rFonts w:ascii="宋体" w:eastAsia="宋体" w:hint="eastAsia"/>
                <w:sz w:val="21"/>
              </w:rPr>
            </w:pPr>
            <w:r>
              <w:rPr>
                <w:rFonts w:ascii="宋体" w:eastAsia="宋体" w:hint="eastAsia"/>
                <w:sz w:val="21"/>
              </w:rPr>
              <w:t>总磷</w:t>
            </w:r>
          </w:p>
        </w:tc>
        <w:tc>
          <w:tcPr>
            <w:tcW w:w="2265" w:type="dxa"/>
            <w:tcBorders>
              <w:top w:val="single" w:sz="4" w:space="0" w:color="000000"/>
              <w:left w:val="single" w:sz="4" w:space="0" w:color="000000"/>
              <w:bottom w:val="single" w:sz="4" w:space="0" w:color="000000"/>
              <w:right w:val="single" w:sz="4" w:space="0" w:color="000000"/>
            </w:tcBorders>
          </w:tcPr>
          <w:p>
            <w:pPr>
              <w:pStyle w:val="TableParagraph"/>
              <w:ind w:left="173" w:right="143"/>
              <w:rPr>
                <w:sz w:val="21"/>
              </w:rPr>
            </w:pPr>
            <w:r>
              <w:rPr>
                <w:sz w:val="21"/>
              </w:rPr>
              <w:t>0.067</w:t>
            </w:r>
          </w:p>
        </w:tc>
        <w:tc>
          <w:tcPr>
            <w:tcW w:w="2126" w:type="dxa"/>
            <w:tcBorders>
              <w:top w:val="single" w:sz="4" w:space="0" w:color="000000"/>
              <w:left w:val="single" w:sz="4" w:space="0" w:color="000000"/>
              <w:bottom w:val="single" w:sz="4" w:space="0" w:color="000000"/>
              <w:right w:val="single" w:sz="4" w:space="0" w:color="000000"/>
            </w:tcBorders>
          </w:tcPr>
          <w:p>
            <w:pPr>
              <w:pStyle w:val="TableParagraph"/>
              <w:ind w:left="105" w:right="73"/>
              <w:rPr>
                <w:sz w:val="21"/>
              </w:rPr>
            </w:pPr>
            <w:r>
              <w:rPr>
                <w:sz w:val="21"/>
              </w:rPr>
              <w:t>0.067</w:t>
            </w:r>
          </w:p>
        </w:tc>
        <w:tc>
          <w:tcPr>
            <w:tcW w:w="2942" w:type="dxa"/>
            <w:tcBorders>
              <w:top w:val="nil"/>
              <w:left w:val="single" w:sz="4" w:space="0" w:color="000000"/>
              <w:bottom w:val="nil"/>
            </w:tcBorders>
          </w:tcPr>
          <w:p>
            <w:pPr>
              <w:pStyle w:val="TableParagraph"/>
              <w:spacing w:before="34"/>
              <w:ind w:left="78" w:right="36"/>
              <w:rPr>
                <w:rFonts w:ascii="宋体" w:eastAsia="宋体" w:hint="eastAsia"/>
                <w:sz w:val="21"/>
              </w:rPr>
            </w:pPr>
            <w:r>
              <w:rPr>
                <w:rFonts w:ascii="宋体" w:eastAsia="宋体" w:hint="eastAsia"/>
                <w:sz w:val="21"/>
              </w:rPr>
              <w:t>号专题会议纪要等有关政策</w:t>
            </w:r>
          </w:p>
        </w:tc>
      </w:tr>
      <w:tr>
        <w:trPr>
          <w:trHeight w:val="246" w:hRule="atLeast"/>
        </w:trPr>
        <w:tc>
          <w:tcPr>
            <w:tcW w:w="643" w:type="dxa"/>
            <w:vMerge w:val="restart"/>
            <w:tcBorders>
              <w:top w:val="single" w:sz="4" w:space="0" w:color="000000"/>
              <w:right w:val="single" w:sz="4" w:space="0" w:color="000000"/>
            </w:tcBorders>
          </w:tcPr>
          <w:p>
            <w:pPr>
              <w:pStyle w:val="TableParagraph"/>
              <w:spacing w:before="10"/>
              <w:jc w:val="left"/>
              <w:rPr>
                <w:b/>
                <w:sz w:val="19"/>
              </w:rPr>
            </w:pPr>
          </w:p>
          <w:p>
            <w:pPr>
              <w:pStyle w:val="TableParagraph"/>
              <w:spacing w:before="0"/>
              <w:ind w:left="109"/>
              <w:jc w:val="left"/>
              <w:rPr>
                <w:rFonts w:ascii="宋体" w:eastAsia="宋体" w:hint="eastAsia"/>
                <w:sz w:val="21"/>
              </w:rPr>
            </w:pPr>
            <w:r>
              <w:rPr>
                <w:rFonts w:ascii="宋体" w:eastAsia="宋体" w:hint="eastAsia"/>
                <w:sz w:val="21"/>
              </w:rPr>
              <w:t>废气</w:t>
            </w:r>
          </w:p>
        </w:tc>
        <w:tc>
          <w:tcPr>
            <w:tcW w:w="1452"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57"/>
              <w:ind w:left="401" w:right="370"/>
              <w:rPr>
                <w:sz w:val="14"/>
              </w:rPr>
            </w:pPr>
            <w:r>
              <w:rPr>
                <w:position w:val="2"/>
                <w:sz w:val="21"/>
              </w:rPr>
              <w:t>SO</w:t>
            </w:r>
            <w:r>
              <w:rPr>
                <w:sz w:val="14"/>
              </w:rPr>
              <w:t>2</w:t>
            </w:r>
          </w:p>
        </w:tc>
        <w:tc>
          <w:tcPr>
            <w:tcW w:w="2265" w:type="dxa"/>
            <w:vMerge w:val="restart"/>
            <w:tcBorders>
              <w:top w:val="single" w:sz="4" w:space="0" w:color="000000"/>
              <w:left w:val="single" w:sz="4" w:space="0" w:color="000000"/>
              <w:bottom w:val="single" w:sz="4" w:space="0" w:color="000000"/>
              <w:right w:val="single" w:sz="4" w:space="0" w:color="000000"/>
            </w:tcBorders>
          </w:tcPr>
          <w:p>
            <w:pPr>
              <w:pStyle w:val="TableParagraph"/>
              <w:ind w:left="173" w:right="140"/>
              <w:rPr>
                <w:sz w:val="21"/>
              </w:rPr>
            </w:pPr>
            <w:r>
              <w:rPr>
                <w:sz w:val="21"/>
              </w:rPr>
              <w:t>0.011</w:t>
            </w:r>
          </w:p>
        </w:tc>
        <w:tc>
          <w:tcPr>
            <w:tcW w:w="2126" w:type="dxa"/>
            <w:vMerge w:val="restart"/>
            <w:tcBorders>
              <w:top w:val="single" w:sz="4" w:space="0" w:color="000000"/>
              <w:left w:val="single" w:sz="4" w:space="0" w:color="000000"/>
              <w:bottom w:val="single" w:sz="4" w:space="0" w:color="000000"/>
              <w:right w:val="single" w:sz="4" w:space="0" w:color="000000"/>
            </w:tcBorders>
          </w:tcPr>
          <w:p>
            <w:pPr>
              <w:pStyle w:val="TableParagraph"/>
              <w:ind w:left="105" w:right="70"/>
              <w:rPr>
                <w:sz w:val="21"/>
              </w:rPr>
            </w:pPr>
            <w:r>
              <w:rPr>
                <w:sz w:val="21"/>
              </w:rPr>
              <w:t>0.011</w:t>
            </w:r>
          </w:p>
        </w:tc>
        <w:tc>
          <w:tcPr>
            <w:tcW w:w="2942" w:type="dxa"/>
            <w:tcBorders>
              <w:top w:val="nil"/>
              <w:left w:val="single" w:sz="4" w:space="0" w:color="000000"/>
              <w:bottom w:val="nil"/>
            </w:tcBorders>
          </w:tcPr>
          <w:p>
            <w:pPr>
              <w:pStyle w:val="TableParagraph"/>
              <w:spacing w:line="201" w:lineRule="exact" w:before="25"/>
              <w:ind w:left="81" w:right="34"/>
              <w:rPr>
                <w:rFonts w:ascii="宋体" w:eastAsia="宋体" w:hint="eastAsia"/>
                <w:sz w:val="21"/>
              </w:rPr>
            </w:pPr>
            <w:r>
              <w:rPr>
                <w:rFonts w:ascii="宋体" w:eastAsia="宋体" w:hint="eastAsia"/>
                <w:sz w:val="21"/>
              </w:rPr>
              <w:t>予以落实</w:t>
            </w:r>
          </w:p>
        </w:tc>
      </w:tr>
      <w:tr>
        <w:trPr>
          <w:trHeight w:val="73" w:hRule="atLeast"/>
        </w:trPr>
        <w:tc>
          <w:tcPr>
            <w:tcW w:w="643" w:type="dxa"/>
            <w:vMerge/>
            <w:tcBorders>
              <w:top w:val="nil"/>
              <w:right w:val="single" w:sz="4" w:space="0" w:color="000000"/>
            </w:tcBorders>
          </w:tcPr>
          <w:p>
            <w:pPr>
              <w:rPr>
                <w:sz w:val="2"/>
                <w:szCs w:val="2"/>
              </w:rPr>
            </w:pPr>
          </w:p>
        </w:tc>
        <w:tc>
          <w:tcPr>
            <w:tcW w:w="1452" w:type="dxa"/>
            <w:vMerge/>
            <w:tcBorders>
              <w:top w:val="nil"/>
              <w:left w:val="single" w:sz="4" w:space="0" w:color="000000"/>
              <w:bottom w:val="single" w:sz="4" w:space="0" w:color="000000"/>
              <w:right w:val="single" w:sz="4" w:space="0" w:color="000000"/>
            </w:tcBorders>
          </w:tcPr>
          <w:p>
            <w:pPr>
              <w:rPr>
                <w:sz w:val="2"/>
                <w:szCs w:val="2"/>
              </w:rPr>
            </w:pPr>
          </w:p>
        </w:tc>
        <w:tc>
          <w:tcPr>
            <w:tcW w:w="2265" w:type="dxa"/>
            <w:vMerge/>
            <w:tcBorders>
              <w:top w:val="nil"/>
              <w:left w:val="single" w:sz="4" w:space="0" w:color="000000"/>
              <w:bottom w:val="single" w:sz="4" w:space="0" w:color="000000"/>
              <w:right w:val="single" w:sz="4" w:space="0" w:color="000000"/>
            </w:tcBorders>
          </w:tcPr>
          <w:p>
            <w:pPr>
              <w:rPr>
                <w:sz w:val="2"/>
                <w:szCs w:val="2"/>
              </w:rPr>
            </w:pPr>
          </w:p>
        </w:tc>
        <w:tc>
          <w:tcPr>
            <w:tcW w:w="2126" w:type="dxa"/>
            <w:vMerge/>
            <w:tcBorders>
              <w:top w:val="nil"/>
              <w:left w:val="single" w:sz="4" w:space="0" w:color="000000"/>
              <w:bottom w:val="single" w:sz="4" w:space="0" w:color="000000"/>
              <w:right w:val="single" w:sz="4" w:space="0" w:color="000000"/>
            </w:tcBorders>
          </w:tcPr>
          <w:p>
            <w:pPr>
              <w:rPr>
                <w:sz w:val="2"/>
                <w:szCs w:val="2"/>
              </w:rPr>
            </w:pPr>
          </w:p>
        </w:tc>
        <w:tc>
          <w:tcPr>
            <w:tcW w:w="2942" w:type="dxa"/>
            <w:vMerge w:val="restart"/>
            <w:tcBorders>
              <w:top w:val="nil"/>
              <w:left w:val="single" w:sz="4" w:space="0" w:color="000000"/>
            </w:tcBorders>
          </w:tcPr>
          <w:p>
            <w:pPr>
              <w:pStyle w:val="TableParagraph"/>
              <w:spacing w:before="0"/>
              <w:jc w:val="left"/>
              <w:rPr>
                <w:sz w:val="22"/>
              </w:rPr>
            </w:pPr>
          </w:p>
        </w:tc>
      </w:tr>
      <w:tr>
        <w:trPr>
          <w:trHeight w:val="346" w:hRule="atLeast"/>
        </w:trPr>
        <w:tc>
          <w:tcPr>
            <w:tcW w:w="643" w:type="dxa"/>
            <w:vMerge/>
            <w:tcBorders>
              <w:top w:val="nil"/>
              <w:right w:val="single" w:sz="4" w:space="0" w:color="000000"/>
            </w:tcBorders>
          </w:tcPr>
          <w:p>
            <w:pPr>
              <w:rPr>
                <w:sz w:val="2"/>
                <w:szCs w:val="2"/>
              </w:rPr>
            </w:pPr>
          </w:p>
        </w:tc>
        <w:tc>
          <w:tcPr>
            <w:tcW w:w="1452" w:type="dxa"/>
            <w:tcBorders>
              <w:top w:val="single" w:sz="4" w:space="0" w:color="000000"/>
              <w:left w:val="single" w:sz="4" w:space="0" w:color="000000"/>
              <w:right w:val="single" w:sz="4" w:space="0" w:color="000000"/>
            </w:tcBorders>
          </w:tcPr>
          <w:p>
            <w:pPr>
              <w:pStyle w:val="TableParagraph"/>
              <w:spacing w:before="47"/>
              <w:ind w:left="396" w:right="370"/>
              <w:rPr>
                <w:sz w:val="14"/>
              </w:rPr>
            </w:pPr>
            <w:r>
              <w:rPr>
                <w:position w:val="2"/>
                <w:sz w:val="21"/>
              </w:rPr>
              <w:t>NO</w:t>
            </w:r>
            <w:r>
              <w:rPr>
                <w:sz w:val="14"/>
              </w:rPr>
              <w:t>x</w:t>
            </w:r>
          </w:p>
        </w:tc>
        <w:tc>
          <w:tcPr>
            <w:tcW w:w="2265" w:type="dxa"/>
            <w:tcBorders>
              <w:top w:val="single" w:sz="4" w:space="0" w:color="000000"/>
              <w:left w:val="single" w:sz="4" w:space="0" w:color="000000"/>
              <w:right w:val="single" w:sz="4" w:space="0" w:color="000000"/>
            </w:tcBorders>
          </w:tcPr>
          <w:p>
            <w:pPr>
              <w:pStyle w:val="TableParagraph"/>
              <w:spacing w:before="48"/>
              <w:ind w:left="173" w:right="143"/>
              <w:rPr>
                <w:sz w:val="21"/>
              </w:rPr>
            </w:pPr>
            <w:r>
              <w:rPr>
                <w:sz w:val="21"/>
              </w:rPr>
              <w:t>0.478</w:t>
            </w:r>
          </w:p>
        </w:tc>
        <w:tc>
          <w:tcPr>
            <w:tcW w:w="2126" w:type="dxa"/>
            <w:tcBorders>
              <w:top w:val="single" w:sz="4" w:space="0" w:color="000000"/>
              <w:left w:val="single" w:sz="4" w:space="0" w:color="000000"/>
              <w:right w:val="single" w:sz="4" w:space="0" w:color="000000"/>
            </w:tcBorders>
          </w:tcPr>
          <w:p>
            <w:pPr>
              <w:pStyle w:val="TableParagraph"/>
              <w:spacing w:before="48"/>
              <w:ind w:left="105" w:right="73"/>
              <w:rPr>
                <w:sz w:val="21"/>
              </w:rPr>
            </w:pPr>
            <w:r>
              <w:rPr>
                <w:sz w:val="21"/>
              </w:rPr>
              <w:t>0.478</w:t>
            </w:r>
          </w:p>
        </w:tc>
        <w:tc>
          <w:tcPr>
            <w:tcW w:w="2942" w:type="dxa"/>
            <w:vMerge/>
            <w:tcBorders>
              <w:top w:val="nil"/>
              <w:left w:val="single" w:sz="4" w:space="0" w:color="000000"/>
            </w:tcBorders>
          </w:tcPr>
          <w:p>
            <w:pPr>
              <w:rPr>
                <w:sz w:val="2"/>
                <w:szCs w:val="2"/>
              </w:rPr>
            </w:pPr>
          </w:p>
        </w:tc>
      </w:tr>
    </w:tbl>
    <w:p>
      <w:pPr>
        <w:spacing w:after="0"/>
        <w:rPr>
          <w:sz w:val="2"/>
          <w:szCs w:val="2"/>
        </w:rPr>
        <w:sectPr>
          <w:pgSz w:w="11910" w:h="16840"/>
          <w:pgMar w:header="874" w:footer="1004" w:top="1420" w:bottom="1200" w:left="1040" w:right="1160"/>
        </w:sectPr>
      </w:pPr>
    </w:p>
    <w:p>
      <w:pPr>
        <w:pStyle w:val="Heading1"/>
      </w:pPr>
      <w:bookmarkStart w:name="_bookmark62" w:id="121"/>
      <w:bookmarkEnd w:id="121"/>
      <w:r>
        <w:rPr>
          <w:b w:val="0"/>
        </w:rPr>
      </w:r>
      <w:r>
        <w:rPr/>
        <w:t>第四章 环境现状调查与评价</w:t>
      </w:r>
    </w:p>
    <w:p>
      <w:pPr>
        <w:pStyle w:val="Heading2"/>
        <w:numPr>
          <w:ilvl w:val="1"/>
          <w:numId w:val="53"/>
        </w:numPr>
        <w:tabs>
          <w:tab w:pos="730" w:val="left" w:leader="none"/>
        </w:tabs>
        <w:spacing w:line="240" w:lineRule="auto" w:before="253" w:after="0"/>
        <w:ind w:left="729" w:right="0" w:hanging="493"/>
        <w:jc w:val="left"/>
      </w:pPr>
      <w:bookmarkStart w:name="_bookmark63" w:id="122"/>
      <w:bookmarkEnd w:id="122"/>
      <w:r>
        <w:rPr>
          <w:b w:val="0"/>
        </w:rPr>
      </w:r>
      <w:bookmarkStart w:name="_bookmark63" w:id="123"/>
      <w:bookmarkEnd w:id="123"/>
      <w:r>
        <w:rPr/>
        <w:t>自然环境现状</w:t>
      </w:r>
    </w:p>
    <w:p>
      <w:pPr>
        <w:pStyle w:val="ListParagraph"/>
        <w:numPr>
          <w:ilvl w:val="2"/>
          <w:numId w:val="53"/>
        </w:numPr>
        <w:tabs>
          <w:tab w:pos="838" w:val="left" w:leader="none"/>
        </w:tabs>
        <w:spacing w:line="240" w:lineRule="auto" w:before="214" w:after="0"/>
        <w:ind w:left="837" w:right="0" w:hanging="601"/>
        <w:jc w:val="left"/>
        <w:rPr>
          <w:b/>
          <w:sz w:val="24"/>
        </w:rPr>
      </w:pPr>
      <w:bookmarkStart w:name="_bookmark64" w:id="124"/>
      <w:bookmarkEnd w:id="124"/>
      <w:r>
        <w:rPr/>
      </w:r>
      <w:bookmarkStart w:name="_bookmark64" w:id="125"/>
      <w:bookmarkEnd w:id="125"/>
      <w:r>
        <w:rPr>
          <w:b/>
          <w:sz w:val="24"/>
        </w:rPr>
        <w:t>地理位置</w:t>
      </w:r>
    </w:p>
    <w:p>
      <w:pPr>
        <w:pStyle w:val="BodyText"/>
        <w:spacing w:line="364" w:lineRule="auto" w:before="160"/>
        <w:ind w:right="247" w:firstLine="480"/>
        <w:jc w:val="both"/>
      </w:pPr>
      <w:r>
        <w:rPr/>
        <w:t>柯桥区地处杭州湾南岸，会稽山北麓。东与上虞接界，东南和西南分别与嵊州、诸</w:t>
      </w:r>
      <w:r>
        <w:rPr>
          <w:spacing w:val="-16"/>
        </w:rPr>
        <w:t>暨毗邻，西和西南部与杭州萧山区接壤，北部濒海，腹部横亘越城区。位于北纬 </w:t>
      </w:r>
      <w:r>
        <w:rPr>
          <w:rFonts w:ascii="Times New Roman" w:hAnsi="Times New Roman" w:eastAsia="Times New Roman"/>
          <w:spacing w:val="-3"/>
        </w:rPr>
        <w:t>29°42′02″ </w:t>
      </w:r>
      <w:r>
        <w:rPr>
          <w:spacing w:val="-30"/>
        </w:rPr>
        <w:t>至 </w:t>
      </w:r>
      <w:r>
        <w:rPr>
          <w:rFonts w:ascii="Times New Roman" w:hAnsi="Times New Roman" w:eastAsia="Times New Roman"/>
        </w:rPr>
        <w:t>30°19′15″</w:t>
      </w:r>
      <w:r>
        <w:rPr>
          <w:spacing w:val="-15"/>
        </w:rPr>
        <w:t>，东经 </w:t>
      </w:r>
      <w:r>
        <w:rPr>
          <w:rFonts w:ascii="Times New Roman" w:hAnsi="Times New Roman" w:eastAsia="Times New Roman"/>
        </w:rPr>
        <w:t>120°16′55″</w:t>
      </w:r>
      <w:r>
        <w:rPr>
          <w:spacing w:val="-29"/>
        </w:rPr>
        <w:t>至 </w:t>
      </w:r>
      <w:r>
        <w:rPr>
          <w:rFonts w:ascii="Times New Roman" w:hAnsi="Times New Roman" w:eastAsia="Times New Roman"/>
        </w:rPr>
        <w:t>120°46′39″</w:t>
      </w:r>
      <w:r>
        <w:rPr>
          <w:spacing w:val="-9"/>
        </w:rPr>
        <w:t>之间，东西宽 </w:t>
      </w:r>
      <w:r>
        <w:rPr>
          <w:rFonts w:ascii="Times New Roman" w:hAnsi="Times New Roman" w:eastAsia="Times New Roman"/>
        </w:rPr>
        <w:t>46.6 </w:t>
      </w:r>
      <w:r>
        <w:rPr>
          <w:spacing w:val="-11"/>
        </w:rPr>
        <w:t>公里，南北长 </w:t>
      </w:r>
      <w:r>
        <w:rPr>
          <w:rFonts w:ascii="Times New Roman" w:hAnsi="Times New Roman" w:eastAsia="Times New Roman"/>
        </w:rPr>
        <w:t>68.5 </w:t>
      </w:r>
      <w:r>
        <w:rPr>
          <w:spacing w:val="-4"/>
        </w:rPr>
        <w:t>公里， </w:t>
      </w:r>
      <w:r>
        <w:rPr>
          <w:spacing w:val="-16"/>
        </w:rPr>
        <w:t>周边长 </w:t>
      </w:r>
      <w:r>
        <w:rPr>
          <w:rFonts w:ascii="Times New Roman" w:hAnsi="Times New Roman" w:eastAsia="Times New Roman"/>
        </w:rPr>
        <w:t>356.59 </w:t>
      </w:r>
      <w:r>
        <w:rPr/>
        <w:t>公里。</w:t>
      </w:r>
    </w:p>
    <w:p>
      <w:pPr>
        <w:pStyle w:val="BodyText"/>
        <w:spacing w:before="3"/>
        <w:ind w:left="717"/>
        <w:jc w:val="both"/>
      </w:pPr>
      <w:r>
        <w:rPr/>
        <w:pict>
          <v:group style="position:absolute;margin-left:108.150002pt;margin-top:20.910015pt;width:371.95pt;height:465.55pt;mso-position-horizontal-relative:page;mso-position-vertical-relative:paragraph;z-index:-251532288;mso-wrap-distance-left:0;mso-wrap-distance-right:0" coordorigin="2163,418" coordsize="7439,9311">
            <v:shape style="position:absolute;left:2193;top:448;width:7379;height:9251" type="#_x0000_t75" stroked="false">
              <v:imagedata r:id="rId44" o:title=""/>
            </v:shape>
            <v:rect style="position:absolute;left:2712;top:4792;width:1621;height:274" filled="true" fillcolor="#ffffff" stroked="false">
              <v:fill type="solid"/>
            </v:rect>
            <v:line style="position:absolute" from="2712,4791" to="4626,4791" stroked="true" strokeweight=".2pt" strokecolor="#ffffff">
              <v:stroke dashstyle="solid"/>
            </v:line>
            <v:line style="position:absolute" from="2712,4732" to="4690,4732" stroked="true" strokeweight="5.7pt" strokecolor="#ffffff">
              <v:stroke dashstyle="solid"/>
            </v:line>
            <v:line style="position:absolute" from="2712,4636" to="4333,4636" stroked="true" strokeweight="3.9pt" strokecolor="#ffffff">
              <v:stroke dashstyle="solid"/>
            </v:line>
            <v:shape style="position:absolute;left:2712;top:4596;width:2333;height:470" coordorigin="2712,4596" coordsize="2333,470" path="m2712,4596l3658,4596,4063,4596,4333,4596,4333,4675,5045,4789,4333,4792,4333,5066,4063,5066,3658,5066,2712,5066,2712,4792,2712,4675,2712,4596xe" filled="false" stroked="true" strokeweight=".75pt" strokecolor="#000000">
              <v:path arrowok="t"/>
              <v:stroke dashstyle="solid"/>
            </v:shape>
            <v:shape style="position:absolute;left:5001;top:4704;width:161;height:161" type="#_x0000_t75" stroked="false">
              <v:imagedata r:id="rId45" o:title=""/>
            </v:shape>
            <v:shape style="position:absolute;left:2178;top:433;width:7409;height:9281" type="#_x0000_t202" filled="false" stroked="true" strokeweight="1.5pt" strokecolor="#000000">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before="117"/>
                      <w:ind w:left="699" w:right="0" w:firstLine="0"/>
                      <w:jc w:val="left"/>
                      <w:rPr>
                        <w:sz w:val="18"/>
                      </w:rPr>
                    </w:pPr>
                    <w:r>
                      <w:rPr>
                        <w:sz w:val="18"/>
                      </w:rPr>
                      <w:t>本项目所在位置</w:t>
                    </w:r>
                  </w:p>
                </w:txbxContent>
              </v:textbox>
              <v:stroke dashstyle="solid"/>
              <w10:wrap type="none"/>
            </v:shape>
            <w10:wrap type="topAndBottom"/>
          </v:group>
        </w:pict>
      </w:r>
      <w:r>
        <w:rPr/>
        <w:t>本项目位于绍兴市柯桥区柯岩街道丰项村，详见图 </w:t>
      </w:r>
      <w:r>
        <w:rPr>
          <w:rFonts w:ascii="Times New Roman" w:eastAsia="Times New Roman"/>
        </w:rPr>
        <w:t>4.1-1</w:t>
      </w:r>
      <w:r>
        <w:rPr/>
        <w:t>。</w:t>
      </w:r>
    </w:p>
    <w:p>
      <w:pPr>
        <w:pStyle w:val="Heading3"/>
        <w:spacing w:before="19"/>
        <w:ind w:left="221" w:right="236"/>
        <w:jc w:val="center"/>
      </w:pPr>
      <w:r>
        <w:rPr/>
        <w:t>图 </w:t>
      </w:r>
      <w:r>
        <w:rPr>
          <w:rFonts w:ascii="Times New Roman" w:eastAsia="Times New Roman"/>
        </w:rPr>
        <w:t>4.1-1  </w:t>
      </w:r>
      <w:r>
        <w:rPr/>
        <w:t>项目地理位置示意图</w:t>
      </w:r>
    </w:p>
    <w:p>
      <w:pPr>
        <w:spacing w:after="0"/>
        <w:jc w:val="center"/>
        <w:sectPr>
          <w:pgSz w:w="11910" w:h="16840"/>
          <w:pgMar w:header="874" w:footer="1004" w:top="1420" w:bottom="1200" w:left="1040" w:right="1160"/>
        </w:sectPr>
      </w:pPr>
    </w:p>
    <w:p>
      <w:pPr>
        <w:pStyle w:val="BodyText"/>
        <w:spacing w:line="364" w:lineRule="auto" w:before="92"/>
        <w:ind w:right="251" w:firstLine="480"/>
        <w:jc w:val="both"/>
      </w:pPr>
      <w:r>
        <w:rPr>
          <w:spacing w:val="-8"/>
        </w:rPr>
        <w:t>根据现场调查，本拟建址位于丰项村西南侧约 </w:t>
      </w:r>
      <w:r>
        <w:rPr>
          <w:rFonts w:ascii="Times New Roman" w:eastAsia="Times New Roman"/>
        </w:rPr>
        <w:t>555m </w:t>
      </w:r>
      <w:r>
        <w:rPr>
          <w:spacing w:val="-10"/>
        </w:rPr>
        <w:t>处的山坳内，现状为农田。地块</w:t>
      </w:r>
      <w:r>
        <w:rPr/>
        <w:t>东、南侧紧邻山地，西侧紧邻农田及林地，北侧隔村道为农田及墓地；项里溪（发源自</w:t>
      </w:r>
      <w:r>
        <w:rPr>
          <w:spacing w:val="-16"/>
        </w:rPr>
        <w:t>上游约 </w:t>
      </w:r>
      <w:r>
        <w:rPr>
          <w:rFonts w:ascii="Times New Roman" w:eastAsia="Times New Roman"/>
        </w:rPr>
        <w:t>650m </w:t>
      </w:r>
      <w:r>
        <w:rPr/>
        <w:t>处的大洋水库</w:t>
      </w:r>
      <w:r>
        <w:rPr>
          <w:spacing w:val="-46"/>
        </w:rPr>
        <w:t>）</w:t>
      </w:r>
      <w:r>
        <w:rPr>
          <w:spacing w:val="-7"/>
        </w:rPr>
        <w:t>紧邻地块北侧通过，项里溪支流自西南侧穿过本项目汇入项</w:t>
      </w:r>
      <w:r>
        <w:rPr/>
        <w:t>里溪；项里江（鉴湖水域一般保护区）</w:t>
      </w:r>
      <w:r>
        <w:rPr>
          <w:spacing w:val="-2"/>
        </w:rPr>
        <w:t>位于本项目东北侧约 </w:t>
      </w:r>
      <w:r>
        <w:rPr>
          <w:rFonts w:ascii="Times New Roman" w:eastAsia="Times New Roman"/>
        </w:rPr>
        <w:t>1.3km </w:t>
      </w:r>
      <w:r>
        <w:rPr>
          <w:spacing w:val="-2"/>
        </w:rPr>
        <w:t>处。距本项目最近的</w:t>
      </w:r>
      <w:r>
        <w:rPr>
          <w:spacing w:val="-8"/>
        </w:rPr>
        <w:t>敏感点为北侧约 </w:t>
      </w:r>
      <w:r>
        <w:rPr>
          <w:rFonts w:ascii="Times New Roman" w:eastAsia="Times New Roman"/>
        </w:rPr>
        <w:t>555m </w:t>
      </w:r>
      <w:r>
        <w:rPr>
          <w:spacing w:val="-5"/>
        </w:rPr>
        <w:t>处的丰项村，其次为东南侧约 </w:t>
      </w:r>
      <w:r>
        <w:rPr>
          <w:rFonts w:ascii="Times New Roman" w:eastAsia="Times New Roman"/>
        </w:rPr>
        <w:t>980m </w:t>
      </w:r>
      <w:r>
        <w:rPr/>
        <w:t>处的新迪埠村。</w:t>
      </w:r>
    </w:p>
    <w:p>
      <w:pPr>
        <w:pStyle w:val="BodyText"/>
        <w:spacing w:before="3"/>
        <w:ind w:left="717"/>
        <w:jc w:val="both"/>
      </w:pPr>
      <w:r>
        <w:rPr/>
        <w:t>项目周围环境概况见表 </w:t>
      </w:r>
      <w:r>
        <w:rPr>
          <w:rFonts w:ascii="Times New Roman" w:eastAsia="Times New Roman"/>
        </w:rPr>
        <w:t>4.1-1 </w:t>
      </w:r>
      <w:r>
        <w:rPr/>
        <w:t>及图 </w:t>
      </w:r>
      <w:r>
        <w:rPr>
          <w:rFonts w:ascii="Times New Roman" w:eastAsia="Times New Roman"/>
        </w:rPr>
        <w:t>4.1-2</w:t>
      </w:r>
      <w:r>
        <w:rPr/>
        <w:t>。</w:t>
      </w:r>
    </w:p>
    <w:p>
      <w:pPr>
        <w:pStyle w:val="Heading3"/>
        <w:spacing w:before="105" w:after="24"/>
        <w:ind w:left="3420"/>
        <w:jc w:val="both"/>
      </w:pPr>
      <w:r>
        <w:rPr/>
        <w:t>表 </w:t>
      </w:r>
      <w:r>
        <w:rPr>
          <w:rFonts w:ascii="Times New Roman" w:eastAsia="Times New Roman"/>
        </w:rPr>
        <w:t>4.1-1  </w:t>
      </w:r>
      <w:r>
        <w:rPr/>
        <w:t>项目周边环境概况</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38"/>
        <w:gridCol w:w="3320"/>
        <w:gridCol w:w="4573"/>
      </w:tblGrid>
      <w:tr>
        <w:trPr>
          <w:trHeight w:val="359" w:hRule="atLeast"/>
        </w:trPr>
        <w:tc>
          <w:tcPr>
            <w:tcW w:w="1538" w:type="dxa"/>
            <w:tcBorders>
              <w:bottom w:val="single" w:sz="6" w:space="0" w:color="000000"/>
              <w:right w:val="single" w:sz="6" w:space="0" w:color="000000"/>
            </w:tcBorders>
          </w:tcPr>
          <w:p>
            <w:pPr>
              <w:pStyle w:val="TableParagraph"/>
              <w:spacing w:before="46"/>
              <w:ind w:left="536" w:right="517"/>
              <w:rPr>
                <w:rFonts w:ascii="宋体" w:eastAsia="宋体" w:hint="eastAsia"/>
                <w:b/>
                <w:sz w:val="21"/>
              </w:rPr>
            </w:pPr>
            <w:r>
              <w:rPr>
                <w:rFonts w:ascii="宋体" w:eastAsia="宋体" w:hint="eastAsia"/>
                <w:b/>
                <w:sz w:val="21"/>
              </w:rPr>
              <w:t>方位</w:t>
            </w:r>
          </w:p>
        </w:tc>
        <w:tc>
          <w:tcPr>
            <w:tcW w:w="3320" w:type="dxa"/>
            <w:tcBorders>
              <w:left w:val="single" w:sz="6" w:space="0" w:color="000000"/>
              <w:bottom w:val="single" w:sz="6" w:space="0" w:color="000000"/>
              <w:right w:val="single" w:sz="6" w:space="0" w:color="000000"/>
            </w:tcBorders>
          </w:tcPr>
          <w:p>
            <w:pPr>
              <w:pStyle w:val="TableParagraph"/>
              <w:spacing w:before="46"/>
              <w:ind w:left="699" w:right="667"/>
              <w:rPr>
                <w:rFonts w:ascii="宋体" w:eastAsia="宋体" w:hint="eastAsia"/>
                <w:b/>
                <w:sz w:val="21"/>
              </w:rPr>
            </w:pPr>
            <w:r>
              <w:rPr>
                <w:rFonts w:ascii="宋体" w:eastAsia="宋体" w:hint="eastAsia"/>
                <w:b/>
                <w:sz w:val="21"/>
              </w:rPr>
              <w:t>与厂界距离</w:t>
            </w:r>
          </w:p>
        </w:tc>
        <w:tc>
          <w:tcPr>
            <w:tcW w:w="4573" w:type="dxa"/>
            <w:tcBorders>
              <w:left w:val="single" w:sz="6" w:space="0" w:color="000000"/>
              <w:bottom w:val="single" w:sz="6" w:space="0" w:color="000000"/>
            </w:tcBorders>
          </w:tcPr>
          <w:p>
            <w:pPr>
              <w:pStyle w:val="TableParagraph"/>
              <w:spacing w:before="46"/>
              <w:ind w:left="220" w:right="185"/>
              <w:rPr>
                <w:rFonts w:ascii="宋体" w:eastAsia="宋体" w:hint="eastAsia"/>
                <w:b/>
                <w:sz w:val="21"/>
              </w:rPr>
            </w:pPr>
            <w:r>
              <w:rPr>
                <w:rFonts w:ascii="宋体" w:eastAsia="宋体" w:hint="eastAsia"/>
                <w:b/>
                <w:sz w:val="21"/>
              </w:rPr>
              <w:t>名称</w:t>
            </w:r>
          </w:p>
        </w:tc>
      </w:tr>
      <w:tr>
        <w:trPr>
          <w:trHeight w:val="360" w:hRule="atLeast"/>
        </w:trPr>
        <w:tc>
          <w:tcPr>
            <w:tcW w:w="1538" w:type="dxa"/>
            <w:tcBorders>
              <w:top w:val="single" w:sz="6" w:space="0" w:color="000000"/>
              <w:bottom w:val="single" w:sz="6" w:space="0" w:color="000000"/>
              <w:right w:val="single" w:sz="6" w:space="0" w:color="000000"/>
            </w:tcBorders>
          </w:tcPr>
          <w:p>
            <w:pPr>
              <w:pStyle w:val="TableParagraph"/>
              <w:spacing w:before="47"/>
              <w:ind w:left="19"/>
              <w:rPr>
                <w:rFonts w:ascii="宋体" w:eastAsia="宋体" w:hint="eastAsia"/>
                <w:sz w:val="21"/>
              </w:rPr>
            </w:pPr>
            <w:r>
              <w:rPr>
                <w:rFonts w:ascii="宋体" w:eastAsia="宋体" w:hint="eastAsia"/>
                <w:w w:val="100"/>
                <w:sz w:val="21"/>
              </w:rPr>
              <w:t>东</w:t>
            </w: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47"/>
              <w:ind w:left="699" w:right="667"/>
              <w:rPr>
                <w:rFonts w:ascii="宋体" w:eastAsia="宋体" w:hint="eastAsia"/>
                <w:sz w:val="21"/>
              </w:rPr>
            </w:pPr>
            <w:r>
              <w:rPr>
                <w:rFonts w:ascii="宋体" w:eastAsia="宋体" w:hint="eastAsia"/>
                <w:sz w:val="21"/>
              </w:rPr>
              <w:t>紧邻</w:t>
            </w:r>
          </w:p>
        </w:tc>
        <w:tc>
          <w:tcPr>
            <w:tcW w:w="4573" w:type="dxa"/>
            <w:tcBorders>
              <w:top w:val="single" w:sz="6" w:space="0" w:color="000000"/>
              <w:left w:val="single" w:sz="6" w:space="0" w:color="000000"/>
              <w:bottom w:val="single" w:sz="6" w:space="0" w:color="000000"/>
            </w:tcBorders>
          </w:tcPr>
          <w:p>
            <w:pPr>
              <w:pStyle w:val="TableParagraph"/>
              <w:spacing w:before="47"/>
              <w:ind w:left="224" w:right="185"/>
              <w:rPr>
                <w:rFonts w:ascii="宋体" w:eastAsia="宋体" w:hint="eastAsia"/>
                <w:sz w:val="21"/>
              </w:rPr>
            </w:pPr>
            <w:r>
              <w:rPr>
                <w:rFonts w:ascii="宋体" w:eastAsia="宋体" w:hint="eastAsia"/>
                <w:sz w:val="21"/>
              </w:rPr>
              <w:t>山体</w:t>
            </w:r>
          </w:p>
        </w:tc>
      </w:tr>
      <w:tr>
        <w:trPr>
          <w:trHeight w:val="359" w:hRule="atLeast"/>
        </w:trPr>
        <w:tc>
          <w:tcPr>
            <w:tcW w:w="1538"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9"/>
              <w:rPr>
                <w:rFonts w:ascii="宋体" w:eastAsia="宋体" w:hint="eastAsia"/>
                <w:sz w:val="21"/>
              </w:rPr>
            </w:pPr>
            <w:r>
              <w:rPr>
                <w:rFonts w:ascii="宋体" w:eastAsia="宋体" w:hint="eastAsia"/>
                <w:w w:val="100"/>
                <w:sz w:val="21"/>
              </w:rPr>
              <w:t>南</w:t>
            </w: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44"/>
              <w:ind w:left="699" w:right="667"/>
              <w:rPr>
                <w:rFonts w:ascii="宋体" w:eastAsia="宋体" w:hint="eastAsia"/>
                <w:sz w:val="21"/>
              </w:rPr>
            </w:pPr>
            <w:r>
              <w:rPr>
                <w:rFonts w:ascii="宋体" w:eastAsia="宋体" w:hint="eastAsia"/>
                <w:sz w:val="21"/>
              </w:rPr>
              <w:t>紧邻</w:t>
            </w:r>
          </w:p>
        </w:tc>
        <w:tc>
          <w:tcPr>
            <w:tcW w:w="4573" w:type="dxa"/>
            <w:tcBorders>
              <w:top w:val="single" w:sz="6" w:space="0" w:color="000000"/>
              <w:left w:val="single" w:sz="6" w:space="0" w:color="000000"/>
              <w:bottom w:val="single" w:sz="6" w:space="0" w:color="000000"/>
            </w:tcBorders>
          </w:tcPr>
          <w:p>
            <w:pPr>
              <w:pStyle w:val="TableParagraph"/>
              <w:spacing w:before="44"/>
              <w:ind w:left="224" w:right="185"/>
              <w:rPr>
                <w:rFonts w:ascii="宋体" w:eastAsia="宋体" w:hint="eastAsia"/>
                <w:sz w:val="21"/>
              </w:rPr>
            </w:pPr>
            <w:r>
              <w:rPr>
                <w:rFonts w:ascii="宋体" w:eastAsia="宋体" w:hint="eastAsia"/>
                <w:sz w:val="21"/>
              </w:rPr>
              <w:t>山体</w:t>
            </w:r>
          </w:p>
        </w:tc>
      </w:tr>
      <w:tr>
        <w:trPr>
          <w:trHeight w:val="359" w:hRule="atLeast"/>
        </w:trPr>
        <w:tc>
          <w:tcPr>
            <w:tcW w:w="1538" w:type="dxa"/>
            <w:vMerge/>
            <w:tcBorders>
              <w:top w:val="nil"/>
              <w:bottom w:val="single" w:sz="6" w:space="0" w:color="000000"/>
              <w:right w:val="single" w:sz="6" w:space="0" w:color="000000"/>
            </w:tcBorders>
          </w:tcPr>
          <w:p>
            <w:pPr>
              <w:rPr>
                <w:sz w:val="2"/>
                <w:szCs w:val="2"/>
              </w:rPr>
            </w:pP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44"/>
              <w:ind w:left="699" w:right="669"/>
              <w:rPr>
                <w:sz w:val="21"/>
              </w:rPr>
            </w:pPr>
            <w:r>
              <w:rPr>
                <w:rFonts w:ascii="宋体" w:eastAsia="宋体" w:hint="eastAsia"/>
                <w:sz w:val="21"/>
              </w:rPr>
              <w:t>东南约 </w:t>
            </w:r>
            <w:r>
              <w:rPr>
                <w:sz w:val="21"/>
              </w:rPr>
              <w:t>980m</w:t>
            </w:r>
          </w:p>
        </w:tc>
        <w:tc>
          <w:tcPr>
            <w:tcW w:w="4573" w:type="dxa"/>
            <w:tcBorders>
              <w:top w:val="single" w:sz="6" w:space="0" w:color="000000"/>
              <w:left w:val="single" w:sz="6" w:space="0" w:color="000000"/>
              <w:bottom w:val="single" w:sz="6" w:space="0" w:color="000000"/>
            </w:tcBorders>
          </w:tcPr>
          <w:p>
            <w:pPr>
              <w:pStyle w:val="TableParagraph"/>
              <w:spacing w:before="44"/>
              <w:ind w:left="221" w:right="185"/>
              <w:rPr>
                <w:rFonts w:ascii="宋体" w:eastAsia="宋体" w:hint="eastAsia"/>
                <w:sz w:val="21"/>
              </w:rPr>
            </w:pPr>
            <w:r>
              <w:rPr>
                <w:rFonts w:ascii="宋体" w:eastAsia="宋体" w:hint="eastAsia"/>
                <w:sz w:val="21"/>
              </w:rPr>
              <w:t>福全街道新迪埠村</w:t>
            </w:r>
          </w:p>
        </w:tc>
      </w:tr>
      <w:tr>
        <w:trPr>
          <w:trHeight w:val="357" w:hRule="atLeast"/>
        </w:trPr>
        <w:tc>
          <w:tcPr>
            <w:tcW w:w="1538"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9"/>
              <w:rPr>
                <w:rFonts w:ascii="宋体" w:eastAsia="宋体" w:hint="eastAsia"/>
                <w:sz w:val="21"/>
              </w:rPr>
            </w:pPr>
            <w:r>
              <w:rPr>
                <w:rFonts w:ascii="宋体" w:eastAsia="宋体" w:hint="eastAsia"/>
                <w:w w:val="100"/>
                <w:sz w:val="21"/>
              </w:rPr>
              <w:t>西</w:t>
            </w: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44"/>
              <w:ind w:left="699" w:right="667"/>
              <w:rPr>
                <w:rFonts w:ascii="宋体" w:eastAsia="宋体" w:hint="eastAsia"/>
                <w:sz w:val="21"/>
              </w:rPr>
            </w:pPr>
            <w:r>
              <w:rPr>
                <w:rFonts w:ascii="宋体" w:eastAsia="宋体" w:hint="eastAsia"/>
                <w:sz w:val="21"/>
              </w:rPr>
              <w:t>紧邻</w:t>
            </w:r>
          </w:p>
        </w:tc>
        <w:tc>
          <w:tcPr>
            <w:tcW w:w="4573" w:type="dxa"/>
            <w:tcBorders>
              <w:top w:val="single" w:sz="6" w:space="0" w:color="000000"/>
              <w:left w:val="single" w:sz="6" w:space="0" w:color="000000"/>
              <w:bottom w:val="single" w:sz="6" w:space="0" w:color="000000"/>
            </w:tcBorders>
          </w:tcPr>
          <w:p>
            <w:pPr>
              <w:pStyle w:val="TableParagraph"/>
              <w:spacing w:before="44"/>
              <w:ind w:left="222" w:right="185"/>
              <w:rPr>
                <w:rFonts w:ascii="宋体" w:eastAsia="宋体" w:hint="eastAsia"/>
                <w:sz w:val="21"/>
              </w:rPr>
            </w:pPr>
            <w:r>
              <w:rPr>
                <w:rFonts w:ascii="宋体" w:eastAsia="宋体" w:hint="eastAsia"/>
                <w:sz w:val="21"/>
              </w:rPr>
              <w:t>农田、林地</w:t>
            </w:r>
          </w:p>
        </w:tc>
      </w:tr>
      <w:tr>
        <w:trPr>
          <w:trHeight w:val="359" w:hRule="atLeast"/>
        </w:trPr>
        <w:tc>
          <w:tcPr>
            <w:tcW w:w="1538" w:type="dxa"/>
            <w:vMerge/>
            <w:tcBorders>
              <w:top w:val="nil"/>
              <w:bottom w:val="single" w:sz="6" w:space="0" w:color="000000"/>
              <w:right w:val="single" w:sz="6" w:space="0" w:color="000000"/>
            </w:tcBorders>
          </w:tcPr>
          <w:p>
            <w:pPr>
              <w:rPr>
                <w:sz w:val="2"/>
                <w:szCs w:val="2"/>
              </w:rPr>
            </w:pP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46"/>
              <w:ind w:left="699" w:right="666"/>
              <w:rPr>
                <w:sz w:val="21"/>
              </w:rPr>
            </w:pPr>
            <w:r>
              <w:rPr>
                <w:rFonts w:ascii="宋体" w:eastAsia="宋体" w:hint="eastAsia"/>
                <w:sz w:val="21"/>
              </w:rPr>
              <w:t>约 </w:t>
            </w:r>
            <w:r>
              <w:rPr>
                <w:sz w:val="21"/>
              </w:rPr>
              <w:t>650m</w:t>
            </w:r>
          </w:p>
        </w:tc>
        <w:tc>
          <w:tcPr>
            <w:tcW w:w="4573" w:type="dxa"/>
            <w:tcBorders>
              <w:top w:val="single" w:sz="6" w:space="0" w:color="000000"/>
              <w:left w:val="single" w:sz="6" w:space="0" w:color="000000"/>
              <w:bottom w:val="single" w:sz="6" w:space="0" w:color="000000"/>
            </w:tcBorders>
          </w:tcPr>
          <w:p>
            <w:pPr>
              <w:pStyle w:val="TableParagraph"/>
              <w:spacing w:before="46"/>
              <w:ind w:left="224" w:right="185"/>
              <w:rPr>
                <w:rFonts w:ascii="宋体" w:eastAsia="宋体" w:hint="eastAsia"/>
                <w:sz w:val="21"/>
              </w:rPr>
            </w:pPr>
            <w:r>
              <w:rPr>
                <w:rFonts w:ascii="宋体" w:eastAsia="宋体" w:hint="eastAsia"/>
                <w:sz w:val="21"/>
              </w:rPr>
              <w:t>大洋水库（与本项目拟建址有约 </w:t>
            </w:r>
            <w:r>
              <w:rPr>
                <w:sz w:val="21"/>
              </w:rPr>
              <w:t>30m </w:t>
            </w:r>
            <w:r>
              <w:rPr>
                <w:rFonts w:ascii="宋体" w:eastAsia="宋体" w:hint="eastAsia"/>
                <w:sz w:val="21"/>
              </w:rPr>
              <w:t>高差）</w:t>
            </w:r>
          </w:p>
        </w:tc>
      </w:tr>
      <w:tr>
        <w:trPr>
          <w:trHeight w:val="351" w:hRule="atLeast"/>
        </w:trPr>
        <w:tc>
          <w:tcPr>
            <w:tcW w:w="1538"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27"/>
              </w:rPr>
            </w:pPr>
          </w:p>
          <w:p>
            <w:pPr>
              <w:pStyle w:val="TableParagraph"/>
              <w:spacing w:before="0"/>
              <w:ind w:left="19"/>
              <w:rPr>
                <w:rFonts w:ascii="宋体" w:eastAsia="宋体" w:hint="eastAsia"/>
                <w:sz w:val="21"/>
              </w:rPr>
            </w:pPr>
            <w:r>
              <w:rPr>
                <w:rFonts w:ascii="宋体" w:eastAsia="宋体" w:hint="eastAsia"/>
                <w:w w:val="100"/>
                <w:sz w:val="21"/>
              </w:rPr>
              <w:t>北</w:t>
            </w: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44"/>
              <w:ind w:left="699" w:right="667"/>
              <w:rPr>
                <w:rFonts w:ascii="宋体" w:eastAsia="宋体" w:hint="eastAsia"/>
                <w:sz w:val="21"/>
              </w:rPr>
            </w:pPr>
            <w:r>
              <w:rPr>
                <w:rFonts w:ascii="宋体" w:eastAsia="宋体" w:hint="eastAsia"/>
                <w:sz w:val="21"/>
              </w:rPr>
              <w:t>紧邻</w:t>
            </w:r>
          </w:p>
        </w:tc>
        <w:tc>
          <w:tcPr>
            <w:tcW w:w="4573" w:type="dxa"/>
            <w:tcBorders>
              <w:top w:val="single" w:sz="6" w:space="0" w:color="000000"/>
              <w:left w:val="single" w:sz="6" w:space="0" w:color="000000"/>
              <w:bottom w:val="single" w:sz="6" w:space="0" w:color="000000"/>
            </w:tcBorders>
          </w:tcPr>
          <w:p>
            <w:pPr>
              <w:pStyle w:val="TableParagraph"/>
              <w:spacing w:before="44"/>
              <w:ind w:left="224" w:right="184"/>
              <w:rPr>
                <w:rFonts w:ascii="宋体" w:eastAsia="宋体" w:hint="eastAsia"/>
                <w:sz w:val="21"/>
              </w:rPr>
            </w:pPr>
            <w:r>
              <w:rPr>
                <w:rFonts w:ascii="宋体" w:eastAsia="宋体" w:hint="eastAsia"/>
                <w:sz w:val="21"/>
              </w:rPr>
              <w:t>项里溪、村道</w:t>
            </w:r>
          </w:p>
        </w:tc>
      </w:tr>
      <w:tr>
        <w:trPr>
          <w:trHeight w:val="344" w:hRule="atLeast"/>
        </w:trPr>
        <w:tc>
          <w:tcPr>
            <w:tcW w:w="1538" w:type="dxa"/>
            <w:vMerge/>
            <w:tcBorders>
              <w:top w:val="nil"/>
              <w:right w:val="single" w:sz="6" w:space="0" w:color="000000"/>
            </w:tcBorders>
          </w:tcPr>
          <w:p>
            <w:pPr>
              <w:rPr>
                <w:sz w:val="2"/>
                <w:szCs w:val="2"/>
              </w:rPr>
            </w:pP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36"/>
              <w:ind w:left="699" w:right="666"/>
              <w:rPr>
                <w:sz w:val="21"/>
              </w:rPr>
            </w:pPr>
            <w:r>
              <w:rPr>
                <w:rFonts w:ascii="宋体" w:eastAsia="宋体" w:hint="eastAsia"/>
                <w:sz w:val="21"/>
              </w:rPr>
              <w:t>约 </w:t>
            </w:r>
            <w:r>
              <w:rPr>
                <w:sz w:val="21"/>
              </w:rPr>
              <w:t>15m</w:t>
            </w:r>
          </w:p>
        </w:tc>
        <w:tc>
          <w:tcPr>
            <w:tcW w:w="4573" w:type="dxa"/>
            <w:tcBorders>
              <w:top w:val="single" w:sz="6" w:space="0" w:color="000000"/>
              <w:left w:val="single" w:sz="6" w:space="0" w:color="000000"/>
              <w:bottom w:val="single" w:sz="6" w:space="0" w:color="000000"/>
            </w:tcBorders>
          </w:tcPr>
          <w:p>
            <w:pPr>
              <w:pStyle w:val="TableParagraph"/>
              <w:spacing w:before="36"/>
              <w:ind w:left="222" w:right="185"/>
              <w:rPr>
                <w:rFonts w:ascii="宋体" w:eastAsia="宋体" w:hint="eastAsia"/>
                <w:sz w:val="21"/>
              </w:rPr>
            </w:pPr>
            <w:r>
              <w:rPr>
                <w:rFonts w:ascii="宋体" w:eastAsia="宋体" w:hint="eastAsia"/>
                <w:sz w:val="21"/>
              </w:rPr>
              <w:t>农田、墓地</w:t>
            </w:r>
          </w:p>
        </w:tc>
      </w:tr>
      <w:tr>
        <w:trPr>
          <w:trHeight w:val="341" w:hRule="atLeast"/>
        </w:trPr>
        <w:tc>
          <w:tcPr>
            <w:tcW w:w="1538" w:type="dxa"/>
            <w:vMerge/>
            <w:tcBorders>
              <w:top w:val="nil"/>
              <w:right w:val="single" w:sz="6" w:space="0" w:color="000000"/>
            </w:tcBorders>
          </w:tcPr>
          <w:p>
            <w:pPr>
              <w:rPr>
                <w:sz w:val="2"/>
                <w:szCs w:val="2"/>
              </w:rPr>
            </w:pPr>
          </w:p>
        </w:tc>
        <w:tc>
          <w:tcPr>
            <w:tcW w:w="3320" w:type="dxa"/>
            <w:tcBorders>
              <w:top w:val="single" w:sz="6" w:space="0" w:color="000000"/>
              <w:left w:val="single" w:sz="6" w:space="0" w:color="000000"/>
              <w:bottom w:val="single" w:sz="6" w:space="0" w:color="000000"/>
              <w:right w:val="single" w:sz="6" w:space="0" w:color="000000"/>
            </w:tcBorders>
          </w:tcPr>
          <w:p>
            <w:pPr>
              <w:pStyle w:val="TableParagraph"/>
              <w:spacing w:before="36"/>
              <w:ind w:left="699" w:right="670"/>
              <w:rPr>
                <w:rFonts w:ascii="宋体" w:eastAsia="宋体" w:hint="eastAsia"/>
                <w:sz w:val="21"/>
              </w:rPr>
            </w:pPr>
            <w:r>
              <w:rPr>
                <w:rFonts w:ascii="宋体" w:eastAsia="宋体" w:hint="eastAsia"/>
                <w:sz w:val="21"/>
              </w:rPr>
              <w:t>约 </w:t>
            </w:r>
            <w:r>
              <w:rPr>
                <w:sz w:val="21"/>
              </w:rPr>
              <w:t>555m</w:t>
            </w:r>
            <w:r>
              <w:rPr>
                <w:rFonts w:ascii="宋体" w:eastAsia="宋体" w:hint="eastAsia"/>
                <w:sz w:val="21"/>
              </w:rPr>
              <w:t>（东北侧）</w:t>
            </w:r>
          </w:p>
        </w:tc>
        <w:tc>
          <w:tcPr>
            <w:tcW w:w="4573" w:type="dxa"/>
            <w:tcBorders>
              <w:top w:val="single" w:sz="6" w:space="0" w:color="000000"/>
              <w:left w:val="single" w:sz="6" w:space="0" w:color="000000"/>
              <w:bottom w:val="single" w:sz="6" w:space="0" w:color="000000"/>
            </w:tcBorders>
          </w:tcPr>
          <w:p>
            <w:pPr>
              <w:pStyle w:val="TableParagraph"/>
              <w:spacing w:before="36"/>
              <w:ind w:left="223" w:right="185"/>
              <w:rPr>
                <w:rFonts w:ascii="宋体" w:eastAsia="宋体" w:hint="eastAsia"/>
                <w:sz w:val="21"/>
              </w:rPr>
            </w:pPr>
            <w:r>
              <w:rPr>
                <w:rFonts w:ascii="宋体" w:eastAsia="宋体" w:hint="eastAsia"/>
                <w:sz w:val="21"/>
              </w:rPr>
              <w:t>柯岩街道丰项村</w:t>
            </w:r>
          </w:p>
        </w:tc>
      </w:tr>
      <w:tr>
        <w:trPr>
          <w:trHeight w:val="351" w:hRule="atLeast"/>
        </w:trPr>
        <w:tc>
          <w:tcPr>
            <w:tcW w:w="1538" w:type="dxa"/>
            <w:vMerge/>
            <w:tcBorders>
              <w:top w:val="nil"/>
              <w:right w:val="single" w:sz="6" w:space="0" w:color="000000"/>
            </w:tcBorders>
          </w:tcPr>
          <w:p>
            <w:pPr>
              <w:rPr>
                <w:sz w:val="2"/>
                <w:szCs w:val="2"/>
              </w:rPr>
            </w:pPr>
          </w:p>
        </w:tc>
        <w:tc>
          <w:tcPr>
            <w:tcW w:w="3320" w:type="dxa"/>
            <w:tcBorders>
              <w:top w:val="single" w:sz="6" w:space="0" w:color="000000"/>
              <w:left w:val="single" w:sz="6" w:space="0" w:color="000000"/>
              <w:right w:val="single" w:sz="6" w:space="0" w:color="000000"/>
            </w:tcBorders>
          </w:tcPr>
          <w:p>
            <w:pPr>
              <w:pStyle w:val="TableParagraph"/>
              <w:spacing w:before="39"/>
              <w:ind w:left="699" w:right="670"/>
              <w:rPr>
                <w:rFonts w:ascii="宋体" w:eastAsia="宋体" w:hint="eastAsia"/>
                <w:sz w:val="21"/>
              </w:rPr>
            </w:pPr>
            <w:r>
              <w:rPr>
                <w:rFonts w:ascii="宋体" w:eastAsia="宋体" w:hint="eastAsia"/>
                <w:sz w:val="21"/>
              </w:rPr>
              <w:t>约 </w:t>
            </w:r>
            <w:r>
              <w:rPr>
                <w:sz w:val="21"/>
              </w:rPr>
              <w:t>1.3km</w:t>
            </w:r>
            <w:r>
              <w:rPr>
                <w:rFonts w:ascii="宋体" w:eastAsia="宋体" w:hint="eastAsia"/>
                <w:sz w:val="21"/>
              </w:rPr>
              <w:t>（东北侧）</w:t>
            </w:r>
          </w:p>
        </w:tc>
        <w:tc>
          <w:tcPr>
            <w:tcW w:w="4573" w:type="dxa"/>
            <w:tcBorders>
              <w:top w:val="single" w:sz="6" w:space="0" w:color="000000"/>
              <w:left w:val="single" w:sz="6" w:space="0" w:color="000000"/>
            </w:tcBorders>
          </w:tcPr>
          <w:p>
            <w:pPr>
              <w:pStyle w:val="TableParagraph"/>
              <w:spacing w:before="39"/>
              <w:ind w:left="221" w:right="185"/>
              <w:rPr>
                <w:rFonts w:ascii="宋体" w:eastAsia="宋体" w:hint="eastAsia"/>
                <w:sz w:val="21"/>
              </w:rPr>
            </w:pPr>
            <w:r>
              <w:rPr>
                <w:rFonts w:ascii="宋体" w:eastAsia="宋体" w:hint="eastAsia"/>
                <w:sz w:val="21"/>
              </w:rPr>
              <w:t>项里江（鉴湖水域一般保护区）</w:t>
            </w:r>
          </w:p>
        </w:tc>
      </w:tr>
    </w:tbl>
    <w:p>
      <w:pPr>
        <w:pStyle w:val="BodyText"/>
        <w:ind w:left="253"/>
        <w:rPr>
          <w:sz w:val="20"/>
        </w:rPr>
      </w:pPr>
      <w:r>
        <w:rPr>
          <w:sz w:val="20"/>
        </w:rPr>
        <w:pict>
          <v:group style="width:458.4pt;height:325pt;mso-position-horizontal-relative:char;mso-position-vertical-relative:line" coordorigin="0,0" coordsize="9168,6500">
            <v:shape style="position:absolute;left:30;top:30;width:9108;height:6440" type="#_x0000_t75" stroked="false">
              <v:imagedata r:id="rId46" o:title=""/>
            </v:shape>
            <v:rect style="position:absolute;left:15;top:15;width:9138;height:6470" filled="false" stroked="true" strokeweight="1.5pt" strokecolor="#000000">
              <v:stroke dashstyle="solid"/>
            </v:rect>
            <v:shape style="position:absolute;left:3407;top:3405;width:1093;height:795" coordorigin="3407,3406" coordsize="1093,795" path="m3814,3426l3869,3434,3926,3432,3926,3449,3998,3449,4025,3461,4071,3494,4107,3519,4143,3553,4223,3558,4233,3572,4255,3577,4275,3559,4299,3504,4326,3461,4364,3424,4397,3413,4445,3406,4449,3415,4474,3408,4489,3515,4487,3593,4478,3654,4500,3678,4475,3781,4461,3793,4371,3828,4257,3955,4255,4066,4298,4191,4065,4201,4047,4190,4006,4181,3997,4136,4005,4110,4028,3950,3974,3909,3943,3932,3890,3956,3826,3993,3699,4043,3597,4098,3407,3984,3584,3971,3823,3913,3814,3426xe" filled="false" stroked="true" strokeweight="1.5pt" strokecolor="#ff0000">
              <v:path arrowok="t"/>
              <v:stroke dashstyle="solid"/>
            </v:shape>
            <v:shape style="position:absolute;left:4213;top:2262;width:361;height:946" type="#_x0000_t75" stroked="false">
              <v:imagedata r:id="rId47" o:title=""/>
            </v:shape>
            <v:shape style="position:absolute;left:4241;top:2488;width:297;height:492" coordorigin="4242,2488" coordsize="297,492" path="m4300,2488l4242,2950,4480,2980,4538,2518,4300,2488xe" filled="true" fillcolor="#e4e4e4" stroked="false">
              <v:path arrowok="t"/>
              <v:fill type="solid"/>
            </v:shape>
            <v:shape style="position:absolute;left:4332;top:2847;width:121;height:118" type="#_x0000_t75" stroked="false">
              <v:imagedata r:id="rId48" o:title=""/>
            </v:shape>
            <v:shape style="position:absolute;left:4370;top:2514;width:120;height:290" type="#_x0000_t75" stroked="false">
              <v:imagedata r:id="rId49" o:title=""/>
            </v:shape>
            <v:shape style="position:absolute;left:1688;top:3816;width:188;height:387" type="#_x0000_t75" stroked="false">
              <v:imagedata r:id="rId50" o:title=""/>
            </v:shape>
            <v:shape style="position:absolute;left:1689;top:3543;width:559;height:498" coordorigin="1689,3544" coordsize="559,498" path="m2192,3803l2057,3803,2098,3844,2125,4042,2180,4001,2192,3803xm1730,3619l1778,3687,1744,3756,1689,3797,1784,3817,2057,3803,2192,3803,2193,3776,2245,3667,1894,3667,1839,3640,1730,3619xm2139,3544l2030,3626,1894,3667,2245,3667,2248,3660,2139,3544xe" filled="true" fillcolor="#00afef" stroked="false">
              <v:path arrowok="t"/>
              <v:fill opacity="19789f" type="solid"/>
            </v:shape>
            <v:shape style="position:absolute;left:1689;top:3543;width:559;height:498" coordorigin="1689,3544" coordsize="559,498" path="m2139,3544l2030,3626,1894,3667,1839,3640,1730,3619,1778,3687,1744,3756,1689,3797,1784,3817,2057,3803,2098,3844,2125,4042,2180,4001,2193,3776,2248,3660,2139,3544xe" filled="false" stroked="true" strokeweight="1.5pt" strokecolor="#00afef">
              <v:path arrowok="t"/>
              <v:stroke dashstyle="solid"/>
            </v:shape>
            <v:shape style="position:absolute;left:2560;top:3578;width:1693;height:1421" coordorigin="2560,3579" coordsize="1693,1421" path="m4253,3579l4193,3661,4135,3739,4081,3809,4033,3868,3962,3935,3943,3933,3930,3924,3914,3924,3897,3938,3881,3957,3861,3978,3799,4014,3711,4047,3586,4086,3504,4108,3426,4130,3366,4151,3334,4168,3319,4183,3311,4198,3299,4219,3284,4246,3271,4277,3253,4310,3225,4342,3178,4373,3118,4404,3059,4435,3016,4465,2998,4494,2996,4523,2993,4552,2972,4582,2924,4612,2859,4644,2790,4676,2732,4711,2649,4791,2591,4871,2565,4938,2561,4969,2560,5000e" filled="false" stroked="true" strokeweight=".75pt" strokecolor="#00afef">
              <v:path arrowok="t"/>
              <v:stroke dashstyle="solid"/>
            </v:shape>
            <v:shape style="position:absolute;left:2250;top:3603;width:1599;height:120" coordorigin="2250,3604" coordsize="1599,120" path="m2370,3604l2250,3664,2370,3724,2337,3674,2330,3674,2330,3654,2337,3654,2370,3604xm3769,3664l3729,3724,3829,3674,3769,3674,3769,3664xm2330,3664l2330,3674,2337,3674,2330,3664xm3762,3654l2337,3654,2330,3664,2337,3674,3762,3674,3769,3664,3762,3654xm3829,3654l3769,3654,3769,3674,3829,3674,3849,3664,3829,3654xm2337,3654l2330,3654,2330,3664,2337,3654xm3729,3604l3769,3664,3769,3654,3829,3654,3729,3604xe" filled="true" fillcolor="#ffffff" stroked="false">
              <v:path arrowok="t"/>
              <v:fill type="solid"/>
            </v:shape>
            <v:shape style="position:absolute;left:4428;top:2081;width:247;height:1325" coordorigin="4428,2082" coordsize="247,1325" path="m4428,3281l4474,3407,4525,3329,4493,3329,4473,3326,4474,3320,4428,3281xm4494,3322l4483,3327,4493,3329,4494,3322xm4548,3295l4494,3322,4493,3329,4525,3329,4548,3295xm4483,3327l4483,3328,4483,3328,4483,3327xm4620,2162l4609,2167,4474,3320,4483,3327,4494,3322,4629,2169,4620,2162xm4474,3320l4473,3326,4483,3327,4474,3320xm4658,2162l4620,2162,4630,2163,4629,2169,4675,2208,4658,2162xm4629,2082l4555,2194,4609,2167,4610,2160,4657,2160,4629,2082xm4620,2162l4629,2169,4630,2163,4620,2162xm4610,2160l4609,2167,4620,2162,4610,2160xm4657,2160l4610,2160,4620,2162,4658,2162,4657,2160xe" filled="true" fillcolor="#ffffff" stroked="false">
              <v:path arrowok="t"/>
              <v:fill type="solid"/>
            </v:shape>
            <v:shape style="position:absolute;left:4301;top:4187;width:1770;height:1553" coordorigin="4301,4188" coordsize="1770,1553" path="m5999,5691l5941,5707,6071,5741,6053,5696,6004,5696,5999,5691xm6011,5688l5999,5691,6004,5696,6011,5688xm6020,5617l6012,5676,6017,5681,6004,5696,6053,5696,6020,5617xm4373,4238l4361,4241,4361,4241,4360,4253,5999,5691,6011,5688,6011,5688,6012,5676,4373,4238xm6012,5676l6011,5688,6017,5681,6012,5676xm4301,4188l4352,4312,4360,4253,4355,4248,4368,4233,4389,4233,4431,4222,4301,4188xm4361,4241l4355,4248,4360,4253,4361,4241xm4368,4233l4361,4241,4373,4238,4368,4233xm4389,4233l4368,4233,4373,4238,4389,4233xe" filled="true" fillcolor="#ffffff" stroked="false">
              <v:path arrowok="t"/>
              <v:fill type="solid"/>
            </v:shape>
            <v:shape style="position:absolute;left:4924;top:4492;width:850;height:805" type="#_x0000_t75" stroked="false">
              <v:imagedata r:id="rId51" o:title=""/>
            </v:shape>
            <v:shape style="position:absolute;left:5098;top:4645;width:506;height:491" type="#_x0000_t75" stroked="false">
              <v:imagedata r:id="rId52" o:title=""/>
            </v:shape>
            <v:shape style="position:absolute;left:4139;top:21;width:3029;height:2131" coordorigin="4139,22" coordsize="3029,2131" path="m4588,2082l4709,2075,4652,1704,4951,1455,5108,1697,5336,1782,5529,1683,6441,2153,6733,2032,6491,1597,6063,1234,6562,735,6862,635,7054,492,7168,29,6712,22,6519,393,6149,215,6042,343,6192,492,5864,920,5465,656,5194,578,4809,557,4574,428,4381,535,4759,1284,4453,1319,4139,1818,4289,1861,4524,1782,4588,2082xe" filled="false" stroked="true" strokeweight="1pt" strokecolor="#000000">
              <v:path arrowok="t"/>
              <v:stroke dashstyle="solid"/>
            </v:shape>
            <v:shape style="position:absolute;left:6042;top:4624;width:1537;height:1846" coordorigin="6042,4625" coordsize="1537,1846" path="m6762,4625l6597,4977,6274,5615,6072,5712,6042,6125,6184,6470,7564,6462,7579,6155,7422,5450,7182,5442,7032,5075,7092,4857,7114,4760,6762,4625xe" filled="false" stroked="true" strokeweight="1pt" strokecolor="#000000">
              <v:path arrowok="t"/>
              <v:stroke dashstyle="solid"/>
            </v:shape>
            <v:shape style="position:absolute;left:4469;top:1498;width:838;height:1908" coordorigin="4469,1499" coordsize="838,1908" path="m4469,3406l4541,3400,4615,3365,4630,3287,4627,3241,4629,3190,4633,3142,4635,3098,4643,3057,4666,3017,4704,2984,4750,2962,4799,2942,4848,2914,4923,2856,4979,2789,5018,2710,5030,2621,5027,2569,5002,2474,4948,2374,4880,2298,4848,2261,4824,2231,4807,2211,4795,2192,4783,2165,4771,2132,4763,2102,4760,2069,4760,2033,4769,1966,4804,1901,4872,1841,4912,1815,4957,1787,4999,1762,5035,1744,5072,1724,5118,1691,5172,1642,5225,1587,5272,1536,5307,1499e" filled="false" stroked="true" strokeweight="2.5pt" strokecolor="#ffc000">
              <v:path arrowok="t"/>
              <v:stroke dashstyle="solid"/>
            </v:shape>
            <v:shape style="position:absolute;left:4888;top:1383;width:247;height:332" type="#_x0000_t75" stroked="false">
              <v:imagedata r:id="rId53" o:title=""/>
            </v:shape>
            <v:shape style="position:absolute;left:4482;top:498;width:1118;height:2908" coordorigin="4482,499" coordsize="1118,2908" path="m4482,3185l4507,3407,4623,3298,4558,3298,4539,3291,4542,3283,4482,3185xm4561,3290l4548,3294,4558,3298,4561,3290xm4670,3254l4561,3290,4558,3298,4623,3298,4670,3254xm4542,3283l4539,3291,4548,3294,4542,3283xm5534,612l5521,616,4542,3283,4548,3294,4561,3290,5540,623,5534,612xm5587,608l5524,608,5543,615,5540,623,5600,721,5587,608xm5575,499l5412,652,5521,616,5524,608,5587,608,5575,499xm5534,612l5534,612,5540,623,5543,615,5534,612xm5524,608l5521,616,5534,612,5534,612,5524,608xe" filled="true" fillcolor="#00af50" stroked="false">
              <v:path arrowok="t"/>
              <v:fill type="solid"/>
            </v:shape>
            <v:shape style="position:absolute;left:2153;top:1215;width:3313;height:2353" coordorigin="2153,1216" coordsize="3313,2353" path="m2153,3537l2358,3522,2420,3493,2486,3452,2555,3413,2626,3388,2702,3387,2784,3401,2862,3416,2929,3419,2978,3403,3017,3376,3051,3349,3088,3332,3127,3329,3166,3334,3206,3343,3252,3352,3305,3363,3364,3375,3424,3388,3483,3398,3552,3406,3628,3413,3689,3417,3714,3419,3793,3425,3882,3432,3968,3441,4038,3455,4119,3509,4145,3538,4172,3558,4200,3567,4227,3569,4252,3564,4274,3552,4291,3530,4303,3498,4318,3464,4346,3434,4394,3420,4455,3414,4518,3399,4567,3357,4597,3296,4622,3214,4641,3123,4654,3032,4660,2952,4649,2866,4622,2786,4595,2711,4583,2638,4593,2573,4616,2513,4643,2451,4665,2376,4670,2304,4666,2221,4665,2136,4675,2052,4706,1976,4746,1930,4798,1888,4859,1850,4926,1812,4993,1772,5058,1728,5117,1678,5170,1621,5222,1560,5272,1496,5322,1428,5370,1359,5418,1288,5466,1216e" filled="false" stroked="true" strokeweight="1pt" strokecolor="#00afef">
              <v:path arrowok="t"/>
              <v:stroke dashstyle="solid"/>
            </v:shape>
            <v:shape style="position:absolute;left:5002;top:2341;width:374;height:120" type="#_x0000_t75" stroked="false">
              <v:imagedata r:id="rId54" o:title=""/>
            </v:shape>
            <v:shape style="position:absolute;left:4885;top:1509;width:523;height:953" type="#_x0000_t75" stroked="false">
              <v:imagedata r:id="rId55" o:title=""/>
            </v:shape>
            <v:shape style="position:absolute;left:4950;top:1705;width:386;height:556" type="#_x0000_t75" stroked="false">
              <v:imagedata r:id="rId56" o:title=""/>
            </v:shape>
            <v:shape style="position:absolute;left:6578;top:5800;width:664;height:161" type="#_x0000_t202" filled="false" stroked="false">
              <v:textbox inset="0,0,0,0">
                <w:txbxContent>
                  <w:p>
                    <w:pPr>
                      <w:spacing w:line="161" w:lineRule="exact" w:before="0"/>
                      <w:ind w:left="0" w:right="0" w:firstLine="0"/>
                      <w:jc w:val="left"/>
                      <w:rPr>
                        <w:b/>
                        <w:sz w:val="16"/>
                      </w:rPr>
                    </w:pPr>
                    <w:r>
                      <w:rPr>
                        <w:b/>
                        <w:sz w:val="16"/>
                        <w:shd w:fill="E4E4E4" w:color="auto" w:val="clear"/>
                      </w:rPr>
                      <w:t>新迪埠村</w:t>
                    </w:r>
                  </w:p>
                </w:txbxContent>
              </v:textbox>
              <w10:wrap type="none"/>
            </v:shape>
            <v:shape style="position:absolute;left:3812;top:5087;width:284;height:130" type="#_x0000_t202" filled="false" stroked="false">
              <v:textbox inset="0,0,0,0">
                <w:txbxContent>
                  <w:p>
                    <w:pPr>
                      <w:spacing w:line="130" w:lineRule="exact" w:before="0"/>
                      <w:ind w:left="0" w:right="0" w:firstLine="0"/>
                      <w:jc w:val="left"/>
                      <w:rPr>
                        <w:b/>
                        <w:sz w:val="13"/>
                      </w:rPr>
                    </w:pPr>
                    <w:r>
                      <w:rPr>
                        <w:b/>
                        <w:sz w:val="13"/>
                        <w:shd w:fill="E4E4E4" w:color="auto" w:val="clear"/>
                      </w:rPr>
                      <w:t>山地</w:t>
                    </w:r>
                  </w:p>
                </w:txbxContent>
              </v:textbox>
              <w10:wrap type="none"/>
            </v:shape>
            <v:shape style="position:absolute;left:2740;top:4447;width:673;height:130" type="#_x0000_t202" filled="false" stroked="false">
              <v:textbox inset="0,0,0,0">
                <w:txbxContent>
                  <w:p>
                    <w:pPr>
                      <w:spacing w:line="130" w:lineRule="exact" w:before="0"/>
                      <w:ind w:left="0" w:right="0" w:firstLine="0"/>
                      <w:jc w:val="left"/>
                      <w:rPr>
                        <w:b/>
                        <w:sz w:val="13"/>
                      </w:rPr>
                    </w:pPr>
                    <w:r>
                      <w:rPr>
                        <w:b/>
                        <w:color w:val="00AFEF"/>
                        <w:sz w:val="13"/>
                      </w:rPr>
                      <w:t>项里溪支流</w:t>
                    </w:r>
                  </w:p>
                </w:txbxContent>
              </v:textbox>
              <w10:wrap type="none"/>
            </v:shape>
            <v:shape style="position:absolute;left:1335;top:4276;width:664;height:161" type="#_x0000_t202" filled="false" stroked="false">
              <v:textbox inset="0,0,0,0">
                <w:txbxContent>
                  <w:p>
                    <w:pPr>
                      <w:spacing w:line="161" w:lineRule="exact" w:before="0"/>
                      <w:ind w:left="0" w:right="0" w:firstLine="0"/>
                      <w:jc w:val="left"/>
                      <w:rPr>
                        <w:b/>
                        <w:sz w:val="16"/>
                      </w:rPr>
                    </w:pPr>
                    <w:r>
                      <w:rPr>
                        <w:b/>
                        <w:color w:val="00AFEF"/>
                        <w:sz w:val="16"/>
                        <w:shd w:fill="E4E4E4" w:color="auto" w:val="clear"/>
                      </w:rPr>
                      <w:t>大洋水库</w:t>
                    </w:r>
                  </w:p>
                </w:txbxContent>
              </v:textbox>
              <w10:wrap type="none"/>
            </v:shape>
            <v:shape style="position:absolute;left:2740;top:3790;width:488;height:144" type="#_x0000_t202" filled="false" stroked="false">
              <v:textbox inset="0,0,0,0">
                <w:txbxContent>
                  <w:p>
                    <w:pPr>
                      <w:spacing w:line="144" w:lineRule="exact" w:before="0"/>
                      <w:ind w:left="0" w:right="0" w:firstLine="0"/>
                      <w:jc w:val="left"/>
                      <w:rPr>
                        <w:rFonts w:ascii="Times New Roman" w:eastAsia="Times New Roman"/>
                        <w:b/>
                        <w:sz w:val="13"/>
                      </w:rPr>
                    </w:pPr>
                    <w:r>
                      <w:rPr>
                        <w:b/>
                        <w:spacing w:val="-16"/>
                        <w:sz w:val="13"/>
                        <w:shd w:fill="E4E4E4" w:color="auto" w:val="clear"/>
                      </w:rPr>
                      <w:t>约 </w:t>
                    </w:r>
                    <w:r>
                      <w:rPr>
                        <w:rFonts w:ascii="Times New Roman" w:eastAsia="Times New Roman"/>
                        <w:b/>
                        <w:sz w:val="13"/>
                        <w:shd w:fill="E4E4E4" w:color="auto" w:val="clear"/>
                      </w:rPr>
                      <w:t>650m</w:t>
                    </w:r>
                  </w:p>
                </w:txbxContent>
              </v:textbox>
              <w10:wrap type="none"/>
            </v:shape>
            <v:shape style="position:absolute;left:3942;top:3647;width:503;height:161" type="#_x0000_t202" filled="false" stroked="false">
              <v:textbox inset="0,0,0,0">
                <w:txbxContent>
                  <w:p>
                    <w:pPr>
                      <w:spacing w:line="161" w:lineRule="exact" w:before="0"/>
                      <w:ind w:left="0" w:right="0" w:firstLine="0"/>
                      <w:jc w:val="left"/>
                      <w:rPr>
                        <w:b/>
                        <w:sz w:val="16"/>
                      </w:rPr>
                    </w:pPr>
                    <w:r>
                      <w:rPr>
                        <w:b/>
                        <w:color w:val="FF0000"/>
                        <w:sz w:val="16"/>
                        <w:shd w:fill="E4E4E4" w:color="auto" w:val="clear"/>
                      </w:rPr>
                      <w:t>本项目</w:t>
                    </w:r>
                  </w:p>
                </w:txbxContent>
              </v:textbox>
              <w10:wrap type="none"/>
            </v:shape>
            <v:shape style="position:absolute;left:5402;top:3515;width:284;height:130" type="#_x0000_t202" filled="false" stroked="false">
              <v:textbox inset="0,0,0,0">
                <w:txbxContent>
                  <w:p>
                    <w:pPr>
                      <w:spacing w:line="130" w:lineRule="exact" w:before="0"/>
                      <w:ind w:left="0" w:right="0" w:firstLine="0"/>
                      <w:jc w:val="left"/>
                      <w:rPr>
                        <w:b/>
                        <w:sz w:val="13"/>
                      </w:rPr>
                    </w:pPr>
                    <w:r>
                      <w:rPr>
                        <w:b/>
                        <w:sz w:val="13"/>
                        <w:shd w:fill="E4E4E4" w:color="auto" w:val="clear"/>
                      </w:rPr>
                      <w:t>山地</w:t>
                    </w:r>
                  </w:p>
                </w:txbxContent>
              </v:textbox>
              <w10:wrap type="none"/>
            </v:shape>
            <v:shape style="position:absolute;left:4036;top:3258;width:284;height:130" type="#_x0000_t202" filled="false" stroked="false">
              <v:textbox inset="0,0,0,0">
                <w:txbxContent>
                  <w:p>
                    <w:pPr>
                      <w:spacing w:line="130" w:lineRule="exact" w:before="0"/>
                      <w:ind w:left="0" w:right="0" w:firstLine="0"/>
                      <w:jc w:val="left"/>
                      <w:rPr>
                        <w:b/>
                        <w:sz w:val="13"/>
                      </w:rPr>
                    </w:pPr>
                    <w:r>
                      <w:rPr>
                        <w:b/>
                        <w:sz w:val="13"/>
                        <w:shd w:fill="E4E4E4" w:color="auto" w:val="clear"/>
                      </w:rPr>
                      <w:t>墓地</w:t>
                    </w:r>
                  </w:p>
                </w:txbxContent>
              </v:textbox>
              <w10:wrap type="none"/>
            </v:shape>
            <v:shape style="position:absolute;left:3311;top:3227;width:412;height:130" type="#_x0000_t202" filled="false" stroked="false">
              <v:textbox inset="0,0,0,0">
                <w:txbxContent>
                  <w:p>
                    <w:pPr>
                      <w:spacing w:line="130" w:lineRule="exact" w:before="0"/>
                      <w:ind w:left="0" w:right="0" w:firstLine="0"/>
                      <w:jc w:val="left"/>
                      <w:rPr>
                        <w:b/>
                        <w:sz w:val="13"/>
                      </w:rPr>
                    </w:pPr>
                    <w:r>
                      <w:rPr>
                        <w:b/>
                        <w:color w:val="00AFEF"/>
                        <w:sz w:val="13"/>
                      </w:rPr>
                      <w:t>项里溪</w:t>
                    </w:r>
                  </w:p>
                </w:txbxContent>
              </v:textbox>
              <w10:wrap type="none"/>
            </v:shape>
            <v:shape style="position:absolute;left:5438;top:2329;width:824;height:161" type="#_x0000_t202" filled="false" stroked="false">
              <v:textbox inset="0,0,0,0">
                <w:txbxContent>
                  <w:p>
                    <w:pPr>
                      <w:spacing w:line="161" w:lineRule="exact" w:before="0"/>
                      <w:ind w:left="0" w:right="0" w:firstLine="0"/>
                      <w:jc w:val="left"/>
                      <w:rPr>
                        <w:b/>
                        <w:sz w:val="16"/>
                      </w:rPr>
                    </w:pPr>
                    <w:r>
                      <w:rPr>
                        <w:b/>
                        <w:color w:val="FFC000"/>
                        <w:sz w:val="16"/>
                      </w:rPr>
                      <w:t>进出场道路</w:t>
                    </w:r>
                  </w:p>
                </w:txbxContent>
              </v:textbox>
              <w10:wrap type="none"/>
            </v:shape>
            <v:shape style="position:absolute;left:5054;top:1018;width:503;height:161" type="#_x0000_t202" filled="false" stroked="false">
              <v:textbox inset="0,0,0,0">
                <w:txbxContent>
                  <w:p>
                    <w:pPr>
                      <w:spacing w:line="161" w:lineRule="exact" w:before="0"/>
                      <w:ind w:left="0" w:right="0" w:firstLine="0"/>
                      <w:jc w:val="left"/>
                      <w:rPr>
                        <w:b/>
                        <w:sz w:val="16"/>
                      </w:rPr>
                    </w:pPr>
                    <w:r>
                      <w:rPr>
                        <w:b/>
                        <w:sz w:val="16"/>
                        <w:shd w:fill="E4E4E4" w:color="auto" w:val="clear"/>
                      </w:rPr>
                      <w:t>丰项村</w:t>
                    </w:r>
                  </w:p>
                </w:txbxContent>
              </v:textbox>
              <w10:wrap type="none"/>
            </v:shape>
            <v:shape style="position:absolute;left:4883;top:244;width:1847;height:130" type="#_x0000_t202" filled="false" stroked="false">
              <v:textbox inset="0,0,0,0">
                <w:txbxContent>
                  <w:p>
                    <w:pPr>
                      <w:spacing w:line="130" w:lineRule="exact" w:before="0"/>
                      <w:ind w:left="0" w:right="0" w:firstLine="0"/>
                      <w:jc w:val="left"/>
                      <w:rPr>
                        <w:b/>
                        <w:sz w:val="13"/>
                      </w:rPr>
                    </w:pPr>
                    <w:r>
                      <w:rPr>
                        <w:b/>
                        <w:color w:val="00AF50"/>
                        <w:sz w:val="13"/>
                      </w:rPr>
                      <w:t>项里江（鉴湖水域一般保护区）</w:t>
                    </w:r>
                  </w:p>
                </w:txbxContent>
              </v:textbox>
              <w10:wrap type="none"/>
            </v:shape>
          </v:group>
        </w:pict>
      </w:r>
      <w:r>
        <w:rPr>
          <w:sz w:val="20"/>
        </w:rPr>
      </w:r>
    </w:p>
    <w:p>
      <w:pPr>
        <w:spacing w:before="56"/>
        <w:ind w:left="3300" w:right="0" w:firstLine="0"/>
        <w:jc w:val="both"/>
        <w:rPr>
          <w:b/>
          <w:sz w:val="24"/>
        </w:rPr>
      </w:pPr>
      <w:r>
        <w:rPr>
          <w:b/>
          <w:sz w:val="24"/>
        </w:rPr>
        <w:t>图 </w:t>
      </w:r>
      <w:r>
        <w:rPr>
          <w:rFonts w:ascii="Times New Roman" w:eastAsia="Times New Roman"/>
          <w:b/>
          <w:sz w:val="24"/>
        </w:rPr>
        <w:t>4.1-2  </w:t>
      </w:r>
      <w:r>
        <w:rPr>
          <w:b/>
          <w:sz w:val="24"/>
        </w:rPr>
        <w:t>项目周边环境示意图</w:t>
      </w:r>
    </w:p>
    <w:p>
      <w:pPr>
        <w:spacing w:after="0"/>
        <w:jc w:val="both"/>
        <w:rPr>
          <w:sz w:val="24"/>
        </w:rPr>
        <w:sectPr>
          <w:pgSz w:w="11910" w:h="16840"/>
          <w:pgMar w:header="874" w:footer="1004" w:top="1420" w:bottom="1200" w:left="1040" w:right="1160"/>
        </w:sectPr>
      </w:pPr>
    </w:p>
    <w:p>
      <w:pPr>
        <w:pStyle w:val="ListParagraph"/>
        <w:numPr>
          <w:ilvl w:val="2"/>
          <w:numId w:val="53"/>
        </w:numPr>
        <w:tabs>
          <w:tab w:pos="838" w:val="left" w:leader="none"/>
        </w:tabs>
        <w:spacing w:line="240" w:lineRule="auto" w:before="92" w:after="0"/>
        <w:ind w:left="837" w:right="0" w:hanging="601"/>
        <w:jc w:val="left"/>
        <w:rPr>
          <w:b/>
          <w:sz w:val="24"/>
        </w:rPr>
      </w:pPr>
      <w:bookmarkStart w:name="_bookmark65" w:id="126"/>
      <w:bookmarkEnd w:id="126"/>
      <w:r>
        <w:rPr/>
      </w:r>
      <w:bookmarkStart w:name="_bookmark65" w:id="127"/>
      <w:bookmarkEnd w:id="127"/>
      <w:r>
        <w:rPr>
          <w:b/>
          <w:sz w:val="24"/>
        </w:rPr>
        <w:t>地形地质地貌</w:t>
      </w:r>
    </w:p>
    <w:p>
      <w:pPr>
        <w:pStyle w:val="BodyText"/>
        <w:spacing w:before="160"/>
        <w:ind w:left="717"/>
      </w:pPr>
      <w:r>
        <w:rPr/>
        <w:t>绍兴市境内地形特点为南高北低，由西南向东北倾斜，境内自南而北呈现低山丘陵</w:t>
      </w:r>
    </w:p>
    <w:p>
      <w:pPr>
        <w:pStyle w:val="BodyText"/>
        <w:spacing w:line="364" w:lineRule="auto" w:before="161"/>
        <w:ind w:right="130"/>
      </w:pPr>
      <w:r>
        <w:rPr>
          <w:rFonts w:ascii="Times New Roman" w:hAnsi="Times New Roman" w:eastAsia="Times New Roman"/>
        </w:rPr>
        <w:t>—</w:t>
      </w:r>
      <w:r>
        <w:rPr/>
        <w:t>平原</w:t>
      </w:r>
      <w:r>
        <w:rPr>
          <w:rFonts w:ascii="Times New Roman" w:hAnsi="Times New Roman" w:eastAsia="Times New Roman"/>
        </w:rPr>
        <w:t>—</w:t>
      </w:r>
      <w:r>
        <w:rPr>
          <w:spacing w:val="-4"/>
        </w:rPr>
        <w:t>海岸梯阶式地貌。绍兴市、县境西南部为低山丘陵河谷区，有崎岖低山、丘陵、</w:t>
      </w:r>
      <w:r>
        <w:rPr>
          <w:spacing w:val="-12"/>
        </w:rPr>
        <w:t>河谷地构成，面积 </w:t>
      </w:r>
      <w:r>
        <w:rPr>
          <w:rFonts w:ascii="Times New Roman" w:hAnsi="Times New Roman" w:eastAsia="Times New Roman"/>
        </w:rPr>
        <w:t>757.70km</w:t>
      </w:r>
      <w:r>
        <w:rPr>
          <w:rFonts w:ascii="Times New Roman" w:hAnsi="Times New Roman" w:eastAsia="Times New Roman"/>
          <w:position w:val="9"/>
          <w:sz w:val="16"/>
        </w:rPr>
        <w:t>2</w:t>
      </w:r>
      <w:r>
        <w:rPr>
          <w:spacing w:val="-5"/>
        </w:rPr>
        <w:t>，区内群山连绵，山势险要，山体抬升强烈，地形深切、破</w:t>
      </w:r>
      <w:r>
        <w:rPr>
          <w:spacing w:val="-16"/>
        </w:rPr>
        <w:t>碎，水系源短流急。一般海拔在 </w:t>
      </w:r>
      <w:r>
        <w:rPr>
          <w:rFonts w:ascii="Times New Roman" w:hAnsi="Times New Roman" w:eastAsia="Times New Roman"/>
        </w:rPr>
        <w:t>300~400m </w:t>
      </w:r>
      <w:r>
        <w:rPr>
          <w:spacing w:val="-13"/>
        </w:rPr>
        <w:t>之间。东北部为滨海平原区，属于淤涨型滩涂， </w:t>
      </w:r>
      <w:r>
        <w:rPr>
          <w:spacing w:val="-4"/>
        </w:rPr>
        <w:t>地势平坦，人工水系纵横交错，海拔 </w:t>
      </w:r>
      <w:r>
        <w:rPr>
          <w:rFonts w:ascii="Times New Roman" w:hAnsi="Times New Roman" w:eastAsia="Times New Roman"/>
        </w:rPr>
        <w:t>5m </w:t>
      </w:r>
      <w:r>
        <w:rPr>
          <w:spacing w:val="-7"/>
        </w:rPr>
        <w:t>左右，区域总面积 </w:t>
      </w:r>
      <w:r>
        <w:rPr>
          <w:rFonts w:ascii="Times New Roman" w:hAnsi="Times New Roman" w:eastAsia="Times New Roman"/>
        </w:rPr>
        <w:t>162.65km</w:t>
      </w:r>
      <w:r>
        <w:rPr>
          <w:rFonts w:ascii="Times New Roman" w:hAnsi="Times New Roman" w:eastAsia="Times New Roman"/>
          <w:position w:val="9"/>
          <w:sz w:val="16"/>
        </w:rPr>
        <w:t>2</w:t>
      </w:r>
      <w:r>
        <w:rPr/>
        <w:t>。</w:t>
      </w:r>
    </w:p>
    <w:p>
      <w:pPr>
        <w:pStyle w:val="BodyText"/>
        <w:spacing w:line="364" w:lineRule="auto" w:before="2"/>
        <w:ind w:right="190" w:firstLine="480"/>
        <w:jc w:val="both"/>
      </w:pPr>
      <w:r>
        <w:rPr/>
        <w:t>柯桥区块地貌类型可分为丘涧谷地、低丘、高丘和低山四类，与水网平原交界处均</w:t>
      </w:r>
      <w:r>
        <w:rPr>
          <w:spacing w:val="-5"/>
        </w:rPr>
        <w:t>有大片坡地、阶地，坡度皆在 </w:t>
      </w:r>
      <w:r>
        <w:rPr>
          <w:rFonts w:ascii="Times New Roman" w:hAnsi="Times New Roman" w:eastAsia="Times New Roman"/>
        </w:rPr>
        <w:t>10°</w:t>
      </w:r>
      <w:r>
        <w:rPr>
          <w:spacing w:val="-1"/>
        </w:rPr>
        <w:t>以下，土层深厚，具有较明显的低山丘陵河谷区特征； </w:t>
      </w:r>
      <w:r>
        <w:rPr/>
        <w:t>规划杨绍公路以北除零星火成岩残丘外，皆为冲击、淤积、海积而成，地势平坦，海拔</w:t>
      </w:r>
      <w:r>
        <w:rPr>
          <w:spacing w:val="-21"/>
        </w:rPr>
        <w:t>高度 </w:t>
      </w:r>
      <w:r>
        <w:rPr>
          <w:rFonts w:ascii="Times New Roman" w:hAnsi="Times New Roman" w:eastAsia="Times New Roman"/>
        </w:rPr>
        <w:t>4.5-5.5 </w:t>
      </w:r>
      <w:r>
        <w:rPr>
          <w:spacing w:val="-21"/>
        </w:rPr>
        <w:t>米，局部 </w:t>
      </w:r>
      <w:r>
        <w:rPr>
          <w:rFonts w:ascii="Times New Roman" w:hAnsi="Times New Roman" w:eastAsia="Times New Roman"/>
        </w:rPr>
        <w:t>20.0~50.0 </w:t>
      </w:r>
      <w:r>
        <w:rPr>
          <w:spacing w:val="-11"/>
        </w:rPr>
        <w:t>米，孤丘残丘高度一般亦不超过 </w:t>
      </w:r>
      <w:r>
        <w:rPr>
          <w:rFonts w:ascii="Times New Roman" w:hAnsi="Times New Roman" w:eastAsia="Times New Roman"/>
        </w:rPr>
        <w:t>200 </w:t>
      </w:r>
      <w:r>
        <w:rPr>
          <w:spacing w:val="-7"/>
        </w:rPr>
        <w:t>米，主要为人工围垦地，有河道、农田、养殖池等微地形和水面，成大平小不平的地形地貌景观。</w:t>
      </w:r>
    </w:p>
    <w:p>
      <w:pPr>
        <w:pStyle w:val="Heading3"/>
        <w:numPr>
          <w:ilvl w:val="2"/>
          <w:numId w:val="53"/>
        </w:numPr>
        <w:tabs>
          <w:tab w:pos="838" w:val="left" w:leader="none"/>
        </w:tabs>
        <w:spacing w:line="240" w:lineRule="auto" w:before="4" w:after="0"/>
        <w:ind w:left="837" w:right="0" w:hanging="601"/>
        <w:jc w:val="left"/>
      </w:pPr>
      <w:bookmarkStart w:name="_bookmark66" w:id="128"/>
      <w:bookmarkEnd w:id="128"/>
      <w:r>
        <w:rPr>
          <w:b w:val="0"/>
        </w:rPr>
      </w:r>
      <w:bookmarkStart w:name="_bookmark66" w:id="129"/>
      <w:bookmarkEnd w:id="129"/>
      <w:r>
        <w:rPr/>
        <w:t>水文特征</w:t>
      </w:r>
    </w:p>
    <w:p>
      <w:pPr>
        <w:spacing w:before="160"/>
        <w:ind w:left="719" w:right="0" w:firstLine="0"/>
        <w:jc w:val="left"/>
        <w:rPr>
          <w:b/>
          <w:sz w:val="24"/>
        </w:rPr>
      </w:pPr>
      <w:r>
        <w:rPr>
          <w:rFonts w:ascii="Times New Roman" w:eastAsia="Times New Roman"/>
          <w:b/>
          <w:sz w:val="24"/>
        </w:rPr>
        <w:t>1</w:t>
      </w:r>
      <w:r>
        <w:rPr>
          <w:b/>
          <w:sz w:val="24"/>
        </w:rPr>
        <w:t>、水系特征</w:t>
      </w:r>
    </w:p>
    <w:p>
      <w:pPr>
        <w:pStyle w:val="BodyText"/>
        <w:spacing w:line="364" w:lineRule="auto" w:before="161"/>
        <w:ind w:right="131" w:firstLine="480"/>
      </w:pPr>
      <w:r>
        <w:rPr/>
        <w:t>绍兴市地处绍虞平原水网地带，河网纵横，河湖相连，水位变化缓慢，测得正常控</w:t>
      </w:r>
      <w:r>
        <w:rPr>
          <w:spacing w:val="-14"/>
        </w:rPr>
        <w:t>制水位为 </w:t>
      </w:r>
      <w:r>
        <w:rPr>
          <w:rFonts w:ascii="Times New Roman" w:eastAsia="Times New Roman"/>
          <w:spacing w:val="-3"/>
        </w:rPr>
        <w:t>3.8m</w:t>
      </w:r>
      <w:r>
        <w:rPr>
          <w:spacing w:val="-10"/>
        </w:rPr>
        <w:t>，历史最高水位 </w:t>
      </w:r>
      <w:r>
        <w:rPr>
          <w:rFonts w:ascii="Times New Roman" w:eastAsia="Times New Roman"/>
        </w:rPr>
        <w:t>5.3m</w:t>
      </w:r>
      <w:r>
        <w:rPr/>
        <w:t>（</w:t>
      </w:r>
      <w:r>
        <w:rPr>
          <w:rFonts w:ascii="Times New Roman" w:eastAsia="Times New Roman"/>
        </w:rPr>
        <w:t>1962 </w:t>
      </w:r>
      <w:r>
        <w:rPr/>
        <w:t>年</w:t>
      </w:r>
      <w:r>
        <w:rPr>
          <w:spacing w:val="-15"/>
        </w:rPr>
        <w:t>），</w:t>
      </w:r>
      <w:r>
        <w:rPr>
          <w:spacing w:val="-10"/>
        </w:rPr>
        <w:t>历史最低水位 </w:t>
      </w:r>
      <w:r>
        <w:rPr>
          <w:rFonts w:ascii="Times New Roman" w:eastAsia="Times New Roman"/>
        </w:rPr>
        <w:t>1.73m</w:t>
      </w:r>
      <w:r>
        <w:rPr/>
        <w:t>（</w:t>
      </w:r>
      <w:r>
        <w:rPr>
          <w:rFonts w:ascii="Times New Roman" w:eastAsia="Times New Roman"/>
        </w:rPr>
        <w:t>1967 </w:t>
      </w:r>
      <w:r>
        <w:rPr/>
        <w:t>年</w:t>
      </w:r>
      <w:r>
        <w:rPr>
          <w:spacing w:val="-15"/>
        </w:rPr>
        <w:t>），</w:t>
      </w:r>
      <w:r>
        <w:rPr/>
        <w:t>水源</w:t>
      </w:r>
      <w:r>
        <w:rPr>
          <w:spacing w:val="-3"/>
        </w:rPr>
        <w:t>补给主要是地表径流和降水，其水文特征受天然降水过程影响，又受沿海堰闸调节控制， </w:t>
      </w:r>
      <w:r>
        <w:rPr>
          <w:spacing w:val="-5"/>
        </w:rPr>
        <w:t>内河在新三江闸、马山闸等排海闸的控制下，基本为一封闭水域，水流自西南流向东北， </w:t>
      </w:r>
      <w:r>
        <w:rPr/>
        <w:t>流量甚小。</w:t>
      </w:r>
    </w:p>
    <w:p>
      <w:pPr>
        <w:pStyle w:val="BodyText"/>
        <w:spacing w:line="364" w:lineRule="auto" w:before="3"/>
        <w:ind w:right="252" w:firstLine="480"/>
        <w:jc w:val="both"/>
      </w:pPr>
      <w:r>
        <w:rPr>
          <w:spacing w:val="-3"/>
        </w:rPr>
        <w:t>绍兴南部丘陵山地树枝状水第发达。北部平原，河湖密布，交织成网，素以</w:t>
      </w:r>
      <w:r>
        <w:rPr>
          <w:rFonts w:ascii="Times New Roman" w:hAnsi="Times New Roman" w:eastAsia="Times New Roman"/>
        </w:rPr>
        <w:t>“</w:t>
      </w:r>
      <w:r>
        <w:rPr>
          <w:spacing w:val="-5"/>
        </w:rPr>
        <w:t>水乡泽</w:t>
      </w:r>
      <w:r>
        <w:rPr/>
        <w:t>国</w:t>
      </w:r>
      <w:r>
        <w:rPr>
          <w:rFonts w:ascii="Times New Roman" w:hAnsi="Times New Roman" w:eastAsia="Times New Roman"/>
        </w:rPr>
        <w:t>”</w:t>
      </w:r>
      <w:r>
        <w:rPr>
          <w:spacing w:val="-4"/>
        </w:rPr>
        <w:t>享誉海内外。境内主要有汇入钱塘江的曹娥江、浦阳江、鉴湖水系；浙东运河东西横</w:t>
      </w:r>
      <w:r>
        <w:rPr/>
        <w:t>贯北部。</w:t>
      </w:r>
    </w:p>
    <w:p>
      <w:pPr>
        <w:pStyle w:val="BodyText"/>
        <w:spacing w:line="364" w:lineRule="auto" w:before="2"/>
        <w:ind w:right="131" w:firstLine="480"/>
      </w:pPr>
      <w:r>
        <w:rPr/>
        <w:t>曹娥江是浙江省八大水系之一，发源于天台山脉，流经新昌、嵊州、上虞，至新三</w:t>
      </w:r>
      <w:r>
        <w:rPr>
          <w:spacing w:val="-9"/>
        </w:rPr>
        <w:t>江闸后，汇入钱塘江，全长 </w:t>
      </w:r>
      <w:r>
        <w:rPr>
          <w:rFonts w:ascii="Times New Roman" w:eastAsia="Times New Roman"/>
        </w:rPr>
        <w:t>193km</w:t>
      </w:r>
      <w:r>
        <w:rPr>
          <w:spacing w:val="-4"/>
        </w:rPr>
        <w:t>，其中流经绍兴境内的河段长度为 </w:t>
      </w:r>
      <w:r>
        <w:rPr>
          <w:rFonts w:ascii="Times New Roman" w:eastAsia="Times New Roman"/>
        </w:rPr>
        <w:t>30km</w:t>
      </w:r>
      <w:r>
        <w:rPr>
          <w:spacing w:val="-3"/>
        </w:rPr>
        <w:t>。曹娥江属感</w:t>
      </w:r>
      <w:r>
        <w:rPr>
          <w:spacing w:val="-8"/>
        </w:rPr>
        <w:t>潮河流，其感潮渐河段自上浦闸至河口总长 </w:t>
      </w:r>
      <w:r>
        <w:rPr>
          <w:rFonts w:ascii="Times New Roman" w:eastAsia="Times New Roman"/>
          <w:spacing w:val="-4"/>
        </w:rPr>
        <w:t>69km</w:t>
      </w:r>
      <w:r>
        <w:rPr>
          <w:spacing w:val="-2"/>
        </w:rPr>
        <w:t>，其潮汐特性除具有钱塘江的基本特性</w:t>
      </w:r>
      <w:r>
        <w:rPr>
          <w:spacing w:val="-6"/>
        </w:rPr>
        <w:t>外，还受本身汇道的年际间洪水大小和冲淤变化的影响，曹娥江出口河段受潮汐作用强， </w:t>
      </w:r>
      <w:r>
        <w:rPr/>
        <w:t>涌潮流速比洪水流速大一倍左右。</w:t>
      </w:r>
    </w:p>
    <w:p>
      <w:pPr>
        <w:pStyle w:val="Heading3"/>
        <w:spacing w:before="4"/>
      </w:pPr>
      <w:r>
        <w:rPr>
          <w:rFonts w:ascii="Times New Roman" w:eastAsia="Times New Roman"/>
        </w:rPr>
        <w:t>2</w:t>
      </w:r>
      <w:r>
        <w:rPr/>
        <w:t>、水文特征</w:t>
      </w:r>
    </w:p>
    <w:p>
      <w:pPr>
        <w:pStyle w:val="BodyText"/>
        <w:spacing w:line="364" w:lineRule="auto" w:before="160"/>
        <w:ind w:right="254" w:firstLine="480"/>
      </w:pPr>
      <w:r>
        <w:rPr/>
        <w:t>绍兴水位站设在南门外南池江，因本区地处平原水网地带，城内外河水相互沟通， 水位相差不大，故直接引用于城内河道。</w:t>
      </w:r>
    </w:p>
    <w:p>
      <w:pPr>
        <w:spacing w:after="0" w:line="364" w:lineRule="auto"/>
        <w:sectPr>
          <w:pgSz w:w="11910" w:h="16840"/>
          <w:pgMar w:header="874" w:footer="1004" w:top="1420" w:bottom="1200" w:left="1040" w:right="1160"/>
        </w:sectPr>
      </w:pPr>
    </w:p>
    <w:p>
      <w:pPr>
        <w:pStyle w:val="BodyText"/>
        <w:spacing w:line="364" w:lineRule="auto" w:before="92"/>
        <w:ind w:right="249" w:firstLine="480"/>
        <w:jc w:val="both"/>
      </w:pPr>
      <w:r>
        <w:rPr/>
        <w:t>本区河道水位的变化不但深受降水影响，而且还受到沿海堰闸调节、外流域引水等因素的影响。通常城郊水域河宽水深，水量较大，水位变化一般较小，但城内河道因河道窄、水量小，翻水时局部河段短时间内也会造成雍水现象。</w:t>
      </w:r>
    </w:p>
    <w:p>
      <w:pPr>
        <w:pStyle w:val="BodyText"/>
        <w:spacing w:before="2"/>
        <w:ind w:left="717"/>
        <w:jc w:val="both"/>
      </w:pPr>
      <w:r>
        <w:rPr/>
        <w:t>该区多年平均水位为 </w:t>
      </w:r>
      <w:r>
        <w:rPr>
          <w:rFonts w:ascii="Times New Roman" w:eastAsia="Times New Roman"/>
        </w:rPr>
        <w:t>3.81 </w:t>
      </w:r>
      <w:r>
        <w:rPr/>
        <w:t>米，年内水位变化情况见表 </w:t>
      </w:r>
      <w:r>
        <w:rPr>
          <w:rFonts w:ascii="Times New Roman" w:eastAsia="Times New Roman"/>
        </w:rPr>
        <w:t>4.1-2</w:t>
      </w:r>
      <w:r>
        <w:rPr/>
        <w:t>。</w:t>
      </w:r>
    </w:p>
    <w:p>
      <w:pPr>
        <w:pStyle w:val="Heading3"/>
        <w:spacing w:before="160"/>
        <w:ind w:left="221" w:right="236"/>
        <w:jc w:val="center"/>
      </w:pPr>
      <w:r>
        <w:rPr/>
        <w:t>表 </w:t>
      </w:r>
      <w:r>
        <w:rPr>
          <w:rFonts w:ascii="Times New Roman" w:eastAsia="Times New Roman"/>
        </w:rPr>
        <w:t>4.1-2  </w:t>
      </w:r>
      <w:r>
        <w:rPr/>
        <w:t>年平均月水位变化表</w:t>
      </w:r>
    </w:p>
    <w:p>
      <w:pPr>
        <w:pStyle w:val="BodyText"/>
        <w:spacing w:before="2"/>
        <w:ind w:left="0"/>
        <w:rPr>
          <w:b/>
          <w:sz w:val="6"/>
        </w:rPr>
      </w:pP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62"/>
        <w:gridCol w:w="648"/>
        <w:gridCol w:w="651"/>
        <w:gridCol w:w="653"/>
        <w:gridCol w:w="651"/>
        <w:gridCol w:w="651"/>
        <w:gridCol w:w="651"/>
        <w:gridCol w:w="653"/>
        <w:gridCol w:w="651"/>
        <w:gridCol w:w="650"/>
        <w:gridCol w:w="650"/>
        <w:gridCol w:w="741"/>
        <w:gridCol w:w="732"/>
      </w:tblGrid>
      <w:tr>
        <w:trPr>
          <w:trHeight w:val="359" w:hRule="atLeast"/>
        </w:trPr>
        <w:tc>
          <w:tcPr>
            <w:tcW w:w="1262" w:type="dxa"/>
            <w:tcBorders>
              <w:bottom w:val="single" w:sz="6" w:space="0" w:color="000000"/>
              <w:right w:val="single" w:sz="6" w:space="0" w:color="000000"/>
            </w:tcBorders>
          </w:tcPr>
          <w:p>
            <w:pPr>
              <w:pStyle w:val="TableParagraph"/>
              <w:spacing w:before="44"/>
              <w:ind w:left="110" w:right="84"/>
              <w:rPr>
                <w:rFonts w:ascii="宋体" w:eastAsia="宋体" w:hint="eastAsia"/>
                <w:b/>
                <w:sz w:val="21"/>
              </w:rPr>
            </w:pPr>
            <w:r>
              <w:rPr>
                <w:rFonts w:ascii="宋体" w:eastAsia="宋体" w:hint="eastAsia"/>
                <w:b/>
                <w:sz w:val="21"/>
              </w:rPr>
              <w:t>月份</w:t>
            </w:r>
          </w:p>
        </w:tc>
        <w:tc>
          <w:tcPr>
            <w:tcW w:w="648" w:type="dxa"/>
            <w:tcBorders>
              <w:left w:val="single" w:sz="6" w:space="0" w:color="000000"/>
              <w:bottom w:val="single" w:sz="6" w:space="0" w:color="000000"/>
              <w:right w:val="single" w:sz="6" w:space="0" w:color="000000"/>
            </w:tcBorders>
          </w:tcPr>
          <w:p>
            <w:pPr>
              <w:pStyle w:val="TableParagraph"/>
              <w:spacing w:before="44"/>
              <w:ind w:left="24"/>
              <w:rPr>
                <w:rFonts w:ascii="宋体" w:eastAsia="宋体" w:hint="eastAsia"/>
                <w:b/>
                <w:sz w:val="21"/>
              </w:rPr>
            </w:pPr>
            <w:r>
              <w:rPr>
                <w:rFonts w:ascii="宋体" w:eastAsia="宋体" w:hint="eastAsia"/>
                <w:b/>
                <w:w w:val="100"/>
                <w:sz w:val="21"/>
              </w:rPr>
              <w:t>一</w:t>
            </w:r>
          </w:p>
        </w:tc>
        <w:tc>
          <w:tcPr>
            <w:tcW w:w="651" w:type="dxa"/>
            <w:tcBorders>
              <w:left w:val="single" w:sz="6" w:space="0" w:color="000000"/>
              <w:bottom w:val="single" w:sz="6" w:space="0" w:color="000000"/>
              <w:right w:val="single" w:sz="6" w:space="0" w:color="000000"/>
            </w:tcBorders>
          </w:tcPr>
          <w:p>
            <w:pPr>
              <w:pStyle w:val="TableParagraph"/>
              <w:spacing w:before="44"/>
              <w:ind w:left="27"/>
              <w:rPr>
                <w:rFonts w:ascii="宋体" w:eastAsia="宋体" w:hint="eastAsia"/>
                <w:b/>
                <w:sz w:val="21"/>
              </w:rPr>
            </w:pPr>
            <w:r>
              <w:rPr>
                <w:rFonts w:ascii="宋体" w:eastAsia="宋体" w:hint="eastAsia"/>
                <w:b/>
                <w:w w:val="100"/>
                <w:sz w:val="21"/>
              </w:rPr>
              <w:t>二</w:t>
            </w:r>
          </w:p>
        </w:tc>
        <w:tc>
          <w:tcPr>
            <w:tcW w:w="653" w:type="dxa"/>
            <w:tcBorders>
              <w:left w:val="single" w:sz="6" w:space="0" w:color="000000"/>
              <w:bottom w:val="single" w:sz="6" w:space="0" w:color="000000"/>
              <w:right w:val="single" w:sz="6" w:space="0" w:color="000000"/>
            </w:tcBorders>
          </w:tcPr>
          <w:p>
            <w:pPr>
              <w:pStyle w:val="TableParagraph"/>
              <w:spacing w:before="44"/>
              <w:ind w:left="24"/>
              <w:rPr>
                <w:rFonts w:ascii="宋体" w:eastAsia="宋体" w:hint="eastAsia"/>
                <w:b/>
                <w:sz w:val="21"/>
              </w:rPr>
            </w:pPr>
            <w:r>
              <w:rPr>
                <w:rFonts w:ascii="宋体" w:eastAsia="宋体" w:hint="eastAsia"/>
                <w:b/>
                <w:w w:val="100"/>
                <w:sz w:val="21"/>
              </w:rPr>
              <w:t>三</w:t>
            </w:r>
          </w:p>
        </w:tc>
        <w:tc>
          <w:tcPr>
            <w:tcW w:w="651" w:type="dxa"/>
            <w:tcBorders>
              <w:left w:val="single" w:sz="6" w:space="0" w:color="000000"/>
              <w:bottom w:val="single" w:sz="6" w:space="0" w:color="000000"/>
              <w:right w:val="single" w:sz="6" w:space="0" w:color="000000"/>
            </w:tcBorders>
          </w:tcPr>
          <w:p>
            <w:pPr>
              <w:pStyle w:val="TableParagraph"/>
              <w:spacing w:before="44"/>
              <w:ind w:left="21"/>
              <w:rPr>
                <w:rFonts w:ascii="宋体" w:eastAsia="宋体" w:hint="eastAsia"/>
                <w:b/>
                <w:sz w:val="21"/>
              </w:rPr>
            </w:pPr>
            <w:r>
              <w:rPr>
                <w:rFonts w:ascii="宋体" w:eastAsia="宋体" w:hint="eastAsia"/>
                <w:b/>
                <w:w w:val="100"/>
                <w:sz w:val="21"/>
              </w:rPr>
              <w:t>四</w:t>
            </w:r>
          </w:p>
        </w:tc>
        <w:tc>
          <w:tcPr>
            <w:tcW w:w="651" w:type="dxa"/>
            <w:tcBorders>
              <w:left w:val="single" w:sz="6" w:space="0" w:color="000000"/>
              <w:bottom w:val="single" w:sz="6" w:space="0" w:color="000000"/>
              <w:right w:val="single" w:sz="6" w:space="0" w:color="000000"/>
            </w:tcBorders>
          </w:tcPr>
          <w:p>
            <w:pPr>
              <w:pStyle w:val="TableParagraph"/>
              <w:spacing w:before="44"/>
              <w:ind w:left="20"/>
              <w:rPr>
                <w:rFonts w:ascii="宋体" w:eastAsia="宋体" w:hint="eastAsia"/>
                <w:b/>
                <w:sz w:val="21"/>
              </w:rPr>
            </w:pPr>
            <w:r>
              <w:rPr>
                <w:rFonts w:ascii="宋体" w:eastAsia="宋体" w:hint="eastAsia"/>
                <w:b/>
                <w:w w:val="100"/>
                <w:sz w:val="21"/>
              </w:rPr>
              <w:t>五</w:t>
            </w:r>
          </w:p>
        </w:tc>
        <w:tc>
          <w:tcPr>
            <w:tcW w:w="651" w:type="dxa"/>
            <w:tcBorders>
              <w:left w:val="single" w:sz="6" w:space="0" w:color="000000"/>
              <w:bottom w:val="single" w:sz="6" w:space="0" w:color="000000"/>
              <w:right w:val="single" w:sz="6" w:space="0" w:color="000000"/>
            </w:tcBorders>
          </w:tcPr>
          <w:p>
            <w:pPr>
              <w:pStyle w:val="TableParagraph"/>
              <w:spacing w:before="44"/>
              <w:ind w:left="24"/>
              <w:rPr>
                <w:rFonts w:ascii="宋体" w:eastAsia="宋体" w:hint="eastAsia"/>
                <w:b/>
                <w:sz w:val="21"/>
              </w:rPr>
            </w:pPr>
            <w:r>
              <w:rPr>
                <w:rFonts w:ascii="宋体" w:eastAsia="宋体" w:hint="eastAsia"/>
                <w:b/>
                <w:w w:val="100"/>
                <w:sz w:val="21"/>
              </w:rPr>
              <w:t>六</w:t>
            </w:r>
          </w:p>
        </w:tc>
        <w:tc>
          <w:tcPr>
            <w:tcW w:w="653" w:type="dxa"/>
            <w:tcBorders>
              <w:left w:val="single" w:sz="6" w:space="0" w:color="000000"/>
              <w:bottom w:val="single" w:sz="6" w:space="0" w:color="000000"/>
              <w:right w:val="single" w:sz="6" w:space="0" w:color="000000"/>
            </w:tcBorders>
          </w:tcPr>
          <w:p>
            <w:pPr>
              <w:pStyle w:val="TableParagraph"/>
              <w:spacing w:before="44"/>
              <w:ind w:left="21"/>
              <w:rPr>
                <w:rFonts w:ascii="宋体" w:eastAsia="宋体" w:hint="eastAsia"/>
                <w:b/>
                <w:sz w:val="21"/>
              </w:rPr>
            </w:pPr>
            <w:r>
              <w:rPr>
                <w:rFonts w:ascii="宋体" w:eastAsia="宋体" w:hint="eastAsia"/>
                <w:b/>
                <w:w w:val="100"/>
                <w:sz w:val="21"/>
              </w:rPr>
              <w:t>七</w:t>
            </w:r>
          </w:p>
        </w:tc>
        <w:tc>
          <w:tcPr>
            <w:tcW w:w="651" w:type="dxa"/>
            <w:tcBorders>
              <w:left w:val="single" w:sz="6" w:space="0" w:color="000000"/>
              <w:bottom w:val="single" w:sz="6" w:space="0" w:color="000000"/>
              <w:right w:val="single" w:sz="6" w:space="0" w:color="000000"/>
            </w:tcBorders>
          </w:tcPr>
          <w:p>
            <w:pPr>
              <w:pStyle w:val="TableParagraph"/>
              <w:spacing w:before="44"/>
              <w:ind w:left="18"/>
              <w:rPr>
                <w:rFonts w:ascii="宋体" w:eastAsia="宋体" w:hint="eastAsia"/>
                <w:b/>
                <w:sz w:val="21"/>
              </w:rPr>
            </w:pPr>
            <w:r>
              <w:rPr>
                <w:rFonts w:ascii="宋体" w:eastAsia="宋体" w:hint="eastAsia"/>
                <w:b/>
                <w:w w:val="100"/>
                <w:sz w:val="21"/>
              </w:rPr>
              <w:t>八</w:t>
            </w:r>
          </w:p>
        </w:tc>
        <w:tc>
          <w:tcPr>
            <w:tcW w:w="650" w:type="dxa"/>
            <w:tcBorders>
              <w:left w:val="single" w:sz="6" w:space="0" w:color="000000"/>
              <w:bottom w:val="single" w:sz="6" w:space="0" w:color="000000"/>
              <w:right w:val="single" w:sz="6" w:space="0" w:color="000000"/>
            </w:tcBorders>
          </w:tcPr>
          <w:p>
            <w:pPr>
              <w:pStyle w:val="TableParagraph"/>
              <w:spacing w:before="44"/>
              <w:ind w:left="19"/>
              <w:rPr>
                <w:rFonts w:ascii="宋体" w:eastAsia="宋体" w:hint="eastAsia"/>
                <w:b/>
                <w:sz w:val="21"/>
              </w:rPr>
            </w:pPr>
            <w:r>
              <w:rPr>
                <w:rFonts w:ascii="宋体" w:eastAsia="宋体" w:hint="eastAsia"/>
                <w:b/>
                <w:w w:val="100"/>
                <w:sz w:val="21"/>
              </w:rPr>
              <w:t>九</w:t>
            </w:r>
          </w:p>
        </w:tc>
        <w:tc>
          <w:tcPr>
            <w:tcW w:w="650" w:type="dxa"/>
            <w:tcBorders>
              <w:left w:val="single" w:sz="6" w:space="0" w:color="000000"/>
              <w:bottom w:val="single" w:sz="6" w:space="0" w:color="000000"/>
              <w:right w:val="single" w:sz="6" w:space="0" w:color="000000"/>
            </w:tcBorders>
          </w:tcPr>
          <w:p>
            <w:pPr>
              <w:pStyle w:val="TableParagraph"/>
              <w:spacing w:before="44"/>
              <w:ind w:left="24"/>
              <w:rPr>
                <w:rFonts w:ascii="宋体" w:eastAsia="宋体" w:hint="eastAsia"/>
                <w:b/>
                <w:sz w:val="21"/>
              </w:rPr>
            </w:pPr>
            <w:r>
              <w:rPr>
                <w:rFonts w:ascii="宋体" w:eastAsia="宋体" w:hint="eastAsia"/>
                <w:b/>
                <w:w w:val="100"/>
                <w:sz w:val="21"/>
              </w:rPr>
              <w:t>十</w:t>
            </w:r>
          </w:p>
        </w:tc>
        <w:tc>
          <w:tcPr>
            <w:tcW w:w="741" w:type="dxa"/>
            <w:tcBorders>
              <w:left w:val="single" w:sz="6" w:space="0" w:color="000000"/>
              <w:bottom w:val="single" w:sz="6" w:space="0" w:color="000000"/>
              <w:right w:val="single" w:sz="6" w:space="0" w:color="000000"/>
            </w:tcBorders>
          </w:tcPr>
          <w:p>
            <w:pPr>
              <w:pStyle w:val="TableParagraph"/>
              <w:spacing w:before="44"/>
              <w:ind w:left="93" w:right="68"/>
              <w:rPr>
                <w:rFonts w:ascii="宋体" w:eastAsia="宋体" w:hint="eastAsia"/>
                <w:b/>
                <w:sz w:val="21"/>
              </w:rPr>
            </w:pPr>
            <w:r>
              <w:rPr>
                <w:rFonts w:ascii="宋体" w:eastAsia="宋体" w:hint="eastAsia"/>
                <w:b/>
                <w:sz w:val="21"/>
              </w:rPr>
              <w:t>十一</w:t>
            </w:r>
          </w:p>
        </w:tc>
        <w:tc>
          <w:tcPr>
            <w:tcW w:w="732" w:type="dxa"/>
            <w:tcBorders>
              <w:left w:val="single" w:sz="6" w:space="0" w:color="000000"/>
              <w:bottom w:val="single" w:sz="6" w:space="0" w:color="000000"/>
            </w:tcBorders>
          </w:tcPr>
          <w:p>
            <w:pPr>
              <w:pStyle w:val="TableParagraph"/>
              <w:spacing w:before="44"/>
              <w:ind w:left="135" w:right="111"/>
              <w:rPr>
                <w:rFonts w:ascii="宋体" w:eastAsia="宋体" w:hint="eastAsia"/>
                <w:b/>
                <w:sz w:val="21"/>
              </w:rPr>
            </w:pPr>
            <w:r>
              <w:rPr>
                <w:rFonts w:ascii="宋体" w:eastAsia="宋体" w:hint="eastAsia"/>
                <w:b/>
                <w:sz w:val="21"/>
              </w:rPr>
              <w:t>十二</w:t>
            </w:r>
          </w:p>
        </w:tc>
      </w:tr>
      <w:tr>
        <w:trPr>
          <w:trHeight w:val="356" w:hRule="atLeast"/>
        </w:trPr>
        <w:tc>
          <w:tcPr>
            <w:tcW w:w="1262" w:type="dxa"/>
            <w:tcBorders>
              <w:top w:val="single" w:sz="6" w:space="0" w:color="000000"/>
              <w:right w:val="single" w:sz="6" w:space="0" w:color="000000"/>
            </w:tcBorders>
          </w:tcPr>
          <w:p>
            <w:pPr>
              <w:pStyle w:val="TableParagraph"/>
              <w:spacing w:before="44"/>
              <w:ind w:left="112" w:right="84"/>
              <w:rPr>
                <w:rFonts w:ascii="宋体" w:eastAsia="宋体" w:hint="eastAsia"/>
                <w:sz w:val="21"/>
              </w:rPr>
            </w:pPr>
            <w:r>
              <w:rPr>
                <w:rFonts w:ascii="宋体" w:eastAsia="宋体" w:hint="eastAsia"/>
                <w:sz w:val="21"/>
              </w:rPr>
              <w:t>水位（</w:t>
            </w:r>
            <w:r>
              <w:rPr>
                <w:sz w:val="21"/>
              </w:rPr>
              <w:t>m</w:t>
            </w:r>
            <w:r>
              <w:rPr>
                <w:rFonts w:ascii="宋体" w:eastAsia="宋体" w:hint="eastAsia"/>
                <w:sz w:val="21"/>
              </w:rPr>
              <w:t>）</w:t>
            </w:r>
          </w:p>
        </w:tc>
        <w:tc>
          <w:tcPr>
            <w:tcW w:w="648" w:type="dxa"/>
            <w:tcBorders>
              <w:top w:val="single" w:sz="6" w:space="0" w:color="000000"/>
              <w:left w:val="single" w:sz="6" w:space="0" w:color="000000"/>
              <w:right w:val="single" w:sz="6" w:space="0" w:color="000000"/>
            </w:tcBorders>
          </w:tcPr>
          <w:p>
            <w:pPr>
              <w:pStyle w:val="TableParagraph"/>
              <w:ind w:left="127" w:right="98"/>
              <w:rPr>
                <w:sz w:val="21"/>
              </w:rPr>
            </w:pPr>
            <w:r>
              <w:rPr>
                <w:sz w:val="21"/>
              </w:rPr>
              <w:t>3.81</w:t>
            </w:r>
          </w:p>
        </w:tc>
        <w:tc>
          <w:tcPr>
            <w:tcW w:w="651" w:type="dxa"/>
            <w:tcBorders>
              <w:top w:val="single" w:sz="6" w:space="0" w:color="000000"/>
              <w:left w:val="single" w:sz="6" w:space="0" w:color="000000"/>
              <w:right w:val="single" w:sz="6" w:space="0" w:color="000000"/>
            </w:tcBorders>
          </w:tcPr>
          <w:p>
            <w:pPr>
              <w:pStyle w:val="TableParagraph"/>
              <w:ind w:left="125" w:right="93"/>
              <w:rPr>
                <w:sz w:val="21"/>
              </w:rPr>
            </w:pPr>
            <w:r>
              <w:rPr>
                <w:sz w:val="21"/>
              </w:rPr>
              <w:t>3.86</w:t>
            </w:r>
          </w:p>
        </w:tc>
        <w:tc>
          <w:tcPr>
            <w:tcW w:w="653" w:type="dxa"/>
            <w:tcBorders>
              <w:top w:val="single" w:sz="6" w:space="0" w:color="000000"/>
              <w:left w:val="single" w:sz="6" w:space="0" w:color="000000"/>
              <w:right w:val="single" w:sz="6" w:space="0" w:color="000000"/>
            </w:tcBorders>
          </w:tcPr>
          <w:p>
            <w:pPr>
              <w:pStyle w:val="TableParagraph"/>
              <w:ind w:left="128" w:right="99"/>
              <w:rPr>
                <w:sz w:val="21"/>
              </w:rPr>
            </w:pPr>
            <w:r>
              <w:rPr>
                <w:sz w:val="21"/>
              </w:rPr>
              <w:t>3.88</w:t>
            </w:r>
          </w:p>
        </w:tc>
        <w:tc>
          <w:tcPr>
            <w:tcW w:w="651" w:type="dxa"/>
            <w:tcBorders>
              <w:top w:val="single" w:sz="6" w:space="0" w:color="000000"/>
              <w:left w:val="single" w:sz="6" w:space="0" w:color="000000"/>
              <w:right w:val="single" w:sz="6" w:space="0" w:color="000000"/>
            </w:tcBorders>
          </w:tcPr>
          <w:p>
            <w:pPr>
              <w:pStyle w:val="TableParagraph"/>
              <w:ind w:left="124" w:right="98"/>
              <w:rPr>
                <w:sz w:val="21"/>
              </w:rPr>
            </w:pPr>
            <w:r>
              <w:rPr>
                <w:sz w:val="21"/>
              </w:rPr>
              <w:t>3.88</w:t>
            </w:r>
          </w:p>
        </w:tc>
        <w:tc>
          <w:tcPr>
            <w:tcW w:w="651" w:type="dxa"/>
            <w:tcBorders>
              <w:top w:val="single" w:sz="6" w:space="0" w:color="000000"/>
              <w:left w:val="single" w:sz="6" w:space="0" w:color="000000"/>
              <w:right w:val="single" w:sz="6" w:space="0" w:color="000000"/>
            </w:tcBorders>
          </w:tcPr>
          <w:p>
            <w:pPr>
              <w:pStyle w:val="TableParagraph"/>
              <w:ind w:left="122" w:right="98"/>
              <w:rPr>
                <w:sz w:val="21"/>
              </w:rPr>
            </w:pPr>
            <w:r>
              <w:rPr>
                <w:sz w:val="21"/>
              </w:rPr>
              <w:t>3.91</w:t>
            </w:r>
          </w:p>
        </w:tc>
        <w:tc>
          <w:tcPr>
            <w:tcW w:w="651" w:type="dxa"/>
            <w:tcBorders>
              <w:top w:val="single" w:sz="6" w:space="0" w:color="000000"/>
              <w:left w:val="single" w:sz="6" w:space="0" w:color="000000"/>
              <w:right w:val="single" w:sz="6" w:space="0" w:color="000000"/>
            </w:tcBorders>
          </w:tcPr>
          <w:p>
            <w:pPr>
              <w:pStyle w:val="TableParagraph"/>
              <w:ind w:left="125" w:right="96"/>
              <w:rPr>
                <w:sz w:val="21"/>
              </w:rPr>
            </w:pPr>
            <w:r>
              <w:rPr>
                <w:sz w:val="21"/>
              </w:rPr>
              <w:t>3.90</w:t>
            </w:r>
          </w:p>
        </w:tc>
        <w:tc>
          <w:tcPr>
            <w:tcW w:w="653" w:type="dxa"/>
            <w:tcBorders>
              <w:top w:val="single" w:sz="6" w:space="0" w:color="000000"/>
              <w:left w:val="single" w:sz="6" w:space="0" w:color="000000"/>
              <w:right w:val="single" w:sz="6" w:space="0" w:color="000000"/>
            </w:tcBorders>
          </w:tcPr>
          <w:p>
            <w:pPr>
              <w:pStyle w:val="TableParagraph"/>
              <w:ind w:left="126" w:right="100"/>
              <w:rPr>
                <w:sz w:val="21"/>
              </w:rPr>
            </w:pPr>
            <w:r>
              <w:rPr>
                <w:sz w:val="21"/>
              </w:rPr>
              <w:t>3.85</w:t>
            </w:r>
          </w:p>
        </w:tc>
        <w:tc>
          <w:tcPr>
            <w:tcW w:w="651" w:type="dxa"/>
            <w:tcBorders>
              <w:top w:val="single" w:sz="6" w:space="0" w:color="000000"/>
              <w:left w:val="single" w:sz="6" w:space="0" w:color="000000"/>
              <w:right w:val="single" w:sz="6" w:space="0" w:color="000000"/>
            </w:tcBorders>
          </w:tcPr>
          <w:p>
            <w:pPr>
              <w:pStyle w:val="TableParagraph"/>
              <w:ind w:left="120" w:right="98"/>
              <w:rPr>
                <w:sz w:val="21"/>
              </w:rPr>
            </w:pPr>
            <w:r>
              <w:rPr>
                <w:sz w:val="21"/>
              </w:rPr>
              <w:t>3.54</w:t>
            </w:r>
          </w:p>
        </w:tc>
        <w:tc>
          <w:tcPr>
            <w:tcW w:w="650" w:type="dxa"/>
            <w:tcBorders>
              <w:top w:val="single" w:sz="6" w:space="0" w:color="000000"/>
              <w:left w:val="single" w:sz="6" w:space="0" w:color="000000"/>
              <w:right w:val="single" w:sz="6" w:space="0" w:color="000000"/>
            </w:tcBorders>
          </w:tcPr>
          <w:p>
            <w:pPr>
              <w:pStyle w:val="TableParagraph"/>
              <w:ind w:left="122" w:right="99"/>
              <w:rPr>
                <w:sz w:val="21"/>
              </w:rPr>
            </w:pPr>
            <w:r>
              <w:rPr>
                <w:sz w:val="21"/>
              </w:rPr>
              <w:t>3.76</w:t>
            </w:r>
          </w:p>
        </w:tc>
        <w:tc>
          <w:tcPr>
            <w:tcW w:w="650" w:type="dxa"/>
            <w:tcBorders>
              <w:top w:val="single" w:sz="6" w:space="0" w:color="000000"/>
              <w:left w:val="single" w:sz="6" w:space="0" w:color="000000"/>
              <w:right w:val="single" w:sz="6" w:space="0" w:color="000000"/>
            </w:tcBorders>
          </w:tcPr>
          <w:p>
            <w:pPr>
              <w:pStyle w:val="TableParagraph"/>
              <w:ind w:left="124" w:right="95"/>
              <w:rPr>
                <w:sz w:val="21"/>
              </w:rPr>
            </w:pPr>
            <w:r>
              <w:rPr>
                <w:sz w:val="21"/>
              </w:rPr>
              <w:t>3.81</w:t>
            </w:r>
          </w:p>
        </w:tc>
        <w:tc>
          <w:tcPr>
            <w:tcW w:w="741" w:type="dxa"/>
            <w:tcBorders>
              <w:top w:val="single" w:sz="6" w:space="0" w:color="000000"/>
              <w:left w:val="single" w:sz="6" w:space="0" w:color="000000"/>
              <w:right w:val="single" w:sz="6" w:space="0" w:color="000000"/>
            </w:tcBorders>
          </w:tcPr>
          <w:p>
            <w:pPr>
              <w:pStyle w:val="TableParagraph"/>
              <w:ind w:left="93" w:right="68"/>
              <w:rPr>
                <w:sz w:val="21"/>
              </w:rPr>
            </w:pPr>
            <w:r>
              <w:rPr>
                <w:sz w:val="21"/>
              </w:rPr>
              <w:t>3.81</w:t>
            </w:r>
          </w:p>
        </w:tc>
        <w:tc>
          <w:tcPr>
            <w:tcW w:w="732" w:type="dxa"/>
            <w:tcBorders>
              <w:top w:val="single" w:sz="6" w:space="0" w:color="000000"/>
              <w:left w:val="single" w:sz="6" w:space="0" w:color="000000"/>
            </w:tcBorders>
          </w:tcPr>
          <w:p>
            <w:pPr>
              <w:pStyle w:val="TableParagraph"/>
              <w:ind w:left="135" w:right="106"/>
              <w:rPr>
                <w:sz w:val="21"/>
              </w:rPr>
            </w:pPr>
            <w:r>
              <w:rPr>
                <w:sz w:val="21"/>
              </w:rPr>
              <w:t>3.80</w:t>
            </w:r>
          </w:p>
        </w:tc>
      </w:tr>
    </w:tbl>
    <w:p>
      <w:pPr>
        <w:pStyle w:val="BodyText"/>
        <w:spacing w:line="364" w:lineRule="auto" w:before="84"/>
        <w:ind w:right="254" w:firstLine="480"/>
      </w:pPr>
      <w:r>
        <w:rPr/>
        <w:t>根据上表所示水位变化情况，全年比较明显地可划分出三个水期（具体如下）。不难看出，本区水位的年内变化情况与降水年内分配具有比较明显的相关关系。</w:t>
      </w:r>
    </w:p>
    <w:p>
      <w:pPr>
        <w:pStyle w:val="BodyText"/>
        <w:spacing w:line="364" w:lineRule="auto" w:before="2"/>
        <w:ind w:left="717" w:right="3389"/>
      </w:pPr>
      <w:r>
        <w:rPr/>
        <w:t>丰水期（</w:t>
      </w:r>
      <w:r>
        <w:rPr>
          <w:rFonts w:ascii="Times New Roman" w:eastAsia="Times New Roman"/>
        </w:rPr>
        <w:t>2~7 </w:t>
      </w:r>
      <w:r>
        <w:rPr/>
        <w:t>月）：月平均水位保持在 </w:t>
      </w:r>
      <w:r>
        <w:rPr>
          <w:rFonts w:ascii="Times New Roman" w:eastAsia="Times New Roman"/>
        </w:rPr>
        <w:t>3.85 </w:t>
      </w:r>
      <w:r>
        <w:rPr/>
        <w:t>米以上； 枯水期（</w:t>
      </w:r>
      <w:r>
        <w:rPr>
          <w:rFonts w:ascii="Times New Roman" w:eastAsia="Times New Roman"/>
        </w:rPr>
        <w:t>8 </w:t>
      </w:r>
      <w:r>
        <w:rPr/>
        <w:t>月）：月平均水位仅为 </w:t>
      </w:r>
      <w:r>
        <w:rPr>
          <w:rFonts w:ascii="Times New Roman" w:eastAsia="Times New Roman"/>
        </w:rPr>
        <w:t>3.54 </w:t>
      </w:r>
      <w:r>
        <w:rPr/>
        <w:t>米；</w:t>
      </w:r>
    </w:p>
    <w:p>
      <w:pPr>
        <w:pStyle w:val="BodyText"/>
        <w:spacing w:before="1"/>
        <w:ind w:left="717"/>
      </w:pPr>
      <w:r>
        <w:rPr/>
        <w:t>平水期（</w:t>
      </w:r>
      <w:r>
        <w:rPr>
          <w:rFonts w:ascii="Times New Roman" w:eastAsia="Times New Roman"/>
        </w:rPr>
        <w:t>9~</w:t>
      </w:r>
      <w:r>
        <w:rPr/>
        <w:t>次年 </w:t>
      </w:r>
      <w:r>
        <w:rPr>
          <w:rFonts w:ascii="Times New Roman" w:eastAsia="Times New Roman"/>
        </w:rPr>
        <w:t>1 </w:t>
      </w:r>
      <w:r>
        <w:rPr/>
        <w:t>月）：月平均水位保持在 </w:t>
      </w:r>
      <w:r>
        <w:rPr>
          <w:rFonts w:ascii="Times New Roman" w:eastAsia="Times New Roman"/>
        </w:rPr>
        <w:t>3.76 </w:t>
      </w:r>
      <w:r>
        <w:rPr/>
        <w:t>米以上。</w:t>
      </w:r>
    </w:p>
    <w:p>
      <w:pPr>
        <w:pStyle w:val="BodyText"/>
        <w:spacing w:before="161"/>
        <w:ind w:left="717"/>
      </w:pPr>
      <w:r>
        <w:rPr/>
        <w:t>根据绍兴站多年的水位资料分析，城区日最高水位为 </w:t>
      </w:r>
      <w:r>
        <w:rPr>
          <w:rFonts w:ascii="Times New Roman" w:eastAsia="Times New Roman"/>
        </w:rPr>
        <w:t>5.30 </w:t>
      </w:r>
      <w:r>
        <w:rPr/>
        <w:t>米（</w:t>
      </w:r>
      <w:r>
        <w:rPr>
          <w:rFonts w:ascii="Times New Roman" w:eastAsia="Times New Roman"/>
        </w:rPr>
        <w:t>1962 </w:t>
      </w:r>
      <w:r>
        <w:rPr/>
        <w:t>年 </w:t>
      </w:r>
      <w:r>
        <w:rPr>
          <w:rFonts w:ascii="Times New Roman" w:eastAsia="Times New Roman"/>
        </w:rPr>
        <w:t>9 </w:t>
      </w:r>
      <w:r>
        <w:rPr/>
        <w:t>月 </w:t>
      </w:r>
      <w:r>
        <w:rPr>
          <w:rFonts w:ascii="Times New Roman" w:eastAsia="Times New Roman"/>
        </w:rPr>
        <w:t>6 </w:t>
      </w:r>
      <w:r>
        <w:rPr/>
        <w:t>日），</w:t>
      </w:r>
    </w:p>
    <w:p>
      <w:pPr>
        <w:pStyle w:val="BodyText"/>
        <w:spacing w:before="160"/>
      </w:pPr>
      <w:r>
        <w:rPr/>
        <w:t>日最低水位为 </w:t>
      </w:r>
      <w:r>
        <w:rPr>
          <w:rFonts w:ascii="Times New Roman" w:eastAsia="Times New Roman"/>
        </w:rPr>
        <w:t>1.71 </w:t>
      </w:r>
      <w:r>
        <w:rPr/>
        <w:t>米（</w:t>
      </w:r>
      <w:r>
        <w:rPr>
          <w:rFonts w:ascii="Times New Roman" w:eastAsia="Times New Roman"/>
        </w:rPr>
        <w:t>1967 </w:t>
      </w:r>
      <w:r>
        <w:rPr/>
        <w:t>年 </w:t>
      </w:r>
      <w:r>
        <w:rPr>
          <w:rFonts w:ascii="Times New Roman" w:eastAsia="Times New Roman"/>
        </w:rPr>
        <w:t>8 </w:t>
      </w:r>
      <w:r>
        <w:rPr/>
        <w:t>月 </w:t>
      </w:r>
      <w:r>
        <w:rPr>
          <w:rFonts w:ascii="Times New Roman" w:eastAsia="Times New Roman"/>
        </w:rPr>
        <w:t>30 </w:t>
      </w:r>
      <w:r>
        <w:rPr/>
        <w:t>日）。</w:t>
      </w:r>
    </w:p>
    <w:p>
      <w:pPr>
        <w:pStyle w:val="Heading3"/>
        <w:numPr>
          <w:ilvl w:val="2"/>
          <w:numId w:val="53"/>
        </w:numPr>
        <w:tabs>
          <w:tab w:pos="838" w:val="left" w:leader="none"/>
        </w:tabs>
        <w:spacing w:line="240" w:lineRule="auto" w:before="161" w:after="0"/>
        <w:ind w:left="837" w:right="0" w:hanging="601"/>
        <w:jc w:val="left"/>
      </w:pPr>
      <w:bookmarkStart w:name="_bookmark67" w:id="130"/>
      <w:bookmarkEnd w:id="130"/>
      <w:r>
        <w:rPr>
          <w:b w:val="0"/>
        </w:rPr>
      </w:r>
      <w:bookmarkStart w:name="_bookmark67" w:id="131"/>
      <w:bookmarkEnd w:id="131"/>
      <w:r>
        <w:rPr/>
        <w:t>气象特征</w:t>
      </w:r>
    </w:p>
    <w:p>
      <w:pPr>
        <w:pStyle w:val="BodyText"/>
        <w:spacing w:line="364" w:lineRule="auto" w:before="160" w:after="29"/>
        <w:ind w:right="249" w:firstLine="480"/>
        <w:jc w:val="both"/>
      </w:pPr>
      <w:r>
        <w:rPr/>
        <w:t>项目所在地区域属于北半球中纬度亚热带北缘，是东亚季风盛行的地区，气候温和湿润，四季分明，冬夏长，春秋短，春季温凉多雨，夏季炎热湿润，秋季先温后干，冬季寒冷干燥。根据绍兴市气象局专业气象台近几年统计的资料，绍兴市的主要气象参数如下：</w:t>
      </w:r>
    </w:p>
    <w:tbl>
      <w:tblPr>
        <w:tblW w:w="0" w:type="auto"/>
        <w:jc w:val="left"/>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30"/>
        <w:gridCol w:w="2390"/>
      </w:tblGrid>
      <w:tr>
        <w:trPr>
          <w:trHeight w:val="366" w:hRule="atLeast"/>
        </w:trPr>
        <w:tc>
          <w:tcPr>
            <w:tcW w:w="3830" w:type="dxa"/>
          </w:tcPr>
          <w:p>
            <w:pPr>
              <w:pStyle w:val="TableParagraph"/>
              <w:spacing w:line="281" w:lineRule="exact" w:before="0"/>
              <w:ind w:left="50"/>
              <w:jc w:val="left"/>
              <w:rPr>
                <w:rFonts w:ascii="宋体" w:eastAsia="宋体" w:hint="eastAsia"/>
                <w:sz w:val="24"/>
              </w:rPr>
            </w:pPr>
            <w:r>
              <w:rPr>
                <w:rFonts w:ascii="宋体" w:eastAsia="宋体" w:hint="eastAsia"/>
                <w:sz w:val="24"/>
              </w:rPr>
              <w:t>年平均气温</w:t>
            </w:r>
          </w:p>
        </w:tc>
        <w:tc>
          <w:tcPr>
            <w:tcW w:w="2390" w:type="dxa"/>
          </w:tcPr>
          <w:p>
            <w:pPr>
              <w:pStyle w:val="TableParagraph"/>
              <w:spacing w:line="281" w:lineRule="exact" w:before="0"/>
              <w:ind w:left="1140"/>
              <w:jc w:val="left"/>
              <w:rPr>
                <w:rFonts w:ascii="宋体" w:hAnsi="宋体"/>
                <w:sz w:val="24"/>
              </w:rPr>
            </w:pPr>
            <w:r>
              <w:rPr>
                <w:sz w:val="24"/>
              </w:rPr>
              <w:t>16.5</w:t>
            </w:r>
            <w:r>
              <w:rPr>
                <w:rFonts w:ascii="宋体" w:hAnsi="宋体"/>
                <w:sz w:val="24"/>
              </w:rPr>
              <w:t>℃</w:t>
            </w:r>
          </w:p>
        </w:tc>
      </w:tr>
      <w:tr>
        <w:trPr>
          <w:trHeight w:val="468"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极端最高气温</w:t>
            </w:r>
          </w:p>
        </w:tc>
        <w:tc>
          <w:tcPr>
            <w:tcW w:w="2390" w:type="dxa"/>
          </w:tcPr>
          <w:p>
            <w:pPr>
              <w:pStyle w:val="TableParagraph"/>
              <w:spacing w:before="75"/>
              <w:ind w:left="1140"/>
              <w:jc w:val="left"/>
              <w:rPr>
                <w:rFonts w:ascii="宋体" w:hAnsi="宋体"/>
                <w:sz w:val="24"/>
              </w:rPr>
            </w:pPr>
            <w:r>
              <w:rPr>
                <w:sz w:val="24"/>
              </w:rPr>
              <w:t>38.6</w:t>
            </w:r>
            <w:r>
              <w:rPr>
                <w:rFonts w:ascii="宋体" w:hAnsi="宋体"/>
                <w:sz w:val="24"/>
              </w:rPr>
              <w:t>℃</w:t>
            </w:r>
          </w:p>
        </w:tc>
      </w:tr>
      <w:tr>
        <w:trPr>
          <w:trHeight w:val="467"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极端最低气温</w:t>
            </w:r>
          </w:p>
        </w:tc>
        <w:tc>
          <w:tcPr>
            <w:tcW w:w="2390" w:type="dxa"/>
          </w:tcPr>
          <w:p>
            <w:pPr>
              <w:pStyle w:val="TableParagraph"/>
              <w:spacing w:before="75"/>
              <w:ind w:left="1140"/>
              <w:jc w:val="left"/>
              <w:rPr>
                <w:rFonts w:ascii="宋体" w:hAnsi="宋体"/>
                <w:sz w:val="24"/>
              </w:rPr>
            </w:pPr>
            <w:r>
              <w:rPr>
                <w:sz w:val="24"/>
              </w:rPr>
              <w:t>-10.2</w:t>
            </w:r>
            <w:r>
              <w:rPr>
                <w:rFonts w:ascii="宋体" w:hAnsi="宋体"/>
                <w:sz w:val="24"/>
              </w:rPr>
              <w:t>℃</w:t>
            </w:r>
          </w:p>
        </w:tc>
      </w:tr>
      <w:tr>
        <w:trPr>
          <w:trHeight w:val="468"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平均最热月（</w:t>
            </w:r>
            <w:r>
              <w:rPr>
                <w:sz w:val="24"/>
              </w:rPr>
              <w:t>7 </w:t>
            </w:r>
            <w:r>
              <w:rPr>
                <w:rFonts w:ascii="宋体" w:eastAsia="宋体" w:hint="eastAsia"/>
                <w:sz w:val="24"/>
              </w:rPr>
              <w:t>月）气温</w:t>
            </w:r>
          </w:p>
        </w:tc>
        <w:tc>
          <w:tcPr>
            <w:tcW w:w="2390" w:type="dxa"/>
          </w:tcPr>
          <w:p>
            <w:pPr>
              <w:pStyle w:val="TableParagraph"/>
              <w:spacing w:before="75"/>
              <w:ind w:left="1200"/>
              <w:jc w:val="left"/>
              <w:rPr>
                <w:rFonts w:ascii="宋体" w:hAnsi="宋体"/>
                <w:sz w:val="24"/>
              </w:rPr>
            </w:pPr>
            <w:r>
              <w:rPr>
                <w:sz w:val="24"/>
              </w:rPr>
              <w:t>28.8</w:t>
            </w:r>
            <w:r>
              <w:rPr>
                <w:rFonts w:ascii="宋体" w:hAnsi="宋体"/>
                <w:sz w:val="24"/>
              </w:rPr>
              <w:t>℃</w:t>
            </w:r>
          </w:p>
        </w:tc>
      </w:tr>
      <w:tr>
        <w:trPr>
          <w:trHeight w:val="468"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平均最冷月（</w:t>
            </w:r>
            <w:r>
              <w:rPr>
                <w:sz w:val="24"/>
              </w:rPr>
              <w:t>1 </w:t>
            </w:r>
            <w:r>
              <w:rPr>
                <w:rFonts w:ascii="宋体" w:eastAsia="宋体" w:hint="eastAsia"/>
                <w:sz w:val="24"/>
              </w:rPr>
              <w:t>月）气温</w:t>
            </w:r>
          </w:p>
        </w:tc>
        <w:tc>
          <w:tcPr>
            <w:tcW w:w="2390" w:type="dxa"/>
          </w:tcPr>
          <w:p>
            <w:pPr>
              <w:pStyle w:val="TableParagraph"/>
              <w:spacing w:before="75"/>
              <w:ind w:left="1200"/>
              <w:jc w:val="left"/>
              <w:rPr>
                <w:rFonts w:ascii="宋体" w:hAnsi="宋体"/>
                <w:sz w:val="24"/>
              </w:rPr>
            </w:pPr>
            <w:r>
              <w:rPr>
                <w:sz w:val="24"/>
              </w:rPr>
              <w:t>4.2</w:t>
            </w:r>
            <w:r>
              <w:rPr>
                <w:rFonts w:ascii="宋体" w:hAnsi="宋体"/>
                <w:sz w:val="24"/>
              </w:rPr>
              <w:t>℃</w:t>
            </w:r>
          </w:p>
        </w:tc>
      </w:tr>
      <w:tr>
        <w:trPr>
          <w:trHeight w:val="468"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年平均水气压</w:t>
            </w:r>
          </w:p>
        </w:tc>
        <w:tc>
          <w:tcPr>
            <w:tcW w:w="2390" w:type="dxa"/>
          </w:tcPr>
          <w:p>
            <w:pPr>
              <w:pStyle w:val="TableParagraph"/>
              <w:spacing w:before="91"/>
              <w:ind w:left="1140"/>
              <w:jc w:val="left"/>
              <w:rPr>
                <w:sz w:val="24"/>
              </w:rPr>
            </w:pPr>
            <w:r>
              <w:rPr>
                <w:sz w:val="24"/>
              </w:rPr>
              <w:t>17.2hPa</w:t>
            </w:r>
          </w:p>
        </w:tc>
      </w:tr>
      <w:tr>
        <w:trPr>
          <w:trHeight w:val="467"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平均气压</w:t>
            </w:r>
          </w:p>
        </w:tc>
        <w:tc>
          <w:tcPr>
            <w:tcW w:w="2390" w:type="dxa"/>
          </w:tcPr>
          <w:p>
            <w:pPr>
              <w:pStyle w:val="TableParagraph"/>
              <w:spacing w:before="91"/>
              <w:ind w:left="1140"/>
              <w:jc w:val="left"/>
              <w:rPr>
                <w:sz w:val="24"/>
              </w:rPr>
            </w:pPr>
            <w:r>
              <w:rPr>
                <w:sz w:val="24"/>
              </w:rPr>
              <w:t>1016.04hPa</w:t>
            </w:r>
          </w:p>
        </w:tc>
      </w:tr>
      <w:tr>
        <w:trPr>
          <w:trHeight w:val="468"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年平均降水量</w:t>
            </w:r>
          </w:p>
        </w:tc>
        <w:tc>
          <w:tcPr>
            <w:tcW w:w="2390" w:type="dxa"/>
          </w:tcPr>
          <w:p>
            <w:pPr>
              <w:pStyle w:val="TableParagraph"/>
              <w:spacing w:before="75"/>
              <w:ind w:left="1140"/>
              <w:jc w:val="left"/>
              <w:rPr>
                <w:rFonts w:ascii="宋体" w:eastAsia="宋体" w:hint="eastAsia"/>
                <w:sz w:val="24"/>
              </w:rPr>
            </w:pPr>
            <w:r>
              <w:rPr>
                <w:sz w:val="24"/>
              </w:rPr>
              <w:t>1475.7 </w:t>
            </w:r>
            <w:r>
              <w:rPr>
                <w:rFonts w:ascii="宋体" w:eastAsia="宋体" w:hint="eastAsia"/>
                <w:sz w:val="24"/>
              </w:rPr>
              <w:t>毫米</w:t>
            </w:r>
          </w:p>
        </w:tc>
      </w:tr>
      <w:tr>
        <w:trPr>
          <w:trHeight w:val="467"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年最大降雨量</w:t>
            </w:r>
          </w:p>
        </w:tc>
        <w:tc>
          <w:tcPr>
            <w:tcW w:w="2390" w:type="dxa"/>
          </w:tcPr>
          <w:p>
            <w:pPr>
              <w:pStyle w:val="TableParagraph"/>
              <w:spacing w:before="75"/>
              <w:ind w:left="1140"/>
              <w:jc w:val="left"/>
              <w:rPr>
                <w:rFonts w:ascii="宋体" w:eastAsia="宋体" w:hint="eastAsia"/>
                <w:sz w:val="24"/>
              </w:rPr>
            </w:pPr>
            <w:r>
              <w:rPr>
                <w:sz w:val="24"/>
              </w:rPr>
              <w:t>1601.3 </w:t>
            </w:r>
            <w:r>
              <w:rPr>
                <w:rFonts w:ascii="宋体" w:eastAsia="宋体" w:hint="eastAsia"/>
                <w:sz w:val="24"/>
              </w:rPr>
              <w:t>毫米</w:t>
            </w:r>
          </w:p>
        </w:tc>
      </w:tr>
      <w:tr>
        <w:trPr>
          <w:trHeight w:val="467" w:hRule="atLeast"/>
        </w:trPr>
        <w:tc>
          <w:tcPr>
            <w:tcW w:w="3830" w:type="dxa"/>
          </w:tcPr>
          <w:p>
            <w:pPr>
              <w:pStyle w:val="TableParagraph"/>
              <w:spacing w:before="75"/>
              <w:ind w:left="50"/>
              <w:jc w:val="left"/>
              <w:rPr>
                <w:rFonts w:ascii="宋体" w:eastAsia="宋体" w:hint="eastAsia"/>
                <w:sz w:val="24"/>
              </w:rPr>
            </w:pPr>
            <w:r>
              <w:rPr>
                <w:rFonts w:ascii="宋体" w:eastAsia="宋体" w:hint="eastAsia"/>
                <w:sz w:val="24"/>
              </w:rPr>
              <w:t>年最小降雨量</w:t>
            </w:r>
          </w:p>
        </w:tc>
        <w:tc>
          <w:tcPr>
            <w:tcW w:w="2390" w:type="dxa"/>
          </w:tcPr>
          <w:p>
            <w:pPr>
              <w:pStyle w:val="TableParagraph"/>
              <w:spacing w:before="75"/>
              <w:ind w:left="1140"/>
              <w:jc w:val="left"/>
              <w:rPr>
                <w:rFonts w:ascii="宋体" w:eastAsia="宋体" w:hint="eastAsia"/>
                <w:sz w:val="24"/>
              </w:rPr>
            </w:pPr>
            <w:r>
              <w:rPr>
                <w:sz w:val="24"/>
              </w:rPr>
              <w:t>1269.3 </w:t>
            </w:r>
            <w:r>
              <w:rPr>
                <w:rFonts w:ascii="宋体" w:eastAsia="宋体" w:hint="eastAsia"/>
                <w:sz w:val="24"/>
              </w:rPr>
              <w:t>毫米</w:t>
            </w:r>
          </w:p>
        </w:tc>
      </w:tr>
      <w:tr>
        <w:trPr>
          <w:trHeight w:val="366" w:hRule="atLeast"/>
        </w:trPr>
        <w:tc>
          <w:tcPr>
            <w:tcW w:w="3830" w:type="dxa"/>
          </w:tcPr>
          <w:p>
            <w:pPr>
              <w:pStyle w:val="TableParagraph"/>
              <w:spacing w:line="272" w:lineRule="exact" w:before="75"/>
              <w:ind w:left="50"/>
              <w:jc w:val="left"/>
              <w:rPr>
                <w:rFonts w:ascii="宋体" w:eastAsia="宋体" w:hint="eastAsia"/>
                <w:sz w:val="24"/>
              </w:rPr>
            </w:pPr>
            <w:r>
              <w:rPr>
                <w:rFonts w:ascii="宋体" w:eastAsia="宋体" w:hint="eastAsia"/>
                <w:sz w:val="24"/>
              </w:rPr>
              <w:t>区域内全年主、次导风向</w:t>
            </w:r>
          </w:p>
        </w:tc>
        <w:tc>
          <w:tcPr>
            <w:tcW w:w="2390" w:type="dxa"/>
          </w:tcPr>
          <w:p>
            <w:pPr>
              <w:pStyle w:val="TableParagraph"/>
              <w:spacing w:line="256" w:lineRule="exact" w:before="91"/>
              <w:ind w:left="1140"/>
              <w:jc w:val="left"/>
              <w:rPr>
                <w:sz w:val="24"/>
              </w:rPr>
            </w:pPr>
            <w:r>
              <w:rPr>
                <w:sz w:val="24"/>
              </w:rPr>
              <w:t>NNW/ENE</w:t>
            </w:r>
          </w:p>
        </w:tc>
      </w:tr>
    </w:tbl>
    <w:p>
      <w:pPr>
        <w:spacing w:after="0" w:line="256" w:lineRule="exact"/>
        <w:jc w:val="left"/>
        <w:rPr>
          <w:sz w:val="24"/>
        </w:rPr>
        <w:sectPr>
          <w:pgSz w:w="11910" w:h="16840"/>
          <w:pgMar w:header="874" w:footer="1004" w:top="1420" w:bottom="1200" w:left="1040" w:right="1160"/>
        </w:sectPr>
      </w:pPr>
    </w:p>
    <w:p>
      <w:pPr>
        <w:pStyle w:val="BodyText"/>
        <w:tabs>
          <w:tab w:pos="5638" w:val="left" w:leader="none"/>
        </w:tabs>
        <w:spacing w:before="92"/>
        <w:ind w:left="717"/>
        <w:rPr>
          <w:rFonts w:ascii="Times New Roman" w:eastAsia="Times New Roman"/>
        </w:rPr>
      </w:pPr>
      <w:r>
        <w:rPr/>
        <w:t>年平均风速</w:t>
        <w:tab/>
      </w:r>
      <w:r>
        <w:rPr>
          <w:rFonts w:ascii="Times New Roman" w:eastAsia="Times New Roman"/>
        </w:rPr>
        <w:t>1.88m/s</w:t>
      </w:r>
    </w:p>
    <w:p>
      <w:pPr>
        <w:pStyle w:val="BodyText"/>
        <w:tabs>
          <w:tab w:pos="5638" w:val="left" w:leader="none"/>
        </w:tabs>
        <w:spacing w:before="160"/>
        <w:ind w:left="717"/>
        <w:rPr>
          <w:rFonts w:ascii="Times New Roman" w:eastAsia="Times New Roman"/>
        </w:rPr>
      </w:pPr>
      <w:r>
        <w:rPr/>
        <w:t>年最大风速</w:t>
        <w:tab/>
      </w:r>
      <w:r>
        <w:rPr>
          <w:rFonts w:ascii="Times New Roman" w:eastAsia="Times New Roman"/>
        </w:rPr>
        <w:t>18m/s</w:t>
      </w:r>
    </w:p>
    <w:p>
      <w:pPr>
        <w:pStyle w:val="Heading3"/>
        <w:numPr>
          <w:ilvl w:val="2"/>
          <w:numId w:val="53"/>
        </w:numPr>
        <w:tabs>
          <w:tab w:pos="838" w:val="left" w:leader="none"/>
        </w:tabs>
        <w:spacing w:line="240" w:lineRule="auto" w:before="161" w:after="0"/>
        <w:ind w:left="837" w:right="0" w:hanging="601"/>
        <w:jc w:val="left"/>
      </w:pPr>
      <w:bookmarkStart w:name="_bookmark68" w:id="132"/>
      <w:bookmarkEnd w:id="132"/>
      <w:r>
        <w:rPr>
          <w:b w:val="0"/>
        </w:rPr>
      </w:r>
      <w:bookmarkStart w:name="_bookmark68" w:id="133"/>
      <w:bookmarkEnd w:id="133"/>
      <w:r>
        <w:rPr/>
        <w:t>土壤植被</w:t>
      </w:r>
    </w:p>
    <w:p>
      <w:pPr>
        <w:pStyle w:val="BodyText"/>
        <w:spacing w:line="364" w:lineRule="auto" w:before="160"/>
        <w:ind w:right="249" w:firstLine="480"/>
        <w:jc w:val="both"/>
      </w:pPr>
      <w:r>
        <w:rPr/>
        <w:t>绍兴地势大致上自西南向东北倾斜，地貌上从低山丘陵</w:t>
      </w:r>
      <w:r>
        <w:rPr>
          <w:rFonts w:ascii="Times New Roman" w:hAnsi="Times New Roman" w:eastAsia="Times New Roman"/>
        </w:rPr>
        <w:t>——</w:t>
      </w:r>
      <w:r>
        <w:rPr/>
        <w:t>山麓冲（洪）积扇</w:t>
      </w:r>
      <w:r>
        <w:rPr>
          <w:rFonts w:ascii="Times New Roman" w:hAnsi="Times New Roman" w:eastAsia="Times New Roman"/>
        </w:rPr>
        <w:t>—— </w:t>
      </w:r>
      <w:r>
        <w:rPr/>
        <w:t>水网平原（孤丘）</w:t>
      </w:r>
      <w:r>
        <w:rPr>
          <w:rFonts w:ascii="Times New Roman" w:hAnsi="Times New Roman" w:eastAsia="Times New Roman"/>
        </w:rPr>
        <w:t>——</w:t>
      </w:r>
      <w:r>
        <w:rPr/>
        <w:t>滨海平原过渡。因此，成土母质来源较为复杂，南部会稽山区多原积（风化物），坡积、冲洪积物，萧绍铁路以南以湖积物为主；铁路以北水网平原为浅海湖沼母质，滨海海涂为新海相沉积物。境内有红壤与水稻土两大土类；红壤广泛分布于南部的低山丘陵及北部平原的零星孤丘之上，根据其特征差异又可分为若干亚类和土属，多自然植被。常绿针叶林（松、杉）、落叶阔叶林（檫、枫、桐）、常绿阔叶林</w:t>
      </w:r>
    </w:p>
    <w:p>
      <w:pPr>
        <w:pStyle w:val="BodyText"/>
        <w:spacing w:line="364" w:lineRule="auto" w:before="4"/>
        <w:ind w:right="249"/>
        <w:jc w:val="both"/>
      </w:pPr>
      <w:r>
        <w:rPr/>
        <w:t>（樟、木荷）、灌木林（杜鹃、栎等）均有分布，人工林中，杉、松、毛竹、茶、果林分布也较普遍。水稻土是在各类自然土壤的基础上，经人们长期耕种水稻的条件下发育而成的一类特殊土壤（即人为水成土）。水稻土中也有不少亚类和土属，在水网地区主要以水稻栽培为主；耕作制度为油菜</w:t>
      </w:r>
      <w:r>
        <w:rPr>
          <w:rFonts w:ascii="Times New Roman" w:hAnsi="Times New Roman" w:eastAsia="Times New Roman"/>
        </w:rPr>
        <w:t>——</w:t>
      </w:r>
      <w:r>
        <w:rPr/>
        <w:t>稻</w:t>
      </w:r>
      <w:r>
        <w:rPr>
          <w:rFonts w:ascii="Times New Roman" w:hAnsi="Times New Roman" w:eastAsia="Times New Roman"/>
        </w:rPr>
        <w:t>——</w:t>
      </w:r>
      <w:r>
        <w:rPr/>
        <w:t>稻，或绿肥</w:t>
      </w:r>
      <w:r>
        <w:rPr>
          <w:rFonts w:ascii="Times New Roman" w:hAnsi="Times New Roman" w:eastAsia="Times New Roman"/>
        </w:rPr>
        <w:t>——</w:t>
      </w:r>
      <w:r>
        <w:rPr/>
        <w:t>稻</w:t>
      </w:r>
      <w:r>
        <w:rPr>
          <w:rFonts w:ascii="Times New Roman" w:hAnsi="Times New Roman" w:eastAsia="Times New Roman"/>
        </w:rPr>
        <w:t>——</w:t>
      </w:r>
      <w:r>
        <w:rPr/>
        <w:t>稻。</w:t>
      </w:r>
    </w:p>
    <w:p>
      <w:pPr>
        <w:pStyle w:val="Heading2"/>
        <w:numPr>
          <w:ilvl w:val="1"/>
          <w:numId w:val="53"/>
        </w:numPr>
        <w:tabs>
          <w:tab w:pos="730" w:val="left" w:leader="none"/>
        </w:tabs>
        <w:spacing w:line="240" w:lineRule="auto" w:before="54" w:after="0"/>
        <w:ind w:left="729" w:right="0" w:hanging="493"/>
        <w:jc w:val="left"/>
      </w:pPr>
      <w:bookmarkStart w:name="_bookmark69" w:id="134"/>
      <w:bookmarkEnd w:id="134"/>
      <w:r>
        <w:rPr>
          <w:b w:val="0"/>
        </w:rPr>
      </w:r>
      <w:bookmarkStart w:name="_bookmark69" w:id="135"/>
      <w:bookmarkEnd w:id="135"/>
      <w:r>
        <w:rPr/>
        <w:t>绍兴市污水处理厂概况</w:t>
      </w:r>
    </w:p>
    <w:p>
      <w:pPr>
        <w:pStyle w:val="BodyText"/>
        <w:spacing w:line="364" w:lineRule="auto" w:before="214"/>
        <w:ind w:right="247" w:firstLine="480"/>
        <w:jc w:val="both"/>
      </w:pPr>
      <w:r>
        <w:rPr/>
        <w:t>绍兴污水处理厂位于滨海工业区，主要承担绍兴市区和柯桥区 </w:t>
      </w:r>
      <w:r>
        <w:rPr>
          <w:rFonts w:ascii="Times New Roman" w:eastAsia="Times New Roman"/>
        </w:rPr>
        <w:t>90%</w:t>
      </w:r>
      <w:r>
        <w:rPr/>
        <w:t>以上工业废水和</w:t>
      </w:r>
      <w:r>
        <w:rPr>
          <w:rFonts w:ascii="Times New Roman" w:eastAsia="Times New Roman"/>
        </w:rPr>
        <w:t>80%</w:t>
      </w:r>
      <w:r>
        <w:rPr/>
        <w:t>以上生活污水的集中处理。污水中以印染污水为主，约占总进水量的 </w:t>
      </w:r>
      <w:r>
        <w:rPr>
          <w:rFonts w:ascii="Times New Roman" w:eastAsia="Times New Roman"/>
        </w:rPr>
        <w:t>75%</w:t>
      </w:r>
      <w:r>
        <w:rPr/>
        <w:t>以上。处理后排放去向为钱塘江。</w:t>
      </w:r>
    </w:p>
    <w:p>
      <w:pPr>
        <w:pStyle w:val="BodyText"/>
        <w:spacing w:line="364" w:lineRule="auto" w:before="2"/>
        <w:ind w:right="247" w:firstLine="480"/>
        <w:jc w:val="both"/>
      </w:pPr>
      <w:r>
        <w:rPr>
          <w:spacing w:val="-4"/>
        </w:rPr>
        <w:t>绍兴污水处理厂一期工程处理能力为 </w:t>
      </w:r>
      <w:r>
        <w:rPr>
          <w:rFonts w:ascii="Times New Roman" w:eastAsia="Times New Roman"/>
        </w:rPr>
        <w:t>30 </w:t>
      </w:r>
      <w:r>
        <w:rPr>
          <w:spacing w:val="-30"/>
        </w:rPr>
        <w:t>万 </w:t>
      </w:r>
      <w:r>
        <w:rPr>
          <w:rFonts w:ascii="Times New Roman" w:eastAsia="Times New Roman"/>
        </w:rPr>
        <w:t>m</w:t>
      </w:r>
      <w:r>
        <w:rPr>
          <w:rFonts w:ascii="Times New Roman" w:eastAsia="Times New Roman"/>
          <w:spacing w:val="1"/>
          <w:w w:val="100"/>
          <w:position w:val="9"/>
          <w:sz w:val="16"/>
        </w:rPr>
        <w:t>3</w:t>
      </w:r>
      <w:r>
        <w:rPr>
          <w:rFonts w:ascii="Times New Roman" w:eastAsia="Times New Roman"/>
          <w:spacing w:val="-2"/>
        </w:rPr>
        <w:t>/</w:t>
      </w:r>
      <w:r>
        <w:rPr>
          <w:rFonts w:ascii="Times New Roman" w:eastAsia="Times New Roman"/>
        </w:rPr>
        <w:t>d</w:t>
      </w:r>
      <w:r>
        <w:rPr>
          <w:spacing w:val="-120"/>
        </w:rPr>
        <w:t>，</w:t>
      </w:r>
      <w:r>
        <w:rPr>
          <w:rFonts w:ascii="Times New Roman" w:eastAsia="Times New Roman"/>
        </w:rPr>
        <w:t>1998 </w:t>
      </w:r>
      <w:r>
        <w:rPr>
          <w:spacing w:val="-30"/>
        </w:rPr>
        <w:t>年 </w:t>
      </w:r>
      <w:r>
        <w:rPr>
          <w:rFonts w:ascii="Times New Roman" w:eastAsia="Times New Roman"/>
        </w:rPr>
        <w:t>12 </w:t>
      </w:r>
      <w:r>
        <w:rPr>
          <w:spacing w:val="-14"/>
        </w:rPr>
        <w:t>月经国家计委立项，</w:t>
      </w:r>
      <w:r>
        <w:rPr>
          <w:rFonts w:ascii="Times New Roman" w:eastAsia="Times New Roman"/>
          <w:spacing w:val="-3"/>
        </w:rPr>
        <w:t>1998</w:t>
      </w:r>
      <w:r>
        <w:rPr>
          <w:spacing w:val="-28"/>
        </w:rPr>
        <w:t>年 </w:t>
      </w:r>
      <w:r>
        <w:rPr>
          <w:rFonts w:ascii="Times New Roman" w:eastAsia="Times New Roman"/>
        </w:rPr>
        <w:t>9</w:t>
      </w:r>
      <w:r>
        <w:rPr>
          <w:rFonts w:ascii="Times New Roman" w:eastAsia="Times New Roman"/>
          <w:spacing w:val="4"/>
        </w:rPr>
        <w:t> </w:t>
      </w:r>
      <w:r>
        <w:rPr>
          <w:spacing w:val="-3"/>
        </w:rPr>
        <w:t>月经国家计委批准建设，工程实际总投资为 </w:t>
      </w:r>
      <w:r>
        <w:rPr>
          <w:rFonts w:ascii="Times New Roman" w:eastAsia="Times New Roman"/>
        </w:rPr>
        <w:t>5.1</w:t>
      </w:r>
      <w:r>
        <w:rPr>
          <w:rFonts w:ascii="Times New Roman" w:eastAsia="Times New Roman"/>
          <w:spacing w:val="4"/>
        </w:rPr>
        <w:t> </w:t>
      </w:r>
      <w:r>
        <w:rPr>
          <w:spacing w:val="-7"/>
        </w:rPr>
        <w:t>亿元；前期工程于 </w:t>
      </w:r>
      <w:r>
        <w:rPr>
          <w:rFonts w:ascii="Times New Roman" w:eastAsia="Times New Roman"/>
        </w:rPr>
        <w:t>2000</w:t>
      </w:r>
      <w:r>
        <w:rPr>
          <w:rFonts w:ascii="Times New Roman" w:eastAsia="Times New Roman"/>
          <w:spacing w:val="4"/>
        </w:rPr>
        <w:t> </w:t>
      </w:r>
      <w:r>
        <w:rPr>
          <w:spacing w:val="-28"/>
        </w:rPr>
        <w:t>年 </w:t>
      </w:r>
      <w:r>
        <w:rPr>
          <w:rFonts w:ascii="Times New Roman" w:eastAsia="Times New Roman"/>
        </w:rPr>
        <w:t>4</w:t>
      </w:r>
      <w:r>
        <w:rPr>
          <w:rFonts w:ascii="Times New Roman" w:eastAsia="Times New Roman"/>
          <w:spacing w:val="4"/>
        </w:rPr>
        <w:t> </w:t>
      </w:r>
      <w:r>
        <w:rPr>
          <w:spacing w:val="-4"/>
        </w:rPr>
        <w:t>月开工</w:t>
      </w:r>
    </w:p>
    <w:p>
      <w:pPr>
        <w:pStyle w:val="BodyText"/>
        <w:spacing w:before="1"/>
        <w:jc w:val="both"/>
      </w:pPr>
      <w:r>
        <w:rPr>
          <w:spacing w:val="-4"/>
        </w:rPr>
        <w:t>建设，</w:t>
      </w:r>
      <w:r>
        <w:rPr>
          <w:rFonts w:ascii="Times New Roman" w:eastAsia="Times New Roman"/>
          <w:spacing w:val="-9"/>
        </w:rPr>
        <w:t>2001</w:t>
      </w:r>
      <w:r>
        <w:rPr>
          <w:rFonts w:ascii="Times New Roman" w:eastAsia="Times New Roman"/>
          <w:spacing w:val="-1"/>
        </w:rPr>
        <w:t> </w:t>
      </w:r>
      <w:r>
        <w:rPr>
          <w:spacing w:val="-30"/>
        </w:rPr>
        <w:t>年 </w:t>
      </w:r>
      <w:r>
        <w:rPr>
          <w:rFonts w:ascii="Times New Roman" w:eastAsia="Times New Roman"/>
        </w:rPr>
        <w:t>6 </w:t>
      </w:r>
      <w:r>
        <w:rPr>
          <w:spacing w:val="-10"/>
        </w:rPr>
        <w:t>月建成并投入试运行；于 </w:t>
      </w:r>
      <w:r>
        <w:rPr>
          <w:rFonts w:ascii="Times New Roman" w:eastAsia="Times New Roman"/>
        </w:rPr>
        <w:t>2003 </w:t>
      </w:r>
      <w:r>
        <w:rPr>
          <w:spacing w:val="-30"/>
        </w:rPr>
        <w:t>年 </w:t>
      </w:r>
      <w:r>
        <w:rPr>
          <w:rFonts w:ascii="Times New Roman" w:eastAsia="Times New Roman"/>
        </w:rPr>
        <w:t>7</w:t>
      </w:r>
      <w:r>
        <w:rPr>
          <w:rFonts w:ascii="Times New Roman" w:eastAsia="Times New Roman"/>
          <w:spacing w:val="1"/>
        </w:rPr>
        <w:t> </w:t>
      </w:r>
      <w:r>
        <w:rPr/>
        <w:t>月通过国家环保总局组织的竣工验收</w:t>
      </w:r>
    </w:p>
    <w:p>
      <w:pPr>
        <w:pStyle w:val="BodyText"/>
        <w:spacing w:line="364" w:lineRule="auto" w:before="161"/>
        <w:ind w:right="249"/>
        <w:jc w:val="both"/>
      </w:pPr>
      <w:r>
        <w:rPr/>
        <w:t>（环验</w:t>
      </w:r>
      <w:r>
        <w:rPr>
          <w:rFonts w:ascii="Times New Roman" w:hAnsi="Times New Roman" w:eastAsia="Times New Roman"/>
        </w:rPr>
        <w:t>[2003]048</w:t>
      </w:r>
      <w:r>
        <w:rPr>
          <w:rFonts w:ascii="Times New Roman" w:hAnsi="Times New Roman" w:eastAsia="Times New Roman"/>
          <w:spacing w:val="-4"/>
        </w:rPr>
        <w:t> </w:t>
      </w:r>
      <w:r>
        <w:rPr/>
        <w:t>号）</w:t>
      </w:r>
      <w:r>
        <w:rPr>
          <w:spacing w:val="-1"/>
        </w:rPr>
        <w:t>；污水处理工艺采用预处理、厌氧</w:t>
      </w:r>
      <w:r>
        <w:rPr>
          <w:rFonts w:ascii="Times New Roman" w:hAnsi="Times New Roman" w:eastAsia="Times New Roman"/>
        </w:rPr>
        <w:t>—</w:t>
      </w:r>
      <w:r>
        <w:rPr>
          <w:spacing w:val="-1"/>
        </w:rPr>
        <w:t>好氧流程。绍兴污水处理厂二</w:t>
      </w:r>
      <w:r>
        <w:rPr>
          <w:spacing w:val="-8"/>
        </w:rPr>
        <w:t>期工程处理能力为 </w:t>
      </w:r>
      <w:r>
        <w:rPr>
          <w:rFonts w:ascii="Times New Roman" w:hAnsi="Times New Roman" w:eastAsia="Times New Roman"/>
        </w:rPr>
        <w:t>30 </w:t>
      </w:r>
      <w:r>
        <w:rPr>
          <w:spacing w:val="-30"/>
        </w:rPr>
        <w:t>万 </w:t>
      </w:r>
      <w:r>
        <w:rPr>
          <w:rFonts w:ascii="Times New Roman" w:hAnsi="Times New Roman" w:eastAsia="Times New Roman"/>
        </w:rPr>
        <w:t>m</w:t>
      </w:r>
      <w:r>
        <w:rPr>
          <w:rFonts w:ascii="Times New Roman" w:hAnsi="Times New Roman" w:eastAsia="Times New Roman"/>
          <w:spacing w:val="1"/>
          <w:w w:val="100"/>
          <w:position w:val="9"/>
          <w:sz w:val="16"/>
        </w:rPr>
        <w:t>3</w:t>
      </w:r>
      <w:r>
        <w:rPr>
          <w:rFonts w:ascii="Times New Roman" w:hAnsi="Times New Roman" w:eastAsia="Times New Roman"/>
        </w:rPr>
        <w:t>/d</w:t>
      </w:r>
      <w:r>
        <w:rPr>
          <w:spacing w:val="-101"/>
        </w:rPr>
        <w:t>，</w:t>
      </w:r>
      <w:r>
        <w:rPr>
          <w:rFonts w:ascii="Times New Roman" w:hAnsi="Times New Roman" w:eastAsia="Times New Roman"/>
        </w:rPr>
        <w:t>2002 </w:t>
      </w:r>
      <w:r>
        <w:rPr>
          <w:spacing w:val="-11"/>
        </w:rPr>
        <w:t>年由省发展计划委员会批准立项，投资 </w:t>
      </w:r>
      <w:r>
        <w:rPr>
          <w:rFonts w:ascii="Times New Roman" w:hAnsi="Times New Roman" w:eastAsia="Times New Roman"/>
        </w:rPr>
        <w:t>6.5 </w:t>
      </w:r>
      <w:r>
        <w:rPr>
          <w:spacing w:val="-34"/>
        </w:rPr>
        <w:t>亿元，</w:t>
      </w:r>
      <w:r>
        <w:rPr>
          <w:rFonts w:ascii="Times New Roman" w:hAnsi="Times New Roman" w:eastAsia="Times New Roman"/>
        </w:rPr>
        <w:t>2003</w:t>
      </w:r>
      <w:r>
        <w:rPr/>
        <w:t>年底完工投入运行；</w:t>
      </w:r>
      <w:r>
        <w:rPr>
          <w:rFonts w:ascii="Times New Roman" w:hAnsi="Times New Roman" w:eastAsia="Times New Roman"/>
        </w:rPr>
        <w:t>2005</w:t>
      </w:r>
      <w:r>
        <w:rPr>
          <w:rFonts w:ascii="Times New Roman" w:hAnsi="Times New Roman" w:eastAsia="Times New Roman"/>
          <w:spacing w:val="14"/>
        </w:rPr>
        <w:t> </w:t>
      </w:r>
      <w:r>
        <w:rPr>
          <w:spacing w:val="-23"/>
        </w:rPr>
        <w:t>年 </w:t>
      </w:r>
      <w:r>
        <w:rPr>
          <w:rFonts w:ascii="Times New Roman" w:hAnsi="Times New Roman" w:eastAsia="Times New Roman"/>
        </w:rPr>
        <w:t>12</w:t>
      </w:r>
      <w:r>
        <w:rPr>
          <w:rFonts w:ascii="Times New Roman" w:hAnsi="Times New Roman" w:eastAsia="Times New Roman"/>
          <w:spacing w:val="14"/>
        </w:rPr>
        <w:t> </w:t>
      </w:r>
      <w:r>
        <w:rPr>
          <w:spacing w:val="-1"/>
        </w:rPr>
        <w:t>月通过国家环保总局</w:t>
      </w:r>
      <w:r>
        <w:rPr/>
        <w:t>（环验</w:t>
      </w:r>
      <w:r>
        <w:rPr>
          <w:rFonts w:ascii="Times New Roman" w:hAnsi="Times New Roman" w:eastAsia="Times New Roman"/>
        </w:rPr>
        <w:t>[2005]140</w:t>
      </w:r>
      <w:r>
        <w:rPr>
          <w:rFonts w:ascii="Times New Roman" w:hAnsi="Times New Roman" w:eastAsia="Times New Roman"/>
          <w:spacing w:val="15"/>
        </w:rPr>
        <w:t> </w:t>
      </w:r>
      <w:r>
        <w:rPr/>
        <w:t>号）</w:t>
      </w:r>
      <w:r>
        <w:rPr>
          <w:spacing w:val="-3"/>
        </w:rPr>
        <w:t>、浙江省环境</w:t>
      </w:r>
      <w:r>
        <w:rPr/>
        <w:t>保护局组织的竣工验收；工程采用意大利泰克皮奥生物技术有限公司印染处理工艺技术</w:t>
      </w:r>
      <w:r>
        <w:rPr>
          <w:rFonts w:ascii="Times New Roman" w:hAnsi="Times New Roman" w:eastAsia="Times New Roman"/>
        </w:rPr>
        <w:t>“</w:t>
      </w:r>
      <w:r>
        <w:rPr/>
        <w:t>新型氧化沟</w:t>
      </w:r>
      <w:r>
        <w:rPr>
          <w:rFonts w:ascii="Times New Roman" w:hAnsi="Times New Roman" w:eastAsia="Times New Roman"/>
        </w:rPr>
        <w:t>”</w:t>
      </w:r>
      <w:r>
        <w:rPr>
          <w:spacing w:val="-4"/>
        </w:rPr>
        <w:t>。绍兴污水处理厂三期工程 </w:t>
      </w:r>
      <w:r>
        <w:rPr>
          <w:rFonts w:ascii="Times New Roman" w:hAnsi="Times New Roman" w:eastAsia="Times New Roman"/>
        </w:rPr>
        <w:t>2003</w:t>
      </w:r>
      <w:r>
        <w:rPr>
          <w:rFonts w:ascii="Times New Roman" w:hAnsi="Times New Roman" w:eastAsia="Times New Roman"/>
          <w:spacing w:val="14"/>
        </w:rPr>
        <w:t> </w:t>
      </w:r>
      <w:r>
        <w:rPr>
          <w:spacing w:val="-23"/>
        </w:rPr>
        <w:t>年 </w:t>
      </w:r>
      <w:r>
        <w:rPr>
          <w:rFonts w:ascii="Times New Roman" w:hAnsi="Times New Roman" w:eastAsia="Times New Roman"/>
          <w:spacing w:val="-5"/>
        </w:rPr>
        <w:t>11</w:t>
      </w:r>
      <w:r>
        <w:rPr>
          <w:rFonts w:ascii="Times New Roman" w:hAnsi="Times New Roman" w:eastAsia="Times New Roman"/>
          <w:spacing w:val="14"/>
        </w:rPr>
        <w:t> </w:t>
      </w:r>
      <w:r>
        <w:rPr/>
        <w:t>月由省计经委立项，</w:t>
      </w:r>
      <w:r>
        <w:rPr>
          <w:rFonts w:ascii="Times New Roman" w:hAnsi="Times New Roman" w:eastAsia="Times New Roman"/>
        </w:rPr>
        <w:t>2006</w:t>
      </w:r>
      <w:r>
        <w:rPr>
          <w:rFonts w:ascii="Times New Roman" w:hAnsi="Times New Roman" w:eastAsia="Times New Roman"/>
          <w:spacing w:val="14"/>
        </w:rPr>
        <w:t> </w:t>
      </w:r>
      <w:r>
        <w:rPr>
          <w:spacing w:val="-4"/>
        </w:rPr>
        <w:t>年开始建</w:t>
      </w:r>
    </w:p>
    <w:p>
      <w:pPr>
        <w:pStyle w:val="BodyText"/>
        <w:spacing w:line="364" w:lineRule="auto" w:before="4"/>
        <w:ind w:right="247"/>
        <w:jc w:val="both"/>
      </w:pPr>
      <w:r>
        <w:rPr>
          <w:spacing w:val="-2"/>
        </w:rPr>
        <w:t>设，</w:t>
      </w:r>
      <w:r>
        <w:rPr>
          <w:rFonts w:ascii="Times New Roman" w:eastAsia="Times New Roman"/>
          <w:spacing w:val="-3"/>
        </w:rPr>
        <w:t>2008 </w:t>
      </w:r>
      <w:r>
        <w:rPr>
          <w:spacing w:val="-30"/>
        </w:rPr>
        <w:t>年 </w:t>
      </w:r>
      <w:r>
        <w:rPr>
          <w:rFonts w:ascii="Times New Roman" w:eastAsia="Times New Roman"/>
        </w:rPr>
        <w:t>7 </w:t>
      </w:r>
      <w:r>
        <w:rPr>
          <w:spacing w:val="-6"/>
        </w:rPr>
        <w:t>月建成并投入试运行，日处理废水量为 </w:t>
      </w:r>
      <w:r>
        <w:rPr>
          <w:rFonts w:ascii="Times New Roman" w:eastAsia="Times New Roman"/>
        </w:rPr>
        <w:t>20 </w:t>
      </w:r>
      <w:r>
        <w:rPr>
          <w:spacing w:val="-30"/>
        </w:rPr>
        <w:t>万 </w:t>
      </w:r>
      <w:r>
        <w:rPr>
          <w:rFonts w:ascii="Times New Roman" w:eastAsia="Times New Roman"/>
          <w:spacing w:val="-3"/>
        </w:rPr>
        <w:t>m</w:t>
      </w:r>
      <w:r>
        <w:rPr>
          <w:rFonts w:ascii="Times New Roman" w:eastAsia="Times New Roman"/>
          <w:spacing w:val="-3"/>
          <w:position w:val="9"/>
          <w:sz w:val="16"/>
        </w:rPr>
        <w:t>3</w:t>
      </w:r>
      <w:r>
        <w:rPr>
          <w:rFonts w:ascii="Times New Roman" w:eastAsia="Times New Roman"/>
          <w:spacing w:val="-3"/>
        </w:rPr>
        <w:t>/d</w:t>
      </w:r>
      <w:r>
        <w:rPr>
          <w:spacing w:val="-17"/>
        </w:rPr>
        <w:t>，投资 </w:t>
      </w:r>
      <w:r>
        <w:rPr>
          <w:rFonts w:ascii="Times New Roman" w:eastAsia="Times New Roman"/>
        </w:rPr>
        <w:t>4.5 </w:t>
      </w:r>
      <w:r>
        <w:rPr>
          <w:spacing w:val="-6"/>
        </w:rPr>
        <w:t>亿元；处理工</w:t>
      </w:r>
      <w:r>
        <w:rPr/>
        <w:t>艺流程采用混凝沉淀、酸化水解、延时曝气处理工艺。后来，绍兴污水处理厂通过环保</w:t>
      </w:r>
      <w:r>
        <w:rPr>
          <w:spacing w:val="-6"/>
        </w:rPr>
        <w:t>治理设施技术改造，并经认定一、二期处理能力由 </w:t>
      </w:r>
      <w:r>
        <w:rPr>
          <w:rFonts w:ascii="Times New Roman" w:eastAsia="Times New Roman"/>
        </w:rPr>
        <w:t>60 </w:t>
      </w:r>
      <w:r>
        <w:rPr>
          <w:spacing w:val="-29"/>
        </w:rPr>
        <w:t>万 </w:t>
      </w:r>
      <w:r>
        <w:rPr>
          <w:rFonts w:ascii="Times New Roman" w:eastAsia="Times New Roman"/>
        </w:rPr>
        <w:t>m</w:t>
      </w:r>
      <w:r>
        <w:rPr>
          <w:rFonts w:ascii="Times New Roman" w:eastAsia="Times New Roman"/>
          <w:position w:val="9"/>
          <w:sz w:val="16"/>
        </w:rPr>
        <w:t>3</w:t>
      </w:r>
      <w:r>
        <w:rPr>
          <w:rFonts w:ascii="Times New Roman" w:eastAsia="Times New Roman"/>
        </w:rPr>
        <w:t>/d </w:t>
      </w:r>
      <w:r>
        <w:rPr>
          <w:spacing w:val="-16"/>
        </w:rPr>
        <w:t>扩大到 </w:t>
      </w:r>
      <w:r>
        <w:rPr>
          <w:rFonts w:ascii="Times New Roman" w:eastAsia="Times New Roman"/>
        </w:rPr>
        <w:t>70 </w:t>
      </w:r>
      <w:r>
        <w:rPr>
          <w:spacing w:val="-29"/>
        </w:rPr>
        <w:t>万 </w:t>
      </w:r>
      <w:r>
        <w:rPr>
          <w:rFonts w:ascii="Times New Roman" w:eastAsia="Times New Roman"/>
          <w:spacing w:val="-3"/>
        </w:rPr>
        <w:t>m</w:t>
      </w:r>
      <w:r>
        <w:rPr>
          <w:rFonts w:ascii="Times New Roman" w:eastAsia="Times New Roman"/>
          <w:spacing w:val="-3"/>
          <w:position w:val="9"/>
          <w:sz w:val="16"/>
        </w:rPr>
        <w:t>3</w:t>
      </w:r>
      <w:r>
        <w:rPr>
          <w:rFonts w:ascii="Times New Roman" w:eastAsia="Times New Roman"/>
          <w:spacing w:val="-3"/>
        </w:rPr>
        <w:t>/d</w:t>
      </w:r>
      <w:r>
        <w:rPr>
          <w:spacing w:val="-5"/>
        </w:rPr>
        <w:t>，因此绍</w:t>
      </w:r>
      <w:r>
        <w:rPr>
          <w:spacing w:val="-4"/>
        </w:rPr>
        <w:t>兴污水处理厂污水目前日处理能力为 </w:t>
      </w:r>
      <w:r>
        <w:rPr>
          <w:rFonts w:ascii="Times New Roman" w:eastAsia="Times New Roman"/>
        </w:rPr>
        <w:t>90 </w:t>
      </w:r>
      <w:r>
        <w:rPr>
          <w:spacing w:val="-30"/>
        </w:rPr>
        <w:t>万 </w:t>
      </w:r>
      <w:r>
        <w:rPr>
          <w:rFonts w:ascii="Times New Roman" w:eastAsia="Times New Roman"/>
        </w:rPr>
        <w:t>m</w:t>
      </w:r>
      <w:r>
        <w:rPr>
          <w:rFonts w:ascii="Times New Roman" w:eastAsia="Times New Roman"/>
          <w:position w:val="9"/>
          <w:sz w:val="16"/>
        </w:rPr>
        <w:t>3</w:t>
      </w:r>
      <w:r>
        <w:rPr>
          <w:rFonts w:ascii="Times New Roman" w:eastAsia="Times New Roman"/>
        </w:rPr>
        <w:t>/d</w:t>
      </w:r>
      <w:r>
        <w:rPr/>
        <w:t>。</w:t>
      </w:r>
    </w:p>
    <w:p>
      <w:pPr>
        <w:spacing w:after="0" w:line="364" w:lineRule="auto"/>
        <w:jc w:val="both"/>
        <w:sectPr>
          <w:pgSz w:w="11910" w:h="16840"/>
          <w:pgMar w:header="874" w:footer="1004" w:top="1420" w:bottom="1200" w:left="1040" w:right="1160"/>
        </w:sectPr>
      </w:pPr>
    </w:p>
    <w:p>
      <w:pPr>
        <w:pStyle w:val="BodyText"/>
        <w:spacing w:before="92"/>
        <w:ind w:left="0" w:right="263"/>
        <w:jc w:val="right"/>
      </w:pPr>
      <w:r>
        <w:rPr>
          <w:spacing w:val="16"/>
        </w:rPr>
        <w:t>根据《关于明确绍兴水处理发展有限公司废水排放适用标准的函》（</w:t>
      </w:r>
      <w:r>
        <w:rPr>
          <w:spacing w:val="12"/>
        </w:rPr>
        <w:t>绍市环函</w:t>
      </w:r>
    </w:p>
    <w:p>
      <w:pPr>
        <w:pStyle w:val="BodyText"/>
        <w:spacing w:before="160"/>
        <w:ind w:left="0" w:right="254"/>
        <w:jc w:val="right"/>
      </w:pPr>
      <w:r>
        <w:rPr>
          <w:rFonts w:ascii="Times New Roman" w:hAnsi="Times New Roman" w:eastAsia="Times New Roman"/>
        </w:rPr>
        <w:t>[2016]259</w:t>
      </w:r>
      <w:r>
        <w:rPr>
          <w:rFonts w:ascii="Times New Roman" w:hAnsi="Times New Roman" w:eastAsia="Times New Roman"/>
          <w:spacing w:val="-2"/>
        </w:rPr>
        <w:t> </w:t>
      </w:r>
      <w:r>
        <w:rPr/>
        <w:t>号</w:t>
      </w:r>
      <w:r>
        <w:rPr>
          <w:spacing w:val="-7"/>
        </w:rPr>
        <w:t>），</w:t>
      </w:r>
      <w:r>
        <w:rPr>
          <w:rFonts w:ascii="Times New Roman" w:hAnsi="Times New Roman" w:eastAsia="Times New Roman"/>
          <w:spacing w:val="-7"/>
        </w:rPr>
        <w:t>2014</w:t>
      </w:r>
      <w:r>
        <w:rPr>
          <w:rFonts w:ascii="Times New Roman" w:hAnsi="Times New Roman" w:eastAsia="Times New Roman"/>
        </w:rPr>
        <w:t> </w:t>
      </w:r>
      <w:r>
        <w:rPr/>
        <w:t>年绍兴市被列为全国</w:t>
      </w:r>
      <w:r>
        <w:rPr>
          <w:rFonts w:ascii="Times New Roman" w:hAnsi="Times New Roman" w:eastAsia="Times New Roman"/>
        </w:rPr>
        <w:t>“</w:t>
      </w:r>
      <w:r>
        <w:rPr/>
        <w:t>印染废水分质提标集中预处理</w:t>
      </w:r>
      <w:r>
        <w:rPr>
          <w:rFonts w:ascii="Times New Roman" w:hAnsi="Times New Roman" w:eastAsia="Times New Roman"/>
        </w:rPr>
        <w:t>”</w:t>
      </w:r>
      <w:r>
        <w:rPr/>
        <w:t>的唯一试点地</w:t>
      </w:r>
    </w:p>
    <w:p>
      <w:pPr>
        <w:pStyle w:val="BodyText"/>
        <w:spacing w:before="161"/>
        <w:ind w:left="0" w:right="252"/>
        <w:jc w:val="right"/>
      </w:pPr>
      <w:r>
        <w:rPr>
          <w:spacing w:val="-12"/>
        </w:rPr>
        <w:t>区，目前工程已基本完工，绍兴水处理发展有限公司 </w:t>
      </w:r>
      <w:r>
        <w:rPr>
          <w:rFonts w:ascii="Times New Roman" w:eastAsia="Times New Roman"/>
        </w:rPr>
        <w:t>30 </w:t>
      </w:r>
      <w:r>
        <w:rPr/>
        <w:t>万吨</w:t>
      </w:r>
      <w:r>
        <w:rPr>
          <w:rFonts w:ascii="Times New Roman" w:eastAsia="Times New Roman"/>
        </w:rPr>
        <w:t>/</w:t>
      </w:r>
      <w:r>
        <w:rPr>
          <w:spacing w:val="-4"/>
        </w:rPr>
        <w:t>日生活污水处理单元</w:t>
      </w:r>
      <w:r>
        <w:rPr/>
        <w:t>（原一</w:t>
      </w:r>
    </w:p>
    <w:p>
      <w:pPr>
        <w:pStyle w:val="BodyText"/>
        <w:spacing w:before="160"/>
        <w:ind w:left="0" w:right="252"/>
        <w:jc w:val="right"/>
      </w:pPr>
      <w:r>
        <w:rPr/>
        <w:t>期工程</w:t>
      </w:r>
      <w:r>
        <w:rPr>
          <w:spacing w:val="-20"/>
        </w:rPr>
        <w:t>）</w:t>
      </w:r>
      <w:r>
        <w:rPr>
          <w:spacing w:val="-30"/>
        </w:rPr>
        <w:t>和 </w:t>
      </w:r>
      <w:r>
        <w:rPr>
          <w:rFonts w:ascii="Times New Roman" w:eastAsia="Times New Roman"/>
        </w:rPr>
        <w:t>60</w:t>
      </w:r>
      <w:r>
        <w:rPr>
          <w:rFonts w:ascii="Times New Roman" w:eastAsia="Times New Roman"/>
          <w:spacing w:val="1"/>
        </w:rPr>
        <w:t> </w:t>
      </w:r>
      <w:r>
        <w:rPr/>
        <w:t>万吨</w:t>
      </w:r>
      <w:r>
        <w:rPr>
          <w:rFonts w:ascii="Times New Roman" w:eastAsia="Times New Roman"/>
        </w:rPr>
        <w:t>/</w:t>
      </w:r>
      <w:r>
        <w:rPr>
          <w:spacing w:val="-3"/>
        </w:rPr>
        <w:t>日工业废水处理单元</w:t>
      </w:r>
      <w:r>
        <w:rPr/>
        <w:t>（</w:t>
      </w:r>
      <w:r>
        <w:rPr>
          <w:spacing w:val="-5"/>
        </w:rPr>
        <w:t>原二、三期工程</w:t>
      </w:r>
      <w:r>
        <w:rPr>
          <w:spacing w:val="-20"/>
        </w:rPr>
        <w:t>）</w:t>
      </w:r>
      <w:r>
        <w:rPr>
          <w:spacing w:val="-4"/>
        </w:rPr>
        <w:t>已完成调试，现就废水排放</w:t>
      </w:r>
    </w:p>
    <w:p>
      <w:pPr>
        <w:pStyle w:val="BodyText"/>
        <w:spacing w:before="161"/>
        <w:jc w:val="both"/>
      </w:pPr>
      <w:r>
        <w:rPr>
          <w:spacing w:val="-6"/>
        </w:rPr>
        <w:t>适用标准明确如下：明确绍兴水处理发展有限公司工业废水处理单元排放口 </w:t>
      </w:r>
      <w:r>
        <w:rPr>
          <w:rFonts w:ascii="Times New Roman" w:eastAsia="Times New Roman"/>
        </w:rPr>
        <w:t>2017 </w:t>
      </w:r>
      <w:r>
        <w:rPr>
          <w:spacing w:val="-30"/>
        </w:rPr>
        <w:t>年 </w:t>
      </w:r>
      <w:r>
        <w:rPr>
          <w:rFonts w:ascii="Times New Roman" w:eastAsia="Times New Roman"/>
        </w:rPr>
        <w:t>1 </w:t>
      </w:r>
      <w:r>
        <w:rPr/>
        <w:t>月</w:t>
      </w:r>
    </w:p>
    <w:p>
      <w:pPr>
        <w:pStyle w:val="BodyText"/>
        <w:spacing w:line="364" w:lineRule="auto" w:before="160"/>
        <w:ind w:right="248"/>
        <w:jc w:val="both"/>
      </w:pPr>
      <w:r>
        <w:rPr>
          <w:rFonts w:ascii="Times New Roman" w:eastAsia="Times New Roman"/>
        </w:rPr>
        <w:t>1 </w:t>
      </w:r>
      <w:r>
        <w:rPr>
          <w:spacing w:val="-6"/>
        </w:rPr>
        <w:t>日起执行《纺织染整工业水污染物排放标准》</w:t>
      </w:r>
      <w:r>
        <w:rPr/>
        <w:t>（</w:t>
      </w:r>
      <w:r>
        <w:rPr>
          <w:rFonts w:ascii="Times New Roman" w:eastAsia="Times New Roman"/>
        </w:rPr>
        <w:t>GB 4287-2012</w:t>
      </w:r>
      <w:r>
        <w:rPr/>
        <w:t>）</w:t>
      </w:r>
      <w:r>
        <w:rPr>
          <w:spacing w:val="-3"/>
        </w:rPr>
        <w:t>的直接排放限值，其中六价铬指标在印染企业车间排放口监测；生活污水处理单元按要求完成提标改造，</w:t>
      </w:r>
      <w:r>
        <w:rPr>
          <w:rFonts w:ascii="Times New Roman" w:eastAsia="Times New Roman"/>
        </w:rPr>
        <w:t>2017 </w:t>
      </w:r>
      <w:r>
        <w:rPr>
          <w:spacing w:val="-21"/>
        </w:rPr>
        <w:t>年 </w:t>
      </w:r>
      <w:r>
        <w:rPr>
          <w:rFonts w:ascii="Times New Roman" w:eastAsia="Times New Roman"/>
        </w:rPr>
        <w:t>1 </w:t>
      </w:r>
      <w:r>
        <w:rPr>
          <w:spacing w:val="-20"/>
        </w:rPr>
        <w:t>月 </w:t>
      </w:r>
      <w:r>
        <w:rPr>
          <w:rFonts w:ascii="Times New Roman" w:eastAsia="Times New Roman"/>
        </w:rPr>
        <w:t>1 </w:t>
      </w:r>
      <w:r>
        <w:rPr/>
        <w:t>日起排放口执行《城镇污水处理厂排放标准》（</w:t>
      </w:r>
      <w:r>
        <w:rPr>
          <w:rFonts w:ascii="Times New Roman" w:eastAsia="Times New Roman"/>
        </w:rPr>
        <w:t>GB18918-2002</w:t>
      </w:r>
      <w:r>
        <w:rPr/>
        <w:t>）</w:t>
      </w:r>
      <w:r>
        <w:rPr>
          <w:spacing w:val="-21"/>
        </w:rPr>
        <w:t>表 </w:t>
      </w:r>
      <w:r>
        <w:rPr>
          <w:rFonts w:ascii="Times New Roman" w:eastAsia="Times New Roman"/>
        </w:rPr>
        <w:t>1</w:t>
      </w:r>
      <w:r>
        <w:rPr/>
        <w:t>《基本控制项目最高允许排放浓度（日均值）</w:t>
      </w:r>
      <w:r>
        <w:rPr>
          <w:spacing w:val="-7"/>
        </w:rPr>
        <w:t>》一级 </w:t>
      </w:r>
      <w:r>
        <w:rPr>
          <w:rFonts w:ascii="Times New Roman" w:eastAsia="Times New Roman"/>
        </w:rPr>
        <w:t>A </w:t>
      </w:r>
      <w:r>
        <w:rPr>
          <w:spacing w:val="-6"/>
        </w:rPr>
        <w:t>标准和表 </w:t>
      </w:r>
      <w:r>
        <w:rPr>
          <w:rFonts w:ascii="Times New Roman" w:eastAsia="Times New Roman"/>
        </w:rPr>
        <w:t>2</w:t>
      </w:r>
      <w:r>
        <w:rPr>
          <w:spacing w:val="-1"/>
        </w:rPr>
        <w:t>《部分一类污染物最高允许排</w:t>
      </w:r>
      <w:r>
        <w:rPr/>
        <w:t>放浓度（日均值）》。产生的污泥经合并处理脱水后送绍兴市中环再生能源有限公司、浙江环兴机械有限公司、绍兴泰谱环保科技有限公司无害化处置。</w:t>
      </w:r>
    </w:p>
    <w:p>
      <w:pPr>
        <w:pStyle w:val="BodyText"/>
        <w:spacing w:line="364" w:lineRule="auto" w:before="4"/>
        <w:ind w:right="249" w:firstLine="480"/>
        <w:jc w:val="both"/>
      </w:pPr>
      <w:r>
        <w:rPr/>
        <w:t>本项目废水最终纳入绍兴污水处理厂生活污水处理系统进行处理，为判断其达标排</w:t>
      </w:r>
      <w:r>
        <w:rPr>
          <w:spacing w:val="-17"/>
        </w:rPr>
        <w:t>放情况，本环评收集了 </w:t>
      </w:r>
      <w:r>
        <w:rPr>
          <w:rFonts w:ascii="Times New Roman" w:hAnsi="Times New Roman" w:eastAsia="Times New Roman"/>
        </w:rPr>
        <w:t>2020 </w:t>
      </w:r>
      <w:r>
        <w:rPr>
          <w:spacing w:val="-30"/>
        </w:rPr>
        <w:t>年 </w:t>
      </w:r>
      <w:r>
        <w:rPr>
          <w:rFonts w:ascii="Times New Roman" w:hAnsi="Times New Roman" w:eastAsia="Times New Roman"/>
          <w:spacing w:val="-5"/>
        </w:rPr>
        <w:t>11 </w:t>
      </w:r>
      <w:r>
        <w:rPr>
          <w:spacing w:val="-30"/>
        </w:rPr>
        <w:t>月 </w:t>
      </w:r>
      <w:r>
        <w:rPr>
          <w:rFonts w:ascii="Times New Roman" w:hAnsi="Times New Roman" w:eastAsia="Times New Roman"/>
        </w:rPr>
        <w:t>2 </w:t>
      </w:r>
      <w:r>
        <w:rPr/>
        <w:t>日</w:t>
      </w:r>
      <w:r>
        <w:rPr>
          <w:rFonts w:ascii="Times New Roman" w:hAnsi="Times New Roman" w:eastAsia="Times New Roman"/>
          <w:spacing w:val="-4"/>
        </w:rPr>
        <w:t>~11 </w:t>
      </w:r>
      <w:r>
        <w:rPr>
          <w:spacing w:val="-30"/>
        </w:rPr>
        <w:t>月 </w:t>
      </w:r>
      <w:r>
        <w:rPr>
          <w:rFonts w:ascii="Times New Roman" w:hAnsi="Times New Roman" w:eastAsia="Times New Roman"/>
        </w:rPr>
        <w:t>08 </w:t>
      </w:r>
      <w:r>
        <w:rPr>
          <w:spacing w:val="-20"/>
        </w:rPr>
        <w:t>日共 </w:t>
      </w:r>
      <w:r>
        <w:rPr>
          <w:rFonts w:ascii="Times New Roman" w:hAnsi="Times New Roman" w:eastAsia="Times New Roman"/>
        </w:rPr>
        <w:t>7 </w:t>
      </w:r>
      <w:r>
        <w:rPr>
          <w:spacing w:val="-9"/>
        </w:rPr>
        <w:t>天总排放口的在线监测数据</w:t>
      </w:r>
      <w:r>
        <w:rPr/>
        <w:t>（</w:t>
      </w:r>
      <w:r>
        <w:rPr>
          <w:spacing w:val="-13"/>
        </w:rPr>
        <w:t>日</w:t>
      </w:r>
      <w:r>
        <w:rPr>
          <w:spacing w:val="-7"/>
        </w:rPr>
        <w:t>均值，详见表 </w:t>
      </w:r>
      <w:r>
        <w:rPr>
          <w:rFonts w:ascii="Times New Roman" w:hAnsi="Times New Roman" w:eastAsia="Times New Roman"/>
        </w:rPr>
        <w:t>4.2-1</w:t>
      </w:r>
      <w:r>
        <w:rPr/>
        <w:t>，数据来自浙江省污染源自动监控信息管理平台），</w:t>
      </w:r>
      <w:r>
        <w:rPr>
          <w:spacing w:val="-2"/>
        </w:rPr>
        <w:t>由此可知绍兴污</w:t>
      </w:r>
      <w:r>
        <w:rPr/>
        <w:t>水处理厂生活污水处理单元尾水排放浓度符合《城镇污水处理厂污染物排放标准》</w:t>
      </w:r>
      <w:r>
        <w:rPr>
          <w:spacing w:val="-5"/>
        </w:rPr>
        <w:t>（</w:t>
      </w:r>
      <w:r>
        <w:rPr>
          <w:rFonts w:ascii="Times New Roman" w:hAnsi="Times New Roman" w:eastAsia="Times New Roman"/>
          <w:spacing w:val="-5"/>
        </w:rPr>
        <w:t>GB </w:t>
      </w:r>
      <w:r>
        <w:rPr>
          <w:rFonts w:ascii="Times New Roman" w:hAnsi="Times New Roman" w:eastAsia="Times New Roman"/>
        </w:rPr>
        <w:t>18918-2002</w:t>
      </w:r>
      <w:r>
        <w:rPr/>
        <w:t>）</w:t>
      </w:r>
      <w:r>
        <w:rPr>
          <w:spacing w:val="-18"/>
        </w:rPr>
        <w:t>一级 </w:t>
      </w:r>
      <w:r>
        <w:rPr>
          <w:rFonts w:ascii="Times New Roman" w:hAnsi="Times New Roman" w:eastAsia="Times New Roman"/>
        </w:rPr>
        <w:t>A </w:t>
      </w:r>
      <w:r>
        <w:rPr>
          <w:spacing w:val="-2"/>
        </w:rPr>
        <w:t>标准要求。另外，根据瞬时流量计算得其目前的进水量在 </w:t>
      </w:r>
      <w:r>
        <w:rPr>
          <w:rFonts w:ascii="Times New Roman" w:hAnsi="Times New Roman" w:eastAsia="Times New Roman"/>
          <w:spacing w:val="-3"/>
        </w:rPr>
        <w:t>19.5~21.5 </w:t>
      </w:r>
      <w:r>
        <w:rPr>
          <w:spacing w:val="-30"/>
        </w:rPr>
        <w:t>万 </w:t>
      </w:r>
      <w:r>
        <w:rPr>
          <w:rFonts w:ascii="Times New Roman" w:hAnsi="Times New Roman" w:eastAsia="Times New Roman"/>
          <w:spacing w:val="-15"/>
        </w:rPr>
        <w:t>m³/d </w:t>
      </w:r>
      <w:r>
        <w:rPr>
          <w:spacing w:val="-5"/>
        </w:rPr>
        <w:t>之间，小于其设计处理能力 </w:t>
      </w:r>
      <w:r>
        <w:rPr>
          <w:rFonts w:ascii="Times New Roman" w:hAnsi="Times New Roman" w:eastAsia="Times New Roman"/>
        </w:rPr>
        <w:t>30 </w:t>
      </w:r>
      <w:r>
        <w:rPr>
          <w:spacing w:val="-30"/>
        </w:rPr>
        <w:t>万 </w:t>
      </w:r>
      <w:r>
        <w:rPr>
          <w:rFonts w:ascii="Times New Roman" w:hAnsi="Times New Roman" w:eastAsia="Times New Roman"/>
        </w:rPr>
        <w:t>m</w:t>
      </w:r>
      <w:r>
        <w:rPr>
          <w:rFonts w:ascii="Times New Roman" w:hAnsi="Times New Roman" w:eastAsia="Times New Roman"/>
          <w:position w:val="9"/>
          <w:sz w:val="16"/>
        </w:rPr>
        <w:t>3</w:t>
      </w:r>
      <w:r>
        <w:rPr>
          <w:rFonts w:ascii="Times New Roman" w:hAnsi="Times New Roman" w:eastAsia="Times New Roman"/>
        </w:rPr>
        <w:t>/d</w:t>
      </w:r>
      <w:r>
        <w:rPr/>
        <w:t>，仍一定的处理富余量。</w:t>
      </w:r>
    </w:p>
    <w:p>
      <w:pPr>
        <w:pStyle w:val="Heading3"/>
        <w:spacing w:before="4"/>
        <w:ind w:left="1036"/>
        <w:jc w:val="both"/>
        <w:rPr>
          <w:rFonts w:ascii="Times New Roman" w:eastAsia="Times New Roman"/>
        </w:rPr>
      </w:pPr>
      <w:r>
        <w:rPr>
          <w:spacing w:val="-30"/>
        </w:rPr>
        <w:t>表 </w:t>
      </w:r>
      <w:r>
        <w:rPr>
          <w:rFonts w:ascii="Times New Roman" w:eastAsia="Times New Roman"/>
        </w:rPr>
        <w:t>4.2-1</w:t>
      </w:r>
      <w:r>
        <w:rPr>
          <w:rFonts w:ascii="Times New Roman" w:eastAsia="Times New Roman"/>
          <w:spacing w:val="59"/>
        </w:rPr>
        <w:t> </w:t>
      </w:r>
      <w:r>
        <w:rPr/>
        <w:t>绍兴污水处理厂总排放口在线监测数据（日均值） 单位：</w:t>
      </w:r>
      <w:r>
        <w:rPr>
          <w:rFonts w:ascii="Times New Roman" w:eastAsia="Times New Roman"/>
        </w:rPr>
        <w:t>mg/L</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10"/>
        <w:gridCol w:w="2058"/>
        <w:gridCol w:w="1439"/>
        <w:gridCol w:w="901"/>
        <w:gridCol w:w="783"/>
        <w:gridCol w:w="901"/>
        <w:gridCol w:w="2144"/>
      </w:tblGrid>
      <w:tr>
        <w:trPr>
          <w:trHeight w:val="359" w:hRule="atLeast"/>
        </w:trPr>
        <w:tc>
          <w:tcPr>
            <w:tcW w:w="1210" w:type="dxa"/>
            <w:tcBorders>
              <w:bottom w:val="single" w:sz="6" w:space="0" w:color="000000"/>
              <w:right w:val="single" w:sz="6" w:space="0" w:color="000000"/>
            </w:tcBorders>
          </w:tcPr>
          <w:p>
            <w:pPr>
              <w:pStyle w:val="TableParagraph"/>
              <w:spacing w:before="44"/>
              <w:ind w:left="181"/>
              <w:jc w:val="left"/>
              <w:rPr>
                <w:rFonts w:ascii="宋体" w:eastAsia="宋体" w:hint="eastAsia"/>
                <w:b/>
                <w:sz w:val="21"/>
              </w:rPr>
            </w:pPr>
            <w:r>
              <w:rPr>
                <w:rFonts w:ascii="宋体" w:eastAsia="宋体" w:hint="eastAsia"/>
                <w:b/>
                <w:sz w:val="21"/>
              </w:rPr>
              <w:t>监测时间</w:t>
            </w:r>
          </w:p>
        </w:tc>
        <w:tc>
          <w:tcPr>
            <w:tcW w:w="2058" w:type="dxa"/>
            <w:tcBorders>
              <w:left w:val="single" w:sz="6" w:space="0" w:color="000000"/>
              <w:bottom w:val="single" w:sz="6" w:space="0" w:color="000000"/>
              <w:right w:val="single" w:sz="6" w:space="0" w:color="000000"/>
            </w:tcBorders>
          </w:tcPr>
          <w:p>
            <w:pPr>
              <w:pStyle w:val="TableParagraph"/>
              <w:spacing w:before="44"/>
              <w:ind w:left="215" w:right="189"/>
              <w:rPr>
                <w:rFonts w:ascii="宋体" w:eastAsia="宋体" w:hint="eastAsia"/>
                <w:b/>
                <w:sz w:val="21"/>
              </w:rPr>
            </w:pPr>
            <w:r>
              <w:rPr>
                <w:b/>
                <w:sz w:val="21"/>
              </w:rPr>
              <w:t>pH </w:t>
            </w:r>
            <w:r>
              <w:rPr>
                <w:rFonts w:ascii="宋体" w:eastAsia="宋体" w:hint="eastAsia"/>
                <w:b/>
                <w:sz w:val="21"/>
              </w:rPr>
              <w:t>值（无量纲）</w:t>
            </w:r>
          </w:p>
        </w:tc>
        <w:tc>
          <w:tcPr>
            <w:tcW w:w="1439" w:type="dxa"/>
            <w:tcBorders>
              <w:left w:val="single" w:sz="6" w:space="0" w:color="000000"/>
              <w:bottom w:val="single" w:sz="6" w:space="0" w:color="000000"/>
              <w:right w:val="single" w:sz="6" w:space="0" w:color="000000"/>
            </w:tcBorders>
          </w:tcPr>
          <w:p>
            <w:pPr>
              <w:pStyle w:val="TableParagraph"/>
              <w:spacing w:before="44"/>
              <w:ind w:left="178" w:right="151"/>
              <w:rPr>
                <w:rFonts w:ascii="宋体" w:eastAsia="宋体" w:hint="eastAsia"/>
                <w:b/>
                <w:sz w:val="21"/>
              </w:rPr>
            </w:pPr>
            <w:r>
              <w:rPr>
                <w:rFonts w:ascii="宋体" w:eastAsia="宋体" w:hint="eastAsia"/>
                <w:b/>
                <w:sz w:val="21"/>
              </w:rPr>
              <w:t>化学需氧量</w:t>
            </w:r>
          </w:p>
        </w:tc>
        <w:tc>
          <w:tcPr>
            <w:tcW w:w="901" w:type="dxa"/>
            <w:tcBorders>
              <w:left w:val="single" w:sz="6" w:space="0" w:color="000000"/>
              <w:bottom w:val="single" w:sz="6" w:space="0" w:color="000000"/>
              <w:right w:val="single" w:sz="6" w:space="0" w:color="000000"/>
            </w:tcBorders>
          </w:tcPr>
          <w:p>
            <w:pPr>
              <w:pStyle w:val="TableParagraph"/>
              <w:spacing w:before="44"/>
              <w:ind w:left="142" w:right="121"/>
              <w:rPr>
                <w:rFonts w:ascii="宋体" w:eastAsia="宋体" w:hint="eastAsia"/>
                <w:b/>
                <w:sz w:val="21"/>
              </w:rPr>
            </w:pPr>
            <w:r>
              <w:rPr>
                <w:rFonts w:ascii="宋体" w:eastAsia="宋体" w:hint="eastAsia"/>
                <w:b/>
                <w:sz w:val="21"/>
              </w:rPr>
              <w:t>氨氮</w:t>
            </w:r>
          </w:p>
        </w:tc>
        <w:tc>
          <w:tcPr>
            <w:tcW w:w="783" w:type="dxa"/>
            <w:tcBorders>
              <w:left w:val="single" w:sz="6" w:space="0" w:color="000000"/>
              <w:bottom w:val="single" w:sz="6" w:space="0" w:color="000000"/>
              <w:right w:val="single" w:sz="6" w:space="0" w:color="000000"/>
            </w:tcBorders>
          </w:tcPr>
          <w:p>
            <w:pPr>
              <w:pStyle w:val="TableParagraph"/>
              <w:spacing w:before="44"/>
              <w:ind w:left="133" w:right="116"/>
              <w:rPr>
                <w:rFonts w:ascii="宋体" w:eastAsia="宋体" w:hint="eastAsia"/>
                <w:b/>
                <w:sz w:val="21"/>
              </w:rPr>
            </w:pPr>
            <w:r>
              <w:rPr>
                <w:rFonts w:ascii="宋体" w:eastAsia="宋体" w:hint="eastAsia"/>
                <w:b/>
                <w:sz w:val="21"/>
              </w:rPr>
              <w:t>总磷</w:t>
            </w:r>
          </w:p>
        </w:tc>
        <w:tc>
          <w:tcPr>
            <w:tcW w:w="901" w:type="dxa"/>
            <w:tcBorders>
              <w:left w:val="single" w:sz="6" w:space="0" w:color="000000"/>
              <w:bottom w:val="single" w:sz="6" w:space="0" w:color="000000"/>
              <w:right w:val="single" w:sz="6" w:space="0" w:color="000000"/>
            </w:tcBorders>
          </w:tcPr>
          <w:p>
            <w:pPr>
              <w:pStyle w:val="TableParagraph"/>
              <w:spacing w:before="44"/>
              <w:ind w:left="140" w:right="121"/>
              <w:rPr>
                <w:rFonts w:ascii="宋体" w:eastAsia="宋体" w:hint="eastAsia"/>
                <w:b/>
                <w:sz w:val="21"/>
              </w:rPr>
            </w:pPr>
            <w:r>
              <w:rPr>
                <w:rFonts w:ascii="宋体" w:eastAsia="宋体" w:hint="eastAsia"/>
                <w:b/>
                <w:sz w:val="21"/>
              </w:rPr>
              <w:t>总氮</w:t>
            </w:r>
          </w:p>
        </w:tc>
        <w:tc>
          <w:tcPr>
            <w:tcW w:w="2144" w:type="dxa"/>
            <w:tcBorders>
              <w:left w:val="single" w:sz="6" w:space="0" w:color="000000"/>
              <w:bottom w:val="single" w:sz="6" w:space="0" w:color="000000"/>
            </w:tcBorders>
          </w:tcPr>
          <w:p>
            <w:pPr>
              <w:pStyle w:val="TableParagraph"/>
              <w:spacing w:before="44"/>
              <w:ind w:left="189" w:right="162"/>
              <w:rPr>
                <w:rFonts w:ascii="宋体" w:hAnsi="宋体" w:eastAsia="宋体" w:hint="eastAsia"/>
                <w:b/>
                <w:sz w:val="21"/>
              </w:rPr>
            </w:pPr>
            <w:r>
              <w:rPr>
                <w:rFonts w:ascii="宋体" w:hAnsi="宋体" w:eastAsia="宋体" w:hint="eastAsia"/>
                <w:b/>
                <w:sz w:val="21"/>
              </w:rPr>
              <w:t>瞬时流量（</w:t>
            </w:r>
            <w:r>
              <w:rPr>
                <w:b/>
                <w:sz w:val="21"/>
              </w:rPr>
              <w:t>m³/h </w:t>
            </w:r>
            <w:r>
              <w:rPr>
                <w:rFonts w:ascii="宋体" w:hAnsi="宋体" w:eastAsia="宋体" w:hint="eastAsia"/>
                <w:b/>
                <w:sz w:val="21"/>
              </w:rPr>
              <w:t>）</w:t>
            </w:r>
          </w:p>
        </w:tc>
      </w:tr>
      <w:tr>
        <w:trPr>
          <w:trHeight w:val="359" w:hRule="atLeast"/>
        </w:trPr>
        <w:tc>
          <w:tcPr>
            <w:tcW w:w="1210" w:type="dxa"/>
            <w:tcBorders>
              <w:top w:val="single" w:sz="6" w:space="0" w:color="000000"/>
              <w:bottom w:val="single" w:sz="6" w:space="0" w:color="000000"/>
              <w:right w:val="single" w:sz="6" w:space="0" w:color="000000"/>
            </w:tcBorders>
          </w:tcPr>
          <w:p>
            <w:pPr>
              <w:pStyle w:val="TableParagraph"/>
              <w:ind w:left="176"/>
              <w:jc w:val="left"/>
              <w:rPr>
                <w:sz w:val="21"/>
              </w:rPr>
            </w:pPr>
            <w:r>
              <w:rPr>
                <w:sz w:val="21"/>
              </w:rPr>
              <w:t>2020/11/2</w:t>
            </w:r>
          </w:p>
        </w:tc>
        <w:tc>
          <w:tcPr>
            <w:tcW w:w="2058" w:type="dxa"/>
            <w:tcBorders>
              <w:top w:val="single" w:sz="6" w:space="0" w:color="000000"/>
              <w:left w:val="single" w:sz="6" w:space="0" w:color="000000"/>
              <w:bottom w:val="single" w:sz="6" w:space="0" w:color="000000"/>
              <w:right w:val="single" w:sz="6" w:space="0" w:color="000000"/>
            </w:tcBorders>
          </w:tcPr>
          <w:p>
            <w:pPr>
              <w:pStyle w:val="TableParagraph"/>
              <w:ind w:left="215" w:right="186"/>
              <w:rPr>
                <w:sz w:val="21"/>
              </w:rPr>
            </w:pPr>
            <w:r>
              <w:rPr>
                <w:sz w:val="21"/>
              </w:rPr>
              <w:t>6.40</w:t>
            </w:r>
          </w:p>
        </w:tc>
        <w:tc>
          <w:tcPr>
            <w:tcW w:w="1439" w:type="dxa"/>
            <w:tcBorders>
              <w:top w:val="single" w:sz="6" w:space="0" w:color="000000"/>
              <w:left w:val="single" w:sz="6" w:space="0" w:color="000000"/>
              <w:bottom w:val="single" w:sz="6" w:space="0" w:color="000000"/>
              <w:right w:val="single" w:sz="6" w:space="0" w:color="000000"/>
            </w:tcBorders>
          </w:tcPr>
          <w:p>
            <w:pPr>
              <w:pStyle w:val="TableParagraph"/>
              <w:ind w:left="178" w:right="151"/>
              <w:rPr>
                <w:sz w:val="21"/>
              </w:rPr>
            </w:pPr>
            <w:r>
              <w:rPr>
                <w:sz w:val="21"/>
              </w:rPr>
              <w:t>22.8</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6" w:right="120"/>
              <w:rPr>
                <w:sz w:val="21"/>
              </w:rPr>
            </w:pPr>
            <w:r>
              <w:rPr>
                <w:sz w:val="21"/>
              </w:rPr>
              <w:t>0.0449</w:t>
            </w:r>
          </w:p>
        </w:tc>
        <w:tc>
          <w:tcPr>
            <w:tcW w:w="783" w:type="dxa"/>
            <w:tcBorders>
              <w:top w:val="single" w:sz="6" w:space="0" w:color="000000"/>
              <w:left w:val="single" w:sz="6" w:space="0" w:color="000000"/>
              <w:bottom w:val="single" w:sz="6" w:space="0" w:color="000000"/>
              <w:right w:val="single" w:sz="6" w:space="0" w:color="000000"/>
            </w:tcBorders>
          </w:tcPr>
          <w:p>
            <w:pPr>
              <w:pStyle w:val="TableParagraph"/>
              <w:ind w:left="138" w:right="116"/>
              <w:rPr>
                <w:sz w:val="21"/>
              </w:rPr>
            </w:pPr>
            <w:r>
              <w:rPr>
                <w:sz w:val="21"/>
              </w:rPr>
              <w:t>0.064</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5" w:right="121"/>
              <w:rPr>
                <w:sz w:val="21"/>
              </w:rPr>
            </w:pPr>
            <w:r>
              <w:rPr>
                <w:sz w:val="21"/>
              </w:rPr>
              <w:t>12.745</w:t>
            </w:r>
          </w:p>
        </w:tc>
        <w:tc>
          <w:tcPr>
            <w:tcW w:w="2144" w:type="dxa"/>
            <w:tcBorders>
              <w:top w:val="single" w:sz="6" w:space="0" w:color="000000"/>
              <w:left w:val="single" w:sz="6" w:space="0" w:color="000000"/>
              <w:bottom w:val="single" w:sz="6" w:space="0" w:color="000000"/>
            </w:tcBorders>
          </w:tcPr>
          <w:p>
            <w:pPr>
              <w:pStyle w:val="TableParagraph"/>
              <w:ind w:left="189" w:right="160"/>
              <w:rPr>
                <w:sz w:val="21"/>
              </w:rPr>
            </w:pPr>
            <w:r>
              <w:rPr>
                <w:sz w:val="21"/>
              </w:rPr>
              <w:t>8601.5</w:t>
            </w:r>
          </w:p>
        </w:tc>
      </w:tr>
      <w:tr>
        <w:trPr>
          <w:trHeight w:val="356" w:hRule="atLeast"/>
        </w:trPr>
        <w:tc>
          <w:tcPr>
            <w:tcW w:w="1210" w:type="dxa"/>
            <w:tcBorders>
              <w:top w:val="single" w:sz="6" w:space="0" w:color="000000"/>
              <w:bottom w:val="single" w:sz="6" w:space="0" w:color="000000"/>
              <w:right w:val="single" w:sz="6" w:space="0" w:color="000000"/>
            </w:tcBorders>
          </w:tcPr>
          <w:p>
            <w:pPr>
              <w:pStyle w:val="TableParagraph"/>
              <w:ind w:left="176"/>
              <w:jc w:val="left"/>
              <w:rPr>
                <w:sz w:val="21"/>
              </w:rPr>
            </w:pPr>
            <w:r>
              <w:rPr>
                <w:sz w:val="21"/>
              </w:rPr>
              <w:t>2020/11/3</w:t>
            </w:r>
          </w:p>
        </w:tc>
        <w:tc>
          <w:tcPr>
            <w:tcW w:w="2058" w:type="dxa"/>
            <w:tcBorders>
              <w:top w:val="single" w:sz="6" w:space="0" w:color="000000"/>
              <w:left w:val="single" w:sz="6" w:space="0" w:color="000000"/>
              <w:bottom w:val="single" w:sz="6" w:space="0" w:color="000000"/>
              <w:right w:val="single" w:sz="6" w:space="0" w:color="000000"/>
            </w:tcBorders>
          </w:tcPr>
          <w:p>
            <w:pPr>
              <w:pStyle w:val="TableParagraph"/>
              <w:ind w:left="215" w:right="186"/>
              <w:rPr>
                <w:sz w:val="21"/>
              </w:rPr>
            </w:pPr>
            <w:r>
              <w:rPr>
                <w:sz w:val="21"/>
              </w:rPr>
              <w:t>6.41</w:t>
            </w:r>
          </w:p>
        </w:tc>
        <w:tc>
          <w:tcPr>
            <w:tcW w:w="1439" w:type="dxa"/>
            <w:tcBorders>
              <w:top w:val="single" w:sz="6" w:space="0" w:color="000000"/>
              <w:left w:val="single" w:sz="6" w:space="0" w:color="000000"/>
              <w:bottom w:val="single" w:sz="6" w:space="0" w:color="000000"/>
              <w:right w:val="single" w:sz="6" w:space="0" w:color="000000"/>
            </w:tcBorders>
          </w:tcPr>
          <w:p>
            <w:pPr>
              <w:pStyle w:val="TableParagraph"/>
              <w:ind w:left="178" w:right="151"/>
              <w:rPr>
                <w:sz w:val="21"/>
              </w:rPr>
            </w:pPr>
            <w:r>
              <w:rPr>
                <w:sz w:val="21"/>
              </w:rPr>
              <w:t>22.4</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6" w:right="120"/>
              <w:rPr>
                <w:sz w:val="21"/>
              </w:rPr>
            </w:pPr>
            <w:r>
              <w:rPr>
                <w:sz w:val="21"/>
              </w:rPr>
              <w:t>0.0302</w:t>
            </w:r>
          </w:p>
        </w:tc>
        <w:tc>
          <w:tcPr>
            <w:tcW w:w="783" w:type="dxa"/>
            <w:tcBorders>
              <w:top w:val="single" w:sz="6" w:space="0" w:color="000000"/>
              <w:left w:val="single" w:sz="6" w:space="0" w:color="000000"/>
              <w:bottom w:val="single" w:sz="6" w:space="0" w:color="000000"/>
              <w:right w:val="single" w:sz="6" w:space="0" w:color="000000"/>
            </w:tcBorders>
          </w:tcPr>
          <w:p>
            <w:pPr>
              <w:pStyle w:val="TableParagraph"/>
              <w:ind w:left="138" w:right="116"/>
              <w:rPr>
                <w:sz w:val="21"/>
              </w:rPr>
            </w:pPr>
            <w:r>
              <w:rPr>
                <w:sz w:val="21"/>
              </w:rPr>
              <w:t>0.046</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5" w:right="121"/>
              <w:rPr>
                <w:sz w:val="21"/>
              </w:rPr>
            </w:pPr>
            <w:r>
              <w:rPr>
                <w:sz w:val="21"/>
              </w:rPr>
              <w:t>12.959</w:t>
            </w:r>
          </w:p>
        </w:tc>
        <w:tc>
          <w:tcPr>
            <w:tcW w:w="2144" w:type="dxa"/>
            <w:tcBorders>
              <w:top w:val="single" w:sz="6" w:space="0" w:color="000000"/>
              <w:left w:val="single" w:sz="6" w:space="0" w:color="000000"/>
              <w:bottom w:val="single" w:sz="6" w:space="0" w:color="000000"/>
            </w:tcBorders>
          </w:tcPr>
          <w:p>
            <w:pPr>
              <w:pStyle w:val="TableParagraph"/>
              <w:ind w:left="189" w:right="160"/>
              <w:rPr>
                <w:sz w:val="21"/>
              </w:rPr>
            </w:pPr>
            <w:r>
              <w:rPr>
                <w:sz w:val="21"/>
              </w:rPr>
              <w:t>8939.0</w:t>
            </w:r>
          </w:p>
        </w:tc>
      </w:tr>
      <w:tr>
        <w:trPr>
          <w:trHeight w:val="359" w:hRule="atLeast"/>
        </w:trPr>
        <w:tc>
          <w:tcPr>
            <w:tcW w:w="1210" w:type="dxa"/>
            <w:tcBorders>
              <w:top w:val="single" w:sz="6" w:space="0" w:color="000000"/>
              <w:bottom w:val="single" w:sz="6" w:space="0" w:color="000000"/>
              <w:right w:val="single" w:sz="6" w:space="0" w:color="000000"/>
            </w:tcBorders>
          </w:tcPr>
          <w:p>
            <w:pPr>
              <w:pStyle w:val="TableParagraph"/>
              <w:spacing w:before="60"/>
              <w:ind w:left="176"/>
              <w:jc w:val="left"/>
              <w:rPr>
                <w:sz w:val="21"/>
              </w:rPr>
            </w:pPr>
            <w:r>
              <w:rPr>
                <w:sz w:val="21"/>
              </w:rPr>
              <w:t>2020/11/4</w:t>
            </w:r>
          </w:p>
        </w:tc>
        <w:tc>
          <w:tcPr>
            <w:tcW w:w="2058" w:type="dxa"/>
            <w:tcBorders>
              <w:top w:val="single" w:sz="6" w:space="0" w:color="000000"/>
              <w:left w:val="single" w:sz="6" w:space="0" w:color="000000"/>
              <w:bottom w:val="single" w:sz="6" w:space="0" w:color="000000"/>
              <w:right w:val="single" w:sz="6" w:space="0" w:color="000000"/>
            </w:tcBorders>
          </w:tcPr>
          <w:p>
            <w:pPr>
              <w:pStyle w:val="TableParagraph"/>
              <w:spacing w:before="60"/>
              <w:ind w:left="215" w:right="186"/>
              <w:rPr>
                <w:sz w:val="21"/>
              </w:rPr>
            </w:pPr>
            <w:r>
              <w:rPr>
                <w:sz w:val="21"/>
              </w:rPr>
              <w:t>6.37</w:t>
            </w:r>
          </w:p>
        </w:tc>
        <w:tc>
          <w:tcPr>
            <w:tcW w:w="1439" w:type="dxa"/>
            <w:tcBorders>
              <w:top w:val="single" w:sz="6" w:space="0" w:color="000000"/>
              <w:left w:val="single" w:sz="6" w:space="0" w:color="000000"/>
              <w:bottom w:val="single" w:sz="6" w:space="0" w:color="000000"/>
              <w:right w:val="single" w:sz="6" w:space="0" w:color="000000"/>
            </w:tcBorders>
          </w:tcPr>
          <w:p>
            <w:pPr>
              <w:pStyle w:val="TableParagraph"/>
              <w:spacing w:before="60"/>
              <w:ind w:left="178" w:right="151"/>
              <w:rPr>
                <w:sz w:val="21"/>
              </w:rPr>
            </w:pPr>
            <w:r>
              <w:rPr>
                <w:sz w:val="21"/>
              </w:rPr>
              <w:t>23.0</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spacing w:before="60"/>
              <w:ind w:left="146" w:right="120"/>
              <w:rPr>
                <w:sz w:val="21"/>
              </w:rPr>
            </w:pPr>
            <w:r>
              <w:rPr>
                <w:sz w:val="21"/>
              </w:rPr>
              <w:t>0.0268</w:t>
            </w:r>
          </w:p>
        </w:tc>
        <w:tc>
          <w:tcPr>
            <w:tcW w:w="783" w:type="dxa"/>
            <w:tcBorders>
              <w:top w:val="single" w:sz="6" w:space="0" w:color="000000"/>
              <w:left w:val="single" w:sz="6" w:space="0" w:color="000000"/>
              <w:bottom w:val="single" w:sz="6" w:space="0" w:color="000000"/>
              <w:right w:val="single" w:sz="6" w:space="0" w:color="000000"/>
            </w:tcBorders>
          </w:tcPr>
          <w:p>
            <w:pPr>
              <w:pStyle w:val="TableParagraph"/>
              <w:spacing w:before="60"/>
              <w:ind w:left="138" w:right="116"/>
              <w:rPr>
                <w:sz w:val="21"/>
              </w:rPr>
            </w:pPr>
            <w:r>
              <w:rPr>
                <w:sz w:val="21"/>
              </w:rPr>
              <w:t>0.049</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spacing w:before="60"/>
              <w:ind w:left="145" w:right="121"/>
              <w:rPr>
                <w:sz w:val="21"/>
              </w:rPr>
            </w:pPr>
            <w:r>
              <w:rPr>
                <w:sz w:val="21"/>
              </w:rPr>
              <w:t>13.033</w:t>
            </w:r>
          </w:p>
        </w:tc>
        <w:tc>
          <w:tcPr>
            <w:tcW w:w="2144" w:type="dxa"/>
            <w:tcBorders>
              <w:top w:val="single" w:sz="6" w:space="0" w:color="000000"/>
              <w:left w:val="single" w:sz="6" w:space="0" w:color="000000"/>
              <w:bottom w:val="single" w:sz="6" w:space="0" w:color="000000"/>
            </w:tcBorders>
          </w:tcPr>
          <w:p>
            <w:pPr>
              <w:pStyle w:val="TableParagraph"/>
              <w:spacing w:before="60"/>
              <w:ind w:left="189" w:right="160"/>
              <w:rPr>
                <w:sz w:val="21"/>
              </w:rPr>
            </w:pPr>
            <w:r>
              <w:rPr>
                <w:sz w:val="21"/>
              </w:rPr>
              <w:t>8789.5</w:t>
            </w:r>
          </w:p>
        </w:tc>
      </w:tr>
      <w:tr>
        <w:trPr>
          <w:trHeight w:val="359" w:hRule="atLeast"/>
        </w:trPr>
        <w:tc>
          <w:tcPr>
            <w:tcW w:w="1210" w:type="dxa"/>
            <w:tcBorders>
              <w:top w:val="single" w:sz="6" w:space="0" w:color="000000"/>
              <w:bottom w:val="single" w:sz="6" w:space="0" w:color="000000"/>
              <w:right w:val="single" w:sz="6" w:space="0" w:color="000000"/>
            </w:tcBorders>
          </w:tcPr>
          <w:p>
            <w:pPr>
              <w:pStyle w:val="TableParagraph"/>
              <w:ind w:left="176"/>
              <w:jc w:val="left"/>
              <w:rPr>
                <w:sz w:val="21"/>
              </w:rPr>
            </w:pPr>
            <w:r>
              <w:rPr>
                <w:sz w:val="21"/>
              </w:rPr>
              <w:t>2020/11/5</w:t>
            </w:r>
          </w:p>
        </w:tc>
        <w:tc>
          <w:tcPr>
            <w:tcW w:w="2058" w:type="dxa"/>
            <w:tcBorders>
              <w:top w:val="single" w:sz="6" w:space="0" w:color="000000"/>
              <w:left w:val="single" w:sz="6" w:space="0" w:color="000000"/>
              <w:bottom w:val="single" w:sz="6" w:space="0" w:color="000000"/>
              <w:right w:val="single" w:sz="6" w:space="0" w:color="000000"/>
            </w:tcBorders>
          </w:tcPr>
          <w:p>
            <w:pPr>
              <w:pStyle w:val="TableParagraph"/>
              <w:ind w:left="215" w:right="186"/>
              <w:rPr>
                <w:sz w:val="21"/>
              </w:rPr>
            </w:pPr>
            <w:r>
              <w:rPr>
                <w:sz w:val="21"/>
              </w:rPr>
              <w:t>6.29</w:t>
            </w:r>
          </w:p>
        </w:tc>
        <w:tc>
          <w:tcPr>
            <w:tcW w:w="1439" w:type="dxa"/>
            <w:tcBorders>
              <w:top w:val="single" w:sz="6" w:space="0" w:color="000000"/>
              <w:left w:val="single" w:sz="6" w:space="0" w:color="000000"/>
              <w:bottom w:val="single" w:sz="6" w:space="0" w:color="000000"/>
              <w:right w:val="single" w:sz="6" w:space="0" w:color="000000"/>
            </w:tcBorders>
          </w:tcPr>
          <w:p>
            <w:pPr>
              <w:pStyle w:val="TableParagraph"/>
              <w:ind w:left="178" w:right="151"/>
              <w:rPr>
                <w:sz w:val="21"/>
              </w:rPr>
            </w:pPr>
            <w:r>
              <w:rPr>
                <w:sz w:val="21"/>
              </w:rPr>
              <w:t>22.7</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6" w:right="120"/>
              <w:rPr>
                <w:sz w:val="21"/>
              </w:rPr>
            </w:pPr>
            <w:r>
              <w:rPr>
                <w:sz w:val="21"/>
              </w:rPr>
              <w:t>0.0391</w:t>
            </w:r>
          </w:p>
        </w:tc>
        <w:tc>
          <w:tcPr>
            <w:tcW w:w="783" w:type="dxa"/>
            <w:tcBorders>
              <w:top w:val="single" w:sz="6" w:space="0" w:color="000000"/>
              <w:left w:val="single" w:sz="6" w:space="0" w:color="000000"/>
              <w:bottom w:val="single" w:sz="6" w:space="0" w:color="000000"/>
              <w:right w:val="single" w:sz="6" w:space="0" w:color="000000"/>
            </w:tcBorders>
          </w:tcPr>
          <w:p>
            <w:pPr>
              <w:pStyle w:val="TableParagraph"/>
              <w:ind w:left="138" w:right="116"/>
              <w:rPr>
                <w:sz w:val="21"/>
              </w:rPr>
            </w:pPr>
            <w:r>
              <w:rPr>
                <w:sz w:val="21"/>
              </w:rPr>
              <w:t>0.048</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5" w:right="121"/>
              <w:rPr>
                <w:sz w:val="21"/>
              </w:rPr>
            </w:pPr>
            <w:r>
              <w:rPr>
                <w:sz w:val="21"/>
              </w:rPr>
              <w:t>14.398</w:t>
            </w:r>
          </w:p>
        </w:tc>
        <w:tc>
          <w:tcPr>
            <w:tcW w:w="2144" w:type="dxa"/>
            <w:tcBorders>
              <w:top w:val="single" w:sz="6" w:space="0" w:color="000000"/>
              <w:left w:val="single" w:sz="6" w:space="0" w:color="000000"/>
              <w:bottom w:val="single" w:sz="6" w:space="0" w:color="000000"/>
            </w:tcBorders>
          </w:tcPr>
          <w:p>
            <w:pPr>
              <w:pStyle w:val="TableParagraph"/>
              <w:ind w:left="189" w:right="160"/>
              <w:rPr>
                <w:sz w:val="21"/>
              </w:rPr>
            </w:pPr>
            <w:r>
              <w:rPr>
                <w:sz w:val="21"/>
              </w:rPr>
              <w:t>8144.6</w:t>
            </w:r>
          </w:p>
        </w:tc>
      </w:tr>
      <w:tr>
        <w:trPr>
          <w:trHeight w:val="359" w:hRule="atLeast"/>
        </w:trPr>
        <w:tc>
          <w:tcPr>
            <w:tcW w:w="1210" w:type="dxa"/>
            <w:tcBorders>
              <w:top w:val="single" w:sz="6" w:space="0" w:color="000000"/>
              <w:bottom w:val="single" w:sz="6" w:space="0" w:color="000000"/>
              <w:right w:val="single" w:sz="6" w:space="0" w:color="000000"/>
            </w:tcBorders>
          </w:tcPr>
          <w:p>
            <w:pPr>
              <w:pStyle w:val="TableParagraph"/>
              <w:ind w:left="176"/>
              <w:jc w:val="left"/>
              <w:rPr>
                <w:sz w:val="21"/>
              </w:rPr>
            </w:pPr>
            <w:r>
              <w:rPr>
                <w:sz w:val="21"/>
              </w:rPr>
              <w:t>2020/11/6</w:t>
            </w:r>
          </w:p>
        </w:tc>
        <w:tc>
          <w:tcPr>
            <w:tcW w:w="2058" w:type="dxa"/>
            <w:tcBorders>
              <w:top w:val="single" w:sz="6" w:space="0" w:color="000000"/>
              <w:left w:val="single" w:sz="6" w:space="0" w:color="000000"/>
              <w:bottom w:val="single" w:sz="6" w:space="0" w:color="000000"/>
              <w:right w:val="single" w:sz="6" w:space="0" w:color="000000"/>
            </w:tcBorders>
          </w:tcPr>
          <w:p>
            <w:pPr>
              <w:pStyle w:val="TableParagraph"/>
              <w:ind w:left="215" w:right="186"/>
              <w:rPr>
                <w:sz w:val="21"/>
              </w:rPr>
            </w:pPr>
            <w:r>
              <w:rPr>
                <w:sz w:val="21"/>
              </w:rPr>
              <w:t>6.20</w:t>
            </w:r>
          </w:p>
        </w:tc>
        <w:tc>
          <w:tcPr>
            <w:tcW w:w="1439" w:type="dxa"/>
            <w:tcBorders>
              <w:top w:val="single" w:sz="6" w:space="0" w:color="000000"/>
              <w:left w:val="single" w:sz="6" w:space="0" w:color="000000"/>
              <w:bottom w:val="single" w:sz="6" w:space="0" w:color="000000"/>
              <w:right w:val="single" w:sz="6" w:space="0" w:color="000000"/>
            </w:tcBorders>
          </w:tcPr>
          <w:p>
            <w:pPr>
              <w:pStyle w:val="TableParagraph"/>
              <w:ind w:left="178" w:right="151"/>
              <w:rPr>
                <w:sz w:val="21"/>
              </w:rPr>
            </w:pPr>
            <w:r>
              <w:rPr>
                <w:sz w:val="21"/>
              </w:rPr>
              <w:t>22.4</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6" w:right="120"/>
              <w:rPr>
                <w:sz w:val="21"/>
              </w:rPr>
            </w:pPr>
            <w:r>
              <w:rPr>
                <w:sz w:val="21"/>
              </w:rPr>
              <w:t>0.0530</w:t>
            </w:r>
          </w:p>
        </w:tc>
        <w:tc>
          <w:tcPr>
            <w:tcW w:w="783" w:type="dxa"/>
            <w:tcBorders>
              <w:top w:val="single" w:sz="6" w:space="0" w:color="000000"/>
              <w:left w:val="single" w:sz="6" w:space="0" w:color="000000"/>
              <w:bottom w:val="single" w:sz="6" w:space="0" w:color="000000"/>
              <w:right w:val="single" w:sz="6" w:space="0" w:color="000000"/>
            </w:tcBorders>
          </w:tcPr>
          <w:p>
            <w:pPr>
              <w:pStyle w:val="TableParagraph"/>
              <w:ind w:left="138" w:right="116"/>
              <w:rPr>
                <w:sz w:val="21"/>
              </w:rPr>
            </w:pPr>
            <w:r>
              <w:rPr>
                <w:sz w:val="21"/>
              </w:rPr>
              <w:t>0.124</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5" w:right="121"/>
              <w:rPr>
                <w:sz w:val="21"/>
              </w:rPr>
            </w:pPr>
            <w:r>
              <w:rPr>
                <w:sz w:val="21"/>
              </w:rPr>
              <w:t>14.774</w:t>
            </w:r>
          </w:p>
        </w:tc>
        <w:tc>
          <w:tcPr>
            <w:tcW w:w="2144" w:type="dxa"/>
            <w:tcBorders>
              <w:top w:val="single" w:sz="6" w:space="0" w:color="000000"/>
              <w:left w:val="single" w:sz="6" w:space="0" w:color="000000"/>
              <w:bottom w:val="single" w:sz="6" w:space="0" w:color="000000"/>
            </w:tcBorders>
          </w:tcPr>
          <w:p>
            <w:pPr>
              <w:pStyle w:val="TableParagraph"/>
              <w:ind w:left="189" w:right="160"/>
              <w:rPr>
                <w:sz w:val="21"/>
              </w:rPr>
            </w:pPr>
            <w:r>
              <w:rPr>
                <w:sz w:val="21"/>
              </w:rPr>
              <w:t>8873.8</w:t>
            </w:r>
          </w:p>
        </w:tc>
      </w:tr>
      <w:tr>
        <w:trPr>
          <w:trHeight w:val="357" w:hRule="atLeast"/>
        </w:trPr>
        <w:tc>
          <w:tcPr>
            <w:tcW w:w="1210" w:type="dxa"/>
            <w:tcBorders>
              <w:top w:val="single" w:sz="6" w:space="0" w:color="000000"/>
              <w:bottom w:val="single" w:sz="6" w:space="0" w:color="000000"/>
              <w:right w:val="single" w:sz="6" w:space="0" w:color="000000"/>
            </w:tcBorders>
          </w:tcPr>
          <w:p>
            <w:pPr>
              <w:pStyle w:val="TableParagraph"/>
              <w:ind w:left="176"/>
              <w:jc w:val="left"/>
              <w:rPr>
                <w:sz w:val="21"/>
              </w:rPr>
            </w:pPr>
            <w:r>
              <w:rPr>
                <w:sz w:val="21"/>
              </w:rPr>
              <w:t>2020/11/7</w:t>
            </w:r>
          </w:p>
        </w:tc>
        <w:tc>
          <w:tcPr>
            <w:tcW w:w="2058" w:type="dxa"/>
            <w:tcBorders>
              <w:top w:val="single" w:sz="6" w:space="0" w:color="000000"/>
              <w:left w:val="single" w:sz="6" w:space="0" w:color="000000"/>
              <w:bottom w:val="single" w:sz="6" w:space="0" w:color="000000"/>
              <w:right w:val="single" w:sz="6" w:space="0" w:color="000000"/>
            </w:tcBorders>
          </w:tcPr>
          <w:p>
            <w:pPr>
              <w:pStyle w:val="TableParagraph"/>
              <w:ind w:left="215" w:right="186"/>
              <w:rPr>
                <w:sz w:val="21"/>
              </w:rPr>
            </w:pPr>
            <w:r>
              <w:rPr>
                <w:sz w:val="21"/>
              </w:rPr>
              <w:t>6.28</w:t>
            </w:r>
          </w:p>
        </w:tc>
        <w:tc>
          <w:tcPr>
            <w:tcW w:w="1439" w:type="dxa"/>
            <w:tcBorders>
              <w:top w:val="single" w:sz="6" w:space="0" w:color="000000"/>
              <w:left w:val="single" w:sz="6" w:space="0" w:color="000000"/>
              <w:bottom w:val="single" w:sz="6" w:space="0" w:color="000000"/>
              <w:right w:val="single" w:sz="6" w:space="0" w:color="000000"/>
            </w:tcBorders>
          </w:tcPr>
          <w:p>
            <w:pPr>
              <w:pStyle w:val="TableParagraph"/>
              <w:ind w:left="178" w:right="151"/>
              <w:rPr>
                <w:sz w:val="21"/>
              </w:rPr>
            </w:pPr>
            <w:r>
              <w:rPr>
                <w:sz w:val="21"/>
              </w:rPr>
              <w:t>23.2</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6" w:right="120"/>
              <w:rPr>
                <w:sz w:val="21"/>
              </w:rPr>
            </w:pPr>
            <w:r>
              <w:rPr>
                <w:sz w:val="21"/>
              </w:rPr>
              <w:t>0.0328</w:t>
            </w:r>
          </w:p>
        </w:tc>
        <w:tc>
          <w:tcPr>
            <w:tcW w:w="783" w:type="dxa"/>
            <w:tcBorders>
              <w:top w:val="single" w:sz="6" w:space="0" w:color="000000"/>
              <w:left w:val="single" w:sz="6" w:space="0" w:color="000000"/>
              <w:bottom w:val="single" w:sz="6" w:space="0" w:color="000000"/>
              <w:right w:val="single" w:sz="6" w:space="0" w:color="000000"/>
            </w:tcBorders>
          </w:tcPr>
          <w:p>
            <w:pPr>
              <w:pStyle w:val="TableParagraph"/>
              <w:ind w:left="138" w:right="116"/>
              <w:rPr>
                <w:sz w:val="21"/>
              </w:rPr>
            </w:pPr>
            <w:r>
              <w:rPr>
                <w:sz w:val="21"/>
              </w:rPr>
              <w:t>0.055</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145" w:right="121"/>
              <w:rPr>
                <w:sz w:val="21"/>
              </w:rPr>
            </w:pPr>
            <w:r>
              <w:rPr>
                <w:sz w:val="21"/>
              </w:rPr>
              <w:t>13.012</w:t>
            </w:r>
          </w:p>
        </w:tc>
        <w:tc>
          <w:tcPr>
            <w:tcW w:w="2144" w:type="dxa"/>
            <w:tcBorders>
              <w:top w:val="single" w:sz="6" w:space="0" w:color="000000"/>
              <w:left w:val="single" w:sz="6" w:space="0" w:color="000000"/>
              <w:bottom w:val="single" w:sz="6" w:space="0" w:color="000000"/>
            </w:tcBorders>
          </w:tcPr>
          <w:p>
            <w:pPr>
              <w:pStyle w:val="TableParagraph"/>
              <w:ind w:left="189" w:right="160"/>
              <w:rPr>
                <w:sz w:val="21"/>
              </w:rPr>
            </w:pPr>
            <w:r>
              <w:rPr>
                <w:sz w:val="21"/>
              </w:rPr>
              <w:t>8728.9</w:t>
            </w:r>
          </w:p>
        </w:tc>
      </w:tr>
      <w:tr>
        <w:trPr>
          <w:trHeight w:val="361" w:hRule="atLeast"/>
        </w:trPr>
        <w:tc>
          <w:tcPr>
            <w:tcW w:w="1210" w:type="dxa"/>
            <w:tcBorders>
              <w:top w:val="single" w:sz="6" w:space="0" w:color="000000"/>
              <w:right w:val="single" w:sz="6" w:space="0" w:color="000000"/>
            </w:tcBorders>
          </w:tcPr>
          <w:p>
            <w:pPr>
              <w:pStyle w:val="TableParagraph"/>
              <w:spacing w:before="60"/>
              <w:ind w:left="176"/>
              <w:jc w:val="left"/>
              <w:rPr>
                <w:sz w:val="21"/>
              </w:rPr>
            </w:pPr>
            <w:r>
              <w:rPr>
                <w:sz w:val="21"/>
              </w:rPr>
              <w:t>2020/11/8</w:t>
            </w:r>
          </w:p>
        </w:tc>
        <w:tc>
          <w:tcPr>
            <w:tcW w:w="2058" w:type="dxa"/>
            <w:tcBorders>
              <w:top w:val="single" w:sz="6" w:space="0" w:color="000000"/>
              <w:left w:val="single" w:sz="6" w:space="0" w:color="000000"/>
              <w:right w:val="single" w:sz="6" w:space="0" w:color="000000"/>
            </w:tcBorders>
          </w:tcPr>
          <w:p>
            <w:pPr>
              <w:pStyle w:val="TableParagraph"/>
              <w:spacing w:before="60"/>
              <w:ind w:left="215" w:right="186"/>
              <w:rPr>
                <w:sz w:val="21"/>
              </w:rPr>
            </w:pPr>
            <w:r>
              <w:rPr>
                <w:sz w:val="21"/>
              </w:rPr>
              <w:t>6.35</w:t>
            </w:r>
          </w:p>
        </w:tc>
        <w:tc>
          <w:tcPr>
            <w:tcW w:w="1439" w:type="dxa"/>
            <w:tcBorders>
              <w:top w:val="single" w:sz="6" w:space="0" w:color="000000"/>
              <w:left w:val="single" w:sz="6" w:space="0" w:color="000000"/>
              <w:right w:val="single" w:sz="6" w:space="0" w:color="000000"/>
            </w:tcBorders>
          </w:tcPr>
          <w:p>
            <w:pPr>
              <w:pStyle w:val="TableParagraph"/>
              <w:spacing w:before="60"/>
              <w:ind w:left="178" w:right="151"/>
              <w:rPr>
                <w:sz w:val="21"/>
              </w:rPr>
            </w:pPr>
            <w:r>
              <w:rPr>
                <w:sz w:val="21"/>
              </w:rPr>
              <w:t>23.2</w:t>
            </w:r>
          </w:p>
        </w:tc>
        <w:tc>
          <w:tcPr>
            <w:tcW w:w="901" w:type="dxa"/>
            <w:tcBorders>
              <w:top w:val="single" w:sz="6" w:space="0" w:color="000000"/>
              <w:left w:val="single" w:sz="6" w:space="0" w:color="000000"/>
              <w:right w:val="single" w:sz="6" w:space="0" w:color="000000"/>
            </w:tcBorders>
          </w:tcPr>
          <w:p>
            <w:pPr>
              <w:pStyle w:val="TableParagraph"/>
              <w:spacing w:before="60"/>
              <w:ind w:left="146" w:right="120"/>
              <w:rPr>
                <w:sz w:val="21"/>
              </w:rPr>
            </w:pPr>
            <w:r>
              <w:rPr>
                <w:sz w:val="21"/>
              </w:rPr>
              <w:t>0.0181</w:t>
            </w:r>
          </w:p>
        </w:tc>
        <w:tc>
          <w:tcPr>
            <w:tcW w:w="783" w:type="dxa"/>
            <w:tcBorders>
              <w:top w:val="single" w:sz="6" w:space="0" w:color="000000"/>
              <w:left w:val="single" w:sz="6" w:space="0" w:color="000000"/>
              <w:right w:val="single" w:sz="6" w:space="0" w:color="000000"/>
            </w:tcBorders>
          </w:tcPr>
          <w:p>
            <w:pPr>
              <w:pStyle w:val="TableParagraph"/>
              <w:spacing w:before="60"/>
              <w:ind w:left="138" w:right="116"/>
              <w:rPr>
                <w:sz w:val="21"/>
              </w:rPr>
            </w:pPr>
            <w:r>
              <w:rPr>
                <w:sz w:val="21"/>
              </w:rPr>
              <w:t>0.053</w:t>
            </w:r>
          </w:p>
        </w:tc>
        <w:tc>
          <w:tcPr>
            <w:tcW w:w="901" w:type="dxa"/>
            <w:tcBorders>
              <w:top w:val="single" w:sz="6" w:space="0" w:color="000000"/>
              <w:left w:val="single" w:sz="6" w:space="0" w:color="000000"/>
              <w:right w:val="single" w:sz="6" w:space="0" w:color="000000"/>
            </w:tcBorders>
          </w:tcPr>
          <w:p>
            <w:pPr>
              <w:pStyle w:val="TableParagraph"/>
              <w:spacing w:before="60"/>
              <w:ind w:left="145" w:right="121"/>
              <w:rPr>
                <w:sz w:val="21"/>
              </w:rPr>
            </w:pPr>
            <w:r>
              <w:rPr>
                <w:sz w:val="21"/>
              </w:rPr>
              <w:t>12.958</w:t>
            </w:r>
          </w:p>
        </w:tc>
        <w:tc>
          <w:tcPr>
            <w:tcW w:w="2144" w:type="dxa"/>
            <w:tcBorders>
              <w:top w:val="single" w:sz="6" w:space="0" w:color="000000"/>
              <w:left w:val="single" w:sz="6" w:space="0" w:color="000000"/>
            </w:tcBorders>
          </w:tcPr>
          <w:p>
            <w:pPr>
              <w:pStyle w:val="TableParagraph"/>
              <w:spacing w:before="60"/>
              <w:ind w:left="189" w:right="160"/>
              <w:rPr>
                <w:sz w:val="21"/>
              </w:rPr>
            </w:pPr>
            <w:r>
              <w:rPr>
                <w:sz w:val="21"/>
              </w:rPr>
              <w:t>8104.3</w:t>
            </w:r>
          </w:p>
        </w:tc>
      </w:tr>
    </w:tbl>
    <w:p>
      <w:pPr>
        <w:pStyle w:val="Heading2"/>
        <w:numPr>
          <w:ilvl w:val="1"/>
          <w:numId w:val="53"/>
        </w:numPr>
        <w:tabs>
          <w:tab w:pos="730" w:val="left" w:leader="none"/>
        </w:tabs>
        <w:spacing w:line="240" w:lineRule="auto" w:before="133" w:after="0"/>
        <w:ind w:left="729" w:right="0" w:hanging="493"/>
        <w:jc w:val="left"/>
      </w:pPr>
      <w:bookmarkStart w:name="_bookmark70" w:id="136"/>
      <w:bookmarkEnd w:id="136"/>
      <w:r>
        <w:rPr>
          <w:b w:val="0"/>
        </w:rPr>
      </w:r>
      <w:bookmarkStart w:name="_bookmark70" w:id="137"/>
      <w:bookmarkEnd w:id="137"/>
      <w:r>
        <w:rPr/>
        <w:t>环境现状调查与评价</w:t>
      </w:r>
    </w:p>
    <w:p>
      <w:pPr>
        <w:pStyle w:val="ListParagraph"/>
        <w:numPr>
          <w:ilvl w:val="2"/>
          <w:numId w:val="53"/>
        </w:numPr>
        <w:tabs>
          <w:tab w:pos="838" w:val="left" w:leader="none"/>
        </w:tabs>
        <w:spacing w:line="240" w:lineRule="auto" w:before="214" w:after="0"/>
        <w:ind w:left="837" w:right="0" w:hanging="601"/>
        <w:jc w:val="left"/>
        <w:rPr>
          <w:b/>
          <w:sz w:val="24"/>
        </w:rPr>
      </w:pPr>
      <w:bookmarkStart w:name="_bookmark71" w:id="138"/>
      <w:bookmarkEnd w:id="138"/>
      <w:r>
        <w:rPr/>
      </w:r>
      <w:bookmarkStart w:name="_bookmark71" w:id="139"/>
      <w:bookmarkEnd w:id="139"/>
      <w:r>
        <w:rPr>
          <w:b/>
          <w:sz w:val="24"/>
        </w:rPr>
        <w:t>环境空气质量现状监测与评价</w:t>
      </w:r>
    </w:p>
    <w:p>
      <w:pPr>
        <w:spacing w:before="161"/>
        <w:ind w:left="719" w:right="0" w:firstLine="0"/>
        <w:jc w:val="left"/>
        <w:rPr>
          <w:b/>
          <w:sz w:val="24"/>
        </w:rPr>
      </w:pPr>
      <w:r>
        <w:rPr>
          <w:rFonts w:ascii="Times New Roman" w:eastAsia="Times New Roman"/>
          <w:b/>
          <w:sz w:val="24"/>
        </w:rPr>
        <w:t>1</w:t>
      </w:r>
      <w:r>
        <w:rPr>
          <w:b/>
          <w:sz w:val="24"/>
        </w:rPr>
        <w:t>、基本污染物环境质量现状数据及达标区判定</w:t>
      </w:r>
    </w:p>
    <w:p>
      <w:pPr>
        <w:pStyle w:val="ListParagraph"/>
        <w:numPr>
          <w:ilvl w:val="3"/>
          <w:numId w:val="53"/>
        </w:numPr>
        <w:tabs>
          <w:tab w:pos="1323" w:val="left" w:leader="none"/>
        </w:tabs>
        <w:spacing w:line="240" w:lineRule="auto" w:before="160" w:after="0"/>
        <w:ind w:left="1323" w:right="0" w:hanging="604"/>
        <w:jc w:val="left"/>
        <w:rPr>
          <w:b/>
          <w:sz w:val="24"/>
        </w:rPr>
      </w:pPr>
      <w:r>
        <w:rPr>
          <w:b/>
          <w:sz w:val="24"/>
        </w:rPr>
        <w:t>基本污染物环境质量数据</w:t>
      </w:r>
    </w:p>
    <w:p>
      <w:pPr>
        <w:pStyle w:val="BodyText"/>
        <w:spacing w:before="161"/>
        <w:ind w:left="717"/>
      </w:pPr>
      <w:r>
        <w:rPr/>
        <w:t>为了解评价基准年（</w:t>
      </w:r>
      <w:r>
        <w:rPr>
          <w:rFonts w:ascii="Times New Roman" w:eastAsia="Times New Roman"/>
        </w:rPr>
        <w:t>2019 </w:t>
      </w:r>
      <w:r>
        <w:rPr/>
        <w:t>年）项目所在区域环境质量情况，本环评引用了绍兴市生</w:t>
      </w:r>
    </w:p>
    <w:p>
      <w:pPr>
        <w:spacing w:after="0"/>
        <w:sectPr>
          <w:pgSz w:w="11910" w:h="16840"/>
          <w:pgMar w:header="874" w:footer="1004" w:top="1420" w:bottom="1200" w:left="1040" w:right="1160"/>
        </w:sectPr>
      </w:pPr>
    </w:p>
    <w:p>
      <w:pPr>
        <w:pStyle w:val="BodyText"/>
        <w:spacing w:line="364" w:lineRule="auto" w:before="92"/>
        <w:ind w:right="249"/>
        <w:jc w:val="both"/>
      </w:pPr>
      <w:r>
        <w:rPr/>
        <w:t>态环境局发布的《</w:t>
      </w:r>
      <w:r>
        <w:rPr>
          <w:rFonts w:ascii="Times New Roman" w:eastAsia="Times New Roman"/>
        </w:rPr>
        <w:t>2019 </w:t>
      </w:r>
      <w:r>
        <w:rPr>
          <w:spacing w:val="-1"/>
        </w:rPr>
        <w:t>年绍兴市环境状况公报》中柯桥区的数据，并根据《环境影响评</w:t>
      </w:r>
      <w:r>
        <w:rPr>
          <w:spacing w:val="-5"/>
        </w:rPr>
        <w:t>价技术导则大气环境》</w:t>
      </w:r>
      <w:r>
        <w:rPr/>
        <w:t>（</w:t>
      </w:r>
      <w:r>
        <w:rPr>
          <w:rFonts w:ascii="Times New Roman" w:eastAsia="Times New Roman"/>
        </w:rPr>
        <w:t>HJ </w:t>
      </w:r>
      <w:r>
        <w:rPr>
          <w:rFonts w:ascii="Times New Roman" w:eastAsia="Times New Roman"/>
          <w:spacing w:val="-3"/>
        </w:rPr>
        <w:t>2.2-2018</w:t>
      </w:r>
      <w:r>
        <w:rPr>
          <w:spacing w:val="-3"/>
        </w:rPr>
        <w:t>）</w:t>
      </w:r>
      <w:r>
        <w:rPr>
          <w:spacing w:val="-8"/>
        </w:rPr>
        <w:t>有关要求，按照《环境空气质量评价技术规范</w:t>
      </w:r>
      <w:r>
        <w:rPr/>
        <w:t>（</w:t>
      </w:r>
      <w:r>
        <w:rPr>
          <w:spacing w:val="-15"/>
        </w:rPr>
        <w:t>试</w:t>
      </w:r>
      <w:r>
        <w:rPr/>
        <w:t>行）》（</w:t>
      </w:r>
      <w:r>
        <w:rPr>
          <w:rFonts w:ascii="Times New Roman" w:eastAsia="Times New Roman"/>
        </w:rPr>
        <w:t>HJ 663-2013</w:t>
      </w:r>
      <w:r>
        <w:rPr/>
        <w:t>）</w:t>
      </w:r>
      <w:r>
        <w:rPr>
          <w:spacing w:val="-3"/>
        </w:rPr>
        <w:t>中规定的方法进行了分析，区域空气质量现状评价见表 </w:t>
      </w:r>
      <w:r>
        <w:rPr>
          <w:rFonts w:ascii="Times New Roman" w:eastAsia="Times New Roman"/>
        </w:rPr>
        <w:t>4.3-1</w:t>
      </w:r>
      <w:r>
        <w:rPr/>
        <w:t>。</w:t>
      </w:r>
    </w:p>
    <w:p>
      <w:pPr>
        <w:pStyle w:val="Heading3"/>
        <w:spacing w:before="2"/>
        <w:ind w:left="2275"/>
        <w:jc w:val="both"/>
      </w:pPr>
      <w:r>
        <w:rPr/>
        <w:t>表 </w:t>
      </w:r>
      <w:r>
        <w:rPr>
          <w:rFonts w:ascii="Times New Roman" w:eastAsia="Times New Roman"/>
        </w:rPr>
        <w:t>4.3-1  </w:t>
      </w:r>
      <w:r>
        <w:rPr/>
        <w:t>柯桥区 </w:t>
      </w:r>
      <w:r>
        <w:rPr>
          <w:rFonts w:ascii="Times New Roman" w:eastAsia="Times New Roman"/>
        </w:rPr>
        <w:t>2019 </w:t>
      </w:r>
      <w:r>
        <w:rPr/>
        <w:t>年环境空气质量现状评价表</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2"/>
        <w:gridCol w:w="2487"/>
        <w:gridCol w:w="828"/>
        <w:gridCol w:w="1131"/>
        <w:gridCol w:w="903"/>
        <w:gridCol w:w="923"/>
        <w:gridCol w:w="1129"/>
        <w:gridCol w:w="1132"/>
      </w:tblGrid>
      <w:tr>
        <w:trPr>
          <w:trHeight w:val="359" w:hRule="atLeast"/>
        </w:trPr>
        <w:tc>
          <w:tcPr>
            <w:tcW w:w="902" w:type="dxa"/>
            <w:tcBorders>
              <w:bottom w:val="single" w:sz="6" w:space="0" w:color="000000"/>
              <w:right w:val="single" w:sz="6" w:space="0" w:color="000000"/>
            </w:tcBorders>
          </w:tcPr>
          <w:p>
            <w:pPr>
              <w:pStyle w:val="TableParagraph"/>
              <w:spacing w:before="43"/>
              <w:ind w:left="114" w:right="93"/>
              <w:rPr>
                <w:rFonts w:ascii="宋体" w:eastAsia="宋体" w:hint="eastAsia"/>
                <w:b/>
                <w:sz w:val="21"/>
              </w:rPr>
            </w:pPr>
            <w:r>
              <w:rPr>
                <w:rFonts w:ascii="宋体" w:eastAsia="宋体" w:hint="eastAsia"/>
                <w:b/>
                <w:sz w:val="21"/>
              </w:rPr>
              <w:t>污染物</w:t>
            </w:r>
          </w:p>
        </w:tc>
        <w:tc>
          <w:tcPr>
            <w:tcW w:w="2487" w:type="dxa"/>
            <w:tcBorders>
              <w:left w:val="single" w:sz="6" w:space="0" w:color="000000"/>
              <w:bottom w:val="single" w:sz="6" w:space="0" w:color="000000"/>
              <w:right w:val="single" w:sz="6" w:space="0" w:color="000000"/>
            </w:tcBorders>
          </w:tcPr>
          <w:p>
            <w:pPr>
              <w:pStyle w:val="TableParagraph"/>
              <w:spacing w:before="43"/>
              <w:ind w:left="143" w:right="115"/>
              <w:rPr>
                <w:rFonts w:ascii="宋体" w:eastAsia="宋体" w:hint="eastAsia"/>
                <w:b/>
                <w:sz w:val="21"/>
              </w:rPr>
            </w:pPr>
            <w:r>
              <w:rPr>
                <w:rFonts w:ascii="宋体" w:eastAsia="宋体" w:hint="eastAsia"/>
                <w:b/>
                <w:sz w:val="21"/>
              </w:rPr>
              <w:t>年评价指标</w:t>
            </w:r>
          </w:p>
        </w:tc>
        <w:tc>
          <w:tcPr>
            <w:tcW w:w="828" w:type="dxa"/>
            <w:tcBorders>
              <w:left w:val="single" w:sz="6" w:space="0" w:color="000000"/>
              <w:bottom w:val="single" w:sz="6" w:space="0" w:color="000000"/>
              <w:right w:val="single" w:sz="6" w:space="0" w:color="000000"/>
            </w:tcBorders>
          </w:tcPr>
          <w:p>
            <w:pPr>
              <w:pStyle w:val="TableParagraph"/>
              <w:spacing w:before="43"/>
              <w:ind w:left="118" w:right="91"/>
              <w:rPr>
                <w:rFonts w:ascii="宋体" w:eastAsia="宋体" w:hint="eastAsia"/>
                <w:b/>
                <w:sz w:val="21"/>
              </w:rPr>
            </w:pPr>
            <w:r>
              <w:rPr>
                <w:rFonts w:ascii="宋体" w:eastAsia="宋体" w:hint="eastAsia"/>
                <w:b/>
                <w:sz w:val="21"/>
              </w:rPr>
              <w:t>单位</w:t>
            </w:r>
          </w:p>
        </w:tc>
        <w:tc>
          <w:tcPr>
            <w:tcW w:w="1131" w:type="dxa"/>
            <w:tcBorders>
              <w:left w:val="single" w:sz="6" w:space="0" w:color="000000"/>
              <w:bottom w:val="single" w:sz="6" w:space="0" w:color="000000"/>
              <w:right w:val="single" w:sz="6" w:space="0" w:color="000000"/>
            </w:tcBorders>
          </w:tcPr>
          <w:p>
            <w:pPr>
              <w:pStyle w:val="TableParagraph"/>
              <w:spacing w:before="43"/>
              <w:ind w:left="132" w:right="100"/>
              <w:rPr>
                <w:rFonts w:ascii="宋体" w:eastAsia="宋体" w:hint="eastAsia"/>
                <w:b/>
                <w:sz w:val="21"/>
              </w:rPr>
            </w:pPr>
            <w:r>
              <w:rPr>
                <w:rFonts w:ascii="宋体" w:eastAsia="宋体" w:hint="eastAsia"/>
                <w:b/>
                <w:sz w:val="21"/>
              </w:rPr>
              <w:t>现状浓度</w:t>
            </w:r>
          </w:p>
        </w:tc>
        <w:tc>
          <w:tcPr>
            <w:tcW w:w="903" w:type="dxa"/>
            <w:tcBorders>
              <w:left w:val="single" w:sz="6" w:space="0" w:color="000000"/>
              <w:bottom w:val="single" w:sz="6" w:space="0" w:color="000000"/>
              <w:right w:val="single" w:sz="6" w:space="0" w:color="000000"/>
            </w:tcBorders>
          </w:tcPr>
          <w:p>
            <w:pPr>
              <w:pStyle w:val="TableParagraph"/>
              <w:spacing w:before="43"/>
              <w:ind w:left="121" w:right="93"/>
              <w:rPr>
                <w:rFonts w:ascii="宋体" w:eastAsia="宋体" w:hint="eastAsia"/>
                <w:b/>
                <w:sz w:val="21"/>
              </w:rPr>
            </w:pPr>
            <w:r>
              <w:rPr>
                <w:rFonts w:ascii="宋体" w:eastAsia="宋体" w:hint="eastAsia"/>
                <w:b/>
                <w:sz w:val="21"/>
              </w:rPr>
              <w:t>标准值</w:t>
            </w:r>
          </w:p>
        </w:tc>
        <w:tc>
          <w:tcPr>
            <w:tcW w:w="923" w:type="dxa"/>
            <w:tcBorders>
              <w:left w:val="single" w:sz="6" w:space="0" w:color="000000"/>
              <w:bottom w:val="single" w:sz="6" w:space="0" w:color="000000"/>
              <w:right w:val="single" w:sz="6" w:space="0" w:color="000000"/>
            </w:tcBorders>
          </w:tcPr>
          <w:p>
            <w:pPr>
              <w:pStyle w:val="TableParagraph"/>
              <w:spacing w:before="43"/>
              <w:ind w:right="124"/>
              <w:jc w:val="right"/>
              <w:rPr>
                <w:rFonts w:ascii="宋体" w:eastAsia="宋体" w:hint="eastAsia"/>
                <w:b/>
                <w:sz w:val="21"/>
              </w:rPr>
            </w:pPr>
            <w:r>
              <w:rPr>
                <w:rFonts w:ascii="宋体" w:eastAsia="宋体" w:hint="eastAsia"/>
                <w:b/>
                <w:sz w:val="21"/>
              </w:rPr>
              <w:t>占标率</w:t>
            </w:r>
          </w:p>
        </w:tc>
        <w:tc>
          <w:tcPr>
            <w:tcW w:w="1129" w:type="dxa"/>
            <w:tcBorders>
              <w:left w:val="single" w:sz="6" w:space="0" w:color="000000"/>
              <w:bottom w:val="single" w:sz="6" w:space="0" w:color="000000"/>
              <w:right w:val="single" w:sz="6" w:space="0" w:color="000000"/>
            </w:tcBorders>
          </w:tcPr>
          <w:p>
            <w:pPr>
              <w:pStyle w:val="TableParagraph"/>
              <w:spacing w:before="43"/>
              <w:ind w:left="127" w:right="102"/>
              <w:rPr>
                <w:rFonts w:ascii="宋体" w:eastAsia="宋体" w:hint="eastAsia"/>
                <w:b/>
                <w:sz w:val="21"/>
              </w:rPr>
            </w:pPr>
            <w:r>
              <w:rPr>
                <w:rFonts w:ascii="宋体" w:eastAsia="宋体" w:hint="eastAsia"/>
                <w:b/>
                <w:sz w:val="21"/>
              </w:rPr>
              <w:t>达标情况</w:t>
            </w:r>
          </w:p>
        </w:tc>
        <w:tc>
          <w:tcPr>
            <w:tcW w:w="1132" w:type="dxa"/>
            <w:tcBorders>
              <w:left w:val="single" w:sz="6" w:space="0" w:color="000000"/>
              <w:bottom w:val="single" w:sz="6" w:space="0" w:color="000000"/>
            </w:tcBorders>
          </w:tcPr>
          <w:p>
            <w:pPr>
              <w:pStyle w:val="TableParagraph"/>
              <w:spacing w:before="43"/>
              <w:ind w:left="129" w:right="97"/>
              <w:rPr>
                <w:rFonts w:ascii="宋体" w:eastAsia="宋体" w:hint="eastAsia"/>
                <w:b/>
                <w:sz w:val="21"/>
              </w:rPr>
            </w:pPr>
            <w:r>
              <w:rPr>
                <w:rFonts w:ascii="宋体" w:eastAsia="宋体" w:hint="eastAsia"/>
                <w:b/>
                <w:sz w:val="21"/>
              </w:rPr>
              <w:t>超标倍数</w:t>
            </w:r>
          </w:p>
        </w:tc>
      </w:tr>
      <w:tr>
        <w:trPr>
          <w:trHeight w:val="359" w:hRule="atLeast"/>
        </w:trPr>
        <w:tc>
          <w:tcPr>
            <w:tcW w:w="902"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280"/>
              <w:jc w:val="left"/>
              <w:rPr>
                <w:sz w:val="14"/>
              </w:rPr>
            </w:pPr>
            <w:r>
              <w:rPr>
                <w:position w:val="2"/>
                <w:sz w:val="21"/>
              </w:rPr>
              <w:t>SO</w:t>
            </w:r>
            <w:r>
              <w:rPr>
                <w:sz w:val="14"/>
              </w:rPr>
              <w:t>2</w:t>
            </w: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4"/>
              <w:ind w:left="143" w:right="115"/>
              <w:rPr>
                <w:rFonts w:ascii="宋体" w:eastAsia="宋体" w:hint="eastAsia"/>
                <w:sz w:val="21"/>
              </w:rPr>
            </w:pPr>
            <w:r>
              <w:rPr>
                <w:rFonts w:ascii="宋体" w:eastAsia="宋体" w:hint="eastAsia"/>
                <w:sz w:val="21"/>
              </w:rPr>
              <w:t>年平均质量浓度</w:t>
            </w:r>
          </w:p>
        </w:tc>
        <w:tc>
          <w:tcPr>
            <w:tcW w:w="8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3"/>
              <w:jc w:val="left"/>
              <w:rPr>
                <w:rFonts w:ascii="宋体"/>
                <w:b/>
                <w:sz w:val="34"/>
              </w:rPr>
            </w:pPr>
          </w:p>
          <w:p>
            <w:pPr>
              <w:pStyle w:val="TableParagraph"/>
              <w:spacing w:before="1"/>
              <w:ind w:left="165"/>
              <w:jc w:val="left"/>
              <w:rPr>
                <w:sz w:val="14"/>
              </w:rPr>
            </w:pPr>
            <w:r>
              <w:rPr>
                <w:sz w:val="21"/>
              </w:rPr>
              <w:t>μg/m</w:t>
            </w:r>
            <w:r>
              <w:rPr>
                <w:position w:val="7"/>
                <w:sz w:val="14"/>
              </w:rPr>
              <w:t>3</w:t>
            </w:r>
          </w:p>
        </w:tc>
        <w:tc>
          <w:tcPr>
            <w:tcW w:w="1131"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7</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ind w:left="121" w:right="93"/>
              <w:rPr>
                <w:sz w:val="21"/>
              </w:rPr>
            </w:pPr>
            <w:r>
              <w:rPr>
                <w:sz w:val="21"/>
              </w:rPr>
              <w:t>60</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ind w:right="169"/>
              <w:jc w:val="right"/>
              <w:rPr>
                <w:sz w:val="21"/>
              </w:rPr>
            </w:pPr>
            <w:r>
              <w:rPr>
                <w:sz w:val="21"/>
              </w:rPr>
              <w:t>11.7%</w:t>
            </w:r>
          </w:p>
        </w:tc>
        <w:tc>
          <w:tcPr>
            <w:tcW w:w="112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358"/>
              <w:jc w:val="left"/>
              <w:rPr>
                <w:rFonts w:ascii="宋体" w:eastAsia="宋体" w:hint="eastAsia"/>
                <w:sz w:val="21"/>
              </w:rPr>
            </w:pPr>
            <w:r>
              <w:rPr>
                <w:rFonts w:ascii="宋体" w:eastAsia="宋体" w:hint="eastAsia"/>
                <w:sz w:val="21"/>
              </w:rPr>
              <w:t>达标</w:t>
            </w:r>
          </w:p>
        </w:tc>
        <w:tc>
          <w:tcPr>
            <w:tcW w:w="1132" w:type="dxa"/>
            <w:tcBorders>
              <w:top w:val="single" w:sz="6" w:space="0" w:color="000000"/>
              <w:left w:val="single" w:sz="6" w:space="0" w:color="000000"/>
              <w:bottom w:val="single" w:sz="6" w:space="0" w:color="000000"/>
            </w:tcBorders>
          </w:tcPr>
          <w:p>
            <w:pPr>
              <w:pStyle w:val="TableParagraph"/>
              <w:ind w:left="129" w:right="97"/>
              <w:rPr>
                <w:sz w:val="21"/>
              </w:rPr>
            </w:pPr>
            <w:r>
              <w:rPr>
                <w:sz w:val="21"/>
              </w:rPr>
              <w:t>0.00</w:t>
            </w:r>
          </w:p>
        </w:tc>
      </w:tr>
      <w:tr>
        <w:trPr>
          <w:trHeight w:val="356" w:hRule="atLeast"/>
        </w:trPr>
        <w:tc>
          <w:tcPr>
            <w:tcW w:w="902" w:type="dxa"/>
            <w:vMerge/>
            <w:tcBorders>
              <w:top w:val="nil"/>
              <w:bottom w:val="single" w:sz="6" w:space="0" w:color="000000"/>
              <w:right w:val="single" w:sz="6" w:space="0" w:color="000000"/>
            </w:tcBorders>
          </w:tcPr>
          <w:p>
            <w:pPr>
              <w:rPr>
                <w:sz w:val="2"/>
                <w:szCs w:val="2"/>
              </w:rPr>
            </w:pP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4"/>
              <w:ind w:left="146" w:right="115"/>
              <w:rPr>
                <w:rFonts w:ascii="宋体" w:eastAsia="宋体" w:hint="eastAsia"/>
                <w:sz w:val="21"/>
              </w:rPr>
            </w:pPr>
            <w:r>
              <w:rPr>
                <w:rFonts w:ascii="宋体" w:eastAsia="宋体" w:hint="eastAsia"/>
                <w:sz w:val="21"/>
              </w:rPr>
              <w:t>第 </w:t>
            </w:r>
            <w:r>
              <w:rPr>
                <w:sz w:val="21"/>
              </w:rPr>
              <w:t>98%</w:t>
            </w:r>
            <w:r>
              <w:rPr>
                <w:rFonts w:ascii="宋体" w:eastAsia="宋体" w:hint="eastAsia"/>
                <w:sz w:val="21"/>
              </w:rPr>
              <w:t>百分位数日平均</w:t>
            </w:r>
          </w:p>
        </w:tc>
        <w:tc>
          <w:tcPr>
            <w:tcW w:w="828" w:type="dxa"/>
            <w:vMerge/>
            <w:tcBorders>
              <w:top w:val="nil"/>
              <w:left w:val="single" w:sz="6" w:space="0" w:color="000000"/>
              <w:bottom w:val="single" w:sz="6" w:space="0" w:color="000000"/>
              <w:right w:val="single" w:sz="6" w:space="0" w:color="000000"/>
            </w:tcBorders>
          </w:tcPr>
          <w:p>
            <w:pPr>
              <w:rPr>
                <w:sz w:val="2"/>
                <w:szCs w:val="2"/>
              </w:rPr>
            </w:pPr>
          </w:p>
        </w:tc>
        <w:tc>
          <w:tcPr>
            <w:tcW w:w="1131" w:type="dxa"/>
            <w:tcBorders>
              <w:top w:val="single" w:sz="6" w:space="0" w:color="000000"/>
              <w:left w:val="single" w:sz="6" w:space="0" w:color="000000"/>
              <w:bottom w:val="single" w:sz="6" w:space="0" w:color="000000"/>
              <w:right w:val="single" w:sz="6" w:space="0" w:color="000000"/>
            </w:tcBorders>
          </w:tcPr>
          <w:p>
            <w:pPr>
              <w:pStyle w:val="TableParagraph"/>
              <w:ind w:left="127" w:right="100"/>
              <w:rPr>
                <w:sz w:val="21"/>
              </w:rPr>
            </w:pPr>
            <w:r>
              <w:rPr>
                <w:sz w:val="21"/>
              </w:rPr>
              <w:t>13</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ind w:left="121" w:right="93"/>
              <w:rPr>
                <w:sz w:val="21"/>
              </w:rPr>
            </w:pPr>
            <w:r>
              <w:rPr>
                <w:sz w:val="21"/>
              </w:rPr>
              <w:t>150</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8.7%</w:t>
            </w:r>
          </w:p>
        </w:tc>
        <w:tc>
          <w:tcPr>
            <w:tcW w:w="1129" w:type="dxa"/>
            <w:vMerge/>
            <w:tcBorders>
              <w:top w:val="nil"/>
              <w:left w:val="single" w:sz="6" w:space="0" w:color="000000"/>
              <w:bottom w:val="single" w:sz="6" w:space="0" w:color="000000"/>
              <w:right w:val="single" w:sz="6" w:space="0" w:color="000000"/>
            </w:tcBorders>
          </w:tcPr>
          <w:p>
            <w:pPr>
              <w:rPr>
                <w:sz w:val="2"/>
                <w:szCs w:val="2"/>
              </w:rPr>
            </w:pPr>
          </w:p>
        </w:tc>
        <w:tc>
          <w:tcPr>
            <w:tcW w:w="1132" w:type="dxa"/>
            <w:tcBorders>
              <w:top w:val="single" w:sz="6" w:space="0" w:color="000000"/>
              <w:left w:val="single" w:sz="6" w:space="0" w:color="000000"/>
              <w:bottom w:val="single" w:sz="6" w:space="0" w:color="000000"/>
            </w:tcBorders>
          </w:tcPr>
          <w:p>
            <w:pPr>
              <w:pStyle w:val="TableParagraph"/>
              <w:ind w:left="129" w:right="97"/>
              <w:rPr>
                <w:sz w:val="21"/>
              </w:rPr>
            </w:pPr>
            <w:r>
              <w:rPr>
                <w:sz w:val="21"/>
              </w:rPr>
              <w:t>0.00</w:t>
            </w:r>
          </w:p>
        </w:tc>
      </w:tr>
      <w:tr>
        <w:trPr>
          <w:trHeight w:val="359" w:hRule="atLeast"/>
        </w:trPr>
        <w:tc>
          <w:tcPr>
            <w:tcW w:w="90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9"/>
              </w:rPr>
            </w:pPr>
          </w:p>
          <w:p>
            <w:pPr>
              <w:pStyle w:val="TableParagraph"/>
              <w:spacing w:before="0"/>
              <w:ind w:left="263"/>
              <w:jc w:val="left"/>
              <w:rPr>
                <w:sz w:val="14"/>
              </w:rPr>
            </w:pPr>
            <w:r>
              <w:rPr>
                <w:position w:val="2"/>
                <w:sz w:val="21"/>
              </w:rPr>
              <w:t>NO</w:t>
            </w:r>
            <w:r>
              <w:rPr>
                <w:sz w:val="14"/>
              </w:rPr>
              <w:t>2</w:t>
            </w: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6"/>
              <w:ind w:left="143" w:right="115"/>
              <w:rPr>
                <w:rFonts w:ascii="宋体" w:eastAsia="宋体" w:hint="eastAsia"/>
                <w:sz w:val="21"/>
              </w:rPr>
            </w:pPr>
            <w:r>
              <w:rPr>
                <w:rFonts w:ascii="宋体" w:eastAsia="宋体" w:hint="eastAsia"/>
                <w:sz w:val="21"/>
              </w:rPr>
              <w:t>年平均质量浓度</w:t>
            </w:r>
          </w:p>
        </w:tc>
        <w:tc>
          <w:tcPr>
            <w:tcW w:w="828" w:type="dxa"/>
            <w:vMerge/>
            <w:tcBorders>
              <w:top w:val="nil"/>
              <w:left w:val="single" w:sz="6" w:space="0" w:color="000000"/>
              <w:bottom w:val="single" w:sz="6" w:space="0" w:color="000000"/>
              <w:right w:val="single" w:sz="6" w:space="0" w:color="000000"/>
            </w:tcBorders>
          </w:tcPr>
          <w:p>
            <w:pPr>
              <w:rPr>
                <w:sz w:val="2"/>
                <w:szCs w:val="2"/>
              </w:rPr>
            </w:pPr>
          </w:p>
        </w:tc>
        <w:tc>
          <w:tcPr>
            <w:tcW w:w="1131"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100"/>
              <w:rPr>
                <w:sz w:val="21"/>
              </w:rPr>
            </w:pPr>
            <w:r>
              <w:rPr>
                <w:sz w:val="21"/>
              </w:rPr>
              <w:t>30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60"/>
              <w:ind w:left="121" w:right="93"/>
              <w:rPr>
                <w:sz w:val="21"/>
              </w:rPr>
            </w:pPr>
            <w:r>
              <w:rPr>
                <w:sz w:val="21"/>
              </w:rPr>
              <w:t>40</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spacing w:before="60"/>
              <w:ind w:right="166"/>
              <w:jc w:val="right"/>
              <w:rPr>
                <w:sz w:val="21"/>
              </w:rPr>
            </w:pPr>
            <w:r>
              <w:rPr>
                <w:sz w:val="21"/>
              </w:rPr>
              <w:t>75.0%</w:t>
            </w:r>
          </w:p>
        </w:tc>
        <w:tc>
          <w:tcPr>
            <w:tcW w:w="112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358"/>
              <w:jc w:val="left"/>
              <w:rPr>
                <w:rFonts w:ascii="宋体" w:eastAsia="宋体" w:hint="eastAsia"/>
                <w:sz w:val="21"/>
              </w:rPr>
            </w:pPr>
            <w:r>
              <w:rPr>
                <w:rFonts w:ascii="宋体" w:eastAsia="宋体" w:hint="eastAsia"/>
                <w:sz w:val="21"/>
              </w:rPr>
              <w:t>达标</w:t>
            </w:r>
          </w:p>
        </w:tc>
        <w:tc>
          <w:tcPr>
            <w:tcW w:w="1132" w:type="dxa"/>
            <w:tcBorders>
              <w:top w:val="single" w:sz="6" w:space="0" w:color="000000"/>
              <w:left w:val="single" w:sz="6" w:space="0" w:color="000000"/>
              <w:bottom w:val="single" w:sz="6" w:space="0" w:color="000000"/>
            </w:tcBorders>
          </w:tcPr>
          <w:p>
            <w:pPr>
              <w:pStyle w:val="TableParagraph"/>
              <w:spacing w:before="60"/>
              <w:ind w:left="129" w:right="97"/>
              <w:rPr>
                <w:sz w:val="21"/>
              </w:rPr>
            </w:pPr>
            <w:r>
              <w:rPr>
                <w:sz w:val="21"/>
              </w:rPr>
              <w:t>0.00</w:t>
            </w:r>
          </w:p>
        </w:tc>
      </w:tr>
      <w:tr>
        <w:trPr>
          <w:trHeight w:val="360" w:hRule="atLeast"/>
        </w:trPr>
        <w:tc>
          <w:tcPr>
            <w:tcW w:w="902" w:type="dxa"/>
            <w:vMerge/>
            <w:tcBorders>
              <w:top w:val="nil"/>
              <w:bottom w:val="single" w:sz="6" w:space="0" w:color="000000"/>
              <w:right w:val="single" w:sz="6" w:space="0" w:color="000000"/>
            </w:tcBorders>
          </w:tcPr>
          <w:p>
            <w:pPr>
              <w:rPr>
                <w:sz w:val="2"/>
                <w:szCs w:val="2"/>
              </w:rPr>
            </w:pP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4"/>
              <w:ind w:left="146" w:right="115"/>
              <w:rPr>
                <w:rFonts w:ascii="宋体" w:eastAsia="宋体" w:hint="eastAsia"/>
                <w:sz w:val="21"/>
              </w:rPr>
            </w:pPr>
            <w:r>
              <w:rPr>
                <w:rFonts w:ascii="宋体" w:eastAsia="宋体" w:hint="eastAsia"/>
                <w:sz w:val="21"/>
              </w:rPr>
              <w:t>第 </w:t>
            </w:r>
            <w:r>
              <w:rPr>
                <w:sz w:val="21"/>
              </w:rPr>
              <w:t>98%</w:t>
            </w:r>
            <w:r>
              <w:rPr>
                <w:rFonts w:ascii="宋体" w:eastAsia="宋体" w:hint="eastAsia"/>
                <w:sz w:val="21"/>
              </w:rPr>
              <w:t>百分位数日平均</w:t>
            </w:r>
          </w:p>
        </w:tc>
        <w:tc>
          <w:tcPr>
            <w:tcW w:w="828" w:type="dxa"/>
            <w:vMerge/>
            <w:tcBorders>
              <w:top w:val="nil"/>
              <w:left w:val="single" w:sz="6" w:space="0" w:color="000000"/>
              <w:bottom w:val="single" w:sz="6" w:space="0" w:color="000000"/>
              <w:right w:val="single" w:sz="6" w:space="0" w:color="000000"/>
            </w:tcBorders>
          </w:tcPr>
          <w:p>
            <w:pPr>
              <w:rPr>
                <w:sz w:val="2"/>
                <w:szCs w:val="2"/>
              </w:rPr>
            </w:pPr>
          </w:p>
        </w:tc>
        <w:tc>
          <w:tcPr>
            <w:tcW w:w="1131" w:type="dxa"/>
            <w:tcBorders>
              <w:top w:val="single" w:sz="6" w:space="0" w:color="000000"/>
              <w:left w:val="single" w:sz="6" w:space="0" w:color="000000"/>
              <w:bottom w:val="single" w:sz="6" w:space="0" w:color="000000"/>
              <w:right w:val="single" w:sz="6" w:space="0" w:color="000000"/>
            </w:tcBorders>
          </w:tcPr>
          <w:p>
            <w:pPr>
              <w:pStyle w:val="TableParagraph"/>
              <w:ind w:left="127" w:right="100"/>
              <w:rPr>
                <w:sz w:val="21"/>
              </w:rPr>
            </w:pPr>
            <w:r>
              <w:rPr>
                <w:sz w:val="21"/>
              </w:rPr>
              <w:t>62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ind w:left="121" w:right="93"/>
              <w:rPr>
                <w:sz w:val="21"/>
              </w:rPr>
            </w:pPr>
            <w:r>
              <w:rPr>
                <w:sz w:val="21"/>
              </w:rPr>
              <w:t>80</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ind w:right="166"/>
              <w:jc w:val="right"/>
              <w:rPr>
                <w:sz w:val="21"/>
              </w:rPr>
            </w:pPr>
            <w:r>
              <w:rPr>
                <w:sz w:val="21"/>
              </w:rPr>
              <w:t>77.5%</w:t>
            </w:r>
          </w:p>
        </w:tc>
        <w:tc>
          <w:tcPr>
            <w:tcW w:w="1129" w:type="dxa"/>
            <w:vMerge/>
            <w:tcBorders>
              <w:top w:val="nil"/>
              <w:left w:val="single" w:sz="6" w:space="0" w:color="000000"/>
              <w:bottom w:val="single" w:sz="6" w:space="0" w:color="000000"/>
              <w:right w:val="single" w:sz="6" w:space="0" w:color="000000"/>
            </w:tcBorders>
          </w:tcPr>
          <w:p>
            <w:pPr>
              <w:rPr>
                <w:sz w:val="2"/>
                <w:szCs w:val="2"/>
              </w:rPr>
            </w:pPr>
          </w:p>
        </w:tc>
        <w:tc>
          <w:tcPr>
            <w:tcW w:w="1132" w:type="dxa"/>
            <w:tcBorders>
              <w:top w:val="single" w:sz="6" w:space="0" w:color="000000"/>
              <w:left w:val="single" w:sz="6" w:space="0" w:color="000000"/>
              <w:bottom w:val="single" w:sz="6" w:space="0" w:color="000000"/>
            </w:tcBorders>
          </w:tcPr>
          <w:p>
            <w:pPr>
              <w:pStyle w:val="TableParagraph"/>
              <w:ind w:left="129" w:right="97"/>
              <w:rPr>
                <w:sz w:val="21"/>
              </w:rPr>
            </w:pPr>
            <w:r>
              <w:rPr>
                <w:sz w:val="21"/>
              </w:rPr>
              <w:t>0.00</w:t>
            </w:r>
          </w:p>
        </w:tc>
      </w:tr>
      <w:tr>
        <w:trPr>
          <w:trHeight w:val="359" w:hRule="atLeast"/>
        </w:trPr>
        <w:tc>
          <w:tcPr>
            <w:tcW w:w="902"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227"/>
              <w:jc w:val="left"/>
              <w:rPr>
                <w:sz w:val="14"/>
              </w:rPr>
            </w:pPr>
            <w:r>
              <w:rPr>
                <w:position w:val="2"/>
                <w:sz w:val="21"/>
              </w:rPr>
              <w:t>PM</w:t>
            </w:r>
            <w:r>
              <w:rPr>
                <w:sz w:val="14"/>
              </w:rPr>
              <w:t>10</w:t>
            </w: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4"/>
              <w:ind w:left="143" w:right="115"/>
              <w:rPr>
                <w:rFonts w:ascii="宋体" w:eastAsia="宋体" w:hint="eastAsia"/>
                <w:sz w:val="21"/>
              </w:rPr>
            </w:pPr>
            <w:r>
              <w:rPr>
                <w:rFonts w:ascii="宋体" w:eastAsia="宋体" w:hint="eastAsia"/>
                <w:sz w:val="21"/>
              </w:rPr>
              <w:t>年平均质量浓度</w:t>
            </w:r>
          </w:p>
        </w:tc>
        <w:tc>
          <w:tcPr>
            <w:tcW w:w="828" w:type="dxa"/>
            <w:vMerge/>
            <w:tcBorders>
              <w:top w:val="nil"/>
              <w:left w:val="single" w:sz="6" w:space="0" w:color="000000"/>
              <w:bottom w:val="single" w:sz="6" w:space="0" w:color="000000"/>
              <w:right w:val="single" w:sz="6" w:space="0" w:color="000000"/>
            </w:tcBorders>
          </w:tcPr>
          <w:p>
            <w:pPr>
              <w:rPr>
                <w:sz w:val="2"/>
                <w:szCs w:val="2"/>
              </w:rPr>
            </w:pPr>
          </w:p>
        </w:tc>
        <w:tc>
          <w:tcPr>
            <w:tcW w:w="1131" w:type="dxa"/>
            <w:tcBorders>
              <w:top w:val="single" w:sz="6" w:space="0" w:color="000000"/>
              <w:left w:val="single" w:sz="6" w:space="0" w:color="000000"/>
              <w:bottom w:val="single" w:sz="6" w:space="0" w:color="000000"/>
              <w:right w:val="single" w:sz="6" w:space="0" w:color="000000"/>
            </w:tcBorders>
          </w:tcPr>
          <w:p>
            <w:pPr>
              <w:pStyle w:val="TableParagraph"/>
              <w:ind w:left="127" w:right="100"/>
              <w:rPr>
                <w:sz w:val="21"/>
              </w:rPr>
            </w:pPr>
            <w:r>
              <w:rPr>
                <w:sz w:val="21"/>
              </w:rPr>
              <w:t>62</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ind w:left="121" w:right="93"/>
              <w:rPr>
                <w:sz w:val="21"/>
              </w:rPr>
            </w:pPr>
            <w:r>
              <w:rPr>
                <w:sz w:val="21"/>
              </w:rPr>
              <w:t>70</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ind w:right="166"/>
              <w:jc w:val="right"/>
              <w:rPr>
                <w:sz w:val="21"/>
              </w:rPr>
            </w:pPr>
            <w:r>
              <w:rPr>
                <w:sz w:val="21"/>
              </w:rPr>
              <w:t>88.6%</w:t>
            </w:r>
          </w:p>
        </w:tc>
        <w:tc>
          <w:tcPr>
            <w:tcW w:w="112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358"/>
              <w:jc w:val="left"/>
              <w:rPr>
                <w:rFonts w:ascii="宋体" w:eastAsia="宋体" w:hint="eastAsia"/>
                <w:sz w:val="21"/>
              </w:rPr>
            </w:pPr>
            <w:r>
              <w:rPr>
                <w:rFonts w:ascii="宋体" w:eastAsia="宋体" w:hint="eastAsia"/>
                <w:sz w:val="21"/>
              </w:rPr>
              <w:t>达标</w:t>
            </w:r>
          </w:p>
        </w:tc>
        <w:tc>
          <w:tcPr>
            <w:tcW w:w="1132" w:type="dxa"/>
            <w:tcBorders>
              <w:top w:val="single" w:sz="6" w:space="0" w:color="000000"/>
              <w:left w:val="single" w:sz="6" w:space="0" w:color="000000"/>
              <w:bottom w:val="single" w:sz="6" w:space="0" w:color="000000"/>
            </w:tcBorders>
          </w:tcPr>
          <w:p>
            <w:pPr>
              <w:pStyle w:val="TableParagraph"/>
              <w:ind w:left="129" w:right="97"/>
              <w:rPr>
                <w:sz w:val="21"/>
              </w:rPr>
            </w:pPr>
            <w:r>
              <w:rPr>
                <w:sz w:val="21"/>
              </w:rPr>
              <w:t>0.00</w:t>
            </w:r>
          </w:p>
        </w:tc>
      </w:tr>
      <w:tr>
        <w:trPr>
          <w:trHeight w:val="357" w:hRule="atLeast"/>
        </w:trPr>
        <w:tc>
          <w:tcPr>
            <w:tcW w:w="902" w:type="dxa"/>
            <w:vMerge/>
            <w:tcBorders>
              <w:top w:val="nil"/>
              <w:bottom w:val="single" w:sz="6" w:space="0" w:color="000000"/>
              <w:right w:val="single" w:sz="6" w:space="0" w:color="000000"/>
            </w:tcBorders>
          </w:tcPr>
          <w:p>
            <w:pPr>
              <w:rPr>
                <w:sz w:val="2"/>
                <w:szCs w:val="2"/>
              </w:rPr>
            </w:pP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4"/>
              <w:ind w:left="146" w:right="115"/>
              <w:rPr>
                <w:rFonts w:ascii="宋体" w:eastAsia="宋体" w:hint="eastAsia"/>
                <w:sz w:val="21"/>
              </w:rPr>
            </w:pPr>
            <w:r>
              <w:rPr>
                <w:rFonts w:ascii="宋体" w:eastAsia="宋体" w:hint="eastAsia"/>
                <w:sz w:val="21"/>
              </w:rPr>
              <w:t>第 </w:t>
            </w:r>
            <w:r>
              <w:rPr>
                <w:sz w:val="21"/>
              </w:rPr>
              <w:t>95%</w:t>
            </w:r>
            <w:r>
              <w:rPr>
                <w:rFonts w:ascii="宋体" w:eastAsia="宋体" w:hint="eastAsia"/>
                <w:sz w:val="21"/>
              </w:rPr>
              <w:t>百分位数日平均</w:t>
            </w:r>
          </w:p>
        </w:tc>
        <w:tc>
          <w:tcPr>
            <w:tcW w:w="828" w:type="dxa"/>
            <w:vMerge/>
            <w:tcBorders>
              <w:top w:val="nil"/>
              <w:left w:val="single" w:sz="6" w:space="0" w:color="000000"/>
              <w:bottom w:val="single" w:sz="6" w:space="0" w:color="000000"/>
              <w:right w:val="single" w:sz="6" w:space="0" w:color="000000"/>
            </w:tcBorders>
          </w:tcPr>
          <w:p>
            <w:pPr>
              <w:rPr>
                <w:sz w:val="2"/>
                <w:szCs w:val="2"/>
              </w:rPr>
            </w:pPr>
          </w:p>
        </w:tc>
        <w:tc>
          <w:tcPr>
            <w:tcW w:w="1131" w:type="dxa"/>
            <w:tcBorders>
              <w:top w:val="single" w:sz="6" w:space="0" w:color="000000"/>
              <w:left w:val="single" w:sz="6" w:space="0" w:color="000000"/>
              <w:bottom w:val="single" w:sz="6" w:space="0" w:color="000000"/>
              <w:right w:val="single" w:sz="6" w:space="0" w:color="000000"/>
            </w:tcBorders>
          </w:tcPr>
          <w:p>
            <w:pPr>
              <w:pStyle w:val="TableParagraph"/>
              <w:ind w:left="132" w:right="100"/>
              <w:rPr>
                <w:sz w:val="21"/>
              </w:rPr>
            </w:pPr>
            <w:r>
              <w:rPr>
                <w:sz w:val="21"/>
              </w:rPr>
              <w:t>128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ind w:left="121" w:right="93"/>
              <w:rPr>
                <w:sz w:val="21"/>
              </w:rPr>
            </w:pPr>
            <w:r>
              <w:rPr>
                <w:sz w:val="21"/>
              </w:rPr>
              <w:t>150</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ind w:right="166"/>
              <w:jc w:val="right"/>
              <w:rPr>
                <w:sz w:val="21"/>
              </w:rPr>
            </w:pPr>
            <w:r>
              <w:rPr>
                <w:sz w:val="21"/>
              </w:rPr>
              <w:t>85.3%</w:t>
            </w:r>
          </w:p>
        </w:tc>
        <w:tc>
          <w:tcPr>
            <w:tcW w:w="1129" w:type="dxa"/>
            <w:vMerge/>
            <w:tcBorders>
              <w:top w:val="nil"/>
              <w:left w:val="single" w:sz="6" w:space="0" w:color="000000"/>
              <w:bottom w:val="single" w:sz="6" w:space="0" w:color="000000"/>
              <w:right w:val="single" w:sz="6" w:space="0" w:color="000000"/>
            </w:tcBorders>
          </w:tcPr>
          <w:p>
            <w:pPr>
              <w:rPr>
                <w:sz w:val="2"/>
                <w:szCs w:val="2"/>
              </w:rPr>
            </w:pPr>
          </w:p>
        </w:tc>
        <w:tc>
          <w:tcPr>
            <w:tcW w:w="1132" w:type="dxa"/>
            <w:tcBorders>
              <w:top w:val="single" w:sz="6" w:space="0" w:color="000000"/>
              <w:left w:val="single" w:sz="6" w:space="0" w:color="000000"/>
              <w:bottom w:val="single" w:sz="6" w:space="0" w:color="000000"/>
            </w:tcBorders>
          </w:tcPr>
          <w:p>
            <w:pPr>
              <w:pStyle w:val="TableParagraph"/>
              <w:ind w:left="129" w:right="97"/>
              <w:rPr>
                <w:sz w:val="21"/>
              </w:rPr>
            </w:pPr>
            <w:r>
              <w:rPr>
                <w:sz w:val="21"/>
              </w:rPr>
              <w:t>0.00</w:t>
            </w:r>
          </w:p>
        </w:tc>
      </w:tr>
      <w:tr>
        <w:trPr>
          <w:trHeight w:val="359" w:hRule="atLeast"/>
        </w:trPr>
        <w:tc>
          <w:tcPr>
            <w:tcW w:w="90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9"/>
              </w:rPr>
            </w:pPr>
          </w:p>
          <w:p>
            <w:pPr>
              <w:pStyle w:val="TableParagraph"/>
              <w:spacing w:before="0"/>
              <w:ind w:left="210"/>
              <w:jc w:val="left"/>
              <w:rPr>
                <w:sz w:val="14"/>
              </w:rPr>
            </w:pPr>
            <w:r>
              <w:rPr>
                <w:position w:val="2"/>
                <w:sz w:val="21"/>
              </w:rPr>
              <w:t>PM</w:t>
            </w:r>
            <w:r>
              <w:rPr>
                <w:sz w:val="14"/>
              </w:rPr>
              <w:t>2.5</w:t>
            </w: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6"/>
              <w:ind w:left="143" w:right="115"/>
              <w:rPr>
                <w:rFonts w:ascii="宋体" w:eastAsia="宋体" w:hint="eastAsia"/>
                <w:sz w:val="21"/>
              </w:rPr>
            </w:pPr>
            <w:r>
              <w:rPr>
                <w:rFonts w:ascii="宋体" w:eastAsia="宋体" w:hint="eastAsia"/>
                <w:sz w:val="21"/>
              </w:rPr>
              <w:t>年平均质量浓度</w:t>
            </w:r>
          </w:p>
        </w:tc>
        <w:tc>
          <w:tcPr>
            <w:tcW w:w="828" w:type="dxa"/>
            <w:vMerge/>
            <w:tcBorders>
              <w:top w:val="nil"/>
              <w:left w:val="single" w:sz="6" w:space="0" w:color="000000"/>
              <w:bottom w:val="single" w:sz="6" w:space="0" w:color="000000"/>
              <w:right w:val="single" w:sz="6" w:space="0" w:color="000000"/>
            </w:tcBorders>
          </w:tcPr>
          <w:p>
            <w:pPr>
              <w:rPr>
                <w:sz w:val="2"/>
                <w:szCs w:val="2"/>
              </w:rPr>
            </w:pPr>
          </w:p>
        </w:tc>
        <w:tc>
          <w:tcPr>
            <w:tcW w:w="1131"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100"/>
              <w:rPr>
                <w:sz w:val="21"/>
              </w:rPr>
            </w:pPr>
            <w:r>
              <w:rPr>
                <w:sz w:val="21"/>
              </w:rPr>
              <w:t>39</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spacing w:before="60"/>
              <w:ind w:left="121" w:right="93"/>
              <w:rPr>
                <w:sz w:val="21"/>
              </w:rPr>
            </w:pPr>
            <w:r>
              <w:rPr>
                <w:sz w:val="21"/>
              </w:rPr>
              <w:t>35</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spacing w:before="60"/>
              <w:ind w:right="121"/>
              <w:jc w:val="right"/>
              <w:rPr>
                <w:sz w:val="21"/>
              </w:rPr>
            </w:pPr>
            <w:r>
              <w:rPr>
                <w:sz w:val="21"/>
              </w:rPr>
              <w:t>111.4%</w:t>
            </w:r>
          </w:p>
        </w:tc>
        <w:tc>
          <w:tcPr>
            <w:tcW w:w="112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358"/>
              <w:jc w:val="left"/>
              <w:rPr>
                <w:rFonts w:ascii="宋体" w:eastAsia="宋体" w:hint="eastAsia"/>
                <w:sz w:val="21"/>
              </w:rPr>
            </w:pPr>
            <w:r>
              <w:rPr>
                <w:rFonts w:ascii="宋体" w:eastAsia="宋体" w:hint="eastAsia"/>
                <w:sz w:val="21"/>
              </w:rPr>
              <w:t>超标</w:t>
            </w:r>
          </w:p>
        </w:tc>
        <w:tc>
          <w:tcPr>
            <w:tcW w:w="1132" w:type="dxa"/>
            <w:tcBorders>
              <w:top w:val="single" w:sz="6" w:space="0" w:color="000000"/>
              <w:left w:val="single" w:sz="6" w:space="0" w:color="000000"/>
              <w:bottom w:val="single" w:sz="6" w:space="0" w:color="000000"/>
            </w:tcBorders>
          </w:tcPr>
          <w:p>
            <w:pPr>
              <w:pStyle w:val="TableParagraph"/>
              <w:spacing w:before="60"/>
              <w:ind w:left="129" w:right="97"/>
              <w:rPr>
                <w:sz w:val="21"/>
              </w:rPr>
            </w:pPr>
            <w:r>
              <w:rPr>
                <w:sz w:val="21"/>
              </w:rPr>
              <w:t>0.11</w:t>
            </w:r>
          </w:p>
        </w:tc>
      </w:tr>
      <w:tr>
        <w:trPr>
          <w:trHeight w:val="359" w:hRule="atLeast"/>
        </w:trPr>
        <w:tc>
          <w:tcPr>
            <w:tcW w:w="902" w:type="dxa"/>
            <w:vMerge/>
            <w:tcBorders>
              <w:top w:val="nil"/>
              <w:bottom w:val="single" w:sz="6" w:space="0" w:color="000000"/>
              <w:right w:val="single" w:sz="6" w:space="0" w:color="000000"/>
            </w:tcBorders>
          </w:tcPr>
          <w:p>
            <w:pPr>
              <w:rPr>
                <w:sz w:val="2"/>
                <w:szCs w:val="2"/>
              </w:rPr>
            </w:pP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4"/>
              <w:ind w:left="146" w:right="115"/>
              <w:rPr>
                <w:rFonts w:ascii="宋体" w:eastAsia="宋体" w:hint="eastAsia"/>
                <w:sz w:val="21"/>
              </w:rPr>
            </w:pPr>
            <w:r>
              <w:rPr>
                <w:rFonts w:ascii="宋体" w:eastAsia="宋体" w:hint="eastAsia"/>
                <w:sz w:val="21"/>
              </w:rPr>
              <w:t>第 </w:t>
            </w:r>
            <w:r>
              <w:rPr>
                <w:sz w:val="21"/>
              </w:rPr>
              <w:t>95%</w:t>
            </w:r>
            <w:r>
              <w:rPr>
                <w:rFonts w:ascii="宋体" w:eastAsia="宋体" w:hint="eastAsia"/>
                <w:sz w:val="21"/>
              </w:rPr>
              <w:t>百分位数日平均</w:t>
            </w:r>
          </w:p>
        </w:tc>
        <w:tc>
          <w:tcPr>
            <w:tcW w:w="828" w:type="dxa"/>
            <w:vMerge/>
            <w:tcBorders>
              <w:top w:val="nil"/>
              <w:left w:val="single" w:sz="6" w:space="0" w:color="000000"/>
              <w:bottom w:val="single" w:sz="6" w:space="0" w:color="000000"/>
              <w:right w:val="single" w:sz="6" w:space="0" w:color="000000"/>
            </w:tcBorders>
          </w:tcPr>
          <w:p>
            <w:pPr>
              <w:rPr>
                <w:sz w:val="2"/>
                <w:szCs w:val="2"/>
              </w:rPr>
            </w:pPr>
          </w:p>
        </w:tc>
        <w:tc>
          <w:tcPr>
            <w:tcW w:w="1131" w:type="dxa"/>
            <w:tcBorders>
              <w:top w:val="single" w:sz="6" w:space="0" w:color="000000"/>
              <w:left w:val="single" w:sz="6" w:space="0" w:color="000000"/>
              <w:bottom w:val="single" w:sz="6" w:space="0" w:color="000000"/>
              <w:right w:val="single" w:sz="6" w:space="0" w:color="000000"/>
            </w:tcBorders>
          </w:tcPr>
          <w:p>
            <w:pPr>
              <w:pStyle w:val="TableParagraph"/>
              <w:ind w:left="127" w:right="100"/>
              <w:rPr>
                <w:sz w:val="21"/>
              </w:rPr>
            </w:pPr>
            <w:r>
              <w:rPr>
                <w:sz w:val="21"/>
              </w:rPr>
              <w:t>78</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ind w:left="121" w:right="93"/>
              <w:rPr>
                <w:sz w:val="21"/>
              </w:rPr>
            </w:pPr>
            <w:r>
              <w:rPr>
                <w:sz w:val="21"/>
              </w:rPr>
              <w:t>75</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ind w:right="114"/>
              <w:jc w:val="right"/>
              <w:rPr>
                <w:sz w:val="21"/>
              </w:rPr>
            </w:pPr>
            <w:r>
              <w:rPr>
                <w:sz w:val="21"/>
              </w:rPr>
              <w:t>104.0%</w:t>
            </w:r>
          </w:p>
        </w:tc>
        <w:tc>
          <w:tcPr>
            <w:tcW w:w="1129" w:type="dxa"/>
            <w:vMerge/>
            <w:tcBorders>
              <w:top w:val="nil"/>
              <w:left w:val="single" w:sz="6" w:space="0" w:color="000000"/>
              <w:bottom w:val="single" w:sz="6" w:space="0" w:color="000000"/>
              <w:right w:val="single" w:sz="6" w:space="0" w:color="000000"/>
            </w:tcBorders>
          </w:tcPr>
          <w:p>
            <w:pPr>
              <w:rPr>
                <w:sz w:val="2"/>
                <w:szCs w:val="2"/>
              </w:rPr>
            </w:pPr>
          </w:p>
        </w:tc>
        <w:tc>
          <w:tcPr>
            <w:tcW w:w="1132" w:type="dxa"/>
            <w:tcBorders>
              <w:top w:val="single" w:sz="6" w:space="0" w:color="000000"/>
              <w:left w:val="single" w:sz="6" w:space="0" w:color="000000"/>
              <w:bottom w:val="single" w:sz="6" w:space="0" w:color="000000"/>
            </w:tcBorders>
          </w:tcPr>
          <w:p>
            <w:pPr>
              <w:pStyle w:val="TableParagraph"/>
              <w:ind w:left="129" w:right="97"/>
              <w:rPr>
                <w:sz w:val="21"/>
              </w:rPr>
            </w:pPr>
            <w:r>
              <w:rPr>
                <w:sz w:val="21"/>
              </w:rPr>
              <w:t>0.04</w:t>
            </w:r>
          </w:p>
        </w:tc>
      </w:tr>
      <w:tr>
        <w:trPr>
          <w:trHeight w:val="359" w:hRule="atLeast"/>
        </w:trPr>
        <w:tc>
          <w:tcPr>
            <w:tcW w:w="902" w:type="dxa"/>
            <w:tcBorders>
              <w:top w:val="single" w:sz="6" w:space="0" w:color="000000"/>
              <w:bottom w:val="single" w:sz="6" w:space="0" w:color="000000"/>
              <w:right w:val="single" w:sz="6" w:space="0" w:color="000000"/>
            </w:tcBorders>
          </w:tcPr>
          <w:p>
            <w:pPr>
              <w:pStyle w:val="TableParagraph"/>
              <w:ind w:left="114" w:right="91"/>
              <w:rPr>
                <w:sz w:val="21"/>
              </w:rPr>
            </w:pPr>
            <w:r>
              <w:rPr>
                <w:sz w:val="21"/>
              </w:rPr>
              <w:t>CO</w:t>
            </w:r>
          </w:p>
        </w:tc>
        <w:tc>
          <w:tcPr>
            <w:tcW w:w="2487" w:type="dxa"/>
            <w:tcBorders>
              <w:top w:val="single" w:sz="6" w:space="0" w:color="000000"/>
              <w:left w:val="single" w:sz="6" w:space="0" w:color="000000"/>
              <w:bottom w:val="single" w:sz="6" w:space="0" w:color="000000"/>
              <w:right w:val="single" w:sz="6" w:space="0" w:color="000000"/>
            </w:tcBorders>
          </w:tcPr>
          <w:p>
            <w:pPr>
              <w:pStyle w:val="TableParagraph"/>
              <w:spacing w:before="44"/>
              <w:ind w:left="146" w:right="115"/>
              <w:rPr>
                <w:rFonts w:ascii="宋体" w:eastAsia="宋体" w:hint="eastAsia"/>
                <w:sz w:val="21"/>
              </w:rPr>
            </w:pPr>
            <w:r>
              <w:rPr>
                <w:rFonts w:ascii="宋体" w:eastAsia="宋体" w:hint="eastAsia"/>
                <w:sz w:val="21"/>
              </w:rPr>
              <w:t>第 </w:t>
            </w:r>
            <w:r>
              <w:rPr>
                <w:sz w:val="21"/>
              </w:rPr>
              <w:t>95%</w:t>
            </w:r>
            <w:r>
              <w:rPr>
                <w:rFonts w:ascii="宋体" w:eastAsia="宋体" w:hint="eastAsia"/>
                <w:sz w:val="21"/>
              </w:rPr>
              <w:t>百分位数日平均</w:t>
            </w:r>
          </w:p>
        </w:tc>
        <w:tc>
          <w:tcPr>
            <w:tcW w:w="828" w:type="dxa"/>
            <w:tcBorders>
              <w:top w:val="single" w:sz="6" w:space="0" w:color="000000"/>
              <w:left w:val="single" w:sz="6" w:space="0" w:color="000000"/>
              <w:bottom w:val="single" w:sz="6" w:space="0" w:color="000000"/>
              <w:right w:val="single" w:sz="6" w:space="0" w:color="000000"/>
            </w:tcBorders>
          </w:tcPr>
          <w:p>
            <w:pPr>
              <w:pStyle w:val="TableParagraph"/>
              <w:spacing w:before="53"/>
              <w:ind w:left="120" w:right="91"/>
              <w:rPr>
                <w:sz w:val="14"/>
              </w:rPr>
            </w:pPr>
            <w:r>
              <w:rPr>
                <w:sz w:val="21"/>
              </w:rPr>
              <w:t>mg/m</w:t>
            </w:r>
            <w:r>
              <w:rPr>
                <w:position w:val="7"/>
                <w:sz w:val="14"/>
              </w:rPr>
              <w:t>3</w:t>
            </w:r>
          </w:p>
        </w:tc>
        <w:tc>
          <w:tcPr>
            <w:tcW w:w="1131" w:type="dxa"/>
            <w:tcBorders>
              <w:top w:val="single" w:sz="6" w:space="0" w:color="000000"/>
              <w:left w:val="single" w:sz="6" w:space="0" w:color="000000"/>
              <w:bottom w:val="single" w:sz="6" w:space="0" w:color="000000"/>
              <w:right w:val="single" w:sz="6" w:space="0" w:color="000000"/>
            </w:tcBorders>
          </w:tcPr>
          <w:p>
            <w:pPr>
              <w:pStyle w:val="TableParagraph"/>
              <w:ind w:left="132" w:right="100"/>
              <w:rPr>
                <w:sz w:val="21"/>
              </w:rPr>
            </w:pPr>
            <w:r>
              <w:rPr>
                <w:sz w:val="21"/>
              </w:rPr>
              <w:t>1.0</w:t>
            </w:r>
          </w:p>
        </w:tc>
        <w:tc>
          <w:tcPr>
            <w:tcW w:w="903"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4</w:t>
            </w:r>
          </w:p>
        </w:tc>
        <w:tc>
          <w:tcPr>
            <w:tcW w:w="923" w:type="dxa"/>
            <w:tcBorders>
              <w:top w:val="single" w:sz="6" w:space="0" w:color="000000"/>
              <w:left w:val="single" w:sz="6" w:space="0" w:color="000000"/>
              <w:bottom w:val="single" w:sz="6" w:space="0" w:color="000000"/>
              <w:right w:val="single" w:sz="6" w:space="0" w:color="000000"/>
            </w:tcBorders>
          </w:tcPr>
          <w:p>
            <w:pPr>
              <w:pStyle w:val="TableParagraph"/>
              <w:ind w:right="166"/>
              <w:jc w:val="right"/>
              <w:rPr>
                <w:sz w:val="21"/>
              </w:rPr>
            </w:pPr>
            <w:r>
              <w:rPr>
                <w:sz w:val="21"/>
              </w:rPr>
              <w:t>25.0%</w:t>
            </w:r>
          </w:p>
        </w:tc>
        <w:tc>
          <w:tcPr>
            <w:tcW w:w="1129" w:type="dxa"/>
            <w:tcBorders>
              <w:top w:val="single" w:sz="6" w:space="0" w:color="000000"/>
              <w:left w:val="single" w:sz="6" w:space="0" w:color="000000"/>
              <w:bottom w:val="single" w:sz="6" w:space="0" w:color="000000"/>
              <w:right w:val="single" w:sz="6" w:space="0" w:color="000000"/>
            </w:tcBorders>
          </w:tcPr>
          <w:p>
            <w:pPr>
              <w:pStyle w:val="TableParagraph"/>
              <w:spacing w:before="44"/>
              <w:ind w:left="127" w:right="102"/>
              <w:rPr>
                <w:rFonts w:ascii="宋体" w:eastAsia="宋体" w:hint="eastAsia"/>
                <w:sz w:val="21"/>
              </w:rPr>
            </w:pPr>
            <w:r>
              <w:rPr>
                <w:rFonts w:ascii="宋体" w:eastAsia="宋体" w:hint="eastAsia"/>
                <w:sz w:val="21"/>
              </w:rPr>
              <w:t>达标</w:t>
            </w:r>
          </w:p>
        </w:tc>
        <w:tc>
          <w:tcPr>
            <w:tcW w:w="1132" w:type="dxa"/>
            <w:tcBorders>
              <w:top w:val="single" w:sz="6" w:space="0" w:color="000000"/>
              <w:left w:val="single" w:sz="6" w:space="0" w:color="000000"/>
              <w:bottom w:val="single" w:sz="6" w:space="0" w:color="000000"/>
            </w:tcBorders>
          </w:tcPr>
          <w:p>
            <w:pPr>
              <w:pStyle w:val="TableParagraph"/>
              <w:ind w:left="129" w:right="97"/>
              <w:rPr>
                <w:sz w:val="21"/>
              </w:rPr>
            </w:pPr>
            <w:r>
              <w:rPr>
                <w:sz w:val="21"/>
              </w:rPr>
              <w:t>0.00</w:t>
            </w:r>
          </w:p>
        </w:tc>
      </w:tr>
      <w:tr>
        <w:trPr>
          <w:trHeight w:val="714" w:hRule="atLeast"/>
        </w:trPr>
        <w:tc>
          <w:tcPr>
            <w:tcW w:w="902" w:type="dxa"/>
            <w:tcBorders>
              <w:top w:val="single" w:sz="6" w:space="0" w:color="000000"/>
              <w:right w:val="single" w:sz="6" w:space="0" w:color="000000"/>
            </w:tcBorders>
          </w:tcPr>
          <w:p>
            <w:pPr>
              <w:pStyle w:val="TableParagraph"/>
              <w:spacing w:before="6"/>
              <w:jc w:val="left"/>
              <w:rPr>
                <w:rFonts w:ascii="宋体"/>
                <w:b/>
                <w:sz w:val="18"/>
              </w:rPr>
            </w:pPr>
          </w:p>
          <w:p>
            <w:pPr>
              <w:pStyle w:val="TableParagraph"/>
              <w:spacing w:before="0"/>
              <w:ind w:left="114" w:right="90"/>
              <w:rPr>
                <w:sz w:val="14"/>
              </w:rPr>
            </w:pPr>
            <w:r>
              <w:rPr>
                <w:position w:val="2"/>
                <w:sz w:val="21"/>
              </w:rPr>
              <w:t>O</w:t>
            </w:r>
            <w:r>
              <w:rPr>
                <w:sz w:val="14"/>
              </w:rPr>
              <w:t>3</w:t>
            </w:r>
          </w:p>
        </w:tc>
        <w:tc>
          <w:tcPr>
            <w:tcW w:w="2487" w:type="dxa"/>
            <w:tcBorders>
              <w:top w:val="single" w:sz="6" w:space="0" w:color="000000"/>
              <w:left w:val="single" w:sz="6" w:space="0" w:color="000000"/>
              <w:right w:val="single" w:sz="6" w:space="0" w:color="000000"/>
            </w:tcBorders>
          </w:tcPr>
          <w:p>
            <w:pPr>
              <w:pStyle w:val="TableParagraph"/>
              <w:spacing w:before="44"/>
              <w:ind w:left="506"/>
              <w:jc w:val="left"/>
              <w:rPr>
                <w:rFonts w:ascii="宋体" w:eastAsia="宋体" w:hint="eastAsia"/>
                <w:sz w:val="21"/>
              </w:rPr>
            </w:pPr>
            <w:r>
              <w:rPr>
                <w:rFonts w:ascii="宋体" w:eastAsia="宋体" w:hint="eastAsia"/>
                <w:spacing w:val="-25"/>
                <w:sz w:val="21"/>
              </w:rPr>
              <w:t>第 </w:t>
            </w:r>
            <w:r>
              <w:rPr>
                <w:sz w:val="21"/>
              </w:rPr>
              <w:t>90%</w:t>
            </w:r>
            <w:r>
              <w:rPr>
                <w:rFonts w:ascii="宋体" w:eastAsia="宋体" w:hint="eastAsia"/>
                <w:spacing w:val="-2"/>
                <w:sz w:val="21"/>
              </w:rPr>
              <w:t>百分位数</w:t>
            </w:r>
          </w:p>
          <w:p>
            <w:pPr>
              <w:pStyle w:val="TableParagraph"/>
              <w:spacing w:before="88"/>
              <w:ind w:left="489"/>
              <w:jc w:val="left"/>
              <w:rPr>
                <w:rFonts w:ascii="宋体" w:eastAsia="宋体" w:hint="eastAsia"/>
                <w:sz w:val="21"/>
              </w:rPr>
            </w:pPr>
            <w:r>
              <w:rPr>
                <w:sz w:val="21"/>
              </w:rPr>
              <w:t>8h</w:t>
            </w:r>
            <w:r>
              <w:rPr>
                <w:spacing w:val="8"/>
                <w:sz w:val="21"/>
              </w:rPr>
              <w:t> </w:t>
            </w:r>
            <w:r>
              <w:rPr>
                <w:rFonts w:ascii="宋体" w:eastAsia="宋体" w:hint="eastAsia"/>
                <w:spacing w:val="-3"/>
                <w:sz w:val="21"/>
              </w:rPr>
              <w:t>平均质量浓度</w:t>
            </w:r>
          </w:p>
        </w:tc>
        <w:tc>
          <w:tcPr>
            <w:tcW w:w="828" w:type="dxa"/>
            <w:tcBorders>
              <w:top w:val="single" w:sz="6" w:space="0" w:color="000000"/>
              <w:left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18" w:right="91"/>
              <w:rPr>
                <w:sz w:val="14"/>
              </w:rPr>
            </w:pPr>
            <w:r>
              <w:rPr>
                <w:sz w:val="21"/>
              </w:rPr>
              <w:t>μg/m</w:t>
            </w:r>
            <w:r>
              <w:rPr>
                <w:position w:val="7"/>
                <w:sz w:val="14"/>
              </w:rPr>
              <w:t>3</w:t>
            </w:r>
          </w:p>
        </w:tc>
        <w:tc>
          <w:tcPr>
            <w:tcW w:w="1131" w:type="dxa"/>
            <w:tcBorders>
              <w:top w:val="single" w:sz="6" w:space="0" w:color="000000"/>
              <w:left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132" w:right="100"/>
              <w:rPr>
                <w:sz w:val="21"/>
              </w:rPr>
            </w:pPr>
            <w:r>
              <w:rPr>
                <w:sz w:val="21"/>
              </w:rPr>
              <w:t>179</w:t>
            </w:r>
          </w:p>
        </w:tc>
        <w:tc>
          <w:tcPr>
            <w:tcW w:w="903" w:type="dxa"/>
            <w:tcBorders>
              <w:top w:val="single" w:sz="6" w:space="0" w:color="000000"/>
              <w:left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121" w:right="93"/>
              <w:rPr>
                <w:sz w:val="21"/>
              </w:rPr>
            </w:pPr>
            <w:r>
              <w:rPr>
                <w:sz w:val="21"/>
              </w:rPr>
              <w:t>160</w:t>
            </w:r>
          </w:p>
        </w:tc>
        <w:tc>
          <w:tcPr>
            <w:tcW w:w="923" w:type="dxa"/>
            <w:tcBorders>
              <w:top w:val="single" w:sz="6" w:space="0" w:color="000000"/>
              <w:left w:val="single" w:sz="6" w:space="0" w:color="000000"/>
              <w:right w:val="single" w:sz="6" w:space="0" w:color="000000"/>
            </w:tcBorders>
          </w:tcPr>
          <w:p>
            <w:pPr>
              <w:pStyle w:val="TableParagraph"/>
              <w:spacing w:before="7"/>
              <w:jc w:val="left"/>
              <w:rPr>
                <w:rFonts w:ascii="宋体"/>
                <w:b/>
                <w:sz w:val="18"/>
              </w:rPr>
            </w:pPr>
          </w:p>
          <w:p>
            <w:pPr>
              <w:pStyle w:val="TableParagraph"/>
              <w:spacing w:before="0"/>
              <w:ind w:right="121"/>
              <w:jc w:val="right"/>
              <w:rPr>
                <w:sz w:val="21"/>
              </w:rPr>
            </w:pPr>
            <w:r>
              <w:rPr>
                <w:sz w:val="21"/>
              </w:rPr>
              <w:t>111.9%</w:t>
            </w:r>
          </w:p>
        </w:tc>
        <w:tc>
          <w:tcPr>
            <w:tcW w:w="1129" w:type="dxa"/>
            <w:tcBorders>
              <w:top w:val="single" w:sz="6" w:space="0" w:color="000000"/>
              <w:left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27" w:right="102"/>
              <w:rPr>
                <w:rFonts w:ascii="宋体" w:eastAsia="宋体" w:hint="eastAsia"/>
                <w:sz w:val="21"/>
              </w:rPr>
            </w:pPr>
            <w:r>
              <w:rPr>
                <w:rFonts w:ascii="宋体" w:eastAsia="宋体" w:hint="eastAsia"/>
                <w:sz w:val="21"/>
              </w:rPr>
              <w:t>超标</w:t>
            </w:r>
          </w:p>
        </w:tc>
        <w:tc>
          <w:tcPr>
            <w:tcW w:w="1132" w:type="dxa"/>
            <w:tcBorders>
              <w:top w:val="single" w:sz="6" w:space="0" w:color="000000"/>
              <w:left w:val="single" w:sz="6" w:space="0" w:color="000000"/>
            </w:tcBorders>
          </w:tcPr>
          <w:p>
            <w:pPr>
              <w:pStyle w:val="TableParagraph"/>
              <w:spacing w:before="7"/>
              <w:jc w:val="left"/>
              <w:rPr>
                <w:rFonts w:ascii="宋体"/>
                <w:b/>
                <w:sz w:val="18"/>
              </w:rPr>
            </w:pPr>
          </w:p>
          <w:p>
            <w:pPr>
              <w:pStyle w:val="TableParagraph"/>
              <w:spacing w:before="0"/>
              <w:ind w:left="129" w:right="97"/>
              <w:rPr>
                <w:sz w:val="21"/>
              </w:rPr>
            </w:pPr>
            <w:r>
              <w:rPr>
                <w:sz w:val="21"/>
              </w:rPr>
              <w:t>0.12</w:t>
            </w:r>
          </w:p>
        </w:tc>
      </w:tr>
    </w:tbl>
    <w:p>
      <w:pPr>
        <w:pStyle w:val="ListParagraph"/>
        <w:numPr>
          <w:ilvl w:val="3"/>
          <w:numId w:val="53"/>
        </w:numPr>
        <w:tabs>
          <w:tab w:pos="1323" w:val="left" w:leader="none"/>
        </w:tabs>
        <w:spacing w:line="240" w:lineRule="auto" w:before="85" w:after="0"/>
        <w:ind w:left="1323" w:right="0" w:hanging="604"/>
        <w:jc w:val="left"/>
        <w:rPr>
          <w:b/>
          <w:sz w:val="24"/>
        </w:rPr>
      </w:pPr>
      <w:r>
        <w:rPr>
          <w:b/>
          <w:sz w:val="24"/>
        </w:rPr>
        <w:t>达标区判定</w:t>
      </w:r>
    </w:p>
    <w:p>
      <w:pPr>
        <w:pStyle w:val="BodyText"/>
        <w:spacing w:line="364" w:lineRule="auto" w:before="160"/>
        <w:ind w:right="252" w:firstLine="480"/>
        <w:jc w:val="both"/>
      </w:pPr>
      <w:r>
        <w:rPr>
          <w:spacing w:val="-4"/>
        </w:rPr>
        <w:t>根据《环境影响评价技术导则 大气环境》</w:t>
      </w:r>
      <w:r>
        <w:rPr/>
        <w:t>（</w:t>
      </w:r>
      <w:r>
        <w:rPr>
          <w:rFonts w:ascii="Times New Roman" w:eastAsia="Times New Roman"/>
        </w:rPr>
        <w:t>HJ 2.2-2018</w:t>
      </w:r>
      <w:r>
        <w:rPr/>
        <w:t>）</w:t>
      </w:r>
      <w:r>
        <w:rPr>
          <w:spacing w:val="-2"/>
        </w:rPr>
        <w:t>中的规定：城市环境空气</w:t>
      </w:r>
      <w:r>
        <w:rPr>
          <w:spacing w:val="-3"/>
          <w:position w:val="2"/>
        </w:rPr>
        <w:t>质量达标情况评价指标为 </w:t>
      </w:r>
      <w:r>
        <w:rPr>
          <w:rFonts w:ascii="Times New Roman" w:eastAsia="Times New Roman"/>
          <w:position w:val="2"/>
        </w:rPr>
        <w:t>SO</w:t>
      </w:r>
      <w:r>
        <w:rPr>
          <w:rFonts w:ascii="Times New Roman" w:eastAsia="Times New Roman"/>
          <w:sz w:val="16"/>
        </w:rPr>
        <w:t>2</w:t>
      </w:r>
      <w:r>
        <w:rPr>
          <w:position w:val="2"/>
        </w:rPr>
        <w:t>、</w:t>
      </w:r>
      <w:r>
        <w:rPr>
          <w:rFonts w:ascii="Times New Roman" w:eastAsia="Times New Roman"/>
          <w:position w:val="2"/>
        </w:rPr>
        <w:t>NO</w:t>
      </w:r>
      <w:r>
        <w:rPr>
          <w:rFonts w:ascii="Times New Roman" w:eastAsia="Times New Roman"/>
          <w:sz w:val="16"/>
        </w:rPr>
        <w:t>2</w:t>
      </w:r>
      <w:r>
        <w:rPr>
          <w:position w:val="2"/>
        </w:rPr>
        <w:t>、</w:t>
      </w:r>
      <w:r>
        <w:rPr>
          <w:rFonts w:ascii="Times New Roman" w:eastAsia="Times New Roman"/>
          <w:position w:val="2"/>
        </w:rPr>
        <w:t>PM</w:t>
      </w:r>
      <w:r>
        <w:rPr>
          <w:rFonts w:ascii="Times New Roman" w:eastAsia="Times New Roman"/>
          <w:sz w:val="16"/>
        </w:rPr>
        <w:t>10</w:t>
      </w:r>
      <w:r>
        <w:rPr>
          <w:spacing w:val="-3"/>
          <w:position w:val="2"/>
        </w:rPr>
        <w:t>、</w:t>
      </w:r>
      <w:r>
        <w:rPr>
          <w:rFonts w:ascii="Times New Roman" w:eastAsia="Times New Roman"/>
          <w:position w:val="2"/>
        </w:rPr>
        <w:t>PM</w:t>
      </w:r>
      <w:r>
        <w:rPr>
          <w:rFonts w:ascii="Times New Roman" w:eastAsia="Times New Roman"/>
          <w:sz w:val="16"/>
        </w:rPr>
        <w:t>2.5</w:t>
      </w:r>
      <w:r>
        <w:rPr>
          <w:position w:val="2"/>
        </w:rPr>
        <w:t>、</w:t>
      </w:r>
      <w:r>
        <w:rPr>
          <w:rFonts w:ascii="Times New Roman" w:eastAsia="Times New Roman"/>
          <w:position w:val="2"/>
        </w:rPr>
        <w:t>CO </w:t>
      </w:r>
      <w:r>
        <w:rPr>
          <w:spacing w:val="-14"/>
          <w:position w:val="2"/>
        </w:rPr>
        <w:t>和 </w:t>
      </w:r>
      <w:r>
        <w:rPr>
          <w:rFonts w:ascii="Times New Roman" w:eastAsia="Times New Roman"/>
          <w:position w:val="2"/>
        </w:rPr>
        <w:t>O</w:t>
      </w:r>
      <w:r>
        <w:rPr>
          <w:rFonts w:ascii="Times New Roman" w:eastAsia="Times New Roman"/>
          <w:sz w:val="16"/>
        </w:rPr>
        <w:t>3</w:t>
      </w:r>
      <w:r>
        <w:rPr>
          <w:spacing w:val="-2"/>
          <w:position w:val="2"/>
        </w:rPr>
        <w:t>，六项污染物全部达标即</w:t>
      </w:r>
      <w:r>
        <w:rPr>
          <w:spacing w:val="-2"/>
        </w:rPr>
        <w:t>为城市环境空气质量达标。根据上述统计结果可知，本项目所在评价区域为不达标区。</w:t>
      </w:r>
    </w:p>
    <w:p>
      <w:pPr>
        <w:pStyle w:val="Heading3"/>
        <w:numPr>
          <w:ilvl w:val="3"/>
          <w:numId w:val="53"/>
        </w:numPr>
        <w:tabs>
          <w:tab w:pos="1323" w:val="left" w:leader="none"/>
        </w:tabs>
        <w:spacing w:line="240" w:lineRule="auto" w:before="2" w:after="0"/>
        <w:ind w:left="1323" w:right="0" w:hanging="604"/>
        <w:jc w:val="left"/>
      </w:pPr>
      <w:r>
        <w:rPr/>
        <w:t>限期达标规划</w:t>
      </w:r>
    </w:p>
    <w:p>
      <w:pPr>
        <w:pStyle w:val="BodyText"/>
        <w:spacing w:line="364" w:lineRule="auto" w:before="161"/>
        <w:ind w:right="249" w:firstLine="480"/>
        <w:jc w:val="both"/>
      </w:pPr>
      <w:r>
        <w:rPr>
          <w:spacing w:val="-6"/>
        </w:rPr>
        <w:t>根据《中华人民共和国大气污染防治法》</w:t>
      </w:r>
      <w:r>
        <w:rPr/>
        <w:t>（</w:t>
      </w:r>
      <w:r>
        <w:rPr>
          <w:rFonts w:ascii="Times New Roman" w:eastAsia="Times New Roman"/>
        </w:rPr>
        <w:t>2018.10.26 </w:t>
      </w:r>
      <w:r>
        <w:rPr/>
        <w:t>修订</w:t>
      </w:r>
      <w:r>
        <w:rPr>
          <w:spacing w:val="-17"/>
        </w:rPr>
        <w:t>）</w:t>
      </w:r>
      <w:r>
        <w:rPr>
          <w:spacing w:val="-5"/>
        </w:rPr>
        <w:t>中第十四条：未达到国</w:t>
      </w:r>
      <w:r>
        <w:rPr/>
        <w:t>家大气环境质量标准城市的人民政府应当及时编制大气环境质量限期达标规划，采取措施，按照国务院或者省级人民政府规定的期限达到大气环境质量标准。</w:t>
      </w:r>
    </w:p>
    <w:p>
      <w:pPr>
        <w:pStyle w:val="BodyText"/>
        <w:spacing w:line="364" w:lineRule="auto" w:before="1"/>
        <w:ind w:right="249" w:firstLine="480"/>
        <w:jc w:val="both"/>
      </w:pPr>
      <w:r>
        <w:rPr>
          <w:position w:val="2"/>
        </w:rPr>
        <w:t>从空气质量情况看来，</w:t>
      </w:r>
      <w:r>
        <w:rPr>
          <w:rFonts w:ascii="Times New Roman" w:eastAsia="Times New Roman"/>
          <w:position w:val="2"/>
        </w:rPr>
        <w:t>2019 </w:t>
      </w:r>
      <w:r>
        <w:rPr>
          <w:spacing w:val="-3"/>
          <w:position w:val="2"/>
        </w:rPr>
        <w:t>年柯桥区环境空气质量超标因子为 </w:t>
      </w:r>
      <w:r>
        <w:rPr>
          <w:rFonts w:ascii="Times New Roman" w:eastAsia="Times New Roman"/>
          <w:position w:val="2"/>
        </w:rPr>
        <w:t>PM</w:t>
      </w:r>
      <w:r>
        <w:rPr>
          <w:rFonts w:ascii="Times New Roman" w:eastAsia="Times New Roman"/>
          <w:sz w:val="16"/>
        </w:rPr>
        <w:t>2.5 </w:t>
      </w:r>
      <w:r>
        <w:rPr>
          <w:spacing w:val="-23"/>
          <w:position w:val="2"/>
        </w:rPr>
        <w:t>和 </w:t>
      </w:r>
      <w:r>
        <w:rPr>
          <w:rFonts w:ascii="Times New Roman" w:eastAsia="Times New Roman"/>
          <w:position w:val="2"/>
        </w:rPr>
        <w:t>O</w:t>
      </w:r>
      <w:r>
        <w:rPr>
          <w:rFonts w:ascii="Times New Roman" w:eastAsia="Times New Roman"/>
          <w:sz w:val="16"/>
        </w:rPr>
        <w:t>3</w:t>
      </w:r>
      <w:r>
        <w:rPr>
          <w:spacing w:val="-3"/>
          <w:position w:val="2"/>
        </w:rPr>
        <w:t>。目前柯</w:t>
      </w:r>
      <w:r>
        <w:rPr/>
        <w:t>桥区已制订《绍兴市柯桥区大气环境质量限期达标规划》，主要从工业废气治理专项行动、扬尘污染治理专项行动、柴油货车治理专项行动、产业结构提升专项行动、能源结构优化专项行动、锅炉炉窑整治专项行动、面源污染治理专项行动等方面着手开展大气污染防治。随着该工作的持续有效推进，预计区域整体环境空气质量将会有所改善。</w:t>
      </w:r>
    </w:p>
    <w:p>
      <w:pPr>
        <w:pStyle w:val="Heading3"/>
        <w:spacing w:before="4"/>
      </w:pPr>
      <w:r>
        <w:rPr>
          <w:rFonts w:ascii="Times New Roman" w:eastAsia="Times New Roman"/>
        </w:rPr>
        <w:t>2</w:t>
      </w:r>
      <w:r>
        <w:rPr/>
        <w:t>、其他（特征）污染物环境质量现状数据</w:t>
      </w:r>
    </w:p>
    <w:p>
      <w:pPr>
        <w:pStyle w:val="ListParagraph"/>
        <w:numPr>
          <w:ilvl w:val="0"/>
          <w:numId w:val="54"/>
        </w:numPr>
        <w:tabs>
          <w:tab w:pos="1323" w:val="left" w:leader="none"/>
        </w:tabs>
        <w:spacing w:line="240" w:lineRule="auto" w:before="161" w:after="0"/>
        <w:ind w:left="1323" w:right="0" w:hanging="604"/>
        <w:jc w:val="left"/>
        <w:rPr>
          <w:b/>
          <w:sz w:val="24"/>
        </w:rPr>
      </w:pPr>
      <w:r>
        <w:rPr>
          <w:b/>
          <w:sz w:val="24"/>
        </w:rPr>
        <w:t>数据来源</w:t>
      </w:r>
    </w:p>
    <w:p>
      <w:pPr>
        <w:pStyle w:val="BodyText"/>
        <w:spacing w:before="160"/>
        <w:ind w:left="717"/>
      </w:pPr>
      <w:r>
        <w:rPr/>
        <w:t>为了解项目所在区域其他（特征）污染物环境质量现状，氨、硫化氢、臭气浓度等</w:t>
      </w:r>
    </w:p>
    <w:p>
      <w:pPr>
        <w:spacing w:after="0"/>
        <w:sectPr>
          <w:pgSz w:w="11910" w:h="16840"/>
          <w:pgMar w:header="874" w:footer="1004" w:top="1420" w:bottom="1200" w:left="1040" w:right="1160"/>
        </w:sectPr>
      </w:pPr>
    </w:p>
    <w:p>
      <w:pPr>
        <w:pStyle w:val="BodyText"/>
        <w:spacing w:line="364" w:lineRule="auto" w:before="92"/>
        <w:ind w:right="247"/>
      </w:pPr>
      <w:r>
        <w:rPr/>
        <w:t>特征因子于环评编制期间由建设单位委托杭州普洛赛斯检测科技有限公司进行了补充监测，具体监测方案见表 </w:t>
      </w:r>
      <w:r>
        <w:rPr>
          <w:rFonts w:ascii="Times New Roman" w:eastAsia="Times New Roman"/>
        </w:rPr>
        <w:t>4.3-2</w:t>
      </w:r>
      <w:r>
        <w:rPr/>
        <w:t>。</w:t>
      </w:r>
    </w:p>
    <w:p>
      <w:pPr>
        <w:pStyle w:val="Heading3"/>
        <w:spacing w:before="1"/>
        <w:ind w:left="2817"/>
      </w:pPr>
      <w:r>
        <w:rPr/>
        <w:t>表 </w:t>
      </w:r>
      <w:r>
        <w:rPr>
          <w:rFonts w:ascii="Times New Roman" w:eastAsia="Times New Roman"/>
        </w:rPr>
        <w:t>4.3-2  </w:t>
      </w:r>
      <w:r>
        <w:rPr/>
        <w:t>环境空气质量监测情况一览表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43"/>
        <w:gridCol w:w="1841"/>
        <w:gridCol w:w="1985"/>
        <w:gridCol w:w="2552"/>
        <w:gridCol w:w="1810"/>
      </w:tblGrid>
      <w:tr>
        <w:trPr>
          <w:trHeight w:val="359" w:hRule="atLeast"/>
        </w:trPr>
        <w:tc>
          <w:tcPr>
            <w:tcW w:w="1243" w:type="dxa"/>
            <w:tcBorders>
              <w:bottom w:val="single" w:sz="6" w:space="0" w:color="000000"/>
              <w:right w:val="single" w:sz="6" w:space="0" w:color="000000"/>
            </w:tcBorders>
          </w:tcPr>
          <w:p>
            <w:pPr>
              <w:pStyle w:val="TableParagraph"/>
              <w:spacing w:before="44"/>
              <w:ind w:left="198"/>
              <w:jc w:val="left"/>
              <w:rPr>
                <w:rFonts w:ascii="宋体" w:eastAsia="宋体" w:hint="eastAsia"/>
                <w:b/>
                <w:sz w:val="21"/>
              </w:rPr>
            </w:pPr>
            <w:r>
              <w:rPr>
                <w:rFonts w:ascii="宋体" w:eastAsia="宋体" w:hint="eastAsia"/>
                <w:b/>
                <w:sz w:val="21"/>
              </w:rPr>
              <w:t>监测因子</w:t>
            </w:r>
          </w:p>
        </w:tc>
        <w:tc>
          <w:tcPr>
            <w:tcW w:w="1841" w:type="dxa"/>
            <w:tcBorders>
              <w:left w:val="single" w:sz="6" w:space="0" w:color="000000"/>
              <w:bottom w:val="single" w:sz="6" w:space="0" w:color="000000"/>
              <w:right w:val="single" w:sz="6" w:space="0" w:color="000000"/>
            </w:tcBorders>
          </w:tcPr>
          <w:p>
            <w:pPr>
              <w:pStyle w:val="TableParagraph"/>
              <w:spacing w:before="44"/>
              <w:ind w:left="506"/>
              <w:jc w:val="left"/>
              <w:rPr>
                <w:rFonts w:ascii="宋体" w:eastAsia="宋体" w:hint="eastAsia"/>
                <w:b/>
                <w:sz w:val="21"/>
              </w:rPr>
            </w:pPr>
            <w:r>
              <w:rPr>
                <w:rFonts w:ascii="宋体" w:eastAsia="宋体" w:hint="eastAsia"/>
                <w:b/>
                <w:sz w:val="21"/>
              </w:rPr>
              <w:t>监测点位</w:t>
            </w:r>
          </w:p>
        </w:tc>
        <w:tc>
          <w:tcPr>
            <w:tcW w:w="1985" w:type="dxa"/>
            <w:tcBorders>
              <w:left w:val="single" w:sz="6" w:space="0" w:color="000000"/>
              <w:bottom w:val="single" w:sz="6" w:space="0" w:color="000000"/>
              <w:right w:val="single" w:sz="6" w:space="0" w:color="000000"/>
            </w:tcBorders>
          </w:tcPr>
          <w:p>
            <w:pPr>
              <w:pStyle w:val="TableParagraph"/>
              <w:spacing w:before="44"/>
              <w:ind w:left="578"/>
              <w:jc w:val="left"/>
              <w:rPr>
                <w:rFonts w:ascii="宋体" w:eastAsia="宋体" w:hint="eastAsia"/>
                <w:b/>
                <w:sz w:val="21"/>
              </w:rPr>
            </w:pPr>
            <w:r>
              <w:rPr>
                <w:rFonts w:ascii="宋体" w:eastAsia="宋体" w:hint="eastAsia"/>
                <w:b/>
                <w:sz w:val="21"/>
              </w:rPr>
              <w:t>监测时间</w:t>
            </w:r>
          </w:p>
        </w:tc>
        <w:tc>
          <w:tcPr>
            <w:tcW w:w="2552" w:type="dxa"/>
            <w:tcBorders>
              <w:left w:val="single" w:sz="6" w:space="0" w:color="000000"/>
              <w:bottom w:val="single" w:sz="6" w:space="0" w:color="000000"/>
              <w:right w:val="single" w:sz="6" w:space="0" w:color="000000"/>
            </w:tcBorders>
          </w:tcPr>
          <w:p>
            <w:pPr>
              <w:pStyle w:val="TableParagraph"/>
              <w:spacing w:before="44"/>
              <w:ind w:left="862"/>
              <w:jc w:val="left"/>
              <w:rPr>
                <w:rFonts w:ascii="宋体" w:eastAsia="宋体" w:hint="eastAsia"/>
                <w:b/>
                <w:sz w:val="21"/>
              </w:rPr>
            </w:pPr>
            <w:r>
              <w:rPr>
                <w:rFonts w:ascii="宋体" w:eastAsia="宋体" w:hint="eastAsia"/>
                <w:b/>
                <w:sz w:val="21"/>
              </w:rPr>
              <w:t>监测频率</w:t>
            </w:r>
          </w:p>
        </w:tc>
        <w:tc>
          <w:tcPr>
            <w:tcW w:w="1810" w:type="dxa"/>
            <w:tcBorders>
              <w:left w:val="single" w:sz="6" w:space="0" w:color="000000"/>
              <w:bottom w:val="single" w:sz="6" w:space="0" w:color="000000"/>
            </w:tcBorders>
          </w:tcPr>
          <w:p>
            <w:pPr>
              <w:pStyle w:val="TableParagraph"/>
              <w:spacing w:before="44"/>
              <w:ind w:left="489"/>
              <w:jc w:val="left"/>
              <w:rPr>
                <w:rFonts w:ascii="宋体" w:eastAsia="宋体" w:hint="eastAsia"/>
                <w:b/>
                <w:sz w:val="21"/>
              </w:rPr>
            </w:pPr>
            <w:r>
              <w:rPr>
                <w:rFonts w:ascii="宋体" w:eastAsia="宋体" w:hint="eastAsia"/>
                <w:b/>
                <w:sz w:val="21"/>
              </w:rPr>
              <w:t>报告编号</w:t>
            </w:r>
          </w:p>
        </w:tc>
      </w:tr>
      <w:tr>
        <w:trPr>
          <w:trHeight w:val="719" w:hRule="atLeast"/>
        </w:trPr>
        <w:tc>
          <w:tcPr>
            <w:tcW w:w="1243" w:type="dxa"/>
            <w:tcBorders>
              <w:top w:val="single" w:sz="6" w:space="0" w:color="000000"/>
              <w:right w:val="single" w:sz="6" w:space="0" w:color="000000"/>
            </w:tcBorders>
          </w:tcPr>
          <w:p>
            <w:pPr>
              <w:pStyle w:val="TableParagraph"/>
              <w:spacing w:before="43"/>
              <w:ind w:left="107" w:right="-29"/>
              <w:jc w:val="left"/>
              <w:rPr>
                <w:rFonts w:ascii="宋体" w:eastAsia="宋体" w:hint="eastAsia"/>
                <w:sz w:val="21"/>
              </w:rPr>
            </w:pPr>
            <w:r>
              <w:rPr>
                <w:position w:val="2"/>
                <w:sz w:val="21"/>
              </w:rPr>
              <w:t>NH</w:t>
            </w:r>
            <w:r>
              <w:rPr>
                <w:sz w:val="14"/>
              </w:rPr>
              <w:t>3</w:t>
            </w:r>
            <w:r>
              <w:rPr>
                <w:rFonts w:ascii="宋体" w:eastAsia="宋体" w:hint="eastAsia"/>
                <w:spacing w:val="-3"/>
                <w:position w:val="2"/>
                <w:sz w:val="21"/>
              </w:rPr>
              <w:t>、</w:t>
            </w:r>
            <w:r>
              <w:rPr>
                <w:position w:val="2"/>
                <w:sz w:val="21"/>
              </w:rPr>
              <w:t>H</w:t>
            </w:r>
            <w:r>
              <w:rPr>
                <w:sz w:val="14"/>
              </w:rPr>
              <w:t>2</w:t>
            </w:r>
            <w:r>
              <w:rPr>
                <w:position w:val="2"/>
                <w:sz w:val="21"/>
              </w:rPr>
              <w:t>S</w:t>
            </w:r>
            <w:r>
              <w:rPr>
                <w:rFonts w:ascii="宋体" w:eastAsia="宋体" w:hint="eastAsia"/>
                <w:position w:val="2"/>
                <w:sz w:val="21"/>
              </w:rPr>
              <w:t>、</w:t>
            </w:r>
          </w:p>
          <w:p>
            <w:pPr>
              <w:pStyle w:val="TableParagraph"/>
              <w:spacing w:before="92"/>
              <w:ind w:left="200"/>
              <w:jc w:val="left"/>
              <w:rPr>
                <w:rFonts w:ascii="宋体" w:eastAsia="宋体" w:hint="eastAsia"/>
                <w:sz w:val="21"/>
              </w:rPr>
            </w:pPr>
            <w:r>
              <w:rPr>
                <w:rFonts w:ascii="宋体" w:eastAsia="宋体" w:hint="eastAsia"/>
                <w:sz w:val="21"/>
              </w:rPr>
              <w:t>臭气浓度</w:t>
            </w:r>
          </w:p>
        </w:tc>
        <w:tc>
          <w:tcPr>
            <w:tcW w:w="1841" w:type="dxa"/>
            <w:tcBorders>
              <w:top w:val="single" w:sz="6" w:space="0" w:color="000000"/>
              <w:left w:val="single" w:sz="6" w:space="0" w:color="000000"/>
              <w:right w:val="single" w:sz="6" w:space="0" w:color="000000"/>
            </w:tcBorders>
          </w:tcPr>
          <w:p>
            <w:pPr>
              <w:pStyle w:val="TableParagraph"/>
              <w:spacing w:before="44"/>
              <w:ind w:left="126" w:right="89"/>
              <w:rPr>
                <w:rFonts w:ascii="宋体" w:eastAsia="宋体" w:hint="eastAsia"/>
                <w:sz w:val="21"/>
              </w:rPr>
            </w:pPr>
            <w:r>
              <w:rPr>
                <w:sz w:val="21"/>
              </w:rPr>
              <w:t>A1 </w:t>
            </w:r>
            <w:r>
              <w:rPr>
                <w:rFonts w:ascii="宋体" w:eastAsia="宋体" w:hint="eastAsia"/>
                <w:sz w:val="21"/>
              </w:rPr>
              <w:t>项目拟建址、</w:t>
            </w:r>
          </w:p>
          <w:p>
            <w:pPr>
              <w:pStyle w:val="TableParagraph"/>
              <w:spacing w:before="91"/>
              <w:ind w:left="109" w:right="89"/>
              <w:rPr>
                <w:rFonts w:ascii="宋体" w:eastAsia="宋体" w:hint="eastAsia"/>
                <w:sz w:val="21"/>
              </w:rPr>
            </w:pPr>
            <w:r>
              <w:rPr>
                <w:sz w:val="21"/>
              </w:rPr>
              <w:t>A2 </w:t>
            </w:r>
            <w:r>
              <w:rPr>
                <w:rFonts w:ascii="宋体" w:eastAsia="宋体" w:hint="eastAsia"/>
                <w:sz w:val="21"/>
              </w:rPr>
              <w:t>新迪埠村</w:t>
            </w:r>
          </w:p>
        </w:tc>
        <w:tc>
          <w:tcPr>
            <w:tcW w:w="1985" w:type="dxa"/>
            <w:tcBorders>
              <w:top w:val="single" w:sz="6" w:space="0" w:color="000000"/>
              <w:left w:val="single" w:sz="6" w:space="0" w:color="000000"/>
              <w:right w:val="single" w:sz="6" w:space="0" w:color="000000"/>
            </w:tcBorders>
          </w:tcPr>
          <w:p>
            <w:pPr>
              <w:pStyle w:val="TableParagraph"/>
              <w:spacing w:before="44"/>
              <w:ind w:left="61" w:right="31"/>
              <w:rPr>
                <w:rFonts w:ascii="宋体" w:eastAsia="宋体" w:hint="eastAsia"/>
                <w:sz w:val="21"/>
              </w:rPr>
            </w:pPr>
            <w:r>
              <w:rPr>
                <w:sz w:val="21"/>
              </w:rPr>
              <w:t>2020 </w:t>
            </w:r>
            <w:r>
              <w:rPr>
                <w:rFonts w:ascii="宋体" w:eastAsia="宋体" w:hint="eastAsia"/>
                <w:sz w:val="21"/>
              </w:rPr>
              <w:t>年 </w:t>
            </w:r>
            <w:r>
              <w:rPr>
                <w:sz w:val="21"/>
              </w:rPr>
              <w:t>12 </w:t>
            </w:r>
            <w:r>
              <w:rPr>
                <w:rFonts w:ascii="宋体" w:eastAsia="宋体" w:hint="eastAsia"/>
                <w:sz w:val="21"/>
              </w:rPr>
              <w:t>月 </w:t>
            </w:r>
            <w:r>
              <w:rPr>
                <w:sz w:val="21"/>
              </w:rPr>
              <w:t>11 </w:t>
            </w:r>
            <w:r>
              <w:rPr>
                <w:rFonts w:ascii="宋体" w:eastAsia="宋体" w:hint="eastAsia"/>
                <w:sz w:val="21"/>
              </w:rPr>
              <w:t>日</w:t>
            </w:r>
          </w:p>
          <w:p>
            <w:pPr>
              <w:pStyle w:val="TableParagraph"/>
              <w:spacing w:before="91"/>
              <w:ind w:left="61" w:right="31"/>
              <w:rPr>
                <w:rFonts w:ascii="宋体" w:eastAsia="宋体" w:hint="eastAsia"/>
                <w:sz w:val="21"/>
              </w:rPr>
            </w:pPr>
            <w:r>
              <w:rPr>
                <w:sz w:val="21"/>
              </w:rPr>
              <w:t>~17 </w:t>
            </w:r>
            <w:r>
              <w:rPr>
                <w:rFonts w:ascii="宋体" w:eastAsia="宋体" w:hint="eastAsia"/>
                <w:sz w:val="21"/>
              </w:rPr>
              <w:t>日，共 </w:t>
            </w:r>
            <w:r>
              <w:rPr>
                <w:sz w:val="21"/>
              </w:rPr>
              <w:t>7 </w:t>
            </w:r>
            <w:r>
              <w:rPr>
                <w:rFonts w:ascii="宋体" w:eastAsia="宋体" w:hint="eastAsia"/>
                <w:sz w:val="21"/>
              </w:rPr>
              <w:t>天</w:t>
            </w:r>
          </w:p>
        </w:tc>
        <w:tc>
          <w:tcPr>
            <w:tcW w:w="2552" w:type="dxa"/>
            <w:tcBorders>
              <w:top w:val="single" w:sz="6" w:space="0" w:color="000000"/>
              <w:left w:val="single" w:sz="6" w:space="0" w:color="000000"/>
              <w:right w:val="single" w:sz="6" w:space="0" w:color="000000"/>
            </w:tcBorders>
          </w:tcPr>
          <w:p>
            <w:pPr>
              <w:pStyle w:val="TableParagraph"/>
              <w:spacing w:before="44"/>
              <w:ind w:left="118"/>
              <w:jc w:val="left"/>
              <w:rPr>
                <w:rFonts w:ascii="宋体" w:eastAsia="宋体" w:hint="eastAsia"/>
                <w:sz w:val="21"/>
              </w:rPr>
            </w:pPr>
            <w:r>
              <w:rPr>
                <w:rFonts w:ascii="宋体" w:eastAsia="宋体" w:hint="eastAsia"/>
                <w:spacing w:val="-19"/>
                <w:sz w:val="21"/>
              </w:rPr>
              <w:t>每天 </w:t>
            </w:r>
            <w:r>
              <w:rPr>
                <w:sz w:val="21"/>
              </w:rPr>
              <w:t>2:00</w:t>
            </w:r>
            <w:r>
              <w:rPr>
                <w:rFonts w:ascii="宋体" w:eastAsia="宋体" w:hint="eastAsia"/>
                <w:sz w:val="21"/>
              </w:rPr>
              <w:t>、</w:t>
            </w:r>
            <w:r>
              <w:rPr>
                <w:sz w:val="21"/>
              </w:rPr>
              <w:t>8:00</w:t>
            </w:r>
            <w:r>
              <w:rPr>
                <w:rFonts w:ascii="宋体" w:eastAsia="宋体" w:hint="eastAsia"/>
                <w:sz w:val="21"/>
              </w:rPr>
              <w:t>、</w:t>
            </w:r>
            <w:r>
              <w:rPr>
                <w:sz w:val="21"/>
              </w:rPr>
              <w:t>14:00</w:t>
            </w:r>
            <w:r>
              <w:rPr>
                <w:rFonts w:ascii="宋体" w:eastAsia="宋体" w:hint="eastAsia"/>
                <w:sz w:val="21"/>
              </w:rPr>
              <w:t>、</w:t>
            </w:r>
          </w:p>
          <w:p>
            <w:pPr>
              <w:pStyle w:val="TableParagraph"/>
              <w:spacing w:before="91"/>
              <w:ind w:left="115"/>
              <w:jc w:val="left"/>
              <w:rPr>
                <w:rFonts w:ascii="宋体" w:eastAsia="宋体" w:hint="eastAsia"/>
                <w:sz w:val="21"/>
              </w:rPr>
            </w:pPr>
            <w:r>
              <w:rPr>
                <w:sz w:val="21"/>
              </w:rPr>
              <w:t>20:00</w:t>
            </w:r>
            <w:r>
              <w:rPr>
                <w:spacing w:val="11"/>
                <w:sz w:val="21"/>
              </w:rPr>
              <w:t> </w:t>
            </w:r>
            <w:r>
              <w:rPr>
                <w:rFonts w:ascii="宋体" w:eastAsia="宋体" w:hint="eastAsia"/>
                <w:spacing w:val="-14"/>
                <w:sz w:val="21"/>
              </w:rPr>
              <w:t>采样，监测小时浓度</w:t>
            </w:r>
          </w:p>
        </w:tc>
        <w:tc>
          <w:tcPr>
            <w:tcW w:w="1810" w:type="dxa"/>
            <w:tcBorders>
              <w:top w:val="single" w:sz="6" w:space="0" w:color="000000"/>
              <w:left w:val="single" w:sz="6" w:space="0" w:color="000000"/>
            </w:tcBorders>
          </w:tcPr>
          <w:p>
            <w:pPr>
              <w:pStyle w:val="TableParagraph"/>
              <w:spacing w:before="44"/>
              <w:ind w:left="175"/>
              <w:jc w:val="left"/>
              <w:rPr>
                <w:rFonts w:ascii="宋体" w:eastAsia="宋体" w:hint="eastAsia"/>
                <w:sz w:val="21"/>
              </w:rPr>
            </w:pPr>
            <w:r>
              <w:rPr>
                <w:rFonts w:ascii="宋体" w:eastAsia="宋体" w:hint="eastAsia"/>
                <w:spacing w:val="-2"/>
                <w:sz w:val="21"/>
              </w:rPr>
              <w:t>普洛赛斯检字第</w:t>
            </w:r>
          </w:p>
          <w:p>
            <w:pPr>
              <w:pStyle w:val="TableParagraph"/>
              <w:spacing w:before="91"/>
              <w:ind w:left="180"/>
              <w:jc w:val="left"/>
              <w:rPr>
                <w:rFonts w:ascii="宋体" w:eastAsia="宋体" w:hint="eastAsia"/>
                <w:sz w:val="21"/>
              </w:rPr>
            </w:pPr>
            <w:r>
              <w:rPr>
                <w:sz w:val="21"/>
              </w:rPr>
              <w:t>2020Y120091 </w:t>
            </w:r>
            <w:r>
              <w:rPr>
                <w:rFonts w:ascii="宋体" w:eastAsia="宋体" w:hint="eastAsia"/>
                <w:sz w:val="21"/>
              </w:rPr>
              <w:t>号</w:t>
            </w:r>
          </w:p>
        </w:tc>
      </w:tr>
    </w:tbl>
    <w:p>
      <w:pPr>
        <w:pStyle w:val="ListParagraph"/>
        <w:numPr>
          <w:ilvl w:val="0"/>
          <w:numId w:val="54"/>
        </w:numPr>
        <w:tabs>
          <w:tab w:pos="1323" w:val="left" w:leader="none"/>
        </w:tabs>
        <w:spacing w:line="240" w:lineRule="auto" w:before="82" w:after="0"/>
        <w:ind w:left="1323" w:right="0" w:hanging="604"/>
        <w:jc w:val="left"/>
        <w:rPr>
          <w:b/>
          <w:sz w:val="24"/>
        </w:rPr>
      </w:pPr>
      <w:r>
        <w:rPr>
          <w:b/>
          <w:sz w:val="24"/>
        </w:rPr>
        <w:t>评价方法</w:t>
      </w:r>
    </w:p>
    <w:p>
      <w:pPr>
        <w:pStyle w:val="BodyText"/>
        <w:spacing w:line="364" w:lineRule="auto" w:before="159"/>
        <w:ind w:right="252" w:firstLine="480"/>
        <w:jc w:val="both"/>
      </w:pPr>
      <w:r>
        <w:rPr>
          <w:spacing w:val="8"/>
          <w:position w:val="2"/>
        </w:rPr>
        <w:t>评价区域内特征因子 </w:t>
      </w:r>
      <w:r>
        <w:rPr>
          <w:rFonts w:ascii="Times New Roman" w:eastAsia="Times New Roman"/>
          <w:spacing w:val="2"/>
          <w:position w:val="2"/>
        </w:rPr>
        <w:t>NH</w:t>
      </w:r>
      <w:r>
        <w:rPr>
          <w:rFonts w:ascii="Times New Roman" w:eastAsia="Times New Roman"/>
          <w:spacing w:val="2"/>
          <w:sz w:val="16"/>
        </w:rPr>
        <w:t>3</w:t>
      </w:r>
      <w:r>
        <w:rPr>
          <w:spacing w:val="9"/>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9"/>
          <w:position w:val="2"/>
        </w:rPr>
        <w:t>执行《环境影响评价技术导则 大气环境》</w:t>
      </w:r>
      <w:r>
        <w:rPr>
          <w:spacing w:val="3"/>
          <w:position w:val="2"/>
        </w:rPr>
        <w:t>（</w:t>
      </w:r>
      <w:r>
        <w:rPr>
          <w:rFonts w:ascii="Times New Roman" w:eastAsia="Times New Roman"/>
          <w:spacing w:val="3"/>
          <w:position w:val="2"/>
        </w:rPr>
        <w:t>HJ </w:t>
      </w:r>
      <w:r>
        <w:rPr>
          <w:rFonts w:ascii="Times New Roman" w:eastAsia="Times New Roman"/>
          <w:spacing w:val="-3"/>
        </w:rPr>
        <w:t>2.2-2018</w:t>
      </w:r>
      <w:r>
        <w:rPr>
          <w:spacing w:val="-3"/>
        </w:rPr>
        <w:t>）</w:t>
      </w:r>
      <w:r>
        <w:rPr>
          <w:spacing w:val="-20"/>
        </w:rPr>
        <w:t>附录 </w:t>
      </w:r>
      <w:r>
        <w:rPr>
          <w:rFonts w:ascii="Times New Roman" w:eastAsia="Times New Roman"/>
        </w:rPr>
        <w:t>D </w:t>
      </w:r>
      <w:r>
        <w:rPr>
          <w:spacing w:val="-30"/>
        </w:rPr>
        <w:t>中 </w:t>
      </w:r>
      <w:r>
        <w:rPr>
          <w:rFonts w:ascii="Times New Roman" w:eastAsia="Times New Roman"/>
        </w:rPr>
        <w:t>1h </w:t>
      </w:r>
      <w:r>
        <w:rPr>
          <w:spacing w:val="-9"/>
        </w:rPr>
        <w:t>平均值，具体标准值详见表 </w:t>
      </w:r>
      <w:r>
        <w:rPr>
          <w:rFonts w:ascii="Times New Roman" w:eastAsia="Times New Roman"/>
        </w:rPr>
        <w:t>2.3-3</w:t>
      </w:r>
      <w:r>
        <w:rPr>
          <w:spacing w:val="-6"/>
        </w:rPr>
        <w:t>。污染物浓度评价结果符合上述</w:t>
      </w:r>
      <w:r>
        <w:rPr/>
        <w:t>评价标准及《环境空气质量评价技术规范（试行）》（</w:t>
      </w:r>
      <w:r>
        <w:rPr>
          <w:rFonts w:ascii="Times New Roman" w:eastAsia="Times New Roman"/>
        </w:rPr>
        <w:t>HJ 663-2013</w:t>
      </w:r>
      <w:r>
        <w:rPr/>
        <w:t>）</w:t>
      </w:r>
      <w:r>
        <w:rPr>
          <w:spacing w:val="-2"/>
        </w:rPr>
        <w:t>规定，即为达标， </w:t>
      </w:r>
      <w:r>
        <w:rPr/>
        <w:t>所有污染物浓度均达标，即为环境空气质量达标。</w:t>
      </w:r>
    </w:p>
    <w:p>
      <w:pPr>
        <w:pStyle w:val="BodyText"/>
        <w:spacing w:before="4"/>
        <w:ind w:left="717"/>
      </w:pPr>
      <w:r>
        <w:rPr/>
        <w:t>评价指标包括单项指数、超标倍数及达标率等，计算方法如下文所述：</w:t>
      </w:r>
    </w:p>
    <w:p>
      <w:pPr>
        <w:pStyle w:val="Heading3"/>
        <w:numPr>
          <w:ilvl w:val="0"/>
          <w:numId w:val="55"/>
        </w:numPr>
        <w:tabs>
          <w:tab w:pos="946" w:val="left" w:leader="none"/>
        </w:tabs>
        <w:spacing w:line="240" w:lineRule="auto" w:before="161" w:after="0"/>
        <w:ind w:left="945" w:right="0" w:hanging="227"/>
        <w:jc w:val="left"/>
      </w:pPr>
      <w:r>
        <w:rPr/>
        <w:t>单项指数计算法：</w:t>
      </w:r>
    </w:p>
    <w:p>
      <w:pPr>
        <w:pStyle w:val="BodyText"/>
        <w:spacing w:before="160"/>
        <w:ind w:left="717"/>
      </w:pPr>
      <w:r>
        <w:rPr/>
        <w:t>根据环境空气质量监测结果，采用单因子比值法对该区域的大气环境现状进行评价，</w:t>
      </w:r>
    </w:p>
    <w:p>
      <w:pPr>
        <w:pStyle w:val="BodyText"/>
        <w:spacing w:before="161"/>
      </w:pPr>
      <w:r>
        <w:rPr>
          <w:rFonts w:ascii="Times New Roman" w:eastAsia="Times New Roman"/>
        </w:rPr>
        <w:t>I&gt;1</w:t>
      </w:r>
      <w:r>
        <w:rPr/>
        <w:t>，即超标，同时从单项指数还可以看出污染物浓度占标准的比值。</w:t>
      </w:r>
    </w:p>
    <w:p>
      <w:pPr>
        <w:spacing w:line="385" w:lineRule="exact" w:before="198"/>
        <w:ind w:left="116" w:right="236" w:firstLine="0"/>
        <w:jc w:val="center"/>
        <w:rPr>
          <w:rFonts w:ascii="Times New Roman" w:hAnsi="Times New Roman"/>
          <w:i/>
          <w:sz w:val="14"/>
        </w:rPr>
      </w:pPr>
      <w:r>
        <w:rPr/>
        <w:pict>
          <v:line style="position:absolute;mso-position-horizontal-relative:page;mso-position-vertical-relative:paragraph;z-index:-315459584" from="295.894257pt,26.542471pt" to="312.913509pt,26.542482pt" stroked="true" strokeweight=".49874pt" strokecolor="#000000">
            <v:stroke dashstyle="solid"/>
            <w10:wrap type="none"/>
          </v:line>
        </w:pict>
      </w:r>
      <w:r>
        <w:rPr>
          <w:rFonts w:ascii="Times New Roman" w:hAnsi="Times New Roman"/>
          <w:i/>
          <w:sz w:val="24"/>
        </w:rPr>
        <w:t>I   </w:t>
      </w:r>
      <w:r>
        <w:rPr>
          <w:rFonts w:ascii="Symbol" w:hAnsi="Symbol"/>
          <w:sz w:val="24"/>
        </w:rPr>
        <w:t></w:t>
      </w:r>
      <w:r>
        <w:rPr>
          <w:rFonts w:ascii="Times New Roman" w:hAnsi="Times New Roman"/>
          <w:sz w:val="24"/>
        </w:rPr>
        <w:t> </w:t>
      </w:r>
      <w:r>
        <w:rPr>
          <w:rFonts w:ascii="Times New Roman" w:hAnsi="Times New Roman"/>
          <w:i/>
          <w:position w:val="17"/>
          <w:sz w:val="24"/>
        </w:rPr>
        <w:t>C</w:t>
      </w:r>
      <w:r>
        <w:rPr>
          <w:rFonts w:ascii="Times New Roman" w:hAnsi="Times New Roman"/>
          <w:i/>
          <w:position w:val="11"/>
          <w:sz w:val="14"/>
        </w:rPr>
        <w:t>i</w:t>
      </w:r>
    </w:p>
    <w:p>
      <w:pPr>
        <w:tabs>
          <w:tab w:pos="331" w:val="left" w:leader="none"/>
        </w:tabs>
        <w:spacing w:line="72" w:lineRule="auto" w:before="3"/>
        <w:ind w:left="0" w:right="98" w:firstLine="0"/>
        <w:jc w:val="center"/>
        <w:rPr>
          <w:rFonts w:ascii="Times New Roman"/>
          <w:i/>
          <w:sz w:val="24"/>
        </w:rPr>
      </w:pPr>
      <w:r>
        <w:rPr>
          <w:rFonts w:ascii="Times New Roman"/>
          <w:i/>
          <w:sz w:val="14"/>
        </w:rPr>
        <w:t>i</w:t>
        <w:tab/>
      </w:r>
      <w:r>
        <w:rPr>
          <w:rFonts w:ascii="Times New Roman"/>
          <w:i/>
          <w:position w:val="-12"/>
          <w:sz w:val="24"/>
        </w:rPr>
        <w:t>C</w:t>
      </w:r>
    </w:p>
    <w:p>
      <w:pPr>
        <w:spacing w:before="5"/>
        <w:ind w:left="766" w:right="236" w:firstLine="0"/>
        <w:jc w:val="center"/>
        <w:rPr>
          <w:rFonts w:ascii="Times New Roman"/>
          <w:i/>
          <w:sz w:val="14"/>
        </w:rPr>
      </w:pPr>
      <w:r>
        <w:rPr>
          <w:rFonts w:ascii="Times New Roman"/>
          <w:i/>
          <w:sz w:val="14"/>
        </w:rPr>
        <w:t>oi</w:t>
      </w:r>
    </w:p>
    <w:p>
      <w:pPr>
        <w:pStyle w:val="BodyText"/>
        <w:spacing w:before="2"/>
        <w:ind w:left="0"/>
        <w:rPr>
          <w:rFonts w:ascii="Times New Roman"/>
          <w:i/>
          <w:sz w:val="19"/>
        </w:rPr>
      </w:pPr>
    </w:p>
    <w:p>
      <w:pPr>
        <w:pStyle w:val="BodyText"/>
        <w:spacing w:before="1"/>
        <w:ind w:left="717"/>
      </w:pPr>
      <w:r>
        <w:rPr>
          <w:position w:val="2"/>
        </w:rPr>
        <w:t>式中：</w:t>
      </w:r>
      <w:r>
        <w:rPr>
          <w:rFonts w:ascii="Times New Roman" w:hAnsi="Times New Roman" w:eastAsia="Times New Roman"/>
          <w:i/>
          <w:position w:val="2"/>
        </w:rPr>
        <w:t>I</w:t>
      </w:r>
      <w:r>
        <w:rPr>
          <w:rFonts w:ascii="Times New Roman" w:hAnsi="Times New Roman" w:eastAsia="Times New Roman"/>
          <w:i/>
          <w:sz w:val="16"/>
        </w:rPr>
        <w:t>i</w:t>
      </w:r>
      <w:r>
        <w:rPr>
          <w:rFonts w:ascii="Times New Roman" w:hAnsi="Times New Roman" w:eastAsia="Times New Roman"/>
          <w:position w:val="2"/>
        </w:rPr>
        <w:t>——</w:t>
      </w:r>
      <w:r>
        <w:rPr>
          <w:rFonts w:ascii="Times New Roman" w:hAnsi="Times New Roman" w:eastAsia="Times New Roman"/>
          <w:i/>
          <w:position w:val="2"/>
        </w:rPr>
        <w:t>i </w:t>
      </w:r>
      <w:r>
        <w:rPr>
          <w:position w:val="2"/>
        </w:rPr>
        <w:t>污染物的单项指数，</w:t>
      </w:r>
      <w:r>
        <w:rPr>
          <w:rFonts w:ascii="Times New Roman" w:hAnsi="Times New Roman" w:eastAsia="Times New Roman"/>
          <w:i/>
          <w:position w:val="2"/>
        </w:rPr>
        <w:t>I</w:t>
      </w:r>
      <w:r>
        <w:rPr>
          <w:rFonts w:ascii="Times New Roman" w:hAnsi="Times New Roman" w:eastAsia="Times New Roman"/>
          <w:i/>
          <w:sz w:val="16"/>
        </w:rPr>
        <w:t>i</w:t>
      </w:r>
      <w:r>
        <w:rPr>
          <w:rFonts w:ascii="Times New Roman" w:hAnsi="Times New Roman" w:eastAsia="Times New Roman"/>
          <w:position w:val="2"/>
        </w:rPr>
        <w:t>&gt;1 </w:t>
      </w:r>
      <w:r>
        <w:rPr>
          <w:position w:val="2"/>
        </w:rPr>
        <w:t>为超标，否则为未超标；</w:t>
      </w:r>
    </w:p>
    <w:p>
      <w:pPr>
        <w:pStyle w:val="BodyText"/>
        <w:spacing w:before="160"/>
        <w:ind w:left="1317"/>
      </w:pPr>
      <w:r>
        <w:rPr>
          <w:rFonts w:ascii="Times New Roman" w:hAnsi="Times New Roman" w:eastAsia="Times New Roman"/>
          <w:i/>
          <w:position w:val="2"/>
        </w:rPr>
        <w:t>C</w:t>
      </w:r>
      <w:r>
        <w:rPr>
          <w:rFonts w:ascii="Times New Roman" w:hAnsi="Times New Roman" w:eastAsia="Times New Roman"/>
          <w:i/>
          <w:sz w:val="16"/>
        </w:rPr>
        <w:t>i</w:t>
      </w:r>
      <w:r>
        <w:rPr>
          <w:rFonts w:ascii="Times New Roman" w:hAnsi="Times New Roman" w:eastAsia="Times New Roman"/>
          <w:position w:val="2"/>
        </w:rPr>
        <w:t>——</w:t>
      </w:r>
      <w:r>
        <w:rPr>
          <w:rFonts w:ascii="Times New Roman" w:hAnsi="Times New Roman" w:eastAsia="Times New Roman"/>
          <w:i/>
          <w:position w:val="2"/>
        </w:rPr>
        <w:t>i </w:t>
      </w:r>
      <w:r>
        <w:rPr>
          <w:position w:val="2"/>
        </w:rPr>
        <w:t>污染物的实测浓度，</w:t>
      </w:r>
      <w:r>
        <w:rPr>
          <w:rFonts w:ascii="Times New Roman" w:hAnsi="Times New Roman" w:eastAsia="Times New Roman"/>
          <w:position w:val="2"/>
        </w:rPr>
        <w:t>mg/m</w:t>
      </w:r>
      <w:r>
        <w:rPr>
          <w:rFonts w:ascii="Times New Roman" w:hAnsi="Times New Roman" w:eastAsia="Times New Roman"/>
          <w:position w:val="2"/>
          <w:vertAlign w:val="superscript"/>
        </w:rPr>
        <w:t>3</w:t>
      </w:r>
      <w:r>
        <w:rPr>
          <w:position w:val="2"/>
          <w:vertAlign w:val="baseline"/>
        </w:rPr>
        <w:t>；</w:t>
      </w:r>
    </w:p>
    <w:p>
      <w:pPr>
        <w:spacing w:before="156"/>
        <w:ind w:left="1317" w:right="0" w:firstLine="0"/>
        <w:jc w:val="left"/>
        <w:rPr>
          <w:sz w:val="24"/>
        </w:rPr>
      </w:pPr>
      <w:r>
        <w:rPr>
          <w:rFonts w:ascii="Times New Roman" w:hAnsi="Times New Roman" w:eastAsia="Times New Roman"/>
          <w:i/>
          <w:position w:val="2"/>
          <w:sz w:val="24"/>
        </w:rPr>
        <w:t>C</w:t>
      </w:r>
      <w:r>
        <w:rPr>
          <w:rFonts w:ascii="Times New Roman" w:hAnsi="Times New Roman" w:eastAsia="Times New Roman"/>
          <w:i/>
          <w:sz w:val="16"/>
        </w:rPr>
        <w:t>oi</w:t>
      </w:r>
      <w:r>
        <w:rPr>
          <w:rFonts w:ascii="Times New Roman" w:hAnsi="Times New Roman" w:eastAsia="Times New Roman"/>
          <w:position w:val="2"/>
          <w:sz w:val="24"/>
        </w:rPr>
        <w:t>——</w:t>
      </w:r>
      <w:r>
        <w:rPr>
          <w:rFonts w:ascii="Times New Roman" w:hAnsi="Times New Roman" w:eastAsia="Times New Roman"/>
          <w:i/>
          <w:position w:val="2"/>
          <w:sz w:val="24"/>
        </w:rPr>
        <w:t>i </w:t>
      </w:r>
      <w:r>
        <w:rPr>
          <w:position w:val="2"/>
          <w:sz w:val="24"/>
        </w:rPr>
        <w:t>污染物的环境标准浓度，</w:t>
      </w:r>
      <w:r>
        <w:rPr>
          <w:rFonts w:ascii="Times New Roman" w:hAnsi="Times New Roman" w:eastAsia="Times New Roman"/>
          <w:position w:val="2"/>
          <w:sz w:val="24"/>
        </w:rPr>
        <w:t>mg/m</w:t>
      </w:r>
      <w:r>
        <w:rPr>
          <w:rFonts w:ascii="Times New Roman" w:hAnsi="Times New Roman" w:eastAsia="Times New Roman"/>
          <w:position w:val="2"/>
          <w:sz w:val="24"/>
          <w:vertAlign w:val="superscript"/>
        </w:rPr>
        <w:t>3</w:t>
      </w:r>
      <w:r>
        <w:rPr>
          <w:position w:val="2"/>
          <w:sz w:val="24"/>
          <w:vertAlign w:val="baseline"/>
        </w:rPr>
        <w:t>。</w:t>
      </w:r>
    </w:p>
    <w:p>
      <w:pPr>
        <w:pStyle w:val="Heading3"/>
        <w:numPr>
          <w:ilvl w:val="0"/>
          <w:numId w:val="55"/>
        </w:numPr>
        <w:tabs>
          <w:tab w:pos="946" w:val="left" w:leader="none"/>
        </w:tabs>
        <w:spacing w:line="240" w:lineRule="auto" w:before="157" w:after="0"/>
        <w:ind w:left="945" w:right="0" w:hanging="227"/>
        <w:jc w:val="left"/>
      </w:pPr>
      <w:r>
        <w:rPr/>
        <w:t>超标倍数计算法：</w:t>
      </w:r>
    </w:p>
    <w:p>
      <w:pPr>
        <w:pStyle w:val="BodyText"/>
        <w:spacing w:before="160"/>
        <w:ind w:left="717"/>
      </w:pPr>
      <w:r>
        <w:rPr/>
        <w:t>超标项目 </w:t>
      </w:r>
      <w:r>
        <w:rPr>
          <w:rFonts w:ascii="Times New Roman" w:eastAsia="Times New Roman"/>
          <w:i/>
        </w:rPr>
        <w:t>i </w:t>
      </w:r>
      <w:r>
        <w:rPr/>
        <w:t>的超标倍数按下式计算：</w:t>
      </w:r>
    </w:p>
    <w:p>
      <w:pPr>
        <w:spacing w:before="160"/>
        <w:ind w:left="700" w:right="236" w:firstLine="0"/>
        <w:jc w:val="center"/>
        <w:rPr>
          <w:rFonts w:ascii="Times New Roman" w:eastAsia="Times New Roman"/>
          <w:i/>
          <w:sz w:val="16"/>
        </w:rPr>
      </w:pPr>
      <w:r>
        <w:rPr>
          <w:rFonts w:ascii="Times New Roman" w:eastAsia="Times New Roman"/>
          <w:i/>
          <w:position w:val="2"/>
          <w:sz w:val="24"/>
        </w:rPr>
        <w:t>B</w:t>
      </w:r>
      <w:r>
        <w:rPr>
          <w:rFonts w:ascii="Times New Roman" w:eastAsia="Times New Roman"/>
          <w:i/>
          <w:sz w:val="16"/>
        </w:rPr>
        <w:t>i</w:t>
      </w:r>
      <w:r>
        <w:rPr>
          <w:rFonts w:ascii="Times New Roman" w:eastAsia="Times New Roman"/>
          <w:position w:val="2"/>
          <w:sz w:val="24"/>
        </w:rPr>
        <w:t>=</w:t>
      </w:r>
      <w:r>
        <w:rPr>
          <w:position w:val="2"/>
          <w:sz w:val="24"/>
        </w:rPr>
        <w:t>（</w:t>
      </w:r>
      <w:r>
        <w:rPr>
          <w:rFonts w:ascii="Times New Roman" w:eastAsia="Times New Roman"/>
          <w:i/>
          <w:position w:val="2"/>
          <w:sz w:val="24"/>
        </w:rPr>
        <w:t>C</w:t>
      </w:r>
      <w:r>
        <w:rPr>
          <w:rFonts w:ascii="Times New Roman" w:eastAsia="Times New Roman"/>
          <w:i/>
          <w:sz w:val="16"/>
        </w:rPr>
        <w:t>i</w:t>
      </w:r>
      <w:r>
        <w:rPr>
          <w:rFonts w:ascii="Times New Roman" w:eastAsia="Times New Roman"/>
          <w:i/>
          <w:position w:val="2"/>
          <w:sz w:val="24"/>
        </w:rPr>
        <w:t>-S</w:t>
      </w:r>
      <w:r>
        <w:rPr>
          <w:rFonts w:ascii="Times New Roman" w:eastAsia="Times New Roman"/>
          <w:i/>
          <w:sz w:val="16"/>
        </w:rPr>
        <w:t>i</w:t>
      </w:r>
      <w:r>
        <w:rPr>
          <w:position w:val="2"/>
          <w:sz w:val="24"/>
        </w:rPr>
        <w:t>）</w:t>
      </w:r>
      <w:r>
        <w:rPr>
          <w:rFonts w:ascii="Times New Roman" w:eastAsia="Times New Roman"/>
          <w:position w:val="2"/>
          <w:sz w:val="24"/>
        </w:rPr>
        <w:t>/</w:t>
      </w:r>
      <w:r>
        <w:rPr>
          <w:rFonts w:ascii="Times New Roman" w:eastAsia="Times New Roman"/>
          <w:i/>
          <w:position w:val="2"/>
          <w:sz w:val="24"/>
        </w:rPr>
        <w:t>S</w:t>
      </w:r>
      <w:r>
        <w:rPr>
          <w:rFonts w:ascii="Times New Roman" w:eastAsia="Times New Roman"/>
          <w:i/>
          <w:sz w:val="16"/>
        </w:rPr>
        <w:t>i</w:t>
      </w:r>
    </w:p>
    <w:p>
      <w:pPr>
        <w:pStyle w:val="BodyText"/>
        <w:spacing w:before="161"/>
        <w:ind w:left="717"/>
      </w:pPr>
      <w:r>
        <w:rPr>
          <w:position w:val="2"/>
        </w:rPr>
        <w:t>式中：</w:t>
      </w:r>
      <w:r>
        <w:rPr>
          <w:rFonts w:ascii="Times New Roman" w:hAnsi="Times New Roman" w:eastAsia="Times New Roman"/>
          <w:i/>
          <w:position w:val="2"/>
        </w:rPr>
        <w:t>B</w:t>
      </w:r>
      <w:r>
        <w:rPr>
          <w:rFonts w:ascii="Times New Roman" w:hAnsi="Times New Roman" w:eastAsia="Times New Roman"/>
          <w:i/>
          <w:sz w:val="16"/>
        </w:rPr>
        <w:t>i</w:t>
      </w:r>
      <w:r>
        <w:rPr>
          <w:rFonts w:ascii="Times New Roman" w:hAnsi="Times New Roman" w:eastAsia="Times New Roman"/>
          <w:position w:val="2"/>
        </w:rPr>
        <w:t>——</w:t>
      </w:r>
      <w:r>
        <w:rPr>
          <w:position w:val="2"/>
        </w:rPr>
        <w:t>表示超标项目 </w:t>
      </w:r>
      <w:r>
        <w:rPr>
          <w:rFonts w:ascii="Times New Roman" w:hAnsi="Times New Roman" w:eastAsia="Times New Roman"/>
          <w:i/>
          <w:position w:val="2"/>
        </w:rPr>
        <w:t>i </w:t>
      </w:r>
      <w:r>
        <w:rPr>
          <w:position w:val="2"/>
        </w:rPr>
        <w:t>的超标倍数；</w:t>
      </w:r>
    </w:p>
    <w:p>
      <w:pPr>
        <w:spacing w:before="161"/>
        <w:ind w:left="1317" w:right="0" w:firstLine="0"/>
        <w:jc w:val="left"/>
        <w:rPr>
          <w:sz w:val="24"/>
        </w:rPr>
      </w:pPr>
      <w:r>
        <w:rPr>
          <w:rFonts w:ascii="Times New Roman" w:hAnsi="Times New Roman" w:eastAsia="Times New Roman"/>
          <w:i/>
          <w:position w:val="2"/>
          <w:sz w:val="24"/>
        </w:rPr>
        <w:t>C</w:t>
      </w:r>
      <w:r>
        <w:rPr>
          <w:rFonts w:ascii="Times New Roman" w:hAnsi="Times New Roman" w:eastAsia="Times New Roman"/>
          <w:i/>
          <w:sz w:val="16"/>
        </w:rPr>
        <w:t>i</w:t>
      </w:r>
      <w:r>
        <w:rPr>
          <w:rFonts w:ascii="Times New Roman" w:hAnsi="Times New Roman" w:eastAsia="Times New Roman"/>
          <w:position w:val="2"/>
          <w:sz w:val="24"/>
        </w:rPr>
        <w:t>——</w:t>
      </w:r>
      <w:r>
        <w:rPr>
          <w:position w:val="2"/>
          <w:sz w:val="24"/>
        </w:rPr>
        <w:t>超标项目 </w:t>
      </w:r>
      <w:r>
        <w:rPr>
          <w:rFonts w:ascii="Times New Roman" w:hAnsi="Times New Roman" w:eastAsia="Times New Roman"/>
          <w:i/>
          <w:position w:val="2"/>
          <w:sz w:val="24"/>
        </w:rPr>
        <w:t>i </w:t>
      </w:r>
      <w:r>
        <w:rPr>
          <w:position w:val="2"/>
          <w:sz w:val="24"/>
        </w:rPr>
        <w:t>的浓度值；</w:t>
      </w:r>
    </w:p>
    <w:p>
      <w:pPr>
        <w:spacing w:before="160"/>
        <w:ind w:left="1317" w:right="0" w:firstLine="0"/>
        <w:jc w:val="left"/>
        <w:rPr>
          <w:sz w:val="24"/>
        </w:rPr>
      </w:pPr>
      <w:r>
        <w:rPr>
          <w:rFonts w:ascii="Times New Roman" w:hAnsi="Times New Roman" w:eastAsia="Times New Roman"/>
          <w:i/>
          <w:position w:val="2"/>
          <w:sz w:val="24"/>
        </w:rPr>
        <w:t>S</w:t>
      </w:r>
      <w:r>
        <w:rPr>
          <w:rFonts w:ascii="Times New Roman" w:hAnsi="Times New Roman" w:eastAsia="Times New Roman"/>
          <w:i/>
          <w:sz w:val="16"/>
        </w:rPr>
        <w:t>i</w:t>
      </w:r>
      <w:r>
        <w:rPr>
          <w:rFonts w:ascii="Times New Roman" w:hAnsi="Times New Roman" w:eastAsia="Times New Roman"/>
          <w:position w:val="2"/>
          <w:sz w:val="24"/>
        </w:rPr>
        <w:t>——</w:t>
      </w:r>
      <w:r>
        <w:rPr>
          <w:position w:val="2"/>
          <w:sz w:val="24"/>
        </w:rPr>
        <w:t>超标项目 </w:t>
      </w:r>
      <w:r>
        <w:rPr>
          <w:rFonts w:ascii="Times New Roman" w:hAnsi="Times New Roman" w:eastAsia="Times New Roman"/>
          <w:i/>
          <w:position w:val="2"/>
          <w:sz w:val="24"/>
        </w:rPr>
        <w:t>i </w:t>
      </w:r>
      <w:r>
        <w:rPr>
          <w:position w:val="2"/>
          <w:sz w:val="24"/>
        </w:rPr>
        <w:t>的浓度限值标准。</w:t>
      </w:r>
    </w:p>
    <w:p>
      <w:pPr>
        <w:pStyle w:val="Heading3"/>
        <w:numPr>
          <w:ilvl w:val="0"/>
          <w:numId w:val="55"/>
        </w:numPr>
        <w:tabs>
          <w:tab w:pos="946" w:val="left" w:leader="none"/>
        </w:tabs>
        <w:spacing w:line="240" w:lineRule="auto" w:before="162" w:after="0"/>
        <w:ind w:left="945" w:right="0" w:hanging="227"/>
        <w:jc w:val="left"/>
      </w:pPr>
      <w:r>
        <w:rPr/>
        <w:t>达标率计算方法：</w:t>
      </w:r>
    </w:p>
    <w:p>
      <w:pPr>
        <w:pStyle w:val="BodyText"/>
        <w:spacing w:before="160"/>
        <w:ind w:left="717"/>
      </w:pPr>
      <w:r>
        <w:rPr/>
        <w:t>评价项目 </w:t>
      </w:r>
      <w:r>
        <w:rPr>
          <w:rFonts w:ascii="Times New Roman" w:eastAsia="Times New Roman"/>
          <w:i/>
        </w:rPr>
        <w:t>i </w:t>
      </w:r>
      <w:r>
        <w:rPr/>
        <w:t>的小时达标率、日达标率按下式计算：</w:t>
      </w:r>
    </w:p>
    <w:p>
      <w:pPr>
        <w:spacing w:before="160"/>
        <w:ind w:left="696" w:right="236" w:firstLine="0"/>
        <w:jc w:val="center"/>
        <w:rPr>
          <w:rFonts w:ascii="Times New Roman" w:hAnsi="Times New Roman" w:eastAsia="Times New Roman"/>
          <w:sz w:val="24"/>
        </w:rPr>
      </w:pPr>
      <w:r>
        <w:rPr>
          <w:rFonts w:ascii="Times New Roman" w:hAnsi="Times New Roman" w:eastAsia="Times New Roman"/>
          <w:i/>
          <w:position w:val="2"/>
          <w:sz w:val="24"/>
        </w:rPr>
        <w:t>D</w:t>
      </w:r>
      <w:r>
        <w:rPr>
          <w:rFonts w:ascii="Times New Roman" w:hAnsi="Times New Roman" w:eastAsia="Times New Roman"/>
          <w:i/>
          <w:sz w:val="16"/>
        </w:rPr>
        <w:t>i</w:t>
      </w:r>
      <w:r>
        <w:rPr>
          <w:position w:val="2"/>
          <w:sz w:val="24"/>
        </w:rPr>
        <w:t>（</w:t>
      </w:r>
      <w:r>
        <w:rPr>
          <w:rFonts w:ascii="Times New Roman" w:hAnsi="Times New Roman" w:eastAsia="Times New Roman"/>
          <w:i/>
          <w:position w:val="2"/>
          <w:sz w:val="24"/>
        </w:rPr>
        <w:t>%</w:t>
      </w:r>
      <w:r>
        <w:rPr>
          <w:position w:val="2"/>
          <w:sz w:val="24"/>
        </w:rPr>
        <w:t>）</w:t>
      </w:r>
      <w:r>
        <w:rPr>
          <w:rFonts w:ascii="Times New Roman" w:hAnsi="Times New Roman" w:eastAsia="Times New Roman"/>
          <w:position w:val="2"/>
          <w:sz w:val="24"/>
        </w:rPr>
        <w:t>=</w:t>
      </w:r>
      <w:r>
        <w:rPr>
          <w:position w:val="2"/>
          <w:sz w:val="24"/>
        </w:rPr>
        <w:t>（</w:t>
      </w:r>
      <w:r>
        <w:rPr>
          <w:rFonts w:ascii="Times New Roman" w:hAnsi="Times New Roman" w:eastAsia="Times New Roman"/>
          <w:i/>
          <w:position w:val="2"/>
          <w:sz w:val="24"/>
        </w:rPr>
        <w:t>A</w:t>
      </w:r>
      <w:r>
        <w:rPr>
          <w:rFonts w:ascii="Times New Roman" w:hAnsi="Times New Roman" w:eastAsia="Times New Roman"/>
          <w:i/>
          <w:sz w:val="16"/>
        </w:rPr>
        <w:t>i</w:t>
      </w:r>
      <w:r>
        <w:rPr>
          <w:rFonts w:ascii="Times New Roman" w:hAnsi="Times New Roman" w:eastAsia="Times New Roman"/>
          <w:i/>
          <w:position w:val="2"/>
          <w:sz w:val="24"/>
        </w:rPr>
        <w:t>/B</w:t>
      </w:r>
      <w:r>
        <w:rPr>
          <w:rFonts w:ascii="Times New Roman" w:hAnsi="Times New Roman" w:eastAsia="Times New Roman"/>
          <w:i/>
          <w:sz w:val="16"/>
        </w:rPr>
        <w:t>i</w:t>
      </w:r>
      <w:r>
        <w:rPr>
          <w:position w:val="2"/>
          <w:sz w:val="24"/>
        </w:rPr>
        <w:t>）</w:t>
      </w:r>
      <w:r>
        <w:rPr>
          <w:rFonts w:ascii="Times New Roman" w:hAnsi="Times New Roman" w:eastAsia="Times New Roman"/>
          <w:position w:val="2"/>
          <w:sz w:val="24"/>
        </w:rPr>
        <w:t>×100</w:t>
      </w:r>
    </w:p>
    <w:p>
      <w:pPr>
        <w:pStyle w:val="BodyText"/>
        <w:spacing w:before="160"/>
        <w:ind w:left="717"/>
      </w:pPr>
      <w:r>
        <w:rPr>
          <w:position w:val="2"/>
        </w:rPr>
        <w:t>式中：</w:t>
      </w:r>
      <w:r>
        <w:rPr>
          <w:rFonts w:ascii="Times New Roman" w:hAnsi="Times New Roman" w:eastAsia="Times New Roman"/>
          <w:i/>
          <w:position w:val="2"/>
        </w:rPr>
        <w:t>D</w:t>
      </w:r>
      <w:r>
        <w:rPr>
          <w:rFonts w:ascii="Times New Roman" w:hAnsi="Times New Roman" w:eastAsia="Times New Roman"/>
          <w:i/>
          <w:sz w:val="16"/>
        </w:rPr>
        <w:t>i</w:t>
      </w:r>
      <w:r>
        <w:rPr>
          <w:rFonts w:ascii="Times New Roman" w:hAnsi="Times New Roman" w:eastAsia="Times New Roman"/>
          <w:position w:val="2"/>
        </w:rPr>
        <w:t>——</w:t>
      </w:r>
      <w:r>
        <w:rPr>
          <w:position w:val="2"/>
        </w:rPr>
        <w:t>表示评价项目 </w:t>
      </w:r>
      <w:r>
        <w:rPr>
          <w:rFonts w:ascii="Times New Roman" w:hAnsi="Times New Roman" w:eastAsia="Times New Roman"/>
          <w:i/>
          <w:position w:val="2"/>
        </w:rPr>
        <w:t>i </w:t>
      </w:r>
      <w:r>
        <w:rPr>
          <w:position w:val="2"/>
        </w:rPr>
        <w:t>的达标率；</w:t>
      </w:r>
    </w:p>
    <w:p>
      <w:pPr>
        <w:spacing w:after="0"/>
        <w:sectPr>
          <w:pgSz w:w="11910" w:h="16840"/>
          <w:pgMar w:header="874" w:footer="1004" w:top="1420" w:bottom="1200" w:left="1040" w:right="1160"/>
        </w:sectPr>
      </w:pPr>
    </w:p>
    <w:p>
      <w:pPr>
        <w:pStyle w:val="BodyText"/>
        <w:spacing w:line="364" w:lineRule="auto" w:before="91"/>
        <w:ind w:left="1317" w:right="2487"/>
      </w:pPr>
      <w:r>
        <w:rPr>
          <w:rFonts w:ascii="Times New Roman" w:hAnsi="Times New Roman" w:eastAsia="Times New Roman"/>
          <w:i/>
          <w:position w:val="2"/>
        </w:rPr>
        <w:t>A</w:t>
      </w:r>
      <w:r>
        <w:rPr>
          <w:rFonts w:ascii="Times New Roman" w:hAnsi="Times New Roman" w:eastAsia="Times New Roman"/>
          <w:i/>
          <w:sz w:val="16"/>
        </w:rPr>
        <w:t>i</w:t>
      </w:r>
      <w:r>
        <w:rPr>
          <w:rFonts w:ascii="Times New Roman" w:hAnsi="Times New Roman" w:eastAsia="Times New Roman"/>
          <w:position w:val="2"/>
        </w:rPr>
        <w:t>——</w:t>
      </w:r>
      <w:r>
        <w:rPr>
          <w:spacing w:val="-7"/>
          <w:position w:val="2"/>
        </w:rPr>
        <w:t>评价时段内评价项目 </w:t>
      </w:r>
      <w:r>
        <w:rPr>
          <w:rFonts w:ascii="Times New Roman" w:hAnsi="Times New Roman" w:eastAsia="Times New Roman"/>
          <w:i/>
          <w:position w:val="2"/>
        </w:rPr>
        <w:t>i </w:t>
      </w:r>
      <w:r>
        <w:rPr>
          <w:position w:val="2"/>
        </w:rPr>
        <w:t>的达标天（小时）数； </w:t>
      </w:r>
      <w:r>
        <w:rPr>
          <w:rFonts w:ascii="Times New Roman" w:hAnsi="Times New Roman" w:eastAsia="Times New Roman"/>
          <w:i/>
          <w:position w:val="2"/>
        </w:rPr>
        <w:t>B</w:t>
      </w:r>
      <w:r>
        <w:rPr>
          <w:rFonts w:ascii="Times New Roman" w:hAnsi="Times New Roman" w:eastAsia="Times New Roman"/>
          <w:i/>
          <w:sz w:val="16"/>
        </w:rPr>
        <w:t>i</w:t>
      </w:r>
      <w:r>
        <w:rPr>
          <w:rFonts w:ascii="Times New Roman" w:hAnsi="Times New Roman" w:eastAsia="Times New Roman"/>
          <w:position w:val="2"/>
        </w:rPr>
        <w:t>——</w:t>
      </w:r>
      <w:r>
        <w:rPr>
          <w:spacing w:val="-7"/>
          <w:position w:val="2"/>
        </w:rPr>
        <w:t>评价时段内评价项目 </w:t>
      </w:r>
      <w:r>
        <w:rPr>
          <w:rFonts w:ascii="Times New Roman" w:hAnsi="Times New Roman" w:eastAsia="Times New Roman"/>
          <w:i/>
          <w:position w:val="2"/>
        </w:rPr>
        <w:t>i </w:t>
      </w:r>
      <w:r>
        <w:rPr>
          <w:position w:val="2"/>
        </w:rPr>
        <w:t>的有效监测天（小时）</w:t>
      </w:r>
      <w:r>
        <w:rPr>
          <w:spacing w:val="-8"/>
          <w:position w:val="2"/>
        </w:rPr>
        <w:t>数； </w:t>
      </w:r>
      <w:r>
        <w:rPr>
          <w:position w:val="2"/>
        </w:rPr>
        <w:t>超标率</w:t>
      </w:r>
      <w:r>
        <w:rPr>
          <w:rFonts w:ascii="Times New Roman" w:hAnsi="Times New Roman" w:eastAsia="Times New Roman"/>
          <w:position w:val="2"/>
        </w:rPr>
        <w:t>——1-</w:t>
      </w:r>
      <w:r>
        <w:rPr>
          <w:rFonts w:ascii="Times New Roman" w:hAnsi="Times New Roman" w:eastAsia="Times New Roman"/>
          <w:i/>
          <w:position w:val="2"/>
        </w:rPr>
        <w:t>D</w:t>
      </w:r>
      <w:r>
        <w:rPr>
          <w:rFonts w:ascii="Times New Roman" w:hAnsi="Times New Roman" w:eastAsia="Times New Roman"/>
          <w:i/>
          <w:sz w:val="16"/>
        </w:rPr>
        <w:t>i </w:t>
      </w:r>
      <w:r>
        <w:rPr>
          <w:position w:val="2"/>
        </w:rPr>
        <w:t>即为超标率。</w:t>
      </w:r>
    </w:p>
    <w:p>
      <w:pPr>
        <w:pStyle w:val="Heading3"/>
        <w:numPr>
          <w:ilvl w:val="0"/>
          <w:numId w:val="54"/>
        </w:numPr>
        <w:tabs>
          <w:tab w:pos="1323" w:val="left" w:leader="none"/>
        </w:tabs>
        <w:spacing w:line="240" w:lineRule="auto" w:before="3" w:after="0"/>
        <w:ind w:left="1323" w:right="0" w:hanging="604"/>
        <w:jc w:val="left"/>
      </w:pPr>
      <w:r>
        <w:rPr>
          <w:w w:val="95"/>
        </w:rPr>
        <w:t>监测结果及评价</w:t>
      </w:r>
    </w:p>
    <w:p>
      <w:pPr>
        <w:pStyle w:val="BodyText"/>
        <w:spacing w:before="160"/>
        <w:ind w:left="717"/>
      </w:pPr>
      <w:r>
        <w:rPr/>
        <w:t>污染因子监测结果及评价结果统计见表 </w:t>
      </w:r>
      <w:r>
        <w:rPr>
          <w:rFonts w:ascii="Times New Roman" w:eastAsia="Times New Roman"/>
        </w:rPr>
        <w:t>4.3-3</w:t>
      </w:r>
      <w:r>
        <w:rPr/>
        <w:t>。</w:t>
      </w:r>
    </w:p>
    <w:p>
      <w:pPr>
        <w:pStyle w:val="Heading3"/>
        <w:spacing w:before="160"/>
        <w:ind w:left="219" w:right="236"/>
        <w:jc w:val="center"/>
      </w:pPr>
      <w:r>
        <w:rPr/>
        <w:t>表 </w:t>
      </w:r>
      <w:r>
        <w:rPr>
          <w:rFonts w:ascii="Times New Roman" w:eastAsia="Times New Roman"/>
        </w:rPr>
        <w:t>4.3-3  </w:t>
      </w:r>
      <w:r>
        <w:rPr/>
        <w:t>企业附近环境空气特征污染因子现状监测结果统计汇总</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02"/>
        <w:gridCol w:w="727"/>
        <w:gridCol w:w="1920"/>
        <w:gridCol w:w="909"/>
        <w:gridCol w:w="1691"/>
        <w:gridCol w:w="1207"/>
        <w:gridCol w:w="969"/>
        <w:gridCol w:w="801"/>
      </w:tblGrid>
      <w:tr>
        <w:trPr>
          <w:trHeight w:val="716" w:hRule="atLeast"/>
        </w:trPr>
        <w:tc>
          <w:tcPr>
            <w:tcW w:w="1202" w:type="dxa"/>
            <w:tcBorders>
              <w:bottom w:val="single" w:sz="4" w:space="0" w:color="000000"/>
              <w:right w:val="single" w:sz="4" w:space="0" w:color="000000"/>
            </w:tcBorders>
          </w:tcPr>
          <w:p>
            <w:pPr>
              <w:pStyle w:val="TableParagraph"/>
              <w:spacing w:before="43"/>
              <w:ind w:left="388"/>
              <w:jc w:val="left"/>
              <w:rPr>
                <w:rFonts w:ascii="宋体" w:eastAsia="宋体" w:hint="eastAsia"/>
                <w:b/>
                <w:sz w:val="21"/>
              </w:rPr>
            </w:pPr>
            <w:r>
              <w:rPr>
                <w:rFonts w:ascii="宋体" w:eastAsia="宋体" w:hint="eastAsia"/>
                <w:b/>
                <w:sz w:val="21"/>
              </w:rPr>
              <w:t>监测</w:t>
            </w:r>
          </w:p>
          <w:p>
            <w:pPr>
              <w:pStyle w:val="TableParagraph"/>
              <w:spacing w:before="91"/>
              <w:ind w:left="388"/>
              <w:jc w:val="left"/>
              <w:rPr>
                <w:rFonts w:ascii="宋体" w:eastAsia="宋体" w:hint="eastAsia"/>
                <w:b/>
                <w:sz w:val="21"/>
              </w:rPr>
            </w:pPr>
            <w:r>
              <w:rPr>
                <w:rFonts w:ascii="宋体" w:eastAsia="宋体" w:hint="eastAsia"/>
                <w:b/>
                <w:sz w:val="21"/>
              </w:rPr>
              <w:t>项目</w:t>
            </w:r>
          </w:p>
        </w:tc>
        <w:tc>
          <w:tcPr>
            <w:tcW w:w="727" w:type="dxa"/>
            <w:tcBorders>
              <w:left w:val="single" w:sz="4" w:space="0" w:color="000000"/>
              <w:bottom w:val="single" w:sz="4" w:space="0" w:color="000000"/>
              <w:right w:val="single" w:sz="4" w:space="0" w:color="000000"/>
            </w:tcBorders>
          </w:tcPr>
          <w:p>
            <w:pPr>
              <w:pStyle w:val="TableParagraph"/>
              <w:spacing w:before="43"/>
              <w:ind w:left="160"/>
              <w:jc w:val="left"/>
              <w:rPr>
                <w:rFonts w:ascii="宋体" w:eastAsia="宋体" w:hint="eastAsia"/>
                <w:b/>
                <w:sz w:val="21"/>
              </w:rPr>
            </w:pPr>
            <w:r>
              <w:rPr>
                <w:rFonts w:ascii="宋体" w:eastAsia="宋体" w:hint="eastAsia"/>
                <w:b/>
                <w:sz w:val="21"/>
              </w:rPr>
              <w:t>监测</w:t>
            </w:r>
          </w:p>
          <w:p>
            <w:pPr>
              <w:pStyle w:val="TableParagraph"/>
              <w:spacing w:before="91"/>
              <w:ind w:left="160"/>
              <w:jc w:val="left"/>
              <w:rPr>
                <w:rFonts w:ascii="宋体" w:eastAsia="宋体" w:hint="eastAsia"/>
                <w:b/>
                <w:sz w:val="21"/>
              </w:rPr>
            </w:pPr>
            <w:r>
              <w:rPr>
                <w:rFonts w:ascii="宋体" w:eastAsia="宋体" w:hint="eastAsia"/>
                <w:b/>
                <w:sz w:val="21"/>
              </w:rPr>
              <w:t>点位</w:t>
            </w:r>
          </w:p>
        </w:tc>
        <w:tc>
          <w:tcPr>
            <w:tcW w:w="1920" w:type="dxa"/>
            <w:tcBorders>
              <w:left w:val="single" w:sz="4" w:space="0" w:color="000000"/>
              <w:bottom w:val="single" w:sz="4" w:space="0" w:color="000000"/>
              <w:right w:val="single" w:sz="4" w:space="0" w:color="000000"/>
            </w:tcBorders>
          </w:tcPr>
          <w:p>
            <w:pPr>
              <w:pStyle w:val="TableParagraph"/>
              <w:spacing w:before="43"/>
              <w:ind w:left="213" w:right="187"/>
              <w:rPr>
                <w:rFonts w:ascii="宋体" w:eastAsia="宋体" w:hint="eastAsia"/>
                <w:b/>
                <w:sz w:val="21"/>
              </w:rPr>
            </w:pPr>
            <w:r>
              <w:rPr>
                <w:rFonts w:ascii="宋体" w:eastAsia="宋体" w:hint="eastAsia"/>
                <w:b/>
                <w:sz w:val="21"/>
              </w:rPr>
              <w:t>监测值范围</w:t>
            </w:r>
          </w:p>
          <w:p>
            <w:pPr>
              <w:pStyle w:val="TableParagraph"/>
              <w:spacing w:before="101"/>
              <w:ind w:left="210" w:right="187"/>
              <w:rPr>
                <w:b/>
                <w:sz w:val="14"/>
              </w:rPr>
            </w:pPr>
            <w:r>
              <w:rPr>
                <w:b/>
                <w:sz w:val="21"/>
              </w:rPr>
              <w:t>mg/m</w:t>
            </w:r>
            <w:r>
              <w:rPr>
                <w:b/>
                <w:position w:val="7"/>
                <w:sz w:val="14"/>
              </w:rPr>
              <w:t>3</w:t>
            </w:r>
          </w:p>
        </w:tc>
        <w:tc>
          <w:tcPr>
            <w:tcW w:w="909" w:type="dxa"/>
            <w:tcBorders>
              <w:left w:val="single" w:sz="4" w:space="0" w:color="000000"/>
              <w:bottom w:val="single" w:sz="4" w:space="0" w:color="000000"/>
              <w:right w:val="single" w:sz="4" w:space="0" w:color="000000"/>
            </w:tcBorders>
          </w:tcPr>
          <w:p>
            <w:pPr>
              <w:pStyle w:val="TableParagraph"/>
              <w:spacing w:before="43"/>
              <w:ind w:left="252"/>
              <w:jc w:val="left"/>
              <w:rPr>
                <w:rFonts w:ascii="宋体" w:eastAsia="宋体" w:hint="eastAsia"/>
                <w:b/>
                <w:sz w:val="21"/>
              </w:rPr>
            </w:pPr>
            <w:r>
              <w:rPr>
                <w:rFonts w:ascii="宋体" w:eastAsia="宋体" w:hint="eastAsia"/>
                <w:b/>
                <w:sz w:val="21"/>
              </w:rPr>
              <w:t>标准</w:t>
            </w:r>
          </w:p>
          <w:p>
            <w:pPr>
              <w:pStyle w:val="TableParagraph"/>
              <w:spacing w:before="101"/>
              <w:ind w:left="171"/>
              <w:jc w:val="left"/>
              <w:rPr>
                <w:b/>
                <w:sz w:val="14"/>
              </w:rPr>
            </w:pPr>
            <w:r>
              <w:rPr>
                <w:b/>
                <w:sz w:val="21"/>
              </w:rPr>
              <w:t>mg/m</w:t>
            </w:r>
            <w:r>
              <w:rPr>
                <w:b/>
                <w:position w:val="7"/>
                <w:sz w:val="14"/>
              </w:rPr>
              <w:t>3</w:t>
            </w:r>
          </w:p>
        </w:tc>
        <w:tc>
          <w:tcPr>
            <w:tcW w:w="1691" w:type="dxa"/>
            <w:tcBorders>
              <w:left w:val="single" w:sz="4" w:space="0" w:color="000000"/>
              <w:bottom w:val="single" w:sz="4" w:space="0" w:color="000000"/>
              <w:right w:val="single" w:sz="4" w:space="0" w:color="000000"/>
            </w:tcBorders>
          </w:tcPr>
          <w:p>
            <w:pPr>
              <w:pStyle w:val="TableParagraph"/>
              <w:spacing w:before="43"/>
              <w:ind w:left="539"/>
              <w:jc w:val="left"/>
              <w:rPr>
                <w:rFonts w:ascii="宋体" w:eastAsia="宋体" w:hint="eastAsia"/>
                <w:b/>
                <w:sz w:val="21"/>
              </w:rPr>
            </w:pPr>
            <w:r>
              <w:rPr>
                <w:rFonts w:ascii="宋体" w:eastAsia="宋体" w:hint="eastAsia"/>
                <w:b/>
                <w:sz w:val="21"/>
              </w:rPr>
              <w:t>单项指</w:t>
            </w:r>
          </w:p>
          <w:p>
            <w:pPr>
              <w:pStyle w:val="TableParagraph"/>
              <w:spacing w:before="91"/>
              <w:ind w:left="539"/>
              <w:jc w:val="left"/>
              <w:rPr>
                <w:rFonts w:ascii="宋体" w:eastAsia="宋体" w:hint="eastAsia"/>
                <w:b/>
                <w:sz w:val="21"/>
              </w:rPr>
            </w:pPr>
            <w:r>
              <w:rPr>
                <w:rFonts w:ascii="宋体" w:eastAsia="宋体" w:hint="eastAsia"/>
                <w:b/>
                <w:sz w:val="21"/>
              </w:rPr>
              <w:t>数范围</w:t>
            </w:r>
          </w:p>
        </w:tc>
        <w:tc>
          <w:tcPr>
            <w:tcW w:w="1207" w:type="dxa"/>
            <w:tcBorders>
              <w:left w:val="single" w:sz="4" w:space="0" w:color="000000"/>
              <w:bottom w:val="single" w:sz="4" w:space="0" w:color="000000"/>
              <w:right w:val="single" w:sz="4" w:space="0" w:color="000000"/>
            </w:tcBorders>
          </w:tcPr>
          <w:p>
            <w:pPr>
              <w:pStyle w:val="TableParagraph"/>
              <w:spacing w:before="43"/>
              <w:ind w:left="195"/>
              <w:jc w:val="left"/>
              <w:rPr>
                <w:rFonts w:ascii="宋体" w:eastAsia="宋体" w:hint="eastAsia"/>
                <w:b/>
                <w:sz w:val="21"/>
              </w:rPr>
            </w:pPr>
            <w:r>
              <w:rPr>
                <w:rFonts w:ascii="宋体" w:eastAsia="宋体" w:hint="eastAsia"/>
                <w:b/>
                <w:sz w:val="21"/>
              </w:rPr>
              <w:t>最大浓度</w:t>
            </w:r>
          </w:p>
          <w:p>
            <w:pPr>
              <w:pStyle w:val="TableParagraph"/>
              <w:spacing w:before="91"/>
              <w:ind w:left="298"/>
              <w:jc w:val="left"/>
              <w:rPr>
                <w:rFonts w:ascii="宋体" w:eastAsia="宋体" w:hint="eastAsia"/>
                <w:b/>
                <w:sz w:val="21"/>
              </w:rPr>
            </w:pPr>
            <w:r>
              <w:rPr>
                <w:rFonts w:ascii="宋体" w:eastAsia="宋体" w:hint="eastAsia"/>
                <w:b/>
                <w:sz w:val="21"/>
              </w:rPr>
              <w:t>占标率</w:t>
            </w:r>
          </w:p>
        </w:tc>
        <w:tc>
          <w:tcPr>
            <w:tcW w:w="969" w:type="dxa"/>
            <w:tcBorders>
              <w:left w:val="single" w:sz="4" w:space="0" w:color="000000"/>
              <w:bottom w:val="single" w:sz="4" w:space="0" w:color="000000"/>
              <w:right w:val="single" w:sz="4" w:space="0" w:color="000000"/>
            </w:tcBorders>
          </w:tcPr>
          <w:p>
            <w:pPr>
              <w:pStyle w:val="TableParagraph"/>
              <w:spacing w:before="43"/>
              <w:ind w:left="178"/>
              <w:jc w:val="left"/>
              <w:rPr>
                <w:rFonts w:ascii="宋体" w:eastAsia="宋体" w:hint="eastAsia"/>
                <w:b/>
                <w:sz w:val="21"/>
              </w:rPr>
            </w:pPr>
            <w:r>
              <w:rPr>
                <w:rFonts w:ascii="宋体" w:eastAsia="宋体" w:hint="eastAsia"/>
                <w:b/>
                <w:sz w:val="21"/>
              </w:rPr>
              <w:t>最大超</w:t>
            </w:r>
          </w:p>
          <w:p>
            <w:pPr>
              <w:pStyle w:val="TableParagraph"/>
              <w:spacing w:before="91"/>
              <w:ind w:left="178"/>
              <w:jc w:val="left"/>
              <w:rPr>
                <w:rFonts w:ascii="宋体" w:eastAsia="宋体" w:hint="eastAsia"/>
                <w:b/>
                <w:sz w:val="21"/>
              </w:rPr>
            </w:pPr>
            <w:r>
              <w:rPr>
                <w:rFonts w:ascii="宋体" w:eastAsia="宋体" w:hint="eastAsia"/>
                <w:b/>
                <w:sz w:val="21"/>
              </w:rPr>
              <w:t>标倍数</w:t>
            </w:r>
          </w:p>
        </w:tc>
        <w:tc>
          <w:tcPr>
            <w:tcW w:w="801" w:type="dxa"/>
            <w:tcBorders>
              <w:left w:val="single" w:sz="4" w:space="0" w:color="000000"/>
              <w:bottom w:val="single" w:sz="4" w:space="0" w:color="000000"/>
            </w:tcBorders>
          </w:tcPr>
          <w:p>
            <w:pPr>
              <w:pStyle w:val="TableParagraph"/>
              <w:spacing w:before="43"/>
              <w:ind w:left="201"/>
              <w:jc w:val="left"/>
              <w:rPr>
                <w:rFonts w:ascii="宋体" w:eastAsia="宋体" w:hint="eastAsia"/>
                <w:b/>
                <w:sz w:val="21"/>
              </w:rPr>
            </w:pPr>
            <w:r>
              <w:rPr>
                <w:rFonts w:ascii="宋体" w:eastAsia="宋体" w:hint="eastAsia"/>
                <w:b/>
                <w:sz w:val="21"/>
              </w:rPr>
              <w:t>达标</w:t>
            </w:r>
          </w:p>
          <w:p>
            <w:pPr>
              <w:pStyle w:val="TableParagraph"/>
              <w:spacing w:before="91"/>
              <w:ind w:left="203"/>
              <w:jc w:val="left"/>
              <w:rPr>
                <w:b/>
                <w:sz w:val="21"/>
              </w:rPr>
            </w:pPr>
            <w:r>
              <w:rPr>
                <w:rFonts w:ascii="宋体" w:eastAsia="宋体" w:hint="eastAsia"/>
                <w:b/>
                <w:sz w:val="21"/>
              </w:rPr>
              <w:t>率</w:t>
            </w:r>
            <w:r>
              <w:rPr>
                <w:b/>
                <w:sz w:val="21"/>
              </w:rPr>
              <w:t>%</w:t>
            </w:r>
          </w:p>
        </w:tc>
      </w:tr>
      <w:tr>
        <w:trPr>
          <w:trHeight w:val="360" w:hRule="atLeast"/>
        </w:trPr>
        <w:tc>
          <w:tcPr>
            <w:tcW w:w="1202" w:type="dxa"/>
            <w:vMerge w:val="restart"/>
            <w:tcBorders>
              <w:top w:val="single" w:sz="4" w:space="0" w:color="000000"/>
              <w:bottom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392" w:right="376"/>
              <w:rPr>
                <w:sz w:val="14"/>
              </w:rPr>
            </w:pPr>
            <w:r>
              <w:rPr>
                <w:position w:val="2"/>
                <w:sz w:val="21"/>
              </w:rPr>
              <w:t>NH</w:t>
            </w:r>
            <w:r>
              <w:rPr>
                <w:sz w:val="14"/>
              </w:rPr>
              <w:t>3</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before="61"/>
              <w:ind w:left="226" w:right="193"/>
              <w:rPr>
                <w:sz w:val="21"/>
              </w:rPr>
            </w:pPr>
            <w:r>
              <w:rPr>
                <w:sz w:val="21"/>
              </w:rPr>
              <w:t>A1</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spacing w:before="61"/>
              <w:ind w:left="213" w:right="187"/>
              <w:rPr>
                <w:sz w:val="21"/>
              </w:rPr>
            </w:pPr>
            <w:r>
              <w:rPr>
                <w:sz w:val="21"/>
              </w:rPr>
              <w:t>0.061~0.082</w:t>
            </w:r>
          </w:p>
        </w:tc>
        <w:tc>
          <w:tcPr>
            <w:tcW w:w="90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19"/>
              </w:rPr>
            </w:pPr>
          </w:p>
          <w:p>
            <w:pPr>
              <w:pStyle w:val="TableParagraph"/>
              <w:spacing w:before="0"/>
              <w:ind w:left="279"/>
              <w:jc w:val="left"/>
              <w:rPr>
                <w:sz w:val="21"/>
              </w:rPr>
            </w:pPr>
            <w:r>
              <w:rPr>
                <w:sz w:val="21"/>
              </w:rPr>
              <w:t>0.20</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before="61"/>
              <w:ind w:left="309" w:right="273"/>
              <w:rPr>
                <w:sz w:val="21"/>
              </w:rPr>
            </w:pPr>
            <w:r>
              <w:rPr>
                <w:sz w:val="21"/>
              </w:rPr>
              <w:t>0.305~0.410</w:t>
            </w:r>
          </w:p>
        </w:tc>
        <w:tc>
          <w:tcPr>
            <w:tcW w:w="1207" w:type="dxa"/>
            <w:tcBorders>
              <w:top w:val="single" w:sz="4" w:space="0" w:color="000000"/>
              <w:left w:val="single" w:sz="4" w:space="0" w:color="000000"/>
              <w:bottom w:val="single" w:sz="4" w:space="0" w:color="000000"/>
              <w:right w:val="single" w:sz="4" w:space="0" w:color="000000"/>
            </w:tcBorders>
          </w:tcPr>
          <w:p>
            <w:pPr>
              <w:pStyle w:val="TableParagraph"/>
              <w:spacing w:before="61"/>
              <w:ind w:left="325" w:right="288"/>
              <w:rPr>
                <w:sz w:val="21"/>
              </w:rPr>
            </w:pPr>
            <w:r>
              <w:rPr>
                <w:sz w:val="21"/>
              </w:rPr>
              <w:t>41.0%</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61"/>
              <w:ind w:right="408"/>
              <w:jc w:val="right"/>
              <w:rPr>
                <w:sz w:val="21"/>
              </w:rPr>
            </w:pPr>
            <w:r>
              <w:rPr>
                <w:w w:val="100"/>
                <w:sz w:val="21"/>
              </w:rPr>
              <w:t>0</w:t>
            </w:r>
          </w:p>
        </w:tc>
        <w:tc>
          <w:tcPr>
            <w:tcW w:w="801" w:type="dxa"/>
            <w:tcBorders>
              <w:top w:val="single" w:sz="4" w:space="0" w:color="000000"/>
              <w:left w:val="single" w:sz="4" w:space="0" w:color="000000"/>
              <w:bottom w:val="single" w:sz="4" w:space="0" w:color="000000"/>
            </w:tcBorders>
          </w:tcPr>
          <w:p>
            <w:pPr>
              <w:pStyle w:val="TableParagraph"/>
              <w:spacing w:before="61"/>
              <w:ind w:left="149" w:right="102"/>
              <w:rPr>
                <w:sz w:val="21"/>
              </w:rPr>
            </w:pPr>
            <w:r>
              <w:rPr>
                <w:sz w:val="21"/>
              </w:rPr>
              <w:t>100%</w:t>
            </w:r>
          </w:p>
        </w:tc>
      </w:tr>
      <w:tr>
        <w:trPr>
          <w:trHeight w:val="359" w:hRule="atLeast"/>
        </w:trPr>
        <w:tc>
          <w:tcPr>
            <w:tcW w:w="1202" w:type="dxa"/>
            <w:vMerge/>
            <w:tcBorders>
              <w:top w:val="nil"/>
              <w:bottom w:val="single" w:sz="4" w:space="0" w:color="000000"/>
              <w:right w:val="single" w:sz="4" w:space="0" w:color="000000"/>
            </w:tcBorders>
          </w:tcPr>
          <w:p>
            <w:pPr>
              <w:rPr>
                <w:sz w:val="2"/>
                <w:szCs w:val="2"/>
              </w:rPr>
            </w:pPr>
          </w:p>
        </w:tc>
        <w:tc>
          <w:tcPr>
            <w:tcW w:w="727" w:type="dxa"/>
            <w:tcBorders>
              <w:top w:val="single" w:sz="4" w:space="0" w:color="000000"/>
              <w:left w:val="single" w:sz="4" w:space="0" w:color="000000"/>
              <w:bottom w:val="single" w:sz="4" w:space="0" w:color="000000"/>
              <w:right w:val="single" w:sz="4" w:space="0" w:color="000000"/>
            </w:tcBorders>
          </w:tcPr>
          <w:p>
            <w:pPr>
              <w:pStyle w:val="TableParagraph"/>
              <w:ind w:left="226" w:right="193"/>
              <w:rPr>
                <w:sz w:val="21"/>
              </w:rPr>
            </w:pPr>
            <w:r>
              <w:rPr>
                <w:sz w:val="21"/>
              </w:rPr>
              <w:t>A2</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ind w:left="213" w:right="187"/>
              <w:rPr>
                <w:sz w:val="21"/>
              </w:rPr>
            </w:pPr>
            <w:r>
              <w:rPr>
                <w:sz w:val="21"/>
              </w:rPr>
              <w:t>0.064~0.086</w:t>
            </w:r>
          </w:p>
        </w:tc>
        <w:tc>
          <w:tcPr>
            <w:tcW w:w="909" w:type="dxa"/>
            <w:vMerge/>
            <w:tcBorders>
              <w:top w:val="nil"/>
              <w:left w:val="single" w:sz="4" w:space="0" w:color="000000"/>
              <w:bottom w:val="single" w:sz="4" w:space="0" w:color="000000"/>
              <w:right w:val="single" w:sz="4" w:space="0" w:color="000000"/>
            </w:tcBorders>
          </w:tcPr>
          <w:p>
            <w:pPr>
              <w:rPr>
                <w:sz w:val="2"/>
                <w:szCs w:val="2"/>
              </w:rPr>
            </w:pPr>
          </w:p>
        </w:tc>
        <w:tc>
          <w:tcPr>
            <w:tcW w:w="1691" w:type="dxa"/>
            <w:tcBorders>
              <w:top w:val="single" w:sz="4" w:space="0" w:color="000000"/>
              <w:left w:val="single" w:sz="4" w:space="0" w:color="000000"/>
              <w:bottom w:val="single" w:sz="4" w:space="0" w:color="000000"/>
              <w:right w:val="single" w:sz="4" w:space="0" w:color="000000"/>
            </w:tcBorders>
          </w:tcPr>
          <w:p>
            <w:pPr>
              <w:pStyle w:val="TableParagraph"/>
              <w:ind w:left="309" w:right="273"/>
              <w:rPr>
                <w:sz w:val="21"/>
              </w:rPr>
            </w:pPr>
            <w:r>
              <w:rPr>
                <w:sz w:val="21"/>
              </w:rPr>
              <w:t>0.320~0.430</w:t>
            </w:r>
          </w:p>
        </w:tc>
        <w:tc>
          <w:tcPr>
            <w:tcW w:w="1207" w:type="dxa"/>
            <w:tcBorders>
              <w:top w:val="single" w:sz="4" w:space="0" w:color="000000"/>
              <w:left w:val="single" w:sz="4" w:space="0" w:color="000000"/>
              <w:bottom w:val="single" w:sz="4" w:space="0" w:color="000000"/>
              <w:right w:val="single" w:sz="4" w:space="0" w:color="000000"/>
            </w:tcBorders>
          </w:tcPr>
          <w:p>
            <w:pPr>
              <w:pStyle w:val="TableParagraph"/>
              <w:ind w:left="325" w:right="288"/>
              <w:rPr>
                <w:sz w:val="21"/>
              </w:rPr>
            </w:pPr>
            <w:r>
              <w:rPr>
                <w:sz w:val="21"/>
              </w:rPr>
              <w:t>43.0%</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ind w:right="408"/>
              <w:jc w:val="right"/>
              <w:rPr>
                <w:sz w:val="21"/>
              </w:rPr>
            </w:pPr>
            <w:r>
              <w:rPr>
                <w:w w:val="100"/>
                <w:sz w:val="21"/>
              </w:rPr>
              <w:t>0</w:t>
            </w:r>
          </w:p>
        </w:tc>
        <w:tc>
          <w:tcPr>
            <w:tcW w:w="801" w:type="dxa"/>
            <w:tcBorders>
              <w:top w:val="single" w:sz="4" w:space="0" w:color="000000"/>
              <w:left w:val="single" w:sz="4" w:space="0" w:color="000000"/>
              <w:bottom w:val="single" w:sz="4" w:space="0" w:color="000000"/>
            </w:tcBorders>
          </w:tcPr>
          <w:p>
            <w:pPr>
              <w:pStyle w:val="TableParagraph"/>
              <w:ind w:left="149" w:right="102"/>
              <w:rPr>
                <w:sz w:val="21"/>
              </w:rPr>
            </w:pPr>
            <w:r>
              <w:rPr>
                <w:sz w:val="21"/>
              </w:rPr>
              <w:t>100%</w:t>
            </w:r>
          </w:p>
        </w:tc>
      </w:tr>
      <w:tr>
        <w:trPr>
          <w:trHeight w:val="357" w:hRule="atLeast"/>
        </w:trPr>
        <w:tc>
          <w:tcPr>
            <w:tcW w:w="1202" w:type="dxa"/>
            <w:vMerge w:val="restart"/>
            <w:tcBorders>
              <w:top w:val="single" w:sz="4" w:space="0" w:color="000000"/>
              <w:bottom w:val="single" w:sz="4" w:space="0" w:color="000000"/>
              <w:right w:val="single" w:sz="4" w:space="0" w:color="000000"/>
            </w:tcBorders>
          </w:tcPr>
          <w:p>
            <w:pPr>
              <w:pStyle w:val="TableParagraph"/>
              <w:spacing w:before="11"/>
              <w:jc w:val="left"/>
              <w:rPr>
                <w:rFonts w:ascii="宋体"/>
                <w:b/>
                <w:sz w:val="18"/>
              </w:rPr>
            </w:pPr>
          </w:p>
          <w:p>
            <w:pPr>
              <w:pStyle w:val="TableParagraph"/>
              <w:spacing w:before="0"/>
              <w:ind w:left="392" w:right="371"/>
              <w:rPr>
                <w:sz w:val="21"/>
              </w:rPr>
            </w:pPr>
            <w:r>
              <w:rPr>
                <w:position w:val="2"/>
                <w:sz w:val="21"/>
              </w:rPr>
              <w:t>H</w:t>
            </w:r>
            <w:r>
              <w:rPr>
                <w:sz w:val="14"/>
              </w:rPr>
              <w:t>2</w:t>
            </w:r>
            <w:r>
              <w:rPr>
                <w:position w:val="2"/>
                <w:sz w:val="21"/>
              </w:rPr>
              <w:t>S</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ind w:left="226" w:right="193"/>
              <w:rPr>
                <w:sz w:val="21"/>
              </w:rPr>
            </w:pPr>
            <w:r>
              <w:rPr>
                <w:sz w:val="21"/>
              </w:rPr>
              <w:t>A1</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ind w:left="213" w:right="187"/>
              <w:rPr>
                <w:sz w:val="21"/>
              </w:rPr>
            </w:pPr>
            <w:r>
              <w:rPr>
                <w:sz w:val="21"/>
              </w:rPr>
              <w:t>0.002~0.004</w:t>
            </w:r>
          </w:p>
        </w:tc>
        <w:tc>
          <w:tcPr>
            <w:tcW w:w="90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279"/>
              <w:jc w:val="left"/>
              <w:rPr>
                <w:sz w:val="21"/>
              </w:rPr>
            </w:pPr>
            <w:r>
              <w:rPr>
                <w:sz w:val="21"/>
              </w:rPr>
              <w:t>0.01</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ind w:left="309" w:right="273"/>
              <w:rPr>
                <w:sz w:val="21"/>
              </w:rPr>
            </w:pPr>
            <w:r>
              <w:rPr>
                <w:sz w:val="21"/>
              </w:rPr>
              <w:t>0.200~0.400</w:t>
            </w:r>
          </w:p>
        </w:tc>
        <w:tc>
          <w:tcPr>
            <w:tcW w:w="1207" w:type="dxa"/>
            <w:tcBorders>
              <w:top w:val="single" w:sz="4" w:space="0" w:color="000000"/>
              <w:left w:val="single" w:sz="4" w:space="0" w:color="000000"/>
              <w:bottom w:val="single" w:sz="4" w:space="0" w:color="000000"/>
              <w:right w:val="single" w:sz="4" w:space="0" w:color="000000"/>
            </w:tcBorders>
          </w:tcPr>
          <w:p>
            <w:pPr>
              <w:pStyle w:val="TableParagraph"/>
              <w:ind w:left="325" w:right="288"/>
              <w:rPr>
                <w:sz w:val="21"/>
              </w:rPr>
            </w:pPr>
            <w:r>
              <w:rPr>
                <w:sz w:val="21"/>
              </w:rPr>
              <w:t>40.0%</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ind w:right="408"/>
              <w:jc w:val="right"/>
              <w:rPr>
                <w:sz w:val="21"/>
              </w:rPr>
            </w:pPr>
            <w:r>
              <w:rPr>
                <w:w w:val="100"/>
                <w:sz w:val="21"/>
              </w:rPr>
              <w:t>0</w:t>
            </w:r>
          </w:p>
        </w:tc>
        <w:tc>
          <w:tcPr>
            <w:tcW w:w="801" w:type="dxa"/>
            <w:tcBorders>
              <w:top w:val="single" w:sz="4" w:space="0" w:color="000000"/>
              <w:left w:val="single" w:sz="4" w:space="0" w:color="000000"/>
              <w:bottom w:val="single" w:sz="4" w:space="0" w:color="000000"/>
            </w:tcBorders>
          </w:tcPr>
          <w:p>
            <w:pPr>
              <w:pStyle w:val="TableParagraph"/>
              <w:ind w:left="149" w:right="102"/>
              <w:rPr>
                <w:sz w:val="21"/>
              </w:rPr>
            </w:pPr>
            <w:r>
              <w:rPr>
                <w:sz w:val="21"/>
              </w:rPr>
              <w:t>100%</w:t>
            </w:r>
          </w:p>
        </w:tc>
      </w:tr>
      <w:tr>
        <w:trPr>
          <w:trHeight w:val="359" w:hRule="atLeast"/>
        </w:trPr>
        <w:tc>
          <w:tcPr>
            <w:tcW w:w="1202" w:type="dxa"/>
            <w:vMerge/>
            <w:tcBorders>
              <w:top w:val="nil"/>
              <w:bottom w:val="single" w:sz="4" w:space="0" w:color="000000"/>
              <w:right w:val="single" w:sz="4" w:space="0" w:color="000000"/>
            </w:tcBorders>
          </w:tcPr>
          <w:p>
            <w:pPr>
              <w:rPr>
                <w:sz w:val="2"/>
                <w:szCs w:val="2"/>
              </w:rPr>
            </w:pP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before="60"/>
              <w:ind w:left="226" w:right="193"/>
              <w:rPr>
                <w:sz w:val="21"/>
              </w:rPr>
            </w:pPr>
            <w:r>
              <w:rPr>
                <w:sz w:val="21"/>
              </w:rPr>
              <w:t>A2</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spacing w:before="60"/>
              <w:ind w:left="213" w:right="187"/>
              <w:rPr>
                <w:sz w:val="21"/>
              </w:rPr>
            </w:pPr>
            <w:r>
              <w:rPr>
                <w:sz w:val="21"/>
              </w:rPr>
              <w:t>0.002~0.004</w:t>
            </w:r>
          </w:p>
        </w:tc>
        <w:tc>
          <w:tcPr>
            <w:tcW w:w="909" w:type="dxa"/>
            <w:vMerge/>
            <w:tcBorders>
              <w:top w:val="nil"/>
              <w:left w:val="single" w:sz="4" w:space="0" w:color="000000"/>
              <w:bottom w:val="single" w:sz="4" w:space="0" w:color="000000"/>
              <w:right w:val="single" w:sz="4" w:space="0" w:color="000000"/>
            </w:tcBorders>
          </w:tcPr>
          <w:p>
            <w:pPr>
              <w:rPr>
                <w:sz w:val="2"/>
                <w:szCs w:val="2"/>
              </w:rPr>
            </w:pPr>
          </w:p>
        </w:tc>
        <w:tc>
          <w:tcPr>
            <w:tcW w:w="1691" w:type="dxa"/>
            <w:tcBorders>
              <w:top w:val="single" w:sz="4" w:space="0" w:color="000000"/>
              <w:left w:val="single" w:sz="4" w:space="0" w:color="000000"/>
              <w:bottom w:val="single" w:sz="4" w:space="0" w:color="000000"/>
              <w:right w:val="single" w:sz="4" w:space="0" w:color="000000"/>
            </w:tcBorders>
          </w:tcPr>
          <w:p>
            <w:pPr>
              <w:pStyle w:val="TableParagraph"/>
              <w:spacing w:before="60"/>
              <w:ind w:left="309" w:right="273"/>
              <w:rPr>
                <w:sz w:val="21"/>
              </w:rPr>
            </w:pPr>
            <w:r>
              <w:rPr>
                <w:sz w:val="21"/>
              </w:rPr>
              <w:t>0.200~0.400</w:t>
            </w:r>
          </w:p>
        </w:tc>
        <w:tc>
          <w:tcPr>
            <w:tcW w:w="1207" w:type="dxa"/>
            <w:tcBorders>
              <w:top w:val="single" w:sz="4" w:space="0" w:color="000000"/>
              <w:left w:val="single" w:sz="4" w:space="0" w:color="000000"/>
              <w:bottom w:val="single" w:sz="4" w:space="0" w:color="000000"/>
              <w:right w:val="single" w:sz="4" w:space="0" w:color="000000"/>
            </w:tcBorders>
          </w:tcPr>
          <w:p>
            <w:pPr>
              <w:pStyle w:val="TableParagraph"/>
              <w:spacing w:before="60"/>
              <w:ind w:left="325" w:right="288"/>
              <w:rPr>
                <w:sz w:val="21"/>
              </w:rPr>
            </w:pPr>
            <w:r>
              <w:rPr>
                <w:sz w:val="21"/>
              </w:rPr>
              <w:t>40.0%</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spacing w:before="60"/>
              <w:ind w:right="408"/>
              <w:jc w:val="right"/>
              <w:rPr>
                <w:sz w:val="21"/>
              </w:rPr>
            </w:pPr>
            <w:r>
              <w:rPr>
                <w:w w:val="100"/>
                <w:sz w:val="21"/>
              </w:rPr>
              <w:t>0</w:t>
            </w:r>
          </w:p>
        </w:tc>
        <w:tc>
          <w:tcPr>
            <w:tcW w:w="801" w:type="dxa"/>
            <w:tcBorders>
              <w:top w:val="single" w:sz="4" w:space="0" w:color="000000"/>
              <w:left w:val="single" w:sz="4" w:space="0" w:color="000000"/>
              <w:bottom w:val="single" w:sz="4" w:space="0" w:color="000000"/>
            </w:tcBorders>
          </w:tcPr>
          <w:p>
            <w:pPr>
              <w:pStyle w:val="TableParagraph"/>
              <w:spacing w:before="60"/>
              <w:ind w:left="149" w:right="102"/>
              <w:rPr>
                <w:sz w:val="21"/>
              </w:rPr>
            </w:pPr>
            <w:r>
              <w:rPr>
                <w:sz w:val="21"/>
              </w:rPr>
              <w:t>100%</w:t>
            </w:r>
          </w:p>
        </w:tc>
      </w:tr>
      <w:tr>
        <w:trPr>
          <w:trHeight w:val="349" w:hRule="atLeast"/>
        </w:trPr>
        <w:tc>
          <w:tcPr>
            <w:tcW w:w="1202" w:type="dxa"/>
            <w:vMerge w:val="restart"/>
            <w:tcBorders>
              <w:top w:val="single" w:sz="4" w:space="0" w:color="000000"/>
              <w:right w:val="single" w:sz="4" w:space="0" w:color="000000"/>
            </w:tcBorders>
          </w:tcPr>
          <w:p>
            <w:pPr>
              <w:pStyle w:val="TableParagraph"/>
              <w:spacing w:before="11"/>
              <w:jc w:val="left"/>
              <w:rPr>
                <w:rFonts w:ascii="宋体"/>
                <w:b/>
                <w:sz w:val="17"/>
              </w:rPr>
            </w:pPr>
          </w:p>
          <w:p>
            <w:pPr>
              <w:pStyle w:val="TableParagraph"/>
              <w:spacing w:before="0"/>
              <w:ind w:left="179"/>
              <w:jc w:val="left"/>
              <w:rPr>
                <w:rFonts w:ascii="宋体" w:eastAsia="宋体" w:hint="eastAsia"/>
                <w:sz w:val="21"/>
              </w:rPr>
            </w:pPr>
            <w:r>
              <w:rPr>
                <w:rFonts w:ascii="宋体" w:eastAsia="宋体" w:hint="eastAsia"/>
                <w:sz w:val="21"/>
              </w:rPr>
              <w:t>臭气浓度</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ind w:left="226" w:right="193"/>
              <w:rPr>
                <w:sz w:val="21"/>
              </w:rPr>
            </w:pPr>
            <w:r>
              <w:rPr>
                <w:sz w:val="21"/>
              </w:rPr>
              <w:t>A1</w:t>
            </w:r>
          </w:p>
        </w:tc>
        <w:tc>
          <w:tcPr>
            <w:tcW w:w="1920" w:type="dxa"/>
            <w:tcBorders>
              <w:top w:val="single" w:sz="4" w:space="0" w:color="000000"/>
              <w:left w:val="single" w:sz="4" w:space="0" w:color="000000"/>
              <w:bottom w:val="single" w:sz="4" w:space="0" w:color="000000"/>
              <w:right w:val="single" w:sz="4" w:space="0" w:color="000000"/>
            </w:tcBorders>
          </w:tcPr>
          <w:p>
            <w:pPr>
              <w:pStyle w:val="TableParagraph"/>
              <w:spacing w:before="44"/>
              <w:ind w:left="213" w:right="187"/>
              <w:rPr>
                <w:rFonts w:ascii="宋体" w:eastAsia="宋体" w:hint="eastAsia"/>
                <w:sz w:val="21"/>
              </w:rPr>
            </w:pPr>
            <w:r>
              <w:rPr>
                <w:rFonts w:ascii="宋体" w:eastAsia="宋体" w:hint="eastAsia"/>
                <w:sz w:val="21"/>
              </w:rPr>
              <w:t>＜</w:t>
            </w:r>
            <w:r>
              <w:rPr>
                <w:sz w:val="21"/>
              </w:rPr>
              <w:t>10</w:t>
            </w:r>
            <w:r>
              <w:rPr>
                <w:rFonts w:ascii="宋体" w:eastAsia="宋体" w:hint="eastAsia"/>
                <w:sz w:val="21"/>
              </w:rPr>
              <w:t>（无量纲）</w:t>
            </w:r>
          </w:p>
        </w:tc>
        <w:tc>
          <w:tcPr>
            <w:tcW w:w="909" w:type="dxa"/>
            <w:vMerge w:val="restart"/>
            <w:tcBorders>
              <w:top w:val="single" w:sz="4" w:space="0" w:color="000000"/>
              <w:left w:val="single" w:sz="4" w:space="0" w:color="000000"/>
              <w:right w:val="single" w:sz="4" w:space="0" w:color="000000"/>
            </w:tcBorders>
          </w:tcPr>
          <w:p>
            <w:pPr>
              <w:pStyle w:val="TableParagraph"/>
              <w:spacing w:before="12"/>
              <w:jc w:val="left"/>
              <w:rPr>
                <w:rFonts w:ascii="宋体"/>
                <w:b/>
                <w:sz w:val="18"/>
              </w:rPr>
            </w:pPr>
          </w:p>
          <w:p>
            <w:pPr>
              <w:pStyle w:val="TableParagraph"/>
              <w:spacing w:before="0"/>
              <w:ind w:left="30"/>
              <w:rPr>
                <w:sz w:val="21"/>
              </w:rPr>
            </w:pPr>
            <w:r>
              <w:rPr>
                <w:w w:val="100"/>
                <w:sz w:val="21"/>
              </w:rPr>
              <w:t>/</w:t>
            </w:r>
          </w:p>
        </w:tc>
        <w:tc>
          <w:tcPr>
            <w:tcW w:w="1691" w:type="dxa"/>
            <w:tcBorders>
              <w:top w:val="single" w:sz="4" w:space="0" w:color="000000"/>
              <w:left w:val="single" w:sz="4" w:space="0" w:color="000000"/>
              <w:bottom w:val="single" w:sz="4" w:space="0" w:color="000000"/>
              <w:right w:val="single" w:sz="4" w:space="0" w:color="000000"/>
            </w:tcBorders>
          </w:tcPr>
          <w:p>
            <w:pPr>
              <w:pStyle w:val="TableParagraph"/>
              <w:ind w:left="32"/>
              <w:rPr>
                <w:sz w:val="21"/>
              </w:rPr>
            </w:pPr>
            <w:r>
              <w:rPr>
                <w:w w:val="100"/>
                <w:sz w:val="21"/>
              </w:rPr>
              <w:t>/</w:t>
            </w:r>
          </w:p>
        </w:tc>
        <w:tc>
          <w:tcPr>
            <w:tcW w:w="1207" w:type="dxa"/>
            <w:tcBorders>
              <w:top w:val="single" w:sz="4" w:space="0" w:color="000000"/>
              <w:left w:val="single" w:sz="4" w:space="0" w:color="000000"/>
              <w:bottom w:val="single" w:sz="4" w:space="0" w:color="000000"/>
              <w:right w:val="single" w:sz="4" w:space="0" w:color="000000"/>
            </w:tcBorders>
          </w:tcPr>
          <w:p>
            <w:pPr>
              <w:pStyle w:val="TableParagraph"/>
              <w:ind w:left="35"/>
              <w:rPr>
                <w:sz w:val="21"/>
              </w:rPr>
            </w:pPr>
            <w:r>
              <w:rPr>
                <w:w w:val="100"/>
                <w:sz w:val="21"/>
              </w:rPr>
              <w:t>/</w:t>
            </w:r>
          </w:p>
        </w:tc>
        <w:tc>
          <w:tcPr>
            <w:tcW w:w="969" w:type="dxa"/>
            <w:tcBorders>
              <w:top w:val="single" w:sz="4" w:space="0" w:color="000000"/>
              <w:left w:val="single" w:sz="4" w:space="0" w:color="000000"/>
              <w:bottom w:val="single" w:sz="4" w:space="0" w:color="000000"/>
              <w:right w:val="single" w:sz="4" w:space="0" w:color="000000"/>
            </w:tcBorders>
          </w:tcPr>
          <w:p>
            <w:pPr>
              <w:pStyle w:val="TableParagraph"/>
              <w:ind w:right="408"/>
              <w:jc w:val="right"/>
              <w:rPr>
                <w:sz w:val="21"/>
              </w:rPr>
            </w:pPr>
            <w:r>
              <w:rPr>
                <w:w w:val="100"/>
                <w:sz w:val="21"/>
              </w:rPr>
              <w:t>0</w:t>
            </w:r>
          </w:p>
        </w:tc>
        <w:tc>
          <w:tcPr>
            <w:tcW w:w="801" w:type="dxa"/>
            <w:tcBorders>
              <w:top w:val="single" w:sz="4" w:space="0" w:color="000000"/>
              <w:left w:val="single" w:sz="4" w:space="0" w:color="000000"/>
              <w:bottom w:val="single" w:sz="4" w:space="0" w:color="000000"/>
            </w:tcBorders>
          </w:tcPr>
          <w:p>
            <w:pPr>
              <w:pStyle w:val="TableParagraph"/>
              <w:ind w:left="149" w:right="102"/>
              <w:rPr>
                <w:sz w:val="21"/>
              </w:rPr>
            </w:pPr>
            <w:r>
              <w:rPr>
                <w:sz w:val="21"/>
              </w:rPr>
              <w:t>100%</w:t>
            </w:r>
          </w:p>
        </w:tc>
      </w:tr>
      <w:tr>
        <w:trPr>
          <w:trHeight w:val="346" w:hRule="atLeast"/>
        </w:trPr>
        <w:tc>
          <w:tcPr>
            <w:tcW w:w="1202" w:type="dxa"/>
            <w:vMerge/>
            <w:tcBorders>
              <w:top w:val="nil"/>
              <w:right w:val="single" w:sz="4" w:space="0" w:color="000000"/>
            </w:tcBorders>
          </w:tcPr>
          <w:p>
            <w:pPr>
              <w:rPr>
                <w:sz w:val="2"/>
                <w:szCs w:val="2"/>
              </w:rPr>
            </w:pPr>
          </w:p>
        </w:tc>
        <w:tc>
          <w:tcPr>
            <w:tcW w:w="727" w:type="dxa"/>
            <w:tcBorders>
              <w:top w:val="single" w:sz="4" w:space="0" w:color="000000"/>
              <w:left w:val="single" w:sz="4" w:space="0" w:color="000000"/>
              <w:right w:val="single" w:sz="4" w:space="0" w:color="000000"/>
            </w:tcBorders>
          </w:tcPr>
          <w:p>
            <w:pPr>
              <w:pStyle w:val="TableParagraph"/>
              <w:spacing w:before="48"/>
              <w:ind w:left="226" w:right="193"/>
              <w:rPr>
                <w:sz w:val="21"/>
              </w:rPr>
            </w:pPr>
            <w:r>
              <w:rPr>
                <w:sz w:val="21"/>
              </w:rPr>
              <w:t>A2</w:t>
            </w:r>
          </w:p>
        </w:tc>
        <w:tc>
          <w:tcPr>
            <w:tcW w:w="1920" w:type="dxa"/>
            <w:tcBorders>
              <w:top w:val="single" w:sz="4" w:space="0" w:color="000000"/>
              <w:left w:val="single" w:sz="4" w:space="0" w:color="000000"/>
              <w:right w:val="single" w:sz="4" w:space="0" w:color="000000"/>
            </w:tcBorders>
          </w:tcPr>
          <w:p>
            <w:pPr>
              <w:pStyle w:val="TableParagraph"/>
              <w:spacing w:before="34"/>
              <w:ind w:left="213" w:right="187"/>
              <w:rPr>
                <w:rFonts w:ascii="宋体" w:eastAsia="宋体" w:hint="eastAsia"/>
                <w:sz w:val="21"/>
              </w:rPr>
            </w:pPr>
            <w:r>
              <w:rPr>
                <w:rFonts w:ascii="宋体" w:eastAsia="宋体" w:hint="eastAsia"/>
                <w:sz w:val="21"/>
              </w:rPr>
              <w:t>＜</w:t>
            </w:r>
            <w:r>
              <w:rPr>
                <w:sz w:val="21"/>
              </w:rPr>
              <w:t>10</w:t>
            </w:r>
            <w:r>
              <w:rPr>
                <w:rFonts w:ascii="宋体" w:eastAsia="宋体" w:hint="eastAsia"/>
                <w:sz w:val="21"/>
              </w:rPr>
              <w:t>（无量纲）</w:t>
            </w:r>
          </w:p>
        </w:tc>
        <w:tc>
          <w:tcPr>
            <w:tcW w:w="909" w:type="dxa"/>
            <w:vMerge/>
            <w:tcBorders>
              <w:top w:val="nil"/>
              <w:left w:val="single" w:sz="4" w:space="0" w:color="000000"/>
              <w:right w:val="single" w:sz="4" w:space="0" w:color="000000"/>
            </w:tcBorders>
          </w:tcPr>
          <w:p>
            <w:pPr>
              <w:rPr>
                <w:sz w:val="2"/>
                <w:szCs w:val="2"/>
              </w:rPr>
            </w:pPr>
          </w:p>
        </w:tc>
        <w:tc>
          <w:tcPr>
            <w:tcW w:w="1691" w:type="dxa"/>
            <w:tcBorders>
              <w:top w:val="single" w:sz="4" w:space="0" w:color="000000"/>
              <w:left w:val="single" w:sz="4" w:space="0" w:color="000000"/>
              <w:right w:val="single" w:sz="4" w:space="0" w:color="000000"/>
            </w:tcBorders>
          </w:tcPr>
          <w:p>
            <w:pPr>
              <w:pStyle w:val="TableParagraph"/>
              <w:spacing w:before="48"/>
              <w:ind w:left="32"/>
              <w:rPr>
                <w:sz w:val="21"/>
              </w:rPr>
            </w:pPr>
            <w:r>
              <w:rPr>
                <w:w w:val="100"/>
                <w:sz w:val="21"/>
              </w:rPr>
              <w:t>/</w:t>
            </w:r>
          </w:p>
        </w:tc>
        <w:tc>
          <w:tcPr>
            <w:tcW w:w="1207" w:type="dxa"/>
            <w:tcBorders>
              <w:top w:val="single" w:sz="4" w:space="0" w:color="000000"/>
              <w:left w:val="single" w:sz="4" w:space="0" w:color="000000"/>
              <w:right w:val="single" w:sz="4" w:space="0" w:color="000000"/>
            </w:tcBorders>
          </w:tcPr>
          <w:p>
            <w:pPr>
              <w:pStyle w:val="TableParagraph"/>
              <w:spacing w:before="48"/>
              <w:ind w:left="35"/>
              <w:rPr>
                <w:sz w:val="21"/>
              </w:rPr>
            </w:pPr>
            <w:r>
              <w:rPr>
                <w:w w:val="100"/>
                <w:sz w:val="21"/>
              </w:rPr>
              <w:t>/</w:t>
            </w:r>
          </w:p>
        </w:tc>
        <w:tc>
          <w:tcPr>
            <w:tcW w:w="969" w:type="dxa"/>
            <w:tcBorders>
              <w:top w:val="single" w:sz="4" w:space="0" w:color="000000"/>
              <w:left w:val="single" w:sz="4" w:space="0" w:color="000000"/>
              <w:right w:val="single" w:sz="4" w:space="0" w:color="000000"/>
            </w:tcBorders>
          </w:tcPr>
          <w:p>
            <w:pPr>
              <w:pStyle w:val="TableParagraph"/>
              <w:spacing w:before="48"/>
              <w:ind w:right="408"/>
              <w:jc w:val="right"/>
              <w:rPr>
                <w:sz w:val="21"/>
              </w:rPr>
            </w:pPr>
            <w:r>
              <w:rPr>
                <w:w w:val="100"/>
                <w:sz w:val="21"/>
              </w:rPr>
              <w:t>0</w:t>
            </w:r>
          </w:p>
        </w:tc>
        <w:tc>
          <w:tcPr>
            <w:tcW w:w="801" w:type="dxa"/>
            <w:tcBorders>
              <w:top w:val="single" w:sz="4" w:space="0" w:color="000000"/>
              <w:left w:val="single" w:sz="4" w:space="0" w:color="000000"/>
            </w:tcBorders>
          </w:tcPr>
          <w:p>
            <w:pPr>
              <w:pStyle w:val="TableParagraph"/>
              <w:spacing w:before="48"/>
              <w:ind w:left="149" w:right="102"/>
              <w:rPr>
                <w:sz w:val="21"/>
              </w:rPr>
            </w:pPr>
            <w:r>
              <w:rPr>
                <w:sz w:val="21"/>
              </w:rPr>
              <w:t>100%</w:t>
            </w:r>
          </w:p>
        </w:tc>
      </w:tr>
    </w:tbl>
    <w:p>
      <w:pPr>
        <w:pStyle w:val="BodyText"/>
        <w:spacing w:line="364" w:lineRule="auto" w:before="84"/>
        <w:ind w:right="249" w:firstLine="480"/>
        <w:jc w:val="both"/>
      </w:pPr>
      <w:r>
        <w:rPr>
          <w:spacing w:val="-4"/>
          <w:position w:val="2"/>
        </w:rPr>
        <w:t>根据上表统计结果可知，特征因子 </w:t>
      </w:r>
      <w:r>
        <w:rPr>
          <w:rFonts w:ascii="Times New Roman" w:eastAsia="Times New Roman"/>
          <w:position w:val="2"/>
        </w:rPr>
        <w:t>NH</w:t>
      </w:r>
      <w:r>
        <w:rPr>
          <w:rFonts w:ascii="Times New Roman" w:eastAsia="Times New Roman"/>
          <w:sz w:val="16"/>
        </w:rPr>
        <w:t>3</w:t>
      </w:r>
      <w:r>
        <w:rPr>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1"/>
          <w:position w:val="2"/>
        </w:rPr>
        <w:t>均能符合《环境影响评价技术导则 大</w:t>
      </w:r>
      <w:r>
        <w:rPr/>
        <w:t>气环境》（</w:t>
      </w:r>
      <w:r>
        <w:rPr>
          <w:rFonts w:ascii="Times New Roman" w:eastAsia="Times New Roman"/>
        </w:rPr>
        <w:t>HJ</w:t>
      </w:r>
      <w:r>
        <w:rPr>
          <w:rFonts w:ascii="Times New Roman" w:eastAsia="Times New Roman"/>
          <w:spacing w:val="57"/>
        </w:rPr>
        <w:t> </w:t>
      </w:r>
      <w:r>
        <w:rPr>
          <w:rFonts w:ascii="Times New Roman" w:eastAsia="Times New Roman"/>
        </w:rPr>
        <w:t>2.2-2018</w:t>
      </w:r>
      <w:r>
        <w:rPr/>
        <w:t>）</w:t>
      </w:r>
      <w:r>
        <w:rPr>
          <w:spacing w:val="-16"/>
        </w:rPr>
        <w:t>附录 </w:t>
      </w:r>
      <w:r>
        <w:rPr>
          <w:rFonts w:ascii="Times New Roman" w:eastAsia="Times New Roman"/>
        </w:rPr>
        <w:t>D </w:t>
      </w:r>
      <w:r>
        <w:rPr>
          <w:spacing w:val="-25"/>
        </w:rPr>
        <w:t>中 </w:t>
      </w:r>
      <w:r>
        <w:rPr>
          <w:rFonts w:ascii="Times New Roman" w:eastAsia="Times New Roman"/>
        </w:rPr>
        <w:t>1h </w:t>
      </w:r>
      <w:r>
        <w:rPr>
          <w:spacing w:val="-5"/>
        </w:rPr>
        <w:t>平均值，臭气浓度均小于 </w:t>
      </w:r>
      <w:r>
        <w:rPr>
          <w:rFonts w:ascii="Times New Roman" w:eastAsia="Times New Roman"/>
        </w:rPr>
        <w:t>10</w:t>
      </w:r>
      <w:r>
        <w:rPr>
          <w:spacing w:val="-2"/>
        </w:rPr>
        <w:t>，说明评价区内的环</w:t>
      </w:r>
      <w:r>
        <w:rPr/>
        <w:t>境空气质量现状总体较好。</w:t>
      </w:r>
    </w:p>
    <w:p>
      <w:pPr>
        <w:pStyle w:val="Heading3"/>
        <w:numPr>
          <w:ilvl w:val="2"/>
          <w:numId w:val="53"/>
        </w:numPr>
        <w:tabs>
          <w:tab w:pos="838" w:val="left" w:leader="none"/>
        </w:tabs>
        <w:spacing w:line="240" w:lineRule="auto" w:before="3" w:after="0"/>
        <w:ind w:left="837" w:right="0" w:hanging="601"/>
        <w:jc w:val="both"/>
      </w:pPr>
      <w:bookmarkStart w:name="_bookmark72" w:id="140"/>
      <w:bookmarkEnd w:id="140"/>
      <w:r>
        <w:rPr>
          <w:b w:val="0"/>
        </w:rPr>
      </w:r>
      <w:bookmarkStart w:name="_bookmark72" w:id="141"/>
      <w:bookmarkEnd w:id="141"/>
      <w:r>
        <w:rPr/>
        <w:t>地表水环境质量现状监测与评价</w:t>
      </w:r>
    </w:p>
    <w:p>
      <w:pPr>
        <w:spacing w:before="160"/>
        <w:ind w:left="719" w:right="0" w:firstLine="0"/>
        <w:jc w:val="left"/>
        <w:rPr>
          <w:b/>
          <w:sz w:val="24"/>
        </w:rPr>
      </w:pPr>
      <w:r>
        <w:rPr>
          <w:rFonts w:ascii="Times New Roman" w:eastAsia="Times New Roman"/>
          <w:b/>
          <w:sz w:val="24"/>
        </w:rPr>
        <w:t>1</w:t>
      </w:r>
      <w:r>
        <w:rPr>
          <w:b/>
          <w:sz w:val="24"/>
        </w:rPr>
        <w:t>、项目拟建地周边水体环境质量现状</w:t>
      </w:r>
    </w:p>
    <w:p>
      <w:pPr>
        <w:pStyle w:val="BodyText"/>
        <w:spacing w:line="364" w:lineRule="auto" w:before="161"/>
        <w:ind w:right="256" w:firstLine="480"/>
      </w:pPr>
      <w:r>
        <w:rPr/>
        <w:t>为了解项目周围地表水环境现状，本环评编制期间由建设单位委托杭州普洛赛斯检测科技有限公司对周边地表水体进行了实测，详见检测报告（附件十一）。</w:t>
      </w:r>
    </w:p>
    <w:p>
      <w:pPr>
        <w:pStyle w:val="Heading3"/>
        <w:numPr>
          <w:ilvl w:val="0"/>
          <w:numId w:val="56"/>
        </w:numPr>
        <w:tabs>
          <w:tab w:pos="1323" w:val="left" w:leader="none"/>
        </w:tabs>
        <w:spacing w:line="240" w:lineRule="auto" w:before="1" w:after="0"/>
        <w:ind w:left="1323" w:right="0" w:hanging="604"/>
        <w:jc w:val="left"/>
      </w:pPr>
      <w:r>
        <w:rPr/>
        <w:t>监测断面</w:t>
      </w:r>
    </w:p>
    <w:p>
      <w:pPr>
        <w:pStyle w:val="BodyText"/>
        <w:spacing w:before="160"/>
        <w:ind w:left="717"/>
      </w:pPr>
      <w:r>
        <w:rPr/>
        <w:t>在项里溪上、下游各设 </w:t>
      </w:r>
      <w:r>
        <w:rPr>
          <w:rFonts w:ascii="Times New Roman" w:eastAsia="Times New Roman"/>
        </w:rPr>
        <w:t>1 </w:t>
      </w:r>
      <w:r>
        <w:rPr/>
        <w:t>个地表水监测点（</w:t>
      </w:r>
      <w:r>
        <w:rPr>
          <w:rFonts w:ascii="Times New Roman" w:eastAsia="Times New Roman"/>
        </w:rPr>
        <w:t>W1~W2</w:t>
      </w:r>
      <w:r>
        <w:rPr/>
        <w:t>），具体位置见附图五。</w:t>
      </w:r>
    </w:p>
    <w:p>
      <w:pPr>
        <w:pStyle w:val="Heading3"/>
        <w:numPr>
          <w:ilvl w:val="0"/>
          <w:numId w:val="56"/>
        </w:numPr>
        <w:tabs>
          <w:tab w:pos="1323" w:val="left" w:leader="none"/>
        </w:tabs>
        <w:spacing w:line="240" w:lineRule="auto" w:before="161" w:after="0"/>
        <w:ind w:left="1323" w:right="0" w:hanging="604"/>
        <w:jc w:val="left"/>
      </w:pPr>
      <w:r>
        <w:rPr/>
        <w:t>监测时间及频次</w:t>
      </w:r>
    </w:p>
    <w:p>
      <w:pPr>
        <w:pStyle w:val="BodyText"/>
        <w:spacing w:before="161"/>
        <w:ind w:left="717"/>
      </w:pPr>
      <w:r>
        <w:rPr>
          <w:rFonts w:ascii="Times New Roman" w:eastAsia="Times New Roman"/>
        </w:rPr>
        <w:t>2020 </w:t>
      </w:r>
      <w:r>
        <w:rPr/>
        <w:t>年 </w:t>
      </w:r>
      <w:r>
        <w:rPr>
          <w:rFonts w:ascii="Times New Roman" w:eastAsia="Times New Roman"/>
        </w:rPr>
        <w:t>12 </w:t>
      </w:r>
      <w:r>
        <w:rPr/>
        <w:t>日 </w:t>
      </w:r>
      <w:r>
        <w:rPr>
          <w:rFonts w:ascii="Times New Roman" w:eastAsia="Times New Roman"/>
        </w:rPr>
        <w:t>11 </w:t>
      </w:r>
      <w:r>
        <w:rPr/>
        <w:t>日</w:t>
      </w:r>
      <w:r>
        <w:rPr>
          <w:rFonts w:ascii="Times New Roman" w:eastAsia="Times New Roman"/>
        </w:rPr>
        <w:t>~12 </w:t>
      </w:r>
      <w:r>
        <w:rPr/>
        <w:t>月 </w:t>
      </w:r>
      <w:r>
        <w:rPr>
          <w:rFonts w:ascii="Times New Roman" w:eastAsia="Times New Roman"/>
        </w:rPr>
        <w:t>13 </w:t>
      </w:r>
      <w:r>
        <w:rPr/>
        <w:t>日，连续监测 </w:t>
      </w:r>
      <w:r>
        <w:rPr>
          <w:rFonts w:ascii="Times New Roman" w:eastAsia="Times New Roman"/>
        </w:rPr>
        <w:t>3 </w:t>
      </w:r>
      <w:r>
        <w:rPr/>
        <w:t>天，每天上下午各监测 </w:t>
      </w:r>
      <w:r>
        <w:rPr>
          <w:rFonts w:ascii="Times New Roman" w:eastAsia="Times New Roman"/>
        </w:rPr>
        <w:t>1 </w:t>
      </w:r>
      <w:r>
        <w:rPr/>
        <w:t>次。</w:t>
      </w:r>
    </w:p>
    <w:p>
      <w:pPr>
        <w:pStyle w:val="Heading3"/>
        <w:numPr>
          <w:ilvl w:val="0"/>
          <w:numId w:val="56"/>
        </w:numPr>
        <w:tabs>
          <w:tab w:pos="1323" w:val="left" w:leader="none"/>
        </w:tabs>
        <w:spacing w:line="240" w:lineRule="auto" w:before="161" w:after="0"/>
        <w:ind w:left="1323" w:right="0" w:hanging="604"/>
        <w:jc w:val="left"/>
      </w:pPr>
      <w:r>
        <w:rPr/>
        <w:t>分析方法</w:t>
      </w:r>
    </w:p>
    <w:p>
      <w:pPr>
        <w:pStyle w:val="BodyText"/>
        <w:spacing w:before="160"/>
        <w:ind w:left="717"/>
      </w:pPr>
      <w:r>
        <w:rPr/>
        <w:t>采样及分析方法按《水和废水监测分析方法》中有关规定进行。</w:t>
      </w:r>
    </w:p>
    <w:p>
      <w:pPr>
        <w:pStyle w:val="Heading3"/>
        <w:numPr>
          <w:ilvl w:val="0"/>
          <w:numId w:val="56"/>
        </w:numPr>
        <w:tabs>
          <w:tab w:pos="1323" w:val="left" w:leader="none"/>
        </w:tabs>
        <w:spacing w:line="240" w:lineRule="auto" w:before="161" w:after="0"/>
        <w:ind w:left="1323" w:right="0" w:hanging="604"/>
        <w:jc w:val="left"/>
      </w:pPr>
      <w:r>
        <w:rPr/>
        <w:t>评价标准</w:t>
      </w:r>
    </w:p>
    <w:p>
      <w:pPr>
        <w:pStyle w:val="BodyText"/>
        <w:spacing w:line="364" w:lineRule="auto" w:before="160"/>
        <w:ind w:left="717" w:right="83"/>
      </w:pPr>
      <w:r>
        <w:rPr/>
        <w:t>评价标准：监测断面水质执行《地表水环境质量标准》（</w:t>
      </w:r>
      <w:r>
        <w:rPr>
          <w:rFonts w:ascii="Times New Roman" w:hAnsi="Times New Roman" w:eastAsia="Times New Roman"/>
        </w:rPr>
        <w:t>GB 3838-2002</w:t>
      </w:r>
      <w:r>
        <w:rPr/>
        <w:t>）Ⅲ类标准。评价方法：采用单项水质参数标准指数法，对水环境质量现状进行评价，评价标准采</w:t>
      </w:r>
    </w:p>
    <w:p>
      <w:pPr>
        <w:pStyle w:val="BodyText"/>
        <w:spacing w:before="1"/>
      </w:pPr>
      <w:r>
        <w:rPr/>
        <w:t>用《地表水环境质量标准》（</w:t>
      </w:r>
      <w:r>
        <w:rPr>
          <w:rFonts w:ascii="Times New Roman" w:hAnsi="Times New Roman" w:eastAsia="Times New Roman"/>
        </w:rPr>
        <w:t>GB 3838-2002</w:t>
      </w:r>
      <w:r>
        <w:rPr/>
        <w:t>）Ⅲ类标准。</w:t>
      </w:r>
    </w:p>
    <w:p>
      <w:pPr>
        <w:spacing w:after="0"/>
        <w:sectPr>
          <w:pgSz w:w="11910" w:h="16840"/>
          <w:pgMar w:header="874" w:footer="1004" w:top="1420" w:bottom="1200" w:left="1040" w:right="1160"/>
        </w:sectPr>
      </w:pPr>
    </w:p>
    <w:p>
      <w:pPr>
        <w:pStyle w:val="BodyText"/>
        <w:spacing w:before="92"/>
        <w:ind w:left="700"/>
      </w:pPr>
      <w:r>
        <w:rPr/>
        <w:t>单项评价标准指数法如下：</w:t>
      </w:r>
    </w:p>
    <w:p>
      <w:pPr>
        <w:pStyle w:val="BodyText"/>
        <w:spacing w:before="160"/>
        <w:ind w:left="700"/>
      </w:pPr>
      <w:r>
        <w:rPr/>
        <w:t>①一般水质因子（随水质浓度增加而水质变差的水质因子）</w:t>
      </w:r>
    </w:p>
    <w:p>
      <w:pPr>
        <w:tabs>
          <w:tab w:pos="4847" w:val="left" w:leader="none"/>
        </w:tabs>
        <w:spacing w:line="340" w:lineRule="exact" w:before="96"/>
        <w:ind w:left="4471" w:right="0" w:firstLine="0"/>
        <w:jc w:val="left"/>
        <w:rPr>
          <w:rFonts w:ascii="Times New Roman" w:hAnsi="Times New Roman"/>
          <w:i/>
          <w:sz w:val="13"/>
        </w:rPr>
      </w:pPr>
      <w:r>
        <w:rPr/>
        <w:pict>
          <v:line style="position:absolute;mso-position-horizontal-relative:page;mso-position-vertical-relative:paragraph;z-index:-315456512" from="330.95029pt,6.870368pt" to="313.132904pt,31.740917pt" stroked="true" strokeweight=".480743pt" strokecolor="#000000">
            <v:stroke dashstyle="solid"/>
            <w10:wrap type="none"/>
          </v:line>
        </w:pict>
      </w:r>
      <w:r>
        <w:rPr>
          <w:rFonts w:ascii="Times New Roman" w:hAnsi="Times New Roman"/>
          <w:i/>
          <w:position w:val="-8"/>
          <w:sz w:val="23"/>
        </w:rPr>
        <w:t>S</w:t>
        <w:tab/>
      </w:r>
      <w:r>
        <w:rPr>
          <w:rFonts w:ascii="Symbol" w:hAnsi="Symbol"/>
          <w:position w:val="-8"/>
          <w:sz w:val="23"/>
        </w:rPr>
        <w:t></w:t>
      </w:r>
      <w:r>
        <w:rPr>
          <w:rFonts w:ascii="Times New Roman" w:hAnsi="Times New Roman"/>
          <w:position w:val="-8"/>
          <w:sz w:val="23"/>
        </w:rPr>
        <w:t> </w:t>
      </w:r>
      <w:r>
        <w:rPr>
          <w:rFonts w:ascii="Times New Roman" w:hAnsi="Times New Roman"/>
          <w:i/>
          <w:spacing w:val="6"/>
          <w:position w:val="6"/>
          <w:sz w:val="23"/>
        </w:rPr>
        <w:t>C</w:t>
      </w:r>
      <w:r>
        <w:rPr>
          <w:rFonts w:ascii="Times New Roman" w:hAnsi="Times New Roman"/>
          <w:i/>
          <w:spacing w:val="6"/>
          <w:sz w:val="13"/>
        </w:rPr>
        <w:t>i</w:t>
      </w:r>
      <w:r>
        <w:rPr>
          <w:rFonts w:ascii="Times New Roman" w:hAnsi="Times New Roman"/>
          <w:spacing w:val="6"/>
          <w:sz w:val="13"/>
        </w:rPr>
        <w:t>,</w:t>
      </w:r>
      <w:r>
        <w:rPr>
          <w:rFonts w:ascii="Times New Roman" w:hAnsi="Times New Roman"/>
          <w:spacing w:val="-5"/>
          <w:sz w:val="13"/>
        </w:rPr>
        <w:t> </w:t>
      </w:r>
      <w:r>
        <w:rPr>
          <w:rFonts w:ascii="Times New Roman" w:hAnsi="Times New Roman"/>
          <w:i/>
          <w:sz w:val="13"/>
        </w:rPr>
        <w:t>j</w:t>
      </w:r>
    </w:p>
    <w:p>
      <w:pPr>
        <w:tabs>
          <w:tab w:pos="5403" w:val="left" w:leader="none"/>
        </w:tabs>
        <w:spacing w:line="86" w:lineRule="auto" w:before="0"/>
        <w:ind w:left="4600" w:right="0" w:firstLine="0"/>
        <w:jc w:val="left"/>
        <w:rPr>
          <w:rFonts w:ascii="Times New Roman"/>
          <w:i/>
          <w:sz w:val="13"/>
        </w:rPr>
      </w:pPr>
      <w:r>
        <w:rPr>
          <w:rFonts w:ascii="Times New Roman"/>
          <w:i/>
          <w:spacing w:val="5"/>
          <w:sz w:val="13"/>
        </w:rPr>
        <w:t>i</w:t>
      </w:r>
      <w:r>
        <w:rPr>
          <w:rFonts w:ascii="Times New Roman"/>
          <w:spacing w:val="5"/>
          <w:sz w:val="13"/>
        </w:rPr>
        <w:t>,</w:t>
      </w:r>
      <w:r>
        <w:rPr>
          <w:rFonts w:ascii="Times New Roman"/>
          <w:spacing w:val="-2"/>
          <w:sz w:val="13"/>
        </w:rPr>
        <w:t> </w:t>
      </w:r>
      <w:r>
        <w:rPr>
          <w:rFonts w:ascii="Times New Roman"/>
          <w:i/>
          <w:sz w:val="13"/>
        </w:rPr>
        <w:t>j</w:t>
        <w:tab/>
      </w:r>
      <w:r>
        <w:rPr>
          <w:rFonts w:ascii="Times New Roman"/>
          <w:i/>
          <w:spacing w:val="8"/>
          <w:position w:val="-5"/>
          <w:sz w:val="23"/>
        </w:rPr>
        <w:t>C</w:t>
      </w:r>
      <w:r>
        <w:rPr>
          <w:rFonts w:ascii="Times New Roman"/>
          <w:i/>
          <w:spacing w:val="8"/>
          <w:position w:val="-11"/>
          <w:sz w:val="13"/>
        </w:rPr>
        <w:t>si</w:t>
      </w:r>
    </w:p>
    <w:p>
      <w:pPr>
        <w:pStyle w:val="BodyText"/>
        <w:spacing w:before="1"/>
        <w:ind w:left="0"/>
        <w:rPr>
          <w:rFonts w:ascii="Times New Roman"/>
          <w:i/>
          <w:sz w:val="12"/>
        </w:rPr>
      </w:pPr>
    </w:p>
    <w:p>
      <w:pPr>
        <w:spacing w:before="73"/>
        <w:ind w:left="717" w:right="0" w:firstLine="0"/>
        <w:jc w:val="left"/>
        <w:rPr>
          <w:sz w:val="24"/>
        </w:rPr>
      </w:pPr>
      <w:r>
        <w:rPr>
          <w:position w:val="2"/>
          <w:sz w:val="24"/>
        </w:rPr>
        <w:t>式中：</w:t>
      </w:r>
      <w:r>
        <w:rPr>
          <w:rFonts w:ascii="Times New Roman" w:hAnsi="Times New Roman" w:eastAsia="Times New Roman"/>
          <w:i/>
          <w:position w:val="2"/>
          <w:sz w:val="24"/>
        </w:rPr>
        <w:t>S</w:t>
      </w:r>
      <w:r>
        <w:rPr>
          <w:rFonts w:ascii="Times New Roman" w:hAnsi="Times New Roman" w:eastAsia="Times New Roman"/>
          <w:i/>
          <w:sz w:val="16"/>
        </w:rPr>
        <w:t>i</w:t>
      </w:r>
      <w:r>
        <w:rPr>
          <w:i/>
          <w:sz w:val="12"/>
        </w:rPr>
        <w:t>，</w:t>
      </w:r>
      <w:r>
        <w:rPr>
          <w:rFonts w:ascii="Times New Roman" w:hAnsi="Times New Roman" w:eastAsia="Times New Roman"/>
          <w:i/>
          <w:sz w:val="16"/>
        </w:rPr>
        <w:t>j</w:t>
      </w:r>
      <w:r>
        <w:rPr>
          <w:rFonts w:ascii="Times New Roman" w:hAnsi="Times New Roman" w:eastAsia="Times New Roman"/>
          <w:position w:val="2"/>
          <w:sz w:val="24"/>
        </w:rPr>
        <w:t>——</w:t>
      </w:r>
      <w:r>
        <w:rPr>
          <w:position w:val="2"/>
          <w:sz w:val="24"/>
        </w:rPr>
        <w:t>标准指数；</w:t>
      </w:r>
    </w:p>
    <w:p>
      <w:pPr>
        <w:spacing w:before="161"/>
        <w:ind w:left="1437" w:right="0" w:firstLine="0"/>
        <w:jc w:val="left"/>
        <w:rPr>
          <w:sz w:val="24"/>
        </w:rPr>
      </w:pPr>
      <w:r>
        <w:rPr>
          <w:rFonts w:ascii="Times New Roman" w:hAnsi="Times New Roman" w:eastAsia="Times New Roman"/>
          <w:i/>
          <w:position w:val="2"/>
          <w:sz w:val="24"/>
        </w:rPr>
        <w:t>C</w:t>
      </w:r>
      <w:r>
        <w:rPr>
          <w:rFonts w:ascii="Times New Roman" w:hAnsi="Times New Roman" w:eastAsia="Times New Roman"/>
          <w:i/>
          <w:sz w:val="16"/>
        </w:rPr>
        <w:t>i</w:t>
      </w:r>
      <w:r>
        <w:rPr>
          <w:i/>
          <w:sz w:val="12"/>
        </w:rPr>
        <w:t>，</w:t>
      </w:r>
      <w:r>
        <w:rPr>
          <w:rFonts w:ascii="Times New Roman" w:hAnsi="Times New Roman" w:eastAsia="Times New Roman"/>
          <w:i/>
          <w:sz w:val="16"/>
        </w:rPr>
        <w:t>j</w:t>
      </w:r>
      <w:r>
        <w:rPr>
          <w:rFonts w:ascii="Times New Roman" w:hAnsi="Times New Roman" w:eastAsia="Times New Roman"/>
          <w:position w:val="2"/>
          <w:sz w:val="24"/>
        </w:rPr>
        <w:t>——</w:t>
      </w:r>
      <w:r>
        <w:rPr>
          <w:position w:val="2"/>
          <w:sz w:val="24"/>
        </w:rPr>
        <w:t>评价因子 </w:t>
      </w:r>
      <w:r>
        <w:rPr>
          <w:rFonts w:ascii="Times New Roman" w:hAnsi="Times New Roman" w:eastAsia="Times New Roman"/>
          <w:i/>
          <w:position w:val="2"/>
          <w:sz w:val="24"/>
        </w:rPr>
        <w:t>i </w:t>
      </w:r>
      <w:r>
        <w:rPr>
          <w:position w:val="2"/>
          <w:sz w:val="24"/>
        </w:rPr>
        <w:t>在 </w:t>
      </w:r>
      <w:r>
        <w:rPr>
          <w:rFonts w:ascii="Times New Roman" w:hAnsi="Times New Roman" w:eastAsia="Times New Roman"/>
          <w:i/>
          <w:position w:val="2"/>
          <w:sz w:val="24"/>
        </w:rPr>
        <w:t>j </w:t>
      </w:r>
      <w:r>
        <w:rPr>
          <w:position w:val="2"/>
          <w:sz w:val="24"/>
        </w:rPr>
        <w:t>点的实测统计代表值，</w:t>
      </w:r>
      <w:r>
        <w:rPr>
          <w:rFonts w:ascii="Times New Roman" w:hAnsi="Times New Roman" w:eastAsia="Times New Roman"/>
          <w:position w:val="2"/>
          <w:sz w:val="24"/>
        </w:rPr>
        <w:t>mg/L</w:t>
      </w:r>
      <w:r>
        <w:rPr>
          <w:position w:val="2"/>
          <w:sz w:val="24"/>
        </w:rPr>
        <w:t>；</w:t>
      </w:r>
    </w:p>
    <w:p>
      <w:pPr>
        <w:spacing w:before="160"/>
        <w:ind w:left="1437" w:right="0" w:firstLine="0"/>
        <w:jc w:val="left"/>
        <w:rPr>
          <w:sz w:val="24"/>
        </w:rPr>
      </w:pPr>
      <w:r>
        <w:rPr>
          <w:rFonts w:ascii="Times New Roman" w:hAnsi="Times New Roman" w:eastAsia="Times New Roman"/>
          <w:i/>
          <w:position w:val="2"/>
          <w:sz w:val="24"/>
        </w:rPr>
        <w:t>S</w:t>
      </w:r>
      <w:r>
        <w:rPr>
          <w:rFonts w:ascii="Times New Roman" w:hAnsi="Times New Roman" w:eastAsia="Times New Roman"/>
          <w:i/>
          <w:sz w:val="16"/>
        </w:rPr>
        <w:t>i</w:t>
      </w:r>
      <w:r>
        <w:rPr>
          <w:i/>
          <w:sz w:val="12"/>
        </w:rPr>
        <w:t>，</w:t>
      </w:r>
      <w:r>
        <w:rPr>
          <w:rFonts w:ascii="Times New Roman" w:hAnsi="Times New Roman" w:eastAsia="Times New Roman"/>
          <w:i/>
          <w:sz w:val="16"/>
        </w:rPr>
        <w:t>j</w:t>
      </w:r>
      <w:r>
        <w:rPr>
          <w:rFonts w:ascii="Times New Roman" w:hAnsi="Times New Roman" w:eastAsia="Times New Roman"/>
          <w:position w:val="2"/>
          <w:sz w:val="24"/>
        </w:rPr>
        <w:t>——</w:t>
      </w:r>
      <w:r>
        <w:rPr>
          <w:position w:val="2"/>
          <w:sz w:val="24"/>
        </w:rPr>
        <w:t>评价因子 </w:t>
      </w:r>
      <w:r>
        <w:rPr>
          <w:rFonts w:ascii="Times New Roman" w:hAnsi="Times New Roman" w:eastAsia="Times New Roman"/>
          <w:i/>
          <w:position w:val="2"/>
          <w:sz w:val="24"/>
        </w:rPr>
        <w:t>i </w:t>
      </w:r>
      <w:r>
        <w:rPr>
          <w:position w:val="2"/>
          <w:sz w:val="24"/>
        </w:rPr>
        <w:t>的评价标准限值，</w:t>
      </w:r>
      <w:r>
        <w:rPr>
          <w:rFonts w:ascii="Times New Roman" w:hAnsi="Times New Roman" w:eastAsia="Times New Roman"/>
          <w:position w:val="2"/>
          <w:sz w:val="24"/>
        </w:rPr>
        <w:t>mg/L</w:t>
      </w:r>
      <w:r>
        <w:rPr>
          <w:position w:val="2"/>
          <w:sz w:val="24"/>
        </w:rPr>
        <w:t>。</w:t>
      </w:r>
    </w:p>
    <w:p>
      <w:pPr>
        <w:pStyle w:val="BodyText"/>
        <w:spacing w:before="161"/>
        <w:ind w:left="717"/>
      </w:pPr>
      <w:r>
        <w:rPr/>
        <w:t>②</w:t>
      </w:r>
      <w:r>
        <w:rPr>
          <w:rFonts w:ascii="Times New Roman" w:hAnsi="Times New Roman" w:eastAsia="Times New Roman"/>
        </w:rPr>
        <w:t>pH</w:t>
      </w:r>
      <w:r>
        <w:rPr/>
        <w:t>（两端有限值，水质影响不同）</w:t>
      </w:r>
    </w:p>
    <w:p>
      <w:pPr>
        <w:spacing w:after="0"/>
        <w:sectPr>
          <w:pgSz w:w="11910" w:h="16840"/>
          <w:pgMar w:header="874" w:footer="1004" w:top="1420" w:bottom="1200" w:left="1040" w:right="1160"/>
        </w:sectPr>
      </w:pPr>
    </w:p>
    <w:p>
      <w:pPr>
        <w:pStyle w:val="BodyText"/>
        <w:spacing w:before="11"/>
        <w:ind w:left="0"/>
        <w:rPr>
          <w:sz w:val="29"/>
        </w:rPr>
      </w:pPr>
    </w:p>
    <w:p>
      <w:pPr>
        <w:spacing w:before="0"/>
        <w:ind w:left="2929" w:right="0" w:firstLine="0"/>
        <w:jc w:val="left"/>
        <w:rPr>
          <w:rFonts w:ascii="Times New Roman"/>
          <w:i/>
          <w:sz w:val="14"/>
        </w:rPr>
      </w:pPr>
      <w:r>
        <w:rPr>
          <w:rFonts w:ascii="Times New Roman"/>
          <w:i/>
          <w:position w:val="6"/>
          <w:sz w:val="25"/>
        </w:rPr>
        <w:t>S</w:t>
      </w:r>
      <w:r>
        <w:rPr>
          <w:rFonts w:ascii="Times New Roman"/>
          <w:i/>
          <w:spacing w:val="-31"/>
          <w:position w:val="6"/>
          <w:sz w:val="25"/>
        </w:rPr>
        <w:t> </w:t>
      </w:r>
      <w:r>
        <w:rPr>
          <w:rFonts w:ascii="Times New Roman"/>
          <w:i/>
          <w:sz w:val="14"/>
        </w:rPr>
        <w:t>pH</w:t>
      </w:r>
      <w:r>
        <w:rPr>
          <w:rFonts w:ascii="Times New Roman"/>
          <w:i/>
          <w:spacing w:val="-18"/>
          <w:sz w:val="14"/>
        </w:rPr>
        <w:t> </w:t>
      </w:r>
      <w:r>
        <w:rPr>
          <w:rFonts w:ascii="Times New Roman"/>
          <w:sz w:val="14"/>
        </w:rPr>
        <w:t>,</w:t>
      </w:r>
      <w:r>
        <w:rPr>
          <w:rFonts w:ascii="Times New Roman"/>
          <w:spacing w:val="-5"/>
          <w:sz w:val="14"/>
        </w:rPr>
        <w:t> </w:t>
      </w:r>
      <w:r>
        <w:rPr>
          <w:rFonts w:ascii="Times New Roman"/>
          <w:i/>
          <w:spacing w:val="-18"/>
          <w:sz w:val="14"/>
        </w:rPr>
        <w:t>j</w:t>
      </w:r>
    </w:p>
    <w:p>
      <w:pPr>
        <w:pStyle w:val="BodyText"/>
        <w:ind w:left="0"/>
        <w:rPr>
          <w:rFonts w:ascii="Times New Roman"/>
          <w:i/>
          <w:sz w:val="32"/>
        </w:rPr>
      </w:pPr>
    </w:p>
    <w:p>
      <w:pPr>
        <w:spacing w:line="165" w:lineRule="exact" w:before="241"/>
        <w:ind w:left="2929" w:right="0" w:firstLine="0"/>
        <w:jc w:val="left"/>
        <w:rPr>
          <w:rFonts w:ascii="Times New Roman"/>
          <w:i/>
          <w:sz w:val="25"/>
        </w:rPr>
      </w:pPr>
      <w:r>
        <w:rPr>
          <w:rFonts w:ascii="Times New Roman"/>
          <w:i/>
          <w:w w:val="95"/>
          <w:sz w:val="25"/>
        </w:rPr>
        <w:t>S</w:t>
      </w:r>
    </w:p>
    <w:p>
      <w:pPr>
        <w:spacing w:line="187" w:lineRule="auto" w:before="173"/>
        <w:ind w:left="59" w:right="0" w:firstLine="0"/>
        <w:jc w:val="left"/>
        <w:rPr>
          <w:rFonts w:ascii="Times New Roman" w:hAnsi="Times New Roman"/>
          <w:i/>
          <w:sz w:val="14"/>
        </w:rPr>
      </w:pPr>
      <w:r>
        <w:rPr/>
        <w:br w:type="column"/>
      </w:r>
      <w:r>
        <w:rPr>
          <w:rFonts w:ascii="Symbol" w:hAnsi="Symbol"/>
          <w:position w:val="-19"/>
          <w:sz w:val="25"/>
        </w:rPr>
        <w:t></w:t>
      </w:r>
      <w:r>
        <w:rPr>
          <w:rFonts w:ascii="Times New Roman" w:hAnsi="Times New Roman"/>
          <w:position w:val="-19"/>
          <w:sz w:val="25"/>
        </w:rPr>
        <w:t> </w:t>
      </w:r>
      <w:r>
        <w:rPr>
          <w:rFonts w:ascii="Times New Roman" w:hAnsi="Times New Roman"/>
          <w:sz w:val="25"/>
        </w:rPr>
        <w:t>7.0 </w:t>
      </w:r>
      <w:r>
        <w:rPr>
          <w:rFonts w:ascii="Symbol" w:hAnsi="Symbol"/>
          <w:sz w:val="25"/>
        </w:rPr>
        <w:t></w:t>
      </w:r>
      <w:r>
        <w:rPr>
          <w:rFonts w:ascii="Times New Roman" w:hAnsi="Times New Roman"/>
          <w:sz w:val="25"/>
        </w:rPr>
        <w:t> </w:t>
      </w:r>
      <w:r>
        <w:rPr>
          <w:rFonts w:ascii="Times New Roman" w:hAnsi="Times New Roman"/>
          <w:i/>
          <w:sz w:val="25"/>
        </w:rPr>
        <w:t>pH</w:t>
      </w:r>
      <w:r>
        <w:rPr>
          <w:rFonts w:ascii="Times New Roman" w:hAnsi="Times New Roman"/>
          <w:i/>
          <w:spacing w:val="-18"/>
          <w:sz w:val="25"/>
        </w:rPr>
        <w:t> </w:t>
      </w:r>
      <w:r>
        <w:rPr>
          <w:rFonts w:ascii="Times New Roman" w:hAnsi="Times New Roman"/>
          <w:i/>
          <w:position w:val="-5"/>
          <w:sz w:val="14"/>
        </w:rPr>
        <w:t>j</w:t>
      </w:r>
    </w:p>
    <w:p>
      <w:pPr>
        <w:spacing w:line="286" w:lineRule="exact" w:before="0"/>
        <w:ind w:left="267" w:right="0" w:firstLine="0"/>
        <w:jc w:val="left"/>
        <w:rPr>
          <w:rFonts w:ascii="Times New Roman" w:hAnsi="Times New Roman"/>
          <w:i/>
          <w:sz w:val="14"/>
        </w:rPr>
      </w:pPr>
      <w:r>
        <w:rPr/>
        <w:pict>
          <v:line style="position:absolute;mso-position-horizontal-relative:page;mso-position-vertical-relative:paragraph;z-index:-315455488" from="235.700729pt,-3.306385pt" to="288.449524pt,-3.306355pt" stroked="true" strokeweight=".526612pt" strokecolor="#000000">
            <v:stroke dashstyle="solid"/>
            <w10:wrap type="none"/>
          </v:line>
        </w:pict>
      </w:r>
      <w:r>
        <w:rPr>
          <w:rFonts w:ascii="Times New Roman" w:hAnsi="Times New Roman"/>
          <w:sz w:val="25"/>
        </w:rPr>
        <w:t>7.0</w:t>
      </w:r>
      <w:r>
        <w:rPr>
          <w:rFonts w:ascii="Times New Roman" w:hAnsi="Times New Roman"/>
          <w:spacing w:val="-32"/>
          <w:sz w:val="25"/>
        </w:rPr>
        <w:t> </w:t>
      </w:r>
      <w:r>
        <w:rPr>
          <w:rFonts w:ascii="Symbol" w:hAnsi="Symbol"/>
          <w:sz w:val="25"/>
        </w:rPr>
        <w:t></w:t>
      </w:r>
      <w:r>
        <w:rPr>
          <w:rFonts w:ascii="Times New Roman" w:hAnsi="Times New Roman"/>
          <w:spacing w:val="-8"/>
          <w:sz w:val="25"/>
        </w:rPr>
        <w:t> </w:t>
      </w:r>
      <w:r>
        <w:rPr>
          <w:rFonts w:ascii="Times New Roman" w:hAnsi="Times New Roman"/>
          <w:i/>
          <w:sz w:val="25"/>
        </w:rPr>
        <w:t>pH</w:t>
      </w:r>
      <w:r>
        <w:rPr>
          <w:rFonts w:ascii="Times New Roman" w:hAnsi="Times New Roman"/>
          <w:i/>
          <w:spacing w:val="-43"/>
          <w:sz w:val="25"/>
        </w:rPr>
        <w:t> </w:t>
      </w:r>
      <w:r>
        <w:rPr>
          <w:rFonts w:ascii="Times New Roman" w:hAnsi="Times New Roman"/>
          <w:i/>
          <w:spacing w:val="-4"/>
          <w:position w:val="-5"/>
          <w:sz w:val="14"/>
        </w:rPr>
        <w:t>sd</w:t>
      </w:r>
    </w:p>
    <w:p>
      <w:pPr>
        <w:spacing w:line="122" w:lineRule="auto" w:before="223"/>
        <w:ind w:left="59" w:right="0" w:firstLine="0"/>
        <w:jc w:val="left"/>
        <w:rPr>
          <w:rFonts w:ascii="Times New Roman" w:hAnsi="Times New Roman"/>
          <w:sz w:val="25"/>
        </w:rPr>
      </w:pPr>
      <w:r>
        <w:rPr>
          <w:rFonts w:ascii="Symbol" w:hAnsi="Symbol"/>
          <w:position w:val="-19"/>
          <w:sz w:val="25"/>
        </w:rPr>
        <w:t></w:t>
      </w:r>
      <w:r>
        <w:rPr>
          <w:rFonts w:ascii="Times New Roman" w:hAnsi="Times New Roman"/>
          <w:position w:val="-19"/>
          <w:sz w:val="25"/>
        </w:rPr>
        <w:t>  </w:t>
      </w:r>
      <w:r>
        <w:rPr>
          <w:rFonts w:ascii="Times New Roman" w:hAnsi="Times New Roman"/>
          <w:i/>
          <w:sz w:val="25"/>
        </w:rPr>
        <w:t>pH </w:t>
      </w:r>
      <w:r>
        <w:rPr>
          <w:rFonts w:ascii="Times New Roman" w:hAnsi="Times New Roman"/>
          <w:i/>
          <w:position w:val="-5"/>
          <w:sz w:val="14"/>
        </w:rPr>
        <w:t>j  </w:t>
      </w:r>
      <w:r>
        <w:rPr>
          <w:rFonts w:ascii="Symbol" w:hAnsi="Symbol"/>
          <w:sz w:val="25"/>
        </w:rPr>
        <w:t></w:t>
      </w:r>
      <w:r>
        <w:rPr>
          <w:rFonts w:ascii="Times New Roman" w:hAnsi="Times New Roman"/>
          <w:spacing w:val="-46"/>
          <w:sz w:val="25"/>
        </w:rPr>
        <w:t> </w:t>
      </w:r>
      <w:r>
        <w:rPr>
          <w:rFonts w:ascii="Times New Roman" w:hAnsi="Times New Roman"/>
          <w:spacing w:val="-7"/>
          <w:sz w:val="25"/>
        </w:rPr>
        <w:t>7.0</w:t>
      </w:r>
    </w:p>
    <w:p>
      <w:pPr>
        <w:pStyle w:val="BodyText"/>
        <w:ind w:left="0"/>
        <w:rPr>
          <w:rFonts w:ascii="Times New Roman"/>
        </w:rPr>
      </w:pPr>
      <w:r>
        <w:rPr/>
        <w:br w:type="column"/>
      </w:r>
      <w:r>
        <w:rPr>
          <w:rFonts w:ascii="Times New Roman"/>
        </w:rPr>
      </w:r>
    </w:p>
    <w:p>
      <w:pPr>
        <w:pStyle w:val="BodyText"/>
        <w:spacing w:before="2"/>
        <w:ind w:left="0"/>
        <w:rPr>
          <w:rFonts w:ascii="Times New Roman"/>
          <w:sz w:val="31"/>
        </w:rPr>
      </w:pPr>
    </w:p>
    <w:p>
      <w:pPr>
        <w:spacing w:before="1"/>
        <w:ind w:left="0" w:right="0" w:firstLine="0"/>
        <w:jc w:val="right"/>
        <w:rPr>
          <w:rFonts w:ascii="Times New Roman"/>
          <w:i/>
          <w:sz w:val="11"/>
        </w:rPr>
      </w:pPr>
      <w:r>
        <w:rPr>
          <w:rFonts w:ascii="Times New Roman"/>
          <w:i/>
          <w:w w:val="125"/>
          <w:sz w:val="19"/>
        </w:rPr>
        <w:t>pH </w:t>
      </w:r>
      <w:r>
        <w:rPr>
          <w:rFonts w:ascii="Times New Roman"/>
          <w:i/>
          <w:w w:val="125"/>
          <w:position w:val="-4"/>
          <w:sz w:val="11"/>
        </w:rPr>
        <w:t>j</w:t>
      </w:r>
    </w:p>
    <w:p>
      <w:pPr>
        <w:pStyle w:val="BodyText"/>
        <w:ind w:left="0"/>
        <w:rPr>
          <w:rFonts w:ascii="Times New Roman"/>
          <w:i/>
        </w:rPr>
      </w:pPr>
      <w:r>
        <w:rPr/>
        <w:br w:type="column"/>
      </w:r>
      <w:r>
        <w:rPr>
          <w:rFonts w:ascii="Times New Roman"/>
          <w:i/>
        </w:rPr>
      </w:r>
    </w:p>
    <w:p>
      <w:pPr>
        <w:pStyle w:val="BodyText"/>
        <w:ind w:left="0"/>
        <w:rPr>
          <w:rFonts w:ascii="Times New Roman"/>
          <w:i/>
          <w:sz w:val="30"/>
        </w:rPr>
      </w:pPr>
    </w:p>
    <w:p>
      <w:pPr>
        <w:spacing w:before="1"/>
        <w:ind w:left="58" w:right="0" w:firstLine="0"/>
        <w:jc w:val="left"/>
        <w:rPr>
          <w:rFonts w:ascii="Times New Roman" w:hAnsi="Times New Roman"/>
          <w:sz w:val="19"/>
        </w:rPr>
      </w:pPr>
      <w:r>
        <w:rPr>
          <w:rFonts w:ascii="Symbol" w:hAnsi="Symbol"/>
          <w:w w:val="125"/>
          <w:sz w:val="19"/>
        </w:rPr>
        <w:t></w:t>
      </w:r>
      <w:r>
        <w:rPr>
          <w:rFonts w:ascii="Times New Roman" w:hAnsi="Times New Roman"/>
          <w:w w:val="125"/>
          <w:sz w:val="19"/>
        </w:rPr>
        <w:t> 7.0</w:t>
      </w:r>
    </w:p>
    <w:p>
      <w:pPr>
        <w:spacing w:after="0"/>
        <w:jc w:val="left"/>
        <w:rPr>
          <w:rFonts w:ascii="Times New Roman" w:hAnsi="Times New Roman"/>
          <w:sz w:val="19"/>
        </w:rPr>
        <w:sectPr>
          <w:type w:val="continuous"/>
          <w:pgSz w:w="11910" w:h="16840"/>
          <w:pgMar w:top="1400" w:bottom="1200" w:left="1040" w:right="1160"/>
          <w:cols w:num="4" w:equalWidth="0">
            <w:col w:w="3380" w:space="40"/>
            <w:col w:w="1265" w:space="39"/>
            <w:col w:w="1923" w:space="39"/>
            <w:col w:w="3024"/>
          </w:cols>
        </w:sectPr>
      </w:pPr>
    </w:p>
    <w:p>
      <w:pPr>
        <w:spacing w:before="1"/>
        <w:ind w:left="0" w:right="0" w:firstLine="0"/>
        <w:jc w:val="right"/>
        <w:rPr>
          <w:rFonts w:ascii="Times New Roman"/>
          <w:i/>
          <w:sz w:val="14"/>
        </w:rPr>
      </w:pPr>
      <w:r>
        <w:rPr>
          <w:rFonts w:ascii="Times New Roman"/>
          <w:i/>
          <w:sz w:val="14"/>
        </w:rPr>
        <w:t>pH </w:t>
      </w:r>
      <w:r>
        <w:rPr>
          <w:rFonts w:ascii="Times New Roman"/>
          <w:sz w:val="14"/>
        </w:rPr>
        <w:t>, </w:t>
      </w:r>
      <w:r>
        <w:rPr>
          <w:rFonts w:ascii="Times New Roman"/>
          <w:i/>
          <w:sz w:val="14"/>
        </w:rPr>
        <w:t>j</w:t>
      </w:r>
    </w:p>
    <w:p>
      <w:pPr>
        <w:pStyle w:val="BodyText"/>
        <w:spacing w:line="20" w:lineRule="exact"/>
        <w:ind w:left="248" w:right="-72"/>
        <w:rPr>
          <w:rFonts w:ascii="Times New Roman"/>
          <w:sz w:val="2"/>
        </w:rPr>
      </w:pPr>
      <w:r>
        <w:rPr/>
        <w:br w:type="column"/>
      </w:r>
      <w:r>
        <w:rPr>
          <w:rFonts w:ascii="Times New Roman"/>
          <w:sz w:val="2"/>
        </w:rPr>
        <w:pict>
          <v:group style="width:52.35pt;height:.550pt;mso-position-horizontal-relative:char;mso-position-vertical-relative:line" coordorigin="0,0" coordsize="1047,11">
            <v:line style="position:absolute" from="0,5" to="1046,5" stroked="true" strokeweight=".526612pt" strokecolor="#000000">
              <v:stroke dashstyle="solid"/>
            </v:line>
          </v:group>
        </w:pict>
      </w:r>
      <w:r>
        <w:rPr>
          <w:rFonts w:ascii="Times New Roman"/>
          <w:sz w:val="2"/>
        </w:rPr>
      </w:r>
    </w:p>
    <w:p>
      <w:pPr>
        <w:spacing w:before="0"/>
        <w:ind w:left="300" w:right="0" w:firstLine="0"/>
        <w:jc w:val="left"/>
        <w:rPr>
          <w:rFonts w:ascii="Times New Roman" w:hAnsi="Times New Roman"/>
          <w:sz w:val="25"/>
        </w:rPr>
      </w:pPr>
      <w:r>
        <w:rPr>
          <w:rFonts w:ascii="Times New Roman" w:hAnsi="Times New Roman"/>
          <w:i/>
          <w:sz w:val="25"/>
        </w:rPr>
        <w:t>pH </w:t>
      </w:r>
      <w:r>
        <w:rPr>
          <w:rFonts w:ascii="Times New Roman" w:hAnsi="Times New Roman"/>
          <w:i/>
          <w:position w:val="-5"/>
          <w:sz w:val="14"/>
        </w:rPr>
        <w:t>su </w:t>
      </w:r>
      <w:r>
        <w:rPr>
          <w:rFonts w:ascii="Symbol" w:hAnsi="Symbol"/>
          <w:sz w:val="25"/>
        </w:rPr>
        <w:t></w:t>
      </w:r>
      <w:r>
        <w:rPr>
          <w:rFonts w:ascii="Times New Roman" w:hAnsi="Times New Roman"/>
          <w:spacing w:val="-41"/>
          <w:sz w:val="25"/>
        </w:rPr>
        <w:t> </w:t>
      </w:r>
      <w:r>
        <w:rPr>
          <w:rFonts w:ascii="Times New Roman" w:hAnsi="Times New Roman"/>
          <w:spacing w:val="-7"/>
          <w:sz w:val="25"/>
        </w:rPr>
        <w:t>7.0</w:t>
      </w:r>
    </w:p>
    <w:p>
      <w:pPr>
        <w:spacing w:before="91"/>
        <w:ind w:left="0" w:right="0" w:firstLine="0"/>
        <w:jc w:val="right"/>
        <w:rPr>
          <w:rFonts w:ascii="Times New Roman"/>
          <w:i/>
          <w:sz w:val="11"/>
        </w:rPr>
      </w:pPr>
      <w:r>
        <w:rPr/>
        <w:br w:type="column"/>
      </w:r>
      <w:r>
        <w:rPr>
          <w:rFonts w:ascii="Times New Roman"/>
          <w:i/>
          <w:w w:val="125"/>
          <w:sz w:val="19"/>
        </w:rPr>
        <w:t>pH </w:t>
      </w:r>
      <w:r>
        <w:rPr>
          <w:rFonts w:ascii="Times New Roman"/>
          <w:i/>
          <w:w w:val="125"/>
          <w:position w:val="-4"/>
          <w:sz w:val="11"/>
        </w:rPr>
        <w:t>j</w:t>
      </w:r>
    </w:p>
    <w:p>
      <w:pPr>
        <w:spacing w:before="78"/>
        <w:ind w:left="62" w:right="0" w:firstLine="0"/>
        <w:jc w:val="left"/>
        <w:rPr>
          <w:rFonts w:ascii="Times New Roman" w:hAnsi="Times New Roman"/>
          <w:sz w:val="19"/>
        </w:rPr>
      </w:pPr>
      <w:r>
        <w:rPr/>
        <w:br w:type="column"/>
      </w:r>
      <w:r>
        <w:rPr>
          <w:rFonts w:ascii="Symbol" w:hAnsi="Symbol"/>
          <w:w w:val="125"/>
          <w:sz w:val="19"/>
        </w:rPr>
        <w:t></w:t>
      </w:r>
      <w:r>
        <w:rPr>
          <w:rFonts w:ascii="Times New Roman" w:hAnsi="Times New Roman"/>
          <w:w w:val="125"/>
          <w:sz w:val="19"/>
        </w:rPr>
        <w:t> 7.0</w:t>
      </w:r>
    </w:p>
    <w:p>
      <w:pPr>
        <w:spacing w:after="0"/>
        <w:jc w:val="left"/>
        <w:rPr>
          <w:rFonts w:ascii="Times New Roman" w:hAnsi="Times New Roman"/>
          <w:sz w:val="19"/>
        </w:rPr>
        <w:sectPr>
          <w:type w:val="continuous"/>
          <w:pgSz w:w="11910" w:h="16840"/>
          <w:pgMar w:top="1400" w:bottom="1200" w:left="1040" w:right="1160"/>
          <w:cols w:num="4" w:equalWidth="0">
            <w:col w:w="3380" w:space="40"/>
            <w:col w:w="1295" w:space="39"/>
            <w:col w:w="1893" w:space="39"/>
            <w:col w:w="3024"/>
          </w:cols>
        </w:sectPr>
      </w:pPr>
    </w:p>
    <w:p>
      <w:pPr>
        <w:pStyle w:val="BodyText"/>
        <w:spacing w:before="8"/>
        <w:ind w:left="0"/>
        <w:rPr>
          <w:rFonts w:ascii="Times New Roman"/>
          <w:sz w:val="10"/>
        </w:rPr>
      </w:pPr>
    </w:p>
    <w:p>
      <w:pPr>
        <w:pStyle w:val="BodyText"/>
        <w:spacing w:line="364" w:lineRule="auto" w:before="73"/>
        <w:ind w:left="1437" w:right="4230" w:hanging="720"/>
      </w:pPr>
      <w:r>
        <w:rPr>
          <w:position w:val="2"/>
        </w:rPr>
        <w:t>式 中 ：</w:t>
      </w:r>
      <w:r>
        <w:rPr>
          <w:rFonts w:ascii="Times New Roman" w:hAnsi="Times New Roman" w:eastAsia="Times New Roman"/>
          <w:i/>
          <w:position w:val="2"/>
        </w:rPr>
        <w:t>S</w:t>
      </w:r>
      <w:r>
        <w:rPr>
          <w:rFonts w:ascii="Times New Roman" w:hAnsi="Times New Roman" w:eastAsia="Times New Roman"/>
          <w:i/>
          <w:sz w:val="16"/>
        </w:rPr>
        <w:t>pH</w:t>
      </w:r>
      <w:r>
        <w:rPr>
          <w:i/>
          <w:sz w:val="12"/>
        </w:rPr>
        <w:t>，</w:t>
      </w:r>
      <w:r>
        <w:rPr>
          <w:rFonts w:ascii="Times New Roman" w:hAnsi="Times New Roman" w:eastAsia="Times New Roman"/>
          <w:i/>
          <w:sz w:val="16"/>
        </w:rPr>
        <w:t>j</w:t>
      </w:r>
      <w:r>
        <w:rPr>
          <w:rFonts w:ascii="Times New Roman" w:hAnsi="Times New Roman" w:eastAsia="Times New Roman"/>
          <w:position w:val="2"/>
        </w:rPr>
        <w:t>——pH </w:t>
      </w:r>
      <w:r>
        <w:rPr>
          <w:position w:val="2"/>
        </w:rPr>
        <w:t>值 的 标 准 指 数 ； </w:t>
      </w:r>
      <w:r>
        <w:rPr>
          <w:rFonts w:ascii="Times New Roman" w:hAnsi="Times New Roman" w:eastAsia="Times New Roman"/>
          <w:i/>
          <w:position w:val="2"/>
        </w:rPr>
        <w:t>pH</w:t>
      </w:r>
      <w:r>
        <w:rPr>
          <w:rFonts w:ascii="Times New Roman" w:hAnsi="Times New Roman" w:eastAsia="Times New Roman"/>
          <w:i/>
          <w:sz w:val="16"/>
        </w:rPr>
        <w:t>j</w:t>
      </w:r>
      <w:r>
        <w:rPr>
          <w:rFonts w:ascii="Times New Roman" w:hAnsi="Times New Roman" w:eastAsia="Times New Roman"/>
          <w:position w:val="2"/>
        </w:rPr>
        <w:t>——pH </w:t>
      </w:r>
      <w:r>
        <w:rPr>
          <w:position w:val="2"/>
        </w:rPr>
        <w:t>值的实测统计代表值； </w:t>
      </w:r>
      <w:r>
        <w:rPr>
          <w:rFonts w:ascii="Times New Roman" w:hAnsi="Times New Roman" w:eastAsia="Times New Roman"/>
          <w:i/>
          <w:position w:val="2"/>
        </w:rPr>
        <w:t>pH</w:t>
      </w:r>
      <w:r>
        <w:rPr>
          <w:rFonts w:ascii="Times New Roman" w:hAnsi="Times New Roman" w:eastAsia="Times New Roman"/>
          <w:i/>
          <w:sz w:val="16"/>
        </w:rPr>
        <w:t>sd</w:t>
      </w:r>
      <w:r>
        <w:rPr>
          <w:rFonts w:ascii="Times New Roman" w:hAnsi="Times New Roman" w:eastAsia="Times New Roman"/>
          <w:position w:val="2"/>
        </w:rPr>
        <w:t>——</w:t>
      </w:r>
      <w:r>
        <w:rPr>
          <w:position w:val="2"/>
        </w:rPr>
        <w:t>评价标准中 </w:t>
      </w:r>
      <w:r>
        <w:rPr>
          <w:rFonts w:ascii="Times New Roman" w:hAnsi="Times New Roman" w:eastAsia="Times New Roman"/>
          <w:position w:val="2"/>
        </w:rPr>
        <w:t>pH </w:t>
      </w:r>
      <w:r>
        <w:rPr>
          <w:position w:val="2"/>
        </w:rPr>
        <w:t>值的下限值； </w:t>
      </w:r>
      <w:r>
        <w:rPr>
          <w:rFonts w:ascii="Times New Roman" w:hAnsi="Times New Roman" w:eastAsia="Times New Roman"/>
          <w:i/>
          <w:position w:val="2"/>
        </w:rPr>
        <w:t>pH</w:t>
      </w:r>
      <w:r>
        <w:rPr>
          <w:rFonts w:ascii="Times New Roman" w:hAnsi="Times New Roman" w:eastAsia="Times New Roman"/>
          <w:i/>
          <w:sz w:val="16"/>
        </w:rPr>
        <w:t>su</w:t>
      </w:r>
      <w:r>
        <w:rPr>
          <w:rFonts w:ascii="Times New Roman" w:hAnsi="Times New Roman" w:eastAsia="Times New Roman"/>
          <w:position w:val="2"/>
        </w:rPr>
        <w:t>——</w:t>
      </w:r>
      <w:r>
        <w:rPr>
          <w:position w:val="2"/>
        </w:rPr>
        <w:t>评价标准中 </w:t>
      </w:r>
      <w:r>
        <w:rPr>
          <w:rFonts w:ascii="Times New Roman" w:hAnsi="Times New Roman" w:eastAsia="Times New Roman"/>
          <w:position w:val="2"/>
        </w:rPr>
        <w:t>pH </w:t>
      </w:r>
      <w:r>
        <w:rPr>
          <w:position w:val="2"/>
        </w:rPr>
        <w:t>值的上限值。</w:t>
      </w:r>
    </w:p>
    <w:p>
      <w:pPr>
        <w:pStyle w:val="BodyText"/>
        <w:spacing w:before="3"/>
        <w:ind w:left="717"/>
      </w:pPr>
      <w:r>
        <w:rPr/>
        <w:t>③</w:t>
      </w:r>
      <w:r>
        <w:rPr>
          <w:rFonts w:ascii="Times New Roman" w:hAnsi="Times New Roman" w:eastAsia="Times New Roman"/>
        </w:rPr>
        <w:t>DO</w:t>
      </w:r>
      <w:r>
        <w:rPr/>
        <w:t>（溶解氧）</w:t>
      </w:r>
    </w:p>
    <w:p>
      <w:pPr>
        <w:tabs>
          <w:tab w:pos="2838" w:val="left" w:leader="none"/>
        </w:tabs>
        <w:spacing w:before="162"/>
        <w:ind w:left="442" w:right="0" w:firstLine="0"/>
        <w:jc w:val="center"/>
        <w:rPr>
          <w:rFonts w:ascii="Times New Roman" w:hAnsi="Times New Roman"/>
          <w:sz w:val="11"/>
        </w:rPr>
      </w:pPr>
      <w:r>
        <w:rPr>
          <w:rFonts w:ascii="Times New Roman" w:hAnsi="Times New Roman"/>
          <w:i/>
          <w:spacing w:val="-3"/>
          <w:w w:val="122"/>
          <w:sz w:val="19"/>
        </w:rPr>
        <w:t>S</w:t>
      </w:r>
      <w:r>
        <w:rPr>
          <w:rFonts w:ascii="Times New Roman" w:hAnsi="Times New Roman"/>
          <w:spacing w:val="1"/>
          <w:w w:val="121"/>
          <w:sz w:val="8"/>
        </w:rPr>
        <w:t>D</w:t>
      </w:r>
      <w:r>
        <w:rPr>
          <w:rFonts w:ascii="Times New Roman" w:hAnsi="Times New Roman"/>
          <w:spacing w:val="6"/>
          <w:w w:val="121"/>
          <w:sz w:val="8"/>
        </w:rPr>
        <w:t>O</w:t>
      </w:r>
      <w:r>
        <w:rPr>
          <w:rFonts w:ascii="Times New Roman" w:hAnsi="Times New Roman"/>
          <w:w w:val="121"/>
          <w:sz w:val="8"/>
        </w:rPr>
        <w:t>,</w:t>
      </w:r>
      <w:r>
        <w:rPr>
          <w:rFonts w:ascii="Times New Roman" w:hAnsi="Times New Roman"/>
          <w:sz w:val="8"/>
        </w:rPr>
        <w:t>  </w:t>
      </w:r>
      <w:r>
        <w:rPr>
          <w:rFonts w:ascii="Times New Roman" w:hAnsi="Times New Roman"/>
          <w:spacing w:val="-2"/>
          <w:sz w:val="8"/>
        </w:rPr>
        <w:t> </w:t>
      </w:r>
      <w:r>
        <w:rPr>
          <w:rFonts w:ascii="Times New Roman" w:hAnsi="Times New Roman"/>
          <w:i/>
          <w:w w:val="121"/>
          <w:sz w:val="8"/>
        </w:rPr>
        <w:t>j</w:t>
      </w:r>
      <w:r>
        <w:rPr>
          <w:rFonts w:ascii="Times New Roman" w:hAnsi="Times New Roman"/>
          <w:i/>
          <w:sz w:val="8"/>
        </w:rPr>
        <w:t>  </w:t>
      </w:r>
      <w:r>
        <w:rPr>
          <w:rFonts w:ascii="Times New Roman" w:hAnsi="Times New Roman"/>
          <w:i/>
          <w:spacing w:val="7"/>
          <w:sz w:val="8"/>
        </w:rPr>
        <w:t> </w:t>
      </w:r>
      <w:r>
        <w:rPr>
          <w:rFonts w:ascii="Symbol" w:hAnsi="Symbol"/>
          <w:w w:val="122"/>
          <w:sz w:val="19"/>
        </w:rPr>
        <w:t></w:t>
      </w:r>
      <w:r>
        <w:rPr>
          <w:rFonts w:ascii="Times New Roman" w:hAnsi="Times New Roman"/>
          <w:spacing w:val="10"/>
          <w:sz w:val="19"/>
        </w:rPr>
        <w:t> </w:t>
      </w:r>
      <w:r>
        <w:rPr>
          <w:rFonts w:ascii="Times New Roman" w:hAnsi="Times New Roman"/>
          <w:spacing w:val="-10"/>
          <w:w w:val="122"/>
          <w:sz w:val="19"/>
        </w:rPr>
        <w:t>D</w:t>
      </w:r>
      <w:r>
        <w:rPr>
          <w:rFonts w:ascii="Times New Roman" w:hAnsi="Times New Roman"/>
          <w:spacing w:val="13"/>
          <w:w w:val="122"/>
          <w:sz w:val="19"/>
        </w:rPr>
        <w:t>O</w:t>
      </w:r>
      <w:r>
        <w:rPr>
          <w:rFonts w:ascii="Times New Roman" w:hAnsi="Times New Roman"/>
          <w:w w:val="123"/>
          <w:position w:val="-4"/>
          <w:sz w:val="11"/>
        </w:rPr>
        <w:t>s</w:t>
      </w:r>
      <w:r>
        <w:rPr>
          <w:rFonts w:ascii="Times New Roman" w:hAnsi="Times New Roman"/>
          <w:spacing w:val="-2"/>
          <w:position w:val="-4"/>
          <w:sz w:val="11"/>
        </w:rPr>
        <w:t> </w:t>
      </w:r>
      <w:r>
        <w:rPr>
          <w:rFonts w:ascii="Times New Roman" w:hAnsi="Times New Roman"/>
          <w:w w:val="122"/>
          <w:sz w:val="19"/>
        </w:rPr>
        <w:t>/</w:t>
      </w:r>
      <w:r>
        <w:rPr>
          <w:rFonts w:ascii="Times New Roman" w:hAnsi="Times New Roman"/>
          <w:spacing w:val="-4"/>
          <w:sz w:val="19"/>
        </w:rPr>
        <w:t> </w:t>
      </w:r>
      <w:r>
        <w:rPr>
          <w:rFonts w:ascii="Times New Roman" w:hAnsi="Times New Roman"/>
          <w:spacing w:val="-10"/>
          <w:w w:val="122"/>
          <w:sz w:val="19"/>
        </w:rPr>
        <w:t>D</w:t>
      </w:r>
      <w:r>
        <w:rPr>
          <w:rFonts w:ascii="Times New Roman" w:hAnsi="Times New Roman"/>
          <w:w w:val="122"/>
          <w:sz w:val="19"/>
        </w:rPr>
        <w:t>O</w:t>
      </w:r>
      <w:r>
        <w:rPr>
          <w:rFonts w:ascii="Times New Roman" w:hAnsi="Times New Roman"/>
          <w:spacing w:val="-5"/>
          <w:sz w:val="19"/>
        </w:rPr>
        <w:t> </w:t>
      </w:r>
      <w:r>
        <w:rPr>
          <w:rFonts w:ascii="Times New Roman" w:hAnsi="Times New Roman"/>
          <w:i/>
          <w:w w:val="123"/>
          <w:position w:val="-4"/>
          <w:sz w:val="11"/>
        </w:rPr>
        <w:t>j</w:t>
      </w:r>
      <w:r>
        <w:rPr>
          <w:rFonts w:ascii="Times New Roman" w:hAnsi="Times New Roman"/>
          <w:i/>
          <w:position w:val="-4"/>
          <w:sz w:val="11"/>
        </w:rPr>
        <w:tab/>
      </w:r>
      <w:r>
        <w:rPr>
          <w:rFonts w:ascii="Times New Roman" w:hAnsi="Times New Roman"/>
          <w:spacing w:val="-10"/>
          <w:w w:val="122"/>
          <w:sz w:val="19"/>
        </w:rPr>
        <w:t>D</w:t>
      </w:r>
      <w:r>
        <w:rPr>
          <w:rFonts w:ascii="Times New Roman" w:hAnsi="Times New Roman"/>
          <w:w w:val="122"/>
          <w:sz w:val="19"/>
        </w:rPr>
        <w:t>O</w:t>
      </w:r>
      <w:r>
        <w:rPr>
          <w:rFonts w:ascii="Times New Roman" w:hAnsi="Times New Roman"/>
          <w:spacing w:val="-5"/>
          <w:sz w:val="19"/>
        </w:rPr>
        <w:t> </w:t>
      </w:r>
      <w:r>
        <w:rPr>
          <w:rFonts w:ascii="Times New Roman" w:hAnsi="Times New Roman"/>
          <w:i/>
          <w:w w:val="123"/>
          <w:position w:val="-4"/>
          <w:sz w:val="11"/>
        </w:rPr>
        <w:t>j</w:t>
      </w:r>
      <w:r>
        <w:rPr>
          <w:rFonts w:ascii="Times New Roman" w:hAnsi="Times New Roman"/>
          <w:i/>
          <w:position w:val="-4"/>
          <w:sz w:val="11"/>
        </w:rPr>
        <w:t>  </w:t>
      </w:r>
      <w:r>
        <w:rPr>
          <w:rFonts w:ascii="Times New Roman" w:hAnsi="Times New Roman"/>
          <w:i/>
          <w:spacing w:val="4"/>
          <w:position w:val="-4"/>
          <w:sz w:val="11"/>
        </w:rPr>
        <w:t> </w:t>
      </w:r>
      <w:r>
        <w:rPr>
          <w:rFonts w:ascii="Symbol" w:hAnsi="Symbol"/>
          <w:w w:val="122"/>
          <w:sz w:val="19"/>
        </w:rPr>
        <w:t></w:t>
      </w:r>
      <w:r>
        <w:rPr>
          <w:rFonts w:ascii="Times New Roman" w:hAnsi="Times New Roman"/>
          <w:spacing w:val="10"/>
          <w:sz w:val="19"/>
        </w:rPr>
        <w:t> </w:t>
      </w:r>
      <w:r>
        <w:rPr>
          <w:rFonts w:ascii="Times New Roman" w:hAnsi="Times New Roman"/>
          <w:spacing w:val="-10"/>
          <w:w w:val="122"/>
          <w:sz w:val="19"/>
        </w:rPr>
        <w:t>D</w:t>
      </w:r>
      <w:r>
        <w:rPr>
          <w:rFonts w:ascii="Times New Roman" w:hAnsi="Times New Roman"/>
          <w:spacing w:val="15"/>
          <w:w w:val="122"/>
          <w:sz w:val="19"/>
        </w:rPr>
        <w:t>O</w:t>
      </w:r>
      <w:r>
        <w:rPr>
          <w:rFonts w:ascii="Times New Roman" w:hAnsi="Times New Roman"/>
          <w:w w:val="123"/>
          <w:position w:val="-4"/>
          <w:sz w:val="11"/>
        </w:rPr>
        <w:t>f</w:t>
      </w:r>
    </w:p>
    <w:p>
      <w:pPr>
        <w:pStyle w:val="BodyText"/>
        <w:spacing w:before="9"/>
        <w:ind w:left="0"/>
        <w:rPr>
          <w:rFonts w:ascii="Times New Roman"/>
          <w:sz w:val="14"/>
        </w:rPr>
      </w:pPr>
    </w:p>
    <w:p>
      <w:pPr>
        <w:tabs>
          <w:tab w:pos="3852" w:val="left" w:leader="none"/>
        </w:tabs>
        <w:spacing w:line="163" w:lineRule="exact" w:before="98"/>
        <w:ind w:left="3228" w:right="0" w:firstLine="0"/>
        <w:jc w:val="left"/>
        <w:rPr>
          <w:rFonts w:ascii="Times New Roman" w:hAnsi="Times New Roman"/>
          <w:sz w:val="21"/>
        </w:rPr>
      </w:pPr>
      <w:r>
        <w:rPr>
          <w:rFonts w:ascii="Times New Roman" w:hAnsi="Times New Roman"/>
          <w:i/>
          <w:w w:val="115"/>
          <w:position w:val="-15"/>
          <w:sz w:val="21"/>
        </w:rPr>
        <w:t>S</w:t>
        <w:tab/>
      </w:r>
      <w:r>
        <w:rPr>
          <w:rFonts w:ascii="Times New Roman" w:hAnsi="Times New Roman"/>
          <w:w w:val="115"/>
          <w:sz w:val="21"/>
        </w:rPr>
        <w:t>| DO</w:t>
      </w:r>
      <w:r>
        <w:rPr>
          <w:rFonts w:ascii="Times New Roman" w:hAnsi="Times New Roman"/>
          <w:w w:val="115"/>
          <w:position w:val="-4"/>
          <w:sz w:val="12"/>
        </w:rPr>
        <w:t>f </w:t>
      </w:r>
      <w:r>
        <w:rPr>
          <w:rFonts w:ascii="Symbol" w:hAnsi="Symbol"/>
          <w:w w:val="115"/>
          <w:sz w:val="21"/>
        </w:rPr>
        <w:t></w:t>
      </w:r>
      <w:r>
        <w:rPr>
          <w:rFonts w:ascii="Times New Roman" w:hAnsi="Times New Roman"/>
          <w:w w:val="115"/>
          <w:sz w:val="21"/>
        </w:rPr>
        <w:t> </w:t>
      </w:r>
      <w:r>
        <w:rPr>
          <w:rFonts w:ascii="Times New Roman" w:hAnsi="Times New Roman"/>
          <w:spacing w:val="-6"/>
          <w:w w:val="115"/>
          <w:sz w:val="21"/>
        </w:rPr>
        <w:t>DO </w:t>
      </w:r>
      <w:r>
        <w:rPr>
          <w:rFonts w:ascii="Times New Roman" w:hAnsi="Times New Roman"/>
          <w:i/>
          <w:w w:val="115"/>
          <w:position w:val="-4"/>
          <w:sz w:val="12"/>
        </w:rPr>
        <w:t>j</w:t>
      </w:r>
      <w:r>
        <w:rPr>
          <w:rFonts w:ascii="Times New Roman" w:hAnsi="Times New Roman"/>
          <w:i/>
          <w:spacing w:val="4"/>
          <w:w w:val="115"/>
          <w:position w:val="-4"/>
          <w:sz w:val="12"/>
        </w:rPr>
        <w:t> </w:t>
      </w:r>
      <w:r>
        <w:rPr>
          <w:rFonts w:ascii="Times New Roman" w:hAnsi="Times New Roman"/>
          <w:w w:val="115"/>
          <w:sz w:val="21"/>
        </w:rPr>
        <w:t>|</w:t>
      </w:r>
    </w:p>
    <w:p>
      <w:pPr>
        <w:pStyle w:val="BodyText"/>
        <w:spacing w:before="10"/>
        <w:ind w:left="0"/>
        <w:rPr>
          <w:rFonts w:ascii="Times New Roman"/>
          <w:sz w:val="9"/>
        </w:rPr>
      </w:pPr>
      <w:r>
        <w:rPr/>
        <w:pict>
          <v:line style="position:absolute;mso-position-horizontal-relative:page;mso-position-vertical-relative:paragraph;z-index:-251515904;mso-wrap-distance-left:0;mso-wrap-distance-right:0" from="244.538589pt,7.911259pt" to="308.336531pt,7.911268pt" stroked="true" strokeweight=".431807pt" strokecolor="#000000">
            <v:stroke dashstyle="solid"/>
            <w10:wrap type="topAndBottom"/>
          </v:line>
        </w:pict>
      </w:r>
    </w:p>
    <w:p>
      <w:pPr>
        <w:spacing w:after="0"/>
        <w:rPr>
          <w:rFonts w:ascii="Times New Roman"/>
          <w:sz w:val="9"/>
        </w:rPr>
        <w:sectPr>
          <w:type w:val="continuous"/>
          <w:pgSz w:w="11910" w:h="16840"/>
          <w:pgMar w:top="1400" w:bottom="1200" w:left="1040" w:right="1160"/>
        </w:sectPr>
      </w:pPr>
    </w:p>
    <w:p>
      <w:pPr>
        <w:spacing w:line="64" w:lineRule="exact" w:before="0"/>
        <w:ind w:left="0" w:right="0" w:firstLine="0"/>
        <w:jc w:val="right"/>
        <w:rPr>
          <w:rFonts w:ascii="Symbol" w:hAnsi="Symbol"/>
          <w:sz w:val="21"/>
        </w:rPr>
      </w:pPr>
      <w:r>
        <w:rPr>
          <w:rFonts w:ascii="Times New Roman" w:hAnsi="Times New Roman"/>
          <w:w w:val="120"/>
          <w:sz w:val="8"/>
        </w:rPr>
        <w:t>DO, </w:t>
      </w:r>
      <w:r>
        <w:rPr>
          <w:rFonts w:ascii="Times New Roman" w:hAnsi="Times New Roman"/>
          <w:i/>
          <w:w w:val="120"/>
          <w:sz w:val="8"/>
        </w:rPr>
        <w:t>j </w:t>
      </w:r>
      <w:r>
        <w:rPr>
          <w:rFonts w:ascii="Symbol" w:hAnsi="Symbol"/>
          <w:w w:val="120"/>
          <w:sz w:val="21"/>
        </w:rPr>
        <w:t></w:t>
      </w:r>
    </w:p>
    <w:p>
      <w:pPr>
        <w:spacing w:line="258" w:lineRule="exact" w:before="0"/>
        <w:ind w:left="121" w:right="0" w:firstLine="0"/>
        <w:jc w:val="left"/>
        <w:rPr>
          <w:rFonts w:ascii="Times New Roman"/>
          <w:sz w:val="12"/>
        </w:rPr>
      </w:pPr>
      <w:r>
        <w:rPr/>
        <w:br w:type="column"/>
      </w:r>
      <w:r>
        <w:rPr>
          <w:rFonts w:ascii="Times New Roman"/>
          <w:w w:val="110"/>
          <w:sz w:val="21"/>
        </w:rPr>
        <w:t>DO</w:t>
      </w:r>
      <w:r>
        <w:rPr>
          <w:rFonts w:ascii="Times New Roman"/>
          <w:w w:val="110"/>
          <w:position w:val="-4"/>
          <w:sz w:val="12"/>
        </w:rPr>
        <w:t>f</w:t>
      </w:r>
    </w:p>
    <w:p>
      <w:pPr>
        <w:pStyle w:val="ListParagraph"/>
        <w:numPr>
          <w:ilvl w:val="0"/>
          <w:numId w:val="57"/>
        </w:numPr>
        <w:tabs>
          <w:tab w:pos="213" w:val="left" w:leader="none"/>
        </w:tabs>
        <w:spacing w:line="258" w:lineRule="exact" w:before="0" w:after="0"/>
        <w:ind w:left="212" w:right="0" w:hanging="167"/>
        <w:jc w:val="left"/>
        <w:rPr>
          <w:rFonts w:ascii="Times New Roman" w:hAnsi="Times New Roman"/>
          <w:sz w:val="12"/>
        </w:rPr>
      </w:pPr>
      <w:r>
        <w:rPr>
          <w:rFonts w:ascii="Times New Roman" w:hAnsi="Times New Roman"/>
          <w:spacing w:val="-19"/>
          <w:w w:val="112"/>
          <w:sz w:val="21"/>
        </w:rPr>
        <w:br w:type="column"/>
      </w:r>
      <w:r>
        <w:rPr>
          <w:rFonts w:ascii="Times New Roman" w:hAnsi="Times New Roman"/>
          <w:spacing w:val="-7"/>
          <w:w w:val="115"/>
          <w:sz w:val="21"/>
        </w:rPr>
        <w:t>DO</w:t>
      </w:r>
      <w:r>
        <w:rPr>
          <w:rFonts w:ascii="Times New Roman" w:hAnsi="Times New Roman"/>
          <w:spacing w:val="-7"/>
          <w:w w:val="115"/>
          <w:position w:val="-4"/>
          <w:sz w:val="12"/>
        </w:rPr>
        <w:t>s</w:t>
      </w:r>
    </w:p>
    <w:p>
      <w:pPr>
        <w:spacing w:line="19" w:lineRule="auto" w:before="0"/>
        <w:ind w:left="767" w:right="0" w:firstLine="0"/>
        <w:jc w:val="left"/>
        <w:rPr>
          <w:rFonts w:ascii="Times New Roman" w:hAnsi="Times New Roman"/>
          <w:sz w:val="12"/>
        </w:rPr>
      </w:pPr>
      <w:r>
        <w:rPr/>
        <w:br w:type="column"/>
      </w:r>
      <w:r>
        <w:rPr>
          <w:rFonts w:ascii="Times New Roman" w:hAnsi="Times New Roman"/>
          <w:w w:val="115"/>
          <w:sz w:val="21"/>
        </w:rPr>
        <w:t>DO </w:t>
      </w:r>
      <w:r>
        <w:rPr>
          <w:rFonts w:ascii="Times New Roman" w:hAnsi="Times New Roman"/>
          <w:i/>
          <w:w w:val="115"/>
          <w:position w:val="-4"/>
          <w:sz w:val="12"/>
        </w:rPr>
        <w:t>j </w:t>
      </w:r>
      <w:r>
        <w:rPr>
          <w:rFonts w:ascii="Symbol" w:hAnsi="Symbol"/>
          <w:w w:val="115"/>
          <w:sz w:val="21"/>
        </w:rPr>
        <w:t></w:t>
      </w:r>
      <w:r>
        <w:rPr>
          <w:rFonts w:ascii="Times New Roman" w:hAnsi="Times New Roman"/>
          <w:w w:val="115"/>
          <w:sz w:val="21"/>
        </w:rPr>
        <w:t> DO</w:t>
      </w:r>
      <w:r>
        <w:rPr>
          <w:rFonts w:ascii="Times New Roman" w:hAnsi="Times New Roman"/>
          <w:w w:val="115"/>
          <w:position w:val="-4"/>
          <w:sz w:val="12"/>
        </w:rPr>
        <w:t>f</w:t>
      </w:r>
    </w:p>
    <w:p>
      <w:pPr>
        <w:spacing w:after="0" w:line="19" w:lineRule="auto"/>
        <w:jc w:val="left"/>
        <w:rPr>
          <w:rFonts w:ascii="Times New Roman" w:hAnsi="Times New Roman"/>
          <w:sz w:val="12"/>
        </w:rPr>
        <w:sectPr>
          <w:type w:val="continuous"/>
          <w:pgSz w:w="11910" w:h="16840"/>
          <w:pgMar w:top="1400" w:bottom="1200" w:left="1040" w:right="1160"/>
          <w:cols w:num="4" w:equalWidth="0">
            <w:col w:w="3794" w:space="40"/>
            <w:col w:w="515" w:space="39"/>
            <w:col w:w="612" w:space="39"/>
            <w:col w:w="4671"/>
          </w:cols>
        </w:sectPr>
      </w:pPr>
    </w:p>
    <w:p>
      <w:pPr>
        <w:pStyle w:val="BodyText"/>
        <w:spacing w:before="4"/>
        <w:ind w:left="0"/>
        <w:rPr>
          <w:rFonts w:ascii="Times New Roman"/>
          <w:sz w:val="15"/>
        </w:rPr>
      </w:pPr>
    </w:p>
    <w:p>
      <w:pPr>
        <w:pStyle w:val="BodyText"/>
        <w:spacing w:before="81"/>
        <w:ind w:left="717"/>
      </w:pPr>
      <w:r>
        <w:rPr/>
        <w:t>式中：</w:t>
      </w:r>
      <w:r>
        <w:rPr>
          <w:rFonts w:ascii="Times New Roman" w:hAnsi="Times New Roman" w:eastAsia="Times New Roman"/>
          <w:i/>
          <w:position w:val="1"/>
        </w:rPr>
        <w:t>S</w:t>
      </w:r>
      <w:r>
        <w:rPr>
          <w:rFonts w:ascii="Times New Roman" w:hAnsi="Times New Roman" w:eastAsia="Times New Roman"/>
          <w:i/>
          <w:position w:val="1"/>
          <w:vertAlign w:val="subscript"/>
        </w:rPr>
        <w:t>DO</w:t>
      </w:r>
      <w:r>
        <w:rPr>
          <w:i/>
          <w:position w:val="-2"/>
          <w:sz w:val="12"/>
          <w:vertAlign w:val="baseline"/>
        </w:rPr>
        <w:t>，</w:t>
      </w:r>
      <w:r>
        <w:rPr>
          <w:rFonts w:ascii="Times New Roman" w:hAnsi="Times New Roman" w:eastAsia="Times New Roman"/>
          <w:i/>
          <w:position w:val="-1"/>
          <w:sz w:val="16"/>
          <w:vertAlign w:val="baseline"/>
        </w:rPr>
        <w:t>j</w:t>
      </w:r>
      <w:r>
        <w:rPr>
          <w:rFonts w:ascii="Times New Roman" w:hAnsi="Times New Roman" w:eastAsia="Times New Roman"/>
          <w:position w:val="1"/>
          <w:vertAlign w:val="baseline"/>
        </w:rPr>
        <w:t>——</w:t>
      </w:r>
      <w:r>
        <w:rPr>
          <w:vertAlign w:val="baseline"/>
        </w:rPr>
        <w:t>溶解氧的标准指数，大于 </w:t>
      </w:r>
      <w:r>
        <w:rPr>
          <w:rFonts w:ascii="Times New Roman" w:hAnsi="Times New Roman" w:eastAsia="Times New Roman"/>
          <w:position w:val="1"/>
          <w:vertAlign w:val="baseline"/>
        </w:rPr>
        <w:t>1 </w:t>
      </w:r>
      <w:r>
        <w:rPr>
          <w:vertAlign w:val="baseline"/>
        </w:rPr>
        <w:t>表明该水质因子超标；</w:t>
      </w:r>
    </w:p>
    <w:p>
      <w:pPr>
        <w:pStyle w:val="BodyText"/>
        <w:spacing w:before="143"/>
        <w:ind w:left="1437"/>
      </w:pPr>
      <w:r>
        <w:rPr>
          <w:rFonts w:ascii="Times New Roman" w:hAnsi="Times New Roman" w:eastAsia="Times New Roman"/>
          <w:position w:val="2"/>
        </w:rPr>
        <w:t>DO</w:t>
      </w:r>
      <w:r>
        <w:rPr>
          <w:rFonts w:ascii="Times New Roman" w:hAnsi="Times New Roman" w:eastAsia="Times New Roman"/>
          <w:i/>
          <w:sz w:val="16"/>
        </w:rPr>
        <w:t>j</w:t>
      </w:r>
      <w:r>
        <w:rPr>
          <w:rFonts w:ascii="Times New Roman" w:hAnsi="Times New Roman" w:eastAsia="Times New Roman"/>
          <w:position w:val="2"/>
        </w:rPr>
        <w:t>——</w:t>
      </w:r>
      <w:r>
        <w:rPr>
          <w:position w:val="2"/>
        </w:rPr>
        <w:t>溶解氧在 </w:t>
      </w:r>
      <w:r>
        <w:rPr>
          <w:rFonts w:ascii="Times New Roman" w:hAnsi="Times New Roman" w:eastAsia="Times New Roman"/>
          <w:i/>
          <w:position w:val="5"/>
        </w:rPr>
        <w:t>j </w:t>
      </w:r>
      <w:r>
        <w:rPr>
          <w:position w:val="2"/>
        </w:rPr>
        <w:t>点的实测统计代表值，</w:t>
      </w:r>
      <w:r>
        <w:rPr>
          <w:rFonts w:ascii="Times New Roman" w:hAnsi="Times New Roman" w:eastAsia="Times New Roman"/>
          <w:position w:val="2"/>
        </w:rPr>
        <w:t>mg/L</w:t>
      </w:r>
      <w:r>
        <w:rPr>
          <w:position w:val="2"/>
        </w:rPr>
        <w:t>；</w:t>
      </w:r>
    </w:p>
    <w:p>
      <w:pPr>
        <w:pStyle w:val="BodyText"/>
        <w:spacing w:before="161"/>
        <w:ind w:left="1437"/>
      </w:pPr>
      <w:r>
        <w:rPr>
          <w:rFonts w:ascii="Times New Roman" w:hAnsi="Times New Roman" w:eastAsia="Times New Roman"/>
          <w:position w:val="2"/>
        </w:rPr>
        <w:t>DO</w:t>
      </w:r>
      <w:r>
        <w:rPr>
          <w:rFonts w:ascii="Times New Roman" w:hAnsi="Times New Roman" w:eastAsia="Times New Roman"/>
          <w:i/>
          <w:sz w:val="16"/>
        </w:rPr>
        <w:t>s</w:t>
      </w:r>
      <w:r>
        <w:rPr>
          <w:rFonts w:ascii="Times New Roman" w:hAnsi="Times New Roman" w:eastAsia="Times New Roman"/>
          <w:position w:val="2"/>
        </w:rPr>
        <w:t>——</w:t>
      </w:r>
      <w:r>
        <w:rPr>
          <w:position w:val="2"/>
        </w:rPr>
        <w:t>溶解氧的水质评价标准限值，</w:t>
      </w:r>
      <w:r>
        <w:rPr>
          <w:rFonts w:ascii="Times New Roman" w:hAnsi="Times New Roman" w:eastAsia="Times New Roman"/>
          <w:position w:val="2"/>
        </w:rPr>
        <w:t>mg/L</w:t>
      </w:r>
      <w:r>
        <w:rPr>
          <w:position w:val="2"/>
        </w:rPr>
        <w:t>；</w:t>
      </w:r>
    </w:p>
    <w:p>
      <w:pPr>
        <w:spacing w:line="304" w:lineRule="auto" w:before="103"/>
        <w:ind w:left="1074" w:right="247" w:firstLine="360"/>
        <w:jc w:val="left"/>
        <w:rPr>
          <w:sz w:val="24"/>
        </w:rPr>
      </w:pPr>
      <w:r>
        <w:rPr>
          <w:rFonts w:ascii="Times New Roman" w:hAnsi="Times New Roman" w:eastAsia="Times New Roman"/>
          <w:position w:val="1"/>
          <w:sz w:val="24"/>
        </w:rPr>
        <w:t>DO</w:t>
      </w:r>
      <w:r>
        <w:rPr>
          <w:rFonts w:ascii="Times New Roman" w:hAnsi="Times New Roman" w:eastAsia="Times New Roman"/>
          <w:i/>
          <w:position w:val="1"/>
          <w:sz w:val="24"/>
          <w:vertAlign w:val="subscript"/>
        </w:rPr>
        <w:t>f</w:t>
      </w:r>
      <w:r>
        <w:rPr>
          <w:rFonts w:ascii="Times New Roman" w:hAnsi="Times New Roman" w:eastAsia="Times New Roman"/>
          <w:position w:val="1"/>
          <w:sz w:val="24"/>
          <w:vertAlign w:val="baseline"/>
        </w:rPr>
        <w:t>——</w:t>
      </w:r>
      <w:r>
        <w:rPr>
          <w:sz w:val="24"/>
          <w:vertAlign w:val="baseline"/>
        </w:rPr>
        <w:t>饱和溶解氧浓度，</w:t>
      </w:r>
      <w:r>
        <w:rPr>
          <w:rFonts w:ascii="Times New Roman" w:hAnsi="Times New Roman" w:eastAsia="Times New Roman"/>
          <w:position w:val="1"/>
          <w:sz w:val="24"/>
          <w:vertAlign w:val="baseline"/>
        </w:rPr>
        <w:t>mg/L</w:t>
      </w:r>
      <w:r>
        <w:rPr>
          <w:sz w:val="24"/>
          <w:vertAlign w:val="baseline"/>
        </w:rPr>
        <w:t>，对于河流， </w:t>
      </w:r>
      <w:r>
        <w:rPr>
          <w:rFonts w:ascii="Times New Roman" w:hAnsi="Times New Roman" w:eastAsia="Times New Roman"/>
          <w:position w:val="2"/>
          <w:sz w:val="21"/>
          <w:vertAlign w:val="baseline"/>
        </w:rPr>
        <w:t>DO</w:t>
      </w:r>
      <w:r>
        <w:rPr>
          <w:rFonts w:ascii="Times New Roman" w:hAnsi="Times New Roman" w:eastAsia="Times New Roman"/>
          <w:position w:val="-2"/>
          <w:sz w:val="12"/>
          <w:vertAlign w:val="baseline"/>
        </w:rPr>
        <w:t>f </w:t>
      </w:r>
      <w:r>
        <w:rPr>
          <w:rFonts w:ascii="Symbol" w:hAnsi="Symbol" w:eastAsia="Symbol"/>
          <w:position w:val="2"/>
          <w:sz w:val="21"/>
          <w:vertAlign w:val="baseline"/>
        </w:rPr>
        <w:t></w:t>
      </w:r>
      <w:r>
        <w:rPr>
          <w:rFonts w:ascii="Times New Roman" w:hAnsi="Times New Roman" w:eastAsia="Times New Roman"/>
          <w:position w:val="2"/>
          <w:sz w:val="21"/>
          <w:vertAlign w:val="baseline"/>
        </w:rPr>
        <w:t> 468/</w:t>
      </w:r>
      <w:r>
        <w:rPr>
          <w:rFonts w:ascii="Symbol" w:hAnsi="Symbol" w:eastAsia="Symbol"/>
          <w:position w:val="2"/>
          <w:sz w:val="28"/>
          <w:vertAlign w:val="baseline"/>
        </w:rPr>
        <w:t></w:t>
      </w:r>
      <w:r>
        <w:rPr>
          <w:rFonts w:ascii="Times New Roman" w:hAnsi="Times New Roman" w:eastAsia="Times New Roman"/>
          <w:position w:val="2"/>
          <w:sz w:val="21"/>
          <w:vertAlign w:val="baseline"/>
        </w:rPr>
        <w:t>31.6 </w:t>
      </w:r>
      <w:r>
        <w:rPr>
          <w:rFonts w:ascii="Symbol" w:hAnsi="Symbol" w:eastAsia="Symbol"/>
          <w:position w:val="2"/>
          <w:sz w:val="21"/>
          <w:vertAlign w:val="baseline"/>
        </w:rPr>
        <w:t></w:t>
      </w:r>
      <w:r>
        <w:rPr>
          <w:rFonts w:ascii="Times New Roman" w:hAnsi="Times New Roman" w:eastAsia="Times New Roman"/>
          <w:position w:val="2"/>
          <w:sz w:val="21"/>
          <w:vertAlign w:val="baseline"/>
        </w:rPr>
        <w:t> </w:t>
      </w:r>
      <w:r>
        <w:rPr>
          <w:rFonts w:ascii="Times New Roman" w:hAnsi="Times New Roman" w:eastAsia="Times New Roman"/>
          <w:i/>
          <w:position w:val="2"/>
          <w:sz w:val="21"/>
          <w:vertAlign w:val="baseline"/>
        </w:rPr>
        <w:t>T </w:t>
      </w:r>
      <w:r>
        <w:rPr>
          <w:rFonts w:ascii="Symbol" w:hAnsi="Symbol" w:eastAsia="Symbol"/>
          <w:position w:val="2"/>
          <w:sz w:val="28"/>
          <w:vertAlign w:val="baseline"/>
        </w:rPr>
        <w:t></w:t>
      </w:r>
      <w:r>
        <w:rPr>
          <w:sz w:val="24"/>
          <w:vertAlign w:val="baseline"/>
        </w:rPr>
        <w:t>；对于盐度</w:t>
      </w:r>
      <w:r>
        <w:rPr>
          <w:position w:val="-1"/>
          <w:sz w:val="24"/>
          <w:vertAlign w:val="baseline"/>
        </w:rPr>
        <w:t>比较高的泊、水库及入海河口、近岸海域， </w:t>
      </w:r>
      <w:r>
        <w:rPr>
          <w:rFonts w:ascii="Times New Roman" w:hAnsi="Times New Roman" w:eastAsia="Times New Roman"/>
          <w:sz w:val="21"/>
          <w:vertAlign w:val="baseline"/>
        </w:rPr>
        <w:t>DO</w:t>
      </w:r>
      <w:r>
        <w:rPr>
          <w:rFonts w:ascii="Times New Roman" w:hAnsi="Times New Roman" w:eastAsia="Times New Roman"/>
          <w:position w:val="-4"/>
          <w:sz w:val="12"/>
          <w:vertAlign w:val="baseline"/>
        </w:rPr>
        <w:t>f </w:t>
      </w:r>
      <w:r>
        <w:rPr>
          <w:rFonts w:ascii="Symbol" w:hAnsi="Symbol" w:eastAsia="Symbol"/>
          <w:sz w:val="21"/>
          <w:vertAlign w:val="baseline"/>
        </w:rPr>
        <w:t></w:t>
      </w:r>
      <w:r>
        <w:rPr>
          <w:rFonts w:ascii="Times New Roman" w:hAnsi="Times New Roman" w:eastAsia="Times New Roman"/>
          <w:sz w:val="21"/>
          <w:vertAlign w:val="baseline"/>
        </w:rPr>
        <w:t> </w:t>
      </w:r>
      <w:r>
        <w:rPr>
          <w:rFonts w:ascii="Symbol" w:hAnsi="Symbol" w:eastAsia="Symbol"/>
          <w:sz w:val="28"/>
          <w:vertAlign w:val="baseline"/>
        </w:rPr>
        <w:t></w:t>
      </w:r>
      <w:r>
        <w:rPr>
          <w:rFonts w:ascii="Times New Roman" w:hAnsi="Times New Roman" w:eastAsia="Times New Roman"/>
          <w:sz w:val="21"/>
          <w:vertAlign w:val="baseline"/>
        </w:rPr>
        <w:t>491</w:t>
      </w:r>
      <w:r>
        <w:rPr>
          <w:rFonts w:ascii="Symbol" w:hAnsi="Symbol" w:eastAsia="Symbol"/>
          <w:sz w:val="21"/>
          <w:vertAlign w:val="baseline"/>
        </w:rPr>
        <w:t></w:t>
      </w:r>
      <w:r>
        <w:rPr>
          <w:rFonts w:ascii="Times New Roman" w:hAnsi="Times New Roman" w:eastAsia="Times New Roman"/>
          <w:sz w:val="21"/>
          <w:vertAlign w:val="baseline"/>
        </w:rPr>
        <w:t> 2.65</w:t>
      </w:r>
      <w:r>
        <w:rPr>
          <w:rFonts w:ascii="Times New Roman" w:hAnsi="Times New Roman" w:eastAsia="Times New Roman"/>
          <w:i/>
          <w:sz w:val="21"/>
          <w:vertAlign w:val="baseline"/>
        </w:rPr>
        <w:t>S</w:t>
      </w:r>
      <w:r>
        <w:rPr>
          <w:rFonts w:ascii="Symbol" w:hAnsi="Symbol" w:eastAsia="Symbol"/>
          <w:sz w:val="28"/>
          <w:vertAlign w:val="baseline"/>
        </w:rPr>
        <w:t></w:t>
      </w:r>
      <w:r>
        <w:rPr>
          <w:rFonts w:ascii="Times New Roman" w:hAnsi="Times New Roman" w:eastAsia="Times New Roman"/>
          <w:sz w:val="21"/>
          <w:vertAlign w:val="baseline"/>
        </w:rPr>
        <w:t>/</w:t>
      </w:r>
      <w:r>
        <w:rPr>
          <w:rFonts w:ascii="Symbol" w:hAnsi="Symbol" w:eastAsia="Symbol"/>
          <w:sz w:val="28"/>
          <w:vertAlign w:val="baseline"/>
        </w:rPr>
        <w:t></w:t>
      </w:r>
      <w:r>
        <w:rPr>
          <w:rFonts w:ascii="Times New Roman" w:hAnsi="Times New Roman" w:eastAsia="Times New Roman"/>
          <w:sz w:val="21"/>
          <w:vertAlign w:val="baseline"/>
        </w:rPr>
        <w:t>33.5 </w:t>
      </w:r>
      <w:r>
        <w:rPr>
          <w:rFonts w:ascii="Symbol" w:hAnsi="Symbol" w:eastAsia="Symbol"/>
          <w:sz w:val="21"/>
          <w:vertAlign w:val="baseline"/>
        </w:rPr>
        <w:t></w:t>
      </w:r>
      <w:r>
        <w:rPr>
          <w:rFonts w:ascii="Times New Roman" w:hAnsi="Times New Roman" w:eastAsia="Times New Roman"/>
          <w:sz w:val="21"/>
          <w:vertAlign w:val="baseline"/>
        </w:rPr>
        <w:t> </w:t>
      </w:r>
      <w:r>
        <w:rPr>
          <w:rFonts w:ascii="Times New Roman" w:hAnsi="Times New Roman" w:eastAsia="Times New Roman"/>
          <w:i/>
          <w:sz w:val="21"/>
          <w:vertAlign w:val="baseline"/>
        </w:rPr>
        <w:t>T </w:t>
      </w:r>
      <w:r>
        <w:rPr>
          <w:rFonts w:ascii="Symbol" w:hAnsi="Symbol" w:eastAsia="Symbol"/>
          <w:sz w:val="28"/>
          <w:vertAlign w:val="baseline"/>
        </w:rPr>
        <w:t></w:t>
      </w:r>
      <w:r>
        <w:rPr>
          <w:position w:val="-1"/>
          <w:sz w:val="24"/>
          <w:vertAlign w:val="baseline"/>
        </w:rPr>
        <w:t>；</w:t>
      </w:r>
    </w:p>
    <w:p>
      <w:pPr>
        <w:pStyle w:val="BodyText"/>
        <w:spacing w:before="73"/>
        <w:ind w:left="1476"/>
      </w:pPr>
      <w:r>
        <w:rPr>
          <w:rFonts w:ascii="Times New Roman" w:hAnsi="Times New Roman" w:eastAsia="Times New Roman"/>
          <w:i/>
          <w:sz w:val="26"/>
        </w:rPr>
        <w:t>S </w:t>
      </w:r>
      <w:r>
        <w:rPr>
          <w:rFonts w:ascii="Times New Roman" w:hAnsi="Times New Roman" w:eastAsia="Times New Roman"/>
          <w:position w:val="1"/>
        </w:rPr>
        <w:t>——</w:t>
      </w:r>
      <w:r>
        <w:rPr/>
        <w:t>实用盐度符号，量纲一；</w:t>
      </w:r>
    </w:p>
    <w:p>
      <w:pPr>
        <w:spacing w:before="159"/>
        <w:ind w:left="1458" w:right="0" w:firstLine="0"/>
        <w:jc w:val="left"/>
        <w:rPr>
          <w:sz w:val="24"/>
        </w:rPr>
      </w:pPr>
      <w:r>
        <w:rPr>
          <w:rFonts w:ascii="Times New Roman" w:hAnsi="Times New Roman" w:eastAsia="Times New Roman"/>
          <w:i/>
          <w:position w:val="2"/>
          <w:sz w:val="18"/>
        </w:rPr>
        <w:t>T </w:t>
      </w:r>
      <w:r>
        <w:rPr>
          <w:rFonts w:ascii="Times New Roman" w:hAnsi="Times New Roman" w:eastAsia="Times New Roman"/>
          <w:position w:val="1"/>
          <w:sz w:val="24"/>
        </w:rPr>
        <w:t>——</w:t>
      </w:r>
      <w:r>
        <w:rPr>
          <w:sz w:val="24"/>
        </w:rPr>
        <w:t>水温，℃。</w:t>
      </w:r>
    </w:p>
    <w:p>
      <w:pPr>
        <w:pStyle w:val="BodyText"/>
        <w:spacing w:before="160"/>
        <w:ind w:left="700"/>
      </w:pPr>
      <w:r>
        <w:rPr>
          <w:spacing w:val="-15"/>
        </w:rPr>
        <w:t>当水质参数的标准指数大于 </w:t>
      </w:r>
      <w:r>
        <w:rPr>
          <w:rFonts w:ascii="Times New Roman" w:eastAsia="Times New Roman"/>
        </w:rPr>
        <w:t>1 </w:t>
      </w:r>
      <w:r>
        <w:rPr>
          <w:spacing w:val="-24"/>
        </w:rPr>
        <w:t>时，表明该水质参数超过了标准，已经不能满足使用要求。</w:t>
      </w:r>
    </w:p>
    <w:p>
      <w:pPr>
        <w:pStyle w:val="Heading3"/>
        <w:numPr>
          <w:ilvl w:val="0"/>
          <w:numId w:val="56"/>
        </w:numPr>
        <w:tabs>
          <w:tab w:pos="1292" w:val="left" w:leader="none"/>
        </w:tabs>
        <w:spacing w:line="240" w:lineRule="auto" w:before="161" w:after="0"/>
        <w:ind w:left="1291" w:right="0" w:hanging="590"/>
        <w:jc w:val="left"/>
      </w:pPr>
      <w:r>
        <w:rPr>
          <w:spacing w:val="-8"/>
        </w:rPr>
        <w:t>监测结果</w:t>
      </w:r>
    </w:p>
    <w:p>
      <w:pPr>
        <w:pStyle w:val="BodyText"/>
        <w:spacing w:before="160"/>
        <w:ind w:left="700"/>
      </w:pPr>
      <w:r>
        <w:rPr/>
        <w:t>项目周边地表水环境现状监测评价结果见表 </w:t>
      </w:r>
      <w:r>
        <w:rPr>
          <w:rFonts w:ascii="Times New Roman" w:eastAsia="Times New Roman"/>
        </w:rPr>
        <w:t>4.3-4</w:t>
      </w:r>
      <w:r>
        <w:rPr/>
        <w:t>。</w:t>
      </w:r>
    </w:p>
    <w:p>
      <w:pPr>
        <w:spacing w:after="0"/>
        <w:sectPr>
          <w:type w:val="continuous"/>
          <w:pgSz w:w="11910" w:h="16840"/>
          <w:pgMar w:top="1400" w:bottom="1200" w:left="1040" w:right="1160"/>
        </w:sectPr>
      </w:pPr>
    </w:p>
    <w:p>
      <w:pPr>
        <w:pStyle w:val="Heading3"/>
        <w:spacing w:before="92"/>
        <w:ind w:left="220" w:right="236"/>
        <w:jc w:val="center"/>
        <w:rPr>
          <w:rFonts w:ascii="Times New Roman" w:eastAsia="Times New Roman"/>
        </w:rPr>
      </w:pPr>
      <w:r>
        <w:rPr/>
        <w:t>表 </w:t>
      </w:r>
      <w:r>
        <w:rPr>
          <w:rFonts w:ascii="Times New Roman" w:eastAsia="Times New Roman"/>
        </w:rPr>
        <w:t>4.3-4  </w:t>
      </w:r>
      <w:r>
        <w:rPr/>
        <w:t>项目周边地表水环境现状监测评价结果 单位：</w:t>
      </w:r>
      <w:r>
        <w:rPr>
          <w:rFonts w:ascii="Times New Roman" w:eastAsia="Times New Roman"/>
        </w:rPr>
        <w:t>mg/L</w:t>
      </w:r>
    </w:p>
    <w:p>
      <w:pPr>
        <w:pStyle w:val="BodyText"/>
        <w:spacing w:before="9"/>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9"/>
        <w:gridCol w:w="1928"/>
        <w:gridCol w:w="1143"/>
        <w:gridCol w:w="1143"/>
        <w:gridCol w:w="1143"/>
        <w:gridCol w:w="870"/>
        <w:gridCol w:w="915"/>
        <w:gridCol w:w="918"/>
        <w:gridCol w:w="687"/>
      </w:tblGrid>
      <w:tr>
        <w:trPr>
          <w:trHeight w:val="359" w:hRule="atLeast"/>
        </w:trPr>
        <w:tc>
          <w:tcPr>
            <w:tcW w:w="689" w:type="dxa"/>
            <w:vMerge w:val="restart"/>
            <w:tcBorders>
              <w:bottom w:val="single" w:sz="6" w:space="0" w:color="000000"/>
              <w:right w:val="single" w:sz="6" w:space="0" w:color="000000"/>
            </w:tcBorders>
          </w:tcPr>
          <w:p>
            <w:pPr>
              <w:pStyle w:val="TableParagraph"/>
              <w:spacing w:before="53"/>
              <w:ind w:left="131"/>
              <w:jc w:val="left"/>
              <w:rPr>
                <w:rFonts w:ascii="宋体" w:eastAsia="宋体" w:hint="eastAsia"/>
                <w:b/>
                <w:sz w:val="21"/>
              </w:rPr>
            </w:pPr>
            <w:r>
              <w:rPr>
                <w:rFonts w:ascii="宋体" w:eastAsia="宋体" w:hint="eastAsia"/>
                <w:b/>
                <w:sz w:val="21"/>
              </w:rPr>
              <w:t>监测</w:t>
            </w:r>
          </w:p>
          <w:p>
            <w:pPr>
              <w:pStyle w:val="TableParagraph"/>
              <w:spacing w:before="89"/>
              <w:ind w:left="131"/>
              <w:jc w:val="left"/>
              <w:rPr>
                <w:rFonts w:ascii="宋体" w:eastAsia="宋体" w:hint="eastAsia"/>
                <w:b/>
                <w:sz w:val="21"/>
              </w:rPr>
            </w:pPr>
            <w:r>
              <w:rPr>
                <w:rFonts w:ascii="宋体" w:eastAsia="宋体" w:hint="eastAsia"/>
                <w:b/>
                <w:sz w:val="21"/>
              </w:rPr>
              <w:t>点位</w:t>
            </w:r>
          </w:p>
        </w:tc>
        <w:tc>
          <w:tcPr>
            <w:tcW w:w="1928" w:type="dxa"/>
            <w:vMerge w:val="restart"/>
            <w:tcBorders>
              <w:left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549"/>
              <w:jc w:val="left"/>
              <w:rPr>
                <w:rFonts w:ascii="宋体" w:eastAsia="宋体" w:hint="eastAsia"/>
                <w:b/>
                <w:sz w:val="21"/>
              </w:rPr>
            </w:pPr>
            <w:r>
              <w:rPr>
                <w:rFonts w:ascii="宋体" w:eastAsia="宋体" w:hint="eastAsia"/>
                <w:b/>
                <w:sz w:val="21"/>
              </w:rPr>
              <w:t>监测项目</w:t>
            </w:r>
          </w:p>
        </w:tc>
        <w:tc>
          <w:tcPr>
            <w:tcW w:w="3429" w:type="dxa"/>
            <w:gridSpan w:val="3"/>
            <w:tcBorders>
              <w:left w:val="single" w:sz="6" w:space="0" w:color="000000"/>
              <w:bottom w:val="single" w:sz="6" w:space="0" w:color="000000"/>
              <w:right w:val="single" w:sz="6" w:space="0" w:color="000000"/>
            </w:tcBorders>
          </w:tcPr>
          <w:p>
            <w:pPr>
              <w:pStyle w:val="TableParagraph"/>
              <w:spacing w:before="43"/>
              <w:ind w:left="1278" w:right="1252"/>
              <w:rPr>
                <w:rFonts w:ascii="宋体" w:eastAsia="宋体" w:hint="eastAsia"/>
                <w:b/>
                <w:sz w:val="21"/>
              </w:rPr>
            </w:pPr>
            <w:r>
              <w:rPr>
                <w:rFonts w:ascii="宋体" w:eastAsia="宋体" w:hint="eastAsia"/>
                <w:b/>
                <w:sz w:val="21"/>
              </w:rPr>
              <w:t>监测结果</w:t>
            </w:r>
          </w:p>
        </w:tc>
        <w:tc>
          <w:tcPr>
            <w:tcW w:w="870" w:type="dxa"/>
            <w:vMerge w:val="restart"/>
            <w:tcBorders>
              <w:left w:val="single" w:sz="6" w:space="0" w:color="000000"/>
              <w:bottom w:val="single" w:sz="6" w:space="0" w:color="000000"/>
              <w:right w:val="single" w:sz="6" w:space="0" w:color="000000"/>
            </w:tcBorders>
          </w:tcPr>
          <w:p>
            <w:pPr>
              <w:pStyle w:val="TableParagraph"/>
              <w:spacing w:before="53"/>
              <w:ind w:left="228"/>
              <w:jc w:val="left"/>
              <w:rPr>
                <w:rFonts w:ascii="宋体" w:hAnsi="宋体" w:eastAsia="宋体" w:hint="eastAsia"/>
                <w:b/>
                <w:sz w:val="21"/>
              </w:rPr>
            </w:pPr>
            <w:r>
              <w:rPr>
                <w:rFonts w:ascii="宋体" w:hAnsi="宋体" w:eastAsia="宋体" w:hint="eastAsia"/>
                <w:b/>
                <w:sz w:val="21"/>
              </w:rPr>
              <w:t>Ⅲ类</w:t>
            </w:r>
          </w:p>
          <w:p>
            <w:pPr>
              <w:pStyle w:val="TableParagraph"/>
              <w:spacing w:before="89"/>
              <w:ind w:left="228"/>
              <w:jc w:val="left"/>
              <w:rPr>
                <w:rFonts w:ascii="宋体" w:eastAsia="宋体" w:hint="eastAsia"/>
                <w:b/>
                <w:sz w:val="21"/>
              </w:rPr>
            </w:pPr>
            <w:r>
              <w:rPr>
                <w:rFonts w:ascii="宋体" w:eastAsia="宋体" w:hint="eastAsia"/>
                <w:b/>
                <w:sz w:val="21"/>
              </w:rPr>
              <w:t>标准</w:t>
            </w:r>
          </w:p>
        </w:tc>
        <w:tc>
          <w:tcPr>
            <w:tcW w:w="915" w:type="dxa"/>
            <w:vMerge w:val="restart"/>
            <w:tcBorders>
              <w:left w:val="single" w:sz="6" w:space="0" w:color="000000"/>
              <w:bottom w:val="single" w:sz="6" w:space="0" w:color="000000"/>
              <w:right w:val="single" w:sz="6" w:space="0" w:color="000000"/>
            </w:tcBorders>
          </w:tcPr>
          <w:p>
            <w:pPr>
              <w:pStyle w:val="TableParagraph"/>
              <w:spacing w:before="53"/>
              <w:ind w:left="249"/>
              <w:jc w:val="left"/>
              <w:rPr>
                <w:rFonts w:ascii="宋体" w:eastAsia="宋体" w:hint="eastAsia"/>
                <w:b/>
                <w:sz w:val="21"/>
              </w:rPr>
            </w:pPr>
            <w:r>
              <w:rPr>
                <w:rFonts w:ascii="宋体" w:eastAsia="宋体" w:hint="eastAsia"/>
                <w:b/>
                <w:sz w:val="21"/>
              </w:rPr>
              <w:t>最大</w:t>
            </w:r>
          </w:p>
          <w:p>
            <w:pPr>
              <w:pStyle w:val="TableParagraph"/>
              <w:spacing w:before="89"/>
              <w:ind w:left="143"/>
              <w:jc w:val="left"/>
              <w:rPr>
                <w:rFonts w:ascii="宋体" w:eastAsia="宋体" w:hint="eastAsia"/>
                <w:b/>
                <w:sz w:val="21"/>
              </w:rPr>
            </w:pPr>
            <w:r>
              <w:rPr>
                <w:rFonts w:ascii="宋体" w:eastAsia="宋体" w:hint="eastAsia"/>
                <w:b/>
                <w:sz w:val="21"/>
              </w:rPr>
              <w:t>比标值</w:t>
            </w:r>
          </w:p>
        </w:tc>
        <w:tc>
          <w:tcPr>
            <w:tcW w:w="918" w:type="dxa"/>
            <w:vMerge w:val="restart"/>
            <w:tcBorders>
              <w:left w:val="single" w:sz="6" w:space="0" w:color="000000"/>
              <w:bottom w:val="single" w:sz="6" w:space="0" w:color="000000"/>
              <w:right w:val="single" w:sz="6" w:space="0" w:color="000000"/>
            </w:tcBorders>
          </w:tcPr>
          <w:p>
            <w:pPr>
              <w:pStyle w:val="TableParagraph"/>
              <w:spacing w:before="53"/>
              <w:ind w:left="143"/>
              <w:jc w:val="left"/>
              <w:rPr>
                <w:rFonts w:ascii="宋体" w:eastAsia="宋体" w:hint="eastAsia"/>
                <w:b/>
                <w:sz w:val="21"/>
              </w:rPr>
            </w:pPr>
            <w:r>
              <w:rPr>
                <w:rFonts w:ascii="宋体" w:eastAsia="宋体" w:hint="eastAsia"/>
                <w:b/>
                <w:sz w:val="21"/>
              </w:rPr>
              <w:t>单项水</w:t>
            </w:r>
          </w:p>
          <w:p>
            <w:pPr>
              <w:pStyle w:val="TableParagraph"/>
              <w:spacing w:before="89"/>
              <w:ind w:left="143"/>
              <w:jc w:val="left"/>
              <w:rPr>
                <w:rFonts w:ascii="宋体" w:eastAsia="宋体" w:hint="eastAsia"/>
                <w:b/>
                <w:sz w:val="21"/>
              </w:rPr>
            </w:pPr>
            <w:r>
              <w:rPr>
                <w:rFonts w:ascii="宋体" w:eastAsia="宋体" w:hint="eastAsia"/>
                <w:b/>
                <w:sz w:val="21"/>
              </w:rPr>
              <w:t>质类别</w:t>
            </w:r>
          </w:p>
        </w:tc>
        <w:tc>
          <w:tcPr>
            <w:tcW w:w="687" w:type="dxa"/>
            <w:vMerge w:val="restart"/>
            <w:tcBorders>
              <w:left w:val="single" w:sz="6" w:space="0" w:color="000000"/>
              <w:bottom w:val="single" w:sz="6" w:space="0" w:color="000000"/>
            </w:tcBorders>
          </w:tcPr>
          <w:p>
            <w:pPr>
              <w:pStyle w:val="TableParagraph"/>
              <w:spacing w:before="53"/>
              <w:ind w:left="132"/>
              <w:jc w:val="left"/>
              <w:rPr>
                <w:rFonts w:ascii="宋体" w:eastAsia="宋体" w:hint="eastAsia"/>
                <w:b/>
                <w:sz w:val="21"/>
              </w:rPr>
            </w:pPr>
            <w:r>
              <w:rPr>
                <w:rFonts w:ascii="宋体" w:eastAsia="宋体" w:hint="eastAsia"/>
                <w:b/>
                <w:sz w:val="21"/>
              </w:rPr>
              <w:t>水质</w:t>
            </w:r>
          </w:p>
          <w:p>
            <w:pPr>
              <w:pStyle w:val="TableParagraph"/>
              <w:spacing w:before="89"/>
              <w:ind w:left="132"/>
              <w:jc w:val="left"/>
              <w:rPr>
                <w:rFonts w:ascii="宋体" w:eastAsia="宋体" w:hint="eastAsia"/>
                <w:b/>
                <w:sz w:val="21"/>
              </w:rPr>
            </w:pPr>
            <w:r>
              <w:rPr>
                <w:rFonts w:ascii="宋体" w:eastAsia="宋体" w:hint="eastAsia"/>
                <w:b/>
                <w:sz w:val="21"/>
              </w:rPr>
              <w:t>类别</w:t>
            </w:r>
          </w:p>
        </w:tc>
      </w:tr>
      <w:tr>
        <w:trPr>
          <w:trHeight w:val="359" w:hRule="atLeast"/>
        </w:trPr>
        <w:tc>
          <w:tcPr>
            <w:tcW w:w="689" w:type="dxa"/>
            <w:vMerge/>
            <w:tcBorders>
              <w:top w:val="nil"/>
              <w:bottom w:val="single" w:sz="6" w:space="0" w:color="000000"/>
              <w:right w:val="single" w:sz="6" w:space="0" w:color="000000"/>
            </w:tcBorders>
          </w:tcPr>
          <w:p>
            <w:pPr>
              <w:rPr>
                <w:sz w:val="2"/>
                <w:szCs w:val="2"/>
              </w:rPr>
            </w:pPr>
          </w:p>
        </w:tc>
        <w:tc>
          <w:tcPr>
            <w:tcW w:w="1928" w:type="dxa"/>
            <w:vMerge/>
            <w:tcBorders>
              <w:top w:val="nil"/>
              <w:left w:val="single" w:sz="6" w:space="0" w:color="000000"/>
              <w:bottom w:val="single" w:sz="6" w:space="0" w:color="000000"/>
              <w:right w:val="single" w:sz="6" w:space="0" w:color="000000"/>
            </w:tcBorders>
          </w:tcPr>
          <w:p>
            <w:pPr>
              <w:rPr>
                <w:sz w:val="2"/>
                <w:szCs w:val="2"/>
              </w:rPr>
            </w:pP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4"/>
              <w:ind w:left="152"/>
              <w:jc w:val="left"/>
              <w:rPr>
                <w:rFonts w:ascii="宋体" w:eastAsia="宋体" w:hint="eastAsia"/>
                <w:b/>
                <w:sz w:val="21"/>
              </w:rPr>
            </w:pPr>
            <w:r>
              <w:rPr>
                <w:rFonts w:ascii="宋体" w:eastAsia="宋体" w:hint="eastAsia"/>
                <w:b/>
                <w:sz w:val="21"/>
              </w:rPr>
              <w:t>最小浓度</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4"/>
              <w:ind w:left="133" w:right="107"/>
              <w:rPr>
                <w:rFonts w:ascii="宋体" w:eastAsia="宋体" w:hint="eastAsia"/>
                <w:b/>
                <w:sz w:val="21"/>
              </w:rPr>
            </w:pPr>
            <w:r>
              <w:rPr>
                <w:rFonts w:ascii="宋体" w:eastAsia="宋体" w:hint="eastAsia"/>
                <w:b/>
                <w:sz w:val="21"/>
              </w:rPr>
              <w:t>最大浓度</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4"/>
              <w:ind w:left="133" w:right="108"/>
              <w:rPr>
                <w:rFonts w:ascii="宋体" w:eastAsia="宋体" w:hint="eastAsia"/>
                <w:b/>
                <w:sz w:val="21"/>
              </w:rPr>
            </w:pPr>
            <w:r>
              <w:rPr>
                <w:rFonts w:ascii="宋体" w:eastAsia="宋体" w:hint="eastAsia"/>
                <w:b/>
                <w:sz w:val="21"/>
              </w:rPr>
              <w:t>平均浓度</w:t>
            </w:r>
          </w:p>
        </w:tc>
        <w:tc>
          <w:tcPr>
            <w:tcW w:w="870" w:type="dxa"/>
            <w:vMerge/>
            <w:tcBorders>
              <w:top w:val="nil"/>
              <w:left w:val="single" w:sz="6" w:space="0" w:color="000000"/>
              <w:bottom w:val="single" w:sz="6" w:space="0" w:color="000000"/>
              <w:right w:val="single" w:sz="6" w:space="0" w:color="000000"/>
            </w:tcBorders>
          </w:tcPr>
          <w:p>
            <w:pPr>
              <w:rPr>
                <w:sz w:val="2"/>
                <w:szCs w:val="2"/>
              </w:rPr>
            </w:pPr>
          </w:p>
        </w:tc>
        <w:tc>
          <w:tcPr>
            <w:tcW w:w="915" w:type="dxa"/>
            <w:vMerge/>
            <w:tcBorders>
              <w:top w:val="nil"/>
              <w:left w:val="single" w:sz="6" w:space="0" w:color="000000"/>
              <w:bottom w:val="single" w:sz="6" w:space="0" w:color="000000"/>
              <w:right w:val="single" w:sz="6" w:space="0" w:color="000000"/>
            </w:tcBorders>
          </w:tcPr>
          <w:p>
            <w:pPr>
              <w:rPr>
                <w:sz w:val="2"/>
                <w:szCs w:val="2"/>
              </w:rPr>
            </w:pPr>
          </w:p>
        </w:tc>
        <w:tc>
          <w:tcPr>
            <w:tcW w:w="918" w:type="dxa"/>
            <w:vMerge/>
            <w:tcBorders>
              <w:top w:val="nil"/>
              <w:left w:val="single" w:sz="6" w:space="0" w:color="000000"/>
              <w:bottom w:val="single" w:sz="6" w:space="0" w:color="000000"/>
              <w:right w:val="single" w:sz="6" w:space="0" w:color="000000"/>
            </w:tcBorders>
          </w:tcPr>
          <w:p>
            <w:pPr>
              <w:rPr>
                <w:sz w:val="2"/>
                <w:szCs w:val="2"/>
              </w:rPr>
            </w:pPr>
          </w:p>
        </w:tc>
        <w:tc>
          <w:tcPr>
            <w:tcW w:w="687" w:type="dxa"/>
            <w:vMerge/>
            <w:tcBorders>
              <w:top w:val="nil"/>
              <w:left w:val="single" w:sz="6" w:space="0" w:color="000000"/>
              <w:bottom w:val="single" w:sz="6" w:space="0" w:color="000000"/>
            </w:tcBorders>
          </w:tcPr>
          <w:p>
            <w:pPr>
              <w:rPr>
                <w:sz w:val="2"/>
                <w:szCs w:val="2"/>
              </w:rPr>
            </w:pPr>
          </w:p>
        </w:tc>
      </w:tr>
      <w:tr>
        <w:trPr>
          <w:trHeight w:val="357" w:hRule="atLeast"/>
        </w:trPr>
        <w:tc>
          <w:tcPr>
            <w:tcW w:w="689" w:type="dxa"/>
            <w:vMerge w:val="restart"/>
            <w:tcBorders>
              <w:top w:val="single" w:sz="6" w:space="0" w:color="000000"/>
              <w:bottom w:val="single" w:sz="6"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9"/>
              <w:jc w:val="left"/>
              <w:rPr>
                <w:b/>
                <w:sz w:val="30"/>
              </w:rPr>
            </w:pPr>
          </w:p>
          <w:p>
            <w:pPr>
              <w:pStyle w:val="TableParagraph"/>
              <w:spacing w:before="0"/>
              <w:ind w:left="191"/>
              <w:jc w:val="left"/>
              <w:rPr>
                <w:sz w:val="21"/>
              </w:rPr>
            </w:pPr>
            <w:r>
              <w:rPr>
                <w:sz w:val="21"/>
              </w:rPr>
              <w:t>W1</w:t>
            </w: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8"/>
              <w:rPr>
                <w:rFonts w:ascii="宋体" w:eastAsia="宋体" w:hint="eastAsia"/>
                <w:sz w:val="21"/>
              </w:rPr>
            </w:pPr>
            <w:r>
              <w:rPr>
                <w:sz w:val="21"/>
              </w:rPr>
              <w:t>pH </w:t>
            </w:r>
            <w:r>
              <w:rPr>
                <w:rFonts w:ascii="宋体" w:eastAsia="宋体" w:hint="eastAsia"/>
                <w:sz w:val="21"/>
              </w:rPr>
              <w:t>值（无量纲）</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390"/>
              <w:jc w:val="left"/>
              <w:rPr>
                <w:rFonts w:ascii="宋体"/>
                <w:sz w:val="21"/>
              </w:rPr>
            </w:pPr>
            <w:r>
              <w:rPr>
                <w:sz w:val="21"/>
              </w:rPr>
              <w:t>7.60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4"/>
              <w:rPr>
                <w:rFonts w:ascii="宋体"/>
                <w:sz w:val="21"/>
              </w:rPr>
            </w:pPr>
            <w:r>
              <w:rPr>
                <w:sz w:val="21"/>
              </w:rPr>
              <w:t>7.66</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5"/>
              <w:rPr>
                <w:rFonts w:ascii="宋体"/>
                <w:sz w:val="21"/>
              </w:rPr>
            </w:pPr>
            <w:r>
              <w:rPr>
                <w:sz w:val="21"/>
              </w:rPr>
              <w:t>7.63</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25" w:right="102"/>
              <w:rPr>
                <w:sz w:val="21"/>
              </w:rPr>
            </w:pPr>
            <w:r>
              <w:rPr>
                <w:sz w:val="21"/>
              </w:rPr>
              <w:t>6~9</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ind w:right="197"/>
              <w:jc w:val="right"/>
              <w:rPr>
                <w:sz w:val="21"/>
              </w:rPr>
            </w:pPr>
            <w:r>
              <w:rPr>
                <w:sz w:val="21"/>
              </w:rPr>
              <w:t>0.330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4"/>
              <w:ind w:left="251"/>
              <w:jc w:val="left"/>
              <w:rPr>
                <w:rFonts w:ascii="宋体" w:hAnsi="宋体" w:eastAsia="宋体" w:hint="eastAsia"/>
                <w:sz w:val="21"/>
              </w:rPr>
            </w:pPr>
            <w:r>
              <w:rPr>
                <w:rFonts w:ascii="宋体" w:hAnsi="宋体" w:eastAsia="宋体" w:hint="eastAsia"/>
                <w:sz w:val="21"/>
              </w:rPr>
              <w:t>Ⅰ类</w:t>
            </w:r>
          </w:p>
        </w:tc>
        <w:tc>
          <w:tcPr>
            <w:tcW w:w="687" w:type="dxa"/>
            <w:vMerge w:val="restart"/>
            <w:tcBorders>
              <w:top w:val="single" w:sz="6" w:space="0" w:color="000000"/>
              <w:left w:val="single" w:sz="6" w:space="0" w:color="000000"/>
              <w:bottom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p>
            <w:pPr>
              <w:pStyle w:val="TableParagraph"/>
              <w:spacing w:before="0"/>
              <w:ind w:left="135"/>
              <w:jc w:val="left"/>
              <w:rPr>
                <w:rFonts w:ascii="宋体" w:hAnsi="宋体" w:eastAsia="宋体" w:hint="eastAsia"/>
                <w:sz w:val="21"/>
              </w:rPr>
            </w:pPr>
            <w:r>
              <w:rPr>
                <w:rFonts w:ascii="宋体" w:hAnsi="宋体" w:eastAsia="宋体" w:hint="eastAsia"/>
                <w:sz w:val="21"/>
              </w:rPr>
              <w:t>Ⅱ类</w:t>
            </w:r>
          </w:p>
        </w:tc>
      </w:tr>
      <w:tr>
        <w:trPr>
          <w:trHeight w:val="359" w:hRule="atLeast"/>
        </w:trPr>
        <w:tc>
          <w:tcPr>
            <w:tcW w:w="689" w:type="dxa"/>
            <w:vMerge/>
            <w:tcBorders>
              <w:top w:val="nil"/>
              <w:bottom w:val="single" w:sz="6" w:space="0" w:color="000000"/>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6"/>
              <w:ind w:left="165" w:right="136"/>
              <w:rPr>
                <w:rFonts w:ascii="宋体" w:eastAsia="宋体" w:hint="eastAsia"/>
                <w:sz w:val="21"/>
              </w:rPr>
            </w:pPr>
            <w:r>
              <w:rPr>
                <w:rFonts w:ascii="宋体" w:eastAsia="宋体" w:hint="eastAsia"/>
                <w:sz w:val="21"/>
              </w:rPr>
              <w:t>溶解氧</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60"/>
              <w:ind w:left="390"/>
              <w:jc w:val="left"/>
              <w:rPr>
                <w:rFonts w:ascii="宋体"/>
                <w:sz w:val="21"/>
              </w:rPr>
            </w:pPr>
            <w:r>
              <w:rPr>
                <w:sz w:val="21"/>
              </w:rPr>
              <w:t>7.80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60"/>
              <w:ind w:left="133" w:right="4"/>
              <w:rPr>
                <w:rFonts w:ascii="宋体"/>
                <w:sz w:val="21"/>
              </w:rPr>
            </w:pPr>
            <w:r>
              <w:rPr>
                <w:sz w:val="21"/>
              </w:rPr>
              <w:t>8.22</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60"/>
              <w:ind w:left="133" w:right="5"/>
              <w:rPr>
                <w:rFonts w:ascii="宋体"/>
                <w:sz w:val="21"/>
              </w:rPr>
            </w:pPr>
            <w:r>
              <w:rPr>
                <w:sz w:val="21"/>
              </w:rPr>
              <w:t>7.94</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60"/>
              <w:ind w:left="125" w:right="102"/>
              <w:rPr>
                <w:sz w:val="21"/>
              </w:rPr>
            </w:pPr>
            <w:r>
              <w:rPr>
                <w:sz w:val="21"/>
              </w:rPr>
              <w:t>≥5</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60"/>
              <w:ind w:right="197"/>
              <w:jc w:val="right"/>
              <w:rPr>
                <w:sz w:val="21"/>
              </w:rPr>
            </w:pPr>
            <w:r>
              <w:rPr>
                <w:sz w:val="21"/>
              </w:rPr>
              <w:t>0.641</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6"/>
              <w:ind w:left="251"/>
              <w:jc w:val="left"/>
              <w:rPr>
                <w:rFonts w:ascii="宋体" w:hAnsi="宋体" w:eastAsia="宋体" w:hint="eastAsia"/>
                <w:sz w:val="21"/>
              </w:rPr>
            </w:pPr>
            <w:r>
              <w:rPr>
                <w:rFonts w:ascii="宋体" w:hAnsi="宋体" w:eastAsia="宋体" w:hint="eastAsia"/>
                <w:sz w:val="21"/>
              </w:rPr>
              <w:t>Ⅰ类 </w:t>
            </w:r>
          </w:p>
        </w:tc>
        <w:tc>
          <w:tcPr>
            <w:tcW w:w="687" w:type="dxa"/>
            <w:vMerge/>
            <w:tcBorders>
              <w:top w:val="nil"/>
              <w:left w:val="single" w:sz="6" w:space="0" w:color="000000"/>
              <w:bottom w:val="single" w:sz="6" w:space="0" w:color="000000"/>
            </w:tcBorders>
          </w:tcPr>
          <w:p>
            <w:pPr>
              <w:rPr>
                <w:sz w:val="2"/>
                <w:szCs w:val="2"/>
              </w:rPr>
            </w:pPr>
          </w:p>
        </w:tc>
      </w:tr>
      <w:tr>
        <w:trPr>
          <w:trHeight w:val="359" w:hRule="atLeast"/>
        </w:trPr>
        <w:tc>
          <w:tcPr>
            <w:tcW w:w="689" w:type="dxa"/>
            <w:vMerge/>
            <w:tcBorders>
              <w:top w:val="nil"/>
              <w:bottom w:val="single" w:sz="6" w:space="0" w:color="000000"/>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6"/>
              <w:rPr>
                <w:rFonts w:ascii="宋体" w:eastAsia="宋体" w:hint="eastAsia"/>
                <w:sz w:val="21"/>
              </w:rPr>
            </w:pPr>
            <w:r>
              <w:rPr>
                <w:rFonts w:ascii="宋体" w:eastAsia="宋体" w:hint="eastAsia"/>
                <w:sz w:val="21"/>
              </w:rPr>
              <w:t>高锰酸盐指数</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390"/>
              <w:jc w:val="left"/>
              <w:rPr>
                <w:rFonts w:ascii="宋体"/>
                <w:sz w:val="21"/>
              </w:rPr>
            </w:pPr>
            <w:r>
              <w:rPr>
                <w:sz w:val="21"/>
              </w:rPr>
              <w:t>2.21</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4"/>
              <w:rPr>
                <w:rFonts w:ascii="宋体"/>
                <w:sz w:val="21"/>
              </w:rPr>
            </w:pPr>
            <w:r>
              <w:rPr>
                <w:sz w:val="21"/>
              </w:rPr>
              <w:t>2.31</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5"/>
              <w:rPr>
                <w:rFonts w:ascii="宋体"/>
                <w:sz w:val="21"/>
              </w:rPr>
            </w:pPr>
            <w:r>
              <w:rPr>
                <w:sz w:val="21"/>
              </w:rPr>
              <w:t>2.26</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25" w:right="102"/>
              <w:rPr>
                <w:sz w:val="21"/>
              </w:rPr>
            </w:pPr>
            <w:r>
              <w:rPr>
                <w:sz w:val="21"/>
              </w:rPr>
              <w:t>≤6</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ind w:right="197"/>
              <w:jc w:val="right"/>
              <w:rPr>
                <w:sz w:val="21"/>
              </w:rPr>
            </w:pPr>
            <w:r>
              <w:rPr>
                <w:sz w:val="21"/>
              </w:rPr>
              <w:t>0.385</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4"/>
              <w:ind w:left="251"/>
              <w:jc w:val="left"/>
              <w:rPr>
                <w:rFonts w:ascii="宋体" w:hAnsi="宋体" w:eastAsia="宋体" w:hint="eastAsia"/>
                <w:sz w:val="21"/>
              </w:rPr>
            </w:pPr>
            <w:r>
              <w:rPr>
                <w:rFonts w:ascii="宋体" w:hAnsi="宋体" w:eastAsia="宋体" w:hint="eastAsia"/>
                <w:sz w:val="21"/>
              </w:rPr>
              <w:t>Ⅱ类 </w:t>
            </w:r>
          </w:p>
        </w:tc>
        <w:tc>
          <w:tcPr>
            <w:tcW w:w="687" w:type="dxa"/>
            <w:vMerge/>
            <w:tcBorders>
              <w:top w:val="nil"/>
              <w:left w:val="single" w:sz="6" w:space="0" w:color="000000"/>
              <w:bottom w:val="single" w:sz="6" w:space="0" w:color="000000"/>
            </w:tcBorders>
          </w:tcPr>
          <w:p>
            <w:pPr>
              <w:rPr>
                <w:sz w:val="2"/>
                <w:szCs w:val="2"/>
              </w:rPr>
            </w:pPr>
          </w:p>
        </w:tc>
      </w:tr>
      <w:tr>
        <w:trPr>
          <w:trHeight w:val="359" w:hRule="atLeast"/>
        </w:trPr>
        <w:tc>
          <w:tcPr>
            <w:tcW w:w="689" w:type="dxa"/>
            <w:vMerge/>
            <w:tcBorders>
              <w:top w:val="nil"/>
              <w:bottom w:val="single" w:sz="6" w:space="0" w:color="000000"/>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6"/>
              <w:rPr>
                <w:rFonts w:ascii="宋体" w:eastAsia="宋体" w:hint="eastAsia"/>
                <w:sz w:val="21"/>
              </w:rPr>
            </w:pPr>
            <w:r>
              <w:rPr>
                <w:rFonts w:ascii="宋体" w:eastAsia="宋体" w:hint="eastAsia"/>
                <w:sz w:val="21"/>
              </w:rPr>
              <w:t>五日生化需氧量</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390"/>
              <w:jc w:val="left"/>
              <w:rPr>
                <w:rFonts w:ascii="宋体"/>
                <w:sz w:val="21"/>
              </w:rPr>
            </w:pPr>
            <w:r>
              <w:rPr>
                <w:sz w:val="21"/>
              </w:rPr>
              <w:t>2.24</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4"/>
              <w:rPr>
                <w:rFonts w:ascii="宋体"/>
                <w:sz w:val="21"/>
              </w:rPr>
            </w:pPr>
            <w:r>
              <w:rPr>
                <w:sz w:val="21"/>
              </w:rPr>
              <w:t>2.41</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5"/>
              <w:rPr>
                <w:rFonts w:ascii="宋体"/>
                <w:sz w:val="21"/>
              </w:rPr>
            </w:pPr>
            <w:r>
              <w:rPr>
                <w:sz w:val="21"/>
              </w:rPr>
              <w:t>2.31</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25" w:right="102"/>
              <w:rPr>
                <w:sz w:val="21"/>
              </w:rPr>
            </w:pPr>
            <w:r>
              <w:rPr>
                <w:sz w:val="21"/>
              </w:rPr>
              <w:t>≤4</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ind w:right="197"/>
              <w:jc w:val="right"/>
              <w:rPr>
                <w:sz w:val="21"/>
              </w:rPr>
            </w:pPr>
            <w:r>
              <w:rPr>
                <w:sz w:val="21"/>
              </w:rPr>
              <w:t>0.603</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4"/>
              <w:ind w:left="251"/>
              <w:jc w:val="left"/>
              <w:rPr>
                <w:rFonts w:ascii="宋体" w:hAnsi="宋体" w:eastAsia="宋体" w:hint="eastAsia"/>
                <w:sz w:val="21"/>
              </w:rPr>
            </w:pPr>
            <w:r>
              <w:rPr>
                <w:rFonts w:ascii="宋体" w:hAnsi="宋体" w:eastAsia="宋体" w:hint="eastAsia"/>
                <w:sz w:val="21"/>
              </w:rPr>
              <w:t>Ⅰ类</w:t>
            </w:r>
          </w:p>
        </w:tc>
        <w:tc>
          <w:tcPr>
            <w:tcW w:w="687" w:type="dxa"/>
            <w:vMerge/>
            <w:tcBorders>
              <w:top w:val="nil"/>
              <w:left w:val="single" w:sz="6" w:space="0" w:color="000000"/>
              <w:bottom w:val="single" w:sz="6" w:space="0" w:color="000000"/>
            </w:tcBorders>
          </w:tcPr>
          <w:p>
            <w:pPr>
              <w:rPr>
                <w:sz w:val="2"/>
                <w:szCs w:val="2"/>
              </w:rPr>
            </w:pPr>
          </w:p>
        </w:tc>
      </w:tr>
      <w:tr>
        <w:trPr>
          <w:trHeight w:val="356" w:hRule="atLeast"/>
        </w:trPr>
        <w:tc>
          <w:tcPr>
            <w:tcW w:w="689" w:type="dxa"/>
            <w:vMerge/>
            <w:tcBorders>
              <w:top w:val="nil"/>
              <w:bottom w:val="single" w:sz="6" w:space="0" w:color="000000"/>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6"/>
              <w:rPr>
                <w:rFonts w:ascii="宋体" w:eastAsia="宋体" w:hint="eastAsia"/>
                <w:sz w:val="21"/>
              </w:rPr>
            </w:pPr>
            <w:r>
              <w:rPr>
                <w:rFonts w:ascii="宋体" w:eastAsia="宋体" w:hint="eastAsia"/>
                <w:sz w:val="21"/>
              </w:rPr>
              <w:t>氨氮</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337"/>
              <w:jc w:val="left"/>
              <w:rPr>
                <w:rFonts w:ascii="宋体"/>
                <w:sz w:val="21"/>
              </w:rPr>
            </w:pPr>
            <w:r>
              <w:rPr>
                <w:sz w:val="21"/>
              </w:rPr>
              <w:t>0.390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4"/>
              <w:rPr>
                <w:rFonts w:ascii="宋体"/>
                <w:sz w:val="21"/>
              </w:rPr>
            </w:pPr>
            <w:r>
              <w:rPr>
                <w:sz w:val="21"/>
              </w:rPr>
              <w:t>0.495</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5"/>
              <w:rPr>
                <w:rFonts w:ascii="宋体"/>
                <w:sz w:val="21"/>
              </w:rPr>
            </w:pPr>
            <w:r>
              <w:rPr>
                <w:sz w:val="21"/>
              </w:rPr>
              <w:t>0.446</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25" w:right="102"/>
              <w:rPr>
                <w:sz w:val="21"/>
              </w:rPr>
            </w:pPr>
            <w:r>
              <w:rPr>
                <w:sz w:val="21"/>
              </w:rPr>
              <w:t>≤1.0</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ind w:right="197"/>
              <w:jc w:val="right"/>
              <w:rPr>
                <w:sz w:val="21"/>
              </w:rPr>
            </w:pPr>
            <w:r>
              <w:rPr>
                <w:sz w:val="21"/>
              </w:rPr>
              <w:t>0.495</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4"/>
              <w:ind w:left="251"/>
              <w:jc w:val="left"/>
              <w:rPr>
                <w:rFonts w:ascii="宋体" w:hAnsi="宋体" w:eastAsia="宋体" w:hint="eastAsia"/>
                <w:sz w:val="21"/>
              </w:rPr>
            </w:pPr>
            <w:r>
              <w:rPr>
                <w:rFonts w:ascii="宋体" w:hAnsi="宋体" w:eastAsia="宋体" w:hint="eastAsia"/>
                <w:sz w:val="21"/>
              </w:rPr>
              <w:t>Ⅱ类</w:t>
            </w:r>
          </w:p>
        </w:tc>
        <w:tc>
          <w:tcPr>
            <w:tcW w:w="687" w:type="dxa"/>
            <w:vMerge/>
            <w:tcBorders>
              <w:top w:val="nil"/>
              <w:left w:val="single" w:sz="6" w:space="0" w:color="000000"/>
              <w:bottom w:val="single" w:sz="6" w:space="0" w:color="000000"/>
            </w:tcBorders>
          </w:tcPr>
          <w:p>
            <w:pPr>
              <w:rPr>
                <w:sz w:val="2"/>
                <w:szCs w:val="2"/>
              </w:rPr>
            </w:pPr>
          </w:p>
        </w:tc>
      </w:tr>
      <w:tr>
        <w:trPr>
          <w:trHeight w:val="359" w:hRule="atLeast"/>
        </w:trPr>
        <w:tc>
          <w:tcPr>
            <w:tcW w:w="689" w:type="dxa"/>
            <w:vMerge/>
            <w:tcBorders>
              <w:top w:val="nil"/>
              <w:bottom w:val="single" w:sz="6" w:space="0" w:color="000000"/>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6"/>
              <w:ind w:left="165" w:right="136"/>
              <w:rPr>
                <w:rFonts w:ascii="宋体" w:eastAsia="宋体" w:hint="eastAsia"/>
                <w:sz w:val="21"/>
              </w:rPr>
            </w:pPr>
            <w:r>
              <w:rPr>
                <w:rFonts w:ascii="宋体" w:eastAsia="宋体" w:hint="eastAsia"/>
                <w:sz w:val="21"/>
              </w:rPr>
              <w:t>总磷</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60"/>
              <w:ind w:left="337"/>
              <w:jc w:val="left"/>
              <w:rPr>
                <w:rFonts w:ascii="宋体"/>
                <w:sz w:val="21"/>
              </w:rPr>
            </w:pPr>
            <w:r>
              <w:rPr>
                <w:sz w:val="21"/>
              </w:rPr>
              <w:t>0.020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60"/>
              <w:ind w:left="133" w:right="4"/>
              <w:rPr>
                <w:rFonts w:ascii="宋体"/>
                <w:sz w:val="21"/>
              </w:rPr>
            </w:pPr>
            <w:r>
              <w:rPr>
                <w:sz w:val="21"/>
              </w:rPr>
              <w:t>0.050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60"/>
              <w:ind w:left="133" w:right="5"/>
              <w:rPr>
                <w:rFonts w:ascii="宋体"/>
                <w:sz w:val="21"/>
              </w:rPr>
            </w:pPr>
            <w:r>
              <w:rPr>
                <w:sz w:val="21"/>
              </w:rPr>
              <w:t>0.038</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60"/>
              <w:ind w:left="125" w:right="102"/>
              <w:rPr>
                <w:sz w:val="21"/>
              </w:rPr>
            </w:pPr>
            <w:r>
              <w:rPr>
                <w:sz w:val="21"/>
              </w:rPr>
              <w:t>≤0.2</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60"/>
              <w:ind w:right="197"/>
              <w:jc w:val="right"/>
              <w:rPr>
                <w:sz w:val="21"/>
              </w:rPr>
            </w:pPr>
            <w:r>
              <w:rPr>
                <w:sz w:val="21"/>
              </w:rPr>
              <w:t>0.250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6"/>
              <w:ind w:left="251"/>
              <w:jc w:val="left"/>
              <w:rPr>
                <w:rFonts w:ascii="宋体" w:hAnsi="宋体" w:eastAsia="宋体" w:hint="eastAsia"/>
                <w:sz w:val="21"/>
              </w:rPr>
            </w:pPr>
            <w:r>
              <w:rPr>
                <w:rFonts w:ascii="宋体" w:hAnsi="宋体" w:eastAsia="宋体" w:hint="eastAsia"/>
                <w:sz w:val="21"/>
              </w:rPr>
              <w:t>Ⅱ类</w:t>
            </w:r>
          </w:p>
        </w:tc>
        <w:tc>
          <w:tcPr>
            <w:tcW w:w="687" w:type="dxa"/>
            <w:vMerge/>
            <w:tcBorders>
              <w:top w:val="nil"/>
              <w:left w:val="single" w:sz="6" w:space="0" w:color="000000"/>
              <w:bottom w:val="single" w:sz="6" w:space="0" w:color="000000"/>
            </w:tcBorders>
          </w:tcPr>
          <w:p>
            <w:pPr>
              <w:rPr>
                <w:sz w:val="2"/>
                <w:szCs w:val="2"/>
              </w:rPr>
            </w:pPr>
          </w:p>
        </w:tc>
      </w:tr>
      <w:tr>
        <w:trPr>
          <w:trHeight w:val="360" w:hRule="atLeast"/>
        </w:trPr>
        <w:tc>
          <w:tcPr>
            <w:tcW w:w="689" w:type="dxa"/>
            <w:vMerge/>
            <w:tcBorders>
              <w:top w:val="nil"/>
              <w:bottom w:val="single" w:sz="6" w:space="0" w:color="000000"/>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6"/>
              <w:rPr>
                <w:rFonts w:ascii="宋体" w:eastAsia="宋体" w:hint="eastAsia"/>
                <w:sz w:val="21"/>
              </w:rPr>
            </w:pPr>
            <w:r>
              <w:rPr>
                <w:rFonts w:ascii="宋体" w:eastAsia="宋体" w:hint="eastAsia"/>
                <w:sz w:val="21"/>
              </w:rPr>
              <w:t>挥发酚</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227"/>
              <w:jc w:val="left"/>
              <w:rPr>
                <w:sz w:val="21"/>
              </w:rPr>
            </w:pPr>
            <w:r>
              <w:rPr>
                <w:sz w:val="21"/>
              </w:rPr>
              <w:t>&lt;0.0003</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105"/>
              <w:rPr>
                <w:sz w:val="21"/>
              </w:rPr>
            </w:pPr>
            <w:r>
              <w:rPr>
                <w:sz w:val="21"/>
              </w:rPr>
              <w:t>&lt;0.0003</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106"/>
              <w:rPr>
                <w:sz w:val="21"/>
              </w:rPr>
            </w:pPr>
            <w:r>
              <w:rPr>
                <w:sz w:val="21"/>
              </w:rPr>
              <w:t>&lt;0.0003</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25" w:right="102"/>
              <w:rPr>
                <w:sz w:val="21"/>
              </w:rPr>
            </w:pPr>
            <w:r>
              <w:rPr>
                <w:sz w:val="21"/>
              </w:rPr>
              <w:t>≤0.005</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ind w:right="197"/>
              <w:jc w:val="right"/>
              <w:rPr>
                <w:sz w:val="21"/>
              </w:rPr>
            </w:pPr>
            <w:r>
              <w:rPr>
                <w:sz w:val="21"/>
              </w:rPr>
              <w:t>0.030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4"/>
              <w:ind w:left="251"/>
              <w:jc w:val="left"/>
              <w:rPr>
                <w:rFonts w:ascii="宋体" w:hAnsi="宋体" w:eastAsia="宋体" w:hint="eastAsia"/>
                <w:sz w:val="21"/>
              </w:rPr>
            </w:pPr>
            <w:r>
              <w:rPr>
                <w:rFonts w:ascii="宋体" w:hAnsi="宋体" w:eastAsia="宋体" w:hint="eastAsia"/>
                <w:sz w:val="21"/>
              </w:rPr>
              <w:t>Ⅰ类</w:t>
            </w:r>
          </w:p>
        </w:tc>
        <w:tc>
          <w:tcPr>
            <w:tcW w:w="687" w:type="dxa"/>
            <w:vMerge/>
            <w:tcBorders>
              <w:top w:val="nil"/>
              <w:left w:val="single" w:sz="6" w:space="0" w:color="000000"/>
              <w:bottom w:val="single" w:sz="6" w:space="0" w:color="000000"/>
            </w:tcBorders>
          </w:tcPr>
          <w:p>
            <w:pPr>
              <w:rPr>
                <w:sz w:val="2"/>
                <w:szCs w:val="2"/>
              </w:rPr>
            </w:pPr>
          </w:p>
        </w:tc>
      </w:tr>
      <w:tr>
        <w:trPr>
          <w:trHeight w:val="359" w:hRule="atLeast"/>
        </w:trPr>
        <w:tc>
          <w:tcPr>
            <w:tcW w:w="689" w:type="dxa"/>
            <w:vMerge/>
            <w:tcBorders>
              <w:top w:val="nil"/>
              <w:bottom w:val="single" w:sz="6" w:space="0" w:color="000000"/>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6"/>
              <w:rPr>
                <w:rFonts w:ascii="宋体" w:eastAsia="宋体" w:hint="eastAsia"/>
                <w:sz w:val="21"/>
              </w:rPr>
            </w:pPr>
            <w:r>
              <w:rPr>
                <w:rFonts w:ascii="宋体" w:eastAsia="宋体" w:hint="eastAsia"/>
                <w:sz w:val="21"/>
              </w:rPr>
              <w:t>石油类</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332"/>
              <w:jc w:val="left"/>
              <w:rPr>
                <w:sz w:val="21"/>
              </w:rPr>
            </w:pPr>
            <w:r>
              <w:rPr>
                <w:sz w:val="21"/>
              </w:rPr>
              <w:t>&lt;0.01</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105"/>
              <w:rPr>
                <w:sz w:val="21"/>
              </w:rPr>
            </w:pPr>
            <w:r>
              <w:rPr>
                <w:sz w:val="21"/>
              </w:rPr>
              <w:t>&lt;0.01</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106"/>
              <w:rPr>
                <w:sz w:val="21"/>
              </w:rPr>
            </w:pPr>
            <w:r>
              <w:rPr>
                <w:sz w:val="21"/>
              </w:rPr>
              <w:t>&lt;0.01</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25" w:right="102"/>
              <w:rPr>
                <w:sz w:val="21"/>
              </w:rPr>
            </w:pPr>
            <w:r>
              <w:rPr>
                <w:sz w:val="21"/>
              </w:rPr>
              <w:t>≤0.05</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ind w:right="197"/>
              <w:jc w:val="right"/>
              <w:rPr>
                <w:sz w:val="21"/>
              </w:rPr>
            </w:pPr>
            <w:r>
              <w:rPr>
                <w:sz w:val="21"/>
              </w:rPr>
              <w:t>0.100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4"/>
              <w:ind w:left="251"/>
              <w:jc w:val="left"/>
              <w:rPr>
                <w:rFonts w:ascii="宋体" w:hAnsi="宋体" w:eastAsia="宋体" w:hint="eastAsia"/>
                <w:sz w:val="21"/>
              </w:rPr>
            </w:pPr>
            <w:r>
              <w:rPr>
                <w:rFonts w:ascii="宋体" w:hAnsi="宋体" w:eastAsia="宋体" w:hint="eastAsia"/>
                <w:sz w:val="21"/>
              </w:rPr>
              <w:t>Ⅰ类</w:t>
            </w:r>
          </w:p>
        </w:tc>
        <w:tc>
          <w:tcPr>
            <w:tcW w:w="687" w:type="dxa"/>
            <w:vMerge/>
            <w:tcBorders>
              <w:top w:val="nil"/>
              <w:left w:val="single" w:sz="6" w:space="0" w:color="000000"/>
              <w:bottom w:val="single" w:sz="6" w:space="0" w:color="000000"/>
            </w:tcBorders>
          </w:tcPr>
          <w:p>
            <w:pPr>
              <w:rPr>
                <w:sz w:val="2"/>
                <w:szCs w:val="2"/>
              </w:rPr>
            </w:pPr>
          </w:p>
        </w:tc>
      </w:tr>
      <w:tr>
        <w:trPr>
          <w:trHeight w:val="349" w:hRule="atLeast"/>
        </w:trPr>
        <w:tc>
          <w:tcPr>
            <w:tcW w:w="689" w:type="dxa"/>
            <w:vMerge w:val="restart"/>
            <w:tcBorders>
              <w:top w:val="single" w:sz="6" w:space="0" w:color="000000"/>
              <w:right w:val="single" w:sz="6" w:space="0" w:color="000000"/>
            </w:tcBorders>
          </w:tcPr>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0"/>
              <w:jc w:val="left"/>
              <w:rPr>
                <w:b/>
                <w:sz w:val="22"/>
              </w:rPr>
            </w:pPr>
          </w:p>
          <w:p>
            <w:pPr>
              <w:pStyle w:val="TableParagraph"/>
              <w:spacing w:before="9"/>
              <w:jc w:val="left"/>
              <w:rPr>
                <w:b/>
                <w:sz w:val="30"/>
              </w:rPr>
            </w:pPr>
          </w:p>
          <w:p>
            <w:pPr>
              <w:pStyle w:val="TableParagraph"/>
              <w:spacing w:before="0"/>
              <w:ind w:left="191"/>
              <w:jc w:val="left"/>
              <w:rPr>
                <w:sz w:val="21"/>
              </w:rPr>
            </w:pPr>
            <w:r>
              <w:rPr>
                <w:sz w:val="21"/>
              </w:rPr>
              <w:t>W2</w:t>
            </w: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8"/>
              <w:rPr>
                <w:rFonts w:ascii="宋体" w:eastAsia="宋体" w:hint="eastAsia"/>
                <w:sz w:val="21"/>
              </w:rPr>
            </w:pPr>
            <w:r>
              <w:rPr>
                <w:sz w:val="21"/>
              </w:rPr>
              <w:t>pH </w:t>
            </w:r>
            <w:r>
              <w:rPr>
                <w:rFonts w:ascii="宋体" w:eastAsia="宋体" w:hint="eastAsia"/>
                <w:sz w:val="21"/>
              </w:rPr>
              <w:t>值（无量纲）</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390"/>
              <w:jc w:val="left"/>
              <w:rPr>
                <w:rFonts w:ascii="宋体"/>
                <w:sz w:val="21"/>
              </w:rPr>
            </w:pPr>
            <w:r>
              <w:rPr>
                <w:sz w:val="21"/>
              </w:rPr>
              <w:t>7.50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4"/>
              <w:rPr>
                <w:rFonts w:ascii="宋体"/>
                <w:sz w:val="21"/>
              </w:rPr>
            </w:pPr>
            <w:r>
              <w:rPr>
                <w:sz w:val="21"/>
              </w:rPr>
              <w:t>7.54</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ind w:left="133" w:right="5"/>
              <w:rPr>
                <w:rFonts w:ascii="宋体"/>
                <w:sz w:val="21"/>
              </w:rPr>
            </w:pPr>
            <w:r>
              <w:rPr>
                <w:sz w:val="21"/>
              </w:rPr>
              <w:t>7.52</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ind w:left="125" w:right="102"/>
              <w:rPr>
                <w:sz w:val="21"/>
              </w:rPr>
            </w:pPr>
            <w:r>
              <w:rPr>
                <w:sz w:val="21"/>
              </w:rPr>
              <w:t>6~9</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ind w:right="197"/>
              <w:jc w:val="right"/>
              <w:rPr>
                <w:sz w:val="21"/>
              </w:rPr>
            </w:pPr>
            <w:r>
              <w:rPr>
                <w:sz w:val="21"/>
              </w:rPr>
              <w:t>0.270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44"/>
              <w:ind w:left="251"/>
              <w:jc w:val="left"/>
              <w:rPr>
                <w:rFonts w:ascii="宋体" w:hAnsi="宋体" w:eastAsia="宋体" w:hint="eastAsia"/>
                <w:sz w:val="21"/>
              </w:rPr>
            </w:pPr>
            <w:r>
              <w:rPr>
                <w:rFonts w:ascii="宋体" w:hAnsi="宋体" w:eastAsia="宋体" w:hint="eastAsia"/>
                <w:sz w:val="21"/>
              </w:rPr>
              <w:t>Ⅰ类</w:t>
            </w:r>
          </w:p>
        </w:tc>
        <w:tc>
          <w:tcPr>
            <w:tcW w:w="687" w:type="dxa"/>
            <w:vMerge w:val="restart"/>
            <w:tcBorders>
              <w:top w:val="single" w:sz="6" w:space="0" w:color="000000"/>
              <w:lef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p>
            <w:pPr>
              <w:pStyle w:val="TableParagraph"/>
              <w:spacing w:before="0"/>
              <w:ind w:left="135"/>
              <w:jc w:val="left"/>
              <w:rPr>
                <w:rFonts w:ascii="宋体" w:hAnsi="宋体" w:eastAsia="宋体" w:hint="eastAsia"/>
                <w:sz w:val="21"/>
              </w:rPr>
            </w:pPr>
            <w:r>
              <w:rPr>
                <w:rFonts w:ascii="宋体" w:hAnsi="宋体" w:eastAsia="宋体" w:hint="eastAsia"/>
                <w:sz w:val="21"/>
              </w:rPr>
              <w:t>Ⅲ类</w:t>
            </w:r>
          </w:p>
        </w:tc>
      </w:tr>
      <w:tr>
        <w:trPr>
          <w:trHeight w:val="344" w:hRule="atLeast"/>
        </w:trPr>
        <w:tc>
          <w:tcPr>
            <w:tcW w:w="689" w:type="dxa"/>
            <w:vMerge/>
            <w:tcBorders>
              <w:top w:val="nil"/>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39"/>
              <w:ind w:left="165" w:right="136"/>
              <w:rPr>
                <w:rFonts w:ascii="宋体" w:eastAsia="宋体" w:hint="eastAsia"/>
                <w:sz w:val="21"/>
              </w:rPr>
            </w:pPr>
            <w:r>
              <w:rPr>
                <w:rFonts w:ascii="宋体" w:eastAsia="宋体" w:hint="eastAsia"/>
                <w:sz w:val="21"/>
              </w:rPr>
              <w:t>溶解氧</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3"/>
              <w:ind w:left="390"/>
              <w:jc w:val="left"/>
              <w:rPr>
                <w:rFonts w:ascii="宋体"/>
                <w:sz w:val="21"/>
              </w:rPr>
            </w:pPr>
            <w:r>
              <w:rPr>
                <w:sz w:val="21"/>
              </w:rPr>
              <w:t>6.23</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3"/>
              <w:ind w:left="133" w:right="4"/>
              <w:rPr>
                <w:rFonts w:ascii="宋体"/>
                <w:sz w:val="21"/>
              </w:rPr>
            </w:pPr>
            <w:r>
              <w:rPr>
                <w:sz w:val="21"/>
              </w:rPr>
              <w:t>6.81</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3"/>
              <w:ind w:left="133" w:right="5"/>
              <w:rPr>
                <w:rFonts w:ascii="宋体"/>
                <w:sz w:val="21"/>
              </w:rPr>
            </w:pPr>
            <w:r>
              <w:rPr>
                <w:sz w:val="21"/>
              </w:rPr>
              <w:t>6.53</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53"/>
              <w:ind w:left="125" w:right="102"/>
              <w:rPr>
                <w:sz w:val="21"/>
              </w:rPr>
            </w:pPr>
            <w:r>
              <w:rPr>
                <w:sz w:val="21"/>
              </w:rPr>
              <w:t>≥5</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53"/>
              <w:ind w:right="197"/>
              <w:jc w:val="right"/>
              <w:rPr>
                <w:sz w:val="21"/>
              </w:rPr>
            </w:pPr>
            <w:r>
              <w:rPr>
                <w:sz w:val="21"/>
              </w:rPr>
              <w:t>0.803</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39"/>
              <w:ind w:left="251"/>
              <w:jc w:val="left"/>
              <w:rPr>
                <w:rFonts w:ascii="宋体" w:hAnsi="宋体" w:eastAsia="宋体" w:hint="eastAsia"/>
                <w:sz w:val="21"/>
              </w:rPr>
            </w:pPr>
            <w:r>
              <w:rPr>
                <w:rFonts w:ascii="宋体" w:hAnsi="宋体" w:eastAsia="宋体" w:hint="eastAsia"/>
                <w:sz w:val="21"/>
              </w:rPr>
              <w:t>Ⅱ类</w:t>
            </w:r>
          </w:p>
        </w:tc>
        <w:tc>
          <w:tcPr>
            <w:tcW w:w="687" w:type="dxa"/>
            <w:vMerge/>
            <w:tcBorders>
              <w:top w:val="nil"/>
              <w:left w:val="single" w:sz="6" w:space="0" w:color="000000"/>
            </w:tcBorders>
          </w:tcPr>
          <w:p>
            <w:pPr>
              <w:rPr>
                <w:sz w:val="2"/>
                <w:szCs w:val="2"/>
              </w:rPr>
            </w:pPr>
          </w:p>
        </w:tc>
      </w:tr>
      <w:tr>
        <w:trPr>
          <w:trHeight w:val="344" w:hRule="atLeast"/>
        </w:trPr>
        <w:tc>
          <w:tcPr>
            <w:tcW w:w="689" w:type="dxa"/>
            <w:vMerge/>
            <w:tcBorders>
              <w:top w:val="nil"/>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36"/>
              <w:ind w:left="165" w:right="136"/>
              <w:rPr>
                <w:rFonts w:ascii="宋体" w:eastAsia="宋体" w:hint="eastAsia"/>
                <w:sz w:val="21"/>
              </w:rPr>
            </w:pPr>
            <w:r>
              <w:rPr>
                <w:rFonts w:ascii="宋体" w:eastAsia="宋体" w:hint="eastAsia"/>
                <w:sz w:val="21"/>
              </w:rPr>
              <w:t>高锰酸盐指数</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390"/>
              <w:jc w:val="left"/>
              <w:rPr>
                <w:rFonts w:ascii="宋体"/>
                <w:sz w:val="21"/>
              </w:rPr>
            </w:pPr>
            <w:r>
              <w:rPr>
                <w:sz w:val="21"/>
              </w:rPr>
              <w:t>2.58</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4"/>
              <w:rPr>
                <w:rFonts w:ascii="宋体"/>
                <w:sz w:val="21"/>
              </w:rPr>
            </w:pPr>
            <w:r>
              <w:rPr>
                <w:sz w:val="21"/>
              </w:rPr>
              <w:t>2.70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5"/>
              <w:rPr>
                <w:rFonts w:ascii="宋体"/>
                <w:sz w:val="21"/>
              </w:rPr>
            </w:pPr>
            <w:r>
              <w:rPr>
                <w:sz w:val="21"/>
              </w:rPr>
              <w:t>2.63</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50"/>
              <w:ind w:left="125" w:right="102"/>
              <w:rPr>
                <w:sz w:val="21"/>
              </w:rPr>
            </w:pPr>
            <w:r>
              <w:rPr>
                <w:sz w:val="21"/>
              </w:rPr>
              <w:t>≤6</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50"/>
              <w:ind w:right="197"/>
              <w:jc w:val="right"/>
              <w:rPr>
                <w:sz w:val="21"/>
              </w:rPr>
            </w:pPr>
            <w:r>
              <w:rPr>
                <w:sz w:val="21"/>
              </w:rPr>
              <w:t>0.450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36"/>
              <w:ind w:left="251"/>
              <w:jc w:val="left"/>
              <w:rPr>
                <w:rFonts w:ascii="宋体" w:hAnsi="宋体" w:eastAsia="宋体" w:hint="eastAsia"/>
                <w:sz w:val="21"/>
              </w:rPr>
            </w:pPr>
            <w:r>
              <w:rPr>
                <w:rFonts w:ascii="宋体" w:hAnsi="宋体" w:eastAsia="宋体" w:hint="eastAsia"/>
                <w:sz w:val="21"/>
              </w:rPr>
              <w:t>Ⅱ类</w:t>
            </w:r>
          </w:p>
        </w:tc>
        <w:tc>
          <w:tcPr>
            <w:tcW w:w="687" w:type="dxa"/>
            <w:vMerge/>
            <w:tcBorders>
              <w:top w:val="nil"/>
              <w:left w:val="single" w:sz="6" w:space="0" w:color="000000"/>
            </w:tcBorders>
          </w:tcPr>
          <w:p>
            <w:pPr>
              <w:rPr>
                <w:sz w:val="2"/>
                <w:szCs w:val="2"/>
              </w:rPr>
            </w:pPr>
          </w:p>
        </w:tc>
      </w:tr>
      <w:tr>
        <w:trPr>
          <w:trHeight w:val="344" w:hRule="atLeast"/>
        </w:trPr>
        <w:tc>
          <w:tcPr>
            <w:tcW w:w="689" w:type="dxa"/>
            <w:vMerge/>
            <w:tcBorders>
              <w:top w:val="nil"/>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36"/>
              <w:ind w:left="165" w:right="136"/>
              <w:rPr>
                <w:rFonts w:ascii="宋体" w:eastAsia="宋体" w:hint="eastAsia"/>
                <w:sz w:val="21"/>
              </w:rPr>
            </w:pPr>
            <w:r>
              <w:rPr>
                <w:rFonts w:ascii="宋体" w:eastAsia="宋体" w:hint="eastAsia"/>
                <w:sz w:val="21"/>
              </w:rPr>
              <w:t>五日生化需氧量</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390"/>
              <w:jc w:val="left"/>
              <w:rPr>
                <w:rFonts w:ascii="宋体"/>
                <w:sz w:val="21"/>
              </w:rPr>
            </w:pPr>
            <w:r>
              <w:rPr>
                <w:sz w:val="21"/>
              </w:rPr>
              <w:t>2.63</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4"/>
              <w:rPr>
                <w:rFonts w:ascii="宋体"/>
                <w:sz w:val="21"/>
              </w:rPr>
            </w:pPr>
            <w:r>
              <w:rPr>
                <w:sz w:val="21"/>
              </w:rPr>
              <w:t>2.82</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5"/>
              <w:rPr>
                <w:rFonts w:ascii="宋体"/>
                <w:sz w:val="21"/>
              </w:rPr>
            </w:pPr>
            <w:r>
              <w:rPr>
                <w:sz w:val="21"/>
              </w:rPr>
              <w:t>2.72</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50"/>
              <w:ind w:left="125" w:right="102"/>
              <w:rPr>
                <w:sz w:val="21"/>
              </w:rPr>
            </w:pPr>
            <w:r>
              <w:rPr>
                <w:sz w:val="21"/>
              </w:rPr>
              <w:t>≤4</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50"/>
              <w:ind w:right="197"/>
              <w:jc w:val="right"/>
              <w:rPr>
                <w:sz w:val="21"/>
              </w:rPr>
            </w:pPr>
            <w:r>
              <w:rPr>
                <w:sz w:val="21"/>
              </w:rPr>
              <w:t>0.705</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36"/>
              <w:ind w:left="251"/>
              <w:jc w:val="left"/>
              <w:rPr>
                <w:rFonts w:ascii="宋体" w:hAnsi="宋体" w:eastAsia="宋体" w:hint="eastAsia"/>
                <w:sz w:val="21"/>
              </w:rPr>
            </w:pPr>
            <w:r>
              <w:rPr>
                <w:rFonts w:ascii="宋体" w:hAnsi="宋体" w:eastAsia="宋体" w:hint="eastAsia"/>
                <w:sz w:val="21"/>
              </w:rPr>
              <w:t>Ⅰ类</w:t>
            </w:r>
          </w:p>
        </w:tc>
        <w:tc>
          <w:tcPr>
            <w:tcW w:w="687" w:type="dxa"/>
            <w:vMerge/>
            <w:tcBorders>
              <w:top w:val="nil"/>
              <w:left w:val="single" w:sz="6" w:space="0" w:color="000000"/>
            </w:tcBorders>
          </w:tcPr>
          <w:p>
            <w:pPr>
              <w:rPr>
                <w:sz w:val="2"/>
                <w:szCs w:val="2"/>
              </w:rPr>
            </w:pPr>
          </w:p>
        </w:tc>
      </w:tr>
      <w:tr>
        <w:trPr>
          <w:trHeight w:val="342" w:hRule="atLeast"/>
        </w:trPr>
        <w:tc>
          <w:tcPr>
            <w:tcW w:w="689" w:type="dxa"/>
            <w:vMerge/>
            <w:tcBorders>
              <w:top w:val="nil"/>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36"/>
              <w:ind w:left="165" w:right="136"/>
              <w:rPr>
                <w:rFonts w:ascii="宋体" w:eastAsia="宋体" w:hint="eastAsia"/>
                <w:sz w:val="21"/>
              </w:rPr>
            </w:pPr>
            <w:r>
              <w:rPr>
                <w:rFonts w:ascii="宋体" w:eastAsia="宋体" w:hint="eastAsia"/>
                <w:sz w:val="21"/>
              </w:rPr>
              <w:t>氨氮</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337"/>
              <w:jc w:val="left"/>
              <w:rPr>
                <w:rFonts w:ascii="宋体"/>
                <w:sz w:val="21"/>
              </w:rPr>
            </w:pPr>
            <w:r>
              <w:rPr>
                <w:sz w:val="21"/>
              </w:rPr>
              <w:t>0.445</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4"/>
              <w:rPr>
                <w:rFonts w:ascii="宋体"/>
                <w:sz w:val="21"/>
              </w:rPr>
            </w:pPr>
            <w:r>
              <w:rPr>
                <w:sz w:val="21"/>
              </w:rPr>
              <w:t>0.495</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5"/>
              <w:rPr>
                <w:rFonts w:ascii="宋体"/>
                <w:sz w:val="21"/>
              </w:rPr>
            </w:pPr>
            <w:r>
              <w:rPr>
                <w:sz w:val="21"/>
              </w:rPr>
              <w:t>0.470</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50"/>
              <w:ind w:left="125" w:right="102"/>
              <w:rPr>
                <w:sz w:val="21"/>
              </w:rPr>
            </w:pPr>
            <w:r>
              <w:rPr>
                <w:sz w:val="21"/>
              </w:rPr>
              <w:t>≤1.0</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50"/>
              <w:ind w:right="197"/>
              <w:jc w:val="right"/>
              <w:rPr>
                <w:sz w:val="21"/>
              </w:rPr>
            </w:pPr>
            <w:r>
              <w:rPr>
                <w:sz w:val="21"/>
              </w:rPr>
              <w:t>0.495</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36"/>
              <w:ind w:left="251"/>
              <w:jc w:val="left"/>
              <w:rPr>
                <w:rFonts w:ascii="宋体" w:hAnsi="宋体" w:eastAsia="宋体" w:hint="eastAsia"/>
                <w:sz w:val="21"/>
              </w:rPr>
            </w:pPr>
            <w:r>
              <w:rPr>
                <w:rFonts w:ascii="宋体" w:hAnsi="宋体" w:eastAsia="宋体" w:hint="eastAsia"/>
                <w:sz w:val="21"/>
              </w:rPr>
              <w:t>Ⅱ类</w:t>
            </w:r>
          </w:p>
        </w:tc>
        <w:tc>
          <w:tcPr>
            <w:tcW w:w="687" w:type="dxa"/>
            <w:vMerge/>
            <w:tcBorders>
              <w:top w:val="nil"/>
              <w:left w:val="single" w:sz="6" w:space="0" w:color="000000"/>
            </w:tcBorders>
          </w:tcPr>
          <w:p>
            <w:pPr>
              <w:rPr>
                <w:sz w:val="2"/>
                <w:szCs w:val="2"/>
              </w:rPr>
            </w:pPr>
          </w:p>
        </w:tc>
      </w:tr>
      <w:tr>
        <w:trPr>
          <w:trHeight w:val="344" w:hRule="atLeast"/>
        </w:trPr>
        <w:tc>
          <w:tcPr>
            <w:tcW w:w="689" w:type="dxa"/>
            <w:vMerge/>
            <w:tcBorders>
              <w:top w:val="nil"/>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39"/>
              <w:ind w:left="165" w:right="136"/>
              <w:rPr>
                <w:rFonts w:ascii="宋体" w:eastAsia="宋体" w:hint="eastAsia"/>
                <w:sz w:val="21"/>
              </w:rPr>
            </w:pPr>
            <w:r>
              <w:rPr>
                <w:rFonts w:ascii="宋体" w:eastAsia="宋体" w:hint="eastAsia"/>
                <w:sz w:val="21"/>
              </w:rPr>
              <w:t>总磷</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3"/>
              <w:ind w:left="337"/>
              <w:jc w:val="left"/>
              <w:rPr>
                <w:rFonts w:ascii="宋体"/>
                <w:sz w:val="21"/>
              </w:rPr>
            </w:pPr>
            <w:r>
              <w:rPr>
                <w:sz w:val="21"/>
              </w:rPr>
              <w:t>0.140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3"/>
              <w:ind w:left="133" w:right="4"/>
              <w:rPr>
                <w:rFonts w:ascii="宋体"/>
                <w:sz w:val="21"/>
              </w:rPr>
            </w:pPr>
            <w:r>
              <w:rPr>
                <w:sz w:val="21"/>
              </w:rPr>
              <w:t>0.190</w:t>
            </w:r>
            <w:r>
              <w:rPr>
                <w:rFonts w:ascii="宋体"/>
                <w:sz w:val="21"/>
              </w:rPr>
              <w:t> </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3"/>
              <w:ind w:left="133" w:right="5"/>
              <w:rPr>
                <w:rFonts w:ascii="宋体"/>
                <w:sz w:val="21"/>
              </w:rPr>
            </w:pPr>
            <w:r>
              <w:rPr>
                <w:sz w:val="21"/>
              </w:rPr>
              <w:t>0.163</w:t>
            </w:r>
            <w:r>
              <w:rPr>
                <w:rFonts w:ascii="宋体"/>
                <w:sz w:val="21"/>
              </w:rPr>
              <w:t> </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53"/>
              <w:ind w:left="125" w:right="102"/>
              <w:rPr>
                <w:sz w:val="21"/>
              </w:rPr>
            </w:pPr>
            <w:r>
              <w:rPr>
                <w:sz w:val="21"/>
              </w:rPr>
              <w:t>≤0.2</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53"/>
              <w:ind w:right="197"/>
              <w:jc w:val="right"/>
              <w:rPr>
                <w:sz w:val="21"/>
              </w:rPr>
            </w:pPr>
            <w:r>
              <w:rPr>
                <w:sz w:val="21"/>
              </w:rPr>
              <w:t>0.950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39"/>
              <w:ind w:left="251"/>
              <w:jc w:val="left"/>
              <w:rPr>
                <w:rFonts w:ascii="宋体" w:hAnsi="宋体" w:eastAsia="宋体" w:hint="eastAsia"/>
                <w:sz w:val="21"/>
              </w:rPr>
            </w:pPr>
            <w:r>
              <w:rPr>
                <w:rFonts w:ascii="宋体" w:hAnsi="宋体" w:eastAsia="宋体" w:hint="eastAsia"/>
                <w:sz w:val="21"/>
              </w:rPr>
              <w:t>Ⅲ类</w:t>
            </w:r>
          </w:p>
        </w:tc>
        <w:tc>
          <w:tcPr>
            <w:tcW w:w="687" w:type="dxa"/>
            <w:vMerge/>
            <w:tcBorders>
              <w:top w:val="nil"/>
              <w:left w:val="single" w:sz="6" w:space="0" w:color="000000"/>
            </w:tcBorders>
          </w:tcPr>
          <w:p>
            <w:pPr>
              <w:rPr>
                <w:sz w:val="2"/>
                <w:szCs w:val="2"/>
              </w:rPr>
            </w:pPr>
          </w:p>
        </w:tc>
      </w:tr>
      <w:tr>
        <w:trPr>
          <w:trHeight w:val="344" w:hRule="atLeast"/>
        </w:trPr>
        <w:tc>
          <w:tcPr>
            <w:tcW w:w="689" w:type="dxa"/>
            <w:vMerge/>
            <w:tcBorders>
              <w:top w:val="nil"/>
              <w:right w:val="single" w:sz="6" w:space="0" w:color="000000"/>
            </w:tcBorders>
          </w:tcPr>
          <w:p>
            <w:pPr>
              <w:rPr>
                <w:sz w:val="2"/>
                <w:szCs w:val="2"/>
              </w:rPr>
            </w:pPr>
          </w:p>
        </w:tc>
        <w:tc>
          <w:tcPr>
            <w:tcW w:w="1928" w:type="dxa"/>
            <w:tcBorders>
              <w:top w:val="single" w:sz="6" w:space="0" w:color="000000"/>
              <w:left w:val="single" w:sz="6" w:space="0" w:color="000000"/>
              <w:bottom w:val="single" w:sz="6" w:space="0" w:color="000000"/>
              <w:right w:val="single" w:sz="6" w:space="0" w:color="000000"/>
            </w:tcBorders>
          </w:tcPr>
          <w:p>
            <w:pPr>
              <w:pStyle w:val="TableParagraph"/>
              <w:spacing w:before="36"/>
              <w:ind w:left="165" w:right="136"/>
              <w:rPr>
                <w:rFonts w:ascii="宋体" w:eastAsia="宋体" w:hint="eastAsia"/>
                <w:sz w:val="21"/>
              </w:rPr>
            </w:pPr>
            <w:r>
              <w:rPr>
                <w:rFonts w:ascii="宋体" w:eastAsia="宋体" w:hint="eastAsia"/>
                <w:sz w:val="21"/>
              </w:rPr>
              <w:t>挥发酚</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227"/>
              <w:jc w:val="left"/>
              <w:rPr>
                <w:sz w:val="21"/>
              </w:rPr>
            </w:pPr>
            <w:r>
              <w:rPr>
                <w:sz w:val="21"/>
              </w:rPr>
              <w:t>&lt;0.0003</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105"/>
              <w:rPr>
                <w:sz w:val="21"/>
              </w:rPr>
            </w:pPr>
            <w:r>
              <w:rPr>
                <w:sz w:val="21"/>
              </w:rPr>
              <w:t>&lt;0.0003</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50"/>
              <w:ind w:left="133" w:right="106"/>
              <w:rPr>
                <w:sz w:val="21"/>
              </w:rPr>
            </w:pPr>
            <w:r>
              <w:rPr>
                <w:sz w:val="21"/>
              </w:rPr>
              <w:t>&lt;0.0003</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before="50"/>
              <w:ind w:left="125" w:right="102"/>
              <w:rPr>
                <w:sz w:val="21"/>
              </w:rPr>
            </w:pPr>
            <w:r>
              <w:rPr>
                <w:sz w:val="21"/>
              </w:rPr>
              <w:t>≤0.005</w:t>
            </w:r>
          </w:p>
        </w:tc>
        <w:tc>
          <w:tcPr>
            <w:tcW w:w="915" w:type="dxa"/>
            <w:tcBorders>
              <w:top w:val="single" w:sz="6" w:space="0" w:color="000000"/>
              <w:left w:val="single" w:sz="6" w:space="0" w:color="000000"/>
              <w:bottom w:val="single" w:sz="6" w:space="0" w:color="000000"/>
              <w:right w:val="single" w:sz="6" w:space="0" w:color="000000"/>
            </w:tcBorders>
          </w:tcPr>
          <w:p>
            <w:pPr>
              <w:pStyle w:val="TableParagraph"/>
              <w:spacing w:before="50"/>
              <w:ind w:right="197"/>
              <w:jc w:val="right"/>
              <w:rPr>
                <w:sz w:val="21"/>
              </w:rPr>
            </w:pPr>
            <w:r>
              <w:rPr>
                <w:sz w:val="21"/>
              </w:rPr>
              <w:t>0.030</w:t>
            </w:r>
          </w:p>
        </w:tc>
        <w:tc>
          <w:tcPr>
            <w:tcW w:w="918" w:type="dxa"/>
            <w:tcBorders>
              <w:top w:val="single" w:sz="6" w:space="0" w:color="000000"/>
              <w:left w:val="single" w:sz="6" w:space="0" w:color="000000"/>
              <w:bottom w:val="single" w:sz="6" w:space="0" w:color="000000"/>
              <w:right w:val="single" w:sz="6" w:space="0" w:color="000000"/>
            </w:tcBorders>
          </w:tcPr>
          <w:p>
            <w:pPr>
              <w:pStyle w:val="TableParagraph"/>
              <w:spacing w:before="36"/>
              <w:ind w:left="251"/>
              <w:jc w:val="left"/>
              <w:rPr>
                <w:rFonts w:ascii="宋体" w:hAnsi="宋体" w:eastAsia="宋体" w:hint="eastAsia"/>
                <w:sz w:val="21"/>
              </w:rPr>
            </w:pPr>
            <w:r>
              <w:rPr>
                <w:rFonts w:ascii="宋体" w:hAnsi="宋体" w:eastAsia="宋体" w:hint="eastAsia"/>
                <w:sz w:val="21"/>
              </w:rPr>
              <w:t>Ⅰ类</w:t>
            </w:r>
          </w:p>
        </w:tc>
        <w:tc>
          <w:tcPr>
            <w:tcW w:w="687" w:type="dxa"/>
            <w:vMerge/>
            <w:tcBorders>
              <w:top w:val="nil"/>
              <w:left w:val="single" w:sz="6" w:space="0" w:color="000000"/>
            </w:tcBorders>
          </w:tcPr>
          <w:p>
            <w:pPr>
              <w:rPr>
                <w:sz w:val="2"/>
                <w:szCs w:val="2"/>
              </w:rPr>
            </w:pPr>
          </w:p>
        </w:tc>
      </w:tr>
      <w:tr>
        <w:trPr>
          <w:trHeight w:val="349" w:hRule="atLeast"/>
        </w:trPr>
        <w:tc>
          <w:tcPr>
            <w:tcW w:w="689" w:type="dxa"/>
            <w:vMerge/>
            <w:tcBorders>
              <w:top w:val="nil"/>
              <w:right w:val="single" w:sz="6" w:space="0" w:color="000000"/>
            </w:tcBorders>
          </w:tcPr>
          <w:p>
            <w:pPr>
              <w:rPr>
                <w:sz w:val="2"/>
                <w:szCs w:val="2"/>
              </w:rPr>
            </w:pPr>
          </w:p>
        </w:tc>
        <w:tc>
          <w:tcPr>
            <w:tcW w:w="1928" w:type="dxa"/>
            <w:tcBorders>
              <w:top w:val="single" w:sz="6" w:space="0" w:color="000000"/>
              <w:left w:val="single" w:sz="6" w:space="0" w:color="000000"/>
              <w:right w:val="single" w:sz="6" w:space="0" w:color="000000"/>
            </w:tcBorders>
          </w:tcPr>
          <w:p>
            <w:pPr>
              <w:pStyle w:val="TableParagraph"/>
              <w:spacing w:before="36"/>
              <w:ind w:left="165" w:right="136"/>
              <w:rPr>
                <w:rFonts w:ascii="宋体" w:eastAsia="宋体" w:hint="eastAsia"/>
                <w:sz w:val="21"/>
              </w:rPr>
            </w:pPr>
            <w:r>
              <w:rPr>
                <w:rFonts w:ascii="宋体" w:eastAsia="宋体" w:hint="eastAsia"/>
                <w:sz w:val="21"/>
              </w:rPr>
              <w:t>石油类</w:t>
            </w:r>
          </w:p>
        </w:tc>
        <w:tc>
          <w:tcPr>
            <w:tcW w:w="1143" w:type="dxa"/>
            <w:tcBorders>
              <w:top w:val="single" w:sz="6" w:space="0" w:color="000000"/>
              <w:left w:val="single" w:sz="6" w:space="0" w:color="000000"/>
              <w:right w:val="single" w:sz="6" w:space="0" w:color="000000"/>
            </w:tcBorders>
          </w:tcPr>
          <w:p>
            <w:pPr>
              <w:pStyle w:val="TableParagraph"/>
              <w:spacing w:before="50"/>
              <w:ind w:left="332"/>
              <w:jc w:val="left"/>
              <w:rPr>
                <w:sz w:val="21"/>
              </w:rPr>
            </w:pPr>
            <w:r>
              <w:rPr>
                <w:sz w:val="21"/>
              </w:rPr>
              <w:t>&lt;0.01</w:t>
            </w:r>
          </w:p>
        </w:tc>
        <w:tc>
          <w:tcPr>
            <w:tcW w:w="1143" w:type="dxa"/>
            <w:tcBorders>
              <w:top w:val="single" w:sz="6" w:space="0" w:color="000000"/>
              <w:left w:val="single" w:sz="6" w:space="0" w:color="000000"/>
              <w:right w:val="single" w:sz="6" w:space="0" w:color="000000"/>
            </w:tcBorders>
          </w:tcPr>
          <w:p>
            <w:pPr>
              <w:pStyle w:val="TableParagraph"/>
              <w:spacing w:before="50"/>
              <w:ind w:left="133" w:right="105"/>
              <w:rPr>
                <w:sz w:val="21"/>
              </w:rPr>
            </w:pPr>
            <w:r>
              <w:rPr>
                <w:sz w:val="21"/>
              </w:rPr>
              <w:t>&lt;0.01</w:t>
            </w:r>
          </w:p>
        </w:tc>
        <w:tc>
          <w:tcPr>
            <w:tcW w:w="1143" w:type="dxa"/>
            <w:tcBorders>
              <w:top w:val="single" w:sz="6" w:space="0" w:color="000000"/>
              <w:left w:val="single" w:sz="6" w:space="0" w:color="000000"/>
              <w:right w:val="single" w:sz="6" w:space="0" w:color="000000"/>
            </w:tcBorders>
          </w:tcPr>
          <w:p>
            <w:pPr>
              <w:pStyle w:val="TableParagraph"/>
              <w:spacing w:before="50"/>
              <w:ind w:left="133" w:right="106"/>
              <w:rPr>
                <w:sz w:val="21"/>
              </w:rPr>
            </w:pPr>
            <w:r>
              <w:rPr>
                <w:sz w:val="21"/>
              </w:rPr>
              <w:t>&lt;0.01</w:t>
            </w:r>
          </w:p>
        </w:tc>
        <w:tc>
          <w:tcPr>
            <w:tcW w:w="870" w:type="dxa"/>
            <w:tcBorders>
              <w:top w:val="single" w:sz="6" w:space="0" w:color="000000"/>
              <w:left w:val="single" w:sz="6" w:space="0" w:color="000000"/>
              <w:right w:val="single" w:sz="6" w:space="0" w:color="000000"/>
            </w:tcBorders>
          </w:tcPr>
          <w:p>
            <w:pPr>
              <w:pStyle w:val="TableParagraph"/>
              <w:spacing w:before="50"/>
              <w:ind w:left="125" w:right="102"/>
              <w:rPr>
                <w:sz w:val="21"/>
              </w:rPr>
            </w:pPr>
            <w:r>
              <w:rPr>
                <w:sz w:val="21"/>
              </w:rPr>
              <w:t>≤0.05</w:t>
            </w:r>
          </w:p>
        </w:tc>
        <w:tc>
          <w:tcPr>
            <w:tcW w:w="915" w:type="dxa"/>
            <w:tcBorders>
              <w:top w:val="single" w:sz="6" w:space="0" w:color="000000"/>
              <w:left w:val="single" w:sz="6" w:space="0" w:color="000000"/>
              <w:right w:val="single" w:sz="6" w:space="0" w:color="000000"/>
            </w:tcBorders>
          </w:tcPr>
          <w:p>
            <w:pPr>
              <w:pStyle w:val="TableParagraph"/>
              <w:spacing w:before="50"/>
              <w:ind w:right="197"/>
              <w:jc w:val="right"/>
              <w:rPr>
                <w:sz w:val="21"/>
              </w:rPr>
            </w:pPr>
            <w:r>
              <w:rPr>
                <w:sz w:val="21"/>
              </w:rPr>
              <w:t>0.100</w:t>
            </w:r>
          </w:p>
        </w:tc>
        <w:tc>
          <w:tcPr>
            <w:tcW w:w="918" w:type="dxa"/>
            <w:tcBorders>
              <w:top w:val="single" w:sz="6" w:space="0" w:color="000000"/>
              <w:left w:val="single" w:sz="6" w:space="0" w:color="000000"/>
              <w:right w:val="single" w:sz="6" w:space="0" w:color="000000"/>
            </w:tcBorders>
          </w:tcPr>
          <w:p>
            <w:pPr>
              <w:pStyle w:val="TableParagraph"/>
              <w:spacing w:before="36"/>
              <w:ind w:left="251"/>
              <w:jc w:val="left"/>
              <w:rPr>
                <w:rFonts w:ascii="宋体" w:hAnsi="宋体" w:eastAsia="宋体" w:hint="eastAsia"/>
                <w:sz w:val="21"/>
              </w:rPr>
            </w:pPr>
            <w:r>
              <w:rPr>
                <w:rFonts w:ascii="宋体" w:hAnsi="宋体" w:eastAsia="宋体" w:hint="eastAsia"/>
                <w:sz w:val="21"/>
              </w:rPr>
              <w:t>Ⅰ类</w:t>
            </w:r>
          </w:p>
        </w:tc>
        <w:tc>
          <w:tcPr>
            <w:tcW w:w="687" w:type="dxa"/>
            <w:vMerge/>
            <w:tcBorders>
              <w:top w:val="nil"/>
              <w:left w:val="single" w:sz="6" w:space="0" w:color="000000"/>
            </w:tcBorders>
          </w:tcPr>
          <w:p>
            <w:pPr>
              <w:rPr>
                <w:sz w:val="2"/>
                <w:szCs w:val="2"/>
              </w:rPr>
            </w:pPr>
          </w:p>
        </w:tc>
      </w:tr>
    </w:tbl>
    <w:p>
      <w:pPr>
        <w:pStyle w:val="BodyText"/>
        <w:spacing w:before="85"/>
        <w:ind w:left="717"/>
      </w:pPr>
      <w:r>
        <w:rPr/>
        <w:t>根据监测结果可知，项目周边地表水各项监测指标均能满足《地表水环境质量标准》</w:t>
      </w:r>
    </w:p>
    <w:p>
      <w:pPr>
        <w:pStyle w:val="BodyText"/>
        <w:spacing w:before="160"/>
      </w:pPr>
      <w:r>
        <w:rPr/>
        <w:t>（</w:t>
      </w:r>
      <w:r>
        <w:rPr>
          <w:rFonts w:ascii="Times New Roman" w:hAnsi="Times New Roman" w:eastAsia="Times New Roman"/>
        </w:rPr>
        <w:t>GB 3838-2002</w:t>
      </w:r>
      <w:r>
        <w:rPr/>
        <w:t>）中的Ⅲ类标准要求，说明项目周边地表水环境质量现状总体较好。</w:t>
      </w:r>
    </w:p>
    <w:p>
      <w:pPr>
        <w:pStyle w:val="Heading3"/>
      </w:pPr>
      <w:r>
        <w:rPr>
          <w:rFonts w:ascii="Times New Roman" w:eastAsia="Times New Roman"/>
        </w:rPr>
        <w:t>2</w:t>
      </w:r>
      <w:r>
        <w:rPr/>
        <w:t>、污水处理厂受纳水体环境质量现状</w:t>
      </w:r>
    </w:p>
    <w:p>
      <w:pPr>
        <w:pStyle w:val="BodyText"/>
        <w:spacing w:line="364" w:lineRule="auto" w:before="160"/>
        <w:ind w:right="248" w:firstLine="480"/>
        <w:jc w:val="both"/>
      </w:pPr>
      <w:r>
        <w:rPr/>
        <w:t>本工程外排废水由市政污水管网送至绍兴污水处理厂生活污水处理单元处理达标后排放，绍兴污水处理厂出水排入钱塘江，属于杭州湾海域入海河口段，水质执行三类海</w:t>
      </w:r>
      <w:r>
        <w:rPr>
          <w:spacing w:val="-8"/>
        </w:rPr>
        <w:t>水水质标准。根据浙江省生态环境厅发布的《浙江省 </w:t>
      </w:r>
      <w:r>
        <w:rPr>
          <w:rFonts w:ascii="Times New Roman" w:eastAsia="Times New Roman"/>
        </w:rPr>
        <w:t>2019 </w:t>
      </w:r>
      <w:r>
        <w:rPr>
          <w:spacing w:val="-4"/>
        </w:rPr>
        <w:t>环境质量状况公报》，</w:t>
      </w:r>
      <w:r>
        <w:rPr>
          <w:rFonts w:ascii="Times New Roman" w:eastAsia="Times New Roman"/>
          <w:spacing w:val="-5"/>
        </w:rPr>
        <w:t>2019 </w:t>
      </w:r>
      <w:r>
        <w:rPr>
          <w:spacing w:val="-12"/>
        </w:rPr>
        <w:t>年</w:t>
      </w:r>
      <w:r>
        <w:rPr/>
        <w:t>杭州湾海域水质为劣四类，主要超标污染物为无机氮、活性磷酸盐，故本项目废水纳污水体水环境质量未达标。但公报结论显示，杭州湾富营养化指数有所下降。</w:t>
      </w:r>
    </w:p>
    <w:p>
      <w:pPr>
        <w:pStyle w:val="Heading3"/>
        <w:numPr>
          <w:ilvl w:val="2"/>
          <w:numId w:val="53"/>
        </w:numPr>
        <w:tabs>
          <w:tab w:pos="838" w:val="left" w:leader="none"/>
        </w:tabs>
        <w:spacing w:line="240" w:lineRule="auto" w:before="4" w:after="0"/>
        <w:ind w:left="837" w:right="0" w:hanging="601"/>
        <w:jc w:val="both"/>
      </w:pPr>
      <w:bookmarkStart w:name="_bookmark73" w:id="142"/>
      <w:bookmarkEnd w:id="142"/>
      <w:r>
        <w:rPr>
          <w:b w:val="0"/>
        </w:rPr>
      </w:r>
      <w:bookmarkStart w:name="_bookmark73" w:id="143"/>
      <w:bookmarkEnd w:id="143"/>
      <w:r>
        <w:rPr/>
        <w:t>地下水环境质量现状监测与评价</w:t>
      </w:r>
    </w:p>
    <w:p>
      <w:pPr>
        <w:pStyle w:val="BodyText"/>
        <w:spacing w:line="364" w:lineRule="auto" w:before="160"/>
        <w:ind w:right="134" w:firstLine="480"/>
      </w:pPr>
      <w:r>
        <w:rPr/>
        <w:t>为了解项目所在区域地下水环境质量现状，本环评编制期间建设单位委托杭州普洛</w:t>
      </w:r>
      <w:r>
        <w:rPr>
          <w:spacing w:val="-2"/>
        </w:rPr>
        <w:t>赛斯检测科技有限公司对项目附近地下水进行了采样监测，详见检测报告</w:t>
      </w:r>
      <w:r>
        <w:rPr/>
        <w:t>（附件十一</w:t>
      </w:r>
      <w:r>
        <w:rPr>
          <w:spacing w:val="-9"/>
        </w:rPr>
        <w:t>）</w:t>
      </w:r>
      <w:r>
        <w:rPr>
          <w:spacing w:val="-16"/>
        </w:rPr>
        <w:t>。</w:t>
      </w:r>
    </w:p>
    <w:p>
      <w:pPr>
        <w:pStyle w:val="Heading3"/>
        <w:spacing w:before="1"/>
      </w:pPr>
      <w:r>
        <w:rPr>
          <w:rFonts w:ascii="Times New Roman" w:eastAsia="Times New Roman"/>
        </w:rPr>
        <w:t>1</w:t>
      </w:r>
      <w:r>
        <w:rPr/>
        <w:t>、监测方案</w:t>
      </w:r>
    </w:p>
    <w:p>
      <w:pPr>
        <w:pStyle w:val="ListParagraph"/>
        <w:numPr>
          <w:ilvl w:val="0"/>
          <w:numId w:val="58"/>
        </w:numPr>
        <w:tabs>
          <w:tab w:pos="1323" w:val="left" w:leader="none"/>
        </w:tabs>
        <w:spacing w:line="240" w:lineRule="auto" w:before="161" w:after="0"/>
        <w:ind w:left="1323" w:right="0" w:hanging="604"/>
        <w:jc w:val="left"/>
        <w:rPr>
          <w:b/>
          <w:sz w:val="24"/>
        </w:rPr>
      </w:pPr>
      <w:r>
        <w:rPr>
          <w:b/>
          <w:sz w:val="24"/>
        </w:rPr>
        <w:t>监测点位</w:t>
      </w:r>
    </w:p>
    <w:p>
      <w:pPr>
        <w:pStyle w:val="BodyText"/>
        <w:spacing w:before="160"/>
        <w:ind w:left="717"/>
      </w:pPr>
      <w:r>
        <w:rPr/>
        <w:t>水位监测点：设置 </w:t>
      </w:r>
      <w:r>
        <w:rPr>
          <w:rFonts w:ascii="Times New Roman" w:eastAsia="Times New Roman"/>
        </w:rPr>
        <w:t>6 </w:t>
      </w:r>
      <w:r>
        <w:rPr/>
        <w:t>个水位监测点（</w:t>
      </w:r>
      <w:r>
        <w:rPr>
          <w:rFonts w:ascii="Times New Roman" w:eastAsia="Times New Roman"/>
        </w:rPr>
        <w:t>G1~G6</w:t>
      </w:r>
      <w:r>
        <w:rPr/>
        <w:t>），具体位置见附图五。</w:t>
      </w:r>
    </w:p>
    <w:p>
      <w:pPr>
        <w:spacing w:after="0"/>
        <w:sectPr>
          <w:pgSz w:w="11910" w:h="16840"/>
          <w:pgMar w:header="874" w:footer="1004" w:top="1420" w:bottom="1200" w:left="1040" w:right="1160"/>
        </w:sectPr>
      </w:pPr>
    </w:p>
    <w:p>
      <w:pPr>
        <w:pStyle w:val="BodyText"/>
        <w:spacing w:line="364" w:lineRule="auto" w:before="92"/>
        <w:ind w:right="252" w:firstLine="480"/>
      </w:pPr>
      <w:r>
        <w:rPr>
          <w:spacing w:val="-9"/>
        </w:rPr>
        <w:t>水质监测点：选取 </w:t>
      </w:r>
      <w:r>
        <w:rPr>
          <w:rFonts w:ascii="Times New Roman" w:eastAsia="Times New Roman"/>
        </w:rPr>
        <w:t>3 </w:t>
      </w:r>
      <w:r>
        <w:rPr>
          <w:spacing w:val="-2"/>
        </w:rPr>
        <w:t>个水质监测点</w:t>
      </w:r>
      <w:r>
        <w:rPr/>
        <w:t>（</w:t>
      </w:r>
      <w:r>
        <w:rPr>
          <w:spacing w:val="-8"/>
        </w:rPr>
        <w:t>至少须含厂区内 </w:t>
      </w:r>
      <w:r>
        <w:rPr>
          <w:rFonts w:ascii="Times New Roman" w:eastAsia="Times New Roman"/>
          <w:spacing w:val="-3"/>
        </w:rPr>
        <w:t>G1</w:t>
      </w:r>
      <w:r>
        <w:rPr>
          <w:spacing w:val="-17"/>
        </w:rPr>
        <w:t>，其余 </w:t>
      </w:r>
      <w:r>
        <w:rPr>
          <w:rFonts w:ascii="Times New Roman" w:eastAsia="Times New Roman"/>
        </w:rPr>
        <w:t>2 </w:t>
      </w:r>
      <w:r>
        <w:rPr>
          <w:spacing w:val="-2"/>
        </w:rPr>
        <w:t>个根据地下水流向</w:t>
      </w:r>
      <w:r>
        <w:rPr/>
        <w:t>分别选择上、下游）。</w:t>
      </w:r>
    </w:p>
    <w:p>
      <w:pPr>
        <w:pStyle w:val="Heading3"/>
        <w:numPr>
          <w:ilvl w:val="0"/>
          <w:numId w:val="58"/>
        </w:numPr>
        <w:tabs>
          <w:tab w:pos="1323" w:val="left" w:leader="none"/>
        </w:tabs>
        <w:spacing w:line="240" w:lineRule="auto" w:before="1" w:after="0"/>
        <w:ind w:left="1323" w:right="0" w:hanging="604"/>
        <w:jc w:val="left"/>
      </w:pPr>
      <w:r>
        <w:rPr/>
        <w:t>监测频率及项目</w:t>
      </w:r>
    </w:p>
    <w:p>
      <w:pPr>
        <w:pStyle w:val="BodyText"/>
        <w:spacing w:before="160"/>
        <w:ind w:left="717"/>
      </w:pPr>
      <w:r>
        <w:rPr/>
        <w:t>监测频次：</w:t>
      </w:r>
      <w:r>
        <w:rPr>
          <w:rFonts w:ascii="Times New Roman" w:eastAsia="Times New Roman"/>
        </w:rPr>
        <w:t>2020 </w:t>
      </w:r>
      <w:r>
        <w:rPr/>
        <w:t>年 </w:t>
      </w:r>
      <w:r>
        <w:rPr>
          <w:rFonts w:ascii="Times New Roman" w:eastAsia="Times New Roman"/>
        </w:rPr>
        <w:t>12 </w:t>
      </w:r>
      <w:r>
        <w:rPr/>
        <w:t>月 </w:t>
      </w:r>
      <w:r>
        <w:rPr>
          <w:rFonts w:ascii="Times New Roman" w:eastAsia="Times New Roman"/>
        </w:rPr>
        <w:t>11 </w:t>
      </w:r>
      <w:r>
        <w:rPr/>
        <w:t>日，采样监测 </w:t>
      </w:r>
      <w:r>
        <w:rPr>
          <w:rFonts w:ascii="Times New Roman" w:eastAsia="Times New Roman"/>
        </w:rPr>
        <w:t>1 </w:t>
      </w:r>
      <w:r>
        <w:rPr/>
        <w:t>次。</w:t>
      </w:r>
    </w:p>
    <w:p>
      <w:pPr>
        <w:spacing w:before="161"/>
        <w:ind w:left="717" w:right="0" w:firstLine="0"/>
        <w:jc w:val="left"/>
        <w:rPr>
          <w:rFonts w:ascii="Times New Roman" w:hAnsi="Times New Roman" w:eastAsia="Times New Roman"/>
          <w:sz w:val="16"/>
        </w:rPr>
      </w:pPr>
      <w:r>
        <w:rPr/>
        <w:pict>
          <v:shape style="position:absolute;margin-left:399.459991pt;margin-top:13.84542pt;width:112.05pt;height:8.950pt;mso-position-horizontal-relative:page;mso-position-vertical-relative:paragraph;z-index:-315453440" type="#_x0000_t202" filled="false" stroked="false">
            <v:textbox inset="0,0,0,0">
              <w:txbxContent>
                <w:p>
                  <w:pPr>
                    <w:tabs>
                      <w:tab w:pos="959" w:val="left" w:leader="none"/>
                      <w:tab w:pos="2160" w:val="left" w:leader="none"/>
                    </w:tabs>
                    <w:spacing w:line="178" w:lineRule="exact" w:before="0"/>
                    <w:ind w:left="0" w:right="0" w:firstLine="0"/>
                    <w:jc w:val="left"/>
                    <w:rPr>
                      <w:rFonts w:ascii="Times New Roman"/>
                      <w:sz w:val="16"/>
                    </w:rPr>
                  </w:pPr>
                  <w:r>
                    <w:rPr>
                      <w:rFonts w:ascii="Times New Roman"/>
                      <w:sz w:val="16"/>
                    </w:rPr>
                    <w:t>3</w:t>
                    <w:tab/>
                    <w:t>3</w:t>
                    <w:tab/>
                  </w:r>
                  <w:r>
                    <w:rPr>
                      <w:rFonts w:ascii="Times New Roman"/>
                      <w:spacing w:val="-20"/>
                      <w:sz w:val="16"/>
                    </w:rPr>
                    <w:t>4</w:t>
                  </w:r>
                </w:p>
              </w:txbxContent>
            </v:textbox>
            <w10:wrap type="none"/>
          </v:shape>
        </w:pict>
      </w:r>
      <w:r>
        <w:rPr>
          <w:sz w:val="24"/>
        </w:rPr>
        <w:t>监测项目：</w:t>
      </w:r>
      <w:r>
        <w:rPr>
          <w:rFonts w:ascii="Times New Roman" w:hAnsi="Times New Roman" w:eastAsia="Times New Roman"/>
          <w:sz w:val="24"/>
        </w:rPr>
        <w:t>——</w:t>
      </w:r>
      <w:r>
        <w:rPr>
          <w:sz w:val="24"/>
        </w:rPr>
        <w:t>化学特征因子：</w:t>
      </w:r>
      <w:r>
        <w:rPr>
          <w:rFonts w:ascii="Times New Roman" w:hAnsi="Times New Roman" w:eastAsia="Times New Roman"/>
          <w:sz w:val="24"/>
        </w:rPr>
        <w:t>K</w:t>
      </w:r>
      <w:r>
        <w:rPr>
          <w:rFonts w:ascii="Times New Roman" w:hAnsi="Times New Roman" w:eastAsia="Times New Roman"/>
          <w:position w:val="9"/>
          <w:sz w:val="16"/>
        </w:rPr>
        <w:t>+</w:t>
      </w:r>
      <w:r>
        <w:rPr>
          <w:sz w:val="24"/>
        </w:rPr>
        <w:t>、</w:t>
      </w:r>
      <w:r>
        <w:rPr>
          <w:rFonts w:ascii="Times New Roman" w:hAnsi="Times New Roman" w:eastAsia="Times New Roman"/>
          <w:sz w:val="24"/>
        </w:rPr>
        <w:t>Na</w:t>
      </w:r>
      <w:r>
        <w:rPr>
          <w:rFonts w:ascii="Times New Roman" w:hAnsi="Times New Roman" w:eastAsia="Times New Roman"/>
          <w:position w:val="9"/>
          <w:sz w:val="16"/>
        </w:rPr>
        <w:t>+</w:t>
      </w:r>
      <w:r>
        <w:rPr>
          <w:sz w:val="24"/>
        </w:rPr>
        <w:t>、</w:t>
      </w:r>
      <w:r>
        <w:rPr>
          <w:rFonts w:ascii="Times New Roman" w:hAnsi="Times New Roman" w:eastAsia="Times New Roman"/>
          <w:sz w:val="24"/>
        </w:rPr>
        <w:t>Ca</w:t>
      </w:r>
      <w:r>
        <w:rPr>
          <w:rFonts w:ascii="Times New Roman" w:hAnsi="Times New Roman" w:eastAsia="Times New Roman"/>
          <w:position w:val="9"/>
          <w:sz w:val="16"/>
        </w:rPr>
        <w:t>2+</w:t>
      </w:r>
      <w:r>
        <w:rPr>
          <w:sz w:val="24"/>
        </w:rPr>
        <w:t>、</w:t>
      </w:r>
      <w:r>
        <w:rPr>
          <w:rFonts w:ascii="Times New Roman" w:hAnsi="Times New Roman" w:eastAsia="Times New Roman"/>
          <w:sz w:val="24"/>
        </w:rPr>
        <w:t>Mg</w:t>
      </w:r>
      <w:r>
        <w:rPr>
          <w:rFonts w:ascii="Times New Roman" w:hAnsi="Times New Roman" w:eastAsia="Times New Roman"/>
          <w:position w:val="9"/>
          <w:sz w:val="16"/>
        </w:rPr>
        <w:t>2+</w:t>
      </w:r>
      <w:r>
        <w:rPr>
          <w:sz w:val="24"/>
        </w:rPr>
        <w:t>、</w:t>
      </w:r>
      <w:r>
        <w:rPr>
          <w:rFonts w:ascii="Times New Roman" w:hAnsi="Times New Roman" w:eastAsia="Times New Roman"/>
          <w:sz w:val="24"/>
        </w:rPr>
        <w:t>CO </w:t>
      </w:r>
      <w:r>
        <w:rPr>
          <w:rFonts w:ascii="Times New Roman" w:hAnsi="Times New Roman" w:eastAsia="Times New Roman"/>
          <w:position w:val="9"/>
          <w:sz w:val="16"/>
        </w:rPr>
        <w:t>2-</w:t>
      </w:r>
      <w:r>
        <w:rPr>
          <w:sz w:val="24"/>
        </w:rPr>
        <w:t>、</w:t>
      </w:r>
      <w:r>
        <w:rPr>
          <w:rFonts w:ascii="Times New Roman" w:hAnsi="Times New Roman" w:eastAsia="Times New Roman"/>
          <w:sz w:val="24"/>
        </w:rPr>
        <w:t>HCO </w:t>
      </w:r>
      <w:r>
        <w:rPr>
          <w:rFonts w:ascii="Times New Roman" w:hAnsi="Times New Roman" w:eastAsia="Times New Roman"/>
          <w:position w:val="9"/>
          <w:sz w:val="16"/>
        </w:rPr>
        <w:t>-</w:t>
      </w:r>
      <w:r>
        <w:rPr>
          <w:sz w:val="24"/>
        </w:rPr>
        <w:t>、</w:t>
      </w:r>
      <w:r>
        <w:rPr>
          <w:rFonts w:ascii="Times New Roman" w:hAnsi="Times New Roman" w:eastAsia="Times New Roman"/>
          <w:sz w:val="24"/>
        </w:rPr>
        <w:t>Cl</w:t>
      </w:r>
      <w:r>
        <w:rPr>
          <w:rFonts w:ascii="Times New Roman" w:hAnsi="Times New Roman" w:eastAsia="Times New Roman"/>
          <w:position w:val="9"/>
          <w:sz w:val="16"/>
        </w:rPr>
        <w:t>-</w:t>
      </w:r>
      <w:r>
        <w:rPr>
          <w:sz w:val="24"/>
        </w:rPr>
        <w:t>、</w:t>
      </w:r>
      <w:r>
        <w:rPr>
          <w:rFonts w:ascii="Times New Roman" w:hAnsi="Times New Roman" w:eastAsia="Times New Roman"/>
          <w:sz w:val="24"/>
        </w:rPr>
        <w:t>SO </w:t>
      </w:r>
      <w:r>
        <w:rPr>
          <w:rFonts w:ascii="Times New Roman" w:hAnsi="Times New Roman" w:eastAsia="Times New Roman"/>
          <w:position w:val="9"/>
          <w:sz w:val="16"/>
        </w:rPr>
        <w:t>2-</w:t>
      </w:r>
    </w:p>
    <w:p>
      <w:pPr>
        <w:pStyle w:val="BodyText"/>
        <w:spacing w:line="364" w:lineRule="auto" w:before="160"/>
        <w:ind w:right="130" w:firstLine="480"/>
      </w:pPr>
      <w:r>
        <w:rPr>
          <w:rFonts w:ascii="Times New Roman" w:hAnsi="Times New Roman" w:eastAsia="Times New Roman"/>
        </w:rPr>
        <w:t>——</w:t>
      </w:r>
      <w:r>
        <w:rPr>
          <w:spacing w:val="-1"/>
        </w:rPr>
        <w:t>水质监测因子：</w:t>
      </w:r>
      <w:r>
        <w:rPr>
          <w:rFonts w:ascii="Times New Roman" w:hAnsi="Times New Roman" w:eastAsia="Times New Roman"/>
          <w:spacing w:val="-4"/>
        </w:rPr>
        <w:t>pH</w:t>
      </w:r>
      <w:r>
        <w:rPr>
          <w:spacing w:val="-11"/>
        </w:rPr>
        <w:t>、氨氮、硝酸盐氮、亚硝酸盐氮、挥发酚、氰化物、砷、汞、</w:t>
      </w:r>
      <w:r>
        <w:rPr/>
        <w:t>六价铬、总硬度、铅、氟化物、镉、铁、锰、溶解性总固体、高锰酸盐指数、总大肠菌群、细菌总数、铜、锌等。</w:t>
      </w:r>
    </w:p>
    <w:p>
      <w:pPr>
        <w:pStyle w:val="Heading3"/>
        <w:spacing w:before="3"/>
      </w:pPr>
      <w:r>
        <w:rPr>
          <w:rFonts w:ascii="Times New Roman" w:eastAsia="Times New Roman"/>
        </w:rPr>
        <w:t>2</w:t>
      </w:r>
      <w:r>
        <w:rPr/>
        <w:t>、评价方法</w:t>
      </w:r>
    </w:p>
    <w:p>
      <w:pPr>
        <w:pStyle w:val="BodyText"/>
        <w:spacing w:line="364" w:lineRule="auto" w:before="160"/>
        <w:ind w:right="244" w:firstLine="463"/>
      </w:pPr>
      <w:r>
        <w:rPr>
          <w:spacing w:val="-12"/>
        </w:rPr>
        <w:t>采用单项水质参数标准指数法，对水环境质量现状进行评价</w:t>
      </w:r>
      <w:r>
        <w:rPr>
          <w:spacing w:val="-5"/>
        </w:rPr>
        <w:t>（</w:t>
      </w:r>
      <w:r>
        <w:rPr>
          <w:rFonts w:ascii="Times New Roman" w:hAnsi="Times New Roman" w:eastAsia="Times New Roman"/>
          <w:spacing w:val="-5"/>
        </w:rPr>
        <w:t>pH</w:t>
      </w:r>
      <w:r>
        <w:rPr>
          <w:spacing w:val="-20"/>
        </w:rPr>
        <w:t>、</w:t>
      </w:r>
      <w:r>
        <w:rPr>
          <w:rFonts w:ascii="Times New Roman" w:hAnsi="Times New Roman" w:eastAsia="Times New Roman"/>
        </w:rPr>
        <w:t>DO </w:t>
      </w:r>
      <w:r>
        <w:rPr>
          <w:spacing w:val="-9"/>
        </w:rPr>
        <w:t>除外</w:t>
      </w:r>
      <w:r>
        <w:rPr>
          <w:spacing w:val="-19"/>
        </w:rPr>
        <w:t>）</w:t>
      </w:r>
      <w:r>
        <w:rPr>
          <w:spacing w:val="-9"/>
        </w:rPr>
        <w:t>，评价标</w:t>
      </w:r>
      <w:r>
        <w:rPr>
          <w:spacing w:val="-10"/>
        </w:rPr>
        <w:t>准采用《地下水质量标准》</w:t>
      </w:r>
      <w:r>
        <w:rPr>
          <w:spacing w:val="-5"/>
        </w:rPr>
        <w:t>（</w:t>
      </w:r>
      <w:r>
        <w:rPr>
          <w:rFonts w:ascii="Times New Roman" w:hAnsi="Times New Roman" w:eastAsia="Times New Roman"/>
          <w:spacing w:val="-5"/>
        </w:rPr>
        <w:t>GB/T 14848-2017</w:t>
      </w:r>
      <w:r>
        <w:rPr>
          <w:spacing w:val="-5"/>
        </w:rPr>
        <w:t>）</w:t>
      </w:r>
      <w:r>
        <w:rPr>
          <w:spacing w:val="-10"/>
        </w:rPr>
        <w:t>Ⅲ类标准。单项评价标准指数法如下：</w:t>
      </w:r>
    </w:p>
    <w:p>
      <w:pPr>
        <w:spacing w:before="1"/>
        <w:ind w:left="700" w:right="0" w:firstLine="0"/>
        <w:jc w:val="left"/>
        <w:rPr>
          <w:sz w:val="24"/>
        </w:rPr>
      </w:pPr>
      <w:r>
        <w:rPr>
          <w:position w:val="2"/>
          <w:sz w:val="24"/>
        </w:rPr>
        <w:t>单项水质参数 </w:t>
      </w:r>
      <w:r>
        <w:rPr>
          <w:rFonts w:ascii="Times New Roman" w:eastAsia="Times New Roman"/>
          <w:i/>
          <w:position w:val="2"/>
          <w:sz w:val="24"/>
        </w:rPr>
        <w:t>i </w:t>
      </w:r>
      <w:r>
        <w:rPr>
          <w:position w:val="2"/>
          <w:sz w:val="24"/>
        </w:rPr>
        <w:t>在 </w:t>
      </w:r>
      <w:r>
        <w:rPr>
          <w:rFonts w:ascii="Times New Roman" w:eastAsia="Times New Roman"/>
          <w:i/>
          <w:position w:val="2"/>
          <w:sz w:val="24"/>
        </w:rPr>
        <w:t>j </w:t>
      </w:r>
      <w:r>
        <w:rPr>
          <w:position w:val="2"/>
          <w:sz w:val="24"/>
        </w:rPr>
        <w:t>点的标准指数 </w:t>
      </w:r>
      <w:r>
        <w:rPr>
          <w:rFonts w:ascii="Times New Roman" w:eastAsia="Times New Roman"/>
          <w:i/>
          <w:position w:val="2"/>
          <w:sz w:val="24"/>
        </w:rPr>
        <w:t>S</w:t>
      </w:r>
      <w:r>
        <w:rPr>
          <w:rFonts w:ascii="Times New Roman" w:eastAsia="Times New Roman"/>
          <w:i/>
          <w:sz w:val="16"/>
        </w:rPr>
        <w:t>i,j </w:t>
      </w:r>
      <w:r>
        <w:rPr>
          <w:position w:val="2"/>
          <w:sz w:val="24"/>
        </w:rPr>
        <w:t>的计算模式为：</w:t>
      </w:r>
    </w:p>
    <w:p>
      <w:pPr>
        <w:spacing w:after="0"/>
        <w:jc w:val="left"/>
        <w:rPr>
          <w:sz w:val="24"/>
        </w:rPr>
        <w:sectPr>
          <w:pgSz w:w="11910" w:h="16840"/>
          <w:pgMar w:header="874" w:footer="1004" w:top="1420" w:bottom="1200" w:left="1040" w:right="1160"/>
        </w:sectPr>
      </w:pPr>
    </w:p>
    <w:p>
      <w:pPr>
        <w:spacing w:before="228"/>
        <w:ind w:left="0" w:right="0" w:firstLine="0"/>
        <w:jc w:val="right"/>
        <w:rPr>
          <w:rFonts w:ascii="Times New Roman"/>
          <w:i/>
          <w:sz w:val="13"/>
        </w:rPr>
      </w:pPr>
      <w:r>
        <w:rPr>
          <w:rFonts w:ascii="Times New Roman"/>
          <w:i/>
          <w:w w:val="105"/>
          <w:position w:val="6"/>
          <w:sz w:val="23"/>
        </w:rPr>
        <w:t>S</w:t>
      </w:r>
      <w:r>
        <w:rPr>
          <w:rFonts w:ascii="Times New Roman"/>
          <w:i/>
          <w:w w:val="105"/>
          <w:sz w:val="13"/>
        </w:rPr>
        <w:t>i</w:t>
      </w:r>
      <w:r>
        <w:rPr>
          <w:rFonts w:ascii="Times New Roman"/>
          <w:w w:val="105"/>
          <w:sz w:val="13"/>
        </w:rPr>
        <w:t>, </w:t>
      </w:r>
      <w:r>
        <w:rPr>
          <w:rFonts w:ascii="Times New Roman"/>
          <w:i/>
          <w:w w:val="105"/>
          <w:sz w:val="13"/>
        </w:rPr>
        <w:t>j</w:t>
      </w:r>
    </w:p>
    <w:p>
      <w:pPr>
        <w:spacing w:line="339" w:lineRule="exact" w:before="84"/>
        <w:ind w:left="61" w:right="0" w:firstLine="0"/>
        <w:jc w:val="left"/>
        <w:rPr>
          <w:rFonts w:ascii="Times New Roman" w:hAnsi="Times New Roman"/>
          <w:i/>
          <w:sz w:val="13"/>
        </w:rPr>
      </w:pPr>
      <w:r>
        <w:rPr/>
        <w:br w:type="column"/>
      </w:r>
      <w:r>
        <w:rPr>
          <w:rFonts w:ascii="Symbol" w:hAnsi="Symbol"/>
          <w:w w:val="105"/>
          <w:position w:val="-8"/>
          <w:sz w:val="23"/>
        </w:rPr>
        <w:t></w:t>
      </w:r>
      <w:r>
        <w:rPr>
          <w:rFonts w:ascii="Times New Roman" w:hAnsi="Times New Roman"/>
          <w:w w:val="105"/>
          <w:position w:val="-8"/>
          <w:sz w:val="23"/>
        </w:rPr>
        <w:t> </w:t>
      </w:r>
      <w:r>
        <w:rPr>
          <w:rFonts w:ascii="Times New Roman" w:hAnsi="Times New Roman"/>
          <w:i/>
          <w:w w:val="105"/>
          <w:position w:val="6"/>
          <w:sz w:val="23"/>
        </w:rPr>
        <w:t>C</w:t>
      </w:r>
      <w:r>
        <w:rPr>
          <w:rFonts w:ascii="Times New Roman" w:hAnsi="Times New Roman"/>
          <w:i/>
          <w:w w:val="105"/>
          <w:sz w:val="13"/>
        </w:rPr>
        <w:t>i</w:t>
      </w:r>
      <w:r>
        <w:rPr>
          <w:rFonts w:ascii="Times New Roman" w:hAnsi="Times New Roman"/>
          <w:w w:val="105"/>
          <w:sz w:val="13"/>
        </w:rPr>
        <w:t>, </w:t>
      </w:r>
      <w:r>
        <w:rPr>
          <w:rFonts w:ascii="Times New Roman" w:hAnsi="Times New Roman"/>
          <w:i/>
          <w:w w:val="105"/>
          <w:sz w:val="13"/>
        </w:rPr>
        <w:t>j</w:t>
      </w:r>
    </w:p>
    <w:p>
      <w:pPr>
        <w:spacing w:line="226" w:lineRule="exact" w:before="0"/>
        <w:ind w:left="633" w:right="0" w:firstLine="0"/>
        <w:jc w:val="left"/>
        <w:rPr>
          <w:rFonts w:ascii="Times New Roman"/>
          <w:i/>
          <w:sz w:val="13"/>
        </w:rPr>
      </w:pPr>
      <w:r>
        <w:rPr/>
        <w:pict>
          <v:line style="position:absolute;mso-position-horizontal-relative:page;mso-position-vertical-relative:paragraph;z-index:-315454464" from="346.652825pt,-14.867569pt" to="328.274841pt,10.002980pt" stroked="true" strokeweight=".490549pt" strokecolor="#000000">
            <v:stroke dashstyle="solid"/>
            <w10:wrap type="none"/>
          </v:line>
        </w:pict>
      </w:r>
      <w:r>
        <w:rPr>
          <w:rFonts w:ascii="Times New Roman"/>
          <w:i/>
          <w:w w:val="105"/>
          <w:position w:val="6"/>
          <w:sz w:val="23"/>
        </w:rPr>
        <w:t>C</w:t>
      </w:r>
      <w:r>
        <w:rPr>
          <w:rFonts w:ascii="Times New Roman"/>
          <w:i/>
          <w:w w:val="105"/>
          <w:sz w:val="13"/>
        </w:rPr>
        <w:t>si</w:t>
      </w:r>
    </w:p>
    <w:p>
      <w:pPr>
        <w:spacing w:after="0" w:line="226" w:lineRule="exact"/>
        <w:jc w:val="left"/>
        <w:rPr>
          <w:rFonts w:ascii="Times New Roman"/>
          <w:sz w:val="13"/>
        </w:rPr>
        <w:sectPr>
          <w:type w:val="continuous"/>
          <w:pgSz w:w="11910" w:h="16840"/>
          <w:pgMar w:top="1400" w:bottom="1200" w:left="1040" w:right="1160"/>
          <w:cols w:num="2" w:equalWidth="0">
            <w:col w:w="5038" w:space="40"/>
            <w:col w:w="4632"/>
          </w:cols>
        </w:sectPr>
      </w:pPr>
    </w:p>
    <w:p>
      <w:pPr>
        <w:pStyle w:val="BodyText"/>
        <w:spacing w:before="2"/>
        <w:ind w:left="0"/>
        <w:rPr>
          <w:rFonts w:ascii="Times New Roman"/>
          <w:i/>
          <w:sz w:val="15"/>
        </w:rPr>
      </w:pPr>
    </w:p>
    <w:p>
      <w:pPr>
        <w:pStyle w:val="BodyText"/>
        <w:spacing w:before="74"/>
        <w:ind w:left="700"/>
      </w:pPr>
      <w:r>
        <w:rPr>
          <w:spacing w:val="-17"/>
        </w:rPr>
        <w:t>当标准指数大于 </w:t>
      </w:r>
      <w:r>
        <w:rPr>
          <w:rFonts w:ascii="Times New Roman" w:eastAsia="Times New Roman"/>
        </w:rPr>
        <w:t>1 </w:t>
      </w:r>
      <w:r>
        <w:rPr>
          <w:spacing w:val="-23"/>
        </w:rPr>
        <w:t>时，表明该水质参数超过了规定的水质标准，已经不能满足使用要求。</w:t>
      </w:r>
    </w:p>
    <w:p>
      <w:pPr>
        <w:pStyle w:val="Heading3"/>
      </w:pPr>
      <w:r>
        <w:rPr>
          <w:rFonts w:ascii="Times New Roman" w:eastAsia="Times New Roman"/>
        </w:rPr>
        <w:t>3</w:t>
      </w:r>
      <w:r>
        <w:rPr/>
        <w:t>、监测结果</w:t>
      </w:r>
    </w:p>
    <w:p>
      <w:pPr>
        <w:pStyle w:val="BodyText"/>
        <w:spacing w:line="364" w:lineRule="auto" w:before="161"/>
        <w:ind w:right="252" w:firstLine="480"/>
      </w:pPr>
      <w:r>
        <w:rPr/>
        <w:t>地下水水位监测结果见表 </w:t>
      </w:r>
      <w:r>
        <w:rPr>
          <w:rFonts w:ascii="Times New Roman" w:eastAsia="Times New Roman"/>
        </w:rPr>
        <w:t>4.3-5</w:t>
      </w:r>
      <w:r>
        <w:rPr/>
        <w:t>，阴阳离子平衡评价结果如表 </w:t>
      </w:r>
      <w:r>
        <w:rPr>
          <w:rFonts w:ascii="Times New Roman" w:eastAsia="Times New Roman"/>
        </w:rPr>
        <w:t>4.3-6 </w:t>
      </w:r>
      <w:r>
        <w:rPr/>
        <w:t>所示，地下水水质监测结果见表 </w:t>
      </w:r>
      <w:r>
        <w:rPr>
          <w:rFonts w:ascii="Times New Roman" w:eastAsia="Times New Roman"/>
        </w:rPr>
        <w:t>4.3-7</w:t>
      </w:r>
      <w:r>
        <w:rPr/>
        <w:t>。</w:t>
      </w:r>
    </w:p>
    <w:p>
      <w:pPr>
        <w:pStyle w:val="BodyText"/>
        <w:spacing w:line="364" w:lineRule="auto" w:before="1"/>
        <w:ind w:right="131" w:firstLine="480"/>
      </w:pPr>
      <w:r>
        <w:rPr/>
        <w:t>根据阴阳离子平衡分析， </w:t>
      </w:r>
      <w:r>
        <w:rPr>
          <w:rFonts w:ascii="Times New Roman" w:hAnsi="Times New Roman" w:eastAsia="Times New Roman"/>
        </w:rPr>
        <w:t>3 </w:t>
      </w:r>
      <w:r>
        <w:rPr/>
        <w:t>个水质监测点的阴阳离子摩尔浓度差百分比在</w:t>
      </w:r>
      <w:r>
        <w:rPr>
          <w:rFonts w:ascii="Times New Roman" w:hAnsi="Times New Roman" w:eastAsia="Times New Roman"/>
        </w:rPr>
        <w:t>0.09%~2.24%</w:t>
      </w:r>
      <w:r>
        <w:rPr/>
        <w:t>之间，基本平衡，说明本项目地下水检测结果基本可信。由水质监测结果可知，</w:t>
      </w:r>
      <w:r>
        <w:rPr>
          <w:rFonts w:ascii="Times New Roman" w:hAnsi="Times New Roman" w:eastAsia="Times New Roman"/>
        </w:rPr>
        <w:t>3 </w:t>
      </w:r>
      <w:r>
        <w:rPr/>
        <w:t>个水质监测点位各项监测指标均能够满足《地下水质量标准》（</w:t>
      </w:r>
      <w:r>
        <w:rPr>
          <w:rFonts w:ascii="Times New Roman" w:hAnsi="Times New Roman" w:eastAsia="Times New Roman"/>
        </w:rPr>
        <w:t>GB/T 14848-2017</w:t>
      </w:r>
      <w:r>
        <w:rPr/>
        <w:t>） 中的Ⅲ类标准要求，说明项目所在区域地下水环境质量现状总体尚可。</w:t>
      </w:r>
    </w:p>
    <w:p>
      <w:pPr>
        <w:pStyle w:val="Heading3"/>
        <w:spacing w:before="2"/>
        <w:ind w:left="2777"/>
        <w:rPr>
          <w:rFonts w:ascii="Times New Roman" w:eastAsia="Times New Roman"/>
        </w:rPr>
      </w:pPr>
      <w:r>
        <w:rPr/>
        <w:t>表 </w:t>
      </w:r>
      <w:r>
        <w:rPr>
          <w:rFonts w:ascii="Times New Roman" w:eastAsia="Times New Roman"/>
        </w:rPr>
        <w:t>4.3-5  </w:t>
      </w:r>
      <w:r>
        <w:rPr/>
        <w:t>地下水水位监测结果 单位：</w:t>
      </w:r>
      <w:r>
        <w:rPr>
          <w:rFonts w:ascii="Times New Roman" w:eastAsia="Times New Roman"/>
        </w:rPr>
        <w:t>m</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11"/>
        <w:gridCol w:w="4801"/>
        <w:gridCol w:w="2618"/>
      </w:tblGrid>
      <w:tr>
        <w:trPr>
          <w:trHeight w:val="359" w:hRule="atLeast"/>
        </w:trPr>
        <w:tc>
          <w:tcPr>
            <w:tcW w:w="2011" w:type="dxa"/>
            <w:tcBorders>
              <w:bottom w:val="single" w:sz="6" w:space="0" w:color="000000"/>
              <w:right w:val="single" w:sz="6" w:space="0" w:color="000000"/>
            </w:tcBorders>
          </w:tcPr>
          <w:p>
            <w:pPr>
              <w:pStyle w:val="TableParagraph"/>
              <w:spacing w:before="44"/>
              <w:ind w:left="345" w:right="324"/>
              <w:rPr>
                <w:rFonts w:ascii="宋体" w:eastAsia="宋体" w:hint="eastAsia"/>
                <w:b/>
                <w:sz w:val="21"/>
              </w:rPr>
            </w:pPr>
            <w:r>
              <w:rPr>
                <w:rFonts w:ascii="宋体" w:eastAsia="宋体" w:hint="eastAsia"/>
                <w:b/>
                <w:sz w:val="21"/>
              </w:rPr>
              <w:t>检测点编号</w:t>
            </w:r>
          </w:p>
        </w:tc>
        <w:tc>
          <w:tcPr>
            <w:tcW w:w="4801" w:type="dxa"/>
            <w:tcBorders>
              <w:left w:val="single" w:sz="6" w:space="0" w:color="000000"/>
              <w:bottom w:val="single" w:sz="6" w:space="0" w:color="000000"/>
              <w:right w:val="single" w:sz="6" w:space="0" w:color="000000"/>
            </w:tcBorders>
          </w:tcPr>
          <w:p>
            <w:pPr>
              <w:pStyle w:val="TableParagraph"/>
              <w:spacing w:before="44"/>
              <w:ind w:left="975" w:right="951"/>
              <w:rPr>
                <w:rFonts w:ascii="宋体" w:eastAsia="宋体" w:hint="eastAsia"/>
                <w:b/>
                <w:sz w:val="21"/>
              </w:rPr>
            </w:pPr>
            <w:r>
              <w:rPr>
                <w:rFonts w:ascii="宋体" w:eastAsia="宋体" w:hint="eastAsia"/>
                <w:b/>
                <w:sz w:val="21"/>
              </w:rPr>
              <w:t>坐标</w:t>
            </w:r>
          </w:p>
        </w:tc>
        <w:tc>
          <w:tcPr>
            <w:tcW w:w="2618" w:type="dxa"/>
            <w:tcBorders>
              <w:left w:val="single" w:sz="6" w:space="0" w:color="000000"/>
              <w:bottom w:val="single" w:sz="6" w:space="0" w:color="000000"/>
            </w:tcBorders>
          </w:tcPr>
          <w:p>
            <w:pPr>
              <w:pStyle w:val="TableParagraph"/>
              <w:spacing w:before="44"/>
              <w:ind w:left="576" w:right="538"/>
              <w:rPr>
                <w:rFonts w:ascii="宋体" w:eastAsia="宋体" w:hint="eastAsia"/>
                <w:b/>
                <w:sz w:val="21"/>
              </w:rPr>
            </w:pPr>
            <w:r>
              <w:rPr>
                <w:rFonts w:ascii="宋体" w:eastAsia="宋体" w:hint="eastAsia"/>
                <w:b/>
                <w:sz w:val="21"/>
              </w:rPr>
              <w:t>水位标高（</w:t>
            </w:r>
            <w:r>
              <w:rPr>
                <w:b/>
                <w:sz w:val="21"/>
              </w:rPr>
              <w:t>m</w:t>
            </w:r>
            <w:r>
              <w:rPr>
                <w:rFonts w:ascii="宋体" w:eastAsia="宋体" w:hint="eastAsia"/>
                <w:b/>
                <w:sz w:val="21"/>
              </w:rPr>
              <w:t>）</w:t>
            </w:r>
          </w:p>
        </w:tc>
      </w:tr>
      <w:tr>
        <w:trPr>
          <w:trHeight w:val="356" w:hRule="atLeast"/>
        </w:trPr>
        <w:tc>
          <w:tcPr>
            <w:tcW w:w="2011" w:type="dxa"/>
            <w:tcBorders>
              <w:top w:val="single" w:sz="6" w:space="0" w:color="000000"/>
              <w:bottom w:val="single" w:sz="6" w:space="0" w:color="000000"/>
              <w:right w:val="single" w:sz="6" w:space="0" w:color="000000"/>
            </w:tcBorders>
          </w:tcPr>
          <w:p>
            <w:pPr>
              <w:pStyle w:val="TableParagraph"/>
              <w:ind w:left="346" w:right="324"/>
              <w:rPr>
                <w:sz w:val="21"/>
              </w:rPr>
            </w:pPr>
            <w:r>
              <w:rPr>
                <w:sz w:val="21"/>
              </w:rPr>
              <w:t>G1</w:t>
            </w:r>
          </w:p>
        </w:tc>
        <w:tc>
          <w:tcPr>
            <w:tcW w:w="4801" w:type="dxa"/>
            <w:tcBorders>
              <w:top w:val="single" w:sz="6" w:space="0" w:color="000000"/>
              <w:left w:val="single" w:sz="6" w:space="0" w:color="000000"/>
              <w:bottom w:val="single" w:sz="6" w:space="0" w:color="000000"/>
              <w:right w:val="single" w:sz="6" w:space="0" w:color="000000"/>
            </w:tcBorders>
          </w:tcPr>
          <w:p>
            <w:pPr>
              <w:pStyle w:val="TableParagraph"/>
              <w:spacing w:before="44"/>
              <w:ind w:left="979" w:right="951"/>
              <w:rPr>
                <w:sz w:val="21"/>
              </w:rPr>
            </w:pPr>
            <w:r>
              <w:rPr>
                <w:sz w:val="21"/>
              </w:rPr>
              <w:t>N30°0′33.56″</w:t>
            </w:r>
            <w:r>
              <w:rPr>
                <w:rFonts w:ascii="宋体" w:hAnsi="宋体" w:eastAsia="宋体" w:hint="eastAsia"/>
                <w:sz w:val="21"/>
              </w:rPr>
              <w:t>，</w:t>
            </w:r>
            <w:r>
              <w:rPr>
                <w:sz w:val="21"/>
              </w:rPr>
              <w:t>E120°27′38.82″</w:t>
            </w:r>
          </w:p>
        </w:tc>
        <w:tc>
          <w:tcPr>
            <w:tcW w:w="2618" w:type="dxa"/>
            <w:tcBorders>
              <w:top w:val="single" w:sz="6" w:space="0" w:color="000000"/>
              <w:left w:val="single" w:sz="6" w:space="0" w:color="000000"/>
              <w:bottom w:val="single" w:sz="6" w:space="0" w:color="000000"/>
            </w:tcBorders>
          </w:tcPr>
          <w:p>
            <w:pPr>
              <w:pStyle w:val="TableParagraph"/>
              <w:ind w:left="573" w:right="538"/>
              <w:rPr>
                <w:sz w:val="21"/>
              </w:rPr>
            </w:pPr>
            <w:r>
              <w:rPr>
                <w:sz w:val="21"/>
              </w:rPr>
              <w:t>18.43</w:t>
            </w:r>
          </w:p>
        </w:tc>
      </w:tr>
      <w:tr>
        <w:trPr>
          <w:trHeight w:val="359" w:hRule="atLeast"/>
        </w:trPr>
        <w:tc>
          <w:tcPr>
            <w:tcW w:w="2011" w:type="dxa"/>
            <w:tcBorders>
              <w:top w:val="single" w:sz="6" w:space="0" w:color="000000"/>
              <w:bottom w:val="single" w:sz="6" w:space="0" w:color="000000"/>
              <w:right w:val="single" w:sz="6" w:space="0" w:color="000000"/>
            </w:tcBorders>
          </w:tcPr>
          <w:p>
            <w:pPr>
              <w:pStyle w:val="TableParagraph"/>
              <w:spacing w:before="60"/>
              <w:ind w:left="346" w:right="324"/>
              <w:rPr>
                <w:sz w:val="21"/>
              </w:rPr>
            </w:pPr>
            <w:r>
              <w:rPr>
                <w:sz w:val="21"/>
              </w:rPr>
              <w:t>G2</w:t>
            </w:r>
          </w:p>
        </w:tc>
        <w:tc>
          <w:tcPr>
            <w:tcW w:w="4801" w:type="dxa"/>
            <w:tcBorders>
              <w:top w:val="single" w:sz="6" w:space="0" w:color="000000"/>
              <w:left w:val="single" w:sz="6" w:space="0" w:color="000000"/>
              <w:bottom w:val="single" w:sz="6" w:space="0" w:color="000000"/>
              <w:right w:val="single" w:sz="6" w:space="0" w:color="000000"/>
            </w:tcBorders>
          </w:tcPr>
          <w:p>
            <w:pPr>
              <w:pStyle w:val="TableParagraph"/>
              <w:spacing w:before="46"/>
              <w:ind w:left="979" w:right="951"/>
              <w:rPr>
                <w:sz w:val="21"/>
              </w:rPr>
            </w:pPr>
            <w:r>
              <w:rPr>
                <w:sz w:val="21"/>
              </w:rPr>
              <w:t>N30°0′25.68″</w:t>
            </w:r>
            <w:r>
              <w:rPr>
                <w:rFonts w:ascii="宋体" w:hAnsi="宋体" w:eastAsia="宋体" w:hint="eastAsia"/>
                <w:sz w:val="21"/>
              </w:rPr>
              <w:t>，</w:t>
            </w:r>
            <w:r>
              <w:rPr>
                <w:sz w:val="21"/>
              </w:rPr>
              <w:t>E120°27′21.44″</w:t>
            </w:r>
          </w:p>
        </w:tc>
        <w:tc>
          <w:tcPr>
            <w:tcW w:w="2618" w:type="dxa"/>
            <w:tcBorders>
              <w:top w:val="single" w:sz="6" w:space="0" w:color="000000"/>
              <w:left w:val="single" w:sz="6" w:space="0" w:color="000000"/>
              <w:bottom w:val="single" w:sz="6" w:space="0" w:color="000000"/>
            </w:tcBorders>
          </w:tcPr>
          <w:p>
            <w:pPr>
              <w:pStyle w:val="TableParagraph"/>
              <w:spacing w:before="60"/>
              <w:ind w:left="573" w:right="538"/>
              <w:rPr>
                <w:sz w:val="21"/>
              </w:rPr>
            </w:pPr>
            <w:r>
              <w:rPr>
                <w:sz w:val="21"/>
              </w:rPr>
              <w:t>40.23</w:t>
            </w:r>
          </w:p>
        </w:tc>
      </w:tr>
      <w:tr>
        <w:trPr>
          <w:trHeight w:val="359" w:hRule="atLeast"/>
        </w:trPr>
        <w:tc>
          <w:tcPr>
            <w:tcW w:w="2011" w:type="dxa"/>
            <w:tcBorders>
              <w:top w:val="single" w:sz="6" w:space="0" w:color="000000"/>
              <w:bottom w:val="single" w:sz="6" w:space="0" w:color="000000"/>
              <w:right w:val="single" w:sz="6" w:space="0" w:color="000000"/>
            </w:tcBorders>
          </w:tcPr>
          <w:p>
            <w:pPr>
              <w:pStyle w:val="TableParagraph"/>
              <w:ind w:left="346" w:right="324"/>
              <w:rPr>
                <w:sz w:val="21"/>
              </w:rPr>
            </w:pPr>
            <w:r>
              <w:rPr>
                <w:sz w:val="21"/>
              </w:rPr>
              <w:t>G3</w:t>
            </w:r>
          </w:p>
        </w:tc>
        <w:tc>
          <w:tcPr>
            <w:tcW w:w="4801" w:type="dxa"/>
            <w:tcBorders>
              <w:top w:val="single" w:sz="6" w:space="0" w:color="000000"/>
              <w:left w:val="single" w:sz="6" w:space="0" w:color="000000"/>
              <w:bottom w:val="single" w:sz="6" w:space="0" w:color="000000"/>
              <w:right w:val="single" w:sz="6" w:space="0" w:color="000000"/>
            </w:tcBorders>
          </w:tcPr>
          <w:p>
            <w:pPr>
              <w:pStyle w:val="TableParagraph"/>
              <w:spacing w:before="44"/>
              <w:ind w:left="979" w:right="951"/>
              <w:rPr>
                <w:sz w:val="21"/>
              </w:rPr>
            </w:pPr>
            <w:r>
              <w:rPr>
                <w:sz w:val="21"/>
              </w:rPr>
              <w:t>N30°0′54.48″</w:t>
            </w:r>
            <w:r>
              <w:rPr>
                <w:rFonts w:ascii="宋体" w:hAnsi="宋体" w:eastAsia="宋体" w:hint="eastAsia"/>
                <w:sz w:val="21"/>
              </w:rPr>
              <w:t>，</w:t>
            </w:r>
            <w:r>
              <w:rPr>
                <w:sz w:val="21"/>
              </w:rPr>
              <w:t>E120°27′44.68″</w:t>
            </w:r>
          </w:p>
        </w:tc>
        <w:tc>
          <w:tcPr>
            <w:tcW w:w="2618" w:type="dxa"/>
            <w:tcBorders>
              <w:top w:val="single" w:sz="6" w:space="0" w:color="000000"/>
              <w:left w:val="single" w:sz="6" w:space="0" w:color="000000"/>
              <w:bottom w:val="single" w:sz="6" w:space="0" w:color="000000"/>
            </w:tcBorders>
          </w:tcPr>
          <w:p>
            <w:pPr>
              <w:pStyle w:val="TableParagraph"/>
              <w:ind w:left="573" w:right="538"/>
              <w:rPr>
                <w:sz w:val="21"/>
              </w:rPr>
            </w:pPr>
            <w:r>
              <w:rPr>
                <w:sz w:val="21"/>
              </w:rPr>
              <w:t>9.07</w:t>
            </w:r>
          </w:p>
        </w:tc>
      </w:tr>
      <w:tr>
        <w:trPr>
          <w:trHeight w:val="359" w:hRule="atLeast"/>
        </w:trPr>
        <w:tc>
          <w:tcPr>
            <w:tcW w:w="2011" w:type="dxa"/>
            <w:tcBorders>
              <w:top w:val="single" w:sz="6" w:space="0" w:color="000000"/>
              <w:bottom w:val="single" w:sz="6" w:space="0" w:color="000000"/>
              <w:right w:val="single" w:sz="6" w:space="0" w:color="000000"/>
            </w:tcBorders>
          </w:tcPr>
          <w:p>
            <w:pPr>
              <w:pStyle w:val="TableParagraph"/>
              <w:ind w:left="346" w:right="324"/>
              <w:rPr>
                <w:sz w:val="21"/>
              </w:rPr>
            </w:pPr>
            <w:r>
              <w:rPr>
                <w:sz w:val="21"/>
              </w:rPr>
              <w:t>G4</w:t>
            </w:r>
          </w:p>
        </w:tc>
        <w:tc>
          <w:tcPr>
            <w:tcW w:w="4801" w:type="dxa"/>
            <w:tcBorders>
              <w:top w:val="single" w:sz="6" w:space="0" w:color="000000"/>
              <w:left w:val="single" w:sz="6" w:space="0" w:color="000000"/>
              <w:bottom w:val="single" w:sz="6" w:space="0" w:color="000000"/>
              <w:right w:val="single" w:sz="6" w:space="0" w:color="000000"/>
            </w:tcBorders>
          </w:tcPr>
          <w:p>
            <w:pPr>
              <w:pStyle w:val="TableParagraph"/>
              <w:spacing w:before="44"/>
              <w:ind w:left="979" w:right="951"/>
              <w:rPr>
                <w:sz w:val="21"/>
              </w:rPr>
            </w:pPr>
            <w:r>
              <w:rPr>
                <w:sz w:val="21"/>
              </w:rPr>
              <w:t>N30°0′37.83″</w:t>
            </w:r>
            <w:r>
              <w:rPr>
                <w:rFonts w:ascii="宋体" w:hAnsi="宋体" w:eastAsia="宋体" w:hint="eastAsia"/>
                <w:sz w:val="21"/>
              </w:rPr>
              <w:t>，</w:t>
            </w:r>
            <w:r>
              <w:rPr>
                <w:sz w:val="21"/>
              </w:rPr>
              <w:t>E120°27′18.37″</w:t>
            </w:r>
          </w:p>
        </w:tc>
        <w:tc>
          <w:tcPr>
            <w:tcW w:w="2618" w:type="dxa"/>
            <w:tcBorders>
              <w:top w:val="single" w:sz="6" w:space="0" w:color="000000"/>
              <w:left w:val="single" w:sz="6" w:space="0" w:color="000000"/>
              <w:bottom w:val="single" w:sz="6" w:space="0" w:color="000000"/>
            </w:tcBorders>
          </w:tcPr>
          <w:p>
            <w:pPr>
              <w:pStyle w:val="TableParagraph"/>
              <w:ind w:left="573" w:right="538"/>
              <w:rPr>
                <w:sz w:val="21"/>
              </w:rPr>
            </w:pPr>
            <w:r>
              <w:rPr>
                <w:sz w:val="21"/>
              </w:rPr>
              <w:t>36.63</w:t>
            </w:r>
          </w:p>
        </w:tc>
      </w:tr>
      <w:tr>
        <w:trPr>
          <w:trHeight w:val="356" w:hRule="atLeast"/>
        </w:trPr>
        <w:tc>
          <w:tcPr>
            <w:tcW w:w="2011" w:type="dxa"/>
            <w:tcBorders>
              <w:top w:val="single" w:sz="6" w:space="0" w:color="000000"/>
              <w:bottom w:val="single" w:sz="6" w:space="0" w:color="000000"/>
              <w:right w:val="single" w:sz="6" w:space="0" w:color="000000"/>
            </w:tcBorders>
          </w:tcPr>
          <w:p>
            <w:pPr>
              <w:pStyle w:val="TableParagraph"/>
              <w:ind w:left="346" w:right="324"/>
              <w:rPr>
                <w:sz w:val="21"/>
              </w:rPr>
            </w:pPr>
            <w:r>
              <w:rPr>
                <w:sz w:val="21"/>
              </w:rPr>
              <w:t>G5</w:t>
            </w:r>
          </w:p>
        </w:tc>
        <w:tc>
          <w:tcPr>
            <w:tcW w:w="4801" w:type="dxa"/>
            <w:tcBorders>
              <w:top w:val="single" w:sz="6" w:space="0" w:color="000000"/>
              <w:left w:val="single" w:sz="6" w:space="0" w:color="000000"/>
              <w:bottom w:val="single" w:sz="6" w:space="0" w:color="000000"/>
              <w:right w:val="single" w:sz="6" w:space="0" w:color="000000"/>
            </w:tcBorders>
          </w:tcPr>
          <w:p>
            <w:pPr>
              <w:pStyle w:val="TableParagraph"/>
              <w:spacing w:before="44"/>
              <w:ind w:left="979" w:right="951"/>
              <w:rPr>
                <w:sz w:val="21"/>
              </w:rPr>
            </w:pPr>
            <w:r>
              <w:rPr>
                <w:sz w:val="21"/>
              </w:rPr>
              <w:t>N30°1′22.57″</w:t>
            </w:r>
            <w:r>
              <w:rPr>
                <w:rFonts w:ascii="宋体" w:hAnsi="宋体" w:eastAsia="宋体" w:hint="eastAsia"/>
                <w:sz w:val="21"/>
              </w:rPr>
              <w:t>，</w:t>
            </w:r>
            <w:r>
              <w:rPr>
                <w:sz w:val="21"/>
              </w:rPr>
              <w:t>E120°27′22.74″</w:t>
            </w:r>
          </w:p>
        </w:tc>
        <w:tc>
          <w:tcPr>
            <w:tcW w:w="2618" w:type="dxa"/>
            <w:tcBorders>
              <w:top w:val="single" w:sz="6" w:space="0" w:color="000000"/>
              <w:left w:val="single" w:sz="6" w:space="0" w:color="000000"/>
              <w:bottom w:val="single" w:sz="6" w:space="0" w:color="000000"/>
            </w:tcBorders>
          </w:tcPr>
          <w:p>
            <w:pPr>
              <w:pStyle w:val="TableParagraph"/>
              <w:ind w:left="573" w:right="538"/>
              <w:rPr>
                <w:sz w:val="21"/>
              </w:rPr>
            </w:pPr>
            <w:r>
              <w:rPr>
                <w:sz w:val="21"/>
              </w:rPr>
              <w:t>6.94</w:t>
            </w:r>
          </w:p>
        </w:tc>
      </w:tr>
      <w:tr>
        <w:trPr>
          <w:trHeight w:val="361" w:hRule="atLeast"/>
        </w:trPr>
        <w:tc>
          <w:tcPr>
            <w:tcW w:w="2011" w:type="dxa"/>
            <w:tcBorders>
              <w:top w:val="single" w:sz="6" w:space="0" w:color="000000"/>
              <w:right w:val="single" w:sz="6" w:space="0" w:color="000000"/>
            </w:tcBorders>
          </w:tcPr>
          <w:p>
            <w:pPr>
              <w:pStyle w:val="TableParagraph"/>
              <w:spacing w:before="60"/>
              <w:ind w:left="346" w:right="324"/>
              <w:rPr>
                <w:sz w:val="21"/>
              </w:rPr>
            </w:pPr>
            <w:r>
              <w:rPr>
                <w:sz w:val="21"/>
              </w:rPr>
              <w:t>G6</w:t>
            </w:r>
          </w:p>
        </w:tc>
        <w:tc>
          <w:tcPr>
            <w:tcW w:w="4801" w:type="dxa"/>
            <w:tcBorders>
              <w:top w:val="single" w:sz="6" w:space="0" w:color="000000"/>
              <w:left w:val="single" w:sz="6" w:space="0" w:color="000000"/>
              <w:right w:val="single" w:sz="6" w:space="0" w:color="000000"/>
            </w:tcBorders>
          </w:tcPr>
          <w:p>
            <w:pPr>
              <w:pStyle w:val="TableParagraph"/>
              <w:spacing w:before="46"/>
              <w:ind w:left="979" w:right="951"/>
              <w:rPr>
                <w:sz w:val="21"/>
              </w:rPr>
            </w:pPr>
            <w:r>
              <w:rPr>
                <w:sz w:val="21"/>
              </w:rPr>
              <w:t>N29°59′52.77″</w:t>
            </w:r>
            <w:r>
              <w:rPr>
                <w:rFonts w:ascii="宋体" w:hAnsi="宋体" w:eastAsia="宋体" w:hint="eastAsia"/>
                <w:sz w:val="21"/>
              </w:rPr>
              <w:t>，</w:t>
            </w:r>
            <w:r>
              <w:rPr>
                <w:sz w:val="21"/>
              </w:rPr>
              <w:t>E120°28′16.46″</w:t>
            </w:r>
          </w:p>
        </w:tc>
        <w:tc>
          <w:tcPr>
            <w:tcW w:w="2618" w:type="dxa"/>
            <w:tcBorders>
              <w:top w:val="single" w:sz="6" w:space="0" w:color="000000"/>
              <w:left w:val="single" w:sz="6" w:space="0" w:color="000000"/>
            </w:tcBorders>
          </w:tcPr>
          <w:p>
            <w:pPr>
              <w:pStyle w:val="TableParagraph"/>
              <w:spacing w:before="60"/>
              <w:ind w:left="573" w:right="538"/>
              <w:rPr>
                <w:sz w:val="21"/>
              </w:rPr>
            </w:pPr>
            <w:r>
              <w:rPr>
                <w:sz w:val="21"/>
              </w:rPr>
              <w:t>8.88</w:t>
            </w:r>
          </w:p>
        </w:tc>
      </w:tr>
    </w:tbl>
    <w:p>
      <w:pPr>
        <w:spacing w:after="0"/>
        <w:rPr>
          <w:sz w:val="21"/>
        </w:rPr>
        <w:sectPr>
          <w:type w:val="continuous"/>
          <w:pgSz w:w="11910" w:h="16840"/>
          <w:pgMar w:top="1400" w:bottom="1200" w:left="1040" w:right="1160"/>
        </w:sectPr>
      </w:pPr>
    </w:p>
    <w:p>
      <w:pPr>
        <w:spacing w:before="92"/>
        <w:ind w:left="221" w:right="236" w:firstLine="0"/>
        <w:jc w:val="center"/>
        <w:rPr>
          <w:b/>
          <w:sz w:val="24"/>
        </w:rPr>
      </w:pPr>
      <w:r>
        <w:rPr>
          <w:b/>
          <w:sz w:val="24"/>
        </w:rPr>
        <w:t>表 </w:t>
      </w:r>
      <w:r>
        <w:rPr>
          <w:rFonts w:ascii="Times New Roman" w:eastAsia="Times New Roman"/>
          <w:b/>
          <w:sz w:val="24"/>
        </w:rPr>
        <w:t>4.3-6  </w:t>
      </w:r>
      <w:r>
        <w:rPr>
          <w:b/>
          <w:sz w:val="24"/>
        </w:rPr>
        <w:t>地下水阴阳离子平衡</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35"/>
        <w:gridCol w:w="1500"/>
        <w:gridCol w:w="1699"/>
        <w:gridCol w:w="1700"/>
        <w:gridCol w:w="1697"/>
      </w:tblGrid>
      <w:tr>
        <w:trPr>
          <w:trHeight w:val="359" w:hRule="atLeast"/>
        </w:trPr>
        <w:tc>
          <w:tcPr>
            <w:tcW w:w="2835" w:type="dxa"/>
            <w:tcBorders>
              <w:bottom w:val="single" w:sz="6" w:space="0" w:color="000000"/>
              <w:right w:val="single" w:sz="6" w:space="0" w:color="000000"/>
            </w:tcBorders>
          </w:tcPr>
          <w:p>
            <w:pPr>
              <w:pStyle w:val="TableParagraph"/>
              <w:spacing w:before="43"/>
              <w:ind w:left="869" w:right="851"/>
              <w:rPr>
                <w:rFonts w:ascii="宋体" w:eastAsia="宋体" w:hint="eastAsia"/>
                <w:b/>
                <w:sz w:val="21"/>
              </w:rPr>
            </w:pPr>
            <w:r>
              <w:rPr>
                <w:rFonts w:ascii="宋体" w:eastAsia="宋体" w:hint="eastAsia"/>
                <w:b/>
                <w:sz w:val="21"/>
              </w:rPr>
              <w:t>项目</w:t>
            </w:r>
          </w:p>
        </w:tc>
        <w:tc>
          <w:tcPr>
            <w:tcW w:w="1500" w:type="dxa"/>
            <w:tcBorders>
              <w:left w:val="single" w:sz="6" w:space="0" w:color="000000"/>
              <w:bottom w:val="single" w:sz="6" w:space="0" w:color="000000"/>
              <w:right w:val="single" w:sz="6" w:space="0" w:color="000000"/>
            </w:tcBorders>
          </w:tcPr>
          <w:p>
            <w:pPr>
              <w:pStyle w:val="TableParagraph"/>
              <w:spacing w:before="43"/>
              <w:ind w:left="507" w:right="481"/>
              <w:rPr>
                <w:rFonts w:ascii="宋体" w:eastAsia="宋体" w:hint="eastAsia"/>
                <w:b/>
                <w:sz w:val="21"/>
              </w:rPr>
            </w:pPr>
            <w:r>
              <w:rPr>
                <w:rFonts w:ascii="宋体" w:eastAsia="宋体" w:hint="eastAsia"/>
                <w:b/>
                <w:sz w:val="21"/>
              </w:rPr>
              <w:t>单位</w:t>
            </w:r>
          </w:p>
        </w:tc>
        <w:tc>
          <w:tcPr>
            <w:tcW w:w="1699" w:type="dxa"/>
            <w:tcBorders>
              <w:left w:val="single" w:sz="6" w:space="0" w:color="000000"/>
              <w:bottom w:val="single" w:sz="6" w:space="0" w:color="000000"/>
              <w:right w:val="single" w:sz="6" w:space="0" w:color="000000"/>
            </w:tcBorders>
          </w:tcPr>
          <w:p>
            <w:pPr>
              <w:pStyle w:val="TableParagraph"/>
              <w:spacing w:before="57"/>
              <w:ind w:left="652" w:right="619"/>
              <w:rPr>
                <w:b/>
                <w:sz w:val="21"/>
              </w:rPr>
            </w:pPr>
            <w:r>
              <w:rPr>
                <w:b/>
                <w:sz w:val="21"/>
              </w:rPr>
              <w:t>G1</w:t>
            </w:r>
          </w:p>
        </w:tc>
        <w:tc>
          <w:tcPr>
            <w:tcW w:w="1700" w:type="dxa"/>
            <w:tcBorders>
              <w:left w:val="single" w:sz="6" w:space="0" w:color="000000"/>
              <w:bottom w:val="single" w:sz="6" w:space="0" w:color="000000"/>
              <w:right w:val="single" w:sz="6" w:space="0" w:color="000000"/>
            </w:tcBorders>
          </w:tcPr>
          <w:p>
            <w:pPr>
              <w:pStyle w:val="TableParagraph"/>
              <w:spacing w:before="57"/>
              <w:ind w:left="103" w:right="70"/>
              <w:rPr>
                <w:b/>
                <w:sz w:val="21"/>
              </w:rPr>
            </w:pPr>
            <w:r>
              <w:rPr>
                <w:b/>
                <w:sz w:val="21"/>
              </w:rPr>
              <w:t>G2</w:t>
            </w:r>
          </w:p>
        </w:tc>
        <w:tc>
          <w:tcPr>
            <w:tcW w:w="1697" w:type="dxa"/>
            <w:tcBorders>
              <w:left w:val="single" w:sz="6" w:space="0" w:color="000000"/>
              <w:bottom w:val="single" w:sz="6" w:space="0" w:color="000000"/>
            </w:tcBorders>
          </w:tcPr>
          <w:p>
            <w:pPr>
              <w:pStyle w:val="TableParagraph"/>
              <w:spacing w:before="57"/>
              <w:ind w:left="652" w:right="614"/>
              <w:rPr>
                <w:b/>
                <w:sz w:val="21"/>
              </w:rPr>
            </w:pPr>
            <w:r>
              <w:rPr>
                <w:b/>
                <w:sz w:val="21"/>
              </w:rPr>
              <w:t>G3</w:t>
            </w:r>
          </w:p>
        </w:tc>
      </w:tr>
      <w:tr>
        <w:trPr>
          <w:trHeight w:val="359" w:hRule="atLeast"/>
        </w:trPr>
        <w:tc>
          <w:tcPr>
            <w:tcW w:w="2835" w:type="dxa"/>
            <w:tcBorders>
              <w:top w:val="single" w:sz="6" w:space="0" w:color="000000"/>
              <w:bottom w:val="single" w:sz="6" w:space="0" w:color="000000"/>
              <w:right w:val="single" w:sz="6" w:space="0" w:color="000000"/>
            </w:tcBorders>
          </w:tcPr>
          <w:p>
            <w:pPr>
              <w:pStyle w:val="TableParagraph"/>
              <w:spacing w:before="44"/>
              <w:ind w:left="18"/>
              <w:rPr>
                <w:rFonts w:ascii="宋体" w:eastAsia="宋体" w:hint="eastAsia"/>
                <w:sz w:val="21"/>
              </w:rPr>
            </w:pPr>
            <w:r>
              <w:rPr>
                <w:rFonts w:ascii="宋体" w:eastAsia="宋体" w:hint="eastAsia"/>
                <w:w w:val="100"/>
                <w:sz w:val="21"/>
              </w:rPr>
              <w:t>钾</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51" w:right="622"/>
              <w:rPr>
                <w:sz w:val="21"/>
              </w:rPr>
            </w:pPr>
            <w:r>
              <w:rPr>
                <w:sz w:val="21"/>
              </w:rPr>
              <w:t>0.54</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100" w:right="70"/>
              <w:rPr>
                <w:sz w:val="21"/>
              </w:rPr>
            </w:pPr>
            <w:r>
              <w:rPr>
                <w:sz w:val="21"/>
              </w:rPr>
              <w:t>0.35</w:t>
            </w:r>
          </w:p>
        </w:tc>
        <w:tc>
          <w:tcPr>
            <w:tcW w:w="1697" w:type="dxa"/>
            <w:tcBorders>
              <w:top w:val="single" w:sz="6" w:space="0" w:color="000000"/>
              <w:left w:val="single" w:sz="6" w:space="0" w:color="000000"/>
              <w:bottom w:val="single" w:sz="6" w:space="0" w:color="000000"/>
            </w:tcBorders>
          </w:tcPr>
          <w:p>
            <w:pPr>
              <w:pStyle w:val="TableParagraph"/>
              <w:ind w:left="653" w:right="614"/>
              <w:rPr>
                <w:sz w:val="21"/>
              </w:rPr>
            </w:pPr>
            <w:r>
              <w:rPr>
                <w:sz w:val="21"/>
              </w:rPr>
              <w:t>0.55</w:t>
            </w:r>
          </w:p>
        </w:tc>
      </w:tr>
      <w:tr>
        <w:trPr>
          <w:trHeight w:val="357" w:hRule="atLeast"/>
        </w:trPr>
        <w:tc>
          <w:tcPr>
            <w:tcW w:w="2835" w:type="dxa"/>
            <w:tcBorders>
              <w:top w:val="single" w:sz="6" w:space="0" w:color="000000"/>
              <w:bottom w:val="single" w:sz="6" w:space="0" w:color="000000"/>
              <w:right w:val="single" w:sz="6" w:space="0" w:color="000000"/>
            </w:tcBorders>
          </w:tcPr>
          <w:p>
            <w:pPr>
              <w:pStyle w:val="TableParagraph"/>
              <w:spacing w:before="44"/>
              <w:ind w:left="18"/>
              <w:rPr>
                <w:rFonts w:ascii="宋体" w:eastAsia="宋体" w:hint="eastAsia"/>
                <w:sz w:val="21"/>
              </w:rPr>
            </w:pPr>
            <w:r>
              <w:rPr>
                <w:rFonts w:ascii="宋体" w:eastAsia="宋体" w:hint="eastAsia"/>
                <w:w w:val="100"/>
                <w:sz w:val="21"/>
              </w:rPr>
              <w:t>钙</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52" w:right="620"/>
              <w:rPr>
                <w:sz w:val="21"/>
              </w:rPr>
            </w:pPr>
            <w:r>
              <w:rPr>
                <w:sz w:val="21"/>
              </w:rPr>
              <w:t>11.0</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100" w:right="70"/>
              <w:rPr>
                <w:sz w:val="21"/>
              </w:rPr>
            </w:pPr>
            <w:r>
              <w:rPr>
                <w:sz w:val="21"/>
              </w:rPr>
              <w:t>10.4</w:t>
            </w:r>
          </w:p>
        </w:tc>
        <w:tc>
          <w:tcPr>
            <w:tcW w:w="1697" w:type="dxa"/>
            <w:tcBorders>
              <w:top w:val="single" w:sz="6" w:space="0" w:color="000000"/>
              <w:left w:val="single" w:sz="6" w:space="0" w:color="000000"/>
              <w:bottom w:val="single" w:sz="6" w:space="0" w:color="000000"/>
            </w:tcBorders>
          </w:tcPr>
          <w:p>
            <w:pPr>
              <w:pStyle w:val="TableParagraph"/>
              <w:ind w:left="653" w:right="614"/>
              <w:rPr>
                <w:sz w:val="21"/>
              </w:rPr>
            </w:pPr>
            <w:r>
              <w:rPr>
                <w:sz w:val="21"/>
              </w:rPr>
              <w:t>9.58</w:t>
            </w:r>
          </w:p>
        </w:tc>
      </w:tr>
      <w:tr>
        <w:trPr>
          <w:trHeight w:val="359" w:hRule="atLeast"/>
        </w:trPr>
        <w:tc>
          <w:tcPr>
            <w:tcW w:w="2835" w:type="dxa"/>
            <w:tcBorders>
              <w:top w:val="single" w:sz="6" w:space="0" w:color="000000"/>
              <w:bottom w:val="single" w:sz="6" w:space="0" w:color="000000"/>
              <w:right w:val="single" w:sz="6" w:space="0" w:color="000000"/>
            </w:tcBorders>
          </w:tcPr>
          <w:p>
            <w:pPr>
              <w:pStyle w:val="TableParagraph"/>
              <w:spacing w:before="46"/>
              <w:ind w:left="18"/>
              <w:rPr>
                <w:rFonts w:ascii="宋体" w:eastAsia="宋体" w:hint="eastAsia"/>
                <w:sz w:val="21"/>
              </w:rPr>
            </w:pPr>
            <w:r>
              <w:rPr>
                <w:rFonts w:ascii="宋体" w:eastAsia="宋体" w:hint="eastAsia"/>
                <w:w w:val="100"/>
                <w:sz w:val="21"/>
              </w:rPr>
              <w:t>钠</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spacing w:before="60"/>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spacing w:before="60"/>
              <w:ind w:left="651" w:right="622"/>
              <w:rPr>
                <w:sz w:val="21"/>
              </w:rPr>
            </w:pPr>
            <w:r>
              <w:rPr>
                <w:sz w:val="21"/>
              </w:rPr>
              <w:t>3.86</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60"/>
              <w:ind w:left="100" w:right="70"/>
              <w:rPr>
                <w:sz w:val="21"/>
              </w:rPr>
            </w:pPr>
            <w:r>
              <w:rPr>
                <w:sz w:val="21"/>
              </w:rPr>
              <w:t>3.77</w:t>
            </w:r>
          </w:p>
        </w:tc>
        <w:tc>
          <w:tcPr>
            <w:tcW w:w="1697" w:type="dxa"/>
            <w:tcBorders>
              <w:top w:val="single" w:sz="6" w:space="0" w:color="000000"/>
              <w:left w:val="single" w:sz="6" w:space="0" w:color="000000"/>
              <w:bottom w:val="single" w:sz="6" w:space="0" w:color="000000"/>
            </w:tcBorders>
          </w:tcPr>
          <w:p>
            <w:pPr>
              <w:pStyle w:val="TableParagraph"/>
              <w:spacing w:before="60"/>
              <w:ind w:left="653" w:right="614"/>
              <w:rPr>
                <w:sz w:val="21"/>
              </w:rPr>
            </w:pPr>
            <w:r>
              <w:rPr>
                <w:sz w:val="21"/>
              </w:rPr>
              <w:t>3.14</w:t>
            </w:r>
          </w:p>
        </w:tc>
      </w:tr>
      <w:tr>
        <w:trPr>
          <w:trHeight w:val="359" w:hRule="atLeast"/>
        </w:trPr>
        <w:tc>
          <w:tcPr>
            <w:tcW w:w="2835" w:type="dxa"/>
            <w:tcBorders>
              <w:top w:val="single" w:sz="6" w:space="0" w:color="000000"/>
              <w:bottom w:val="single" w:sz="6" w:space="0" w:color="000000"/>
              <w:right w:val="single" w:sz="6" w:space="0" w:color="000000"/>
            </w:tcBorders>
          </w:tcPr>
          <w:p>
            <w:pPr>
              <w:pStyle w:val="TableParagraph"/>
              <w:spacing w:before="44"/>
              <w:ind w:left="18"/>
              <w:rPr>
                <w:rFonts w:ascii="宋体" w:eastAsia="宋体" w:hint="eastAsia"/>
                <w:sz w:val="21"/>
              </w:rPr>
            </w:pPr>
            <w:r>
              <w:rPr>
                <w:rFonts w:ascii="宋体" w:eastAsia="宋体" w:hint="eastAsia"/>
                <w:w w:val="100"/>
                <w:sz w:val="21"/>
              </w:rPr>
              <w:t>镁</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51" w:right="622"/>
              <w:rPr>
                <w:sz w:val="21"/>
              </w:rPr>
            </w:pPr>
            <w:r>
              <w:rPr>
                <w:sz w:val="21"/>
              </w:rPr>
              <w:t>1.60</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100" w:right="70"/>
              <w:rPr>
                <w:sz w:val="21"/>
              </w:rPr>
            </w:pPr>
            <w:r>
              <w:rPr>
                <w:sz w:val="21"/>
              </w:rPr>
              <w:t>1.55</w:t>
            </w:r>
          </w:p>
        </w:tc>
        <w:tc>
          <w:tcPr>
            <w:tcW w:w="1697" w:type="dxa"/>
            <w:tcBorders>
              <w:top w:val="single" w:sz="6" w:space="0" w:color="000000"/>
              <w:left w:val="single" w:sz="6" w:space="0" w:color="000000"/>
              <w:bottom w:val="single" w:sz="6" w:space="0" w:color="000000"/>
            </w:tcBorders>
          </w:tcPr>
          <w:p>
            <w:pPr>
              <w:pStyle w:val="TableParagraph"/>
              <w:ind w:left="653" w:right="614"/>
              <w:rPr>
                <w:sz w:val="21"/>
              </w:rPr>
            </w:pPr>
            <w:r>
              <w:rPr>
                <w:sz w:val="21"/>
              </w:rPr>
              <w:t>1.39</w:t>
            </w:r>
          </w:p>
        </w:tc>
      </w:tr>
      <w:tr>
        <w:trPr>
          <w:trHeight w:val="359" w:hRule="atLeast"/>
        </w:trPr>
        <w:tc>
          <w:tcPr>
            <w:tcW w:w="2835" w:type="dxa"/>
            <w:tcBorders>
              <w:top w:val="single" w:sz="6" w:space="0" w:color="000000"/>
              <w:bottom w:val="single" w:sz="6" w:space="0" w:color="000000"/>
              <w:right w:val="single" w:sz="6" w:space="0" w:color="000000"/>
            </w:tcBorders>
          </w:tcPr>
          <w:p>
            <w:pPr>
              <w:pStyle w:val="TableParagraph"/>
              <w:spacing w:before="44"/>
              <w:ind w:left="871" w:right="851"/>
              <w:rPr>
                <w:rFonts w:ascii="宋体" w:eastAsia="宋体" w:hint="eastAsia"/>
                <w:sz w:val="21"/>
              </w:rPr>
            </w:pPr>
            <w:r>
              <w:rPr>
                <w:rFonts w:ascii="宋体" w:eastAsia="宋体" w:hint="eastAsia"/>
                <w:sz w:val="21"/>
              </w:rPr>
              <w:t>阳离子合计</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72"/>
              <w:jc w:val="left"/>
              <w:rPr>
                <w:rFonts w:ascii="宋体"/>
                <w:sz w:val="21"/>
              </w:rPr>
            </w:pPr>
            <w:r>
              <w:rPr>
                <w:sz w:val="21"/>
              </w:rPr>
              <w:t>0.87</w:t>
            </w:r>
            <w:r>
              <w:rPr>
                <w:rFonts w:ascii="宋体"/>
                <w:sz w:val="21"/>
              </w:rPr>
              <w:t> </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203" w:right="70"/>
              <w:rPr>
                <w:rFonts w:ascii="宋体"/>
                <w:sz w:val="21"/>
              </w:rPr>
            </w:pPr>
            <w:r>
              <w:rPr>
                <w:sz w:val="21"/>
              </w:rPr>
              <w:t>0.82</w:t>
            </w:r>
            <w:r>
              <w:rPr>
                <w:rFonts w:ascii="宋体"/>
                <w:sz w:val="21"/>
              </w:rPr>
              <w:t> </w:t>
            </w:r>
          </w:p>
        </w:tc>
        <w:tc>
          <w:tcPr>
            <w:tcW w:w="1697" w:type="dxa"/>
            <w:tcBorders>
              <w:top w:val="single" w:sz="6" w:space="0" w:color="000000"/>
              <w:left w:val="single" w:sz="6" w:space="0" w:color="000000"/>
              <w:bottom w:val="single" w:sz="6" w:space="0" w:color="000000"/>
            </w:tcBorders>
          </w:tcPr>
          <w:p>
            <w:pPr>
              <w:pStyle w:val="TableParagraph"/>
              <w:ind w:left="672"/>
              <w:jc w:val="left"/>
              <w:rPr>
                <w:rFonts w:ascii="宋体"/>
                <w:sz w:val="21"/>
              </w:rPr>
            </w:pPr>
            <w:r>
              <w:rPr>
                <w:sz w:val="21"/>
              </w:rPr>
              <w:t>0.75</w:t>
            </w:r>
            <w:r>
              <w:rPr>
                <w:rFonts w:ascii="宋体"/>
                <w:sz w:val="21"/>
              </w:rPr>
              <w:t> </w:t>
            </w:r>
          </w:p>
        </w:tc>
      </w:tr>
      <w:tr>
        <w:trPr>
          <w:trHeight w:val="356" w:hRule="atLeast"/>
        </w:trPr>
        <w:tc>
          <w:tcPr>
            <w:tcW w:w="2835" w:type="dxa"/>
            <w:tcBorders>
              <w:top w:val="single" w:sz="6" w:space="0" w:color="000000"/>
              <w:bottom w:val="single" w:sz="6" w:space="0" w:color="000000"/>
              <w:right w:val="single" w:sz="6" w:space="0" w:color="000000"/>
            </w:tcBorders>
          </w:tcPr>
          <w:p>
            <w:pPr>
              <w:pStyle w:val="TableParagraph"/>
              <w:spacing w:before="44"/>
              <w:ind w:left="871" w:right="849"/>
              <w:rPr>
                <w:rFonts w:ascii="宋体" w:eastAsia="宋体" w:hint="eastAsia"/>
                <w:sz w:val="21"/>
              </w:rPr>
            </w:pPr>
            <w:r>
              <w:rPr>
                <w:rFonts w:ascii="宋体" w:eastAsia="宋体" w:hint="eastAsia"/>
                <w:sz w:val="21"/>
              </w:rPr>
              <w:t>碳酸盐</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52" w:right="622"/>
              <w:rPr>
                <w:sz w:val="21"/>
              </w:rPr>
            </w:pPr>
            <w:r>
              <w:rPr>
                <w:sz w:val="21"/>
              </w:rPr>
              <w:t>&lt;5</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101" w:right="70"/>
              <w:rPr>
                <w:sz w:val="21"/>
              </w:rPr>
            </w:pPr>
            <w:r>
              <w:rPr>
                <w:sz w:val="21"/>
              </w:rPr>
              <w:t>&lt;5</w:t>
            </w:r>
          </w:p>
        </w:tc>
        <w:tc>
          <w:tcPr>
            <w:tcW w:w="1697" w:type="dxa"/>
            <w:tcBorders>
              <w:top w:val="single" w:sz="6" w:space="0" w:color="000000"/>
              <w:left w:val="single" w:sz="6" w:space="0" w:color="000000"/>
              <w:bottom w:val="single" w:sz="6" w:space="0" w:color="000000"/>
            </w:tcBorders>
          </w:tcPr>
          <w:p>
            <w:pPr>
              <w:pStyle w:val="TableParagraph"/>
              <w:ind w:left="653" w:right="613"/>
              <w:rPr>
                <w:sz w:val="21"/>
              </w:rPr>
            </w:pPr>
            <w:r>
              <w:rPr>
                <w:sz w:val="21"/>
              </w:rPr>
              <w:t>&lt;5</w:t>
            </w:r>
          </w:p>
        </w:tc>
      </w:tr>
      <w:tr>
        <w:trPr>
          <w:trHeight w:val="359" w:hRule="atLeast"/>
        </w:trPr>
        <w:tc>
          <w:tcPr>
            <w:tcW w:w="2835" w:type="dxa"/>
            <w:tcBorders>
              <w:top w:val="single" w:sz="6" w:space="0" w:color="000000"/>
              <w:bottom w:val="single" w:sz="6" w:space="0" w:color="000000"/>
              <w:right w:val="single" w:sz="6" w:space="0" w:color="000000"/>
            </w:tcBorders>
          </w:tcPr>
          <w:p>
            <w:pPr>
              <w:pStyle w:val="TableParagraph"/>
              <w:spacing w:before="46"/>
              <w:ind w:left="871" w:right="851"/>
              <w:rPr>
                <w:rFonts w:ascii="宋体" w:eastAsia="宋体" w:hint="eastAsia"/>
                <w:sz w:val="21"/>
              </w:rPr>
            </w:pPr>
            <w:r>
              <w:rPr>
                <w:rFonts w:ascii="宋体" w:eastAsia="宋体" w:hint="eastAsia"/>
                <w:sz w:val="21"/>
              </w:rPr>
              <w:t>重碳酸盐</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spacing w:before="60"/>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spacing w:before="60"/>
              <w:ind w:left="651" w:right="622"/>
              <w:rPr>
                <w:sz w:val="21"/>
              </w:rPr>
            </w:pPr>
            <w:r>
              <w:rPr>
                <w:sz w:val="21"/>
              </w:rPr>
              <w:t>14</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60"/>
              <w:ind w:left="100" w:right="70"/>
              <w:rPr>
                <w:sz w:val="21"/>
              </w:rPr>
            </w:pPr>
            <w:r>
              <w:rPr>
                <w:sz w:val="21"/>
              </w:rPr>
              <w:t>10</w:t>
            </w:r>
          </w:p>
        </w:tc>
        <w:tc>
          <w:tcPr>
            <w:tcW w:w="1697" w:type="dxa"/>
            <w:tcBorders>
              <w:top w:val="single" w:sz="6" w:space="0" w:color="000000"/>
              <w:left w:val="single" w:sz="6" w:space="0" w:color="000000"/>
              <w:bottom w:val="single" w:sz="6" w:space="0" w:color="000000"/>
            </w:tcBorders>
          </w:tcPr>
          <w:p>
            <w:pPr>
              <w:pStyle w:val="TableParagraph"/>
              <w:spacing w:before="60"/>
              <w:ind w:left="34"/>
              <w:rPr>
                <w:sz w:val="21"/>
              </w:rPr>
            </w:pPr>
            <w:r>
              <w:rPr>
                <w:w w:val="100"/>
                <w:sz w:val="21"/>
              </w:rPr>
              <w:t>6</w:t>
            </w:r>
          </w:p>
        </w:tc>
      </w:tr>
      <w:tr>
        <w:trPr>
          <w:trHeight w:val="360" w:hRule="atLeast"/>
        </w:trPr>
        <w:tc>
          <w:tcPr>
            <w:tcW w:w="2835" w:type="dxa"/>
            <w:tcBorders>
              <w:top w:val="single" w:sz="6" w:space="0" w:color="000000"/>
              <w:bottom w:val="single" w:sz="6" w:space="0" w:color="000000"/>
              <w:right w:val="single" w:sz="6" w:space="0" w:color="000000"/>
            </w:tcBorders>
          </w:tcPr>
          <w:p>
            <w:pPr>
              <w:pStyle w:val="TableParagraph"/>
              <w:spacing w:before="44"/>
              <w:ind w:left="871" w:right="849"/>
              <w:rPr>
                <w:rFonts w:ascii="宋体" w:eastAsia="宋体" w:hint="eastAsia"/>
                <w:sz w:val="21"/>
              </w:rPr>
            </w:pPr>
            <w:r>
              <w:rPr>
                <w:rFonts w:ascii="宋体" w:eastAsia="宋体" w:hint="eastAsia"/>
                <w:sz w:val="21"/>
              </w:rPr>
              <w:t>氯化物</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51" w:right="622"/>
              <w:rPr>
                <w:sz w:val="21"/>
              </w:rPr>
            </w:pPr>
            <w:r>
              <w:rPr>
                <w:sz w:val="21"/>
              </w:rPr>
              <w:t>6.98</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100" w:right="70"/>
              <w:rPr>
                <w:sz w:val="21"/>
              </w:rPr>
            </w:pPr>
            <w:r>
              <w:rPr>
                <w:sz w:val="21"/>
              </w:rPr>
              <w:t>7.63</w:t>
            </w:r>
          </w:p>
        </w:tc>
        <w:tc>
          <w:tcPr>
            <w:tcW w:w="1697" w:type="dxa"/>
            <w:tcBorders>
              <w:top w:val="single" w:sz="6" w:space="0" w:color="000000"/>
              <w:left w:val="single" w:sz="6" w:space="0" w:color="000000"/>
              <w:bottom w:val="single" w:sz="6" w:space="0" w:color="000000"/>
            </w:tcBorders>
          </w:tcPr>
          <w:p>
            <w:pPr>
              <w:pStyle w:val="TableParagraph"/>
              <w:ind w:left="653" w:right="614"/>
              <w:rPr>
                <w:sz w:val="21"/>
              </w:rPr>
            </w:pPr>
            <w:r>
              <w:rPr>
                <w:sz w:val="21"/>
              </w:rPr>
              <w:t>7.69</w:t>
            </w:r>
          </w:p>
        </w:tc>
      </w:tr>
      <w:tr>
        <w:trPr>
          <w:trHeight w:val="359" w:hRule="atLeast"/>
        </w:trPr>
        <w:tc>
          <w:tcPr>
            <w:tcW w:w="2835" w:type="dxa"/>
            <w:tcBorders>
              <w:top w:val="single" w:sz="6" w:space="0" w:color="000000"/>
              <w:bottom w:val="single" w:sz="6" w:space="0" w:color="000000"/>
              <w:right w:val="single" w:sz="6" w:space="0" w:color="000000"/>
            </w:tcBorders>
          </w:tcPr>
          <w:p>
            <w:pPr>
              <w:pStyle w:val="TableParagraph"/>
              <w:spacing w:before="44"/>
              <w:ind w:left="871" w:right="849"/>
              <w:rPr>
                <w:rFonts w:ascii="宋体" w:eastAsia="宋体" w:hint="eastAsia"/>
                <w:sz w:val="21"/>
              </w:rPr>
            </w:pPr>
            <w:r>
              <w:rPr>
                <w:rFonts w:ascii="宋体" w:eastAsia="宋体" w:hint="eastAsia"/>
                <w:sz w:val="21"/>
              </w:rPr>
              <w:t>硫酸盐</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507" w:right="482"/>
              <w:rPr>
                <w:sz w:val="21"/>
              </w:rPr>
            </w:pPr>
            <w:r>
              <w:rPr>
                <w:sz w:val="21"/>
              </w:rPr>
              <w:t>mg/L</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51" w:right="622"/>
              <w:rPr>
                <w:sz w:val="21"/>
              </w:rPr>
            </w:pPr>
            <w:r>
              <w:rPr>
                <w:sz w:val="21"/>
              </w:rPr>
              <w:t>16.8</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100" w:right="70"/>
              <w:rPr>
                <w:sz w:val="21"/>
              </w:rPr>
            </w:pPr>
            <w:r>
              <w:rPr>
                <w:sz w:val="21"/>
              </w:rPr>
              <w:t>17.2</w:t>
            </w:r>
          </w:p>
        </w:tc>
        <w:tc>
          <w:tcPr>
            <w:tcW w:w="1697" w:type="dxa"/>
            <w:tcBorders>
              <w:top w:val="single" w:sz="6" w:space="0" w:color="000000"/>
              <w:left w:val="single" w:sz="6" w:space="0" w:color="000000"/>
              <w:bottom w:val="single" w:sz="6" w:space="0" w:color="000000"/>
            </w:tcBorders>
          </w:tcPr>
          <w:p>
            <w:pPr>
              <w:pStyle w:val="TableParagraph"/>
              <w:ind w:left="653" w:right="614"/>
              <w:rPr>
                <w:sz w:val="21"/>
              </w:rPr>
            </w:pPr>
            <w:r>
              <w:rPr>
                <w:sz w:val="21"/>
              </w:rPr>
              <w:t>18.3</w:t>
            </w:r>
          </w:p>
        </w:tc>
      </w:tr>
      <w:tr>
        <w:trPr>
          <w:trHeight w:val="357" w:hRule="atLeast"/>
        </w:trPr>
        <w:tc>
          <w:tcPr>
            <w:tcW w:w="2835" w:type="dxa"/>
            <w:tcBorders>
              <w:top w:val="single" w:sz="6" w:space="0" w:color="000000"/>
              <w:bottom w:val="single" w:sz="6" w:space="0" w:color="000000"/>
              <w:right w:val="single" w:sz="6" w:space="0" w:color="000000"/>
            </w:tcBorders>
          </w:tcPr>
          <w:p>
            <w:pPr>
              <w:pStyle w:val="TableParagraph"/>
              <w:spacing w:before="44"/>
              <w:ind w:left="871" w:right="851"/>
              <w:rPr>
                <w:rFonts w:ascii="宋体" w:eastAsia="宋体" w:hint="eastAsia"/>
                <w:sz w:val="21"/>
              </w:rPr>
            </w:pPr>
            <w:r>
              <w:rPr>
                <w:rFonts w:ascii="宋体" w:eastAsia="宋体" w:hint="eastAsia"/>
                <w:sz w:val="21"/>
              </w:rPr>
              <w:t>阴离子合计</w:t>
            </w:r>
          </w:p>
        </w:tc>
        <w:tc>
          <w:tcPr>
            <w:tcW w:w="1500"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w:t>
            </w:r>
          </w:p>
        </w:tc>
        <w:tc>
          <w:tcPr>
            <w:tcW w:w="1699" w:type="dxa"/>
            <w:tcBorders>
              <w:top w:val="single" w:sz="6" w:space="0" w:color="000000"/>
              <w:left w:val="single" w:sz="6" w:space="0" w:color="000000"/>
              <w:bottom w:val="single" w:sz="6" w:space="0" w:color="000000"/>
              <w:right w:val="single" w:sz="6" w:space="0" w:color="000000"/>
            </w:tcBorders>
          </w:tcPr>
          <w:p>
            <w:pPr>
              <w:pStyle w:val="TableParagraph"/>
              <w:ind w:left="672"/>
              <w:jc w:val="left"/>
              <w:rPr>
                <w:rFonts w:ascii="宋体"/>
                <w:sz w:val="21"/>
              </w:rPr>
            </w:pPr>
            <w:r>
              <w:rPr>
                <w:sz w:val="21"/>
              </w:rPr>
              <w:t>0.86</w:t>
            </w:r>
            <w:r>
              <w:rPr>
                <w:rFonts w:ascii="宋体"/>
                <w:sz w:val="21"/>
              </w:rPr>
              <w:t> </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ind w:left="203" w:right="70"/>
              <w:rPr>
                <w:rFonts w:ascii="宋体"/>
                <w:sz w:val="21"/>
              </w:rPr>
            </w:pPr>
            <w:r>
              <w:rPr>
                <w:sz w:val="21"/>
              </w:rPr>
              <w:t>0.82</w:t>
            </w:r>
            <w:r>
              <w:rPr>
                <w:rFonts w:ascii="宋体"/>
                <w:sz w:val="21"/>
              </w:rPr>
              <w:t> </w:t>
            </w:r>
          </w:p>
        </w:tc>
        <w:tc>
          <w:tcPr>
            <w:tcW w:w="1697" w:type="dxa"/>
            <w:tcBorders>
              <w:top w:val="single" w:sz="6" w:space="0" w:color="000000"/>
              <w:left w:val="single" w:sz="6" w:space="0" w:color="000000"/>
              <w:bottom w:val="single" w:sz="6" w:space="0" w:color="000000"/>
            </w:tcBorders>
          </w:tcPr>
          <w:p>
            <w:pPr>
              <w:pStyle w:val="TableParagraph"/>
              <w:ind w:left="672"/>
              <w:jc w:val="left"/>
              <w:rPr>
                <w:rFonts w:ascii="宋体"/>
                <w:sz w:val="21"/>
              </w:rPr>
            </w:pPr>
            <w:r>
              <w:rPr>
                <w:sz w:val="21"/>
              </w:rPr>
              <w:t>0.78</w:t>
            </w:r>
            <w:r>
              <w:rPr>
                <w:rFonts w:ascii="宋体"/>
                <w:sz w:val="21"/>
              </w:rPr>
              <w:t> </w:t>
            </w:r>
          </w:p>
        </w:tc>
      </w:tr>
      <w:tr>
        <w:trPr>
          <w:trHeight w:val="359" w:hRule="atLeast"/>
        </w:trPr>
        <w:tc>
          <w:tcPr>
            <w:tcW w:w="2835" w:type="dxa"/>
            <w:tcBorders>
              <w:top w:val="single" w:sz="6" w:space="0" w:color="000000"/>
              <w:right w:val="single" w:sz="6" w:space="0" w:color="000000"/>
            </w:tcBorders>
          </w:tcPr>
          <w:p>
            <w:pPr>
              <w:pStyle w:val="TableParagraph"/>
              <w:spacing w:before="46"/>
              <w:ind w:left="871" w:right="851"/>
              <w:rPr>
                <w:rFonts w:ascii="宋体" w:eastAsia="宋体" w:hint="eastAsia"/>
                <w:sz w:val="21"/>
              </w:rPr>
            </w:pPr>
            <w:r>
              <w:rPr>
                <w:rFonts w:ascii="宋体" w:eastAsia="宋体" w:hint="eastAsia"/>
                <w:sz w:val="21"/>
              </w:rPr>
              <w:t>阴阳平衡</w:t>
            </w:r>
          </w:p>
        </w:tc>
        <w:tc>
          <w:tcPr>
            <w:tcW w:w="1500" w:type="dxa"/>
            <w:tcBorders>
              <w:top w:val="single" w:sz="6" w:space="0" w:color="000000"/>
              <w:left w:val="single" w:sz="6" w:space="0" w:color="000000"/>
              <w:right w:val="single" w:sz="6" w:space="0" w:color="000000"/>
            </w:tcBorders>
          </w:tcPr>
          <w:p>
            <w:pPr>
              <w:pStyle w:val="TableParagraph"/>
              <w:spacing w:before="60"/>
              <w:ind w:left="27"/>
              <w:rPr>
                <w:sz w:val="21"/>
              </w:rPr>
            </w:pPr>
            <w:r>
              <w:rPr>
                <w:w w:val="100"/>
                <w:sz w:val="21"/>
              </w:rPr>
              <w:t>/</w:t>
            </w:r>
          </w:p>
        </w:tc>
        <w:tc>
          <w:tcPr>
            <w:tcW w:w="1699" w:type="dxa"/>
            <w:tcBorders>
              <w:top w:val="single" w:sz="6" w:space="0" w:color="000000"/>
              <w:left w:val="single" w:sz="6" w:space="0" w:color="000000"/>
              <w:right w:val="single" w:sz="6" w:space="0" w:color="000000"/>
            </w:tcBorders>
          </w:tcPr>
          <w:p>
            <w:pPr>
              <w:pStyle w:val="TableParagraph"/>
              <w:spacing w:before="60"/>
              <w:ind w:left="585"/>
              <w:jc w:val="left"/>
              <w:rPr>
                <w:rFonts w:ascii="宋体"/>
                <w:sz w:val="21"/>
              </w:rPr>
            </w:pPr>
            <w:r>
              <w:rPr>
                <w:sz w:val="21"/>
              </w:rPr>
              <w:t>0.32%</w:t>
            </w:r>
            <w:r>
              <w:rPr>
                <w:rFonts w:ascii="宋体"/>
                <w:sz w:val="21"/>
              </w:rPr>
              <w:t> </w:t>
            </w:r>
          </w:p>
        </w:tc>
        <w:tc>
          <w:tcPr>
            <w:tcW w:w="1700" w:type="dxa"/>
            <w:tcBorders>
              <w:top w:val="single" w:sz="6" w:space="0" w:color="000000"/>
              <w:left w:val="single" w:sz="6" w:space="0" w:color="000000"/>
              <w:right w:val="single" w:sz="6" w:space="0" w:color="000000"/>
            </w:tcBorders>
          </w:tcPr>
          <w:p>
            <w:pPr>
              <w:pStyle w:val="TableParagraph"/>
              <w:spacing w:before="60"/>
              <w:ind w:left="205" w:right="70"/>
              <w:rPr>
                <w:rFonts w:ascii="宋体"/>
                <w:sz w:val="21"/>
              </w:rPr>
            </w:pPr>
            <w:r>
              <w:rPr>
                <w:sz w:val="21"/>
              </w:rPr>
              <w:t>0.09%</w:t>
            </w:r>
            <w:r>
              <w:rPr>
                <w:rFonts w:ascii="宋体"/>
                <w:sz w:val="21"/>
              </w:rPr>
              <w:t> </w:t>
            </w:r>
          </w:p>
        </w:tc>
        <w:tc>
          <w:tcPr>
            <w:tcW w:w="1697" w:type="dxa"/>
            <w:tcBorders>
              <w:top w:val="single" w:sz="6" w:space="0" w:color="000000"/>
              <w:left w:val="single" w:sz="6" w:space="0" w:color="000000"/>
            </w:tcBorders>
          </w:tcPr>
          <w:p>
            <w:pPr>
              <w:pStyle w:val="TableParagraph"/>
              <w:spacing w:before="60"/>
              <w:ind w:left="583"/>
              <w:jc w:val="left"/>
              <w:rPr>
                <w:rFonts w:ascii="宋体"/>
                <w:sz w:val="21"/>
              </w:rPr>
            </w:pPr>
            <w:r>
              <w:rPr>
                <w:sz w:val="21"/>
              </w:rPr>
              <w:t>2.24%</w:t>
            </w:r>
            <w:r>
              <w:rPr>
                <w:rFonts w:ascii="宋体"/>
                <w:sz w:val="21"/>
              </w:rPr>
              <w:t> </w:t>
            </w:r>
          </w:p>
        </w:tc>
      </w:tr>
    </w:tbl>
    <w:p>
      <w:pPr>
        <w:spacing w:after="0"/>
        <w:jc w:val="left"/>
        <w:rPr>
          <w:rFonts w:ascii="宋体"/>
          <w:sz w:val="21"/>
        </w:rPr>
        <w:sectPr>
          <w:pgSz w:w="11910" w:h="16840"/>
          <w:pgMar w:header="874" w:footer="1004" w:top="1420" w:bottom="1200" w:left="1040" w:right="1160"/>
        </w:sectPr>
      </w:pPr>
    </w:p>
    <w:p>
      <w:pPr>
        <w:spacing w:before="62" w:after="19"/>
        <w:ind w:left="0" w:right="5"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196"/>
        <w:rPr>
          <w:sz w:val="2"/>
        </w:rPr>
      </w:pPr>
      <w:r>
        <w:rPr>
          <w:sz w:val="2"/>
        </w:rPr>
        <w:pict>
          <v:group style="width:740.2pt;height:.75pt;mso-position-horizontal-relative:char;mso-position-vertical-relative:line" coordorigin="0,0" coordsize="14804,15">
            <v:line style="position:absolute" from="0,7" to="14803,7" stroked="true" strokeweight=".72pt" strokecolor="#000000">
              <v:stroke dashstyle="solid"/>
            </v:line>
          </v:group>
        </w:pict>
      </w:r>
      <w:r>
        <w:rPr>
          <w:sz w:val="2"/>
        </w:rPr>
      </w:r>
    </w:p>
    <w:p>
      <w:pPr>
        <w:pStyle w:val="BodyText"/>
        <w:spacing w:before="1"/>
        <w:ind w:left="0"/>
        <w:rPr>
          <w:sz w:val="14"/>
        </w:rPr>
      </w:pPr>
    </w:p>
    <w:p>
      <w:pPr>
        <w:pStyle w:val="Heading3"/>
        <w:spacing w:before="0" w:after="24"/>
        <w:ind w:left="0" w:right="6"/>
        <w:jc w:val="center"/>
      </w:pPr>
      <w:r>
        <w:rPr/>
        <w:t>表 </w:t>
      </w:r>
      <w:r>
        <w:rPr>
          <w:rFonts w:ascii="Times New Roman" w:eastAsia="Times New Roman"/>
        </w:rPr>
        <w:t>4.3-7  </w:t>
      </w:r>
      <w:r>
        <w:rPr/>
        <w:t>地下水监测结果统计</w:t>
      </w: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73"/>
        <w:gridCol w:w="1514"/>
        <w:gridCol w:w="963"/>
        <w:gridCol w:w="1200"/>
        <w:gridCol w:w="1200"/>
        <w:gridCol w:w="1203"/>
        <w:gridCol w:w="1200"/>
        <w:gridCol w:w="1200"/>
        <w:gridCol w:w="1203"/>
        <w:gridCol w:w="1200"/>
        <w:gridCol w:w="1200"/>
        <w:gridCol w:w="1205"/>
      </w:tblGrid>
      <w:tr>
        <w:trPr>
          <w:trHeight w:val="359" w:hRule="atLeast"/>
        </w:trPr>
        <w:tc>
          <w:tcPr>
            <w:tcW w:w="1673"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82" w:right="163"/>
              <w:rPr>
                <w:rFonts w:ascii="宋体" w:eastAsia="宋体" w:hint="eastAsia"/>
                <w:b/>
                <w:sz w:val="21"/>
              </w:rPr>
            </w:pPr>
            <w:r>
              <w:rPr>
                <w:rFonts w:ascii="宋体" w:eastAsia="宋体" w:hint="eastAsia"/>
                <w:b/>
                <w:sz w:val="21"/>
              </w:rPr>
              <w:t>项目</w:t>
            </w:r>
          </w:p>
        </w:tc>
        <w:tc>
          <w:tcPr>
            <w:tcW w:w="1514"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80" w:right="153"/>
              <w:rPr>
                <w:rFonts w:ascii="宋体" w:eastAsia="宋体" w:hint="eastAsia"/>
                <w:b/>
                <w:sz w:val="21"/>
              </w:rPr>
            </w:pPr>
            <w:r>
              <w:rPr>
                <w:rFonts w:ascii="宋体" w:eastAsia="宋体" w:hint="eastAsia"/>
                <w:b/>
                <w:sz w:val="21"/>
              </w:rPr>
              <w:t>单位</w:t>
            </w:r>
          </w:p>
        </w:tc>
        <w:tc>
          <w:tcPr>
            <w:tcW w:w="963"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70"/>
              <w:jc w:val="left"/>
              <w:rPr>
                <w:rFonts w:ascii="宋体" w:eastAsia="宋体" w:hint="eastAsia"/>
                <w:b/>
                <w:sz w:val="21"/>
              </w:rPr>
            </w:pPr>
            <w:r>
              <w:rPr>
                <w:rFonts w:ascii="宋体" w:eastAsia="宋体" w:hint="eastAsia"/>
                <w:b/>
                <w:sz w:val="21"/>
              </w:rPr>
              <w:t>标准值</w:t>
            </w:r>
          </w:p>
        </w:tc>
        <w:tc>
          <w:tcPr>
            <w:tcW w:w="3603" w:type="dxa"/>
            <w:gridSpan w:val="3"/>
            <w:tcBorders>
              <w:left w:val="single" w:sz="6" w:space="0" w:color="000000"/>
              <w:bottom w:val="single" w:sz="6" w:space="0" w:color="000000"/>
              <w:right w:val="single" w:sz="6" w:space="0" w:color="000000"/>
            </w:tcBorders>
          </w:tcPr>
          <w:p>
            <w:pPr>
              <w:pStyle w:val="TableParagraph"/>
              <w:spacing w:before="60"/>
              <w:ind w:left="1649" w:right="1624"/>
              <w:rPr>
                <w:b/>
                <w:sz w:val="21"/>
              </w:rPr>
            </w:pPr>
            <w:r>
              <w:rPr>
                <w:b/>
                <w:sz w:val="21"/>
              </w:rPr>
              <w:t>G1</w:t>
            </w:r>
          </w:p>
        </w:tc>
        <w:tc>
          <w:tcPr>
            <w:tcW w:w="3603" w:type="dxa"/>
            <w:gridSpan w:val="3"/>
            <w:tcBorders>
              <w:left w:val="single" w:sz="6" w:space="0" w:color="000000"/>
              <w:bottom w:val="single" w:sz="6" w:space="0" w:color="000000"/>
              <w:right w:val="single" w:sz="6" w:space="0" w:color="000000"/>
            </w:tcBorders>
          </w:tcPr>
          <w:p>
            <w:pPr>
              <w:pStyle w:val="TableParagraph"/>
              <w:spacing w:before="60"/>
              <w:ind w:left="1652" w:right="1622"/>
              <w:rPr>
                <w:b/>
                <w:sz w:val="21"/>
              </w:rPr>
            </w:pPr>
            <w:r>
              <w:rPr>
                <w:b/>
                <w:sz w:val="21"/>
              </w:rPr>
              <w:t>G2</w:t>
            </w:r>
          </w:p>
        </w:tc>
        <w:tc>
          <w:tcPr>
            <w:tcW w:w="3605" w:type="dxa"/>
            <w:gridSpan w:val="3"/>
            <w:tcBorders>
              <w:left w:val="single" w:sz="6" w:space="0" w:color="000000"/>
              <w:bottom w:val="single" w:sz="6" w:space="0" w:color="000000"/>
            </w:tcBorders>
          </w:tcPr>
          <w:p>
            <w:pPr>
              <w:pStyle w:val="TableParagraph"/>
              <w:spacing w:before="60"/>
              <w:ind w:left="1654" w:right="1619"/>
              <w:rPr>
                <w:b/>
                <w:sz w:val="21"/>
              </w:rPr>
            </w:pPr>
            <w:r>
              <w:rPr>
                <w:b/>
                <w:sz w:val="21"/>
              </w:rPr>
              <w:t>G3</w:t>
            </w:r>
          </w:p>
        </w:tc>
      </w:tr>
      <w:tr>
        <w:trPr>
          <w:trHeight w:val="359" w:hRule="atLeast"/>
        </w:trPr>
        <w:tc>
          <w:tcPr>
            <w:tcW w:w="1673" w:type="dxa"/>
            <w:vMerge/>
            <w:tcBorders>
              <w:top w:val="nil"/>
              <w:bottom w:val="single" w:sz="6" w:space="0" w:color="000000"/>
              <w:right w:val="single" w:sz="6" w:space="0" w:color="000000"/>
            </w:tcBorders>
          </w:tcPr>
          <w:p>
            <w:pPr>
              <w:rPr>
                <w:sz w:val="2"/>
                <w:szCs w:val="2"/>
              </w:rPr>
            </w:pPr>
          </w:p>
        </w:tc>
        <w:tc>
          <w:tcPr>
            <w:tcW w:w="1514" w:type="dxa"/>
            <w:vMerge/>
            <w:tcBorders>
              <w:top w:val="nil"/>
              <w:left w:val="single" w:sz="6" w:space="0" w:color="000000"/>
              <w:bottom w:val="single" w:sz="6" w:space="0" w:color="000000"/>
              <w:right w:val="single" w:sz="6" w:space="0" w:color="000000"/>
            </w:tcBorders>
          </w:tcPr>
          <w:p>
            <w:pPr>
              <w:rPr>
                <w:sz w:val="2"/>
                <w:szCs w:val="2"/>
              </w:rPr>
            </w:pPr>
          </w:p>
        </w:tc>
        <w:tc>
          <w:tcPr>
            <w:tcW w:w="963" w:type="dxa"/>
            <w:vMerge/>
            <w:tcBorders>
              <w:top w:val="nil"/>
              <w:left w:val="single" w:sz="6" w:space="0" w:color="000000"/>
              <w:bottom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18" w:right="88"/>
              <w:rPr>
                <w:rFonts w:ascii="宋体" w:eastAsia="宋体" w:hint="eastAsia"/>
                <w:b/>
                <w:sz w:val="21"/>
              </w:rPr>
            </w:pPr>
            <w:r>
              <w:rPr>
                <w:rFonts w:ascii="宋体" w:eastAsia="宋体" w:hint="eastAsia"/>
                <w:b/>
                <w:sz w:val="21"/>
              </w:rPr>
              <w:t>监测结果</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18" w:right="88"/>
              <w:rPr>
                <w:rFonts w:ascii="宋体" w:eastAsia="宋体" w:hint="eastAsia"/>
                <w:b/>
                <w:sz w:val="21"/>
              </w:rPr>
            </w:pPr>
            <w:r>
              <w:rPr>
                <w:rFonts w:ascii="宋体" w:eastAsia="宋体" w:hint="eastAsia"/>
                <w:b/>
                <w:sz w:val="21"/>
              </w:rPr>
              <w:t>污染指数</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eastAsia="宋体" w:hint="eastAsia"/>
                <w:b/>
                <w:sz w:val="21"/>
              </w:rPr>
            </w:pPr>
            <w:r>
              <w:rPr>
                <w:rFonts w:ascii="宋体" w:eastAsia="宋体" w:hint="eastAsia"/>
                <w:b/>
                <w:sz w:val="21"/>
              </w:rPr>
              <w:t>水质类别</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18" w:right="84"/>
              <w:rPr>
                <w:rFonts w:ascii="宋体" w:eastAsia="宋体" w:hint="eastAsia"/>
                <w:b/>
                <w:sz w:val="21"/>
              </w:rPr>
            </w:pPr>
            <w:r>
              <w:rPr>
                <w:rFonts w:ascii="宋体" w:eastAsia="宋体" w:hint="eastAsia"/>
                <w:b/>
                <w:sz w:val="21"/>
              </w:rPr>
              <w:t>监测结果</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18" w:right="84"/>
              <w:rPr>
                <w:rFonts w:ascii="宋体" w:eastAsia="宋体" w:hint="eastAsia"/>
                <w:b/>
                <w:sz w:val="21"/>
              </w:rPr>
            </w:pPr>
            <w:r>
              <w:rPr>
                <w:rFonts w:ascii="宋体" w:eastAsia="宋体" w:hint="eastAsia"/>
                <w:b/>
                <w:sz w:val="21"/>
              </w:rPr>
              <w:t>污染指数</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eastAsia="宋体" w:hint="eastAsia"/>
                <w:b/>
                <w:sz w:val="21"/>
              </w:rPr>
            </w:pPr>
            <w:r>
              <w:rPr>
                <w:rFonts w:ascii="宋体" w:eastAsia="宋体" w:hint="eastAsia"/>
                <w:b/>
                <w:sz w:val="21"/>
              </w:rPr>
              <w:t>水质类别</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87"/>
              <w:jc w:val="left"/>
              <w:rPr>
                <w:rFonts w:ascii="宋体" w:eastAsia="宋体" w:hint="eastAsia"/>
                <w:b/>
                <w:sz w:val="21"/>
              </w:rPr>
            </w:pPr>
            <w:r>
              <w:rPr>
                <w:rFonts w:ascii="宋体" w:eastAsia="宋体" w:hint="eastAsia"/>
                <w:b/>
                <w:sz w:val="21"/>
              </w:rPr>
              <w:t>监测结果</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18" w:right="84"/>
              <w:rPr>
                <w:rFonts w:ascii="宋体" w:eastAsia="宋体" w:hint="eastAsia"/>
                <w:b/>
                <w:sz w:val="21"/>
              </w:rPr>
            </w:pPr>
            <w:r>
              <w:rPr>
                <w:rFonts w:ascii="宋体" w:eastAsia="宋体" w:hint="eastAsia"/>
                <w:b/>
                <w:sz w:val="21"/>
              </w:rPr>
              <w:t>污染指数</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eastAsia="宋体" w:hint="eastAsia"/>
                <w:b/>
                <w:sz w:val="21"/>
              </w:rPr>
            </w:pPr>
            <w:r>
              <w:rPr>
                <w:rFonts w:ascii="宋体" w:eastAsia="宋体" w:hint="eastAsia"/>
                <w:b/>
                <w:sz w:val="21"/>
              </w:rPr>
              <w:t>水质类别</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ind w:left="186" w:right="163"/>
              <w:rPr>
                <w:sz w:val="21"/>
              </w:rPr>
            </w:pPr>
            <w:r>
              <w:rPr>
                <w:sz w:val="21"/>
              </w:rPr>
              <w:t>pH</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spacing w:before="44"/>
              <w:ind w:left="184" w:right="152"/>
              <w:rPr>
                <w:rFonts w:ascii="宋体" w:eastAsia="宋体" w:hint="eastAsia"/>
                <w:sz w:val="21"/>
              </w:rPr>
            </w:pPr>
            <w:r>
              <w:rPr>
                <w:rFonts w:ascii="宋体" w:eastAsia="宋体" w:hint="eastAsia"/>
                <w:sz w:val="21"/>
              </w:rPr>
              <w:t>无量纲</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7"/>
              <w:rPr>
                <w:sz w:val="21"/>
              </w:rPr>
            </w:pPr>
            <w:r>
              <w:rPr>
                <w:sz w:val="21"/>
              </w:rPr>
              <w:t>6.5-8.5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6.80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0.400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6.87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0.260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424"/>
              <w:jc w:val="left"/>
              <w:rPr>
                <w:sz w:val="21"/>
              </w:rPr>
            </w:pPr>
            <w:r>
              <w:rPr>
                <w:sz w:val="21"/>
              </w:rPr>
              <w:t>6.85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0.300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6" w:hRule="atLeast"/>
        </w:trPr>
        <w:tc>
          <w:tcPr>
            <w:tcW w:w="1673" w:type="dxa"/>
            <w:tcBorders>
              <w:top w:val="single" w:sz="6" w:space="0" w:color="000000"/>
              <w:bottom w:val="single" w:sz="6" w:space="0" w:color="000000"/>
              <w:right w:val="single" w:sz="6" w:space="0" w:color="000000"/>
            </w:tcBorders>
          </w:tcPr>
          <w:p>
            <w:pPr>
              <w:pStyle w:val="TableParagraph"/>
              <w:spacing w:before="46"/>
              <w:ind w:left="186" w:right="163"/>
              <w:rPr>
                <w:rFonts w:ascii="宋体" w:eastAsia="宋体" w:hint="eastAsia"/>
                <w:sz w:val="21"/>
              </w:rPr>
            </w:pPr>
            <w:r>
              <w:rPr>
                <w:rFonts w:ascii="宋体" w:eastAsia="宋体" w:hint="eastAsia"/>
                <w:sz w:val="21"/>
              </w:rPr>
              <w:t>氯化物</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≤250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6.98</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0.028</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7.63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0.031</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424"/>
              <w:jc w:val="left"/>
              <w:rPr>
                <w:sz w:val="21"/>
              </w:rPr>
            </w:pPr>
            <w:r>
              <w:rPr>
                <w:sz w:val="21"/>
              </w:rPr>
              <w:t>7.69</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0.031</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9"/>
              <w:ind w:left="186" w:right="163"/>
              <w:rPr>
                <w:rFonts w:ascii="宋体" w:eastAsia="宋体" w:hint="eastAsia"/>
                <w:sz w:val="21"/>
              </w:rPr>
            </w:pPr>
            <w:r>
              <w:rPr>
                <w:rFonts w:ascii="宋体" w:eastAsia="宋体" w:hint="eastAsia"/>
                <w:sz w:val="21"/>
              </w:rPr>
              <w:t>硫酸盐</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95"/>
              <w:rPr>
                <w:sz w:val="21"/>
              </w:rPr>
            </w:pPr>
            <w:r>
              <w:rPr>
                <w:sz w:val="21"/>
              </w:rPr>
              <w:t>≤250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8"/>
              <w:rPr>
                <w:sz w:val="21"/>
              </w:rPr>
            </w:pPr>
            <w:r>
              <w:rPr>
                <w:sz w:val="21"/>
              </w:rPr>
              <w:t>16.8</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8"/>
              <w:rPr>
                <w:sz w:val="21"/>
              </w:rPr>
            </w:pPr>
            <w:r>
              <w:rPr>
                <w:sz w:val="21"/>
              </w:rPr>
              <w:t>0.067</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17.2</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0.069</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424"/>
              <w:jc w:val="left"/>
              <w:rPr>
                <w:sz w:val="21"/>
              </w:rPr>
            </w:pPr>
            <w:r>
              <w:rPr>
                <w:sz w:val="21"/>
              </w:rPr>
              <w:t>18.3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0.073</w:t>
            </w:r>
          </w:p>
        </w:tc>
        <w:tc>
          <w:tcPr>
            <w:tcW w:w="1205" w:type="dxa"/>
            <w:tcBorders>
              <w:top w:val="single" w:sz="6" w:space="0" w:color="000000"/>
              <w:left w:val="single" w:sz="6" w:space="0" w:color="000000"/>
              <w:bottom w:val="single" w:sz="6" w:space="0" w:color="000000"/>
            </w:tcBorders>
          </w:tcPr>
          <w:p>
            <w:pPr>
              <w:pStyle w:val="TableParagraph"/>
              <w:spacing w:before="46"/>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86" w:right="162"/>
              <w:rPr>
                <w:rFonts w:ascii="宋体" w:eastAsia="宋体" w:hint="eastAsia"/>
                <w:sz w:val="21"/>
              </w:rPr>
            </w:pPr>
            <w:r>
              <w:rPr>
                <w:rFonts w:ascii="宋体" w:eastAsia="宋体" w:hint="eastAsia"/>
                <w:sz w:val="21"/>
              </w:rPr>
              <w:t>氨氮</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≤0.50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0.223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0.446</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Ⅲ类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0.251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0.502</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Ⅲ类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72"/>
              <w:jc w:val="left"/>
              <w:rPr>
                <w:sz w:val="21"/>
              </w:rPr>
            </w:pPr>
            <w:r>
              <w:rPr>
                <w:sz w:val="21"/>
              </w:rPr>
              <w:t>0.273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0.546</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Ⅲ类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86" w:right="163"/>
              <w:rPr>
                <w:rFonts w:ascii="宋体" w:eastAsia="宋体" w:hint="eastAsia"/>
                <w:sz w:val="21"/>
              </w:rPr>
            </w:pPr>
            <w:r>
              <w:rPr>
                <w:rFonts w:ascii="宋体" w:eastAsia="宋体" w:hint="eastAsia"/>
                <w:sz w:val="21"/>
              </w:rPr>
              <w:t>硝酸盐</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5" w:right="99"/>
              <w:rPr>
                <w:sz w:val="21"/>
              </w:rPr>
            </w:pPr>
            <w:r>
              <w:rPr>
                <w:sz w:val="21"/>
              </w:rPr>
              <w:t>≤20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0.907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0.045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0.579</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0.029</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72"/>
              <w:jc w:val="left"/>
              <w:rPr>
                <w:sz w:val="21"/>
              </w:rPr>
            </w:pPr>
            <w:r>
              <w:rPr>
                <w:sz w:val="21"/>
              </w:rPr>
              <w:t>0.572</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0.029</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7" w:hRule="atLeast"/>
        </w:trPr>
        <w:tc>
          <w:tcPr>
            <w:tcW w:w="1673" w:type="dxa"/>
            <w:tcBorders>
              <w:top w:val="single" w:sz="6" w:space="0" w:color="000000"/>
              <w:bottom w:val="single" w:sz="6" w:space="0" w:color="000000"/>
              <w:right w:val="single" w:sz="6" w:space="0" w:color="000000"/>
            </w:tcBorders>
          </w:tcPr>
          <w:p>
            <w:pPr>
              <w:pStyle w:val="TableParagraph"/>
              <w:spacing w:before="46"/>
              <w:ind w:left="184" w:right="163"/>
              <w:rPr>
                <w:rFonts w:ascii="宋体" w:eastAsia="宋体" w:hint="eastAsia"/>
                <w:sz w:val="21"/>
              </w:rPr>
            </w:pPr>
            <w:r>
              <w:rPr>
                <w:rFonts w:ascii="宋体" w:eastAsia="宋体" w:hint="eastAsia"/>
                <w:sz w:val="21"/>
              </w:rPr>
              <w:t>亚硝酸盐</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≤1.00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6"/>
              <w:rPr>
                <w:sz w:val="21"/>
              </w:rPr>
            </w:pPr>
            <w:r>
              <w:rPr>
                <w:sz w:val="21"/>
              </w:rPr>
              <w:t>&lt;0.016</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0.008</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2"/>
              <w:rPr>
                <w:sz w:val="21"/>
              </w:rPr>
            </w:pPr>
            <w:r>
              <w:rPr>
                <w:sz w:val="21"/>
              </w:rPr>
              <w:t>&lt;0.016</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0.008</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14"/>
              <w:jc w:val="left"/>
              <w:rPr>
                <w:sz w:val="21"/>
              </w:rPr>
            </w:pPr>
            <w:r>
              <w:rPr>
                <w:sz w:val="21"/>
              </w:rPr>
              <w:t>&lt;0.016</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0.008</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9"/>
              <w:ind w:left="186" w:right="163"/>
              <w:rPr>
                <w:rFonts w:ascii="宋体" w:eastAsia="宋体" w:hint="eastAsia"/>
                <w:sz w:val="21"/>
              </w:rPr>
            </w:pPr>
            <w:r>
              <w:rPr>
                <w:rFonts w:ascii="宋体" w:eastAsia="宋体" w:hint="eastAsia"/>
                <w:sz w:val="21"/>
              </w:rPr>
              <w:t>挥发酚</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95"/>
              <w:rPr>
                <w:sz w:val="21"/>
              </w:rPr>
            </w:pPr>
            <w:r>
              <w:rPr>
                <w:sz w:val="21"/>
              </w:rPr>
              <w:t>≤0.002</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6"/>
              <w:rPr>
                <w:sz w:val="21"/>
              </w:rPr>
            </w:pPr>
            <w:r>
              <w:rPr>
                <w:sz w:val="21"/>
              </w:rPr>
              <w:t>&lt;0.0003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8"/>
              <w:rPr>
                <w:sz w:val="21"/>
              </w:rPr>
            </w:pPr>
            <w:r>
              <w:rPr>
                <w:sz w:val="21"/>
              </w:rPr>
              <w:t>0.075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2"/>
              <w:rPr>
                <w:sz w:val="21"/>
              </w:rPr>
            </w:pPr>
            <w:r>
              <w:rPr>
                <w:sz w:val="21"/>
              </w:rPr>
              <w:t>&lt;0.0003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0.075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261"/>
              <w:jc w:val="left"/>
              <w:rPr>
                <w:sz w:val="21"/>
              </w:rPr>
            </w:pPr>
            <w:r>
              <w:rPr>
                <w:sz w:val="21"/>
              </w:rPr>
              <w:t>&lt;0.0003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0.075</w:t>
            </w:r>
          </w:p>
        </w:tc>
        <w:tc>
          <w:tcPr>
            <w:tcW w:w="1205" w:type="dxa"/>
            <w:tcBorders>
              <w:top w:val="single" w:sz="6" w:space="0" w:color="000000"/>
              <w:left w:val="single" w:sz="6" w:space="0" w:color="000000"/>
              <w:bottom w:val="single" w:sz="6" w:space="0" w:color="000000"/>
            </w:tcBorders>
          </w:tcPr>
          <w:p>
            <w:pPr>
              <w:pStyle w:val="TableParagraph"/>
              <w:spacing w:before="46"/>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86" w:right="163"/>
              <w:rPr>
                <w:rFonts w:ascii="宋体" w:eastAsia="宋体" w:hint="eastAsia"/>
                <w:sz w:val="21"/>
              </w:rPr>
            </w:pPr>
            <w:r>
              <w:rPr>
                <w:rFonts w:ascii="宋体" w:eastAsia="宋体" w:hint="eastAsia"/>
                <w:sz w:val="21"/>
              </w:rPr>
              <w:t>氰化物</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≤0.05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6"/>
              <w:rPr>
                <w:sz w:val="21"/>
              </w:rPr>
            </w:pPr>
            <w:r>
              <w:rPr>
                <w:sz w:val="21"/>
              </w:rPr>
              <w:t>&lt;0.004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0.040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Ⅱ类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2"/>
              <w:rPr>
                <w:sz w:val="21"/>
              </w:rPr>
            </w:pPr>
            <w:r>
              <w:rPr>
                <w:sz w:val="21"/>
              </w:rPr>
              <w:t>&lt;0.004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0.040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Ⅱ类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14"/>
              <w:jc w:val="left"/>
              <w:rPr>
                <w:sz w:val="21"/>
              </w:rPr>
            </w:pPr>
            <w:r>
              <w:rPr>
                <w:sz w:val="21"/>
              </w:rPr>
              <w:t>&lt;0.004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0.040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Ⅱ类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9"/>
              <w:rPr>
                <w:rFonts w:ascii="宋体" w:eastAsia="宋体" w:hint="eastAsia"/>
                <w:sz w:val="21"/>
              </w:rPr>
            </w:pPr>
            <w:r>
              <w:rPr>
                <w:rFonts w:ascii="宋体" w:eastAsia="宋体" w:hint="eastAsia"/>
                <w:w w:val="100"/>
                <w:sz w:val="21"/>
              </w:rPr>
              <w:t>砷</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6"/>
              <w:rPr>
                <w:sz w:val="21"/>
              </w:rPr>
            </w:pPr>
            <w:r>
              <w:rPr>
                <w:sz w:val="21"/>
              </w:rPr>
              <w:t>&lt;0.001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0.050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2"/>
              <w:rPr>
                <w:sz w:val="21"/>
              </w:rPr>
            </w:pPr>
            <w:r>
              <w:rPr>
                <w:sz w:val="21"/>
              </w:rPr>
              <w:t>&lt;0.001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0.050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14"/>
              <w:jc w:val="left"/>
              <w:rPr>
                <w:sz w:val="21"/>
              </w:rPr>
            </w:pPr>
            <w:r>
              <w:rPr>
                <w:sz w:val="21"/>
              </w:rPr>
              <w:t>&lt;0.001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0.050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6" w:hRule="atLeast"/>
        </w:trPr>
        <w:tc>
          <w:tcPr>
            <w:tcW w:w="1673" w:type="dxa"/>
            <w:tcBorders>
              <w:top w:val="single" w:sz="6" w:space="0" w:color="000000"/>
              <w:bottom w:val="single" w:sz="6" w:space="0" w:color="000000"/>
              <w:right w:val="single" w:sz="6" w:space="0" w:color="000000"/>
            </w:tcBorders>
          </w:tcPr>
          <w:p>
            <w:pPr>
              <w:pStyle w:val="TableParagraph"/>
              <w:spacing w:before="46"/>
              <w:ind w:left="19"/>
              <w:rPr>
                <w:rFonts w:ascii="宋体" w:eastAsia="宋体" w:hint="eastAsia"/>
                <w:sz w:val="21"/>
              </w:rPr>
            </w:pPr>
            <w:r>
              <w:rPr>
                <w:rFonts w:ascii="宋体" w:eastAsia="宋体" w:hint="eastAsia"/>
                <w:w w:val="100"/>
                <w:sz w:val="21"/>
              </w:rPr>
              <w:t>汞</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≤0.001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0.0002</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0.100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Ⅲ类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0.0002</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0.100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Ⅲ类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19"/>
              <w:jc w:val="left"/>
              <w:rPr>
                <w:sz w:val="21"/>
              </w:rPr>
            </w:pPr>
            <w:r>
              <w:rPr>
                <w:sz w:val="21"/>
              </w:rPr>
              <w:t>0.0002</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0.100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Ⅲ类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9"/>
              <w:ind w:left="184" w:right="163"/>
              <w:rPr>
                <w:rFonts w:ascii="宋体" w:eastAsia="宋体" w:hint="eastAsia"/>
                <w:sz w:val="21"/>
              </w:rPr>
            </w:pPr>
            <w:r>
              <w:rPr>
                <w:rFonts w:ascii="宋体" w:eastAsia="宋体" w:hint="eastAsia"/>
                <w:sz w:val="21"/>
              </w:rPr>
              <w:t>铬（六价）</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95"/>
              <w:rPr>
                <w:sz w:val="21"/>
              </w:rPr>
            </w:pPr>
            <w:r>
              <w:rPr>
                <w:sz w:val="21"/>
              </w:rPr>
              <w:t>≤0.05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6"/>
              <w:rPr>
                <w:sz w:val="21"/>
              </w:rPr>
            </w:pPr>
            <w:r>
              <w:rPr>
                <w:sz w:val="21"/>
              </w:rPr>
              <w:t>&lt;0.004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8"/>
              <w:rPr>
                <w:sz w:val="21"/>
              </w:rPr>
            </w:pPr>
            <w:r>
              <w:rPr>
                <w:sz w:val="21"/>
              </w:rPr>
              <w:t>0.040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2"/>
              <w:rPr>
                <w:sz w:val="21"/>
              </w:rPr>
            </w:pPr>
            <w:r>
              <w:rPr>
                <w:sz w:val="21"/>
              </w:rPr>
              <w:t>&lt;0.004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0.040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314"/>
              <w:jc w:val="left"/>
              <w:rPr>
                <w:sz w:val="21"/>
              </w:rPr>
            </w:pPr>
            <w:r>
              <w:rPr>
                <w:sz w:val="21"/>
              </w:rPr>
              <w:t>&lt;0.004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0.040</w:t>
            </w:r>
          </w:p>
        </w:tc>
        <w:tc>
          <w:tcPr>
            <w:tcW w:w="1205" w:type="dxa"/>
            <w:tcBorders>
              <w:top w:val="single" w:sz="6" w:space="0" w:color="000000"/>
              <w:left w:val="single" w:sz="6" w:space="0" w:color="000000"/>
              <w:bottom w:val="single" w:sz="6" w:space="0" w:color="000000"/>
            </w:tcBorders>
          </w:tcPr>
          <w:p>
            <w:pPr>
              <w:pStyle w:val="TableParagraph"/>
              <w:spacing w:before="46"/>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86" w:right="163"/>
              <w:rPr>
                <w:rFonts w:ascii="宋体" w:eastAsia="宋体" w:hint="eastAsia"/>
                <w:sz w:val="21"/>
              </w:rPr>
            </w:pPr>
            <w:r>
              <w:rPr>
                <w:rFonts w:ascii="宋体" w:eastAsia="宋体" w:hint="eastAsia"/>
                <w:sz w:val="21"/>
              </w:rPr>
              <w:t>总硬度</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≤450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34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0.076</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32</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0.071</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27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0.060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9"/>
              <w:rPr>
                <w:rFonts w:ascii="宋体" w:eastAsia="宋体" w:hint="eastAsia"/>
                <w:sz w:val="21"/>
              </w:rPr>
            </w:pPr>
            <w:r>
              <w:rPr>
                <w:rFonts w:ascii="宋体" w:eastAsia="宋体" w:hint="eastAsia"/>
                <w:w w:val="100"/>
                <w:sz w:val="21"/>
              </w:rPr>
              <w:t>铅</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6"/>
              <w:rPr>
                <w:sz w:val="21"/>
              </w:rPr>
            </w:pPr>
            <w:r>
              <w:rPr>
                <w:sz w:val="21"/>
              </w:rPr>
              <w:t>&lt;0.00007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0.004</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2"/>
              <w:rPr>
                <w:sz w:val="21"/>
              </w:rPr>
            </w:pPr>
            <w:r>
              <w:rPr>
                <w:sz w:val="21"/>
              </w:rPr>
              <w:t>&lt;0.00007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0.004</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208"/>
              <w:jc w:val="left"/>
              <w:rPr>
                <w:sz w:val="21"/>
              </w:rPr>
            </w:pPr>
            <w:r>
              <w:rPr>
                <w:sz w:val="21"/>
              </w:rPr>
              <w:t>&lt;0.00007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0.004</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7" w:hRule="atLeast"/>
        </w:trPr>
        <w:tc>
          <w:tcPr>
            <w:tcW w:w="1673" w:type="dxa"/>
            <w:tcBorders>
              <w:top w:val="single" w:sz="6" w:space="0" w:color="000000"/>
              <w:bottom w:val="single" w:sz="6" w:space="0" w:color="000000"/>
              <w:right w:val="single" w:sz="6" w:space="0" w:color="000000"/>
            </w:tcBorders>
          </w:tcPr>
          <w:p>
            <w:pPr>
              <w:pStyle w:val="TableParagraph"/>
              <w:spacing w:before="46"/>
              <w:ind w:left="186" w:right="163"/>
              <w:rPr>
                <w:rFonts w:ascii="宋体" w:eastAsia="宋体" w:hint="eastAsia"/>
                <w:sz w:val="21"/>
              </w:rPr>
            </w:pPr>
            <w:r>
              <w:rPr>
                <w:rFonts w:ascii="宋体" w:eastAsia="宋体" w:hint="eastAsia"/>
                <w:sz w:val="21"/>
              </w:rPr>
              <w:t>氟化物</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≤1.0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0.377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0.377</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0.428</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0.428</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72"/>
              <w:jc w:val="left"/>
              <w:rPr>
                <w:sz w:val="21"/>
              </w:rPr>
            </w:pPr>
            <w:r>
              <w:rPr>
                <w:sz w:val="21"/>
              </w:rPr>
              <w:t>0.457</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0.457</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60" w:hRule="atLeast"/>
        </w:trPr>
        <w:tc>
          <w:tcPr>
            <w:tcW w:w="1673" w:type="dxa"/>
            <w:tcBorders>
              <w:top w:val="single" w:sz="6" w:space="0" w:color="000000"/>
              <w:bottom w:val="single" w:sz="6" w:space="0" w:color="000000"/>
              <w:right w:val="single" w:sz="6" w:space="0" w:color="000000"/>
            </w:tcBorders>
          </w:tcPr>
          <w:p>
            <w:pPr>
              <w:pStyle w:val="TableParagraph"/>
              <w:spacing w:before="49"/>
              <w:ind w:left="19"/>
              <w:rPr>
                <w:rFonts w:ascii="宋体" w:eastAsia="宋体" w:hint="eastAsia"/>
                <w:sz w:val="21"/>
              </w:rPr>
            </w:pPr>
            <w:r>
              <w:rPr>
                <w:rFonts w:ascii="宋体" w:eastAsia="宋体" w:hint="eastAsia"/>
                <w:w w:val="100"/>
                <w:sz w:val="21"/>
              </w:rPr>
              <w:t>镉</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95"/>
              <w:rPr>
                <w:sz w:val="21"/>
              </w:rPr>
            </w:pPr>
            <w:r>
              <w:rPr>
                <w:sz w:val="21"/>
              </w:rPr>
              <w:t>≤0.005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6"/>
              <w:rPr>
                <w:sz w:val="21"/>
              </w:rPr>
            </w:pPr>
            <w:r>
              <w:rPr>
                <w:sz w:val="21"/>
              </w:rPr>
              <w:t>&lt;0.00006</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8"/>
              <w:rPr>
                <w:sz w:val="21"/>
              </w:rPr>
            </w:pPr>
            <w:r>
              <w:rPr>
                <w:sz w:val="21"/>
              </w:rPr>
              <w:t>0.006</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2"/>
              <w:rPr>
                <w:sz w:val="21"/>
              </w:rPr>
            </w:pPr>
            <w:r>
              <w:rPr>
                <w:sz w:val="21"/>
              </w:rPr>
              <w:t>&lt;0.00006</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0.006</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208"/>
              <w:jc w:val="left"/>
              <w:rPr>
                <w:sz w:val="21"/>
              </w:rPr>
            </w:pPr>
            <w:r>
              <w:rPr>
                <w:sz w:val="21"/>
              </w:rPr>
              <w:t>&lt;0.00006</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0.006</w:t>
            </w:r>
          </w:p>
        </w:tc>
        <w:tc>
          <w:tcPr>
            <w:tcW w:w="1205" w:type="dxa"/>
            <w:tcBorders>
              <w:top w:val="single" w:sz="6" w:space="0" w:color="000000"/>
              <w:left w:val="single" w:sz="6" w:space="0" w:color="000000"/>
              <w:bottom w:val="single" w:sz="6" w:space="0" w:color="000000"/>
            </w:tcBorders>
          </w:tcPr>
          <w:p>
            <w:pPr>
              <w:pStyle w:val="TableParagraph"/>
              <w:spacing w:before="46"/>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9"/>
              <w:rPr>
                <w:rFonts w:ascii="宋体" w:eastAsia="宋体" w:hint="eastAsia"/>
                <w:sz w:val="21"/>
              </w:rPr>
            </w:pPr>
            <w:r>
              <w:rPr>
                <w:rFonts w:ascii="宋体" w:eastAsia="宋体" w:hint="eastAsia"/>
                <w:w w:val="100"/>
                <w:sz w:val="21"/>
              </w:rPr>
              <w:t>铁</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≤0.3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6"/>
              <w:rPr>
                <w:sz w:val="21"/>
              </w:rPr>
            </w:pPr>
            <w:r>
              <w:rPr>
                <w:sz w:val="21"/>
              </w:rPr>
              <w:t>&lt;0.03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0.050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2"/>
              <w:rPr>
                <w:sz w:val="21"/>
              </w:rPr>
            </w:pPr>
            <w:r>
              <w:rPr>
                <w:sz w:val="21"/>
              </w:rPr>
              <w:t>&lt;0.03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0.050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67"/>
              <w:jc w:val="left"/>
              <w:rPr>
                <w:sz w:val="21"/>
              </w:rPr>
            </w:pPr>
            <w:r>
              <w:rPr>
                <w:sz w:val="21"/>
              </w:rPr>
              <w:t>&lt;0.03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0.050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9"/>
              <w:rPr>
                <w:rFonts w:ascii="宋体" w:eastAsia="宋体" w:hint="eastAsia"/>
                <w:sz w:val="21"/>
              </w:rPr>
            </w:pPr>
            <w:r>
              <w:rPr>
                <w:rFonts w:ascii="宋体" w:eastAsia="宋体" w:hint="eastAsia"/>
                <w:w w:val="100"/>
                <w:sz w:val="21"/>
              </w:rPr>
              <w:t>锰</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6"/>
              <w:rPr>
                <w:sz w:val="21"/>
              </w:rPr>
            </w:pPr>
            <w:r>
              <w:rPr>
                <w:sz w:val="21"/>
              </w:rPr>
              <w:t>&lt;0.001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0.005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2"/>
              <w:rPr>
                <w:sz w:val="21"/>
              </w:rPr>
            </w:pPr>
            <w:r>
              <w:rPr>
                <w:sz w:val="21"/>
              </w:rPr>
              <w:t>&lt;0.001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14"/>
              <w:jc w:val="left"/>
              <w:rPr>
                <w:sz w:val="21"/>
              </w:rPr>
            </w:pPr>
            <w:r>
              <w:rPr>
                <w:sz w:val="21"/>
              </w:rPr>
              <w:t>&lt;0.001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0.005</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7" w:hRule="atLeast"/>
        </w:trPr>
        <w:tc>
          <w:tcPr>
            <w:tcW w:w="1673" w:type="dxa"/>
            <w:tcBorders>
              <w:top w:val="single" w:sz="6" w:space="0" w:color="000000"/>
              <w:bottom w:val="single" w:sz="6" w:space="0" w:color="000000"/>
              <w:right w:val="single" w:sz="6" w:space="0" w:color="000000"/>
            </w:tcBorders>
          </w:tcPr>
          <w:p>
            <w:pPr>
              <w:pStyle w:val="TableParagraph"/>
              <w:spacing w:before="46"/>
              <w:ind w:left="19"/>
              <w:rPr>
                <w:rFonts w:ascii="宋体" w:eastAsia="宋体" w:hint="eastAsia"/>
                <w:sz w:val="21"/>
              </w:rPr>
            </w:pPr>
            <w:r>
              <w:rPr>
                <w:rFonts w:ascii="宋体" w:eastAsia="宋体" w:hint="eastAsia"/>
                <w:w w:val="100"/>
                <w:sz w:val="21"/>
              </w:rPr>
              <w:t>铜</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≤1.00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6"/>
              <w:rPr>
                <w:sz w:val="21"/>
              </w:rPr>
            </w:pPr>
            <w:r>
              <w:rPr>
                <w:sz w:val="21"/>
              </w:rPr>
              <w:t>&lt;0.01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0.005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2"/>
              <w:rPr>
                <w:sz w:val="21"/>
              </w:rPr>
            </w:pPr>
            <w:r>
              <w:rPr>
                <w:sz w:val="21"/>
              </w:rPr>
              <w:t>&lt;0.01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0.005</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367"/>
              <w:jc w:val="left"/>
              <w:rPr>
                <w:sz w:val="21"/>
              </w:rPr>
            </w:pPr>
            <w:r>
              <w:rPr>
                <w:sz w:val="21"/>
              </w:rPr>
              <w:t>&lt;0.01</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0.005</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9"/>
              <w:ind w:left="19"/>
              <w:rPr>
                <w:rFonts w:ascii="宋体" w:eastAsia="宋体" w:hint="eastAsia"/>
                <w:sz w:val="21"/>
              </w:rPr>
            </w:pPr>
            <w:r>
              <w:rPr>
                <w:rFonts w:ascii="宋体" w:eastAsia="宋体" w:hint="eastAsia"/>
                <w:w w:val="100"/>
                <w:sz w:val="21"/>
              </w:rPr>
              <w:t>锌</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spacing w:before="60"/>
              <w:ind w:left="126" w:right="95"/>
              <w:rPr>
                <w:sz w:val="21"/>
              </w:rPr>
            </w:pPr>
            <w:r>
              <w:rPr>
                <w:sz w:val="21"/>
              </w:rPr>
              <w:t>≤1.00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6"/>
              <w:rPr>
                <w:sz w:val="21"/>
              </w:rPr>
            </w:pPr>
            <w:r>
              <w:rPr>
                <w:sz w:val="21"/>
              </w:rPr>
              <w:t>&lt;0.005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8"/>
              <w:rPr>
                <w:sz w:val="21"/>
              </w:rPr>
            </w:pPr>
            <w:r>
              <w:rPr>
                <w:sz w:val="21"/>
              </w:rPr>
              <w:t>0.003</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2"/>
              <w:rPr>
                <w:sz w:val="21"/>
              </w:rPr>
            </w:pPr>
            <w:r>
              <w:rPr>
                <w:sz w:val="21"/>
              </w:rPr>
              <w:t>&lt;0.005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0.003</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6"/>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314"/>
              <w:jc w:val="left"/>
              <w:rPr>
                <w:sz w:val="21"/>
              </w:rPr>
            </w:pPr>
            <w:r>
              <w:rPr>
                <w:sz w:val="21"/>
              </w:rPr>
              <w:t>&lt;0.005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8" w:right="84"/>
              <w:rPr>
                <w:sz w:val="21"/>
              </w:rPr>
            </w:pPr>
            <w:r>
              <w:rPr>
                <w:sz w:val="21"/>
              </w:rPr>
              <w:t>0.003</w:t>
            </w:r>
          </w:p>
        </w:tc>
        <w:tc>
          <w:tcPr>
            <w:tcW w:w="1205" w:type="dxa"/>
            <w:tcBorders>
              <w:top w:val="single" w:sz="6" w:space="0" w:color="000000"/>
              <w:left w:val="single" w:sz="6" w:space="0" w:color="000000"/>
              <w:bottom w:val="single" w:sz="6" w:space="0" w:color="000000"/>
            </w:tcBorders>
          </w:tcPr>
          <w:p>
            <w:pPr>
              <w:pStyle w:val="TableParagraph"/>
              <w:spacing w:before="46"/>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6"/>
              <w:ind w:left="186" w:right="163"/>
              <w:rPr>
                <w:rFonts w:ascii="宋体" w:eastAsia="宋体" w:hint="eastAsia"/>
                <w:sz w:val="21"/>
              </w:rPr>
            </w:pPr>
            <w:r>
              <w:rPr>
                <w:rFonts w:ascii="宋体" w:eastAsia="宋体" w:hint="eastAsia"/>
                <w:sz w:val="21"/>
              </w:rPr>
              <w:t>溶解性总固体</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≤1000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54</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0.054</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50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0.050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45</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0.045</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bottom w:val="single" w:sz="6" w:space="0" w:color="000000"/>
              <w:right w:val="single" w:sz="6" w:space="0" w:color="000000"/>
            </w:tcBorders>
          </w:tcPr>
          <w:p>
            <w:pPr>
              <w:pStyle w:val="TableParagraph"/>
              <w:spacing w:before="47"/>
              <w:ind w:left="186" w:right="163"/>
              <w:rPr>
                <w:rFonts w:ascii="宋体" w:eastAsia="宋体" w:hint="eastAsia"/>
                <w:sz w:val="21"/>
              </w:rPr>
            </w:pPr>
            <w:r>
              <w:rPr>
                <w:rFonts w:ascii="宋体" w:eastAsia="宋体" w:hint="eastAsia"/>
                <w:sz w:val="21"/>
              </w:rPr>
              <w:t>耗氧量</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79" w:right="153"/>
              <w:rPr>
                <w:sz w:val="21"/>
              </w:rPr>
            </w:pPr>
            <w:r>
              <w:rPr>
                <w:sz w:val="21"/>
              </w:rPr>
              <w:t>mg/L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≤3.0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1.68</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0.560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Ⅱ类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1.76</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0.587</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Ⅱ类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424"/>
              <w:jc w:val="left"/>
              <w:rPr>
                <w:sz w:val="21"/>
              </w:rPr>
            </w:pPr>
            <w:r>
              <w:rPr>
                <w:sz w:val="21"/>
              </w:rPr>
              <w:t>1.83</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0.610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Ⅱ类</w:t>
            </w:r>
          </w:p>
        </w:tc>
      </w:tr>
      <w:tr>
        <w:trPr>
          <w:trHeight w:val="357" w:hRule="atLeast"/>
        </w:trPr>
        <w:tc>
          <w:tcPr>
            <w:tcW w:w="1673" w:type="dxa"/>
            <w:tcBorders>
              <w:top w:val="single" w:sz="6" w:space="0" w:color="000000"/>
              <w:bottom w:val="single" w:sz="6" w:space="0" w:color="000000"/>
              <w:right w:val="single" w:sz="6" w:space="0" w:color="000000"/>
            </w:tcBorders>
          </w:tcPr>
          <w:p>
            <w:pPr>
              <w:pStyle w:val="TableParagraph"/>
              <w:spacing w:before="46"/>
              <w:ind w:left="184" w:right="163"/>
              <w:rPr>
                <w:rFonts w:ascii="宋体" w:eastAsia="宋体" w:hint="eastAsia"/>
                <w:sz w:val="21"/>
              </w:rPr>
            </w:pPr>
            <w:r>
              <w:rPr>
                <w:rFonts w:ascii="宋体" w:eastAsia="宋体" w:hint="eastAsia"/>
                <w:sz w:val="21"/>
              </w:rPr>
              <w:t>总大肠菌群</w:t>
            </w:r>
          </w:p>
        </w:tc>
        <w:tc>
          <w:tcPr>
            <w:tcW w:w="1514" w:type="dxa"/>
            <w:tcBorders>
              <w:top w:val="single" w:sz="6" w:space="0" w:color="000000"/>
              <w:left w:val="single" w:sz="6" w:space="0" w:color="000000"/>
              <w:bottom w:val="single" w:sz="6" w:space="0" w:color="000000"/>
              <w:right w:val="single" w:sz="6" w:space="0" w:color="000000"/>
            </w:tcBorders>
          </w:tcPr>
          <w:p>
            <w:pPr>
              <w:pStyle w:val="TableParagraph"/>
              <w:ind w:left="184" w:right="153"/>
              <w:rPr>
                <w:sz w:val="21"/>
              </w:rPr>
            </w:pPr>
            <w:r>
              <w:rPr>
                <w:sz w:val="21"/>
              </w:rPr>
              <w:t>MPN/100mL</w:t>
            </w:r>
          </w:p>
        </w:tc>
        <w:tc>
          <w:tcPr>
            <w:tcW w:w="963" w:type="dxa"/>
            <w:tcBorders>
              <w:top w:val="single" w:sz="6" w:space="0" w:color="000000"/>
              <w:left w:val="single" w:sz="6" w:space="0" w:color="000000"/>
              <w:bottom w:val="single" w:sz="6" w:space="0" w:color="000000"/>
              <w:right w:val="single" w:sz="6" w:space="0" w:color="000000"/>
            </w:tcBorders>
          </w:tcPr>
          <w:p>
            <w:pPr>
              <w:pStyle w:val="TableParagraph"/>
              <w:ind w:left="126" w:right="95"/>
              <w:rPr>
                <w:sz w:val="21"/>
              </w:rPr>
            </w:pPr>
            <w:r>
              <w:rPr>
                <w:sz w:val="21"/>
              </w:rPr>
              <w:t>≤3.0</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18" w:right="88"/>
              <w:rPr>
                <w:rFonts w:ascii="宋体" w:eastAsia="宋体" w:hint="eastAsia"/>
                <w:sz w:val="21"/>
              </w:rPr>
            </w:pPr>
            <w:r>
              <w:rPr>
                <w:rFonts w:ascii="宋体" w:eastAsia="宋体" w:hint="eastAsia"/>
                <w:sz w:val="21"/>
              </w:rPr>
              <w:t>未检出</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8"/>
              <w:rPr>
                <w:sz w:val="21"/>
              </w:rPr>
            </w:pPr>
            <w:r>
              <w:rPr>
                <w:sz w:val="21"/>
              </w:rPr>
              <w:t>0.500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118" w:right="84"/>
              <w:rPr>
                <w:rFonts w:ascii="宋体" w:eastAsia="宋体" w:hint="eastAsia"/>
                <w:sz w:val="21"/>
              </w:rPr>
            </w:pPr>
            <w:r>
              <w:rPr>
                <w:rFonts w:ascii="宋体" w:eastAsia="宋体" w:hint="eastAsia"/>
                <w:sz w:val="21"/>
              </w:rPr>
              <w:t>未检出</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0.500</w:t>
            </w:r>
          </w:p>
        </w:tc>
        <w:tc>
          <w:tcPr>
            <w:tcW w:w="1203" w:type="dxa"/>
            <w:tcBorders>
              <w:top w:val="single" w:sz="6" w:space="0" w:color="000000"/>
              <w:left w:val="single" w:sz="6" w:space="0" w:color="000000"/>
              <w:bottom w:val="single" w:sz="6" w:space="0" w:color="000000"/>
              <w:right w:val="single" w:sz="6" w:space="0" w:color="000000"/>
            </w:tcBorders>
          </w:tcPr>
          <w:p>
            <w:pPr>
              <w:pStyle w:val="TableParagraph"/>
              <w:spacing w:before="44"/>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44"/>
              <w:ind w:left="292"/>
              <w:jc w:val="left"/>
              <w:rPr>
                <w:rFonts w:ascii="宋体" w:eastAsia="宋体" w:hint="eastAsia"/>
                <w:sz w:val="21"/>
              </w:rPr>
            </w:pPr>
            <w:r>
              <w:rPr>
                <w:rFonts w:ascii="宋体" w:eastAsia="宋体" w:hint="eastAsia"/>
                <w:sz w:val="21"/>
              </w:rPr>
              <w:t>未检出</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ind w:left="118" w:right="84"/>
              <w:rPr>
                <w:sz w:val="21"/>
              </w:rPr>
            </w:pPr>
            <w:r>
              <w:rPr>
                <w:sz w:val="21"/>
              </w:rPr>
              <w:t>0.500</w:t>
            </w:r>
          </w:p>
        </w:tc>
        <w:tc>
          <w:tcPr>
            <w:tcW w:w="1205" w:type="dxa"/>
            <w:tcBorders>
              <w:top w:val="single" w:sz="6" w:space="0" w:color="000000"/>
              <w:left w:val="single" w:sz="6" w:space="0" w:color="000000"/>
              <w:bottom w:val="single" w:sz="6" w:space="0" w:color="000000"/>
            </w:tcBorders>
          </w:tcPr>
          <w:p>
            <w:pPr>
              <w:pStyle w:val="TableParagraph"/>
              <w:spacing w:before="44"/>
              <w:ind w:left="170" w:right="129"/>
              <w:rPr>
                <w:rFonts w:ascii="宋体" w:hAnsi="宋体" w:eastAsia="宋体" w:hint="eastAsia"/>
                <w:sz w:val="21"/>
              </w:rPr>
            </w:pPr>
            <w:r>
              <w:rPr>
                <w:rFonts w:ascii="宋体" w:hAnsi="宋体" w:eastAsia="宋体" w:hint="eastAsia"/>
                <w:sz w:val="21"/>
              </w:rPr>
              <w:t>Ⅰ类</w:t>
            </w:r>
          </w:p>
        </w:tc>
      </w:tr>
      <w:tr>
        <w:trPr>
          <w:trHeight w:val="359" w:hRule="atLeast"/>
        </w:trPr>
        <w:tc>
          <w:tcPr>
            <w:tcW w:w="1673" w:type="dxa"/>
            <w:tcBorders>
              <w:top w:val="single" w:sz="6" w:space="0" w:color="000000"/>
              <w:right w:val="single" w:sz="6" w:space="0" w:color="000000"/>
            </w:tcBorders>
          </w:tcPr>
          <w:p>
            <w:pPr>
              <w:pStyle w:val="TableParagraph"/>
              <w:spacing w:before="49"/>
              <w:ind w:left="184" w:right="163"/>
              <w:rPr>
                <w:rFonts w:ascii="宋体" w:eastAsia="宋体" w:hint="eastAsia"/>
                <w:sz w:val="21"/>
              </w:rPr>
            </w:pPr>
            <w:r>
              <w:rPr>
                <w:rFonts w:ascii="宋体" w:eastAsia="宋体" w:hint="eastAsia"/>
                <w:sz w:val="21"/>
              </w:rPr>
              <w:t>细菌总数</w:t>
            </w:r>
          </w:p>
        </w:tc>
        <w:tc>
          <w:tcPr>
            <w:tcW w:w="1514" w:type="dxa"/>
            <w:tcBorders>
              <w:top w:val="single" w:sz="6" w:space="0" w:color="000000"/>
              <w:left w:val="single" w:sz="6" w:space="0" w:color="000000"/>
              <w:right w:val="single" w:sz="6" w:space="0" w:color="000000"/>
            </w:tcBorders>
          </w:tcPr>
          <w:p>
            <w:pPr>
              <w:pStyle w:val="TableParagraph"/>
              <w:spacing w:before="60"/>
              <w:ind w:left="181" w:right="153"/>
              <w:rPr>
                <w:sz w:val="21"/>
              </w:rPr>
            </w:pPr>
            <w:r>
              <w:rPr>
                <w:sz w:val="21"/>
              </w:rPr>
              <w:t>CPU/mL</w:t>
            </w:r>
          </w:p>
        </w:tc>
        <w:tc>
          <w:tcPr>
            <w:tcW w:w="963" w:type="dxa"/>
            <w:tcBorders>
              <w:top w:val="single" w:sz="6" w:space="0" w:color="000000"/>
              <w:left w:val="single" w:sz="6" w:space="0" w:color="000000"/>
              <w:right w:val="single" w:sz="6" w:space="0" w:color="000000"/>
            </w:tcBorders>
          </w:tcPr>
          <w:p>
            <w:pPr>
              <w:pStyle w:val="TableParagraph"/>
              <w:spacing w:before="60"/>
              <w:ind w:left="126" w:right="95"/>
              <w:rPr>
                <w:sz w:val="21"/>
              </w:rPr>
            </w:pPr>
            <w:r>
              <w:rPr>
                <w:sz w:val="21"/>
              </w:rPr>
              <w:t>≤100</w:t>
            </w:r>
          </w:p>
        </w:tc>
        <w:tc>
          <w:tcPr>
            <w:tcW w:w="1200" w:type="dxa"/>
            <w:tcBorders>
              <w:top w:val="single" w:sz="6" w:space="0" w:color="000000"/>
              <w:left w:val="single" w:sz="6" w:space="0" w:color="000000"/>
              <w:right w:val="single" w:sz="6" w:space="0" w:color="000000"/>
            </w:tcBorders>
          </w:tcPr>
          <w:p>
            <w:pPr>
              <w:pStyle w:val="TableParagraph"/>
              <w:spacing w:before="60"/>
              <w:ind w:left="118" w:right="88"/>
              <w:rPr>
                <w:sz w:val="21"/>
              </w:rPr>
            </w:pPr>
            <w:r>
              <w:rPr>
                <w:sz w:val="21"/>
              </w:rPr>
              <w:t>16</w:t>
            </w:r>
          </w:p>
        </w:tc>
        <w:tc>
          <w:tcPr>
            <w:tcW w:w="1200" w:type="dxa"/>
            <w:tcBorders>
              <w:top w:val="single" w:sz="6" w:space="0" w:color="000000"/>
              <w:left w:val="single" w:sz="6" w:space="0" w:color="000000"/>
              <w:right w:val="single" w:sz="6" w:space="0" w:color="000000"/>
            </w:tcBorders>
          </w:tcPr>
          <w:p>
            <w:pPr>
              <w:pStyle w:val="TableParagraph"/>
              <w:spacing w:before="60"/>
              <w:ind w:left="118" w:right="88"/>
              <w:rPr>
                <w:sz w:val="21"/>
              </w:rPr>
            </w:pPr>
            <w:r>
              <w:rPr>
                <w:sz w:val="21"/>
              </w:rPr>
              <w:t>0.160</w:t>
            </w:r>
          </w:p>
        </w:tc>
        <w:tc>
          <w:tcPr>
            <w:tcW w:w="1203" w:type="dxa"/>
            <w:tcBorders>
              <w:top w:val="single" w:sz="6" w:space="0" w:color="000000"/>
              <w:left w:val="single" w:sz="6" w:space="0" w:color="000000"/>
              <w:right w:val="single" w:sz="6" w:space="0" w:color="000000"/>
            </w:tcBorders>
          </w:tcPr>
          <w:p>
            <w:pPr>
              <w:pStyle w:val="TableParagraph"/>
              <w:spacing w:before="46"/>
              <w:ind w:left="165" w:right="134"/>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right w:val="single" w:sz="6" w:space="0" w:color="000000"/>
            </w:tcBorders>
          </w:tcPr>
          <w:p>
            <w:pPr>
              <w:pStyle w:val="TableParagraph"/>
              <w:spacing w:before="60"/>
              <w:ind w:left="118" w:right="84"/>
              <w:rPr>
                <w:sz w:val="21"/>
              </w:rPr>
            </w:pPr>
            <w:r>
              <w:rPr>
                <w:sz w:val="21"/>
              </w:rPr>
              <w:t>17</w:t>
            </w:r>
          </w:p>
        </w:tc>
        <w:tc>
          <w:tcPr>
            <w:tcW w:w="1200" w:type="dxa"/>
            <w:tcBorders>
              <w:top w:val="single" w:sz="6" w:space="0" w:color="000000"/>
              <w:left w:val="single" w:sz="6" w:space="0" w:color="000000"/>
              <w:right w:val="single" w:sz="6" w:space="0" w:color="000000"/>
            </w:tcBorders>
          </w:tcPr>
          <w:p>
            <w:pPr>
              <w:pStyle w:val="TableParagraph"/>
              <w:spacing w:before="60"/>
              <w:ind w:left="118" w:right="84"/>
              <w:rPr>
                <w:sz w:val="21"/>
              </w:rPr>
            </w:pPr>
            <w:r>
              <w:rPr>
                <w:sz w:val="21"/>
              </w:rPr>
              <w:t>0.170</w:t>
            </w:r>
          </w:p>
        </w:tc>
        <w:tc>
          <w:tcPr>
            <w:tcW w:w="1203" w:type="dxa"/>
            <w:tcBorders>
              <w:top w:val="single" w:sz="6" w:space="0" w:color="000000"/>
              <w:left w:val="single" w:sz="6" w:space="0" w:color="000000"/>
              <w:right w:val="single" w:sz="6" w:space="0" w:color="000000"/>
            </w:tcBorders>
          </w:tcPr>
          <w:p>
            <w:pPr>
              <w:pStyle w:val="TableParagraph"/>
              <w:spacing w:before="46"/>
              <w:ind w:left="167" w:right="131"/>
              <w:rPr>
                <w:rFonts w:ascii="宋体" w:hAnsi="宋体" w:eastAsia="宋体" w:hint="eastAsia"/>
                <w:sz w:val="21"/>
              </w:rPr>
            </w:pPr>
            <w:r>
              <w:rPr>
                <w:rFonts w:ascii="宋体" w:hAnsi="宋体" w:eastAsia="宋体" w:hint="eastAsia"/>
                <w:sz w:val="21"/>
              </w:rPr>
              <w:t>Ⅰ类</w:t>
            </w:r>
          </w:p>
        </w:tc>
        <w:tc>
          <w:tcPr>
            <w:tcW w:w="1200" w:type="dxa"/>
            <w:tcBorders>
              <w:top w:val="single" w:sz="6" w:space="0" w:color="000000"/>
              <w:left w:val="single" w:sz="6" w:space="0" w:color="000000"/>
              <w:right w:val="single" w:sz="6" w:space="0" w:color="000000"/>
            </w:tcBorders>
          </w:tcPr>
          <w:p>
            <w:pPr>
              <w:pStyle w:val="TableParagraph"/>
              <w:spacing w:before="60"/>
              <w:ind w:left="118" w:right="84"/>
              <w:rPr>
                <w:sz w:val="21"/>
              </w:rPr>
            </w:pPr>
            <w:r>
              <w:rPr>
                <w:sz w:val="21"/>
              </w:rPr>
              <w:t>18</w:t>
            </w:r>
          </w:p>
        </w:tc>
        <w:tc>
          <w:tcPr>
            <w:tcW w:w="1200" w:type="dxa"/>
            <w:tcBorders>
              <w:top w:val="single" w:sz="6" w:space="0" w:color="000000"/>
              <w:left w:val="single" w:sz="6" w:space="0" w:color="000000"/>
              <w:right w:val="single" w:sz="6" w:space="0" w:color="000000"/>
            </w:tcBorders>
          </w:tcPr>
          <w:p>
            <w:pPr>
              <w:pStyle w:val="TableParagraph"/>
              <w:spacing w:before="60"/>
              <w:ind w:left="118" w:right="84"/>
              <w:rPr>
                <w:sz w:val="21"/>
              </w:rPr>
            </w:pPr>
            <w:r>
              <w:rPr>
                <w:sz w:val="21"/>
              </w:rPr>
              <w:t>0.180</w:t>
            </w:r>
          </w:p>
        </w:tc>
        <w:tc>
          <w:tcPr>
            <w:tcW w:w="1205" w:type="dxa"/>
            <w:tcBorders>
              <w:top w:val="single" w:sz="6" w:space="0" w:color="000000"/>
              <w:left w:val="single" w:sz="6" w:space="0" w:color="000000"/>
            </w:tcBorders>
          </w:tcPr>
          <w:p>
            <w:pPr>
              <w:pStyle w:val="TableParagraph"/>
              <w:spacing w:before="46"/>
              <w:ind w:left="170" w:right="129"/>
              <w:rPr>
                <w:rFonts w:ascii="宋体" w:hAnsi="宋体" w:eastAsia="宋体" w:hint="eastAsia"/>
                <w:sz w:val="21"/>
              </w:rPr>
            </w:pPr>
            <w:r>
              <w:rPr>
                <w:rFonts w:ascii="宋体" w:hAnsi="宋体" w:eastAsia="宋体" w:hint="eastAsia"/>
                <w:sz w:val="21"/>
              </w:rPr>
              <w:t>Ⅰ类</w:t>
            </w:r>
          </w:p>
        </w:tc>
      </w:tr>
    </w:tbl>
    <w:p>
      <w:pPr>
        <w:tabs>
          <w:tab w:pos="7282" w:val="left" w:leader="none"/>
          <w:tab w:pos="12585" w:val="left" w:leader="none"/>
        </w:tabs>
        <w:spacing w:before="175"/>
        <w:ind w:left="0" w:right="2" w:firstLine="0"/>
        <w:jc w:val="center"/>
        <w:rPr>
          <w:sz w:val="18"/>
        </w:rPr>
      </w:pPr>
      <w:r>
        <w:rPr>
          <w:sz w:val="18"/>
        </w:rPr>
        <w:t>浙江省工业环保设计研究院有限公司</w:t>
        <w:tab/>
      </w:r>
      <w:r>
        <w:rPr>
          <w:rFonts w:ascii="Times New Roman" w:eastAsia="Times New Roman"/>
          <w:sz w:val="18"/>
        </w:rPr>
        <w:t>98</w:t>
        <w:tab/>
      </w:r>
      <w:r>
        <w:rPr>
          <w:sz w:val="18"/>
        </w:rPr>
        <w:t>杭州市西湖区教工路</w:t>
      </w:r>
      <w:r>
        <w:rPr>
          <w:spacing w:val="-46"/>
          <w:sz w:val="18"/>
        </w:rPr>
        <w:t> </w:t>
      </w:r>
      <w:r>
        <w:rPr>
          <w:rFonts w:ascii="Times New Roman" w:eastAsia="Times New Roman"/>
          <w:sz w:val="18"/>
        </w:rPr>
        <w:t>149</w:t>
      </w:r>
      <w:r>
        <w:rPr>
          <w:rFonts w:ascii="Times New Roman" w:eastAsia="Times New Roman"/>
          <w:spacing w:val="2"/>
          <w:sz w:val="18"/>
        </w:rPr>
        <w:t> </w:t>
      </w:r>
      <w:r>
        <w:rPr>
          <w:sz w:val="18"/>
        </w:rPr>
        <w:t>号</w:t>
      </w:r>
    </w:p>
    <w:p>
      <w:pPr>
        <w:spacing w:after="0"/>
        <w:jc w:val="center"/>
        <w:rPr>
          <w:sz w:val="18"/>
        </w:rPr>
        <w:sectPr>
          <w:headerReference w:type="default" r:id="rId57"/>
          <w:footerReference w:type="default" r:id="rId58"/>
          <w:pgSz w:w="16840" w:h="11910" w:orient="landscape"/>
          <w:pgMar w:header="0" w:footer="0" w:top="500" w:bottom="280" w:left="900" w:right="720"/>
        </w:sectPr>
      </w:pPr>
    </w:p>
    <w:p>
      <w:pPr>
        <w:spacing w:before="56" w:after="18"/>
        <w:ind w:left="2478" w:right="2572"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100"/>
        <w:rPr>
          <w:sz w:val="2"/>
        </w:rPr>
      </w:pPr>
      <w:r>
        <w:rPr>
          <w:sz w:val="2"/>
        </w:rPr>
        <w:pict>
          <v:group style="width:463.7pt;height:.75pt;mso-position-horizontal-relative:char;mso-position-vertical-relative:line" coordorigin="0,0" coordsize="9274,15">
            <v:line style="position:absolute" from="0,7" to="9273,7" stroked="true" strokeweight=".72pt" strokecolor="#000000">
              <v:stroke dashstyle="solid"/>
            </v:line>
          </v:group>
        </w:pict>
      </w:r>
      <w:r>
        <w:rPr>
          <w:sz w:val="2"/>
        </w:rPr>
      </w:r>
    </w:p>
    <w:p>
      <w:pPr>
        <w:pStyle w:val="BodyText"/>
        <w:spacing w:before="4"/>
        <w:ind w:left="0"/>
        <w:rPr>
          <w:sz w:val="25"/>
        </w:rPr>
      </w:pPr>
    </w:p>
    <w:p>
      <w:pPr>
        <w:pStyle w:val="Heading3"/>
        <w:numPr>
          <w:ilvl w:val="2"/>
          <w:numId w:val="53"/>
        </w:numPr>
        <w:tabs>
          <w:tab w:pos="738" w:val="left" w:leader="none"/>
        </w:tabs>
        <w:spacing w:line="240" w:lineRule="auto" w:before="74" w:after="0"/>
        <w:ind w:left="737" w:right="0" w:hanging="601"/>
        <w:jc w:val="left"/>
      </w:pPr>
      <w:bookmarkStart w:name="_bookmark74" w:id="144"/>
      <w:bookmarkEnd w:id="144"/>
      <w:r>
        <w:rPr>
          <w:b w:val="0"/>
        </w:rPr>
      </w:r>
      <w:bookmarkStart w:name="_bookmark74" w:id="145"/>
      <w:bookmarkEnd w:id="145"/>
      <w:r>
        <w:rPr/>
        <w:t>土壤环境质量现状监测与评价</w:t>
      </w:r>
    </w:p>
    <w:p>
      <w:pPr>
        <w:pStyle w:val="BodyText"/>
        <w:spacing w:line="364" w:lineRule="auto" w:before="161"/>
        <w:ind w:left="137" w:right="114" w:firstLine="480"/>
      </w:pPr>
      <w:r>
        <w:rPr/>
        <w:t>为了解项目所在地的土壤环境质量现状，本环评编制期间建设单位委托杭州普洛赛</w:t>
      </w:r>
      <w:r>
        <w:rPr>
          <w:spacing w:val="-2"/>
        </w:rPr>
        <w:t>斯检测科技有限公司对企业厂区内的土壤进行了采样检测，详见检测报告</w:t>
      </w:r>
      <w:r>
        <w:rPr/>
        <w:t>（附件十一</w:t>
      </w:r>
      <w:r>
        <w:rPr>
          <w:spacing w:val="-9"/>
        </w:rPr>
        <w:t>）</w:t>
      </w:r>
      <w:r>
        <w:rPr>
          <w:spacing w:val="-16"/>
        </w:rPr>
        <w:t>。</w:t>
      </w:r>
    </w:p>
    <w:p>
      <w:pPr>
        <w:pStyle w:val="Heading3"/>
        <w:spacing w:before="1"/>
        <w:ind w:left="619"/>
      </w:pPr>
      <w:r>
        <w:rPr>
          <w:rFonts w:ascii="Times New Roman" w:eastAsia="Times New Roman"/>
        </w:rPr>
        <w:t>1</w:t>
      </w:r>
      <w:r>
        <w:rPr/>
        <w:t>、监测方案</w:t>
      </w:r>
    </w:p>
    <w:p>
      <w:pPr>
        <w:pStyle w:val="ListParagraph"/>
        <w:numPr>
          <w:ilvl w:val="0"/>
          <w:numId w:val="59"/>
        </w:numPr>
        <w:tabs>
          <w:tab w:pos="1223" w:val="left" w:leader="none"/>
        </w:tabs>
        <w:spacing w:line="240" w:lineRule="auto" w:before="160" w:after="0"/>
        <w:ind w:left="1223" w:right="0" w:hanging="604"/>
        <w:jc w:val="left"/>
        <w:rPr>
          <w:b/>
          <w:sz w:val="24"/>
        </w:rPr>
      </w:pPr>
      <w:r>
        <w:rPr>
          <w:b/>
          <w:sz w:val="24"/>
        </w:rPr>
        <w:t>监测时间</w:t>
      </w:r>
    </w:p>
    <w:p>
      <w:pPr>
        <w:pStyle w:val="BodyText"/>
        <w:spacing w:before="161"/>
        <w:ind w:left="617"/>
      </w:pPr>
      <w:r>
        <w:rPr>
          <w:rFonts w:ascii="Times New Roman" w:eastAsia="Times New Roman"/>
        </w:rPr>
        <w:t>2020 </w:t>
      </w:r>
      <w:r>
        <w:rPr/>
        <w:t>年 </w:t>
      </w:r>
      <w:r>
        <w:rPr>
          <w:rFonts w:ascii="Times New Roman" w:eastAsia="Times New Roman"/>
        </w:rPr>
        <w:t>12 </w:t>
      </w:r>
      <w:r>
        <w:rPr/>
        <w:t>月 </w:t>
      </w:r>
      <w:r>
        <w:rPr>
          <w:rFonts w:ascii="Times New Roman" w:eastAsia="Times New Roman"/>
        </w:rPr>
        <w:t>11 </w:t>
      </w:r>
      <w:r>
        <w:rPr/>
        <w:t>日。</w:t>
      </w:r>
    </w:p>
    <w:p>
      <w:pPr>
        <w:pStyle w:val="Heading3"/>
        <w:numPr>
          <w:ilvl w:val="0"/>
          <w:numId w:val="59"/>
        </w:numPr>
        <w:tabs>
          <w:tab w:pos="1223" w:val="left" w:leader="none"/>
        </w:tabs>
        <w:spacing w:line="240" w:lineRule="auto" w:before="160" w:after="0"/>
        <w:ind w:left="1223" w:right="0" w:hanging="604"/>
        <w:jc w:val="left"/>
      </w:pPr>
      <w:r>
        <w:rPr/>
        <w:t>监测点位</w:t>
      </w:r>
    </w:p>
    <w:p>
      <w:pPr>
        <w:pStyle w:val="BodyText"/>
        <w:spacing w:line="364" w:lineRule="auto" w:before="161"/>
        <w:ind w:left="137" w:right="155" w:firstLine="480"/>
      </w:pPr>
      <w:r>
        <w:rPr/>
        <w:t>在厂区内设 </w:t>
      </w:r>
      <w:r>
        <w:rPr>
          <w:rFonts w:ascii="Times New Roman" w:eastAsia="Times New Roman"/>
        </w:rPr>
        <w:t>3 </w:t>
      </w:r>
      <w:r>
        <w:rPr/>
        <w:t>个表层土壤监测点（</w:t>
      </w:r>
      <w:r>
        <w:rPr>
          <w:rFonts w:ascii="Times New Roman" w:eastAsia="Times New Roman"/>
        </w:rPr>
        <w:t>S1~S3</w:t>
      </w:r>
      <w:r>
        <w:rPr/>
        <w:t>），取 </w:t>
      </w:r>
      <w:r>
        <w:rPr>
          <w:rFonts w:ascii="Times New Roman" w:eastAsia="Times New Roman"/>
        </w:rPr>
        <w:t>0~0.2m </w:t>
      </w:r>
      <w:r>
        <w:rPr/>
        <w:t>深度样品进行检测。具体位置详见附图五。</w:t>
      </w:r>
    </w:p>
    <w:p>
      <w:pPr>
        <w:pStyle w:val="Heading3"/>
        <w:numPr>
          <w:ilvl w:val="0"/>
          <w:numId w:val="59"/>
        </w:numPr>
        <w:tabs>
          <w:tab w:pos="1223" w:val="left" w:leader="none"/>
        </w:tabs>
        <w:spacing w:line="240" w:lineRule="auto" w:before="2" w:after="0"/>
        <w:ind w:left="1223" w:right="0" w:hanging="604"/>
        <w:jc w:val="left"/>
      </w:pPr>
      <w:r>
        <w:rPr/>
        <w:t>监测项目</w:t>
      </w:r>
    </w:p>
    <w:p>
      <w:pPr>
        <w:pStyle w:val="BodyText"/>
        <w:spacing w:before="160"/>
        <w:ind w:left="617"/>
      </w:pPr>
      <w:r>
        <w:rPr/>
        <w:t>砷、镉、铬、铜、铅、汞、镍、锌等。</w:t>
      </w:r>
    </w:p>
    <w:p>
      <w:pPr>
        <w:pStyle w:val="Heading3"/>
        <w:numPr>
          <w:ilvl w:val="0"/>
          <w:numId w:val="59"/>
        </w:numPr>
        <w:tabs>
          <w:tab w:pos="1223" w:val="left" w:leader="none"/>
        </w:tabs>
        <w:spacing w:line="240" w:lineRule="auto" w:before="161" w:after="0"/>
        <w:ind w:left="1223" w:right="0" w:hanging="604"/>
        <w:jc w:val="left"/>
      </w:pPr>
      <w:r>
        <w:rPr/>
        <w:t>执行标准</w:t>
      </w:r>
    </w:p>
    <w:p>
      <w:pPr>
        <w:pStyle w:val="BodyText"/>
        <w:spacing w:line="364" w:lineRule="auto" w:before="160"/>
        <w:ind w:left="137" w:right="231" w:firstLine="480"/>
      </w:pPr>
      <w:r>
        <w:rPr/>
        <w:t>厂区内土壤执行《土壤环境质量 农用地土壤污染风险管控标准（试行）》（</w:t>
      </w:r>
      <w:r>
        <w:rPr>
          <w:rFonts w:ascii="Times New Roman" w:eastAsia="Times New Roman"/>
        </w:rPr>
        <w:t>GB 15618-2018</w:t>
      </w:r>
      <w:r>
        <w:rPr/>
        <w:t>）中农用地土壤污染风险筛选值。</w:t>
      </w:r>
    </w:p>
    <w:p>
      <w:pPr>
        <w:pStyle w:val="Heading3"/>
        <w:spacing w:before="1"/>
        <w:ind w:left="619"/>
      </w:pPr>
      <w:r>
        <w:rPr>
          <w:rFonts w:ascii="Times New Roman" w:eastAsia="Times New Roman"/>
        </w:rPr>
        <w:t>2</w:t>
      </w:r>
      <w:r>
        <w:rPr/>
        <w:t>、监测结果与分析</w:t>
      </w:r>
    </w:p>
    <w:p>
      <w:pPr>
        <w:pStyle w:val="BodyText"/>
        <w:spacing w:line="364" w:lineRule="auto" w:before="161"/>
        <w:ind w:left="137" w:right="110" w:firstLine="480"/>
      </w:pPr>
      <w:r>
        <w:rPr>
          <w:spacing w:val="-4"/>
        </w:rPr>
        <w:t>本项目土壤监测数据统计结果详见表 </w:t>
      </w:r>
      <w:r>
        <w:rPr>
          <w:rFonts w:ascii="Times New Roman" w:eastAsia="Times New Roman"/>
          <w:spacing w:val="-6"/>
        </w:rPr>
        <w:t>4.3-8</w:t>
      </w:r>
      <w:r>
        <w:rPr>
          <w:spacing w:val="-7"/>
        </w:rPr>
        <w:t>，土壤理化性质测试结果见表 </w:t>
      </w:r>
      <w:r>
        <w:rPr>
          <w:rFonts w:ascii="Times New Roman" w:eastAsia="Times New Roman"/>
        </w:rPr>
        <w:t>4.3-9</w:t>
      </w:r>
      <w:r>
        <w:rPr>
          <w:spacing w:val="-12"/>
        </w:rPr>
        <w:t>。由监</w:t>
      </w:r>
      <w:r>
        <w:rPr>
          <w:spacing w:val="-10"/>
        </w:rPr>
        <w:t>测结果可知，本项目所在厂区各监测点土壤中的各项监测指标均低于《土壤环境质量 农</w:t>
      </w:r>
      <w:r>
        <w:rPr>
          <w:spacing w:val="-12"/>
        </w:rPr>
        <w:t>用地土壤污染风险管控标准</w:t>
      </w:r>
      <w:r>
        <w:rPr/>
        <w:t>（试行</w:t>
      </w:r>
      <w:r>
        <w:rPr>
          <w:spacing w:val="-29"/>
        </w:rPr>
        <w:t>）</w:t>
      </w:r>
      <w:r>
        <w:rPr>
          <w:spacing w:val="-56"/>
        </w:rPr>
        <w:t>》</w:t>
      </w:r>
      <w:r>
        <w:rPr/>
        <w:t>（</w:t>
      </w:r>
      <w:r>
        <w:rPr>
          <w:rFonts w:ascii="Times New Roman" w:eastAsia="Times New Roman"/>
        </w:rPr>
        <w:t>GB </w:t>
      </w:r>
      <w:r>
        <w:rPr>
          <w:rFonts w:ascii="Times New Roman" w:eastAsia="Times New Roman"/>
          <w:spacing w:val="-3"/>
        </w:rPr>
        <w:t>15618-2018</w:t>
      </w:r>
      <w:r>
        <w:rPr>
          <w:spacing w:val="-3"/>
        </w:rPr>
        <w:t>）</w:t>
      </w:r>
      <w:r>
        <w:rPr>
          <w:spacing w:val="-1"/>
        </w:rPr>
        <w:t>中农用地土壤污染风险筛选值。</w:t>
      </w:r>
      <w:r>
        <w:rPr/>
        <w:t>说明项目拟建址土壤环境现状质量较好。</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9"/>
        <w:ind w:left="0"/>
        <w:rPr>
          <w:sz w:val="19"/>
        </w:rPr>
      </w:pPr>
    </w:p>
    <w:p>
      <w:pPr>
        <w:tabs>
          <w:tab w:pos="4657" w:val="left" w:leader="none"/>
          <w:tab w:pos="7192" w:val="left" w:leader="none"/>
        </w:tabs>
        <w:spacing w:before="81"/>
        <w:ind w:left="137" w:right="0" w:firstLine="0"/>
        <w:jc w:val="left"/>
        <w:rPr>
          <w:sz w:val="18"/>
        </w:rPr>
      </w:pPr>
      <w:r>
        <w:rPr>
          <w:sz w:val="18"/>
        </w:rPr>
        <w:t>浙江省工业环保设计研究院有限公司</w:t>
        <w:tab/>
      </w:r>
      <w:r>
        <w:rPr>
          <w:rFonts w:ascii="Times New Roman" w:eastAsia="Times New Roman"/>
          <w:sz w:val="18"/>
        </w:rPr>
        <w:t>99</w:t>
        <w:tab/>
      </w:r>
      <w:r>
        <w:rPr>
          <w:sz w:val="18"/>
        </w:rPr>
        <w:t>杭州市西湖区教工路</w:t>
      </w:r>
      <w:r>
        <w:rPr>
          <w:spacing w:val="-45"/>
          <w:sz w:val="18"/>
        </w:rPr>
        <w:t> </w:t>
      </w:r>
      <w:r>
        <w:rPr>
          <w:rFonts w:ascii="Times New Roman" w:eastAsia="Times New Roman"/>
          <w:sz w:val="18"/>
        </w:rPr>
        <w:t>149</w:t>
      </w:r>
      <w:r>
        <w:rPr>
          <w:rFonts w:ascii="Times New Roman" w:eastAsia="Times New Roman"/>
          <w:spacing w:val="1"/>
          <w:sz w:val="18"/>
        </w:rPr>
        <w:t> </w:t>
      </w:r>
      <w:r>
        <w:rPr>
          <w:sz w:val="18"/>
        </w:rPr>
        <w:t>号</w:t>
      </w:r>
    </w:p>
    <w:p>
      <w:pPr>
        <w:spacing w:after="0"/>
        <w:jc w:val="left"/>
        <w:rPr>
          <w:sz w:val="18"/>
        </w:rPr>
        <w:sectPr>
          <w:headerReference w:type="default" r:id="rId59"/>
          <w:footerReference w:type="default" r:id="rId60"/>
          <w:pgSz w:w="11910" w:h="16840"/>
          <w:pgMar w:header="0" w:footer="0" w:top="780" w:bottom="280" w:left="1140" w:right="1180"/>
        </w:sectPr>
      </w:pPr>
    </w:p>
    <w:p>
      <w:pPr>
        <w:pStyle w:val="BodyText"/>
        <w:spacing w:line="20" w:lineRule="exact"/>
        <w:ind w:left="196"/>
        <w:rPr>
          <w:sz w:val="2"/>
        </w:rPr>
      </w:pPr>
      <w:r>
        <w:rPr>
          <w:sz w:val="2"/>
        </w:rPr>
        <w:pict>
          <v:group style="width:726pt;height:.75pt;mso-position-horizontal-relative:char;mso-position-vertical-relative:line" coordorigin="0,0" coordsize="14520,15">
            <v:line style="position:absolute" from="0,7" to="14520,7" stroked="true" strokeweight=".72pt" strokecolor="#000000">
              <v:stroke dashstyle="solid"/>
            </v:line>
          </v:group>
        </w:pict>
      </w:r>
      <w:r>
        <w:rPr>
          <w:sz w:val="2"/>
        </w:rPr>
      </w:r>
    </w:p>
    <w:p>
      <w:pPr>
        <w:pStyle w:val="Heading3"/>
        <w:spacing w:before="101"/>
        <w:ind w:left="4905" w:right="4917"/>
        <w:jc w:val="center"/>
      </w:pPr>
      <w:r>
        <w:rPr/>
        <w:t>表 </w:t>
      </w:r>
      <w:r>
        <w:rPr>
          <w:rFonts w:ascii="Times New Roman" w:eastAsia="Times New Roman"/>
        </w:rPr>
        <w:t>4.3-8  </w:t>
      </w:r>
      <w:r>
        <w:rPr/>
        <w:t>土壤环境质量监测结果统计（厂区内）</w:t>
      </w:r>
    </w:p>
    <w:p>
      <w:pPr>
        <w:pStyle w:val="BodyText"/>
        <w:spacing w:before="1"/>
        <w:ind w:left="0"/>
        <w:rPr>
          <w:b/>
          <w:sz w:val="6"/>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68"/>
        <w:gridCol w:w="2923"/>
        <w:gridCol w:w="876"/>
        <w:gridCol w:w="875"/>
        <w:gridCol w:w="875"/>
        <w:gridCol w:w="1084"/>
        <w:gridCol w:w="1082"/>
        <w:gridCol w:w="1082"/>
        <w:gridCol w:w="876"/>
        <w:gridCol w:w="874"/>
        <w:gridCol w:w="1291"/>
        <w:gridCol w:w="1291"/>
        <w:gridCol w:w="876"/>
      </w:tblGrid>
      <w:tr>
        <w:trPr>
          <w:trHeight w:val="747" w:hRule="atLeast"/>
        </w:trPr>
        <w:tc>
          <w:tcPr>
            <w:tcW w:w="668" w:type="dxa"/>
            <w:tcBorders>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32" w:right="112"/>
              <w:rPr>
                <w:rFonts w:ascii="宋体" w:eastAsia="宋体" w:hint="eastAsia"/>
                <w:b/>
                <w:sz w:val="18"/>
              </w:rPr>
            </w:pPr>
            <w:r>
              <w:rPr>
                <w:rFonts w:ascii="宋体" w:eastAsia="宋体" w:hint="eastAsia"/>
                <w:b/>
                <w:sz w:val="18"/>
              </w:rPr>
              <w:t>序号</w:t>
            </w:r>
          </w:p>
        </w:tc>
        <w:tc>
          <w:tcPr>
            <w:tcW w:w="2923"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286" w:right="259"/>
              <w:rPr>
                <w:rFonts w:ascii="宋体" w:eastAsia="宋体" w:hint="eastAsia"/>
                <w:b/>
                <w:sz w:val="18"/>
              </w:rPr>
            </w:pPr>
            <w:r>
              <w:rPr>
                <w:rFonts w:ascii="宋体" w:eastAsia="宋体" w:hint="eastAsia"/>
                <w:b/>
                <w:sz w:val="18"/>
              </w:rPr>
              <w:t>污染物项目</w:t>
            </w:r>
          </w:p>
        </w:tc>
        <w:tc>
          <w:tcPr>
            <w:tcW w:w="876" w:type="dxa"/>
            <w:tcBorders>
              <w:left w:val="single" w:sz="6" w:space="0" w:color="000000"/>
              <w:bottom w:val="single" w:sz="6" w:space="0" w:color="000000"/>
              <w:right w:val="single" w:sz="6" w:space="0" w:color="000000"/>
            </w:tcBorders>
          </w:tcPr>
          <w:p>
            <w:pPr>
              <w:pStyle w:val="TableParagraph"/>
              <w:spacing w:before="78"/>
              <w:ind w:left="174"/>
              <w:jc w:val="left"/>
              <w:rPr>
                <w:rFonts w:ascii="宋体" w:eastAsia="宋体" w:hint="eastAsia"/>
                <w:b/>
                <w:sz w:val="18"/>
              </w:rPr>
            </w:pPr>
            <w:r>
              <w:rPr>
                <w:rFonts w:ascii="宋体" w:eastAsia="宋体" w:hint="eastAsia"/>
                <w:b/>
                <w:w w:val="95"/>
                <w:sz w:val="18"/>
              </w:rPr>
              <w:t>样本数</w:t>
            </w:r>
          </w:p>
          <w:p>
            <w:pPr>
              <w:pStyle w:val="TableParagraph"/>
              <w:spacing w:before="130"/>
              <w:ind w:left="174"/>
              <w:jc w:val="left"/>
              <w:rPr>
                <w:rFonts w:ascii="宋体" w:eastAsia="宋体" w:hint="eastAsia"/>
                <w:b/>
                <w:sz w:val="18"/>
              </w:rPr>
            </w:pPr>
            <w:r>
              <w:rPr>
                <w:rFonts w:ascii="宋体" w:eastAsia="宋体" w:hint="eastAsia"/>
                <w:b/>
                <w:w w:val="95"/>
                <w:sz w:val="18"/>
              </w:rPr>
              <w:t>（个）</w:t>
            </w:r>
          </w:p>
        </w:tc>
        <w:tc>
          <w:tcPr>
            <w:tcW w:w="875" w:type="dxa"/>
            <w:tcBorders>
              <w:left w:val="single" w:sz="6" w:space="0" w:color="000000"/>
              <w:bottom w:val="single" w:sz="6" w:space="0" w:color="000000"/>
              <w:right w:val="single" w:sz="6" w:space="0" w:color="000000"/>
            </w:tcBorders>
          </w:tcPr>
          <w:p>
            <w:pPr>
              <w:pStyle w:val="TableParagraph"/>
              <w:spacing w:before="78"/>
              <w:ind w:left="175"/>
              <w:jc w:val="left"/>
              <w:rPr>
                <w:rFonts w:ascii="宋体" w:eastAsia="宋体" w:hint="eastAsia"/>
                <w:b/>
                <w:sz w:val="18"/>
              </w:rPr>
            </w:pPr>
            <w:r>
              <w:rPr>
                <w:rFonts w:ascii="宋体" w:eastAsia="宋体" w:hint="eastAsia"/>
                <w:b/>
                <w:w w:val="95"/>
                <w:sz w:val="18"/>
              </w:rPr>
              <w:t>检出数</w:t>
            </w:r>
          </w:p>
          <w:p>
            <w:pPr>
              <w:pStyle w:val="TableParagraph"/>
              <w:spacing w:before="130"/>
              <w:ind w:left="175"/>
              <w:jc w:val="left"/>
              <w:rPr>
                <w:rFonts w:ascii="宋体" w:eastAsia="宋体" w:hint="eastAsia"/>
                <w:b/>
                <w:sz w:val="18"/>
              </w:rPr>
            </w:pPr>
            <w:r>
              <w:rPr>
                <w:rFonts w:ascii="宋体" w:eastAsia="宋体" w:hint="eastAsia"/>
                <w:b/>
                <w:w w:val="95"/>
                <w:sz w:val="18"/>
              </w:rPr>
              <w:t>（个）</w:t>
            </w:r>
          </w:p>
        </w:tc>
        <w:tc>
          <w:tcPr>
            <w:tcW w:w="875" w:type="dxa"/>
            <w:tcBorders>
              <w:left w:val="single" w:sz="6" w:space="0" w:color="000000"/>
              <w:bottom w:val="single" w:sz="6" w:space="0" w:color="000000"/>
              <w:right w:val="single" w:sz="6" w:space="0" w:color="000000"/>
            </w:tcBorders>
          </w:tcPr>
          <w:p>
            <w:pPr>
              <w:pStyle w:val="TableParagraph"/>
              <w:spacing w:before="78"/>
              <w:ind w:left="176"/>
              <w:jc w:val="left"/>
              <w:rPr>
                <w:rFonts w:ascii="宋体" w:eastAsia="宋体" w:hint="eastAsia"/>
                <w:b/>
                <w:sz w:val="18"/>
              </w:rPr>
            </w:pPr>
            <w:r>
              <w:rPr>
                <w:rFonts w:ascii="宋体" w:eastAsia="宋体" w:hint="eastAsia"/>
                <w:b/>
                <w:w w:val="95"/>
                <w:sz w:val="18"/>
              </w:rPr>
              <w:t>检出率</w:t>
            </w:r>
          </w:p>
          <w:p>
            <w:pPr>
              <w:pStyle w:val="TableParagraph"/>
              <w:spacing w:before="130"/>
              <w:ind w:left="176"/>
              <w:jc w:val="left"/>
              <w:rPr>
                <w:rFonts w:ascii="宋体" w:eastAsia="宋体" w:hint="eastAsia"/>
                <w:b/>
                <w:sz w:val="18"/>
              </w:rPr>
            </w:pPr>
            <w:r>
              <w:rPr>
                <w:rFonts w:ascii="宋体" w:eastAsia="宋体" w:hint="eastAsia"/>
                <w:b/>
                <w:sz w:val="18"/>
              </w:rPr>
              <w:t>（</w:t>
            </w:r>
            <w:r>
              <w:rPr>
                <w:b/>
                <w:sz w:val="18"/>
              </w:rPr>
              <w:t>%</w:t>
            </w:r>
            <w:r>
              <w:rPr>
                <w:rFonts w:ascii="宋体" w:eastAsia="宋体" w:hint="eastAsia"/>
                <w:b/>
                <w:sz w:val="18"/>
              </w:rPr>
              <w:t>）</w:t>
            </w:r>
          </w:p>
        </w:tc>
        <w:tc>
          <w:tcPr>
            <w:tcW w:w="1084"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71" w:right="135"/>
              <w:rPr>
                <w:rFonts w:ascii="宋体" w:eastAsia="宋体" w:hint="eastAsia"/>
                <w:b/>
                <w:sz w:val="18"/>
              </w:rPr>
            </w:pPr>
            <w:r>
              <w:rPr>
                <w:rFonts w:ascii="宋体" w:eastAsia="宋体" w:hint="eastAsia"/>
                <w:b/>
                <w:sz w:val="18"/>
              </w:rPr>
              <w:t>最小浓度</w:t>
            </w:r>
          </w:p>
        </w:tc>
        <w:tc>
          <w:tcPr>
            <w:tcW w:w="1082"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right="152"/>
              <w:jc w:val="right"/>
              <w:rPr>
                <w:rFonts w:ascii="宋体" w:eastAsia="宋体" w:hint="eastAsia"/>
                <w:b/>
                <w:sz w:val="18"/>
              </w:rPr>
            </w:pPr>
            <w:r>
              <w:rPr>
                <w:rFonts w:ascii="宋体" w:eastAsia="宋体" w:hint="eastAsia"/>
                <w:b/>
                <w:w w:val="95"/>
                <w:sz w:val="18"/>
              </w:rPr>
              <w:t>最大浓度</w:t>
            </w:r>
          </w:p>
        </w:tc>
        <w:tc>
          <w:tcPr>
            <w:tcW w:w="1082"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01" w:right="65"/>
              <w:rPr>
                <w:rFonts w:ascii="宋体" w:eastAsia="宋体" w:hint="eastAsia"/>
                <w:b/>
                <w:sz w:val="18"/>
              </w:rPr>
            </w:pPr>
            <w:r>
              <w:rPr>
                <w:rFonts w:ascii="宋体" w:eastAsia="宋体" w:hint="eastAsia"/>
                <w:b/>
                <w:sz w:val="18"/>
              </w:rPr>
              <w:t>平均浓度</w:t>
            </w:r>
          </w:p>
        </w:tc>
        <w:tc>
          <w:tcPr>
            <w:tcW w:w="876"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37" w:right="98"/>
              <w:rPr>
                <w:rFonts w:ascii="宋体" w:eastAsia="宋体" w:hint="eastAsia"/>
                <w:b/>
                <w:sz w:val="18"/>
              </w:rPr>
            </w:pPr>
            <w:r>
              <w:rPr>
                <w:rFonts w:ascii="宋体" w:eastAsia="宋体" w:hint="eastAsia"/>
                <w:b/>
                <w:sz w:val="18"/>
              </w:rPr>
              <w:t>标准差</w:t>
            </w:r>
          </w:p>
        </w:tc>
        <w:tc>
          <w:tcPr>
            <w:tcW w:w="874"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56" w:right="120"/>
              <w:rPr>
                <w:rFonts w:ascii="宋体" w:eastAsia="宋体" w:hint="eastAsia"/>
                <w:b/>
                <w:sz w:val="18"/>
              </w:rPr>
            </w:pPr>
            <w:r>
              <w:rPr>
                <w:rFonts w:ascii="宋体" w:eastAsia="宋体" w:hint="eastAsia"/>
                <w:b/>
                <w:sz w:val="18"/>
              </w:rPr>
              <w:t>筛选值</w:t>
            </w:r>
          </w:p>
        </w:tc>
        <w:tc>
          <w:tcPr>
            <w:tcW w:w="1291"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87" w:right="145"/>
              <w:rPr>
                <w:rFonts w:ascii="宋体" w:eastAsia="宋体" w:hint="eastAsia"/>
                <w:b/>
                <w:sz w:val="18"/>
              </w:rPr>
            </w:pPr>
            <w:r>
              <w:rPr>
                <w:rFonts w:ascii="宋体" w:eastAsia="宋体" w:hint="eastAsia"/>
                <w:b/>
                <w:sz w:val="18"/>
              </w:rPr>
              <w:t>最大比标值</w:t>
            </w:r>
          </w:p>
        </w:tc>
        <w:tc>
          <w:tcPr>
            <w:tcW w:w="1291" w:type="dxa"/>
            <w:tcBorders>
              <w:left w:val="single" w:sz="6" w:space="0" w:color="000000"/>
              <w:bottom w:val="single" w:sz="6" w:space="0" w:color="000000"/>
              <w:right w:val="single" w:sz="6" w:space="0" w:color="000000"/>
            </w:tcBorders>
          </w:tcPr>
          <w:p>
            <w:pPr>
              <w:pStyle w:val="TableParagraph"/>
              <w:spacing w:before="78"/>
              <w:ind w:left="297"/>
              <w:jc w:val="left"/>
              <w:rPr>
                <w:rFonts w:ascii="宋体" w:eastAsia="宋体" w:hint="eastAsia"/>
                <w:b/>
                <w:sz w:val="18"/>
              </w:rPr>
            </w:pPr>
            <w:r>
              <w:rPr>
                <w:rFonts w:ascii="宋体" w:eastAsia="宋体" w:hint="eastAsia"/>
                <w:b/>
                <w:sz w:val="18"/>
              </w:rPr>
              <w:t>最大超标</w:t>
            </w:r>
          </w:p>
          <w:p>
            <w:pPr>
              <w:pStyle w:val="TableParagraph"/>
              <w:spacing w:before="130"/>
              <w:ind w:left="208"/>
              <w:jc w:val="left"/>
              <w:rPr>
                <w:rFonts w:ascii="宋体" w:eastAsia="宋体" w:hint="eastAsia"/>
                <w:b/>
                <w:sz w:val="18"/>
              </w:rPr>
            </w:pPr>
            <w:r>
              <w:rPr>
                <w:rFonts w:ascii="宋体" w:eastAsia="宋体" w:hint="eastAsia"/>
                <w:b/>
                <w:sz w:val="18"/>
              </w:rPr>
              <w:t>倍数（倍）</w:t>
            </w:r>
          </w:p>
        </w:tc>
        <w:tc>
          <w:tcPr>
            <w:tcW w:w="876" w:type="dxa"/>
            <w:tcBorders>
              <w:left w:val="single" w:sz="6" w:space="0" w:color="000000"/>
              <w:bottom w:val="single" w:sz="6" w:space="0" w:color="000000"/>
            </w:tcBorders>
          </w:tcPr>
          <w:p>
            <w:pPr>
              <w:pStyle w:val="TableParagraph"/>
              <w:spacing w:before="78"/>
              <w:ind w:left="179"/>
              <w:jc w:val="left"/>
              <w:rPr>
                <w:rFonts w:ascii="宋体" w:eastAsia="宋体" w:hint="eastAsia"/>
                <w:b/>
                <w:sz w:val="18"/>
              </w:rPr>
            </w:pPr>
            <w:r>
              <w:rPr>
                <w:rFonts w:ascii="宋体" w:eastAsia="宋体" w:hint="eastAsia"/>
                <w:b/>
                <w:w w:val="95"/>
                <w:sz w:val="18"/>
              </w:rPr>
              <w:t>超标率</w:t>
            </w:r>
          </w:p>
          <w:p>
            <w:pPr>
              <w:pStyle w:val="TableParagraph"/>
              <w:spacing w:before="130"/>
              <w:ind w:left="179"/>
              <w:jc w:val="left"/>
              <w:rPr>
                <w:rFonts w:ascii="宋体" w:eastAsia="宋体" w:hint="eastAsia"/>
                <w:b/>
                <w:sz w:val="18"/>
              </w:rPr>
            </w:pPr>
            <w:r>
              <w:rPr>
                <w:rFonts w:ascii="宋体" w:eastAsia="宋体" w:hint="eastAsia"/>
                <w:b/>
                <w:sz w:val="18"/>
              </w:rPr>
              <w:t>（</w:t>
            </w:r>
            <w:r>
              <w:rPr>
                <w:b/>
                <w:sz w:val="18"/>
              </w:rPr>
              <w:t>%</w:t>
            </w:r>
            <w:r>
              <w:rPr>
                <w:rFonts w:ascii="宋体" w:eastAsia="宋体" w:hint="eastAsia"/>
                <w:b/>
                <w:sz w:val="18"/>
              </w:rPr>
              <w:t>）</w:t>
            </w:r>
          </w:p>
        </w:tc>
      </w:tr>
      <w:tr>
        <w:trPr>
          <w:trHeight w:val="356" w:hRule="atLeast"/>
        </w:trPr>
        <w:tc>
          <w:tcPr>
            <w:tcW w:w="668" w:type="dxa"/>
            <w:tcBorders>
              <w:top w:val="single" w:sz="6" w:space="0" w:color="000000"/>
              <w:bottom w:val="single" w:sz="6" w:space="0" w:color="000000"/>
              <w:right w:val="single" w:sz="6" w:space="0" w:color="000000"/>
            </w:tcBorders>
          </w:tcPr>
          <w:p>
            <w:pPr>
              <w:pStyle w:val="TableParagraph"/>
              <w:spacing w:before="76"/>
              <w:ind w:left="19"/>
              <w:rPr>
                <w:sz w:val="18"/>
              </w:rPr>
            </w:pPr>
            <w:r>
              <w:rPr>
                <w:sz w:val="18"/>
              </w:rPr>
              <w:t>1</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砷（</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68"/>
              <w:rPr>
                <w:sz w:val="18"/>
              </w:rPr>
            </w:pPr>
            <w:r>
              <w:rPr>
                <w:sz w:val="18"/>
              </w:rPr>
              <w:t>100%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1" w:right="45"/>
              <w:rPr>
                <w:rFonts w:ascii="宋体"/>
                <w:sz w:val="18"/>
              </w:rPr>
            </w:pPr>
            <w:r>
              <w:rPr>
                <w:sz w:val="18"/>
              </w:rPr>
              <w:t>4.57</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94"/>
              <w:jc w:val="left"/>
              <w:rPr>
                <w:rFonts w:ascii="宋体"/>
                <w:sz w:val="18"/>
              </w:rPr>
            </w:pPr>
            <w:r>
              <w:rPr>
                <w:sz w:val="18"/>
              </w:rPr>
              <w:t>5.25</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201" w:right="74"/>
              <w:rPr>
                <w:rFonts w:ascii="宋体"/>
                <w:sz w:val="18"/>
              </w:rPr>
            </w:pPr>
            <w:r>
              <w:rPr>
                <w:sz w:val="18"/>
              </w:rPr>
              <w:t>4.95</w:t>
            </w:r>
            <w:r>
              <w:rPr>
                <w:rFonts w:ascii="宋体"/>
                <w:sz w:val="18"/>
              </w:rPr>
              <w:t> </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143" w:right="11"/>
              <w:rPr>
                <w:rFonts w:ascii="宋体"/>
                <w:sz w:val="18"/>
              </w:rPr>
            </w:pPr>
            <w:r>
              <w:rPr>
                <w:sz w:val="18"/>
              </w:rPr>
              <w:t>0.36</w:t>
            </w:r>
            <w:r>
              <w:rPr>
                <w:rFonts w:ascii="宋体"/>
                <w:sz w:val="18"/>
              </w:rPr>
              <w:t> </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156" w:right="114"/>
              <w:rPr>
                <w:sz w:val="18"/>
              </w:rPr>
            </w:pPr>
            <w:r>
              <w:rPr>
                <w:sz w:val="18"/>
              </w:rPr>
              <w:t>25</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187" w:right="57"/>
              <w:rPr>
                <w:rFonts w:ascii="宋体"/>
                <w:sz w:val="18"/>
              </w:rPr>
            </w:pPr>
            <w:r>
              <w:rPr>
                <w:sz w:val="18"/>
              </w:rPr>
              <w:t>0.210</w:t>
            </w:r>
            <w:r>
              <w:rPr>
                <w:rFonts w:ascii="宋体"/>
                <w:sz w:val="18"/>
              </w:rPr>
              <w:t> </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9"/>
              <w:rPr>
                <w:sz w:val="18"/>
              </w:rPr>
            </w:pPr>
            <w:r>
              <w:rPr>
                <w:sz w:val="18"/>
              </w:rPr>
              <w:t>2</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7" w:right="259"/>
              <w:rPr>
                <w:rFonts w:ascii="宋体" w:eastAsia="宋体" w:hint="eastAsia"/>
                <w:sz w:val="18"/>
              </w:rPr>
            </w:pPr>
            <w:r>
              <w:rPr>
                <w:rFonts w:ascii="宋体" w:eastAsia="宋体" w:hint="eastAsia"/>
                <w:sz w:val="18"/>
              </w:rPr>
              <w:t>镉（</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68"/>
              <w:rPr>
                <w:sz w:val="18"/>
              </w:rPr>
            </w:pPr>
            <w:r>
              <w:rPr>
                <w:sz w:val="18"/>
              </w:rPr>
              <w:t>100%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1" w:right="45"/>
              <w:rPr>
                <w:rFonts w:ascii="宋体"/>
                <w:sz w:val="18"/>
              </w:rPr>
            </w:pPr>
            <w:r>
              <w:rPr>
                <w:sz w:val="18"/>
              </w:rPr>
              <w:t>0.14</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394"/>
              <w:jc w:val="left"/>
              <w:rPr>
                <w:rFonts w:ascii="宋体"/>
                <w:sz w:val="18"/>
              </w:rPr>
            </w:pPr>
            <w:r>
              <w:rPr>
                <w:sz w:val="18"/>
              </w:rPr>
              <w:t>0.19</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201" w:right="74"/>
              <w:rPr>
                <w:rFonts w:ascii="宋体"/>
                <w:sz w:val="18"/>
              </w:rPr>
            </w:pPr>
            <w:r>
              <w:rPr>
                <w:sz w:val="18"/>
              </w:rPr>
              <w:t>0.16</w:t>
            </w:r>
            <w:r>
              <w:rPr>
                <w:rFonts w:ascii="宋体"/>
                <w:sz w:val="18"/>
              </w:rPr>
              <w:t> </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143" w:right="11"/>
              <w:rPr>
                <w:rFonts w:ascii="宋体"/>
                <w:sz w:val="18"/>
              </w:rPr>
            </w:pPr>
            <w:r>
              <w:rPr>
                <w:sz w:val="18"/>
              </w:rPr>
              <w:t>0.03</w:t>
            </w:r>
            <w:r>
              <w:rPr>
                <w:rFonts w:ascii="宋体"/>
                <w:sz w:val="18"/>
              </w:rPr>
              <w:t> </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156" w:right="118"/>
              <w:rPr>
                <w:sz w:val="18"/>
              </w:rPr>
            </w:pPr>
            <w:r>
              <w:rPr>
                <w:sz w:val="18"/>
              </w:rPr>
              <w:t>0.3</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187" w:right="57"/>
              <w:rPr>
                <w:rFonts w:ascii="宋体"/>
                <w:sz w:val="18"/>
              </w:rPr>
            </w:pPr>
            <w:r>
              <w:rPr>
                <w:sz w:val="18"/>
              </w:rPr>
              <w:t>0.633</w:t>
            </w:r>
            <w:r>
              <w:rPr>
                <w:rFonts w:ascii="宋体"/>
                <w:sz w:val="18"/>
              </w:rPr>
              <w:t> </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9"/>
              <w:rPr>
                <w:sz w:val="18"/>
              </w:rPr>
            </w:pPr>
            <w:r>
              <w:rPr>
                <w:sz w:val="18"/>
              </w:rPr>
              <w:t>3</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铬（六价）（</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&lt;0.5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&lt;0.5</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60" w:hRule="atLeast"/>
        </w:trPr>
        <w:tc>
          <w:tcPr>
            <w:tcW w:w="668" w:type="dxa"/>
            <w:tcBorders>
              <w:top w:val="single" w:sz="6" w:space="0" w:color="000000"/>
              <w:bottom w:val="single" w:sz="6" w:space="0" w:color="000000"/>
              <w:right w:val="single" w:sz="6" w:space="0" w:color="000000"/>
            </w:tcBorders>
          </w:tcPr>
          <w:p>
            <w:pPr>
              <w:pStyle w:val="TableParagraph"/>
              <w:spacing w:before="77"/>
              <w:ind w:left="19"/>
              <w:rPr>
                <w:sz w:val="18"/>
              </w:rPr>
            </w:pPr>
            <w:r>
              <w:rPr>
                <w:sz w:val="18"/>
              </w:rPr>
              <w:t>4</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5"/>
              <w:ind w:left="287" w:right="259"/>
              <w:rPr>
                <w:rFonts w:ascii="宋体" w:eastAsia="宋体" w:hint="eastAsia"/>
                <w:sz w:val="18"/>
              </w:rPr>
            </w:pPr>
            <w:r>
              <w:rPr>
                <w:rFonts w:ascii="宋体" w:eastAsia="宋体" w:hint="eastAsia"/>
                <w:sz w:val="18"/>
              </w:rPr>
              <w:t>铜（</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31"/>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110" w:right="68"/>
              <w:rPr>
                <w:sz w:val="18"/>
              </w:rPr>
            </w:pPr>
            <w:r>
              <w:rPr>
                <w:sz w:val="18"/>
              </w:rPr>
              <w:t>100%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7"/>
              <w:ind w:left="171" w:right="45"/>
              <w:rPr>
                <w:rFonts w:ascii="宋体"/>
                <w:sz w:val="18"/>
              </w:rPr>
            </w:pPr>
            <w:r>
              <w:rPr>
                <w:sz w:val="18"/>
              </w:rPr>
              <w:t>24</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461"/>
              <w:jc w:val="left"/>
              <w:rPr>
                <w:rFonts w:ascii="宋体"/>
                <w:sz w:val="18"/>
              </w:rPr>
            </w:pPr>
            <w:r>
              <w:rPr>
                <w:sz w:val="18"/>
              </w:rPr>
              <w:t>39</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201" w:right="74"/>
              <w:rPr>
                <w:rFonts w:ascii="宋体"/>
                <w:sz w:val="18"/>
              </w:rPr>
            </w:pPr>
            <w:r>
              <w:rPr>
                <w:sz w:val="18"/>
              </w:rPr>
              <w:t>31.4</w:t>
            </w:r>
            <w:r>
              <w:rPr>
                <w:rFonts w:ascii="宋体"/>
                <w:sz w:val="18"/>
              </w:rPr>
              <w:t> </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143" w:right="13"/>
              <w:rPr>
                <w:rFonts w:ascii="宋体"/>
                <w:sz w:val="18"/>
              </w:rPr>
            </w:pPr>
            <w:r>
              <w:rPr>
                <w:sz w:val="18"/>
              </w:rPr>
              <w:t>7.5</w:t>
            </w:r>
            <w:r>
              <w:rPr>
                <w:rFonts w:ascii="宋体"/>
                <w:sz w:val="18"/>
              </w:rPr>
              <w:t> </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7"/>
              <w:ind w:left="156" w:right="114"/>
              <w:rPr>
                <w:sz w:val="18"/>
              </w:rPr>
            </w:pPr>
            <w:r>
              <w:rPr>
                <w:sz w:val="18"/>
              </w:rPr>
              <w:t>100</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left="187" w:right="57"/>
              <w:rPr>
                <w:rFonts w:ascii="宋体"/>
                <w:sz w:val="18"/>
              </w:rPr>
            </w:pPr>
            <w:r>
              <w:rPr>
                <w:sz w:val="18"/>
              </w:rPr>
              <w:t>0.390</w:t>
            </w:r>
            <w:r>
              <w:rPr>
                <w:rFonts w:ascii="宋体"/>
                <w:sz w:val="18"/>
              </w:rPr>
              <w:t> </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7"/>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6"/>
              <w:ind w:left="19"/>
              <w:rPr>
                <w:sz w:val="18"/>
              </w:rPr>
            </w:pPr>
            <w:r>
              <w:rPr>
                <w:sz w:val="18"/>
              </w:rPr>
              <w:t>5</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铅（</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68"/>
              <w:rPr>
                <w:sz w:val="18"/>
              </w:rPr>
            </w:pPr>
            <w:r>
              <w:rPr>
                <w:sz w:val="18"/>
              </w:rPr>
              <w:t>100%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1" w:right="45"/>
              <w:rPr>
                <w:rFonts w:ascii="宋体"/>
                <w:sz w:val="18"/>
              </w:rPr>
            </w:pPr>
            <w:r>
              <w:rPr>
                <w:sz w:val="18"/>
              </w:rPr>
              <w:t>44.5</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94"/>
              <w:jc w:val="left"/>
              <w:rPr>
                <w:rFonts w:ascii="宋体"/>
                <w:sz w:val="18"/>
              </w:rPr>
            </w:pPr>
            <w:r>
              <w:rPr>
                <w:sz w:val="18"/>
              </w:rPr>
              <w:t>49.1</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201" w:right="74"/>
              <w:rPr>
                <w:rFonts w:ascii="宋体"/>
                <w:sz w:val="18"/>
              </w:rPr>
            </w:pPr>
            <w:r>
              <w:rPr>
                <w:sz w:val="18"/>
              </w:rPr>
              <w:t>46.5</w:t>
            </w:r>
            <w:r>
              <w:rPr>
                <w:rFonts w:ascii="宋体"/>
                <w:sz w:val="18"/>
              </w:rPr>
              <w:t> </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143" w:right="13"/>
              <w:rPr>
                <w:rFonts w:ascii="宋体"/>
                <w:sz w:val="18"/>
              </w:rPr>
            </w:pPr>
            <w:r>
              <w:rPr>
                <w:sz w:val="18"/>
              </w:rPr>
              <w:t>2.5</w:t>
            </w:r>
            <w:r>
              <w:rPr>
                <w:rFonts w:ascii="宋体"/>
                <w:sz w:val="18"/>
              </w:rPr>
              <w:t> </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156" w:right="114"/>
              <w:rPr>
                <w:sz w:val="18"/>
              </w:rPr>
            </w:pPr>
            <w:r>
              <w:rPr>
                <w:sz w:val="18"/>
              </w:rPr>
              <w:t>120</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187" w:right="57"/>
              <w:rPr>
                <w:rFonts w:ascii="宋体"/>
                <w:sz w:val="18"/>
              </w:rPr>
            </w:pPr>
            <w:r>
              <w:rPr>
                <w:sz w:val="18"/>
              </w:rPr>
              <w:t>0.409</w:t>
            </w:r>
            <w:r>
              <w:rPr>
                <w:rFonts w:ascii="宋体"/>
                <w:sz w:val="18"/>
              </w:rPr>
              <w:t> </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9"/>
              <w:rPr>
                <w:sz w:val="18"/>
              </w:rPr>
            </w:pPr>
            <w:r>
              <w:rPr>
                <w:sz w:val="18"/>
              </w:rPr>
              <w:t>6</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7" w:right="259"/>
              <w:rPr>
                <w:rFonts w:ascii="宋体" w:eastAsia="宋体" w:hint="eastAsia"/>
                <w:sz w:val="18"/>
              </w:rPr>
            </w:pPr>
            <w:r>
              <w:rPr>
                <w:rFonts w:ascii="宋体" w:eastAsia="宋体" w:hint="eastAsia"/>
                <w:sz w:val="18"/>
              </w:rPr>
              <w:t>汞（</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68"/>
              <w:rPr>
                <w:sz w:val="18"/>
              </w:rPr>
            </w:pPr>
            <w:r>
              <w:rPr>
                <w:sz w:val="18"/>
              </w:rPr>
              <w:t>100%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1" w:right="47"/>
              <w:rPr>
                <w:rFonts w:ascii="宋体"/>
                <w:sz w:val="18"/>
              </w:rPr>
            </w:pPr>
            <w:r>
              <w:rPr>
                <w:sz w:val="18"/>
              </w:rPr>
              <w:t>0.0527</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right="177"/>
              <w:jc w:val="right"/>
              <w:rPr>
                <w:rFonts w:ascii="宋体"/>
                <w:sz w:val="18"/>
              </w:rPr>
            </w:pPr>
            <w:r>
              <w:rPr>
                <w:sz w:val="18"/>
              </w:rPr>
              <w:t>0.1330</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98" w:right="74"/>
              <w:rPr>
                <w:rFonts w:ascii="宋体"/>
                <w:sz w:val="18"/>
              </w:rPr>
            </w:pPr>
            <w:r>
              <w:rPr>
                <w:sz w:val="18"/>
              </w:rPr>
              <w:t>0.0854</w:t>
            </w:r>
            <w:r>
              <w:rPr>
                <w:rFonts w:ascii="宋体"/>
                <w:sz w:val="18"/>
              </w:rPr>
              <w:t> </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143" w:right="13"/>
              <w:rPr>
                <w:rFonts w:ascii="宋体"/>
                <w:sz w:val="18"/>
              </w:rPr>
            </w:pPr>
            <w:r>
              <w:rPr>
                <w:sz w:val="18"/>
              </w:rPr>
              <w:t>0.0456</w:t>
            </w:r>
            <w:r>
              <w:rPr>
                <w:rFonts w:ascii="宋体"/>
                <w:sz w:val="18"/>
              </w:rPr>
              <w:t> </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156" w:right="118"/>
              <w:rPr>
                <w:sz w:val="18"/>
              </w:rPr>
            </w:pPr>
            <w:r>
              <w:rPr>
                <w:sz w:val="18"/>
              </w:rPr>
              <w:t>0.6</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187" w:right="57"/>
              <w:rPr>
                <w:rFonts w:ascii="宋体"/>
                <w:sz w:val="18"/>
              </w:rPr>
            </w:pPr>
            <w:r>
              <w:rPr>
                <w:sz w:val="18"/>
              </w:rPr>
              <w:t>0.222</w:t>
            </w:r>
            <w:r>
              <w:rPr>
                <w:rFonts w:ascii="宋体"/>
                <w:sz w:val="18"/>
              </w:rPr>
              <w:t> </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9"/>
              <w:rPr>
                <w:sz w:val="18"/>
              </w:rPr>
            </w:pPr>
            <w:r>
              <w:rPr>
                <w:sz w:val="18"/>
              </w:rPr>
              <w:t>7</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镍（</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68"/>
              <w:rPr>
                <w:sz w:val="18"/>
              </w:rPr>
            </w:pPr>
            <w:r>
              <w:rPr>
                <w:sz w:val="18"/>
              </w:rPr>
              <w:t>100%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1" w:right="45"/>
              <w:rPr>
                <w:rFonts w:ascii="宋体"/>
                <w:sz w:val="18"/>
              </w:rPr>
            </w:pPr>
            <w:r>
              <w:rPr>
                <w:sz w:val="18"/>
              </w:rPr>
              <w:t>36</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461"/>
              <w:jc w:val="left"/>
              <w:rPr>
                <w:rFonts w:ascii="宋体"/>
                <w:sz w:val="18"/>
              </w:rPr>
            </w:pPr>
            <w:r>
              <w:rPr>
                <w:sz w:val="18"/>
              </w:rPr>
              <w:t>46</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201" w:right="74"/>
              <w:rPr>
                <w:rFonts w:ascii="宋体"/>
                <w:sz w:val="18"/>
              </w:rPr>
            </w:pPr>
            <w:r>
              <w:rPr>
                <w:sz w:val="18"/>
              </w:rPr>
              <w:t>40.4</w:t>
            </w:r>
            <w:r>
              <w:rPr>
                <w:rFonts w:ascii="宋体"/>
                <w:sz w:val="18"/>
              </w:rPr>
              <w:t> </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143" w:right="13"/>
              <w:rPr>
                <w:rFonts w:ascii="宋体"/>
                <w:sz w:val="18"/>
              </w:rPr>
            </w:pPr>
            <w:r>
              <w:rPr>
                <w:sz w:val="18"/>
              </w:rPr>
              <w:t>5.3</w:t>
            </w:r>
            <w:r>
              <w:rPr>
                <w:rFonts w:ascii="宋体"/>
                <w:sz w:val="18"/>
              </w:rPr>
              <w:t> </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156" w:right="114"/>
              <w:rPr>
                <w:sz w:val="18"/>
              </w:rPr>
            </w:pPr>
            <w:r>
              <w:rPr>
                <w:sz w:val="18"/>
              </w:rPr>
              <w:t>100</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187" w:right="57"/>
              <w:rPr>
                <w:rFonts w:ascii="宋体"/>
                <w:sz w:val="18"/>
              </w:rPr>
            </w:pPr>
            <w:r>
              <w:rPr>
                <w:sz w:val="18"/>
              </w:rPr>
              <w:t>0.460</w:t>
            </w:r>
            <w:r>
              <w:rPr>
                <w:rFonts w:ascii="宋体"/>
                <w:sz w:val="18"/>
              </w:rPr>
              <w:t> </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9"/>
              <w:rPr>
                <w:sz w:val="18"/>
              </w:rPr>
            </w:pPr>
            <w:r>
              <w:rPr>
                <w:sz w:val="18"/>
              </w:rPr>
              <w:t>8</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锌（</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68"/>
              <w:rPr>
                <w:sz w:val="18"/>
              </w:rPr>
            </w:pPr>
            <w:r>
              <w:rPr>
                <w:sz w:val="18"/>
              </w:rPr>
              <w:t>100%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1" w:right="45"/>
              <w:rPr>
                <w:rFonts w:ascii="宋体"/>
                <w:sz w:val="18"/>
              </w:rPr>
            </w:pPr>
            <w:r>
              <w:rPr>
                <w:sz w:val="18"/>
              </w:rPr>
              <w:t>46</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461"/>
              <w:jc w:val="left"/>
              <w:rPr>
                <w:rFonts w:ascii="宋体"/>
                <w:sz w:val="18"/>
              </w:rPr>
            </w:pPr>
            <w:r>
              <w:rPr>
                <w:sz w:val="18"/>
              </w:rPr>
              <w:t>74</w:t>
            </w:r>
            <w:r>
              <w:rPr>
                <w:rFonts w:ascii="宋体"/>
                <w:sz w:val="18"/>
              </w:rPr>
              <w:t> </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201" w:right="74"/>
              <w:rPr>
                <w:rFonts w:ascii="宋体"/>
                <w:sz w:val="18"/>
              </w:rPr>
            </w:pPr>
            <w:r>
              <w:rPr>
                <w:sz w:val="18"/>
              </w:rPr>
              <w:t>60.8</w:t>
            </w:r>
            <w:r>
              <w:rPr>
                <w:rFonts w:ascii="宋体"/>
                <w:sz w:val="18"/>
              </w:rPr>
              <w:t> </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143" w:right="11"/>
              <w:rPr>
                <w:rFonts w:ascii="宋体"/>
                <w:sz w:val="18"/>
              </w:rPr>
            </w:pPr>
            <w:r>
              <w:rPr>
                <w:sz w:val="18"/>
              </w:rPr>
              <w:t>14.2</w:t>
            </w:r>
            <w:r>
              <w:rPr>
                <w:rFonts w:ascii="宋体"/>
                <w:sz w:val="18"/>
              </w:rPr>
              <w:t> </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156" w:right="114"/>
              <w:rPr>
                <w:sz w:val="18"/>
              </w:rPr>
            </w:pPr>
            <w:r>
              <w:rPr>
                <w:sz w:val="18"/>
              </w:rPr>
              <w:t>250</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187" w:right="57"/>
              <w:rPr>
                <w:rFonts w:ascii="宋体"/>
                <w:sz w:val="18"/>
              </w:rPr>
            </w:pPr>
            <w:r>
              <w:rPr>
                <w:sz w:val="18"/>
              </w:rPr>
              <w:t>0.296</w:t>
            </w:r>
            <w:r>
              <w:rPr>
                <w:rFonts w:ascii="宋体"/>
                <w:sz w:val="18"/>
              </w:rPr>
              <w:t> </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6"/>
              <w:ind w:left="19"/>
              <w:rPr>
                <w:sz w:val="18"/>
              </w:rPr>
            </w:pPr>
            <w:r>
              <w:rPr>
                <w:sz w:val="18"/>
              </w:rPr>
              <w:t>9</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四氯化碳（</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&lt;1.3</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10</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9" w:right="259"/>
              <w:rPr>
                <w:rFonts w:ascii="宋体" w:hAnsi="宋体" w:eastAsia="宋体" w:hint="eastAsia"/>
                <w:sz w:val="18"/>
              </w:rPr>
            </w:pPr>
            <w:r>
              <w:rPr>
                <w:rFonts w:ascii="宋体" w:hAnsi="宋体" w:eastAsia="宋体" w:hint="eastAsia"/>
                <w:sz w:val="18"/>
              </w:rPr>
              <w:t>氯仿（</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387"/>
              <w:jc w:val="left"/>
              <w:rPr>
                <w:sz w:val="18"/>
              </w:rPr>
            </w:pPr>
            <w:r>
              <w:rPr>
                <w:sz w:val="18"/>
              </w:rPr>
              <w:t>&lt;1.1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27" w:right="112"/>
              <w:rPr>
                <w:sz w:val="18"/>
              </w:rPr>
            </w:pPr>
            <w:r>
              <w:rPr>
                <w:sz w:val="18"/>
              </w:rPr>
              <w:t>11</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hAnsi="宋体" w:eastAsia="宋体" w:hint="eastAsia"/>
                <w:sz w:val="18"/>
              </w:rPr>
            </w:pPr>
            <w:r>
              <w:rPr>
                <w:rFonts w:ascii="宋体" w:hAnsi="宋体" w:eastAsia="宋体" w:hint="eastAsia"/>
                <w:sz w:val="18"/>
              </w:rPr>
              <w:t>氯甲烷（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12</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sz w:val="18"/>
              </w:rPr>
              <w:t>1,1-</w:t>
            </w:r>
            <w:r>
              <w:rPr>
                <w:rFonts w:ascii="宋体" w:hAnsi="宋体" w:eastAsia="宋体" w:hint="eastAsia"/>
                <w:sz w:val="18"/>
              </w:rPr>
              <w:t>二氯乙烷（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13</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sz w:val="18"/>
              </w:rPr>
              <w:t>1,2-</w:t>
            </w:r>
            <w:r>
              <w:rPr>
                <w:rFonts w:ascii="宋体" w:hAnsi="宋体" w:eastAsia="宋体" w:hint="eastAsia"/>
                <w:sz w:val="18"/>
              </w:rPr>
              <w:t>二氯乙烷（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&lt;1.3</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14</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9" w:right="259"/>
              <w:rPr>
                <w:rFonts w:ascii="宋体" w:hAnsi="宋体" w:eastAsia="宋体" w:hint="eastAsia"/>
                <w:sz w:val="18"/>
              </w:rPr>
            </w:pPr>
            <w:r>
              <w:rPr>
                <w:sz w:val="18"/>
              </w:rPr>
              <w:t>1,1-</w:t>
            </w:r>
            <w:r>
              <w:rPr>
                <w:rFonts w:ascii="宋体" w:hAnsi="宋体" w:eastAsia="宋体" w:hint="eastAsia"/>
                <w:sz w:val="18"/>
              </w:rPr>
              <w:t>二氯乙烯（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387"/>
              <w:jc w:val="left"/>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60"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15</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顺</w:t>
            </w:r>
            <w:r>
              <w:rPr>
                <w:sz w:val="18"/>
              </w:rPr>
              <w:t>-1,2-</w:t>
            </w:r>
            <w:r>
              <w:rPr>
                <w:rFonts w:ascii="宋体" w:hAnsi="宋体" w:eastAsia="宋体" w:hint="eastAsia"/>
                <w:sz w:val="18"/>
              </w:rPr>
              <w:t>二氯乙烯（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&lt;1.3</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16</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反</w:t>
            </w:r>
            <w:r>
              <w:rPr>
                <w:sz w:val="18"/>
              </w:rPr>
              <w:t>-1,2-</w:t>
            </w:r>
            <w:r>
              <w:rPr>
                <w:rFonts w:ascii="宋体" w:hAnsi="宋体" w:eastAsia="宋体" w:hint="eastAsia"/>
                <w:sz w:val="18"/>
              </w:rPr>
              <w:t>二氯乙烯（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&lt;1.4</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&lt;1.4</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&lt;1.4</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17</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二氯甲烷（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&lt;1.5</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18</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9" w:right="259"/>
              <w:rPr>
                <w:rFonts w:ascii="宋体" w:hAnsi="宋体" w:eastAsia="宋体" w:hint="eastAsia"/>
                <w:sz w:val="18"/>
              </w:rPr>
            </w:pPr>
            <w:r>
              <w:rPr>
                <w:sz w:val="18"/>
              </w:rPr>
              <w:t>1,2-</w:t>
            </w:r>
            <w:r>
              <w:rPr>
                <w:rFonts w:ascii="宋体" w:hAnsi="宋体" w:eastAsia="宋体" w:hint="eastAsia"/>
                <w:sz w:val="18"/>
              </w:rPr>
              <w:t>二氯丙烷（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387"/>
              <w:jc w:val="left"/>
              <w:rPr>
                <w:sz w:val="18"/>
              </w:rPr>
            </w:pPr>
            <w:r>
              <w:rPr>
                <w:sz w:val="18"/>
              </w:rPr>
              <w:t>&lt;1.1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19</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hAnsi="宋体" w:eastAsia="宋体" w:hint="eastAsia"/>
                <w:sz w:val="18"/>
              </w:rPr>
            </w:pPr>
            <w:r>
              <w:rPr>
                <w:sz w:val="18"/>
              </w:rPr>
              <w:t>1,1,1,2-</w:t>
            </w:r>
            <w:r>
              <w:rPr>
                <w:rFonts w:ascii="宋体" w:hAnsi="宋体" w:eastAsia="宋体" w:hint="eastAsia"/>
                <w:sz w:val="18"/>
              </w:rPr>
              <w:t>四氯乙烷（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20</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hAnsi="宋体" w:eastAsia="宋体" w:hint="eastAsia"/>
                <w:sz w:val="18"/>
              </w:rPr>
            </w:pPr>
            <w:r>
              <w:rPr>
                <w:sz w:val="18"/>
              </w:rPr>
              <w:t>1,1,2,2-</w:t>
            </w:r>
            <w:r>
              <w:rPr>
                <w:rFonts w:ascii="宋体" w:hAnsi="宋体" w:eastAsia="宋体" w:hint="eastAsia"/>
                <w:sz w:val="18"/>
              </w:rPr>
              <w:t>四氯乙烷（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21</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四氯乙烯（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&lt;1.4</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387"/>
              <w:jc w:val="left"/>
              <w:rPr>
                <w:sz w:val="18"/>
              </w:rPr>
            </w:pPr>
            <w:r>
              <w:rPr>
                <w:sz w:val="18"/>
              </w:rPr>
              <w:t>&lt;1.4</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&lt;1.4</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22</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7" w:right="259"/>
              <w:rPr>
                <w:rFonts w:ascii="宋体" w:hAnsi="宋体" w:eastAsia="宋体" w:hint="eastAsia"/>
                <w:sz w:val="18"/>
              </w:rPr>
            </w:pPr>
            <w:r>
              <w:rPr>
                <w:sz w:val="18"/>
              </w:rPr>
              <w:t>1,1,1-</w:t>
            </w:r>
            <w:r>
              <w:rPr>
                <w:rFonts w:ascii="宋体" w:hAnsi="宋体" w:eastAsia="宋体" w:hint="eastAsia"/>
                <w:sz w:val="18"/>
              </w:rPr>
              <w:t>三氯乙烷（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387"/>
              <w:jc w:val="left"/>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&lt;1.3</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6" w:hRule="atLeast"/>
        </w:trPr>
        <w:tc>
          <w:tcPr>
            <w:tcW w:w="668" w:type="dxa"/>
            <w:tcBorders>
              <w:top w:val="single" w:sz="6" w:space="0" w:color="000000"/>
              <w:right w:val="single" w:sz="6" w:space="0" w:color="000000"/>
            </w:tcBorders>
          </w:tcPr>
          <w:p>
            <w:pPr>
              <w:pStyle w:val="TableParagraph"/>
              <w:spacing w:before="76"/>
              <w:ind w:left="132" w:right="112"/>
              <w:rPr>
                <w:sz w:val="18"/>
              </w:rPr>
            </w:pPr>
            <w:r>
              <w:rPr>
                <w:sz w:val="18"/>
              </w:rPr>
              <w:t>23</w:t>
            </w:r>
          </w:p>
        </w:tc>
        <w:tc>
          <w:tcPr>
            <w:tcW w:w="2923" w:type="dxa"/>
            <w:tcBorders>
              <w:top w:val="single" w:sz="6" w:space="0" w:color="000000"/>
              <w:left w:val="single" w:sz="6" w:space="0" w:color="000000"/>
              <w:right w:val="single" w:sz="6" w:space="0" w:color="000000"/>
            </w:tcBorders>
          </w:tcPr>
          <w:p>
            <w:pPr>
              <w:pStyle w:val="TableParagraph"/>
              <w:spacing w:before="64"/>
              <w:ind w:left="287" w:right="259"/>
              <w:rPr>
                <w:rFonts w:ascii="宋体" w:hAnsi="宋体" w:eastAsia="宋体" w:hint="eastAsia"/>
                <w:sz w:val="18"/>
              </w:rPr>
            </w:pPr>
            <w:r>
              <w:rPr>
                <w:sz w:val="18"/>
              </w:rPr>
              <w:t>1,1,2-</w:t>
            </w:r>
            <w:r>
              <w:rPr>
                <w:rFonts w:ascii="宋体" w:hAnsi="宋体" w:eastAsia="宋体" w:hint="eastAsia"/>
                <w:sz w:val="18"/>
              </w:rPr>
              <w:t>三氯乙烷（</w:t>
            </w:r>
            <w:r>
              <w:rPr>
                <w:sz w:val="18"/>
              </w:rPr>
              <w:t>μg/kg</w:t>
            </w:r>
            <w:r>
              <w:rPr>
                <w:rFonts w:ascii="宋体" w:hAnsi="宋体" w:eastAsia="宋体" w:hint="eastAsia"/>
                <w:sz w:val="18"/>
              </w:rPr>
              <w:t>）</w:t>
            </w:r>
          </w:p>
        </w:tc>
        <w:tc>
          <w:tcPr>
            <w:tcW w:w="876" w:type="dxa"/>
            <w:tcBorders>
              <w:top w:val="single" w:sz="6" w:space="0" w:color="000000"/>
              <w:left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right w:val="single" w:sz="6" w:space="0" w:color="000000"/>
            </w:tcBorders>
          </w:tcPr>
          <w:p>
            <w:pPr>
              <w:pStyle w:val="TableParagraph"/>
              <w:spacing w:before="76"/>
              <w:ind w:left="170" w:right="135"/>
              <w:rPr>
                <w:sz w:val="18"/>
              </w:rPr>
            </w:pPr>
            <w:r>
              <w:rPr>
                <w:sz w:val="18"/>
              </w:rPr>
              <w:t>&lt;1.2</w:t>
            </w:r>
          </w:p>
        </w:tc>
        <w:tc>
          <w:tcPr>
            <w:tcW w:w="1082" w:type="dxa"/>
            <w:tcBorders>
              <w:top w:val="single" w:sz="6" w:space="0" w:color="000000"/>
              <w:left w:val="single" w:sz="6" w:space="0" w:color="000000"/>
              <w:right w:val="single" w:sz="6" w:space="0" w:color="000000"/>
            </w:tcBorders>
          </w:tcPr>
          <w:p>
            <w:pPr>
              <w:pStyle w:val="TableParagraph"/>
              <w:spacing w:before="76"/>
              <w:ind w:left="387"/>
              <w:jc w:val="left"/>
              <w:rPr>
                <w:sz w:val="18"/>
              </w:rPr>
            </w:pPr>
            <w:r>
              <w:rPr>
                <w:sz w:val="18"/>
              </w:rPr>
              <w:t>&lt;1.2</w:t>
            </w:r>
          </w:p>
        </w:tc>
        <w:tc>
          <w:tcPr>
            <w:tcW w:w="1082" w:type="dxa"/>
            <w:tcBorders>
              <w:top w:val="single" w:sz="6" w:space="0" w:color="000000"/>
              <w:left w:val="single" w:sz="6" w:space="0" w:color="000000"/>
              <w:right w:val="single" w:sz="6" w:space="0" w:color="000000"/>
            </w:tcBorders>
          </w:tcPr>
          <w:p>
            <w:pPr>
              <w:pStyle w:val="TableParagraph"/>
              <w:spacing w:before="76"/>
              <w:ind w:left="101" w:right="66"/>
              <w:rPr>
                <w:sz w:val="18"/>
              </w:rPr>
            </w:pPr>
            <w:r>
              <w:rPr>
                <w:sz w:val="18"/>
              </w:rPr>
              <w:t>&lt;1.2</w:t>
            </w:r>
          </w:p>
        </w:tc>
        <w:tc>
          <w:tcPr>
            <w:tcW w:w="876" w:type="dxa"/>
            <w:tcBorders>
              <w:top w:val="single" w:sz="6" w:space="0" w:color="000000"/>
              <w:left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tcBorders>
          </w:tcPr>
          <w:p>
            <w:pPr>
              <w:pStyle w:val="TableParagraph"/>
              <w:spacing w:before="76"/>
              <w:ind w:left="312" w:right="261"/>
              <w:rPr>
                <w:sz w:val="18"/>
              </w:rPr>
            </w:pPr>
            <w:r>
              <w:rPr>
                <w:sz w:val="18"/>
              </w:rPr>
              <w:t>0%</w:t>
            </w:r>
          </w:p>
        </w:tc>
      </w:tr>
    </w:tbl>
    <w:p>
      <w:pPr>
        <w:spacing w:after="0"/>
        <w:rPr>
          <w:sz w:val="18"/>
        </w:rPr>
        <w:sectPr>
          <w:headerReference w:type="default" r:id="rId61"/>
          <w:footerReference w:type="default" r:id="rId62"/>
          <w:pgSz w:w="16840" w:h="11910" w:orient="landscape"/>
          <w:pgMar w:header="590" w:footer="628" w:top="800" w:bottom="820" w:left="900" w:right="1000"/>
          <w:pgNumType w:start="100"/>
        </w:sectPr>
      </w:pPr>
    </w:p>
    <w:p>
      <w:pPr>
        <w:pStyle w:val="BodyText"/>
        <w:spacing w:line="20" w:lineRule="exact" w:after="19"/>
        <w:ind w:left="196"/>
        <w:rPr>
          <w:sz w:val="2"/>
        </w:rPr>
      </w:pPr>
      <w:r>
        <w:rPr>
          <w:sz w:val="2"/>
        </w:rPr>
        <w:pict>
          <v:group style="width:726pt;height:.75pt;mso-position-horizontal-relative:char;mso-position-vertical-relative:line" coordorigin="0,0" coordsize="14520,15">
            <v:line style="position:absolute" from="0,7" to="14520,7" stroked="true" strokeweight=".72pt" strokecolor="#000000">
              <v:stroke dashstyle="solid"/>
            </v:line>
          </v:group>
        </w:pict>
      </w:r>
      <w:r>
        <w:rPr>
          <w:sz w:val="2"/>
        </w:rPr>
      </w: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68"/>
        <w:gridCol w:w="2923"/>
        <w:gridCol w:w="876"/>
        <w:gridCol w:w="875"/>
        <w:gridCol w:w="875"/>
        <w:gridCol w:w="1084"/>
        <w:gridCol w:w="1082"/>
        <w:gridCol w:w="1082"/>
        <w:gridCol w:w="876"/>
        <w:gridCol w:w="874"/>
        <w:gridCol w:w="1291"/>
        <w:gridCol w:w="1291"/>
        <w:gridCol w:w="876"/>
      </w:tblGrid>
      <w:tr>
        <w:trPr>
          <w:trHeight w:val="748" w:hRule="atLeast"/>
        </w:trPr>
        <w:tc>
          <w:tcPr>
            <w:tcW w:w="668" w:type="dxa"/>
            <w:tcBorders>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32" w:right="112"/>
              <w:rPr>
                <w:rFonts w:ascii="宋体" w:eastAsia="宋体" w:hint="eastAsia"/>
                <w:b/>
                <w:sz w:val="18"/>
              </w:rPr>
            </w:pPr>
            <w:r>
              <w:rPr>
                <w:rFonts w:ascii="宋体" w:eastAsia="宋体" w:hint="eastAsia"/>
                <w:b/>
                <w:sz w:val="18"/>
              </w:rPr>
              <w:t>序号</w:t>
            </w:r>
          </w:p>
        </w:tc>
        <w:tc>
          <w:tcPr>
            <w:tcW w:w="2923"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286" w:right="259"/>
              <w:rPr>
                <w:rFonts w:ascii="宋体" w:eastAsia="宋体" w:hint="eastAsia"/>
                <w:b/>
                <w:sz w:val="18"/>
              </w:rPr>
            </w:pPr>
            <w:r>
              <w:rPr>
                <w:rFonts w:ascii="宋体" w:eastAsia="宋体" w:hint="eastAsia"/>
                <w:b/>
                <w:sz w:val="18"/>
              </w:rPr>
              <w:t>污染物项目</w:t>
            </w:r>
          </w:p>
        </w:tc>
        <w:tc>
          <w:tcPr>
            <w:tcW w:w="876" w:type="dxa"/>
            <w:tcBorders>
              <w:left w:val="single" w:sz="6" w:space="0" w:color="000000"/>
              <w:bottom w:val="single" w:sz="6" w:space="0" w:color="000000"/>
              <w:right w:val="single" w:sz="6" w:space="0" w:color="000000"/>
            </w:tcBorders>
          </w:tcPr>
          <w:p>
            <w:pPr>
              <w:pStyle w:val="TableParagraph"/>
              <w:spacing w:before="79"/>
              <w:ind w:left="174"/>
              <w:jc w:val="left"/>
              <w:rPr>
                <w:rFonts w:ascii="宋体" w:eastAsia="宋体" w:hint="eastAsia"/>
                <w:b/>
                <w:sz w:val="18"/>
              </w:rPr>
            </w:pPr>
            <w:r>
              <w:rPr>
                <w:rFonts w:ascii="宋体" w:eastAsia="宋体" w:hint="eastAsia"/>
                <w:b/>
                <w:w w:val="95"/>
                <w:sz w:val="18"/>
              </w:rPr>
              <w:t>样本数</w:t>
            </w:r>
          </w:p>
          <w:p>
            <w:pPr>
              <w:pStyle w:val="TableParagraph"/>
              <w:spacing w:before="129"/>
              <w:ind w:left="174"/>
              <w:jc w:val="left"/>
              <w:rPr>
                <w:rFonts w:ascii="宋体" w:eastAsia="宋体" w:hint="eastAsia"/>
                <w:b/>
                <w:sz w:val="18"/>
              </w:rPr>
            </w:pPr>
            <w:r>
              <w:rPr>
                <w:rFonts w:ascii="宋体" w:eastAsia="宋体" w:hint="eastAsia"/>
                <w:b/>
                <w:w w:val="95"/>
                <w:sz w:val="18"/>
              </w:rPr>
              <w:t>（个）</w:t>
            </w:r>
          </w:p>
        </w:tc>
        <w:tc>
          <w:tcPr>
            <w:tcW w:w="875" w:type="dxa"/>
            <w:tcBorders>
              <w:left w:val="single" w:sz="6" w:space="0" w:color="000000"/>
              <w:bottom w:val="single" w:sz="6" w:space="0" w:color="000000"/>
              <w:right w:val="single" w:sz="6" w:space="0" w:color="000000"/>
            </w:tcBorders>
          </w:tcPr>
          <w:p>
            <w:pPr>
              <w:pStyle w:val="TableParagraph"/>
              <w:spacing w:before="79"/>
              <w:ind w:left="175"/>
              <w:jc w:val="left"/>
              <w:rPr>
                <w:rFonts w:ascii="宋体" w:eastAsia="宋体" w:hint="eastAsia"/>
                <w:b/>
                <w:sz w:val="18"/>
              </w:rPr>
            </w:pPr>
            <w:r>
              <w:rPr>
                <w:rFonts w:ascii="宋体" w:eastAsia="宋体" w:hint="eastAsia"/>
                <w:b/>
                <w:w w:val="95"/>
                <w:sz w:val="18"/>
              </w:rPr>
              <w:t>检出数</w:t>
            </w:r>
          </w:p>
          <w:p>
            <w:pPr>
              <w:pStyle w:val="TableParagraph"/>
              <w:spacing w:before="129"/>
              <w:ind w:left="175"/>
              <w:jc w:val="left"/>
              <w:rPr>
                <w:rFonts w:ascii="宋体" w:eastAsia="宋体" w:hint="eastAsia"/>
                <w:b/>
                <w:sz w:val="18"/>
              </w:rPr>
            </w:pPr>
            <w:r>
              <w:rPr>
                <w:rFonts w:ascii="宋体" w:eastAsia="宋体" w:hint="eastAsia"/>
                <w:b/>
                <w:w w:val="95"/>
                <w:sz w:val="18"/>
              </w:rPr>
              <w:t>（个）</w:t>
            </w:r>
          </w:p>
        </w:tc>
        <w:tc>
          <w:tcPr>
            <w:tcW w:w="875" w:type="dxa"/>
            <w:tcBorders>
              <w:left w:val="single" w:sz="6" w:space="0" w:color="000000"/>
              <w:bottom w:val="single" w:sz="6" w:space="0" w:color="000000"/>
              <w:right w:val="single" w:sz="6" w:space="0" w:color="000000"/>
            </w:tcBorders>
          </w:tcPr>
          <w:p>
            <w:pPr>
              <w:pStyle w:val="TableParagraph"/>
              <w:spacing w:before="79"/>
              <w:ind w:left="176"/>
              <w:jc w:val="left"/>
              <w:rPr>
                <w:rFonts w:ascii="宋体" w:eastAsia="宋体" w:hint="eastAsia"/>
                <w:b/>
                <w:sz w:val="18"/>
              </w:rPr>
            </w:pPr>
            <w:r>
              <w:rPr>
                <w:rFonts w:ascii="宋体" w:eastAsia="宋体" w:hint="eastAsia"/>
                <w:b/>
                <w:w w:val="95"/>
                <w:sz w:val="18"/>
              </w:rPr>
              <w:t>检出率</w:t>
            </w:r>
          </w:p>
          <w:p>
            <w:pPr>
              <w:pStyle w:val="TableParagraph"/>
              <w:spacing w:before="129"/>
              <w:ind w:left="176"/>
              <w:jc w:val="left"/>
              <w:rPr>
                <w:rFonts w:ascii="宋体" w:eastAsia="宋体" w:hint="eastAsia"/>
                <w:b/>
                <w:sz w:val="18"/>
              </w:rPr>
            </w:pPr>
            <w:r>
              <w:rPr>
                <w:rFonts w:ascii="宋体" w:eastAsia="宋体" w:hint="eastAsia"/>
                <w:b/>
                <w:sz w:val="18"/>
              </w:rPr>
              <w:t>（</w:t>
            </w:r>
            <w:r>
              <w:rPr>
                <w:b/>
                <w:sz w:val="18"/>
              </w:rPr>
              <w:t>%</w:t>
            </w:r>
            <w:r>
              <w:rPr>
                <w:rFonts w:ascii="宋体" w:eastAsia="宋体" w:hint="eastAsia"/>
                <w:b/>
                <w:sz w:val="18"/>
              </w:rPr>
              <w:t>）</w:t>
            </w:r>
          </w:p>
        </w:tc>
        <w:tc>
          <w:tcPr>
            <w:tcW w:w="1084"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71" w:right="135"/>
              <w:rPr>
                <w:rFonts w:ascii="宋体" w:eastAsia="宋体" w:hint="eastAsia"/>
                <w:b/>
                <w:sz w:val="18"/>
              </w:rPr>
            </w:pPr>
            <w:r>
              <w:rPr>
                <w:rFonts w:ascii="宋体" w:eastAsia="宋体" w:hint="eastAsia"/>
                <w:b/>
                <w:sz w:val="18"/>
              </w:rPr>
              <w:t>最小浓度</w:t>
            </w:r>
          </w:p>
        </w:tc>
        <w:tc>
          <w:tcPr>
            <w:tcW w:w="1082"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01" w:right="66"/>
              <w:rPr>
                <w:rFonts w:ascii="宋体" w:eastAsia="宋体" w:hint="eastAsia"/>
                <w:b/>
                <w:sz w:val="18"/>
              </w:rPr>
            </w:pPr>
            <w:r>
              <w:rPr>
                <w:rFonts w:ascii="宋体" w:eastAsia="宋体" w:hint="eastAsia"/>
                <w:b/>
                <w:sz w:val="18"/>
              </w:rPr>
              <w:t>最大浓度</w:t>
            </w:r>
          </w:p>
        </w:tc>
        <w:tc>
          <w:tcPr>
            <w:tcW w:w="1082"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01" w:right="65"/>
              <w:rPr>
                <w:rFonts w:ascii="宋体" w:eastAsia="宋体" w:hint="eastAsia"/>
                <w:b/>
                <w:sz w:val="18"/>
              </w:rPr>
            </w:pPr>
            <w:r>
              <w:rPr>
                <w:rFonts w:ascii="宋体" w:eastAsia="宋体" w:hint="eastAsia"/>
                <w:b/>
                <w:sz w:val="18"/>
              </w:rPr>
              <w:t>平均浓度</w:t>
            </w:r>
          </w:p>
        </w:tc>
        <w:tc>
          <w:tcPr>
            <w:tcW w:w="876"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37" w:right="98"/>
              <w:rPr>
                <w:rFonts w:ascii="宋体" w:eastAsia="宋体" w:hint="eastAsia"/>
                <w:b/>
                <w:sz w:val="18"/>
              </w:rPr>
            </w:pPr>
            <w:r>
              <w:rPr>
                <w:rFonts w:ascii="宋体" w:eastAsia="宋体" w:hint="eastAsia"/>
                <w:b/>
                <w:sz w:val="18"/>
              </w:rPr>
              <w:t>标准差</w:t>
            </w:r>
          </w:p>
        </w:tc>
        <w:tc>
          <w:tcPr>
            <w:tcW w:w="874"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56" w:right="120"/>
              <w:rPr>
                <w:rFonts w:ascii="宋体" w:eastAsia="宋体" w:hint="eastAsia"/>
                <w:b/>
                <w:sz w:val="18"/>
              </w:rPr>
            </w:pPr>
            <w:r>
              <w:rPr>
                <w:rFonts w:ascii="宋体" w:eastAsia="宋体" w:hint="eastAsia"/>
                <w:b/>
                <w:sz w:val="18"/>
              </w:rPr>
              <w:t>筛选值</w:t>
            </w:r>
          </w:p>
        </w:tc>
        <w:tc>
          <w:tcPr>
            <w:tcW w:w="1291" w:type="dxa"/>
            <w:tcBorders>
              <w:left w:val="single" w:sz="6" w:space="0" w:color="000000"/>
              <w:bottom w:val="single" w:sz="6" w:space="0" w:color="000000"/>
              <w:right w:val="single" w:sz="6" w:space="0" w:color="000000"/>
            </w:tcBorders>
          </w:tcPr>
          <w:p>
            <w:pPr>
              <w:pStyle w:val="TableParagraph"/>
              <w:spacing w:before="2"/>
              <w:jc w:val="left"/>
              <w:rPr>
                <w:rFonts w:ascii="宋体"/>
                <w:b/>
                <w:sz w:val="20"/>
              </w:rPr>
            </w:pPr>
          </w:p>
          <w:p>
            <w:pPr>
              <w:pStyle w:val="TableParagraph"/>
              <w:spacing w:before="0"/>
              <w:ind w:left="187" w:right="145"/>
              <w:rPr>
                <w:rFonts w:ascii="宋体" w:eastAsia="宋体" w:hint="eastAsia"/>
                <w:b/>
                <w:sz w:val="18"/>
              </w:rPr>
            </w:pPr>
            <w:r>
              <w:rPr>
                <w:rFonts w:ascii="宋体" w:eastAsia="宋体" w:hint="eastAsia"/>
                <w:b/>
                <w:sz w:val="18"/>
              </w:rPr>
              <w:t>最大比标值</w:t>
            </w:r>
          </w:p>
        </w:tc>
        <w:tc>
          <w:tcPr>
            <w:tcW w:w="1291" w:type="dxa"/>
            <w:tcBorders>
              <w:left w:val="single" w:sz="6" w:space="0" w:color="000000"/>
              <w:bottom w:val="single" w:sz="6" w:space="0" w:color="000000"/>
              <w:right w:val="single" w:sz="6" w:space="0" w:color="000000"/>
            </w:tcBorders>
          </w:tcPr>
          <w:p>
            <w:pPr>
              <w:pStyle w:val="TableParagraph"/>
              <w:spacing w:before="79"/>
              <w:ind w:left="297"/>
              <w:jc w:val="left"/>
              <w:rPr>
                <w:rFonts w:ascii="宋体" w:eastAsia="宋体" w:hint="eastAsia"/>
                <w:b/>
                <w:sz w:val="18"/>
              </w:rPr>
            </w:pPr>
            <w:r>
              <w:rPr>
                <w:rFonts w:ascii="宋体" w:eastAsia="宋体" w:hint="eastAsia"/>
                <w:b/>
                <w:sz w:val="18"/>
              </w:rPr>
              <w:t>最大超标</w:t>
            </w:r>
          </w:p>
          <w:p>
            <w:pPr>
              <w:pStyle w:val="TableParagraph"/>
              <w:spacing w:before="129"/>
              <w:ind w:left="208"/>
              <w:jc w:val="left"/>
              <w:rPr>
                <w:rFonts w:ascii="宋体" w:eastAsia="宋体" w:hint="eastAsia"/>
                <w:b/>
                <w:sz w:val="18"/>
              </w:rPr>
            </w:pPr>
            <w:r>
              <w:rPr>
                <w:rFonts w:ascii="宋体" w:eastAsia="宋体" w:hint="eastAsia"/>
                <w:b/>
                <w:sz w:val="18"/>
              </w:rPr>
              <w:t>倍数（倍）</w:t>
            </w:r>
          </w:p>
        </w:tc>
        <w:tc>
          <w:tcPr>
            <w:tcW w:w="876" w:type="dxa"/>
            <w:tcBorders>
              <w:left w:val="single" w:sz="6" w:space="0" w:color="000000"/>
              <w:bottom w:val="single" w:sz="6" w:space="0" w:color="000000"/>
            </w:tcBorders>
          </w:tcPr>
          <w:p>
            <w:pPr>
              <w:pStyle w:val="TableParagraph"/>
              <w:spacing w:before="79"/>
              <w:ind w:left="179"/>
              <w:jc w:val="left"/>
              <w:rPr>
                <w:rFonts w:ascii="宋体" w:eastAsia="宋体" w:hint="eastAsia"/>
                <w:b/>
                <w:sz w:val="18"/>
              </w:rPr>
            </w:pPr>
            <w:r>
              <w:rPr>
                <w:rFonts w:ascii="宋体" w:eastAsia="宋体" w:hint="eastAsia"/>
                <w:b/>
                <w:w w:val="95"/>
                <w:sz w:val="18"/>
              </w:rPr>
              <w:t>超标率</w:t>
            </w:r>
          </w:p>
          <w:p>
            <w:pPr>
              <w:pStyle w:val="TableParagraph"/>
              <w:spacing w:before="129"/>
              <w:ind w:left="179"/>
              <w:jc w:val="left"/>
              <w:rPr>
                <w:rFonts w:ascii="宋体" w:eastAsia="宋体" w:hint="eastAsia"/>
                <w:b/>
                <w:sz w:val="18"/>
              </w:rPr>
            </w:pPr>
            <w:r>
              <w:rPr>
                <w:rFonts w:ascii="宋体" w:eastAsia="宋体" w:hint="eastAsia"/>
                <w:b/>
                <w:sz w:val="18"/>
              </w:rPr>
              <w:t>（</w:t>
            </w:r>
            <w:r>
              <w:rPr>
                <w:b/>
                <w:sz w:val="18"/>
              </w:rPr>
              <w:t>%</w:t>
            </w:r>
            <w:r>
              <w:rPr>
                <w:rFonts w:ascii="宋体" w:eastAsia="宋体" w:hint="eastAsia"/>
                <w:b/>
                <w:sz w:val="18"/>
              </w:rPr>
              <w:t>）</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24</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三氯乙烯（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25</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7" w:right="259"/>
              <w:rPr>
                <w:rFonts w:ascii="宋体" w:hAnsi="宋体" w:eastAsia="宋体" w:hint="eastAsia"/>
                <w:sz w:val="18"/>
              </w:rPr>
            </w:pPr>
            <w:r>
              <w:rPr>
                <w:sz w:val="18"/>
              </w:rPr>
              <w:t>1,2,3-</w:t>
            </w:r>
            <w:r>
              <w:rPr>
                <w:rFonts w:ascii="宋体" w:hAnsi="宋体" w:eastAsia="宋体" w:hint="eastAsia"/>
                <w:sz w:val="18"/>
              </w:rPr>
              <w:t>三氯丙烷（</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7"/>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26</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hAnsi="宋体" w:eastAsia="宋体" w:hint="eastAsia"/>
                <w:sz w:val="18"/>
              </w:rPr>
            </w:pPr>
            <w:r>
              <w:rPr>
                <w:rFonts w:ascii="宋体" w:hAnsi="宋体" w:eastAsia="宋体" w:hint="eastAsia"/>
                <w:sz w:val="18"/>
              </w:rPr>
              <w:t>氯乙烯（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27</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hAnsi="宋体" w:eastAsia="宋体" w:hint="eastAsia"/>
                <w:sz w:val="18"/>
              </w:rPr>
            </w:pPr>
            <w:r>
              <w:rPr>
                <w:rFonts w:ascii="宋体" w:hAnsi="宋体" w:eastAsia="宋体" w:hint="eastAsia"/>
                <w:sz w:val="18"/>
              </w:rPr>
              <w:t>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&lt;1.9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7"/>
              <w:ind w:left="132" w:right="112"/>
              <w:rPr>
                <w:sz w:val="18"/>
              </w:rPr>
            </w:pPr>
            <w:r>
              <w:rPr>
                <w:sz w:val="18"/>
              </w:rPr>
              <w:t>28</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5"/>
              <w:ind w:left="289" w:right="259"/>
              <w:rPr>
                <w:rFonts w:ascii="宋体" w:hAnsi="宋体" w:eastAsia="宋体" w:hint="eastAsia"/>
                <w:sz w:val="18"/>
              </w:rPr>
            </w:pPr>
            <w:r>
              <w:rPr>
                <w:rFonts w:ascii="宋体" w:hAnsi="宋体" w:eastAsia="宋体" w:hint="eastAsia"/>
                <w:sz w:val="18"/>
              </w:rPr>
              <w:t>氯苯（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7"/>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67"/>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7"/>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7"/>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29</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7" w:right="259"/>
              <w:rPr>
                <w:rFonts w:ascii="宋体" w:hAnsi="宋体" w:eastAsia="宋体" w:hint="eastAsia"/>
                <w:sz w:val="18"/>
              </w:rPr>
            </w:pPr>
            <w:r>
              <w:rPr>
                <w:sz w:val="18"/>
              </w:rPr>
              <w:t>1,2-</w:t>
            </w:r>
            <w:r>
              <w:rPr>
                <w:rFonts w:ascii="宋体" w:hAnsi="宋体" w:eastAsia="宋体" w:hint="eastAsia"/>
                <w:sz w:val="18"/>
              </w:rPr>
              <w:t>二氯苯（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7"/>
              <w:rPr>
                <w:sz w:val="18"/>
              </w:rPr>
            </w:pPr>
            <w:r>
              <w:rPr>
                <w:sz w:val="18"/>
              </w:rPr>
              <w:t>&lt;1.5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&lt;1.5</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30</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hAnsi="宋体" w:eastAsia="宋体" w:hint="eastAsia"/>
                <w:sz w:val="18"/>
              </w:rPr>
            </w:pPr>
            <w:r>
              <w:rPr>
                <w:sz w:val="18"/>
              </w:rPr>
              <w:t>1,4-</w:t>
            </w:r>
            <w:r>
              <w:rPr>
                <w:rFonts w:ascii="宋体" w:hAnsi="宋体" w:eastAsia="宋体" w:hint="eastAsia"/>
                <w:sz w:val="18"/>
              </w:rPr>
              <w:t>二氯苯（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&lt;1.5</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&lt;1.5</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31</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乙苯（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32</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hAnsi="宋体" w:eastAsia="宋体" w:hint="eastAsia"/>
                <w:sz w:val="18"/>
              </w:rPr>
            </w:pPr>
            <w:r>
              <w:rPr>
                <w:rFonts w:ascii="宋体" w:hAnsi="宋体" w:eastAsia="宋体" w:hint="eastAsia"/>
                <w:sz w:val="18"/>
              </w:rPr>
              <w:t>苯乙烯（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&lt;1.1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33</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9" w:right="259"/>
              <w:rPr>
                <w:rFonts w:ascii="宋体" w:hAnsi="宋体" w:eastAsia="宋体" w:hint="eastAsia"/>
                <w:sz w:val="18"/>
              </w:rPr>
            </w:pPr>
            <w:r>
              <w:rPr>
                <w:rFonts w:ascii="宋体" w:hAnsi="宋体" w:eastAsia="宋体" w:hint="eastAsia"/>
                <w:sz w:val="18"/>
              </w:rPr>
              <w:t>甲苯（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7"/>
              <w:rPr>
                <w:sz w:val="18"/>
              </w:rPr>
            </w:pPr>
            <w:r>
              <w:rPr>
                <w:sz w:val="18"/>
              </w:rPr>
              <w:t>&lt;1.3</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&lt;1.3</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7"/>
              <w:ind w:left="132" w:right="112"/>
              <w:rPr>
                <w:sz w:val="18"/>
              </w:rPr>
            </w:pPr>
            <w:r>
              <w:rPr>
                <w:sz w:val="18"/>
              </w:rPr>
              <w:t>34</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5"/>
              <w:ind w:left="289" w:right="259"/>
              <w:rPr>
                <w:rFonts w:ascii="宋体" w:hAnsi="宋体" w:eastAsia="宋体" w:hint="eastAsia"/>
                <w:sz w:val="18"/>
              </w:rPr>
            </w:pPr>
            <w:r>
              <w:rPr>
                <w:rFonts w:ascii="宋体" w:hAnsi="宋体" w:eastAsia="宋体" w:hint="eastAsia"/>
                <w:sz w:val="18"/>
              </w:rPr>
              <w:t>间二甲苯</w:t>
            </w:r>
            <w:r>
              <w:rPr>
                <w:sz w:val="18"/>
              </w:rPr>
              <w:t>+</w:t>
            </w:r>
            <w:r>
              <w:rPr>
                <w:rFonts w:ascii="宋体" w:hAnsi="宋体" w:eastAsia="宋体" w:hint="eastAsia"/>
                <w:sz w:val="18"/>
              </w:rPr>
              <w:t>对二甲苯（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7"/>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67"/>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7"/>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7"/>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35</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hAnsi="宋体" w:eastAsia="宋体" w:hint="eastAsia"/>
                <w:sz w:val="18"/>
              </w:rPr>
            </w:pPr>
            <w:r>
              <w:rPr>
                <w:rFonts w:ascii="宋体" w:hAnsi="宋体" w:eastAsia="宋体" w:hint="eastAsia"/>
                <w:sz w:val="18"/>
              </w:rPr>
              <w:t>邻二甲苯（</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&lt;1.2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&lt;1.2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6"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36</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硝基苯（</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&lt;0.09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&lt;0.09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&lt;0.09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37</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9" w:right="259"/>
              <w:rPr>
                <w:rFonts w:ascii="宋体" w:hAnsi="宋体" w:eastAsia="宋体" w:hint="eastAsia"/>
                <w:sz w:val="18"/>
              </w:rPr>
            </w:pPr>
            <w:r>
              <w:rPr>
                <w:rFonts w:ascii="宋体" w:hAnsi="宋体" w:eastAsia="宋体" w:hint="eastAsia"/>
                <w:sz w:val="18"/>
              </w:rPr>
              <w:t>苯胺（</w:t>
            </w:r>
            <w:r>
              <w:rPr>
                <w:sz w:val="18"/>
              </w:rPr>
              <w:t>μg/kg</w:t>
            </w:r>
            <w:r>
              <w:rPr>
                <w:rFonts w:ascii="宋体" w:hAns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7"/>
              <w:rPr>
                <w:sz w:val="18"/>
              </w:rPr>
            </w:pPr>
            <w:r>
              <w:rPr>
                <w:sz w:val="18"/>
              </w:rPr>
              <w:t>&lt;1.0</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&lt;1.0</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38</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eastAsia="宋体" w:hint="eastAsia"/>
                <w:sz w:val="18"/>
              </w:rPr>
            </w:pPr>
            <w:r>
              <w:rPr>
                <w:sz w:val="18"/>
              </w:rPr>
              <w:t>2-</w:t>
            </w:r>
            <w:r>
              <w:rPr>
                <w:rFonts w:ascii="宋体" w:eastAsia="宋体" w:hint="eastAsia"/>
                <w:sz w:val="18"/>
              </w:rPr>
              <w:t>氯酚（</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&lt;0.06</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&lt;0.06</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&lt;0.06</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39</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9" w:right="259"/>
              <w:rPr>
                <w:rFonts w:ascii="宋体" w:eastAsia="宋体" w:hint="eastAsia"/>
                <w:sz w:val="18"/>
              </w:rPr>
            </w:pPr>
            <w:r>
              <w:rPr>
                <w:rFonts w:ascii="宋体" w:eastAsia="宋体" w:hint="eastAsia"/>
                <w:sz w:val="18"/>
              </w:rPr>
              <w:t>苯并</w:t>
            </w:r>
            <w:r>
              <w:rPr>
                <w:sz w:val="18"/>
              </w:rPr>
              <w:t>[a]</w:t>
            </w:r>
            <w:r>
              <w:rPr>
                <w:rFonts w:ascii="宋体" w:eastAsia="宋体" w:hint="eastAsia"/>
                <w:sz w:val="18"/>
              </w:rPr>
              <w:t>蒽（</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7" w:hRule="atLeast"/>
        </w:trPr>
        <w:tc>
          <w:tcPr>
            <w:tcW w:w="668" w:type="dxa"/>
            <w:tcBorders>
              <w:top w:val="single" w:sz="6" w:space="0" w:color="000000"/>
              <w:bottom w:val="single" w:sz="6" w:space="0" w:color="000000"/>
              <w:right w:val="single" w:sz="6" w:space="0" w:color="000000"/>
            </w:tcBorders>
          </w:tcPr>
          <w:p>
            <w:pPr>
              <w:pStyle w:val="TableParagraph"/>
              <w:spacing w:before="77"/>
              <w:ind w:left="132" w:right="112"/>
              <w:rPr>
                <w:sz w:val="18"/>
              </w:rPr>
            </w:pPr>
            <w:r>
              <w:rPr>
                <w:sz w:val="18"/>
              </w:rPr>
              <w:t>40</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5"/>
              <w:ind w:left="289" w:right="259"/>
              <w:rPr>
                <w:rFonts w:ascii="宋体" w:eastAsia="宋体" w:hint="eastAsia"/>
                <w:sz w:val="18"/>
              </w:rPr>
            </w:pPr>
            <w:r>
              <w:rPr>
                <w:rFonts w:ascii="宋体" w:eastAsia="宋体" w:hint="eastAsia"/>
                <w:sz w:val="18"/>
              </w:rPr>
              <w:t>苯并</w:t>
            </w:r>
            <w:r>
              <w:rPr>
                <w:sz w:val="18"/>
              </w:rPr>
              <w:t>[a]</w:t>
            </w:r>
            <w:r>
              <w:rPr>
                <w:rFonts w:ascii="宋体" w:eastAsia="宋体" w:hint="eastAsia"/>
                <w:sz w:val="18"/>
              </w:rPr>
              <w:t>芘（</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7"/>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7"/>
              <w:ind w:left="170" w:right="135"/>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67"/>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7"/>
              <w:ind w:left="101" w:right="66"/>
              <w:rPr>
                <w:sz w:val="18"/>
              </w:rPr>
            </w:pPr>
            <w:r>
              <w:rPr>
                <w:sz w:val="18"/>
              </w:rPr>
              <w:t>&lt;0.1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7"/>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7"/>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7"/>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7"/>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41</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7" w:right="259"/>
              <w:rPr>
                <w:rFonts w:ascii="宋体" w:eastAsia="宋体" w:hint="eastAsia"/>
                <w:sz w:val="18"/>
              </w:rPr>
            </w:pPr>
            <w:r>
              <w:rPr>
                <w:rFonts w:ascii="宋体" w:eastAsia="宋体" w:hint="eastAsia"/>
                <w:sz w:val="18"/>
              </w:rPr>
              <w:t>苯并</w:t>
            </w:r>
            <w:r>
              <w:rPr>
                <w:sz w:val="18"/>
              </w:rPr>
              <w:t>[b]</w:t>
            </w:r>
            <w:r>
              <w:rPr>
                <w:rFonts w:ascii="宋体" w:eastAsia="宋体" w:hint="eastAsia"/>
                <w:sz w:val="18"/>
              </w:rPr>
              <w:t>荧蒽（</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&lt;0.2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7"/>
              <w:rPr>
                <w:sz w:val="18"/>
              </w:rPr>
            </w:pPr>
            <w:r>
              <w:rPr>
                <w:sz w:val="18"/>
              </w:rPr>
              <w:t>&lt;0.2</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&lt;0.2</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42</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苯并</w:t>
            </w:r>
            <w:r>
              <w:rPr>
                <w:sz w:val="18"/>
              </w:rPr>
              <w:t>[k]</w:t>
            </w:r>
            <w:r>
              <w:rPr>
                <w:rFonts w:ascii="宋体" w:eastAsia="宋体" w:hint="eastAsia"/>
                <w:sz w:val="18"/>
              </w:rPr>
              <w:t>荧蒽（</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43</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䓛（</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6"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44</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二苯并</w:t>
            </w:r>
            <w:r>
              <w:rPr>
                <w:sz w:val="18"/>
              </w:rPr>
              <w:t>[a,h]</w:t>
            </w:r>
            <w:r>
              <w:rPr>
                <w:rFonts w:ascii="宋体" w:eastAsia="宋体" w:hint="eastAsia"/>
                <w:sz w:val="18"/>
              </w:rPr>
              <w:t>蒽（</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9"/>
              <w:ind w:left="132" w:right="112"/>
              <w:rPr>
                <w:sz w:val="18"/>
              </w:rPr>
            </w:pPr>
            <w:r>
              <w:rPr>
                <w:sz w:val="18"/>
              </w:rPr>
              <w:t>45</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7"/>
              <w:ind w:left="287" w:right="259"/>
              <w:rPr>
                <w:rFonts w:ascii="宋体" w:eastAsia="宋体" w:hint="eastAsia"/>
                <w:sz w:val="18"/>
              </w:rPr>
            </w:pPr>
            <w:r>
              <w:rPr>
                <w:rFonts w:ascii="宋体" w:eastAsia="宋体" w:hint="eastAsia"/>
                <w:sz w:val="18"/>
              </w:rPr>
              <w:t>茚并</w:t>
            </w:r>
            <w:r>
              <w:rPr>
                <w:sz w:val="18"/>
              </w:rPr>
              <w:t>[1,2,3-c,d]</w:t>
            </w:r>
            <w:r>
              <w:rPr>
                <w:rFonts w:ascii="宋体" w:eastAsia="宋体" w:hint="eastAsia"/>
                <w:sz w:val="18"/>
              </w:rPr>
              <w:t>芘（</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9"/>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9"/>
              <w:ind w:left="170" w:right="135"/>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7"/>
              <w:rPr>
                <w:sz w:val="18"/>
              </w:rPr>
            </w:pPr>
            <w:r>
              <w:rPr>
                <w:sz w:val="18"/>
              </w:rPr>
              <w:t>&lt;0.1</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9"/>
              <w:ind w:left="101" w:right="66"/>
              <w:rPr>
                <w:sz w:val="18"/>
              </w:rPr>
            </w:pPr>
            <w:r>
              <w:rPr>
                <w:sz w:val="18"/>
              </w:rPr>
              <w:t>&lt;0.1</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9"/>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9"/>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9"/>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9"/>
              <w:ind w:left="312" w:right="261"/>
              <w:rPr>
                <w:sz w:val="18"/>
              </w:rPr>
            </w:pPr>
            <w:r>
              <w:rPr>
                <w:sz w:val="18"/>
              </w:rPr>
              <w:t>0%</w:t>
            </w:r>
          </w:p>
        </w:tc>
      </w:tr>
      <w:tr>
        <w:trPr>
          <w:trHeight w:val="359" w:hRule="atLeast"/>
        </w:trPr>
        <w:tc>
          <w:tcPr>
            <w:tcW w:w="668" w:type="dxa"/>
            <w:tcBorders>
              <w:top w:val="single" w:sz="6" w:space="0" w:color="000000"/>
              <w:bottom w:val="single" w:sz="6" w:space="0" w:color="000000"/>
              <w:right w:val="single" w:sz="6" w:space="0" w:color="000000"/>
            </w:tcBorders>
          </w:tcPr>
          <w:p>
            <w:pPr>
              <w:pStyle w:val="TableParagraph"/>
              <w:spacing w:before="76"/>
              <w:ind w:left="132" w:right="112"/>
              <w:rPr>
                <w:sz w:val="18"/>
              </w:rPr>
            </w:pPr>
            <w:r>
              <w:rPr>
                <w:sz w:val="18"/>
              </w:rPr>
              <w:t>46</w:t>
            </w:r>
          </w:p>
        </w:tc>
        <w:tc>
          <w:tcPr>
            <w:tcW w:w="2923" w:type="dxa"/>
            <w:tcBorders>
              <w:top w:val="single" w:sz="6" w:space="0" w:color="000000"/>
              <w:left w:val="single" w:sz="6" w:space="0" w:color="000000"/>
              <w:bottom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sz w:val="18"/>
              </w:rPr>
              <w:t>萘（</w:t>
            </w:r>
            <w:r>
              <w:rPr>
                <w:sz w:val="18"/>
              </w:rPr>
              <w:t>mg/kg</w:t>
            </w:r>
            <w:r>
              <w:rPr>
                <w:rFonts w:ascii="宋体" w:eastAsia="宋体" w:hint="eastAsia"/>
                <w:sz w:val="18"/>
              </w:rPr>
              <w:t>）</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bottom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bottom w:val="single" w:sz="6" w:space="0" w:color="000000"/>
              <w:right w:val="single" w:sz="6" w:space="0" w:color="000000"/>
            </w:tcBorders>
          </w:tcPr>
          <w:p>
            <w:pPr>
              <w:pStyle w:val="TableParagraph"/>
              <w:spacing w:before="76"/>
              <w:ind w:left="170" w:right="135"/>
              <w:rPr>
                <w:sz w:val="18"/>
              </w:rPr>
            </w:pPr>
            <w:r>
              <w:rPr>
                <w:sz w:val="18"/>
              </w:rPr>
              <w:t>&lt;0.09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7"/>
              <w:rPr>
                <w:sz w:val="18"/>
              </w:rPr>
            </w:pPr>
            <w:r>
              <w:rPr>
                <w:sz w:val="18"/>
              </w:rPr>
              <w:t>&lt;0.09</w:t>
            </w:r>
          </w:p>
        </w:tc>
        <w:tc>
          <w:tcPr>
            <w:tcW w:w="1082" w:type="dxa"/>
            <w:tcBorders>
              <w:top w:val="single" w:sz="6" w:space="0" w:color="000000"/>
              <w:left w:val="single" w:sz="6" w:space="0" w:color="000000"/>
              <w:bottom w:val="single" w:sz="6" w:space="0" w:color="000000"/>
              <w:right w:val="single" w:sz="6" w:space="0" w:color="000000"/>
            </w:tcBorders>
          </w:tcPr>
          <w:p>
            <w:pPr>
              <w:pStyle w:val="TableParagraph"/>
              <w:spacing w:before="76"/>
              <w:ind w:left="101" w:right="66"/>
              <w:rPr>
                <w:sz w:val="18"/>
              </w:rPr>
            </w:pPr>
            <w:r>
              <w:rPr>
                <w:sz w:val="18"/>
              </w:rPr>
              <w:t>&lt;0.09</w:t>
            </w:r>
          </w:p>
        </w:tc>
        <w:tc>
          <w:tcPr>
            <w:tcW w:w="876" w:type="dxa"/>
            <w:tcBorders>
              <w:top w:val="single" w:sz="6" w:space="0" w:color="000000"/>
              <w:left w:val="single" w:sz="6" w:space="0" w:color="000000"/>
              <w:bottom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bottom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bottom w:val="single" w:sz="6" w:space="0" w:color="000000"/>
            </w:tcBorders>
          </w:tcPr>
          <w:p>
            <w:pPr>
              <w:pStyle w:val="TableParagraph"/>
              <w:spacing w:before="76"/>
              <w:ind w:left="312" w:right="261"/>
              <w:rPr>
                <w:sz w:val="18"/>
              </w:rPr>
            </w:pPr>
            <w:r>
              <w:rPr>
                <w:sz w:val="18"/>
              </w:rPr>
              <w:t>0%</w:t>
            </w:r>
          </w:p>
        </w:tc>
      </w:tr>
      <w:tr>
        <w:trPr>
          <w:trHeight w:val="356" w:hRule="atLeast"/>
        </w:trPr>
        <w:tc>
          <w:tcPr>
            <w:tcW w:w="668" w:type="dxa"/>
            <w:tcBorders>
              <w:top w:val="single" w:sz="6" w:space="0" w:color="000000"/>
              <w:right w:val="single" w:sz="6" w:space="0" w:color="000000"/>
            </w:tcBorders>
          </w:tcPr>
          <w:p>
            <w:pPr>
              <w:pStyle w:val="TableParagraph"/>
              <w:spacing w:before="76"/>
              <w:ind w:left="132" w:right="112"/>
              <w:rPr>
                <w:sz w:val="18"/>
              </w:rPr>
            </w:pPr>
            <w:r>
              <w:rPr>
                <w:sz w:val="18"/>
              </w:rPr>
              <w:t>47</w:t>
            </w:r>
          </w:p>
        </w:tc>
        <w:tc>
          <w:tcPr>
            <w:tcW w:w="2923" w:type="dxa"/>
            <w:tcBorders>
              <w:top w:val="single" w:sz="6" w:space="0" w:color="000000"/>
              <w:left w:val="single" w:sz="6" w:space="0" w:color="000000"/>
              <w:right w:val="single" w:sz="6" w:space="0" w:color="000000"/>
            </w:tcBorders>
          </w:tcPr>
          <w:p>
            <w:pPr>
              <w:pStyle w:val="TableParagraph"/>
              <w:spacing w:before="64"/>
              <w:ind w:left="287" w:right="259"/>
              <w:rPr>
                <w:rFonts w:ascii="宋体" w:eastAsia="宋体" w:hint="eastAsia"/>
                <w:sz w:val="18"/>
              </w:rPr>
            </w:pPr>
            <w:r>
              <w:rPr>
                <w:rFonts w:ascii="宋体" w:eastAsia="宋体" w:hint="eastAsia"/>
                <w:position w:val="1"/>
                <w:sz w:val="18"/>
              </w:rPr>
              <w:t>总石油烃 </w:t>
            </w:r>
            <w:r>
              <w:rPr>
                <w:position w:val="1"/>
                <w:sz w:val="18"/>
              </w:rPr>
              <w:t>C</w:t>
            </w:r>
            <w:r>
              <w:rPr>
                <w:sz w:val="12"/>
              </w:rPr>
              <w:t>10-40</w:t>
            </w:r>
            <w:r>
              <w:rPr>
                <w:rFonts w:ascii="宋体" w:eastAsia="宋体" w:hint="eastAsia"/>
                <w:position w:val="1"/>
                <w:sz w:val="18"/>
              </w:rPr>
              <w:t>（</w:t>
            </w:r>
            <w:r>
              <w:rPr>
                <w:position w:val="1"/>
                <w:sz w:val="18"/>
              </w:rPr>
              <w:t>mg/kg</w:t>
            </w:r>
            <w:r>
              <w:rPr>
                <w:rFonts w:ascii="宋体" w:eastAsia="宋体" w:hint="eastAsia"/>
                <w:position w:val="1"/>
                <w:sz w:val="18"/>
              </w:rPr>
              <w:t>）</w:t>
            </w:r>
          </w:p>
        </w:tc>
        <w:tc>
          <w:tcPr>
            <w:tcW w:w="876" w:type="dxa"/>
            <w:tcBorders>
              <w:top w:val="single" w:sz="6" w:space="0" w:color="000000"/>
              <w:left w:val="single" w:sz="6" w:space="0" w:color="000000"/>
              <w:right w:val="single" w:sz="6" w:space="0" w:color="000000"/>
            </w:tcBorders>
          </w:tcPr>
          <w:p>
            <w:pPr>
              <w:pStyle w:val="TableParagraph"/>
              <w:spacing w:before="76"/>
              <w:ind w:left="29"/>
              <w:rPr>
                <w:sz w:val="18"/>
              </w:rPr>
            </w:pPr>
            <w:r>
              <w:rPr>
                <w:sz w:val="18"/>
              </w:rPr>
              <w:t>3</w:t>
            </w:r>
          </w:p>
        </w:tc>
        <w:tc>
          <w:tcPr>
            <w:tcW w:w="875" w:type="dxa"/>
            <w:tcBorders>
              <w:top w:val="single" w:sz="6" w:space="0" w:color="000000"/>
              <w:left w:val="single" w:sz="6" w:space="0" w:color="000000"/>
              <w:right w:val="single" w:sz="6" w:space="0" w:color="000000"/>
            </w:tcBorders>
          </w:tcPr>
          <w:p>
            <w:pPr>
              <w:pStyle w:val="TableParagraph"/>
              <w:spacing w:before="76"/>
              <w:ind w:left="31"/>
              <w:rPr>
                <w:sz w:val="18"/>
              </w:rPr>
            </w:pPr>
            <w:r>
              <w:rPr>
                <w:sz w:val="18"/>
              </w:rPr>
              <w:t>0</w:t>
            </w:r>
          </w:p>
        </w:tc>
        <w:tc>
          <w:tcPr>
            <w:tcW w:w="875" w:type="dxa"/>
            <w:tcBorders>
              <w:top w:val="single" w:sz="6" w:space="0" w:color="000000"/>
              <w:left w:val="single" w:sz="6" w:space="0" w:color="000000"/>
              <w:right w:val="single" w:sz="6" w:space="0" w:color="000000"/>
            </w:tcBorders>
          </w:tcPr>
          <w:p>
            <w:pPr>
              <w:pStyle w:val="TableParagraph"/>
              <w:spacing w:before="76"/>
              <w:ind w:left="110" w:right="73"/>
              <w:rPr>
                <w:sz w:val="18"/>
              </w:rPr>
            </w:pPr>
            <w:r>
              <w:rPr>
                <w:sz w:val="18"/>
              </w:rPr>
              <w:t>0%</w:t>
            </w:r>
          </w:p>
        </w:tc>
        <w:tc>
          <w:tcPr>
            <w:tcW w:w="1084" w:type="dxa"/>
            <w:tcBorders>
              <w:top w:val="single" w:sz="6" w:space="0" w:color="000000"/>
              <w:left w:val="single" w:sz="6" w:space="0" w:color="000000"/>
              <w:right w:val="single" w:sz="6" w:space="0" w:color="000000"/>
            </w:tcBorders>
          </w:tcPr>
          <w:p>
            <w:pPr>
              <w:pStyle w:val="TableParagraph"/>
              <w:spacing w:before="76"/>
              <w:ind w:left="167" w:right="135"/>
              <w:rPr>
                <w:sz w:val="18"/>
              </w:rPr>
            </w:pPr>
            <w:r>
              <w:rPr>
                <w:sz w:val="18"/>
              </w:rPr>
              <w:t>&lt;6</w:t>
            </w:r>
          </w:p>
        </w:tc>
        <w:tc>
          <w:tcPr>
            <w:tcW w:w="1082" w:type="dxa"/>
            <w:tcBorders>
              <w:top w:val="single" w:sz="6" w:space="0" w:color="000000"/>
              <w:left w:val="single" w:sz="6" w:space="0" w:color="000000"/>
              <w:right w:val="single" w:sz="6" w:space="0" w:color="000000"/>
            </w:tcBorders>
          </w:tcPr>
          <w:p>
            <w:pPr>
              <w:pStyle w:val="TableParagraph"/>
              <w:spacing w:before="76"/>
              <w:ind w:left="101" w:right="69"/>
              <w:rPr>
                <w:sz w:val="18"/>
              </w:rPr>
            </w:pPr>
            <w:r>
              <w:rPr>
                <w:sz w:val="18"/>
              </w:rPr>
              <w:t>&lt;6</w:t>
            </w:r>
          </w:p>
        </w:tc>
        <w:tc>
          <w:tcPr>
            <w:tcW w:w="1082" w:type="dxa"/>
            <w:tcBorders>
              <w:top w:val="single" w:sz="6" w:space="0" w:color="000000"/>
              <w:left w:val="single" w:sz="6" w:space="0" w:color="000000"/>
              <w:right w:val="single" w:sz="6" w:space="0" w:color="000000"/>
            </w:tcBorders>
          </w:tcPr>
          <w:p>
            <w:pPr>
              <w:pStyle w:val="TableParagraph"/>
              <w:spacing w:before="76"/>
              <w:ind w:left="101" w:right="69"/>
              <w:rPr>
                <w:sz w:val="18"/>
              </w:rPr>
            </w:pPr>
            <w:r>
              <w:rPr>
                <w:sz w:val="18"/>
              </w:rPr>
              <w:t>&lt;6</w:t>
            </w:r>
          </w:p>
        </w:tc>
        <w:tc>
          <w:tcPr>
            <w:tcW w:w="876" w:type="dxa"/>
            <w:tcBorders>
              <w:top w:val="single" w:sz="6" w:space="0" w:color="000000"/>
              <w:left w:val="single" w:sz="6" w:space="0" w:color="000000"/>
              <w:right w:val="single" w:sz="6" w:space="0" w:color="000000"/>
            </w:tcBorders>
          </w:tcPr>
          <w:p>
            <w:pPr>
              <w:pStyle w:val="TableParagraph"/>
              <w:spacing w:before="76"/>
              <w:ind w:left="38"/>
              <w:rPr>
                <w:sz w:val="18"/>
              </w:rPr>
            </w:pPr>
            <w:r>
              <w:rPr>
                <w:sz w:val="18"/>
              </w:rPr>
              <w:t>0</w:t>
            </w:r>
          </w:p>
        </w:tc>
        <w:tc>
          <w:tcPr>
            <w:tcW w:w="874" w:type="dxa"/>
            <w:tcBorders>
              <w:top w:val="single" w:sz="6" w:space="0" w:color="000000"/>
              <w:left w:val="single" w:sz="6" w:space="0" w:color="000000"/>
              <w:right w:val="single" w:sz="6" w:space="0" w:color="000000"/>
            </w:tcBorders>
          </w:tcPr>
          <w:p>
            <w:pPr>
              <w:pStyle w:val="TableParagraph"/>
              <w:spacing w:before="76"/>
              <w:ind w:left="39"/>
              <w:rPr>
                <w:sz w:val="18"/>
              </w:rPr>
            </w:pPr>
            <w:r>
              <w:rPr>
                <w:sz w:val="18"/>
              </w:rPr>
              <w:t>/</w:t>
            </w:r>
          </w:p>
        </w:tc>
        <w:tc>
          <w:tcPr>
            <w:tcW w:w="1291" w:type="dxa"/>
            <w:tcBorders>
              <w:top w:val="single" w:sz="6" w:space="0" w:color="000000"/>
              <w:left w:val="single" w:sz="6" w:space="0" w:color="000000"/>
              <w:right w:val="single" w:sz="6" w:space="0" w:color="000000"/>
            </w:tcBorders>
          </w:tcPr>
          <w:p>
            <w:pPr>
              <w:pStyle w:val="TableParagraph"/>
              <w:spacing w:before="76"/>
              <w:ind w:left="40"/>
              <w:rPr>
                <w:sz w:val="18"/>
              </w:rPr>
            </w:pPr>
            <w:r>
              <w:rPr>
                <w:sz w:val="18"/>
              </w:rPr>
              <w:t>/</w:t>
            </w:r>
          </w:p>
        </w:tc>
        <w:tc>
          <w:tcPr>
            <w:tcW w:w="1291" w:type="dxa"/>
            <w:tcBorders>
              <w:top w:val="single" w:sz="6" w:space="0" w:color="000000"/>
              <w:left w:val="single" w:sz="6" w:space="0" w:color="000000"/>
              <w:right w:val="single" w:sz="6" w:space="0" w:color="000000"/>
            </w:tcBorders>
          </w:tcPr>
          <w:p>
            <w:pPr>
              <w:pStyle w:val="TableParagraph"/>
              <w:spacing w:before="76"/>
              <w:ind w:right="569"/>
              <w:jc w:val="right"/>
              <w:rPr>
                <w:sz w:val="18"/>
              </w:rPr>
            </w:pPr>
            <w:r>
              <w:rPr>
                <w:sz w:val="18"/>
              </w:rPr>
              <w:t>0</w:t>
            </w:r>
          </w:p>
        </w:tc>
        <w:tc>
          <w:tcPr>
            <w:tcW w:w="876" w:type="dxa"/>
            <w:tcBorders>
              <w:top w:val="single" w:sz="6" w:space="0" w:color="000000"/>
              <w:left w:val="single" w:sz="6" w:space="0" w:color="000000"/>
            </w:tcBorders>
          </w:tcPr>
          <w:p>
            <w:pPr>
              <w:pStyle w:val="TableParagraph"/>
              <w:spacing w:before="76"/>
              <w:ind w:left="312" w:right="261"/>
              <w:rPr>
                <w:sz w:val="18"/>
              </w:rPr>
            </w:pPr>
            <w:r>
              <w:rPr>
                <w:sz w:val="18"/>
              </w:rPr>
              <w:t>0%</w:t>
            </w:r>
          </w:p>
        </w:tc>
      </w:tr>
    </w:tbl>
    <w:p>
      <w:pPr>
        <w:spacing w:after="0"/>
        <w:rPr>
          <w:sz w:val="18"/>
        </w:rPr>
        <w:sectPr>
          <w:pgSz w:w="16840" w:h="11910" w:orient="landscape"/>
          <w:pgMar w:header="590" w:footer="628" w:top="800" w:bottom="820" w:left="900" w:right="1000"/>
        </w:sectPr>
      </w:pPr>
    </w:p>
    <w:p>
      <w:pPr>
        <w:spacing w:before="64"/>
        <w:ind w:left="218" w:right="236" w:firstLine="0"/>
        <w:jc w:val="center"/>
        <w:rPr>
          <w:b/>
          <w:sz w:val="24"/>
        </w:rPr>
      </w:pPr>
      <w:r>
        <w:rPr>
          <w:b/>
          <w:sz w:val="24"/>
        </w:rPr>
        <w:t>表 </w:t>
      </w:r>
      <w:r>
        <w:rPr>
          <w:rFonts w:ascii="Times New Roman" w:eastAsia="Times New Roman"/>
          <w:b/>
          <w:sz w:val="24"/>
        </w:rPr>
        <w:t>4.3-9  </w:t>
      </w:r>
      <w:r>
        <w:rPr>
          <w:b/>
          <w:sz w:val="24"/>
        </w:rPr>
        <w:t>土壤理化性质测试结果</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85"/>
        <w:gridCol w:w="2920"/>
        <w:gridCol w:w="1709"/>
        <w:gridCol w:w="1710"/>
        <w:gridCol w:w="1710"/>
      </w:tblGrid>
      <w:tr>
        <w:trPr>
          <w:trHeight w:val="359" w:hRule="atLeast"/>
        </w:trPr>
        <w:tc>
          <w:tcPr>
            <w:tcW w:w="4305" w:type="dxa"/>
            <w:gridSpan w:val="2"/>
            <w:tcBorders>
              <w:bottom w:val="single" w:sz="4" w:space="0" w:color="000000"/>
              <w:right w:val="single" w:sz="4" w:space="0" w:color="000000"/>
            </w:tcBorders>
          </w:tcPr>
          <w:p>
            <w:pPr>
              <w:pStyle w:val="TableParagraph"/>
              <w:spacing w:before="43"/>
              <w:ind w:left="1917" w:right="1903"/>
              <w:rPr>
                <w:rFonts w:ascii="宋体" w:eastAsia="宋体" w:hint="eastAsia"/>
                <w:b/>
                <w:sz w:val="21"/>
              </w:rPr>
            </w:pPr>
            <w:r>
              <w:rPr>
                <w:rFonts w:ascii="宋体" w:eastAsia="宋体" w:hint="eastAsia"/>
                <w:b/>
                <w:sz w:val="21"/>
              </w:rPr>
              <w:t>点位</w:t>
            </w:r>
          </w:p>
        </w:tc>
        <w:tc>
          <w:tcPr>
            <w:tcW w:w="1709" w:type="dxa"/>
            <w:tcBorders>
              <w:left w:val="single" w:sz="4" w:space="0" w:color="000000"/>
              <w:bottom w:val="single" w:sz="4" w:space="0" w:color="000000"/>
              <w:right w:val="single" w:sz="4" w:space="0" w:color="000000"/>
            </w:tcBorders>
          </w:tcPr>
          <w:p>
            <w:pPr>
              <w:pStyle w:val="TableParagraph"/>
              <w:spacing w:before="57"/>
              <w:ind w:left="140" w:right="111"/>
              <w:rPr>
                <w:b/>
                <w:sz w:val="21"/>
              </w:rPr>
            </w:pPr>
            <w:r>
              <w:rPr>
                <w:b/>
                <w:sz w:val="21"/>
              </w:rPr>
              <w:t>S1</w:t>
            </w:r>
          </w:p>
        </w:tc>
        <w:tc>
          <w:tcPr>
            <w:tcW w:w="1710" w:type="dxa"/>
            <w:tcBorders>
              <w:left w:val="single" w:sz="4" w:space="0" w:color="000000"/>
              <w:bottom w:val="single" w:sz="4" w:space="0" w:color="000000"/>
              <w:right w:val="single" w:sz="4" w:space="0" w:color="000000"/>
            </w:tcBorders>
          </w:tcPr>
          <w:p>
            <w:pPr>
              <w:pStyle w:val="TableParagraph"/>
              <w:spacing w:before="57"/>
              <w:ind w:left="171" w:right="142"/>
              <w:rPr>
                <w:b/>
                <w:sz w:val="21"/>
              </w:rPr>
            </w:pPr>
            <w:r>
              <w:rPr>
                <w:b/>
                <w:sz w:val="21"/>
              </w:rPr>
              <w:t>S2</w:t>
            </w:r>
          </w:p>
        </w:tc>
        <w:tc>
          <w:tcPr>
            <w:tcW w:w="1710" w:type="dxa"/>
            <w:tcBorders>
              <w:left w:val="single" w:sz="4" w:space="0" w:color="000000"/>
              <w:bottom w:val="single" w:sz="4" w:space="0" w:color="000000"/>
            </w:tcBorders>
          </w:tcPr>
          <w:p>
            <w:pPr>
              <w:pStyle w:val="TableParagraph"/>
              <w:spacing w:before="57"/>
              <w:ind w:left="170" w:right="134"/>
              <w:rPr>
                <w:b/>
                <w:sz w:val="21"/>
              </w:rPr>
            </w:pPr>
            <w:r>
              <w:rPr>
                <w:b/>
                <w:sz w:val="21"/>
              </w:rPr>
              <w:t>S3</w:t>
            </w:r>
          </w:p>
        </w:tc>
      </w:tr>
      <w:tr>
        <w:trPr>
          <w:trHeight w:val="359" w:hRule="atLeast"/>
        </w:trPr>
        <w:tc>
          <w:tcPr>
            <w:tcW w:w="4305" w:type="dxa"/>
            <w:gridSpan w:val="2"/>
            <w:tcBorders>
              <w:top w:val="single" w:sz="4" w:space="0" w:color="000000"/>
              <w:bottom w:val="single" w:sz="4" w:space="0" w:color="000000"/>
              <w:right w:val="single" w:sz="4" w:space="0" w:color="000000"/>
            </w:tcBorders>
          </w:tcPr>
          <w:p>
            <w:pPr>
              <w:pStyle w:val="TableParagraph"/>
              <w:spacing w:before="44"/>
              <w:ind w:left="1918" w:right="1899"/>
              <w:rPr>
                <w:rFonts w:ascii="宋体" w:eastAsia="宋体" w:hint="eastAsia"/>
                <w:sz w:val="21"/>
              </w:rPr>
            </w:pPr>
            <w:r>
              <w:rPr>
                <w:rFonts w:ascii="宋体" w:eastAsia="宋体" w:hint="eastAsia"/>
                <w:sz w:val="21"/>
              </w:rPr>
              <w:t>经度</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ind w:left="140" w:right="112"/>
              <w:rPr>
                <w:sz w:val="21"/>
              </w:rPr>
            </w:pPr>
            <w:r>
              <w:rPr>
                <w:sz w:val="21"/>
              </w:rPr>
              <w:t>E120°27′40.48″</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ind w:left="171" w:right="144"/>
              <w:rPr>
                <w:sz w:val="21"/>
              </w:rPr>
            </w:pPr>
            <w:r>
              <w:rPr>
                <w:sz w:val="21"/>
              </w:rPr>
              <w:t>E120°27′35.94″</w:t>
            </w:r>
          </w:p>
        </w:tc>
        <w:tc>
          <w:tcPr>
            <w:tcW w:w="1710" w:type="dxa"/>
            <w:tcBorders>
              <w:top w:val="single" w:sz="4" w:space="0" w:color="000000"/>
              <w:left w:val="single" w:sz="4" w:space="0" w:color="000000"/>
              <w:bottom w:val="single" w:sz="4" w:space="0" w:color="000000"/>
            </w:tcBorders>
          </w:tcPr>
          <w:p>
            <w:pPr>
              <w:pStyle w:val="TableParagraph"/>
              <w:ind w:left="170" w:right="135"/>
              <w:rPr>
                <w:sz w:val="21"/>
              </w:rPr>
            </w:pPr>
            <w:r>
              <w:rPr>
                <w:sz w:val="21"/>
              </w:rPr>
              <w:t>E120°27′40.48″</w:t>
            </w:r>
          </w:p>
        </w:tc>
      </w:tr>
      <w:tr>
        <w:trPr>
          <w:trHeight w:val="357" w:hRule="atLeast"/>
        </w:trPr>
        <w:tc>
          <w:tcPr>
            <w:tcW w:w="4305" w:type="dxa"/>
            <w:gridSpan w:val="2"/>
            <w:tcBorders>
              <w:top w:val="single" w:sz="4" w:space="0" w:color="000000"/>
              <w:bottom w:val="single" w:sz="4" w:space="0" w:color="000000"/>
              <w:right w:val="single" w:sz="4" w:space="0" w:color="000000"/>
            </w:tcBorders>
          </w:tcPr>
          <w:p>
            <w:pPr>
              <w:pStyle w:val="TableParagraph"/>
              <w:spacing w:before="44"/>
              <w:ind w:left="1918" w:right="1899"/>
              <w:rPr>
                <w:rFonts w:ascii="宋体" w:eastAsia="宋体" w:hint="eastAsia"/>
                <w:sz w:val="21"/>
              </w:rPr>
            </w:pPr>
            <w:r>
              <w:rPr>
                <w:rFonts w:ascii="宋体" w:eastAsia="宋体" w:hint="eastAsia"/>
                <w:sz w:val="21"/>
              </w:rPr>
              <w:t>纬度</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ind w:left="140" w:right="112"/>
              <w:rPr>
                <w:sz w:val="21"/>
              </w:rPr>
            </w:pPr>
            <w:r>
              <w:rPr>
                <w:sz w:val="21"/>
              </w:rPr>
              <w:t>N30°0′34.31″</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ind w:left="170" w:right="144"/>
              <w:rPr>
                <w:sz w:val="21"/>
              </w:rPr>
            </w:pPr>
            <w:r>
              <w:rPr>
                <w:sz w:val="21"/>
              </w:rPr>
              <w:t>N30°0′32.84″</w:t>
            </w:r>
          </w:p>
        </w:tc>
        <w:tc>
          <w:tcPr>
            <w:tcW w:w="1710" w:type="dxa"/>
            <w:tcBorders>
              <w:top w:val="single" w:sz="4" w:space="0" w:color="000000"/>
              <w:left w:val="single" w:sz="4" w:space="0" w:color="000000"/>
              <w:bottom w:val="single" w:sz="4" w:space="0" w:color="000000"/>
            </w:tcBorders>
          </w:tcPr>
          <w:p>
            <w:pPr>
              <w:pStyle w:val="TableParagraph"/>
              <w:ind w:left="170" w:right="135"/>
              <w:rPr>
                <w:sz w:val="21"/>
              </w:rPr>
            </w:pPr>
            <w:r>
              <w:rPr>
                <w:sz w:val="21"/>
              </w:rPr>
              <w:t>N30°0′34.31″</w:t>
            </w:r>
          </w:p>
        </w:tc>
      </w:tr>
      <w:tr>
        <w:trPr>
          <w:trHeight w:val="359" w:hRule="atLeast"/>
        </w:trPr>
        <w:tc>
          <w:tcPr>
            <w:tcW w:w="4305" w:type="dxa"/>
            <w:gridSpan w:val="2"/>
            <w:tcBorders>
              <w:top w:val="single" w:sz="4" w:space="0" w:color="000000"/>
              <w:bottom w:val="single" w:sz="4" w:space="0" w:color="000000"/>
              <w:right w:val="single" w:sz="4" w:space="0" w:color="000000"/>
            </w:tcBorders>
          </w:tcPr>
          <w:p>
            <w:pPr>
              <w:pStyle w:val="TableParagraph"/>
              <w:spacing w:before="44"/>
              <w:ind w:left="1918" w:right="1899"/>
              <w:rPr>
                <w:rFonts w:ascii="宋体" w:eastAsia="宋体" w:hint="eastAsia"/>
                <w:sz w:val="21"/>
              </w:rPr>
            </w:pPr>
            <w:r>
              <w:rPr>
                <w:rFonts w:ascii="宋体" w:eastAsia="宋体" w:hint="eastAsia"/>
                <w:sz w:val="21"/>
              </w:rPr>
              <w:t>层次</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ind w:left="140" w:right="110"/>
              <w:rPr>
                <w:sz w:val="21"/>
              </w:rPr>
            </w:pPr>
            <w:r>
              <w:rPr>
                <w:sz w:val="21"/>
              </w:rPr>
              <w:t>0-0.2m</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ind w:left="171" w:right="141"/>
              <w:rPr>
                <w:sz w:val="21"/>
              </w:rPr>
            </w:pPr>
            <w:r>
              <w:rPr>
                <w:sz w:val="21"/>
              </w:rPr>
              <w:t>0-0.2m</w:t>
            </w:r>
          </w:p>
        </w:tc>
        <w:tc>
          <w:tcPr>
            <w:tcW w:w="1710" w:type="dxa"/>
            <w:tcBorders>
              <w:top w:val="single" w:sz="4" w:space="0" w:color="000000"/>
              <w:left w:val="single" w:sz="4" w:space="0" w:color="000000"/>
              <w:bottom w:val="single" w:sz="4" w:space="0" w:color="000000"/>
            </w:tcBorders>
          </w:tcPr>
          <w:p>
            <w:pPr>
              <w:pStyle w:val="TableParagraph"/>
              <w:ind w:left="170" w:right="133"/>
              <w:rPr>
                <w:sz w:val="21"/>
              </w:rPr>
            </w:pPr>
            <w:r>
              <w:rPr>
                <w:sz w:val="21"/>
              </w:rPr>
              <w:t>0-0.2m</w:t>
            </w:r>
          </w:p>
        </w:tc>
      </w:tr>
      <w:tr>
        <w:trPr>
          <w:trHeight w:val="359" w:hRule="atLeast"/>
        </w:trPr>
        <w:tc>
          <w:tcPr>
            <w:tcW w:w="1385" w:type="dxa"/>
            <w:vMerge w:val="restart"/>
            <w:tcBorders>
              <w:top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20"/>
              </w:rPr>
            </w:pPr>
          </w:p>
          <w:p>
            <w:pPr>
              <w:pStyle w:val="TableParagraph"/>
              <w:spacing w:before="0"/>
              <w:ind w:left="270"/>
              <w:jc w:val="left"/>
              <w:rPr>
                <w:rFonts w:ascii="宋体" w:eastAsia="宋体" w:hint="eastAsia"/>
                <w:sz w:val="21"/>
              </w:rPr>
            </w:pPr>
            <w:r>
              <w:rPr>
                <w:rFonts w:ascii="宋体" w:eastAsia="宋体" w:hint="eastAsia"/>
                <w:sz w:val="21"/>
              </w:rPr>
              <w:t>现场记录</w:t>
            </w: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44"/>
              <w:ind w:left="223" w:right="196"/>
              <w:rPr>
                <w:rFonts w:ascii="宋体" w:eastAsia="宋体" w:hint="eastAsia"/>
                <w:sz w:val="21"/>
              </w:rPr>
            </w:pPr>
            <w:r>
              <w:rPr>
                <w:rFonts w:ascii="宋体" w:eastAsia="宋体" w:hint="eastAsia"/>
                <w:sz w:val="21"/>
              </w:rPr>
              <w:t>颜色</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before="44"/>
              <w:ind w:left="140" w:right="114"/>
              <w:rPr>
                <w:rFonts w:ascii="宋体" w:eastAsia="宋体" w:hint="eastAsia"/>
                <w:sz w:val="21"/>
              </w:rPr>
            </w:pPr>
            <w:r>
              <w:rPr>
                <w:rFonts w:ascii="宋体" w:eastAsia="宋体" w:hint="eastAsia"/>
                <w:sz w:val="21"/>
              </w:rPr>
              <w:t>褐色</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44"/>
              <w:ind w:left="170" w:right="144"/>
              <w:rPr>
                <w:rFonts w:ascii="宋体" w:eastAsia="宋体" w:hint="eastAsia"/>
                <w:sz w:val="21"/>
              </w:rPr>
            </w:pPr>
            <w:r>
              <w:rPr>
                <w:rFonts w:ascii="宋体" w:eastAsia="宋体" w:hint="eastAsia"/>
                <w:sz w:val="21"/>
              </w:rPr>
              <w:t>灰褐色</w:t>
            </w:r>
          </w:p>
        </w:tc>
        <w:tc>
          <w:tcPr>
            <w:tcW w:w="1710" w:type="dxa"/>
            <w:tcBorders>
              <w:top w:val="single" w:sz="4" w:space="0" w:color="000000"/>
              <w:left w:val="single" w:sz="4" w:space="0" w:color="000000"/>
              <w:bottom w:val="single" w:sz="4" w:space="0" w:color="000000"/>
            </w:tcBorders>
          </w:tcPr>
          <w:p>
            <w:pPr>
              <w:pStyle w:val="TableParagraph"/>
              <w:spacing w:before="44"/>
              <w:ind w:left="169" w:right="135"/>
              <w:rPr>
                <w:rFonts w:ascii="宋体" w:eastAsia="宋体" w:hint="eastAsia"/>
                <w:sz w:val="21"/>
              </w:rPr>
            </w:pPr>
            <w:r>
              <w:rPr>
                <w:rFonts w:ascii="宋体" w:eastAsia="宋体" w:hint="eastAsia"/>
                <w:sz w:val="21"/>
              </w:rPr>
              <w:t>褐色</w:t>
            </w:r>
          </w:p>
        </w:tc>
      </w:tr>
      <w:tr>
        <w:trPr>
          <w:trHeight w:val="357" w:hRule="atLeast"/>
        </w:trPr>
        <w:tc>
          <w:tcPr>
            <w:tcW w:w="1385" w:type="dxa"/>
            <w:vMerge/>
            <w:tcBorders>
              <w:top w:val="nil"/>
              <w:bottom w:val="single" w:sz="4" w:space="0" w:color="000000"/>
              <w:right w:val="single" w:sz="4" w:space="0" w:color="000000"/>
            </w:tcBorders>
          </w:tcPr>
          <w:p>
            <w:pPr>
              <w:rPr>
                <w:sz w:val="2"/>
                <w:szCs w:val="2"/>
              </w:rPr>
            </w:pP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44"/>
              <w:ind w:left="223" w:right="196"/>
              <w:rPr>
                <w:rFonts w:ascii="宋体" w:eastAsia="宋体" w:hint="eastAsia"/>
                <w:sz w:val="21"/>
              </w:rPr>
            </w:pPr>
            <w:r>
              <w:rPr>
                <w:rFonts w:ascii="宋体" w:eastAsia="宋体" w:hint="eastAsia"/>
                <w:sz w:val="21"/>
              </w:rPr>
              <w:t>结构</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before="44"/>
              <w:ind w:left="140" w:right="114"/>
              <w:rPr>
                <w:rFonts w:ascii="宋体" w:eastAsia="宋体" w:hint="eastAsia"/>
                <w:sz w:val="21"/>
              </w:rPr>
            </w:pPr>
            <w:r>
              <w:rPr>
                <w:rFonts w:ascii="宋体" w:eastAsia="宋体" w:hint="eastAsia"/>
                <w:sz w:val="21"/>
              </w:rPr>
              <w:t>块状</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44"/>
              <w:ind w:left="170" w:right="144"/>
              <w:rPr>
                <w:rFonts w:ascii="宋体" w:eastAsia="宋体" w:hint="eastAsia"/>
                <w:sz w:val="21"/>
              </w:rPr>
            </w:pPr>
            <w:r>
              <w:rPr>
                <w:rFonts w:ascii="宋体" w:eastAsia="宋体" w:hint="eastAsia"/>
                <w:sz w:val="21"/>
              </w:rPr>
              <w:t>块状</w:t>
            </w:r>
          </w:p>
        </w:tc>
        <w:tc>
          <w:tcPr>
            <w:tcW w:w="1710" w:type="dxa"/>
            <w:tcBorders>
              <w:top w:val="single" w:sz="4" w:space="0" w:color="000000"/>
              <w:left w:val="single" w:sz="4" w:space="0" w:color="000000"/>
              <w:bottom w:val="single" w:sz="4" w:space="0" w:color="000000"/>
            </w:tcBorders>
          </w:tcPr>
          <w:p>
            <w:pPr>
              <w:pStyle w:val="TableParagraph"/>
              <w:spacing w:before="44"/>
              <w:ind w:left="169" w:right="135"/>
              <w:rPr>
                <w:rFonts w:ascii="宋体" w:eastAsia="宋体" w:hint="eastAsia"/>
                <w:sz w:val="21"/>
              </w:rPr>
            </w:pPr>
            <w:r>
              <w:rPr>
                <w:rFonts w:ascii="宋体" w:eastAsia="宋体" w:hint="eastAsia"/>
                <w:sz w:val="21"/>
              </w:rPr>
              <w:t>块状</w:t>
            </w:r>
          </w:p>
        </w:tc>
      </w:tr>
      <w:tr>
        <w:trPr>
          <w:trHeight w:val="359" w:hRule="atLeast"/>
        </w:trPr>
        <w:tc>
          <w:tcPr>
            <w:tcW w:w="1385" w:type="dxa"/>
            <w:vMerge/>
            <w:tcBorders>
              <w:top w:val="nil"/>
              <w:bottom w:val="single" w:sz="4" w:space="0" w:color="000000"/>
              <w:right w:val="single" w:sz="4" w:space="0" w:color="000000"/>
            </w:tcBorders>
          </w:tcPr>
          <w:p>
            <w:pPr>
              <w:rPr>
                <w:sz w:val="2"/>
                <w:szCs w:val="2"/>
              </w:rPr>
            </w:pP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44"/>
              <w:ind w:left="223" w:right="196"/>
              <w:rPr>
                <w:rFonts w:ascii="宋体" w:eastAsia="宋体" w:hint="eastAsia"/>
                <w:sz w:val="21"/>
              </w:rPr>
            </w:pPr>
            <w:r>
              <w:rPr>
                <w:rFonts w:ascii="宋体" w:eastAsia="宋体" w:hint="eastAsia"/>
                <w:sz w:val="21"/>
              </w:rPr>
              <w:t>质地</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before="44"/>
              <w:ind w:left="140" w:right="114"/>
              <w:rPr>
                <w:rFonts w:ascii="宋体" w:eastAsia="宋体" w:hint="eastAsia"/>
                <w:sz w:val="21"/>
              </w:rPr>
            </w:pPr>
            <w:r>
              <w:rPr>
                <w:rFonts w:ascii="宋体" w:eastAsia="宋体" w:hint="eastAsia"/>
                <w:sz w:val="21"/>
              </w:rPr>
              <w:t>壤土</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44"/>
              <w:ind w:left="170" w:right="144"/>
              <w:rPr>
                <w:rFonts w:ascii="宋体" w:eastAsia="宋体" w:hint="eastAsia"/>
                <w:sz w:val="21"/>
              </w:rPr>
            </w:pPr>
            <w:r>
              <w:rPr>
                <w:rFonts w:ascii="宋体" w:eastAsia="宋体" w:hint="eastAsia"/>
                <w:sz w:val="21"/>
              </w:rPr>
              <w:t>壤土</w:t>
            </w:r>
          </w:p>
        </w:tc>
        <w:tc>
          <w:tcPr>
            <w:tcW w:w="1710" w:type="dxa"/>
            <w:tcBorders>
              <w:top w:val="single" w:sz="4" w:space="0" w:color="000000"/>
              <w:left w:val="single" w:sz="4" w:space="0" w:color="000000"/>
              <w:bottom w:val="single" w:sz="4" w:space="0" w:color="000000"/>
            </w:tcBorders>
          </w:tcPr>
          <w:p>
            <w:pPr>
              <w:pStyle w:val="TableParagraph"/>
              <w:spacing w:before="44"/>
              <w:ind w:left="169" w:right="135"/>
              <w:rPr>
                <w:rFonts w:ascii="宋体" w:eastAsia="宋体" w:hint="eastAsia"/>
                <w:sz w:val="21"/>
              </w:rPr>
            </w:pPr>
            <w:r>
              <w:rPr>
                <w:rFonts w:ascii="宋体" w:eastAsia="宋体" w:hint="eastAsia"/>
                <w:sz w:val="21"/>
              </w:rPr>
              <w:t>壤土</w:t>
            </w:r>
          </w:p>
        </w:tc>
      </w:tr>
      <w:tr>
        <w:trPr>
          <w:trHeight w:val="359" w:hRule="atLeast"/>
        </w:trPr>
        <w:tc>
          <w:tcPr>
            <w:tcW w:w="1385" w:type="dxa"/>
            <w:vMerge/>
            <w:tcBorders>
              <w:top w:val="nil"/>
              <w:bottom w:val="single" w:sz="4" w:space="0" w:color="000000"/>
              <w:right w:val="single" w:sz="4" w:space="0" w:color="000000"/>
            </w:tcBorders>
          </w:tcPr>
          <w:p>
            <w:pPr>
              <w:rPr>
                <w:sz w:val="2"/>
                <w:szCs w:val="2"/>
              </w:rPr>
            </w:pP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44"/>
              <w:ind w:left="225" w:right="196"/>
              <w:rPr>
                <w:rFonts w:ascii="宋体" w:eastAsia="宋体" w:hint="eastAsia"/>
                <w:sz w:val="21"/>
              </w:rPr>
            </w:pPr>
            <w:r>
              <w:rPr>
                <w:rFonts w:ascii="宋体" w:eastAsia="宋体" w:hint="eastAsia"/>
                <w:sz w:val="21"/>
              </w:rPr>
              <w:t>氧化还原电位（</w:t>
            </w:r>
            <w:r>
              <w:rPr>
                <w:sz w:val="21"/>
              </w:rPr>
              <w:t>mv</w:t>
            </w:r>
            <w:r>
              <w:rPr>
                <w:rFonts w:ascii="宋体" w:eastAsia="宋体" w:hint="eastAsia"/>
                <w:sz w:val="21"/>
              </w:rPr>
              <w:t>）</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ind w:left="140" w:right="114"/>
              <w:rPr>
                <w:sz w:val="21"/>
              </w:rPr>
            </w:pPr>
            <w:r>
              <w:rPr>
                <w:sz w:val="21"/>
              </w:rPr>
              <w:t>125</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ind w:left="171" w:right="142"/>
              <w:rPr>
                <w:sz w:val="21"/>
              </w:rPr>
            </w:pPr>
            <w:r>
              <w:rPr>
                <w:sz w:val="21"/>
              </w:rPr>
              <w:t>118</w:t>
            </w:r>
          </w:p>
        </w:tc>
        <w:tc>
          <w:tcPr>
            <w:tcW w:w="1710" w:type="dxa"/>
            <w:tcBorders>
              <w:top w:val="single" w:sz="4" w:space="0" w:color="000000"/>
              <w:left w:val="single" w:sz="4" w:space="0" w:color="000000"/>
              <w:bottom w:val="single" w:sz="4" w:space="0" w:color="000000"/>
            </w:tcBorders>
          </w:tcPr>
          <w:p>
            <w:pPr>
              <w:pStyle w:val="TableParagraph"/>
              <w:ind w:left="169" w:right="135"/>
              <w:rPr>
                <w:sz w:val="21"/>
              </w:rPr>
            </w:pPr>
            <w:r>
              <w:rPr>
                <w:sz w:val="21"/>
              </w:rPr>
              <w:t>134</w:t>
            </w:r>
          </w:p>
        </w:tc>
      </w:tr>
      <w:tr>
        <w:trPr>
          <w:trHeight w:val="357" w:hRule="atLeast"/>
        </w:trPr>
        <w:tc>
          <w:tcPr>
            <w:tcW w:w="1385" w:type="dxa"/>
            <w:vMerge/>
            <w:tcBorders>
              <w:top w:val="nil"/>
              <w:bottom w:val="single" w:sz="4" w:space="0" w:color="000000"/>
              <w:right w:val="single" w:sz="4" w:space="0" w:color="000000"/>
            </w:tcBorders>
          </w:tcPr>
          <w:p>
            <w:pPr>
              <w:rPr>
                <w:sz w:val="2"/>
                <w:szCs w:val="2"/>
              </w:rPr>
            </w:pP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44"/>
              <w:ind w:left="225" w:right="195"/>
              <w:rPr>
                <w:rFonts w:ascii="宋体" w:eastAsia="宋体" w:hint="eastAsia"/>
                <w:sz w:val="21"/>
              </w:rPr>
            </w:pPr>
            <w:r>
              <w:rPr>
                <w:rFonts w:ascii="宋体" w:eastAsia="宋体" w:hint="eastAsia"/>
                <w:sz w:val="21"/>
              </w:rPr>
              <w:t>砂砾含量（</w:t>
            </w:r>
            <w:r>
              <w:rPr>
                <w:sz w:val="21"/>
              </w:rPr>
              <w:t>%</w:t>
            </w:r>
            <w:r>
              <w:rPr>
                <w:rFonts w:ascii="宋体" w:eastAsia="宋体" w:hint="eastAsia"/>
                <w:sz w:val="21"/>
              </w:rPr>
              <w:t>）</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ind w:left="140" w:right="114"/>
              <w:rPr>
                <w:sz w:val="21"/>
              </w:rPr>
            </w:pPr>
            <w:r>
              <w:rPr>
                <w:sz w:val="21"/>
              </w:rPr>
              <w:t>24</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ind w:left="170" w:right="144"/>
              <w:rPr>
                <w:sz w:val="21"/>
              </w:rPr>
            </w:pPr>
            <w:r>
              <w:rPr>
                <w:sz w:val="21"/>
              </w:rPr>
              <w:t>23</w:t>
            </w:r>
          </w:p>
        </w:tc>
        <w:tc>
          <w:tcPr>
            <w:tcW w:w="1710" w:type="dxa"/>
            <w:tcBorders>
              <w:top w:val="single" w:sz="4" w:space="0" w:color="000000"/>
              <w:left w:val="single" w:sz="4" w:space="0" w:color="000000"/>
              <w:bottom w:val="single" w:sz="4" w:space="0" w:color="000000"/>
            </w:tcBorders>
          </w:tcPr>
          <w:p>
            <w:pPr>
              <w:pStyle w:val="TableParagraph"/>
              <w:ind w:left="169" w:right="135"/>
              <w:rPr>
                <w:sz w:val="21"/>
              </w:rPr>
            </w:pPr>
            <w:r>
              <w:rPr>
                <w:sz w:val="21"/>
              </w:rPr>
              <w:t>23</w:t>
            </w:r>
          </w:p>
        </w:tc>
      </w:tr>
      <w:tr>
        <w:trPr>
          <w:trHeight w:val="349" w:hRule="atLeast"/>
        </w:trPr>
        <w:tc>
          <w:tcPr>
            <w:tcW w:w="1385" w:type="dxa"/>
            <w:vMerge w:val="restart"/>
            <w:tcBorders>
              <w:top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
              <w:jc w:val="left"/>
              <w:rPr>
                <w:rFonts w:ascii="宋体"/>
                <w:b/>
                <w:sz w:val="21"/>
              </w:rPr>
            </w:pPr>
          </w:p>
          <w:p>
            <w:pPr>
              <w:pStyle w:val="TableParagraph"/>
              <w:spacing w:before="1"/>
              <w:ind w:left="165"/>
              <w:jc w:val="left"/>
              <w:rPr>
                <w:rFonts w:ascii="宋体" w:eastAsia="宋体" w:hint="eastAsia"/>
                <w:sz w:val="21"/>
              </w:rPr>
            </w:pPr>
            <w:r>
              <w:rPr>
                <w:rFonts w:ascii="宋体" w:eastAsia="宋体" w:hint="eastAsia"/>
                <w:sz w:val="21"/>
              </w:rPr>
              <w:t>实验室测定</w:t>
            </w: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44"/>
              <w:ind w:left="225" w:right="195"/>
              <w:rPr>
                <w:rFonts w:ascii="宋体" w:eastAsia="宋体" w:hint="eastAsia"/>
                <w:sz w:val="21"/>
              </w:rPr>
            </w:pPr>
            <w:r>
              <w:rPr>
                <w:sz w:val="21"/>
              </w:rPr>
              <w:t>pH </w:t>
            </w:r>
            <w:r>
              <w:rPr>
                <w:rFonts w:ascii="宋体" w:eastAsia="宋体" w:hint="eastAsia"/>
                <w:sz w:val="21"/>
              </w:rPr>
              <w:t>值</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ind w:left="140" w:right="114"/>
              <w:rPr>
                <w:sz w:val="21"/>
              </w:rPr>
            </w:pPr>
            <w:r>
              <w:rPr>
                <w:sz w:val="21"/>
              </w:rPr>
              <w:t>6.89</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ind w:left="170" w:right="144"/>
              <w:rPr>
                <w:sz w:val="21"/>
              </w:rPr>
            </w:pPr>
            <w:r>
              <w:rPr>
                <w:sz w:val="21"/>
              </w:rPr>
              <w:t>6.95</w:t>
            </w:r>
          </w:p>
        </w:tc>
        <w:tc>
          <w:tcPr>
            <w:tcW w:w="1710" w:type="dxa"/>
            <w:tcBorders>
              <w:top w:val="single" w:sz="4" w:space="0" w:color="000000"/>
              <w:left w:val="single" w:sz="4" w:space="0" w:color="000000"/>
              <w:bottom w:val="single" w:sz="4" w:space="0" w:color="000000"/>
            </w:tcBorders>
          </w:tcPr>
          <w:p>
            <w:pPr>
              <w:pStyle w:val="TableParagraph"/>
              <w:ind w:left="169" w:right="135"/>
              <w:rPr>
                <w:sz w:val="21"/>
              </w:rPr>
            </w:pPr>
            <w:r>
              <w:rPr>
                <w:sz w:val="21"/>
              </w:rPr>
              <w:t>6.91</w:t>
            </w:r>
          </w:p>
        </w:tc>
      </w:tr>
      <w:tr>
        <w:trPr>
          <w:trHeight w:val="339" w:hRule="atLeast"/>
        </w:trPr>
        <w:tc>
          <w:tcPr>
            <w:tcW w:w="1385" w:type="dxa"/>
            <w:vMerge/>
            <w:tcBorders>
              <w:top w:val="nil"/>
              <w:right w:val="single" w:sz="4" w:space="0" w:color="000000"/>
            </w:tcBorders>
          </w:tcPr>
          <w:p>
            <w:pPr>
              <w:rPr>
                <w:sz w:val="2"/>
                <w:szCs w:val="2"/>
              </w:rPr>
            </w:pP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34"/>
              <w:ind w:left="225" w:right="196"/>
              <w:rPr>
                <w:rFonts w:ascii="宋体" w:eastAsia="宋体" w:hint="eastAsia"/>
                <w:sz w:val="21"/>
              </w:rPr>
            </w:pPr>
            <w:r>
              <w:rPr>
                <w:rFonts w:ascii="宋体" w:eastAsia="宋体" w:hint="eastAsia"/>
                <w:sz w:val="21"/>
              </w:rPr>
              <w:t>阳离子交换量（</w:t>
            </w:r>
            <w:r>
              <w:rPr>
                <w:sz w:val="21"/>
              </w:rPr>
              <w:t>cmol</w:t>
            </w:r>
            <w:r>
              <w:rPr>
                <w:position w:val="7"/>
                <w:sz w:val="14"/>
              </w:rPr>
              <w:t>+</w:t>
            </w:r>
            <w:r>
              <w:rPr>
                <w:sz w:val="21"/>
              </w:rPr>
              <w:t>/kg</w:t>
            </w:r>
            <w:r>
              <w:rPr>
                <w:rFonts w:ascii="宋体" w:eastAsia="宋体" w:hint="eastAsia"/>
                <w:sz w:val="21"/>
              </w:rPr>
              <w:t>）</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before="48"/>
              <w:ind w:left="140" w:right="114"/>
              <w:rPr>
                <w:sz w:val="21"/>
              </w:rPr>
            </w:pPr>
            <w:r>
              <w:rPr>
                <w:sz w:val="21"/>
              </w:rPr>
              <w:t>18.7</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48"/>
              <w:ind w:left="170" w:right="144"/>
              <w:rPr>
                <w:sz w:val="21"/>
              </w:rPr>
            </w:pPr>
            <w:r>
              <w:rPr>
                <w:sz w:val="21"/>
              </w:rPr>
              <w:t>18.2</w:t>
            </w:r>
          </w:p>
        </w:tc>
        <w:tc>
          <w:tcPr>
            <w:tcW w:w="1710" w:type="dxa"/>
            <w:tcBorders>
              <w:top w:val="single" w:sz="4" w:space="0" w:color="000000"/>
              <w:left w:val="single" w:sz="4" w:space="0" w:color="000000"/>
              <w:bottom w:val="single" w:sz="4" w:space="0" w:color="000000"/>
            </w:tcBorders>
          </w:tcPr>
          <w:p>
            <w:pPr>
              <w:pStyle w:val="TableParagraph"/>
              <w:spacing w:before="48"/>
              <w:ind w:left="169" w:right="135"/>
              <w:rPr>
                <w:sz w:val="21"/>
              </w:rPr>
            </w:pPr>
            <w:r>
              <w:rPr>
                <w:sz w:val="21"/>
              </w:rPr>
              <w:t>18.7</w:t>
            </w:r>
          </w:p>
        </w:tc>
      </w:tr>
      <w:tr>
        <w:trPr>
          <w:trHeight w:val="337" w:hRule="atLeast"/>
        </w:trPr>
        <w:tc>
          <w:tcPr>
            <w:tcW w:w="1385" w:type="dxa"/>
            <w:vMerge/>
            <w:tcBorders>
              <w:top w:val="nil"/>
              <w:right w:val="single" w:sz="4" w:space="0" w:color="000000"/>
            </w:tcBorders>
          </w:tcPr>
          <w:p>
            <w:pPr>
              <w:rPr>
                <w:sz w:val="2"/>
                <w:szCs w:val="2"/>
              </w:rPr>
            </w:pP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34"/>
              <w:ind w:left="225" w:right="196"/>
              <w:rPr>
                <w:rFonts w:ascii="宋体" w:eastAsia="宋体" w:hint="eastAsia"/>
                <w:sz w:val="21"/>
              </w:rPr>
            </w:pPr>
            <w:r>
              <w:rPr>
                <w:rFonts w:ascii="宋体" w:eastAsia="宋体" w:hint="eastAsia"/>
                <w:sz w:val="21"/>
              </w:rPr>
              <w:t>土壤容重（</w:t>
            </w:r>
            <w:r>
              <w:rPr>
                <w:sz w:val="21"/>
              </w:rPr>
              <w:t>kg/m</w:t>
            </w:r>
            <w:r>
              <w:rPr>
                <w:position w:val="7"/>
                <w:sz w:val="14"/>
              </w:rPr>
              <w:t>3</w:t>
            </w:r>
            <w:r>
              <w:rPr>
                <w:rFonts w:ascii="宋体" w:eastAsia="宋体" w:hint="eastAsia"/>
                <w:sz w:val="21"/>
              </w:rPr>
              <w:t>）</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before="43"/>
              <w:ind w:left="140" w:right="114"/>
              <w:rPr>
                <w:sz w:val="14"/>
              </w:rPr>
            </w:pPr>
            <w:r>
              <w:rPr>
                <w:sz w:val="21"/>
              </w:rPr>
              <w:t>1.41×10</w:t>
            </w:r>
            <w:r>
              <w:rPr>
                <w:position w:val="7"/>
                <w:sz w:val="14"/>
              </w:rPr>
              <w:t>3</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43"/>
              <w:ind w:left="170" w:right="144"/>
              <w:rPr>
                <w:sz w:val="14"/>
              </w:rPr>
            </w:pPr>
            <w:r>
              <w:rPr>
                <w:sz w:val="21"/>
              </w:rPr>
              <w:t>1.36×10</w:t>
            </w:r>
            <w:r>
              <w:rPr>
                <w:position w:val="7"/>
                <w:sz w:val="14"/>
              </w:rPr>
              <w:t>3</w:t>
            </w:r>
          </w:p>
        </w:tc>
        <w:tc>
          <w:tcPr>
            <w:tcW w:w="1710" w:type="dxa"/>
            <w:tcBorders>
              <w:top w:val="single" w:sz="4" w:space="0" w:color="000000"/>
              <w:left w:val="single" w:sz="4" w:space="0" w:color="000000"/>
              <w:bottom w:val="single" w:sz="4" w:space="0" w:color="000000"/>
            </w:tcBorders>
          </w:tcPr>
          <w:p>
            <w:pPr>
              <w:pStyle w:val="TableParagraph"/>
              <w:spacing w:before="43"/>
              <w:ind w:left="169" w:right="135"/>
              <w:rPr>
                <w:sz w:val="14"/>
              </w:rPr>
            </w:pPr>
            <w:r>
              <w:rPr>
                <w:sz w:val="21"/>
              </w:rPr>
              <w:t>1.31×10</w:t>
            </w:r>
            <w:r>
              <w:rPr>
                <w:position w:val="7"/>
                <w:sz w:val="14"/>
              </w:rPr>
              <w:t>3</w:t>
            </w:r>
          </w:p>
        </w:tc>
      </w:tr>
      <w:tr>
        <w:trPr>
          <w:trHeight w:val="339" w:hRule="atLeast"/>
        </w:trPr>
        <w:tc>
          <w:tcPr>
            <w:tcW w:w="1385" w:type="dxa"/>
            <w:vMerge/>
            <w:tcBorders>
              <w:top w:val="nil"/>
              <w:right w:val="single" w:sz="4" w:space="0" w:color="000000"/>
            </w:tcBorders>
          </w:tcPr>
          <w:p>
            <w:pPr>
              <w:rPr>
                <w:sz w:val="2"/>
                <w:szCs w:val="2"/>
              </w:rPr>
            </w:pPr>
          </w:p>
        </w:tc>
        <w:tc>
          <w:tcPr>
            <w:tcW w:w="2920" w:type="dxa"/>
            <w:tcBorders>
              <w:top w:val="single" w:sz="4" w:space="0" w:color="000000"/>
              <w:left w:val="single" w:sz="4" w:space="0" w:color="000000"/>
              <w:bottom w:val="single" w:sz="4" w:space="0" w:color="000000"/>
              <w:right w:val="single" w:sz="4" w:space="0" w:color="000000"/>
            </w:tcBorders>
          </w:tcPr>
          <w:p>
            <w:pPr>
              <w:pStyle w:val="TableParagraph"/>
              <w:spacing w:before="34"/>
              <w:ind w:left="225" w:right="195"/>
              <w:rPr>
                <w:rFonts w:ascii="宋体" w:eastAsia="宋体" w:hint="eastAsia"/>
                <w:sz w:val="21"/>
              </w:rPr>
            </w:pPr>
            <w:r>
              <w:rPr>
                <w:rFonts w:ascii="宋体" w:eastAsia="宋体" w:hint="eastAsia"/>
                <w:sz w:val="21"/>
              </w:rPr>
              <w:t>孔隙度（</w:t>
            </w:r>
            <w:r>
              <w:rPr>
                <w:sz w:val="21"/>
              </w:rPr>
              <w:t>%</w:t>
            </w:r>
            <w:r>
              <w:rPr>
                <w:rFonts w:ascii="宋体" w:eastAsia="宋体" w:hint="eastAsia"/>
                <w:sz w:val="21"/>
              </w:rPr>
              <w:t>）</w:t>
            </w:r>
          </w:p>
        </w:tc>
        <w:tc>
          <w:tcPr>
            <w:tcW w:w="1709" w:type="dxa"/>
            <w:tcBorders>
              <w:top w:val="single" w:sz="4" w:space="0" w:color="000000"/>
              <w:left w:val="single" w:sz="4" w:space="0" w:color="000000"/>
              <w:bottom w:val="single" w:sz="4" w:space="0" w:color="000000"/>
              <w:right w:val="single" w:sz="4" w:space="0" w:color="000000"/>
            </w:tcBorders>
          </w:tcPr>
          <w:p>
            <w:pPr>
              <w:pStyle w:val="TableParagraph"/>
              <w:spacing w:before="48"/>
              <w:ind w:left="140" w:right="114"/>
              <w:rPr>
                <w:sz w:val="21"/>
              </w:rPr>
            </w:pPr>
            <w:r>
              <w:rPr>
                <w:sz w:val="21"/>
              </w:rPr>
              <w:t>32.7</w:t>
            </w:r>
          </w:p>
        </w:tc>
        <w:tc>
          <w:tcPr>
            <w:tcW w:w="1710" w:type="dxa"/>
            <w:tcBorders>
              <w:top w:val="single" w:sz="4" w:space="0" w:color="000000"/>
              <w:left w:val="single" w:sz="4" w:space="0" w:color="000000"/>
              <w:bottom w:val="single" w:sz="4" w:space="0" w:color="000000"/>
              <w:right w:val="single" w:sz="4" w:space="0" w:color="000000"/>
            </w:tcBorders>
          </w:tcPr>
          <w:p>
            <w:pPr>
              <w:pStyle w:val="TableParagraph"/>
              <w:spacing w:before="48"/>
              <w:ind w:left="170" w:right="144"/>
              <w:rPr>
                <w:sz w:val="21"/>
              </w:rPr>
            </w:pPr>
            <w:r>
              <w:rPr>
                <w:sz w:val="21"/>
              </w:rPr>
              <w:t>30.7</w:t>
            </w:r>
          </w:p>
        </w:tc>
        <w:tc>
          <w:tcPr>
            <w:tcW w:w="1710" w:type="dxa"/>
            <w:tcBorders>
              <w:top w:val="single" w:sz="4" w:space="0" w:color="000000"/>
              <w:left w:val="single" w:sz="4" w:space="0" w:color="000000"/>
              <w:bottom w:val="single" w:sz="4" w:space="0" w:color="000000"/>
            </w:tcBorders>
          </w:tcPr>
          <w:p>
            <w:pPr>
              <w:pStyle w:val="TableParagraph"/>
              <w:spacing w:before="48"/>
              <w:ind w:left="169" w:right="135"/>
              <w:rPr>
                <w:sz w:val="21"/>
              </w:rPr>
            </w:pPr>
            <w:r>
              <w:rPr>
                <w:sz w:val="21"/>
              </w:rPr>
              <w:t>30.8</w:t>
            </w:r>
          </w:p>
        </w:tc>
      </w:tr>
      <w:tr>
        <w:trPr>
          <w:trHeight w:val="349" w:hRule="atLeast"/>
        </w:trPr>
        <w:tc>
          <w:tcPr>
            <w:tcW w:w="1385" w:type="dxa"/>
            <w:vMerge/>
            <w:tcBorders>
              <w:top w:val="nil"/>
              <w:right w:val="single" w:sz="4" w:space="0" w:color="000000"/>
            </w:tcBorders>
          </w:tcPr>
          <w:p>
            <w:pPr>
              <w:rPr>
                <w:sz w:val="2"/>
                <w:szCs w:val="2"/>
              </w:rPr>
            </w:pPr>
          </w:p>
        </w:tc>
        <w:tc>
          <w:tcPr>
            <w:tcW w:w="2920" w:type="dxa"/>
            <w:tcBorders>
              <w:top w:val="single" w:sz="4" w:space="0" w:color="000000"/>
              <w:left w:val="single" w:sz="4" w:space="0" w:color="000000"/>
              <w:right w:val="single" w:sz="4" w:space="0" w:color="000000"/>
            </w:tcBorders>
          </w:tcPr>
          <w:p>
            <w:pPr>
              <w:pStyle w:val="TableParagraph"/>
              <w:spacing w:before="34"/>
              <w:ind w:left="225" w:right="196"/>
              <w:rPr>
                <w:rFonts w:ascii="宋体" w:eastAsia="宋体" w:hint="eastAsia"/>
                <w:sz w:val="21"/>
              </w:rPr>
            </w:pPr>
            <w:r>
              <w:rPr>
                <w:rFonts w:ascii="宋体" w:eastAsia="宋体" w:hint="eastAsia"/>
                <w:sz w:val="21"/>
              </w:rPr>
              <w:t>饱和导水率（</w:t>
            </w:r>
            <w:r>
              <w:rPr>
                <w:sz w:val="21"/>
              </w:rPr>
              <w:t>cm/s</w:t>
            </w:r>
            <w:r>
              <w:rPr>
                <w:rFonts w:ascii="宋体" w:eastAsia="宋体" w:hint="eastAsia"/>
                <w:sz w:val="21"/>
              </w:rPr>
              <w:t>）</w:t>
            </w:r>
          </w:p>
        </w:tc>
        <w:tc>
          <w:tcPr>
            <w:tcW w:w="1709" w:type="dxa"/>
            <w:tcBorders>
              <w:top w:val="single" w:sz="4" w:space="0" w:color="000000"/>
              <w:left w:val="single" w:sz="4" w:space="0" w:color="000000"/>
              <w:right w:val="single" w:sz="4" w:space="0" w:color="000000"/>
            </w:tcBorders>
          </w:tcPr>
          <w:p>
            <w:pPr>
              <w:pStyle w:val="TableParagraph"/>
              <w:spacing w:before="43"/>
              <w:ind w:left="140" w:right="116"/>
              <w:rPr>
                <w:sz w:val="14"/>
              </w:rPr>
            </w:pPr>
            <w:r>
              <w:rPr>
                <w:sz w:val="21"/>
              </w:rPr>
              <w:t>9.83×10</w:t>
            </w:r>
            <w:r>
              <w:rPr>
                <w:position w:val="7"/>
                <w:sz w:val="14"/>
              </w:rPr>
              <w:t>-4</w:t>
            </w:r>
          </w:p>
        </w:tc>
        <w:tc>
          <w:tcPr>
            <w:tcW w:w="1710" w:type="dxa"/>
            <w:tcBorders>
              <w:top w:val="single" w:sz="4" w:space="0" w:color="000000"/>
              <w:left w:val="single" w:sz="4" w:space="0" w:color="000000"/>
              <w:right w:val="single" w:sz="4" w:space="0" w:color="000000"/>
            </w:tcBorders>
          </w:tcPr>
          <w:p>
            <w:pPr>
              <w:pStyle w:val="TableParagraph"/>
              <w:spacing w:before="43"/>
              <w:ind w:left="167" w:right="144"/>
              <w:rPr>
                <w:sz w:val="14"/>
              </w:rPr>
            </w:pPr>
            <w:r>
              <w:rPr>
                <w:sz w:val="21"/>
              </w:rPr>
              <w:t>9.20×10</w:t>
            </w:r>
            <w:r>
              <w:rPr>
                <w:position w:val="7"/>
                <w:sz w:val="14"/>
              </w:rPr>
              <w:t>-4</w:t>
            </w:r>
          </w:p>
        </w:tc>
        <w:tc>
          <w:tcPr>
            <w:tcW w:w="1710" w:type="dxa"/>
            <w:tcBorders>
              <w:top w:val="single" w:sz="4" w:space="0" w:color="000000"/>
              <w:left w:val="single" w:sz="4" w:space="0" w:color="000000"/>
            </w:tcBorders>
          </w:tcPr>
          <w:p>
            <w:pPr>
              <w:pStyle w:val="TableParagraph"/>
              <w:spacing w:before="43"/>
              <w:ind w:left="167" w:right="135"/>
              <w:rPr>
                <w:sz w:val="14"/>
              </w:rPr>
            </w:pPr>
            <w:r>
              <w:rPr>
                <w:sz w:val="21"/>
              </w:rPr>
              <w:t>9.20×10</w:t>
            </w:r>
            <w:r>
              <w:rPr>
                <w:position w:val="7"/>
                <w:sz w:val="14"/>
              </w:rPr>
              <w:t>-4</w:t>
            </w:r>
          </w:p>
        </w:tc>
      </w:tr>
    </w:tbl>
    <w:p>
      <w:pPr>
        <w:pStyle w:val="Heading3"/>
        <w:numPr>
          <w:ilvl w:val="2"/>
          <w:numId w:val="53"/>
        </w:numPr>
        <w:tabs>
          <w:tab w:pos="838" w:val="left" w:leader="none"/>
        </w:tabs>
        <w:spacing w:line="240" w:lineRule="auto" w:before="82" w:after="0"/>
        <w:ind w:left="837" w:right="0" w:hanging="601"/>
        <w:jc w:val="left"/>
      </w:pPr>
      <w:bookmarkStart w:name="_bookmark75" w:id="146"/>
      <w:bookmarkEnd w:id="146"/>
      <w:r>
        <w:rPr>
          <w:b w:val="0"/>
        </w:rPr>
      </w:r>
      <w:bookmarkStart w:name="_bookmark75" w:id="147"/>
      <w:bookmarkEnd w:id="147"/>
      <w:r>
        <w:rPr/>
        <w:t>声环境质量现状监测与评价</w:t>
      </w:r>
    </w:p>
    <w:p>
      <w:pPr>
        <w:pStyle w:val="BodyText"/>
        <w:spacing w:line="364" w:lineRule="auto" w:before="161"/>
        <w:ind w:right="258" w:firstLine="480"/>
      </w:pPr>
      <w:r>
        <w:rPr/>
        <w:t>为了解项目所在地噪声环境状况，建设单位委托杭州普洛赛斯检测科技有限公司对项目拟建址四周声环境进行了监测，详见检测报告（附件十一）。</w:t>
      </w:r>
    </w:p>
    <w:p>
      <w:pPr>
        <w:pStyle w:val="Heading3"/>
        <w:spacing w:before="1"/>
      </w:pPr>
      <w:r>
        <w:rPr>
          <w:rFonts w:ascii="Times New Roman" w:eastAsia="Times New Roman"/>
        </w:rPr>
        <w:t>1</w:t>
      </w:r>
      <w:r>
        <w:rPr/>
        <w:t>、监测方案</w:t>
      </w:r>
    </w:p>
    <w:p>
      <w:pPr>
        <w:pStyle w:val="ListParagraph"/>
        <w:numPr>
          <w:ilvl w:val="0"/>
          <w:numId w:val="60"/>
        </w:numPr>
        <w:tabs>
          <w:tab w:pos="1323" w:val="left" w:leader="none"/>
        </w:tabs>
        <w:spacing w:line="240" w:lineRule="auto" w:before="161" w:after="0"/>
        <w:ind w:left="1323" w:right="0" w:hanging="604"/>
        <w:jc w:val="left"/>
        <w:rPr>
          <w:b/>
          <w:sz w:val="24"/>
        </w:rPr>
      </w:pPr>
      <w:r>
        <w:rPr>
          <w:b/>
          <w:sz w:val="24"/>
        </w:rPr>
        <w:t>监测点布设</w:t>
      </w:r>
    </w:p>
    <w:p>
      <w:pPr>
        <w:pStyle w:val="BodyText"/>
        <w:spacing w:before="160"/>
        <w:ind w:left="717"/>
      </w:pPr>
      <w:r>
        <w:rPr/>
        <w:t>在本项目拟建址四周边界共设 </w:t>
      </w:r>
      <w:r>
        <w:rPr>
          <w:rFonts w:ascii="Times New Roman" w:eastAsia="Times New Roman"/>
        </w:rPr>
        <w:t>4 </w:t>
      </w:r>
      <w:r>
        <w:rPr/>
        <w:t>个监测点（</w:t>
      </w:r>
      <w:r>
        <w:rPr>
          <w:rFonts w:ascii="Times New Roman" w:eastAsia="Times New Roman"/>
        </w:rPr>
        <w:t>N1~N4</w:t>
      </w:r>
      <w:r>
        <w:rPr/>
        <w:t>），具体位置见附图五。</w:t>
      </w:r>
    </w:p>
    <w:p>
      <w:pPr>
        <w:pStyle w:val="Heading3"/>
        <w:numPr>
          <w:ilvl w:val="0"/>
          <w:numId w:val="60"/>
        </w:numPr>
        <w:tabs>
          <w:tab w:pos="1323" w:val="left" w:leader="none"/>
        </w:tabs>
        <w:spacing w:line="240" w:lineRule="auto" w:before="161" w:after="0"/>
        <w:ind w:left="1323" w:right="0" w:hanging="604"/>
        <w:jc w:val="left"/>
      </w:pPr>
      <w:r>
        <w:rPr/>
        <w:t>监测频率</w:t>
      </w:r>
    </w:p>
    <w:p>
      <w:pPr>
        <w:pStyle w:val="BodyText"/>
        <w:spacing w:before="160"/>
        <w:ind w:left="717"/>
      </w:pPr>
      <w:r>
        <w:rPr>
          <w:rFonts w:ascii="Times New Roman" w:eastAsia="Times New Roman"/>
        </w:rPr>
        <w:t>2020.12.11~2020.12.12</w:t>
      </w:r>
      <w:r>
        <w:rPr/>
        <w:t>，监测 </w:t>
      </w:r>
      <w:r>
        <w:rPr>
          <w:rFonts w:ascii="Times New Roman" w:eastAsia="Times New Roman"/>
        </w:rPr>
        <w:t>2 </w:t>
      </w:r>
      <w:r>
        <w:rPr/>
        <w:t>天，每天昼、夜间各监测 </w:t>
      </w:r>
      <w:r>
        <w:rPr>
          <w:rFonts w:ascii="Times New Roman" w:eastAsia="Times New Roman"/>
        </w:rPr>
        <w:t>1 </w:t>
      </w:r>
      <w:r>
        <w:rPr/>
        <w:t>次。</w:t>
      </w:r>
    </w:p>
    <w:p>
      <w:pPr>
        <w:pStyle w:val="Heading3"/>
        <w:numPr>
          <w:ilvl w:val="0"/>
          <w:numId w:val="60"/>
        </w:numPr>
        <w:tabs>
          <w:tab w:pos="1323" w:val="left" w:leader="none"/>
        </w:tabs>
        <w:spacing w:line="240" w:lineRule="auto" w:before="161" w:after="0"/>
        <w:ind w:left="1323" w:right="0" w:hanging="604"/>
        <w:jc w:val="left"/>
      </w:pPr>
      <w:r>
        <w:rPr/>
        <w:t>监测内容</w:t>
      </w:r>
    </w:p>
    <w:p>
      <w:pPr>
        <w:pStyle w:val="BodyText"/>
        <w:spacing w:before="160"/>
        <w:ind w:left="717"/>
      </w:pPr>
      <w:r>
        <w:rPr/>
        <w:t>监测内容为 </w:t>
      </w:r>
      <w:r>
        <w:rPr>
          <w:rFonts w:ascii="Times New Roman" w:eastAsia="Times New Roman"/>
        </w:rPr>
        <w:t>Leq</w:t>
      </w:r>
      <w:r>
        <w:rPr/>
        <w:t>（</w:t>
      </w:r>
      <w:r>
        <w:rPr>
          <w:rFonts w:ascii="Times New Roman" w:eastAsia="Times New Roman"/>
        </w:rPr>
        <w:t>A</w:t>
      </w:r>
      <w:r>
        <w:rPr/>
        <w:t>），采用多功能声级计分析仪测量，测量前进行校准。</w:t>
      </w:r>
    </w:p>
    <w:p>
      <w:pPr>
        <w:pStyle w:val="Heading3"/>
        <w:numPr>
          <w:ilvl w:val="0"/>
          <w:numId w:val="60"/>
        </w:numPr>
        <w:tabs>
          <w:tab w:pos="1323" w:val="left" w:leader="none"/>
        </w:tabs>
        <w:spacing w:line="240" w:lineRule="auto" w:before="161" w:after="0"/>
        <w:ind w:left="1323" w:right="0" w:hanging="604"/>
        <w:jc w:val="left"/>
      </w:pPr>
      <w:r>
        <w:rPr/>
        <w:t>监测方法</w:t>
      </w:r>
    </w:p>
    <w:p>
      <w:pPr>
        <w:pStyle w:val="BodyText"/>
        <w:spacing w:before="161"/>
        <w:ind w:left="717"/>
      </w:pPr>
      <w:r>
        <w:rPr/>
        <w:t>按《</w:t>
      </w:r>
      <w:hyperlink r:id="rId65">
        <w:r>
          <w:rPr/>
          <w:t>声环境质量标准</w:t>
        </w:r>
      </w:hyperlink>
      <w:r>
        <w:rPr/>
        <w:t>》（</w:t>
      </w:r>
      <w:hyperlink r:id="rId65">
        <w:r>
          <w:rPr>
            <w:rFonts w:ascii="Times New Roman" w:eastAsia="Times New Roman"/>
          </w:rPr>
          <w:t>GB 3096-2008</w:t>
        </w:r>
      </w:hyperlink>
      <w:r>
        <w:rPr/>
        <w:t>）及《环境监测技术规范》执行。</w:t>
      </w:r>
    </w:p>
    <w:p>
      <w:pPr>
        <w:pStyle w:val="Heading3"/>
        <w:numPr>
          <w:ilvl w:val="0"/>
          <w:numId w:val="60"/>
        </w:numPr>
        <w:tabs>
          <w:tab w:pos="1323" w:val="left" w:leader="none"/>
        </w:tabs>
        <w:spacing w:line="240" w:lineRule="auto" w:before="160" w:after="0"/>
        <w:ind w:left="1323" w:right="0" w:hanging="604"/>
        <w:jc w:val="left"/>
      </w:pPr>
      <w:r>
        <w:rPr/>
        <w:t>评价标准</w:t>
      </w:r>
    </w:p>
    <w:p>
      <w:pPr>
        <w:pStyle w:val="BodyText"/>
        <w:spacing w:line="364" w:lineRule="auto" w:before="161"/>
        <w:ind w:right="252" w:firstLine="480"/>
      </w:pPr>
      <w:hyperlink r:id="rId65">
        <w:r>
          <w:rPr/>
          <w:t>项目拟建址背景噪声执行《声环境质量标准</w:t>
        </w:r>
      </w:hyperlink>
      <w:r>
        <w:rPr/>
        <w:t>》（</w:t>
      </w:r>
      <w:hyperlink r:id="rId65">
        <w:r>
          <w:rPr>
            <w:rFonts w:ascii="Times New Roman" w:eastAsia="Times New Roman"/>
          </w:rPr>
          <w:t>GB</w:t>
        </w:r>
        <w:r>
          <w:rPr>
            <w:rFonts w:ascii="Times New Roman" w:eastAsia="Times New Roman"/>
            <w:spacing w:val="58"/>
          </w:rPr>
          <w:t> </w:t>
        </w:r>
        <w:r>
          <w:rPr>
            <w:rFonts w:ascii="Times New Roman" w:eastAsia="Times New Roman"/>
          </w:rPr>
          <w:t>3096-2008</w:t>
        </w:r>
      </w:hyperlink>
      <w:r>
        <w:rPr/>
        <w:t>）</w:t>
      </w:r>
      <w:r>
        <w:rPr>
          <w:spacing w:val="-20"/>
        </w:rPr>
        <w:t>中 </w:t>
      </w:r>
      <w:r>
        <w:rPr>
          <w:rFonts w:ascii="Times New Roman" w:eastAsia="Times New Roman"/>
        </w:rPr>
        <w:t>1</w:t>
      </w:r>
      <w:r>
        <w:rPr>
          <w:rFonts w:ascii="Times New Roman" w:eastAsia="Times New Roman"/>
          <w:spacing w:val="19"/>
        </w:rPr>
        <w:t> </w:t>
      </w:r>
      <w:r>
        <w:rPr>
          <w:spacing w:val="-3"/>
        </w:rPr>
        <w:t>类区标准，采</w:t>
      </w:r>
      <w:r>
        <w:rPr/>
        <w:t>用超标值方法进行评价。</w:t>
      </w:r>
    </w:p>
    <w:p>
      <w:pPr>
        <w:pStyle w:val="Heading3"/>
        <w:spacing w:before="1"/>
      </w:pPr>
      <w:r>
        <w:rPr>
          <w:rFonts w:ascii="Times New Roman" w:eastAsia="Times New Roman"/>
          <w:w w:val="95"/>
        </w:rPr>
        <w:t>2</w:t>
      </w:r>
      <w:r>
        <w:rPr>
          <w:w w:val="95"/>
        </w:rPr>
        <w:t>、监测结果与分析</w:t>
      </w:r>
    </w:p>
    <w:p>
      <w:pPr>
        <w:pStyle w:val="BodyText"/>
        <w:spacing w:before="161"/>
        <w:ind w:left="717"/>
      </w:pPr>
      <w:r>
        <w:rPr/>
        <w:t>本次噪声监测结果详见表 </w:t>
      </w:r>
      <w:r>
        <w:rPr>
          <w:rFonts w:ascii="Times New Roman" w:eastAsia="Times New Roman"/>
        </w:rPr>
        <w:t>4.3-10</w:t>
      </w:r>
      <w:r>
        <w:rPr/>
        <w:t>。</w:t>
      </w:r>
    </w:p>
    <w:p>
      <w:pPr>
        <w:spacing w:after="0"/>
        <w:sectPr>
          <w:headerReference w:type="default" r:id="rId63"/>
          <w:footerReference w:type="default" r:id="rId64"/>
          <w:pgSz w:w="11910" w:h="16840"/>
          <w:pgMar w:header="874" w:footer="1004" w:top="1440" w:bottom="1200" w:left="1040" w:right="1160"/>
          <w:pgNumType w:start="102"/>
        </w:sectPr>
      </w:pPr>
    </w:p>
    <w:p>
      <w:pPr>
        <w:pStyle w:val="Heading3"/>
        <w:spacing w:before="64"/>
        <w:ind w:left="220" w:right="236"/>
        <w:jc w:val="center"/>
        <w:rPr>
          <w:rFonts w:ascii="Times New Roman" w:eastAsia="Times New Roman"/>
        </w:rPr>
      </w:pPr>
      <w:r>
        <w:rPr/>
        <w:t>表 </w:t>
      </w:r>
      <w:r>
        <w:rPr>
          <w:rFonts w:ascii="Times New Roman" w:eastAsia="Times New Roman"/>
        </w:rPr>
        <w:t>4.3-10  </w:t>
      </w:r>
      <w:r>
        <w:rPr/>
        <w:t>项目拟建区域声环境监测结果 单位：</w:t>
      </w:r>
      <w:r>
        <w:rPr>
          <w:rFonts w:ascii="Times New Roman" w:eastAsia="Times New Roman"/>
        </w:rPr>
        <w:t>dB(A)</w:t>
      </w:r>
    </w:p>
    <w:p>
      <w:pPr>
        <w:pStyle w:val="BodyText"/>
        <w:spacing w:before="9"/>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4"/>
        <w:gridCol w:w="1220"/>
        <w:gridCol w:w="982"/>
        <w:gridCol w:w="980"/>
        <w:gridCol w:w="989"/>
        <w:gridCol w:w="990"/>
        <w:gridCol w:w="917"/>
        <w:gridCol w:w="917"/>
        <w:gridCol w:w="915"/>
      </w:tblGrid>
      <w:tr>
        <w:trPr>
          <w:trHeight w:val="359" w:hRule="atLeast"/>
        </w:trPr>
        <w:tc>
          <w:tcPr>
            <w:tcW w:w="1524"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340"/>
              <w:jc w:val="left"/>
              <w:rPr>
                <w:rFonts w:ascii="宋体" w:eastAsia="宋体" w:hint="eastAsia"/>
                <w:b/>
                <w:sz w:val="21"/>
              </w:rPr>
            </w:pPr>
            <w:r>
              <w:rPr>
                <w:rFonts w:ascii="宋体" w:eastAsia="宋体" w:hint="eastAsia"/>
                <w:b/>
                <w:sz w:val="21"/>
              </w:rPr>
              <w:t>测点编号</w:t>
            </w:r>
          </w:p>
        </w:tc>
        <w:tc>
          <w:tcPr>
            <w:tcW w:w="1220"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299"/>
              <w:jc w:val="left"/>
              <w:rPr>
                <w:rFonts w:ascii="宋体" w:eastAsia="宋体" w:hint="eastAsia"/>
                <w:b/>
                <w:sz w:val="21"/>
              </w:rPr>
            </w:pPr>
            <w:r>
              <w:rPr>
                <w:rFonts w:ascii="宋体" w:eastAsia="宋体" w:hint="eastAsia"/>
                <w:b/>
                <w:sz w:val="21"/>
              </w:rPr>
              <w:t>噪声源</w:t>
            </w:r>
          </w:p>
        </w:tc>
        <w:tc>
          <w:tcPr>
            <w:tcW w:w="1962" w:type="dxa"/>
            <w:gridSpan w:val="2"/>
            <w:tcBorders>
              <w:left w:val="single" w:sz="4" w:space="0" w:color="000000"/>
              <w:bottom w:val="single" w:sz="4" w:space="0" w:color="000000"/>
              <w:right w:val="single" w:sz="4" w:space="0" w:color="000000"/>
            </w:tcBorders>
          </w:tcPr>
          <w:p>
            <w:pPr>
              <w:pStyle w:val="TableParagraph"/>
              <w:spacing w:before="43"/>
              <w:ind w:left="417"/>
              <w:jc w:val="left"/>
              <w:rPr>
                <w:rFonts w:ascii="宋体" w:eastAsia="宋体" w:hint="eastAsia"/>
                <w:b/>
                <w:sz w:val="21"/>
              </w:rPr>
            </w:pPr>
            <w:r>
              <w:rPr>
                <w:b/>
                <w:sz w:val="21"/>
              </w:rPr>
              <w:t>12.11 </w:t>
            </w:r>
            <w:r>
              <w:rPr>
                <w:rFonts w:ascii="宋体" w:eastAsia="宋体" w:hint="eastAsia"/>
                <w:b/>
                <w:sz w:val="21"/>
              </w:rPr>
              <w:t>检测值</w:t>
            </w:r>
          </w:p>
        </w:tc>
        <w:tc>
          <w:tcPr>
            <w:tcW w:w="1979" w:type="dxa"/>
            <w:gridSpan w:val="2"/>
            <w:tcBorders>
              <w:left w:val="single" w:sz="4" w:space="0" w:color="000000"/>
              <w:bottom w:val="single" w:sz="4" w:space="0" w:color="000000"/>
              <w:right w:val="single" w:sz="4" w:space="0" w:color="000000"/>
            </w:tcBorders>
          </w:tcPr>
          <w:p>
            <w:pPr>
              <w:pStyle w:val="TableParagraph"/>
              <w:spacing w:before="43"/>
              <w:ind w:left="416"/>
              <w:jc w:val="left"/>
              <w:rPr>
                <w:rFonts w:ascii="宋体" w:eastAsia="宋体" w:hint="eastAsia"/>
                <w:b/>
                <w:sz w:val="21"/>
              </w:rPr>
            </w:pPr>
            <w:r>
              <w:rPr>
                <w:b/>
                <w:sz w:val="21"/>
              </w:rPr>
              <w:t>12.12 </w:t>
            </w:r>
            <w:r>
              <w:rPr>
                <w:rFonts w:ascii="宋体" w:eastAsia="宋体" w:hint="eastAsia"/>
                <w:b/>
                <w:sz w:val="21"/>
              </w:rPr>
              <w:t>检测值</w:t>
            </w:r>
          </w:p>
        </w:tc>
        <w:tc>
          <w:tcPr>
            <w:tcW w:w="1834" w:type="dxa"/>
            <w:gridSpan w:val="2"/>
            <w:tcBorders>
              <w:left w:val="single" w:sz="4" w:space="0" w:color="000000"/>
              <w:bottom w:val="single" w:sz="4" w:space="0" w:color="000000"/>
              <w:right w:val="single" w:sz="4" w:space="0" w:color="000000"/>
            </w:tcBorders>
          </w:tcPr>
          <w:p>
            <w:pPr>
              <w:pStyle w:val="TableParagraph"/>
              <w:spacing w:before="43"/>
              <w:ind w:left="605"/>
              <w:jc w:val="left"/>
              <w:rPr>
                <w:rFonts w:ascii="宋体" w:eastAsia="宋体" w:hint="eastAsia"/>
                <w:b/>
                <w:sz w:val="21"/>
              </w:rPr>
            </w:pPr>
            <w:r>
              <w:rPr>
                <w:rFonts w:ascii="宋体" w:eastAsia="宋体" w:hint="eastAsia"/>
                <w:b/>
                <w:sz w:val="21"/>
              </w:rPr>
              <w:t>标准值</w:t>
            </w:r>
          </w:p>
        </w:tc>
        <w:tc>
          <w:tcPr>
            <w:tcW w:w="915" w:type="dxa"/>
            <w:vMerge w:val="restart"/>
            <w:tcBorders>
              <w:left w:val="single" w:sz="4" w:space="0" w:color="000000"/>
              <w:bottom w:val="single" w:sz="4" w:space="0" w:color="000000"/>
            </w:tcBorders>
          </w:tcPr>
          <w:p>
            <w:pPr>
              <w:pStyle w:val="TableParagraph"/>
              <w:spacing w:before="51"/>
              <w:ind w:left="252"/>
              <w:jc w:val="left"/>
              <w:rPr>
                <w:rFonts w:ascii="宋体" w:eastAsia="宋体" w:hint="eastAsia"/>
                <w:b/>
                <w:sz w:val="21"/>
              </w:rPr>
            </w:pPr>
            <w:r>
              <w:rPr>
                <w:rFonts w:ascii="宋体" w:eastAsia="宋体" w:hint="eastAsia"/>
                <w:b/>
                <w:sz w:val="21"/>
              </w:rPr>
              <w:t>达标</w:t>
            </w:r>
          </w:p>
          <w:p>
            <w:pPr>
              <w:pStyle w:val="TableParagraph"/>
              <w:spacing w:before="88"/>
              <w:ind w:left="252"/>
              <w:jc w:val="left"/>
              <w:rPr>
                <w:rFonts w:ascii="宋体" w:eastAsia="宋体" w:hint="eastAsia"/>
                <w:b/>
                <w:sz w:val="21"/>
              </w:rPr>
            </w:pPr>
            <w:r>
              <w:rPr>
                <w:rFonts w:ascii="宋体" w:eastAsia="宋体" w:hint="eastAsia"/>
                <w:b/>
                <w:sz w:val="21"/>
              </w:rPr>
              <w:t>分析</w:t>
            </w:r>
          </w:p>
        </w:tc>
      </w:tr>
      <w:tr>
        <w:trPr>
          <w:trHeight w:val="359" w:hRule="atLeast"/>
        </w:trPr>
        <w:tc>
          <w:tcPr>
            <w:tcW w:w="1524" w:type="dxa"/>
            <w:vMerge/>
            <w:tcBorders>
              <w:top w:val="nil"/>
              <w:bottom w:val="single" w:sz="4" w:space="0" w:color="000000"/>
              <w:right w:val="single" w:sz="4" w:space="0" w:color="000000"/>
            </w:tcBorders>
          </w:tcPr>
          <w:p>
            <w:pPr>
              <w:rPr>
                <w:sz w:val="2"/>
                <w:szCs w:val="2"/>
              </w:rPr>
            </w:pPr>
          </w:p>
        </w:tc>
        <w:tc>
          <w:tcPr>
            <w:tcW w:w="1220" w:type="dxa"/>
            <w:vMerge/>
            <w:tcBorders>
              <w:top w:val="nil"/>
              <w:left w:val="single" w:sz="4" w:space="0" w:color="000000"/>
              <w:bottom w:val="single" w:sz="4" w:space="0" w:color="000000"/>
              <w:right w:val="single" w:sz="4" w:space="0" w:color="000000"/>
            </w:tcBorders>
          </w:tcPr>
          <w:p>
            <w:pPr>
              <w:rPr>
                <w:sz w:val="2"/>
                <w:szCs w:val="2"/>
              </w:rPr>
            </w:pPr>
          </w:p>
        </w:tc>
        <w:tc>
          <w:tcPr>
            <w:tcW w:w="982" w:type="dxa"/>
            <w:tcBorders>
              <w:top w:val="single" w:sz="4" w:space="0" w:color="000000"/>
              <w:left w:val="single" w:sz="4" w:space="0" w:color="000000"/>
              <w:bottom w:val="single" w:sz="4" w:space="0" w:color="000000"/>
              <w:right w:val="single" w:sz="4" w:space="0" w:color="000000"/>
            </w:tcBorders>
          </w:tcPr>
          <w:p>
            <w:pPr>
              <w:pStyle w:val="TableParagraph"/>
              <w:spacing w:before="44"/>
              <w:ind w:left="287"/>
              <w:jc w:val="left"/>
              <w:rPr>
                <w:rFonts w:ascii="宋体" w:eastAsia="宋体" w:hint="eastAsia"/>
                <w:b/>
                <w:sz w:val="21"/>
              </w:rPr>
            </w:pPr>
            <w:r>
              <w:rPr>
                <w:rFonts w:ascii="宋体" w:eastAsia="宋体" w:hint="eastAsia"/>
                <w:b/>
                <w:sz w:val="21"/>
              </w:rPr>
              <w:t>昼间</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spacing w:before="44"/>
              <w:ind w:left="284"/>
              <w:jc w:val="left"/>
              <w:rPr>
                <w:rFonts w:ascii="宋体" w:eastAsia="宋体" w:hint="eastAsia"/>
                <w:b/>
                <w:sz w:val="21"/>
              </w:rPr>
            </w:pPr>
            <w:r>
              <w:rPr>
                <w:rFonts w:ascii="宋体" w:eastAsia="宋体" w:hint="eastAsia"/>
                <w:b/>
                <w:sz w:val="21"/>
              </w:rPr>
              <w:t>夜间</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before="44"/>
              <w:ind w:left="291"/>
              <w:jc w:val="left"/>
              <w:rPr>
                <w:rFonts w:ascii="宋体" w:eastAsia="宋体" w:hint="eastAsia"/>
                <w:b/>
                <w:sz w:val="21"/>
              </w:rPr>
            </w:pPr>
            <w:r>
              <w:rPr>
                <w:rFonts w:ascii="宋体" w:eastAsia="宋体" w:hint="eastAsia"/>
                <w:b/>
                <w:sz w:val="21"/>
              </w:rPr>
              <w:t>昼间</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spacing w:before="44"/>
              <w:ind w:left="291"/>
              <w:jc w:val="left"/>
              <w:rPr>
                <w:rFonts w:ascii="宋体" w:eastAsia="宋体" w:hint="eastAsia"/>
                <w:b/>
                <w:sz w:val="21"/>
              </w:rPr>
            </w:pPr>
            <w:r>
              <w:rPr>
                <w:rFonts w:ascii="宋体" w:eastAsia="宋体" w:hint="eastAsia"/>
                <w:b/>
                <w:sz w:val="21"/>
              </w:rPr>
              <w:t>夜间</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44"/>
              <w:ind w:left="232" w:right="212"/>
              <w:rPr>
                <w:rFonts w:ascii="宋体" w:eastAsia="宋体" w:hint="eastAsia"/>
                <w:b/>
                <w:sz w:val="21"/>
              </w:rPr>
            </w:pPr>
            <w:r>
              <w:rPr>
                <w:rFonts w:ascii="宋体" w:eastAsia="宋体" w:hint="eastAsia"/>
                <w:b/>
                <w:sz w:val="21"/>
              </w:rPr>
              <w:t>昼间</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spacing w:before="44"/>
              <w:ind w:left="231" w:right="212"/>
              <w:rPr>
                <w:rFonts w:ascii="宋体" w:eastAsia="宋体" w:hint="eastAsia"/>
                <w:b/>
                <w:sz w:val="21"/>
              </w:rPr>
            </w:pPr>
            <w:r>
              <w:rPr>
                <w:rFonts w:ascii="宋体" w:eastAsia="宋体" w:hint="eastAsia"/>
                <w:b/>
                <w:sz w:val="21"/>
              </w:rPr>
              <w:t>夜间</w:t>
            </w:r>
          </w:p>
        </w:tc>
        <w:tc>
          <w:tcPr>
            <w:tcW w:w="915" w:type="dxa"/>
            <w:vMerge/>
            <w:tcBorders>
              <w:top w:val="nil"/>
              <w:left w:val="single" w:sz="4" w:space="0" w:color="000000"/>
              <w:bottom w:val="single" w:sz="4" w:space="0" w:color="000000"/>
            </w:tcBorders>
          </w:tcPr>
          <w:p>
            <w:pPr>
              <w:rPr>
                <w:sz w:val="2"/>
                <w:szCs w:val="2"/>
              </w:rPr>
            </w:pPr>
          </w:p>
        </w:tc>
      </w:tr>
      <w:tr>
        <w:trPr>
          <w:trHeight w:val="357" w:hRule="atLeast"/>
        </w:trPr>
        <w:tc>
          <w:tcPr>
            <w:tcW w:w="1524" w:type="dxa"/>
            <w:tcBorders>
              <w:top w:val="single" w:sz="4" w:space="0" w:color="000000"/>
              <w:bottom w:val="single" w:sz="4" w:space="0" w:color="000000"/>
              <w:right w:val="single" w:sz="4" w:space="0" w:color="000000"/>
            </w:tcBorders>
          </w:tcPr>
          <w:p>
            <w:pPr>
              <w:pStyle w:val="TableParagraph"/>
              <w:ind w:left="146" w:right="124"/>
              <w:rPr>
                <w:sz w:val="21"/>
              </w:rPr>
            </w:pPr>
            <w:r>
              <w:rPr>
                <w:sz w:val="21"/>
              </w:rPr>
              <w:t>N1</w:t>
            </w:r>
          </w:p>
        </w:tc>
        <w:tc>
          <w:tcPr>
            <w:tcW w:w="1220" w:type="dxa"/>
            <w:tcBorders>
              <w:top w:val="single" w:sz="4" w:space="0" w:color="000000"/>
              <w:left w:val="single" w:sz="4" w:space="0" w:color="000000"/>
              <w:bottom w:val="single" w:sz="4" w:space="0" w:color="000000"/>
              <w:right w:val="single" w:sz="4" w:space="0" w:color="000000"/>
            </w:tcBorders>
          </w:tcPr>
          <w:p>
            <w:pPr>
              <w:pStyle w:val="TableParagraph"/>
              <w:ind w:left="25"/>
              <w:rPr>
                <w:sz w:val="21"/>
              </w:rPr>
            </w:pPr>
            <w:r>
              <w:rPr>
                <w:w w:val="100"/>
                <w:sz w:val="21"/>
              </w:rPr>
              <w:t>/</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ind w:left="316"/>
              <w:jc w:val="left"/>
              <w:rPr>
                <w:rFonts w:ascii="宋体"/>
                <w:sz w:val="21"/>
              </w:rPr>
            </w:pPr>
            <w:r>
              <w:rPr>
                <w:sz w:val="21"/>
              </w:rPr>
              <w:t>48.2</w:t>
            </w:r>
            <w:r>
              <w:rPr>
                <w:rFonts w:ascii="宋体"/>
                <w:sz w:val="21"/>
              </w:rPr>
              <w:t> </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ind w:left="313"/>
              <w:jc w:val="left"/>
              <w:rPr>
                <w:rFonts w:ascii="宋体"/>
                <w:sz w:val="21"/>
              </w:rPr>
            </w:pPr>
            <w:r>
              <w:rPr>
                <w:sz w:val="21"/>
              </w:rPr>
              <w:t>42.8</w:t>
            </w:r>
            <w:r>
              <w:rPr>
                <w:rFonts w:ascii="宋体"/>
                <w:sz w:val="21"/>
              </w:rPr>
              <w:t> </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ind w:left="317"/>
              <w:jc w:val="left"/>
              <w:rPr>
                <w:rFonts w:ascii="宋体"/>
                <w:sz w:val="21"/>
              </w:rPr>
            </w:pPr>
            <w:r>
              <w:rPr>
                <w:sz w:val="21"/>
              </w:rPr>
              <w:t>48.9</w:t>
            </w:r>
            <w:r>
              <w:rPr>
                <w:rFonts w:ascii="宋体"/>
                <w:sz w:val="21"/>
              </w:rPr>
              <w:t> </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ind w:left="317"/>
              <w:jc w:val="left"/>
              <w:rPr>
                <w:rFonts w:ascii="宋体"/>
                <w:sz w:val="21"/>
              </w:rPr>
            </w:pPr>
            <w:r>
              <w:rPr>
                <w:sz w:val="21"/>
              </w:rPr>
              <w:t>41.7</w:t>
            </w:r>
            <w:r>
              <w:rPr>
                <w:rFonts w:ascii="宋体"/>
                <w:sz w:val="21"/>
              </w:rPr>
              <w:t> </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ind w:left="232" w:right="212"/>
              <w:rPr>
                <w:sz w:val="21"/>
              </w:rPr>
            </w:pPr>
            <w:r>
              <w:rPr>
                <w:sz w:val="21"/>
              </w:rPr>
              <w:t>55</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ind w:left="231" w:right="212"/>
              <w:rPr>
                <w:sz w:val="21"/>
              </w:rPr>
            </w:pPr>
            <w:r>
              <w:rPr>
                <w:sz w:val="21"/>
              </w:rPr>
              <w:t>45</w:t>
            </w:r>
          </w:p>
        </w:tc>
        <w:tc>
          <w:tcPr>
            <w:tcW w:w="915" w:type="dxa"/>
            <w:tcBorders>
              <w:top w:val="single" w:sz="4" w:space="0" w:color="000000"/>
              <w:left w:val="single" w:sz="4" w:space="0" w:color="000000"/>
              <w:bottom w:val="single" w:sz="4" w:space="0" w:color="000000"/>
            </w:tcBorders>
          </w:tcPr>
          <w:p>
            <w:pPr>
              <w:pStyle w:val="TableParagraph"/>
              <w:spacing w:before="44"/>
              <w:ind w:left="254"/>
              <w:jc w:val="left"/>
              <w:rPr>
                <w:rFonts w:ascii="宋体" w:eastAsia="宋体" w:hint="eastAsia"/>
                <w:sz w:val="21"/>
              </w:rPr>
            </w:pPr>
            <w:r>
              <w:rPr>
                <w:rFonts w:ascii="宋体" w:eastAsia="宋体" w:hint="eastAsia"/>
                <w:sz w:val="21"/>
              </w:rPr>
              <w:t>达标</w:t>
            </w:r>
          </w:p>
        </w:tc>
      </w:tr>
      <w:tr>
        <w:trPr>
          <w:trHeight w:val="359" w:hRule="atLeast"/>
        </w:trPr>
        <w:tc>
          <w:tcPr>
            <w:tcW w:w="1524" w:type="dxa"/>
            <w:tcBorders>
              <w:top w:val="single" w:sz="4" w:space="0" w:color="000000"/>
              <w:bottom w:val="single" w:sz="4" w:space="0" w:color="000000"/>
              <w:right w:val="single" w:sz="4" w:space="0" w:color="000000"/>
            </w:tcBorders>
          </w:tcPr>
          <w:p>
            <w:pPr>
              <w:pStyle w:val="TableParagraph"/>
              <w:ind w:left="146" w:right="124"/>
              <w:rPr>
                <w:sz w:val="21"/>
              </w:rPr>
            </w:pPr>
            <w:r>
              <w:rPr>
                <w:sz w:val="21"/>
              </w:rPr>
              <w:t>N2</w:t>
            </w:r>
          </w:p>
        </w:tc>
        <w:tc>
          <w:tcPr>
            <w:tcW w:w="1220" w:type="dxa"/>
            <w:tcBorders>
              <w:top w:val="single" w:sz="4" w:space="0" w:color="000000"/>
              <w:left w:val="single" w:sz="4" w:space="0" w:color="000000"/>
              <w:bottom w:val="single" w:sz="4" w:space="0" w:color="000000"/>
              <w:right w:val="single" w:sz="4" w:space="0" w:color="000000"/>
            </w:tcBorders>
          </w:tcPr>
          <w:p>
            <w:pPr>
              <w:pStyle w:val="TableParagraph"/>
              <w:ind w:left="25"/>
              <w:rPr>
                <w:sz w:val="21"/>
              </w:rPr>
            </w:pPr>
            <w:r>
              <w:rPr>
                <w:w w:val="100"/>
                <w:sz w:val="21"/>
              </w:rPr>
              <w:t>/</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ind w:left="316"/>
              <w:jc w:val="left"/>
              <w:rPr>
                <w:rFonts w:ascii="宋体"/>
                <w:sz w:val="21"/>
              </w:rPr>
            </w:pPr>
            <w:r>
              <w:rPr>
                <w:sz w:val="21"/>
              </w:rPr>
              <w:t>47.5</w:t>
            </w:r>
            <w:r>
              <w:rPr>
                <w:rFonts w:ascii="宋体"/>
                <w:sz w:val="21"/>
              </w:rPr>
              <w:t> </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ind w:left="313"/>
              <w:jc w:val="left"/>
              <w:rPr>
                <w:rFonts w:ascii="宋体"/>
                <w:sz w:val="21"/>
              </w:rPr>
            </w:pPr>
            <w:r>
              <w:rPr>
                <w:sz w:val="21"/>
              </w:rPr>
              <w:t>41.3</w:t>
            </w:r>
            <w:r>
              <w:rPr>
                <w:rFonts w:ascii="宋体"/>
                <w:sz w:val="21"/>
              </w:rPr>
              <w:t> </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ind w:left="317"/>
              <w:jc w:val="left"/>
              <w:rPr>
                <w:rFonts w:ascii="宋体"/>
                <w:sz w:val="21"/>
              </w:rPr>
            </w:pPr>
            <w:r>
              <w:rPr>
                <w:sz w:val="21"/>
              </w:rPr>
              <w:t>47.8</w:t>
            </w:r>
            <w:r>
              <w:rPr>
                <w:rFonts w:ascii="宋体"/>
                <w:sz w:val="21"/>
              </w:rPr>
              <w:t> </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ind w:left="317"/>
              <w:jc w:val="left"/>
              <w:rPr>
                <w:rFonts w:ascii="宋体"/>
                <w:sz w:val="21"/>
              </w:rPr>
            </w:pPr>
            <w:r>
              <w:rPr>
                <w:sz w:val="21"/>
              </w:rPr>
              <w:t>42.5</w:t>
            </w:r>
            <w:r>
              <w:rPr>
                <w:rFonts w:ascii="宋体"/>
                <w:sz w:val="21"/>
              </w:rPr>
              <w:t> </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ind w:left="232" w:right="212"/>
              <w:rPr>
                <w:sz w:val="21"/>
              </w:rPr>
            </w:pPr>
            <w:r>
              <w:rPr>
                <w:sz w:val="21"/>
              </w:rPr>
              <w:t>55</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ind w:left="231" w:right="212"/>
              <w:rPr>
                <w:sz w:val="21"/>
              </w:rPr>
            </w:pPr>
            <w:r>
              <w:rPr>
                <w:sz w:val="21"/>
              </w:rPr>
              <w:t>45</w:t>
            </w:r>
          </w:p>
        </w:tc>
        <w:tc>
          <w:tcPr>
            <w:tcW w:w="915" w:type="dxa"/>
            <w:tcBorders>
              <w:top w:val="single" w:sz="4" w:space="0" w:color="000000"/>
              <w:left w:val="single" w:sz="4" w:space="0" w:color="000000"/>
              <w:bottom w:val="single" w:sz="4" w:space="0" w:color="000000"/>
            </w:tcBorders>
          </w:tcPr>
          <w:p>
            <w:pPr>
              <w:pStyle w:val="TableParagraph"/>
              <w:spacing w:before="44"/>
              <w:ind w:left="254"/>
              <w:jc w:val="left"/>
              <w:rPr>
                <w:rFonts w:ascii="宋体" w:eastAsia="宋体" w:hint="eastAsia"/>
                <w:sz w:val="21"/>
              </w:rPr>
            </w:pPr>
            <w:r>
              <w:rPr>
                <w:rFonts w:ascii="宋体" w:eastAsia="宋体" w:hint="eastAsia"/>
                <w:sz w:val="21"/>
              </w:rPr>
              <w:t>达标</w:t>
            </w:r>
          </w:p>
        </w:tc>
      </w:tr>
      <w:tr>
        <w:trPr>
          <w:trHeight w:val="359" w:hRule="atLeast"/>
        </w:trPr>
        <w:tc>
          <w:tcPr>
            <w:tcW w:w="1524" w:type="dxa"/>
            <w:tcBorders>
              <w:top w:val="single" w:sz="4" w:space="0" w:color="000000"/>
              <w:bottom w:val="single" w:sz="4" w:space="0" w:color="000000"/>
              <w:right w:val="single" w:sz="4" w:space="0" w:color="000000"/>
            </w:tcBorders>
          </w:tcPr>
          <w:p>
            <w:pPr>
              <w:pStyle w:val="TableParagraph"/>
              <w:ind w:left="146" w:right="124"/>
              <w:rPr>
                <w:sz w:val="21"/>
              </w:rPr>
            </w:pPr>
            <w:r>
              <w:rPr>
                <w:sz w:val="21"/>
              </w:rPr>
              <w:t>N3</w:t>
            </w:r>
          </w:p>
        </w:tc>
        <w:tc>
          <w:tcPr>
            <w:tcW w:w="1220" w:type="dxa"/>
            <w:tcBorders>
              <w:top w:val="single" w:sz="4" w:space="0" w:color="000000"/>
              <w:left w:val="single" w:sz="4" w:space="0" w:color="000000"/>
              <w:bottom w:val="single" w:sz="4" w:space="0" w:color="000000"/>
              <w:right w:val="single" w:sz="4" w:space="0" w:color="000000"/>
            </w:tcBorders>
          </w:tcPr>
          <w:p>
            <w:pPr>
              <w:pStyle w:val="TableParagraph"/>
              <w:ind w:left="25"/>
              <w:rPr>
                <w:sz w:val="21"/>
              </w:rPr>
            </w:pPr>
            <w:r>
              <w:rPr>
                <w:w w:val="100"/>
                <w:sz w:val="21"/>
              </w:rPr>
              <w:t>/</w:t>
            </w:r>
          </w:p>
        </w:tc>
        <w:tc>
          <w:tcPr>
            <w:tcW w:w="982" w:type="dxa"/>
            <w:tcBorders>
              <w:top w:val="single" w:sz="4" w:space="0" w:color="000000"/>
              <w:left w:val="single" w:sz="4" w:space="0" w:color="000000"/>
              <w:bottom w:val="single" w:sz="4" w:space="0" w:color="000000"/>
              <w:right w:val="single" w:sz="4" w:space="0" w:color="000000"/>
            </w:tcBorders>
          </w:tcPr>
          <w:p>
            <w:pPr>
              <w:pStyle w:val="TableParagraph"/>
              <w:ind w:left="316"/>
              <w:jc w:val="left"/>
              <w:rPr>
                <w:rFonts w:ascii="宋体"/>
                <w:sz w:val="21"/>
              </w:rPr>
            </w:pPr>
            <w:r>
              <w:rPr>
                <w:sz w:val="21"/>
              </w:rPr>
              <w:t>49.1</w:t>
            </w:r>
            <w:r>
              <w:rPr>
                <w:rFonts w:ascii="宋体"/>
                <w:sz w:val="21"/>
              </w:rPr>
              <w:t> </w:t>
            </w:r>
          </w:p>
        </w:tc>
        <w:tc>
          <w:tcPr>
            <w:tcW w:w="980" w:type="dxa"/>
            <w:tcBorders>
              <w:top w:val="single" w:sz="4" w:space="0" w:color="000000"/>
              <w:left w:val="single" w:sz="4" w:space="0" w:color="000000"/>
              <w:bottom w:val="single" w:sz="4" w:space="0" w:color="000000"/>
              <w:right w:val="single" w:sz="4" w:space="0" w:color="000000"/>
            </w:tcBorders>
          </w:tcPr>
          <w:p>
            <w:pPr>
              <w:pStyle w:val="TableParagraph"/>
              <w:ind w:left="313"/>
              <w:jc w:val="left"/>
              <w:rPr>
                <w:rFonts w:ascii="宋体"/>
                <w:sz w:val="21"/>
              </w:rPr>
            </w:pPr>
            <w:r>
              <w:rPr>
                <w:sz w:val="21"/>
              </w:rPr>
              <w:t>43.0</w:t>
            </w:r>
            <w:r>
              <w:rPr>
                <w:rFonts w:ascii="宋体"/>
                <w:sz w:val="21"/>
              </w:rPr>
              <w:t> </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ind w:left="317"/>
              <w:jc w:val="left"/>
              <w:rPr>
                <w:rFonts w:ascii="宋体"/>
                <w:sz w:val="21"/>
              </w:rPr>
            </w:pPr>
            <w:r>
              <w:rPr>
                <w:sz w:val="21"/>
              </w:rPr>
              <w:t>51.2</w:t>
            </w:r>
            <w:r>
              <w:rPr>
                <w:rFonts w:ascii="宋体"/>
                <w:sz w:val="21"/>
              </w:rPr>
              <w:t> </w:t>
            </w:r>
          </w:p>
        </w:tc>
        <w:tc>
          <w:tcPr>
            <w:tcW w:w="990" w:type="dxa"/>
            <w:tcBorders>
              <w:top w:val="single" w:sz="4" w:space="0" w:color="000000"/>
              <w:left w:val="single" w:sz="4" w:space="0" w:color="000000"/>
              <w:bottom w:val="single" w:sz="4" w:space="0" w:color="000000"/>
              <w:right w:val="single" w:sz="4" w:space="0" w:color="000000"/>
            </w:tcBorders>
          </w:tcPr>
          <w:p>
            <w:pPr>
              <w:pStyle w:val="TableParagraph"/>
              <w:ind w:left="317"/>
              <w:jc w:val="left"/>
              <w:rPr>
                <w:rFonts w:ascii="宋体"/>
                <w:sz w:val="21"/>
              </w:rPr>
            </w:pPr>
            <w:r>
              <w:rPr>
                <w:sz w:val="21"/>
              </w:rPr>
              <w:t>43.9</w:t>
            </w:r>
            <w:r>
              <w:rPr>
                <w:rFonts w:ascii="宋体"/>
                <w:sz w:val="21"/>
              </w:rPr>
              <w:t> </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ind w:left="232" w:right="212"/>
              <w:rPr>
                <w:sz w:val="21"/>
              </w:rPr>
            </w:pPr>
            <w:r>
              <w:rPr>
                <w:sz w:val="21"/>
              </w:rPr>
              <w:t>55</w:t>
            </w:r>
          </w:p>
        </w:tc>
        <w:tc>
          <w:tcPr>
            <w:tcW w:w="917" w:type="dxa"/>
            <w:tcBorders>
              <w:top w:val="single" w:sz="4" w:space="0" w:color="000000"/>
              <w:left w:val="single" w:sz="4" w:space="0" w:color="000000"/>
              <w:bottom w:val="single" w:sz="4" w:space="0" w:color="000000"/>
              <w:right w:val="single" w:sz="4" w:space="0" w:color="000000"/>
            </w:tcBorders>
          </w:tcPr>
          <w:p>
            <w:pPr>
              <w:pStyle w:val="TableParagraph"/>
              <w:ind w:left="231" w:right="212"/>
              <w:rPr>
                <w:sz w:val="21"/>
              </w:rPr>
            </w:pPr>
            <w:r>
              <w:rPr>
                <w:sz w:val="21"/>
              </w:rPr>
              <w:t>45</w:t>
            </w:r>
          </w:p>
        </w:tc>
        <w:tc>
          <w:tcPr>
            <w:tcW w:w="915" w:type="dxa"/>
            <w:tcBorders>
              <w:top w:val="single" w:sz="4" w:space="0" w:color="000000"/>
              <w:left w:val="single" w:sz="4" w:space="0" w:color="000000"/>
              <w:bottom w:val="single" w:sz="4" w:space="0" w:color="000000"/>
            </w:tcBorders>
          </w:tcPr>
          <w:p>
            <w:pPr>
              <w:pStyle w:val="TableParagraph"/>
              <w:spacing w:before="44"/>
              <w:ind w:left="254"/>
              <w:jc w:val="left"/>
              <w:rPr>
                <w:rFonts w:ascii="宋体" w:eastAsia="宋体" w:hint="eastAsia"/>
                <w:sz w:val="21"/>
              </w:rPr>
            </w:pPr>
            <w:r>
              <w:rPr>
                <w:rFonts w:ascii="宋体" w:eastAsia="宋体" w:hint="eastAsia"/>
                <w:sz w:val="21"/>
              </w:rPr>
              <w:t>达标</w:t>
            </w:r>
          </w:p>
        </w:tc>
      </w:tr>
      <w:tr>
        <w:trPr>
          <w:trHeight w:val="356" w:hRule="atLeast"/>
        </w:trPr>
        <w:tc>
          <w:tcPr>
            <w:tcW w:w="1524" w:type="dxa"/>
            <w:tcBorders>
              <w:top w:val="single" w:sz="4" w:space="0" w:color="000000"/>
              <w:right w:val="single" w:sz="4" w:space="0" w:color="000000"/>
            </w:tcBorders>
          </w:tcPr>
          <w:p>
            <w:pPr>
              <w:pStyle w:val="TableParagraph"/>
              <w:ind w:left="146" w:right="124"/>
              <w:rPr>
                <w:sz w:val="21"/>
              </w:rPr>
            </w:pPr>
            <w:r>
              <w:rPr>
                <w:sz w:val="21"/>
              </w:rPr>
              <w:t>N4</w:t>
            </w:r>
          </w:p>
        </w:tc>
        <w:tc>
          <w:tcPr>
            <w:tcW w:w="1220" w:type="dxa"/>
            <w:tcBorders>
              <w:top w:val="single" w:sz="4" w:space="0" w:color="000000"/>
              <w:left w:val="single" w:sz="4" w:space="0" w:color="000000"/>
              <w:right w:val="single" w:sz="4" w:space="0" w:color="000000"/>
            </w:tcBorders>
          </w:tcPr>
          <w:p>
            <w:pPr>
              <w:pStyle w:val="TableParagraph"/>
              <w:ind w:left="25"/>
              <w:rPr>
                <w:sz w:val="21"/>
              </w:rPr>
            </w:pPr>
            <w:r>
              <w:rPr>
                <w:w w:val="100"/>
                <w:sz w:val="21"/>
              </w:rPr>
              <w:t>/</w:t>
            </w:r>
          </w:p>
        </w:tc>
        <w:tc>
          <w:tcPr>
            <w:tcW w:w="982" w:type="dxa"/>
            <w:tcBorders>
              <w:top w:val="single" w:sz="4" w:space="0" w:color="000000"/>
              <w:left w:val="single" w:sz="4" w:space="0" w:color="000000"/>
              <w:right w:val="single" w:sz="4" w:space="0" w:color="000000"/>
            </w:tcBorders>
          </w:tcPr>
          <w:p>
            <w:pPr>
              <w:pStyle w:val="TableParagraph"/>
              <w:ind w:left="316"/>
              <w:jc w:val="left"/>
              <w:rPr>
                <w:rFonts w:ascii="宋体"/>
                <w:sz w:val="21"/>
              </w:rPr>
            </w:pPr>
            <w:r>
              <w:rPr>
                <w:sz w:val="21"/>
              </w:rPr>
              <w:t>52.2</w:t>
            </w:r>
            <w:r>
              <w:rPr>
                <w:rFonts w:ascii="宋体"/>
                <w:sz w:val="21"/>
              </w:rPr>
              <w:t> </w:t>
            </w:r>
          </w:p>
        </w:tc>
        <w:tc>
          <w:tcPr>
            <w:tcW w:w="980" w:type="dxa"/>
            <w:tcBorders>
              <w:top w:val="single" w:sz="4" w:space="0" w:color="000000"/>
              <w:left w:val="single" w:sz="4" w:space="0" w:color="000000"/>
              <w:right w:val="single" w:sz="4" w:space="0" w:color="000000"/>
            </w:tcBorders>
          </w:tcPr>
          <w:p>
            <w:pPr>
              <w:pStyle w:val="TableParagraph"/>
              <w:ind w:left="313"/>
              <w:jc w:val="left"/>
              <w:rPr>
                <w:rFonts w:ascii="宋体"/>
                <w:sz w:val="21"/>
              </w:rPr>
            </w:pPr>
            <w:r>
              <w:rPr>
                <w:sz w:val="21"/>
              </w:rPr>
              <w:t>44.2</w:t>
            </w:r>
            <w:r>
              <w:rPr>
                <w:rFonts w:ascii="宋体"/>
                <w:sz w:val="21"/>
              </w:rPr>
              <w:t> </w:t>
            </w:r>
          </w:p>
        </w:tc>
        <w:tc>
          <w:tcPr>
            <w:tcW w:w="989" w:type="dxa"/>
            <w:tcBorders>
              <w:top w:val="single" w:sz="4" w:space="0" w:color="000000"/>
              <w:left w:val="single" w:sz="4" w:space="0" w:color="000000"/>
              <w:right w:val="single" w:sz="4" w:space="0" w:color="000000"/>
            </w:tcBorders>
          </w:tcPr>
          <w:p>
            <w:pPr>
              <w:pStyle w:val="TableParagraph"/>
              <w:ind w:left="317"/>
              <w:jc w:val="left"/>
              <w:rPr>
                <w:rFonts w:ascii="宋体"/>
                <w:sz w:val="21"/>
              </w:rPr>
            </w:pPr>
            <w:r>
              <w:rPr>
                <w:sz w:val="21"/>
              </w:rPr>
              <w:t>52.7</w:t>
            </w:r>
            <w:r>
              <w:rPr>
                <w:rFonts w:ascii="宋体"/>
                <w:sz w:val="21"/>
              </w:rPr>
              <w:t> </w:t>
            </w:r>
          </w:p>
        </w:tc>
        <w:tc>
          <w:tcPr>
            <w:tcW w:w="990" w:type="dxa"/>
            <w:tcBorders>
              <w:top w:val="single" w:sz="4" w:space="0" w:color="000000"/>
              <w:left w:val="single" w:sz="4" w:space="0" w:color="000000"/>
              <w:right w:val="single" w:sz="4" w:space="0" w:color="000000"/>
            </w:tcBorders>
          </w:tcPr>
          <w:p>
            <w:pPr>
              <w:pStyle w:val="TableParagraph"/>
              <w:ind w:left="317"/>
              <w:jc w:val="left"/>
              <w:rPr>
                <w:rFonts w:ascii="宋体"/>
                <w:sz w:val="21"/>
              </w:rPr>
            </w:pPr>
            <w:r>
              <w:rPr>
                <w:sz w:val="21"/>
              </w:rPr>
              <w:t>43.5</w:t>
            </w:r>
            <w:r>
              <w:rPr>
                <w:rFonts w:ascii="宋体"/>
                <w:sz w:val="21"/>
              </w:rPr>
              <w:t> </w:t>
            </w:r>
          </w:p>
        </w:tc>
        <w:tc>
          <w:tcPr>
            <w:tcW w:w="917" w:type="dxa"/>
            <w:tcBorders>
              <w:top w:val="single" w:sz="4" w:space="0" w:color="000000"/>
              <w:left w:val="single" w:sz="4" w:space="0" w:color="000000"/>
              <w:right w:val="single" w:sz="4" w:space="0" w:color="000000"/>
            </w:tcBorders>
          </w:tcPr>
          <w:p>
            <w:pPr>
              <w:pStyle w:val="TableParagraph"/>
              <w:ind w:left="232" w:right="212"/>
              <w:rPr>
                <w:sz w:val="21"/>
              </w:rPr>
            </w:pPr>
            <w:r>
              <w:rPr>
                <w:sz w:val="21"/>
              </w:rPr>
              <w:t>55</w:t>
            </w:r>
          </w:p>
        </w:tc>
        <w:tc>
          <w:tcPr>
            <w:tcW w:w="917" w:type="dxa"/>
            <w:tcBorders>
              <w:top w:val="single" w:sz="4" w:space="0" w:color="000000"/>
              <w:left w:val="single" w:sz="4" w:space="0" w:color="000000"/>
              <w:right w:val="single" w:sz="4" w:space="0" w:color="000000"/>
            </w:tcBorders>
          </w:tcPr>
          <w:p>
            <w:pPr>
              <w:pStyle w:val="TableParagraph"/>
              <w:ind w:left="231" w:right="212"/>
              <w:rPr>
                <w:sz w:val="21"/>
              </w:rPr>
            </w:pPr>
            <w:r>
              <w:rPr>
                <w:sz w:val="21"/>
              </w:rPr>
              <w:t>45</w:t>
            </w:r>
          </w:p>
        </w:tc>
        <w:tc>
          <w:tcPr>
            <w:tcW w:w="915" w:type="dxa"/>
            <w:tcBorders>
              <w:top w:val="single" w:sz="4" w:space="0" w:color="000000"/>
              <w:left w:val="single" w:sz="4" w:space="0" w:color="000000"/>
            </w:tcBorders>
          </w:tcPr>
          <w:p>
            <w:pPr>
              <w:pStyle w:val="TableParagraph"/>
              <w:spacing w:before="44"/>
              <w:ind w:left="254"/>
              <w:jc w:val="left"/>
              <w:rPr>
                <w:rFonts w:ascii="宋体" w:eastAsia="宋体" w:hint="eastAsia"/>
                <w:sz w:val="21"/>
              </w:rPr>
            </w:pPr>
            <w:r>
              <w:rPr>
                <w:rFonts w:ascii="宋体" w:eastAsia="宋体" w:hint="eastAsia"/>
                <w:sz w:val="21"/>
              </w:rPr>
              <w:t>达标</w:t>
            </w:r>
          </w:p>
        </w:tc>
      </w:tr>
    </w:tbl>
    <w:p>
      <w:pPr>
        <w:pStyle w:val="BodyText"/>
        <w:spacing w:line="364" w:lineRule="auto" w:before="84"/>
        <w:ind w:right="131" w:firstLine="480"/>
      </w:pPr>
      <w:r>
        <w:rPr>
          <w:spacing w:val="-11"/>
        </w:rPr>
        <w:t>由监测结果可知，项目拟建址背景噪声均能达到</w:t>
      </w:r>
      <w:hyperlink r:id="rId65">
        <w:r>
          <w:rPr/>
          <w:t>《声环境质量标准</w:t>
        </w:r>
      </w:hyperlink>
      <w:r>
        <w:rPr>
          <w:spacing w:val="-130"/>
        </w:rPr>
        <w:t>》</w:t>
      </w:r>
      <w:r>
        <w:rPr/>
        <w:t>（</w:t>
      </w:r>
      <w:r>
        <w:rPr>
          <w:rFonts w:ascii="Times New Roman" w:eastAsia="Times New Roman"/>
        </w:rPr>
        <w:t>GB</w:t>
      </w:r>
      <w:r>
        <w:rPr>
          <w:rFonts w:ascii="Times New Roman" w:eastAsia="Times New Roman"/>
          <w:spacing w:val="10"/>
        </w:rPr>
        <w:t> </w:t>
      </w:r>
      <w:r>
        <w:rPr>
          <w:rFonts w:ascii="Times New Roman" w:eastAsia="Times New Roman"/>
          <w:spacing w:val="-3"/>
        </w:rPr>
        <w:t>3096-2008</w:t>
      </w:r>
      <w:r>
        <w:rPr>
          <w:spacing w:val="-3"/>
        </w:rPr>
        <w:t>） </w:t>
      </w:r>
      <w:r>
        <w:rPr>
          <w:rFonts w:ascii="Times New Roman" w:eastAsia="Times New Roman"/>
        </w:rPr>
        <w:t>1 </w:t>
      </w:r>
      <w:r>
        <w:rPr/>
        <w:t>类标准要求，说明项目周围声环境质量满足环境功能要求。</w:t>
      </w:r>
    </w:p>
    <w:p>
      <w:pPr>
        <w:pStyle w:val="Heading3"/>
        <w:numPr>
          <w:ilvl w:val="2"/>
          <w:numId w:val="53"/>
        </w:numPr>
        <w:tabs>
          <w:tab w:pos="838" w:val="left" w:leader="none"/>
        </w:tabs>
        <w:spacing w:line="240" w:lineRule="auto" w:before="2" w:after="0"/>
        <w:ind w:left="837" w:right="0" w:hanging="601"/>
        <w:jc w:val="left"/>
      </w:pPr>
      <w:bookmarkStart w:name="_bookmark76" w:id="148"/>
      <w:bookmarkEnd w:id="148"/>
      <w:r>
        <w:rPr>
          <w:b w:val="0"/>
        </w:rPr>
      </w:r>
      <w:bookmarkStart w:name="_bookmark76" w:id="149"/>
      <w:bookmarkEnd w:id="149"/>
      <w:r>
        <w:rPr/>
        <w:t>生态环境质量现状调查</w:t>
      </w:r>
    </w:p>
    <w:p>
      <w:pPr>
        <w:pStyle w:val="BodyText"/>
        <w:spacing w:line="364" w:lineRule="auto" w:before="161"/>
        <w:ind w:right="113" w:firstLine="480"/>
      </w:pPr>
      <w:r>
        <w:rPr/>
        <w:t>本项目拟建址四面环山，现状为农田，目前已完成设施农用地备案（详见附件五）。根据现场调查，项目拟建址农田主要种植经济作物，不涉珍贵的动、植物物种。周边地块涉及农田和山林，林地主要以乔木林为主，还有少量的灌木林，不涉珍贵的动、植物物种。</w:t>
      </w:r>
    </w:p>
    <w:p>
      <w:pPr>
        <w:pStyle w:val="BodyText"/>
        <w:spacing w:line="364" w:lineRule="auto" w:before="2"/>
        <w:ind w:right="249" w:firstLine="480"/>
        <w:jc w:val="both"/>
      </w:pPr>
      <w:r>
        <w:rPr>
          <w:spacing w:val="-7"/>
        </w:rPr>
        <w:t>根据《全国水土保持规划</w:t>
      </w:r>
      <w:r>
        <w:rPr/>
        <w:t>（</w:t>
      </w:r>
      <w:r>
        <w:rPr>
          <w:rFonts w:ascii="Times New Roman" w:eastAsia="Times New Roman"/>
        </w:rPr>
        <w:t>2015~2030 </w:t>
      </w:r>
      <w:r>
        <w:rPr/>
        <w:t>年</w:t>
      </w:r>
      <w:r>
        <w:rPr>
          <w:spacing w:val="-20"/>
        </w:rPr>
        <w:t>）</w:t>
      </w:r>
      <w:r>
        <w:rPr>
          <w:spacing w:val="-7"/>
        </w:rPr>
        <w:t>》，项目拟建址不属于国家级水土流失重</w:t>
      </w:r>
      <w:r>
        <w:rPr>
          <w:spacing w:val="-6"/>
        </w:rPr>
        <w:t>点预防区和重点治理区；根据《浙江省水利厅浙江省发展和改革委员会关于公布省级水</w:t>
      </w:r>
      <w:r>
        <w:rPr>
          <w:spacing w:val="-5"/>
        </w:rPr>
        <w:t>土流失重点预防区和重点治理区的公告》，项目拟建址属于省级水土流失重点预防区。项目拟建址水土流失成因包括自然和人为两个方面因素，自然因素主要为降雨强度大、降雨时间集中、土层薄抗蚀性差等；人为因素主要为生产建设活动扰动地表，损坏地表植被，诱发水土流失。</w:t>
      </w:r>
    </w:p>
    <w:p>
      <w:pPr>
        <w:pStyle w:val="Heading2"/>
        <w:spacing w:before="55"/>
        <w:ind w:left="237" w:firstLine="0"/>
      </w:pPr>
      <w:bookmarkStart w:name="_bookmark77" w:id="150"/>
      <w:bookmarkEnd w:id="150"/>
      <w:r>
        <w:rPr>
          <w:b w:val="0"/>
        </w:rPr>
      </w:r>
      <w:r>
        <w:rPr>
          <w:rFonts w:ascii="Times New Roman" w:eastAsia="Times New Roman"/>
        </w:rPr>
        <w:t>4.4</w:t>
      </w:r>
      <w:r>
        <w:rPr>
          <w:rFonts w:ascii="Times New Roman" w:eastAsia="Times New Roman"/>
          <w:spacing w:val="69"/>
        </w:rPr>
        <w:t> </w:t>
      </w:r>
      <w:r>
        <w:rPr/>
        <w:t>周边污染源调查</w:t>
      </w:r>
    </w:p>
    <w:p>
      <w:pPr>
        <w:pStyle w:val="BodyText"/>
        <w:spacing w:line="364" w:lineRule="auto" w:before="214"/>
        <w:ind w:right="249" w:firstLine="480"/>
        <w:jc w:val="both"/>
      </w:pPr>
      <w:r>
        <w:rPr>
          <w:spacing w:val="-6"/>
          <w:position w:val="2"/>
        </w:rPr>
        <w:t>根据现场调查，本项目大气环境影响评价范围内无其他涉 </w:t>
      </w:r>
      <w:r>
        <w:rPr>
          <w:rFonts w:ascii="Times New Roman" w:eastAsia="Times New Roman"/>
          <w:position w:val="2"/>
        </w:rPr>
        <w:t>NH</w:t>
      </w:r>
      <w:r>
        <w:rPr>
          <w:rFonts w:ascii="Times New Roman" w:eastAsia="Times New Roman"/>
          <w:sz w:val="16"/>
        </w:rPr>
        <w:t>3</w:t>
      </w:r>
      <w:r>
        <w:rPr>
          <w:spacing w:val="-20"/>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w:t>
      </w:r>
      <w:r>
        <w:rPr>
          <w:spacing w:val="-6"/>
          <w:position w:val="2"/>
        </w:rPr>
        <w:t>、臭气等废气排</w:t>
      </w:r>
      <w:r>
        <w:rPr/>
        <w:t>放的在建、拟建工业企业。</w:t>
      </w:r>
    </w:p>
    <w:p>
      <w:pPr>
        <w:spacing w:after="0" w:line="364" w:lineRule="auto"/>
        <w:jc w:val="both"/>
        <w:sectPr>
          <w:pgSz w:w="11910" w:h="16840"/>
          <w:pgMar w:header="874" w:footer="1004" w:top="1440" w:bottom="1200" w:left="1040" w:right="1160"/>
        </w:sectPr>
      </w:pPr>
    </w:p>
    <w:p>
      <w:pPr>
        <w:pStyle w:val="Heading1"/>
        <w:spacing w:before="102"/>
      </w:pPr>
      <w:bookmarkStart w:name="_bookmark78" w:id="151"/>
      <w:bookmarkEnd w:id="151"/>
      <w:r>
        <w:rPr>
          <w:b w:val="0"/>
        </w:rPr>
      </w:r>
      <w:r>
        <w:rPr>
          <w:spacing w:val="-2"/>
        </w:rPr>
        <w:t>第五章 环境影响预测与评价</w:t>
      </w:r>
    </w:p>
    <w:p>
      <w:pPr>
        <w:pStyle w:val="Heading2"/>
        <w:numPr>
          <w:ilvl w:val="1"/>
          <w:numId w:val="61"/>
        </w:numPr>
        <w:tabs>
          <w:tab w:pos="730" w:val="left" w:leader="none"/>
        </w:tabs>
        <w:spacing w:line="240" w:lineRule="auto" w:before="252" w:after="0"/>
        <w:ind w:left="729" w:right="0" w:hanging="493"/>
        <w:jc w:val="both"/>
      </w:pPr>
      <w:bookmarkStart w:name="_bookmark79" w:id="152"/>
      <w:bookmarkEnd w:id="152"/>
      <w:r>
        <w:rPr>
          <w:b w:val="0"/>
        </w:rPr>
      </w:r>
      <w:bookmarkStart w:name="_bookmark79" w:id="153"/>
      <w:bookmarkEnd w:id="153"/>
      <w:r>
        <w:rPr>
          <w:w w:val="95"/>
        </w:rPr>
        <w:t>施工期环境影响分析</w:t>
      </w:r>
    </w:p>
    <w:p>
      <w:pPr>
        <w:pStyle w:val="BodyText"/>
        <w:spacing w:line="364" w:lineRule="auto" w:before="214"/>
        <w:ind w:right="249" w:firstLine="480"/>
        <w:jc w:val="both"/>
      </w:pPr>
      <w:r>
        <w:rPr/>
        <w:t>本项目施工过程会对周围环境产生一定不利影响，为保护建设项目周围环境，项目建设单位应对可能产生的污染引起重视，请施工设备先进，施工现场管理能力强的有资质的施工单位进场施工。采用各种有效措施，减少对周围环境的影响。</w:t>
      </w:r>
    </w:p>
    <w:p>
      <w:pPr>
        <w:pStyle w:val="Heading3"/>
        <w:numPr>
          <w:ilvl w:val="2"/>
          <w:numId w:val="61"/>
        </w:numPr>
        <w:tabs>
          <w:tab w:pos="838" w:val="left" w:leader="none"/>
        </w:tabs>
        <w:spacing w:line="240" w:lineRule="auto" w:before="2" w:after="0"/>
        <w:ind w:left="837" w:right="0" w:hanging="601"/>
        <w:jc w:val="both"/>
      </w:pPr>
      <w:bookmarkStart w:name="_bookmark80" w:id="154"/>
      <w:bookmarkEnd w:id="154"/>
      <w:r>
        <w:rPr>
          <w:b w:val="0"/>
        </w:rPr>
      </w:r>
      <w:bookmarkStart w:name="_bookmark80" w:id="155"/>
      <w:bookmarkEnd w:id="155"/>
      <w:r>
        <w:rPr/>
        <w:t>施工期水环境影响分析</w:t>
      </w:r>
    </w:p>
    <w:p>
      <w:pPr>
        <w:pStyle w:val="BodyText"/>
        <w:spacing w:before="161"/>
        <w:ind w:left="717"/>
      </w:pPr>
      <w:r>
        <w:rPr/>
        <w:t>施工期的废水排放主要来自建筑施工人员的生活污水和施工废水。</w:t>
      </w:r>
    </w:p>
    <w:p>
      <w:pPr>
        <w:pStyle w:val="BodyText"/>
        <w:spacing w:line="364" w:lineRule="auto" w:before="161"/>
        <w:ind w:right="250" w:firstLine="480"/>
        <w:jc w:val="both"/>
      </w:pPr>
      <w:r>
        <w:rPr>
          <w:spacing w:val="-3"/>
        </w:rPr>
        <w:t>生活污水施工期间按日均施工人员 </w:t>
      </w:r>
      <w:r>
        <w:rPr>
          <w:rFonts w:ascii="Times New Roman" w:hAnsi="Times New Roman" w:eastAsia="Times New Roman"/>
        </w:rPr>
        <w:t>30 </w:t>
      </w:r>
      <w:r>
        <w:rPr>
          <w:spacing w:val="-5"/>
        </w:rPr>
        <w:t>人计，生活用水量按 </w:t>
      </w:r>
      <w:r>
        <w:rPr>
          <w:rFonts w:ascii="Times New Roman" w:hAnsi="Times New Roman" w:eastAsia="Times New Roman"/>
        </w:rPr>
        <w:t>120 </w:t>
      </w:r>
      <w:r>
        <w:rPr/>
        <w:t>升</w:t>
      </w:r>
      <w:r>
        <w:rPr>
          <w:rFonts w:ascii="Times New Roman" w:hAnsi="Times New Roman" w:eastAsia="Times New Roman"/>
        </w:rPr>
        <w:t>/</w:t>
      </w:r>
      <w:r>
        <w:rPr/>
        <w:t>人</w:t>
      </w:r>
      <w:r>
        <w:rPr>
          <w:rFonts w:ascii="Times New Roman" w:hAnsi="Times New Roman" w:eastAsia="Times New Roman"/>
        </w:rPr>
        <w:t>·</w:t>
      </w:r>
      <w:r>
        <w:rPr>
          <w:spacing w:val="-3"/>
        </w:rPr>
        <w:t>日计，则日生</w:t>
      </w:r>
      <w:r>
        <w:rPr>
          <w:spacing w:val="-8"/>
          <w:position w:val="2"/>
        </w:rPr>
        <w:t>活用水量约 </w:t>
      </w:r>
      <w:r>
        <w:rPr>
          <w:rFonts w:ascii="Times New Roman" w:hAnsi="Times New Roman" w:eastAsia="Times New Roman"/>
          <w:position w:val="2"/>
        </w:rPr>
        <w:t>3.60t/d</w:t>
      </w:r>
      <w:r>
        <w:rPr>
          <w:spacing w:val="-8"/>
          <w:position w:val="2"/>
        </w:rPr>
        <w:t>，每人产生 </w:t>
      </w:r>
      <w:r>
        <w:rPr>
          <w:rFonts w:ascii="Times New Roman" w:hAnsi="Times New Roman" w:eastAsia="Times New Roman"/>
          <w:position w:val="2"/>
        </w:rPr>
        <w:t>BOD</w:t>
      </w:r>
      <w:r>
        <w:rPr>
          <w:rFonts w:ascii="Times New Roman" w:hAnsi="Times New Roman" w:eastAsia="Times New Roman"/>
          <w:sz w:val="16"/>
        </w:rPr>
        <w:t>5</w:t>
      </w:r>
      <w:r>
        <w:rPr>
          <w:rFonts w:ascii="Times New Roman" w:hAnsi="Times New Roman" w:eastAsia="Times New Roman"/>
          <w:position w:val="2"/>
        </w:rPr>
        <w:t>6g/d</w:t>
      </w:r>
      <w:r>
        <w:rPr>
          <w:position w:val="2"/>
        </w:rPr>
        <w:t>，</w:t>
      </w:r>
      <w:r>
        <w:rPr>
          <w:rFonts w:ascii="Times New Roman" w:hAnsi="Times New Roman" w:eastAsia="Times New Roman"/>
          <w:position w:val="2"/>
        </w:rPr>
        <w:t>COD</w:t>
      </w:r>
      <w:r>
        <w:rPr>
          <w:rFonts w:ascii="Times New Roman" w:hAnsi="Times New Roman" w:eastAsia="Times New Roman"/>
          <w:sz w:val="16"/>
        </w:rPr>
        <w:t>Cr</w:t>
      </w:r>
      <w:r>
        <w:rPr>
          <w:rFonts w:ascii="Times New Roman" w:hAnsi="Times New Roman" w:eastAsia="Times New Roman"/>
          <w:position w:val="2"/>
        </w:rPr>
        <w:t>8g/d</w:t>
      </w:r>
      <w:r>
        <w:rPr>
          <w:spacing w:val="-4"/>
          <w:position w:val="2"/>
        </w:rPr>
        <w:t>。生活污水排放量按用水量的 </w:t>
      </w:r>
      <w:r>
        <w:rPr>
          <w:rFonts w:ascii="Times New Roman" w:hAnsi="Times New Roman" w:eastAsia="Times New Roman"/>
          <w:position w:val="2"/>
        </w:rPr>
        <w:t>90% </w:t>
      </w:r>
      <w:r>
        <w:rPr>
          <w:spacing w:val="-2"/>
          <w:position w:val="2"/>
        </w:rPr>
        <w:t>计，则生活污水的日排放量约 </w:t>
      </w:r>
      <w:r>
        <w:rPr>
          <w:rFonts w:ascii="Times New Roman" w:hAnsi="Times New Roman" w:eastAsia="Times New Roman"/>
          <w:position w:val="2"/>
        </w:rPr>
        <w:t>3.24t/d</w:t>
      </w:r>
      <w:r>
        <w:rPr>
          <w:spacing w:val="-3"/>
          <w:position w:val="2"/>
        </w:rPr>
        <w:t>，主要污染因子为 </w:t>
      </w:r>
      <w:r>
        <w:rPr>
          <w:rFonts w:ascii="Times New Roman" w:hAnsi="Times New Roman" w:eastAsia="Times New Roman"/>
          <w:position w:val="2"/>
        </w:rPr>
        <w:t>COD</w:t>
      </w:r>
      <w:r>
        <w:rPr>
          <w:rFonts w:ascii="Times New Roman" w:hAnsi="Times New Roman" w:eastAsia="Times New Roman"/>
          <w:sz w:val="16"/>
        </w:rPr>
        <w:t>Cr</w:t>
      </w:r>
      <w:r>
        <w:rPr>
          <w:spacing w:val="-1"/>
          <w:position w:val="2"/>
        </w:rPr>
        <w:t>、氨氮等。由移动式化粪</w:t>
      </w:r>
      <w:r>
        <w:rPr/>
        <w:t>池预处理后由环卫部门清运。</w:t>
      </w:r>
    </w:p>
    <w:p>
      <w:pPr>
        <w:pStyle w:val="BodyText"/>
        <w:spacing w:line="364" w:lineRule="auto" w:before="2"/>
        <w:ind w:right="249" w:firstLine="480"/>
        <w:jc w:val="both"/>
      </w:pPr>
      <w:r>
        <w:rPr/>
        <w:t>施工废水主要为泥浆废水，来自开挖土方的地层水和浇水泥工序污水，其水量与地</w:t>
      </w:r>
      <w:r>
        <w:rPr>
          <w:spacing w:val="-2"/>
        </w:rPr>
        <w:t>层水位和天气状况有极大的关系，排放量较难估算，主要污染因子为 </w:t>
      </w:r>
      <w:r>
        <w:rPr>
          <w:rFonts w:ascii="Times New Roman" w:eastAsia="Times New Roman"/>
        </w:rPr>
        <w:t>SS</w:t>
      </w:r>
      <w:r>
        <w:rPr>
          <w:spacing w:val="-3"/>
        </w:rPr>
        <w:t>。建设单位应加</w:t>
      </w:r>
      <w:r>
        <w:rPr/>
        <w:t>强施工队伍管理，做好建筑材料和建筑废料的管理，防止产生二次污染。建筑工地四周须设置集水沟，所排施工废水经集水沟进入多级串联沉淀池，经沉淀处理后的上清液回用于施工，不排放。</w:t>
      </w:r>
    </w:p>
    <w:p>
      <w:pPr>
        <w:pStyle w:val="BodyText"/>
        <w:spacing w:before="4"/>
        <w:ind w:left="717"/>
      </w:pPr>
      <w:r>
        <w:rPr/>
        <w:t>落实上述措施后，施工废水对周围水环境基本无影响。</w:t>
      </w:r>
    </w:p>
    <w:p>
      <w:pPr>
        <w:pStyle w:val="Heading3"/>
        <w:numPr>
          <w:ilvl w:val="2"/>
          <w:numId w:val="61"/>
        </w:numPr>
        <w:tabs>
          <w:tab w:pos="838" w:val="left" w:leader="none"/>
        </w:tabs>
        <w:spacing w:line="240" w:lineRule="auto" w:before="160" w:after="0"/>
        <w:ind w:left="837" w:right="0" w:hanging="601"/>
        <w:jc w:val="left"/>
      </w:pPr>
      <w:bookmarkStart w:name="_bookmark81" w:id="156"/>
      <w:bookmarkEnd w:id="156"/>
      <w:r>
        <w:rPr>
          <w:b w:val="0"/>
        </w:rPr>
      </w:r>
      <w:bookmarkStart w:name="_bookmark81" w:id="157"/>
      <w:bookmarkEnd w:id="157"/>
      <w:r>
        <w:rPr/>
        <w:t>施工期环境空气影响分析</w:t>
      </w:r>
    </w:p>
    <w:p>
      <w:pPr>
        <w:pStyle w:val="BodyText"/>
        <w:spacing w:line="364" w:lineRule="auto" w:before="161"/>
        <w:ind w:right="131" w:firstLine="480"/>
      </w:pPr>
      <w:r>
        <w:rPr/>
        <w:t>施工期间大气的主要污染因子为粉尘，由于建筑粉尘比重较大，沉降较快，只要加</w:t>
      </w:r>
      <w:r>
        <w:rPr>
          <w:spacing w:val="-5"/>
        </w:rPr>
        <w:t>强管理，一般仅对周边地块产生影响。建设单位的工程概算应当包括扬尘污染防治费用。</w:t>
      </w:r>
      <w:r>
        <w:rPr>
          <w:spacing w:val="-3"/>
        </w:rPr>
        <w:t>建筑工程施工工地周围应当分别设置不低于 </w:t>
      </w:r>
      <w:r>
        <w:rPr>
          <w:rFonts w:ascii="Times New Roman" w:eastAsia="Times New Roman"/>
        </w:rPr>
        <w:t>2.5 </w:t>
      </w:r>
      <w:r>
        <w:rPr/>
        <w:t>米、</w:t>
      </w:r>
      <w:r>
        <w:rPr>
          <w:rFonts w:ascii="Times New Roman" w:eastAsia="Times New Roman"/>
        </w:rPr>
        <w:t>2.1 </w:t>
      </w:r>
      <w:r>
        <w:rPr/>
        <w:t>米的遮挡围墙，市政设施、道路</w:t>
      </w:r>
      <w:r>
        <w:rPr>
          <w:spacing w:val="-4"/>
        </w:rPr>
        <w:t>挖掘施工工地周围应当设置不低于 </w:t>
      </w:r>
      <w:r>
        <w:rPr>
          <w:rFonts w:ascii="Times New Roman" w:eastAsia="Times New Roman"/>
        </w:rPr>
        <w:t>2.1 </w:t>
      </w:r>
      <w:r>
        <w:rPr>
          <w:spacing w:val="-8"/>
        </w:rPr>
        <w:t>米的硬质密闭围档。建筑工程、市政设施、道路挖掘施工单位应当遵守下列规定：</w:t>
      </w:r>
    </w:p>
    <w:p>
      <w:pPr>
        <w:pStyle w:val="ListParagraph"/>
        <w:numPr>
          <w:ilvl w:val="3"/>
          <w:numId w:val="61"/>
        </w:numPr>
        <w:tabs>
          <w:tab w:pos="1319" w:val="left" w:leader="none"/>
        </w:tabs>
        <w:spacing w:line="240" w:lineRule="auto" w:before="3" w:after="0"/>
        <w:ind w:left="1318" w:right="0" w:hanging="602"/>
        <w:jc w:val="left"/>
        <w:rPr>
          <w:sz w:val="24"/>
        </w:rPr>
      </w:pPr>
      <w:r>
        <w:rPr>
          <w:sz w:val="24"/>
        </w:rPr>
        <w:t>施工方案中应当有明确的扬尘污染防治措施，并严格遵守和实施；</w:t>
      </w:r>
    </w:p>
    <w:p>
      <w:pPr>
        <w:pStyle w:val="ListParagraph"/>
        <w:numPr>
          <w:ilvl w:val="3"/>
          <w:numId w:val="61"/>
        </w:numPr>
        <w:tabs>
          <w:tab w:pos="1319" w:val="left" w:leader="none"/>
        </w:tabs>
        <w:spacing w:line="364" w:lineRule="auto" w:before="161" w:after="0"/>
        <w:ind w:left="237" w:right="249" w:firstLine="480"/>
        <w:jc w:val="both"/>
        <w:rPr>
          <w:sz w:val="24"/>
        </w:rPr>
      </w:pPr>
      <w:r>
        <w:rPr>
          <w:spacing w:val="-2"/>
          <w:sz w:val="24"/>
        </w:rPr>
        <w:t>工地内应当根据行政主管部门的要求，设置相应的车辆冲洗设施和排水、泥浆</w:t>
      </w:r>
      <w:r>
        <w:rPr>
          <w:spacing w:val="-7"/>
          <w:sz w:val="24"/>
        </w:rPr>
        <w:t>沉淀设施，运输车辆应当冲洗干净后出场，并保持出入口通道及道路两侧各 </w:t>
      </w:r>
      <w:r>
        <w:rPr>
          <w:rFonts w:ascii="Times New Roman" w:eastAsia="Times New Roman"/>
          <w:sz w:val="24"/>
        </w:rPr>
        <w:t>50 </w:t>
      </w:r>
      <w:r>
        <w:rPr>
          <w:spacing w:val="-5"/>
          <w:sz w:val="24"/>
        </w:rPr>
        <w:t>米范围内</w:t>
      </w:r>
      <w:r>
        <w:rPr>
          <w:sz w:val="24"/>
        </w:rPr>
        <w:t>的整洁；</w:t>
      </w:r>
    </w:p>
    <w:p>
      <w:pPr>
        <w:pStyle w:val="ListParagraph"/>
        <w:numPr>
          <w:ilvl w:val="3"/>
          <w:numId w:val="61"/>
        </w:numPr>
        <w:tabs>
          <w:tab w:pos="1319" w:val="left" w:leader="none"/>
        </w:tabs>
        <w:spacing w:line="240" w:lineRule="auto" w:before="2" w:after="0"/>
        <w:ind w:left="1318" w:right="0" w:hanging="602"/>
        <w:jc w:val="left"/>
        <w:rPr>
          <w:sz w:val="24"/>
        </w:rPr>
      </w:pPr>
      <w:r>
        <w:rPr>
          <w:sz w:val="24"/>
        </w:rPr>
        <w:t>施工中产生的物料堆应当采取遮盖、洒水、喷洒覆盖剂或其它防尘措施；</w:t>
      </w:r>
    </w:p>
    <w:p>
      <w:pPr>
        <w:pStyle w:val="ListParagraph"/>
        <w:numPr>
          <w:ilvl w:val="3"/>
          <w:numId w:val="61"/>
        </w:numPr>
        <w:tabs>
          <w:tab w:pos="1319" w:val="left" w:leader="none"/>
        </w:tabs>
        <w:spacing w:line="240" w:lineRule="auto" w:before="160" w:after="0"/>
        <w:ind w:left="1318" w:right="0" w:hanging="602"/>
        <w:jc w:val="left"/>
        <w:rPr>
          <w:sz w:val="24"/>
        </w:rPr>
      </w:pPr>
      <w:r>
        <w:rPr>
          <w:spacing w:val="-3"/>
          <w:sz w:val="24"/>
        </w:rPr>
        <w:t>施工产生的建筑垃圾、渣土应当及时清运，不能及时清运的，应当在施工场地</w:t>
      </w:r>
    </w:p>
    <w:p>
      <w:pPr>
        <w:spacing w:after="0" w:line="240" w:lineRule="auto"/>
        <w:jc w:val="left"/>
        <w:rPr>
          <w:sz w:val="24"/>
        </w:rPr>
        <w:sectPr>
          <w:pgSz w:w="11910" w:h="16840"/>
          <w:pgMar w:header="874" w:footer="1004" w:top="1440" w:bottom="1200" w:left="1040" w:right="1160"/>
        </w:sectPr>
      </w:pPr>
    </w:p>
    <w:p>
      <w:pPr>
        <w:pStyle w:val="BodyText"/>
        <w:spacing w:before="64"/>
      </w:pPr>
      <w:r>
        <w:rPr/>
        <w:t>内设置临时性密闭堆放设施进行存放或采取其它有效防尘措施；</w:t>
      </w:r>
    </w:p>
    <w:p>
      <w:pPr>
        <w:pStyle w:val="ListParagraph"/>
        <w:numPr>
          <w:ilvl w:val="3"/>
          <w:numId w:val="61"/>
        </w:numPr>
        <w:tabs>
          <w:tab w:pos="1319" w:val="left" w:leader="none"/>
        </w:tabs>
        <w:spacing w:line="364" w:lineRule="auto" w:before="160" w:after="0"/>
        <w:ind w:left="237" w:right="249" w:firstLine="480"/>
        <w:jc w:val="both"/>
        <w:rPr>
          <w:sz w:val="24"/>
        </w:rPr>
      </w:pPr>
      <w:r>
        <w:rPr>
          <w:spacing w:val="-5"/>
          <w:sz w:val="24"/>
        </w:rPr>
        <w:t>工程高处的物料、建筑垃圾、渣土等应当用容器垂直清运，禁止凌空抛掷，施</w:t>
      </w:r>
      <w:r>
        <w:rPr>
          <w:sz w:val="24"/>
        </w:rPr>
        <w:t>工扫尾阶段清扫出的建筑垃圾、渣土应当装袋扎口清运或用密闭容器清运，外架拆除时应当采取洒水等防尘措施；</w:t>
      </w:r>
    </w:p>
    <w:p>
      <w:pPr>
        <w:pStyle w:val="ListParagraph"/>
        <w:numPr>
          <w:ilvl w:val="3"/>
          <w:numId w:val="61"/>
        </w:numPr>
        <w:tabs>
          <w:tab w:pos="1319" w:val="left" w:leader="none"/>
        </w:tabs>
        <w:spacing w:line="364" w:lineRule="auto" w:before="2" w:after="0"/>
        <w:ind w:left="237" w:right="257" w:firstLine="480"/>
        <w:jc w:val="left"/>
        <w:rPr>
          <w:sz w:val="24"/>
        </w:rPr>
      </w:pPr>
      <w:r>
        <w:rPr>
          <w:spacing w:val="-3"/>
          <w:sz w:val="24"/>
        </w:rPr>
        <w:t>易产生扬尘的天气应当暂停土方开作业，并对工地采取洒水等防尘措施，停止</w:t>
      </w:r>
      <w:r>
        <w:rPr>
          <w:sz w:val="24"/>
        </w:rPr>
        <w:t>施工的通告由市环境保护行政主管部门负责拟定，报经市政府同意后予以公布；</w:t>
      </w:r>
    </w:p>
    <w:p>
      <w:pPr>
        <w:pStyle w:val="ListParagraph"/>
        <w:numPr>
          <w:ilvl w:val="3"/>
          <w:numId w:val="61"/>
        </w:numPr>
        <w:tabs>
          <w:tab w:pos="1319" w:val="left" w:leader="none"/>
        </w:tabs>
        <w:spacing w:line="364" w:lineRule="auto" w:before="1" w:after="0"/>
        <w:ind w:left="237" w:right="253" w:firstLine="480"/>
        <w:jc w:val="left"/>
        <w:rPr>
          <w:sz w:val="24"/>
        </w:rPr>
      </w:pPr>
      <w:r>
        <w:rPr>
          <w:spacing w:val="-4"/>
          <w:sz w:val="24"/>
        </w:rPr>
        <w:t>从事平整场地、清运建筑垃圾和渣土等施工作业时，应当采取边施工边洒水等</w:t>
      </w:r>
      <w:r>
        <w:rPr>
          <w:sz w:val="24"/>
        </w:rPr>
        <w:t>防止扬尘污染的作业方式。</w:t>
      </w:r>
    </w:p>
    <w:p>
      <w:pPr>
        <w:pStyle w:val="BodyText"/>
        <w:spacing w:line="364" w:lineRule="auto" w:before="2"/>
        <w:ind w:right="249" w:firstLine="480"/>
        <w:jc w:val="both"/>
      </w:pPr>
      <w:r>
        <w:rPr/>
        <w:t>粉尘是建设施工期的重要污染因素，本项目施工时会对周边环境造成一定影响，如不采取防尘措施，施工期粉尘对周边会产生较大影响。为尽可能减少扬尘对本项目建设区域周围大气环境的污染程度，应采取以下措施：</w:t>
      </w:r>
    </w:p>
    <w:p>
      <w:pPr>
        <w:pStyle w:val="ListParagraph"/>
        <w:numPr>
          <w:ilvl w:val="0"/>
          <w:numId w:val="62"/>
        </w:numPr>
        <w:tabs>
          <w:tab w:pos="1319" w:val="left" w:leader="none"/>
        </w:tabs>
        <w:spacing w:line="364" w:lineRule="auto" w:before="2" w:after="0"/>
        <w:ind w:left="237" w:right="257" w:firstLine="480"/>
        <w:jc w:val="left"/>
        <w:rPr>
          <w:sz w:val="24"/>
        </w:rPr>
      </w:pPr>
      <w:r>
        <w:rPr>
          <w:spacing w:val="-4"/>
          <w:sz w:val="24"/>
        </w:rPr>
        <w:t>从事建筑工程时，施工单位应当设置密目网，防止和减少施工中物料、建筑垃</w:t>
      </w:r>
      <w:r>
        <w:rPr>
          <w:sz w:val="24"/>
        </w:rPr>
        <w:t>圾和渣土等外逸，避免粉尘、废物和杂物飘散。</w:t>
      </w:r>
    </w:p>
    <w:p>
      <w:pPr>
        <w:pStyle w:val="ListParagraph"/>
        <w:numPr>
          <w:ilvl w:val="0"/>
          <w:numId w:val="62"/>
        </w:numPr>
        <w:tabs>
          <w:tab w:pos="1319" w:val="left" w:leader="none"/>
        </w:tabs>
        <w:spacing w:line="364" w:lineRule="auto" w:before="1" w:after="0"/>
        <w:ind w:left="237" w:right="130" w:firstLine="480"/>
        <w:jc w:val="left"/>
        <w:rPr>
          <w:sz w:val="24"/>
        </w:rPr>
      </w:pPr>
      <w:r>
        <w:rPr>
          <w:spacing w:val="-6"/>
          <w:sz w:val="24"/>
        </w:rPr>
        <w:t>建筑工程的工地路面应当实施硬化，工地出入口 </w:t>
      </w:r>
      <w:r>
        <w:rPr>
          <w:rFonts w:ascii="Times New Roman" w:eastAsia="Times New Roman"/>
          <w:sz w:val="24"/>
        </w:rPr>
        <w:t>5 </w:t>
      </w:r>
      <w:r>
        <w:rPr>
          <w:spacing w:val="-7"/>
          <w:sz w:val="24"/>
        </w:rPr>
        <w:t>米范围内用砼、沥青等硬化</w:t>
      </w:r>
      <w:r>
        <w:rPr>
          <w:spacing w:val="-4"/>
          <w:sz w:val="24"/>
        </w:rPr>
        <w:t>，出口处硬化路面不小于出口宽度。</w:t>
      </w:r>
    </w:p>
    <w:p>
      <w:pPr>
        <w:pStyle w:val="ListParagraph"/>
        <w:numPr>
          <w:ilvl w:val="0"/>
          <w:numId w:val="62"/>
        </w:numPr>
        <w:tabs>
          <w:tab w:pos="1319" w:val="left" w:leader="none"/>
        </w:tabs>
        <w:spacing w:line="364" w:lineRule="auto" w:before="1" w:after="0"/>
        <w:ind w:left="237" w:right="135" w:firstLine="480"/>
        <w:jc w:val="left"/>
        <w:rPr>
          <w:sz w:val="24"/>
        </w:rPr>
      </w:pPr>
      <w:r>
        <w:rPr>
          <w:spacing w:val="-7"/>
          <w:sz w:val="24"/>
        </w:rPr>
        <w:t>施工方应坚持每天 </w:t>
      </w:r>
      <w:r>
        <w:rPr>
          <w:rFonts w:ascii="Times New Roman" w:eastAsia="Times New Roman"/>
          <w:sz w:val="24"/>
        </w:rPr>
        <w:t>4~5</w:t>
      </w:r>
      <w:r>
        <w:rPr>
          <w:rFonts w:ascii="Times New Roman" w:eastAsia="Times New Roman"/>
          <w:spacing w:val="-1"/>
          <w:sz w:val="24"/>
        </w:rPr>
        <w:t> </w:t>
      </w:r>
      <w:r>
        <w:rPr>
          <w:spacing w:val="-10"/>
          <w:sz w:val="24"/>
        </w:rPr>
        <w:t>次以上洒水抑尘，对运输机动车道路应及时洒水、清洒</w:t>
      </w:r>
      <w:r>
        <w:rPr>
          <w:spacing w:val="-4"/>
          <w:sz w:val="24"/>
        </w:rPr>
        <w:t>。大风天气对露天堆放的建材</w:t>
      </w:r>
      <w:r>
        <w:rPr>
          <w:sz w:val="24"/>
        </w:rPr>
        <w:t>（如黄沙、水泥等）表面进行覆盖，建材的装卸、搅拌等工序尽量布置在施工场地中心地带，利用已有建筑阻隔粉尘扩散。</w:t>
      </w:r>
    </w:p>
    <w:p>
      <w:pPr>
        <w:pStyle w:val="ListParagraph"/>
        <w:numPr>
          <w:ilvl w:val="0"/>
          <w:numId w:val="62"/>
        </w:numPr>
        <w:tabs>
          <w:tab w:pos="1319" w:val="left" w:leader="none"/>
        </w:tabs>
        <w:spacing w:line="240" w:lineRule="auto" w:before="2" w:after="0"/>
        <w:ind w:left="1318" w:right="0" w:hanging="602"/>
        <w:jc w:val="left"/>
        <w:rPr>
          <w:sz w:val="24"/>
        </w:rPr>
      </w:pPr>
      <w:r>
        <w:rPr>
          <w:sz w:val="24"/>
        </w:rPr>
        <w:t>在运输、装卸建筑材料时，尤其是泥砂运输车辆，必须采用封闭车辆运输。</w:t>
      </w:r>
    </w:p>
    <w:p>
      <w:pPr>
        <w:pStyle w:val="ListParagraph"/>
        <w:numPr>
          <w:ilvl w:val="0"/>
          <w:numId w:val="62"/>
        </w:numPr>
        <w:tabs>
          <w:tab w:pos="1319" w:val="left" w:leader="none"/>
        </w:tabs>
        <w:spacing w:line="364" w:lineRule="auto" w:before="161" w:after="0"/>
        <w:ind w:left="237" w:right="250" w:firstLine="480"/>
        <w:jc w:val="both"/>
        <w:rPr>
          <w:sz w:val="24"/>
        </w:rPr>
      </w:pPr>
      <w:r>
        <w:rPr>
          <w:spacing w:val="-8"/>
          <w:sz w:val="24"/>
        </w:rPr>
        <w:t>建筑工程停工满 </w:t>
      </w:r>
      <w:r>
        <w:rPr>
          <w:rFonts w:ascii="Times New Roman" w:eastAsia="Times New Roman"/>
          <w:sz w:val="24"/>
        </w:rPr>
        <w:t>1 </w:t>
      </w:r>
      <w:r>
        <w:rPr>
          <w:spacing w:val="-3"/>
          <w:sz w:val="24"/>
        </w:rPr>
        <w:t>个月未进行建设施工的，建设单位应当对工地内的裸露地面</w:t>
      </w:r>
      <w:r>
        <w:rPr>
          <w:sz w:val="24"/>
        </w:rPr>
        <w:t>采取硬化、覆盖等防止扬尘污染的措施。建设工程应当按规定使用商品混凝土。</w:t>
      </w:r>
    </w:p>
    <w:p>
      <w:pPr>
        <w:pStyle w:val="BodyText"/>
        <w:spacing w:line="364" w:lineRule="auto" w:before="1"/>
        <w:ind w:right="249" w:firstLine="480"/>
        <w:jc w:val="both"/>
      </w:pPr>
      <w:r>
        <w:rPr/>
        <w:t>施工期扬尘必然会对该周边产生一定影响，但该影响属短暂影响，将随着施工期的结束而消失。要求施工方在做好扬尘防治措施的同时，处理好与周边的关系，设立投诉电话，并将施工作业进程、作业安排定时张贴并告知周边居民。施工单位应加强施工管理，提倡文明施工。</w:t>
      </w:r>
    </w:p>
    <w:p>
      <w:pPr>
        <w:pStyle w:val="Heading3"/>
        <w:numPr>
          <w:ilvl w:val="2"/>
          <w:numId w:val="61"/>
        </w:numPr>
        <w:tabs>
          <w:tab w:pos="838" w:val="left" w:leader="none"/>
        </w:tabs>
        <w:spacing w:line="240" w:lineRule="auto" w:before="3" w:after="0"/>
        <w:ind w:left="837" w:right="0" w:hanging="601"/>
        <w:jc w:val="both"/>
      </w:pPr>
      <w:bookmarkStart w:name="_bookmark82" w:id="158"/>
      <w:bookmarkEnd w:id="158"/>
      <w:r>
        <w:rPr>
          <w:b w:val="0"/>
        </w:rPr>
      </w:r>
      <w:bookmarkStart w:name="_bookmark82" w:id="159"/>
      <w:bookmarkEnd w:id="159"/>
      <w:r>
        <w:rPr/>
        <w:t>施工期噪声环境影响分析</w:t>
      </w:r>
    </w:p>
    <w:p>
      <w:pPr>
        <w:pStyle w:val="BodyText"/>
        <w:spacing w:line="364" w:lineRule="auto" w:before="160"/>
        <w:ind w:right="249" w:firstLine="480"/>
        <w:jc w:val="both"/>
      </w:pPr>
      <w:r>
        <w:rPr>
          <w:spacing w:val="-3"/>
        </w:rPr>
        <w:t>本次环评采用《环境影响评价技术导则 声环境》</w:t>
      </w:r>
      <w:r>
        <w:rPr/>
        <w:t>（</w:t>
      </w:r>
      <w:r>
        <w:rPr>
          <w:rFonts w:ascii="Times New Roman" w:eastAsia="Times New Roman"/>
        </w:rPr>
        <w:t>HJ 2.4-2009</w:t>
      </w:r>
      <w:r>
        <w:rPr/>
        <w:t>）</w:t>
      </w:r>
      <w:r>
        <w:rPr>
          <w:spacing w:val="-2"/>
        </w:rPr>
        <w:t>中推荐的噪声预测</w:t>
      </w:r>
      <w:r>
        <w:rPr/>
        <w:t>模式对施工期噪声影响进行预测。</w:t>
      </w:r>
    </w:p>
    <w:p>
      <w:pPr>
        <w:pStyle w:val="BodyText"/>
        <w:spacing w:before="2"/>
        <w:ind w:left="717"/>
        <w:jc w:val="both"/>
      </w:pPr>
      <w:r>
        <w:rPr/>
        <w:t>每种设备单台噪声预测值结果详见表 </w:t>
      </w:r>
      <w:r>
        <w:rPr>
          <w:rFonts w:ascii="Times New Roman" w:eastAsia="Times New Roman"/>
        </w:rPr>
        <w:t>5.1-1</w:t>
      </w:r>
      <w:r>
        <w:rPr/>
        <w:t>。</w:t>
      </w:r>
    </w:p>
    <w:p>
      <w:pPr>
        <w:spacing w:after="0"/>
        <w:jc w:val="both"/>
        <w:sectPr>
          <w:pgSz w:w="11910" w:h="16840"/>
          <w:pgMar w:header="874" w:footer="1004" w:top="1440" w:bottom="1200" w:left="1040" w:right="1160"/>
        </w:sectPr>
      </w:pPr>
    </w:p>
    <w:p>
      <w:pPr>
        <w:pStyle w:val="Heading3"/>
        <w:spacing w:before="64"/>
        <w:ind w:left="218" w:right="236"/>
        <w:jc w:val="center"/>
      </w:pPr>
      <w:r>
        <w:rPr/>
        <w:pict>
          <v:line style="position:absolute;mso-position-horizontal-relative:page;mso-position-vertical-relative:paragraph;z-index:-315448320" from="59.183998pt,24.080008pt" to="228.889998pt,59.840008pt" stroked="true" strokeweight=".72pt" strokecolor="#000000">
            <v:stroke dashstyle="solid"/>
            <w10:wrap type="none"/>
          </v:line>
        </w:pict>
      </w:r>
      <w:r>
        <w:rPr/>
        <w:t>表 </w:t>
      </w:r>
      <w:r>
        <w:rPr>
          <w:rFonts w:ascii="Times New Roman" w:eastAsia="Times New Roman"/>
        </w:rPr>
        <w:t>5.1-1  </w:t>
      </w:r>
      <w:r>
        <w:rPr/>
        <w:t>单台设备噪声预测结果</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416"/>
        <w:gridCol w:w="847"/>
        <w:gridCol w:w="847"/>
        <w:gridCol w:w="847"/>
        <w:gridCol w:w="848"/>
        <w:gridCol w:w="931"/>
        <w:gridCol w:w="847"/>
        <w:gridCol w:w="847"/>
      </w:tblGrid>
      <w:tr>
        <w:trPr>
          <w:trHeight w:val="716" w:hRule="atLeast"/>
        </w:trPr>
        <w:tc>
          <w:tcPr>
            <w:tcW w:w="3416" w:type="dxa"/>
            <w:tcBorders>
              <w:bottom w:val="single" w:sz="6" w:space="0" w:color="000000"/>
              <w:right w:val="single" w:sz="6" w:space="0" w:color="000000"/>
            </w:tcBorders>
          </w:tcPr>
          <w:p>
            <w:pPr>
              <w:pStyle w:val="TableParagraph"/>
              <w:spacing w:before="43"/>
              <w:ind w:right="292"/>
              <w:jc w:val="right"/>
              <w:rPr>
                <w:b/>
                <w:sz w:val="21"/>
              </w:rPr>
            </w:pPr>
            <w:r>
              <w:rPr>
                <w:rFonts w:ascii="宋体" w:eastAsia="宋体" w:hint="eastAsia"/>
                <w:b/>
                <w:sz w:val="21"/>
              </w:rPr>
              <w:t>距离</w:t>
            </w:r>
            <w:r>
              <w:rPr>
                <w:b/>
                <w:sz w:val="21"/>
              </w:rPr>
              <w:t>(m)</w:t>
            </w:r>
          </w:p>
          <w:p>
            <w:pPr>
              <w:pStyle w:val="TableParagraph"/>
              <w:spacing w:before="91"/>
              <w:ind w:left="313"/>
              <w:jc w:val="left"/>
              <w:rPr>
                <w:rFonts w:ascii="宋体" w:eastAsia="宋体" w:hint="eastAsia"/>
                <w:b/>
                <w:sz w:val="21"/>
              </w:rPr>
            </w:pPr>
            <w:r>
              <w:rPr>
                <w:rFonts w:ascii="宋体" w:eastAsia="宋体" w:hint="eastAsia"/>
                <w:b/>
                <w:sz w:val="21"/>
              </w:rPr>
              <w:t>设备名称</w:t>
            </w:r>
          </w:p>
        </w:tc>
        <w:tc>
          <w:tcPr>
            <w:tcW w:w="847" w:type="dxa"/>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22" w:right="196"/>
              <w:rPr>
                <w:b/>
                <w:sz w:val="21"/>
              </w:rPr>
            </w:pPr>
            <w:r>
              <w:rPr>
                <w:b/>
                <w:sz w:val="21"/>
              </w:rPr>
              <w:t>50</w:t>
            </w:r>
          </w:p>
        </w:tc>
        <w:tc>
          <w:tcPr>
            <w:tcW w:w="847" w:type="dxa"/>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27" w:right="195"/>
              <w:rPr>
                <w:b/>
                <w:sz w:val="21"/>
              </w:rPr>
            </w:pPr>
            <w:r>
              <w:rPr>
                <w:b/>
                <w:sz w:val="21"/>
              </w:rPr>
              <w:t>100</w:t>
            </w:r>
          </w:p>
        </w:tc>
        <w:tc>
          <w:tcPr>
            <w:tcW w:w="847" w:type="dxa"/>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27" w:right="195"/>
              <w:rPr>
                <w:b/>
                <w:sz w:val="21"/>
              </w:rPr>
            </w:pPr>
            <w:r>
              <w:rPr>
                <w:b/>
                <w:sz w:val="21"/>
              </w:rPr>
              <w:t>150</w:t>
            </w:r>
          </w:p>
        </w:tc>
        <w:tc>
          <w:tcPr>
            <w:tcW w:w="848" w:type="dxa"/>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74"/>
              <w:jc w:val="left"/>
              <w:rPr>
                <w:b/>
                <w:sz w:val="21"/>
              </w:rPr>
            </w:pPr>
            <w:r>
              <w:rPr>
                <w:b/>
                <w:sz w:val="21"/>
              </w:rPr>
              <w:t>200</w:t>
            </w:r>
          </w:p>
        </w:tc>
        <w:tc>
          <w:tcPr>
            <w:tcW w:w="931" w:type="dxa"/>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314"/>
              <w:jc w:val="left"/>
              <w:rPr>
                <w:b/>
                <w:sz w:val="21"/>
              </w:rPr>
            </w:pPr>
            <w:r>
              <w:rPr>
                <w:b/>
                <w:sz w:val="21"/>
              </w:rPr>
              <w:t>250</w:t>
            </w:r>
          </w:p>
        </w:tc>
        <w:tc>
          <w:tcPr>
            <w:tcW w:w="847" w:type="dxa"/>
            <w:tcBorders>
              <w:left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27" w:right="195"/>
              <w:rPr>
                <w:b/>
                <w:sz w:val="21"/>
              </w:rPr>
            </w:pPr>
            <w:r>
              <w:rPr>
                <w:b/>
                <w:sz w:val="21"/>
              </w:rPr>
              <w:t>300</w:t>
            </w:r>
          </w:p>
        </w:tc>
        <w:tc>
          <w:tcPr>
            <w:tcW w:w="847" w:type="dxa"/>
            <w:tcBorders>
              <w:left w:val="single" w:sz="6" w:space="0" w:color="000000"/>
              <w:bottom w:val="single" w:sz="6" w:space="0" w:color="000000"/>
            </w:tcBorders>
          </w:tcPr>
          <w:p>
            <w:pPr>
              <w:pStyle w:val="TableParagraph"/>
              <w:spacing w:before="7"/>
              <w:jc w:val="left"/>
              <w:rPr>
                <w:rFonts w:ascii="宋体"/>
                <w:b/>
                <w:sz w:val="18"/>
              </w:rPr>
            </w:pPr>
          </w:p>
          <w:p>
            <w:pPr>
              <w:pStyle w:val="TableParagraph"/>
              <w:spacing w:before="0"/>
              <w:ind w:left="274"/>
              <w:jc w:val="left"/>
              <w:rPr>
                <w:b/>
                <w:sz w:val="21"/>
              </w:rPr>
            </w:pPr>
            <w:r>
              <w:rPr>
                <w:b/>
                <w:sz w:val="21"/>
              </w:rPr>
              <w:t>400</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6"/>
              <w:ind w:left="618" w:right="598"/>
              <w:rPr>
                <w:rFonts w:ascii="宋体" w:eastAsia="宋体" w:hint="eastAsia"/>
                <w:sz w:val="21"/>
              </w:rPr>
            </w:pPr>
            <w:r>
              <w:rPr>
                <w:rFonts w:ascii="宋体" w:eastAsia="宋体" w:hint="eastAsia"/>
                <w:sz w:val="21"/>
              </w:rPr>
              <w:t>推土机（</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6" w:right="196"/>
              <w:rPr>
                <w:sz w:val="21"/>
              </w:rPr>
            </w:pPr>
            <w:r>
              <w:rPr>
                <w:sz w:val="21"/>
              </w:rPr>
              <w:t>76.0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70.0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66.5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spacing w:before="60"/>
              <w:ind w:left="247"/>
              <w:jc w:val="left"/>
              <w:rPr>
                <w:sz w:val="21"/>
              </w:rPr>
            </w:pPr>
            <w:r>
              <w:rPr>
                <w:sz w:val="21"/>
              </w:rPr>
              <w:t>63.9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60"/>
              <w:ind w:left="288"/>
              <w:jc w:val="left"/>
              <w:rPr>
                <w:sz w:val="21"/>
              </w:rPr>
            </w:pPr>
            <w:r>
              <w:rPr>
                <w:sz w:val="21"/>
              </w:rPr>
              <w:t>62.0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60.5</w:t>
            </w:r>
          </w:p>
        </w:tc>
        <w:tc>
          <w:tcPr>
            <w:tcW w:w="847" w:type="dxa"/>
            <w:tcBorders>
              <w:top w:val="single" w:sz="6" w:space="0" w:color="000000"/>
              <w:left w:val="single" w:sz="6" w:space="0" w:color="000000"/>
              <w:bottom w:val="single" w:sz="6" w:space="0" w:color="000000"/>
            </w:tcBorders>
          </w:tcPr>
          <w:p>
            <w:pPr>
              <w:pStyle w:val="TableParagraph"/>
              <w:spacing w:before="60"/>
              <w:ind w:left="248"/>
              <w:jc w:val="left"/>
              <w:rPr>
                <w:sz w:val="21"/>
              </w:rPr>
            </w:pPr>
            <w:r>
              <w:rPr>
                <w:sz w:val="21"/>
              </w:rPr>
              <w:t>57.9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4"/>
              <w:ind w:left="619" w:right="596"/>
              <w:rPr>
                <w:rFonts w:ascii="宋体" w:eastAsia="宋体" w:hint="eastAsia"/>
                <w:sz w:val="21"/>
              </w:rPr>
            </w:pPr>
            <w:r>
              <w:rPr>
                <w:rFonts w:ascii="宋体" w:eastAsia="宋体" w:hint="eastAsia"/>
                <w:sz w:val="21"/>
              </w:rPr>
              <w:t>汽锤、风钻（</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66.0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53.9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52.0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50.5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47.9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4"/>
              <w:ind w:left="618" w:right="598"/>
              <w:rPr>
                <w:rFonts w:ascii="宋体" w:eastAsia="宋体" w:hint="eastAsia"/>
                <w:sz w:val="21"/>
              </w:rPr>
            </w:pPr>
            <w:r>
              <w:rPr>
                <w:rFonts w:ascii="宋体" w:eastAsia="宋体" w:hint="eastAsia"/>
                <w:sz w:val="21"/>
              </w:rPr>
              <w:t>挖土机（</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66.0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70.0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63.9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62.0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60.5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57.9</w:t>
            </w:r>
          </w:p>
        </w:tc>
      </w:tr>
      <w:tr>
        <w:trPr>
          <w:trHeight w:val="356" w:hRule="atLeast"/>
        </w:trPr>
        <w:tc>
          <w:tcPr>
            <w:tcW w:w="3416" w:type="dxa"/>
            <w:tcBorders>
              <w:top w:val="single" w:sz="6" w:space="0" w:color="000000"/>
              <w:bottom w:val="single" w:sz="6" w:space="0" w:color="000000"/>
              <w:right w:val="single" w:sz="6" w:space="0" w:color="000000"/>
            </w:tcBorders>
          </w:tcPr>
          <w:p>
            <w:pPr>
              <w:pStyle w:val="TableParagraph"/>
              <w:spacing w:before="44"/>
              <w:ind w:left="618" w:right="598"/>
              <w:rPr>
                <w:rFonts w:ascii="宋体" w:eastAsia="宋体" w:hint="eastAsia"/>
                <w:sz w:val="21"/>
              </w:rPr>
            </w:pPr>
            <w:r>
              <w:rPr>
                <w:rFonts w:ascii="宋体" w:eastAsia="宋体" w:hint="eastAsia"/>
                <w:sz w:val="21"/>
              </w:rPr>
              <w:t>空压机（</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66.0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53.9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52.0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50.5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47.9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6"/>
              <w:ind w:left="619" w:right="596"/>
              <w:rPr>
                <w:rFonts w:ascii="宋体" w:eastAsia="宋体" w:hint="eastAsia"/>
                <w:sz w:val="21"/>
              </w:rPr>
            </w:pPr>
            <w:r>
              <w:rPr>
                <w:rFonts w:ascii="宋体" w:eastAsia="宋体" w:hint="eastAsia"/>
                <w:sz w:val="21"/>
              </w:rPr>
              <w:t>运输车辆（</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6" w:right="196"/>
              <w:rPr>
                <w:sz w:val="21"/>
              </w:rPr>
            </w:pPr>
            <w:r>
              <w:rPr>
                <w:sz w:val="21"/>
              </w:rPr>
              <w:t>66.0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60.0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56.5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spacing w:before="60"/>
              <w:ind w:left="247"/>
              <w:jc w:val="left"/>
              <w:rPr>
                <w:sz w:val="21"/>
              </w:rPr>
            </w:pPr>
            <w:r>
              <w:rPr>
                <w:sz w:val="21"/>
              </w:rPr>
              <w:t>53.9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60"/>
              <w:ind w:left="288"/>
              <w:jc w:val="left"/>
              <w:rPr>
                <w:sz w:val="21"/>
              </w:rPr>
            </w:pPr>
            <w:r>
              <w:rPr>
                <w:sz w:val="21"/>
              </w:rPr>
              <w:t>52.0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50.5</w:t>
            </w:r>
          </w:p>
        </w:tc>
        <w:tc>
          <w:tcPr>
            <w:tcW w:w="847" w:type="dxa"/>
            <w:tcBorders>
              <w:top w:val="single" w:sz="6" w:space="0" w:color="000000"/>
              <w:left w:val="single" w:sz="6" w:space="0" w:color="000000"/>
              <w:bottom w:val="single" w:sz="6" w:space="0" w:color="000000"/>
            </w:tcBorders>
          </w:tcPr>
          <w:p>
            <w:pPr>
              <w:pStyle w:val="TableParagraph"/>
              <w:spacing w:before="60"/>
              <w:ind w:left="248"/>
              <w:jc w:val="left"/>
              <w:rPr>
                <w:sz w:val="21"/>
              </w:rPr>
            </w:pPr>
            <w:r>
              <w:rPr>
                <w:sz w:val="21"/>
              </w:rPr>
              <w:t>47.9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4"/>
              <w:ind w:left="618" w:right="598"/>
              <w:rPr>
                <w:rFonts w:ascii="宋体" w:eastAsia="宋体" w:hint="eastAsia"/>
                <w:sz w:val="21"/>
              </w:rPr>
            </w:pPr>
            <w:r>
              <w:rPr>
                <w:rFonts w:ascii="宋体" w:eastAsia="宋体" w:hint="eastAsia"/>
                <w:sz w:val="21"/>
              </w:rPr>
              <w:t>打桩机（</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71.0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65.0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61.5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58.9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57.0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55.5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52.9</w:t>
            </w:r>
          </w:p>
        </w:tc>
      </w:tr>
      <w:tr>
        <w:trPr>
          <w:trHeight w:val="360" w:hRule="atLeast"/>
        </w:trPr>
        <w:tc>
          <w:tcPr>
            <w:tcW w:w="3416" w:type="dxa"/>
            <w:tcBorders>
              <w:top w:val="single" w:sz="6" w:space="0" w:color="000000"/>
              <w:bottom w:val="single" w:sz="6" w:space="0" w:color="000000"/>
              <w:right w:val="single" w:sz="6" w:space="0" w:color="000000"/>
            </w:tcBorders>
          </w:tcPr>
          <w:p>
            <w:pPr>
              <w:pStyle w:val="TableParagraph"/>
              <w:spacing w:before="44"/>
              <w:ind w:left="619" w:right="598"/>
              <w:rPr>
                <w:rFonts w:ascii="宋体" w:eastAsia="宋体" w:hint="eastAsia"/>
                <w:sz w:val="21"/>
              </w:rPr>
            </w:pPr>
            <w:r>
              <w:rPr>
                <w:rFonts w:ascii="宋体" w:eastAsia="宋体" w:hint="eastAsia"/>
                <w:sz w:val="21"/>
              </w:rPr>
              <w:t>混凝土输送车（</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66.0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53.9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52.0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50.5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47.9</w:t>
            </w:r>
          </w:p>
        </w:tc>
      </w:tr>
      <w:tr>
        <w:trPr>
          <w:trHeight w:val="357" w:hRule="atLeast"/>
        </w:trPr>
        <w:tc>
          <w:tcPr>
            <w:tcW w:w="3416" w:type="dxa"/>
            <w:tcBorders>
              <w:top w:val="single" w:sz="6" w:space="0" w:color="000000"/>
              <w:bottom w:val="single" w:sz="6" w:space="0" w:color="000000"/>
              <w:right w:val="single" w:sz="6" w:space="0" w:color="000000"/>
            </w:tcBorders>
          </w:tcPr>
          <w:p>
            <w:pPr>
              <w:pStyle w:val="TableParagraph"/>
              <w:spacing w:before="44"/>
              <w:ind w:left="618" w:right="598"/>
              <w:rPr>
                <w:rFonts w:ascii="宋体" w:eastAsia="宋体" w:hint="eastAsia"/>
                <w:sz w:val="21"/>
              </w:rPr>
            </w:pPr>
            <w:r>
              <w:rPr>
                <w:rFonts w:ascii="宋体" w:eastAsia="宋体" w:hint="eastAsia"/>
                <w:sz w:val="21"/>
              </w:rPr>
              <w:t>振捣棒（</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76.0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70.0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63.9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62.0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60.5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57.9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6"/>
              <w:ind w:left="619" w:right="596"/>
              <w:rPr>
                <w:rFonts w:ascii="宋体" w:eastAsia="宋体" w:hint="eastAsia"/>
                <w:sz w:val="21"/>
              </w:rPr>
            </w:pPr>
            <w:r>
              <w:rPr>
                <w:rFonts w:ascii="宋体" w:eastAsia="宋体" w:hint="eastAsia"/>
                <w:sz w:val="21"/>
              </w:rPr>
              <w:t>电锯、电刨（</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6" w:right="196"/>
              <w:rPr>
                <w:sz w:val="21"/>
              </w:rPr>
            </w:pPr>
            <w:r>
              <w:rPr>
                <w:sz w:val="21"/>
              </w:rPr>
              <w:t>81.0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75.0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71.5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spacing w:before="60"/>
              <w:ind w:left="247"/>
              <w:jc w:val="left"/>
              <w:rPr>
                <w:sz w:val="21"/>
              </w:rPr>
            </w:pPr>
            <w:r>
              <w:rPr>
                <w:sz w:val="21"/>
              </w:rPr>
              <w:t>68.9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60"/>
              <w:ind w:left="288"/>
              <w:jc w:val="left"/>
              <w:rPr>
                <w:sz w:val="21"/>
              </w:rPr>
            </w:pPr>
            <w:r>
              <w:rPr>
                <w:sz w:val="21"/>
              </w:rPr>
              <w:t>67.0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65.5</w:t>
            </w:r>
          </w:p>
        </w:tc>
        <w:tc>
          <w:tcPr>
            <w:tcW w:w="847" w:type="dxa"/>
            <w:tcBorders>
              <w:top w:val="single" w:sz="6" w:space="0" w:color="000000"/>
              <w:left w:val="single" w:sz="6" w:space="0" w:color="000000"/>
              <w:bottom w:val="single" w:sz="6" w:space="0" w:color="000000"/>
            </w:tcBorders>
          </w:tcPr>
          <w:p>
            <w:pPr>
              <w:pStyle w:val="TableParagraph"/>
              <w:spacing w:before="60"/>
              <w:ind w:left="248"/>
              <w:jc w:val="left"/>
              <w:rPr>
                <w:sz w:val="21"/>
              </w:rPr>
            </w:pPr>
            <w:r>
              <w:rPr>
                <w:sz w:val="21"/>
              </w:rPr>
              <w:t>62.9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4"/>
              <w:ind w:left="618" w:right="598"/>
              <w:rPr>
                <w:rFonts w:ascii="宋体" w:eastAsia="宋体" w:hint="eastAsia"/>
                <w:sz w:val="21"/>
              </w:rPr>
            </w:pPr>
            <w:r>
              <w:rPr>
                <w:rFonts w:ascii="宋体" w:eastAsia="宋体" w:hint="eastAsia"/>
                <w:sz w:val="21"/>
              </w:rPr>
              <w:t>电焊机（</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61.0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55.0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51.5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48.9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47.0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45.5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42.9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4"/>
              <w:ind w:left="619" w:right="596"/>
              <w:rPr>
                <w:rFonts w:ascii="宋体" w:eastAsia="宋体" w:hint="eastAsia"/>
                <w:sz w:val="21"/>
              </w:rPr>
            </w:pPr>
            <w:r>
              <w:rPr>
                <w:rFonts w:ascii="宋体" w:eastAsia="宋体" w:hint="eastAsia"/>
                <w:sz w:val="21"/>
              </w:rPr>
              <w:t>模板撞击（</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61.0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55.0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51.5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48.9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47.0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45.5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42.9</w:t>
            </w:r>
          </w:p>
        </w:tc>
      </w:tr>
      <w:tr>
        <w:trPr>
          <w:trHeight w:val="357" w:hRule="atLeast"/>
        </w:trPr>
        <w:tc>
          <w:tcPr>
            <w:tcW w:w="3416" w:type="dxa"/>
            <w:tcBorders>
              <w:top w:val="single" w:sz="6" w:space="0" w:color="000000"/>
              <w:bottom w:val="single" w:sz="6" w:space="0" w:color="000000"/>
              <w:right w:val="single" w:sz="6" w:space="0" w:color="000000"/>
            </w:tcBorders>
          </w:tcPr>
          <w:p>
            <w:pPr>
              <w:pStyle w:val="TableParagraph"/>
              <w:spacing w:before="44"/>
              <w:ind w:left="619" w:right="596"/>
              <w:rPr>
                <w:rFonts w:ascii="宋体" w:eastAsia="宋体" w:hint="eastAsia"/>
                <w:sz w:val="21"/>
              </w:rPr>
            </w:pPr>
            <w:r>
              <w:rPr>
                <w:rFonts w:ascii="宋体" w:eastAsia="宋体" w:hint="eastAsia"/>
                <w:sz w:val="21"/>
              </w:rPr>
              <w:t>电锯、电锤（</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6" w:right="196"/>
              <w:rPr>
                <w:sz w:val="21"/>
              </w:rPr>
            </w:pPr>
            <w:r>
              <w:rPr>
                <w:sz w:val="21"/>
              </w:rPr>
              <w:t>66.0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60.0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56.5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ind w:left="247"/>
              <w:jc w:val="left"/>
              <w:rPr>
                <w:sz w:val="21"/>
              </w:rPr>
            </w:pPr>
            <w:r>
              <w:rPr>
                <w:sz w:val="21"/>
              </w:rPr>
              <w:t>53.9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ind w:left="288"/>
              <w:jc w:val="left"/>
              <w:rPr>
                <w:sz w:val="21"/>
              </w:rPr>
            </w:pPr>
            <w:r>
              <w:rPr>
                <w:sz w:val="21"/>
              </w:rPr>
              <w:t>52.0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ind w:left="227" w:right="195"/>
              <w:rPr>
                <w:sz w:val="21"/>
              </w:rPr>
            </w:pPr>
            <w:r>
              <w:rPr>
                <w:sz w:val="21"/>
              </w:rPr>
              <w:t>50.5</w:t>
            </w:r>
          </w:p>
        </w:tc>
        <w:tc>
          <w:tcPr>
            <w:tcW w:w="847" w:type="dxa"/>
            <w:tcBorders>
              <w:top w:val="single" w:sz="6" w:space="0" w:color="000000"/>
              <w:left w:val="single" w:sz="6" w:space="0" w:color="000000"/>
              <w:bottom w:val="single" w:sz="6" w:space="0" w:color="000000"/>
            </w:tcBorders>
          </w:tcPr>
          <w:p>
            <w:pPr>
              <w:pStyle w:val="TableParagraph"/>
              <w:ind w:left="248"/>
              <w:jc w:val="left"/>
              <w:rPr>
                <w:sz w:val="21"/>
              </w:rPr>
            </w:pPr>
            <w:r>
              <w:rPr>
                <w:sz w:val="21"/>
              </w:rPr>
              <w:t>47.9</w:t>
            </w:r>
          </w:p>
        </w:tc>
      </w:tr>
      <w:tr>
        <w:trPr>
          <w:trHeight w:val="359" w:hRule="atLeast"/>
        </w:trPr>
        <w:tc>
          <w:tcPr>
            <w:tcW w:w="3416" w:type="dxa"/>
            <w:tcBorders>
              <w:top w:val="single" w:sz="6" w:space="0" w:color="000000"/>
              <w:bottom w:val="single" w:sz="6" w:space="0" w:color="000000"/>
              <w:right w:val="single" w:sz="6" w:space="0" w:color="000000"/>
            </w:tcBorders>
          </w:tcPr>
          <w:p>
            <w:pPr>
              <w:pStyle w:val="TableParagraph"/>
              <w:spacing w:before="46"/>
              <w:ind w:left="619" w:right="598"/>
              <w:rPr>
                <w:rFonts w:ascii="宋体" w:eastAsia="宋体" w:hint="eastAsia"/>
                <w:sz w:val="21"/>
              </w:rPr>
            </w:pPr>
            <w:r>
              <w:rPr>
                <w:rFonts w:ascii="宋体" w:eastAsia="宋体" w:hint="eastAsia"/>
                <w:sz w:val="21"/>
              </w:rPr>
              <w:t>多功能木工刨（</w:t>
            </w:r>
            <w:r>
              <w:rPr>
                <w:sz w:val="21"/>
              </w:rPr>
              <w:t>dB</w:t>
            </w:r>
            <w:r>
              <w:rPr>
                <w:rFonts w:ascii="宋体" w:eastAsia="宋体" w:hint="eastAsia"/>
                <w:sz w:val="21"/>
              </w:rPr>
              <w:t>）</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6" w:right="196"/>
              <w:rPr>
                <w:sz w:val="21"/>
              </w:rPr>
            </w:pPr>
            <w:r>
              <w:rPr>
                <w:sz w:val="21"/>
              </w:rPr>
              <w:t>51.0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45.0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41.5</w:t>
            </w:r>
          </w:p>
        </w:tc>
        <w:tc>
          <w:tcPr>
            <w:tcW w:w="848" w:type="dxa"/>
            <w:tcBorders>
              <w:top w:val="single" w:sz="6" w:space="0" w:color="000000"/>
              <w:left w:val="single" w:sz="6" w:space="0" w:color="000000"/>
              <w:bottom w:val="single" w:sz="6" w:space="0" w:color="000000"/>
              <w:right w:val="single" w:sz="6" w:space="0" w:color="000000"/>
            </w:tcBorders>
          </w:tcPr>
          <w:p>
            <w:pPr>
              <w:pStyle w:val="TableParagraph"/>
              <w:spacing w:before="60"/>
              <w:ind w:left="247"/>
              <w:jc w:val="left"/>
              <w:rPr>
                <w:sz w:val="21"/>
              </w:rPr>
            </w:pPr>
            <w:r>
              <w:rPr>
                <w:sz w:val="21"/>
              </w:rPr>
              <w:t>38.9</w:t>
            </w:r>
          </w:p>
        </w:tc>
        <w:tc>
          <w:tcPr>
            <w:tcW w:w="931" w:type="dxa"/>
            <w:tcBorders>
              <w:top w:val="single" w:sz="6" w:space="0" w:color="000000"/>
              <w:left w:val="single" w:sz="6" w:space="0" w:color="000000"/>
              <w:bottom w:val="single" w:sz="6" w:space="0" w:color="000000"/>
              <w:right w:val="single" w:sz="6" w:space="0" w:color="000000"/>
            </w:tcBorders>
          </w:tcPr>
          <w:p>
            <w:pPr>
              <w:pStyle w:val="TableParagraph"/>
              <w:spacing w:before="60"/>
              <w:ind w:left="288"/>
              <w:jc w:val="left"/>
              <w:rPr>
                <w:sz w:val="21"/>
              </w:rPr>
            </w:pPr>
            <w:r>
              <w:rPr>
                <w:sz w:val="21"/>
              </w:rPr>
              <w:t>37.0</w:t>
            </w:r>
          </w:p>
        </w:tc>
        <w:tc>
          <w:tcPr>
            <w:tcW w:w="847" w:type="dxa"/>
            <w:tcBorders>
              <w:top w:val="single" w:sz="6" w:space="0" w:color="000000"/>
              <w:left w:val="single" w:sz="6" w:space="0" w:color="000000"/>
              <w:bottom w:val="single" w:sz="6" w:space="0" w:color="000000"/>
              <w:right w:val="single" w:sz="6" w:space="0" w:color="000000"/>
            </w:tcBorders>
          </w:tcPr>
          <w:p>
            <w:pPr>
              <w:pStyle w:val="TableParagraph"/>
              <w:spacing w:before="60"/>
              <w:ind w:left="227" w:right="195"/>
              <w:rPr>
                <w:sz w:val="21"/>
              </w:rPr>
            </w:pPr>
            <w:r>
              <w:rPr>
                <w:sz w:val="21"/>
              </w:rPr>
              <w:t>35.5</w:t>
            </w:r>
          </w:p>
        </w:tc>
        <w:tc>
          <w:tcPr>
            <w:tcW w:w="847" w:type="dxa"/>
            <w:tcBorders>
              <w:top w:val="single" w:sz="6" w:space="0" w:color="000000"/>
              <w:left w:val="single" w:sz="6" w:space="0" w:color="000000"/>
              <w:bottom w:val="single" w:sz="6" w:space="0" w:color="000000"/>
            </w:tcBorders>
          </w:tcPr>
          <w:p>
            <w:pPr>
              <w:pStyle w:val="TableParagraph"/>
              <w:spacing w:before="60"/>
              <w:ind w:left="248"/>
              <w:jc w:val="left"/>
              <w:rPr>
                <w:sz w:val="21"/>
              </w:rPr>
            </w:pPr>
            <w:r>
              <w:rPr>
                <w:sz w:val="21"/>
              </w:rPr>
              <w:t>32.9</w:t>
            </w:r>
          </w:p>
        </w:tc>
      </w:tr>
      <w:tr>
        <w:trPr>
          <w:trHeight w:val="356" w:hRule="atLeast"/>
        </w:trPr>
        <w:tc>
          <w:tcPr>
            <w:tcW w:w="3416" w:type="dxa"/>
            <w:tcBorders>
              <w:top w:val="single" w:sz="6" w:space="0" w:color="000000"/>
              <w:right w:val="single" w:sz="6" w:space="0" w:color="000000"/>
            </w:tcBorders>
          </w:tcPr>
          <w:p>
            <w:pPr>
              <w:pStyle w:val="TableParagraph"/>
              <w:spacing w:before="44"/>
              <w:ind w:left="619" w:right="598"/>
              <w:rPr>
                <w:rFonts w:ascii="宋体" w:eastAsia="宋体" w:hint="eastAsia"/>
                <w:sz w:val="21"/>
              </w:rPr>
            </w:pPr>
            <w:r>
              <w:rPr>
                <w:rFonts w:ascii="宋体" w:eastAsia="宋体" w:hint="eastAsia"/>
                <w:sz w:val="21"/>
              </w:rPr>
              <w:t>吊车、升降机等（</w:t>
            </w:r>
            <w:r>
              <w:rPr>
                <w:sz w:val="21"/>
              </w:rPr>
              <w:t>dB</w:t>
            </w:r>
            <w:r>
              <w:rPr>
                <w:rFonts w:ascii="宋体" w:eastAsia="宋体" w:hint="eastAsia"/>
                <w:sz w:val="21"/>
              </w:rPr>
              <w:t>）</w:t>
            </w:r>
          </w:p>
        </w:tc>
        <w:tc>
          <w:tcPr>
            <w:tcW w:w="847" w:type="dxa"/>
            <w:tcBorders>
              <w:top w:val="single" w:sz="6" w:space="0" w:color="000000"/>
              <w:left w:val="single" w:sz="6" w:space="0" w:color="000000"/>
              <w:right w:val="single" w:sz="6" w:space="0" w:color="000000"/>
            </w:tcBorders>
          </w:tcPr>
          <w:p>
            <w:pPr>
              <w:pStyle w:val="TableParagraph"/>
              <w:ind w:left="226" w:right="196"/>
              <w:rPr>
                <w:sz w:val="21"/>
              </w:rPr>
            </w:pPr>
            <w:r>
              <w:rPr>
                <w:sz w:val="21"/>
              </w:rPr>
              <w:t>56.0</w:t>
            </w:r>
          </w:p>
        </w:tc>
        <w:tc>
          <w:tcPr>
            <w:tcW w:w="847" w:type="dxa"/>
            <w:tcBorders>
              <w:top w:val="single" w:sz="6" w:space="0" w:color="000000"/>
              <w:left w:val="single" w:sz="6" w:space="0" w:color="000000"/>
              <w:right w:val="single" w:sz="6" w:space="0" w:color="000000"/>
            </w:tcBorders>
          </w:tcPr>
          <w:p>
            <w:pPr>
              <w:pStyle w:val="TableParagraph"/>
              <w:ind w:left="227" w:right="195"/>
              <w:rPr>
                <w:sz w:val="21"/>
              </w:rPr>
            </w:pPr>
            <w:r>
              <w:rPr>
                <w:sz w:val="21"/>
              </w:rPr>
              <w:t>50.0</w:t>
            </w:r>
          </w:p>
        </w:tc>
        <w:tc>
          <w:tcPr>
            <w:tcW w:w="847" w:type="dxa"/>
            <w:tcBorders>
              <w:top w:val="single" w:sz="6" w:space="0" w:color="000000"/>
              <w:left w:val="single" w:sz="6" w:space="0" w:color="000000"/>
              <w:right w:val="single" w:sz="6" w:space="0" w:color="000000"/>
            </w:tcBorders>
          </w:tcPr>
          <w:p>
            <w:pPr>
              <w:pStyle w:val="TableParagraph"/>
              <w:ind w:left="227" w:right="195"/>
              <w:rPr>
                <w:sz w:val="21"/>
              </w:rPr>
            </w:pPr>
            <w:r>
              <w:rPr>
                <w:sz w:val="21"/>
              </w:rPr>
              <w:t>46.5</w:t>
            </w:r>
          </w:p>
        </w:tc>
        <w:tc>
          <w:tcPr>
            <w:tcW w:w="848" w:type="dxa"/>
            <w:tcBorders>
              <w:top w:val="single" w:sz="6" w:space="0" w:color="000000"/>
              <w:left w:val="single" w:sz="6" w:space="0" w:color="000000"/>
              <w:right w:val="single" w:sz="6" w:space="0" w:color="000000"/>
            </w:tcBorders>
          </w:tcPr>
          <w:p>
            <w:pPr>
              <w:pStyle w:val="TableParagraph"/>
              <w:ind w:left="247"/>
              <w:jc w:val="left"/>
              <w:rPr>
                <w:sz w:val="21"/>
              </w:rPr>
            </w:pPr>
            <w:r>
              <w:rPr>
                <w:sz w:val="21"/>
              </w:rPr>
              <w:t>43.9</w:t>
            </w:r>
          </w:p>
        </w:tc>
        <w:tc>
          <w:tcPr>
            <w:tcW w:w="931" w:type="dxa"/>
            <w:tcBorders>
              <w:top w:val="single" w:sz="6" w:space="0" w:color="000000"/>
              <w:left w:val="single" w:sz="6" w:space="0" w:color="000000"/>
              <w:right w:val="single" w:sz="6" w:space="0" w:color="000000"/>
            </w:tcBorders>
          </w:tcPr>
          <w:p>
            <w:pPr>
              <w:pStyle w:val="TableParagraph"/>
              <w:ind w:left="288"/>
              <w:jc w:val="left"/>
              <w:rPr>
                <w:sz w:val="21"/>
              </w:rPr>
            </w:pPr>
            <w:r>
              <w:rPr>
                <w:sz w:val="21"/>
              </w:rPr>
              <w:t>42.0</w:t>
            </w:r>
          </w:p>
        </w:tc>
        <w:tc>
          <w:tcPr>
            <w:tcW w:w="847" w:type="dxa"/>
            <w:tcBorders>
              <w:top w:val="single" w:sz="6" w:space="0" w:color="000000"/>
              <w:left w:val="single" w:sz="6" w:space="0" w:color="000000"/>
              <w:right w:val="single" w:sz="6" w:space="0" w:color="000000"/>
            </w:tcBorders>
          </w:tcPr>
          <w:p>
            <w:pPr>
              <w:pStyle w:val="TableParagraph"/>
              <w:ind w:left="227" w:right="195"/>
              <w:rPr>
                <w:sz w:val="21"/>
              </w:rPr>
            </w:pPr>
            <w:r>
              <w:rPr>
                <w:sz w:val="21"/>
              </w:rPr>
              <w:t>40.5</w:t>
            </w:r>
          </w:p>
        </w:tc>
        <w:tc>
          <w:tcPr>
            <w:tcW w:w="847" w:type="dxa"/>
            <w:tcBorders>
              <w:top w:val="single" w:sz="6" w:space="0" w:color="000000"/>
              <w:left w:val="single" w:sz="6" w:space="0" w:color="000000"/>
            </w:tcBorders>
          </w:tcPr>
          <w:p>
            <w:pPr>
              <w:pStyle w:val="TableParagraph"/>
              <w:ind w:left="248"/>
              <w:jc w:val="left"/>
              <w:rPr>
                <w:sz w:val="21"/>
              </w:rPr>
            </w:pPr>
            <w:r>
              <w:rPr>
                <w:sz w:val="21"/>
              </w:rPr>
              <w:t>37.9</w:t>
            </w:r>
          </w:p>
        </w:tc>
      </w:tr>
    </w:tbl>
    <w:p>
      <w:pPr>
        <w:pStyle w:val="BodyText"/>
        <w:spacing w:line="364" w:lineRule="auto" w:before="85"/>
        <w:ind w:right="249" w:firstLine="480"/>
        <w:jc w:val="both"/>
      </w:pPr>
      <w:r>
        <w:rPr/>
        <w:t>一般施工现场均为多台机械同时作业，它们的声级会叠加，叠加幅度随各机械声级的差别而异。四个施工阶段所产生的噪声叠加后预测对不同距离的总声级，计算结果详见表 </w:t>
      </w:r>
      <w:r>
        <w:rPr>
          <w:rFonts w:ascii="Times New Roman" w:eastAsia="Times New Roman"/>
        </w:rPr>
        <w:t>5.1-2</w:t>
      </w:r>
      <w:r>
        <w:rPr/>
        <w:t>。</w:t>
      </w:r>
    </w:p>
    <w:p>
      <w:pPr>
        <w:pStyle w:val="Heading3"/>
        <w:spacing w:before="2"/>
        <w:ind w:left="1238"/>
        <w:jc w:val="both"/>
        <w:rPr>
          <w:rFonts w:ascii="Times New Roman" w:eastAsia="Times New Roman"/>
        </w:rPr>
      </w:pPr>
      <w:r>
        <w:rPr/>
        <w:pict>
          <v:line style="position:absolute;mso-position-horizontal-relative:page;mso-position-vertical-relative:paragraph;z-index:-315447296" from="59.183998pt,20.980003pt" to="199.129998pt,56.860003pt" stroked="true" strokeweight=".72pt" strokecolor="#000000">
            <v:stroke dashstyle="solid"/>
            <w10:wrap type="none"/>
          </v:line>
        </w:pict>
      </w:r>
      <w:r>
        <w:rPr/>
        <w:t>表 </w:t>
      </w:r>
      <w:r>
        <w:rPr>
          <w:rFonts w:ascii="Times New Roman" w:eastAsia="Times New Roman"/>
        </w:rPr>
        <w:t>5.1-2  </w:t>
      </w:r>
      <w:r>
        <w:rPr/>
        <w:t>各个阶段设备同时运转到达预定的距离总声级 单位：</w:t>
      </w:r>
      <w:r>
        <w:rPr>
          <w:rFonts w:ascii="Times New Roman" w:eastAsia="Times New Roman"/>
        </w:rPr>
        <w:t>dB(A)</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821"/>
        <w:gridCol w:w="946"/>
        <w:gridCol w:w="946"/>
        <w:gridCol w:w="946"/>
        <w:gridCol w:w="944"/>
        <w:gridCol w:w="946"/>
        <w:gridCol w:w="946"/>
        <w:gridCol w:w="939"/>
      </w:tblGrid>
      <w:tr>
        <w:trPr>
          <w:trHeight w:val="719" w:hRule="atLeast"/>
        </w:trPr>
        <w:tc>
          <w:tcPr>
            <w:tcW w:w="2821" w:type="dxa"/>
            <w:tcBorders>
              <w:bottom w:val="single" w:sz="6" w:space="0" w:color="000000"/>
              <w:right w:val="single" w:sz="6" w:space="0" w:color="000000"/>
            </w:tcBorders>
          </w:tcPr>
          <w:p>
            <w:pPr>
              <w:pStyle w:val="TableParagraph"/>
              <w:spacing w:before="46"/>
              <w:ind w:left="1693"/>
              <w:jc w:val="left"/>
              <w:rPr>
                <w:rFonts w:ascii="宋体" w:eastAsia="宋体" w:hint="eastAsia"/>
                <w:b/>
                <w:sz w:val="21"/>
              </w:rPr>
            </w:pPr>
            <w:r>
              <w:rPr>
                <w:rFonts w:ascii="宋体" w:eastAsia="宋体" w:hint="eastAsia"/>
                <w:b/>
                <w:sz w:val="21"/>
              </w:rPr>
              <w:t>距离（</w:t>
            </w:r>
            <w:r>
              <w:rPr>
                <w:b/>
                <w:sz w:val="21"/>
              </w:rPr>
              <w:t>m</w:t>
            </w:r>
            <w:r>
              <w:rPr>
                <w:rFonts w:ascii="宋体" w:eastAsia="宋体" w:hint="eastAsia"/>
                <w:b/>
                <w:sz w:val="21"/>
              </w:rPr>
              <w:t>）</w:t>
            </w:r>
          </w:p>
          <w:p>
            <w:pPr>
              <w:pStyle w:val="TableParagraph"/>
              <w:spacing w:before="88"/>
              <w:ind w:left="318"/>
              <w:jc w:val="left"/>
              <w:rPr>
                <w:rFonts w:ascii="宋体" w:eastAsia="宋体" w:hint="eastAsia"/>
                <w:b/>
                <w:sz w:val="21"/>
              </w:rPr>
            </w:pPr>
            <w:r>
              <w:rPr>
                <w:rFonts w:ascii="宋体" w:eastAsia="宋体" w:hint="eastAsia"/>
                <w:b/>
                <w:sz w:val="21"/>
              </w:rPr>
              <w:t>施工阶段</w:t>
            </w:r>
          </w:p>
        </w:tc>
        <w:tc>
          <w:tcPr>
            <w:tcW w:w="946" w:type="dxa"/>
            <w:tcBorders>
              <w:left w:val="single" w:sz="6" w:space="0" w:color="000000"/>
              <w:bottom w:val="single" w:sz="6" w:space="0" w:color="000000"/>
              <w:right w:val="single" w:sz="6" w:space="0" w:color="000000"/>
            </w:tcBorders>
          </w:tcPr>
          <w:p>
            <w:pPr>
              <w:pStyle w:val="TableParagraph"/>
              <w:spacing w:before="10"/>
              <w:jc w:val="left"/>
              <w:rPr>
                <w:b/>
                <w:sz w:val="20"/>
              </w:rPr>
            </w:pPr>
          </w:p>
          <w:p>
            <w:pPr>
              <w:pStyle w:val="TableParagraph"/>
              <w:spacing w:before="0"/>
              <w:ind w:left="273" w:right="246"/>
              <w:rPr>
                <w:b/>
                <w:sz w:val="21"/>
              </w:rPr>
            </w:pPr>
            <w:r>
              <w:rPr>
                <w:b/>
                <w:sz w:val="21"/>
              </w:rPr>
              <w:t>50</w:t>
            </w:r>
          </w:p>
        </w:tc>
        <w:tc>
          <w:tcPr>
            <w:tcW w:w="946" w:type="dxa"/>
            <w:tcBorders>
              <w:left w:val="single" w:sz="6" w:space="0" w:color="000000"/>
              <w:bottom w:val="single" w:sz="6" w:space="0" w:color="000000"/>
              <w:right w:val="single" w:sz="6" w:space="0" w:color="000000"/>
            </w:tcBorders>
          </w:tcPr>
          <w:p>
            <w:pPr>
              <w:pStyle w:val="TableParagraph"/>
              <w:spacing w:before="10"/>
              <w:jc w:val="left"/>
              <w:rPr>
                <w:b/>
                <w:sz w:val="20"/>
              </w:rPr>
            </w:pPr>
          </w:p>
          <w:p>
            <w:pPr>
              <w:pStyle w:val="TableParagraph"/>
              <w:spacing w:before="0"/>
              <w:ind w:left="320"/>
              <w:jc w:val="left"/>
              <w:rPr>
                <w:b/>
                <w:sz w:val="21"/>
              </w:rPr>
            </w:pPr>
            <w:r>
              <w:rPr>
                <w:b/>
                <w:sz w:val="21"/>
              </w:rPr>
              <w:t>100</w:t>
            </w:r>
          </w:p>
        </w:tc>
        <w:tc>
          <w:tcPr>
            <w:tcW w:w="946" w:type="dxa"/>
            <w:tcBorders>
              <w:left w:val="single" w:sz="6" w:space="0" w:color="000000"/>
              <w:bottom w:val="single" w:sz="6" w:space="0" w:color="000000"/>
              <w:right w:val="single" w:sz="6" w:space="0" w:color="000000"/>
            </w:tcBorders>
          </w:tcPr>
          <w:p>
            <w:pPr>
              <w:pStyle w:val="TableParagraph"/>
              <w:spacing w:before="10"/>
              <w:jc w:val="left"/>
              <w:rPr>
                <w:b/>
                <w:sz w:val="20"/>
              </w:rPr>
            </w:pPr>
          </w:p>
          <w:p>
            <w:pPr>
              <w:pStyle w:val="TableParagraph"/>
              <w:spacing w:before="0"/>
              <w:ind w:left="320"/>
              <w:jc w:val="left"/>
              <w:rPr>
                <w:b/>
                <w:sz w:val="21"/>
              </w:rPr>
            </w:pPr>
            <w:r>
              <w:rPr>
                <w:b/>
                <w:sz w:val="21"/>
              </w:rPr>
              <w:t>150</w:t>
            </w:r>
          </w:p>
        </w:tc>
        <w:tc>
          <w:tcPr>
            <w:tcW w:w="944" w:type="dxa"/>
            <w:tcBorders>
              <w:left w:val="single" w:sz="6" w:space="0" w:color="000000"/>
              <w:bottom w:val="single" w:sz="6" w:space="0" w:color="000000"/>
              <w:right w:val="single" w:sz="6" w:space="0" w:color="000000"/>
            </w:tcBorders>
          </w:tcPr>
          <w:p>
            <w:pPr>
              <w:pStyle w:val="TableParagraph"/>
              <w:spacing w:before="10"/>
              <w:jc w:val="left"/>
              <w:rPr>
                <w:b/>
                <w:sz w:val="20"/>
              </w:rPr>
            </w:pPr>
          </w:p>
          <w:p>
            <w:pPr>
              <w:pStyle w:val="TableParagraph"/>
              <w:spacing w:before="0"/>
              <w:ind w:left="160" w:right="137"/>
              <w:rPr>
                <w:b/>
                <w:sz w:val="21"/>
              </w:rPr>
            </w:pPr>
            <w:r>
              <w:rPr>
                <w:b/>
                <w:sz w:val="21"/>
              </w:rPr>
              <w:t>200</w:t>
            </w:r>
          </w:p>
        </w:tc>
        <w:tc>
          <w:tcPr>
            <w:tcW w:w="946" w:type="dxa"/>
            <w:tcBorders>
              <w:left w:val="single" w:sz="6" w:space="0" w:color="000000"/>
              <w:bottom w:val="single" w:sz="6" w:space="0" w:color="000000"/>
              <w:right w:val="single" w:sz="6" w:space="0" w:color="000000"/>
            </w:tcBorders>
          </w:tcPr>
          <w:p>
            <w:pPr>
              <w:pStyle w:val="TableParagraph"/>
              <w:spacing w:before="10"/>
              <w:jc w:val="left"/>
              <w:rPr>
                <w:b/>
                <w:sz w:val="20"/>
              </w:rPr>
            </w:pPr>
          </w:p>
          <w:p>
            <w:pPr>
              <w:pStyle w:val="TableParagraph"/>
              <w:spacing w:before="0"/>
              <w:ind w:left="273" w:right="248"/>
              <w:rPr>
                <w:b/>
                <w:sz w:val="21"/>
              </w:rPr>
            </w:pPr>
            <w:r>
              <w:rPr>
                <w:b/>
                <w:sz w:val="21"/>
              </w:rPr>
              <w:t>250</w:t>
            </w:r>
          </w:p>
        </w:tc>
        <w:tc>
          <w:tcPr>
            <w:tcW w:w="946" w:type="dxa"/>
            <w:tcBorders>
              <w:left w:val="single" w:sz="6" w:space="0" w:color="000000"/>
              <w:bottom w:val="single" w:sz="6" w:space="0" w:color="000000"/>
              <w:right w:val="single" w:sz="6" w:space="0" w:color="000000"/>
            </w:tcBorders>
          </w:tcPr>
          <w:p>
            <w:pPr>
              <w:pStyle w:val="TableParagraph"/>
              <w:spacing w:before="10"/>
              <w:jc w:val="left"/>
              <w:rPr>
                <w:b/>
                <w:sz w:val="20"/>
              </w:rPr>
            </w:pPr>
          </w:p>
          <w:p>
            <w:pPr>
              <w:pStyle w:val="TableParagraph"/>
              <w:spacing w:before="0"/>
              <w:ind w:left="272" w:right="248"/>
              <w:rPr>
                <w:b/>
                <w:sz w:val="21"/>
              </w:rPr>
            </w:pPr>
            <w:r>
              <w:rPr>
                <w:b/>
                <w:sz w:val="21"/>
              </w:rPr>
              <w:t>300</w:t>
            </w:r>
          </w:p>
        </w:tc>
        <w:tc>
          <w:tcPr>
            <w:tcW w:w="939" w:type="dxa"/>
            <w:tcBorders>
              <w:left w:val="single" w:sz="6" w:space="0" w:color="000000"/>
              <w:bottom w:val="single" w:sz="6" w:space="0" w:color="000000"/>
            </w:tcBorders>
          </w:tcPr>
          <w:p>
            <w:pPr>
              <w:pStyle w:val="TableParagraph"/>
              <w:spacing w:before="10"/>
              <w:jc w:val="left"/>
              <w:rPr>
                <w:b/>
                <w:sz w:val="20"/>
              </w:rPr>
            </w:pPr>
          </w:p>
          <w:p>
            <w:pPr>
              <w:pStyle w:val="TableParagraph"/>
              <w:spacing w:before="0"/>
              <w:ind w:left="317"/>
              <w:jc w:val="left"/>
              <w:rPr>
                <w:b/>
                <w:sz w:val="21"/>
              </w:rPr>
            </w:pPr>
            <w:r>
              <w:rPr>
                <w:b/>
                <w:sz w:val="21"/>
              </w:rPr>
              <w:t>400</w:t>
            </w:r>
          </w:p>
        </w:tc>
      </w:tr>
      <w:tr>
        <w:trPr>
          <w:trHeight w:val="359" w:hRule="atLeast"/>
        </w:trPr>
        <w:tc>
          <w:tcPr>
            <w:tcW w:w="2821" w:type="dxa"/>
            <w:tcBorders>
              <w:top w:val="single" w:sz="6" w:space="0" w:color="000000"/>
              <w:bottom w:val="single" w:sz="6" w:space="0" w:color="000000"/>
              <w:right w:val="single" w:sz="6" w:space="0" w:color="000000"/>
            </w:tcBorders>
          </w:tcPr>
          <w:p>
            <w:pPr>
              <w:pStyle w:val="TableParagraph"/>
              <w:spacing w:before="44"/>
              <w:ind w:left="864" w:right="844"/>
              <w:rPr>
                <w:rFonts w:ascii="宋体" w:eastAsia="宋体" w:hint="eastAsia"/>
                <w:sz w:val="21"/>
              </w:rPr>
            </w:pPr>
            <w:r>
              <w:rPr>
                <w:rFonts w:ascii="宋体" w:eastAsia="宋体" w:hint="eastAsia"/>
                <w:sz w:val="21"/>
              </w:rPr>
              <w:t>土石方阶段</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73" w:right="246"/>
              <w:rPr>
                <w:sz w:val="21"/>
              </w:rPr>
            </w:pPr>
            <w:r>
              <w:rPr>
                <w:sz w:val="21"/>
              </w:rPr>
              <w:t>79.6</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94"/>
              <w:jc w:val="left"/>
              <w:rPr>
                <w:sz w:val="21"/>
              </w:rPr>
            </w:pPr>
            <w:r>
              <w:rPr>
                <w:sz w:val="21"/>
              </w:rPr>
              <w:t>73.6</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94"/>
              <w:jc w:val="left"/>
              <w:rPr>
                <w:sz w:val="21"/>
              </w:rPr>
            </w:pPr>
            <w:r>
              <w:rPr>
                <w:sz w:val="21"/>
              </w:rPr>
              <w:t>70.1</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60" w:right="137"/>
              <w:rPr>
                <w:sz w:val="21"/>
              </w:rPr>
            </w:pPr>
            <w:r>
              <w:rPr>
                <w:sz w:val="21"/>
              </w:rPr>
              <w:t>67.6</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73" w:right="248"/>
              <w:rPr>
                <w:sz w:val="21"/>
              </w:rPr>
            </w:pPr>
            <w:r>
              <w:rPr>
                <w:sz w:val="21"/>
              </w:rPr>
              <w:t>65.7</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72" w:right="248"/>
              <w:rPr>
                <w:sz w:val="21"/>
              </w:rPr>
            </w:pPr>
            <w:r>
              <w:rPr>
                <w:sz w:val="21"/>
              </w:rPr>
              <w:t>64.1</w:t>
            </w:r>
          </w:p>
        </w:tc>
        <w:tc>
          <w:tcPr>
            <w:tcW w:w="939" w:type="dxa"/>
            <w:tcBorders>
              <w:top w:val="single" w:sz="6" w:space="0" w:color="000000"/>
              <w:left w:val="single" w:sz="6" w:space="0" w:color="000000"/>
              <w:bottom w:val="single" w:sz="6" w:space="0" w:color="000000"/>
            </w:tcBorders>
          </w:tcPr>
          <w:p>
            <w:pPr>
              <w:pStyle w:val="TableParagraph"/>
              <w:ind w:left="290"/>
              <w:jc w:val="left"/>
              <w:rPr>
                <w:sz w:val="21"/>
              </w:rPr>
            </w:pPr>
            <w:r>
              <w:rPr>
                <w:sz w:val="21"/>
              </w:rPr>
              <w:t>61.9</w:t>
            </w:r>
          </w:p>
        </w:tc>
      </w:tr>
      <w:tr>
        <w:trPr>
          <w:trHeight w:val="357" w:hRule="atLeast"/>
        </w:trPr>
        <w:tc>
          <w:tcPr>
            <w:tcW w:w="2821" w:type="dxa"/>
            <w:tcBorders>
              <w:top w:val="single" w:sz="6" w:space="0" w:color="000000"/>
              <w:bottom w:val="single" w:sz="6" w:space="0" w:color="000000"/>
              <w:right w:val="single" w:sz="6" w:space="0" w:color="000000"/>
            </w:tcBorders>
          </w:tcPr>
          <w:p>
            <w:pPr>
              <w:pStyle w:val="TableParagraph"/>
              <w:spacing w:before="44"/>
              <w:ind w:left="864" w:right="844"/>
              <w:rPr>
                <w:rFonts w:ascii="宋体" w:eastAsia="宋体" w:hint="eastAsia"/>
                <w:sz w:val="21"/>
              </w:rPr>
            </w:pPr>
            <w:r>
              <w:rPr>
                <w:rFonts w:ascii="宋体" w:eastAsia="宋体" w:hint="eastAsia"/>
                <w:sz w:val="21"/>
              </w:rPr>
              <w:t>基础阶段</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73" w:right="246"/>
              <w:rPr>
                <w:sz w:val="21"/>
              </w:rPr>
            </w:pPr>
            <w:r>
              <w:rPr>
                <w:sz w:val="21"/>
              </w:rPr>
              <w:t>71.0</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94"/>
              <w:jc w:val="left"/>
              <w:rPr>
                <w:sz w:val="21"/>
              </w:rPr>
            </w:pPr>
            <w:r>
              <w:rPr>
                <w:sz w:val="21"/>
              </w:rPr>
              <w:t>65.0</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94"/>
              <w:jc w:val="left"/>
              <w:rPr>
                <w:sz w:val="21"/>
              </w:rPr>
            </w:pPr>
            <w:r>
              <w:rPr>
                <w:sz w:val="21"/>
              </w:rPr>
              <w:t>61.5</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ind w:left="160" w:right="137"/>
              <w:rPr>
                <w:sz w:val="21"/>
              </w:rPr>
            </w:pPr>
            <w:r>
              <w:rPr>
                <w:sz w:val="21"/>
              </w:rPr>
              <w:t>58.9</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73" w:right="248"/>
              <w:rPr>
                <w:sz w:val="21"/>
              </w:rPr>
            </w:pPr>
            <w:r>
              <w:rPr>
                <w:sz w:val="21"/>
              </w:rPr>
              <w:t>57.0</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ind w:left="272" w:right="248"/>
              <w:rPr>
                <w:sz w:val="21"/>
              </w:rPr>
            </w:pPr>
            <w:r>
              <w:rPr>
                <w:sz w:val="21"/>
              </w:rPr>
              <w:t>55.5</w:t>
            </w:r>
          </w:p>
        </w:tc>
        <w:tc>
          <w:tcPr>
            <w:tcW w:w="939" w:type="dxa"/>
            <w:tcBorders>
              <w:top w:val="single" w:sz="6" w:space="0" w:color="000000"/>
              <w:left w:val="single" w:sz="6" w:space="0" w:color="000000"/>
              <w:bottom w:val="single" w:sz="6" w:space="0" w:color="000000"/>
            </w:tcBorders>
          </w:tcPr>
          <w:p>
            <w:pPr>
              <w:pStyle w:val="TableParagraph"/>
              <w:ind w:left="290"/>
              <w:jc w:val="left"/>
              <w:rPr>
                <w:sz w:val="21"/>
              </w:rPr>
            </w:pPr>
            <w:r>
              <w:rPr>
                <w:sz w:val="21"/>
              </w:rPr>
              <w:t>52.9</w:t>
            </w:r>
          </w:p>
        </w:tc>
      </w:tr>
      <w:tr>
        <w:trPr>
          <w:trHeight w:val="359" w:hRule="atLeast"/>
        </w:trPr>
        <w:tc>
          <w:tcPr>
            <w:tcW w:w="2821" w:type="dxa"/>
            <w:tcBorders>
              <w:top w:val="single" w:sz="6" w:space="0" w:color="000000"/>
              <w:bottom w:val="single" w:sz="6" w:space="0" w:color="000000"/>
              <w:right w:val="single" w:sz="6" w:space="0" w:color="000000"/>
            </w:tcBorders>
          </w:tcPr>
          <w:p>
            <w:pPr>
              <w:pStyle w:val="TableParagraph"/>
              <w:spacing w:before="46"/>
              <w:ind w:left="864" w:right="844"/>
              <w:rPr>
                <w:rFonts w:ascii="宋体" w:eastAsia="宋体" w:hint="eastAsia"/>
                <w:sz w:val="21"/>
              </w:rPr>
            </w:pPr>
            <w:r>
              <w:rPr>
                <w:rFonts w:ascii="宋体" w:eastAsia="宋体" w:hint="eastAsia"/>
                <w:sz w:val="21"/>
              </w:rPr>
              <w:t>结构阶段</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60"/>
              <w:ind w:left="273" w:right="246"/>
              <w:rPr>
                <w:sz w:val="21"/>
              </w:rPr>
            </w:pPr>
            <w:r>
              <w:rPr>
                <w:sz w:val="21"/>
              </w:rPr>
              <w:t>82.4</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60"/>
              <w:ind w:left="294"/>
              <w:jc w:val="left"/>
              <w:rPr>
                <w:sz w:val="21"/>
              </w:rPr>
            </w:pPr>
            <w:r>
              <w:rPr>
                <w:sz w:val="21"/>
              </w:rPr>
              <w:t>76.4</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60"/>
              <w:ind w:left="294"/>
              <w:jc w:val="left"/>
              <w:rPr>
                <w:sz w:val="21"/>
              </w:rPr>
            </w:pPr>
            <w:r>
              <w:rPr>
                <w:sz w:val="21"/>
              </w:rPr>
              <w:t>72.8</w:t>
            </w:r>
          </w:p>
        </w:tc>
        <w:tc>
          <w:tcPr>
            <w:tcW w:w="944" w:type="dxa"/>
            <w:tcBorders>
              <w:top w:val="single" w:sz="6" w:space="0" w:color="000000"/>
              <w:left w:val="single" w:sz="6" w:space="0" w:color="000000"/>
              <w:bottom w:val="single" w:sz="6" w:space="0" w:color="000000"/>
              <w:right w:val="single" w:sz="6" w:space="0" w:color="000000"/>
            </w:tcBorders>
          </w:tcPr>
          <w:p>
            <w:pPr>
              <w:pStyle w:val="TableParagraph"/>
              <w:spacing w:before="60"/>
              <w:ind w:left="160" w:right="137"/>
              <w:rPr>
                <w:sz w:val="21"/>
              </w:rPr>
            </w:pPr>
            <w:r>
              <w:rPr>
                <w:sz w:val="21"/>
              </w:rPr>
              <w:t>70.3</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60"/>
              <w:ind w:left="273" w:right="248"/>
              <w:rPr>
                <w:sz w:val="21"/>
              </w:rPr>
            </w:pPr>
            <w:r>
              <w:rPr>
                <w:sz w:val="21"/>
              </w:rPr>
              <w:t>68.4</w:t>
            </w:r>
          </w:p>
        </w:tc>
        <w:tc>
          <w:tcPr>
            <w:tcW w:w="946" w:type="dxa"/>
            <w:tcBorders>
              <w:top w:val="single" w:sz="6" w:space="0" w:color="000000"/>
              <w:left w:val="single" w:sz="6" w:space="0" w:color="000000"/>
              <w:bottom w:val="single" w:sz="6" w:space="0" w:color="000000"/>
              <w:right w:val="single" w:sz="6" w:space="0" w:color="000000"/>
            </w:tcBorders>
          </w:tcPr>
          <w:p>
            <w:pPr>
              <w:pStyle w:val="TableParagraph"/>
              <w:spacing w:before="60"/>
              <w:ind w:left="272" w:right="248"/>
              <w:rPr>
                <w:sz w:val="21"/>
              </w:rPr>
            </w:pPr>
            <w:r>
              <w:rPr>
                <w:sz w:val="21"/>
              </w:rPr>
              <w:t>66.8</w:t>
            </w:r>
          </w:p>
        </w:tc>
        <w:tc>
          <w:tcPr>
            <w:tcW w:w="939" w:type="dxa"/>
            <w:tcBorders>
              <w:top w:val="single" w:sz="6" w:space="0" w:color="000000"/>
              <w:left w:val="single" w:sz="6" w:space="0" w:color="000000"/>
              <w:bottom w:val="single" w:sz="6" w:space="0" w:color="000000"/>
            </w:tcBorders>
          </w:tcPr>
          <w:p>
            <w:pPr>
              <w:pStyle w:val="TableParagraph"/>
              <w:spacing w:before="60"/>
              <w:ind w:left="290"/>
              <w:jc w:val="left"/>
              <w:rPr>
                <w:sz w:val="21"/>
              </w:rPr>
            </w:pPr>
            <w:r>
              <w:rPr>
                <w:sz w:val="21"/>
              </w:rPr>
              <w:t>64.3</w:t>
            </w:r>
          </w:p>
        </w:tc>
      </w:tr>
      <w:tr>
        <w:trPr>
          <w:trHeight w:val="356" w:hRule="atLeast"/>
        </w:trPr>
        <w:tc>
          <w:tcPr>
            <w:tcW w:w="2821" w:type="dxa"/>
            <w:tcBorders>
              <w:top w:val="single" w:sz="6" w:space="0" w:color="000000"/>
              <w:right w:val="single" w:sz="6" w:space="0" w:color="000000"/>
            </w:tcBorders>
          </w:tcPr>
          <w:p>
            <w:pPr>
              <w:pStyle w:val="TableParagraph"/>
              <w:spacing w:before="44"/>
              <w:ind w:left="864" w:right="844"/>
              <w:rPr>
                <w:rFonts w:ascii="宋体" w:eastAsia="宋体" w:hint="eastAsia"/>
                <w:sz w:val="21"/>
              </w:rPr>
            </w:pPr>
            <w:r>
              <w:rPr>
                <w:rFonts w:ascii="宋体" w:eastAsia="宋体" w:hint="eastAsia"/>
                <w:sz w:val="21"/>
              </w:rPr>
              <w:t>装修阶段</w:t>
            </w:r>
          </w:p>
        </w:tc>
        <w:tc>
          <w:tcPr>
            <w:tcW w:w="946" w:type="dxa"/>
            <w:tcBorders>
              <w:top w:val="single" w:sz="6" w:space="0" w:color="000000"/>
              <w:left w:val="single" w:sz="6" w:space="0" w:color="000000"/>
              <w:right w:val="single" w:sz="6" w:space="0" w:color="000000"/>
            </w:tcBorders>
          </w:tcPr>
          <w:p>
            <w:pPr>
              <w:pStyle w:val="TableParagraph"/>
              <w:ind w:left="273" w:right="246"/>
              <w:rPr>
                <w:sz w:val="21"/>
              </w:rPr>
            </w:pPr>
            <w:r>
              <w:rPr>
                <w:sz w:val="21"/>
              </w:rPr>
              <w:t>66.6</w:t>
            </w:r>
          </w:p>
        </w:tc>
        <w:tc>
          <w:tcPr>
            <w:tcW w:w="946" w:type="dxa"/>
            <w:tcBorders>
              <w:top w:val="single" w:sz="6" w:space="0" w:color="000000"/>
              <w:left w:val="single" w:sz="6" w:space="0" w:color="000000"/>
              <w:right w:val="single" w:sz="6" w:space="0" w:color="000000"/>
            </w:tcBorders>
          </w:tcPr>
          <w:p>
            <w:pPr>
              <w:pStyle w:val="TableParagraph"/>
              <w:ind w:left="294"/>
              <w:jc w:val="left"/>
              <w:rPr>
                <w:sz w:val="21"/>
              </w:rPr>
            </w:pPr>
            <w:r>
              <w:rPr>
                <w:sz w:val="21"/>
              </w:rPr>
              <w:t>60.5</w:t>
            </w:r>
          </w:p>
        </w:tc>
        <w:tc>
          <w:tcPr>
            <w:tcW w:w="946" w:type="dxa"/>
            <w:tcBorders>
              <w:top w:val="single" w:sz="6" w:space="0" w:color="000000"/>
              <w:left w:val="single" w:sz="6" w:space="0" w:color="000000"/>
              <w:right w:val="single" w:sz="6" w:space="0" w:color="000000"/>
            </w:tcBorders>
          </w:tcPr>
          <w:p>
            <w:pPr>
              <w:pStyle w:val="TableParagraph"/>
              <w:ind w:left="294"/>
              <w:jc w:val="left"/>
              <w:rPr>
                <w:sz w:val="21"/>
              </w:rPr>
            </w:pPr>
            <w:r>
              <w:rPr>
                <w:sz w:val="21"/>
              </w:rPr>
              <w:t>57.0</w:t>
            </w:r>
          </w:p>
        </w:tc>
        <w:tc>
          <w:tcPr>
            <w:tcW w:w="944" w:type="dxa"/>
            <w:tcBorders>
              <w:top w:val="single" w:sz="6" w:space="0" w:color="000000"/>
              <w:left w:val="single" w:sz="6" w:space="0" w:color="000000"/>
              <w:right w:val="single" w:sz="6" w:space="0" w:color="000000"/>
            </w:tcBorders>
          </w:tcPr>
          <w:p>
            <w:pPr>
              <w:pStyle w:val="TableParagraph"/>
              <w:ind w:left="160" w:right="137"/>
              <w:rPr>
                <w:sz w:val="21"/>
              </w:rPr>
            </w:pPr>
            <w:r>
              <w:rPr>
                <w:sz w:val="21"/>
              </w:rPr>
              <w:t>54.5</w:t>
            </w:r>
          </w:p>
        </w:tc>
        <w:tc>
          <w:tcPr>
            <w:tcW w:w="946" w:type="dxa"/>
            <w:tcBorders>
              <w:top w:val="single" w:sz="6" w:space="0" w:color="000000"/>
              <w:left w:val="single" w:sz="6" w:space="0" w:color="000000"/>
              <w:right w:val="single" w:sz="6" w:space="0" w:color="000000"/>
            </w:tcBorders>
          </w:tcPr>
          <w:p>
            <w:pPr>
              <w:pStyle w:val="TableParagraph"/>
              <w:ind w:left="273" w:right="248"/>
              <w:rPr>
                <w:sz w:val="21"/>
              </w:rPr>
            </w:pPr>
            <w:r>
              <w:rPr>
                <w:sz w:val="21"/>
              </w:rPr>
              <w:t>52.6</w:t>
            </w:r>
          </w:p>
        </w:tc>
        <w:tc>
          <w:tcPr>
            <w:tcW w:w="946" w:type="dxa"/>
            <w:tcBorders>
              <w:top w:val="single" w:sz="6" w:space="0" w:color="000000"/>
              <w:left w:val="single" w:sz="6" w:space="0" w:color="000000"/>
              <w:right w:val="single" w:sz="6" w:space="0" w:color="000000"/>
            </w:tcBorders>
          </w:tcPr>
          <w:p>
            <w:pPr>
              <w:pStyle w:val="TableParagraph"/>
              <w:ind w:left="272" w:right="248"/>
              <w:rPr>
                <w:sz w:val="21"/>
              </w:rPr>
            </w:pPr>
            <w:r>
              <w:rPr>
                <w:sz w:val="21"/>
              </w:rPr>
              <w:t>51.0</w:t>
            </w:r>
          </w:p>
        </w:tc>
        <w:tc>
          <w:tcPr>
            <w:tcW w:w="939" w:type="dxa"/>
            <w:tcBorders>
              <w:top w:val="single" w:sz="6" w:space="0" w:color="000000"/>
              <w:left w:val="single" w:sz="6" w:space="0" w:color="000000"/>
            </w:tcBorders>
          </w:tcPr>
          <w:p>
            <w:pPr>
              <w:pStyle w:val="TableParagraph"/>
              <w:ind w:left="290"/>
              <w:jc w:val="left"/>
              <w:rPr>
                <w:sz w:val="21"/>
              </w:rPr>
            </w:pPr>
            <w:r>
              <w:rPr>
                <w:sz w:val="21"/>
              </w:rPr>
              <w:t>48.5</w:t>
            </w:r>
          </w:p>
        </w:tc>
      </w:tr>
    </w:tbl>
    <w:p>
      <w:pPr>
        <w:pStyle w:val="BodyText"/>
        <w:spacing w:before="84"/>
        <w:ind w:left="717"/>
        <w:rPr>
          <w:rFonts w:ascii="Times New Roman" w:eastAsia="Times New Roman"/>
        </w:rPr>
      </w:pPr>
      <w:r>
        <w:rPr/>
        <w:t>根据《建筑施工厂界环境噪声排放标准》（</w:t>
      </w:r>
      <w:r>
        <w:rPr>
          <w:rFonts w:ascii="Times New Roman" w:eastAsia="Times New Roman"/>
        </w:rPr>
        <w:t>GB</w:t>
      </w:r>
      <w:r>
        <w:rPr>
          <w:rFonts w:ascii="Times New Roman" w:eastAsia="Times New Roman"/>
          <w:spacing w:val="55"/>
        </w:rPr>
        <w:t> </w:t>
      </w:r>
      <w:r>
        <w:rPr>
          <w:rFonts w:ascii="Times New Roman" w:eastAsia="Times New Roman"/>
        </w:rPr>
        <w:t>12523-2011</w:t>
      </w:r>
      <w:r>
        <w:rPr/>
        <w:t>）</w:t>
      </w:r>
      <w:r>
        <w:rPr>
          <w:spacing w:val="-4"/>
        </w:rPr>
        <w:t>中有关规定，从表 </w:t>
      </w:r>
      <w:r>
        <w:rPr>
          <w:rFonts w:ascii="Times New Roman" w:eastAsia="Times New Roman"/>
        </w:rPr>
        <w:t>7-1</w:t>
      </w:r>
    </w:p>
    <w:p>
      <w:pPr>
        <w:pStyle w:val="BodyText"/>
        <w:spacing w:before="161"/>
      </w:pPr>
      <w:r>
        <w:rPr/>
        <w:t>和表 </w:t>
      </w:r>
      <w:r>
        <w:rPr>
          <w:rFonts w:ascii="Times New Roman" w:eastAsia="Times New Roman"/>
        </w:rPr>
        <w:t>5.1-2 </w:t>
      </w:r>
      <w:r>
        <w:rPr/>
        <w:t>的噪声预测结果可得出以下结论：</w:t>
      </w:r>
    </w:p>
    <w:p>
      <w:pPr>
        <w:pStyle w:val="BodyText"/>
        <w:spacing w:line="364" w:lineRule="auto" w:before="160"/>
        <w:ind w:left="717" w:right="2252"/>
      </w:pPr>
      <w:r>
        <w:rPr/>
        <w:t>土石方阶段：施工现场昼间在 </w:t>
      </w:r>
      <w:r>
        <w:rPr>
          <w:rFonts w:ascii="Times New Roman" w:eastAsia="Times New Roman"/>
        </w:rPr>
        <w:t>150m </w:t>
      </w:r>
      <w:r>
        <w:rPr/>
        <w:t>左右可达到噪声限值要求。基础阶段：在施工现场内即可达标。</w:t>
      </w:r>
    </w:p>
    <w:p>
      <w:pPr>
        <w:pStyle w:val="BodyText"/>
        <w:spacing w:before="1"/>
        <w:ind w:left="717"/>
      </w:pPr>
      <w:r>
        <w:rPr/>
        <w:t>结构阶段：施工现场昼间在 </w:t>
      </w:r>
      <w:r>
        <w:rPr>
          <w:rFonts w:ascii="Times New Roman" w:eastAsia="Times New Roman"/>
        </w:rPr>
        <w:t>200m </w:t>
      </w:r>
      <w:r>
        <w:rPr/>
        <w:t>以外可达到噪声限值要求。</w:t>
      </w:r>
    </w:p>
    <w:p>
      <w:pPr>
        <w:pStyle w:val="BodyText"/>
        <w:spacing w:line="364" w:lineRule="auto" w:before="161"/>
        <w:ind w:left="717" w:right="129"/>
      </w:pPr>
      <w:r>
        <w:rPr>
          <w:spacing w:val="-9"/>
        </w:rPr>
        <w:t>装修阶段：施工现场昼间在 </w:t>
      </w:r>
      <w:r>
        <w:rPr>
          <w:rFonts w:ascii="Times New Roman" w:eastAsia="Times New Roman"/>
        </w:rPr>
        <w:t>50m </w:t>
      </w:r>
      <w:r>
        <w:rPr>
          <w:spacing w:val="-6"/>
        </w:rPr>
        <w:t>以内可达到噪声限值要求，夜间在 </w:t>
      </w:r>
      <w:r>
        <w:rPr>
          <w:rFonts w:ascii="Times New Roman" w:eastAsia="Times New Roman"/>
        </w:rPr>
        <w:t>200m </w:t>
      </w:r>
      <w:r>
        <w:rPr>
          <w:spacing w:val="-3"/>
        </w:rPr>
        <w:t>处可达标。</w:t>
      </w:r>
      <w:r>
        <w:rPr/>
        <w:t>根据上述分析，本项目施工建设时厂界噪声超标，项目的建设将对周边声环境将造</w:t>
      </w:r>
    </w:p>
    <w:p>
      <w:pPr>
        <w:spacing w:after="0" w:line="364" w:lineRule="auto"/>
        <w:sectPr>
          <w:pgSz w:w="11910" w:h="16840"/>
          <w:pgMar w:header="874" w:footer="1004" w:top="1440" w:bottom="1200" w:left="1040" w:right="1160"/>
        </w:sectPr>
      </w:pPr>
    </w:p>
    <w:p>
      <w:pPr>
        <w:pStyle w:val="BodyText"/>
        <w:spacing w:line="364" w:lineRule="auto" w:before="64"/>
        <w:ind w:right="249"/>
        <w:jc w:val="both"/>
      </w:pPr>
      <w:r>
        <w:rPr>
          <w:spacing w:val="-9"/>
        </w:rPr>
        <w:t>成一定程度的不良影响，施工单位须严格执行《中华人民共和国噪声污染防治法》、《建</w:t>
      </w:r>
      <w:r>
        <w:rPr>
          <w:spacing w:val="-1"/>
        </w:rPr>
        <w:t>筑施工厂界环境噪声排放标准》</w:t>
      </w:r>
      <w:r>
        <w:rPr/>
        <w:t>（</w:t>
      </w:r>
      <w:r>
        <w:rPr>
          <w:rFonts w:ascii="Times New Roman" w:eastAsia="Times New Roman"/>
        </w:rPr>
        <w:t>GB 12523-2011</w:t>
      </w:r>
      <w:r>
        <w:rPr/>
        <w:t>），</w:t>
      </w:r>
      <w:r>
        <w:rPr>
          <w:spacing w:val="-1"/>
        </w:rPr>
        <w:t>尽可能采取有效的减噪措施，尽量减轻由于施工给周围环境带来的影响。为减少施工期噪声对周边环境的影响，本环评提出以下噪声污染防治措施：</w:t>
      </w:r>
    </w:p>
    <w:p>
      <w:pPr>
        <w:pStyle w:val="ListParagraph"/>
        <w:numPr>
          <w:ilvl w:val="0"/>
          <w:numId w:val="63"/>
        </w:numPr>
        <w:tabs>
          <w:tab w:pos="1319" w:val="left" w:leader="none"/>
        </w:tabs>
        <w:spacing w:line="240" w:lineRule="auto" w:before="2" w:after="0"/>
        <w:ind w:left="1318" w:right="0" w:hanging="602"/>
        <w:jc w:val="left"/>
        <w:rPr>
          <w:sz w:val="24"/>
        </w:rPr>
      </w:pPr>
      <w:r>
        <w:rPr>
          <w:sz w:val="24"/>
        </w:rPr>
        <w:t>合理安排施工时间</w:t>
      </w:r>
    </w:p>
    <w:p>
      <w:pPr>
        <w:pStyle w:val="BodyText"/>
        <w:spacing w:line="364" w:lineRule="auto" w:before="160"/>
        <w:ind w:right="133" w:firstLine="480"/>
      </w:pPr>
      <w:r>
        <w:rPr/>
        <w:t>制订施工计划时，应尽量避免同时使用大量高噪声设备施工。高噪声设备作业时间应避开休息时间，物料运输时间需避开高峰期及夜间进行。但抢修抢险作业、因生产工艺要求以及交通限制确需在夜间进行施工作业的除外。因生产工艺要求确需在夜间进行施工作业的，施工单位应当持所在地建设行政主管部门的施工意见书，向所在地环境保护部门申领夜间作业证明；因交通限制确需在夜间进行施工作业的，施工单位应当持所在地公安机关交通管理部门的施工意见书，向所在地环境保护部门申领夜间作业证明。施工单位应当将夜间作业证明提前三日向附近居民公告，并按照夜间作业证明载明的作业时间、作业内容、作业方式以及避免或者减轻干扰附近居民正常生活的防范措施等要求进行施工。第二十九条除抢修抢险作业外，禁止在噪声敏感建筑物集中区域内使用夯扩机、蒸汽桩机、锤击桩机等环境保护部门确定的高噪声设备。因特殊地质条件限制确</w:t>
      </w:r>
      <w:r>
        <w:rPr>
          <w:spacing w:val="-5"/>
        </w:rPr>
        <w:t>需使用的，不得在法定节假日、星期六、日全天以及星期一至星期五的十二时至十四时、</w:t>
      </w:r>
      <w:r>
        <w:rPr/>
        <w:t>二十时至次日八时进行作业。</w:t>
      </w:r>
    </w:p>
    <w:p>
      <w:pPr>
        <w:pStyle w:val="ListParagraph"/>
        <w:numPr>
          <w:ilvl w:val="0"/>
          <w:numId w:val="63"/>
        </w:numPr>
        <w:tabs>
          <w:tab w:pos="1319" w:val="left" w:leader="none"/>
        </w:tabs>
        <w:spacing w:line="240" w:lineRule="auto" w:before="9" w:after="0"/>
        <w:ind w:left="1318" w:right="0" w:hanging="602"/>
        <w:jc w:val="left"/>
        <w:rPr>
          <w:sz w:val="24"/>
        </w:rPr>
      </w:pPr>
      <w:r>
        <w:rPr>
          <w:sz w:val="24"/>
        </w:rPr>
        <w:t>合理布局施工场地</w:t>
      </w:r>
    </w:p>
    <w:p>
      <w:pPr>
        <w:pStyle w:val="BodyText"/>
        <w:spacing w:before="160"/>
        <w:ind w:left="717"/>
      </w:pPr>
      <w:r>
        <w:rPr/>
        <w:t>避免在同一施工地点安排大量动力机械设备，避免局部声级过高。在工地四周设置</w:t>
      </w:r>
    </w:p>
    <w:p>
      <w:pPr>
        <w:pStyle w:val="BodyText"/>
        <w:spacing w:before="161"/>
        <w:jc w:val="both"/>
      </w:pPr>
      <w:r>
        <w:rPr>
          <w:rFonts w:ascii="Times New Roman" w:eastAsia="Times New Roman"/>
        </w:rPr>
        <w:t>2.5m </w:t>
      </w:r>
      <w:r>
        <w:rPr/>
        <w:t>的围墙，尽量利用工地已完成的建筑作为声障，达到自我缓解噪声的效果。</w:t>
      </w:r>
    </w:p>
    <w:p>
      <w:pPr>
        <w:pStyle w:val="ListParagraph"/>
        <w:numPr>
          <w:ilvl w:val="0"/>
          <w:numId w:val="63"/>
        </w:numPr>
        <w:tabs>
          <w:tab w:pos="1319" w:val="left" w:leader="none"/>
        </w:tabs>
        <w:spacing w:line="240" w:lineRule="auto" w:before="160" w:after="0"/>
        <w:ind w:left="1318" w:right="0" w:hanging="602"/>
        <w:jc w:val="left"/>
        <w:rPr>
          <w:sz w:val="24"/>
        </w:rPr>
      </w:pPr>
      <w:r>
        <w:rPr>
          <w:sz w:val="24"/>
        </w:rPr>
        <w:t>降低设备声级</w:t>
      </w:r>
    </w:p>
    <w:p>
      <w:pPr>
        <w:pStyle w:val="BodyText"/>
        <w:spacing w:line="364" w:lineRule="auto" w:before="161"/>
        <w:ind w:right="254" w:firstLine="480"/>
      </w:pPr>
      <w:r>
        <w:rPr/>
        <w:t>①设备选型上尽量采用低噪声设备，淘汰落后工艺，如以液压机械代替燃油机械， 振捣器采用高频振捣器等。</w:t>
      </w:r>
    </w:p>
    <w:p>
      <w:pPr>
        <w:pStyle w:val="BodyText"/>
        <w:spacing w:line="364" w:lineRule="auto" w:before="1"/>
        <w:ind w:right="249" w:firstLine="480"/>
        <w:jc w:val="both"/>
      </w:pPr>
      <w:r>
        <w:rPr/>
        <w:t>②对高噪声的施工机械要采取一定的降噪措施。对动力机械设备进行定期的维修、养护，避免设备常因松动部件的振动或消声器的损坏而增加其工作时的噪声级。定期检查施工设备，一发现产生的噪声增加应及时维修或更换。</w:t>
      </w:r>
    </w:p>
    <w:p>
      <w:pPr>
        <w:pStyle w:val="BodyText"/>
        <w:spacing w:before="2"/>
        <w:ind w:left="717"/>
      </w:pPr>
      <w:r>
        <w:rPr/>
        <w:t>③暂不使用的设备应立即关闭，运输车辆进入现场应减速，严禁鸣笛。</w:t>
      </w:r>
    </w:p>
    <w:p>
      <w:pPr>
        <w:pStyle w:val="BodyText"/>
        <w:spacing w:line="364" w:lineRule="auto" w:before="161"/>
        <w:ind w:right="249" w:firstLine="480"/>
      </w:pPr>
      <w:r>
        <w:rPr/>
        <w:t>施工期噪声影响属于短暂影响，将随着施工的结束而消失。对施工场地噪声影响除采取以上降噪措施外，还应与周围居民建立良好的关系。此外施工期间应设热线投拆电</w:t>
      </w:r>
    </w:p>
    <w:p>
      <w:pPr>
        <w:spacing w:after="0" w:line="364" w:lineRule="auto"/>
        <w:sectPr>
          <w:pgSz w:w="11910" w:h="16840"/>
          <w:pgMar w:header="874" w:footer="1004" w:top="1440" w:bottom="1200" w:left="1040" w:right="1160"/>
        </w:sectPr>
      </w:pPr>
    </w:p>
    <w:p>
      <w:pPr>
        <w:pStyle w:val="BodyText"/>
        <w:spacing w:before="64"/>
      </w:pPr>
      <w:r>
        <w:rPr/>
        <w:t>话，接受噪声扰民投拆，并对投拆情况进行积极治理或严格的管理。</w:t>
      </w:r>
    </w:p>
    <w:p>
      <w:pPr>
        <w:pStyle w:val="Heading3"/>
        <w:numPr>
          <w:ilvl w:val="2"/>
          <w:numId w:val="61"/>
        </w:numPr>
        <w:tabs>
          <w:tab w:pos="838" w:val="left" w:leader="none"/>
        </w:tabs>
        <w:spacing w:line="240" w:lineRule="auto" w:before="160" w:after="0"/>
        <w:ind w:left="837" w:right="0" w:hanging="601"/>
        <w:jc w:val="both"/>
      </w:pPr>
      <w:bookmarkStart w:name="_bookmark83" w:id="160"/>
      <w:bookmarkEnd w:id="160"/>
      <w:r>
        <w:rPr>
          <w:b w:val="0"/>
        </w:rPr>
      </w:r>
      <w:bookmarkStart w:name="_bookmark83" w:id="161"/>
      <w:bookmarkEnd w:id="161"/>
      <w:r>
        <w:rPr/>
        <w:t>施工期固体废物环境影响分析</w:t>
      </w:r>
    </w:p>
    <w:p>
      <w:pPr>
        <w:pStyle w:val="BodyText"/>
        <w:spacing w:line="364" w:lineRule="auto" w:before="161"/>
        <w:ind w:right="249" w:firstLine="480"/>
        <w:jc w:val="both"/>
      </w:pPr>
      <w:r>
        <w:rPr/>
        <w:t>施工期间需要挖土、运输弃土、运输各种建筑材料（如砂石、砖、木材等），工程完工后，会残留不少废建筑材料。建筑垃圾如果不能及时处理应建立临时堆放场。施工单位应实行标准施工、规划运输，送至指定地点处理，不得随意倾倒建筑垃圾、制造新的</w:t>
      </w:r>
      <w:r>
        <w:rPr>
          <w:rFonts w:ascii="Times New Roman" w:hAnsi="Times New Roman" w:eastAsia="Times New Roman"/>
        </w:rPr>
        <w:t>“</w:t>
      </w:r>
      <w:r>
        <w:rPr/>
        <w:t>垃圾堆场</w:t>
      </w:r>
      <w:r>
        <w:rPr>
          <w:rFonts w:ascii="Times New Roman" w:hAnsi="Times New Roman" w:eastAsia="Times New Roman"/>
        </w:rPr>
        <w:t>”</w:t>
      </w:r>
      <w:r>
        <w:rPr>
          <w:spacing w:val="-11"/>
        </w:rPr>
        <w:t>。施工单位在施工过程中应对建筑垃圾进行分拣、破碎等方式处理，可用于</w:t>
      </w:r>
      <w:r>
        <w:rPr/>
        <w:t>回填或制成建筑材料，实现建筑垃圾的综合利用。开挖的土石方还可应用于工程区地坪整治，如道路地势低洼处填筑。充分利用开挖土石方，减少弃渣量、借方量，从而减少水土流失。对于建筑垃圾中可回收利用的部分应尽量回收利用，不可回收利用部分应运送至指定地点，由专门单位处理。</w:t>
      </w:r>
    </w:p>
    <w:p>
      <w:pPr>
        <w:pStyle w:val="BodyText"/>
        <w:spacing w:line="364" w:lineRule="auto" w:before="5"/>
        <w:ind w:left="717" w:right="254"/>
      </w:pPr>
      <w:r>
        <w:rPr/>
        <w:t>其次，施工人员的生活垃圾也要收集到指定的垃圾箱内，由环卫部门统一清运。 建设单位应该严格要求施工单位按规范运输，防止随地散落、随意倾倒垃圾，尽可</w:t>
      </w:r>
    </w:p>
    <w:p>
      <w:pPr>
        <w:pStyle w:val="BodyText"/>
        <w:spacing w:line="364" w:lineRule="auto" w:before="1"/>
        <w:ind w:right="249"/>
        <w:jc w:val="both"/>
      </w:pPr>
      <w:r>
        <w:rPr/>
        <w:t>能少产生垃圾。运输车辆在运送渣土等过程中应对其表面进行覆盖，防止随地散落。在建筑施工过程中产生的固体废物按有关规定妥善处置，建筑垃圾、生活垃圾有序收集， 不随意堆置的基础上，施工期固废对周边环境和敏感点不会产生不利影响。</w:t>
      </w:r>
    </w:p>
    <w:p>
      <w:pPr>
        <w:pStyle w:val="Heading3"/>
        <w:numPr>
          <w:ilvl w:val="2"/>
          <w:numId w:val="61"/>
        </w:numPr>
        <w:tabs>
          <w:tab w:pos="838" w:val="left" w:leader="none"/>
        </w:tabs>
        <w:spacing w:line="240" w:lineRule="auto" w:before="2" w:after="0"/>
        <w:ind w:left="837" w:right="0" w:hanging="601"/>
        <w:jc w:val="both"/>
      </w:pPr>
      <w:bookmarkStart w:name="_bookmark84" w:id="162"/>
      <w:bookmarkEnd w:id="162"/>
      <w:r>
        <w:rPr>
          <w:b w:val="0"/>
        </w:rPr>
      </w:r>
      <w:bookmarkStart w:name="_bookmark84" w:id="163"/>
      <w:bookmarkEnd w:id="163"/>
      <w:r>
        <w:rPr/>
        <w:t>施工期生态环境影响分析</w:t>
      </w:r>
    </w:p>
    <w:p>
      <w:pPr>
        <w:pStyle w:val="BodyText"/>
        <w:spacing w:line="364" w:lineRule="auto" w:before="161"/>
        <w:ind w:right="249" w:firstLine="480"/>
        <w:jc w:val="both"/>
      </w:pPr>
      <w:r>
        <w:rPr/>
        <w:t>根据工程实际，结合工程分析，并参考《土壤侵蚀分类分级标准》（</w:t>
      </w:r>
      <w:r>
        <w:rPr>
          <w:rFonts w:ascii="Times New Roman" w:eastAsia="Times New Roman"/>
        </w:rPr>
        <w:t>SL 190-96</w:t>
      </w:r>
      <w:r>
        <w:rPr/>
        <w:t>）及类似的工程项目，施工期生态影响主要为可能造成的水土流失。根据工程施工的特点， 工程回填等扰动地表的活动基本都是在工程占地内完成，所以，工程可能造成的水土流失也主要发生在工程占地范围内。本项目主要的生态影响表现在以下几个方面：</w:t>
      </w:r>
    </w:p>
    <w:p>
      <w:pPr>
        <w:pStyle w:val="Heading3"/>
        <w:spacing w:before="2"/>
        <w:ind w:left="717"/>
      </w:pPr>
      <w:r>
        <w:rPr>
          <w:rFonts w:ascii="Times New Roman" w:eastAsia="Times New Roman"/>
        </w:rPr>
        <w:t>1</w:t>
      </w:r>
      <w:r>
        <w:rPr/>
        <w:t>、建筑物</w:t>
      </w:r>
    </w:p>
    <w:p>
      <w:pPr>
        <w:pStyle w:val="BodyText"/>
        <w:spacing w:line="364" w:lineRule="auto" w:before="161"/>
        <w:ind w:right="249" w:firstLine="480"/>
        <w:jc w:val="both"/>
      </w:pPr>
      <w:r>
        <w:rPr/>
        <w:t>本项目建筑物施工过程中存在一定的开挖填筑量，会产生一定的水土流失，随着施工的进行，本区裸露面逐渐被建筑覆盖，整个建筑物区内的水土流失强度逐渐下降。至自然恢复期，本区全部被建筑物覆盖，无裸露面。</w:t>
      </w:r>
    </w:p>
    <w:p>
      <w:pPr>
        <w:pStyle w:val="Heading3"/>
        <w:spacing w:before="2"/>
        <w:ind w:left="717"/>
      </w:pPr>
      <w:r>
        <w:rPr>
          <w:rFonts w:ascii="Times New Roman" w:eastAsia="Times New Roman"/>
        </w:rPr>
        <w:t>2</w:t>
      </w:r>
      <w:r>
        <w:rPr/>
        <w:t>、绿化</w:t>
      </w:r>
    </w:p>
    <w:p>
      <w:pPr>
        <w:pStyle w:val="BodyText"/>
        <w:spacing w:line="364" w:lineRule="auto" w:before="161"/>
        <w:ind w:right="135" w:firstLine="480"/>
      </w:pPr>
      <w:r>
        <w:rPr/>
        <w:t>施工过程中，需回填土方绿化，然后实施绿化措施。回填土方后表面较疏松，易产</w:t>
      </w:r>
      <w:r>
        <w:rPr>
          <w:spacing w:val="-5"/>
        </w:rPr>
        <w:t>生水土流失。自然恢复期，绿化区的植被逐渐发挥蓄水保土作用，水土流失量明显减少。</w:t>
      </w:r>
    </w:p>
    <w:p>
      <w:pPr>
        <w:spacing w:after="0" w:line="364" w:lineRule="auto"/>
        <w:sectPr>
          <w:pgSz w:w="11910" w:h="16840"/>
          <w:pgMar w:header="874" w:footer="1004" w:top="1440" w:bottom="1200" w:left="1040" w:right="1160"/>
        </w:sectPr>
      </w:pPr>
    </w:p>
    <w:p>
      <w:pPr>
        <w:pStyle w:val="Heading2"/>
        <w:numPr>
          <w:ilvl w:val="1"/>
          <w:numId w:val="64"/>
        </w:numPr>
        <w:tabs>
          <w:tab w:pos="730" w:val="left" w:leader="none"/>
        </w:tabs>
        <w:spacing w:line="240" w:lineRule="auto" w:before="115" w:after="0"/>
        <w:ind w:left="729" w:right="0" w:hanging="493"/>
        <w:jc w:val="both"/>
      </w:pPr>
      <w:bookmarkStart w:name="_bookmark85" w:id="164"/>
      <w:bookmarkEnd w:id="164"/>
      <w:r>
        <w:rPr>
          <w:b w:val="0"/>
        </w:rPr>
      </w:r>
      <w:bookmarkStart w:name="_bookmark85" w:id="165"/>
      <w:bookmarkEnd w:id="165"/>
      <w:r>
        <w:rPr/>
        <w:t>运营期环境影响分析</w:t>
      </w:r>
    </w:p>
    <w:p>
      <w:pPr>
        <w:pStyle w:val="Heading3"/>
        <w:numPr>
          <w:ilvl w:val="2"/>
          <w:numId w:val="64"/>
        </w:numPr>
        <w:tabs>
          <w:tab w:pos="838" w:val="left" w:leader="none"/>
        </w:tabs>
        <w:spacing w:line="240" w:lineRule="auto" w:before="214" w:after="0"/>
        <w:ind w:left="837" w:right="0" w:hanging="601"/>
        <w:jc w:val="both"/>
      </w:pPr>
      <w:bookmarkStart w:name="_bookmark86" w:id="166"/>
      <w:bookmarkEnd w:id="166"/>
      <w:r>
        <w:rPr>
          <w:b w:val="0"/>
        </w:rPr>
      </w:r>
      <w:bookmarkStart w:name="_bookmark86" w:id="167"/>
      <w:bookmarkEnd w:id="167"/>
      <w:r>
        <w:rPr/>
        <w:t>地表水环境影响预测与评价</w:t>
      </w:r>
    </w:p>
    <w:p>
      <w:pPr>
        <w:pStyle w:val="BodyText"/>
        <w:spacing w:line="364" w:lineRule="auto" w:before="160"/>
        <w:ind w:right="249" w:firstLine="480"/>
        <w:jc w:val="both"/>
      </w:pPr>
      <w:r>
        <w:rPr/>
        <w:t>根据工程分析可知，项目产生的废水包括生产废水和员工生活污水，废水总产生量</w:t>
      </w:r>
      <w:r>
        <w:rPr>
          <w:spacing w:val="-29"/>
        </w:rPr>
        <w:t>约 </w:t>
      </w:r>
      <w:r>
        <w:rPr>
          <w:rFonts w:ascii="Times New Roman" w:hAnsi="Times New Roman" w:eastAsia="Times New Roman"/>
          <w:spacing w:val="-3"/>
        </w:rPr>
        <w:t>133337.42t/a</w:t>
      </w:r>
      <w:r>
        <w:rPr>
          <w:spacing w:val="-3"/>
        </w:rPr>
        <w:t>（</w:t>
      </w:r>
      <w:r>
        <w:rPr>
          <w:spacing w:val="-15"/>
        </w:rPr>
        <w:t>日最大 </w:t>
      </w:r>
      <w:r>
        <w:rPr>
          <w:rFonts w:ascii="Times New Roman" w:hAnsi="Times New Roman" w:eastAsia="Times New Roman"/>
        </w:rPr>
        <w:t>554.47t/d·</w:t>
      </w:r>
      <w:r>
        <w:rPr/>
        <w:t>夏季</w:t>
      </w:r>
      <w:r>
        <w:rPr>
          <w:spacing w:val="-29"/>
        </w:rPr>
        <w:t>）</w:t>
      </w:r>
      <w:r>
        <w:rPr>
          <w:spacing w:val="-9"/>
        </w:rPr>
        <w:t>。统一接入厂区内自建污水处理站预处理达《污</w:t>
      </w:r>
      <w:r>
        <w:rPr/>
        <w:t>水综合排放标准》（</w:t>
      </w:r>
      <w:r>
        <w:rPr>
          <w:rFonts w:ascii="Times New Roman" w:hAnsi="Times New Roman" w:eastAsia="Times New Roman"/>
        </w:rPr>
        <w:t>GB 8978-1996</w:t>
      </w:r>
      <w:r>
        <w:rPr/>
        <w:t>）</w:t>
      </w:r>
      <w:r>
        <w:rPr>
          <w:spacing w:val="-1"/>
        </w:rPr>
        <w:t>三级标准后，纳入市政污水管网，最终进入绍兴市</w:t>
      </w:r>
      <w:r>
        <w:rPr>
          <w:spacing w:val="-5"/>
        </w:rPr>
        <w:t>污水处理厂处理达《城镇污水处理厂污染物排放标准》</w:t>
      </w:r>
      <w:r>
        <w:rPr/>
        <w:t>（</w:t>
      </w:r>
      <w:r>
        <w:rPr>
          <w:rFonts w:ascii="Times New Roman" w:hAnsi="Times New Roman" w:eastAsia="Times New Roman"/>
        </w:rPr>
        <w:t>GB 18918-2002</w:t>
      </w:r>
      <w:r>
        <w:rPr/>
        <w:t>）</w:t>
      </w:r>
      <w:r>
        <w:rPr>
          <w:spacing w:val="-22"/>
        </w:rPr>
        <w:t>一级 </w:t>
      </w:r>
      <w:r>
        <w:rPr>
          <w:rFonts w:ascii="Times New Roman" w:hAnsi="Times New Roman" w:eastAsia="Times New Roman"/>
        </w:rPr>
        <w:t>A </w:t>
      </w:r>
      <w:r>
        <w:rPr/>
        <w:t>标准后</w:t>
      </w:r>
      <w:r>
        <w:rPr>
          <w:spacing w:val="-6"/>
          <w:position w:val="2"/>
        </w:rPr>
        <w:t>排入环境。根据工程分析，项目环境排放量为废水量 </w:t>
      </w:r>
      <w:r>
        <w:rPr>
          <w:rFonts w:ascii="Times New Roman" w:hAnsi="Times New Roman" w:eastAsia="Times New Roman"/>
          <w:position w:val="2"/>
        </w:rPr>
        <w:t>133337.42t/a</w:t>
      </w:r>
      <w:r>
        <w:rPr>
          <w:spacing w:val="-8"/>
          <w:position w:val="2"/>
        </w:rPr>
        <w:t>、</w:t>
      </w:r>
      <w:r>
        <w:rPr>
          <w:rFonts w:ascii="Times New Roman" w:hAnsi="Times New Roman" w:eastAsia="Times New Roman"/>
          <w:position w:val="2"/>
        </w:rPr>
        <w:t>COD</w:t>
      </w:r>
      <w:r>
        <w:rPr>
          <w:rFonts w:ascii="Times New Roman" w:hAnsi="Times New Roman" w:eastAsia="Times New Roman"/>
          <w:sz w:val="16"/>
        </w:rPr>
        <w:t>Cr</w:t>
      </w:r>
      <w:r>
        <w:rPr>
          <w:rFonts w:ascii="Times New Roman" w:hAnsi="Times New Roman" w:eastAsia="Times New Roman"/>
          <w:position w:val="2"/>
        </w:rPr>
        <w:t>6.667t/a</w:t>
      </w:r>
      <w:r>
        <w:rPr>
          <w:spacing w:val="-3"/>
          <w:position w:val="2"/>
        </w:rPr>
        <w:t>、氨氮</w:t>
      </w:r>
      <w:r>
        <w:rPr>
          <w:rFonts w:ascii="Times New Roman" w:hAnsi="Times New Roman" w:eastAsia="Times New Roman"/>
          <w:spacing w:val="-3"/>
        </w:rPr>
        <w:t>0.667t/a</w:t>
      </w:r>
      <w:r>
        <w:rPr>
          <w:spacing w:val="-18"/>
        </w:rPr>
        <w:t>、总氮 </w:t>
      </w:r>
      <w:r>
        <w:rPr>
          <w:rFonts w:ascii="Times New Roman" w:hAnsi="Times New Roman" w:eastAsia="Times New Roman"/>
        </w:rPr>
        <w:t>2.000t/a</w:t>
      </w:r>
      <w:r>
        <w:rPr>
          <w:spacing w:val="-15"/>
        </w:rPr>
        <w:t>、总磷 </w:t>
      </w:r>
      <w:r>
        <w:rPr>
          <w:rFonts w:ascii="Times New Roman" w:hAnsi="Times New Roman" w:eastAsia="Times New Roman"/>
        </w:rPr>
        <w:t>0.067t/a</w:t>
      </w:r>
      <w:r>
        <w:rPr/>
        <w:t>。</w:t>
      </w:r>
    </w:p>
    <w:p>
      <w:pPr>
        <w:pStyle w:val="BodyText"/>
        <w:spacing w:line="364" w:lineRule="auto" w:before="5"/>
        <w:ind w:right="252" w:firstLine="480"/>
      </w:pPr>
      <w:r>
        <w:rPr/>
        <w:t>由于项目废水不直接排入附近地表水体，本环评主要分析项目废水与绍兴市污水处理厂的衔接情况，简要分析对地表水环境的影响。</w:t>
      </w:r>
    </w:p>
    <w:p>
      <w:pPr>
        <w:pStyle w:val="Heading3"/>
        <w:spacing w:before="1"/>
      </w:pPr>
      <w:r>
        <w:rPr>
          <w:rFonts w:ascii="Times New Roman" w:eastAsia="Times New Roman"/>
        </w:rPr>
        <w:t>1</w:t>
      </w:r>
      <w:r>
        <w:rPr/>
        <w:t>、项目废水处理达标性分析</w:t>
      </w:r>
    </w:p>
    <w:p>
      <w:pPr>
        <w:pStyle w:val="ListParagraph"/>
        <w:numPr>
          <w:ilvl w:val="3"/>
          <w:numId w:val="64"/>
        </w:numPr>
        <w:tabs>
          <w:tab w:pos="1319" w:val="left" w:leader="none"/>
        </w:tabs>
        <w:spacing w:line="240" w:lineRule="auto" w:before="160" w:after="0"/>
        <w:ind w:left="1318" w:right="0" w:hanging="602"/>
        <w:jc w:val="left"/>
        <w:rPr>
          <w:sz w:val="22"/>
        </w:rPr>
      </w:pPr>
      <w:r>
        <w:rPr>
          <w:sz w:val="24"/>
        </w:rPr>
        <w:t>本项目达标纳管分析</w:t>
      </w:r>
    </w:p>
    <w:p>
      <w:pPr>
        <w:pStyle w:val="BodyText"/>
        <w:spacing w:before="160"/>
        <w:ind w:left="717"/>
      </w:pPr>
      <w:r>
        <w:rPr>
          <w:position w:val="2"/>
        </w:rPr>
        <w:t>根据分析，本项目废水中主要污染因子为 </w:t>
      </w:r>
      <w:r>
        <w:rPr>
          <w:rFonts w:ascii="Times New Roman" w:hAnsi="Times New Roman" w:eastAsia="Times New Roman"/>
          <w:position w:val="2"/>
        </w:rPr>
        <w:t>COD</w:t>
      </w:r>
      <w:r>
        <w:rPr>
          <w:rFonts w:ascii="Times New Roman" w:hAnsi="Times New Roman" w:eastAsia="Times New Roman"/>
          <w:sz w:val="16"/>
        </w:rPr>
        <w:t>Cr</w:t>
      </w:r>
      <w:r>
        <w:rPr>
          <w:position w:val="2"/>
        </w:rPr>
        <w:t>、氨氮和总磷。企业拟采用</w:t>
      </w:r>
      <w:r>
        <w:rPr>
          <w:rFonts w:ascii="Times New Roman" w:hAnsi="Times New Roman" w:eastAsia="Times New Roman"/>
          <w:position w:val="2"/>
        </w:rPr>
        <w:t>“</w:t>
      </w:r>
      <w:r>
        <w:rPr>
          <w:position w:val="2"/>
        </w:rPr>
        <w:t>预处理</w:t>
      </w:r>
    </w:p>
    <w:p>
      <w:pPr>
        <w:pStyle w:val="BodyText"/>
        <w:spacing w:line="364" w:lineRule="auto" w:before="161"/>
        <w:ind w:right="131"/>
      </w:pPr>
      <w:r>
        <w:rPr>
          <w:rFonts w:ascii="Times New Roman" w:hAnsi="Times New Roman" w:eastAsia="Times New Roman"/>
        </w:rPr>
        <w:t>+</w:t>
      </w:r>
      <w:r>
        <w:rPr/>
        <w:t>厌氧发酵</w:t>
      </w:r>
      <w:r>
        <w:rPr>
          <w:rFonts w:ascii="Times New Roman" w:hAnsi="Times New Roman" w:eastAsia="Times New Roman"/>
        </w:rPr>
        <w:t>+</w:t>
      </w:r>
      <w:r>
        <w:rPr/>
        <w:t>生化</w:t>
      </w:r>
      <w:r>
        <w:rPr>
          <w:rFonts w:ascii="Times New Roman" w:hAnsi="Times New Roman" w:eastAsia="Times New Roman"/>
        </w:rPr>
        <w:t>/</w:t>
      </w:r>
      <w:r>
        <w:rPr/>
        <w:t>物化</w:t>
      </w:r>
      <w:r>
        <w:rPr>
          <w:rFonts w:ascii="Times New Roman" w:hAnsi="Times New Roman" w:eastAsia="Times New Roman"/>
        </w:rPr>
        <w:t>”</w:t>
      </w:r>
      <w:r>
        <w:rPr>
          <w:spacing w:val="-7"/>
        </w:rPr>
        <w:t>工艺处理各类废水，配套污水处理设施设计处理能力为 </w:t>
      </w:r>
      <w:r>
        <w:rPr>
          <w:rFonts w:ascii="Times New Roman" w:hAnsi="Times New Roman" w:eastAsia="Times New Roman"/>
          <w:spacing w:val="-5"/>
        </w:rPr>
        <w:t>600t/d</w:t>
      </w:r>
      <w:r>
        <w:rPr>
          <w:spacing w:val="-19"/>
        </w:rPr>
        <w:t>，出</w:t>
      </w:r>
      <w:r>
        <w:rPr>
          <w:spacing w:val="-2"/>
        </w:rPr>
        <w:t>水水质能够达到《污水综合排放标准》</w:t>
      </w:r>
      <w:r>
        <w:rPr/>
        <w:t>（</w:t>
      </w:r>
      <w:r>
        <w:rPr>
          <w:rFonts w:ascii="Times New Roman" w:hAnsi="Times New Roman" w:eastAsia="Times New Roman"/>
        </w:rPr>
        <w:t>GB 8978-1996</w:t>
      </w:r>
      <w:r>
        <w:rPr/>
        <w:t>）</w:t>
      </w:r>
      <w:r>
        <w:rPr>
          <w:spacing w:val="-2"/>
        </w:rPr>
        <w:t>三级标准，可以满足项目需求。</w:t>
      </w:r>
    </w:p>
    <w:p>
      <w:pPr>
        <w:pStyle w:val="ListParagraph"/>
        <w:numPr>
          <w:ilvl w:val="3"/>
          <w:numId w:val="64"/>
        </w:numPr>
        <w:tabs>
          <w:tab w:pos="1319" w:val="left" w:leader="none"/>
        </w:tabs>
        <w:spacing w:line="240" w:lineRule="auto" w:before="2" w:after="0"/>
        <w:ind w:left="1318" w:right="0" w:hanging="602"/>
        <w:jc w:val="left"/>
        <w:rPr>
          <w:sz w:val="22"/>
        </w:rPr>
      </w:pPr>
      <w:r>
        <w:rPr>
          <w:sz w:val="24"/>
        </w:rPr>
        <w:t>绍兴市污水处理厂达标排放分析</w:t>
      </w:r>
    </w:p>
    <w:p>
      <w:pPr>
        <w:pStyle w:val="BodyText"/>
        <w:spacing w:line="364" w:lineRule="auto" w:before="160"/>
        <w:ind w:right="247" w:firstLine="480"/>
        <w:jc w:val="both"/>
      </w:pPr>
      <w:r>
        <w:rPr/>
        <w:t>本项目废水经市政污水管网接入绍兴市污水处理厂生活污水处理单元进行处理，项目废水本身可生化性较好，废水接入后不会影响其正常稳定运行。另外，根据摘自浙江省污染源自动监控信息管理平台的关于绍兴污水处理厂生活污水处理单元废水排放口近期的在线监测数据（</w:t>
      </w:r>
      <w:r>
        <w:rPr>
          <w:spacing w:val="-12"/>
        </w:rPr>
        <w:t>详见表 </w:t>
      </w:r>
      <w:r>
        <w:rPr>
          <w:rFonts w:ascii="Times New Roman" w:eastAsia="Times New Roman"/>
        </w:rPr>
        <w:t>4.2-1</w:t>
      </w:r>
      <w:r>
        <w:rPr/>
        <w:t>），</w:t>
      </w:r>
      <w:r>
        <w:rPr>
          <w:spacing w:val="-1"/>
        </w:rPr>
        <w:t>其尾水排放浓度能够达到《城镇污水处理厂污染物</w:t>
      </w:r>
      <w:r>
        <w:rPr/>
        <w:t>排放标准》（</w:t>
      </w:r>
      <w:r>
        <w:rPr>
          <w:rFonts w:ascii="Times New Roman" w:eastAsia="Times New Roman"/>
        </w:rPr>
        <w:t>GB 18918-2002</w:t>
      </w:r>
      <w:r>
        <w:rPr/>
        <w:t>）</w:t>
      </w:r>
      <w:r>
        <w:rPr>
          <w:spacing w:val="-20"/>
        </w:rPr>
        <w:t>一级 </w:t>
      </w:r>
      <w:r>
        <w:rPr>
          <w:rFonts w:ascii="Times New Roman" w:eastAsia="Times New Roman"/>
        </w:rPr>
        <w:t>A </w:t>
      </w:r>
      <w:r>
        <w:rPr/>
        <w:t>标准要求。</w:t>
      </w:r>
    </w:p>
    <w:p>
      <w:pPr>
        <w:pStyle w:val="Heading3"/>
        <w:spacing w:before="3"/>
      </w:pPr>
      <w:r>
        <w:rPr>
          <w:rFonts w:ascii="Times New Roman" w:eastAsia="Times New Roman"/>
        </w:rPr>
        <w:t>2</w:t>
      </w:r>
      <w:r>
        <w:rPr/>
        <w:t>、项目废水进入绍兴市污水处理厂可行性</w:t>
      </w:r>
    </w:p>
    <w:p>
      <w:pPr>
        <w:pStyle w:val="BodyText"/>
        <w:spacing w:line="364" w:lineRule="auto" w:before="161"/>
        <w:ind w:right="129" w:firstLine="480"/>
      </w:pPr>
      <w:r>
        <w:rPr>
          <w:spacing w:val="-13"/>
        </w:rPr>
        <w:t>容量的可行性分析：绍兴市污水处理厂生活污水处理单元设计处理规模为 </w:t>
      </w:r>
      <w:r>
        <w:rPr>
          <w:rFonts w:ascii="Times New Roman" w:hAnsi="Times New Roman" w:eastAsia="Times New Roman"/>
        </w:rPr>
        <w:t>30</w:t>
      </w:r>
      <w:r>
        <w:rPr>
          <w:rFonts w:ascii="Times New Roman" w:hAnsi="Times New Roman" w:eastAsia="Times New Roman"/>
          <w:spacing w:val="-16"/>
        </w:rPr>
        <w:t> </w:t>
      </w:r>
      <w:r>
        <w:rPr>
          <w:spacing w:val="43"/>
        </w:rPr>
        <w:t>万</w:t>
      </w:r>
      <w:r>
        <w:rPr>
          <w:rFonts w:ascii="Times New Roman" w:hAnsi="Times New Roman" w:eastAsia="Times New Roman"/>
          <w:spacing w:val="-15"/>
        </w:rPr>
        <w:t>m³/d</w:t>
      </w:r>
      <w:r>
        <w:rPr>
          <w:rFonts w:ascii="Times New Roman" w:hAnsi="Times New Roman" w:eastAsia="Times New Roman"/>
          <w:spacing w:val="-3"/>
        </w:rPr>
        <w:t> </w:t>
      </w:r>
      <w:r>
        <w:rPr>
          <w:spacing w:val="-13"/>
        </w:rPr>
        <w:t>， </w:t>
      </w:r>
      <w:r>
        <w:rPr>
          <w:spacing w:val="-7"/>
        </w:rPr>
        <w:t>目前实际进水量在 </w:t>
      </w:r>
      <w:r>
        <w:rPr>
          <w:rFonts w:ascii="Times New Roman" w:hAnsi="Times New Roman" w:eastAsia="Times New Roman"/>
        </w:rPr>
        <w:t>19.5~21.5 </w:t>
      </w:r>
      <w:r>
        <w:rPr>
          <w:spacing w:val="-30"/>
        </w:rPr>
        <w:t>万 </w:t>
      </w:r>
      <w:r>
        <w:rPr>
          <w:rFonts w:ascii="Times New Roman" w:hAnsi="Times New Roman" w:eastAsia="Times New Roman"/>
          <w:spacing w:val="-15"/>
        </w:rPr>
        <w:t>m³/d</w:t>
      </w:r>
      <w:r>
        <w:rPr>
          <w:rFonts w:ascii="Times New Roman" w:hAnsi="Times New Roman" w:eastAsia="Times New Roman"/>
          <w:spacing w:val="12"/>
        </w:rPr>
        <w:t> </w:t>
      </w:r>
      <w:r>
        <w:rPr>
          <w:spacing w:val="-25"/>
        </w:rPr>
        <w:t>之间，仍有近 </w:t>
      </w:r>
      <w:r>
        <w:rPr>
          <w:rFonts w:ascii="Times New Roman" w:hAnsi="Times New Roman" w:eastAsia="Times New Roman"/>
        </w:rPr>
        <w:t>10 </w:t>
      </w:r>
      <w:r>
        <w:rPr>
          <w:spacing w:val="-30"/>
        </w:rPr>
        <w:t>万 </w:t>
      </w:r>
      <w:r>
        <w:rPr>
          <w:rFonts w:ascii="Times New Roman" w:hAnsi="Times New Roman" w:eastAsia="Times New Roman"/>
        </w:rPr>
        <w:t>m³/d </w:t>
      </w:r>
      <w:r>
        <w:rPr>
          <w:spacing w:val="-11"/>
        </w:rPr>
        <w:t>处理富余量。根据工程分析， </w:t>
      </w:r>
      <w:r>
        <w:rPr>
          <w:spacing w:val="-4"/>
        </w:rPr>
        <w:t>本项目废水排入污水处理厂的量最大约 </w:t>
      </w:r>
      <w:r>
        <w:rPr>
          <w:rFonts w:ascii="Times New Roman" w:hAnsi="Times New Roman" w:eastAsia="Times New Roman"/>
        </w:rPr>
        <w:t>554.47</w:t>
      </w:r>
      <w:r>
        <w:rPr>
          <w:rFonts w:ascii="Times New Roman" w:hAnsi="Times New Roman" w:eastAsia="Times New Roman"/>
          <w:spacing w:val="2"/>
        </w:rPr>
        <w:t> </w:t>
      </w:r>
      <w:r>
        <w:rPr/>
        <w:t>吨</w:t>
      </w:r>
      <w:r>
        <w:rPr>
          <w:rFonts w:ascii="Times New Roman" w:hAnsi="Times New Roman" w:eastAsia="Times New Roman"/>
        </w:rPr>
        <w:t>/</w:t>
      </w:r>
      <w:r>
        <w:rPr>
          <w:spacing w:val="-5"/>
        </w:rPr>
        <w:t>天，仅占设计处理能力的 </w:t>
      </w:r>
      <w:r>
        <w:rPr>
          <w:rFonts w:ascii="Times New Roman" w:hAnsi="Times New Roman" w:eastAsia="Times New Roman"/>
        </w:rPr>
        <w:t>0.18%</w:t>
      </w:r>
      <w:r>
        <w:rPr/>
        <w:t>，接入</w:t>
      </w:r>
      <w:r>
        <w:rPr>
          <w:spacing w:val="-4"/>
        </w:rPr>
        <w:t>后也不会突破其设计处理能力。因此，绍兴市污水处理厂有足够的容量容纳本项目废水。</w:t>
      </w:r>
    </w:p>
    <w:p>
      <w:pPr>
        <w:pStyle w:val="BodyText"/>
        <w:spacing w:line="364" w:lineRule="auto" w:before="3"/>
        <w:ind w:right="248" w:firstLine="480"/>
        <w:jc w:val="both"/>
      </w:pPr>
      <w:r>
        <w:rPr/>
        <w:t>时间、空间衔接可行性分析：本项目废水经自建污水站处理达标后纳入市政污水管网，企业已作了承诺；项目拟建址与市政排污总管的衔接工作由绍兴柯桥排水有限公司</w:t>
      </w:r>
      <w:r>
        <w:rPr>
          <w:spacing w:val="-6"/>
        </w:rPr>
        <w:t>建设，预计于 </w:t>
      </w:r>
      <w:r>
        <w:rPr>
          <w:rFonts w:ascii="Times New Roman" w:eastAsia="Times New Roman"/>
        </w:rPr>
        <w:t>2021</w:t>
      </w:r>
      <w:r>
        <w:rPr>
          <w:rFonts w:ascii="Times New Roman" w:eastAsia="Times New Roman"/>
          <w:spacing w:val="24"/>
        </w:rPr>
        <w:t> </w:t>
      </w:r>
      <w:r>
        <w:rPr>
          <w:spacing w:val="-20"/>
        </w:rPr>
        <w:t>年 </w:t>
      </w:r>
      <w:r>
        <w:rPr>
          <w:rFonts w:ascii="Times New Roman" w:eastAsia="Times New Roman"/>
        </w:rPr>
        <w:t>10</w:t>
      </w:r>
      <w:r>
        <w:rPr>
          <w:rFonts w:ascii="Times New Roman" w:eastAsia="Times New Roman"/>
          <w:spacing w:val="24"/>
        </w:rPr>
        <w:t> </w:t>
      </w:r>
      <w:r>
        <w:rPr/>
        <w:t>月底前建成投用（详见附件七）</w:t>
      </w:r>
      <w:r>
        <w:rPr>
          <w:spacing w:val="-1"/>
        </w:rPr>
        <w:t>。因此，在做好管网衔接工作</w:t>
      </w:r>
    </w:p>
    <w:p>
      <w:pPr>
        <w:spacing w:after="0" w:line="364" w:lineRule="auto"/>
        <w:jc w:val="both"/>
        <w:sectPr>
          <w:pgSz w:w="11910" w:h="16840"/>
          <w:pgMar w:header="874" w:footer="1004" w:top="1440" w:bottom="1200" w:left="1040" w:right="1160"/>
        </w:sectPr>
      </w:pPr>
    </w:p>
    <w:p>
      <w:pPr>
        <w:pStyle w:val="BodyText"/>
        <w:spacing w:line="364" w:lineRule="auto" w:before="64"/>
        <w:ind w:left="717" w:right="1787" w:hanging="480"/>
      </w:pPr>
      <w:r>
        <w:rPr/>
        <w:t>的前提下，本项目废水纳入污水处理厂在时间和空间的衔接上是可行的。综上，本项目废水纳入绍兴市污水处理厂处理完全可行。</w:t>
      </w:r>
    </w:p>
    <w:p>
      <w:pPr>
        <w:pStyle w:val="Heading3"/>
        <w:spacing w:before="1"/>
      </w:pPr>
      <w:r>
        <w:rPr>
          <w:rFonts w:ascii="Times New Roman" w:eastAsia="Times New Roman"/>
        </w:rPr>
        <w:t>3</w:t>
      </w:r>
      <w:r>
        <w:rPr/>
        <w:t>、项目废水、雨水对地表水环境影响简析</w:t>
      </w:r>
    </w:p>
    <w:p>
      <w:pPr>
        <w:pStyle w:val="BodyText"/>
        <w:spacing w:line="364" w:lineRule="auto" w:before="160"/>
        <w:ind w:right="130" w:firstLine="480"/>
      </w:pPr>
      <w:r>
        <w:rPr/>
        <w:t>废水对附近地表水环境的影响分析：本项目废水经自建污水处理站预处理后，经市</w:t>
      </w:r>
      <w:r>
        <w:rPr>
          <w:spacing w:val="-3"/>
        </w:rPr>
        <w:t>政污水管网接入绍兴市污水处理厂处理，达标后排入钱塘江，不直接排入附近地表水体。</w:t>
      </w:r>
      <w:r>
        <w:rPr/>
        <w:t>因此，本项目废水基本上不会对附近地表水体造成影响。</w:t>
      </w:r>
    </w:p>
    <w:p>
      <w:pPr>
        <w:pStyle w:val="BodyText"/>
        <w:spacing w:line="364" w:lineRule="auto" w:before="2"/>
        <w:ind w:right="131" w:firstLine="480"/>
      </w:pPr>
      <w:r>
        <w:rPr/>
        <w:t>雨水对附近地表水环境的影响分析：本项目采用雨污分流，即在猪舍建筑设计上， 形成独立的雨水收集管网系统和污水收集系统，可确保雨水不受污水污染；养殖区、污</w:t>
      </w:r>
      <w:r>
        <w:rPr>
          <w:spacing w:val="-6"/>
        </w:rPr>
        <w:t>水处理区、猪粪发酵区周边裸露地面初期雨水经初期雨水收集池收集后汇入污水站处理， </w:t>
      </w:r>
      <w:r>
        <w:rPr/>
        <w:t>仅后期雨水及其他区域雨水排入周边雨水管网。因此，本项目雨水不会对地表水水质造成明显不利影响。</w:t>
      </w:r>
    </w:p>
    <w:p>
      <w:pPr>
        <w:pStyle w:val="BodyText"/>
        <w:spacing w:line="364" w:lineRule="auto" w:before="4"/>
        <w:ind w:right="251" w:firstLine="480"/>
        <w:jc w:val="both"/>
      </w:pPr>
      <w:r>
        <w:rPr/>
        <w:t>废水排放对钱塘江水环境的影响分析：本项目废水经绍兴市污水处理厂处理达标后</w:t>
      </w:r>
      <w:r>
        <w:rPr>
          <w:spacing w:val="-11"/>
        </w:rPr>
        <w:t>排入钱塘江。项目实施后新增废水排放量最大约 </w:t>
      </w:r>
      <w:r>
        <w:rPr>
          <w:rFonts w:ascii="Times New Roman" w:hAnsi="Times New Roman" w:eastAsia="Times New Roman"/>
          <w:spacing w:val="-6"/>
        </w:rPr>
        <w:t>554.47m³/d</w:t>
      </w:r>
      <w:r>
        <w:rPr>
          <w:spacing w:val="-3"/>
        </w:rPr>
        <w:t>，相对于绍兴市污水处理厂现</w:t>
      </w:r>
      <w:r>
        <w:rPr>
          <w:spacing w:val="-8"/>
        </w:rPr>
        <w:t>有设计处理能力 </w:t>
      </w:r>
      <w:r>
        <w:rPr>
          <w:rFonts w:ascii="Times New Roman" w:hAnsi="Times New Roman" w:eastAsia="Times New Roman"/>
        </w:rPr>
        <w:t>30 </w:t>
      </w:r>
      <w:r>
        <w:rPr/>
        <w:t>万吨</w:t>
      </w:r>
      <w:r>
        <w:rPr>
          <w:rFonts w:ascii="Times New Roman" w:hAnsi="Times New Roman" w:eastAsia="Times New Roman"/>
        </w:rPr>
        <w:t>/</w:t>
      </w:r>
      <w:r>
        <w:rPr>
          <w:spacing w:val="-11"/>
        </w:rPr>
        <w:t>天而言，排放量较小。依照绍兴市污水处理厂环评结论，污水厂</w:t>
      </w:r>
      <w:r>
        <w:rPr/>
        <w:t>尾水达标排放的前提下，对钱塘江水质不会产生明显不利影响。</w:t>
      </w:r>
    </w:p>
    <w:p>
      <w:pPr>
        <w:pStyle w:val="Heading3"/>
        <w:spacing w:before="2"/>
      </w:pPr>
      <w:r>
        <w:rPr/>
        <w:t>项目废水污染物排放相关信息如下：</w:t>
      </w:r>
    </w:p>
    <w:p>
      <w:pPr>
        <w:spacing w:before="106" w:after="24"/>
        <w:ind w:left="218" w:right="236" w:firstLine="0"/>
        <w:jc w:val="center"/>
        <w:rPr>
          <w:b/>
          <w:sz w:val="24"/>
        </w:rPr>
      </w:pPr>
      <w:r>
        <w:rPr>
          <w:b/>
          <w:sz w:val="24"/>
        </w:rPr>
        <w:t>表 </w:t>
      </w:r>
      <w:r>
        <w:rPr>
          <w:rFonts w:ascii="Times New Roman" w:eastAsia="Times New Roman"/>
          <w:b/>
          <w:sz w:val="24"/>
        </w:rPr>
        <w:t>5.2-1  </w:t>
      </w:r>
      <w:r>
        <w:rPr>
          <w:b/>
          <w:sz w:val="24"/>
        </w:rPr>
        <w:t>废水污染物排放执行标准表</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6"/>
        <w:gridCol w:w="1973"/>
        <w:gridCol w:w="1276"/>
        <w:gridCol w:w="3259"/>
        <w:gridCol w:w="2234"/>
      </w:tblGrid>
      <w:tr>
        <w:trPr>
          <w:trHeight w:val="313" w:hRule="atLeast"/>
        </w:trPr>
        <w:tc>
          <w:tcPr>
            <w:tcW w:w="686" w:type="dxa"/>
            <w:vMerge w:val="restart"/>
            <w:tcBorders>
              <w:bottom w:val="single" w:sz="4" w:space="0" w:color="000000"/>
              <w:right w:val="single" w:sz="4" w:space="0" w:color="000000"/>
            </w:tcBorders>
          </w:tcPr>
          <w:p>
            <w:pPr>
              <w:pStyle w:val="TableParagraph"/>
              <w:spacing w:before="6"/>
              <w:jc w:val="left"/>
              <w:rPr>
                <w:rFonts w:ascii="宋体"/>
                <w:b/>
                <w:sz w:val="14"/>
              </w:rPr>
            </w:pPr>
          </w:p>
          <w:p>
            <w:pPr>
              <w:pStyle w:val="TableParagraph"/>
              <w:spacing w:before="0"/>
              <w:ind w:left="131"/>
              <w:jc w:val="left"/>
              <w:rPr>
                <w:rFonts w:ascii="宋体" w:eastAsia="宋体" w:hint="eastAsia"/>
                <w:b/>
                <w:sz w:val="21"/>
              </w:rPr>
            </w:pPr>
            <w:r>
              <w:rPr>
                <w:rFonts w:ascii="宋体" w:eastAsia="宋体" w:hint="eastAsia"/>
                <w:b/>
                <w:sz w:val="21"/>
              </w:rPr>
              <w:t>序号</w:t>
            </w:r>
          </w:p>
        </w:tc>
        <w:tc>
          <w:tcPr>
            <w:tcW w:w="1973" w:type="dxa"/>
            <w:vMerge w:val="restart"/>
            <w:tcBorders>
              <w:left w:val="single" w:sz="4" w:space="0" w:color="000000"/>
              <w:bottom w:val="single" w:sz="4" w:space="0" w:color="000000"/>
              <w:right w:val="single" w:sz="4" w:space="0" w:color="000000"/>
            </w:tcBorders>
          </w:tcPr>
          <w:p>
            <w:pPr>
              <w:pStyle w:val="TableParagraph"/>
              <w:spacing w:before="6"/>
              <w:jc w:val="left"/>
              <w:rPr>
                <w:rFonts w:ascii="宋体"/>
                <w:b/>
                <w:sz w:val="14"/>
              </w:rPr>
            </w:pPr>
          </w:p>
          <w:p>
            <w:pPr>
              <w:pStyle w:val="TableParagraph"/>
              <w:spacing w:before="0"/>
              <w:ind w:left="465"/>
              <w:jc w:val="left"/>
              <w:rPr>
                <w:rFonts w:ascii="宋体" w:eastAsia="宋体" w:hint="eastAsia"/>
                <w:b/>
                <w:sz w:val="21"/>
              </w:rPr>
            </w:pPr>
            <w:r>
              <w:rPr>
                <w:rFonts w:ascii="宋体" w:eastAsia="宋体" w:hint="eastAsia"/>
                <w:b/>
                <w:sz w:val="21"/>
              </w:rPr>
              <w:t>排放口编号</w:t>
            </w:r>
          </w:p>
        </w:tc>
        <w:tc>
          <w:tcPr>
            <w:tcW w:w="1276" w:type="dxa"/>
            <w:vMerge w:val="restart"/>
            <w:tcBorders>
              <w:left w:val="single" w:sz="4" w:space="0" w:color="000000"/>
              <w:bottom w:val="single" w:sz="4" w:space="0" w:color="000000"/>
              <w:right w:val="single" w:sz="4" w:space="0" w:color="000000"/>
            </w:tcBorders>
          </w:tcPr>
          <w:p>
            <w:pPr>
              <w:pStyle w:val="TableParagraph"/>
              <w:spacing w:before="6"/>
              <w:jc w:val="left"/>
              <w:rPr>
                <w:rFonts w:ascii="宋体"/>
                <w:b/>
                <w:sz w:val="14"/>
              </w:rPr>
            </w:pPr>
          </w:p>
          <w:p>
            <w:pPr>
              <w:pStyle w:val="TableParagraph"/>
              <w:spacing w:before="0"/>
              <w:ind w:left="120"/>
              <w:jc w:val="left"/>
              <w:rPr>
                <w:rFonts w:ascii="宋体" w:eastAsia="宋体" w:hint="eastAsia"/>
                <w:b/>
                <w:sz w:val="21"/>
              </w:rPr>
            </w:pPr>
            <w:r>
              <w:rPr>
                <w:rFonts w:ascii="宋体" w:eastAsia="宋体" w:hint="eastAsia"/>
                <w:b/>
                <w:sz w:val="21"/>
              </w:rPr>
              <w:t>污染物种类</w:t>
            </w:r>
          </w:p>
        </w:tc>
        <w:tc>
          <w:tcPr>
            <w:tcW w:w="5493" w:type="dxa"/>
            <w:gridSpan w:val="2"/>
            <w:tcBorders>
              <w:left w:val="single" w:sz="4" w:space="0" w:color="000000"/>
              <w:bottom w:val="single" w:sz="4" w:space="0" w:color="000000"/>
            </w:tcBorders>
          </w:tcPr>
          <w:p>
            <w:pPr>
              <w:pStyle w:val="TableParagraph"/>
              <w:spacing w:before="24"/>
              <w:ind w:left="121"/>
              <w:jc w:val="left"/>
              <w:rPr>
                <w:rFonts w:ascii="宋体" w:eastAsia="宋体" w:hint="eastAsia"/>
                <w:b/>
                <w:sz w:val="21"/>
              </w:rPr>
            </w:pPr>
            <w:r>
              <w:rPr>
                <w:rFonts w:ascii="宋体" w:eastAsia="宋体" w:hint="eastAsia"/>
                <w:b/>
                <w:sz w:val="21"/>
              </w:rPr>
              <w:t>国家或地方污染物排放标准及其他按规定商定的排放协议</w:t>
            </w:r>
          </w:p>
        </w:tc>
      </w:tr>
      <w:tr>
        <w:trPr>
          <w:trHeight w:val="311" w:hRule="atLeast"/>
        </w:trPr>
        <w:tc>
          <w:tcPr>
            <w:tcW w:w="686" w:type="dxa"/>
            <w:vMerge/>
            <w:tcBorders>
              <w:top w:val="nil"/>
              <w:bottom w:val="single" w:sz="4" w:space="0" w:color="000000"/>
              <w:right w:val="single" w:sz="4" w:space="0" w:color="000000"/>
            </w:tcBorders>
          </w:tcPr>
          <w:p>
            <w:pPr>
              <w:rPr>
                <w:sz w:val="2"/>
                <w:szCs w:val="2"/>
              </w:rPr>
            </w:pPr>
          </w:p>
        </w:tc>
        <w:tc>
          <w:tcPr>
            <w:tcW w:w="1973" w:type="dxa"/>
            <w:vMerge/>
            <w:tcBorders>
              <w:top w:val="nil"/>
              <w:left w:val="single" w:sz="4" w:space="0" w:color="000000"/>
              <w:bottom w:val="single" w:sz="4" w:space="0" w:color="000000"/>
              <w:right w:val="single" w:sz="4" w:space="0" w:color="000000"/>
            </w:tcBorders>
          </w:tcPr>
          <w:p>
            <w:pPr>
              <w:rPr>
                <w:sz w:val="2"/>
                <w:szCs w:val="2"/>
              </w:rPr>
            </w:pPr>
          </w:p>
        </w:tc>
        <w:tc>
          <w:tcPr>
            <w:tcW w:w="1276" w:type="dxa"/>
            <w:vMerge/>
            <w:tcBorders>
              <w:top w:val="nil"/>
              <w:left w:val="single" w:sz="4" w:space="0" w:color="000000"/>
              <w:bottom w:val="single" w:sz="4" w:space="0" w:color="000000"/>
              <w:right w:val="single" w:sz="4" w:space="0" w:color="000000"/>
            </w:tcBorders>
          </w:tcPr>
          <w:p>
            <w:pPr>
              <w:rPr>
                <w:sz w:val="2"/>
                <w:szCs w:val="2"/>
              </w:rPr>
            </w:pPr>
          </w:p>
        </w:tc>
        <w:tc>
          <w:tcPr>
            <w:tcW w:w="3259" w:type="dxa"/>
            <w:tcBorders>
              <w:top w:val="single" w:sz="4" w:space="0" w:color="000000"/>
              <w:left w:val="single" w:sz="4" w:space="0" w:color="000000"/>
              <w:bottom w:val="single" w:sz="4" w:space="0" w:color="000000"/>
              <w:right w:val="single" w:sz="4" w:space="0" w:color="000000"/>
            </w:tcBorders>
          </w:tcPr>
          <w:p>
            <w:pPr>
              <w:pStyle w:val="TableParagraph"/>
              <w:spacing w:before="22"/>
              <w:ind w:left="1409" w:right="1377"/>
              <w:rPr>
                <w:rFonts w:ascii="宋体" w:eastAsia="宋体" w:hint="eastAsia"/>
                <w:b/>
                <w:sz w:val="21"/>
              </w:rPr>
            </w:pPr>
            <w:r>
              <w:rPr>
                <w:rFonts w:ascii="宋体" w:eastAsia="宋体" w:hint="eastAsia"/>
                <w:b/>
                <w:sz w:val="21"/>
              </w:rPr>
              <w:t>名称</w:t>
            </w:r>
          </w:p>
        </w:tc>
        <w:tc>
          <w:tcPr>
            <w:tcW w:w="2234" w:type="dxa"/>
            <w:tcBorders>
              <w:top w:val="single" w:sz="4" w:space="0" w:color="000000"/>
              <w:left w:val="single" w:sz="4" w:space="0" w:color="000000"/>
              <w:bottom w:val="single" w:sz="4" w:space="0" w:color="000000"/>
            </w:tcBorders>
          </w:tcPr>
          <w:p>
            <w:pPr>
              <w:pStyle w:val="TableParagraph"/>
              <w:spacing w:before="22"/>
              <w:ind w:left="237" w:right="192"/>
              <w:rPr>
                <w:rFonts w:ascii="宋体" w:eastAsia="宋体" w:hint="eastAsia"/>
                <w:b/>
                <w:sz w:val="21"/>
              </w:rPr>
            </w:pPr>
            <w:r>
              <w:rPr>
                <w:rFonts w:ascii="宋体" w:eastAsia="宋体" w:hint="eastAsia"/>
                <w:b/>
                <w:sz w:val="21"/>
              </w:rPr>
              <w:t>浓度限值（</w:t>
            </w:r>
            <w:r>
              <w:rPr>
                <w:b/>
                <w:sz w:val="21"/>
              </w:rPr>
              <w:t>mg/L</w:t>
            </w:r>
            <w:r>
              <w:rPr>
                <w:rFonts w:ascii="宋体" w:eastAsia="宋体" w:hint="eastAsia"/>
                <w:b/>
                <w:sz w:val="21"/>
              </w:rPr>
              <w:t>）</w:t>
            </w:r>
          </w:p>
        </w:tc>
      </w:tr>
      <w:tr>
        <w:trPr>
          <w:trHeight w:val="301" w:hRule="atLeast"/>
        </w:trPr>
        <w:tc>
          <w:tcPr>
            <w:tcW w:w="686" w:type="dxa"/>
            <w:vMerge w:val="restart"/>
            <w:tcBorders>
              <w:top w:val="single" w:sz="4" w:space="0" w:color="000000"/>
              <w:right w:val="single" w:sz="4" w:space="0" w:color="000000"/>
            </w:tcBorders>
          </w:tcPr>
          <w:p>
            <w:pPr>
              <w:pStyle w:val="TableParagraph"/>
              <w:spacing w:before="0"/>
              <w:jc w:val="left"/>
              <w:rPr>
                <w:rFonts w:ascii="宋体"/>
                <w:b/>
                <w:sz w:val="22"/>
              </w:rPr>
            </w:pPr>
          </w:p>
          <w:p>
            <w:pPr>
              <w:pStyle w:val="TableParagraph"/>
              <w:spacing w:before="8"/>
              <w:jc w:val="left"/>
              <w:rPr>
                <w:rFonts w:ascii="宋体"/>
                <w:b/>
                <w:sz w:val="18"/>
              </w:rPr>
            </w:pPr>
          </w:p>
          <w:p>
            <w:pPr>
              <w:pStyle w:val="TableParagraph"/>
              <w:spacing w:before="1"/>
              <w:ind w:left="19"/>
              <w:rPr>
                <w:sz w:val="21"/>
              </w:rPr>
            </w:pPr>
            <w:r>
              <w:rPr>
                <w:w w:val="100"/>
                <w:sz w:val="21"/>
              </w:rPr>
              <w:t>1</w:t>
            </w:r>
          </w:p>
        </w:tc>
        <w:tc>
          <w:tcPr>
            <w:tcW w:w="1973" w:type="dxa"/>
            <w:vMerge w:val="restart"/>
            <w:tcBorders>
              <w:top w:val="single" w:sz="4" w:space="0" w:color="000000"/>
              <w:left w:val="single" w:sz="4" w:space="0" w:color="000000"/>
              <w:right w:val="single" w:sz="4" w:space="0" w:color="000000"/>
            </w:tcBorders>
          </w:tcPr>
          <w:p>
            <w:pPr>
              <w:pStyle w:val="TableParagraph"/>
              <w:spacing w:before="6"/>
              <w:jc w:val="left"/>
              <w:rPr>
                <w:rFonts w:ascii="宋体"/>
                <w:b/>
                <w:sz w:val="28"/>
              </w:rPr>
            </w:pPr>
          </w:p>
          <w:p>
            <w:pPr>
              <w:pStyle w:val="TableParagraph"/>
              <w:spacing w:before="0"/>
              <w:ind w:left="238" w:right="214"/>
              <w:rPr>
                <w:sz w:val="21"/>
              </w:rPr>
            </w:pPr>
            <w:r>
              <w:rPr>
                <w:sz w:val="21"/>
              </w:rPr>
              <w:t>DW001</w:t>
            </w:r>
          </w:p>
          <w:p>
            <w:pPr>
              <w:pStyle w:val="TableParagraph"/>
              <w:spacing w:before="57"/>
              <w:ind w:left="238" w:right="214"/>
              <w:rPr>
                <w:rFonts w:ascii="宋体" w:eastAsia="宋体" w:hint="eastAsia"/>
                <w:sz w:val="21"/>
              </w:rPr>
            </w:pPr>
            <w:r>
              <w:rPr>
                <w:rFonts w:ascii="宋体" w:eastAsia="宋体" w:hint="eastAsia"/>
                <w:sz w:val="21"/>
              </w:rPr>
              <w:t>（废水排放口）</w:t>
            </w: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before="35"/>
              <w:ind w:left="331" w:right="299"/>
              <w:rPr>
                <w:sz w:val="14"/>
              </w:rPr>
            </w:pPr>
            <w:r>
              <w:rPr>
                <w:position w:val="2"/>
                <w:sz w:val="21"/>
              </w:rPr>
              <w:t>COD</w:t>
            </w:r>
            <w:r>
              <w:rPr>
                <w:sz w:val="14"/>
              </w:rPr>
              <w:t>Cr</w:t>
            </w:r>
          </w:p>
        </w:tc>
        <w:tc>
          <w:tcPr>
            <w:tcW w:w="3259" w:type="dxa"/>
            <w:vMerge w:val="restart"/>
            <w:tcBorders>
              <w:top w:val="single" w:sz="4" w:space="0" w:color="000000"/>
              <w:left w:val="single" w:sz="4" w:space="0" w:color="000000"/>
              <w:right w:val="single" w:sz="4" w:space="0" w:color="000000"/>
            </w:tcBorders>
          </w:tcPr>
          <w:p>
            <w:pPr>
              <w:pStyle w:val="TableParagraph"/>
              <w:spacing w:before="5"/>
              <w:jc w:val="left"/>
              <w:rPr>
                <w:rFonts w:ascii="宋体"/>
                <w:b/>
                <w:sz w:val="27"/>
              </w:rPr>
            </w:pPr>
          </w:p>
          <w:p>
            <w:pPr>
              <w:pStyle w:val="TableParagraph"/>
              <w:spacing w:line="278" w:lineRule="auto" w:before="0"/>
              <w:ind w:left="659" w:right="303" w:hanging="322"/>
              <w:jc w:val="left"/>
              <w:rPr>
                <w:rFonts w:ascii="宋体" w:eastAsia="宋体" w:hint="eastAsia"/>
                <w:sz w:val="21"/>
              </w:rPr>
            </w:pPr>
            <w:r>
              <w:rPr>
                <w:rFonts w:ascii="宋体" w:eastAsia="宋体" w:hint="eastAsia"/>
                <w:sz w:val="21"/>
              </w:rPr>
              <w:t>《污水综合排放标准》（</w:t>
            </w:r>
            <w:r>
              <w:rPr>
                <w:sz w:val="21"/>
              </w:rPr>
              <w:t>GB 8978-1996</w:t>
            </w:r>
            <w:r>
              <w:rPr>
                <w:rFonts w:ascii="宋体" w:eastAsia="宋体" w:hint="eastAsia"/>
                <w:sz w:val="21"/>
              </w:rPr>
              <w:t>）三级标准</w:t>
            </w:r>
          </w:p>
        </w:tc>
        <w:tc>
          <w:tcPr>
            <w:tcW w:w="2234" w:type="dxa"/>
            <w:tcBorders>
              <w:top w:val="single" w:sz="4" w:space="0" w:color="000000"/>
              <w:left w:val="single" w:sz="4" w:space="0" w:color="000000"/>
              <w:bottom w:val="single" w:sz="4" w:space="0" w:color="000000"/>
            </w:tcBorders>
          </w:tcPr>
          <w:p>
            <w:pPr>
              <w:pStyle w:val="TableParagraph"/>
              <w:spacing w:before="36"/>
              <w:ind w:left="237" w:right="190"/>
              <w:rPr>
                <w:sz w:val="21"/>
              </w:rPr>
            </w:pPr>
            <w:r>
              <w:rPr>
                <w:sz w:val="21"/>
              </w:rPr>
              <w:t>500</w:t>
            </w:r>
          </w:p>
        </w:tc>
      </w:tr>
      <w:tr>
        <w:trPr>
          <w:trHeight w:val="291" w:hRule="atLeast"/>
        </w:trPr>
        <w:tc>
          <w:tcPr>
            <w:tcW w:w="686" w:type="dxa"/>
            <w:vMerge/>
            <w:tcBorders>
              <w:top w:val="nil"/>
              <w:right w:val="single" w:sz="4" w:space="0" w:color="000000"/>
            </w:tcBorders>
          </w:tcPr>
          <w:p>
            <w:pPr>
              <w:rPr>
                <w:sz w:val="2"/>
                <w:szCs w:val="2"/>
              </w:rPr>
            </w:pPr>
          </w:p>
        </w:tc>
        <w:tc>
          <w:tcPr>
            <w:tcW w:w="1973" w:type="dxa"/>
            <w:vMerge/>
            <w:tcBorders>
              <w:top w:val="nil"/>
              <w:left w:val="single" w:sz="4" w:space="0" w:color="000000"/>
              <w:right w:val="single" w:sz="4" w:space="0" w:color="000000"/>
            </w:tcBorders>
          </w:tcPr>
          <w:p>
            <w:pPr>
              <w:rPr>
                <w:sz w:val="2"/>
                <w:szCs w:val="2"/>
              </w:rPr>
            </w:pP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before="25"/>
              <w:ind w:left="331" w:right="299"/>
              <w:rPr>
                <w:sz w:val="21"/>
              </w:rPr>
            </w:pPr>
            <w:r>
              <w:rPr>
                <w:position w:val="2"/>
                <w:sz w:val="21"/>
              </w:rPr>
              <w:t>NH</w:t>
            </w:r>
            <w:r>
              <w:rPr>
                <w:sz w:val="14"/>
              </w:rPr>
              <w:t>3</w:t>
            </w:r>
            <w:r>
              <w:rPr>
                <w:position w:val="2"/>
                <w:sz w:val="21"/>
              </w:rPr>
              <w:t>-N</w:t>
            </w:r>
          </w:p>
        </w:tc>
        <w:tc>
          <w:tcPr>
            <w:tcW w:w="3259" w:type="dxa"/>
            <w:vMerge/>
            <w:tcBorders>
              <w:top w:val="nil"/>
              <w:left w:val="single" w:sz="4" w:space="0" w:color="000000"/>
              <w:right w:val="single" w:sz="4" w:space="0" w:color="000000"/>
            </w:tcBorders>
          </w:tcPr>
          <w:p>
            <w:pPr>
              <w:rPr>
                <w:sz w:val="2"/>
                <w:szCs w:val="2"/>
              </w:rPr>
            </w:pPr>
          </w:p>
        </w:tc>
        <w:tc>
          <w:tcPr>
            <w:tcW w:w="2234" w:type="dxa"/>
            <w:tcBorders>
              <w:top w:val="single" w:sz="4" w:space="0" w:color="000000"/>
              <w:left w:val="single" w:sz="4" w:space="0" w:color="000000"/>
              <w:bottom w:val="single" w:sz="4" w:space="0" w:color="000000"/>
            </w:tcBorders>
          </w:tcPr>
          <w:p>
            <w:pPr>
              <w:pStyle w:val="TableParagraph"/>
              <w:spacing w:before="26"/>
              <w:ind w:left="234" w:right="192"/>
              <w:rPr>
                <w:sz w:val="21"/>
              </w:rPr>
            </w:pPr>
            <w:r>
              <w:rPr>
                <w:sz w:val="21"/>
              </w:rPr>
              <w:t>70</w:t>
            </w:r>
          </w:p>
        </w:tc>
      </w:tr>
      <w:tr>
        <w:trPr>
          <w:trHeight w:val="293" w:hRule="atLeast"/>
        </w:trPr>
        <w:tc>
          <w:tcPr>
            <w:tcW w:w="686" w:type="dxa"/>
            <w:vMerge/>
            <w:tcBorders>
              <w:top w:val="nil"/>
              <w:right w:val="single" w:sz="4" w:space="0" w:color="000000"/>
            </w:tcBorders>
          </w:tcPr>
          <w:p>
            <w:pPr>
              <w:rPr>
                <w:sz w:val="2"/>
                <w:szCs w:val="2"/>
              </w:rPr>
            </w:pPr>
          </w:p>
        </w:tc>
        <w:tc>
          <w:tcPr>
            <w:tcW w:w="1973" w:type="dxa"/>
            <w:vMerge/>
            <w:tcBorders>
              <w:top w:val="nil"/>
              <w:left w:val="single" w:sz="4" w:space="0" w:color="000000"/>
              <w:right w:val="single" w:sz="4" w:space="0" w:color="000000"/>
            </w:tcBorders>
          </w:tcPr>
          <w:p>
            <w:pPr>
              <w:rPr>
                <w:sz w:val="2"/>
                <w:szCs w:val="2"/>
              </w:rPr>
            </w:pPr>
          </w:p>
        </w:tc>
        <w:tc>
          <w:tcPr>
            <w:tcW w:w="1276" w:type="dxa"/>
            <w:tcBorders>
              <w:top w:val="single" w:sz="4" w:space="0" w:color="000000"/>
              <w:left w:val="single" w:sz="4" w:space="0" w:color="000000"/>
              <w:bottom w:val="single" w:sz="4" w:space="0" w:color="000000"/>
              <w:right w:val="single" w:sz="4" w:space="0" w:color="000000"/>
            </w:tcBorders>
          </w:tcPr>
          <w:p>
            <w:pPr>
              <w:pStyle w:val="TableParagraph"/>
              <w:spacing w:before="29"/>
              <w:ind w:left="329" w:right="299"/>
              <w:rPr>
                <w:sz w:val="21"/>
              </w:rPr>
            </w:pPr>
            <w:r>
              <w:rPr>
                <w:sz w:val="21"/>
              </w:rPr>
              <w:t>TN</w:t>
            </w:r>
          </w:p>
        </w:tc>
        <w:tc>
          <w:tcPr>
            <w:tcW w:w="3259" w:type="dxa"/>
            <w:vMerge/>
            <w:tcBorders>
              <w:top w:val="nil"/>
              <w:left w:val="single" w:sz="4" w:space="0" w:color="000000"/>
              <w:right w:val="single" w:sz="4" w:space="0" w:color="000000"/>
            </w:tcBorders>
          </w:tcPr>
          <w:p>
            <w:pPr>
              <w:rPr>
                <w:sz w:val="2"/>
                <w:szCs w:val="2"/>
              </w:rPr>
            </w:pPr>
          </w:p>
        </w:tc>
        <w:tc>
          <w:tcPr>
            <w:tcW w:w="2234" w:type="dxa"/>
            <w:tcBorders>
              <w:top w:val="single" w:sz="4" w:space="0" w:color="000000"/>
              <w:left w:val="single" w:sz="4" w:space="0" w:color="000000"/>
              <w:bottom w:val="single" w:sz="4" w:space="0" w:color="000000"/>
            </w:tcBorders>
          </w:tcPr>
          <w:p>
            <w:pPr>
              <w:pStyle w:val="TableParagraph"/>
              <w:spacing w:before="29"/>
              <w:ind w:left="234" w:right="192"/>
              <w:rPr>
                <w:sz w:val="21"/>
              </w:rPr>
            </w:pPr>
            <w:r>
              <w:rPr>
                <w:sz w:val="21"/>
              </w:rPr>
              <w:t>70</w:t>
            </w:r>
          </w:p>
        </w:tc>
      </w:tr>
      <w:tr>
        <w:trPr>
          <w:trHeight w:val="298" w:hRule="atLeast"/>
        </w:trPr>
        <w:tc>
          <w:tcPr>
            <w:tcW w:w="686" w:type="dxa"/>
            <w:vMerge/>
            <w:tcBorders>
              <w:top w:val="nil"/>
              <w:right w:val="single" w:sz="4" w:space="0" w:color="000000"/>
            </w:tcBorders>
          </w:tcPr>
          <w:p>
            <w:pPr>
              <w:rPr>
                <w:sz w:val="2"/>
                <w:szCs w:val="2"/>
              </w:rPr>
            </w:pPr>
          </w:p>
        </w:tc>
        <w:tc>
          <w:tcPr>
            <w:tcW w:w="1973" w:type="dxa"/>
            <w:vMerge/>
            <w:tcBorders>
              <w:top w:val="nil"/>
              <w:left w:val="single" w:sz="4" w:space="0" w:color="000000"/>
              <w:right w:val="single" w:sz="4" w:space="0" w:color="000000"/>
            </w:tcBorders>
          </w:tcPr>
          <w:p>
            <w:pPr>
              <w:rPr>
                <w:sz w:val="2"/>
                <w:szCs w:val="2"/>
              </w:rPr>
            </w:pPr>
          </w:p>
        </w:tc>
        <w:tc>
          <w:tcPr>
            <w:tcW w:w="1276" w:type="dxa"/>
            <w:tcBorders>
              <w:top w:val="single" w:sz="4" w:space="0" w:color="000000"/>
              <w:left w:val="single" w:sz="4" w:space="0" w:color="000000"/>
              <w:right w:val="single" w:sz="4" w:space="0" w:color="000000"/>
            </w:tcBorders>
          </w:tcPr>
          <w:p>
            <w:pPr>
              <w:pStyle w:val="TableParagraph"/>
              <w:spacing w:before="26"/>
              <w:ind w:left="331" w:right="298"/>
              <w:rPr>
                <w:sz w:val="21"/>
              </w:rPr>
            </w:pPr>
            <w:r>
              <w:rPr>
                <w:sz w:val="21"/>
              </w:rPr>
              <w:t>TP</w:t>
            </w:r>
          </w:p>
        </w:tc>
        <w:tc>
          <w:tcPr>
            <w:tcW w:w="3259" w:type="dxa"/>
            <w:vMerge/>
            <w:tcBorders>
              <w:top w:val="nil"/>
              <w:left w:val="single" w:sz="4" w:space="0" w:color="000000"/>
              <w:right w:val="single" w:sz="4" w:space="0" w:color="000000"/>
            </w:tcBorders>
          </w:tcPr>
          <w:p>
            <w:pPr>
              <w:rPr>
                <w:sz w:val="2"/>
                <w:szCs w:val="2"/>
              </w:rPr>
            </w:pPr>
          </w:p>
        </w:tc>
        <w:tc>
          <w:tcPr>
            <w:tcW w:w="2234" w:type="dxa"/>
            <w:tcBorders>
              <w:top w:val="single" w:sz="4" w:space="0" w:color="000000"/>
              <w:left w:val="single" w:sz="4" w:space="0" w:color="000000"/>
            </w:tcBorders>
          </w:tcPr>
          <w:p>
            <w:pPr>
              <w:pStyle w:val="TableParagraph"/>
              <w:spacing w:before="26"/>
              <w:ind w:left="42"/>
              <w:rPr>
                <w:sz w:val="21"/>
              </w:rPr>
            </w:pPr>
            <w:r>
              <w:rPr>
                <w:w w:val="100"/>
                <w:sz w:val="21"/>
              </w:rPr>
              <w:t>7</w:t>
            </w:r>
          </w:p>
        </w:tc>
      </w:tr>
    </w:tbl>
    <w:p>
      <w:pPr>
        <w:spacing w:before="25"/>
        <w:ind w:left="448" w:right="0" w:firstLine="0"/>
        <w:jc w:val="left"/>
        <w:rPr>
          <w:sz w:val="21"/>
        </w:rPr>
      </w:pPr>
      <w:r>
        <w:rPr>
          <w:sz w:val="21"/>
        </w:rPr>
        <w:t>注：此表排放标准系指纳管标准。</w:t>
      </w:r>
    </w:p>
    <w:p>
      <w:pPr>
        <w:pStyle w:val="Heading3"/>
        <w:spacing w:before="46" w:after="27"/>
        <w:ind w:left="217" w:right="236"/>
        <w:jc w:val="center"/>
      </w:pPr>
      <w:r>
        <w:rPr/>
        <w:t>表 </w:t>
      </w:r>
      <w:r>
        <w:rPr>
          <w:rFonts w:ascii="Times New Roman" w:eastAsia="Times New Roman"/>
        </w:rPr>
        <w:t>5.2-2  </w:t>
      </w:r>
      <w:r>
        <w:rPr/>
        <w:t>废水污染物排放信息表（新建项目）</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67"/>
        <w:gridCol w:w="1325"/>
        <w:gridCol w:w="1328"/>
        <w:gridCol w:w="2043"/>
        <w:gridCol w:w="2146"/>
        <w:gridCol w:w="1923"/>
      </w:tblGrid>
      <w:tr>
        <w:trPr>
          <w:trHeight w:val="311" w:hRule="atLeast"/>
        </w:trPr>
        <w:tc>
          <w:tcPr>
            <w:tcW w:w="667" w:type="dxa"/>
            <w:tcBorders>
              <w:bottom w:val="single" w:sz="4" w:space="0" w:color="000000"/>
              <w:right w:val="single" w:sz="4" w:space="0" w:color="000000"/>
            </w:tcBorders>
          </w:tcPr>
          <w:p>
            <w:pPr>
              <w:pStyle w:val="TableParagraph"/>
              <w:spacing w:before="22"/>
              <w:ind w:left="121"/>
              <w:jc w:val="left"/>
              <w:rPr>
                <w:rFonts w:ascii="宋体" w:eastAsia="宋体" w:hint="eastAsia"/>
                <w:b/>
                <w:sz w:val="21"/>
              </w:rPr>
            </w:pPr>
            <w:r>
              <w:rPr>
                <w:rFonts w:ascii="宋体" w:eastAsia="宋体" w:hint="eastAsia"/>
                <w:b/>
                <w:sz w:val="21"/>
              </w:rPr>
              <w:t>序号</w:t>
            </w:r>
          </w:p>
        </w:tc>
        <w:tc>
          <w:tcPr>
            <w:tcW w:w="1325" w:type="dxa"/>
            <w:tcBorders>
              <w:left w:val="single" w:sz="4" w:space="0" w:color="000000"/>
              <w:bottom w:val="single" w:sz="4" w:space="0" w:color="000000"/>
              <w:right w:val="single" w:sz="4" w:space="0" w:color="000000"/>
            </w:tcBorders>
          </w:tcPr>
          <w:p>
            <w:pPr>
              <w:pStyle w:val="TableParagraph"/>
              <w:spacing w:before="22"/>
              <w:ind w:left="144"/>
              <w:jc w:val="left"/>
              <w:rPr>
                <w:rFonts w:ascii="宋体" w:eastAsia="宋体" w:hint="eastAsia"/>
                <w:b/>
                <w:sz w:val="21"/>
              </w:rPr>
            </w:pPr>
            <w:r>
              <w:rPr>
                <w:rFonts w:ascii="宋体" w:eastAsia="宋体" w:hint="eastAsia"/>
                <w:b/>
                <w:sz w:val="21"/>
              </w:rPr>
              <w:t>排放口编号</w:t>
            </w:r>
          </w:p>
        </w:tc>
        <w:tc>
          <w:tcPr>
            <w:tcW w:w="1328" w:type="dxa"/>
            <w:tcBorders>
              <w:left w:val="single" w:sz="4" w:space="0" w:color="000000"/>
              <w:bottom w:val="single" w:sz="4" w:space="0" w:color="000000"/>
              <w:right w:val="single" w:sz="4" w:space="0" w:color="000000"/>
            </w:tcBorders>
          </w:tcPr>
          <w:p>
            <w:pPr>
              <w:pStyle w:val="TableParagraph"/>
              <w:spacing w:before="22"/>
              <w:ind w:left="126" w:right="95"/>
              <w:rPr>
                <w:rFonts w:ascii="宋体" w:eastAsia="宋体" w:hint="eastAsia"/>
                <w:b/>
                <w:sz w:val="21"/>
              </w:rPr>
            </w:pPr>
            <w:r>
              <w:rPr>
                <w:rFonts w:ascii="宋体" w:eastAsia="宋体" w:hint="eastAsia"/>
                <w:b/>
                <w:sz w:val="21"/>
              </w:rPr>
              <w:t>污染物种类</w:t>
            </w:r>
          </w:p>
        </w:tc>
        <w:tc>
          <w:tcPr>
            <w:tcW w:w="2043" w:type="dxa"/>
            <w:tcBorders>
              <w:left w:val="single" w:sz="4" w:space="0" w:color="000000"/>
              <w:bottom w:val="single" w:sz="4" w:space="0" w:color="000000"/>
              <w:right w:val="single" w:sz="4" w:space="0" w:color="000000"/>
            </w:tcBorders>
          </w:tcPr>
          <w:p>
            <w:pPr>
              <w:pStyle w:val="TableParagraph"/>
              <w:spacing w:before="22"/>
              <w:ind w:left="138" w:right="110"/>
              <w:rPr>
                <w:rFonts w:ascii="宋体" w:eastAsia="宋体" w:hint="eastAsia"/>
                <w:b/>
                <w:sz w:val="21"/>
              </w:rPr>
            </w:pPr>
            <w:r>
              <w:rPr>
                <w:rFonts w:ascii="宋体" w:eastAsia="宋体" w:hint="eastAsia"/>
                <w:b/>
                <w:sz w:val="21"/>
              </w:rPr>
              <w:t>排放浓度（</w:t>
            </w:r>
            <w:r>
              <w:rPr>
                <w:b/>
                <w:sz w:val="21"/>
              </w:rPr>
              <w:t>mg/L</w:t>
            </w:r>
            <w:r>
              <w:rPr>
                <w:rFonts w:ascii="宋体" w:eastAsia="宋体" w:hint="eastAsia"/>
                <w:b/>
                <w:sz w:val="21"/>
              </w:rPr>
              <w:t>）</w:t>
            </w:r>
          </w:p>
        </w:tc>
        <w:tc>
          <w:tcPr>
            <w:tcW w:w="2146" w:type="dxa"/>
            <w:tcBorders>
              <w:left w:val="single" w:sz="4" w:space="0" w:color="000000"/>
              <w:bottom w:val="single" w:sz="4" w:space="0" w:color="000000"/>
              <w:right w:val="single" w:sz="4" w:space="0" w:color="000000"/>
            </w:tcBorders>
          </w:tcPr>
          <w:p>
            <w:pPr>
              <w:pStyle w:val="TableParagraph"/>
              <w:spacing w:before="22"/>
              <w:ind w:left="305" w:right="280"/>
              <w:rPr>
                <w:rFonts w:ascii="宋体" w:eastAsia="宋体" w:hint="eastAsia"/>
                <w:b/>
                <w:sz w:val="21"/>
              </w:rPr>
            </w:pPr>
            <w:r>
              <w:rPr>
                <w:rFonts w:ascii="宋体" w:eastAsia="宋体" w:hint="eastAsia"/>
                <w:b/>
                <w:sz w:val="21"/>
              </w:rPr>
              <w:t>日排放量（</w:t>
            </w:r>
            <w:r>
              <w:rPr>
                <w:b/>
                <w:sz w:val="21"/>
              </w:rPr>
              <w:t>t/d</w:t>
            </w:r>
            <w:r>
              <w:rPr>
                <w:rFonts w:ascii="宋体" w:eastAsia="宋体" w:hint="eastAsia"/>
                <w:b/>
                <w:sz w:val="21"/>
              </w:rPr>
              <w:t>）</w:t>
            </w:r>
          </w:p>
        </w:tc>
        <w:tc>
          <w:tcPr>
            <w:tcW w:w="1923" w:type="dxa"/>
            <w:tcBorders>
              <w:left w:val="single" w:sz="4" w:space="0" w:color="000000"/>
              <w:bottom w:val="single" w:sz="4" w:space="0" w:color="000000"/>
            </w:tcBorders>
          </w:tcPr>
          <w:p>
            <w:pPr>
              <w:pStyle w:val="TableParagraph"/>
              <w:spacing w:before="22"/>
              <w:ind w:left="199" w:right="164"/>
              <w:rPr>
                <w:rFonts w:ascii="宋体" w:eastAsia="宋体" w:hint="eastAsia"/>
                <w:b/>
                <w:sz w:val="21"/>
              </w:rPr>
            </w:pPr>
            <w:r>
              <w:rPr>
                <w:rFonts w:ascii="宋体" w:eastAsia="宋体" w:hint="eastAsia"/>
                <w:b/>
                <w:sz w:val="21"/>
              </w:rPr>
              <w:t>年排放量（</w:t>
            </w:r>
            <w:r>
              <w:rPr>
                <w:b/>
                <w:sz w:val="21"/>
              </w:rPr>
              <w:t>t/a</w:t>
            </w:r>
            <w:r>
              <w:rPr>
                <w:rFonts w:ascii="宋体" w:eastAsia="宋体" w:hint="eastAsia"/>
                <w:b/>
                <w:sz w:val="21"/>
              </w:rPr>
              <w:t>）</w:t>
            </w:r>
          </w:p>
        </w:tc>
      </w:tr>
      <w:tr>
        <w:trPr>
          <w:trHeight w:val="311" w:hRule="atLeast"/>
        </w:trPr>
        <w:tc>
          <w:tcPr>
            <w:tcW w:w="667" w:type="dxa"/>
            <w:vMerge w:val="restart"/>
            <w:tcBorders>
              <w:top w:val="single" w:sz="4" w:space="0" w:color="000000"/>
              <w:bottom w:val="single" w:sz="4" w:space="0" w:color="000000"/>
              <w:right w:val="single" w:sz="4" w:space="0" w:color="000000"/>
            </w:tcBorders>
          </w:tcPr>
          <w:p>
            <w:pPr>
              <w:pStyle w:val="TableParagraph"/>
              <w:spacing w:before="0"/>
              <w:jc w:val="left"/>
              <w:rPr>
                <w:rFonts w:ascii="宋体"/>
                <w:b/>
                <w:sz w:val="22"/>
              </w:rPr>
            </w:pPr>
          </w:p>
          <w:p>
            <w:pPr>
              <w:pStyle w:val="TableParagraph"/>
              <w:spacing w:before="8"/>
              <w:jc w:val="left"/>
              <w:rPr>
                <w:rFonts w:ascii="宋体"/>
                <w:b/>
                <w:sz w:val="18"/>
              </w:rPr>
            </w:pPr>
          </w:p>
          <w:p>
            <w:pPr>
              <w:pStyle w:val="TableParagraph"/>
              <w:spacing w:before="1"/>
              <w:ind w:left="19"/>
              <w:rPr>
                <w:sz w:val="21"/>
              </w:rPr>
            </w:pPr>
            <w:r>
              <w:rPr>
                <w:w w:val="100"/>
                <w:sz w:val="21"/>
              </w:rPr>
              <w:t>1</w:t>
            </w:r>
          </w:p>
        </w:tc>
        <w:tc>
          <w:tcPr>
            <w:tcW w:w="132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22"/>
              </w:rPr>
            </w:pPr>
          </w:p>
          <w:p>
            <w:pPr>
              <w:pStyle w:val="TableParagraph"/>
              <w:spacing w:before="8"/>
              <w:jc w:val="left"/>
              <w:rPr>
                <w:rFonts w:ascii="宋体"/>
                <w:b/>
                <w:sz w:val="18"/>
              </w:rPr>
            </w:pPr>
          </w:p>
          <w:p>
            <w:pPr>
              <w:pStyle w:val="TableParagraph"/>
              <w:spacing w:before="1"/>
              <w:ind w:left="338"/>
              <w:jc w:val="left"/>
              <w:rPr>
                <w:sz w:val="21"/>
              </w:rPr>
            </w:pPr>
            <w:r>
              <w:rPr>
                <w:sz w:val="21"/>
              </w:rPr>
              <w:t>DW001</w:t>
            </w: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35"/>
              <w:ind w:left="126" w:right="94"/>
              <w:rPr>
                <w:sz w:val="14"/>
              </w:rPr>
            </w:pPr>
            <w:r>
              <w:rPr>
                <w:position w:val="2"/>
                <w:sz w:val="21"/>
              </w:rPr>
              <w:t>COD</w:t>
            </w:r>
            <w:r>
              <w:rPr>
                <w:sz w:val="14"/>
              </w:rPr>
              <w:t>Cr</w:t>
            </w:r>
          </w:p>
        </w:tc>
        <w:tc>
          <w:tcPr>
            <w:tcW w:w="2043" w:type="dxa"/>
            <w:tcBorders>
              <w:top w:val="single" w:sz="4" w:space="0" w:color="000000"/>
              <w:left w:val="single" w:sz="4" w:space="0" w:color="000000"/>
              <w:bottom w:val="single" w:sz="4" w:space="0" w:color="000000"/>
              <w:right w:val="single" w:sz="4" w:space="0" w:color="000000"/>
            </w:tcBorders>
          </w:tcPr>
          <w:p>
            <w:pPr>
              <w:pStyle w:val="TableParagraph"/>
              <w:spacing w:before="36"/>
              <w:ind w:left="135" w:right="110"/>
              <w:rPr>
                <w:sz w:val="21"/>
              </w:rPr>
            </w:pPr>
            <w:r>
              <w:rPr>
                <w:sz w:val="21"/>
              </w:rPr>
              <w:t>500</w:t>
            </w:r>
          </w:p>
        </w:tc>
        <w:tc>
          <w:tcPr>
            <w:tcW w:w="2146" w:type="dxa"/>
            <w:tcBorders>
              <w:top w:val="single" w:sz="4" w:space="0" w:color="000000"/>
              <w:left w:val="single" w:sz="4" w:space="0" w:color="000000"/>
              <w:bottom w:val="single" w:sz="4" w:space="0" w:color="000000"/>
              <w:right w:val="single" w:sz="4" w:space="0" w:color="000000"/>
            </w:tcBorders>
          </w:tcPr>
          <w:p>
            <w:pPr>
              <w:pStyle w:val="TableParagraph"/>
              <w:spacing w:before="34"/>
              <w:ind w:left="305" w:right="278"/>
              <w:rPr>
                <w:sz w:val="21"/>
              </w:rPr>
            </w:pPr>
            <w:r>
              <w:rPr>
                <w:sz w:val="21"/>
              </w:rPr>
              <w:t>0.277</w:t>
            </w:r>
          </w:p>
        </w:tc>
        <w:tc>
          <w:tcPr>
            <w:tcW w:w="1923" w:type="dxa"/>
            <w:tcBorders>
              <w:top w:val="single" w:sz="4" w:space="0" w:color="000000"/>
              <w:left w:val="single" w:sz="4" w:space="0" w:color="000000"/>
              <w:bottom w:val="single" w:sz="4" w:space="0" w:color="000000"/>
            </w:tcBorders>
          </w:tcPr>
          <w:p>
            <w:pPr>
              <w:pStyle w:val="TableParagraph"/>
              <w:spacing w:before="34"/>
              <w:ind w:left="199" w:right="164"/>
              <w:rPr>
                <w:sz w:val="21"/>
              </w:rPr>
            </w:pPr>
            <w:r>
              <w:rPr>
                <w:sz w:val="21"/>
              </w:rPr>
              <w:t>66.669</w:t>
            </w:r>
          </w:p>
        </w:tc>
      </w:tr>
      <w:tr>
        <w:trPr>
          <w:trHeight w:val="313" w:hRule="atLeast"/>
        </w:trPr>
        <w:tc>
          <w:tcPr>
            <w:tcW w:w="667" w:type="dxa"/>
            <w:vMerge/>
            <w:tcBorders>
              <w:top w:val="nil"/>
              <w:bottom w:val="single" w:sz="4" w:space="0" w:color="000000"/>
              <w:right w:val="single" w:sz="4" w:space="0" w:color="000000"/>
            </w:tcBorders>
          </w:tcPr>
          <w:p>
            <w:pPr>
              <w:rPr>
                <w:sz w:val="2"/>
                <w:szCs w:val="2"/>
              </w:rPr>
            </w:pPr>
          </w:p>
        </w:tc>
        <w:tc>
          <w:tcPr>
            <w:tcW w:w="1325" w:type="dxa"/>
            <w:vMerge/>
            <w:tcBorders>
              <w:top w:val="nil"/>
              <w:left w:val="single" w:sz="4" w:space="0" w:color="000000"/>
              <w:bottom w:val="single" w:sz="4" w:space="0" w:color="000000"/>
              <w:right w:val="single" w:sz="4" w:space="0" w:color="000000"/>
            </w:tcBorders>
          </w:tcPr>
          <w:p>
            <w:pPr>
              <w:rPr>
                <w:sz w:val="2"/>
                <w:szCs w:val="2"/>
              </w:rPr>
            </w:pP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38"/>
              <w:ind w:left="123" w:right="96"/>
              <w:rPr>
                <w:sz w:val="21"/>
              </w:rPr>
            </w:pPr>
            <w:r>
              <w:rPr>
                <w:position w:val="2"/>
                <w:sz w:val="21"/>
              </w:rPr>
              <w:t>NH</w:t>
            </w:r>
            <w:r>
              <w:rPr>
                <w:sz w:val="14"/>
              </w:rPr>
              <w:t>3</w:t>
            </w:r>
            <w:r>
              <w:rPr>
                <w:position w:val="2"/>
                <w:sz w:val="21"/>
              </w:rPr>
              <w:t>-N</w:t>
            </w:r>
          </w:p>
        </w:tc>
        <w:tc>
          <w:tcPr>
            <w:tcW w:w="2043" w:type="dxa"/>
            <w:tcBorders>
              <w:top w:val="single" w:sz="4" w:space="0" w:color="000000"/>
              <w:left w:val="single" w:sz="4" w:space="0" w:color="000000"/>
              <w:bottom w:val="single" w:sz="4" w:space="0" w:color="000000"/>
              <w:right w:val="single" w:sz="4" w:space="0" w:color="000000"/>
            </w:tcBorders>
          </w:tcPr>
          <w:p>
            <w:pPr>
              <w:pStyle w:val="TableParagraph"/>
              <w:spacing w:before="39"/>
              <w:ind w:left="135" w:right="110"/>
              <w:rPr>
                <w:sz w:val="21"/>
              </w:rPr>
            </w:pPr>
            <w:r>
              <w:rPr>
                <w:sz w:val="21"/>
              </w:rPr>
              <w:t>70</w:t>
            </w:r>
          </w:p>
        </w:tc>
        <w:tc>
          <w:tcPr>
            <w:tcW w:w="2146" w:type="dxa"/>
            <w:tcBorders>
              <w:top w:val="single" w:sz="4" w:space="0" w:color="000000"/>
              <w:left w:val="single" w:sz="4" w:space="0" w:color="000000"/>
              <w:bottom w:val="single" w:sz="4" w:space="0" w:color="000000"/>
              <w:right w:val="single" w:sz="4" w:space="0" w:color="000000"/>
            </w:tcBorders>
          </w:tcPr>
          <w:p>
            <w:pPr>
              <w:pStyle w:val="TableParagraph"/>
              <w:spacing w:before="36"/>
              <w:ind w:left="305" w:right="278"/>
              <w:rPr>
                <w:sz w:val="21"/>
              </w:rPr>
            </w:pPr>
            <w:r>
              <w:rPr>
                <w:sz w:val="21"/>
              </w:rPr>
              <w:t>0.039</w:t>
            </w:r>
          </w:p>
        </w:tc>
        <w:tc>
          <w:tcPr>
            <w:tcW w:w="1923" w:type="dxa"/>
            <w:tcBorders>
              <w:top w:val="single" w:sz="4" w:space="0" w:color="000000"/>
              <w:left w:val="single" w:sz="4" w:space="0" w:color="000000"/>
              <w:bottom w:val="single" w:sz="4" w:space="0" w:color="000000"/>
            </w:tcBorders>
          </w:tcPr>
          <w:p>
            <w:pPr>
              <w:pStyle w:val="TableParagraph"/>
              <w:spacing w:before="36"/>
              <w:ind w:left="199" w:right="164"/>
              <w:rPr>
                <w:sz w:val="21"/>
              </w:rPr>
            </w:pPr>
            <w:r>
              <w:rPr>
                <w:sz w:val="21"/>
              </w:rPr>
              <w:t>9.334</w:t>
            </w:r>
          </w:p>
        </w:tc>
      </w:tr>
      <w:tr>
        <w:trPr>
          <w:trHeight w:val="311" w:hRule="atLeast"/>
        </w:trPr>
        <w:tc>
          <w:tcPr>
            <w:tcW w:w="667" w:type="dxa"/>
            <w:vMerge/>
            <w:tcBorders>
              <w:top w:val="nil"/>
              <w:bottom w:val="single" w:sz="4" w:space="0" w:color="000000"/>
              <w:right w:val="single" w:sz="4" w:space="0" w:color="000000"/>
            </w:tcBorders>
          </w:tcPr>
          <w:p>
            <w:pPr>
              <w:rPr>
                <w:sz w:val="2"/>
                <w:szCs w:val="2"/>
              </w:rPr>
            </w:pPr>
          </w:p>
        </w:tc>
        <w:tc>
          <w:tcPr>
            <w:tcW w:w="1325" w:type="dxa"/>
            <w:vMerge/>
            <w:tcBorders>
              <w:top w:val="nil"/>
              <w:left w:val="single" w:sz="4" w:space="0" w:color="000000"/>
              <w:bottom w:val="single" w:sz="4" w:space="0" w:color="000000"/>
              <w:right w:val="single" w:sz="4" w:space="0" w:color="000000"/>
            </w:tcBorders>
          </w:tcPr>
          <w:p>
            <w:pPr>
              <w:rPr>
                <w:sz w:val="2"/>
                <w:szCs w:val="2"/>
              </w:rPr>
            </w:pP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36"/>
              <w:ind w:left="126" w:right="96"/>
              <w:rPr>
                <w:sz w:val="21"/>
              </w:rPr>
            </w:pPr>
            <w:r>
              <w:rPr>
                <w:sz w:val="21"/>
              </w:rPr>
              <w:t>TN</w:t>
            </w:r>
          </w:p>
        </w:tc>
        <w:tc>
          <w:tcPr>
            <w:tcW w:w="2043" w:type="dxa"/>
            <w:tcBorders>
              <w:top w:val="single" w:sz="4" w:space="0" w:color="000000"/>
              <w:left w:val="single" w:sz="4" w:space="0" w:color="000000"/>
              <w:bottom w:val="single" w:sz="4" w:space="0" w:color="000000"/>
              <w:right w:val="single" w:sz="4" w:space="0" w:color="000000"/>
            </w:tcBorders>
          </w:tcPr>
          <w:p>
            <w:pPr>
              <w:pStyle w:val="TableParagraph"/>
              <w:spacing w:before="36"/>
              <w:ind w:left="135" w:right="110"/>
              <w:rPr>
                <w:sz w:val="21"/>
              </w:rPr>
            </w:pPr>
            <w:r>
              <w:rPr>
                <w:sz w:val="21"/>
              </w:rPr>
              <w:t>70</w:t>
            </w:r>
          </w:p>
        </w:tc>
        <w:tc>
          <w:tcPr>
            <w:tcW w:w="2146" w:type="dxa"/>
            <w:tcBorders>
              <w:top w:val="single" w:sz="4" w:space="0" w:color="000000"/>
              <w:left w:val="single" w:sz="4" w:space="0" w:color="000000"/>
              <w:bottom w:val="single" w:sz="4" w:space="0" w:color="000000"/>
              <w:right w:val="single" w:sz="4" w:space="0" w:color="000000"/>
            </w:tcBorders>
          </w:tcPr>
          <w:p>
            <w:pPr>
              <w:pStyle w:val="TableParagraph"/>
              <w:spacing w:before="34"/>
              <w:ind w:left="305" w:right="278"/>
              <w:rPr>
                <w:sz w:val="21"/>
              </w:rPr>
            </w:pPr>
            <w:r>
              <w:rPr>
                <w:sz w:val="21"/>
              </w:rPr>
              <w:t>0.039</w:t>
            </w:r>
          </w:p>
        </w:tc>
        <w:tc>
          <w:tcPr>
            <w:tcW w:w="1923" w:type="dxa"/>
            <w:tcBorders>
              <w:top w:val="single" w:sz="4" w:space="0" w:color="000000"/>
              <w:left w:val="single" w:sz="4" w:space="0" w:color="000000"/>
              <w:bottom w:val="single" w:sz="4" w:space="0" w:color="000000"/>
            </w:tcBorders>
          </w:tcPr>
          <w:p>
            <w:pPr>
              <w:pStyle w:val="TableParagraph"/>
              <w:spacing w:before="34"/>
              <w:ind w:left="199" w:right="164"/>
              <w:rPr>
                <w:sz w:val="21"/>
              </w:rPr>
            </w:pPr>
            <w:r>
              <w:rPr>
                <w:sz w:val="21"/>
              </w:rPr>
              <w:t>9.334</w:t>
            </w:r>
          </w:p>
        </w:tc>
      </w:tr>
      <w:tr>
        <w:trPr>
          <w:trHeight w:val="311" w:hRule="atLeast"/>
        </w:trPr>
        <w:tc>
          <w:tcPr>
            <w:tcW w:w="667" w:type="dxa"/>
            <w:vMerge/>
            <w:tcBorders>
              <w:top w:val="nil"/>
              <w:bottom w:val="single" w:sz="4" w:space="0" w:color="000000"/>
              <w:right w:val="single" w:sz="4" w:space="0" w:color="000000"/>
            </w:tcBorders>
          </w:tcPr>
          <w:p>
            <w:pPr>
              <w:rPr>
                <w:sz w:val="2"/>
                <w:szCs w:val="2"/>
              </w:rPr>
            </w:pPr>
          </w:p>
        </w:tc>
        <w:tc>
          <w:tcPr>
            <w:tcW w:w="1325" w:type="dxa"/>
            <w:vMerge/>
            <w:tcBorders>
              <w:top w:val="nil"/>
              <w:left w:val="single" w:sz="4" w:space="0" w:color="000000"/>
              <w:bottom w:val="single" w:sz="4" w:space="0" w:color="000000"/>
              <w:right w:val="single" w:sz="4" w:space="0" w:color="000000"/>
            </w:tcBorders>
          </w:tcPr>
          <w:p>
            <w:pPr>
              <w:rPr>
                <w:sz w:val="2"/>
                <w:szCs w:val="2"/>
              </w:rPr>
            </w:pP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36"/>
              <w:ind w:left="125" w:right="96"/>
              <w:rPr>
                <w:sz w:val="21"/>
              </w:rPr>
            </w:pPr>
            <w:r>
              <w:rPr>
                <w:sz w:val="21"/>
              </w:rPr>
              <w:t>TP</w:t>
            </w:r>
          </w:p>
        </w:tc>
        <w:tc>
          <w:tcPr>
            <w:tcW w:w="2043" w:type="dxa"/>
            <w:tcBorders>
              <w:top w:val="single" w:sz="4" w:space="0" w:color="000000"/>
              <w:left w:val="single" w:sz="4" w:space="0" w:color="000000"/>
              <w:bottom w:val="single" w:sz="4" w:space="0" w:color="000000"/>
              <w:right w:val="single" w:sz="4" w:space="0" w:color="000000"/>
            </w:tcBorders>
          </w:tcPr>
          <w:p>
            <w:pPr>
              <w:pStyle w:val="TableParagraph"/>
              <w:spacing w:before="36"/>
              <w:ind w:left="26"/>
              <w:rPr>
                <w:sz w:val="21"/>
              </w:rPr>
            </w:pPr>
            <w:r>
              <w:rPr>
                <w:w w:val="100"/>
                <w:sz w:val="21"/>
              </w:rPr>
              <w:t>7</w:t>
            </w:r>
          </w:p>
        </w:tc>
        <w:tc>
          <w:tcPr>
            <w:tcW w:w="2146" w:type="dxa"/>
            <w:tcBorders>
              <w:top w:val="single" w:sz="4" w:space="0" w:color="000000"/>
              <w:left w:val="single" w:sz="4" w:space="0" w:color="000000"/>
              <w:bottom w:val="single" w:sz="4" w:space="0" w:color="000000"/>
              <w:right w:val="single" w:sz="4" w:space="0" w:color="000000"/>
            </w:tcBorders>
          </w:tcPr>
          <w:p>
            <w:pPr>
              <w:pStyle w:val="TableParagraph"/>
              <w:spacing w:before="34"/>
              <w:ind w:left="305" w:right="278"/>
              <w:rPr>
                <w:sz w:val="21"/>
              </w:rPr>
            </w:pPr>
            <w:r>
              <w:rPr>
                <w:sz w:val="21"/>
              </w:rPr>
              <w:t>0.004</w:t>
            </w:r>
          </w:p>
        </w:tc>
        <w:tc>
          <w:tcPr>
            <w:tcW w:w="1923" w:type="dxa"/>
            <w:tcBorders>
              <w:top w:val="single" w:sz="4" w:space="0" w:color="000000"/>
              <w:left w:val="single" w:sz="4" w:space="0" w:color="000000"/>
              <w:bottom w:val="single" w:sz="4" w:space="0" w:color="000000"/>
            </w:tcBorders>
          </w:tcPr>
          <w:p>
            <w:pPr>
              <w:pStyle w:val="TableParagraph"/>
              <w:spacing w:before="34"/>
              <w:ind w:left="199" w:right="164"/>
              <w:rPr>
                <w:sz w:val="21"/>
              </w:rPr>
            </w:pPr>
            <w:r>
              <w:rPr>
                <w:sz w:val="21"/>
              </w:rPr>
              <w:t>0.933</w:t>
            </w:r>
          </w:p>
        </w:tc>
      </w:tr>
      <w:tr>
        <w:trPr>
          <w:trHeight w:val="301" w:hRule="atLeast"/>
        </w:trPr>
        <w:tc>
          <w:tcPr>
            <w:tcW w:w="1992" w:type="dxa"/>
            <w:gridSpan w:val="2"/>
            <w:vMerge w:val="restart"/>
            <w:tcBorders>
              <w:top w:val="single" w:sz="4" w:space="0" w:color="000000"/>
              <w:right w:val="single" w:sz="4" w:space="0" w:color="000000"/>
            </w:tcBorders>
          </w:tcPr>
          <w:p>
            <w:pPr>
              <w:pStyle w:val="TableParagraph"/>
              <w:spacing w:before="0"/>
              <w:jc w:val="left"/>
              <w:rPr>
                <w:rFonts w:ascii="宋体"/>
                <w:b/>
                <w:sz w:val="20"/>
              </w:rPr>
            </w:pPr>
          </w:p>
          <w:p>
            <w:pPr>
              <w:pStyle w:val="TableParagraph"/>
              <w:spacing w:before="5"/>
              <w:jc w:val="left"/>
              <w:rPr>
                <w:rFonts w:ascii="宋体"/>
                <w:b/>
                <w:sz w:val="19"/>
              </w:rPr>
            </w:pPr>
          </w:p>
          <w:p>
            <w:pPr>
              <w:pStyle w:val="TableParagraph"/>
              <w:spacing w:before="0"/>
              <w:ind w:left="258"/>
              <w:jc w:val="left"/>
              <w:rPr>
                <w:rFonts w:ascii="宋体" w:eastAsia="宋体" w:hint="eastAsia"/>
                <w:sz w:val="21"/>
              </w:rPr>
            </w:pPr>
            <w:r>
              <w:rPr>
                <w:rFonts w:ascii="宋体" w:eastAsia="宋体" w:hint="eastAsia"/>
                <w:sz w:val="21"/>
              </w:rPr>
              <w:t>全厂排放口合计</w:t>
            </w:r>
          </w:p>
        </w:tc>
        <w:tc>
          <w:tcPr>
            <w:tcW w:w="5517" w:type="dxa"/>
            <w:gridSpan w:val="3"/>
            <w:tcBorders>
              <w:top w:val="single" w:sz="4" w:space="0" w:color="000000"/>
              <w:left w:val="single" w:sz="4" w:space="0" w:color="000000"/>
              <w:bottom w:val="single" w:sz="4" w:space="0" w:color="000000"/>
              <w:right w:val="single" w:sz="4" w:space="0" w:color="000000"/>
            </w:tcBorders>
          </w:tcPr>
          <w:p>
            <w:pPr>
              <w:pStyle w:val="TableParagraph"/>
              <w:spacing w:line="246" w:lineRule="exact" w:before="35"/>
              <w:ind w:left="2448" w:right="2418"/>
              <w:rPr>
                <w:sz w:val="14"/>
              </w:rPr>
            </w:pPr>
            <w:r>
              <w:rPr>
                <w:position w:val="2"/>
                <w:sz w:val="21"/>
              </w:rPr>
              <w:t>COD</w:t>
            </w:r>
            <w:r>
              <w:rPr>
                <w:sz w:val="14"/>
              </w:rPr>
              <w:t>Cr</w:t>
            </w:r>
          </w:p>
        </w:tc>
        <w:tc>
          <w:tcPr>
            <w:tcW w:w="1923" w:type="dxa"/>
            <w:tcBorders>
              <w:top w:val="single" w:sz="4" w:space="0" w:color="000000"/>
              <w:left w:val="single" w:sz="4" w:space="0" w:color="000000"/>
              <w:bottom w:val="single" w:sz="4" w:space="0" w:color="000000"/>
            </w:tcBorders>
          </w:tcPr>
          <w:p>
            <w:pPr>
              <w:pStyle w:val="TableParagraph"/>
              <w:spacing w:before="34"/>
              <w:ind w:left="199" w:right="164"/>
              <w:rPr>
                <w:sz w:val="21"/>
              </w:rPr>
            </w:pPr>
            <w:r>
              <w:rPr>
                <w:sz w:val="21"/>
              </w:rPr>
              <w:t>66.669</w:t>
            </w:r>
          </w:p>
        </w:tc>
      </w:tr>
      <w:tr>
        <w:trPr>
          <w:trHeight w:val="291" w:hRule="atLeast"/>
        </w:trPr>
        <w:tc>
          <w:tcPr>
            <w:tcW w:w="1992" w:type="dxa"/>
            <w:gridSpan w:val="2"/>
            <w:vMerge/>
            <w:tcBorders>
              <w:top w:val="nil"/>
              <w:right w:val="single" w:sz="4" w:space="0" w:color="000000"/>
            </w:tcBorders>
          </w:tcPr>
          <w:p>
            <w:pPr>
              <w:rPr>
                <w:sz w:val="2"/>
                <w:szCs w:val="2"/>
              </w:rPr>
            </w:pPr>
          </w:p>
        </w:tc>
        <w:tc>
          <w:tcPr>
            <w:tcW w:w="5517" w:type="dxa"/>
            <w:gridSpan w:val="3"/>
            <w:tcBorders>
              <w:top w:val="single" w:sz="4" w:space="0" w:color="000000"/>
              <w:left w:val="single" w:sz="4" w:space="0" w:color="000000"/>
              <w:bottom w:val="single" w:sz="4" w:space="0" w:color="000000"/>
              <w:right w:val="single" w:sz="4" w:space="0" w:color="000000"/>
            </w:tcBorders>
          </w:tcPr>
          <w:p>
            <w:pPr>
              <w:pStyle w:val="TableParagraph"/>
              <w:spacing w:line="246" w:lineRule="exact" w:before="25"/>
              <w:ind w:left="2448" w:right="2423"/>
              <w:rPr>
                <w:sz w:val="21"/>
              </w:rPr>
            </w:pPr>
            <w:r>
              <w:rPr>
                <w:position w:val="2"/>
                <w:sz w:val="21"/>
              </w:rPr>
              <w:t>NH</w:t>
            </w:r>
            <w:r>
              <w:rPr>
                <w:sz w:val="14"/>
              </w:rPr>
              <w:t>3</w:t>
            </w:r>
            <w:r>
              <w:rPr>
                <w:position w:val="2"/>
                <w:sz w:val="21"/>
              </w:rPr>
              <w:t>-N</w:t>
            </w:r>
          </w:p>
        </w:tc>
        <w:tc>
          <w:tcPr>
            <w:tcW w:w="1923" w:type="dxa"/>
            <w:tcBorders>
              <w:top w:val="single" w:sz="4" w:space="0" w:color="000000"/>
              <w:left w:val="single" w:sz="4" w:space="0" w:color="000000"/>
              <w:bottom w:val="single" w:sz="4" w:space="0" w:color="000000"/>
            </w:tcBorders>
          </w:tcPr>
          <w:p>
            <w:pPr>
              <w:pStyle w:val="TableParagraph"/>
              <w:spacing w:before="24"/>
              <w:ind w:left="199" w:right="164"/>
              <w:rPr>
                <w:sz w:val="21"/>
              </w:rPr>
            </w:pPr>
            <w:r>
              <w:rPr>
                <w:sz w:val="21"/>
              </w:rPr>
              <w:t>9.334</w:t>
            </w:r>
          </w:p>
        </w:tc>
      </w:tr>
      <w:tr>
        <w:trPr>
          <w:trHeight w:val="291" w:hRule="atLeast"/>
        </w:trPr>
        <w:tc>
          <w:tcPr>
            <w:tcW w:w="1992" w:type="dxa"/>
            <w:gridSpan w:val="2"/>
            <w:vMerge/>
            <w:tcBorders>
              <w:top w:val="nil"/>
              <w:right w:val="single" w:sz="4" w:space="0" w:color="000000"/>
            </w:tcBorders>
          </w:tcPr>
          <w:p>
            <w:pPr>
              <w:rPr>
                <w:sz w:val="2"/>
                <w:szCs w:val="2"/>
              </w:rPr>
            </w:pPr>
          </w:p>
        </w:tc>
        <w:tc>
          <w:tcPr>
            <w:tcW w:w="5517" w:type="dxa"/>
            <w:gridSpan w:val="3"/>
            <w:tcBorders>
              <w:top w:val="single" w:sz="4" w:space="0" w:color="000000"/>
              <w:left w:val="single" w:sz="4" w:space="0" w:color="000000"/>
              <w:bottom w:val="single" w:sz="4" w:space="0" w:color="000000"/>
              <w:right w:val="single" w:sz="4" w:space="0" w:color="000000"/>
            </w:tcBorders>
          </w:tcPr>
          <w:p>
            <w:pPr>
              <w:pStyle w:val="TableParagraph"/>
              <w:spacing w:before="26"/>
              <w:ind w:left="2448" w:right="2422"/>
              <w:rPr>
                <w:sz w:val="21"/>
              </w:rPr>
            </w:pPr>
            <w:r>
              <w:rPr>
                <w:sz w:val="21"/>
              </w:rPr>
              <w:t>TP</w:t>
            </w:r>
          </w:p>
        </w:tc>
        <w:tc>
          <w:tcPr>
            <w:tcW w:w="1923" w:type="dxa"/>
            <w:tcBorders>
              <w:top w:val="single" w:sz="4" w:space="0" w:color="000000"/>
              <w:left w:val="single" w:sz="4" w:space="0" w:color="000000"/>
              <w:bottom w:val="single" w:sz="4" w:space="0" w:color="000000"/>
            </w:tcBorders>
          </w:tcPr>
          <w:p>
            <w:pPr>
              <w:pStyle w:val="TableParagraph"/>
              <w:spacing w:before="24"/>
              <w:ind w:left="199" w:right="164"/>
              <w:rPr>
                <w:sz w:val="21"/>
              </w:rPr>
            </w:pPr>
            <w:r>
              <w:rPr>
                <w:sz w:val="21"/>
              </w:rPr>
              <w:t>9.334</w:t>
            </w:r>
          </w:p>
        </w:tc>
      </w:tr>
      <w:tr>
        <w:trPr>
          <w:trHeight w:val="301" w:hRule="atLeast"/>
        </w:trPr>
        <w:tc>
          <w:tcPr>
            <w:tcW w:w="1992" w:type="dxa"/>
            <w:gridSpan w:val="2"/>
            <w:vMerge/>
            <w:tcBorders>
              <w:top w:val="nil"/>
              <w:right w:val="single" w:sz="4" w:space="0" w:color="000000"/>
            </w:tcBorders>
          </w:tcPr>
          <w:p>
            <w:pPr>
              <w:rPr>
                <w:sz w:val="2"/>
                <w:szCs w:val="2"/>
              </w:rPr>
            </w:pPr>
          </w:p>
        </w:tc>
        <w:tc>
          <w:tcPr>
            <w:tcW w:w="5517" w:type="dxa"/>
            <w:gridSpan w:val="3"/>
            <w:tcBorders>
              <w:top w:val="single" w:sz="4" w:space="0" w:color="000000"/>
              <w:left w:val="single" w:sz="4" w:space="0" w:color="000000"/>
              <w:right w:val="single" w:sz="4" w:space="0" w:color="000000"/>
            </w:tcBorders>
          </w:tcPr>
          <w:p>
            <w:pPr>
              <w:pStyle w:val="TableParagraph"/>
              <w:spacing w:before="29"/>
              <w:ind w:left="2448" w:right="2420"/>
              <w:rPr>
                <w:sz w:val="21"/>
              </w:rPr>
            </w:pPr>
            <w:r>
              <w:rPr>
                <w:sz w:val="21"/>
              </w:rPr>
              <w:t>TN</w:t>
            </w:r>
          </w:p>
        </w:tc>
        <w:tc>
          <w:tcPr>
            <w:tcW w:w="1923" w:type="dxa"/>
            <w:tcBorders>
              <w:top w:val="single" w:sz="4" w:space="0" w:color="000000"/>
              <w:left w:val="single" w:sz="4" w:space="0" w:color="000000"/>
            </w:tcBorders>
          </w:tcPr>
          <w:p>
            <w:pPr>
              <w:pStyle w:val="TableParagraph"/>
              <w:spacing w:before="26"/>
              <w:ind w:left="199" w:right="164"/>
              <w:rPr>
                <w:sz w:val="21"/>
              </w:rPr>
            </w:pPr>
            <w:r>
              <w:rPr>
                <w:sz w:val="21"/>
              </w:rPr>
              <w:t>0.933</w:t>
            </w:r>
          </w:p>
        </w:tc>
      </w:tr>
    </w:tbl>
    <w:p>
      <w:pPr>
        <w:spacing w:before="25"/>
        <w:ind w:left="657" w:right="0" w:firstLine="0"/>
        <w:jc w:val="left"/>
        <w:rPr>
          <w:sz w:val="21"/>
        </w:rPr>
      </w:pPr>
      <w:r>
        <w:rPr>
          <w:sz w:val="21"/>
        </w:rPr>
        <w:t>注：此表排放浓度系指纳管标准，日排放系指日最大排放量。</w:t>
      </w:r>
    </w:p>
    <w:p>
      <w:pPr>
        <w:spacing w:after="0"/>
        <w:jc w:val="left"/>
        <w:rPr>
          <w:sz w:val="21"/>
        </w:rPr>
        <w:sectPr>
          <w:footerReference w:type="default" r:id="rId66"/>
          <w:pgSz w:w="11910" w:h="16840"/>
          <w:pgMar w:footer="1004" w:header="874" w:top="1440" w:bottom="1200" w:left="1040" w:right="1160"/>
          <w:pgNumType w:start="110"/>
        </w:sectPr>
      </w:pPr>
    </w:p>
    <w:p>
      <w:pPr>
        <w:spacing w:before="68" w:after="19"/>
        <w:ind w:left="3608" w:right="3608"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203"/>
        <w:rPr>
          <w:sz w:val="2"/>
        </w:rPr>
      </w:pPr>
      <w:r>
        <w:rPr>
          <w:sz w:val="2"/>
        </w:rPr>
        <w:pict>
          <v:group style="width:700.9pt;height:.75pt;mso-position-horizontal-relative:char;mso-position-vertical-relative:line" coordorigin="0,0" coordsize="14018,15">
            <v:line style="position:absolute" from="0,7" to="14018,7" stroked="true" strokeweight=".72pt" strokecolor="#000000">
              <v:stroke dashstyle="solid"/>
            </v:line>
          </v:group>
        </w:pict>
      </w:r>
      <w:r>
        <w:rPr>
          <w:sz w:val="2"/>
        </w:rPr>
      </w:r>
    </w:p>
    <w:p>
      <w:pPr>
        <w:pStyle w:val="BodyText"/>
        <w:spacing w:before="5"/>
        <w:ind w:left="0"/>
        <w:rPr>
          <w:sz w:val="23"/>
        </w:rPr>
      </w:pPr>
    </w:p>
    <w:p>
      <w:pPr>
        <w:pStyle w:val="Heading3"/>
        <w:spacing w:before="74"/>
        <w:ind w:left="3608" w:right="3608"/>
        <w:jc w:val="center"/>
      </w:pPr>
      <w:r>
        <w:rPr/>
        <w:t>表 </w:t>
      </w:r>
      <w:r>
        <w:rPr>
          <w:rFonts w:ascii="Times New Roman" w:eastAsia="Times New Roman"/>
        </w:rPr>
        <w:t>5.2-3  </w:t>
      </w:r>
      <w:r>
        <w:rPr/>
        <w:t>废水类别、污染物及污染治理设施信息表</w:t>
      </w:r>
    </w:p>
    <w:p>
      <w:pPr>
        <w:pStyle w:val="BodyText"/>
        <w:spacing w:before="2"/>
        <w:ind w:left="0"/>
        <w:rPr>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5"/>
        <w:gridCol w:w="1135"/>
        <w:gridCol w:w="1562"/>
        <w:gridCol w:w="1558"/>
        <w:gridCol w:w="2220"/>
        <w:gridCol w:w="1179"/>
        <w:gridCol w:w="1138"/>
        <w:gridCol w:w="1112"/>
        <w:gridCol w:w="957"/>
        <w:gridCol w:w="1525"/>
        <w:gridCol w:w="1119"/>
      </w:tblGrid>
      <w:tr>
        <w:trPr>
          <w:trHeight w:val="359" w:hRule="atLeast"/>
        </w:trPr>
        <w:tc>
          <w:tcPr>
            <w:tcW w:w="675" w:type="dxa"/>
            <w:vMerge w:val="restart"/>
            <w:tcBorders>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124"/>
              <w:jc w:val="left"/>
              <w:rPr>
                <w:rFonts w:ascii="宋体" w:eastAsia="宋体" w:hint="eastAsia"/>
                <w:b/>
                <w:sz w:val="21"/>
              </w:rPr>
            </w:pPr>
            <w:r>
              <w:rPr>
                <w:rFonts w:ascii="宋体" w:eastAsia="宋体" w:hint="eastAsia"/>
                <w:b/>
                <w:sz w:val="21"/>
              </w:rPr>
              <w:t>序号</w:t>
            </w:r>
          </w:p>
        </w:tc>
        <w:tc>
          <w:tcPr>
            <w:tcW w:w="1135"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153"/>
              <w:jc w:val="left"/>
              <w:rPr>
                <w:rFonts w:ascii="宋体" w:eastAsia="宋体" w:hint="eastAsia"/>
                <w:b/>
                <w:sz w:val="21"/>
              </w:rPr>
            </w:pPr>
            <w:r>
              <w:rPr>
                <w:rFonts w:ascii="宋体" w:eastAsia="宋体" w:hint="eastAsia"/>
                <w:b/>
                <w:sz w:val="21"/>
              </w:rPr>
              <w:t>废水类别</w:t>
            </w:r>
          </w:p>
        </w:tc>
        <w:tc>
          <w:tcPr>
            <w:tcW w:w="1562"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263"/>
              <w:jc w:val="left"/>
              <w:rPr>
                <w:rFonts w:ascii="宋体" w:eastAsia="宋体" w:hint="eastAsia"/>
                <w:b/>
                <w:sz w:val="21"/>
              </w:rPr>
            </w:pPr>
            <w:r>
              <w:rPr>
                <w:rFonts w:ascii="宋体" w:eastAsia="宋体" w:hint="eastAsia"/>
                <w:b/>
                <w:sz w:val="21"/>
              </w:rPr>
              <w:t>污染物种类</w:t>
            </w:r>
          </w:p>
        </w:tc>
        <w:tc>
          <w:tcPr>
            <w:tcW w:w="1558"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367"/>
              <w:jc w:val="left"/>
              <w:rPr>
                <w:rFonts w:ascii="宋体" w:eastAsia="宋体" w:hint="eastAsia"/>
                <w:b/>
                <w:sz w:val="21"/>
              </w:rPr>
            </w:pPr>
            <w:r>
              <w:rPr>
                <w:rFonts w:ascii="宋体" w:eastAsia="宋体" w:hint="eastAsia"/>
                <w:b/>
                <w:sz w:val="21"/>
              </w:rPr>
              <w:t>排放去向</w:t>
            </w:r>
          </w:p>
        </w:tc>
        <w:tc>
          <w:tcPr>
            <w:tcW w:w="2220"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698"/>
              <w:jc w:val="left"/>
              <w:rPr>
                <w:rFonts w:ascii="宋体" w:eastAsia="宋体" w:hint="eastAsia"/>
                <w:b/>
                <w:sz w:val="21"/>
              </w:rPr>
            </w:pPr>
            <w:r>
              <w:rPr>
                <w:rFonts w:ascii="宋体" w:eastAsia="宋体" w:hint="eastAsia"/>
                <w:b/>
                <w:sz w:val="21"/>
              </w:rPr>
              <w:t>排放规律</w:t>
            </w:r>
          </w:p>
        </w:tc>
        <w:tc>
          <w:tcPr>
            <w:tcW w:w="3429" w:type="dxa"/>
            <w:gridSpan w:val="3"/>
            <w:tcBorders>
              <w:left w:val="single" w:sz="4" w:space="0" w:color="000000"/>
              <w:bottom w:val="single" w:sz="4" w:space="0" w:color="000000"/>
              <w:right w:val="single" w:sz="4" w:space="0" w:color="000000"/>
            </w:tcBorders>
          </w:tcPr>
          <w:p>
            <w:pPr>
              <w:pStyle w:val="TableParagraph"/>
              <w:spacing w:before="43"/>
              <w:ind w:left="1090"/>
              <w:jc w:val="left"/>
              <w:rPr>
                <w:rFonts w:ascii="宋体" w:eastAsia="宋体" w:hint="eastAsia"/>
                <w:b/>
                <w:sz w:val="21"/>
              </w:rPr>
            </w:pPr>
            <w:r>
              <w:rPr>
                <w:rFonts w:ascii="宋体" w:eastAsia="宋体" w:hint="eastAsia"/>
                <w:b/>
                <w:sz w:val="21"/>
              </w:rPr>
              <w:t>污染治理设施</w:t>
            </w:r>
          </w:p>
        </w:tc>
        <w:tc>
          <w:tcPr>
            <w:tcW w:w="957" w:type="dxa"/>
            <w:vMerge w:val="restart"/>
            <w:tcBorders>
              <w:left w:val="single" w:sz="4" w:space="0" w:color="000000"/>
              <w:bottom w:val="single" w:sz="4" w:space="0" w:color="000000"/>
              <w:right w:val="single" w:sz="4" w:space="0" w:color="000000"/>
            </w:tcBorders>
          </w:tcPr>
          <w:p>
            <w:pPr>
              <w:pStyle w:val="TableParagraph"/>
              <w:spacing w:before="10"/>
              <w:jc w:val="left"/>
              <w:rPr>
                <w:rFonts w:ascii="宋体"/>
                <w:b/>
                <w:sz w:val="17"/>
              </w:rPr>
            </w:pPr>
          </w:p>
          <w:p>
            <w:pPr>
              <w:pStyle w:val="TableParagraph"/>
              <w:spacing w:line="321" w:lineRule="auto" w:before="0"/>
              <w:ind w:left="275" w:right="143" w:hanging="107"/>
              <w:jc w:val="left"/>
              <w:rPr>
                <w:rFonts w:ascii="宋体" w:eastAsia="宋体" w:hint="eastAsia"/>
                <w:b/>
                <w:sz w:val="21"/>
              </w:rPr>
            </w:pPr>
            <w:r>
              <w:rPr>
                <w:rFonts w:ascii="宋体" w:eastAsia="宋体" w:hint="eastAsia"/>
                <w:b/>
                <w:sz w:val="21"/>
              </w:rPr>
              <w:t>排放口编号</w:t>
            </w:r>
          </w:p>
        </w:tc>
        <w:tc>
          <w:tcPr>
            <w:tcW w:w="1525" w:type="dxa"/>
            <w:vMerge w:val="restart"/>
            <w:tcBorders>
              <w:left w:val="single" w:sz="4" w:space="0" w:color="000000"/>
              <w:bottom w:val="single" w:sz="4" w:space="0" w:color="000000"/>
              <w:right w:val="single" w:sz="4" w:space="0" w:color="000000"/>
            </w:tcBorders>
          </w:tcPr>
          <w:p>
            <w:pPr>
              <w:pStyle w:val="TableParagraph"/>
              <w:spacing w:before="10"/>
              <w:jc w:val="left"/>
              <w:rPr>
                <w:rFonts w:ascii="宋体"/>
                <w:b/>
                <w:sz w:val="17"/>
              </w:rPr>
            </w:pPr>
          </w:p>
          <w:p>
            <w:pPr>
              <w:pStyle w:val="TableParagraph"/>
              <w:spacing w:line="321" w:lineRule="auto" w:before="0"/>
              <w:ind w:left="242" w:right="108" w:hanging="106"/>
              <w:jc w:val="left"/>
              <w:rPr>
                <w:rFonts w:ascii="宋体" w:eastAsia="宋体" w:hint="eastAsia"/>
                <w:b/>
                <w:sz w:val="21"/>
              </w:rPr>
            </w:pPr>
            <w:r>
              <w:rPr>
                <w:rFonts w:ascii="宋体" w:eastAsia="宋体" w:hint="eastAsia"/>
                <w:b/>
                <w:sz w:val="21"/>
              </w:rPr>
              <w:t>排放口设置是否符合要求</w:t>
            </w:r>
          </w:p>
        </w:tc>
        <w:tc>
          <w:tcPr>
            <w:tcW w:w="1119" w:type="dxa"/>
            <w:vMerge w:val="restart"/>
            <w:tcBorders>
              <w:left w:val="single" w:sz="4" w:space="0" w:color="000000"/>
              <w:bottom w:val="single" w:sz="4" w:space="0" w:color="000000"/>
            </w:tcBorders>
          </w:tcPr>
          <w:p>
            <w:pPr>
              <w:pStyle w:val="TableParagraph"/>
              <w:spacing w:before="10"/>
              <w:jc w:val="left"/>
              <w:rPr>
                <w:rFonts w:ascii="宋体"/>
                <w:b/>
                <w:sz w:val="17"/>
              </w:rPr>
            </w:pPr>
          </w:p>
          <w:p>
            <w:pPr>
              <w:pStyle w:val="TableParagraph"/>
              <w:spacing w:line="321" w:lineRule="auto" w:before="0"/>
              <w:ind w:left="351" w:right="218" w:hanging="106"/>
              <w:jc w:val="left"/>
              <w:rPr>
                <w:rFonts w:ascii="宋体" w:eastAsia="宋体" w:hint="eastAsia"/>
                <w:b/>
                <w:sz w:val="21"/>
              </w:rPr>
            </w:pPr>
            <w:r>
              <w:rPr>
                <w:rFonts w:ascii="宋体" w:eastAsia="宋体" w:hint="eastAsia"/>
                <w:b/>
                <w:sz w:val="21"/>
              </w:rPr>
              <w:t>排放口类型</w:t>
            </w:r>
          </w:p>
        </w:tc>
      </w:tr>
      <w:tr>
        <w:trPr>
          <w:trHeight w:val="717" w:hRule="atLeast"/>
        </w:trPr>
        <w:tc>
          <w:tcPr>
            <w:tcW w:w="675" w:type="dxa"/>
            <w:vMerge/>
            <w:tcBorders>
              <w:top w:val="nil"/>
              <w:bottom w:val="single" w:sz="4" w:space="0" w:color="000000"/>
              <w:right w:val="single" w:sz="4" w:space="0" w:color="000000"/>
            </w:tcBorders>
          </w:tcPr>
          <w:p>
            <w:pPr>
              <w:rPr>
                <w:sz w:val="2"/>
                <w:szCs w:val="2"/>
              </w:rPr>
            </w:pPr>
          </w:p>
        </w:tc>
        <w:tc>
          <w:tcPr>
            <w:tcW w:w="1135" w:type="dxa"/>
            <w:vMerge/>
            <w:tcBorders>
              <w:top w:val="nil"/>
              <w:left w:val="single" w:sz="4" w:space="0" w:color="000000"/>
              <w:bottom w:val="single" w:sz="4" w:space="0" w:color="000000"/>
              <w:right w:val="single" w:sz="4" w:space="0" w:color="000000"/>
            </w:tcBorders>
          </w:tcPr>
          <w:p>
            <w:pPr>
              <w:rPr>
                <w:sz w:val="2"/>
                <w:szCs w:val="2"/>
              </w:rPr>
            </w:pPr>
          </w:p>
        </w:tc>
        <w:tc>
          <w:tcPr>
            <w:tcW w:w="1562" w:type="dxa"/>
            <w:vMerge/>
            <w:tcBorders>
              <w:top w:val="nil"/>
              <w:left w:val="single" w:sz="4" w:space="0" w:color="000000"/>
              <w:bottom w:val="single" w:sz="4" w:space="0" w:color="000000"/>
              <w:right w:val="single" w:sz="4" w:space="0" w:color="000000"/>
            </w:tcBorders>
          </w:tcPr>
          <w:p>
            <w:pPr>
              <w:rPr>
                <w:sz w:val="2"/>
                <w:szCs w:val="2"/>
              </w:rPr>
            </w:pPr>
          </w:p>
        </w:tc>
        <w:tc>
          <w:tcPr>
            <w:tcW w:w="1558" w:type="dxa"/>
            <w:vMerge/>
            <w:tcBorders>
              <w:top w:val="nil"/>
              <w:left w:val="single" w:sz="4" w:space="0" w:color="000000"/>
              <w:bottom w:val="single" w:sz="4" w:space="0" w:color="000000"/>
              <w:right w:val="single" w:sz="4" w:space="0" w:color="000000"/>
            </w:tcBorders>
          </w:tcPr>
          <w:p>
            <w:pPr>
              <w:rPr>
                <w:sz w:val="2"/>
                <w:szCs w:val="2"/>
              </w:rPr>
            </w:pPr>
          </w:p>
        </w:tc>
        <w:tc>
          <w:tcPr>
            <w:tcW w:w="2220" w:type="dxa"/>
            <w:vMerge/>
            <w:tcBorders>
              <w:top w:val="nil"/>
              <w:left w:val="single" w:sz="4" w:space="0" w:color="000000"/>
              <w:bottom w:val="single" w:sz="4" w:space="0" w:color="000000"/>
              <w:right w:val="single" w:sz="4" w:space="0" w:color="000000"/>
            </w:tcBorders>
          </w:tcPr>
          <w:p>
            <w:pPr>
              <w:rPr>
                <w:sz w:val="2"/>
                <w:szCs w:val="2"/>
              </w:rPr>
            </w:pPr>
          </w:p>
        </w:tc>
        <w:tc>
          <w:tcPr>
            <w:tcW w:w="1179" w:type="dxa"/>
            <w:tcBorders>
              <w:top w:val="single" w:sz="4" w:space="0" w:color="000000"/>
              <w:left w:val="single" w:sz="4" w:space="0" w:color="000000"/>
              <w:bottom w:val="single" w:sz="4" w:space="0" w:color="000000"/>
              <w:right w:val="single" w:sz="4" w:space="0" w:color="000000"/>
            </w:tcBorders>
          </w:tcPr>
          <w:p>
            <w:pPr>
              <w:pStyle w:val="TableParagraph"/>
              <w:spacing w:before="44"/>
              <w:ind w:left="178"/>
              <w:jc w:val="left"/>
              <w:rPr>
                <w:rFonts w:ascii="宋体" w:eastAsia="宋体" w:hint="eastAsia"/>
                <w:b/>
                <w:sz w:val="21"/>
              </w:rPr>
            </w:pPr>
            <w:r>
              <w:rPr>
                <w:rFonts w:ascii="宋体" w:eastAsia="宋体" w:hint="eastAsia"/>
                <w:b/>
                <w:sz w:val="21"/>
              </w:rPr>
              <w:t>污染治理</w:t>
            </w:r>
          </w:p>
          <w:p>
            <w:pPr>
              <w:pStyle w:val="TableParagraph"/>
              <w:spacing w:before="91"/>
              <w:ind w:left="178"/>
              <w:jc w:val="left"/>
              <w:rPr>
                <w:rFonts w:ascii="宋体" w:eastAsia="宋体" w:hint="eastAsia"/>
                <w:b/>
                <w:sz w:val="21"/>
              </w:rPr>
            </w:pPr>
            <w:r>
              <w:rPr>
                <w:rFonts w:ascii="宋体" w:eastAsia="宋体" w:hint="eastAsia"/>
                <w:b/>
                <w:sz w:val="21"/>
              </w:rPr>
              <w:t>设施编号</w:t>
            </w:r>
          </w:p>
        </w:tc>
        <w:tc>
          <w:tcPr>
            <w:tcW w:w="1138" w:type="dxa"/>
            <w:tcBorders>
              <w:top w:val="single" w:sz="4" w:space="0" w:color="000000"/>
              <w:left w:val="single" w:sz="4" w:space="0" w:color="000000"/>
              <w:bottom w:val="single" w:sz="4" w:space="0" w:color="000000"/>
              <w:right w:val="single" w:sz="4" w:space="0" w:color="000000"/>
            </w:tcBorders>
          </w:tcPr>
          <w:p>
            <w:pPr>
              <w:pStyle w:val="TableParagraph"/>
              <w:spacing w:before="44"/>
              <w:ind w:left="156"/>
              <w:jc w:val="left"/>
              <w:rPr>
                <w:rFonts w:ascii="宋体" w:eastAsia="宋体" w:hint="eastAsia"/>
                <w:b/>
                <w:sz w:val="21"/>
              </w:rPr>
            </w:pPr>
            <w:r>
              <w:rPr>
                <w:rFonts w:ascii="宋体" w:eastAsia="宋体" w:hint="eastAsia"/>
                <w:b/>
                <w:sz w:val="21"/>
              </w:rPr>
              <w:t>污染治理</w:t>
            </w:r>
          </w:p>
          <w:p>
            <w:pPr>
              <w:pStyle w:val="TableParagraph"/>
              <w:spacing w:before="91"/>
              <w:ind w:left="156"/>
              <w:jc w:val="left"/>
              <w:rPr>
                <w:rFonts w:ascii="宋体" w:eastAsia="宋体" w:hint="eastAsia"/>
                <w:b/>
                <w:sz w:val="21"/>
              </w:rPr>
            </w:pPr>
            <w:r>
              <w:rPr>
                <w:rFonts w:ascii="宋体" w:eastAsia="宋体" w:hint="eastAsia"/>
                <w:b/>
                <w:sz w:val="21"/>
              </w:rPr>
              <w:t>设施名称</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spacing w:before="44"/>
              <w:ind w:left="143"/>
              <w:jc w:val="left"/>
              <w:rPr>
                <w:rFonts w:ascii="宋体" w:eastAsia="宋体" w:hint="eastAsia"/>
                <w:b/>
                <w:sz w:val="21"/>
              </w:rPr>
            </w:pPr>
            <w:r>
              <w:rPr>
                <w:rFonts w:ascii="宋体" w:eastAsia="宋体" w:hint="eastAsia"/>
                <w:b/>
                <w:sz w:val="21"/>
              </w:rPr>
              <w:t>污染治理</w:t>
            </w:r>
          </w:p>
          <w:p>
            <w:pPr>
              <w:pStyle w:val="TableParagraph"/>
              <w:spacing w:before="91"/>
              <w:ind w:left="143"/>
              <w:jc w:val="left"/>
              <w:rPr>
                <w:rFonts w:ascii="宋体" w:eastAsia="宋体" w:hint="eastAsia"/>
                <w:b/>
                <w:sz w:val="21"/>
              </w:rPr>
            </w:pPr>
            <w:r>
              <w:rPr>
                <w:rFonts w:ascii="宋体" w:eastAsia="宋体" w:hint="eastAsia"/>
                <w:b/>
                <w:sz w:val="21"/>
              </w:rPr>
              <w:t>设施工艺</w:t>
            </w:r>
          </w:p>
        </w:tc>
        <w:tc>
          <w:tcPr>
            <w:tcW w:w="957" w:type="dxa"/>
            <w:vMerge/>
            <w:tcBorders>
              <w:top w:val="nil"/>
              <w:left w:val="single" w:sz="4" w:space="0" w:color="000000"/>
              <w:bottom w:val="single" w:sz="4" w:space="0" w:color="000000"/>
              <w:right w:val="single" w:sz="4" w:space="0" w:color="000000"/>
            </w:tcBorders>
          </w:tcPr>
          <w:p>
            <w:pPr>
              <w:rPr>
                <w:sz w:val="2"/>
                <w:szCs w:val="2"/>
              </w:rPr>
            </w:pPr>
          </w:p>
        </w:tc>
        <w:tc>
          <w:tcPr>
            <w:tcW w:w="1525" w:type="dxa"/>
            <w:vMerge/>
            <w:tcBorders>
              <w:top w:val="nil"/>
              <w:left w:val="single" w:sz="4" w:space="0" w:color="000000"/>
              <w:bottom w:val="single" w:sz="4" w:space="0" w:color="000000"/>
              <w:right w:val="single" w:sz="4" w:space="0" w:color="000000"/>
            </w:tcBorders>
          </w:tcPr>
          <w:p>
            <w:pPr>
              <w:rPr>
                <w:sz w:val="2"/>
                <w:szCs w:val="2"/>
              </w:rPr>
            </w:pPr>
          </w:p>
        </w:tc>
        <w:tc>
          <w:tcPr>
            <w:tcW w:w="1119" w:type="dxa"/>
            <w:vMerge/>
            <w:tcBorders>
              <w:top w:val="nil"/>
              <w:left w:val="single" w:sz="4" w:space="0" w:color="000000"/>
              <w:bottom w:val="single" w:sz="4" w:space="0" w:color="000000"/>
            </w:tcBorders>
          </w:tcPr>
          <w:p>
            <w:pPr>
              <w:rPr>
                <w:sz w:val="2"/>
                <w:szCs w:val="2"/>
              </w:rPr>
            </w:pPr>
          </w:p>
        </w:tc>
      </w:tr>
      <w:tr>
        <w:trPr>
          <w:trHeight w:val="1075" w:hRule="atLeast"/>
        </w:trPr>
        <w:tc>
          <w:tcPr>
            <w:tcW w:w="675" w:type="dxa"/>
            <w:tcBorders>
              <w:top w:val="single" w:sz="4" w:space="0" w:color="000000"/>
              <w:right w:val="single" w:sz="4" w:space="0" w:color="000000"/>
            </w:tcBorders>
          </w:tcPr>
          <w:p>
            <w:pPr>
              <w:pStyle w:val="TableParagraph"/>
              <w:spacing w:before="8"/>
              <w:jc w:val="left"/>
              <w:rPr>
                <w:rFonts w:ascii="宋体"/>
                <w:b/>
                <w:sz w:val="32"/>
              </w:rPr>
            </w:pPr>
          </w:p>
          <w:p>
            <w:pPr>
              <w:pStyle w:val="TableParagraph"/>
              <w:spacing w:before="0"/>
              <w:ind w:left="15"/>
              <w:rPr>
                <w:sz w:val="21"/>
              </w:rPr>
            </w:pPr>
            <w:r>
              <w:rPr>
                <w:w w:val="100"/>
                <w:sz w:val="21"/>
              </w:rPr>
              <w:t>1</w:t>
            </w:r>
          </w:p>
        </w:tc>
        <w:tc>
          <w:tcPr>
            <w:tcW w:w="1135" w:type="dxa"/>
            <w:tcBorders>
              <w:top w:val="single" w:sz="4"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line="321" w:lineRule="auto" w:before="1"/>
              <w:ind w:left="155" w:right="124"/>
              <w:jc w:val="left"/>
              <w:rPr>
                <w:rFonts w:ascii="宋体" w:eastAsia="宋体" w:hint="eastAsia"/>
                <w:sz w:val="21"/>
              </w:rPr>
            </w:pPr>
            <w:r>
              <w:rPr>
                <w:rFonts w:ascii="宋体" w:eastAsia="宋体" w:hint="eastAsia"/>
                <w:sz w:val="21"/>
              </w:rPr>
              <w:t>生产废水生活污水</w:t>
            </w:r>
          </w:p>
        </w:tc>
        <w:tc>
          <w:tcPr>
            <w:tcW w:w="1562" w:type="dxa"/>
            <w:tcBorders>
              <w:top w:val="single" w:sz="4" w:space="0" w:color="000000"/>
              <w:left w:val="single" w:sz="4" w:space="0" w:color="000000"/>
              <w:right w:val="single" w:sz="4" w:space="0" w:color="000000"/>
            </w:tcBorders>
          </w:tcPr>
          <w:p>
            <w:pPr>
              <w:pStyle w:val="TableParagraph"/>
              <w:spacing w:line="321" w:lineRule="auto" w:before="44"/>
              <w:ind w:left="141" w:right="110" w:firstLine="2"/>
              <w:rPr>
                <w:rFonts w:ascii="宋体" w:eastAsia="宋体" w:hint="eastAsia"/>
                <w:sz w:val="21"/>
              </w:rPr>
            </w:pPr>
            <w:r>
              <w:rPr>
                <w:position w:val="2"/>
                <w:sz w:val="21"/>
              </w:rPr>
              <w:t>pH</w:t>
            </w:r>
            <w:r>
              <w:rPr>
                <w:rFonts w:ascii="宋体" w:eastAsia="宋体" w:hint="eastAsia"/>
                <w:position w:val="2"/>
                <w:sz w:val="21"/>
              </w:rPr>
              <w:t>、</w:t>
            </w:r>
            <w:r>
              <w:rPr>
                <w:position w:val="2"/>
                <w:sz w:val="21"/>
              </w:rPr>
              <w:t>COD</w:t>
            </w:r>
            <w:r>
              <w:rPr>
                <w:sz w:val="14"/>
              </w:rPr>
              <w:t>Cr</w:t>
            </w:r>
            <w:r>
              <w:rPr>
                <w:rFonts w:ascii="宋体" w:eastAsia="宋体" w:hint="eastAsia"/>
                <w:position w:val="2"/>
                <w:sz w:val="21"/>
              </w:rPr>
              <w:t>、</w:t>
            </w:r>
            <w:r>
              <w:rPr>
                <w:position w:val="2"/>
                <w:sz w:val="21"/>
              </w:rPr>
              <w:t>NH</w:t>
            </w:r>
            <w:r>
              <w:rPr>
                <w:sz w:val="14"/>
              </w:rPr>
              <w:t>3</w:t>
            </w:r>
            <w:r>
              <w:rPr>
                <w:position w:val="2"/>
                <w:sz w:val="21"/>
              </w:rPr>
              <w:t>-N</w:t>
            </w:r>
            <w:r>
              <w:rPr>
                <w:rFonts w:ascii="宋体" w:eastAsia="宋体" w:hint="eastAsia"/>
                <w:position w:val="2"/>
                <w:sz w:val="21"/>
              </w:rPr>
              <w:t>、</w:t>
            </w:r>
            <w:r>
              <w:rPr>
                <w:position w:val="2"/>
                <w:sz w:val="21"/>
              </w:rPr>
              <w:t>TN</w:t>
            </w:r>
            <w:r>
              <w:rPr>
                <w:rFonts w:ascii="宋体" w:eastAsia="宋体" w:hint="eastAsia"/>
                <w:position w:val="2"/>
                <w:sz w:val="21"/>
              </w:rPr>
              <w:t>、</w:t>
            </w:r>
          </w:p>
          <w:p>
            <w:pPr>
              <w:pStyle w:val="TableParagraph"/>
              <w:spacing w:line="266" w:lineRule="exact" w:before="0"/>
              <w:ind w:left="294" w:right="265"/>
              <w:rPr>
                <w:rFonts w:ascii="宋体" w:eastAsia="宋体" w:hint="eastAsia"/>
                <w:sz w:val="21"/>
              </w:rPr>
            </w:pPr>
            <w:r>
              <w:rPr>
                <w:sz w:val="21"/>
              </w:rPr>
              <w:t>TP</w:t>
            </w:r>
            <w:r>
              <w:rPr>
                <w:rFonts w:ascii="宋体" w:eastAsia="宋体" w:hint="eastAsia"/>
                <w:sz w:val="21"/>
              </w:rPr>
              <w:t>、</w:t>
            </w:r>
            <w:r>
              <w:rPr>
                <w:sz w:val="21"/>
              </w:rPr>
              <w:t>SS </w:t>
            </w:r>
            <w:r>
              <w:rPr>
                <w:rFonts w:ascii="宋体" w:eastAsia="宋体" w:hint="eastAsia"/>
                <w:sz w:val="21"/>
              </w:rPr>
              <w:t>等</w:t>
            </w:r>
          </w:p>
        </w:tc>
        <w:tc>
          <w:tcPr>
            <w:tcW w:w="1558" w:type="dxa"/>
            <w:tcBorders>
              <w:top w:val="single" w:sz="4" w:space="0" w:color="000000"/>
              <w:left w:val="single" w:sz="4" w:space="0" w:color="000000"/>
              <w:right w:val="single" w:sz="4" w:space="0" w:color="000000"/>
            </w:tcBorders>
          </w:tcPr>
          <w:p>
            <w:pPr>
              <w:pStyle w:val="TableParagraph"/>
              <w:spacing w:before="44"/>
              <w:ind w:left="158"/>
              <w:jc w:val="left"/>
              <w:rPr>
                <w:rFonts w:ascii="宋体" w:eastAsia="宋体" w:hint="eastAsia"/>
                <w:sz w:val="21"/>
              </w:rPr>
            </w:pPr>
            <w:r>
              <w:rPr>
                <w:rFonts w:ascii="宋体" w:eastAsia="宋体" w:hint="eastAsia"/>
                <w:sz w:val="21"/>
              </w:rPr>
              <w:t>纳管接入绍兴</w:t>
            </w:r>
          </w:p>
          <w:p>
            <w:pPr>
              <w:pStyle w:val="TableParagraph"/>
              <w:spacing w:line="350" w:lineRule="atLeast" w:before="10"/>
              <w:ind w:left="579" w:right="124" w:hanging="421"/>
              <w:jc w:val="left"/>
              <w:rPr>
                <w:rFonts w:ascii="宋体" w:eastAsia="宋体" w:hint="eastAsia"/>
                <w:sz w:val="21"/>
              </w:rPr>
            </w:pPr>
            <w:r>
              <w:rPr>
                <w:rFonts w:ascii="宋体" w:eastAsia="宋体" w:hint="eastAsia"/>
                <w:sz w:val="21"/>
              </w:rPr>
              <w:t>市污水处理厂处理</w:t>
            </w:r>
          </w:p>
        </w:tc>
        <w:tc>
          <w:tcPr>
            <w:tcW w:w="2220" w:type="dxa"/>
            <w:tcBorders>
              <w:top w:val="single" w:sz="4"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line="321" w:lineRule="auto" w:before="1"/>
              <w:ind w:left="804" w:right="83" w:hanging="687"/>
              <w:jc w:val="left"/>
              <w:rPr>
                <w:rFonts w:ascii="宋体" w:eastAsia="宋体" w:hint="eastAsia"/>
                <w:sz w:val="21"/>
              </w:rPr>
            </w:pPr>
            <w:r>
              <w:rPr>
                <w:rFonts w:ascii="宋体" w:eastAsia="宋体" w:hint="eastAsia"/>
                <w:spacing w:val="-14"/>
                <w:sz w:val="21"/>
              </w:rPr>
              <w:t>间断排放，排放期间流</w:t>
            </w:r>
            <w:r>
              <w:rPr>
                <w:rFonts w:ascii="宋体" w:eastAsia="宋体" w:hint="eastAsia"/>
                <w:sz w:val="21"/>
              </w:rPr>
              <w:t>量稳定</w:t>
            </w:r>
          </w:p>
        </w:tc>
        <w:tc>
          <w:tcPr>
            <w:tcW w:w="1179" w:type="dxa"/>
            <w:tcBorders>
              <w:top w:val="single" w:sz="4" w:space="0" w:color="000000"/>
              <w:left w:val="single" w:sz="4" w:space="0" w:color="000000"/>
              <w:right w:val="single" w:sz="4" w:space="0" w:color="000000"/>
            </w:tcBorders>
          </w:tcPr>
          <w:p>
            <w:pPr>
              <w:pStyle w:val="TableParagraph"/>
              <w:spacing w:before="8"/>
              <w:jc w:val="left"/>
              <w:rPr>
                <w:rFonts w:ascii="宋体"/>
                <w:b/>
                <w:sz w:val="32"/>
              </w:rPr>
            </w:pPr>
          </w:p>
          <w:p>
            <w:pPr>
              <w:pStyle w:val="TableParagraph"/>
              <w:spacing w:before="0"/>
              <w:ind w:left="279"/>
              <w:jc w:val="left"/>
              <w:rPr>
                <w:sz w:val="21"/>
              </w:rPr>
            </w:pPr>
            <w:r>
              <w:rPr>
                <w:sz w:val="21"/>
              </w:rPr>
              <w:t>TW001</w:t>
            </w:r>
          </w:p>
        </w:tc>
        <w:tc>
          <w:tcPr>
            <w:tcW w:w="1138" w:type="dxa"/>
            <w:tcBorders>
              <w:top w:val="single" w:sz="4"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line="321" w:lineRule="auto" w:before="1"/>
              <w:ind w:left="473" w:right="124" w:hanging="315"/>
              <w:jc w:val="left"/>
              <w:rPr>
                <w:rFonts w:ascii="宋体" w:eastAsia="宋体" w:hint="eastAsia"/>
                <w:sz w:val="21"/>
              </w:rPr>
            </w:pPr>
            <w:r>
              <w:rPr>
                <w:rFonts w:ascii="宋体" w:eastAsia="宋体" w:hint="eastAsia"/>
                <w:sz w:val="21"/>
              </w:rPr>
              <w:t>污水处理站</w:t>
            </w:r>
          </w:p>
        </w:tc>
        <w:tc>
          <w:tcPr>
            <w:tcW w:w="1112" w:type="dxa"/>
            <w:tcBorders>
              <w:top w:val="single" w:sz="4" w:space="0" w:color="000000"/>
              <w:left w:val="single" w:sz="4" w:space="0" w:color="000000"/>
              <w:right w:val="single" w:sz="4" w:space="0" w:color="000000"/>
            </w:tcBorders>
          </w:tcPr>
          <w:p>
            <w:pPr>
              <w:pStyle w:val="TableParagraph"/>
              <w:spacing w:before="0"/>
              <w:jc w:val="left"/>
              <w:rPr>
                <w:rFonts w:ascii="宋体"/>
                <w:b/>
                <w:sz w:val="20"/>
              </w:rPr>
            </w:pPr>
          </w:p>
          <w:p>
            <w:pPr>
              <w:pStyle w:val="TableParagraph"/>
              <w:spacing w:before="148"/>
              <w:ind w:left="355"/>
              <w:jc w:val="left"/>
              <w:rPr>
                <w:rFonts w:ascii="宋体" w:eastAsia="宋体" w:hint="eastAsia"/>
                <w:sz w:val="21"/>
              </w:rPr>
            </w:pPr>
            <w:r>
              <w:rPr>
                <w:rFonts w:ascii="宋体" w:eastAsia="宋体" w:hint="eastAsia"/>
                <w:sz w:val="21"/>
              </w:rPr>
              <w:t>生化</w:t>
            </w:r>
          </w:p>
        </w:tc>
        <w:tc>
          <w:tcPr>
            <w:tcW w:w="957" w:type="dxa"/>
            <w:tcBorders>
              <w:top w:val="single" w:sz="4" w:space="0" w:color="000000"/>
              <w:left w:val="single" w:sz="4" w:space="0" w:color="000000"/>
              <w:right w:val="single" w:sz="4" w:space="0" w:color="000000"/>
            </w:tcBorders>
          </w:tcPr>
          <w:p>
            <w:pPr>
              <w:pStyle w:val="TableParagraph"/>
              <w:spacing w:before="8"/>
              <w:jc w:val="left"/>
              <w:rPr>
                <w:rFonts w:ascii="宋体"/>
                <w:b/>
                <w:sz w:val="32"/>
              </w:rPr>
            </w:pPr>
          </w:p>
          <w:p>
            <w:pPr>
              <w:pStyle w:val="TableParagraph"/>
              <w:spacing w:before="0"/>
              <w:ind w:left="152"/>
              <w:jc w:val="left"/>
              <w:rPr>
                <w:sz w:val="21"/>
              </w:rPr>
            </w:pPr>
            <w:r>
              <w:rPr>
                <w:sz w:val="21"/>
              </w:rPr>
              <w:t>DW001</w:t>
            </w:r>
          </w:p>
        </w:tc>
        <w:tc>
          <w:tcPr>
            <w:tcW w:w="1525" w:type="dxa"/>
            <w:tcBorders>
              <w:top w:val="single" w:sz="4" w:space="0" w:color="000000"/>
              <w:left w:val="single" w:sz="4" w:space="0" w:color="000000"/>
              <w:right w:val="single" w:sz="4" w:space="0" w:color="000000"/>
            </w:tcBorders>
          </w:tcPr>
          <w:p>
            <w:pPr>
              <w:pStyle w:val="TableParagraph"/>
              <w:spacing w:before="0"/>
              <w:jc w:val="left"/>
              <w:rPr>
                <w:rFonts w:ascii="宋体"/>
                <w:b/>
                <w:sz w:val="20"/>
              </w:rPr>
            </w:pPr>
          </w:p>
          <w:p>
            <w:pPr>
              <w:pStyle w:val="TableParagraph"/>
              <w:spacing w:before="148"/>
              <w:ind w:left="21"/>
              <w:rPr>
                <w:rFonts w:ascii="宋体" w:eastAsia="宋体" w:hint="eastAsia"/>
                <w:sz w:val="21"/>
              </w:rPr>
            </w:pPr>
            <w:r>
              <w:rPr>
                <w:rFonts w:ascii="宋体" w:eastAsia="宋体" w:hint="eastAsia"/>
                <w:w w:val="100"/>
                <w:sz w:val="21"/>
              </w:rPr>
              <w:t>是</w:t>
            </w:r>
          </w:p>
        </w:tc>
        <w:tc>
          <w:tcPr>
            <w:tcW w:w="1119" w:type="dxa"/>
            <w:tcBorders>
              <w:top w:val="single" w:sz="4" w:space="0" w:color="000000"/>
              <w:left w:val="single" w:sz="4" w:space="0" w:color="000000"/>
            </w:tcBorders>
          </w:tcPr>
          <w:p>
            <w:pPr>
              <w:pStyle w:val="TableParagraph"/>
              <w:spacing w:before="0"/>
              <w:jc w:val="left"/>
              <w:rPr>
                <w:rFonts w:ascii="宋体"/>
                <w:b/>
                <w:sz w:val="20"/>
              </w:rPr>
            </w:pPr>
          </w:p>
          <w:p>
            <w:pPr>
              <w:pStyle w:val="TableParagraph"/>
              <w:spacing w:before="148"/>
              <w:ind w:left="114"/>
              <w:jc w:val="left"/>
              <w:rPr>
                <w:rFonts w:ascii="宋体" w:eastAsia="宋体" w:hint="eastAsia"/>
                <w:sz w:val="21"/>
              </w:rPr>
            </w:pPr>
            <w:r>
              <w:rPr>
                <w:rFonts w:ascii="宋体" w:eastAsia="宋体" w:hint="eastAsia"/>
                <w:sz w:val="21"/>
              </w:rPr>
              <w:t>企业总排</w:t>
            </w:r>
          </w:p>
        </w:tc>
      </w:tr>
    </w:tbl>
    <w:p>
      <w:pPr>
        <w:spacing w:before="84"/>
        <w:ind w:left="3609" w:right="3608" w:firstLine="0"/>
        <w:jc w:val="center"/>
        <w:rPr>
          <w:b/>
          <w:sz w:val="24"/>
        </w:rPr>
      </w:pPr>
      <w:r>
        <w:rPr>
          <w:b/>
          <w:sz w:val="24"/>
        </w:rPr>
        <w:t>表 </w:t>
      </w:r>
      <w:r>
        <w:rPr>
          <w:rFonts w:ascii="Times New Roman" w:eastAsia="Times New Roman"/>
          <w:b/>
          <w:sz w:val="24"/>
        </w:rPr>
        <w:t>5.2-4  </w:t>
      </w:r>
      <w:r>
        <w:rPr>
          <w:b/>
          <w:sz w:val="24"/>
        </w:rPr>
        <w:t>废水间接排放口基本情况表</w:t>
      </w:r>
    </w:p>
    <w:p>
      <w:pPr>
        <w:pStyle w:val="BodyText"/>
        <w:spacing w:before="2"/>
        <w:ind w:left="0"/>
        <w:rPr>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4"/>
        <w:gridCol w:w="888"/>
        <w:gridCol w:w="1433"/>
        <w:gridCol w:w="1328"/>
        <w:gridCol w:w="1282"/>
        <w:gridCol w:w="1488"/>
        <w:gridCol w:w="1071"/>
        <w:gridCol w:w="855"/>
        <w:gridCol w:w="1328"/>
        <w:gridCol w:w="1465"/>
        <w:gridCol w:w="2398"/>
      </w:tblGrid>
      <w:tr>
        <w:trPr>
          <w:trHeight w:val="359" w:hRule="atLeast"/>
        </w:trPr>
        <w:tc>
          <w:tcPr>
            <w:tcW w:w="644" w:type="dxa"/>
            <w:vMerge w:val="restart"/>
            <w:tcBorders>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109"/>
              <w:jc w:val="left"/>
              <w:rPr>
                <w:rFonts w:ascii="宋体" w:eastAsia="宋体" w:hint="eastAsia"/>
                <w:b/>
                <w:sz w:val="21"/>
              </w:rPr>
            </w:pPr>
            <w:r>
              <w:rPr>
                <w:rFonts w:ascii="宋体" w:eastAsia="宋体" w:hint="eastAsia"/>
                <w:b/>
                <w:sz w:val="21"/>
              </w:rPr>
              <w:t>序号</w:t>
            </w:r>
          </w:p>
        </w:tc>
        <w:tc>
          <w:tcPr>
            <w:tcW w:w="888"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18"/>
              </w:rPr>
            </w:pPr>
          </w:p>
          <w:p>
            <w:pPr>
              <w:pStyle w:val="TableParagraph"/>
              <w:spacing w:line="319" w:lineRule="auto" w:before="0"/>
              <w:ind w:left="241" w:right="106" w:hanging="106"/>
              <w:jc w:val="left"/>
              <w:rPr>
                <w:rFonts w:ascii="宋体" w:eastAsia="宋体" w:hint="eastAsia"/>
                <w:b/>
                <w:sz w:val="21"/>
              </w:rPr>
            </w:pPr>
            <w:r>
              <w:rPr>
                <w:rFonts w:ascii="宋体" w:eastAsia="宋体" w:hint="eastAsia"/>
                <w:b/>
                <w:sz w:val="21"/>
              </w:rPr>
              <w:t>排放口编号</w:t>
            </w:r>
          </w:p>
        </w:tc>
        <w:tc>
          <w:tcPr>
            <w:tcW w:w="2761" w:type="dxa"/>
            <w:gridSpan w:val="2"/>
            <w:tcBorders>
              <w:left w:val="single" w:sz="4" w:space="0" w:color="000000"/>
              <w:bottom w:val="single" w:sz="4" w:space="0" w:color="000000"/>
              <w:right w:val="single" w:sz="4" w:space="0" w:color="000000"/>
            </w:tcBorders>
          </w:tcPr>
          <w:p>
            <w:pPr>
              <w:pStyle w:val="TableParagraph"/>
              <w:spacing w:before="46"/>
              <w:ind w:left="649"/>
              <w:jc w:val="left"/>
              <w:rPr>
                <w:rFonts w:ascii="宋体" w:eastAsia="宋体" w:hint="eastAsia"/>
                <w:b/>
                <w:sz w:val="21"/>
              </w:rPr>
            </w:pPr>
            <w:r>
              <w:rPr>
                <w:rFonts w:ascii="宋体" w:eastAsia="宋体" w:hint="eastAsia"/>
                <w:b/>
                <w:sz w:val="21"/>
              </w:rPr>
              <w:t>排放口地理坐标</w:t>
            </w:r>
          </w:p>
        </w:tc>
        <w:tc>
          <w:tcPr>
            <w:tcW w:w="1282"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18"/>
              </w:rPr>
            </w:pPr>
          </w:p>
          <w:p>
            <w:pPr>
              <w:pStyle w:val="TableParagraph"/>
              <w:spacing w:before="0"/>
              <w:ind w:left="121"/>
              <w:jc w:val="left"/>
              <w:rPr>
                <w:rFonts w:ascii="宋体" w:eastAsia="宋体" w:hint="eastAsia"/>
                <w:b/>
                <w:sz w:val="21"/>
              </w:rPr>
            </w:pPr>
            <w:r>
              <w:rPr>
                <w:rFonts w:ascii="宋体" w:eastAsia="宋体" w:hint="eastAsia"/>
                <w:b/>
                <w:sz w:val="21"/>
              </w:rPr>
              <w:t>废水排放量</w:t>
            </w:r>
          </w:p>
          <w:p>
            <w:pPr>
              <w:pStyle w:val="TableParagraph"/>
              <w:spacing w:before="89"/>
              <w:ind w:left="188"/>
              <w:jc w:val="left"/>
              <w:rPr>
                <w:rFonts w:ascii="宋体" w:eastAsia="宋体" w:hint="eastAsia"/>
                <w:b/>
                <w:sz w:val="21"/>
              </w:rPr>
            </w:pPr>
            <w:r>
              <w:rPr>
                <w:rFonts w:ascii="宋体" w:eastAsia="宋体" w:hint="eastAsia"/>
                <w:b/>
                <w:sz w:val="21"/>
              </w:rPr>
              <w:t>（</w:t>
            </w:r>
            <w:r>
              <w:rPr>
                <w:rFonts w:ascii="宋体" w:eastAsia="宋体" w:hint="eastAsia"/>
                <w:b/>
                <w:spacing w:val="-28"/>
                <w:sz w:val="21"/>
              </w:rPr>
              <w:t>万 </w:t>
            </w:r>
            <w:r>
              <w:rPr>
                <w:b/>
                <w:sz w:val="21"/>
              </w:rPr>
              <w:t>t/a</w:t>
            </w:r>
            <w:r>
              <w:rPr>
                <w:rFonts w:ascii="宋体" w:eastAsia="宋体" w:hint="eastAsia"/>
                <w:b/>
                <w:sz w:val="21"/>
              </w:rPr>
              <w:t>）</w:t>
            </w:r>
          </w:p>
        </w:tc>
        <w:tc>
          <w:tcPr>
            <w:tcW w:w="1488"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329"/>
              <w:jc w:val="left"/>
              <w:rPr>
                <w:rFonts w:ascii="宋体" w:eastAsia="宋体" w:hint="eastAsia"/>
                <w:b/>
                <w:sz w:val="21"/>
              </w:rPr>
            </w:pPr>
            <w:r>
              <w:rPr>
                <w:rFonts w:ascii="宋体" w:eastAsia="宋体" w:hint="eastAsia"/>
                <w:b/>
                <w:sz w:val="21"/>
              </w:rPr>
              <w:t>排放去向</w:t>
            </w:r>
          </w:p>
        </w:tc>
        <w:tc>
          <w:tcPr>
            <w:tcW w:w="1071"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152"/>
              <w:ind w:left="121"/>
              <w:jc w:val="left"/>
              <w:rPr>
                <w:rFonts w:ascii="宋体" w:eastAsia="宋体" w:hint="eastAsia"/>
                <w:b/>
                <w:sz w:val="21"/>
              </w:rPr>
            </w:pPr>
            <w:r>
              <w:rPr>
                <w:rFonts w:ascii="宋体" w:eastAsia="宋体" w:hint="eastAsia"/>
                <w:b/>
                <w:sz w:val="21"/>
              </w:rPr>
              <w:t>排放规律</w:t>
            </w:r>
          </w:p>
        </w:tc>
        <w:tc>
          <w:tcPr>
            <w:tcW w:w="855" w:type="dxa"/>
            <w:vMerge w:val="restart"/>
            <w:tcBorders>
              <w:left w:val="single" w:sz="4" w:space="0" w:color="000000"/>
              <w:bottom w:val="single" w:sz="4" w:space="0" w:color="000000"/>
              <w:right w:val="single" w:sz="4" w:space="0" w:color="000000"/>
            </w:tcBorders>
          </w:tcPr>
          <w:p>
            <w:pPr>
              <w:pStyle w:val="TableParagraph"/>
              <w:spacing w:before="0"/>
              <w:jc w:val="left"/>
              <w:rPr>
                <w:rFonts w:ascii="宋体"/>
                <w:b/>
                <w:sz w:val="18"/>
              </w:rPr>
            </w:pPr>
          </w:p>
          <w:p>
            <w:pPr>
              <w:pStyle w:val="TableParagraph"/>
              <w:spacing w:line="319" w:lineRule="auto" w:before="0"/>
              <w:ind w:left="118" w:right="92"/>
              <w:jc w:val="left"/>
              <w:rPr>
                <w:rFonts w:ascii="宋体" w:eastAsia="宋体" w:hint="eastAsia"/>
                <w:b/>
                <w:sz w:val="21"/>
              </w:rPr>
            </w:pPr>
            <w:r>
              <w:rPr>
                <w:rFonts w:ascii="宋体" w:eastAsia="宋体" w:hint="eastAsia"/>
                <w:b/>
                <w:sz w:val="21"/>
              </w:rPr>
              <w:t>间歇排放时段</w:t>
            </w:r>
          </w:p>
        </w:tc>
        <w:tc>
          <w:tcPr>
            <w:tcW w:w="5191" w:type="dxa"/>
            <w:gridSpan w:val="3"/>
            <w:tcBorders>
              <w:left w:val="single" w:sz="4" w:space="0" w:color="000000"/>
              <w:bottom w:val="single" w:sz="4" w:space="0" w:color="000000"/>
            </w:tcBorders>
          </w:tcPr>
          <w:p>
            <w:pPr>
              <w:pStyle w:val="TableParagraph"/>
              <w:spacing w:before="46"/>
              <w:ind w:left="1651"/>
              <w:jc w:val="left"/>
              <w:rPr>
                <w:rFonts w:ascii="宋体" w:eastAsia="宋体" w:hint="eastAsia"/>
                <w:b/>
                <w:sz w:val="21"/>
              </w:rPr>
            </w:pPr>
            <w:r>
              <w:rPr>
                <w:rFonts w:ascii="宋体" w:eastAsia="宋体" w:hint="eastAsia"/>
                <w:b/>
                <w:sz w:val="21"/>
              </w:rPr>
              <w:t>受纳污水处理厂信息</w:t>
            </w:r>
          </w:p>
        </w:tc>
      </w:tr>
      <w:tr>
        <w:trPr>
          <w:trHeight w:val="717" w:hRule="atLeast"/>
        </w:trPr>
        <w:tc>
          <w:tcPr>
            <w:tcW w:w="644" w:type="dxa"/>
            <w:vMerge/>
            <w:tcBorders>
              <w:top w:val="nil"/>
              <w:bottom w:val="single" w:sz="4" w:space="0" w:color="000000"/>
              <w:right w:val="single" w:sz="4" w:space="0" w:color="000000"/>
            </w:tcBorders>
          </w:tcPr>
          <w:p>
            <w:pPr>
              <w:rPr>
                <w:sz w:val="2"/>
                <w:szCs w:val="2"/>
              </w:rPr>
            </w:pPr>
          </w:p>
        </w:tc>
        <w:tc>
          <w:tcPr>
            <w:tcW w:w="888" w:type="dxa"/>
            <w:vMerge/>
            <w:tcBorders>
              <w:top w:val="nil"/>
              <w:left w:val="single" w:sz="4" w:space="0" w:color="000000"/>
              <w:bottom w:val="single" w:sz="4" w:space="0" w:color="000000"/>
              <w:right w:val="single" w:sz="4" w:space="0" w:color="000000"/>
            </w:tcBorders>
          </w:tcPr>
          <w:p>
            <w:pPr>
              <w:rPr>
                <w:sz w:val="2"/>
                <w:szCs w:val="2"/>
              </w:rPr>
            </w:pPr>
          </w:p>
        </w:tc>
        <w:tc>
          <w:tcPr>
            <w:tcW w:w="1433"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39" w:right="114"/>
              <w:rPr>
                <w:rFonts w:ascii="宋体" w:eastAsia="宋体" w:hint="eastAsia"/>
                <w:b/>
                <w:sz w:val="21"/>
              </w:rPr>
            </w:pPr>
            <w:r>
              <w:rPr>
                <w:rFonts w:ascii="宋体" w:eastAsia="宋体" w:hint="eastAsia"/>
                <w:b/>
                <w:sz w:val="21"/>
              </w:rPr>
              <w:t>经度</w:t>
            </w: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20" w:right="96"/>
              <w:rPr>
                <w:rFonts w:ascii="宋体" w:eastAsia="宋体" w:hint="eastAsia"/>
                <w:b/>
                <w:sz w:val="21"/>
              </w:rPr>
            </w:pPr>
            <w:r>
              <w:rPr>
                <w:rFonts w:ascii="宋体" w:eastAsia="宋体" w:hint="eastAsia"/>
                <w:b/>
                <w:sz w:val="21"/>
              </w:rPr>
              <w:t>纬度</w:t>
            </w:r>
          </w:p>
        </w:tc>
        <w:tc>
          <w:tcPr>
            <w:tcW w:w="1282" w:type="dxa"/>
            <w:vMerge/>
            <w:tcBorders>
              <w:top w:val="nil"/>
              <w:left w:val="single" w:sz="4" w:space="0" w:color="000000"/>
              <w:bottom w:val="single" w:sz="4" w:space="0" w:color="000000"/>
              <w:right w:val="single" w:sz="4" w:space="0" w:color="000000"/>
            </w:tcBorders>
          </w:tcPr>
          <w:p>
            <w:pPr>
              <w:rPr>
                <w:sz w:val="2"/>
                <w:szCs w:val="2"/>
              </w:rPr>
            </w:pPr>
          </w:p>
        </w:tc>
        <w:tc>
          <w:tcPr>
            <w:tcW w:w="1488" w:type="dxa"/>
            <w:vMerge/>
            <w:tcBorders>
              <w:top w:val="nil"/>
              <w:left w:val="single" w:sz="4" w:space="0" w:color="000000"/>
              <w:bottom w:val="single" w:sz="4" w:space="0" w:color="000000"/>
              <w:right w:val="single" w:sz="4" w:space="0" w:color="000000"/>
            </w:tcBorders>
          </w:tcPr>
          <w:p>
            <w:pPr>
              <w:rPr>
                <w:sz w:val="2"/>
                <w:szCs w:val="2"/>
              </w:rPr>
            </w:pPr>
          </w:p>
        </w:tc>
        <w:tc>
          <w:tcPr>
            <w:tcW w:w="1071" w:type="dxa"/>
            <w:vMerge/>
            <w:tcBorders>
              <w:top w:val="nil"/>
              <w:left w:val="single" w:sz="4" w:space="0" w:color="000000"/>
              <w:bottom w:val="single" w:sz="4" w:space="0" w:color="000000"/>
              <w:right w:val="single" w:sz="4" w:space="0" w:color="000000"/>
            </w:tcBorders>
          </w:tcPr>
          <w:p>
            <w:pPr>
              <w:rPr>
                <w:sz w:val="2"/>
                <w:szCs w:val="2"/>
              </w:rPr>
            </w:pPr>
          </w:p>
        </w:tc>
        <w:tc>
          <w:tcPr>
            <w:tcW w:w="855" w:type="dxa"/>
            <w:vMerge/>
            <w:tcBorders>
              <w:top w:val="nil"/>
              <w:left w:val="single" w:sz="4" w:space="0" w:color="000000"/>
              <w:bottom w:val="single" w:sz="4" w:space="0" w:color="000000"/>
              <w:right w:val="single" w:sz="4" w:space="0" w:color="000000"/>
            </w:tcBorders>
          </w:tcPr>
          <w:p>
            <w:pPr>
              <w:rPr>
                <w:sz w:val="2"/>
                <w:szCs w:val="2"/>
              </w:rPr>
            </w:pPr>
          </w:p>
        </w:tc>
        <w:tc>
          <w:tcPr>
            <w:tcW w:w="1328"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458"/>
              <w:jc w:val="left"/>
              <w:rPr>
                <w:rFonts w:ascii="宋体" w:eastAsia="宋体" w:hint="eastAsia"/>
                <w:b/>
                <w:sz w:val="21"/>
              </w:rPr>
            </w:pPr>
            <w:r>
              <w:rPr>
                <w:rFonts w:ascii="宋体" w:eastAsia="宋体" w:hint="eastAsia"/>
                <w:b/>
                <w:sz w:val="21"/>
              </w:rPr>
              <w:t>名称</w:t>
            </w:r>
          </w:p>
        </w:tc>
        <w:tc>
          <w:tcPr>
            <w:tcW w:w="1465"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210"/>
              <w:jc w:val="left"/>
              <w:rPr>
                <w:rFonts w:ascii="宋体" w:eastAsia="宋体" w:hint="eastAsia"/>
                <w:b/>
                <w:sz w:val="21"/>
              </w:rPr>
            </w:pPr>
            <w:r>
              <w:rPr>
                <w:rFonts w:ascii="宋体" w:eastAsia="宋体" w:hint="eastAsia"/>
                <w:b/>
                <w:sz w:val="21"/>
              </w:rPr>
              <w:t>污染物种类</w:t>
            </w:r>
          </w:p>
        </w:tc>
        <w:tc>
          <w:tcPr>
            <w:tcW w:w="2398" w:type="dxa"/>
            <w:tcBorders>
              <w:top w:val="single" w:sz="4" w:space="0" w:color="000000"/>
              <w:left w:val="single" w:sz="4" w:space="0" w:color="000000"/>
              <w:bottom w:val="single" w:sz="4" w:space="0" w:color="000000"/>
            </w:tcBorders>
          </w:tcPr>
          <w:p>
            <w:pPr>
              <w:pStyle w:val="TableParagraph"/>
              <w:spacing w:before="44"/>
              <w:ind w:left="101" w:right="67"/>
              <w:rPr>
                <w:rFonts w:ascii="宋体" w:eastAsia="宋体" w:hint="eastAsia"/>
                <w:b/>
                <w:sz w:val="21"/>
              </w:rPr>
            </w:pPr>
            <w:r>
              <w:rPr>
                <w:rFonts w:ascii="宋体" w:eastAsia="宋体" w:hint="eastAsia"/>
                <w:b/>
                <w:sz w:val="21"/>
              </w:rPr>
              <w:t>国家或地方污染物</w:t>
            </w:r>
          </w:p>
          <w:p>
            <w:pPr>
              <w:pStyle w:val="TableParagraph"/>
              <w:spacing w:before="91"/>
              <w:ind w:left="101" w:right="72"/>
              <w:rPr>
                <w:rFonts w:ascii="宋体" w:eastAsia="宋体" w:hint="eastAsia"/>
                <w:b/>
                <w:sz w:val="21"/>
              </w:rPr>
            </w:pPr>
            <w:r>
              <w:rPr>
                <w:rFonts w:ascii="宋体" w:eastAsia="宋体" w:hint="eastAsia"/>
                <w:b/>
                <w:sz w:val="21"/>
              </w:rPr>
              <w:t>排放标准浓度（</w:t>
            </w:r>
            <w:r>
              <w:rPr>
                <w:b/>
                <w:sz w:val="21"/>
              </w:rPr>
              <w:t>mg/L</w:t>
            </w:r>
            <w:r>
              <w:rPr>
                <w:rFonts w:ascii="宋体" w:eastAsia="宋体" w:hint="eastAsia"/>
                <w:b/>
                <w:sz w:val="21"/>
              </w:rPr>
              <w:t>）</w:t>
            </w:r>
          </w:p>
        </w:tc>
      </w:tr>
      <w:tr>
        <w:trPr>
          <w:trHeight w:val="716" w:hRule="atLeast"/>
        </w:trPr>
        <w:tc>
          <w:tcPr>
            <w:tcW w:w="644" w:type="dxa"/>
            <w:tcBorders>
              <w:top w:val="single" w:sz="4" w:space="0" w:color="000000"/>
              <w:right w:val="single" w:sz="4" w:space="0" w:color="000000"/>
            </w:tcBorders>
          </w:tcPr>
          <w:p>
            <w:pPr>
              <w:pStyle w:val="TableParagraph"/>
              <w:spacing w:before="7"/>
              <w:jc w:val="left"/>
              <w:rPr>
                <w:rFonts w:ascii="宋体"/>
                <w:b/>
                <w:sz w:val="18"/>
              </w:rPr>
            </w:pPr>
          </w:p>
          <w:p>
            <w:pPr>
              <w:pStyle w:val="TableParagraph"/>
              <w:spacing w:before="0"/>
              <w:ind w:left="18"/>
              <w:rPr>
                <w:sz w:val="21"/>
              </w:rPr>
            </w:pPr>
            <w:r>
              <w:rPr>
                <w:w w:val="100"/>
                <w:sz w:val="21"/>
              </w:rPr>
              <w:t>1</w:t>
            </w:r>
          </w:p>
        </w:tc>
        <w:tc>
          <w:tcPr>
            <w:tcW w:w="888" w:type="dxa"/>
            <w:tcBorders>
              <w:top w:val="single" w:sz="4" w:space="0" w:color="000000"/>
              <w:left w:val="single" w:sz="4" w:space="0" w:color="000000"/>
              <w:right w:val="single" w:sz="4" w:space="0" w:color="000000"/>
            </w:tcBorders>
          </w:tcPr>
          <w:p>
            <w:pPr>
              <w:pStyle w:val="TableParagraph"/>
              <w:spacing w:before="7"/>
              <w:jc w:val="left"/>
              <w:rPr>
                <w:rFonts w:ascii="宋体"/>
                <w:b/>
                <w:sz w:val="18"/>
              </w:rPr>
            </w:pPr>
          </w:p>
          <w:p>
            <w:pPr>
              <w:pStyle w:val="TableParagraph"/>
              <w:spacing w:before="0"/>
              <w:ind w:left="119"/>
              <w:jc w:val="left"/>
              <w:rPr>
                <w:sz w:val="21"/>
              </w:rPr>
            </w:pPr>
            <w:r>
              <w:rPr>
                <w:sz w:val="21"/>
              </w:rPr>
              <w:t>DW001</w:t>
            </w:r>
          </w:p>
        </w:tc>
        <w:tc>
          <w:tcPr>
            <w:tcW w:w="1433" w:type="dxa"/>
            <w:tcBorders>
              <w:top w:val="single" w:sz="4" w:space="0" w:color="000000"/>
              <w:left w:val="single" w:sz="4" w:space="0" w:color="000000"/>
              <w:right w:val="single" w:sz="4" w:space="0" w:color="000000"/>
            </w:tcBorders>
          </w:tcPr>
          <w:p>
            <w:pPr>
              <w:pStyle w:val="TableParagraph"/>
              <w:spacing w:before="7"/>
              <w:jc w:val="left"/>
              <w:rPr>
                <w:rFonts w:ascii="宋体"/>
                <w:b/>
                <w:sz w:val="18"/>
              </w:rPr>
            </w:pPr>
          </w:p>
          <w:p>
            <w:pPr>
              <w:pStyle w:val="TableParagraph"/>
              <w:spacing w:before="0"/>
              <w:ind w:left="143" w:right="114"/>
              <w:rPr>
                <w:sz w:val="21"/>
              </w:rPr>
            </w:pPr>
            <w:r>
              <w:rPr>
                <w:sz w:val="21"/>
              </w:rPr>
              <w:t>120.459442E</w:t>
            </w:r>
          </w:p>
        </w:tc>
        <w:tc>
          <w:tcPr>
            <w:tcW w:w="1328" w:type="dxa"/>
            <w:tcBorders>
              <w:top w:val="single" w:sz="4" w:space="0" w:color="000000"/>
              <w:left w:val="single" w:sz="4" w:space="0" w:color="000000"/>
              <w:right w:val="single" w:sz="4" w:space="0" w:color="000000"/>
            </w:tcBorders>
          </w:tcPr>
          <w:p>
            <w:pPr>
              <w:pStyle w:val="TableParagraph"/>
              <w:spacing w:before="7"/>
              <w:jc w:val="left"/>
              <w:rPr>
                <w:rFonts w:ascii="宋体"/>
                <w:b/>
                <w:sz w:val="18"/>
              </w:rPr>
            </w:pPr>
          </w:p>
          <w:p>
            <w:pPr>
              <w:pStyle w:val="TableParagraph"/>
              <w:spacing w:before="0"/>
              <w:ind w:left="124" w:right="96"/>
              <w:rPr>
                <w:sz w:val="21"/>
              </w:rPr>
            </w:pPr>
            <w:r>
              <w:rPr>
                <w:sz w:val="21"/>
              </w:rPr>
              <w:t>30.009867N</w:t>
            </w:r>
          </w:p>
        </w:tc>
        <w:tc>
          <w:tcPr>
            <w:tcW w:w="1282" w:type="dxa"/>
            <w:tcBorders>
              <w:top w:val="single" w:sz="4" w:space="0" w:color="000000"/>
              <w:left w:val="single" w:sz="4" w:space="0" w:color="000000"/>
              <w:right w:val="single" w:sz="4" w:space="0" w:color="000000"/>
            </w:tcBorders>
          </w:tcPr>
          <w:p>
            <w:pPr>
              <w:pStyle w:val="TableParagraph"/>
              <w:spacing w:before="7"/>
              <w:jc w:val="left"/>
              <w:rPr>
                <w:rFonts w:ascii="宋体"/>
                <w:b/>
                <w:sz w:val="18"/>
              </w:rPr>
            </w:pPr>
          </w:p>
          <w:p>
            <w:pPr>
              <w:pStyle w:val="TableParagraph"/>
              <w:spacing w:before="0"/>
              <w:ind w:left="411"/>
              <w:jc w:val="left"/>
              <w:rPr>
                <w:sz w:val="21"/>
              </w:rPr>
            </w:pPr>
            <w:r>
              <w:rPr>
                <w:sz w:val="21"/>
              </w:rPr>
              <w:t>13.33</w:t>
            </w:r>
          </w:p>
        </w:tc>
        <w:tc>
          <w:tcPr>
            <w:tcW w:w="1488" w:type="dxa"/>
            <w:tcBorders>
              <w:top w:val="single" w:sz="4" w:space="0" w:color="000000"/>
              <w:left w:val="single" w:sz="4" w:space="0" w:color="000000"/>
              <w:right w:val="single" w:sz="4" w:space="0" w:color="000000"/>
            </w:tcBorders>
          </w:tcPr>
          <w:p>
            <w:pPr>
              <w:pStyle w:val="TableParagraph"/>
              <w:spacing w:before="46"/>
              <w:ind w:left="102" w:right="76"/>
              <w:rPr>
                <w:rFonts w:ascii="宋体" w:eastAsia="宋体" w:hint="eastAsia"/>
                <w:sz w:val="21"/>
              </w:rPr>
            </w:pPr>
            <w:r>
              <w:rPr>
                <w:rFonts w:ascii="宋体" w:eastAsia="宋体" w:hint="eastAsia"/>
                <w:sz w:val="21"/>
              </w:rPr>
              <w:t>纳入市政污水</w:t>
            </w:r>
          </w:p>
          <w:p>
            <w:pPr>
              <w:pStyle w:val="TableParagraph"/>
              <w:spacing w:before="89"/>
              <w:ind w:left="102" w:right="76"/>
              <w:rPr>
                <w:rFonts w:ascii="宋体" w:eastAsia="宋体" w:hint="eastAsia"/>
                <w:sz w:val="21"/>
              </w:rPr>
            </w:pPr>
            <w:r>
              <w:rPr>
                <w:rFonts w:ascii="宋体" w:eastAsia="宋体" w:hint="eastAsia"/>
                <w:sz w:val="21"/>
              </w:rPr>
              <w:t>管网</w:t>
            </w:r>
          </w:p>
        </w:tc>
        <w:tc>
          <w:tcPr>
            <w:tcW w:w="1071" w:type="dxa"/>
            <w:tcBorders>
              <w:top w:val="single" w:sz="4"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332"/>
              <w:jc w:val="left"/>
              <w:rPr>
                <w:rFonts w:ascii="宋体" w:eastAsia="宋体" w:hint="eastAsia"/>
                <w:sz w:val="21"/>
              </w:rPr>
            </w:pPr>
            <w:r>
              <w:rPr>
                <w:rFonts w:ascii="宋体" w:eastAsia="宋体" w:hint="eastAsia"/>
                <w:sz w:val="21"/>
              </w:rPr>
              <w:t>间歇</w:t>
            </w:r>
          </w:p>
        </w:tc>
        <w:tc>
          <w:tcPr>
            <w:tcW w:w="855" w:type="dxa"/>
            <w:tcBorders>
              <w:top w:val="single" w:sz="4"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20"/>
              <w:jc w:val="left"/>
              <w:rPr>
                <w:rFonts w:ascii="宋体" w:eastAsia="宋体" w:hint="eastAsia"/>
                <w:sz w:val="21"/>
              </w:rPr>
            </w:pPr>
            <w:r>
              <w:rPr>
                <w:rFonts w:ascii="宋体" w:eastAsia="宋体" w:hint="eastAsia"/>
                <w:sz w:val="21"/>
              </w:rPr>
              <w:t>无规律</w:t>
            </w:r>
          </w:p>
        </w:tc>
        <w:tc>
          <w:tcPr>
            <w:tcW w:w="1328" w:type="dxa"/>
            <w:tcBorders>
              <w:top w:val="single" w:sz="4" w:space="0" w:color="000000"/>
              <w:left w:val="single" w:sz="4" w:space="0" w:color="000000"/>
              <w:right w:val="single" w:sz="4" w:space="0" w:color="000000"/>
            </w:tcBorders>
          </w:tcPr>
          <w:p>
            <w:pPr>
              <w:pStyle w:val="TableParagraph"/>
              <w:spacing w:before="46"/>
              <w:ind w:left="120" w:right="96"/>
              <w:rPr>
                <w:rFonts w:ascii="宋体" w:eastAsia="宋体" w:hint="eastAsia"/>
                <w:sz w:val="21"/>
              </w:rPr>
            </w:pPr>
            <w:r>
              <w:rPr>
                <w:rFonts w:ascii="宋体" w:eastAsia="宋体" w:hint="eastAsia"/>
                <w:sz w:val="21"/>
              </w:rPr>
              <w:t>绍兴市污水</w:t>
            </w:r>
          </w:p>
          <w:p>
            <w:pPr>
              <w:pStyle w:val="TableParagraph"/>
              <w:spacing w:before="89"/>
              <w:ind w:left="122" w:right="96"/>
              <w:rPr>
                <w:rFonts w:ascii="宋体" w:eastAsia="宋体" w:hint="eastAsia"/>
                <w:sz w:val="21"/>
              </w:rPr>
            </w:pPr>
            <w:r>
              <w:rPr>
                <w:rFonts w:ascii="宋体" w:eastAsia="宋体" w:hint="eastAsia"/>
                <w:sz w:val="21"/>
              </w:rPr>
              <w:t>处理厂</w:t>
            </w:r>
          </w:p>
        </w:tc>
        <w:tc>
          <w:tcPr>
            <w:tcW w:w="1465" w:type="dxa"/>
            <w:tcBorders>
              <w:top w:val="single" w:sz="4" w:space="0" w:color="000000"/>
              <w:left w:val="single" w:sz="4" w:space="0" w:color="000000"/>
              <w:right w:val="single" w:sz="4" w:space="0" w:color="000000"/>
            </w:tcBorders>
          </w:tcPr>
          <w:p>
            <w:pPr>
              <w:pStyle w:val="TableParagraph"/>
              <w:spacing w:before="46"/>
              <w:ind w:left="114"/>
              <w:jc w:val="left"/>
              <w:rPr>
                <w:rFonts w:ascii="宋体" w:eastAsia="宋体" w:hint="eastAsia"/>
                <w:sz w:val="21"/>
              </w:rPr>
            </w:pPr>
            <w:r>
              <w:rPr>
                <w:spacing w:val="-1"/>
                <w:sz w:val="21"/>
              </w:rPr>
              <w:t>COD</w:t>
            </w:r>
            <w:r>
              <w:rPr>
                <w:rFonts w:ascii="宋体" w:eastAsia="宋体" w:hint="eastAsia"/>
                <w:spacing w:val="-2"/>
                <w:sz w:val="21"/>
              </w:rPr>
              <w:t>、氨氮、</w:t>
            </w:r>
          </w:p>
          <w:p>
            <w:pPr>
              <w:pStyle w:val="TableParagraph"/>
              <w:spacing w:before="89"/>
              <w:ind w:left="114"/>
              <w:jc w:val="left"/>
              <w:rPr>
                <w:rFonts w:ascii="宋体" w:eastAsia="宋体" w:hint="eastAsia"/>
                <w:sz w:val="21"/>
              </w:rPr>
            </w:pPr>
            <w:r>
              <w:rPr>
                <w:rFonts w:ascii="宋体" w:eastAsia="宋体" w:hint="eastAsia"/>
                <w:spacing w:val="-5"/>
                <w:sz w:val="21"/>
              </w:rPr>
              <w:t>总氮、总磷等</w:t>
            </w:r>
          </w:p>
        </w:tc>
        <w:tc>
          <w:tcPr>
            <w:tcW w:w="2398" w:type="dxa"/>
            <w:tcBorders>
              <w:top w:val="single" w:sz="4" w:space="0" w:color="000000"/>
              <w:left w:val="single" w:sz="4" w:space="0" w:color="000000"/>
            </w:tcBorders>
          </w:tcPr>
          <w:p>
            <w:pPr>
              <w:pStyle w:val="TableParagraph"/>
              <w:spacing w:before="6"/>
              <w:jc w:val="left"/>
              <w:rPr>
                <w:rFonts w:ascii="宋体"/>
                <w:b/>
                <w:sz w:val="17"/>
              </w:rPr>
            </w:pPr>
          </w:p>
          <w:p>
            <w:pPr>
              <w:pStyle w:val="TableParagraph"/>
              <w:spacing w:before="0"/>
              <w:ind w:left="644"/>
              <w:jc w:val="left"/>
              <w:rPr>
                <w:sz w:val="21"/>
              </w:rPr>
            </w:pPr>
            <w:r>
              <w:rPr>
                <w:rFonts w:ascii="宋体" w:eastAsia="宋体" w:hint="eastAsia"/>
                <w:sz w:val="21"/>
              </w:rPr>
              <w:t>详见表 </w:t>
            </w:r>
            <w:r>
              <w:rPr>
                <w:sz w:val="21"/>
              </w:rPr>
              <w:t>2.3-7</w:t>
            </w:r>
          </w:p>
        </w:tc>
      </w:tr>
    </w:tbl>
    <w:p>
      <w:pPr>
        <w:spacing w:after="0"/>
        <w:jc w:val="left"/>
        <w:rPr>
          <w:sz w:val="21"/>
        </w:rPr>
        <w:sectPr>
          <w:headerReference w:type="default" r:id="rId67"/>
          <w:footerReference w:type="default" r:id="rId68"/>
          <w:pgSz w:w="16840" w:h="11910" w:orient="landscape"/>
          <w:pgMar w:header="0" w:footer="1004" w:top="780" w:bottom="1200" w:left="1200" w:right="1200"/>
        </w:sectPr>
      </w:pPr>
    </w:p>
    <w:p>
      <w:pPr>
        <w:pStyle w:val="ListParagraph"/>
        <w:numPr>
          <w:ilvl w:val="2"/>
          <w:numId w:val="64"/>
        </w:numPr>
        <w:tabs>
          <w:tab w:pos="718" w:val="left" w:leader="none"/>
        </w:tabs>
        <w:spacing w:line="240" w:lineRule="auto" w:before="64" w:after="0"/>
        <w:ind w:left="717" w:right="0" w:hanging="601"/>
        <w:jc w:val="left"/>
        <w:rPr>
          <w:b/>
          <w:sz w:val="24"/>
        </w:rPr>
      </w:pPr>
      <w:bookmarkStart w:name="_bookmark87" w:id="168"/>
      <w:bookmarkEnd w:id="168"/>
      <w:r>
        <w:rPr/>
      </w:r>
      <w:bookmarkStart w:name="_bookmark87" w:id="169"/>
      <w:bookmarkEnd w:id="169"/>
      <w:r>
        <w:rPr>
          <w:b/>
          <w:sz w:val="24"/>
        </w:rPr>
        <w:t>地下水环境影响预测与评价</w:t>
      </w:r>
    </w:p>
    <w:p>
      <w:pPr>
        <w:spacing w:before="160"/>
        <w:ind w:left="599" w:right="0" w:firstLine="0"/>
        <w:jc w:val="left"/>
        <w:rPr>
          <w:b/>
          <w:sz w:val="24"/>
        </w:rPr>
      </w:pPr>
      <w:r>
        <w:rPr>
          <w:rFonts w:ascii="Times New Roman" w:eastAsia="Times New Roman"/>
          <w:b/>
          <w:sz w:val="24"/>
        </w:rPr>
        <w:t>1</w:t>
      </w:r>
      <w:r>
        <w:rPr>
          <w:b/>
          <w:sz w:val="24"/>
        </w:rPr>
        <w:t>、区域水文地质特征概况</w:t>
      </w:r>
    </w:p>
    <w:p>
      <w:pPr>
        <w:pStyle w:val="ListParagraph"/>
        <w:numPr>
          <w:ilvl w:val="0"/>
          <w:numId w:val="65"/>
        </w:numPr>
        <w:tabs>
          <w:tab w:pos="1203" w:val="left" w:leader="none"/>
        </w:tabs>
        <w:spacing w:line="240" w:lineRule="auto" w:before="161" w:after="0"/>
        <w:ind w:left="1203" w:right="0" w:hanging="604"/>
        <w:jc w:val="left"/>
        <w:rPr>
          <w:b/>
          <w:sz w:val="24"/>
        </w:rPr>
      </w:pPr>
      <w:r>
        <w:rPr>
          <w:b/>
          <w:sz w:val="24"/>
        </w:rPr>
        <w:t>地层</w:t>
      </w:r>
    </w:p>
    <w:p>
      <w:pPr>
        <w:pStyle w:val="BodyText"/>
        <w:spacing w:line="364" w:lineRule="auto" w:before="160"/>
        <w:ind w:left="117" w:right="111" w:firstLine="480"/>
      </w:pPr>
      <w:r>
        <w:rPr/>
        <w:t>绍兴市境位于扬子准地台和华南褶皱系的过渡区。地层发育，岩浆活动频繁。自元古代以来，历经多次岩浆活动和海陆相沉积，剧烈的岩浆喷发和岩浆侵入作用，形成了大量的火山岩和侵入岩，构成了岩石类型的主体。因受多次构造运动影响，有绍兴</w:t>
      </w:r>
      <w:r>
        <w:rPr>
          <w:rFonts w:ascii="Times New Roman" w:hAnsi="Times New Roman" w:eastAsia="Times New Roman"/>
        </w:rPr>
        <w:t>—</w:t>
      </w:r>
      <w:r>
        <w:rPr/>
        <w:t>江</w:t>
      </w:r>
      <w:r>
        <w:rPr>
          <w:spacing w:val="-3"/>
        </w:rPr>
        <w:t>山、上虞</w:t>
      </w:r>
      <w:r>
        <w:rPr>
          <w:rFonts w:ascii="Times New Roman" w:hAnsi="Times New Roman" w:eastAsia="Times New Roman"/>
        </w:rPr>
        <w:t>—</w:t>
      </w:r>
      <w:r>
        <w:rPr>
          <w:spacing w:val="-3"/>
        </w:rPr>
        <w:t>丽水等深大断裂通过，造成境内地质构造复杂。其主要构造运动和构造形变， 控制了境内的主要地貌轮廓，对境内岩浆活动、沉积作用及成矿作用等都产生极大影响。</w:t>
      </w:r>
    </w:p>
    <w:p>
      <w:pPr>
        <w:pStyle w:val="BodyText"/>
        <w:spacing w:line="364" w:lineRule="auto" w:before="4"/>
        <w:ind w:left="117" w:right="229" w:firstLine="480"/>
        <w:jc w:val="both"/>
      </w:pPr>
      <w:r>
        <w:rPr/>
        <w:t>境内出露地层，以纵贯绍兴平水至诸暨璜山一线的北东向深断裂</w:t>
      </w:r>
      <w:r>
        <w:rPr>
          <w:rFonts w:ascii="Times New Roman" w:hAnsi="Times New Roman" w:eastAsia="Times New Roman"/>
        </w:rPr>
        <w:t>——</w:t>
      </w:r>
      <w:r>
        <w:rPr/>
        <w:t>江山至绍兴深断裂带为分界，分属江南（西北区）和华南</w:t>
      </w:r>
      <w:r>
        <w:rPr>
          <w:spacing w:val="4"/>
        </w:rPr>
        <w:t>（</w:t>
      </w:r>
      <w:r>
        <w:rPr/>
        <w:t>东南区）两个地层区。西北区自中元古界至新生界第四系地层发育较齐全，有大量沉积岩地层出现；东南区以中生界和新生界地层为主，火成岩发育，地层缺失较多。</w:t>
      </w:r>
      <w:r>
        <w:rPr>
          <w:position w:val="-4"/>
        </w:rPr>
        <w:drawing>
          <wp:inline distT="0" distB="0" distL="0" distR="0">
            <wp:extent cx="237744" cy="169163"/>
            <wp:effectExtent l="0" t="0" r="0" b="0"/>
            <wp:docPr id="9" name="image41.png"/>
            <wp:cNvGraphicFramePr>
              <a:graphicFrameLocks noChangeAspect="1"/>
            </wp:cNvGraphicFramePr>
            <a:graphic>
              <a:graphicData uri="http://schemas.openxmlformats.org/drawingml/2006/picture">
                <pic:pic>
                  <pic:nvPicPr>
                    <pic:cNvPr id="10" name="image41.png"/>
                    <pic:cNvPicPr/>
                  </pic:nvPicPr>
                  <pic:blipFill>
                    <a:blip r:embed="rId71" cstate="print"/>
                    <a:stretch>
                      <a:fillRect/>
                    </a:stretch>
                  </pic:blipFill>
                  <pic:spPr>
                    <a:xfrm>
                      <a:off x="0" y="0"/>
                      <a:ext cx="237744" cy="169163"/>
                    </a:xfrm>
                    <a:prstGeom prst="rect">
                      <a:avLst/>
                    </a:prstGeom>
                  </pic:spPr>
                </pic:pic>
              </a:graphicData>
            </a:graphic>
          </wp:inline>
        </w:drawing>
      </w:r>
      <w:r>
        <w:rPr>
          <w:position w:val="-4"/>
        </w:rPr>
      </w:r>
    </w:p>
    <w:p>
      <w:pPr>
        <w:pStyle w:val="Heading3"/>
        <w:numPr>
          <w:ilvl w:val="0"/>
          <w:numId w:val="65"/>
        </w:numPr>
        <w:tabs>
          <w:tab w:pos="1203" w:val="left" w:leader="none"/>
        </w:tabs>
        <w:spacing w:line="240" w:lineRule="auto" w:before="2" w:after="0"/>
        <w:ind w:left="1203" w:right="0" w:hanging="604"/>
        <w:jc w:val="left"/>
      </w:pPr>
      <w:r>
        <w:rPr/>
        <w:t>地质构造</w:t>
      </w:r>
    </w:p>
    <w:p>
      <w:pPr>
        <w:pStyle w:val="BodyText"/>
        <w:spacing w:line="364" w:lineRule="auto" w:before="161"/>
        <w:ind w:left="117" w:right="109" w:firstLine="480"/>
      </w:pPr>
      <w:r>
        <w:rPr/>
        <w:t>基底褶皱，西北区为晋宁期回返形成的基底，属扬子准地台范畴，为北东向的宽缓型褶皱构造；东南区为加里东期褶皱回返形成的基底，属华南褶皱系范畴，为以北东向</w:t>
      </w:r>
      <w:r>
        <w:rPr>
          <w:spacing w:val="-4"/>
        </w:rPr>
        <w:t>为主体的紧闭线型褶皱。地台盖层褶皱，西北区经历了加里东和印支两次构造运动影响， </w:t>
      </w:r>
      <w:r>
        <w:rPr/>
        <w:t>加里东期形成以北东向为主体的大型宽缓褶皱，受印支运动的强化作用，在加里东期构</w:t>
      </w:r>
      <w:r>
        <w:rPr>
          <w:spacing w:val="-7"/>
        </w:rPr>
        <w:t>造层上形成紧密线型褶皱，如江山</w:t>
      </w:r>
      <w:r>
        <w:rPr>
          <w:rFonts w:ascii="Times New Roman" w:hAnsi="Times New Roman" w:eastAsia="Times New Roman"/>
        </w:rPr>
        <w:t>—</w:t>
      </w:r>
      <w:r>
        <w:rPr>
          <w:spacing w:val="-11"/>
        </w:rPr>
        <w:t>诸暨的复式向斜。东南部整体呈北东 </w:t>
      </w:r>
      <w:r>
        <w:rPr>
          <w:rFonts w:ascii="Times New Roman" w:hAnsi="Times New Roman" w:eastAsia="Times New Roman"/>
        </w:rPr>
        <w:t>55 </w:t>
      </w:r>
      <w:r>
        <w:rPr>
          <w:spacing w:val="-3"/>
        </w:rPr>
        <w:t>度方向延伸， </w:t>
      </w:r>
      <w:r>
        <w:rPr/>
        <w:t>以紧密线型褶皱构造为特征。</w:t>
      </w:r>
      <w:r>
        <w:rPr>
          <w:position w:val="-4"/>
        </w:rPr>
        <w:drawing>
          <wp:inline distT="0" distB="0" distL="0" distR="0">
            <wp:extent cx="237744" cy="169163"/>
            <wp:effectExtent l="0" t="0" r="0" b="0"/>
            <wp:docPr id="11" name="image41.png"/>
            <wp:cNvGraphicFramePr>
              <a:graphicFrameLocks noChangeAspect="1"/>
            </wp:cNvGraphicFramePr>
            <a:graphic>
              <a:graphicData uri="http://schemas.openxmlformats.org/drawingml/2006/picture">
                <pic:pic>
                  <pic:nvPicPr>
                    <pic:cNvPr id="12" name="image41.png"/>
                    <pic:cNvPicPr/>
                  </pic:nvPicPr>
                  <pic:blipFill>
                    <a:blip r:embed="rId71" cstate="print"/>
                    <a:stretch>
                      <a:fillRect/>
                    </a:stretch>
                  </pic:blipFill>
                  <pic:spPr>
                    <a:xfrm>
                      <a:off x="0" y="0"/>
                      <a:ext cx="237744" cy="169163"/>
                    </a:xfrm>
                    <a:prstGeom prst="rect">
                      <a:avLst/>
                    </a:prstGeom>
                  </pic:spPr>
                </pic:pic>
              </a:graphicData>
            </a:graphic>
          </wp:inline>
        </w:drawing>
      </w:r>
      <w:r>
        <w:rPr>
          <w:position w:val="-4"/>
        </w:rPr>
      </w:r>
    </w:p>
    <w:p>
      <w:pPr>
        <w:pStyle w:val="BodyText"/>
        <w:spacing w:line="364" w:lineRule="auto" w:before="4"/>
        <w:ind w:left="117" w:right="229" w:firstLine="480"/>
        <w:jc w:val="both"/>
      </w:pPr>
      <w:r>
        <w:rPr/>
        <w:t>东南区经加里东运动褶皱回返后形成年轻的地台，晚古生代时基本处于剥蚀期。由于中生代的大面积火山岩覆盖及后期断裂的破坏，其褶皱构造特征不清。陆缘活动阶段的盖层褶皱，东南区多表现为不同方向展布的宽缓型短轴褶皱构造，如嵊县崇仁西南约</w:t>
      </w:r>
      <w:r>
        <w:rPr>
          <w:rFonts w:ascii="Times New Roman" w:eastAsia="Times New Roman"/>
        </w:rPr>
        <w:t>15</w:t>
      </w:r>
      <w:r>
        <w:rPr>
          <w:rFonts w:ascii="Times New Roman" w:eastAsia="Times New Roman"/>
          <w:spacing w:val="33"/>
        </w:rPr>
        <w:t> </w:t>
      </w:r>
      <w:r>
        <w:rPr>
          <w:spacing w:val="-1"/>
        </w:rPr>
        <w:t>公里处的王杜岭、寺西园一带，在朝川组地层中发育的轴向南北的背斜、向斜构造， </w:t>
      </w:r>
      <w:r>
        <w:rPr/>
        <w:t>柯桥区东南大西山、大炮顶一带的东西向延伸的平缓开阔的向斜构造。 </w:t>
      </w:r>
      <w:r>
        <w:rPr>
          <w:spacing w:val="1"/>
          <w:position w:val="-4"/>
        </w:rPr>
        <w:drawing>
          <wp:inline distT="0" distB="0" distL="0" distR="0">
            <wp:extent cx="237743" cy="169163"/>
            <wp:effectExtent l="0" t="0" r="0" b="0"/>
            <wp:docPr id="13" name="image41.png"/>
            <wp:cNvGraphicFramePr>
              <a:graphicFrameLocks noChangeAspect="1"/>
            </wp:cNvGraphicFramePr>
            <a:graphic>
              <a:graphicData uri="http://schemas.openxmlformats.org/drawingml/2006/picture">
                <pic:pic>
                  <pic:nvPicPr>
                    <pic:cNvPr id="14" name="image41.png"/>
                    <pic:cNvPicPr/>
                  </pic:nvPicPr>
                  <pic:blipFill>
                    <a:blip r:embed="rId71" cstate="print"/>
                    <a:stretch>
                      <a:fillRect/>
                    </a:stretch>
                  </pic:blipFill>
                  <pic:spPr>
                    <a:xfrm>
                      <a:off x="0" y="0"/>
                      <a:ext cx="237743" cy="169163"/>
                    </a:xfrm>
                    <a:prstGeom prst="rect">
                      <a:avLst/>
                    </a:prstGeom>
                  </pic:spPr>
                </pic:pic>
              </a:graphicData>
            </a:graphic>
          </wp:inline>
        </w:drawing>
      </w:r>
      <w:r>
        <w:rPr>
          <w:spacing w:val="1"/>
          <w:position w:val="-4"/>
        </w:rPr>
      </w:r>
    </w:p>
    <w:p>
      <w:pPr>
        <w:pStyle w:val="BodyText"/>
        <w:spacing w:line="364" w:lineRule="auto" w:before="3"/>
        <w:ind w:left="117" w:right="240" w:firstLine="480"/>
      </w:pPr>
      <w:r>
        <w:rPr/>
        <w:t>西北区褶皱形态复杂，多为紧密型等，并出现倒转褶皱。如绍兴横溪杨源附近，褶皱紧密，在诸暨店口附近出现倒转背斜。</w:t>
      </w:r>
    </w:p>
    <w:p>
      <w:pPr>
        <w:pStyle w:val="Heading3"/>
        <w:numPr>
          <w:ilvl w:val="0"/>
          <w:numId w:val="65"/>
        </w:numPr>
        <w:tabs>
          <w:tab w:pos="1203" w:val="left" w:leader="none"/>
        </w:tabs>
        <w:spacing w:line="240" w:lineRule="auto" w:before="1" w:after="0"/>
        <w:ind w:left="1203" w:right="0" w:hanging="604"/>
        <w:jc w:val="left"/>
      </w:pPr>
      <w:r>
        <w:rPr/>
        <w:t>区域地下水水文调查</w:t>
      </w:r>
    </w:p>
    <w:p>
      <w:pPr>
        <w:pStyle w:val="ListParagraph"/>
        <w:numPr>
          <w:ilvl w:val="0"/>
          <w:numId w:val="66"/>
        </w:numPr>
        <w:tabs>
          <w:tab w:pos="959" w:val="left" w:leader="none"/>
        </w:tabs>
        <w:spacing w:line="240" w:lineRule="auto" w:before="161" w:after="0"/>
        <w:ind w:left="958" w:right="0" w:hanging="362"/>
        <w:jc w:val="left"/>
        <w:rPr>
          <w:sz w:val="24"/>
        </w:rPr>
      </w:pPr>
      <w:r>
        <w:rPr>
          <w:sz w:val="24"/>
        </w:rPr>
        <w:t>地下水综合补给量</w:t>
      </w:r>
    </w:p>
    <w:p>
      <w:pPr>
        <w:pStyle w:val="BodyText"/>
        <w:spacing w:before="160"/>
        <w:ind w:left="597"/>
      </w:pPr>
      <w:r>
        <w:rPr/>
        <w:t>地下水综合补给量是指浅层地下水资源量，矿化度小于 </w:t>
      </w:r>
      <w:r>
        <w:rPr>
          <w:rFonts w:ascii="Times New Roman" w:eastAsia="Times New Roman"/>
        </w:rPr>
        <w:t>2 </w:t>
      </w:r>
      <w:r>
        <w:rPr/>
        <w:t>克每升的淡水以及矿化度</w:t>
      </w:r>
    </w:p>
    <w:p>
      <w:pPr>
        <w:spacing w:after="0"/>
        <w:sectPr>
          <w:headerReference w:type="default" r:id="rId69"/>
          <w:footerReference w:type="default" r:id="rId70"/>
          <w:pgSz w:w="11910" w:h="16840"/>
          <w:pgMar w:header="874" w:footer="1004" w:top="1440" w:bottom="1200" w:left="1160" w:right="1180"/>
          <w:pgNumType w:start="112"/>
        </w:sectPr>
      </w:pPr>
    </w:p>
    <w:p>
      <w:pPr>
        <w:pStyle w:val="BodyText"/>
        <w:spacing w:line="364" w:lineRule="auto" w:before="64"/>
        <w:ind w:left="117" w:right="110"/>
        <w:jc w:val="both"/>
      </w:pPr>
      <w:r>
        <w:rPr>
          <w:spacing w:val="-30"/>
        </w:rPr>
        <w:t>在 </w:t>
      </w:r>
      <w:r>
        <w:rPr>
          <w:rFonts w:ascii="Times New Roman" w:eastAsia="Times New Roman"/>
        </w:rPr>
        <w:t>2~5</w:t>
      </w:r>
      <w:r>
        <w:rPr>
          <w:rFonts w:ascii="Times New Roman" w:eastAsia="Times New Roman"/>
          <w:spacing w:val="-1"/>
        </w:rPr>
        <w:t> </w:t>
      </w:r>
      <w:r>
        <w:rPr>
          <w:spacing w:val="-9"/>
        </w:rPr>
        <w:t>克每升的微咸水。全市地下水的天然补给量为 </w:t>
      </w:r>
      <w:r>
        <w:rPr>
          <w:rFonts w:ascii="Times New Roman" w:eastAsia="Times New Roman"/>
        </w:rPr>
        <w:t>14.54 </w:t>
      </w:r>
      <w:r>
        <w:rPr>
          <w:spacing w:val="-7"/>
        </w:rPr>
        <w:t>亿立方米每年，其中绍曹运河</w:t>
      </w:r>
      <w:r>
        <w:rPr>
          <w:spacing w:val="-16"/>
        </w:rPr>
        <w:t>蓄、引、提灌区为 </w:t>
      </w:r>
      <w:r>
        <w:rPr>
          <w:rFonts w:ascii="Times New Roman" w:eastAsia="Times New Roman"/>
        </w:rPr>
        <w:t>2.57 </w:t>
      </w:r>
      <w:r>
        <w:rPr>
          <w:spacing w:val="-9"/>
        </w:rPr>
        <w:t>亿立方米每年，姚江引灌区为 </w:t>
      </w:r>
      <w:r>
        <w:rPr>
          <w:rFonts w:ascii="Times New Roman" w:eastAsia="Times New Roman"/>
        </w:rPr>
        <w:t>1.16 </w:t>
      </w:r>
      <w:r>
        <w:rPr>
          <w:spacing w:val="-8"/>
        </w:rPr>
        <w:t>亿立方米每年，曹娥江蓄、引、</w:t>
      </w:r>
    </w:p>
    <w:p>
      <w:pPr>
        <w:pStyle w:val="BodyText"/>
        <w:spacing w:before="1"/>
        <w:ind w:left="117"/>
        <w:jc w:val="both"/>
      </w:pPr>
      <w:r>
        <w:rPr>
          <w:spacing w:val="-13"/>
        </w:rPr>
        <w:t>提灌区为 </w:t>
      </w:r>
      <w:r>
        <w:rPr>
          <w:rFonts w:ascii="Times New Roman" w:eastAsia="Times New Roman"/>
        </w:rPr>
        <w:t>6.61 </w:t>
      </w:r>
      <w:r>
        <w:rPr>
          <w:spacing w:val="-4"/>
        </w:rPr>
        <w:t>亿立方米每年，浦阳江蓄、引、提灌区为 </w:t>
      </w:r>
      <w:r>
        <w:rPr>
          <w:rFonts w:ascii="Times New Roman" w:eastAsia="Times New Roman"/>
        </w:rPr>
        <w:t>4.01 </w:t>
      </w:r>
      <w:r>
        <w:rPr/>
        <w:t>亿立方米每年，壶源江蓄、</w:t>
      </w:r>
    </w:p>
    <w:p>
      <w:pPr>
        <w:pStyle w:val="BodyText"/>
        <w:spacing w:line="364" w:lineRule="auto" w:before="160"/>
        <w:ind w:left="117" w:right="232"/>
        <w:jc w:val="both"/>
      </w:pPr>
      <w:r>
        <w:rPr>
          <w:spacing w:val="-12"/>
        </w:rPr>
        <w:t>引、提灌区为 </w:t>
      </w:r>
      <w:r>
        <w:rPr>
          <w:rFonts w:ascii="Times New Roman" w:eastAsia="Times New Roman"/>
        </w:rPr>
        <w:t>0.19 </w:t>
      </w:r>
      <w:r>
        <w:rPr>
          <w:spacing w:val="-6"/>
        </w:rPr>
        <w:t>亿立方米每年。经计算综合，全市地下水可利用资源量为 </w:t>
      </w:r>
      <w:r>
        <w:rPr>
          <w:rFonts w:ascii="Times New Roman" w:eastAsia="Times New Roman"/>
        </w:rPr>
        <w:t>4.15 </w:t>
      </w:r>
      <w:r>
        <w:rPr>
          <w:spacing w:val="-4"/>
        </w:rPr>
        <w:t>亿立方</w:t>
      </w:r>
      <w:r>
        <w:rPr>
          <w:spacing w:val="-9"/>
        </w:rPr>
        <w:t>米每年，占天然补给资源量的 </w:t>
      </w:r>
      <w:r>
        <w:rPr>
          <w:rFonts w:ascii="Times New Roman" w:eastAsia="Times New Roman"/>
        </w:rPr>
        <w:t>28.5%</w:t>
      </w:r>
      <w:r>
        <w:rPr>
          <w:spacing w:val="-11"/>
        </w:rPr>
        <w:t>。已利用量按井、泉、堰坝实际开采量及承压水计算</w:t>
      </w:r>
      <w:r>
        <w:rPr>
          <w:spacing w:val="-12"/>
        </w:rPr>
        <w:t>测得，在保证率 </w:t>
      </w:r>
      <w:r>
        <w:rPr>
          <w:rFonts w:ascii="Times New Roman" w:eastAsia="Times New Roman"/>
        </w:rPr>
        <w:t>50%</w:t>
      </w:r>
      <w:r>
        <w:rPr>
          <w:spacing w:val="-11"/>
        </w:rPr>
        <w:t>情况下，开采量为 </w:t>
      </w:r>
      <w:r>
        <w:rPr>
          <w:rFonts w:ascii="Times New Roman" w:eastAsia="Times New Roman"/>
        </w:rPr>
        <w:t>0.86 </w:t>
      </w:r>
      <w:r>
        <w:rPr>
          <w:spacing w:val="-9"/>
        </w:rPr>
        <w:t>亿立方米，占天然资源量的 </w:t>
      </w:r>
      <w:r>
        <w:rPr>
          <w:rFonts w:ascii="Times New Roman" w:eastAsia="Times New Roman"/>
          <w:spacing w:val="-4"/>
        </w:rPr>
        <w:t>5.9%</w:t>
      </w:r>
      <w:r>
        <w:rPr>
          <w:spacing w:val="-5"/>
        </w:rPr>
        <w:t>，占可开采</w:t>
      </w:r>
      <w:r>
        <w:rPr>
          <w:spacing w:val="-20"/>
        </w:rPr>
        <w:t>量的 </w:t>
      </w:r>
      <w:r>
        <w:rPr>
          <w:rFonts w:ascii="Times New Roman" w:eastAsia="Times New Roman"/>
        </w:rPr>
        <w:t>20.7%</w:t>
      </w:r>
      <w:r>
        <w:rPr/>
        <w:t>。</w:t>
      </w:r>
    </w:p>
    <w:p>
      <w:pPr>
        <w:pStyle w:val="ListParagraph"/>
        <w:numPr>
          <w:ilvl w:val="0"/>
          <w:numId w:val="66"/>
        </w:numPr>
        <w:tabs>
          <w:tab w:pos="959" w:val="left" w:leader="none"/>
        </w:tabs>
        <w:spacing w:line="240" w:lineRule="auto" w:before="3" w:after="0"/>
        <w:ind w:left="958" w:right="0" w:hanging="362"/>
        <w:jc w:val="left"/>
        <w:rPr>
          <w:sz w:val="24"/>
        </w:rPr>
      </w:pPr>
      <w:r>
        <w:rPr>
          <w:sz w:val="24"/>
        </w:rPr>
        <w:t>地下水资源开发利用及其特点</w:t>
      </w:r>
    </w:p>
    <w:p>
      <w:pPr>
        <w:pStyle w:val="BodyText"/>
        <w:spacing w:line="364" w:lineRule="auto" w:before="161"/>
        <w:ind w:left="117" w:right="111" w:firstLine="480"/>
      </w:pPr>
      <w:r>
        <w:rPr/>
        <w:t>地下水开发途径：丘陵山区以堰坝、泉引水为主；绍虞平原与河谷平原以井提水为</w:t>
      </w:r>
      <w:r>
        <w:rPr>
          <w:spacing w:val="-58"/>
        </w:rPr>
        <w:t>主。</w:t>
      </w:r>
      <w:r>
        <w:rPr>
          <w:rFonts w:ascii="Times New Roman" w:eastAsia="Times New Roman"/>
        </w:rPr>
        <w:t>1990 </w:t>
      </w:r>
      <w:r>
        <w:rPr>
          <w:spacing w:val="-16"/>
        </w:rPr>
        <w:t>年统计，全市地下水开采总量 </w:t>
      </w:r>
      <w:r>
        <w:rPr>
          <w:rFonts w:ascii="Times New Roman" w:eastAsia="Times New Roman"/>
        </w:rPr>
        <w:t>0.86</w:t>
      </w:r>
      <w:r>
        <w:rPr>
          <w:rFonts w:ascii="Times New Roman" w:eastAsia="Times New Roman"/>
          <w:spacing w:val="1"/>
        </w:rPr>
        <w:t> </w:t>
      </w:r>
      <w:r>
        <w:rPr>
          <w:spacing w:val="-14"/>
        </w:rPr>
        <w:t>亿立方米每年，占全市地下水可采量的 </w:t>
      </w:r>
      <w:r>
        <w:rPr>
          <w:rFonts w:ascii="Times New Roman" w:eastAsia="Times New Roman"/>
          <w:spacing w:val="-3"/>
        </w:rPr>
        <w:t>20.7%</w:t>
      </w:r>
      <w:r>
        <w:rPr>
          <w:spacing w:val="-3"/>
        </w:rPr>
        <w:t>， </w:t>
      </w:r>
      <w:r>
        <w:rPr>
          <w:spacing w:val="-6"/>
        </w:rPr>
        <w:t>占综合补给量的 </w:t>
      </w:r>
      <w:r>
        <w:rPr>
          <w:rFonts w:ascii="Times New Roman" w:eastAsia="Times New Roman"/>
        </w:rPr>
        <w:t>5.9%</w:t>
      </w:r>
      <w:r>
        <w:rPr/>
        <w:t>。境内可利用的地下水资源，主要分三大部分，第一部分是河谷冲</w:t>
      </w:r>
      <w:r>
        <w:rPr>
          <w:spacing w:val="-6"/>
        </w:rPr>
        <w:t>积层潜水，它的特点是数量大，开采方便，已普遍用于农业灌溉、工业用水和生活用水； </w:t>
      </w:r>
      <w:r>
        <w:rPr/>
        <w:t>第二部分是基岩裂隙水，面积较广，水量较少，多分布于丘陵山区，目前多出露后引水用于农业灌溉和人畜用水；第三部分是海积平原海积、湖积亚积土、粘土孔隙潜水，分布于绍虞平原，含水差，无集中供水意义，但埋藏浅，分布广。</w:t>
      </w:r>
    </w:p>
    <w:p>
      <w:pPr>
        <w:pStyle w:val="Heading3"/>
        <w:spacing w:before="4"/>
        <w:ind w:left="599"/>
      </w:pPr>
      <w:r>
        <w:rPr>
          <w:rFonts w:ascii="Times New Roman" w:eastAsia="Times New Roman"/>
        </w:rPr>
        <w:t>2</w:t>
      </w:r>
      <w:r>
        <w:rPr/>
        <w:t>、工程地质情况</w:t>
      </w:r>
    </w:p>
    <w:p>
      <w:pPr>
        <w:pStyle w:val="BodyText"/>
        <w:spacing w:line="364" w:lineRule="auto" w:before="161"/>
        <w:ind w:left="117" w:right="229" w:firstLine="480"/>
      </w:pPr>
      <w:r>
        <w:rPr/>
        <w:t>因本项目拟建址暂未开展岩土工程勘察，本小节内容主要引用《天圣工业食品深加工项目详细勘察初步资料》（浙江有色勘测规划设计有限公司，</w:t>
      </w:r>
      <w:r>
        <w:rPr>
          <w:rFonts w:ascii="Times New Roman" w:eastAsia="Times New Roman"/>
        </w:rPr>
        <w:t>2021</w:t>
      </w:r>
      <w:r>
        <w:rPr>
          <w:rFonts w:ascii="Times New Roman" w:eastAsia="Times New Roman"/>
          <w:spacing w:val="12"/>
        </w:rPr>
        <w:t> </w:t>
      </w:r>
      <w:r>
        <w:rPr>
          <w:spacing w:val="-24"/>
        </w:rPr>
        <w:t>年 </w:t>
      </w:r>
      <w:r>
        <w:rPr>
          <w:rFonts w:ascii="Times New Roman" w:eastAsia="Times New Roman"/>
        </w:rPr>
        <w:t>1</w:t>
      </w:r>
      <w:r>
        <w:rPr>
          <w:rFonts w:ascii="Times New Roman" w:eastAsia="Times New Roman"/>
          <w:spacing w:val="13"/>
        </w:rPr>
        <w:t> </w:t>
      </w:r>
      <w:r>
        <w:rPr/>
        <w:t>月）</w:t>
      </w:r>
      <w:r>
        <w:rPr>
          <w:spacing w:val="-5"/>
        </w:rPr>
        <w:t>中的内容</w:t>
      </w:r>
    </w:p>
    <w:p>
      <w:pPr>
        <w:pStyle w:val="BodyText"/>
        <w:spacing w:line="364" w:lineRule="auto" w:before="1"/>
        <w:ind w:left="117" w:right="109"/>
      </w:pPr>
      <w:r>
        <w:rPr/>
        <w:t>（</w:t>
      </w:r>
      <w:r>
        <w:rPr>
          <w:spacing w:val="-6"/>
        </w:rPr>
        <w:t>该地块距本项目距离约 </w:t>
      </w:r>
      <w:r>
        <w:rPr>
          <w:rFonts w:ascii="Times New Roman" w:eastAsia="Times New Roman"/>
          <w:spacing w:val="-4"/>
        </w:rPr>
        <w:t>1.3km</w:t>
      </w:r>
      <w:r>
        <w:rPr>
          <w:spacing w:val="-4"/>
        </w:rPr>
        <w:t>）</w:t>
      </w:r>
      <w:r>
        <w:rPr>
          <w:spacing w:val="-11"/>
        </w:rPr>
        <w:t>。根据钻</w:t>
      </w:r>
      <w:r>
        <w:rPr>
          <w:spacing w:val="-3"/>
        </w:rPr>
        <w:t>（</w:t>
      </w:r>
      <w:r>
        <w:rPr/>
        <w:t>静</w:t>
      </w:r>
      <w:r>
        <w:rPr>
          <w:spacing w:val="-20"/>
        </w:rPr>
        <w:t>）</w:t>
      </w:r>
      <w:r>
        <w:rPr>
          <w:spacing w:val="-9"/>
        </w:rPr>
        <w:t>探揭露，场地勘探深度 </w:t>
      </w:r>
      <w:r>
        <w:rPr>
          <w:rFonts w:ascii="Times New Roman" w:eastAsia="Times New Roman"/>
        </w:rPr>
        <w:t>35.80m</w:t>
      </w:r>
      <w:r>
        <w:rPr>
          <w:rFonts w:ascii="Times New Roman" w:eastAsia="Times New Roman"/>
          <w:spacing w:val="1"/>
        </w:rPr>
        <w:t> </w:t>
      </w:r>
      <w:r>
        <w:rPr>
          <w:spacing w:val="-3"/>
        </w:rPr>
        <w:t>范围内， </w:t>
      </w:r>
      <w:r>
        <w:rPr>
          <w:spacing w:val="-1"/>
        </w:rPr>
        <w:t>按土层成因不同及物理力学性质差异结合绍兴地区地层层序，地基土自上而下可分为 </w:t>
      </w:r>
      <w:r>
        <w:rPr>
          <w:rFonts w:ascii="Times New Roman" w:eastAsia="Times New Roman"/>
        </w:rPr>
        <w:t>10 </w:t>
      </w:r>
      <w:r>
        <w:rPr/>
        <w:t>个工程地质层，其中</w:t>
      </w:r>
      <w:r>
        <w:rPr>
          <w:rFonts w:ascii="Times New Roman" w:eastAsia="Times New Roman"/>
        </w:rPr>
        <w:t>(8)</w:t>
      </w:r>
      <w:r>
        <w:rPr/>
        <w:t>号层缺失，</w:t>
      </w:r>
      <w:r>
        <w:rPr>
          <w:rFonts w:ascii="Times New Roman" w:eastAsia="Times New Roman"/>
        </w:rPr>
        <w:t>(2)</w:t>
      </w:r>
      <w:r>
        <w:rPr/>
        <w:t>号和</w:t>
      </w:r>
      <w:r>
        <w:rPr>
          <w:rFonts w:ascii="Times New Roman" w:eastAsia="Times New Roman"/>
        </w:rPr>
        <w:t>(6)</w:t>
      </w:r>
      <w:r>
        <w:rPr/>
        <w:t>号层细分为二个亚层，岩性特征分述如下：</w:t>
      </w:r>
    </w:p>
    <w:p>
      <w:pPr>
        <w:pStyle w:val="BodyText"/>
        <w:spacing w:line="364" w:lineRule="auto" w:before="1"/>
        <w:ind w:left="117" w:right="227" w:firstLine="480"/>
        <w:jc w:val="both"/>
      </w:pPr>
      <w:r>
        <w:rPr>
          <w:spacing w:val="-1"/>
          <w:position w:val="2"/>
        </w:rPr>
        <w:t>（</w:t>
      </w:r>
      <w:r>
        <w:rPr>
          <w:rFonts w:ascii="Times New Roman" w:eastAsia="Times New Roman"/>
          <w:spacing w:val="-1"/>
          <w:position w:val="2"/>
        </w:rPr>
        <w:t>1</w:t>
      </w:r>
      <w:r>
        <w:rPr>
          <w:spacing w:val="-1"/>
          <w:position w:val="2"/>
        </w:rPr>
        <w:t>）</w:t>
      </w:r>
      <w:r>
        <w:rPr>
          <w:spacing w:val="-2"/>
          <w:position w:val="2"/>
        </w:rPr>
        <w:t>粉质粘土</w:t>
      </w:r>
      <w:r>
        <w:rPr>
          <w:spacing w:val="-1"/>
          <w:position w:val="2"/>
        </w:rPr>
        <w:t>（</w:t>
      </w:r>
      <w:r>
        <w:rPr>
          <w:rFonts w:ascii="Times New Roman" w:eastAsia="Times New Roman"/>
          <w:spacing w:val="-1"/>
          <w:position w:val="2"/>
        </w:rPr>
        <w:t>l-hQ</w:t>
      </w:r>
      <w:r>
        <w:rPr>
          <w:rFonts w:ascii="Times New Roman" w:eastAsia="Times New Roman"/>
          <w:spacing w:val="-1"/>
          <w:sz w:val="16"/>
        </w:rPr>
        <w:t>4</w:t>
      </w:r>
      <w:r>
        <w:rPr>
          <w:rFonts w:ascii="Times New Roman" w:eastAsia="Times New Roman"/>
          <w:spacing w:val="-1"/>
          <w:position w:val="11"/>
          <w:sz w:val="16"/>
        </w:rPr>
        <w:t>3</w:t>
      </w:r>
      <w:r>
        <w:rPr>
          <w:spacing w:val="-1"/>
          <w:position w:val="2"/>
        </w:rPr>
        <w:t>）：灰黄</w:t>
      </w:r>
      <w:r>
        <w:rPr>
          <w:rFonts w:ascii="Times New Roman" w:eastAsia="Times New Roman"/>
          <w:position w:val="2"/>
        </w:rPr>
        <w:t>~</w:t>
      </w:r>
      <w:r>
        <w:rPr>
          <w:spacing w:val="-5"/>
          <w:position w:val="2"/>
        </w:rPr>
        <w:t>黄灰色，硬可塑状，局部软可塑状，中压缩性。铁</w:t>
      </w:r>
      <w:r>
        <w:rPr>
          <w:spacing w:val="-5"/>
        </w:rPr>
        <w:t>锰质渲染，成份以粉</w:t>
      </w:r>
      <w:r>
        <w:rPr>
          <w:spacing w:val="4"/>
        </w:rPr>
        <w:t>﹑</w:t>
      </w:r>
      <w:r>
        <w:rPr/>
        <w:t>粘粒为主，无摇振反应，稍有光泽，干强度中等，韧性中等，局部相变为粘土，土质均匀性尚可。为全新统滨海组上段湖沼相沉积。该层全场分布，层</w:t>
      </w:r>
      <w:r>
        <w:rPr>
          <w:spacing w:val="-30"/>
        </w:rPr>
        <w:t>厚 </w:t>
      </w:r>
      <w:r>
        <w:rPr>
          <w:rFonts w:ascii="Times New Roman" w:eastAsia="Times New Roman"/>
        </w:rPr>
        <w:t>0.60~1.70m</w:t>
      </w:r>
      <w:r>
        <w:rPr>
          <w:spacing w:val="-10"/>
        </w:rPr>
        <w:t>，层顶标高 </w:t>
      </w:r>
      <w:r>
        <w:rPr>
          <w:rFonts w:ascii="Times New Roman" w:eastAsia="Times New Roman"/>
        </w:rPr>
        <w:t>4.36~4.87m</w:t>
      </w:r>
      <w:r>
        <w:rPr/>
        <w:t>。</w:t>
      </w:r>
    </w:p>
    <w:p>
      <w:pPr>
        <w:pStyle w:val="BodyText"/>
        <w:spacing w:line="364" w:lineRule="auto" w:before="3"/>
        <w:ind w:left="117" w:right="229" w:firstLine="480"/>
        <w:jc w:val="both"/>
      </w:pPr>
      <w:r>
        <w:rPr>
          <w:position w:val="2"/>
        </w:rPr>
        <w:t>（</w:t>
      </w:r>
      <w:r>
        <w:rPr>
          <w:rFonts w:ascii="Times New Roman" w:eastAsia="Times New Roman"/>
          <w:position w:val="2"/>
        </w:rPr>
        <w:t>2</w:t>
      </w:r>
      <w:r>
        <w:rPr>
          <w:position w:val="2"/>
        </w:rPr>
        <w:t>）</w:t>
      </w:r>
      <w:r>
        <w:rPr>
          <w:rFonts w:ascii="Times New Roman" w:eastAsia="Times New Roman"/>
          <w:position w:val="2"/>
        </w:rPr>
        <w:t>-1 </w:t>
      </w:r>
      <w:r>
        <w:rPr>
          <w:position w:val="2"/>
        </w:rPr>
        <w:t>粉质粘土（</w:t>
      </w:r>
      <w:r>
        <w:rPr>
          <w:rFonts w:ascii="Times New Roman" w:eastAsia="Times New Roman"/>
          <w:position w:val="2"/>
        </w:rPr>
        <w:t>l-hQ</w:t>
      </w:r>
      <w:r>
        <w:rPr>
          <w:rFonts w:ascii="Times New Roman" w:eastAsia="Times New Roman"/>
          <w:sz w:val="16"/>
        </w:rPr>
        <w:t>4</w:t>
      </w:r>
      <w:r>
        <w:rPr>
          <w:rFonts w:ascii="Times New Roman" w:eastAsia="Times New Roman"/>
          <w:position w:val="11"/>
          <w:sz w:val="16"/>
        </w:rPr>
        <w:t>3</w:t>
      </w:r>
      <w:r>
        <w:rPr>
          <w:position w:val="2"/>
        </w:rPr>
        <w:t>）：灰色，软塑状，局部软可塑状，高压缩性。含较多有</w:t>
      </w:r>
      <w:r>
        <w:rPr/>
        <w:t>机质及泥炭，成份以粉、粘粒为主，局部夹粘土薄层，土质均匀性差。该层局部分布， 层厚 </w:t>
      </w:r>
      <w:r>
        <w:rPr>
          <w:rFonts w:ascii="Times New Roman" w:eastAsia="Times New Roman"/>
        </w:rPr>
        <w:t>0.50~1.60m</w:t>
      </w:r>
      <w:r>
        <w:rPr/>
        <w:t>，层顶标高 </w:t>
      </w:r>
      <w:r>
        <w:rPr>
          <w:rFonts w:ascii="Times New Roman" w:eastAsia="Times New Roman"/>
        </w:rPr>
        <w:t>2.99~3.82m</w:t>
      </w:r>
      <w:r>
        <w:rPr/>
        <w:t>。</w:t>
      </w:r>
    </w:p>
    <w:p>
      <w:pPr>
        <w:pStyle w:val="BodyText"/>
        <w:spacing w:before="2"/>
        <w:ind w:left="597"/>
        <w:jc w:val="both"/>
      </w:pPr>
      <w:r>
        <w:rPr>
          <w:position w:val="2"/>
        </w:rPr>
        <w:t>（</w:t>
      </w:r>
      <w:r>
        <w:rPr>
          <w:rFonts w:ascii="Times New Roman" w:eastAsia="Times New Roman"/>
          <w:position w:val="2"/>
        </w:rPr>
        <w:t>2</w:t>
      </w:r>
      <w:r>
        <w:rPr>
          <w:position w:val="2"/>
        </w:rPr>
        <w:t>）</w:t>
      </w:r>
      <w:r>
        <w:rPr>
          <w:rFonts w:ascii="Times New Roman" w:eastAsia="Times New Roman"/>
          <w:position w:val="2"/>
        </w:rPr>
        <w:t>-2 </w:t>
      </w:r>
      <w:r>
        <w:rPr>
          <w:position w:val="2"/>
        </w:rPr>
        <w:t>粘质粉土（</w:t>
      </w:r>
      <w:r>
        <w:rPr>
          <w:rFonts w:ascii="Times New Roman" w:eastAsia="Times New Roman"/>
          <w:position w:val="2"/>
        </w:rPr>
        <w:t>l-hQ</w:t>
      </w:r>
      <w:r>
        <w:rPr>
          <w:rFonts w:ascii="Times New Roman" w:eastAsia="Times New Roman"/>
          <w:sz w:val="16"/>
        </w:rPr>
        <w:t>4</w:t>
      </w:r>
      <w:r>
        <w:rPr>
          <w:rFonts w:ascii="Times New Roman" w:eastAsia="Times New Roman"/>
          <w:position w:val="11"/>
          <w:sz w:val="16"/>
        </w:rPr>
        <w:t>3</w:t>
      </w:r>
      <w:r>
        <w:rPr>
          <w:position w:val="2"/>
        </w:rPr>
        <w:t>）：灰色，稍密状，很湿，中压缩性。含有云母及贝壳碎</w:t>
      </w:r>
    </w:p>
    <w:p>
      <w:pPr>
        <w:spacing w:after="0"/>
        <w:jc w:val="both"/>
        <w:sectPr>
          <w:pgSz w:w="11910" w:h="16840"/>
          <w:pgMar w:header="874" w:footer="1004" w:top="1440" w:bottom="1200" w:left="1160" w:right="1180"/>
        </w:sectPr>
      </w:pPr>
    </w:p>
    <w:p>
      <w:pPr>
        <w:pStyle w:val="BodyText"/>
        <w:spacing w:line="364" w:lineRule="auto" w:before="64"/>
        <w:ind w:left="117" w:right="109"/>
        <w:jc w:val="both"/>
      </w:pPr>
      <w:r>
        <w:rPr/>
        <w:t>片，成份以粉粒为主，振动易析水。摇振反应迅速，无光泽反应，干强度低、韧性低。</w:t>
      </w:r>
      <w:r>
        <w:rPr>
          <w:spacing w:val="-8"/>
        </w:rPr>
        <w:t>微层理发育，土质均匀性较差。该层局部分布，层厚 </w:t>
      </w:r>
      <w:r>
        <w:rPr>
          <w:rFonts w:ascii="Times New Roman" w:eastAsia="Times New Roman"/>
        </w:rPr>
        <w:t>0.40~1.40m</w:t>
      </w:r>
      <w:r>
        <w:rPr>
          <w:spacing w:val="-11"/>
        </w:rPr>
        <w:t>，层顶标高 </w:t>
      </w:r>
      <w:r>
        <w:rPr>
          <w:rFonts w:ascii="Times New Roman" w:eastAsia="Times New Roman"/>
        </w:rPr>
        <w:t>1.97~3.22m</w:t>
      </w:r>
      <w:r>
        <w:rPr>
          <w:spacing w:val="-13"/>
        </w:rPr>
        <w:t>。</w:t>
      </w:r>
    </w:p>
    <w:p>
      <w:pPr>
        <w:pStyle w:val="ListParagraph"/>
        <w:numPr>
          <w:ilvl w:val="0"/>
          <w:numId w:val="67"/>
        </w:numPr>
        <w:tabs>
          <w:tab w:pos="1199" w:val="left" w:leader="none"/>
        </w:tabs>
        <w:spacing w:line="364" w:lineRule="auto" w:before="0" w:after="0"/>
        <w:ind w:left="117" w:right="165" w:firstLine="480"/>
        <w:jc w:val="both"/>
        <w:rPr>
          <w:sz w:val="24"/>
        </w:rPr>
      </w:pPr>
      <w:r>
        <w:rPr>
          <w:position w:val="2"/>
          <w:sz w:val="24"/>
        </w:rPr>
        <w:t>淤泥质粘土（</w:t>
      </w:r>
      <w:r>
        <w:rPr>
          <w:rFonts w:ascii="Times New Roman" w:eastAsia="Times New Roman"/>
          <w:position w:val="2"/>
          <w:sz w:val="24"/>
        </w:rPr>
        <w:t>mQ</w:t>
      </w:r>
      <w:r>
        <w:rPr>
          <w:rFonts w:ascii="Times New Roman" w:eastAsia="Times New Roman"/>
          <w:sz w:val="16"/>
        </w:rPr>
        <w:t>4</w:t>
      </w:r>
      <w:r>
        <w:rPr>
          <w:rFonts w:ascii="Times New Roman" w:eastAsia="Times New Roman"/>
          <w:position w:val="11"/>
          <w:sz w:val="16"/>
        </w:rPr>
        <w:t>2</w:t>
      </w:r>
      <w:r>
        <w:rPr>
          <w:position w:val="2"/>
          <w:sz w:val="24"/>
        </w:rPr>
        <w:t>）：</w:t>
      </w:r>
      <w:r>
        <w:rPr>
          <w:spacing w:val="-2"/>
          <w:position w:val="2"/>
          <w:sz w:val="24"/>
        </w:rPr>
        <w:t>灰色，流塑状，高压缩性。含少量有机质，成份以粉、</w:t>
      </w:r>
      <w:r>
        <w:rPr>
          <w:sz w:val="24"/>
        </w:rPr>
        <w:t>粘粒为主，局部夹淤泥质粉质粘土或粉质粘土薄层，土质均匀性尚可。该层全场分布， </w:t>
      </w:r>
      <w:r>
        <w:rPr>
          <w:spacing w:val="-20"/>
          <w:sz w:val="24"/>
        </w:rPr>
        <w:t>层厚 </w:t>
      </w:r>
      <w:r>
        <w:rPr>
          <w:rFonts w:ascii="Times New Roman" w:eastAsia="Times New Roman"/>
          <w:sz w:val="24"/>
        </w:rPr>
        <w:t>7.30~16.80m</w:t>
      </w:r>
      <w:r>
        <w:rPr>
          <w:spacing w:val="-10"/>
          <w:sz w:val="24"/>
        </w:rPr>
        <w:t>，层顶标高 </w:t>
      </w:r>
      <w:r>
        <w:rPr>
          <w:rFonts w:ascii="Times New Roman" w:eastAsia="Times New Roman"/>
          <w:sz w:val="24"/>
        </w:rPr>
        <w:t>1.31~3.09m</w:t>
      </w:r>
      <w:r>
        <w:rPr>
          <w:sz w:val="24"/>
        </w:rPr>
        <w:t>。</w:t>
      </w:r>
    </w:p>
    <w:p>
      <w:pPr>
        <w:pStyle w:val="ListParagraph"/>
        <w:numPr>
          <w:ilvl w:val="0"/>
          <w:numId w:val="67"/>
        </w:numPr>
        <w:tabs>
          <w:tab w:pos="1203" w:val="left" w:leader="none"/>
        </w:tabs>
        <w:spacing w:line="364" w:lineRule="auto" w:before="2" w:after="0"/>
        <w:ind w:left="117" w:right="228" w:firstLine="480"/>
        <w:jc w:val="both"/>
        <w:rPr>
          <w:sz w:val="24"/>
        </w:rPr>
      </w:pPr>
      <w:r>
        <w:rPr>
          <w:position w:val="2"/>
          <w:sz w:val="24"/>
        </w:rPr>
        <w:t>粘质粉土（</w:t>
      </w:r>
      <w:r>
        <w:rPr>
          <w:rFonts w:ascii="Times New Roman" w:eastAsia="Times New Roman"/>
          <w:position w:val="2"/>
          <w:sz w:val="24"/>
        </w:rPr>
        <w:t>al-lQ</w:t>
      </w:r>
      <w:r>
        <w:rPr>
          <w:rFonts w:ascii="Times New Roman" w:eastAsia="Times New Roman"/>
          <w:sz w:val="16"/>
        </w:rPr>
        <w:t>4</w:t>
      </w:r>
      <w:r>
        <w:rPr>
          <w:rFonts w:ascii="Times New Roman" w:eastAsia="Times New Roman"/>
          <w:position w:val="11"/>
          <w:sz w:val="16"/>
        </w:rPr>
        <w:t>1</w:t>
      </w:r>
      <w:r>
        <w:rPr>
          <w:position w:val="2"/>
          <w:sz w:val="24"/>
        </w:rPr>
        <w:t>）：灰黄色，中密状，很湿，中压缩性。含较云母，成份以</w:t>
      </w:r>
      <w:r>
        <w:rPr>
          <w:sz w:val="24"/>
        </w:rPr>
        <w:t>粉粒为主﹑粘粒次之，摇振反应迅速，无光泽反应，干强度低，韧性低，微层理发育， 局部相变为砂，土质均匀性较差。为全新统下组上段冲湖积沉积。该层局部分布，层厚</w:t>
      </w:r>
      <w:r>
        <w:rPr>
          <w:rFonts w:ascii="Times New Roman" w:eastAsia="Times New Roman"/>
          <w:sz w:val="24"/>
        </w:rPr>
        <w:t>0.50m</w:t>
      </w:r>
      <w:r>
        <w:rPr>
          <w:sz w:val="24"/>
        </w:rPr>
        <w:t>，层顶标高</w:t>
      </w:r>
      <w:r>
        <w:rPr>
          <w:rFonts w:ascii="Times New Roman" w:eastAsia="Times New Roman"/>
          <w:sz w:val="24"/>
        </w:rPr>
        <w:t>-7.03m</w:t>
      </w:r>
      <w:r>
        <w:rPr>
          <w:sz w:val="24"/>
        </w:rPr>
        <w:t>。</w:t>
      </w:r>
    </w:p>
    <w:p>
      <w:pPr>
        <w:pStyle w:val="ListParagraph"/>
        <w:numPr>
          <w:ilvl w:val="0"/>
          <w:numId w:val="67"/>
        </w:numPr>
        <w:tabs>
          <w:tab w:pos="1199" w:val="left" w:leader="none"/>
        </w:tabs>
        <w:spacing w:line="364" w:lineRule="auto" w:before="3" w:after="0"/>
        <w:ind w:left="117" w:right="114" w:firstLine="480"/>
        <w:jc w:val="left"/>
        <w:rPr>
          <w:sz w:val="24"/>
        </w:rPr>
      </w:pPr>
      <w:r>
        <w:rPr>
          <w:spacing w:val="-6"/>
          <w:position w:val="2"/>
          <w:sz w:val="24"/>
        </w:rPr>
        <w:t>粉质粘土</w:t>
      </w:r>
      <w:r>
        <w:rPr>
          <w:spacing w:val="-8"/>
          <w:position w:val="2"/>
          <w:sz w:val="24"/>
        </w:rPr>
        <w:t>（</w:t>
      </w:r>
      <w:r>
        <w:rPr>
          <w:rFonts w:ascii="Times New Roman" w:eastAsia="Times New Roman"/>
          <w:spacing w:val="-8"/>
          <w:position w:val="2"/>
          <w:sz w:val="24"/>
        </w:rPr>
        <w:t>mQ</w:t>
      </w:r>
      <w:r>
        <w:rPr>
          <w:rFonts w:ascii="Times New Roman" w:eastAsia="Times New Roman"/>
          <w:spacing w:val="-8"/>
          <w:sz w:val="16"/>
        </w:rPr>
        <w:t>4</w:t>
      </w:r>
      <w:r>
        <w:rPr>
          <w:rFonts w:ascii="Times New Roman" w:eastAsia="Times New Roman"/>
          <w:spacing w:val="-8"/>
          <w:position w:val="11"/>
          <w:sz w:val="16"/>
        </w:rPr>
        <w:t>1</w:t>
      </w:r>
      <w:r>
        <w:rPr>
          <w:spacing w:val="-8"/>
          <w:position w:val="2"/>
          <w:sz w:val="24"/>
        </w:rPr>
        <w:t>）：</w:t>
      </w:r>
      <w:r>
        <w:rPr>
          <w:spacing w:val="-10"/>
          <w:position w:val="2"/>
          <w:sz w:val="24"/>
        </w:rPr>
        <w:t>灰色，软塑状，高压缩性，含少量有机质，成分主要由粉 </w:t>
      </w:r>
      <w:r>
        <w:rPr>
          <w:spacing w:val="-13"/>
          <w:position w:val="2"/>
          <w:sz w:val="24"/>
        </w:rPr>
        <w:t>、</w:t>
      </w:r>
      <w:r>
        <w:rPr>
          <w:sz w:val="24"/>
        </w:rPr>
        <w:t>粘粒组成。无摇振反应，有光泽，干强度高，韧性高，土层均匀性尚可。为全新统下</w:t>
      </w:r>
      <w:r>
        <w:rPr>
          <w:spacing w:val="-4"/>
          <w:sz w:val="24"/>
        </w:rPr>
        <w:t>组下段滨海相沉积。该层局部分布，层厚 </w:t>
      </w:r>
      <w:r>
        <w:rPr>
          <w:rFonts w:ascii="Times New Roman" w:eastAsia="Times New Roman"/>
          <w:sz w:val="24"/>
        </w:rPr>
        <w:t>0.50~3.00m</w:t>
      </w:r>
      <w:r>
        <w:rPr>
          <w:sz w:val="24"/>
        </w:rPr>
        <w:t>，层顶标高</w:t>
      </w:r>
      <w:r>
        <w:rPr>
          <w:rFonts w:ascii="Times New Roman" w:eastAsia="Times New Roman"/>
          <w:sz w:val="24"/>
        </w:rPr>
        <w:t>-7.53~-6.08m</w:t>
      </w:r>
      <w:r>
        <w:rPr>
          <w:sz w:val="24"/>
        </w:rPr>
        <w:t>。</w:t>
      </w:r>
    </w:p>
    <w:p>
      <w:pPr>
        <w:pStyle w:val="BodyText"/>
        <w:spacing w:line="364" w:lineRule="auto" w:before="2"/>
        <w:ind w:left="117" w:right="231" w:firstLine="480"/>
        <w:jc w:val="both"/>
      </w:pPr>
      <w:r>
        <w:rPr>
          <w:position w:val="2"/>
        </w:rPr>
        <w:t>（</w:t>
      </w:r>
      <w:r>
        <w:rPr>
          <w:rFonts w:ascii="Times New Roman" w:eastAsia="Times New Roman"/>
          <w:position w:val="2"/>
        </w:rPr>
        <w:t>6</w:t>
      </w:r>
      <w:r>
        <w:rPr>
          <w:position w:val="2"/>
        </w:rPr>
        <w:t>）</w:t>
      </w:r>
      <w:r>
        <w:rPr>
          <w:rFonts w:ascii="Times New Roman" w:eastAsia="Times New Roman"/>
          <w:position w:val="2"/>
        </w:rPr>
        <w:t>-1 </w:t>
      </w:r>
      <w:r>
        <w:rPr>
          <w:position w:val="2"/>
        </w:rPr>
        <w:t>粉砂（</w:t>
      </w:r>
      <w:r>
        <w:rPr>
          <w:rFonts w:ascii="Times New Roman" w:eastAsia="Times New Roman"/>
          <w:position w:val="2"/>
        </w:rPr>
        <w:t>al-lQ</w:t>
      </w:r>
      <w:r>
        <w:rPr>
          <w:rFonts w:ascii="Times New Roman" w:eastAsia="Times New Roman"/>
          <w:sz w:val="16"/>
        </w:rPr>
        <w:t>3</w:t>
      </w:r>
      <w:r>
        <w:rPr>
          <w:rFonts w:ascii="Times New Roman" w:eastAsia="Times New Roman"/>
          <w:position w:val="11"/>
          <w:sz w:val="16"/>
        </w:rPr>
        <w:t>2</w:t>
      </w:r>
      <w:r>
        <w:rPr>
          <w:position w:val="2"/>
        </w:rPr>
        <w:t>）：灰色，中密状，饱和，中压缩性。含云母，成份以粉粒、</w:t>
      </w:r>
      <w:r>
        <w:rPr/>
        <w:t>粉砂粒为主，局部夹粉土薄层，微层理发育，土层均匀性较差。该层局部分布，层厚</w:t>
      </w:r>
      <w:r>
        <w:rPr>
          <w:rFonts w:ascii="Times New Roman" w:eastAsia="Times New Roman"/>
        </w:rPr>
        <w:t>0.70~1.10m</w:t>
      </w:r>
      <w:r>
        <w:rPr/>
        <w:t>，层顶标高</w:t>
      </w:r>
      <w:r>
        <w:rPr>
          <w:rFonts w:ascii="Times New Roman" w:eastAsia="Times New Roman"/>
        </w:rPr>
        <w:t>-6.63~-5.99m</w:t>
      </w:r>
      <w:r>
        <w:rPr/>
        <w:t>。</w:t>
      </w:r>
    </w:p>
    <w:p>
      <w:pPr>
        <w:pStyle w:val="BodyText"/>
        <w:spacing w:line="364" w:lineRule="auto" w:before="2"/>
        <w:ind w:left="117" w:right="109" w:firstLine="480"/>
        <w:jc w:val="both"/>
      </w:pPr>
      <w:r>
        <w:rPr>
          <w:position w:val="2"/>
        </w:rPr>
        <w:t>（</w:t>
      </w:r>
      <w:r>
        <w:rPr>
          <w:rFonts w:ascii="Times New Roman" w:eastAsia="Times New Roman"/>
          <w:position w:val="2"/>
        </w:rPr>
        <w:t>6</w:t>
      </w:r>
      <w:r>
        <w:rPr>
          <w:position w:val="2"/>
        </w:rPr>
        <w:t>）</w:t>
      </w:r>
      <w:r>
        <w:rPr>
          <w:rFonts w:ascii="Times New Roman" w:eastAsia="Times New Roman"/>
          <w:position w:val="2"/>
        </w:rPr>
        <w:t>-2 </w:t>
      </w:r>
      <w:r>
        <w:rPr>
          <w:position w:val="2"/>
        </w:rPr>
        <w:t>粉质粘土（</w:t>
      </w:r>
      <w:r>
        <w:rPr>
          <w:rFonts w:ascii="Times New Roman" w:eastAsia="Times New Roman"/>
          <w:position w:val="2"/>
        </w:rPr>
        <w:t>al-lQ</w:t>
      </w:r>
      <w:r>
        <w:rPr>
          <w:rFonts w:ascii="Times New Roman" w:eastAsia="Times New Roman"/>
          <w:sz w:val="16"/>
        </w:rPr>
        <w:t>3</w:t>
      </w:r>
      <w:r>
        <w:rPr>
          <w:rFonts w:ascii="Times New Roman" w:eastAsia="Times New Roman"/>
          <w:position w:val="11"/>
          <w:sz w:val="16"/>
        </w:rPr>
        <w:t>2</w:t>
      </w:r>
      <w:r>
        <w:rPr>
          <w:position w:val="2"/>
        </w:rPr>
        <w:t>）：青灰</w:t>
      </w:r>
      <w:r>
        <w:rPr>
          <w:rFonts w:ascii="Times New Roman" w:eastAsia="Times New Roman"/>
          <w:position w:val="2"/>
        </w:rPr>
        <w:t>~</w:t>
      </w:r>
      <w:r>
        <w:rPr>
          <w:spacing w:val="-1"/>
          <w:position w:val="2"/>
        </w:rPr>
        <w:t>灰黄色，硬可塑状，中压缩性。含铁锰质结核， </w:t>
      </w:r>
      <w:r>
        <w:rPr>
          <w:spacing w:val="-28"/>
        </w:rPr>
        <w:t>成份以粉、粘粒为主，局部为粉质粘土，土质均匀性尚可。该层局部分布，层厚 </w:t>
      </w:r>
      <w:r>
        <w:rPr>
          <w:rFonts w:ascii="Times New Roman" w:eastAsia="Times New Roman"/>
        </w:rPr>
        <w:t>1.00~9.10m</w:t>
      </w:r>
      <w:r>
        <w:rPr/>
        <w:t>， 层顶标高</w:t>
      </w:r>
      <w:r>
        <w:rPr>
          <w:rFonts w:ascii="Times New Roman" w:eastAsia="Times New Roman"/>
        </w:rPr>
        <w:t>-13.71~-6.58m</w:t>
      </w:r>
      <w:r>
        <w:rPr/>
        <w:t>。</w:t>
      </w:r>
    </w:p>
    <w:p>
      <w:pPr>
        <w:pStyle w:val="BodyText"/>
        <w:spacing w:line="364" w:lineRule="auto" w:before="2"/>
        <w:ind w:left="117" w:right="230" w:firstLine="480"/>
        <w:jc w:val="both"/>
      </w:pPr>
      <w:r>
        <w:rPr>
          <w:spacing w:val="-3"/>
          <w:position w:val="2"/>
        </w:rPr>
        <w:t>（</w:t>
      </w:r>
      <w:r>
        <w:rPr>
          <w:rFonts w:ascii="Times New Roman" w:eastAsia="Times New Roman"/>
          <w:spacing w:val="-3"/>
          <w:position w:val="2"/>
        </w:rPr>
        <w:t>7</w:t>
      </w:r>
      <w:r>
        <w:rPr>
          <w:spacing w:val="-3"/>
          <w:position w:val="2"/>
        </w:rPr>
        <w:t>）</w:t>
      </w:r>
      <w:r>
        <w:rPr>
          <w:spacing w:val="-2"/>
          <w:position w:val="2"/>
        </w:rPr>
        <w:t>粉质粘土</w:t>
      </w:r>
      <w:r>
        <w:rPr>
          <w:spacing w:val="-3"/>
          <w:position w:val="2"/>
        </w:rPr>
        <w:t>（</w:t>
      </w:r>
      <w:r>
        <w:rPr>
          <w:rFonts w:ascii="Times New Roman" w:eastAsia="Times New Roman"/>
          <w:spacing w:val="-3"/>
          <w:position w:val="2"/>
        </w:rPr>
        <w:t>mQ</w:t>
      </w:r>
      <w:r>
        <w:rPr>
          <w:rFonts w:ascii="Times New Roman" w:eastAsia="Times New Roman"/>
          <w:spacing w:val="-3"/>
          <w:sz w:val="16"/>
        </w:rPr>
        <w:t>3</w:t>
      </w:r>
      <w:r>
        <w:rPr>
          <w:rFonts w:ascii="Times New Roman" w:eastAsia="Times New Roman"/>
          <w:spacing w:val="-3"/>
          <w:position w:val="11"/>
          <w:sz w:val="16"/>
        </w:rPr>
        <w:t>2</w:t>
      </w:r>
      <w:r>
        <w:rPr>
          <w:spacing w:val="-3"/>
          <w:position w:val="2"/>
        </w:rPr>
        <w:t>）</w:t>
      </w:r>
      <w:r>
        <w:rPr>
          <w:spacing w:val="-8"/>
          <w:position w:val="2"/>
        </w:rPr>
        <w:t>：灰色，软塑状，中压缩性。含少量有机质，成份以粉、粘</w:t>
      </w:r>
      <w:r>
        <w:rPr>
          <w:spacing w:val="-11"/>
        </w:rPr>
        <w:t>粒为主，土质均匀性尚可。该层局部分布，层厚 </w:t>
      </w:r>
      <w:r>
        <w:rPr>
          <w:rFonts w:ascii="Times New Roman" w:eastAsia="Times New Roman"/>
        </w:rPr>
        <w:t>2.30m</w:t>
      </w:r>
      <w:r>
        <w:rPr/>
        <w:t>，层顶标高</w:t>
      </w:r>
      <w:r>
        <w:rPr>
          <w:rFonts w:ascii="Times New Roman" w:eastAsia="Times New Roman"/>
        </w:rPr>
        <w:t>-11.89m</w:t>
      </w:r>
      <w:r>
        <w:rPr/>
        <w:t>。</w:t>
      </w:r>
    </w:p>
    <w:p>
      <w:pPr>
        <w:pStyle w:val="BodyText"/>
        <w:spacing w:line="364" w:lineRule="auto" w:before="1"/>
        <w:ind w:left="117" w:right="68" w:firstLine="480"/>
      </w:pPr>
      <w:r>
        <w:rPr>
          <w:position w:val="2"/>
        </w:rPr>
        <w:t>（</w:t>
      </w:r>
      <w:r>
        <w:rPr>
          <w:rFonts w:ascii="Times New Roman" w:eastAsia="Times New Roman"/>
          <w:position w:val="2"/>
        </w:rPr>
        <w:t>9</w:t>
      </w:r>
      <w:r>
        <w:rPr>
          <w:position w:val="2"/>
        </w:rPr>
        <w:t>）粉质粘土（</w:t>
      </w:r>
      <w:r>
        <w:rPr>
          <w:rFonts w:ascii="Times New Roman" w:eastAsia="Times New Roman"/>
          <w:position w:val="2"/>
        </w:rPr>
        <w:t>dl-elQ</w:t>
      </w:r>
      <w:r>
        <w:rPr>
          <w:rFonts w:ascii="Times New Roman" w:eastAsia="Times New Roman"/>
          <w:sz w:val="16"/>
        </w:rPr>
        <w:t>1-2</w:t>
      </w:r>
      <w:r>
        <w:rPr>
          <w:position w:val="2"/>
        </w:rPr>
        <w:t>）：灰黄色，硬塑状，中压缩性。含砾砂或基岩风化残余， </w:t>
      </w:r>
      <w:r>
        <w:rPr/>
        <w:t>成份以粉、粘粒为主，局部夹砾石，为残坡积层，土质均匀性较差。该层全场分布， 层厚 </w:t>
      </w:r>
      <w:r>
        <w:rPr>
          <w:rFonts w:ascii="Times New Roman" w:eastAsia="Times New Roman"/>
        </w:rPr>
        <w:t>0.20~7.50m</w:t>
      </w:r>
      <w:r>
        <w:rPr/>
        <w:t>，层顶标高</w:t>
      </w:r>
      <w:r>
        <w:rPr>
          <w:rFonts w:ascii="Times New Roman" w:eastAsia="Times New Roman"/>
        </w:rPr>
        <w:t>-16.35~-10.89m</w:t>
      </w:r>
      <w:r>
        <w:rPr/>
        <w:t>。</w:t>
      </w:r>
    </w:p>
    <w:p>
      <w:pPr>
        <w:pStyle w:val="BodyText"/>
        <w:spacing w:line="364" w:lineRule="auto" w:before="2"/>
        <w:ind w:left="117" w:right="111" w:firstLine="480"/>
        <w:jc w:val="both"/>
      </w:pPr>
      <w:r>
        <w:rPr>
          <w:spacing w:val="-3"/>
          <w:position w:val="2"/>
        </w:rPr>
        <w:t>（</w:t>
      </w:r>
      <w:r>
        <w:rPr>
          <w:rFonts w:ascii="Times New Roman" w:hAnsi="Times New Roman" w:eastAsia="Times New Roman"/>
          <w:spacing w:val="-3"/>
          <w:position w:val="2"/>
        </w:rPr>
        <w:t>10</w:t>
      </w:r>
      <w:r>
        <w:rPr>
          <w:spacing w:val="-3"/>
          <w:position w:val="2"/>
        </w:rPr>
        <w:t>）</w:t>
      </w:r>
      <w:r>
        <w:rPr>
          <w:rFonts w:ascii="Times New Roman" w:hAnsi="Times New Roman" w:eastAsia="Times New Roman"/>
          <w:spacing w:val="-3"/>
          <w:position w:val="2"/>
        </w:rPr>
        <w:t>-1 </w:t>
      </w:r>
      <w:r>
        <w:rPr>
          <w:spacing w:val="-3"/>
          <w:position w:val="2"/>
        </w:rPr>
        <w:t>强风化凝灰岩</w:t>
      </w:r>
      <w:r>
        <w:rPr>
          <w:spacing w:val="-5"/>
          <w:position w:val="2"/>
        </w:rPr>
        <w:t>（</w:t>
      </w:r>
      <w:r>
        <w:rPr>
          <w:rFonts w:ascii="Times New Roman" w:hAnsi="Times New Roman" w:eastAsia="Times New Roman"/>
          <w:i/>
          <w:spacing w:val="-5"/>
          <w:position w:val="2"/>
        </w:rPr>
        <w:t>K</w:t>
      </w:r>
      <w:r>
        <w:rPr>
          <w:rFonts w:ascii="Times New Roman" w:hAnsi="Times New Roman" w:eastAsia="Times New Roman"/>
          <w:i/>
          <w:spacing w:val="-5"/>
          <w:sz w:val="16"/>
        </w:rPr>
        <w:t>1</w:t>
      </w:r>
      <w:r>
        <w:rPr>
          <w:rFonts w:ascii="Times New Roman" w:hAnsi="Times New Roman" w:eastAsia="Times New Roman"/>
          <w:i/>
          <w:spacing w:val="-5"/>
          <w:position w:val="2"/>
        </w:rPr>
        <w:t>l</w:t>
      </w:r>
      <w:r>
        <w:rPr>
          <w:spacing w:val="-5"/>
          <w:position w:val="2"/>
        </w:rPr>
        <w:t>）：</w:t>
      </w:r>
      <w:r>
        <w:rPr>
          <w:spacing w:val="-4"/>
          <w:position w:val="2"/>
        </w:rPr>
        <w:t>灰黄色，极软岩，风化裂隙很发育，成份主要由长</w:t>
      </w:r>
      <w:r>
        <w:rPr>
          <w:spacing w:val="5"/>
        </w:rPr>
        <w:t>石、石英和微量金属矿物被火山灰胶结而成。凝灰质结构，块状构造，岩体破碎，岩</w:t>
      </w:r>
      <w:r>
        <w:rPr>
          <w:spacing w:val="2"/>
        </w:rPr>
        <w:t>芯呈碎块状，岩体基本质量等级Ⅴ级，岩石质量指标 </w:t>
      </w:r>
      <w:r>
        <w:rPr>
          <w:rFonts w:ascii="Times New Roman" w:hAnsi="Times New Roman" w:eastAsia="Times New Roman"/>
          <w:spacing w:val="3"/>
        </w:rPr>
        <w:t>RQD </w:t>
      </w:r>
      <w:r>
        <w:rPr>
          <w:spacing w:val="-25"/>
        </w:rPr>
        <w:t>为 </w:t>
      </w:r>
      <w:r>
        <w:rPr>
          <w:rFonts w:ascii="Times New Roman" w:hAnsi="Times New Roman" w:eastAsia="Times New Roman"/>
          <w:spacing w:val="4"/>
        </w:rPr>
        <w:t>30~40</w:t>
      </w:r>
      <w:r>
        <w:rPr/>
        <w:t>，岩层均匀性差。</w:t>
      </w:r>
      <w:r>
        <w:rPr>
          <w:spacing w:val="-10"/>
        </w:rPr>
        <w:t>为白垩系下统劳村组风化基岩。该层全场分布，层厚 </w:t>
      </w:r>
      <w:r>
        <w:rPr>
          <w:rFonts w:ascii="Times New Roman" w:hAnsi="Times New Roman" w:eastAsia="Times New Roman"/>
          <w:spacing w:val="-7"/>
        </w:rPr>
        <w:t>0.20~7.50m</w:t>
      </w:r>
      <w:r>
        <w:rPr>
          <w:spacing w:val="-3"/>
        </w:rPr>
        <w:t>，层顶标高</w:t>
      </w:r>
      <w:r>
        <w:rPr>
          <w:rFonts w:ascii="Times New Roman" w:hAnsi="Times New Roman" w:eastAsia="Times New Roman"/>
        </w:rPr>
        <w:t>-19.05~9.33m</w:t>
      </w:r>
      <w:r>
        <w:rPr>
          <w:spacing w:val="-13"/>
        </w:rPr>
        <w:t>。</w:t>
      </w:r>
    </w:p>
    <w:p>
      <w:pPr>
        <w:pStyle w:val="BodyText"/>
        <w:spacing w:line="364" w:lineRule="auto" w:before="3"/>
        <w:ind w:left="117" w:right="118" w:firstLine="480"/>
        <w:jc w:val="both"/>
      </w:pPr>
      <w:r>
        <w:rPr>
          <w:position w:val="2"/>
        </w:rPr>
        <w:t>（</w:t>
      </w:r>
      <w:r>
        <w:rPr>
          <w:rFonts w:ascii="Times New Roman" w:eastAsia="Times New Roman"/>
          <w:position w:val="2"/>
        </w:rPr>
        <w:t>10</w:t>
      </w:r>
      <w:r>
        <w:rPr>
          <w:position w:val="2"/>
        </w:rPr>
        <w:t>）</w:t>
      </w:r>
      <w:r>
        <w:rPr>
          <w:rFonts w:ascii="Times New Roman" w:eastAsia="Times New Roman"/>
          <w:position w:val="2"/>
        </w:rPr>
        <w:t>-2 </w:t>
      </w:r>
      <w:r>
        <w:rPr>
          <w:position w:val="2"/>
        </w:rPr>
        <w:t>中风化凝灰岩（</w:t>
      </w:r>
      <w:r>
        <w:rPr>
          <w:rFonts w:ascii="Times New Roman" w:eastAsia="Times New Roman"/>
          <w:i/>
          <w:position w:val="2"/>
        </w:rPr>
        <w:t>K</w:t>
      </w:r>
      <w:r>
        <w:rPr>
          <w:rFonts w:ascii="Times New Roman" w:eastAsia="Times New Roman"/>
          <w:i/>
          <w:sz w:val="16"/>
        </w:rPr>
        <w:t>1</w:t>
      </w:r>
      <w:r>
        <w:rPr>
          <w:rFonts w:ascii="Times New Roman" w:eastAsia="Times New Roman"/>
          <w:i/>
          <w:position w:val="2"/>
        </w:rPr>
        <w:t>l</w:t>
      </w:r>
      <w:r>
        <w:rPr>
          <w:position w:val="2"/>
        </w:rPr>
        <w:t>）：青灰色</w:t>
      </w:r>
      <w:r>
        <w:rPr>
          <w:rFonts w:ascii="Times New Roman" w:eastAsia="Times New Roman"/>
          <w:position w:val="2"/>
        </w:rPr>
        <w:t>,</w:t>
      </w:r>
      <w:r>
        <w:rPr>
          <w:position w:val="2"/>
        </w:rPr>
        <w:t>较硬岩，风化裂隙发育，成份主要由长石、</w:t>
      </w:r>
      <w:r>
        <w:rPr/>
        <w:t>石英和微量金属矿物被火山灰胶结而成。凝灰质结构，块状构造，岩体较破碎，岩芯</w:t>
      </w:r>
    </w:p>
    <w:p>
      <w:pPr>
        <w:spacing w:after="0" w:line="364" w:lineRule="auto"/>
        <w:jc w:val="both"/>
        <w:sectPr>
          <w:pgSz w:w="11910" w:h="16840"/>
          <w:pgMar w:header="874" w:footer="1004" w:top="1440" w:bottom="1200" w:left="1160" w:right="1180"/>
        </w:sectPr>
      </w:pPr>
    </w:p>
    <w:p>
      <w:pPr>
        <w:pStyle w:val="BodyText"/>
        <w:spacing w:line="364" w:lineRule="auto" w:before="64"/>
        <w:ind w:left="117" w:right="115"/>
      </w:pPr>
      <w:r>
        <w:rPr>
          <w:spacing w:val="2"/>
        </w:rPr>
        <w:t>呈短柱状，岩体基本质量等级Ⅳ级，岩石质量指标 </w:t>
      </w:r>
      <w:r>
        <w:rPr>
          <w:rFonts w:ascii="Times New Roman" w:hAnsi="Times New Roman" w:eastAsia="Times New Roman"/>
          <w:spacing w:val="2"/>
        </w:rPr>
        <w:t>RQD</w:t>
      </w:r>
      <w:r>
        <w:rPr>
          <w:rFonts w:ascii="Times New Roman" w:hAnsi="Times New Roman" w:eastAsia="Times New Roman"/>
          <w:spacing w:val="8"/>
        </w:rPr>
        <w:t> </w:t>
      </w:r>
      <w:r>
        <w:rPr>
          <w:spacing w:val="-23"/>
        </w:rPr>
        <w:t>为 </w:t>
      </w:r>
      <w:r>
        <w:rPr>
          <w:rFonts w:ascii="Times New Roman" w:hAnsi="Times New Roman" w:eastAsia="Times New Roman"/>
          <w:spacing w:val="3"/>
        </w:rPr>
        <w:t>55~65</w:t>
      </w:r>
      <w:r>
        <w:rPr/>
        <w:t>。风化程度自上而下</w:t>
      </w:r>
      <w:r>
        <w:rPr>
          <w:spacing w:val="-9"/>
        </w:rPr>
        <w:t>渐低，顶部与强风化层呈渐变过渡关系。为白垩系下统劳村组风化基岩。根据钻探揭示， </w:t>
      </w:r>
      <w:r>
        <w:rPr/>
        <w:t>该层无洞穴、临空面、破碎岩体或软弱岩层。该层全场分布，控制厚度 </w:t>
      </w:r>
      <w:r>
        <w:rPr>
          <w:rFonts w:ascii="Times New Roman" w:hAnsi="Times New Roman" w:eastAsia="Times New Roman"/>
        </w:rPr>
        <w:t>5.20~6.10m</w:t>
      </w:r>
      <w:r>
        <w:rPr/>
        <w:t>，层顶标高</w:t>
      </w:r>
      <w:r>
        <w:rPr>
          <w:rFonts w:ascii="Times New Roman" w:hAnsi="Times New Roman" w:eastAsia="Times New Roman"/>
        </w:rPr>
        <w:t>-26.11~-22.16m</w:t>
      </w:r>
      <w:r>
        <w:rPr/>
        <w:t>。</w:t>
      </w:r>
    </w:p>
    <w:p>
      <w:pPr>
        <w:pStyle w:val="Heading3"/>
        <w:spacing w:before="2"/>
        <w:ind w:left="599"/>
      </w:pPr>
      <w:r>
        <w:rPr>
          <w:rFonts w:ascii="Times New Roman" w:eastAsia="Times New Roman"/>
        </w:rPr>
        <w:t>3</w:t>
      </w:r>
      <w:r>
        <w:rPr/>
        <w:t>、地下水类型</w:t>
      </w:r>
    </w:p>
    <w:p>
      <w:pPr>
        <w:pStyle w:val="BodyText"/>
        <w:spacing w:line="364" w:lineRule="auto" w:before="160"/>
        <w:ind w:left="117" w:right="228" w:firstLine="480"/>
        <w:jc w:val="both"/>
      </w:pPr>
      <w:r>
        <w:rPr/>
        <w:t>因本项目拟建址暂未开展岩土工程勘察，本小节内容主要引用浙江省工程勘察设计院集团有限公司在附近的勘察资料（勘察地块距本项目距离约 </w:t>
      </w:r>
      <w:r>
        <w:rPr>
          <w:rFonts w:ascii="Times New Roman" w:eastAsia="Times New Roman"/>
        </w:rPr>
        <w:t>2km</w:t>
      </w:r>
      <w:r>
        <w:rPr/>
        <w:t>）。根据场地含水层埋藏、赋存条件、分布、水理性质和水力特征，勘探深度范围内地下水类型主要可分为第四系松散岩类孔隙潜水（以下简称潜水）、孔隙承压水、基岩裂隙水。具体如下：</w:t>
      </w:r>
    </w:p>
    <w:p>
      <w:pPr>
        <w:pStyle w:val="ListParagraph"/>
        <w:numPr>
          <w:ilvl w:val="0"/>
          <w:numId w:val="68"/>
        </w:numPr>
        <w:tabs>
          <w:tab w:pos="1199" w:val="left" w:leader="none"/>
        </w:tabs>
        <w:spacing w:line="240" w:lineRule="auto" w:before="3" w:after="0"/>
        <w:ind w:left="1198" w:right="0" w:hanging="602"/>
        <w:jc w:val="left"/>
        <w:rPr>
          <w:sz w:val="24"/>
        </w:rPr>
      </w:pPr>
      <w:r>
        <w:rPr>
          <w:sz w:val="24"/>
        </w:rPr>
        <w:t>孔隙潜水</w:t>
      </w:r>
    </w:p>
    <w:p>
      <w:pPr>
        <w:pStyle w:val="BodyText"/>
        <w:spacing w:line="364" w:lineRule="auto" w:before="161"/>
        <w:ind w:left="117" w:right="63" w:firstLine="480"/>
      </w:pPr>
      <w:r>
        <w:rPr/>
        <w:t>孔隙潜水主要赋存于场区上部填土及表部粉质黏土、淤泥质土中，填土透水性稍好， 水量一般；淤泥质土透水性差，水量贫乏。</w:t>
      </w:r>
    </w:p>
    <w:p>
      <w:pPr>
        <w:pStyle w:val="BodyText"/>
        <w:spacing w:line="364" w:lineRule="auto" w:before="1"/>
        <w:ind w:left="117" w:right="111" w:firstLine="480"/>
        <w:jc w:val="both"/>
      </w:pPr>
      <w:r>
        <w:rPr/>
        <w:t>孔隙潜水受大气降水竖向入渗补给及周边河道侧向补给为主，径流缓慢，以蒸发方式排泄和向附近河道侧向径流排泄为主。场地内潜水与地表水体联系密切，当河水位高于地下水位时，河水补给潜水；当河水位低于地下水位时，潜水补给河水。地下水位埋深和变化幅度受季节和大气降水的影响，雨季水位较高、旱季水位较低，动态变化大， </w:t>
      </w:r>
      <w:r>
        <w:rPr>
          <w:spacing w:val="8"/>
        </w:rPr>
        <w:t>水位变幅</w:t>
      </w:r>
      <w:r>
        <w:rPr>
          <w:rFonts w:ascii="Times New Roman" w:eastAsia="Times New Roman"/>
        </w:rPr>
        <w:t>1.0~2.0m</w:t>
      </w:r>
      <w:r>
        <w:rPr>
          <w:spacing w:val="-9"/>
        </w:rPr>
        <w:t>。勘察期间实测地下稳定水位埋深</w:t>
      </w:r>
      <w:r>
        <w:rPr>
          <w:rFonts w:ascii="Times New Roman" w:eastAsia="Times New Roman"/>
        </w:rPr>
        <w:t>0.00~1.60m</w:t>
      </w:r>
      <w:r>
        <w:rPr>
          <w:spacing w:val="-16"/>
        </w:rPr>
        <w:t>，相应标高为</w:t>
      </w:r>
      <w:r>
        <w:rPr>
          <w:rFonts w:ascii="Times New Roman" w:eastAsia="Times New Roman"/>
        </w:rPr>
        <w:t>3.65~4.73m</w:t>
      </w:r>
      <w:r>
        <w:rPr>
          <w:spacing w:val="-14"/>
        </w:rPr>
        <w:t>。</w:t>
      </w:r>
    </w:p>
    <w:p>
      <w:pPr>
        <w:pStyle w:val="ListParagraph"/>
        <w:numPr>
          <w:ilvl w:val="0"/>
          <w:numId w:val="68"/>
        </w:numPr>
        <w:tabs>
          <w:tab w:pos="1199" w:val="left" w:leader="none"/>
        </w:tabs>
        <w:spacing w:line="240" w:lineRule="auto" w:before="4" w:after="0"/>
        <w:ind w:left="1198" w:right="0" w:hanging="602"/>
        <w:jc w:val="left"/>
        <w:rPr>
          <w:sz w:val="24"/>
        </w:rPr>
      </w:pPr>
      <w:r>
        <w:rPr>
          <w:sz w:val="24"/>
        </w:rPr>
        <w:t>孔隙承压水</w:t>
      </w:r>
    </w:p>
    <w:p>
      <w:pPr>
        <w:pStyle w:val="BodyText"/>
        <w:spacing w:line="364" w:lineRule="auto" w:before="159"/>
        <w:ind w:left="117" w:right="112" w:firstLine="480"/>
        <w:jc w:val="both"/>
      </w:pPr>
      <w:r>
        <w:rPr>
          <w:position w:val="2"/>
        </w:rPr>
        <w:t>孔隙承压水主要赋存在④</w:t>
      </w:r>
      <w:r>
        <w:rPr>
          <w:rFonts w:ascii="Times New Roman" w:hAnsi="Times New Roman" w:eastAsia="Times New Roman"/>
          <w:sz w:val="16"/>
        </w:rPr>
        <w:t>2a </w:t>
      </w:r>
      <w:r>
        <w:rPr>
          <w:spacing w:val="-3"/>
          <w:position w:val="2"/>
        </w:rPr>
        <w:t>层砾砂中</w:t>
      </w:r>
      <w:r>
        <w:rPr>
          <w:position w:val="2"/>
        </w:rPr>
        <w:t>（</w:t>
      </w:r>
      <w:r>
        <w:rPr>
          <w:spacing w:val="-1"/>
          <w:position w:val="2"/>
        </w:rPr>
        <w:t>顶板标高</w:t>
      </w:r>
      <w:r>
        <w:rPr>
          <w:rFonts w:ascii="Times New Roman" w:hAnsi="Times New Roman" w:eastAsia="Times New Roman"/>
          <w:position w:val="2"/>
        </w:rPr>
        <w:t>-27.02~-22.04</w:t>
      </w:r>
      <w:r>
        <w:rPr>
          <w:position w:val="2"/>
        </w:rPr>
        <w:t>），含水层呈透镜体状分布于④</w:t>
      </w:r>
      <w:r>
        <w:rPr>
          <w:rFonts w:ascii="Times New Roman" w:hAnsi="Times New Roman" w:eastAsia="Times New Roman"/>
          <w:sz w:val="16"/>
        </w:rPr>
        <w:t>2 </w:t>
      </w:r>
      <w:r>
        <w:rPr>
          <w:position w:val="2"/>
        </w:rPr>
        <w:t>层（顶板标高</w:t>
      </w:r>
      <w:r>
        <w:rPr>
          <w:rFonts w:ascii="Times New Roman" w:hAnsi="Times New Roman" w:eastAsia="Times New Roman"/>
          <w:position w:val="2"/>
        </w:rPr>
        <w:t>-25.84~-22.04</w:t>
      </w:r>
      <w:r>
        <w:rPr>
          <w:position w:val="2"/>
        </w:rPr>
        <w:t>）中，透水性一般，水量相对较小，砂质较纯，根</w:t>
      </w:r>
      <w:r>
        <w:rPr>
          <w:spacing w:val="-5"/>
        </w:rPr>
        <w:t>据区域地质资料水位埋深在 </w:t>
      </w:r>
      <w:r>
        <w:rPr>
          <w:rFonts w:ascii="Times New Roman" w:hAnsi="Times New Roman" w:eastAsia="Times New Roman"/>
        </w:rPr>
        <w:t>4m </w:t>
      </w:r>
      <w:r>
        <w:rPr>
          <w:spacing w:val="-13"/>
        </w:rPr>
        <w:t>左右，水温 </w:t>
      </w:r>
      <w:r>
        <w:rPr>
          <w:rFonts w:ascii="Times New Roman" w:hAnsi="Times New Roman" w:eastAsia="Times New Roman"/>
        </w:rPr>
        <w:t>20</w:t>
      </w:r>
      <w:r>
        <w:rPr>
          <w:spacing w:val="-5"/>
        </w:rPr>
        <w:t>℃左右，水质为咸水，地下水基本不流动。</w:t>
      </w:r>
    </w:p>
    <w:p>
      <w:pPr>
        <w:pStyle w:val="ListParagraph"/>
        <w:numPr>
          <w:ilvl w:val="0"/>
          <w:numId w:val="68"/>
        </w:numPr>
        <w:tabs>
          <w:tab w:pos="1199" w:val="left" w:leader="none"/>
        </w:tabs>
        <w:spacing w:line="240" w:lineRule="auto" w:before="3" w:after="0"/>
        <w:ind w:left="1198" w:right="0" w:hanging="602"/>
        <w:jc w:val="left"/>
        <w:rPr>
          <w:sz w:val="24"/>
        </w:rPr>
      </w:pPr>
      <w:r>
        <w:rPr>
          <w:sz w:val="24"/>
        </w:rPr>
        <w:t>基岩裂隙水</w:t>
      </w:r>
    </w:p>
    <w:p>
      <w:pPr>
        <w:pStyle w:val="BodyText"/>
        <w:spacing w:line="364" w:lineRule="auto" w:before="160"/>
        <w:ind w:left="117" w:right="115" w:firstLine="480"/>
      </w:pPr>
      <w:r>
        <w:rPr/>
        <w:t>基岩裂隙水主要分布于深部基岩风化裂隙中，地下水赋存主要受岩石的风化程度、</w:t>
      </w:r>
      <w:r>
        <w:rPr>
          <w:spacing w:val="-5"/>
        </w:rPr>
        <w:t>裂隙发育程度、裂隙贯通性性等因素控制。由于基岩构造裂隙多呈闭合状，具透水性弱、</w:t>
      </w:r>
      <w:r>
        <w:rPr/>
        <w:t>赋水通道差的特点，水量一般较小，节理密集带有一定的赋水量，裂隙水主要受侧向补给和上部潜水沿岩土交界面和基岩节理面下渗补给，径流缓慢，向下游排泄。</w:t>
      </w:r>
    </w:p>
    <w:p>
      <w:pPr>
        <w:pStyle w:val="Heading3"/>
        <w:spacing w:before="3"/>
        <w:ind w:left="599"/>
      </w:pPr>
      <w:r>
        <w:rPr>
          <w:rFonts w:ascii="Times New Roman" w:eastAsia="Times New Roman"/>
        </w:rPr>
        <w:t>4</w:t>
      </w:r>
      <w:r>
        <w:rPr/>
        <w:t>、正常状况地下水环境影响分析</w:t>
      </w:r>
    </w:p>
    <w:p>
      <w:pPr>
        <w:pStyle w:val="BodyText"/>
        <w:spacing w:line="364" w:lineRule="auto" w:before="161"/>
        <w:ind w:left="117" w:right="229" w:firstLine="480"/>
      </w:pPr>
      <w:r>
        <w:rPr/>
        <w:t>本项目营运期对地下水环境可能造成影响的污染源主要为各类猪舍、污水管道、污水处理站、固体废物贮存场所，主要污染物为废水与固体废物。对地下水产生污染的途</w:t>
      </w:r>
    </w:p>
    <w:p>
      <w:pPr>
        <w:spacing w:after="0" w:line="364" w:lineRule="auto"/>
        <w:sectPr>
          <w:pgSz w:w="11910" w:h="16840"/>
          <w:pgMar w:header="874" w:footer="1004" w:top="1440" w:bottom="1200" w:left="1160" w:right="1180"/>
        </w:sectPr>
      </w:pPr>
    </w:p>
    <w:p>
      <w:pPr>
        <w:pStyle w:val="BodyText"/>
        <w:spacing w:before="64"/>
        <w:ind w:left="117"/>
      </w:pPr>
      <w:r>
        <w:rPr/>
        <w:t>径主要是渗透污染。渗透污染是导致地下水污染的普遍和主要方式。</w:t>
      </w:r>
    </w:p>
    <w:p>
      <w:pPr>
        <w:pStyle w:val="ListParagraph"/>
        <w:numPr>
          <w:ilvl w:val="0"/>
          <w:numId w:val="69"/>
        </w:numPr>
        <w:tabs>
          <w:tab w:pos="1199" w:val="left" w:leader="none"/>
        </w:tabs>
        <w:spacing w:line="364" w:lineRule="auto" w:before="160" w:after="0"/>
        <w:ind w:left="117" w:right="111" w:firstLine="480"/>
        <w:jc w:val="left"/>
        <w:rPr>
          <w:sz w:val="24"/>
        </w:rPr>
      </w:pPr>
      <w:r>
        <w:rPr>
          <w:spacing w:val="-3"/>
          <w:sz w:val="24"/>
        </w:rPr>
        <w:t>项目产生的污水排地表水环境，再渗入补给含水层。由工程分析可知，项目废</w:t>
      </w:r>
      <w:r>
        <w:rPr>
          <w:spacing w:val="-6"/>
          <w:sz w:val="24"/>
        </w:rPr>
        <w:t>水经处理达标后纳入污水管网，不直接排入附近地表水体；项目废水采用管道输送污水， </w:t>
      </w:r>
      <w:r>
        <w:rPr>
          <w:sz w:val="24"/>
        </w:rPr>
        <w:t>防止地下渗透。因此不会对地表径流造成影响，继而也不会因补给地下水造成影响。</w:t>
      </w:r>
    </w:p>
    <w:p>
      <w:pPr>
        <w:pStyle w:val="ListParagraph"/>
        <w:numPr>
          <w:ilvl w:val="0"/>
          <w:numId w:val="69"/>
        </w:numPr>
        <w:tabs>
          <w:tab w:pos="1199" w:val="left" w:leader="none"/>
        </w:tabs>
        <w:spacing w:line="364" w:lineRule="auto" w:before="2" w:after="0"/>
        <w:ind w:left="117" w:right="110" w:firstLine="480"/>
        <w:jc w:val="left"/>
        <w:rPr>
          <w:sz w:val="24"/>
        </w:rPr>
      </w:pPr>
      <w:r>
        <w:rPr>
          <w:spacing w:val="-1"/>
          <w:sz w:val="24"/>
        </w:rPr>
        <w:t>本项目各类固体废物的贮存场所参照《一般工业固体废弃物贮存和填埋污染控制标准》（</w:t>
      </w:r>
      <w:r>
        <w:rPr>
          <w:rFonts w:ascii="Times New Roman" w:eastAsia="Times New Roman"/>
          <w:spacing w:val="-1"/>
          <w:sz w:val="24"/>
        </w:rPr>
        <w:t>GB</w:t>
      </w:r>
      <w:r>
        <w:rPr>
          <w:rFonts w:ascii="Times New Roman" w:eastAsia="Times New Roman"/>
          <w:spacing w:val="51"/>
          <w:sz w:val="24"/>
        </w:rPr>
        <w:t> </w:t>
      </w:r>
      <w:r>
        <w:rPr>
          <w:rFonts w:ascii="Times New Roman" w:eastAsia="Times New Roman"/>
          <w:sz w:val="24"/>
        </w:rPr>
        <w:t>18599-2020</w:t>
      </w:r>
      <w:r>
        <w:rPr>
          <w:sz w:val="24"/>
        </w:rPr>
        <w:t>）、《危险废物贮存污染控制标准》（</w:t>
      </w:r>
      <w:r>
        <w:rPr>
          <w:rFonts w:ascii="Times New Roman" w:eastAsia="Times New Roman"/>
          <w:sz w:val="24"/>
        </w:rPr>
        <w:t>GB</w:t>
      </w:r>
      <w:r>
        <w:rPr>
          <w:rFonts w:ascii="Times New Roman" w:eastAsia="Times New Roman"/>
          <w:spacing w:val="52"/>
          <w:sz w:val="24"/>
        </w:rPr>
        <w:t> </w:t>
      </w:r>
      <w:r>
        <w:rPr>
          <w:rFonts w:ascii="Times New Roman" w:eastAsia="Times New Roman"/>
          <w:sz w:val="24"/>
        </w:rPr>
        <w:t>18597-2001</w:t>
      </w:r>
      <w:r>
        <w:rPr>
          <w:sz w:val="24"/>
        </w:rPr>
        <w:t>）及其</w:t>
      </w:r>
      <w:r>
        <w:rPr>
          <w:spacing w:val="-2"/>
          <w:sz w:val="24"/>
        </w:rPr>
        <w:t>修改单</w:t>
      </w:r>
      <w:r>
        <w:rPr>
          <w:sz w:val="24"/>
        </w:rPr>
        <w:t>（</w:t>
      </w:r>
      <w:r>
        <w:rPr>
          <w:spacing w:val="-16"/>
          <w:sz w:val="24"/>
        </w:rPr>
        <w:t>环保部 </w:t>
      </w:r>
      <w:r>
        <w:rPr>
          <w:rFonts w:ascii="Times New Roman" w:eastAsia="Times New Roman"/>
          <w:sz w:val="24"/>
        </w:rPr>
        <w:t>2013 </w:t>
      </w:r>
      <w:r>
        <w:rPr>
          <w:spacing w:val="-30"/>
          <w:sz w:val="24"/>
        </w:rPr>
        <w:t>第 </w:t>
      </w:r>
      <w:r>
        <w:rPr>
          <w:rFonts w:ascii="Times New Roman" w:eastAsia="Times New Roman"/>
          <w:sz w:val="24"/>
        </w:rPr>
        <w:t>36 </w:t>
      </w:r>
      <w:r>
        <w:rPr>
          <w:sz w:val="24"/>
        </w:rPr>
        <w:t>号公告</w:t>
      </w:r>
      <w:r>
        <w:rPr>
          <w:spacing w:val="-5"/>
          <w:sz w:val="24"/>
        </w:rPr>
        <w:t>）</w:t>
      </w:r>
      <w:r>
        <w:rPr>
          <w:spacing w:val="-4"/>
          <w:sz w:val="24"/>
        </w:rPr>
        <w:t>中的规定建设，设置防雨淋、防渗漏、防流失措施， </w:t>
      </w:r>
      <w:r>
        <w:rPr>
          <w:sz w:val="24"/>
        </w:rPr>
        <w:t>以防止废物或其淋滤液渗入地下或进入地表水体而污染地下水。</w:t>
      </w:r>
    </w:p>
    <w:p>
      <w:pPr>
        <w:pStyle w:val="ListParagraph"/>
        <w:numPr>
          <w:ilvl w:val="0"/>
          <w:numId w:val="69"/>
        </w:numPr>
        <w:tabs>
          <w:tab w:pos="1199" w:val="left" w:leader="none"/>
        </w:tabs>
        <w:spacing w:line="364" w:lineRule="auto" w:before="3" w:after="0"/>
        <w:ind w:left="117" w:right="112" w:firstLine="480"/>
        <w:jc w:val="left"/>
        <w:rPr>
          <w:sz w:val="24"/>
        </w:rPr>
      </w:pPr>
      <w:r>
        <w:rPr>
          <w:spacing w:val="-4"/>
          <w:sz w:val="24"/>
        </w:rPr>
        <w:t>本项目猪舍、集污池、污水站等涉水作业面均为埋地暗管，所有穿过涉水构筑物的管道预先设置防水套管，防水套管的环缝隙采用不透水的柔性材料填塞，涉水区采</w:t>
      </w:r>
      <w:r>
        <w:rPr>
          <w:spacing w:val="-31"/>
          <w:sz w:val="24"/>
        </w:rPr>
        <w:t>用 </w:t>
      </w:r>
      <w:r>
        <w:rPr>
          <w:rFonts w:ascii="Times New Roman" w:hAnsi="Times New Roman" w:eastAsia="Times New Roman"/>
          <w:spacing w:val="-12"/>
          <w:sz w:val="24"/>
        </w:rPr>
        <w:t>HDPE</w:t>
      </w:r>
      <w:r>
        <w:rPr>
          <w:spacing w:val="-12"/>
          <w:sz w:val="24"/>
        </w:rPr>
        <w:t>（</w:t>
      </w:r>
      <w:r>
        <w:rPr>
          <w:sz w:val="24"/>
        </w:rPr>
        <w:t>高密度聚乙烯</w:t>
      </w:r>
      <w:r>
        <w:rPr>
          <w:spacing w:val="-58"/>
          <w:sz w:val="24"/>
        </w:rPr>
        <w:t>）</w:t>
      </w:r>
      <w:r>
        <w:rPr>
          <w:spacing w:val="-8"/>
          <w:sz w:val="24"/>
        </w:rPr>
        <w:t>垫衬等防渗措施，渗透系数</w:t>
      </w:r>
      <w:r>
        <w:rPr>
          <w:rFonts w:ascii="Times New Roman" w:hAnsi="Times New Roman" w:eastAsia="Times New Roman"/>
          <w:spacing w:val="-6"/>
          <w:sz w:val="24"/>
        </w:rPr>
        <w:t>≤10</w:t>
      </w:r>
      <w:r>
        <w:rPr>
          <w:rFonts w:ascii="Times New Roman" w:hAnsi="Times New Roman" w:eastAsia="Times New Roman"/>
          <w:spacing w:val="-6"/>
          <w:position w:val="9"/>
          <w:sz w:val="16"/>
        </w:rPr>
        <w:t>-7</w:t>
      </w:r>
      <w:r>
        <w:rPr>
          <w:rFonts w:ascii="Times New Roman" w:hAnsi="Times New Roman" w:eastAsia="Times New Roman"/>
          <w:spacing w:val="-6"/>
          <w:sz w:val="24"/>
        </w:rPr>
        <w:t>cm/s</w:t>
      </w:r>
      <w:r>
        <w:rPr>
          <w:spacing w:val="-4"/>
          <w:sz w:val="24"/>
        </w:rPr>
        <w:t>，严格控制废水渗入地下。</w:t>
      </w:r>
      <w:r>
        <w:rPr>
          <w:sz w:val="24"/>
        </w:rPr>
        <w:t>厂区做好防渗措施后，本项目对周边环境及地下水影响较小。</w:t>
      </w:r>
    </w:p>
    <w:p>
      <w:pPr>
        <w:pStyle w:val="BodyText"/>
        <w:spacing w:line="364" w:lineRule="auto" w:before="2"/>
        <w:ind w:left="117" w:right="229" w:firstLine="480"/>
        <w:jc w:val="both"/>
      </w:pPr>
      <w:r>
        <w:rPr/>
        <w:t>企业应加强生产管理，避免非正常事故发生，同时配合相关环境保护管理部门建立地下水污染监控制度和环境管理体系，经常对地下水水质进行监测，以便及时发现并采取有效的补救措施。</w:t>
      </w:r>
    </w:p>
    <w:p>
      <w:pPr>
        <w:pStyle w:val="Heading3"/>
        <w:spacing w:before="2"/>
        <w:ind w:left="599"/>
      </w:pPr>
      <w:r>
        <w:rPr>
          <w:rFonts w:ascii="Times New Roman" w:eastAsia="Times New Roman"/>
        </w:rPr>
        <w:t>5</w:t>
      </w:r>
      <w:r>
        <w:rPr/>
        <w:t>、非正常状况地下水环境影响分析</w:t>
      </w:r>
    </w:p>
    <w:p>
      <w:pPr>
        <w:pStyle w:val="BodyText"/>
        <w:spacing w:line="364" w:lineRule="auto" w:before="161" w:after="19"/>
        <w:ind w:left="117" w:right="229" w:firstLine="480"/>
        <w:jc w:val="both"/>
      </w:pPr>
      <w:r>
        <w:rPr/>
        <w:t>假设非正常状况集污池污水发生泄漏，进入地下水。泄漏后不久采取应急响应，截断污染物下渗，将污染情景概化为一维稳定流动一维水动力弥散问题，污染源为短时泄</w:t>
      </w:r>
      <w:r>
        <w:rPr>
          <w:spacing w:val="-6"/>
        </w:rPr>
        <w:t>露，本情景适合导则推荐解析法中的 </w:t>
      </w:r>
      <w:r>
        <w:rPr>
          <w:rFonts w:ascii="Times New Roman" w:hAnsi="Times New Roman" w:eastAsia="Times New Roman"/>
        </w:rPr>
        <w:t>D.1.2.1.1“</w:t>
      </w:r>
      <w:r>
        <w:rPr>
          <w:spacing w:val="-1"/>
        </w:rPr>
        <w:t>一维无限长多孔介质柱体，示踪剂瞬时注入</w:t>
      </w:r>
      <w:r>
        <w:rPr>
          <w:rFonts w:ascii="Times New Roman" w:hAnsi="Times New Roman" w:eastAsia="Times New Roman"/>
          <w:spacing w:val="-1"/>
        </w:rPr>
        <w:t>”</w:t>
      </w:r>
      <w:r>
        <w:rPr>
          <w:spacing w:val="-5"/>
        </w:rPr>
        <w:t>问题，当取平行地下水流动的方向为 </w:t>
      </w:r>
      <w:r>
        <w:rPr>
          <w:rFonts w:ascii="Times New Roman" w:hAnsi="Times New Roman" w:eastAsia="Times New Roman"/>
        </w:rPr>
        <w:t>x </w:t>
      </w:r>
      <w:r>
        <w:rPr/>
        <w:t>轴正方向时，污染物浓度分布模型如下：</w:t>
      </w:r>
    </w:p>
    <w:p>
      <w:pPr>
        <w:pStyle w:val="BodyText"/>
        <w:ind w:left="3258"/>
        <w:rPr>
          <w:sz w:val="20"/>
        </w:rPr>
      </w:pPr>
      <w:r>
        <w:rPr>
          <w:sz w:val="20"/>
        </w:rPr>
        <w:drawing>
          <wp:inline distT="0" distB="0" distL="0" distR="0">
            <wp:extent cx="1878789" cy="493871"/>
            <wp:effectExtent l="0" t="0" r="0" b="0"/>
            <wp:docPr id="15" name="image42.png"/>
            <wp:cNvGraphicFramePr>
              <a:graphicFrameLocks noChangeAspect="1"/>
            </wp:cNvGraphicFramePr>
            <a:graphic>
              <a:graphicData uri="http://schemas.openxmlformats.org/drawingml/2006/picture">
                <pic:pic>
                  <pic:nvPicPr>
                    <pic:cNvPr id="16" name="image42.png"/>
                    <pic:cNvPicPr/>
                  </pic:nvPicPr>
                  <pic:blipFill>
                    <a:blip r:embed="rId72" cstate="print"/>
                    <a:stretch>
                      <a:fillRect/>
                    </a:stretch>
                  </pic:blipFill>
                  <pic:spPr>
                    <a:xfrm>
                      <a:off x="0" y="0"/>
                      <a:ext cx="1878789" cy="493871"/>
                    </a:xfrm>
                    <a:prstGeom prst="rect">
                      <a:avLst/>
                    </a:prstGeom>
                  </pic:spPr>
                </pic:pic>
              </a:graphicData>
            </a:graphic>
          </wp:inline>
        </w:drawing>
      </w:r>
      <w:r>
        <w:rPr>
          <w:sz w:val="20"/>
        </w:rPr>
      </w:r>
    </w:p>
    <w:p>
      <w:pPr>
        <w:pStyle w:val="BodyText"/>
        <w:spacing w:before="141"/>
        <w:ind w:left="597"/>
      </w:pPr>
      <w:r>
        <w:rPr/>
        <w:t>式中：</w:t>
      </w:r>
      <w:r>
        <w:rPr>
          <w:rFonts w:ascii="Times New Roman" w:hAnsi="Times New Roman" w:eastAsia="Times New Roman"/>
          <w:i/>
        </w:rPr>
        <w:t>x</w:t>
      </w:r>
      <w:r>
        <w:rPr>
          <w:rFonts w:ascii="Times New Roman" w:hAnsi="Times New Roman" w:eastAsia="Times New Roman"/>
        </w:rPr>
        <w:t>——</w:t>
      </w:r>
      <w:r>
        <w:rPr/>
        <w:t>距注入点的距离，</w:t>
      </w:r>
      <w:r>
        <w:rPr>
          <w:rFonts w:ascii="Times New Roman" w:hAnsi="Times New Roman" w:eastAsia="Times New Roman"/>
        </w:rPr>
        <w:t>m</w:t>
      </w:r>
      <w:r>
        <w:rPr/>
        <w:t>；</w:t>
      </w:r>
    </w:p>
    <w:p>
      <w:pPr>
        <w:pStyle w:val="BodyText"/>
        <w:spacing w:before="161"/>
        <w:ind w:left="1317"/>
      </w:pPr>
      <w:r>
        <w:rPr>
          <w:rFonts w:ascii="Times New Roman" w:hAnsi="Times New Roman" w:eastAsia="Times New Roman"/>
          <w:i/>
        </w:rPr>
        <w:t>t</w:t>
      </w:r>
      <w:r>
        <w:rPr>
          <w:rFonts w:ascii="Times New Roman" w:hAnsi="Times New Roman" w:eastAsia="Times New Roman"/>
        </w:rPr>
        <w:t>——</w:t>
      </w:r>
      <w:r>
        <w:rPr/>
        <w:t>时间，</w:t>
      </w:r>
      <w:r>
        <w:rPr>
          <w:rFonts w:ascii="Times New Roman" w:hAnsi="Times New Roman" w:eastAsia="Times New Roman"/>
        </w:rPr>
        <w:t>d</w:t>
      </w:r>
      <w:r>
        <w:rPr/>
        <w:t>；</w:t>
      </w:r>
    </w:p>
    <w:p>
      <w:pPr>
        <w:spacing w:before="160"/>
        <w:ind w:left="1317" w:right="0" w:firstLine="0"/>
        <w:jc w:val="left"/>
        <w:rPr>
          <w:sz w:val="24"/>
        </w:rPr>
      </w:pPr>
      <w:r>
        <w:rPr>
          <w:rFonts w:ascii="Times New Roman" w:hAnsi="Times New Roman" w:eastAsia="Times New Roman"/>
          <w:i/>
          <w:sz w:val="24"/>
        </w:rPr>
        <w:t>C</w:t>
      </w:r>
      <w:r>
        <w:rPr>
          <w:rFonts w:ascii="Times New Roman" w:hAnsi="Times New Roman" w:eastAsia="Times New Roman"/>
          <w:sz w:val="24"/>
        </w:rPr>
        <w:t>(</w:t>
      </w:r>
      <w:r>
        <w:rPr>
          <w:rFonts w:ascii="Times New Roman" w:hAnsi="Times New Roman" w:eastAsia="Times New Roman"/>
          <w:i/>
          <w:sz w:val="24"/>
        </w:rPr>
        <w:t>x</w:t>
      </w:r>
      <w:r>
        <w:rPr>
          <w:rFonts w:ascii="Times New Roman" w:hAnsi="Times New Roman" w:eastAsia="Times New Roman"/>
          <w:sz w:val="24"/>
        </w:rPr>
        <w:t>,</w:t>
      </w:r>
      <w:r>
        <w:rPr>
          <w:rFonts w:ascii="Times New Roman" w:hAnsi="Times New Roman" w:eastAsia="Times New Roman"/>
          <w:i/>
          <w:sz w:val="24"/>
        </w:rPr>
        <w:t>t</w:t>
      </w:r>
      <w:r>
        <w:rPr>
          <w:rFonts w:ascii="Times New Roman" w:hAnsi="Times New Roman" w:eastAsia="Times New Roman"/>
          <w:sz w:val="24"/>
        </w:rPr>
        <w:t>)——</w:t>
      </w:r>
      <w:r>
        <w:rPr>
          <w:rFonts w:ascii="Times New Roman" w:hAnsi="Times New Roman" w:eastAsia="Times New Roman"/>
          <w:i/>
          <w:sz w:val="24"/>
        </w:rPr>
        <w:t>t </w:t>
      </w:r>
      <w:r>
        <w:rPr>
          <w:sz w:val="24"/>
        </w:rPr>
        <w:t>时刻点 </w:t>
      </w:r>
      <w:r>
        <w:rPr>
          <w:rFonts w:ascii="Times New Roman" w:hAnsi="Times New Roman" w:eastAsia="Times New Roman"/>
          <w:i/>
          <w:sz w:val="24"/>
        </w:rPr>
        <w:t>x </w:t>
      </w:r>
      <w:r>
        <w:rPr>
          <w:sz w:val="24"/>
        </w:rPr>
        <w:t>处的示踪剂浓度，</w:t>
      </w:r>
      <w:r>
        <w:rPr>
          <w:rFonts w:ascii="Times New Roman" w:hAnsi="Times New Roman" w:eastAsia="Times New Roman"/>
          <w:sz w:val="24"/>
        </w:rPr>
        <w:t>mg/L</w:t>
      </w:r>
      <w:r>
        <w:rPr>
          <w:sz w:val="24"/>
        </w:rPr>
        <w:t>；</w:t>
      </w:r>
    </w:p>
    <w:p>
      <w:pPr>
        <w:pStyle w:val="BodyText"/>
        <w:spacing w:line="364" w:lineRule="auto" w:before="161"/>
        <w:ind w:left="1317" w:right="4939"/>
      </w:pPr>
      <w:r>
        <w:rPr>
          <w:rFonts w:ascii="Times New Roman" w:hAnsi="Times New Roman" w:eastAsia="Times New Roman"/>
          <w:i/>
        </w:rPr>
        <w:t>m</w:t>
      </w:r>
      <w:r>
        <w:rPr>
          <w:rFonts w:ascii="Times New Roman" w:hAnsi="Times New Roman" w:eastAsia="Times New Roman"/>
        </w:rPr>
        <w:t>——</w:t>
      </w:r>
      <w:r>
        <w:rPr/>
        <w:t>注入的示踪剂质量，</w:t>
      </w:r>
      <w:r>
        <w:rPr>
          <w:rFonts w:ascii="Times New Roman" w:hAnsi="Times New Roman" w:eastAsia="Times New Roman"/>
        </w:rPr>
        <w:t>kg</w:t>
      </w:r>
      <w:r>
        <w:rPr/>
        <w:t>； </w:t>
      </w:r>
      <w:r>
        <w:rPr>
          <w:rFonts w:ascii="Times New Roman" w:hAnsi="Times New Roman" w:eastAsia="Times New Roman"/>
          <w:i/>
        </w:rPr>
        <w:t>u</w:t>
      </w:r>
      <w:r>
        <w:rPr>
          <w:rFonts w:ascii="Times New Roman" w:hAnsi="Times New Roman" w:eastAsia="Times New Roman"/>
        </w:rPr>
        <w:t>——</w:t>
      </w:r>
      <w:r>
        <w:rPr/>
        <w:t>水流速度，</w:t>
      </w:r>
      <w:r>
        <w:rPr>
          <w:rFonts w:ascii="Times New Roman" w:hAnsi="Times New Roman" w:eastAsia="Times New Roman"/>
        </w:rPr>
        <w:t>m/d</w:t>
      </w:r>
      <w:r>
        <w:rPr/>
        <w:t>；</w:t>
      </w:r>
    </w:p>
    <w:p>
      <w:pPr>
        <w:pStyle w:val="BodyText"/>
        <w:spacing w:line="364" w:lineRule="auto"/>
        <w:ind w:left="1317" w:right="5129"/>
      </w:pPr>
      <w:r>
        <w:rPr>
          <w:rFonts w:ascii="Times New Roman" w:hAnsi="Times New Roman" w:eastAsia="Times New Roman"/>
          <w:i/>
          <w:position w:val="2"/>
        </w:rPr>
        <w:t>n</w:t>
      </w:r>
      <w:r>
        <w:rPr>
          <w:rFonts w:ascii="Times New Roman" w:hAnsi="Times New Roman" w:eastAsia="Times New Roman"/>
          <w:i/>
          <w:sz w:val="16"/>
        </w:rPr>
        <w:t>e</w:t>
      </w:r>
      <w:r>
        <w:rPr>
          <w:rFonts w:ascii="Times New Roman" w:hAnsi="Times New Roman" w:eastAsia="Times New Roman"/>
          <w:position w:val="2"/>
        </w:rPr>
        <w:t>——</w:t>
      </w:r>
      <w:r>
        <w:rPr>
          <w:position w:val="2"/>
        </w:rPr>
        <w:t>有效孔隙度，无量纲； </w:t>
      </w:r>
      <w:r>
        <w:rPr>
          <w:rFonts w:ascii="Times New Roman" w:hAnsi="Times New Roman" w:eastAsia="Times New Roman"/>
          <w:i/>
          <w:position w:val="2"/>
        </w:rPr>
        <w:t>D</w:t>
      </w:r>
      <w:r>
        <w:rPr>
          <w:rFonts w:ascii="Times New Roman" w:hAnsi="Times New Roman" w:eastAsia="Times New Roman"/>
          <w:i/>
          <w:sz w:val="16"/>
        </w:rPr>
        <w:t>L</w:t>
      </w:r>
      <w:r>
        <w:rPr>
          <w:rFonts w:ascii="Times New Roman" w:hAnsi="Times New Roman" w:eastAsia="Times New Roman"/>
          <w:position w:val="2"/>
        </w:rPr>
        <w:t>——</w:t>
      </w:r>
      <w:r>
        <w:rPr>
          <w:position w:val="2"/>
        </w:rPr>
        <w:t>纵向弥散系数，</w:t>
      </w:r>
      <w:r>
        <w:rPr>
          <w:rFonts w:ascii="Times New Roman" w:hAnsi="Times New Roman" w:eastAsia="Times New Roman"/>
          <w:position w:val="2"/>
        </w:rPr>
        <w:t>m</w:t>
      </w:r>
      <w:r>
        <w:rPr>
          <w:rFonts w:ascii="Times New Roman" w:hAnsi="Times New Roman" w:eastAsia="Times New Roman"/>
          <w:position w:val="2"/>
          <w:vertAlign w:val="superscript"/>
        </w:rPr>
        <w:t>2</w:t>
      </w:r>
      <w:r>
        <w:rPr>
          <w:rFonts w:ascii="Times New Roman" w:hAnsi="Times New Roman" w:eastAsia="Times New Roman"/>
          <w:position w:val="2"/>
          <w:vertAlign w:val="baseline"/>
        </w:rPr>
        <w:t>/d</w:t>
      </w:r>
      <w:r>
        <w:rPr>
          <w:position w:val="2"/>
          <w:vertAlign w:val="baseline"/>
        </w:rPr>
        <w:t>。</w:t>
      </w:r>
    </w:p>
    <w:p>
      <w:pPr>
        <w:spacing w:after="0" w:line="364" w:lineRule="auto"/>
        <w:sectPr>
          <w:pgSz w:w="11910" w:h="16840"/>
          <w:pgMar w:header="874" w:footer="1004" w:top="1440" w:bottom="1200" w:left="1160" w:right="1180"/>
        </w:sectPr>
      </w:pPr>
    </w:p>
    <w:p>
      <w:pPr>
        <w:pStyle w:val="BodyText"/>
        <w:spacing w:before="64"/>
        <w:ind w:left="597"/>
      </w:pPr>
      <w:r>
        <w:rPr>
          <w:spacing w:val="-8"/>
        </w:rPr>
        <w:t>本环评水力梯度 </w:t>
      </w:r>
      <w:r>
        <w:rPr>
          <w:rFonts w:ascii="Times New Roman" w:eastAsia="Times New Roman"/>
        </w:rPr>
        <w:t>I </w:t>
      </w:r>
      <w:r>
        <w:rPr>
          <w:spacing w:val="-12"/>
        </w:rPr>
        <w:t>取经验值 </w:t>
      </w:r>
      <w:r>
        <w:rPr>
          <w:rFonts w:ascii="Times New Roman" w:eastAsia="Times New Roman"/>
          <w:spacing w:val="-11"/>
        </w:rPr>
        <w:t>0.01</w:t>
      </w:r>
      <w:r>
        <w:rPr>
          <w:spacing w:val="-9"/>
        </w:rPr>
        <w:t>，渗透系数取《环境影响评价技术导则 地下水环境》</w:t>
      </w:r>
    </w:p>
    <w:p>
      <w:pPr>
        <w:pStyle w:val="BodyText"/>
        <w:spacing w:line="364" w:lineRule="auto" w:before="160"/>
        <w:ind w:left="117" w:right="227"/>
        <w:jc w:val="both"/>
      </w:pPr>
      <w:r>
        <w:rPr/>
        <w:t>（</w:t>
      </w:r>
      <w:r>
        <w:rPr>
          <w:rFonts w:ascii="Times New Roman" w:hAnsi="Times New Roman" w:eastAsia="Times New Roman"/>
        </w:rPr>
        <w:t>HJ</w:t>
      </w:r>
      <w:r>
        <w:rPr>
          <w:rFonts w:ascii="Times New Roman" w:hAnsi="Times New Roman" w:eastAsia="Times New Roman"/>
          <w:spacing w:val="57"/>
        </w:rPr>
        <w:t> </w:t>
      </w:r>
      <w:r>
        <w:rPr>
          <w:rFonts w:ascii="Times New Roman" w:hAnsi="Times New Roman" w:eastAsia="Times New Roman"/>
        </w:rPr>
        <w:t>610-2016</w:t>
      </w:r>
      <w:r>
        <w:rPr/>
        <w:t>）</w:t>
      </w:r>
      <w:r>
        <w:rPr>
          <w:spacing w:val="-17"/>
        </w:rPr>
        <w:t>附录 </w:t>
      </w:r>
      <w:r>
        <w:rPr>
          <w:rFonts w:ascii="Times New Roman" w:hAnsi="Times New Roman" w:eastAsia="Times New Roman"/>
        </w:rPr>
        <w:t>B </w:t>
      </w:r>
      <w:r>
        <w:rPr>
          <w:spacing w:val="-7"/>
        </w:rPr>
        <w:t>中粘性土较大值 </w:t>
      </w:r>
      <w:r>
        <w:rPr>
          <w:rFonts w:ascii="Times New Roman" w:hAnsi="Times New Roman" w:eastAsia="Times New Roman"/>
        </w:rPr>
        <w:t>0.25m/d</w:t>
      </w:r>
      <w:r>
        <w:rPr>
          <w:spacing w:val="-8"/>
        </w:rPr>
        <w:t>，有效孔隙度 </w:t>
      </w:r>
      <w:r>
        <w:rPr>
          <w:rFonts w:ascii="Times New Roman" w:hAnsi="Times New Roman" w:eastAsia="Times New Roman"/>
        </w:rPr>
        <w:t>n </w:t>
      </w:r>
      <w:r>
        <w:rPr>
          <w:spacing w:val="-12"/>
        </w:rPr>
        <w:t>取经验值 </w:t>
      </w:r>
      <w:r>
        <w:rPr>
          <w:rFonts w:ascii="Times New Roman" w:hAnsi="Times New Roman" w:eastAsia="Times New Roman"/>
        </w:rPr>
        <w:t>0.03</w:t>
      </w:r>
      <w:r>
        <w:rPr/>
        <w:t>，地下水</w:t>
      </w:r>
      <w:r>
        <w:rPr>
          <w:spacing w:val="21"/>
        </w:rPr>
        <w:t>运移速率 </w:t>
      </w:r>
      <w:r>
        <w:rPr>
          <w:rFonts w:ascii="Times New Roman" w:hAnsi="Times New Roman" w:eastAsia="Times New Roman"/>
          <w:i/>
        </w:rPr>
        <w:t>V</w:t>
      </w:r>
      <w:r>
        <w:rPr>
          <w:rFonts w:ascii="Times New Roman" w:hAnsi="Times New Roman" w:eastAsia="Times New Roman"/>
        </w:rPr>
        <w:t>≈</w:t>
      </w:r>
      <w:r>
        <w:rPr>
          <w:rFonts w:ascii="Times New Roman" w:hAnsi="Times New Roman" w:eastAsia="Times New Roman"/>
          <w:i/>
        </w:rPr>
        <w:t>u</w:t>
      </w:r>
      <w:r>
        <w:rPr>
          <w:rFonts w:ascii="Times New Roman" w:hAnsi="Times New Roman" w:eastAsia="Times New Roman"/>
        </w:rPr>
        <w:t>=</w:t>
      </w:r>
      <w:r>
        <w:rPr>
          <w:rFonts w:ascii="Times New Roman" w:hAnsi="Times New Roman" w:eastAsia="Times New Roman"/>
          <w:i/>
        </w:rPr>
        <w:t>KI</w:t>
      </w:r>
      <w:r>
        <w:rPr>
          <w:rFonts w:ascii="Times New Roman" w:hAnsi="Times New Roman" w:eastAsia="Times New Roman"/>
        </w:rPr>
        <w:t>/</w:t>
      </w:r>
      <w:r>
        <w:rPr>
          <w:rFonts w:ascii="Times New Roman" w:hAnsi="Times New Roman" w:eastAsia="Times New Roman"/>
          <w:i/>
        </w:rPr>
        <w:t>n</w:t>
      </w:r>
      <w:r>
        <w:rPr>
          <w:rFonts w:ascii="Times New Roman" w:hAnsi="Times New Roman" w:eastAsia="Times New Roman"/>
        </w:rPr>
        <w:t>=0.25m/d×0.01/0.03≈0.083m/d </w:t>
      </w:r>
      <w:r>
        <w:rPr>
          <w:spacing w:val="5"/>
        </w:rPr>
        <w:t>； 经查阅相关文献， 纵向弥散系数</w:t>
      </w:r>
      <w:r>
        <w:rPr>
          <w:rFonts w:ascii="Times New Roman" w:hAnsi="Times New Roman" w:eastAsia="Times New Roman"/>
          <w:i/>
          <w:spacing w:val="5"/>
          <w:position w:val="2"/>
        </w:rPr>
        <w:t>D</w:t>
      </w:r>
      <w:r>
        <w:rPr>
          <w:rFonts w:ascii="Times New Roman" w:hAnsi="Times New Roman" w:eastAsia="Times New Roman"/>
          <w:i/>
          <w:spacing w:val="5"/>
          <w:sz w:val="16"/>
        </w:rPr>
        <w:t>L</w:t>
      </w:r>
      <w:r>
        <w:rPr>
          <w:rFonts w:ascii="Times New Roman" w:hAnsi="Times New Roman" w:eastAsia="Times New Roman"/>
          <w:spacing w:val="5"/>
          <w:position w:val="2"/>
        </w:rPr>
        <w:t>=</w:t>
      </w:r>
      <w:r>
        <w:rPr>
          <w:rFonts w:ascii="Times New Roman" w:hAnsi="Times New Roman" w:eastAsia="Times New Roman"/>
          <w:i/>
          <w:spacing w:val="5"/>
          <w:position w:val="2"/>
        </w:rPr>
        <w:t>α</w:t>
      </w:r>
      <w:r>
        <w:rPr>
          <w:rFonts w:ascii="Times New Roman" w:hAnsi="Times New Roman" w:eastAsia="Times New Roman"/>
          <w:i/>
          <w:spacing w:val="5"/>
          <w:sz w:val="16"/>
        </w:rPr>
        <w:t>L</w:t>
      </w:r>
      <w:r>
        <w:rPr>
          <w:rFonts w:ascii="Times New Roman" w:hAnsi="Times New Roman" w:eastAsia="Times New Roman"/>
          <w:i/>
          <w:spacing w:val="5"/>
          <w:position w:val="2"/>
        </w:rPr>
        <w:t>V</w:t>
      </w:r>
      <w:r>
        <w:rPr>
          <w:rFonts w:ascii="Times New Roman" w:hAnsi="Times New Roman" w:eastAsia="Times New Roman"/>
          <w:i/>
          <w:spacing w:val="5"/>
          <w:position w:val="2"/>
          <w:vertAlign w:val="superscript"/>
        </w:rPr>
        <w:t>m</w:t>
      </w:r>
      <w:r>
        <w:rPr>
          <w:rFonts w:ascii="Times New Roman" w:hAnsi="Times New Roman" w:eastAsia="Times New Roman"/>
          <w:spacing w:val="5"/>
          <w:position w:val="2"/>
          <w:vertAlign w:val="baseline"/>
        </w:rPr>
        <w:t>=7.07×0.083</w:t>
      </w:r>
      <w:r>
        <w:rPr>
          <w:rFonts w:ascii="Times New Roman" w:hAnsi="Times New Roman" w:eastAsia="Times New Roman"/>
          <w:spacing w:val="5"/>
          <w:position w:val="2"/>
          <w:vertAlign w:val="superscript"/>
        </w:rPr>
        <w:t>1.07</w:t>
      </w:r>
      <w:r>
        <w:rPr>
          <w:rFonts w:ascii="Times New Roman" w:hAnsi="Times New Roman" w:eastAsia="Times New Roman"/>
          <w:spacing w:val="5"/>
          <w:position w:val="2"/>
          <w:vertAlign w:val="baseline"/>
        </w:rPr>
        <w:t>=0.493m</w:t>
      </w:r>
      <w:r>
        <w:rPr>
          <w:rFonts w:ascii="Times New Roman" w:hAnsi="Times New Roman" w:eastAsia="Times New Roman"/>
          <w:spacing w:val="5"/>
          <w:position w:val="2"/>
          <w:vertAlign w:val="superscript"/>
        </w:rPr>
        <w:t>2</w:t>
      </w:r>
      <w:r>
        <w:rPr>
          <w:rFonts w:ascii="Times New Roman" w:hAnsi="Times New Roman" w:eastAsia="Times New Roman"/>
          <w:spacing w:val="5"/>
          <w:position w:val="2"/>
          <w:vertAlign w:val="baseline"/>
        </w:rPr>
        <w:t>/d</w:t>
      </w:r>
      <w:r>
        <w:rPr>
          <w:spacing w:val="-8"/>
          <w:position w:val="2"/>
          <w:vertAlign w:val="baseline"/>
        </w:rPr>
        <w:t>。本评价非正常状况按照集污池发生渗漏考虑，污染因</w:t>
      </w:r>
      <w:r>
        <w:rPr>
          <w:spacing w:val="-22"/>
          <w:position w:val="2"/>
          <w:vertAlign w:val="baseline"/>
        </w:rPr>
        <w:t>子选取 </w:t>
      </w:r>
      <w:r>
        <w:rPr>
          <w:rFonts w:ascii="Times New Roman" w:hAnsi="Times New Roman" w:eastAsia="Times New Roman"/>
          <w:spacing w:val="-5"/>
          <w:position w:val="2"/>
          <w:vertAlign w:val="baseline"/>
        </w:rPr>
        <w:t>COD</w:t>
      </w:r>
      <w:r>
        <w:rPr>
          <w:rFonts w:ascii="Times New Roman" w:hAnsi="Times New Roman" w:eastAsia="Times New Roman"/>
          <w:spacing w:val="-5"/>
          <w:sz w:val="16"/>
          <w:vertAlign w:val="baseline"/>
        </w:rPr>
        <w:t>Mn</w:t>
      </w:r>
      <w:r>
        <w:rPr>
          <w:spacing w:val="-5"/>
          <w:position w:val="2"/>
          <w:vertAlign w:val="baseline"/>
        </w:rPr>
        <w:t>（</w:t>
      </w:r>
      <w:r>
        <w:rPr>
          <w:spacing w:val="-31"/>
          <w:position w:val="2"/>
          <w:vertAlign w:val="baseline"/>
        </w:rPr>
        <w:t>取 </w:t>
      </w:r>
      <w:r>
        <w:rPr>
          <w:rFonts w:ascii="Times New Roman" w:hAnsi="Times New Roman" w:eastAsia="Times New Roman"/>
          <w:position w:val="2"/>
          <w:vertAlign w:val="baseline"/>
        </w:rPr>
        <w:t>COD</w:t>
      </w:r>
      <w:r>
        <w:rPr>
          <w:rFonts w:ascii="Times New Roman" w:hAnsi="Times New Roman" w:eastAsia="Times New Roman"/>
          <w:sz w:val="16"/>
          <w:vertAlign w:val="baseline"/>
        </w:rPr>
        <w:t>Cr </w:t>
      </w:r>
      <w:r>
        <w:rPr>
          <w:spacing w:val="-30"/>
          <w:position w:val="2"/>
          <w:vertAlign w:val="baseline"/>
        </w:rPr>
        <w:t>的 </w:t>
      </w:r>
      <w:r>
        <w:rPr>
          <w:rFonts w:ascii="Times New Roman" w:hAnsi="Times New Roman" w:eastAsia="Times New Roman"/>
          <w:spacing w:val="-8"/>
          <w:position w:val="2"/>
          <w:vertAlign w:val="baseline"/>
        </w:rPr>
        <w:t>1/4</w:t>
      </w:r>
      <w:r>
        <w:rPr>
          <w:spacing w:val="-8"/>
          <w:position w:val="2"/>
          <w:vertAlign w:val="baseline"/>
        </w:rPr>
        <w:t>）</w:t>
      </w:r>
      <w:r>
        <w:rPr>
          <w:spacing w:val="-30"/>
          <w:position w:val="2"/>
          <w:vertAlign w:val="baseline"/>
        </w:rPr>
        <w:t>和 </w:t>
      </w:r>
      <w:r>
        <w:rPr>
          <w:rFonts w:ascii="Times New Roman" w:hAnsi="Times New Roman" w:eastAsia="Times New Roman"/>
          <w:spacing w:val="-6"/>
          <w:position w:val="2"/>
          <w:vertAlign w:val="baseline"/>
        </w:rPr>
        <w:t>NH</w:t>
      </w:r>
      <w:r>
        <w:rPr>
          <w:rFonts w:ascii="Times New Roman" w:hAnsi="Times New Roman" w:eastAsia="Times New Roman"/>
          <w:spacing w:val="-6"/>
          <w:sz w:val="16"/>
          <w:vertAlign w:val="baseline"/>
        </w:rPr>
        <w:t>3</w:t>
      </w:r>
      <w:r>
        <w:rPr>
          <w:rFonts w:ascii="Times New Roman" w:hAnsi="Times New Roman" w:eastAsia="Times New Roman"/>
          <w:spacing w:val="-6"/>
          <w:position w:val="2"/>
          <w:vertAlign w:val="baseline"/>
        </w:rPr>
        <w:t>-N</w:t>
      </w:r>
      <w:r>
        <w:rPr>
          <w:spacing w:val="-12"/>
          <w:position w:val="2"/>
          <w:vertAlign w:val="baseline"/>
        </w:rPr>
        <w:t>，泄漏量按 </w:t>
      </w:r>
      <w:r>
        <w:rPr>
          <w:rFonts w:ascii="Times New Roman" w:hAnsi="Times New Roman" w:eastAsia="Times New Roman"/>
          <w:position w:val="2"/>
          <w:vertAlign w:val="baseline"/>
        </w:rPr>
        <w:t>1d </w:t>
      </w:r>
      <w:r>
        <w:rPr>
          <w:spacing w:val="-10"/>
          <w:position w:val="2"/>
          <w:vertAlign w:val="baseline"/>
        </w:rPr>
        <w:t>的产生量计 </w:t>
      </w:r>
      <w:r>
        <w:rPr>
          <w:rFonts w:ascii="Times New Roman" w:hAnsi="Times New Roman" w:eastAsia="Times New Roman"/>
          <w:position w:val="2"/>
          <w:vertAlign w:val="baseline"/>
        </w:rPr>
        <w:t>COD</w:t>
      </w:r>
      <w:r>
        <w:rPr>
          <w:rFonts w:ascii="Times New Roman" w:hAnsi="Times New Roman" w:eastAsia="Times New Roman"/>
          <w:sz w:val="16"/>
          <w:vertAlign w:val="baseline"/>
        </w:rPr>
        <w:t>Mn</w:t>
      </w:r>
      <w:r>
        <w:rPr>
          <w:spacing w:val="-7"/>
          <w:position w:val="2"/>
          <w:vertAlign w:val="baseline"/>
        </w:rPr>
        <w:t>、氨氮分别</w:t>
      </w:r>
      <w:r>
        <w:rPr>
          <w:spacing w:val="-34"/>
          <w:vertAlign w:val="baseline"/>
        </w:rPr>
        <w:t>为 </w:t>
      </w:r>
      <w:r>
        <w:rPr>
          <w:rFonts w:ascii="Times New Roman" w:hAnsi="Times New Roman" w:eastAsia="Times New Roman"/>
          <w:vertAlign w:val="baseline"/>
        </w:rPr>
        <w:t>313kg</w:t>
      </w:r>
      <w:r>
        <w:rPr>
          <w:vertAlign w:val="baseline"/>
        </w:rPr>
        <w:t>、</w:t>
      </w:r>
      <w:r>
        <w:rPr>
          <w:rFonts w:ascii="Times New Roman" w:hAnsi="Times New Roman" w:eastAsia="Times New Roman"/>
          <w:vertAlign w:val="baseline"/>
        </w:rPr>
        <w:t>30kg</w:t>
      </w:r>
      <w:r>
        <w:rPr>
          <w:spacing w:val="-9"/>
          <w:vertAlign w:val="baseline"/>
        </w:rPr>
        <w:t>，泄露面积按 </w:t>
      </w:r>
      <w:r>
        <w:rPr>
          <w:rFonts w:ascii="Times New Roman" w:hAnsi="Times New Roman" w:eastAsia="Times New Roman"/>
          <w:vertAlign w:val="baseline"/>
        </w:rPr>
        <w:t>10m</w:t>
      </w:r>
      <w:r>
        <w:rPr>
          <w:rFonts w:ascii="Times New Roman" w:hAnsi="Times New Roman" w:eastAsia="Times New Roman"/>
          <w:position w:val="9"/>
          <w:sz w:val="16"/>
          <w:vertAlign w:val="baseline"/>
        </w:rPr>
        <w:t>2 </w:t>
      </w:r>
      <w:r>
        <w:rPr>
          <w:spacing w:val="-1"/>
          <w:vertAlign w:val="baseline"/>
        </w:rPr>
        <w:t>考虑，具体预测结果如下：</w:t>
      </w:r>
    </w:p>
    <w:p>
      <w:pPr>
        <w:pStyle w:val="BodyText"/>
        <w:spacing w:line="367" w:lineRule="auto"/>
        <w:ind w:left="117" w:right="227" w:firstLine="480"/>
        <w:jc w:val="both"/>
      </w:pPr>
      <w:r>
        <w:rPr>
          <w:spacing w:val="-8"/>
          <w:position w:val="2"/>
        </w:rPr>
        <w:t>由预测结果可知，废水发生泄露后露 </w:t>
      </w:r>
      <w:r>
        <w:rPr>
          <w:rFonts w:ascii="Times New Roman" w:eastAsia="Times New Roman"/>
          <w:position w:val="2"/>
        </w:rPr>
        <w:t>100d</w:t>
      </w:r>
      <w:r>
        <w:rPr>
          <w:spacing w:val="-29"/>
          <w:position w:val="2"/>
        </w:rPr>
        <w:t>、</w:t>
      </w:r>
      <w:r>
        <w:rPr>
          <w:rFonts w:ascii="Times New Roman" w:eastAsia="Times New Roman"/>
          <w:spacing w:val="-3"/>
          <w:position w:val="2"/>
        </w:rPr>
        <w:t>1000d</w:t>
      </w:r>
      <w:r>
        <w:rPr>
          <w:spacing w:val="-3"/>
          <w:position w:val="2"/>
        </w:rPr>
        <w:t>，</w:t>
      </w:r>
      <w:r>
        <w:rPr>
          <w:rFonts w:ascii="Times New Roman" w:eastAsia="Times New Roman"/>
          <w:spacing w:val="-3"/>
          <w:position w:val="2"/>
        </w:rPr>
        <w:t>COD</w:t>
      </w:r>
      <w:r>
        <w:rPr>
          <w:rFonts w:ascii="Times New Roman" w:eastAsia="Times New Roman"/>
          <w:spacing w:val="-3"/>
          <w:sz w:val="16"/>
        </w:rPr>
        <w:t>Mn</w:t>
      </w:r>
      <w:r>
        <w:rPr>
          <w:spacing w:val="-29"/>
          <w:position w:val="2"/>
        </w:rPr>
        <w:t>、</w:t>
      </w:r>
      <w:r>
        <w:rPr>
          <w:rFonts w:ascii="Times New Roman" w:eastAsia="Times New Roman"/>
          <w:position w:val="2"/>
        </w:rPr>
        <w:t>NH</w:t>
      </w:r>
      <w:r>
        <w:rPr>
          <w:rFonts w:ascii="Times New Roman" w:eastAsia="Times New Roman"/>
          <w:sz w:val="16"/>
        </w:rPr>
        <w:t>3</w:t>
      </w:r>
      <w:r>
        <w:rPr>
          <w:rFonts w:ascii="Times New Roman" w:eastAsia="Times New Roman"/>
          <w:position w:val="2"/>
        </w:rPr>
        <w:t>-N </w:t>
      </w:r>
      <w:r>
        <w:rPr>
          <w:position w:val="2"/>
        </w:rPr>
        <w:t>的影响范围均为</w:t>
      </w:r>
      <w:r>
        <w:rPr>
          <w:spacing w:val="-12"/>
        </w:rPr>
        <w:t>距泄露源 </w:t>
      </w:r>
      <w:r>
        <w:rPr>
          <w:rFonts w:ascii="Times New Roman" w:eastAsia="Times New Roman"/>
          <w:position w:val="1"/>
        </w:rPr>
        <w:t>40m </w:t>
      </w:r>
      <w:r>
        <w:rPr>
          <w:spacing w:val="-29"/>
        </w:rPr>
        <w:t>及 </w:t>
      </w:r>
      <w:r>
        <w:rPr>
          <w:rFonts w:ascii="Times New Roman" w:eastAsia="Times New Roman"/>
          <w:position w:val="1"/>
        </w:rPr>
        <w:t>200m </w:t>
      </w:r>
      <w:r>
        <w:rPr/>
        <w:t>的区域，</w:t>
      </w:r>
      <w:r>
        <w:rPr>
          <w:rFonts w:ascii="Times New Roman" w:eastAsia="Times New Roman"/>
          <w:position w:val="1"/>
        </w:rPr>
        <w:t>1800d </w:t>
      </w:r>
      <w:r>
        <w:rPr>
          <w:spacing w:val="-4"/>
        </w:rPr>
        <w:t>预测时段内二者的最大影响距离均为 </w:t>
      </w:r>
      <w:r>
        <w:rPr>
          <w:rFonts w:ascii="Times New Roman" w:eastAsia="Times New Roman"/>
          <w:position w:val="1"/>
        </w:rPr>
        <w:t>300m</w:t>
      </w:r>
      <w:r>
        <w:rPr>
          <w:spacing w:val="-4"/>
        </w:rPr>
        <w:t>，而最</w:t>
      </w:r>
      <w:r>
        <w:rPr>
          <w:spacing w:val="-3"/>
        </w:rPr>
        <w:t>近的敏感点丰项村距本项目集污池距离约 </w:t>
      </w:r>
      <w:r>
        <w:rPr>
          <w:rFonts w:ascii="Times New Roman" w:eastAsia="Times New Roman"/>
          <w:spacing w:val="-3"/>
          <w:position w:val="1"/>
        </w:rPr>
        <w:t>600m</w:t>
      </w:r>
      <w:r>
        <w:rPr>
          <w:spacing w:val="-5"/>
        </w:rPr>
        <w:t>，影响相对较小。由此可知，项目废水泄露主要影响近距离区域地下水，而对周边敏感点的影响相对较小，本环评要求企业采取措施严防事故发生，一旦发生事故须及时进行检修，使影响降至最小。</w:t>
      </w:r>
    </w:p>
    <w:p>
      <w:pPr>
        <w:spacing w:after="0" w:line="367" w:lineRule="auto"/>
        <w:jc w:val="both"/>
        <w:sectPr>
          <w:pgSz w:w="11910" w:h="16840"/>
          <w:pgMar w:header="874" w:footer="1004" w:top="1440" w:bottom="1200" w:left="1160" w:right="1180"/>
        </w:sectPr>
      </w:pPr>
    </w:p>
    <w:p>
      <w:pPr>
        <w:pStyle w:val="BodyText"/>
        <w:ind w:left="0"/>
        <w:rPr>
          <w:sz w:val="20"/>
        </w:rPr>
      </w:pPr>
    </w:p>
    <w:p>
      <w:pPr>
        <w:pStyle w:val="BodyText"/>
        <w:spacing w:before="10"/>
        <w:ind w:left="0"/>
        <w:rPr>
          <w:sz w:val="17"/>
        </w:rPr>
      </w:pPr>
    </w:p>
    <w:p>
      <w:pPr>
        <w:spacing w:after="0"/>
        <w:rPr>
          <w:sz w:val="17"/>
        </w:rPr>
        <w:sectPr>
          <w:headerReference w:type="default" r:id="rId73"/>
          <w:footerReference w:type="default" r:id="rId74"/>
          <w:pgSz w:w="16840" w:h="11910" w:orient="landscape"/>
          <w:pgMar w:header="0" w:footer="1004" w:top="0" w:bottom="1200" w:left="1200" w:right="1200"/>
        </w:sectPr>
      </w:pPr>
    </w:p>
    <w:p>
      <w:pPr>
        <w:pStyle w:val="BodyText"/>
        <w:ind w:left="0"/>
        <w:rPr>
          <w:sz w:val="22"/>
        </w:rPr>
      </w:pPr>
    </w:p>
    <w:p>
      <w:pPr>
        <w:spacing w:before="197"/>
        <w:ind w:left="234" w:right="0" w:firstLine="0"/>
        <w:jc w:val="left"/>
        <w:rPr>
          <w:rFonts w:ascii="Times New Roman"/>
          <w:sz w:val="20"/>
        </w:rPr>
      </w:pPr>
      <w:r>
        <w:rPr>
          <w:rFonts w:ascii="Times New Roman"/>
          <w:sz w:val="20"/>
        </w:rPr>
        <w:t>1.6E-21</w:t>
      </w:r>
    </w:p>
    <w:p>
      <w:pPr>
        <w:spacing w:before="171"/>
        <w:ind w:left="234" w:right="0" w:firstLine="0"/>
        <w:jc w:val="left"/>
        <w:rPr>
          <w:rFonts w:ascii="Times New Roman"/>
          <w:sz w:val="20"/>
        </w:rPr>
      </w:pPr>
      <w:r>
        <w:rPr>
          <w:rFonts w:ascii="Times New Roman"/>
          <w:sz w:val="20"/>
        </w:rPr>
        <w:t>1.4E-21</w:t>
      </w:r>
    </w:p>
    <w:p>
      <w:pPr>
        <w:spacing w:before="171"/>
        <w:ind w:left="234" w:right="0" w:firstLine="0"/>
        <w:jc w:val="left"/>
        <w:rPr>
          <w:rFonts w:ascii="Times New Roman"/>
          <w:sz w:val="20"/>
        </w:rPr>
      </w:pPr>
      <w:r>
        <w:rPr>
          <w:rFonts w:ascii="Times New Roman"/>
          <w:sz w:val="20"/>
        </w:rPr>
        <w:t>1.2E-21</w:t>
      </w:r>
    </w:p>
    <w:p>
      <w:pPr>
        <w:spacing w:before="171"/>
        <w:ind w:left="234" w:right="0" w:firstLine="0"/>
        <w:jc w:val="left"/>
        <w:rPr>
          <w:rFonts w:ascii="Times New Roman"/>
          <w:sz w:val="20"/>
        </w:rPr>
      </w:pPr>
      <w:r>
        <w:rPr/>
        <w:pict>
          <v:shape style="position:absolute;margin-left:54.396511pt;margin-top:15.699262pt;width:13.05pt;height:38.35pt;mso-position-horizontal-relative:page;mso-position-vertical-relative:paragraph;z-index:251839488" type="#_x0000_t202" filled="false" stroked="false">
            <v:textbox inset="0,0,0,0" style="layout-flow:vertical;mso-layout-flow-alt:bottom-to-top">
              <w:txbxContent>
                <w:p>
                  <w:pPr>
                    <w:spacing w:before="10"/>
                    <w:ind w:left="20" w:right="0" w:firstLine="0"/>
                    <w:jc w:val="left"/>
                    <w:rPr>
                      <w:rFonts w:ascii="Times New Roman"/>
                      <w:b/>
                      <w:sz w:val="20"/>
                    </w:rPr>
                  </w:pPr>
                  <w:r>
                    <w:rPr>
                      <w:rFonts w:ascii="Times New Roman"/>
                      <w:b/>
                      <w:sz w:val="20"/>
                    </w:rPr>
                    <w:t>C(mg/L)</w:t>
                  </w:r>
                </w:p>
              </w:txbxContent>
            </v:textbox>
            <w10:wrap type="none"/>
          </v:shape>
        </w:pict>
      </w:r>
      <w:r>
        <w:rPr>
          <w:rFonts w:ascii="Times New Roman"/>
          <w:sz w:val="20"/>
        </w:rPr>
        <w:t>1.0E-21</w:t>
      </w:r>
    </w:p>
    <w:p>
      <w:pPr>
        <w:spacing w:before="170"/>
        <w:ind w:left="234" w:right="0" w:firstLine="0"/>
        <w:jc w:val="left"/>
        <w:rPr>
          <w:rFonts w:ascii="Times New Roman"/>
          <w:sz w:val="20"/>
        </w:rPr>
      </w:pPr>
      <w:r>
        <w:rPr>
          <w:rFonts w:ascii="Times New Roman"/>
          <w:sz w:val="20"/>
        </w:rPr>
        <w:t>8.0E-22</w:t>
      </w:r>
    </w:p>
    <w:p>
      <w:pPr>
        <w:spacing w:before="171"/>
        <w:ind w:left="234" w:right="0" w:firstLine="0"/>
        <w:jc w:val="left"/>
        <w:rPr>
          <w:rFonts w:ascii="Times New Roman"/>
          <w:sz w:val="20"/>
        </w:rPr>
      </w:pPr>
      <w:r>
        <w:rPr>
          <w:rFonts w:ascii="Times New Roman"/>
          <w:sz w:val="20"/>
        </w:rPr>
        <w:t>6.0E-22</w:t>
      </w:r>
    </w:p>
    <w:p>
      <w:pPr>
        <w:spacing w:before="170"/>
        <w:ind w:left="234" w:right="0" w:firstLine="0"/>
        <w:jc w:val="left"/>
        <w:rPr>
          <w:rFonts w:ascii="Times New Roman"/>
          <w:sz w:val="20"/>
        </w:rPr>
      </w:pPr>
      <w:r>
        <w:rPr>
          <w:rFonts w:ascii="Times New Roman"/>
          <w:sz w:val="20"/>
        </w:rPr>
        <w:t>4.0E-22</w:t>
      </w:r>
    </w:p>
    <w:p>
      <w:pPr>
        <w:spacing w:before="80"/>
        <w:ind w:left="234" w:right="0" w:firstLine="0"/>
        <w:jc w:val="left"/>
        <w:rPr>
          <w:sz w:val="18"/>
        </w:rPr>
      </w:pPr>
      <w:r>
        <w:rPr/>
        <w:br w:type="column"/>
      </w: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before="3"/>
        <w:ind w:left="0"/>
        <w:rPr>
          <w:sz w:val="15"/>
        </w:rPr>
      </w:pPr>
    </w:p>
    <w:p>
      <w:pPr>
        <w:spacing w:before="0"/>
        <w:ind w:left="2918" w:right="0" w:firstLine="0"/>
        <w:jc w:val="left"/>
        <w:rPr>
          <w:rFonts w:ascii="Times New Roman"/>
          <w:sz w:val="20"/>
        </w:rPr>
      </w:pPr>
      <w:r>
        <w:rPr/>
        <w:pict>
          <v:group style="position:absolute;margin-left:109.190002pt;margin-top:4.530952pt;width:281.6pt;height:163.6pt;mso-position-horizontal-relative:page;mso-position-vertical-relative:paragraph;z-index:251815936" coordorigin="2184,91" coordsize="5632,3272">
            <v:shape style="position:absolute;left:2243;top:98;width:5565;height:2805" coordorigin="2243,98" coordsize="5565,2805" path="m2243,2903l7808,2903m2243,2502l7808,2502m2243,2102l7808,2102m2243,1701l7808,1701m2243,1300l7808,1300m2243,899l7808,899m2243,498l7808,498m2243,98l7808,98e" filled="false" stroked="true" strokeweight=".75pt" strokecolor="#858585">
              <v:path arrowok="t"/>
              <v:stroke dashstyle="solid"/>
            </v:shape>
            <v:rect style="position:absolute;left:2243;top:98;width:5565;height:3205" filled="false" stroked="true" strokeweight=".75pt" strokecolor="#a6a6a6">
              <v:stroke dashstyle="solid"/>
            </v:rect>
            <v:shape style="position:absolute;left:2183;top:98;width:5625;height:3264" coordorigin="2184,98" coordsize="5625,3264" path="m2243,3303l2243,98m2184,3303l2243,3303m2184,2903l2243,2903m2184,2502l2243,2502m2184,2102l2243,2102m2184,1701l2243,1701m2184,1300l2243,1300m2184,899l2243,899m2184,498l2243,498m2184,98l2243,98m2243,3303l7808,3303m2243,3303l2243,3347m2537,3303l2537,3347m2830,3303l2830,3347m3122,3303l3122,3347m3415,3303l3415,3347m3708,3303l3708,3347m4001,3303l4001,3347m4294,3303l4294,3347m4586,3303l4586,3347m4879,3303l4879,3347m5172,3303l5172,3347m5465,3303l5465,3347m5758,3303l5758,3347m6050,3303l6050,3347m6343,3303l6343,3347m6636,3303l6636,3347m6929,3303l6929,3347m7222,3303l7222,3347m7514,3303l7514,3347m7808,3303l7808,3347m2243,3303l2243,3362m2830,3303l2830,3362m3415,3303l3415,3362m4001,3303l4001,3362m4586,3303l4586,3362m5172,3303l5172,3362m5758,3303l5758,3362m6343,3303l6343,3362m6929,3303l6929,3362m7514,3303l7514,3362e" filled="false" stroked="true" strokeweight=".75pt" strokecolor="#858585">
              <v:path arrowok="t"/>
              <v:stroke dashstyle="solid"/>
            </v:shape>
            <v:shape style="position:absolute;left:2536;top:455;width:4980;height:2849" coordorigin="2536,456" coordsize="4980,2849" path="m2536,3303l2536,3303,6343,3303,6929,3304,7515,456e" filled="false" stroked="true" strokeweight="1.25pt" strokecolor="#000000">
              <v:path arrowok="t"/>
              <v:stroke dashstyle="solid"/>
            </v:shape>
            <v:shape style="position:absolute;left:2506;top:3271;width:60;height:60" coordorigin="2506,3272" coordsize="60,60" path="m2536,3272l2525,3274,2515,3280,2509,3290,2506,3302,2509,3313,2515,3323,2525,3329,2536,3332,2548,3329,2558,3323,2564,3313,2566,3302,2564,3290,2558,3280,2548,3274,2536,3272xe" filled="true" fillcolor="#000000" stroked="false">
              <v:path arrowok="t"/>
              <v:fill type="solid"/>
            </v:shape>
            <v:shape style="position:absolute;left:2506;top:3271;width:60;height:60" coordorigin="2506,3272" coordsize="60,60" path="m2566,3302l2564,3313,2558,3323,2548,3329,2536,3332,2525,3329,2515,3323,2509,3313,2506,3302,2509,3290,2515,3280,2525,3274,2536,3272,2548,3274,2558,3280,2564,3290,2566,3302xe" filled="false" stroked="true" strokeweight=".75pt" strokecolor="#000000">
              <v:path arrowok="t"/>
              <v:stroke dashstyle="solid"/>
            </v:shape>
            <v:shape style="position:absolute;left:2799;top:3271;width:60;height:60" coordorigin="2799,3272" coordsize="60,60" path="m2829,3272l2818,3274,2808,3280,2802,3290,2799,3302,2802,3313,2808,3323,2818,3329,2829,3332,2841,3329,2850,3323,2857,3313,2859,3302,2857,3290,2850,3280,2841,3274,2829,3272xe" filled="true" fillcolor="#000000" stroked="false">
              <v:path arrowok="t"/>
              <v:fill type="solid"/>
            </v:shape>
            <v:shape style="position:absolute;left:2799;top:3271;width:60;height:60" coordorigin="2799,3272" coordsize="60,60" path="m2859,3302l2857,3313,2850,3323,2841,3329,2829,3332,2818,3329,2808,3323,2802,3313,2799,3302,2802,3290,2808,3280,2818,3274,2829,3272,2841,3274,2850,3280,2857,3290,2859,3302xe" filled="false" stroked="true" strokeweight=".75pt" strokecolor="#000000">
              <v:path arrowok="t"/>
              <v:stroke dashstyle="solid"/>
            </v:shape>
            <v:shape style="position:absolute;left:3384;top:3271;width:60;height:60" coordorigin="3385,3272" coordsize="60,60" path="m3415,3272l3403,3274,3394,3280,3387,3290,3385,3302,3387,3313,3394,3323,3403,3329,3415,3332,3426,3329,3436,3323,3442,3313,3445,3302,3442,3290,3436,3280,3426,3274,3415,3272xe" filled="true" fillcolor="#000000" stroked="false">
              <v:path arrowok="t"/>
              <v:fill type="solid"/>
            </v:shape>
            <v:shape style="position:absolute;left:3384;top:3271;width:60;height:60" coordorigin="3385,3272" coordsize="60,60" path="m3445,3302l3442,3313,3436,3323,3426,3329,3415,3332,3403,3329,3394,3323,3387,3313,3385,3302,3387,3290,3394,3280,3403,3274,3415,3272,3426,3274,3436,3280,3442,3290,3445,3302xe" filled="false" stroked="true" strokeweight=".75pt" strokecolor="#000000">
              <v:path arrowok="t"/>
              <v:stroke dashstyle="solid"/>
            </v:shape>
            <v:shape style="position:absolute;left:3970;top:3271;width:60;height:60" coordorigin="3970,3272" coordsize="60,60" path="m4000,3272l3989,3274,3979,3280,3973,3290,3970,3302,3973,3313,3979,3323,3989,3329,4000,3332,4012,3329,4022,3323,4028,3313,4030,3302,4028,3290,4022,3280,4012,3274,4000,3272xe" filled="true" fillcolor="#000000" stroked="false">
              <v:path arrowok="t"/>
              <v:fill type="solid"/>
            </v:shape>
            <v:shape style="position:absolute;left:3970;top:3271;width:60;height:60" coordorigin="3970,3272" coordsize="60,60" path="m4030,3302l4028,3313,4022,3323,4012,3329,4000,3332,3989,3329,3979,3323,3973,3313,3970,3302,3973,3290,3979,3280,3989,3274,4000,3272,4012,3274,4022,3280,4028,3290,4030,3302xe" filled="false" stroked="true" strokeweight=".75pt" strokecolor="#000000">
              <v:path arrowok="t"/>
              <v:stroke dashstyle="solid"/>
            </v:shape>
            <v:shape style="position:absolute;left:4556;top:3271;width:60;height:60" coordorigin="4556,3272" coordsize="60,60" path="m4586,3272l4574,3274,4565,3280,4558,3290,4556,3302,4558,3313,4565,3323,4574,3329,4586,3332,4598,3329,4607,3323,4614,3313,4616,3302,4614,3290,4607,3280,4598,3274,4586,3272xe" filled="true" fillcolor="#000000" stroked="false">
              <v:path arrowok="t"/>
              <v:fill type="solid"/>
            </v:shape>
            <v:shape style="position:absolute;left:4556;top:3271;width:60;height:60" coordorigin="4556,3272" coordsize="60,60" path="m4616,3302l4614,3313,4607,3323,4598,3329,4586,3332,4574,3329,4565,3323,4558,3313,4556,3302,4558,3290,4565,3280,4574,3274,4586,3272,4598,3274,4607,3280,4614,3290,4616,3302xe" filled="false" stroked="true" strokeweight=".75pt" strokecolor="#000000">
              <v:path arrowok="t"/>
              <v:stroke dashstyle="solid"/>
            </v:shape>
            <v:shape style="position:absolute;left:5141;top:3271;width:60;height:60" coordorigin="5142,3272" coordsize="60,60" path="m5172,3272l5160,3274,5150,3280,5144,3290,5142,3302,5144,3313,5150,3323,5160,3329,5172,3332,5183,3329,5193,3323,5199,3313,5202,3302,5199,3290,5193,3280,5183,3274,5172,3272xe" filled="true" fillcolor="#000000" stroked="false">
              <v:path arrowok="t"/>
              <v:fill type="solid"/>
            </v:shape>
            <v:shape style="position:absolute;left:5141;top:3271;width:60;height:60" coordorigin="5142,3272" coordsize="60,60" path="m5202,3302l5199,3313,5193,3323,5183,3329,5172,3332,5160,3329,5150,3323,5144,3313,5142,3302,5144,3290,5150,3280,5160,3274,5172,3272,5183,3274,5193,3280,5199,3290,5202,3302xe" filled="false" stroked="true" strokeweight=".75pt" strokecolor="#000000">
              <v:path arrowok="t"/>
              <v:stroke dashstyle="solid"/>
            </v:shape>
            <v:shape style="position:absolute;left:5727;top:3271;width:60;height:60" coordorigin="5727,3272" coordsize="60,60" path="m5757,3272l5746,3274,5736,3280,5730,3290,5727,3302,5730,3313,5736,3323,5746,3329,5757,3332,5769,3329,5778,3323,5785,3313,5787,3302,5785,3290,5778,3280,5769,3274,5757,3272xe" filled="true" fillcolor="#000000" stroked="false">
              <v:path arrowok="t"/>
              <v:fill type="solid"/>
            </v:shape>
            <v:shape style="position:absolute;left:5727;top:3271;width:60;height:60" coordorigin="5727,3272" coordsize="60,60" path="m5787,3302l5785,3313,5778,3323,5769,3329,5757,3332,5746,3329,5736,3323,5730,3313,5727,3302,5730,3290,5736,3280,5746,3274,5757,3272,5769,3274,5778,3280,5785,3290,5787,3302xe" filled="false" stroked="true" strokeweight=".75pt" strokecolor="#000000">
              <v:path arrowok="t"/>
              <v:stroke dashstyle="solid"/>
            </v:shape>
            <v:shape style="position:absolute;left:6312;top:3271;width:60;height:60" coordorigin="6313,3272" coordsize="60,60" path="m6343,3272l6331,3274,6322,3280,6315,3290,6313,3302,6315,3313,6322,3323,6331,3329,6343,3332,6354,3329,6364,3323,6370,3313,6373,3302,6370,3290,6364,3280,6354,3274,6343,3272xe" filled="true" fillcolor="#000000" stroked="false">
              <v:path arrowok="t"/>
              <v:fill type="solid"/>
            </v:shape>
            <v:shape style="position:absolute;left:6312;top:3271;width:60;height:60" coordorigin="6313,3272" coordsize="60,60" path="m6373,3302l6370,3313,6364,3323,6354,3329,6343,3332,6331,3329,6322,3323,6315,3313,6313,3302,6315,3290,6322,3280,6331,3274,6343,3272,6354,3274,6364,3280,6370,3290,6373,3302xe" filled="false" stroked="true" strokeweight=".75pt" strokecolor="#000000">
              <v:path arrowok="t"/>
              <v:stroke dashstyle="solid"/>
            </v:shape>
            <v:shape style="position:absolute;left:6898;top:3271;width:60;height:60" coordorigin="6898,3272" coordsize="60,60" path="m6928,3272l6917,3274,6907,3280,6901,3290,6898,3302,6901,3313,6907,3323,6917,3329,6928,3332,6940,3329,6950,3323,6956,3313,6958,3302,6956,3290,6950,3280,6940,3274,6928,3272xe" filled="true" fillcolor="#000000" stroked="false">
              <v:path arrowok="t"/>
              <v:fill type="solid"/>
            </v:shape>
            <v:shape style="position:absolute;left:6898;top:3271;width:60;height:60" coordorigin="6898,3272" coordsize="60,60" path="m6958,3302l6956,3313,6950,3323,6940,3329,6928,3332,6917,3329,6907,3323,6901,3313,6898,3302,6901,3290,6907,3280,6917,3274,6928,3272,6940,3274,6950,3280,6956,3290,6958,3302xe" filled="false" stroked="true" strokeweight=".75pt" strokecolor="#000000">
              <v:path arrowok="t"/>
              <v:stroke dashstyle="solid"/>
            </v:shape>
            <v:shape style="position:absolute;left:7484;top:422;width:60;height:60" coordorigin="7484,423" coordsize="60,60" path="m7514,423l7502,425,7493,432,7486,441,7484,453,7486,465,7493,474,7502,481,7514,483,7526,481,7535,474,7542,465,7544,453,7542,441,7535,432,7526,425,7514,423xe" filled="true" fillcolor="#000000" stroked="false">
              <v:path arrowok="t"/>
              <v:fill type="solid"/>
            </v:shape>
            <v:shape style="position:absolute;left:7484;top:422;width:60;height:60" coordorigin="7484,423" coordsize="60,60" path="m7544,453l7542,465,7535,474,7526,481,7514,483,7502,481,7493,474,7486,465,7484,453,7486,441,7493,432,7502,425,7514,423,7526,425,7535,432,7542,441,7544,453xe" filled="false" stroked="true" strokeweight=".75pt" strokecolor="#000000">
              <v:path arrowok="t"/>
              <v:stroke dashstyle="solid"/>
            </v:shape>
            <w10:wrap type="none"/>
          </v:group>
        </w:pict>
      </w:r>
      <w:r>
        <w:rPr/>
        <w:pict>
          <v:group style="position:absolute;margin-left:464.100006pt;margin-top:5.890952pt;width:288.150pt;height:134.050pt;mso-position-horizontal-relative:page;mso-position-vertical-relative:paragraph;z-index:251816960" coordorigin="9282,118" coordsize="5763,2681">
            <v:shape style="position:absolute;left:9341;top:125;width:5666;height:2241" coordorigin="9341,125" coordsize="5666,2241" path="m9341,2366l15007,2366m9341,1991l15007,1991m9341,1619l15007,1619m9341,1245l15007,1245m9341,873l15007,873m9341,498l15007,498m9341,125l15007,125e" filled="false" stroked="true" strokeweight=".75pt" strokecolor="#858585">
              <v:path arrowok="t"/>
              <v:stroke dashstyle="solid"/>
            </v:shape>
            <v:rect style="position:absolute;left:9341;top:125;width:5666;height:2614" filled="false" stroked="true" strokeweight=".75pt" strokecolor="#a6a6a6">
              <v:stroke dashstyle="solid"/>
            </v:rect>
            <v:shape style="position:absolute;left:9282;top:125;width:5725;height:2673" coordorigin="9282,125" coordsize="5725,2673" path="m9341,2739l9341,125m9282,2739l9341,2739m9282,2366l9341,2366m9282,1991l9341,1991m9282,1619l9341,1619m9282,1245l9341,1245m9282,873l9341,873m9282,498l9341,498m9282,125l9341,125m9341,2739l15007,2739m9341,2739l9341,2783m9907,2739l9907,2783m10474,2739l10474,2783m11040,2739l11040,2783m11606,2739l11606,2783m12175,2739l12175,2783m12742,2739l12742,2783m13308,2739l13308,2783m13874,2739l13874,2783m14441,2739l14441,2783m15007,2739l15007,2783m9341,2739l9341,2798m9907,2739l9907,2798m10474,2739l10474,2798m11040,2739l11040,2798m11606,2739l11606,2798m12175,2739l12175,2798m12742,2739l12742,2798m13308,2739l13308,2798m13874,2739l13874,2798m14441,2739l14441,2798m15007,2739l15007,2798e" filled="false" stroked="true" strokeweight=".75pt" strokecolor="#858585">
              <v:path arrowok="t"/>
              <v:stroke dashstyle="solid"/>
            </v:shape>
            <v:shape style="position:absolute;left:9341;top:531;width:5681;height:2219" coordorigin="9341,532" coordsize="5681,2219" path="m9341,532l9355,601,9369,667,9383,733,9398,803,9413,879,9428,964,9442,1062,9455,1175,9461,1237,9467,1307,9473,1385,9479,1468,9485,1556,9490,1648,9496,1743,9502,1840,9508,1938,9514,2035,9520,2131,9526,2224,9532,2314,9538,2399,9544,2479,9550,2551,9556,2617,9568,2719,9625,2750,9661,2743,9681,2739,9710,2740,9738,2740,9766,2739,9795,2739,15007,2739,15022,2739e" filled="false" stroked="true" strokeweight="2.25pt" strokecolor="#416ea6">
              <v:path arrowok="t"/>
              <v:stroke dashstyle="solid"/>
            </v:shape>
            <v:shape style="position:absolute;left:9341;top:582;width:5681;height:2167" coordorigin="9341,582" coordsize="5681,2167" path="m9341,1638l9348,1568,9356,1489,9363,1404,9370,1314,9377,1222,9384,1129,9391,1037,9398,948,9405,865,9412,789,9419,722,9434,622,9448,582,9455,589,9472,696,9477,756,9483,827,9489,907,9494,995,9500,1089,9506,1187,9511,1289,9517,1393,9523,1497,9528,1601,9534,1702,9540,1800,9545,1893,9551,1979,9557,2058,9562,2127,9582,2298,9598,2398,9616,2488,9634,2566,9651,2631,9681,2720,9738,2748,9771,2742,9795,2738,9823,2740,9851,2740,9880,2739,9908,2739,15007,2739,15022,2739e" filled="false" stroked="true" strokeweight="2.25pt" strokecolor="#a8423e">
              <v:path arrowok="t"/>
              <v:stroke dashstyle="solid"/>
            </v:shape>
            <v:shape style="position:absolute;left:9341;top:1247;width:5681;height:1495" coordorigin="9341,1247" coordsize="5681,1495" path="m9341,2352l9352,2270,9362,2185,9372,2097,9383,2009,9393,1921,9403,1835,9414,1752,9424,1674,9434,1602,9444,1538,9474,1407,9498,1333,9525,1275,9549,1247,9568,1263,9589,1356,9599,1425,9609,1505,9620,1593,9630,1685,9640,1779,9650,1872,9661,1960,9671,2040,9681,2109,9698,2205,9714,2297,9730,2382,9746,2460,9762,2530,9778,2591,9819,2683,9883,2724,9965,2741,9993,2739,10021,2738,10050,2739,10078,2739,10106,2739,10135,2739,15007,2739,15022,2739e" filled="false" stroked="true" strokeweight="2.25pt" strokecolor="#85a349">
              <v:path arrowok="t"/>
              <v:stroke dashstyle="solid"/>
            </v:shape>
            <v:shape style="position:absolute;left:9341;top:1525;width:5681;height:1214" coordorigin="9341,1525" coordsize="5681,1214" path="m9341,2581l9360,2508,9379,2437,9398,2366,9417,2293,9436,2217,9455,2135,9471,2055,9487,1963,9503,1867,9519,1773,9536,1686,9552,1613,9591,1533,9625,1525,9658,1538,9698,1622,9714,1696,9730,1784,9746,1879,9762,1975,9778,2067,9795,2147,9814,2232,9832,2315,9851,2395,9870,2468,9889,2533,9935,2638,9995,2700,10050,2732,10106,2736,10135,2737,10163,2739,10191,2739,10220,2739,10248,2738,10276,2739,10305,2739,10333,2739,10361,2739,15007,2739,15022,2739e" filled="false" stroked="true" strokeweight="2.25pt" strokecolor="#6d538d">
              <v:path arrowok="t"/>
              <v:stroke dashstyle="solid"/>
            </v:shape>
            <v:shape style="position:absolute;left:9341;top:1650;width:5681;height:1088" coordorigin="9341,1651" coordsize="5681,1088" path="m9341,2671l9370,2622,9398,2577,9426,2525,9455,2456,9474,2396,9492,2326,9511,2251,9530,2173,9549,2097,9568,2027,9591,1942,9613,1854,9636,1771,9659,1703,9681,1660,9707,1651,9738,1669,9795,1754,9832,1879,9851,1959,9870,2043,9889,2124,9908,2198,9931,2279,9953,2359,9976,2434,9999,2502,10021,2559,10049,2613,10106,2680,10163,2719,10248,2734,10305,2738,10333,2738,10361,2738,10390,2738,10418,2739,10446,2738,10474,2739,15007,2739,15022,2739e" filled="false" stroked="true" strokeweight="2.25pt" strokecolor="#3c95ad">
              <v:path arrowok="t"/>
              <v:stroke dashstyle="solid"/>
            </v:shape>
            <v:shape style="position:absolute;left:9341;top:1753;width:5681;height:986" coordorigin="9341,1753" coordsize="5681,986" path="m9341,2708l9370,2686,9398,2667,9426,2642,9483,2556,9511,2495,9540,2426,9568,2351,9591,2282,9613,2205,9636,2125,9659,2048,9681,1982,9710,1906,9738,1836,9766,1782,9795,1753,9823,1756,9880,1828,9908,1884,9931,1942,9953,2014,9976,2093,9999,2172,10021,2244,10050,2328,10078,2410,10106,2485,10135,2548,10191,2635,10248,2690,10305,2718,10390,2734,10446,2737,10474,2738,10503,2738,10531,2738,10559,2738,10588,2738,10616,2738,10645,2738,10673,2739,10701,2739,10729,2739,10758,2739,15007,2739,15022,2739e" filled="false" stroked="true" strokeweight="2.25pt" strokecolor="#da8137">
              <v:path arrowok="t"/>
              <v:stroke dashstyle="solid"/>
            </v:shape>
            <v:shape style="position:absolute;left:9341;top:1835;width:5681;height:904" coordorigin="9341,1835" coordsize="5681,904" path="m9341,2725l9370,2715,9398,2706,9426,2695,9483,2651,9540,2583,9596,2481,9625,2415,9653,2344,9681,2273,9710,2196,9738,2113,9766,2035,9795,1970,9851,1875,9908,1835,9936,1848,9993,1927,10021,1981,10050,2047,10078,2126,10106,2208,10135,2285,10163,2356,10191,2426,10220,2490,10248,2545,10305,2626,10361,2680,10418,2710,10503,2731,10588,2737,10673,2738,10701,2738,10729,2738,10758,2738,10786,2738,10814,2739,15007,2739,15022,2739e" filled="false" stroked="true" strokeweight="2.25pt" strokecolor="#8ea4ca">
              <v:path arrowok="t"/>
              <v:stroke dashstyle="solid"/>
            </v:shape>
            <v:shape style="position:absolute;left:9341;top:1904;width:5681;height:834" coordorigin="9341,1905" coordsize="5681,834" path="m9341,2732l9370,2728,9398,2724,9426,2718,9483,2697,9540,2662,9596,2604,9653,2521,9710,2414,9738,2350,9766,2283,9795,2218,9823,2153,9851,2087,9880,2026,9908,1978,9936,1943,9965,1918,9993,1905,10021,1906,10078,1961,10135,2057,10163,2116,10191,2184,10220,2255,10248,2321,10276,2382,10305,2443,10333,2498,10390,2587,10446,2649,10503,2691,10559,2714,10645,2731,10729,2737,10814,2738,10843,2738,10871,2738,10899,2738,10928,2738,10956,2738,10984,2738,11013,2739,11041,2739,11069,2739,11098,2739,15007,2739,15022,2739e" filled="false" stroked="true" strokeweight="2.25pt" strokecolor="#ce8e8d">
              <v:path arrowok="t"/>
              <v:stroke dashstyle="solid"/>
            </v:shape>
            <v:shape style="position:absolute;left:9341;top:1959;width:5681;height:780" coordorigin="9341,1959" coordsize="5681,780" path="m9341,2736l9370,2733,9398,2732,9426,2729,9511,2711,9568,2687,9625,2649,9681,2593,9738,2512,9795,2415,9823,2360,9851,2299,9880,2238,9908,2182,9936,2128,9993,2030,10050,1974,10106,1959,10135,1969,10191,2028,10248,2120,10276,2173,10305,2233,10333,2295,10361,2352,10390,2406,10446,2508,10503,2588,10559,2646,10616,2686,10673,2709,10758,2729,10843,2736,10928,2738,11013,2738,11041,2738,11069,2738,11098,2738,11126,2738,11154,2739,11183,2739,11211,2739,15007,2739,15022,2739e" filled="false" stroked="true" strokeweight="2.25pt" strokecolor="#b5c992">
              <v:path arrowok="t"/>
              <v:stroke dashstyle="solid"/>
            </v:shape>
            <v:shape style="position:absolute;left:9341;top:2003;width:5681;height:736" coordorigin="9341,2003" coordsize="5681,736" path="m9341,2737l9370,2736,9398,2735,9426,2734,9511,2725,9596,2704,9653,2679,9710,2639,9766,2583,9823,2509,9880,2416,9936,2316,9965,2261,9993,2208,10050,2117,10106,2042,10163,2006,10191,2003,10220,2009,10276,2049,10333,2127,10390,2220,10418,2274,10446,2329,10474,2380,10531,2475,10588,2557,10645,2619,10701,2665,10758,2696,10843,2722,10928,2732,11013,2737,11041,2737,11069,2738,11154,2738,11239,2738,11268,2739,15007,2739,15022,2739e" filled="false" stroked="true" strokeweight="2.25pt" strokecolor="#a496b8">
              <v:path arrowok="t"/>
              <v:stroke dashstyle="solid"/>
            </v:shape>
            <w10:wrap type="none"/>
          </v:group>
        </w:pict>
      </w:r>
      <w:r>
        <w:rPr>
          <w:rFonts w:ascii="Times New Roman"/>
          <w:sz w:val="20"/>
        </w:rPr>
        <w:t>35,000</w:t>
      </w:r>
    </w:p>
    <w:p>
      <w:pPr>
        <w:spacing w:before="144"/>
        <w:ind w:left="2918" w:right="0" w:firstLine="0"/>
        <w:jc w:val="left"/>
        <w:rPr>
          <w:rFonts w:ascii="Times New Roman"/>
          <w:sz w:val="20"/>
        </w:rPr>
      </w:pPr>
      <w:r>
        <w:rPr>
          <w:rFonts w:ascii="Times New Roman"/>
          <w:sz w:val="20"/>
        </w:rPr>
        <w:t>30,000</w:t>
      </w:r>
    </w:p>
    <w:p>
      <w:pPr>
        <w:spacing w:before="143"/>
        <w:ind w:left="2918" w:right="0" w:firstLine="0"/>
        <w:jc w:val="left"/>
        <w:rPr>
          <w:rFonts w:ascii="Times New Roman"/>
          <w:sz w:val="20"/>
        </w:rPr>
      </w:pPr>
      <w:r>
        <w:rPr>
          <w:rFonts w:ascii="Times New Roman"/>
          <w:sz w:val="20"/>
        </w:rPr>
        <w:t>25,000</w:t>
      </w:r>
    </w:p>
    <w:p>
      <w:pPr>
        <w:spacing w:before="144"/>
        <w:ind w:left="2918" w:right="0" w:firstLine="0"/>
        <w:jc w:val="left"/>
        <w:rPr>
          <w:rFonts w:ascii="Times New Roman"/>
          <w:sz w:val="20"/>
        </w:rPr>
      </w:pPr>
      <w:r>
        <w:rPr/>
        <w:pict>
          <v:shape style="position:absolute;margin-left:413.604523pt;margin-top:3.741768pt;width:13.05pt;height:38.3pt;mso-position-horizontal-relative:page;mso-position-vertical-relative:paragraph;z-index:251840512" type="#_x0000_t202" filled="false" stroked="false">
            <v:textbox inset="0,0,0,0" style="layout-flow:vertical;mso-layout-flow-alt:bottom-to-top">
              <w:txbxContent>
                <w:p>
                  <w:pPr>
                    <w:spacing w:before="10"/>
                    <w:ind w:left="20" w:right="0" w:firstLine="0"/>
                    <w:jc w:val="left"/>
                    <w:rPr>
                      <w:rFonts w:ascii="Times New Roman"/>
                      <w:b/>
                      <w:sz w:val="20"/>
                    </w:rPr>
                  </w:pPr>
                  <w:r>
                    <w:rPr>
                      <w:rFonts w:ascii="Times New Roman"/>
                      <w:b/>
                      <w:sz w:val="20"/>
                    </w:rPr>
                    <w:t>C(mg/L)</w:t>
                  </w:r>
                </w:p>
              </w:txbxContent>
            </v:textbox>
            <w10:wrap type="none"/>
          </v:shape>
        </w:pict>
      </w:r>
      <w:r>
        <w:rPr>
          <w:rFonts w:ascii="Times New Roman"/>
          <w:sz w:val="20"/>
        </w:rPr>
        <w:t>20,000</w:t>
      </w:r>
    </w:p>
    <w:p>
      <w:pPr>
        <w:spacing w:before="143"/>
        <w:ind w:left="2918" w:right="0" w:firstLine="0"/>
        <w:jc w:val="left"/>
        <w:rPr>
          <w:rFonts w:ascii="Times New Roman"/>
          <w:sz w:val="20"/>
        </w:rPr>
      </w:pPr>
      <w:r>
        <w:rPr>
          <w:rFonts w:ascii="Times New Roman"/>
          <w:sz w:val="20"/>
        </w:rPr>
        <w:t>15,000</w:t>
      </w:r>
    </w:p>
    <w:p>
      <w:pPr>
        <w:spacing w:before="144"/>
        <w:ind w:left="2918" w:right="0" w:firstLine="0"/>
        <w:jc w:val="left"/>
        <w:rPr>
          <w:rFonts w:ascii="Times New Roman"/>
          <w:sz w:val="20"/>
        </w:rPr>
      </w:pPr>
      <w:r>
        <w:rPr>
          <w:rFonts w:ascii="Times New Roman"/>
          <w:sz w:val="20"/>
        </w:rPr>
        <w:t>10,000</w:t>
      </w:r>
    </w:p>
    <w:p>
      <w:pPr>
        <w:spacing w:before="143"/>
        <w:ind w:left="3018" w:right="0" w:firstLine="0"/>
        <w:jc w:val="left"/>
        <w:rPr>
          <w:rFonts w:ascii="Times New Roman"/>
          <w:sz w:val="20"/>
        </w:rPr>
      </w:pPr>
      <w:r>
        <w:rPr>
          <w:rFonts w:ascii="Times New Roman"/>
          <w:sz w:val="20"/>
        </w:rPr>
        <w:t>5,000</w:t>
      </w:r>
    </w:p>
    <w:p>
      <w:pPr>
        <w:spacing w:after="0"/>
        <w:jc w:val="left"/>
        <w:rPr>
          <w:rFonts w:ascii="Times New Roman"/>
          <w:sz w:val="20"/>
        </w:rPr>
        <w:sectPr>
          <w:type w:val="continuous"/>
          <w:pgSz w:w="16840" w:h="11910" w:orient="landscape"/>
          <w:pgMar w:top="1400" w:bottom="1200" w:left="1200" w:right="1200"/>
          <w:cols w:num="2" w:equalWidth="0">
            <w:col w:w="913" w:space="3541"/>
            <w:col w:w="9986"/>
          </w:cols>
        </w:sectPr>
      </w:pPr>
    </w:p>
    <w:p>
      <w:pPr>
        <w:spacing w:before="171"/>
        <w:ind w:left="234" w:right="0" w:firstLine="0"/>
        <w:jc w:val="left"/>
        <w:rPr>
          <w:rFonts w:ascii="Times New Roman"/>
          <w:sz w:val="20"/>
        </w:rPr>
      </w:pPr>
      <w:r>
        <w:rPr>
          <w:rFonts w:ascii="Times New Roman"/>
          <w:w w:val="95"/>
          <w:sz w:val="20"/>
        </w:rPr>
        <w:t>2.0E-22</w:t>
      </w:r>
    </w:p>
    <w:p>
      <w:pPr>
        <w:spacing w:before="171"/>
        <w:ind w:left="188" w:right="0" w:firstLine="0"/>
        <w:jc w:val="left"/>
        <w:rPr>
          <w:rFonts w:ascii="Times New Roman"/>
          <w:sz w:val="20"/>
        </w:rPr>
      </w:pPr>
      <w:r>
        <w:rPr>
          <w:rFonts w:ascii="Times New Roman"/>
          <w:w w:val="95"/>
          <w:sz w:val="20"/>
        </w:rPr>
        <w:t>0.0E+00</w:t>
      </w:r>
    </w:p>
    <w:p>
      <w:pPr>
        <w:pStyle w:val="BodyText"/>
        <w:ind w:left="0"/>
        <w:rPr>
          <w:rFonts w:ascii="Times New Roman"/>
          <w:sz w:val="22"/>
        </w:rPr>
      </w:pPr>
      <w:r>
        <w:rPr/>
        <w:br w:type="column"/>
      </w:r>
      <w:r>
        <w:rPr>
          <w:rFonts w:ascii="Times New Roman"/>
          <w:sz w:val="22"/>
        </w:rPr>
      </w:r>
    </w:p>
    <w:p>
      <w:pPr>
        <w:pStyle w:val="BodyText"/>
        <w:ind w:left="0"/>
        <w:rPr>
          <w:rFonts w:ascii="Times New Roman"/>
          <w:sz w:val="22"/>
        </w:rPr>
      </w:pPr>
    </w:p>
    <w:p>
      <w:pPr>
        <w:pStyle w:val="BodyText"/>
        <w:spacing w:before="2"/>
        <w:ind w:left="0"/>
        <w:rPr>
          <w:rFonts w:ascii="Times New Roman"/>
          <w:sz w:val="26"/>
        </w:rPr>
      </w:pPr>
    </w:p>
    <w:p>
      <w:pPr>
        <w:tabs>
          <w:tab w:pos="526" w:val="left" w:leader="none"/>
          <w:tab w:pos="1112" w:val="left" w:leader="none"/>
          <w:tab w:pos="1698" w:val="left" w:leader="none"/>
          <w:tab w:pos="2283" w:val="left" w:leader="none"/>
          <w:tab w:pos="2820" w:val="left" w:leader="none"/>
        </w:tabs>
        <w:spacing w:before="0"/>
        <w:ind w:left="40" w:right="0" w:firstLine="0"/>
        <w:jc w:val="center"/>
        <w:rPr>
          <w:rFonts w:ascii="Times New Roman"/>
          <w:sz w:val="20"/>
        </w:rPr>
      </w:pPr>
      <w:r>
        <w:rPr>
          <w:rFonts w:ascii="Times New Roman"/>
          <w:sz w:val="20"/>
        </w:rPr>
        <w:t>0</w:t>
        <w:tab/>
        <w:t>200</w:t>
        <w:tab/>
        <w:t>400</w:t>
        <w:tab/>
        <w:t>600</w:t>
        <w:tab/>
        <w:t>800</w:t>
        <w:tab/>
        <w:t>1000 1200 1400 1600</w:t>
      </w:r>
      <w:r>
        <w:rPr>
          <w:rFonts w:ascii="Times New Roman"/>
          <w:spacing w:val="37"/>
          <w:sz w:val="20"/>
        </w:rPr>
        <w:t> </w:t>
      </w:r>
      <w:r>
        <w:rPr>
          <w:rFonts w:ascii="Times New Roman"/>
          <w:sz w:val="20"/>
        </w:rPr>
        <w:t>1800</w:t>
      </w:r>
    </w:p>
    <w:p>
      <w:pPr>
        <w:spacing w:before="61"/>
        <w:ind w:left="182" w:right="0" w:firstLine="0"/>
        <w:jc w:val="center"/>
        <w:rPr>
          <w:rFonts w:ascii="Times New Roman"/>
          <w:b/>
          <w:sz w:val="20"/>
        </w:rPr>
      </w:pPr>
      <w:r>
        <w:rPr>
          <w:rFonts w:ascii="Times New Roman"/>
          <w:b/>
          <w:sz w:val="20"/>
        </w:rPr>
        <w:t>t(d)</w:t>
      </w:r>
    </w:p>
    <w:p>
      <w:pPr>
        <w:spacing w:before="8"/>
        <w:ind w:left="188" w:right="0" w:firstLine="0"/>
        <w:jc w:val="left"/>
        <w:rPr>
          <w:rFonts w:ascii="Times New Roman"/>
          <w:sz w:val="20"/>
        </w:rPr>
      </w:pPr>
      <w:r>
        <w:rPr/>
        <w:br w:type="column"/>
      </w:r>
      <w:r>
        <w:rPr>
          <w:rFonts w:ascii="Times New Roman"/>
          <w:sz w:val="20"/>
        </w:rPr>
        <w:t>0</w:t>
      </w:r>
    </w:p>
    <w:p>
      <w:pPr>
        <w:tabs>
          <w:tab w:pos="924" w:val="left" w:leader="none"/>
          <w:tab w:pos="1491" w:val="left" w:leader="none"/>
          <w:tab w:pos="2058" w:val="left" w:leader="none"/>
          <w:tab w:pos="2624" w:val="left" w:leader="none"/>
          <w:tab w:pos="3191" w:val="left" w:leader="none"/>
          <w:tab w:pos="3757" w:val="left" w:leader="none"/>
          <w:tab w:pos="4324" w:val="left" w:leader="none"/>
          <w:tab w:pos="4891" w:val="left" w:leader="none"/>
          <w:tab w:pos="5457" w:val="left" w:leader="none"/>
          <w:tab w:pos="5974" w:val="left" w:leader="none"/>
        </w:tabs>
        <w:spacing w:before="4"/>
        <w:ind w:left="458" w:right="0" w:firstLine="0"/>
        <w:jc w:val="left"/>
        <w:rPr>
          <w:rFonts w:ascii="Times New Roman"/>
          <w:sz w:val="20"/>
        </w:rPr>
      </w:pPr>
      <w:r>
        <w:rPr>
          <w:rFonts w:ascii="Times New Roman"/>
          <w:sz w:val="20"/>
        </w:rPr>
        <w:t>0</w:t>
        <w:tab/>
        <w:t>100</w:t>
        <w:tab/>
        <w:t>200</w:t>
        <w:tab/>
        <w:t>300</w:t>
        <w:tab/>
        <w:t>400</w:t>
        <w:tab/>
        <w:t>500</w:t>
        <w:tab/>
        <w:t>600</w:t>
        <w:tab/>
        <w:t>700</w:t>
        <w:tab/>
        <w:t>800</w:t>
        <w:tab/>
        <w:t>900</w:t>
        <w:tab/>
        <w:t>1000</w:t>
      </w:r>
    </w:p>
    <w:p>
      <w:pPr>
        <w:spacing w:before="63"/>
        <w:ind w:left="2438" w:right="2559" w:firstLine="0"/>
        <w:jc w:val="center"/>
        <w:rPr>
          <w:b/>
          <w:sz w:val="20"/>
        </w:rPr>
      </w:pPr>
      <w:r>
        <w:rPr>
          <w:b/>
          <w:sz w:val="20"/>
        </w:rPr>
        <w:t>距源中心距离（</w:t>
      </w:r>
      <w:r>
        <w:rPr>
          <w:rFonts w:ascii="Calibri" w:eastAsia="Calibri"/>
          <w:b/>
          <w:sz w:val="20"/>
        </w:rPr>
        <w:t>m</w:t>
      </w:r>
      <w:r>
        <w:rPr>
          <w:b/>
          <w:sz w:val="20"/>
        </w:rPr>
        <w:t>）</w:t>
      </w:r>
    </w:p>
    <w:p>
      <w:pPr>
        <w:tabs>
          <w:tab w:pos="1862" w:val="left" w:leader="none"/>
          <w:tab w:pos="2942" w:val="left" w:leader="none"/>
          <w:tab w:pos="4022" w:val="left" w:leader="none"/>
          <w:tab w:pos="5102" w:val="left" w:leader="none"/>
        </w:tabs>
        <w:spacing w:before="68"/>
        <w:ind w:left="782" w:right="0" w:firstLine="0"/>
        <w:jc w:val="left"/>
        <w:rPr>
          <w:sz w:val="20"/>
        </w:rPr>
      </w:pPr>
      <w:r>
        <w:rPr/>
        <w:pict>
          <v:line style="position:absolute;mso-position-horizontal-relative:page;mso-position-vertical-relative:paragraph;z-index:251817984" from="459.549988pt,10.040004pt" to="478.749988pt,10.040004pt" stroked="true" strokeweight="2.25pt" strokecolor="#416ea6">
            <v:stroke dashstyle="solid"/>
            <w10:wrap type="none"/>
          </v:line>
        </w:pict>
      </w:r>
      <w:r>
        <w:rPr/>
        <w:pict>
          <v:line style="position:absolute;mso-position-horizontal-relative:page;mso-position-vertical-relative:paragraph;z-index:-315439104" from="513.549988pt,10.040004pt" to="532.749988pt,10.040004pt" stroked="true" strokeweight="2.25pt" strokecolor="#a8423e">
            <v:stroke dashstyle="solid"/>
            <w10:wrap type="none"/>
          </v:line>
        </w:pict>
      </w:r>
      <w:r>
        <w:rPr/>
        <w:pict>
          <v:line style="position:absolute;mso-position-horizontal-relative:page;mso-position-vertical-relative:paragraph;z-index:-315438080" from="567.549988pt,10.040004pt" to="586.749988pt,10.040004pt" stroked="true" strokeweight="2.25pt" strokecolor="#85a349">
            <v:stroke dashstyle="solid"/>
            <w10:wrap type="none"/>
          </v:line>
        </w:pict>
      </w:r>
      <w:r>
        <w:rPr/>
        <w:pict>
          <v:line style="position:absolute;mso-position-horizontal-relative:page;mso-position-vertical-relative:paragraph;z-index:-315437056" from="621.549988pt,10.040004pt" to="640.749988pt,10.040004pt" stroked="true" strokeweight="2.25pt" strokecolor="#6d538d">
            <v:stroke dashstyle="solid"/>
            <w10:wrap type="none"/>
          </v:line>
        </w:pict>
      </w:r>
      <w:r>
        <w:rPr/>
        <w:pict>
          <v:line style="position:absolute;mso-position-horizontal-relative:page;mso-position-vertical-relative:paragraph;z-index:-315436032" from="675.549988pt,10.040004pt" to="694.749988pt,10.040004pt" stroked="true" strokeweight="2.25pt" strokecolor="#3c95ad">
            <v:stroke dashstyle="solid"/>
            <w10:wrap type="none"/>
          </v:line>
        </w:pict>
      </w:r>
      <w:r>
        <w:rPr>
          <w:rFonts w:ascii="Times New Roman" w:eastAsia="Times New Roman"/>
          <w:sz w:val="20"/>
        </w:rPr>
        <w:t>100</w:t>
      </w:r>
      <w:r>
        <w:rPr>
          <w:sz w:val="20"/>
        </w:rPr>
        <w:t>天</w:t>
        <w:tab/>
      </w:r>
      <w:r>
        <w:rPr>
          <w:rFonts w:ascii="Times New Roman" w:eastAsia="Times New Roman"/>
          <w:sz w:val="20"/>
        </w:rPr>
        <w:t>200</w:t>
      </w:r>
      <w:r>
        <w:rPr>
          <w:sz w:val="20"/>
        </w:rPr>
        <w:t>天</w:t>
        <w:tab/>
      </w:r>
      <w:r>
        <w:rPr>
          <w:rFonts w:ascii="Times New Roman" w:eastAsia="Times New Roman"/>
          <w:sz w:val="20"/>
        </w:rPr>
        <w:t>400</w:t>
      </w:r>
      <w:r>
        <w:rPr>
          <w:sz w:val="20"/>
        </w:rPr>
        <w:t>天</w:t>
        <w:tab/>
      </w:r>
      <w:r>
        <w:rPr>
          <w:rFonts w:ascii="Times New Roman" w:eastAsia="Times New Roman"/>
          <w:sz w:val="20"/>
        </w:rPr>
        <w:t>600</w:t>
      </w:r>
      <w:r>
        <w:rPr>
          <w:sz w:val="20"/>
        </w:rPr>
        <w:t>天</w:t>
        <w:tab/>
      </w:r>
      <w:r>
        <w:rPr>
          <w:rFonts w:ascii="Times New Roman" w:eastAsia="Times New Roman"/>
          <w:sz w:val="20"/>
        </w:rPr>
        <w:t>800</w:t>
      </w:r>
      <w:r>
        <w:rPr>
          <w:sz w:val="20"/>
        </w:rPr>
        <w:t>天</w:t>
      </w:r>
    </w:p>
    <w:p>
      <w:pPr>
        <w:tabs>
          <w:tab w:pos="1862" w:val="left" w:leader="none"/>
          <w:tab w:pos="2942" w:val="left" w:leader="none"/>
          <w:tab w:pos="4022" w:val="left" w:leader="none"/>
          <w:tab w:pos="5102" w:val="left" w:leader="none"/>
        </w:tabs>
        <w:spacing w:before="84"/>
        <w:ind w:left="782" w:right="0" w:firstLine="0"/>
        <w:jc w:val="left"/>
        <w:rPr>
          <w:sz w:val="20"/>
        </w:rPr>
      </w:pPr>
      <w:r>
        <w:rPr/>
        <w:pict>
          <v:line style="position:absolute;mso-position-horizontal-relative:page;mso-position-vertical-relative:paragraph;z-index:251823104" from="459.549988pt,10.840002pt" to="478.749988pt,10.840002pt" stroked="true" strokeweight="2.25pt" strokecolor="#da8137">
            <v:stroke dashstyle="solid"/>
            <w10:wrap type="none"/>
          </v:line>
        </w:pict>
      </w:r>
      <w:r>
        <w:rPr/>
        <w:pict>
          <v:line style="position:absolute;mso-position-horizontal-relative:page;mso-position-vertical-relative:paragraph;z-index:-315433984" from="513.549988pt,10.840002pt" to="532.749988pt,10.840002pt" stroked="true" strokeweight="2.25pt" strokecolor="#8ea4ca">
            <v:stroke dashstyle="solid"/>
            <w10:wrap type="none"/>
          </v:line>
        </w:pict>
      </w:r>
      <w:r>
        <w:rPr/>
        <w:pict>
          <v:line style="position:absolute;mso-position-horizontal-relative:page;mso-position-vertical-relative:paragraph;z-index:-315432960" from="567.549988pt,10.840002pt" to="586.749988pt,10.840002pt" stroked="true" strokeweight="2.25pt" strokecolor="#ce8e8d">
            <v:stroke dashstyle="solid"/>
            <w10:wrap type="none"/>
          </v:line>
        </w:pict>
      </w:r>
      <w:r>
        <w:rPr/>
        <w:pict>
          <v:line style="position:absolute;mso-position-horizontal-relative:page;mso-position-vertical-relative:paragraph;z-index:-315431936" from="621.549988pt,10.840002pt" to="640.749988pt,10.840002pt" stroked="true" strokeweight="2.25pt" strokecolor="#b5c992">
            <v:stroke dashstyle="solid"/>
            <w10:wrap type="none"/>
          </v:line>
        </w:pict>
      </w:r>
      <w:r>
        <w:rPr/>
        <w:pict>
          <v:line style="position:absolute;mso-position-horizontal-relative:page;mso-position-vertical-relative:paragraph;z-index:-315430912" from="675.549988pt,10.840002pt" to="694.749988pt,10.840002pt" stroked="true" strokeweight="2.25pt" strokecolor="#a496b8">
            <v:stroke dashstyle="solid"/>
            <w10:wrap type="none"/>
          </v:line>
        </w:pict>
      </w:r>
      <w:r>
        <w:rPr>
          <w:rFonts w:ascii="Times New Roman" w:eastAsia="Times New Roman"/>
          <w:sz w:val="20"/>
        </w:rPr>
        <w:t>1000</w:t>
      </w:r>
      <w:r>
        <w:rPr>
          <w:sz w:val="20"/>
        </w:rPr>
        <w:t>天</w:t>
        <w:tab/>
      </w:r>
      <w:r>
        <w:rPr>
          <w:rFonts w:ascii="Times New Roman" w:eastAsia="Times New Roman"/>
          <w:sz w:val="20"/>
        </w:rPr>
        <w:t>1200</w:t>
      </w:r>
      <w:r>
        <w:rPr>
          <w:sz w:val="20"/>
        </w:rPr>
        <w:t>天</w:t>
        <w:tab/>
      </w:r>
      <w:r>
        <w:rPr>
          <w:rFonts w:ascii="Times New Roman" w:eastAsia="Times New Roman"/>
          <w:sz w:val="20"/>
        </w:rPr>
        <w:t>1400</w:t>
      </w:r>
      <w:r>
        <w:rPr>
          <w:sz w:val="20"/>
        </w:rPr>
        <w:t>天</w:t>
        <w:tab/>
      </w:r>
      <w:r>
        <w:rPr>
          <w:rFonts w:ascii="Times New Roman" w:eastAsia="Times New Roman"/>
          <w:sz w:val="20"/>
        </w:rPr>
        <w:t>1600</w:t>
      </w:r>
      <w:r>
        <w:rPr>
          <w:sz w:val="20"/>
        </w:rPr>
        <w:t>天</w:t>
        <w:tab/>
      </w:r>
      <w:r>
        <w:rPr>
          <w:rFonts w:ascii="Times New Roman" w:eastAsia="Times New Roman"/>
          <w:sz w:val="20"/>
        </w:rPr>
        <w:t>1800</w:t>
      </w:r>
      <w:r>
        <w:rPr>
          <w:sz w:val="20"/>
        </w:rPr>
        <w:t>天</w:t>
      </w:r>
    </w:p>
    <w:p>
      <w:pPr>
        <w:spacing w:after="0"/>
        <w:jc w:val="left"/>
        <w:rPr>
          <w:sz w:val="20"/>
        </w:rPr>
        <w:sectPr>
          <w:type w:val="continuous"/>
          <w:pgSz w:w="16840" w:h="11910" w:orient="landscape"/>
          <w:pgMar w:top="1400" w:bottom="1200" w:left="1200" w:right="1200"/>
          <w:cols w:num="3" w:equalWidth="0">
            <w:col w:w="873" w:space="40"/>
            <w:col w:w="5643" w:space="1078"/>
            <w:col w:w="6806"/>
          </w:cols>
        </w:sectPr>
      </w:pPr>
    </w:p>
    <w:p>
      <w:pPr>
        <w:pStyle w:val="BodyText"/>
        <w:spacing w:before="3"/>
        <w:ind w:left="0"/>
        <w:rPr>
          <w:sz w:val="13"/>
        </w:rPr>
      </w:pPr>
    </w:p>
    <w:p>
      <w:pPr>
        <w:pStyle w:val="Heading3"/>
        <w:tabs>
          <w:tab w:pos="7851" w:val="left" w:leader="none"/>
        </w:tabs>
        <w:spacing w:before="74"/>
        <w:ind w:left="134"/>
      </w:pPr>
      <w:r>
        <w:rPr>
          <w:position w:val="1"/>
        </w:rPr>
        <w:t>图</w:t>
      </w:r>
      <w:r>
        <w:rPr>
          <w:spacing w:val="-61"/>
          <w:position w:val="1"/>
        </w:rPr>
        <w:t> </w:t>
      </w:r>
      <w:r>
        <w:rPr>
          <w:rFonts w:ascii="Times New Roman" w:eastAsia="Times New Roman"/>
          <w:position w:val="1"/>
        </w:rPr>
        <w:t>5.2-1</w:t>
      </w:r>
      <w:r>
        <w:rPr>
          <w:rFonts w:ascii="Times New Roman" w:eastAsia="Times New Roman"/>
          <w:spacing w:val="56"/>
          <w:position w:val="1"/>
        </w:rPr>
        <w:t> </w:t>
      </w:r>
      <w:r>
        <w:rPr>
          <w:position w:val="1"/>
        </w:rPr>
        <w:t>集污池下游</w:t>
      </w:r>
      <w:r>
        <w:rPr>
          <w:spacing w:val="-60"/>
          <w:position w:val="1"/>
        </w:rPr>
        <w:t> </w:t>
      </w:r>
      <w:r>
        <w:rPr>
          <w:rFonts w:ascii="Times New Roman" w:eastAsia="Times New Roman"/>
          <w:position w:val="1"/>
        </w:rPr>
        <w:t>600m</w:t>
      </w:r>
      <w:r>
        <w:rPr>
          <w:position w:val="1"/>
        </w:rPr>
        <w:t>（丰项村）处</w:t>
      </w:r>
      <w:r>
        <w:rPr>
          <w:spacing w:val="-60"/>
          <w:position w:val="1"/>
        </w:rPr>
        <w:t> </w:t>
      </w:r>
      <w:r>
        <w:rPr>
          <w:rFonts w:ascii="Times New Roman" w:eastAsia="Times New Roman"/>
          <w:position w:val="1"/>
        </w:rPr>
        <w:t>COD</w:t>
      </w:r>
      <w:r>
        <w:rPr>
          <w:rFonts w:ascii="Times New Roman" w:eastAsia="Times New Roman"/>
          <w:sz w:val="16"/>
        </w:rPr>
        <w:t>Mn</w:t>
      </w:r>
      <w:r>
        <w:rPr>
          <w:rFonts w:ascii="Times New Roman" w:eastAsia="Times New Roman"/>
          <w:spacing w:val="-1"/>
          <w:sz w:val="16"/>
        </w:rPr>
        <w:t> </w:t>
      </w:r>
      <w:r>
        <w:rPr>
          <w:position w:val="1"/>
        </w:rPr>
        <w:t>浓度随时间的变化情况</w:t>
        <w:tab/>
        <w:t>图</w:t>
      </w:r>
      <w:r>
        <w:rPr>
          <w:spacing w:val="-60"/>
          <w:position w:val="1"/>
        </w:rPr>
        <w:t> </w:t>
      </w:r>
      <w:r>
        <w:rPr>
          <w:rFonts w:ascii="Times New Roman" w:eastAsia="Times New Roman"/>
          <w:position w:val="1"/>
        </w:rPr>
        <w:t>5.2-2</w:t>
      </w:r>
      <w:r>
        <w:rPr>
          <w:rFonts w:ascii="Times New Roman" w:eastAsia="Times New Roman"/>
          <w:spacing w:val="59"/>
          <w:position w:val="1"/>
        </w:rPr>
        <w:t> </w:t>
      </w:r>
      <w:r>
        <w:rPr>
          <w:position w:val="1"/>
        </w:rPr>
        <w:t>泄漏后不同时间</w:t>
      </w:r>
      <w:r>
        <w:rPr>
          <w:spacing w:val="-60"/>
          <w:position w:val="1"/>
        </w:rPr>
        <w:t> </w:t>
      </w:r>
      <w:r>
        <w:rPr>
          <w:rFonts w:ascii="Times New Roman" w:eastAsia="Times New Roman"/>
          <w:position w:val="1"/>
        </w:rPr>
        <w:t>COD</w:t>
      </w:r>
      <w:r>
        <w:rPr>
          <w:rFonts w:ascii="Times New Roman" w:eastAsia="Times New Roman"/>
          <w:sz w:val="16"/>
        </w:rPr>
        <w:t>Mn </w:t>
      </w:r>
      <w:r>
        <w:rPr>
          <w:position w:val="1"/>
        </w:rPr>
        <w:t>浓度随距离的变化情况</w:t>
      </w:r>
    </w:p>
    <w:p>
      <w:pPr>
        <w:pStyle w:val="BodyText"/>
        <w:spacing w:before="4"/>
        <w:ind w:left="0"/>
        <w:rPr>
          <w:b/>
          <w:sz w:val="10"/>
        </w:rPr>
      </w:pPr>
    </w:p>
    <w:p>
      <w:pPr>
        <w:spacing w:after="0"/>
        <w:rPr>
          <w:sz w:val="10"/>
        </w:rPr>
        <w:sectPr>
          <w:type w:val="continuous"/>
          <w:pgSz w:w="16840" w:h="11910" w:orient="landscape"/>
          <w:pgMar w:top="1400" w:bottom="1200" w:left="1200" w:right="1200"/>
        </w:sectPr>
      </w:pPr>
    </w:p>
    <w:p>
      <w:pPr>
        <w:spacing w:before="175"/>
        <w:ind w:left="234" w:right="0" w:firstLine="0"/>
        <w:jc w:val="left"/>
        <w:rPr>
          <w:rFonts w:ascii="Times New Roman"/>
          <w:sz w:val="20"/>
        </w:rPr>
      </w:pPr>
      <w:r>
        <w:rPr>
          <w:rFonts w:ascii="Times New Roman"/>
          <w:w w:val="95"/>
          <w:sz w:val="20"/>
        </w:rPr>
        <w:t>1.4E-22</w:t>
      </w:r>
    </w:p>
    <w:p>
      <w:pPr>
        <w:pStyle w:val="BodyText"/>
        <w:spacing w:before="5"/>
        <w:ind w:left="0"/>
        <w:rPr>
          <w:rFonts w:ascii="Times New Roman"/>
          <w:sz w:val="18"/>
        </w:rPr>
      </w:pPr>
    </w:p>
    <w:p>
      <w:pPr>
        <w:spacing w:before="0"/>
        <w:ind w:left="234" w:right="0" w:firstLine="0"/>
        <w:jc w:val="left"/>
        <w:rPr>
          <w:rFonts w:ascii="Times New Roman"/>
          <w:sz w:val="20"/>
        </w:rPr>
      </w:pPr>
      <w:r>
        <w:rPr>
          <w:rFonts w:ascii="Times New Roman"/>
          <w:w w:val="95"/>
          <w:sz w:val="20"/>
        </w:rPr>
        <w:t>1.2E-22</w:t>
      </w:r>
    </w:p>
    <w:p>
      <w:pPr>
        <w:pStyle w:val="BodyText"/>
        <w:spacing w:before="5"/>
        <w:ind w:left="0"/>
        <w:rPr>
          <w:rFonts w:ascii="Times New Roman"/>
          <w:sz w:val="18"/>
        </w:rPr>
      </w:pPr>
    </w:p>
    <w:p>
      <w:pPr>
        <w:spacing w:before="0"/>
        <w:ind w:left="234" w:right="0" w:firstLine="0"/>
        <w:jc w:val="left"/>
        <w:rPr>
          <w:rFonts w:ascii="Times New Roman"/>
          <w:sz w:val="20"/>
        </w:rPr>
      </w:pPr>
      <w:r>
        <w:rPr>
          <w:rFonts w:ascii="Times New Roman"/>
          <w:w w:val="95"/>
          <w:sz w:val="20"/>
        </w:rPr>
        <w:t>1.0E-22</w:t>
      </w:r>
    </w:p>
    <w:p>
      <w:pPr>
        <w:pStyle w:val="BodyText"/>
        <w:spacing w:before="5"/>
        <w:ind w:left="0"/>
        <w:rPr>
          <w:rFonts w:ascii="Times New Roman"/>
          <w:sz w:val="18"/>
        </w:rPr>
      </w:pPr>
    </w:p>
    <w:p>
      <w:pPr>
        <w:spacing w:before="0"/>
        <w:ind w:left="234" w:right="0" w:firstLine="0"/>
        <w:jc w:val="left"/>
        <w:rPr>
          <w:rFonts w:ascii="Times New Roman"/>
          <w:sz w:val="20"/>
        </w:rPr>
      </w:pPr>
      <w:r>
        <w:rPr/>
        <w:pict>
          <v:shape style="position:absolute;margin-left:54.396511pt;margin-top:-4.580739pt;width:13.05pt;height:38.35pt;mso-position-horizontal-relative:page;mso-position-vertical-relative:paragraph;z-index:-315419648" type="#_x0000_t202" filled="false" stroked="false">
            <v:textbox inset="0,0,0,0" style="layout-flow:vertical;mso-layout-flow-alt:bottom-to-top">
              <w:txbxContent>
                <w:p>
                  <w:pPr>
                    <w:spacing w:before="10"/>
                    <w:ind w:left="20" w:right="0" w:firstLine="0"/>
                    <w:jc w:val="left"/>
                    <w:rPr>
                      <w:rFonts w:ascii="Times New Roman"/>
                      <w:b/>
                      <w:sz w:val="20"/>
                    </w:rPr>
                  </w:pPr>
                  <w:r>
                    <w:rPr>
                      <w:rFonts w:ascii="Times New Roman"/>
                      <w:b/>
                      <w:sz w:val="20"/>
                    </w:rPr>
                    <w:t>C(mg/L)</w:t>
                  </w:r>
                </w:p>
              </w:txbxContent>
            </v:textbox>
            <w10:wrap type="none"/>
          </v:shape>
        </w:pict>
      </w:r>
      <w:r>
        <w:rPr>
          <w:rFonts w:ascii="Times New Roman"/>
          <w:sz w:val="20"/>
        </w:rPr>
        <w:t>8.0E-23</w:t>
      </w:r>
    </w:p>
    <w:p>
      <w:pPr>
        <w:pStyle w:val="BodyText"/>
        <w:spacing w:before="6"/>
        <w:ind w:left="0"/>
        <w:rPr>
          <w:rFonts w:ascii="Times New Roman"/>
          <w:sz w:val="18"/>
        </w:rPr>
      </w:pPr>
    </w:p>
    <w:p>
      <w:pPr>
        <w:spacing w:before="0"/>
        <w:ind w:left="234" w:right="0" w:firstLine="0"/>
        <w:jc w:val="left"/>
        <w:rPr>
          <w:rFonts w:ascii="Times New Roman"/>
          <w:sz w:val="20"/>
        </w:rPr>
      </w:pPr>
      <w:r>
        <w:rPr>
          <w:rFonts w:ascii="Times New Roman"/>
          <w:w w:val="95"/>
          <w:sz w:val="20"/>
        </w:rPr>
        <w:t>6.0E-23</w:t>
      </w:r>
    </w:p>
    <w:p>
      <w:pPr>
        <w:pStyle w:val="BodyText"/>
        <w:spacing w:before="5"/>
        <w:ind w:left="0"/>
        <w:rPr>
          <w:rFonts w:ascii="Times New Roman"/>
          <w:sz w:val="18"/>
        </w:rPr>
      </w:pPr>
    </w:p>
    <w:p>
      <w:pPr>
        <w:spacing w:before="0"/>
        <w:ind w:left="234" w:right="0" w:firstLine="0"/>
        <w:jc w:val="left"/>
        <w:rPr>
          <w:rFonts w:ascii="Times New Roman"/>
          <w:sz w:val="20"/>
        </w:rPr>
      </w:pPr>
      <w:r>
        <w:rPr>
          <w:rFonts w:ascii="Times New Roman"/>
          <w:w w:val="95"/>
          <w:sz w:val="20"/>
        </w:rPr>
        <w:t>4.0E-23</w:t>
      </w:r>
    </w:p>
    <w:p>
      <w:pPr>
        <w:pStyle w:val="BodyText"/>
        <w:spacing w:before="5"/>
        <w:ind w:left="0"/>
        <w:rPr>
          <w:rFonts w:ascii="Times New Roman"/>
          <w:sz w:val="18"/>
        </w:rPr>
      </w:pPr>
    </w:p>
    <w:p>
      <w:pPr>
        <w:spacing w:before="0"/>
        <w:ind w:left="234" w:right="0" w:firstLine="0"/>
        <w:jc w:val="left"/>
        <w:rPr>
          <w:rFonts w:ascii="Times New Roman"/>
          <w:sz w:val="20"/>
        </w:rPr>
      </w:pPr>
      <w:r>
        <w:rPr>
          <w:rFonts w:ascii="Times New Roman"/>
          <w:w w:val="95"/>
          <w:sz w:val="20"/>
        </w:rPr>
        <w:t>2.0E-23</w:t>
      </w:r>
    </w:p>
    <w:p>
      <w:pPr>
        <w:pStyle w:val="BodyText"/>
        <w:spacing w:before="5"/>
        <w:ind w:left="0"/>
        <w:rPr>
          <w:rFonts w:ascii="Times New Roman"/>
          <w:sz w:val="18"/>
        </w:rPr>
      </w:pPr>
    </w:p>
    <w:p>
      <w:pPr>
        <w:spacing w:before="0"/>
        <w:ind w:left="188" w:right="0" w:firstLine="0"/>
        <w:jc w:val="left"/>
        <w:rPr>
          <w:rFonts w:ascii="Times New Roman"/>
          <w:sz w:val="20"/>
        </w:rPr>
      </w:pPr>
      <w:r>
        <w:rPr>
          <w:rFonts w:ascii="Times New Roman"/>
          <w:w w:val="95"/>
          <w:sz w:val="20"/>
        </w:rPr>
        <w:t>0.0E+00</w:t>
      </w:r>
    </w:p>
    <w:p>
      <w:pPr>
        <w:pStyle w:val="BodyText"/>
        <w:spacing w:before="8"/>
        <w:ind w:left="0"/>
        <w:rPr>
          <w:rFonts w:ascii="Times New Roman"/>
          <w:sz w:val="15"/>
        </w:rPr>
      </w:pPr>
      <w:r>
        <w:rPr/>
        <w:br w:type="column"/>
      </w:r>
      <w:r>
        <w:rPr>
          <w:rFonts w:ascii="Times New Roman"/>
          <w:sz w:val="15"/>
        </w:rPr>
      </w:r>
    </w:p>
    <w:p>
      <w:pPr>
        <w:pStyle w:val="BodyText"/>
        <w:ind w:left="62" w:right="-116"/>
        <w:rPr>
          <w:rFonts w:ascii="Times New Roman"/>
          <w:sz w:val="20"/>
        </w:rPr>
      </w:pPr>
      <w:r>
        <w:rPr>
          <w:rFonts w:ascii="Times New Roman"/>
          <w:sz w:val="20"/>
        </w:rPr>
        <w:pict>
          <v:group style="width:281.6pt;height:163.6pt;mso-position-horizontal-relative:char;mso-position-vertical-relative:line" coordorigin="0,0" coordsize="5632,3272">
            <v:line style="position:absolute" from="59,2769" to="5624,2769" stroked="true" strokeweight=".75pt" strokecolor="#858585">
              <v:stroke dashstyle="solid"/>
            </v:line>
            <v:line style="position:absolute" from="59,2328" to="5624,2328" stroked="true" strokeweight=".75pt" strokecolor="#858585">
              <v:stroke dashstyle="solid"/>
            </v:line>
            <v:line style="position:absolute" from="59,1886" to="5624,1886" stroked="true" strokeweight=".75pt" strokecolor="#858585">
              <v:stroke dashstyle="solid"/>
            </v:line>
            <v:line style="position:absolute" from="59,1444" to="5624,1444" stroked="true" strokeweight=".75pt" strokecolor="#858585">
              <v:stroke dashstyle="solid"/>
            </v:line>
            <v:line style="position:absolute" from="59,1003" to="5624,1003" stroked="true" strokeweight=".75pt" strokecolor="#858585">
              <v:stroke dashstyle="solid"/>
            </v:line>
            <v:line style="position:absolute" from="59,559" to="5624,559" stroked="true" strokeweight=".75pt" strokecolor="#858585">
              <v:stroke dashstyle="solid"/>
            </v:line>
            <v:line style="position:absolute" from="59,118" to="5624,118" stroked="true" strokeweight=".75pt" strokecolor="#858585">
              <v:stroke dashstyle="solid"/>
            </v:line>
            <v:rect style="position:absolute;left:59;top:7;width:5565;height:3205" filled="false" stroked="true" strokeweight=".75pt" strokecolor="#a6a6a6">
              <v:stroke dashstyle="solid"/>
            </v:rect>
            <v:line style="position:absolute" from="59,3212" to="59,8" stroked="true" strokeweight=".75pt" strokecolor="#858585">
              <v:stroke dashstyle="solid"/>
            </v:line>
            <v:line style="position:absolute" from="0,3212" to="59,3212" stroked="true" strokeweight=".75pt" strokecolor="#858585">
              <v:stroke dashstyle="solid"/>
            </v:line>
            <v:line style="position:absolute" from="0,2769" to="59,2769" stroked="true" strokeweight=".75pt" strokecolor="#858585">
              <v:stroke dashstyle="solid"/>
            </v:line>
            <v:line style="position:absolute" from="0,2328" to="59,2328" stroked="true" strokeweight=".75pt" strokecolor="#858585">
              <v:stroke dashstyle="solid"/>
            </v:line>
            <v:line style="position:absolute" from="0,1886" to="59,1886" stroked="true" strokeweight=".75pt" strokecolor="#858585">
              <v:stroke dashstyle="solid"/>
            </v:line>
            <v:line style="position:absolute" from="0,1444" to="59,1444" stroked="true" strokeweight=".75pt" strokecolor="#858585">
              <v:stroke dashstyle="solid"/>
            </v:line>
            <v:line style="position:absolute" from="0,1003" to="59,1003" stroked="true" strokeweight=".75pt" strokecolor="#858585">
              <v:stroke dashstyle="solid"/>
            </v:line>
            <v:line style="position:absolute" from="0,559" to="59,559" stroked="true" strokeweight=".75pt" strokecolor="#858585">
              <v:stroke dashstyle="solid"/>
            </v:line>
            <v:line style="position:absolute" from="0,118" to="59,118" stroked="true" strokeweight=".75pt" strokecolor="#858585">
              <v:stroke dashstyle="solid"/>
            </v:line>
            <v:line style="position:absolute" from="59,3212" to="5624,3212" stroked="true" strokeweight=".75pt" strokecolor="#858585">
              <v:stroke dashstyle="solid"/>
            </v:line>
            <v:line style="position:absolute" from="59,3212" to="59,3256" stroked="true" strokeweight=".75pt" strokecolor="#858585">
              <v:stroke dashstyle="solid"/>
            </v:line>
            <v:line style="position:absolute" from="353,3212" to="353,3256" stroked="true" strokeweight=".75pt" strokecolor="#858585">
              <v:stroke dashstyle="solid"/>
            </v:line>
            <v:line style="position:absolute" from="646,3212" to="646,3256" stroked="true" strokeweight=".75pt" strokecolor="#858585">
              <v:stroke dashstyle="solid"/>
            </v:line>
            <v:line style="position:absolute" from="939,3212" to="939,3256" stroked="true" strokeweight=".75pt" strokecolor="#858585">
              <v:stroke dashstyle="solid"/>
            </v:line>
            <v:line style="position:absolute" from="1231,3212" to="1231,3256" stroked="true" strokeweight=".75pt" strokecolor="#858585">
              <v:stroke dashstyle="solid"/>
            </v:line>
            <v:line style="position:absolute" from="1524,3212" to="1524,3256" stroked="true" strokeweight=".75pt" strokecolor="#858585">
              <v:stroke dashstyle="solid"/>
            </v:line>
            <v:line style="position:absolute" from="1817,3212" to="1817,3256" stroked="true" strokeweight=".75pt" strokecolor="#858585">
              <v:stroke dashstyle="solid"/>
            </v:line>
            <v:line style="position:absolute" from="2110,3212" to="2110,3256" stroked="true" strokeweight=".75pt" strokecolor="#858585">
              <v:stroke dashstyle="solid"/>
            </v:line>
            <v:line style="position:absolute" from="2403,3212" to="2403,3256" stroked="true" strokeweight=".75pt" strokecolor="#858585">
              <v:stroke dashstyle="solid"/>
            </v:line>
            <v:line style="position:absolute" from="2695,3212" to="2695,3256" stroked="true" strokeweight=".75pt" strokecolor="#858585">
              <v:stroke dashstyle="solid"/>
            </v:line>
            <v:line style="position:absolute" from="2988,3212" to="2988,3256" stroked="true" strokeweight=".75pt" strokecolor="#858585">
              <v:stroke dashstyle="solid"/>
            </v:line>
            <v:line style="position:absolute" from="3281,3212" to="3281,3256" stroked="true" strokeweight=".75pt" strokecolor="#858585">
              <v:stroke dashstyle="solid"/>
            </v:line>
            <v:line style="position:absolute" from="3574,3212" to="3574,3256" stroked="true" strokeweight=".75pt" strokecolor="#858585">
              <v:stroke dashstyle="solid"/>
            </v:line>
            <v:line style="position:absolute" from="3867,3212" to="3867,3256" stroked="true" strokeweight=".75pt" strokecolor="#858585">
              <v:stroke dashstyle="solid"/>
            </v:line>
            <v:line style="position:absolute" from="4159,3212" to="4159,3256" stroked="true" strokeweight=".75pt" strokecolor="#858585">
              <v:stroke dashstyle="solid"/>
            </v:line>
            <v:line style="position:absolute" from="4452,3212" to="4452,3256" stroked="true" strokeweight=".75pt" strokecolor="#858585">
              <v:stroke dashstyle="solid"/>
            </v:line>
            <v:line style="position:absolute" from="4745,3212" to="4745,3256" stroked="true" strokeweight=".75pt" strokecolor="#858585">
              <v:stroke dashstyle="solid"/>
            </v:line>
            <v:line style="position:absolute" from="5038,3212" to="5038,3256" stroked="true" strokeweight=".75pt" strokecolor="#858585">
              <v:stroke dashstyle="solid"/>
            </v:line>
            <v:line style="position:absolute" from="5331,3212" to="5331,3256" stroked="true" strokeweight=".75pt" strokecolor="#858585">
              <v:stroke dashstyle="solid"/>
            </v:line>
            <v:line style="position:absolute" from="5624,3212" to="5624,3256" stroked="true" strokeweight=".75pt" strokecolor="#858585">
              <v:stroke dashstyle="solid"/>
            </v:line>
            <v:line style="position:absolute" from="59,3212" to="59,3271" stroked="true" strokeweight=".75pt" strokecolor="#858585">
              <v:stroke dashstyle="solid"/>
            </v:line>
            <v:line style="position:absolute" from="646,3212" to="646,3271" stroked="true" strokeweight=".75pt" strokecolor="#858585">
              <v:stroke dashstyle="solid"/>
            </v:line>
            <v:line style="position:absolute" from="1231,3212" to="1231,3271" stroked="true" strokeweight=".75pt" strokecolor="#858585">
              <v:stroke dashstyle="solid"/>
            </v:line>
            <v:line style="position:absolute" from="1817,3212" to="1817,3271" stroked="true" strokeweight=".75pt" strokecolor="#858585">
              <v:stroke dashstyle="solid"/>
            </v:line>
            <v:line style="position:absolute" from="2403,3212" to="2403,3271" stroked="true" strokeweight=".75pt" strokecolor="#858585">
              <v:stroke dashstyle="solid"/>
            </v:line>
            <v:line style="position:absolute" from="2988,3212" to="2988,3271" stroked="true" strokeweight=".75pt" strokecolor="#858585">
              <v:stroke dashstyle="solid"/>
            </v:line>
            <v:line style="position:absolute" from="3574,3212" to="3574,3271" stroked="true" strokeweight=".75pt" strokecolor="#858585">
              <v:stroke dashstyle="solid"/>
            </v:line>
            <v:line style="position:absolute" from="4159,3212" to="4159,3271" stroked="true" strokeweight=".75pt" strokecolor="#858585">
              <v:stroke dashstyle="solid"/>
            </v:line>
            <v:line style="position:absolute" from="4745,3212" to="4745,3271" stroked="true" strokeweight=".75pt" strokecolor="#858585">
              <v:stroke dashstyle="solid"/>
            </v:line>
            <v:line style="position:absolute" from="5331,3212" to="5331,3271" stroked="true" strokeweight=".75pt" strokecolor="#858585">
              <v:stroke dashstyle="solid"/>
            </v:line>
            <v:shape style="position:absolute;left:352;top:201;width:4980;height:3013" coordorigin="352,201" coordsize="4980,3013" path="m352,3212l352,3212,4159,3212,4745,3213,5331,201e" filled="false" stroked="true" strokeweight="1.25pt" strokecolor="#000000">
              <v:path arrowok="t"/>
              <v:stroke dashstyle="solid"/>
            </v:shape>
            <v:shape style="position:absolute;left:322;top:3181;width:60;height:60" coordorigin="323,3181" coordsize="60,60" path="m353,3181l341,3183,331,3190,325,3199,323,3211,325,3223,331,3232,341,3239,353,3241,364,3239,374,3232,380,3223,383,3211,380,3199,374,3190,364,3183,353,3181xe" filled="true" fillcolor="#000000" stroked="false">
              <v:path arrowok="t"/>
              <v:fill type="solid"/>
            </v:shape>
            <v:shape style="position:absolute;left:322;top:3181;width:60;height:60" coordorigin="323,3181" coordsize="60,60" path="m383,3211l380,3223,374,3232,364,3239,353,3241,341,3239,331,3232,325,3223,323,3211,325,3199,331,3190,341,3183,353,3181,364,3183,374,3190,380,3199,383,3211xe" filled="false" stroked="true" strokeweight=".75pt" strokecolor="#000000">
              <v:path arrowok="t"/>
              <v:stroke dashstyle="solid"/>
            </v:shape>
            <v:shape style="position:absolute;left:615;top:3181;width:60;height:60" coordorigin="615,3181" coordsize="60,60" path="m645,3181l634,3183,624,3190,618,3199,615,3211,618,3223,624,3232,634,3239,645,3241,657,3239,667,3232,673,3223,675,3211,673,3199,667,3190,657,3183,645,3181xe" filled="true" fillcolor="#000000" stroked="false">
              <v:path arrowok="t"/>
              <v:fill type="solid"/>
            </v:shape>
            <v:shape style="position:absolute;left:615;top:3181;width:60;height:60" coordorigin="615,3181" coordsize="60,60" path="m675,3211l673,3223,667,3232,657,3239,645,3241,634,3239,624,3232,618,3223,615,3211,618,3199,624,3190,634,3183,645,3181,657,3183,667,3190,673,3199,675,3211xe" filled="false" stroked="true" strokeweight=".75pt" strokecolor="#000000">
              <v:path arrowok="t"/>
              <v:stroke dashstyle="solid"/>
            </v:shape>
            <v:shape style="position:absolute;left:1201;top:3181;width:60;height:60" coordorigin="1201,3181" coordsize="60,60" path="m1231,3181l1219,3183,1210,3190,1203,3199,1201,3211,1203,3223,1210,3232,1219,3239,1231,3241,1243,3239,1252,3232,1259,3223,1261,3211,1259,3199,1252,3190,1243,3183,1231,3181xe" filled="true" fillcolor="#000000" stroked="false">
              <v:path arrowok="t"/>
              <v:fill type="solid"/>
            </v:shape>
            <v:shape style="position:absolute;left:1201;top:3181;width:60;height:60" coordorigin="1201,3181" coordsize="60,60" path="m1261,3211l1259,3223,1252,3232,1243,3239,1231,3241,1219,3239,1210,3232,1203,3223,1201,3211,1203,3199,1210,3190,1219,3183,1231,3181,1243,3183,1252,3190,1259,3199,1261,3211xe" filled="false" stroked="true" strokeweight=".75pt" strokecolor="#000000">
              <v:path arrowok="t"/>
              <v:stroke dashstyle="solid"/>
            </v:shape>
            <v:shape style="position:absolute;left:1786;top:3181;width:60;height:60" coordorigin="1787,3181" coordsize="60,60" path="m1817,3181l1805,3183,1795,3190,1789,3199,1787,3211,1789,3223,1795,3232,1805,3239,1817,3241,1828,3239,1838,3232,1844,3223,1847,3211,1844,3199,1838,3190,1828,3183,1817,3181xe" filled="true" fillcolor="#000000" stroked="false">
              <v:path arrowok="t"/>
              <v:fill type="solid"/>
            </v:shape>
            <v:shape style="position:absolute;left:1786;top:3181;width:60;height:60" coordorigin="1787,3181" coordsize="60,60" path="m1847,3211l1844,3223,1838,3232,1828,3239,1817,3241,1805,3239,1795,3232,1789,3223,1787,3211,1789,3199,1795,3190,1805,3183,1817,3181,1828,3183,1838,3190,1844,3199,1847,3211xe" filled="false" stroked="true" strokeweight=".75pt" strokecolor="#000000">
              <v:path arrowok="t"/>
              <v:stroke dashstyle="solid"/>
            </v:shape>
            <v:shape style="position:absolute;left:2372;top:3181;width:60;height:60" coordorigin="2372,3181" coordsize="60,60" path="m2402,3181l2391,3183,2381,3190,2375,3199,2372,3211,2375,3223,2381,3232,2391,3239,2402,3241,2414,3239,2423,3232,2430,3223,2432,3211,2430,3199,2423,3190,2414,3183,2402,3181xe" filled="true" fillcolor="#000000" stroked="false">
              <v:path arrowok="t"/>
              <v:fill type="solid"/>
            </v:shape>
            <v:shape style="position:absolute;left:2372;top:3181;width:60;height:60" coordorigin="2372,3181" coordsize="60,60" path="m2432,3211l2430,3223,2423,3232,2414,3239,2402,3241,2391,3239,2381,3232,2375,3223,2372,3211,2375,3199,2381,3190,2391,3183,2402,3181,2414,3183,2423,3190,2430,3199,2432,3211xe" filled="false" stroked="true" strokeweight=".75pt" strokecolor="#000000">
              <v:path arrowok="t"/>
              <v:stroke dashstyle="solid"/>
            </v:shape>
            <v:shape style="position:absolute;left:2957;top:3181;width:60;height:60" coordorigin="2958,3181" coordsize="60,60" path="m2988,3181l2976,3183,2967,3190,2960,3199,2958,3211,2960,3223,2967,3232,2976,3239,2988,3241,2999,3239,3009,3232,3015,3223,3018,3211,3015,3199,3009,3190,2999,3183,2988,3181xe" filled="true" fillcolor="#000000" stroked="false">
              <v:path arrowok="t"/>
              <v:fill type="solid"/>
            </v:shape>
            <v:shape style="position:absolute;left:2957;top:3181;width:60;height:60" coordorigin="2958,3181" coordsize="60,60" path="m3018,3211l3015,3223,3009,3232,2999,3239,2988,3241,2976,3239,2967,3232,2960,3223,2958,3211,2960,3199,2967,3190,2976,3183,2988,3181,2999,3183,3009,3190,3015,3199,3018,3211xe" filled="false" stroked="true" strokeweight=".75pt" strokecolor="#000000">
              <v:path arrowok="t"/>
              <v:stroke dashstyle="solid"/>
            </v:shape>
            <v:shape style="position:absolute;left:3543;top:3181;width:60;height:60" coordorigin="3543,3181" coordsize="60,60" path="m3573,3181l3562,3183,3552,3190,3546,3199,3543,3211,3546,3223,3552,3232,3562,3239,3573,3241,3585,3239,3595,3232,3601,3223,3603,3211,3601,3199,3595,3190,3585,3183,3573,3181xe" filled="true" fillcolor="#000000" stroked="false">
              <v:path arrowok="t"/>
              <v:fill type="solid"/>
            </v:shape>
            <v:shape style="position:absolute;left:3543;top:3181;width:60;height:60" coordorigin="3543,3181" coordsize="60,60" path="m3603,3211l3601,3223,3595,3232,3585,3239,3573,3241,3562,3239,3552,3232,3546,3223,3543,3211,3546,3199,3552,3190,3562,3183,3573,3181,3585,3183,3595,3190,3601,3199,3603,3211xe" filled="false" stroked="true" strokeweight=".75pt" strokecolor="#000000">
              <v:path arrowok="t"/>
              <v:stroke dashstyle="solid"/>
            </v:shape>
            <v:shape style="position:absolute;left:4129;top:3181;width:60;height:60" coordorigin="4129,3181" coordsize="60,60" path="m4159,3181l4147,3183,4138,3190,4131,3199,4129,3211,4131,3223,4138,3232,4147,3239,4159,3241,4171,3239,4180,3232,4187,3223,4189,3211,4187,3199,4180,3190,4171,3183,4159,3181xe" filled="true" fillcolor="#000000" stroked="false">
              <v:path arrowok="t"/>
              <v:fill type="solid"/>
            </v:shape>
            <v:shape style="position:absolute;left:4129;top:3181;width:60;height:60" coordorigin="4129,3181" coordsize="60,60" path="m4189,3211l4187,3223,4180,3232,4171,3239,4159,3241,4147,3239,4138,3232,4131,3223,4129,3211,4131,3199,4138,3190,4147,3183,4159,3181,4171,3183,4180,3190,4187,3199,4189,3211xe" filled="false" stroked="true" strokeweight=".75pt" strokecolor="#000000">
              <v:path arrowok="t"/>
              <v:stroke dashstyle="solid"/>
            </v:shape>
            <v:shape style="position:absolute;left:4714;top:3181;width:60;height:60" coordorigin="4715,3181" coordsize="60,60" path="m4745,3181l4733,3183,4723,3190,4717,3199,4715,3211,4717,3223,4723,3232,4733,3239,4745,3241,4756,3239,4766,3232,4772,3223,4775,3211,4772,3199,4766,3190,4756,3183,4745,3181xe" filled="true" fillcolor="#000000" stroked="false">
              <v:path arrowok="t"/>
              <v:fill type="solid"/>
            </v:shape>
            <v:shape style="position:absolute;left:4714;top:3181;width:60;height:60" coordorigin="4715,3181" coordsize="60,60" path="m4775,3211l4772,3223,4766,3232,4756,3239,4745,3241,4733,3239,4723,3232,4717,3223,4715,3211,4717,3199,4723,3190,4733,3183,4745,3181,4756,3183,4766,3190,4772,3199,4775,3211xe" filled="false" stroked="true" strokeweight=".75pt" strokecolor="#000000">
              <v:path arrowok="t"/>
              <v:stroke dashstyle="solid"/>
            </v:shape>
            <v:shape style="position:absolute;left:5300;top:169;width:60;height:60" coordorigin="5300,169" coordsize="60,60" path="m5330,169l5319,171,5309,178,5303,187,5300,199,5303,211,5309,220,5319,227,5330,229,5342,227,5351,220,5358,211,5360,199,5358,187,5351,178,5342,171,5330,169xe" filled="true" fillcolor="#000000" stroked="false">
              <v:path arrowok="t"/>
              <v:fill type="solid"/>
            </v:shape>
            <v:shape style="position:absolute;left:5300;top:169;width:60;height:60" coordorigin="5300,169" coordsize="60,60" path="m5360,199l5358,211,5351,220,5342,227,5330,229,5319,227,5309,220,5303,211,5300,199,5303,187,5309,178,5319,171,5330,169,5342,171,5351,178,5358,187,5360,199xe" filled="false" stroked="true" strokeweight=".75pt" strokecolor="#000000">
              <v:path arrowok="t"/>
              <v:stroke dashstyle="solid"/>
            </v:shape>
          </v:group>
        </w:pict>
      </w:r>
      <w:r>
        <w:rPr>
          <w:rFonts w:ascii="Times New Roman"/>
          <w:sz w:val="20"/>
        </w:rPr>
      </w:r>
    </w:p>
    <w:p>
      <w:pPr>
        <w:tabs>
          <w:tab w:pos="525" w:val="left" w:leader="none"/>
          <w:tab w:pos="1111" w:val="left" w:leader="none"/>
          <w:tab w:pos="1697" w:val="left" w:leader="none"/>
          <w:tab w:pos="2282" w:val="left" w:leader="none"/>
          <w:tab w:pos="2819" w:val="left" w:leader="none"/>
        </w:tabs>
        <w:spacing w:before="24"/>
        <w:ind w:left="39" w:right="0" w:firstLine="0"/>
        <w:jc w:val="center"/>
        <w:rPr>
          <w:rFonts w:ascii="Times New Roman"/>
          <w:sz w:val="20"/>
        </w:rPr>
      </w:pPr>
      <w:r>
        <w:rPr>
          <w:rFonts w:ascii="Times New Roman"/>
          <w:sz w:val="20"/>
        </w:rPr>
        <w:t>0</w:t>
        <w:tab/>
        <w:t>200</w:t>
        <w:tab/>
        <w:t>400</w:t>
        <w:tab/>
        <w:t>600</w:t>
        <w:tab/>
        <w:t>800</w:t>
        <w:tab/>
        <w:t>1000 1200 1400 1600</w:t>
      </w:r>
      <w:r>
        <w:rPr>
          <w:rFonts w:ascii="Times New Roman"/>
          <w:spacing w:val="37"/>
          <w:sz w:val="20"/>
        </w:rPr>
        <w:t> </w:t>
      </w:r>
      <w:r>
        <w:rPr>
          <w:rFonts w:ascii="Times New Roman"/>
          <w:sz w:val="20"/>
        </w:rPr>
        <w:t>1800</w:t>
      </w:r>
    </w:p>
    <w:p>
      <w:pPr>
        <w:spacing w:before="61"/>
        <w:ind w:left="181" w:right="0" w:firstLine="0"/>
        <w:jc w:val="center"/>
        <w:rPr>
          <w:rFonts w:ascii="Times New Roman"/>
          <w:b/>
          <w:sz w:val="20"/>
        </w:rPr>
      </w:pPr>
      <w:r>
        <w:rPr>
          <w:rFonts w:ascii="Times New Roman"/>
          <w:b/>
          <w:sz w:val="20"/>
        </w:rPr>
        <w:t>t(d)</w:t>
      </w:r>
    </w:p>
    <w:p>
      <w:pPr>
        <w:spacing w:before="91"/>
        <w:ind w:left="0" w:right="0" w:firstLine="0"/>
        <w:jc w:val="right"/>
        <w:rPr>
          <w:rFonts w:ascii="Times New Roman"/>
          <w:sz w:val="20"/>
        </w:rPr>
      </w:pPr>
      <w:r>
        <w:rPr/>
        <w:br w:type="column"/>
      </w:r>
      <w:r>
        <w:rPr>
          <w:rFonts w:ascii="Times New Roman"/>
          <w:spacing w:val="-1"/>
          <w:sz w:val="20"/>
        </w:rPr>
        <w:t>3,000</w:t>
      </w:r>
    </w:p>
    <w:p>
      <w:pPr>
        <w:pStyle w:val="BodyText"/>
        <w:spacing w:before="11"/>
        <w:ind w:left="0"/>
        <w:rPr>
          <w:rFonts w:ascii="Times New Roman"/>
          <w:sz w:val="17"/>
        </w:rPr>
      </w:pPr>
    </w:p>
    <w:p>
      <w:pPr>
        <w:spacing w:before="0"/>
        <w:ind w:left="0" w:right="0" w:firstLine="0"/>
        <w:jc w:val="right"/>
        <w:rPr>
          <w:rFonts w:ascii="Times New Roman"/>
          <w:sz w:val="20"/>
        </w:rPr>
      </w:pPr>
      <w:r>
        <w:rPr>
          <w:rFonts w:ascii="Times New Roman"/>
          <w:w w:val="95"/>
          <w:sz w:val="20"/>
        </w:rPr>
        <w:t>2,500</w:t>
      </w:r>
    </w:p>
    <w:p>
      <w:pPr>
        <w:pStyle w:val="BodyText"/>
        <w:spacing w:before="10"/>
        <w:ind w:left="0"/>
        <w:rPr>
          <w:rFonts w:ascii="Times New Roman"/>
          <w:sz w:val="17"/>
        </w:rPr>
      </w:pPr>
    </w:p>
    <w:p>
      <w:pPr>
        <w:spacing w:before="0"/>
        <w:ind w:left="0" w:right="0" w:firstLine="0"/>
        <w:jc w:val="right"/>
        <w:rPr>
          <w:rFonts w:ascii="Times New Roman"/>
          <w:sz w:val="20"/>
        </w:rPr>
      </w:pPr>
      <w:r>
        <w:rPr/>
        <w:pict>
          <v:shape style="position:absolute;margin-left:418.57312pt;margin-top:8.944219pt;width:13.1pt;height:38.35pt;mso-position-horizontal-relative:page;mso-position-vertical-relative:paragraph;z-index:251841536" type="#_x0000_t202" filled="false" stroked="false">
            <v:textbox inset="0,0,0,0" style="layout-flow:vertical;mso-layout-flow-alt:bottom-to-top">
              <w:txbxContent>
                <w:p>
                  <w:pPr>
                    <w:spacing w:before="11"/>
                    <w:ind w:left="20" w:right="0" w:firstLine="0"/>
                    <w:jc w:val="left"/>
                    <w:rPr>
                      <w:rFonts w:ascii="Times New Roman"/>
                      <w:b/>
                      <w:sz w:val="20"/>
                    </w:rPr>
                  </w:pPr>
                  <w:r>
                    <w:rPr>
                      <w:rFonts w:ascii="Times New Roman"/>
                      <w:b/>
                      <w:sz w:val="20"/>
                    </w:rPr>
                    <w:t>C(mg/L)</w:t>
                  </w:r>
                </w:p>
              </w:txbxContent>
            </v:textbox>
            <w10:wrap type="none"/>
          </v:shape>
        </w:pict>
      </w:r>
      <w:r>
        <w:rPr>
          <w:rFonts w:ascii="Times New Roman"/>
          <w:w w:val="95"/>
          <w:sz w:val="20"/>
        </w:rPr>
        <w:t>2,000</w:t>
      </w:r>
    </w:p>
    <w:p>
      <w:pPr>
        <w:pStyle w:val="BodyText"/>
        <w:spacing w:before="10"/>
        <w:ind w:left="0"/>
        <w:rPr>
          <w:rFonts w:ascii="Times New Roman"/>
          <w:sz w:val="17"/>
        </w:rPr>
      </w:pPr>
    </w:p>
    <w:p>
      <w:pPr>
        <w:spacing w:before="0"/>
        <w:ind w:left="0" w:right="0" w:firstLine="0"/>
        <w:jc w:val="right"/>
        <w:rPr>
          <w:rFonts w:ascii="Times New Roman"/>
          <w:sz w:val="20"/>
        </w:rPr>
      </w:pPr>
      <w:r>
        <w:rPr>
          <w:rFonts w:ascii="Times New Roman"/>
          <w:w w:val="95"/>
          <w:sz w:val="20"/>
        </w:rPr>
        <w:t>1,500</w:t>
      </w:r>
    </w:p>
    <w:p>
      <w:pPr>
        <w:pStyle w:val="BodyText"/>
        <w:spacing w:before="10"/>
        <w:ind w:left="0"/>
        <w:rPr>
          <w:rFonts w:ascii="Times New Roman"/>
          <w:sz w:val="17"/>
        </w:rPr>
      </w:pPr>
    </w:p>
    <w:p>
      <w:pPr>
        <w:spacing w:before="1"/>
        <w:ind w:left="0" w:right="0" w:firstLine="0"/>
        <w:jc w:val="right"/>
        <w:rPr>
          <w:rFonts w:ascii="Times New Roman"/>
          <w:sz w:val="20"/>
        </w:rPr>
      </w:pPr>
      <w:r>
        <w:rPr>
          <w:rFonts w:ascii="Times New Roman"/>
          <w:w w:val="95"/>
          <w:sz w:val="20"/>
        </w:rPr>
        <w:t>1,000</w:t>
      </w:r>
    </w:p>
    <w:p>
      <w:pPr>
        <w:pStyle w:val="BodyText"/>
        <w:spacing w:before="9"/>
        <w:ind w:left="0"/>
        <w:rPr>
          <w:rFonts w:ascii="Times New Roman"/>
          <w:sz w:val="17"/>
        </w:rPr>
      </w:pPr>
    </w:p>
    <w:p>
      <w:pPr>
        <w:spacing w:before="0"/>
        <w:ind w:left="0" w:right="1" w:firstLine="0"/>
        <w:jc w:val="right"/>
        <w:rPr>
          <w:rFonts w:ascii="Times New Roman"/>
          <w:sz w:val="20"/>
        </w:rPr>
      </w:pPr>
      <w:r>
        <w:rPr>
          <w:rFonts w:ascii="Times New Roman"/>
          <w:spacing w:val="-1"/>
          <w:sz w:val="20"/>
        </w:rPr>
        <w:t>500</w:t>
      </w:r>
    </w:p>
    <w:p>
      <w:pPr>
        <w:pStyle w:val="BodyText"/>
        <w:spacing w:before="11"/>
        <w:ind w:left="0"/>
        <w:rPr>
          <w:rFonts w:ascii="Times New Roman"/>
          <w:sz w:val="17"/>
        </w:rPr>
      </w:pPr>
    </w:p>
    <w:p>
      <w:pPr>
        <w:spacing w:before="0"/>
        <w:ind w:left="0" w:right="0" w:firstLine="0"/>
        <w:jc w:val="right"/>
        <w:rPr>
          <w:rFonts w:ascii="Times New Roman"/>
          <w:sz w:val="20"/>
        </w:rPr>
      </w:pPr>
      <w:r>
        <w:rPr>
          <w:rFonts w:ascii="Times New Roman"/>
          <w:w w:val="99"/>
          <w:sz w:val="20"/>
        </w:rPr>
        <w:t>0</w:t>
      </w:r>
    </w:p>
    <w:p>
      <w:pPr>
        <w:pStyle w:val="BodyText"/>
        <w:spacing w:before="7" w:after="40"/>
        <w:ind w:left="0"/>
        <w:rPr>
          <w:rFonts w:ascii="Times New Roman"/>
          <w:sz w:val="14"/>
        </w:rPr>
      </w:pPr>
      <w:r>
        <w:rPr/>
        <w:br w:type="column"/>
      </w:r>
      <w:r>
        <w:rPr>
          <w:rFonts w:ascii="Times New Roman"/>
          <w:sz w:val="14"/>
        </w:rPr>
      </w:r>
    </w:p>
    <w:p>
      <w:pPr>
        <w:pStyle w:val="BodyText"/>
        <w:ind w:left="111"/>
        <w:rPr>
          <w:rFonts w:ascii="Times New Roman"/>
          <w:sz w:val="20"/>
        </w:rPr>
      </w:pPr>
      <w:r>
        <w:rPr>
          <w:rFonts w:ascii="Times New Roman"/>
          <w:sz w:val="20"/>
        </w:rPr>
        <w:pict>
          <v:group style="width:288.150pt;height:134.050pt;mso-position-horizontal-relative:char;mso-position-vertical-relative:line" coordorigin="0,0" coordsize="5763,2681">
            <v:line style="position:absolute" from="59,2186" to="5725,2186" stroked="true" strokeweight=".75pt" strokecolor="#858585">
              <v:stroke dashstyle="solid"/>
            </v:line>
            <v:line style="position:absolute" from="59,1749" to="5725,1749" stroked="true" strokeweight=".75pt" strokecolor="#858585">
              <v:stroke dashstyle="solid"/>
            </v:line>
            <v:line style="position:absolute" from="59,1314" to="5725,1314" stroked="true" strokeweight=".75pt" strokecolor="#858585">
              <v:stroke dashstyle="solid"/>
            </v:line>
            <v:line style="position:absolute" from="59,877" to="5725,877" stroked="true" strokeweight=".75pt" strokecolor="#858585">
              <v:stroke dashstyle="solid"/>
            </v:line>
            <v:line style="position:absolute" from="59,443" to="5725,443" stroked="true" strokeweight=".75pt" strokecolor="#858585">
              <v:stroke dashstyle="solid"/>
            </v:line>
            <v:line style="position:absolute" from="59,8" to="5725,8" stroked="true" strokeweight=".75pt" strokecolor="#858585">
              <v:stroke dashstyle="solid"/>
            </v:line>
            <v:rect style="position:absolute;left:59;top:7;width:5666;height:2614" filled="false" stroked="true" strokeweight=".75pt" strokecolor="#a6a6a6">
              <v:stroke dashstyle="solid"/>
            </v:rect>
            <v:line style="position:absolute" from="59,2621" to="59,8" stroked="true" strokeweight=".75pt" strokecolor="#858585">
              <v:stroke dashstyle="solid"/>
            </v:line>
            <v:line style="position:absolute" from="0,2621" to="59,2621" stroked="true" strokeweight=".75pt" strokecolor="#858585">
              <v:stroke dashstyle="solid"/>
            </v:line>
            <v:line style="position:absolute" from="0,2186" to="59,2186" stroked="true" strokeweight=".75pt" strokecolor="#858585">
              <v:stroke dashstyle="solid"/>
            </v:line>
            <v:line style="position:absolute" from="0,1749" to="59,1749" stroked="true" strokeweight=".75pt" strokecolor="#858585">
              <v:stroke dashstyle="solid"/>
            </v:line>
            <v:line style="position:absolute" from="0,1314" to="59,1314" stroked="true" strokeweight=".75pt" strokecolor="#858585">
              <v:stroke dashstyle="solid"/>
            </v:line>
            <v:line style="position:absolute" from="0,877" to="59,877" stroked="true" strokeweight=".75pt" strokecolor="#858585">
              <v:stroke dashstyle="solid"/>
            </v:line>
            <v:line style="position:absolute" from="0,443" to="59,443" stroked="true" strokeweight=".75pt" strokecolor="#858585">
              <v:stroke dashstyle="solid"/>
            </v:line>
            <v:line style="position:absolute" from="0,8" to="59,8" stroked="true" strokeweight=".75pt" strokecolor="#858585">
              <v:stroke dashstyle="solid"/>
            </v:line>
            <v:line style="position:absolute" from="59,2621" to="5725,2621" stroked="true" strokeweight=".75pt" strokecolor="#858585">
              <v:stroke dashstyle="solid"/>
            </v:line>
            <v:line style="position:absolute" from="59,2621" to="59,2666" stroked="true" strokeweight=".75pt" strokecolor="#858585">
              <v:stroke dashstyle="solid"/>
            </v:line>
            <v:line style="position:absolute" from="625,2621" to="625,2666" stroked="true" strokeweight=".75pt" strokecolor="#858585">
              <v:stroke dashstyle="solid"/>
            </v:line>
            <v:line style="position:absolute" from="1192,2621" to="1192,2666" stroked="true" strokeweight=".75pt" strokecolor="#858585">
              <v:stroke dashstyle="solid"/>
            </v:line>
            <v:line style="position:absolute" from="1758,2621" to="1758,2666" stroked="true" strokeweight=".75pt" strokecolor="#858585">
              <v:stroke dashstyle="solid"/>
            </v:line>
            <v:line style="position:absolute" from="2324,2621" to="2324,2666" stroked="true" strokeweight=".75pt" strokecolor="#858585">
              <v:stroke dashstyle="solid"/>
            </v:line>
            <v:line style="position:absolute" from="2893,2621" to="2893,2666" stroked="true" strokeweight=".75pt" strokecolor="#858585">
              <v:stroke dashstyle="solid"/>
            </v:line>
            <v:line style="position:absolute" from="3460,2621" to="3460,2666" stroked="true" strokeweight=".75pt" strokecolor="#858585">
              <v:stroke dashstyle="solid"/>
            </v:line>
            <v:line style="position:absolute" from="4026,2621" to="4026,2666" stroked="true" strokeweight=".75pt" strokecolor="#858585">
              <v:stroke dashstyle="solid"/>
            </v:line>
            <v:line style="position:absolute" from="4592,2621" to="4592,2666" stroked="true" strokeweight=".75pt" strokecolor="#858585">
              <v:stroke dashstyle="solid"/>
            </v:line>
            <v:line style="position:absolute" from="5159,2621" to="5159,2666" stroked="true" strokeweight=".75pt" strokecolor="#858585">
              <v:stroke dashstyle="solid"/>
            </v:line>
            <v:line style="position:absolute" from="5725,2621" to="5725,2666" stroked="true" strokeweight=".75pt" strokecolor="#858585">
              <v:stroke dashstyle="solid"/>
            </v:line>
            <v:line style="position:absolute" from="59,2621" to="59,2680" stroked="true" strokeweight=".75pt" strokecolor="#858585">
              <v:stroke dashstyle="solid"/>
            </v:line>
            <v:line style="position:absolute" from="625,2621" to="625,2680" stroked="true" strokeweight=".75pt" strokecolor="#858585">
              <v:stroke dashstyle="solid"/>
            </v:line>
            <v:line style="position:absolute" from="1192,2621" to="1192,2680" stroked="true" strokeweight=".75pt" strokecolor="#858585">
              <v:stroke dashstyle="solid"/>
            </v:line>
            <v:line style="position:absolute" from="1758,2621" to="1758,2680" stroked="true" strokeweight=".75pt" strokecolor="#858585">
              <v:stroke dashstyle="solid"/>
            </v:line>
            <v:line style="position:absolute" from="2324,2621" to="2324,2680" stroked="true" strokeweight=".75pt" strokecolor="#858585">
              <v:stroke dashstyle="solid"/>
            </v:line>
            <v:line style="position:absolute" from="2893,2621" to="2893,2680" stroked="true" strokeweight=".75pt" strokecolor="#858585">
              <v:stroke dashstyle="solid"/>
            </v:line>
            <v:line style="position:absolute" from="3460,2621" to="3460,2680" stroked="true" strokeweight=".75pt" strokecolor="#858585">
              <v:stroke dashstyle="solid"/>
            </v:line>
            <v:line style="position:absolute" from="4026,2621" to="4026,2680" stroked="true" strokeweight=".75pt" strokecolor="#858585">
              <v:stroke dashstyle="solid"/>
            </v:line>
            <v:line style="position:absolute" from="4592,2621" to="4592,2680" stroked="true" strokeweight=".75pt" strokecolor="#858585">
              <v:stroke dashstyle="solid"/>
            </v:line>
            <v:line style="position:absolute" from="5159,2621" to="5159,2680" stroked="true" strokeweight=".75pt" strokecolor="#858585">
              <v:stroke dashstyle="solid"/>
            </v:line>
            <v:line style="position:absolute" from="5725,2621" to="5725,2680" stroked="true" strokeweight=".75pt" strokecolor="#858585">
              <v:stroke dashstyle="solid"/>
            </v:line>
            <v:shape style="position:absolute;left:59;top:152;width:5681;height:2479" coordorigin="59,153" coordsize="5681,2479" path="m59,153l71,222,83,288,96,354,109,422,123,494,136,572,149,660,161,759,173,873,183,998,188,1071,193,1148,198,1231,204,1317,209,1407,214,1498,219,1592,224,1686,229,1780,234,1873,240,1965,245,2055,250,2141,255,2224,260,2303,265,2376,271,2443,276,2503,286,2599,343,2631,380,2625,399,2621,428,2622,456,2622,484,2621,513,2621,5725,2621,5740,2621e" filled="false" stroked="true" strokeweight="2.25pt" strokecolor="#416ea6">
              <v:path arrowok="t"/>
              <v:stroke dashstyle="solid"/>
            </v:shape>
            <v:shape style="position:absolute;left:59;top:209;width:5681;height:2421" coordorigin="59,210" coordsize="5681,2421" path="m59,1390l66,1317,73,1234,79,1145,86,1052,93,955,99,857,106,760,113,665,119,574,126,490,133,413,139,346,153,248,166,210,173,218,188,320,198,447,204,523,209,608,214,699,219,796,224,896,229,1000,234,1105,240,1212,245,1317,250,1421,255,1522,260,1619,265,1711,271,1797,276,1875,281,1944,298,2113,312,2213,327,2304,343,2386,358,2456,374,2516,399,2600,456,2630,489,2624,513,2621,541,2622,569,2622,598,2621,626,2621,5725,2621,5740,2621e" filled="false" stroked="true" strokeweight="2.25pt" strokecolor="#a8423e">
              <v:path arrowok="t"/>
              <v:stroke dashstyle="solid"/>
            </v:shape>
            <v:shape style="position:absolute;left:59;top:953;width:5681;height:1671" coordorigin="59,954" coordsize="5681,1671" path="m59,2188l69,2105,78,2018,88,1929,97,1838,107,1747,116,1658,126,1571,135,1488,144,1409,154,1338,163,1273,192,1133,216,1051,243,986,267,954,286,971,305,1063,314,1131,324,1211,333,1298,343,1391,352,1487,362,1583,371,1677,381,1766,390,1847,399,1917,414,2011,428,2102,442,2187,456,2267,470,2340,484,2406,513,2512,569,2586,626,2615,683,2624,711,2622,739,2621,768,2621,796,2621,824,2621,853,2621,5725,2621,5740,2621e" filled="false" stroked="true" strokeweight="2.25pt" strokecolor="#85a349">
              <v:path arrowok="t"/>
              <v:stroke dashstyle="solid"/>
            </v:shape>
            <v:shape style="position:absolute;left:59;top:1268;width:5681;height:1353" coordorigin="59,1268" coordsize="5681,1353" path="m59,2445l78,2364,97,2284,116,2205,135,2123,154,2038,173,1946,187,1868,201,1780,215,1687,229,1593,243,1503,258,1422,272,1354,309,1275,343,1268,376,1281,414,1364,428,1433,442,1515,456,1606,470,1700,484,1794,498,1882,513,1960,532,2055,550,2148,569,2237,588,2318,607,2391,626,2451,652,2508,713,2578,768,2613,824,2618,853,2619,881,2621,909,2621,938,2621,966,2621,994,2621,1023,2621,1051,2621,1079,2621,5725,2621,5740,2621e" filled="false" stroked="true" strokeweight="2.25pt" strokecolor="#6d538d">
              <v:path arrowok="t"/>
              <v:stroke dashstyle="solid"/>
            </v:shape>
            <v:shape style="position:absolute;left:59;top:1405;width:5681;height:1215" coordorigin="59,1406" coordsize="5681,1215" path="m59,2545l88,2491,116,2440,144,2382,173,2305,192,2238,210,2160,229,2076,248,1989,267,1904,286,1825,309,1731,331,1632,354,1539,377,1463,399,1415,425,1406,456,1427,513,1520,532,1581,550,1660,569,1749,588,1843,607,1934,626,2016,649,2107,671,2196,694,2281,717,2357,739,2421,767,2480,825,2555,881,2599,966,2616,1023,2620,1051,2620,1079,2621,1108,2621,1136,2621,1164,2621,1192,2621,1221,2621,1249,2621,1277,2621,1306,2621,5725,2621,5740,2621e" filled="false" stroked="true" strokeweight="2.25pt" strokecolor="#3c95ad">
              <v:path arrowok="t"/>
              <v:stroke dashstyle="solid"/>
            </v:shape>
            <v:shape style="position:absolute;left:59;top:1519;width:5681;height:1102" coordorigin="59,1519" coordsize="5681,1102" path="m59,2587l88,2563,116,2541,144,2513,201,2417,229,2349,258,2272,286,2188,309,2111,331,2024,354,1934,377,1849,399,1775,428,1690,456,1612,484,1551,513,1519,540,1523,598,1604,626,1665,649,1730,671,1811,694,1899,717,1987,739,2068,768,2162,796,2253,824,2337,853,2408,881,2463,938,2539,994,2586,1079,2612,1164,2619,1192,2620,1221,2621,1249,2621,1277,2621,1306,2621,1334,2621,1363,2621,1391,2621,1419,2621,5725,2621,5740,2621e" filled="false" stroked="true" strokeweight="2.25pt" strokecolor="#da8137">
              <v:path arrowok="t"/>
              <v:stroke dashstyle="solid"/>
            </v:shape>
            <v:shape style="position:absolute;left:59;top:1610;width:5681;height:1011" coordorigin="59,1611" coordsize="5681,1011" path="m59,2606l88,2594,116,2585,144,2572,201,2523,258,2447,314,2333,343,2259,371,2180,399,2100,428,2014,456,1922,484,1834,513,1762,541,1704,598,1622,626,1611,654,1625,711,1713,739,1774,768,1847,796,1936,824,2028,853,2114,881,2193,909,2271,938,2343,966,2405,1023,2495,1079,2555,1136,2589,1221,2613,1306,2619,1391,2620,1419,2621,1447,2621,1476,2621,1504,2621,1532,2621,5725,2621,5740,2621e" filled="false" stroked="true" strokeweight="2.25pt" strokecolor="#8ea4ca">
              <v:path arrowok="t"/>
              <v:stroke dashstyle="solid"/>
            </v:shape>
            <v:shape style="position:absolute;left:59;top:1688;width:5681;height:933" coordorigin="59,1688" coordsize="5681,933" path="m59,2614l88,2609,116,2604,144,2598,201,2574,258,2536,314,2470,371,2378,399,2323,428,2259,456,2186,484,2111,513,2039,541,1966,569,1892,598,1824,626,1770,654,1731,683,1703,711,1688,739,1690,796,1751,853,1859,881,1925,909,2001,938,2080,966,2154,994,2223,1023,2290,1051,2352,1079,2407,1136,2489,1192,2547,1249,2582,1334,2609,1419,2617,1504,2620,1532,2620,1561,2621,1589,2621,1617,2621,1646,2621,1674,2621,1702,2621,1731,2621,1759,2621,5725,2621,5740,2621e" filled="false" stroked="true" strokeweight="2.25pt" strokecolor="#ce8e8d">
              <v:path arrowok="t"/>
              <v:stroke dashstyle="solid"/>
            </v:shape>
            <v:shape style="position:absolute;left:59;top:1749;width:5681;height:872" coordorigin="59,1749" coordsize="5681,872" path="m59,2617l88,2615,116,2613,144,2610,229,2590,286,2564,343,2521,399,2458,456,2368,513,2259,541,2197,569,2130,598,2062,626,1999,654,1939,683,1880,739,1790,796,1752,824,1749,853,1760,909,1826,966,1929,994,1988,1023,2055,1051,2124,1079,2189,1108,2249,1136,2308,1164,2363,1221,2453,1277,2517,1334,2562,1391,2588,1476,2610,1561,2618,1646,2620,1731,2621,1759,2621,1787,2621,1816,2621,1844,2621,1872,2621,5725,2621,5740,2621e" filled="false" stroked="true" strokeweight="2.25pt" strokecolor="#b5c992">
              <v:path arrowok="t"/>
              <v:stroke dashstyle="solid"/>
            </v:shape>
            <v:shape style="position:absolute;left:59;top:1798;width:5681;height:823" coordorigin="59,1799" coordsize="5681,823" path="m59,2619l88,2618,116,2617,144,2616,229,2606,314,2582,371,2554,428,2509,484,2447,541,2364,598,2260,626,2206,654,2148,683,2087,711,2028,739,1974,796,1880,853,1816,909,1799,938,1805,994,1850,1051,1937,1108,2041,1136,2101,1164,2162,1192,2220,1221,2274,1277,2375,1334,2455,1391,2515,1447,2558,1504,2585,1589,2607,1674,2616,1759,2619,1844,2620,1872,2621,1901,2621,1929,2621,1957,2621,1986,2621,2014,2621,2042,2621,5725,2621,5740,2621e" filled="false" stroked="true" strokeweight="2.25pt" strokecolor="#a496b8">
              <v:path arrowok="t"/>
              <v:stroke dashstyle="solid"/>
            </v:shape>
          </v:group>
        </w:pict>
      </w:r>
      <w:r>
        <w:rPr>
          <w:rFonts w:ascii="Times New Roman"/>
          <w:sz w:val="20"/>
        </w:rPr>
      </w:r>
    </w:p>
    <w:p>
      <w:pPr>
        <w:tabs>
          <w:tab w:pos="596" w:val="left" w:leader="none"/>
          <w:tab w:pos="1163" w:val="left" w:leader="none"/>
          <w:tab w:pos="1730" w:val="left" w:leader="none"/>
          <w:tab w:pos="2296" w:val="left" w:leader="none"/>
          <w:tab w:pos="2863" w:val="left" w:leader="none"/>
          <w:tab w:pos="3429" w:val="left" w:leader="none"/>
          <w:tab w:pos="3996" w:val="left" w:leader="none"/>
          <w:tab w:pos="4563" w:val="left" w:leader="none"/>
          <w:tab w:pos="5129" w:val="left" w:leader="none"/>
          <w:tab w:pos="5646" w:val="left" w:leader="none"/>
        </w:tabs>
        <w:spacing w:before="12"/>
        <w:ind w:left="130" w:right="0" w:firstLine="0"/>
        <w:jc w:val="left"/>
        <w:rPr>
          <w:rFonts w:ascii="Times New Roman"/>
          <w:sz w:val="20"/>
        </w:rPr>
      </w:pPr>
      <w:r>
        <w:rPr>
          <w:rFonts w:ascii="Times New Roman"/>
          <w:sz w:val="20"/>
        </w:rPr>
        <w:t>0</w:t>
        <w:tab/>
        <w:t>100</w:t>
        <w:tab/>
        <w:t>200</w:t>
        <w:tab/>
        <w:t>300</w:t>
        <w:tab/>
        <w:t>400</w:t>
        <w:tab/>
        <w:t>500</w:t>
        <w:tab/>
        <w:t>600</w:t>
        <w:tab/>
        <w:t>700</w:t>
        <w:tab/>
        <w:t>800</w:t>
        <w:tab/>
        <w:t>900</w:t>
        <w:tab/>
        <w:t>1000</w:t>
      </w:r>
    </w:p>
    <w:p>
      <w:pPr>
        <w:spacing w:before="63"/>
        <w:ind w:left="2125" w:right="0" w:firstLine="0"/>
        <w:jc w:val="left"/>
        <w:rPr>
          <w:b/>
          <w:sz w:val="20"/>
        </w:rPr>
      </w:pPr>
      <w:r>
        <w:rPr>
          <w:b/>
          <w:sz w:val="20"/>
        </w:rPr>
        <w:t>距源中心距离（</w:t>
      </w:r>
      <w:r>
        <w:rPr>
          <w:rFonts w:ascii="Calibri" w:eastAsia="Calibri"/>
          <w:b/>
          <w:sz w:val="20"/>
        </w:rPr>
        <w:t>m</w:t>
      </w:r>
      <w:r>
        <w:rPr>
          <w:b/>
          <w:sz w:val="20"/>
        </w:rPr>
        <w:t>）</w:t>
      </w:r>
    </w:p>
    <w:p>
      <w:pPr>
        <w:tabs>
          <w:tab w:pos="1534" w:val="left" w:leader="none"/>
          <w:tab w:pos="2614" w:val="left" w:leader="none"/>
          <w:tab w:pos="3694" w:val="left" w:leader="none"/>
          <w:tab w:pos="4774" w:val="left" w:leader="none"/>
        </w:tabs>
        <w:spacing w:before="69"/>
        <w:ind w:left="454" w:right="0" w:firstLine="0"/>
        <w:jc w:val="left"/>
        <w:rPr>
          <w:sz w:val="20"/>
        </w:rPr>
      </w:pPr>
      <w:r>
        <w:rPr/>
        <w:pict>
          <v:line style="position:absolute;mso-position-horizontal-relative:page;mso-position-vertical-relative:paragraph;z-index:251828224" from="459.549988pt,10.039997pt" to="478.749988pt,10.039997pt" stroked="true" strokeweight="2.25pt" strokecolor="#416ea6">
            <v:stroke dashstyle="solid"/>
            <w10:wrap type="none"/>
          </v:line>
        </w:pict>
      </w:r>
      <w:r>
        <w:rPr/>
        <w:pict>
          <v:line style="position:absolute;mso-position-horizontal-relative:page;mso-position-vertical-relative:paragraph;z-index:-315428864" from="513.549988pt,10.039997pt" to="532.749988pt,10.039997pt" stroked="true" strokeweight="2.25pt" strokecolor="#a8423e">
            <v:stroke dashstyle="solid"/>
            <w10:wrap type="none"/>
          </v:line>
        </w:pict>
      </w:r>
      <w:r>
        <w:rPr/>
        <w:pict>
          <v:line style="position:absolute;mso-position-horizontal-relative:page;mso-position-vertical-relative:paragraph;z-index:-315427840" from="567.549988pt,10.039997pt" to="586.749988pt,10.039997pt" stroked="true" strokeweight="2.25pt" strokecolor="#85a349">
            <v:stroke dashstyle="solid"/>
            <w10:wrap type="none"/>
          </v:line>
        </w:pict>
      </w:r>
      <w:r>
        <w:rPr/>
        <w:pict>
          <v:line style="position:absolute;mso-position-horizontal-relative:page;mso-position-vertical-relative:paragraph;z-index:-315426816" from="621.549988pt,10.039997pt" to="640.749988pt,10.039997pt" stroked="true" strokeweight="2.25pt" strokecolor="#6d538d">
            <v:stroke dashstyle="solid"/>
            <w10:wrap type="none"/>
          </v:line>
        </w:pict>
      </w:r>
      <w:r>
        <w:rPr/>
        <w:pict>
          <v:line style="position:absolute;mso-position-horizontal-relative:page;mso-position-vertical-relative:paragraph;z-index:-315425792" from="675.549988pt,10.039997pt" to="694.749988pt,10.039997pt" stroked="true" strokeweight="2.25pt" strokecolor="#3c95ad">
            <v:stroke dashstyle="solid"/>
            <w10:wrap type="none"/>
          </v:line>
        </w:pict>
      </w:r>
      <w:r>
        <w:rPr>
          <w:rFonts w:ascii="Times New Roman" w:eastAsia="Times New Roman"/>
          <w:sz w:val="20"/>
        </w:rPr>
        <w:t>100</w:t>
      </w:r>
      <w:r>
        <w:rPr>
          <w:sz w:val="20"/>
        </w:rPr>
        <w:t>天</w:t>
        <w:tab/>
      </w:r>
      <w:r>
        <w:rPr>
          <w:rFonts w:ascii="Times New Roman" w:eastAsia="Times New Roman"/>
          <w:sz w:val="20"/>
        </w:rPr>
        <w:t>200</w:t>
      </w:r>
      <w:r>
        <w:rPr>
          <w:sz w:val="20"/>
        </w:rPr>
        <w:t>天</w:t>
        <w:tab/>
      </w:r>
      <w:r>
        <w:rPr>
          <w:rFonts w:ascii="Times New Roman" w:eastAsia="Times New Roman"/>
          <w:sz w:val="20"/>
        </w:rPr>
        <w:t>400</w:t>
      </w:r>
      <w:r>
        <w:rPr>
          <w:sz w:val="20"/>
        </w:rPr>
        <w:t>天</w:t>
        <w:tab/>
      </w:r>
      <w:r>
        <w:rPr>
          <w:rFonts w:ascii="Times New Roman" w:eastAsia="Times New Roman"/>
          <w:sz w:val="20"/>
        </w:rPr>
        <w:t>600</w:t>
      </w:r>
      <w:r>
        <w:rPr>
          <w:sz w:val="20"/>
        </w:rPr>
        <w:t>天</w:t>
        <w:tab/>
      </w:r>
      <w:r>
        <w:rPr>
          <w:rFonts w:ascii="Times New Roman" w:eastAsia="Times New Roman"/>
          <w:sz w:val="20"/>
        </w:rPr>
        <w:t>800</w:t>
      </w:r>
      <w:r>
        <w:rPr>
          <w:sz w:val="20"/>
        </w:rPr>
        <w:t>天</w:t>
      </w:r>
    </w:p>
    <w:p>
      <w:pPr>
        <w:tabs>
          <w:tab w:pos="1534" w:val="left" w:leader="none"/>
          <w:tab w:pos="2614" w:val="left" w:leader="none"/>
          <w:tab w:pos="3694" w:val="left" w:leader="none"/>
          <w:tab w:pos="4774" w:val="left" w:leader="none"/>
        </w:tabs>
        <w:spacing w:before="83"/>
        <w:ind w:left="454" w:right="0" w:firstLine="0"/>
        <w:jc w:val="left"/>
        <w:rPr>
          <w:sz w:val="20"/>
        </w:rPr>
      </w:pPr>
      <w:r>
        <w:rPr/>
        <w:pict>
          <v:line style="position:absolute;mso-position-horizontal-relative:page;mso-position-vertical-relative:paragraph;z-index:251833344" from="459.549988pt,10.729997pt" to="478.749988pt,10.729997pt" stroked="true" strokeweight="2.25pt" strokecolor="#da8137">
            <v:stroke dashstyle="solid"/>
            <w10:wrap type="none"/>
          </v:line>
        </w:pict>
      </w:r>
      <w:r>
        <w:rPr/>
        <w:pict>
          <v:line style="position:absolute;mso-position-horizontal-relative:page;mso-position-vertical-relative:paragraph;z-index:-315423744" from="513.549988pt,10.729997pt" to="532.749988pt,10.729997pt" stroked="true" strokeweight="2.25pt" strokecolor="#8ea4ca">
            <v:stroke dashstyle="solid"/>
            <w10:wrap type="none"/>
          </v:line>
        </w:pict>
      </w:r>
      <w:r>
        <w:rPr/>
        <w:pict>
          <v:line style="position:absolute;mso-position-horizontal-relative:page;mso-position-vertical-relative:paragraph;z-index:-315422720" from="567.549988pt,10.729997pt" to="586.749988pt,10.729997pt" stroked="true" strokeweight="2.25pt" strokecolor="#ce8e8d">
            <v:stroke dashstyle="solid"/>
            <w10:wrap type="none"/>
          </v:line>
        </w:pict>
      </w:r>
      <w:r>
        <w:rPr/>
        <w:pict>
          <v:line style="position:absolute;mso-position-horizontal-relative:page;mso-position-vertical-relative:paragraph;z-index:-315421696" from="621.549988pt,10.729997pt" to="640.749988pt,10.729997pt" stroked="true" strokeweight="2.25pt" strokecolor="#b5c992">
            <v:stroke dashstyle="solid"/>
            <w10:wrap type="none"/>
          </v:line>
        </w:pict>
      </w:r>
      <w:r>
        <w:rPr/>
        <w:pict>
          <v:line style="position:absolute;mso-position-horizontal-relative:page;mso-position-vertical-relative:paragraph;z-index:-315420672" from="675.549988pt,10.729997pt" to="694.749988pt,10.729997pt" stroked="true" strokeweight="2.25pt" strokecolor="#a496b8">
            <v:stroke dashstyle="solid"/>
            <w10:wrap type="none"/>
          </v:line>
        </w:pict>
      </w:r>
      <w:r>
        <w:rPr>
          <w:rFonts w:ascii="Times New Roman" w:eastAsia="Times New Roman"/>
          <w:sz w:val="20"/>
        </w:rPr>
        <w:t>1000</w:t>
      </w:r>
      <w:r>
        <w:rPr>
          <w:sz w:val="20"/>
        </w:rPr>
        <w:t>天</w:t>
        <w:tab/>
      </w:r>
      <w:r>
        <w:rPr>
          <w:rFonts w:ascii="Times New Roman" w:eastAsia="Times New Roman"/>
          <w:sz w:val="20"/>
        </w:rPr>
        <w:t>1200</w:t>
      </w:r>
      <w:r>
        <w:rPr>
          <w:sz w:val="20"/>
        </w:rPr>
        <w:t>天</w:t>
        <w:tab/>
      </w:r>
      <w:r>
        <w:rPr>
          <w:rFonts w:ascii="Times New Roman" w:eastAsia="Times New Roman"/>
          <w:sz w:val="20"/>
        </w:rPr>
        <w:t>1400</w:t>
      </w:r>
      <w:r>
        <w:rPr>
          <w:sz w:val="20"/>
        </w:rPr>
        <w:t>天</w:t>
        <w:tab/>
      </w:r>
      <w:r>
        <w:rPr>
          <w:rFonts w:ascii="Times New Roman" w:eastAsia="Times New Roman"/>
          <w:sz w:val="20"/>
        </w:rPr>
        <w:t>1600</w:t>
      </w:r>
      <w:r>
        <w:rPr>
          <w:sz w:val="20"/>
        </w:rPr>
        <w:t>天</w:t>
        <w:tab/>
      </w:r>
      <w:r>
        <w:rPr>
          <w:rFonts w:ascii="Times New Roman" w:eastAsia="Times New Roman"/>
          <w:sz w:val="20"/>
        </w:rPr>
        <w:t>1800</w:t>
      </w:r>
      <w:r>
        <w:rPr>
          <w:sz w:val="20"/>
        </w:rPr>
        <w:t>天</w:t>
      </w:r>
    </w:p>
    <w:p>
      <w:pPr>
        <w:spacing w:after="0"/>
        <w:jc w:val="left"/>
        <w:rPr>
          <w:sz w:val="20"/>
        </w:rPr>
        <w:sectPr>
          <w:type w:val="continuous"/>
          <w:pgSz w:w="16840" w:h="11910" w:orient="landscape"/>
          <w:pgMar w:top="1400" w:bottom="1200" w:left="1200" w:right="1200"/>
          <w:cols w:num="4" w:equalWidth="0">
            <w:col w:w="874" w:space="40"/>
            <w:col w:w="5642" w:space="728"/>
            <w:col w:w="639" w:space="40"/>
            <w:col w:w="6477"/>
          </w:cols>
        </w:sectPr>
      </w:pPr>
    </w:p>
    <w:p>
      <w:pPr>
        <w:pStyle w:val="Heading3"/>
        <w:tabs>
          <w:tab w:pos="7851" w:val="left" w:leader="none"/>
        </w:tabs>
        <w:spacing w:before="164"/>
        <w:ind w:left="194"/>
      </w:pPr>
      <w:r>
        <w:rPr/>
        <w:pict>
          <v:line style="position:absolute;mso-position-horizontal-relative:page;mso-position-vertical-relative:page;z-index:251814912" from="39.840pt,41.520008pt" to="774.1pt,41.520008pt" stroked="true" strokeweight=".72pt" strokecolor="#000000">
            <v:stroke dashstyle="solid"/>
            <w10:wrap type="none"/>
          </v:line>
        </w:pict>
      </w:r>
      <w:r>
        <w:rPr>
          <w:position w:val="1"/>
        </w:rPr>
        <w:t>图</w:t>
      </w:r>
      <w:r>
        <w:rPr>
          <w:spacing w:val="-61"/>
          <w:position w:val="1"/>
        </w:rPr>
        <w:t> </w:t>
      </w:r>
      <w:r>
        <w:rPr>
          <w:rFonts w:ascii="Times New Roman" w:eastAsia="Times New Roman"/>
          <w:position w:val="1"/>
        </w:rPr>
        <w:t>5.2-3</w:t>
      </w:r>
      <w:r>
        <w:rPr>
          <w:rFonts w:ascii="Times New Roman" w:eastAsia="Times New Roman"/>
          <w:spacing w:val="57"/>
          <w:position w:val="1"/>
        </w:rPr>
        <w:t> </w:t>
      </w:r>
      <w:r>
        <w:rPr>
          <w:position w:val="1"/>
        </w:rPr>
        <w:t>集污池下游</w:t>
      </w:r>
      <w:r>
        <w:rPr>
          <w:spacing w:val="-61"/>
          <w:position w:val="1"/>
        </w:rPr>
        <w:t> </w:t>
      </w:r>
      <w:r>
        <w:rPr>
          <w:rFonts w:ascii="Times New Roman" w:eastAsia="Times New Roman"/>
          <w:position w:val="1"/>
        </w:rPr>
        <w:t>600m</w:t>
      </w:r>
      <w:r>
        <w:rPr>
          <w:position w:val="1"/>
        </w:rPr>
        <w:t>（丰项村）处</w:t>
      </w:r>
      <w:r>
        <w:rPr>
          <w:spacing w:val="-59"/>
          <w:position w:val="1"/>
        </w:rPr>
        <w:t> </w:t>
      </w:r>
      <w:r>
        <w:rPr>
          <w:rFonts w:ascii="Times New Roman" w:eastAsia="Times New Roman"/>
          <w:position w:val="1"/>
        </w:rPr>
        <w:t>NH</w:t>
      </w:r>
      <w:r>
        <w:rPr>
          <w:rFonts w:ascii="Times New Roman" w:eastAsia="Times New Roman"/>
          <w:sz w:val="16"/>
        </w:rPr>
        <w:t>3</w:t>
      </w:r>
      <w:r>
        <w:rPr>
          <w:rFonts w:ascii="Times New Roman" w:eastAsia="Times New Roman"/>
          <w:position w:val="1"/>
        </w:rPr>
        <w:t>-N</w:t>
      </w:r>
      <w:r>
        <w:rPr>
          <w:rFonts w:ascii="Times New Roman" w:eastAsia="Times New Roman"/>
          <w:spacing w:val="-3"/>
          <w:position w:val="1"/>
        </w:rPr>
        <w:t> </w:t>
      </w:r>
      <w:r>
        <w:rPr>
          <w:position w:val="1"/>
        </w:rPr>
        <w:t>浓度随时间的变化情况</w:t>
        <w:tab/>
        <w:t>图</w:t>
      </w:r>
      <w:r>
        <w:rPr>
          <w:spacing w:val="-59"/>
          <w:position w:val="1"/>
        </w:rPr>
        <w:t> </w:t>
      </w:r>
      <w:r>
        <w:rPr>
          <w:rFonts w:ascii="Times New Roman" w:eastAsia="Times New Roman"/>
          <w:position w:val="1"/>
        </w:rPr>
        <w:t>5.2-4</w:t>
      </w:r>
      <w:r>
        <w:rPr>
          <w:rFonts w:ascii="Times New Roman" w:eastAsia="Times New Roman"/>
          <w:spacing w:val="59"/>
          <w:position w:val="1"/>
        </w:rPr>
        <w:t> </w:t>
      </w:r>
      <w:r>
        <w:rPr>
          <w:position w:val="1"/>
        </w:rPr>
        <w:t>泄漏后不同时间</w:t>
      </w:r>
      <w:r>
        <w:rPr>
          <w:spacing w:val="-60"/>
          <w:position w:val="1"/>
        </w:rPr>
        <w:t> </w:t>
      </w:r>
      <w:r>
        <w:rPr>
          <w:rFonts w:ascii="Times New Roman" w:eastAsia="Times New Roman"/>
          <w:position w:val="1"/>
        </w:rPr>
        <w:t>NH</w:t>
      </w:r>
      <w:r>
        <w:rPr>
          <w:rFonts w:ascii="Times New Roman" w:eastAsia="Times New Roman"/>
          <w:sz w:val="16"/>
        </w:rPr>
        <w:t>3</w:t>
      </w:r>
      <w:r>
        <w:rPr>
          <w:rFonts w:ascii="Times New Roman" w:eastAsia="Times New Roman"/>
          <w:position w:val="1"/>
        </w:rPr>
        <w:t>-N</w:t>
      </w:r>
      <w:r>
        <w:rPr>
          <w:rFonts w:ascii="Times New Roman" w:eastAsia="Times New Roman"/>
          <w:spacing w:val="-1"/>
          <w:position w:val="1"/>
        </w:rPr>
        <w:t> </w:t>
      </w:r>
      <w:r>
        <w:rPr>
          <w:position w:val="1"/>
        </w:rPr>
        <w:t>浓度随距离的变化情况</w:t>
      </w:r>
    </w:p>
    <w:p>
      <w:pPr>
        <w:spacing w:after="0"/>
        <w:sectPr>
          <w:type w:val="continuous"/>
          <w:pgSz w:w="16840" w:h="11910" w:orient="landscape"/>
          <w:pgMar w:top="1400" w:bottom="1200" w:left="1200" w:right="1200"/>
        </w:sectPr>
      </w:pPr>
    </w:p>
    <w:p>
      <w:pPr>
        <w:pStyle w:val="BodyText"/>
        <w:spacing w:before="10"/>
        <w:ind w:left="0"/>
        <w:rPr>
          <w:b/>
          <w:sz w:val="23"/>
        </w:rPr>
      </w:pPr>
    </w:p>
    <w:p>
      <w:pPr>
        <w:spacing w:before="74"/>
        <w:ind w:left="3612" w:right="3608" w:firstLine="0"/>
        <w:jc w:val="center"/>
        <w:rPr>
          <w:rFonts w:ascii="Times New Roman" w:eastAsia="Times New Roman"/>
          <w:b/>
          <w:sz w:val="24"/>
        </w:rPr>
      </w:pPr>
      <w:r>
        <w:rPr>
          <w:b/>
          <w:sz w:val="24"/>
        </w:rPr>
        <w:t>表 </w:t>
      </w:r>
      <w:r>
        <w:rPr>
          <w:rFonts w:ascii="Times New Roman" w:eastAsia="Times New Roman"/>
          <w:b/>
          <w:sz w:val="24"/>
        </w:rPr>
        <w:t>5.2-5  </w:t>
      </w:r>
      <w:r>
        <w:rPr>
          <w:b/>
          <w:sz w:val="24"/>
        </w:rPr>
        <w:t>地下水影响预测结果 单位：</w:t>
      </w:r>
      <w:r>
        <w:rPr>
          <w:rFonts w:ascii="Times New Roman" w:eastAsia="Times New Roman"/>
          <w:b/>
          <w:sz w:val="24"/>
        </w:rPr>
        <w:t>mg/L</w:t>
      </w:r>
    </w:p>
    <w:p>
      <w:pPr>
        <w:pStyle w:val="BodyText"/>
        <w:spacing w:before="10"/>
        <w:ind w:left="0"/>
        <w:rPr>
          <w:rFonts w:ascii="Times New Roman"/>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2"/>
        <w:gridCol w:w="1255"/>
        <w:gridCol w:w="1256"/>
        <w:gridCol w:w="1258"/>
        <w:gridCol w:w="1256"/>
        <w:gridCol w:w="1256"/>
        <w:gridCol w:w="1258"/>
        <w:gridCol w:w="1256"/>
        <w:gridCol w:w="1257"/>
        <w:gridCol w:w="1259"/>
        <w:gridCol w:w="1180"/>
      </w:tblGrid>
      <w:tr>
        <w:trPr>
          <w:trHeight w:val="311" w:hRule="atLeast"/>
        </w:trPr>
        <w:tc>
          <w:tcPr>
            <w:tcW w:w="1692" w:type="dxa"/>
            <w:tcBorders>
              <w:bottom w:val="single" w:sz="6" w:space="0" w:color="000000"/>
              <w:right w:val="single" w:sz="6" w:space="0" w:color="000000"/>
            </w:tcBorders>
          </w:tcPr>
          <w:p>
            <w:pPr>
              <w:pStyle w:val="TableParagraph"/>
              <w:spacing w:before="22"/>
              <w:ind w:left="193" w:right="170"/>
              <w:rPr>
                <w:rFonts w:ascii="宋体" w:eastAsia="宋体" w:hint="eastAsia"/>
                <w:b/>
                <w:sz w:val="21"/>
              </w:rPr>
            </w:pPr>
            <w:r>
              <w:rPr>
                <w:rFonts w:ascii="宋体" w:eastAsia="宋体" w:hint="eastAsia"/>
                <w:b/>
                <w:sz w:val="21"/>
              </w:rPr>
              <w:t>泄露持续时间</w:t>
            </w:r>
          </w:p>
        </w:tc>
        <w:tc>
          <w:tcPr>
            <w:tcW w:w="1255" w:type="dxa"/>
            <w:tcBorders>
              <w:left w:val="single" w:sz="6" w:space="0" w:color="000000"/>
              <w:bottom w:val="single" w:sz="6" w:space="0" w:color="000000"/>
              <w:right w:val="single" w:sz="6" w:space="0" w:color="000000"/>
            </w:tcBorders>
          </w:tcPr>
          <w:p>
            <w:pPr>
              <w:pStyle w:val="TableParagraph"/>
              <w:spacing w:before="22"/>
              <w:ind w:left="172" w:right="143"/>
              <w:rPr>
                <w:rFonts w:ascii="宋体" w:eastAsia="宋体" w:hint="eastAsia"/>
                <w:b/>
                <w:sz w:val="21"/>
              </w:rPr>
            </w:pPr>
            <w:r>
              <w:rPr>
                <w:b/>
                <w:sz w:val="21"/>
              </w:rPr>
              <w:t>100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before="22"/>
              <w:ind w:left="173" w:right="144"/>
              <w:rPr>
                <w:rFonts w:ascii="宋体" w:eastAsia="宋体" w:hint="eastAsia"/>
                <w:b/>
                <w:sz w:val="21"/>
              </w:rPr>
            </w:pPr>
            <w:r>
              <w:rPr>
                <w:b/>
                <w:sz w:val="21"/>
              </w:rPr>
              <w:t>200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before="22"/>
              <w:ind w:left="172" w:right="146"/>
              <w:rPr>
                <w:rFonts w:ascii="宋体" w:eastAsia="宋体" w:hint="eastAsia"/>
                <w:b/>
                <w:sz w:val="21"/>
              </w:rPr>
            </w:pPr>
            <w:r>
              <w:rPr>
                <w:b/>
                <w:sz w:val="21"/>
              </w:rPr>
              <w:t>400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before="22"/>
              <w:ind w:left="172" w:right="144"/>
              <w:rPr>
                <w:rFonts w:ascii="宋体" w:eastAsia="宋体" w:hint="eastAsia"/>
                <w:b/>
                <w:sz w:val="21"/>
              </w:rPr>
            </w:pPr>
            <w:r>
              <w:rPr>
                <w:b/>
                <w:sz w:val="21"/>
              </w:rPr>
              <w:t>600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before="22"/>
              <w:ind w:left="170" w:right="144"/>
              <w:rPr>
                <w:rFonts w:ascii="宋体" w:eastAsia="宋体" w:hint="eastAsia"/>
                <w:b/>
                <w:sz w:val="21"/>
              </w:rPr>
            </w:pPr>
            <w:r>
              <w:rPr>
                <w:b/>
                <w:sz w:val="21"/>
              </w:rPr>
              <w:t>800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before="22"/>
              <w:ind w:left="169" w:right="146"/>
              <w:rPr>
                <w:rFonts w:ascii="宋体" w:eastAsia="宋体" w:hint="eastAsia"/>
                <w:b/>
                <w:sz w:val="21"/>
              </w:rPr>
            </w:pPr>
            <w:r>
              <w:rPr>
                <w:b/>
                <w:sz w:val="21"/>
              </w:rPr>
              <w:t>1000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before="22"/>
              <w:ind w:left="168" w:right="144"/>
              <w:rPr>
                <w:rFonts w:ascii="宋体" w:eastAsia="宋体" w:hint="eastAsia"/>
                <w:b/>
                <w:sz w:val="21"/>
              </w:rPr>
            </w:pPr>
            <w:r>
              <w:rPr>
                <w:b/>
                <w:sz w:val="21"/>
              </w:rPr>
              <w:t>1200 </w:t>
            </w:r>
            <w:r>
              <w:rPr>
                <w:rFonts w:ascii="宋体" w:eastAsia="宋体" w:hint="eastAsia"/>
                <w:b/>
                <w:sz w:val="21"/>
              </w:rPr>
              <w:t>天</w:t>
            </w:r>
          </w:p>
        </w:tc>
        <w:tc>
          <w:tcPr>
            <w:tcW w:w="1257" w:type="dxa"/>
            <w:tcBorders>
              <w:left w:val="single" w:sz="6" w:space="0" w:color="000000"/>
              <w:bottom w:val="single" w:sz="6" w:space="0" w:color="000000"/>
              <w:right w:val="single" w:sz="6" w:space="0" w:color="000000"/>
            </w:tcBorders>
          </w:tcPr>
          <w:p>
            <w:pPr>
              <w:pStyle w:val="TableParagraph"/>
              <w:spacing w:before="22"/>
              <w:ind w:right="265"/>
              <w:jc w:val="right"/>
              <w:rPr>
                <w:rFonts w:ascii="宋体" w:eastAsia="宋体" w:hint="eastAsia"/>
                <w:b/>
                <w:sz w:val="21"/>
              </w:rPr>
            </w:pPr>
            <w:r>
              <w:rPr>
                <w:b/>
                <w:sz w:val="21"/>
              </w:rPr>
              <w:t>1400 </w:t>
            </w:r>
            <w:r>
              <w:rPr>
                <w:rFonts w:ascii="宋体" w:eastAsia="宋体" w:hint="eastAsia"/>
                <w:b/>
                <w:sz w:val="21"/>
              </w:rPr>
              <w:t>天</w:t>
            </w:r>
          </w:p>
        </w:tc>
        <w:tc>
          <w:tcPr>
            <w:tcW w:w="1259" w:type="dxa"/>
            <w:tcBorders>
              <w:left w:val="single" w:sz="6" w:space="0" w:color="000000"/>
              <w:bottom w:val="single" w:sz="6" w:space="0" w:color="000000"/>
              <w:right w:val="single" w:sz="6" w:space="0" w:color="000000"/>
            </w:tcBorders>
          </w:tcPr>
          <w:p>
            <w:pPr>
              <w:pStyle w:val="TableParagraph"/>
              <w:spacing w:before="22"/>
              <w:ind w:left="168" w:right="151"/>
              <w:rPr>
                <w:rFonts w:ascii="宋体" w:eastAsia="宋体" w:hint="eastAsia"/>
                <w:b/>
                <w:sz w:val="21"/>
              </w:rPr>
            </w:pPr>
            <w:r>
              <w:rPr>
                <w:b/>
                <w:sz w:val="21"/>
              </w:rPr>
              <w:t>1600 </w:t>
            </w:r>
            <w:r>
              <w:rPr>
                <w:rFonts w:ascii="宋体" w:eastAsia="宋体" w:hint="eastAsia"/>
                <w:b/>
                <w:sz w:val="21"/>
              </w:rPr>
              <w:t>天</w:t>
            </w:r>
          </w:p>
        </w:tc>
        <w:tc>
          <w:tcPr>
            <w:tcW w:w="1180" w:type="dxa"/>
            <w:tcBorders>
              <w:left w:val="single" w:sz="6" w:space="0" w:color="000000"/>
              <w:bottom w:val="single" w:sz="6" w:space="0" w:color="000000"/>
            </w:tcBorders>
          </w:tcPr>
          <w:p>
            <w:pPr>
              <w:pStyle w:val="TableParagraph"/>
              <w:spacing w:before="22"/>
              <w:ind w:right="222"/>
              <w:jc w:val="right"/>
              <w:rPr>
                <w:rFonts w:ascii="宋体" w:eastAsia="宋体" w:hint="eastAsia"/>
                <w:b/>
                <w:sz w:val="21"/>
              </w:rPr>
            </w:pPr>
            <w:r>
              <w:rPr>
                <w:b/>
                <w:sz w:val="21"/>
              </w:rPr>
              <w:t>1800 </w:t>
            </w:r>
            <w:r>
              <w:rPr>
                <w:rFonts w:ascii="宋体" w:eastAsia="宋体" w:hint="eastAsia"/>
                <w:b/>
                <w:sz w:val="21"/>
              </w:rPr>
              <w:t>天</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8"/>
              <w:rPr>
                <w:b/>
                <w:sz w:val="21"/>
              </w:rPr>
            </w:pPr>
            <w:r>
              <w:rPr>
                <w:b/>
                <w:sz w:val="21"/>
              </w:rPr>
              <w:t>x(m)</w:t>
            </w:r>
          </w:p>
        </w:tc>
        <w:tc>
          <w:tcPr>
            <w:tcW w:w="12491" w:type="dxa"/>
            <w:gridSpan w:val="10"/>
            <w:tcBorders>
              <w:top w:val="single" w:sz="6" w:space="0" w:color="000000"/>
              <w:left w:val="single" w:sz="6" w:space="0" w:color="000000"/>
              <w:bottom w:val="single" w:sz="6" w:space="0" w:color="000000"/>
            </w:tcBorders>
          </w:tcPr>
          <w:p>
            <w:pPr>
              <w:pStyle w:val="TableParagraph"/>
              <w:spacing w:before="24"/>
              <w:ind w:left="5186" w:right="5159"/>
              <w:rPr>
                <w:rFonts w:ascii="宋体" w:eastAsia="宋体" w:hint="eastAsia"/>
                <w:b/>
                <w:sz w:val="21"/>
              </w:rPr>
            </w:pPr>
            <w:r>
              <w:rPr>
                <w:rFonts w:ascii="宋体" w:eastAsia="宋体" w:hint="eastAsia"/>
                <w:b/>
                <w:position w:val="2"/>
                <w:sz w:val="21"/>
              </w:rPr>
              <w:t>下游 </w:t>
            </w:r>
            <w:r>
              <w:rPr>
                <w:b/>
                <w:position w:val="2"/>
                <w:sz w:val="21"/>
              </w:rPr>
              <w:t>COD</w:t>
            </w:r>
            <w:r>
              <w:rPr>
                <w:b/>
                <w:sz w:val="14"/>
              </w:rPr>
              <w:t>Mn </w:t>
            </w:r>
            <w:r>
              <w:rPr>
                <w:rFonts w:ascii="宋体" w:eastAsia="宋体" w:hint="eastAsia"/>
                <w:b/>
                <w:position w:val="2"/>
                <w:sz w:val="21"/>
              </w:rPr>
              <w:t>预测结果</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
              <w:rPr>
                <w:b/>
                <w:sz w:val="21"/>
              </w:rPr>
            </w:pPr>
            <w:r>
              <w:rPr>
                <w:b/>
                <w:w w:val="100"/>
                <w:sz w:val="21"/>
              </w:rPr>
              <w:t>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shd w:fill="D9D9D9" w:color="auto" w:val="clear"/>
              </w:rPr>
              <w:t>2.96E+04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shd w:fill="D9D9D9" w:color="auto" w:val="clear"/>
              </w:rPr>
              <w:t>1.47E+04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5.18E+03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2.10E+03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9.06E+02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4.03E+02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1.83E+02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8.42E+01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3.92E+01</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1.84E+01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89" w:right="170"/>
              <w:rPr>
                <w:b/>
                <w:sz w:val="21"/>
              </w:rPr>
            </w:pPr>
            <w:r>
              <w:rPr>
                <w:b/>
                <w:sz w:val="21"/>
              </w:rPr>
              <w:t>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shd w:fill="D9D9D9" w:color="auto" w:val="clear"/>
              </w:rPr>
              <w:t>2.09E+04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shd w:fill="D9D9D9" w:color="auto" w:val="clear"/>
              </w:rPr>
              <w:t>2.88E+04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1.68E+04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8.08E+03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3.79E+03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1.77E+03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8.32E+02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3.92E+02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1.86E+02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8.83E+01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7"/>
              <w:ind w:left="189" w:right="170"/>
              <w:rPr>
                <w:b/>
                <w:sz w:val="21"/>
              </w:rPr>
            </w:pPr>
            <w:r>
              <w:rPr>
                <w:b/>
                <w:sz w:val="21"/>
              </w:rPr>
              <w:t>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shd w:fill="D9D9D9" w:color="auto" w:val="clear"/>
              </w:rPr>
              <w:t>2.57E+02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shd w:fill="D9D9D9" w:color="auto" w:val="clear"/>
              </w:rPr>
              <w:t>7.39E+03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1.98E+04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1.58E+04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9.53E+03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5.19E+03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2.70E+03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1.37E+03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6.84E+02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3.39E+02</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89" w:right="170"/>
              <w:rPr>
                <w:b/>
                <w:sz w:val="21"/>
              </w:rPr>
            </w:pPr>
            <w:r>
              <w:rPr>
                <w:b/>
                <w:sz w:val="21"/>
              </w:rPr>
              <w:t>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5.44E-02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shd w:fill="D9D9D9" w:color="auto" w:val="clear"/>
              </w:rPr>
              <w:t>2.50E+02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6"/>
              <w:rPr>
                <w:sz w:val="21"/>
              </w:rPr>
            </w:pPr>
            <w:r>
              <w:rPr>
                <w:sz w:val="21"/>
                <w:shd w:fill="D9D9D9" w:color="auto" w:val="clear"/>
              </w:rPr>
              <w:t>8.43E+03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shd w:fill="D9D9D9" w:color="auto" w:val="clear"/>
              </w:rPr>
              <w:t>1.57E+04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4"/>
              <w:rPr>
                <w:sz w:val="21"/>
              </w:rPr>
            </w:pPr>
            <w:r>
              <w:rPr>
                <w:sz w:val="21"/>
                <w:shd w:fill="D9D9D9" w:color="auto" w:val="clear"/>
              </w:rPr>
              <w:t>1.44E+04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46"/>
              <w:rPr>
                <w:sz w:val="21"/>
              </w:rPr>
            </w:pPr>
            <w:r>
              <w:rPr>
                <w:sz w:val="21"/>
                <w:shd w:fill="D9D9D9" w:color="auto" w:val="clear"/>
              </w:rPr>
              <w:t>1.01E+04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44"/>
              <w:rPr>
                <w:sz w:val="21"/>
              </w:rPr>
            </w:pPr>
            <w:r>
              <w:rPr>
                <w:sz w:val="21"/>
                <w:shd w:fill="D9D9D9" w:color="auto" w:val="clear"/>
              </w:rPr>
              <w:t>6.24E+03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194"/>
              <w:jc w:val="right"/>
              <w:rPr>
                <w:sz w:val="21"/>
              </w:rPr>
            </w:pPr>
            <w:r>
              <w:rPr>
                <w:sz w:val="21"/>
                <w:shd w:fill="D9D9D9" w:color="auto" w:val="clear"/>
              </w:rPr>
              <w:t>3.57E+03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51"/>
              <w:rPr>
                <w:sz w:val="21"/>
              </w:rPr>
            </w:pPr>
            <w:r>
              <w:rPr>
                <w:sz w:val="21"/>
                <w:shd w:fill="D9D9D9" w:color="auto" w:val="clear"/>
              </w:rPr>
              <w:t>1.95E+03</w:t>
            </w:r>
          </w:p>
        </w:tc>
        <w:tc>
          <w:tcPr>
            <w:tcW w:w="1180" w:type="dxa"/>
            <w:tcBorders>
              <w:top w:val="single" w:sz="6" w:space="0" w:color="000000"/>
              <w:left w:val="single" w:sz="6" w:space="0" w:color="000000"/>
              <w:bottom w:val="single" w:sz="6" w:space="0" w:color="000000"/>
            </w:tcBorders>
          </w:tcPr>
          <w:p>
            <w:pPr>
              <w:pStyle w:val="TableParagraph"/>
              <w:spacing w:before="36"/>
              <w:ind w:right="150"/>
              <w:jc w:val="right"/>
              <w:rPr>
                <w:sz w:val="21"/>
              </w:rPr>
            </w:pPr>
            <w:r>
              <w:rPr>
                <w:sz w:val="21"/>
                <w:shd w:fill="D9D9D9" w:color="auto" w:val="clear"/>
              </w:rPr>
              <w:t>1.04E+03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89" w:right="170"/>
              <w:rPr>
                <w:b/>
                <w:sz w:val="21"/>
              </w:rPr>
            </w:pPr>
            <w:r>
              <w:rPr>
                <w:b/>
                <w:sz w:val="21"/>
              </w:rPr>
              <w:t>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2.00E-07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1.11E+00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1.30E+03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7.92E+03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1.32E+04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1.32E+04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1.03E+04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6.97E+03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4.33E+03</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2.54E+03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1.27E-14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6.50E-04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7.32E+01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2.03E+03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7.25E+03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1.14E+04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1.21E+04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1.02E+04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7.45E+03</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4.97E+03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1.39E-23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5.00E-08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1.49E+00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2.66E+02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2.40E+03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6.62E+03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1.01E+04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1.11E+04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9.95E+03</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7.74E+03</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140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2.65E-34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5.06E-13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1.10E-02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shd w:fill="D9D9D9" w:color="auto" w:val="clear"/>
              </w:rPr>
              <w:t>1.77E+01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4"/>
              <w:rPr>
                <w:sz w:val="21"/>
              </w:rPr>
            </w:pPr>
            <w:r>
              <w:rPr>
                <w:sz w:val="21"/>
                <w:shd w:fill="D9D9D9" w:color="auto" w:val="clear"/>
              </w:rPr>
              <w:t>4.78E+02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46"/>
              <w:rPr>
                <w:sz w:val="21"/>
              </w:rPr>
            </w:pPr>
            <w:r>
              <w:rPr>
                <w:sz w:val="21"/>
                <w:shd w:fill="D9D9D9" w:color="auto" w:val="clear"/>
              </w:rPr>
              <w:t>2.55E+03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44"/>
              <w:rPr>
                <w:sz w:val="21"/>
              </w:rPr>
            </w:pPr>
            <w:r>
              <w:rPr>
                <w:sz w:val="21"/>
                <w:shd w:fill="D9D9D9" w:color="auto" w:val="clear"/>
              </w:rPr>
              <w:t>6.07E+03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194"/>
              <w:jc w:val="right"/>
              <w:rPr>
                <w:sz w:val="21"/>
              </w:rPr>
            </w:pPr>
            <w:r>
              <w:rPr>
                <w:sz w:val="21"/>
                <w:shd w:fill="D9D9D9" w:color="auto" w:val="clear"/>
              </w:rPr>
              <w:t>9.12E+03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51"/>
              <w:rPr>
                <w:sz w:val="21"/>
              </w:rPr>
            </w:pPr>
            <w:r>
              <w:rPr>
                <w:sz w:val="21"/>
                <w:shd w:fill="D9D9D9" w:color="auto" w:val="clear"/>
              </w:rPr>
              <w:t>1.03E+04</w:t>
            </w:r>
          </w:p>
        </w:tc>
        <w:tc>
          <w:tcPr>
            <w:tcW w:w="1180" w:type="dxa"/>
            <w:tcBorders>
              <w:top w:val="single" w:sz="6" w:space="0" w:color="000000"/>
              <w:left w:val="single" w:sz="6" w:space="0" w:color="000000"/>
              <w:bottom w:val="single" w:sz="6" w:space="0" w:color="000000"/>
            </w:tcBorders>
          </w:tcPr>
          <w:p>
            <w:pPr>
              <w:pStyle w:val="TableParagraph"/>
              <w:spacing w:before="36"/>
              <w:ind w:right="150"/>
              <w:jc w:val="right"/>
              <w:rPr>
                <w:sz w:val="21"/>
              </w:rPr>
            </w:pPr>
            <w:r>
              <w:rPr>
                <w:sz w:val="21"/>
                <w:shd w:fill="D9D9D9" w:color="auto" w:val="clear"/>
              </w:rPr>
              <w:t>9.64E+03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8.73E-47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6.73E-19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2.94E-05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5.97E-01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5.74E+01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6.56E+02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2.59E+03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5.59E+03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8.29E+03</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9.57E+03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4.97E-61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1.18E-25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2.86E-08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1.03E-02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4.15E+00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1.12E+02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7.88E+02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2.56E+03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5.17E+03</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7.59E+03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200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4.90E-77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2.72E-33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1.01E-11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8.97E-05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1.81E-01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1.28E+01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1.71E+02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8.80E+02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2.50E+03</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4.80E+03</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220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8.36E-95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8.23E-42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1.29E-15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3.99E-07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4"/>
              <w:rPr>
                <w:sz w:val="21"/>
              </w:rPr>
            </w:pPr>
            <w:r>
              <w:rPr>
                <w:sz w:val="21"/>
              </w:rPr>
              <w:t>4.74E-03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9.75E-01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44"/>
              <w:rPr>
                <w:sz w:val="21"/>
              </w:rPr>
            </w:pPr>
            <w:r>
              <w:rPr>
                <w:sz w:val="21"/>
                <w:shd w:fill="D9D9D9" w:color="auto" w:val="clear"/>
              </w:rPr>
              <w:t>2.64E+01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194"/>
              <w:jc w:val="right"/>
              <w:rPr>
                <w:sz w:val="21"/>
              </w:rPr>
            </w:pPr>
            <w:r>
              <w:rPr>
                <w:sz w:val="21"/>
                <w:shd w:fill="D9D9D9" w:color="auto" w:val="clear"/>
              </w:rPr>
              <w:t>2.26E+02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51"/>
              <w:rPr>
                <w:sz w:val="21"/>
              </w:rPr>
            </w:pPr>
            <w:r>
              <w:rPr>
                <w:sz w:val="21"/>
                <w:shd w:fill="D9D9D9" w:color="auto" w:val="clear"/>
              </w:rPr>
              <w:t>9.41E+02</w:t>
            </w:r>
          </w:p>
        </w:tc>
        <w:tc>
          <w:tcPr>
            <w:tcW w:w="1180" w:type="dxa"/>
            <w:tcBorders>
              <w:top w:val="single" w:sz="6" w:space="0" w:color="000000"/>
              <w:left w:val="single" w:sz="6" w:space="0" w:color="000000"/>
              <w:bottom w:val="single" w:sz="6" w:space="0" w:color="000000"/>
            </w:tcBorders>
          </w:tcPr>
          <w:p>
            <w:pPr>
              <w:pStyle w:val="TableParagraph"/>
              <w:spacing w:before="36"/>
              <w:ind w:right="150"/>
              <w:jc w:val="right"/>
              <w:rPr>
                <w:sz w:val="21"/>
              </w:rPr>
            </w:pPr>
            <w:r>
              <w:rPr>
                <w:sz w:val="21"/>
                <w:shd w:fill="D9D9D9" w:color="auto" w:val="clear"/>
              </w:rPr>
              <w:t>2.43E+03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240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2.47E-114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3.28E-51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5.96E-20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9.01E-10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7.49E-05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4.94E-02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rPr>
              <w:t>2.92E+00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4.35E+01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2.75E+02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9.78E+02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260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1.26E-135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1.72E-61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1.00E-24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1.04E-12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7.13E-07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1.67E-03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2.30E-01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6.26E+00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6.21E+01</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3.15E+02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280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1.11E-158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1.19E-72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6.10E-30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6.06E-16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4.08E-09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3.76E-05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1.29E-02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6.74E-01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1.09E+01</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8.09E+01</w:t>
            </w:r>
          </w:p>
        </w:tc>
      </w:tr>
      <w:tr>
        <w:trPr>
          <w:trHeight w:val="314"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300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7"/>
              <w:ind w:left="175" w:right="143"/>
              <w:rPr>
                <w:sz w:val="21"/>
              </w:rPr>
            </w:pPr>
            <w:r>
              <w:rPr>
                <w:sz w:val="21"/>
              </w:rPr>
              <w:t>1.70E-183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5" w:right="144"/>
              <w:rPr>
                <w:sz w:val="21"/>
              </w:rPr>
            </w:pPr>
            <w:r>
              <w:rPr>
                <w:sz w:val="21"/>
              </w:rPr>
              <w:t>1.08E-84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5"/>
              <w:rPr>
                <w:sz w:val="21"/>
              </w:rPr>
            </w:pPr>
            <w:r>
              <w:rPr>
                <w:sz w:val="21"/>
              </w:rPr>
              <w:t>1.35E-35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4"/>
              <w:rPr>
                <w:sz w:val="21"/>
              </w:rPr>
            </w:pPr>
            <w:r>
              <w:rPr>
                <w:sz w:val="21"/>
              </w:rPr>
              <w:t>1.80E-19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3" w:right="144"/>
              <w:rPr>
                <w:sz w:val="21"/>
              </w:rPr>
            </w:pPr>
            <w:r>
              <w:rPr>
                <w:sz w:val="21"/>
              </w:rPr>
              <w:t>1.41E-11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2" w:right="146"/>
              <w:rPr>
                <w:sz w:val="21"/>
              </w:rPr>
            </w:pPr>
            <w:r>
              <w:rPr>
                <w:sz w:val="21"/>
              </w:rPr>
              <w:t>5.65E-07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1" w:right="144"/>
              <w:rPr>
                <w:sz w:val="21"/>
              </w:rPr>
            </w:pPr>
            <w:r>
              <w:rPr>
                <w:sz w:val="21"/>
              </w:rPr>
              <w:t>5.16E-04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7"/>
              <w:ind w:right="217"/>
              <w:jc w:val="right"/>
              <w:rPr>
                <w:sz w:val="21"/>
              </w:rPr>
            </w:pPr>
            <w:r>
              <w:rPr>
                <w:sz w:val="21"/>
              </w:rPr>
              <w:t>5.43E-02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51"/>
              <w:rPr>
                <w:sz w:val="21"/>
              </w:rPr>
            </w:pPr>
            <w:r>
              <w:rPr>
                <w:sz w:val="21"/>
              </w:rPr>
              <w:t>1.49E+00</w:t>
            </w:r>
          </w:p>
        </w:tc>
        <w:tc>
          <w:tcPr>
            <w:tcW w:w="1180" w:type="dxa"/>
            <w:tcBorders>
              <w:top w:val="single" w:sz="6" w:space="0" w:color="000000"/>
              <w:left w:val="single" w:sz="6" w:space="0" w:color="000000"/>
              <w:bottom w:val="single" w:sz="6" w:space="0" w:color="000000"/>
            </w:tcBorders>
          </w:tcPr>
          <w:p>
            <w:pPr>
              <w:pStyle w:val="TableParagraph"/>
              <w:spacing w:before="37"/>
              <w:ind w:right="150"/>
              <w:jc w:val="right"/>
              <w:rPr>
                <w:sz w:val="21"/>
              </w:rPr>
            </w:pPr>
            <w:r>
              <w:rPr>
                <w:sz w:val="21"/>
                <w:shd w:fill="D9D9D9" w:color="auto" w:val="clear"/>
              </w:rPr>
              <w:t>1.66E+01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320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4.50E-210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1.29E-97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1.08E-41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2.73E-23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2.93E-14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5.65E-09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1.47E-05</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3.28E-03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1.57E-01</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rPr>
              <w:t>2.72E+00</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340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2.06E-238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2.02E-111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3.15E-48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2.10E-27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3.66E-17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3.77E-11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3.00E-07</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1.48E-04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1.29E-02</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3.55E-01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360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1.63E-268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4.17E-126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3.32E-55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8.21E-32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2.76E-20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1.68E-13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4.35E-09</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5.00E-06</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8.23E-04</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3.70E-02</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380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2.24E-300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1.13E-141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1.27E-62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1.63E-36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4"/>
              <w:rPr>
                <w:sz w:val="21"/>
              </w:rPr>
            </w:pPr>
            <w:r>
              <w:rPr>
                <w:sz w:val="21"/>
              </w:rPr>
              <w:t>1.25E-23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4.97E-16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44"/>
              <w:rPr>
                <w:sz w:val="21"/>
              </w:rPr>
            </w:pPr>
            <w:r>
              <w:rPr>
                <w:sz w:val="21"/>
              </w:rPr>
              <w:t>4.50E-11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217"/>
              <w:jc w:val="right"/>
              <w:rPr>
                <w:sz w:val="21"/>
              </w:rPr>
            </w:pPr>
            <w:r>
              <w:rPr>
                <w:sz w:val="21"/>
              </w:rPr>
              <w:t>1.27E-07</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4.07E-05</w:t>
            </w:r>
          </w:p>
        </w:tc>
        <w:tc>
          <w:tcPr>
            <w:tcW w:w="1180" w:type="dxa"/>
            <w:tcBorders>
              <w:top w:val="single" w:sz="6" w:space="0" w:color="000000"/>
              <w:left w:val="single" w:sz="6" w:space="0" w:color="000000"/>
              <w:bottom w:val="single" w:sz="6" w:space="0" w:color="000000"/>
            </w:tcBorders>
          </w:tcPr>
          <w:p>
            <w:pPr>
              <w:pStyle w:val="TableParagraph"/>
              <w:spacing w:before="36"/>
              <w:ind w:right="174"/>
              <w:jc w:val="right"/>
              <w:rPr>
                <w:sz w:val="21"/>
              </w:rPr>
            </w:pPr>
            <w:r>
              <w:rPr>
                <w:sz w:val="21"/>
              </w:rPr>
              <w:t>3.08E-03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400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4.05E-158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1.76E-70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1.65E-41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3.42E-27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9.81E-19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3.32E-13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2.40E-09</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1.56E-06</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2.05E-04</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420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1.90E-175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8.86E-79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8.51E-47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5.63E-31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1.29E-21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1.75E-15</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3.39E-11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4.64E-08</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1.09E-05</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7"/>
              <w:ind w:left="193" w:right="169"/>
              <w:rPr>
                <w:b/>
                <w:sz w:val="21"/>
              </w:rPr>
            </w:pPr>
            <w:r>
              <w:rPr>
                <w:b/>
                <w:sz w:val="21"/>
              </w:rPr>
              <w:t>440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1.18E-193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1.62E-87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2.23E-52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5.58E-35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1.13E-24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6.57E-18</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3.60E-13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1.07E-09</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4.60E-07</w:t>
            </w:r>
          </w:p>
        </w:tc>
      </w:tr>
      <w:tr>
        <w:trPr>
          <w:trHeight w:val="311" w:hRule="atLeast"/>
        </w:trPr>
        <w:tc>
          <w:tcPr>
            <w:tcW w:w="1692" w:type="dxa"/>
            <w:tcBorders>
              <w:top w:val="single" w:sz="6" w:space="0" w:color="000000"/>
              <w:right w:val="single" w:sz="6" w:space="0" w:color="000000"/>
            </w:tcBorders>
          </w:tcPr>
          <w:p>
            <w:pPr>
              <w:pStyle w:val="TableParagraph"/>
              <w:spacing w:before="39"/>
              <w:ind w:left="193" w:right="169"/>
              <w:rPr>
                <w:b/>
                <w:sz w:val="21"/>
              </w:rPr>
            </w:pPr>
            <w:r>
              <w:rPr>
                <w:b/>
                <w:sz w:val="21"/>
              </w:rPr>
              <w:t>460</w:t>
            </w:r>
          </w:p>
        </w:tc>
        <w:tc>
          <w:tcPr>
            <w:tcW w:w="1255" w:type="dxa"/>
            <w:tcBorders>
              <w:top w:val="single" w:sz="6" w:space="0" w:color="000000"/>
              <w:left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6"/>
              <w:ind w:left="175" w:right="144"/>
              <w:rPr>
                <w:sz w:val="21"/>
              </w:rPr>
            </w:pPr>
            <w:r>
              <w:rPr>
                <w:sz w:val="21"/>
              </w:rPr>
              <w:t>9.58E-213</w:t>
            </w:r>
          </w:p>
        </w:tc>
        <w:tc>
          <w:tcPr>
            <w:tcW w:w="1258" w:type="dxa"/>
            <w:tcBorders>
              <w:top w:val="single" w:sz="6" w:space="0" w:color="000000"/>
              <w:left w:val="single" w:sz="6" w:space="0" w:color="000000"/>
              <w:right w:val="single" w:sz="6" w:space="0" w:color="000000"/>
            </w:tcBorders>
          </w:tcPr>
          <w:p>
            <w:pPr>
              <w:pStyle w:val="TableParagraph"/>
              <w:spacing w:before="36"/>
              <w:ind w:left="174" w:right="145"/>
              <w:rPr>
                <w:sz w:val="21"/>
              </w:rPr>
            </w:pPr>
            <w:r>
              <w:rPr>
                <w:sz w:val="21"/>
              </w:rPr>
              <w:t>1.07E-96</w:t>
            </w:r>
          </w:p>
        </w:tc>
        <w:tc>
          <w:tcPr>
            <w:tcW w:w="1256" w:type="dxa"/>
            <w:tcBorders>
              <w:top w:val="single" w:sz="6" w:space="0" w:color="000000"/>
              <w:left w:val="single" w:sz="6" w:space="0" w:color="000000"/>
              <w:right w:val="single" w:sz="6" w:space="0" w:color="000000"/>
            </w:tcBorders>
          </w:tcPr>
          <w:p>
            <w:pPr>
              <w:pStyle w:val="TableParagraph"/>
              <w:spacing w:before="36"/>
              <w:ind w:left="174" w:right="144"/>
              <w:rPr>
                <w:sz w:val="21"/>
              </w:rPr>
            </w:pPr>
            <w:r>
              <w:rPr>
                <w:sz w:val="21"/>
              </w:rPr>
              <w:t>2.96E-58</w:t>
            </w:r>
          </w:p>
        </w:tc>
        <w:tc>
          <w:tcPr>
            <w:tcW w:w="1256" w:type="dxa"/>
            <w:tcBorders>
              <w:top w:val="single" w:sz="6" w:space="0" w:color="000000"/>
              <w:left w:val="single" w:sz="6" w:space="0" w:color="000000"/>
              <w:right w:val="single" w:sz="6" w:space="0" w:color="000000"/>
            </w:tcBorders>
          </w:tcPr>
          <w:p>
            <w:pPr>
              <w:pStyle w:val="TableParagraph"/>
              <w:spacing w:before="36"/>
              <w:ind w:left="173" w:right="144"/>
              <w:rPr>
                <w:sz w:val="21"/>
              </w:rPr>
            </w:pPr>
            <w:r>
              <w:rPr>
                <w:sz w:val="21"/>
              </w:rPr>
              <w:t>3.33E-39</w:t>
            </w:r>
          </w:p>
        </w:tc>
        <w:tc>
          <w:tcPr>
            <w:tcW w:w="1258" w:type="dxa"/>
            <w:tcBorders>
              <w:top w:val="single" w:sz="6" w:space="0" w:color="000000"/>
              <w:left w:val="single" w:sz="6" w:space="0" w:color="000000"/>
              <w:right w:val="single" w:sz="6" w:space="0" w:color="000000"/>
            </w:tcBorders>
          </w:tcPr>
          <w:p>
            <w:pPr>
              <w:pStyle w:val="TableParagraph"/>
              <w:spacing w:before="36"/>
              <w:ind w:left="172" w:right="146"/>
              <w:rPr>
                <w:sz w:val="21"/>
              </w:rPr>
            </w:pPr>
            <w:r>
              <w:rPr>
                <w:sz w:val="21"/>
              </w:rPr>
              <w:t>6.63E-28</w:t>
            </w:r>
          </w:p>
        </w:tc>
        <w:tc>
          <w:tcPr>
            <w:tcW w:w="1256" w:type="dxa"/>
            <w:tcBorders>
              <w:top w:val="single" w:sz="6" w:space="0" w:color="000000"/>
              <w:left w:val="single" w:sz="6" w:space="0" w:color="000000"/>
              <w:right w:val="single" w:sz="6" w:space="0" w:color="000000"/>
            </w:tcBorders>
          </w:tcPr>
          <w:p>
            <w:pPr>
              <w:pStyle w:val="TableParagraph"/>
              <w:spacing w:before="36"/>
              <w:ind w:left="171" w:right="144"/>
              <w:rPr>
                <w:sz w:val="21"/>
              </w:rPr>
            </w:pPr>
            <w:r>
              <w:rPr>
                <w:sz w:val="21"/>
              </w:rPr>
              <w:t>1.76E-20</w:t>
            </w:r>
          </w:p>
        </w:tc>
        <w:tc>
          <w:tcPr>
            <w:tcW w:w="1257" w:type="dxa"/>
            <w:tcBorders>
              <w:top w:val="single" w:sz="6" w:space="0" w:color="000000"/>
              <w:left w:val="single" w:sz="6" w:space="0" w:color="000000"/>
              <w:right w:val="single" w:sz="6" w:space="0" w:color="000000"/>
            </w:tcBorders>
          </w:tcPr>
          <w:p>
            <w:pPr>
              <w:pStyle w:val="TableParagraph"/>
              <w:spacing w:before="36"/>
              <w:ind w:right="217"/>
              <w:jc w:val="right"/>
              <w:rPr>
                <w:sz w:val="21"/>
              </w:rPr>
            </w:pPr>
            <w:r>
              <w:rPr>
                <w:sz w:val="21"/>
              </w:rPr>
              <w:t>2.86E-15</w:t>
            </w:r>
          </w:p>
        </w:tc>
        <w:tc>
          <w:tcPr>
            <w:tcW w:w="1259" w:type="dxa"/>
            <w:tcBorders>
              <w:top w:val="single" w:sz="6" w:space="0" w:color="000000"/>
              <w:left w:val="single" w:sz="6" w:space="0" w:color="000000"/>
              <w:right w:val="single" w:sz="6" w:space="0" w:color="000000"/>
            </w:tcBorders>
          </w:tcPr>
          <w:p>
            <w:pPr>
              <w:pStyle w:val="TableParagraph"/>
              <w:spacing w:before="36"/>
              <w:ind w:left="171" w:right="151"/>
              <w:rPr>
                <w:sz w:val="21"/>
              </w:rPr>
            </w:pPr>
            <w:r>
              <w:rPr>
                <w:sz w:val="21"/>
              </w:rPr>
              <w:t>1.92E-11</w:t>
            </w:r>
          </w:p>
        </w:tc>
        <w:tc>
          <w:tcPr>
            <w:tcW w:w="1180" w:type="dxa"/>
            <w:tcBorders>
              <w:top w:val="single" w:sz="6" w:space="0" w:color="000000"/>
              <w:left w:val="single" w:sz="6" w:space="0" w:color="000000"/>
            </w:tcBorders>
          </w:tcPr>
          <w:p>
            <w:pPr>
              <w:pStyle w:val="TableParagraph"/>
              <w:spacing w:before="36"/>
              <w:ind w:right="174"/>
              <w:jc w:val="right"/>
              <w:rPr>
                <w:sz w:val="21"/>
              </w:rPr>
            </w:pPr>
            <w:r>
              <w:rPr>
                <w:sz w:val="21"/>
              </w:rPr>
              <w:t>1.55E-08</w:t>
            </w:r>
          </w:p>
        </w:tc>
      </w:tr>
    </w:tbl>
    <w:p>
      <w:pPr>
        <w:spacing w:after="0"/>
        <w:jc w:val="right"/>
        <w:rPr>
          <w:sz w:val="21"/>
        </w:rPr>
        <w:sectPr>
          <w:headerReference w:type="default" r:id="rId75"/>
          <w:footerReference w:type="default" r:id="rId76"/>
          <w:pgSz w:w="16840" w:h="11910" w:orient="landscape"/>
          <w:pgMar w:header="874" w:footer="1004" w:top="1100" w:bottom="1200" w:left="1200" w:right="1200"/>
        </w:sectPr>
      </w:pPr>
    </w:p>
    <w:p>
      <w:pPr>
        <w:pStyle w:val="BodyText"/>
        <w:spacing w:before="10"/>
        <w:ind w:left="0"/>
        <w:rPr>
          <w:rFonts w:ascii="Times New Roman"/>
          <w:sz w:val="25"/>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2"/>
        <w:gridCol w:w="1255"/>
        <w:gridCol w:w="1256"/>
        <w:gridCol w:w="1258"/>
        <w:gridCol w:w="1256"/>
        <w:gridCol w:w="1256"/>
        <w:gridCol w:w="1258"/>
        <w:gridCol w:w="1256"/>
        <w:gridCol w:w="1257"/>
        <w:gridCol w:w="1259"/>
        <w:gridCol w:w="1180"/>
      </w:tblGrid>
      <w:tr>
        <w:trPr>
          <w:trHeight w:val="311" w:hRule="atLeast"/>
        </w:trPr>
        <w:tc>
          <w:tcPr>
            <w:tcW w:w="1692" w:type="dxa"/>
            <w:tcBorders>
              <w:bottom w:val="single" w:sz="6" w:space="0" w:color="000000"/>
              <w:right w:val="single" w:sz="6" w:space="0" w:color="000000"/>
            </w:tcBorders>
          </w:tcPr>
          <w:p>
            <w:pPr>
              <w:pStyle w:val="TableParagraph"/>
              <w:spacing w:line="266" w:lineRule="exact" w:before="24"/>
              <w:ind w:left="193" w:right="170"/>
              <w:rPr>
                <w:rFonts w:ascii="宋体" w:eastAsia="宋体" w:hint="eastAsia"/>
                <w:b/>
                <w:sz w:val="21"/>
              </w:rPr>
            </w:pPr>
            <w:r>
              <w:rPr>
                <w:rFonts w:ascii="宋体" w:eastAsia="宋体" w:hint="eastAsia"/>
                <w:b/>
                <w:sz w:val="21"/>
              </w:rPr>
              <w:t>泄露持续时间</w:t>
            </w:r>
          </w:p>
        </w:tc>
        <w:tc>
          <w:tcPr>
            <w:tcW w:w="1255" w:type="dxa"/>
            <w:tcBorders>
              <w:left w:val="single" w:sz="6" w:space="0" w:color="000000"/>
              <w:bottom w:val="single" w:sz="6" w:space="0" w:color="000000"/>
              <w:right w:val="single" w:sz="6" w:space="0" w:color="000000"/>
            </w:tcBorders>
          </w:tcPr>
          <w:p>
            <w:pPr>
              <w:pStyle w:val="TableParagraph"/>
              <w:spacing w:line="266" w:lineRule="exact" w:before="24"/>
              <w:ind w:left="172" w:right="143"/>
              <w:rPr>
                <w:rFonts w:ascii="宋体" w:eastAsia="宋体" w:hint="eastAsia"/>
                <w:b/>
                <w:sz w:val="21"/>
              </w:rPr>
            </w:pPr>
            <w:r>
              <w:rPr>
                <w:b/>
                <w:sz w:val="21"/>
              </w:rPr>
              <w:t>100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73" w:right="144"/>
              <w:rPr>
                <w:rFonts w:ascii="宋体" w:eastAsia="宋体" w:hint="eastAsia"/>
                <w:b/>
                <w:sz w:val="21"/>
              </w:rPr>
            </w:pPr>
            <w:r>
              <w:rPr>
                <w:b/>
                <w:sz w:val="21"/>
              </w:rPr>
              <w:t>200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line="266" w:lineRule="exact" w:before="24"/>
              <w:ind w:left="172" w:right="146"/>
              <w:rPr>
                <w:rFonts w:ascii="宋体" w:eastAsia="宋体" w:hint="eastAsia"/>
                <w:b/>
                <w:sz w:val="21"/>
              </w:rPr>
            </w:pPr>
            <w:r>
              <w:rPr>
                <w:b/>
                <w:sz w:val="21"/>
              </w:rPr>
              <w:t>400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72" w:right="144"/>
              <w:rPr>
                <w:rFonts w:ascii="宋体" w:eastAsia="宋体" w:hint="eastAsia"/>
                <w:b/>
                <w:sz w:val="21"/>
              </w:rPr>
            </w:pPr>
            <w:r>
              <w:rPr>
                <w:b/>
                <w:sz w:val="21"/>
              </w:rPr>
              <w:t>600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344"/>
              <w:jc w:val="left"/>
              <w:rPr>
                <w:rFonts w:ascii="宋体" w:eastAsia="宋体" w:hint="eastAsia"/>
                <w:b/>
                <w:sz w:val="21"/>
              </w:rPr>
            </w:pPr>
            <w:r>
              <w:rPr>
                <w:b/>
                <w:sz w:val="21"/>
              </w:rPr>
              <w:t>800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line="266" w:lineRule="exact" w:before="24"/>
              <w:ind w:left="169" w:right="146"/>
              <w:rPr>
                <w:rFonts w:ascii="宋体" w:eastAsia="宋体" w:hint="eastAsia"/>
                <w:b/>
                <w:sz w:val="21"/>
              </w:rPr>
            </w:pPr>
            <w:r>
              <w:rPr>
                <w:b/>
                <w:sz w:val="21"/>
              </w:rPr>
              <w:t>1000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290"/>
              <w:jc w:val="left"/>
              <w:rPr>
                <w:rFonts w:ascii="宋体" w:eastAsia="宋体" w:hint="eastAsia"/>
                <w:b/>
                <w:sz w:val="21"/>
              </w:rPr>
            </w:pPr>
            <w:r>
              <w:rPr>
                <w:b/>
                <w:sz w:val="21"/>
              </w:rPr>
              <w:t>1200 </w:t>
            </w:r>
            <w:r>
              <w:rPr>
                <w:rFonts w:ascii="宋体" w:eastAsia="宋体" w:hint="eastAsia"/>
                <w:b/>
                <w:sz w:val="21"/>
              </w:rPr>
              <w:t>天</w:t>
            </w:r>
          </w:p>
        </w:tc>
        <w:tc>
          <w:tcPr>
            <w:tcW w:w="1257" w:type="dxa"/>
            <w:tcBorders>
              <w:left w:val="single" w:sz="6" w:space="0" w:color="000000"/>
              <w:bottom w:val="single" w:sz="6" w:space="0" w:color="000000"/>
              <w:right w:val="single" w:sz="6" w:space="0" w:color="000000"/>
            </w:tcBorders>
          </w:tcPr>
          <w:p>
            <w:pPr>
              <w:pStyle w:val="TableParagraph"/>
              <w:spacing w:line="266" w:lineRule="exact" w:before="24"/>
              <w:ind w:left="170" w:right="148"/>
              <w:rPr>
                <w:rFonts w:ascii="宋体" w:eastAsia="宋体" w:hint="eastAsia"/>
                <w:b/>
                <w:sz w:val="21"/>
              </w:rPr>
            </w:pPr>
            <w:r>
              <w:rPr>
                <w:b/>
                <w:sz w:val="21"/>
              </w:rPr>
              <w:t>1400 </w:t>
            </w:r>
            <w:r>
              <w:rPr>
                <w:rFonts w:ascii="宋体" w:eastAsia="宋体" w:hint="eastAsia"/>
                <w:b/>
                <w:sz w:val="21"/>
              </w:rPr>
              <w:t>天</w:t>
            </w:r>
          </w:p>
        </w:tc>
        <w:tc>
          <w:tcPr>
            <w:tcW w:w="1259" w:type="dxa"/>
            <w:tcBorders>
              <w:left w:val="single" w:sz="6" w:space="0" w:color="000000"/>
              <w:bottom w:val="single" w:sz="6" w:space="0" w:color="000000"/>
              <w:right w:val="single" w:sz="6" w:space="0" w:color="000000"/>
            </w:tcBorders>
          </w:tcPr>
          <w:p>
            <w:pPr>
              <w:pStyle w:val="TableParagraph"/>
              <w:spacing w:line="266" w:lineRule="exact" w:before="24"/>
              <w:ind w:left="168" w:right="151"/>
              <w:rPr>
                <w:rFonts w:ascii="宋体" w:eastAsia="宋体" w:hint="eastAsia"/>
                <w:b/>
                <w:sz w:val="21"/>
              </w:rPr>
            </w:pPr>
            <w:r>
              <w:rPr>
                <w:b/>
                <w:sz w:val="21"/>
              </w:rPr>
              <w:t>1600 </w:t>
            </w:r>
            <w:r>
              <w:rPr>
                <w:rFonts w:ascii="宋体" w:eastAsia="宋体" w:hint="eastAsia"/>
                <w:b/>
                <w:sz w:val="21"/>
              </w:rPr>
              <w:t>天</w:t>
            </w:r>
          </w:p>
        </w:tc>
        <w:tc>
          <w:tcPr>
            <w:tcW w:w="1180" w:type="dxa"/>
            <w:tcBorders>
              <w:left w:val="single" w:sz="6" w:space="0" w:color="000000"/>
              <w:bottom w:val="single" w:sz="6" w:space="0" w:color="000000"/>
            </w:tcBorders>
          </w:tcPr>
          <w:p>
            <w:pPr>
              <w:pStyle w:val="TableParagraph"/>
              <w:spacing w:line="266" w:lineRule="exact" w:before="24"/>
              <w:ind w:left="181" w:right="157"/>
              <w:rPr>
                <w:rFonts w:ascii="宋体" w:eastAsia="宋体" w:hint="eastAsia"/>
                <w:b/>
                <w:sz w:val="21"/>
              </w:rPr>
            </w:pPr>
            <w:r>
              <w:rPr>
                <w:b/>
                <w:sz w:val="21"/>
              </w:rPr>
              <w:t>1800 </w:t>
            </w:r>
            <w:r>
              <w:rPr>
                <w:rFonts w:ascii="宋体" w:eastAsia="宋体" w:hint="eastAsia"/>
                <w:b/>
                <w:sz w:val="21"/>
              </w:rPr>
              <w:t>天</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480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1.03E-232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2.57E-106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2.01E-64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4"/>
              <w:jc w:val="right"/>
              <w:rPr>
                <w:sz w:val="21"/>
              </w:rPr>
            </w:pPr>
            <w:r>
              <w:rPr>
                <w:sz w:val="21"/>
              </w:rPr>
              <w:t>1.20E-43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2.58E-31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3.36E-23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1.70E-17</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2.68E-13</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4.19E-10</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500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1.44E-253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2.24E-116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6.91E-71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2.60E-48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6.71E-35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4.57E-26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7.54E-20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2.89E-15</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9.02E-12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520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2.67E-275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7.06E-127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1.21E-77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3.38E-53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1.16E-38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4.44E-29</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2.51E-22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2.42E-17</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1.55E-13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540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6.51E-298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8.09E-138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1.08E-84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2.66E-58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1.34E-42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3.07E-32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6.25E-25</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1.58E-19</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2.13E-15</w:t>
            </w:r>
          </w:p>
        </w:tc>
      </w:tr>
      <w:tr>
        <w:trPr>
          <w:trHeight w:val="314"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560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5"/>
              <w:rPr>
                <w:sz w:val="21"/>
              </w:rPr>
            </w:pPr>
            <w:r>
              <w:rPr>
                <w:sz w:val="21"/>
              </w:rPr>
              <w:t>3.36E-149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4"/>
              <w:rPr>
                <w:sz w:val="21"/>
              </w:rPr>
            </w:pPr>
            <w:r>
              <w:rPr>
                <w:sz w:val="21"/>
              </w:rPr>
              <w:t>4.88E-92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right="214"/>
              <w:jc w:val="right"/>
              <w:rPr>
                <w:sz w:val="21"/>
              </w:rPr>
            </w:pPr>
            <w:r>
              <w:rPr>
                <w:sz w:val="21"/>
              </w:rPr>
              <w:t>1.26E-63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2" w:right="146"/>
              <w:rPr>
                <w:sz w:val="21"/>
              </w:rPr>
            </w:pPr>
            <w:r>
              <w:rPr>
                <w:sz w:val="21"/>
              </w:rPr>
              <w:t>1.03E-46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right="216"/>
              <w:jc w:val="right"/>
              <w:rPr>
                <w:sz w:val="21"/>
              </w:rPr>
            </w:pPr>
            <w:r>
              <w:rPr>
                <w:sz w:val="21"/>
              </w:rPr>
              <w:t>1.52E-35</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7"/>
              <w:ind w:left="173" w:right="148"/>
              <w:rPr>
                <w:sz w:val="21"/>
              </w:rPr>
            </w:pPr>
            <w:r>
              <w:rPr>
                <w:sz w:val="21"/>
              </w:rPr>
              <w:t>1.16E-27</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7"/>
              <w:ind w:left="171" w:right="151"/>
              <w:rPr>
                <w:sz w:val="21"/>
              </w:rPr>
            </w:pPr>
            <w:r>
              <w:rPr>
                <w:sz w:val="21"/>
              </w:rPr>
              <w:t>7.95E-22</w:t>
            </w:r>
          </w:p>
        </w:tc>
        <w:tc>
          <w:tcPr>
            <w:tcW w:w="1180" w:type="dxa"/>
            <w:tcBorders>
              <w:top w:val="single" w:sz="6" w:space="0" w:color="000000"/>
              <w:left w:val="single" w:sz="6" w:space="0" w:color="000000"/>
              <w:bottom w:val="single" w:sz="6" w:space="0" w:color="000000"/>
            </w:tcBorders>
          </w:tcPr>
          <w:p>
            <w:pPr>
              <w:pStyle w:val="TableParagraph"/>
              <w:spacing w:before="37"/>
              <w:ind w:left="184" w:right="157"/>
              <w:rPr>
                <w:sz w:val="21"/>
              </w:rPr>
            </w:pPr>
            <w:r>
              <w:rPr>
                <w:sz w:val="21"/>
              </w:rPr>
              <w:t>2.33E-17</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580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5.06E-161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1.12E-99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3.58E-69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5.29E-51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5.35E-39</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1.62E-30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3.11E-24</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2.04E-19</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600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2.77E-173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1.32E-107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6.14E-75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1.81E-55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1.34E-42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1.70E-33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9.46E-27</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1.42E-21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620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5.48E-186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7.85E-116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6.35E-81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4.12E-60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2.41E-46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1.33E-36</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2.23E-29</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7.92E-24</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640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3.94E-199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2.38E-124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4"/>
              <w:jc w:val="right"/>
              <w:rPr>
                <w:sz w:val="21"/>
              </w:rPr>
            </w:pPr>
            <w:r>
              <w:rPr>
                <w:sz w:val="21"/>
              </w:rPr>
              <w:t>3.95E-87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6.25E-65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3.07E-50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7.75E-40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4.08E-32</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3.52E-26</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660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1.03E-212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3.67E-133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1.48E-93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6.33E-70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2.80E-54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3.39E-43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5.80E-35</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1.25E-28</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680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9.72E-227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2.87E-142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3.34E-100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4.27E-75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1.82E-58</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1.11E-46</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6.40E-38</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3.54E-31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7"/>
              <w:ind w:left="193" w:right="169"/>
              <w:rPr>
                <w:b/>
                <w:sz w:val="21"/>
              </w:rPr>
            </w:pPr>
            <w:r>
              <w:rPr>
                <w:b/>
                <w:sz w:val="21"/>
              </w:rPr>
              <w:t>700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3.33E-241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1.15E-151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4.54E-107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1.92E-80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8.42E-63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2.73E-50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5.47E-41</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8.00E-34</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720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4.15E-256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2.32E-161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3.71E-114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5.75E-86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2.78E-67</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5.00E-54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3.63E-44</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1.44E-36</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740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1.87E-271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2.39E-171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1.83E-121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1.15E-91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6.56E-72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6.87E-58</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1.87E-47</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2.08E-39</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760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3.06E-287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1.26E-181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5.43E-129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1.53E-97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1.10E-76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7.06E-62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7.48E-51</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2.39E-42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780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1.82E-303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3.35E-192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9.71E-137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1.36E-103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1.32E-81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5.43E-66</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2.32E-54</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2.19E-45</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800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4.54E-203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1.05E-144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8.02E-110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1.13E-86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3.13E-70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5.59E-58</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1.61E-48</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820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3.13E-214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6.78E-153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3.16E-116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6.88E-92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1.35E-74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1.04E-61</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9.40E-52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840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1.10E-225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2.65E-161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8.31E-123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2.99E-97</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4.35E-79</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1.51E-65</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4.39E-55</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860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1.96E-237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6.23E-170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1.46E-129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9.27E-103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1.05E-83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1.70E-69</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1.64E-58</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880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1.78E-249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8.82E-179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1.70E-136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3"/>
              <w:jc w:val="right"/>
              <w:rPr>
                <w:sz w:val="21"/>
              </w:rPr>
            </w:pPr>
            <w:r>
              <w:rPr>
                <w:sz w:val="21"/>
              </w:rPr>
              <w:t>2.05E-108</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1.90E-88</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1.49E-73</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4.86E-62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8.21E-262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7.52E-188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1.32E-143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3.23E-114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2.56E-93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1.01E-77</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1.15E-65</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1.93E-274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3.86E-197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6.85E-151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3.63E-120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2.59E-98</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5.30E-82</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2.19E-69</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2.30E-287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1.19E-206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2.37E-158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2.91E-126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1.96E-103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2.16E-86</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3.31E-73</w:t>
            </w:r>
          </w:p>
        </w:tc>
      </w:tr>
      <w:tr>
        <w:trPr>
          <w:trHeight w:val="314"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960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1.40E-300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2.23E-216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5.45E-166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3"/>
              <w:jc w:val="right"/>
              <w:rPr>
                <w:sz w:val="21"/>
              </w:rPr>
            </w:pPr>
            <w:r>
              <w:rPr>
                <w:sz w:val="21"/>
              </w:rPr>
              <w:t>1.66E-132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1.11E-108</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6.86E-91</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4.00E-77</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4.31E-314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2.50E-226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8.37E-174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6.78E-139</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4.72E-114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1.69E-95</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3.85E-81</w:t>
            </w:r>
          </w:p>
        </w:tc>
      </w:tr>
      <w:tr>
        <w:trPr>
          <w:trHeight w:val="311" w:hRule="atLeast"/>
        </w:trPr>
        <w:tc>
          <w:tcPr>
            <w:tcW w:w="1692" w:type="dxa"/>
            <w:tcBorders>
              <w:top w:val="single" w:sz="6" w:space="0" w:color="000000"/>
              <w:right w:val="single" w:sz="6" w:space="0" w:color="000000"/>
            </w:tcBorders>
          </w:tcPr>
          <w:p>
            <w:pPr>
              <w:pStyle w:val="TableParagraph"/>
              <w:spacing w:before="36"/>
              <w:ind w:left="193" w:right="169"/>
              <w:rPr>
                <w:b/>
                <w:sz w:val="21"/>
              </w:rPr>
            </w:pPr>
            <w:r>
              <w:rPr>
                <w:b/>
                <w:sz w:val="21"/>
              </w:rPr>
              <w:t>1000</w:t>
            </w:r>
          </w:p>
        </w:tc>
        <w:tc>
          <w:tcPr>
            <w:tcW w:w="1255" w:type="dxa"/>
            <w:tcBorders>
              <w:top w:val="single" w:sz="6" w:space="0" w:color="000000"/>
              <w:left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4"/>
              <w:ind w:left="174" w:right="144"/>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4"/>
              <w:ind w:right="162"/>
              <w:jc w:val="right"/>
              <w:rPr>
                <w:sz w:val="21"/>
              </w:rPr>
            </w:pPr>
            <w:r>
              <w:rPr>
                <w:sz w:val="21"/>
              </w:rPr>
              <w:t>1.69E-236</w:t>
            </w:r>
          </w:p>
        </w:tc>
        <w:tc>
          <w:tcPr>
            <w:tcW w:w="1258" w:type="dxa"/>
            <w:tcBorders>
              <w:top w:val="single" w:sz="6" w:space="0" w:color="000000"/>
              <w:left w:val="single" w:sz="6" w:space="0" w:color="000000"/>
              <w:right w:val="single" w:sz="6" w:space="0" w:color="000000"/>
            </w:tcBorders>
          </w:tcPr>
          <w:p>
            <w:pPr>
              <w:pStyle w:val="TableParagraph"/>
              <w:spacing w:before="34"/>
              <w:ind w:left="172" w:right="146"/>
              <w:rPr>
                <w:sz w:val="21"/>
              </w:rPr>
            </w:pPr>
            <w:r>
              <w:rPr>
                <w:sz w:val="21"/>
              </w:rPr>
              <w:t>8.57E-182</w:t>
            </w:r>
          </w:p>
        </w:tc>
        <w:tc>
          <w:tcPr>
            <w:tcW w:w="1256" w:type="dxa"/>
            <w:tcBorders>
              <w:top w:val="single" w:sz="6" w:space="0" w:color="000000"/>
              <w:left w:val="single" w:sz="6" w:space="0" w:color="000000"/>
              <w:right w:val="single" w:sz="6" w:space="0" w:color="000000"/>
            </w:tcBorders>
          </w:tcPr>
          <w:p>
            <w:pPr>
              <w:pStyle w:val="TableParagraph"/>
              <w:spacing w:before="34"/>
              <w:ind w:right="163"/>
              <w:jc w:val="right"/>
              <w:rPr>
                <w:sz w:val="21"/>
              </w:rPr>
            </w:pPr>
            <w:r>
              <w:rPr>
                <w:sz w:val="21"/>
              </w:rPr>
              <w:t>1.97E-145</w:t>
            </w:r>
          </w:p>
        </w:tc>
        <w:tc>
          <w:tcPr>
            <w:tcW w:w="1257" w:type="dxa"/>
            <w:tcBorders>
              <w:top w:val="single" w:sz="6" w:space="0" w:color="000000"/>
              <w:left w:val="single" w:sz="6" w:space="0" w:color="000000"/>
              <w:right w:val="single" w:sz="6" w:space="0" w:color="000000"/>
            </w:tcBorders>
          </w:tcPr>
          <w:p>
            <w:pPr>
              <w:pStyle w:val="TableParagraph"/>
              <w:spacing w:before="34"/>
              <w:ind w:left="173" w:right="148"/>
              <w:rPr>
                <w:sz w:val="21"/>
              </w:rPr>
            </w:pPr>
            <w:r>
              <w:rPr>
                <w:sz w:val="21"/>
              </w:rPr>
              <w:t>1.50E-119</w:t>
            </w:r>
          </w:p>
        </w:tc>
        <w:tc>
          <w:tcPr>
            <w:tcW w:w="1259" w:type="dxa"/>
            <w:tcBorders>
              <w:top w:val="single" w:sz="6" w:space="0" w:color="000000"/>
              <w:left w:val="single" w:sz="6" w:space="0" w:color="000000"/>
              <w:right w:val="single" w:sz="6" w:space="0" w:color="000000"/>
            </w:tcBorders>
          </w:tcPr>
          <w:p>
            <w:pPr>
              <w:pStyle w:val="TableParagraph"/>
              <w:spacing w:before="34"/>
              <w:ind w:left="171" w:right="151"/>
              <w:rPr>
                <w:sz w:val="21"/>
              </w:rPr>
            </w:pPr>
            <w:r>
              <w:rPr>
                <w:sz w:val="21"/>
              </w:rPr>
              <w:t>3.21E-100</w:t>
            </w:r>
          </w:p>
        </w:tc>
        <w:tc>
          <w:tcPr>
            <w:tcW w:w="1180" w:type="dxa"/>
            <w:tcBorders>
              <w:top w:val="single" w:sz="6" w:space="0" w:color="000000"/>
              <w:left w:val="single" w:sz="6" w:space="0" w:color="000000"/>
            </w:tcBorders>
          </w:tcPr>
          <w:p>
            <w:pPr>
              <w:pStyle w:val="TableParagraph"/>
              <w:spacing w:before="34"/>
              <w:ind w:left="184" w:right="157"/>
              <w:rPr>
                <w:sz w:val="21"/>
              </w:rPr>
            </w:pPr>
            <w:r>
              <w:rPr>
                <w:sz w:val="21"/>
              </w:rPr>
              <w:t>2.96E-85</w:t>
            </w:r>
          </w:p>
        </w:tc>
      </w:tr>
    </w:tbl>
    <w:p>
      <w:pPr>
        <w:spacing w:after="0"/>
        <w:rPr>
          <w:sz w:val="21"/>
        </w:rPr>
        <w:sectPr>
          <w:footerReference w:type="default" r:id="rId77"/>
          <w:pgSz w:w="16840" w:h="11910" w:orient="landscape"/>
          <w:pgMar w:footer="1004" w:header="874" w:top="1100" w:bottom="1200" w:left="1200" w:right="1200"/>
        </w:sectPr>
      </w:pPr>
    </w:p>
    <w:p>
      <w:pPr>
        <w:pStyle w:val="BodyText"/>
        <w:spacing w:before="10"/>
        <w:ind w:left="0"/>
        <w:rPr>
          <w:rFonts w:ascii="Times New Roman"/>
          <w:sz w:val="25"/>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2"/>
        <w:gridCol w:w="1255"/>
        <w:gridCol w:w="1256"/>
        <w:gridCol w:w="1258"/>
        <w:gridCol w:w="1256"/>
        <w:gridCol w:w="1256"/>
        <w:gridCol w:w="1258"/>
        <w:gridCol w:w="1256"/>
        <w:gridCol w:w="1257"/>
        <w:gridCol w:w="1259"/>
        <w:gridCol w:w="1180"/>
      </w:tblGrid>
      <w:tr>
        <w:trPr>
          <w:trHeight w:val="311" w:hRule="atLeast"/>
        </w:trPr>
        <w:tc>
          <w:tcPr>
            <w:tcW w:w="1692" w:type="dxa"/>
            <w:tcBorders>
              <w:bottom w:val="single" w:sz="6" w:space="0" w:color="000000"/>
              <w:right w:val="single" w:sz="6" w:space="0" w:color="000000"/>
            </w:tcBorders>
          </w:tcPr>
          <w:p>
            <w:pPr>
              <w:pStyle w:val="TableParagraph"/>
              <w:spacing w:line="266" w:lineRule="exact" w:before="24"/>
              <w:ind w:left="193" w:right="170"/>
              <w:rPr>
                <w:rFonts w:ascii="宋体" w:eastAsia="宋体" w:hint="eastAsia"/>
                <w:b/>
                <w:sz w:val="21"/>
              </w:rPr>
            </w:pPr>
            <w:r>
              <w:rPr>
                <w:rFonts w:ascii="宋体" w:eastAsia="宋体" w:hint="eastAsia"/>
                <w:b/>
                <w:sz w:val="21"/>
              </w:rPr>
              <w:t>泄露持续时间</w:t>
            </w:r>
          </w:p>
        </w:tc>
        <w:tc>
          <w:tcPr>
            <w:tcW w:w="1255" w:type="dxa"/>
            <w:tcBorders>
              <w:left w:val="single" w:sz="6" w:space="0" w:color="000000"/>
              <w:bottom w:val="single" w:sz="6" w:space="0" w:color="000000"/>
              <w:right w:val="single" w:sz="6" w:space="0" w:color="000000"/>
            </w:tcBorders>
          </w:tcPr>
          <w:p>
            <w:pPr>
              <w:pStyle w:val="TableParagraph"/>
              <w:spacing w:line="266" w:lineRule="exact" w:before="24"/>
              <w:ind w:left="172" w:right="143"/>
              <w:rPr>
                <w:rFonts w:ascii="宋体" w:eastAsia="宋体" w:hint="eastAsia"/>
                <w:b/>
                <w:sz w:val="21"/>
              </w:rPr>
            </w:pPr>
            <w:r>
              <w:rPr>
                <w:b/>
                <w:sz w:val="21"/>
              </w:rPr>
              <w:t>100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73" w:right="144"/>
              <w:rPr>
                <w:rFonts w:ascii="宋体" w:eastAsia="宋体" w:hint="eastAsia"/>
                <w:b/>
                <w:sz w:val="21"/>
              </w:rPr>
            </w:pPr>
            <w:r>
              <w:rPr>
                <w:b/>
                <w:sz w:val="21"/>
              </w:rPr>
              <w:t>200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line="266" w:lineRule="exact" w:before="24"/>
              <w:ind w:left="172" w:right="146"/>
              <w:rPr>
                <w:rFonts w:ascii="宋体" w:eastAsia="宋体" w:hint="eastAsia"/>
                <w:b/>
                <w:sz w:val="21"/>
              </w:rPr>
            </w:pPr>
            <w:r>
              <w:rPr>
                <w:b/>
                <w:sz w:val="21"/>
              </w:rPr>
              <w:t>400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72" w:right="144"/>
              <w:rPr>
                <w:rFonts w:ascii="宋体" w:eastAsia="宋体" w:hint="eastAsia"/>
                <w:b/>
                <w:sz w:val="21"/>
              </w:rPr>
            </w:pPr>
            <w:r>
              <w:rPr>
                <w:b/>
                <w:sz w:val="21"/>
              </w:rPr>
              <w:t>600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70" w:right="144"/>
              <w:rPr>
                <w:rFonts w:ascii="宋体" w:eastAsia="宋体" w:hint="eastAsia"/>
                <w:b/>
                <w:sz w:val="21"/>
              </w:rPr>
            </w:pPr>
            <w:r>
              <w:rPr>
                <w:b/>
                <w:sz w:val="21"/>
              </w:rPr>
              <w:t>800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line="266" w:lineRule="exact" w:before="24"/>
              <w:ind w:left="169" w:right="146"/>
              <w:rPr>
                <w:rFonts w:ascii="宋体" w:eastAsia="宋体" w:hint="eastAsia"/>
                <w:b/>
                <w:sz w:val="21"/>
              </w:rPr>
            </w:pPr>
            <w:r>
              <w:rPr>
                <w:b/>
                <w:sz w:val="21"/>
              </w:rPr>
              <w:t>1000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68" w:right="144"/>
              <w:rPr>
                <w:rFonts w:ascii="宋体" w:eastAsia="宋体" w:hint="eastAsia"/>
                <w:b/>
                <w:sz w:val="21"/>
              </w:rPr>
            </w:pPr>
            <w:r>
              <w:rPr>
                <w:b/>
                <w:sz w:val="21"/>
              </w:rPr>
              <w:t>1200 </w:t>
            </w:r>
            <w:r>
              <w:rPr>
                <w:rFonts w:ascii="宋体" w:eastAsia="宋体" w:hint="eastAsia"/>
                <w:b/>
                <w:sz w:val="21"/>
              </w:rPr>
              <w:t>天</w:t>
            </w:r>
          </w:p>
        </w:tc>
        <w:tc>
          <w:tcPr>
            <w:tcW w:w="1257" w:type="dxa"/>
            <w:tcBorders>
              <w:left w:val="single" w:sz="6" w:space="0" w:color="000000"/>
              <w:bottom w:val="single" w:sz="6" w:space="0" w:color="000000"/>
              <w:right w:val="single" w:sz="6" w:space="0" w:color="000000"/>
            </w:tcBorders>
          </w:tcPr>
          <w:p>
            <w:pPr>
              <w:pStyle w:val="TableParagraph"/>
              <w:spacing w:line="266" w:lineRule="exact" w:before="24"/>
              <w:ind w:right="265"/>
              <w:jc w:val="right"/>
              <w:rPr>
                <w:rFonts w:ascii="宋体" w:eastAsia="宋体" w:hint="eastAsia"/>
                <w:b/>
                <w:sz w:val="21"/>
              </w:rPr>
            </w:pPr>
            <w:r>
              <w:rPr>
                <w:b/>
                <w:sz w:val="21"/>
              </w:rPr>
              <w:t>1400 </w:t>
            </w:r>
            <w:r>
              <w:rPr>
                <w:rFonts w:ascii="宋体" w:eastAsia="宋体" w:hint="eastAsia"/>
                <w:b/>
                <w:sz w:val="21"/>
              </w:rPr>
              <w:t>天</w:t>
            </w:r>
          </w:p>
        </w:tc>
        <w:tc>
          <w:tcPr>
            <w:tcW w:w="1259" w:type="dxa"/>
            <w:tcBorders>
              <w:left w:val="single" w:sz="6" w:space="0" w:color="000000"/>
              <w:bottom w:val="single" w:sz="6" w:space="0" w:color="000000"/>
              <w:right w:val="single" w:sz="6" w:space="0" w:color="000000"/>
            </w:tcBorders>
          </w:tcPr>
          <w:p>
            <w:pPr>
              <w:pStyle w:val="TableParagraph"/>
              <w:spacing w:line="266" w:lineRule="exact" w:before="24"/>
              <w:ind w:left="168" w:right="151"/>
              <w:rPr>
                <w:rFonts w:ascii="宋体" w:eastAsia="宋体" w:hint="eastAsia"/>
                <w:b/>
                <w:sz w:val="21"/>
              </w:rPr>
            </w:pPr>
            <w:r>
              <w:rPr>
                <w:b/>
                <w:sz w:val="21"/>
              </w:rPr>
              <w:t>1600 </w:t>
            </w:r>
            <w:r>
              <w:rPr>
                <w:rFonts w:ascii="宋体" w:eastAsia="宋体" w:hint="eastAsia"/>
                <w:b/>
                <w:sz w:val="21"/>
              </w:rPr>
              <w:t>天</w:t>
            </w:r>
          </w:p>
        </w:tc>
        <w:tc>
          <w:tcPr>
            <w:tcW w:w="1180" w:type="dxa"/>
            <w:tcBorders>
              <w:left w:val="single" w:sz="6" w:space="0" w:color="000000"/>
              <w:bottom w:val="single" w:sz="6" w:space="0" w:color="000000"/>
            </w:tcBorders>
          </w:tcPr>
          <w:p>
            <w:pPr>
              <w:pStyle w:val="TableParagraph"/>
              <w:spacing w:line="266" w:lineRule="exact" w:before="24"/>
              <w:ind w:right="222"/>
              <w:jc w:val="right"/>
              <w:rPr>
                <w:rFonts w:ascii="宋体" w:eastAsia="宋体" w:hint="eastAsia"/>
                <w:b/>
                <w:sz w:val="21"/>
              </w:rPr>
            </w:pPr>
            <w:r>
              <w:rPr>
                <w:b/>
                <w:sz w:val="21"/>
              </w:rPr>
              <w:t>1800 </w:t>
            </w:r>
            <w:r>
              <w:rPr>
                <w:rFonts w:ascii="宋体" w:eastAsia="宋体" w:hint="eastAsia"/>
                <w:b/>
                <w:sz w:val="21"/>
              </w:rPr>
              <w:t>天</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8"/>
              <w:rPr>
                <w:b/>
                <w:sz w:val="21"/>
              </w:rPr>
            </w:pPr>
            <w:r>
              <w:rPr>
                <w:b/>
                <w:sz w:val="21"/>
              </w:rPr>
              <w:t>x(m)</w:t>
            </w:r>
          </w:p>
        </w:tc>
        <w:tc>
          <w:tcPr>
            <w:tcW w:w="12491" w:type="dxa"/>
            <w:gridSpan w:val="10"/>
            <w:tcBorders>
              <w:top w:val="single" w:sz="6" w:space="0" w:color="000000"/>
              <w:left w:val="single" w:sz="6" w:space="0" w:color="000000"/>
              <w:bottom w:val="single" w:sz="6" w:space="0" w:color="000000"/>
            </w:tcBorders>
          </w:tcPr>
          <w:p>
            <w:pPr>
              <w:pStyle w:val="TableParagraph"/>
              <w:spacing w:before="24"/>
              <w:ind w:left="5186" w:right="5159"/>
              <w:rPr>
                <w:rFonts w:ascii="宋体" w:eastAsia="宋体" w:hint="eastAsia"/>
                <w:b/>
                <w:sz w:val="21"/>
              </w:rPr>
            </w:pPr>
            <w:r>
              <w:rPr>
                <w:rFonts w:ascii="宋体" w:eastAsia="宋体" w:hint="eastAsia"/>
                <w:b/>
                <w:position w:val="2"/>
                <w:sz w:val="21"/>
              </w:rPr>
              <w:t>下游 </w:t>
            </w:r>
            <w:r>
              <w:rPr>
                <w:b/>
                <w:position w:val="2"/>
                <w:sz w:val="21"/>
              </w:rPr>
              <w:t>NH</w:t>
            </w:r>
            <w:r>
              <w:rPr>
                <w:b/>
                <w:sz w:val="14"/>
              </w:rPr>
              <w:t>3</w:t>
            </w:r>
            <w:r>
              <w:rPr>
                <w:b/>
                <w:position w:val="2"/>
                <w:sz w:val="21"/>
              </w:rPr>
              <w:t>-N </w:t>
            </w:r>
            <w:r>
              <w:rPr>
                <w:rFonts w:ascii="宋体" w:eastAsia="宋体" w:hint="eastAsia"/>
                <w:b/>
                <w:position w:val="2"/>
                <w:sz w:val="21"/>
              </w:rPr>
              <w:t>预测结果</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
              <w:rPr>
                <w:b/>
                <w:sz w:val="21"/>
              </w:rPr>
            </w:pPr>
            <w:r>
              <w:rPr>
                <w:b/>
                <w:w w:val="100"/>
                <w:sz w:val="21"/>
              </w:rPr>
              <w:t>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shd w:fill="D9D9D9" w:color="auto" w:val="clear"/>
              </w:rPr>
              <w:t>2.83E+03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shd w:fill="D9D9D9" w:color="auto" w:val="clear"/>
              </w:rPr>
              <w:t>1.41E+03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4.97E+02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2.02E+02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8.68E+01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3.86E+01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1.75E+01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8.07E+00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3.75E+00</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1.76E+00</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89" w:right="170"/>
              <w:rPr>
                <w:b/>
                <w:sz w:val="21"/>
              </w:rPr>
            </w:pPr>
            <w:r>
              <w:rPr>
                <w:b/>
                <w:sz w:val="21"/>
              </w:rPr>
              <w:t>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shd w:fill="D9D9D9" w:color="auto" w:val="clear"/>
              </w:rPr>
              <w:t>2.01E+03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shd w:fill="D9D9D9" w:color="auto" w:val="clear"/>
              </w:rPr>
              <w:t>2.76E+03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1.61E+03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7.74E+02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3.63E+02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1.70E+02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7.97E+01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3.76E+01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1.78E+01</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8.47E+00</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89" w:right="170"/>
              <w:rPr>
                <w:b/>
                <w:sz w:val="21"/>
              </w:rPr>
            </w:pPr>
            <w:r>
              <w:rPr>
                <w:b/>
                <w:sz w:val="21"/>
              </w:rPr>
              <w:t>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shd w:fill="D9D9D9" w:color="auto" w:val="clear"/>
              </w:rPr>
              <w:t>2.46E+01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shd w:fill="D9D9D9" w:color="auto" w:val="clear"/>
              </w:rPr>
              <w:t>7.09E+02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1.89E+03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1.51E+03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9.13E+02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4.97E+02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2.59E+02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1.31E+02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6.55E+01</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3.25E+01</w:t>
            </w:r>
          </w:p>
        </w:tc>
      </w:tr>
      <w:tr>
        <w:trPr>
          <w:trHeight w:val="314" w:hRule="atLeast"/>
        </w:trPr>
        <w:tc>
          <w:tcPr>
            <w:tcW w:w="1692" w:type="dxa"/>
            <w:tcBorders>
              <w:top w:val="single" w:sz="6" w:space="0" w:color="000000"/>
              <w:bottom w:val="single" w:sz="6" w:space="0" w:color="000000"/>
              <w:right w:val="single" w:sz="6" w:space="0" w:color="000000"/>
            </w:tcBorders>
          </w:tcPr>
          <w:p>
            <w:pPr>
              <w:pStyle w:val="TableParagraph"/>
              <w:spacing w:before="39"/>
              <w:ind w:left="189" w:right="170"/>
              <w:rPr>
                <w:b/>
                <w:sz w:val="21"/>
              </w:rPr>
            </w:pPr>
            <w:r>
              <w:rPr>
                <w:b/>
                <w:sz w:val="21"/>
              </w:rPr>
              <w:t>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7"/>
              <w:ind w:left="175" w:right="143"/>
              <w:rPr>
                <w:sz w:val="21"/>
              </w:rPr>
            </w:pPr>
            <w:r>
              <w:rPr>
                <w:sz w:val="21"/>
              </w:rPr>
              <w:t>5.22E-03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5" w:right="144"/>
              <w:rPr>
                <w:sz w:val="21"/>
              </w:rPr>
            </w:pPr>
            <w:r>
              <w:rPr>
                <w:sz w:val="21"/>
                <w:shd w:fill="D9D9D9" w:color="auto" w:val="clear"/>
              </w:rPr>
              <w:t>2.40E+01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6"/>
              <w:rPr>
                <w:sz w:val="21"/>
              </w:rPr>
            </w:pPr>
            <w:r>
              <w:rPr>
                <w:sz w:val="21"/>
                <w:shd w:fill="D9D9D9" w:color="auto" w:val="clear"/>
              </w:rPr>
              <w:t>8.08E+02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4"/>
              <w:rPr>
                <w:sz w:val="21"/>
              </w:rPr>
            </w:pPr>
            <w:r>
              <w:rPr>
                <w:sz w:val="21"/>
                <w:shd w:fill="D9D9D9" w:color="auto" w:val="clear"/>
              </w:rPr>
              <w:t>1.50E+03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2" w:right="144"/>
              <w:rPr>
                <w:sz w:val="21"/>
              </w:rPr>
            </w:pPr>
            <w:r>
              <w:rPr>
                <w:sz w:val="21"/>
                <w:shd w:fill="D9D9D9" w:color="auto" w:val="clear"/>
              </w:rPr>
              <w:t>1.38E+03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1" w:right="146"/>
              <w:rPr>
                <w:sz w:val="21"/>
              </w:rPr>
            </w:pPr>
            <w:r>
              <w:rPr>
                <w:sz w:val="21"/>
                <w:shd w:fill="D9D9D9" w:color="auto" w:val="clear"/>
              </w:rPr>
              <w:t>9.72E+02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44"/>
              <w:rPr>
                <w:sz w:val="21"/>
              </w:rPr>
            </w:pPr>
            <w:r>
              <w:rPr>
                <w:sz w:val="21"/>
                <w:shd w:fill="D9D9D9" w:color="auto" w:val="clear"/>
              </w:rPr>
              <w:t>5.98E+02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7"/>
              <w:ind w:right="194"/>
              <w:jc w:val="right"/>
              <w:rPr>
                <w:sz w:val="21"/>
              </w:rPr>
            </w:pPr>
            <w:r>
              <w:rPr>
                <w:sz w:val="21"/>
                <w:shd w:fill="D9D9D9" w:color="auto" w:val="clear"/>
              </w:rPr>
              <w:t>3.42E+02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7"/>
              <w:ind w:left="170" w:right="151"/>
              <w:rPr>
                <w:sz w:val="21"/>
              </w:rPr>
            </w:pPr>
            <w:r>
              <w:rPr>
                <w:sz w:val="21"/>
                <w:shd w:fill="D9D9D9" w:color="auto" w:val="clear"/>
              </w:rPr>
              <w:t>1.87E+02</w:t>
            </w:r>
          </w:p>
        </w:tc>
        <w:tc>
          <w:tcPr>
            <w:tcW w:w="1180" w:type="dxa"/>
            <w:tcBorders>
              <w:top w:val="single" w:sz="6" w:space="0" w:color="000000"/>
              <w:left w:val="single" w:sz="6" w:space="0" w:color="000000"/>
              <w:bottom w:val="single" w:sz="6" w:space="0" w:color="000000"/>
            </w:tcBorders>
          </w:tcPr>
          <w:p>
            <w:pPr>
              <w:pStyle w:val="TableParagraph"/>
              <w:spacing w:before="37"/>
              <w:ind w:right="150"/>
              <w:jc w:val="right"/>
              <w:rPr>
                <w:sz w:val="21"/>
              </w:rPr>
            </w:pPr>
            <w:r>
              <w:rPr>
                <w:sz w:val="21"/>
                <w:shd w:fill="D9D9D9" w:color="auto" w:val="clear"/>
              </w:rPr>
              <w:t>9.96E+01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89" w:right="170"/>
              <w:rPr>
                <w:b/>
                <w:sz w:val="21"/>
              </w:rPr>
            </w:pPr>
            <w:r>
              <w:rPr>
                <w:b/>
                <w:sz w:val="21"/>
              </w:rPr>
              <w:t>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1.91E-08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1.06E-01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1.25E+02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7.59E+02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1.26E+03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1.26E+03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9.86E+02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6.68E+02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4.15E+02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2.44E+02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1.22E-15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6.23E-05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shd w:fill="D9D9D9" w:color="auto" w:val="clear"/>
              </w:rPr>
              <w:t>7.02E+00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1.95E+02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6.94E+02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1.10E+03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1.16E+03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9.76E+02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7.14E+02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4.76E+02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1.34E-24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4.79E-09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1.43E-01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shd w:fill="D9D9D9" w:color="auto" w:val="clear"/>
              </w:rPr>
              <w:t>2.55E+01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2.30E+02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6.35E+02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9.73E+02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1.07E+03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9.54E+02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7.42E+02</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140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2.54E-35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4.85E-14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1.05E-03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shd w:fill="D9D9D9" w:color="auto" w:val="clear"/>
              </w:rPr>
              <w:t>1.69E+00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4"/>
              <w:rPr>
                <w:sz w:val="21"/>
              </w:rPr>
            </w:pPr>
            <w:r>
              <w:rPr>
                <w:sz w:val="21"/>
                <w:shd w:fill="D9D9D9" w:color="auto" w:val="clear"/>
              </w:rPr>
              <w:t>4.58E+01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46"/>
              <w:rPr>
                <w:sz w:val="21"/>
              </w:rPr>
            </w:pPr>
            <w:r>
              <w:rPr>
                <w:sz w:val="21"/>
                <w:shd w:fill="D9D9D9" w:color="auto" w:val="clear"/>
              </w:rPr>
              <w:t>2.45E+02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44"/>
              <w:rPr>
                <w:sz w:val="21"/>
              </w:rPr>
            </w:pPr>
            <w:r>
              <w:rPr>
                <w:sz w:val="21"/>
                <w:shd w:fill="D9D9D9" w:color="auto" w:val="clear"/>
              </w:rPr>
              <w:t>5.82E+02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194"/>
              <w:jc w:val="right"/>
              <w:rPr>
                <w:sz w:val="21"/>
              </w:rPr>
            </w:pPr>
            <w:r>
              <w:rPr>
                <w:sz w:val="21"/>
                <w:shd w:fill="D9D9D9" w:color="auto" w:val="clear"/>
              </w:rPr>
              <w:t>8.75E+02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51"/>
              <w:rPr>
                <w:sz w:val="21"/>
              </w:rPr>
            </w:pPr>
            <w:r>
              <w:rPr>
                <w:sz w:val="21"/>
                <w:shd w:fill="D9D9D9" w:color="auto" w:val="clear"/>
              </w:rPr>
              <w:t>9.88E+02</w:t>
            </w:r>
          </w:p>
        </w:tc>
        <w:tc>
          <w:tcPr>
            <w:tcW w:w="1180" w:type="dxa"/>
            <w:tcBorders>
              <w:top w:val="single" w:sz="6" w:space="0" w:color="000000"/>
              <w:left w:val="single" w:sz="6" w:space="0" w:color="000000"/>
              <w:bottom w:val="single" w:sz="6" w:space="0" w:color="000000"/>
            </w:tcBorders>
          </w:tcPr>
          <w:p>
            <w:pPr>
              <w:pStyle w:val="TableParagraph"/>
              <w:spacing w:before="36"/>
              <w:ind w:right="150"/>
              <w:jc w:val="right"/>
              <w:rPr>
                <w:sz w:val="21"/>
              </w:rPr>
            </w:pPr>
            <w:r>
              <w:rPr>
                <w:sz w:val="21"/>
                <w:shd w:fill="D9D9D9" w:color="auto" w:val="clear"/>
              </w:rPr>
              <w:t>9.24E+02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8.37E-48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6.45E-20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2.82E-06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5.72E-02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4"/>
              <w:rPr>
                <w:sz w:val="21"/>
              </w:rPr>
            </w:pPr>
            <w:r>
              <w:rPr>
                <w:sz w:val="21"/>
                <w:shd w:fill="D9D9D9" w:color="auto" w:val="clear"/>
              </w:rPr>
              <w:t>5.50E+00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6.28E+01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2.48E+02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5.36E+02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7.94E+02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9.17E+02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180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4.77E-62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1.13E-26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2.74E-09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9.83E-04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3.98E-01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1.08E+01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7.55E+01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2.46E+02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4.96E+02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7.27E+02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7"/>
              <w:ind w:left="193" w:right="169"/>
              <w:rPr>
                <w:b/>
                <w:sz w:val="21"/>
              </w:rPr>
            </w:pPr>
            <w:r>
              <w:rPr>
                <w:b/>
                <w:sz w:val="21"/>
              </w:rPr>
              <w:t>200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4.70E-78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2.60E-34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9.65E-13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8.59E-06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1.73E-02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6"/>
              <w:rPr>
                <w:sz w:val="21"/>
              </w:rPr>
            </w:pPr>
            <w:r>
              <w:rPr>
                <w:sz w:val="21"/>
                <w:shd w:fill="D9D9D9" w:color="auto" w:val="clear"/>
              </w:rPr>
              <w:t>1.23E+00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44"/>
              <w:rPr>
                <w:sz w:val="21"/>
              </w:rPr>
            </w:pPr>
            <w:r>
              <w:rPr>
                <w:sz w:val="21"/>
                <w:shd w:fill="D9D9D9" w:color="auto" w:val="clear"/>
              </w:rPr>
              <w:t>1.64E+01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8.44E+01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2.40E+02</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4.60E+02</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220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8.01E-96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7.89E-43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1.23E-16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3.82E-08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4"/>
              <w:rPr>
                <w:sz w:val="21"/>
              </w:rPr>
            </w:pPr>
            <w:r>
              <w:rPr>
                <w:sz w:val="21"/>
              </w:rPr>
              <w:t>4.55E-04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9.34E-02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44"/>
              <w:rPr>
                <w:sz w:val="21"/>
              </w:rPr>
            </w:pPr>
            <w:r>
              <w:rPr>
                <w:sz w:val="21"/>
                <w:shd w:fill="D9D9D9" w:color="auto" w:val="clear"/>
              </w:rPr>
              <w:t>2.53E+00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194"/>
              <w:jc w:val="right"/>
              <w:rPr>
                <w:sz w:val="21"/>
              </w:rPr>
            </w:pPr>
            <w:r>
              <w:rPr>
                <w:sz w:val="21"/>
                <w:shd w:fill="D9D9D9" w:color="auto" w:val="clear"/>
              </w:rPr>
              <w:t>2.17E+01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0" w:right="151"/>
              <w:rPr>
                <w:sz w:val="21"/>
              </w:rPr>
            </w:pPr>
            <w:r>
              <w:rPr>
                <w:sz w:val="21"/>
                <w:shd w:fill="D9D9D9" w:color="auto" w:val="clear"/>
              </w:rPr>
              <w:t>9.02E+01</w:t>
            </w:r>
          </w:p>
        </w:tc>
        <w:tc>
          <w:tcPr>
            <w:tcW w:w="1180" w:type="dxa"/>
            <w:tcBorders>
              <w:top w:val="single" w:sz="6" w:space="0" w:color="000000"/>
              <w:left w:val="single" w:sz="6" w:space="0" w:color="000000"/>
              <w:bottom w:val="single" w:sz="6" w:space="0" w:color="000000"/>
            </w:tcBorders>
          </w:tcPr>
          <w:p>
            <w:pPr>
              <w:pStyle w:val="TableParagraph"/>
              <w:spacing w:before="36"/>
              <w:ind w:right="150"/>
              <w:jc w:val="right"/>
              <w:rPr>
                <w:sz w:val="21"/>
              </w:rPr>
            </w:pPr>
            <w:r>
              <w:rPr>
                <w:sz w:val="21"/>
                <w:shd w:fill="D9D9D9" w:color="auto" w:val="clear"/>
              </w:rPr>
              <w:t>2.33E+02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240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2.36E-115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3.15E-52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5.71E-21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8.64E-11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7.18E-06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4.74E-03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2.80E-01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194"/>
              <w:jc w:val="right"/>
              <w:rPr>
                <w:sz w:val="21"/>
              </w:rPr>
            </w:pPr>
            <w:r>
              <w:rPr>
                <w:sz w:val="21"/>
                <w:shd w:fill="D9D9D9" w:color="auto" w:val="clear"/>
              </w:rPr>
              <w:t>4.17E+00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2.63E+01</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9.38E+01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260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1.21E-136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1.65E-62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9.60E-26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9.93E-14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6.83E-08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1.60E-04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2.20E-02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shd w:fill="D9D9D9" w:color="auto" w:val="clear"/>
              </w:rPr>
              <w:t>6.00E-01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5.95E+00</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3.02E+01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280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1.07E-159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1.14E-73</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5.85E-31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5.81E-17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3.91E-10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3.61E-06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1.24E-03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6.46E-02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0" w:right="151"/>
              <w:rPr>
                <w:sz w:val="21"/>
              </w:rPr>
            </w:pPr>
            <w:r>
              <w:rPr>
                <w:sz w:val="21"/>
                <w:shd w:fill="D9D9D9" w:color="auto" w:val="clear"/>
              </w:rPr>
              <w:t>1.05E+00</w:t>
            </w:r>
          </w:p>
        </w:tc>
        <w:tc>
          <w:tcPr>
            <w:tcW w:w="1180" w:type="dxa"/>
            <w:tcBorders>
              <w:top w:val="single" w:sz="6" w:space="0" w:color="000000"/>
              <w:left w:val="single" w:sz="6" w:space="0" w:color="000000"/>
              <w:bottom w:val="single" w:sz="6" w:space="0" w:color="000000"/>
            </w:tcBorders>
          </w:tcPr>
          <w:p>
            <w:pPr>
              <w:pStyle w:val="TableParagraph"/>
              <w:spacing w:before="34"/>
              <w:ind w:right="150"/>
              <w:jc w:val="right"/>
              <w:rPr>
                <w:sz w:val="21"/>
              </w:rPr>
            </w:pPr>
            <w:r>
              <w:rPr>
                <w:sz w:val="21"/>
                <w:shd w:fill="D9D9D9" w:color="auto" w:val="clear"/>
              </w:rPr>
              <w:t>7.75E+00</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300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1.63E-184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1.03E-85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1.29E-36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1.73E-20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4"/>
              <w:rPr>
                <w:sz w:val="21"/>
              </w:rPr>
            </w:pPr>
            <w:r>
              <w:rPr>
                <w:sz w:val="21"/>
              </w:rPr>
              <w:t>1.35E-12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5.41E-08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44"/>
              <w:rPr>
                <w:sz w:val="21"/>
              </w:rPr>
            </w:pPr>
            <w:r>
              <w:rPr>
                <w:sz w:val="21"/>
              </w:rPr>
              <w:t>4.94E-05</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217"/>
              <w:jc w:val="right"/>
              <w:rPr>
                <w:sz w:val="21"/>
              </w:rPr>
            </w:pPr>
            <w:r>
              <w:rPr>
                <w:sz w:val="21"/>
              </w:rPr>
              <w:t>5.21E-03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1.43E-01</w:t>
            </w:r>
          </w:p>
        </w:tc>
        <w:tc>
          <w:tcPr>
            <w:tcW w:w="1180" w:type="dxa"/>
            <w:tcBorders>
              <w:top w:val="single" w:sz="6" w:space="0" w:color="000000"/>
              <w:left w:val="single" w:sz="6" w:space="0" w:color="000000"/>
              <w:bottom w:val="single" w:sz="6" w:space="0" w:color="000000"/>
            </w:tcBorders>
          </w:tcPr>
          <w:p>
            <w:pPr>
              <w:pStyle w:val="TableParagraph"/>
              <w:spacing w:before="36"/>
              <w:ind w:right="150"/>
              <w:jc w:val="right"/>
              <w:rPr>
                <w:sz w:val="21"/>
              </w:rPr>
            </w:pPr>
            <w:r>
              <w:rPr>
                <w:sz w:val="21"/>
                <w:shd w:fill="D9D9D9" w:color="auto" w:val="clear"/>
              </w:rPr>
              <w:t>1.59E+00</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320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4.31E-211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1.23E-98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1.04E-42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2.61E-24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2.80E-15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5.42E-10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1.41E-06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3.14E-04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1.51E-02</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2.60E-01</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340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1.98E-239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1.93E-112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3.01E-49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2.01E-28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3.51E-18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3.61E-12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2.87E-08</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1.42E-05</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1.24E-03</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3.40E-02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360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3"/>
              <w:rPr>
                <w:sz w:val="21"/>
              </w:rPr>
            </w:pPr>
            <w:r>
              <w:rPr>
                <w:sz w:val="21"/>
              </w:rPr>
              <w:t>1.57E-269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4.00E-127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3.18E-56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7.87E-33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2.64E-21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1.61E-14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4.17E-10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4.80E-07</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7.88E-05</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3.55E-03</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380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3"/>
              <w:rPr>
                <w:sz w:val="21"/>
              </w:rPr>
            </w:pPr>
            <w:r>
              <w:rPr>
                <w:sz w:val="21"/>
              </w:rPr>
              <w:t>2.15E-301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1.09E-142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1.22E-63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1.57E-37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4"/>
              <w:rPr>
                <w:sz w:val="21"/>
              </w:rPr>
            </w:pPr>
            <w:r>
              <w:rPr>
                <w:sz w:val="21"/>
              </w:rPr>
              <w:t>1.20E-24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4.76E-17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44"/>
              <w:rPr>
                <w:sz w:val="21"/>
              </w:rPr>
            </w:pPr>
            <w:r>
              <w:rPr>
                <w:sz w:val="21"/>
              </w:rPr>
              <w:t>4.31E-12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217"/>
              <w:jc w:val="right"/>
              <w:rPr>
                <w:sz w:val="21"/>
              </w:rPr>
            </w:pPr>
            <w:r>
              <w:rPr>
                <w:sz w:val="21"/>
              </w:rPr>
              <w:t>1.21E-08</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3.90E-06</w:t>
            </w:r>
          </w:p>
        </w:tc>
        <w:tc>
          <w:tcPr>
            <w:tcW w:w="1180" w:type="dxa"/>
            <w:tcBorders>
              <w:top w:val="single" w:sz="6" w:space="0" w:color="000000"/>
              <w:left w:val="single" w:sz="6" w:space="0" w:color="000000"/>
              <w:bottom w:val="single" w:sz="6" w:space="0" w:color="000000"/>
            </w:tcBorders>
          </w:tcPr>
          <w:p>
            <w:pPr>
              <w:pStyle w:val="TableParagraph"/>
              <w:spacing w:before="36"/>
              <w:ind w:right="174"/>
              <w:jc w:val="right"/>
              <w:rPr>
                <w:sz w:val="21"/>
              </w:rPr>
            </w:pPr>
            <w:r>
              <w:rPr>
                <w:sz w:val="21"/>
              </w:rPr>
              <w:t>2.95E-04</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400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3.88E-159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1.69E-71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1.58E-42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3.28E-28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9.40E-20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3.18E-14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2.30E-10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1.50E-07</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1.96E-05</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420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1.82E-176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8.49E-80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8.15E-48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5.40E-32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1.24E-22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1.68E-16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3.25E-12</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4.45E-09</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1.04E-06</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440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1.13E-194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1.55E-88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2.13E-53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5.35E-36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1.09E-25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6.29E-19</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3.45E-14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1.03E-10</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4.41E-08</w:t>
            </w:r>
          </w:p>
        </w:tc>
      </w:tr>
      <w:tr>
        <w:trPr>
          <w:trHeight w:val="314"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460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9.18E-214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1.03E-97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2.84E-59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4"/>
              <w:rPr>
                <w:sz w:val="21"/>
              </w:rPr>
            </w:pPr>
            <w:r>
              <w:rPr>
                <w:sz w:val="21"/>
              </w:rPr>
              <w:t>3.20E-40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6.35E-29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44"/>
              <w:rPr>
                <w:sz w:val="21"/>
              </w:rPr>
            </w:pPr>
            <w:r>
              <w:rPr>
                <w:sz w:val="21"/>
              </w:rPr>
              <w:t>1.69E-21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right="217"/>
              <w:jc w:val="right"/>
              <w:rPr>
                <w:sz w:val="21"/>
              </w:rPr>
            </w:pPr>
            <w:r>
              <w:rPr>
                <w:sz w:val="21"/>
              </w:rPr>
              <w:t>2.74E-16</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1.84E-12</w:t>
            </w:r>
          </w:p>
        </w:tc>
        <w:tc>
          <w:tcPr>
            <w:tcW w:w="1180" w:type="dxa"/>
            <w:tcBorders>
              <w:top w:val="single" w:sz="6" w:space="0" w:color="000000"/>
              <w:left w:val="single" w:sz="6" w:space="0" w:color="000000"/>
              <w:bottom w:val="single" w:sz="6" w:space="0" w:color="000000"/>
            </w:tcBorders>
          </w:tcPr>
          <w:p>
            <w:pPr>
              <w:pStyle w:val="TableParagraph"/>
              <w:spacing w:before="36"/>
              <w:ind w:right="174"/>
              <w:jc w:val="right"/>
              <w:rPr>
                <w:sz w:val="21"/>
              </w:rPr>
            </w:pPr>
            <w:r>
              <w:rPr>
                <w:sz w:val="21"/>
              </w:rPr>
              <w:t>1.49E-09</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480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9.83E-234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2.46E-107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1.92E-65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4"/>
              <w:rPr>
                <w:sz w:val="21"/>
              </w:rPr>
            </w:pPr>
            <w:r>
              <w:rPr>
                <w:sz w:val="21"/>
              </w:rPr>
              <w:t>1.15E-44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2.48E-32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44"/>
              <w:rPr>
                <w:sz w:val="21"/>
              </w:rPr>
            </w:pPr>
            <w:r>
              <w:rPr>
                <w:sz w:val="21"/>
              </w:rPr>
              <w:t>3.22E-24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right="217"/>
              <w:jc w:val="right"/>
              <w:rPr>
                <w:sz w:val="21"/>
              </w:rPr>
            </w:pPr>
            <w:r>
              <w:rPr>
                <w:sz w:val="21"/>
              </w:rPr>
              <w:t>1.63E-18</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2.57E-14</w:t>
            </w:r>
          </w:p>
        </w:tc>
        <w:tc>
          <w:tcPr>
            <w:tcW w:w="1180" w:type="dxa"/>
            <w:tcBorders>
              <w:top w:val="single" w:sz="6" w:space="0" w:color="000000"/>
              <w:left w:val="single" w:sz="6" w:space="0" w:color="000000"/>
              <w:bottom w:val="single" w:sz="6" w:space="0" w:color="000000"/>
            </w:tcBorders>
          </w:tcPr>
          <w:p>
            <w:pPr>
              <w:pStyle w:val="TableParagraph"/>
              <w:spacing w:before="34"/>
              <w:ind w:right="174"/>
              <w:jc w:val="right"/>
              <w:rPr>
                <w:sz w:val="21"/>
              </w:rPr>
            </w:pPr>
            <w:r>
              <w:rPr>
                <w:sz w:val="21"/>
              </w:rPr>
              <w:t>4.02E-11</w:t>
            </w:r>
          </w:p>
        </w:tc>
      </w:tr>
      <w:tr>
        <w:trPr>
          <w:trHeight w:val="311" w:hRule="atLeast"/>
        </w:trPr>
        <w:tc>
          <w:tcPr>
            <w:tcW w:w="1692" w:type="dxa"/>
            <w:tcBorders>
              <w:top w:val="single" w:sz="6" w:space="0" w:color="000000"/>
              <w:right w:val="single" w:sz="6" w:space="0" w:color="000000"/>
            </w:tcBorders>
          </w:tcPr>
          <w:p>
            <w:pPr>
              <w:pStyle w:val="TableParagraph"/>
              <w:spacing w:before="36"/>
              <w:ind w:left="193" w:right="169"/>
              <w:rPr>
                <w:b/>
                <w:sz w:val="21"/>
              </w:rPr>
            </w:pPr>
            <w:r>
              <w:rPr>
                <w:b/>
                <w:sz w:val="21"/>
              </w:rPr>
              <w:t>500</w:t>
            </w:r>
          </w:p>
        </w:tc>
        <w:tc>
          <w:tcPr>
            <w:tcW w:w="1255" w:type="dxa"/>
            <w:tcBorders>
              <w:top w:val="single" w:sz="6" w:space="0" w:color="000000"/>
              <w:left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4"/>
              <w:ind w:left="175" w:right="144"/>
              <w:rPr>
                <w:sz w:val="21"/>
              </w:rPr>
            </w:pPr>
            <w:r>
              <w:rPr>
                <w:sz w:val="21"/>
              </w:rPr>
              <w:t>1.38E-254</w:t>
            </w:r>
          </w:p>
        </w:tc>
        <w:tc>
          <w:tcPr>
            <w:tcW w:w="1258" w:type="dxa"/>
            <w:tcBorders>
              <w:top w:val="single" w:sz="6" w:space="0" w:color="000000"/>
              <w:left w:val="single" w:sz="6" w:space="0" w:color="000000"/>
              <w:right w:val="single" w:sz="6" w:space="0" w:color="000000"/>
            </w:tcBorders>
          </w:tcPr>
          <w:p>
            <w:pPr>
              <w:pStyle w:val="TableParagraph"/>
              <w:spacing w:before="34"/>
              <w:ind w:left="174" w:right="145"/>
              <w:rPr>
                <w:sz w:val="21"/>
              </w:rPr>
            </w:pPr>
            <w:r>
              <w:rPr>
                <w:sz w:val="21"/>
              </w:rPr>
              <w:t>2.14E-117</w:t>
            </w:r>
          </w:p>
        </w:tc>
        <w:tc>
          <w:tcPr>
            <w:tcW w:w="1256" w:type="dxa"/>
            <w:tcBorders>
              <w:top w:val="single" w:sz="6" w:space="0" w:color="000000"/>
              <w:left w:val="single" w:sz="6" w:space="0" w:color="000000"/>
              <w:right w:val="single" w:sz="6" w:space="0" w:color="000000"/>
            </w:tcBorders>
          </w:tcPr>
          <w:p>
            <w:pPr>
              <w:pStyle w:val="TableParagraph"/>
              <w:spacing w:before="34"/>
              <w:ind w:left="174" w:right="144"/>
              <w:rPr>
                <w:sz w:val="21"/>
              </w:rPr>
            </w:pPr>
            <w:r>
              <w:rPr>
                <w:sz w:val="21"/>
              </w:rPr>
              <w:t>6.62E-72</w:t>
            </w:r>
          </w:p>
        </w:tc>
        <w:tc>
          <w:tcPr>
            <w:tcW w:w="1256" w:type="dxa"/>
            <w:tcBorders>
              <w:top w:val="single" w:sz="6" w:space="0" w:color="000000"/>
              <w:left w:val="single" w:sz="6" w:space="0" w:color="000000"/>
              <w:right w:val="single" w:sz="6" w:space="0" w:color="000000"/>
            </w:tcBorders>
          </w:tcPr>
          <w:p>
            <w:pPr>
              <w:pStyle w:val="TableParagraph"/>
              <w:spacing w:before="34"/>
              <w:ind w:left="173" w:right="144"/>
              <w:rPr>
                <w:sz w:val="21"/>
              </w:rPr>
            </w:pPr>
            <w:r>
              <w:rPr>
                <w:sz w:val="21"/>
              </w:rPr>
              <w:t>2.49E-49</w:t>
            </w:r>
          </w:p>
        </w:tc>
        <w:tc>
          <w:tcPr>
            <w:tcW w:w="1258" w:type="dxa"/>
            <w:tcBorders>
              <w:top w:val="single" w:sz="6" w:space="0" w:color="000000"/>
              <w:left w:val="single" w:sz="6" w:space="0" w:color="000000"/>
              <w:right w:val="single" w:sz="6" w:space="0" w:color="000000"/>
            </w:tcBorders>
          </w:tcPr>
          <w:p>
            <w:pPr>
              <w:pStyle w:val="TableParagraph"/>
              <w:spacing w:before="34"/>
              <w:ind w:left="172" w:right="146"/>
              <w:rPr>
                <w:sz w:val="21"/>
              </w:rPr>
            </w:pPr>
            <w:r>
              <w:rPr>
                <w:sz w:val="21"/>
              </w:rPr>
              <w:t>6.43E-36</w:t>
            </w:r>
          </w:p>
        </w:tc>
        <w:tc>
          <w:tcPr>
            <w:tcW w:w="1256" w:type="dxa"/>
            <w:tcBorders>
              <w:top w:val="single" w:sz="6" w:space="0" w:color="000000"/>
              <w:left w:val="single" w:sz="6" w:space="0" w:color="000000"/>
              <w:right w:val="single" w:sz="6" w:space="0" w:color="000000"/>
            </w:tcBorders>
          </w:tcPr>
          <w:p>
            <w:pPr>
              <w:pStyle w:val="TableParagraph"/>
              <w:spacing w:before="34"/>
              <w:ind w:left="171" w:right="144"/>
              <w:rPr>
                <w:sz w:val="21"/>
              </w:rPr>
            </w:pPr>
            <w:r>
              <w:rPr>
                <w:sz w:val="21"/>
              </w:rPr>
              <w:t>4.38E-27</w:t>
            </w:r>
          </w:p>
        </w:tc>
        <w:tc>
          <w:tcPr>
            <w:tcW w:w="1257" w:type="dxa"/>
            <w:tcBorders>
              <w:top w:val="single" w:sz="6" w:space="0" w:color="000000"/>
              <w:left w:val="single" w:sz="6" w:space="0" w:color="000000"/>
              <w:right w:val="single" w:sz="6" w:space="0" w:color="000000"/>
            </w:tcBorders>
          </w:tcPr>
          <w:p>
            <w:pPr>
              <w:pStyle w:val="TableParagraph"/>
              <w:spacing w:before="34"/>
              <w:ind w:right="217"/>
              <w:jc w:val="right"/>
              <w:rPr>
                <w:sz w:val="21"/>
              </w:rPr>
            </w:pPr>
            <w:r>
              <w:rPr>
                <w:sz w:val="21"/>
              </w:rPr>
              <w:t>7.23E-21</w:t>
            </w:r>
          </w:p>
        </w:tc>
        <w:tc>
          <w:tcPr>
            <w:tcW w:w="1259" w:type="dxa"/>
            <w:tcBorders>
              <w:top w:val="single" w:sz="6" w:space="0" w:color="000000"/>
              <w:left w:val="single" w:sz="6" w:space="0" w:color="000000"/>
              <w:right w:val="single" w:sz="6" w:space="0" w:color="000000"/>
            </w:tcBorders>
          </w:tcPr>
          <w:p>
            <w:pPr>
              <w:pStyle w:val="TableParagraph"/>
              <w:spacing w:before="34"/>
              <w:ind w:left="171" w:right="151"/>
              <w:rPr>
                <w:sz w:val="21"/>
              </w:rPr>
            </w:pPr>
            <w:r>
              <w:rPr>
                <w:sz w:val="21"/>
              </w:rPr>
              <w:t>2.77E-16</w:t>
            </w:r>
          </w:p>
        </w:tc>
        <w:tc>
          <w:tcPr>
            <w:tcW w:w="1180" w:type="dxa"/>
            <w:tcBorders>
              <w:top w:val="single" w:sz="6" w:space="0" w:color="000000"/>
              <w:left w:val="single" w:sz="6" w:space="0" w:color="000000"/>
            </w:tcBorders>
          </w:tcPr>
          <w:p>
            <w:pPr>
              <w:pStyle w:val="TableParagraph"/>
              <w:spacing w:before="34"/>
              <w:ind w:right="174"/>
              <w:jc w:val="right"/>
              <w:rPr>
                <w:sz w:val="21"/>
              </w:rPr>
            </w:pPr>
            <w:r>
              <w:rPr>
                <w:sz w:val="21"/>
              </w:rPr>
              <w:t>8.65E-13</w:t>
            </w:r>
          </w:p>
        </w:tc>
      </w:tr>
    </w:tbl>
    <w:p>
      <w:pPr>
        <w:spacing w:after="0"/>
        <w:jc w:val="right"/>
        <w:rPr>
          <w:sz w:val="21"/>
        </w:rPr>
        <w:sectPr>
          <w:footerReference w:type="default" r:id="rId78"/>
          <w:pgSz w:w="16840" w:h="11910" w:orient="landscape"/>
          <w:pgMar w:footer="1004" w:header="874" w:top="1100" w:bottom="1200" w:left="1200" w:right="1200"/>
          <w:pgNumType w:start="121"/>
        </w:sectPr>
      </w:pPr>
    </w:p>
    <w:p>
      <w:pPr>
        <w:pStyle w:val="BodyText"/>
        <w:spacing w:before="10"/>
        <w:ind w:left="0"/>
        <w:rPr>
          <w:rFonts w:ascii="Times New Roman"/>
          <w:sz w:val="25"/>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92"/>
        <w:gridCol w:w="1255"/>
        <w:gridCol w:w="1256"/>
        <w:gridCol w:w="1258"/>
        <w:gridCol w:w="1256"/>
        <w:gridCol w:w="1256"/>
        <w:gridCol w:w="1258"/>
        <w:gridCol w:w="1256"/>
        <w:gridCol w:w="1257"/>
        <w:gridCol w:w="1259"/>
        <w:gridCol w:w="1180"/>
      </w:tblGrid>
      <w:tr>
        <w:trPr>
          <w:trHeight w:val="311" w:hRule="atLeast"/>
        </w:trPr>
        <w:tc>
          <w:tcPr>
            <w:tcW w:w="1692" w:type="dxa"/>
            <w:tcBorders>
              <w:bottom w:val="single" w:sz="6" w:space="0" w:color="000000"/>
              <w:right w:val="single" w:sz="6" w:space="0" w:color="000000"/>
            </w:tcBorders>
          </w:tcPr>
          <w:p>
            <w:pPr>
              <w:pStyle w:val="TableParagraph"/>
              <w:spacing w:line="266" w:lineRule="exact" w:before="24"/>
              <w:ind w:left="193" w:right="170"/>
              <w:rPr>
                <w:rFonts w:ascii="宋体" w:eastAsia="宋体" w:hint="eastAsia"/>
                <w:b/>
                <w:sz w:val="21"/>
              </w:rPr>
            </w:pPr>
            <w:r>
              <w:rPr>
                <w:rFonts w:ascii="宋体" w:eastAsia="宋体" w:hint="eastAsia"/>
                <w:b/>
                <w:sz w:val="21"/>
              </w:rPr>
              <w:t>泄露持续时间</w:t>
            </w:r>
          </w:p>
        </w:tc>
        <w:tc>
          <w:tcPr>
            <w:tcW w:w="1255" w:type="dxa"/>
            <w:tcBorders>
              <w:left w:val="single" w:sz="6" w:space="0" w:color="000000"/>
              <w:bottom w:val="single" w:sz="6" w:space="0" w:color="000000"/>
              <w:right w:val="single" w:sz="6" w:space="0" w:color="000000"/>
            </w:tcBorders>
          </w:tcPr>
          <w:p>
            <w:pPr>
              <w:pStyle w:val="TableParagraph"/>
              <w:spacing w:line="266" w:lineRule="exact" w:before="24"/>
              <w:ind w:left="172" w:right="143"/>
              <w:rPr>
                <w:rFonts w:ascii="宋体" w:eastAsia="宋体" w:hint="eastAsia"/>
                <w:b/>
                <w:sz w:val="21"/>
              </w:rPr>
            </w:pPr>
            <w:r>
              <w:rPr>
                <w:b/>
                <w:sz w:val="21"/>
              </w:rPr>
              <w:t>100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73" w:right="144"/>
              <w:rPr>
                <w:rFonts w:ascii="宋体" w:eastAsia="宋体" w:hint="eastAsia"/>
                <w:b/>
                <w:sz w:val="21"/>
              </w:rPr>
            </w:pPr>
            <w:r>
              <w:rPr>
                <w:b/>
                <w:sz w:val="21"/>
              </w:rPr>
              <w:t>200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line="266" w:lineRule="exact" w:before="24"/>
              <w:ind w:left="172" w:right="146"/>
              <w:rPr>
                <w:rFonts w:ascii="宋体" w:eastAsia="宋体" w:hint="eastAsia"/>
                <w:b/>
                <w:sz w:val="21"/>
              </w:rPr>
            </w:pPr>
            <w:r>
              <w:rPr>
                <w:b/>
                <w:sz w:val="21"/>
              </w:rPr>
              <w:t>400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172" w:right="144"/>
              <w:rPr>
                <w:rFonts w:ascii="宋体" w:eastAsia="宋体" w:hint="eastAsia"/>
                <w:b/>
                <w:sz w:val="21"/>
              </w:rPr>
            </w:pPr>
            <w:r>
              <w:rPr>
                <w:b/>
                <w:sz w:val="21"/>
              </w:rPr>
              <w:t>600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344"/>
              <w:jc w:val="left"/>
              <w:rPr>
                <w:rFonts w:ascii="宋体" w:eastAsia="宋体" w:hint="eastAsia"/>
                <w:b/>
                <w:sz w:val="21"/>
              </w:rPr>
            </w:pPr>
            <w:r>
              <w:rPr>
                <w:b/>
                <w:sz w:val="21"/>
              </w:rPr>
              <w:t>800 </w:t>
            </w:r>
            <w:r>
              <w:rPr>
                <w:rFonts w:ascii="宋体" w:eastAsia="宋体" w:hint="eastAsia"/>
                <w:b/>
                <w:sz w:val="21"/>
              </w:rPr>
              <w:t>天</w:t>
            </w:r>
          </w:p>
        </w:tc>
        <w:tc>
          <w:tcPr>
            <w:tcW w:w="1258" w:type="dxa"/>
            <w:tcBorders>
              <w:left w:val="single" w:sz="6" w:space="0" w:color="000000"/>
              <w:bottom w:val="single" w:sz="6" w:space="0" w:color="000000"/>
              <w:right w:val="single" w:sz="6" w:space="0" w:color="000000"/>
            </w:tcBorders>
          </w:tcPr>
          <w:p>
            <w:pPr>
              <w:pStyle w:val="TableParagraph"/>
              <w:spacing w:line="266" w:lineRule="exact" w:before="24"/>
              <w:ind w:left="169" w:right="146"/>
              <w:rPr>
                <w:rFonts w:ascii="宋体" w:eastAsia="宋体" w:hint="eastAsia"/>
                <w:b/>
                <w:sz w:val="21"/>
              </w:rPr>
            </w:pPr>
            <w:r>
              <w:rPr>
                <w:b/>
                <w:sz w:val="21"/>
              </w:rPr>
              <w:t>1000 </w:t>
            </w:r>
            <w:r>
              <w:rPr>
                <w:rFonts w:ascii="宋体" w:eastAsia="宋体" w:hint="eastAsia"/>
                <w:b/>
                <w:sz w:val="21"/>
              </w:rPr>
              <w:t>天</w:t>
            </w:r>
          </w:p>
        </w:tc>
        <w:tc>
          <w:tcPr>
            <w:tcW w:w="1256" w:type="dxa"/>
            <w:tcBorders>
              <w:left w:val="single" w:sz="6" w:space="0" w:color="000000"/>
              <w:bottom w:val="single" w:sz="6" w:space="0" w:color="000000"/>
              <w:right w:val="single" w:sz="6" w:space="0" w:color="000000"/>
            </w:tcBorders>
          </w:tcPr>
          <w:p>
            <w:pPr>
              <w:pStyle w:val="TableParagraph"/>
              <w:spacing w:line="266" w:lineRule="exact" w:before="24"/>
              <w:ind w:left="290"/>
              <w:jc w:val="left"/>
              <w:rPr>
                <w:rFonts w:ascii="宋体" w:eastAsia="宋体" w:hint="eastAsia"/>
                <w:b/>
                <w:sz w:val="21"/>
              </w:rPr>
            </w:pPr>
            <w:r>
              <w:rPr>
                <w:b/>
                <w:sz w:val="21"/>
              </w:rPr>
              <w:t>1200 </w:t>
            </w:r>
            <w:r>
              <w:rPr>
                <w:rFonts w:ascii="宋体" w:eastAsia="宋体" w:hint="eastAsia"/>
                <w:b/>
                <w:sz w:val="21"/>
              </w:rPr>
              <w:t>天</w:t>
            </w:r>
          </w:p>
        </w:tc>
        <w:tc>
          <w:tcPr>
            <w:tcW w:w="1257" w:type="dxa"/>
            <w:tcBorders>
              <w:left w:val="single" w:sz="6" w:space="0" w:color="000000"/>
              <w:bottom w:val="single" w:sz="6" w:space="0" w:color="000000"/>
              <w:right w:val="single" w:sz="6" w:space="0" w:color="000000"/>
            </w:tcBorders>
          </w:tcPr>
          <w:p>
            <w:pPr>
              <w:pStyle w:val="TableParagraph"/>
              <w:spacing w:line="266" w:lineRule="exact" w:before="24"/>
              <w:ind w:left="170" w:right="148"/>
              <w:rPr>
                <w:rFonts w:ascii="宋体" w:eastAsia="宋体" w:hint="eastAsia"/>
                <w:b/>
                <w:sz w:val="21"/>
              </w:rPr>
            </w:pPr>
            <w:r>
              <w:rPr>
                <w:b/>
                <w:sz w:val="21"/>
              </w:rPr>
              <w:t>1400 </w:t>
            </w:r>
            <w:r>
              <w:rPr>
                <w:rFonts w:ascii="宋体" w:eastAsia="宋体" w:hint="eastAsia"/>
                <w:b/>
                <w:sz w:val="21"/>
              </w:rPr>
              <w:t>天</w:t>
            </w:r>
          </w:p>
        </w:tc>
        <w:tc>
          <w:tcPr>
            <w:tcW w:w="1259" w:type="dxa"/>
            <w:tcBorders>
              <w:left w:val="single" w:sz="6" w:space="0" w:color="000000"/>
              <w:bottom w:val="single" w:sz="6" w:space="0" w:color="000000"/>
              <w:right w:val="single" w:sz="6" w:space="0" w:color="000000"/>
            </w:tcBorders>
          </w:tcPr>
          <w:p>
            <w:pPr>
              <w:pStyle w:val="TableParagraph"/>
              <w:spacing w:line="266" w:lineRule="exact" w:before="24"/>
              <w:ind w:left="168" w:right="151"/>
              <w:rPr>
                <w:rFonts w:ascii="宋体" w:eastAsia="宋体" w:hint="eastAsia"/>
                <w:b/>
                <w:sz w:val="21"/>
              </w:rPr>
            </w:pPr>
            <w:r>
              <w:rPr>
                <w:b/>
                <w:sz w:val="21"/>
              </w:rPr>
              <w:t>1600 </w:t>
            </w:r>
            <w:r>
              <w:rPr>
                <w:rFonts w:ascii="宋体" w:eastAsia="宋体" w:hint="eastAsia"/>
                <w:b/>
                <w:sz w:val="21"/>
              </w:rPr>
              <w:t>天</w:t>
            </w:r>
          </w:p>
        </w:tc>
        <w:tc>
          <w:tcPr>
            <w:tcW w:w="1180" w:type="dxa"/>
            <w:tcBorders>
              <w:left w:val="single" w:sz="6" w:space="0" w:color="000000"/>
              <w:bottom w:val="single" w:sz="6" w:space="0" w:color="000000"/>
            </w:tcBorders>
          </w:tcPr>
          <w:p>
            <w:pPr>
              <w:pStyle w:val="TableParagraph"/>
              <w:spacing w:line="266" w:lineRule="exact" w:before="24"/>
              <w:ind w:left="181" w:right="157"/>
              <w:rPr>
                <w:rFonts w:ascii="宋体" w:eastAsia="宋体" w:hint="eastAsia"/>
                <w:b/>
                <w:sz w:val="21"/>
              </w:rPr>
            </w:pPr>
            <w:r>
              <w:rPr>
                <w:b/>
                <w:sz w:val="21"/>
              </w:rPr>
              <w:t>1800 </w:t>
            </w:r>
            <w:r>
              <w:rPr>
                <w:rFonts w:ascii="宋体" w:eastAsia="宋体" w:hint="eastAsia"/>
                <w:b/>
                <w:sz w:val="21"/>
              </w:rPr>
              <w:t>天</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520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2.56E-276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6.77E-128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1.16E-78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4"/>
              <w:jc w:val="right"/>
              <w:rPr>
                <w:sz w:val="21"/>
              </w:rPr>
            </w:pPr>
            <w:r>
              <w:rPr>
                <w:sz w:val="21"/>
              </w:rPr>
              <w:t>3.24E-54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1.11E-39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4.25E-30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2.41E-23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2.32E-18</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1.49E-14</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540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6.24E-299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7.75E-139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1.03E-85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2.55E-59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1.29E-43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2.95E-33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5.99E-26</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1.51E-20</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2.04E-16</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560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3.22E-150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4.68E-93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1.20E-64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9.89E-48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1.45E-36</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1.12E-28</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7.62E-23</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2.23E-18</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580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4.85E-162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1.08E-100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3.43E-70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5.07E-52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5.12E-40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1.56E-31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2.98E-25</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1.95E-20</w:t>
            </w:r>
          </w:p>
        </w:tc>
      </w:tr>
      <w:tr>
        <w:trPr>
          <w:trHeight w:val="314"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600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5"/>
              <w:rPr>
                <w:sz w:val="21"/>
              </w:rPr>
            </w:pPr>
            <w:r>
              <w:rPr>
                <w:sz w:val="21"/>
              </w:rPr>
              <w:t>2.65E-174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left="174" w:right="144"/>
              <w:rPr>
                <w:sz w:val="21"/>
              </w:rPr>
            </w:pPr>
            <w:r>
              <w:rPr>
                <w:sz w:val="21"/>
              </w:rPr>
              <w:t>1.26E-108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right="214"/>
              <w:jc w:val="right"/>
              <w:rPr>
                <w:sz w:val="21"/>
              </w:rPr>
            </w:pPr>
            <w:r>
              <w:rPr>
                <w:sz w:val="21"/>
              </w:rPr>
              <w:t>5.89E-76</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7"/>
              <w:ind w:left="172" w:right="146"/>
              <w:rPr>
                <w:sz w:val="21"/>
              </w:rPr>
            </w:pPr>
            <w:r>
              <w:rPr>
                <w:sz w:val="21"/>
              </w:rPr>
              <w:t>1.73E-56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7"/>
              <w:ind w:right="216"/>
              <w:jc w:val="right"/>
              <w:rPr>
                <w:sz w:val="21"/>
              </w:rPr>
            </w:pPr>
            <w:r>
              <w:rPr>
                <w:sz w:val="21"/>
              </w:rPr>
              <w:t>1.29E-43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7"/>
              <w:ind w:left="173" w:right="148"/>
              <w:rPr>
                <w:sz w:val="21"/>
              </w:rPr>
            </w:pPr>
            <w:r>
              <w:rPr>
                <w:sz w:val="21"/>
              </w:rPr>
              <w:t>1.63E-34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7"/>
              <w:ind w:left="171" w:right="151"/>
              <w:rPr>
                <w:sz w:val="21"/>
              </w:rPr>
            </w:pPr>
            <w:r>
              <w:rPr>
                <w:sz w:val="21"/>
              </w:rPr>
              <w:t>9.07E-28</w:t>
            </w:r>
          </w:p>
        </w:tc>
        <w:tc>
          <w:tcPr>
            <w:tcW w:w="1180" w:type="dxa"/>
            <w:tcBorders>
              <w:top w:val="single" w:sz="6" w:space="0" w:color="000000"/>
              <w:left w:val="single" w:sz="6" w:space="0" w:color="000000"/>
              <w:bottom w:val="single" w:sz="6" w:space="0" w:color="000000"/>
            </w:tcBorders>
          </w:tcPr>
          <w:p>
            <w:pPr>
              <w:pStyle w:val="TableParagraph"/>
              <w:spacing w:before="37"/>
              <w:ind w:left="184" w:right="157"/>
              <w:rPr>
                <w:sz w:val="21"/>
              </w:rPr>
            </w:pPr>
            <w:r>
              <w:rPr>
                <w:sz w:val="21"/>
              </w:rPr>
              <w:t>1.36E-22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620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5.26E-187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7.52E-117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6.08E-82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3.95E-61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2.31E-47</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1.27E-37</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2.14E-30</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7.59E-25</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640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3.78E-200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2.28E-125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3.78E-88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5.99E-66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2.94E-51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7.43E-41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3.91E-33</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3.37E-27</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660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9.85E-214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3.51E-134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4"/>
              <w:jc w:val="right"/>
              <w:rPr>
                <w:sz w:val="21"/>
              </w:rPr>
            </w:pPr>
            <w:r>
              <w:rPr>
                <w:sz w:val="21"/>
              </w:rPr>
              <w:t>1.42E-94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6.07E-71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2.68E-55</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3.25E-44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5.56E-36</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1.20E-29</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680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9.32E-228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2.75E-143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3.20E-101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4.09E-76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1.74E-59</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1.07E-47</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6.13E-39</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3.39E-32</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700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3.20E-242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1.10E-152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4.35E-108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1.84E-81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8.07E-64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2.61E-51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5.24E-42</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7.67E-35</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720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3.97E-257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2.23E-162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3.56E-115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5.51E-87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2.67E-68</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4.79E-55</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3.48E-45</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1.38E-37</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7"/>
              <w:ind w:left="193" w:right="169"/>
              <w:rPr>
                <w:b/>
                <w:sz w:val="21"/>
              </w:rPr>
            </w:pPr>
            <w:r>
              <w:rPr>
                <w:b/>
                <w:sz w:val="21"/>
              </w:rPr>
              <w:t>740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1.79E-272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2.29E-172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1.75E-122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1.10E-92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6.29E-73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6.58E-59</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1.79E-48</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1.99E-40</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760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5"/>
              <w:rPr>
                <w:sz w:val="21"/>
              </w:rPr>
            </w:pPr>
            <w:r>
              <w:rPr>
                <w:sz w:val="21"/>
              </w:rPr>
              <w:t>2.93E-288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1.20E-182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5.21E-130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1.47E-98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1.06E-77</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6.77E-63</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7.17E-52</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2.29E-43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780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5"/>
              <w:rPr>
                <w:sz w:val="21"/>
              </w:rPr>
            </w:pPr>
            <w:r>
              <w:rPr>
                <w:sz w:val="21"/>
              </w:rPr>
              <w:t>1.74E-304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3.21E-193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9.31E-138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1.30E-104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1.27E-82</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5.21E-67</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2.22E-55</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2.10E-46</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800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4.35E-204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1.00E-145</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7.69E-111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1.08E-87</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3.00E-71</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5.36E-59</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1.54E-49</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820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3.00E-215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6.50E-154</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3.03E-117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216"/>
              <w:jc w:val="right"/>
              <w:rPr>
                <w:sz w:val="21"/>
              </w:rPr>
            </w:pPr>
            <w:r>
              <w:rPr>
                <w:sz w:val="21"/>
              </w:rPr>
              <w:t>6.59E-93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1.29E-75</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1.00E-62</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9.01E-53</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840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1.05E-226</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2.54E-162</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7.96E-124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216"/>
              <w:jc w:val="right"/>
              <w:rPr>
                <w:sz w:val="21"/>
              </w:rPr>
            </w:pPr>
            <w:r>
              <w:rPr>
                <w:sz w:val="21"/>
              </w:rPr>
              <w:t>2.87E-98</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4.17E-80</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1.45E-66</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4.21E-56</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860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1.88E-238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5.97E-171</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1.39E-130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8.88E-104</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1.01E-84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1.63E-70</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1.57E-59</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880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1.71E-250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8.45E-180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1.63E-137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1.96E-109</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1.82E-89</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1.43E-74</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4.66E-63</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900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7.87E-263</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7.21E-189</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1.27E-144</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3.09E-115</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2.46E-94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9.66E-79</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1.11E-66</w:t>
            </w:r>
          </w:p>
        </w:tc>
      </w:tr>
      <w:tr>
        <w:trPr>
          <w:trHeight w:val="313" w:hRule="atLeast"/>
        </w:trPr>
        <w:tc>
          <w:tcPr>
            <w:tcW w:w="1692" w:type="dxa"/>
            <w:tcBorders>
              <w:top w:val="single" w:sz="6" w:space="0" w:color="000000"/>
              <w:bottom w:val="single" w:sz="6" w:space="0" w:color="000000"/>
              <w:right w:val="single" w:sz="6" w:space="0" w:color="000000"/>
            </w:tcBorders>
          </w:tcPr>
          <w:p>
            <w:pPr>
              <w:pStyle w:val="TableParagraph"/>
              <w:spacing w:before="39"/>
              <w:ind w:left="193" w:right="169"/>
              <w:rPr>
                <w:b/>
                <w:sz w:val="21"/>
              </w:rPr>
            </w:pPr>
            <w:r>
              <w:rPr>
                <w:b/>
                <w:sz w:val="21"/>
              </w:rPr>
              <w:t>920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left="174" w:right="144"/>
              <w:rPr>
                <w:sz w:val="21"/>
              </w:rPr>
            </w:pPr>
            <w:r>
              <w:rPr>
                <w:sz w:val="21"/>
              </w:rPr>
              <w:t>1.85E-275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2"/>
              <w:jc w:val="right"/>
              <w:rPr>
                <w:sz w:val="21"/>
              </w:rPr>
            </w:pPr>
            <w:r>
              <w:rPr>
                <w:sz w:val="21"/>
              </w:rPr>
              <w:t>3.70E-198</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6"/>
              <w:ind w:left="172" w:right="146"/>
              <w:rPr>
                <w:sz w:val="21"/>
              </w:rPr>
            </w:pPr>
            <w:r>
              <w:rPr>
                <w:sz w:val="21"/>
              </w:rPr>
              <w:t>6.57E-152</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6"/>
              <w:ind w:right="163"/>
              <w:jc w:val="right"/>
              <w:rPr>
                <w:sz w:val="21"/>
              </w:rPr>
            </w:pPr>
            <w:r>
              <w:rPr>
                <w:sz w:val="21"/>
              </w:rPr>
              <w:t>3.48E-121</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6"/>
              <w:ind w:left="173" w:right="148"/>
              <w:rPr>
                <w:sz w:val="21"/>
              </w:rPr>
            </w:pPr>
            <w:r>
              <w:rPr>
                <w:sz w:val="21"/>
              </w:rPr>
              <w:t>2.49E-99</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6"/>
              <w:ind w:left="171" w:right="151"/>
              <w:rPr>
                <w:sz w:val="21"/>
              </w:rPr>
            </w:pPr>
            <w:r>
              <w:rPr>
                <w:sz w:val="21"/>
              </w:rPr>
              <w:t>5.08E-83</w:t>
            </w:r>
          </w:p>
        </w:tc>
        <w:tc>
          <w:tcPr>
            <w:tcW w:w="1180" w:type="dxa"/>
            <w:tcBorders>
              <w:top w:val="single" w:sz="6" w:space="0" w:color="000000"/>
              <w:left w:val="single" w:sz="6" w:space="0" w:color="000000"/>
              <w:bottom w:val="single" w:sz="6" w:space="0" w:color="000000"/>
            </w:tcBorders>
          </w:tcPr>
          <w:p>
            <w:pPr>
              <w:pStyle w:val="TableParagraph"/>
              <w:spacing w:before="36"/>
              <w:ind w:left="184" w:right="157"/>
              <w:rPr>
                <w:sz w:val="21"/>
              </w:rPr>
            </w:pPr>
            <w:r>
              <w:rPr>
                <w:sz w:val="21"/>
              </w:rPr>
              <w:t>2.10E-70</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940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2.20E-288</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1.15E-207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2.27E-159</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2.79E-127</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1.88E-104</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2.07E-87</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3.17E-74</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960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1.34E-301</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2.13E-217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5.23E-167</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1.59E-133</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1.07E-109</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6.57E-92</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3.83E-78</w:t>
            </w:r>
          </w:p>
        </w:tc>
      </w:tr>
      <w:tr>
        <w:trPr>
          <w:trHeight w:val="311" w:hRule="atLeast"/>
        </w:trPr>
        <w:tc>
          <w:tcPr>
            <w:tcW w:w="1692" w:type="dxa"/>
            <w:tcBorders>
              <w:top w:val="single" w:sz="6" w:space="0" w:color="000000"/>
              <w:bottom w:val="single" w:sz="6" w:space="0" w:color="000000"/>
              <w:right w:val="single" w:sz="6" w:space="0" w:color="000000"/>
            </w:tcBorders>
          </w:tcPr>
          <w:p>
            <w:pPr>
              <w:pStyle w:val="TableParagraph"/>
              <w:spacing w:before="36"/>
              <w:ind w:left="193" w:right="169"/>
              <w:rPr>
                <w:b/>
                <w:sz w:val="21"/>
              </w:rPr>
            </w:pPr>
            <w:r>
              <w:rPr>
                <w:b/>
                <w:sz w:val="21"/>
              </w:rPr>
              <w:t>980</w:t>
            </w:r>
          </w:p>
        </w:tc>
        <w:tc>
          <w:tcPr>
            <w:tcW w:w="1255"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3"/>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5" w:right="144"/>
              <w:rPr>
                <w:sz w:val="21"/>
              </w:rPr>
            </w:pPr>
            <w:r>
              <w:rPr>
                <w:sz w:val="21"/>
              </w:rPr>
              <w:t>0.00E+00</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6"/>
              <w:rPr>
                <w:sz w:val="21"/>
              </w:rPr>
            </w:pPr>
            <w:r>
              <w:rPr>
                <w:sz w:val="21"/>
              </w:rPr>
              <w:t>0.00E+00</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left="174" w:right="144"/>
              <w:rPr>
                <w:sz w:val="21"/>
              </w:rPr>
            </w:pPr>
            <w:r>
              <w:rPr>
                <w:sz w:val="21"/>
              </w:rPr>
              <w:t>4.13E-315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2"/>
              <w:jc w:val="right"/>
              <w:rPr>
                <w:sz w:val="21"/>
              </w:rPr>
            </w:pPr>
            <w:r>
              <w:rPr>
                <w:sz w:val="21"/>
              </w:rPr>
              <w:t>2.39E-227</w:t>
            </w:r>
          </w:p>
        </w:tc>
        <w:tc>
          <w:tcPr>
            <w:tcW w:w="1258" w:type="dxa"/>
            <w:tcBorders>
              <w:top w:val="single" w:sz="6" w:space="0" w:color="000000"/>
              <w:left w:val="single" w:sz="6" w:space="0" w:color="000000"/>
              <w:bottom w:val="single" w:sz="6" w:space="0" w:color="000000"/>
              <w:right w:val="single" w:sz="6" w:space="0" w:color="000000"/>
            </w:tcBorders>
          </w:tcPr>
          <w:p>
            <w:pPr>
              <w:pStyle w:val="TableParagraph"/>
              <w:spacing w:before="34"/>
              <w:ind w:left="172" w:right="146"/>
              <w:rPr>
                <w:sz w:val="21"/>
              </w:rPr>
            </w:pPr>
            <w:r>
              <w:rPr>
                <w:sz w:val="21"/>
              </w:rPr>
              <w:t>8.03E-175</w:t>
            </w:r>
          </w:p>
        </w:tc>
        <w:tc>
          <w:tcPr>
            <w:tcW w:w="1256" w:type="dxa"/>
            <w:tcBorders>
              <w:top w:val="single" w:sz="6" w:space="0" w:color="000000"/>
              <w:left w:val="single" w:sz="6" w:space="0" w:color="000000"/>
              <w:bottom w:val="single" w:sz="6" w:space="0" w:color="000000"/>
              <w:right w:val="single" w:sz="6" w:space="0" w:color="000000"/>
            </w:tcBorders>
          </w:tcPr>
          <w:p>
            <w:pPr>
              <w:pStyle w:val="TableParagraph"/>
              <w:spacing w:before="34"/>
              <w:ind w:right="163"/>
              <w:jc w:val="right"/>
              <w:rPr>
                <w:sz w:val="21"/>
              </w:rPr>
            </w:pPr>
            <w:r>
              <w:rPr>
                <w:sz w:val="21"/>
              </w:rPr>
              <w:t>6.50E-140</w:t>
            </w:r>
          </w:p>
        </w:tc>
        <w:tc>
          <w:tcPr>
            <w:tcW w:w="1257" w:type="dxa"/>
            <w:tcBorders>
              <w:top w:val="single" w:sz="6" w:space="0" w:color="000000"/>
              <w:left w:val="single" w:sz="6" w:space="0" w:color="000000"/>
              <w:bottom w:val="single" w:sz="6" w:space="0" w:color="000000"/>
              <w:right w:val="single" w:sz="6" w:space="0" w:color="000000"/>
            </w:tcBorders>
          </w:tcPr>
          <w:p>
            <w:pPr>
              <w:pStyle w:val="TableParagraph"/>
              <w:spacing w:before="34"/>
              <w:ind w:left="173" w:right="148"/>
              <w:rPr>
                <w:sz w:val="21"/>
              </w:rPr>
            </w:pPr>
            <w:r>
              <w:rPr>
                <w:sz w:val="21"/>
              </w:rPr>
              <w:t>4.53E-115</w:t>
            </w:r>
          </w:p>
        </w:tc>
        <w:tc>
          <w:tcPr>
            <w:tcW w:w="1259" w:type="dxa"/>
            <w:tcBorders>
              <w:top w:val="single" w:sz="6" w:space="0" w:color="000000"/>
              <w:left w:val="single" w:sz="6" w:space="0" w:color="000000"/>
              <w:bottom w:val="single" w:sz="6" w:space="0" w:color="000000"/>
              <w:right w:val="single" w:sz="6" w:space="0" w:color="000000"/>
            </w:tcBorders>
          </w:tcPr>
          <w:p>
            <w:pPr>
              <w:pStyle w:val="TableParagraph"/>
              <w:spacing w:before="34"/>
              <w:ind w:left="171" w:right="151"/>
              <w:rPr>
                <w:sz w:val="21"/>
              </w:rPr>
            </w:pPr>
            <w:r>
              <w:rPr>
                <w:sz w:val="21"/>
              </w:rPr>
              <w:t>1.62E-96</w:t>
            </w:r>
          </w:p>
        </w:tc>
        <w:tc>
          <w:tcPr>
            <w:tcW w:w="1180" w:type="dxa"/>
            <w:tcBorders>
              <w:top w:val="single" w:sz="6" w:space="0" w:color="000000"/>
              <w:left w:val="single" w:sz="6" w:space="0" w:color="000000"/>
              <w:bottom w:val="single" w:sz="6" w:space="0" w:color="000000"/>
            </w:tcBorders>
          </w:tcPr>
          <w:p>
            <w:pPr>
              <w:pStyle w:val="TableParagraph"/>
              <w:spacing w:before="34"/>
              <w:ind w:left="184" w:right="157"/>
              <w:rPr>
                <w:sz w:val="21"/>
              </w:rPr>
            </w:pPr>
            <w:r>
              <w:rPr>
                <w:sz w:val="21"/>
              </w:rPr>
              <w:t>3.69E-82</w:t>
            </w:r>
          </w:p>
        </w:tc>
      </w:tr>
      <w:tr>
        <w:trPr>
          <w:trHeight w:val="311" w:hRule="atLeast"/>
        </w:trPr>
        <w:tc>
          <w:tcPr>
            <w:tcW w:w="1692" w:type="dxa"/>
            <w:tcBorders>
              <w:top w:val="single" w:sz="6" w:space="0" w:color="000000"/>
              <w:right w:val="single" w:sz="6" w:space="0" w:color="000000"/>
            </w:tcBorders>
          </w:tcPr>
          <w:p>
            <w:pPr>
              <w:pStyle w:val="TableParagraph"/>
              <w:spacing w:before="39"/>
              <w:ind w:left="193" w:right="169"/>
              <w:rPr>
                <w:b/>
                <w:sz w:val="21"/>
              </w:rPr>
            </w:pPr>
            <w:r>
              <w:rPr>
                <w:b/>
                <w:sz w:val="21"/>
              </w:rPr>
              <w:t>1000</w:t>
            </w:r>
          </w:p>
        </w:tc>
        <w:tc>
          <w:tcPr>
            <w:tcW w:w="1255" w:type="dxa"/>
            <w:tcBorders>
              <w:top w:val="single" w:sz="6" w:space="0" w:color="000000"/>
              <w:left w:val="single" w:sz="6" w:space="0" w:color="000000"/>
              <w:right w:val="single" w:sz="6" w:space="0" w:color="000000"/>
            </w:tcBorders>
          </w:tcPr>
          <w:p>
            <w:pPr>
              <w:pStyle w:val="TableParagraph"/>
              <w:spacing w:before="36"/>
              <w:ind w:left="174" w:right="143"/>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6"/>
              <w:ind w:left="175" w:right="144"/>
              <w:rPr>
                <w:sz w:val="21"/>
              </w:rPr>
            </w:pPr>
            <w:r>
              <w:rPr>
                <w:sz w:val="21"/>
              </w:rPr>
              <w:t>0.00E+00</w:t>
            </w:r>
          </w:p>
        </w:tc>
        <w:tc>
          <w:tcPr>
            <w:tcW w:w="1258" w:type="dxa"/>
            <w:tcBorders>
              <w:top w:val="single" w:sz="6" w:space="0" w:color="000000"/>
              <w:left w:val="single" w:sz="6" w:space="0" w:color="000000"/>
              <w:right w:val="single" w:sz="6" w:space="0" w:color="000000"/>
            </w:tcBorders>
          </w:tcPr>
          <w:p>
            <w:pPr>
              <w:pStyle w:val="TableParagraph"/>
              <w:spacing w:before="36"/>
              <w:ind w:left="174" w:right="146"/>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6"/>
              <w:ind w:left="174" w:right="144"/>
              <w:rPr>
                <w:sz w:val="21"/>
              </w:rPr>
            </w:pPr>
            <w:r>
              <w:rPr>
                <w:sz w:val="21"/>
              </w:rPr>
              <w:t>0.00E+00</w:t>
            </w:r>
          </w:p>
        </w:tc>
        <w:tc>
          <w:tcPr>
            <w:tcW w:w="1256" w:type="dxa"/>
            <w:tcBorders>
              <w:top w:val="single" w:sz="6" w:space="0" w:color="000000"/>
              <w:left w:val="single" w:sz="6" w:space="0" w:color="000000"/>
              <w:right w:val="single" w:sz="6" w:space="0" w:color="000000"/>
            </w:tcBorders>
          </w:tcPr>
          <w:p>
            <w:pPr>
              <w:pStyle w:val="TableParagraph"/>
              <w:spacing w:before="36"/>
              <w:ind w:right="162"/>
              <w:jc w:val="right"/>
              <w:rPr>
                <w:sz w:val="21"/>
              </w:rPr>
            </w:pPr>
            <w:r>
              <w:rPr>
                <w:sz w:val="21"/>
              </w:rPr>
              <w:t>1.62E-237</w:t>
            </w:r>
          </w:p>
        </w:tc>
        <w:tc>
          <w:tcPr>
            <w:tcW w:w="1258" w:type="dxa"/>
            <w:tcBorders>
              <w:top w:val="single" w:sz="6" w:space="0" w:color="000000"/>
              <w:left w:val="single" w:sz="6" w:space="0" w:color="000000"/>
              <w:right w:val="single" w:sz="6" w:space="0" w:color="000000"/>
            </w:tcBorders>
          </w:tcPr>
          <w:p>
            <w:pPr>
              <w:pStyle w:val="TableParagraph"/>
              <w:spacing w:before="36"/>
              <w:ind w:left="172" w:right="146"/>
              <w:rPr>
                <w:sz w:val="21"/>
              </w:rPr>
            </w:pPr>
            <w:r>
              <w:rPr>
                <w:sz w:val="21"/>
              </w:rPr>
              <w:t>8.21E-183</w:t>
            </w:r>
          </w:p>
        </w:tc>
        <w:tc>
          <w:tcPr>
            <w:tcW w:w="1256" w:type="dxa"/>
            <w:tcBorders>
              <w:top w:val="single" w:sz="6" w:space="0" w:color="000000"/>
              <w:left w:val="single" w:sz="6" w:space="0" w:color="000000"/>
              <w:right w:val="single" w:sz="6" w:space="0" w:color="000000"/>
            </w:tcBorders>
          </w:tcPr>
          <w:p>
            <w:pPr>
              <w:pStyle w:val="TableParagraph"/>
              <w:spacing w:before="36"/>
              <w:ind w:right="163"/>
              <w:jc w:val="right"/>
              <w:rPr>
                <w:sz w:val="21"/>
              </w:rPr>
            </w:pPr>
            <w:r>
              <w:rPr>
                <w:sz w:val="21"/>
              </w:rPr>
              <w:t>1.89E-146</w:t>
            </w:r>
          </w:p>
        </w:tc>
        <w:tc>
          <w:tcPr>
            <w:tcW w:w="1257" w:type="dxa"/>
            <w:tcBorders>
              <w:top w:val="single" w:sz="6" w:space="0" w:color="000000"/>
              <w:left w:val="single" w:sz="6" w:space="0" w:color="000000"/>
              <w:right w:val="single" w:sz="6" w:space="0" w:color="000000"/>
            </w:tcBorders>
          </w:tcPr>
          <w:p>
            <w:pPr>
              <w:pStyle w:val="TableParagraph"/>
              <w:spacing w:before="36"/>
              <w:ind w:left="173" w:right="148"/>
              <w:rPr>
                <w:sz w:val="21"/>
              </w:rPr>
            </w:pPr>
            <w:r>
              <w:rPr>
                <w:sz w:val="21"/>
              </w:rPr>
              <w:t>1.44E-120</w:t>
            </w:r>
          </w:p>
        </w:tc>
        <w:tc>
          <w:tcPr>
            <w:tcW w:w="1259" w:type="dxa"/>
            <w:tcBorders>
              <w:top w:val="single" w:sz="6" w:space="0" w:color="000000"/>
              <w:left w:val="single" w:sz="6" w:space="0" w:color="000000"/>
              <w:right w:val="single" w:sz="6" w:space="0" w:color="000000"/>
            </w:tcBorders>
          </w:tcPr>
          <w:p>
            <w:pPr>
              <w:pStyle w:val="TableParagraph"/>
              <w:spacing w:before="36"/>
              <w:ind w:left="171" w:right="151"/>
              <w:rPr>
                <w:sz w:val="21"/>
              </w:rPr>
            </w:pPr>
            <w:r>
              <w:rPr>
                <w:sz w:val="21"/>
              </w:rPr>
              <w:t>3.08E-101</w:t>
            </w:r>
          </w:p>
        </w:tc>
        <w:tc>
          <w:tcPr>
            <w:tcW w:w="1180" w:type="dxa"/>
            <w:tcBorders>
              <w:top w:val="single" w:sz="6" w:space="0" w:color="000000"/>
              <w:left w:val="single" w:sz="6" w:space="0" w:color="000000"/>
            </w:tcBorders>
          </w:tcPr>
          <w:p>
            <w:pPr>
              <w:pStyle w:val="TableParagraph"/>
              <w:spacing w:before="36"/>
              <w:ind w:left="184" w:right="157"/>
              <w:rPr>
                <w:sz w:val="21"/>
              </w:rPr>
            </w:pPr>
            <w:r>
              <w:rPr>
                <w:sz w:val="21"/>
              </w:rPr>
              <w:t>2.84E-86</w:t>
            </w:r>
          </w:p>
        </w:tc>
      </w:tr>
    </w:tbl>
    <w:p>
      <w:pPr>
        <w:spacing w:after="0"/>
        <w:rPr>
          <w:sz w:val="21"/>
        </w:rPr>
        <w:sectPr>
          <w:pgSz w:w="16840" w:h="11910" w:orient="landscape"/>
          <w:pgMar w:header="874" w:footer="1004" w:top="1100" w:bottom="1200" w:left="1200" w:right="1200"/>
        </w:sectPr>
      </w:pPr>
    </w:p>
    <w:p>
      <w:pPr>
        <w:pStyle w:val="ListParagraph"/>
        <w:numPr>
          <w:ilvl w:val="2"/>
          <w:numId w:val="70"/>
        </w:numPr>
        <w:tabs>
          <w:tab w:pos="838" w:val="left" w:leader="none"/>
        </w:tabs>
        <w:spacing w:line="240" w:lineRule="auto" w:before="92" w:after="0"/>
        <w:ind w:left="837" w:right="0" w:hanging="601"/>
        <w:jc w:val="left"/>
        <w:rPr>
          <w:b/>
          <w:sz w:val="24"/>
        </w:rPr>
      </w:pPr>
      <w:bookmarkStart w:name="_bookmark88" w:id="170"/>
      <w:bookmarkEnd w:id="170"/>
      <w:r>
        <w:rPr/>
      </w:r>
      <w:bookmarkStart w:name="_bookmark88" w:id="171"/>
      <w:bookmarkEnd w:id="171"/>
      <w:r>
        <w:rPr>
          <w:b/>
          <w:sz w:val="24"/>
        </w:rPr>
        <w:t>大气环境影响预测与评价</w:t>
      </w:r>
    </w:p>
    <w:p>
      <w:pPr>
        <w:spacing w:before="160"/>
        <w:ind w:left="719" w:right="0" w:firstLine="0"/>
        <w:jc w:val="left"/>
        <w:rPr>
          <w:b/>
          <w:sz w:val="24"/>
        </w:rPr>
      </w:pPr>
      <w:r>
        <w:rPr>
          <w:rFonts w:ascii="Times New Roman" w:eastAsia="Times New Roman"/>
          <w:b/>
          <w:sz w:val="24"/>
        </w:rPr>
        <w:t>1</w:t>
      </w:r>
      <w:r>
        <w:rPr>
          <w:b/>
          <w:sz w:val="24"/>
        </w:rPr>
        <w:t>、大气环境影响评价等级判定</w:t>
      </w:r>
    </w:p>
    <w:p>
      <w:pPr>
        <w:pStyle w:val="ListParagraph"/>
        <w:numPr>
          <w:ilvl w:val="3"/>
          <w:numId w:val="70"/>
        </w:numPr>
        <w:tabs>
          <w:tab w:pos="1323" w:val="left" w:leader="none"/>
        </w:tabs>
        <w:spacing w:line="240" w:lineRule="auto" w:before="161" w:after="0"/>
        <w:ind w:left="1323" w:right="0" w:hanging="604"/>
        <w:jc w:val="left"/>
        <w:rPr>
          <w:b/>
          <w:sz w:val="22"/>
        </w:rPr>
      </w:pPr>
      <w:r>
        <w:rPr>
          <w:b/>
          <w:sz w:val="24"/>
        </w:rPr>
        <w:t>评价因子和评价标准筛选</w:t>
      </w:r>
    </w:p>
    <w:p>
      <w:pPr>
        <w:pStyle w:val="BodyText"/>
        <w:spacing w:line="364" w:lineRule="auto" w:before="160"/>
        <w:ind w:right="252" w:firstLine="480"/>
        <w:jc w:val="both"/>
      </w:pPr>
      <w:r>
        <w:rPr/>
        <w:t>项目排放的废气主要是猪舍臭气、粪污处理臭气、猪粪发酵臭气、病死猪处理臭气</w:t>
      </w:r>
      <w:r>
        <w:rPr>
          <w:spacing w:val="-2"/>
          <w:position w:val="2"/>
        </w:rPr>
        <w:t>及沼气锅炉废气，涉及的污染因子主要为 </w:t>
      </w:r>
      <w:r>
        <w:rPr>
          <w:rFonts w:ascii="Times New Roman" w:eastAsia="Times New Roman"/>
          <w:position w:val="2"/>
        </w:rPr>
        <w:t>NH</w:t>
      </w:r>
      <w:r>
        <w:rPr>
          <w:rFonts w:ascii="Times New Roman" w:eastAsia="Times New Roman"/>
          <w:sz w:val="16"/>
        </w:rPr>
        <w:t>3</w:t>
      </w:r>
      <w:r>
        <w:rPr>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w:t>
      </w:r>
      <w:r>
        <w:rPr>
          <w:position w:val="2"/>
        </w:rPr>
        <w:t>、</w:t>
      </w:r>
      <w:r>
        <w:rPr>
          <w:rFonts w:ascii="Times New Roman" w:eastAsia="Times New Roman"/>
          <w:position w:val="2"/>
        </w:rPr>
        <w:t>NO</w:t>
      </w:r>
      <w:r>
        <w:rPr>
          <w:rFonts w:ascii="Times New Roman" w:eastAsia="Times New Roman"/>
          <w:sz w:val="16"/>
        </w:rPr>
        <w:t>x</w:t>
      </w:r>
      <w:r>
        <w:rPr>
          <w:position w:val="2"/>
        </w:rPr>
        <w:t>、</w:t>
      </w:r>
      <w:r>
        <w:rPr>
          <w:rFonts w:ascii="Times New Roman" w:eastAsia="Times New Roman"/>
          <w:position w:val="2"/>
        </w:rPr>
        <w:t>SO</w:t>
      </w:r>
      <w:r>
        <w:rPr>
          <w:rFonts w:ascii="Times New Roman" w:eastAsia="Times New Roman"/>
          <w:sz w:val="16"/>
        </w:rPr>
        <w:t>2 </w:t>
      </w:r>
      <w:r>
        <w:rPr>
          <w:spacing w:val="-2"/>
          <w:position w:val="2"/>
        </w:rPr>
        <w:t>等，其具体评价标准见</w:t>
      </w:r>
      <w:r>
        <w:rPr>
          <w:spacing w:val="-32"/>
        </w:rPr>
        <w:t>表 </w:t>
      </w:r>
      <w:r>
        <w:rPr>
          <w:rFonts w:ascii="Times New Roman" w:eastAsia="Times New Roman"/>
          <w:position w:val="1"/>
        </w:rPr>
        <w:t>2.3-3</w:t>
      </w:r>
      <w:r>
        <w:rPr/>
        <w:t>。</w:t>
      </w:r>
    </w:p>
    <w:p>
      <w:pPr>
        <w:pStyle w:val="Heading3"/>
        <w:numPr>
          <w:ilvl w:val="3"/>
          <w:numId w:val="70"/>
        </w:numPr>
        <w:tabs>
          <w:tab w:pos="1323" w:val="left" w:leader="none"/>
        </w:tabs>
        <w:spacing w:line="240" w:lineRule="auto" w:before="2" w:after="0"/>
        <w:ind w:left="1323" w:right="0" w:hanging="604"/>
        <w:jc w:val="left"/>
        <w:rPr>
          <w:sz w:val="22"/>
        </w:rPr>
      </w:pPr>
      <w:r>
        <w:rPr>
          <w:w w:val="95"/>
        </w:rPr>
        <w:t>评价等级确定</w:t>
      </w:r>
    </w:p>
    <w:p>
      <w:pPr>
        <w:pStyle w:val="BodyText"/>
        <w:spacing w:line="364" w:lineRule="auto" w:before="160"/>
        <w:ind w:right="249" w:firstLine="480"/>
      </w:pPr>
      <w:r>
        <w:rPr>
          <w:spacing w:val="-7"/>
        </w:rPr>
        <w:t>根据工程分析的结果，采用 </w:t>
      </w:r>
      <w:r>
        <w:rPr>
          <w:rFonts w:ascii="Times New Roman" w:eastAsia="Times New Roman"/>
          <w:position w:val="1"/>
        </w:rPr>
        <w:t>HJ 2.2-2018 </w:t>
      </w:r>
      <w:r>
        <w:rPr>
          <w:spacing w:val="-1"/>
        </w:rPr>
        <w:t>推荐模式清单中的估算模式分别计算上述因</w:t>
      </w:r>
      <w:r>
        <w:rPr/>
        <w:t>子的最大地面空气质量浓度占标率。</w:t>
      </w:r>
    </w:p>
    <w:p>
      <w:pPr>
        <w:pStyle w:val="Heading3"/>
        <w:numPr>
          <w:ilvl w:val="0"/>
          <w:numId w:val="71"/>
        </w:numPr>
        <w:tabs>
          <w:tab w:pos="1082" w:val="left" w:leader="none"/>
        </w:tabs>
        <w:spacing w:line="240" w:lineRule="auto" w:before="2" w:after="0"/>
        <w:ind w:left="1081" w:right="0" w:hanging="363"/>
        <w:jc w:val="left"/>
      </w:pPr>
      <w:r>
        <w:rPr/>
        <w:t>估算因子源强及参数</w:t>
      </w:r>
    </w:p>
    <w:p>
      <w:pPr>
        <w:pStyle w:val="BodyText"/>
        <w:spacing w:before="161"/>
        <w:ind w:left="717"/>
      </w:pPr>
      <w:r>
        <w:rPr/>
        <w:t>根据工程分析，本项目各废气污染物的源强参数见表 </w:t>
      </w:r>
      <w:r>
        <w:rPr>
          <w:rFonts w:ascii="Times New Roman" w:eastAsia="Times New Roman"/>
          <w:position w:val="1"/>
        </w:rPr>
        <w:t>5.2-6</w:t>
      </w:r>
      <w:r>
        <w:rPr/>
        <w:t>。</w:t>
      </w:r>
    </w:p>
    <w:p>
      <w:pPr>
        <w:pStyle w:val="Heading3"/>
        <w:numPr>
          <w:ilvl w:val="0"/>
          <w:numId w:val="71"/>
        </w:numPr>
        <w:tabs>
          <w:tab w:pos="1082" w:val="left" w:leader="none"/>
        </w:tabs>
        <w:spacing w:line="240" w:lineRule="auto" w:before="160" w:after="0"/>
        <w:ind w:left="1081" w:right="0" w:hanging="363"/>
        <w:jc w:val="left"/>
      </w:pPr>
      <w:r>
        <w:rPr/>
        <w:t>估算模型参数</w:t>
      </w:r>
    </w:p>
    <w:p>
      <w:pPr>
        <w:spacing w:before="161"/>
        <w:ind w:left="219" w:right="236" w:firstLine="0"/>
        <w:jc w:val="center"/>
        <w:rPr>
          <w:b/>
          <w:sz w:val="24"/>
        </w:rPr>
      </w:pPr>
      <w:r>
        <w:rPr>
          <w:b/>
          <w:sz w:val="24"/>
        </w:rPr>
        <w:t>表 </w:t>
      </w:r>
      <w:r>
        <w:rPr>
          <w:rFonts w:ascii="Times New Roman" w:eastAsia="Times New Roman"/>
          <w:b/>
          <w:sz w:val="24"/>
        </w:rPr>
        <w:t>5.2-7  </w:t>
      </w:r>
      <w:r>
        <w:rPr>
          <w:b/>
          <w:sz w:val="24"/>
        </w:rPr>
        <w:t>估算模型参数表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92"/>
        <w:gridCol w:w="2677"/>
        <w:gridCol w:w="4564"/>
      </w:tblGrid>
      <w:tr>
        <w:trPr>
          <w:trHeight w:val="359" w:hRule="atLeast"/>
        </w:trPr>
        <w:tc>
          <w:tcPr>
            <w:tcW w:w="4869" w:type="dxa"/>
            <w:gridSpan w:val="2"/>
            <w:tcBorders>
              <w:bottom w:val="single" w:sz="6" w:space="0" w:color="000000"/>
              <w:right w:val="single" w:sz="6" w:space="0" w:color="000000"/>
            </w:tcBorders>
          </w:tcPr>
          <w:p>
            <w:pPr>
              <w:pStyle w:val="TableParagraph"/>
              <w:spacing w:before="46"/>
              <w:ind w:left="1648" w:right="1628"/>
              <w:rPr>
                <w:rFonts w:ascii="宋体" w:eastAsia="宋体" w:hint="eastAsia"/>
                <w:b/>
                <w:sz w:val="21"/>
              </w:rPr>
            </w:pPr>
            <w:r>
              <w:rPr>
                <w:rFonts w:ascii="宋体" w:eastAsia="宋体" w:hint="eastAsia"/>
                <w:b/>
                <w:sz w:val="21"/>
              </w:rPr>
              <w:t>参数</w:t>
            </w:r>
          </w:p>
        </w:tc>
        <w:tc>
          <w:tcPr>
            <w:tcW w:w="4564" w:type="dxa"/>
            <w:tcBorders>
              <w:left w:val="single" w:sz="6" w:space="0" w:color="000000"/>
              <w:bottom w:val="single" w:sz="6" w:space="0" w:color="000000"/>
            </w:tcBorders>
          </w:tcPr>
          <w:p>
            <w:pPr>
              <w:pStyle w:val="TableParagraph"/>
              <w:spacing w:before="46"/>
              <w:ind w:left="31"/>
              <w:rPr>
                <w:rFonts w:ascii="宋体" w:eastAsia="宋体" w:hint="eastAsia"/>
                <w:b/>
                <w:sz w:val="21"/>
              </w:rPr>
            </w:pPr>
            <w:r>
              <w:rPr>
                <w:rFonts w:ascii="宋体" w:eastAsia="宋体" w:hint="eastAsia"/>
                <w:b/>
                <w:sz w:val="21"/>
              </w:rPr>
              <w:t>取值</w:t>
            </w:r>
          </w:p>
        </w:tc>
      </w:tr>
      <w:tr>
        <w:trPr>
          <w:trHeight w:val="359" w:hRule="atLeast"/>
        </w:trPr>
        <w:tc>
          <w:tcPr>
            <w:tcW w:w="219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433"/>
              <w:jc w:val="left"/>
              <w:rPr>
                <w:rFonts w:ascii="宋体" w:eastAsia="宋体" w:hint="eastAsia"/>
                <w:sz w:val="21"/>
              </w:rPr>
            </w:pPr>
            <w:r>
              <w:rPr>
                <w:rFonts w:ascii="宋体" w:eastAsia="宋体" w:hint="eastAsia"/>
                <w:sz w:val="21"/>
              </w:rPr>
              <w:t>城市</w:t>
            </w:r>
            <w:r>
              <w:rPr>
                <w:position w:val="1"/>
                <w:sz w:val="21"/>
              </w:rPr>
              <w:t>/</w:t>
            </w:r>
            <w:r>
              <w:rPr>
                <w:rFonts w:ascii="宋体" w:eastAsia="宋体" w:hint="eastAsia"/>
                <w:sz w:val="21"/>
              </w:rPr>
              <w:t>农村选项</w:t>
            </w: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before="46"/>
              <w:ind w:left="268" w:right="248"/>
              <w:rPr>
                <w:rFonts w:ascii="宋体" w:eastAsia="宋体" w:hint="eastAsia"/>
                <w:sz w:val="21"/>
              </w:rPr>
            </w:pPr>
            <w:r>
              <w:rPr>
                <w:rFonts w:ascii="宋体" w:eastAsia="宋体" w:hint="eastAsia"/>
                <w:sz w:val="21"/>
              </w:rPr>
              <w:t>城市</w:t>
            </w:r>
            <w:r>
              <w:rPr>
                <w:position w:val="1"/>
                <w:sz w:val="21"/>
              </w:rPr>
              <w:t>/</w:t>
            </w:r>
            <w:r>
              <w:rPr>
                <w:rFonts w:ascii="宋体" w:eastAsia="宋体" w:hint="eastAsia"/>
                <w:sz w:val="21"/>
              </w:rPr>
              <w:t>农村</w:t>
            </w:r>
          </w:p>
        </w:tc>
        <w:tc>
          <w:tcPr>
            <w:tcW w:w="4564" w:type="dxa"/>
            <w:tcBorders>
              <w:top w:val="single" w:sz="6" w:space="0" w:color="000000"/>
              <w:left w:val="single" w:sz="6" w:space="0" w:color="000000"/>
              <w:bottom w:val="single" w:sz="6" w:space="0" w:color="000000"/>
            </w:tcBorders>
          </w:tcPr>
          <w:p>
            <w:pPr>
              <w:pStyle w:val="TableParagraph"/>
              <w:spacing w:before="46"/>
              <w:ind w:left="31"/>
              <w:rPr>
                <w:rFonts w:ascii="宋体" w:eastAsia="宋体" w:hint="eastAsia"/>
                <w:sz w:val="21"/>
              </w:rPr>
            </w:pPr>
            <w:r>
              <w:rPr>
                <w:rFonts w:ascii="宋体" w:eastAsia="宋体" w:hint="eastAsia"/>
                <w:sz w:val="21"/>
              </w:rPr>
              <w:t>农村</w:t>
            </w:r>
          </w:p>
        </w:tc>
      </w:tr>
      <w:tr>
        <w:trPr>
          <w:trHeight w:val="357" w:hRule="atLeast"/>
        </w:trPr>
        <w:tc>
          <w:tcPr>
            <w:tcW w:w="2192" w:type="dxa"/>
            <w:vMerge/>
            <w:tcBorders>
              <w:top w:val="nil"/>
              <w:bottom w:val="single" w:sz="6" w:space="0" w:color="000000"/>
              <w:right w:val="single" w:sz="6" w:space="0" w:color="000000"/>
            </w:tcBorders>
          </w:tcPr>
          <w:p>
            <w:pPr>
              <w:rPr>
                <w:sz w:val="2"/>
                <w:szCs w:val="2"/>
              </w:rPr>
            </w:pP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before="46"/>
              <w:ind w:left="273" w:right="248"/>
              <w:rPr>
                <w:rFonts w:ascii="宋体" w:eastAsia="宋体" w:hint="eastAsia"/>
                <w:sz w:val="21"/>
              </w:rPr>
            </w:pPr>
            <w:r>
              <w:rPr>
                <w:rFonts w:ascii="宋体" w:eastAsia="宋体" w:hint="eastAsia"/>
                <w:sz w:val="21"/>
              </w:rPr>
              <w:t>人口数（城市选项时）</w:t>
            </w:r>
          </w:p>
        </w:tc>
        <w:tc>
          <w:tcPr>
            <w:tcW w:w="4564" w:type="dxa"/>
            <w:tcBorders>
              <w:top w:val="single" w:sz="6" w:space="0" w:color="000000"/>
              <w:left w:val="single" w:sz="6" w:space="0" w:color="000000"/>
              <w:bottom w:val="single" w:sz="6" w:space="0" w:color="000000"/>
            </w:tcBorders>
          </w:tcPr>
          <w:p>
            <w:pPr>
              <w:pStyle w:val="TableParagraph"/>
              <w:ind w:left="32"/>
              <w:rPr>
                <w:sz w:val="21"/>
              </w:rPr>
            </w:pPr>
            <w:r>
              <w:rPr>
                <w:w w:val="100"/>
                <w:sz w:val="21"/>
              </w:rPr>
              <w:t>/</w:t>
            </w:r>
          </w:p>
        </w:tc>
      </w:tr>
      <w:tr>
        <w:trPr>
          <w:trHeight w:val="359" w:hRule="atLeast"/>
        </w:trPr>
        <w:tc>
          <w:tcPr>
            <w:tcW w:w="4869" w:type="dxa"/>
            <w:gridSpan w:val="2"/>
            <w:tcBorders>
              <w:top w:val="single" w:sz="6" w:space="0" w:color="000000"/>
              <w:bottom w:val="single" w:sz="6" w:space="0" w:color="000000"/>
              <w:right w:val="single" w:sz="6" w:space="0" w:color="000000"/>
            </w:tcBorders>
          </w:tcPr>
          <w:p>
            <w:pPr>
              <w:pStyle w:val="TableParagraph"/>
              <w:spacing w:before="49"/>
              <w:ind w:left="1648" w:right="1629"/>
              <w:rPr>
                <w:rFonts w:ascii="宋体" w:hAnsi="宋体" w:eastAsia="宋体" w:hint="eastAsia"/>
                <w:sz w:val="21"/>
              </w:rPr>
            </w:pPr>
            <w:r>
              <w:rPr>
                <w:rFonts w:ascii="宋体" w:hAnsi="宋体" w:eastAsia="宋体" w:hint="eastAsia"/>
                <w:sz w:val="21"/>
              </w:rPr>
              <w:t>最高环境温度</w:t>
            </w:r>
            <w:r>
              <w:rPr>
                <w:position w:val="1"/>
                <w:sz w:val="21"/>
              </w:rPr>
              <w:t>/</w:t>
            </w:r>
            <w:r>
              <w:rPr>
                <w:rFonts w:ascii="宋体" w:hAnsi="宋体" w:eastAsia="宋体" w:hint="eastAsia"/>
                <w:sz w:val="21"/>
              </w:rPr>
              <w:t>℃</w:t>
            </w:r>
          </w:p>
        </w:tc>
        <w:tc>
          <w:tcPr>
            <w:tcW w:w="4564" w:type="dxa"/>
            <w:tcBorders>
              <w:top w:val="single" w:sz="6" w:space="0" w:color="000000"/>
              <w:left w:val="single" w:sz="6" w:space="0" w:color="000000"/>
              <w:bottom w:val="single" w:sz="6" w:space="0" w:color="000000"/>
            </w:tcBorders>
          </w:tcPr>
          <w:p>
            <w:pPr>
              <w:pStyle w:val="TableParagraph"/>
              <w:spacing w:before="60"/>
              <w:ind w:left="34"/>
              <w:rPr>
                <w:sz w:val="21"/>
              </w:rPr>
            </w:pPr>
            <w:r>
              <w:rPr>
                <w:sz w:val="21"/>
              </w:rPr>
              <w:t>-10.2</w:t>
            </w:r>
          </w:p>
        </w:tc>
      </w:tr>
      <w:tr>
        <w:trPr>
          <w:trHeight w:val="359" w:hRule="atLeast"/>
        </w:trPr>
        <w:tc>
          <w:tcPr>
            <w:tcW w:w="4869" w:type="dxa"/>
            <w:gridSpan w:val="2"/>
            <w:tcBorders>
              <w:top w:val="single" w:sz="6" w:space="0" w:color="000000"/>
              <w:bottom w:val="single" w:sz="6" w:space="0" w:color="000000"/>
              <w:right w:val="single" w:sz="6" w:space="0" w:color="000000"/>
            </w:tcBorders>
          </w:tcPr>
          <w:p>
            <w:pPr>
              <w:pStyle w:val="TableParagraph"/>
              <w:spacing w:before="46"/>
              <w:ind w:left="1648" w:right="1629"/>
              <w:rPr>
                <w:rFonts w:ascii="宋体" w:hAnsi="宋体" w:eastAsia="宋体" w:hint="eastAsia"/>
                <w:sz w:val="21"/>
              </w:rPr>
            </w:pPr>
            <w:r>
              <w:rPr>
                <w:rFonts w:ascii="宋体" w:hAnsi="宋体" w:eastAsia="宋体" w:hint="eastAsia"/>
                <w:sz w:val="21"/>
              </w:rPr>
              <w:t>最低环境温度</w:t>
            </w:r>
            <w:r>
              <w:rPr>
                <w:position w:val="1"/>
                <w:sz w:val="21"/>
              </w:rPr>
              <w:t>/</w:t>
            </w:r>
            <w:r>
              <w:rPr>
                <w:rFonts w:ascii="宋体" w:hAnsi="宋体" w:eastAsia="宋体" w:hint="eastAsia"/>
                <w:sz w:val="21"/>
              </w:rPr>
              <w:t>℃</w:t>
            </w:r>
          </w:p>
        </w:tc>
        <w:tc>
          <w:tcPr>
            <w:tcW w:w="4564" w:type="dxa"/>
            <w:tcBorders>
              <w:top w:val="single" w:sz="6" w:space="0" w:color="000000"/>
              <w:left w:val="single" w:sz="6" w:space="0" w:color="000000"/>
              <w:bottom w:val="single" w:sz="6" w:space="0" w:color="000000"/>
            </w:tcBorders>
          </w:tcPr>
          <w:p>
            <w:pPr>
              <w:pStyle w:val="TableParagraph"/>
              <w:ind w:left="31"/>
              <w:rPr>
                <w:sz w:val="21"/>
              </w:rPr>
            </w:pPr>
            <w:r>
              <w:rPr>
                <w:sz w:val="21"/>
              </w:rPr>
              <w:t>38.6</w:t>
            </w:r>
          </w:p>
        </w:tc>
      </w:tr>
      <w:tr>
        <w:trPr>
          <w:trHeight w:val="359" w:hRule="atLeast"/>
        </w:trPr>
        <w:tc>
          <w:tcPr>
            <w:tcW w:w="4869" w:type="dxa"/>
            <w:gridSpan w:val="2"/>
            <w:tcBorders>
              <w:top w:val="single" w:sz="6" w:space="0" w:color="000000"/>
              <w:bottom w:val="single" w:sz="6" w:space="0" w:color="000000"/>
              <w:right w:val="single" w:sz="6" w:space="0" w:color="000000"/>
            </w:tcBorders>
          </w:tcPr>
          <w:p>
            <w:pPr>
              <w:pStyle w:val="TableParagraph"/>
              <w:spacing w:before="46"/>
              <w:ind w:left="1648" w:right="1629"/>
              <w:rPr>
                <w:rFonts w:ascii="宋体" w:eastAsia="宋体" w:hint="eastAsia"/>
                <w:sz w:val="21"/>
              </w:rPr>
            </w:pPr>
            <w:r>
              <w:rPr>
                <w:rFonts w:ascii="宋体" w:eastAsia="宋体" w:hint="eastAsia"/>
                <w:sz w:val="21"/>
              </w:rPr>
              <w:t>土地利用类型</w:t>
            </w:r>
          </w:p>
        </w:tc>
        <w:tc>
          <w:tcPr>
            <w:tcW w:w="4564" w:type="dxa"/>
            <w:tcBorders>
              <w:top w:val="single" w:sz="6" w:space="0" w:color="000000"/>
              <w:left w:val="single" w:sz="6" w:space="0" w:color="000000"/>
              <w:bottom w:val="single" w:sz="6" w:space="0" w:color="000000"/>
            </w:tcBorders>
          </w:tcPr>
          <w:p>
            <w:pPr>
              <w:pStyle w:val="TableParagraph"/>
              <w:spacing w:before="46"/>
              <w:ind w:left="31"/>
              <w:rPr>
                <w:rFonts w:ascii="宋体" w:eastAsia="宋体" w:hint="eastAsia"/>
                <w:sz w:val="21"/>
              </w:rPr>
            </w:pPr>
            <w:r>
              <w:rPr>
                <w:rFonts w:ascii="宋体" w:eastAsia="宋体" w:hint="eastAsia"/>
                <w:sz w:val="21"/>
              </w:rPr>
              <w:t>针叶林</w:t>
            </w:r>
          </w:p>
        </w:tc>
      </w:tr>
      <w:tr>
        <w:trPr>
          <w:trHeight w:val="356" w:hRule="atLeast"/>
        </w:trPr>
        <w:tc>
          <w:tcPr>
            <w:tcW w:w="4869" w:type="dxa"/>
            <w:gridSpan w:val="2"/>
            <w:tcBorders>
              <w:top w:val="single" w:sz="6" w:space="0" w:color="000000"/>
              <w:bottom w:val="single" w:sz="6" w:space="0" w:color="000000"/>
              <w:right w:val="single" w:sz="6" w:space="0" w:color="000000"/>
            </w:tcBorders>
          </w:tcPr>
          <w:p>
            <w:pPr>
              <w:pStyle w:val="TableParagraph"/>
              <w:spacing w:before="46"/>
              <w:ind w:left="1648" w:right="1629"/>
              <w:rPr>
                <w:rFonts w:ascii="宋体" w:eastAsia="宋体" w:hint="eastAsia"/>
                <w:sz w:val="21"/>
              </w:rPr>
            </w:pPr>
            <w:r>
              <w:rPr>
                <w:rFonts w:ascii="宋体" w:eastAsia="宋体" w:hint="eastAsia"/>
                <w:sz w:val="21"/>
              </w:rPr>
              <w:t>区域湿度条件</w:t>
            </w:r>
          </w:p>
        </w:tc>
        <w:tc>
          <w:tcPr>
            <w:tcW w:w="4564" w:type="dxa"/>
            <w:tcBorders>
              <w:top w:val="single" w:sz="6" w:space="0" w:color="000000"/>
              <w:left w:val="single" w:sz="6" w:space="0" w:color="000000"/>
              <w:bottom w:val="single" w:sz="6" w:space="0" w:color="000000"/>
            </w:tcBorders>
          </w:tcPr>
          <w:p>
            <w:pPr>
              <w:pStyle w:val="TableParagraph"/>
              <w:spacing w:before="46"/>
              <w:ind w:left="34"/>
              <w:rPr>
                <w:rFonts w:ascii="宋体" w:eastAsia="宋体" w:hint="eastAsia"/>
                <w:sz w:val="21"/>
              </w:rPr>
            </w:pPr>
            <w:r>
              <w:rPr>
                <w:rFonts w:ascii="宋体" w:eastAsia="宋体" w:hint="eastAsia"/>
                <w:sz w:val="21"/>
              </w:rPr>
              <w:t>潮湿气候</w:t>
            </w:r>
          </w:p>
        </w:tc>
      </w:tr>
      <w:tr>
        <w:trPr>
          <w:trHeight w:val="359" w:hRule="atLeast"/>
        </w:trPr>
        <w:tc>
          <w:tcPr>
            <w:tcW w:w="219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462"/>
              <w:jc w:val="left"/>
              <w:rPr>
                <w:rFonts w:ascii="宋体" w:eastAsia="宋体" w:hint="eastAsia"/>
                <w:sz w:val="21"/>
              </w:rPr>
            </w:pPr>
            <w:r>
              <w:rPr>
                <w:rFonts w:ascii="宋体" w:eastAsia="宋体" w:hint="eastAsia"/>
                <w:sz w:val="21"/>
              </w:rPr>
              <w:t>是否考虑地形</w:t>
            </w: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before="49"/>
              <w:ind w:left="270" w:right="248"/>
              <w:rPr>
                <w:rFonts w:ascii="宋体" w:eastAsia="宋体" w:hint="eastAsia"/>
                <w:sz w:val="21"/>
              </w:rPr>
            </w:pPr>
            <w:r>
              <w:rPr>
                <w:rFonts w:ascii="宋体" w:eastAsia="宋体" w:hint="eastAsia"/>
                <w:sz w:val="21"/>
              </w:rPr>
              <w:t>考虑地形</w:t>
            </w:r>
          </w:p>
        </w:tc>
        <w:tc>
          <w:tcPr>
            <w:tcW w:w="4564" w:type="dxa"/>
            <w:tcBorders>
              <w:top w:val="single" w:sz="6" w:space="0" w:color="000000"/>
              <w:left w:val="single" w:sz="6" w:space="0" w:color="000000"/>
              <w:bottom w:val="single" w:sz="6" w:space="0" w:color="000000"/>
            </w:tcBorders>
          </w:tcPr>
          <w:p>
            <w:pPr>
              <w:pStyle w:val="TableParagraph"/>
              <w:tabs>
                <w:tab w:pos="977" w:val="left" w:leader="none"/>
              </w:tabs>
              <w:spacing w:before="49"/>
              <w:ind w:left="31"/>
              <w:rPr>
                <w:rFonts w:ascii="宋体" w:hAnsi="宋体" w:eastAsia="宋体" w:hint="eastAsia"/>
                <w:sz w:val="21"/>
              </w:rPr>
            </w:pPr>
            <w:r>
              <w:rPr>
                <w:rFonts w:ascii="MS Gothic" w:hAnsi="MS Gothic" w:eastAsia="MS Gothic" w:hint="eastAsia"/>
                <w:sz w:val="21"/>
              </w:rPr>
              <w:t>☑</w:t>
            </w:r>
            <w:r>
              <w:rPr>
                <w:rFonts w:ascii="宋体" w:hAnsi="宋体" w:eastAsia="宋体" w:hint="eastAsia"/>
                <w:sz w:val="21"/>
              </w:rPr>
              <w:t>是</w:t>
              <w:tab/>
              <w:t>□否</w:t>
            </w:r>
          </w:p>
        </w:tc>
      </w:tr>
      <w:tr>
        <w:trPr>
          <w:trHeight w:val="359" w:hRule="atLeast"/>
        </w:trPr>
        <w:tc>
          <w:tcPr>
            <w:tcW w:w="2192" w:type="dxa"/>
            <w:vMerge/>
            <w:tcBorders>
              <w:top w:val="nil"/>
              <w:bottom w:val="single" w:sz="6" w:space="0" w:color="000000"/>
              <w:right w:val="single" w:sz="6" w:space="0" w:color="000000"/>
            </w:tcBorders>
          </w:tcPr>
          <w:p>
            <w:pPr>
              <w:rPr>
                <w:sz w:val="2"/>
                <w:szCs w:val="2"/>
              </w:rPr>
            </w:pP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before="46"/>
              <w:ind w:left="272" w:right="248"/>
              <w:rPr>
                <w:sz w:val="21"/>
              </w:rPr>
            </w:pPr>
            <w:r>
              <w:rPr>
                <w:rFonts w:ascii="宋体" w:eastAsia="宋体" w:hint="eastAsia"/>
                <w:sz w:val="21"/>
              </w:rPr>
              <w:t>地形数据分辨率</w:t>
            </w:r>
            <w:r>
              <w:rPr>
                <w:position w:val="1"/>
                <w:sz w:val="21"/>
              </w:rPr>
              <w:t>/m</w:t>
            </w:r>
          </w:p>
        </w:tc>
        <w:tc>
          <w:tcPr>
            <w:tcW w:w="4564" w:type="dxa"/>
            <w:tcBorders>
              <w:top w:val="single" w:sz="6" w:space="0" w:color="000000"/>
              <w:left w:val="single" w:sz="6" w:space="0" w:color="000000"/>
              <w:bottom w:val="single" w:sz="6" w:space="0" w:color="000000"/>
            </w:tcBorders>
          </w:tcPr>
          <w:p>
            <w:pPr>
              <w:pStyle w:val="TableParagraph"/>
              <w:spacing w:before="46"/>
              <w:ind w:left="33"/>
              <w:rPr>
                <w:rFonts w:ascii="宋体" w:hAnsi="宋体" w:eastAsia="宋体" w:hint="eastAsia"/>
                <w:sz w:val="21"/>
              </w:rPr>
            </w:pPr>
            <w:r>
              <w:rPr>
                <w:rFonts w:ascii="宋体" w:hAnsi="宋体" w:eastAsia="宋体" w:hint="eastAsia"/>
                <w:sz w:val="21"/>
              </w:rPr>
              <w:t>预测软件导入，符合导则要求（≮</w:t>
            </w:r>
            <w:r>
              <w:rPr>
                <w:position w:val="1"/>
                <w:sz w:val="21"/>
              </w:rPr>
              <w:t>90m</w:t>
            </w:r>
            <w:r>
              <w:rPr>
                <w:rFonts w:ascii="宋体" w:hAnsi="宋体" w:eastAsia="宋体" w:hint="eastAsia"/>
                <w:sz w:val="21"/>
              </w:rPr>
              <w:t>）</w:t>
            </w:r>
          </w:p>
        </w:tc>
      </w:tr>
      <w:tr>
        <w:trPr>
          <w:trHeight w:val="351" w:hRule="atLeast"/>
        </w:trPr>
        <w:tc>
          <w:tcPr>
            <w:tcW w:w="2192"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164"/>
              <w:ind w:left="253"/>
              <w:jc w:val="left"/>
              <w:rPr>
                <w:rFonts w:ascii="宋体" w:eastAsia="宋体" w:hint="eastAsia"/>
                <w:sz w:val="21"/>
              </w:rPr>
            </w:pPr>
            <w:r>
              <w:rPr>
                <w:rFonts w:ascii="宋体" w:eastAsia="宋体" w:hint="eastAsia"/>
                <w:sz w:val="21"/>
              </w:rPr>
              <w:t>是否考虑岸线熏烟</w:t>
            </w: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before="46"/>
              <w:ind w:left="272" w:right="248"/>
              <w:rPr>
                <w:rFonts w:ascii="宋体" w:eastAsia="宋体" w:hint="eastAsia"/>
                <w:sz w:val="21"/>
              </w:rPr>
            </w:pPr>
            <w:r>
              <w:rPr>
                <w:rFonts w:ascii="宋体" w:eastAsia="宋体" w:hint="eastAsia"/>
                <w:sz w:val="21"/>
              </w:rPr>
              <w:t>考虑岸线熏烟</w:t>
            </w:r>
          </w:p>
        </w:tc>
        <w:tc>
          <w:tcPr>
            <w:tcW w:w="4564" w:type="dxa"/>
            <w:tcBorders>
              <w:top w:val="single" w:sz="6" w:space="0" w:color="000000"/>
              <w:left w:val="single" w:sz="6" w:space="0" w:color="000000"/>
              <w:bottom w:val="single" w:sz="6" w:space="0" w:color="000000"/>
            </w:tcBorders>
          </w:tcPr>
          <w:p>
            <w:pPr>
              <w:pStyle w:val="TableParagraph"/>
              <w:tabs>
                <w:tab w:pos="977" w:val="left" w:leader="none"/>
              </w:tabs>
              <w:spacing w:before="46"/>
              <w:ind w:left="31"/>
              <w:rPr>
                <w:rFonts w:ascii="宋体" w:hAnsi="宋体" w:eastAsia="宋体" w:hint="eastAsia"/>
                <w:sz w:val="21"/>
              </w:rPr>
            </w:pPr>
            <w:r>
              <w:rPr>
                <w:rFonts w:ascii="宋体" w:hAnsi="宋体" w:eastAsia="宋体" w:hint="eastAsia"/>
                <w:sz w:val="21"/>
              </w:rPr>
              <w:t>□是</w:t>
              <w:tab/>
            </w:r>
            <w:r>
              <w:rPr>
                <w:rFonts w:ascii="MS Gothic" w:hAnsi="MS Gothic" w:eastAsia="MS Gothic" w:hint="eastAsia"/>
                <w:sz w:val="21"/>
              </w:rPr>
              <w:t>☑</w:t>
            </w:r>
            <w:r>
              <w:rPr>
                <w:rFonts w:ascii="宋体" w:hAnsi="宋体" w:eastAsia="宋体" w:hint="eastAsia"/>
                <w:sz w:val="21"/>
              </w:rPr>
              <w:t>否</w:t>
            </w:r>
          </w:p>
        </w:tc>
      </w:tr>
      <w:tr>
        <w:trPr>
          <w:trHeight w:val="341" w:hRule="atLeast"/>
        </w:trPr>
        <w:tc>
          <w:tcPr>
            <w:tcW w:w="2192" w:type="dxa"/>
            <w:vMerge/>
            <w:tcBorders>
              <w:top w:val="nil"/>
              <w:right w:val="single" w:sz="6" w:space="0" w:color="000000"/>
            </w:tcBorders>
          </w:tcPr>
          <w:p>
            <w:pPr>
              <w:rPr>
                <w:sz w:val="2"/>
                <w:szCs w:val="2"/>
              </w:rPr>
            </w:pPr>
          </w:p>
        </w:tc>
        <w:tc>
          <w:tcPr>
            <w:tcW w:w="2677" w:type="dxa"/>
            <w:tcBorders>
              <w:top w:val="single" w:sz="6" w:space="0" w:color="000000"/>
              <w:left w:val="single" w:sz="6" w:space="0" w:color="000000"/>
              <w:bottom w:val="single" w:sz="6" w:space="0" w:color="000000"/>
              <w:right w:val="single" w:sz="6" w:space="0" w:color="000000"/>
            </w:tcBorders>
          </w:tcPr>
          <w:p>
            <w:pPr>
              <w:pStyle w:val="TableParagraph"/>
              <w:spacing w:before="39"/>
              <w:ind w:left="271" w:right="248"/>
              <w:rPr>
                <w:sz w:val="21"/>
              </w:rPr>
            </w:pPr>
            <w:r>
              <w:rPr>
                <w:rFonts w:ascii="宋体" w:eastAsia="宋体" w:hint="eastAsia"/>
                <w:sz w:val="21"/>
              </w:rPr>
              <w:t>岸线距离</w:t>
            </w:r>
            <w:r>
              <w:rPr>
                <w:position w:val="1"/>
                <w:sz w:val="21"/>
              </w:rPr>
              <w:t>/km</w:t>
            </w:r>
          </w:p>
        </w:tc>
        <w:tc>
          <w:tcPr>
            <w:tcW w:w="4564" w:type="dxa"/>
            <w:tcBorders>
              <w:top w:val="single" w:sz="6" w:space="0" w:color="000000"/>
              <w:left w:val="single" w:sz="6" w:space="0" w:color="000000"/>
              <w:bottom w:val="single" w:sz="6" w:space="0" w:color="000000"/>
            </w:tcBorders>
          </w:tcPr>
          <w:p>
            <w:pPr>
              <w:pStyle w:val="TableParagraph"/>
              <w:spacing w:before="50"/>
              <w:ind w:left="32"/>
              <w:rPr>
                <w:sz w:val="21"/>
              </w:rPr>
            </w:pPr>
            <w:r>
              <w:rPr>
                <w:w w:val="100"/>
                <w:sz w:val="21"/>
              </w:rPr>
              <w:t>/</w:t>
            </w:r>
          </w:p>
        </w:tc>
      </w:tr>
      <w:tr>
        <w:trPr>
          <w:trHeight w:val="354" w:hRule="atLeast"/>
        </w:trPr>
        <w:tc>
          <w:tcPr>
            <w:tcW w:w="2192" w:type="dxa"/>
            <w:vMerge/>
            <w:tcBorders>
              <w:top w:val="nil"/>
              <w:right w:val="single" w:sz="6" w:space="0" w:color="000000"/>
            </w:tcBorders>
          </w:tcPr>
          <w:p>
            <w:pPr>
              <w:rPr>
                <w:sz w:val="2"/>
                <w:szCs w:val="2"/>
              </w:rPr>
            </w:pPr>
          </w:p>
        </w:tc>
        <w:tc>
          <w:tcPr>
            <w:tcW w:w="2677" w:type="dxa"/>
            <w:tcBorders>
              <w:top w:val="single" w:sz="6" w:space="0" w:color="000000"/>
              <w:left w:val="single" w:sz="6" w:space="0" w:color="000000"/>
              <w:right w:val="single" w:sz="6" w:space="0" w:color="000000"/>
            </w:tcBorders>
          </w:tcPr>
          <w:p>
            <w:pPr>
              <w:pStyle w:val="TableParagraph"/>
              <w:spacing w:before="41"/>
              <w:ind w:left="272" w:right="248"/>
              <w:rPr>
                <w:sz w:val="21"/>
              </w:rPr>
            </w:pPr>
            <w:r>
              <w:rPr>
                <w:rFonts w:ascii="宋体" w:hAnsi="宋体" w:eastAsia="宋体" w:hint="eastAsia"/>
                <w:sz w:val="21"/>
              </w:rPr>
              <w:t>岸线方向</w:t>
            </w:r>
            <w:r>
              <w:rPr>
                <w:position w:val="1"/>
                <w:sz w:val="21"/>
              </w:rPr>
              <w:t>/°</w:t>
            </w:r>
          </w:p>
        </w:tc>
        <w:tc>
          <w:tcPr>
            <w:tcW w:w="4564" w:type="dxa"/>
            <w:tcBorders>
              <w:top w:val="single" w:sz="6" w:space="0" w:color="000000"/>
              <w:left w:val="single" w:sz="6" w:space="0" w:color="000000"/>
            </w:tcBorders>
          </w:tcPr>
          <w:p>
            <w:pPr>
              <w:pStyle w:val="TableParagraph"/>
              <w:spacing w:before="53"/>
              <w:ind w:left="32"/>
              <w:rPr>
                <w:sz w:val="21"/>
              </w:rPr>
            </w:pPr>
            <w:r>
              <w:rPr>
                <w:w w:val="100"/>
                <w:sz w:val="21"/>
              </w:rPr>
              <w:t>/</w:t>
            </w:r>
          </w:p>
        </w:tc>
      </w:tr>
    </w:tbl>
    <w:p>
      <w:pPr>
        <w:pStyle w:val="ListParagraph"/>
        <w:numPr>
          <w:ilvl w:val="0"/>
          <w:numId w:val="71"/>
        </w:numPr>
        <w:tabs>
          <w:tab w:pos="1082" w:val="left" w:leader="none"/>
        </w:tabs>
        <w:spacing w:line="240" w:lineRule="auto" w:before="82" w:after="0"/>
        <w:ind w:left="1082" w:right="0" w:hanging="363"/>
        <w:jc w:val="left"/>
        <w:rPr>
          <w:b/>
          <w:sz w:val="24"/>
        </w:rPr>
      </w:pPr>
      <w:r>
        <w:rPr>
          <w:b/>
          <w:sz w:val="24"/>
        </w:rPr>
        <w:t>估算模式计算结果</w:t>
      </w:r>
    </w:p>
    <w:p>
      <w:pPr>
        <w:spacing w:line="364" w:lineRule="auto" w:before="161"/>
        <w:ind w:left="2697" w:right="720" w:hanging="1981"/>
        <w:jc w:val="left"/>
        <w:rPr>
          <w:b/>
          <w:sz w:val="24"/>
        </w:rPr>
      </w:pPr>
      <w:r>
        <w:rPr/>
        <w:pict>
          <v:shape style="position:absolute;margin-left:57.743999pt;margin-top:50.77pt;width:473.75pt;height:94.95pt;mso-position-horizontal-relative:page;mso-position-vertical-relative:paragraph;z-index:25184256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0"/>
                    <w:gridCol w:w="1011"/>
                    <w:gridCol w:w="1882"/>
                    <w:gridCol w:w="2269"/>
                    <w:gridCol w:w="2002"/>
                    <w:gridCol w:w="759"/>
                  </w:tblGrid>
                  <w:tr>
                    <w:trPr>
                      <w:trHeight w:val="716" w:hRule="atLeast"/>
                    </w:trPr>
                    <w:tc>
                      <w:tcPr>
                        <w:tcW w:w="1510" w:type="dxa"/>
                        <w:tcBorders>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251" w:right="233"/>
                          <w:rPr>
                            <w:rFonts w:ascii="宋体" w:eastAsia="宋体" w:hint="eastAsia"/>
                            <w:b/>
                            <w:sz w:val="21"/>
                          </w:rPr>
                        </w:pPr>
                        <w:r>
                          <w:rPr>
                            <w:rFonts w:ascii="宋体" w:eastAsia="宋体" w:hint="eastAsia"/>
                            <w:b/>
                            <w:sz w:val="21"/>
                          </w:rPr>
                          <w:t>污染源</w:t>
                        </w:r>
                      </w:p>
                    </w:tc>
                    <w:tc>
                      <w:tcPr>
                        <w:tcW w:w="1011"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22" w:right="102"/>
                          <w:rPr>
                            <w:rFonts w:ascii="宋体" w:eastAsia="宋体" w:hint="eastAsia"/>
                            <w:b/>
                            <w:sz w:val="21"/>
                          </w:rPr>
                        </w:pPr>
                        <w:r>
                          <w:rPr>
                            <w:rFonts w:ascii="宋体" w:eastAsia="宋体" w:hint="eastAsia"/>
                            <w:b/>
                            <w:sz w:val="21"/>
                          </w:rPr>
                          <w:t>污染物</w:t>
                        </w:r>
                      </w:p>
                    </w:tc>
                    <w:tc>
                      <w:tcPr>
                        <w:tcW w:w="1882" w:type="dxa"/>
                        <w:tcBorders>
                          <w:left w:val="single" w:sz="6" w:space="0" w:color="000000"/>
                          <w:bottom w:val="single" w:sz="6" w:space="0" w:color="000000"/>
                          <w:right w:val="single" w:sz="6" w:space="0" w:color="000000"/>
                        </w:tcBorders>
                      </w:tcPr>
                      <w:p>
                        <w:pPr>
                          <w:pStyle w:val="TableParagraph"/>
                          <w:spacing w:before="46"/>
                          <w:ind w:left="313"/>
                          <w:jc w:val="left"/>
                          <w:rPr>
                            <w:rFonts w:ascii="宋体" w:eastAsia="宋体" w:hint="eastAsia"/>
                            <w:b/>
                            <w:sz w:val="21"/>
                          </w:rPr>
                        </w:pPr>
                        <w:r>
                          <w:rPr>
                            <w:rFonts w:ascii="宋体" w:eastAsia="宋体" w:hint="eastAsia"/>
                            <w:b/>
                            <w:sz w:val="21"/>
                          </w:rPr>
                          <w:t>最大地面落地</w:t>
                        </w:r>
                      </w:p>
                      <w:p>
                        <w:pPr>
                          <w:pStyle w:val="TableParagraph"/>
                          <w:spacing w:before="91"/>
                          <w:ind w:left="265"/>
                          <w:jc w:val="left"/>
                          <w:rPr>
                            <w:rFonts w:ascii="宋体" w:hAnsi="宋体" w:eastAsia="宋体" w:hint="eastAsia"/>
                            <w:b/>
                            <w:sz w:val="21"/>
                          </w:rPr>
                        </w:pPr>
                        <w:r>
                          <w:rPr>
                            <w:rFonts w:ascii="宋体" w:hAnsi="宋体" w:eastAsia="宋体" w:hint="eastAsia"/>
                            <w:b/>
                            <w:spacing w:val="-1"/>
                            <w:sz w:val="21"/>
                          </w:rPr>
                          <w:t>浓度（</w:t>
                        </w:r>
                        <w:r>
                          <w:rPr>
                            <w:b/>
                            <w:spacing w:val="-1"/>
                            <w:sz w:val="21"/>
                          </w:rPr>
                          <w:t>μg/m³</w:t>
                        </w:r>
                        <w:r>
                          <w:rPr>
                            <w:rFonts w:ascii="宋体" w:hAnsi="宋体" w:eastAsia="宋体" w:hint="eastAsia"/>
                            <w:b/>
                            <w:spacing w:val="-1"/>
                            <w:sz w:val="21"/>
                          </w:rPr>
                          <w:t>）</w:t>
                        </w:r>
                      </w:p>
                    </w:tc>
                    <w:tc>
                      <w:tcPr>
                        <w:tcW w:w="2269" w:type="dxa"/>
                        <w:tcBorders>
                          <w:left w:val="single" w:sz="6" w:space="0" w:color="000000"/>
                          <w:bottom w:val="single" w:sz="6" w:space="0" w:color="000000"/>
                          <w:right w:val="single" w:sz="6" w:space="0" w:color="000000"/>
                        </w:tcBorders>
                      </w:tcPr>
                      <w:p>
                        <w:pPr>
                          <w:pStyle w:val="TableParagraph"/>
                          <w:spacing w:before="46"/>
                          <w:ind w:left="278" w:right="249"/>
                          <w:rPr>
                            <w:rFonts w:ascii="宋体" w:eastAsia="宋体" w:hint="eastAsia"/>
                            <w:b/>
                            <w:sz w:val="21"/>
                          </w:rPr>
                        </w:pPr>
                        <w:r>
                          <w:rPr>
                            <w:rFonts w:ascii="宋体" w:eastAsia="宋体" w:hint="eastAsia"/>
                            <w:b/>
                            <w:sz w:val="21"/>
                          </w:rPr>
                          <w:t>最大地面落地浓度</w:t>
                        </w:r>
                      </w:p>
                      <w:p>
                        <w:pPr>
                          <w:pStyle w:val="TableParagraph"/>
                          <w:spacing w:before="91"/>
                          <w:ind w:left="275" w:right="249"/>
                          <w:rPr>
                            <w:rFonts w:ascii="宋体" w:eastAsia="宋体" w:hint="eastAsia"/>
                            <w:b/>
                            <w:sz w:val="21"/>
                          </w:rPr>
                        </w:pPr>
                        <w:r>
                          <w:rPr>
                            <w:rFonts w:ascii="宋体" w:eastAsia="宋体" w:hint="eastAsia"/>
                            <w:b/>
                            <w:sz w:val="21"/>
                          </w:rPr>
                          <w:t>占标率（</w:t>
                        </w:r>
                        <w:r>
                          <w:rPr>
                            <w:b/>
                            <w:sz w:val="21"/>
                          </w:rPr>
                          <w:t>%</w:t>
                        </w:r>
                        <w:r>
                          <w:rPr>
                            <w:rFonts w:ascii="宋体" w:eastAsia="宋体" w:hint="eastAsia"/>
                            <w:b/>
                            <w:sz w:val="21"/>
                          </w:rPr>
                          <w:t>）</w:t>
                        </w:r>
                      </w:p>
                    </w:tc>
                    <w:tc>
                      <w:tcPr>
                        <w:tcW w:w="2002" w:type="dxa"/>
                        <w:tcBorders>
                          <w:left w:val="single" w:sz="6" w:space="0" w:color="000000"/>
                          <w:bottom w:val="single" w:sz="6" w:space="0" w:color="000000"/>
                          <w:right w:val="single" w:sz="6" w:space="0" w:color="000000"/>
                        </w:tcBorders>
                      </w:tcPr>
                      <w:p>
                        <w:pPr>
                          <w:pStyle w:val="TableParagraph"/>
                          <w:spacing w:before="48"/>
                          <w:ind w:left="252" w:right="231"/>
                          <w:rPr>
                            <w:rFonts w:ascii="宋体" w:eastAsia="宋体" w:hint="eastAsia"/>
                            <w:b/>
                            <w:sz w:val="21"/>
                          </w:rPr>
                        </w:pPr>
                        <w:r>
                          <w:rPr>
                            <w:b/>
                            <w:i/>
                            <w:position w:val="2"/>
                            <w:sz w:val="21"/>
                          </w:rPr>
                          <w:t>D</w:t>
                        </w:r>
                        <w:r>
                          <w:rPr>
                            <w:b/>
                            <w:i/>
                            <w:sz w:val="14"/>
                          </w:rPr>
                          <w:t>10%</w:t>
                        </w:r>
                        <w:r>
                          <w:rPr>
                            <w:rFonts w:ascii="宋体" w:eastAsia="宋体" w:hint="eastAsia"/>
                            <w:b/>
                            <w:position w:val="1"/>
                            <w:sz w:val="21"/>
                          </w:rPr>
                          <w:t>对应的最远</w:t>
                        </w:r>
                      </w:p>
                      <w:p>
                        <w:pPr>
                          <w:pStyle w:val="TableParagraph"/>
                          <w:spacing w:before="89"/>
                          <w:ind w:left="252" w:right="231"/>
                          <w:rPr>
                            <w:rFonts w:ascii="宋体" w:eastAsia="宋体" w:hint="eastAsia"/>
                            <w:b/>
                            <w:sz w:val="21"/>
                          </w:rPr>
                        </w:pPr>
                        <w:r>
                          <w:rPr>
                            <w:rFonts w:ascii="宋体" w:eastAsia="宋体" w:hint="eastAsia"/>
                            <w:b/>
                            <w:sz w:val="21"/>
                          </w:rPr>
                          <w:t>距离（</w:t>
                        </w:r>
                        <w:r>
                          <w:rPr>
                            <w:b/>
                            <w:sz w:val="21"/>
                          </w:rPr>
                          <w:t>m</w:t>
                        </w:r>
                        <w:r>
                          <w:rPr>
                            <w:rFonts w:ascii="宋体" w:eastAsia="宋体" w:hint="eastAsia"/>
                            <w:b/>
                            <w:sz w:val="21"/>
                          </w:rPr>
                          <w:t>）</w:t>
                        </w:r>
                      </w:p>
                    </w:tc>
                    <w:tc>
                      <w:tcPr>
                        <w:tcW w:w="759" w:type="dxa"/>
                        <w:tcBorders>
                          <w:left w:val="single" w:sz="6" w:space="0" w:color="000000"/>
                          <w:bottom w:val="single" w:sz="6" w:space="0" w:color="000000"/>
                        </w:tcBorders>
                      </w:tcPr>
                      <w:p>
                        <w:pPr>
                          <w:pStyle w:val="TableParagraph"/>
                          <w:spacing w:before="46"/>
                          <w:ind w:left="171"/>
                          <w:jc w:val="left"/>
                          <w:rPr>
                            <w:rFonts w:ascii="宋体" w:eastAsia="宋体" w:hint="eastAsia"/>
                            <w:b/>
                            <w:sz w:val="21"/>
                          </w:rPr>
                        </w:pPr>
                        <w:r>
                          <w:rPr>
                            <w:rFonts w:ascii="宋体" w:eastAsia="宋体" w:hint="eastAsia"/>
                            <w:b/>
                            <w:sz w:val="21"/>
                          </w:rPr>
                          <w:t>评价</w:t>
                        </w:r>
                      </w:p>
                      <w:p>
                        <w:pPr>
                          <w:pStyle w:val="TableParagraph"/>
                          <w:spacing w:before="91"/>
                          <w:ind w:left="171"/>
                          <w:jc w:val="left"/>
                          <w:rPr>
                            <w:rFonts w:ascii="宋体" w:eastAsia="宋体" w:hint="eastAsia"/>
                            <w:b/>
                            <w:sz w:val="21"/>
                          </w:rPr>
                        </w:pPr>
                        <w:r>
                          <w:rPr>
                            <w:rFonts w:ascii="宋体" w:eastAsia="宋体" w:hint="eastAsia"/>
                            <w:b/>
                            <w:sz w:val="21"/>
                          </w:rPr>
                          <w:t>等级</w:t>
                        </w:r>
                      </w:p>
                    </w:tc>
                  </w:tr>
                  <w:tr>
                    <w:trPr>
                      <w:trHeight w:val="359"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443"/>
                          <w:jc w:val="left"/>
                          <w:rPr>
                            <w:sz w:val="21"/>
                          </w:rPr>
                        </w:pPr>
                        <w:r>
                          <w:rPr>
                            <w:sz w:val="21"/>
                          </w:rPr>
                          <w:t>DA001</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3.19E-01</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left="278" w:right="249"/>
                          <w:rPr>
                            <w:sz w:val="21"/>
                          </w:rPr>
                        </w:pPr>
                        <w:r>
                          <w:rPr>
                            <w:sz w:val="21"/>
                          </w:rPr>
                          <w:t>159.47</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450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2.26E-03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left="278" w:right="249"/>
                          <w:rPr>
                            <w:sz w:val="21"/>
                          </w:rPr>
                        </w:pPr>
                        <w:r>
                          <w:rPr>
                            <w:sz w:val="21"/>
                          </w:rPr>
                          <w:t>22.58</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75</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tcBorders>
                          <w:top w:val="single" w:sz="6" w:space="0" w:color="000000"/>
                          <w:right w:val="single" w:sz="6" w:space="0" w:color="000000"/>
                        </w:tcBorders>
                      </w:tcPr>
                      <w:p>
                        <w:pPr>
                          <w:pStyle w:val="TableParagraph"/>
                          <w:ind w:left="256" w:right="233"/>
                          <w:rPr>
                            <w:sz w:val="21"/>
                          </w:rPr>
                        </w:pPr>
                        <w:r>
                          <w:rPr>
                            <w:sz w:val="21"/>
                          </w:rPr>
                          <w:t>DA002-1/2</w:t>
                        </w:r>
                      </w:p>
                    </w:tc>
                    <w:tc>
                      <w:tcPr>
                        <w:tcW w:w="1011" w:type="dxa"/>
                        <w:tcBorders>
                          <w:top w:val="single" w:sz="6" w:space="0" w:color="000000"/>
                          <w:left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right w:val="single" w:sz="6" w:space="0" w:color="000000"/>
                        </w:tcBorders>
                      </w:tcPr>
                      <w:p>
                        <w:pPr>
                          <w:pStyle w:val="TableParagraph"/>
                          <w:ind w:left="539" w:right="512"/>
                          <w:rPr>
                            <w:sz w:val="21"/>
                          </w:rPr>
                        </w:pPr>
                        <w:r>
                          <w:rPr>
                            <w:sz w:val="21"/>
                          </w:rPr>
                          <w:t>1.36E-02</w:t>
                        </w:r>
                      </w:p>
                    </w:tc>
                    <w:tc>
                      <w:tcPr>
                        <w:tcW w:w="2269" w:type="dxa"/>
                        <w:tcBorders>
                          <w:top w:val="single" w:sz="6" w:space="0" w:color="000000"/>
                          <w:left w:val="single" w:sz="6" w:space="0" w:color="000000"/>
                          <w:right w:val="single" w:sz="6" w:space="0" w:color="000000"/>
                        </w:tcBorders>
                      </w:tcPr>
                      <w:p>
                        <w:pPr>
                          <w:pStyle w:val="TableParagraph"/>
                          <w:ind w:left="278" w:right="249"/>
                          <w:rPr>
                            <w:sz w:val="21"/>
                          </w:rPr>
                        </w:pPr>
                        <w:r>
                          <w:rPr>
                            <w:sz w:val="21"/>
                          </w:rPr>
                          <w:t>6.78</w:t>
                        </w:r>
                      </w:p>
                    </w:tc>
                    <w:tc>
                      <w:tcPr>
                        <w:tcW w:w="2002" w:type="dxa"/>
                        <w:tcBorders>
                          <w:top w:val="single" w:sz="6" w:space="0" w:color="000000"/>
                          <w:left w:val="single" w:sz="6" w:space="0" w:color="000000"/>
                          <w:right w:val="single" w:sz="6" w:space="0" w:color="000000"/>
                        </w:tcBorders>
                      </w:tcPr>
                      <w:p>
                        <w:pPr>
                          <w:pStyle w:val="TableParagraph"/>
                          <w:ind w:left="21"/>
                          <w:rPr>
                            <w:sz w:val="21"/>
                          </w:rPr>
                        </w:pPr>
                        <w:r>
                          <w:rPr>
                            <w:w w:val="100"/>
                            <w:sz w:val="21"/>
                          </w:rPr>
                          <w:t>0</w:t>
                        </w:r>
                      </w:p>
                    </w:tc>
                    <w:tc>
                      <w:tcPr>
                        <w:tcW w:w="759" w:type="dxa"/>
                        <w:tcBorders>
                          <w:top w:val="single" w:sz="6" w:space="0" w:color="000000"/>
                          <w:left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二级</w:t>
                        </w:r>
                      </w:p>
                    </w:tc>
                  </w:tr>
                </w:tbl>
                <w:p>
                  <w:pPr>
                    <w:pStyle w:val="BodyText"/>
                    <w:ind w:left="0"/>
                  </w:pPr>
                </w:p>
              </w:txbxContent>
            </v:textbox>
            <w10:wrap type="none"/>
          </v:shape>
        </w:pict>
      </w:r>
      <w:r>
        <w:rPr>
          <w:sz w:val="24"/>
        </w:rPr>
        <w:t>估算模式计算结果见表 </w:t>
      </w:r>
      <w:r>
        <w:rPr>
          <w:rFonts w:ascii="Times New Roman" w:eastAsia="Times New Roman"/>
          <w:position w:val="1"/>
          <w:sz w:val="24"/>
        </w:rPr>
        <w:t>5.2-8</w:t>
      </w:r>
      <w:r>
        <w:rPr>
          <w:sz w:val="24"/>
        </w:rPr>
        <w:t>，可知各污染物最大地面落地浓度占标率＞</w:t>
      </w:r>
      <w:r>
        <w:rPr>
          <w:rFonts w:ascii="Times New Roman" w:eastAsia="Times New Roman"/>
          <w:position w:val="1"/>
          <w:sz w:val="24"/>
        </w:rPr>
        <w:t>10%</w:t>
      </w:r>
      <w:r>
        <w:rPr>
          <w:sz w:val="24"/>
        </w:rPr>
        <w:t>。</w:t>
      </w:r>
      <w:r>
        <w:rPr>
          <w:b/>
          <w:sz w:val="24"/>
        </w:rPr>
        <w:t>表 </w:t>
      </w:r>
      <w:r>
        <w:rPr>
          <w:rFonts w:ascii="Times New Roman" w:eastAsia="Times New Roman"/>
          <w:b/>
          <w:sz w:val="24"/>
        </w:rPr>
        <w:t>5.2-8  </w:t>
      </w:r>
      <w:r>
        <w:rPr>
          <w:b/>
          <w:sz w:val="24"/>
        </w:rPr>
        <w:t>估算模式最大落地浓度统计结果</w:t>
      </w:r>
    </w:p>
    <w:p>
      <w:pPr>
        <w:spacing w:after="0" w:line="364" w:lineRule="auto"/>
        <w:jc w:val="left"/>
        <w:rPr>
          <w:sz w:val="24"/>
        </w:rPr>
        <w:sectPr>
          <w:headerReference w:type="default" r:id="rId79"/>
          <w:footerReference w:type="default" r:id="rId80"/>
          <w:pgSz w:w="11910" w:h="16840"/>
          <w:pgMar w:header="874" w:footer="1004" w:top="1420" w:bottom="1200" w:left="1040" w:right="1160"/>
          <w:pgNumType w:start="123"/>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0"/>
        <w:gridCol w:w="1011"/>
        <w:gridCol w:w="1882"/>
        <w:gridCol w:w="2269"/>
        <w:gridCol w:w="2002"/>
        <w:gridCol w:w="759"/>
      </w:tblGrid>
      <w:tr>
        <w:trPr>
          <w:trHeight w:val="717" w:hRule="atLeast"/>
        </w:trPr>
        <w:tc>
          <w:tcPr>
            <w:tcW w:w="1510" w:type="dxa"/>
            <w:tcBorders>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436"/>
              <w:jc w:val="left"/>
              <w:rPr>
                <w:rFonts w:ascii="宋体" w:eastAsia="宋体" w:hint="eastAsia"/>
                <w:b/>
                <w:sz w:val="21"/>
              </w:rPr>
            </w:pPr>
            <w:r>
              <w:rPr>
                <w:rFonts w:ascii="宋体" w:eastAsia="宋体" w:hint="eastAsia"/>
                <w:b/>
                <w:sz w:val="21"/>
              </w:rPr>
              <w:t>污染源</w:t>
            </w:r>
          </w:p>
        </w:tc>
        <w:tc>
          <w:tcPr>
            <w:tcW w:w="1011"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22" w:right="102"/>
              <w:rPr>
                <w:rFonts w:ascii="宋体" w:eastAsia="宋体" w:hint="eastAsia"/>
                <w:b/>
                <w:sz w:val="21"/>
              </w:rPr>
            </w:pPr>
            <w:r>
              <w:rPr>
                <w:rFonts w:ascii="宋体" w:eastAsia="宋体" w:hint="eastAsia"/>
                <w:b/>
                <w:sz w:val="21"/>
              </w:rPr>
              <w:t>污染物</w:t>
            </w:r>
          </w:p>
        </w:tc>
        <w:tc>
          <w:tcPr>
            <w:tcW w:w="1882" w:type="dxa"/>
            <w:tcBorders>
              <w:left w:val="single" w:sz="6" w:space="0" w:color="000000"/>
              <w:bottom w:val="single" w:sz="6" w:space="0" w:color="000000"/>
              <w:right w:val="single" w:sz="6" w:space="0" w:color="000000"/>
            </w:tcBorders>
          </w:tcPr>
          <w:p>
            <w:pPr>
              <w:pStyle w:val="TableParagraph"/>
              <w:spacing w:before="49"/>
              <w:ind w:left="313"/>
              <w:jc w:val="left"/>
              <w:rPr>
                <w:rFonts w:ascii="宋体" w:eastAsia="宋体" w:hint="eastAsia"/>
                <w:b/>
                <w:sz w:val="21"/>
              </w:rPr>
            </w:pPr>
            <w:r>
              <w:rPr>
                <w:rFonts w:ascii="宋体" w:eastAsia="宋体" w:hint="eastAsia"/>
                <w:b/>
                <w:sz w:val="21"/>
              </w:rPr>
              <w:t>最大地面落地</w:t>
            </w:r>
          </w:p>
          <w:p>
            <w:pPr>
              <w:pStyle w:val="TableParagraph"/>
              <w:spacing w:before="88"/>
              <w:ind w:left="265"/>
              <w:jc w:val="left"/>
              <w:rPr>
                <w:rFonts w:ascii="宋体" w:hAnsi="宋体" w:eastAsia="宋体" w:hint="eastAsia"/>
                <w:b/>
                <w:sz w:val="21"/>
              </w:rPr>
            </w:pPr>
            <w:r>
              <w:rPr>
                <w:rFonts w:ascii="宋体" w:hAnsi="宋体" w:eastAsia="宋体" w:hint="eastAsia"/>
                <w:b/>
                <w:spacing w:val="-1"/>
                <w:sz w:val="21"/>
              </w:rPr>
              <w:t>浓度（</w:t>
            </w:r>
            <w:r>
              <w:rPr>
                <w:b/>
                <w:spacing w:val="-1"/>
                <w:sz w:val="21"/>
              </w:rPr>
              <w:t>μg/m³</w:t>
            </w:r>
            <w:r>
              <w:rPr>
                <w:rFonts w:ascii="宋体" w:hAnsi="宋体" w:eastAsia="宋体" w:hint="eastAsia"/>
                <w:b/>
                <w:spacing w:val="-1"/>
                <w:sz w:val="21"/>
              </w:rPr>
              <w:t>）</w:t>
            </w:r>
          </w:p>
        </w:tc>
        <w:tc>
          <w:tcPr>
            <w:tcW w:w="2269" w:type="dxa"/>
            <w:tcBorders>
              <w:left w:val="single" w:sz="6" w:space="0" w:color="000000"/>
              <w:bottom w:val="single" w:sz="6" w:space="0" w:color="000000"/>
              <w:right w:val="single" w:sz="6" w:space="0" w:color="000000"/>
            </w:tcBorders>
          </w:tcPr>
          <w:p>
            <w:pPr>
              <w:pStyle w:val="TableParagraph"/>
              <w:spacing w:before="49"/>
              <w:ind w:left="278" w:right="249"/>
              <w:rPr>
                <w:rFonts w:ascii="宋体" w:eastAsia="宋体" w:hint="eastAsia"/>
                <w:b/>
                <w:sz w:val="21"/>
              </w:rPr>
            </w:pPr>
            <w:r>
              <w:rPr>
                <w:rFonts w:ascii="宋体" w:eastAsia="宋体" w:hint="eastAsia"/>
                <w:b/>
                <w:sz w:val="21"/>
              </w:rPr>
              <w:t>最大地面落地浓度</w:t>
            </w:r>
          </w:p>
          <w:p>
            <w:pPr>
              <w:pStyle w:val="TableParagraph"/>
              <w:spacing w:before="88"/>
              <w:ind w:left="275" w:right="249"/>
              <w:rPr>
                <w:rFonts w:ascii="宋体" w:eastAsia="宋体" w:hint="eastAsia"/>
                <w:b/>
                <w:sz w:val="21"/>
              </w:rPr>
            </w:pPr>
            <w:r>
              <w:rPr>
                <w:rFonts w:ascii="宋体" w:eastAsia="宋体" w:hint="eastAsia"/>
                <w:b/>
                <w:sz w:val="21"/>
              </w:rPr>
              <w:t>占标率（</w:t>
            </w:r>
            <w:r>
              <w:rPr>
                <w:b/>
                <w:sz w:val="21"/>
              </w:rPr>
              <w:t>%</w:t>
            </w:r>
            <w:r>
              <w:rPr>
                <w:rFonts w:ascii="宋体" w:eastAsia="宋体" w:hint="eastAsia"/>
                <w:b/>
                <w:sz w:val="21"/>
              </w:rPr>
              <w:t>）</w:t>
            </w:r>
          </w:p>
        </w:tc>
        <w:tc>
          <w:tcPr>
            <w:tcW w:w="2002" w:type="dxa"/>
            <w:tcBorders>
              <w:left w:val="single" w:sz="6" w:space="0" w:color="000000"/>
              <w:bottom w:val="single" w:sz="6" w:space="0" w:color="000000"/>
              <w:right w:val="single" w:sz="6" w:space="0" w:color="000000"/>
            </w:tcBorders>
          </w:tcPr>
          <w:p>
            <w:pPr>
              <w:pStyle w:val="TableParagraph"/>
              <w:spacing w:before="51"/>
              <w:ind w:left="252" w:right="231"/>
              <w:rPr>
                <w:rFonts w:ascii="宋体" w:eastAsia="宋体" w:hint="eastAsia"/>
                <w:b/>
                <w:sz w:val="21"/>
              </w:rPr>
            </w:pPr>
            <w:r>
              <w:rPr>
                <w:b/>
                <w:i/>
                <w:position w:val="2"/>
                <w:sz w:val="21"/>
              </w:rPr>
              <w:t>D</w:t>
            </w:r>
            <w:r>
              <w:rPr>
                <w:b/>
                <w:i/>
                <w:sz w:val="14"/>
              </w:rPr>
              <w:t>10%</w:t>
            </w:r>
            <w:r>
              <w:rPr>
                <w:rFonts w:ascii="宋体" w:eastAsia="宋体" w:hint="eastAsia"/>
                <w:b/>
                <w:position w:val="1"/>
                <w:sz w:val="21"/>
              </w:rPr>
              <w:t>对应的最远</w:t>
            </w:r>
          </w:p>
          <w:p>
            <w:pPr>
              <w:pStyle w:val="TableParagraph"/>
              <w:spacing w:before="86"/>
              <w:ind w:left="252" w:right="231"/>
              <w:rPr>
                <w:rFonts w:ascii="宋体" w:eastAsia="宋体" w:hint="eastAsia"/>
                <w:b/>
                <w:sz w:val="21"/>
              </w:rPr>
            </w:pPr>
            <w:r>
              <w:rPr>
                <w:rFonts w:ascii="宋体" w:eastAsia="宋体" w:hint="eastAsia"/>
                <w:b/>
                <w:sz w:val="21"/>
              </w:rPr>
              <w:t>距离（</w:t>
            </w:r>
            <w:r>
              <w:rPr>
                <w:b/>
                <w:sz w:val="21"/>
              </w:rPr>
              <w:t>m</w:t>
            </w:r>
            <w:r>
              <w:rPr>
                <w:rFonts w:ascii="宋体" w:eastAsia="宋体" w:hint="eastAsia"/>
                <w:b/>
                <w:sz w:val="21"/>
              </w:rPr>
              <w:t>）</w:t>
            </w:r>
          </w:p>
        </w:tc>
        <w:tc>
          <w:tcPr>
            <w:tcW w:w="759" w:type="dxa"/>
            <w:tcBorders>
              <w:left w:val="single" w:sz="6" w:space="0" w:color="000000"/>
              <w:bottom w:val="single" w:sz="6" w:space="0" w:color="000000"/>
            </w:tcBorders>
          </w:tcPr>
          <w:p>
            <w:pPr>
              <w:pStyle w:val="TableParagraph"/>
              <w:spacing w:before="49"/>
              <w:ind w:left="171"/>
              <w:jc w:val="left"/>
              <w:rPr>
                <w:rFonts w:ascii="宋体" w:eastAsia="宋体" w:hint="eastAsia"/>
                <w:b/>
                <w:sz w:val="21"/>
              </w:rPr>
            </w:pPr>
            <w:r>
              <w:rPr>
                <w:rFonts w:ascii="宋体" w:eastAsia="宋体" w:hint="eastAsia"/>
                <w:b/>
                <w:sz w:val="21"/>
              </w:rPr>
              <w:t>评价</w:t>
            </w:r>
          </w:p>
          <w:p>
            <w:pPr>
              <w:pStyle w:val="TableParagraph"/>
              <w:spacing w:before="88"/>
              <w:ind w:left="171"/>
              <w:jc w:val="left"/>
              <w:rPr>
                <w:rFonts w:ascii="宋体" w:eastAsia="宋体" w:hint="eastAsia"/>
                <w:b/>
                <w:sz w:val="21"/>
              </w:rPr>
            </w:pPr>
            <w:r>
              <w:rPr>
                <w:rFonts w:ascii="宋体" w:eastAsia="宋体" w:hint="eastAsia"/>
                <w:b/>
                <w:sz w:val="21"/>
              </w:rPr>
              <w:t>等级</w:t>
            </w:r>
          </w:p>
        </w:tc>
      </w:tr>
      <w:tr>
        <w:trPr>
          <w:trHeight w:val="359" w:hRule="atLeast"/>
        </w:trPr>
        <w:tc>
          <w:tcPr>
            <w:tcW w:w="1510" w:type="dxa"/>
            <w:tcBorders>
              <w:top w:val="single" w:sz="6" w:space="0" w:color="000000"/>
              <w:bottom w:val="single" w:sz="6" w:space="0" w:color="000000"/>
              <w:right w:val="single" w:sz="6" w:space="0" w:color="000000"/>
            </w:tcBorders>
          </w:tcPr>
          <w:p>
            <w:pPr>
              <w:pStyle w:val="TableParagraph"/>
              <w:spacing w:before="0"/>
              <w:jc w:val="left"/>
              <w:rPr>
                <w:sz w:val="20"/>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9"/>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spacing w:before="60"/>
              <w:ind w:left="539" w:right="512"/>
              <w:rPr>
                <w:sz w:val="21"/>
              </w:rPr>
            </w:pPr>
            <w:r>
              <w:rPr>
                <w:sz w:val="21"/>
              </w:rPr>
              <w:t>2.39E-03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spacing w:before="60"/>
              <w:ind w:right="872"/>
              <w:jc w:val="right"/>
              <w:rPr>
                <w:sz w:val="21"/>
              </w:rPr>
            </w:pPr>
            <w:r>
              <w:rPr>
                <w:sz w:val="21"/>
              </w:rPr>
              <w:t>23.85</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31"/>
              <w:rPr>
                <w:sz w:val="21"/>
              </w:rPr>
            </w:pPr>
            <w:r>
              <w:rPr>
                <w:sz w:val="21"/>
              </w:rPr>
              <w:t>125</w:t>
            </w:r>
          </w:p>
        </w:tc>
        <w:tc>
          <w:tcPr>
            <w:tcW w:w="759" w:type="dxa"/>
            <w:tcBorders>
              <w:top w:val="single" w:sz="6" w:space="0" w:color="000000"/>
              <w:left w:val="single" w:sz="6" w:space="0" w:color="000000"/>
              <w:bottom w:val="single" w:sz="6" w:space="0" w:color="000000"/>
            </w:tcBorders>
          </w:tcPr>
          <w:p>
            <w:pPr>
              <w:pStyle w:val="TableParagraph"/>
              <w:spacing w:before="49"/>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275"/>
              <w:jc w:val="left"/>
              <w:rPr>
                <w:sz w:val="21"/>
              </w:rPr>
            </w:pPr>
            <w:r>
              <w:rPr>
                <w:sz w:val="21"/>
              </w:rPr>
              <w:t>DA003-1/2</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1.04E-04</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925"/>
              <w:jc w:val="right"/>
              <w:rPr>
                <w:sz w:val="21"/>
              </w:rPr>
            </w:pPr>
            <w:r>
              <w:rPr>
                <w:sz w:val="21"/>
              </w:rPr>
              <w:t>0.05</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三级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1.24E-06</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925"/>
              <w:jc w:val="right"/>
              <w:rPr>
                <w:sz w:val="21"/>
              </w:rPr>
            </w:pPr>
            <w:r>
              <w:rPr>
                <w:sz w:val="21"/>
              </w:rPr>
              <w:t>0.01</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三级</w:t>
            </w:r>
          </w:p>
        </w:tc>
      </w:tr>
      <w:tr>
        <w:trPr>
          <w:trHeight w:val="357"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443"/>
              <w:jc w:val="left"/>
              <w:rPr>
                <w:sz w:val="21"/>
              </w:rPr>
            </w:pPr>
            <w:r>
              <w:rPr>
                <w:sz w:val="21"/>
              </w:rPr>
              <w:t>DA004</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7" w:right="102"/>
              <w:rPr>
                <w:sz w:val="14"/>
              </w:rPr>
            </w:pPr>
            <w:r>
              <w:rPr>
                <w:position w:val="2"/>
                <w:sz w:val="21"/>
              </w:rPr>
              <w:t>SO</w:t>
            </w:r>
            <w:r>
              <w:rPr>
                <w:sz w:val="14"/>
              </w:rPr>
              <w:t>2</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2.01E-03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925"/>
              <w:jc w:val="right"/>
              <w:rPr>
                <w:sz w:val="21"/>
              </w:rPr>
            </w:pPr>
            <w:r>
              <w:rPr>
                <w:sz w:val="21"/>
              </w:rPr>
              <w:t>0.40</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三级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9"/>
              <w:ind w:left="122" w:right="102"/>
              <w:rPr>
                <w:sz w:val="14"/>
              </w:rPr>
            </w:pPr>
            <w:r>
              <w:rPr>
                <w:position w:val="2"/>
                <w:sz w:val="21"/>
              </w:rPr>
              <w:t>NO</w:t>
            </w:r>
            <w:r>
              <w:rPr>
                <w:sz w:val="14"/>
              </w:rPr>
              <w:t>x</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spacing w:before="60"/>
              <w:ind w:left="539" w:right="512"/>
              <w:rPr>
                <w:sz w:val="21"/>
              </w:rPr>
            </w:pPr>
            <w:r>
              <w:rPr>
                <w:sz w:val="21"/>
              </w:rPr>
              <w:t>8.54E-02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spacing w:before="60"/>
              <w:ind w:right="872"/>
              <w:jc w:val="right"/>
              <w:rPr>
                <w:sz w:val="21"/>
              </w:rPr>
            </w:pPr>
            <w:r>
              <w:rPr>
                <w:sz w:val="21"/>
              </w:rPr>
              <w:t>34.14</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31"/>
              <w:rPr>
                <w:sz w:val="21"/>
              </w:rPr>
            </w:pPr>
            <w:r>
              <w:rPr>
                <w:sz w:val="21"/>
              </w:rPr>
              <w:t>350</w:t>
            </w:r>
          </w:p>
        </w:tc>
        <w:tc>
          <w:tcPr>
            <w:tcW w:w="759" w:type="dxa"/>
            <w:tcBorders>
              <w:top w:val="single" w:sz="6" w:space="0" w:color="000000"/>
              <w:left w:val="single" w:sz="6" w:space="0" w:color="000000"/>
              <w:bottom w:val="single" w:sz="6" w:space="0" w:color="000000"/>
            </w:tcBorders>
          </w:tcPr>
          <w:p>
            <w:pPr>
              <w:pStyle w:val="TableParagraph"/>
              <w:spacing w:before="49"/>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车间一 </w:t>
            </w:r>
            <w:r>
              <w:rPr>
                <w:position w:val="1"/>
                <w:sz w:val="21"/>
              </w:rPr>
              <w:t>1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7.53E-02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37.67</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350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9.58E-03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95.84</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700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7"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车间一 </w:t>
            </w:r>
            <w:r>
              <w:rPr>
                <w:position w:val="1"/>
                <w:sz w:val="21"/>
              </w:rPr>
              <w:t>2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3.50E-02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17.49</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250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9"/>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spacing w:before="60"/>
              <w:ind w:left="539" w:right="512"/>
              <w:rPr>
                <w:sz w:val="21"/>
              </w:rPr>
            </w:pPr>
            <w:r>
              <w:rPr>
                <w:sz w:val="21"/>
              </w:rPr>
              <w:t>4.45E-03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spacing w:before="60"/>
              <w:ind w:right="872"/>
              <w:jc w:val="right"/>
              <w:rPr>
                <w:sz w:val="21"/>
              </w:rPr>
            </w:pPr>
            <w:r>
              <w:rPr>
                <w:sz w:val="21"/>
              </w:rPr>
              <w:t>44.51</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31"/>
              <w:rPr>
                <w:sz w:val="21"/>
              </w:rPr>
            </w:pPr>
            <w:r>
              <w:rPr>
                <w:sz w:val="21"/>
              </w:rPr>
              <w:t>600</w:t>
            </w:r>
          </w:p>
        </w:tc>
        <w:tc>
          <w:tcPr>
            <w:tcW w:w="759" w:type="dxa"/>
            <w:tcBorders>
              <w:top w:val="single" w:sz="6" w:space="0" w:color="000000"/>
              <w:left w:val="single" w:sz="6" w:space="0" w:color="000000"/>
              <w:bottom w:val="single" w:sz="6" w:space="0" w:color="000000"/>
            </w:tcBorders>
          </w:tcPr>
          <w:p>
            <w:pPr>
              <w:pStyle w:val="TableParagraph"/>
              <w:spacing w:before="49"/>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车间一 </w:t>
            </w:r>
            <w:r>
              <w:rPr>
                <w:position w:val="1"/>
                <w:sz w:val="21"/>
              </w:rPr>
              <w:t>3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2.96E-02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14.81</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250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4.21E-03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42.13</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875</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6"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车间一 </w:t>
            </w:r>
            <w:r>
              <w:rPr>
                <w:position w:val="1"/>
                <w:sz w:val="21"/>
              </w:rPr>
              <w:t>4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1.62E-03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925"/>
              <w:jc w:val="right"/>
              <w:rPr>
                <w:sz w:val="21"/>
              </w:rPr>
            </w:pPr>
            <w:r>
              <w:rPr>
                <w:sz w:val="21"/>
              </w:rPr>
              <w:t>0.81</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三级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9"/>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spacing w:before="60"/>
              <w:ind w:left="539" w:right="512"/>
              <w:rPr>
                <w:sz w:val="21"/>
              </w:rPr>
            </w:pPr>
            <w:r>
              <w:rPr>
                <w:sz w:val="21"/>
              </w:rPr>
              <w:t>2.66E-04</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spacing w:before="60"/>
              <w:ind w:right="925"/>
              <w:jc w:val="right"/>
              <w:rPr>
                <w:sz w:val="21"/>
              </w:rPr>
            </w:pPr>
            <w:r>
              <w:rPr>
                <w:sz w:val="21"/>
              </w:rPr>
              <w:t>2.66</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spacing w:before="60"/>
              <w:ind w:left="21"/>
              <w:rPr>
                <w:sz w:val="21"/>
              </w:rPr>
            </w:pPr>
            <w:r>
              <w:rPr>
                <w:w w:val="100"/>
                <w:sz w:val="21"/>
              </w:rPr>
              <w:t>0</w:t>
            </w:r>
          </w:p>
        </w:tc>
        <w:tc>
          <w:tcPr>
            <w:tcW w:w="759" w:type="dxa"/>
            <w:tcBorders>
              <w:top w:val="single" w:sz="6" w:space="0" w:color="000000"/>
              <w:left w:val="single" w:sz="6" w:space="0" w:color="000000"/>
              <w:bottom w:val="single" w:sz="6" w:space="0" w:color="000000"/>
            </w:tcBorders>
          </w:tcPr>
          <w:p>
            <w:pPr>
              <w:pStyle w:val="TableParagraph"/>
              <w:spacing w:before="49"/>
              <w:ind w:left="174"/>
              <w:jc w:val="left"/>
              <w:rPr>
                <w:rFonts w:ascii="宋体" w:eastAsia="宋体" w:hint="eastAsia"/>
                <w:sz w:val="21"/>
              </w:rPr>
            </w:pPr>
            <w:r>
              <w:rPr>
                <w:rFonts w:ascii="宋体" w:eastAsia="宋体" w:hint="eastAsia"/>
                <w:sz w:val="21"/>
              </w:rPr>
              <w:t>二级</w:t>
            </w:r>
          </w:p>
        </w:tc>
      </w:tr>
      <w:tr>
        <w:trPr>
          <w:trHeight w:val="359"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车间二 </w:t>
            </w:r>
            <w:r>
              <w:rPr>
                <w:position w:val="1"/>
                <w:sz w:val="21"/>
              </w:rPr>
              <w:t>1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5.65E-02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28.25</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225</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7.18E-03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71.82</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500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6"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车间二 </w:t>
            </w:r>
            <w:r>
              <w:rPr>
                <w:position w:val="1"/>
                <w:sz w:val="21"/>
              </w:rPr>
              <w:t>2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2.53E-02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12.63</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150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9"/>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spacing w:before="60"/>
              <w:ind w:left="539" w:right="512"/>
              <w:rPr>
                <w:sz w:val="21"/>
              </w:rPr>
            </w:pPr>
            <w:r>
              <w:rPr>
                <w:sz w:val="21"/>
              </w:rPr>
              <w:t>3.21E-03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spacing w:before="60"/>
              <w:ind w:right="872"/>
              <w:jc w:val="right"/>
              <w:rPr>
                <w:sz w:val="21"/>
              </w:rPr>
            </w:pPr>
            <w:r>
              <w:rPr>
                <w:sz w:val="21"/>
              </w:rPr>
              <w:t>32.10</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31"/>
              <w:rPr>
                <w:sz w:val="21"/>
              </w:rPr>
            </w:pPr>
            <w:r>
              <w:rPr>
                <w:sz w:val="21"/>
              </w:rPr>
              <w:t>400</w:t>
            </w:r>
          </w:p>
        </w:tc>
        <w:tc>
          <w:tcPr>
            <w:tcW w:w="759" w:type="dxa"/>
            <w:tcBorders>
              <w:top w:val="single" w:sz="6" w:space="0" w:color="000000"/>
              <w:left w:val="single" w:sz="6" w:space="0" w:color="000000"/>
              <w:bottom w:val="single" w:sz="6" w:space="0" w:color="000000"/>
            </w:tcBorders>
          </w:tcPr>
          <w:p>
            <w:pPr>
              <w:pStyle w:val="TableParagraph"/>
              <w:spacing w:before="49"/>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车间二 </w:t>
            </w:r>
            <w:r>
              <w:rPr>
                <w:position w:val="1"/>
                <w:sz w:val="21"/>
              </w:rPr>
              <w:t>3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1.07E-02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925"/>
              <w:jc w:val="right"/>
              <w:rPr>
                <w:sz w:val="21"/>
              </w:rPr>
            </w:pPr>
            <w:r>
              <w:rPr>
                <w:sz w:val="21"/>
              </w:rPr>
              <w:t>5.36</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0</w:t>
            </w:r>
          </w:p>
        </w:tc>
        <w:tc>
          <w:tcPr>
            <w:tcW w:w="759" w:type="dxa"/>
            <w:tcBorders>
              <w:top w:val="single" w:sz="6" w:space="0" w:color="000000"/>
              <w:left w:val="single" w:sz="6" w:space="0" w:color="000000"/>
              <w:bottom w:val="single" w:sz="6" w:space="0" w:color="000000"/>
            </w:tcBorders>
          </w:tcPr>
          <w:p>
            <w:pPr>
              <w:pStyle w:val="TableParagraph"/>
              <w:spacing w:before="47"/>
              <w:ind w:left="174"/>
              <w:jc w:val="left"/>
              <w:rPr>
                <w:rFonts w:ascii="宋体" w:eastAsia="宋体" w:hint="eastAsia"/>
                <w:sz w:val="21"/>
              </w:rPr>
            </w:pPr>
            <w:r>
              <w:rPr>
                <w:rFonts w:ascii="宋体" w:eastAsia="宋体" w:hint="eastAsia"/>
                <w:sz w:val="21"/>
              </w:rPr>
              <w:t>二级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3.08E-03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30.76</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550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7"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车间二 </w:t>
            </w:r>
            <w:r>
              <w:rPr>
                <w:position w:val="1"/>
                <w:sz w:val="21"/>
              </w:rPr>
              <w:t>4 </w:t>
            </w:r>
            <w:r>
              <w:rPr>
                <w:rFonts w:ascii="宋体" w:eastAsia="宋体" w:hint="eastAsia"/>
                <w:sz w:val="21"/>
              </w:rPr>
              <w:t>层</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4.76E-03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925"/>
              <w:jc w:val="right"/>
              <w:rPr>
                <w:sz w:val="21"/>
              </w:rPr>
            </w:pPr>
            <w:r>
              <w:rPr>
                <w:sz w:val="21"/>
              </w:rPr>
              <w:t>2.38</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1"/>
              <w:rPr>
                <w:sz w:val="21"/>
              </w:rPr>
            </w:pPr>
            <w:r>
              <w:rPr>
                <w:w w:val="100"/>
                <w:sz w:val="21"/>
              </w:rPr>
              <w:t>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二级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9"/>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spacing w:before="60"/>
              <w:ind w:left="539" w:right="512"/>
              <w:rPr>
                <w:sz w:val="21"/>
              </w:rPr>
            </w:pPr>
            <w:r>
              <w:rPr>
                <w:sz w:val="21"/>
              </w:rPr>
              <w:t>1.16E-03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spacing w:before="60"/>
              <w:ind w:right="877"/>
              <w:jc w:val="right"/>
              <w:rPr>
                <w:sz w:val="21"/>
              </w:rPr>
            </w:pPr>
            <w:r>
              <w:rPr>
                <w:sz w:val="21"/>
              </w:rPr>
              <w:t>11.61</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31"/>
              <w:rPr>
                <w:sz w:val="21"/>
              </w:rPr>
            </w:pPr>
            <w:r>
              <w:rPr>
                <w:sz w:val="21"/>
              </w:rPr>
              <w:t>125</w:t>
            </w:r>
          </w:p>
        </w:tc>
        <w:tc>
          <w:tcPr>
            <w:tcW w:w="759" w:type="dxa"/>
            <w:tcBorders>
              <w:top w:val="single" w:sz="6" w:space="0" w:color="000000"/>
              <w:left w:val="single" w:sz="6" w:space="0" w:color="000000"/>
              <w:bottom w:val="single" w:sz="6" w:space="0" w:color="000000"/>
            </w:tcBorders>
          </w:tcPr>
          <w:p>
            <w:pPr>
              <w:pStyle w:val="TableParagraph"/>
              <w:spacing w:before="49"/>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438"/>
              <w:jc w:val="left"/>
              <w:rPr>
                <w:rFonts w:ascii="宋体" w:eastAsia="宋体" w:hint="eastAsia"/>
                <w:sz w:val="21"/>
              </w:rPr>
            </w:pPr>
            <w:r>
              <w:rPr>
                <w:rFonts w:ascii="宋体" w:eastAsia="宋体" w:hint="eastAsia"/>
                <w:sz w:val="21"/>
              </w:rPr>
              <w:t>隔离舍</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6.35E-02</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31.73</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150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9" w:hRule="atLeast"/>
        </w:trPr>
        <w:tc>
          <w:tcPr>
            <w:tcW w:w="1510" w:type="dxa"/>
            <w:vMerge/>
            <w:tcBorders>
              <w:top w:val="nil"/>
              <w:bottom w:val="single" w:sz="6" w:space="0" w:color="000000"/>
              <w:right w:val="single" w:sz="6" w:space="0" w:color="000000"/>
            </w:tcBorders>
          </w:tcPr>
          <w:p>
            <w:pPr>
              <w:rPr>
                <w:sz w:val="2"/>
                <w:szCs w:val="2"/>
              </w:rPr>
            </w:pP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6.32E-03</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63.16</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275</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49" w:hRule="atLeast"/>
        </w:trPr>
        <w:tc>
          <w:tcPr>
            <w:tcW w:w="1510" w:type="dxa"/>
            <w:vMerge w:val="restart"/>
            <w:tcBorders>
              <w:top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27"/>
              <w:jc w:val="left"/>
              <w:rPr>
                <w:rFonts w:ascii="宋体" w:eastAsia="宋体" w:hint="eastAsia"/>
                <w:sz w:val="21"/>
              </w:rPr>
            </w:pPr>
            <w:r>
              <w:rPr>
                <w:rFonts w:ascii="宋体" w:eastAsia="宋体" w:hint="eastAsia"/>
                <w:sz w:val="21"/>
              </w:rPr>
              <w:t>粪污处理区</w:t>
            </w:r>
          </w:p>
        </w:tc>
        <w:tc>
          <w:tcPr>
            <w:tcW w:w="1011" w:type="dxa"/>
            <w:tcBorders>
              <w:top w:val="single" w:sz="6" w:space="0" w:color="000000"/>
              <w:left w:val="single" w:sz="6" w:space="0" w:color="000000"/>
              <w:bottom w:val="single" w:sz="6" w:space="0" w:color="000000"/>
              <w:right w:val="single" w:sz="6" w:space="0" w:color="000000"/>
            </w:tcBorders>
          </w:tcPr>
          <w:p>
            <w:pPr>
              <w:pStyle w:val="TableParagraph"/>
              <w:spacing w:before="57"/>
              <w:ind w:left="122" w:right="102"/>
              <w:rPr>
                <w:sz w:val="14"/>
              </w:rPr>
            </w:pPr>
            <w:r>
              <w:rPr>
                <w:position w:val="2"/>
                <w:sz w:val="21"/>
              </w:rPr>
              <w:t>NH</w:t>
            </w:r>
            <w:r>
              <w:rPr>
                <w:sz w:val="14"/>
              </w:rPr>
              <w:t>3</w:t>
            </w:r>
          </w:p>
        </w:tc>
        <w:tc>
          <w:tcPr>
            <w:tcW w:w="1882" w:type="dxa"/>
            <w:tcBorders>
              <w:top w:val="single" w:sz="6" w:space="0" w:color="000000"/>
              <w:left w:val="single" w:sz="6" w:space="0" w:color="000000"/>
              <w:bottom w:val="single" w:sz="6" w:space="0" w:color="000000"/>
              <w:right w:val="single" w:sz="6" w:space="0" w:color="000000"/>
            </w:tcBorders>
          </w:tcPr>
          <w:p>
            <w:pPr>
              <w:pStyle w:val="TableParagraph"/>
              <w:ind w:left="539" w:right="512"/>
              <w:rPr>
                <w:sz w:val="21"/>
              </w:rPr>
            </w:pPr>
            <w:r>
              <w:rPr>
                <w:sz w:val="21"/>
              </w:rPr>
              <w:t>1.66E-01</w:t>
            </w:r>
          </w:p>
        </w:tc>
        <w:tc>
          <w:tcPr>
            <w:tcW w:w="2269" w:type="dxa"/>
            <w:tcBorders>
              <w:top w:val="single" w:sz="6" w:space="0" w:color="000000"/>
              <w:left w:val="single" w:sz="6" w:space="0" w:color="000000"/>
              <w:bottom w:val="single" w:sz="6" w:space="0" w:color="000000"/>
              <w:right w:val="single" w:sz="6" w:space="0" w:color="000000"/>
            </w:tcBorders>
          </w:tcPr>
          <w:p>
            <w:pPr>
              <w:pStyle w:val="TableParagraph"/>
              <w:ind w:right="872"/>
              <w:jc w:val="right"/>
              <w:rPr>
                <w:sz w:val="21"/>
              </w:rPr>
            </w:pPr>
            <w:r>
              <w:rPr>
                <w:sz w:val="21"/>
              </w:rPr>
              <w:t>82.76</w:t>
            </w:r>
          </w:p>
        </w:tc>
        <w:tc>
          <w:tcPr>
            <w:tcW w:w="2002" w:type="dxa"/>
            <w:tcBorders>
              <w:top w:val="single" w:sz="6" w:space="0" w:color="000000"/>
              <w:left w:val="single" w:sz="6" w:space="0" w:color="000000"/>
              <w:bottom w:val="single" w:sz="6" w:space="0" w:color="000000"/>
              <w:right w:val="single" w:sz="6" w:space="0" w:color="000000"/>
            </w:tcBorders>
          </w:tcPr>
          <w:p>
            <w:pPr>
              <w:pStyle w:val="TableParagraph"/>
              <w:ind w:left="252" w:right="231"/>
              <w:rPr>
                <w:sz w:val="21"/>
              </w:rPr>
            </w:pPr>
            <w:r>
              <w:rPr>
                <w:sz w:val="21"/>
              </w:rPr>
              <w:t>550</w:t>
            </w:r>
          </w:p>
        </w:tc>
        <w:tc>
          <w:tcPr>
            <w:tcW w:w="759" w:type="dxa"/>
            <w:tcBorders>
              <w:top w:val="single" w:sz="6" w:space="0" w:color="000000"/>
              <w:left w:val="single" w:sz="6" w:space="0" w:color="000000"/>
              <w:bottom w:val="single" w:sz="6" w:space="0" w:color="000000"/>
            </w:tcBorders>
          </w:tcPr>
          <w:p>
            <w:pPr>
              <w:pStyle w:val="TableParagraph"/>
              <w:spacing w:before="46"/>
              <w:ind w:left="174"/>
              <w:jc w:val="left"/>
              <w:rPr>
                <w:rFonts w:ascii="宋体" w:eastAsia="宋体" w:hint="eastAsia"/>
                <w:sz w:val="21"/>
              </w:rPr>
            </w:pPr>
            <w:r>
              <w:rPr>
                <w:rFonts w:ascii="宋体" w:eastAsia="宋体" w:hint="eastAsia"/>
                <w:sz w:val="21"/>
              </w:rPr>
              <w:t>一级</w:t>
            </w:r>
          </w:p>
        </w:tc>
      </w:tr>
      <w:tr>
        <w:trPr>
          <w:trHeight w:val="353" w:hRule="atLeast"/>
        </w:trPr>
        <w:tc>
          <w:tcPr>
            <w:tcW w:w="1510" w:type="dxa"/>
            <w:vMerge/>
            <w:tcBorders>
              <w:top w:val="nil"/>
              <w:right w:val="single" w:sz="6" w:space="0" w:color="000000"/>
            </w:tcBorders>
          </w:tcPr>
          <w:p>
            <w:pPr>
              <w:rPr>
                <w:sz w:val="2"/>
                <w:szCs w:val="2"/>
              </w:rPr>
            </w:pPr>
          </w:p>
        </w:tc>
        <w:tc>
          <w:tcPr>
            <w:tcW w:w="1011" w:type="dxa"/>
            <w:tcBorders>
              <w:top w:val="single" w:sz="6" w:space="0" w:color="000000"/>
              <w:left w:val="single" w:sz="6" w:space="0" w:color="000000"/>
              <w:right w:val="single" w:sz="6" w:space="0" w:color="000000"/>
            </w:tcBorders>
          </w:tcPr>
          <w:p>
            <w:pPr>
              <w:pStyle w:val="TableParagraph"/>
              <w:spacing w:before="52"/>
              <w:ind w:left="126" w:right="102"/>
              <w:rPr>
                <w:sz w:val="21"/>
              </w:rPr>
            </w:pPr>
            <w:r>
              <w:rPr>
                <w:position w:val="2"/>
                <w:sz w:val="21"/>
              </w:rPr>
              <w:t>H</w:t>
            </w:r>
            <w:r>
              <w:rPr>
                <w:sz w:val="14"/>
              </w:rPr>
              <w:t>2</w:t>
            </w:r>
            <w:r>
              <w:rPr>
                <w:position w:val="2"/>
                <w:sz w:val="21"/>
              </w:rPr>
              <w:t>S</w:t>
            </w:r>
          </w:p>
        </w:tc>
        <w:tc>
          <w:tcPr>
            <w:tcW w:w="1882" w:type="dxa"/>
            <w:tcBorders>
              <w:top w:val="single" w:sz="6" w:space="0" w:color="000000"/>
              <w:left w:val="single" w:sz="6" w:space="0" w:color="000000"/>
              <w:right w:val="single" w:sz="6" w:space="0" w:color="000000"/>
            </w:tcBorders>
          </w:tcPr>
          <w:p>
            <w:pPr>
              <w:pStyle w:val="TableParagraph"/>
              <w:spacing w:before="53"/>
              <w:ind w:left="539" w:right="512"/>
              <w:rPr>
                <w:sz w:val="21"/>
              </w:rPr>
            </w:pPr>
            <w:r>
              <w:rPr>
                <w:sz w:val="21"/>
              </w:rPr>
              <w:t>1.20E-03</w:t>
            </w:r>
          </w:p>
        </w:tc>
        <w:tc>
          <w:tcPr>
            <w:tcW w:w="2269" w:type="dxa"/>
            <w:tcBorders>
              <w:top w:val="single" w:sz="6" w:space="0" w:color="000000"/>
              <w:left w:val="single" w:sz="6" w:space="0" w:color="000000"/>
              <w:right w:val="single" w:sz="6" w:space="0" w:color="000000"/>
            </w:tcBorders>
          </w:tcPr>
          <w:p>
            <w:pPr>
              <w:pStyle w:val="TableParagraph"/>
              <w:spacing w:before="53"/>
              <w:ind w:right="872"/>
              <w:jc w:val="right"/>
              <w:rPr>
                <w:sz w:val="21"/>
              </w:rPr>
            </w:pPr>
            <w:r>
              <w:rPr>
                <w:sz w:val="21"/>
              </w:rPr>
              <w:t>12.05</w:t>
            </w:r>
          </w:p>
        </w:tc>
        <w:tc>
          <w:tcPr>
            <w:tcW w:w="2002" w:type="dxa"/>
            <w:tcBorders>
              <w:top w:val="single" w:sz="6" w:space="0" w:color="000000"/>
              <w:left w:val="single" w:sz="6" w:space="0" w:color="000000"/>
              <w:right w:val="single" w:sz="6" w:space="0" w:color="000000"/>
            </w:tcBorders>
          </w:tcPr>
          <w:p>
            <w:pPr>
              <w:pStyle w:val="TableParagraph"/>
              <w:spacing w:before="53"/>
              <w:ind w:left="252" w:right="231"/>
              <w:rPr>
                <w:sz w:val="21"/>
              </w:rPr>
            </w:pPr>
            <w:r>
              <w:rPr>
                <w:sz w:val="21"/>
              </w:rPr>
              <w:t>75</w:t>
            </w:r>
          </w:p>
        </w:tc>
        <w:tc>
          <w:tcPr>
            <w:tcW w:w="759" w:type="dxa"/>
            <w:tcBorders>
              <w:top w:val="single" w:sz="6" w:space="0" w:color="000000"/>
              <w:left w:val="single" w:sz="6" w:space="0" w:color="000000"/>
            </w:tcBorders>
          </w:tcPr>
          <w:p>
            <w:pPr>
              <w:pStyle w:val="TableParagraph"/>
              <w:spacing w:before="41"/>
              <w:ind w:left="174"/>
              <w:jc w:val="left"/>
              <w:rPr>
                <w:rFonts w:ascii="宋体" w:eastAsia="宋体" w:hint="eastAsia"/>
                <w:sz w:val="21"/>
              </w:rPr>
            </w:pPr>
            <w:r>
              <w:rPr>
                <w:rFonts w:ascii="宋体" w:eastAsia="宋体" w:hint="eastAsia"/>
                <w:sz w:val="21"/>
              </w:rPr>
              <w:t>一级</w:t>
            </w:r>
          </w:p>
        </w:tc>
      </w:tr>
    </w:tbl>
    <w:p>
      <w:pPr>
        <w:pStyle w:val="Heading3"/>
        <w:numPr>
          <w:ilvl w:val="0"/>
          <w:numId w:val="71"/>
        </w:numPr>
        <w:tabs>
          <w:tab w:pos="1082" w:val="left" w:leader="none"/>
        </w:tabs>
        <w:spacing w:line="240" w:lineRule="auto" w:before="91" w:after="0"/>
        <w:ind w:left="1082" w:right="0" w:hanging="363"/>
        <w:jc w:val="left"/>
      </w:pPr>
      <w:r>
        <w:rPr/>
        <w:t>评价等级及评价范围确定</w:t>
      </w:r>
    </w:p>
    <w:p>
      <w:pPr>
        <w:pStyle w:val="BodyText"/>
        <w:spacing w:before="161"/>
        <w:ind w:left="717"/>
      </w:pPr>
      <w:r>
        <w:rPr/>
        <w:t>根据《环境影响评价技术导则 大气环境》（</w:t>
      </w:r>
      <w:r>
        <w:rPr>
          <w:rFonts w:ascii="Times New Roman" w:eastAsia="Times New Roman"/>
          <w:position w:val="1"/>
        </w:rPr>
        <w:t>HJ 2.2-2018</w:t>
      </w:r>
      <w:r>
        <w:rPr/>
        <w:t>）的评价工作等级划分原则</w:t>
      </w:r>
    </w:p>
    <w:p>
      <w:pPr>
        <w:pStyle w:val="BodyText"/>
        <w:spacing w:line="364" w:lineRule="auto" w:before="161"/>
        <w:ind w:right="192"/>
      </w:pPr>
      <w:r>
        <w:rPr/>
        <w:t>（详见表 </w:t>
      </w:r>
      <w:r>
        <w:rPr>
          <w:rFonts w:ascii="Times New Roman" w:eastAsia="Times New Roman"/>
          <w:position w:val="1"/>
        </w:rPr>
        <w:t>5.2-9</w:t>
      </w:r>
      <w:r>
        <w:rPr/>
        <w:t>），确定本项目大气环境评价等级为一级，须采用进一步预测模型开展大气环境影响预测与评价。</w:t>
      </w:r>
    </w:p>
    <w:p>
      <w:pPr>
        <w:pStyle w:val="Heading3"/>
        <w:spacing w:line="254" w:lineRule="exact" w:before="0" w:after="24"/>
        <w:ind w:left="218" w:right="236"/>
        <w:jc w:val="center"/>
      </w:pPr>
      <w:r>
        <w:rPr/>
        <w:t>表 </w:t>
      </w:r>
      <w:r>
        <w:rPr>
          <w:rFonts w:ascii="Times New Roman" w:eastAsia="Times New Roman"/>
        </w:rPr>
        <w:t>5.2-9  </w:t>
      </w:r>
      <w:r>
        <w:rPr/>
        <w:t>大气环境评价等级判别表</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29"/>
        <w:gridCol w:w="5303"/>
      </w:tblGrid>
      <w:tr>
        <w:trPr>
          <w:trHeight w:val="359" w:hRule="atLeast"/>
        </w:trPr>
        <w:tc>
          <w:tcPr>
            <w:tcW w:w="4129" w:type="dxa"/>
            <w:tcBorders>
              <w:bottom w:val="single" w:sz="4" w:space="0" w:color="000000"/>
              <w:right w:val="single" w:sz="4" w:space="0" w:color="000000"/>
            </w:tcBorders>
          </w:tcPr>
          <w:p>
            <w:pPr>
              <w:pStyle w:val="TableParagraph"/>
              <w:spacing w:before="48"/>
              <w:ind w:left="1410" w:right="1393"/>
              <w:rPr>
                <w:rFonts w:ascii="宋体" w:eastAsia="宋体" w:hint="eastAsia"/>
                <w:b/>
                <w:sz w:val="21"/>
              </w:rPr>
            </w:pPr>
            <w:r>
              <w:rPr>
                <w:rFonts w:ascii="宋体" w:eastAsia="宋体" w:hint="eastAsia"/>
                <w:b/>
                <w:sz w:val="21"/>
              </w:rPr>
              <w:t>评价工作等级</w:t>
            </w:r>
          </w:p>
        </w:tc>
        <w:tc>
          <w:tcPr>
            <w:tcW w:w="5303" w:type="dxa"/>
            <w:tcBorders>
              <w:left w:val="single" w:sz="4" w:space="0" w:color="000000"/>
              <w:bottom w:val="single" w:sz="4" w:space="0" w:color="000000"/>
            </w:tcBorders>
          </w:tcPr>
          <w:p>
            <w:pPr>
              <w:pStyle w:val="TableParagraph"/>
              <w:spacing w:before="48"/>
              <w:ind w:left="1795" w:right="1761"/>
              <w:rPr>
                <w:rFonts w:ascii="宋体" w:eastAsia="宋体" w:hint="eastAsia"/>
                <w:b/>
                <w:sz w:val="21"/>
              </w:rPr>
            </w:pPr>
            <w:r>
              <w:rPr>
                <w:rFonts w:ascii="宋体" w:eastAsia="宋体" w:hint="eastAsia"/>
                <w:b/>
                <w:sz w:val="21"/>
              </w:rPr>
              <w:t>评价工作分级判据</w:t>
            </w:r>
          </w:p>
        </w:tc>
      </w:tr>
      <w:tr>
        <w:trPr>
          <w:trHeight w:val="359" w:hRule="atLeast"/>
        </w:trPr>
        <w:tc>
          <w:tcPr>
            <w:tcW w:w="4129" w:type="dxa"/>
            <w:tcBorders>
              <w:top w:val="single" w:sz="4" w:space="0" w:color="000000"/>
              <w:bottom w:val="single" w:sz="4" w:space="0" w:color="000000"/>
              <w:right w:val="single" w:sz="4" w:space="0" w:color="000000"/>
            </w:tcBorders>
          </w:tcPr>
          <w:p>
            <w:pPr>
              <w:pStyle w:val="TableParagraph"/>
              <w:spacing w:before="46"/>
              <w:ind w:left="1410" w:right="1393"/>
              <w:rPr>
                <w:rFonts w:ascii="宋体" w:eastAsia="宋体" w:hint="eastAsia"/>
                <w:sz w:val="21"/>
              </w:rPr>
            </w:pPr>
            <w:r>
              <w:rPr>
                <w:rFonts w:ascii="宋体" w:eastAsia="宋体" w:hint="eastAsia"/>
                <w:sz w:val="21"/>
              </w:rPr>
              <w:t>一级</w:t>
            </w:r>
          </w:p>
        </w:tc>
        <w:tc>
          <w:tcPr>
            <w:tcW w:w="5303" w:type="dxa"/>
            <w:tcBorders>
              <w:top w:val="single" w:sz="4" w:space="0" w:color="000000"/>
              <w:left w:val="single" w:sz="4" w:space="0" w:color="000000"/>
              <w:bottom w:val="single" w:sz="4" w:space="0" w:color="000000"/>
            </w:tcBorders>
          </w:tcPr>
          <w:p>
            <w:pPr>
              <w:pStyle w:val="TableParagraph"/>
              <w:spacing w:before="55"/>
              <w:ind w:left="1795" w:right="1759"/>
              <w:rPr>
                <w:sz w:val="21"/>
              </w:rPr>
            </w:pPr>
            <w:r>
              <w:rPr>
                <w:i/>
                <w:position w:val="2"/>
                <w:sz w:val="21"/>
              </w:rPr>
              <w:t>P</w:t>
            </w:r>
            <w:r>
              <w:rPr>
                <w:i/>
                <w:sz w:val="14"/>
              </w:rPr>
              <w:t>max</w:t>
            </w:r>
            <w:r>
              <w:rPr>
                <w:position w:val="2"/>
                <w:sz w:val="21"/>
              </w:rPr>
              <w:t>≥10%</w:t>
            </w:r>
          </w:p>
        </w:tc>
      </w:tr>
      <w:tr>
        <w:trPr>
          <w:trHeight w:val="357" w:hRule="atLeast"/>
        </w:trPr>
        <w:tc>
          <w:tcPr>
            <w:tcW w:w="4129" w:type="dxa"/>
            <w:tcBorders>
              <w:top w:val="single" w:sz="4" w:space="0" w:color="000000"/>
              <w:bottom w:val="single" w:sz="4" w:space="0" w:color="000000"/>
              <w:right w:val="single" w:sz="4" w:space="0" w:color="000000"/>
            </w:tcBorders>
          </w:tcPr>
          <w:p>
            <w:pPr>
              <w:pStyle w:val="TableParagraph"/>
              <w:spacing w:before="46"/>
              <w:ind w:left="1410" w:right="1393"/>
              <w:rPr>
                <w:rFonts w:ascii="宋体" w:eastAsia="宋体" w:hint="eastAsia"/>
                <w:sz w:val="21"/>
              </w:rPr>
            </w:pPr>
            <w:r>
              <w:rPr>
                <w:rFonts w:ascii="宋体" w:eastAsia="宋体" w:hint="eastAsia"/>
                <w:sz w:val="21"/>
              </w:rPr>
              <w:t>二级</w:t>
            </w:r>
          </w:p>
        </w:tc>
        <w:tc>
          <w:tcPr>
            <w:tcW w:w="5303" w:type="dxa"/>
            <w:tcBorders>
              <w:top w:val="single" w:sz="4" w:space="0" w:color="000000"/>
              <w:left w:val="single" w:sz="4" w:space="0" w:color="000000"/>
              <w:bottom w:val="single" w:sz="4" w:space="0" w:color="000000"/>
            </w:tcBorders>
          </w:tcPr>
          <w:p>
            <w:pPr>
              <w:pStyle w:val="TableParagraph"/>
              <w:spacing w:before="46"/>
              <w:ind w:left="1795" w:right="1759"/>
              <w:rPr>
                <w:sz w:val="21"/>
              </w:rPr>
            </w:pPr>
            <w:r>
              <w:rPr>
                <w:position w:val="2"/>
                <w:sz w:val="21"/>
              </w:rPr>
              <w:t>1%≤</w:t>
            </w:r>
            <w:r>
              <w:rPr>
                <w:i/>
                <w:position w:val="2"/>
                <w:sz w:val="21"/>
              </w:rPr>
              <w:t>P</w:t>
            </w:r>
            <w:r>
              <w:rPr>
                <w:i/>
                <w:sz w:val="14"/>
              </w:rPr>
              <w:t>max</w:t>
            </w:r>
            <w:r>
              <w:rPr>
                <w:rFonts w:ascii="宋体" w:hAnsi="宋体" w:eastAsia="宋体" w:hint="eastAsia"/>
                <w:position w:val="1"/>
                <w:sz w:val="21"/>
              </w:rPr>
              <w:t>＜</w:t>
            </w:r>
            <w:r>
              <w:rPr>
                <w:position w:val="2"/>
                <w:sz w:val="21"/>
              </w:rPr>
              <w:t>10%</w:t>
            </w:r>
          </w:p>
        </w:tc>
      </w:tr>
      <w:tr>
        <w:trPr>
          <w:trHeight w:val="359" w:hRule="atLeast"/>
        </w:trPr>
        <w:tc>
          <w:tcPr>
            <w:tcW w:w="4129" w:type="dxa"/>
            <w:tcBorders>
              <w:top w:val="single" w:sz="4" w:space="0" w:color="000000"/>
              <w:right w:val="single" w:sz="4" w:space="0" w:color="000000"/>
            </w:tcBorders>
          </w:tcPr>
          <w:p>
            <w:pPr>
              <w:pStyle w:val="TableParagraph"/>
              <w:spacing w:before="49"/>
              <w:ind w:left="1410" w:right="1393"/>
              <w:rPr>
                <w:rFonts w:ascii="宋体" w:eastAsia="宋体" w:hint="eastAsia"/>
                <w:sz w:val="21"/>
              </w:rPr>
            </w:pPr>
            <w:r>
              <w:rPr>
                <w:rFonts w:ascii="宋体" w:eastAsia="宋体" w:hint="eastAsia"/>
                <w:sz w:val="21"/>
              </w:rPr>
              <w:t>三级</w:t>
            </w:r>
          </w:p>
        </w:tc>
        <w:tc>
          <w:tcPr>
            <w:tcW w:w="5303" w:type="dxa"/>
            <w:tcBorders>
              <w:top w:val="single" w:sz="4" w:space="0" w:color="000000"/>
              <w:left w:val="single" w:sz="4" w:space="0" w:color="000000"/>
            </w:tcBorders>
          </w:tcPr>
          <w:p>
            <w:pPr>
              <w:pStyle w:val="TableParagraph"/>
              <w:spacing w:before="48"/>
              <w:ind w:left="1795" w:right="1759"/>
              <w:rPr>
                <w:sz w:val="21"/>
              </w:rPr>
            </w:pPr>
            <w:r>
              <w:rPr>
                <w:i/>
                <w:position w:val="2"/>
                <w:sz w:val="21"/>
              </w:rPr>
              <w:t>P</w:t>
            </w:r>
            <w:r>
              <w:rPr>
                <w:i/>
                <w:sz w:val="14"/>
              </w:rPr>
              <w:t>max</w:t>
            </w:r>
            <w:r>
              <w:rPr>
                <w:rFonts w:ascii="宋体" w:eastAsia="宋体" w:hint="eastAsia"/>
                <w:position w:val="1"/>
                <w:sz w:val="21"/>
              </w:rPr>
              <w:t>＜</w:t>
            </w:r>
            <w:r>
              <w:rPr>
                <w:position w:val="2"/>
                <w:sz w:val="21"/>
              </w:rPr>
              <w:t>1%</w:t>
            </w:r>
          </w:p>
        </w:tc>
      </w:tr>
    </w:tbl>
    <w:p>
      <w:pPr>
        <w:spacing w:after="0"/>
        <w:rPr>
          <w:sz w:val="21"/>
        </w:rPr>
        <w:sectPr>
          <w:pgSz w:w="11910" w:h="16840"/>
          <w:pgMar w:header="874" w:footer="1004" w:top="1420" w:bottom="1200" w:left="1040" w:right="1160"/>
        </w:sectPr>
      </w:pPr>
    </w:p>
    <w:p>
      <w:pPr>
        <w:spacing w:before="91"/>
        <w:ind w:left="4905" w:right="4917" w:firstLine="0"/>
        <w:jc w:val="center"/>
        <w:rPr>
          <w:b/>
          <w:sz w:val="24"/>
        </w:rPr>
      </w:pPr>
      <w:r>
        <w:rPr>
          <w:b/>
          <w:sz w:val="24"/>
        </w:rPr>
        <w:t>表 </w:t>
      </w:r>
      <w:r>
        <w:rPr>
          <w:rFonts w:ascii="Times New Roman" w:eastAsia="Times New Roman"/>
          <w:b/>
          <w:sz w:val="24"/>
        </w:rPr>
        <w:t>5.2-6  </w:t>
      </w:r>
      <w:r>
        <w:rPr>
          <w:b/>
          <w:sz w:val="24"/>
        </w:rPr>
        <w:t>项目估算因子源强及参数（点源）</w:t>
      </w:r>
    </w:p>
    <w:p>
      <w:pPr>
        <w:pStyle w:val="BodyText"/>
        <w:spacing w:before="2"/>
        <w:ind w:left="0"/>
        <w:rPr>
          <w:b/>
          <w:sz w:val="6"/>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6"/>
        <w:gridCol w:w="1603"/>
        <w:gridCol w:w="1322"/>
        <w:gridCol w:w="1241"/>
        <w:gridCol w:w="1456"/>
        <w:gridCol w:w="1044"/>
        <w:gridCol w:w="1250"/>
        <w:gridCol w:w="1046"/>
        <w:gridCol w:w="1044"/>
        <w:gridCol w:w="1160"/>
        <w:gridCol w:w="634"/>
        <w:gridCol w:w="840"/>
        <w:gridCol w:w="1040"/>
      </w:tblGrid>
      <w:tr>
        <w:trPr>
          <w:trHeight w:val="359" w:hRule="atLeast"/>
        </w:trPr>
        <w:tc>
          <w:tcPr>
            <w:tcW w:w="996" w:type="dxa"/>
            <w:vMerge w:val="restart"/>
            <w:tcBorders>
              <w:bottom w:val="single" w:sz="6" w:space="0" w:color="000000"/>
              <w:right w:val="single" w:sz="6" w:space="0" w:color="000000"/>
            </w:tcBorders>
          </w:tcPr>
          <w:p>
            <w:pPr>
              <w:pStyle w:val="TableParagraph"/>
              <w:spacing w:before="10"/>
              <w:jc w:val="left"/>
              <w:rPr>
                <w:rFonts w:ascii="宋体"/>
                <w:b/>
                <w:sz w:val="18"/>
              </w:rPr>
            </w:pPr>
          </w:p>
          <w:p>
            <w:pPr>
              <w:pStyle w:val="TableParagraph"/>
              <w:spacing w:before="0"/>
              <w:ind w:left="297"/>
              <w:jc w:val="left"/>
              <w:rPr>
                <w:rFonts w:ascii="宋体" w:eastAsia="宋体" w:hint="eastAsia"/>
                <w:b/>
                <w:sz w:val="20"/>
              </w:rPr>
            </w:pPr>
            <w:r>
              <w:rPr>
                <w:rFonts w:ascii="宋体" w:eastAsia="宋体" w:hint="eastAsia"/>
                <w:b/>
                <w:sz w:val="20"/>
              </w:rPr>
              <w:t>编号</w:t>
            </w:r>
          </w:p>
        </w:tc>
        <w:tc>
          <w:tcPr>
            <w:tcW w:w="1603" w:type="dxa"/>
            <w:vMerge w:val="restart"/>
            <w:tcBorders>
              <w:left w:val="single" w:sz="6" w:space="0" w:color="000000"/>
              <w:bottom w:val="single" w:sz="6" w:space="0" w:color="000000"/>
              <w:right w:val="single" w:sz="6" w:space="0" w:color="000000"/>
            </w:tcBorders>
          </w:tcPr>
          <w:p>
            <w:pPr>
              <w:pStyle w:val="TableParagraph"/>
              <w:spacing w:before="10"/>
              <w:jc w:val="left"/>
              <w:rPr>
                <w:rFonts w:ascii="宋体"/>
                <w:b/>
                <w:sz w:val="18"/>
              </w:rPr>
            </w:pPr>
          </w:p>
          <w:p>
            <w:pPr>
              <w:pStyle w:val="TableParagraph"/>
              <w:spacing w:before="0"/>
              <w:ind w:left="590" w:right="556"/>
              <w:rPr>
                <w:rFonts w:ascii="宋体" w:eastAsia="宋体" w:hint="eastAsia"/>
                <w:b/>
                <w:sz w:val="20"/>
              </w:rPr>
            </w:pPr>
            <w:r>
              <w:rPr>
                <w:rFonts w:ascii="宋体" w:eastAsia="宋体" w:hint="eastAsia"/>
                <w:b/>
                <w:sz w:val="20"/>
              </w:rPr>
              <w:t>名称</w:t>
            </w:r>
          </w:p>
        </w:tc>
        <w:tc>
          <w:tcPr>
            <w:tcW w:w="2563" w:type="dxa"/>
            <w:gridSpan w:val="2"/>
            <w:tcBorders>
              <w:left w:val="single" w:sz="6" w:space="0" w:color="000000"/>
              <w:bottom w:val="single" w:sz="6" w:space="0" w:color="000000"/>
              <w:right w:val="single" w:sz="6" w:space="0" w:color="000000"/>
            </w:tcBorders>
          </w:tcPr>
          <w:p>
            <w:pPr>
              <w:pStyle w:val="TableParagraph"/>
              <w:spacing w:before="53"/>
              <w:ind w:left="386"/>
              <w:jc w:val="left"/>
              <w:rPr>
                <w:rFonts w:ascii="宋体" w:eastAsia="宋体" w:hint="eastAsia"/>
                <w:b/>
                <w:sz w:val="20"/>
              </w:rPr>
            </w:pPr>
            <w:r>
              <w:rPr>
                <w:rFonts w:ascii="宋体" w:eastAsia="宋体" w:hint="eastAsia"/>
                <w:b/>
                <w:sz w:val="20"/>
              </w:rPr>
              <w:t>排气筒底部中心坐标</w:t>
            </w:r>
          </w:p>
        </w:tc>
        <w:tc>
          <w:tcPr>
            <w:tcW w:w="1456" w:type="dxa"/>
            <w:vMerge w:val="restart"/>
            <w:tcBorders>
              <w:left w:val="single" w:sz="6" w:space="0" w:color="000000"/>
              <w:bottom w:val="single" w:sz="6" w:space="0" w:color="000000"/>
              <w:right w:val="single" w:sz="6" w:space="0" w:color="000000"/>
            </w:tcBorders>
          </w:tcPr>
          <w:p>
            <w:pPr>
              <w:pStyle w:val="TableParagraph"/>
              <w:spacing w:before="61"/>
              <w:ind w:left="135"/>
              <w:jc w:val="left"/>
              <w:rPr>
                <w:rFonts w:ascii="宋体" w:eastAsia="宋体" w:hint="eastAsia"/>
                <w:b/>
                <w:sz w:val="20"/>
              </w:rPr>
            </w:pPr>
            <w:r>
              <w:rPr>
                <w:rFonts w:ascii="宋体" w:eastAsia="宋体" w:hint="eastAsia"/>
                <w:b/>
                <w:w w:val="95"/>
                <w:sz w:val="20"/>
              </w:rPr>
              <w:t>排气筒底部海</w:t>
            </w:r>
          </w:p>
          <w:p>
            <w:pPr>
              <w:pStyle w:val="TableParagraph"/>
              <w:spacing w:before="103"/>
              <w:ind w:left="152"/>
              <w:jc w:val="left"/>
              <w:rPr>
                <w:rFonts w:ascii="宋体" w:eastAsia="宋体" w:hint="eastAsia"/>
                <w:b/>
                <w:sz w:val="20"/>
              </w:rPr>
            </w:pPr>
            <w:r>
              <w:rPr>
                <w:rFonts w:ascii="宋体" w:eastAsia="宋体" w:hint="eastAsia"/>
                <w:b/>
                <w:w w:val="95"/>
                <w:sz w:val="20"/>
              </w:rPr>
              <w:t>拔高度（</w:t>
            </w:r>
            <w:r>
              <w:rPr>
                <w:b/>
                <w:w w:val="95"/>
                <w:sz w:val="20"/>
              </w:rPr>
              <w:t>m</w:t>
            </w:r>
            <w:r>
              <w:rPr>
                <w:rFonts w:ascii="宋体" w:eastAsia="宋体" w:hint="eastAsia"/>
                <w:b/>
                <w:w w:val="95"/>
                <w:sz w:val="20"/>
              </w:rPr>
              <w:t>）</w:t>
            </w:r>
          </w:p>
        </w:tc>
        <w:tc>
          <w:tcPr>
            <w:tcW w:w="1044" w:type="dxa"/>
            <w:vMerge w:val="restart"/>
            <w:tcBorders>
              <w:left w:val="single" w:sz="6" w:space="0" w:color="000000"/>
              <w:bottom w:val="single" w:sz="6" w:space="0" w:color="000000"/>
              <w:right w:val="single" w:sz="6" w:space="0" w:color="000000"/>
            </w:tcBorders>
          </w:tcPr>
          <w:p>
            <w:pPr>
              <w:pStyle w:val="TableParagraph"/>
              <w:spacing w:before="61"/>
              <w:ind w:left="129"/>
              <w:jc w:val="left"/>
              <w:rPr>
                <w:rFonts w:ascii="宋体" w:eastAsia="宋体" w:hint="eastAsia"/>
                <w:b/>
                <w:sz w:val="20"/>
              </w:rPr>
            </w:pPr>
            <w:r>
              <w:rPr>
                <w:rFonts w:ascii="宋体" w:eastAsia="宋体" w:hint="eastAsia"/>
                <w:b/>
                <w:sz w:val="20"/>
              </w:rPr>
              <w:t>排气筒高</w:t>
            </w:r>
          </w:p>
          <w:p>
            <w:pPr>
              <w:pStyle w:val="TableParagraph"/>
              <w:spacing w:before="103"/>
              <w:ind w:left="145"/>
              <w:jc w:val="left"/>
              <w:rPr>
                <w:rFonts w:ascii="宋体" w:eastAsia="宋体" w:hint="eastAsia"/>
                <w:b/>
                <w:sz w:val="20"/>
              </w:rPr>
            </w:pPr>
            <w:r>
              <w:rPr>
                <w:rFonts w:ascii="宋体" w:eastAsia="宋体" w:hint="eastAsia"/>
                <w:b/>
                <w:w w:val="95"/>
                <w:sz w:val="20"/>
              </w:rPr>
              <w:t>度（</w:t>
            </w:r>
            <w:r>
              <w:rPr>
                <w:b/>
                <w:w w:val="95"/>
                <w:sz w:val="20"/>
              </w:rPr>
              <w:t>m</w:t>
            </w:r>
            <w:r>
              <w:rPr>
                <w:rFonts w:ascii="宋体" w:eastAsia="宋体" w:hint="eastAsia"/>
                <w:b/>
                <w:w w:val="95"/>
                <w:sz w:val="20"/>
              </w:rPr>
              <w:t>）</w:t>
            </w:r>
          </w:p>
        </w:tc>
        <w:tc>
          <w:tcPr>
            <w:tcW w:w="1250" w:type="dxa"/>
            <w:vMerge w:val="restart"/>
            <w:tcBorders>
              <w:left w:val="single" w:sz="6" w:space="0" w:color="000000"/>
              <w:bottom w:val="single" w:sz="6" w:space="0" w:color="000000"/>
              <w:right w:val="single" w:sz="6" w:space="0" w:color="000000"/>
            </w:tcBorders>
          </w:tcPr>
          <w:p>
            <w:pPr>
              <w:pStyle w:val="TableParagraph"/>
              <w:spacing w:before="61"/>
              <w:ind w:left="134"/>
              <w:jc w:val="left"/>
              <w:rPr>
                <w:rFonts w:ascii="宋体" w:eastAsia="宋体" w:hint="eastAsia"/>
                <w:b/>
                <w:sz w:val="20"/>
              </w:rPr>
            </w:pPr>
            <w:r>
              <w:rPr>
                <w:rFonts w:ascii="宋体" w:eastAsia="宋体" w:hint="eastAsia"/>
                <w:b/>
                <w:w w:val="95"/>
                <w:sz w:val="20"/>
              </w:rPr>
              <w:t>排气筒出口</w:t>
            </w:r>
          </w:p>
          <w:p>
            <w:pPr>
              <w:pStyle w:val="TableParagraph"/>
              <w:spacing w:before="103"/>
              <w:ind w:left="151"/>
              <w:jc w:val="left"/>
              <w:rPr>
                <w:rFonts w:ascii="宋体" w:eastAsia="宋体" w:hint="eastAsia"/>
                <w:b/>
                <w:sz w:val="20"/>
              </w:rPr>
            </w:pPr>
            <w:r>
              <w:rPr>
                <w:rFonts w:ascii="宋体" w:eastAsia="宋体" w:hint="eastAsia"/>
                <w:b/>
                <w:w w:val="95"/>
                <w:sz w:val="20"/>
              </w:rPr>
              <w:t>内径（</w:t>
            </w:r>
            <w:r>
              <w:rPr>
                <w:b/>
                <w:w w:val="95"/>
                <w:sz w:val="20"/>
              </w:rPr>
              <w:t>m</w:t>
            </w:r>
            <w:r>
              <w:rPr>
                <w:rFonts w:ascii="宋体" w:eastAsia="宋体" w:hint="eastAsia"/>
                <w:b/>
                <w:w w:val="95"/>
                <w:sz w:val="20"/>
              </w:rPr>
              <w:t>）</w:t>
            </w:r>
          </w:p>
        </w:tc>
        <w:tc>
          <w:tcPr>
            <w:tcW w:w="1046" w:type="dxa"/>
            <w:vMerge w:val="restart"/>
            <w:tcBorders>
              <w:left w:val="single" w:sz="6" w:space="0" w:color="000000"/>
              <w:bottom w:val="single" w:sz="6" w:space="0" w:color="000000"/>
              <w:right w:val="single" w:sz="6" w:space="0" w:color="000000"/>
            </w:tcBorders>
          </w:tcPr>
          <w:p>
            <w:pPr>
              <w:pStyle w:val="TableParagraph"/>
              <w:spacing w:before="61"/>
              <w:ind w:left="132"/>
              <w:jc w:val="left"/>
              <w:rPr>
                <w:rFonts w:ascii="宋体" w:eastAsia="宋体" w:hint="eastAsia"/>
                <w:b/>
                <w:sz w:val="20"/>
              </w:rPr>
            </w:pPr>
            <w:r>
              <w:rPr>
                <w:rFonts w:ascii="宋体" w:eastAsia="宋体" w:hint="eastAsia"/>
                <w:b/>
                <w:sz w:val="20"/>
              </w:rPr>
              <w:t>烟气流量</w:t>
            </w:r>
          </w:p>
          <w:p>
            <w:pPr>
              <w:pStyle w:val="TableParagraph"/>
              <w:spacing w:before="103"/>
              <w:ind w:left="137"/>
              <w:jc w:val="left"/>
              <w:rPr>
                <w:rFonts w:ascii="宋体" w:hAnsi="宋体" w:eastAsia="宋体" w:hint="eastAsia"/>
                <w:b/>
                <w:sz w:val="20"/>
              </w:rPr>
            </w:pPr>
            <w:r>
              <w:rPr>
                <w:rFonts w:ascii="宋体" w:hAnsi="宋体" w:eastAsia="宋体" w:hint="eastAsia"/>
                <w:b/>
                <w:sz w:val="20"/>
              </w:rPr>
              <w:t>（</w:t>
            </w:r>
            <w:r>
              <w:rPr>
                <w:b/>
                <w:sz w:val="20"/>
              </w:rPr>
              <w:t>m³/h</w:t>
            </w:r>
            <w:r>
              <w:rPr>
                <w:rFonts w:ascii="宋体" w:hAnsi="宋体" w:eastAsia="宋体" w:hint="eastAsia"/>
                <w:b/>
                <w:sz w:val="20"/>
              </w:rPr>
              <w:t>）</w:t>
            </w:r>
          </w:p>
        </w:tc>
        <w:tc>
          <w:tcPr>
            <w:tcW w:w="1044" w:type="dxa"/>
            <w:vMerge w:val="restart"/>
            <w:tcBorders>
              <w:left w:val="single" w:sz="6" w:space="0" w:color="000000"/>
              <w:bottom w:val="single" w:sz="6" w:space="0" w:color="000000"/>
              <w:right w:val="single" w:sz="6" w:space="0" w:color="000000"/>
            </w:tcBorders>
          </w:tcPr>
          <w:p>
            <w:pPr>
              <w:pStyle w:val="TableParagraph"/>
              <w:spacing w:before="61"/>
              <w:ind w:left="111" w:right="73"/>
              <w:rPr>
                <w:rFonts w:ascii="宋体" w:eastAsia="宋体" w:hint="eastAsia"/>
                <w:b/>
                <w:sz w:val="20"/>
              </w:rPr>
            </w:pPr>
            <w:r>
              <w:rPr>
                <w:rFonts w:ascii="宋体" w:eastAsia="宋体" w:hint="eastAsia"/>
                <w:b/>
                <w:sz w:val="20"/>
              </w:rPr>
              <w:t>烟气温度</w:t>
            </w:r>
          </w:p>
          <w:p>
            <w:pPr>
              <w:pStyle w:val="TableParagraph"/>
              <w:spacing w:before="103"/>
              <w:ind w:left="108" w:right="73"/>
              <w:rPr>
                <w:rFonts w:ascii="宋体" w:hAnsi="宋体" w:eastAsia="宋体" w:hint="eastAsia"/>
                <w:b/>
                <w:sz w:val="20"/>
              </w:rPr>
            </w:pPr>
            <w:r>
              <w:rPr>
                <w:rFonts w:ascii="宋体" w:hAnsi="宋体" w:eastAsia="宋体" w:hint="eastAsia"/>
                <w:b/>
                <w:sz w:val="20"/>
              </w:rPr>
              <w:t>（℃）</w:t>
            </w:r>
          </w:p>
        </w:tc>
        <w:tc>
          <w:tcPr>
            <w:tcW w:w="1160" w:type="dxa"/>
            <w:vMerge w:val="restart"/>
            <w:tcBorders>
              <w:left w:val="single" w:sz="6" w:space="0" w:color="000000"/>
              <w:bottom w:val="single" w:sz="6" w:space="0" w:color="000000"/>
              <w:right w:val="single" w:sz="6" w:space="0" w:color="000000"/>
            </w:tcBorders>
          </w:tcPr>
          <w:p>
            <w:pPr>
              <w:pStyle w:val="TableParagraph"/>
              <w:spacing w:before="61"/>
              <w:ind w:left="190"/>
              <w:jc w:val="left"/>
              <w:rPr>
                <w:rFonts w:ascii="宋体" w:eastAsia="宋体" w:hint="eastAsia"/>
                <w:b/>
                <w:sz w:val="20"/>
              </w:rPr>
            </w:pPr>
            <w:r>
              <w:rPr>
                <w:rFonts w:ascii="宋体" w:eastAsia="宋体" w:hint="eastAsia"/>
                <w:b/>
                <w:sz w:val="20"/>
              </w:rPr>
              <w:t>年排放小</w:t>
            </w:r>
          </w:p>
          <w:p>
            <w:pPr>
              <w:pStyle w:val="TableParagraph"/>
              <w:spacing w:before="103"/>
              <w:ind w:left="135"/>
              <w:jc w:val="left"/>
              <w:rPr>
                <w:rFonts w:ascii="宋体" w:eastAsia="宋体" w:hint="eastAsia"/>
                <w:b/>
                <w:sz w:val="20"/>
              </w:rPr>
            </w:pPr>
            <w:r>
              <w:rPr>
                <w:rFonts w:ascii="宋体" w:eastAsia="宋体" w:hint="eastAsia"/>
                <w:b/>
                <w:w w:val="95"/>
                <w:sz w:val="20"/>
              </w:rPr>
              <w:t>时数（</w:t>
            </w:r>
            <w:r>
              <w:rPr>
                <w:b/>
                <w:w w:val="95"/>
                <w:sz w:val="20"/>
              </w:rPr>
              <w:t>h</w:t>
            </w:r>
            <w:r>
              <w:rPr>
                <w:rFonts w:ascii="宋体" w:eastAsia="宋体" w:hint="eastAsia"/>
                <w:b/>
                <w:w w:val="95"/>
                <w:sz w:val="20"/>
              </w:rPr>
              <w:t>）</w:t>
            </w:r>
          </w:p>
        </w:tc>
        <w:tc>
          <w:tcPr>
            <w:tcW w:w="634" w:type="dxa"/>
            <w:vMerge w:val="restart"/>
            <w:tcBorders>
              <w:left w:val="single" w:sz="6" w:space="0" w:color="000000"/>
              <w:bottom w:val="single" w:sz="6" w:space="0" w:color="000000"/>
              <w:right w:val="single" w:sz="6" w:space="0" w:color="000000"/>
            </w:tcBorders>
          </w:tcPr>
          <w:p>
            <w:pPr>
              <w:pStyle w:val="TableParagraph"/>
              <w:spacing w:before="61"/>
              <w:ind w:left="125"/>
              <w:jc w:val="left"/>
              <w:rPr>
                <w:rFonts w:ascii="宋体" w:eastAsia="宋体" w:hint="eastAsia"/>
                <w:b/>
                <w:sz w:val="20"/>
              </w:rPr>
            </w:pPr>
            <w:r>
              <w:rPr>
                <w:rFonts w:ascii="宋体" w:eastAsia="宋体" w:hint="eastAsia"/>
                <w:b/>
                <w:sz w:val="20"/>
              </w:rPr>
              <w:t>排放</w:t>
            </w:r>
          </w:p>
          <w:p>
            <w:pPr>
              <w:pStyle w:val="TableParagraph"/>
              <w:spacing w:before="103"/>
              <w:ind w:left="125"/>
              <w:jc w:val="left"/>
              <w:rPr>
                <w:rFonts w:ascii="宋体" w:eastAsia="宋体" w:hint="eastAsia"/>
                <w:b/>
                <w:sz w:val="20"/>
              </w:rPr>
            </w:pPr>
            <w:r>
              <w:rPr>
                <w:rFonts w:ascii="宋体" w:eastAsia="宋体" w:hint="eastAsia"/>
                <w:b/>
                <w:sz w:val="20"/>
              </w:rPr>
              <w:t>工况</w:t>
            </w:r>
          </w:p>
        </w:tc>
        <w:tc>
          <w:tcPr>
            <w:tcW w:w="840" w:type="dxa"/>
            <w:vMerge w:val="restart"/>
            <w:tcBorders>
              <w:left w:val="single" w:sz="6" w:space="0" w:color="000000"/>
              <w:bottom w:val="single" w:sz="6" w:space="0" w:color="000000"/>
              <w:right w:val="single" w:sz="6" w:space="0" w:color="000000"/>
            </w:tcBorders>
          </w:tcPr>
          <w:p>
            <w:pPr>
              <w:pStyle w:val="TableParagraph"/>
              <w:spacing w:before="10"/>
              <w:jc w:val="left"/>
              <w:rPr>
                <w:rFonts w:ascii="宋体"/>
                <w:b/>
                <w:sz w:val="18"/>
              </w:rPr>
            </w:pPr>
          </w:p>
          <w:p>
            <w:pPr>
              <w:pStyle w:val="TableParagraph"/>
              <w:spacing w:before="0"/>
              <w:ind w:left="129"/>
              <w:jc w:val="left"/>
              <w:rPr>
                <w:rFonts w:ascii="宋体" w:eastAsia="宋体" w:hint="eastAsia"/>
                <w:b/>
                <w:sz w:val="20"/>
              </w:rPr>
            </w:pPr>
            <w:r>
              <w:rPr>
                <w:rFonts w:ascii="宋体" w:eastAsia="宋体" w:hint="eastAsia"/>
                <w:b/>
                <w:sz w:val="20"/>
              </w:rPr>
              <w:t>污染物</w:t>
            </w:r>
          </w:p>
        </w:tc>
        <w:tc>
          <w:tcPr>
            <w:tcW w:w="1040" w:type="dxa"/>
            <w:vMerge w:val="restart"/>
            <w:tcBorders>
              <w:left w:val="single" w:sz="6" w:space="0" w:color="000000"/>
              <w:bottom w:val="single" w:sz="6" w:space="0" w:color="000000"/>
            </w:tcBorders>
          </w:tcPr>
          <w:p>
            <w:pPr>
              <w:pStyle w:val="TableParagraph"/>
              <w:spacing w:before="61"/>
              <w:ind w:left="127"/>
              <w:jc w:val="left"/>
              <w:rPr>
                <w:rFonts w:ascii="宋体" w:eastAsia="宋体" w:hint="eastAsia"/>
                <w:b/>
                <w:sz w:val="20"/>
              </w:rPr>
            </w:pPr>
            <w:r>
              <w:rPr>
                <w:rFonts w:ascii="宋体" w:eastAsia="宋体" w:hint="eastAsia"/>
                <w:b/>
                <w:sz w:val="20"/>
              </w:rPr>
              <w:t>排放速率</w:t>
            </w:r>
          </w:p>
          <w:p>
            <w:pPr>
              <w:pStyle w:val="TableParagraph"/>
              <w:spacing w:before="103"/>
              <w:ind w:left="139"/>
              <w:jc w:val="left"/>
              <w:rPr>
                <w:rFonts w:ascii="宋体" w:eastAsia="宋体" w:hint="eastAsia"/>
                <w:b/>
                <w:sz w:val="20"/>
              </w:rPr>
            </w:pPr>
            <w:r>
              <w:rPr>
                <w:rFonts w:ascii="宋体" w:eastAsia="宋体" w:hint="eastAsia"/>
                <w:b/>
                <w:sz w:val="20"/>
              </w:rPr>
              <w:t>（</w:t>
            </w:r>
            <w:r>
              <w:rPr>
                <w:b/>
                <w:sz w:val="20"/>
              </w:rPr>
              <w:t>kg/h</w:t>
            </w:r>
            <w:r>
              <w:rPr>
                <w:rFonts w:ascii="宋体" w:eastAsia="宋体" w:hint="eastAsia"/>
                <w:b/>
                <w:sz w:val="20"/>
              </w:rPr>
              <w:t>）</w:t>
            </w:r>
          </w:p>
        </w:tc>
      </w:tr>
      <w:tr>
        <w:trPr>
          <w:trHeight w:val="359" w:hRule="atLeast"/>
        </w:trPr>
        <w:tc>
          <w:tcPr>
            <w:tcW w:w="996" w:type="dxa"/>
            <w:vMerge/>
            <w:tcBorders>
              <w:top w:val="nil"/>
              <w:bottom w:val="single" w:sz="6" w:space="0" w:color="000000"/>
              <w:right w:val="single" w:sz="6" w:space="0" w:color="000000"/>
            </w:tcBorders>
          </w:tcPr>
          <w:p>
            <w:pPr>
              <w:rPr>
                <w:sz w:val="2"/>
                <w:szCs w:val="2"/>
              </w:rPr>
            </w:pPr>
          </w:p>
        </w:tc>
        <w:tc>
          <w:tcPr>
            <w:tcW w:w="1603" w:type="dxa"/>
            <w:vMerge/>
            <w:tcBorders>
              <w:top w:val="nil"/>
              <w:left w:val="single" w:sz="6" w:space="0" w:color="000000"/>
              <w:bottom w:val="single" w:sz="6" w:space="0" w:color="000000"/>
              <w:right w:val="single" w:sz="6" w:space="0" w:color="000000"/>
            </w:tcBorders>
          </w:tcPr>
          <w:p>
            <w:pPr>
              <w:rPr>
                <w:sz w:val="2"/>
                <w:szCs w:val="2"/>
              </w:rPr>
            </w:pPr>
          </w:p>
        </w:tc>
        <w:tc>
          <w:tcPr>
            <w:tcW w:w="1322" w:type="dxa"/>
            <w:tcBorders>
              <w:top w:val="single" w:sz="6" w:space="0" w:color="000000"/>
              <w:left w:val="single" w:sz="6" w:space="0" w:color="000000"/>
              <w:bottom w:val="single" w:sz="6" w:space="0" w:color="000000"/>
              <w:right w:val="single" w:sz="6" w:space="0" w:color="000000"/>
            </w:tcBorders>
          </w:tcPr>
          <w:p>
            <w:pPr>
              <w:pStyle w:val="TableParagraph"/>
              <w:spacing w:before="54"/>
              <w:ind w:left="468"/>
              <w:jc w:val="left"/>
              <w:rPr>
                <w:rFonts w:ascii="宋体" w:eastAsia="宋体" w:hint="eastAsia"/>
                <w:b/>
                <w:sz w:val="20"/>
              </w:rPr>
            </w:pPr>
            <w:r>
              <w:rPr>
                <w:rFonts w:ascii="宋体" w:eastAsia="宋体" w:hint="eastAsia"/>
                <w:b/>
                <w:sz w:val="20"/>
              </w:rPr>
              <w:t>东经</w:t>
            </w:r>
          </w:p>
        </w:tc>
        <w:tc>
          <w:tcPr>
            <w:tcW w:w="1241" w:type="dxa"/>
            <w:tcBorders>
              <w:top w:val="single" w:sz="6" w:space="0" w:color="000000"/>
              <w:left w:val="single" w:sz="6" w:space="0" w:color="000000"/>
              <w:bottom w:val="single" w:sz="6" w:space="0" w:color="000000"/>
              <w:right w:val="single" w:sz="6" w:space="0" w:color="000000"/>
            </w:tcBorders>
          </w:tcPr>
          <w:p>
            <w:pPr>
              <w:pStyle w:val="TableParagraph"/>
              <w:spacing w:before="54"/>
              <w:ind w:left="428"/>
              <w:jc w:val="left"/>
              <w:rPr>
                <w:rFonts w:ascii="宋体" w:eastAsia="宋体" w:hint="eastAsia"/>
                <w:b/>
                <w:sz w:val="20"/>
              </w:rPr>
            </w:pPr>
            <w:r>
              <w:rPr>
                <w:rFonts w:ascii="宋体" w:eastAsia="宋体" w:hint="eastAsia"/>
                <w:b/>
                <w:sz w:val="20"/>
              </w:rPr>
              <w:t>北纬</w:t>
            </w:r>
          </w:p>
        </w:tc>
        <w:tc>
          <w:tcPr>
            <w:tcW w:w="145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250" w:type="dxa"/>
            <w:vMerge/>
            <w:tcBorders>
              <w:top w:val="nil"/>
              <w:left w:val="single" w:sz="6" w:space="0" w:color="000000"/>
              <w:bottom w:val="single" w:sz="6" w:space="0" w:color="000000"/>
              <w:right w:val="single" w:sz="6" w:space="0" w:color="000000"/>
            </w:tcBorders>
          </w:tcPr>
          <w:p>
            <w:pPr>
              <w:rPr>
                <w:sz w:val="2"/>
                <w:szCs w:val="2"/>
              </w:rPr>
            </w:pPr>
          </w:p>
        </w:tc>
        <w:tc>
          <w:tcPr>
            <w:tcW w:w="104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160" w:type="dxa"/>
            <w:vMerge/>
            <w:tcBorders>
              <w:top w:val="nil"/>
              <w:left w:val="single" w:sz="6" w:space="0" w:color="000000"/>
              <w:bottom w:val="single" w:sz="6" w:space="0" w:color="000000"/>
              <w:right w:val="single" w:sz="6" w:space="0" w:color="000000"/>
            </w:tcBorders>
          </w:tcPr>
          <w:p>
            <w:pPr>
              <w:rPr>
                <w:sz w:val="2"/>
                <w:szCs w:val="2"/>
              </w:rPr>
            </w:pP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840" w:type="dxa"/>
            <w:vMerge/>
            <w:tcBorders>
              <w:top w:val="nil"/>
              <w:left w:val="single" w:sz="6" w:space="0" w:color="000000"/>
              <w:bottom w:val="single" w:sz="6" w:space="0" w:color="000000"/>
              <w:right w:val="single" w:sz="6" w:space="0" w:color="000000"/>
            </w:tcBorders>
          </w:tcPr>
          <w:p>
            <w:pPr>
              <w:rPr>
                <w:sz w:val="2"/>
                <w:szCs w:val="2"/>
              </w:rPr>
            </w:pPr>
          </w:p>
        </w:tc>
        <w:tc>
          <w:tcPr>
            <w:tcW w:w="1040" w:type="dxa"/>
            <w:vMerge/>
            <w:tcBorders>
              <w:top w:val="nil"/>
              <w:left w:val="single" w:sz="6" w:space="0" w:color="000000"/>
              <w:bottom w:val="single" w:sz="6" w:space="0" w:color="000000"/>
            </w:tcBorders>
          </w:tcPr>
          <w:p>
            <w:pPr>
              <w:rPr>
                <w:sz w:val="2"/>
                <w:szCs w:val="2"/>
              </w:rPr>
            </w:pPr>
          </w:p>
        </w:tc>
      </w:tr>
      <w:tr>
        <w:trPr>
          <w:trHeight w:val="359" w:hRule="atLeast"/>
        </w:trPr>
        <w:tc>
          <w:tcPr>
            <w:tcW w:w="996" w:type="dxa"/>
            <w:vMerge w:val="restart"/>
            <w:tcBorders>
              <w:top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203"/>
              <w:jc w:val="left"/>
              <w:rPr>
                <w:sz w:val="20"/>
              </w:rPr>
            </w:pPr>
            <w:r>
              <w:rPr>
                <w:sz w:val="20"/>
              </w:rPr>
              <w:t>DA001</w:t>
            </w:r>
          </w:p>
        </w:tc>
        <w:tc>
          <w:tcPr>
            <w:tcW w:w="16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410"/>
              <w:jc w:val="left"/>
              <w:rPr>
                <w:rFonts w:ascii="宋体" w:eastAsia="宋体" w:hint="eastAsia"/>
                <w:sz w:val="20"/>
              </w:rPr>
            </w:pPr>
            <w:r>
              <w:rPr>
                <w:rFonts w:ascii="宋体" w:eastAsia="宋体" w:hint="eastAsia"/>
                <w:sz w:val="20"/>
              </w:rPr>
              <w:t>粪污处理</w:t>
            </w:r>
          </w:p>
        </w:tc>
        <w:tc>
          <w:tcPr>
            <w:tcW w:w="13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120.459489E</w:t>
            </w:r>
          </w:p>
        </w:tc>
        <w:tc>
          <w:tcPr>
            <w:tcW w:w="124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30.009644N</w:t>
            </w:r>
          </w:p>
        </w:tc>
        <w:tc>
          <w:tcPr>
            <w:tcW w:w="145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620" w:right="581"/>
              <w:rPr>
                <w:sz w:val="20"/>
              </w:rPr>
            </w:pPr>
            <w:r>
              <w:rPr>
                <w:sz w:val="20"/>
              </w:rPr>
              <w:t>20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08" w:right="73"/>
              <w:rPr>
                <w:sz w:val="20"/>
              </w:rPr>
            </w:pPr>
            <w:r>
              <w:rPr>
                <w:sz w:val="20"/>
              </w:rPr>
              <w:t>15</w:t>
            </w:r>
          </w:p>
        </w:tc>
        <w:tc>
          <w:tcPr>
            <w:tcW w:w="12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441" w:right="404"/>
              <w:rPr>
                <w:sz w:val="20"/>
              </w:rPr>
            </w:pPr>
            <w:r>
              <w:rPr>
                <w:sz w:val="20"/>
              </w:rPr>
              <w:t>1.20</w:t>
            </w:r>
          </w:p>
        </w:tc>
        <w:tc>
          <w:tcPr>
            <w:tcW w:w="104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283"/>
              <w:jc w:val="left"/>
              <w:rPr>
                <w:sz w:val="20"/>
              </w:rPr>
            </w:pPr>
            <w:r>
              <w:rPr>
                <w:sz w:val="20"/>
              </w:rPr>
              <w:t>50000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1" w:right="73"/>
              <w:rPr>
                <w:sz w:val="20"/>
              </w:rPr>
            </w:pPr>
            <w:r>
              <w:rPr>
                <w:sz w:val="20"/>
              </w:rPr>
              <w:t>25</w:t>
            </w:r>
          </w:p>
        </w:tc>
        <w:tc>
          <w:tcPr>
            <w:tcW w:w="116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392"/>
              <w:jc w:val="left"/>
              <w:rPr>
                <w:sz w:val="20"/>
              </w:rPr>
            </w:pPr>
            <w:r>
              <w:rPr>
                <w:sz w:val="20"/>
              </w:rPr>
              <w:t>8760</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25"/>
              <w:jc w:val="left"/>
              <w:rPr>
                <w:rFonts w:ascii="宋体" w:eastAsia="宋体" w:hint="eastAsia"/>
                <w:sz w:val="20"/>
              </w:rPr>
            </w:pPr>
            <w:r>
              <w:rPr>
                <w:rFonts w:ascii="宋体" w:eastAsia="宋体" w:hint="eastAsia"/>
                <w:sz w:val="20"/>
              </w:rPr>
              <w:t>连续</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197"/>
              <w:rPr>
                <w:sz w:val="13"/>
              </w:rPr>
            </w:pPr>
            <w:r>
              <w:rPr>
                <w:position w:val="2"/>
                <w:sz w:val="20"/>
              </w:rPr>
              <w:t>NH</w:t>
            </w:r>
            <w:r>
              <w:rPr>
                <w:sz w:val="13"/>
              </w:rPr>
              <w:t>3</w:t>
            </w:r>
          </w:p>
        </w:tc>
        <w:tc>
          <w:tcPr>
            <w:tcW w:w="1040" w:type="dxa"/>
            <w:tcBorders>
              <w:top w:val="single" w:sz="6" w:space="0" w:color="000000"/>
              <w:left w:val="single" w:sz="6" w:space="0" w:color="000000"/>
              <w:bottom w:val="single" w:sz="6" w:space="0" w:color="000000"/>
            </w:tcBorders>
          </w:tcPr>
          <w:p>
            <w:pPr>
              <w:pStyle w:val="TableParagraph"/>
              <w:spacing w:before="62"/>
              <w:ind w:left="139" w:right="98"/>
              <w:rPr>
                <w:sz w:val="20"/>
              </w:rPr>
            </w:pPr>
            <w:r>
              <w:rPr>
                <w:sz w:val="20"/>
              </w:rPr>
              <w:t>0.1977</w:t>
            </w:r>
          </w:p>
        </w:tc>
      </w:tr>
      <w:tr>
        <w:trPr>
          <w:trHeight w:val="359" w:hRule="atLeast"/>
        </w:trPr>
        <w:tc>
          <w:tcPr>
            <w:tcW w:w="996" w:type="dxa"/>
            <w:vMerge/>
            <w:tcBorders>
              <w:top w:val="nil"/>
              <w:bottom w:val="single" w:sz="6" w:space="0" w:color="000000"/>
              <w:right w:val="single" w:sz="6" w:space="0" w:color="000000"/>
            </w:tcBorders>
          </w:tcPr>
          <w:p>
            <w:pPr>
              <w:rPr>
                <w:sz w:val="2"/>
                <w:szCs w:val="2"/>
              </w:rPr>
            </w:pPr>
          </w:p>
        </w:tc>
        <w:tc>
          <w:tcPr>
            <w:tcW w:w="1603" w:type="dxa"/>
            <w:vMerge/>
            <w:tcBorders>
              <w:top w:val="nil"/>
              <w:left w:val="single" w:sz="6" w:space="0" w:color="000000"/>
              <w:bottom w:val="single" w:sz="6" w:space="0" w:color="000000"/>
              <w:right w:val="single" w:sz="6" w:space="0" w:color="000000"/>
            </w:tcBorders>
          </w:tcPr>
          <w:p>
            <w:pPr>
              <w:rPr>
                <w:sz w:val="2"/>
                <w:szCs w:val="2"/>
              </w:rPr>
            </w:pPr>
          </w:p>
        </w:tc>
        <w:tc>
          <w:tcPr>
            <w:tcW w:w="1322"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bottom w:val="single" w:sz="6" w:space="0" w:color="000000"/>
              <w:right w:val="single" w:sz="6" w:space="0" w:color="000000"/>
            </w:tcBorders>
          </w:tcPr>
          <w:p>
            <w:pPr>
              <w:rPr>
                <w:sz w:val="2"/>
                <w:szCs w:val="2"/>
              </w:rPr>
            </w:pPr>
          </w:p>
        </w:tc>
        <w:tc>
          <w:tcPr>
            <w:tcW w:w="145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250" w:type="dxa"/>
            <w:vMerge/>
            <w:tcBorders>
              <w:top w:val="nil"/>
              <w:left w:val="single" w:sz="6" w:space="0" w:color="000000"/>
              <w:bottom w:val="single" w:sz="6" w:space="0" w:color="000000"/>
              <w:right w:val="single" w:sz="6" w:space="0" w:color="000000"/>
            </w:tcBorders>
          </w:tcPr>
          <w:p>
            <w:pPr>
              <w:rPr>
                <w:sz w:val="2"/>
                <w:szCs w:val="2"/>
              </w:rPr>
            </w:pPr>
          </w:p>
        </w:tc>
        <w:tc>
          <w:tcPr>
            <w:tcW w:w="104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160" w:type="dxa"/>
            <w:vMerge/>
            <w:tcBorders>
              <w:top w:val="nil"/>
              <w:left w:val="single" w:sz="6" w:space="0" w:color="000000"/>
              <w:bottom w:val="single" w:sz="6" w:space="0" w:color="000000"/>
              <w:right w:val="single" w:sz="6" w:space="0" w:color="000000"/>
            </w:tcBorders>
          </w:tcPr>
          <w:p>
            <w:pPr>
              <w:rPr>
                <w:sz w:val="2"/>
                <w:szCs w:val="2"/>
              </w:rPr>
            </w:pP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196"/>
              <w:rPr>
                <w:sz w:val="20"/>
              </w:rPr>
            </w:pPr>
            <w:r>
              <w:rPr>
                <w:position w:val="2"/>
                <w:sz w:val="20"/>
              </w:rPr>
              <w:t>H</w:t>
            </w:r>
            <w:r>
              <w:rPr>
                <w:sz w:val="13"/>
              </w:rPr>
              <w:t>2</w:t>
            </w:r>
            <w:r>
              <w:rPr>
                <w:position w:val="2"/>
                <w:sz w:val="20"/>
              </w:rPr>
              <w:t>S</w:t>
            </w:r>
          </w:p>
        </w:tc>
        <w:tc>
          <w:tcPr>
            <w:tcW w:w="1040" w:type="dxa"/>
            <w:tcBorders>
              <w:top w:val="single" w:sz="6" w:space="0" w:color="000000"/>
              <w:left w:val="single" w:sz="6" w:space="0" w:color="000000"/>
              <w:bottom w:val="single" w:sz="6" w:space="0" w:color="000000"/>
            </w:tcBorders>
          </w:tcPr>
          <w:p>
            <w:pPr>
              <w:pStyle w:val="TableParagraph"/>
              <w:spacing w:before="62"/>
              <w:ind w:left="139" w:right="98"/>
              <w:rPr>
                <w:sz w:val="20"/>
              </w:rPr>
            </w:pPr>
            <w:r>
              <w:rPr>
                <w:sz w:val="20"/>
              </w:rPr>
              <w:t>0.0014</w:t>
            </w:r>
          </w:p>
        </w:tc>
      </w:tr>
      <w:tr>
        <w:trPr>
          <w:trHeight w:val="357" w:hRule="atLeast"/>
        </w:trPr>
        <w:tc>
          <w:tcPr>
            <w:tcW w:w="996" w:type="dxa"/>
            <w:vMerge w:val="restart"/>
            <w:tcBorders>
              <w:top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1"/>
              <w:ind w:left="119"/>
              <w:jc w:val="left"/>
              <w:rPr>
                <w:sz w:val="20"/>
              </w:rPr>
            </w:pPr>
            <w:r>
              <w:rPr>
                <w:sz w:val="20"/>
              </w:rPr>
              <w:t>DA002-1</w:t>
            </w:r>
          </w:p>
        </w:tc>
        <w:tc>
          <w:tcPr>
            <w:tcW w:w="16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1"/>
              <w:ind w:left="235"/>
              <w:jc w:val="left"/>
              <w:rPr>
                <w:sz w:val="20"/>
              </w:rPr>
            </w:pPr>
            <w:r>
              <w:rPr>
                <w:rFonts w:ascii="宋体" w:eastAsia="宋体" w:hint="eastAsia"/>
                <w:sz w:val="20"/>
              </w:rPr>
              <w:t>猪粪发酵罐 </w:t>
            </w:r>
            <w:r>
              <w:rPr>
                <w:position w:val="1"/>
                <w:sz w:val="20"/>
              </w:rPr>
              <w:t>1</w:t>
            </w:r>
          </w:p>
        </w:tc>
        <w:tc>
          <w:tcPr>
            <w:tcW w:w="13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19"/>
              </w:rPr>
            </w:pPr>
          </w:p>
          <w:p>
            <w:pPr>
              <w:pStyle w:val="TableParagraph"/>
              <w:spacing w:before="0"/>
              <w:ind w:left="132"/>
              <w:jc w:val="left"/>
              <w:rPr>
                <w:sz w:val="20"/>
              </w:rPr>
            </w:pPr>
            <w:r>
              <w:rPr>
                <w:sz w:val="20"/>
              </w:rPr>
              <w:t>120.459749E</w:t>
            </w:r>
          </w:p>
        </w:tc>
        <w:tc>
          <w:tcPr>
            <w:tcW w:w="124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19"/>
              </w:rPr>
            </w:pPr>
          </w:p>
          <w:p>
            <w:pPr>
              <w:pStyle w:val="TableParagraph"/>
              <w:spacing w:before="0"/>
              <w:ind w:left="132"/>
              <w:jc w:val="left"/>
              <w:rPr>
                <w:sz w:val="20"/>
              </w:rPr>
            </w:pPr>
            <w:r>
              <w:rPr>
                <w:sz w:val="20"/>
              </w:rPr>
              <w:t>30.009689N</w:t>
            </w:r>
          </w:p>
        </w:tc>
        <w:tc>
          <w:tcPr>
            <w:tcW w:w="145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1"/>
              <w:ind w:left="620" w:right="581"/>
              <w:rPr>
                <w:sz w:val="20"/>
              </w:rPr>
            </w:pPr>
            <w:r>
              <w:rPr>
                <w:sz w:val="20"/>
              </w:rPr>
              <w:t>20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1"/>
              <w:ind w:left="108" w:right="73"/>
              <w:rPr>
                <w:sz w:val="20"/>
              </w:rPr>
            </w:pPr>
            <w:r>
              <w:rPr>
                <w:sz w:val="20"/>
              </w:rPr>
              <w:t>15</w:t>
            </w:r>
          </w:p>
        </w:tc>
        <w:tc>
          <w:tcPr>
            <w:tcW w:w="12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1"/>
              <w:ind w:left="441" w:right="404"/>
              <w:rPr>
                <w:sz w:val="20"/>
              </w:rPr>
            </w:pPr>
            <w:r>
              <w:rPr>
                <w:sz w:val="20"/>
              </w:rPr>
              <w:t>0.30</w:t>
            </w:r>
          </w:p>
        </w:tc>
        <w:tc>
          <w:tcPr>
            <w:tcW w:w="104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1"/>
              <w:ind w:left="333"/>
              <w:jc w:val="left"/>
              <w:rPr>
                <w:sz w:val="20"/>
              </w:rPr>
            </w:pPr>
            <w:r>
              <w:rPr>
                <w:sz w:val="20"/>
              </w:rPr>
              <w:t>3000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1"/>
              <w:ind w:left="111" w:right="73"/>
              <w:rPr>
                <w:sz w:val="20"/>
              </w:rPr>
            </w:pPr>
            <w:r>
              <w:rPr>
                <w:sz w:val="20"/>
              </w:rPr>
              <w:t>25</w:t>
            </w:r>
          </w:p>
        </w:tc>
        <w:tc>
          <w:tcPr>
            <w:tcW w:w="116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1"/>
              <w:ind w:left="392"/>
              <w:jc w:val="left"/>
              <w:rPr>
                <w:sz w:val="20"/>
              </w:rPr>
            </w:pPr>
            <w:r>
              <w:rPr>
                <w:sz w:val="20"/>
              </w:rPr>
              <w:t>8760</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1"/>
              <w:ind w:left="125"/>
              <w:jc w:val="left"/>
              <w:rPr>
                <w:rFonts w:ascii="宋体" w:eastAsia="宋体" w:hint="eastAsia"/>
                <w:sz w:val="20"/>
              </w:rPr>
            </w:pPr>
            <w:r>
              <w:rPr>
                <w:rFonts w:ascii="宋体" w:eastAsia="宋体" w:hint="eastAsia"/>
                <w:sz w:val="20"/>
              </w:rPr>
              <w:t>连续</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2"/>
              <w:ind w:left="233" w:right="197"/>
              <w:rPr>
                <w:sz w:val="13"/>
              </w:rPr>
            </w:pPr>
            <w:r>
              <w:rPr>
                <w:position w:val="2"/>
                <w:sz w:val="20"/>
              </w:rPr>
              <w:t>NH</w:t>
            </w:r>
            <w:r>
              <w:rPr>
                <w:sz w:val="13"/>
              </w:rPr>
              <w:t>3</w:t>
            </w:r>
          </w:p>
        </w:tc>
        <w:tc>
          <w:tcPr>
            <w:tcW w:w="1040" w:type="dxa"/>
            <w:tcBorders>
              <w:top w:val="single" w:sz="6" w:space="0" w:color="000000"/>
              <w:left w:val="single" w:sz="6" w:space="0" w:color="000000"/>
              <w:bottom w:val="single" w:sz="6" w:space="0" w:color="000000"/>
            </w:tcBorders>
          </w:tcPr>
          <w:p>
            <w:pPr>
              <w:pStyle w:val="TableParagraph"/>
              <w:spacing w:before="65"/>
              <w:ind w:left="139" w:right="98"/>
              <w:rPr>
                <w:sz w:val="20"/>
              </w:rPr>
            </w:pPr>
            <w:r>
              <w:rPr>
                <w:sz w:val="20"/>
              </w:rPr>
              <w:t>0.0108</w:t>
            </w:r>
          </w:p>
        </w:tc>
      </w:tr>
      <w:tr>
        <w:trPr>
          <w:trHeight w:val="359" w:hRule="atLeast"/>
        </w:trPr>
        <w:tc>
          <w:tcPr>
            <w:tcW w:w="996" w:type="dxa"/>
            <w:vMerge/>
            <w:tcBorders>
              <w:top w:val="nil"/>
              <w:bottom w:val="single" w:sz="6" w:space="0" w:color="000000"/>
              <w:right w:val="single" w:sz="6" w:space="0" w:color="000000"/>
            </w:tcBorders>
          </w:tcPr>
          <w:p>
            <w:pPr>
              <w:rPr>
                <w:sz w:val="2"/>
                <w:szCs w:val="2"/>
              </w:rPr>
            </w:pPr>
          </w:p>
        </w:tc>
        <w:tc>
          <w:tcPr>
            <w:tcW w:w="1603" w:type="dxa"/>
            <w:vMerge/>
            <w:tcBorders>
              <w:top w:val="nil"/>
              <w:left w:val="single" w:sz="6" w:space="0" w:color="000000"/>
              <w:bottom w:val="single" w:sz="6" w:space="0" w:color="000000"/>
              <w:right w:val="single" w:sz="6" w:space="0" w:color="000000"/>
            </w:tcBorders>
          </w:tcPr>
          <w:p>
            <w:pPr>
              <w:rPr>
                <w:sz w:val="2"/>
                <w:szCs w:val="2"/>
              </w:rPr>
            </w:pPr>
          </w:p>
        </w:tc>
        <w:tc>
          <w:tcPr>
            <w:tcW w:w="1322"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bottom w:val="single" w:sz="6" w:space="0" w:color="000000"/>
              <w:right w:val="single" w:sz="6" w:space="0" w:color="000000"/>
            </w:tcBorders>
          </w:tcPr>
          <w:p>
            <w:pPr>
              <w:rPr>
                <w:sz w:val="2"/>
                <w:szCs w:val="2"/>
              </w:rPr>
            </w:pPr>
          </w:p>
        </w:tc>
        <w:tc>
          <w:tcPr>
            <w:tcW w:w="145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250" w:type="dxa"/>
            <w:vMerge/>
            <w:tcBorders>
              <w:top w:val="nil"/>
              <w:left w:val="single" w:sz="6" w:space="0" w:color="000000"/>
              <w:bottom w:val="single" w:sz="6" w:space="0" w:color="000000"/>
              <w:right w:val="single" w:sz="6" w:space="0" w:color="000000"/>
            </w:tcBorders>
          </w:tcPr>
          <w:p>
            <w:pPr>
              <w:rPr>
                <w:sz w:val="2"/>
                <w:szCs w:val="2"/>
              </w:rPr>
            </w:pPr>
          </w:p>
        </w:tc>
        <w:tc>
          <w:tcPr>
            <w:tcW w:w="104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160" w:type="dxa"/>
            <w:vMerge/>
            <w:tcBorders>
              <w:top w:val="nil"/>
              <w:left w:val="single" w:sz="6" w:space="0" w:color="000000"/>
              <w:bottom w:val="single" w:sz="6" w:space="0" w:color="000000"/>
              <w:right w:val="single" w:sz="6" w:space="0" w:color="000000"/>
            </w:tcBorders>
          </w:tcPr>
          <w:p>
            <w:pPr>
              <w:rPr>
                <w:sz w:val="2"/>
                <w:szCs w:val="2"/>
              </w:rPr>
            </w:pP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4"/>
              <w:ind w:left="233" w:right="196"/>
              <w:rPr>
                <w:sz w:val="20"/>
              </w:rPr>
            </w:pPr>
            <w:r>
              <w:rPr>
                <w:position w:val="2"/>
                <w:sz w:val="20"/>
              </w:rPr>
              <w:t>H</w:t>
            </w:r>
            <w:r>
              <w:rPr>
                <w:sz w:val="13"/>
              </w:rPr>
              <w:t>2</w:t>
            </w:r>
            <w:r>
              <w:rPr>
                <w:position w:val="2"/>
                <w:sz w:val="20"/>
              </w:rPr>
              <w:t>S</w:t>
            </w:r>
          </w:p>
        </w:tc>
        <w:tc>
          <w:tcPr>
            <w:tcW w:w="1040" w:type="dxa"/>
            <w:tcBorders>
              <w:top w:val="single" w:sz="6" w:space="0" w:color="000000"/>
              <w:left w:val="single" w:sz="6" w:space="0" w:color="000000"/>
              <w:bottom w:val="single" w:sz="6" w:space="0" w:color="000000"/>
            </w:tcBorders>
          </w:tcPr>
          <w:p>
            <w:pPr>
              <w:pStyle w:val="TableParagraph"/>
              <w:spacing w:before="67"/>
              <w:ind w:left="139" w:right="98"/>
              <w:rPr>
                <w:sz w:val="20"/>
              </w:rPr>
            </w:pPr>
            <w:r>
              <w:rPr>
                <w:sz w:val="20"/>
              </w:rPr>
              <w:t>0.0019</w:t>
            </w:r>
          </w:p>
        </w:tc>
      </w:tr>
      <w:tr>
        <w:trPr>
          <w:trHeight w:val="359" w:hRule="atLeast"/>
        </w:trPr>
        <w:tc>
          <w:tcPr>
            <w:tcW w:w="996" w:type="dxa"/>
            <w:vMerge w:val="restart"/>
            <w:tcBorders>
              <w:top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9"/>
              <w:jc w:val="left"/>
              <w:rPr>
                <w:sz w:val="20"/>
              </w:rPr>
            </w:pPr>
            <w:r>
              <w:rPr>
                <w:sz w:val="20"/>
              </w:rPr>
              <w:t>DA002-2</w:t>
            </w:r>
          </w:p>
        </w:tc>
        <w:tc>
          <w:tcPr>
            <w:tcW w:w="16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235"/>
              <w:jc w:val="left"/>
              <w:rPr>
                <w:sz w:val="20"/>
              </w:rPr>
            </w:pPr>
            <w:r>
              <w:rPr>
                <w:rFonts w:ascii="宋体" w:eastAsia="宋体" w:hint="eastAsia"/>
                <w:sz w:val="20"/>
              </w:rPr>
              <w:t>猪粪发酵罐 </w:t>
            </w:r>
            <w:r>
              <w:rPr>
                <w:position w:val="1"/>
                <w:sz w:val="20"/>
              </w:rPr>
              <w:t>2</w:t>
            </w:r>
          </w:p>
        </w:tc>
        <w:tc>
          <w:tcPr>
            <w:tcW w:w="13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120.459946E</w:t>
            </w:r>
          </w:p>
        </w:tc>
        <w:tc>
          <w:tcPr>
            <w:tcW w:w="124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30.009689N</w:t>
            </w:r>
          </w:p>
        </w:tc>
        <w:tc>
          <w:tcPr>
            <w:tcW w:w="145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620" w:right="581"/>
              <w:rPr>
                <w:sz w:val="20"/>
              </w:rPr>
            </w:pPr>
            <w:r>
              <w:rPr>
                <w:sz w:val="20"/>
              </w:rPr>
              <w:t>20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08" w:right="73"/>
              <w:rPr>
                <w:sz w:val="20"/>
              </w:rPr>
            </w:pPr>
            <w:r>
              <w:rPr>
                <w:sz w:val="20"/>
              </w:rPr>
              <w:t>15</w:t>
            </w:r>
          </w:p>
        </w:tc>
        <w:tc>
          <w:tcPr>
            <w:tcW w:w="12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441" w:right="404"/>
              <w:rPr>
                <w:sz w:val="20"/>
              </w:rPr>
            </w:pPr>
            <w:r>
              <w:rPr>
                <w:sz w:val="20"/>
              </w:rPr>
              <w:t>0.30</w:t>
            </w:r>
          </w:p>
        </w:tc>
        <w:tc>
          <w:tcPr>
            <w:tcW w:w="104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333"/>
              <w:jc w:val="left"/>
              <w:rPr>
                <w:sz w:val="20"/>
              </w:rPr>
            </w:pPr>
            <w:r>
              <w:rPr>
                <w:sz w:val="20"/>
              </w:rPr>
              <w:t>3000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1" w:right="73"/>
              <w:rPr>
                <w:sz w:val="20"/>
              </w:rPr>
            </w:pPr>
            <w:r>
              <w:rPr>
                <w:sz w:val="20"/>
              </w:rPr>
              <w:t>25</w:t>
            </w:r>
          </w:p>
        </w:tc>
        <w:tc>
          <w:tcPr>
            <w:tcW w:w="116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392"/>
              <w:jc w:val="left"/>
              <w:rPr>
                <w:sz w:val="20"/>
              </w:rPr>
            </w:pPr>
            <w:r>
              <w:rPr>
                <w:sz w:val="20"/>
              </w:rPr>
              <w:t>8760</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25"/>
              <w:jc w:val="left"/>
              <w:rPr>
                <w:rFonts w:ascii="宋体" w:eastAsia="宋体" w:hint="eastAsia"/>
                <w:sz w:val="20"/>
              </w:rPr>
            </w:pPr>
            <w:r>
              <w:rPr>
                <w:rFonts w:ascii="宋体" w:eastAsia="宋体" w:hint="eastAsia"/>
                <w:sz w:val="20"/>
              </w:rPr>
              <w:t>连续</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197"/>
              <w:rPr>
                <w:sz w:val="13"/>
              </w:rPr>
            </w:pPr>
            <w:r>
              <w:rPr>
                <w:position w:val="2"/>
                <w:sz w:val="20"/>
              </w:rPr>
              <w:t>NH</w:t>
            </w:r>
            <w:r>
              <w:rPr>
                <w:sz w:val="13"/>
              </w:rPr>
              <w:t>3</w:t>
            </w:r>
          </w:p>
        </w:tc>
        <w:tc>
          <w:tcPr>
            <w:tcW w:w="1040" w:type="dxa"/>
            <w:tcBorders>
              <w:top w:val="single" w:sz="6" w:space="0" w:color="000000"/>
              <w:left w:val="single" w:sz="6" w:space="0" w:color="000000"/>
              <w:bottom w:val="single" w:sz="6" w:space="0" w:color="000000"/>
            </w:tcBorders>
          </w:tcPr>
          <w:p>
            <w:pPr>
              <w:pStyle w:val="TableParagraph"/>
              <w:spacing w:before="65"/>
              <w:ind w:left="139" w:right="98"/>
              <w:rPr>
                <w:sz w:val="20"/>
              </w:rPr>
            </w:pPr>
            <w:r>
              <w:rPr>
                <w:sz w:val="20"/>
              </w:rPr>
              <w:t>0.0108</w:t>
            </w:r>
          </w:p>
        </w:tc>
      </w:tr>
      <w:tr>
        <w:trPr>
          <w:trHeight w:val="359" w:hRule="atLeast"/>
        </w:trPr>
        <w:tc>
          <w:tcPr>
            <w:tcW w:w="996" w:type="dxa"/>
            <w:vMerge/>
            <w:tcBorders>
              <w:top w:val="nil"/>
              <w:bottom w:val="single" w:sz="6" w:space="0" w:color="000000"/>
              <w:right w:val="single" w:sz="6" w:space="0" w:color="000000"/>
            </w:tcBorders>
          </w:tcPr>
          <w:p>
            <w:pPr>
              <w:rPr>
                <w:sz w:val="2"/>
                <w:szCs w:val="2"/>
              </w:rPr>
            </w:pPr>
          </w:p>
        </w:tc>
        <w:tc>
          <w:tcPr>
            <w:tcW w:w="1603" w:type="dxa"/>
            <w:vMerge/>
            <w:tcBorders>
              <w:top w:val="nil"/>
              <w:left w:val="single" w:sz="6" w:space="0" w:color="000000"/>
              <w:bottom w:val="single" w:sz="6" w:space="0" w:color="000000"/>
              <w:right w:val="single" w:sz="6" w:space="0" w:color="000000"/>
            </w:tcBorders>
          </w:tcPr>
          <w:p>
            <w:pPr>
              <w:rPr>
                <w:sz w:val="2"/>
                <w:szCs w:val="2"/>
              </w:rPr>
            </w:pPr>
          </w:p>
        </w:tc>
        <w:tc>
          <w:tcPr>
            <w:tcW w:w="1322"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bottom w:val="single" w:sz="6" w:space="0" w:color="000000"/>
              <w:right w:val="single" w:sz="6" w:space="0" w:color="000000"/>
            </w:tcBorders>
          </w:tcPr>
          <w:p>
            <w:pPr>
              <w:rPr>
                <w:sz w:val="2"/>
                <w:szCs w:val="2"/>
              </w:rPr>
            </w:pPr>
          </w:p>
        </w:tc>
        <w:tc>
          <w:tcPr>
            <w:tcW w:w="145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250" w:type="dxa"/>
            <w:vMerge/>
            <w:tcBorders>
              <w:top w:val="nil"/>
              <w:left w:val="single" w:sz="6" w:space="0" w:color="000000"/>
              <w:bottom w:val="single" w:sz="6" w:space="0" w:color="000000"/>
              <w:right w:val="single" w:sz="6" w:space="0" w:color="000000"/>
            </w:tcBorders>
          </w:tcPr>
          <w:p>
            <w:pPr>
              <w:rPr>
                <w:sz w:val="2"/>
                <w:szCs w:val="2"/>
              </w:rPr>
            </w:pPr>
          </w:p>
        </w:tc>
        <w:tc>
          <w:tcPr>
            <w:tcW w:w="104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160" w:type="dxa"/>
            <w:vMerge/>
            <w:tcBorders>
              <w:top w:val="nil"/>
              <w:left w:val="single" w:sz="6" w:space="0" w:color="000000"/>
              <w:bottom w:val="single" w:sz="6" w:space="0" w:color="000000"/>
              <w:right w:val="single" w:sz="6" w:space="0" w:color="000000"/>
            </w:tcBorders>
          </w:tcPr>
          <w:p>
            <w:pPr>
              <w:rPr>
                <w:sz w:val="2"/>
                <w:szCs w:val="2"/>
              </w:rPr>
            </w:pP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196"/>
              <w:rPr>
                <w:sz w:val="20"/>
              </w:rPr>
            </w:pPr>
            <w:r>
              <w:rPr>
                <w:position w:val="2"/>
                <w:sz w:val="20"/>
              </w:rPr>
              <w:t>H</w:t>
            </w:r>
            <w:r>
              <w:rPr>
                <w:sz w:val="13"/>
              </w:rPr>
              <w:t>2</w:t>
            </w:r>
            <w:r>
              <w:rPr>
                <w:position w:val="2"/>
                <w:sz w:val="20"/>
              </w:rPr>
              <w:t>S</w:t>
            </w:r>
          </w:p>
        </w:tc>
        <w:tc>
          <w:tcPr>
            <w:tcW w:w="1040" w:type="dxa"/>
            <w:tcBorders>
              <w:top w:val="single" w:sz="6" w:space="0" w:color="000000"/>
              <w:left w:val="single" w:sz="6" w:space="0" w:color="000000"/>
              <w:bottom w:val="single" w:sz="6" w:space="0" w:color="000000"/>
            </w:tcBorders>
          </w:tcPr>
          <w:p>
            <w:pPr>
              <w:pStyle w:val="TableParagraph"/>
              <w:spacing w:before="65"/>
              <w:ind w:left="139" w:right="98"/>
              <w:rPr>
                <w:sz w:val="20"/>
              </w:rPr>
            </w:pPr>
            <w:r>
              <w:rPr>
                <w:sz w:val="20"/>
              </w:rPr>
              <w:t>0.0019</w:t>
            </w:r>
          </w:p>
        </w:tc>
      </w:tr>
      <w:tr>
        <w:trPr>
          <w:trHeight w:val="356" w:hRule="atLeast"/>
        </w:trPr>
        <w:tc>
          <w:tcPr>
            <w:tcW w:w="996" w:type="dxa"/>
            <w:vMerge w:val="restart"/>
            <w:tcBorders>
              <w:top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9"/>
              <w:jc w:val="left"/>
              <w:rPr>
                <w:sz w:val="20"/>
              </w:rPr>
            </w:pPr>
            <w:r>
              <w:rPr>
                <w:sz w:val="20"/>
              </w:rPr>
              <w:t>DA003-1</w:t>
            </w:r>
          </w:p>
        </w:tc>
        <w:tc>
          <w:tcPr>
            <w:tcW w:w="16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34"/>
              <w:jc w:val="left"/>
              <w:rPr>
                <w:sz w:val="20"/>
              </w:rPr>
            </w:pPr>
            <w:r>
              <w:rPr>
                <w:rFonts w:ascii="宋体" w:eastAsia="宋体" w:hint="eastAsia"/>
                <w:sz w:val="20"/>
              </w:rPr>
              <w:t>病死猪处理机 </w:t>
            </w:r>
            <w:r>
              <w:rPr>
                <w:position w:val="1"/>
                <w:sz w:val="20"/>
              </w:rPr>
              <w:t>1</w:t>
            </w:r>
          </w:p>
        </w:tc>
        <w:tc>
          <w:tcPr>
            <w:tcW w:w="13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120.459863E</w:t>
            </w:r>
          </w:p>
        </w:tc>
        <w:tc>
          <w:tcPr>
            <w:tcW w:w="124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30.009580N</w:t>
            </w:r>
          </w:p>
        </w:tc>
        <w:tc>
          <w:tcPr>
            <w:tcW w:w="145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620" w:right="581"/>
              <w:rPr>
                <w:sz w:val="20"/>
              </w:rPr>
            </w:pPr>
            <w:r>
              <w:rPr>
                <w:sz w:val="20"/>
              </w:rPr>
              <w:t>20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08" w:right="73"/>
              <w:rPr>
                <w:sz w:val="20"/>
              </w:rPr>
            </w:pPr>
            <w:r>
              <w:rPr>
                <w:sz w:val="20"/>
              </w:rPr>
              <w:t>15</w:t>
            </w:r>
          </w:p>
        </w:tc>
        <w:tc>
          <w:tcPr>
            <w:tcW w:w="12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441" w:right="404"/>
              <w:rPr>
                <w:sz w:val="20"/>
              </w:rPr>
            </w:pPr>
            <w:r>
              <w:rPr>
                <w:sz w:val="20"/>
              </w:rPr>
              <w:t>0.15</w:t>
            </w:r>
          </w:p>
        </w:tc>
        <w:tc>
          <w:tcPr>
            <w:tcW w:w="104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220" w:right="180"/>
              <w:rPr>
                <w:sz w:val="20"/>
              </w:rPr>
            </w:pPr>
            <w:r>
              <w:rPr>
                <w:sz w:val="20"/>
              </w:rPr>
              <w:t>500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1" w:right="73"/>
              <w:rPr>
                <w:sz w:val="20"/>
              </w:rPr>
            </w:pPr>
            <w:r>
              <w:rPr>
                <w:sz w:val="20"/>
              </w:rPr>
              <w:t>25</w:t>
            </w:r>
          </w:p>
        </w:tc>
        <w:tc>
          <w:tcPr>
            <w:tcW w:w="116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392"/>
              <w:jc w:val="left"/>
              <w:rPr>
                <w:sz w:val="20"/>
              </w:rPr>
            </w:pPr>
            <w:r>
              <w:rPr>
                <w:sz w:val="20"/>
              </w:rPr>
              <w:t>3650</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25"/>
              <w:jc w:val="left"/>
              <w:rPr>
                <w:rFonts w:ascii="宋体" w:eastAsia="宋体" w:hint="eastAsia"/>
                <w:sz w:val="20"/>
              </w:rPr>
            </w:pPr>
            <w:r>
              <w:rPr>
                <w:rFonts w:ascii="宋体" w:eastAsia="宋体" w:hint="eastAsia"/>
                <w:sz w:val="20"/>
              </w:rPr>
              <w:t>连续</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197"/>
              <w:rPr>
                <w:sz w:val="13"/>
              </w:rPr>
            </w:pPr>
            <w:r>
              <w:rPr>
                <w:position w:val="2"/>
                <w:sz w:val="20"/>
              </w:rPr>
              <w:t>NH</w:t>
            </w:r>
            <w:r>
              <w:rPr>
                <w:sz w:val="13"/>
              </w:rPr>
              <w:t>3</w:t>
            </w:r>
          </w:p>
        </w:tc>
        <w:tc>
          <w:tcPr>
            <w:tcW w:w="1040" w:type="dxa"/>
            <w:tcBorders>
              <w:top w:val="single" w:sz="6" w:space="0" w:color="000000"/>
              <w:left w:val="single" w:sz="6" w:space="0" w:color="000000"/>
              <w:bottom w:val="single" w:sz="6" w:space="0" w:color="000000"/>
            </w:tcBorders>
          </w:tcPr>
          <w:p>
            <w:pPr>
              <w:pStyle w:val="TableParagraph"/>
              <w:spacing w:before="62"/>
              <w:ind w:left="139" w:right="98"/>
              <w:rPr>
                <w:sz w:val="20"/>
              </w:rPr>
            </w:pPr>
            <w:r>
              <w:rPr>
                <w:sz w:val="20"/>
              </w:rPr>
              <w:t>8.18E-05</w:t>
            </w:r>
          </w:p>
        </w:tc>
      </w:tr>
      <w:tr>
        <w:trPr>
          <w:trHeight w:val="359" w:hRule="atLeast"/>
        </w:trPr>
        <w:tc>
          <w:tcPr>
            <w:tcW w:w="996" w:type="dxa"/>
            <w:vMerge/>
            <w:tcBorders>
              <w:top w:val="nil"/>
              <w:bottom w:val="single" w:sz="6" w:space="0" w:color="000000"/>
              <w:right w:val="single" w:sz="6" w:space="0" w:color="000000"/>
            </w:tcBorders>
          </w:tcPr>
          <w:p>
            <w:pPr>
              <w:rPr>
                <w:sz w:val="2"/>
                <w:szCs w:val="2"/>
              </w:rPr>
            </w:pPr>
          </w:p>
        </w:tc>
        <w:tc>
          <w:tcPr>
            <w:tcW w:w="1603" w:type="dxa"/>
            <w:vMerge/>
            <w:tcBorders>
              <w:top w:val="nil"/>
              <w:left w:val="single" w:sz="6" w:space="0" w:color="000000"/>
              <w:bottom w:val="single" w:sz="6" w:space="0" w:color="000000"/>
              <w:right w:val="single" w:sz="6" w:space="0" w:color="000000"/>
            </w:tcBorders>
          </w:tcPr>
          <w:p>
            <w:pPr>
              <w:rPr>
                <w:sz w:val="2"/>
                <w:szCs w:val="2"/>
              </w:rPr>
            </w:pPr>
          </w:p>
        </w:tc>
        <w:tc>
          <w:tcPr>
            <w:tcW w:w="1322"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bottom w:val="single" w:sz="6" w:space="0" w:color="000000"/>
              <w:right w:val="single" w:sz="6" w:space="0" w:color="000000"/>
            </w:tcBorders>
          </w:tcPr>
          <w:p>
            <w:pPr>
              <w:rPr>
                <w:sz w:val="2"/>
                <w:szCs w:val="2"/>
              </w:rPr>
            </w:pPr>
          </w:p>
        </w:tc>
        <w:tc>
          <w:tcPr>
            <w:tcW w:w="145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250" w:type="dxa"/>
            <w:vMerge/>
            <w:tcBorders>
              <w:top w:val="nil"/>
              <w:left w:val="single" w:sz="6" w:space="0" w:color="000000"/>
              <w:bottom w:val="single" w:sz="6" w:space="0" w:color="000000"/>
              <w:right w:val="single" w:sz="6" w:space="0" w:color="000000"/>
            </w:tcBorders>
          </w:tcPr>
          <w:p>
            <w:pPr>
              <w:rPr>
                <w:sz w:val="2"/>
                <w:szCs w:val="2"/>
              </w:rPr>
            </w:pPr>
          </w:p>
        </w:tc>
        <w:tc>
          <w:tcPr>
            <w:tcW w:w="104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160" w:type="dxa"/>
            <w:vMerge/>
            <w:tcBorders>
              <w:top w:val="nil"/>
              <w:left w:val="single" w:sz="6" w:space="0" w:color="000000"/>
              <w:bottom w:val="single" w:sz="6" w:space="0" w:color="000000"/>
              <w:right w:val="single" w:sz="6" w:space="0" w:color="000000"/>
            </w:tcBorders>
          </w:tcPr>
          <w:p>
            <w:pPr>
              <w:rPr>
                <w:sz w:val="2"/>
                <w:szCs w:val="2"/>
              </w:rPr>
            </w:pP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4"/>
              <w:ind w:left="233" w:right="196"/>
              <w:rPr>
                <w:sz w:val="20"/>
              </w:rPr>
            </w:pPr>
            <w:r>
              <w:rPr>
                <w:position w:val="2"/>
                <w:sz w:val="20"/>
              </w:rPr>
              <w:t>H</w:t>
            </w:r>
            <w:r>
              <w:rPr>
                <w:sz w:val="13"/>
              </w:rPr>
              <w:t>2</w:t>
            </w:r>
            <w:r>
              <w:rPr>
                <w:position w:val="2"/>
                <w:sz w:val="20"/>
              </w:rPr>
              <w:t>S</w:t>
            </w:r>
          </w:p>
        </w:tc>
        <w:tc>
          <w:tcPr>
            <w:tcW w:w="1040" w:type="dxa"/>
            <w:tcBorders>
              <w:top w:val="single" w:sz="6" w:space="0" w:color="000000"/>
              <w:left w:val="single" w:sz="6" w:space="0" w:color="000000"/>
              <w:bottom w:val="single" w:sz="6" w:space="0" w:color="000000"/>
            </w:tcBorders>
          </w:tcPr>
          <w:p>
            <w:pPr>
              <w:pStyle w:val="TableParagraph"/>
              <w:spacing w:before="65"/>
              <w:ind w:left="139" w:right="98"/>
              <w:rPr>
                <w:sz w:val="20"/>
              </w:rPr>
            </w:pPr>
            <w:r>
              <w:rPr>
                <w:sz w:val="20"/>
              </w:rPr>
              <w:t>9.81E-07</w:t>
            </w:r>
          </w:p>
        </w:tc>
      </w:tr>
      <w:tr>
        <w:trPr>
          <w:trHeight w:val="359" w:hRule="atLeast"/>
        </w:trPr>
        <w:tc>
          <w:tcPr>
            <w:tcW w:w="996" w:type="dxa"/>
            <w:vMerge w:val="restart"/>
            <w:tcBorders>
              <w:top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9"/>
              <w:jc w:val="left"/>
              <w:rPr>
                <w:sz w:val="20"/>
              </w:rPr>
            </w:pPr>
            <w:r>
              <w:rPr>
                <w:sz w:val="20"/>
              </w:rPr>
              <w:t>DA003-2</w:t>
            </w:r>
          </w:p>
        </w:tc>
        <w:tc>
          <w:tcPr>
            <w:tcW w:w="160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34"/>
              <w:jc w:val="left"/>
              <w:rPr>
                <w:sz w:val="20"/>
              </w:rPr>
            </w:pPr>
            <w:r>
              <w:rPr>
                <w:rFonts w:ascii="宋体" w:eastAsia="宋体" w:hint="eastAsia"/>
                <w:sz w:val="20"/>
              </w:rPr>
              <w:t>病死猪处理机 </w:t>
            </w:r>
            <w:r>
              <w:rPr>
                <w:position w:val="1"/>
                <w:sz w:val="20"/>
              </w:rPr>
              <w:t>2</w:t>
            </w:r>
          </w:p>
        </w:tc>
        <w:tc>
          <w:tcPr>
            <w:tcW w:w="132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19"/>
              </w:rPr>
            </w:pPr>
          </w:p>
          <w:p>
            <w:pPr>
              <w:pStyle w:val="TableParagraph"/>
              <w:spacing w:before="0"/>
              <w:ind w:left="132"/>
              <w:jc w:val="left"/>
              <w:rPr>
                <w:sz w:val="20"/>
              </w:rPr>
            </w:pPr>
            <w:r>
              <w:rPr>
                <w:sz w:val="20"/>
              </w:rPr>
              <w:t>120.459863E</w:t>
            </w:r>
          </w:p>
        </w:tc>
        <w:tc>
          <w:tcPr>
            <w:tcW w:w="124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19"/>
              </w:rPr>
            </w:pPr>
          </w:p>
          <w:p>
            <w:pPr>
              <w:pStyle w:val="TableParagraph"/>
              <w:spacing w:before="0"/>
              <w:ind w:left="132"/>
              <w:jc w:val="left"/>
              <w:rPr>
                <w:sz w:val="20"/>
              </w:rPr>
            </w:pPr>
            <w:r>
              <w:rPr>
                <w:sz w:val="20"/>
              </w:rPr>
              <w:t>30.009626N</w:t>
            </w:r>
          </w:p>
        </w:tc>
        <w:tc>
          <w:tcPr>
            <w:tcW w:w="145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620" w:right="581"/>
              <w:rPr>
                <w:sz w:val="20"/>
              </w:rPr>
            </w:pPr>
            <w:r>
              <w:rPr>
                <w:sz w:val="20"/>
              </w:rPr>
              <w:t>20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08" w:right="73"/>
              <w:rPr>
                <w:sz w:val="20"/>
              </w:rPr>
            </w:pPr>
            <w:r>
              <w:rPr>
                <w:sz w:val="20"/>
              </w:rPr>
              <w:t>15</w:t>
            </w:r>
          </w:p>
        </w:tc>
        <w:tc>
          <w:tcPr>
            <w:tcW w:w="12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441" w:right="404"/>
              <w:rPr>
                <w:sz w:val="20"/>
              </w:rPr>
            </w:pPr>
            <w:r>
              <w:rPr>
                <w:sz w:val="20"/>
              </w:rPr>
              <w:t>0.15</w:t>
            </w:r>
          </w:p>
        </w:tc>
        <w:tc>
          <w:tcPr>
            <w:tcW w:w="104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220" w:right="180"/>
              <w:rPr>
                <w:sz w:val="20"/>
              </w:rPr>
            </w:pPr>
            <w:r>
              <w:rPr>
                <w:sz w:val="20"/>
              </w:rPr>
              <w:t>500</w:t>
            </w:r>
          </w:p>
        </w:tc>
        <w:tc>
          <w:tcPr>
            <w:tcW w:w="104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1" w:right="73"/>
              <w:rPr>
                <w:sz w:val="20"/>
              </w:rPr>
            </w:pPr>
            <w:r>
              <w:rPr>
                <w:sz w:val="20"/>
              </w:rPr>
              <w:t>25</w:t>
            </w:r>
          </w:p>
        </w:tc>
        <w:tc>
          <w:tcPr>
            <w:tcW w:w="116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392"/>
              <w:jc w:val="left"/>
              <w:rPr>
                <w:sz w:val="20"/>
              </w:rPr>
            </w:pPr>
            <w:r>
              <w:rPr>
                <w:sz w:val="20"/>
              </w:rPr>
              <w:t>3650</w:t>
            </w:r>
          </w:p>
        </w:tc>
        <w:tc>
          <w:tcPr>
            <w:tcW w:w="63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25"/>
              <w:jc w:val="left"/>
              <w:rPr>
                <w:rFonts w:ascii="宋体" w:eastAsia="宋体" w:hint="eastAsia"/>
                <w:sz w:val="20"/>
              </w:rPr>
            </w:pPr>
            <w:r>
              <w:rPr>
                <w:rFonts w:ascii="宋体" w:eastAsia="宋体" w:hint="eastAsia"/>
                <w:sz w:val="20"/>
              </w:rPr>
              <w:t>连续</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2"/>
              <w:ind w:left="233" w:right="197"/>
              <w:rPr>
                <w:sz w:val="13"/>
              </w:rPr>
            </w:pPr>
            <w:r>
              <w:rPr>
                <w:position w:val="2"/>
                <w:sz w:val="20"/>
              </w:rPr>
              <w:t>NH</w:t>
            </w:r>
            <w:r>
              <w:rPr>
                <w:sz w:val="13"/>
              </w:rPr>
              <w:t>3</w:t>
            </w:r>
          </w:p>
        </w:tc>
        <w:tc>
          <w:tcPr>
            <w:tcW w:w="1040" w:type="dxa"/>
            <w:tcBorders>
              <w:top w:val="single" w:sz="6" w:space="0" w:color="000000"/>
              <w:left w:val="single" w:sz="6" w:space="0" w:color="000000"/>
              <w:bottom w:val="single" w:sz="6" w:space="0" w:color="000000"/>
            </w:tcBorders>
          </w:tcPr>
          <w:p>
            <w:pPr>
              <w:pStyle w:val="TableParagraph"/>
              <w:spacing w:before="63"/>
              <w:ind w:left="139" w:right="98"/>
              <w:rPr>
                <w:sz w:val="20"/>
              </w:rPr>
            </w:pPr>
            <w:r>
              <w:rPr>
                <w:sz w:val="20"/>
              </w:rPr>
              <w:t>8.18E-05</w:t>
            </w:r>
          </w:p>
        </w:tc>
      </w:tr>
      <w:tr>
        <w:trPr>
          <w:trHeight w:val="359" w:hRule="atLeast"/>
        </w:trPr>
        <w:tc>
          <w:tcPr>
            <w:tcW w:w="996" w:type="dxa"/>
            <w:vMerge/>
            <w:tcBorders>
              <w:top w:val="nil"/>
              <w:bottom w:val="single" w:sz="6" w:space="0" w:color="000000"/>
              <w:right w:val="single" w:sz="6" w:space="0" w:color="000000"/>
            </w:tcBorders>
          </w:tcPr>
          <w:p>
            <w:pPr>
              <w:rPr>
                <w:sz w:val="2"/>
                <w:szCs w:val="2"/>
              </w:rPr>
            </w:pPr>
          </w:p>
        </w:tc>
        <w:tc>
          <w:tcPr>
            <w:tcW w:w="1603" w:type="dxa"/>
            <w:vMerge/>
            <w:tcBorders>
              <w:top w:val="nil"/>
              <w:left w:val="single" w:sz="6" w:space="0" w:color="000000"/>
              <w:bottom w:val="single" w:sz="6" w:space="0" w:color="000000"/>
              <w:right w:val="single" w:sz="6" w:space="0" w:color="000000"/>
            </w:tcBorders>
          </w:tcPr>
          <w:p>
            <w:pPr>
              <w:rPr>
                <w:sz w:val="2"/>
                <w:szCs w:val="2"/>
              </w:rPr>
            </w:pPr>
          </w:p>
        </w:tc>
        <w:tc>
          <w:tcPr>
            <w:tcW w:w="1322" w:type="dxa"/>
            <w:vMerge/>
            <w:tcBorders>
              <w:top w:val="nil"/>
              <w:left w:val="single" w:sz="6" w:space="0" w:color="000000"/>
              <w:bottom w:val="single" w:sz="6" w:space="0" w:color="000000"/>
              <w:right w:val="single" w:sz="6" w:space="0" w:color="000000"/>
            </w:tcBorders>
          </w:tcPr>
          <w:p>
            <w:pPr>
              <w:rPr>
                <w:sz w:val="2"/>
                <w:szCs w:val="2"/>
              </w:rPr>
            </w:pPr>
          </w:p>
        </w:tc>
        <w:tc>
          <w:tcPr>
            <w:tcW w:w="1241" w:type="dxa"/>
            <w:vMerge/>
            <w:tcBorders>
              <w:top w:val="nil"/>
              <w:left w:val="single" w:sz="6" w:space="0" w:color="000000"/>
              <w:bottom w:val="single" w:sz="6" w:space="0" w:color="000000"/>
              <w:right w:val="single" w:sz="6" w:space="0" w:color="000000"/>
            </w:tcBorders>
          </w:tcPr>
          <w:p>
            <w:pPr>
              <w:rPr>
                <w:sz w:val="2"/>
                <w:szCs w:val="2"/>
              </w:rPr>
            </w:pPr>
          </w:p>
        </w:tc>
        <w:tc>
          <w:tcPr>
            <w:tcW w:w="145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250" w:type="dxa"/>
            <w:vMerge/>
            <w:tcBorders>
              <w:top w:val="nil"/>
              <w:left w:val="single" w:sz="6" w:space="0" w:color="000000"/>
              <w:bottom w:val="single" w:sz="6" w:space="0" w:color="000000"/>
              <w:right w:val="single" w:sz="6" w:space="0" w:color="000000"/>
            </w:tcBorders>
          </w:tcPr>
          <w:p>
            <w:pPr>
              <w:rPr>
                <w:sz w:val="2"/>
                <w:szCs w:val="2"/>
              </w:rPr>
            </w:pPr>
          </w:p>
        </w:tc>
        <w:tc>
          <w:tcPr>
            <w:tcW w:w="1046" w:type="dxa"/>
            <w:vMerge/>
            <w:tcBorders>
              <w:top w:val="nil"/>
              <w:left w:val="single" w:sz="6" w:space="0" w:color="000000"/>
              <w:bottom w:val="single" w:sz="6" w:space="0" w:color="000000"/>
              <w:right w:val="single" w:sz="6" w:space="0" w:color="000000"/>
            </w:tcBorders>
          </w:tcPr>
          <w:p>
            <w:pPr>
              <w:rPr>
                <w:sz w:val="2"/>
                <w:szCs w:val="2"/>
              </w:rPr>
            </w:pPr>
          </w:p>
        </w:tc>
        <w:tc>
          <w:tcPr>
            <w:tcW w:w="1044" w:type="dxa"/>
            <w:vMerge/>
            <w:tcBorders>
              <w:top w:val="nil"/>
              <w:left w:val="single" w:sz="6" w:space="0" w:color="000000"/>
              <w:bottom w:val="single" w:sz="6" w:space="0" w:color="000000"/>
              <w:right w:val="single" w:sz="6" w:space="0" w:color="000000"/>
            </w:tcBorders>
          </w:tcPr>
          <w:p>
            <w:pPr>
              <w:rPr>
                <w:sz w:val="2"/>
                <w:szCs w:val="2"/>
              </w:rPr>
            </w:pPr>
          </w:p>
        </w:tc>
        <w:tc>
          <w:tcPr>
            <w:tcW w:w="1160" w:type="dxa"/>
            <w:vMerge/>
            <w:tcBorders>
              <w:top w:val="nil"/>
              <w:left w:val="single" w:sz="6" w:space="0" w:color="000000"/>
              <w:bottom w:val="single" w:sz="6" w:space="0" w:color="000000"/>
              <w:right w:val="single" w:sz="6" w:space="0" w:color="000000"/>
            </w:tcBorders>
          </w:tcPr>
          <w:p>
            <w:pPr>
              <w:rPr>
                <w:sz w:val="2"/>
                <w:szCs w:val="2"/>
              </w:rPr>
            </w:pPr>
          </w:p>
        </w:tc>
        <w:tc>
          <w:tcPr>
            <w:tcW w:w="634" w:type="dxa"/>
            <w:vMerge/>
            <w:tcBorders>
              <w:top w:val="nil"/>
              <w:left w:val="single" w:sz="6" w:space="0" w:color="000000"/>
              <w:bottom w:val="single" w:sz="6" w:space="0" w:color="000000"/>
              <w:right w:val="single" w:sz="6" w:space="0" w:color="000000"/>
            </w:tcBorders>
          </w:tcPr>
          <w:p>
            <w:pPr>
              <w:rPr>
                <w:sz w:val="2"/>
                <w:szCs w:val="2"/>
              </w:rPr>
            </w:pP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196"/>
              <w:rPr>
                <w:sz w:val="20"/>
              </w:rPr>
            </w:pPr>
            <w:r>
              <w:rPr>
                <w:position w:val="2"/>
                <w:sz w:val="20"/>
              </w:rPr>
              <w:t>H</w:t>
            </w:r>
            <w:r>
              <w:rPr>
                <w:sz w:val="13"/>
              </w:rPr>
              <w:t>2</w:t>
            </w:r>
            <w:r>
              <w:rPr>
                <w:position w:val="2"/>
                <w:sz w:val="20"/>
              </w:rPr>
              <w:t>S</w:t>
            </w:r>
          </w:p>
        </w:tc>
        <w:tc>
          <w:tcPr>
            <w:tcW w:w="1040" w:type="dxa"/>
            <w:tcBorders>
              <w:top w:val="single" w:sz="6" w:space="0" w:color="000000"/>
              <w:left w:val="single" w:sz="6" w:space="0" w:color="000000"/>
              <w:bottom w:val="single" w:sz="6" w:space="0" w:color="000000"/>
            </w:tcBorders>
          </w:tcPr>
          <w:p>
            <w:pPr>
              <w:pStyle w:val="TableParagraph"/>
              <w:spacing w:before="62"/>
              <w:ind w:left="139" w:right="98"/>
              <w:rPr>
                <w:sz w:val="20"/>
              </w:rPr>
            </w:pPr>
            <w:r>
              <w:rPr>
                <w:sz w:val="20"/>
              </w:rPr>
              <w:t>9.81E-07</w:t>
            </w:r>
          </w:p>
        </w:tc>
      </w:tr>
      <w:tr>
        <w:trPr>
          <w:trHeight w:val="349" w:hRule="atLeast"/>
        </w:trPr>
        <w:tc>
          <w:tcPr>
            <w:tcW w:w="996" w:type="dxa"/>
            <w:vMerge w:val="restart"/>
            <w:tcBorders>
              <w:top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203"/>
              <w:jc w:val="left"/>
              <w:rPr>
                <w:sz w:val="20"/>
              </w:rPr>
            </w:pPr>
            <w:r>
              <w:rPr>
                <w:sz w:val="20"/>
              </w:rPr>
              <w:t>DA004</w:t>
            </w:r>
          </w:p>
        </w:tc>
        <w:tc>
          <w:tcPr>
            <w:tcW w:w="1603" w:type="dxa"/>
            <w:vMerge w:val="restart"/>
            <w:tcBorders>
              <w:top w:val="single" w:sz="6" w:space="0" w:color="000000"/>
              <w:left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410"/>
              <w:jc w:val="left"/>
              <w:rPr>
                <w:rFonts w:ascii="宋体" w:eastAsia="宋体" w:hint="eastAsia"/>
                <w:sz w:val="20"/>
              </w:rPr>
            </w:pPr>
            <w:r>
              <w:rPr>
                <w:rFonts w:ascii="宋体" w:eastAsia="宋体" w:hint="eastAsia"/>
                <w:sz w:val="20"/>
              </w:rPr>
              <w:t>沼气锅炉</w:t>
            </w:r>
          </w:p>
        </w:tc>
        <w:tc>
          <w:tcPr>
            <w:tcW w:w="1322" w:type="dxa"/>
            <w:vMerge w:val="restart"/>
            <w:tcBorders>
              <w:top w:val="single" w:sz="6" w:space="0" w:color="000000"/>
              <w:left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120.460371E</w:t>
            </w:r>
          </w:p>
        </w:tc>
        <w:tc>
          <w:tcPr>
            <w:tcW w:w="1241" w:type="dxa"/>
            <w:vMerge w:val="restart"/>
            <w:tcBorders>
              <w:top w:val="single" w:sz="6" w:space="0" w:color="000000"/>
              <w:left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32"/>
              <w:jc w:val="left"/>
              <w:rPr>
                <w:sz w:val="20"/>
              </w:rPr>
            </w:pPr>
            <w:r>
              <w:rPr>
                <w:sz w:val="20"/>
              </w:rPr>
              <w:t>30.009481N</w:t>
            </w:r>
          </w:p>
        </w:tc>
        <w:tc>
          <w:tcPr>
            <w:tcW w:w="1456" w:type="dxa"/>
            <w:vMerge w:val="restart"/>
            <w:tcBorders>
              <w:top w:val="single" w:sz="6" w:space="0" w:color="000000"/>
              <w:left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620" w:right="581"/>
              <w:rPr>
                <w:sz w:val="20"/>
              </w:rPr>
            </w:pPr>
            <w:r>
              <w:rPr>
                <w:sz w:val="20"/>
              </w:rPr>
              <w:t>20</w:t>
            </w:r>
          </w:p>
        </w:tc>
        <w:tc>
          <w:tcPr>
            <w:tcW w:w="1044" w:type="dxa"/>
            <w:vMerge w:val="restart"/>
            <w:tcBorders>
              <w:top w:val="single" w:sz="6" w:space="0" w:color="000000"/>
              <w:left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29"/>
              <w:rPr>
                <w:sz w:val="20"/>
              </w:rPr>
            </w:pPr>
            <w:r>
              <w:rPr>
                <w:w w:val="99"/>
                <w:sz w:val="20"/>
              </w:rPr>
              <w:t>8</w:t>
            </w:r>
          </w:p>
        </w:tc>
        <w:tc>
          <w:tcPr>
            <w:tcW w:w="1250" w:type="dxa"/>
            <w:vMerge w:val="restart"/>
            <w:tcBorders>
              <w:top w:val="single" w:sz="6" w:space="0" w:color="000000"/>
              <w:left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441" w:right="404"/>
              <w:rPr>
                <w:sz w:val="20"/>
              </w:rPr>
            </w:pPr>
            <w:r>
              <w:rPr>
                <w:sz w:val="20"/>
              </w:rPr>
              <w:t>0.20</w:t>
            </w:r>
          </w:p>
        </w:tc>
        <w:tc>
          <w:tcPr>
            <w:tcW w:w="1046" w:type="dxa"/>
            <w:vMerge w:val="restart"/>
            <w:tcBorders>
              <w:top w:val="single" w:sz="6" w:space="0" w:color="000000"/>
              <w:left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209"/>
              <w:jc w:val="left"/>
              <w:rPr>
                <w:sz w:val="20"/>
              </w:rPr>
            </w:pPr>
            <w:r>
              <w:rPr>
                <w:sz w:val="20"/>
              </w:rPr>
              <w:t>1246.62</w:t>
            </w:r>
          </w:p>
        </w:tc>
        <w:tc>
          <w:tcPr>
            <w:tcW w:w="1044" w:type="dxa"/>
            <w:vMerge w:val="restart"/>
            <w:tcBorders>
              <w:top w:val="single" w:sz="6" w:space="0" w:color="000000"/>
              <w:left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111" w:right="73"/>
              <w:rPr>
                <w:sz w:val="20"/>
              </w:rPr>
            </w:pPr>
            <w:r>
              <w:rPr>
                <w:sz w:val="20"/>
              </w:rPr>
              <w:t>300</w:t>
            </w:r>
          </w:p>
        </w:tc>
        <w:tc>
          <w:tcPr>
            <w:tcW w:w="1160" w:type="dxa"/>
            <w:vMerge w:val="restart"/>
            <w:tcBorders>
              <w:top w:val="single" w:sz="6" w:space="0" w:color="000000"/>
              <w:left w:val="single" w:sz="6" w:space="0" w:color="000000"/>
              <w:right w:val="single" w:sz="6" w:space="0" w:color="000000"/>
            </w:tcBorders>
          </w:tcPr>
          <w:p>
            <w:pPr>
              <w:pStyle w:val="TableParagraph"/>
              <w:spacing w:before="6"/>
              <w:jc w:val="left"/>
              <w:rPr>
                <w:rFonts w:ascii="宋体"/>
                <w:b/>
                <w:sz w:val="19"/>
              </w:rPr>
            </w:pPr>
          </w:p>
          <w:p>
            <w:pPr>
              <w:pStyle w:val="TableParagraph"/>
              <w:spacing w:before="0"/>
              <w:ind w:left="392"/>
              <w:jc w:val="left"/>
              <w:rPr>
                <w:sz w:val="20"/>
              </w:rPr>
            </w:pPr>
            <w:r>
              <w:rPr>
                <w:sz w:val="20"/>
              </w:rPr>
              <w:t>2555</w:t>
            </w:r>
          </w:p>
        </w:tc>
        <w:tc>
          <w:tcPr>
            <w:tcW w:w="634" w:type="dxa"/>
            <w:vMerge w:val="restart"/>
            <w:tcBorders>
              <w:top w:val="single" w:sz="6" w:space="0" w:color="000000"/>
              <w:left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25"/>
              <w:jc w:val="left"/>
              <w:rPr>
                <w:rFonts w:ascii="宋体" w:eastAsia="宋体" w:hint="eastAsia"/>
                <w:sz w:val="20"/>
              </w:rPr>
            </w:pPr>
            <w:r>
              <w:rPr>
                <w:rFonts w:ascii="宋体" w:eastAsia="宋体" w:hint="eastAsia"/>
                <w:sz w:val="20"/>
              </w:rPr>
              <w:t>连续</w:t>
            </w:r>
          </w:p>
        </w:tc>
        <w:tc>
          <w:tcPr>
            <w:tcW w:w="840" w:type="dxa"/>
            <w:tcBorders>
              <w:top w:val="single" w:sz="6" w:space="0" w:color="000000"/>
              <w:left w:val="single" w:sz="6" w:space="0" w:color="000000"/>
              <w:bottom w:val="single" w:sz="6" w:space="0" w:color="000000"/>
              <w:right w:val="single" w:sz="6" w:space="0" w:color="000000"/>
            </w:tcBorders>
          </w:tcPr>
          <w:p>
            <w:pPr>
              <w:pStyle w:val="TableParagraph"/>
              <w:spacing w:before="61"/>
              <w:ind w:left="233" w:right="197"/>
              <w:rPr>
                <w:sz w:val="13"/>
              </w:rPr>
            </w:pPr>
            <w:r>
              <w:rPr>
                <w:position w:val="2"/>
                <w:sz w:val="20"/>
              </w:rPr>
              <w:t>SO</w:t>
            </w:r>
            <w:r>
              <w:rPr>
                <w:sz w:val="13"/>
              </w:rPr>
              <w:t>2</w:t>
            </w:r>
          </w:p>
        </w:tc>
        <w:tc>
          <w:tcPr>
            <w:tcW w:w="1040" w:type="dxa"/>
            <w:tcBorders>
              <w:top w:val="single" w:sz="6" w:space="0" w:color="000000"/>
              <w:left w:val="single" w:sz="6" w:space="0" w:color="000000"/>
              <w:bottom w:val="single" w:sz="6" w:space="0" w:color="000000"/>
            </w:tcBorders>
          </w:tcPr>
          <w:p>
            <w:pPr>
              <w:pStyle w:val="TableParagraph"/>
              <w:spacing w:before="65"/>
              <w:ind w:left="139" w:right="98"/>
              <w:rPr>
                <w:sz w:val="20"/>
              </w:rPr>
            </w:pPr>
            <w:r>
              <w:rPr>
                <w:sz w:val="20"/>
              </w:rPr>
              <w:t>0.0044</w:t>
            </w:r>
          </w:p>
        </w:tc>
      </w:tr>
      <w:tr>
        <w:trPr>
          <w:trHeight w:val="353" w:hRule="atLeast"/>
        </w:trPr>
        <w:tc>
          <w:tcPr>
            <w:tcW w:w="996" w:type="dxa"/>
            <w:vMerge/>
            <w:tcBorders>
              <w:top w:val="nil"/>
              <w:right w:val="single" w:sz="6" w:space="0" w:color="000000"/>
            </w:tcBorders>
          </w:tcPr>
          <w:p>
            <w:pPr>
              <w:rPr>
                <w:sz w:val="2"/>
                <w:szCs w:val="2"/>
              </w:rPr>
            </w:pPr>
          </w:p>
        </w:tc>
        <w:tc>
          <w:tcPr>
            <w:tcW w:w="1603" w:type="dxa"/>
            <w:vMerge/>
            <w:tcBorders>
              <w:top w:val="nil"/>
              <w:left w:val="single" w:sz="6" w:space="0" w:color="000000"/>
              <w:right w:val="single" w:sz="6" w:space="0" w:color="000000"/>
            </w:tcBorders>
          </w:tcPr>
          <w:p>
            <w:pPr>
              <w:rPr>
                <w:sz w:val="2"/>
                <w:szCs w:val="2"/>
              </w:rPr>
            </w:pPr>
          </w:p>
        </w:tc>
        <w:tc>
          <w:tcPr>
            <w:tcW w:w="1322" w:type="dxa"/>
            <w:vMerge/>
            <w:tcBorders>
              <w:top w:val="nil"/>
              <w:left w:val="single" w:sz="6" w:space="0" w:color="000000"/>
              <w:right w:val="single" w:sz="6" w:space="0" w:color="000000"/>
            </w:tcBorders>
          </w:tcPr>
          <w:p>
            <w:pPr>
              <w:rPr>
                <w:sz w:val="2"/>
                <w:szCs w:val="2"/>
              </w:rPr>
            </w:pPr>
          </w:p>
        </w:tc>
        <w:tc>
          <w:tcPr>
            <w:tcW w:w="1241" w:type="dxa"/>
            <w:vMerge/>
            <w:tcBorders>
              <w:top w:val="nil"/>
              <w:left w:val="single" w:sz="6" w:space="0" w:color="000000"/>
              <w:right w:val="single" w:sz="6" w:space="0" w:color="000000"/>
            </w:tcBorders>
          </w:tcPr>
          <w:p>
            <w:pPr>
              <w:rPr>
                <w:sz w:val="2"/>
                <w:szCs w:val="2"/>
              </w:rPr>
            </w:pPr>
          </w:p>
        </w:tc>
        <w:tc>
          <w:tcPr>
            <w:tcW w:w="1456" w:type="dxa"/>
            <w:vMerge/>
            <w:tcBorders>
              <w:top w:val="nil"/>
              <w:left w:val="single" w:sz="6" w:space="0" w:color="000000"/>
              <w:right w:val="single" w:sz="6" w:space="0" w:color="000000"/>
            </w:tcBorders>
          </w:tcPr>
          <w:p>
            <w:pPr>
              <w:rPr>
                <w:sz w:val="2"/>
                <w:szCs w:val="2"/>
              </w:rPr>
            </w:pPr>
          </w:p>
        </w:tc>
        <w:tc>
          <w:tcPr>
            <w:tcW w:w="1044" w:type="dxa"/>
            <w:vMerge/>
            <w:tcBorders>
              <w:top w:val="nil"/>
              <w:left w:val="single" w:sz="6" w:space="0" w:color="000000"/>
              <w:right w:val="single" w:sz="6" w:space="0" w:color="000000"/>
            </w:tcBorders>
          </w:tcPr>
          <w:p>
            <w:pPr>
              <w:rPr>
                <w:sz w:val="2"/>
                <w:szCs w:val="2"/>
              </w:rPr>
            </w:pPr>
          </w:p>
        </w:tc>
        <w:tc>
          <w:tcPr>
            <w:tcW w:w="1250" w:type="dxa"/>
            <w:vMerge/>
            <w:tcBorders>
              <w:top w:val="nil"/>
              <w:left w:val="single" w:sz="6" w:space="0" w:color="000000"/>
              <w:right w:val="single" w:sz="6" w:space="0" w:color="000000"/>
            </w:tcBorders>
          </w:tcPr>
          <w:p>
            <w:pPr>
              <w:rPr>
                <w:sz w:val="2"/>
                <w:szCs w:val="2"/>
              </w:rPr>
            </w:pPr>
          </w:p>
        </w:tc>
        <w:tc>
          <w:tcPr>
            <w:tcW w:w="1046" w:type="dxa"/>
            <w:vMerge/>
            <w:tcBorders>
              <w:top w:val="nil"/>
              <w:left w:val="single" w:sz="6" w:space="0" w:color="000000"/>
              <w:right w:val="single" w:sz="6" w:space="0" w:color="000000"/>
            </w:tcBorders>
          </w:tcPr>
          <w:p>
            <w:pPr>
              <w:rPr>
                <w:sz w:val="2"/>
                <w:szCs w:val="2"/>
              </w:rPr>
            </w:pPr>
          </w:p>
        </w:tc>
        <w:tc>
          <w:tcPr>
            <w:tcW w:w="1044" w:type="dxa"/>
            <w:vMerge/>
            <w:tcBorders>
              <w:top w:val="nil"/>
              <w:left w:val="single" w:sz="6" w:space="0" w:color="000000"/>
              <w:right w:val="single" w:sz="6" w:space="0" w:color="000000"/>
            </w:tcBorders>
          </w:tcPr>
          <w:p>
            <w:pPr>
              <w:rPr>
                <w:sz w:val="2"/>
                <w:szCs w:val="2"/>
              </w:rPr>
            </w:pPr>
          </w:p>
        </w:tc>
        <w:tc>
          <w:tcPr>
            <w:tcW w:w="1160" w:type="dxa"/>
            <w:vMerge/>
            <w:tcBorders>
              <w:top w:val="nil"/>
              <w:left w:val="single" w:sz="6" w:space="0" w:color="000000"/>
              <w:right w:val="single" w:sz="6" w:space="0" w:color="000000"/>
            </w:tcBorders>
          </w:tcPr>
          <w:p>
            <w:pPr>
              <w:rPr>
                <w:sz w:val="2"/>
                <w:szCs w:val="2"/>
              </w:rPr>
            </w:pPr>
          </w:p>
        </w:tc>
        <w:tc>
          <w:tcPr>
            <w:tcW w:w="634" w:type="dxa"/>
            <w:vMerge/>
            <w:tcBorders>
              <w:top w:val="nil"/>
              <w:left w:val="single" w:sz="6" w:space="0" w:color="000000"/>
              <w:right w:val="single" w:sz="6" w:space="0" w:color="000000"/>
            </w:tcBorders>
          </w:tcPr>
          <w:p>
            <w:pPr>
              <w:rPr>
                <w:sz w:val="2"/>
                <w:szCs w:val="2"/>
              </w:rPr>
            </w:pPr>
          </w:p>
        </w:tc>
        <w:tc>
          <w:tcPr>
            <w:tcW w:w="840" w:type="dxa"/>
            <w:tcBorders>
              <w:top w:val="single" w:sz="6" w:space="0" w:color="000000"/>
              <w:left w:val="single" w:sz="6" w:space="0" w:color="000000"/>
              <w:right w:val="single" w:sz="6" w:space="0" w:color="000000"/>
            </w:tcBorders>
          </w:tcPr>
          <w:p>
            <w:pPr>
              <w:pStyle w:val="TableParagraph"/>
              <w:spacing w:before="56"/>
              <w:ind w:left="233" w:right="197"/>
              <w:rPr>
                <w:sz w:val="13"/>
              </w:rPr>
            </w:pPr>
            <w:r>
              <w:rPr>
                <w:position w:val="2"/>
                <w:sz w:val="20"/>
              </w:rPr>
              <w:t>NO</w:t>
            </w:r>
            <w:r>
              <w:rPr>
                <w:sz w:val="13"/>
              </w:rPr>
              <w:t>x</w:t>
            </w:r>
          </w:p>
        </w:tc>
        <w:tc>
          <w:tcPr>
            <w:tcW w:w="1040" w:type="dxa"/>
            <w:tcBorders>
              <w:top w:val="single" w:sz="6" w:space="0" w:color="000000"/>
              <w:left w:val="single" w:sz="6" w:space="0" w:color="000000"/>
            </w:tcBorders>
          </w:tcPr>
          <w:p>
            <w:pPr>
              <w:pStyle w:val="TableParagraph"/>
              <w:spacing w:before="60"/>
              <w:ind w:left="139" w:right="98"/>
              <w:rPr>
                <w:sz w:val="20"/>
              </w:rPr>
            </w:pPr>
            <w:r>
              <w:rPr>
                <w:sz w:val="20"/>
              </w:rPr>
              <w:t>0.1870</w:t>
            </w:r>
          </w:p>
        </w:tc>
      </w:tr>
    </w:tbl>
    <w:p>
      <w:pPr>
        <w:spacing w:after="0"/>
        <w:rPr>
          <w:sz w:val="20"/>
        </w:rPr>
        <w:sectPr>
          <w:headerReference w:type="default" r:id="rId81"/>
          <w:footerReference w:type="default" r:id="rId82"/>
          <w:pgSz w:w="16840" w:h="11910" w:orient="landscape"/>
          <w:pgMar w:header="588" w:footer="769" w:top="1120" w:bottom="960" w:left="900" w:right="1000"/>
          <w:pgNumType w:start="125"/>
        </w:sectPr>
      </w:pPr>
    </w:p>
    <w:p>
      <w:pPr>
        <w:spacing w:before="47"/>
        <w:ind w:left="439" w:right="0" w:firstLine="0"/>
        <w:jc w:val="left"/>
        <w:rPr>
          <w:sz w:val="21"/>
        </w:rPr>
      </w:pPr>
      <w:r>
        <w:rPr>
          <w:sz w:val="21"/>
        </w:rPr>
        <w:t>注：坐标为经纬度坐标。</w:t>
      </w:r>
    </w:p>
    <w:p>
      <w:pPr>
        <w:pStyle w:val="BodyText"/>
        <w:spacing w:before="4"/>
        <w:ind w:left="0"/>
        <w:rPr>
          <w:sz w:val="34"/>
        </w:rPr>
      </w:pPr>
      <w:r>
        <w:rPr/>
        <w:br w:type="column"/>
      </w:r>
      <w:r>
        <w:rPr>
          <w:sz w:val="34"/>
        </w:rPr>
      </w:r>
    </w:p>
    <w:p>
      <w:pPr>
        <w:pStyle w:val="Heading3"/>
        <w:spacing w:before="0"/>
        <w:ind w:left="439"/>
      </w:pPr>
      <w:r>
        <w:rPr/>
        <w:t>表 </w:t>
      </w:r>
      <w:r>
        <w:rPr>
          <w:rFonts w:ascii="Times New Roman" w:eastAsia="Times New Roman"/>
        </w:rPr>
        <w:t>5.2-6</w:t>
      </w:r>
      <w:r>
        <w:rPr/>
        <w:t>（续） 项目估算因子源强及参数（面源）</w:t>
      </w:r>
    </w:p>
    <w:p>
      <w:pPr>
        <w:spacing w:after="0"/>
        <w:sectPr>
          <w:type w:val="continuous"/>
          <w:pgSz w:w="16840" w:h="11910" w:orient="landscape"/>
          <w:pgMar w:top="1400" w:bottom="1200" w:left="900" w:right="1000"/>
          <w:cols w:num="2" w:equalWidth="0">
            <w:col w:w="2794" w:space="1602"/>
            <w:col w:w="10544"/>
          </w:cols>
        </w:sectPr>
      </w:pPr>
    </w:p>
    <w:p>
      <w:pPr>
        <w:pStyle w:val="BodyText"/>
        <w:spacing w:before="2"/>
        <w:ind w:left="0"/>
        <w:rPr>
          <w:b/>
          <w:sz w:val="6"/>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72"/>
        <w:gridCol w:w="1428"/>
        <w:gridCol w:w="1342"/>
        <w:gridCol w:w="1315"/>
        <w:gridCol w:w="1130"/>
        <w:gridCol w:w="1128"/>
        <w:gridCol w:w="1219"/>
        <w:gridCol w:w="1577"/>
        <w:gridCol w:w="1254"/>
        <w:gridCol w:w="677"/>
        <w:gridCol w:w="905"/>
        <w:gridCol w:w="1131"/>
      </w:tblGrid>
      <w:tr>
        <w:trPr>
          <w:trHeight w:val="359" w:hRule="atLeast"/>
        </w:trPr>
        <w:tc>
          <w:tcPr>
            <w:tcW w:w="1572" w:type="dxa"/>
            <w:vMerge w:val="restart"/>
            <w:tcBorders>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552" w:right="534"/>
              <w:rPr>
                <w:rFonts w:ascii="宋体" w:eastAsia="宋体" w:hint="eastAsia"/>
                <w:b/>
                <w:sz w:val="21"/>
              </w:rPr>
            </w:pPr>
            <w:r>
              <w:rPr>
                <w:rFonts w:ascii="宋体" w:eastAsia="宋体" w:hint="eastAsia"/>
                <w:b/>
                <w:sz w:val="21"/>
              </w:rPr>
              <w:t>名称</w:t>
            </w:r>
          </w:p>
        </w:tc>
        <w:tc>
          <w:tcPr>
            <w:tcW w:w="2770" w:type="dxa"/>
            <w:gridSpan w:val="2"/>
            <w:tcBorders>
              <w:left w:val="single" w:sz="6" w:space="0" w:color="000000"/>
              <w:bottom w:val="single" w:sz="6" w:space="0" w:color="000000"/>
              <w:right w:val="single" w:sz="6" w:space="0" w:color="000000"/>
            </w:tcBorders>
          </w:tcPr>
          <w:p>
            <w:pPr>
              <w:pStyle w:val="TableParagraph"/>
              <w:spacing w:before="48"/>
              <w:ind w:left="758"/>
              <w:jc w:val="left"/>
              <w:rPr>
                <w:rFonts w:ascii="宋体" w:eastAsia="宋体" w:hint="eastAsia"/>
                <w:b/>
                <w:sz w:val="21"/>
              </w:rPr>
            </w:pPr>
            <w:r>
              <w:rPr>
                <w:rFonts w:ascii="宋体" w:eastAsia="宋体" w:hint="eastAsia"/>
                <w:b/>
                <w:sz w:val="21"/>
              </w:rPr>
              <w:t>面源中心坐标</w:t>
            </w:r>
          </w:p>
        </w:tc>
        <w:tc>
          <w:tcPr>
            <w:tcW w:w="1315" w:type="dxa"/>
            <w:vMerge w:val="restart"/>
            <w:tcBorders>
              <w:left w:val="single" w:sz="6" w:space="0" w:color="000000"/>
              <w:bottom w:val="single" w:sz="6" w:space="0" w:color="000000"/>
              <w:right w:val="single" w:sz="6" w:space="0" w:color="000000"/>
            </w:tcBorders>
          </w:tcPr>
          <w:p>
            <w:pPr>
              <w:pStyle w:val="TableParagraph"/>
              <w:spacing w:before="56"/>
              <w:ind w:left="242"/>
              <w:jc w:val="left"/>
              <w:rPr>
                <w:rFonts w:ascii="宋体" w:eastAsia="宋体" w:hint="eastAsia"/>
                <w:b/>
                <w:sz w:val="21"/>
              </w:rPr>
            </w:pPr>
            <w:r>
              <w:rPr>
                <w:rFonts w:ascii="宋体" w:eastAsia="宋体" w:hint="eastAsia"/>
                <w:b/>
                <w:sz w:val="21"/>
              </w:rPr>
              <w:t>面源海拔</w:t>
            </w:r>
          </w:p>
          <w:p>
            <w:pPr>
              <w:pStyle w:val="TableParagraph"/>
              <w:spacing w:before="88"/>
              <w:ind w:left="156"/>
              <w:jc w:val="left"/>
              <w:rPr>
                <w:rFonts w:ascii="宋体" w:eastAsia="宋体" w:hint="eastAsia"/>
                <w:b/>
                <w:sz w:val="21"/>
              </w:rPr>
            </w:pPr>
            <w:r>
              <w:rPr>
                <w:rFonts w:ascii="宋体" w:eastAsia="宋体" w:hint="eastAsia"/>
                <w:b/>
                <w:spacing w:val="-1"/>
                <w:sz w:val="21"/>
              </w:rPr>
              <w:t>高度（</w:t>
            </w:r>
            <w:r>
              <w:rPr>
                <w:b/>
                <w:spacing w:val="-1"/>
                <w:sz w:val="21"/>
              </w:rPr>
              <w:t>m</w:t>
            </w:r>
            <w:r>
              <w:rPr>
                <w:rFonts w:ascii="宋体" w:eastAsia="宋体" w:hint="eastAsia"/>
                <w:b/>
                <w:spacing w:val="-1"/>
                <w:sz w:val="21"/>
              </w:rPr>
              <w:t>）</w:t>
            </w:r>
          </w:p>
        </w:tc>
        <w:tc>
          <w:tcPr>
            <w:tcW w:w="1130" w:type="dxa"/>
            <w:vMerge w:val="restart"/>
            <w:tcBorders>
              <w:left w:val="single" w:sz="6" w:space="0" w:color="000000"/>
              <w:bottom w:val="single" w:sz="6" w:space="0" w:color="000000"/>
              <w:right w:val="single" w:sz="6" w:space="0" w:color="000000"/>
            </w:tcBorders>
          </w:tcPr>
          <w:p>
            <w:pPr>
              <w:pStyle w:val="TableParagraph"/>
              <w:spacing w:before="56"/>
              <w:ind w:left="129" w:right="96"/>
              <w:rPr>
                <w:rFonts w:ascii="宋体" w:eastAsia="宋体" w:hint="eastAsia"/>
                <w:b/>
                <w:sz w:val="21"/>
              </w:rPr>
            </w:pPr>
            <w:r>
              <w:rPr>
                <w:rFonts w:ascii="宋体" w:eastAsia="宋体" w:hint="eastAsia"/>
                <w:b/>
                <w:sz w:val="21"/>
              </w:rPr>
              <w:t>面源长度</w:t>
            </w:r>
          </w:p>
          <w:p>
            <w:pPr>
              <w:pStyle w:val="TableParagraph"/>
              <w:spacing w:before="88"/>
              <w:ind w:left="129" w:right="99"/>
              <w:rPr>
                <w:rFonts w:ascii="宋体" w:eastAsia="宋体" w:hint="eastAsia"/>
                <w:b/>
                <w:sz w:val="21"/>
              </w:rPr>
            </w:pPr>
            <w:r>
              <w:rPr>
                <w:rFonts w:ascii="宋体" w:eastAsia="宋体" w:hint="eastAsia"/>
                <w:b/>
                <w:sz w:val="21"/>
              </w:rPr>
              <w:t>（</w:t>
            </w:r>
            <w:r>
              <w:rPr>
                <w:b/>
                <w:sz w:val="21"/>
              </w:rPr>
              <w:t>m</w:t>
            </w:r>
            <w:r>
              <w:rPr>
                <w:rFonts w:ascii="宋体" w:eastAsia="宋体" w:hint="eastAsia"/>
                <w:b/>
                <w:sz w:val="21"/>
              </w:rPr>
              <w:t>）</w:t>
            </w:r>
          </w:p>
        </w:tc>
        <w:tc>
          <w:tcPr>
            <w:tcW w:w="1128" w:type="dxa"/>
            <w:vMerge w:val="restart"/>
            <w:tcBorders>
              <w:left w:val="single" w:sz="6" w:space="0" w:color="000000"/>
              <w:bottom w:val="single" w:sz="6" w:space="0" w:color="000000"/>
              <w:right w:val="single" w:sz="6" w:space="0" w:color="000000"/>
            </w:tcBorders>
          </w:tcPr>
          <w:p>
            <w:pPr>
              <w:pStyle w:val="TableParagraph"/>
              <w:spacing w:before="56"/>
              <w:ind w:left="132" w:right="96"/>
              <w:rPr>
                <w:rFonts w:ascii="宋体" w:eastAsia="宋体" w:hint="eastAsia"/>
                <w:b/>
                <w:sz w:val="21"/>
              </w:rPr>
            </w:pPr>
            <w:r>
              <w:rPr>
                <w:rFonts w:ascii="宋体" w:eastAsia="宋体" w:hint="eastAsia"/>
                <w:b/>
                <w:sz w:val="21"/>
              </w:rPr>
              <w:t>面源宽度</w:t>
            </w:r>
          </w:p>
          <w:p>
            <w:pPr>
              <w:pStyle w:val="TableParagraph"/>
              <w:spacing w:before="88"/>
              <w:ind w:left="129" w:right="96"/>
              <w:rPr>
                <w:rFonts w:ascii="宋体" w:eastAsia="宋体" w:hint="eastAsia"/>
                <w:b/>
                <w:sz w:val="21"/>
              </w:rPr>
            </w:pPr>
            <w:r>
              <w:rPr>
                <w:rFonts w:ascii="宋体" w:eastAsia="宋体" w:hint="eastAsia"/>
                <w:b/>
                <w:sz w:val="21"/>
              </w:rPr>
              <w:t>（</w:t>
            </w:r>
            <w:r>
              <w:rPr>
                <w:b/>
                <w:sz w:val="21"/>
              </w:rPr>
              <w:t>m</w:t>
            </w:r>
            <w:r>
              <w:rPr>
                <w:rFonts w:ascii="宋体" w:eastAsia="宋体" w:hint="eastAsia"/>
                <w:b/>
                <w:sz w:val="21"/>
              </w:rPr>
              <w:t>）</w:t>
            </w:r>
          </w:p>
        </w:tc>
        <w:tc>
          <w:tcPr>
            <w:tcW w:w="1219" w:type="dxa"/>
            <w:vMerge w:val="restart"/>
            <w:tcBorders>
              <w:left w:val="single" w:sz="6" w:space="0" w:color="000000"/>
              <w:bottom w:val="single" w:sz="6" w:space="0" w:color="000000"/>
              <w:right w:val="single" w:sz="6" w:space="0" w:color="000000"/>
            </w:tcBorders>
          </w:tcPr>
          <w:p>
            <w:pPr>
              <w:pStyle w:val="TableParagraph"/>
              <w:spacing w:before="56"/>
              <w:ind w:left="198"/>
              <w:jc w:val="left"/>
              <w:rPr>
                <w:rFonts w:ascii="宋体" w:eastAsia="宋体" w:hint="eastAsia"/>
                <w:b/>
                <w:sz w:val="21"/>
              </w:rPr>
            </w:pPr>
            <w:r>
              <w:rPr>
                <w:rFonts w:ascii="宋体" w:eastAsia="宋体" w:hint="eastAsia"/>
                <w:b/>
                <w:sz w:val="21"/>
              </w:rPr>
              <w:t>与正北向</w:t>
            </w:r>
          </w:p>
          <w:p>
            <w:pPr>
              <w:pStyle w:val="TableParagraph"/>
              <w:spacing w:before="88"/>
              <w:ind w:left="157"/>
              <w:jc w:val="left"/>
              <w:rPr>
                <w:rFonts w:ascii="宋体" w:hAnsi="宋体" w:eastAsia="宋体" w:hint="eastAsia"/>
                <w:b/>
                <w:sz w:val="21"/>
              </w:rPr>
            </w:pPr>
            <w:r>
              <w:rPr>
                <w:rFonts w:ascii="宋体" w:hAnsi="宋体" w:eastAsia="宋体" w:hint="eastAsia"/>
                <w:b/>
                <w:spacing w:val="-1"/>
                <w:sz w:val="21"/>
              </w:rPr>
              <w:t>夹角</w:t>
            </w:r>
            <w:r>
              <w:rPr>
                <w:rFonts w:ascii="宋体" w:hAnsi="宋体" w:eastAsia="宋体" w:hint="eastAsia"/>
                <w:b/>
                <w:sz w:val="21"/>
              </w:rPr>
              <w:t>（</w:t>
            </w:r>
            <w:r>
              <w:rPr>
                <w:b/>
                <w:sz w:val="21"/>
              </w:rPr>
              <w:t>°</w:t>
            </w:r>
            <w:r>
              <w:rPr>
                <w:rFonts w:ascii="宋体" w:hAnsi="宋体" w:eastAsia="宋体" w:hint="eastAsia"/>
                <w:b/>
                <w:sz w:val="21"/>
              </w:rPr>
              <w:t>）</w:t>
            </w:r>
          </w:p>
        </w:tc>
        <w:tc>
          <w:tcPr>
            <w:tcW w:w="1577" w:type="dxa"/>
            <w:vMerge w:val="restart"/>
            <w:tcBorders>
              <w:left w:val="single" w:sz="6" w:space="0" w:color="000000"/>
              <w:bottom w:val="single" w:sz="6" w:space="0" w:color="000000"/>
              <w:right w:val="single" w:sz="6" w:space="0" w:color="000000"/>
            </w:tcBorders>
          </w:tcPr>
          <w:p>
            <w:pPr>
              <w:pStyle w:val="TableParagraph"/>
              <w:spacing w:before="56"/>
              <w:ind w:left="145" w:right="111"/>
              <w:rPr>
                <w:rFonts w:ascii="宋体" w:eastAsia="宋体" w:hint="eastAsia"/>
                <w:b/>
                <w:sz w:val="21"/>
              </w:rPr>
            </w:pPr>
            <w:r>
              <w:rPr>
                <w:rFonts w:ascii="宋体" w:eastAsia="宋体" w:hint="eastAsia"/>
                <w:b/>
                <w:sz w:val="21"/>
              </w:rPr>
              <w:t>面源有效排放</w:t>
            </w:r>
          </w:p>
          <w:p>
            <w:pPr>
              <w:pStyle w:val="TableParagraph"/>
              <w:spacing w:before="88"/>
              <w:ind w:left="140" w:right="111"/>
              <w:rPr>
                <w:rFonts w:ascii="宋体" w:eastAsia="宋体" w:hint="eastAsia"/>
                <w:b/>
                <w:sz w:val="21"/>
              </w:rPr>
            </w:pPr>
            <w:r>
              <w:rPr>
                <w:rFonts w:ascii="宋体" w:eastAsia="宋体" w:hint="eastAsia"/>
                <w:b/>
                <w:sz w:val="21"/>
              </w:rPr>
              <w:t>高度（</w:t>
            </w:r>
            <w:r>
              <w:rPr>
                <w:b/>
                <w:sz w:val="21"/>
              </w:rPr>
              <w:t>m</w:t>
            </w:r>
            <w:r>
              <w:rPr>
                <w:rFonts w:ascii="宋体" w:eastAsia="宋体" w:hint="eastAsia"/>
                <w:b/>
                <w:sz w:val="21"/>
              </w:rPr>
              <w:t>）</w:t>
            </w:r>
          </w:p>
        </w:tc>
        <w:tc>
          <w:tcPr>
            <w:tcW w:w="1254" w:type="dxa"/>
            <w:vMerge w:val="restart"/>
            <w:tcBorders>
              <w:left w:val="single" w:sz="6" w:space="0" w:color="000000"/>
              <w:bottom w:val="single" w:sz="6" w:space="0" w:color="000000"/>
              <w:right w:val="single" w:sz="6" w:space="0" w:color="000000"/>
            </w:tcBorders>
          </w:tcPr>
          <w:p>
            <w:pPr>
              <w:pStyle w:val="TableParagraph"/>
              <w:spacing w:before="56"/>
              <w:ind w:left="212"/>
              <w:jc w:val="left"/>
              <w:rPr>
                <w:rFonts w:ascii="宋体" w:eastAsia="宋体" w:hint="eastAsia"/>
                <w:b/>
                <w:sz w:val="21"/>
              </w:rPr>
            </w:pPr>
            <w:r>
              <w:rPr>
                <w:rFonts w:ascii="宋体" w:eastAsia="宋体" w:hint="eastAsia"/>
                <w:b/>
                <w:sz w:val="21"/>
              </w:rPr>
              <w:t>年排放小</w:t>
            </w:r>
          </w:p>
          <w:p>
            <w:pPr>
              <w:pStyle w:val="TableParagraph"/>
              <w:spacing w:before="88"/>
              <w:ind w:left="154"/>
              <w:jc w:val="left"/>
              <w:rPr>
                <w:rFonts w:ascii="宋体" w:eastAsia="宋体" w:hint="eastAsia"/>
                <w:b/>
                <w:sz w:val="21"/>
              </w:rPr>
            </w:pPr>
            <w:r>
              <w:rPr>
                <w:rFonts w:ascii="宋体" w:eastAsia="宋体" w:hint="eastAsia"/>
                <w:b/>
                <w:spacing w:val="-1"/>
                <w:sz w:val="21"/>
              </w:rPr>
              <w:t>时数（</w:t>
            </w:r>
            <w:r>
              <w:rPr>
                <w:b/>
                <w:spacing w:val="-1"/>
                <w:sz w:val="21"/>
              </w:rPr>
              <w:t>h</w:t>
            </w:r>
            <w:r>
              <w:rPr>
                <w:rFonts w:ascii="宋体" w:eastAsia="宋体" w:hint="eastAsia"/>
                <w:b/>
                <w:spacing w:val="-1"/>
                <w:sz w:val="21"/>
              </w:rPr>
              <w:t>）</w:t>
            </w:r>
          </w:p>
        </w:tc>
        <w:tc>
          <w:tcPr>
            <w:tcW w:w="677" w:type="dxa"/>
            <w:vMerge w:val="restart"/>
            <w:tcBorders>
              <w:left w:val="single" w:sz="6" w:space="0" w:color="000000"/>
              <w:bottom w:val="single" w:sz="6" w:space="0" w:color="000000"/>
              <w:right w:val="single" w:sz="6" w:space="0" w:color="000000"/>
            </w:tcBorders>
          </w:tcPr>
          <w:p>
            <w:pPr>
              <w:pStyle w:val="TableParagraph"/>
              <w:spacing w:before="56"/>
              <w:ind w:left="135"/>
              <w:jc w:val="left"/>
              <w:rPr>
                <w:rFonts w:ascii="宋体" w:eastAsia="宋体" w:hint="eastAsia"/>
                <w:b/>
                <w:sz w:val="21"/>
              </w:rPr>
            </w:pPr>
            <w:r>
              <w:rPr>
                <w:rFonts w:ascii="宋体" w:eastAsia="宋体" w:hint="eastAsia"/>
                <w:b/>
                <w:sz w:val="21"/>
              </w:rPr>
              <w:t>排放</w:t>
            </w:r>
          </w:p>
          <w:p>
            <w:pPr>
              <w:pStyle w:val="TableParagraph"/>
              <w:spacing w:before="88"/>
              <w:ind w:left="135"/>
              <w:jc w:val="left"/>
              <w:rPr>
                <w:rFonts w:ascii="宋体" w:eastAsia="宋体" w:hint="eastAsia"/>
                <w:b/>
                <w:sz w:val="21"/>
              </w:rPr>
            </w:pPr>
            <w:r>
              <w:rPr>
                <w:rFonts w:ascii="宋体" w:eastAsia="宋体" w:hint="eastAsia"/>
                <w:b/>
                <w:sz w:val="21"/>
              </w:rPr>
              <w:t>工况</w:t>
            </w:r>
          </w:p>
        </w:tc>
        <w:tc>
          <w:tcPr>
            <w:tcW w:w="905" w:type="dxa"/>
            <w:vMerge w:val="restart"/>
            <w:tcBorders>
              <w:left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144"/>
              <w:jc w:val="left"/>
              <w:rPr>
                <w:rFonts w:ascii="宋体" w:eastAsia="宋体" w:hint="eastAsia"/>
                <w:b/>
                <w:sz w:val="21"/>
              </w:rPr>
            </w:pPr>
            <w:r>
              <w:rPr>
                <w:rFonts w:ascii="宋体" w:eastAsia="宋体" w:hint="eastAsia"/>
                <w:b/>
                <w:sz w:val="21"/>
              </w:rPr>
              <w:t>污染物</w:t>
            </w:r>
          </w:p>
        </w:tc>
        <w:tc>
          <w:tcPr>
            <w:tcW w:w="1131" w:type="dxa"/>
            <w:vMerge w:val="restart"/>
            <w:tcBorders>
              <w:left w:val="single" w:sz="6" w:space="0" w:color="000000"/>
              <w:bottom w:val="single" w:sz="6" w:space="0" w:color="000000"/>
            </w:tcBorders>
          </w:tcPr>
          <w:p>
            <w:pPr>
              <w:pStyle w:val="TableParagraph"/>
              <w:spacing w:before="56"/>
              <w:ind w:left="151"/>
              <w:jc w:val="left"/>
              <w:rPr>
                <w:rFonts w:ascii="宋体" w:eastAsia="宋体" w:hint="eastAsia"/>
                <w:b/>
                <w:sz w:val="21"/>
              </w:rPr>
            </w:pPr>
            <w:r>
              <w:rPr>
                <w:rFonts w:ascii="宋体" w:eastAsia="宋体" w:hint="eastAsia"/>
                <w:b/>
                <w:sz w:val="21"/>
              </w:rPr>
              <w:t>排放速率</w:t>
            </w:r>
          </w:p>
          <w:p>
            <w:pPr>
              <w:pStyle w:val="TableParagraph"/>
              <w:spacing w:before="88"/>
              <w:ind w:left="163"/>
              <w:jc w:val="left"/>
              <w:rPr>
                <w:rFonts w:ascii="宋体" w:eastAsia="宋体" w:hint="eastAsia"/>
                <w:b/>
                <w:sz w:val="21"/>
              </w:rPr>
            </w:pPr>
            <w:r>
              <w:rPr>
                <w:rFonts w:ascii="宋体" w:eastAsia="宋体" w:hint="eastAsia"/>
                <w:b/>
                <w:sz w:val="21"/>
              </w:rPr>
              <w:t>（</w:t>
            </w:r>
            <w:r>
              <w:rPr>
                <w:b/>
                <w:sz w:val="21"/>
              </w:rPr>
              <w:t>kg/h</w:t>
            </w:r>
            <w:r>
              <w:rPr>
                <w:rFonts w:ascii="宋体" w:eastAsia="宋体" w:hint="eastAsia"/>
                <w:b/>
                <w:sz w:val="21"/>
              </w:rPr>
              <w:t>）</w:t>
            </w:r>
          </w:p>
        </w:tc>
      </w:tr>
      <w:tr>
        <w:trPr>
          <w:trHeight w:val="359" w:hRule="atLeast"/>
        </w:trPr>
        <w:tc>
          <w:tcPr>
            <w:tcW w:w="1572" w:type="dxa"/>
            <w:vMerge/>
            <w:tcBorders>
              <w:top w:val="nil"/>
              <w:bottom w:val="single" w:sz="6" w:space="0" w:color="000000"/>
              <w:right w:val="single" w:sz="6" w:space="0" w:color="000000"/>
            </w:tcBorders>
          </w:tcPr>
          <w:p>
            <w:pPr>
              <w:rPr>
                <w:sz w:val="2"/>
                <w:szCs w:val="2"/>
              </w:rPr>
            </w:pP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46"/>
              <w:ind w:left="135" w:right="108"/>
              <w:rPr>
                <w:rFonts w:ascii="宋体" w:eastAsia="宋体" w:hint="eastAsia"/>
                <w:b/>
                <w:sz w:val="21"/>
              </w:rPr>
            </w:pPr>
            <w:r>
              <w:rPr>
                <w:rFonts w:ascii="宋体" w:eastAsia="宋体" w:hint="eastAsia"/>
                <w:b/>
                <w:sz w:val="21"/>
              </w:rPr>
              <w:t>东经</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4" w:right="103"/>
              <w:rPr>
                <w:rFonts w:ascii="宋体" w:eastAsia="宋体" w:hint="eastAsia"/>
                <w:b/>
                <w:sz w:val="21"/>
              </w:rPr>
            </w:pPr>
            <w:r>
              <w:rPr>
                <w:rFonts w:ascii="宋体" w:eastAsia="宋体" w:hint="eastAsia"/>
                <w:b/>
                <w:sz w:val="21"/>
              </w:rPr>
              <w:t>北纬</w:t>
            </w: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vMerge/>
            <w:tcBorders>
              <w:top w:val="nil"/>
              <w:left w:val="single" w:sz="6" w:space="0" w:color="000000"/>
              <w:bottom w:val="single" w:sz="6" w:space="0" w:color="000000"/>
              <w:right w:val="single" w:sz="6" w:space="0" w:color="000000"/>
            </w:tcBorders>
          </w:tcPr>
          <w:p>
            <w:pPr>
              <w:rPr>
                <w:sz w:val="2"/>
                <w:szCs w:val="2"/>
              </w:rPr>
            </w:pPr>
          </w:p>
        </w:tc>
        <w:tc>
          <w:tcPr>
            <w:tcW w:w="1131" w:type="dxa"/>
            <w:vMerge/>
            <w:tcBorders>
              <w:top w:val="nil"/>
              <w:left w:val="single" w:sz="6" w:space="0" w:color="000000"/>
              <w:bottom w:val="single" w:sz="6" w:space="0" w:color="000000"/>
            </w:tcBorders>
          </w:tcPr>
          <w:p>
            <w:pPr>
              <w:rPr>
                <w:sz w:val="2"/>
                <w:szCs w:val="2"/>
              </w:rPr>
            </w:pPr>
          </w:p>
        </w:tc>
      </w:tr>
      <w:tr>
        <w:trPr>
          <w:trHeight w:val="359"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车间一 </w:t>
            </w:r>
            <w:r>
              <w:rPr>
                <w:position w:val="1"/>
                <w:sz w:val="21"/>
              </w:rPr>
              <w:t>1 </w:t>
            </w:r>
            <w:r>
              <w:rPr>
                <w:rFonts w:ascii="宋体" w:eastAsia="宋体" w:hint="eastAsia"/>
                <w:sz w:val="21"/>
              </w:rPr>
              <w:t>层</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120.460267E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30.009174N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9" w:right="96"/>
              <w:rPr>
                <w:sz w:val="21"/>
              </w:rPr>
            </w:pPr>
            <w:r>
              <w:rPr>
                <w:sz w:val="21"/>
              </w:rPr>
              <w:t>226</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7" w:right="96"/>
              <w:rPr>
                <w:sz w:val="21"/>
              </w:rPr>
            </w:pPr>
            <w:r>
              <w:rPr>
                <w:sz w:val="21"/>
              </w:rPr>
              <w:t>50</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45" w:right="111"/>
              <w:rPr>
                <w:sz w:val="21"/>
              </w:rPr>
            </w:pPr>
            <w:r>
              <w:rPr>
                <w:sz w:val="21"/>
              </w:rPr>
              <w:t>3.8</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0.0566</w:t>
            </w:r>
          </w:p>
        </w:tc>
      </w:tr>
      <w:tr>
        <w:trPr>
          <w:trHeight w:val="357"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0.0072</w:t>
            </w:r>
          </w:p>
        </w:tc>
      </w:tr>
      <w:tr>
        <w:trPr>
          <w:trHeight w:val="359"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车间一 </w:t>
            </w:r>
            <w:r>
              <w:rPr>
                <w:position w:val="1"/>
                <w:sz w:val="21"/>
              </w:rPr>
              <w:t>2 </w:t>
            </w:r>
            <w:r>
              <w:rPr>
                <w:rFonts w:ascii="宋体" w:eastAsia="宋体" w:hint="eastAsia"/>
                <w:sz w:val="21"/>
              </w:rPr>
              <w:t>层</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120.460267E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30.009174N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29" w:right="96"/>
              <w:rPr>
                <w:sz w:val="21"/>
              </w:rPr>
            </w:pPr>
            <w:r>
              <w:rPr>
                <w:sz w:val="21"/>
              </w:rPr>
              <w:t>226</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27" w:right="96"/>
              <w:rPr>
                <w:sz w:val="21"/>
              </w:rPr>
            </w:pPr>
            <w:r>
              <w:rPr>
                <w:sz w:val="21"/>
              </w:rPr>
              <w:t>50</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45" w:right="111"/>
              <w:rPr>
                <w:sz w:val="21"/>
              </w:rPr>
            </w:pPr>
            <w:r>
              <w:rPr>
                <w:sz w:val="21"/>
              </w:rPr>
              <w:t>7.6</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9"/>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spacing w:before="60"/>
              <w:ind w:right="242"/>
              <w:jc w:val="right"/>
              <w:rPr>
                <w:sz w:val="21"/>
              </w:rPr>
            </w:pPr>
            <w:r>
              <w:rPr>
                <w:sz w:val="21"/>
              </w:rPr>
              <w:t>0.0566</w:t>
            </w:r>
          </w:p>
        </w:tc>
      </w:tr>
      <w:tr>
        <w:trPr>
          <w:trHeight w:val="359"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0.0072</w:t>
            </w:r>
          </w:p>
        </w:tc>
      </w:tr>
      <w:tr>
        <w:trPr>
          <w:trHeight w:val="359" w:hRule="atLeast"/>
        </w:trPr>
        <w:tc>
          <w:tcPr>
            <w:tcW w:w="1572" w:type="dxa"/>
            <w:tcBorders>
              <w:top w:val="single" w:sz="6" w:space="0" w:color="000000"/>
              <w:right w:val="single" w:sz="6" w:space="0" w:color="000000"/>
            </w:tcBorders>
          </w:tcPr>
          <w:p>
            <w:pPr>
              <w:pStyle w:val="TableParagraph"/>
              <w:spacing w:before="46"/>
              <w:ind w:left="258"/>
              <w:jc w:val="left"/>
              <w:rPr>
                <w:rFonts w:ascii="宋体" w:eastAsia="宋体" w:hint="eastAsia"/>
                <w:sz w:val="21"/>
              </w:rPr>
            </w:pPr>
            <w:r>
              <w:rPr>
                <w:rFonts w:ascii="宋体" w:eastAsia="宋体" w:hint="eastAsia"/>
                <w:sz w:val="21"/>
              </w:rPr>
              <w:t>车间一 </w:t>
            </w:r>
            <w:r>
              <w:rPr>
                <w:position w:val="1"/>
                <w:sz w:val="21"/>
              </w:rPr>
              <w:t>3 </w:t>
            </w:r>
            <w:r>
              <w:rPr>
                <w:rFonts w:ascii="宋体" w:eastAsia="宋体" w:hint="eastAsia"/>
                <w:sz w:val="21"/>
              </w:rPr>
              <w:t>层</w:t>
            </w:r>
          </w:p>
        </w:tc>
        <w:tc>
          <w:tcPr>
            <w:tcW w:w="1428" w:type="dxa"/>
            <w:tcBorders>
              <w:top w:val="single" w:sz="6" w:space="0" w:color="000000"/>
              <w:left w:val="single" w:sz="6" w:space="0" w:color="000000"/>
              <w:right w:val="single" w:sz="6" w:space="0" w:color="000000"/>
            </w:tcBorders>
          </w:tcPr>
          <w:p>
            <w:pPr>
              <w:pStyle w:val="TableParagraph"/>
              <w:spacing w:before="60"/>
              <w:ind w:left="139" w:right="108"/>
              <w:rPr>
                <w:sz w:val="21"/>
              </w:rPr>
            </w:pPr>
            <w:r>
              <w:rPr>
                <w:sz w:val="21"/>
              </w:rPr>
              <w:t>120.460267E</w:t>
            </w:r>
          </w:p>
        </w:tc>
        <w:tc>
          <w:tcPr>
            <w:tcW w:w="1342" w:type="dxa"/>
            <w:tcBorders>
              <w:top w:val="single" w:sz="6" w:space="0" w:color="000000"/>
              <w:left w:val="single" w:sz="6" w:space="0" w:color="000000"/>
              <w:right w:val="single" w:sz="6" w:space="0" w:color="000000"/>
            </w:tcBorders>
          </w:tcPr>
          <w:p>
            <w:pPr>
              <w:pStyle w:val="TableParagraph"/>
              <w:spacing w:before="60"/>
              <w:ind w:left="138" w:right="103"/>
              <w:rPr>
                <w:sz w:val="21"/>
              </w:rPr>
            </w:pPr>
            <w:r>
              <w:rPr>
                <w:sz w:val="21"/>
              </w:rPr>
              <w:t>30.009174N</w:t>
            </w:r>
          </w:p>
        </w:tc>
        <w:tc>
          <w:tcPr>
            <w:tcW w:w="1315" w:type="dxa"/>
            <w:tcBorders>
              <w:top w:val="single" w:sz="6" w:space="0" w:color="000000"/>
              <w:left w:val="single" w:sz="6" w:space="0" w:color="000000"/>
              <w:right w:val="single" w:sz="6" w:space="0" w:color="000000"/>
            </w:tcBorders>
          </w:tcPr>
          <w:p>
            <w:pPr>
              <w:pStyle w:val="TableParagraph"/>
              <w:ind w:left="111" w:right="81"/>
              <w:rPr>
                <w:sz w:val="21"/>
              </w:rPr>
            </w:pPr>
            <w:r>
              <w:rPr>
                <w:sz w:val="21"/>
              </w:rPr>
              <w:t>20</w:t>
            </w:r>
          </w:p>
        </w:tc>
        <w:tc>
          <w:tcPr>
            <w:tcW w:w="1130" w:type="dxa"/>
            <w:tcBorders>
              <w:top w:val="single" w:sz="6" w:space="0" w:color="000000"/>
              <w:left w:val="single" w:sz="6" w:space="0" w:color="000000"/>
              <w:right w:val="single" w:sz="6" w:space="0" w:color="000000"/>
            </w:tcBorders>
          </w:tcPr>
          <w:p>
            <w:pPr>
              <w:pStyle w:val="TableParagraph"/>
              <w:ind w:left="129" w:right="96"/>
              <w:rPr>
                <w:sz w:val="21"/>
              </w:rPr>
            </w:pPr>
            <w:r>
              <w:rPr>
                <w:sz w:val="21"/>
              </w:rPr>
              <w:t>226</w:t>
            </w:r>
          </w:p>
        </w:tc>
        <w:tc>
          <w:tcPr>
            <w:tcW w:w="1128" w:type="dxa"/>
            <w:tcBorders>
              <w:top w:val="single" w:sz="6" w:space="0" w:color="000000"/>
              <w:left w:val="single" w:sz="6" w:space="0" w:color="000000"/>
              <w:right w:val="single" w:sz="6" w:space="0" w:color="000000"/>
            </w:tcBorders>
          </w:tcPr>
          <w:p>
            <w:pPr>
              <w:pStyle w:val="TableParagraph"/>
              <w:ind w:left="127" w:right="96"/>
              <w:rPr>
                <w:sz w:val="21"/>
              </w:rPr>
            </w:pPr>
            <w:r>
              <w:rPr>
                <w:sz w:val="21"/>
              </w:rPr>
              <w:t>50</w:t>
            </w:r>
          </w:p>
        </w:tc>
        <w:tc>
          <w:tcPr>
            <w:tcW w:w="1219" w:type="dxa"/>
            <w:tcBorders>
              <w:top w:val="single" w:sz="6" w:space="0" w:color="000000"/>
              <w:left w:val="single" w:sz="6" w:space="0" w:color="000000"/>
              <w:right w:val="single" w:sz="6" w:space="0" w:color="000000"/>
            </w:tcBorders>
          </w:tcPr>
          <w:p>
            <w:pPr>
              <w:pStyle w:val="TableParagraph"/>
              <w:ind w:left="37"/>
              <w:rPr>
                <w:sz w:val="21"/>
              </w:rPr>
            </w:pPr>
            <w:r>
              <w:rPr>
                <w:w w:val="100"/>
                <w:sz w:val="21"/>
              </w:rPr>
              <w:t>0</w:t>
            </w:r>
          </w:p>
        </w:tc>
        <w:tc>
          <w:tcPr>
            <w:tcW w:w="1577" w:type="dxa"/>
            <w:tcBorders>
              <w:top w:val="single" w:sz="6" w:space="0" w:color="000000"/>
              <w:left w:val="single" w:sz="6" w:space="0" w:color="000000"/>
              <w:right w:val="single" w:sz="6" w:space="0" w:color="000000"/>
            </w:tcBorders>
          </w:tcPr>
          <w:p>
            <w:pPr>
              <w:pStyle w:val="TableParagraph"/>
              <w:ind w:left="143" w:right="111"/>
              <w:rPr>
                <w:sz w:val="21"/>
              </w:rPr>
            </w:pPr>
            <w:r>
              <w:rPr>
                <w:sz w:val="21"/>
              </w:rPr>
              <w:t>11.4</w:t>
            </w:r>
          </w:p>
        </w:tc>
        <w:tc>
          <w:tcPr>
            <w:tcW w:w="1254" w:type="dxa"/>
            <w:tcBorders>
              <w:top w:val="single" w:sz="6" w:space="0" w:color="000000"/>
              <w:left w:val="single" w:sz="6" w:space="0" w:color="000000"/>
              <w:right w:val="single" w:sz="6" w:space="0" w:color="000000"/>
            </w:tcBorders>
          </w:tcPr>
          <w:p>
            <w:pPr>
              <w:pStyle w:val="TableParagraph"/>
              <w:ind w:left="424"/>
              <w:jc w:val="left"/>
              <w:rPr>
                <w:sz w:val="21"/>
              </w:rPr>
            </w:pPr>
            <w:r>
              <w:rPr>
                <w:sz w:val="21"/>
              </w:rPr>
              <w:t>8760</w:t>
            </w:r>
          </w:p>
        </w:tc>
        <w:tc>
          <w:tcPr>
            <w:tcW w:w="677" w:type="dxa"/>
            <w:tcBorders>
              <w:top w:val="single" w:sz="6" w:space="0" w:color="000000"/>
              <w:left w:val="single" w:sz="6" w:space="0" w:color="000000"/>
              <w:right w:val="single" w:sz="6" w:space="0" w:color="000000"/>
            </w:tcBorders>
          </w:tcPr>
          <w:p>
            <w:pPr>
              <w:pStyle w:val="TableParagraph"/>
              <w:spacing w:before="46"/>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right w:val="single" w:sz="6" w:space="0" w:color="000000"/>
            </w:tcBorders>
          </w:tcPr>
          <w:p>
            <w:pPr>
              <w:pStyle w:val="TableParagraph"/>
              <w:spacing w:before="57"/>
              <w:ind w:left="32"/>
              <w:rPr>
                <w:sz w:val="14"/>
              </w:rPr>
            </w:pPr>
            <w:r>
              <w:rPr>
                <w:position w:val="2"/>
                <w:sz w:val="21"/>
              </w:rPr>
              <w:t>NH</w:t>
            </w:r>
            <w:r>
              <w:rPr>
                <w:sz w:val="14"/>
              </w:rPr>
              <w:t>3</w:t>
            </w:r>
          </w:p>
        </w:tc>
        <w:tc>
          <w:tcPr>
            <w:tcW w:w="1131" w:type="dxa"/>
            <w:tcBorders>
              <w:top w:val="single" w:sz="6" w:space="0" w:color="000000"/>
              <w:left w:val="single" w:sz="6" w:space="0" w:color="000000"/>
            </w:tcBorders>
          </w:tcPr>
          <w:p>
            <w:pPr>
              <w:pStyle w:val="TableParagraph"/>
              <w:ind w:right="242"/>
              <w:jc w:val="right"/>
              <w:rPr>
                <w:sz w:val="21"/>
              </w:rPr>
            </w:pPr>
            <w:r>
              <w:rPr>
                <w:sz w:val="21"/>
              </w:rPr>
              <w:t>0.0865</w:t>
            </w:r>
          </w:p>
        </w:tc>
      </w:tr>
    </w:tbl>
    <w:p>
      <w:pPr>
        <w:spacing w:after="0"/>
        <w:jc w:val="right"/>
        <w:rPr>
          <w:sz w:val="21"/>
        </w:rPr>
        <w:sectPr>
          <w:type w:val="continuous"/>
          <w:pgSz w:w="16840" w:h="11910" w:orient="landscape"/>
          <w:pgMar w:top="1400" w:bottom="1200" w:left="900" w:right="1000"/>
        </w:sect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72"/>
        <w:gridCol w:w="1428"/>
        <w:gridCol w:w="1342"/>
        <w:gridCol w:w="1315"/>
        <w:gridCol w:w="1130"/>
        <w:gridCol w:w="1128"/>
        <w:gridCol w:w="1219"/>
        <w:gridCol w:w="1577"/>
        <w:gridCol w:w="1254"/>
        <w:gridCol w:w="677"/>
        <w:gridCol w:w="905"/>
        <w:gridCol w:w="1131"/>
      </w:tblGrid>
      <w:tr>
        <w:trPr>
          <w:trHeight w:val="359" w:hRule="atLeast"/>
        </w:trPr>
        <w:tc>
          <w:tcPr>
            <w:tcW w:w="1572" w:type="dxa"/>
            <w:vMerge w:val="restart"/>
            <w:tcBorders>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552" w:right="534"/>
              <w:rPr>
                <w:rFonts w:ascii="宋体" w:eastAsia="宋体" w:hint="eastAsia"/>
                <w:b/>
                <w:sz w:val="21"/>
              </w:rPr>
            </w:pPr>
            <w:r>
              <w:rPr>
                <w:rFonts w:ascii="宋体" w:eastAsia="宋体" w:hint="eastAsia"/>
                <w:b/>
                <w:sz w:val="21"/>
              </w:rPr>
              <w:t>名称</w:t>
            </w:r>
          </w:p>
        </w:tc>
        <w:tc>
          <w:tcPr>
            <w:tcW w:w="2770" w:type="dxa"/>
            <w:gridSpan w:val="2"/>
            <w:tcBorders>
              <w:left w:val="single" w:sz="6" w:space="0" w:color="000000"/>
              <w:bottom w:val="single" w:sz="6" w:space="0" w:color="000000"/>
              <w:right w:val="single" w:sz="6" w:space="0" w:color="000000"/>
            </w:tcBorders>
          </w:tcPr>
          <w:p>
            <w:pPr>
              <w:pStyle w:val="TableParagraph"/>
              <w:spacing w:before="48"/>
              <w:ind w:left="758"/>
              <w:jc w:val="left"/>
              <w:rPr>
                <w:rFonts w:ascii="宋体" w:eastAsia="宋体" w:hint="eastAsia"/>
                <w:b/>
                <w:sz w:val="21"/>
              </w:rPr>
            </w:pPr>
            <w:r>
              <w:rPr>
                <w:rFonts w:ascii="宋体" w:eastAsia="宋体" w:hint="eastAsia"/>
                <w:b/>
                <w:sz w:val="21"/>
              </w:rPr>
              <w:t>面源中心坐标</w:t>
            </w:r>
          </w:p>
        </w:tc>
        <w:tc>
          <w:tcPr>
            <w:tcW w:w="1315" w:type="dxa"/>
            <w:vMerge w:val="restart"/>
            <w:tcBorders>
              <w:left w:val="single" w:sz="6" w:space="0" w:color="000000"/>
              <w:bottom w:val="single" w:sz="6" w:space="0" w:color="000000"/>
              <w:right w:val="single" w:sz="6" w:space="0" w:color="000000"/>
            </w:tcBorders>
          </w:tcPr>
          <w:p>
            <w:pPr>
              <w:pStyle w:val="TableParagraph"/>
              <w:spacing w:line="321" w:lineRule="auto" w:before="55"/>
              <w:ind w:left="156" w:right="124" w:firstLine="86"/>
              <w:jc w:val="left"/>
              <w:rPr>
                <w:rFonts w:ascii="宋体" w:eastAsia="宋体" w:hint="eastAsia"/>
                <w:b/>
                <w:sz w:val="21"/>
              </w:rPr>
            </w:pPr>
            <w:r>
              <w:rPr>
                <w:rFonts w:ascii="宋体" w:eastAsia="宋体" w:hint="eastAsia"/>
                <w:b/>
                <w:sz w:val="21"/>
              </w:rPr>
              <w:t>面源海拔高度（</w:t>
            </w:r>
            <w:r>
              <w:rPr>
                <w:b/>
                <w:sz w:val="21"/>
              </w:rPr>
              <w:t>m</w:t>
            </w:r>
            <w:r>
              <w:rPr>
                <w:rFonts w:ascii="宋体" w:eastAsia="宋体" w:hint="eastAsia"/>
                <w:b/>
                <w:sz w:val="21"/>
              </w:rPr>
              <w:t>）</w:t>
            </w:r>
          </w:p>
        </w:tc>
        <w:tc>
          <w:tcPr>
            <w:tcW w:w="1130" w:type="dxa"/>
            <w:vMerge w:val="restart"/>
            <w:tcBorders>
              <w:left w:val="single" w:sz="6" w:space="0" w:color="000000"/>
              <w:bottom w:val="single" w:sz="6" w:space="0" w:color="000000"/>
              <w:right w:val="single" w:sz="6" w:space="0" w:color="000000"/>
            </w:tcBorders>
          </w:tcPr>
          <w:p>
            <w:pPr>
              <w:pStyle w:val="TableParagraph"/>
              <w:spacing w:before="55"/>
              <w:ind w:left="129" w:right="96"/>
              <w:rPr>
                <w:rFonts w:ascii="宋体" w:eastAsia="宋体" w:hint="eastAsia"/>
                <w:b/>
                <w:sz w:val="21"/>
              </w:rPr>
            </w:pPr>
            <w:r>
              <w:rPr>
                <w:rFonts w:ascii="宋体" w:eastAsia="宋体" w:hint="eastAsia"/>
                <w:b/>
                <w:sz w:val="21"/>
              </w:rPr>
              <w:t>面源长度</w:t>
            </w:r>
          </w:p>
          <w:p>
            <w:pPr>
              <w:pStyle w:val="TableParagraph"/>
              <w:spacing w:before="91"/>
              <w:ind w:left="129" w:right="99"/>
              <w:rPr>
                <w:rFonts w:ascii="宋体" w:eastAsia="宋体" w:hint="eastAsia"/>
                <w:b/>
                <w:sz w:val="21"/>
              </w:rPr>
            </w:pPr>
            <w:r>
              <w:rPr>
                <w:rFonts w:ascii="宋体" w:eastAsia="宋体" w:hint="eastAsia"/>
                <w:b/>
                <w:sz w:val="21"/>
              </w:rPr>
              <w:t>（</w:t>
            </w:r>
            <w:r>
              <w:rPr>
                <w:b/>
                <w:sz w:val="21"/>
              </w:rPr>
              <w:t>m</w:t>
            </w:r>
            <w:r>
              <w:rPr>
                <w:rFonts w:ascii="宋体" w:eastAsia="宋体" w:hint="eastAsia"/>
                <w:b/>
                <w:sz w:val="21"/>
              </w:rPr>
              <w:t>）</w:t>
            </w:r>
          </w:p>
        </w:tc>
        <w:tc>
          <w:tcPr>
            <w:tcW w:w="1128" w:type="dxa"/>
            <w:vMerge w:val="restart"/>
            <w:tcBorders>
              <w:left w:val="single" w:sz="6" w:space="0" w:color="000000"/>
              <w:bottom w:val="single" w:sz="6" w:space="0" w:color="000000"/>
              <w:right w:val="single" w:sz="6" w:space="0" w:color="000000"/>
            </w:tcBorders>
          </w:tcPr>
          <w:p>
            <w:pPr>
              <w:pStyle w:val="TableParagraph"/>
              <w:spacing w:before="55"/>
              <w:ind w:left="132" w:right="96"/>
              <w:rPr>
                <w:rFonts w:ascii="宋体" w:eastAsia="宋体" w:hint="eastAsia"/>
                <w:b/>
                <w:sz w:val="21"/>
              </w:rPr>
            </w:pPr>
            <w:r>
              <w:rPr>
                <w:rFonts w:ascii="宋体" w:eastAsia="宋体" w:hint="eastAsia"/>
                <w:b/>
                <w:sz w:val="21"/>
              </w:rPr>
              <w:t>面源宽度</w:t>
            </w:r>
          </w:p>
          <w:p>
            <w:pPr>
              <w:pStyle w:val="TableParagraph"/>
              <w:spacing w:before="91"/>
              <w:ind w:left="129" w:right="96"/>
              <w:rPr>
                <w:rFonts w:ascii="宋体" w:eastAsia="宋体" w:hint="eastAsia"/>
                <w:b/>
                <w:sz w:val="21"/>
              </w:rPr>
            </w:pPr>
            <w:r>
              <w:rPr>
                <w:rFonts w:ascii="宋体" w:eastAsia="宋体" w:hint="eastAsia"/>
                <w:b/>
                <w:sz w:val="21"/>
              </w:rPr>
              <w:t>（</w:t>
            </w:r>
            <w:r>
              <w:rPr>
                <w:b/>
                <w:sz w:val="21"/>
              </w:rPr>
              <w:t>m</w:t>
            </w:r>
            <w:r>
              <w:rPr>
                <w:rFonts w:ascii="宋体" w:eastAsia="宋体" w:hint="eastAsia"/>
                <w:b/>
                <w:sz w:val="21"/>
              </w:rPr>
              <w:t>）</w:t>
            </w:r>
          </w:p>
        </w:tc>
        <w:tc>
          <w:tcPr>
            <w:tcW w:w="1219" w:type="dxa"/>
            <w:vMerge w:val="restart"/>
            <w:tcBorders>
              <w:left w:val="single" w:sz="6" w:space="0" w:color="000000"/>
              <w:bottom w:val="single" w:sz="6" w:space="0" w:color="000000"/>
              <w:right w:val="single" w:sz="6" w:space="0" w:color="000000"/>
            </w:tcBorders>
          </w:tcPr>
          <w:p>
            <w:pPr>
              <w:pStyle w:val="TableParagraph"/>
              <w:spacing w:line="321" w:lineRule="auto" w:before="55"/>
              <w:ind w:left="157" w:right="115" w:firstLine="40"/>
              <w:jc w:val="left"/>
              <w:rPr>
                <w:rFonts w:ascii="宋体" w:hAnsi="宋体" w:eastAsia="宋体" w:hint="eastAsia"/>
                <w:b/>
                <w:sz w:val="21"/>
              </w:rPr>
            </w:pPr>
            <w:r>
              <w:rPr>
                <w:rFonts w:ascii="宋体" w:hAnsi="宋体" w:eastAsia="宋体" w:hint="eastAsia"/>
                <w:b/>
                <w:sz w:val="21"/>
              </w:rPr>
              <w:t>与正北向夹角（</w:t>
            </w:r>
            <w:r>
              <w:rPr>
                <w:b/>
                <w:sz w:val="21"/>
              </w:rPr>
              <w:t>°</w:t>
            </w:r>
            <w:r>
              <w:rPr>
                <w:rFonts w:ascii="宋体" w:hAnsi="宋体" w:eastAsia="宋体" w:hint="eastAsia"/>
                <w:b/>
                <w:sz w:val="21"/>
              </w:rPr>
              <w:t>）</w:t>
            </w:r>
          </w:p>
        </w:tc>
        <w:tc>
          <w:tcPr>
            <w:tcW w:w="1577" w:type="dxa"/>
            <w:vMerge w:val="restart"/>
            <w:tcBorders>
              <w:left w:val="single" w:sz="6" w:space="0" w:color="000000"/>
              <w:bottom w:val="single" w:sz="6" w:space="0" w:color="000000"/>
              <w:right w:val="single" w:sz="6" w:space="0" w:color="000000"/>
            </w:tcBorders>
          </w:tcPr>
          <w:p>
            <w:pPr>
              <w:pStyle w:val="TableParagraph"/>
              <w:spacing w:line="321" w:lineRule="auto" w:before="55"/>
              <w:ind w:left="287" w:right="128" w:hanging="123"/>
              <w:jc w:val="left"/>
              <w:rPr>
                <w:rFonts w:ascii="宋体" w:eastAsia="宋体" w:hint="eastAsia"/>
                <w:b/>
                <w:sz w:val="21"/>
              </w:rPr>
            </w:pPr>
            <w:r>
              <w:rPr>
                <w:rFonts w:ascii="宋体" w:eastAsia="宋体" w:hint="eastAsia"/>
                <w:b/>
                <w:sz w:val="21"/>
              </w:rPr>
              <w:t>面源有效排放高度（</w:t>
            </w:r>
            <w:r>
              <w:rPr>
                <w:b/>
                <w:sz w:val="21"/>
              </w:rPr>
              <w:t>m</w:t>
            </w:r>
            <w:r>
              <w:rPr>
                <w:rFonts w:ascii="宋体" w:eastAsia="宋体" w:hint="eastAsia"/>
                <w:b/>
                <w:sz w:val="21"/>
              </w:rPr>
              <w:t>）</w:t>
            </w:r>
          </w:p>
        </w:tc>
        <w:tc>
          <w:tcPr>
            <w:tcW w:w="1254" w:type="dxa"/>
            <w:vMerge w:val="restart"/>
            <w:tcBorders>
              <w:left w:val="single" w:sz="6" w:space="0" w:color="000000"/>
              <w:bottom w:val="single" w:sz="6" w:space="0" w:color="000000"/>
              <w:right w:val="single" w:sz="6" w:space="0" w:color="000000"/>
            </w:tcBorders>
          </w:tcPr>
          <w:p>
            <w:pPr>
              <w:pStyle w:val="TableParagraph"/>
              <w:spacing w:line="321" w:lineRule="auto" w:before="55"/>
              <w:ind w:left="154" w:right="121" w:firstLine="57"/>
              <w:jc w:val="left"/>
              <w:rPr>
                <w:rFonts w:ascii="宋体" w:eastAsia="宋体" w:hint="eastAsia"/>
                <w:b/>
                <w:sz w:val="21"/>
              </w:rPr>
            </w:pPr>
            <w:r>
              <w:rPr>
                <w:rFonts w:ascii="宋体" w:eastAsia="宋体" w:hint="eastAsia"/>
                <w:b/>
                <w:sz w:val="21"/>
              </w:rPr>
              <w:t>年排放小时数（</w:t>
            </w:r>
            <w:r>
              <w:rPr>
                <w:b/>
                <w:sz w:val="21"/>
              </w:rPr>
              <w:t>h</w:t>
            </w:r>
            <w:r>
              <w:rPr>
                <w:rFonts w:ascii="宋体" w:eastAsia="宋体" w:hint="eastAsia"/>
                <w:b/>
                <w:sz w:val="21"/>
              </w:rPr>
              <w:t>）</w:t>
            </w:r>
          </w:p>
        </w:tc>
        <w:tc>
          <w:tcPr>
            <w:tcW w:w="677" w:type="dxa"/>
            <w:vMerge w:val="restart"/>
            <w:tcBorders>
              <w:left w:val="single" w:sz="6" w:space="0" w:color="000000"/>
              <w:bottom w:val="single" w:sz="6" w:space="0" w:color="000000"/>
              <w:right w:val="single" w:sz="6" w:space="0" w:color="000000"/>
            </w:tcBorders>
          </w:tcPr>
          <w:p>
            <w:pPr>
              <w:pStyle w:val="TableParagraph"/>
              <w:spacing w:line="321" w:lineRule="auto" w:before="55"/>
              <w:ind w:left="135" w:right="102"/>
              <w:jc w:val="left"/>
              <w:rPr>
                <w:rFonts w:ascii="宋体" w:eastAsia="宋体" w:hint="eastAsia"/>
                <w:b/>
                <w:sz w:val="21"/>
              </w:rPr>
            </w:pPr>
            <w:r>
              <w:rPr>
                <w:rFonts w:ascii="宋体" w:eastAsia="宋体" w:hint="eastAsia"/>
                <w:b/>
                <w:sz w:val="21"/>
              </w:rPr>
              <w:t>排放工况</w:t>
            </w:r>
          </w:p>
        </w:tc>
        <w:tc>
          <w:tcPr>
            <w:tcW w:w="905" w:type="dxa"/>
            <w:vMerge w:val="restart"/>
            <w:tcBorders>
              <w:left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144"/>
              <w:jc w:val="left"/>
              <w:rPr>
                <w:rFonts w:ascii="宋体" w:eastAsia="宋体" w:hint="eastAsia"/>
                <w:b/>
                <w:sz w:val="21"/>
              </w:rPr>
            </w:pPr>
            <w:r>
              <w:rPr>
                <w:rFonts w:ascii="宋体" w:eastAsia="宋体" w:hint="eastAsia"/>
                <w:b/>
                <w:sz w:val="21"/>
              </w:rPr>
              <w:t>污染物</w:t>
            </w:r>
          </w:p>
        </w:tc>
        <w:tc>
          <w:tcPr>
            <w:tcW w:w="1131" w:type="dxa"/>
            <w:vMerge w:val="restart"/>
            <w:tcBorders>
              <w:left w:val="single" w:sz="6" w:space="0" w:color="000000"/>
              <w:bottom w:val="single" w:sz="6" w:space="0" w:color="000000"/>
            </w:tcBorders>
          </w:tcPr>
          <w:p>
            <w:pPr>
              <w:pStyle w:val="TableParagraph"/>
              <w:spacing w:before="55"/>
              <w:ind w:left="151"/>
              <w:jc w:val="left"/>
              <w:rPr>
                <w:rFonts w:ascii="宋体" w:eastAsia="宋体" w:hint="eastAsia"/>
                <w:b/>
                <w:sz w:val="21"/>
              </w:rPr>
            </w:pPr>
            <w:r>
              <w:rPr>
                <w:rFonts w:ascii="宋体" w:eastAsia="宋体" w:hint="eastAsia"/>
                <w:b/>
                <w:sz w:val="21"/>
              </w:rPr>
              <w:t>排放速率</w:t>
            </w:r>
          </w:p>
          <w:p>
            <w:pPr>
              <w:pStyle w:val="TableParagraph"/>
              <w:spacing w:before="91"/>
              <w:ind w:left="163"/>
              <w:jc w:val="left"/>
              <w:rPr>
                <w:rFonts w:ascii="宋体" w:eastAsia="宋体" w:hint="eastAsia"/>
                <w:b/>
                <w:sz w:val="21"/>
              </w:rPr>
            </w:pPr>
            <w:r>
              <w:rPr>
                <w:rFonts w:ascii="宋体" w:eastAsia="宋体" w:hint="eastAsia"/>
                <w:b/>
                <w:sz w:val="21"/>
              </w:rPr>
              <w:t>（</w:t>
            </w:r>
            <w:r>
              <w:rPr>
                <w:b/>
                <w:sz w:val="21"/>
              </w:rPr>
              <w:t>kg/h</w:t>
            </w:r>
            <w:r>
              <w:rPr>
                <w:rFonts w:ascii="宋体" w:eastAsia="宋体" w:hint="eastAsia"/>
                <w:b/>
                <w:sz w:val="21"/>
              </w:rPr>
              <w:t>）</w:t>
            </w:r>
          </w:p>
        </w:tc>
      </w:tr>
      <w:tr>
        <w:trPr>
          <w:trHeight w:val="359" w:hRule="atLeast"/>
        </w:trPr>
        <w:tc>
          <w:tcPr>
            <w:tcW w:w="1572" w:type="dxa"/>
            <w:vMerge/>
            <w:tcBorders>
              <w:top w:val="nil"/>
              <w:bottom w:val="single" w:sz="6" w:space="0" w:color="000000"/>
              <w:right w:val="single" w:sz="6" w:space="0" w:color="000000"/>
            </w:tcBorders>
          </w:tcPr>
          <w:p>
            <w:pPr>
              <w:rPr>
                <w:sz w:val="2"/>
                <w:szCs w:val="2"/>
              </w:rPr>
            </w:pP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49"/>
              <w:ind w:left="135" w:right="108"/>
              <w:rPr>
                <w:rFonts w:ascii="宋体" w:eastAsia="宋体" w:hint="eastAsia"/>
                <w:b/>
                <w:sz w:val="21"/>
              </w:rPr>
            </w:pPr>
            <w:r>
              <w:rPr>
                <w:rFonts w:ascii="宋体" w:eastAsia="宋体" w:hint="eastAsia"/>
                <w:b/>
                <w:sz w:val="21"/>
              </w:rPr>
              <w:t>东经</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9"/>
              <w:ind w:left="468"/>
              <w:jc w:val="left"/>
              <w:rPr>
                <w:rFonts w:ascii="宋体" w:eastAsia="宋体" w:hint="eastAsia"/>
                <w:b/>
                <w:sz w:val="21"/>
              </w:rPr>
            </w:pPr>
            <w:r>
              <w:rPr>
                <w:rFonts w:ascii="宋体" w:eastAsia="宋体" w:hint="eastAsia"/>
                <w:b/>
                <w:sz w:val="21"/>
              </w:rPr>
              <w:t>北纬</w:t>
            </w: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vMerge/>
            <w:tcBorders>
              <w:top w:val="nil"/>
              <w:left w:val="single" w:sz="6" w:space="0" w:color="000000"/>
              <w:bottom w:val="single" w:sz="6" w:space="0" w:color="000000"/>
              <w:right w:val="single" w:sz="6" w:space="0" w:color="000000"/>
            </w:tcBorders>
          </w:tcPr>
          <w:p>
            <w:pPr>
              <w:rPr>
                <w:sz w:val="2"/>
                <w:szCs w:val="2"/>
              </w:rPr>
            </w:pPr>
          </w:p>
        </w:tc>
        <w:tc>
          <w:tcPr>
            <w:tcW w:w="1131" w:type="dxa"/>
            <w:vMerge/>
            <w:tcBorders>
              <w:top w:val="nil"/>
              <w:left w:val="single" w:sz="6" w:space="0" w:color="000000"/>
              <w:bottom w:val="single" w:sz="6" w:space="0" w:color="000000"/>
            </w:tcBorders>
          </w:tcPr>
          <w:p>
            <w:pPr>
              <w:rPr>
                <w:sz w:val="2"/>
                <w:szCs w:val="2"/>
              </w:rPr>
            </w:pPr>
          </w:p>
        </w:tc>
      </w:tr>
      <w:tr>
        <w:trPr>
          <w:trHeight w:val="359" w:hRule="atLeast"/>
        </w:trPr>
        <w:tc>
          <w:tcPr>
            <w:tcW w:w="1572" w:type="dxa"/>
            <w:vMerge/>
            <w:tcBorders>
              <w:top w:val="nil"/>
              <w:bottom w:val="single" w:sz="6" w:space="0" w:color="000000"/>
              <w:right w:val="single" w:sz="6" w:space="0" w:color="000000"/>
            </w:tcBorders>
          </w:tcPr>
          <w:p>
            <w:pPr>
              <w:rPr>
                <w:sz w:val="2"/>
                <w:szCs w:val="2"/>
              </w:rPr>
            </w:pP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0.0123</w:t>
            </w:r>
          </w:p>
        </w:tc>
      </w:tr>
      <w:tr>
        <w:trPr>
          <w:trHeight w:val="359"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车间一 </w:t>
            </w:r>
            <w:r>
              <w:rPr>
                <w:position w:val="1"/>
                <w:sz w:val="21"/>
              </w:rPr>
              <w:t>4 </w:t>
            </w:r>
            <w:r>
              <w:rPr>
                <w:rFonts w:ascii="宋体" w:eastAsia="宋体" w:hint="eastAsia"/>
                <w:sz w:val="21"/>
              </w:rPr>
              <w:t>层</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120.460267E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30.009174N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9" w:right="96"/>
              <w:rPr>
                <w:sz w:val="21"/>
              </w:rPr>
            </w:pPr>
            <w:r>
              <w:rPr>
                <w:sz w:val="21"/>
              </w:rPr>
              <w:t>226</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7" w:right="96"/>
              <w:rPr>
                <w:sz w:val="21"/>
              </w:rPr>
            </w:pPr>
            <w:r>
              <w:rPr>
                <w:sz w:val="21"/>
              </w:rPr>
              <w:t>50</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45" w:right="111"/>
              <w:rPr>
                <w:sz w:val="21"/>
              </w:rPr>
            </w:pPr>
            <w:r>
              <w:rPr>
                <w:sz w:val="21"/>
              </w:rPr>
              <w:t>15.2</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0.0079</w:t>
            </w:r>
          </w:p>
        </w:tc>
      </w:tr>
      <w:tr>
        <w:trPr>
          <w:trHeight w:val="356"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0.0013</w:t>
            </w:r>
          </w:p>
        </w:tc>
      </w:tr>
      <w:tr>
        <w:trPr>
          <w:trHeight w:val="360"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6"/>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车间二 </w:t>
            </w:r>
            <w:r>
              <w:rPr>
                <w:position w:val="1"/>
                <w:sz w:val="21"/>
              </w:rPr>
              <w:t>1 </w:t>
            </w:r>
            <w:r>
              <w:rPr>
                <w:rFonts w:ascii="宋体" w:eastAsia="宋体" w:hint="eastAsia"/>
                <w:sz w:val="21"/>
              </w:rPr>
              <w:t>层</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158"/>
              <w:jc w:val="left"/>
              <w:rPr>
                <w:sz w:val="21"/>
              </w:rPr>
            </w:pPr>
            <w:r>
              <w:rPr>
                <w:sz w:val="21"/>
              </w:rPr>
              <w:t>120.459915E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158"/>
              <w:jc w:val="left"/>
              <w:rPr>
                <w:sz w:val="21"/>
              </w:rPr>
            </w:pPr>
            <w:r>
              <w:rPr>
                <w:sz w:val="21"/>
              </w:rPr>
              <w:t>30.008597N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129" w:right="96"/>
              <w:rPr>
                <w:sz w:val="21"/>
              </w:rPr>
            </w:pPr>
            <w:r>
              <w:rPr>
                <w:sz w:val="21"/>
              </w:rPr>
              <w:t>157</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127" w:right="96"/>
              <w:rPr>
                <w:sz w:val="21"/>
              </w:rPr>
            </w:pPr>
            <w:r>
              <w:rPr>
                <w:sz w:val="21"/>
              </w:rPr>
              <w:t>50</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145" w:right="111"/>
              <w:rPr>
                <w:sz w:val="21"/>
              </w:rPr>
            </w:pPr>
            <w:r>
              <w:rPr>
                <w:sz w:val="21"/>
              </w:rPr>
              <w:t>3.8</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1"/>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60"/>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spacing w:before="61"/>
              <w:ind w:right="242"/>
              <w:jc w:val="right"/>
              <w:rPr>
                <w:sz w:val="21"/>
              </w:rPr>
            </w:pPr>
            <w:r>
              <w:rPr>
                <w:sz w:val="21"/>
              </w:rPr>
              <w:t>0.0354</w:t>
            </w:r>
          </w:p>
        </w:tc>
      </w:tr>
      <w:tr>
        <w:trPr>
          <w:trHeight w:val="359"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0.0045</w:t>
            </w:r>
          </w:p>
        </w:tc>
      </w:tr>
      <w:tr>
        <w:trPr>
          <w:trHeight w:val="359"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车间二 </w:t>
            </w:r>
            <w:r>
              <w:rPr>
                <w:position w:val="1"/>
                <w:sz w:val="21"/>
              </w:rPr>
              <w:t>2 </w:t>
            </w:r>
            <w:r>
              <w:rPr>
                <w:rFonts w:ascii="宋体" w:eastAsia="宋体" w:hint="eastAsia"/>
                <w:sz w:val="21"/>
              </w:rPr>
              <w:t>层</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120.459915E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30.008597N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9" w:right="96"/>
              <w:rPr>
                <w:sz w:val="21"/>
              </w:rPr>
            </w:pPr>
            <w:r>
              <w:rPr>
                <w:sz w:val="21"/>
              </w:rPr>
              <w:t>157</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7" w:right="96"/>
              <w:rPr>
                <w:sz w:val="21"/>
              </w:rPr>
            </w:pPr>
            <w:r>
              <w:rPr>
                <w:sz w:val="21"/>
              </w:rPr>
              <w:t>50</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45" w:right="111"/>
              <w:rPr>
                <w:sz w:val="21"/>
              </w:rPr>
            </w:pPr>
            <w:r>
              <w:rPr>
                <w:sz w:val="21"/>
              </w:rPr>
              <w:t>7.6</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0.0354</w:t>
            </w:r>
          </w:p>
        </w:tc>
      </w:tr>
      <w:tr>
        <w:trPr>
          <w:trHeight w:val="357"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0.0045</w:t>
            </w:r>
          </w:p>
        </w:tc>
      </w:tr>
      <w:tr>
        <w:trPr>
          <w:trHeight w:val="359"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车间二 </w:t>
            </w:r>
            <w:r>
              <w:rPr>
                <w:position w:val="1"/>
                <w:sz w:val="21"/>
              </w:rPr>
              <w:t>3 </w:t>
            </w:r>
            <w:r>
              <w:rPr>
                <w:rFonts w:ascii="宋体" w:eastAsia="宋体" w:hint="eastAsia"/>
                <w:sz w:val="21"/>
              </w:rPr>
              <w:t>层</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120.459915E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30.008597N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29" w:right="96"/>
              <w:rPr>
                <w:sz w:val="21"/>
              </w:rPr>
            </w:pPr>
            <w:r>
              <w:rPr>
                <w:sz w:val="21"/>
              </w:rPr>
              <w:t>157</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27" w:right="96"/>
              <w:rPr>
                <w:sz w:val="21"/>
              </w:rPr>
            </w:pPr>
            <w:r>
              <w:rPr>
                <w:sz w:val="21"/>
              </w:rPr>
              <w:t>50</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43" w:right="111"/>
              <w:rPr>
                <w:sz w:val="21"/>
              </w:rPr>
            </w:pPr>
            <w:r>
              <w:rPr>
                <w:sz w:val="21"/>
              </w:rPr>
              <w:t>11.4</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9"/>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spacing w:before="60"/>
              <w:ind w:right="242"/>
              <w:jc w:val="right"/>
              <w:rPr>
                <w:sz w:val="21"/>
              </w:rPr>
            </w:pPr>
            <w:r>
              <w:rPr>
                <w:sz w:val="21"/>
              </w:rPr>
              <w:t>0.0279</w:t>
            </w:r>
          </w:p>
        </w:tc>
      </w:tr>
      <w:tr>
        <w:trPr>
          <w:trHeight w:val="359"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0.0080</w:t>
            </w:r>
          </w:p>
        </w:tc>
      </w:tr>
      <w:tr>
        <w:trPr>
          <w:trHeight w:val="359"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车间二 </w:t>
            </w:r>
            <w:r>
              <w:rPr>
                <w:position w:val="1"/>
                <w:sz w:val="21"/>
              </w:rPr>
              <w:t>4 </w:t>
            </w:r>
            <w:r>
              <w:rPr>
                <w:rFonts w:ascii="宋体" w:eastAsia="宋体" w:hint="eastAsia"/>
                <w:sz w:val="21"/>
              </w:rPr>
              <w:t>层</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120.459915E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30.008597N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rFonts w:ascii="宋体"/>
                <w:b/>
                <w:sz w:val="19"/>
              </w:rPr>
            </w:pPr>
          </w:p>
          <w:p>
            <w:pPr>
              <w:pStyle w:val="TableParagraph"/>
              <w:spacing w:before="0"/>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rFonts w:ascii="宋体"/>
                <w:b/>
                <w:sz w:val="19"/>
              </w:rPr>
            </w:pPr>
          </w:p>
          <w:p>
            <w:pPr>
              <w:pStyle w:val="TableParagraph"/>
              <w:spacing w:before="0"/>
              <w:ind w:left="129" w:right="96"/>
              <w:rPr>
                <w:sz w:val="21"/>
              </w:rPr>
            </w:pPr>
            <w:r>
              <w:rPr>
                <w:sz w:val="21"/>
              </w:rPr>
              <w:t>157</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rFonts w:ascii="宋体"/>
                <w:b/>
                <w:sz w:val="19"/>
              </w:rPr>
            </w:pPr>
          </w:p>
          <w:p>
            <w:pPr>
              <w:pStyle w:val="TableParagraph"/>
              <w:spacing w:before="0"/>
              <w:ind w:left="127" w:right="96"/>
              <w:rPr>
                <w:sz w:val="21"/>
              </w:rPr>
            </w:pPr>
            <w:r>
              <w:rPr>
                <w:sz w:val="21"/>
              </w:rPr>
              <w:t>50</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rFonts w:ascii="宋体"/>
                <w:b/>
                <w:sz w:val="19"/>
              </w:rPr>
            </w:pPr>
          </w:p>
          <w:p>
            <w:pPr>
              <w:pStyle w:val="TableParagraph"/>
              <w:spacing w:before="0"/>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rFonts w:ascii="宋体"/>
                <w:b/>
                <w:sz w:val="19"/>
              </w:rPr>
            </w:pPr>
          </w:p>
          <w:p>
            <w:pPr>
              <w:pStyle w:val="TableParagraph"/>
              <w:spacing w:before="0"/>
              <w:ind w:left="145" w:right="111"/>
              <w:rPr>
                <w:sz w:val="21"/>
              </w:rPr>
            </w:pPr>
            <w:r>
              <w:rPr>
                <w:sz w:val="21"/>
              </w:rPr>
              <w:t>15.2</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
              <w:jc w:val="left"/>
              <w:rPr>
                <w:rFonts w:ascii="宋体"/>
                <w:b/>
                <w:sz w:val="19"/>
              </w:rPr>
            </w:pPr>
          </w:p>
          <w:p>
            <w:pPr>
              <w:pStyle w:val="TableParagraph"/>
              <w:spacing w:before="0"/>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0.0205</w:t>
            </w:r>
          </w:p>
        </w:tc>
      </w:tr>
      <w:tr>
        <w:trPr>
          <w:trHeight w:val="356"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0.0050</w:t>
            </w:r>
          </w:p>
        </w:tc>
      </w:tr>
      <w:tr>
        <w:trPr>
          <w:trHeight w:val="359" w:hRule="atLeast"/>
        </w:trPr>
        <w:tc>
          <w:tcPr>
            <w:tcW w:w="157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469"/>
              <w:jc w:val="left"/>
              <w:rPr>
                <w:rFonts w:ascii="宋体" w:eastAsia="宋体" w:hint="eastAsia"/>
                <w:sz w:val="21"/>
              </w:rPr>
            </w:pPr>
            <w:r>
              <w:rPr>
                <w:rFonts w:ascii="宋体" w:eastAsia="宋体" w:hint="eastAsia"/>
                <w:sz w:val="21"/>
              </w:rPr>
              <w:t>隔离舍</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120.458183E</w:t>
            </w:r>
          </w:p>
        </w:tc>
        <w:tc>
          <w:tcPr>
            <w:tcW w:w="134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30.007947N</w:t>
            </w:r>
          </w:p>
        </w:tc>
        <w:tc>
          <w:tcPr>
            <w:tcW w:w="13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11" w:right="81"/>
              <w:rPr>
                <w:sz w:val="21"/>
              </w:rPr>
            </w:pPr>
            <w:r>
              <w:rPr>
                <w:sz w:val="21"/>
              </w:rPr>
              <w:t>20</w:t>
            </w: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27" w:right="99"/>
              <w:rPr>
                <w:sz w:val="21"/>
              </w:rPr>
            </w:pPr>
            <w:r>
              <w:rPr>
                <w:sz w:val="21"/>
              </w:rPr>
              <w:t>50</w:t>
            </w:r>
          </w:p>
        </w:tc>
        <w:tc>
          <w:tcPr>
            <w:tcW w:w="11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27" w:right="96"/>
              <w:rPr>
                <w:sz w:val="21"/>
              </w:rPr>
            </w:pPr>
            <w:r>
              <w:rPr>
                <w:sz w:val="21"/>
              </w:rPr>
              <w:t>35</w:t>
            </w:r>
          </w:p>
        </w:tc>
        <w:tc>
          <w:tcPr>
            <w:tcW w:w="1219"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37"/>
              <w:rPr>
                <w:sz w:val="21"/>
              </w:rPr>
            </w:pPr>
            <w:r>
              <w:rPr>
                <w:w w:val="100"/>
                <w:sz w:val="21"/>
              </w:rPr>
              <w:t>0</w:t>
            </w: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45" w:right="111"/>
              <w:rPr>
                <w:sz w:val="21"/>
              </w:rPr>
            </w:pPr>
            <w:r>
              <w:rPr>
                <w:sz w:val="21"/>
              </w:rPr>
              <w:t>3.8</w:t>
            </w:r>
          </w:p>
        </w:tc>
        <w:tc>
          <w:tcPr>
            <w:tcW w:w="125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424"/>
              <w:jc w:val="left"/>
              <w:rPr>
                <w:sz w:val="21"/>
              </w:rPr>
            </w:pPr>
            <w:r>
              <w:rPr>
                <w:sz w:val="21"/>
              </w:rPr>
              <w:t>8760</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9"/>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spacing w:before="60"/>
              <w:ind w:right="246"/>
              <w:jc w:val="right"/>
              <w:rPr>
                <w:sz w:val="21"/>
              </w:rPr>
            </w:pPr>
            <w:r>
              <w:rPr>
                <w:sz w:val="21"/>
              </w:rPr>
              <w:t>0.0211</w:t>
            </w:r>
          </w:p>
        </w:tc>
      </w:tr>
      <w:tr>
        <w:trPr>
          <w:trHeight w:val="359" w:hRule="atLeast"/>
        </w:trPr>
        <w:tc>
          <w:tcPr>
            <w:tcW w:w="1572"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315"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1128" w:type="dxa"/>
            <w:vMerge/>
            <w:tcBorders>
              <w:top w:val="nil"/>
              <w:left w:val="single" w:sz="6" w:space="0" w:color="000000"/>
              <w:bottom w:val="single" w:sz="6" w:space="0" w:color="000000"/>
              <w:right w:val="single" w:sz="6" w:space="0" w:color="000000"/>
            </w:tcBorders>
          </w:tcPr>
          <w:p>
            <w:pPr>
              <w:rPr>
                <w:sz w:val="2"/>
                <w:szCs w:val="2"/>
              </w:rPr>
            </w:pPr>
          </w:p>
        </w:tc>
        <w:tc>
          <w:tcPr>
            <w:tcW w:w="1219" w:type="dxa"/>
            <w:vMerge/>
            <w:tcBorders>
              <w:top w:val="nil"/>
              <w:left w:val="single" w:sz="6" w:space="0" w:color="000000"/>
              <w:bottom w:val="single" w:sz="6" w:space="0" w:color="000000"/>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254" w:type="dxa"/>
            <w:vMerge/>
            <w:tcBorders>
              <w:top w:val="nil"/>
              <w:left w:val="single" w:sz="6" w:space="0" w:color="000000"/>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0.0021</w:t>
            </w:r>
          </w:p>
        </w:tc>
      </w:tr>
      <w:tr>
        <w:trPr>
          <w:trHeight w:val="351" w:hRule="atLeast"/>
        </w:trPr>
        <w:tc>
          <w:tcPr>
            <w:tcW w:w="1572" w:type="dxa"/>
            <w:vMerge w:val="restart"/>
            <w:tcBorders>
              <w:top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258"/>
              <w:jc w:val="left"/>
              <w:rPr>
                <w:rFonts w:ascii="宋体" w:eastAsia="宋体" w:hint="eastAsia"/>
                <w:sz w:val="21"/>
              </w:rPr>
            </w:pPr>
            <w:r>
              <w:rPr>
                <w:rFonts w:ascii="宋体" w:eastAsia="宋体" w:hint="eastAsia"/>
                <w:sz w:val="21"/>
              </w:rPr>
              <w:t>粪污处理区</w:t>
            </w:r>
          </w:p>
        </w:tc>
        <w:tc>
          <w:tcPr>
            <w:tcW w:w="1428" w:type="dxa"/>
            <w:vMerge w:val="restart"/>
            <w:tcBorders>
              <w:top w:val="single" w:sz="6" w:space="0" w:color="000000"/>
              <w:left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120.459489E</w:t>
            </w:r>
          </w:p>
        </w:tc>
        <w:tc>
          <w:tcPr>
            <w:tcW w:w="1342" w:type="dxa"/>
            <w:vMerge w:val="restart"/>
            <w:tcBorders>
              <w:top w:val="single" w:sz="6" w:space="0" w:color="000000"/>
              <w:left w:val="single" w:sz="6" w:space="0" w:color="000000"/>
              <w:right w:val="single" w:sz="6" w:space="0" w:color="000000"/>
            </w:tcBorders>
          </w:tcPr>
          <w:p>
            <w:pPr>
              <w:pStyle w:val="TableParagraph"/>
              <w:spacing w:before="4"/>
              <w:jc w:val="left"/>
              <w:rPr>
                <w:rFonts w:ascii="宋体"/>
                <w:b/>
                <w:sz w:val="19"/>
              </w:rPr>
            </w:pPr>
          </w:p>
          <w:p>
            <w:pPr>
              <w:pStyle w:val="TableParagraph"/>
              <w:spacing w:before="0"/>
              <w:ind w:left="158"/>
              <w:jc w:val="left"/>
              <w:rPr>
                <w:sz w:val="21"/>
              </w:rPr>
            </w:pPr>
            <w:r>
              <w:rPr>
                <w:sz w:val="21"/>
              </w:rPr>
              <w:t>30.009662N</w:t>
            </w:r>
          </w:p>
        </w:tc>
        <w:tc>
          <w:tcPr>
            <w:tcW w:w="1315" w:type="dxa"/>
            <w:vMerge w:val="restart"/>
            <w:tcBorders>
              <w:top w:val="single" w:sz="6" w:space="0" w:color="000000"/>
              <w:left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11" w:right="81"/>
              <w:rPr>
                <w:sz w:val="21"/>
              </w:rPr>
            </w:pPr>
            <w:r>
              <w:rPr>
                <w:sz w:val="21"/>
              </w:rPr>
              <w:t>20</w:t>
            </w:r>
          </w:p>
        </w:tc>
        <w:tc>
          <w:tcPr>
            <w:tcW w:w="1130" w:type="dxa"/>
            <w:vMerge w:val="restart"/>
            <w:tcBorders>
              <w:top w:val="single" w:sz="6" w:space="0" w:color="000000"/>
              <w:left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7" w:right="99"/>
              <w:rPr>
                <w:sz w:val="21"/>
              </w:rPr>
            </w:pPr>
            <w:r>
              <w:rPr>
                <w:sz w:val="21"/>
              </w:rPr>
              <w:t>85</w:t>
            </w:r>
          </w:p>
        </w:tc>
        <w:tc>
          <w:tcPr>
            <w:tcW w:w="1128" w:type="dxa"/>
            <w:vMerge w:val="restart"/>
            <w:tcBorders>
              <w:top w:val="single" w:sz="6" w:space="0" w:color="000000"/>
              <w:left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27" w:right="96"/>
              <w:rPr>
                <w:sz w:val="21"/>
              </w:rPr>
            </w:pPr>
            <w:r>
              <w:rPr>
                <w:sz w:val="21"/>
              </w:rPr>
              <w:t>50</w:t>
            </w:r>
          </w:p>
        </w:tc>
        <w:tc>
          <w:tcPr>
            <w:tcW w:w="1219" w:type="dxa"/>
            <w:vMerge w:val="restart"/>
            <w:tcBorders>
              <w:top w:val="single" w:sz="6" w:space="0" w:color="000000"/>
              <w:left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37"/>
              <w:rPr>
                <w:sz w:val="21"/>
              </w:rPr>
            </w:pPr>
            <w:r>
              <w:rPr>
                <w:w w:val="100"/>
                <w:sz w:val="21"/>
              </w:rPr>
              <w:t>0</w:t>
            </w:r>
          </w:p>
        </w:tc>
        <w:tc>
          <w:tcPr>
            <w:tcW w:w="1577" w:type="dxa"/>
            <w:vMerge w:val="restart"/>
            <w:tcBorders>
              <w:top w:val="single" w:sz="6" w:space="0" w:color="000000"/>
              <w:left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29"/>
              <w:rPr>
                <w:sz w:val="21"/>
              </w:rPr>
            </w:pPr>
            <w:r>
              <w:rPr>
                <w:w w:val="100"/>
                <w:sz w:val="21"/>
              </w:rPr>
              <w:t>5</w:t>
            </w:r>
          </w:p>
        </w:tc>
        <w:tc>
          <w:tcPr>
            <w:tcW w:w="1254" w:type="dxa"/>
            <w:vMerge w:val="restart"/>
            <w:tcBorders>
              <w:top w:val="single" w:sz="6" w:space="0" w:color="000000"/>
              <w:left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424"/>
              <w:jc w:val="left"/>
              <w:rPr>
                <w:sz w:val="21"/>
              </w:rPr>
            </w:pPr>
            <w:r>
              <w:rPr>
                <w:sz w:val="21"/>
              </w:rPr>
              <w:t>8760</w:t>
            </w:r>
          </w:p>
        </w:tc>
        <w:tc>
          <w:tcPr>
            <w:tcW w:w="677" w:type="dxa"/>
            <w:vMerge w:val="restart"/>
            <w:tcBorders>
              <w:top w:val="single" w:sz="6" w:space="0" w:color="000000"/>
              <w:left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37"/>
              <w:jc w:val="left"/>
              <w:rPr>
                <w:rFonts w:ascii="宋体" w:eastAsia="宋体" w:hint="eastAsia"/>
                <w:sz w:val="21"/>
              </w:rPr>
            </w:pPr>
            <w:r>
              <w:rPr>
                <w:rFonts w:ascii="宋体" w:eastAsia="宋体" w:hint="eastAsia"/>
                <w:sz w:val="21"/>
              </w:rPr>
              <w:t>连续</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before="57"/>
              <w:ind w:left="32"/>
              <w:rPr>
                <w:sz w:val="14"/>
              </w:rPr>
            </w:pPr>
            <w:r>
              <w:rPr>
                <w:position w:val="2"/>
                <w:sz w:val="21"/>
              </w:rPr>
              <w:t>NH</w:t>
            </w:r>
            <w:r>
              <w:rPr>
                <w:sz w:val="14"/>
              </w:rPr>
              <w:t>3</w:t>
            </w:r>
          </w:p>
        </w:tc>
        <w:tc>
          <w:tcPr>
            <w:tcW w:w="1131" w:type="dxa"/>
            <w:tcBorders>
              <w:top w:val="single" w:sz="6" w:space="0" w:color="000000"/>
              <w:left w:val="single" w:sz="6" w:space="0" w:color="000000"/>
              <w:bottom w:val="single" w:sz="6" w:space="0" w:color="000000"/>
            </w:tcBorders>
          </w:tcPr>
          <w:p>
            <w:pPr>
              <w:pStyle w:val="TableParagraph"/>
              <w:ind w:right="242"/>
              <w:jc w:val="right"/>
              <w:rPr>
                <w:sz w:val="21"/>
              </w:rPr>
            </w:pPr>
            <w:r>
              <w:rPr>
                <w:sz w:val="21"/>
              </w:rPr>
              <w:t>0.1092</w:t>
            </w:r>
          </w:p>
        </w:tc>
      </w:tr>
      <w:tr>
        <w:trPr>
          <w:trHeight w:val="351" w:hRule="atLeast"/>
        </w:trPr>
        <w:tc>
          <w:tcPr>
            <w:tcW w:w="1572" w:type="dxa"/>
            <w:vMerge/>
            <w:tcBorders>
              <w:top w:val="nil"/>
              <w:right w:val="single" w:sz="6" w:space="0" w:color="000000"/>
            </w:tcBorders>
          </w:tcPr>
          <w:p>
            <w:pPr>
              <w:rPr>
                <w:sz w:val="2"/>
                <w:szCs w:val="2"/>
              </w:rPr>
            </w:pPr>
          </w:p>
        </w:tc>
        <w:tc>
          <w:tcPr>
            <w:tcW w:w="1428" w:type="dxa"/>
            <w:vMerge/>
            <w:tcBorders>
              <w:top w:val="nil"/>
              <w:left w:val="single" w:sz="6" w:space="0" w:color="000000"/>
              <w:right w:val="single" w:sz="6" w:space="0" w:color="000000"/>
            </w:tcBorders>
          </w:tcPr>
          <w:p>
            <w:pPr>
              <w:rPr>
                <w:sz w:val="2"/>
                <w:szCs w:val="2"/>
              </w:rPr>
            </w:pPr>
          </w:p>
        </w:tc>
        <w:tc>
          <w:tcPr>
            <w:tcW w:w="1342" w:type="dxa"/>
            <w:vMerge/>
            <w:tcBorders>
              <w:top w:val="nil"/>
              <w:left w:val="single" w:sz="6" w:space="0" w:color="000000"/>
              <w:right w:val="single" w:sz="6" w:space="0" w:color="000000"/>
            </w:tcBorders>
          </w:tcPr>
          <w:p>
            <w:pPr>
              <w:rPr>
                <w:sz w:val="2"/>
                <w:szCs w:val="2"/>
              </w:rPr>
            </w:pPr>
          </w:p>
        </w:tc>
        <w:tc>
          <w:tcPr>
            <w:tcW w:w="1315" w:type="dxa"/>
            <w:vMerge/>
            <w:tcBorders>
              <w:top w:val="nil"/>
              <w:left w:val="single" w:sz="6" w:space="0" w:color="000000"/>
              <w:right w:val="single" w:sz="6" w:space="0" w:color="000000"/>
            </w:tcBorders>
          </w:tcPr>
          <w:p>
            <w:pPr>
              <w:rPr>
                <w:sz w:val="2"/>
                <w:szCs w:val="2"/>
              </w:rPr>
            </w:pPr>
          </w:p>
        </w:tc>
        <w:tc>
          <w:tcPr>
            <w:tcW w:w="1130" w:type="dxa"/>
            <w:vMerge/>
            <w:tcBorders>
              <w:top w:val="nil"/>
              <w:left w:val="single" w:sz="6" w:space="0" w:color="000000"/>
              <w:right w:val="single" w:sz="6" w:space="0" w:color="000000"/>
            </w:tcBorders>
          </w:tcPr>
          <w:p>
            <w:pPr>
              <w:rPr>
                <w:sz w:val="2"/>
                <w:szCs w:val="2"/>
              </w:rPr>
            </w:pPr>
          </w:p>
        </w:tc>
        <w:tc>
          <w:tcPr>
            <w:tcW w:w="1128" w:type="dxa"/>
            <w:vMerge/>
            <w:tcBorders>
              <w:top w:val="nil"/>
              <w:left w:val="single" w:sz="6" w:space="0" w:color="000000"/>
              <w:right w:val="single" w:sz="6" w:space="0" w:color="000000"/>
            </w:tcBorders>
          </w:tcPr>
          <w:p>
            <w:pPr>
              <w:rPr>
                <w:sz w:val="2"/>
                <w:szCs w:val="2"/>
              </w:rPr>
            </w:pPr>
          </w:p>
        </w:tc>
        <w:tc>
          <w:tcPr>
            <w:tcW w:w="1219" w:type="dxa"/>
            <w:vMerge/>
            <w:tcBorders>
              <w:top w:val="nil"/>
              <w:left w:val="single" w:sz="6" w:space="0" w:color="000000"/>
              <w:right w:val="single" w:sz="6" w:space="0" w:color="000000"/>
            </w:tcBorders>
          </w:tcPr>
          <w:p>
            <w:pPr>
              <w:rPr>
                <w:sz w:val="2"/>
                <w:szCs w:val="2"/>
              </w:rPr>
            </w:pPr>
          </w:p>
        </w:tc>
        <w:tc>
          <w:tcPr>
            <w:tcW w:w="1577" w:type="dxa"/>
            <w:vMerge/>
            <w:tcBorders>
              <w:top w:val="nil"/>
              <w:left w:val="single" w:sz="6" w:space="0" w:color="000000"/>
              <w:right w:val="single" w:sz="6" w:space="0" w:color="000000"/>
            </w:tcBorders>
          </w:tcPr>
          <w:p>
            <w:pPr>
              <w:rPr>
                <w:sz w:val="2"/>
                <w:szCs w:val="2"/>
              </w:rPr>
            </w:pPr>
          </w:p>
        </w:tc>
        <w:tc>
          <w:tcPr>
            <w:tcW w:w="1254" w:type="dxa"/>
            <w:vMerge/>
            <w:tcBorders>
              <w:top w:val="nil"/>
              <w:left w:val="single" w:sz="6" w:space="0" w:color="000000"/>
              <w:right w:val="single" w:sz="6" w:space="0" w:color="000000"/>
            </w:tcBorders>
          </w:tcPr>
          <w:p>
            <w:pPr>
              <w:rPr>
                <w:sz w:val="2"/>
                <w:szCs w:val="2"/>
              </w:rPr>
            </w:pPr>
          </w:p>
        </w:tc>
        <w:tc>
          <w:tcPr>
            <w:tcW w:w="677" w:type="dxa"/>
            <w:vMerge/>
            <w:tcBorders>
              <w:top w:val="nil"/>
              <w:left w:val="single" w:sz="6" w:space="0" w:color="000000"/>
              <w:right w:val="single" w:sz="6" w:space="0" w:color="000000"/>
            </w:tcBorders>
          </w:tcPr>
          <w:p>
            <w:pPr>
              <w:rPr>
                <w:sz w:val="2"/>
                <w:szCs w:val="2"/>
              </w:rPr>
            </w:pPr>
          </w:p>
        </w:tc>
        <w:tc>
          <w:tcPr>
            <w:tcW w:w="905" w:type="dxa"/>
            <w:tcBorders>
              <w:top w:val="single" w:sz="6" w:space="0" w:color="000000"/>
              <w:left w:val="single" w:sz="6" w:space="0" w:color="000000"/>
              <w:right w:val="single" w:sz="6" w:space="0" w:color="000000"/>
            </w:tcBorders>
          </w:tcPr>
          <w:p>
            <w:pPr>
              <w:pStyle w:val="TableParagraph"/>
              <w:spacing w:before="49"/>
              <w:ind w:left="37"/>
              <w:rPr>
                <w:sz w:val="21"/>
              </w:rPr>
            </w:pPr>
            <w:r>
              <w:rPr>
                <w:position w:val="2"/>
                <w:sz w:val="21"/>
              </w:rPr>
              <w:t>H</w:t>
            </w:r>
            <w:r>
              <w:rPr>
                <w:sz w:val="14"/>
              </w:rPr>
              <w:t>2</w:t>
            </w:r>
            <w:r>
              <w:rPr>
                <w:position w:val="2"/>
                <w:sz w:val="21"/>
              </w:rPr>
              <w:t>S</w:t>
            </w:r>
          </w:p>
        </w:tc>
        <w:tc>
          <w:tcPr>
            <w:tcW w:w="1131" w:type="dxa"/>
            <w:tcBorders>
              <w:top w:val="single" w:sz="6" w:space="0" w:color="000000"/>
              <w:left w:val="single" w:sz="6" w:space="0" w:color="000000"/>
            </w:tcBorders>
          </w:tcPr>
          <w:p>
            <w:pPr>
              <w:pStyle w:val="TableParagraph"/>
              <w:spacing w:before="50"/>
              <w:ind w:right="242"/>
              <w:jc w:val="right"/>
              <w:rPr>
                <w:sz w:val="21"/>
              </w:rPr>
            </w:pPr>
            <w:r>
              <w:rPr>
                <w:sz w:val="21"/>
              </w:rPr>
              <w:t>0.0008</w:t>
            </w:r>
          </w:p>
        </w:tc>
      </w:tr>
    </w:tbl>
    <w:p>
      <w:pPr>
        <w:spacing w:before="55"/>
        <w:ind w:left="652" w:right="0" w:firstLine="0"/>
        <w:jc w:val="left"/>
        <w:rPr>
          <w:sz w:val="21"/>
        </w:rPr>
      </w:pPr>
      <w:r>
        <w:rPr>
          <w:sz w:val="21"/>
        </w:rPr>
        <w:t>注：坐标为面源中心经纬度坐标。</w:t>
      </w:r>
    </w:p>
    <w:p>
      <w:pPr>
        <w:spacing w:after="0"/>
        <w:jc w:val="left"/>
        <w:rPr>
          <w:sz w:val="21"/>
        </w:rPr>
        <w:sectPr>
          <w:pgSz w:w="16840" w:h="11910" w:orient="landscape"/>
          <w:pgMar w:header="588" w:footer="769" w:top="1120" w:bottom="960" w:left="900" w:right="1000"/>
        </w:sectPr>
      </w:pPr>
    </w:p>
    <w:p>
      <w:pPr>
        <w:pStyle w:val="Heading3"/>
        <w:spacing w:before="92"/>
      </w:pPr>
      <w:r>
        <w:rPr>
          <w:rFonts w:ascii="Times New Roman" w:eastAsia="Times New Roman"/>
        </w:rPr>
        <w:t>2</w:t>
      </w:r>
      <w:r>
        <w:rPr/>
        <w:t>、污染物排放量核算</w:t>
      </w:r>
    </w:p>
    <w:p>
      <w:pPr>
        <w:pStyle w:val="ListParagraph"/>
        <w:numPr>
          <w:ilvl w:val="0"/>
          <w:numId w:val="72"/>
        </w:numPr>
        <w:tabs>
          <w:tab w:pos="1323" w:val="left" w:leader="none"/>
        </w:tabs>
        <w:spacing w:line="240" w:lineRule="auto" w:before="160" w:after="0"/>
        <w:ind w:left="1323" w:right="0" w:hanging="604"/>
        <w:jc w:val="left"/>
        <w:rPr>
          <w:b/>
          <w:sz w:val="24"/>
        </w:rPr>
      </w:pPr>
      <w:r>
        <w:rPr>
          <w:b/>
          <w:sz w:val="24"/>
        </w:rPr>
        <w:t>有组织排放量核算</w:t>
      </w:r>
    </w:p>
    <w:p>
      <w:pPr>
        <w:spacing w:before="161"/>
        <w:ind w:left="217" w:right="236" w:firstLine="0"/>
        <w:jc w:val="center"/>
        <w:rPr>
          <w:b/>
          <w:sz w:val="24"/>
        </w:rPr>
      </w:pPr>
      <w:r>
        <w:rPr>
          <w:b/>
          <w:sz w:val="24"/>
        </w:rPr>
        <w:t>表 </w:t>
      </w:r>
      <w:r>
        <w:rPr>
          <w:rFonts w:ascii="Times New Roman" w:eastAsia="Times New Roman"/>
          <w:b/>
          <w:sz w:val="24"/>
        </w:rPr>
        <w:t>5.2-10  </w:t>
      </w:r>
      <w:r>
        <w:rPr>
          <w:b/>
          <w:sz w:val="24"/>
        </w:rPr>
        <w:t>大气污染物有组织排放量核算表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0"/>
        <w:gridCol w:w="1296"/>
        <w:gridCol w:w="2093"/>
        <w:gridCol w:w="866"/>
        <w:gridCol w:w="1509"/>
        <w:gridCol w:w="1507"/>
        <w:gridCol w:w="1507"/>
      </w:tblGrid>
      <w:tr>
        <w:trPr>
          <w:trHeight w:val="623" w:hRule="atLeast"/>
        </w:trPr>
        <w:tc>
          <w:tcPr>
            <w:tcW w:w="650" w:type="dxa"/>
            <w:tcBorders>
              <w:bottom w:val="single" w:sz="6" w:space="0" w:color="000000"/>
              <w:right w:val="single" w:sz="6" w:space="0" w:color="000000"/>
            </w:tcBorders>
          </w:tcPr>
          <w:p>
            <w:pPr>
              <w:pStyle w:val="TableParagraph"/>
              <w:spacing w:before="178"/>
              <w:ind w:left="112"/>
              <w:jc w:val="left"/>
              <w:rPr>
                <w:rFonts w:ascii="宋体" w:eastAsia="宋体" w:hint="eastAsia"/>
                <w:b/>
                <w:sz w:val="21"/>
              </w:rPr>
            </w:pPr>
            <w:r>
              <w:rPr>
                <w:rFonts w:ascii="宋体" w:eastAsia="宋体" w:hint="eastAsia"/>
                <w:b/>
                <w:sz w:val="21"/>
              </w:rPr>
              <w:t>序号</w:t>
            </w:r>
          </w:p>
        </w:tc>
        <w:tc>
          <w:tcPr>
            <w:tcW w:w="1296" w:type="dxa"/>
            <w:tcBorders>
              <w:left w:val="single" w:sz="6" w:space="0" w:color="000000"/>
              <w:bottom w:val="single" w:sz="6" w:space="0" w:color="000000"/>
              <w:right w:val="single" w:sz="6" w:space="0" w:color="000000"/>
            </w:tcBorders>
          </w:tcPr>
          <w:p>
            <w:pPr>
              <w:pStyle w:val="TableParagraph"/>
              <w:spacing w:before="178"/>
              <w:ind w:left="127"/>
              <w:jc w:val="left"/>
              <w:rPr>
                <w:rFonts w:ascii="宋体" w:eastAsia="宋体" w:hint="eastAsia"/>
                <w:b/>
                <w:sz w:val="21"/>
              </w:rPr>
            </w:pPr>
            <w:r>
              <w:rPr>
                <w:rFonts w:ascii="宋体" w:eastAsia="宋体" w:hint="eastAsia"/>
                <w:b/>
                <w:sz w:val="21"/>
              </w:rPr>
              <w:t>排放口编号</w:t>
            </w:r>
          </w:p>
        </w:tc>
        <w:tc>
          <w:tcPr>
            <w:tcW w:w="2093" w:type="dxa"/>
            <w:tcBorders>
              <w:left w:val="single" w:sz="6" w:space="0" w:color="000000"/>
              <w:bottom w:val="single" w:sz="6" w:space="0" w:color="000000"/>
              <w:right w:val="single" w:sz="6" w:space="0" w:color="000000"/>
            </w:tcBorders>
          </w:tcPr>
          <w:p>
            <w:pPr>
              <w:pStyle w:val="TableParagraph"/>
              <w:spacing w:before="178"/>
              <w:ind w:left="631"/>
              <w:jc w:val="left"/>
              <w:rPr>
                <w:rFonts w:ascii="宋体" w:eastAsia="宋体" w:hint="eastAsia"/>
                <w:b/>
                <w:sz w:val="21"/>
              </w:rPr>
            </w:pPr>
            <w:r>
              <w:rPr>
                <w:rFonts w:ascii="宋体" w:eastAsia="宋体" w:hint="eastAsia"/>
                <w:b/>
                <w:sz w:val="21"/>
              </w:rPr>
              <w:t>对应工序</w:t>
            </w:r>
          </w:p>
        </w:tc>
        <w:tc>
          <w:tcPr>
            <w:tcW w:w="866" w:type="dxa"/>
            <w:tcBorders>
              <w:left w:val="single" w:sz="6" w:space="0" w:color="000000"/>
              <w:bottom w:val="single" w:sz="6" w:space="0" w:color="000000"/>
              <w:right w:val="single" w:sz="6" w:space="0" w:color="000000"/>
            </w:tcBorders>
          </w:tcPr>
          <w:p>
            <w:pPr>
              <w:pStyle w:val="TableParagraph"/>
              <w:spacing w:before="178"/>
              <w:ind w:left="103" w:right="75"/>
              <w:rPr>
                <w:rFonts w:ascii="宋体" w:eastAsia="宋体" w:hint="eastAsia"/>
                <w:b/>
                <w:sz w:val="21"/>
              </w:rPr>
            </w:pPr>
            <w:r>
              <w:rPr>
                <w:rFonts w:ascii="宋体" w:eastAsia="宋体" w:hint="eastAsia"/>
                <w:b/>
                <w:sz w:val="21"/>
              </w:rPr>
              <w:t>污染物</w:t>
            </w:r>
          </w:p>
        </w:tc>
        <w:tc>
          <w:tcPr>
            <w:tcW w:w="1509" w:type="dxa"/>
            <w:tcBorders>
              <w:left w:val="single" w:sz="6" w:space="0" w:color="000000"/>
              <w:bottom w:val="single" w:sz="6" w:space="0" w:color="000000"/>
              <w:right w:val="single" w:sz="6" w:space="0" w:color="000000"/>
            </w:tcBorders>
          </w:tcPr>
          <w:p>
            <w:pPr>
              <w:pStyle w:val="TableParagraph"/>
              <w:spacing w:before="22"/>
              <w:ind w:left="109" w:right="79"/>
              <w:rPr>
                <w:rFonts w:ascii="宋体" w:eastAsia="宋体" w:hint="eastAsia"/>
                <w:b/>
                <w:sz w:val="21"/>
              </w:rPr>
            </w:pPr>
            <w:r>
              <w:rPr>
                <w:rFonts w:ascii="宋体" w:eastAsia="宋体" w:hint="eastAsia"/>
                <w:b/>
                <w:sz w:val="21"/>
              </w:rPr>
              <w:t>核算排放浓度</w:t>
            </w:r>
          </w:p>
          <w:p>
            <w:pPr>
              <w:pStyle w:val="TableParagraph"/>
              <w:spacing w:before="43"/>
              <w:ind w:left="104" w:right="79"/>
              <w:rPr>
                <w:rFonts w:ascii="宋体" w:hAnsi="宋体" w:eastAsia="宋体" w:hint="eastAsia"/>
                <w:b/>
                <w:sz w:val="21"/>
              </w:rPr>
            </w:pPr>
            <w:r>
              <w:rPr>
                <w:rFonts w:ascii="宋体" w:hAnsi="宋体" w:eastAsia="宋体" w:hint="eastAsia"/>
                <w:b/>
                <w:sz w:val="21"/>
              </w:rPr>
              <w:t>（</w:t>
            </w:r>
            <w:r>
              <w:rPr>
                <w:b/>
                <w:sz w:val="21"/>
              </w:rPr>
              <w:t>mg/m³</w:t>
            </w:r>
            <w:r>
              <w:rPr>
                <w:rFonts w:ascii="宋体" w:hAnsi="宋体" w:eastAsia="宋体" w:hint="eastAsia"/>
                <w:b/>
                <w:sz w:val="21"/>
              </w:rPr>
              <w:t>）</w:t>
            </w:r>
          </w:p>
        </w:tc>
        <w:tc>
          <w:tcPr>
            <w:tcW w:w="1507" w:type="dxa"/>
            <w:tcBorders>
              <w:left w:val="single" w:sz="6" w:space="0" w:color="000000"/>
              <w:bottom w:val="single" w:sz="6" w:space="0" w:color="000000"/>
              <w:right w:val="single" w:sz="6" w:space="0" w:color="000000"/>
            </w:tcBorders>
          </w:tcPr>
          <w:p>
            <w:pPr>
              <w:pStyle w:val="TableParagraph"/>
              <w:spacing w:before="22"/>
              <w:ind w:left="110" w:right="76"/>
              <w:rPr>
                <w:rFonts w:ascii="宋体" w:eastAsia="宋体" w:hint="eastAsia"/>
                <w:b/>
                <w:sz w:val="21"/>
              </w:rPr>
            </w:pPr>
            <w:r>
              <w:rPr>
                <w:rFonts w:ascii="宋体" w:eastAsia="宋体" w:hint="eastAsia"/>
                <w:b/>
                <w:sz w:val="21"/>
              </w:rPr>
              <w:t>核算排放速率</w:t>
            </w:r>
          </w:p>
          <w:p>
            <w:pPr>
              <w:pStyle w:val="TableParagraph"/>
              <w:spacing w:before="43"/>
              <w:ind w:left="108" w:right="76"/>
              <w:rPr>
                <w:rFonts w:ascii="宋体" w:eastAsia="宋体" w:hint="eastAsia"/>
                <w:b/>
                <w:sz w:val="21"/>
              </w:rPr>
            </w:pPr>
            <w:r>
              <w:rPr>
                <w:rFonts w:ascii="宋体" w:eastAsia="宋体" w:hint="eastAsia"/>
                <w:b/>
                <w:sz w:val="21"/>
              </w:rPr>
              <w:t>（</w:t>
            </w:r>
            <w:r>
              <w:rPr>
                <w:b/>
                <w:sz w:val="21"/>
              </w:rPr>
              <w:t>kg/h</w:t>
            </w:r>
            <w:r>
              <w:rPr>
                <w:rFonts w:ascii="宋体" w:eastAsia="宋体" w:hint="eastAsia"/>
                <w:b/>
                <w:sz w:val="21"/>
              </w:rPr>
              <w:t>）</w:t>
            </w:r>
          </w:p>
        </w:tc>
        <w:tc>
          <w:tcPr>
            <w:tcW w:w="1507" w:type="dxa"/>
            <w:tcBorders>
              <w:left w:val="single" w:sz="6" w:space="0" w:color="000000"/>
              <w:bottom w:val="single" w:sz="6" w:space="0" w:color="000000"/>
            </w:tcBorders>
          </w:tcPr>
          <w:p>
            <w:pPr>
              <w:pStyle w:val="TableParagraph"/>
              <w:spacing w:before="22"/>
              <w:ind w:left="110" w:right="68"/>
              <w:rPr>
                <w:rFonts w:ascii="宋体" w:eastAsia="宋体" w:hint="eastAsia"/>
                <w:b/>
                <w:sz w:val="21"/>
              </w:rPr>
            </w:pPr>
            <w:r>
              <w:rPr>
                <w:rFonts w:ascii="宋体" w:eastAsia="宋体" w:hint="eastAsia"/>
                <w:b/>
                <w:sz w:val="21"/>
              </w:rPr>
              <w:t>核算年排放量</w:t>
            </w:r>
          </w:p>
          <w:p>
            <w:pPr>
              <w:pStyle w:val="TableParagraph"/>
              <w:spacing w:before="43"/>
              <w:ind w:left="108" w:right="68"/>
              <w:rPr>
                <w:rFonts w:ascii="宋体" w:eastAsia="宋体" w:hint="eastAsia"/>
                <w:b/>
                <w:sz w:val="21"/>
              </w:rPr>
            </w:pPr>
            <w:r>
              <w:rPr>
                <w:rFonts w:ascii="宋体" w:eastAsia="宋体" w:hint="eastAsia"/>
                <w:b/>
                <w:sz w:val="21"/>
              </w:rPr>
              <w:t>（</w:t>
            </w:r>
            <w:r>
              <w:rPr>
                <w:b/>
                <w:sz w:val="21"/>
              </w:rPr>
              <w:t>t/a</w:t>
            </w:r>
            <w:r>
              <w:rPr>
                <w:rFonts w:ascii="宋体" w:eastAsia="宋体" w:hint="eastAsia"/>
                <w:b/>
                <w:sz w:val="21"/>
              </w:rPr>
              <w:t>）</w:t>
            </w:r>
          </w:p>
        </w:tc>
      </w:tr>
      <w:tr>
        <w:trPr>
          <w:trHeight w:val="313" w:hRule="atLeast"/>
        </w:trPr>
        <w:tc>
          <w:tcPr>
            <w:tcW w:w="9428" w:type="dxa"/>
            <w:gridSpan w:val="7"/>
            <w:tcBorders>
              <w:top w:val="single" w:sz="6" w:space="0" w:color="000000"/>
              <w:bottom w:val="single" w:sz="6" w:space="0" w:color="000000"/>
            </w:tcBorders>
          </w:tcPr>
          <w:p>
            <w:pPr>
              <w:pStyle w:val="TableParagraph"/>
              <w:spacing w:before="25"/>
              <w:ind w:left="3958" w:right="3927"/>
              <w:rPr>
                <w:rFonts w:ascii="宋体" w:eastAsia="宋体" w:hint="eastAsia"/>
                <w:sz w:val="21"/>
              </w:rPr>
            </w:pPr>
            <w:r>
              <w:rPr>
                <w:rFonts w:ascii="宋体" w:eastAsia="宋体" w:hint="eastAsia"/>
                <w:sz w:val="21"/>
              </w:rPr>
              <w:t>一般排放口</w:t>
            </w:r>
          </w:p>
        </w:tc>
      </w:tr>
      <w:tr>
        <w:trPr>
          <w:trHeight w:val="311" w:hRule="atLeast"/>
        </w:trPr>
        <w:tc>
          <w:tcPr>
            <w:tcW w:w="650" w:type="dxa"/>
            <w:vMerge w:val="restart"/>
            <w:tcBorders>
              <w:top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19"/>
              <w:rPr>
                <w:sz w:val="21"/>
              </w:rPr>
            </w:pPr>
            <w:r>
              <w:rPr>
                <w:w w:val="100"/>
                <w:sz w:val="21"/>
              </w:rPr>
              <w:t>1</w:t>
            </w:r>
          </w:p>
        </w:tc>
        <w:tc>
          <w:tcPr>
            <w:tcW w:w="129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97"/>
              <w:ind w:left="345"/>
              <w:jc w:val="left"/>
              <w:rPr>
                <w:sz w:val="21"/>
              </w:rPr>
            </w:pPr>
            <w:r>
              <w:rPr>
                <w:sz w:val="21"/>
              </w:rPr>
              <w:t>DA001</w:t>
            </w:r>
          </w:p>
        </w:tc>
        <w:tc>
          <w:tcPr>
            <w:tcW w:w="20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4"/>
              </w:rPr>
            </w:pPr>
          </w:p>
          <w:p>
            <w:pPr>
              <w:pStyle w:val="TableParagraph"/>
              <w:spacing w:before="0"/>
              <w:ind w:left="634"/>
              <w:jc w:val="left"/>
              <w:rPr>
                <w:rFonts w:ascii="宋体" w:eastAsia="宋体" w:hint="eastAsia"/>
                <w:sz w:val="21"/>
              </w:rPr>
            </w:pPr>
            <w:r>
              <w:rPr>
                <w:rFonts w:ascii="宋体" w:eastAsia="宋体" w:hint="eastAsia"/>
                <w:sz w:val="21"/>
              </w:rPr>
              <w:t>粪污处理</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4"/>
              <w:rPr>
                <w:sz w:val="14"/>
              </w:rPr>
            </w:pPr>
            <w:r>
              <w:rPr>
                <w:position w:val="2"/>
                <w:sz w:val="21"/>
              </w:rPr>
              <w:t>NH</w:t>
            </w:r>
            <w:r>
              <w:rPr>
                <w:sz w:val="14"/>
              </w:rPr>
              <w:t>3</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4"/>
              <w:ind w:right="545"/>
              <w:jc w:val="right"/>
              <w:rPr>
                <w:sz w:val="21"/>
              </w:rPr>
            </w:pPr>
            <w:r>
              <w:rPr>
                <w:sz w:val="21"/>
              </w:rPr>
              <w:t>3.95</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4"/>
              <w:ind w:left="110" w:right="76"/>
              <w:rPr>
                <w:sz w:val="21"/>
              </w:rPr>
            </w:pPr>
            <w:r>
              <w:rPr>
                <w:sz w:val="21"/>
              </w:rPr>
              <w:t>0.1977</w:t>
            </w:r>
          </w:p>
        </w:tc>
        <w:tc>
          <w:tcPr>
            <w:tcW w:w="1507" w:type="dxa"/>
            <w:tcBorders>
              <w:top w:val="single" w:sz="6" w:space="0" w:color="000000"/>
              <w:left w:val="single" w:sz="6" w:space="0" w:color="000000"/>
              <w:bottom w:val="single" w:sz="6" w:space="0" w:color="000000"/>
            </w:tcBorders>
          </w:tcPr>
          <w:p>
            <w:pPr>
              <w:pStyle w:val="TableParagraph"/>
              <w:spacing w:before="34"/>
              <w:ind w:left="110" w:right="68"/>
              <w:rPr>
                <w:sz w:val="21"/>
              </w:rPr>
            </w:pPr>
            <w:r>
              <w:rPr>
                <w:sz w:val="21"/>
              </w:rPr>
              <w:t>1.732</w:t>
            </w:r>
          </w:p>
        </w:tc>
      </w:tr>
      <w:tr>
        <w:trPr>
          <w:trHeight w:val="311" w:hRule="atLeast"/>
        </w:trPr>
        <w:tc>
          <w:tcPr>
            <w:tcW w:w="650" w:type="dxa"/>
            <w:vMerge/>
            <w:tcBorders>
              <w:top w:val="nil"/>
              <w:bottom w:val="single" w:sz="6" w:space="0" w:color="000000"/>
              <w:right w:val="single" w:sz="6" w:space="0" w:color="000000"/>
            </w:tcBorders>
          </w:tcPr>
          <w:p>
            <w:pPr>
              <w:rPr>
                <w:sz w:val="2"/>
                <w:szCs w:val="2"/>
              </w:rPr>
            </w:pPr>
          </w:p>
        </w:tc>
        <w:tc>
          <w:tcPr>
            <w:tcW w:w="1296" w:type="dxa"/>
            <w:vMerge/>
            <w:tcBorders>
              <w:top w:val="nil"/>
              <w:left w:val="single" w:sz="6" w:space="0" w:color="000000"/>
              <w:bottom w:val="single" w:sz="6" w:space="0" w:color="000000"/>
              <w:right w:val="single" w:sz="6" w:space="0" w:color="000000"/>
            </w:tcBorders>
          </w:tcPr>
          <w:p>
            <w:pPr>
              <w:rPr>
                <w:sz w:val="2"/>
                <w:szCs w:val="2"/>
              </w:rPr>
            </w:pPr>
          </w:p>
        </w:tc>
        <w:tc>
          <w:tcPr>
            <w:tcW w:w="2093"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0"/>
              <w:rPr>
                <w:sz w:val="21"/>
              </w:rPr>
            </w:pPr>
            <w:r>
              <w:rPr>
                <w:position w:val="2"/>
                <w:sz w:val="21"/>
              </w:rPr>
              <w:t>H</w:t>
            </w:r>
            <w:r>
              <w:rPr>
                <w:sz w:val="14"/>
              </w:rPr>
              <w:t>2</w:t>
            </w:r>
            <w:r>
              <w:rPr>
                <w:position w:val="2"/>
                <w:sz w:val="21"/>
              </w:rPr>
              <w:t>S</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4"/>
              <w:ind w:right="545"/>
              <w:jc w:val="right"/>
              <w:rPr>
                <w:sz w:val="21"/>
              </w:rPr>
            </w:pPr>
            <w:r>
              <w:rPr>
                <w:sz w:val="21"/>
              </w:rPr>
              <w:t>0.03</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4"/>
              <w:ind w:left="110" w:right="76"/>
              <w:rPr>
                <w:sz w:val="21"/>
              </w:rPr>
            </w:pPr>
            <w:r>
              <w:rPr>
                <w:sz w:val="21"/>
              </w:rPr>
              <w:t>0.0014</w:t>
            </w:r>
          </w:p>
        </w:tc>
        <w:tc>
          <w:tcPr>
            <w:tcW w:w="1507" w:type="dxa"/>
            <w:tcBorders>
              <w:top w:val="single" w:sz="6" w:space="0" w:color="000000"/>
              <w:left w:val="single" w:sz="6" w:space="0" w:color="000000"/>
              <w:bottom w:val="single" w:sz="6" w:space="0" w:color="000000"/>
            </w:tcBorders>
          </w:tcPr>
          <w:p>
            <w:pPr>
              <w:pStyle w:val="TableParagraph"/>
              <w:spacing w:before="34"/>
              <w:ind w:left="110" w:right="68"/>
              <w:rPr>
                <w:sz w:val="21"/>
              </w:rPr>
            </w:pPr>
            <w:r>
              <w:rPr>
                <w:sz w:val="21"/>
              </w:rPr>
              <w:t>0.013</w:t>
            </w:r>
          </w:p>
        </w:tc>
      </w:tr>
      <w:tr>
        <w:trPr>
          <w:trHeight w:val="311" w:hRule="atLeast"/>
        </w:trPr>
        <w:tc>
          <w:tcPr>
            <w:tcW w:w="650" w:type="dxa"/>
            <w:vMerge w:val="restart"/>
            <w:tcBorders>
              <w:top w:val="single" w:sz="6" w:space="0" w:color="000000"/>
              <w:bottom w:val="single" w:sz="6" w:space="0" w:color="000000"/>
              <w:right w:val="single" w:sz="6" w:space="0" w:color="000000"/>
            </w:tcBorders>
          </w:tcPr>
          <w:p>
            <w:pPr>
              <w:pStyle w:val="TableParagraph"/>
              <w:spacing w:before="9"/>
              <w:jc w:val="left"/>
              <w:rPr>
                <w:rFonts w:ascii="宋体"/>
                <w:b/>
                <w:sz w:val="15"/>
              </w:rPr>
            </w:pPr>
          </w:p>
          <w:p>
            <w:pPr>
              <w:pStyle w:val="TableParagraph"/>
              <w:spacing w:before="1"/>
              <w:ind w:left="19"/>
              <w:rPr>
                <w:sz w:val="21"/>
              </w:rPr>
            </w:pPr>
            <w:r>
              <w:rPr>
                <w:w w:val="100"/>
                <w:sz w:val="21"/>
              </w:rPr>
              <w:t>2</w:t>
            </w:r>
          </w:p>
        </w:tc>
        <w:tc>
          <w:tcPr>
            <w:tcW w:w="129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256"/>
              <w:jc w:val="left"/>
              <w:rPr>
                <w:sz w:val="21"/>
              </w:rPr>
            </w:pPr>
            <w:r>
              <w:rPr>
                <w:sz w:val="21"/>
              </w:rPr>
              <w:t>DA002-1</w:t>
            </w:r>
          </w:p>
        </w:tc>
        <w:tc>
          <w:tcPr>
            <w:tcW w:w="20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8"/>
              <w:ind w:left="449"/>
              <w:jc w:val="left"/>
              <w:rPr>
                <w:sz w:val="21"/>
              </w:rPr>
            </w:pPr>
            <w:r>
              <w:rPr>
                <w:rFonts w:ascii="宋体" w:eastAsia="宋体" w:hint="eastAsia"/>
                <w:sz w:val="21"/>
              </w:rPr>
              <w:t>猪粪发酵罐 </w:t>
            </w:r>
            <w:r>
              <w:rPr>
                <w:position w:val="1"/>
                <w:sz w:val="21"/>
              </w:rPr>
              <w:t>1</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4"/>
              <w:rPr>
                <w:sz w:val="14"/>
              </w:rPr>
            </w:pPr>
            <w:r>
              <w:rPr>
                <w:position w:val="2"/>
                <w:sz w:val="21"/>
              </w:rPr>
              <w:t>NH</w:t>
            </w:r>
            <w:r>
              <w:rPr>
                <w:sz w:val="14"/>
              </w:rPr>
              <w:t>3</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6"/>
              <w:ind w:right="545"/>
              <w:jc w:val="right"/>
              <w:rPr>
                <w:sz w:val="21"/>
              </w:rPr>
            </w:pPr>
            <w:r>
              <w:rPr>
                <w:sz w:val="21"/>
              </w:rPr>
              <w:t>3.61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6"/>
              <w:ind w:left="110" w:right="76"/>
              <w:rPr>
                <w:sz w:val="21"/>
              </w:rPr>
            </w:pPr>
            <w:r>
              <w:rPr>
                <w:sz w:val="21"/>
              </w:rPr>
              <w:t>0.0108</w:t>
            </w:r>
          </w:p>
        </w:tc>
        <w:tc>
          <w:tcPr>
            <w:tcW w:w="1507" w:type="dxa"/>
            <w:tcBorders>
              <w:top w:val="single" w:sz="6" w:space="0" w:color="000000"/>
              <w:left w:val="single" w:sz="6" w:space="0" w:color="000000"/>
              <w:bottom w:val="single" w:sz="6" w:space="0" w:color="000000"/>
            </w:tcBorders>
          </w:tcPr>
          <w:p>
            <w:pPr>
              <w:pStyle w:val="TableParagraph"/>
              <w:spacing w:before="36"/>
              <w:ind w:left="110" w:right="68"/>
              <w:rPr>
                <w:sz w:val="21"/>
              </w:rPr>
            </w:pPr>
            <w:r>
              <w:rPr>
                <w:sz w:val="21"/>
              </w:rPr>
              <w:t>0.095</w:t>
            </w:r>
          </w:p>
        </w:tc>
      </w:tr>
      <w:tr>
        <w:trPr>
          <w:trHeight w:val="314" w:hRule="atLeast"/>
        </w:trPr>
        <w:tc>
          <w:tcPr>
            <w:tcW w:w="650" w:type="dxa"/>
            <w:vMerge/>
            <w:tcBorders>
              <w:top w:val="nil"/>
              <w:bottom w:val="single" w:sz="6" w:space="0" w:color="000000"/>
              <w:right w:val="single" w:sz="6" w:space="0" w:color="000000"/>
            </w:tcBorders>
          </w:tcPr>
          <w:p>
            <w:pPr>
              <w:rPr>
                <w:sz w:val="2"/>
                <w:szCs w:val="2"/>
              </w:rPr>
            </w:pPr>
          </w:p>
        </w:tc>
        <w:tc>
          <w:tcPr>
            <w:tcW w:w="1296" w:type="dxa"/>
            <w:vMerge/>
            <w:tcBorders>
              <w:top w:val="nil"/>
              <w:left w:val="single" w:sz="6" w:space="0" w:color="000000"/>
              <w:bottom w:val="single" w:sz="6" w:space="0" w:color="000000"/>
              <w:right w:val="single" w:sz="6" w:space="0" w:color="000000"/>
            </w:tcBorders>
          </w:tcPr>
          <w:p>
            <w:pPr>
              <w:rPr>
                <w:sz w:val="2"/>
                <w:szCs w:val="2"/>
              </w:rPr>
            </w:pPr>
          </w:p>
        </w:tc>
        <w:tc>
          <w:tcPr>
            <w:tcW w:w="2093"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5"/>
              <w:ind w:left="103" w:right="70"/>
              <w:rPr>
                <w:sz w:val="21"/>
              </w:rPr>
            </w:pPr>
            <w:r>
              <w:rPr>
                <w:position w:val="2"/>
                <w:sz w:val="21"/>
              </w:rPr>
              <w:t>H</w:t>
            </w:r>
            <w:r>
              <w:rPr>
                <w:sz w:val="14"/>
              </w:rPr>
              <w:t>2</w:t>
            </w:r>
            <w:r>
              <w:rPr>
                <w:position w:val="2"/>
                <w:sz w:val="21"/>
              </w:rPr>
              <w:t>S</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9"/>
              <w:ind w:right="545"/>
              <w:jc w:val="right"/>
              <w:rPr>
                <w:sz w:val="21"/>
              </w:rPr>
            </w:pPr>
            <w:r>
              <w:rPr>
                <w:sz w:val="21"/>
              </w:rPr>
              <w:t>0.65</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10" w:right="76"/>
              <w:rPr>
                <w:sz w:val="21"/>
              </w:rPr>
            </w:pPr>
            <w:r>
              <w:rPr>
                <w:sz w:val="21"/>
              </w:rPr>
              <w:t>0.0019</w:t>
            </w:r>
          </w:p>
        </w:tc>
        <w:tc>
          <w:tcPr>
            <w:tcW w:w="1507" w:type="dxa"/>
            <w:tcBorders>
              <w:top w:val="single" w:sz="6" w:space="0" w:color="000000"/>
              <w:left w:val="single" w:sz="6" w:space="0" w:color="000000"/>
              <w:bottom w:val="single" w:sz="6" w:space="0" w:color="000000"/>
            </w:tcBorders>
          </w:tcPr>
          <w:p>
            <w:pPr>
              <w:pStyle w:val="TableParagraph"/>
              <w:spacing w:before="39"/>
              <w:ind w:left="110" w:right="68"/>
              <w:rPr>
                <w:sz w:val="21"/>
              </w:rPr>
            </w:pPr>
            <w:r>
              <w:rPr>
                <w:sz w:val="21"/>
              </w:rPr>
              <w:t>0.017</w:t>
            </w:r>
          </w:p>
        </w:tc>
      </w:tr>
      <w:tr>
        <w:trPr>
          <w:trHeight w:val="311" w:hRule="atLeast"/>
        </w:trPr>
        <w:tc>
          <w:tcPr>
            <w:tcW w:w="650" w:type="dxa"/>
            <w:vMerge w:val="restart"/>
            <w:tcBorders>
              <w:top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19"/>
              <w:rPr>
                <w:sz w:val="21"/>
              </w:rPr>
            </w:pPr>
            <w:r>
              <w:rPr>
                <w:w w:val="100"/>
                <w:sz w:val="21"/>
              </w:rPr>
              <w:t>3</w:t>
            </w:r>
          </w:p>
        </w:tc>
        <w:tc>
          <w:tcPr>
            <w:tcW w:w="129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97"/>
              <w:ind w:left="256"/>
              <w:jc w:val="left"/>
              <w:rPr>
                <w:sz w:val="21"/>
              </w:rPr>
            </w:pPr>
            <w:r>
              <w:rPr>
                <w:sz w:val="21"/>
              </w:rPr>
              <w:t>DA002-2</w:t>
            </w:r>
          </w:p>
        </w:tc>
        <w:tc>
          <w:tcPr>
            <w:tcW w:w="20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6"/>
              <w:ind w:left="449"/>
              <w:jc w:val="left"/>
              <w:rPr>
                <w:sz w:val="21"/>
              </w:rPr>
            </w:pPr>
            <w:r>
              <w:rPr>
                <w:rFonts w:ascii="宋体" w:eastAsia="宋体" w:hint="eastAsia"/>
                <w:sz w:val="21"/>
              </w:rPr>
              <w:t>猪粪发酵罐 </w:t>
            </w:r>
            <w:r>
              <w:rPr>
                <w:position w:val="1"/>
                <w:sz w:val="21"/>
              </w:rPr>
              <w:t>2</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4"/>
              <w:rPr>
                <w:sz w:val="14"/>
              </w:rPr>
            </w:pPr>
            <w:r>
              <w:rPr>
                <w:position w:val="2"/>
                <w:sz w:val="21"/>
              </w:rPr>
              <w:t>NH</w:t>
            </w:r>
            <w:r>
              <w:rPr>
                <w:sz w:val="14"/>
              </w:rPr>
              <w:t>3</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6"/>
              <w:ind w:right="545"/>
              <w:jc w:val="right"/>
              <w:rPr>
                <w:sz w:val="21"/>
              </w:rPr>
            </w:pPr>
            <w:r>
              <w:rPr>
                <w:sz w:val="21"/>
              </w:rPr>
              <w:t>3.61</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6"/>
              <w:ind w:left="110" w:right="76"/>
              <w:rPr>
                <w:sz w:val="21"/>
              </w:rPr>
            </w:pPr>
            <w:r>
              <w:rPr>
                <w:sz w:val="21"/>
              </w:rPr>
              <w:t>0.0108</w:t>
            </w:r>
          </w:p>
        </w:tc>
        <w:tc>
          <w:tcPr>
            <w:tcW w:w="1507" w:type="dxa"/>
            <w:tcBorders>
              <w:top w:val="single" w:sz="6" w:space="0" w:color="000000"/>
              <w:left w:val="single" w:sz="6" w:space="0" w:color="000000"/>
              <w:bottom w:val="single" w:sz="6" w:space="0" w:color="000000"/>
            </w:tcBorders>
          </w:tcPr>
          <w:p>
            <w:pPr>
              <w:pStyle w:val="TableParagraph"/>
              <w:spacing w:before="36"/>
              <w:ind w:left="110" w:right="68"/>
              <w:rPr>
                <w:sz w:val="21"/>
              </w:rPr>
            </w:pPr>
            <w:r>
              <w:rPr>
                <w:sz w:val="21"/>
              </w:rPr>
              <w:t>0.095</w:t>
            </w:r>
          </w:p>
        </w:tc>
      </w:tr>
      <w:tr>
        <w:trPr>
          <w:trHeight w:val="311" w:hRule="atLeast"/>
        </w:trPr>
        <w:tc>
          <w:tcPr>
            <w:tcW w:w="650" w:type="dxa"/>
            <w:vMerge/>
            <w:tcBorders>
              <w:top w:val="nil"/>
              <w:bottom w:val="single" w:sz="6" w:space="0" w:color="000000"/>
              <w:right w:val="single" w:sz="6" w:space="0" w:color="000000"/>
            </w:tcBorders>
          </w:tcPr>
          <w:p>
            <w:pPr>
              <w:rPr>
                <w:sz w:val="2"/>
                <w:szCs w:val="2"/>
              </w:rPr>
            </w:pPr>
          </w:p>
        </w:tc>
        <w:tc>
          <w:tcPr>
            <w:tcW w:w="1296" w:type="dxa"/>
            <w:vMerge/>
            <w:tcBorders>
              <w:top w:val="nil"/>
              <w:left w:val="single" w:sz="6" w:space="0" w:color="000000"/>
              <w:bottom w:val="single" w:sz="6" w:space="0" w:color="000000"/>
              <w:right w:val="single" w:sz="6" w:space="0" w:color="000000"/>
            </w:tcBorders>
          </w:tcPr>
          <w:p>
            <w:pPr>
              <w:rPr>
                <w:sz w:val="2"/>
                <w:szCs w:val="2"/>
              </w:rPr>
            </w:pPr>
          </w:p>
        </w:tc>
        <w:tc>
          <w:tcPr>
            <w:tcW w:w="2093"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0"/>
              <w:rPr>
                <w:sz w:val="21"/>
              </w:rPr>
            </w:pPr>
            <w:r>
              <w:rPr>
                <w:position w:val="2"/>
                <w:sz w:val="21"/>
              </w:rPr>
              <w:t>H</w:t>
            </w:r>
            <w:r>
              <w:rPr>
                <w:sz w:val="14"/>
              </w:rPr>
              <w:t>2</w:t>
            </w:r>
            <w:r>
              <w:rPr>
                <w:position w:val="2"/>
                <w:sz w:val="21"/>
              </w:rPr>
              <w:t>S</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6"/>
              <w:ind w:right="545"/>
              <w:jc w:val="right"/>
              <w:rPr>
                <w:sz w:val="21"/>
              </w:rPr>
            </w:pPr>
            <w:r>
              <w:rPr>
                <w:sz w:val="21"/>
              </w:rPr>
              <w:t>0.65</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6"/>
              <w:ind w:left="110" w:right="76"/>
              <w:rPr>
                <w:sz w:val="21"/>
              </w:rPr>
            </w:pPr>
            <w:r>
              <w:rPr>
                <w:sz w:val="21"/>
              </w:rPr>
              <w:t>0.0019</w:t>
            </w:r>
          </w:p>
        </w:tc>
        <w:tc>
          <w:tcPr>
            <w:tcW w:w="1507" w:type="dxa"/>
            <w:tcBorders>
              <w:top w:val="single" w:sz="6" w:space="0" w:color="000000"/>
              <w:left w:val="single" w:sz="6" w:space="0" w:color="000000"/>
              <w:bottom w:val="single" w:sz="6" w:space="0" w:color="000000"/>
            </w:tcBorders>
          </w:tcPr>
          <w:p>
            <w:pPr>
              <w:pStyle w:val="TableParagraph"/>
              <w:spacing w:before="36"/>
              <w:ind w:left="110" w:right="68"/>
              <w:rPr>
                <w:sz w:val="21"/>
              </w:rPr>
            </w:pPr>
            <w:r>
              <w:rPr>
                <w:sz w:val="21"/>
              </w:rPr>
              <w:t>0.017</w:t>
            </w:r>
          </w:p>
        </w:tc>
      </w:tr>
      <w:tr>
        <w:trPr>
          <w:trHeight w:val="311" w:hRule="atLeast"/>
        </w:trPr>
        <w:tc>
          <w:tcPr>
            <w:tcW w:w="650" w:type="dxa"/>
            <w:vMerge w:val="restart"/>
            <w:tcBorders>
              <w:top w:val="single" w:sz="6" w:space="0" w:color="000000"/>
              <w:bottom w:val="single" w:sz="6" w:space="0" w:color="000000"/>
              <w:right w:val="single" w:sz="6" w:space="0" w:color="000000"/>
            </w:tcBorders>
          </w:tcPr>
          <w:p>
            <w:pPr>
              <w:pStyle w:val="TableParagraph"/>
              <w:spacing w:before="9"/>
              <w:jc w:val="left"/>
              <w:rPr>
                <w:rFonts w:ascii="宋体"/>
                <w:b/>
                <w:sz w:val="15"/>
              </w:rPr>
            </w:pPr>
          </w:p>
          <w:p>
            <w:pPr>
              <w:pStyle w:val="TableParagraph"/>
              <w:spacing w:before="1"/>
              <w:ind w:left="19"/>
              <w:rPr>
                <w:sz w:val="21"/>
              </w:rPr>
            </w:pPr>
            <w:r>
              <w:rPr>
                <w:w w:val="100"/>
                <w:sz w:val="21"/>
              </w:rPr>
              <w:t>4</w:t>
            </w:r>
          </w:p>
        </w:tc>
        <w:tc>
          <w:tcPr>
            <w:tcW w:w="129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256"/>
              <w:jc w:val="left"/>
              <w:rPr>
                <w:sz w:val="21"/>
              </w:rPr>
            </w:pPr>
            <w:r>
              <w:rPr>
                <w:sz w:val="21"/>
              </w:rPr>
              <w:t>DA003-1</w:t>
            </w:r>
          </w:p>
        </w:tc>
        <w:tc>
          <w:tcPr>
            <w:tcW w:w="20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8"/>
              <w:ind w:left="135"/>
              <w:jc w:val="left"/>
              <w:rPr>
                <w:sz w:val="21"/>
              </w:rPr>
            </w:pPr>
            <w:r>
              <w:rPr>
                <w:rFonts w:ascii="宋体" w:eastAsia="宋体" w:hint="eastAsia"/>
                <w:sz w:val="21"/>
              </w:rPr>
              <w:t>病死猪无害化处理 </w:t>
            </w:r>
            <w:r>
              <w:rPr>
                <w:position w:val="1"/>
                <w:sz w:val="21"/>
              </w:rPr>
              <w:t>1</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4"/>
              <w:rPr>
                <w:sz w:val="14"/>
              </w:rPr>
            </w:pPr>
            <w:r>
              <w:rPr>
                <w:position w:val="2"/>
                <w:sz w:val="21"/>
              </w:rPr>
              <w:t>NH</w:t>
            </w:r>
            <w:r>
              <w:rPr>
                <w:sz w:val="14"/>
              </w:rPr>
              <w:t>3</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4"/>
              <w:ind w:right="545"/>
              <w:jc w:val="right"/>
              <w:rPr>
                <w:sz w:val="21"/>
              </w:rPr>
            </w:pPr>
            <w:r>
              <w:rPr>
                <w:sz w:val="21"/>
              </w:rPr>
              <w:t>0.16</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4"/>
              <w:ind w:left="110" w:right="76"/>
              <w:rPr>
                <w:sz w:val="21"/>
              </w:rPr>
            </w:pPr>
            <w:r>
              <w:rPr>
                <w:sz w:val="21"/>
              </w:rPr>
              <w:t>8.18E-05</w:t>
            </w:r>
          </w:p>
        </w:tc>
        <w:tc>
          <w:tcPr>
            <w:tcW w:w="1507" w:type="dxa"/>
            <w:tcBorders>
              <w:top w:val="single" w:sz="6" w:space="0" w:color="000000"/>
              <w:left w:val="single" w:sz="6" w:space="0" w:color="000000"/>
              <w:bottom w:val="single" w:sz="6" w:space="0" w:color="000000"/>
            </w:tcBorders>
          </w:tcPr>
          <w:p>
            <w:pPr>
              <w:pStyle w:val="TableParagraph"/>
              <w:spacing w:before="34"/>
              <w:ind w:left="110" w:right="68"/>
              <w:rPr>
                <w:sz w:val="21"/>
              </w:rPr>
            </w:pPr>
            <w:r>
              <w:rPr>
                <w:sz w:val="21"/>
              </w:rPr>
              <w:t>2.98E-04</w:t>
            </w:r>
          </w:p>
        </w:tc>
      </w:tr>
      <w:tr>
        <w:trPr>
          <w:trHeight w:val="313" w:hRule="atLeast"/>
        </w:trPr>
        <w:tc>
          <w:tcPr>
            <w:tcW w:w="650" w:type="dxa"/>
            <w:vMerge/>
            <w:tcBorders>
              <w:top w:val="nil"/>
              <w:bottom w:val="single" w:sz="6" w:space="0" w:color="000000"/>
              <w:right w:val="single" w:sz="6" w:space="0" w:color="000000"/>
            </w:tcBorders>
          </w:tcPr>
          <w:p>
            <w:pPr>
              <w:rPr>
                <w:sz w:val="2"/>
                <w:szCs w:val="2"/>
              </w:rPr>
            </w:pPr>
          </w:p>
        </w:tc>
        <w:tc>
          <w:tcPr>
            <w:tcW w:w="1296" w:type="dxa"/>
            <w:vMerge/>
            <w:tcBorders>
              <w:top w:val="nil"/>
              <w:left w:val="single" w:sz="6" w:space="0" w:color="000000"/>
              <w:bottom w:val="single" w:sz="6" w:space="0" w:color="000000"/>
              <w:right w:val="single" w:sz="6" w:space="0" w:color="000000"/>
            </w:tcBorders>
          </w:tcPr>
          <w:p>
            <w:pPr>
              <w:rPr>
                <w:sz w:val="2"/>
                <w:szCs w:val="2"/>
              </w:rPr>
            </w:pPr>
          </w:p>
        </w:tc>
        <w:tc>
          <w:tcPr>
            <w:tcW w:w="2093"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5"/>
              <w:ind w:left="103" w:right="70"/>
              <w:rPr>
                <w:sz w:val="21"/>
              </w:rPr>
            </w:pPr>
            <w:r>
              <w:rPr>
                <w:position w:val="2"/>
                <w:sz w:val="21"/>
              </w:rPr>
              <w:t>H</w:t>
            </w:r>
            <w:r>
              <w:rPr>
                <w:sz w:val="14"/>
              </w:rPr>
              <w:t>2</w:t>
            </w:r>
            <w:r>
              <w:rPr>
                <w:position w:val="2"/>
                <w:sz w:val="21"/>
              </w:rPr>
              <w:t>S</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6"/>
              <w:ind w:right="492"/>
              <w:jc w:val="right"/>
              <w:rPr>
                <w:sz w:val="21"/>
              </w:rPr>
            </w:pPr>
            <w:r>
              <w:rPr>
                <w:sz w:val="21"/>
              </w:rPr>
              <w:t>0.002</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6"/>
              <w:ind w:left="110" w:right="76"/>
              <w:rPr>
                <w:sz w:val="21"/>
              </w:rPr>
            </w:pPr>
            <w:r>
              <w:rPr>
                <w:sz w:val="21"/>
              </w:rPr>
              <w:t>9.81E-07</w:t>
            </w:r>
          </w:p>
        </w:tc>
        <w:tc>
          <w:tcPr>
            <w:tcW w:w="1507" w:type="dxa"/>
            <w:tcBorders>
              <w:top w:val="single" w:sz="6" w:space="0" w:color="000000"/>
              <w:left w:val="single" w:sz="6" w:space="0" w:color="000000"/>
              <w:bottom w:val="single" w:sz="6" w:space="0" w:color="000000"/>
            </w:tcBorders>
          </w:tcPr>
          <w:p>
            <w:pPr>
              <w:pStyle w:val="TableParagraph"/>
              <w:spacing w:before="36"/>
              <w:ind w:left="110" w:right="68"/>
              <w:rPr>
                <w:sz w:val="21"/>
              </w:rPr>
            </w:pPr>
            <w:r>
              <w:rPr>
                <w:sz w:val="21"/>
              </w:rPr>
              <w:t>3.58E-06</w:t>
            </w:r>
          </w:p>
        </w:tc>
      </w:tr>
      <w:tr>
        <w:trPr>
          <w:trHeight w:val="311" w:hRule="atLeast"/>
        </w:trPr>
        <w:tc>
          <w:tcPr>
            <w:tcW w:w="650" w:type="dxa"/>
            <w:vMerge w:val="restart"/>
            <w:tcBorders>
              <w:top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19"/>
              <w:rPr>
                <w:sz w:val="21"/>
              </w:rPr>
            </w:pPr>
            <w:r>
              <w:rPr>
                <w:w w:val="100"/>
                <w:sz w:val="21"/>
              </w:rPr>
              <w:t>5</w:t>
            </w:r>
          </w:p>
        </w:tc>
        <w:tc>
          <w:tcPr>
            <w:tcW w:w="129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97"/>
              <w:ind w:left="256"/>
              <w:jc w:val="left"/>
              <w:rPr>
                <w:sz w:val="21"/>
              </w:rPr>
            </w:pPr>
            <w:r>
              <w:rPr>
                <w:sz w:val="21"/>
              </w:rPr>
              <w:t>DA003-2</w:t>
            </w:r>
          </w:p>
        </w:tc>
        <w:tc>
          <w:tcPr>
            <w:tcW w:w="20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5"/>
              <w:ind w:left="135"/>
              <w:jc w:val="left"/>
              <w:rPr>
                <w:sz w:val="21"/>
              </w:rPr>
            </w:pPr>
            <w:r>
              <w:rPr>
                <w:rFonts w:ascii="宋体" w:eastAsia="宋体" w:hint="eastAsia"/>
                <w:sz w:val="21"/>
              </w:rPr>
              <w:t>病死猪无害化处理 </w:t>
            </w:r>
            <w:r>
              <w:rPr>
                <w:position w:val="1"/>
                <w:sz w:val="21"/>
              </w:rPr>
              <w:t>2</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4"/>
              <w:rPr>
                <w:sz w:val="14"/>
              </w:rPr>
            </w:pPr>
            <w:r>
              <w:rPr>
                <w:position w:val="2"/>
                <w:sz w:val="21"/>
              </w:rPr>
              <w:t>NH</w:t>
            </w:r>
            <w:r>
              <w:rPr>
                <w:sz w:val="14"/>
              </w:rPr>
              <w:t>3</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4"/>
              <w:ind w:right="545"/>
              <w:jc w:val="right"/>
              <w:rPr>
                <w:sz w:val="21"/>
              </w:rPr>
            </w:pPr>
            <w:r>
              <w:rPr>
                <w:sz w:val="21"/>
              </w:rPr>
              <w:t>0.16</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4"/>
              <w:ind w:left="110" w:right="76"/>
              <w:rPr>
                <w:sz w:val="21"/>
              </w:rPr>
            </w:pPr>
            <w:r>
              <w:rPr>
                <w:sz w:val="21"/>
              </w:rPr>
              <w:t>8.18E-05</w:t>
            </w:r>
          </w:p>
        </w:tc>
        <w:tc>
          <w:tcPr>
            <w:tcW w:w="1507" w:type="dxa"/>
            <w:tcBorders>
              <w:top w:val="single" w:sz="6" w:space="0" w:color="000000"/>
              <w:left w:val="single" w:sz="6" w:space="0" w:color="000000"/>
              <w:bottom w:val="single" w:sz="6" w:space="0" w:color="000000"/>
            </w:tcBorders>
          </w:tcPr>
          <w:p>
            <w:pPr>
              <w:pStyle w:val="TableParagraph"/>
              <w:spacing w:before="34"/>
              <w:ind w:left="110" w:right="68"/>
              <w:rPr>
                <w:sz w:val="21"/>
              </w:rPr>
            </w:pPr>
            <w:r>
              <w:rPr>
                <w:sz w:val="21"/>
              </w:rPr>
              <w:t>2.98E-04</w:t>
            </w:r>
          </w:p>
        </w:tc>
      </w:tr>
      <w:tr>
        <w:trPr>
          <w:trHeight w:val="311" w:hRule="atLeast"/>
        </w:trPr>
        <w:tc>
          <w:tcPr>
            <w:tcW w:w="650" w:type="dxa"/>
            <w:vMerge/>
            <w:tcBorders>
              <w:top w:val="nil"/>
              <w:bottom w:val="single" w:sz="6" w:space="0" w:color="000000"/>
              <w:right w:val="single" w:sz="6" w:space="0" w:color="000000"/>
            </w:tcBorders>
          </w:tcPr>
          <w:p>
            <w:pPr>
              <w:rPr>
                <w:sz w:val="2"/>
                <w:szCs w:val="2"/>
              </w:rPr>
            </w:pPr>
          </w:p>
        </w:tc>
        <w:tc>
          <w:tcPr>
            <w:tcW w:w="1296" w:type="dxa"/>
            <w:vMerge/>
            <w:tcBorders>
              <w:top w:val="nil"/>
              <w:left w:val="single" w:sz="6" w:space="0" w:color="000000"/>
              <w:bottom w:val="single" w:sz="6" w:space="0" w:color="000000"/>
              <w:right w:val="single" w:sz="6" w:space="0" w:color="000000"/>
            </w:tcBorders>
          </w:tcPr>
          <w:p>
            <w:pPr>
              <w:rPr>
                <w:sz w:val="2"/>
                <w:szCs w:val="2"/>
              </w:rPr>
            </w:pPr>
          </w:p>
        </w:tc>
        <w:tc>
          <w:tcPr>
            <w:tcW w:w="2093"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0"/>
              <w:rPr>
                <w:sz w:val="21"/>
              </w:rPr>
            </w:pPr>
            <w:r>
              <w:rPr>
                <w:position w:val="2"/>
                <w:sz w:val="21"/>
              </w:rPr>
              <w:t>H</w:t>
            </w:r>
            <w:r>
              <w:rPr>
                <w:sz w:val="14"/>
              </w:rPr>
              <w:t>2</w:t>
            </w:r>
            <w:r>
              <w:rPr>
                <w:position w:val="2"/>
                <w:sz w:val="21"/>
              </w:rPr>
              <w:t>S</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4"/>
              <w:ind w:right="492"/>
              <w:jc w:val="right"/>
              <w:rPr>
                <w:sz w:val="21"/>
              </w:rPr>
            </w:pPr>
            <w:r>
              <w:rPr>
                <w:sz w:val="21"/>
              </w:rPr>
              <w:t>0.002</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4"/>
              <w:ind w:left="110" w:right="76"/>
              <w:rPr>
                <w:sz w:val="21"/>
              </w:rPr>
            </w:pPr>
            <w:r>
              <w:rPr>
                <w:sz w:val="21"/>
              </w:rPr>
              <w:t>9.81E-07</w:t>
            </w:r>
          </w:p>
        </w:tc>
        <w:tc>
          <w:tcPr>
            <w:tcW w:w="1507" w:type="dxa"/>
            <w:tcBorders>
              <w:top w:val="single" w:sz="6" w:space="0" w:color="000000"/>
              <w:left w:val="single" w:sz="6" w:space="0" w:color="000000"/>
              <w:bottom w:val="single" w:sz="6" w:space="0" w:color="000000"/>
            </w:tcBorders>
          </w:tcPr>
          <w:p>
            <w:pPr>
              <w:pStyle w:val="TableParagraph"/>
              <w:spacing w:before="34"/>
              <w:ind w:left="110" w:right="68"/>
              <w:rPr>
                <w:sz w:val="21"/>
              </w:rPr>
            </w:pPr>
            <w:r>
              <w:rPr>
                <w:sz w:val="21"/>
              </w:rPr>
              <w:t>3.58E-06</w:t>
            </w:r>
          </w:p>
        </w:tc>
      </w:tr>
      <w:tr>
        <w:trPr>
          <w:trHeight w:val="311" w:hRule="atLeast"/>
        </w:trPr>
        <w:tc>
          <w:tcPr>
            <w:tcW w:w="650" w:type="dxa"/>
            <w:vMerge w:val="restart"/>
            <w:tcBorders>
              <w:top w:val="single" w:sz="6" w:space="0" w:color="000000"/>
              <w:bottom w:val="single" w:sz="6" w:space="0" w:color="000000"/>
              <w:right w:val="single" w:sz="6" w:space="0" w:color="000000"/>
            </w:tcBorders>
          </w:tcPr>
          <w:p>
            <w:pPr>
              <w:pStyle w:val="TableParagraph"/>
              <w:spacing w:before="9"/>
              <w:jc w:val="left"/>
              <w:rPr>
                <w:rFonts w:ascii="宋体"/>
                <w:b/>
                <w:sz w:val="15"/>
              </w:rPr>
            </w:pPr>
          </w:p>
          <w:p>
            <w:pPr>
              <w:pStyle w:val="TableParagraph"/>
              <w:spacing w:before="1"/>
              <w:ind w:left="19"/>
              <w:rPr>
                <w:sz w:val="21"/>
              </w:rPr>
            </w:pPr>
            <w:r>
              <w:rPr>
                <w:w w:val="100"/>
                <w:sz w:val="21"/>
              </w:rPr>
              <w:t>6</w:t>
            </w:r>
          </w:p>
        </w:tc>
        <w:tc>
          <w:tcPr>
            <w:tcW w:w="129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345"/>
              <w:jc w:val="left"/>
              <w:rPr>
                <w:sz w:val="21"/>
              </w:rPr>
            </w:pPr>
            <w:r>
              <w:rPr>
                <w:sz w:val="21"/>
              </w:rPr>
              <w:t>DA004</w:t>
            </w:r>
          </w:p>
        </w:tc>
        <w:tc>
          <w:tcPr>
            <w:tcW w:w="20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634"/>
              <w:jc w:val="left"/>
              <w:rPr>
                <w:rFonts w:ascii="宋体" w:eastAsia="宋体" w:hint="eastAsia"/>
                <w:sz w:val="21"/>
              </w:rPr>
            </w:pPr>
            <w:r>
              <w:rPr>
                <w:rFonts w:ascii="宋体" w:eastAsia="宋体" w:hint="eastAsia"/>
                <w:sz w:val="21"/>
              </w:rPr>
              <w:t>沼气锅炉</w:t>
            </w: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3"/>
              <w:ind w:left="103" w:right="70"/>
              <w:rPr>
                <w:sz w:val="14"/>
              </w:rPr>
            </w:pPr>
            <w:r>
              <w:rPr>
                <w:position w:val="2"/>
                <w:sz w:val="21"/>
              </w:rPr>
              <w:t>SO</w:t>
            </w:r>
            <w:r>
              <w:rPr>
                <w:sz w:val="14"/>
              </w:rPr>
              <w:t>2</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6"/>
              <w:ind w:right="545"/>
              <w:jc w:val="right"/>
              <w:rPr>
                <w:sz w:val="21"/>
              </w:rPr>
            </w:pPr>
            <w:r>
              <w:rPr>
                <w:sz w:val="21"/>
              </w:rPr>
              <w:t>3.55</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6"/>
              <w:ind w:left="110" w:right="76"/>
              <w:rPr>
                <w:sz w:val="21"/>
              </w:rPr>
            </w:pPr>
            <w:r>
              <w:rPr>
                <w:sz w:val="21"/>
              </w:rPr>
              <w:t>0.0044</w:t>
            </w:r>
          </w:p>
        </w:tc>
        <w:tc>
          <w:tcPr>
            <w:tcW w:w="1507" w:type="dxa"/>
            <w:tcBorders>
              <w:top w:val="single" w:sz="6" w:space="0" w:color="000000"/>
              <w:left w:val="single" w:sz="6" w:space="0" w:color="000000"/>
              <w:bottom w:val="single" w:sz="6" w:space="0" w:color="000000"/>
            </w:tcBorders>
          </w:tcPr>
          <w:p>
            <w:pPr>
              <w:pStyle w:val="TableParagraph"/>
              <w:spacing w:before="36"/>
              <w:ind w:left="105" w:right="68"/>
              <w:rPr>
                <w:sz w:val="21"/>
              </w:rPr>
            </w:pPr>
            <w:r>
              <w:rPr>
                <w:sz w:val="21"/>
              </w:rPr>
              <w:t>0.011</w:t>
            </w:r>
          </w:p>
        </w:tc>
      </w:tr>
      <w:tr>
        <w:trPr>
          <w:trHeight w:val="313" w:hRule="atLeast"/>
        </w:trPr>
        <w:tc>
          <w:tcPr>
            <w:tcW w:w="650" w:type="dxa"/>
            <w:vMerge/>
            <w:tcBorders>
              <w:top w:val="nil"/>
              <w:bottom w:val="single" w:sz="6" w:space="0" w:color="000000"/>
              <w:right w:val="single" w:sz="6" w:space="0" w:color="000000"/>
            </w:tcBorders>
          </w:tcPr>
          <w:p>
            <w:pPr>
              <w:rPr>
                <w:sz w:val="2"/>
                <w:szCs w:val="2"/>
              </w:rPr>
            </w:pPr>
          </w:p>
        </w:tc>
        <w:tc>
          <w:tcPr>
            <w:tcW w:w="1296" w:type="dxa"/>
            <w:vMerge/>
            <w:tcBorders>
              <w:top w:val="nil"/>
              <w:left w:val="single" w:sz="6" w:space="0" w:color="000000"/>
              <w:bottom w:val="single" w:sz="6" w:space="0" w:color="000000"/>
              <w:right w:val="single" w:sz="6" w:space="0" w:color="000000"/>
            </w:tcBorders>
          </w:tcPr>
          <w:p>
            <w:pPr>
              <w:rPr>
                <w:sz w:val="2"/>
                <w:szCs w:val="2"/>
              </w:rPr>
            </w:pPr>
          </w:p>
        </w:tc>
        <w:tc>
          <w:tcPr>
            <w:tcW w:w="2093" w:type="dxa"/>
            <w:vMerge/>
            <w:tcBorders>
              <w:top w:val="nil"/>
              <w:left w:val="single" w:sz="6" w:space="0" w:color="000000"/>
              <w:bottom w:val="single" w:sz="6" w:space="0" w:color="000000"/>
              <w:right w:val="single" w:sz="6" w:space="0" w:color="000000"/>
            </w:tcBorders>
          </w:tcPr>
          <w:p>
            <w:pPr>
              <w:rPr>
                <w:sz w:val="2"/>
                <w:szCs w:val="2"/>
              </w:rPr>
            </w:pPr>
          </w:p>
        </w:tc>
        <w:tc>
          <w:tcPr>
            <w:tcW w:w="866" w:type="dxa"/>
            <w:tcBorders>
              <w:top w:val="single" w:sz="6" w:space="0" w:color="000000"/>
              <w:left w:val="single" w:sz="6" w:space="0" w:color="000000"/>
              <w:bottom w:val="single" w:sz="6" w:space="0" w:color="000000"/>
              <w:right w:val="single" w:sz="6" w:space="0" w:color="000000"/>
            </w:tcBorders>
          </w:tcPr>
          <w:p>
            <w:pPr>
              <w:pStyle w:val="TableParagraph"/>
              <w:spacing w:before="35"/>
              <w:ind w:left="103" w:right="74"/>
              <w:rPr>
                <w:sz w:val="14"/>
              </w:rPr>
            </w:pPr>
            <w:r>
              <w:rPr>
                <w:position w:val="2"/>
                <w:sz w:val="21"/>
              </w:rPr>
              <w:t>NO</w:t>
            </w:r>
            <w:r>
              <w:rPr>
                <w:sz w:val="14"/>
              </w:rPr>
              <w:t>x</w:t>
            </w:r>
          </w:p>
        </w:tc>
        <w:tc>
          <w:tcPr>
            <w:tcW w:w="1509" w:type="dxa"/>
            <w:tcBorders>
              <w:top w:val="single" w:sz="6" w:space="0" w:color="000000"/>
              <w:left w:val="single" w:sz="6" w:space="0" w:color="000000"/>
              <w:bottom w:val="single" w:sz="6" w:space="0" w:color="000000"/>
              <w:right w:val="single" w:sz="6" w:space="0" w:color="000000"/>
            </w:tcBorders>
          </w:tcPr>
          <w:p>
            <w:pPr>
              <w:pStyle w:val="TableParagraph"/>
              <w:spacing w:before="39"/>
              <w:ind w:left="109" w:right="79"/>
              <w:rPr>
                <w:sz w:val="21"/>
              </w:rPr>
            </w:pPr>
            <w:r>
              <w:rPr>
                <w:sz w:val="21"/>
              </w:rPr>
              <w:t>150</w:t>
            </w:r>
          </w:p>
        </w:tc>
        <w:tc>
          <w:tcPr>
            <w:tcW w:w="1507" w:type="dxa"/>
            <w:tcBorders>
              <w:top w:val="single" w:sz="6" w:space="0" w:color="000000"/>
              <w:left w:val="single" w:sz="6" w:space="0" w:color="000000"/>
              <w:bottom w:val="single" w:sz="6" w:space="0" w:color="000000"/>
              <w:right w:val="single" w:sz="6" w:space="0" w:color="000000"/>
            </w:tcBorders>
          </w:tcPr>
          <w:p>
            <w:pPr>
              <w:pStyle w:val="TableParagraph"/>
              <w:spacing w:before="39"/>
              <w:ind w:left="110" w:right="76"/>
              <w:rPr>
                <w:sz w:val="21"/>
              </w:rPr>
            </w:pPr>
            <w:r>
              <w:rPr>
                <w:sz w:val="21"/>
              </w:rPr>
              <w:t>0.1870</w:t>
            </w:r>
          </w:p>
        </w:tc>
        <w:tc>
          <w:tcPr>
            <w:tcW w:w="1507" w:type="dxa"/>
            <w:tcBorders>
              <w:top w:val="single" w:sz="6" w:space="0" w:color="000000"/>
              <w:left w:val="single" w:sz="6" w:space="0" w:color="000000"/>
              <w:bottom w:val="single" w:sz="6" w:space="0" w:color="000000"/>
            </w:tcBorders>
          </w:tcPr>
          <w:p>
            <w:pPr>
              <w:pStyle w:val="TableParagraph"/>
              <w:spacing w:before="39"/>
              <w:ind w:left="110" w:right="68"/>
              <w:rPr>
                <w:sz w:val="21"/>
              </w:rPr>
            </w:pPr>
            <w:r>
              <w:rPr>
                <w:sz w:val="21"/>
              </w:rPr>
              <w:t>0.478</w:t>
            </w:r>
          </w:p>
        </w:tc>
      </w:tr>
      <w:tr>
        <w:trPr>
          <w:trHeight w:val="311" w:hRule="atLeast"/>
        </w:trPr>
        <w:tc>
          <w:tcPr>
            <w:tcW w:w="9428" w:type="dxa"/>
            <w:gridSpan w:val="7"/>
            <w:tcBorders>
              <w:top w:val="single" w:sz="6" w:space="0" w:color="000000"/>
              <w:bottom w:val="single" w:sz="6" w:space="0" w:color="000000"/>
            </w:tcBorders>
          </w:tcPr>
          <w:p>
            <w:pPr>
              <w:pStyle w:val="TableParagraph"/>
              <w:spacing w:before="22"/>
              <w:ind w:left="3960" w:right="3927"/>
              <w:rPr>
                <w:rFonts w:ascii="宋体" w:eastAsia="宋体" w:hint="eastAsia"/>
                <w:sz w:val="21"/>
              </w:rPr>
            </w:pPr>
            <w:r>
              <w:rPr>
                <w:rFonts w:ascii="宋体" w:eastAsia="宋体" w:hint="eastAsia"/>
                <w:sz w:val="21"/>
              </w:rPr>
              <w:t>有组织排放总计</w:t>
            </w:r>
          </w:p>
        </w:tc>
      </w:tr>
      <w:tr>
        <w:trPr>
          <w:trHeight w:val="303" w:hRule="atLeast"/>
        </w:trPr>
        <w:tc>
          <w:tcPr>
            <w:tcW w:w="4039" w:type="dxa"/>
            <w:gridSpan w:val="3"/>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2"/>
              <w:jc w:val="left"/>
              <w:rPr>
                <w:rFonts w:ascii="宋体"/>
                <w:b/>
                <w:sz w:val="20"/>
              </w:rPr>
            </w:pPr>
          </w:p>
          <w:p>
            <w:pPr>
              <w:pStyle w:val="TableParagraph"/>
              <w:spacing w:before="0"/>
              <w:ind w:left="1283"/>
              <w:jc w:val="left"/>
              <w:rPr>
                <w:rFonts w:ascii="宋体" w:eastAsia="宋体" w:hint="eastAsia"/>
                <w:sz w:val="21"/>
              </w:rPr>
            </w:pPr>
            <w:r>
              <w:rPr>
                <w:rFonts w:ascii="宋体" w:eastAsia="宋体" w:hint="eastAsia"/>
                <w:sz w:val="21"/>
              </w:rPr>
              <w:t>有组织排放总计</w:t>
            </w:r>
          </w:p>
        </w:tc>
        <w:tc>
          <w:tcPr>
            <w:tcW w:w="388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3"/>
              <w:ind w:left="1742" w:right="1710"/>
              <w:rPr>
                <w:sz w:val="14"/>
              </w:rPr>
            </w:pPr>
            <w:r>
              <w:rPr>
                <w:position w:val="2"/>
                <w:sz w:val="21"/>
              </w:rPr>
              <w:t>NH</w:t>
            </w:r>
            <w:r>
              <w:rPr>
                <w:sz w:val="14"/>
              </w:rPr>
              <w:t>3</w:t>
            </w:r>
          </w:p>
        </w:tc>
        <w:tc>
          <w:tcPr>
            <w:tcW w:w="1507" w:type="dxa"/>
            <w:tcBorders>
              <w:top w:val="single" w:sz="6" w:space="0" w:color="000000"/>
              <w:left w:val="single" w:sz="6" w:space="0" w:color="000000"/>
              <w:bottom w:val="single" w:sz="6" w:space="0" w:color="000000"/>
            </w:tcBorders>
          </w:tcPr>
          <w:p>
            <w:pPr>
              <w:pStyle w:val="TableParagraph"/>
              <w:spacing w:before="36"/>
              <w:ind w:left="110" w:right="68"/>
              <w:rPr>
                <w:sz w:val="21"/>
              </w:rPr>
            </w:pPr>
            <w:r>
              <w:rPr>
                <w:sz w:val="21"/>
              </w:rPr>
              <w:t>1.913</w:t>
            </w:r>
          </w:p>
        </w:tc>
      </w:tr>
      <w:tr>
        <w:trPr>
          <w:trHeight w:val="296" w:hRule="atLeast"/>
        </w:trPr>
        <w:tc>
          <w:tcPr>
            <w:tcW w:w="4039" w:type="dxa"/>
            <w:gridSpan w:val="3"/>
            <w:vMerge/>
            <w:tcBorders>
              <w:top w:val="nil"/>
              <w:right w:val="single" w:sz="6" w:space="0" w:color="000000"/>
            </w:tcBorders>
          </w:tcPr>
          <w:p>
            <w:pPr>
              <w:rPr>
                <w:sz w:val="2"/>
                <w:szCs w:val="2"/>
              </w:rPr>
            </w:pPr>
          </w:p>
        </w:tc>
        <w:tc>
          <w:tcPr>
            <w:tcW w:w="388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6"/>
              <w:ind w:left="1742" w:right="1710"/>
              <w:rPr>
                <w:sz w:val="21"/>
              </w:rPr>
            </w:pPr>
            <w:r>
              <w:rPr>
                <w:position w:val="2"/>
                <w:sz w:val="21"/>
              </w:rPr>
              <w:t>H</w:t>
            </w:r>
            <w:r>
              <w:rPr>
                <w:sz w:val="14"/>
              </w:rPr>
              <w:t>2</w:t>
            </w:r>
            <w:r>
              <w:rPr>
                <w:position w:val="2"/>
                <w:sz w:val="21"/>
              </w:rPr>
              <w:t>S</w:t>
            </w:r>
          </w:p>
        </w:tc>
        <w:tc>
          <w:tcPr>
            <w:tcW w:w="1507" w:type="dxa"/>
            <w:tcBorders>
              <w:top w:val="single" w:sz="6" w:space="0" w:color="000000"/>
              <w:left w:val="single" w:sz="6" w:space="0" w:color="000000"/>
              <w:bottom w:val="single" w:sz="6" w:space="0" w:color="000000"/>
            </w:tcBorders>
          </w:tcPr>
          <w:p>
            <w:pPr>
              <w:pStyle w:val="TableParagraph"/>
              <w:spacing w:before="29"/>
              <w:ind w:left="110" w:right="68"/>
              <w:rPr>
                <w:sz w:val="21"/>
              </w:rPr>
            </w:pPr>
            <w:r>
              <w:rPr>
                <w:sz w:val="21"/>
              </w:rPr>
              <w:t>0.047</w:t>
            </w:r>
          </w:p>
        </w:tc>
      </w:tr>
      <w:tr>
        <w:trPr>
          <w:trHeight w:val="298" w:hRule="atLeast"/>
        </w:trPr>
        <w:tc>
          <w:tcPr>
            <w:tcW w:w="4039" w:type="dxa"/>
            <w:gridSpan w:val="3"/>
            <w:vMerge/>
            <w:tcBorders>
              <w:top w:val="nil"/>
              <w:right w:val="single" w:sz="6" w:space="0" w:color="000000"/>
            </w:tcBorders>
          </w:tcPr>
          <w:p>
            <w:pPr>
              <w:rPr>
                <w:sz w:val="2"/>
                <w:szCs w:val="2"/>
              </w:rPr>
            </w:pPr>
          </w:p>
        </w:tc>
        <w:tc>
          <w:tcPr>
            <w:tcW w:w="388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8"/>
              <w:ind w:left="1742" w:right="1710"/>
              <w:rPr>
                <w:sz w:val="14"/>
              </w:rPr>
            </w:pPr>
            <w:r>
              <w:rPr>
                <w:position w:val="2"/>
                <w:sz w:val="21"/>
              </w:rPr>
              <w:t>SO</w:t>
            </w:r>
            <w:r>
              <w:rPr>
                <w:sz w:val="14"/>
              </w:rPr>
              <w:t>2</w:t>
            </w:r>
          </w:p>
        </w:tc>
        <w:tc>
          <w:tcPr>
            <w:tcW w:w="1507" w:type="dxa"/>
            <w:tcBorders>
              <w:top w:val="single" w:sz="6" w:space="0" w:color="000000"/>
              <w:left w:val="single" w:sz="6" w:space="0" w:color="000000"/>
              <w:bottom w:val="single" w:sz="6" w:space="0" w:color="000000"/>
            </w:tcBorders>
          </w:tcPr>
          <w:p>
            <w:pPr>
              <w:pStyle w:val="TableParagraph"/>
              <w:spacing w:before="31"/>
              <w:ind w:left="105" w:right="68"/>
              <w:rPr>
                <w:sz w:val="21"/>
              </w:rPr>
            </w:pPr>
            <w:r>
              <w:rPr>
                <w:sz w:val="21"/>
              </w:rPr>
              <w:t>0.011</w:t>
            </w:r>
          </w:p>
        </w:tc>
      </w:tr>
      <w:tr>
        <w:trPr>
          <w:trHeight w:val="303" w:hRule="atLeast"/>
        </w:trPr>
        <w:tc>
          <w:tcPr>
            <w:tcW w:w="4039" w:type="dxa"/>
            <w:gridSpan w:val="3"/>
            <w:vMerge/>
            <w:tcBorders>
              <w:top w:val="nil"/>
              <w:right w:val="single" w:sz="6" w:space="0" w:color="000000"/>
            </w:tcBorders>
          </w:tcPr>
          <w:p>
            <w:pPr>
              <w:rPr>
                <w:sz w:val="2"/>
                <w:szCs w:val="2"/>
              </w:rPr>
            </w:pPr>
          </w:p>
        </w:tc>
        <w:tc>
          <w:tcPr>
            <w:tcW w:w="3882" w:type="dxa"/>
            <w:gridSpan w:val="3"/>
            <w:tcBorders>
              <w:top w:val="single" w:sz="6" w:space="0" w:color="000000"/>
              <w:left w:val="single" w:sz="6" w:space="0" w:color="000000"/>
              <w:right w:val="single" w:sz="6" w:space="0" w:color="000000"/>
            </w:tcBorders>
          </w:tcPr>
          <w:p>
            <w:pPr>
              <w:pStyle w:val="TableParagraph"/>
              <w:spacing w:before="25"/>
              <w:ind w:left="1742" w:right="1710"/>
              <w:rPr>
                <w:sz w:val="14"/>
              </w:rPr>
            </w:pPr>
            <w:r>
              <w:rPr>
                <w:position w:val="2"/>
                <w:sz w:val="21"/>
              </w:rPr>
              <w:t>NO</w:t>
            </w:r>
            <w:r>
              <w:rPr>
                <w:sz w:val="14"/>
              </w:rPr>
              <w:t>x</w:t>
            </w:r>
          </w:p>
        </w:tc>
        <w:tc>
          <w:tcPr>
            <w:tcW w:w="1507" w:type="dxa"/>
            <w:tcBorders>
              <w:top w:val="single" w:sz="6" w:space="0" w:color="000000"/>
              <w:left w:val="single" w:sz="6" w:space="0" w:color="000000"/>
            </w:tcBorders>
          </w:tcPr>
          <w:p>
            <w:pPr>
              <w:pStyle w:val="TableParagraph"/>
              <w:spacing w:before="29"/>
              <w:ind w:left="110" w:right="68"/>
              <w:rPr>
                <w:sz w:val="21"/>
              </w:rPr>
            </w:pPr>
            <w:r>
              <w:rPr>
                <w:sz w:val="21"/>
              </w:rPr>
              <w:t>0.478</w:t>
            </w:r>
          </w:p>
        </w:tc>
      </w:tr>
    </w:tbl>
    <w:p>
      <w:pPr>
        <w:pStyle w:val="ListParagraph"/>
        <w:numPr>
          <w:ilvl w:val="0"/>
          <w:numId w:val="72"/>
        </w:numPr>
        <w:tabs>
          <w:tab w:pos="1323" w:val="left" w:leader="none"/>
        </w:tabs>
        <w:spacing w:line="240" w:lineRule="auto" w:before="81" w:after="0"/>
        <w:ind w:left="1323" w:right="0" w:hanging="604"/>
        <w:jc w:val="left"/>
        <w:rPr>
          <w:b/>
          <w:sz w:val="24"/>
        </w:rPr>
      </w:pPr>
      <w:r>
        <w:rPr>
          <w:b/>
          <w:sz w:val="24"/>
        </w:rPr>
        <w:t>无组织排放量核算</w:t>
      </w:r>
    </w:p>
    <w:p>
      <w:pPr>
        <w:spacing w:before="161"/>
        <w:ind w:left="217" w:right="236" w:firstLine="0"/>
        <w:jc w:val="center"/>
        <w:rPr>
          <w:b/>
          <w:sz w:val="24"/>
        </w:rPr>
      </w:pPr>
      <w:r>
        <w:rPr>
          <w:b/>
          <w:sz w:val="24"/>
        </w:rPr>
        <w:t>表 </w:t>
      </w:r>
      <w:r>
        <w:rPr>
          <w:rFonts w:ascii="Times New Roman" w:eastAsia="Times New Roman"/>
          <w:b/>
          <w:sz w:val="24"/>
        </w:rPr>
        <w:t>5.2-11 </w:t>
      </w:r>
      <w:r>
        <w:rPr>
          <w:b/>
          <w:sz w:val="24"/>
        </w:rPr>
        <w:t>大气污染物无组织排放量核算表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
        <w:gridCol w:w="953"/>
        <w:gridCol w:w="850"/>
        <w:gridCol w:w="710"/>
        <w:gridCol w:w="1721"/>
        <w:gridCol w:w="1593"/>
        <w:gridCol w:w="2081"/>
        <w:gridCol w:w="1090"/>
      </w:tblGrid>
      <w:tr>
        <w:trPr>
          <w:trHeight w:val="313" w:hRule="atLeast"/>
        </w:trPr>
        <w:tc>
          <w:tcPr>
            <w:tcW w:w="432" w:type="dxa"/>
            <w:vMerge w:val="restart"/>
            <w:tcBorders>
              <w:bottom w:val="single" w:sz="6" w:space="0" w:color="000000"/>
              <w:right w:val="single" w:sz="6" w:space="0" w:color="000000"/>
            </w:tcBorders>
          </w:tcPr>
          <w:p>
            <w:pPr>
              <w:pStyle w:val="TableParagraph"/>
              <w:spacing w:before="31"/>
              <w:ind w:left="109"/>
              <w:jc w:val="left"/>
              <w:rPr>
                <w:rFonts w:ascii="宋体" w:eastAsia="宋体" w:hint="eastAsia"/>
                <w:b/>
                <w:sz w:val="21"/>
              </w:rPr>
            </w:pPr>
            <w:r>
              <w:rPr>
                <w:rFonts w:ascii="宋体" w:eastAsia="宋体" w:hint="eastAsia"/>
                <w:b/>
                <w:w w:val="100"/>
                <w:sz w:val="21"/>
              </w:rPr>
              <w:t>序</w:t>
            </w:r>
          </w:p>
          <w:p>
            <w:pPr>
              <w:pStyle w:val="TableParagraph"/>
              <w:spacing w:before="43"/>
              <w:ind w:left="109"/>
              <w:jc w:val="left"/>
              <w:rPr>
                <w:rFonts w:ascii="宋体" w:eastAsia="宋体" w:hint="eastAsia"/>
                <w:b/>
                <w:sz w:val="21"/>
              </w:rPr>
            </w:pPr>
            <w:r>
              <w:rPr>
                <w:rFonts w:ascii="宋体" w:eastAsia="宋体" w:hint="eastAsia"/>
                <w:b/>
                <w:w w:val="100"/>
                <w:sz w:val="21"/>
              </w:rPr>
              <w:t>号</w:t>
            </w:r>
          </w:p>
        </w:tc>
        <w:tc>
          <w:tcPr>
            <w:tcW w:w="953" w:type="dxa"/>
            <w:vMerge w:val="restart"/>
            <w:tcBorders>
              <w:left w:val="single" w:sz="6" w:space="0" w:color="000000"/>
              <w:bottom w:val="single" w:sz="6" w:space="0" w:color="000000"/>
              <w:right w:val="single" w:sz="6" w:space="0" w:color="000000"/>
            </w:tcBorders>
          </w:tcPr>
          <w:p>
            <w:pPr>
              <w:pStyle w:val="TableParagraph"/>
              <w:spacing w:before="31"/>
              <w:ind w:left="145" w:right="119"/>
              <w:rPr>
                <w:rFonts w:ascii="宋体" w:eastAsia="宋体" w:hint="eastAsia"/>
                <w:b/>
                <w:sz w:val="21"/>
              </w:rPr>
            </w:pPr>
            <w:r>
              <w:rPr>
                <w:rFonts w:ascii="宋体" w:eastAsia="宋体" w:hint="eastAsia"/>
                <w:b/>
                <w:sz w:val="21"/>
              </w:rPr>
              <w:t>排放口</w:t>
            </w:r>
          </w:p>
          <w:p>
            <w:pPr>
              <w:pStyle w:val="TableParagraph"/>
              <w:spacing w:before="43"/>
              <w:ind w:left="145" w:right="119"/>
              <w:rPr>
                <w:rFonts w:ascii="宋体" w:eastAsia="宋体" w:hint="eastAsia"/>
                <w:b/>
                <w:sz w:val="21"/>
              </w:rPr>
            </w:pPr>
            <w:r>
              <w:rPr>
                <w:rFonts w:ascii="宋体" w:eastAsia="宋体" w:hint="eastAsia"/>
                <w:b/>
                <w:sz w:val="21"/>
              </w:rPr>
              <w:t>编号</w:t>
            </w:r>
          </w:p>
        </w:tc>
        <w:tc>
          <w:tcPr>
            <w:tcW w:w="850" w:type="dxa"/>
            <w:vMerge w:val="restart"/>
            <w:tcBorders>
              <w:left w:val="single" w:sz="6" w:space="0" w:color="000000"/>
              <w:bottom w:val="single" w:sz="6" w:space="0" w:color="000000"/>
              <w:right w:val="single" w:sz="6" w:space="0" w:color="000000"/>
            </w:tcBorders>
          </w:tcPr>
          <w:p>
            <w:pPr>
              <w:pStyle w:val="TableParagraph"/>
              <w:spacing w:before="31"/>
              <w:ind w:left="92" w:right="69"/>
              <w:rPr>
                <w:rFonts w:ascii="宋体" w:eastAsia="宋体" w:hint="eastAsia"/>
                <w:b/>
                <w:sz w:val="21"/>
              </w:rPr>
            </w:pPr>
            <w:r>
              <w:rPr>
                <w:rFonts w:ascii="宋体" w:eastAsia="宋体" w:hint="eastAsia"/>
                <w:b/>
                <w:sz w:val="21"/>
              </w:rPr>
              <w:t>产污环</w:t>
            </w:r>
          </w:p>
          <w:p>
            <w:pPr>
              <w:pStyle w:val="TableParagraph"/>
              <w:spacing w:before="43"/>
              <w:ind w:left="23"/>
              <w:rPr>
                <w:rFonts w:ascii="宋体" w:eastAsia="宋体" w:hint="eastAsia"/>
                <w:b/>
                <w:sz w:val="21"/>
              </w:rPr>
            </w:pPr>
            <w:r>
              <w:rPr>
                <w:rFonts w:ascii="宋体" w:eastAsia="宋体" w:hint="eastAsia"/>
                <w:b/>
                <w:w w:val="100"/>
                <w:sz w:val="21"/>
              </w:rPr>
              <w:t>节</w:t>
            </w:r>
          </w:p>
        </w:tc>
        <w:tc>
          <w:tcPr>
            <w:tcW w:w="710" w:type="dxa"/>
            <w:vMerge w:val="restart"/>
            <w:tcBorders>
              <w:left w:val="single" w:sz="6" w:space="0" w:color="000000"/>
              <w:bottom w:val="single" w:sz="6" w:space="0" w:color="000000"/>
              <w:right w:val="single" w:sz="6" w:space="0" w:color="000000"/>
            </w:tcBorders>
          </w:tcPr>
          <w:p>
            <w:pPr>
              <w:pStyle w:val="TableParagraph"/>
              <w:spacing w:before="31"/>
              <w:ind w:left="128" w:right="104"/>
              <w:rPr>
                <w:rFonts w:ascii="宋体" w:eastAsia="宋体" w:hint="eastAsia"/>
                <w:b/>
                <w:sz w:val="21"/>
              </w:rPr>
            </w:pPr>
            <w:r>
              <w:rPr>
                <w:rFonts w:ascii="宋体" w:eastAsia="宋体" w:hint="eastAsia"/>
                <w:b/>
                <w:sz w:val="21"/>
              </w:rPr>
              <w:t>污染</w:t>
            </w:r>
          </w:p>
          <w:p>
            <w:pPr>
              <w:pStyle w:val="TableParagraph"/>
              <w:spacing w:before="43"/>
              <w:ind w:left="24"/>
              <w:rPr>
                <w:rFonts w:ascii="宋体" w:eastAsia="宋体" w:hint="eastAsia"/>
                <w:b/>
                <w:sz w:val="21"/>
              </w:rPr>
            </w:pPr>
            <w:r>
              <w:rPr>
                <w:rFonts w:ascii="宋体" w:eastAsia="宋体" w:hint="eastAsia"/>
                <w:b/>
                <w:w w:val="100"/>
                <w:sz w:val="21"/>
              </w:rPr>
              <w:t>物</w:t>
            </w:r>
          </w:p>
        </w:tc>
        <w:tc>
          <w:tcPr>
            <w:tcW w:w="1721" w:type="dxa"/>
            <w:vMerge w:val="restart"/>
            <w:tcBorders>
              <w:left w:val="single" w:sz="6" w:space="0" w:color="000000"/>
              <w:bottom w:val="single" w:sz="6" w:space="0" w:color="000000"/>
              <w:right w:val="single" w:sz="6" w:space="0" w:color="000000"/>
            </w:tcBorders>
          </w:tcPr>
          <w:p>
            <w:pPr>
              <w:pStyle w:val="TableParagraph"/>
              <w:spacing w:before="31"/>
              <w:ind w:left="108" w:right="82"/>
              <w:rPr>
                <w:rFonts w:ascii="宋体" w:eastAsia="宋体" w:hint="eastAsia"/>
                <w:b/>
                <w:sz w:val="21"/>
              </w:rPr>
            </w:pPr>
            <w:r>
              <w:rPr>
                <w:rFonts w:ascii="宋体" w:eastAsia="宋体" w:hint="eastAsia"/>
                <w:b/>
                <w:sz w:val="21"/>
              </w:rPr>
              <w:t>主要污染防治措</w:t>
            </w:r>
          </w:p>
          <w:p>
            <w:pPr>
              <w:pStyle w:val="TableParagraph"/>
              <w:spacing w:before="43"/>
              <w:ind w:left="26"/>
              <w:rPr>
                <w:rFonts w:ascii="宋体" w:eastAsia="宋体" w:hint="eastAsia"/>
                <w:b/>
                <w:sz w:val="21"/>
              </w:rPr>
            </w:pPr>
            <w:r>
              <w:rPr>
                <w:rFonts w:ascii="宋体" w:eastAsia="宋体" w:hint="eastAsia"/>
                <w:b/>
                <w:w w:val="100"/>
                <w:sz w:val="21"/>
              </w:rPr>
              <w:t>施</w:t>
            </w:r>
          </w:p>
        </w:tc>
        <w:tc>
          <w:tcPr>
            <w:tcW w:w="3674" w:type="dxa"/>
            <w:gridSpan w:val="2"/>
            <w:tcBorders>
              <w:left w:val="single" w:sz="6" w:space="0" w:color="000000"/>
              <w:bottom w:val="single" w:sz="6" w:space="0" w:color="000000"/>
              <w:right w:val="single" w:sz="6" w:space="0" w:color="000000"/>
            </w:tcBorders>
          </w:tcPr>
          <w:p>
            <w:pPr>
              <w:pStyle w:val="TableParagraph"/>
              <w:spacing w:before="24"/>
              <w:ind w:left="578"/>
              <w:jc w:val="left"/>
              <w:rPr>
                <w:rFonts w:ascii="宋体" w:eastAsia="宋体" w:hint="eastAsia"/>
                <w:b/>
                <w:sz w:val="21"/>
              </w:rPr>
            </w:pPr>
            <w:r>
              <w:rPr>
                <w:rFonts w:ascii="宋体" w:eastAsia="宋体" w:hint="eastAsia"/>
                <w:b/>
                <w:sz w:val="21"/>
              </w:rPr>
              <w:t>国家或地方污染物排放标准</w:t>
            </w:r>
          </w:p>
        </w:tc>
        <w:tc>
          <w:tcPr>
            <w:tcW w:w="1090" w:type="dxa"/>
            <w:vMerge w:val="restart"/>
            <w:tcBorders>
              <w:left w:val="single" w:sz="6" w:space="0" w:color="000000"/>
              <w:bottom w:val="single" w:sz="6" w:space="0" w:color="000000"/>
            </w:tcBorders>
          </w:tcPr>
          <w:p>
            <w:pPr>
              <w:pStyle w:val="TableParagraph"/>
              <w:spacing w:before="31"/>
              <w:ind w:left="98" w:right="60"/>
              <w:rPr>
                <w:rFonts w:ascii="宋体" w:eastAsia="宋体" w:hint="eastAsia"/>
                <w:b/>
                <w:sz w:val="21"/>
              </w:rPr>
            </w:pPr>
            <w:r>
              <w:rPr>
                <w:rFonts w:ascii="宋体" w:eastAsia="宋体" w:hint="eastAsia"/>
                <w:b/>
                <w:sz w:val="21"/>
              </w:rPr>
              <w:t>年排放</w:t>
            </w:r>
          </w:p>
          <w:p>
            <w:pPr>
              <w:pStyle w:val="TableParagraph"/>
              <w:spacing w:before="43"/>
              <w:ind w:left="98" w:right="62"/>
              <w:rPr>
                <w:rFonts w:ascii="宋体" w:eastAsia="宋体" w:hint="eastAsia"/>
                <w:b/>
                <w:sz w:val="21"/>
              </w:rPr>
            </w:pPr>
            <w:r>
              <w:rPr>
                <w:rFonts w:ascii="宋体" w:eastAsia="宋体" w:hint="eastAsia"/>
                <w:b/>
                <w:sz w:val="21"/>
              </w:rPr>
              <w:t>量（</w:t>
            </w:r>
            <w:r>
              <w:rPr>
                <w:b/>
                <w:sz w:val="21"/>
              </w:rPr>
              <w:t>t/a</w:t>
            </w:r>
            <w:r>
              <w:rPr>
                <w:rFonts w:ascii="宋体" w:eastAsia="宋体" w:hint="eastAsia"/>
                <w:b/>
                <w:sz w:val="21"/>
              </w:rPr>
              <w:t>）</w:t>
            </w:r>
          </w:p>
        </w:tc>
      </w:tr>
      <w:tr>
        <w:trPr>
          <w:trHeight w:val="311" w:hRule="atLeast"/>
        </w:trPr>
        <w:tc>
          <w:tcPr>
            <w:tcW w:w="432" w:type="dxa"/>
            <w:vMerge/>
            <w:tcBorders>
              <w:top w:val="nil"/>
              <w:bottom w:val="single" w:sz="6" w:space="0" w:color="000000"/>
              <w:right w:val="single" w:sz="6" w:space="0" w:color="000000"/>
            </w:tcBorders>
          </w:tcPr>
          <w:p>
            <w:pPr>
              <w:rPr>
                <w:sz w:val="2"/>
                <w:szCs w:val="2"/>
              </w:rPr>
            </w:pPr>
          </w:p>
        </w:tc>
        <w:tc>
          <w:tcPr>
            <w:tcW w:w="953" w:type="dxa"/>
            <w:vMerge/>
            <w:tcBorders>
              <w:top w:val="nil"/>
              <w:left w:val="single" w:sz="6" w:space="0" w:color="000000"/>
              <w:bottom w:val="single" w:sz="6" w:space="0" w:color="000000"/>
              <w:right w:val="single" w:sz="6" w:space="0" w:color="000000"/>
            </w:tcBorders>
          </w:tcPr>
          <w:p>
            <w:pPr>
              <w:rPr>
                <w:sz w:val="2"/>
                <w:szCs w:val="2"/>
              </w:rPr>
            </w:pPr>
          </w:p>
        </w:tc>
        <w:tc>
          <w:tcPr>
            <w:tcW w:w="850" w:type="dxa"/>
            <w:vMerge/>
            <w:tcBorders>
              <w:top w:val="nil"/>
              <w:left w:val="single" w:sz="6" w:space="0" w:color="000000"/>
              <w:bottom w:val="single" w:sz="6" w:space="0" w:color="000000"/>
              <w:right w:val="single" w:sz="6" w:space="0" w:color="000000"/>
            </w:tcBorders>
          </w:tcPr>
          <w:p>
            <w:pPr>
              <w:rPr>
                <w:sz w:val="2"/>
                <w:szCs w:val="2"/>
              </w:rPr>
            </w:pPr>
          </w:p>
        </w:tc>
        <w:tc>
          <w:tcPr>
            <w:tcW w:w="710" w:type="dxa"/>
            <w:vMerge/>
            <w:tcBorders>
              <w:top w:val="nil"/>
              <w:left w:val="single" w:sz="6" w:space="0" w:color="000000"/>
              <w:bottom w:val="single" w:sz="6" w:space="0" w:color="000000"/>
              <w:right w:val="single" w:sz="6" w:space="0" w:color="000000"/>
            </w:tcBorders>
          </w:tcPr>
          <w:p>
            <w:pPr>
              <w:rPr>
                <w:sz w:val="2"/>
                <w:szCs w:val="2"/>
              </w:rPr>
            </w:pPr>
          </w:p>
        </w:tc>
        <w:tc>
          <w:tcPr>
            <w:tcW w:w="1721" w:type="dxa"/>
            <w:vMerge/>
            <w:tcBorders>
              <w:top w:val="nil"/>
              <w:left w:val="single" w:sz="6" w:space="0" w:color="000000"/>
              <w:bottom w:val="single" w:sz="6" w:space="0" w:color="000000"/>
              <w:right w:val="single" w:sz="6" w:space="0" w:color="000000"/>
            </w:tcBorders>
          </w:tcPr>
          <w:p>
            <w:pPr>
              <w:rPr>
                <w:sz w:val="2"/>
                <w:szCs w:val="2"/>
              </w:rPr>
            </w:pPr>
          </w:p>
        </w:tc>
        <w:tc>
          <w:tcPr>
            <w:tcW w:w="1593" w:type="dxa"/>
            <w:tcBorders>
              <w:top w:val="single" w:sz="6" w:space="0" w:color="000000"/>
              <w:left w:val="single" w:sz="6" w:space="0" w:color="000000"/>
              <w:bottom w:val="single" w:sz="6" w:space="0" w:color="000000"/>
              <w:right w:val="single" w:sz="6" w:space="0" w:color="000000"/>
            </w:tcBorders>
          </w:tcPr>
          <w:p>
            <w:pPr>
              <w:pStyle w:val="TableParagraph"/>
              <w:spacing w:before="22"/>
              <w:ind w:left="362" w:right="332"/>
              <w:rPr>
                <w:rFonts w:ascii="宋体" w:eastAsia="宋体" w:hint="eastAsia"/>
                <w:b/>
                <w:sz w:val="21"/>
              </w:rPr>
            </w:pPr>
            <w:r>
              <w:rPr>
                <w:rFonts w:ascii="宋体" w:eastAsia="宋体" w:hint="eastAsia"/>
                <w:b/>
                <w:sz w:val="21"/>
              </w:rPr>
              <w:t>标准名称</w:t>
            </w:r>
          </w:p>
        </w:tc>
        <w:tc>
          <w:tcPr>
            <w:tcW w:w="2081" w:type="dxa"/>
            <w:tcBorders>
              <w:top w:val="single" w:sz="6" w:space="0" w:color="000000"/>
              <w:left w:val="single" w:sz="6" w:space="0" w:color="000000"/>
              <w:bottom w:val="single" w:sz="6" w:space="0" w:color="000000"/>
              <w:right w:val="single" w:sz="6" w:space="0" w:color="000000"/>
            </w:tcBorders>
          </w:tcPr>
          <w:p>
            <w:pPr>
              <w:pStyle w:val="TableParagraph"/>
              <w:spacing w:before="22"/>
              <w:ind w:left="107" w:right="76"/>
              <w:rPr>
                <w:rFonts w:ascii="宋体" w:hAnsi="宋体" w:eastAsia="宋体" w:hint="eastAsia"/>
                <w:b/>
                <w:sz w:val="21"/>
              </w:rPr>
            </w:pPr>
            <w:r>
              <w:rPr>
                <w:rFonts w:ascii="宋体" w:hAnsi="宋体" w:eastAsia="宋体" w:hint="eastAsia"/>
                <w:b/>
                <w:sz w:val="21"/>
              </w:rPr>
              <w:t>浓度限值（</w:t>
            </w:r>
            <w:r>
              <w:rPr>
                <w:b/>
                <w:sz w:val="21"/>
              </w:rPr>
              <w:t>mg/m³</w:t>
            </w:r>
            <w:r>
              <w:rPr>
                <w:rFonts w:ascii="宋体" w:hAnsi="宋体" w:eastAsia="宋体" w:hint="eastAsia"/>
                <w:b/>
                <w:sz w:val="21"/>
              </w:rPr>
              <w:t>）</w:t>
            </w:r>
          </w:p>
        </w:tc>
        <w:tc>
          <w:tcPr>
            <w:tcW w:w="1090" w:type="dxa"/>
            <w:vMerge/>
            <w:tcBorders>
              <w:top w:val="nil"/>
              <w:left w:val="single" w:sz="6" w:space="0" w:color="000000"/>
              <w:bottom w:val="single" w:sz="6" w:space="0" w:color="000000"/>
            </w:tcBorders>
          </w:tcPr>
          <w:p>
            <w:pPr>
              <w:rPr>
                <w:sz w:val="2"/>
                <w:szCs w:val="2"/>
              </w:rPr>
            </w:pPr>
          </w:p>
        </w:tc>
      </w:tr>
      <w:tr>
        <w:trPr>
          <w:trHeight w:val="311" w:hRule="atLeast"/>
        </w:trPr>
        <w:tc>
          <w:tcPr>
            <w:tcW w:w="432" w:type="dxa"/>
            <w:vMerge w:val="restart"/>
            <w:tcBorders>
              <w:top w:val="single" w:sz="6" w:space="0" w:color="000000"/>
              <w:bottom w:val="single" w:sz="6" w:space="0" w:color="000000"/>
              <w:right w:val="single" w:sz="6" w:space="0" w:color="000000"/>
            </w:tcBorders>
          </w:tcPr>
          <w:p>
            <w:pPr>
              <w:pStyle w:val="TableParagraph"/>
              <w:spacing w:before="9"/>
              <w:jc w:val="left"/>
              <w:rPr>
                <w:rFonts w:ascii="宋体"/>
                <w:b/>
                <w:sz w:val="15"/>
              </w:rPr>
            </w:pPr>
          </w:p>
          <w:p>
            <w:pPr>
              <w:pStyle w:val="TableParagraph"/>
              <w:spacing w:before="1"/>
              <w:ind w:left="21"/>
              <w:rPr>
                <w:sz w:val="21"/>
              </w:rPr>
            </w:pPr>
            <w:r>
              <w:rPr>
                <w:w w:val="100"/>
                <w:sz w:val="21"/>
              </w:rPr>
              <w:t>1</w:t>
            </w:r>
          </w:p>
        </w:tc>
        <w:tc>
          <w:tcPr>
            <w:tcW w:w="95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27"/>
              <w:rPr>
                <w:sz w:val="21"/>
              </w:rPr>
            </w:pPr>
            <w:r>
              <w:rPr>
                <w:w w:val="100"/>
                <w:sz w:val="21"/>
              </w:rPr>
              <w:t>/</w:t>
            </w:r>
          </w:p>
        </w:tc>
        <w:tc>
          <w:tcPr>
            <w:tcW w:w="8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220"/>
              <w:jc w:val="left"/>
              <w:rPr>
                <w:rFonts w:ascii="宋体" w:eastAsia="宋体" w:hint="eastAsia"/>
                <w:sz w:val="21"/>
              </w:rPr>
            </w:pPr>
            <w:r>
              <w:rPr>
                <w:rFonts w:ascii="宋体" w:eastAsia="宋体" w:hint="eastAsia"/>
                <w:sz w:val="21"/>
              </w:rPr>
              <w:t>猪舍</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33"/>
              <w:ind w:left="128" w:right="104"/>
              <w:rPr>
                <w:sz w:val="14"/>
              </w:rPr>
            </w:pPr>
            <w:r>
              <w:rPr>
                <w:position w:val="2"/>
                <w:sz w:val="21"/>
              </w:rPr>
              <w:t>NH</w:t>
            </w:r>
            <w:r>
              <w:rPr>
                <w:sz w:val="14"/>
              </w:rPr>
              <w:t>3</w:t>
            </w:r>
          </w:p>
        </w:tc>
        <w:tc>
          <w:tcPr>
            <w:tcW w:w="1721"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8" w:lineRule="auto" w:before="46"/>
              <w:ind w:left="112" w:right="-29" w:firstLine="16"/>
              <w:jc w:val="both"/>
              <w:rPr>
                <w:rFonts w:ascii="宋体" w:eastAsia="宋体" w:hint="eastAsia"/>
                <w:sz w:val="21"/>
              </w:rPr>
            </w:pPr>
            <w:r>
              <w:rPr>
                <w:rFonts w:ascii="宋体" w:eastAsia="宋体" w:hint="eastAsia"/>
                <w:spacing w:val="-2"/>
                <w:sz w:val="21"/>
              </w:rPr>
              <w:t>加强通风、日常</w:t>
            </w:r>
            <w:r>
              <w:rPr>
                <w:rFonts w:ascii="宋体" w:eastAsia="宋体" w:hint="eastAsia"/>
                <w:spacing w:val="-3"/>
                <w:sz w:val="21"/>
              </w:rPr>
              <w:t>除臭、合理配方</w:t>
            </w:r>
            <w:r>
              <w:rPr>
                <w:rFonts w:ascii="宋体" w:eastAsia="宋体" w:hint="eastAsia"/>
                <w:spacing w:val="-13"/>
                <w:sz w:val="21"/>
              </w:rPr>
              <w:t>饲料、及时清粪、</w:t>
            </w:r>
          </w:p>
          <w:p>
            <w:pPr>
              <w:pStyle w:val="TableParagraph"/>
              <w:spacing w:before="0"/>
              <w:ind w:left="177"/>
              <w:jc w:val="left"/>
              <w:rPr>
                <w:rFonts w:ascii="宋体" w:eastAsia="宋体" w:hint="eastAsia"/>
                <w:sz w:val="21"/>
              </w:rPr>
            </w:pPr>
            <w:r>
              <w:rPr>
                <w:rFonts w:ascii="宋体" w:eastAsia="宋体" w:hint="eastAsia"/>
                <w:sz w:val="21"/>
              </w:rPr>
              <w:t>有效收集</w:t>
            </w:r>
            <w:r>
              <w:rPr>
                <w:sz w:val="21"/>
              </w:rPr>
              <w:t>+</w:t>
            </w:r>
            <w:r>
              <w:rPr>
                <w:rFonts w:ascii="宋体" w:eastAsia="宋体" w:hint="eastAsia"/>
                <w:sz w:val="21"/>
              </w:rPr>
              <w:t>除臭</w:t>
            </w:r>
          </w:p>
        </w:tc>
        <w:tc>
          <w:tcPr>
            <w:tcW w:w="15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15"/>
              </w:rPr>
            </w:pPr>
          </w:p>
          <w:p>
            <w:pPr>
              <w:pStyle w:val="TableParagraph"/>
              <w:spacing w:before="1"/>
              <w:ind w:left="228"/>
              <w:jc w:val="left"/>
              <w:rPr>
                <w:sz w:val="21"/>
              </w:rPr>
            </w:pPr>
            <w:r>
              <w:rPr>
                <w:sz w:val="21"/>
              </w:rPr>
              <w:t>GB 14554-93</w:t>
            </w:r>
          </w:p>
        </w:tc>
        <w:tc>
          <w:tcPr>
            <w:tcW w:w="2081" w:type="dxa"/>
            <w:tcBorders>
              <w:top w:val="single" w:sz="6" w:space="0" w:color="000000"/>
              <w:left w:val="single" w:sz="6" w:space="0" w:color="000000"/>
              <w:bottom w:val="single" w:sz="6" w:space="0" w:color="000000"/>
              <w:right w:val="single" w:sz="6" w:space="0" w:color="000000"/>
            </w:tcBorders>
          </w:tcPr>
          <w:p>
            <w:pPr>
              <w:pStyle w:val="TableParagraph"/>
              <w:spacing w:before="36"/>
              <w:ind w:left="107" w:right="73"/>
              <w:rPr>
                <w:sz w:val="21"/>
              </w:rPr>
            </w:pPr>
            <w:r>
              <w:rPr>
                <w:sz w:val="21"/>
              </w:rPr>
              <w:t>1.5</w:t>
            </w:r>
          </w:p>
        </w:tc>
        <w:tc>
          <w:tcPr>
            <w:tcW w:w="1090" w:type="dxa"/>
            <w:tcBorders>
              <w:top w:val="single" w:sz="6" w:space="0" w:color="000000"/>
              <w:left w:val="single" w:sz="6" w:space="0" w:color="000000"/>
              <w:bottom w:val="single" w:sz="6" w:space="0" w:color="000000"/>
            </w:tcBorders>
          </w:tcPr>
          <w:p>
            <w:pPr>
              <w:pStyle w:val="TableParagraph"/>
              <w:spacing w:before="34"/>
              <w:ind w:left="98" w:right="60"/>
              <w:rPr>
                <w:sz w:val="21"/>
              </w:rPr>
            </w:pPr>
            <w:r>
              <w:rPr>
                <w:sz w:val="21"/>
              </w:rPr>
              <w:t>2.305</w:t>
            </w:r>
          </w:p>
        </w:tc>
      </w:tr>
      <w:tr>
        <w:trPr>
          <w:trHeight w:val="313" w:hRule="atLeast"/>
        </w:trPr>
        <w:tc>
          <w:tcPr>
            <w:tcW w:w="432" w:type="dxa"/>
            <w:vMerge/>
            <w:tcBorders>
              <w:top w:val="nil"/>
              <w:bottom w:val="single" w:sz="6" w:space="0" w:color="000000"/>
              <w:right w:val="single" w:sz="6" w:space="0" w:color="000000"/>
            </w:tcBorders>
          </w:tcPr>
          <w:p>
            <w:pPr>
              <w:rPr>
                <w:sz w:val="2"/>
                <w:szCs w:val="2"/>
              </w:rPr>
            </w:pPr>
          </w:p>
        </w:tc>
        <w:tc>
          <w:tcPr>
            <w:tcW w:w="953" w:type="dxa"/>
            <w:vMerge/>
            <w:tcBorders>
              <w:top w:val="nil"/>
              <w:left w:val="single" w:sz="6" w:space="0" w:color="000000"/>
              <w:bottom w:val="single" w:sz="6" w:space="0" w:color="000000"/>
              <w:right w:val="single" w:sz="6" w:space="0" w:color="000000"/>
            </w:tcBorders>
          </w:tcPr>
          <w:p>
            <w:pPr>
              <w:rPr>
                <w:sz w:val="2"/>
                <w:szCs w:val="2"/>
              </w:rPr>
            </w:pPr>
          </w:p>
        </w:tc>
        <w:tc>
          <w:tcPr>
            <w:tcW w:w="850" w:type="dxa"/>
            <w:vMerge/>
            <w:tcBorders>
              <w:top w:val="nil"/>
              <w:left w:val="single" w:sz="6" w:space="0" w:color="000000"/>
              <w:bottom w:val="single" w:sz="6" w:space="0" w:color="000000"/>
              <w:right w:val="single" w:sz="6" w:space="0" w:color="000000"/>
            </w:tcBorders>
          </w:tcPr>
          <w:p>
            <w:pPr>
              <w:rPr>
                <w:sz w:val="2"/>
                <w:szCs w:val="2"/>
              </w:rPr>
            </w:pP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35"/>
              <w:ind w:left="128" w:right="100"/>
              <w:rPr>
                <w:sz w:val="21"/>
              </w:rPr>
            </w:pPr>
            <w:r>
              <w:rPr>
                <w:position w:val="2"/>
                <w:sz w:val="21"/>
              </w:rPr>
              <w:t>H</w:t>
            </w:r>
            <w:r>
              <w:rPr>
                <w:sz w:val="14"/>
              </w:rPr>
              <w:t>2</w:t>
            </w:r>
            <w:r>
              <w:rPr>
                <w:position w:val="2"/>
                <w:sz w:val="21"/>
              </w:rPr>
              <w:t>S</w:t>
            </w:r>
          </w:p>
        </w:tc>
        <w:tc>
          <w:tcPr>
            <w:tcW w:w="1721" w:type="dxa"/>
            <w:vMerge/>
            <w:tcBorders>
              <w:top w:val="nil"/>
              <w:left w:val="single" w:sz="6" w:space="0" w:color="000000"/>
              <w:bottom w:val="single" w:sz="6" w:space="0" w:color="000000"/>
              <w:right w:val="single" w:sz="6" w:space="0" w:color="000000"/>
            </w:tcBorders>
          </w:tcPr>
          <w:p>
            <w:pPr>
              <w:rPr>
                <w:sz w:val="2"/>
                <w:szCs w:val="2"/>
              </w:rPr>
            </w:pPr>
          </w:p>
        </w:tc>
        <w:tc>
          <w:tcPr>
            <w:tcW w:w="1593" w:type="dxa"/>
            <w:vMerge/>
            <w:tcBorders>
              <w:top w:val="nil"/>
              <w:left w:val="single" w:sz="6" w:space="0" w:color="000000"/>
              <w:bottom w:val="single" w:sz="6" w:space="0" w:color="000000"/>
              <w:right w:val="single" w:sz="6" w:space="0" w:color="000000"/>
            </w:tcBorders>
          </w:tcPr>
          <w:p>
            <w:pPr>
              <w:rPr>
                <w:sz w:val="2"/>
                <w:szCs w:val="2"/>
              </w:rPr>
            </w:pPr>
          </w:p>
        </w:tc>
        <w:tc>
          <w:tcPr>
            <w:tcW w:w="2081" w:type="dxa"/>
            <w:tcBorders>
              <w:top w:val="single" w:sz="6" w:space="0" w:color="000000"/>
              <w:left w:val="single" w:sz="6" w:space="0" w:color="000000"/>
              <w:bottom w:val="single" w:sz="6" w:space="0" w:color="000000"/>
              <w:right w:val="single" w:sz="6" w:space="0" w:color="000000"/>
            </w:tcBorders>
          </w:tcPr>
          <w:p>
            <w:pPr>
              <w:pStyle w:val="TableParagraph"/>
              <w:spacing w:before="39"/>
              <w:ind w:left="107" w:right="73"/>
              <w:rPr>
                <w:sz w:val="21"/>
              </w:rPr>
            </w:pPr>
            <w:r>
              <w:rPr>
                <w:sz w:val="21"/>
              </w:rPr>
              <w:t>0.06</w:t>
            </w:r>
          </w:p>
        </w:tc>
        <w:tc>
          <w:tcPr>
            <w:tcW w:w="1090" w:type="dxa"/>
            <w:tcBorders>
              <w:top w:val="single" w:sz="6" w:space="0" w:color="000000"/>
              <w:left w:val="single" w:sz="6" w:space="0" w:color="000000"/>
              <w:bottom w:val="single" w:sz="6" w:space="0" w:color="000000"/>
            </w:tcBorders>
          </w:tcPr>
          <w:p>
            <w:pPr>
              <w:pStyle w:val="TableParagraph"/>
              <w:spacing w:before="36"/>
              <w:ind w:left="98" w:right="60"/>
              <w:rPr>
                <w:sz w:val="21"/>
              </w:rPr>
            </w:pPr>
            <w:r>
              <w:rPr>
                <w:sz w:val="21"/>
              </w:rPr>
              <w:t>0.344</w:t>
            </w:r>
          </w:p>
        </w:tc>
      </w:tr>
      <w:tr>
        <w:trPr>
          <w:trHeight w:val="311" w:hRule="atLeast"/>
        </w:trPr>
        <w:tc>
          <w:tcPr>
            <w:tcW w:w="432" w:type="dxa"/>
            <w:vMerge w:val="restart"/>
            <w:tcBorders>
              <w:top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21"/>
              <w:rPr>
                <w:sz w:val="21"/>
              </w:rPr>
            </w:pPr>
            <w:r>
              <w:rPr>
                <w:w w:val="100"/>
                <w:sz w:val="21"/>
              </w:rPr>
              <w:t>2</w:t>
            </w:r>
          </w:p>
        </w:tc>
        <w:tc>
          <w:tcPr>
            <w:tcW w:w="95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97"/>
              <w:ind w:left="27"/>
              <w:rPr>
                <w:sz w:val="21"/>
              </w:rPr>
            </w:pPr>
            <w:r>
              <w:rPr>
                <w:w w:val="100"/>
                <w:sz w:val="21"/>
              </w:rPr>
              <w:t>/</w:t>
            </w:r>
          </w:p>
        </w:tc>
        <w:tc>
          <w:tcPr>
            <w:tcW w:w="8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9"/>
              <w:ind w:left="92" w:right="65"/>
              <w:rPr>
                <w:rFonts w:ascii="宋体" w:eastAsia="宋体" w:hint="eastAsia"/>
                <w:sz w:val="21"/>
              </w:rPr>
            </w:pPr>
            <w:r>
              <w:rPr>
                <w:rFonts w:ascii="宋体" w:eastAsia="宋体" w:hint="eastAsia"/>
                <w:sz w:val="21"/>
              </w:rPr>
              <w:t>粪污处</w:t>
            </w:r>
          </w:p>
          <w:p>
            <w:pPr>
              <w:pStyle w:val="TableParagraph"/>
              <w:spacing w:before="44"/>
              <w:ind w:left="23"/>
              <w:rPr>
                <w:rFonts w:ascii="宋体" w:eastAsia="宋体" w:hint="eastAsia"/>
                <w:sz w:val="21"/>
              </w:rPr>
            </w:pPr>
            <w:r>
              <w:rPr>
                <w:rFonts w:ascii="宋体" w:eastAsia="宋体" w:hint="eastAsia"/>
                <w:w w:val="100"/>
                <w:sz w:val="21"/>
              </w:rPr>
              <w:t>理</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33"/>
              <w:ind w:left="128" w:right="104"/>
              <w:rPr>
                <w:sz w:val="14"/>
              </w:rPr>
            </w:pPr>
            <w:r>
              <w:rPr>
                <w:position w:val="2"/>
                <w:sz w:val="21"/>
              </w:rPr>
              <w:t>NH</w:t>
            </w:r>
            <w:r>
              <w:rPr>
                <w:sz w:val="14"/>
              </w:rPr>
              <w:t>3</w:t>
            </w:r>
          </w:p>
        </w:tc>
        <w:tc>
          <w:tcPr>
            <w:tcW w:w="1721" w:type="dxa"/>
            <w:vMerge/>
            <w:tcBorders>
              <w:top w:val="nil"/>
              <w:left w:val="single" w:sz="6" w:space="0" w:color="000000"/>
              <w:bottom w:val="single" w:sz="6" w:space="0" w:color="000000"/>
              <w:right w:val="single" w:sz="6" w:space="0" w:color="000000"/>
            </w:tcBorders>
          </w:tcPr>
          <w:p>
            <w:pPr>
              <w:rPr>
                <w:sz w:val="2"/>
                <w:szCs w:val="2"/>
              </w:rPr>
            </w:pPr>
          </w:p>
        </w:tc>
        <w:tc>
          <w:tcPr>
            <w:tcW w:w="159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228"/>
              <w:jc w:val="left"/>
              <w:rPr>
                <w:sz w:val="21"/>
              </w:rPr>
            </w:pPr>
            <w:r>
              <w:rPr>
                <w:sz w:val="21"/>
              </w:rPr>
              <w:t>GB 14554-93</w:t>
            </w:r>
          </w:p>
        </w:tc>
        <w:tc>
          <w:tcPr>
            <w:tcW w:w="2081" w:type="dxa"/>
            <w:tcBorders>
              <w:top w:val="single" w:sz="6" w:space="0" w:color="000000"/>
              <w:left w:val="single" w:sz="6" w:space="0" w:color="000000"/>
              <w:bottom w:val="single" w:sz="6" w:space="0" w:color="000000"/>
              <w:right w:val="single" w:sz="6" w:space="0" w:color="000000"/>
            </w:tcBorders>
          </w:tcPr>
          <w:p>
            <w:pPr>
              <w:pStyle w:val="TableParagraph"/>
              <w:spacing w:before="36"/>
              <w:ind w:left="107" w:right="73"/>
              <w:rPr>
                <w:sz w:val="21"/>
              </w:rPr>
            </w:pPr>
            <w:r>
              <w:rPr>
                <w:sz w:val="21"/>
              </w:rPr>
              <w:t>1.5</w:t>
            </w:r>
          </w:p>
        </w:tc>
        <w:tc>
          <w:tcPr>
            <w:tcW w:w="1090" w:type="dxa"/>
            <w:tcBorders>
              <w:top w:val="single" w:sz="6" w:space="0" w:color="000000"/>
              <w:left w:val="single" w:sz="6" w:space="0" w:color="000000"/>
              <w:bottom w:val="single" w:sz="6" w:space="0" w:color="000000"/>
            </w:tcBorders>
          </w:tcPr>
          <w:p>
            <w:pPr>
              <w:pStyle w:val="TableParagraph"/>
              <w:spacing w:before="34"/>
              <w:ind w:left="98" w:right="60"/>
              <w:rPr>
                <w:sz w:val="21"/>
              </w:rPr>
            </w:pPr>
            <w:r>
              <w:rPr>
                <w:sz w:val="21"/>
              </w:rPr>
              <w:t>0.962</w:t>
            </w:r>
          </w:p>
        </w:tc>
      </w:tr>
      <w:tr>
        <w:trPr>
          <w:trHeight w:val="311" w:hRule="atLeast"/>
        </w:trPr>
        <w:tc>
          <w:tcPr>
            <w:tcW w:w="432" w:type="dxa"/>
            <w:vMerge/>
            <w:tcBorders>
              <w:top w:val="nil"/>
              <w:bottom w:val="single" w:sz="6" w:space="0" w:color="000000"/>
              <w:right w:val="single" w:sz="6" w:space="0" w:color="000000"/>
            </w:tcBorders>
          </w:tcPr>
          <w:p>
            <w:pPr>
              <w:rPr>
                <w:sz w:val="2"/>
                <w:szCs w:val="2"/>
              </w:rPr>
            </w:pPr>
          </w:p>
        </w:tc>
        <w:tc>
          <w:tcPr>
            <w:tcW w:w="953" w:type="dxa"/>
            <w:vMerge/>
            <w:tcBorders>
              <w:top w:val="nil"/>
              <w:left w:val="single" w:sz="6" w:space="0" w:color="000000"/>
              <w:bottom w:val="single" w:sz="6" w:space="0" w:color="000000"/>
              <w:right w:val="single" w:sz="6" w:space="0" w:color="000000"/>
            </w:tcBorders>
          </w:tcPr>
          <w:p>
            <w:pPr>
              <w:rPr>
                <w:sz w:val="2"/>
                <w:szCs w:val="2"/>
              </w:rPr>
            </w:pPr>
          </w:p>
        </w:tc>
        <w:tc>
          <w:tcPr>
            <w:tcW w:w="850" w:type="dxa"/>
            <w:vMerge/>
            <w:tcBorders>
              <w:top w:val="nil"/>
              <w:left w:val="single" w:sz="6" w:space="0" w:color="000000"/>
              <w:bottom w:val="single" w:sz="6" w:space="0" w:color="000000"/>
              <w:right w:val="single" w:sz="6" w:space="0" w:color="000000"/>
            </w:tcBorders>
          </w:tcPr>
          <w:p>
            <w:pPr>
              <w:rPr>
                <w:sz w:val="2"/>
                <w:szCs w:val="2"/>
              </w:rPr>
            </w:pP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before="34"/>
              <w:ind w:left="128" w:right="100"/>
              <w:rPr>
                <w:sz w:val="21"/>
              </w:rPr>
            </w:pPr>
            <w:r>
              <w:rPr>
                <w:position w:val="2"/>
                <w:sz w:val="21"/>
              </w:rPr>
              <w:t>H</w:t>
            </w:r>
            <w:r>
              <w:rPr>
                <w:sz w:val="14"/>
              </w:rPr>
              <w:t>2</w:t>
            </w:r>
            <w:r>
              <w:rPr>
                <w:position w:val="2"/>
                <w:sz w:val="21"/>
              </w:rPr>
              <w:t>S</w:t>
            </w:r>
          </w:p>
        </w:tc>
        <w:tc>
          <w:tcPr>
            <w:tcW w:w="1721" w:type="dxa"/>
            <w:vMerge/>
            <w:tcBorders>
              <w:top w:val="nil"/>
              <w:left w:val="single" w:sz="6" w:space="0" w:color="000000"/>
              <w:bottom w:val="single" w:sz="6" w:space="0" w:color="000000"/>
              <w:right w:val="single" w:sz="6" w:space="0" w:color="000000"/>
            </w:tcBorders>
          </w:tcPr>
          <w:p>
            <w:pPr>
              <w:rPr>
                <w:sz w:val="2"/>
                <w:szCs w:val="2"/>
              </w:rPr>
            </w:pPr>
          </w:p>
        </w:tc>
        <w:tc>
          <w:tcPr>
            <w:tcW w:w="1593" w:type="dxa"/>
            <w:vMerge/>
            <w:tcBorders>
              <w:top w:val="nil"/>
              <w:left w:val="single" w:sz="6" w:space="0" w:color="000000"/>
              <w:bottom w:val="single" w:sz="6" w:space="0" w:color="000000"/>
              <w:right w:val="single" w:sz="6" w:space="0" w:color="000000"/>
            </w:tcBorders>
          </w:tcPr>
          <w:p>
            <w:pPr>
              <w:rPr>
                <w:sz w:val="2"/>
                <w:szCs w:val="2"/>
              </w:rPr>
            </w:pPr>
          </w:p>
        </w:tc>
        <w:tc>
          <w:tcPr>
            <w:tcW w:w="2081" w:type="dxa"/>
            <w:tcBorders>
              <w:top w:val="single" w:sz="6" w:space="0" w:color="000000"/>
              <w:left w:val="single" w:sz="6" w:space="0" w:color="000000"/>
              <w:bottom w:val="single" w:sz="6" w:space="0" w:color="000000"/>
              <w:right w:val="single" w:sz="6" w:space="0" w:color="000000"/>
            </w:tcBorders>
          </w:tcPr>
          <w:p>
            <w:pPr>
              <w:pStyle w:val="TableParagraph"/>
              <w:spacing w:before="37"/>
              <w:ind w:left="107" w:right="73"/>
              <w:rPr>
                <w:sz w:val="21"/>
              </w:rPr>
            </w:pPr>
            <w:r>
              <w:rPr>
                <w:sz w:val="21"/>
              </w:rPr>
              <w:t>0.06</w:t>
            </w:r>
          </w:p>
        </w:tc>
        <w:tc>
          <w:tcPr>
            <w:tcW w:w="1090" w:type="dxa"/>
            <w:tcBorders>
              <w:top w:val="single" w:sz="6" w:space="0" w:color="000000"/>
              <w:left w:val="single" w:sz="6" w:space="0" w:color="000000"/>
              <w:bottom w:val="single" w:sz="6" w:space="0" w:color="000000"/>
            </w:tcBorders>
          </w:tcPr>
          <w:p>
            <w:pPr>
              <w:pStyle w:val="TableParagraph"/>
              <w:spacing w:before="34"/>
              <w:ind w:left="98" w:right="60"/>
              <w:rPr>
                <w:sz w:val="21"/>
              </w:rPr>
            </w:pPr>
            <w:r>
              <w:rPr>
                <w:sz w:val="21"/>
              </w:rPr>
              <w:t>0.007</w:t>
            </w:r>
          </w:p>
        </w:tc>
      </w:tr>
      <w:tr>
        <w:trPr>
          <w:trHeight w:val="311" w:hRule="atLeast"/>
        </w:trPr>
        <w:tc>
          <w:tcPr>
            <w:tcW w:w="9430" w:type="dxa"/>
            <w:gridSpan w:val="8"/>
            <w:tcBorders>
              <w:top w:val="single" w:sz="6" w:space="0" w:color="000000"/>
              <w:bottom w:val="single" w:sz="6" w:space="0" w:color="000000"/>
            </w:tcBorders>
          </w:tcPr>
          <w:p>
            <w:pPr>
              <w:pStyle w:val="TableParagraph"/>
              <w:spacing w:before="22"/>
              <w:ind w:left="2414" w:right="2383"/>
              <w:rPr>
                <w:rFonts w:ascii="宋体" w:eastAsia="宋体" w:hint="eastAsia"/>
                <w:sz w:val="21"/>
              </w:rPr>
            </w:pPr>
            <w:r>
              <w:rPr>
                <w:rFonts w:ascii="宋体" w:eastAsia="宋体" w:hint="eastAsia"/>
                <w:sz w:val="21"/>
              </w:rPr>
              <w:t>无组织排放总计</w:t>
            </w:r>
          </w:p>
        </w:tc>
      </w:tr>
      <w:tr>
        <w:trPr>
          <w:trHeight w:val="306" w:hRule="atLeast"/>
        </w:trPr>
        <w:tc>
          <w:tcPr>
            <w:tcW w:w="4666" w:type="dxa"/>
            <w:gridSpan w:val="5"/>
            <w:vMerge w:val="restart"/>
            <w:tcBorders>
              <w:top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1576" w:right="1556"/>
              <w:rPr>
                <w:rFonts w:ascii="宋体" w:eastAsia="宋体" w:hint="eastAsia"/>
                <w:sz w:val="21"/>
              </w:rPr>
            </w:pPr>
            <w:r>
              <w:rPr>
                <w:rFonts w:ascii="宋体" w:eastAsia="宋体" w:hint="eastAsia"/>
                <w:sz w:val="21"/>
              </w:rPr>
              <w:t>无组织排放总计</w:t>
            </w:r>
          </w:p>
        </w:tc>
        <w:tc>
          <w:tcPr>
            <w:tcW w:w="1593" w:type="dxa"/>
            <w:tcBorders>
              <w:top w:val="single" w:sz="6" w:space="0" w:color="000000"/>
              <w:left w:val="single" w:sz="6" w:space="0" w:color="000000"/>
              <w:bottom w:val="single" w:sz="6" w:space="0" w:color="000000"/>
              <w:right w:val="single" w:sz="6" w:space="0" w:color="000000"/>
            </w:tcBorders>
          </w:tcPr>
          <w:p>
            <w:pPr>
              <w:pStyle w:val="TableParagraph"/>
              <w:spacing w:before="35"/>
              <w:ind w:left="362" w:right="332"/>
              <w:rPr>
                <w:sz w:val="14"/>
              </w:rPr>
            </w:pPr>
            <w:r>
              <w:rPr>
                <w:position w:val="2"/>
                <w:sz w:val="21"/>
              </w:rPr>
              <w:t>NH</w:t>
            </w:r>
            <w:r>
              <w:rPr>
                <w:sz w:val="14"/>
              </w:rPr>
              <w:t>3</w:t>
            </w:r>
          </w:p>
        </w:tc>
        <w:tc>
          <w:tcPr>
            <w:tcW w:w="3171" w:type="dxa"/>
            <w:gridSpan w:val="2"/>
            <w:tcBorders>
              <w:top w:val="single" w:sz="6" w:space="0" w:color="000000"/>
              <w:left w:val="single" w:sz="6" w:space="0" w:color="000000"/>
              <w:bottom w:val="single" w:sz="6" w:space="0" w:color="000000"/>
            </w:tcBorders>
          </w:tcPr>
          <w:p>
            <w:pPr>
              <w:pStyle w:val="TableParagraph"/>
              <w:spacing w:before="36"/>
              <w:ind w:left="1338" w:right="1297"/>
              <w:rPr>
                <w:sz w:val="21"/>
              </w:rPr>
            </w:pPr>
            <w:r>
              <w:rPr>
                <w:sz w:val="21"/>
              </w:rPr>
              <w:t>3.268</w:t>
            </w:r>
          </w:p>
        </w:tc>
      </w:tr>
      <w:tr>
        <w:trPr>
          <w:trHeight w:val="303" w:hRule="atLeast"/>
        </w:trPr>
        <w:tc>
          <w:tcPr>
            <w:tcW w:w="4666" w:type="dxa"/>
            <w:gridSpan w:val="5"/>
            <w:vMerge/>
            <w:tcBorders>
              <w:top w:val="nil"/>
              <w:right w:val="single" w:sz="6" w:space="0" w:color="000000"/>
            </w:tcBorders>
          </w:tcPr>
          <w:p>
            <w:pPr>
              <w:rPr>
                <w:sz w:val="2"/>
                <w:szCs w:val="2"/>
              </w:rPr>
            </w:pPr>
          </w:p>
        </w:tc>
        <w:tc>
          <w:tcPr>
            <w:tcW w:w="1593" w:type="dxa"/>
            <w:tcBorders>
              <w:top w:val="single" w:sz="6" w:space="0" w:color="000000"/>
              <w:left w:val="single" w:sz="6" w:space="0" w:color="000000"/>
              <w:right w:val="single" w:sz="6" w:space="0" w:color="000000"/>
            </w:tcBorders>
          </w:tcPr>
          <w:p>
            <w:pPr>
              <w:pStyle w:val="TableParagraph"/>
              <w:spacing w:before="25"/>
              <w:ind w:left="362" w:right="332"/>
              <w:rPr>
                <w:sz w:val="21"/>
              </w:rPr>
            </w:pPr>
            <w:r>
              <w:rPr>
                <w:position w:val="2"/>
                <w:sz w:val="21"/>
              </w:rPr>
              <w:t>H</w:t>
            </w:r>
            <w:r>
              <w:rPr>
                <w:sz w:val="14"/>
              </w:rPr>
              <w:t>2</w:t>
            </w:r>
            <w:r>
              <w:rPr>
                <w:position w:val="2"/>
                <w:sz w:val="21"/>
              </w:rPr>
              <w:t>S</w:t>
            </w:r>
          </w:p>
        </w:tc>
        <w:tc>
          <w:tcPr>
            <w:tcW w:w="3171" w:type="dxa"/>
            <w:gridSpan w:val="2"/>
            <w:tcBorders>
              <w:top w:val="single" w:sz="6" w:space="0" w:color="000000"/>
              <w:left w:val="single" w:sz="6" w:space="0" w:color="000000"/>
            </w:tcBorders>
          </w:tcPr>
          <w:p>
            <w:pPr>
              <w:pStyle w:val="TableParagraph"/>
              <w:spacing w:before="26"/>
              <w:ind w:left="1338" w:right="1297"/>
              <w:rPr>
                <w:sz w:val="21"/>
              </w:rPr>
            </w:pPr>
            <w:r>
              <w:rPr>
                <w:sz w:val="21"/>
              </w:rPr>
              <w:t>0.351</w:t>
            </w:r>
          </w:p>
        </w:tc>
      </w:tr>
    </w:tbl>
    <w:p>
      <w:pPr>
        <w:spacing w:before="81"/>
        <w:ind w:left="719" w:right="0" w:firstLine="0"/>
        <w:jc w:val="left"/>
        <w:rPr>
          <w:b/>
          <w:sz w:val="24"/>
        </w:rPr>
      </w:pPr>
      <w:r>
        <w:rPr>
          <w:b/>
          <w:sz w:val="24"/>
        </w:rPr>
        <w:t>（</w:t>
      </w:r>
      <w:r>
        <w:rPr>
          <w:rFonts w:ascii="Times New Roman" w:eastAsia="Times New Roman"/>
          <w:b/>
          <w:sz w:val="24"/>
        </w:rPr>
        <w:t>2</w:t>
      </w:r>
      <w:r>
        <w:rPr>
          <w:b/>
          <w:sz w:val="24"/>
        </w:rPr>
        <w:t>）项目大气污染物年排放量核算</w:t>
      </w:r>
    </w:p>
    <w:p>
      <w:pPr>
        <w:spacing w:before="161"/>
        <w:ind w:left="220" w:right="236" w:firstLine="0"/>
        <w:jc w:val="center"/>
        <w:rPr>
          <w:b/>
          <w:sz w:val="24"/>
        </w:rPr>
      </w:pPr>
      <w:r>
        <w:rPr>
          <w:b/>
          <w:sz w:val="24"/>
        </w:rPr>
        <w:t>表 </w:t>
      </w:r>
      <w:r>
        <w:rPr>
          <w:rFonts w:ascii="Times New Roman" w:eastAsia="Times New Roman"/>
          <w:b/>
          <w:sz w:val="24"/>
        </w:rPr>
        <w:t>5.2-12  </w:t>
      </w:r>
      <w:r>
        <w:rPr>
          <w:b/>
          <w:sz w:val="24"/>
        </w:rPr>
        <w:t>大气污染物年排放量核算表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45"/>
        <w:gridCol w:w="3142"/>
        <w:gridCol w:w="3145"/>
      </w:tblGrid>
      <w:tr>
        <w:trPr>
          <w:trHeight w:val="359" w:hRule="atLeast"/>
        </w:trPr>
        <w:tc>
          <w:tcPr>
            <w:tcW w:w="3145" w:type="dxa"/>
            <w:tcBorders>
              <w:bottom w:val="single" w:sz="6" w:space="0" w:color="000000"/>
              <w:right w:val="single" w:sz="6" w:space="0" w:color="000000"/>
            </w:tcBorders>
          </w:tcPr>
          <w:p>
            <w:pPr>
              <w:pStyle w:val="TableParagraph"/>
              <w:spacing w:before="46"/>
              <w:ind w:left="794" w:right="774"/>
              <w:rPr>
                <w:rFonts w:ascii="宋体" w:eastAsia="宋体" w:hint="eastAsia"/>
                <w:b/>
                <w:sz w:val="21"/>
              </w:rPr>
            </w:pPr>
            <w:r>
              <w:rPr>
                <w:rFonts w:ascii="宋体" w:eastAsia="宋体" w:hint="eastAsia"/>
                <w:b/>
                <w:sz w:val="21"/>
              </w:rPr>
              <w:t>序号</w:t>
            </w:r>
          </w:p>
        </w:tc>
        <w:tc>
          <w:tcPr>
            <w:tcW w:w="3142" w:type="dxa"/>
            <w:tcBorders>
              <w:left w:val="single" w:sz="6" w:space="0" w:color="000000"/>
              <w:bottom w:val="single" w:sz="6" w:space="0" w:color="000000"/>
              <w:right w:val="single" w:sz="6" w:space="0" w:color="000000"/>
            </w:tcBorders>
          </w:tcPr>
          <w:p>
            <w:pPr>
              <w:pStyle w:val="TableParagraph"/>
              <w:spacing w:before="46"/>
              <w:ind w:left="1239" w:right="1214"/>
              <w:rPr>
                <w:rFonts w:ascii="宋体" w:eastAsia="宋体" w:hint="eastAsia"/>
                <w:b/>
                <w:sz w:val="21"/>
              </w:rPr>
            </w:pPr>
            <w:r>
              <w:rPr>
                <w:rFonts w:ascii="宋体" w:eastAsia="宋体" w:hint="eastAsia"/>
                <w:b/>
                <w:sz w:val="21"/>
              </w:rPr>
              <w:t>污染物</w:t>
            </w:r>
          </w:p>
        </w:tc>
        <w:tc>
          <w:tcPr>
            <w:tcW w:w="3145" w:type="dxa"/>
            <w:tcBorders>
              <w:left w:val="single" w:sz="6" w:space="0" w:color="000000"/>
              <w:bottom w:val="single" w:sz="6" w:space="0" w:color="000000"/>
            </w:tcBorders>
          </w:tcPr>
          <w:p>
            <w:pPr>
              <w:pStyle w:val="TableParagraph"/>
              <w:spacing w:before="46"/>
              <w:ind w:left="809" w:right="774"/>
              <w:rPr>
                <w:rFonts w:ascii="宋体" w:eastAsia="宋体" w:hint="eastAsia"/>
                <w:b/>
                <w:sz w:val="21"/>
              </w:rPr>
            </w:pPr>
            <w:r>
              <w:rPr>
                <w:rFonts w:ascii="宋体" w:eastAsia="宋体" w:hint="eastAsia"/>
                <w:b/>
                <w:sz w:val="21"/>
              </w:rPr>
              <w:t>年排放量（</w:t>
            </w:r>
            <w:r>
              <w:rPr>
                <w:b/>
                <w:sz w:val="21"/>
              </w:rPr>
              <w:t>t/a</w:t>
            </w:r>
            <w:r>
              <w:rPr>
                <w:rFonts w:ascii="宋体" w:eastAsia="宋体" w:hint="eastAsia"/>
                <w:b/>
                <w:sz w:val="21"/>
              </w:rPr>
              <w:t>）</w:t>
            </w:r>
          </w:p>
        </w:tc>
      </w:tr>
      <w:tr>
        <w:trPr>
          <w:trHeight w:val="361" w:hRule="atLeast"/>
        </w:trPr>
        <w:tc>
          <w:tcPr>
            <w:tcW w:w="3145" w:type="dxa"/>
            <w:tcBorders>
              <w:top w:val="single" w:sz="6" w:space="0" w:color="000000"/>
              <w:right w:val="single" w:sz="6" w:space="0" w:color="000000"/>
            </w:tcBorders>
          </w:tcPr>
          <w:p>
            <w:pPr>
              <w:pStyle w:val="TableParagraph"/>
              <w:spacing w:before="60"/>
              <w:ind w:left="20"/>
              <w:rPr>
                <w:sz w:val="21"/>
              </w:rPr>
            </w:pPr>
            <w:r>
              <w:rPr>
                <w:w w:val="100"/>
                <w:sz w:val="21"/>
              </w:rPr>
              <w:t>1</w:t>
            </w:r>
          </w:p>
        </w:tc>
        <w:tc>
          <w:tcPr>
            <w:tcW w:w="3142" w:type="dxa"/>
            <w:tcBorders>
              <w:top w:val="single" w:sz="6" w:space="0" w:color="000000"/>
              <w:left w:val="single" w:sz="6" w:space="0" w:color="000000"/>
              <w:right w:val="single" w:sz="6" w:space="0" w:color="000000"/>
            </w:tcBorders>
          </w:tcPr>
          <w:p>
            <w:pPr>
              <w:pStyle w:val="TableParagraph"/>
              <w:spacing w:before="59"/>
              <w:ind w:left="1239" w:right="1214"/>
              <w:rPr>
                <w:sz w:val="14"/>
              </w:rPr>
            </w:pPr>
            <w:r>
              <w:rPr>
                <w:position w:val="2"/>
                <w:sz w:val="21"/>
              </w:rPr>
              <w:t>NH</w:t>
            </w:r>
            <w:r>
              <w:rPr>
                <w:sz w:val="14"/>
              </w:rPr>
              <w:t>3</w:t>
            </w:r>
          </w:p>
        </w:tc>
        <w:tc>
          <w:tcPr>
            <w:tcW w:w="3145" w:type="dxa"/>
            <w:tcBorders>
              <w:top w:val="single" w:sz="6" w:space="0" w:color="000000"/>
              <w:left w:val="single" w:sz="6" w:space="0" w:color="000000"/>
            </w:tcBorders>
          </w:tcPr>
          <w:p>
            <w:pPr>
              <w:pStyle w:val="TableParagraph"/>
              <w:spacing w:before="60"/>
              <w:ind w:left="809" w:right="774"/>
              <w:rPr>
                <w:sz w:val="21"/>
              </w:rPr>
            </w:pPr>
            <w:r>
              <w:rPr>
                <w:sz w:val="21"/>
              </w:rPr>
              <w:t>5.190</w:t>
            </w:r>
          </w:p>
        </w:tc>
      </w:tr>
    </w:tbl>
    <w:p>
      <w:pPr>
        <w:spacing w:after="0"/>
        <w:rPr>
          <w:sz w:val="21"/>
        </w:rPr>
        <w:sectPr>
          <w:headerReference w:type="default" r:id="rId83"/>
          <w:footerReference w:type="default" r:id="rId84"/>
          <w:pgSz w:w="11910" w:h="16840"/>
          <w:pgMar w:header="874" w:footer="1004" w:top="1420" w:bottom="1200" w:left="1040" w:right="1160"/>
          <w:pgNumType w:start="127"/>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145"/>
        <w:gridCol w:w="3142"/>
        <w:gridCol w:w="3145"/>
      </w:tblGrid>
      <w:tr>
        <w:trPr>
          <w:trHeight w:val="359" w:hRule="atLeast"/>
        </w:trPr>
        <w:tc>
          <w:tcPr>
            <w:tcW w:w="3145" w:type="dxa"/>
            <w:tcBorders>
              <w:bottom w:val="single" w:sz="6" w:space="0" w:color="000000"/>
              <w:right w:val="single" w:sz="6" w:space="0" w:color="000000"/>
            </w:tcBorders>
          </w:tcPr>
          <w:p>
            <w:pPr>
              <w:pStyle w:val="TableParagraph"/>
              <w:spacing w:before="46"/>
              <w:ind w:left="794" w:right="774"/>
              <w:rPr>
                <w:rFonts w:ascii="宋体" w:eastAsia="宋体" w:hint="eastAsia"/>
                <w:b/>
                <w:sz w:val="21"/>
              </w:rPr>
            </w:pPr>
            <w:r>
              <w:rPr>
                <w:rFonts w:ascii="宋体" w:eastAsia="宋体" w:hint="eastAsia"/>
                <w:b/>
                <w:sz w:val="21"/>
              </w:rPr>
              <w:t>序号</w:t>
            </w:r>
          </w:p>
        </w:tc>
        <w:tc>
          <w:tcPr>
            <w:tcW w:w="3142" w:type="dxa"/>
            <w:tcBorders>
              <w:left w:val="single" w:sz="6" w:space="0" w:color="000000"/>
              <w:bottom w:val="single" w:sz="6" w:space="0" w:color="000000"/>
              <w:right w:val="single" w:sz="6" w:space="0" w:color="000000"/>
            </w:tcBorders>
          </w:tcPr>
          <w:p>
            <w:pPr>
              <w:pStyle w:val="TableParagraph"/>
              <w:spacing w:before="46"/>
              <w:ind w:left="1239" w:right="1214"/>
              <w:rPr>
                <w:rFonts w:ascii="宋体" w:eastAsia="宋体" w:hint="eastAsia"/>
                <w:b/>
                <w:sz w:val="21"/>
              </w:rPr>
            </w:pPr>
            <w:r>
              <w:rPr>
                <w:rFonts w:ascii="宋体" w:eastAsia="宋体" w:hint="eastAsia"/>
                <w:b/>
                <w:sz w:val="21"/>
              </w:rPr>
              <w:t>污染物</w:t>
            </w:r>
          </w:p>
        </w:tc>
        <w:tc>
          <w:tcPr>
            <w:tcW w:w="3145" w:type="dxa"/>
            <w:tcBorders>
              <w:left w:val="single" w:sz="6" w:space="0" w:color="000000"/>
              <w:bottom w:val="single" w:sz="6" w:space="0" w:color="000000"/>
            </w:tcBorders>
          </w:tcPr>
          <w:p>
            <w:pPr>
              <w:pStyle w:val="TableParagraph"/>
              <w:spacing w:before="46"/>
              <w:ind w:left="809" w:right="774"/>
              <w:rPr>
                <w:rFonts w:ascii="宋体" w:eastAsia="宋体" w:hint="eastAsia"/>
                <w:b/>
                <w:sz w:val="21"/>
              </w:rPr>
            </w:pPr>
            <w:r>
              <w:rPr>
                <w:rFonts w:ascii="宋体" w:eastAsia="宋体" w:hint="eastAsia"/>
                <w:b/>
                <w:sz w:val="21"/>
              </w:rPr>
              <w:t>年排放量（</w:t>
            </w:r>
            <w:r>
              <w:rPr>
                <w:b/>
                <w:sz w:val="21"/>
              </w:rPr>
              <w:t>t/a</w:t>
            </w:r>
            <w:r>
              <w:rPr>
                <w:rFonts w:ascii="宋体" w:eastAsia="宋体" w:hint="eastAsia"/>
                <w:b/>
                <w:sz w:val="21"/>
              </w:rPr>
              <w:t>）</w:t>
            </w:r>
          </w:p>
        </w:tc>
      </w:tr>
      <w:tr>
        <w:trPr>
          <w:trHeight w:val="359" w:hRule="atLeast"/>
        </w:trPr>
        <w:tc>
          <w:tcPr>
            <w:tcW w:w="3145"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2</w:t>
            </w:r>
          </w:p>
        </w:tc>
        <w:tc>
          <w:tcPr>
            <w:tcW w:w="3142" w:type="dxa"/>
            <w:tcBorders>
              <w:top w:val="single" w:sz="6" w:space="0" w:color="000000"/>
              <w:left w:val="single" w:sz="6" w:space="0" w:color="000000"/>
              <w:bottom w:val="single" w:sz="6" w:space="0" w:color="000000"/>
              <w:right w:val="single" w:sz="6" w:space="0" w:color="000000"/>
            </w:tcBorders>
          </w:tcPr>
          <w:p>
            <w:pPr>
              <w:pStyle w:val="TableParagraph"/>
              <w:spacing w:before="57"/>
              <w:ind w:left="1239" w:right="1214"/>
              <w:rPr>
                <w:sz w:val="21"/>
              </w:rPr>
            </w:pPr>
            <w:r>
              <w:rPr>
                <w:position w:val="2"/>
                <w:sz w:val="21"/>
              </w:rPr>
              <w:t>H</w:t>
            </w:r>
            <w:r>
              <w:rPr>
                <w:sz w:val="14"/>
              </w:rPr>
              <w:t>2</w:t>
            </w:r>
            <w:r>
              <w:rPr>
                <w:position w:val="2"/>
                <w:sz w:val="21"/>
              </w:rPr>
              <w:t>S</w:t>
            </w:r>
          </w:p>
        </w:tc>
        <w:tc>
          <w:tcPr>
            <w:tcW w:w="3145" w:type="dxa"/>
            <w:tcBorders>
              <w:top w:val="single" w:sz="6" w:space="0" w:color="000000"/>
              <w:left w:val="single" w:sz="6" w:space="0" w:color="000000"/>
              <w:bottom w:val="single" w:sz="6" w:space="0" w:color="000000"/>
            </w:tcBorders>
          </w:tcPr>
          <w:p>
            <w:pPr>
              <w:pStyle w:val="TableParagraph"/>
              <w:ind w:left="809" w:right="774"/>
              <w:rPr>
                <w:sz w:val="21"/>
              </w:rPr>
            </w:pPr>
            <w:r>
              <w:rPr>
                <w:sz w:val="21"/>
              </w:rPr>
              <w:t>0.398</w:t>
            </w:r>
          </w:p>
        </w:tc>
      </w:tr>
      <w:tr>
        <w:trPr>
          <w:trHeight w:val="357" w:hRule="atLeast"/>
        </w:trPr>
        <w:tc>
          <w:tcPr>
            <w:tcW w:w="3145" w:type="dxa"/>
            <w:tcBorders>
              <w:top w:val="single" w:sz="6" w:space="0" w:color="000000"/>
              <w:bottom w:val="single" w:sz="6" w:space="0" w:color="000000"/>
              <w:right w:val="single" w:sz="6" w:space="0" w:color="000000"/>
            </w:tcBorders>
          </w:tcPr>
          <w:p>
            <w:pPr>
              <w:pStyle w:val="TableParagraph"/>
              <w:ind w:left="20"/>
              <w:rPr>
                <w:sz w:val="21"/>
              </w:rPr>
            </w:pPr>
            <w:r>
              <w:rPr>
                <w:w w:val="100"/>
                <w:sz w:val="21"/>
              </w:rPr>
              <w:t>3</w:t>
            </w:r>
          </w:p>
        </w:tc>
        <w:tc>
          <w:tcPr>
            <w:tcW w:w="3142" w:type="dxa"/>
            <w:tcBorders>
              <w:top w:val="single" w:sz="6" w:space="0" w:color="000000"/>
              <w:left w:val="single" w:sz="6" w:space="0" w:color="000000"/>
              <w:bottom w:val="single" w:sz="6" w:space="0" w:color="000000"/>
              <w:right w:val="single" w:sz="6" w:space="0" w:color="000000"/>
            </w:tcBorders>
          </w:tcPr>
          <w:p>
            <w:pPr>
              <w:pStyle w:val="TableParagraph"/>
              <w:spacing w:before="57"/>
              <w:ind w:left="1239" w:right="1214"/>
              <w:rPr>
                <w:sz w:val="14"/>
              </w:rPr>
            </w:pPr>
            <w:r>
              <w:rPr>
                <w:position w:val="2"/>
                <w:sz w:val="21"/>
              </w:rPr>
              <w:t>SO</w:t>
            </w:r>
            <w:r>
              <w:rPr>
                <w:sz w:val="14"/>
              </w:rPr>
              <w:t>2</w:t>
            </w:r>
          </w:p>
        </w:tc>
        <w:tc>
          <w:tcPr>
            <w:tcW w:w="3145" w:type="dxa"/>
            <w:tcBorders>
              <w:top w:val="single" w:sz="6" w:space="0" w:color="000000"/>
              <w:left w:val="single" w:sz="6" w:space="0" w:color="000000"/>
              <w:bottom w:val="single" w:sz="6" w:space="0" w:color="000000"/>
            </w:tcBorders>
          </w:tcPr>
          <w:p>
            <w:pPr>
              <w:pStyle w:val="TableParagraph"/>
              <w:ind w:left="804" w:right="774"/>
              <w:rPr>
                <w:sz w:val="21"/>
              </w:rPr>
            </w:pPr>
            <w:r>
              <w:rPr>
                <w:sz w:val="21"/>
              </w:rPr>
              <w:t>0.011</w:t>
            </w:r>
          </w:p>
        </w:tc>
      </w:tr>
      <w:tr>
        <w:trPr>
          <w:trHeight w:val="361" w:hRule="atLeast"/>
        </w:trPr>
        <w:tc>
          <w:tcPr>
            <w:tcW w:w="3145" w:type="dxa"/>
            <w:tcBorders>
              <w:top w:val="single" w:sz="6" w:space="0" w:color="000000"/>
              <w:right w:val="single" w:sz="6" w:space="0" w:color="000000"/>
            </w:tcBorders>
          </w:tcPr>
          <w:p>
            <w:pPr>
              <w:pStyle w:val="TableParagraph"/>
              <w:spacing w:before="60"/>
              <w:ind w:left="20"/>
              <w:rPr>
                <w:sz w:val="21"/>
              </w:rPr>
            </w:pPr>
            <w:r>
              <w:rPr>
                <w:w w:val="100"/>
                <w:sz w:val="21"/>
              </w:rPr>
              <w:t>4</w:t>
            </w:r>
          </w:p>
        </w:tc>
        <w:tc>
          <w:tcPr>
            <w:tcW w:w="3142" w:type="dxa"/>
            <w:tcBorders>
              <w:top w:val="single" w:sz="6" w:space="0" w:color="000000"/>
              <w:left w:val="single" w:sz="6" w:space="0" w:color="000000"/>
              <w:right w:val="single" w:sz="6" w:space="0" w:color="000000"/>
            </w:tcBorders>
          </w:tcPr>
          <w:p>
            <w:pPr>
              <w:pStyle w:val="TableParagraph"/>
              <w:spacing w:before="59"/>
              <w:ind w:left="1239" w:right="1214"/>
              <w:rPr>
                <w:sz w:val="14"/>
              </w:rPr>
            </w:pPr>
            <w:r>
              <w:rPr>
                <w:position w:val="2"/>
                <w:sz w:val="21"/>
              </w:rPr>
              <w:t>NO</w:t>
            </w:r>
            <w:r>
              <w:rPr>
                <w:sz w:val="14"/>
              </w:rPr>
              <w:t>x</w:t>
            </w:r>
          </w:p>
        </w:tc>
        <w:tc>
          <w:tcPr>
            <w:tcW w:w="3145" w:type="dxa"/>
            <w:tcBorders>
              <w:top w:val="single" w:sz="6" w:space="0" w:color="000000"/>
              <w:left w:val="single" w:sz="6" w:space="0" w:color="000000"/>
            </w:tcBorders>
          </w:tcPr>
          <w:p>
            <w:pPr>
              <w:pStyle w:val="TableParagraph"/>
              <w:spacing w:before="60"/>
              <w:ind w:left="809" w:right="774"/>
              <w:rPr>
                <w:sz w:val="21"/>
              </w:rPr>
            </w:pPr>
            <w:r>
              <w:rPr>
                <w:sz w:val="21"/>
              </w:rPr>
              <w:t>0.478</w:t>
            </w:r>
          </w:p>
        </w:tc>
      </w:tr>
    </w:tbl>
    <w:p>
      <w:pPr>
        <w:spacing w:before="91"/>
        <w:ind w:left="719" w:right="0" w:firstLine="0"/>
        <w:jc w:val="left"/>
        <w:rPr>
          <w:b/>
          <w:sz w:val="24"/>
        </w:rPr>
      </w:pPr>
      <w:r>
        <w:rPr>
          <w:b/>
          <w:sz w:val="24"/>
        </w:rPr>
        <w:t>（</w:t>
      </w:r>
      <w:r>
        <w:rPr>
          <w:rFonts w:ascii="Times New Roman" w:eastAsia="Times New Roman"/>
          <w:b/>
          <w:sz w:val="24"/>
        </w:rPr>
        <w:t>4</w:t>
      </w:r>
      <w:r>
        <w:rPr>
          <w:b/>
          <w:sz w:val="24"/>
        </w:rPr>
        <w:t>）非正常排放量核算</w:t>
      </w:r>
    </w:p>
    <w:p>
      <w:pPr>
        <w:pStyle w:val="BodyText"/>
        <w:spacing w:line="364" w:lineRule="auto" w:before="161"/>
        <w:ind w:right="249" w:firstLine="480"/>
        <w:jc w:val="both"/>
      </w:pPr>
      <w:r>
        <w:rPr/>
        <w:t>本项目主要污染物为臭气，尤以无组织排放影响较大，因此本环评非正常排放主要考虑各类猪舍除臭系统非正常运行（除臭效率下降 </w:t>
      </w:r>
      <w:r>
        <w:rPr>
          <w:rFonts w:ascii="Times New Roman" w:eastAsia="Times New Roman"/>
        </w:rPr>
        <w:t>70%</w:t>
      </w:r>
      <w:r>
        <w:rPr/>
        <w:t>）的情形，表现为猪舍臭气无组织排放量大幅增加。其次，因粪污处理区臭气强度较大，本环评也考虑了粪污处理区除臭系统非正常运行（除臭效率下降 </w:t>
      </w:r>
      <w:r>
        <w:rPr>
          <w:rFonts w:ascii="Times New Roman" w:eastAsia="Times New Roman"/>
        </w:rPr>
        <w:t>70%</w:t>
      </w:r>
      <w:r>
        <w:rPr/>
        <w:t>）的情形，表现为有组织排放量大幅增加。</w:t>
      </w:r>
    </w:p>
    <w:p>
      <w:pPr>
        <w:pStyle w:val="Heading3"/>
        <w:spacing w:before="3"/>
        <w:ind w:left="2877"/>
        <w:jc w:val="both"/>
      </w:pPr>
      <w:r>
        <w:rPr/>
        <w:t>表 </w:t>
      </w:r>
      <w:r>
        <w:rPr>
          <w:rFonts w:ascii="Times New Roman" w:eastAsia="Times New Roman"/>
        </w:rPr>
        <w:t>5.2-13  </w:t>
      </w:r>
      <w:r>
        <w:rPr/>
        <w:t>污染源非正常排放量核算表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83"/>
        <w:gridCol w:w="1262"/>
        <w:gridCol w:w="1097"/>
        <w:gridCol w:w="619"/>
        <w:gridCol w:w="1447"/>
        <w:gridCol w:w="1291"/>
        <w:gridCol w:w="1052"/>
        <w:gridCol w:w="838"/>
        <w:gridCol w:w="1242"/>
      </w:tblGrid>
      <w:tr>
        <w:trPr>
          <w:trHeight w:val="716" w:hRule="atLeast"/>
        </w:trPr>
        <w:tc>
          <w:tcPr>
            <w:tcW w:w="583" w:type="dxa"/>
            <w:tcBorders>
              <w:bottom w:val="single" w:sz="6" w:space="0" w:color="000000"/>
              <w:right w:val="single" w:sz="6" w:space="0" w:color="000000"/>
            </w:tcBorders>
          </w:tcPr>
          <w:p>
            <w:pPr>
              <w:pStyle w:val="TableParagraph"/>
              <w:spacing w:before="51"/>
              <w:ind w:left="189"/>
              <w:jc w:val="left"/>
              <w:rPr>
                <w:rFonts w:ascii="宋体" w:eastAsia="宋体" w:hint="eastAsia"/>
                <w:b/>
                <w:sz w:val="20"/>
              </w:rPr>
            </w:pPr>
            <w:r>
              <w:rPr>
                <w:rFonts w:ascii="宋体" w:eastAsia="宋体" w:hint="eastAsia"/>
                <w:b/>
                <w:w w:val="99"/>
                <w:sz w:val="20"/>
              </w:rPr>
              <w:t>序</w:t>
            </w:r>
          </w:p>
          <w:p>
            <w:pPr>
              <w:pStyle w:val="TableParagraph"/>
              <w:spacing w:before="104"/>
              <w:ind w:left="189"/>
              <w:jc w:val="left"/>
              <w:rPr>
                <w:rFonts w:ascii="宋体" w:eastAsia="宋体" w:hint="eastAsia"/>
                <w:b/>
                <w:sz w:val="20"/>
              </w:rPr>
            </w:pPr>
            <w:r>
              <w:rPr>
                <w:rFonts w:ascii="宋体" w:eastAsia="宋体" w:hint="eastAsia"/>
                <w:b/>
                <w:w w:val="99"/>
                <w:sz w:val="20"/>
              </w:rPr>
              <w:t>号</w:t>
            </w:r>
          </w:p>
        </w:tc>
        <w:tc>
          <w:tcPr>
            <w:tcW w:w="1262" w:type="dxa"/>
            <w:tcBorders>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333"/>
              <w:jc w:val="left"/>
              <w:rPr>
                <w:rFonts w:ascii="宋体" w:eastAsia="宋体" w:hint="eastAsia"/>
                <w:b/>
                <w:sz w:val="20"/>
              </w:rPr>
            </w:pPr>
            <w:r>
              <w:rPr>
                <w:rFonts w:ascii="宋体" w:eastAsia="宋体" w:hint="eastAsia"/>
                <w:b/>
                <w:sz w:val="20"/>
              </w:rPr>
              <w:t>污染源</w:t>
            </w:r>
          </w:p>
        </w:tc>
        <w:tc>
          <w:tcPr>
            <w:tcW w:w="1097" w:type="dxa"/>
            <w:tcBorders>
              <w:left w:val="single" w:sz="6" w:space="0" w:color="000000"/>
              <w:bottom w:val="single" w:sz="6" w:space="0" w:color="000000"/>
              <w:right w:val="single" w:sz="6" w:space="0" w:color="000000"/>
            </w:tcBorders>
          </w:tcPr>
          <w:p>
            <w:pPr>
              <w:pStyle w:val="TableParagraph"/>
              <w:spacing w:before="51"/>
              <w:ind w:left="132" w:right="105"/>
              <w:rPr>
                <w:rFonts w:ascii="宋体" w:eastAsia="宋体" w:hint="eastAsia"/>
                <w:b/>
                <w:sz w:val="20"/>
              </w:rPr>
            </w:pPr>
            <w:r>
              <w:rPr>
                <w:rFonts w:ascii="宋体" w:eastAsia="宋体" w:hint="eastAsia"/>
                <w:b/>
                <w:sz w:val="20"/>
              </w:rPr>
              <w:t>非正常排</w:t>
            </w:r>
          </w:p>
          <w:p>
            <w:pPr>
              <w:pStyle w:val="TableParagraph"/>
              <w:spacing w:before="104"/>
              <w:ind w:left="132" w:right="104"/>
              <w:rPr>
                <w:rFonts w:ascii="宋体" w:eastAsia="宋体" w:hint="eastAsia"/>
                <w:b/>
                <w:sz w:val="20"/>
              </w:rPr>
            </w:pPr>
            <w:r>
              <w:rPr>
                <w:rFonts w:ascii="宋体" w:eastAsia="宋体" w:hint="eastAsia"/>
                <w:b/>
                <w:sz w:val="20"/>
              </w:rPr>
              <w:t>放原因</w:t>
            </w:r>
          </w:p>
        </w:tc>
        <w:tc>
          <w:tcPr>
            <w:tcW w:w="619" w:type="dxa"/>
            <w:tcBorders>
              <w:left w:val="single" w:sz="6" w:space="0" w:color="000000"/>
              <w:bottom w:val="single" w:sz="6" w:space="0" w:color="000000"/>
              <w:right w:val="single" w:sz="6" w:space="0" w:color="000000"/>
            </w:tcBorders>
          </w:tcPr>
          <w:p>
            <w:pPr>
              <w:pStyle w:val="TableParagraph"/>
              <w:spacing w:before="51"/>
              <w:ind w:left="96" w:right="66"/>
              <w:rPr>
                <w:rFonts w:ascii="宋体" w:eastAsia="宋体" w:hint="eastAsia"/>
                <w:b/>
                <w:sz w:val="20"/>
              </w:rPr>
            </w:pPr>
            <w:r>
              <w:rPr>
                <w:rFonts w:ascii="宋体" w:eastAsia="宋体" w:hint="eastAsia"/>
                <w:b/>
                <w:sz w:val="20"/>
              </w:rPr>
              <w:t>污染</w:t>
            </w:r>
          </w:p>
          <w:p>
            <w:pPr>
              <w:pStyle w:val="TableParagraph"/>
              <w:spacing w:before="104"/>
              <w:ind w:left="28"/>
              <w:rPr>
                <w:rFonts w:ascii="宋体" w:eastAsia="宋体" w:hint="eastAsia"/>
                <w:b/>
                <w:sz w:val="20"/>
              </w:rPr>
            </w:pPr>
            <w:r>
              <w:rPr>
                <w:rFonts w:ascii="宋体" w:eastAsia="宋体" w:hint="eastAsia"/>
                <w:b/>
                <w:w w:val="99"/>
                <w:sz w:val="20"/>
              </w:rPr>
              <w:t>物</w:t>
            </w:r>
          </w:p>
        </w:tc>
        <w:tc>
          <w:tcPr>
            <w:tcW w:w="1447" w:type="dxa"/>
            <w:tcBorders>
              <w:left w:val="single" w:sz="6" w:space="0" w:color="000000"/>
              <w:bottom w:val="single" w:sz="6" w:space="0" w:color="000000"/>
              <w:right w:val="single" w:sz="6" w:space="0" w:color="000000"/>
            </w:tcBorders>
          </w:tcPr>
          <w:p>
            <w:pPr>
              <w:pStyle w:val="TableParagraph"/>
              <w:spacing w:before="51"/>
              <w:ind w:left="228"/>
              <w:jc w:val="left"/>
              <w:rPr>
                <w:rFonts w:ascii="宋体" w:eastAsia="宋体" w:hint="eastAsia"/>
                <w:b/>
                <w:sz w:val="20"/>
              </w:rPr>
            </w:pPr>
            <w:r>
              <w:rPr>
                <w:rFonts w:ascii="宋体" w:eastAsia="宋体" w:hint="eastAsia"/>
                <w:b/>
                <w:sz w:val="20"/>
              </w:rPr>
              <w:t>非正常排放</w:t>
            </w:r>
          </w:p>
          <w:p>
            <w:pPr>
              <w:pStyle w:val="TableParagraph"/>
              <w:spacing w:before="104"/>
              <w:ind w:left="116" w:right="-15"/>
              <w:jc w:val="left"/>
              <w:rPr>
                <w:rFonts w:ascii="宋体" w:hAnsi="宋体" w:eastAsia="宋体" w:hint="eastAsia"/>
                <w:b/>
                <w:sz w:val="20"/>
              </w:rPr>
            </w:pPr>
            <w:r>
              <w:rPr>
                <w:rFonts w:ascii="宋体" w:hAnsi="宋体" w:eastAsia="宋体" w:hint="eastAsia"/>
                <w:b/>
                <w:spacing w:val="-10"/>
                <w:sz w:val="20"/>
              </w:rPr>
              <w:t>浓度</w:t>
            </w:r>
            <w:r>
              <w:rPr>
                <w:rFonts w:ascii="宋体" w:hAnsi="宋体" w:eastAsia="宋体" w:hint="eastAsia"/>
                <w:b/>
                <w:spacing w:val="-3"/>
                <w:sz w:val="20"/>
              </w:rPr>
              <w:t>（</w:t>
            </w:r>
            <w:r>
              <w:rPr>
                <w:b/>
                <w:spacing w:val="-3"/>
                <w:sz w:val="20"/>
              </w:rPr>
              <w:t>mg/m³</w:t>
            </w:r>
            <w:r>
              <w:rPr>
                <w:rFonts w:ascii="宋体" w:hAnsi="宋体" w:eastAsia="宋体" w:hint="eastAsia"/>
                <w:b/>
                <w:spacing w:val="-3"/>
                <w:sz w:val="20"/>
              </w:rPr>
              <w:t>）</w:t>
            </w:r>
          </w:p>
        </w:tc>
        <w:tc>
          <w:tcPr>
            <w:tcW w:w="1291" w:type="dxa"/>
            <w:tcBorders>
              <w:left w:val="single" w:sz="6" w:space="0" w:color="000000"/>
              <w:bottom w:val="single" w:sz="6" w:space="0" w:color="000000"/>
              <w:right w:val="single" w:sz="6" w:space="0" w:color="000000"/>
            </w:tcBorders>
          </w:tcPr>
          <w:p>
            <w:pPr>
              <w:pStyle w:val="TableParagraph"/>
              <w:spacing w:before="51"/>
              <w:ind w:left="152"/>
              <w:jc w:val="left"/>
              <w:rPr>
                <w:rFonts w:ascii="宋体" w:eastAsia="宋体" w:hint="eastAsia"/>
                <w:b/>
                <w:sz w:val="20"/>
              </w:rPr>
            </w:pPr>
            <w:r>
              <w:rPr>
                <w:rFonts w:ascii="宋体" w:eastAsia="宋体" w:hint="eastAsia"/>
                <w:b/>
                <w:sz w:val="20"/>
              </w:rPr>
              <w:t>非正常排放</w:t>
            </w:r>
          </w:p>
          <w:p>
            <w:pPr>
              <w:pStyle w:val="TableParagraph"/>
              <w:spacing w:before="104"/>
              <w:ind w:left="116" w:right="-29"/>
              <w:jc w:val="left"/>
              <w:rPr>
                <w:rFonts w:ascii="宋体" w:eastAsia="宋体" w:hint="eastAsia"/>
                <w:b/>
                <w:sz w:val="20"/>
              </w:rPr>
            </w:pPr>
            <w:r>
              <w:rPr>
                <w:rFonts w:ascii="宋体" w:eastAsia="宋体" w:hint="eastAsia"/>
                <w:b/>
                <w:spacing w:val="-2"/>
                <w:sz w:val="20"/>
              </w:rPr>
              <w:t>速率</w:t>
            </w:r>
            <w:r>
              <w:rPr>
                <w:rFonts w:ascii="宋体" w:eastAsia="宋体" w:hint="eastAsia"/>
                <w:b/>
                <w:sz w:val="20"/>
              </w:rPr>
              <w:t>（</w:t>
            </w:r>
            <w:r>
              <w:rPr>
                <w:b/>
                <w:sz w:val="20"/>
              </w:rPr>
              <w:t>kg/h</w:t>
            </w:r>
            <w:r>
              <w:rPr>
                <w:rFonts w:ascii="宋体" w:eastAsia="宋体" w:hint="eastAsia"/>
                <w:b/>
                <w:sz w:val="20"/>
              </w:rPr>
              <w:t>）</w:t>
            </w:r>
          </w:p>
        </w:tc>
        <w:tc>
          <w:tcPr>
            <w:tcW w:w="1052" w:type="dxa"/>
            <w:tcBorders>
              <w:left w:val="single" w:sz="6" w:space="0" w:color="000000"/>
              <w:bottom w:val="single" w:sz="6" w:space="0" w:color="000000"/>
              <w:right w:val="single" w:sz="6" w:space="0" w:color="000000"/>
            </w:tcBorders>
          </w:tcPr>
          <w:p>
            <w:pPr>
              <w:pStyle w:val="TableParagraph"/>
              <w:spacing w:before="51"/>
              <w:ind w:left="131"/>
              <w:jc w:val="left"/>
              <w:rPr>
                <w:rFonts w:ascii="宋体" w:eastAsia="宋体" w:hint="eastAsia"/>
                <w:b/>
                <w:sz w:val="20"/>
              </w:rPr>
            </w:pPr>
            <w:r>
              <w:rPr>
                <w:rFonts w:ascii="宋体" w:eastAsia="宋体" w:hint="eastAsia"/>
                <w:b/>
                <w:sz w:val="20"/>
              </w:rPr>
              <w:t>单次持续</w:t>
            </w:r>
          </w:p>
          <w:p>
            <w:pPr>
              <w:pStyle w:val="TableParagraph"/>
              <w:spacing w:before="104"/>
              <w:ind w:left="116"/>
              <w:jc w:val="left"/>
              <w:rPr>
                <w:rFonts w:ascii="宋体" w:eastAsia="宋体" w:hint="eastAsia"/>
                <w:b/>
                <w:sz w:val="20"/>
              </w:rPr>
            </w:pPr>
            <w:r>
              <w:rPr>
                <w:rFonts w:ascii="宋体" w:eastAsia="宋体" w:hint="eastAsia"/>
                <w:b/>
                <w:sz w:val="20"/>
              </w:rPr>
              <w:t>时间</w:t>
            </w:r>
            <w:r>
              <w:rPr>
                <w:rFonts w:ascii="宋体" w:eastAsia="宋体" w:hint="eastAsia"/>
                <w:b/>
                <w:spacing w:val="-5"/>
                <w:sz w:val="20"/>
              </w:rPr>
              <w:t>（</w:t>
            </w:r>
            <w:r>
              <w:rPr>
                <w:b/>
                <w:spacing w:val="-5"/>
                <w:sz w:val="20"/>
              </w:rPr>
              <w:t>h</w:t>
            </w:r>
            <w:r>
              <w:rPr>
                <w:rFonts w:ascii="宋体" w:eastAsia="宋体" w:hint="eastAsia"/>
                <w:b/>
                <w:spacing w:val="-5"/>
                <w:sz w:val="20"/>
              </w:rPr>
              <w:t>）</w:t>
            </w:r>
          </w:p>
        </w:tc>
        <w:tc>
          <w:tcPr>
            <w:tcW w:w="838" w:type="dxa"/>
            <w:tcBorders>
              <w:left w:val="single" w:sz="6" w:space="0" w:color="000000"/>
              <w:bottom w:val="single" w:sz="6" w:space="0" w:color="000000"/>
              <w:right w:val="single" w:sz="6" w:space="0" w:color="000000"/>
            </w:tcBorders>
          </w:tcPr>
          <w:p>
            <w:pPr>
              <w:pStyle w:val="TableParagraph"/>
              <w:spacing w:before="51"/>
              <w:ind w:left="102" w:right="73"/>
              <w:rPr>
                <w:rFonts w:ascii="宋体" w:eastAsia="宋体" w:hint="eastAsia"/>
                <w:b/>
                <w:sz w:val="20"/>
              </w:rPr>
            </w:pPr>
            <w:r>
              <w:rPr>
                <w:rFonts w:ascii="宋体" w:eastAsia="宋体" w:hint="eastAsia"/>
                <w:b/>
                <w:sz w:val="20"/>
              </w:rPr>
              <w:t>年发生</w:t>
            </w:r>
          </w:p>
          <w:p>
            <w:pPr>
              <w:pStyle w:val="TableParagraph"/>
              <w:spacing w:before="104"/>
              <w:ind w:left="102" w:right="73"/>
              <w:rPr>
                <w:rFonts w:ascii="宋体" w:eastAsia="宋体" w:hint="eastAsia"/>
                <w:b/>
                <w:sz w:val="20"/>
              </w:rPr>
            </w:pPr>
            <w:r>
              <w:rPr>
                <w:rFonts w:ascii="宋体" w:eastAsia="宋体" w:hint="eastAsia"/>
                <w:b/>
                <w:sz w:val="20"/>
              </w:rPr>
              <w:t>频次</w:t>
            </w:r>
          </w:p>
        </w:tc>
        <w:tc>
          <w:tcPr>
            <w:tcW w:w="1242" w:type="dxa"/>
            <w:tcBorders>
              <w:left w:val="single" w:sz="6" w:space="0" w:color="000000"/>
              <w:bottom w:val="single" w:sz="6" w:space="0" w:color="000000"/>
            </w:tcBorders>
          </w:tcPr>
          <w:p>
            <w:pPr>
              <w:pStyle w:val="TableParagraph"/>
              <w:spacing w:before="0"/>
              <w:jc w:val="left"/>
              <w:rPr>
                <w:rFonts w:ascii="宋体"/>
                <w:b/>
                <w:sz w:val="18"/>
              </w:rPr>
            </w:pPr>
          </w:p>
          <w:p>
            <w:pPr>
              <w:pStyle w:val="TableParagraph"/>
              <w:spacing w:before="0"/>
              <w:ind w:left="226"/>
              <w:jc w:val="left"/>
              <w:rPr>
                <w:rFonts w:ascii="宋体" w:eastAsia="宋体" w:hint="eastAsia"/>
                <w:b/>
                <w:sz w:val="20"/>
              </w:rPr>
            </w:pPr>
            <w:r>
              <w:rPr>
                <w:rFonts w:ascii="宋体" w:eastAsia="宋体" w:hint="eastAsia"/>
                <w:b/>
                <w:sz w:val="20"/>
              </w:rPr>
              <w:t>应对措施</w:t>
            </w:r>
          </w:p>
        </w:tc>
      </w:tr>
      <w:tr>
        <w:trPr>
          <w:trHeight w:val="351"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17"/>
              <w:rPr>
                <w:sz w:val="20"/>
              </w:rPr>
            </w:pPr>
            <w:r>
              <w:rPr>
                <w:w w:val="99"/>
                <w:sz w:val="20"/>
              </w:rPr>
              <w:t>1</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车间一 </w:t>
            </w:r>
            <w:r>
              <w:rPr>
                <w:position w:val="1"/>
                <w:sz w:val="20"/>
              </w:rPr>
              <w:t>1 </w:t>
            </w:r>
            <w:r>
              <w:rPr>
                <w:rFonts w:ascii="宋体" w:eastAsia="宋体" w:hint="eastAsia"/>
                <w:sz w:val="20"/>
              </w:rPr>
              <w:t>层</w:t>
            </w:r>
          </w:p>
        </w:tc>
        <w:tc>
          <w:tcPr>
            <w:tcW w:w="1097"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27"/>
              </w:rPr>
            </w:pPr>
          </w:p>
          <w:p>
            <w:pPr>
              <w:pStyle w:val="TableParagraph"/>
              <w:spacing w:line="336" w:lineRule="auto" w:before="0"/>
              <w:ind w:left="153" w:right="129"/>
              <w:jc w:val="left"/>
              <w:rPr>
                <w:rFonts w:ascii="宋体" w:eastAsia="宋体" w:hint="eastAsia"/>
                <w:sz w:val="20"/>
              </w:rPr>
            </w:pPr>
            <w:r>
              <w:rPr>
                <w:rFonts w:ascii="宋体" w:eastAsia="宋体" w:hint="eastAsia"/>
                <w:sz w:val="20"/>
              </w:rPr>
              <w:t>除臭系统效率下降</w:t>
            </w: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64"/>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65"/>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65"/>
              <w:ind w:right="345"/>
              <w:jc w:val="right"/>
              <w:rPr>
                <w:sz w:val="20"/>
              </w:rPr>
            </w:pPr>
            <w:r>
              <w:rPr>
                <w:w w:val="95"/>
                <w:sz w:val="20"/>
              </w:rPr>
              <w:t>0.2814</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val="restart"/>
            <w:tcBorders>
              <w:top w:val="single" w:sz="6" w:space="0" w:color="000000"/>
              <w:lef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336" w:lineRule="auto" w:before="171"/>
              <w:ind w:left="128" w:right="91"/>
              <w:rPr>
                <w:rFonts w:ascii="宋体" w:eastAsia="宋体" w:hint="eastAsia"/>
                <w:sz w:val="20"/>
              </w:rPr>
            </w:pPr>
            <w:r>
              <w:rPr>
                <w:rFonts w:ascii="宋体" w:eastAsia="宋体" w:hint="eastAsia"/>
                <w:sz w:val="20"/>
              </w:rPr>
              <w:t>加强对除臭系统的检修维护</w:t>
            </w: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0.0222</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1"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7"/>
              <w:rPr>
                <w:sz w:val="20"/>
              </w:rPr>
            </w:pPr>
            <w:r>
              <w:rPr>
                <w:w w:val="99"/>
                <w:sz w:val="20"/>
              </w:rPr>
              <w:t>2</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车间一 </w:t>
            </w:r>
            <w:r>
              <w:rPr>
                <w:position w:val="1"/>
                <w:sz w:val="20"/>
              </w:rPr>
              <w:t>2 </w:t>
            </w:r>
            <w:r>
              <w:rPr>
                <w:rFonts w:ascii="宋体" w:eastAsia="宋体" w:hint="eastAsia"/>
                <w:sz w:val="20"/>
              </w:rPr>
              <w:t>层</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0.2814</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9"/>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60"/>
              <w:ind w:right="345"/>
              <w:jc w:val="right"/>
              <w:rPr>
                <w:sz w:val="20"/>
              </w:rPr>
            </w:pPr>
            <w:r>
              <w:rPr>
                <w:w w:val="95"/>
                <w:sz w:val="20"/>
              </w:rPr>
              <w:t>0.0222</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4"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7"/>
              <w:rPr>
                <w:sz w:val="20"/>
              </w:rPr>
            </w:pPr>
            <w:r>
              <w:rPr>
                <w:w w:val="99"/>
                <w:sz w:val="20"/>
              </w:rPr>
              <w:t>3</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车间一 </w:t>
            </w:r>
            <w:r>
              <w:rPr>
                <w:position w:val="1"/>
                <w:sz w:val="20"/>
              </w:rPr>
              <w:t>3 </w:t>
            </w:r>
            <w:r>
              <w:rPr>
                <w:rFonts w:ascii="宋体" w:eastAsia="宋体" w:hint="eastAsia"/>
                <w:sz w:val="20"/>
              </w:rPr>
              <w:t>层</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0.4299</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7"/>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ind w:right="345"/>
              <w:jc w:val="right"/>
              <w:rPr>
                <w:sz w:val="20"/>
              </w:rPr>
            </w:pPr>
            <w:r>
              <w:rPr>
                <w:w w:val="95"/>
                <w:sz w:val="20"/>
              </w:rPr>
              <w:t>0.0380</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2"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7"/>
              <w:rPr>
                <w:sz w:val="20"/>
              </w:rPr>
            </w:pPr>
            <w:r>
              <w:rPr>
                <w:w w:val="99"/>
                <w:sz w:val="20"/>
              </w:rPr>
              <w:t>4</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车间一 </w:t>
            </w:r>
            <w:r>
              <w:rPr>
                <w:position w:val="1"/>
                <w:sz w:val="20"/>
              </w:rPr>
              <w:t>4 </w:t>
            </w:r>
            <w:r>
              <w:rPr>
                <w:rFonts w:ascii="宋体" w:eastAsia="宋体" w:hint="eastAsia"/>
                <w:sz w:val="20"/>
              </w:rPr>
              <w:t>层</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0.0392</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9"/>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60"/>
              <w:ind w:right="345"/>
              <w:jc w:val="right"/>
              <w:rPr>
                <w:sz w:val="20"/>
              </w:rPr>
            </w:pPr>
            <w:r>
              <w:rPr>
                <w:w w:val="95"/>
                <w:sz w:val="20"/>
              </w:rPr>
              <w:t>0.0041</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4"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7"/>
              <w:rPr>
                <w:sz w:val="20"/>
              </w:rPr>
            </w:pPr>
            <w:r>
              <w:rPr>
                <w:w w:val="99"/>
                <w:sz w:val="20"/>
              </w:rPr>
              <w:t>5</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车间二 </w:t>
            </w:r>
            <w:r>
              <w:rPr>
                <w:position w:val="1"/>
                <w:sz w:val="20"/>
              </w:rPr>
              <w:t>1 </w:t>
            </w:r>
            <w:r>
              <w:rPr>
                <w:rFonts w:ascii="宋体" w:eastAsia="宋体" w:hint="eastAsia"/>
                <w:sz w:val="20"/>
              </w:rPr>
              <w:t>层</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0.1759</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0.0139</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2"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7"/>
              <w:rPr>
                <w:sz w:val="20"/>
              </w:rPr>
            </w:pPr>
            <w:r>
              <w:rPr>
                <w:w w:val="99"/>
                <w:sz w:val="20"/>
              </w:rPr>
              <w:t>6</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车间二 </w:t>
            </w:r>
            <w:r>
              <w:rPr>
                <w:position w:val="1"/>
                <w:sz w:val="20"/>
              </w:rPr>
              <w:t>2 </w:t>
            </w:r>
            <w:r>
              <w:rPr>
                <w:rFonts w:ascii="宋体" w:eastAsia="宋体" w:hint="eastAsia"/>
                <w:sz w:val="20"/>
              </w:rPr>
              <w:t>层</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0.1759</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9"/>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60"/>
              <w:ind w:right="345"/>
              <w:jc w:val="right"/>
              <w:rPr>
                <w:sz w:val="20"/>
              </w:rPr>
            </w:pPr>
            <w:r>
              <w:rPr>
                <w:w w:val="95"/>
                <w:sz w:val="20"/>
              </w:rPr>
              <w:t>0.0139</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4"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7"/>
              <w:rPr>
                <w:sz w:val="20"/>
              </w:rPr>
            </w:pPr>
            <w:r>
              <w:rPr>
                <w:w w:val="99"/>
                <w:sz w:val="20"/>
              </w:rPr>
              <w:t>7</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车间二 </w:t>
            </w:r>
            <w:r>
              <w:rPr>
                <w:position w:val="1"/>
                <w:sz w:val="20"/>
              </w:rPr>
              <w:t>3 </w:t>
            </w:r>
            <w:r>
              <w:rPr>
                <w:rFonts w:ascii="宋体" w:eastAsia="宋体" w:hint="eastAsia"/>
                <w:sz w:val="20"/>
              </w:rPr>
              <w:t>层</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0.1386</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0.0249</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2"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7"/>
              <w:rPr>
                <w:sz w:val="20"/>
              </w:rPr>
            </w:pPr>
            <w:r>
              <w:rPr>
                <w:w w:val="99"/>
                <w:sz w:val="20"/>
              </w:rPr>
              <w:t>8</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8"/>
              </w:rPr>
            </w:pPr>
          </w:p>
          <w:p>
            <w:pPr>
              <w:pStyle w:val="TableParagraph"/>
              <w:spacing w:before="0"/>
              <w:ind w:left="134"/>
              <w:jc w:val="left"/>
              <w:rPr>
                <w:rFonts w:ascii="宋体" w:eastAsia="宋体" w:hint="eastAsia"/>
                <w:sz w:val="20"/>
              </w:rPr>
            </w:pPr>
            <w:r>
              <w:rPr>
                <w:rFonts w:ascii="宋体" w:eastAsia="宋体" w:hint="eastAsia"/>
                <w:sz w:val="20"/>
              </w:rPr>
              <w:t>车间二 </w:t>
            </w:r>
            <w:r>
              <w:rPr>
                <w:position w:val="1"/>
                <w:sz w:val="20"/>
              </w:rPr>
              <w:t>4 </w:t>
            </w:r>
            <w:r>
              <w:rPr>
                <w:rFonts w:ascii="宋体" w:eastAsia="宋体" w:hint="eastAsia"/>
                <w:sz w:val="20"/>
              </w:rPr>
              <w:t>层</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0.1018</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9"/>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60"/>
              <w:ind w:right="345"/>
              <w:jc w:val="right"/>
              <w:rPr>
                <w:sz w:val="20"/>
              </w:rPr>
            </w:pPr>
            <w:r>
              <w:rPr>
                <w:w w:val="95"/>
                <w:sz w:val="20"/>
              </w:rPr>
              <w:t>0.0155</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4" w:hRule="atLeast"/>
        </w:trPr>
        <w:tc>
          <w:tcPr>
            <w:tcW w:w="583"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7"/>
              <w:rPr>
                <w:sz w:val="20"/>
              </w:rPr>
            </w:pPr>
            <w:r>
              <w:rPr>
                <w:w w:val="99"/>
                <w:sz w:val="20"/>
              </w:rPr>
              <w:t>9</w:t>
            </w:r>
          </w:p>
        </w:tc>
        <w:tc>
          <w:tcPr>
            <w:tcW w:w="126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335"/>
              <w:jc w:val="left"/>
              <w:rPr>
                <w:rFonts w:ascii="宋体" w:eastAsia="宋体" w:hint="eastAsia"/>
                <w:sz w:val="20"/>
              </w:rPr>
            </w:pPr>
            <w:r>
              <w:rPr>
                <w:rFonts w:ascii="宋体" w:eastAsia="宋体" w:hint="eastAsia"/>
                <w:sz w:val="20"/>
              </w:rPr>
              <w:t>隔离舍</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0.1047</w:t>
            </w:r>
          </w:p>
        </w:tc>
        <w:tc>
          <w:tcPr>
            <w:tcW w:w="10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44" w:hRule="atLeast"/>
        </w:trPr>
        <w:tc>
          <w:tcPr>
            <w:tcW w:w="583" w:type="dxa"/>
            <w:vMerge/>
            <w:tcBorders>
              <w:top w:val="nil"/>
              <w:bottom w:val="single" w:sz="6" w:space="0" w:color="000000"/>
              <w:right w:val="single" w:sz="6" w:space="0" w:color="000000"/>
            </w:tcBorders>
          </w:tcPr>
          <w:p>
            <w:pPr>
              <w:rPr>
                <w:sz w:val="2"/>
                <w:szCs w:val="2"/>
              </w:rPr>
            </w:pPr>
          </w:p>
        </w:tc>
        <w:tc>
          <w:tcPr>
            <w:tcW w:w="1262" w:type="dxa"/>
            <w:vMerge/>
            <w:tcBorders>
              <w:top w:val="nil"/>
              <w:left w:val="single" w:sz="6" w:space="0" w:color="000000"/>
              <w:bottom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7"/>
              <w:ind w:left="31"/>
              <w:rPr>
                <w:sz w:val="20"/>
              </w:rPr>
            </w:pPr>
            <w:r>
              <w:rPr>
                <w:w w:val="99"/>
                <w:sz w:val="20"/>
              </w:rPr>
              <w:t>/</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7"/>
              <w:ind w:right="345"/>
              <w:jc w:val="right"/>
              <w:rPr>
                <w:sz w:val="20"/>
              </w:rPr>
            </w:pPr>
            <w:r>
              <w:rPr>
                <w:w w:val="95"/>
                <w:sz w:val="20"/>
              </w:rPr>
              <w:t>0.0064</w:t>
            </w:r>
          </w:p>
        </w:tc>
        <w:tc>
          <w:tcPr>
            <w:tcW w:w="1052" w:type="dxa"/>
            <w:vMerge/>
            <w:tcBorders>
              <w:top w:val="nil"/>
              <w:left w:val="single" w:sz="6" w:space="0" w:color="000000"/>
              <w:bottom w:val="single" w:sz="6" w:space="0" w:color="000000"/>
              <w:right w:val="single" w:sz="6" w:space="0" w:color="000000"/>
            </w:tcBorders>
          </w:tcPr>
          <w:p>
            <w:pPr>
              <w:rPr>
                <w:sz w:val="2"/>
                <w:szCs w:val="2"/>
              </w:rPr>
            </w:pPr>
          </w:p>
        </w:tc>
        <w:tc>
          <w:tcPr>
            <w:tcW w:w="838" w:type="dxa"/>
            <w:vMerge/>
            <w:tcBorders>
              <w:top w:val="nil"/>
              <w:left w:val="single" w:sz="6" w:space="0" w:color="000000"/>
              <w:bottom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r>
        <w:trPr>
          <w:trHeight w:val="342" w:hRule="atLeast"/>
        </w:trPr>
        <w:tc>
          <w:tcPr>
            <w:tcW w:w="583" w:type="dxa"/>
            <w:vMerge w:val="restart"/>
            <w:tcBorders>
              <w:top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191"/>
              <w:jc w:val="left"/>
              <w:rPr>
                <w:sz w:val="20"/>
              </w:rPr>
            </w:pPr>
            <w:r>
              <w:rPr>
                <w:sz w:val="20"/>
              </w:rPr>
              <w:t>10</w:t>
            </w:r>
          </w:p>
        </w:tc>
        <w:tc>
          <w:tcPr>
            <w:tcW w:w="1262" w:type="dxa"/>
            <w:vMerge w:val="restart"/>
            <w:tcBorders>
              <w:top w:val="single" w:sz="6" w:space="0" w:color="000000"/>
              <w:left w:val="single" w:sz="6" w:space="0" w:color="000000"/>
              <w:right w:val="single" w:sz="6" w:space="0" w:color="000000"/>
            </w:tcBorders>
          </w:tcPr>
          <w:p>
            <w:pPr>
              <w:pStyle w:val="TableParagraph"/>
              <w:spacing w:before="11"/>
              <w:jc w:val="left"/>
              <w:rPr>
                <w:rFonts w:ascii="宋体"/>
                <w:b/>
                <w:sz w:val="18"/>
              </w:rPr>
            </w:pPr>
          </w:p>
          <w:p>
            <w:pPr>
              <w:pStyle w:val="TableParagraph"/>
              <w:spacing w:before="0"/>
              <w:ind w:left="340"/>
              <w:jc w:val="left"/>
              <w:rPr>
                <w:sz w:val="20"/>
              </w:rPr>
            </w:pPr>
            <w:r>
              <w:rPr>
                <w:sz w:val="20"/>
              </w:rPr>
              <w:t>DA001</w:t>
            </w: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bottom w:val="single" w:sz="6" w:space="0" w:color="000000"/>
              <w:right w:val="single" w:sz="6" w:space="0" w:color="000000"/>
            </w:tcBorders>
          </w:tcPr>
          <w:p>
            <w:pPr>
              <w:pStyle w:val="TableParagraph"/>
              <w:spacing w:before="56"/>
              <w:ind w:left="94" w:right="66"/>
              <w:rPr>
                <w:sz w:val="13"/>
              </w:rPr>
            </w:pPr>
            <w:r>
              <w:rPr>
                <w:position w:val="2"/>
                <w:sz w:val="20"/>
              </w:rPr>
              <w:t>NH</w:t>
            </w:r>
            <w:r>
              <w:rPr>
                <w:sz w:val="13"/>
              </w:rPr>
              <w:t>3</w:t>
            </w:r>
          </w:p>
        </w:tc>
        <w:tc>
          <w:tcPr>
            <w:tcW w:w="1447" w:type="dxa"/>
            <w:tcBorders>
              <w:top w:val="single" w:sz="6" w:space="0" w:color="000000"/>
              <w:left w:val="single" w:sz="6" w:space="0" w:color="000000"/>
              <w:bottom w:val="single" w:sz="6" w:space="0" w:color="000000"/>
              <w:right w:val="single" w:sz="6" w:space="0" w:color="000000"/>
            </w:tcBorders>
          </w:tcPr>
          <w:p>
            <w:pPr>
              <w:pStyle w:val="TableParagraph"/>
              <w:spacing w:before="55"/>
              <w:ind w:left="485" w:right="456"/>
              <w:rPr>
                <w:sz w:val="20"/>
              </w:rPr>
            </w:pPr>
            <w:r>
              <w:rPr>
                <w:sz w:val="20"/>
              </w:rPr>
              <w:t>15.03</w:t>
            </w:r>
          </w:p>
        </w:tc>
        <w:tc>
          <w:tcPr>
            <w:tcW w:w="1291" w:type="dxa"/>
            <w:tcBorders>
              <w:top w:val="single" w:sz="6" w:space="0" w:color="000000"/>
              <w:left w:val="single" w:sz="6" w:space="0" w:color="000000"/>
              <w:bottom w:val="single" w:sz="6" w:space="0" w:color="000000"/>
              <w:right w:val="single" w:sz="6" w:space="0" w:color="000000"/>
            </w:tcBorders>
          </w:tcPr>
          <w:p>
            <w:pPr>
              <w:pStyle w:val="TableParagraph"/>
              <w:spacing w:before="55"/>
              <w:ind w:right="345"/>
              <w:jc w:val="right"/>
              <w:rPr>
                <w:sz w:val="20"/>
              </w:rPr>
            </w:pPr>
            <w:r>
              <w:rPr>
                <w:w w:val="95"/>
                <w:sz w:val="20"/>
              </w:rPr>
              <w:t>0.7514</w:t>
            </w:r>
          </w:p>
        </w:tc>
        <w:tc>
          <w:tcPr>
            <w:tcW w:w="1052" w:type="dxa"/>
            <w:vMerge w:val="restart"/>
            <w:tcBorders>
              <w:top w:val="single" w:sz="6" w:space="0" w:color="000000"/>
              <w:left w:val="single" w:sz="6" w:space="0" w:color="000000"/>
              <w:right w:val="single" w:sz="6" w:space="0" w:color="000000"/>
            </w:tcBorders>
          </w:tcPr>
          <w:p>
            <w:pPr>
              <w:pStyle w:val="TableParagraph"/>
              <w:spacing w:before="1"/>
              <w:jc w:val="left"/>
              <w:rPr>
                <w:rFonts w:ascii="宋体"/>
                <w:b/>
                <w:sz w:val="19"/>
              </w:rPr>
            </w:pPr>
          </w:p>
          <w:p>
            <w:pPr>
              <w:pStyle w:val="TableParagraph"/>
              <w:spacing w:before="0"/>
              <w:ind w:left="415" w:right="382"/>
              <w:rPr>
                <w:sz w:val="20"/>
              </w:rPr>
            </w:pPr>
            <w:r>
              <w:rPr>
                <w:sz w:val="20"/>
              </w:rPr>
              <w:t>1h</w:t>
            </w:r>
          </w:p>
        </w:tc>
        <w:tc>
          <w:tcPr>
            <w:tcW w:w="838"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24"/>
              <w:jc w:val="left"/>
              <w:rPr>
                <w:rFonts w:ascii="宋体" w:eastAsia="宋体" w:hint="eastAsia"/>
                <w:sz w:val="20"/>
              </w:rPr>
            </w:pPr>
            <w:r>
              <w:rPr>
                <w:rFonts w:ascii="宋体" w:eastAsia="宋体" w:hint="eastAsia"/>
                <w:sz w:val="20"/>
              </w:rPr>
              <w:t>偶发</w:t>
            </w:r>
          </w:p>
        </w:tc>
        <w:tc>
          <w:tcPr>
            <w:tcW w:w="1242" w:type="dxa"/>
            <w:vMerge/>
            <w:tcBorders>
              <w:top w:val="nil"/>
              <w:left w:val="single" w:sz="6" w:space="0" w:color="000000"/>
            </w:tcBorders>
          </w:tcPr>
          <w:p>
            <w:pPr>
              <w:rPr>
                <w:sz w:val="2"/>
                <w:szCs w:val="2"/>
              </w:rPr>
            </w:pPr>
          </w:p>
        </w:tc>
      </w:tr>
      <w:tr>
        <w:trPr>
          <w:trHeight w:val="353" w:hRule="atLeast"/>
        </w:trPr>
        <w:tc>
          <w:tcPr>
            <w:tcW w:w="583" w:type="dxa"/>
            <w:vMerge/>
            <w:tcBorders>
              <w:top w:val="nil"/>
              <w:right w:val="single" w:sz="6" w:space="0" w:color="000000"/>
            </w:tcBorders>
          </w:tcPr>
          <w:p>
            <w:pPr>
              <w:rPr>
                <w:sz w:val="2"/>
                <w:szCs w:val="2"/>
              </w:rPr>
            </w:pPr>
          </w:p>
        </w:tc>
        <w:tc>
          <w:tcPr>
            <w:tcW w:w="1262" w:type="dxa"/>
            <w:vMerge/>
            <w:tcBorders>
              <w:top w:val="nil"/>
              <w:left w:val="single" w:sz="6" w:space="0" w:color="000000"/>
              <w:right w:val="single" w:sz="6" w:space="0" w:color="000000"/>
            </w:tcBorders>
          </w:tcPr>
          <w:p>
            <w:pPr>
              <w:rPr>
                <w:sz w:val="2"/>
                <w:szCs w:val="2"/>
              </w:rPr>
            </w:pPr>
          </w:p>
        </w:tc>
        <w:tc>
          <w:tcPr>
            <w:tcW w:w="1097" w:type="dxa"/>
            <w:vMerge/>
            <w:tcBorders>
              <w:top w:val="nil"/>
              <w:left w:val="single" w:sz="6" w:space="0" w:color="000000"/>
              <w:right w:val="single" w:sz="6" w:space="0" w:color="000000"/>
            </w:tcBorders>
          </w:tcPr>
          <w:p>
            <w:pPr>
              <w:rPr>
                <w:sz w:val="2"/>
                <w:szCs w:val="2"/>
              </w:rPr>
            </w:pPr>
          </w:p>
        </w:tc>
        <w:tc>
          <w:tcPr>
            <w:tcW w:w="619" w:type="dxa"/>
            <w:tcBorders>
              <w:top w:val="single" w:sz="6" w:space="0" w:color="000000"/>
              <w:left w:val="single" w:sz="6" w:space="0" w:color="000000"/>
              <w:right w:val="single" w:sz="6" w:space="0" w:color="000000"/>
            </w:tcBorders>
          </w:tcPr>
          <w:p>
            <w:pPr>
              <w:pStyle w:val="TableParagraph"/>
              <w:spacing w:before="59"/>
              <w:ind w:left="94" w:right="66"/>
              <w:rPr>
                <w:sz w:val="20"/>
              </w:rPr>
            </w:pPr>
            <w:r>
              <w:rPr>
                <w:position w:val="2"/>
                <w:sz w:val="20"/>
              </w:rPr>
              <w:t>H</w:t>
            </w:r>
            <w:r>
              <w:rPr>
                <w:sz w:val="13"/>
              </w:rPr>
              <w:t>2</w:t>
            </w:r>
            <w:r>
              <w:rPr>
                <w:position w:val="2"/>
                <w:sz w:val="20"/>
              </w:rPr>
              <w:t>S</w:t>
            </w:r>
          </w:p>
        </w:tc>
        <w:tc>
          <w:tcPr>
            <w:tcW w:w="1447" w:type="dxa"/>
            <w:tcBorders>
              <w:top w:val="single" w:sz="6" w:space="0" w:color="000000"/>
              <w:left w:val="single" w:sz="6" w:space="0" w:color="000000"/>
              <w:right w:val="single" w:sz="6" w:space="0" w:color="000000"/>
            </w:tcBorders>
          </w:tcPr>
          <w:p>
            <w:pPr>
              <w:pStyle w:val="TableParagraph"/>
              <w:spacing w:before="55"/>
              <w:ind w:left="485" w:right="456"/>
              <w:rPr>
                <w:sz w:val="20"/>
              </w:rPr>
            </w:pPr>
            <w:r>
              <w:rPr>
                <w:sz w:val="20"/>
              </w:rPr>
              <w:t>0.11</w:t>
            </w:r>
          </w:p>
        </w:tc>
        <w:tc>
          <w:tcPr>
            <w:tcW w:w="1291" w:type="dxa"/>
            <w:tcBorders>
              <w:top w:val="single" w:sz="6" w:space="0" w:color="000000"/>
              <w:left w:val="single" w:sz="6" w:space="0" w:color="000000"/>
              <w:right w:val="single" w:sz="6" w:space="0" w:color="000000"/>
            </w:tcBorders>
          </w:tcPr>
          <w:p>
            <w:pPr>
              <w:pStyle w:val="TableParagraph"/>
              <w:spacing w:before="55"/>
              <w:ind w:right="345"/>
              <w:jc w:val="right"/>
              <w:rPr>
                <w:sz w:val="20"/>
              </w:rPr>
            </w:pPr>
            <w:r>
              <w:rPr>
                <w:w w:val="95"/>
                <w:sz w:val="20"/>
              </w:rPr>
              <w:t>0.0055</w:t>
            </w:r>
          </w:p>
        </w:tc>
        <w:tc>
          <w:tcPr>
            <w:tcW w:w="1052" w:type="dxa"/>
            <w:vMerge/>
            <w:tcBorders>
              <w:top w:val="nil"/>
              <w:left w:val="single" w:sz="6" w:space="0" w:color="000000"/>
              <w:right w:val="single" w:sz="6" w:space="0" w:color="000000"/>
            </w:tcBorders>
          </w:tcPr>
          <w:p>
            <w:pPr>
              <w:rPr>
                <w:sz w:val="2"/>
                <w:szCs w:val="2"/>
              </w:rPr>
            </w:pPr>
          </w:p>
        </w:tc>
        <w:tc>
          <w:tcPr>
            <w:tcW w:w="838" w:type="dxa"/>
            <w:vMerge/>
            <w:tcBorders>
              <w:top w:val="nil"/>
              <w:left w:val="single" w:sz="6" w:space="0" w:color="000000"/>
              <w:right w:val="single" w:sz="6" w:space="0" w:color="000000"/>
            </w:tcBorders>
          </w:tcPr>
          <w:p>
            <w:pPr>
              <w:rPr>
                <w:sz w:val="2"/>
                <w:szCs w:val="2"/>
              </w:rPr>
            </w:pPr>
          </w:p>
        </w:tc>
        <w:tc>
          <w:tcPr>
            <w:tcW w:w="1242" w:type="dxa"/>
            <w:vMerge/>
            <w:tcBorders>
              <w:top w:val="nil"/>
              <w:left w:val="single" w:sz="6" w:space="0" w:color="000000"/>
            </w:tcBorders>
          </w:tcPr>
          <w:p>
            <w:pPr>
              <w:rPr>
                <w:sz w:val="2"/>
                <w:szCs w:val="2"/>
              </w:rPr>
            </w:pPr>
          </w:p>
        </w:tc>
      </w:tr>
    </w:tbl>
    <w:p>
      <w:pPr>
        <w:spacing w:before="81"/>
        <w:ind w:left="719" w:right="0" w:firstLine="0"/>
        <w:jc w:val="left"/>
        <w:rPr>
          <w:b/>
          <w:sz w:val="24"/>
        </w:rPr>
      </w:pPr>
      <w:r>
        <w:rPr>
          <w:rFonts w:ascii="Times New Roman" w:eastAsia="Times New Roman"/>
          <w:b/>
          <w:sz w:val="24"/>
        </w:rPr>
        <w:t>3</w:t>
      </w:r>
      <w:r>
        <w:rPr>
          <w:b/>
          <w:sz w:val="24"/>
        </w:rPr>
        <w:t>、大气环境影响预测</w:t>
      </w:r>
    </w:p>
    <w:p>
      <w:pPr>
        <w:pStyle w:val="ListParagraph"/>
        <w:numPr>
          <w:ilvl w:val="0"/>
          <w:numId w:val="73"/>
        </w:numPr>
        <w:tabs>
          <w:tab w:pos="1323" w:val="left" w:leader="none"/>
        </w:tabs>
        <w:spacing w:line="240" w:lineRule="auto" w:before="161" w:after="0"/>
        <w:ind w:left="1323" w:right="0" w:hanging="604"/>
        <w:jc w:val="left"/>
        <w:rPr>
          <w:b/>
          <w:sz w:val="24"/>
        </w:rPr>
      </w:pPr>
      <w:r>
        <w:rPr>
          <w:b/>
          <w:sz w:val="24"/>
        </w:rPr>
        <w:t>气候及气象资料</w:t>
      </w:r>
    </w:p>
    <w:p>
      <w:pPr>
        <w:pStyle w:val="BodyText"/>
        <w:spacing w:before="160"/>
        <w:ind w:left="717"/>
      </w:pPr>
      <w:r>
        <w:rPr/>
        <w:t>本环评主要引用绍兴 </w:t>
      </w:r>
      <w:r>
        <w:rPr>
          <w:rFonts w:ascii="Times New Roman" w:eastAsia="Times New Roman"/>
        </w:rPr>
        <w:t>2019 </w:t>
      </w:r>
      <w:r>
        <w:rPr/>
        <w:t>年度逐日逐次气象资料（气象站名：绍兴，气象站编号</w:t>
      </w:r>
    </w:p>
    <w:p>
      <w:pPr>
        <w:spacing w:after="0"/>
        <w:sectPr>
          <w:pgSz w:w="11910" w:h="16840"/>
          <w:pgMar w:header="874" w:footer="1004" w:top="1420" w:bottom="1200" w:left="1040" w:right="1160"/>
        </w:sectPr>
      </w:pPr>
    </w:p>
    <w:p>
      <w:pPr>
        <w:pStyle w:val="BodyText"/>
        <w:spacing w:line="364" w:lineRule="auto" w:before="92"/>
        <w:ind w:right="146"/>
      </w:pPr>
      <w:r>
        <w:rPr>
          <w:rFonts w:ascii="Times New Roman" w:eastAsia="Times New Roman"/>
        </w:rPr>
        <w:t>58453</w:t>
      </w:r>
      <w:r>
        <w:rPr>
          <w:spacing w:val="-9"/>
        </w:rPr>
        <w:t>，为一般站，坐标 </w:t>
      </w:r>
      <w:r>
        <w:rPr>
          <w:rFonts w:ascii="Times New Roman" w:eastAsia="Times New Roman"/>
        </w:rPr>
        <w:t>120.50E</w:t>
      </w:r>
      <w:r>
        <w:rPr>
          <w:spacing w:val="-10"/>
        </w:rPr>
        <w:t>、</w:t>
      </w:r>
      <w:r>
        <w:rPr>
          <w:rFonts w:ascii="Times New Roman" w:eastAsia="Times New Roman"/>
          <w:spacing w:val="-3"/>
        </w:rPr>
        <w:t>30.07N</w:t>
      </w:r>
      <w:r>
        <w:rPr>
          <w:spacing w:val="-3"/>
        </w:rPr>
        <w:t>）</w:t>
      </w:r>
      <w:r>
        <w:rPr>
          <w:spacing w:val="-6"/>
        </w:rPr>
        <w:t>，其中云高及云量数据引用杭州 </w:t>
      </w:r>
      <w:r>
        <w:rPr>
          <w:rFonts w:ascii="Times New Roman" w:eastAsia="Times New Roman"/>
        </w:rPr>
        <w:t>2019 </w:t>
      </w:r>
      <w:r>
        <w:rPr/>
        <w:t>年度资</w:t>
      </w:r>
      <w:r>
        <w:rPr>
          <w:spacing w:val="-3"/>
        </w:rPr>
        <w:t>料作为补充</w:t>
      </w:r>
      <w:r>
        <w:rPr/>
        <w:t>（</w:t>
      </w:r>
      <w:r>
        <w:rPr>
          <w:spacing w:val="-9"/>
        </w:rPr>
        <w:t>气象站名：杭州，气象站编号 </w:t>
      </w:r>
      <w:r>
        <w:rPr>
          <w:rFonts w:ascii="Times New Roman" w:eastAsia="Times New Roman"/>
          <w:spacing w:val="-3"/>
        </w:rPr>
        <w:t>58457</w:t>
      </w:r>
      <w:r>
        <w:rPr>
          <w:spacing w:val="-12"/>
        </w:rPr>
        <w:t>，为基准站，坐标 </w:t>
      </w:r>
      <w:r>
        <w:rPr>
          <w:rFonts w:ascii="Times New Roman" w:eastAsia="Times New Roman"/>
        </w:rPr>
        <w:t>120.17E</w:t>
      </w:r>
      <w:r>
        <w:rPr>
          <w:spacing w:val="-15"/>
        </w:rPr>
        <w:t>、</w:t>
      </w:r>
      <w:r>
        <w:rPr>
          <w:rFonts w:ascii="Times New Roman" w:eastAsia="Times New Roman"/>
          <w:spacing w:val="-3"/>
        </w:rPr>
        <w:t>30.23N</w:t>
      </w:r>
      <w:r>
        <w:rPr>
          <w:spacing w:val="-3"/>
        </w:rPr>
        <w:t>）</w:t>
      </w:r>
      <w:r>
        <w:rPr>
          <w:spacing w:val="-15"/>
        </w:rPr>
        <w:t>。</w:t>
      </w:r>
    </w:p>
    <w:p>
      <w:pPr>
        <w:pStyle w:val="ListParagraph"/>
        <w:numPr>
          <w:ilvl w:val="0"/>
          <w:numId w:val="74"/>
        </w:numPr>
        <w:tabs>
          <w:tab w:pos="1079" w:val="left" w:leader="none"/>
        </w:tabs>
        <w:spacing w:line="240" w:lineRule="auto" w:before="1" w:after="0"/>
        <w:ind w:left="1078" w:right="0" w:hanging="362"/>
        <w:jc w:val="left"/>
        <w:rPr>
          <w:sz w:val="24"/>
        </w:rPr>
      </w:pPr>
      <w:r>
        <w:rPr>
          <w:sz w:val="24"/>
        </w:rPr>
        <w:t>平均温度的月变化</w:t>
      </w:r>
    </w:p>
    <w:p>
      <w:pPr>
        <w:pStyle w:val="BodyText"/>
        <w:spacing w:before="160"/>
        <w:ind w:left="717"/>
      </w:pPr>
      <w:r>
        <w:rPr/>
        <w:t>平均温度的月变化情况见表 </w:t>
      </w:r>
      <w:r>
        <w:rPr>
          <w:rFonts w:ascii="Times New Roman" w:eastAsia="Times New Roman"/>
        </w:rPr>
        <w:t>5.2-14 </w:t>
      </w:r>
      <w:r>
        <w:rPr/>
        <w:t>及图 </w:t>
      </w:r>
      <w:r>
        <w:rPr>
          <w:rFonts w:ascii="Times New Roman" w:eastAsia="Times New Roman"/>
        </w:rPr>
        <w:t>5.2-5</w:t>
      </w:r>
      <w:r>
        <w:rPr/>
        <w:t>。</w:t>
      </w:r>
    </w:p>
    <w:p>
      <w:pPr>
        <w:pStyle w:val="Heading3"/>
        <w:ind w:left="222" w:right="236"/>
        <w:jc w:val="center"/>
      </w:pPr>
      <w:r>
        <w:rPr/>
        <w:t>表 </w:t>
      </w:r>
      <w:r>
        <w:rPr>
          <w:rFonts w:ascii="Times New Roman" w:hAnsi="Times New Roman" w:eastAsia="Times New Roman"/>
        </w:rPr>
        <w:t>5.2-14  </w:t>
      </w:r>
      <w:r>
        <w:rPr/>
        <w:t>年平均温度的月变化 单位：℃</w:t>
      </w:r>
    </w:p>
    <w:p>
      <w:pPr>
        <w:pStyle w:val="BodyText"/>
        <w:spacing w:before="2"/>
        <w:ind w:left="0"/>
        <w:rPr>
          <w:b/>
          <w:sz w:val="6"/>
        </w:rPr>
      </w:pP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7"/>
        <w:gridCol w:w="128"/>
        <w:gridCol w:w="662"/>
        <w:gridCol w:w="663"/>
        <w:gridCol w:w="660"/>
        <w:gridCol w:w="662"/>
        <w:gridCol w:w="662"/>
        <w:gridCol w:w="662"/>
        <w:gridCol w:w="659"/>
        <w:gridCol w:w="659"/>
        <w:gridCol w:w="660"/>
        <w:gridCol w:w="844"/>
        <w:gridCol w:w="822"/>
        <w:gridCol w:w="194"/>
        <w:gridCol w:w="661"/>
      </w:tblGrid>
      <w:tr>
        <w:trPr>
          <w:trHeight w:val="359" w:hRule="atLeast"/>
        </w:trPr>
        <w:tc>
          <w:tcPr>
            <w:tcW w:w="765" w:type="dxa"/>
            <w:gridSpan w:val="2"/>
            <w:tcBorders>
              <w:bottom w:val="single" w:sz="4" w:space="0" w:color="000000"/>
              <w:right w:val="single" w:sz="4" w:space="0" w:color="000000"/>
            </w:tcBorders>
          </w:tcPr>
          <w:p>
            <w:pPr>
              <w:pStyle w:val="TableParagraph"/>
              <w:spacing w:before="44"/>
              <w:ind w:left="26"/>
              <w:rPr>
                <w:rFonts w:ascii="宋体" w:eastAsia="宋体" w:hint="eastAsia"/>
                <w:b/>
                <w:sz w:val="21"/>
              </w:rPr>
            </w:pPr>
            <w:r>
              <w:rPr>
                <w:rFonts w:ascii="宋体" w:eastAsia="宋体" w:hint="eastAsia"/>
                <w:b/>
                <w:w w:val="100"/>
                <w:sz w:val="21"/>
              </w:rPr>
              <w:t>月</w:t>
            </w:r>
          </w:p>
        </w:tc>
        <w:tc>
          <w:tcPr>
            <w:tcW w:w="662" w:type="dxa"/>
            <w:tcBorders>
              <w:left w:val="single" w:sz="4" w:space="0" w:color="000000"/>
              <w:bottom w:val="single" w:sz="4" w:space="0" w:color="000000"/>
              <w:right w:val="single" w:sz="4" w:space="0" w:color="000000"/>
            </w:tcBorders>
          </w:tcPr>
          <w:p>
            <w:pPr>
              <w:pStyle w:val="TableParagraph"/>
              <w:spacing w:before="44"/>
              <w:ind w:left="156"/>
              <w:jc w:val="left"/>
              <w:rPr>
                <w:rFonts w:ascii="宋体" w:eastAsia="宋体" w:hint="eastAsia"/>
                <w:b/>
                <w:sz w:val="21"/>
              </w:rPr>
            </w:pPr>
            <w:r>
              <w:rPr>
                <w:b/>
                <w:sz w:val="21"/>
              </w:rPr>
              <w:t>1 </w:t>
            </w:r>
            <w:r>
              <w:rPr>
                <w:rFonts w:ascii="宋体" w:eastAsia="宋体" w:hint="eastAsia"/>
                <w:b/>
                <w:sz w:val="21"/>
              </w:rPr>
              <w:t>月</w:t>
            </w:r>
          </w:p>
        </w:tc>
        <w:tc>
          <w:tcPr>
            <w:tcW w:w="663" w:type="dxa"/>
            <w:tcBorders>
              <w:left w:val="single" w:sz="4" w:space="0" w:color="000000"/>
              <w:bottom w:val="single" w:sz="4" w:space="0" w:color="000000"/>
              <w:right w:val="single" w:sz="4" w:space="0" w:color="000000"/>
            </w:tcBorders>
          </w:tcPr>
          <w:p>
            <w:pPr>
              <w:pStyle w:val="TableParagraph"/>
              <w:spacing w:before="44"/>
              <w:ind w:left="132" w:right="107"/>
              <w:rPr>
                <w:rFonts w:ascii="宋体" w:eastAsia="宋体" w:hint="eastAsia"/>
                <w:b/>
                <w:sz w:val="21"/>
              </w:rPr>
            </w:pPr>
            <w:r>
              <w:rPr>
                <w:b/>
                <w:sz w:val="21"/>
              </w:rPr>
              <w:t>2 </w:t>
            </w:r>
            <w:r>
              <w:rPr>
                <w:rFonts w:ascii="宋体" w:eastAsia="宋体" w:hint="eastAsia"/>
                <w:b/>
                <w:sz w:val="21"/>
              </w:rPr>
              <w:t>月</w:t>
            </w:r>
          </w:p>
        </w:tc>
        <w:tc>
          <w:tcPr>
            <w:tcW w:w="660" w:type="dxa"/>
            <w:tcBorders>
              <w:left w:val="single" w:sz="4" w:space="0" w:color="000000"/>
              <w:bottom w:val="single" w:sz="4" w:space="0" w:color="000000"/>
              <w:right w:val="single" w:sz="4" w:space="0" w:color="000000"/>
            </w:tcBorders>
          </w:tcPr>
          <w:p>
            <w:pPr>
              <w:pStyle w:val="TableParagraph"/>
              <w:spacing w:before="44"/>
              <w:ind w:left="129" w:right="101"/>
              <w:rPr>
                <w:rFonts w:ascii="宋体" w:eastAsia="宋体" w:hint="eastAsia"/>
                <w:b/>
                <w:sz w:val="21"/>
              </w:rPr>
            </w:pPr>
            <w:r>
              <w:rPr>
                <w:b/>
                <w:sz w:val="21"/>
              </w:rPr>
              <w:t>3 </w:t>
            </w:r>
            <w:r>
              <w:rPr>
                <w:rFonts w:ascii="宋体" w:eastAsia="宋体" w:hint="eastAsia"/>
                <w:b/>
                <w:sz w:val="21"/>
              </w:rPr>
              <w:t>月</w:t>
            </w:r>
          </w:p>
        </w:tc>
        <w:tc>
          <w:tcPr>
            <w:tcW w:w="662" w:type="dxa"/>
            <w:tcBorders>
              <w:left w:val="single" w:sz="4" w:space="0" w:color="000000"/>
              <w:bottom w:val="single" w:sz="4" w:space="0" w:color="000000"/>
              <w:right w:val="single" w:sz="4" w:space="0" w:color="000000"/>
            </w:tcBorders>
          </w:tcPr>
          <w:p>
            <w:pPr>
              <w:pStyle w:val="TableParagraph"/>
              <w:spacing w:before="44"/>
              <w:ind w:right="123"/>
              <w:jc w:val="right"/>
              <w:rPr>
                <w:rFonts w:ascii="宋体" w:eastAsia="宋体" w:hint="eastAsia"/>
                <w:b/>
                <w:sz w:val="21"/>
              </w:rPr>
            </w:pPr>
            <w:r>
              <w:rPr>
                <w:b/>
                <w:sz w:val="21"/>
              </w:rPr>
              <w:t>4 </w:t>
            </w:r>
            <w:r>
              <w:rPr>
                <w:rFonts w:ascii="宋体" w:eastAsia="宋体" w:hint="eastAsia"/>
                <w:b/>
                <w:sz w:val="21"/>
              </w:rPr>
              <w:t>月</w:t>
            </w:r>
          </w:p>
        </w:tc>
        <w:tc>
          <w:tcPr>
            <w:tcW w:w="662" w:type="dxa"/>
            <w:tcBorders>
              <w:left w:val="single" w:sz="4" w:space="0" w:color="000000"/>
              <w:bottom w:val="single" w:sz="4" w:space="0" w:color="000000"/>
              <w:right w:val="single" w:sz="4" w:space="0" w:color="000000"/>
            </w:tcBorders>
          </w:tcPr>
          <w:p>
            <w:pPr>
              <w:pStyle w:val="TableParagraph"/>
              <w:spacing w:before="44"/>
              <w:ind w:left="136" w:right="105"/>
              <w:rPr>
                <w:rFonts w:ascii="宋体" w:eastAsia="宋体" w:hint="eastAsia"/>
                <w:b/>
                <w:sz w:val="21"/>
              </w:rPr>
            </w:pPr>
            <w:r>
              <w:rPr>
                <w:b/>
                <w:sz w:val="21"/>
              </w:rPr>
              <w:t>5 </w:t>
            </w:r>
            <w:r>
              <w:rPr>
                <w:rFonts w:ascii="宋体" w:eastAsia="宋体" w:hint="eastAsia"/>
                <w:b/>
                <w:sz w:val="21"/>
              </w:rPr>
              <w:t>月</w:t>
            </w:r>
          </w:p>
        </w:tc>
        <w:tc>
          <w:tcPr>
            <w:tcW w:w="662" w:type="dxa"/>
            <w:tcBorders>
              <w:left w:val="single" w:sz="4" w:space="0" w:color="000000"/>
              <w:bottom w:val="single" w:sz="4" w:space="0" w:color="000000"/>
              <w:right w:val="single" w:sz="4" w:space="0" w:color="000000"/>
            </w:tcBorders>
          </w:tcPr>
          <w:p>
            <w:pPr>
              <w:pStyle w:val="TableParagraph"/>
              <w:spacing w:before="44"/>
              <w:ind w:left="137" w:right="104"/>
              <w:rPr>
                <w:rFonts w:ascii="宋体" w:eastAsia="宋体" w:hint="eastAsia"/>
                <w:b/>
                <w:sz w:val="21"/>
              </w:rPr>
            </w:pPr>
            <w:r>
              <w:rPr>
                <w:b/>
                <w:sz w:val="21"/>
              </w:rPr>
              <w:t>6 </w:t>
            </w:r>
            <w:r>
              <w:rPr>
                <w:rFonts w:ascii="宋体" w:eastAsia="宋体" w:hint="eastAsia"/>
                <w:b/>
                <w:sz w:val="21"/>
              </w:rPr>
              <w:t>月</w:t>
            </w:r>
          </w:p>
        </w:tc>
        <w:tc>
          <w:tcPr>
            <w:tcW w:w="659" w:type="dxa"/>
            <w:tcBorders>
              <w:left w:val="single" w:sz="4" w:space="0" w:color="000000"/>
              <w:bottom w:val="single" w:sz="4" w:space="0" w:color="000000"/>
              <w:right w:val="single" w:sz="4" w:space="0" w:color="000000"/>
            </w:tcBorders>
          </w:tcPr>
          <w:p>
            <w:pPr>
              <w:pStyle w:val="TableParagraph"/>
              <w:spacing w:before="44"/>
              <w:ind w:left="133" w:right="101"/>
              <w:rPr>
                <w:rFonts w:ascii="宋体" w:eastAsia="宋体" w:hint="eastAsia"/>
                <w:b/>
                <w:sz w:val="21"/>
              </w:rPr>
            </w:pPr>
            <w:r>
              <w:rPr>
                <w:b/>
                <w:sz w:val="21"/>
              </w:rPr>
              <w:t>7 </w:t>
            </w:r>
            <w:r>
              <w:rPr>
                <w:rFonts w:ascii="宋体" w:eastAsia="宋体" w:hint="eastAsia"/>
                <w:b/>
                <w:sz w:val="21"/>
              </w:rPr>
              <w:t>月</w:t>
            </w:r>
          </w:p>
        </w:tc>
        <w:tc>
          <w:tcPr>
            <w:tcW w:w="659" w:type="dxa"/>
            <w:tcBorders>
              <w:left w:val="single" w:sz="4" w:space="0" w:color="000000"/>
              <w:bottom w:val="single" w:sz="4" w:space="0" w:color="000000"/>
              <w:right w:val="single" w:sz="4" w:space="0" w:color="000000"/>
            </w:tcBorders>
          </w:tcPr>
          <w:p>
            <w:pPr>
              <w:pStyle w:val="TableParagraph"/>
              <w:spacing w:before="44"/>
              <w:ind w:left="135" w:right="101"/>
              <w:rPr>
                <w:rFonts w:ascii="宋体" w:eastAsia="宋体" w:hint="eastAsia"/>
                <w:b/>
                <w:sz w:val="21"/>
              </w:rPr>
            </w:pPr>
            <w:r>
              <w:rPr>
                <w:b/>
                <w:sz w:val="21"/>
              </w:rPr>
              <w:t>8 </w:t>
            </w:r>
            <w:r>
              <w:rPr>
                <w:rFonts w:ascii="宋体" w:eastAsia="宋体" w:hint="eastAsia"/>
                <w:b/>
                <w:sz w:val="21"/>
              </w:rPr>
              <w:t>月</w:t>
            </w:r>
          </w:p>
        </w:tc>
        <w:tc>
          <w:tcPr>
            <w:tcW w:w="660" w:type="dxa"/>
            <w:tcBorders>
              <w:left w:val="single" w:sz="4" w:space="0" w:color="000000"/>
              <w:bottom w:val="single" w:sz="4" w:space="0" w:color="000000"/>
              <w:right w:val="single" w:sz="4" w:space="0" w:color="000000"/>
            </w:tcBorders>
          </w:tcPr>
          <w:p>
            <w:pPr>
              <w:pStyle w:val="TableParagraph"/>
              <w:spacing w:before="44"/>
              <w:ind w:left="157"/>
              <w:jc w:val="left"/>
              <w:rPr>
                <w:rFonts w:ascii="宋体" w:eastAsia="宋体" w:hint="eastAsia"/>
                <w:b/>
                <w:sz w:val="21"/>
              </w:rPr>
            </w:pPr>
            <w:r>
              <w:rPr>
                <w:b/>
                <w:sz w:val="21"/>
              </w:rPr>
              <w:t>9 </w:t>
            </w:r>
            <w:r>
              <w:rPr>
                <w:rFonts w:ascii="宋体" w:eastAsia="宋体" w:hint="eastAsia"/>
                <w:b/>
                <w:sz w:val="21"/>
              </w:rPr>
              <w:t>月</w:t>
            </w:r>
          </w:p>
        </w:tc>
        <w:tc>
          <w:tcPr>
            <w:tcW w:w="844" w:type="dxa"/>
            <w:tcBorders>
              <w:left w:val="single" w:sz="4" w:space="0" w:color="000000"/>
              <w:bottom w:val="single" w:sz="4" w:space="0" w:color="000000"/>
              <w:right w:val="single" w:sz="4" w:space="0" w:color="000000"/>
            </w:tcBorders>
          </w:tcPr>
          <w:p>
            <w:pPr>
              <w:pStyle w:val="TableParagraph"/>
              <w:spacing w:before="44"/>
              <w:ind w:left="199"/>
              <w:jc w:val="left"/>
              <w:rPr>
                <w:rFonts w:ascii="宋体" w:eastAsia="宋体" w:hint="eastAsia"/>
                <w:b/>
                <w:sz w:val="21"/>
              </w:rPr>
            </w:pPr>
            <w:r>
              <w:rPr>
                <w:b/>
                <w:sz w:val="21"/>
              </w:rPr>
              <w:t>10 </w:t>
            </w:r>
            <w:r>
              <w:rPr>
                <w:rFonts w:ascii="宋体" w:eastAsia="宋体" w:hint="eastAsia"/>
                <w:b/>
                <w:sz w:val="21"/>
              </w:rPr>
              <w:t>月</w:t>
            </w:r>
          </w:p>
        </w:tc>
        <w:tc>
          <w:tcPr>
            <w:tcW w:w="822" w:type="dxa"/>
            <w:tcBorders>
              <w:left w:val="single" w:sz="4" w:space="0" w:color="000000"/>
              <w:bottom w:val="single" w:sz="4" w:space="0" w:color="000000"/>
              <w:right w:val="single" w:sz="4" w:space="0" w:color="000000"/>
            </w:tcBorders>
          </w:tcPr>
          <w:p>
            <w:pPr>
              <w:pStyle w:val="TableParagraph"/>
              <w:spacing w:before="44"/>
              <w:ind w:left="168" w:right="129"/>
              <w:rPr>
                <w:rFonts w:ascii="宋体" w:eastAsia="宋体" w:hint="eastAsia"/>
                <w:b/>
                <w:sz w:val="21"/>
              </w:rPr>
            </w:pPr>
            <w:r>
              <w:rPr>
                <w:b/>
                <w:sz w:val="21"/>
              </w:rPr>
              <w:t>11 </w:t>
            </w:r>
            <w:r>
              <w:rPr>
                <w:rFonts w:ascii="宋体" w:eastAsia="宋体" w:hint="eastAsia"/>
                <w:b/>
                <w:sz w:val="21"/>
              </w:rPr>
              <w:t>月</w:t>
            </w:r>
          </w:p>
        </w:tc>
        <w:tc>
          <w:tcPr>
            <w:tcW w:w="855" w:type="dxa"/>
            <w:gridSpan w:val="2"/>
            <w:tcBorders>
              <w:left w:val="single" w:sz="4" w:space="0" w:color="000000"/>
              <w:bottom w:val="single" w:sz="4" w:space="0" w:color="000000"/>
            </w:tcBorders>
          </w:tcPr>
          <w:p>
            <w:pPr>
              <w:pStyle w:val="TableParagraph"/>
              <w:spacing w:before="44"/>
              <w:ind w:left="203"/>
              <w:jc w:val="left"/>
              <w:rPr>
                <w:rFonts w:ascii="宋体" w:eastAsia="宋体" w:hint="eastAsia"/>
                <w:b/>
                <w:sz w:val="21"/>
              </w:rPr>
            </w:pPr>
            <w:r>
              <w:rPr>
                <w:b/>
                <w:sz w:val="21"/>
              </w:rPr>
              <w:t>12 </w:t>
            </w:r>
            <w:r>
              <w:rPr>
                <w:rFonts w:ascii="宋体" w:eastAsia="宋体" w:hint="eastAsia"/>
                <w:b/>
                <w:sz w:val="21"/>
              </w:rPr>
              <w:t>月</w:t>
            </w:r>
          </w:p>
        </w:tc>
      </w:tr>
      <w:tr>
        <w:trPr>
          <w:trHeight w:val="359" w:hRule="atLeast"/>
        </w:trPr>
        <w:tc>
          <w:tcPr>
            <w:tcW w:w="765" w:type="dxa"/>
            <w:gridSpan w:val="2"/>
            <w:tcBorders>
              <w:top w:val="single" w:sz="4" w:space="0" w:color="000000"/>
              <w:right w:val="single" w:sz="4" w:space="0" w:color="000000"/>
            </w:tcBorders>
          </w:tcPr>
          <w:p>
            <w:pPr>
              <w:pStyle w:val="TableParagraph"/>
              <w:spacing w:before="44"/>
              <w:ind w:left="177"/>
              <w:jc w:val="left"/>
              <w:rPr>
                <w:rFonts w:ascii="宋体" w:eastAsia="宋体" w:hint="eastAsia"/>
                <w:sz w:val="21"/>
              </w:rPr>
            </w:pPr>
            <w:r>
              <w:rPr>
                <w:rFonts w:ascii="宋体" w:eastAsia="宋体" w:hint="eastAsia"/>
                <w:sz w:val="21"/>
              </w:rPr>
              <w:t>温度</w:t>
            </w:r>
          </w:p>
        </w:tc>
        <w:tc>
          <w:tcPr>
            <w:tcW w:w="662" w:type="dxa"/>
            <w:tcBorders>
              <w:top w:val="single" w:sz="4" w:space="0" w:color="000000"/>
              <w:left w:val="single" w:sz="4" w:space="0" w:color="000000"/>
              <w:bottom w:val="thinThickMediumGap" w:sz="6" w:space="0" w:color="000000"/>
              <w:right w:val="single" w:sz="4" w:space="0" w:color="000000"/>
            </w:tcBorders>
          </w:tcPr>
          <w:p>
            <w:pPr>
              <w:pStyle w:val="TableParagraph"/>
              <w:ind w:left="209"/>
              <w:jc w:val="left"/>
              <w:rPr>
                <w:sz w:val="21"/>
              </w:rPr>
            </w:pPr>
            <w:r>
              <w:rPr>
                <w:sz w:val="21"/>
              </w:rPr>
              <w:t>6.3</w:t>
            </w:r>
          </w:p>
        </w:tc>
        <w:tc>
          <w:tcPr>
            <w:tcW w:w="663" w:type="dxa"/>
            <w:tcBorders>
              <w:top w:val="single" w:sz="4" w:space="0" w:color="000000"/>
              <w:left w:val="single" w:sz="4" w:space="0" w:color="000000"/>
              <w:bottom w:val="thinThickMediumGap" w:sz="6" w:space="0" w:color="000000"/>
              <w:right w:val="single" w:sz="4" w:space="0" w:color="000000"/>
            </w:tcBorders>
          </w:tcPr>
          <w:p>
            <w:pPr>
              <w:pStyle w:val="TableParagraph"/>
              <w:ind w:left="132" w:right="107"/>
              <w:rPr>
                <w:sz w:val="21"/>
              </w:rPr>
            </w:pPr>
            <w:r>
              <w:rPr>
                <w:sz w:val="21"/>
              </w:rPr>
              <w:t>6.7</w:t>
            </w:r>
          </w:p>
        </w:tc>
        <w:tc>
          <w:tcPr>
            <w:tcW w:w="660" w:type="dxa"/>
            <w:tcBorders>
              <w:top w:val="single" w:sz="4" w:space="0" w:color="000000"/>
              <w:left w:val="single" w:sz="4" w:space="0" w:color="000000"/>
              <w:bottom w:val="thinThickMediumGap" w:sz="6" w:space="0" w:color="000000"/>
              <w:right w:val="single" w:sz="4" w:space="0" w:color="000000"/>
            </w:tcBorders>
          </w:tcPr>
          <w:p>
            <w:pPr>
              <w:pStyle w:val="TableParagraph"/>
              <w:ind w:left="129" w:right="101"/>
              <w:rPr>
                <w:sz w:val="21"/>
              </w:rPr>
            </w:pPr>
            <w:r>
              <w:rPr>
                <w:sz w:val="21"/>
              </w:rPr>
              <w:t>12.7</w:t>
            </w:r>
          </w:p>
        </w:tc>
        <w:tc>
          <w:tcPr>
            <w:tcW w:w="662" w:type="dxa"/>
            <w:tcBorders>
              <w:top w:val="single" w:sz="4" w:space="0" w:color="000000"/>
              <w:left w:val="single" w:sz="4" w:space="0" w:color="000000"/>
              <w:bottom w:val="thinThickMediumGap" w:sz="6" w:space="0" w:color="000000"/>
              <w:right w:val="single" w:sz="4" w:space="0" w:color="000000"/>
            </w:tcBorders>
          </w:tcPr>
          <w:p>
            <w:pPr>
              <w:pStyle w:val="TableParagraph"/>
              <w:ind w:right="123"/>
              <w:jc w:val="right"/>
              <w:rPr>
                <w:sz w:val="21"/>
              </w:rPr>
            </w:pPr>
            <w:r>
              <w:rPr>
                <w:sz w:val="21"/>
              </w:rPr>
              <w:t>18.6</w:t>
            </w:r>
          </w:p>
        </w:tc>
        <w:tc>
          <w:tcPr>
            <w:tcW w:w="662" w:type="dxa"/>
            <w:tcBorders>
              <w:top w:val="single" w:sz="4" w:space="0" w:color="000000"/>
              <w:left w:val="single" w:sz="4" w:space="0" w:color="000000"/>
              <w:bottom w:val="thinThickMediumGap" w:sz="6" w:space="0" w:color="000000"/>
              <w:right w:val="single" w:sz="4" w:space="0" w:color="000000"/>
            </w:tcBorders>
          </w:tcPr>
          <w:p>
            <w:pPr>
              <w:pStyle w:val="TableParagraph"/>
              <w:ind w:left="136" w:right="105"/>
              <w:rPr>
                <w:sz w:val="21"/>
              </w:rPr>
            </w:pPr>
            <w:r>
              <w:rPr>
                <w:sz w:val="21"/>
              </w:rPr>
              <w:t>22.3</w:t>
            </w:r>
          </w:p>
        </w:tc>
        <w:tc>
          <w:tcPr>
            <w:tcW w:w="662" w:type="dxa"/>
            <w:tcBorders>
              <w:top w:val="single" w:sz="4" w:space="0" w:color="000000"/>
              <w:left w:val="single" w:sz="4" w:space="0" w:color="000000"/>
              <w:bottom w:val="thinThickMediumGap" w:sz="6" w:space="0" w:color="000000"/>
              <w:right w:val="single" w:sz="4" w:space="0" w:color="000000"/>
            </w:tcBorders>
          </w:tcPr>
          <w:p>
            <w:pPr>
              <w:pStyle w:val="TableParagraph"/>
              <w:ind w:left="137" w:right="104"/>
              <w:rPr>
                <w:sz w:val="21"/>
              </w:rPr>
            </w:pPr>
            <w:r>
              <w:rPr>
                <w:sz w:val="21"/>
              </w:rPr>
              <w:t>25.2</w:t>
            </w:r>
          </w:p>
        </w:tc>
        <w:tc>
          <w:tcPr>
            <w:tcW w:w="659" w:type="dxa"/>
            <w:tcBorders>
              <w:top w:val="single" w:sz="4" w:space="0" w:color="000000"/>
              <w:left w:val="single" w:sz="4" w:space="0" w:color="000000"/>
              <w:bottom w:val="thinThickMediumGap" w:sz="6" w:space="0" w:color="000000"/>
              <w:right w:val="single" w:sz="4" w:space="0" w:color="000000"/>
            </w:tcBorders>
          </w:tcPr>
          <w:p>
            <w:pPr>
              <w:pStyle w:val="TableParagraph"/>
              <w:ind w:left="136" w:right="99"/>
              <w:rPr>
                <w:sz w:val="21"/>
              </w:rPr>
            </w:pPr>
            <w:r>
              <w:rPr>
                <w:sz w:val="21"/>
              </w:rPr>
              <w:t>28.6</w:t>
            </w:r>
          </w:p>
        </w:tc>
        <w:tc>
          <w:tcPr>
            <w:tcW w:w="659" w:type="dxa"/>
            <w:tcBorders>
              <w:top w:val="single" w:sz="4" w:space="0" w:color="000000"/>
              <w:left w:val="single" w:sz="4" w:space="0" w:color="000000"/>
              <w:bottom w:val="thinThickMediumGap" w:sz="6" w:space="0" w:color="000000"/>
              <w:right w:val="single" w:sz="4" w:space="0" w:color="000000"/>
            </w:tcBorders>
          </w:tcPr>
          <w:p>
            <w:pPr>
              <w:pStyle w:val="TableParagraph"/>
              <w:ind w:left="136" w:right="97"/>
              <w:rPr>
                <w:sz w:val="21"/>
              </w:rPr>
            </w:pPr>
            <w:r>
              <w:rPr>
                <w:sz w:val="21"/>
              </w:rPr>
              <w:t>29.7</w:t>
            </w:r>
          </w:p>
        </w:tc>
        <w:tc>
          <w:tcPr>
            <w:tcW w:w="660" w:type="dxa"/>
            <w:tcBorders>
              <w:top w:val="single" w:sz="4" w:space="0" w:color="000000"/>
              <w:left w:val="single" w:sz="4" w:space="0" w:color="000000"/>
              <w:bottom w:val="thinThickMediumGap" w:sz="6" w:space="0" w:color="000000"/>
              <w:right w:val="single" w:sz="4" w:space="0" w:color="000000"/>
            </w:tcBorders>
          </w:tcPr>
          <w:p>
            <w:pPr>
              <w:pStyle w:val="TableParagraph"/>
              <w:ind w:left="160"/>
              <w:jc w:val="left"/>
              <w:rPr>
                <w:sz w:val="21"/>
              </w:rPr>
            </w:pPr>
            <w:r>
              <w:rPr>
                <w:sz w:val="21"/>
              </w:rPr>
              <w:t>25.3</w:t>
            </w:r>
          </w:p>
        </w:tc>
        <w:tc>
          <w:tcPr>
            <w:tcW w:w="844" w:type="dxa"/>
            <w:tcBorders>
              <w:top w:val="single" w:sz="4" w:space="0" w:color="000000"/>
              <w:left w:val="single" w:sz="4" w:space="0" w:color="000000"/>
              <w:bottom w:val="thinThickMediumGap" w:sz="6" w:space="0" w:color="000000"/>
              <w:right w:val="single" w:sz="4" w:space="0" w:color="000000"/>
            </w:tcBorders>
          </w:tcPr>
          <w:p>
            <w:pPr>
              <w:pStyle w:val="TableParagraph"/>
              <w:ind w:left="252"/>
              <w:jc w:val="left"/>
              <w:rPr>
                <w:sz w:val="21"/>
              </w:rPr>
            </w:pPr>
            <w:r>
              <w:rPr>
                <w:sz w:val="21"/>
              </w:rPr>
              <w:t>20.2</w:t>
            </w:r>
          </w:p>
        </w:tc>
        <w:tc>
          <w:tcPr>
            <w:tcW w:w="822" w:type="dxa"/>
            <w:tcBorders>
              <w:top w:val="single" w:sz="4" w:space="0" w:color="000000"/>
              <w:left w:val="single" w:sz="4" w:space="0" w:color="000000"/>
              <w:bottom w:val="thinThickMediumGap" w:sz="6" w:space="0" w:color="000000"/>
              <w:right w:val="single" w:sz="4" w:space="0" w:color="000000"/>
            </w:tcBorders>
          </w:tcPr>
          <w:p>
            <w:pPr>
              <w:pStyle w:val="TableParagraph"/>
              <w:ind w:left="168" w:right="124"/>
              <w:rPr>
                <w:sz w:val="21"/>
              </w:rPr>
            </w:pPr>
            <w:r>
              <w:rPr>
                <w:sz w:val="21"/>
              </w:rPr>
              <w:t>14.9</w:t>
            </w:r>
          </w:p>
        </w:tc>
        <w:tc>
          <w:tcPr>
            <w:tcW w:w="855" w:type="dxa"/>
            <w:gridSpan w:val="2"/>
            <w:tcBorders>
              <w:top w:val="single" w:sz="4" w:space="0" w:color="000000"/>
              <w:left w:val="single" w:sz="4" w:space="0" w:color="000000"/>
            </w:tcBorders>
          </w:tcPr>
          <w:p>
            <w:pPr>
              <w:pStyle w:val="TableParagraph"/>
              <w:ind w:left="309"/>
              <w:jc w:val="left"/>
              <w:rPr>
                <w:sz w:val="21"/>
              </w:rPr>
            </w:pPr>
            <w:r>
              <w:rPr>
                <w:sz w:val="21"/>
              </w:rPr>
              <w:t>9.3</w:t>
            </w:r>
          </w:p>
        </w:tc>
      </w:tr>
      <w:tr>
        <w:trPr>
          <w:trHeight w:val="4942" w:hRule="atLeast"/>
        </w:trPr>
        <w:tc>
          <w:tcPr>
            <w:tcW w:w="637" w:type="dxa"/>
            <w:tcBorders>
              <w:left w:val="nil"/>
              <w:bottom w:val="nil"/>
              <w:right w:val="single" w:sz="2" w:space="0" w:color="808080"/>
            </w:tcBorders>
          </w:tcPr>
          <w:p>
            <w:pPr>
              <w:pStyle w:val="TableParagraph"/>
              <w:spacing w:before="0"/>
              <w:jc w:val="left"/>
              <w:rPr>
                <w:sz w:val="22"/>
              </w:rPr>
            </w:pPr>
          </w:p>
        </w:tc>
        <w:tc>
          <w:tcPr>
            <w:tcW w:w="7937" w:type="dxa"/>
            <w:gridSpan w:val="13"/>
            <w:tcBorders>
              <w:top w:val="thickThinMediumGap" w:sz="6" w:space="0" w:color="000000"/>
              <w:left w:val="single" w:sz="2" w:space="0" w:color="808080"/>
              <w:bottom w:val="single" w:sz="2" w:space="0" w:color="808080"/>
              <w:right w:val="single" w:sz="2" w:space="0" w:color="808080"/>
            </w:tcBorders>
          </w:tcPr>
          <w:p>
            <w:pPr>
              <w:pStyle w:val="TableParagraph"/>
              <w:spacing w:before="86"/>
              <w:ind w:left="123" w:right="7413"/>
              <w:rPr>
                <w:rFonts w:ascii="Calibri"/>
                <w:sz w:val="20"/>
              </w:rPr>
            </w:pPr>
            <w:r>
              <w:rPr>
                <w:rFonts w:ascii="Calibri"/>
                <w:sz w:val="20"/>
              </w:rPr>
              <w:t>35.0</w:t>
            </w:r>
          </w:p>
          <w:p>
            <w:pPr>
              <w:pStyle w:val="TableParagraph"/>
              <w:spacing w:before="11"/>
              <w:jc w:val="left"/>
              <w:rPr>
                <w:rFonts w:ascii="宋体"/>
                <w:b/>
                <w:sz w:val="27"/>
              </w:rPr>
            </w:pPr>
          </w:p>
          <w:p>
            <w:pPr>
              <w:pStyle w:val="TableParagraph"/>
              <w:spacing w:before="0"/>
              <w:ind w:left="123" w:right="7413"/>
              <w:rPr>
                <w:rFonts w:ascii="Calibri"/>
                <w:sz w:val="20"/>
              </w:rPr>
            </w:pPr>
            <w:r>
              <w:rPr>
                <w:rFonts w:ascii="Calibri"/>
                <w:sz w:val="20"/>
              </w:rPr>
              <w:t>30.0</w:t>
            </w:r>
          </w:p>
          <w:p>
            <w:pPr>
              <w:pStyle w:val="TableParagraph"/>
              <w:spacing w:before="11"/>
              <w:jc w:val="left"/>
              <w:rPr>
                <w:rFonts w:ascii="宋体"/>
                <w:b/>
                <w:sz w:val="27"/>
              </w:rPr>
            </w:pPr>
          </w:p>
          <w:p>
            <w:pPr>
              <w:pStyle w:val="TableParagraph"/>
              <w:spacing w:before="0"/>
              <w:ind w:left="123" w:right="7413"/>
              <w:rPr>
                <w:rFonts w:ascii="Calibri"/>
                <w:sz w:val="20"/>
              </w:rPr>
            </w:pPr>
            <w:r>
              <w:rPr>
                <w:rFonts w:ascii="Calibri"/>
                <w:sz w:val="20"/>
              </w:rPr>
              <w:t>25.0</w:t>
            </w:r>
          </w:p>
          <w:p>
            <w:pPr>
              <w:pStyle w:val="TableParagraph"/>
              <w:spacing w:before="11"/>
              <w:jc w:val="left"/>
              <w:rPr>
                <w:rFonts w:ascii="宋体"/>
                <w:b/>
                <w:sz w:val="27"/>
              </w:rPr>
            </w:pPr>
          </w:p>
          <w:p>
            <w:pPr>
              <w:pStyle w:val="TableParagraph"/>
              <w:spacing w:before="0"/>
              <w:ind w:left="123" w:right="7413"/>
              <w:rPr>
                <w:rFonts w:ascii="Calibri"/>
                <w:sz w:val="20"/>
              </w:rPr>
            </w:pPr>
            <w:r>
              <w:rPr>
                <w:rFonts w:ascii="Calibri"/>
                <w:sz w:val="20"/>
              </w:rPr>
              <w:t>20.0</w:t>
            </w:r>
          </w:p>
          <w:p>
            <w:pPr>
              <w:pStyle w:val="TableParagraph"/>
              <w:spacing w:before="12"/>
              <w:jc w:val="left"/>
              <w:rPr>
                <w:rFonts w:ascii="宋体"/>
                <w:b/>
                <w:sz w:val="27"/>
              </w:rPr>
            </w:pPr>
          </w:p>
          <w:p>
            <w:pPr>
              <w:pStyle w:val="TableParagraph"/>
              <w:spacing w:before="0"/>
              <w:ind w:left="123" w:right="7413"/>
              <w:rPr>
                <w:rFonts w:ascii="Calibri"/>
                <w:sz w:val="20"/>
              </w:rPr>
            </w:pPr>
            <w:r>
              <w:rPr>
                <w:rFonts w:ascii="Calibri"/>
                <w:sz w:val="20"/>
              </w:rPr>
              <w:t>15.0</w:t>
            </w:r>
          </w:p>
          <w:p>
            <w:pPr>
              <w:pStyle w:val="TableParagraph"/>
              <w:spacing w:before="11"/>
              <w:jc w:val="left"/>
              <w:rPr>
                <w:rFonts w:ascii="宋体"/>
                <w:b/>
                <w:sz w:val="27"/>
              </w:rPr>
            </w:pPr>
          </w:p>
          <w:p>
            <w:pPr>
              <w:pStyle w:val="TableParagraph"/>
              <w:spacing w:before="0"/>
              <w:ind w:left="123" w:right="7413"/>
              <w:rPr>
                <w:rFonts w:ascii="Calibri"/>
                <w:sz w:val="20"/>
              </w:rPr>
            </w:pPr>
            <w:r>
              <w:rPr>
                <w:rFonts w:ascii="Calibri"/>
                <w:sz w:val="20"/>
              </w:rPr>
              <w:t>10.0</w:t>
            </w:r>
          </w:p>
          <w:p>
            <w:pPr>
              <w:pStyle w:val="TableParagraph"/>
              <w:spacing w:before="11"/>
              <w:jc w:val="left"/>
              <w:rPr>
                <w:rFonts w:ascii="宋体"/>
                <w:b/>
                <w:sz w:val="27"/>
              </w:rPr>
            </w:pPr>
          </w:p>
          <w:p>
            <w:pPr>
              <w:pStyle w:val="TableParagraph"/>
              <w:spacing w:before="1"/>
              <w:ind w:left="123" w:right="7313"/>
              <w:rPr>
                <w:rFonts w:ascii="Calibri"/>
                <w:sz w:val="20"/>
              </w:rPr>
            </w:pPr>
            <w:r>
              <w:rPr>
                <w:rFonts w:ascii="Calibri"/>
                <w:sz w:val="20"/>
              </w:rPr>
              <w:t>5.0</w:t>
            </w:r>
          </w:p>
          <w:p>
            <w:pPr>
              <w:pStyle w:val="TableParagraph"/>
              <w:spacing w:before="11"/>
              <w:jc w:val="left"/>
              <w:rPr>
                <w:rFonts w:ascii="宋体"/>
                <w:b/>
                <w:sz w:val="27"/>
              </w:rPr>
            </w:pPr>
          </w:p>
          <w:p>
            <w:pPr>
              <w:pStyle w:val="TableParagraph"/>
              <w:spacing w:before="0"/>
              <w:ind w:left="123" w:right="7313"/>
              <w:rPr>
                <w:rFonts w:ascii="Calibri"/>
                <w:sz w:val="20"/>
              </w:rPr>
            </w:pPr>
            <w:r>
              <w:rPr>
                <w:rFonts w:ascii="Calibri"/>
                <w:sz w:val="20"/>
              </w:rPr>
              <w:t>0.0</w:t>
            </w:r>
          </w:p>
          <w:p>
            <w:pPr>
              <w:pStyle w:val="TableParagraph"/>
              <w:tabs>
                <w:tab w:pos="1453" w:val="left" w:leader="none"/>
                <w:tab w:pos="2038" w:val="left" w:leader="none"/>
                <w:tab w:pos="2622" w:val="left" w:leader="none"/>
                <w:tab w:pos="3206" w:val="left" w:leader="none"/>
                <w:tab w:pos="3790" w:val="left" w:leader="none"/>
                <w:tab w:pos="4374" w:val="left" w:leader="none"/>
                <w:tab w:pos="4959" w:val="left" w:leader="none"/>
                <w:tab w:pos="5543" w:val="left" w:leader="none"/>
                <w:tab w:pos="6077" w:val="left" w:leader="none"/>
              </w:tabs>
              <w:spacing w:before="18"/>
              <w:ind w:left="869"/>
              <w:jc w:val="left"/>
              <w:rPr>
                <w:rFonts w:ascii="宋体" w:eastAsia="宋体" w:hint="eastAsia"/>
                <w:sz w:val="20"/>
              </w:rPr>
            </w:pPr>
            <w:r>
              <w:rPr>
                <w:rFonts w:ascii="Calibri" w:eastAsia="Calibri"/>
                <w:sz w:val="20"/>
              </w:rPr>
              <w:t>1</w:t>
            </w:r>
            <w:r>
              <w:rPr>
                <w:rFonts w:ascii="宋体" w:eastAsia="宋体" w:hint="eastAsia"/>
                <w:sz w:val="20"/>
              </w:rPr>
              <w:t>月</w:t>
              <w:tab/>
            </w:r>
            <w:r>
              <w:rPr>
                <w:rFonts w:ascii="Calibri" w:eastAsia="Calibri"/>
                <w:sz w:val="20"/>
              </w:rPr>
              <w:t>2</w:t>
            </w:r>
            <w:r>
              <w:rPr>
                <w:rFonts w:ascii="宋体" w:eastAsia="宋体" w:hint="eastAsia"/>
                <w:sz w:val="20"/>
              </w:rPr>
              <w:t>月</w:t>
              <w:tab/>
            </w:r>
            <w:r>
              <w:rPr>
                <w:rFonts w:ascii="Calibri" w:eastAsia="Calibri"/>
                <w:sz w:val="20"/>
              </w:rPr>
              <w:t>3</w:t>
            </w:r>
            <w:r>
              <w:rPr>
                <w:rFonts w:ascii="宋体" w:eastAsia="宋体" w:hint="eastAsia"/>
                <w:sz w:val="20"/>
              </w:rPr>
              <w:t>月</w:t>
              <w:tab/>
            </w:r>
            <w:r>
              <w:rPr>
                <w:rFonts w:ascii="Calibri" w:eastAsia="Calibri"/>
                <w:sz w:val="20"/>
              </w:rPr>
              <w:t>4</w:t>
            </w:r>
            <w:r>
              <w:rPr>
                <w:rFonts w:ascii="宋体" w:eastAsia="宋体" w:hint="eastAsia"/>
                <w:sz w:val="20"/>
              </w:rPr>
              <w:t>月</w:t>
              <w:tab/>
            </w:r>
            <w:r>
              <w:rPr>
                <w:rFonts w:ascii="Calibri" w:eastAsia="Calibri"/>
                <w:sz w:val="20"/>
              </w:rPr>
              <w:t>5</w:t>
            </w:r>
            <w:r>
              <w:rPr>
                <w:rFonts w:ascii="宋体" w:eastAsia="宋体" w:hint="eastAsia"/>
                <w:sz w:val="20"/>
              </w:rPr>
              <w:t>月</w:t>
              <w:tab/>
            </w:r>
            <w:r>
              <w:rPr>
                <w:rFonts w:ascii="Calibri" w:eastAsia="Calibri"/>
                <w:sz w:val="20"/>
              </w:rPr>
              <w:t>6</w:t>
            </w:r>
            <w:r>
              <w:rPr>
                <w:rFonts w:ascii="宋体" w:eastAsia="宋体" w:hint="eastAsia"/>
                <w:sz w:val="20"/>
              </w:rPr>
              <w:t>月</w:t>
              <w:tab/>
            </w:r>
            <w:r>
              <w:rPr>
                <w:rFonts w:ascii="Calibri" w:eastAsia="Calibri"/>
                <w:sz w:val="20"/>
              </w:rPr>
              <w:t>7</w:t>
            </w:r>
            <w:r>
              <w:rPr>
                <w:rFonts w:ascii="宋体" w:eastAsia="宋体" w:hint="eastAsia"/>
                <w:sz w:val="20"/>
              </w:rPr>
              <w:t>月</w:t>
              <w:tab/>
            </w:r>
            <w:r>
              <w:rPr>
                <w:rFonts w:ascii="Calibri" w:eastAsia="Calibri"/>
                <w:sz w:val="20"/>
              </w:rPr>
              <w:t>8</w:t>
            </w:r>
            <w:r>
              <w:rPr>
                <w:rFonts w:ascii="宋体" w:eastAsia="宋体" w:hint="eastAsia"/>
                <w:sz w:val="20"/>
              </w:rPr>
              <w:t>月</w:t>
              <w:tab/>
            </w:r>
            <w:r>
              <w:rPr>
                <w:rFonts w:ascii="Calibri" w:eastAsia="Calibri"/>
                <w:sz w:val="20"/>
              </w:rPr>
              <w:t>9</w:t>
            </w:r>
            <w:r>
              <w:rPr>
                <w:rFonts w:ascii="宋体" w:eastAsia="宋体" w:hint="eastAsia"/>
                <w:sz w:val="20"/>
              </w:rPr>
              <w:t>月</w:t>
              <w:tab/>
            </w:r>
            <w:r>
              <w:rPr>
                <w:rFonts w:ascii="Calibri" w:eastAsia="Calibri"/>
                <w:sz w:val="20"/>
              </w:rPr>
              <w:t>10 </w:t>
            </w:r>
            <w:r>
              <w:rPr>
                <w:rFonts w:ascii="宋体" w:eastAsia="宋体" w:hint="eastAsia"/>
                <w:sz w:val="20"/>
              </w:rPr>
              <w:t>月 </w:t>
            </w:r>
            <w:r>
              <w:rPr>
                <w:rFonts w:ascii="Calibri" w:eastAsia="Calibri"/>
                <w:sz w:val="20"/>
              </w:rPr>
              <w:t>11 </w:t>
            </w:r>
            <w:r>
              <w:rPr>
                <w:rFonts w:ascii="宋体" w:eastAsia="宋体" w:hint="eastAsia"/>
                <w:sz w:val="20"/>
              </w:rPr>
              <w:t>月</w:t>
            </w:r>
            <w:r>
              <w:rPr>
                <w:rFonts w:ascii="宋体" w:eastAsia="宋体" w:hint="eastAsia"/>
                <w:spacing w:val="24"/>
                <w:sz w:val="20"/>
              </w:rPr>
              <w:t> </w:t>
            </w:r>
            <w:r>
              <w:rPr>
                <w:rFonts w:ascii="Calibri" w:eastAsia="Calibri"/>
                <w:sz w:val="20"/>
              </w:rPr>
              <w:t>12 </w:t>
            </w:r>
            <w:r>
              <w:rPr>
                <w:rFonts w:ascii="宋体" w:eastAsia="宋体" w:hint="eastAsia"/>
                <w:sz w:val="20"/>
              </w:rPr>
              <w:t>月</w:t>
            </w:r>
          </w:p>
        </w:tc>
        <w:tc>
          <w:tcPr>
            <w:tcW w:w="661" w:type="dxa"/>
            <w:tcBorders>
              <w:left w:val="single" w:sz="2" w:space="0" w:color="808080"/>
              <w:bottom w:val="nil"/>
              <w:right w:val="nil"/>
            </w:tcBorders>
          </w:tcPr>
          <w:p>
            <w:pPr>
              <w:pStyle w:val="TableParagraph"/>
              <w:spacing w:before="0"/>
              <w:jc w:val="left"/>
              <w:rPr>
                <w:sz w:val="22"/>
              </w:rPr>
            </w:pPr>
          </w:p>
        </w:tc>
      </w:tr>
    </w:tbl>
    <w:p>
      <w:pPr>
        <w:spacing w:before="44"/>
        <w:ind w:left="3300" w:right="0" w:firstLine="0"/>
        <w:jc w:val="left"/>
        <w:rPr>
          <w:b/>
          <w:sz w:val="24"/>
        </w:rPr>
      </w:pPr>
      <w:r>
        <w:rPr/>
        <w:pict>
          <v:group style="position:absolute;margin-left:127.599998pt;margin-top:-237.394989pt;width:354.05pt;height:214pt;mso-position-horizontal-relative:page;mso-position-vertical-relative:paragraph;z-index:-315413504" coordorigin="2552,-4748" coordsize="7081,4280">
            <v:shape style="position:absolute;left:2552;top:-4741;width:7073;height:4273" coordorigin="2552,-4740" coordsize="7073,4273" path="m2615,-1133l9625,-1133m2615,-1733l9625,-1733m2615,-2336l9625,-2336m2615,-2936l9625,-2936m2615,-3538l9625,-3538m2615,-4138l9625,-4138m2615,-4740l9625,-4740m2615,-531l2615,-4740m2552,-531l2615,-531m2552,-1133l2615,-1133m2552,-1733l2615,-1733m2552,-2336l2615,-2336m2552,-2936l2615,-2936m2552,-3538l2615,-3538m2552,-4138l2615,-4138m2552,-4740l2615,-4740m2615,-531l9625,-531m2615,-531l2615,-468m3199,-531l3199,-468m3785,-531l3785,-468m4368,-531l4368,-468m4951,-531l4951,-468m5537,-531l5537,-468m6120,-531l6120,-468m6703,-531l6703,-468m7289,-531l7289,-468m7872,-531l7872,-468m8458,-531l8458,-468m9041,-531l9041,-468m9625,-531l9625,-468e" filled="false" stroked="true" strokeweight=".75pt" strokecolor="#858585">
              <v:path arrowok="t"/>
              <v:stroke dashstyle="solid"/>
            </v:shape>
            <v:shape style="position:absolute;left:2907;top:-4099;width:6426;height:2809" coordorigin="2907,-4099" coordsize="6426,2809" path="m2907,-1290l3492,-1333,4075,-2057,4661,-2765,5244,-3209,5827,-3557,6413,-3973,6996,-4099,7582,-3577,8165,-2960,8748,-2326,9333,-1647e" filled="false" stroked="true" strokeweight="2.25pt" strokecolor="#497dba">
              <v:path arrowok="t"/>
              <v:stroke dashstyle="solid"/>
            </v:shape>
            <v:shape style="position:absolute;left:2828;top:-1368;width:155;height:155" type="#_x0000_t75" stroked="false">
              <v:imagedata r:id="rId85" o:title=""/>
            </v:shape>
            <v:shape style="position:absolute;left:3414;top:-1411;width:155;height:155" type="#_x0000_t75" stroked="false">
              <v:imagedata r:id="rId85" o:title=""/>
            </v:shape>
            <v:shape style="position:absolute;left:3997;top:-2136;width:155;height:155" type="#_x0000_t75" stroked="false">
              <v:imagedata r:id="rId86" o:title=""/>
            </v:shape>
            <v:shape style="position:absolute;left:4582;top:-2844;width:155;height:155" type="#_x0000_t75" stroked="false">
              <v:imagedata r:id="rId85" o:title=""/>
            </v:shape>
            <v:shape style="position:absolute;left:5166;top:-3288;width:155;height:155" type="#_x0000_t75" stroked="false">
              <v:imagedata r:id="rId87" o:title=""/>
            </v:shape>
            <v:shape style="position:absolute;left:5749;top:-3636;width:155;height:155" type="#_x0000_t75" stroked="false">
              <v:imagedata r:id="rId88" o:title=""/>
            </v:shape>
            <v:shape style="position:absolute;left:6334;top:-4051;width:155;height:155" type="#_x0000_t75" stroked="false">
              <v:imagedata r:id="rId87" o:title=""/>
            </v:shape>
            <v:shape style="position:absolute;left:6918;top:-4178;width:155;height:155" type="#_x0000_t75" stroked="false">
              <v:imagedata r:id="rId85" o:title=""/>
            </v:shape>
            <v:shape style="position:absolute;left:7503;top:-3655;width:155;height:155" type="#_x0000_t75" stroked="false">
              <v:imagedata r:id="rId85" o:title=""/>
            </v:shape>
            <v:shape style="position:absolute;left:8086;top:-3038;width:155;height:155" type="#_x0000_t75" stroked="false">
              <v:imagedata r:id="rId85" o:title=""/>
            </v:shape>
            <v:shape style="position:absolute;left:8670;top:-2405;width:155;height:155" type="#_x0000_t75" stroked="false">
              <v:imagedata r:id="rId86" o:title=""/>
            </v:shape>
            <v:shape style="position:absolute;left:9255;top:-1726;width:155;height:155" type="#_x0000_t75" stroked="false">
              <v:imagedata r:id="rId85" o:title=""/>
            </v:shape>
            <w10:wrap type="none"/>
          </v:group>
        </w:pict>
      </w:r>
      <w:r>
        <w:rPr>
          <w:b/>
          <w:sz w:val="24"/>
        </w:rPr>
        <w:t>图 </w:t>
      </w:r>
      <w:r>
        <w:rPr>
          <w:rFonts w:ascii="Times New Roman" w:eastAsia="Times New Roman"/>
          <w:b/>
          <w:sz w:val="24"/>
        </w:rPr>
        <w:t>5.2-5  </w:t>
      </w:r>
      <w:r>
        <w:rPr>
          <w:b/>
          <w:sz w:val="24"/>
        </w:rPr>
        <w:t>年平均温度的月变化</w:t>
      </w:r>
    </w:p>
    <w:p>
      <w:pPr>
        <w:pStyle w:val="ListParagraph"/>
        <w:numPr>
          <w:ilvl w:val="0"/>
          <w:numId w:val="74"/>
        </w:numPr>
        <w:tabs>
          <w:tab w:pos="1079" w:val="left" w:leader="none"/>
        </w:tabs>
        <w:spacing w:line="240" w:lineRule="auto" w:before="108" w:after="0"/>
        <w:ind w:left="1078" w:right="0" w:hanging="362"/>
        <w:jc w:val="left"/>
        <w:rPr>
          <w:sz w:val="24"/>
        </w:rPr>
      </w:pPr>
      <w:r>
        <w:rPr>
          <w:sz w:val="24"/>
        </w:rPr>
        <w:t>平均风速的月变化</w:t>
      </w:r>
    </w:p>
    <w:p>
      <w:pPr>
        <w:pStyle w:val="BodyText"/>
        <w:spacing w:before="160"/>
        <w:ind w:left="717"/>
      </w:pPr>
      <w:r>
        <w:rPr/>
        <w:t>平均风速的月变化情况见表 </w:t>
      </w:r>
      <w:r>
        <w:rPr>
          <w:rFonts w:ascii="Times New Roman" w:eastAsia="Times New Roman"/>
        </w:rPr>
        <w:t>5.2-15 </w:t>
      </w:r>
      <w:r>
        <w:rPr/>
        <w:t>及图 </w:t>
      </w:r>
      <w:r>
        <w:rPr>
          <w:rFonts w:ascii="Times New Roman" w:eastAsia="Times New Roman"/>
        </w:rPr>
        <w:t>5.2-6</w:t>
      </w:r>
      <w:r>
        <w:rPr/>
        <w:t>。</w:t>
      </w:r>
    </w:p>
    <w:p>
      <w:pPr>
        <w:pStyle w:val="Heading3"/>
        <w:spacing w:before="81" w:after="3"/>
        <w:ind w:left="224" w:right="236"/>
        <w:jc w:val="center"/>
        <w:rPr>
          <w:rFonts w:ascii="Times New Roman" w:eastAsia="Times New Roman"/>
        </w:rPr>
      </w:pPr>
      <w:r>
        <w:rPr/>
        <w:t>表 </w:t>
      </w:r>
      <w:r>
        <w:rPr>
          <w:rFonts w:ascii="Times New Roman" w:eastAsia="Times New Roman"/>
        </w:rPr>
        <w:t>5.2-15  </w:t>
      </w:r>
      <w:r>
        <w:rPr/>
        <w:t>年平均风速的月变化 单位：</w:t>
      </w:r>
      <w:r>
        <w:rPr>
          <w:rFonts w:ascii="Times New Roman" w:eastAsia="Times New Roman"/>
        </w:rPr>
        <w:t>m/s</w:t>
      </w: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6"/>
        <w:gridCol w:w="663"/>
        <w:gridCol w:w="664"/>
        <w:gridCol w:w="661"/>
        <w:gridCol w:w="663"/>
        <w:gridCol w:w="663"/>
        <w:gridCol w:w="663"/>
        <w:gridCol w:w="660"/>
        <w:gridCol w:w="660"/>
        <w:gridCol w:w="661"/>
        <w:gridCol w:w="845"/>
        <w:gridCol w:w="823"/>
        <w:gridCol w:w="857"/>
      </w:tblGrid>
      <w:tr>
        <w:trPr>
          <w:trHeight w:val="311" w:hRule="atLeast"/>
        </w:trPr>
        <w:tc>
          <w:tcPr>
            <w:tcW w:w="766" w:type="dxa"/>
            <w:tcBorders>
              <w:bottom w:val="single" w:sz="4" w:space="0" w:color="000000"/>
              <w:right w:val="single" w:sz="4" w:space="0" w:color="000000"/>
            </w:tcBorders>
          </w:tcPr>
          <w:p>
            <w:pPr>
              <w:pStyle w:val="TableParagraph"/>
              <w:spacing w:before="22"/>
              <w:ind w:left="25"/>
              <w:rPr>
                <w:rFonts w:ascii="宋体" w:eastAsia="宋体" w:hint="eastAsia"/>
                <w:b/>
                <w:sz w:val="21"/>
              </w:rPr>
            </w:pPr>
            <w:r>
              <w:rPr>
                <w:rFonts w:ascii="宋体" w:eastAsia="宋体" w:hint="eastAsia"/>
                <w:b/>
                <w:w w:val="100"/>
                <w:sz w:val="21"/>
              </w:rPr>
              <w:t>月</w:t>
            </w:r>
          </w:p>
        </w:tc>
        <w:tc>
          <w:tcPr>
            <w:tcW w:w="663" w:type="dxa"/>
            <w:tcBorders>
              <w:left w:val="single" w:sz="4" w:space="0" w:color="000000"/>
              <w:bottom w:val="single" w:sz="4" w:space="0" w:color="000000"/>
              <w:right w:val="single" w:sz="4" w:space="0" w:color="000000"/>
            </w:tcBorders>
          </w:tcPr>
          <w:p>
            <w:pPr>
              <w:pStyle w:val="TableParagraph"/>
              <w:spacing w:before="22"/>
              <w:ind w:left="155"/>
              <w:jc w:val="left"/>
              <w:rPr>
                <w:rFonts w:ascii="宋体" w:eastAsia="宋体" w:hint="eastAsia"/>
                <w:b/>
                <w:sz w:val="21"/>
              </w:rPr>
            </w:pPr>
            <w:r>
              <w:rPr>
                <w:b/>
                <w:sz w:val="21"/>
              </w:rPr>
              <w:t>1 </w:t>
            </w:r>
            <w:r>
              <w:rPr>
                <w:rFonts w:ascii="宋体" w:eastAsia="宋体" w:hint="eastAsia"/>
                <w:b/>
                <w:sz w:val="21"/>
              </w:rPr>
              <w:t>月</w:t>
            </w:r>
          </w:p>
        </w:tc>
        <w:tc>
          <w:tcPr>
            <w:tcW w:w="664" w:type="dxa"/>
            <w:tcBorders>
              <w:left w:val="single" w:sz="4" w:space="0" w:color="000000"/>
              <w:bottom w:val="single" w:sz="4" w:space="0" w:color="000000"/>
              <w:right w:val="single" w:sz="4" w:space="0" w:color="000000"/>
            </w:tcBorders>
          </w:tcPr>
          <w:p>
            <w:pPr>
              <w:pStyle w:val="TableParagraph"/>
              <w:spacing w:before="22"/>
              <w:ind w:left="132" w:right="112"/>
              <w:rPr>
                <w:rFonts w:ascii="宋体" w:eastAsia="宋体" w:hint="eastAsia"/>
                <w:b/>
                <w:sz w:val="21"/>
              </w:rPr>
            </w:pPr>
            <w:r>
              <w:rPr>
                <w:b/>
                <w:sz w:val="21"/>
              </w:rPr>
              <w:t>2 </w:t>
            </w:r>
            <w:r>
              <w:rPr>
                <w:rFonts w:ascii="宋体" w:eastAsia="宋体" w:hint="eastAsia"/>
                <w:b/>
                <w:sz w:val="21"/>
              </w:rPr>
              <w:t>月</w:t>
            </w:r>
          </w:p>
        </w:tc>
        <w:tc>
          <w:tcPr>
            <w:tcW w:w="661" w:type="dxa"/>
            <w:tcBorders>
              <w:left w:val="single" w:sz="4" w:space="0" w:color="000000"/>
              <w:bottom w:val="single" w:sz="4" w:space="0" w:color="000000"/>
              <w:right w:val="single" w:sz="4" w:space="0" w:color="000000"/>
            </w:tcBorders>
          </w:tcPr>
          <w:p>
            <w:pPr>
              <w:pStyle w:val="TableParagraph"/>
              <w:spacing w:before="22"/>
              <w:ind w:left="131" w:right="110"/>
              <w:rPr>
                <w:rFonts w:ascii="宋体" w:eastAsia="宋体" w:hint="eastAsia"/>
                <w:b/>
                <w:sz w:val="21"/>
              </w:rPr>
            </w:pPr>
            <w:r>
              <w:rPr>
                <w:b/>
                <w:sz w:val="21"/>
              </w:rPr>
              <w:t>3 </w:t>
            </w:r>
            <w:r>
              <w:rPr>
                <w:rFonts w:ascii="宋体" w:eastAsia="宋体" w:hint="eastAsia"/>
                <w:b/>
                <w:sz w:val="21"/>
              </w:rPr>
              <w:t>月</w:t>
            </w:r>
          </w:p>
        </w:tc>
        <w:tc>
          <w:tcPr>
            <w:tcW w:w="663" w:type="dxa"/>
            <w:tcBorders>
              <w:left w:val="single" w:sz="4" w:space="0" w:color="000000"/>
              <w:bottom w:val="single" w:sz="4" w:space="0" w:color="000000"/>
              <w:right w:val="single" w:sz="4" w:space="0" w:color="000000"/>
            </w:tcBorders>
          </w:tcPr>
          <w:p>
            <w:pPr>
              <w:pStyle w:val="TableParagraph"/>
              <w:spacing w:before="22"/>
              <w:ind w:left="152"/>
              <w:jc w:val="left"/>
              <w:rPr>
                <w:rFonts w:ascii="宋体" w:eastAsia="宋体" w:hint="eastAsia"/>
                <w:b/>
                <w:sz w:val="21"/>
              </w:rPr>
            </w:pPr>
            <w:r>
              <w:rPr>
                <w:b/>
                <w:sz w:val="21"/>
              </w:rPr>
              <w:t>4 </w:t>
            </w:r>
            <w:r>
              <w:rPr>
                <w:rFonts w:ascii="宋体" w:eastAsia="宋体" w:hint="eastAsia"/>
                <w:b/>
                <w:sz w:val="21"/>
              </w:rPr>
              <w:t>月</w:t>
            </w:r>
          </w:p>
        </w:tc>
        <w:tc>
          <w:tcPr>
            <w:tcW w:w="663" w:type="dxa"/>
            <w:tcBorders>
              <w:left w:val="single" w:sz="4" w:space="0" w:color="000000"/>
              <w:bottom w:val="single" w:sz="4" w:space="0" w:color="000000"/>
              <w:right w:val="single" w:sz="4" w:space="0" w:color="000000"/>
            </w:tcBorders>
          </w:tcPr>
          <w:p>
            <w:pPr>
              <w:pStyle w:val="TableParagraph"/>
              <w:spacing w:before="22"/>
              <w:ind w:left="152"/>
              <w:jc w:val="left"/>
              <w:rPr>
                <w:rFonts w:ascii="宋体" w:eastAsia="宋体" w:hint="eastAsia"/>
                <w:b/>
                <w:sz w:val="21"/>
              </w:rPr>
            </w:pPr>
            <w:r>
              <w:rPr>
                <w:b/>
                <w:sz w:val="21"/>
              </w:rPr>
              <w:t>5 </w:t>
            </w:r>
            <w:r>
              <w:rPr>
                <w:rFonts w:ascii="宋体" w:eastAsia="宋体" w:hint="eastAsia"/>
                <w:b/>
                <w:sz w:val="21"/>
              </w:rPr>
              <w:t>月</w:t>
            </w:r>
          </w:p>
        </w:tc>
        <w:tc>
          <w:tcPr>
            <w:tcW w:w="663" w:type="dxa"/>
            <w:tcBorders>
              <w:left w:val="single" w:sz="4" w:space="0" w:color="000000"/>
              <w:bottom w:val="single" w:sz="4" w:space="0" w:color="000000"/>
              <w:right w:val="single" w:sz="4" w:space="0" w:color="000000"/>
            </w:tcBorders>
          </w:tcPr>
          <w:p>
            <w:pPr>
              <w:pStyle w:val="TableParagraph"/>
              <w:spacing w:before="22"/>
              <w:ind w:left="129" w:right="109"/>
              <w:rPr>
                <w:rFonts w:ascii="宋体" w:eastAsia="宋体" w:hint="eastAsia"/>
                <w:b/>
                <w:sz w:val="21"/>
              </w:rPr>
            </w:pPr>
            <w:r>
              <w:rPr>
                <w:b/>
                <w:sz w:val="21"/>
              </w:rPr>
              <w:t>6 </w:t>
            </w:r>
            <w:r>
              <w:rPr>
                <w:rFonts w:ascii="宋体" w:eastAsia="宋体" w:hint="eastAsia"/>
                <w:b/>
                <w:sz w:val="21"/>
              </w:rPr>
              <w:t>月</w:t>
            </w:r>
          </w:p>
        </w:tc>
        <w:tc>
          <w:tcPr>
            <w:tcW w:w="660" w:type="dxa"/>
            <w:tcBorders>
              <w:left w:val="single" w:sz="4" w:space="0" w:color="000000"/>
              <w:bottom w:val="single" w:sz="4" w:space="0" w:color="000000"/>
              <w:right w:val="single" w:sz="4" w:space="0" w:color="000000"/>
            </w:tcBorders>
          </w:tcPr>
          <w:p>
            <w:pPr>
              <w:pStyle w:val="TableParagraph"/>
              <w:spacing w:before="22"/>
              <w:ind w:left="123" w:right="106"/>
              <w:rPr>
                <w:rFonts w:ascii="宋体" w:eastAsia="宋体" w:hint="eastAsia"/>
                <w:b/>
                <w:sz w:val="21"/>
              </w:rPr>
            </w:pPr>
            <w:r>
              <w:rPr>
                <w:b/>
                <w:sz w:val="21"/>
              </w:rPr>
              <w:t>7 </w:t>
            </w:r>
            <w:r>
              <w:rPr>
                <w:rFonts w:ascii="宋体" w:eastAsia="宋体" w:hint="eastAsia"/>
                <w:b/>
                <w:sz w:val="21"/>
              </w:rPr>
              <w:t>月</w:t>
            </w:r>
          </w:p>
        </w:tc>
        <w:tc>
          <w:tcPr>
            <w:tcW w:w="660" w:type="dxa"/>
            <w:tcBorders>
              <w:left w:val="single" w:sz="4" w:space="0" w:color="000000"/>
              <w:bottom w:val="single" w:sz="4" w:space="0" w:color="000000"/>
              <w:right w:val="single" w:sz="4" w:space="0" w:color="000000"/>
            </w:tcBorders>
          </w:tcPr>
          <w:p>
            <w:pPr>
              <w:pStyle w:val="TableParagraph"/>
              <w:spacing w:before="22"/>
              <w:ind w:left="148"/>
              <w:jc w:val="left"/>
              <w:rPr>
                <w:rFonts w:ascii="宋体" w:eastAsia="宋体" w:hint="eastAsia"/>
                <w:b/>
                <w:sz w:val="21"/>
              </w:rPr>
            </w:pPr>
            <w:r>
              <w:rPr>
                <w:b/>
                <w:sz w:val="21"/>
              </w:rPr>
              <w:t>8 </w:t>
            </w:r>
            <w:r>
              <w:rPr>
                <w:rFonts w:ascii="宋体" w:eastAsia="宋体" w:hint="eastAsia"/>
                <w:b/>
                <w:sz w:val="21"/>
              </w:rPr>
              <w:t>月</w:t>
            </w:r>
          </w:p>
        </w:tc>
        <w:tc>
          <w:tcPr>
            <w:tcW w:w="661" w:type="dxa"/>
            <w:tcBorders>
              <w:left w:val="single" w:sz="4" w:space="0" w:color="000000"/>
              <w:bottom w:val="single" w:sz="4" w:space="0" w:color="000000"/>
              <w:right w:val="single" w:sz="4" w:space="0" w:color="000000"/>
            </w:tcBorders>
          </w:tcPr>
          <w:p>
            <w:pPr>
              <w:pStyle w:val="TableParagraph"/>
              <w:spacing w:before="22"/>
              <w:ind w:right="130"/>
              <w:jc w:val="right"/>
              <w:rPr>
                <w:rFonts w:ascii="宋体" w:eastAsia="宋体" w:hint="eastAsia"/>
                <w:b/>
                <w:sz w:val="21"/>
              </w:rPr>
            </w:pPr>
            <w:r>
              <w:rPr>
                <w:b/>
                <w:sz w:val="21"/>
              </w:rPr>
              <w:t>9 </w:t>
            </w:r>
            <w:r>
              <w:rPr>
                <w:rFonts w:ascii="宋体" w:eastAsia="宋体" w:hint="eastAsia"/>
                <w:b/>
                <w:sz w:val="21"/>
              </w:rPr>
              <w:t>月</w:t>
            </w:r>
          </w:p>
        </w:tc>
        <w:tc>
          <w:tcPr>
            <w:tcW w:w="845" w:type="dxa"/>
            <w:tcBorders>
              <w:left w:val="single" w:sz="4" w:space="0" w:color="000000"/>
              <w:bottom w:val="single" w:sz="4" w:space="0" w:color="000000"/>
              <w:right w:val="single" w:sz="4" w:space="0" w:color="000000"/>
            </w:tcBorders>
          </w:tcPr>
          <w:p>
            <w:pPr>
              <w:pStyle w:val="TableParagraph"/>
              <w:spacing w:before="22"/>
              <w:ind w:left="85" w:right="69"/>
              <w:rPr>
                <w:rFonts w:ascii="宋体" w:eastAsia="宋体" w:hint="eastAsia"/>
                <w:b/>
                <w:sz w:val="21"/>
              </w:rPr>
            </w:pPr>
            <w:r>
              <w:rPr>
                <w:b/>
                <w:sz w:val="21"/>
              </w:rPr>
              <w:t>10 </w:t>
            </w:r>
            <w:r>
              <w:rPr>
                <w:rFonts w:ascii="宋体" w:eastAsia="宋体" w:hint="eastAsia"/>
                <w:b/>
                <w:sz w:val="21"/>
              </w:rPr>
              <w:t>月</w:t>
            </w:r>
          </w:p>
        </w:tc>
        <w:tc>
          <w:tcPr>
            <w:tcW w:w="823" w:type="dxa"/>
            <w:tcBorders>
              <w:left w:val="single" w:sz="4" w:space="0" w:color="000000"/>
              <w:bottom w:val="single" w:sz="4" w:space="0" w:color="000000"/>
              <w:right w:val="single" w:sz="4" w:space="0" w:color="000000"/>
            </w:tcBorders>
          </w:tcPr>
          <w:p>
            <w:pPr>
              <w:pStyle w:val="TableParagraph"/>
              <w:spacing w:before="22"/>
              <w:ind w:left="107" w:right="91"/>
              <w:rPr>
                <w:rFonts w:ascii="宋体" w:eastAsia="宋体" w:hint="eastAsia"/>
                <w:b/>
                <w:sz w:val="21"/>
              </w:rPr>
            </w:pPr>
            <w:r>
              <w:rPr>
                <w:b/>
                <w:sz w:val="21"/>
              </w:rPr>
              <w:t>11 </w:t>
            </w:r>
            <w:r>
              <w:rPr>
                <w:rFonts w:ascii="宋体" w:eastAsia="宋体" w:hint="eastAsia"/>
                <w:b/>
                <w:sz w:val="21"/>
              </w:rPr>
              <w:t>月</w:t>
            </w:r>
          </w:p>
        </w:tc>
        <w:tc>
          <w:tcPr>
            <w:tcW w:w="857" w:type="dxa"/>
            <w:tcBorders>
              <w:left w:val="single" w:sz="4" w:space="0" w:color="000000"/>
              <w:bottom w:val="single" w:sz="4" w:space="0" w:color="000000"/>
            </w:tcBorders>
          </w:tcPr>
          <w:p>
            <w:pPr>
              <w:pStyle w:val="TableParagraph"/>
              <w:spacing w:before="22"/>
              <w:ind w:left="87" w:right="68"/>
              <w:rPr>
                <w:rFonts w:ascii="宋体" w:eastAsia="宋体" w:hint="eastAsia"/>
                <w:b/>
                <w:sz w:val="21"/>
              </w:rPr>
            </w:pPr>
            <w:r>
              <w:rPr>
                <w:b/>
                <w:sz w:val="21"/>
              </w:rPr>
              <w:t>12 </w:t>
            </w:r>
            <w:r>
              <w:rPr>
                <w:rFonts w:ascii="宋体" w:eastAsia="宋体" w:hint="eastAsia"/>
                <w:b/>
                <w:sz w:val="21"/>
              </w:rPr>
              <w:t>月</w:t>
            </w:r>
          </w:p>
        </w:tc>
      </w:tr>
      <w:tr>
        <w:trPr>
          <w:trHeight w:val="313" w:hRule="atLeast"/>
        </w:trPr>
        <w:tc>
          <w:tcPr>
            <w:tcW w:w="766" w:type="dxa"/>
            <w:tcBorders>
              <w:top w:val="single" w:sz="4" w:space="0" w:color="000000"/>
              <w:right w:val="single" w:sz="4" w:space="0" w:color="000000"/>
            </w:tcBorders>
          </w:tcPr>
          <w:p>
            <w:pPr>
              <w:pStyle w:val="TableParagraph"/>
              <w:spacing w:before="22"/>
              <w:ind w:left="158" w:right="128"/>
              <w:rPr>
                <w:rFonts w:ascii="宋体" w:eastAsia="宋体" w:hint="eastAsia"/>
                <w:sz w:val="21"/>
              </w:rPr>
            </w:pPr>
            <w:r>
              <w:rPr>
                <w:rFonts w:ascii="宋体" w:eastAsia="宋体" w:hint="eastAsia"/>
                <w:sz w:val="21"/>
              </w:rPr>
              <w:t>风速</w:t>
            </w:r>
          </w:p>
        </w:tc>
        <w:tc>
          <w:tcPr>
            <w:tcW w:w="663" w:type="dxa"/>
            <w:tcBorders>
              <w:top w:val="single" w:sz="4" w:space="0" w:color="000000"/>
              <w:left w:val="single" w:sz="4" w:space="0" w:color="000000"/>
              <w:right w:val="single" w:sz="4" w:space="0" w:color="000000"/>
            </w:tcBorders>
          </w:tcPr>
          <w:p>
            <w:pPr>
              <w:pStyle w:val="TableParagraph"/>
              <w:spacing w:before="36"/>
              <w:ind w:left="208"/>
              <w:jc w:val="left"/>
              <w:rPr>
                <w:sz w:val="21"/>
              </w:rPr>
            </w:pPr>
            <w:r>
              <w:rPr>
                <w:sz w:val="21"/>
              </w:rPr>
              <w:t>1.0</w:t>
            </w:r>
          </w:p>
        </w:tc>
        <w:tc>
          <w:tcPr>
            <w:tcW w:w="664" w:type="dxa"/>
            <w:tcBorders>
              <w:top w:val="single" w:sz="4" w:space="0" w:color="000000"/>
              <w:left w:val="single" w:sz="4" w:space="0" w:color="000000"/>
              <w:right w:val="single" w:sz="4" w:space="0" w:color="000000"/>
            </w:tcBorders>
          </w:tcPr>
          <w:p>
            <w:pPr>
              <w:pStyle w:val="TableParagraph"/>
              <w:spacing w:before="36"/>
              <w:ind w:left="132" w:right="112"/>
              <w:rPr>
                <w:sz w:val="21"/>
              </w:rPr>
            </w:pPr>
            <w:r>
              <w:rPr>
                <w:sz w:val="21"/>
              </w:rPr>
              <w:t>1.3</w:t>
            </w:r>
          </w:p>
        </w:tc>
        <w:tc>
          <w:tcPr>
            <w:tcW w:w="661" w:type="dxa"/>
            <w:tcBorders>
              <w:top w:val="single" w:sz="4" w:space="0" w:color="000000"/>
              <w:left w:val="single" w:sz="4" w:space="0" w:color="000000"/>
              <w:right w:val="single" w:sz="4" w:space="0" w:color="000000"/>
            </w:tcBorders>
          </w:tcPr>
          <w:p>
            <w:pPr>
              <w:pStyle w:val="TableParagraph"/>
              <w:spacing w:before="36"/>
              <w:ind w:left="131" w:right="110"/>
              <w:rPr>
                <w:sz w:val="21"/>
              </w:rPr>
            </w:pPr>
            <w:r>
              <w:rPr>
                <w:sz w:val="21"/>
              </w:rPr>
              <w:t>1.6</w:t>
            </w:r>
          </w:p>
        </w:tc>
        <w:tc>
          <w:tcPr>
            <w:tcW w:w="663" w:type="dxa"/>
            <w:tcBorders>
              <w:top w:val="single" w:sz="4" w:space="0" w:color="000000"/>
              <w:left w:val="single" w:sz="4" w:space="0" w:color="000000"/>
              <w:right w:val="single" w:sz="4" w:space="0" w:color="000000"/>
            </w:tcBorders>
          </w:tcPr>
          <w:p>
            <w:pPr>
              <w:pStyle w:val="TableParagraph"/>
              <w:spacing w:before="36"/>
              <w:ind w:left="205"/>
              <w:jc w:val="left"/>
              <w:rPr>
                <w:sz w:val="21"/>
              </w:rPr>
            </w:pPr>
            <w:r>
              <w:rPr>
                <w:sz w:val="21"/>
              </w:rPr>
              <w:t>1.4</w:t>
            </w:r>
          </w:p>
        </w:tc>
        <w:tc>
          <w:tcPr>
            <w:tcW w:w="663" w:type="dxa"/>
            <w:tcBorders>
              <w:top w:val="single" w:sz="4" w:space="0" w:color="000000"/>
              <w:left w:val="single" w:sz="4" w:space="0" w:color="000000"/>
              <w:right w:val="single" w:sz="4" w:space="0" w:color="000000"/>
            </w:tcBorders>
          </w:tcPr>
          <w:p>
            <w:pPr>
              <w:pStyle w:val="TableParagraph"/>
              <w:spacing w:before="36"/>
              <w:ind w:left="204"/>
              <w:jc w:val="left"/>
              <w:rPr>
                <w:sz w:val="21"/>
              </w:rPr>
            </w:pPr>
            <w:r>
              <w:rPr>
                <w:sz w:val="21"/>
              </w:rPr>
              <w:t>1.6</w:t>
            </w:r>
          </w:p>
        </w:tc>
        <w:tc>
          <w:tcPr>
            <w:tcW w:w="663" w:type="dxa"/>
            <w:tcBorders>
              <w:top w:val="single" w:sz="4" w:space="0" w:color="000000"/>
              <w:left w:val="single" w:sz="4" w:space="0" w:color="000000"/>
              <w:right w:val="single" w:sz="4" w:space="0" w:color="000000"/>
            </w:tcBorders>
          </w:tcPr>
          <w:p>
            <w:pPr>
              <w:pStyle w:val="TableParagraph"/>
              <w:spacing w:before="36"/>
              <w:ind w:left="129" w:right="109"/>
              <w:rPr>
                <w:sz w:val="21"/>
              </w:rPr>
            </w:pPr>
            <w:r>
              <w:rPr>
                <w:sz w:val="21"/>
              </w:rPr>
              <w:t>1.5</w:t>
            </w:r>
          </w:p>
        </w:tc>
        <w:tc>
          <w:tcPr>
            <w:tcW w:w="660" w:type="dxa"/>
            <w:tcBorders>
              <w:top w:val="single" w:sz="4" w:space="0" w:color="000000"/>
              <w:left w:val="single" w:sz="4" w:space="0" w:color="000000"/>
              <w:right w:val="single" w:sz="4" w:space="0" w:color="000000"/>
            </w:tcBorders>
          </w:tcPr>
          <w:p>
            <w:pPr>
              <w:pStyle w:val="TableParagraph"/>
              <w:spacing w:before="36"/>
              <w:ind w:left="128" w:right="106"/>
              <w:rPr>
                <w:sz w:val="21"/>
              </w:rPr>
            </w:pPr>
            <w:r>
              <w:rPr>
                <w:sz w:val="21"/>
              </w:rPr>
              <w:t>1.6</w:t>
            </w:r>
          </w:p>
        </w:tc>
        <w:tc>
          <w:tcPr>
            <w:tcW w:w="660" w:type="dxa"/>
            <w:tcBorders>
              <w:top w:val="single" w:sz="4" w:space="0" w:color="000000"/>
              <w:left w:val="single" w:sz="4" w:space="0" w:color="000000"/>
              <w:right w:val="single" w:sz="4" w:space="0" w:color="000000"/>
            </w:tcBorders>
          </w:tcPr>
          <w:p>
            <w:pPr>
              <w:pStyle w:val="TableParagraph"/>
              <w:spacing w:before="36"/>
              <w:ind w:left="204"/>
              <w:jc w:val="left"/>
              <w:rPr>
                <w:sz w:val="21"/>
              </w:rPr>
            </w:pPr>
            <w:r>
              <w:rPr>
                <w:sz w:val="21"/>
              </w:rPr>
              <w:t>2.1</w:t>
            </w:r>
          </w:p>
        </w:tc>
        <w:tc>
          <w:tcPr>
            <w:tcW w:w="661" w:type="dxa"/>
            <w:tcBorders>
              <w:top w:val="single" w:sz="4" w:space="0" w:color="000000"/>
              <w:left w:val="single" w:sz="4" w:space="0" w:color="000000"/>
              <w:right w:val="single" w:sz="4" w:space="0" w:color="000000"/>
            </w:tcBorders>
          </w:tcPr>
          <w:p>
            <w:pPr>
              <w:pStyle w:val="TableParagraph"/>
              <w:spacing w:before="36"/>
              <w:ind w:right="180"/>
              <w:jc w:val="right"/>
              <w:rPr>
                <w:sz w:val="21"/>
              </w:rPr>
            </w:pPr>
            <w:r>
              <w:rPr>
                <w:sz w:val="21"/>
              </w:rPr>
              <w:t>1.5</w:t>
            </w:r>
          </w:p>
        </w:tc>
        <w:tc>
          <w:tcPr>
            <w:tcW w:w="845" w:type="dxa"/>
            <w:tcBorders>
              <w:top w:val="single" w:sz="4" w:space="0" w:color="000000"/>
              <w:left w:val="single" w:sz="4" w:space="0" w:color="000000"/>
              <w:right w:val="single" w:sz="4" w:space="0" w:color="000000"/>
            </w:tcBorders>
          </w:tcPr>
          <w:p>
            <w:pPr>
              <w:pStyle w:val="TableParagraph"/>
              <w:spacing w:before="36"/>
              <w:ind w:left="87" w:right="69"/>
              <w:rPr>
                <w:sz w:val="21"/>
              </w:rPr>
            </w:pPr>
            <w:r>
              <w:rPr>
                <w:sz w:val="21"/>
              </w:rPr>
              <w:t>1.2</w:t>
            </w:r>
          </w:p>
        </w:tc>
        <w:tc>
          <w:tcPr>
            <w:tcW w:w="823" w:type="dxa"/>
            <w:tcBorders>
              <w:top w:val="single" w:sz="4" w:space="0" w:color="000000"/>
              <w:left w:val="single" w:sz="4" w:space="0" w:color="000000"/>
              <w:right w:val="single" w:sz="4" w:space="0" w:color="000000"/>
            </w:tcBorders>
          </w:tcPr>
          <w:p>
            <w:pPr>
              <w:pStyle w:val="TableParagraph"/>
              <w:spacing w:before="36"/>
              <w:ind w:left="112" w:right="91"/>
              <w:rPr>
                <w:sz w:val="21"/>
              </w:rPr>
            </w:pPr>
            <w:r>
              <w:rPr>
                <w:sz w:val="21"/>
              </w:rPr>
              <w:t>1.2</w:t>
            </w:r>
          </w:p>
        </w:tc>
        <w:tc>
          <w:tcPr>
            <w:tcW w:w="857" w:type="dxa"/>
            <w:tcBorders>
              <w:top w:val="single" w:sz="4" w:space="0" w:color="000000"/>
              <w:left w:val="single" w:sz="4" w:space="0" w:color="000000"/>
            </w:tcBorders>
          </w:tcPr>
          <w:p>
            <w:pPr>
              <w:pStyle w:val="TableParagraph"/>
              <w:spacing w:before="36"/>
              <w:ind w:left="90" w:right="68"/>
              <w:rPr>
                <w:sz w:val="21"/>
              </w:rPr>
            </w:pPr>
            <w:r>
              <w:rPr>
                <w:sz w:val="21"/>
              </w:rPr>
              <w:t>1.2</w:t>
            </w:r>
          </w:p>
        </w:tc>
      </w:tr>
    </w:tbl>
    <w:p>
      <w:pPr>
        <w:pStyle w:val="ListParagraph"/>
        <w:numPr>
          <w:ilvl w:val="0"/>
          <w:numId w:val="74"/>
        </w:numPr>
        <w:tabs>
          <w:tab w:pos="1079" w:val="left" w:leader="none"/>
        </w:tabs>
        <w:spacing w:line="240" w:lineRule="auto" w:before="82" w:after="0"/>
        <w:ind w:left="1078" w:right="0" w:hanging="362"/>
        <w:jc w:val="left"/>
        <w:rPr>
          <w:sz w:val="24"/>
        </w:rPr>
      </w:pPr>
      <w:r>
        <w:rPr>
          <w:sz w:val="24"/>
        </w:rPr>
        <w:t>季小时平均风速的日变化</w:t>
      </w:r>
    </w:p>
    <w:p>
      <w:pPr>
        <w:pStyle w:val="BodyText"/>
        <w:spacing w:before="160"/>
        <w:ind w:left="717"/>
      </w:pPr>
      <w:r>
        <w:rPr/>
        <w:t>季小时平均风速的日变化情况见表 </w:t>
      </w:r>
      <w:r>
        <w:rPr>
          <w:rFonts w:ascii="Times New Roman" w:eastAsia="Times New Roman"/>
        </w:rPr>
        <w:t>5.2-16 </w:t>
      </w:r>
      <w:r>
        <w:rPr/>
        <w:t>及图 </w:t>
      </w:r>
      <w:r>
        <w:rPr>
          <w:rFonts w:ascii="Times New Roman" w:eastAsia="Times New Roman"/>
        </w:rPr>
        <w:t>5.2-7</w:t>
      </w:r>
      <w:r>
        <w:rPr/>
        <w:t>。</w:t>
      </w:r>
    </w:p>
    <w:p>
      <w:pPr>
        <w:pStyle w:val="Heading3"/>
        <w:spacing w:before="82" w:after="2"/>
        <w:ind w:left="219" w:right="236"/>
        <w:jc w:val="center"/>
        <w:rPr>
          <w:rFonts w:ascii="Times New Roman" w:eastAsia="Times New Roman"/>
        </w:rPr>
      </w:pPr>
      <w:r>
        <w:rPr/>
        <w:pict>
          <v:line style="position:absolute;mso-position-horizontal-relative:page;mso-position-vertical-relative:paragraph;z-index:-315414528" from="63.863998pt,21.140001pt" to="117.619998pt,52.220001pt" stroked="true" strokeweight=".48pt" strokecolor="#000000">
            <v:stroke dashstyle="solid"/>
            <w10:wrap type="none"/>
          </v:line>
        </w:pict>
      </w:r>
      <w:r>
        <w:rPr/>
        <w:t>表 </w:t>
      </w:r>
      <w:r>
        <w:rPr>
          <w:rFonts w:ascii="Times New Roman" w:eastAsia="Times New Roman"/>
        </w:rPr>
        <w:t>5.2-16  </w:t>
      </w:r>
      <w:r>
        <w:rPr/>
        <w:t>季小时平均风速的月变化 单位：</w:t>
      </w:r>
      <w:r>
        <w:rPr>
          <w:rFonts w:ascii="Times New Roman" w:eastAsia="Times New Roman"/>
        </w:rPr>
        <w:t>m/s</w:t>
      </w: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94"/>
        <w:gridCol w:w="676"/>
        <w:gridCol w:w="677"/>
        <w:gridCol w:w="676"/>
        <w:gridCol w:w="676"/>
        <w:gridCol w:w="676"/>
        <w:gridCol w:w="676"/>
        <w:gridCol w:w="676"/>
        <w:gridCol w:w="677"/>
        <w:gridCol w:w="676"/>
        <w:gridCol w:w="676"/>
        <w:gridCol w:w="678"/>
        <w:gridCol w:w="700"/>
      </w:tblGrid>
      <w:tr>
        <w:trPr>
          <w:trHeight w:val="623" w:hRule="atLeast"/>
        </w:trPr>
        <w:tc>
          <w:tcPr>
            <w:tcW w:w="1094" w:type="dxa"/>
            <w:tcBorders>
              <w:bottom w:val="single" w:sz="4" w:space="0" w:color="000000"/>
              <w:right w:val="single" w:sz="4" w:space="0" w:color="000000"/>
            </w:tcBorders>
          </w:tcPr>
          <w:p>
            <w:pPr>
              <w:pStyle w:val="TableParagraph"/>
              <w:spacing w:before="22"/>
              <w:ind w:left="664" w:right="-15"/>
              <w:jc w:val="left"/>
              <w:rPr>
                <w:rFonts w:ascii="宋体" w:eastAsia="宋体" w:hint="eastAsia"/>
                <w:b/>
                <w:sz w:val="21"/>
              </w:rPr>
            </w:pPr>
            <w:r>
              <w:rPr>
                <w:rFonts w:ascii="宋体" w:eastAsia="宋体" w:hint="eastAsia"/>
                <w:b/>
                <w:spacing w:val="-9"/>
                <w:sz w:val="21"/>
              </w:rPr>
              <w:t>小时</w:t>
            </w:r>
          </w:p>
          <w:p>
            <w:pPr>
              <w:pStyle w:val="TableParagraph"/>
              <w:spacing w:before="43"/>
              <w:ind w:left="13"/>
              <w:jc w:val="left"/>
              <w:rPr>
                <w:rFonts w:ascii="宋体" w:eastAsia="宋体" w:hint="eastAsia"/>
                <w:b/>
                <w:sz w:val="21"/>
              </w:rPr>
            </w:pPr>
            <w:r>
              <w:rPr>
                <w:rFonts w:ascii="宋体" w:eastAsia="宋体" w:hint="eastAsia"/>
                <w:b/>
                <w:sz w:val="21"/>
              </w:rPr>
              <w:t>风速</w:t>
            </w:r>
          </w:p>
        </w:tc>
        <w:tc>
          <w:tcPr>
            <w:tcW w:w="676" w:type="dxa"/>
            <w:tcBorders>
              <w:left w:val="single" w:sz="4" w:space="0" w:color="000000"/>
              <w:bottom w:val="single" w:sz="4" w:space="0" w:color="000000"/>
              <w:right w:val="single" w:sz="4" w:space="0" w:color="000000"/>
            </w:tcBorders>
          </w:tcPr>
          <w:p>
            <w:pPr>
              <w:pStyle w:val="TableParagraph"/>
              <w:spacing w:before="192"/>
              <w:ind w:left="25"/>
              <w:rPr>
                <w:b/>
                <w:sz w:val="21"/>
              </w:rPr>
            </w:pPr>
            <w:r>
              <w:rPr>
                <w:b/>
                <w:w w:val="100"/>
                <w:sz w:val="21"/>
              </w:rPr>
              <w:t>1</w:t>
            </w:r>
          </w:p>
        </w:tc>
        <w:tc>
          <w:tcPr>
            <w:tcW w:w="677" w:type="dxa"/>
            <w:tcBorders>
              <w:left w:val="single" w:sz="4" w:space="0" w:color="000000"/>
              <w:bottom w:val="single" w:sz="4" w:space="0" w:color="000000"/>
              <w:right w:val="single" w:sz="4" w:space="0" w:color="000000"/>
            </w:tcBorders>
          </w:tcPr>
          <w:p>
            <w:pPr>
              <w:pStyle w:val="TableParagraph"/>
              <w:spacing w:before="192"/>
              <w:ind w:left="27"/>
              <w:rPr>
                <w:b/>
                <w:sz w:val="21"/>
              </w:rPr>
            </w:pPr>
            <w:r>
              <w:rPr>
                <w:b/>
                <w:w w:val="100"/>
                <w:sz w:val="21"/>
              </w:rPr>
              <w:t>2</w:t>
            </w:r>
          </w:p>
        </w:tc>
        <w:tc>
          <w:tcPr>
            <w:tcW w:w="676" w:type="dxa"/>
            <w:tcBorders>
              <w:left w:val="single" w:sz="4" w:space="0" w:color="000000"/>
              <w:bottom w:val="single" w:sz="4" w:space="0" w:color="000000"/>
              <w:right w:val="single" w:sz="4" w:space="0" w:color="000000"/>
            </w:tcBorders>
          </w:tcPr>
          <w:p>
            <w:pPr>
              <w:pStyle w:val="TableParagraph"/>
              <w:spacing w:before="192"/>
              <w:ind w:left="27"/>
              <w:rPr>
                <w:b/>
                <w:sz w:val="21"/>
              </w:rPr>
            </w:pPr>
            <w:r>
              <w:rPr>
                <w:b/>
                <w:w w:val="100"/>
                <w:sz w:val="21"/>
              </w:rPr>
              <w:t>3</w:t>
            </w:r>
          </w:p>
        </w:tc>
        <w:tc>
          <w:tcPr>
            <w:tcW w:w="676" w:type="dxa"/>
            <w:tcBorders>
              <w:left w:val="single" w:sz="4" w:space="0" w:color="000000"/>
              <w:bottom w:val="single" w:sz="4" w:space="0" w:color="000000"/>
              <w:right w:val="single" w:sz="4" w:space="0" w:color="000000"/>
            </w:tcBorders>
          </w:tcPr>
          <w:p>
            <w:pPr>
              <w:pStyle w:val="TableParagraph"/>
              <w:spacing w:before="192"/>
              <w:ind w:left="34"/>
              <w:rPr>
                <w:b/>
                <w:sz w:val="21"/>
              </w:rPr>
            </w:pPr>
            <w:r>
              <w:rPr>
                <w:b/>
                <w:w w:val="100"/>
                <w:sz w:val="21"/>
              </w:rPr>
              <w:t>4</w:t>
            </w:r>
          </w:p>
        </w:tc>
        <w:tc>
          <w:tcPr>
            <w:tcW w:w="676" w:type="dxa"/>
            <w:tcBorders>
              <w:left w:val="single" w:sz="4" w:space="0" w:color="000000"/>
              <w:bottom w:val="single" w:sz="4" w:space="0" w:color="000000"/>
              <w:right w:val="single" w:sz="4" w:space="0" w:color="000000"/>
            </w:tcBorders>
          </w:tcPr>
          <w:p>
            <w:pPr>
              <w:pStyle w:val="TableParagraph"/>
              <w:spacing w:before="192"/>
              <w:ind w:left="35"/>
              <w:rPr>
                <w:b/>
                <w:sz w:val="21"/>
              </w:rPr>
            </w:pPr>
            <w:r>
              <w:rPr>
                <w:b/>
                <w:w w:val="100"/>
                <w:sz w:val="21"/>
              </w:rPr>
              <w:t>5</w:t>
            </w:r>
          </w:p>
        </w:tc>
        <w:tc>
          <w:tcPr>
            <w:tcW w:w="676" w:type="dxa"/>
            <w:tcBorders>
              <w:left w:val="single" w:sz="4" w:space="0" w:color="000000"/>
              <w:bottom w:val="single" w:sz="4" w:space="0" w:color="000000"/>
              <w:right w:val="single" w:sz="4" w:space="0" w:color="000000"/>
            </w:tcBorders>
          </w:tcPr>
          <w:p>
            <w:pPr>
              <w:pStyle w:val="TableParagraph"/>
              <w:spacing w:before="192"/>
              <w:ind w:left="38"/>
              <w:rPr>
                <w:b/>
                <w:sz w:val="21"/>
              </w:rPr>
            </w:pPr>
            <w:r>
              <w:rPr>
                <w:b/>
                <w:w w:val="100"/>
                <w:sz w:val="21"/>
              </w:rPr>
              <w:t>6</w:t>
            </w:r>
          </w:p>
        </w:tc>
        <w:tc>
          <w:tcPr>
            <w:tcW w:w="676" w:type="dxa"/>
            <w:tcBorders>
              <w:left w:val="single" w:sz="4" w:space="0" w:color="000000"/>
              <w:bottom w:val="single" w:sz="4" w:space="0" w:color="000000"/>
              <w:right w:val="single" w:sz="4" w:space="0" w:color="000000"/>
            </w:tcBorders>
          </w:tcPr>
          <w:p>
            <w:pPr>
              <w:pStyle w:val="TableParagraph"/>
              <w:spacing w:before="192"/>
              <w:ind w:left="39"/>
              <w:rPr>
                <w:b/>
                <w:sz w:val="21"/>
              </w:rPr>
            </w:pPr>
            <w:r>
              <w:rPr>
                <w:b/>
                <w:w w:val="100"/>
                <w:sz w:val="21"/>
              </w:rPr>
              <w:t>7</w:t>
            </w:r>
          </w:p>
        </w:tc>
        <w:tc>
          <w:tcPr>
            <w:tcW w:w="677" w:type="dxa"/>
            <w:tcBorders>
              <w:left w:val="single" w:sz="4" w:space="0" w:color="000000"/>
              <w:bottom w:val="single" w:sz="4" w:space="0" w:color="000000"/>
              <w:right w:val="single" w:sz="4" w:space="0" w:color="000000"/>
            </w:tcBorders>
          </w:tcPr>
          <w:p>
            <w:pPr>
              <w:pStyle w:val="TableParagraph"/>
              <w:spacing w:before="192"/>
              <w:ind w:left="40"/>
              <w:rPr>
                <w:b/>
                <w:sz w:val="21"/>
              </w:rPr>
            </w:pPr>
            <w:r>
              <w:rPr>
                <w:b/>
                <w:w w:val="100"/>
                <w:sz w:val="21"/>
              </w:rPr>
              <w:t>8</w:t>
            </w:r>
          </w:p>
        </w:tc>
        <w:tc>
          <w:tcPr>
            <w:tcW w:w="676" w:type="dxa"/>
            <w:tcBorders>
              <w:left w:val="single" w:sz="4" w:space="0" w:color="000000"/>
              <w:bottom w:val="single" w:sz="4" w:space="0" w:color="000000"/>
              <w:right w:val="single" w:sz="4" w:space="0" w:color="000000"/>
            </w:tcBorders>
          </w:tcPr>
          <w:p>
            <w:pPr>
              <w:pStyle w:val="TableParagraph"/>
              <w:spacing w:before="192"/>
              <w:ind w:left="42"/>
              <w:rPr>
                <w:b/>
                <w:sz w:val="21"/>
              </w:rPr>
            </w:pPr>
            <w:r>
              <w:rPr>
                <w:b/>
                <w:w w:val="100"/>
                <w:sz w:val="21"/>
              </w:rPr>
              <w:t>9</w:t>
            </w:r>
          </w:p>
        </w:tc>
        <w:tc>
          <w:tcPr>
            <w:tcW w:w="676" w:type="dxa"/>
            <w:tcBorders>
              <w:left w:val="single" w:sz="4" w:space="0" w:color="000000"/>
              <w:bottom w:val="single" w:sz="4" w:space="0" w:color="000000"/>
              <w:right w:val="single" w:sz="4" w:space="0" w:color="000000"/>
            </w:tcBorders>
          </w:tcPr>
          <w:p>
            <w:pPr>
              <w:pStyle w:val="TableParagraph"/>
              <w:spacing w:before="192"/>
              <w:ind w:left="249"/>
              <w:jc w:val="left"/>
              <w:rPr>
                <w:b/>
                <w:sz w:val="21"/>
              </w:rPr>
            </w:pPr>
            <w:r>
              <w:rPr>
                <w:b/>
                <w:sz w:val="21"/>
              </w:rPr>
              <w:t>10</w:t>
            </w:r>
          </w:p>
        </w:tc>
        <w:tc>
          <w:tcPr>
            <w:tcW w:w="678" w:type="dxa"/>
            <w:tcBorders>
              <w:left w:val="single" w:sz="4" w:space="0" w:color="000000"/>
              <w:bottom w:val="single" w:sz="4" w:space="0" w:color="000000"/>
              <w:right w:val="single" w:sz="4" w:space="0" w:color="000000"/>
            </w:tcBorders>
          </w:tcPr>
          <w:p>
            <w:pPr>
              <w:pStyle w:val="TableParagraph"/>
              <w:spacing w:before="192"/>
              <w:ind w:left="254"/>
              <w:jc w:val="left"/>
              <w:rPr>
                <w:b/>
                <w:sz w:val="21"/>
              </w:rPr>
            </w:pPr>
            <w:r>
              <w:rPr>
                <w:b/>
                <w:sz w:val="21"/>
              </w:rPr>
              <w:t>11</w:t>
            </w:r>
          </w:p>
        </w:tc>
        <w:tc>
          <w:tcPr>
            <w:tcW w:w="700" w:type="dxa"/>
            <w:tcBorders>
              <w:left w:val="single" w:sz="4" w:space="0" w:color="000000"/>
              <w:bottom w:val="single" w:sz="4" w:space="0" w:color="000000"/>
            </w:tcBorders>
          </w:tcPr>
          <w:p>
            <w:pPr>
              <w:pStyle w:val="TableParagraph"/>
              <w:spacing w:before="192"/>
              <w:ind w:left="256"/>
              <w:jc w:val="left"/>
              <w:rPr>
                <w:b/>
                <w:sz w:val="21"/>
              </w:rPr>
            </w:pPr>
            <w:r>
              <w:rPr>
                <w:b/>
                <w:sz w:val="21"/>
              </w:rPr>
              <w:t>12</w:t>
            </w:r>
          </w:p>
        </w:tc>
      </w:tr>
      <w:tr>
        <w:trPr>
          <w:trHeight w:val="311" w:hRule="atLeast"/>
        </w:trPr>
        <w:tc>
          <w:tcPr>
            <w:tcW w:w="1094" w:type="dxa"/>
            <w:tcBorders>
              <w:top w:val="single" w:sz="4" w:space="0" w:color="000000"/>
              <w:bottom w:val="single" w:sz="4" w:space="0" w:color="000000"/>
              <w:right w:val="single" w:sz="4" w:space="0" w:color="000000"/>
            </w:tcBorders>
          </w:tcPr>
          <w:p>
            <w:pPr>
              <w:pStyle w:val="TableParagraph"/>
              <w:spacing w:before="22"/>
              <w:ind w:left="98" w:right="70"/>
              <w:rPr>
                <w:rFonts w:ascii="宋体" w:eastAsia="宋体" w:hint="eastAsia"/>
                <w:sz w:val="21"/>
              </w:rPr>
            </w:pPr>
            <w:r>
              <w:rPr>
                <w:rFonts w:ascii="宋体" w:eastAsia="宋体" w:hint="eastAsia"/>
                <w:sz w:val="21"/>
              </w:rPr>
              <w:t>春季</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85" w:right="160"/>
              <w:rPr>
                <w:sz w:val="21"/>
              </w:rPr>
            </w:pPr>
            <w:r>
              <w:rPr>
                <w:sz w:val="21"/>
              </w:rPr>
              <w:t>1.7</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before="36"/>
              <w:ind w:left="188" w:right="162"/>
              <w:rPr>
                <w:sz w:val="21"/>
              </w:rPr>
            </w:pPr>
            <w:r>
              <w:rPr>
                <w:sz w:val="21"/>
              </w:rPr>
              <w:t>1.8</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87" w:right="160"/>
              <w:rPr>
                <w:sz w:val="21"/>
              </w:rPr>
            </w:pPr>
            <w:r>
              <w:rPr>
                <w:sz w:val="21"/>
              </w:rPr>
              <w:t>1.8</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60"/>
              <w:rPr>
                <w:sz w:val="21"/>
              </w:rPr>
            </w:pPr>
            <w:r>
              <w:rPr>
                <w:sz w:val="21"/>
              </w:rPr>
              <w:t>1.8</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9"/>
              <w:rPr>
                <w:sz w:val="21"/>
              </w:rPr>
            </w:pPr>
            <w:r>
              <w:rPr>
                <w:sz w:val="21"/>
              </w:rPr>
              <w:t>2.1</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6"/>
              <w:rPr>
                <w:sz w:val="21"/>
              </w:rPr>
            </w:pPr>
            <w:r>
              <w:rPr>
                <w:sz w:val="21"/>
              </w:rPr>
              <w:t>2.1</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5"/>
              <w:rPr>
                <w:sz w:val="21"/>
              </w:rPr>
            </w:pPr>
            <w:r>
              <w:rPr>
                <w:sz w:val="21"/>
              </w:rPr>
              <w:t>2.1</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before="36"/>
              <w:ind w:left="193" w:right="153"/>
              <w:rPr>
                <w:sz w:val="21"/>
              </w:rPr>
            </w:pPr>
            <w:r>
              <w:rPr>
                <w:sz w:val="21"/>
              </w:rPr>
              <w:t>2.2</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2"/>
              <w:rPr>
                <w:sz w:val="21"/>
              </w:rPr>
            </w:pPr>
            <w:r>
              <w:rPr>
                <w:sz w:val="21"/>
              </w:rPr>
              <w:t>2.1</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222"/>
              <w:jc w:val="left"/>
              <w:rPr>
                <w:sz w:val="21"/>
              </w:rPr>
            </w:pPr>
            <w:r>
              <w:rPr>
                <w:sz w:val="21"/>
              </w:rPr>
              <w:t>1.9</w:t>
            </w:r>
          </w:p>
        </w:tc>
        <w:tc>
          <w:tcPr>
            <w:tcW w:w="678" w:type="dxa"/>
            <w:tcBorders>
              <w:top w:val="single" w:sz="4" w:space="0" w:color="000000"/>
              <w:left w:val="single" w:sz="4" w:space="0" w:color="000000"/>
              <w:bottom w:val="single" w:sz="4" w:space="0" w:color="000000"/>
              <w:right w:val="single" w:sz="4" w:space="0" w:color="000000"/>
            </w:tcBorders>
          </w:tcPr>
          <w:p>
            <w:pPr>
              <w:pStyle w:val="TableParagraph"/>
              <w:spacing w:before="36"/>
              <w:ind w:left="223"/>
              <w:jc w:val="left"/>
              <w:rPr>
                <w:sz w:val="21"/>
              </w:rPr>
            </w:pPr>
            <w:r>
              <w:rPr>
                <w:sz w:val="21"/>
              </w:rPr>
              <w:t>1.6</w:t>
            </w:r>
          </w:p>
        </w:tc>
        <w:tc>
          <w:tcPr>
            <w:tcW w:w="700" w:type="dxa"/>
            <w:tcBorders>
              <w:top w:val="single" w:sz="4" w:space="0" w:color="000000"/>
              <w:left w:val="single" w:sz="4" w:space="0" w:color="000000"/>
              <w:bottom w:val="single" w:sz="4" w:space="0" w:color="000000"/>
            </w:tcBorders>
          </w:tcPr>
          <w:p>
            <w:pPr>
              <w:pStyle w:val="TableParagraph"/>
              <w:spacing w:before="36"/>
              <w:ind w:left="232"/>
              <w:jc w:val="left"/>
              <w:rPr>
                <w:sz w:val="21"/>
              </w:rPr>
            </w:pPr>
            <w:r>
              <w:rPr>
                <w:sz w:val="21"/>
              </w:rPr>
              <w:t>1.4</w:t>
            </w:r>
          </w:p>
        </w:tc>
      </w:tr>
      <w:tr>
        <w:trPr>
          <w:trHeight w:val="314" w:hRule="atLeast"/>
        </w:trPr>
        <w:tc>
          <w:tcPr>
            <w:tcW w:w="1094" w:type="dxa"/>
            <w:tcBorders>
              <w:top w:val="single" w:sz="4" w:space="0" w:color="000000"/>
              <w:bottom w:val="single" w:sz="4" w:space="0" w:color="000000"/>
              <w:right w:val="single" w:sz="4" w:space="0" w:color="000000"/>
            </w:tcBorders>
          </w:tcPr>
          <w:p>
            <w:pPr>
              <w:pStyle w:val="TableParagraph"/>
              <w:spacing w:before="25"/>
              <w:ind w:left="98" w:right="70"/>
              <w:rPr>
                <w:rFonts w:ascii="宋体" w:eastAsia="宋体" w:hint="eastAsia"/>
                <w:sz w:val="21"/>
              </w:rPr>
            </w:pPr>
            <w:r>
              <w:rPr>
                <w:rFonts w:ascii="宋体" w:eastAsia="宋体" w:hint="eastAsia"/>
                <w:sz w:val="21"/>
              </w:rPr>
              <w:t>夏季</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185" w:right="160"/>
              <w:rPr>
                <w:sz w:val="21"/>
              </w:rPr>
            </w:pPr>
            <w:r>
              <w:rPr>
                <w:sz w:val="21"/>
              </w:rPr>
              <w:t>1.8</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before="39"/>
              <w:ind w:left="188" w:right="162"/>
              <w:rPr>
                <w:sz w:val="21"/>
              </w:rPr>
            </w:pPr>
            <w:r>
              <w:rPr>
                <w:sz w:val="21"/>
              </w:rPr>
              <w:t>1.9</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187" w:right="160"/>
              <w:rPr>
                <w:sz w:val="21"/>
              </w:rPr>
            </w:pPr>
            <w:r>
              <w:rPr>
                <w:sz w:val="21"/>
              </w:rPr>
              <w:t>2.2</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194" w:right="160"/>
              <w:rPr>
                <w:sz w:val="21"/>
              </w:rPr>
            </w:pPr>
            <w:r>
              <w:rPr>
                <w:sz w:val="21"/>
              </w:rPr>
              <w:t>2.1</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194" w:right="159"/>
              <w:rPr>
                <w:sz w:val="21"/>
              </w:rPr>
            </w:pPr>
            <w:r>
              <w:rPr>
                <w:sz w:val="21"/>
              </w:rPr>
              <w:t>2.2</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194" w:right="156"/>
              <w:rPr>
                <w:sz w:val="21"/>
              </w:rPr>
            </w:pPr>
            <w:r>
              <w:rPr>
                <w:sz w:val="21"/>
              </w:rPr>
              <w:t>2.4</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194" w:right="155"/>
              <w:rPr>
                <w:sz w:val="21"/>
              </w:rPr>
            </w:pPr>
            <w:r>
              <w:rPr>
                <w:sz w:val="21"/>
              </w:rPr>
              <w:t>2.6</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before="39"/>
              <w:ind w:left="193" w:right="153"/>
              <w:rPr>
                <w:sz w:val="21"/>
              </w:rPr>
            </w:pPr>
            <w:r>
              <w:rPr>
                <w:sz w:val="21"/>
              </w:rPr>
              <w:t>2.6</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194" w:right="152"/>
              <w:rPr>
                <w:sz w:val="21"/>
              </w:rPr>
            </w:pPr>
            <w:r>
              <w:rPr>
                <w:sz w:val="21"/>
              </w:rPr>
              <w:t>2.3</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9"/>
              <w:ind w:left="222"/>
              <w:jc w:val="left"/>
              <w:rPr>
                <w:sz w:val="21"/>
              </w:rPr>
            </w:pPr>
            <w:r>
              <w:rPr>
                <w:sz w:val="21"/>
              </w:rPr>
              <w:t>2.4</w:t>
            </w:r>
          </w:p>
        </w:tc>
        <w:tc>
          <w:tcPr>
            <w:tcW w:w="678" w:type="dxa"/>
            <w:tcBorders>
              <w:top w:val="single" w:sz="4" w:space="0" w:color="000000"/>
              <w:left w:val="single" w:sz="4" w:space="0" w:color="000000"/>
              <w:bottom w:val="single" w:sz="4" w:space="0" w:color="000000"/>
              <w:right w:val="single" w:sz="4" w:space="0" w:color="000000"/>
            </w:tcBorders>
          </w:tcPr>
          <w:p>
            <w:pPr>
              <w:pStyle w:val="TableParagraph"/>
              <w:spacing w:before="39"/>
              <w:ind w:left="223"/>
              <w:jc w:val="left"/>
              <w:rPr>
                <w:sz w:val="21"/>
              </w:rPr>
            </w:pPr>
            <w:r>
              <w:rPr>
                <w:sz w:val="21"/>
              </w:rPr>
              <w:t>1.9</w:t>
            </w:r>
          </w:p>
        </w:tc>
        <w:tc>
          <w:tcPr>
            <w:tcW w:w="700" w:type="dxa"/>
            <w:tcBorders>
              <w:top w:val="single" w:sz="4" w:space="0" w:color="000000"/>
              <w:left w:val="single" w:sz="4" w:space="0" w:color="000000"/>
              <w:bottom w:val="single" w:sz="4" w:space="0" w:color="000000"/>
            </w:tcBorders>
          </w:tcPr>
          <w:p>
            <w:pPr>
              <w:pStyle w:val="TableParagraph"/>
              <w:spacing w:before="39"/>
              <w:ind w:left="232"/>
              <w:jc w:val="left"/>
              <w:rPr>
                <w:sz w:val="21"/>
              </w:rPr>
            </w:pPr>
            <w:r>
              <w:rPr>
                <w:sz w:val="21"/>
              </w:rPr>
              <w:t>1.5</w:t>
            </w:r>
          </w:p>
        </w:tc>
      </w:tr>
      <w:tr>
        <w:trPr>
          <w:trHeight w:val="311" w:hRule="atLeast"/>
        </w:trPr>
        <w:tc>
          <w:tcPr>
            <w:tcW w:w="1094" w:type="dxa"/>
            <w:tcBorders>
              <w:top w:val="single" w:sz="4" w:space="0" w:color="000000"/>
              <w:bottom w:val="single" w:sz="4" w:space="0" w:color="000000"/>
              <w:right w:val="single" w:sz="4" w:space="0" w:color="000000"/>
            </w:tcBorders>
          </w:tcPr>
          <w:p>
            <w:pPr>
              <w:pStyle w:val="TableParagraph"/>
              <w:spacing w:before="22"/>
              <w:ind w:left="98" w:right="70"/>
              <w:rPr>
                <w:rFonts w:ascii="宋体" w:eastAsia="宋体" w:hint="eastAsia"/>
                <w:sz w:val="21"/>
              </w:rPr>
            </w:pPr>
            <w:r>
              <w:rPr>
                <w:rFonts w:ascii="宋体" w:eastAsia="宋体" w:hint="eastAsia"/>
                <w:sz w:val="21"/>
              </w:rPr>
              <w:t>秋季</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85" w:right="160"/>
              <w:rPr>
                <w:sz w:val="21"/>
              </w:rPr>
            </w:pPr>
            <w:r>
              <w:rPr>
                <w:sz w:val="21"/>
              </w:rPr>
              <w:t>1.4</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before="36"/>
              <w:ind w:left="188" w:right="162"/>
              <w:rPr>
                <w:sz w:val="21"/>
              </w:rPr>
            </w:pPr>
            <w:r>
              <w:rPr>
                <w:sz w:val="21"/>
              </w:rPr>
              <w:t>1.5</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87" w:right="160"/>
              <w:rPr>
                <w:sz w:val="21"/>
              </w:rPr>
            </w:pPr>
            <w:r>
              <w:rPr>
                <w:sz w:val="21"/>
              </w:rPr>
              <w:t>1.6</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60"/>
              <w:rPr>
                <w:sz w:val="21"/>
              </w:rPr>
            </w:pPr>
            <w:r>
              <w:rPr>
                <w:sz w:val="21"/>
              </w:rPr>
              <w:t>1.7</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9"/>
              <w:rPr>
                <w:sz w:val="21"/>
              </w:rPr>
            </w:pPr>
            <w:r>
              <w:rPr>
                <w:sz w:val="21"/>
              </w:rPr>
              <w:t>1.8</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6"/>
              <w:rPr>
                <w:sz w:val="21"/>
              </w:rPr>
            </w:pPr>
            <w:r>
              <w:rPr>
                <w:sz w:val="21"/>
              </w:rPr>
              <w:t>1.7</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5"/>
              <w:rPr>
                <w:sz w:val="21"/>
              </w:rPr>
            </w:pPr>
            <w:r>
              <w:rPr>
                <w:sz w:val="21"/>
              </w:rPr>
              <w:t>1.9</w:t>
            </w:r>
          </w:p>
        </w:tc>
        <w:tc>
          <w:tcPr>
            <w:tcW w:w="677" w:type="dxa"/>
            <w:tcBorders>
              <w:top w:val="single" w:sz="4" w:space="0" w:color="000000"/>
              <w:left w:val="single" w:sz="4" w:space="0" w:color="000000"/>
              <w:bottom w:val="single" w:sz="4" w:space="0" w:color="000000"/>
              <w:right w:val="single" w:sz="4" w:space="0" w:color="000000"/>
            </w:tcBorders>
          </w:tcPr>
          <w:p>
            <w:pPr>
              <w:pStyle w:val="TableParagraph"/>
              <w:spacing w:before="36"/>
              <w:ind w:left="193" w:right="153"/>
              <w:rPr>
                <w:sz w:val="21"/>
              </w:rPr>
            </w:pPr>
            <w:r>
              <w:rPr>
                <w:sz w:val="21"/>
              </w:rPr>
              <w:t>1.8</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194" w:right="152"/>
              <w:rPr>
                <w:sz w:val="21"/>
              </w:rPr>
            </w:pPr>
            <w:r>
              <w:rPr>
                <w:sz w:val="21"/>
              </w:rPr>
              <w:t>1.7</w:t>
            </w:r>
          </w:p>
        </w:tc>
        <w:tc>
          <w:tcPr>
            <w:tcW w:w="676" w:type="dxa"/>
            <w:tcBorders>
              <w:top w:val="single" w:sz="4" w:space="0" w:color="000000"/>
              <w:left w:val="single" w:sz="4" w:space="0" w:color="000000"/>
              <w:bottom w:val="single" w:sz="4" w:space="0" w:color="000000"/>
              <w:right w:val="single" w:sz="4" w:space="0" w:color="000000"/>
            </w:tcBorders>
          </w:tcPr>
          <w:p>
            <w:pPr>
              <w:pStyle w:val="TableParagraph"/>
              <w:spacing w:before="36"/>
              <w:ind w:left="222"/>
              <w:jc w:val="left"/>
              <w:rPr>
                <w:sz w:val="21"/>
              </w:rPr>
            </w:pPr>
            <w:r>
              <w:rPr>
                <w:sz w:val="21"/>
              </w:rPr>
              <w:t>1.5</w:t>
            </w:r>
          </w:p>
        </w:tc>
        <w:tc>
          <w:tcPr>
            <w:tcW w:w="678" w:type="dxa"/>
            <w:tcBorders>
              <w:top w:val="single" w:sz="4" w:space="0" w:color="000000"/>
              <w:left w:val="single" w:sz="4" w:space="0" w:color="000000"/>
              <w:bottom w:val="single" w:sz="4" w:space="0" w:color="000000"/>
              <w:right w:val="single" w:sz="4" w:space="0" w:color="000000"/>
            </w:tcBorders>
          </w:tcPr>
          <w:p>
            <w:pPr>
              <w:pStyle w:val="TableParagraph"/>
              <w:spacing w:before="36"/>
              <w:ind w:left="223"/>
              <w:jc w:val="left"/>
              <w:rPr>
                <w:sz w:val="21"/>
              </w:rPr>
            </w:pPr>
            <w:r>
              <w:rPr>
                <w:sz w:val="21"/>
              </w:rPr>
              <w:t>1.2</w:t>
            </w:r>
          </w:p>
        </w:tc>
        <w:tc>
          <w:tcPr>
            <w:tcW w:w="700" w:type="dxa"/>
            <w:tcBorders>
              <w:top w:val="single" w:sz="4" w:space="0" w:color="000000"/>
              <w:left w:val="single" w:sz="4" w:space="0" w:color="000000"/>
              <w:bottom w:val="single" w:sz="4" w:space="0" w:color="000000"/>
            </w:tcBorders>
          </w:tcPr>
          <w:p>
            <w:pPr>
              <w:pStyle w:val="TableParagraph"/>
              <w:spacing w:before="36"/>
              <w:ind w:left="232"/>
              <w:jc w:val="left"/>
              <w:rPr>
                <w:sz w:val="21"/>
              </w:rPr>
            </w:pPr>
            <w:r>
              <w:rPr>
                <w:sz w:val="21"/>
              </w:rPr>
              <w:t>1.2</w:t>
            </w:r>
          </w:p>
        </w:tc>
      </w:tr>
      <w:tr>
        <w:trPr>
          <w:trHeight w:val="301" w:hRule="atLeast"/>
        </w:trPr>
        <w:tc>
          <w:tcPr>
            <w:tcW w:w="1094" w:type="dxa"/>
            <w:tcBorders>
              <w:top w:val="single" w:sz="4" w:space="0" w:color="000000"/>
              <w:bottom w:val="single" w:sz="4" w:space="0" w:color="000000"/>
              <w:right w:val="single" w:sz="4" w:space="0" w:color="000000"/>
            </w:tcBorders>
          </w:tcPr>
          <w:p>
            <w:pPr>
              <w:pStyle w:val="TableParagraph"/>
              <w:spacing w:line="259" w:lineRule="exact" w:before="22"/>
              <w:ind w:left="98" w:right="70"/>
              <w:rPr>
                <w:rFonts w:ascii="宋体" w:eastAsia="宋体" w:hint="eastAsia"/>
                <w:sz w:val="21"/>
              </w:rPr>
            </w:pPr>
            <w:r>
              <w:rPr>
                <w:rFonts w:ascii="宋体" w:eastAsia="宋体" w:hint="eastAsia"/>
                <w:sz w:val="21"/>
              </w:rPr>
              <w:t>冬季</w:t>
            </w:r>
          </w:p>
        </w:tc>
        <w:tc>
          <w:tcPr>
            <w:tcW w:w="676" w:type="dxa"/>
            <w:tcBorders>
              <w:top w:val="single" w:sz="4" w:space="0" w:color="000000"/>
              <w:left w:val="single" w:sz="4" w:space="0" w:color="000000"/>
              <w:right w:val="single" w:sz="4" w:space="0" w:color="000000"/>
            </w:tcBorders>
          </w:tcPr>
          <w:p>
            <w:pPr>
              <w:pStyle w:val="TableParagraph"/>
              <w:spacing w:before="36"/>
              <w:ind w:left="185" w:right="160"/>
              <w:rPr>
                <w:sz w:val="21"/>
              </w:rPr>
            </w:pPr>
            <w:r>
              <w:rPr>
                <w:sz w:val="21"/>
              </w:rPr>
              <w:t>1.2</w:t>
            </w:r>
          </w:p>
        </w:tc>
        <w:tc>
          <w:tcPr>
            <w:tcW w:w="677" w:type="dxa"/>
            <w:tcBorders>
              <w:top w:val="single" w:sz="4" w:space="0" w:color="000000"/>
              <w:left w:val="single" w:sz="4" w:space="0" w:color="000000"/>
              <w:right w:val="single" w:sz="4" w:space="0" w:color="000000"/>
            </w:tcBorders>
          </w:tcPr>
          <w:p>
            <w:pPr>
              <w:pStyle w:val="TableParagraph"/>
              <w:spacing w:before="36"/>
              <w:ind w:left="188" w:right="162"/>
              <w:rPr>
                <w:sz w:val="21"/>
              </w:rPr>
            </w:pPr>
            <w:r>
              <w:rPr>
                <w:sz w:val="21"/>
              </w:rPr>
              <w:t>1.5</w:t>
            </w:r>
          </w:p>
        </w:tc>
        <w:tc>
          <w:tcPr>
            <w:tcW w:w="676" w:type="dxa"/>
            <w:tcBorders>
              <w:top w:val="single" w:sz="4" w:space="0" w:color="000000"/>
              <w:left w:val="single" w:sz="4" w:space="0" w:color="000000"/>
              <w:right w:val="single" w:sz="4" w:space="0" w:color="000000"/>
            </w:tcBorders>
          </w:tcPr>
          <w:p>
            <w:pPr>
              <w:pStyle w:val="TableParagraph"/>
              <w:spacing w:before="36"/>
              <w:ind w:left="187" w:right="160"/>
              <w:rPr>
                <w:sz w:val="21"/>
              </w:rPr>
            </w:pPr>
            <w:r>
              <w:rPr>
                <w:sz w:val="21"/>
              </w:rPr>
              <w:t>1.6</w:t>
            </w:r>
          </w:p>
        </w:tc>
        <w:tc>
          <w:tcPr>
            <w:tcW w:w="676" w:type="dxa"/>
            <w:tcBorders>
              <w:top w:val="single" w:sz="4" w:space="0" w:color="000000"/>
              <w:left w:val="single" w:sz="4" w:space="0" w:color="000000"/>
              <w:right w:val="single" w:sz="4" w:space="0" w:color="000000"/>
            </w:tcBorders>
          </w:tcPr>
          <w:p>
            <w:pPr>
              <w:pStyle w:val="TableParagraph"/>
              <w:spacing w:before="36"/>
              <w:ind w:left="194" w:right="160"/>
              <w:rPr>
                <w:sz w:val="21"/>
              </w:rPr>
            </w:pPr>
            <w:r>
              <w:rPr>
                <w:sz w:val="21"/>
              </w:rPr>
              <w:t>1.5</w:t>
            </w:r>
          </w:p>
        </w:tc>
        <w:tc>
          <w:tcPr>
            <w:tcW w:w="676" w:type="dxa"/>
            <w:tcBorders>
              <w:top w:val="single" w:sz="4" w:space="0" w:color="000000"/>
              <w:left w:val="single" w:sz="4" w:space="0" w:color="000000"/>
              <w:right w:val="single" w:sz="4" w:space="0" w:color="000000"/>
            </w:tcBorders>
          </w:tcPr>
          <w:p>
            <w:pPr>
              <w:pStyle w:val="TableParagraph"/>
              <w:spacing w:before="36"/>
              <w:ind w:left="194" w:right="159"/>
              <w:rPr>
                <w:sz w:val="21"/>
              </w:rPr>
            </w:pPr>
            <w:r>
              <w:rPr>
                <w:sz w:val="21"/>
              </w:rPr>
              <w:t>1.5</w:t>
            </w:r>
          </w:p>
        </w:tc>
        <w:tc>
          <w:tcPr>
            <w:tcW w:w="676" w:type="dxa"/>
            <w:tcBorders>
              <w:top w:val="single" w:sz="4" w:space="0" w:color="000000"/>
              <w:left w:val="single" w:sz="4" w:space="0" w:color="000000"/>
              <w:right w:val="single" w:sz="4" w:space="0" w:color="000000"/>
            </w:tcBorders>
          </w:tcPr>
          <w:p>
            <w:pPr>
              <w:pStyle w:val="TableParagraph"/>
              <w:spacing w:before="36"/>
              <w:ind w:left="194" w:right="156"/>
              <w:rPr>
                <w:sz w:val="21"/>
              </w:rPr>
            </w:pPr>
            <w:r>
              <w:rPr>
                <w:sz w:val="21"/>
              </w:rPr>
              <w:t>1.5</w:t>
            </w:r>
          </w:p>
        </w:tc>
        <w:tc>
          <w:tcPr>
            <w:tcW w:w="676" w:type="dxa"/>
            <w:tcBorders>
              <w:top w:val="single" w:sz="4" w:space="0" w:color="000000"/>
              <w:left w:val="single" w:sz="4" w:space="0" w:color="000000"/>
              <w:right w:val="single" w:sz="4" w:space="0" w:color="000000"/>
            </w:tcBorders>
          </w:tcPr>
          <w:p>
            <w:pPr>
              <w:pStyle w:val="TableParagraph"/>
              <w:spacing w:before="36"/>
              <w:ind w:left="194" w:right="155"/>
              <w:rPr>
                <w:sz w:val="21"/>
              </w:rPr>
            </w:pPr>
            <w:r>
              <w:rPr>
                <w:sz w:val="21"/>
              </w:rPr>
              <w:t>1.5</w:t>
            </w:r>
          </w:p>
        </w:tc>
        <w:tc>
          <w:tcPr>
            <w:tcW w:w="677" w:type="dxa"/>
            <w:tcBorders>
              <w:top w:val="single" w:sz="4" w:space="0" w:color="000000"/>
              <w:left w:val="single" w:sz="4" w:space="0" w:color="000000"/>
              <w:right w:val="single" w:sz="4" w:space="0" w:color="000000"/>
            </w:tcBorders>
          </w:tcPr>
          <w:p>
            <w:pPr>
              <w:pStyle w:val="TableParagraph"/>
              <w:spacing w:before="36"/>
              <w:ind w:left="193" w:right="153"/>
              <w:rPr>
                <w:sz w:val="21"/>
              </w:rPr>
            </w:pPr>
            <w:r>
              <w:rPr>
                <w:sz w:val="21"/>
              </w:rPr>
              <w:t>1.5</w:t>
            </w:r>
          </w:p>
        </w:tc>
        <w:tc>
          <w:tcPr>
            <w:tcW w:w="676" w:type="dxa"/>
            <w:tcBorders>
              <w:top w:val="single" w:sz="4" w:space="0" w:color="000000"/>
              <w:left w:val="single" w:sz="4" w:space="0" w:color="000000"/>
              <w:right w:val="single" w:sz="4" w:space="0" w:color="000000"/>
            </w:tcBorders>
          </w:tcPr>
          <w:p>
            <w:pPr>
              <w:pStyle w:val="TableParagraph"/>
              <w:spacing w:before="36"/>
              <w:ind w:left="194" w:right="152"/>
              <w:rPr>
                <w:sz w:val="21"/>
              </w:rPr>
            </w:pPr>
            <w:r>
              <w:rPr>
                <w:sz w:val="21"/>
              </w:rPr>
              <w:t>1.4</w:t>
            </w:r>
          </w:p>
        </w:tc>
        <w:tc>
          <w:tcPr>
            <w:tcW w:w="676" w:type="dxa"/>
            <w:tcBorders>
              <w:top w:val="single" w:sz="4" w:space="0" w:color="000000"/>
              <w:left w:val="single" w:sz="4" w:space="0" w:color="000000"/>
              <w:right w:val="single" w:sz="4" w:space="0" w:color="000000"/>
            </w:tcBorders>
          </w:tcPr>
          <w:p>
            <w:pPr>
              <w:pStyle w:val="TableParagraph"/>
              <w:spacing w:before="36"/>
              <w:ind w:left="222"/>
              <w:jc w:val="left"/>
              <w:rPr>
                <w:sz w:val="21"/>
              </w:rPr>
            </w:pPr>
            <w:r>
              <w:rPr>
                <w:sz w:val="21"/>
              </w:rPr>
              <w:t>1.4</w:t>
            </w:r>
          </w:p>
        </w:tc>
        <w:tc>
          <w:tcPr>
            <w:tcW w:w="678" w:type="dxa"/>
            <w:tcBorders>
              <w:top w:val="single" w:sz="4" w:space="0" w:color="000000"/>
              <w:left w:val="single" w:sz="4" w:space="0" w:color="000000"/>
              <w:right w:val="single" w:sz="4" w:space="0" w:color="000000"/>
            </w:tcBorders>
          </w:tcPr>
          <w:p>
            <w:pPr>
              <w:pStyle w:val="TableParagraph"/>
              <w:spacing w:before="36"/>
              <w:ind w:left="223"/>
              <w:jc w:val="left"/>
              <w:rPr>
                <w:sz w:val="21"/>
              </w:rPr>
            </w:pPr>
            <w:r>
              <w:rPr>
                <w:sz w:val="21"/>
              </w:rPr>
              <w:t>1.2</w:t>
            </w:r>
          </w:p>
        </w:tc>
        <w:tc>
          <w:tcPr>
            <w:tcW w:w="700" w:type="dxa"/>
            <w:tcBorders>
              <w:top w:val="single" w:sz="4" w:space="0" w:color="000000"/>
              <w:left w:val="single" w:sz="4" w:space="0" w:color="000000"/>
            </w:tcBorders>
          </w:tcPr>
          <w:p>
            <w:pPr>
              <w:pStyle w:val="TableParagraph"/>
              <w:spacing w:before="36"/>
              <w:ind w:left="232"/>
              <w:jc w:val="left"/>
              <w:rPr>
                <w:sz w:val="21"/>
              </w:rPr>
            </w:pPr>
            <w:r>
              <w:rPr>
                <w:sz w:val="21"/>
              </w:rPr>
              <w:t>1.2</w:t>
            </w:r>
          </w:p>
        </w:tc>
      </w:tr>
    </w:tbl>
    <w:p>
      <w:pPr>
        <w:spacing w:after="0"/>
        <w:jc w:val="left"/>
        <w:rPr>
          <w:sz w:val="21"/>
        </w:rPr>
        <w:sectPr>
          <w:pgSz w:w="11910" w:h="16840"/>
          <w:pgMar w:header="874" w:footer="1004" w:top="1420" w:bottom="1200" w:left="1040" w:right="1160"/>
        </w:sectPr>
      </w:pPr>
    </w:p>
    <w:tbl>
      <w:tblPr>
        <w:tblW w:w="0" w:type="auto"/>
        <w:jc w:val="left"/>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
        <w:gridCol w:w="989"/>
        <w:gridCol w:w="677"/>
        <w:gridCol w:w="678"/>
        <w:gridCol w:w="677"/>
        <w:gridCol w:w="677"/>
        <w:gridCol w:w="677"/>
        <w:gridCol w:w="677"/>
        <w:gridCol w:w="677"/>
        <w:gridCol w:w="678"/>
        <w:gridCol w:w="677"/>
        <w:gridCol w:w="677"/>
        <w:gridCol w:w="679"/>
        <w:gridCol w:w="567"/>
        <w:gridCol w:w="134"/>
      </w:tblGrid>
      <w:tr>
        <w:trPr>
          <w:trHeight w:val="623" w:hRule="atLeast"/>
        </w:trPr>
        <w:tc>
          <w:tcPr>
            <w:tcW w:w="1094" w:type="dxa"/>
            <w:gridSpan w:val="2"/>
            <w:tcBorders>
              <w:left w:val="single" w:sz="12" w:space="0" w:color="000000"/>
            </w:tcBorders>
          </w:tcPr>
          <w:p>
            <w:pPr>
              <w:pStyle w:val="TableParagraph"/>
              <w:spacing w:before="25"/>
              <w:ind w:left="664" w:right="-15"/>
              <w:jc w:val="left"/>
              <w:rPr>
                <w:rFonts w:ascii="宋体" w:eastAsia="宋体" w:hint="eastAsia"/>
                <w:b/>
                <w:sz w:val="21"/>
              </w:rPr>
            </w:pPr>
            <w:r>
              <w:rPr>
                <w:rFonts w:ascii="宋体" w:eastAsia="宋体" w:hint="eastAsia"/>
                <w:b/>
                <w:spacing w:val="-9"/>
                <w:sz w:val="21"/>
              </w:rPr>
              <w:t>小时</w:t>
            </w:r>
          </w:p>
          <w:p>
            <w:pPr>
              <w:pStyle w:val="TableParagraph"/>
              <w:spacing w:before="40"/>
              <w:ind w:left="13"/>
              <w:jc w:val="left"/>
              <w:rPr>
                <w:rFonts w:ascii="宋体" w:eastAsia="宋体" w:hint="eastAsia"/>
                <w:b/>
                <w:sz w:val="21"/>
              </w:rPr>
            </w:pPr>
            <w:r>
              <w:rPr>
                <w:rFonts w:ascii="宋体" w:eastAsia="宋体" w:hint="eastAsia"/>
                <w:b/>
                <w:sz w:val="21"/>
              </w:rPr>
              <w:t>风速</w:t>
            </w:r>
          </w:p>
        </w:tc>
        <w:tc>
          <w:tcPr>
            <w:tcW w:w="677" w:type="dxa"/>
            <w:tcBorders>
              <w:top w:val="single" w:sz="12" w:space="0" w:color="000000"/>
            </w:tcBorders>
          </w:tcPr>
          <w:p>
            <w:pPr>
              <w:pStyle w:val="TableParagraph"/>
              <w:spacing w:before="192"/>
              <w:ind w:left="186" w:right="162"/>
              <w:rPr>
                <w:b/>
                <w:sz w:val="21"/>
              </w:rPr>
            </w:pPr>
            <w:r>
              <w:rPr>
                <w:b/>
                <w:sz w:val="21"/>
              </w:rPr>
              <w:t>13</w:t>
            </w:r>
          </w:p>
        </w:tc>
        <w:tc>
          <w:tcPr>
            <w:tcW w:w="678" w:type="dxa"/>
            <w:tcBorders>
              <w:top w:val="single" w:sz="12" w:space="0" w:color="000000"/>
            </w:tcBorders>
          </w:tcPr>
          <w:p>
            <w:pPr>
              <w:pStyle w:val="TableParagraph"/>
              <w:spacing w:before="192"/>
              <w:ind w:left="240"/>
              <w:jc w:val="left"/>
              <w:rPr>
                <w:b/>
                <w:sz w:val="21"/>
              </w:rPr>
            </w:pPr>
            <w:r>
              <w:rPr>
                <w:b/>
                <w:sz w:val="21"/>
              </w:rPr>
              <w:t>14</w:t>
            </w:r>
          </w:p>
        </w:tc>
        <w:tc>
          <w:tcPr>
            <w:tcW w:w="677" w:type="dxa"/>
            <w:tcBorders>
              <w:top w:val="single" w:sz="12" w:space="0" w:color="000000"/>
            </w:tcBorders>
          </w:tcPr>
          <w:p>
            <w:pPr>
              <w:pStyle w:val="TableParagraph"/>
              <w:spacing w:before="192"/>
              <w:ind w:left="184" w:right="162"/>
              <w:rPr>
                <w:b/>
                <w:sz w:val="21"/>
              </w:rPr>
            </w:pPr>
            <w:r>
              <w:rPr>
                <w:b/>
                <w:sz w:val="21"/>
              </w:rPr>
              <w:t>15</w:t>
            </w:r>
          </w:p>
        </w:tc>
        <w:tc>
          <w:tcPr>
            <w:tcW w:w="677" w:type="dxa"/>
            <w:tcBorders>
              <w:top w:val="single" w:sz="12" w:space="0" w:color="000000"/>
            </w:tcBorders>
          </w:tcPr>
          <w:p>
            <w:pPr>
              <w:pStyle w:val="TableParagraph"/>
              <w:spacing w:before="192"/>
              <w:ind w:left="241"/>
              <w:jc w:val="left"/>
              <w:rPr>
                <w:b/>
                <w:sz w:val="21"/>
              </w:rPr>
            </w:pPr>
            <w:r>
              <w:rPr>
                <w:b/>
                <w:sz w:val="21"/>
              </w:rPr>
              <w:t>16</w:t>
            </w:r>
          </w:p>
        </w:tc>
        <w:tc>
          <w:tcPr>
            <w:tcW w:w="677" w:type="dxa"/>
            <w:tcBorders>
              <w:top w:val="single" w:sz="12" w:space="0" w:color="000000"/>
            </w:tcBorders>
          </w:tcPr>
          <w:p>
            <w:pPr>
              <w:pStyle w:val="TableParagraph"/>
              <w:spacing w:before="192"/>
              <w:ind w:left="188" w:right="162"/>
              <w:rPr>
                <w:b/>
                <w:sz w:val="21"/>
              </w:rPr>
            </w:pPr>
            <w:r>
              <w:rPr>
                <w:b/>
                <w:sz w:val="21"/>
              </w:rPr>
              <w:t>17</w:t>
            </w:r>
          </w:p>
        </w:tc>
        <w:tc>
          <w:tcPr>
            <w:tcW w:w="677" w:type="dxa"/>
            <w:tcBorders>
              <w:top w:val="single" w:sz="12" w:space="0" w:color="000000"/>
            </w:tcBorders>
          </w:tcPr>
          <w:p>
            <w:pPr>
              <w:pStyle w:val="TableParagraph"/>
              <w:spacing w:before="192"/>
              <w:ind w:left="241"/>
              <w:jc w:val="left"/>
              <w:rPr>
                <w:b/>
                <w:sz w:val="21"/>
              </w:rPr>
            </w:pPr>
            <w:r>
              <w:rPr>
                <w:b/>
                <w:sz w:val="21"/>
              </w:rPr>
              <w:t>18</w:t>
            </w:r>
          </w:p>
        </w:tc>
        <w:tc>
          <w:tcPr>
            <w:tcW w:w="677" w:type="dxa"/>
            <w:tcBorders>
              <w:top w:val="single" w:sz="12" w:space="0" w:color="000000"/>
            </w:tcBorders>
          </w:tcPr>
          <w:p>
            <w:pPr>
              <w:pStyle w:val="TableParagraph"/>
              <w:spacing w:before="192"/>
              <w:ind w:left="188" w:right="162"/>
              <w:rPr>
                <w:b/>
                <w:sz w:val="21"/>
              </w:rPr>
            </w:pPr>
            <w:r>
              <w:rPr>
                <w:b/>
                <w:sz w:val="21"/>
              </w:rPr>
              <w:t>19</w:t>
            </w:r>
          </w:p>
        </w:tc>
        <w:tc>
          <w:tcPr>
            <w:tcW w:w="678" w:type="dxa"/>
            <w:tcBorders>
              <w:top w:val="single" w:sz="12" w:space="0" w:color="000000"/>
            </w:tcBorders>
          </w:tcPr>
          <w:p>
            <w:pPr>
              <w:pStyle w:val="TableParagraph"/>
              <w:spacing w:before="192"/>
              <w:ind w:left="241"/>
              <w:jc w:val="left"/>
              <w:rPr>
                <w:b/>
                <w:sz w:val="21"/>
              </w:rPr>
            </w:pPr>
            <w:r>
              <w:rPr>
                <w:b/>
                <w:sz w:val="21"/>
              </w:rPr>
              <w:t>20</w:t>
            </w:r>
          </w:p>
        </w:tc>
        <w:tc>
          <w:tcPr>
            <w:tcW w:w="677" w:type="dxa"/>
            <w:tcBorders>
              <w:top w:val="single" w:sz="12" w:space="0" w:color="000000"/>
            </w:tcBorders>
          </w:tcPr>
          <w:p>
            <w:pPr>
              <w:pStyle w:val="TableParagraph"/>
              <w:spacing w:before="192"/>
              <w:ind w:left="187" w:right="162"/>
              <w:rPr>
                <w:b/>
                <w:sz w:val="21"/>
              </w:rPr>
            </w:pPr>
            <w:r>
              <w:rPr>
                <w:b/>
                <w:sz w:val="21"/>
              </w:rPr>
              <w:t>21</w:t>
            </w:r>
          </w:p>
        </w:tc>
        <w:tc>
          <w:tcPr>
            <w:tcW w:w="677" w:type="dxa"/>
            <w:tcBorders>
              <w:top w:val="single" w:sz="12" w:space="0" w:color="000000"/>
            </w:tcBorders>
          </w:tcPr>
          <w:p>
            <w:pPr>
              <w:pStyle w:val="TableParagraph"/>
              <w:spacing w:before="192"/>
              <w:ind w:left="240"/>
              <w:jc w:val="left"/>
              <w:rPr>
                <w:b/>
                <w:sz w:val="21"/>
              </w:rPr>
            </w:pPr>
            <w:r>
              <w:rPr>
                <w:b/>
                <w:sz w:val="21"/>
              </w:rPr>
              <w:t>22</w:t>
            </w:r>
          </w:p>
        </w:tc>
        <w:tc>
          <w:tcPr>
            <w:tcW w:w="679" w:type="dxa"/>
            <w:tcBorders>
              <w:top w:val="single" w:sz="12" w:space="0" w:color="000000"/>
            </w:tcBorders>
          </w:tcPr>
          <w:p>
            <w:pPr>
              <w:pStyle w:val="TableParagraph"/>
              <w:spacing w:before="192"/>
              <w:ind w:left="194" w:right="172"/>
              <w:rPr>
                <w:b/>
                <w:sz w:val="21"/>
              </w:rPr>
            </w:pPr>
            <w:r>
              <w:rPr>
                <w:b/>
                <w:sz w:val="21"/>
              </w:rPr>
              <w:t>23</w:t>
            </w:r>
          </w:p>
        </w:tc>
        <w:tc>
          <w:tcPr>
            <w:tcW w:w="701" w:type="dxa"/>
            <w:gridSpan w:val="2"/>
            <w:tcBorders>
              <w:top w:val="single" w:sz="12" w:space="0" w:color="000000"/>
              <w:right w:val="single" w:sz="12" w:space="0" w:color="000000"/>
            </w:tcBorders>
          </w:tcPr>
          <w:p>
            <w:pPr>
              <w:pStyle w:val="TableParagraph"/>
              <w:spacing w:before="192"/>
              <w:ind w:left="245"/>
              <w:jc w:val="left"/>
              <w:rPr>
                <w:b/>
                <w:sz w:val="21"/>
              </w:rPr>
            </w:pPr>
            <w:r>
              <w:rPr>
                <w:b/>
                <w:sz w:val="21"/>
              </w:rPr>
              <w:t>24</w:t>
            </w:r>
          </w:p>
        </w:tc>
      </w:tr>
      <w:tr>
        <w:trPr>
          <w:trHeight w:val="313" w:hRule="atLeast"/>
        </w:trPr>
        <w:tc>
          <w:tcPr>
            <w:tcW w:w="1094" w:type="dxa"/>
            <w:gridSpan w:val="2"/>
            <w:tcBorders>
              <w:left w:val="single" w:sz="12" w:space="0" w:color="000000"/>
            </w:tcBorders>
          </w:tcPr>
          <w:p>
            <w:pPr>
              <w:pStyle w:val="TableParagraph"/>
              <w:spacing w:before="25"/>
              <w:ind w:left="340"/>
              <w:jc w:val="left"/>
              <w:rPr>
                <w:rFonts w:ascii="宋体" w:eastAsia="宋体" w:hint="eastAsia"/>
                <w:sz w:val="21"/>
              </w:rPr>
            </w:pPr>
            <w:r>
              <w:rPr>
                <w:rFonts w:ascii="宋体" w:eastAsia="宋体" w:hint="eastAsia"/>
                <w:sz w:val="21"/>
              </w:rPr>
              <w:t>春季</w:t>
            </w:r>
          </w:p>
        </w:tc>
        <w:tc>
          <w:tcPr>
            <w:tcW w:w="677" w:type="dxa"/>
          </w:tcPr>
          <w:p>
            <w:pPr>
              <w:pStyle w:val="TableParagraph"/>
              <w:spacing w:before="39"/>
              <w:ind w:left="186" w:right="162"/>
              <w:rPr>
                <w:sz w:val="21"/>
              </w:rPr>
            </w:pPr>
            <w:r>
              <w:rPr>
                <w:sz w:val="21"/>
              </w:rPr>
              <w:t>1.3</w:t>
            </w:r>
          </w:p>
        </w:tc>
        <w:tc>
          <w:tcPr>
            <w:tcW w:w="678" w:type="dxa"/>
          </w:tcPr>
          <w:p>
            <w:pPr>
              <w:pStyle w:val="TableParagraph"/>
              <w:spacing w:before="39"/>
              <w:ind w:left="213"/>
              <w:jc w:val="left"/>
              <w:rPr>
                <w:sz w:val="21"/>
              </w:rPr>
            </w:pPr>
            <w:r>
              <w:rPr>
                <w:sz w:val="21"/>
              </w:rPr>
              <w:t>1.2</w:t>
            </w:r>
          </w:p>
        </w:tc>
        <w:tc>
          <w:tcPr>
            <w:tcW w:w="677" w:type="dxa"/>
          </w:tcPr>
          <w:p>
            <w:pPr>
              <w:pStyle w:val="TableParagraph"/>
              <w:spacing w:before="39"/>
              <w:ind w:left="184" w:right="162"/>
              <w:rPr>
                <w:sz w:val="21"/>
              </w:rPr>
            </w:pPr>
            <w:r>
              <w:rPr>
                <w:sz w:val="21"/>
              </w:rPr>
              <w:t>1.3</w:t>
            </w:r>
          </w:p>
        </w:tc>
        <w:tc>
          <w:tcPr>
            <w:tcW w:w="677" w:type="dxa"/>
          </w:tcPr>
          <w:p>
            <w:pPr>
              <w:pStyle w:val="TableParagraph"/>
              <w:spacing w:before="39"/>
              <w:ind w:left="215"/>
              <w:jc w:val="left"/>
              <w:rPr>
                <w:sz w:val="21"/>
              </w:rPr>
            </w:pPr>
            <w:r>
              <w:rPr>
                <w:sz w:val="21"/>
              </w:rPr>
              <w:t>1.2</w:t>
            </w:r>
          </w:p>
        </w:tc>
        <w:tc>
          <w:tcPr>
            <w:tcW w:w="677" w:type="dxa"/>
          </w:tcPr>
          <w:p>
            <w:pPr>
              <w:pStyle w:val="TableParagraph"/>
              <w:spacing w:before="39"/>
              <w:ind w:left="188" w:right="162"/>
              <w:rPr>
                <w:sz w:val="21"/>
              </w:rPr>
            </w:pPr>
            <w:r>
              <w:rPr>
                <w:sz w:val="21"/>
              </w:rPr>
              <w:t>1.2</w:t>
            </w:r>
          </w:p>
        </w:tc>
        <w:tc>
          <w:tcPr>
            <w:tcW w:w="677" w:type="dxa"/>
          </w:tcPr>
          <w:p>
            <w:pPr>
              <w:pStyle w:val="TableParagraph"/>
              <w:spacing w:before="39"/>
              <w:ind w:left="215"/>
              <w:jc w:val="left"/>
              <w:rPr>
                <w:sz w:val="21"/>
              </w:rPr>
            </w:pPr>
            <w:r>
              <w:rPr>
                <w:sz w:val="21"/>
              </w:rPr>
              <w:t>1.2</w:t>
            </w:r>
          </w:p>
        </w:tc>
        <w:tc>
          <w:tcPr>
            <w:tcW w:w="677" w:type="dxa"/>
          </w:tcPr>
          <w:p>
            <w:pPr>
              <w:pStyle w:val="TableParagraph"/>
              <w:spacing w:before="39"/>
              <w:ind w:left="188" w:right="162"/>
              <w:rPr>
                <w:sz w:val="21"/>
              </w:rPr>
            </w:pPr>
            <w:r>
              <w:rPr>
                <w:sz w:val="21"/>
              </w:rPr>
              <w:t>1.1</w:t>
            </w:r>
          </w:p>
        </w:tc>
        <w:tc>
          <w:tcPr>
            <w:tcW w:w="678" w:type="dxa"/>
          </w:tcPr>
          <w:p>
            <w:pPr>
              <w:pStyle w:val="TableParagraph"/>
              <w:spacing w:before="39"/>
              <w:ind w:left="214"/>
              <w:jc w:val="left"/>
              <w:rPr>
                <w:sz w:val="21"/>
              </w:rPr>
            </w:pPr>
            <w:r>
              <w:rPr>
                <w:sz w:val="21"/>
              </w:rPr>
              <w:t>1.0</w:t>
            </w:r>
          </w:p>
        </w:tc>
        <w:tc>
          <w:tcPr>
            <w:tcW w:w="677" w:type="dxa"/>
          </w:tcPr>
          <w:p>
            <w:pPr>
              <w:pStyle w:val="TableParagraph"/>
              <w:spacing w:before="39"/>
              <w:ind w:left="187" w:right="162"/>
              <w:rPr>
                <w:sz w:val="21"/>
              </w:rPr>
            </w:pPr>
            <w:r>
              <w:rPr>
                <w:sz w:val="21"/>
              </w:rPr>
              <w:t>1.1</w:t>
            </w:r>
          </w:p>
        </w:tc>
        <w:tc>
          <w:tcPr>
            <w:tcW w:w="677" w:type="dxa"/>
          </w:tcPr>
          <w:p>
            <w:pPr>
              <w:pStyle w:val="TableParagraph"/>
              <w:spacing w:before="39"/>
              <w:ind w:left="213"/>
              <w:jc w:val="left"/>
              <w:rPr>
                <w:sz w:val="21"/>
              </w:rPr>
            </w:pPr>
            <w:r>
              <w:rPr>
                <w:sz w:val="21"/>
              </w:rPr>
              <w:t>1.1</w:t>
            </w:r>
          </w:p>
        </w:tc>
        <w:tc>
          <w:tcPr>
            <w:tcW w:w="679" w:type="dxa"/>
          </w:tcPr>
          <w:p>
            <w:pPr>
              <w:pStyle w:val="TableParagraph"/>
              <w:spacing w:before="39"/>
              <w:ind w:left="194" w:right="172"/>
              <w:rPr>
                <w:sz w:val="21"/>
              </w:rPr>
            </w:pPr>
            <w:r>
              <w:rPr>
                <w:sz w:val="21"/>
              </w:rPr>
              <w:t>1.2</w:t>
            </w:r>
          </w:p>
        </w:tc>
        <w:tc>
          <w:tcPr>
            <w:tcW w:w="701" w:type="dxa"/>
            <w:gridSpan w:val="2"/>
            <w:tcBorders>
              <w:right w:val="single" w:sz="12" w:space="0" w:color="000000"/>
            </w:tcBorders>
          </w:tcPr>
          <w:p>
            <w:pPr>
              <w:pStyle w:val="TableParagraph"/>
              <w:spacing w:before="39"/>
              <w:ind w:left="221"/>
              <w:jc w:val="left"/>
              <w:rPr>
                <w:sz w:val="21"/>
              </w:rPr>
            </w:pPr>
            <w:r>
              <w:rPr>
                <w:sz w:val="21"/>
              </w:rPr>
              <w:t>1.4</w:t>
            </w:r>
          </w:p>
        </w:tc>
      </w:tr>
      <w:tr>
        <w:trPr>
          <w:trHeight w:val="311" w:hRule="atLeast"/>
        </w:trPr>
        <w:tc>
          <w:tcPr>
            <w:tcW w:w="1094" w:type="dxa"/>
            <w:gridSpan w:val="2"/>
            <w:tcBorders>
              <w:left w:val="single" w:sz="12" w:space="0" w:color="000000"/>
            </w:tcBorders>
          </w:tcPr>
          <w:p>
            <w:pPr>
              <w:pStyle w:val="TableParagraph"/>
              <w:spacing w:before="22"/>
              <w:ind w:left="340"/>
              <w:jc w:val="left"/>
              <w:rPr>
                <w:rFonts w:ascii="宋体" w:eastAsia="宋体" w:hint="eastAsia"/>
                <w:sz w:val="21"/>
              </w:rPr>
            </w:pPr>
            <w:r>
              <w:rPr>
                <w:rFonts w:ascii="宋体" w:eastAsia="宋体" w:hint="eastAsia"/>
                <w:sz w:val="21"/>
              </w:rPr>
              <w:t>夏季</w:t>
            </w:r>
          </w:p>
        </w:tc>
        <w:tc>
          <w:tcPr>
            <w:tcW w:w="677" w:type="dxa"/>
          </w:tcPr>
          <w:p>
            <w:pPr>
              <w:pStyle w:val="TableParagraph"/>
              <w:spacing w:before="36"/>
              <w:ind w:left="186" w:right="162"/>
              <w:rPr>
                <w:sz w:val="21"/>
              </w:rPr>
            </w:pPr>
            <w:r>
              <w:rPr>
                <w:sz w:val="21"/>
              </w:rPr>
              <w:t>1.5</w:t>
            </w:r>
          </w:p>
        </w:tc>
        <w:tc>
          <w:tcPr>
            <w:tcW w:w="678" w:type="dxa"/>
          </w:tcPr>
          <w:p>
            <w:pPr>
              <w:pStyle w:val="TableParagraph"/>
              <w:spacing w:before="36"/>
              <w:ind w:left="213"/>
              <w:jc w:val="left"/>
              <w:rPr>
                <w:sz w:val="21"/>
              </w:rPr>
            </w:pPr>
            <w:r>
              <w:rPr>
                <w:sz w:val="21"/>
              </w:rPr>
              <w:t>1.5</w:t>
            </w:r>
          </w:p>
        </w:tc>
        <w:tc>
          <w:tcPr>
            <w:tcW w:w="677" w:type="dxa"/>
          </w:tcPr>
          <w:p>
            <w:pPr>
              <w:pStyle w:val="TableParagraph"/>
              <w:spacing w:before="36"/>
              <w:ind w:left="184" w:right="162"/>
              <w:rPr>
                <w:sz w:val="21"/>
              </w:rPr>
            </w:pPr>
            <w:r>
              <w:rPr>
                <w:sz w:val="21"/>
              </w:rPr>
              <w:t>1.3</w:t>
            </w:r>
          </w:p>
        </w:tc>
        <w:tc>
          <w:tcPr>
            <w:tcW w:w="677" w:type="dxa"/>
          </w:tcPr>
          <w:p>
            <w:pPr>
              <w:pStyle w:val="TableParagraph"/>
              <w:spacing w:before="36"/>
              <w:ind w:left="215"/>
              <w:jc w:val="left"/>
              <w:rPr>
                <w:sz w:val="21"/>
              </w:rPr>
            </w:pPr>
            <w:r>
              <w:rPr>
                <w:sz w:val="21"/>
              </w:rPr>
              <w:t>1.3</w:t>
            </w:r>
          </w:p>
        </w:tc>
        <w:tc>
          <w:tcPr>
            <w:tcW w:w="677" w:type="dxa"/>
          </w:tcPr>
          <w:p>
            <w:pPr>
              <w:pStyle w:val="TableParagraph"/>
              <w:spacing w:before="36"/>
              <w:ind w:left="188" w:right="162"/>
              <w:rPr>
                <w:sz w:val="21"/>
              </w:rPr>
            </w:pPr>
            <w:r>
              <w:rPr>
                <w:sz w:val="21"/>
              </w:rPr>
              <w:t>1.4</w:t>
            </w:r>
          </w:p>
        </w:tc>
        <w:tc>
          <w:tcPr>
            <w:tcW w:w="677" w:type="dxa"/>
          </w:tcPr>
          <w:p>
            <w:pPr>
              <w:pStyle w:val="TableParagraph"/>
              <w:spacing w:before="36"/>
              <w:ind w:left="215"/>
              <w:jc w:val="left"/>
              <w:rPr>
                <w:sz w:val="21"/>
              </w:rPr>
            </w:pPr>
            <w:r>
              <w:rPr>
                <w:sz w:val="21"/>
              </w:rPr>
              <w:t>1.2</w:t>
            </w:r>
          </w:p>
        </w:tc>
        <w:tc>
          <w:tcPr>
            <w:tcW w:w="677" w:type="dxa"/>
          </w:tcPr>
          <w:p>
            <w:pPr>
              <w:pStyle w:val="TableParagraph"/>
              <w:spacing w:before="36"/>
              <w:ind w:left="188" w:right="162"/>
              <w:rPr>
                <w:sz w:val="21"/>
              </w:rPr>
            </w:pPr>
            <w:r>
              <w:rPr>
                <w:sz w:val="21"/>
              </w:rPr>
              <w:t>1.3</w:t>
            </w:r>
          </w:p>
        </w:tc>
        <w:tc>
          <w:tcPr>
            <w:tcW w:w="678" w:type="dxa"/>
          </w:tcPr>
          <w:p>
            <w:pPr>
              <w:pStyle w:val="TableParagraph"/>
              <w:spacing w:before="36"/>
              <w:ind w:left="214"/>
              <w:jc w:val="left"/>
              <w:rPr>
                <w:sz w:val="21"/>
              </w:rPr>
            </w:pPr>
            <w:r>
              <w:rPr>
                <w:sz w:val="21"/>
              </w:rPr>
              <w:t>1.1</w:t>
            </w:r>
          </w:p>
        </w:tc>
        <w:tc>
          <w:tcPr>
            <w:tcW w:w="677" w:type="dxa"/>
          </w:tcPr>
          <w:p>
            <w:pPr>
              <w:pStyle w:val="TableParagraph"/>
              <w:spacing w:before="36"/>
              <w:ind w:left="187" w:right="162"/>
              <w:rPr>
                <w:sz w:val="21"/>
              </w:rPr>
            </w:pPr>
            <w:r>
              <w:rPr>
                <w:sz w:val="21"/>
              </w:rPr>
              <w:t>1.2</w:t>
            </w:r>
          </w:p>
        </w:tc>
        <w:tc>
          <w:tcPr>
            <w:tcW w:w="677" w:type="dxa"/>
          </w:tcPr>
          <w:p>
            <w:pPr>
              <w:pStyle w:val="TableParagraph"/>
              <w:spacing w:before="36"/>
              <w:ind w:left="213"/>
              <w:jc w:val="left"/>
              <w:rPr>
                <w:sz w:val="21"/>
              </w:rPr>
            </w:pPr>
            <w:r>
              <w:rPr>
                <w:sz w:val="21"/>
              </w:rPr>
              <w:t>1.2</w:t>
            </w:r>
          </w:p>
        </w:tc>
        <w:tc>
          <w:tcPr>
            <w:tcW w:w="679" w:type="dxa"/>
          </w:tcPr>
          <w:p>
            <w:pPr>
              <w:pStyle w:val="TableParagraph"/>
              <w:spacing w:before="36"/>
              <w:ind w:left="194" w:right="172"/>
              <w:rPr>
                <w:sz w:val="21"/>
              </w:rPr>
            </w:pPr>
            <w:r>
              <w:rPr>
                <w:sz w:val="21"/>
              </w:rPr>
              <w:t>1.4</w:t>
            </w:r>
          </w:p>
        </w:tc>
        <w:tc>
          <w:tcPr>
            <w:tcW w:w="701" w:type="dxa"/>
            <w:gridSpan w:val="2"/>
            <w:tcBorders>
              <w:right w:val="single" w:sz="12" w:space="0" w:color="000000"/>
            </w:tcBorders>
          </w:tcPr>
          <w:p>
            <w:pPr>
              <w:pStyle w:val="TableParagraph"/>
              <w:spacing w:before="36"/>
              <w:ind w:left="221"/>
              <w:jc w:val="left"/>
              <w:rPr>
                <w:sz w:val="21"/>
              </w:rPr>
            </w:pPr>
            <w:r>
              <w:rPr>
                <w:sz w:val="21"/>
              </w:rPr>
              <w:t>1.7</w:t>
            </w:r>
          </w:p>
        </w:tc>
      </w:tr>
      <w:tr>
        <w:trPr>
          <w:trHeight w:val="311" w:hRule="atLeast"/>
        </w:trPr>
        <w:tc>
          <w:tcPr>
            <w:tcW w:w="1094" w:type="dxa"/>
            <w:gridSpan w:val="2"/>
            <w:tcBorders>
              <w:left w:val="single" w:sz="12" w:space="0" w:color="000000"/>
            </w:tcBorders>
          </w:tcPr>
          <w:p>
            <w:pPr>
              <w:pStyle w:val="TableParagraph"/>
              <w:spacing w:before="22"/>
              <w:ind w:left="340"/>
              <w:jc w:val="left"/>
              <w:rPr>
                <w:rFonts w:ascii="宋体" w:eastAsia="宋体" w:hint="eastAsia"/>
                <w:sz w:val="21"/>
              </w:rPr>
            </w:pPr>
            <w:r>
              <w:rPr>
                <w:rFonts w:ascii="宋体" w:eastAsia="宋体" w:hint="eastAsia"/>
                <w:sz w:val="21"/>
              </w:rPr>
              <w:t>秋季</w:t>
            </w:r>
          </w:p>
        </w:tc>
        <w:tc>
          <w:tcPr>
            <w:tcW w:w="677" w:type="dxa"/>
          </w:tcPr>
          <w:p>
            <w:pPr>
              <w:pStyle w:val="TableParagraph"/>
              <w:spacing w:before="36"/>
              <w:ind w:left="186" w:right="162"/>
              <w:rPr>
                <w:sz w:val="21"/>
              </w:rPr>
            </w:pPr>
            <w:r>
              <w:rPr>
                <w:sz w:val="21"/>
              </w:rPr>
              <w:t>1.1</w:t>
            </w:r>
          </w:p>
        </w:tc>
        <w:tc>
          <w:tcPr>
            <w:tcW w:w="678" w:type="dxa"/>
          </w:tcPr>
          <w:p>
            <w:pPr>
              <w:pStyle w:val="TableParagraph"/>
              <w:spacing w:before="36"/>
              <w:ind w:left="213"/>
              <w:jc w:val="left"/>
              <w:rPr>
                <w:sz w:val="21"/>
              </w:rPr>
            </w:pPr>
            <w:r>
              <w:rPr>
                <w:sz w:val="21"/>
              </w:rPr>
              <w:t>1.1</w:t>
            </w:r>
          </w:p>
        </w:tc>
        <w:tc>
          <w:tcPr>
            <w:tcW w:w="677" w:type="dxa"/>
          </w:tcPr>
          <w:p>
            <w:pPr>
              <w:pStyle w:val="TableParagraph"/>
              <w:spacing w:before="36"/>
              <w:ind w:left="184" w:right="162"/>
              <w:rPr>
                <w:sz w:val="21"/>
              </w:rPr>
            </w:pPr>
            <w:r>
              <w:rPr>
                <w:sz w:val="21"/>
              </w:rPr>
              <w:t>1.1</w:t>
            </w:r>
          </w:p>
        </w:tc>
        <w:tc>
          <w:tcPr>
            <w:tcW w:w="677" w:type="dxa"/>
          </w:tcPr>
          <w:p>
            <w:pPr>
              <w:pStyle w:val="TableParagraph"/>
              <w:spacing w:before="36"/>
              <w:ind w:left="215"/>
              <w:jc w:val="left"/>
              <w:rPr>
                <w:sz w:val="21"/>
              </w:rPr>
            </w:pPr>
            <w:r>
              <w:rPr>
                <w:sz w:val="21"/>
              </w:rPr>
              <w:t>1.1</w:t>
            </w:r>
          </w:p>
        </w:tc>
        <w:tc>
          <w:tcPr>
            <w:tcW w:w="677" w:type="dxa"/>
          </w:tcPr>
          <w:p>
            <w:pPr>
              <w:pStyle w:val="TableParagraph"/>
              <w:spacing w:before="36"/>
              <w:ind w:left="188" w:right="162"/>
              <w:rPr>
                <w:sz w:val="21"/>
              </w:rPr>
            </w:pPr>
            <w:r>
              <w:rPr>
                <w:sz w:val="21"/>
              </w:rPr>
              <w:t>0.9</w:t>
            </w:r>
          </w:p>
        </w:tc>
        <w:tc>
          <w:tcPr>
            <w:tcW w:w="677" w:type="dxa"/>
          </w:tcPr>
          <w:p>
            <w:pPr>
              <w:pStyle w:val="TableParagraph"/>
              <w:spacing w:before="36"/>
              <w:ind w:left="215"/>
              <w:jc w:val="left"/>
              <w:rPr>
                <w:sz w:val="21"/>
              </w:rPr>
            </w:pPr>
            <w:r>
              <w:rPr>
                <w:sz w:val="21"/>
              </w:rPr>
              <w:t>0.9</w:t>
            </w:r>
          </w:p>
        </w:tc>
        <w:tc>
          <w:tcPr>
            <w:tcW w:w="677" w:type="dxa"/>
          </w:tcPr>
          <w:p>
            <w:pPr>
              <w:pStyle w:val="TableParagraph"/>
              <w:spacing w:before="36"/>
              <w:ind w:left="188" w:right="162"/>
              <w:rPr>
                <w:sz w:val="21"/>
              </w:rPr>
            </w:pPr>
            <w:r>
              <w:rPr>
                <w:sz w:val="21"/>
              </w:rPr>
              <w:t>0.9</w:t>
            </w:r>
          </w:p>
        </w:tc>
        <w:tc>
          <w:tcPr>
            <w:tcW w:w="678" w:type="dxa"/>
          </w:tcPr>
          <w:p>
            <w:pPr>
              <w:pStyle w:val="TableParagraph"/>
              <w:spacing w:before="36"/>
              <w:ind w:left="214"/>
              <w:jc w:val="left"/>
              <w:rPr>
                <w:sz w:val="21"/>
              </w:rPr>
            </w:pPr>
            <w:r>
              <w:rPr>
                <w:sz w:val="21"/>
              </w:rPr>
              <w:t>0.9</w:t>
            </w:r>
          </w:p>
        </w:tc>
        <w:tc>
          <w:tcPr>
            <w:tcW w:w="677" w:type="dxa"/>
          </w:tcPr>
          <w:p>
            <w:pPr>
              <w:pStyle w:val="TableParagraph"/>
              <w:spacing w:before="36"/>
              <w:ind w:left="187" w:right="162"/>
              <w:rPr>
                <w:sz w:val="21"/>
              </w:rPr>
            </w:pPr>
            <w:r>
              <w:rPr>
                <w:sz w:val="21"/>
              </w:rPr>
              <w:t>0.9</w:t>
            </w:r>
          </w:p>
        </w:tc>
        <w:tc>
          <w:tcPr>
            <w:tcW w:w="677" w:type="dxa"/>
          </w:tcPr>
          <w:p>
            <w:pPr>
              <w:pStyle w:val="TableParagraph"/>
              <w:spacing w:before="36"/>
              <w:ind w:left="213"/>
              <w:jc w:val="left"/>
              <w:rPr>
                <w:sz w:val="21"/>
              </w:rPr>
            </w:pPr>
            <w:r>
              <w:rPr>
                <w:sz w:val="21"/>
              </w:rPr>
              <w:t>0.8</w:t>
            </w:r>
          </w:p>
        </w:tc>
        <w:tc>
          <w:tcPr>
            <w:tcW w:w="679" w:type="dxa"/>
          </w:tcPr>
          <w:p>
            <w:pPr>
              <w:pStyle w:val="TableParagraph"/>
              <w:spacing w:before="36"/>
              <w:ind w:left="194" w:right="172"/>
              <w:rPr>
                <w:sz w:val="21"/>
              </w:rPr>
            </w:pPr>
            <w:r>
              <w:rPr>
                <w:sz w:val="21"/>
              </w:rPr>
              <w:t>1.1</w:t>
            </w:r>
          </w:p>
        </w:tc>
        <w:tc>
          <w:tcPr>
            <w:tcW w:w="701" w:type="dxa"/>
            <w:gridSpan w:val="2"/>
            <w:tcBorders>
              <w:right w:val="single" w:sz="12" w:space="0" w:color="000000"/>
            </w:tcBorders>
          </w:tcPr>
          <w:p>
            <w:pPr>
              <w:pStyle w:val="TableParagraph"/>
              <w:spacing w:before="36"/>
              <w:ind w:left="221"/>
              <w:jc w:val="left"/>
              <w:rPr>
                <w:sz w:val="21"/>
              </w:rPr>
            </w:pPr>
            <w:r>
              <w:rPr>
                <w:sz w:val="21"/>
              </w:rPr>
              <w:t>1.2</w:t>
            </w:r>
          </w:p>
        </w:tc>
      </w:tr>
      <w:tr>
        <w:trPr>
          <w:trHeight w:val="311" w:hRule="atLeast"/>
        </w:trPr>
        <w:tc>
          <w:tcPr>
            <w:tcW w:w="1094" w:type="dxa"/>
            <w:gridSpan w:val="2"/>
            <w:tcBorders>
              <w:left w:val="single" w:sz="12" w:space="0" w:color="000000"/>
              <w:bottom w:val="thinThickMediumGap" w:sz="6" w:space="0" w:color="000000"/>
            </w:tcBorders>
          </w:tcPr>
          <w:p>
            <w:pPr>
              <w:pStyle w:val="TableParagraph"/>
              <w:spacing w:before="22"/>
              <w:ind w:left="340"/>
              <w:jc w:val="left"/>
              <w:rPr>
                <w:rFonts w:ascii="宋体" w:eastAsia="宋体" w:hint="eastAsia"/>
                <w:sz w:val="21"/>
              </w:rPr>
            </w:pPr>
            <w:r>
              <w:rPr>
                <w:rFonts w:ascii="宋体" w:eastAsia="宋体" w:hint="eastAsia"/>
                <w:sz w:val="21"/>
              </w:rPr>
              <w:t>冬季</w:t>
            </w:r>
          </w:p>
        </w:tc>
        <w:tc>
          <w:tcPr>
            <w:tcW w:w="677" w:type="dxa"/>
            <w:tcBorders>
              <w:bottom w:val="thinThickMediumGap" w:sz="6" w:space="0" w:color="000000"/>
            </w:tcBorders>
          </w:tcPr>
          <w:p>
            <w:pPr>
              <w:pStyle w:val="TableParagraph"/>
              <w:spacing w:before="36"/>
              <w:ind w:left="186" w:right="162"/>
              <w:rPr>
                <w:sz w:val="21"/>
              </w:rPr>
            </w:pPr>
            <w:r>
              <w:rPr>
                <w:sz w:val="21"/>
              </w:rPr>
              <w:t>1.0</w:t>
            </w:r>
          </w:p>
        </w:tc>
        <w:tc>
          <w:tcPr>
            <w:tcW w:w="678" w:type="dxa"/>
            <w:tcBorders>
              <w:bottom w:val="thinThickMediumGap" w:sz="6" w:space="0" w:color="000000"/>
            </w:tcBorders>
          </w:tcPr>
          <w:p>
            <w:pPr>
              <w:pStyle w:val="TableParagraph"/>
              <w:spacing w:before="36"/>
              <w:ind w:left="213"/>
              <w:jc w:val="left"/>
              <w:rPr>
                <w:sz w:val="21"/>
              </w:rPr>
            </w:pPr>
            <w:r>
              <w:rPr>
                <w:sz w:val="21"/>
              </w:rPr>
              <w:t>1.0</w:t>
            </w:r>
          </w:p>
        </w:tc>
        <w:tc>
          <w:tcPr>
            <w:tcW w:w="677" w:type="dxa"/>
            <w:tcBorders>
              <w:bottom w:val="thinThickMediumGap" w:sz="6" w:space="0" w:color="000000"/>
            </w:tcBorders>
          </w:tcPr>
          <w:p>
            <w:pPr>
              <w:pStyle w:val="TableParagraph"/>
              <w:spacing w:before="36"/>
              <w:ind w:left="184" w:right="162"/>
              <w:rPr>
                <w:sz w:val="21"/>
              </w:rPr>
            </w:pPr>
            <w:r>
              <w:rPr>
                <w:sz w:val="21"/>
              </w:rPr>
              <w:t>0.9</w:t>
            </w:r>
          </w:p>
        </w:tc>
        <w:tc>
          <w:tcPr>
            <w:tcW w:w="677" w:type="dxa"/>
            <w:tcBorders>
              <w:bottom w:val="thinThickMediumGap" w:sz="6" w:space="0" w:color="000000"/>
            </w:tcBorders>
          </w:tcPr>
          <w:p>
            <w:pPr>
              <w:pStyle w:val="TableParagraph"/>
              <w:spacing w:before="36"/>
              <w:ind w:left="215"/>
              <w:jc w:val="left"/>
              <w:rPr>
                <w:sz w:val="21"/>
              </w:rPr>
            </w:pPr>
            <w:r>
              <w:rPr>
                <w:sz w:val="21"/>
              </w:rPr>
              <w:t>1.0</w:t>
            </w:r>
          </w:p>
        </w:tc>
        <w:tc>
          <w:tcPr>
            <w:tcW w:w="677" w:type="dxa"/>
            <w:tcBorders>
              <w:bottom w:val="thinThickMediumGap" w:sz="6" w:space="0" w:color="000000"/>
            </w:tcBorders>
          </w:tcPr>
          <w:p>
            <w:pPr>
              <w:pStyle w:val="TableParagraph"/>
              <w:spacing w:before="36"/>
              <w:ind w:left="188" w:right="162"/>
              <w:rPr>
                <w:sz w:val="21"/>
              </w:rPr>
            </w:pPr>
            <w:r>
              <w:rPr>
                <w:sz w:val="21"/>
              </w:rPr>
              <w:t>0.9</w:t>
            </w:r>
          </w:p>
        </w:tc>
        <w:tc>
          <w:tcPr>
            <w:tcW w:w="677" w:type="dxa"/>
            <w:tcBorders>
              <w:bottom w:val="thinThickMediumGap" w:sz="6" w:space="0" w:color="000000"/>
            </w:tcBorders>
          </w:tcPr>
          <w:p>
            <w:pPr>
              <w:pStyle w:val="TableParagraph"/>
              <w:spacing w:before="36"/>
              <w:ind w:left="215"/>
              <w:jc w:val="left"/>
              <w:rPr>
                <w:sz w:val="21"/>
              </w:rPr>
            </w:pPr>
            <w:r>
              <w:rPr>
                <w:sz w:val="21"/>
              </w:rPr>
              <w:t>0.9</w:t>
            </w:r>
          </w:p>
        </w:tc>
        <w:tc>
          <w:tcPr>
            <w:tcW w:w="677" w:type="dxa"/>
            <w:tcBorders>
              <w:bottom w:val="thinThickMediumGap" w:sz="6" w:space="0" w:color="000000"/>
            </w:tcBorders>
          </w:tcPr>
          <w:p>
            <w:pPr>
              <w:pStyle w:val="TableParagraph"/>
              <w:spacing w:before="36"/>
              <w:ind w:left="188" w:right="162"/>
              <w:rPr>
                <w:sz w:val="21"/>
              </w:rPr>
            </w:pPr>
            <w:r>
              <w:rPr>
                <w:sz w:val="21"/>
              </w:rPr>
              <w:t>0.9</w:t>
            </w:r>
          </w:p>
        </w:tc>
        <w:tc>
          <w:tcPr>
            <w:tcW w:w="678" w:type="dxa"/>
            <w:tcBorders>
              <w:bottom w:val="thinThickMediumGap" w:sz="6" w:space="0" w:color="000000"/>
            </w:tcBorders>
          </w:tcPr>
          <w:p>
            <w:pPr>
              <w:pStyle w:val="TableParagraph"/>
              <w:spacing w:before="36"/>
              <w:ind w:left="214"/>
              <w:jc w:val="left"/>
              <w:rPr>
                <w:sz w:val="21"/>
              </w:rPr>
            </w:pPr>
            <w:r>
              <w:rPr>
                <w:sz w:val="21"/>
              </w:rPr>
              <w:t>1.0</w:t>
            </w:r>
          </w:p>
        </w:tc>
        <w:tc>
          <w:tcPr>
            <w:tcW w:w="677" w:type="dxa"/>
            <w:tcBorders>
              <w:bottom w:val="thinThickMediumGap" w:sz="6" w:space="0" w:color="000000"/>
            </w:tcBorders>
          </w:tcPr>
          <w:p>
            <w:pPr>
              <w:pStyle w:val="TableParagraph"/>
              <w:spacing w:before="36"/>
              <w:ind w:left="187" w:right="162"/>
              <w:rPr>
                <w:sz w:val="21"/>
              </w:rPr>
            </w:pPr>
            <w:r>
              <w:rPr>
                <w:sz w:val="21"/>
              </w:rPr>
              <w:t>1.0</w:t>
            </w:r>
          </w:p>
        </w:tc>
        <w:tc>
          <w:tcPr>
            <w:tcW w:w="677" w:type="dxa"/>
            <w:tcBorders>
              <w:bottom w:val="thinThickMediumGap" w:sz="6" w:space="0" w:color="000000"/>
            </w:tcBorders>
          </w:tcPr>
          <w:p>
            <w:pPr>
              <w:pStyle w:val="TableParagraph"/>
              <w:spacing w:before="36"/>
              <w:ind w:left="213"/>
              <w:jc w:val="left"/>
              <w:rPr>
                <w:sz w:val="21"/>
              </w:rPr>
            </w:pPr>
            <w:r>
              <w:rPr>
                <w:sz w:val="21"/>
              </w:rPr>
              <w:t>0.9</w:t>
            </w:r>
          </w:p>
        </w:tc>
        <w:tc>
          <w:tcPr>
            <w:tcW w:w="679" w:type="dxa"/>
            <w:tcBorders>
              <w:bottom w:val="thinThickMediumGap" w:sz="6" w:space="0" w:color="000000"/>
            </w:tcBorders>
          </w:tcPr>
          <w:p>
            <w:pPr>
              <w:pStyle w:val="TableParagraph"/>
              <w:spacing w:before="36"/>
              <w:ind w:left="194" w:right="172"/>
              <w:rPr>
                <w:sz w:val="21"/>
              </w:rPr>
            </w:pPr>
            <w:r>
              <w:rPr>
                <w:sz w:val="21"/>
              </w:rPr>
              <w:t>1.0</w:t>
            </w:r>
          </w:p>
        </w:tc>
        <w:tc>
          <w:tcPr>
            <w:tcW w:w="701" w:type="dxa"/>
            <w:gridSpan w:val="2"/>
            <w:tcBorders>
              <w:bottom w:val="thinThickMediumGap" w:sz="6" w:space="0" w:color="000000"/>
              <w:right w:val="single" w:sz="12" w:space="0" w:color="000000"/>
            </w:tcBorders>
          </w:tcPr>
          <w:p>
            <w:pPr>
              <w:pStyle w:val="TableParagraph"/>
              <w:spacing w:before="36"/>
              <w:ind w:left="221"/>
              <w:jc w:val="left"/>
              <w:rPr>
                <w:sz w:val="21"/>
              </w:rPr>
            </w:pPr>
            <w:r>
              <w:rPr>
                <w:sz w:val="21"/>
              </w:rPr>
              <w:t>1.0</w:t>
            </w:r>
          </w:p>
        </w:tc>
      </w:tr>
      <w:tr>
        <w:trPr>
          <w:trHeight w:val="5247" w:hRule="atLeast"/>
        </w:trPr>
        <w:tc>
          <w:tcPr>
            <w:tcW w:w="105" w:type="dxa"/>
            <w:tcBorders>
              <w:top w:val="single" w:sz="12" w:space="0" w:color="000000"/>
              <w:left w:val="nil"/>
              <w:bottom w:val="nil"/>
              <w:right w:val="single" w:sz="2" w:space="0" w:color="808080"/>
            </w:tcBorders>
          </w:tcPr>
          <w:p>
            <w:pPr>
              <w:pStyle w:val="TableParagraph"/>
              <w:spacing w:before="0"/>
              <w:jc w:val="left"/>
              <w:rPr>
                <w:sz w:val="20"/>
              </w:rPr>
            </w:pPr>
          </w:p>
        </w:tc>
        <w:tc>
          <w:tcPr>
            <w:tcW w:w="9007" w:type="dxa"/>
            <w:gridSpan w:val="13"/>
            <w:tcBorders>
              <w:top w:val="thickThinMediumGap" w:sz="6" w:space="0" w:color="000000"/>
              <w:left w:val="single" w:sz="2" w:space="0" w:color="808080"/>
              <w:bottom w:val="single" w:sz="2" w:space="0" w:color="808080"/>
              <w:right w:val="single" w:sz="2" w:space="0" w:color="808080"/>
            </w:tcBorders>
          </w:tcPr>
          <w:p>
            <w:pPr>
              <w:pStyle w:val="TableParagraph"/>
              <w:spacing w:before="77"/>
              <w:ind w:left="117"/>
              <w:jc w:val="left"/>
              <w:rPr>
                <w:rFonts w:ascii="Calibri"/>
                <w:sz w:val="20"/>
              </w:rPr>
            </w:pPr>
            <w:r>
              <w:rPr>
                <w:rFonts w:ascii="Calibri"/>
                <w:sz w:val="20"/>
              </w:rPr>
              <w:t>2.5</w:t>
            </w: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p>
            <w:pPr>
              <w:pStyle w:val="TableParagraph"/>
              <w:spacing w:before="0"/>
              <w:ind w:left="117"/>
              <w:jc w:val="left"/>
              <w:rPr>
                <w:rFonts w:ascii="Calibri"/>
                <w:sz w:val="20"/>
              </w:rPr>
            </w:pPr>
            <w:r>
              <w:rPr>
                <w:rFonts w:ascii="Calibri"/>
                <w:sz w:val="20"/>
              </w:rPr>
              <w:t>2.0</w:t>
            </w: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p>
            <w:pPr>
              <w:pStyle w:val="TableParagraph"/>
              <w:spacing w:before="0"/>
              <w:ind w:left="117"/>
              <w:jc w:val="left"/>
              <w:rPr>
                <w:rFonts w:ascii="Calibri"/>
                <w:sz w:val="20"/>
              </w:rPr>
            </w:pPr>
            <w:r>
              <w:rPr>
                <w:rFonts w:ascii="Calibri"/>
                <w:sz w:val="20"/>
              </w:rPr>
              <w:t>1.5</w:t>
            </w: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p>
            <w:pPr>
              <w:pStyle w:val="TableParagraph"/>
              <w:spacing w:before="0"/>
              <w:ind w:left="117"/>
              <w:jc w:val="left"/>
              <w:rPr>
                <w:rFonts w:ascii="Calibri"/>
                <w:sz w:val="20"/>
              </w:rPr>
            </w:pPr>
            <w:r>
              <w:rPr>
                <w:rFonts w:ascii="Calibri"/>
                <w:sz w:val="20"/>
              </w:rPr>
              <w:t>1.0</w:t>
            </w:r>
          </w:p>
          <w:p>
            <w:pPr>
              <w:pStyle w:val="TableParagraph"/>
              <w:spacing w:before="0"/>
              <w:jc w:val="left"/>
              <w:rPr>
                <w:b/>
                <w:sz w:val="20"/>
              </w:rPr>
            </w:pPr>
          </w:p>
          <w:p>
            <w:pPr>
              <w:pStyle w:val="TableParagraph"/>
              <w:spacing w:before="0"/>
              <w:jc w:val="left"/>
              <w:rPr>
                <w:b/>
                <w:sz w:val="20"/>
              </w:rPr>
            </w:pPr>
          </w:p>
          <w:p>
            <w:pPr>
              <w:pStyle w:val="TableParagraph"/>
              <w:spacing w:before="6"/>
              <w:jc w:val="left"/>
              <w:rPr>
                <w:b/>
                <w:sz w:val="17"/>
              </w:rPr>
            </w:pPr>
          </w:p>
          <w:p>
            <w:pPr>
              <w:pStyle w:val="TableParagraph"/>
              <w:spacing w:before="0"/>
              <w:ind w:left="117"/>
              <w:jc w:val="left"/>
              <w:rPr>
                <w:rFonts w:ascii="Calibri"/>
                <w:sz w:val="20"/>
              </w:rPr>
            </w:pPr>
            <w:r>
              <w:rPr>
                <w:rFonts w:ascii="Calibri"/>
                <w:sz w:val="20"/>
              </w:rPr>
              <w:t>0.5</w:t>
            </w:r>
          </w:p>
          <w:p>
            <w:pPr>
              <w:pStyle w:val="TableParagraph"/>
              <w:spacing w:before="0"/>
              <w:jc w:val="left"/>
              <w:rPr>
                <w:b/>
                <w:sz w:val="20"/>
              </w:rPr>
            </w:pPr>
          </w:p>
          <w:p>
            <w:pPr>
              <w:pStyle w:val="TableParagraph"/>
              <w:spacing w:before="0"/>
              <w:jc w:val="left"/>
              <w:rPr>
                <w:b/>
                <w:sz w:val="20"/>
              </w:rPr>
            </w:pPr>
          </w:p>
          <w:p>
            <w:pPr>
              <w:pStyle w:val="TableParagraph"/>
              <w:spacing w:before="7"/>
              <w:jc w:val="left"/>
              <w:rPr>
                <w:b/>
                <w:sz w:val="17"/>
              </w:rPr>
            </w:pPr>
          </w:p>
          <w:p>
            <w:pPr>
              <w:pStyle w:val="TableParagraph"/>
              <w:spacing w:before="0"/>
              <w:ind w:left="117"/>
              <w:jc w:val="left"/>
              <w:rPr>
                <w:rFonts w:ascii="Calibri"/>
                <w:sz w:val="20"/>
              </w:rPr>
            </w:pPr>
            <w:r>
              <w:rPr>
                <w:rFonts w:ascii="Calibri"/>
                <w:sz w:val="20"/>
              </w:rPr>
              <w:t>0.0</w:t>
            </w:r>
          </w:p>
          <w:p>
            <w:pPr>
              <w:pStyle w:val="TableParagraph"/>
              <w:tabs>
                <w:tab w:pos="1465" w:val="left" w:leader="none"/>
                <w:tab w:pos="2142" w:val="left" w:leader="none"/>
                <w:tab w:pos="2819" w:val="left" w:leader="none"/>
                <w:tab w:pos="3496" w:val="left" w:leader="none"/>
                <w:tab w:pos="4173" w:val="left" w:leader="none"/>
                <w:tab w:pos="4849" w:val="left" w:leader="none"/>
                <w:tab w:pos="5526" w:val="left" w:leader="none"/>
                <w:tab w:pos="6203" w:val="left" w:leader="none"/>
                <w:tab w:pos="6830" w:val="left" w:leader="none"/>
                <w:tab w:pos="7507" w:val="left" w:leader="none"/>
                <w:tab w:pos="8183" w:val="left" w:leader="none"/>
              </w:tabs>
              <w:spacing w:before="18"/>
              <w:ind w:left="788"/>
              <w:jc w:val="left"/>
              <w:rPr>
                <w:rFonts w:ascii="宋体" w:eastAsia="宋体" w:hint="eastAsia"/>
                <w:sz w:val="20"/>
              </w:rPr>
            </w:pPr>
            <w:r>
              <w:rPr>
                <w:rFonts w:ascii="Calibri" w:eastAsia="Calibri"/>
                <w:sz w:val="20"/>
              </w:rPr>
              <w:t>1</w:t>
            </w:r>
            <w:r>
              <w:rPr>
                <w:rFonts w:ascii="宋体" w:eastAsia="宋体" w:hint="eastAsia"/>
                <w:sz w:val="20"/>
              </w:rPr>
              <w:t>月</w:t>
              <w:tab/>
            </w:r>
            <w:r>
              <w:rPr>
                <w:rFonts w:ascii="Calibri" w:eastAsia="Calibri"/>
                <w:sz w:val="20"/>
              </w:rPr>
              <w:t>2</w:t>
            </w:r>
            <w:r>
              <w:rPr>
                <w:rFonts w:ascii="宋体" w:eastAsia="宋体" w:hint="eastAsia"/>
                <w:sz w:val="20"/>
              </w:rPr>
              <w:t>月</w:t>
              <w:tab/>
            </w:r>
            <w:r>
              <w:rPr>
                <w:rFonts w:ascii="Calibri" w:eastAsia="Calibri"/>
                <w:sz w:val="20"/>
              </w:rPr>
              <w:t>3</w:t>
            </w:r>
            <w:r>
              <w:rPr>
                <w:rFonts w:ascii="宋体" w:eastAsia="宋体" w:hint="eastAsia"/>
                <w:sz w:val="20"/>
              </w:rPr>
              <w:t>月</w:t>
              <w:tab/>
            </w:r>
            <w:r>
              <w:rPr>
                <w:rFonts w:ascii="Calibri" w:eastAsia="Calibri"/>
                <w:sz w:val="20"/>
              </w:rPr>
              <w:t>4</w:t>
            </w:r>
            <w:r>
              <w:rPr>
                <w:rFonts w:ascii="宋体" w:eastAsia="宋体" w:hint="eastAsia"/>
                <w:sz w:val="20"/>
              </w:rPr>
              <w:t>月</w:t>
              <w:tab/>
            </w:r>
            <w:r>
              <w:rPr>
                <w:rFonts w:ascii="Calibri" w:eastAsia="Calibri"/>
                <w:sz w:val="20"/>
              </w:rPr>
              <w:t>5</w:t>
            </w:r>
            <w:r>
              <w:rPr>
                <w:rFonts w:ascii="宋体" w:eastAsia="宋体" w:hint="eastAsia"/>
                <w:sz w:val="20"/>
              </w:rPr>
              <w:t>月</w:t>
              <w:tab/>
            </w:r>
            <w:r>
              <w:rPr>
                <w:rFonts w:ascii="Calibri" w:eastAsia="Calibri"/>
                <w:sz w:val="20"/>
              </w:rPr>
              <w:t>6</w:t>
            </w:r>
            <w:r>
              <w:rPr>
                <w:rFonts w:ascii="宋体" w:eastAsia="宋体" w:hint="eastAsia"/>
                <w:sz w:val="20"/>
              </w:rPr>
              <w:t>月</w:t>
              <w:tab/>
            </w:r>
            <w:r>
              <w:rPr>
                <w:rFonts w:ascii="Calibri" w:eastAsia="Calibri"/>
                <w:sz w:val="20"/>
              </w:rPr>
              <w:t>7</w:t>
            </w:r>
            <w:r>
              <w:rPr>
                <w:rFonts w:ascii="宋体" w:eastAsia="宋体" w:hint="eastAsia"/>
                <w:sz w:val="20"/>
              </w:rPr>
              <w:t>月</w:t>
              <w:tab/>
            </w:r>
            <w:r>
              <w:rPr>
                <w:rFonts w:ascii="Calibri" w:eastAsia="Calibri"/>
                <w:sz w:val="20"/>
              </w:rPr>
              <w:t>8</w:t>
            </w:r>
            <w:r>
              <w:rPr>
                <w:rFonts w:ascii="宋体" w:eastAsia="宋体" w:hint="eastAsia"/>
                <w:sz w:val="20"/>
              </w:rPr>
              <w:t>月</w:t>
              <w:tab/>
            </w:r>
            <w:r>
              <w:rPr>
                <w:rFonts w:ascii="Calibri" w:eastAsia="Calibri"/>
                <w:sz w:val="20"/>
              </w:rPr>
              <w:t>9</w:t>
            </w:r>
            <w:r>
              <w:rPr>
                <w:rFonts w:ascii="宋体" w:eastAsia="宋体" w:hint="eastAsia"/>
                <w:sz w:val="20"/>
              </w:rPr>
              <w:t>月</w:t>
              <w:tab/>
            </w:r>
            <w:r>
              <w:rPr>
                <w:rFonts w:ascii="Calibri" w:eastAsia="Calibri"/>
                <w:sz w:val="20"/>
              </w:rPr>
              <w:t>10</w:t>
            </w:r>
            <w:r>
              <w:rPr>
                <w:rFonts w:ascii="宋体" w:eastAsia="宋体" w:hint="eastAsia"/>
                <w:sz w:val="20"/>
              </w:rPr>
              <w:t>月</w:t>
              <w:tab/>
            </w:r>
            <w:r>
              <w:rPr>
                <w:rFonts w:ascii="Calibri" w:eastAsia="Calibri"/>
                <w:sz w:val="20"/>
              </w:rPr>
              <w:t>11</w:t>
            </w:r>
            <w:r>
              <w:rPr>
                <w:rFonts w:ascii="宋体" w:eastAsia="宋体" w:hint="eastAsia"/>
                <w:sz w:val="20"/>
              </w:rPr>
              <w:t>月</w:t>
              <w:tab/>
            </w:r>
            <w:r>
              <w:rPr>
                <w:rFonts w:ascii="Calibri" w:eastAsia="Calibri"/>
                <w:sz w:val="20"/>
              </w:rPr>
              <w:t>12</w:t>
            </w:r>
            <w:r>
              <w:rPr>
                <w:rFonts w:ascii="宋体" w:eastAsia="宋体" w:hint="eastAsia"/>
                <w:sz w:val="20"/>
              </w:rPr>
              <w:t>月</w:t>
            </w:r>
          </w:p>
        </w:tc>
        <w:tc>
          <w:tcPr>
            <w:tcW w:w="134" w:type="dxa"/>
            <w:tcBorders>
              <w:top w:val="single" w:sz="12" w:space="0" w:color="000000"/>
              <w:left w:val="single" w:sz="2" w:space="0" w:color="808080"/>
              <w:bottom w:val="nil"/>
              <w:right w:val="nil"/>
            </w:tcBorders>
          </w:tcPr>
          <w:p>
            <w:pPr>
              <w:pStyle w:val="TableParagraph"/>
              <w:spacing w:before="0"/>
              <w:jc w:val="left"/>
              <w:rPr>
                <w:sz w:val="20"/>
              </w:rPr>
            </w:pPr>
          </w:p>
        </w:tc>
      </w:tr>
    </w:tbl>
    <w:p>
      <w:pPr>
        <w:spacing w:before="39"/>
        <w:ind w:left="221" w:right="236" w:firstLine="0"/>
        <w:jc w:val="center"/>
        <w:rPr>
          <w:b/>
          <w:sz w:val="24"/>
        </w:rPr>
      </w:pPr>
      <w:r>
        <w:rPr/>
        <w:pict>
          <v:group style="position:absolute;margin-left:69.775002pt;margin-top:21.995014pt;width:447.2pt;height:239.5pt;mso-position-horizontal-relative:page;mso-position-vertical-relative:paragraph;z-index:-251462656;mso-wrap-distance-left:0;mso-wrap-distance-right:0" coordorigin="1396,440" coordsize="8944,4790">
            <v:line style="position:absolute" from="2012,3990" to="8997,3990" stroked="true" strokeweight=".75pt" strokecolor="#858585">
              <v:stroke dashstyle="solid"/>
            </v:line>
            <v:line style="position:absolute" from="2012,3323" to="8997,3323" stroked="true" strokeweight=".75pt" strokecolor="#858585">
              <v:stroke dashstyle="solid"/>
            </v:line>
            <v:line style="position:absolute" from="2012,2658" to="8997,2658" stroked="true" strokeweight=".75pt" strokecolor="#858585">
              <v:stroke dashstyle="solid"/>
            </v:line>
            <v:line style="position:absolute" from="2012,1994" to="8997,1994" stroked="true" strokeweight=".75pt" strokecolor="#858585">
              <v:stroke dashstyle="solid"/>
            </v:line>
            <v:line style="position:absolute" from="2012,1329" to="8997,1329" stroked="true" strokeweight=".75pt" strokecolor="#858585">
              <v:stroke dashstyle="solid"/>
            </v:line>
            <v:line style="position:absolute" from="2012,664" to="8997,664" stroked="true" strokeweight=".75pt" strokecolor="#858585">
              <v:stroke dashstyle="solid"/>
            </v:line>
            <v:line style="position:absolute" from="2012,4654" to="2012,664" stroked="true" strokeweight=".75pt" strokecolor="#858585">
              <v:stroke dashstyle="solid"/>
            </v:line>
            <v:line style="position:absolute" from="1949,4654" to="2012,4654" stroked="true" strokeweight=".75pt" strokecolor="#858585">
              <v:stroke dashstyle="solid"/>
            </v:line>
            <v:line style="position:absolute" from="1949,3990" to="2012,3990" stroked="true" strokeweight=".75pt" strokecolor="#858585">
              <v:stroke dashstyle="solid"/>
            </v:line>
            <v:line style="position:absolute" from="1949,3323" to="2012,3323" stroked="true" strokeweight=".75pt" strokecolor="#858585">
              <v:stroke dashstyle="solid"/>
            </v:line>
            <v:line style="position:absolute" from="1949,2658" to="2012,2658" stroked="true" strokeweight=".75pt" strokecolor="#858585">
              <v:stroke dashstyle="solid"/>
            </v:line>
            <v:line style="position:absolute" from="1949,1994" to="2012,1994" stroked="true" strokeweight=".75pt" strokecolor="#858585">
              <v:stroke dashstyle="solid"/>
            </v:line>
            <v:line style="position:absolute" from="1949,1329" to="2012,1329" stroked="true" strokeweight=".75pt" strokecolor="#858585">
              <v:stroke dashstyle="solid"/>
            </v:line>
            <v:line style="position:absolute" from="1949,664" to="2012,664" stroked="true" strokeweight=".75pt" strokecolor="#858585">
              <v:stroke dashstyle="solid"/>
            </v:line>
            <v:line style="position:absolute" from="2012,4654" to="8997,4654" stroked="true" strokeweight=".75pt" strokecolor="#858585">
              <v:stroke dashstyle="solid"/>
            </v:line>
            <v:line style="position:absolute" from="2012,4654" to="2012,4718" stroked="true" strokeweight=".75pt" strokecolor="#858585">
              <v:stroke dashstyle="solid"/>
            </v:line>
            <v:line style="position:absolute" from="2304,4654" to="2304,4718" stroked="true" strokeweight=".75pt" strokecolor="#858585">
              <v:stroke dashstyle="solid"/>
            </v:line>
            <v:line style="position:absolute" from="2594,4654" to="2594,4718" stroked="true" strokeweight=".75pt" strokecolor="#858585">
              <v:stroke dashstyle="solid"/>
            </v:line>
            <v:line style="position:absolute" from="2885,4654" to="2885,4718" stroked="true" strokeweight=".75pt" strokecolor="#858585">
              <v:stroke dashstyle="solid"/>
            </v:line>
            <v:line style="position:absolute" from="3175,4654" to="3175,4718" stroked="true" strokeweight=".75pt" strokecolor="#858585">
              <v:stroke dashstyle="solid"/>
            </v:line>
            <v:line style="position:absolute" from="3468,4654" to="3468,4718" stroked="true" strokeweight=".75pt" strokecolor="#858585">
              <v:stroke dashstyle="solid"/>
            </v:line>
            <v:line style="position:absolute" from="3758,4654" to="3758,4718" stroked="true" strokeweight=".75pt" strokecolor="#858585">
              <v:stroke dashstyle="solid"/>
            </v:line>
            <v:line style="position:absolute" from="4049,4654" to="4049,4718" stroked="true" strokeweight=".75pt" strokecolor="#858585">
              <v:stroke dashstyle="solid"/>
            </v:line>
            <v:line style="position:absolute" from="4339,4654" to="4339,4718" stroked="true" strokeweight=".75pt" strokecolor="#858585">
              <v:stroke dashstyle="solid"/>
            </v:line>
            <v:line style="position:absolute" from="4632,4654" to="4632,4718" stroked="true" strokeweight=".75pt" strokecolor="#858585">
              <v:stroke dashstyle="solid"/>
            </v:line>
            <v:line style="position:absolute" from="4922,4654" to="4922,4718" stroked="true" strokeweight=".75pt" strokecolor="#858585">
              <v:stroke dashstyle="solid"/>
            </v:line>
            <v:line style="position:absolute" from="5213,4654" to="5213,4718" stroked="true" strokeweight=".75pt" strokecolor="#858585">
              <v:stroke dashstyle="solid"/>
            </v:line>
            <v:line style="position:absolute" from="5506,4654" to="5506,4718" stroked="true" strokeweight=".75pt" strokecolor="#858585">
              <v:stroke dashstyle="solid"/>
            </v:line>
            <v:line style="position:absolute" from="5796,4654" to="5796,4718" stroked="true" strokeweight=".75pt" strokecolor="#858585">
              <v:stroke dashstyle="solid"/>
            </v:line>
            <v:line style="position:absolute" from="6086,4654" to="6086,4718" stroked="true" strokeweight=".75pt" strokecolor="#858585">
              <v:stroke dashstyle="solid"/>
            </v:line>
            <v:line style="position:absolute" from="6377,4654" to="6377,4718" stroked="true" strokeweight=".75pt" strokecolor="#858585">
              <v:stroke dashstyle="solid"/>
            </v:line>
            <v:line style="position:absolute" from="6670,4654" to="6670,4718" stroked="true" strokeweight=".75pt" strokecolor="#858585">
              <v:stroke dashstyle="solid"/>
            </v:line>
            <v:line style="position:absolute" from="6960,4654" to="6960,4718" stroked="true" strokeweight=".75pt" strokecolor="#858585">
              <v:stroke dashstyle="solid"/>
            </v:line>
            <v:line style="position:absolute" from="7250,4654" to="7250,4718" stroked="true" strokeweight=".75pt" strokecolor="#858585">
              <v:stroke dashstyle="solid"/>
            </v:line>
            <v:line style="position:absolute" from="7541,4654" to="7541,4718" stroked="true" strokeweight=".75pt" strokecolor="#858585">
              <v:stroke dashstyle="solid"/>
            </v:line>
            <v:line style="position:absolute" from="7834,4654" to="7834,4718" stroked="true" strokeweight=".75pt" strokecolor="#858585">
              <v:stroke dashstyle="solid"/>
            </v:line>
            <v:line style="position:absolute" from="8124,4654" to="8124,4718" stroked="true" strokeweight=".75pt" strokecolor="#858585">
              <v:stroke dashstyle="solid"/>
            </v:line>
            <v:line style="position:absolute" from="8414,4654" to="8414,4718" stroked="true" strokeweight=".75pt" strokecolor="#858585">
              <v:stroke dashstyle="solid"/>
            </v:line>
            <v:line style="position:absolute" from="8705,4654" to="8705,4718" stroked="true" strokeweight=".75pt" strokecolor="#858585">
              <v:stroke dashstyle="solid"/>
            </v:line>
            <v:line style="position:absolute" from="8997,4654" to="8997,4718" stroked="true" strokeweight=".75pt" strokecolor="#858585">
              <v:stroke dashstyle="solid"/>
            </v:line>
            <v:shape style="position:absolute;left:2100;top:1166;width:6810;height:2492" type="#_x0000_t75" stroked="false">
              <v:imagedata r:id="rId90" o:title=""/>
            </v:shape>
            <v:shape style="position:absolute;left:2123;top:4853;width:120;height:124" type="#_x0000_t75" stroked="false">
              <v:imagedata r:id="rId91" o:title=""/>
            </v:shape>
            <v:shape style="position:absolute;left:2705;top:4843;width:124;height:121" type="#_x0000_t75" stroked="false">
              <v:imagedata r:id="rId92" o:title=""/>
            </v:shape>
            <v:shape style="position:absolute;left:3286;top:4840;width:133;height:124" type="#_x0000_t75" stroked="false">
              <v:imagedata r:id="rId93" o:title=""/>
            </v:shape>
            <v:shape style="position:absolute;left:3875;top:4834;width:134;height:110" type="#_x0000_t75" stroked="false">
              <v:imagedata r:id="rId94" o:title=""/>
            </v:shape>
            <v:shape style="position:absolute;left:4450;top:4846;width:127;height:113" type="#_x0000_t75" stroked="false">
              <v:imagedata r:id="rId95" o:title=""/>
            </v:shape>
            <v:shape style="position:absolute;left:5034;top:4853;width:191;height:196" type="#_x0000_t75" stroked="false">
              <v:imagedata r:id="rId96" o:title=""/>
            </v:shape>
            <v:shape style="position:absolute;left:6198;top:4853;width:203;height:181" type="#_x0000_t75" stroked="false">
              <v:imagedata r:id="rId97" o:title=""/>
            </v:shape>
            <v:shape style="position:absolute;left:5616;top:4853;width:195;height:182" type="#_x0000_t75" stroked="false">
              <v:imagedata r:id="rId98" o:title=""/>
            </v:shape>
            <v:shape style="position:absolute;left:6780;top:4853;width:210;height:163" type="#_x0000_t75" stroked="false">
              <v:imagedata r:id="rId99" o:title=""/>
            </v:shape>
            <v:shape style="position:absolute;left:7362;top:4853;width:196;height:178" type="#_x0000_t75" stroked="false">
              <v:imagedata r:id="rId100" o:title=""/>
            </v:shape>
            <v:shape style="position:absolute;left:7940;top:4843;width:195;height:206" type="#_x0000_t75" stroked="false">
              <v:imagedata r:id="rId101" o:title=""/>
            </v:shape>
            <v:shape style="position:absolute;left:8522;top:4843;width:199;height:192" type="#_x0000_t75" stroked="false">
              <v:imagedata r:id="rId102" o:title=""/>
            </v:shape>
            <v:line style="position:absolute" from="9552,2292" to="9694,2292" stroked="true" strokeweight="2.25pt" strokecolor="#bd4a47">
              <v:stroke dashstyle="solid"/>
            </v:line>
            <v:line style="position:absolute" from="9310,2292" to="9451,2292" stroked="true" strokeweight="2.25pt" strokecolor="#bd4a47">
              <v:stroke dashstyle="solid"/>
            </v:line>
            <v:rect style="position:absolute;left:9451;top:2240;width:101;height:101" filled="true" fillcolor="#c0504d" stroked="false">
              <v:fill type="solid"/>
            </v:rect>
            <v:rect style="position:absolute;left:9451;top:2240;width:101;height:101" filled="false" stroked="true" strokeweight=".75pt" strokecolor="#bd4a47">
              <v:stroke dashstyle="solid"/>
            </v:rect>
            <v:shape style="position:absolute;left:9310;top:2595;width:384;height:116" type="#_x0000_t75" stroked="false">
              <v:imagedata r:id="rId103" o:title=""/>
            </v:shape>
            <v:shape style="position:absolute;left:9310;top:2955;width:384;height:116" type="#_x0000_t75" stroked="false">
              <v:imagedata r:id="rId104" o:title=""/>
            </v:shape>
            <v:shape style="position:absolute;left:9310;top:3318;width:384;height:116" type="#_x0000_t75" stroked="false">
              <v:imagedata r:id="rId105" o:title=""/>
            </v:shape>
            <v:rect style="position:absolute;left:1398;top:442;width:8939;height:4785" filled="false" stroked="true" strokeweight=".25pt" strokecolor="#808080">
              <v:stroke dashstyle="solid"/>
            </v:rect>
            <v:shape style="position:absolute;left:1528;top:4563;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0.0</w:t>
                    </w:r>
                  </w:p>
                </w:txbxContent>
              </v:textbox>
              <w10:wrap type="none"/>
            </v:shape>
            <v:shape style="position:absolute;left:1528;top:3898;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0.5</w:t>
                    </w:r>
                  </w:p>
                </w:txbxContent>
              </v:textbox>
              <w10:wrap type="none"/>
            </v:shape>
            <v:shape style="position:absolute;left:9736;top:2544;width:419;height:923" type="#_x0000_t202" filled="false" stroked="false">
              <v:textbox inset="0,0,0,0">
                <w:txbxContent>
                  <w:p>
                    <w:pPr>
                      <w:spacing w:line="227" w:lineRule="exact" w:before="0"/>
                      <w:ind w:left="0" w:right="0" w:firstLine="0"/>
                      <w:jc w:val="left"/>
                      <w:rPr>
                        <w:sz w:val="20"/>
                      </w:rPr>
                    </w:pPr>
                    <w:r>
                      <w:rPr>
                        <w:w w:val="95"/>
                        <w:sz w:val="20"/>
                      </w:rPr>
                      <w:t>夏季</w:t>
                    </w:r>
                  </w:p>
                  <w:p>
                    <w:pPr>
                      <w:spacing w:line="360" w:lineRule="atLeast" w:before="2"/>
                      <w:ind w:left="0" w:right="18" w:firstLine="0"/>
                      <w:jc w:val="left"/>
                      <w:rPr>
                        <w:sz w:val="20"/>
                      </w:rPr>
                    </w:pPr>
                    <w:r>
                      <w:rPr>
                        <w:spacing w:val="-9"/>
                        <w:sz w:val="20"/>
                      </w:rPr>
                      <w:t>秋季</w:t>
                    </w:r>
                    <w:r>
                      <w:rPr>
                        <w:spacing w:val="-9"/>
                        <w:w w:val="95"/>
                        <w:sz w:val="20"/>
                      </w:rPr>
                      <w:t>冬季</w:t>
                    </w:r>
                  </w:p>
                </w:txbxContent>
              </v:textbox>
              <w10:wrap type="none"/>
            </v:shape>
            <v:shape style="position:absolute;left:1528;top:2568;width:273;height:865" type="#_x0000_t202" filled="false" stroked="false">
              <v:textbox inset="0,0,0,0">
                <w:txbxContent>
                  <w:p>
                    <w:pPr>
                      <w:spacing w:line="203" w:lineRule="exact" w:before="0"/>
                      <w:ind w:left="0" w:right="0" w:firstLine="0"/>
                      <w:jc w:val="left"/>
                      <w:rPr>
                        <w:rFonts w:ascii="Calibri"/>
                        <w:sz w:val="20"/>
                      </w:rPr>
                    </w:pPr>
                    <w:r>
                      <w:rPr>
                        <w:rFonts w:ascii="Calibri"/>
                        <w:sz w:val="20"/>
                      </w:rPr>
                      <w:t>1.5</w:t>
                    </w:r>
                  </w:p>
                  <w:p>
                    <w:pPr>
                      <w:spacing w:line="240" w:lineRule="auto" w:before="0"/>
                      <w:rPr>
                        <w:b/>
                        <w:sz w:val="20"/>
                      </w:rPr>
                    </w:pPr>
                  </w:p>
                  <w:p>
                    <w:pPr>
                      <w:spacing w:line="240" w:lineRule="exact" w:before="165"/>
                      <w:ind w:left="0" w:right="0" w:firstLine="0"/>
                      <w:jc w:val="left"/>
                      <w:rPr>
                        <w:rFonts w:ascii="Calibri"/>
                        <w:sz w:val="20"/>
                      </w:rPr>
                    </w:pPr>
                    <w:r>
                      <w:rPr>
                        <w:rFonts w:ascii="Calibri"/>
                        <w:sz w:val="20"/>
                      </w:rPr>
                      <w:t>1.0</w:t>
                    </w:r>
                  </w:p>
                </w:txbxContent>
              </v:textbox>
              <w10:wrap type="none"/>
            </v:shape>
            <v:shape style="position:absolute;left:9736;top:2183;width:419;height:200" type="#_x0000_t202" filled="false" stroked="false">
              <v:textbox inset="0,0,0,0">
                <w:txbxContent>
                  <w:p>
                    <w:pPr>
                      <w:spacing w:line="199" w:lineRule="exact" w:before="0"/>
                      <w:ind w:left="0" w:right="0" w:firstLine="0"/>
                      <w:jc w:val="left"/>
                      <w:rPr>
                        <w:sz w:val="20"/>
                      </w:rPr>
                    </w:pPr>
                    <w:r>
                      <w:rPr>
                        <w:sz w:val="20"/>
                      </w:rPr>
                      <w:t>春季</w:t>
                    </w:r>
                  </w:p>
                </w:txbxContent>
              </v:textbox>
              <w10:wrap type="none"/>
            </v:shape>
            <v:shape style="position:absolute;left:1528;top:1902;width:273;height:200" type="#_x0000_t202" filled="false" stroked="false">
              <v:textbox inset="0,0,0,0">
                <w:txbxContent>
                  <w:p>
                    <w:pPr>
                      <w:spacing w:line="200" w:lineRule="exact" w:before="0"/>
                      <w:ind w:left="0" w:right="0" w:firstLine="0"/>
                      <w:jc w:val="left"/>
                      <w:rPr>
                        <w:rFonts w:ascii="Calibri"/>
                        <w:sz w:val="20"/>
                      </w:rPr>
                    </w:pPr>
                    <w:r>
                      <w:rPr>
                        <w:rFonts w:ascii="Calibri"/>
                        <w:sz w:val="20"/>
                      </w:rPr>
                      <w:t>2.0</w:t>
                    </w:r>
                  </w:p>
                </w:txbxContent>
              </v:textbox>
              <w10:wrap type="none"/>
            </v:shape>
            <v:shape style="position:absolute;left:1528;top:1238;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2.5</w:t>
                    </w:r>
                  </w:p>
                </w:txbxContent>
              </v:textbox>
              <w10:wrap type="none"/>
            </v:shape>
            <v:shape style="position:absolute;left:1528;top:572;width:273;height:200" type="#_x0000_t202" filled="false" stroked="false">
              <v:textbox inset="0,0,0,0">
                <w:txbxContent>
                  <w:p>
                    <w:pPr>
                      <w:spacing w:line="199" w:lineRule="exact" w:before="0"/>
                      <w:ind w:left="0" w:right="0" w:firstLine="0"/>
                      <w:jc w:val="left"/>
                      <w:rPr>
                        <w:rFonts w:ascii="Calibri"/>
                        <w:sz w:val="20"/>
                      </w:rPr>
                    </w:pPr>
                    <w:r>
                      <w:rPr>
                        <w:rFonts w:ascii="Calibri"/>
                        <w:sz w:val="20"/>
                      </w:rPr>
                      <w:t>3.0</w:t>
                    </w:r>
                  </w:p>
                </w:txbxContent>
              </v:textbox>
              <w10:wrap type="none"/>
            </v:shape>
            <w10:wrap type="topAndBottom"/>
          </v:group>
        </w:pict>
      </w:r>
      <w:r>
        <w:rPr/>
        <w:pict>
          <v:line style="position:absolute;mso-position-horizontal-relative:page;mso-position-vertical-relative:page;z-index:-315403264" from="63.863998pt,73.559982pt" to="117.619998pt,104.659982pt" stroked="true" strokeweight=".48pt" strokecolor="#000000">
            <v:stroke dashstyle="solid"/>
            <w10:wrap type="none"/>
          </v:line>
        </w:pict>
      </w:r>
      <w:r>
        <w:rPr/>
        <w:pict>
          <v:group style="position:absolute;margin-left:94.675003pt;margin-top:-252.61499pt;width:409.6pt;height:230pt;mso-position-horizontal-relative:page;mso-position-vertical-relative:paragraph;z-index:-315402240" coordorigin="1894,-5052" coordsize="8192,4600">
            <v:shape style="position:absolute;left:1893;top:-5045;width:8185;height:4593" coordorigin="1894,-5045" coordsize="8185,4593" path="m1957,-1422l10078,-1422m1957,-2326l10078,-2326m1957,-3234l10078,-3234m1957,-4138l10078,-4138m1957,-5045l10078,-5045m1957,-516l1957,-5045m1894,-516l1957,-516m1894,-1422l1957,-1422m1894,-2326l1957,-2326m1894,-3234l1957,-3234m1894,-4138l1957,-4138m1894,-5045l1957,-5045m1957,-516l10078,-516m1957,-516l1957,-453m2633,-516l2633,-453m3310,-516l3310,-453m3986,-516l3986,-453m4663,-516l4663,-453m5340,-516l5340,-453m6017,-516l6017,-453m6694,-516l6694,-453m7370,-516l7370,-453m8047,-516l8047,-453m8724,-516l8724,-453m9401,-516l9401,-453m10078,-516l10078,-453e" filled="false" stroked="true" strokeweight=".75pt" strokecolor="#858585">
              <v:path arrowok="t"/>
              <v:stroke dashstyle="solid"/>
            </v:shape>
            <v:shape style="position:absolute;left:2295;top:-4363;width:7444;height:1969" coordorigin="2295,-4363" coordsize="7444,1969" path="m2295,-2394l2971,-2917,3648,-3380,4325,-3090,5002,-3435,5678,-3298,6355,-3433,7032,-4363,7709,-3207,8386,-2655,9062,-2758,9739,-2701e" filled="false" stroked="true" strokeweight="2.25pt" strokecolor="#497dba">
              <v:path arrowok="t"/>
              <v:stroke dashstyle="solid"/>
            </v:shape>
            <v:shape style="position:absolute;left:2217;top:-2472;width:155;height:155" type="#_x0000_t75" stroked="false">
              <v:imagedata r:id="rId88" o:title=""/>
            </v:shape>
            <v:shape style="position:absolute;left:2894;top:-2995;width:155;height:155" type="#_x0000_t75" stroked="false">
              <v:imagedata r:id="rId87" o:title=""/>
            </v:shape>
            <v:shape style="position:absolute;left:3570;top:-3458;width:155;height:155" type="#_x0000_t75" stroked="false">
              <v:imagedata r:id="rId85" o:title=""/>
            </v:shape>
            <v:shape style="position:absolute;left:4247;top:-3168;width:155;height:155" type="#_x0000_t75" stroked="false">
              <v:imagedata r:id="rId85" o:title=""/>
            </v:shape>
            <v:shape style="position:absolute;left:4924;top:-3514;width:155;height:155" type="#_x0000_t75" stroked="false">
              <v:imagedata r:id="rId87" o:title=""/>
            </v:shape>
            <v:shape style="position:absolute;left:5601;top:-3377;width:155;height:155" type="#_x0000_t75" stroked="false">
              <v:imagedata r:id="rId87" o:title=""/>
            </v:shape>
            <v:shape style="position:absolute;left:6278;top:-3511;width:155;height:155" type="#_x0000_t75" stroked="false">
              <v:imagedata r:id="rId85" o:title=""/>
            </v:shape>
            <v:shape style="position:absolute;left:6954;top:-4440;width:155;height:155" type="#_x0000_t75" stroked="false">
              <v:imagedata r:id="rId85" o:title=""/>
            </v:shape>
            <v:shape style="position:absolute;left:7631;top:-3286;width:155;height:155" type="#_x0000_t75" stroked="false">
              <v:imagedata r:id="rId87" o:title=""/>
            </v:shape>
            <v:shape style="position:absolute;left:8308;top:-2734;width:155;height:155" type="#_x0000_t75" stroked="false">
              <v:imagedata r:id="rId87" o:title=""/>
            </v:shape>
            <v:shape style="position:absolute;left:8985;top:-2837;width:155;height:155" type="#_x0000_t75" stroked="false">
              <v:imagedata r:id="rId85" o:title=""/>
            </v:shape>
            <v:shape style="position:absolute;left:9662;top:-2779;width:155;height:155" type="#_x0000_t75" stroked="false">
              <v:imagedata r:id="rId86" o:title=""/>
            </v:shape>
            <w10:wrap type="none"/>
          </v:group>
        </w:pict>
      </w:r>
      <w:r>
        <w:rPr>
          <w:b/>
          <w:sz w:val="24"/>
        </w:rPr>
        <w:t>图 </w:t>
      </w:r>
      <w:r>
        <w:rPr>
          <w:rFonts w:ascii="Times New Roman" w:eastAsia="Times New Roman"/>
          <w:b/>
          <w:sz w:val="24"/>
        </w:rPr>
        <w:t>5.2-6  </w:t>
      </w:r>
      <w:r>
        <w:rPr>
          <w:b/>
          <w:sz w:val="24"/>
        </w:rPr>
        <w:t>年平均风速的月变化</w:t>
      </w:r>
    </w:p>
    <w:p>
      <w:pPr>
        <w:spacing w:before="84"/>
        <w:ind w:left="3057" w:right="0" w:firstLine="0"/>
        <w:jc w:val="left"/>
        <w:rPr>
          <w:b/>
          <w:sz w:val="24"/>
        </w:rPr>
      </w:pPr>
      <w:r>
        <w:rPr>
          <w:b/>
          <w:sz w:val="24"/>
        </w:rPr>
        <w:t>图 </w:t>
      </w:r>
      <w:r>
        <w:rPr>
          <w:rFonts w:ascii="Times New Roman" w:eastAsia="Times New Roman"/>
          <w:b/>
          <w:sz w:val="24"/>
        </w:rPr>
        <w:t>5.2-7  </w:t>
      </w:r>
      <w:r>
        <w:rPr>
          <w:b/>
          <w:sz w:val="24"/>
        </w:rPr>
        <w:t>季小时平均风速的日变化</w:t>
      </w:r>
    </w:p>
    <w:p>
      <w:pPr>
        <w:pStyle w:val="ListParagraph"/>
        <w:numPr>
          <w:ilvl w:val="0"/>
          <w:numId w:val="74"/>
        </w:numPr>
        <w:tabs>
          <w:tab w:pos="1079" w:val="left" w:leader="none"/>
        </w:tabs>
        <w:spacing w:line="240" w:lineRule="auto" w:before="84" w:after="0"/>
        <w:ind w:left="1078" w:right="0" w:hanging="362"/>
        <w:jc w:val="left"/>
        <w:rPr>
          <w:sz w:val="24"/>
        </w:rPr>
      </w:pPr>
      <w:r>
        <w:rPr>
          <w:sz w:val="24"/>
        </w:rPr>
        <w:t>年均风频的月变化</w:t>
      </w:r>
    </w:p>
    <w:p>
      <w:pPr>
        <w:pStyle w:val="BodyText"/>
        <w:spacing w:before="160"/>
        <w:ind w:left="717"/>
      </w:pPr>
      <w:r>
        <w:rPr>
          <w:spacing w:val="-6"/>
        </w:rPr>
        <w:t>年均风频的月变化见表 </w:t>
      </w:r>
      <w:r>
        <w:rPr>
          <w:rFonts w:ascii="Times New Roman" w:eastAsia="Times New Roman"/>
        </w:rPr>
        <w:t>5.2-17</w:t>
      </w:r>
      <w:r>
        <w:rPr/>
        <w:t>。</w:t>
      </w:r>
    </w:p>
    <w:p>
      <w:pPr>
        <w:spacing w:after="0"/>
        <w:sectPr>
          <w:footerReference w:type="default" r:id="rId89"/>
          <w:pgSz w:w="11910" w:h="16840"/>
          <w:pgMar w:footer="1004" w:header="874" w:top="1420" w:bottom="1200" w:left="1040" w:right="1160"/>
        </w:sectPr>
      </w:pPr>
    </w:p>
    <w:p>
      <w:pPr>
        <w:pStyle w:val="ListParagraph"/>
        <w:numPr>
          <w:ilvl w:val="0"/>
          <w:numId w:val="74"/>
        </w:numPr>
        <w:tabs>
          <w:tab w:pos="1079" w:val="left" w:leader="none"/>
        </w:tabs>
        <w:spacing w:line="240" w:lineRule="auto" w:before="92" w:after="0"/>
        <w:ind w:left="1078" w:right="0" w:hanging="362"/>
        <w:jc w:val="left"/>
        <w:rPr>
          <w:sz w:val="24"/>
        </w:rPr>
      </w:pPr>
      <w:r>
        <w:rPr>
          <w:sz w:val="24"/>
        </w:rPr>
        <w:t>年均风频的季变化及年均风频</w:t>
      </w:r>
    </w:p>
    <w:p>
      <w:pPr>
        <w:pStyle w:val="BodyText"/>
        <w:spacing w:before="160"/>
        <w:ind w:left="717"/>
      </w:pPr>
      <w:r>
        <w:rPr/>
        <w:t>年均风频的季变化及年均风频见表 </w:t>
      </w:r>
      <w:r>
        <w:rPr>
          <w:rFonts w:ascii="Times New Roman" w:eastAsia="Times New Roman"/>
        </w:rPr>
        <w:t>5.2-18 </w:t>
      </w:r>
      <w:r>
        <w:rPr/>
        <w:t>和图 </w:t>
      </w:r>
      <w:r>
        <w:rPr>
          <w:rFonts w:ascii="Times New Roman" w:eastAsia="Times New Roman"/>
        </w:rPr>
        <w:t>5.2-8</w:t>
      </w:r>
      <w:r>
        <w:rPr/>
        <w:t>。</w:t>
      </w:r>
    </w:p>
    <w:p>
      <w:pPr>
        <w:pStyle w:val="BodyText"/>
        <w:spacing w:before="9"/>
        <w:ind w:left="0"/>
        <w:rPr>
          <w:sz w:val="14"/>
        </w:rPr>
      </w:pPr>
      <w:r>
        <w:rPr/>
        <w:drawing>
          <wp:anchor distT="0" distB="0" distL="0" distR="0" allowOverlap="1" layoutInCell="1" locked="0" behindDoc="0" simplePos="0" relativeHeight="194">
            <wp:simplePos x="0" y="0"/>
            <wp:positionH relativeFrom="page">
              <wp:posOffset>963777</wp:posOffset>
            </wp:positionH>
            <wp:positionV relativeFrom="paragraph">
              <wp:posOffset>147954</wp:posOffset>
            </wp:positionV>
            <wp:extent cx="2686126" cy="2372677"/>
            <wp:effectExtent l="0" t="0" r="0" b="0"/>
            <wp:wrapTopAndBottom/>
            <wp:docPr id="17" name="image63.png"/>
            <wp:cNvGraphicFramePr>
              <a:graphicFrameLocks noChangeAspect="1"/>
            </wp:cNvGraphicFramePr>
            <a:graphic>
              <a:graphicData uri="http://schemas.openxmlformats.org/drawingml/2006/picture">
                <pic:pic>
                  <pic:nvPicPr>
                    <pic:cNvPr id="18" name="image63.png"/>
                    <pic:cNvPicPr/>
                  </pic:nvPicPr>
                  <pic:blipFill>
                    <a:blip r:embed="rId107" cstate="print"/>
                    <a:stretch>
                      <a:fillRect/>
                    </a:stretch>
                  </pic:blipFill>
                  <pic:spPr>
                    <a:xfrm>
                      <a:off x="0" y="0"/>
                      <a:ext cx="2686126" cy="2372677"/>
                    </a:xfrm>
                    <a:prstGeom prst="rect">
                      <a:avLst/>
                    </a:prstGeom>
                  </pic:spPr>
                </pic:pic>
              </a:graphicData>
            </a:graphic>
          </wp:anchor>
        </w:drawing>
      </w:r>
      <w:r>
        <w:rPr/>
        <w:drawing>
          <wp:anchor distT="0" distB="0" distL="0" distR="0" allowOverlap="1" layoutInCell="1" locked="0" behindDoc="0" simplePos="0" relativeHeight="195">
            <wp:simplePos x="0" y="0"/>
            <wp:positionH relativeFrom="page">
              <wp:posOffset>3745357</wp:posOffset>
            </wp:positionH>
            <wp:positionV relativeFrom="paragraph">
              <wp:posOffset>144779</wp:posOffset>
            </wp:positionV>
            <wp:extent cx="2738365" cy="2372677"/>
            <wp:effectExtent l="0" t="0" r="0" b="0"/>
            <wp:wrapTopAndBottom/>
            <wp:docPr id="19" name="image64.png"/>
            <wp:cNvGraphicFramePr>
              <a:graphicFrameLocks noChangeAspect="1"/>
            </wp:cNvGraphicFramePr>
            <a:graphic>
              <a:graphicData uri="http://schemas.openxmlformats.org/drawingml/2006/picture">
                <pic:pic>
                  <pic:nvPicPr>
                    <pic:cNvPr id="20" name="image64.png"/>
                    <pic:cNvPicPr/>
                  </pic:nvPicPr>
                  <pic:blipFill>
                    <a:blip r:embed="rId108" cstate="print"/>
                    <a:stretch>
                      <a:fillRect/>
                    </a:stretch>
                  </pic:blipFill>
                  <pic:spPr>
                    <a:xfrm>
                      <a:off x="0" y="0"/>
                      <a:ext cx="2738365" cy="2372677"/>
                    </a:xfrm>
                    <a:prstGeom prst="rect">
                      <a:avLst/>
                    </a:prstGeom>
                  </pic:spPr>
                </pic:pic>
              </a:graphicData>
            </a:graphic>
          </wp:anchor>
        </w:drawing>
      </w:r>
      <w:r>
        <w:rPr/>
        <w:drawing>
          <wp:anchor distT="0" distB="0" distL="0" distR="0" allowOverlap="1" layoutInCell="1" locked="0" behindDoc="0" simplePos="0" relativeHeight="196">
            <wp:simplePos x="0" y="0"/>
            <wp:positionH relativeFrom="page">
              <wp:posOffset>987590</wp:posOffset>
            </wp:positionH>
            <wp:positionV relativeFrom="paragraph">
              <wp:posOffset>2651760</wp:posOffset>
            </wp:positionV>
            <wp:extent cx="2685662" cy="2317146"/>
            <wp:effectExtent l="0" t="0" r="0" b="0"/>
            <wp:wrapTopAndBottom/>
            <wp:docPr id="21" name="image65.png"/>
            <wp:cNvGraphicFramePr>
              <a:graphicFrameLocks noChangeAspect="1"/>
            </wp:cNvGraphicFramePr>
            <a:graphic>
              <a:graphicData uri="http://schemas.openxmlformats.org/drawingml/2006/picture">
                <pic:pic>
                  <pic:nvPicPr>
                    <pic:cNvPr id="22" name="image65.png"/>
                    <pic:cNvPicPr/>
                  </pic:nvPicPr>
                  <pic:blipFill>
                    <a:blip r:embed="rId109" cstate="print"/>
                    <a:stretch>
                      <a:fillRect/>
                    </a:stretch>
                  </pic:blipFill>
                  <pic:spPr>
                    <a:xfrm>
                      <a:off x="0" y="0"/>
                      <a:ext cx="2685662" cy="2317146"/>
                    </a:xfrm>
                    <a:prstGeom prst="rect">
                      <a:avLst/>
                    </a:prstGeom>
                  </pic:spPr>
                </pic:pic>
              </a:graphicData>
            </a:graphic>
          </wp:anchor>
        </w:drawing>
      </w:r>
      <w:r>
        <w:rPr/>
        <w:drawing>
          <wp:anchor distT="0" distB="0" distL="0" distR="0" allowOverlap="1" layoutInCell="1" locked="0" behindDoc="0" simplePos="0" relativeHeight="197">
            <wp:simplePos x="0" y="0"/>
            <wp:positionH relativeFrom="page">
              <wp:posOffset>3759708</wp:posOffset>
            </wp:positionH>
            <wp:positionV relativeFrom="paragraph">
              <wp:posOffset>2666364</wp:posOffset>
            </wp:positionV>
            <wp:extent cx="2724032" cy="2317146"/>
            <wp:effectExtent l="0" t="0" r="0" b="0"/>
            <wp:wrapTopAndBottom/>
            <wp:docPr id="23" name="image66.png"/>
            <wp:cNvGraphicFramePr>
              <a:graphicFrameLocks noChangeAspect="1"/>
            </wp:cNvGraphicFramePr>
            <a:graphic>
              <a:graphicData uri="http://schemas.openxmlformats.org/drawingml/2006/picture">
                <pic:pic>
                  <pic:nvPicPr>
                    <pic:cNvPr id="24" name="image66.png"/>
                    <pic:cNvPicPr/>
                  </pic:nvPicPr>
                  <pic:blipFill>
                    <a:blip r:embed="rId110" cstate="print"/>
                    <a:stretch>
                      <a:fillRect/>
                    </a:stretch>
                  </pic:blipFill>
                  <pic:spPr>
                    <a:xfrm>
                      <a:off x="0" y="0"/>
                      <a:ext cx="2724032" cy="2317146"/>
                    </a:xfrm>
                    <a:prstGeom prst="rect">
                      <a:avLst/>
                    </a:prstGeom>
                  </pic:spPr>
                </pic:pic>
              </a:graphicData>
            </a:graphic>
          </wp:anchor>
        </w:drawing>
      </w:r>
    </w:p>
    <w:p>
      <w:pPr>
        <w:pStyle w:val="BodyText"/>
        <w:spacing w:before="10"/>
        <w:ind w:left="0"/>
        <w:rPr>
          <w:sz w:val="10"/>
        </w:rPr>
      </w:pPr>
    </w:p>
    <w:p>
      <w:pPr>
        <w:pStyle w:val="BodyText"/>
        <w:spacing w:before="6"/>
        <w:ind w:left="0"/>
        <w:rPr>
          <w:sz w:val="6"/>
        </w:rPr>
      </w:pPr>
    </w:p>
    <w:p>
      <w:pPr>
        <w:pStyle w:val="BodyText"/>
        <w:ind w:left="2720"/>
        <w:rPr>
          <w:sz w:val="20"/>
        </w:rPr>
      </w:pPr>
      <w:r>
        <w:rPr>
          <w:sz w:val="20"/>
        </w:rPr>
        <w:drawing>
          <wp:inline distT="0" distB="0" distL="0" distR="0">
            <wp:extent cx="2706234" cy="2283142"/>
            <wp:effectExtent l="0" t="0" r="0" b="0"/>
            <wp:docPr id="25" name="image67.png"/>
            <wp:cNvGraphicFramePr>
              <a:graphicFrameLocks noChangeAspect="1"/>
            </wp:cNvGraphicFramePr>
            <a:graphic>
              <a:graphicData uri="http://schemas.openxmlformats.org/drawingml/2006/picture">
                <pic:pic>
                  <pic:nvPicPr>
                    <pic:cNvPr id="26" name="image67.png"/>
                    <pic:cNvPicPr/>
                  </pic:nvPicPr>
                  <pic:blipFill>
                    <a:blip r:embed="rId111" cstate="print"/>
                    <a:stretch>
                      <a:fillRect/>
                    </a:stretch>
                  </pic:blipFill>
                  <pic:spPr>
                    <a:xfrm>
                      <a:off x="0" y="0"/>
                      <a:ext cx="2706234" cy="2283142"/>
                    </a:xfrm>
                    <a:prstGeom prst="rect">
                      <a:avLst/>
                    </a:prstGeom>
                  </pic:spPr>
                </pic:pic>
              </a:graphicData>
            </a:graphic>
          </wp:inline>
        </w:drawing>
      </w:r>
      <w:r>
        <w:rPr>
          <w:sz w:val="20"/>
        </w:rPr>
      </w:r>
    </w:p>
    <w:p>
      <w:pPr>
        <w:pStyle w:val="Heading3"/>
        <w:spacing w:before="150"/>
        <w:ind w:left="701" w:right="236"/>
        <w:jc w:val="center"/>
      </w:pPr>
      <w:r>
        <w:rPr/>
        <w:t>图 </w:t>
      </w:r>
      <w:r>
        <w:rPr>
          <w:rFonts w:ascii="Times New Roman" w:eastAsia="Times New Roman"/>
        </w:rPr>
        <w:t>5.2-8  </w:t>
      </w:r>
      <w:r>
        <w:rPr/>
        <w:t>风向频率玫瑰图</w:t>
      </w:r>
    </w:p>
    <w:p>
      <w:pPr>
        <w:spacing w:after="0"/>
        <w:jc w:val="center"/>
        <w:sectPr>
          <w:footerReference w:type="default" r:id="rId106"/>
          <w:pgSz w:w="11910" w:h="16840"/>
          <w:pgMar w:footer="1004" w:header="874" w:top="1420" w:bottom="1200" w:left="1040" w:right="1160"/>
        </w:sectPr>
      </w:pPr>
    </w:p>
    <w:p>
      <w:pPr>
        <w:spacing w:before="68" w:after="19"/>
        <w:ind w:left="3608" w:right="3608"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203"/>
        <w:rPr>
          <w:sz w:val="2"/>
        </w:rPr>
      </w:pPr>
      <w:r>
        <w:rPr>
          <w:sz w:val="2"/>
        </w:rPr>
        <w:pict>
          <v:group style="width:700.9pt;height:.75pt;mso-position-horizontal-relative:char;mso-position-vertical-relative:line" coordorigin="0,0" coordsize="14018,15">
            <v:line style="position:absolute" from="0,7" to="14018,7" stroked="true" strokeweight=".72pt" strokecolor="#000000">
              <v:stroke dashstyle="solid"/>
            </v:line>
          </v:group>
        </w:pict>
      </w:r>
      <w:r>
        <w:rPr>
          <w:sz w:val="2"/>
        </w:rPr>
      </w:r>
    </w:p>
    <w:p>
      <w:pPr>
        <w:pStyle w:val="BodyText"/>
        <w:spacing w:before="5"/>
        <w:ind w:left="0"/>
        <w:rPr>
          <w:sz w:val="23"/>
        </w:rPr>
      </w:pPr>
    </w:p>
    <w:p>
      <w:pPr>
        <w:pStyle w:val="Heading3"/>
        <w:spacing w:before="74"/>
        <w:ind w:left="3609" w:right="3608"/>
        <w:jc w:val="center"/>
        <w:rPr>
          <w:rFonts w:ascii="Times New Roman" w:eastAsia="Times New Roman"/>
        </w:rPr>
      </w:pPr>
      <w:r>
        <w:rPr/>
        <w:t>表 </w:t>
      </w:r>
      <w:r>
        <w:rPr>
          <w:rFonts w:ascii="Times New Roman" w:eastAsia="Times New Roman"/>
        </w:rPr>
        <w:t>5.2-17  </w:t>
      </w:r>
      <w:r>
        <w:rPr/>
        <w:t>年均风频的月变化 单位：</w:t>
      </w:r>
      <w:r>
        <w:rPr>
          <w:rFonts w:ascii="Times New Roman" w:eastAsia="Times New Roman"/>
        </w:rPr>
        <w:t>m/s</w:t>
      </w:r>
    </w:p>
    <w:p>
      <w:pPr>
        <w:pStyle w:val="BodyText"/>
        <w:spacing w:before="10"/>
        <w:ind w:left="0"/>
        <w:rPr>
          <w:rFonts w:ascii="Times New Roman"/>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58"/>
        <w:gridCol w:w="763"/>
        <w:gridCol w:w="763"/>
        <w:gridCol w:w="764"/>
        <w:gridCol w:w="715"/>
        <w:gridCol w:w="763"/>
        <w:gridCol w:w="763"/>
        <w:gridCol w:w="763"/>
        <w:gridCol w:w="751"/>
        <w:gridCol w:w="645"/>
        <w:gridCol w:w="729"/>
        <w:gridCol w:w="645"/>
        <w:gridCol w:w="830"/>
        <w:gridCol w:w="646"/>
        <w:gridCol w:w="871"/>
        <w:gridCol w:w="763"/>
        <w:gridCol w:w="809"/>
        <w:gridCol w:w="631"/>
      </w:tblGrid>
      <w:tr>
        <w:trPr>
          <w:trHeight w:val="359" w:hRule="atLeast"/>
        </w:trPr>
        <w:tc>
          <w:tcPr>
            <w:tcW w:w="1558" w:type="dxa"/>
            <w:tcBorders>
              <w:bottom w:val="single" w:sz="4" w:space="0" w:color="000000"/>
              <w:right w:val="single" w:sz="4" w:space="0" w:color="000000"/>
            </w:tcBorders>
          </w:tcPr>
          <w:p>
            <w:pPr>
              <w:pStyle w:val="TableParagraph"/>
              <w:spacing w:before="43"/>
              <w:ind w:left="162" w:right="141"/>
              <w:rPr>
                <w:b/>
                <w:sz w:val="21"/>
              </w:rPr>
            </w:pPr>
            <w:r>
              <w:rPr>
                <w:rFonts w:ascii="宋体" w:eastAsia="宋体" w:hint="eastAsia"/>
                <w:b/>
                <w:sz w:val="21"/>
              </w:rPr>
              <w:t>风向风频</w:t>
            </w:r>
            <w:r>
              <w:rPr>
                <w:b/>
                <w:sz w:val="21"/>
              </w:rPr>
              <w:t>(%)</w:t>
            </w:r>
          </w:p>
        </w:tc>
        <w:tc>
          <w:tcPr>
            <w:tcW w:w="763" w:type="dxa"/>
            <w:tcBorders>
              <w:left w:val="single" w:sz="4" w:space="0" w:color="000000"/>
              <w:bottom w:val="single" w:sz="4" w:space="0" w:color="000000"/>
              <w:right w:val="single" w:sz="4" w:space="0" w:color="000000"/>
            </w:tcBorders>
          </w:tcPr>
          <w:p>
            <w:pPr>
              <w:pStyle w:val="TableParagraph"/>
              <w:spacing w:before="57"/>
              <w:ind w:left="27"/>
              <w:rPr>
                <w:b/>
                <w:sz w:val="21"/>
              </w:rPr>
            </w:pPr>
            <w:r>
              <w:rPr>
                <w:b/>
                <w:w w:val="100"/>
                <w:sz w:val="21"/>
              </w:rPr>
              <w:t>N</w:t>
            </w:r>
          </w:p>
        </w:tc>
        <w:tc>
          <w:tcPr>
            <w:tcW w:w="763" w:type="dxa"/>
            <w:tcBorders>
              <w:left w:val="single" w:sz="4" w:space="0" w:color="000000"/>
              <w:bottom w:val="single" w:sz="4" w:space="0" w:color="000000"/>
              <w:right w:val="single" w:sz="4" w:space="0" w:color="000000"/>
            </w:tcBorders>
          </w:tcPr>
          <w:p>
            <w:pPr>
              <w:pStyle w:val="TableParagraph"/>
              <w:spacing w:before="57"/>
              <w:ind w:left="148" w:right="120"/>
              <w:rPr>
                <w:b/>
                <w:sz w:val="21"/>
              </w:rPr>
            </w:pPr>
            <w:r>
              <w:rPr>
                <w:b/>
                <w:sz w:val="21"/>
              </w:rPr>
              <w:t>NNE</w:t>
            </w:r>
          </w:p>
        </w:tc>
        <w:tc>
          <w:tcPr>
            <w:tcW w:w="764" w:type="dxa"/>
            <w:tcBorders>
              <w:left w:val="single" w:sz="4" w:space="0" w:color="000000"/>
              <w:bottom w:val="single" w:sz="4" w:space="0" w:color="000000"/>
              <w:right w:val="single" w:sz="4" w:space="0" w:color="000000"/>
            </w:tcBorders>
          </w:tcPr>
          <w:p>
            <w:pPr>
              <w:pStyle w:val="TableParagraph"/>
              <w:spacing w:before="57"/>
              <w:ind w:left="226" w:right="195"/>
              <w:rPr>
                <w:b/>
                <w:sz w:val="21"/>
              </w:rPr>
            </w:pPr>
            <w:r>
              <w:rPr>
                <w:b/>
                <w:sz w:val="21"/>
              </w:rPr>
              <w:t>NE</w:t>
            </w:r>
          </w:p>
        </w:tc>
        <w:tc>
          <w:tcPr>
            <w:tcW w:w="715" w:type="dxa"/>
            <w:tcBorders>
              <w:left w:val="single" w:sz="4" w:space="0" w:color="000000"/>
              <w:bottom w:val="single" w:sz="4" w:space="0" w:color="000000"/>
              <w:right w:val="single" w:sz="4" w:space="0" w:color="000000"/>
            </w:tcBorders>
          </w:tcPr>
          <w:p>
            <w:pPr>
              <w:pStyle w:val="TableParagraph"/>
              <w:spacing w:before="57"/>
              <w:ind w:left="148"/>
              <w:jc w:val="left"/>
              <w:rPr>
                <w:b/>
                <w:sz w:val="21"/>
              </w:rPr>
            </w:pPr>
            <w:r>
              <w:rPr>
                <w:b/>
                <w:sz w:val="21"/>
              </w:rPr>
              <w:t>ENE</w:t>
            </w:r>
          </w:p>
        </w:tc>
        <w:tc>
          <w:tcPr>
            <w:tcW w:w="763" w:type="dxa"/>
            <w:tcBorders>
              <w:left w:val="single" w:sz="4" w:space="0" w:color="000000"/>
              <w:bottom w:val="single" w:sz="4" w:space="0" w:color="000000"/>
              <w:right w:val="single" w:sz="4" w:space="0" w:color="000000"/>
            </w:tcBorders>
          </w:tcPr>
          <w:p>
            <w:pPr>
              <w:pStyle w:val="TableParagraph"/>
              <w:spacing w:before="57"/>
              <w:ind w:left="31"/>
              <w:rPr>
                <w:b/>
                <w:sz w:val="21"/>
              </w:rPr>
            </w:pPr>
            <w:r>
              <w:rPr>
                <w:b/>
                <w:w w:val="100"/>
                <w:sz w:val="21"/>
              </w:rPr>
              <w:t>E</w:t>
            </w:r>
          </w:p>
        </w:tc>
        <w:tc>
          <w:tcPr>
            <w:tcW w:w="763" w:type="dxa"/>
            <w:tcBorders>
              <w:left w:val="single" w:sz="4" w:space="0" w:color="000000"/>
              <w:bottom w:val="single" w:sz="4" w:space="0" w:color="000000"/>
              <w:right w:val="single" w:sz="4" w:space="0" w:color="000000"/>
            </w:tcBorders>
          </w:tcPr>
          <w:p>
            <w:pPr>
              <w:pStyle w:val="TableParagraph"/>
              <w:spacing w:before="57"/>
              <w:ind w:left="148" w:right="119"/>
              <w:rPr>
                <w:b/>
                <w:sz w:val="21"/>
              </w:rPr>
            </w:pPr>
            <w:r>
              <w:rPr>
                <w:b/>
                <w:sz w:val="21"/>
              </w:rPr>
              <w:t>ESE</w:t>
            </w:r>
          </w:p>
        </w:tc>
        <w:tc>
          <w:tcPr>
            <w:tcW w:w="763" w:type="dxa"/>
            <w:tcBorders>
              <w:left w:val="single" w:sz="4" w:space="0" w:color="000000"/>
              <w:bottom w:val="single" w:sz="4" w:space="0" w:color="000000"/>
              <w:right w:val="single" w:sz="4" w:space="0" w:color="000000"/>
            </w:tcBorders>
          </w:tcPr>
          <w:p>
            <w:pPr>
              <w:pStyle w:val="TableParagraph"/>
              <w:spacing w:before="57"/>
              <w:ind w:left="148" w:right="118"/>
              <w:rPr>
                <w:b/>
                <w:sz w:val="21"/>
              </w:rPr>
            </w:pPr>
            <w:r>
              <w:rPr>
                <w:b/>
                <w:sz w:val="21"/>
              </w:rPr>
              <w:t>SE</w:t>
            </w:r>
          </w:p>
        </w:tc>
        <w:tc>
          <w:tcPr>
            <w:tcW w:w="751" w:type="dxa"/>
            <w:tcBorders>
              <w:left w:val="single" w:sz="4" w:space="0" w:color="000000"/>
              <w:bottom w:val="single" w:sz="4" w:space="0" w:color="000000"/>
              <w:right w:val="single" w:sz="4" w:space="0" w:color="000000"/>
            </w:tcBorders>
          </w:tcPr>
          <w:p>
            <w:pPr>
              <w:pStyle w:val="TableParagraph"/>
              <w:spacing w:before="57"/>
              <w:ind w:left="178" w:right="148"/>
              <w:rPr>
                <w:b/>
                <w:sz w:val="21"/>
              </w:rPr>
            </w:pPr>
            <w:r>
              <w:rPr>
                <w:b/>
                <w:sz w:val="21"/>
              </w:rPr>
              <w:t>SSE</w:t>
            </w:r>
          </w:p>
        </w:tc>
        <w:tc>
          <w:tcPr>
            <w:tcW w:w="645" w:type="dxa"/>
            <w:tcBorders>
              <w:left w:val="single" w:sz="4" w:space="0" w:color="000000"/>
              <w:bottom w:val="single" w:sz="4" w:space="0" w:color="000000"/>
              <w:right w:val="single" w:sz="4" w:space="0" w:color="000000"/>
            </w:tcBorders>
          </w:tcPr>
          <w:p>
            <w:pPr>
              <w:pStyle w:val="TableParagraph"/>
              <w:spacing w:before="57"/>
              <w:ind w:left="32"/>
              <w:rPr>
                <w:b/>
                <w:sz w:val="21"/>
              </w:rPr>
            </w:pPr>
            <w:r>
              <w:rPr>
                <w:b/>
                <w:w w:val="100"/>
                <w:sz w:val="21"/>
              </w:rPr>
              <w:t>S</w:t>
            </w:r>
          </w:p>
        </w:tc>
        <w:tc>
          <w:tcPr>
            <w:tcW w:w="729" w:type="dxa"/>
            <w:tcBorders>
              <w:left w:val="single" w:sz="4" w:space="0" w:color="000000"/>
              <w:bottom w:val="single" w:sz="4" w:space="0" w:color="000000"/>
              <w:right w:val="single" w:sz="4" w:space="0" w:color="000000"/>
            </w:tcBorders>
          </w:tcPr>
          <w:p>
            <w:pPr>
              <w:pStyle w:val="TableParagraph"/>
              <w:spacing w:before="57"/>
              <w:ind w:left="134" w:right="101"/>
              <w:rPr>
                <w:b/>
                <w:sz w:val="21"/>
              </w:rPr>
            </w:pPr>
            <w:r>
              <w:rPr>
                <w:b/>
                <w:sz w:val="21"/>
              </w:rPr>
              <w:t>SSW</w:t>
            </w:r>
          </w:p>
        </w:tc>
        <w:tc>
          <w:tcPr>
            <w:tcW w:w="645" w:type="dxa"/>
            <w:tcBorders>
              <w:left w:val="single" w:sz="4" w:space="0" w:color="000000"/>
              <w:bottom w:val="single" w:sz="4" w:space="0" w:color="000000"/>
              <w:right w:val="single" w:sz="4" w:space="0" w:color="000000"/>
            </w:tcBorders>
          </w:tcPr>
          <w:p>
            <w:pPr>
              <w:pStyle w:val="TableParagraph"/>
              <w:spacing w:before="57"/>
              <w:ind w:left="124" w:right="89"/>
              <w:rPr>
                <w:b/>
                <w:sz w:val="21"/>
              </w:rPr>
            </w:pPr>
            <w:r>
              <w:rPr>
                <w:b/>
                <w:sz w:val="21"/>
              </w:rPr>
              <w:t>SW</w:t>
            </w:r>
          </w:p>
        </w:tc>
        <w:tc>
          <w:tcPr>
            <w:tcW w:w="830" w:type="dxa"/>
            <w:tcBorders>
              <w:left w:val="single" w:sz="4" w:space="0" w:color="000000"/>
              <w:bottom w:val="single" w:sz="4" w:space="0" w:color="000000"/>
              <w:right w:val="single" w:sz="4" w:space="0" w:color="000000"/>
            </w:tcBorders>
          </w:tcPr>
          <w:p>
            <w:pPr>
              <w:pStyle w:val="TableParagraph"/>
              <w:spacing w:before="57"/>
              <w:ind w:left="140" w:right="102"/>
              <w:rPr>
                <w:b/>
                <w:sz w:val="21"/>
              </w:rPr>
            </w:pPr>
            <w:r>
              <w:rPr>
                <w:b/>
                <w:sz w:val="21"/>
              </w:rPr>
              <w:t>WSW</w:t>
            </w:r>
          </w:p>
        </w:tc>
        <w:tc>
          <w:tcPr>
            <w:tcW w:w="646" w:type="dxa"/>
            <w:tcBorders>
              <w:left w:val="single" w:sz="4" w:space="0" w:color="000000"/>
              <w:bottom w:val="single" w:sz="4" w:space="0" w:color="000000"/>
              <w:right w:val="single" w:sz="4" w:space="0" w:color="000000"/>
            </w:tcBorders>
          </w:tcPr>
          <w:p>
            <w:pPr>
              <w:pStyle w:val="TableParagraph"/>
              <w:spacing w:before="57"/>
              <w:ind w:right="193"/>
              <w:jc w:val="right"/>
              <w:rPr>
                <w:b/>
                <w:sz w:val="21"/>
              </w:rPr>
            </w:pPr>
            <w:r>
              <w:rPr>
                <w:b/>
                <w:w w:val="100"/>
                <w:sz w:val="21"/>
              </w:rPr>
              <w:t>W</w:t>
            </w:r>
          </w:p>
        </w:tc>
        <w:tc>
          <w:tcPr>
            <w:tcW w:w="871" w:type="dxa"/>
            <w:tcBorders>
              <w:left w:val="single" w:sz="4" w:space="0" w:color="000000"/>
              <w:bottom w:val="single" w:sz="4" w:space="0" w:color="000000"/>
              <w:right w:val="single" w:sz="4" w:space="0" w:color="000000"/>
            </w:tcBorders>
          </w:tcPr>
          <w:p>
            <w:pPr>
              <w:pStyle w:val="TableParagraph"/>
              <w:spacing w:before="57"/>
              <w:ind w:left="135" w:right="98"/>
              <w:rPr>
                <w:b/>
                <w:sz w:val="21"/>
              </w:rPr>
            </w:pPr>
            <w:r>
              <w:rPr>
                <w:b/>
                <w:sz w:val="21"/>
              </w:rPr>
              <w:t>WNW</w:t>
            </w:r>
          </w:p>
        </w:tc>
        <w:tc>
          <w:tcPr>
            <w:tcW w:w="763" w:type="dxa"/>
            <w:tcBorders>
              <w:left w:val="single" w:sz="4" w:space="0" w:color="000000"/>
              <w:bottom w:val="single" w:sz="4" w:space="0" w:color="000000"/>
              <w:right w:val="single" w:sz="4" w:space="0" w:color="000000"/>
            </w:tcBorders>
          </w:tcPr>
          <w:p>
            <w:pPr>
              <w:pStyle w:val="TableParagraph"/>
              <w:spacing w:before="57"/>
              <w:ind w:left="148" w:right="110"/>
              <w:rPr>
                <w:b/>
                <w:sz w:val="21"/>
              </w:rPr>
            </w:pPr>
            <w:r>
              <w:rPr>
                <w:b/>
                <w:sz w:val="21"/>
              </w:rPr>
              <w:t>NW</w:t>
            </w:r>
          </w:p>
        </w:tc>
        <w:tc>
          <w:tcPr>
            <w:tcW w:w="809" w:type="dxa"/>
            <w:tcBorders>
              <w:left w:val="single" w:sz="4" w:space="0" w:color="000000"/>
              <w:bottom w:val="single" w:sz="4" w:space="0" w:color="000000"/>
              <w:right w:val="single" w:sz="4" w:space="0" w:color="000000"/>
            </w:tcBorders>
          </w:tcPr>
          <w:p>
            <w:pPr>
              <w:pStyle w:val="TableParagraph"/>
              <w:spacing w:before="57"/>
              <w:ind w:left="141" w:right="104"/>
              <w:rPr>
                <w:b/>
                <w:sz w:val="21"/>
              </w:rPr>
            </w:pPr>
            <w:r>
              <w:rPr>
                <w:b/>
                <w:sz w:val="21"/>
              </w:rPr>
              <w:t>NNW</w:t>
            </w:r>
          </w:p>
        </w:tc>
        <w:tc>
          <w:tcPr>
            <w:tcW w:w="631" w:type="dxa"/>
            <w:tcBorders>
              <w:left w:val="single" w:sz="4" w:space="0" w:color="000000"/>
              <w:bottom w:val="single" w:sz="4" w:space="0" w:color="000000"/>
            </w:tcBorders>
          </w:tcPr>
          <w:p>
            <w:pPr>
              <w:pStyle w:val="TableParagraph"/>
              <w:spacing w:before="57"/>
              <w:ind w:left="43"/>
              <w:rPr>
                <w:b/>
                <w:sz w:val="21"/>
              </w:rPr>
            </w:pPr>
            <w:r>
              <w:rPr>
                <w:b/>
                <w:w w:val="100"/>
                <w:sz w:val="21"/>
              </w:rPr>
              <w:t>C</w:t>
            </w:r>
          </w:p>
        </w:tc>
      </w:tr>
      <w:tr>
        <w:trPr>
          <w:trHeight w:val="359"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一月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4.4</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3.0</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5.2</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16.8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10.6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2.7</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1.7</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1.2</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5.1</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1.9</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1.3</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4.6</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9.0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13.9</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5.9</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2.3</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10.2</w:t>
            </w:r>
          </w:p>
        </w:tc>
      </w:tr>
      <w:tr>
        <w:trPr>
          <w:trHeight w:val="357"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二月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3.9</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5.7</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8.6</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19.0</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16.2</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3.7</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1.5</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1.8</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2.5</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2.1</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1.8</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1.9</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6.3</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10.0</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5.5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1.8</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7.7</w:t>
            </w:r>
          </w:p>
        </w:tc>
      </w:tr>
      <w:tr>
        <w:trPr>
          <w:trHeight w:val="360" w:hRule="atLeast"/>
        </w:trPr>
        <w:tc>
          <w:tcPr>
            <w:tcW w:w="1558" w:type="dxa"/>
            <w:tcBorders>
              <w:top w:val="single" w:sz="4" w:space="0" w:color="000000"/>
              <w:bottom w:val="single" w:sz="4" w:space="0" w:color="000000"/>
              <w:right w:val="single" w:sz="4" w:space="0" w:color="000000"/>
            </w:tcBorders>
          </w:tcPr>
          <w:p>
            <w:pPr>
              <w:pStyle w:val="TableParagraph"/>
              <w:spacing w:before="45"/>
              <w:ind w:left="162" w:right="141"/>
              <w:rPr>
                <w:rFonts w:ascii="宋体" w:eastAsia="宋体" w:hint="eastAsia"/>
                <w:sz w:val="21"/>
              </w:rPr>
            </w:pPr>
            <w:r>
              <w:rPr>
                <w:rFonts w:ascii="宋体" w:eastAsia="宋体" w:hint="eastAsia"/>
                <w:sz w:val="21"/>
              </w:rPr>
              <w:t>三月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2.6</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3.8</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20.0</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19.0</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6.6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2.2</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2.7</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3.5</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3.8</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3.0</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3.9</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8.3</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8.5</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2.7</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1.3</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5.8</w:t>
            </w:r>
          </w:p>
        </w:tc>
      </w:tr>
      <w:tr>
        <w:trPr>
          <w:trHeight w:val="359"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四月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2.1</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1.7</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5.8</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19.4</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15.6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5.0</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3.1</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3.9</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5.6</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4.9</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3.6</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4.3</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4.6</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6.5</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3.1</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1.7</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9.3</w:t>
            </w:r>
          </w:p>
        </w:tc>
      </w:tr>
      <w:tr>
        <w:trPr>
          <w:trHeight w:val="357"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五月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1.6</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6.2</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21.1</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19.2</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5.5</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4.6</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5.5</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3.8</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3.1</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3.0</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4.4</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4.7</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4.7</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2.7</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1.7</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6.6</w:t>
            </w:r>
          </w:p>
        </w:tc>
      </w:tr>
      <w:tr>
        <w:trPr>
          <w:trHeight w:val="359"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六月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2.1</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2.1</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5.3</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22.6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24.7</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5.7</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2.9</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4.0</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5.3</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3.6</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1.8</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3.6</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4.0</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3.8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1.4</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1.0</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6.1</w:t>
            </w:r>
          </w:p>
        </w:tc>
      </w:tr>
      <w:tr>
        <w:trPr>
          <w:trHeight w:val="359"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七月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1.3</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1.2</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3.5</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16.0</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6"/>
              <w:rPr>
                <w:sz w:val="21"/>
              </w:rPr>
            </w:pPr>
            <w:r>
              <w:rPr>
                <w:sz w:val="21"/>
              </w:rPr>
              <w:t>11.8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5.8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4.7</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5.8</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9.9</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7.7</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5.9</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5.5</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4.8</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6.6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1.1</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1.3</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7.0</w:t>
            </w:r>
          </w:p>
        </w:tc>
      </w:tr>
      <w:tr>
        <w:trPr>
          <w:trHeight w:val="357"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八月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1.3</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1.1</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4.7</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19.1</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24.6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7.8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2.3</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4.2</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4.0</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3.2</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5.1</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6.0</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5.4</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5.2</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1.5</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0.7</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3.8</w:t>
            </w:r>
          </w:p>
        </w:tc>
      </w:tr>
      <w:tr>
        <w:trPr>
          <w:trHeight w:val="360"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九月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3.2</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3.8</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7.2</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19.2</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18.3</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3.9</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1.4</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0.4</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1.0</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1.4</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1.9</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4.4</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8.1</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10.6</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5.1</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2.6</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7.5</w:t>
            </w:r>
          </w:p>
        </w:tc>
      </w:tr>
      <w:tr>
        <w:trPr>
          <w:trHeight w:val="359"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十月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3.8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4.6</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4.6</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14.9</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12.8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2.4</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1.2</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1.6</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2.6</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2.6</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3.6</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3.0</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7.5</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14.0</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6.3</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2.0</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12.6</w:t>
            </w:r>
          </w:p>
        </w:tc>
      </w:tr>
      <w:tr>
        <w:trPr>
          <w:trHeight w:val="357" w:hRule="atLeast"/>
        </w:trPr>
        <w:tc>
          <w:tcPr>
            <w:tcW w:w="1558" w:type="dxa"/>
            <w:tcBorders>
              <w:top w:val="single" w:sz="4" w:space="0" w:color="000000"/>
              <w:bottom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十一月</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2.5</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2.4</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ind w:left="223" w:right="195"/>
              <w:rPr>
                <w:sz w:val="21"/>
              </w:rPr>
            </w:pPr>
            <w:r>
              <w:rPr>
                <w:sz w:val="21"/>
              </w:rPr>
              <w:t>4.9</w:t>
            </w:r>
          </w:p>
        </w:tc>
        <w:tc>
          <w:tcPr>
            <w:tcW w:w="715" w:type="dxa"/>
            <w:tcBorders>
              <w:top w:val="single" w:sz="4" w:space="0" w:color="000000"/>
              <w:left w:val="single" w:sz="4" w:space="0" w:color="000000"/>
              <w:bottom w:val="single" w:sz="4" w:space="0" w:color="000000"/>
              <w:right w:val="single" w:sz="4" w:space="0" w:color="000000"/>
            </w:tcBorders>
          </w:tcPr>
          <w:p>
            <w:pPr>
              <w:pStyle w:val="TableParagraph"/>
              <w:ind w:left="182"/>
              <w:jc w:val="left"/>
              <w:rPr>
                <w:sz w:val="21"/>
              </w:rPr>
            </w:pPr>
            <w:r>
              <w:rPr>
                <w:sz w:val="21"/>
              </w:rPr>
              <w:t>14.9</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9"/>
              <w:rPr>
                <w:sz w:val="21"/>
              </w:rPr>
            </w:pPr>
            <w:r>
              <w:rPr>
                <w:sz w:val="21"/>
              </w:rPr>
              <w:t>12.2</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3.8</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8"/>
              <w:rPr>
                <w:sz w:val="21"/>
              </w:rPr>
            </w:pPr>
            <w:r>
              <w:rPr>
                <w:sz w:val="21"/>
              </w:rPr>
              <w:t>2.5</w:t>
            </w:r>
          </w:p>
        </w:tc>
        <w:tc>
          <w:tcPr>
            <w:tcW w:w="751" w:type="dxa"/>
            <w:tcBorders>
              <w:top w:val="single" w:sz="4" w:space="0" w:color="000000"/>
              <w:left w:val="single" w:sz="4" w:space="0" w:color="000000"/>
              <w:bottom w:val="single" w:sz="4" w:space="0" w:color="000000"/>
              <w:right w:val="single" w:sz="4" w:space="0" w:color="000000"/>
            </w:tcBorders>
          </w:tcPr>
          <w:p>
            <w:pPr>
              <w:pStyle w:val="TableParagraph"/>
              <w:ind w:left="178" w:right="145"/>
              <w:rPr>
                <w:sz w:val="21"/>
              </w:rPr>
            </w:pPr>
            <w:r>
              <w:rPr>
                <w:sz w:val="21"/>
              </w:rPr>
              <w:t>2.9</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9"/>
              <w:rPr>
                <w:sz w:val="21"/>
              </w:rPr>
            </w:pPr>
            <w:r>
              <w:rPr>
                <w:sz w:val="21"/>
              </w:rPr>
              <w:t>2.9</w:t>
            </w:r>
          </w:p>
        </w:tc>
        <w:tc>
          <w:tcPr>
            <w:tcW w:w="729" w:type="dxa"/>
            <w:tcBorders>
              <w:top w:val="single" w:sz="4" w:space="0" w:color="000000"/>
              <w:left w:val="single" w:sz="4" w:space="0" w:color="000000"/>
              <w:bottom w:val="single" w:sz="4" w:space="0" w:color="000000"/>
              <w:right w:val="single" w:sz="4" w:space="0" w:color="000000"/>
            </w:tcBorders>
          </w:tcPr>
          <w:p>
            <w:pPr>
              <w:pStyle w:val="TableParagraph"/>
              <w:ind w:left="134" w:right="101"/>
              <w:rPr>
                <w:sz w:val="21"/>
              </w:rPr>
            </w:pPr>
            <w:r>
              <w:rPr>
                <w:sz w:val="21"/>
              </w:rPr>
              <w:t>2.4</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ind w:left="124" w:right="87"/>
              <w:rPr>
                <w:sz w:val="21"/>
              </w:rPr>
            </w:pPr>
            <w:r>
              <w:rPr>
                <w:sz w:val="21"/>
              </w:rPr>
              <w:t>3.6</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ind w:left="138" w:right="102"/>
              <w:rPr>
                <w:sz w:val="21"/>
              </w:rPr>
            </w:pPr>
            <w:r>
              <w:rPr>
                <w:sz w:val="21"/>
              </w:rPr>
              <w:t>4.2</w:t>
            </w:r>
          </w:p>
        </w:tc>
        <w:tc>
          <w:tcPr>
            <w:tcW w:w="646" w:type="dxa"/>
            <w:tcBorders>
              <w:top w:val="single" w:sz="4" w:space="0" w:color="000000"/>
              <w:left w:val="single" w:sz="4" w:space="0" w:color="000000"/>
              <w:bottom w:val="single" w:sz="4" w:space="0" w:color="000000"/>
              <w:right w:val="single" w:sz="4" w:space="0" w:color="000000"/>
            </w:tcBorders>
          </w:tcPr>
          <w:p>
            <w:pPr>
              <w:pStyle w:val="TableParagraph"/>
              <w:ind w:right="164"/>
              <w:jc w:val="right"/>
              <w:rPr>
                <w:sz w:val="21"/>
              </w:rPr>
            </w:pPr>
            <w:r>
              <w:rPr>
                <w:sz w:val="21"/>
              </w:rPr>
              <w:t>9.4</w:t>
            </w:r>
          </w:p>
        </w:tc>
        <w:tc>
          <w:tcPr>
            <w:tcW w:w="871" w:type="dxa"/>
            <w:tcBorders>
              <w:top w:val="single" w:sz="4" w:space="0" w:color="000000"/>
              <w:left w:val="single" w:sz="4" w:space="0" w:color="000000"/>
              <w:bottom w:val="single" w:sz="4" w:space="0" w:color="000000"/>
              <w:right w:val="single" w:sz="4" w:space="0" w:color="000000"/>
            </w:tcBorders>
          </w:tcPr>
          <w:p>
            <w:pPr>
              <w:pStyle w:val="TableParagraph"/>
              <w:ind w:left="132" w:right="98"/>
              <w:rPr>
                <w:sz w:val="21"/>
              </w:rPr>
            </w:pPr>
            <w:r>
              <w:rPr>
                <w:sz w:val="21"/>
              </w:rPr>
              <w:t>13.3</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ind w:left="148" w:right="111"/>
              <w:rPr>
                <w:sz w:val="21"/>
              </w:rPr>
            </w:pPr>
            <w:r>
              <w:rPr>
                <w:sz w:val="21"/>
              </w:rPr>
              <w:t>5.0</w:t>
            </w:r>
          </w:p>
        </w:tc>
        <w:tc>
          <w:tcPr>
            <w:tcW w:w="809" w:type="dxa"/>
            <w:tcBorders>
              <w:top w:val="single" w:sz="4" w:space="0" w:color="000000"/>
              <w:left w:val="single" w:sz="4" w:space="0" w:color="000000"/>
              <w:bottom w:val="single" w:sz="4" w:space="0" w:color="000000"/>
              <w:right w:val="single" w:sz="4" w:space="0" w:color="000000"/>
            </w:tcBorders>
          </w:tcPr>
          <w:p>
            <w:pPr>
              <w:pStyle w:val="TableParagraph"/>
              <w:ind w:left="141" w:right="102"/>
              <w:rPr>
                <w:sz w:val="21"/>
              </w:rPr>
            </w:pPr>
            <w:r>
              <w:rPr>
                <w:sz w:val="21"/>
              </w:rPr>
              <w:t>2.8</w:t>
            </w:r>
          </w:p>
        </w:tc>
        <w:tc>
          <w:tcPr>
            <w:tcW w:w="631" w:type="dxa"/>
            <w:tcBorders>
              <w:top w:val="single" w:sz="4" w:space="0" w:color="000000"/>
              <w:left w:val="single" w:sz="4" w:space="0" w:color="000000"/>
              <w:bottom w:val="single" w:sz="4" w:space="0" w:color="000000"/>
            </w:tcBorders>
          </w:tcPr>
          <w:p>
            <w:pPr>
              <w:pStyle w:val="TableParagraph"/>
              <w:ind w:left="124" w:right="79"/>
              <w:rPr>
                <w:sz w:val="21"/>
              </w:rPr>
            </w:pPr>
            <w:r>
              <w:rPr>
                <w:sz w:val="21"/>
              </w:rPr>
              <w:t>10.4</w:t>
            </w:r>
          </w:p>
        </w:tc>
      </w:tr>
      <w:tr>
        <w:trPr>
          <w:trHeight w:val="356" w:hRule="atLeast"/>
        </w:trPr>
        <w:tc>
          <w:tcPr>
            <w:tcW w:w="1558" w:type="dxa"/>
            <w:tcBorders>
              <w:top w:val="single" w:sz="4" w:space="0" w:color="000000"/>
              <w:right w:val="single" w:sz="4" w:space="0" w:color="000000"/>
            </w:tcBorders>
          </w:tcPr>
          <w:p>
            <w:pPr>
              <w:pStyle w:val="TableParagraph"/>
              <w:spacing w:before="44"/>
              <w:ind w:left="162" w:right="141"/>
              <w:rPr>
                <w:rFonts w:ascii="宋体" w:eastAsia="宋体" w:hint="eastAsia"/>
                <w:sz w:val="21"/>
              </w:rPr>
            </w:pPr>
            <w:r>
              <w:rPr>
                <w:rFonts w:ascii="宋体" w:eastAsia="宋体" w:hint="eastAsia"/>
                <w:sz w:val="21"/>
              </w:rPr>
              <w:t>十二月</w:t>
            </w:r>
          </w:p>
        </w:tc>
        <w:tc>
          <w:tcPr>
            <w:tcW w:w="763" w:type="dxa"/>
            <w:tcBorders>
              <w:top w:val="single" w:sz="4" w:space="0" w:color="000000"/>
              <w:left w:val="single" w:sz="4" w:space="0" w:color="000000"/>
              <w:right w:val="single" w:sz="4" w:space="0" w:color="000000"/>
            </w:tcBorders>
          </w:tcPr>
          <w:p>
            <w:pPr>
              <w:pStyle w:val="TableParagraph"/>
              <w:ind w:left="148" w:right="119"/>
              <w:rPr>
                <w:sz w:val="21"/>
              </w:rPr>
            </w:pPr>
            <w:r>
              <w:rPr>
                <w:sz w:val="21"/>
              </w:rPr>
              <w:t>3.1</w:t>
            </w:r>
          </w:p>
        </w:tc>
        <w:tc>
          <w:tcPr>
            <w:tcW w:w="763" w:type="dxa"/>
            <w:tcBorders>
              <w:top w:val="single" w:sz="4" w:space="0" w:color="000000"/>
              <w:left w:val="single" w:sz="4" w:space="0" w:color="000000"/>
              <w:right w:val="single" w:sz="4" w:space="0" w:color="000000"/>
            </w:tcBorders>
          </w:tcPr>
          <w:p>
            <w:pPr>
              <w:pStyle w:val="TableParagraph"/>
              <w:ind w:left="148" w:right="119"/>
              <w:rPr>
                <w:sz w:val="21"/>
              </w:rPr>
            </w:pPr>
            <w:r>
              <w:rPr>
                <w:sz w:val="21"/>
              </w:rPr>
              <w:t>2.2</w:t>
            </w:r>
          </w:p>
        </w:tc>
        <w:tc>
          <w:tcPr>
            <w:tcW w:w="764" w:type="dxa"/>
            <w:tcBorders>
              <w:top w:val="single" w:sz="4" w:space="0" w:color="000000"/>
              <w:left w:val="single" w:sz="4" w:space="0" w:color="000000"/>
              <w:right w:val="single" w:sz="4" w:space="0" w:color="000000"/>
            </w:tcBorders>
          </w:tcPr>
          <w:p>
            <w:pPr>
              <w:pStyle w:val="TableParagraph"/>
              <w:ind w:left="223" w:right="195"/>
              <w:rPr>
                <w:sz w:val="21"/>
              </w:rPr>
            </w:pPr>
            <w:r>
              <w:rPr>
                <w:sz w:val="21"/>
              </w:rPr>
              <w:t>4.3</w:t>
            </w:r>
          </w:p>
        </w:tc>
        <w:tc>
          <w:tcPr>
            <w:tcW w:w="715" w:type="dxa"/>
            <w:tcBorders>
              <w:top w:val="single" w:sz="4" w:space="0" w:color="000000"/>
              <w:left w:val="single" w:sz="4" w:space="0" w:color="000000"/>
              <w:right w:val="single" w:sz="4" w:space="0" w:color="000000"/>
            </w:tcBorders>
          </w:tcPr>
          <w:p>
            <w:pPr>
              <w:pStyle w:val="TableParagraph"/>
              <w:ind w:left="182"/>
              <w:jc w:val="left"/>
              <w:rPr>
                <w:sz w:val="21"/>
              </w:rPr>
            </w:pPr>
            <w:r>
              <w:rPr>
                <w:sz w:val="21"/>
              </w:rPr>
              <w:t>12.5</w:t>
            </w:r>
          </w:p>
        </w:tc>
        <w:tc>
          <w:tcPr>
            <w:tcW w:w="763" w:type="dxa"/>
            <w:tcBorders>
              <w:top w:val="single" w:sz="4" w:space="0" w:color="000000"/>
              <w:left w:val="single" w:sz="4" w:space="0" w:color="000000"/>
              <w:right w:val="single" w:sz="4" w:space="0" w:color="000000"/>
            </w:tcBorders>
          </w:tcPr>
          <w:p>
            <w:pPr>
              <w:pStyle w:val="TableParagraph"/>
              <w:ind w:left="148" w:right="116"/>
              <w:rPr>
                <w:sz w:val="21"/>
              </w:rPr>
            </w:pPr>
            <w:r>
              <w:rPr>
                <w:sz w:val="21"/>
              </w:rPr>
              <w:t>11.7</w:t>
            </w:r>
          </w:p>
        </w:tc>
        <w:tc>
          <w:tcPr>
            <w:tcW w:w="763" w:type="dxa"/>
            <w:tcBorders>
              <w:top w:val="single" w:sz="4" w:space="0" w:color="000000"/>
              <w:left w:val="single" w:sz="4" w:space="0" w:color="000000"/>
              <w:right w:val="single" w:sz="4" w:space="0" w:color="000000"/>
            </w:tcBorders>
          </w:tcPr>
          <w:p>
            <w:pPr>
              <w:pStyle w:val="TableParagraph"/>
              <w:ind w:left="148" w:right="118"/>
              <w:rPr>
                <w:sz w:val="21"/>
              </w:rPr>
            </w:pPr>
            <w:r>
              <w:rPr>
                <w:sz w:val="21"/>
              </w:rPr>
              <w:t>2.3</w:t>
            </w:r>
          </w:p>
        </w:tc>
        <w:tc>
          <w:tcPr>
            <w:tcW w:w="763" w:type="dxa"/>
            <w:tcBorders>
              <w:top w:val="single" w:sz="4" w:space="0" w:color="000000"/>
              <w:left w:val="single" w:sz="4" w:space="0" w:color="000000"/>
              <w:right w:val="single" w:sz="4" w:space="0" w:color="000000"/>
            </w:tcBorders>
          </w:tcPr>
          <w:p>
            <w:pPr>
              <w:pStyle w:val="TableParagraph"/>
              <w:ind w:left="148" w:right="118"/>
              <w:rPr>
                <w:sz w:val="21"/>
              </w:rPr>
            </w:pPr>
            <w:r>
              <w:rPr>
                <w:sz w:val="21"/>
              </w:rPr>
              <w:t>1.3</w:t>
            </w:r>
          </w:p>
        </w:tc>
        <w:tc>
          <w:tcPr>
            <w:tcW w:w="751" w:type="dxa"/>
            <w:tcBorders>
              <w:top w:val="single" w:sz="4" w:space="0" w:color="000000"/>
              <w:left w:val="single" w:sz="4" w:space="0" w:color="000000"/>
              <w:right w:val="single" w:sz="4" w:space="0" w:color="000000"/>
            </w:tcBorders>
          </w:tcPr>
          <w:p>
            <w:pPr>
              <w:pStyle w:val="TableParagraph"/>
              <w:ind w:left="178" w:right="145"/>
              <w:rPr>
                <w:sz w:val="21"/>
              </w:rPr>
            </w:pPr>
            <w:r>
              <w:rPr>
                <w:sz w:val="21"/>
              </w:rPr>
              <w:t>1.7</w:t>
            </w:r>
          </w:p>
        </w:tc>
        <w:tc>
          <w:tcPr>
            <w:tcW w:w="645" w:type="dxa"/>
            <w:tcBorders>
              <w:top w:val="single" w:sz="4" w:space="0" w:color="000000"/>
              <w:left w:val="single" w:sz="4" w:space="0" w:color="000000"/>
              <w:right w:val="single" w:sz="4" w:space="0" w:color="000000"/>
            </w:tcBorders>
          </w:tcPr>
          <w:p>
            <w:pPr>
              <w:pStyle w:val="TableParagraph"/>
              <w:ind w:left="124" w:right="89"/>
              <w:rPr>
                <w:sz w:val="21"/>
              </w:rPr>
            </w:pPr>
            <w:r>
              <w:rPr>
                <w:sz w:val="21"/>
              </w:rPr>
              <w:t>3.6</w:t>
            </w:r>
          </w:p>
        </w:tc>
        <w:tc>
          <w:tcPr>
            <w:tcW w:w="729" w:type="dxa"/>
            <w:tcBorders>
              <w:top w:val="single" w:sz="4" w:space="0" w:color="000000"/>
              <w:left w:val="single" w:sz="4" w:space="0" w:color="000000"/>
              <w:right w:val="single" w:sz="4" w:space="0" w:color="000000"/>
            </w:tcBorders>
          </w:tcPr>
          <w:p>
            <w:pPr>
              <w:pStyle w:val="TableParagraph"/>
              <w:ind w:left="134" w:right="101"/>
              <w:rPr>
                <w:sz w:val="21"/>
              </w:rPr>
            </w:pPr>
            <w:r>
              <w:rPr>
                <w:sz w:val="21"/>
              </w:rPr>
              <w:t>2.3</w:t>
            </w:r>
          </w:p>
        </w:tc>
        <w:tc>
          <w:tcPr>
            <w:tcW w:w="645" w:type="dxa"/>
            <w:tcBorders>
              <w:top w:val="single" w:sz="4" w:space="0" w:color="000000"/>
              <w:left w:val="single" w:sz="4" w:space="0" w:color="000000"/>
              <w:right w:val="single" w:sz="4" w:space="0" w:color="000000"/>
            </w:tcBorders>
          </w:tcPr>
          <w:p>
            <w:pPr>
              <w:pStyle w:val="TableParagraph"/>
              <w:ind w:left="124" w:right="87"/>
              <w:rPr>
                <w:sz w:val="21"/>
              </w:rPr>
            </w:pPr>
            <w:r>
              <w:rPr>
                <w:sz w:val="21"/>
              </w:rPr>
              <w:t>2.4</w:t>
            </w:r>
          </w:p>
        </w:tc>
        <w:tc>
          <w:tcPr>
            <w:tcW w:w="830" w:type="dxa"/>
            <w:tcBorders>
              <w:top w:val="single" w:sz="4" w:space="0" w:color="000000"/>
              <w:left w:val="single" w:sz="4" w:space="0" w:color="000000"/>
              <w:right w:val="single" w:sz="4" w:space="0" w:color="000000"/>
            </w:tcBorders>
          </w:tcPr>
          <w:p>
            <w:pPr>
              <w:pStyle w:val="TableParagraph"/>
              <w:ind w:left="138" w:right="102"/>
              <w:rPr>
                <w:sz w:val="21"/>
              </w:rPr>
            </w:pPr>
            <w:r>
              <w:rPr>
                <w:sz w:val="21"/>
              </w:rPr>
              <w:t>4.0</w:t>
            </w:r>
          </w:p>
        </w:tc>
        <w:tc>
          <w:tcPr>
            <w:tcW w:w="646" w:type="dxa"/>
            <w:tcBorders>
              <w:top w:val="single" w:sz="4" w:space="0" w:color="000000"/>
              <w:left w:val="single" w:sz="4" w:space="0" w:color="000000"/>
              <w:right w:val="single" w:sz="4" w:space="0" w:color="000000"/>
            </w:tcBorders>
          </w:tcPr>
          <w:p>
            <w:pPr>
              <w:pStyle w:val="TableParagraph"/>
              <w:ind w:right="164"/>
              <w:jc w:val="right"/>
              <w:rPr>
                <w:sz w:val="21"/>
              </w:rPr>
            </w:pPr>
            <w:r>
              <w:rPr>
                <w:sz w:val="21"/>
              </w:rPr>
              <w:t>9.0</w:t>
            </w:r>
          </w:p>
        </w:tc>
        <w:tc>
          <w:tcPr>
            <w:tcW w:w="871" w:type="dxa"/>
            <w:tcBorders>
              <w:top w:val="single" w:sz="4" w:space="0" w:color="000000"/>
              <w:left w:val="single" w:sz="4" w:space="0" w:color="000000"/>
              <w:right w:val="single" w:sz="4" w:space="0" w:color="000000"/>
            </w:tcBorders>
          </w:tcPr>
          <w:p>
            <w:pPr>
              <w:pStyle w:val="TableParagraph"/>
              <w:ind w:left="132" w:right="98"/>
              <w:rPr>
                <w:sz w:val="21"/>
              </w:rPr>
            </w:pPr>
            <w:r>
              <w:rPr>
                <w:sz w:val="21"/>
              </w:rPr>
              <w:t>15.6</w:t>
            </w:r>
          </w:p>
        </w:tc>
        <w:tc>
          <w:tcPr>
            <w:tcW w:w="763" w:type="dxa"/>
            <w:tcBorders>
              <w:top w:val="single" w:sz="4" w:space="0" w:color="000000"/>
              <w:left w:val="single" w:sz="4" w:space="0" w:color="000000"/>
              <w:right w:val="single" w:sz="4" w:space="0" w:color="000000"/>
            </w:tcBorders>
          </w:tcPr>
          <w:p>
            <w:pPr>
              <w:pStyle w:val="TableParagraph"/>
              <w:ind w:left="148" w:right="111"/>
              <w:rPr>
                <w:sz w:val="21"/>
              </w:rPr>
            </w:pPr>
            <w:r>
              <w:rPr>
                <w:sz w:val="21"/>
              </w:rPr>
              <w:t>5.2</w:t>
            </w:r>
          </w:p>
        </w:tc>
        <w:tc>
          <w:tcPr>
            <w:tcW w:w="809" w:type="dxa"/>
            <w:tcBorders>
              <w:top w:val="single" w:sz="4" w:space="0" w:color="000000"/>
              <w:left w:val="single" w:sz="4" w:space="0" w:color="000000"/>
              <w:right w:val="single" w:sz="4" w:space="0" w:color="000000"/>
            </w:tcBorders>
          </w:tcPr>
          <w:p>
            <w:pPr>
              <w:pStyle w:val="TableParagraph"/>
              <w:ind w:left="141" w:right="102"/>
              <w:rPr>
                <w:sz w:val="21"/>
              </w:rPr>
            </w:pPr>
            <w:r>
              <w:rPr>
                <w:sz w:val="21"/>
              </w:rPr>
              <w:t>2.6</w:t>
            </w:r>
          </w:p>
        </w:tc>
        <w:tc>
          <w:tcPr>
            <w:tcW w:w="631" w:type="dxa"/>
            <w:tcBorders>
              <w:top w:val="single" w:sz="4" w:space="0" w:color="000000"/>
              <w:left w:val="single" w:sz="4" w:space="0" w:color="000000"/>
            </w:tcBorders>
          </w:tcPr>
          <w:p>
            <w:pPr>
              <w:pStyle w:val="TableParagraph"/>
              <w:ind w:left="124" w:right="79"/>
              <w:rPr>
                <w:sz w:val="21"/>
              </w:rPr>
            </w:pPr>
            <w:r>
              <w:rPr>
                <w:sz w:val="21"/>
              </w:rPr>
              <w:t>16.1</w:t>
            </w:r>
          </w:p>
        </w:tc>
      </w:tr>
    </w:tbl>
    <w:p>
      <w:pPr>
        <w:spacing w:before="84"/>
        <w:ind w:left="3609" w:right="3608" w:firstLine="0"/>
        <w:jc w:val="center"/>
        <w:rPr>
          <w:rFonts w:ascii="Times New Roman" w:eastAsia="Times New Roman"/>
          <w:b/>
          <w:sz w:val="24"/>
        </w:rPr>
      </w:pPr>
      <w:r>
        <w:rPr>
          <w:b/>
          <w:sz w:val="24"/>
        </w:rPr>
        <w:t>表 </w:t>
      </w:r>
      <w:r>
        <w:rPr>
          <w:rFonts w:ascii="Times New Roman" w:eastAsia="Times New Roman"/>
          <w:b/>
          <w:sz w:val="24"/>
        </w:rPr>
        <w:t>5.2-18  </w:t>
      </w:r>
      <w:r>
        <w:rPr>
          <w:b/>
          <w:sz w:val="24"/>
        </w:rPr>
        <w:t>年均风频的季变化及年均风频 单位：</w:t>
      </w:r>
      <w:r>
        <w:rPr>
          <w:rFonts w:ascii="Times New Roman" w:eastAsia="Times New Roman"/>
          <w:b/>
          <w:sz w:val="24"/>
        </w:rPr>
        <w:t>m/s</w:t>
      </w:r>
    </w:p>
    <w:p>
      <w:pPr>
        <w:pStyle w:val="BodyText"/>
        <w:spacing w:before="10"/>
        <w:ind w:left="0"/>
        <w:rPr>
          <w:rFonts w:ascii="Times New Roman"/>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24"/>
        <w:gridCol w:w="688"/>
        <w:gridCol w:w="741"/>
        <w:gridCol w:w="743"/>
        <w:gridCol w:w="741"/>
        <w:gridCol w:w="743"/>
        <w:gridCol w:w="743"/>
        <w:gridCol w:w="741"/>
        <w:gridCol w:w="744"/>
        <w:gridCol w:w="741"/>
        <w:gridCol w:w="743"/>
        <w:gridCol w:w="743"/>
        <w:gridCol w:w="760"/>
        <w:gridCol w:w="744"/>
        <w:gridCol w:w="796"/>
        <w:gridCol w:w="743"/>
        <w:gridCol w:w="741"/>
        <w:gridCol w:w="743"/>
      </w:tblGrid>
      <w:tr>
        <w:trPr>
          <w:trHeight w:val="359" w:hRule="atLeast"/>
        </w:trPr>
        <w:tc>
          <w:tcPr>
            <w:tcW w:w="1524" w:type="dxa"/>
            <w:tcBorders>
              <w:bottom w:val="single" w:sz="4" w:space="0" w:color="000000"/>
              <w:right w:val="single" w:sz="4" w:space="0" w:color="000000"/>
            </w:tcBorders>
          </w:tcPr>
          <w:p>
            <w:pPr>
              <w:pStyle w:val="TableParagraph"/>
              <w:spacing w:before="46"/>
              <w:ind w:left="146" w:right="124"/>
              <w:rPr>
                <w:b/>
                <w:sz w:val="21"/>
              </w:rPr>
            </w:pPr>
            <w:r>
              <w:rPr>
                <w:rFonts w:ascii="宋体" w:eastAsia="宋体" w:hint="eastAsia"/>
                <w:b/>
                <w:sz w:val="21"/>
              </w:rPr>
              <w:t>风向风频</w:t>
            </w:r>
            <w:r>
              <w:rPr>
                <w:b/>
                <w:sz w:val="21"/>
              </w:rPr>
              <w:t>(%)</w:t>
            </w:r>
          </w:p>
        </w:tc>
        <w:tc>
          <w:tcPr>
            <w:tcW w:w="688" w:type="dxa"/>
            <w:tcBorders>
              <w:left w:val="single" w:sz="4" w:space="0" w:color="000000"/>
              <w:bottom w:val="single" w:sz="4" w:space="0" w:color="000000"/>
              <w:right w:val="single" w:sz="4" w:space="0" w:color="000000"/>
            </w:tcBorders>
          </w:tcPr>
          <w:p>
            <w:pPr>
              <w:pStyle w:val="TableParagraph"/>
              <w:spacing w:before="60"/>
              <w:ind w:left="31"/>
              <w:rPr>
                <w:b/>
                <w:sz w:val="21"/>
              </w:rPr>
            </w:pPr>
            <w:r>
              <w:rPr>
                <w:b/>
                <w:w w:val="100"/>
                <w:sz w:val="21"/>
              </w:rPr>
              <w:t>N</w:t>
            </w:r>
          </w:p>
        </w:tc>
        <w:tc>
          <w:tcPr>
            <w:tcW w:w="741" w:type="dxa"/>
            <w:tcBorders>
              <w:left w:val="single" w:sz="4" w:space="0" w:color="000000"/>
              <w:bottom w:val="single" w:sz="4" w:space="0" w:color="000000"/>
              <w:right w:val="single" w:sz="4" w:space="0" w:color="000000"/>
            </w:tcBorders>
          </w:tcPr>
          <w:p>
            <w:pPr>
              <w:pStyle w:val="TableParagraph"/>
              <w:spacing w:before="60"/>
              <w:ind w:left="92" w:right="59"/>
              <w:rPr>
                <w:b/>
                <w:sz w:val="21"/>
              </w:rPr>
            </w:pPr>
            <w:r>
              <w:rPr>
                <w:b/>
                <w:sz w:val="21"/>
              </w:rPr>
              <w:t>NNE</w:t>
            </w:r>
          </w:p>
        </w:tc>
        <w:tc>
          <w:tcPr>
            <w:tcW w:w="743" w:type="dxa"/>
            <w:tcBorders>
              <w:left w:val="single" w:sz="4" w:space="0" w:color="000000"/>
              <w:bottom w:val="single" w:sz="4" w:space="0" w:color="000000"/>
              <w:right w:val="single" w:sz="4" w:space="0" w:color="000000"/>
            </w:tcBorders>
          </w:tcPr>
          <w:p>
            <w:pPr>
              <w:pStyle w:val="TableParagraph"/>
              <w:spacing w:before="60"/>
              <w:ind w:left="236"/>
              <w:jc w:val="left"/>
              <w:rPr>
                <w:b/>
                <w:sz w:val="21"/>
              </w:rPr>
            </w:pPr>
            <w:r>
              <w:rPr>
                <w:b/>
                <w:sz w:val="21"/>
              </w:rPr>
              <w:t>NE</w:t>
            </w:r>
          </w:p>
        </w:tc>
        <w:tc>
          <w:tcPr>
            <w:tcW w:w="741" w:type="dxa"/>
            <w:tcBorders>
              <w:left w:val="single" w:sz="4" w:space="0" w:color="000000"/>
              <w:bottom w:val="single" w:sz="4" w:space="0" w:color="000000"/>
              <w:right w:val="single" w:sz="4" w:space="0" w:color="000000"/>
            </w:tcBorders>
          </w:tcPr>
          <w:p>
            <w:pPr>
              <w:pStyle w:val="TableParagraph"/>
              <w:spacing w:before="60"/>
              <w:ind w:left="98" w:right="59"/>
              <w:rPr>
                <w:b/>
                <w:sz w:val="21"/>
              </w:rPr>
            </w:pPr>
            <w:r>
              <w:rPr>
                <w:b/>
                <w:sz w:val="21"/>
              </w:rPr>
              <w:t>ENE</w:t>
            </w:r>
          </w:p>
        </w:tc>
        <w:tc>
          <w:tcPr>
            <w:tcW w:w="743" w:type="dxa"/>
            <w:tcBorders>
              <w:left w:val="single" w:sz="4" w:space="0" w:color="000000"/>
              <w:bottom w:val="single" w:sz="4" w:space="0" w:color="000000"/>
              <w:right w:val="single" w:sz="4" w:space="0" w:color="000000"/>
            </w:tcBorders>
          </w:tcPr>
          <w:p>
            <w:pPr>
              <w:pStyle w:val="TableParagraph"/>
              <w:spacing w:before="60"/>
              <w:ind w:left="39"/>
              <w:rPr>
                <w:b/>
                <w:sz w:val="21"/>
              </w:rPr>
            </w:pPr>
            <w:r>
              <w:rPr>
                <w:b/>
                <w:w w:val="100"/>
                <w:sz w:val="21"/>
              </w:rPr>
              <w:t>E</w:t>
            </w:r>
          </w:p>
        </w:tc>
        <w:tc>
          <w:tcPr>
            <w:tcW w:w="743" w:type="dxa"/>
            <w:tcBorders>
              <w:left w:val="single" w:sz="4" w:space="0" w:color="000000"/>
              <w:bottom w:val="single" w:sz="4" w:space="0" w:color="000000"/>
              <w:right w:val="single" w:sz="4" w:space="0" w:color="000000"/>
            </w:tcBorders>
          </w:tcPr>
          <w:p>
            <w:pPr>
              <w:pStyle w:val="TableParagraph"/>
              <w:spacing w:before="60"/>
              <w:ind w:left="187"/>
              <w:jc w:val="left"/>
              <w:rPr>
                <w:b/>
                <w:sz w:val="21"/>
              </w:rPr>
            </w:pPr>
            <w:r>
              <w:rPr>
                <w:b/>
                <w:sz w:val="21"/>
              </w:rPr>
              <w:t>ESE</w:t>
            </w:r>
          </w:p>
        </w:tc>
        <w:tc>
          <w:tcPr>
            <w:tcW w:w="741" w:type="dxa"/>
            <w:tcBorders>
              <w:left w:val="single" w:sz="4" w:space="0" w:color="000000"/>
              <w:bottom w:val="single" w:sz="4" w:space="0" w:color="000000"/>
              <w:right w:val="single" w:sz="4" w:space="0" w:color="000000"/>
            </w:tcBorders>
          </w:tcPr>
          <w:p>
            <w:pPr>
              <w:pStyle w:val="TableParagraph"/>
              <w:spacing w:before="60"/>
              <w:ind w:left="102" w:right="59"/>
              <w:rPr>
                <w:b/>
                <w:sz w:val="21"/>
              </w:rPr>
            </w:pPr>
            <w:r>
              <w:rPr>
                <w:b/>
                <w:sz w:val="21"/>
              </w:rPr>
              <w:t>SE</w:t>
            </w:r>
          </w:p>
        </w:tc>
        <w:tc>
          <w:tcPr>
            <w:tcW w:w="744" w:type="dxa"/>
            <w:tcBorders>
              <w:left w:val="single" w:sz="4" w:space="0" w:color="000000"/>
              <w:bottom w:val="single" w:sz="4" w:space="0" w:color="000000"/>
              <w:right w:val="single" w:sz="4" w:space="0" w:color="000000"/>
            </w:tcBorders>
          </w:tcPr>
          <w:p>
            <w:pPr>
              <w:pStyle w:val="TableParagraph"/>
              <w:spacing w:before="60"/>
              <w:ind w:left="181" w:right="138"/>
              <w:rPr>
                <w:b/>
                <w:sz w:val="21"/>
              </w:rPr>
            </w:pPr>
            <w:r>
              <w:rPr>
                <w:b/>
                <w:sz w:val="21"/>
              </w:rPr>
              <w:t>SSE</w:t>
            </w:r>
          </w:p>
        </w:tc>
        <w:tc>
          <w:tcPr>
            <w:tcW w:w="741" w:type="dxa"/>
            <w:tcBorders>
              <w:left w:val="single" w:sz="4" w:space="0" w:color="000000"/>
              <w:bottom w:val="single" w:sz="4" w:space="0" w:color="000000"/>
              <w:right w:val="single" w:sz="4" w:space="0" w:color="000000"/>
            </w:tcBorders>
          </w:tcPr>
          <w:p>
            <w:pPr>
              <w:pStyle w:val="TableParagraph"/>
              <w:spacing w:before="60"/>
              <w:ind w:left="43"/>
              <w:rPr>
                <w:b/>
                <w:sz w:val="21"/>
              </w:rPr>
            </w:pPr>
            <w:r>
              <w:rPr>
                <w:b/>
                <w:w w:val="100"/>
                <w:sz w:val="21"/>
              </w:rPr>
              <w:t>S</w:t>
            </w:r>
          </w:p>
        </w:tc>
        <w:tc>
          <w:tcPr>
            <w:tcW w:w="743" w:type="dxa"/>
            <w:tcBorders>
              <w:left w:val="single" w:sz="4" w:space="0" w:color="000000"/>
              <w:bottom w:val="single" w:sz="4" w:space="0" w:color="000000"/>
              <w:right w:val="single" w:sz="4" w:space="0" w:color="000000"/>
            </w:tcBorders>
          </w:tcPr>
          <w:p>
            <w:pPr>
              <w:pStyle w:val="TableParagraph"/>
              <w:spacing w:before="60"/>
              <w:ind w:left="147" w:right="102"/>
              <w:rPr>
                <w:b/>
                <w:sz w:val="21"/>
              </w:rPr>
            </w:pPr>
            <w:r>
              <w:rPr>
                <w:b/>
                <w:sz w:val="21"/>
              </w:rPr>
              <w:t>SSW</w:t>
            </w:r>
          </w:p>
        </w:tc>
        <w:tc>
          <w:tcPr>
            <w:tcW w:w="743" w:type="dxa"/>
            <w:tcBorders>
              <w:left w:val="single" w:sz="4" w:space="0" w:color="000000"/>
              <w:bottom w:val="single" w:sz="4" w:space="0" w:color="000000"/>
              <w:right w:val="single" w:sz="4" w:space="0" w:color="000000"/>
            </w:tcBorders>
          </w:tcPr>
          <w:p>
            <w:pPr>
              <w:pStyle w:val="TableParagraph"/>
              <w:spacing w:before="60"/>
              <w:ind w:left="147" w:right="98"/>
              <w:rPr>
                <w:b/>
                <w:sz w:val="21"/>
              </w:rPr>
            </w:pPr>
            <w:r>
              <w:rPr>
                <w:b/>
                <w:sz w:val="21"/>
              </w:rPr>
              <w:t>SW</w:t>
            </w:r>
          </w:p>
        </w:tc>
        <w:tc>
          <w:tcPr>
            <w:tcW w:w="760" w:type="dxa"/>
            <w:tcBorders>
              <w:left w:val="single" w:sz="4" w:space="0" w:color="000000"/>
              <w:bottom w:val="single" w:sz="4" w:space="0" w:color="000000"/>
              <w:right w:val="single" w:sz="4" w:space="0" w:color="000000"/>
            </w:tcBorders>
          </w:tcPr>
          <w:p>
            <w:pPr>
              <w:pStyle w:val="TableParagraph"/>
              <w:spacing w:before="60"/>
              <w:ind w:left="110" w:right="62"/>
              <w:rPr>
                <w:b/>
                <w:sz w:val="21"/>
              </w:rPr>
            </w:pPr>
            <w:r>
              <w:rPr>
                <w:b/>
                <w:sz w:val="21"/>
              </w:rPr>
              <w:t>WSW</w:t>
            </w:r>
          </w:p>
        </w:tc>
        <w:tc>
          <w:tcPr>
            <w:tcW w:w="744" w:type="dxa"/>
            <w:tcBorders>
              <w:left w:val="single" w:sz="4" w:space="0" w:color="000000"/>
              <w:bottom w:val="single" w:sz="4" w:space="0" w:color="000000"/>
              <w:right w:val="single" w:sz="4" w:space="0" w:color="000000"/>
            </w:tcBorders>
          </w:tcPr>
          <w:p>
            <w:pPr>
              <w:pStyle w:val="TableParagraph"/>
              <w:spacing w:before="60"/>
              <w:ind w:left="49"/>
              <w:rPr>
                <w:b/>
                <w:sz w:val="21"/>
              </w:rPr>
            </w:pPr>
            <w:r>
              <w:rPr>
                <w:b/>
                <w:w w:val="100"/>
                <w:sz w:val="21"/>
              </w:rPr>
              <w:t>W</w:t>
            </w:r>
          </w:p>
        </w:tc>
        <w:tc>
          <w:tcPr>
            <w:tcW w:w="796" w:type="dxa"/>
            <w:tcBorders>
              <w:left w:val="single" w:sz="4" w:space="0" w:color="000000"/>
              <w:bottom w:val="single" w:sz="4" w:space="0" w:color="000000"/>
              <w:right w:val="single" w:sz="4" w:space="0" w:color="000000"/>
            </w:tcBorders>
          </w:tcPr>
          <w:p>
            <w:pPr>
              <w:pStyle w:val="TableParagraph"/>
              <w:spacing w:before="60"/>
              <w:ind w:left="114" w:right="60"/>
              <w:rPr>
                <w:b/>
                <w:sz w:val="21"/>
              </w:rPr>
            </w:pPr>
            <w:r>
              <w:rPr>
                <w:b/>
                <w:sz w:val="21"/>
              </w:rPr>
              <w:t>WNW</w:t>
            </w:r>
          </w:p>
        </w:tc>
        <w:tc>
          <w:tcPr>
            <w:tcW w:w="743" w:type="dxa"/>
            <w:tcBorders>
              <w:left w:val="single" w:sz="4" w:space="0" w:color="000000"/>
              <w:bottom w:val="single" w:sz="4" w:space="0" w:color="000000"/>
              <w:right w:val="single" w:sz="4" w:space="0" w:color="000000"/>
            </w:tcBorders>
          </w:tcPr>
          <w:p>
            <w:pPr>
              <w:pStyle w:val="TableParagraph"/>
              <w:spacing w:before="60"/>
              <w:ind w:left="210"/>
              <w:jc w:val="left"/>
              <w:rPr>
                <w:b/>
                <w:sz w:val="21"/>
              </w:rPr>
            </w:pPr>
            <w:r>
              <w:rPr>
                <w:b/>
                <w:sz w:val="21"/>
              </w:rPr>
              <w:t>NW</w:t>
            </w:r>
          </w:p>
        </w:tc>
        <w:tc>
          <w:tcPr>
            <w:tcW w:w="741" w:type="dxa"/>
            <w:tcBorders>
              <w:left w:val="single" w:sz="4" w:space="0" w:color="000000"/>
              <w:bottom w:val="single" w:sz="4" w:space="0" w:color="000000"/>
              <w:right w:val="single" w:sz="4" w:space="0" w:color="000000"/>
            </w:tcBorders>
          </w:tcPr>
          <w:p>
            <w:pPr>
              <w:pStyle w:val="TableParagraph"/>
              <w:spacing w:before="60"/>
              <w:ind w:left="118" w:right="59"/>
              <w:rPr>
                <w:b/>
                <w:sz w:val="21"/>
              </w:rPr>
            </w:pPr>
            <w:r>
              <w:rPr>
                <w:b/>
                <w:sz w:val="21"/>
              </w:rPr>
              <w:t>NNW</w:t>
            </w:r>
          </w:p>
        </w:tc>
        <w:tc>
          <w:tcPr>
            <w:tcW w:w="743" w:type="dxa"/>
            <w:tcBorders>
              <w:left w:val="single" w:sz="4" w:space="0" w:color="000000"/>
              <w:bottom w:val="single" w:sz="4" w:space="0" w:color="000000"/>
            </w:tcBorders>
          </w:tcPr>
          <w:p>
            <w:pPr>
              <w:pStyle w:val="TableParagraph"/>
              <w:spacing w:before="60"/>
              <w:ind w:left="65"/>
              <w:rPr>
                <w:b/>
                <w:sz w:val="21"/>
              </w:rPr>
            </w:pPr>
            <w:r>
              <w:rPr>
                <w:b/>
                <w:w w:val="100"/>
                <w:sz w:val="21"/>
              </w:rPr>
              <w:t>C</w:t>
            </w:r>
          </w:p>
        </w:tc>
      </w:tr>
      <w:tr>
        <w:trPr>
          <w:trHeight w:val="360" w:hRule="atLeast"/>
        </w:trPr>
        <w:tc>
          <w:tcPr>
            <w:tcW w:w="1524" w:type="dxa"/>
            <w:tcBorders>
              <w:top w:val="single" w:sz="4" w:space="0" w:color="000000"/>
              <w:bottom w:val="single" w:sz="4" w:space="0" w:color="000000"/>
              <w:right w:val="single" w:sz="4" w:space="0" w:color="000000"/>
            </w:tcBorders>
          </w:tcPr>
          <w:p>
            <w:pPr>
              <w:pStyle w:val="TableParagraph"/>
              <w:spacing w:before="47"/>
              <w:ind w:left="146" w:right="124"/>
              <w:rPr>
                <w:rFonts w:ascii="宋体" w:eastAsia="宋体" w:hint="eastAsia"/>
                <w:sz w:val="21"/>
              </w:rPr>
            </w:pPr>
            <w:r>
              <w:rPr>
                <w:rFonts w:ascii="宋体" w:eastAsia="宋体" w:hint="eastAsia"/>
                <w:sz w:val="21"/>
              </w:rPr>
              <w:t>春季</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61"/>
              <w:ind w:left="203" w:right="171"/>
              <w:rPr>
                <w:sz w:val="21"/>
              </w:rPr>
            </w:pPr>
            <w:r>
              <w:rPr>
                <w:sz w:val="21"/>
              </w:rPr>
              <w:t>2.1</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1"/>
              <w:ind w:left="93" w:right="59"/>
              <w:rPr>
                <w:sz w:val="21"/>
              </w:rPr>
            </w:pPr>
            <w:r>
              <w:rPr>
                <w:sz w:val="21"/>
              </w:rPr>
              <w:t>1.9</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1"/>
              <w:ind w:left="251"/>
              <w:jc w:val="left"/>
              <w:rPr>
                <w:sz w:val="21"/>
              </w:rPr>
            </w:pPr>
            <w:r>
              <w:rPr>
                <w:sz w:val="21"/>
              </w:rPr>
              <w:t>5.3</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1"/>
              <w:ind w:left="97" w:right="59"/>
              <w:rPr>
                <w:sz w:val="21"/>
              </w:rPr>
            </w:pPr>
            <w:r>
              <w:rPr>
                <w:sz w:val="21"/>
              </w:rPr>
              <w:t>20.2</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1"/>
              <w:ind w:left="139" w:right="102"/>
              <w:rPr>
                <w:sz w:val="21"/>
              </w:rPr>
            </w:pPr>
            <w:r>
              <w:rPr>
                <w:sz w:val="21"/>
              </w:rPr>
              <w:t>17.9</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1"/>
              <w:ind w:left="254"/>
              <w:jc w:val="left"/>
              <w:rPr>
                <w:sz w:val="21"/>
              </w:rPr>
            </w:pPr>
            <w:r>
              <w:rPr>
                <w:sz w:val="21"/>
              </w:rPr>
              <w:t>5.7</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1"/>
              <w:ind w:left="102" w:right="59"/>
              <w:rPr>
                <w:sz w:val="21"/>
              </w:rPr>
            </w:pPr>
            <w:r>
              <w:rPr>
                <w:sz w:val="21"/>
              </w:rPr>
              <w:t>3.3</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before="61"/>
              <w:ind w:left="180" w:right="138"/>
              <w:rPr>
                <w:sz w:val="21"/>
              </w:rPr>
            </w:pPr>
            <w:r>
              <w:rPr>
                <w:sz w:val="21"/>
              </w:rPr>
              <w:t>4.0</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1"/>
              <w:ind w:left="104" w:right="59"/>
              <w:rPr>
                <w:sz w:val="21"/>
              </w:rPr>
            </w:pPr>
            <w:r>
              <w:rPr>
                <w:sz w:val="21"/>
              </w:rPr>
              <w:t>4.3</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1"/>
              <w:ind w:left="147" w:right="102"/>
              <w:rPr>
                <w:sz w:val="21"/>
              </w:rPr>
            </w:pPr>
            <w:r>
              <w:rPr>
                <w:sz w:val="21"/>
              </w:rPr>
              <w:t>3.9</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1"/>
              <w:ind w:left="147" w:right="100"/>
              <w:rPr>
                <w:sz w:val="21"/>
              </w:rPr>
            </w:pPr>
            <w:r>
              <w:rPr>
                <w:sz w:val="21"/>
              </w:rPr>
              <w:t>3.2</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spacing w:before="61"/>
              <w:ind w:left="108" w:right="62"/>
              <w:rPr>
                <w:sz w:val="21"/>
              </w:rPr>
            </w:pPr>
            <w:r>
              <w:rPr>
                <w:sz w:val="21"/>
              </w:rPr>
              <w:t>4.2</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before="61"/>
              <w:ind w:left="181" w:right="132"/>
              <w:rPr>
                <w:sz w:val="21"/>
              </w:rPr>
            </w:pPr>
            <w:r>
              <w:rPr>
                <w:sz w:val="21"/>
              </w:rPr>
              <w:t>5.9</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61"/>
              <w:ind w:left="111" w:right="60"/>
              <w:rPr>
                <w:sz w:val="21"/>
              </w:rPr>
            </w:pPr>
            <w:r>
              <w:rPr>
                <w:sz w:val="21"/>
              </w:rPr>
              <w:t>6.6</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1"/>
              <w:ind w:left="261"/>
              <w:jc w:val="left"/>
              <w:rPr>
                <w:sz w:val="21"/>
              </w:rPr>
            </w:pPr>
            <w:r>
              <w:rPr>
                <w:sz w:val="21"/>
              </w:rPr>
              <w:t>2.8</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1"/>
              <w:ind w:left="116" w:right="59"/>
              <w:rPr>
                <w:sz w:val="21"/>
              </w:rPr>
            </w:pPr>
            <w:r>
              <w:rPr>
                <w:sz w:val="21"/>
              </w:rPr>
              <w:t>1.6</w:t>
            </w:r>
          </w:p>
        </w:tc>
        <w:tc>
          <w:tcPr>
            <w:tcW w:w="743" w:type="dxa"/>
            <w:tcBorders>
              <w:top w:val="single" w:sz="4" w:space="0" w:color="000000"/>
              <w:left w:val="single" w:sz="4" w:space="0" w:color="000000"/>
              <w:bottom w:val="single" w:sz="4" w:space="0" w:color="000000"/>
            </w:tcBorders>
          </w:tcPr>
          <w:p>
            <w:pPr>
              <w:pStyle w:val="TableParagraph"/>
              <w:spacing w:before="61"/>
              <w:ind w:right="194"/>
              <w:jc w:val="right"/>
              <w:rPr>
                <w:sz w:val="21"/>
              </w:rPr>
            </w:pPr>
            <w:r>
              <w:rPr>
                <w:sz w:val="21"/>
              </w:rPr>
              <w:t>7.2</w:t>
            </w:r>
          </w:p>
        </w:tc>
      </w:tr>
      <w:tr>
        <w:trPr>
          <w:trHeight w:val="359" w:hRule="atLeast"/>
        </w:trPr>
        <w:tc>
          <w:tcPr>
            <w:tcW w:w="1524" w:type="dxa"/>
            <w:tcBorders>
              <w:top w:val="single" w:sz="4" w:space="0" w:color="000000"/>
              <w:bottom w:val="single" w:sz="4" w:space="0" w:color="000000"/>
              <w:right w:val="single" w:sz="4" w:space="0" w:color="000000"/>
            </w:tcBorders>
          </w:tcPr>
          <w:p>
            <w:pPr>
              <w:pStyle w:val="TableParagraph"/>
              <w:spacing w:before="44"/>
              <w:ind w:left="146" w:right="124"/>
              <w:rPr>
                <w:rFonts w:ascii="宋体" w:eastAsia="宋体" w:hint="eastAsia"/>
                <w:sz w:val="21"/>
              </w:rPr>
            </w:pPr>
            <w:r>
              <w:rPr>
                <w:rFonts w:ascii="宋体" w:eastAsia="宋体" w:hint="eastAsia"/>
                <w:sz w:val="21"/>
              </w:rPr>
              <w:t>夏季</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ind w:left="203" w:right="171"/>
              <w:rPr>
                <w:sz w:val="21"/>
              </w:rPr>
            </w:pPr>
            <w:r>
              <w:rPr>
                <w:sz w:val="21"/>
              </w:rPr>
              <w:t>1.6</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93" w:right="59"/>
              <w:rPr>
                <w:sz w:val="21"/>
              </w:rPr>
            </w:pPr>
            <w:r>
              <w:rPr>
                <w:sz w:val="21"/>
              </w:rPr>
              <w:t>1.4</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251"/>
              <w:jc w:val="left"/>
              <w:rPr>
                <w:sz w:val="21"/>
              </w:rPr>
            </w:pPr>
            <w:r>
              <w:rPr>
                <w:sz w:val="21"/>
              </w:rPr>
              <w:t>4.5</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97" w:right="59"/>
              <w:rPr>
                <w:sz w:val="21"/>
              </w:rPr>
            </w:pPr>
            <w:r>
              <w:rPr>
                <w:sz w:val="21"/>
              </w:rPr>
              <w:t>19.2</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139" w:right="102"/>
              <w:rPr>
                <w:sz w:val="21"/>
              </w:rPr>
            </w:pPr>
            <w:r>
              <w:rPr>
                <w:sz w:val="21"/>
              </w:rPr>
              <w:t>20.3</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254"/>
              <w:jc w:val="left"/>
              <w:rPr>
                <w:sz w:val="21"/>
              </w:rPr>
            </w:pPr>
            <w:r>
              <w:rPr>
                <w:sz w:val="21"/>
              </w:rPr>
              <w:t>6.4</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102" w:right="59"/>
              <w:rPr>
                <w:sz w:val="21"/>
              </w:rPr>
            </w:pPr>
            <w:r>
              <w:rPr>
                <w:sz w:val="21"/>
              </w:rPr>
              <w:t>3.3</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ind w:left="180" w:right="138"/>
              <w:rPr>
                <w:sz w:val="21"/>
              </w:rPr>
            </w:pPr>
            <w:r>
              <w:rPr>
                <w:sz w:val="21"/>
              </w:rPr>
              <w:t>4.7</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104" w:right="59"/>
              <w:rPr>
                <w:sz w:val="21"/>
              </w:rPr>
            </w:pPr>
            <w:r>
              <w:rPr>
                <w:sz w:val="21"/>
              </w:rPr>
              <w:t>6.4</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147" w:right="102"/>
              <w:rPr>
                <w:sz w:val="21"/>
              </w:rPr>
            </w:pPr>
            <w:r>
              <w:rPr>
                <w:sz w:val="21"/>
              </w:rPr>
              <w:t>4.8</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147" w:right="100"/>
              <w:rPr>
                <w:sz w:val="21"/>
              </w:rPr>
            </w:pPr>
            <w:r>
              <w:rPr>
                <w:sz w:val="21"/>
              </w:rPr>
              <w:t>4.3</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ind w:left="108" w:right="62"/>
              <w:rPr>
                <w:sz w:val="21"/>
              </w:rPr>
            </w:pPr>
            <w:r>
              <w:rPr>
                <w:sz w:val="21"/>
              </w:rPr>
              <w:t>5.1</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ind w:left="181" w:right="132"/>
              <w:rPr>
                <w:sz w:val="21"/>
              </w:rPr>
            </w:pPr>
            <w:r>
              <w:rPr>
                <w:sz w:val="21"/>
              </w:rPr>
              <w:t>4.8</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ind w:left="111" w:right="60"/>
              <w:rPr>
                <w:sz w:val="21"/>
              </w:rPr>
            </w:pPr>
            <w:r>
              <w:rPr>
                <w:sz w:val="21"/>
              </w:rPr>
              <w:t>5.2</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261"/>
              <w:jc w:val="left"/>
              <w:rPr>
                <w:sz w:val="21"/>
              </w:rPr>
            </w:pPr>
            <w:r>
              <w:rPr>
                <w:sz w:val="21"/>
              </w:rPr>
              <w:t>1.3</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116" w:right="59"/>
              <w:rPr>
                <w:sz w:val="21"/>
              </w:rPr>
            </w:pPr>
            <w:r>
              <w:rPr>
                <w:sz w:val="21"/>
              </w:rPr>
              <w:t>1.0</w:t>
            </w:r>
          </w:p>
        </w:tc>
        <w:tc>
          <w:tcPr>
            <w:tcW w:w="743" w:type="dxa"/>
            <w:tcBorders>
              <w:top w:val="single" w:sz="4" w:space="0" w:color="000000"/>
              <w:left w:val="single" w:sz="4" w:space="0" w:color="000000"/>
              <w:bottom w:val="single" w:sz="4" w:space="0" w:color="000000"/>
            </w:tcBorders>
          </w:tcPr>
          <w:p>
            <w:pPr>
              <w:pStyle w:val="TableParagraph"/>
              <w:ind w:right="194"/>
              <w:jc w:val="right"/>
              <w:rPr>
                <w:sz w:val="21"/>
              </w:rPr>
            </w:pPr>
            <w:r>
              <w:rPr>
                <w:sz w:val="21"/>
              </w:rPr>
              <w:t>5.6</w:t>
            </w:r>
          </w:p>
        </w:tc>
      </w:tr>
      <w:tr>
        <w:trPr>
          <w:trHeight w:val="357" w:hRule="atLeast"/>
        </w:trPr>
        <w:tc>
          <w:tcPr>
            <w:tcW w:w="1524" w:type="dxa"/>
            <w:tcBorders>
              <w:top w:val="single" w:sz="4" w:space="0" w:color="000000"/>
              <w:bottom w:val="single" w:sz="4" w:space="0" w:color="000000"/>
              <w:right w:val="single" w:sz="4" w:space="0" w:color="000000"/>
            </w:tcBorders>
          </w:tcPr>
          <w:p>
            <w:pPr>
              <w:pStyle w:val="TableParagraph"/>
              <w:spacing w:before="44"/>
              <w:ind w:left="146" w:right="124"/>
              <w:rPr>
                <w:rFonts w:ascii="宋体" w:eastAsia="宋体" w:hint="eastAsia"/>
                <w:sz w:val="21"/>
              </w:rPr>
            </w:pPr>
            <w:r>
              <w:rPr>
                <w:rFonts w:ascii="宋体" w:eastAsia="宋体" w:hint="eastAsia"/>
                <w:sz w:val="21"/>
              </w:rPr>
              <w:t>秋季</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ind w:left="203" w:right="171"/>
              <w:rPr>
                <w:sz w:val="21"/>
              </w:rPr>
            </w:pPr>
            <w:r>
              <w:rPr>
                <w:sz w:val="21"/>
              </w:rPr>
              <w:t>3.2</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93" w:right="59"/>
              <w:rPr>
                <w:sz w:val="21"/>
              </w:rPr>
            </w:pPr>
            <w:r>
              <w:rPr>
                <w:sz w:val="21"/>
              </w:rPr>
              <w:t>3.6</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251"/>
              <w:jc w:val="left"/>
              <w:rPr>
                <w:sz w:val="21"/>
              </w:rPr>
            </w:pPr>
            <w:r>
              <w:rPr>
                <w:sz w:val="21"/>
              </w:rPr>
              <w:t>5.5</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97" w:right="59"/>
              <w:rPr>
                <w:sz w:val="21"/>
              </w:rPr>
            </w:pPr>
            <w:r>
              <w:rPr>
                <w:sz w:val="21"/>
              </w:rPr>
              <w:t>16.3</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139" w:right="102"/>
              <w:rPr>
                <w:sz w:val="21"/>
              </w:rPr>
            </w:pPr>
            <w:r>
              <w:rPr>
                <w:sz w:val="21"/>
              </w:rPr>
              <w:t>14.4</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254"/>
              <w:jc w:val="left"/>
              <w:rPr>
                <w:sz w:val="21"/>
              </w:rPr>
            </w:pPr>
            <w:r>
              <w:rPr>
                <w:sz w:val="21"/>
              </w:rPr>
              <w:t>3.3</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102" w:right="59"/>
              <w:rPr>
                <w:sz w:val="21"/>
              </w:rPr>
            </w:pPr>
            <w:r>
              <w:rPr>
                <w:sz w:val="21"/>
              </w:rPr>
              <w:t>1.7</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ind w:left="180" w:right="138"/>
              <w:rPr>
                <w:sz w:val="21"/>
              </w:rPr>
            </w:pPr>
            <w:r>
              <w:rPr>
                <w:sz w:val="21"/>
              </w:rPr>
              <w:t>1.6</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104" w:right="59"/>
              <w:rPr>
                <w:sz w:val="21"/>
              </w:rPr>
            </w:pPr>
            <w:r>
              <w:rPr>
                <w:sz w:val="21"/>
              </w:rPr>
              <w:t>2.2</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147" w:right="102"/>
              <w:rPr>
                <w:sz w:val="21"/>
              </w:rPr>
            </w:pPr>
            <w:r>
              <w:rPr>
                <w:sz w:val="21"/>
              </w:rPr>
              <w:t>2.1</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147" w:right="100"/>
              <w:rPr>
                <w:sz w:val="21"/>
              </w:rPr>
            </w:pPr>
            <w:r>
              <w:rPr>
                <w:sz w:val="21"/>
              </w:rPr>
              <w:t>3.1</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ind w:left="108" w:right="62"/>
              <w:rPr>
                <w:sz w:val="21"/>
              </w:rPr>
            </w:pPr>
            <w:r>
              <w:rPr>
                <w:sz w:val="21"/>
              </w:rPr>
              <w:t>3.8</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ind w:left="181" w:right="132"/>
              <w:rPr>
                <w:sz w:val="21"/>
              </w:rPr>
            </w:pPr>
            <w:r>
              <w:rPr>
                <w:sz w:val="21"/>
              </w:rPr>
              <w:t>8.3</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ind w:left="111" w:right="60"/>
              <w:rPr>
                <w:sz w:val="21"/>
              </w:rPr>
            </w:pPr>
            <w:r>
              <w:rPr>
                <w:sz w:val="21"/>
              </w:rPr>
              <w:t>12.6</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ind w:left="261"/>
              <w:jc w:val="left"/>
              <w:rPr>
                <w:sz w:val="21"/>
              </w:rPr>
            </w:pPr>
            <w:r>
              <w:rPr>
                <w:sz w:val="21"/>
              </w:rPr>
              <w:t>5.5</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ind w:left="116" w:right="59"/>
              <w:rPr>
                <w:sz w:val="21"/>
              </w:rPr>
            </w:pPr>
            <w:r>
              <w:rPr>
                <w:sz w:val="21"/>
              </w:rPr>
              <w:t>2.5</w:t>
            </w:r>
          </w:p>
        </w:tc>
        <w:tc>
          <w:tcPr>
            <w:tcW w:w="743" w:type="dxa"/>
            <w:tcBorders>
              <w:top w:val="single" w:sz="4" w:space="0" w:color="000000"/>
              <w:left w:val="single" w:sz="4" w:space="0" w:color="000000"/>
              <w:bottom w:val="single" w:sz="4" w:space="0" w:color="000000"/>
            </w:tcBorders>
          </w:tcPr>
          <w:p>
            <w:pPr>
              <w:pStyle w:val="TableParagraph"/>
              <w:ind w:right="141"/>
              <w:jc w:val="right"/>
              <w:rPr>
                <w:sz w:val="21"/>
              </w:rPr>
            </w:pPr>
            <w:r>
              <w:rPr>
                <w:sz w:val="21"/>
              </w:rPr>
              <w:t>10.2</w:t>
            </w:r>
          </w:p>
        </w:tc>
      </w:tr>
      <w:tr>
        <w:trPr>
          <w:trHeight w:val="359" w:hRule="atLeast"/>
        </w:trPr>
        <w:tc>
          <w:tcPr>
            <w:tcW w:w="1524" w:type="dxa"/>
            <w:tcBorders>
              <w:top w:val="single" w:sz="4" w:space="0" w:color="000000"/>
              <w:bottom w:val="single" w:sz="4" w:space="0" w:color="000000"/>
              <w:right w:val="single" w:sz="4" w:space="0" w:color="000000"/>
            </w:tcBorders>
          </w:tcPr>
          <w:p>
            <w:pPr>
              <w:pStyle w:val="TableParagraph"/>
              <w:spacing w:before="46"/>
              <w:ind w:left="146" w:right="124"/>
              <w:rPr>
                <w:rFonts w:ascii="宋体" w:eastAsia="宋体" w:hint="eastAsia"/>
                <w:sz w:val="21"/>
              </w:rPr>
            </w:pPr>
            <w:r>
              <w:rPr>
                <w:rFonts w:ascii="宋体" w:eastAsia="宋体" w:hint="eastAsia"/>
                <w:sz w:val="21"/>
              </w:rPr>
              <w:t>冬季</w:t>
            </w:r>
          </w:p>
        </w:tc>
        <w:tc>
          <w:tcPr>
            <w:tcW w:w="688" w:type="dxa"/>
            <w:tcBorders>
              <w:top w:val="single" w:sz="4" w:space="0" w:color="000000"/>
              <w:left w:val="single" w:sz="4" w:space="0" w:color="000000"/>
              <w:bottom w:val="single" w:sz="4" w:space="0" w:color="000000"/>
              <w:right w:val="single" w:sz="4" w:space="0" w:color="000000"/>
            </w:tcBorders>
          </w:tcPr>
          <w:p>
            <w:pPr>
              <w:pStyle w:val="TableParagraph"/>
              <w:spacing w:before="60"/>
              <w:ind w:left="203" w:right="171"/>
              <w:rPr>
                <w:sz w:val="21"/>
              </w:rPr>
            </w:pPr>
            <w:r>
              <w:rPr>
                <w:sz w:val="21"/>
              </w:rPr>
              <w:t>3.8</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0"/>
              <w:ind w:left="93" w:right="59"/>
              <w:rPr>
                <w:sz w:val="21"/>
              </w:rPr>
            </w:pPr>
            <w:r>
              <w:rPr>
                <w:sz w:val="21"/>
              </w:rPr>
              <w:t>3.5</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0"/>
              <w:ind w:left="251"/>
              <w:jc w:val="left"/>
              <w:rPr>
                <w:sz w:val="21"/>
              </w:rPr>
            </w:pPr>
            <w:r>
              <w:rPr>
                <w:sz w:val="21"/>
              </w:rPr>
              <w:t>6.0</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0"/>
              <w:ind w:left="97" w:right="59"/>
              <w:rPr>
                <w:sz w:val="21"/>
              </w:rPr>
            </w:pPr>
            <w:r>
              <w:rPr>
                <w:sz w:val="21"/>
              </w:rPr>
              <w:t>16.0</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0"/>
              <w:ind w:left="139" w:right="102"/>
              <w:rPr>
                <w:sz w:val="21"/>
              </w:rPr>
            </w:pPr>
            <w:r>
              <w:rPr>
                <w:sz w:val="21"/>
              </w:rPr>
              <w:t>12.7</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0"/>
              <w:ind w:left="254"/>
              <w:jc w:val="left"/>
              <w:rPr>
                <w:sz w:val="21"/>
              </w:rPr>
            </w:pPr>
            <w:r>
              <w:rPr>
                <w:sz w:val="21"/>
              </w:rPr>
              <w:t>2.9</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0"/>
              <w:ind w:left="102" w:right="59"/>
              <w:rPr>
                <w:sz w:val="21"/>
              </w:rPr>
            </w:pPr>
            <w:r>
              <w:rPr>
                <w:sz w:val="21"/>
              </w:rPr>
              <w:t>1.5</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before="60"/>
              <w:ind w:left="180" w:right="138"/>
              <w:rPr>
                <w:sz w:val="21"/>
              </w:rPr>
            </w:pPr>
            <w:r>
              <w:rPr>
                <w:sz w:val="21"/>
              </w:rPr>
              <w:t>1.6</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0"/>
              <w:ind w:left="104" w:right="59"/>
              <w:rPr>
                <w:sz w:val="21"/>
              </w:rPr>
            </w:pPr>
            <w:r>
              <w:rPr>
                <w:sz w:val="21"/>
              </w:rPr>
              <w:t>3.8</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0"/>
              <w:ind w:left="147" w:right="102"/>
              <w:rPr>
                <w:sz w:val="21"/>
              </w:rPr>
            </w:pPr>
            <w:r>
              <w:rPr>
                <w:sz w:val="21"/>
              </w:rPr>
              <w:t>2.1</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0"/>
              <w:ind w:left="147" w:right="100"/>
              <w:rPr>
                <w:sz w:val="21"/>
              </w:rPr>
            </w:pPr>
            <w:r>
              <w:rPr>
                <w:sz w:val="21"/>
              </w:rPr>
              <w:t>1.9</w:t>
            </w:r>
          </w:p>
        </w:tc>
        <w:tc>
          <w:tcPr>
            <w:tcW w:w="760"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62"/>
              <w:rPr>
                <w:sz w:val="21"/>
              </w:rPr>
            </w:pPr>
            <w:r>
              <w:rPr>
                <w:sz w:val="21"/>
              </w:rPr>
              <w:t>3.6</w:t>
            </w:r>
          </w:p>
        </w:tc>
        <w:tc>
          <w:tcPr>
            <w:tcW w:w="744" w:type="dxa"/>
            <w:tcBorders>
              <w:top w:val="single" w:sz="4" w:space="0" w:color="000000"/>
              <w:left w:val="single" w:sz="4" w:space="0" w:color="000000"/>
              <w:bottom w:val="single" w:sz="4" w:space="0" w:color="000000"/>
              <w:right w:val="single" w:sz="4" w:space="0" w:color="000000"/>
            </w:tcBorders>
          </w:tcPr>
          <w:p>
            <w:pPr>
              <w:pStyle w:val="TableParagraph"/>
              <w:spacing w:before="60"/>
              <w:ind w:left="181" w:right="132"/>
              <w:rPr>
                <w:sz w:val="21"/>
              </w:rPr>
            </w:pPr>
            <w:r>
              <w:rPr>
                <w:sz w:val="21"/>
              </w:rPr>
              <w:t>8.2</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60"/>
              <w:rPr>
                <w:sz w:val="21"/>
              </w:rPr>
            </w:pPr>
            <w:r>
              <w:rPr>
                <w:sz w:val="21"/>
              </w:rPr>
              <w:t>13.2</w:t>
            </w:r>
          </w:p>
        </w:tc>
        <w:tc>
          <w:tcPr>
            <w:tcW w:w="743" w:type="dxa"/>
            <w:tcBorders>
              <w:top w:val="single" w:sz="4" w:space="0" w:color="000000"/>
              <w:left w:val="single" w:sz="4" w:space="0" w:color="000000"/>
              <w:bottom w:val="single" w:sz="4" w:space="0" w:color="000000"/>
              <w:right w:val="single" w:sz="4" w:space="0" w:color="000000"/>
            </w:tcBorders>
          </w:tcPr>
          <w:p>
            <w:pPr>
              <w:pStyle w:val="TableParagraph"/>
              <w:spacing w:before="60"/>
              <w:ind w:left="261"/>
              <w:jc w:val="left"/>
              <w:rPr>
                <w:sz w:val="21"/>
              </w:rPr>
            </w:pPr>
            <w:r>
              <w:rPr>
                <w:sz w:val="21"/>
              </w:rPr>
              <w:t>5.6</w:t>
            </w:r>
          </w:p>
        </w:tc>
        <w:tc>
          <w:tcPr>
            <w:tcW w:w="741" w:type="dxa"/>
            <w:tcBorders>
              <w:top w:val="single" w:sz="4" w:space="0" w:color="000000"/>
              <w:left w:val="single" w:sz="4" w:space="0" w:color="000000"/>
              <w:bottom w:val="single" w:sz="4" w:space="0" w:color="000000"/>
              <w:right w:val="single" w:sz="4" w:space="0" w:color="000000"/>
            </w:tcBorders>
          </w:tcPr>
          <w:p>
            <w:pPr>
              <w:pStyle w:val="TableParagraph"/>
              <w:spacing w:before="60"/>
              <w:ind w:left="116" w:right="59"/>
              <w:rPr>
                <w:sz w:val="21"/>
              </w:rPr>
            </w:pPr>
            <w:r>
              <w:rPr>
                <w:sz w:val="21"/>
              </w:rPr>
              <w:t>2.2</w:t>
            </w:r>
          </w:p>
        </w:tc>
        <w:tc>
          <w:tcPr>
            <w:tcW w:w="743" w:type="dxa"/>
            <w:tcBorders>
              <w:top w:val="single" w:sz="4" w:space="0" w:color="000000"/>
              <w:left w:val="single" w:sz="4" w:space="0" w:color="000000"/>
              <w:bottom w:val="single" w:sz="4" w:space="0" w:color="000000"/>
            </w:tcBorders>
          </w:tcPr>
          <w:p>
            <w:pPr>
              <w:pStyle w:val="TableParagraph"/>
              <w:spacing w:before="60"/>
              <w:ind w:right="143"/>
              <w:jc w:val="right"/>
              <w:rPr>
                <w:sz w:val="21"/>
              </w:rPr>
            </w:pPr>
            <w:r>
              <w:rPr>
                <w:sz w:val="21"/>
              </w:rPr>
              <w:t>11.5</w:t>
            </w:r>
          </w:p>
        </w:tc>
      </w:tr>
      <w:tr>
        <w:trPr>
          <w:trHeight w:val="356" w:hRule="atLeast"/>
        </w:trPr>
        <w:tc>
          <w:tcPr>
            <w:tcW w:w="1524" w:type="dxa"/>
            <w:tcBorders>
              <w:top w:val="single" w:sz="4" w:space="0" w:color="000000"/>
              <w:right w:val="single" w:sz="4" w:space="0" w:color="000000"/>
            </w:tcBorders>
          </w:tcPr>
          <w:p>
            <w:pPr>
              <w:pStyle w:val="TableParagraph"/>
              <w:spacing w:before="44"/>
              <w:ind w:left="146" w:right="124"/>
              <w:rPr>
                <w:rFonts w:ascii="宋体" w:eastAsia="宋体" w:hint="eastAsia"/>
                <w:sz w:val="21"/>
              </w:rPr>
            </w:pPr>
            <w:r>
              <w:rPr>
                <w:rFonts w:ascii="宋体" w:eastAsia="宋体" w:hint="eastAsia"/>
                <w:sz w:val="21"/>
              </w:rPr>
              <w:t>年平均</w:t>
            </w:r>
          </w:p>
        </w:tc>
        <w:tc>
          <w:tcPr>
            <w:tcW w:w="688" w:type="dxa"/>
            <w:tcBorders>
              <w:top w:val="single" w:sz="4" w:space="0" w:color="000000"/>
              <w:left w:val="single" w:sz="4" w:space="0" w:color="000000"/>
              <w:right w:val="single" w:sz="4" w:space="0" w:color="000000"/>
            </w:tcBorders>
          </w:tcPr>
          <w:p>
            <w:pPr>
              <w:pStyle w:val="TableParagraph"/>
              <w:ind w:left="203" w:right="171"/>
              <w:rPr>
                <w:sz w:val="21"/>
              </w:rPr>
            </w:pPr>
            <w:r>
              <w:rPr>
                <w:sz w:val="21"/>
              </w:rPr>
              <w:t>2.6</w:t>
            </w:r>
          </w:p>
        </w:tc>
        <w:tc>
          <w:tcPr>
            <w:tcW w:w="741" w:type="dxa"/>
            <w:tcBorders>
              <w:top w:val="single" w:sz="4" w:space="0" w:color="000000"/>
              <w:left w:val="single" w:sz="4" w:space="0" w:color="000000"/>
              <w:right w:val="single" w:sz="4" w:space="0" w:color="000000"/>
            </w:tcBorders>
          </w:tcPr>
          <w:p>
            <w:pPr>
              <w:pStyle w:val="TableParagraph"/>
              <w:ind w:left="93" w:right="59"/>
              <w:rPr>
                <w:sz w:val="21"/>
              </w:rPr>
            </w:pPr>
            <w:r>
              <w:rPr>
                <w:sz w:val="21"/>
              </w:rPr>
              <w:t>2.6</w:t>
            </w:r>
          </w:p>
        </w:tc>
        <w:tc>
          <w:tcPr>
            <w:tcW w:w="743" w:type="dxa"/>
            <w:tcBorders>
              <w:top w:val="single" w:sz="4" w:space="0" w:color="000000"/>
              <w:left w:val="single" w:sz="4" w:space="0" w:color="000000"/>
              <w:right w:val="single" w:sz="4" w:space="0" w:color="000000"/>
            </w:tcBorders>
          </w:tcPr>
          <w:p>
            <w:pPr>
              <w:pStyle w:val="TableParagraph"/>
              <w:ind w:left="251"/>
              <w:jc w:val="left"/>
              <w:rPr>
                <w:sz w:val="21"/>
              </w:rPr>
            </w:pPr>
            <w:r>
              <w:rPr>
                <w:sz w:val="21"/>
              </w:rPr>
              <w:t>5.3</w:t>
            </w:r>
          </w:p>
        </w:tc>
        <w:tc>
          <w:tcPr>
            <w:tcW w:w="741" w:type="dxa"/>
            <w:tcBorders>
              <w:top w:val="single" w:sz="4" w:space="0" w:color="000000"/>
              <w:left w:val="single" w:sz="4" w:space="0" w:color="000000"/>
              <w:right w:val="single" w:sz="4" w:space="0" w:color="000000"/>
            </w:tcBorders>
          </w:tcPr>
          <w:p>
            <w:pPr>
              <w:pStyle w:val="TableParagraph"/>
              <w:ind w:left="97" w:right="59"/>
              <w:rPr>
                <w:sz w:val="21"/>
              </w:rPr>
            </w:pPr>
            <w:r>
              <w:rPr>
                <w:sz w:val="21"/>
              </w:rPr>
              <w:t>17.9</w:t>
            </w:r>
          </w:p>
        </w:tc>
        <w:tc>
          <w:tcPr>
            <w:tcW w:w="743" w:type="dxa"/>
            <w:tcBorders>
              <w:top w:val="single" w:sz="4" w:space="0" w:color="000000"/>
              <w:left w:val="single" w:sz="4" w:space="0" w:color="000000"/>
              <w:right w:val="single" w:sz="4" w:space="0" w:color="000000"/>
            </w:tcBorders>
          </w:tcPr>
          <w:p>
            <w:pPr>
              <w:pStyle w:val="TableParagraph"/>
              <w:ind w:left="139" w:right="102"/>
              <w:rPr>
                <w:sz w:val="21"/>
              </w:rPr>
            </w:pPr>
            <w:r>
              <w:rPr>
                <w:sz w:val="21"/>
              </w:rPr>
              <w:t>16.4</w:t>
            </w:r>
          </w:p>
        </w:tc>
        <w:tc>
          <w:tcPr>
            <w:tcW w:w="743" w:type="dxa"/>
            <w:tcBorders>
              <w:top w:val="single" w:sz="4" w:space="0" w:color="000000"/>
              <w:left w:val="single" w:sz="4" w:space="0" w:color="000000"/>
              <w:right w:val="single" w:sz="4" w:space="0" w:color="000000"/>
            </w:tcBorders>
          </w:tcPr>
          <w:p>
            <w:pPr>
              <w:pStyle w:val="TableParagraph"/>
              <w:ind w:left="254"/>
              <w:jc w:val="left"/>
              <w:rPr>
                <w:sz w:val="21"/>
              </w:rPr>
            </w:pPr>
            <w:r>
              <w:rPr>
                <w:sz w:val="21"/>
              </w:rPr>
              <w:t>4.6</w:t>
            </w:r>
          </w:p>
        </w:tc>
        <w:tc>
          <w:tcPr>
            <w:tcW w:w="741" w:type="dxa"/>
            <w:tcBorders>
              <w:top w:val="single" w:sz="4" w:space="0" w:color="000000"/>
              <w:left w:val="single" w:sz="4" w:space="0" w:color="000000"/>
              <w:right w:val="single" w:sz="4" w:space="0" w:color="000000"/>
            </w:tcBorders>
          </w:tcPr>
          <w:p>
            <w:pPr>
              <w:pStyle w:val="TableParagraph"/>
              <w:ind w:left="102" w:right="59"/>
              <w:rPr>
                <w:sz w:val="21"/>
              </w:rPr>
            </w:pPr>
            <w:r>
              <w:rPr>
                <w:sz w:val="21"/>
              </w:rPr>
              <w:t>2.5</w:t>
            </w:r>
          </w:p>
        </w:tc>
        <w:tc>
          <w:tcPr>
            <w:tcW w:w="744" w:type="dxa"/>
            <w:tcBorders>
              <w:top w:val="single" w:sz="4" w:space="0" w:color="000000"/>
              <w:left w:val="single" w:sz="4" w:space="0" w:color="000000"/>
              <w:right w:val="single" w:sz="4" w:space="0" w:color="000000"/>
            </w:tcBorders>
          </w:tcPr>
          <w:p>
            <w:pPr>
              <w:pStyle w:val="TableParagraph"/>
              <w:ind w:left="180" w:right="138"/>
              <w:rPr>
                <w:sz w:val="21"/>
              </w:rPr>
            </w:pPr>
            <w:r>
              <w:rPr>
                <w:sz w:val="21"/>
              </w:rPr>
              <w:t>3.0</w:t>
            </w:r>
          </w:p>
        </w:tc>
        <w:tc>
          <w:tcPr>
            <w:tcW w:w="741" w:type="dxa"/>
            <w:tcBorders>
              <w:top w:val="single" w:sz="4" w:space="0" w:color="000000"/>
              <w:left w:val="single" w:sz="4" w:space="0" w:color="000000"/>
              <w:right w:val="single" w:sz="4" w:space="0" w:color="000000"/>
            </w:tcBorders>
          </w:tcPr>
          <w:p>
            <w:pPr>
              <w:pStyle w:val="TableParagraph"/>
              <w:ind w:left="104" w:right="59"/>
              <w:rPr>
                <w:sz w:val="21"/>
              </w:rPr>
            </w:pPr>
            <w:r>
              <w:rPr>
                <w:sz w:val="21"/>
              </w:rPr>
              <w:t>4.2</w:t>
            </w:r>
          </w:p>
        </w:tc>
        <w:tc>
          <w:tcPr>
            <w:tcW w:w="743" w:type="dxa"/>
            <w:tcBorders>
              <w:top w:val="single" w:sz="4" w:space="0" w:color="000000"/>
              <w:left w:val="single" w:sz="4" w:space="0" w:color="000000"/>
              <w:right w:val="single" w:sz="4" w:space="0" w:color="000000"/>
            </w:tcBorders>
          </w:tcPr>
          <w:p>
            <w:pPr>
              <w:pStyle w:val="TableParagraph"/>
              <w:ind w:left="147" w:right="102"/>
              <w:rPr>
                <w:sz w:val="21"/>
              </w:rPr>
            </w:pPr>
            <w:r>
              <w:rPr>
                <w:sz w:val="21"/>
              </w:rPr>
              <w:t>3.2</w:t>
            </w:r>
          </w:p>
        </w:tc>
        <w:tc>
          <w:tcPr>
            <w:tcW w:w="743" w:type="dxa"/>
            <w:tcBorders>
              <w:top w:val="single" w:sz="4" w:space="0" w:color="000000"/>
              <w:left w:val="single" w:sz="4" w:space="0" w:color="000000"/>
              <w:right w:val="single" w:sz="4" w:space="0" w:color="000000"/>
            </w:tcBorders>
          </w:tcPr>
          <w:p>
            <w:pPr>
              <w:pStyle w:val="TableParagraph"/>
              <w:ind w:left="147" w:right="100"/>
              <w:rPr>
                <w:sz w:val="21"/>
              </w:rPr>
            </w:pPr>
            <w:r>
              <w:rPr>
                <w:sz w:val="21"/>
              </w:rPr>
              <w:t>3.1</w:t>
            </w:r>
          </w:p>
        </w:tc>
        <w:tc>
          <w:tcPr>
            <w:tcW w:w="760" w:type="dxa"/>
            <w:tcBorders>
              <w:top w:val="single" w:sz="4" w:space="0" w:color="000000"/>
              <w:left w:val="single" w:sz="4" w:space="0" w:color="000000"/>
              <w:right w:val="single" w:sz="4" w:space="0" w:color="000000"/>
            </w:tcBorders>
          </w:tcPr>
          <w:p>
            <w:pPr>
              <w:pStyle w:val="TableParagraph"/>
              <w:ind w:left="108" w:right="62"/>
              <w:rPr>
                <w:sz w:val="21"/>
              </w:rPr>
            </w:pPr>
            <w:r>
              <w:rPr>
                <w:sz w:val="21"/>
              </w:rPr>
              <w:t>4.2</w:t>
            </w:r>
          </w:p>
        </w:tc>
        <w:tc>
          <w:tcPr>
            <w:tcW w:w="744" w:type="dxa"/>
            <w:tcBorders>
              <w:top w:val="single" w:sz="4" w:space="0" w:color="000000"/>
              <w:left w:val="single" w:sz="4" w:space="0" w:color="000000"/>
              <w:right w:val="single" w:sz="4" w:space="0" w:color="000000"/>
            </w:tcBorders>
          </w:tcPr>
          <w:p>
            <w:pPr>
              <w:pStyle w:val="TableParagraph"/>
              <w:ind w:left="181" w:right="132"/>
              <w:rPr>
                <w:sz w:val="21"/>
              </w:rPr>
            </w:pPr>
            <w:r>
              <w:rPr>
                <w:sz w:val="21"/>
              </w:rPr>
              <w:t>6.8</w:t>
            </w:r>
          </w:p>
        </w:tc>
        <w:tc>
          <w:tcPr>
            <w:tcW w:w="796" w:type="dxa"/>
            <w:tcBorders>
              <w:top w:val="single" w:sz="4" w:space="0" w:color="000000"/>
              <w:left w:val="single" w:sz="4" w:space="0" w:color="000000"/>
              <w:right w:val="single" w:sz="4" w:space="0" w:color="000000"/>
            </w:tcBorders>
          </w:tcPr>
          <w:p>
            <w:pPr>
              <w:pStyle w:val="TableParagraph"/>
              <w:ind w:left="111" w:right="60"/>
              <w:rPr>
                <w:sz w:val="21"/>
              </w:rPr>
            </w:pPr>
            <w:r>
              <w:rPr>
                <w:sz w:val="21"/>
              </w:rPr>
              <w:t>9.4</w:t>
            </w:r>
          </w:p>
        </w:tc>
        <w:tc>
          <w:tcPr>
            <w:tcW w:w="743" w:type="dxa"/>
            <w:tcBorders>
              <w:top w:val="single" w:sz="4" w:space="0" w:color="000000"/>
              <w:left w:val="single" w:sz="4" w:space="0" w:color="000000"/>
              <w:right w:val="single" w:sz="4" w:space="0" w:color="000000"/>
            </w:tcBorders>
          </w:tcPr>
          <w:p>
            <w:pPr>
              <w:pStyle w:val="TableParagraph"/>
              <w:ind w:left="261"/>
              <w:jc w:val="left"/>
              <w:rPr>
                <w:sz w:val="21"/>
              </w:rPr>
            </w:pPr>
            <w:r>
              <w:rPr>
                <w:sz w:val="21"/>
              </w:rPr>
              <w:t>3.8</w:t>
            </w:r>
          </w:p>
        </w:tc>
        <w:tc>
          <w:tcPr>
            <w:tcW w:w="741" w:type="dxa"/>
            <w:tcBorders>
              <w:top w:val="single" w:sz="4" w:space="0" w:color="000000"/>
              <w:left w:val="single" w:sz="4" w:space="0" w:color="000000"/>
              <w:right w:val="single" w:sz="4" w:space="0" w:color="000000"/>
            </w:tcBorders>
          </w:tcPr>
          <w:p>
            <w:pPr>
              <w:pStyle w:val="TableParagraph"/>
              <w:ind w:left="116" w:right="59"/>
              <w:rPr>
                <w:sz w:val="21"/>
              </w:rPr>
            </w:pPr>
            <w:r>
              <w:rPr>
                <w:sz w:val="21"/>
              </w:rPr>
              <w:t>1.8</w:t>
            </w:r>
          </w:p>
        </w:tc>
        <w:tc>
          <w:tcPr>
            <w:tcW w:w="743" w:type="dxa"/>
            <w:tcBorders>
              <w:top w:val="single" w:sz="4" w:space="0" w:color="000000"/>
              <w:left w:val="single" w:sz="4" w:space="0" w:color="000000"/>
            </w:tcBorders>
          </w:tcPr>
          <w:p>
            <w:pPr>
              <w:pStyle w:val="TableParagraph"/>
              <w:ind w:right="194"/>
              <w:jc w:val="right"/>
              <w:rPr>
                <w:sz w:val="21"/>
              </w:rPr>
            </w:pPr>
            <w:r>
              <w:rPr>
                <w:sz w:val="21"/>
              </w:rPr>
              <w:t>8.6</w:t>
            </w:r>
          </w:p>
        </w:tc>
      </w:tr>
    </w:tbl>
    <w:p>
      <w:pPr>
        <w:spacing w:after="0"/>
        <w:jc w:val="right"/>
        <w:rPr>
          <w:sz w:val="21"/>
        </w:rPr>
        <w:sectPr>
          <w:headerReference w:type="default" r:id="rId112"/>
          <w:footerReference w:type="default" r:id="rId113"/>
          <w:pgSz w:w="16840" w:h="11910" w:orient="landscape"/>
          <w:pgMar w:header="0" w:footer="1004" w:top="780" w:bottom="1200" w:left="1200" w:right="1200"/>
        </w:sectPr>
      </w:pPr>
    </w:p>
    <w:p>
      <w:pPr>
        <w:pStyle w:val="ListParagraph"/>
        <w:numPr>
          <w:ilvl w:val="0"/>
          <w:numId w:val="73"/>
        </w:numPr>
        <w:tabs>
          <w:tab w:pos="1243" w:val="left" w:leader="none"/>
        </w:tabs>
        <w:spacing w:line="240" w:lineRule="auto" w:before="64" w:after="0"/>
        <w:ind w:left="1243" w:right="0" w:hanging="604"/>
        <w:jc w:val="left"/>
        <w:rPr>
          <w:b/>
          <w:sz w:val="24"/>
        </w:rPr>
      </w:pPr>
      <w:r>
        <w:rPr>
          <w:b/>
          <w:sz w:val="24"/>
        </w:rPr>
        <w:t>环境空气影响预测</w:t>
      </w:r>
    </w:p>
    <w:p>
      <w:pPr>
        <w:pStyle w:val="ListParagraph"/>
        <w:numPr>
          <w:ilvl w:val="0"/>
          <w:numId w:val="75"/>
        </w:numPr>
        <w:tabs>
          <w:tab w:pos="1002" w:val="left" w:leader="none"/>
        </w:tabs>
        <w:spacing w:line="240" w:lineRule="auto" w:before="160" w:after="0"/>
        <w:ind w:left="1001" w:right="0" w:hanging="363"/>
        <w:jc w:val="left"/>
        <w:rPr>
          <w:b/>
          <w:sz w:val="24"/>
        </w:rPr>
      </w:pPr>
      <w:r>
        <w:rPr>
          <w:b/>
          <w:sz w:val="24"/>
        </w:rPr>
        <w:t>预测模式、参数及方案</w:t>
      </w:r>
    </w:p>
    <w:p>
      <w:pPr>
        <w:pStyle w:val="BodyText"/>
        <w:spacing w:line="364" w:lineRule="auto" w:before="161"/>
        <w:ind w:left="157" w:right="229" w:firstLine="480"/>
      </w:pPr>
      <w:r>
        <w:rPr>
          <w:spacing w:val="-11"/>
        </w:rPr>
        <w:t>预测软件：本次评价大气预测采用 </w:t>
      </w:r>
      <w:r>
        <w:rPr>
          <w:rFonts w:ascii="Times New Roman" w:eastAsia="Times New Roman"/>
        </w:rPr>
        <w:t>65 </w:t>
      </w:r>
      <w:r>
        <w:rPr>
          <w:spacing w:val="-7"/>
        </w:rPr>
        <w:t>软件工作室开发的 </w:t>
      </w:r>
      <w:r>
        <w:rPr>
          <w:rFonts w:ascii="Times New Roman" w:eastAsia="Times New Roman"/>
        </w:rPr>
        <w:t>EIAProA </w:t>
      </w:r>
      <w:r>
        <w:rPr>
          <w:spacing w:val="-8"/>
        </w:rPr>
        <w:t>软件进行预测，模</w:t>
      </w:r>
      <w:r>
        <w:rPr/>
        <w:t>式系统包括估算模式、</w:t>
      </w:r>
      <w:r>
        <w:rPr>
          <w:rFonts w:ascii="Times New Roman" w:eastAsia="Times New Roman"/>
        </w:rPr>
        <w:t>AERMOD</w:t>
      </w:r>
      <w:r>
        <w:rPr/>
        <w:t>（大气扩散模型）。</w:t>
      </w:r>
    </w:p>
    <w:p>
      <w:pPr>
        <w:pStyle w:val="BodyText"/>
        <w:spacing w:before="1"/>
        <w:ind w:left="637"/>
        <w:rPr>
          <w:rFonts w:ascii="Times New Roman" w:eastAsia="Times New Roman"/>
        </w:rPr>
      </w:pPr>
      <w:r>
        <w:rPr/>
        <w:t>气象条件：地面气象数据采用绍兴市气象站 </w:t>
      </w:r>
      <w:r>
        <w:rPr>
          <w:rFonts w:ascii="Times New Roman" w:eastAsia="Times New Roman"/>
        </w:rPr>
        <w:t>2019 </w:t>
      </w:r>
      <w:r>
        <w:rPr/>
        <w:t>年的原始资料，气象站编号 </w:t>
      </w:r>
      <w:r>
        <w:rPr>
          <w:rFonts w:ascii="Times New Roman" w:eastAsia="Times New Roman"/>
        </w:rPr>
        <w:t>58453</w:t>
      </w:r>
    </w:p>
    <w:p>
      <w:pPr>
        <w:pStyle w:val="BodyText"/>
        <w:spacing w:line="364" w:lineRule="auto" w:before="160"/>
        <w:ind w:left="157" w:right="229"/>
        <w:jc w:val="both"/>
      </w:pPr>
      <w:r>
        <w:rPr/>
        <w:t>（</w:t>
      </w:r>
      <w:r>
        <w:rPr>
          <w:spacing w:val="-4"/>
        </w:rPr>
        <w:t>云高及云量数据引用杭州气象站 </w:t>
      </w:r>
      <w:r>
        <w:rPr>
          <w:rFonts w:ascii="Times New Roman" w:eastAsia="Times New Roman"/>
        </w:rPr>
        <w:t>2019 </w:t>
      </w:r>
      <w:r>
        <w:rPr>
          <w:spacing w:val="-4"/>
        </w:rPr>
        <w:t>年度资料作为补充，气象站编号 </w:t>
      </w:r>
      <w:r>
        <w:rPr>
          <w:rFonts w:ascii="Times New Roman" w:eastAsia="Times New Roman"/>
        </w:rPr>
        <w:t>58457</w:t>
      </w:r>
      <w:r>
        <w:rPr/>
        <w:t>）；</w:t>
      </w:r>
      <w:r>
        <w:rPr>
          <w:spacing w:val="-8"/>
        </w:rPr>
        <w:t>高空</w:t>
      </w:r>
      <w:r>
        <w:rPr/>
        <w:t>气象数据采用国家环境工程评估中心环境质量模拟重点实验室的中尺度气象模拟数据， </w:t>
      </w:r>
      <w:r>
        <w:rPr>
          <w:spacing w:val="-7"/>
        </w:rPr>
        <w:t>模拟经纬度坐标为 </w:t>
      </w:r>
      <w:r>
        <w:rPr>
          <w:rFonts w:ascii="Times New Roman" w:eastAsia="Times New Roman"/>
        </w:rPr>
        <w:t>120.459E</w:t>
      </w:r>
      <w:r>
        <w:rPr/>
        <w:t>，</w:t>
      </w:r>
      <w:r>
        <w:rPr>
          <w:rFonts w:ascii="Times New Roman" w:eastAsia="Times New Roman"/>
        </w:rPr>
        <w:t>29.970N</w:t>
      </w:r>
      <w:r>
        <w:rPr/>
        <w:t>。</w:t>
      </w:r>
    </w:p>
    <w:p>
      <w:pPr>
        <w:pStyle w:val="BodyText"/>
        <w:spacing w:before="3"/>
        <w:ind w:left="637"/>
        <w:jc w:val="both"/>
      </w:pPr>
      <w:r>
        <w:rPr/>
        <w:t>地形数据：来自 </w:t>
      </w:r>
      <w:r>
        <w:rPr>
          <w:rFonts w:ascii="Times New Roman" w:eastAsia="Times New Roman"/>
        </w:rPr>
        <w:t>EIAProA </w:t>
      </w:r>
      <w:r>
        <w:rPr/>
        <w:t>软件中生成的 </w:t>
      </w:r>
      <w:r>
        <w:rPr>
          <w:rFonts w:ascii="Times New Roman" w:eastAsia="Times New Roman"/>
        </w:rPr>
        <w:t>DEM </w:t>
      </w:r>
      <w:r>
        <w:rPr/>
        <w:t>文件，精度符合导则要求。</w:t>
      </w:r>
    </w:p>
    <w:p>
      <w:pPr>
        <w:pStyle w:val="BodyText"/>
        <w:spacing w:line="364" w:lineRule="auto" w:before="159"/>
        <w:ind w:left="157" w:right="229" w:firstLine="480"/>
        <w:jc w:val="both"/>
      </w:pPr>
      <w:r>
        <w:rPr>
          <w:spacing w:val="-5"/>
          <w:position w:val="2"/>
        </w:rPr>
        <w:t>预测因子及参数：预测因子主要为 </w:t>
      </w:r>
      <w:r>
        <w:rPr>
          <w:rFonts w:ascii="Times New Roman" w:eastAsia="Times New Roman"/>
          <w:position w:val="2"/>
        </w:rPr>
        <w:t>NH</w:t>
      </w:r>
      <w:r>
        <w:rPr>
          <w:rFonts w:ascii="Times New Roman" w:eastAsia="Times New Roman"/>
          <w:sz w:val="16"/>
        </w:rPr>
        <w:t>3</w:t>
      </w:r>
      <w:r>
        <w:rPr>
          <w:spacing w:val="-3"/>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w:t>
      </w:r>
      <w:r>
        <w:rPr>
          <w:spacing w:val="-3"/>
          <w:position w:val="2"/>
        </w:rPr>
        <w:t>、</w:t>
      </w:r>
      <w:r>
        <w:rPr>
          <w:rFonts w:ascii="Times New Roman" w:eastAsia="Times New Roman"/>
          <w:position w:val="2"/>
        </w:rPr>
        <w:t>NO</w:t>
      </w:r>
      <w:r>
        <w:rPr>
          <w:rFonts w:ascii="Times New Roman" w:eastAsia="Times New Roman"/>
          <w:sz w:val="16"/>
        </w:rPr>
        <w:t>x </w:t>
      </w:r>
      <w:r>
        <w:rPr>
          <w:spacing w:val="-32"/>
          <w:position w:val="2"/>
        </w:rPr>
        <w:t>及 </w:t>
      </w:r>
      <w:r>
        <w:rPr>
          <w:rFonts w:ascii="Times New Roman" w:eastAsia="Times New Roman"/>
          <w:position w:val="2"/>
        </w:rPr>
        <w:t>SO</w:t>
      </w:r>
      <w:r>
        <w:rPr>
          <w:rFonts w:ascii="Times New Roman" w:eastAsia="Times New Roman"/>
          <w:sz w:val="16"/>
        </w:rPr>
        <w:t>2</w:t>
      </w:r>
      <w:r>
        <w:rPr>
          <w:spacing w:val="-1"/>
          <w:position w:val="2"/>
        </w:rPr>
        <w:t>，其正常工况及非正常工</w:t>
      </w:r>
      <w:r>
        <w:rPr>
          <w:spacing w:val="-1"/>
        </w:rPr>
        <w:t>况下源强及参数见上文。</w:t>
      </w:r>
    </w:p>
    <w:p>
      <w:pPr>
        <w:pStyle w:val="BodyText"/>
        <w:spacing w:line="364" w:lineRule="auto" w:before="2"/>
        <w:ind w:left="157" w:right="229" w:firstLine="480"/>
        <w:jc w:val="both"/>
      </w:pPr>
      <w:r>
        <w:rPr/>
        <w:t>计算点：本次大气环境影响预测计算点为：全年逐时气象条件下，环境空气保护目标、网格点处的地面质量浓度和评价范围内的最大地面小时质量浓度；全年逐日气象条件下，环境空气保护目标、网格点处的地面质量浓度和评价范围内的最大地面日均质量浓度；长期气象条件下，环境空气保护目标、网格点处的地面质量浓度和评价范围内的最大地面年均质量浓度；非正常排放，全年逐时或逐次小时气象条件下，环境空气保护目标的最大地面小时质量浓度和评价范围内的最大地面小时质量浓度。</w:t>
      </w:r>
    </w:p>
    <w:p>
      <w:pPr>
        <w:pStyle w:val="BodyText"/>
        <w:spacing w:line="364" w:lineRule="auto" w:before="4"/>
        <w:ind w:left="157" w:right="91" w:firstLine="480"/>
      </w:pPr>
      <w:r>
        <w:rPr/>
        <w:t>预测方案：预测内容包括计算区域及各敏感点的短期浓度（小时平均浓度、日平均浓度）和长期浓度（年平均浓度），评价其最大浓度占标率及叠加背景值后的达标情况， 具体的预测方案见表 </w:t>
      </w:r>
      <w:r>
        <w:rPr>
          <w:rFonts w:ascii="Times New Roman" w:eastAsia="Times New Roman"/>
        </w:rPr>
        <w:t>5.2-19</w:t>
      </w:r>
      <w:r>
        <w:rPr/>
        <w:t>。</w:t>
      </w:r>
    </w:p>
    <w:p>
      <w:pPr>
        <w:pStyle w:val="Heading3"/>
        <w:spacing w:line="254" w:lineRule="exact" w:before="0" w:after="24"/>
        <w:ind w:left="2917"/>
      </w:pPr>
      <w:r>
        <w:rPr/>
        <w:t>表 </w:t>
      </w:r>
      <w:r>
        <w:rPr>
          <w:rFonts w:ascii="Times New Roman" w:eastAsia="Times New Roman"/>
        </w:rPr>
        <w:t>5.2-19  </w:t>
      </w:r>
      <w:r>
        <w:rPr/>
        <w:t>本项目的预测方案一览表</w:t>
      </w: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22"/>
        <w:gridCol w:w="3118"/>
        <w:gridCol w:w="1133"/>
        <w:gridCol w:w="1136"/>
        <w:gridCol w:w="2864"/>
      </w:tblGrid>
      <w:tr>
        <w:trPr>
          <w:trHeight w:val="359" w:hRule="atLeast"/>
        </w:trPr>
        <w:tc>
          <w:tcPr>
            <w:tcW w:w="1022" w:type="dxa"/>
            <w:tcBorders>
              <w:bottom w:val="single" w:sz="4" w:space="0" w:color="000000"/>
              <w:right w:val="single" w:sz="4" w:space="0" w:color="000000"/>
            </w:tcBorders>
          </w:tcPr>
          <w:p>
            <w:pPr>
              <w:pStyle w:val="TableParagraph"/>
              <w:spacing w:before="46"/>
              <w:ind w:left="88"/>
              <w:jc w:val="left"/>
              <w:rPr>
                <w:rFonts w:ascii="宋体" w:eastAsia="宋体" w:hint="eastAsia"/>
                <w:b/>
                <w:sz w:val="21"/>
              </w:rPr>
            </w:pPr>
            <w:r>
              <w:rPr>
                <w:rFonts w:ascii="宋体" w:eastAsia="宋体" w:hint="eastAsia"/>
                <w:b/>
                <w:sz w:val="21"/>
              </w:rPr>
              <w:t>评价对象</w:t>
            </w:r>
          </w:p>
        </w:tc>
        <w:tc>
          <w:tcPr>
            <w:tcW w:w="3118" w:type="dxa"/>
            <w:tcBorders>
              <w:left w:val="single" w:sz="4" w:space="0" w:color="000000"/>
              <w:bottom w:val="single" w:sz="4" w:space="0" w:color="000000"/>
              <w:right w:val="single" w:sz="4" w:space="0" w:color="000000"/>
            </w:tcBorders>
          </w:tcPr>
          <w:p>
            <w:pPr>
              <w:pStyle w:val="TableParagraph"/>
              <w:spacing w:before="46"/>
              <w:ind w:left="1020" w:right="993"/>
              <w:rPr>
                <w:rFonts w:ascii="宋体" w:eastAsia="宋体" w:hint="eastAsia"/>
                <w:b/>
                <w:sz w:val="21"/>
              </w:rPr>
            </w:pPr>
            <w:r>
              <w:rPr>
                <w:rFonts w:ascii="宋体" w:eastAsia="宋体" w:hint="eastAsia"/>
                <w:b/>
                <w:sz w:val="21"/>
              </w:rPr>
              <w:t>污染源类别</w:t>
            </w:r>
          </w:p>
        </w:tc>
        <w:tc>
          <w:tcPr>
            <w:tcW w:w="1133" w:type="dxa"/>
            <w:tcBorders>
              <w:left w:val="single" w:sz="4" w:space="0" w:color="000000"/>
              <w:bottom w:val="single" w:sz="4" w:space="0" w:color="000000"/>
              <w:right w:val="single" w:sz="4" w:space="0" w:color="000000"/>
            </w:tcBorders>
          </w:tcPr>
          <w:p>
            <w:pPr>
              <w:pStyle w:val="TableParagraph"/>
              <w:spacing w:before="46"/>
              <w:ind w:left="154"/>
              <w:jc w:val="left"/>
              <w:rPr>
                <w:rFonts w:ascii="宋体" w:eastAsia="宋体" w:hint="eastAsia"/>
                <w:b/>
                <w:sz w:val="21"/>
              </w:rPr>
            </w:pPr>
            <w:r>
              <w:rPr>
                <w:rFonts w:ascii="宋体" w:eastAsia="宋体" w:hint="eastAsia"/>
                <w:b/>
                <w:sz w:val="21"/>
              </w:rPr>
              <w:t>排放形式</w:t>
            </w:r>
          </w:p>
        </w:tc>
        <w:tc>
          <w:tcPr>
            <w:tcW w:w="1136" w:type="dxa"/>
            <w:tcBorders>
              <w:left w:val="single" w:sz="4" w:space="0" w:color="000000"/>
              <w:bottom w:val="single" w:sz="4" w:space="0" w:color="000000"/>
              <w:right w:val="single" w:sz="4" w:space="0" w:color="000000"/>
            </w:tcBorders>
          </w:tcPr>
          <w:p>
            <w:pPr>
              <w:pStyle w:val="TableParagraph"/>
              <w:spacing w:before="46"/>
              <w:ind w:left="156"/>
              <w:jc w:val="left"/>
              <w:rPr>
                <w:rFonts w:ascii="宋体" w:eastAsia="宋体" w:hint="eastAsia"/>
                <w:b/>
                <w:sz w:val="21"/>
              </w:rPr>
            </w:pPr>
            <w:r>
              <w:rPr>
                <w:rFonts w:ascii="宋体" w:eastAsia="宋体" w:hint="eastAsia"/>
                <w:b/>
                <w:sz w:val="21"/>
              </w:rPr>
              <w:t>预测内容</w:t>
            </w:r>
          </w:p>
        </w:tc>
        <w:tc>
          <w:tcPr>
            <w:tcW w:w="2864" w:type="dxa"/>
            <w:tcBorders>
              <w:left w:val="single" w:sz="4" w:space="0" w:color="000000"/>
              <w:bottom w:val="single" w:sz="4" w:space="0" w:color="000000"/>
            </w:tcBorders>
          </w:tcPr>
          <w:p>
            <w:pPr>
              <w:pStyle w:val="TableParagraph"/>
              <w:spacing w:before="46"/>
              <w:ind w:left="578" w:right="542"/>
              <w:rPr>
                <w:rFonts w:ascii="宋体" w:eastAsia="宋体" w:hint="eastAsia"/>
                <w:b/>
                <w:sz w:val="21"/>
              </w:rPr>
            </w:pPr>
            <w:r>
              <w:rPr>
                <w:rFonts w:ascii="宋体" w:eastAsia="宋体" w:hint="eastAsia"/>
                <w:b/>
                <w:sz w:val="21"/>
              </w:rPr>
              <w:t>评价内容</w:t>
            </w:r>
          </w:p>
        </w:tc>
      </w:tr>
      <w:tr>
        <w:trPr>
          <w:trHeight w:val="359" w:hRule="atLeast"/>
        </w:trPr>
        <w:tc>
          <w:tcPr>
            <w:tcW w:w="1022" w:type="dxa"/>
            <w:vMerge w:val="restart"/>
            <w:tcBorders>
              <w:top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4"/>
              <w:jc w:val="left"/>
              <w:rPr>
                <w:rFonts w:ascii="宋体"/>
                <w:b/>
                <w:sz w:val="28"/>
              </w:rPr>
            </w:pPr>
          </w:p>
          <w:p>
            <w:pPr>
              <w:pStyle w:val="TableParagraph"/>
              <w:spacing w:before="0"/>
              <w:ind w:left="90"/>
              <w:jc w:val="left"/>
              <w:rPr>
                <w:rFonts w:ascii="宋体" w:eastAsia="宋体" w:hint="eastAsia"/>
                <w:sz w:val="21"/>
              </w:rPr>
            </w:pPr>
            <w:r>
              <w:rPr>
                <w:rFonts w:ascii="宋体" w:eastAsia="宋体" w:hint="eastAsia"/>
                <w:sz w:val="21"/>
              </w:rPr>
              <w:t>评价项目</w:t>
            </w:r>
          </w:p>
        </w:tc>
        <w:tc>
          <w:tcPr>
            <w:tcW w:w="3118" w:type="dxa"/>
            <w:tcBorders>
              <w:top w:val="single" w:sz="4" w:space="0" w:color="000000"/>
              <w:left w:val="single" w:sz="4" w:space="0" w:color="000000"/>
              <w:bottom w:val="single" w:sz="4" w:space="0" w:color="000000"/>
              <w:right w:val="single" w:sz="4" w:space="0" w:color="000000"/>
            </w:tcBorders>
          </w:tcPr>
          <w:p>
            <w:pPr>
              <w:pStyle w:val="TableParagraph"/>
              <w:spacing w:before="46"/>
              <w:ind w:left="1020" w:right="990"/>
              <w:rPr>
                <w:rFonts w:ascii="宋体" w:eastAsia="宋体" w:hint="eastAsia"/>
                <w:sz w:val="21"/>
              </w:rPr>
            </w:pPr>
            <w:r>
              <w:rPr>
                <w:rFonts w:ascii="宋体" w:eastAsia="宋体" w:hint="eastAsia"/>
                <w:sz w:val="21"/>
              </w:rPr>
              <w:t>新增污染源</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46"/>
              <w:ind w:left="154"/>
              <w:jc w:val="left"/>
              <w:rPr>
                <w:rFonts w:ascii="宋体" w:eastAsia="宋体" w:hint="eastAsia"/>
                <w:sz w:val="21"/>
              </w:rPr>
            </w:pPr>
            <w:r>
              <w:rPr>
                <w:rFonts w:ascii="宋体" w:eastAsia="宋体" w:hint="eastAsia"/>
                <w:sz w:val="21"/>
              </w:rPr>
              <w:t>正常排放</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46"/>
              <w:ind w:left="156"/>
              <w:jc w:val="left"/>
              <w:rPr>
                <w:rFonts w:ascii="宋体" w:eastAsia="宋体" w:hint="eastAsia"/>
                <w:sz w:val="21"/>
              </w:rPr>
            </w:pPr>
            <w:r>
              <w:rPr>
                <w:rFonts w:ascii="宋体" w:eastAsia="宋体" w:hint="eastAsia"/>
                <w:sz w:val="21"/>
              </w:rPr>
              <w:t>短期浓度</w:t>
            </w:r>
          </w:p>
        </w:tc>
        <w:tc>
          <w:tcPr>
            <w:tcW w:w="2864" w:type="dxa"/>
            <w:tcBorders>
              <w:top w:val="single" w:sz="4" w:space="0" w:color="000000"/>
              <w:left w:val="single" w:sz="4" w:space="0" w:color="000000"/>
              <w:bottom w:val="single" w:sz="4" w:space="0" w:color="000000"/>
            </w:tcBorders>
          </w:tcPr>
          <w:p>
            <w:pPr>
              <w:pStyle w:val="TableParagraph"/>
              <w:spacing w:before="46"/>
              <w:ind w:left="578" w:right="542"/>
              <w:rPr>
                <w:rFonts w:ascii="宋体" w:eastAsia="宋体" w:hint="eastAsia"/>
                <w:sz w:val="21"/>
              </w:rPr>
            </w:pPr>
            <w:r>
              <w:rPr>
                <w:rFonts w:ascii="宋体" w:eastAsia="宋体" w:hint="eastAsia"/>
                <w:sz w:val="21"/>
              </w:rPr>
              <w:t>最大浓度占标率</w:t>
            </w:r>
          </w:p>
        </w:tc>
      </w:tr>
      <w:tr>
        <w:trPr>
          <w:trHeight w:val="1435" w:hRule="atLeast"/>
        </w:trPr>
        <w:tc>
          <w:tcPr>
            <w:tcW w:w="1022" w:type="dxa"/>
            <w:vMerge/>
            <w:tcBorders>
              <w:top w:val="nil"/>
              <w:bottom w:val="single" w:sz="4" w:space="0" w:color="000000"/>
              <w:right w:val="single" w:sz="4" w:space="0" w:color="000000"/>
            </w:tcBorders>
          </w:tcPr>
          <w:p>
            <w:pPr>
              <w:rPr>
                <w:sz w:val="2"/>
                <w:szCs w:val="2"/>
              </w:rPr>
            </w:pPr>
          </w:p>
        </w:tc>
        <w:tc>
          <w:tcPr>
            <w:tcW w:w="3118"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宋体"/>
                <w:b/>
                <w:sz w:val="17"/>
              </w:rPr>
            </w:pPr>
          </w:p>
          <w:p>
            <w:pPr>
              <w:pStyle w:val="TableParagraph"/>
              <w:spacing w:before="1"/>
              <w:ind w:left="60"/>
              <w:jc w:val="left"/>
              <w:rPr>
                <w:rFonts w:ascii="宋体" w:hAnsi="宋体" w:eastAsia="宋体" w:hint="eastAsia"/>
                <w:sz w:val="21"/>
              </w:rPr>
            </w:pPr>
            <w:r>
              <w:rPr>
                <w:rFonts w:ascii="宋体" w:hAnsi="宋体" w:eastAsia="宋体" w:hint="eastAsia"/>
                <w:sz w:val="21"/>
              </w:rPr>
              <w:t>新增污染源</w:t>
            </w:r>
            <w:r>
              <w:rPr>
                <w:sz w:val="21"/>
              </w:rPr>
              <w:t>-</w:t>
            </w:r>
            <w:r>
              <w:rPr>
                <w:rFonts w:ascii="宋体" w:hAnsi="宋体" w:eastAsia="宋体" w:hint="eastAsia"/>
                <w:sz w:val="21"/>
              </w:rPr>
              <w:t>“以新带老”污染源</w:t>
            </w:r>
          </w:p>
          <w:p>
            <w:pPr>
              <w:pStyle w:val="TableParagraph"/>
              <w:spacing w:before="91"/>
              <w:ind w:left="36"/>
              <w:jc w:val="left"/>
              <w:rPr>
                <w:rFonts w:ascii="宋体" w:eastAsia="宋体" w:hint="eastAsia"/>
                <w:sz w:val="21"/>
              </w:rPr>
            </w:pPr>
            <w:r>
              <w:rPr>
                <w:rFonts w:ascii="宋体" w:eastAsia="宋体" w:hint="eastAsia"/>
                <w:sz w:val="21"/>
              </w:rPr>
              <w:t>（如有）</w:t>
            </w:r>
            <w:r>
              <w:rPr>
                <w:sz w:val="21"/>
              </w:rPr>
              <w:t>-</w:t>
            </w:r>
            <w:r>
              <w:rPr>
                <w:rFonts w:ascii="宋体" w:eastAsia="宋体" w:hint="eastAsia"/>
                <w:sz w:val="21"/>
              </w:rPr>
              <w:t>区域削减污染源（如有</w:t>
            </w:r>
          </w:p>
          <w:p>
            <w:pPr>
              <w:pStyle w:val="TableParagraph"/>
              <w:spacing w:before="88"/>
              <w:ind w:left="36"/>
              <w:jc w:val="left"/>
              <w:rPr>
                <w:rFonts w:ascii="宋体" w:eastAsia="宋体" w:hint="eastAsia"/>
                <w:sz w:val="21"/>
              </w:rPr>
            </w:pPr>
            <w:r>
              <w:rPr>
                <w:sz w:val="21"/>
              </w:rPr>
              <w:t>+</w:t>
            </w:r>
            <w:r>
              <w:rPr>
                <w:rFonts w:ascii="宋体" w:eastAsia="宋体" w:hint="eastAsia"/>
                <w:sz w:val="21"/>
              </w:rPr>
              <w:t>其他在建、拟建污染源（如有）</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before="8"/>
              <w:jc w:val="left"/>
              <w:rPr>
                <w:rFonts w:ascii="宋体"/>
                <w:b/>
                <w:sz w:val="25"/>
              </w:rPr>
            </w:pPr>
          </w:p>
          <w:p>
            <w:pPr>
              <w:pStyle w:val="TableParagraph"/>
              <w:spacing w:before="0"/>
              <w:ind w:left="-123"/>
              <w:jc w:val="left"/>
              <w:rPr>
                <w:rFonts w:ascii="宋体" w:eastAsia="宋体" w:hint="eastAsia"/>
                <w:sz w:val="21"/>
              </w:rPr>
            </w:pPr>
            <w:r>
              <w:rPr>
                <w:rFonts w:ascii="宋体" w:eastAsia="宋体" w:hint="eastAsia"/>
                <w:sz w:val="21"/>
              </w:rPr>
              <w:t>） 正常排放</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0"/>
              <w:jc w:val="left"/>
              <w:rPr>
                <w:rFonts w:ascii="宋体"/>
                <w:b/>
                <w:sz w:val="20"/>
              </w:rPr>
            </w:pPr>
          </w:p>
          <w:p>
            <w:pPr>
              <w:pStyle w:val="TableParagraph"/>
              <w:spacing w:line="319" w:lineRule="auto" w:before="148"/>
              <w:ind w:left="156" w:right="125"/>
              <w:jc w:val="left"/>
              <w:rPr>
                <w:rFonts w:ascii="宋体" w:eastAsia="宋体" w:hint="eastAsia"/>
                <w:sz w:val="21"/>
              </w:rPr>
            </w:pPr>
            <w:r>
              <w:rPr>
                <w:rFonts w:ascii="宋体" w:eastAsia="宋体" w:hint="eastAsia"/>
                <w:sz w:val="21"/>
              </w:rPr>
              <w:t>短期浓度长期浓度</w:t>
            </w:r>
          </w:p>
        </w:tc>
        <w:tc>
          <w:tcPr>
            <w:tcW w:w="2864" w:type="dxa"/>
            <w:tcBorders>
              <w:top w:val="single" w:sz="4" w:space="0" w:color="000000"/>
              <w:left w:val="single" w:sz="4" w:space="0" w:color="000000"/>
              <w:bottom w:val="single" w:sz="4" w:space="0" w:color="000000"/>
            </w:tcBorders>
          </w:tcPr>
          <w:p>
            <w:pPr>
              <w:pStyle w:val="TableParagraph"/>
              <w:spacing w:line="319" w:lineRule="auto" w:before="44"/>
              <w:ind w:left="74" w:right="33"/>
              <w:jc w:val="both"/>
              <w:rPr>
                <w:rFonts w:ascii="宋体" w:eastAsia="宋体" w:hint="eastAsia"/>
                <w:sz w:val="21"/>
              </w:rPr>
            </w:pPr>
            <w:r>
              <w:rPr>
                <w:rFonts w:ascii="宋体" w:eastAsia="宋体" w:hint="eastAsia"/>
                <w:sz w:val="21"/>
              </w:rPr>
              <w:t>叠加环境质量现状浓度后的保证率日平均质量浓度和年平均质量浓度的占标率，或短期浓</w:t>
            </w:r>
          </w:p>
          <w:p>
            <w:pPr>
              <w:pStyle w:val="TableParagraph"/>
              <w:spacing w:before="5"/>
              <w:ind w:left="809"/>
              <w:jc w:val="left"/>
              <w:rPr>
                <w:rFonts w:ascii="宋体" w:eastAsia="宋体" w:hint="eastAsia"/>
                <w:sz w:val="21"/>
              </w:rPr>
            </w:pPr>
            <w:r>
              <w:rPr>
                <w:rFonts w:ascii="宋体" w:eastAsia="宋体" w:hint="eastAsia"/>
                <w:sz w:val="21"/>
              </w:rPr>
              <w:t>度的达标情况</w:t>
            </w:r>
          </w:p>
        </w:tc>
      </w:tr>
      <w:tr>
        <w:trPr>
          <w:trHeight w:val="717" w:hRule="atLeast"/>
        </w:trPr>
        <w:tc>
          <w:tcPr>
            <w:tcW w:w="1022" w:type="dxa"/>
            <w:vMerge/>
            <w:tcBorders>
              <w:top w:val="nil"/>
              <w:bottom w:val="single" w:sz="4" w:space="0" w:color="000000"/>
              <w:right w:val="single" w:sz="4" w:space="0" w:color="000000"/>
            </w:tcBorders>
          </w:tcPr>
          <w:p>
            <w:pPr>
              <w:rPr>
                <w:sz w:val="2"/>
                <w:szCs w:val="2"/>
              </w:rPr>
            </w:pPr>
          </w:p>
        </w:tc>
        <w:tc>
          <w:tcPr>
            <w:tcW w:w="3118"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020" w:right="990"/>
              <w:rPr>
                <w:rFonts w:ascii="宋体" w:eastAsia="宋体" w:hint="eastAsia"/>
                <w:sz w:val="21"/>
              </w:rPr>
            </w:pPr>
            <w:r>
              <w:rPr>
                <w:rFonts w:ascii="宋体" w:eastAsia="宋体" w:hint="eastAsia"/>
                <w:sz w:val="21"/>
              </w:rPr>
              <w:t>新增污染源</w:t>
            </w:r>
          </w:p>
        </w:tc>
        <w:tc>
          <w:tcPr>
            <w:tcW w:w="1133" w:type="dxa"/>
            <w:tcBorders>
              <w:top w:val="single" w:sz="4" w:space="0" w:color="000000"/>
              <w:left w:val="single" w:sz="4" w:space="0" w:color="000000"/>
              <w:bottom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48"/>
              <w:jc w:val="left"/>
              <w:rPr>
                <w:rFonts w:ascii="宋体" w:eastAsia="宋体" w:hint="eastAsia"/>
                <w:sz w:val="21"/>
              </w:rPr>
            </w:pPr>
            <w:r>
              <w:rPr>
                <w:rFonts w:ascii="宋体" w:eastAsia="宋体" w:hint="eastAsia"/>
                <w:sz w:val="21"/>
              </w:rPr>
              <w:t>非正常排放</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before="44"/>
              <w:ind w:left="77"/>
              <w:jc w:val="left"/>
              <w:rPr>
                <w:rFonts w:ascii="宋体" w:eastAsia="宋体" w:hint="eastAsia"/>
                <w:sz w:val="21"/>
              </w:rPr>
            </w:pPr>
            <w:r>
              <w:rPr>
                <w:sz w:val="21"/>
              </w:rPr>
              <w:t>1 </w:t>
            </w:r>
            <w:r>
              <w:rPr>
                <w:rFonts w:ascii="宋体" w:eastAsia="宋体" w:hint="eastAsia"/>
                <w:sz w:val="21"/>
              </w:rPr>
              <w:t>小时平均</w:t>
            </w:r>
          </w:p>
          <w:p>
            <w:pPr>
              <w:pStyle w:val="TableParagraph"/>
              <w:spacing w:before="91"/>
              <w:ind w:left="156"/>
              <w:jc w:val="left"/>
              <w:rPr>
                <w:rFonts w:ascii="宋体" w:eastAsia="宋体" w:hint="eastAsia"/>
                <w:sz w:val="21"/>
              </w:rPr>
            </w:pPr>
            <w:r>
              <w:rPr>
                <w:rFonts w:ascii="宋体" w:eastAsia="宋体" w:hint="eastAsia"/>
                <w:sz w:val="21"/>
              </w:rPr>
              <w:t>质量浓度</w:t>
            </w:r>
          </w:p>
        </w:tc>
        <w:tc>
          <w:tcPr>
            <w:tcW w:w="2864" w:type="dxa"/>
            <w:tcBorders>
              <w:top w:val="single" w:sz="4" w:space="0" w:color="000000"/>
              <w:left w:val="single" w:sz="4" w:space="0" w:color="000000"/>
              <w:bottom w:val="single" w:sz="4" w:space="0" w:color="000000"/>
            </w:tcBorders>
          </w:tcPr>
          <w:p>
            <w:pPr>
              <w:pStyle w:val="TableParagraph"/>
              <w:spacing w:before="6"/>
              <w:jc w:val="left"/>
              <w:rPr>
                <w:rFonts w:ascii="宋体"/>
                <w:b/>
                <w:sz w:val="17"/>
              </w:rPr>
            </w:pPr>
          </w:p>
          <w:p>
            <w:pPr>
              <w:pStyle w:val="TableParagraph"/>
              <w:spacing w:before="0"/>
              <w:ind w:left="578" w:right="542"/>
              <w:rPr>
                <w:rFonts w:ascii="宋体" w:eastAsia="宋体" w:hint="eastAsia"/>
                <w:sz w:val="21"/>
              </w:rPr>
            </w:pPr>
            <w:r>
              <w:rPr>
                <w:rFonts w:ascii="宋体" w:eastAsia="宋体" w:hint="eastAsia"/>
                <w:sz w:val="21"/>
              </w:rPr>
              <w:t>最大浓度占标率</w:t>
            </w:r>
          </w:p>
        </w:tc>
      </w:tr>
      <w:tr>
        <w:trPr>
          <w:trHeight w:val="716" w:hRule="atLeast"/>
        </w:trPr>
        <w:tc>
          <w:tcPr>
            <w:tcW w:w="1022" w:type="dxa"/>
            <w:tcBorders>
              <w:top w:val="single" w:sz="4" w:space="0" w:color="000000"/>
              <w:right w:val="single" w:sz="4" w:space="0" w:color="000000"/>
            </w:tcBorders>
          </w:tcPr>
          <w:p>
            <w:pPr>
              <w:pStyle w:val="TableParagraph"/>
              <w:spacing w:before="46"/>
              <w:ind w:left="90"/>
              <w:jc w:val="left"/>
              <w:rPr>
                <w:rFonts w:ascii="宋体" w:eastAsia="宋体" w:hint="eastAsia"/>
                <w:sz w:val="21"/>
              </w:rPr>
            </w:pPr>
            <w:r>
              <w:rPr>
                <w:rFonts w:ascii="宋体" w:eastAsia="宋体" w:hint="eastAsia"/>
                <w:spacing w:val="-1"/>
                <w:sz w:val="21"/>
              </w:rPr>
              <w:t>大气环境</w:t>
            </w:r>
          </w:p>
          <w:p>
            <w:pPr>
              <w:pStyle w:val="TableParagraph"/>
              <w:spacing w:before="89"/>
              <w:ind w:left="90"/>
              <w:jc w:val="left"/>
              <w:rPr>
                <w:rFonts w:ascii="宋体" w:eastAsia="宋体" w:hint="eastAsia"/>
                <w:sz w:val="21"/>
              </w:rPr>
            </w:pPr>
            <w:r>
              <w:rPr>
                <w:rFonts w:ascii="宋体" w:eastAsia="宋体" w:hint="eastAsia"/>
                <w:spacing w:val="-1"/>
                <w:sz w:val="21"/>
              </w:rPr>
              <w:t>防护距离</w:t>
            </w:r>
          </w:p>
        </w:tc>
        <w:tc>
          <w:tcPr>
            <w:tcW w:w="3118" w:type="dxa"/>
            <w:tcBorders>
              <w:top w:val="single" w:sz="4" w:space="0" w:color="000000"/>
              <w:left w:val="single" w:sz="4" w:space="0" w:color="000000"/>
              <w:right w:val="single" w:sz="4" w:space="0" w:color="000000"/>
            </w:tcBorders>
          </w:tcPr>
          <w:p>
            <w:pPr>
              <w:pStyle w:val="TableParagraph"/>
              <w:spacing w:before="46"/>
              <w:ind w:left="60"/>
              <w:jc w:val="left"/>
              <w:rPr>
                <w:rFonts w:ascii="宋体" w:hAnsi="宋体" w:eastAsia="宋体" w:hint="eastAsia"/>
                <w:sz w:val="21"/>
              </w:rPr>
            </w:pPr>
            <w:r>
              <w:rPr>
                <w:rFonts w:ascii="宋体" w:hAnsi="宋体" w:eastAsia="宋体" w:hint="eastAsia"/>
                <w:sz w:val="21"/>
              </w:rPr>
              <w:t>新增污染源</w:t>
            </w:r>
            <w:r>
              <w:rPr>
                <w:sz w:val="21"/>
              </w:rPr>
              <w:t>-</w:t>
            </w:r>
            <w:r>
              <w:rPr>
                <w:rFonts w:ascii="宋体" w:hAnsi="宋体" w:eastAsia="宋体" w:hint="eastAsia"/>
                <w:sz w:val="21"/>
              </w:rPr>
              <w:t>“以新带老”污染源</w:t>
            </w:r>
          </w:p>
          <w:p>
            <w:pPr>
              <w:pStyle w:val="TableParagraph"/>
              <w:spacing w:before="89"/>
              <w:ind w:left="141"/>
              <w:jc w:val="left"/>
              <w:rPr>
                <w:rFonts w:ascii="宋体" w:eastAsia="宋体" w:hint="eastAsia"/>
                <w:sz w:val="21"/>
              </w:rPr>
            </w:pPr>
            <w:r>
              <w:rPr>
                <w:rFonts w:ascii="宋体" w:eastAsia="宋体" w:hint="eastAsia"/>
                <w:sz w:val="21"/>
              </w:rPr>
              <w:t>（如有）</w:t>
            </w:r>
            <w:r>
              <w:rPr>
                <w:sz w:val="21"/>
              </w:rPr>
              <w:t>+</w:t>
            </w:r>
            <w:r>
              <w:rPr>
                <w:rFonts w:ascii="宋体" w:eastAsia="宋体" w:hint="eastAsia"/>
                <w:sz w:val="21"/>
              </w:rPr>
              <w:t>项目全厂现有污染源</w:t>
            </w:r>
          </w:p>
        </w:tc>
        <w:tc>
          <w:tcPr>
            <w:tcW w:w="1133" w:type="dxa"/>
            <w:tcBorders>
              <w:top w:val="single" w:sz="4"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54"/>
              <w:jc w:val="left"/>
              <w:rPr>
                <w:rFonts w:ascii="宋体" w:eastAsia="宋体" w:hint="eastAsia"/>
                <w:sz w:val="21"/>
              </w:rPr>
            </w:pPr>
            <w:r>
              <w:rPr>
                <w:rFonts w:ascii="宋体" w:eastAsia="宋体" w:hint="eastAsia"/>
                <w:sz w:val="21"/>
              </w:rPr>
              <w:t>正常排放</w:t>
            </w:r>
          </w:p>
        </w:tc>
        <w:tc>
          <w:tcPr>
            <w:tcW w:w="1136" w:type="dxa"/>
            <w:tcBorders>
              <w:top w:val="single" w:sz="4" w:space="0" w:color="000000"/>
              <w:left w:val="single" w:sz="4" w:space="0" w:color="000000"/>
              <w:right w:val="single" w:sz="4" w:space="0" w:color="000000"/>
            </w:tcBorders>
          </w:tcPr>
          <w:p>
            <w:pPr>
              <w:pStyle w:val="TableParagraph"/>
              <w:spacing w:before="6"/>
              <w:jc w:val="left"/>
              <w:rPr>
                <w:rFonts w:ascii="宋体"/>
                <w:b/>
                <w:sz w:val="17"/>
              </w:rPr>
            </w:pPr>
          </w:p>
          <w:p>
            <w:pPr>
              <w:pStyle w:val="TableParagraph"/>
              <w:spacing w:before="0"/>
              <w:ind w:left="156"/>
              <w:jc w:val="left"/>
              <w:rPr>
                <w:rFonts w:ascii="宋体" w:eastAsia="宋体" w:hint="eastAsia"/>
                <w:sz w:val="21"/>
              </w:rPr>
            </w:pPr>
            <w:r>
              <w:rPr>
                <w:rFonts w:ascii="宋体" w:eastAsia="宋体" w:hint="eastAsia"/>
                <w:sz w:val="21"/>
              </w:rPr>
              <w:t>短期浓度</w:t>
            </w:r>
          </w:p>
        </w:tc>
        <w:tc>
          <w:tcPr>
            <w:tcW w:w="2864" w:type="dxa"/>
            <w:tcBorders>
              <w:top w:val="single" w:sz="4" w:space="0" w:color="000000"/>
              <w:left w:val="single" w:sz="4" w:space="0" w:color="000000"/>
            </w:tcBorders>
          </w:tcPr>
          <w:p>
            <w:pPr>
              <w:pStyle w:val="TableParagraph"/>
              <w:spacing w:before="6"/>
              <w:jc w:val="left"/>
              <w:rPr>
                <w:rFonts w:ascii="宋体"/>
                <w:b/>
                <w:sz w:val="17"/>
              </w:rPr>
            </w:pPr>
          </w:p>
          <w:p>
            <w:pPr>
              <w:pStyle w:val="TableParagraph"/>
              <w:spacing w:before="0"/>
              <w:ind w:left="581" w:right="542"/>
              <w:rPr>
                <w:rFonts w:ascii="宋体" w:eastAsia="宋体" w:hint="eastAsia"/>
                <w:sz w:val="21"/>
              </w:rPr>
            </w:pPr>
            <w:r>
              <w:rPr>
                <w:rFonts w:ascii="宋体" w:eastAsia="宋体" w:hint="eastAsia"/>
                <w:sz w:val="21"/>
              </w:rPr>
              <w:t>大气环境防护距离</w:t>
            </w:r>
          </w:p>
        </w:tc>
      </w:tr>
    </w:tbl>
    <w:p>
      <w:pPr>
        <w:spacing w:before="49"/>
        <w:ind w:left="577" w:right="0" w:firstLine="0"/>
        <w:jc w:val="left"/>
        <w:rPr>
          <w:sz w:val="21"/>
        </w:rPr>
      </w:pPr>
      <w:r>
        <w:rPr>
          <w:sz w:val="21"/>
        </w:rPr>
        <w:t>注：本项目评价范围内无其他在建、拟建项目污染源。</w:t>
      </w:r>
    </w:p>
    <w:p>
      <w:pPr>
        <w:spacing w:after="0"/>
        <w:jc w:val="left"/>
        <w:rPr>
          <w:sz w:val="21"/>
        </w:rPr>
        <w:sectPr>
          <w:headerReference w:type="default" r:id="rId114"/>
          <w:footerReference w:type="default" r:id="rId115"/>
          <w:pgSz w:w="11910" w:h="16840"/>
          <w:pgMar w:header="874" w:footer="1004" w:top="1440" w:bottom="1200" w:left="1120" w:right="1180"/>
          <w:pgNumType w:start="133"/>
        </w:sectPr>
      </w:pPr>
    </w:p>
    <w:p>
      <w:pPr>
        <w:pStyle w:val="Heading3"/>
        <w:numPr>
          <w:ilvl w:val="0"/>
          <w:numId w:val="75"/>
        </w:numPr>
        <w:tabs>
          <w:tab w:pos="1002" w:val="left" w:leader="none"/>
        </w:tabs>
        <w:spacing w:line="240" w:lineRule="auto" w:before="64" w:after="0"/>
        <w:ind w:left="1001" w:right="0" w:hanging="363"/>
        <w:jc w:val="left"/>
      </w:pPr>
      <w:r>
        <w:rPr/>
        <w:t>正常工况下预测结果分析</w:t>
      </w:r>
    </w:p>
    <w:p>
      <w:pPr>
        <w:spacing w:before="159"/>
        <w:ind w:left="637" w:right="0" w:firstLine="0"/>
        <w:jc w:val="left"/>
        <w:rPr>
          <w:rFonts w:ascii="Times New Roman" w:hAnsi="Times New Roman"/>
          <w:sz w:val="16"/>
        </w:rPr>
      </w:pPr>
      <w:r>
        <w:rPr>
          <w:position w:val="2"/>
          <w:sz w:val="24"/>
        </w:rPr>
        <w:t>①</w:t>
      </w:r>
      <w:r>
        <w:rPr>
          <w:rFonts w:ascii="Times New Roman" w:hAnsi="Times New Roman"/>
          <w:position w:val="2"/>
          <w:sz w:val="24"/>
        </w:rPr>
        <w:t>NH</w:t>
      </w:r>
      <w:r>
        <w:rPr>
          <w:rFonts w:ascii="Times New Roman" w:hAnsi="Times New Roman"/>
          <w:sz w:val="16"/>
        </w:rPr>
        <w:t>3</w:t>
      </w:r>
    </w:p>
    <w:p>
      <w:pPr>
        <w:pStyle w:val="BodyText"/>
        <w:spacing w:line="364" w:lineRule="auto" w:before="161"/>
        <w:ind w:left="637" w:right="232"/>
        <w:jc w:val="both"/>
      </w:pPr>
      <w:r>
        <w:rPr>
          <w:spacing w:val="-4"/>
          <w:position w:val="2"/>
        </w:rPr>
        <w:t>正常工况下，项目实施后 </w:t>
      </w:r>
      <w:r>
        <w:rPr>
          <w:rFonts w:ascii="Times New Roman" w:eastAsia="Times New Roman"/>
          <w:position w:val="2"/>
        </w:rPr>
        <w:t>NH</w:t>
      </w:r>
      <w:r>
        <w:rPr>
          <w:rFonts w:ascii="Times New Roman" w:eastAsia="Times New Roman"/>
          <w:sz w:val="16"/>
        </w:rPr>
        <w:t>3</w:t>
      </w:r>
      <w:r>
        <w:rPr>
          <w:rFonts w:ascii="Times New Roman" w:eastAsia="Times New Roman"/>
          <w:spacing w:val="19"/>
          <w:sz w:val="16"/>
        </w:rPr>
        <w:t> </w:t>
      </w:r>
      <w:r>
        <w:rPr>
          <w:spacing w:val="-5"/>
          <w:position w:val="2"/>
        </w:rPr>
        <w:t>排放的预测结果见表 </w:t>
      </w:r>
      <w:r>
        <w:rPr>
          <w:rFonts w:ascii="Times New Roman" w:eastAsia="Times New Roman"/>
          <w:position w:val="2"/>
        </w:rPr>
        <w:t>5.2-20</w:t>
      </w:r>
      <w:r>
        <w:rPr>
          <w:rFonts w:ascii="Times New Roman" w:eastAsia="Times New Roman"/>
          <w:spacing w:val="17"/>
          <w:position w:val="2"/>
        </w:rPr>
        <w:t> </w:t>
      </w:r>
      <w:r>
        <w:rPr>
          <w:spacing w:val="-15"/>
          <w:position w:val="2"/>
        </w:rPr>
        <w:t>及图 </w:t>
      </w:r>
      <w:r>
        <w:rPr>
          <w:rFonts w:ascii="Times New Roman" w:eastAsia="Times New Roman"/>
          <w:position w:val="2"/>
        </w:rPr>
        <w:t>5.2-9~</w:t>
      </w:r>
      <w:r>
        <w:rPr>
          <w:spacing w:val="-22"/>
          <w:position w:val="2"/>
        </w:rPr>
        <w:t>图 </w:t>
      </w:r>
      <w:r>
        <w:rPr>
          <w:rFonts w:ascii="Times New Roman" w:eastAsia="Times New Roman"/>
          <w:position w:val="2"/>
        </w:rPr>
        <w:t>5.2-10</w:t>
      </w:r>
      <w:r>
        <w:rPr>
          <w:position w:val="2"/>
        </w:rPr>
        <w:t>。 </w:t>
      </w:r>
      <w:r>
        <w:rPr>
          <w:spacing w:val="-2"/>
          <w:position w:val="2"/>
        </w:rPr>
        <w:t>由预测结果可知，正常工况下，项目实施后 </w:t>
      </w:r>
      <w:r>
        <w:rPr>
          <w:rFonts w:ascii="Times New Roman" w:eastAsia="Times New Roman"/>
          <w:position w:val="2"/>
        </w:rPr>
        <w:t>NH</w:t>
      </w:r>
      <w:r>
        <w:rPr>
          <w:rFonts w:ascii="Times New Roman" w:eastAsia="Times New Roman"/>
          <w:sz w:val="16"/>
        </w:rPr>
        <w:t>3</w:t>
      </w:r>
      <w:r>
        <w:rPr>
          <w:rFonts w:ascii="Times New Roman" w:eastAsia="Times New Roman"/>
          <w:spacing w:val="13"/>
          <w:sz w:val="16"/>
        </w:rPr>
        <w:t> </w:t>
      </w:r>
      <w:r>
        <w:rPr>
          <w:spacing w:val="-2"/>
          <w:position w:val="2"/>
        </w:rPr>
        <w:t>排放的小时浓度贡献值的最大浓度</w:t>
      </w:r>
    </w:p>
    <w:p>
      <w:pPr>
        <w:pStyle w:val="BodyText"/>
        <w:spacing w:line="364" w:lineRule="auto" w:before="2"/>
        <w:ind w:left="157" w:right="222"/>
        <w:jc w:val="both"/>
      </w:pPr>
      <w:r>
        <w:rPr/>
        <w:drawing>
          <wp:anchor distT="0" distB="0" distL="0" distR="0" allowOverlap="1" layoutInCell="1" locked="0" behindDoc="1" simplePos="0" relativeHeight="187921408">
            <wp:simplePos x="0" y="0"/>
            <wp:positionH relativeFrom="page">
              <wp:posOffset>2154554</wp:posOffset>
            </wp:positionH>
            <wp:positionV relativeFrom="paragraph">
              <wp:posOffset>844549</wp:posOffset>
            </wp:positionV>
            <wp:extent cx="3152140" cy="3152139"/>
            <wp:effectExtent l="0" t="0" r="0" b="0"/>
            <wp:wrapNone/>
            <wp:docPr id="27" name="image68.jpeg"/>
            <wp:cNvGraphicFramePr>
              <a:graphicFrameLocks noChangeAspect="1"/>
            </wp:cNvGraphicFramePr>
            <a:graphic>
              <a:graphicData uri="http://schemas.openxmlformats.org/drawingml/2006/picture">
                <pic:pic>
                  <pic:nvPicPr>
                    <pic:cNvPr id="28" name="image68.jpeg"/>
                    <pic:cNvPicPr/>
                  </pic:nvPicPr>
                  <pic:blipFill>
                    <a:blip r:embed="rId116" cstate="print"/>
                    <a:stretch>
                      <a:fillRect/>
                    </a:stretch>
                  </pic:blipFill>
                  <pic:spPr>
                    <a:xfrm>
                      <a:off x="0" y="0"/>
                      <a:ext cx="3152140" cy="3152139"/>
                    </a:xfrm>
                    <a:prstGeom prst="rect">
                      <a:avLst/>
                    </a:prstGeom>
                  </pic:spPr>
                </pic:pic>
              </a:graphicData>
            </a:graphic>
          </wp:anchor>
        </w:drawing>
      </w:r>
      <w:r>
        <w:rPr>
          <w:spacing w:val="7"/>
        </w:rPr>
        <w:t>占标率为 </w:t>
      </w:r>
      <w:r>
        <w:rPr>
          <w:rFonts w:ascii="Times New Roman" w:eastAsia="Times New Roman"/>
          <w:spacing w:val="2"/>
        </w:rPr>
        <w:t>182.87%</w:t>
      </w:r>
      <w:r>
        <w:rPr>
          <w:spacing w:val="2"/>
        </w:rPr>
        <w:t>（＞</w:t>
      </w:r>
      <w:r>
        <w:rPr>
          <w:rFonts w:ascii="Times New Roman" w:eastAsia="Times New Roman"/>
          <w:spacing w:val="2"/>
        </w:rPr>
        <w:t>100%</w:t>
      </w:r>
      <w:r>
        <w:rPr>
          <w:spacing w:val="2"/>
        </w:rPr>
        <w:t>）；</w:t>
      </w:r>
      <w:r>
        <w:rPr>
          <w:spacing w:val="6"/>
        </w:rPr>
        <w:t>叠加背景浓度后小时浓度贡献值的最大浓度占标率为</w:t>
      </w:r>
      <w:r>
        <w:rPr>
          <w:rFonts w:ascii="Times New Roman" w:eastAsia="Times New Roman"/>
          <w:spacing w:val="-6"/>
          <w:position w:val="2"/>
        </w:rPr>
        <w:t>222.87%</w:t>
      </w:r>
      <w:r>
        <w:rPr>
          <w:spacing w:val="-8"/>
          <w:position w:val="2"/>
        </w:rPr>
        <w:t>，超过了相应的环境质量标准要求。说明本项目实施后 </w:t>
      </w:r>
      <w:r>
        <w:rPr>
          <w:rFonts w:ascii="Times New Roman" w:eastAsia="Times New Roman"/>
          <w:position w:val="2"/>
        </w:rPr>
        <w:t>NH</w:t>
      </w:r>
      <w:r>
        <w:rPr>
          <w:rFonts w:ascii="Times New Roman" w:eastAsia="Times New Roman"/>
          <w:sz w:val="16"/>
        </w:rPr>
        <w:t>3 </w:t>
      </w:r>
      <w:r>
        <w:rPr>
          <w:position w:val="2"/>
        </w:rPr>
        <w:t>正常排放对周围环境</w:t>
      </w:r>
      <w:r>
        <w:rPr/>
        <w:t>有一定影响，需要设置大气环境防护距离，并确保防护距离外的预测浓度能够达标。</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6"/>
        <w:ind w:left="0"/>
        <w:rPr>
          <w:sz w:val="25"/>
        </w:rPr>
      </w:pPr>
    </w:p>
    <w:p>
      <w:pPr>
        <w:pStyle w:val="Heading3"/>
        <w:spacing w:before="0"/>
        <w:ind w:left="584" w:right="658"/>
        <w:jc w:val="center"/>
      </w:pPr>
      <w:r>
        <w:rPr/>
        <w:drawing>
          <wp:anchor distT="0" distB="0" distL="0" distR="0" allowOverlap="1" layoutInCell="1" locked="0" behindDoc="0" simplePos="0" relativeHeight="199">
            <wp:simplePos x="0" y="0"/>
            <wp:positionH relativeFrom="page">
              <wp:posOffset>2154554</wp:posOffset>
            </wp:positionH>
            <wp:positionV relativeFrom="paragraph">
              <wp:posOffset>214172</wp:posOffset>
            </wp:positionV>
            <wp:extent cx="3180969" cy="3180969"/>
            <wp:effectExtent l="0" t="0" r="0" b="0"/>
            <wp:wrapTopAndBottom/>
            <wp:docPr id="29" name="image69.jpeg"/>
            <wp:cNvGraphicFramePr>
              <a:graphicFrameLocks noChangeAspect="1"/>
            </wp:cNvGraphicFramePr>
            <a:graphic>
              <a:graphicData uri="http://schemas.openxmlformats.org/drawingml/2006/picture">
                <pic:pic>
                  <pic:nvPicPr>
                    <pic:cNvPr id="30" name="image69.jpeg"/>
                    <pic:cNvPicPr/>
                  </pic:nvPicPr>
                  <pic:blipFill>
                    <a:blip r:embed="rId117" cstate="print"/>
                    <a:stretch>
                      <a:fillRect/>
                    </a:stretch>
                  </pic:blipFill>
                  <pic:spPr>
                    <a:xfrm>
                      <a:off x="0" y="0"/>
                      <a:ext cx="3180969" cy="3180969"/>
                    </a:xfrm>
                    <a:prstGeom prst="rect">
                      <a:avLst/>
                    </a:prstGeom>
                  </pic:spPr>
                </pic:pic>
              </a:graphicData>
            </a:graphic>
          </wp:anchor>
        </w:drawing>
      </w:r>
      <w:r>
        <w:rPr>
          <w:spacing w:val="-30"/>
          <w:position w:val="1"/>
        </w:rPr>
        <w:t>图 </w:t>
      </w:r>
      <w:r>
        <w:rPr>
          <w:rFonts w:ascii="Times New Roman" w:eastAsia="Times New Roman"/>
          <w:position w:val="1"/>
        </w:rPr>
        <w:t>5.2-9</w:t>
      </w:r>
      <w:r>
        <w:rPr>
          <w:rFonts w:ascii="Times New Roman" w:eastAsia="Times New Roman"/>
          <w:spacing w:val="59"/>
          <w:position w:val="1"/>
        </w:rPr>
        <w:t> </w:t>
      </w:r>
      <w:r>
        <w:rPr>
          <w:spacing w:val="-10"/>
          <w:position w:val="1"/>
        </w:rPr>
        <w:t>正常工况下 </w:t>
      </w:r>
      <w:r>
        <w:rPr>
          <w:rFonts w:ascii="Times New Roman" w:eastAsia="Times New Roman"/>
          <w:position w:val="1"/>
        </w:rPr>
        <w:t>NH</w:t>
      </w:r>
      <w:r>
        <w:rPr>
          <w:rFonts w:ascii="Times New Roman" w:eastAsia="Times New Roman"/>
          <w:sz w:val="16"/>
        </w:rPr>
        <w:t>3 </w:t>
      </w:r>
      <w:r>
        <w:rPr>
          <w:position w:val="1"/>
        </w:rPr>
        <w:t>小时浓度预测结果（</w:t>
      </w:r>
      <w:r>
        <w:rPr>
          <w:rFonts w:ascii="Times New Roman" w:eastAsia="Times New Roman"/>
          <w:position w:val="1"/>
        </w:rPr>
        <w:t>19062723</w:t>
      </w:r>
      <w:r>
        <w:rPr>
          <w:position w:val="1"/>
        </w:rPr>
        <w:t>，敏感点最大）</w:t>
      </w:r>
    </w:p>
    <w:p>
      <w:pPr>
        <w:spacing w:before="0"/>
        <w:ind w:left="584" w:right="661" w:firstLine="0"/>
        <w:jc w:val="center"/>
        <w:rPr>
          <w:b/>
          <w:sz w:val="24"/>
        </w:rPr>
      </w:pPr>
      <w:r>
        <w:rPr>
          <w:b/>
          <w:spacing w:val="-30"/>
          <w:position w:val="1"/>
          <w:sz w:val="24"/>
        </w:rPr>
        <w:t>图 </w:t>
      </w:r>
      <w:r>
        <w:rPr>
          <w:rFonts w:ascii="Times New Roman" w:eastAsia="Times New Roman"/>
          <w:b/>
          <w:position w:val="1"/>
          <w:sz w:val="24"/>
        </w:rPr>
        <w:t>5.2-10</w:t>
      </w:r>
      <w:r>
        <w:rPr>
          <w:rFonts w:ascii="Times New Roman" w:eastAsia="Times New Roman"/>
          <w:b/>
          <w:spacing w:val="59"/>
          <w:position w:val="1"/>
          <w:sz w:val="24"/>
        </w:rPr>
        <w:t> </w:t>
      </w:r>
      <w:r>
        <w:rPr>
          <w:b/>
          <w:spacing w:val="-10"/>
          <w:position w:val="1"/>
          <w:sz w:val="24"/>
        </w:rPr>
        <w:t>正常工况下 </w:t>
      </w:r>
      <w:r>
        <w:rPr>
          <w:rFonts w:ascii="Times New Roman" w:eastAsia="Times New Roman"/>
          <w:b/>
          <w:position w:val="1"/>
          <w:sz w:val="24"/>
        </w:rPr>
        <w:t>NH</w:t>
      </w:r>
      <w:r>
        <w:rPr>
          <w:rFonts w:ascii="Times New Roman" w:eastAsia="Times New Roman"/>
          <w:b/>
          <w:sz w:val="16"/>
        </w:rPr>
        <w:t>3 </w:t>
      </w:r>
      <w:r>
        <w:rPr>
          <w:b/>
          <w:position w:val="1"/>
          <w:sz w:val="24"/>
        </w:rPr>
        <w:t>小时浓度预测结果（</w:t>
      </w:r>
      <w:r>
        <w:rPr>
          <w:rFonts w:ascii="Times New Roman" w:eastAsia="Times New Roman"/>
          <w:b/>
          <w:position w:val="1"/>
          <w:sz w:val="24"/>
        </w:rPr>
        <w:t>19100224</w:t>
      </w:r>
      <w:r>
        <w:rPr>
          <w:b/>
          <w:position w:val="1"/>
          <w:sz w:val="24"/>
        </w:rPr>
        <w:t>，最大落地浓度最大）</w:t>
      </w:r>
    </w:p>
    <w:p>
      <w:pPr>
        <w:spacing w:after="0"/>
        <w:jc w:val="center"/>
        <w:rPr>
          <w:sz w:val="24"/>
        </w:rPr>
        <w:sectPr>
          <w:pgSz w:w="11910" w:h="16840"/>
          <w:pgMar w:header="874" w:footer="1004" w:top="1440" w:bottom="1200" w:left="1120" w:right="1180"/>
        </w:sectPr>
      </w:pPr>
    </w:p>
    <w:p>
      <w:pPr>
        <w:pStyle w:val="BodyText"/>
        <w:spacing w:before="1"/>
        <w:ind w:left="0"/>
        <w:rPr>
          <w:b/>
          <w:sz w:val="8"/>
        </w:rPr>
      </w:pPr>
    </w:p>
    <w:p>
      <w:pPr>
        <w:spacing w:before="74"/>
        <w:ind w:left="3927" w:right="3933" w:firstLine="0"/>
        <w:jc w:val="center"/>
        <w:rPr>
          <w:rFonts w:ascii="Times New Roman" w:hAnsi="Times New Roman" w:eastAsia="Times New Roman"/>
          <w:b/>
          <w:sz w:val="24"/>
        </w:rPr>
      </w:pPr>
      <w:r>
        <w:rPr>
          <w:b/>
          <w:position w:val="1"/>
          <w:sz w:val="24"/>
        </w:rPr>
        <w:t>表 </w:t>
      </w:r>
      <w:r>
        <w:rPr>
          <w:rFonts w:ascii="Times New Roman" w:hAnsi="Times New Roman" w:eastAsia="Times New Roman"/>
          <w:b/>
          <w:position w:val="1"/>
          <w:sz w:val="24"/>
        </w:rPr>
        <w:t>5.2-20  </w:t>
      </w:r>
      <w:r>
        <w:rPr>
          <w:b/>
          <w:position w:val="1"/>
          <w:sz w:val="24"/>
        </w:rPr>
        <w:t>项目 </w:t>
      </w:r>
      <w:r>
        <w:rPr>
          <w:rFonts w:ascii="Times New Roman" w:hAnsi="Times New Roman" w:eastAsia="Times New Roman"/>
          <w:b/>
          <w:position w:val="1"/>
          <w:sz w:val="24"/>
        </w:rPr>
        <w:t>NH</w:t>
      </w:r>
      <w:r>
        <w:rPr>
          <w:rFonts w:ascii="Times New Roman" w:hAnsi="Times New Roman" w:eastAsia="Times New Roman"/>
          <w:b/>
          <w:sz w:val="16"/>
        </w:rPr>
        <w:t>3 </w:t>
      </w:r>
      <w:r>
        <w:rPr>
          <w:b/>
          <w:position w:val="1"/>
          <w:sz w:val="24"/>
        </w:rPr>
        <w:t>排放的预测结果 单位：浓度 </w:t>
      </w:r>
      <w:r>
        <w:rPr>
          <w:rFonts w:ascii="Times New Roman" w:hAnsi="Times New Roman" w:eastAsia="Times New Roman"/>
          <w:b/>
          <w:position w:val="1"/>
          <w:sz w:val="24"/>
        </w:rPr>
        <w:t>mg/m³</w:t>
      </w:r>
      <w:r>
        <w:rPr>
          <w:b/>
          <w:position w:val="1"/>
          <w:sz w:val="24"/>
        </w:rPr>
        <w:t>、占标率</w:t>
      </w:r>
      <w:r>
        <w:rPr>
          <w:rFonts w:ascii="Times New Roman" w:hAnsi="Times New Roman" w:eastAsia="Times New Roman"/>
          <w:b/>
          <w:position w:val="1"/>
          <w:sz w:val="24"/>
        </w:rPr>
        <w:t>%</w:t>
      </w:r>
    </w:p>
    <w:p>
      <w:pPr>
        <w:pStyle w:val="BodyText"/>
        <w:spacing w:before="10"/>
        <w:ind w:left="0"/>
        <w:rPr>
          <w:rFonts w:ascii="Times New Roman"/>
          <w:b/>
          <w:sz w:val="6"/>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2"/>
        <w:gridCol w:w="3067"/>
        <w:gridCol w:w="984"/>
        <w:gridCol w:w="1228"/>
        <w:gridCol w:w="1310"/>
        <w:gridCol w:w="1051"/>
        <w:gridCol w:w="791"/>
        <w:gridCol w:w="1228"/>
        <w:gridCol w:w="1231"/>
        <w:gridCol w:w="1050"/>
        <w:gridCol w:w="791"/>
        <w:gridCol w:w="1288"/>
      </w:tblGrid>
      <w:tr>
        <w:trPr>
          <w:trHeight w:val="359" w:hRule="atLeast"/>
        </w:trPr>
        <w:tc>
          <w:tcPr>
            <w:tcW w:w="792" w:type="dxa"/>
            <w:vMerge w:val="restart"/>
            <w:tcBorders>
              <w:bottom w:val="single" w:sz="4" w:space="0" w:color="000000"/>
              <w:right w:val="single" w:sz="4" w:space="0" w:color="000000"/>
            </w:tcBorders>
          </w:tcPr>
          <w:p>
            <w:pPr>
              <w:pStyle w:val="TableParagraph"/>
              <w:spacing w:before="0"/>
              <w:jc w:val="left"/>
              <w:rPr>
                <w:b/>
                <w:sz w:val="20"/>
              </w:rPr>
            </w:pPr>
          </w:p>
          <w:p>
            <w:pPr>
              <w:pStyle w:val="TableParagraph"/>
              <w:spacing w:before="178"/>
              <w:ind w:left="184"/>
              <w:jc w:val="left"/>
              <w:rPr>
                <w:rFonts w:ascii="宋体" w:eastAsia="宋体" w:hint="eastAsia"/>
                <w:b/>
                <w:sz w:val="21"/>
              </w:rPr>
            </w:pPr>
            <w:r>
              <w:rPr>
                <w:rFonts w:ascii="宋体" w:eastAsia="宋体" w:hint="eastAsia"/>
                <w:b/>
                <w:sz w:val="21"/>
              </w:rPr>
              <w:t>序号</w:t>
            </w:r>
          </w:p>
        </w:tc>
        <w:tc>
          <w:tcPr>
            <w:tcW w:w="3067" w:type="dxa"/>
            <w:vMerge w:val="restart"/>
            <w:tcBorders>
              <w:left w:val="single" w:sz="4" w:space="0" w:color="000000"/>
              <w:bottom w:val="single" w:sz="4" w:space="0" w:color="000000"/>
              <w:right w:val="single" w:sz="4" w:space="0" w:color="000000"/>
            </w:tcBorders>
          </w:tcPr>
          <w:p>
            <w:pPr>
              <w:pStyle w:val="TableParagraph"/>
              <w:spacing w:before="0"/>
              <w:jc w:val="left"/>
              <w:rPr>
                <w:b/>
                <w:sz w:val="20"/>
              </w:rPr>
            </w:pPr>
          </w:p>
          <w:p>
            <w:pPr>
              <w:pStyle w:val="TableParagraph"/>
              <w:spacing w:before="178"/>
              <w:ind w:left="1015"/>
              <w:jc w:val="left"/>
              <w:rPr>
                <w:rFonts w:ascii="宋体" w:eastAsia="宋体" w:hint="eastAsia"/>
                <w:b/>
                <w:sz w:val="21"/>
              </w:rPr>
            </w:pPr>
            <w:r>
              <w:rPr>
                <w:rFonts w:ascii="宋体" w:eastAsia="宋体" w:hint="eastAsia"/>
                <w:b/>
                <w:sz w:val="21"/>
              </w:rPr>
              <w:t>预测点名称</w:t>
            </w:r>
          </w:p>
        </w:tc>
        <w:tc>
          <w:tcPr>
            <w:tcW w:w="984"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line="319" w:lineRule="auto" w:before="0"/>
              <w:ind w:left="291" w:right="258"/>
              <w:jc w:val="left"/>
              <w:rPr>
                <w:rFonts w:ascii="宋体" w:eastAsia="宋体" w:hint="eastAsia"/>
                <w:b/>
                <w:sz w:val="21"/>
              </w:rPr>
            </w:pPr>
            <w:r>
              <w:rPr>
                <w:rFonts w:ascii="宋体" w:eastAsia="宋体" w:hint="eastAsia"/>
                <w:b/>
                <w:sz w:val="21"/>
              </w:rPr>
              <w:t>浓度类型</w:t>
            </w:r>
          </w:p>
        </w:tc>
        <w:tc>
          <w:tcPr>
            <w:tcW w:w="4380" w:type="dxa"/>
            <w:gridSpan w:val="4"/>
            <w:tcBorders>
              <w:left w:val="single" w:sz="4" w:space="0" w:color="000000"/>
              <w:bottom w:val="single" w:sz="4" w:space="0" w:color="000000"/>
              <w:right w:val="single" w:sz="4" w:space="0" w:color="000000"/>
            </w:tcBorders>
          </w:tcPr>
          <w:p>
            <w:pPr>
              <w:pStyle w:val="TableParagraph"/>
              <w:spacing w:before="44"/>
              <w:ind w:left="1654" w:right="1621"/>
              <w:rPr>
                <w:rFonts w:ascii="宋体" w:eastAsia="宋体" w:hint="eastAsia"/>
                <w:b/>
                <w:sz w:val="21"/>
              </w:rPr>
            </w:pPr>
            <w:r>
              <w:rPr>
                <w:rFonts w:ascii="宋体" w:eastAsia="宋体" w:hint="eastAsia"/>
                <w:b/>
                <w:sz w:val="21"/>
              </w:rPr>
              <w:t>本项目新增</w:t>
            </w:r>
          </w:p>
        </w:tc>
        <w:tc>
          <w:tcPr>
            <w:tcW w:w="4300" w:type="dxa"/>
            <w:gridSpan w:val="4"/>
            <w:tcBorders>
              <w:left w:val="single" w:sz="4" w:space="0" w:color="000000"/>
              <w:bottom w:val="single" w:sz="4" w:space="0" w:color="000000"/>
              <w:right w:val="single" w:sz="4" w:space="0" w:color="000000"/>
            </w:tcBorders>
          </w:tcPr>
          <w:p>
            <w:pPr>
              <w:pStyle w:val="TableParagraph"/>
              <w:spacing w:before="44"/>
              <w:ind w:left="1155"/>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288"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line="319" w:lineRule="auto" w:before="0"/>
              <w:ind w:left="449" w:right="394"/>
              <w:jc w:val="left"/>
              <w:rPr>
                <w:rFonts w:ascii="宋体" w:eastAsia="宋体" w:hint="eastAsia"/>
                <w:b/>
                <w:sz w:val="21"/>
              </w:rPr>
            </w:pPr>
            <w:r>
              <w:rPr>
                <w:rFonts w:ascii="宋体" w:eastAsia="宋体" w:hint="eastAsia"/>
                <w:b/>
                <w:sz w:val="21"/>
              </w:rPr>
              <w:t>评价标准</w:t>
            </w:r>
          </w:p>
        </w:tc>
      </w:tr>
      <w:tr>
        <w:trPr>
          <w:trHeight w:val="717" w:hRule="atLeast"/>
        </w:trPr>
        <w:tc>
          <w:tcPr>
            <w:tcW w:w="792" w:type="dxa"/>
            <w:vMerge/>
            <w:tcBorders>
              <w:top w:val="nil"/>
              <w:bottom w:val="single" w:sz="4" w:space="0" w:color="000000"/>
              <w:right w:val="single" w:sz="4" w:space="0" w:color="000000"/>
            </w:tcBorders>
          </w:tcPr>
          <w:p>
            <w:pPr>
              <w:rPr>
                <w:sz w:val="2"/>
                <w:szCs w:val="2"/>
              </w:rPr>
            </w:pPr>
          </w:p>
        </w:tc>
        <w:tc>
          <w:tcPr>
            <w:tcW w:w="3067" w:type="dxa"/>
            <w:vMerge/>
            <w:tcBorders>
              <w:top w:val="nil"/>
              <w:left w:val="single" w:sz="4" w:space="0" w:color="000000"/>
              <w:bottom w:val="single" w:sz="4" w:space="0" w:color="000000"/>
              <w:right w:val="single" w:sz="4" w:space="0" w:color="000000"/>
            </w:tcBorders>
          </w:tcPr>
          <w:p>
            <w:pPr>
              <w:rPr>
                <w:sz w:val="2"/>
                <w:szCs w:val="2"/>
              </w:rPr>
            </w:pPr>
          </w:p>
        </w:tc>
        <w:tc>
          <w:tcPr>
            <w:tcW w:w="984" w:type="dxa"/>
            <w:vMerge/>
            <w:tcBorders>
              <w:top w:val="nil"/>
              <w:left w:val="single" w:sz="4" w:space="0" w:color="000000"/>
              <w:bottom w:val="single" w:sz="4" w:space="0" w:color="000000"/>
              <w:right w:val="single" w:sz="4" w:space="0" w:color="000000"/>
            </w:tcBorders>
          </w:tcPr>
          <w:p>
            <w:pPr>
              <w:rPr>
                <w:sz w:val="2"/>
                <w:szCs w:val="2"/>
              </w:rPr>
            </w:pP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44"/>
              <w:ind w:left="413"/>
              <w:jc w:val="left"/>
              <w:rPr>
                <w:rFonts w:ascii="宋体" w:eastAsia="宋体" w:hint="eastAsia"/>
                <w:b/>
                <w:sz w:val="21"/>
              </w:rPr>
            </w:pPr>
            <w:r>
              <w:rPr>
                <w:rFonts w:ascii="宋体" w:eastAsia="宋体" w:hint="eastAsia"/>
                <w:b/>
                <w:sz w:val="21"/>
              </w:rPr>
              <w:t>浓度</w:t>
            </w:r>
          </w:p>
          <w:p>
            <w:pPr>
              <w:pStyle w:val="TableParagraph"/>
              <w:spacing w:before="88"/>
              <w:ind w:left="413"/>
              <w:jc w:val="left"/>
              <w:rPr>
                <w:rFonts w:ascii="宋体" w:eastAsia="宋体" w:hint="eastAsia"/>
                <w:b/>
                <w:sz w:val="21"/>
              </w:rPr>
            </w:pPr>
            <w:r>
              <w:rPr>
                <w:rFonts w:ascii="宋体" w:eastAsia="宋体" w:hint="eastAsia"/>
                <w:b/>
                <w:sz w:val="21"/>
              </w:rPr>
              <w:t>增量</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44"/>
              <w:ind w:left="455"/>
              <w:jc w:val="left"/>
              <w:rPr>
                <w:rFonts w:ascii="宋体" w:eastAsia="宋体" w:hint="eastAsia"/>
                <w:b/>
                <w:sz w:val="21"/>
              </w:rPr>
            </w:pPr>
            <w:r>
              <w:rPr>
                <w:rFonts w:ascii="宋体" w:eastAsia="宋体" w:hint="eastAsia"/>
                <w:b/>
                <w:sz w:val="21"/>
              </w:rPr>
              <w:t>出现</w:t>
            </w:r>
          </w:p>
          <w:p>
            <w:pPr>
              <w:pStyle w:val="TableParagraph"/>
              <w:spacing w:before="88"/>
              <w:ind w:left="455"/>
              <w:jc w:val="left"/>
              <w:rPr>
                <w:rFonts w:ascii="宋体" w:eastAsia="宋体" w:hint="eastAsia"/>
                <w:b/>
                <w:sz w:val="21"/>
              </w:rPr>
            </w:pPr>
            <w:r>
              <w:rPr>
                <w:rFonts w:ascii="宋体" w:eastAsia="宋体" w:hint="eastAsia"/>
                <w:b/>
                <w:sz w:val="21"/>
              </w:rPr>
              <w:t>时间</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b/>
                <w:sz w:val="19"/>
              </w:rPr>
            </w:pPr>
          </w:p>
          <w:p>
            <w:pPr>
              <w:pStyle w:val="TableParagraph"/>
              <w:spacing w:before="0"/>
              <w:ind w:left="143" w:right="110"/>
              <w:rPr>
                <w:rFonts w:ascii="宋体" w:eastAsia="宋体" w:hint="eastAsia"/>
                <w:b/>
                <w:sz w:val="21"/>
              </w:rPr>
            </w:pPr>
            <w:r>
              <w:rPr>
                <w:rFonts w:ascii="宋体" w:eastAsia="宋体" w:hint="eastAsia"/>
                <w:b/>
                <w:sz w:val="21"/>
              </w:rPr>
              <w:t>占标率</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9"/>
              <w:jc w:val="left"/>
              <w:rPr>
                <w:rFonts w:ascii="宋体" w:eastAsia="宋体" w:hint="eastAsia"/>
                <w:b/>
                <w:sz w:val="21"/>
              </w:rPr>
            </w:pPr>
            <w:r>
              <w:rPr>
                <w:rFonts w:ascii="宋体" w:eastAsia="宋体" w:hint="eastAsia"/>
                <w:b/>
                <w:sz w:val="21"/>
              </w:rPr>
              <w:t>达标</w:t>
            </w:r>
          </w:p>
          <w:p>
            <w:pPr>
              <w:pStyle w:val="TableParagraph"/>
              <w:spacing w:before="88"/>
              <w:ind w:left="199"/>
              <w:jc w:val="left"/>
              <w:rPr>
                <w:rFonts w:ascii="宋体" w:eastAsia="宋体" w:hint="eastAsia"/>
                <w:b/>
                <w:sz w:val="21"/>
              </w:rPr>
            </w:pPr>
            <w:r>
              <w:rPr>
                <w:rFonts w:ascii="宋体" w:eastAsia="宋体" w:hint="eastAsia"/>
                <w:b/>
                <w:sz w:val="21"/>
              </w:rPr>
              <w:t>情况</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44"/>
              <w:ind w:left="416"/>
              <w:jc w:val="left"/>
              <w:rPr>
                <w:rFonts w:ascii="宋体" w:eastAsia="宋体" w:hint="eastAsia"/>
                <w:b/>
                <w:sz w:val="21"/>
              </w:rPr>
            </w:pPr>
            <w:r>
              <w:rPr>
                <w:rFonts w:ascii="宋体" w:eastAsia="宋体" w:hint="eastAsia"/>
                <w:b/>
                <w:sz w:val="21"/>
              </w:rPr>
              <w:t>背景</w:t>
            </w:r>
          </w:p>
          <w:p>
            <w:pPr>
              <w:pStyle w:val="TableParagraph"/>
              <w:spacing w:before="88"/>
              <w:ind w:left="416"/>
              <w:jc w:val="left"/>
              <w:rPr>
                <w:rFonts w:ascii="宋体" w:eastAsia="宋体" w:hint="eastAsia"/>
                <w:b/>
                <w:sz w:val="21"/>
              </w:rPr>
            </w:pPr>
            <w:r>
              <w:rPr>
                <w:rFonts w:ascii="宋体" w:eastAsia="宋体" w:hint="eastAsia"/>
                <w:b/>
                <w:sz w:val="21"/>
              </w:rPr>
              <w:t>浓度</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44"/>
              <w:ind w:left="419"/>
              <w:jc w:val="left"/>
              <w:rPr>
                <w:rFonts w:ascii="宋体" w:eastAsia="宋体" w:hint="eastAsia"/>
                <w:b/>
                <w:sz w:val="21"/>
              </w:rPr>
            </w:pPr>
            <w:r>
              <w:rPr>
                <w:rFonts w:ascii="宋体" w:eastAsia="宋体" w:hint="eastAsia"/>
                <w:b/>
                <w:sz w:val="21"/>
              </w:rPr>
              <w:t>叠加</w:t>
            </w:r>
          </w:p>
          <w:p>
            <w:pPr>
              <w:pStyle w:val="TableParagraph"/>
              <w:spacing w:before="88"/>
              <w:ind w:left="419"/>
              <w:jc w:val="left"/>
              <w:rPr>
                <w:rFonts w:ascii="宋体" w:eastAsia="宋体" w:hint="eastAsia"/>
                <w:b/>
                <w:sz w:val="21"/>
              </w:rPr>
            </w:pPr>
            <w:r>
              <w:rPr>
                <w:rFonts w:ascii="宋体" w:eastAsia="宋体" w:hint="eastAsia"/>
                <w:b/>
                <w:sz w:val="21"/>
              </w:rPr>
              <w:t>浓度</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44"/>
              <w:ind w:left="223"/>
              <w:jc w:val="left"/>
              <w:rPr>
                <w:rFonts w:ascii="宋体" w:eastAsia="宋体" w:hint="eastAsia"/>
                <w:b/>
                <w:sz w:val="21"/>
              </w:rPr>
            </w:pPr>
            <w:r>
              <w:rPr>
                <w:rFonts w:ascii="宋体" w:eastAsia="宋体" w:hint="eastAsia"/>
                <w:b/>
                <w:sz w:val="21"/>
              </w:rPr>
              <w:t>叠加后</w:t>
            </w:r>
          </w:p>
          <w:p>
            <w:pPr>
              <w:pStyle w:val="TableParagraph"/>
              <w:spacing w:before="88"/>
              <w:ind w:left="223"/>
              <w:jc w:val="left"/>
              <w:rPr>
                <w:rFonts w:ascii="宋体" w:eastAsia="宋体" w:hint="eastAsia"/>
                <w:b/>
                <w:sz w:val="21"/>
              </w:rPr>
            </w:pPr>
            <w:r>
              <w:rPr>
                <w:rFonts w:ascii="宋体" w:eastAsia="宋体" w:hint="eastAsia"/>
                <w:b/>
                <w:sz w:val="21"/>
              </w:rPr>
              <w:t>占标率</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203"/>
              <w:jc w:val="left"/>
              <w:rPr>
                <w:rFonts w:ascii="宋体" w:eastAsia="宋体" w:hint="eastAsia"/>
                <w:b/>
                <w:sz w:val="21"/>
              </w:rPr>
            </w:pPr>
            <w:r>
              <w:rPr>
                <w:rFonts w:ascii="宋体" w:eastAsia="宋体" w:hint="eastAsia"/>
                <w:b/>
                <w:sz w:val="21"/>
              </w:rPr>
              <w:t>达标</w:t>
            </w:r>
          </w:p>
          <w:p>
            <w:pPr>
              <w:pStyle w:val="TableParagraph"/>
              <w:spacing w:before="88"/>
              <w:ind w:left="203"/>
              <w:jc w:val="left"/>
              <w:rPr>
                <w:rFonts w:ascii="宋体" w:eastAsia="宋体" w:hint="eastAsia"/>
                <w:b/>
                <w:sz w:val="21"/>
              </w:rPr>
            </w:pPr>
            <w:r>
              <w:rPr>
                <w:rFonts w:ascii="宋体" w:eastAsia="宋体" w:hint="eastAsia"/>
                <w:b/>
                <w:sz w:val="21"/>
              </w:rPr>
              <w:t>情况</w:t>
            </w:r>
          </w:p>
        </w:tc>
        <w:tc>
          <w:tcPr>
            <w:tcW w:w="1288" w:type="dxa"/>
            <w:vMerge/>
            <w:tcBorders>
              <w:top w:val="nil"/>
              <w:left w:val="single" w:sz="4" w:space="0" w:color="000000"/>
              <w:bottom w:val="single" w:sz="4" w:space="0" w:color="000000"/>
            </w:tcBorders>
          </w:tcPr>
          <w:p>
            <w:pPr>
              <w:rPr>
                <w:sz w:val="2"/>
                <w:szCs w:val="2"/>
              </w:rPr>
            </w:pP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1</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782"/>
              <w:jc w:val="left"/>
              <w:rPr>
                <w:rFonts w:ascii="宋体" w:eastAsia="宋体" w:hint="eastAsia"/>
                <w:sz w:val="21"/>
              </w:rPr>
            </w:pPr>
            <w:r>
              <w:rPr>
                <w:rFonts w:ascii="宋体" w:eastAsia="宋体" w:hint="eastAsia"/>
                <w:sz w:val="21"/>
              </w:rPr>
              <w:t>丰一（</w:t>
            </w:r>
            <w:r>
              <w:rPr>
                <w:sz w:val="21"/>
              </w:rPr>
              <w:t>797,894</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2.55E-02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19100224</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12.76</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1.06E-01</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52.76</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60" w:hRule="atLeast"/>
        </w:trPr>
        <w:tc>
          <w:tcPr>
            <w:tcW w:w="792" w:type="dxa"/>
            <w:tcBorders>
              <w:top w:val="single" w:sz="4" w:space="0" w:color="000000"/>
              <w:bottom w:val="single" w:sz="4" w:space="0" w:color="000000"/>
              <w:right w:val="single" w:sz="4" w:space="0" w:color="000000"/>
            </w:tcBorders>
          </w:tcPr>
          <w:p>
            <w:pPr>
              <w:pStyle w:val="TableParagraph"/>
              <w:spacing w:before="61"/>
              <w:ind w:left="18"/>
              <w:rPr>
                <w:sz w:val="21"/>
              </w:rPr>
            </w:pPr>
            <w:r>
              <w:rPr>
                <w:w w:val="100"/>
                <w:sz w:val="21"/>
              </w:rPr>
              <w:t>2</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7"/>
              <w:ind w:left="729"/>
              <w:jc w:val="left"/>
              <w:rPr>
                <w:rFonts w:ascii="宋体" w:eastAsia="宋体" w:hint="eastAsia"/>
                <w:sz w:val="21"/>
              </w:rPr>
            </w:pPr>
            <w:r>
              <w:rPr>
                <w:rFonts w:ascii="宋体" w:eastAsia="宋体" w:hint="eastAsia"/>
                <w:sz w:val="21"/>
              </w:rPr>
              <w:t>丰二（</w:t>
            </w:r>
            <w:r>
              <w:rPr>
                <w:sz w:val="21"/>
              </w:rPr>
              <w:t>897,1268</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7"/>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1"/>
              <w:ind w:left="214" w:right="182"/>
              <w:rPr>
                <w:sz w:val="21"/>
              </w:rPr>
            </w:pPr>
            <w:r>
              <w:rPr>
                <w:sz w:val="21"/>
              </w:rPr>
              <w:t>1.95E-02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1"/>
              <w:ind w:left="111" w:right="76"/>
              <w:rPr>
                <w:sz w:val="21"/>
              </w:rPr>
            </w:pPr>
            <w:r>
              <w:rPr>
                <w:sz w:val="21"/>
              </w:rPr>
              <w:t>19072101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1"/>
              <w:ind w:left="143" w:right="109"/>
              <w:rPr>
                <w:sz w:val="21"/>
              </w:rPr>
            </w:pPr>
            <w:r>
              <w:rPr>
                <w:sz w:val="21"/>
              </w:rPr>
              <w:t>9.75</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7"/>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1"/>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1"/>
              <w:ind w:left="242"/>
              <w:jc w:val="left"/>
              <w:rPr>
                <w:sz w:val="21"/>
              </w:rPr>
            </w:pPr>
            <w:r>
              <w:rPr>
                <w:sz w:val="21"/>
              </w:rPr>
              <w:t>9.95E-02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1"/>
              <w:ind w:left="231" w:right="190"/>
              <w:rPr>
                <w:sz w:val="21"/>
              </w:rPr>
            </w:pPr>
            <w:r>
              <w:rPr>
                <w:sz w:val="21"/>
              </w:rPr>
              <w:t>49.75</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7"/>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1"/>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3</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736"/>
              <w:jc w:val="left"/>
              <w:rPr>
                <w:rFonts w:ascii="宋体" w:eastAsia="宋体" w:hint="eastAsia"/>
                <w:sz w:val="21"/>
              </w:rPr>
            </w:pPr>
            <w:r>
              <w:rPr>
                <w:rFonts w:ascii="宋体" w:eastAsia="宋体" w:hint="eastAsia"/>
                <w:sz w:val="21"/>
              </w:rPr>
              <w:t>项里（</w:t>
            </w:r>
            <w:r>
              <w:rPr>
                <w:sz w:val="21"/>
              </w:rPr>
              <w:t>332,1118</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2.65E-02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19062723</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13.23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1.06E-01</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53.23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4</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588"/>
              <w:jc w:val="left"/>
              <w:rPr>
                <w:rFonts w:ascii="宋体" w:eastAsia="宋体" w:hint="eastAsia"/>
                <w:sz w:val="21"/>
              </w:rPr>
            </w:pPr>
            <w:r>
              <w:rPr>
                <w:rFonts w:ascii="宋体" w:eastAsia="宋体" w:hint="eastAsia"/>
                <w:sz w:val="21"/>
              </w:rPr>
              <w:t>河塔村（</w:t>
            </w:r>
            <w:r>
              <w:rPr>
                <w:sz w:val="21"/>
              </w:rPr>
              <w:t>-299,1816</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1.75E-02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19060723</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8.73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9.75E-02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48.73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18"/>
              <w:rPr>
                <w:sz w:val="21"/>
              </w:rPr>
            </w:pPr>
            <w:r>
              <w:rPr>
                <w:w w:val="100"/>
                <w:sz w:val="21"/>
              </w:rPr>
              <w:t>5</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6"/>
              <w:ind w:left="571"/>
              <w:jc w:val="left"/>
              <w:rPr>
                <w:rFonts w:ascii="宋体" w:eastAsia="宋体" w:hint="eastAsia"/>
                <w:sz w:val="21"/>
              </w:rPr>
            </w:pPr>
            <w:r>
              <w:rPr>
                <w:rFonts w:ascii="宋体" w:eastAsia="宋体" w:hint="eastAsia"/>
                <w:sz w:val="21"/>
              </w:rPr>
              <w:t>秋湖村（</w:t>
            </w:r>
            <w:r>
              <w:rPr>
                <w:sz w:val="21"/>
              </w:rPr>
              <w:t>1686,2223</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4" w:right="182"/>
              <w:rPr>
                <w:sz w:val="21"/>
              </w:rPr>
            </w:pPr>
            <w:r>
              <w:rPr>
                <w:sz w:val="21"/>
              </w:rPr>
              <w:t>9.69E-03</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76"/>
              <w:rPr>
                <w:sz w:val="21"/>
              </w:rPr>
            </w:pPr>
            <w:r>
              <w:rPr>
                <w:sz w:val="21"/>
              </w:rPr>
              <w:t>19072101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0"/>
              <w:ind w:left="143" w:right="109"/>
              <w:rPr>
                <w:sz w:val="21"/>
              </w:rPr>
            </w:pPr>
            <w:r>
              <w:rPr>
                <w:sz w:val="21"/>
              </w:rPr>
              <w:t>4.84</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0"/>
              <w:ind w:left="242"/>
              <w:jc w:val="left"/>
              <w:rPr>
                <w:sz w:val="21"/>
              </w:rPr>
            </w:pPr>
            <w:r>
              <w:rPr>
                <w:sz w:val="21"/>
              </w:rPr>
              <w:t>8.97E-02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0"/>
              <w:ind w:left="231" w:right="190"/>
              <w:rPr>
                <w:sz w:val="21"/>
              </w:rPr>
            </w:pPr>
            <w:r>
              <w:rPr>
                <w:sz w:val="21"/>
              </w:rPr>
              <w:t>44.84</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0"/>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6</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624"/>
              <w:jc w:val="left"/>
              <w:rPr>
                <w:rFonts w:ascii="宋体" w:eastAsia="宋体" w:hint="eastAsia"/>
                <w:sz w:val="21"/>
              </w:rPr>
            </w:pPr>
            <w:r>
              <w:rPr>
                <w:rFonts w:ascii="宋体" w:eastAsia="宋体" w:hint="eastAsia"/>
                <w:sz w:val="21"/>
              </w:rPr>
              <w:t>清和园（</w:t>
            </w:r>
            <w:r>
              <w:rPr>
                <w:sz w:val="21"/>
              </w:rPr>
              <w:t>830,2049</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1.23E-02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19062723</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6.16</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9.23E-02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46.16</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4" w:hRule="atLeast"/>
        </w:trPr>
        <w:tc>
          <w:tcPr>
            <w:tcW w:w="792" w:type="dxa"/>
            <w:tcBorders>
              <w:top w:val="single" w:sz="4" w:space="0" w:color="000000"/>
              <w:bottom w:val="single" w:sz="6" w:space="0" w:color="000000"/>
              <w:right w:val="single" w:sz="4" w:space="0" w:color="000000"/>
            </w:tcBorders>
          </w:tcPr>
          <w:p>
            <w:pPr>
              <w:pStyle w:val="TableParagraph"/>
              <w:ind w:left="18"/>
              <w:rPr>
                <w:sz w:val="21"/>
              </w:rPr>
            </w:pPr>
            <w:r>
              <w:rPr>
                <w:w w:val="100"/>
                <w:sz w:val="21"/>
              </w:rPr>
              <w:t>7</w:t>
            </w:r>
          </w:p>
        </w:tc>
        <w:tc>
          <w:tcPr>
            <w:tcW w:w="3067" w:type="dxa"/>
            <w:tcBorders>
              <w:top w:val="single" w:sz="4" w:space="0" w:color="000000"/>
              <w:left w:val="single" w:sz="4" w:space="0" w:color="000000"/>
              <w:bottom w:val="single" w:sz="6" w:space="0" w:color="000000"/>
              <w:right w:val="single" w:sz="4" w:space="0" w:color="000000"/>
            </w:tcBorders>
          </w:tcPr>
          <w:p>
            <w:pPr>
              <w:pStyle w:val="TableParagraph"/>
              <w:spacing w:before="44"/>
              <w:ind w:left="485"/>
              <w:jc w:val="left"/>
              <w:rPr>
                <w:rFonts w:ascii="宋体" w:eastAsia="宋体" w:hint="eastAsia"/>
                <w:sz w:val="21"/>
              </w:rPr>
            </w:pPr>
            <w:r>
              <w:rPr>
                <w:rFonts w:ascii="宋体" w:eastAsia="宋体" w:hint="eastAsia"/>
                <w:sz w:val="21"/>
              </w:rPr>
              <w:t>州山小学（</w:t>
            </w:r>
            <w:r>
              <w:rPr>
                <w:sz w:val="21"/>
              </w:rPr>
              <w:t>-141,2646</w:t>
            </w:r>
            <w:r>
              <w:rPr>
                <w:rFonts w:ascii="宋体" w:eastAsia="宋体" w:hint="eastAsia"/>
                <w:sz w:val="21"/>
              </w:rPr>
              <w:t>） </w:t>
            </w:r>
          </w:p>
        </w:tc>
        <w:tc>
          <w:tcPr>
            <w:tcW w:w="984" w:type="dxa"/>
            <w:tcBorders>
              <w:top w:val="single" w:sz="4" w:space="0" w:color="000000"/>
              <w:left w:val="single" w:sz="4" w:space="0" w:color="000000"/>
              <w:bottom w:val="single" w:sz="6"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6" w:space="0" w:color="000000"/>
              <w:right w:val="single" w:sz="4" w:space="0" w:color="000000"/>
            </w:tcBorders>
          </w:tcPr>
          <w:p>
            <w:pPr>
              <w:pStyle w:val="TableParagraph"/>
              <w:ind w:left="214" w:right="182"/>
              <w:rPr>
                <w:sz w:val="21"/>
              </w:rPr>
            </w:pPr>
            <w:r>
              <w:rPr>
                <w:sz w:val="21"/>
              </w:rPr>
              <w:t>1.20E-02</w:t>
            </w:r>
          </w:p>
        </w:tc>
        <w:tc>
          <w:tcPr>
            <w:tcW w:w="1310" w:type="dxa"/>
            <w:tcBorders>
              <w:top w:val="single" w:sz="4" w:space="0" w:color="000000"/>
              <w:left w:val="single" w:sz="4" w:space="0" w:color="000000"/>
              <w:bottom w:val="single" w:sz="6" w:space="0" w:color="000000"/>
              <w:right w:val="single" w:sz="4" w:space="0" w:color="000000"/>
            </w:tcBorders>
          </w:tcPr>
          <w:p>
            <w:pPr>
              <w:pStyle w:val="TableParagraph"/>
              <w:ind w:left="111" w:right="76"/>
              <w:rPr>
                <w:sz w:val="21"/>
              </w:rPr>
            </w:pPr>
            <w:r>
              <w:rPr>
                <w:sz w:val="21"/>
              </w:rPr>
              <w:t>19061523</w:t>
            </w:r>
          </w:p>
        </w:tc>
        <w:tc>
          <w:tcPr>
            <w:tcW w:w="1051" w:type="dxa"/>
            <w:tcBorders>
              <w:top w:val="single" w:sz="4" w:space="0" w:color="000000"/>
              <w:left w:val="single" w:sz="4" w:space="0" w:color="000000"/>
              <w:bottom w:val="single" w:sz="6" w:space="0" w:color="000000"/>
              <w:right w:val="single" w:sz="4" w:space="0" w:color="000000"/>
            </w:tcBorders>
          </w:tcPr>
          <w:p>
            <w:pPr>
              <w:pStyle w:val="TableParagraph"/>
              <w:ind w:left="143" w:right="109"/>
              <w:rPr>
                <w:sz w:val="21"/>
              </w:rPr>
            </w:pPr>
            <w:r>
              <w:rPr>
                <w:sz w:val="21"/>
              </w:rPr>
              <w:t>6.01</w:t>
            </w:r>
          </w:p>
        </w:tc>
        <w:tc>
          <w:tcPr>
            <w:tcW w:w="791" w:type="dxa"/>
            <w:tcBorders>
              <w:top w:val="single" w:sz="4" w:space="0" w:color="000000"/>
              <w:left w:val="single" w:sz="4" w:space="0" w:color="000000"/>
              <w:bottom w:val="single" w:sz="6"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6"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6" w:space="0" w:color="000000"/>
              <w:right w:val="single" w:sz="4" w:space="0" w:color="000000"/>
            </w:tcBorders>
          </w:tcPr>
          <w:p>
            <w:pPr>
              <w:pStyle w:val="TableParagraph"/>
              <w:ind w:left="242"/>
              <w:jc w:val="left"/>
              <w:rPr>
                <w:sz w:val="21"/>
              </w:rPr>
            </w:pPr>
            <w:r>
              <w:rPr>
                <w:sz w:val="21"/>
              </w:rPr>
              <w:t>9.20E-02</w:t>
            </w:r>
          </w:p>
        </w:tc>
        <w:tc>
          <w:tcPr>
            <w:tcW w:w="1050" w:type="dxa"/>
            <w:tcBorders>
              <w:top w:val="single" w:sz="4" w:space="0" w:color="000000"/>
              <w:left w:val="single" w:sz="4" w:space="0" w:color="000000"/>
              <w:bottom w:val="single" w:sz="6" w:space="0" w:color="000000"/>
              <w:right w:val="single" w:sz="4" w:space="0" w:color="000000"/>
            </w:tcBorders>
          </w:tcPr>
          <w:p>
            <w:pPr>
              <w:pStyle w:val="TableParagraph"/>
              <w:ind w:left="231" w:right="190"/>
              <w:rPr>
                <w:sz w:val="21"/>
              </w:rPr>
            </w:pPr>
            <w:r>
              <w:rPr>
                <w:sz w:val="21"/>
              </w:rPr>
              <w:t>46.01</w:t>
            </w:r>
          </w:p>
        </w:tc>
        <w:tc>
          <w:tcPr>
            <w:tcW w:w="791" w:type="dxa"/>
            <w:tcBorders>
              <w:top w:val="single" w:sz="4" w:space="0" w:color="000000"/>
              <w:left w:val="single" w:sz="4" w:space="0" w:color="000000"/>
              <w:bottom w:val="single" w:sz="6"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6"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6" w:space="0" w:color="000000"/>
              <w:bottom w:val="single" w:sz="4" w:space="0" w:color="000000"/>
              <w:right w:val="single" w:sz="4" w:space="0" w:color="000000"/>
            </w:tcBorders>
          </w:tcPr>
          <w:p>
            <w:pPr>
              <w:pStyle w:val="TableParagraph"/>
              <w:ind w:left="18"/>
              <w:rPr>
                <w:sz w:val="21"/>
              </w:rPr>
            </w:pPr>
            <w:r>
              <w:rPr>
                <w:w w:val="100"/>
                <w:sz w:val="21"/>
              </w:rPr>
              <w:t>8</w:t>
            </w:r>
          </w:p>
        </w:tc>
        <w:tc>
          <w:tcPr>
            <w:tcW w:w="3067" w:type="dxa"/>
            <w:tcBorders>
              <w:top w:val="single" w:sz="6" w:space="0" w:color="000000"/>
              <w:left w:val="single" w:sz="4" w:space="0" w:color="000000"/>
              <w:bottom w:val="single" w:sz="4" w:space="0" w:color="000000"/>
              <w:right w:val="single" w:sz="4" w:space="0" w:color="000000"/>
            </w:tcBorders>
          </w:tcPr>
          <w:p>
            <w:pPr>
              <w:pStyle w:val="TableParagraph"/>
              <w:spacing w:before="44"/>
              <w:ind w:left="624"/>
              <w:jc w:val="left"/>
              <w:rPr>
                <w:rFonts w:ascii="宋体" w:eastAsia="宋体" w:hint="eastAsia"/>
                <w:sz w:val="21"/>
              </w:rPr>
            </w:pPr>
            <w:r>
              <w:rPr>
                <w:rFonts w:ascii="宋体" w:eastAsia="宋体" w:hint="eastAsia"/>
                <w:sz w:val="21"/>
              </w:rPr>
              <w:t>管委会（</w:t>
            </w:r>
            <w:r>
              <w:rPr>
                <w:sz w:val="21"/>
              </w:rPr>
              <w:t>914,2190</w:t>
            </w:r>
            <w:r>
              <w:rPr>
                <w:rFonts w:ascii="宋体" w:eastAsia="宋体" w:hint="eastAsia"/>
                <w:sz w:val="21"/>
              </w:rPr>
              <w:t>） </w:t>
            </w:r>
          </w:p>
        </w:tc>
        <w:tc>
          <w:tcPr>
            <w:tcW w:w="984" w:type="dxa"/>
            <w:tcBorders>
              <w:top w:val="single" w:sz="6"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6"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1.13E-02</w:t>
            </w:r>
          </w:p>
        </w:tc>
        <w:tc>
          <w:tcPr>
            <w:tcW w:w="1310" w:type="dxa"/>
            <w:tcBorders>
              <w:top w:val="single" w:sz="6"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19062723</w:t>
            </w:r>
          </w:p>
        </w:tc>
        <w:tc>
          <w:tcPr>
            <w:tcW w:w="1051" w:type="dxa"/>
            <w:tcBorders>
              <w:top w:val="single" w:sz="6"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5.67</w:t>
            </w:r>
          </w:p>
        </w:tc>
        <w:tc>
          <w:tcPr>
            <w:tcW w:w="791" w:type="dxa"/>
            <w:tcBorders>
              <w:top w:val="single" w:sz="6"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6"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6"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9.13E-02</w:t>
            </w:r>
          </w:p>
        </w:tc>
        <w:tc>
          <w:tcPr>
            <w:tcW w:w="1050" w:type="dxa"/>
            <w:tcBorders>
              <w:top w:val="single" w:sz="6"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45.67</w:t>
            </w:r>
          </w:p>
        </w:tc>
        <w:tc>
          <w:tcPr>
            <w:tcW w:w="791" w:type="dxa"/>
            <w:tcBorders>
              <w:top w:val="single" w:sz="6"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6"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9</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412"/>
              <w:jc w:val="left"/>
              <w:rPr>
                <w:rFonts w:ascii="宋体" w:eastAsia="宋体" w:hint="eastAsia"/>
                <w:sz w:val="21"/>
              </w:rPr>
            </w:pPr>
            <w:r>
              <w:rPr>
                <w:rFonts w:ascii="宋体" w:eastAsia="宋体" w:hint="eastAsia"/>
                <w:sz w:val="21"/>
              </w:rPr>
              <w:t>区福利中心（</w:t>
            </w:r>
            <w:r>
              <w:rPr>
                <w:sz w:val="21"/>
              </w:rPr>
              <w:t>282,2431</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1.26E-02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19090723</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6.31</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9.26E-02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46.31</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10</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518"/>
              <w:jc w:val="left"/>
              <w:rPr>
                <w:rFonts w:ascii="宋体" w:eastAsia="宋体" w:hint="eastAsia"/>
                <w:sz w:val="21"/>
              </w:rPr>
            </w:pPr>
            <w:r>
              <w:rPr>
                <w:rFonts w:ascii="宋体" w:eastAsia="宋体" w:hint="eastAsia"/>
                <w:sz w:val="21"/>
              </w:rPr>
              <w:t>区委党校（</w:t>
            </w:r>
            <w:r>
              <w:rPr>
                <w:sz w:val="21"/>
              </w:rPr>
              <w:t>656,2182</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1.29E-02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19071922</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6.46</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9.29E-02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46.46</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66" w:right="252"/>
              <w:rPr>
                <w:sz w:val="21"/>
              </w:rPr>
            </w:pPr>
            <w:r>
              <w:rPr>
                <w:sz w:val="21"/>
              </w:rPr>
              <w:t>11</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6"/>
              <w:ind w:left="693"/>
              <w:jc w:val="left"/>
              <w:rPr>
                <w:rFonts w:ascii="宋体" w:eastAsia="宋体" w:hint="eastAsia"/>
                <w:sz w:val="21"/>
              </w:rPr>
            </w:pPr>
            <w:r>
              <w:rPr>
                <w:rFonts w:ascii="宋体" w:eastAsia="宋体" w:hint="eastAsia"/>
                <w:sz w:val="21"/>
              </w:rPr>
              <w:t>迪埠（</w:t>
            </w:r>
            <w:r>
              <w:rPr>
                <w:sz w:val="21"/>
              </w:rPr>
              <w:t>1022,-875</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4" w:right="182"/>
              <w:rPr>
                <w:sz w:val="21"/>
              </w:rPr>
            </w:pPr>
            <w:r>
              <w:rPr>
                <w:sz w:val="21"/>
              </w:rPr>
              <w:t>2.21E-02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76"/>
              <w:rPr>
                <w:sz w:val="21"/>
              </w:rPr>
            </w:pPr>
            <w:r>
              <w:rPr>
                <w:sz w:val="21"/>
              </w:rPr>
              <w:t>19070221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0"/>
              <w:ind w:left="143" w:right="106"/>
              <w:rPr>
                <w:sz w:val="21"/>
              </w:rPr>
            </w:pPr>
            <w:r>
              <w:rPr>
                <w:sz w:val="21"/>
              </w:rPr>
              <w:t>11.07</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0"/>
              <w:ind w:left="242"/>
              <w:jc w:val="left"/>
              <w:rPr>
                <w:sz w:val="21"/>
              </w:rPr>
            </w:pPr>
            <w:r>
              <w:rPr>
                <w:sz w:val="21"/>
              </w:rPr>
              <w:t>1.02E-01</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0"/>
              <w:ind w:left="231" w:right="190"/>
              <w:rPr>
                <w:sz w:val="21"/>
              </w:rPr>
            </w:pPr>
            <w:r>
              <w:rPr>
                <w:sz w:val="21"/>
              </w:rPr>
              <w:t>51.07</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0"/>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12</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535"/>
              <w:jc w:val="left"/>
              <w:rPr>
                <w:rFonts w:ascii="宋体" w:eastAsia="宋体" w:hint="eastAsia"/>
                <w:sz w:val="21"/>
              </w:rPr>
            </w:pPr>
            <w:r>
              <w:rPr>
                <w:rFonts w:ascii="宋体" w:eastAsia="宋体" w:hint="eastAsia"/>
                <w:sz w:val="21"/>
              </w:rPr>
              <w:t>洪家墩（</w:t>
            </w:r>
            <w:r>
              <w:rPr>
                <w:sz w:val="21"/>
              </w:rPr>
              <w:t>1096,-1407</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1.45E-02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19050924</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7.23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9.45E-02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47.23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13</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588"/>
              <w:jc w:val="left"/>
              <w:rPr>
                <w:rFonts w:ascii="宋体" w:eastAsia="宋体" w:hint="eastAsia"/>
                <w:sz w:val="21"/>
              </w:rPr>
            </w:pPr>
            <w:r>
              <w:rPr>
                <w:rFonts w:ascii="宋体" w:eastAsia="宋体" w:hint="eastAsia"/>
                <w:sz w:val="21"/>
              </w:rPr>
              <w:t>兴联村（</w:t>
            </w:r>
            <w:r>
              <w:rPr>
                <w:sz w:val="21"/>
              </w:rPr>
              <w:t>1985,-302</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1.50E-02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19100321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7.50</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9.50E-02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47.50</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68" w:right="250"/>
              <w:rPr>
                <w:sz w:val="21"/>
              </w:rPr>
            </w:pPr>
            <w:r>
              <w:rPr>
                <w:sz w:val="21"/>
              </w:rPr>
              <w:t>14</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6"/>
              <w:ind w:left="540"/>
              <w:jc w:val="left"/>
              <w:rPr>
                <w:rFonts w:ascii="宋体" w:eastAsia="宋体" w:hint="eastAsia"/>
                <w:sz w:val="21"/>
              </w:rPr>
            </w:pPr>
            <w:r>
              <w:rPr>
                <w:rFonts w:ascii="宋体" w:eastAsia="宋体" w:hint="eastAsia"/>
                <w:sz w:val="21"/>
              </w:rPr>
              <w:t>梅三村（</w:t>
            </w:r>
            <w:r>
              <w:rPr>
                <w:sz w:val="21"/>
              </w:rPr>
              <w:t>1744,-1149</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4" w:right="182"/>
              <w:rPr>
                <w:sz w:val="21"/>
              </w:rPr>
            </w:pPr>
            <w:r>
              <w:rPr>
                <w:sz w:val="21"/>
              </w:rPr>
              <w:t>1.27E-02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76"/>
              <w:rPr>
                <w:sz w:val="21"/>
              </w:rPr>
            </w:pPr>
            <w:r>
              <w:rPr>
                <w:sz w:val="21"/>
              </w:rPr>
              <w:t>19060420</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0"/>
              <w:ind w:left="143" w:right="109"/>
              <w:rPr>
                <w:sz w:val="21"/>
              </w:rPr>
            </w:pPr>
            <w:r>
              <w:rPr>
                <w:sz w:val="21"/>
              </w:rPr>
              <w:t>6.34</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0"/>
              <w:ind w:left="242"/>
              <w:jc w:val="left"/>
              <w:rPr>
                <w:sz w:val="21"/>
              </w:rPr>
            </w:pPr>
            <w:r>
              <w:rPr>
                <w:sz w:val="21"/>
              </w:rPr>
              <w:t>9.27E-02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0"/>
              <w:ind w:left="231" w:right="190"/>
              <w:rPr>
                <w:sz w:val="21"/>
              </w:rPr>
            </w:pPr>
            <w:r>
              <w:rPr>
                <w:sz w:val="21"/>
              </w:rPr>
              <w:t>46.34</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0"/>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15</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540"/>
              <w:jc w:val="left"/>
              <w:rPr>
                <w:rFonts w:ascii="宋体" w:eastAsia="宋体" w:hint="eastAsia"/>
                <w:sz w:val="21"/>
              </w:rPr>
            </w:pPr>
            <w:r>
              <w:rPr>
                <w:rFonts w:ascii="宋体" w:eastAsia="宋体" w:hint="eastAsia"/>
                <w:sz w:val="21"/>
              </w:rPr>
              <w:t>容山村（</w:t>
            </w:r>
            <w:r>
              <w:rPr>
                <w:sz w:val="21"/>
              </w:rPr>
              <w:t>1154,-2055</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1.06E-02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19122906</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5.28</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9.06E-02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45.28</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16</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501"/>
              <w:jc w:val="left"/>
              <w:rPr>
                <w:rFonts w:ascii="宋体" w:eastAsia="宋体" w:hint="eastAsia"/>
                <w:sz w:val="21"/>
              </w:rPr>
            </w:pPr>
            <w:r>
              <w:rPr>
                <w:rFonts w:ascii="宋体" w:eastAsia="宋体" w:hint="eastAsia"/>
                <w:sz w:val="21"/>
              </w:rPr>
              <w:t>兴华村（</w:t>
            </w:r>
            <w:r>
              <w:rPr>
                <w:sz w:val="21"/>
              </w:rPr>
              <w:t>-1653,-1249</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5.25E-03</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8"/>
              <w:rPr>
                <w:sz w:val="21"/>
              </w:rPr>
            </w:pPr>
            <w:r>
              <w:rPr>
                <w:sz w:val="21"/>
              </w:rPr>
              <w:t>19110320</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2.62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8.52E-02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42.62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68" w:right="250"/>
              <w:rPr>
                <w:sz w:val="21"/>
              </w:rPr>
            </w:pPr>
            <w:r>
              <w:rPr>
                <w:sz w:val="21"/>
              </w:rPr>
              <w:t>17</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6"/>
              <w:ind w:left="588"/>
              <w:jc w:val="left"/>
              <w:rPr>
                <w:rFonts w:ascii="宋体" w:eastAsia="宋体" w:hint="eastAsia"/>
                <w:sz w:val="21"/>
              </w:rPr>
            </w:pPr>
            <w:r>
              <w:rPr>
                <w:rFonts w:ascii="宋体" w:eastAsia="宋体" w:hint="eastAsia"/>
                <w:sz w:val="21"/>
              </w:rPr>
              <w:t>永信村（</w:t>
            </w:r>
            <w:r>
              <w:rPr>
                <w:sz w:val="21"/>
              </w:rPr>
              <w:t>-2384,479</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4" w:right="182"/>
              <w:rPr>
                <w:sz w:val="21"/>
              </w:rPr>
            </w:pPr>
            <w:r>
              <w:rPr>
                <w:sz w:val="21"/>
              </w:rPr>
              <w:t>1.47E-02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76"/>
              <w:rPr>
                <w:sz w:val="21"/>
              </w:rPr>
            </w:pPr>
            <w:r>
              <w:rPr>
                <w:sz w:val="21"/>
              </w:rPr>
              <w:t>19071401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0"/>
              <w:ind w:left="143" w:right="109"/>
              <w:rPr>
                <w:sz w:val="21"/>
              </w:rPr>
            </w:pPr>
            <w:r>
              <w:rPr>
                <w:sz w:val="21"/>
              </w:rPr>
              <w:t>7.33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0"/>
              <w:ind w:left="242"/>
              <w:jc w:val="left"/>
              <w:rPr>
                <w:sz w:val="21"/>
              </w:rPr>
            </w:pPr>
            <w:r>
              <w:rPr>
                <w:sz w:val="21"/>
              </w:rPr>
              <w:t>9.47E-02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0"/>
              <w:ind w:left="231" w:right="190"/>
              <w:rPr>
                <w:sz w:val="21"/>
              </w:rPr>
            </w:pPr>
            <w:r>
              <w:rPr>
                <w:sz w:val="21"/>
              </w:rPr>
              <w:t>47.33</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0"/>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18</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386"/>
              <w:jc w:val="left"/>
              <w:rPr>
                <w:rFonts w:ascii="宋体" w:eastAsia="宋体" w:hint="eastAsia"/>
                <w:sz w:val="21"/>
              </w:rPr>
            </w:pPr>
            <w:r>
              <w:rPr>
                <w:rFonts w:ascii="宋体" w:eastAsia="宋体" w:hint="eastAsia"/>
                <w:sz w:val="21"/>
              </w:rPr>
              <w:t>规划敏感点 </w:t>
            </w:r>
            <w:r>
              <w:rPr>
                <w:sz w:val="21"/>
              </w:rPr>
              <w:t>1</w:t>
            </w:r>
            <w:r>
              <w:rPr>
                <w:rFonts w:ascii="宋体" w:eastAsia="宋体" w:hint="eastAsia"/>
                <w:sz w:val="21"/>
              </w:rPr>
              <w:t>（</w:t>
            </w:r>
            <w:r>
              <w:rPr>
                <w:sz w:val="21"/>
              </w:rPr>
              <w:t>983,975</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2.24E-02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19100224</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6"/>
              <w:rPr>
                <w:sz w:val="21"/>
              </w:rPr>
            </w:pPr>
            <w:r>
              <w:rPr>
                <w:sz w:val="21"/>
              </w:rPr>
              <w:t>11.20</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1.02E-01</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51.20</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19</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336"/>
              <w:jc w:val="left"/>
              <w:rPr>
                <w:rFonts w:ascii="宋体" w:eastAsia="宋体" w:hint="eastAsia"/>
                <w:sz w:val="21"/>
              </w:rPr>
            </w:pPr>
            <w:r>
              <w:rPr>
                <w:rFonts w:ascii="宋体" w:eastAsia="宋体" w:hint="eastAsia"/>
                <w:sz w:val="21"/>
              </w:rPr>
              <w:t>规划敏感点 </w:t>
            </w:r>
            <w:r>
              <w:rPr>
                <w:sz w:val="21"/>
              </w:rPr>
              <w:t>2</w:t>
            </w:r>
            <w:r>
              <w:rPr>
                <w:rFonts w:ascii="宋体" w:eastAsia="宋体" w:hint="eastAsia"/>
                <w:sz w:val="21"/>
              </w:rPr>
              <w:t>（</w:t>
            </w:r>
            <w:r>
              <w:rPr>
                <w:sz w:val="21"/>
              </w:rPr>
              <w:t>1246,677</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2.06E-02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19091001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10.32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1.01E-01</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50.32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61" w:hRule="atLeast"/>
        </w:trPr>
        <w:tc>
          <w:tcPr>
            <w:tcW w:w="792" w:type="dxa"/>
            <w:tcBorders>
              <w:top w:val="single" w:sz="4" w:space="0" w:color="000000"/>
              <w:right w:val="single" w:sz="4" w:space="0" w:color="000000"/>
            </w:tcBorders>
          </w:tcPr>
          <w:p>
            <w:pPr>
              <w:pStyle w:val="TableParagraph"/>
              <w:spacing w:before="60"/>
              <w:ind w:left="268" w:right="250"/>
              <w:rPr>
                <w:sz w:val="21"/>
              </w:rPr>
            </w:pPr>
            <w:r>
              <w:rPr>
                <w:sz w:val="21"/>
              </w:rPr>
              <w:t>20</w:t>
            </w:r>
          </w:p>
        </w:tc>
        <w:tc>
          <w:tcPr>
            <w:tcW w:w="3067" w:type="dxa"/>
            <w:tcBorders>
              <w:top w:val="single" w:sz="4" w:space="0" w:color="000000"/>
              <w:left w:val="single" w:sz="4" w:space="0" w:color="000000"/>
              <w:right w:val="single" w:sz="4" w:space="0" w:color="000000"/>
            </w:tcBorders>
          </w:tcPr>
          <w:p>
            <w:pPr>
              <w:pStyle w:val="TableParagraph"/>
              <w:spacing w:before="46"/>
              <w:ind w:left="336"/>
              <w:jc w:val="left"/>
              <w:rPr>
                <w:rFonts w:ascii="宋体" w:eastAsia="宋体" w:hint="eastAsia"/>
                <w:sz w:val="21"/>
              </w:rPr>
            </w:pPr>
            <w:r>
              <w:rPr>
                <w:rFonts w:ascii="宋体" w:eastAsia="宋体" w:hint="eastAsia"/>
                <w:sz w:val="21"/>
              </w:rPr>
              <w:t>规划敏感点 </w:t>
            </w:r>
            <w:r>
              <w:rPr>
                <w:sz w:val="21"/>
              </w:rPr>
              <w:t>3</w:t>
            </w:r>
            <w:r>
              <w:rPr>
                <w:rFonts w:ascii="宋体" w:eastAsia="宋体" w:hint="eastAsia"/>
                <w:sz w:val="21"/>
              </w:rPr>
              <w:t>（</w:t>
            </w:r>
            <w:r>
              <w:rPr>
                <w:sz w:val="21"/>
              </w:rPr>
              <w:t>1466,682</w:t>
            </w:r>
            <w:r>
              <w:rPr>
                <w:rFonts w:ascii="宋体" w:eastAsia="宋体" w:hint="eastAsia"/>
                <w:sz w:val="21"/>
              </w:rPr>
              <w:t>）</w:t>
            </w:r>
          </w:p>
        </w:tc>
        <w:tc>
          <w:tcPr>
            <w:tcW w:w="984" w:type="dxa"/>
            <w:tcBorders>
              <w:top w:val="single" w:sz="4" w:space="0" w:color="000000"/>
              <w:left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right w:val="single" w:sz="4" w:space="0" w:color="000000"/>
            </w:tcBorders>
          </w:tcPr>
          <w:p>
            <w:pPr>
              <w:pStyle w:val="TableParagraph"/>
              <w:spacing w:before="60"/>
              <w:ind w:left="214" w:right="182"/>
              <w:rPr>
                <w:sz w:val="21"/>
              </w:rPr>
            </w:pPr>
            <w:r>
              <w:rPr>
                <w:sz w:val="21"/>
              </w:rPr>
              <w:t>1.74E-02</w:t>
            </w:r>
          </w:p>
        </w:tc>
        <w:tc>
          <w:tcPr>
            <w:tcW w:w="1310" w:type="dxa"/>
            <w:tcBorders>
              <w:top w:val="single" w:sz="4" w:space="0" w:color="000000"/>
              <w:left w:val="single" w:sz="4" w:space="0" w:color="000000"/>
              <w:right w:val="single" w:sz="4" w:space="0" w:color="000000"/>
            </w:tcBorders>
          </w:tcPr>
          <w:p>
            <w:pPr>
              <w:pStyle w:val="TableParagraph"/>
              <w:spacing w:before="60"/>
              <w:ind w:left="111" w:right="76"/>
              <w:rPr>
                <w:sz w:val="21"/>
              </w:rPr>
            </w:pPr>
            <w:r>
              <w:rPr>
                <w:sz w:val="21"/>
              </w:rPr>
              <w:t>19090920</w:t>
            </w:r>
          </w:p>
        </w:tc>
        <w:tc>
          <w:tcPr>
            <w:tcW w:w="1051" w:type="dxa"/>
            <w:tcBorders>
              <w:top w:val="single" w:sz="4" w:space="0" w:color="000000"/>
              <w:left w:val="single" w:sz="4" w:space="0" w:color="000000"/>
              <w:right w:val="single" w:sz="4" w:space="0" w:color="000000"/>
            </w:tcBorders>
          </w:tcPr>
          <w:p>
            <w:pPr>
              <w:pStyle w:val="TableParagraph"/>
              <w:spacing w:before="60"/>
              <w:ind w:left="143" w:right="109"/>
              <w:rPr>
                <w:sz w:val="21"/>
              </w:rPr>
            </w:pPr>
            <w:r>
              <w:rPr>
                <w:sz w:val="21"/>
              </w:rPr>
              <w:t>8.72</w:t>
            </w:r>
          </w:p>
        </w:tc>
        <w:tc>
          <w:tcPr>
            <w:tcW w:w="791" w:type="dxa"/>
            <w:tcBorders>
              <w:top w:val="single" w:sz="4" w:space="0" w:color="000000"/>
              <w:left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right w:val="single" w:sz="4" w:space="0" w:color="000000"/>
            </w:tcBorders>
          </w:tcPr>
          <w:p>
            <w:pPr>
              <w:pStyle w:val="TableParagraph"/>
              <w:spacing w:before="60"/>
              <w:ind w:left="242"/>
              <w:jc w:val="left"/>
              <w:rPr>
                <w:sz w:val="21"/>
              </w:rPr>
            </w:pPr>
            <w:r>
              <w:rPr>
                <w:sz w:val="21"/>
              </w:rPr>
              <w:t>9.74E-02</w:t>
            </w:r>
          </w:p>
        </w:tc>
        <w:tc>
          <w:tcPr>
            <w:tcW w:w="1050" w:type="dxa"/>
            <w:tcBorders>
              <w:top w:val="single" w:sz="4" w:space="0" w:color="000000"/>
              <w:left w:val="single" w:sz="4" w:space="0" w:color="000000"/>
              <w:right w:val="single" w:sz="4" w:space="0" w:color="000000"/>
            </w:tcBorders>
          </w:tcPr>
          <w:p>
            <w:pPr>
              <w:pStyle w:val="TableParagraph"/>
              <w:spacing w:before="60"/>
              <w:ind w:left="231" w:right="190"/>
              <w:rPr>
                <w:sz w:val="21"/>
              </w:rPr>
            </w:pPr>
            <w:r>
              <w:rPr>
                <w:sz w:val="21"/>
              </w:rPr>
              <w:t>48.72</w:t>
            </w:r>
          </w:p>
        </w:tc>
        <w:tc>
          <w:tcPr>
            <w:tcW w:w="791" w:type="dxa"/>
            <w:tcBorders>
              <w:top w:val="single" w:sz="4" w:space="0" w:color="000000"/>
              <w:left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tcBorders>
          </w:tcPr>
          <w:p>
            <w:pPr>
              <w:pStyle w:val="TableParagraph"/>
              <w:spacing w:before="60"/>
              <w:ind w:left="230" w:right="173"/>
              <w:rPr>
                <w:sz w:val="21"/>
              </w:rPr>
            </w:pPr>
            <w:r>
              <w:rPr>
                <w:sz w:val="21"/>
              </w:rPr>
              <w:t>2.00E-01</w:t>
            </w:r>
          </w:p>
        </w:tc>
      </w:tr>
    </w:tbl>
    <w:p>
      <w:pPr>
        <w:spacing w:after="0"/>
        <w:rPr>
          <w:sz w:val="21"/>
        </w:rPr>
        <w:sectPr>
          <w:headerReference w:type="default" r:id="rId118"/>
          <w:footerReference w:type="default" r:id="rId119"/>
          <w:pgSz w:w="16840" w:h="11910" w:orient="landscape"/>
          <w:pgMar w:header="730" w:footer="1004" w:top="1180" w:bottom="1200" w:left="900" w:right="860"/>
          <w:pgNumType w:start="135"/>
        </w:sectPr>
      </w:pPr>
    </w:p>
    <w:p>
      <w:pPr>
        <w:pStyle w:val="BodyText"/>
        <w:spacing w:before="4"/>
        <w:ind w:left="0"/>
        <w:rPr>
          <w:rFonts w:ascii="Times New Roman"/>
          <w:b/>
          <w:sz w:val="8"/>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2"/>
        <w:gridCol w:w="3067"/>
        <w:gridCol w:w="984"/>
        <w:gridCol w:w="1228"/>
        <w:gridCol w:w="1310"/>
        <w:gridCol w:w="1051"/>
        <w:gridCol w:w="791"/>
        <w:gridCol w:w="1228"/>
        <w:gridCol w:w="1231"/>
        <w:gridCol w:w="1050"/>
        <w:gridCol w:w="791"/>
        <w:gridCol w:w="1288"/>
      </w:tblGrid>
      <w:tr>
        <w:trPr>
          <w:trHeight w:val="359" w:hRule="atLeast"/>
        </w:trPr>
        <w:tc>
          <w:tcPr>
            <w:tcW w:w="792" w:type="dxa"/>
            <w:vMerge w:val="restart"/>
            <w:tcBorders>
              <w:bottom w:val="single" w:sz="4" w:space="0" w:color="000000"/>
              <w:right w:val="single" w:sz="4" w:space="0" w:color="000000"/>
            </w:tcBorders>
          </w:tcPr>
          <w:p>
            <w:pPr>
              <w:pStyle w:val="TableParagraph"/>
              <w:spacing w:before="0"/>
              <w:jc w:val="left"/>
              <w:rPr>
                <w:b/>
                <w:sz w:val="20"/>
              </w:rPr>
            </w:pPr>
          </w:p>
          <w:p>
            <w:pPr>
              <w:pStyle w:val="TableParagraph"/>
              <w:spacing w:before="178"/>
              <w:ind w:left="184"/>
              <w:jc w:val="left"/>
              <w:rPr>
                <w:rFonts w:ascii="宋体" w:eastAsia="宋体" w:hint="eastAsia"/>
                <w:b/>
                <w:sz w:val="21"/>
              </w:rPr>
            </w:pPr>
            <w:r>
              <w:rPr>
                <w:rFonts w:ascii="宋体" w:eastAsia="宋体" w:hint="eastAsia"/>
                <w:b/>
                <w:sz w:val="21"/>
              </w:rPr>
              <w:t>序号</w:t>
            </w:r>
          </w:p>
        </w:tc>
        <w:tc>
          <w:tcPr>
            <w:tcW w:w="3067" w:type="dxa"/>
            <w:vMerge w:val="restart"/>
            <w:tcBorders>
              <w:left w:val="single" w:sz="4" w:space="0" w:color="000000"/>
              <w:bottom w:val="single" w:sz="4" w:space="0" w:color="000000"/>
              <w:right w:val="single" w:sz="4" w:space="0" w:color="000000"/>
            </w:tcBorders>
          </w:tcPr>
          <w:p>
            <w:pPr>
              <w:pStyle w:val="TableParagraph"/>
              <w:spacing w:before="0"/>
              <w:jc w:val="left"/>
              <w:rPr>
                <w:b/>
                <w:sz w:val="20"/>
              </w:rPr>
            </w:pPr>
          </w:p>
          <w:p>
            <w:pPr>
              <w:pStyle w:val="TableParagraph"/>
              <w:spacing w:before="178"/>
              <w:ind w:left="1015"/>
              <w:jc w:val="left"/>
              <w:rPr>
                <w:rFonts w:ascii="宋体" w:eastAsia="宋体" w:hint="eastAsia"/>
                <w:b/>
                <w:sz w:val="21"/>
              </w:rPr>
            </w:pPr>
            <w:r>
              <w:rPr>
                <w:rFonts w:ascii="宋体" w:eastAsia="宋体" w:hint="eastAsia"/>
                <w:b/>
                <w:sz w:val="21"/>
              </w:rPr>
              <w:t>预测点名称</w:t>
            </w:r>
          </w:p>
        </w:tc>
        <w:tc>
          <w:tcPr>
            <w:tcW w:w="984"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line="319" w:lineRule="auto" w:before="0"/>
              <w:ind w:left="291" w:right="258"/>
              <w:jc w:val="left"/>
              <w:rPr>
                <w:rFonts w:ascii="宋体" w:eastAsia="宋体" w:hint="eastAsia"/>
                <w:b/>
                <w:sz w:val="21"/>
              </w:rPr>
            </w:pPr>
            <w:r>
              <w:rPr>
                <w:rFonts w:ascii="宋体" w:eastAsia="宋体" w:hint="eastAsia"/>
                <w:b/>
                <w:sz w:val="21"/>
              </w:rPr>
              <w:t>浓度类型</w:t>
            </w:r>
          </w:p>
        </w:tc>
        <w:tc>
          <w:tcPr>
            <w:tcW w:w="4380" w:type="dxa"/>
            <w:gridSpan w:val="4"/>
            <w:tcBorders>
              <w:left w:val="single" w:sz="4" w:space="0" w:color="000000"/>
              <w:bottom w:val="single" w:sz="4" w:space="0" w:color="000000"/>
              <w:right w:val="single" w:sz="4" w:space="0" w:color="000000"/>
            </w:tcBorders>
          </w:tcPr>
          <w:p>
            <w:pPr>
              <w:pStyle w:val="TableParagraph"/>
              <w:spacing w:before="44"/>
              <w:ind w:left="1654" w:right="1621"/>
              <w:rPr>
                <w:rFonts w:ascii="宋体" w:eastAsia="宋体" w:hint="eastAsia"/>
                <w:b/>
                <w:sz w:val="21"/>
              </w:rPr>
            </w:pPr>
            <w:r>
              <w:rPr>
                <w:rFonts w:ascii="宋体" w:eastAsia="宋体" w:hint="eastAsia"/>
                <w:b/>
                <w:sz w:val="21"/>
              </w:rPr>
              <w:t>本项目新增</w:t>
            </w:r>
          </w:p>
        </w:tc>
        <w:tc>
          <w:tcPr>
            <w:tcW w:w="4300" w:type="dxa"/>
            <w:gridSpan w:val="4"/>
            <w:tcBorders>
              <w:left w:val="single" w:sz="4" w:space="0" w:color="000000"/>
              <w:bottom w:val="single" w:sz="4" w:space="0" w:color="000000"/>
              <w:right w:val="single" w:sz="4" w:space="0" w:color="000000"/>
            </w:tcBorders>
          </w:tcPr>
          <w:p>
            <w:pPr>
              <w:pStyle w:val="TableParagraph"/>
              <w:spacing w:before="44"/>
              <w:ind w:left="1155"/>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288"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line="319" w:lineRule="auto" w:before="0"/>
              <w:ind w:left="449" w:right="394"/>
              <w:jc w:val="left"/>
              <w:rPr>
                <w:rFonts w:ascii="宋体" w:eastAsia="宋体" w:hint="eastAsia"/>
                <w:b/>
                <w:sz w:val="21"/>
              </w:rPr>
            </w:pPr>
            <w:r>
              <w:rPr>
                <w:rFonts w:ascii="宋体" w:eastAsia="宋体" w:hint="eastAsia"/>
                <w:b/>
                <w:sz w:val="21"/>
              </w:rPr>
              <w:t>评价标准</w:t>
            </w:r>
          </w:p>
        </w:tc>
      </w:tr>
      <w:tr>
        <w:trPr>
          <w:trHeight w:val="717" w:hRule="atLeast"/>
        </w:trPr>
        <w:tc>
          <w:tcPr>
            <w:tcW w:w="792" w:type="dxa"/>
            <w:vMerge/>
            <w:tcBorders>
              <w:top w:val="nil"/>
              <w:bottom w:val="single" w:sz="4" w:space="0" w:color="000000"/>
              <w:right w:val="single" w:sz="4" w:space="0" w:color="000000"/>
            </w:tcBorders>
          </w:tcPr>
          <w:p>
            <w:pPr>
              <w:rPr>
                <w:sz w:val="2"/>
                <w:szCs w:val="2"/>
              </w:rPr>
            </w:pPr>
          </w:p>
        </w:tc>
        <w:tc>
          <w:tcPr>
            <w:tcW w:w="3067" w:type="dxa"/>
            <w:vMerge/>
            <w:tcBorders>
              <w:top w:val="nil"/>
              <w:left w:val="single" w:sz="4" w:space="0" w:color="000000"/>
              <w:bottom w:val="single" w:sz="4" w:space="0" w:color="000000"/>
              <w:right w:val="single" w:sz="4" w:space="0" w:color="000000"/>
            </w:tcBorders>
          </w:tcPr>
          <w:p>
            <w:pPr>
              <w:rPr>
                <w:sz w:val="2"/>
                <w:szCs w:val="2"/>
              </w:rPr>
            </w:pPr>
          </w:p>
        </w:tc>
        <w:tc>
          <w:tcPr>
            <w:tcW w:w="984" w:type="dxa"/>
            <w:vMerge/>
            <w:tcBorders>
              <w:top w:val="nil"/>
              <w:left w:val="single" w:sz="4" w:space="0" w:color="000000"/>
              <w:bottom w:val="single" w:sz="4" w:space="0" w:color="000000"/>
              <w:right w:val="single" w:sz="4" w:space="0" w:color="000000"/>
            </w:tcBorders>
          </w:tcPr>
          <w:p>
            <w:pPr>
              <w:rPr>
                <w:sz w:val="2"/>
                <w:szCs w:val="2"/>
              </w:rPr>
            </w:pP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44"/>
              <w:ind w:left="413"/>
              <w:jc w:val="left"/>
              <w:rPr>
                <w:rFonts w:ascii="宋体" w:eastAsia="宋体" w:hint="eastAsia"/>
                <w:b/>
                <w:sz w:val="21"/>
              </w:rPr>
            </w:pPr>
            <w:r>
              <w:rPr>
                <w:rFonts w:ascii="宋体" w:eastAsia="宋体" w:hint="eastAsia"/>
                <w:b/>
                <w:sz w:val="21"/>
              </w:rPr>
              <w:t>浓度</w:t>
            </w:r>
          </w:p>
          <w:p>
            <w:pPr>
              <w:pStyle w:val="TableParagraph"/>
              <w:spacing w:before="88"/>
              <w:ind w:left="413"/>
              <w:jc w:val="left"/>
              <w:rPr>
                <w:rFonts w:ascii="宋体" w:eastAsia="宋体" w:hint="eastAsia"/>
                <w:b/>
                <w:sz w:val="21"/>
              </w:rPr>
            </w:pPr>
            <w:r>
              <w:rPr>
                <w:rFonts w:ascii="宋体" w:eastAsia="宋体" w:hint="eastAsia"/>
                <w:b/>
                <w:sz w:val="21"/>
              </w:rPr>
              <w:t>增量</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44"/>
              <w:ind w:left="455"/>
              <w:jc w:val="left"/>
              <w:rPr>
                <w:rFonts w:ascii="宋体" w:eastAsia="宋体" w:hint="eastAsia"/>
                <w:b/>
                <w:sz w:val="21"/>
              </w:rPr>
            </w:pPr>
            <w:r>
              <w:rPr>
                <w:rFonts w:ascii="宋体" w:eastAsia="宋体" w:hint="eastAsia"/>
                <w:b/>
                <w:sz w:val="21"/>
              </w:rPr>
              <w:t>出现</w:t>
            </w:r>
          </w:p>
          <w:p>
            <w:pPr>
              <w:pStyle w:val="TableParagraph"/>
              <w:spacing w:before="88"/>
              <w:ind w:left="455"/>
              <w:jc w:val="left"/>
              <w:rPr>
                <w:rFonts w:ascii="宋体" w:eastAsia="宋体" w:hint="eastAsia"/>
                <w:b/>
                <w:sz w:val="21"/>
              </w:rPr>
            </w:pPr>
            <w:r>
              <w:rPr>
                <w:rFonts w:ascii="宋体" w:eastAsia="宋体" w:hint="eastAsia"/>
                <w:b/>
                <w:sz w:val="21"/>
              </w:rPr>
              <w:t>时间</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b/>
                <w:sz w:val="19"/>
              </w:rPr>
            </w:pPr>
          </w:p>
          <w:p>
            <w:pPr>
              <w:pStyle w:val="TableParagraph"/>
              <w:spacing w:before="0"/>
              <w:ind w:left="143" w:right="110"/>
              <w:rPr>
                <w:rFonts w:ascii="宋体" w:eastAsia="宋体" w:hint="eastAsia"/>
                <w:b/>
                <w:sz w:val="21"/>
              </w:rPr>
            </w:pPr>
            <w:r>
              <w:rPr>
                <w:rFonts w:ascii="宋体" w:eastAsia="宋体" w:hint="eastAsia"/>
                <w:b/>
                <w:sz w:val="21"/>
              </w:rPr>
              <w:t>占标率</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9"/>
              <w:jc w:val="left"/>
              <w:rPr>
                <w:rFonts w:ascii="宋体" w:eastAsia="宋体" w:hint="eastAsia"/>
                <w:b/>
                <w:sz w:val="21"/>
              </w:rPr>
            </w:pPr>
            <w:r>
              <w:rPr>
                <w:rFonts w:ascii="宋体" w:eastAsia="宋体" w:hint="eastAsia"/>
                <w:b/>
                <w:sz w:val="21"/>
              </w:rPr>
              <w:t>达标</w:t>
            </w:r>
          </w:p>
          <w:p>
            <w:pPr>
              <w:pStyle w:val="TableParagraph"/>
              <w:spacing w:before="88"/>
              <w:ind w:left="199"/>
              <w:jc w:val="left"/>
              <w:rPr>
                <w:rFonts w:ascii="宋体" w:eastAsia="宋体" w:hint="eastAsia"/>
                <w:b/>
                <w:sz w:val="21"/>
              </w:rPr>
            </w:pPr>
            <w:r>
              <w:rPr>
                <w:rFonts w:ascii="宋体" w:eastAsia="宋体" w:hint="eastAsia"/>
                <w:b/>
                <w:sz w:val="21"/>
              </w:rPr>
              <w:t>情况</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44"/>
              <w:ind w:left="416"/>
              <w:jc w:val="left"/>
              <w:rPr>
                <w:rFonts w:ascii="宋体" w:eastAsia="宋体" w:hint="eastAsia"/>
                <w:b/>
                <w:sz w:val="21"/>
              </w:rPr>
            </w:pPr>
            <w:r>
              <w:rPr>
                <w:rFonts w:ascii="宋体" w:eastAsia="宋体" w:hint="eastAsia"/>
                <w:b/>
                <w:sz w:val="21"/>
              </w:rPr>
              <w:t>背景</w:t>
            </w:r>
          </w:p>
          <w:p>
            <w:pPr>
              <w:pStyle w:val="TableParagraph"/>
              <w:spacing w:before="88"/>
              <w:ind w:left="416"/>
              <w:jc w:val="left"/>
              <w:rPr>
                <w:rFonts w:ascii="宋体" w:eastAsia="宋体" w:hint="eastAsia"/>
                <w:b/>
                <w:sz w:val="21"/>
              </w:rPr>
            </w:pPr>
            <w:r>
              <w:rPr>
                <w:rFonts w:ascii="宋体" w:eastAsia="宋体" w:hint="eastAsia"/>
                <w:b/>
                <w:sz w:val="21"/>
              </w:rPr>
              <w:t>浓度</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44"/>
              <w:ind w:left="419"/>
              <w:jc w:val="left"/>
              <w:rPr>
                <w:rFonts w:ascii="宋体" w:eastAsia="宋体" w:hint="eastAsia"/>
                <w:b/>
                <w:sz w:val="21"/>
              </w:rPr>
            </w:pPr>
            <w:r>
              <w:rPr>
                <w:rFonts w:ascii="宋体" w:eastAsia="宋体" w:hint="eastAsia"/>
                <w:b/>
                <w:sz w:val="21"/>
              </w:rPr>
              <w:t>叠加</w:t>
            </w:r>
          </w:p>
          <w:p>
            <w:pPr>
              <w:pStyle w:val="TableParagraph"/>
              <w:spacing w:before="88"/>
              <w:ind w:left="419"/>
              <w:jc w:val="left"/>
              <w:rPr>
                <w:rFonts w:ascii="宋体" w:eastAsia="宋体" w:hint="eastAsia"/>
                <w:b/>
                <w:sz w:val="21"/>
              </w:rPr>
            </w:pPr>
            <w:r>
              <w:rPr>
                <w:rFonts w:ascii="宋体" w:eastAsia="宋体" w:hint="eastAsia"/>
                <w:b/>
                <w:sz w:val="21"/>
              </w:rPr>
              <w:t>浓度</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44"/>
              <w:ind w:left="223"/>
              <w:jc w:val="left"/>
              <w:rPr>
                <w:rFonts w:ascii="宋体" w:eastAsia="宋体" w:hint="eastAsia"/>
                <w:b/>
                <w:sz w:val="21"/>
              </w:rPr>
            </w:pPr>
            <w:r>
              <w:rPr>
                <w:rFonts w:ascii="宋体" w:eastAsia="宋体" w:hint="eastAsia"/>
                <w:b/>
                <w:sz w:val="21"/>
              </w:rPr>
              <w:t>叠加后</w:t>
            </w:r>
          </w:p>
          <w:p>
            <w:pPr>
              <w:pStyle w:val="TableParagraph"/>
              <w:spacing w:before="88"/>
              <w:ind w:left="223"/>
              <w:jc w:val="left"/>
              <w:rPr>
                <w:rFonts w:ascii="宋体" w:eastAsia="宋体" w:hint="eastAsia"/>
                <w:b/>
                <w:sz w:val="21"/>
              </w:rPr>
            </w:pPr>
            <w:r>
              <w:rPr>
                <w:rFonts w:ascii="宋体" w:eastAsia="宋体" w:hint="eastAsia"/>
                <w:b/>
                <w:sz w:val="21"/>
              </w:rPr>
              <w:t>占标率</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203"/>
              <w:jc w:val="left"/>
              <w:rPr>
                <w:rFonts w:ascii="宋体" w:eastAsia="宋体" w:hint="eastAsia"/>
                <w:b/>
                <w:sz w:val="21"/>
              </w:rPr>
            </w:pPr>
            <w:r>
              <w:rPr>
                <w:rFonts w:ascii="宋体" w:eastAsia="宋体" w:hint="eastAsia"/>
                <w:b/>
                <w:sz w:val="21"/>
              </w:rPr>
              <w:t>达标</w:t>
            </w:r>
          </w:p>
          <w:p>
            <w:pPr>
              <w:pStyle w:val="TableParagraph"/>
              <w:spacing w:before="88"/>
              <w:ind w:left="203"/>
              <w:jc w:val="left"/>
              <w:rPr>
                <w:rFonts w:ascii="宋体" w:eastAsia="宋体" w:hint="eastAsia"/>
                <w:b/>
                <w:sz w:val="21"/>
              </w:rPr>
            </w:pPr>
            <w:r>
              <w:rPr>
                <w:rFonts w:ascii="宋体" w:eastAsia="宋体" w:hint="eastAsia"/>
                <w:b/>
                <w:sz w:val="21"/>
              </w:rPr>
              <w:t>情况</w:t>
            </w:r>
          </w:p>
        </w:tc>
        <w:tc>
          <w:tcPr>
            <w:tcW w:w="1288" w:type="dxa"/>
            <w:vMerge/>
            <w:tcBorders>
              <w:top w:val="nil"/>
              <w:left w:val="single" w:sz="4" w:space="0" w:color="000000"/>
              <w:bottom w:val="single" w:sz="4" w:space="0" w:color="000000"/>
            </w:tcBorders>
          </w:tcPr>
          <w:p>
            <w:pPr>
              <w:rPr>
                <w:sz w:val="2"/>
                <w:szCs w:val="2"/>
              </w:rPr>
            </w:pP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21</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336"/>
              <w:jc w:val="left"/>
              <w:rPr>
                <w:rFonts w:ascii="宋体" w:eastAsia="宋体" w:hint="eastAsia"/>
                <w:sz w:val="21"/>
              </w:rPr>
            </w:pPr>
            <w:r>
              <w:rPr>
                <w:rFonts w:ascii="宋体" w:eastAsia="宋体" w:hint="eastAsia"/>
                <w:sz w:val="21"/>
              </w:rPr>
              <w:t>规划敏感点 </w:t>
            </w:r>
            <w:r>
              <w:rPr>
                <w:sz w:val="21"/>
              </w:rPr>
              <w:t>4</w:t>
            </w:r>
            <w:r>
              <w:rPr>
                <w:rFonts w:ascii="宋体" w:eastAsia="宋体" w:hint="eastAsia"/>
                <w:sz w:val="21"/>
              </w:rPr>
              <w:t>（</w:t>
            </w:r>
            <w:r>
              <w:rPr>
                <w:sz w:val="21"/>
              </w:rPr>
              <w:t>1819,754</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1.40E-02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19090920</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7.01</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9.40E-02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47.01</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89"/>
              <w:jc w:val="left"/>
              <w:rPr>
                <w:sz w:val="21"/>
              </w:rPr>
            </w:pPr>
            <w:r>
              <w:rPr>
                <w:sz w:val="21"/>
              </w:rPr>
              <w:t>22</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6"/>
              <w:ind w:left="280"/>
              <w:jc w:val="left"/>
              <w:rPr>
                <w:rFonts w:ascii="宋体" w:eastAsia="宋体" w:hint="eastAsia"/>
                <w:sz w:val="21"/>
              </w:rPr>
            </w:pPr>
            <w:r>
              <w:rPr>
                <w:rFonts w:ascii="宋体" w:eastAsia="宋体" w:hint="eastAsia"/>
                <w:sz w:val="21"/>
              </w:rPr>
              <w:t>规划敏感点 </w:t>
            </w:r>
            <w:r>
              <w:rPr>
                <w:sz w:val="21"/>
              </w:rPr>
              <w:t>5</w:t>
            </w:r>
            <w:r>
              <w:rPr>
                <w:rFonts w:ascii="宋体" w:eastAsia="宋体" w:hint="eastAsia"/>
                <w:sz w:val="21"/>
              </w:rPr>
              <w:t>（</w:t>
            </w:r>
            <w:r>
              <w:rPr>
                <w:sz w:val="21"/>
              </w:rPr>
              <w:t>1698,1061</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4" w:right="182"/>
              <w:rPr>
                <w:sz w:val="21"/>
              </w:rPr>
            </w:pPr>
            <w:r>
              <w:rPr>
                <w:sz w:val="21"/>
              </w:rPr>
              <w:t>1.52E-02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76"/>
              <w:rPr>
                <w:sz w:val="21"/>
              </w:rPr>
            </w:pPr>
            <w:r>
              <w:rPr>
                <w:sz w:val="21"/>
              </w:rPr>
              <w:t>19090820</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0"/>
              <w:ind w:left="143" w:right="109"/>
              <w:rPr>
                <w:sz w:val="21"/>
              </w:rPr>
            </w:pPr>
            <w:r>
              <w:rPr>
                <w:sz w:val="21"/>
              </w:rPr>
              <w:t>7.62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0"/>
              <w:ind w:left="242"/>
              <w:jc w:val="left"/>
              <w:rPr>
                <w:sz w:val="21"/>
              </w:rPr>
            </w:pPr>
            <w:r>
              <w:rPr>
                <w:sz w:val="21"/>
              </w:rPr>
              <w:t>9.52E-02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0"/>
              <w:ind w:left="231" w:right="190"/>
              <w:rPr>
                <w:sz w:val="21"/>
              </w:rPr>
            </w:pPr>
            <w:r>
              <w:rPr>
                <w:sz w:val="21"/>
              </w:rPr>
              <w:t>47.62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0"/>
              <w:ind w:left="230" w:right="173"/>
              <w:rPr>
                <w:sz w:val="21"/>
              </w:rPr>
            </w:pPr>
            <w:r>
              <w:rPr>
                <w:sz w:val="21"/>
              </w:rPr>
              <w:t>2.00E-01</w:t>
            </w:r>
          </w:p>
        </w:tc>
      </w:tr>
      <w:tr>
        <w:trPr>
          <w:trHeight w:val="360"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23</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5"/>
              <w:ind w:left="280"/>
              <w:jc w:val="left"/>
              <w:rPr>
                <w:rFonts w:ascii="宋体" w:eastAsia="宋体" w:hint="eastAsia"/>
                <w:sz w:val="21"/>
              </w:rPr>
            </w:pPr>
            <w:r>
              <w:rPr>
                <w:rFonts w:ascii="宋体" w:eastAsia="宋体" w:hint="eastAsia"/>
                <w:sz w:val="21"/>
              </w:rPr>
              <w:t>规划敏感点 </w:t>
            </w:r>
            <w:r>
              <w:rPr>
                <w:sz w:val="21"/>
              </w:rPr>
              <w:t>6</w:t>
            </w:r>
            <w:r>
              <w:rPr>
                <w:rFonts w:ascii="宋体" w:eastAsia="宋体" w:hint="eastAsia"/>
                <w:sz w:val="21"/>
              </w:rPr>
              <w:t>（</w:t>
            </w:r>
            <w:r>
              <w:rPr>
                <w:sz w:val="21"/>
              </w:rPr>
              <w:t>1573,1393</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5"/>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1.34E-02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19101001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6.69</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5"/>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9.34E-02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46.69</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5"/>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24</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280"/>
              <w:jc w:val="left"/>
              <w:rPr>
                <w:rFonts w:ascii="宋体" w:eastAsia="宋体" w:hint="eastAsia"/>
                <w:sz w:val="21"/>
              </w:rPr>
            </w:pPr>
            <w:r>
              <w:rPr>
                <w:rFonts w:ascii="宋体" w:eastAsia="宋体" w:hint="eastAsia"/>
                <w:sz w:val="21"/>
              </w:rPr>
              <w:t>规划敏感点 </w:t>
            </w:r>
            <w:r>
              <w:rPr>
                <w:sz w:val="21"/>
              </w:rPr>
              <w:t>7</w:t>
            </w:r>
            <w:r>
              <w:rPr>
                <w:rFonts w:ascii="宋体" w:eastAsia="宋体" w:hint="eastAsia"/>
                <w:sz w:val="21"/>
              </w:rPr>
              <w:t>（</w:t>
            </w:r>
            <w:r>
              <w:rPr>
                <w:sz w:val="21"/>
              </w:rPr>
              <w:t>2059,1095</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1.14E-02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19090820</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5.69</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9.14E-02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45.69</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89"/>
              <w:jc w:val="left"/>
              <w:rPr>
                <w:sz w:val="21"/>
              </w:rPr>
            </w:pPr>
            <w:r>
              <w:rPr>
                <w:sz w:val="21"/>
              </w:rPr>
              <w:t>25</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6"/>
              <w:ind w:left="280"/>
              <w:jc w:val="left"/>
              <w:rPr>
                <w:rFonts w:ascii="宋体" w:eastAsia="宋体" w:hint="eastAsia"/>
                <w:sz w:val="21"/>
              </w:rPr>
            </w:pPr>
            <w:r>
              <w:rPr>
                <w:rFonts w:ascii="宋体" w:eastAsia="宋体" w:hint="eastAsia"/>
                <w:sz w:val="21"/>
              </w:rPr>
              <w:t>规划敏感点 </w:t>
            </w:r>
            <w:r>
              <w:rPr>
                <w:sz w:val="21"/>
              </w:rPr>
              <w:t>8</w:t>
            </w:r>
            <w:r>
              <w:rPr>
                <w:rFonts w:ascii="宋体" w:eastAsia="宋体" w:hint="eastAsia"/>
                <w:sz w:val="21"/>
              </w:rPr>
              <w:t>（</w:t>
            </w:r>
            <w:r>
              <w:rPr>
                <w:sz w:val="21"/>
              </w:rPr>
              <w:t>1977,1422</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4" w:right="182"/>
              <w:rPr>
                <w:sz w:val="21"/>
              </w:rPr>
            </w:pPr>
            <w:r>
              <w:rPr>
                <w:sz w:val="21"/>
              </w:rPr>
              <w:t>1.15E-02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76"/>
              <w:rPr>
                <w:sz w:val="21"/>
              </w:rPr>
            </w:pPr>
            <w:r>
              <w:rPr>
                <w:sz w:val="21"/>
              </w:rPr>
              <w:t>19101022</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0"/>
              <w:ind w:left="143" w:right="109"/>
              <w:rPr>
                <w:sz w:val="21"/>
              </w:rPr>
            </w:pPr>
            <w:r>
              <w:rPr>
                <w:sz w:val="21"/>
              </w:rPr>
              <w:t>5.77</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0"/>
              <w:ind w:left="242"/>
              <w:jc w:val="left"/>
              <w:rPr>
                <w:sz w:val="21"/>
              </w:rPr>
            </w:pPr>
            <w:r>
              <w:rPr>
                <w:sz w:val="21"/>
              </w:rPr>
              <w:t>9.15E-02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0"/>
              <w:ind w:left="231" w:right="190"/>
              <w:rPr>
                <w:sz w:val="21"/>
              </w:rPr>
            </w:pPr>
            <w:r>
              <w:rPr>
                <w:sz w:val="21"/>
              </w:rPr>
              <w:t>45.77</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0"/>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26</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285"/>
              <w:jc w:val="left"/>
              <w:rPr>
                <w:rFonts w:ascii="宋体" w:eastAsia="宋体" w:hint="eastAsia"/>
                <w:sz w:val="21"/>
              </w:rPr>
            </w:pPr>
            <w:r>
              <w:rPr>
                <w:rFonts w:ascii="宋体" w:eastAsia="宋体" w:hint="eastAsia"/>
                <w:sz w:val="21"/>
              </w:rPr>
              <w:t>规划敏感点 </w:t>
            </w:r>
            <w:r>
              <w:rPr>
                <w:sz w:val="21"/>
              </w:rPr>
              <w:t>9</w:t>
            </w:r>
            <w:r>
              <w:rPr>
                <w:rFonts w:ascii="宋体" w:eastAsia="宋体" w:hint="eastAsia"/>
                <w:sz w:val="21"/>
              </w:rPr>
              <w:t>（</w:t>
            </w:r>
            <w:r>
              <w:rPr>
                <w:sz w:val="21"/>
              </w:rPr>
              <w:t>1126,2099</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1.14E-02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8"/>
              <w:rPr>
                <w:sz w:val="21"/>
              </w:rPr>
            </w:pPr>
            <w:r>
              <w:rPr>
                <w:sz w:val="21"/>
              </w:rPr>
              <w:t>19071121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5.70</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9.14E-02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45.70</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27</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232"/>
              <w:jc w:val="left"/>
              <w:rPr>
                <w:rFonts w:ascii="宋体" w:eastAsia="宋体" w:hint="eastAsia"/>
                <w:sz w:val="21"/>
              </w:rPr>
            </w:pPr>
            <w:r>
              <w:rPr>
                <w:rFonts w:ascii="宋体" w:eastAsia="宋体" w:hint="eastAsia"/>
                <w:sz w:val="21"/>
              </w:rPr>
              <w:t>规划敏感点 </w:t>
            </w:r>
            <w:r>
              <w:rPr>
                <w:sz w:val="21"/>
              </w:rPr>
              <w:t>10</w:t>
            </w:r>
            <w:r>
              <w:rPr>
                <w:rFonts w:ascii="宋体" w:eastAsia="宋体" w:hint="eastAsia"/>
                <w:sz w:val="21"/>
              </w:rPr>
              <w:t>（</w:t>
            </w:r>
            <w:r>
              <w:rPr>
                <w:sz w:val="21"/>
              </w:rPr>
              <w:t>1162,2463</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9.24E-03</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19102021</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4.62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8.92E-02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44.62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89"/>
              <w:jc w:val="left"/>
              <w:rPr>
                <w:sz w:val="21"/>
              </w:rPr>
            </w:pPr>
            <w:r>
              <w:rPr>
                <w:sz w:val="21"/>
              </w:rPr>
              <w:t>28</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6"/>
              <w:ind w:left="338"/>
              <w:jc w:val="left"/>
              <w:rPr>
                <w:rFonts w:ascii="宋体" w:eastAsia="宋体" w:hint="eastAsia"/>
                <w:sz w:val="21"/>
              </w:rPr>
            </w:pPr>
            <w:r>
              <w:rPr>
                <w:rFonts w:ascii="宋体" w:eastAsia="宋体" w:hint="eastAsia"/>
                <w:sz w:val="21"/>
              </w:rPr>
              <w:t>规划敏感点 </w:t>
            </w:r>
            <w:r>
              <w:rPr>
                <w:sz w:val="21"/>
              </w:rPr>
              <w:t>11</w:t>
            </w:r>
            <w:r>
              <w:rPr>
                <w:rFonts w:ascii="宋体" w:eastAsia="宋体" w:hint="eastAsia"/>
                <w:sz w:val="21"/>
              </w:rPr>
              <w:t>（</w:t>
            </w:r>
            <w:r>
              <w:rPr>
                <w:sz w:val="21"/>
              </w:rPr>
              <w:t>33,2313</w:t>
            </w:r>
            <w:r>
              <w:rPr>
                <w:rFonts w:ascii="宋体" w:eastAsia="宋体" w:hint="eastAsia"/>
                <w:sz w:val="21"/>
              </w:rPr>
              <w:t>）</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6"/>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4" w:right="182"/>
              <w:rPr>
                <w:sz w:val="21"/>
              </w:rPr>
            </w:pPr>
            <w:r>
              <w:rPr>
                <w:sz w:val="21"/>
              </w:rPr>
              <w:t>1.34E-02</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spacing w:before="60"/>
              <w:ind w:left="111" w:right="76"/>
              <w:rPr>
                <w:sz w:val="21"/>
              </w:rPr>
            </w:pPr>
            <w:r>
              <w:rPr>
                <w:sz w:val="21"/>
              </w:rPr>
              <w:t>19061523</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spacing w:before="60"/>
              <w:ind w:left="143" w:right="109"/>
              <w:rPr>
                <w:sz w:val="21"/>
              </w:rPr>
            </w:pPr>
            <w:r>
              <w:rPr>
                <w:sz w:val="21"/>
              </w:rPr>
              <w:t>6.72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spacing w:before="60"/>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spacing w:before="60"/>
              <w:ind w:left="242"/>
              <w:jc w:val="left"/>
              <w:rPr>
                <w:sz w:val="21"/>
              </w:rPr>
            </w:pPr>
            <w:r>
              <w:rPr>
                <w:sz w:val="21"/>
              </w:rPr>
              <w:t>9.34E-02</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spacing w:before="60"/>
              <w:ind w:left="231" w:right="190"/>
              <w:rPr>
                <w:sz w:val="21"/>
              </w:rPr>
            </w:pPr>
            <w:r>
              <w:rPr>
                <w:sz w:val="21"/>
              </w:rPr>
              <w:t>46.72</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6"/>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bottom w:val="single" w:sz="4" w:space="0" w:color="000000"/>
            </w:tcBorders>
          </w:tcPr>
          <w:p>
            <w:pPr>
              <w:pStyle w:val="TableParagraph"/>
              <w:spacing w:before="60"/>
              <w:ind w:left="230" w:right="173"/>
              <w:rPr>
                <w:sz w:val="21"/>
              </w:rPr>
            </w:pPr>
            <w:r>
              <w:rPr>
                <w:sz w:val="21"/>
              </w:rPr>
              <w:t>2.00E-01</w:t>
            </w:r>
          </w:p>
        </w:tc>
      </w:tr>
      <w:tr>
        <w:trPr>
          <w:trHeight w:val="360"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29</w:t>
            </w:r>
          </w:p>
        </w:tc>
        <w:tc>
          <w:tcPr>
            <w:tcW w:w="3067" w:type="dxa"/>
            <w:tcBorders>
              <w:top w:val="single" w:sz="4" w:space="0" w:color="000000"/>
              <w:left w:val="single" w:sz="4" w:space="0" w:color="000000"/>
              <w:bottom w:val="single" w:sz="4" w:space="0" w:color="000000"/>
              <w:right w:val="single" w:sz="4" w:space="0" w:color="000000"/>
            </w:tcBorders>
          </w:tcPr>
          <w:p>
            <w:pPr>
              <w:pStyle w:val="TableParagraph"/>
              <w:spacing w:before="44"/>
              <w:ind w:left="799"/>
              <w:jc w:val="left"/>
              <w:rPr>
                <w:rFonts w:ascii="宋体" w:eastAsia="宋体" w:hint="eastAsia"/>
                <w:sz w:val="21"/>
              </w:rPr>
            </w:pPr>
            <w:r>
              <w:rPr>
                <w:rFonts w:ascii="宋体" w:eastAsia="宋体" w:hint="eastAsia"/>
                <w:sz w:val="21"/>
              </w:rPr>
              <w:t>网格（</w:t>
            </w:r>
            <w:r>
              <w:rPr>
                <w:sz w:val="21"/>
              </w:rPr>
              <w:t>-50,150</w:t>
            </w:r>
            <w:r>
              <w:rPr>
                <w:rFonts w:ascii="宋体" w:eastAsia="宋体" w:hint="eastAsia"/>
                <w:sz w:val="21"/>
              </w:rPr>
              <w:t>） </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4" w:right="182"/>
              <w:rPr>
                <w:sz w:val="21"/>
              </w:rPr>
            </w:pPr>
            <w:r>
              <w:rPr>
                <w:sz w:val="21"/>
              </w:rPr>
              <w:t>3.66E-01</w:t>
            </w:r>
          </w:p>
        </w:tc>
        <w:tc>
          <w:tcPr>
            <w:tcW w:w="1310" w:type="dxa"/>
            <w:tcBorders>
              <w:top w:val="single" w:sz="4" w:space="0" w:color="000000"/>
              <w:left w:val="single" w:sz="4" w:space="0" w:color="000000"/>
              <w:bottom w:val="single" w:sz="4" w:space="0" w:color="000000"/>
              <w:right w:val="single" w:sz="4" w:space="0" w:color="000000"/>
            </w:tcBorders>
          </w:tcPr>
          <w:p>
            <w:pPr>
              <w:pStyle w:val="TableParagraph"/>
              <w:ind w:left="111" w:right="76"/>
              <w:rPr>
                <w:sz w:val="21"/>
              </w:rPr>
            </w:pPr>
            <w:r>
              <w:rPr>
                <w:sz w:val="21"/>
              </w:rPr>
              <w:t>19100224</w:t>
            </w:r>
          </w:p>
        </w:tc>
        <w:tc>
          <w:tcPr>
            <w:tcW w:w="1051" w:type="dxa"/>
            <w:tcBorders>
              <w:top w:val="single" w:sz="4" w:space="0" w:color="000000"/>
              <w:left w:val="single" w:sz="4" w:space="0" w:color="000000"/>
              <w:bottom w:val="single" w:sz="4" w:space="0" w:color="000000"/>
              <w:right w:val="single" w:sz="4" w:space="0" w:color="000000"/>
            </w:tcBorders>
          </w:tcPr>
          <w:p>
            <w:pPr>
              <w:pStyle w:val="TableParagraph"/>
              <w:ind w:left="143" w:right="109"/>
              <w:rPr>
                <w:sz w:val="21"/>
              </w:rPr>
            </w:pPr>
            <w:r>
              <w:rPr>
                <w:sz w:val="21"/>
              </w:rPr>
              <w:t>182.87</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超标</w:t>
            </w:r>
          </w:p>
        </w:tc>
        <w:tc>
          <w:tcPr>
            <w:tcW w:w="1228" w:type="dxa"/>
            <w:tcBorders>
              <w:top w:val="single" w:sz="4" w:space="0" w:color="000000"/>
              <w:left w:val="single" w:sz="4" w:space="0" w:color="000000"/>
              <w:bottom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bottom w:val="single" w:sz="4" w:space="0" w:color="000000"/>
              <w:right w:val="single" w:sz="4" w:space="0" w:color="000000"/>
            </w:tcBorders>
          </w:tcPr>
          <w:p>
            <w:pPr>
              <w:pStyle w:val="TableParagraph"/>
              <w:ind w:left="242"/>
              <w:jc w:val="left"/>
              <w:rPr>
                <w:sz w:val="21"/>
              </w:rPr>
            </w:pPr>
            <w:r>
              <w:rPr>
                <w:sz w:val="21"/>
              </w:rPr>
              <w:t>4.46E-01</w:t>
            </w:r>
          </w:p>
        </w:tc>
        <w:tc>
          <w:tcPr>
            <w:tcW w:w="1050" w:type="dxa"/>
            <w:tcBorders>
              <w:top w:val="single" w:sz="4" w:space="0" w:color="000000"/>
              <w:left w:val="single" w:sz="4" w:space="0" w:color="000000"/>
              <w:bottom w:val="single" w:sz="4" w:space="0" w:color="000000"/>
              <w:right w:val="single" w:sz="4" w:space="0" w:color="000000"/>
            </w:tcBorders>
          </w:tcPr>
          <w:p>
            <w:pPr>
              <w:pStyle w:val="TableParagraph"/>
              <w:ind w:left="231" w:right="190"/>
              <w:rPr>
                <w:sz w:val="21"/>
              </w:rPr>
            </w:pPr>
            <w:r>
              <w:rPr>
                <w:sz w:val="21"/>
              </w:rPr>
              <w:t>222.87</w:t>
            </w:r>
          </w:p>
        </w:tc>
        <w:tc>
          <w:tcPr>
            <w:tcW w:w="791" w:type="dxa"/>
            <w:tcBorders>
              <w:top w:val="single" w:sz="4" w:space="0" w:color="000000"/>
              <w:left w:val="single" w:sz="4" w:space="0" w:color="000000"/>
              <w:bottom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超标</w:t>
            </w:r>
          </w:p>
        </w:tc>
        <w:tc>
          <w:tcPr>
            <w:tcW w:w="1288" w:type="dxa"/>
            <w:tcBorders>
              <w:top w:val="single" w:sz="4" w:space="0" w:color="000000"/>
              <w:left w:val="single" w:sz="4" w:space="0" w:color="000000"/>
              <w:bottom w:val="single" w:sz="4" w:space="0" w:color="000000"/>
            </w:tcBorders>
          </w:tcPr>
          <w:p>
            <w:pPr>
              <w:pStyle w:val="TableParagraph"/>
              <w:ind w:left="230" w:right="173"/>
              <w:rPr>
                <w:sz w:val="21"/>
              </w:rPr>
            </w:pPr>
            <w:r>
              <w:rPr>
                <w:sz w:val="21"/>
              </w:rPr>
              <w:t>2.00E-01</w:t>
            </w:r>
          </w:p>
        </w:tc>
      </w:tr>
      <w:tr>
        <w:trPr>
          <w:trHeight w:val="359" w:hRule="atLeast"/>
        </w:trPr>
        <w:tc>
          <w:tcPr>
            <w:tcW w:w="792" w:type="dxa"/>
            <w:tcBorders>
              <w:top w:val="single" w:sz="4" w:space="0" w:color="000000"/>
              <w:right w:val="single" w:sz="4" w:space="0" w:color="000000"/>
            </w:tcBorders>
          </w:tcPr>
          <w:p>
            <w:pPr>
              <w:pStyle w:val="TableParagraph"/>
              <w:ind w:left="289"/>
              <w:jc w:val="left"/>
              <w:rPr>
                <w:sz w:val="21"/>
              </w:rPr>
            </w:pPr>
            <w:r>
              <w:rPr>
                <w:sz w:val="21"/>
              </w:rPr>
              <w:t>30</w:t>
            </w:r>
          </w:p>
        </w:tc>
        <w:tc>
          <w:tcPr>
            <w:tcW w:w="3067" w:type="dxa"/>
            <w:tcBorders>
              <w:top w:val="single" w:sz="4" w:space="0" w:color="000000"/>
              <w:left w:val="single" w:sz="4" w:space="0" w:color="000000"/>
              <w:right w:val="single" w:sz="4" w:space="0" w:color="000000"/>
            </w:tcBorders>
          </w:tcPr>
          <w:p>
            <w:pPr>
              <w:pStyle w:val="TableParagraph"/>
              <w:spacing w:before="44"/>
              <w:ind w:left="799"/>
              <w:jc w:val="left"/>
              <w:rPr>
                <w:rFonts w:ascii="宋体" w:eastAsia="宋体" w:hint="eastAsia"/>
                <w:sz w:val="21"/>
              </w:rPr>
            </w:pPr>
            <w:r>
              <w:rPr>
                <w:rFonts w:ascii="宋体" w:eastAsia="宋体" w:hint="eastAsia"/>
                <w:sz w:val="21"/>
              </w:rPr>
              <w:t>厂界（</w:t>
            </w:r>
            <w:r>
              <w:rPr>
                <w:sz w:val="21"/>
              </w:rPr>
              <w:t>-83,140</w:t>
            </w:r>
            <w:r>
              <w:rPr>
                <w:rFonts w:ascii="宋体" w:eastAsia="宋体" w:hint="eastAsia"/>
                <w:sz w:val="21"/>
              </w:rPr>
              <w:t>） </w:t>
            </w:r>
          </w:p>
        </w:tc>
        <w:tc>
          <w:tcPr>
            <w:tcW w:w="984" w:type="dxa"/>
            <w:tcBorders>
              <w:top w:val="single" w:sz="4" w:space="0" w:color="000000"/>
              <w:left w:val="single" w:sz="4" w:space="0" w:color="000000"/>
              <w:right w:val="single" w:sz="4" w:space="0" w:color="000000"/>
            </w:tcBorders>
          </w:tcPr>
          <w:p>
            <w:pPr>
              <w:pStyle w:val="TableParagraph"/>
              <w:spacing w:before="44"/>
              <w:ind w:right="180"/>
              <w:jc w:val="right"/>
              <w:rPr>
                <w:rFonts w:ascii="宋体" w:eastAsia="宋体" w:hint="eastAsia"/>
                <w:sz w:val="21"/>
              </w:rPr>
            </w:pPr>
            <w:r>
              <w:rPr>
                <w:sz w:val="21"/>
              </w:rPr>
              <w:t>1 </w:t>
            </w:r>
            <w:r>
              <w:rPr>
                <w:rFonts w:ascii="宋体" w:eastAsia="宋体" w:hint="eastAsia"/>
                <w:sz w:val="21"/>
              </w:rPr>
              <w:t>小时</w:t>
            </w:r>
          </w:p>
        </w:tc>
        <w:tc>
          <w:tcPr>
            <w:tcW w:w="1228" w:type="dxa"/>
            <w:tcBorders>
              <w:top w:val="single" w:sz="4" w:space="0" w:color="000000"/>
              <w:left w:val="single" w:sz="4" w:space="0" w:color="000000"/>
              <w:right w:val="single" w:sz="4" w:space="0" w:color="000000"/>
            </w:tcBorders>
          </w:tcPr>
          <w:p>
            <w:pPr>
              <w:pStyle w:val="TableParagraph"/>
              <w:ind w:left="214" w:right="182"/>
              <w:rPr>
                <w:sz w:val="21"/>
              </w:rPr>
            </w:pPr>
            <w:r>
              <w:rPr>
                <w:sz w:val="21"/>
              </w:rPr>
              <w:t>8.34E-01</w:t>
            </w:r>
          </w:p>
        </w:tc>
        <w:tc>
          <w:tcPr>
            <w:tcW w:w="1310" w:type="dxa"/>
            <w:tcBorders>
              <w:top w:val="single" w:sz="4" w:space="0" w:color="000000"/>
              <w:left w:val="single" w:sz="4" w:space="0" w:color="000000"/>
              <w:right w:val="single" w:sz="4" w:space="0" w:color="000000"/>
            </w:tcBorders>
          </w:tcPr>
          <w:p>
            <w:pPr>
              <w:pStyle w:val="TableParagraph"/>
              <w:ind w:left="111" w:right="76"/>
              <w:rPr>
                <w:sz w:val="21"/>
              </w:rPr>
            </w:pPr>
            <w:r>
              <w:rPr>
                <w:sz w:val="21"/>
              </w:rPr>
              <w:t>19060922</w:t>
            </w:r>
          </w:p>
        </w:tc>
        <w:tc>
          <w:tcPr>
            <w:tcW w:w="1051" w:type="dxa"/>
            <w:tcBorders>
              <w:top w:val="single" w:sz="4" w:space="0" w:color="000000"/>
              <w:left w:val="single" w:sz="4" w:space="0" w:color="000000"/>
              <w:right w:val="single" w:sz="4" w:space="0" w:color="000000"/>
            </w:tcBorders>
          </w:tcPr>
          <w:p>
            <w:pPr>
              <w:pStyle w:val="TableParagraph"/>
              <w:ind w:left="143" w:right="109"/>
              <w:rPr>
                <w:sz w:val="21"/>
              </w:rPr>
            </w:pPr>
            <w:r>
              <w:rPr>
                <w:sz w:val="21"/>
              </w:rPr>
              <w:t>55.60</w:t>
            </w:r>
          </w:p>
        </w:tc>
        <w:tc>
          <w:tcPr>
            <w:tcW w:w="791" w:type="dxa"/>
            <w:tcBorders>
              <w:top w:val="single" w:sz="4" w:space="0" w:color="000000"/>
              <w:left w:val="single" w:sz="4" w:space="0" w:color="000000"/>
              <w:right w:val="single" w:sz="4" w:space="0" w:color="000000"/>
            </w:tcBorders>
          </w:tcPr>
          <w:p>
            <w:pPr>
              <w:pStyle w:val="TableParagraph"/>
              <w:spacing w:before="44"/>
              <w:ind w:right="158"/>
              <w:jc w:val="righ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right w:val="single" w:sz="4" w:space="0" w:color="000000"/>
            </w:tcBorders>
          </w:tcPr>
          <w:p>
            <w:pPr>
              <w:pStyle w:val="TableParagraph"/>
              <w:ind w:left="217" w:right="180"/>
              <w:rPr>
                <w:sz w:val="21"/>
              </w:rPr>
            </w:pPr>
            <w:r>
              <w:rPr>
                <w:sz w:val="21"/>
              </w:rPr>
              <w:t>8.00E-02</w:t>
            </w:r>
          </w:p>
        </w:tc>
        <w:tc>
          <w:tcPr>
            <w:tcW w:w="1231" w:type="dxa"/>
            <w:tcBorders>
              <w:top w:val="single" w:sz="4" w:space="0" w:color="000000"/>
              <w:left w:val="single" w:sz="4" w:space="0" w:color="000000"/>
              <w:right w:val="single" w:sz="4" w:space="0" w:color="000000"/>
            </w:tcBorders>
          </w:tcPr>
          <w:p>
            <w:pPr>
              <w:pStyle w:val="TableParagraph"/>
              <w:ind w:left="242"/>
              <w:jc w:val="left"/>
              <w:rPr>
                <w:sz w:val="21"/>
              </w:rPr>
            </w:pPr>
            <w:r>
              <w:rPr>
                <w:sz w:val="21"/>
              </w:rPr>
              <w:t>9.14E-01</w:t>
            </w:r>
          </w:p>
        </w:tc>
        <w:tc>
          <w:tcPr>
            <w:tcW w:w="1050" w:type="dxa"/>
            <w:tcBorders>
              <w:top w:val="single" w:sz="4" w:space="0" w:color="000000"/>
              <w:left w:val="single" w:sz="4" w:space="0" w:color="000000"/>
              <w:right w:val="single" w:sz="4" w:space="0" w:color="000000"/>
            </w:tcBorders>
          </w:tcPr>
          <w:p>
            <w:pPr>
              <w:pStyle w:val="TableParagraph"/>
              <w:ind w:left="231" w:right="190"/>
              <w:rPr>
                <w:sz w:val="21"/>
              </w:rPr>
            </w:pPr>
            <w:r>
              <w:rPr>
                <w:sz w:val="21"/>
              </w:rPr>
              <w:t>60.93</w:t>
            </w:r>
          </w:p>
        </w:tc>
        <w:tc>
          <w:tcPr>
            <w:tcW w:w="791" w:type="dxa"/>
            <w:tcBorders>
              <w:top w:val="single" w:sz="4" w:space="0" w:color="000000"/>
              <w:left w:val="single" w:sz="4" w:space="0" w:color="000000"/>
              <w:right w:val="single" w:sz="4" w:space="0" w:color="000000"/>
            </w:tcBorders>
          </w:tcPr>
          <w:p>
            <w:pPr>
              <w:pStyle w:val="TableParagraph"/>
              <w:spacing w:before="44"/>
              <w:ind w:left="149" w:right="101"/>
              <w:rPr>
                <w:rFonts w:ascii="宋体" w:eastAsia="宋体" w:hint="eastAsia"/>
                <w:sz w:val="21"/>
              </w:rPr>
            </w:pPr>
            <w:r>
              <w:rPr>
                <w:rFonts w:ascii="宋体" w:eastAsia="宋体" w:hint="eastAsia"/>
                <w:sz w:val="21"/>
              </w:rPr>
              <w:t>达标</w:t>
            </w:r>
          </w:p>
        </w:tc>
        <w:tc>
          <w:tcPr>
            <w:tcW w:w="1288" w:type="dxa"/>
            <w:tcBorders>
              <w:top w:val="single" w:sz="4" w:space="0" w:color="000000"/>
              <w:left w:val="single" w:sz="4" w:space="0" w:color="000000"/>
            </w:tcBorders>
          </w:tcPr>
          <w:p>
            <w:pPr>
              <w:pStyle w:val="TableParagraph"/>
              <w:ind w:left="230" w:right="173"/>
              <w:rPr>
                <w:sz w:val="21"/>
              </w:rPr>
            </w:pPr>
            <w:r>
              <w:rPr>
                <w:sz w:val="21"/>
              </w:rPr>
              <w:t>1.50E+00</w:t>
            </w:r>
          </w:p>
        </w:tc>
      </w:tr>
    </w:tbl>
    <w:p>
      <w:pPr>
        <w:spacing w:before="45"/>
        <w:ind w:left="652" w:right="0" w:firstLine="0"/>
        <w:jc w:val="left"/>
        <w:rPr>
          <w:sz w:val="21"/>
        </w:rPr>
      </w:pPr>
      <w:r>
        <w:rPr>
          <w:sz w:val="21"/>
        </w:rPr>
        <w:t>注：参照坐标（</w:t>
      </w:r>
      <w:r>
        <w:rPr>
          <w:rFonts w:ascii="Times New Roman" w:eastAsia="Times New Roman"/>
          <w:sz w:val="21"/>
        </w:rPr>
        <w:t>0,0</w:t>
      </w:r>
      <w:r>
        <w:rPr>
          <w:sz w:val="21"/>
        </w:rPr>
        <w:t>）为本项目厂区中心点，下同。</w:t>
      </w:r>
    </w:p>
    <w:p>
      <w:pPr>
        <w:spacing w:after="0"/>
        <w:jc w:val="left"/>
        <w:rPr>
          <w:sz w:val="21"/>
        </w:rPr>
        <w:sectPr>
          <w:pgSz w:w="16840" w:h="11910" w:orient="landscape"/>
          <w:pgMar w:header="730" w:footer="1004" w:top="1180" w:bottom="1200" w:left="900" w:right="860"/>
        </w:sectPr>
      </w:pPr>
    </w:p>
    <w:p>
      <w:pPr>
        <w:spacing w:before="56" w:after="18"/>
        <w:ind w:left="513" w:right="587"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100"/>
        <w:rPr>
          <w:sz w:val="2"/>
        </w:rPr>
      </w:pPr>
      <w:r>
        <w:rPr>
          <w:sz w:val="2"/>
        </w:rPr>
        <w:pict>
          <v:group style="width:463.7pt;height:.75pt;mso-position-horizontal-relative:char;mso-position-vertical-relative:line" coordorigin="0,0" coordsize="9274,15">
            <v:line style="position:absolute" from="0,7" to="9273,7" stroked="true" strokeweight=".72pt" strokecolor="#000000">
              <v:stroke dashstyle="solid"/>
            </v:line>
          </v:group>
        </w:pict>
      </w:r>
      <w:r>
        <w:rPr>
          <w:sz w:val="2"/>
        </w:rPr>
      </w:r>
    </w:p>
    <w:p>
      <w:pPr>
        <w:pStyle w:val="BodyText"/>
        <w:spacing w:before="4"/>
        <w:ind w:left="0"/>
        <w:rPr>
          <w:sz w:val="25"/>
        </w:rPr>
      </w:pPr>
    </w:p>
    <w:p>
      <w:pPr>
        <w:spacing w:before="73"/>
        <w:ind w:left="617" w:right="0" w:firstLine="0"/>
        <w:jc w:val="left"/>
        <w:rPr>
          <w:rFonts w:ascii="Times New Roman" w:hAnsi="Times New Roman"/>
          <w:sz w:val="24"/>
        </w:rPr>
      </w:pPr>
      <w:r>
        <w:rPr>
          <w:position w:val="2"/>
          <w:sz w:val="24"/>
        </w:rPr>
        <w:t>②</w:t>
      </w:r>
      <w:r>
        <w:rPr>
          <w:rFonts w:ascii="Times New Roman" w:hAnsi="Times New Roman"/>
          <w:position w:val="2"/>
          <w:sz w:val="24"/>
        </w:rPr>
        <w:t>H</w:t>
      </w:r>
      <w:r>
        <w:rPr>
          <w:rFonts w:ascii="Times New Roman" w:hAnsi="Times New Roman"/>
          <w:sz w:val="16"/>
        </w:rPr>
        <w:t>2</w:t>
      </w:r>
      <w:r>
        <w:rPr>
          <w:rFonts w:ascii="Times New Roman" w:hAnsi="Times New Roman"/>
          <w:position w:val="2"/>
          <w:sz w:val="24"/>
        </w:rPr>
        <w:t>S</w:t>
      </w:r>
    </w:p>
    <w:p>
      <w:pPr>
        <w:pStyle w:val="BodyText"/>
        <w:spacing w:line="364" w:lineRule="auto" w:before="161"/>
        <w:ind w:left="617" w:right="212"/>
      </w:pPr>
      <w:r>
        <w:rPr>
          <w:spacing w:val="-5"/>
          <w:position w:val="2"/>
        </w:rPr>
        <w:t>正常工况下，项目实施后 </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7"/>
          <w:position w:val="2"/>
        </w:rPr>
        <w:t>排放的预测结果见表 </w:t>
      </w:r>
      <w:r>
        <w:rPr>
          <w:rFonts w:ascii="Times New Roman" w:eastAsia="Times New Roman"/>
          <w:position w:val="2"/>
        </w:rPr>
        <w:t>5.2-21 </w:t>
      </w:r>
      <w:r>
        <w:rPr>
          <w:spacing w:val="-20"/>
          <w:position w:val="2"/>
        </w:rPr>
        <w:t>及图 </w:t>
      </w:r>
      <w:r>
        <w:rPr>
          <w:rFonts w:ascii="Times New Roman" w:eastAsia="Times New Roman"/>
          <w:position w:val="2"/>
        </w:rPr>
        <w:t>5.2-11~</w:t>
      </w:r>
      <w:r>
        <w:rPr>
          <w:spacing w:val="-30"/>
          <w:position w:val="2"/>
        </w:rPr>
        <w:t>图 </w:t>
      </w:r>
      <w:r>
        <w:rPr>
          <w:rFonts w:ascii="Times New Roman" w:eastAsia="Times New Roman"/>
          <w:position w:val="2"/>
        </w:rPr>
        <w:t>5.2-12</w:t>
      </w:r>
      <w:r>
        <w:rPr>
          <w:position w:val="2"/>
        </w:rPr>
        <w:t>。由</w:t>
      </w:r>
      <w:r>
        <w:rPr>
          <w:spacing w:val="-2"/>
          <w:position w:val="2"/>
        </w:rPr>
        <w:t>预测结果可知，正常工况下，项目实施后 </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2"/>
          <w:position w:val="2"/>
        </w:rPr>
        <w:t>排放的小时浓度贡献值的最大浓度</w:t>
      </w:r>
    </w:p>
    <w:p>
      <w:pPr>
        <w:pStyle w:val="BodyText"/>
        <w:spacing w:line="364" w:lineRule="auto" w:before="2"/>
        <w:ind w:left="137" w:right="40"/>
      </w:pPr>
      <w:r>
        <w:rPr/>
        <w:drawing>
          <wp:anchor distT="0" distB="0" distL="0" distR="0" allowOverlap="1" layoutInCell="1" locked="0" behindDoc="1" simplePos="0" relativeHeight="187924480">
            <wp:simplePos x="0" y="0"/>
            <wp:positionH relativeFrom="page">
              <wp:posOffset>2154554</wp:posOffset>
            </wp:positionH>
            <wp:positionV relativeFrom="paragraph">
              <wp:posOffset>1141729</wp:posOffset>
            </wp:positionV>
            <wp:extent cx="3152774" cy="3152774"/>
            <wp:effectExtent l="0" t="0" r="0" b="0"/>
            <wp:wrapNone/>
            <wp:docPr id="31" name="image70.jpeg"/>
            <wp:cNvGraphicFramePr>
              <a:graphicFrameLocks noChangeAspect="1"/>
            </wp:cNvGraphicFramePr>
            <a:graphic>
              <a:graphicData uri="http://schemas.openxmlformats.org/drawingml/2006/picture">
                <pic:pic>
                  <pic:nvPicPr>
                    <pic:cNvPr id="32" name="image70.jpeg"/>
                    <pic:cNvPicPr/>
                  </pic:nvPicPr>
                  <pic:blipFill>
                    <a:blip r:embed="rId122" cstate="print"/>
                    <a:stretch>
                      <a:fillRect/>
                    </a:stretch>
                  </pic:blipFill>
                  <pic:spPr>
                    <a:xfrm>
                      <a:off x="0" y="0"/>
                      <a:ext cx="3152774" cy="3152774"/>
                    </a:xfrm>
                    <a:prstGeom prst="rect">
                      <a:avLst/>
                    </a:prstGeom>
                  </pic:spPr>
                </pic:pic>
              </a:graphicData>
            </a:graphic>
          </wp:anchor>
        </w:drawing>
      </w:r>
      <w:r>
        <w:rPr/>
        <w:t>占标率为 </w:t>
      </w:r>
      <w:r>
        <w:rPr>
          <w:rFonts w:ascii="Times New Roman" w:eastAsia="Times New Roman"/>
        </w:rPr>
        <w:t>166.55%</w:t>
      </w:r>
      <w:r>
        <w:rPr/>
        <w:t>（＞</w:t>
      </w:r>
      <w:r>
        <w:rPr>
          <w:rFonts w:ascii="Times New Roman" w:eastAsia="Times New Roman"/>
        </w:rPr>
        <w:t>100%</w:t>
      </w:r>
      <w:r>
        <w:rPr/>
        <w:t>）；叠加区域削减污染源、其他在建拟建项目污染源及背景浓度后小时浓度贡献值的最大浓度占标率为 </w:t>
      </w:r>
      <w:r>
        <w:rPr>
          <w:rFonts w:ascii="Times New Roman" w:eastAsia="Times New Roman"/>
        </w:rPr>
        <w:t>206.55%</w:t>
      </w:r>
      <w:r>
        <w:rPr/>
        <w:t>，超过了相应的环境质量标准要求。</w:t>
      </w:r>
      <w:r>
        <w:rPr>
          <w:position w:val="2"/>
        </w:rPr>
        <w:t>说明本项目实施后 </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position w:val="2"/>
        </w:rPr>
        <w:t>正常排放对周围环境有一定影响，需要设置大气环境防护距离， </w:t>
      </w:r>
      <w:r>
        <w:rPr/>
        <w:t>并确保防护距离外的预测浓度能够达标。</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7"/>
        <w:ind w:left="0"/>
        <w:rPr>
          <w:sz w:val="25"/>
        </w:rPr>
      </w:pPr>
    </w:p>
    <w:p>
      <w:pPr>
        <w:pStyle w:val="Heading3"/>
        <w:spacing w:before="0"/>
        <w:ind w:left="513" w:right="587"/>
        <w:jc w:val="center"/>
      </w:pPr>
      <w:r>
        <w:rPr/>
        <w:drawing>
          <wp:anchor distT="0" distB="0" distL="0" distR="0" allowOverlap="1" layoutInCell="1" locked="0" behindDoc="0" simplePos="0" relativeHeight="202">
            <wp:simplePos x="0" y="0"/>
            <wp:positionH relativeFrom="page">
              <wp:posOffset>2154554</wp:posOffset>
            </wp:positionH>
            <wp:positionV relativeFrom="paragraph">
              <wp:posOffset>214172</wp:posOffset>
            </wp:positionV>
            <wp:extent cx="3172587" cy="3172587"/>
            <wp:effectExtent l="0" t="0" r="0" b="0"/>
            <wp:wrapTopAndBottom/>
            <wp:docPr id="33" name="image71.jpeg"/>
            <wp:cNvGraphicFramePr>
              <a:graphicFrameLocks noChangeAspect="1"/>
            </wp:cNvGraphicFramePr>
            <a:graphic>
              <a:graphicData uri="http://schemas.openxmlformats.org/drawingml/2006/picture">
                <pic:pic>
                  <pic:nvPicPr>
                    <pic:cNvPr id="34" name="image71.jpeg"/>
                    <pic:cNvPicPr/>
                  </pic:nvPicPr>
                  <pic:blipFill>
                    <a:blip r:embed="rId123" cstate="print"/>
                    <a:stretch>
                      <a:fillRect/>
                    </a:stretch>
                  </pic:blipFill>
                  <pic:spPr>
                    <a:xfrm>
                      <a:off x="0" y="0"/>
                      <a:ext cx="3172587" cy="3172587"/>
                    </a:xfrm>
                    <a:prstGeom prst="rect">
                      <a:avLst/>
                    </a:prstGeom>
                  </pic:spPr>
                </pic:pic>
              </a:graphicData>
            </a:graphic>
          </wp:anchor>
        </w:drawing>
      </w:r>
      <w:r>
        <w:rPr>
          <w:position w:val="1"/>
        </w:rPr>
        <w:t>图 </w:t>
      </w:r>
      <w:r>
        <w:rPr>
          <w:rFonts w:ascii="Times New Roman" w:eastAsia="Times New Roman"/>
          <w:position w:val="1"/>
        </w:rPr>
        <w:t>5.2-11 </w:t>
      </w:r>
      <w:r>
        <w:rPr>
          <w:position w:val="1"/>
        </w:rPr>
        <w:t>正常工况下 </w:t>
      </w:r>
      <w:r>
        <w:rPr>
          <w:rFonts w:ascii="Times New Roman" w:eastAsia="Times New Roman"/>
          <w:position w:val="1"/>
        </w:rPr>
        <w:t>H</w:t>
      </w:r>
      <w:r>
        <w:rPr>
          <w:rFonts w:ascii="Times New Roman" w:eastAsia="Times New Roman"/>
          <w:sz w:val="16"/>
        </w:rPr>
        <w:t>2</w:t>
      </w:r>
      <w:r>
        <w:rPr>
          <w:rFonts w:ascii="Times New Roman" w:eastAsia="Times New Roman"/>
          <w:position w:val="1"/>
        </w:rPr>
        <w:t>S </w:t>
      </w:r>
      <w:r>
        <w:rPr>
          <w:position w:val="1"/>
        </w:rPr>
        <w:t>小时浓度预测结果（</w:t>
      </w:r>
      <w:r>
        <w:rPr>
          <w:rFonts w:ascii="Times New Roman" w:eastAsia="Times New Roman"/>
          <w:position w:val="1"/>
        </w:rPr>
        <w:t>19110803</w:t>
      </w:r>
      <w:r>
        <w:rPr>
          <w:position w:val="1"/>
        </w:rPr>
        <w:t>，敏感点最大）</w:t>
      </w:r>
    </w:p>
    <w:p>
      <w:pPr>
        <w:spacing w:before="0"/>
        <w:ind w:left="513" w:right="590" w:firstLine="0"/>
        <w:jc w:val="center"/>
        <w:rPr>
          <w:b/>
          <w:sz w:val="24"/>
        </w:rPr>
      </w:pPr>
      <w:r>
        <w:rPr>
          <w:b/>
          <w:position w:val="1"/>
          <w:sz w:val="24"/>
        </w:rPr>
        <w:t>图 </w:t>
      </w:r>
      <w:r>
        <w:rPr>
          <w:rFonts w:ascii="Times New Roman" w:eastAsia="Times New Roman"/>
          <w:b/>
          <w:position w:val="1"/>
          <w:sz w:val="24"/>
        </w:rPr>
        <w:t>5.2-12  </w:t>
      </w:r>
      <w:r>
        <w:rPr>
          <w:b/>
          <w:position w:val="1"/>
          <w:sz w:val="24"/>
        </w:rPr>
        <w:t>正常工况下 </w:t>
      </w:r>
      <w:r>
        <w:rPr>
          <w:rFonts w:ascii="Times New Roman" w:eastAsia="Times New Roman"/>
          <w:b/>
          <w:position w:val="1"/>
          <w:sz w:val="24"/>
        </w:rPr>
        <w:t>H</w:t>
      </w:r>
      <w:r>
        <w:rPr>
          <w:rFonts w:ascii="Times New Roman" w:eastAsia="Times New Roman"/>
          <w:b/>
          <w:sz w:val="16"/>
        </w:rPr>
        <w:t>2</w:t>
      </w:r>
      <w:r>
        <w:rPr>
          <w:rFonts w:ascii="Times New Roman" w:eastAsia="Times New Roman"/>
          <w:b/>
          <w:position w:val="1"/>
          <w:sz w:val="24"/>
        </w:rPr>
        <w:t>S </w:t>
      </w:r>
      <w:r>
        <w:rPr>
          <w:b/>
          <w:position w:val="1"/>
          <w:sz w:val="24"/>
        </w:rPr>
        <w:t>小时浓度预测结果（</w:t>
      </w:r>
      <w:r>
        <w:rPr>
          <w:rFonts w:ascii="Times New Roman" w:eastAsia="Times New Roman"/>
          <w:b/>
          <w:position w:val="1"/>
          <w:sz w:val="24"/>
        </w:rPr>
        <w:t>19090920</w:t>
      </w:r>
      <w:r>
        <w:rPr>
          <w:b/>
          <w:position w:val="1"/>
          <w:sz w:val="24"/>
        </w:rPr>
        <w:t>，最大落地浓度最大）</w:t>
      </w:r>
    </w:p>
    <w:p>
      <w:pPr>
        <w:spacing w:after="0"/>
        <w:jc w:val="center"/>
        <w:rPr>
          <w:sz w:val="24"/>
        </w:rPr>
        <w:sectPr>
          <w:headerReference w:type="default" r:id="rId120"/>
          <w:footerReference w:type="default" r:id="rId121"/>
          <w:pgSz w:w="11910" w:h="16840"/>
          <w:pgMar w:header="0" w:footer="1004" w:top="780" w:bottom="1200" w:left="1140" w:right="1200"/>
        </w:sectPr>
      </w:pPr>
    </w:p>
    <w:p>
      <w:pPr>
        <w:pStyle w:val="BodyText"/>
        <w:spacing w:before="1"/>
        <w:ind w:left="0"/>
        <w:rPr>
          <w:b/>
          <w:sz w:val="8"/>
        </w:rPr>
      </w:pPr>
    </w:p>
    <w:p>
      <w:pPr>
        <w:spacing w:before="74"/>
        <w:ind w:left="3927" w:right="3933" w:firstLine="0"/>
        <w:jc w:val="center"/>
        <w:rPr>
          <w:rFonts w:ascii="Times New Roman" w:hAnsi="Times New Roman" w:eastAsia="Times New Roman"/>
          <w:b/>
          <w:sz w:val="24"/>
        </w:rPr>
      </w:pPr>
      <w:r>
        <w:rPr>
          <w:b/>
          <w:position w:val="1"/>
          <w:sz w:val="24"/>
        </w:rPr>
        <w:t>表 </w:t>
      </w:r>
      <w:r>
        <w:rPr>
          <w:rFonts w:ascii="Times New Roman" w:hAnsi="Times New Roman" w:eastAsia="Times New Roman"/>
          <w:b/>
          <w:position w:val="1"/>
          <w:sz w:val="24"/>
        </w:rPr>
        <w:t>5.2-21  </w:t>
      </w:r>
      <w:r>
        <w:rPr>
          <w:b/>
          <w:position w:val="1"/>
          <w:sz w:val="24"/>
        </w:rPr>
        <w:t>项目 </w:t>
      </w:r>
      <w:r>
        <w:rPr>
          <w:rFonts w:ascii="Times New Roman" w:hAnsi="Times New Roman" w:eastAsia="Times New Roman"/>
          <w:b/>
          <w:position w:val="1"/>
          <w:sz w:val="24"/>
        </w:rPr>
        <w:t>H</w:t>
      </w:r>
      <w:r>
        <w:rPr>
          <w:rFonts w:ascii="Times New Roman" w:hAnsi="Times New Roman" w:eastAsia="Times New Roman"/>
          <w:b/>
          <w:sz w:val="16"/>
        </w:rPr>
        <w:t>2</w:t>
      </w:r>
      <w:r>
        <w:rPr>
          <w:rFonts w:ascii="Times New Roman" w:hAnsi="Times New Roman" w:eastAsia="Times New Roman"/>
          <w:b/>
          <w:position w:val="1"/>
          <w:sz w:val="24"/>
        </w:rPr>
        <w:t>S </w:t>
      </w:r>
      <w:r>
        <w:rPr>
          <w:b/>
          <w:position w:val="1"/>
          <w:sz w:val="24"/>
        </w:rPr>
        <w:t>排放的预测结果 单位：浓度 </w:t>
      </w:r>
      <w:r>
        <w:rPr>
          <w:rFonts w:ascii="Times New Roman" w:hAnsi="Times New Roman" w:eastAsia="Times New Roman"/>
          <w:b/>
          <w:position w:val="1"/>
          <w:sz w:val="24"/>
        </w:rPr>
        <w:t>mg/m³</w:t>
      </w:r>
      <w:r>
        <w:rPr>
          <w:b/>
          <w:position w:val="1"/>
          <w:sz w:val="24"/>
        </w:rPr>
        <w:t>、占标率</w:t>
      </w:r>
      <w:r>
        <w:rPr>
          <w:rFonts w:ascii="Times New Roman" w:hAnsi="Times New Roman" w:eastAsia="Times New Roman"/>
          <w:b/>
          <w:position w:val="1"/>
          <w:sz w:val="24"/>
        </w:rPr>
        <w:t>%</w:t>
      </w:r>
    </w:p>
    <w:p>
      <w:pPr>
        <w:pStyle w:val="BodyText"/>
        <w:spacing w:before="10"/>
        <w:ind w:left="0"/>
        <w:rPr>
          <w:rFonts w:ascii="Times New Roman"/>
          <w:b/>
          <w:sz w:val="6"/>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2"/>
        <w:gridCol w:w="3079"/>
        <w:gridCol w:w="992"/>
        <w:gridCol w:w="1236"/>
        <w:gridCol w:w="1315"/>
        <w:gridCol w:w="1059"/>
        <w:gridCol w:w="795"/>
        <w:gridCol w:w="1237"/>
        <w:gridCol w:w="1238"/>
        <w:gridCol w:w="1060"/>
        <w:gridCol w:w="796"/>
        <w:gridCol w:w="1228"/>
      </w:tblGrid>
      <w:tr>
        <w:trPr>
          <w:trHeight w:val="359" w:hRule="atLeast"/>
        </w:trPr>
        <w:tc>
          <w:tcPr>
            <w:tcW w:w="792" w:type="dxa"/>
            <w:vMerge w:val="restart"/>
            <w:tcBorders>
              <w:bottom w:val="single" w:sz="4" w:space="0" w:color="000000"/>
              <w:right w:val="single" w:sz="4" w:space="0" w:color="000000"/>
            </w:tcBorders>
          </w:tcPr>
          <w:p>
            <w:pPr>
              <w:pStyle w:val="TableParagraph"/>
              <w:spacing w:before="0"/>
              <w:jc w:val="left"/>
              <w:rPr>
                <w:b/>
                <w:sz w:val="20"/>
              </w:rPr>
            </w:pPr>
          </w:p>
          <w:p>
            <w:pPr>
              <w:pStyle w:val="TableParagraph"/>
              <w:spacing w:before="178"/>
              <w:ind w:left="184"/>
              <w:jc w:val="left"/>
              <w:rPr>
                <w:rFonts w:ascii="宋体" w:eastAsia="宋体" w:hint="eastAsia"/>
                <w:b/>
                <w:sz w:val="21"/>
              </w:rPr>
            </w:pPr>
            <w:r>
              <w:rPr>
                <w:rFonts w:ascii="宋体" w:eastAsia="宋体" w:hint="eastAsia"/>
                <w:b/>
                <w:sz w:val="21"/>
              </w:rPr>
              <w:t>序号</w:t>
            </w:r>
          </w:p>
        </w:tc>
        <w:tc>
          <w:tcPr>
            <w:tcW w:w="3079" w:type="dxa"/>
            <w:vMerge w:val="restart"/>
            <w:tcBorders>
              <w:left w:val="single" w:sz="4" w:space="0" w:color="000000"/>
              <w:bottom w:val="single" w:sz="4" w:space="0" w:color="000000"/>
              <w:right w:val="single" w:sz="4" w:space="0" w:color="000000"/>
            </w:tcBorders>
          </w:tcPr>
          <w:p>
            <w:pPr>
              <w:pStyle w:val="TableParagraph"/>
              <w:spacing w:before="0"/>
              <w:jc w:val="left"/>
              <w:rPr>
                <w:b/>
                <w:sz w:val="20"/>
              </w:rPr>
            </w:pPr>
          </w:p>
          <w:p>
            <w:pPr>
              <w:pStyle w:val="TableParagraph"/>
              <w:spacing w:before="178"/>
              <w:ind w:left="1025"/>
              <w:jc w:val="left"/>
              <w:rPr>
                <w:rFonts w:ascii="宋体" w:eastAsia="宋体" w:hint="eastAsia"/>
                <w:b/>
                <w:sz w:val="21"/>
              </w:rPr>
            </w:pPr>
            <w:r>
              <w:rPr>
                <w:rFonts w:ascii="宋体" w:eastAsia="宋体" w:hint="eastAsia"/>
                <w:b/>
                <w:sz w:val="21"/>
              </w:rPr>
              <w:t>预测点名称</w:t>
            </w:r>
          </w:p>
        </w:tc>
        <w:tc>
          <w:tcPr>
            <w:tcW w:w="992"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line="319" w:lineRule="auto" w:before="0"/>
              <w:ind w:left="296" w:right="261"/>
              <w:jc w:val="left"/>
              <w:rPr>
                <w:rFonts w:ascii="宋体" w:eastAsia="宋体" w:hint="eastAsia"/>
                <w:b/>
                <w:sz w:val="21"/>
              </w:rPr>
            </w:pPr>
            <w:r>
              <w:rPr>
                <w:rFonts w:ascii="宋体" w:eastAsia="宋体" w:hint="eastAsia"/>
                <w:b/>
                <w:sz w:val="21"/>
              </w:rPr>
              <w:t>浓度类型</w:t>
            </w:r>
          </w:p>
        </w:tc>
        <w:tc>
          <w:tcPr>
            <w:tcW w:w="4405" w:type="dxa"/>
            <w:gridSpan w:val="4"/>
            <w:tcBorders>
              <w:left w:val="single" w:sz="4" w:space="0" w:color="000000"/>
              <w:bottom w:val="single" w:sz="4" w:space="0" w:color="000000"/>
              <w:right w:val="single" w:sz="4" w:space="0" w:color="000000"/>
            </w:tcBorders>
          </w:tcPr>
          <w:p>
            <w:pPr>
              <w:pStyle w:val="TableParagraph"/>
              <w:spacing w:before="44"/>
              <w:ind w:left="1665" w:right="1634"/>
              <w:rPr>
                <w:rFonts w:ascii="宋体" w:eastAsia="宋体" w:hint="eastAsia"/>
                <w:b/>
                <w:sz w:val="21"/>
              </w:rPr>
            </w:pPr>
            <w:r>
              <w:rPr>
                <w:rFonts w:ascii="宋体" w:eastAsia="宋体" w:hint="eastAsia"/>
                <w:b/>
                <w:sz w:val="21"/>
              </w:rPr>
              <w:t>本项目新增</w:t>
            </w:r>
          </w:p>
        </w:tc>
        <w:tc>
          <w:tcPr>
            <w:tcW w:w="4331" w:type="dxa"/>
            <w:gridSpan w:val="4"/>
            <w:tcBorders>
              <w:left w:val="single" w:sz="4" w:space="0" w:color="000000"/>
              <w:bottom w:val="single" w:sz="4" w:space="0" w:color="000000"/>
              <w:right w:val="single" w:sz="4" w:space="0" w:color="000000"/>
            </w:tcBorders>
          </w:tcPr>
          <w:p>
            <w:pPr>
              <w:pStyle w:val="TableParagraph"/>
              <w:spacing w:before="44"/>
              <w:ind w:left="1161"/>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228"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line="319" w:lineRule="auto" w:before="0"/>
              <w:ind w:left="404" w:right="379"/>
              <w:jc w:val="left"/>
              <w:rPr>
                <w:rFonts w:ascii="宋体" w:eastAsia="宋体" w:hint="eastAsia"/>
                <w:b/>
                <w:sz w:val="21"/>
              </w:rPr>
            </w:pPr>
            <w:r>
              <w:rPr>
                <w:rFonts w:ascii="宋体" w:eastAsia="宋体" w:hint="eastAsia"/>
                <w:b/>
                <w:sz w:val="21"/>
              </w:rPr>
              <w:t>评价标准</w:t>
            </w:r>
          </w:p>
        </w:tc>
      </w:tr>
      <w:tr>
        <w:trPr>
          <w:trHeight w:val="717" w:hRule="atLeast"/>
        </w:trPr>
        <w:tc>
          <w:tcPr>
            <w:tcW w:w="792" w:type="dxa"/>
            <w:vMerge/>
            <w:tcBorders>
              <w:top w:val="nil"/>
              <w:bottom w:val="single" w:sz="4" w:space="0" w:color="000000"/>
              <w:right w:val="single" w:sz="4" w:space="0" w:color="000000"/>
            </w:tcBorders>
          </w:tcPr>
          <w:p>
            <w:pPr>
              <w:rPr>
                <w:sz w:val="2"/>
                <w:szCs w:val="2"/>
              </w:rPr>
            </w:pPr>
          </w:p>
        </w:tc>
        <w:tc>
          <w:tcPr>
            <w:tcW w:w="3079" w:type="dxa"/>
            <w:vMerge/>
            <w:tcBorders>
              <w:top w:val="nil"/>
              <w:left w:val="single" w:sz="4" w:space="0" w:color="000000"/>
              <w:bottom w:val="single" w:sz="4" w:space="0" w:color="000000"/>
              <w:right w:val="single" w:sz="4" w:space="0" w:color="000000"/>
            </w:tcBorders>
          </w:tcPr>
          <w:p>
            <w:pPr>
              <w:rPr>
                <w:sz w:val="2"/>
                <w:szCs w:val="2"/>
              </w:rPr>
            </w:pPr>
          </w:p>
        </w:tc>
        <w:tc>
          <w:tcPr>
            <w:tcW w:w="992" w:type="dxa"/>
            <w:vMerge/>
            <w:tcBorders>
              <w:top w:val="nil"/>
              <w:left w:val="single" w:sz="4" w:space="0" w:color="000000"/>
              <w:bottom w:val="single" w:sz="4" w:space="0" w:color="000000"/>
              <w:right w:val="single" w:sz="4" w:space="0" w:color="000000"/>
            </w:tcBorders>
          </w:tcPr>
          <w:p>
            <w:pPr>
              <w:rPr>
                <w:sz w:val="2"/>
                <w:szCs w:val="2"/>
              </w:rPr>
            </w:pP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44"/>
              <w:ind w:left="415"/>
              <w:jc w:val="left"/>
              <w:rPr>
                <w:rFonts w:ascii="宋体" w:eastAsia="宋体" w:hint="eastAsia"/>
                <w:b/>
                <w:sz w:val="21"/>
              </w:rPr>
            </w:pPr>
            <w:r>
              <w:rPr>
                <w:rFonts w:ascii="宋体" w:eastAsia="宋体" w:hint="eastAsia"/>
                <w:b/>
                <w:sz w:val="21"/>
              </w:rPr>
              <w:t>浓度</w:t>
            </w:r>
          </w:p>
          <w:p>
            <w:pPr>
              <w:pStyle w:val="TableParagraph"/>
              <w:spacing w:before="88"/>
              <w:ind w:left="415"/>
              <w:jc w:val="left"/>
              <w:rPr>
                <w:rFonts w:ascii="宋体" w:eastAsia="宋体" w:hint="eastAsia"/>
                <w:b/>
                <w:sz w:val="21"/>
              </w:rPr>
            </w:pPr>
            <w:r>
              <w:rPr>
                <w:rFonts w:ascii="宋体" w:eastAsia="宋体" w:hint="eastAsia"/>
                <w:b/>
                <w:sz w:val="21"/>
              </w:rPr>
              <w:t>增量</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44"/>
              <w:ind w:left="456"/>
              <w:jc w:val="left"/>
              <w:rPr>
                <w:rFonts w:ascii="宋体" w:eastAsia="宋体" w:hint="eastAsia"/>
                <w:b/>
                <w:sz w:val="21"/>
              </w:rPr>
            </w:pPr>
            <w:r>
              <w:rPr>
                <w:rFonts w:ascii="宋体" w:eastAsia="宋体" w:hint="eastAsia"/>
                <w:b/>
                <w:sz w:val="21"/>
              </w:rPr>
              <w:t>出现</w:t>
            </w:r>
          </w:p>
          <w:p>
            <w:pPr>
              <w:pStyle w:val="TableParagraph"/>
              <w:spacing w:before="88"/>
              <w:ind w:left="456"/>
              <w:jc w:val="left"/>
              <w:rPr>
                <w:rFonts w:ascii="宋体" w:eastAsia="宋体" w:hint="eastAsia"/>
                <w:b/>
                <w:sz w:val="21"/>
              </w:rPr>
            </w:pPr>
            <w:r>
              <w:rPr>
                <w:rFonts w:ascii="宋体" w:eastAsia="宋体" w:hint="eastAsia"/>
                <w:b/>
                <w:sz w:val="21"/>
              </w:rPr>
              <w:t>时间</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b/>
                <w:sz w:val="19"/>
              </w:rPr>
            </w:pPr>
          </w:p>
          <w:p>
            <w:pPr>
              <w:pStyle w:val="TableParagraph"/>
              <w:spacing w:before="0"/>
              <w:ind w:left="204" w:right="172"/>
              <w:rPr>
                <w:rFonts w:ascii="宋体" w:eastAsia="宋体" w:hint="eastAsia"/>
                <w:b/>
                <w:sz w:val="21"/>
              </w:rPr>
            </w:pPr>
            <w:r>
              <w:rPr>
                <w:rFonts w:ascii="宋体" w:eastAsia="宋体" w:hint="eastAsia"/>
                <w:b/>
                <w:sz w:val="21"/>
              </w:rPr>
              <w:t>占标率</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4"/>
              <w:jc w:val="left"/>
              <w:rPr>
                <w:rFonts w:ascii="宋体" w:eastAsia="宋体" w:hint="eastAsia"/>
                <w:b/>
                <w:sz w:val="21"/>
              </w:rPr>
            </w:pPr>
            <w:r>
              <w:rPr>
                <w:rFonts w:ascii="宋体" w:eastAsia="宋体" w:hint="eastAsia"/>
                <w:b/>
                <w:sz w:val="21"/>
              </w:rPr>
              <w:t>达标</w:t>
            </w:r>
          </w:p>
          <w:p>
            <w:pPr>
              <w:pStyle w:val="TableParagraph"/>
              <w:spacing w:before="88"/>
              <w:ind w:left="194"/>
              <w:jc w:val="left"/>
              <w:rPr>
                <w:rFonts w:ascii="宋体" w:eastAsia="宋体" w:hint="eastAsia"/>
                <w:b/>
                <w:sz w:val="21"/>
              </w:rPr>
            </w:pPr>
            <w:r>
              <w:rPr>
                <w:rFonts w:ascii="宋体" w:eastAsia="宋体" w:hint="eastAsia"/>
                <w:b/>
                <w:sz w:val="21"/>
              </w:rPr>
              <w:t>情况</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44"/>
              <w:ind w:left="414"/>
              <w:jc w:val="left"/>
              <w:rPr>
                <w:rFonts w:ascii="宋体" w:eastAsia="宋体" w:hint="eastAsia"/>
                <w:b/>
                <w:sz w:val="21"/>
              </w:rPr>
            </w:pPr>
            <w:r>
              <w:rPr>
                <w:rFonts w:ascii="宋体" w:eastAsia="宋体" w:hint="eastAsia"/>
                <w:b/>
                <w:sz w:val="21"/>
              </w:rPr>
              <w:t>背景</w:t>
            </w:r>
          </w:p>
          <w:p>
            <w:pPr>
              <w:pStyle w:val="TableParagraph"/>
              <w:spacing w:before="88"/>
              <w:ind w:left="414"/>
              <w:jc w:val="left"/>
              <w:rPr>
                <w:rFonts w:ascii="宋体" w:eastAsia="宋体" w:hint="eastAsia"/>
                <w:b/>
                <w:sz w:val="21"/>
              </w:rPr>
            </w:pPr>
            <w:r>
              <w:rPr>
                <w:rFonts w:ascii="宋体" w:eastAsia="宋体" w:hint="eastAsia"/>
                <w:b/>
                <w:sz w:val="21"/>
              </w:rPr>
              <w:t>浓度</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44"/>
              <w:ind w:left="413"/>
              <w:jc w:val="left"/>
              <w:rPr>
                <w:rFonts w:ascii="宋体" w:eastAsia="宋体" w:hint="eastAsia"/>
                <w:b/>
                <w:sz w:val="21"/>
              </w:rPr>
            </w:pPr>
            <w:r>
              <w:rPr>
                <w:rFonts w:ascii="宋体" w:eastAsia="宋体" w:hint="eastAsia"/>
                <w:b/>
                <w:sz w:val="21"/>
              </w:rPr>
              <w:t>叠加</w:t>
            </w:r>
          </w:p>
          <w:p>
            <w:pPr>
              <w:pStyle w:val="TableParagraph"/>
              <w:spacing w:before="88"/>
              <w:ind w:left="413"/>
              <w:jc w:val="left"/>
              <w:rPr>
                <w:rFonts w:ascii="宋体" w:eastAsia="宋体" w:hint="eastAsia"/>
                <w:b/>
                <w:sz w:val="21"/>
              </w:rPr>
            </w:pPr>
            <w:r>
              <w:rPr>
                <w:rFonts w:ascii="宋体" w:eastAsia="宋体" w:hint="eastAsia"/>
                <w:b/>
                <w:sz w:val="21"/>
              </w:rPr>
              <w:t>浓度</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44"/>
              <w:ind w:left="217"/>
              <w:jc w:val="left"/>
              <w:rPr>
                <w:rFonts w:ascii="宋体" w:eastAsia="宋体" w:hint="eastAsia"/>
                <w:b/>
                <w:sz w:val="21"/>
              </w:rPr>
            </w:pPr>
            <w:r>
              <w:rPr>
                <w:rFonts w:ascii="宋体" w:eastAsia="宋体" w:hint="eastAsia"/>
                <w:b/>
                <w:sz w:val="21"/>
              </w:rPr>
              <w:t>叠加后</w:t>
            </w:r>
          </w:p>
          <w:p>
            <w:pPr>
              <w:pStyle w:val="TableParagraph"/>
              <w:spacing w:before="88"/>
              <w:ind w:left="217"/>
              <w:jc w:val="left"/>
              <w:rPr>
                <w:rFonts w:ascii="宋体" w:eastAsia="宋体" w:hint="eastAsia"/>
                <w:b/>
                <w:sz w:val="21"/>
              </w:rPr>
            </w:pPr>
            <w:r>
              <w:rPr>
                <w:rFonts w:ascii="宋体" w:eastAsia="宋体" w:hint="eastAsia"/>
                <w:b/>
                <w:sz w:val="21"/>
              </w:rPr>
              <w:t>占标率</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89"/>
              <w:jc w:val="left"/>
              <w:rPr>
                <w:rFonts w:ascii="宋体" w:eastAsia="宋体" w:hint="eastAsia"/>
                <w:b/>
                <w:sz w:val="21"/>
              </w:rPr>
            </w:pPr>
            <w:r>
              <w:rPr>
                <w:rFonts w:ascii="宋体" w:eastAsia="宋体" w:hint="eastAsia"/>
                <w:b/>
                <w:sz w:val="21"/>
              </w:rPr>
              <w:t>达标</w:t>
            </w:r>
          </w:p>
          <w:p>
            <w:pPr>
              <w:pStyle w:val="TableParagraph"/>
              <w:spacing w:before="88"/>
              <w:ind w:left="189"/>
              <w:jc w:val="left"/>
              <w:rPr>
                <w:rFonts w:ascii="宋体" w:eastAsia="宋体" w:hint="eastAsia"/>
                <w:b/>
                <w:sz w:val="21"/>
              </w:rPr>
            </w:pPr>
            <w:r>
              <w:rPr>
                <w:rFonts w:ascii="宋体" w:eastAsia="宋体" w:hint="eastAsia"/>
                <w:b/>
                <w:sz w:val="21"/>
              </w:rPr>
              <w:t>情况</w:t>
            </w:r>
          </w:p>
        </w:tc>
        <w:tc>
          <w:tcPr>
            <w:tcW w:w="1228" w:type="dxa"/>
            <w:vMerge/>
            <w:tcBorders>
              <w:top w:val="nil"/>
              <w:left w:val="single" w:sz="4" w:space="0" w:color="000000"/>
              <w:bottom w:val="single" w:sz="4" w:space="0" w:color="000000"/>
            </w:tcBorders>
          </w:tcPr>
          <w:p>
            <w:pPr>
              <w:rPr>
                <w:sz w:val="2"/>
                <w:szCs w:val="2"/>
              </w:rPr>
            </w:pP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1</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5"/>
              <w:rPr>
                <w:rFonts w:ascii="宋体" w:eastAsia="宋体" w:hint="eastAsia"/>
                <w:sz w:val="21"/>
              </w:rPr>
            </w:pPr>
            <w:r>
              <w:rPr>
                <w:rFonts w:ascii="宋体" w:eastAsia="宋体" w:hint="eastAsia"/>
                <w:sz w:val="21"/>
              </w:rPr>
              <w:t>丰一（</w:t>
            </w:r>
            <w:r>
              <w:rPr>
                <w:sz w:val="21"/>
              </w:rPr>
              <w:t>797,894</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2.77E-03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19070422</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27.69</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6.77E-03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67.69</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60" w:hRule="atLeast"/>
        </w:trPr>
        <w:tc>
          <w:tcPr>
            <w:tcW w:w="792" w:type="dxa"/>
            <w:tcBorders>
              <w:top w:val="single" w:sz="4" w:space="0" w:color="000000"/>
              <w:bottom w:val="single" w:sz="4" w:space="0" w:color="000000"/>
              <w:right w:val="single" w:sz="4" w:space="0" w:color="000000"/>
            </w:tcBorders>
          </w:tcPr>
          <w:p>
            <w:pPr>
              <w:pStyle w:val="TableParagraph"/>
              <w:spacing w:before="61"/>
              <w:ind w:left="18"/>
              <w:rPr>
                <w:sz w:val="21"/>
              </w:rPr>
            </w:pPr>
            <w:r>
              <w:rPr>
                <w:w w:val="100"/>
                <w:sz w:val="21"/>
              </w:rPr>
              <w:t>2</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7"/>
              <w:ind w:left="192" w:right="55"/>
              <w:rPr>
                <w:rFonts w:ascii="宋体" w:eastAsia="宋体" w:hint="eastAsia"/>
                <w:sz w:val="21"/>
              </w:rPr>
            </w:pPr>
            <w:r>
              <w:rPr>
                <w:rFonts w:ascii="宋体" w:eastAsia="宋体" w:hint="eastAsia"/>
                <w:sz w:val="21"/>
              </w:rPr>
              <w:t>丰二（</w:t>
            </w:r>
            <w:r>
              <w:rPr>
                <w:sz w:val="21"/>
              </w:rPr>
              <w:t>897,1268</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7"/>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1"/>
              <w:ind w:left="240"/>
              <w:jc w:val="left"/>
              <w:rPr>
                <w:sz w:val="21"/>
              </w:rPr>
            </w:pPr>
            <w:r>
              <w:rPr>
                <w:sz w:val="21"/>
              </w:rPr>
              <w:t>2.09E-03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1"/>
              <w:ind w:left="225" w:right="196"/>
              <w:rPr>
                <w:sz w:val="21"/>
              </w:rPr>
            </w:pPr>
            <w:r>
              <w:rPr>
                <w:sz w:val="21"/>
              </w:rPr>
              <w:t>19110121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1"/>
              <w:ind w:left="204" w:right="167"/>
              <w:rPr>
                <w:sz w:val="21"/>
              </w:rPr>
            </w:pPr>
            <w:r>
              <w:rPr>
                <w:sz w:val="21"/>
              </w:rPr>
              <w:t>20.91</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7"/>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1"/>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1"/>
              <w:ind w:left="219" w:right="192"/>
              <w:rPr>
                <w:sz w:val="21"/>
              </w:rPr>
            </w:pPr>
            <w:r>
              <w:rPr>
                <w:sz w:val="21"/>
              </w:rPr>
              <w:t>6.09E-03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1"/>
              <w:ind w:left="299"/>
              <w:jc w:val="left"/>
              <w:rPr>
                <w:sz w:val="21"/>
              </w:rPr>
            </w:pPr>
            <w:r>
              <w:rPr>
                <w:sz w:val="21"/>
              </w:rPr>
              <w:t>60.91</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7"/>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1"/>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3</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5"/>
              <w:rPr>
                <w:rFonts w:ascii="宋体" w:eastAsia="宋体" w:hint="eastAsia"/>
                <w:sz w:val="21"/>
              </w:rPr>
            </w:pPr>
            <w:r>
              <w:rPr>
                <w:rFonts w:ascii="宋体" w:eastAsia="宋体" w:hint="eastAsia"/>
                <w:sz w:val="21"/>
              </w:rPr>
              <w:t>项里（</w:t>
            </w:r>
            <w:r>
              <w:rPr>
                <w:sz w:val="21"/>
              </w:rPr>
              <w:t>332,1118</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2.89E-03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5" w:right="196"/>
              <w:rPr>
                <w:sz w:val="21"/>
              </w:rPr>
            </w:pPr>
            <w:r>
              <w:rPr>
                <w:sz w:val="21"/>
              </w:rPr>
              <w:t>19110803</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28.92</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6.89E-03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68.92</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4</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2"/>
              <w:rPr>
                <w:rFonts w:ascii="宋体" w:eastAsia="宋体" w:hint="eastAsia"/>
                <w:sz w:val="21"/>
              </w:rPr>
            </w:pPr>
            <w:r>
              <w:rPr>
                <w:rFonts w:ascii="宋体" w:eastAsia="宋体" w:hint="eastAsia"/>
                <w:sz w:val="21"/>
              </w:rPr>
              <w:t>河塔村（</w:t>
            </w:r>
            <w:r>
              <w:rPr>
                <w:sz w:val="21"/>
              </w:rPr>
              <w:t>-299,1816</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1.74E-03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19060723</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17.38</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5.74E-03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57.38</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18"/>
              <w:rPr>
                <w:sz w:val="21"/>
              </w:rPr>
            </w:pPr>
            <w:r>
              <w:rPr>
                <w:w w:val="100"/>
                <w:sz w:val="21"/>
              </w:rPr>
              <w:t>5</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right="52"/>
              <w:rPr>
                <w:rFonts w:ascii="宋体" w:eastAsia="宋体" w:hint="eastAsia"/>
                <w:sz w:val="21"/>
              </w:rPr>
            </w:pPr>
            <w:r>
              <w:rPr>
                <w:rFonts w:ascii="宋体" w:eastAsia="宋体" w:hint="eastAsia"/>
                <w:sz w:val="21"/>
              </w:rPr>
              <w:t>秋湖村（</w:t>
            </w:r>
            <w:r>
              <w:rPr>
                <w:sz w:val="21"/>
              </w:rPr>
              <w:t>1686,2223</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0"/>
              <w:ind w:left="240"/>
              <w:jc w:val="left"/>
              <w:rPr>
                <w:sz w:val="21"/>
              </w:rPr>
            </w:pPr>
            <w:r>
              <w:rPr>
                <w:sz w:val="21"/>
              </w:rPr>
              <w:t>1.09E-03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0"/>
              <w:ind w:left="227" w:right="195"/>
              <w:rPr>
                <w:sz w:val="21"/>
              </w:rPr>
            </w:pPr>
            <w:r>
              <w:rPr>
                <w:sz w:val="21"/>
              </w:rPr>
              <w:t>19122804</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0"/>
              <w:ind w:left="204" w:right="167"/>
              <w:rPr>
                <w:sz w:val="21"/>
              </w:rPr>
            </w:pPr>
            <w:r>
              <w:rPr>
                <w:sz w:val="21"/>
              </w:rPr>
              <w:t>10.85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0"/>
              <w:ind w:left="219" w:right="192"/>
              <w:rPr>
                <w:sz w:val="21"/>
              </w:rPr>
            </w:pPr>
            <w:r>
              <w:rPr>
                <w:sz w:val="21"/>
              </w:rPr>
              <w:t>5.09E-03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0"/>
              <w:ind w:left="299"/>
              <w:jc w:val="left"/>
              <w:rPr>
                <w:sz w:val="21"/>
              </w:rPr>
            </w:pPr>
            <w:r>
              <w:rPr>
                <w:sz w:val="21"/>
              </w:rPr>
              <w:t>50.85</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0"/>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6</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5"/>
              <w:rPr>
                <w:rFonts w:ascii="宋体" w:eastAsia="宋体" w:hint="eastAsia"/>
                <w:sz w:val="21"/>
              </w:rPr>
            </w:pPr>
            <w:r>
              <w:rPr>
                <w:rFonts w:ascii="宋体" w:eastAsia="宋体" w:hint="eastAsia"/>
                <w:sz w:val="21"/>
              </w:rPr>
              <w:t>清和园（</w:t>
            </w:r>
            <w:r>
              <w:rPr>
                <w:sz w:val="21"/>
              </w:rPr>
              <w:t>830,2049</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1.34E-03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19062723</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13.40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5.34E-03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53.40</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4" w:hRule="atLeast"/>
        </w:trPr>
        <w:tc>
          <w:tcPr>
            <w:tcW w:w="792" w:type="dxa"/>
            <w:tcBorders>
              <w:top w:val="single" w:sz="4" w:space="0" w:color="000000"/>
              <w:bottom w:val="single" w:sz="6" w:space="0" w:color="000000"/>
              <w:right w:val="single" w:sz="4" w:space="0" w:color="000000"/>
            </w:tcBorders>
          </w:tcPr>
          <w:p>
            <w:pPr>
              <w:pStyle w:val="TableParagraph"/>
              <w:ind w:left="18"/>
              <w:rPr>
                <w:sz w:val="21"/>
              </w:rPr>
            </w:pPr>
            <w:r>
              <w:rPr>
                <w:w w:val="100"/>
                <w:sz w:val="21"/>
              </w:rPr>
              <w:t>7</w:t>
            </w:r>
          </w:p>
        </w:tc>
        <w:tc>
          <w:tcPr>
            <w:tcW w:w="3079" w:type="dxa"/>
            <w:tcBorders>
              <w:top w:val="single" w:sz="4" w:space="0" w:color="000000"/>
              <w:left w:val="single" w:sz="4" w:space="0" w:color="000000"/>
              <w:bottom w:val="single" w:sz="6" w:space="0" w:color="000000"/>
              <w:right w:val="single" w:sz="4" w:space="0" w:color="000000"/>
            </w:tcBorders>
          </w:tcPr>
          <w:p>
            <w:pPr>
              <w:pStyle w:val="TableParagraph"/>
              <w:spacing w:before="44"/>
              <w:ind w:left="192" w:right="55"/>
              <w:rPr>
                <w:rFonts w:ascii="宋体" w:eastAsia="宋体" w:hint="eastAsia"/>
                <w:sz w:val="21"/>
              </w:rPr>
            </w:pPr>
            <w:r>
              <w:rPr>
                <w:rFonts w:ascii="宋体" w:eastAsia="宋体" w:hint="eastAsia"/>
                <w:sz w:val="21"/>
              </w:rPr>
              <w:t>州山小学（</w:t>
            </w:r>
            <w:r>
              <w:rPr>
                <w:sz w:val="21"/>
              </w:rPr>
              <w:t>-141,2646</w:t>
            </w:r>
            <w:r>
              <w:rPr>
                <w:rFonts w:ascii="宋体" w:eastAsia="宋体" w:hint="eastAsia"/>
                <w:sz w:val="21"/>
              </w:rPr>
              <w:t>） </w:t>
            </w:r>
          </w:p>
        </w:tc>
        <w:tc>
          <w:tcPr>
            <w:tcW w:w="992" w:type="dxa"/>
            <w:tcBorders>
              <w:top w:val="single" w:sz="4" w:space="0" w:color="000000"/>
              <w:left w:val="single" w:sz="4" w:space="0" w:color="000000"/>
              <w:bottom w:val="single" w:sz="6"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6" w:space="0" w:color="000000"/>
              <w:right w:val="single" w:sz="4" w:space="0" w:color="000000"/>
            </w:tcBorders>
          </w:tcPr>
          <w:p>
            <w:pPr>
              <w:pStyle w:val="TableParagraph"/>
              <w:ind w:left="240"/>
              <w:jc w:val="left"/>
              <w:rPr>
                <w:sz w:val="21"/>
              </w:rPr>
            </w:pPr>
            <w:r>
              <w:rPr>
                <w:sz w:val="21"/>
              </w:rPr>
              <w:t>1.25E-03</w:t>
            </w:r>
          </w:p>
        </w:tc>
        <w:tc>
          <w:tcPr>
            <w:tcW w:w="1315" w:type="dxa"/>
            <w:tcBorders>
              <w:top w:val="single" w:sz="4" w:space="0" w:color="000000"/>
              <w:left w:val="single" w:sz="4" w:space="0" w:color="000000"/>
              <w:bottom w:val="single" w:sz="6" w:space="0" w:color="000000"/>
              <w:right w:val="single" w:sz="4" w:space="0" w:color="000000"/>
            </w:tcBorders>
          </w:tcPr>
          <w:p>
            <w:pPr>
              <w:pStyle w:val="TableParagraph"/>
              <w:ind w:left="227" w:right="195"/>
              <w:rPr>
                <w:sz w:val="21"/>
              </w:rPr>
            </w:pPr>
            <w:r>
              <w:rPr>
                <w:sz w:val="21"/>
              </w:rPr>
              <w:t>19050423</w:t>
            </w:r>
          </w:p>
        </w:tc>
        <w:tc>
          <w:tcPr>
            <w:tcW w:w="1059" w:type="dxa"/>
            <w:tcBorders>
              <w:top w:val="single" w:sz="4" w:space="0" w:color="000000"/>
              <w:left w:val="single" w:sz="4" w:space="0" w:color="000000"/>
              <w:bottom w:val="single" w:sz="6" w:space="0" w:color="000000"/>
              <w:right w:val="single" w:sz="4" w:space="0" w:color="000000"/>
            </w:tcBorders>
          </w:tcPr>
          <w:p>
            <w:pPr>
              <w:pStyle w:val="TableParagraph"/>
              <w:ind w:left="204" w:right="167"/>
              <w:rPr>
                <w:sz w:val="21"/>
              </w:rPr>
            </w:pPr>
            <w:r>
              <w:rPr>
                <w:sz w:val="21"/>
              </w:rPr>
              <w:t>12.53</w:t>
            </w:r>
          </w:p>
        </w:tc>
        <w:tc>
          <w:tcPr>
            <w:tcW w:w="795" w:type="dxa"/>
            <w:tcBorders>
              <w:top w:val="single" w:sz="4" w:space="0" w:color="000000"/>
              <w:left w:val="single" w:sz="4" w:space="0" w:color="000000"/>
              <w:bottom w:val="single" w:sz="6"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6"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6" w:space="0" w:color="000000"/>
              <w:right w:val="single" w:sz="4" w:space="0" w:color="000000"/>
            </w:tcBorders>
          </w:tcPr>
          <w:p>
            <w:pPr>
              <w:pStyle w:val="TableParagraph"/>
              <w:ind w:left="219" w:right="192"/>
              <w:rPr>
                <w:sz w:val="21"/>
              </w:rPr>
            </w:pPr>
            <w:r>
              <w:rPr>
                <w:sz w:val="21"/>
              </w:rPr>
              <w:t>5.25E-03</w:t>
            </w:r>
          </w:p>
        </w:tc>
        <w:tc>
          <w:tcPr>
            <w:tcW w:w="1060" w:type="dxa"/>
            <w:tcBorders>
              <w:top w:val="single" w:sz="4" w:space="0" w:color="000000"/>
              <w:left w:val="single" w:sz="4" w:space="0" w:color="000000"/>
              <w:bottom w:val="single" w:sz="6" w:space="0" w:color="000000"/>
              <w:right w:val="single" w:sz="4" w:space="0" w:color="000000"/>
            </w:tcBorders>
          </w:tcPr>
          <w:p>
            <w:pPr>
              <w:pStyle w:val="TableParagraph"/>
              <w:ind w:left="299"/>
              <w:jc w:val="left"/>
              <w:rPr>
                <w:sz w:val="21"/>
              </w:rPr>
            </w:pPr>
            <w:r>
              <w:rPr>
                <w:sz w:val="21"/>
              </w:rPr>
              <w:t>52.53</w:t>
            </w:r>
          </w:p>
        </w:tc>
        <w:tc>
          <w:tcPr>
            <w:tcW w:w="796" w:type="dxa"/>
            <w:tcBorders>
              <w:top w:val="single" w:sz="4" w:space="0" w:color="000000"/>
              <w:left w:val="single" w:sz="4" w:space="0" w:color="000000"/>
              <w:bottom w:val="single" w:sz="6"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6"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6" w:space="0" w:color="000000"/>
              <w:bottom w:val="single" w:sz="4" w:space="0" w:color="000000"/>
              <w:right w:val="single" w:sz="4" w:space="0" w:color="000000"/>
            </w:tcBorders>
          </w:tcPr>
          <w:p>
            <w:pPr>
              <w:pStyle w:val="TableParagraph"/>
              <w:ind w:left="18"/>
              <w:rPr>
                <w:sz w:val="21"/>
              </w:rPr>
            </w:pPr>
            <w:r>
              <w:rPr>
                <w:w w:val="100"/>
                <w:sz w:val="21"/>
              </w:rPr>
              <w:t>8</w:t>
            </w:r>
          </w:p>
        </w:tc>
        <w:tc>
          <w:tcPr>
            <w:tcW w:w="3079" w:type="dxa"/>
            <w:tcBorders>
              <w:top w:val="single" w:sz="6" w:space="0" w:color="000000"/>
              <w:left w:val="single" w:sz="4" w:space="0" w:color="000000"/>
              <w:bottom w:val="single" w:sz="4" w:space="0" w:color="000000"/>
              <w:right w:val="single" w:sz="4" w:space="0" w:color="000000"/>
            </w:tcBorders>
          </w:tcPr>
          <w:p>
            <w:pPr>
              <w:pStyle w:val="TableParagraph"/>
              <w:spacing w:before="44"/>
              <w:ind w:left="192" w:right="55"/>
              <w:rPr>
                <w:rFonts w:ascii="宋体" w:eastAsia="宋体" w:hint="eastAsia"/>
                <w:sz w:val="21"/>
              </w:rPr>
            </w:pPr>
            <w:r>
              <w:rPr>
                <w:rFonts w:ascii="宋体" w:eastAsia="宋体" w:hint="eastAsia"/>
                <w:sz w:val="21"/>
              </w:rPr>
              <w:t>管委会（</w:t>
            </w:r>
            <w:r>
              <w:rPr>
                <w:sz w:val="21"/>
              </w:rPr>
              <w:t>914,2190</w:t>
            </w:r>
            <w:r>
              <w:rPr>
                <w:rFonts w:ascii="宋体" w:eastAsia="宋体" w:hint="eastAsia"/>
                <w:sz w:val="21"/>
              </w:rPr>
              <w:t>） </w:t>
            </w:r>
          </w:p>
        </w:tc>
        <w:tc>
          <w:tcPr>
            <w:tcW w:w="992" w:type="dxa"/>
            <w:tcBorders>
              <w:top w:val="single" w:sz="6"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6"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1.25E-03</w:t>
            </w:r>
          </w:p>
        </w:tc>
        <w:tc>
          <w:tcPr>
            <w:tcW w:w="1315" w:type="dxa"/>
            <w:tcBorders>
              <w:top w:val="single" w:sz="6"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19012923</w:t>
            </w:r>
          </w:p>
        </w:tc>
        <w:tc>
          <w:tcPr>
            <w:tcW w:w="1059" w:type="dxa"/>
            <w:tcBorders>
              <w:top w:val="single" w:sz="6"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12.49</w:t>
            </w:r>
          </w:p>
        </w:tc>
        <w:tc>
          <w:tcPr>
            <w:tcW w:w="795" w:type="dxa"/>
            <w:tcBorders>
              <w:top w:val="single" w:sz="6"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6"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6"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5.25E-03</w:t>
            </w:r>
          </w:p>
        </w:tc>
        <w:tc>
          <w:tcPr>
            <w:tcW w:w="1060" w:type="dxa"/>
            <w:tcBorders>
              <w:top w:val="single" w:sz="6"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52.49</w:t>
            </w:r>
          </w:p>
        </w:tc>
        <w:tc>
          <w:tcPr>
            <w:tcW w:w="796" w:type="dxa"/>
            <w:tcBorders>
              <w:top w:val="single" w:sz="6"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6"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18"/>
              <w:rPr>
                <w:sz w:val="21"/>
              </w:rPr>
            </w:pPr>
            <w:r>
              <w:rPr>
                <w:w w:val="100"/>
                <w:sz w:val="21"/>
              </w:rPr>
              <w:t>9</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2"/>
              <w:rPr>
                <w:rFonts w:ascii="宋体" w:eastAsia="宋体" w:hint="eastAsia"/>
                <w:sz w:val="21"/>
              </w:rPr>
            </w:pPr>
            <w:r>
              <w:rPr>
                <w:rFonts w:ascii="宋体" w:eastAsia="宋体" w:hint="eastAsia"/>
                <w:sz w:val="21"/>
              </w:rPr>
              <w:t>区福利中心（</w:t>
            </w:r>
            <w:r>
              <w:rPr>
                <w:sz w:val="21"/>
              </w:rPr>
              <w:t>282,2431</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1.21E-03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19090723</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12.15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5.21E-03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52.15</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10</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2"/>
              <w:rPr>
                <w:rFonts w:ascii="宋体" w:eastAsia="宋体" w:hint="eastAsia"/>
                <w:sz w:val="21"/>
              </w:rPr>
            </w:pPr>
            <w:r>
              <w:rPr>
                <w:rFonts w:ascii="宋体" w:eastAsia="宋体" w:hint="eastAsia"/>
                <w:sz w:val="21"/>
              </w:rPr>
              <w:t>区委党校（</w:t>
            </w:r>
            <w:r>
              <w:rPr>
                <w:sz w:val="21"/>
              </w:rPr>
              <w:t>656,2182</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1.46E-03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19112119</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14.55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5.46E-03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54.55</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66" w:right="252"/>
              <w:rPr>
                <w:sz w:val="21"/>
              </w:rPr>
            </w:pPr>
            <w:r>
              <w:rPr>
                <w:sz w:val="21"/>
              </w:rPr>
              <w:t>11</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right="52"/>
              <w:rPr>
                <w:rFonts w:ascii="宋体" w:eastAsia="宋体" w:hint="eastAsia"/>
                <w:sz w:val="21"/>
              </w:rPr>
            </w:pPr>
            <w:r>
              <w:rPr>
                <w:rFonts w:ascii="宋体" w:eastAsia="宋体" w:hint="eastAsia"/>
                <w:sz w:val="21"/>
              </w:rPr>
              <w:t>迪埠（</w:t>
            </w:r>
            <w:r>
              <w:rPr>
                <w:sz w:val="21"/>
              </w:rPr>
              <w:t>1022,-875</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0"/>
              <w:ind w:left="240"/>
              <w:jc w:val="left"/>
              <w:rPr>
                <w:sz w:val="21"/>
              </w:rPr>
            </w:pPr>
            <w:r>
              <w:rPr>
                <w:sz w:val="21"/>
              </w:rPr>
              <w:t>2.40E-03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0"/>
              <w:ind w:left="227" w:right="195"/>
              <w:rPr>
                <w:sz w:val="21"/>
              </w:rPr>
            </w:pPr>
            <w:r>
              <w:rPr>
                <w:sz w:val="21"/>
              </w:rPr>
              <w:t>19052221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0"/>
              <w:ind w:left="204" w:right="167"/>
              <w:rPr>
                <w:sz w:val="21"/>
              </w:rPr>
            </w:pPr>
            <w:r>
              <w:rPr>
                <w:sz w:val="21"/>
              </w:rPr>
              <w:t>24.04</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0"/>
              <w:ind w:left="219" w:right="192"/>
              <w:rPr>
                <w:sz w:val="21"/>
              </w:rPr>
            </w:pPr>
            <w:r>
              <w:rPr>
                <w:sz w:val="21"/>
              </w:rPr>
              <w:t>6.40E-03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0"/>
              <w:ind w:left="299"/>
              <w:jc w:val="left"/>
              <w:rPr>
                <w:sz w:val="21"/>
              </w:rPr>
            </w:pPr>
            <w:r>
              <w:rPr>
                <w:sz w:val="21"/>
              </w:rPr>
              <w:t>64.04</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0"/>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12</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2"/>
              <w:rPr>
                <w:rFonts w:ascii="宋体" w:eastAsia="宋体" w:hint="eastAsia"/>
                <w:sz w:val="21"/>
              </w:rPr>
            </w:pPr>
            <w:r>
              <w:rPr>
                <w:rFonts w:ascii="宋体" w:eastAsia="宋体" w:hint="eastAsia"/>
                <w:sz w:val="21"/>
              </w:rPr>
              <w:t>洪家墩（</w:t>
            </w:r>
            <w:r>
              <w:rPr>
                <w:sz w:val="21"/>
              </w:rPr>
              <w:t>1096,-1407</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1.67E-03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19050924</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16.67</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5.67E-03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56.67</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13</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2"/>
              <w:rPr>
                <w:rFonts w:ascii="宋体" w:eastAsia="宋体" w:hint="eastAsia"/>
                <w:sz w:val="21"/>
              </w:rPr>
            </w:pPr>
            <w:r>
              <w:rPr>
                <w:rFonts w:ascii="宋体" w:eastAsia="宋体" w:hint="eastAsia"/>
                <w:sz w:val="21"/>
              </w:rPr>
              <w:t>兴联村（</w:t>
            </w:r>
            <w:r>
              <w:rPr>
                <w:sz w:val="21"/>
              </w:rPr>
              <w:t>1985,-302</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1.54E-03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19100321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15.35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5.54E-03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55.35</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68" w:right="250"/>
              <w:rPr>
                <w:sz w:val="21"/>
              </w:rPr>
            </w:pPr>
            <w:r>
              <w:rPr>
                <w:sz w:val="21"/>
              </w:rPr>
              <w:t>14</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right="52"/>
              <w:rPr>
                <w:rFonts w:ascii="宋体" w:eastAsia="宋体" w:hint="eastAsia"/>
                <w:sz w:val="21"/>
              </w:rPr>
            </w:pPr>
            <w:r>
              <w:rPr>
                <w:rFonts w:ascii="宋体" w:eastAsia="宋体" w:hint="eastAsia"/>
                <w:sz w:val="21"/>
              </w:rPr>
              <w:t>梅三村（</w:t>
            </w:r>
            <w:r>
              <w:rPr>
                <w:sz w:val="21"/>
              </w:rPr>
              <w:t>1744,-1149</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0"/>
              <w:ind w:left="240"/>
              <w:jc w:val="left"/>
              <w:rPr>
                <w:sz w:val="21"/>
              </w:rPr>
            </w:pPr>
            <w:r>
              <w:rPr>
                <w:sz w:val="21"/>
              </w:rPr>
              <w:t>1.39E-03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0"/>
              <w:ind w:left="227" w:right="195"/>
              <w:rPr>
                <w:sz w:val="21"/>
              </w:rPr>
            </w:pPr>
            <w:r>
              <w:rPr>
                <w:sz w:val="21"/>
              </w:rPr>
              <w:t>19101821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0"/>
              <w:ind w:left="204" w:right="167"/>
              <w:rPr>
                <w:sz w:val="21"/>
              </w:rPr>
            </w:pPr>
            <w:r>
              <w:rPr>
                <w:sz w:val="21"/>
              </w:rPr>
              <w:t>13.85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0"/>
              <w:ind w:left="219" w:right="192"/>
              <w:rPr>
                <w:sz w:val="21"/>
              </w:rPr>
            </w:pPr>
            <w:r>
              <w:rPr>
                <w:sz w:val="21"/>
              </w:rPr>
              <w:t>5.39E-03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0"/>
              <w:ind w:left="299"/>
              <w:jc w:val="left"/>
              <w:rPr>
                <w:sz w:val="21"/>
              </w:rPr>
            </w:pPr>
            <w:r>
              <w:rPr>
                <w:sz w:val="21"/>
              </w:rPr>
              <w:t>53.85</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0"/>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15</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2"/>
              <w:rPr>
                <w:rFonts w:ascii="宋体" w:eastAsia="宋体" w:hint="eastAsia"/>
                <w:sz w:val="21"/>
              </w:rPr>
            </w:pPr>
            <w:r>
              <w:rPr>
                <w:rFonts w:ascii="宋体" w:eastAsia="宋体" w:hint="eastAsia"/>
                <w:sz w:val="21"/>
              </w:rPr>
              <w:t>容山村（</w:t>
            </w:r>
            <w:r>
              <w:rPr>
                <w:sz w:val="21"/>
              </w:rPr>
              <w:t>1154,-2055</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1.23E-03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19122906</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12.30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5.23E-03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52.30</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16</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5"/>
              <w:rPr>
                <w:rFonts w:ascii="宋体" w:eastAsia="宋体" w:hint="eastAsia"/>
                <w:sz w:val="21"/>
              </w:rPr>
            </w:pPr>
            <w:r>
              <w:rPr>
                <w:rFonts w:ascii="宋体" w:eastAsia="宋体" w:hint="eastAsia"/>
                <w:sz w:val="21"/>
              </w:rPr>
              <w:t>兴华村（</w:t>
            </w:r>
            <w:r>
              <w:rPr>
                <w:sz w:val="21"/>
              </w:rPr>
              <w:t>-1653,-1249</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4.00E-04</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19053102</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4.00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4.40E-03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44.00</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68" w:right="250"/>
              <w:rPr>
                <w:sz w:val="21"/>
              </w:rPr>
            </w:pPr>
            <w:r>
              <w:rPr>
                <w:sz w:val="21"/>
              </w:rPr>
              <w:t>17</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right="52"/>
              <w:rPr>
                <w:rFonts w:ascii="宋体" w:eastAsia="宋体" w:hint="eastAsia"/>
                <w:sz w:val="21"/>
              </w:rPr>
            </w:pPr>
            <w:r>
              <w:rPr>
                <w:rFonts w:ascii="宋体" w:eastAsia="宋体" w:hint="eastAsia"/>
                <w:sz w:val="21"/>
              </w:rPr>
              <w:t>永信村（</w:t>
            </w:r>
            <w:r>
              <w:rPr>
                <w:sz w:val="21"/>
              </w:rPr>
              <w:t>-2384,479</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0"/>
              <w:ind w:left="240"/>
              <w:jc w:val="left"/>
              <w:rPr>
                <w:sz w:val="21"/>
              </w:rPr>
            </w:pPr>
            <w:r>
              <w:rPr>
                <w:sz w:val="21"/>
              </w:rPr>
              <w:t>1.47E-03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0"/>
              <w:ind w:left="227" w:right="195"/>
              <w:rPr>
                <w:sz w:val="21"/>
              </w:rPr>
            </w:pPr>
            <w:r>
              <w:rPr>
                <w:sz w:val="21"/>
              </w:rPr>
              <w:t>19022521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0"/>
              <w:ind w:left="204" w:right="167"/>
              <w:rPr>
                <w:sz w:val="21"/>
              </w:rPr>
            </w:pPr>
            <w:r>
              <w:rPr>
                <w:sz w:val="21"/>
              </w:rPr>
              <w:t>14.72</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0"/>
              <w:ind w:left="219" w:right="192"/>
              <w:rPr>
                <w:sz w:val="21"/>
              </w:rPr>
            </w:pPr>
            <w:r>
              <w:rPr>
                <w:sz w:val="21"/>
              </w:rPr>
              <w:t>5.47E-03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0"/>
              <w:ind w:left="299"/>
              <w:jc w:val="left"/>
              <w:rPr>
                <w:sz w:val="21"/>
              </w:rPr>
            </w:pPr>
            <w:r>
              <w:rPr>
                <w:sz w:val="21"/>
              </w:rPr>
              <w:t>54.72</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0"/>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18</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155"/>
              <w:rPr>
                <w:rFonts w:ascii="宋体" w:eastAsia="宋体" w:hint="eastAsia"/>
                <w:sz w:val="21"/>
              </w:rPr>
            </w:pPr>
            <w:r>
              <w:rPr>
                <w:rFonts w:ascii="宋体" w:eastAsia="宋体" w:hint="eastAsia"/>
                <w:sz w:val="21"/>
              </w:rPr>
              <w:t>规划敏感点 </w:t>
            </w:r>
            <w:r>
              <w:rPr>
                <w:sz w:val="21"/>
              </w:rPr>
              <w:t>1</w:t>
            </w:r>
            <w:r>
              <w:rPr>
                <w:rFonts w:ascii="宋体" w:eastAsia="宋体" w:hint="eastAsia"/>
                <w:sz w:val="21"/>
              </w:rPr>
              <w:t>（</w:t>
            </w:r>
            <w:r>
              <w:rPr>
                <w:sz w:val="21"/>
              </w:rPr>
              <w:t>983,975</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2.32E-03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19111201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23.22</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6.32E-03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63.22</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68" w:right="250"/>
              <w:rPr>
                <w:sz w:val="21"/>
              </w:rPr>
            </w:pPr>
            <w:r>
              <w:rPr>
                <w:sz w:val="21"/>
              </w:rPr>
              <w:t>19</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158"/>
              <w:rPr>
                <w:rFonts w:ascii="宋体" w:eastAsia="宋体" w:hint="eastAsia"/>
                <w:sz w:val="21"/>
              </w:rPr>
            </w:pPr>
            <w:r>
              <w:rPr>
                <w:rFonts w:ascii="宋体" w:eastAsia="宋体" w:hint="eastAsia"/>
                <w:sz w:val="21"/>
              </w:rPr>
              <w:t>规划敏感点 </w:t>
            </w:r>
            <w:r>
              <w:rPr>
                <w:sz w:val="21"/>
              </w:rPr>
              <w:t>2</w:t>
            </w:r>
            <w:r>
              <w:rPr>
                <w:rFonts w:ascii="宋体" w:eastAsia="宋体" w:hint="eastAsia"/>
                <w:sz w:val="21"/>
              </w:rPr>
              <w:t>（</w:t>
            </w:r>
            <w:r>
              <w:rPr>
                <w:sz w:val="21"/>
              </w:rPr>
              <w:t>1246,677</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2.26E-03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left="227" w:right="195"/>
              <w:rPr>
                <w:sz w:val="21"/>
              </w:rPr>
            </w:pPr>
            <w:r>
              <w:rPr>
                <w:sz w:val="21"/>
              </w:rPr>
              <w:t>19102124</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22.56</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6.26E-03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62.56</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61" w:hRule="atLeast"/>
        </w:trPr>
        <w:tc>
          <w:tcPr>
            <w:tcW w:w="792" w:type="dxa"/>
            <w:tcBorders>
              <w:top w:val="single" w:sz="4" w:space="0" w:color="000000"/>
              <w:right w:val="single" w:sz="4" w:space="0" w:color="000000"/>
            </w:tcBorders>
          </w:tcPr>
          <w:p>
            <w:pPr>
              <w:pStyle w:val="TableParagraph"/>
              <w:spacing w:before="60"/>
              <w:ind w:left="268" w:right="250"/>
              <w:rPr>
                <w:sz w:val="21"/>
              </w:rPr>
            </w:pPr>
            <w:r>
              <w:rPr>
                <w:sz w:val="21"/>
              </w:rPr>
              <w:t>20</w:t>
            </w:r>
          </w:p>
        </w:tc>
        <w:tc>
          <w:tcPr>
            <w:tcW w:w="3079" w:type="dxa"/>
            <w:tcBorders>
              <w:top w:val="single" w:sz="4" w:space="0" w:color="000000"/>
              <w:left w:val="single" w:sz="4" w:space="0" w:color="000000"/>
              <w:right w:val="single" w:sz="4" w:space="0" w:color="000000"/>
            </w:tcBorders>
          </w:tcPr>
          <w:p>
            <w:pPr>
              <w:pStyle w:val="TableParagraph"/>
              <w:spacing w:before="46"/>
              <w:ind w:left="192" w:right="158"/>
              <w:rPr>
                <w:rFonts w:ascii="宋体" w:eastAsia="宋体" w:hint="eastAsia"/>
                <w:sz w:val="21"/>
              </w:rPr>
            </w:pPr>
            <w:r>
              <w:rPr>
                <w:rFonts w:ascii="宋体" w:eastAsia="宋体" w:hint="eastAsia"/>
                <w:sz w:val="21"/>
              </w:rPr>
              <w:t>规划敏感点 </w:t>
            </w:r>
            <w:r>
              <w:rPr>
                <w:sz w:val="21"/>
              </w:rPr>
              <w:t>3</w:t>
            </w:r>
            <w:r>
              <w:rPr>
                <w:rFonts w:ascii="宋体" w:eastAsia="宋体" w:hint="eastAsia"/>
                <w:sz w:val="21"/>
              </w:rPr>
              <w:t>（</w:t>
            </w:r>
            <w:r>
              <w:rPr>
                <w:sz w:val="21"/>
              </w:rPr>
              <w:t>1466,682</w:t>
            </w:r>
            <w:r>
              <w:rPr>
                <w:rFonts w:ascii="宋体" w:eastAsia="宋体" w:hint="eastAsia"/>
                <w:sz w:val="21"/>
              </w:rPr>
              <w:t>）</w:t>
            </w:r>
          </w:p>
        </w:tc>
        <w:tc>
          <w:tcPr>
            <w:tcW w:w="992" w:type="dxa"/>
            <w:tcBorders>
              <w:top w:val="single" w:sz="4" w:space="0" w:color="000000"/>
              <w:left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right w:val="single" w:sz="4" w:space="0" w:color="000000"/>
            </w:tcBorders>
          </w:tcPr>
          <w:p>
            <w:pPr>
              <w:pStyle w:val="TableParagraph"/>
              <w:spacing w:before="60"/>
              <w:ind w:left="240"/>
              <w:jc w:val="left"/>
              <w:rPr>
                <w:sz w:val="21"/>
              </w:rPr>
            </w:pPr>
            <w:r>
              <w:rPr>
                <w:sz w:val="21"/>
              </w:rPr>
              <w:t>1.95E-03</w:t>
            </w:r>
          </w:p>
        </w:tc>
        <w:tc>
          <w:tcPr>
            <w:tcW w:w="1315" w:type="dxa"/>
            <w:tcBorders>
              <w:top w:val="single" w:sz="4" w:space="0" w:color="000000"/>
              <w:left w:val="single" w:sz="4" w:space="0" w:color="000000"/>
              <w:right w:val="single" w:sz="4" w:space="0" w:color="000000"/>
            </w:tcBorders>
          </w:tcPr>
          <w:p>
            <w:pPr>
              <w:pStyle w:val="TableParagraph"/>
              <w:spacing w:before="60"/>
              <w:ind w:left="227" w:right="195"/>
              <w:rPr>
                <w:sz w:val="21"/>
              </w:rPr>
            </w:pPr>
            <w:r>
              <w:rPr>
                <w:sz w:val="21"/>
              </w:rPr>
              <w:t>19061421</w:t>
            </w:r>
          </w:p>
        </w:tc>
        <w:tc>
          <w:tcPr>
            <w:tcW w:w="1059" w:type="dxa"/>
            <w:tcBorders>
              <w:top w:val="single" w:sz="4" w:space="0" w:color="000000"/>
              <w:left w:val="single" w:sz="4" w:space="0" w:color="000000"/>
              <w:right w:val="single" w:sz="4" w:space="0" w:color="000000"/>
            </w:tcBorders>
          </w:tcPr>
          <w:p>
            <w:pPr>
              <w:pStyle w:val="TableParagraph"/>
              <w:spacing w:before="60"/>
              <w:ind w:left="204" w:right="167"/>
              <w:rPr>
                <w:sz w:val="21"/>
              </w:rPr>
            </w:pPr>
            <w:r>
              <w:rPr>
                <w:sz w:val="21"/>
              </w:rPr>
              <w:t>19.45</w:t>
            </w:r>
          </w:p>
        </w:tc>
        <w:tc>
          <w:tcPr>
            <w:tcW w:w="795" w:type="dxa"/>
            <w:tcBorders>
              <w:top w:val="single" w:sz="4" w:space="0" w:color="000000"/>
              <w:left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right w:val="single" w:sz="4" w:space="0" w:color="000000"/>
            </w:tcBorders>
          </w:tcPr>
          <w:p>
            <w:pPr>
              <w:pStyle w:val="TableParagraph"/>
              <w:spacing w:before="60"/>
              <w:ind w:left="219" w:right="192"/>
              <w:rPr>
                <w:sz w:val="21"/>
              </w:rPr>
            </w:pPr>
            <w:r>
              <w:rPr>
                <w:sz w:val="21"/>
              </w:rPr>
              <w:t>5.95E-03</w:t>
            </w:r>
          </w:p>
        </w:tc>
        <w:tc>
          <w:tcPr>
            <w:tcW w:w="1060" w:type="dxa"/>
            <w:tcBorders>
              <w:top w:val="single" w:sz="4" w:space="0" w:color="000000"/>
              <w:left w:val="single" w:sz="4" w:space="0" w:color="000000"/>
              <w:right w:val="single" w:sz="4" w:space="0" w:color="000000"/>
            </w:tcBorders>
          </w:tcPr>
          <w:p>
            <w:pPr>
              <w:pStyle w:val="TableParagraph"/>
              <w:spacing w:before="60"/>
              <w:ind w:left="299"/>
              <w:jc w:val="left"/>
              <w:rPr>
                <w:sz w:val="21"/>
              </w:rPr>
            </w:pPr>
            <w:r>
              <w:rPr>
                <w:sz w:val="21"/>
              </w:rPr>
              <w:t>59.45</w:t>
            </w:r>
          </w:p>
        </w:tc>
        <w:tc>
          <w:tcPr>
            <w:tcW w:w="796" w:type="dxa"/>
            <w:tcBorders>
              <w:top w:val="single" w:sz="4" w:space="0" w:color="000000"/>
              <w:left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tcBorders>
          </w:tcPr>
          <w:p>
            <w:pPr>
              <w:pStyle w:val="TableParagraph"/>
              <w:spacing w:before="60"/>
              <w:ind w:left="210" w:right="182"/>
              <w:rPr>
                <w:sz w:val="21"/>
              </w:rPr>
            </w:pPr>
            <w:r>
              <w:rPr>
                <w:sz w:val="21"/>
              </w:rPr>
              <w:t>1.00E-02</w:t>
            </w:r>
          </w:p>
        </w:tc>
      </w:tr>
    </w:tbl>
    <w:p>
      <w:pPr>
        <w:spacing w:after="0"/>
        <w:rPr>
          <w:sz w:val="21"/>
        </w:rPr>
        <w:sectPr>
          <w:headerReference w:type="default" r:id="rId124"/>
          <w:footerReference w:type="default" r:id="rId125"/>
          <w:pgSz w:w="16840" w:h="11910" w:orient="landscape"/>
          <w:pgMar w:header="874" w:footer="1004" w:top="1180" w:bottom="1200" w:left="900" w:right="860"/>
          <w:pgNumType w:start="138"/>
        </w:sectPr>
      </w:pPr>
    </w:p>
    <w:p>
      <w:pPr>
        <w:pStyle w:val="BodyText"/>
        <w:spacing w:before="4"/>
        <w:ind w:left="0"/>
        <w:rPr>
          <w:rFonts w:ascii="Times New Roman"/>
          <w:sz w:val="8"/>
        </w:rPr>
      </w:pPr>
    </w:p>
    <w:tbl>
      <w:tblPr>
        <w:tblW w:w="0" w:type="auto"/>
        <w:jc w:val="left"/>
        <w:tblInd w:w="1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92"/>
        <w:gridCol w:w="3079"/>
        <w:gridCol w:w="992"/>
        <w:gridCol w:w="1236"/>
        <w:gridCol w:w="1315"/>
        <w:gridCol w:w="1059"/>
        <w:gridCol w:w="795"/>
        <w:gridCol w:w="1237"/>
        <w:gridCol w:w="1238"/>
        <w:gridCol w:w="1060"/>
        <w:gridCol w:w="796"/>
        <w:gridCol w:w="1228"/>
      </w:tblGrid>
      <w:tr>
        <w:trPr>
          <w:trHeight w:val="359" w:hRule="atLeast"/>
        </w:trPr>
        <w:tc>
          <w:tcPr>
            <w:tcW w:w="792" w:type="dxa"/>
            <w:vMerge w:val="restart"/>
            <w:tcBorders>
              <w:bottom w:val="single" w:sz="4" w:space="0" w:color="000000"/>
              <w:right w:val="single" w:sz="4" w:space="0" w:color="000000"/>
            </w:tcBorders>
          </w:tcPr>
          <w:p>
            <w:pPr>
              <w:pStyle w:val="TableParagraph"/>
              <w:spacing w:before="0"/>
              <w:jc w:val="left"/>
              <w:rPr>
                <w:sz w:val="20"/>
              </w:rPr>
            </w:pPr>
          </w:p>
          <w:p>
            <w:pPr>
              <w:pStyle w:val="TableParagraph"/>
              <w:spacing w:before="178"/>
              <w:ind w:left="184"/>
              <w:jc w:val="left"/>
              <w:rPr>
                <w:rFonts w:ascii="宋体" w:eastAsia="宋体" w:hint="eastAsia"/>
                <w:b/>
                <w:sz w:val="21"/>
              </w:rPr>
            </w:pPr>
            <w:r>
              <w:rPr>
                <w:rFonts w:ascii="宋体" w:eastAsia="宋体" w:hint="eastAsia"/>
                <w:b/>
                <w:sz w:val="21"/>
              </w:rPr>
              <w:t>序号</w:t>
            </w:r>
          </w:p>
        </w:tc>
        <w:tc>
          <w:tcPr>
            <w:tcW w:w="3079" w:type="dxa"/>
            <w:vMerge w:val="restart"/>
            <w:tcBorders>
              <w:left w:val="single" w:sz="4" w:space="0" w:color="000000"/>
              <w:bottom w:val="single" w:sz="4" w:space="0" w:color="000000"/>
              <w:right w:val="single" w:sz="4" w:space="0" w:color="000000"/>
            </w:tcBorders>
          </w:tcPr>
          <w:p>
            <w:pPr>
              <w:pStyle w:val="TableParagraph"/>
              <w:spacing w:before="0"/>
              <w:jc w:val="left"/>
              <w:rPr>
                <w:sz w:val="20"/>
              </w:rPr>
            </w:pPr>
          </w:p>
          <w:p>
            <w:pPr>
              <w:pStyle w:val="TableParagraph"/>
              <w:spacing w:before="178"/>
              <w:ind w:left="1025"/>
              <w:jc w:val="left"/>
              <w:rPr>
                <w:rFonts w:ascii="宋体" w:eastAsia="宋体" w:hint="eastAsia"/>
                <w:b/>
                <w:sz w:val="21"/>
              </w:rPr>
            </w:pPr>
            <w:r>
              <w:rPr>
                <w:rFonts w:ascii="宋体" w:eastAsia="宋体" w:hint="eastAsia"/>
                <w:b/>
                <w:sz w:val="21"/>
              </w:rPr>
              <w:t>预测点名称</w:t>
            </w:r>
          </w:p>
        </w:tc>
        <w:tc>
          <w:tcPr>
            <w:tcW w:w="992" w:type="dxa"/>
            <w:vMerge w:val="restart"/>
            <w:tcBorders>
              <w:left w:val="single" w:sz="4" w:space="0" w:color="000000"/>
              <w:bottom w:val="single" w:sz="4" w:space="0" w:color="000000"/>
              <w:right w:val="single" w:sz="4" w:space="0" w:color="000000"/>
            </w:tcBorders>
          </w:tcPr>
          <w:p>
            <w:pPr>
              <w:pStyle w:val="TableParagraph"/>
              <w:spacing w:before="10"/>
              <w:jc w:val="left"/>
              <w:rPr>
                <w:sz w:val="19"/>
              </w:rPr>
            </w:pPr>
          </w:p>
          <w:p>
            <w:pPr>
              <w:pStyle w:val="TableParagraph"/>
              <w:spacing w:line="319" w:lineRule="auto" w:before="0"/>
              <w:ind w:left="296" w:right="261"/>
              <w:jc w:val="left"/>
              <w:rPr>
                <w:rFonts w:ascii="宋体" w:eastAsia="宋体" w:hint="eastAsia"/>
                <w:b/>
                <w:sz w:val="21"/>
              </w:rPr>
            </w:pPr>
            <w:r>
              <w:rPr>
                <w:rFonts w:ascii="宋体" w:eastAsia="宋体" w:hint="eastAsia"/>
                <w:b/>
                <w:sz w:val="21"/>
              </w:rPr>
              <w:t>浓度类型</w:t>
            </w:r>
          </w:p>
        </w:tc>
        <w:tc>
          <w:tcPr>
            <w:tcW w:w="4405" w:type="dxa"/>
            <w:gridSpan w:val="4"/>
            <w:tcBorders>
              <w:left w:val="single" w:sz="4" w:space="0" w:color="000000"/>
              <w:bottom w:val="single" w:sz="4" w:space="0" w:color="000000"/>
              <w:right w:val="single" w:sz="4" w:space="0" w:color="000000"/>
            </w:tcBorders>
          </w:tcPr>
          <w:p>
            <w:pPr>
              <w:pStyle w:val="TableParagraph"/>
              <w:spacing w:before="44"/>
              <w:ind w:left="1665" w:right="1634"/>
              <w:rPr>
                <w:rFonts w:ascii="宋体" w:eastAsia="宋体" w:hint="eastAsia"/>
                <w:b/>
                <w:sz w:val="21"/>
              </w:rPr>
            </w:pPr>
            <w:r>
              <w:rPr>
                <w:rFonts w:ascii="宋体" w:eastAsia="宋体" w:hint="eastAsia"/>
                <w:b/>
                <w:sz w:val="21"/>
              </w:rPr>
              <w:t>本项目新增</w:t>
            </w:r>
          </w:p>
        </w:tc>
        <w:tc>
          <w:tcPr>
            <w:tcW w:w="4331" w:type="dxa"/>
            <w:gridSpan w:val="4"/>
            <w:tcBorders>
              <w:left w:val="single" w:sz="4" w:space="0" w:color="000000"/>
              <w:bottom w:val="single" w:sz="4" w:space="0" w:color="000000"/>
              <w:right w:val="single" w:sz="4" w:space="0" w:color="000000"/>
            </w:tcBorders>
          </w:tcPr>
          <w:p>
            <w:pPr>
              <w:pStyle w:val="TableParagraph"/>
              <w:spacing w:before="44"/>
              <w:ind w:left="1161"/>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228" w:type="dxa"/>
            <w:vMerge w:val="restart"/>
            <w:tcBorders>
              <w:left w:val="single" w:sz="4" w:space="0" w:color="000000"/>
              <w:bottom w:val="single" w:sz="4" w:space="0" w:color="000000"/>
            </w:tcBorders>
          </w:tcPr>
          <w:p>
            <w:pPr>
              <w:pStyle w:val="TableParagraph"/>
              <w:spacing w:before="10"/>
              <w:jc w:val="left"/>
              <w:rPr>
                <w:sz w:val="19"/>
              </w:rPr>
            </w:pPr>
          </w:p>
          <w:p>
            <w:pPr>
              <w:pStyle w:val="TableParagraph"/>
              <w:spacing w:line="319" w:lineRule="auto" w:before="0"/>
              <w:ind w:left="404" w:right="379"/>
              <w:jc w:val="left"/>
              <w:rPr>
                <w:rFonts w:ascii="宋体" w:eastAsia="宋体" w:hint="eastAsia"/>
                <w:b/>
                <w:sz w:val="21"/>
              </w:rPr>
            </w:pPr>
            <w:r>
              <w:rPr>
                <w:rFonts w:ascii="宋体" w:eastAsia="宋体" w:hint="eastAsia"/>
                <w:b/>
                <w:sz w:val="21"/>
              </w:rPr>
              <w:t>评价标准</w:t>
            </w:r>
          </w:p>
        </w:tc>
      </w:tr>
      <w:tr>
        <w:trPr>
          <w:trHeight w:val="717" w:hRule="atLeast"/>
        </w:trPr>
        <w:tc>
          <w:tcPr>
            <w:tcW w:w="792" w:type="dxa"/>
            <w:vMerge/>
            <w:tcBorders>
              <w:top w:val="nil"/>
              <w:bottom w:val="single" w:sz="4" w:space="0" w:color="000000"/>
              <w:right w:val="single" w:sz="4" w:space="0" w:color="000000"/>
            </w:tcBorders>
          </w:tcPr>
          <w:p>
            <w:pPr>
              <w:rPr>
                <w:sz w:val="2"/>
                <w:szCs w:val="2"/>
              </w:rPr>
            </w:pPr>
          </w:p>
        </w:tc>
        <w:tc>
          <w:tcPr>
            <w:tcW w:w="3079" w:type="dxa"/>
            <w:vMerge/>
            <w:tcBorders>
              <w:top w:val="nil"/>
              <w:left w:val="single" w:sz="4" w:space="0" w:color="000000"/>
              <w:bottom w:val="single" w:sz="4" w:space="0" w:color="000000"/>
              <w:right w:val="single" w:sz="4" w:space="0" w:color="000000"/>
            </w:tcBorders>
          </w:tcPr>
          <w:p>
            <w:pPr>
              <w:rPr>
                <w:sz w:val="2"/>
                <w:szCs w:val="2"/>
              </w:rPr>
            </w:pPr>
          </w:p>
        </w:tc>
        <w:tc>
          <w:tcPr>
            <w:tcW w:w="992" w:type="dxa"/>
            <w:vMerge/>
            <w:tcBorders>
              <w:top w:val="nil"/>
              <w:left w:val="single" w:sz="4" w:space="0" w:color="000000"/>
              <w:bottom w:val="single" w:sz="4" w:space="0" w:color="000000"/>
              <w:right w:val="single" w:sz="4" w:space="0" w:color="000000"/>
            </w:tcBorders>
          </w:tcPr>
          <w:p>
            <w:pPr>
              <w:rPr>
                <w:sz w:val="2"/>
                <w:szCs w:val="2"/>
              </w:rPr>
            </w:pP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44"/>
              <w:ind w:left="415"/>
              <w:jc w:val="left"/>
              <w:rPr>
                <w:rFonts w:ascii="宋体" w:eastAsia="宋体" w:hint="eastAsia"/>
                <w:b/>
                <w:sz w:val="21"/>
              </w:rPr>
            </w:pPr>
            <w:r>
              <w:rPr>
                <w:rFonts w:ascii="宋体" w:eastAsia="宋体" w:hint="eastAsia"/>
                <w:b/>
                <w:sz w:val="21"/>
              </w:rPr>
              <w:t>浓度</w:t>
            </w:r>
          </w:p>
          <w:p>
            <w:pPr>
              <w:pStyle w:val="TableParagraph"/>
              <w:spacing w:before="88"/>
              <w:ind w:left="415"/>
              <w:jc w:val="left"/>
              <w:rPr>
                <w:rFonts w:ascii="宋体" w:eastAsia="宋体" w:hint="eastAsia"/>
                <w:b/>
                <w:sz w:val="21"/>
              </w:rPr>
            </w:pPr>
            <w:r>
              <w:rPr>
                <w:rFonts w:ascii="宋体" w:eastAsia="宋体" w:hint="eastAsia"/>
                <w:b/>
                <w:sz w:val="21"/>
              </w:rPr>
              <w:t>增量</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44"/>
              <w:ind w:left="456"/>
              <w:jc w:val="left"/>
              <w:rPr>
                <w:rFonts w:ascii="宋体" w:eastAsia="宋体" w:hint="eastAsia"/>
                <w:b/>
                <w:sz w:val="21"/>
              </w:rPr>
            </w:pPr>
            <w:r>
              <w:rPr>
                <w:rFonts w:ascii="宋体" w:eastAsia="宋体" w:hint="eastAsia"/>
                <w:b/>
                <w:sz w:val="21"/>
              </w:rPr>
              <w:t>出现</w:t>
            </w:r>
          </w:p>
          <w:p>
            <w:pPr>
              <w:pStyle w:val="TableParagraph"/>
              <w:spacing w:before="88"/>
              <w:ind w:left="456"/>
              <w:jc w:val="left"/>
              <w:rPr>
                <w:rFonts w:ascii="宋体" w:eastAsia="宋体" w:hint="eastAsia"/>
                <w:b/>
                <w:sz w:val="21"/>
              </w:rPr>
            </w:pPr>
            <w:r>
              <w:rPr>
                <w:rFonts w:ascii="宋体" w:eastAsia="宋体" w:hint="eastAsia"/>
                <w:b/>
                <w:sz w:val="21"/>
              </w:rPr>
              <w:t>时间</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5"/>
              <w:jc w:val="left"/>
              <w:rPr>
                <w:sz w:val="19"/>
              </w:rPr>
            </w:pPr>
          </w:p>
          <w:p>
            <w:pPr>
              <w:pStyle w:val="TableParagraph"/>
              <w:spacing w:before="0"/>
              <w:ind w:left="204" w:right="172"/>
              <w:rPr>
                <w:rFonts w:ascii="宋体" w:eastAsia="宋体" w:hint="eastAsia"/>
                <w:b/>
                <w:sz w:val="21"/>
              </w:rPr>
            </w:pPr>
            <w:r>
              <w:rPr>
                <w:rFonts w:ascii="宋体" w:eastAsia="宋体" w:hint="eastAsia"/>
                <w:b/>
                <w:sz w:val="21"/>
              </w:rPr>
              <w:t>占标率</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4"/>
              <w:jc w:val="left"/>
              <w:rPr>
                <w:rFonts w:ascii="宋体" w:eastAsia="宋体" w:hint="eastAsia"/>
                <w:b/>
                <w:sz w:val="21"/>
              </w:rPr>
            </w:pPr>
            <w:r>
              <w:rPr>
                <w:rFonts w:ascii="宋体" w:eastAsia="宋体" w:hint="eastAsia"/>
                <w:b/>
                <w:sz w:val="21"/>
              </w:rPr>
              <w:t>达标</w:t>
            </w:r>
          </w:p>
          <w:p>
            <w:pPr>
              <w:pStyle w:val="TableParagraph"/>
              <w:spacing w:before="88"/>
              <w:ind w:left="194"/>
              <w:jc w:val="left"/>
              <w:rPr>
                <w:rFonts w:ascii="宋体" w:eastAsia="宋体" w:hint="eastAsia"/>
                <w:b/>
                <w:sz w:val="21"/>
              </w:rPr>
            </w:pPr>
            <w:r>
              <w:rPr>
                <w:rFonts w:ascii="宋体" w:eastAsia="宋体" w:hint="eastAsia"/>
                <w:b/>
                <w:sz w:val="21"/>
              </w:rPr>
              <w:t>情况</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44"/>
              <w:ind w:left="414"/>
              <w:jc w:val="left"/>
              <w:rPr>
                <w:rFonts w:ascii="宋体" w:eastAsia="宋体" w:hint="eastAsia"/>
                <w:b/>
                <w:sz w:val="21"/>
              </w:rPr>
            </w:pPr>
            <w:r>
              <w:rPr>
                <w:rFonts w:ascii="宋体" w:eastAsia="宋体" w:hint="eastAsia"/>
                <w:b/>
                <w:sz w:val="21"/>
              </w:rPr>
              <w:t>背景</w:t>
            </w:r>
          </w:p>
          <w:p>
            <w:pPr>
              <w:pStyle w:val="TableParagraph"/>
              <w:spacing w:before="88"/>
              <w:ind w:left="414"/>
              <w:jc w:val="left"/>
              <w:rPr>
                <w:rFonts w:ascii="宋体" w:eastAsia="宋体" w:hint="eastAsia"/>
                <w:b/>
                <w:sz w:val="21"/>
              </w:rPr>
            </w:pPr>
            <w:r>
              <w:rPr>
                <w:rFonts w:ascii="宋体" w:eastAsia="宋体" w:hint="eastAsia"/>
                <w:b/>
                <w:sz w:val="21"/>
              </w:rPr>
              <w:t>浓度</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44"/>
              <w:ind w:left="413"/>
              <w:jc w:val="left"/>
              <w:rPr>
                <w:rFonts w:ascii="宋体" w:eastAsia="宋体" w:hint="eastAsia"/>
                <w:b/>
                <w:sz w:val="21"/>
              </w:rPr>
            </w:pPr>
            <w:r>
              <w:rPr>
                <w:rFonts w:ascii="宋体" w:eastAsia="宋体" w:hint="eastAsia"/>
                <w:b/>
                <w:sz w:val="21"/>
              </w:rPr>
              <w:t>叠加</w:t>
            </w:r>
          </w:p>
          <w:p>
            <w:pPr>
              <w:pStyle w:val="TableParagraph"/>
              <w:spacing w:before="88"/>
              <w:ind w:left="413"/>
              <w:jc w:val="left"/>
              <w:rPr>
                <w:rFonts w:ascii="宋体" w:eastAsia="宋体" w:hint="eastAsia"/>
                <w:b/>
                <w:sz w:val="21"/>
              </w:rPr>
            </w:pPr>
            <w:r>
              <w:rPr>
                <w:rFonts w:ascii="宋体" w:eastAsia="宋体" w:hint="eastAsia"/>
                <w:b/>
                <w:sz w:val="21"/>
              </w:rPr>
              <w:t>浓度</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44"/>
              <w:ind w:left="217"/>
              <w:jc w:val="left"/>
              <w:rPr>
                <w:rFonts w:ascii="宋体" w:eastAsia="宋体" w:hint="eastAsia"/>
                <w:b/>
                <w:sz w:val="21"/>
              </w:rPr>
            </w:pPr>
            <w:r>
              <w:rPr>
                <w:rFonts w:ascii="宋体" w:eastAsia="宋体" w:hint="eastAsia"/>
                <w:b/>
                <w:sz w:val="21"/>
              </w:rPr>
              <w:t>叠加后</w:t>
            </w:r>
          </w:p>
          <w:p>
            <w:pPr>
              <w:pStyle w:val="TableParagraph"/>
              <w:spacing w:before="88"/>
              <w:ind w:left="217"/>
              <w:jc w:val="left"/>
              <w:rPr>
                <w:rFonts w:ascii="宋体" w:eastAsia="宋体" w:hint="eastAsia"/>
                <w:b/>
                <w:sz w:val="21"/>
              </w:rPr>
            </w:pPr>
            <w:r>
              <w:rPr>
                <w:rFonts w:ascii="宋体" w:eastAsia="宋体" w:hint="eastAsia"/>
                <w:b/>
                <w:sz w:val="21"/>
              </w:rPr>
              <w:t>占标率</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89"/>
              <w:jc w:val="left"/>
              <w:rPr>
                <w:rFonts w:ascii="宋体" w:eastAsia="宋体" w:hint="eastAsia"/>
                <w:b/>
                <w:sz w:val="21"/>
              </w:rPr>
            </w:pPr>
            <w:r>
              <w:rPr>
                <w:rFonts w:ascii="宋体" w:eastAsia="宋体" w:hint="eastAsia"/>
                <w:b/>
                <w:sz w:val="21"/>
              </w:rPr>
              <w:t>达标</w:t>
            </w:r>
          </w:p>
          <w:p>
            <w:pPr>
              <w:pStyle w:val="TableParagraph"/>
              <w:spacing w:before="88"/>
              <w:ind w:left="189"/>
              <w:jc w:val="left"/>
              <w:rPr>
                <w:rFonts w:ascii="宋体" w:eastAsia="宋体" w:hint="eastAsia"/>
                <w:b/>
                <w:sz w:val="21"/>
              </w:rPr>
            </w:pPr>
            <w:r>
              <w:rPr>
                <w:rFonts w:ascii="宋体" w:eastAsia="宋体" w:hint="eastAsia"/>
                <w:b/>
                <w:sz w:val="21"/>
              </w:rPr>
              <w:t>情况</w:t>
            </w:r>
          </w:p>
        </w:tc>
        <w:tc>
          <w:tcPr>
            <w:tcW w:w="1228" w:type="dxa"/>
            <w:vMerge/>
            <w:tcBorders>
              <w:top w:val="nil"/>
              <w:left w:val="single" w:sz="4" w:space="0" w:color="000000"/>
              <w:bottom w:val="single" w:sz="4" w:space="0" w:color="000000"/>
            </w:tcBorders>
          </w:tcPr>
          <w:p>
            <w:pPr>
              <w:rPr>
                <w:sz w:val="2"/>
                <w:szCs w:val="2"/>
              </w:rPr>
            </w:pP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21</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158"/>
              <w:rPr>
                <w:rFonts w:ascii="宋体" w:eastAsia="宋体" w:hint="eastAsia"/>
                <w:sz w:val="21"/>
              </w:rPr>
            </w:pPr>
            <w:r>
              <w:rPr>
                <w:rFonts w:ascii="宋体" w:eastAsia="宋体" w:hint="eastAsia"/>
                <w:sz w:val="21"/>
              </w:rPr>
              <w:t>规划敏感点 </w:t>
            </w:r>
            <w:r>
              <w:rPr>
                <w:sz w:val="21"/>
              </w:rPr>
              <w:t>4</w:t>
            </w:r>
            <w:r>
              <w:rPr>
                <w:rFonts w:ascii="宋体" w:eastAsia="宋体" w:hint="eastAsia"/>
                <w:sz w:val="21"/>
              </w:rPr>
              <w:t>（</w:t>
            </w:r>
            <w:r>
              <w:rPr>
                <w:sz w:val="21"/>
              </w:rPr>
              <w:t>1819,754</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1.55E-03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right="213"/>
              <w:jc w:val="right"/>
              <w:rPr>
                <w:sz w:val="21"/>
              </w:rPr>
            </w:pPr>
            <w:r>
              <w:rPr>
                <w:sz w:val="21"/>
              </w:rPr>
              <w:t>19102901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15.51</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5.55E-03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55.51</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89"/>
              <w:jc w:val="left"/>
              <w:rPr>
                <w:sz w:val="21"/>
              </w:rPr>
            </w:pPr>
            <w:r>
              <w:rPr>
                <w:sz w:val="21"/>
              </w:rPr>
              <w:t>22</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right="158"/>
              <w:rPr>
                <w:rFonts w:ascii="宋体" w:eastAsia="宋体" w:hint="eastAsia"/>
                <w:sz w:val="21"/>
              </w:rPr>
            </w:pPr>
            <w:r>
              <w:rPr>
                <w:rFonts w:ascii="宋体" w:eastAsia="宋体" w:hint="eastAsia"/>
                <w:sz w:val="21"/>
              </w:rPr>
              <w:t>规划敏感点 </w:t>
            </w:r>
            <w:r>
              <w:rPr>
                <w:sz w:val="21"/>
              </w:rPr>
              <w:t>5</w:t>
            </w:r>
            <w:r>
              <w:rPr>
                <w:rFonts w:ascii="宋体" w:eastAsia="宋体" w:hint="eastAsia"/>
                <w:sz w:val="21"/>
              </w:rPr>
              <w:t>（</w:t>
            </w:r>
            <w:r>
              <w:rPr>
                <w:sz w:val="21"/>
              </w:rPr>
              <w:t>1698,1061</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0"/>
              <w:ind w:left="240"/>
              <w:jc w:val="left"/>
              <w:rPr>
                <w:sz w:val="21"/>
              </w:rPr>
            </w:pPr>
            <w:r>
              <w:rPr>
                <w:sz w:val="21"/>
              </w:rPr>
              <w:t>1.53E-03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0"/>
              <w:ind w:right="213"/>
              <w:jc w:val="right"/>
              <w:rPr>
                <w:sz w:val="21"/>
              </w:rPr>
            </w:pPr>
            <w:r>
              <w:rPr>
                <w:sz w:val="21"/>
              </w:rPr>
              <w:t>19121607</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0"/>
              <w:ind w:left="204" w:right="167"/>
              <w:rPr>
                <w:sz w:val="21"/>
              </w:rPr>
            </w:pPr>
            <w:r>
              <w:rPr>
                <w:sz w:val="21"/>
              </w:rPr>
              <w:t>15.28</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0"/>
              <w:ind w:left="219" w:right="192"/>
              <w:rPr>
                <w:sz w:val="21"/>
              </w:rPr>
            </w:pPr>
            <w:r>
              <w:rPr>
                <w:sz w:val="21"/>
              </w:rPr>
              <w:t>5.53E-03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0"/>
              <w:ind w:left="299"/>
              <w:jc w:val="left"/>
              <w:rPr>
                <w:sz w:val="21"/>
              </w:rPr>
            </w:pPr>
            <w:r>
              <w:rPr>
                <w:sz w:val="21"/>
              </w:rPr>
              <w:t>55.28</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0"/>
              <w:ind w:left="210" w:right="182"/>
              <w:rPr>
                <w:sz w:val="21"/>
              </w:rPr>
            </w:pPr>
            <w:r>
              <w:rPr>
                <w:sz w:val="21"/>
              </w:rPr>
              <w:t>1.00E-02</w:t>
            </w:r>
          </w:p>
        </w:tc>
      </w:tr>
      <w:tr>
        <w:trPr>
          <w:trHeight w:val="360"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23</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5"/>
              <w:ind w:left="192" w:right="158"/>
              <w:rPr>
                <w:rFonts w:ascii="宋体" w:eastAsia="宋体" w:hint="eastAsia"/>
                <w:sz w:val="21"/>
              </w:rPr>
            </w:pPr>
            <w:r>
              <w:rPr>
                <w:rFonts w:ascii="宋体" w:eastAsia="宋体" w:hint="eastAsia"/>
                <w:sz w:val="21"/>
              </w:rPr>
              <w:t>规划敏感点 </w:t>
            </w:r>
            <w:r>
              <w:rPr>
                <w:sz w:val="21"/>
              </w:rPr>
              <w:t>6</w:t>
            </w:r>
            <w:r>
              <w:rPr>
                <w:rFonts w:ascii="宋体" w:eastAsia="宋体" w:hint="eastAsia"/>
                <w:sz w:val="21"/>
              </w:rPr>
              <w:t>（</w:t>
            </w:r>
            <w:r>
              <w:rPr>
                <w:sz w:val="21"/>
              </w:rPr>
              <w:t>1573,1393</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5"/>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1.45E-03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right="213"/>
              <w:jc w:val="right"/>
              <w:rPr>
                <w:sz w:val="21"/>
              </w:rPr>
            </w:pPr>
            <w:r>
              <w:rPr>
                <w:sz w:val="21"/>
              </w:rPr>
              <w:t>19101001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14.53</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5"/>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5.45E-03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54.53</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5"/>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24</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158"/>
              <w:rPr>
                <w:rFonts w:ascii="宋体" w:eastAsia="宋体" w:hint="eastAsia"/>
                <w:sz w:val="21"/>
              </w:rPr>
            </w:pPr>
            <w:r>
              <w:rPr>
                <w:rFonts w:ascii="宋体" w:eastAsia="宋体" w:hint="eastAsia"/>
                <w:sz w:val="21"/>
              </w:rPr>
              <w:t>规划敏感点 </w:t>
            </w:r>
            <w:r>
              <w:rPr>
                <w:sz w:val="21"/>
              </w:rPr>
              <w:t>7</w:t>
            </w:r>
            <w:r>
              <w:rPr>
                <w:rFonts w:ascii="宋体" w:eastAsia="宋体" w:hint="eastAsia"/>
                <w:sz w:val="21"/>
              </w:rPr>
              <w:t>（</w:t>
            </w:r>
            <w:r>
              <w:rPr>
                <w:sz w:val="21"/>
              </w:rPr>
              <w:t>2059,1095</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1.28E-03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right="213"/>
              <w:jc w:val="right"/>
              <w:rPr>
                <w:sz w:val="21"/>
              </w:rPr>
            </w:pPr>
            <w:r>
              <w:rPr>
                <w:sz w:val="21"/>
              </w:rPr>
              <w:t>19102124</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12.80</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5.28E-03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52.80</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89"/>
              <w:jc w:val="left"/>
              <w:rPr>
                <w:sz w:val="21"/>
              </w:rPr>
            </w:pPr>
            <w:r>
              <w:rPr>
                <w:sz w:val="21"/>
              </w:rPr>
              <w:t>25</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right="158"/>
              <w:rPr>
                <w:rFonts w:ascii="宋体" w:eastAsia="宋体" w:hint="eastAsia"/>
                <w:sz w:val="21"/>
              </w:rPr>
            </w:pPr>
            <w:r>
              <w:rPr>
                <w:rFonts w:ascii="宋体" w:eastAsia="宋体" w:hint="eastAsia"/>
                <w:sz w:val="21"/>
              </w:rPr>
              <w:t>规划敏感点 </w:t>
            </w:r>
            <w:r>
              <w:rPr>
                <w:sz w:val="21"/>
              </w:rPr>
              <w:t>8</w:t>
            </w:r>
            <w:r>
              <w:rPr>
                <w:rFonts w:ascii="宋体" w:eastAsia="宋体" w:hint="eastAsia"/>
                <w:sz w:val="21"/>
              </w:rPr>
              <w:t>（</w:t>
            </w:r>
            <w:r>
              <w:rPr>
                <w:sz w:val="21"/>
              </w:rPr>
              <w:t>1977,1422</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0"/>
              <w:ind w:left="240"/>
              <w:jc w:val="left"/>
              <w:rPr>
                <w:sz w:val="21"/>
              </w:rPr>
            </w:pPr>
            <w:r>
              <w:rPr>
                <w:sz w:val="21"/>
              </w:rPr>
              <w:t>1.21E-03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0"/>
              <w:ind w:right="213"/>
              <w:jc w:val="right"/>
              <w:rPr>
                <w:sz w:val="21"/>
              </w:rPr>
            </w:pPr>
            <w:r>
              <w:rPr>
                <w:sz w:val="21"/>
              </w:rPr>
              <w:t>19101022</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0"/>
              <w:ind w:left="204" w:right="167"/>
              <w:rPr>
                <w:sz w:val="21"/>
              </w:rPr>
            </w:pPr>
            <w:r>
              <w:rPr>
                <w:sz w:val="21"/>
              </w:rPr>
              <w:t>12.14</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0"/>
              <w:ind w:left="219" w:right="192"/>
              <w:rPr>
                <w:sz w:val="21"/>
              </w:rPr>
            </w:pPr>
            <w:r>
              <w:rPr>
                <w:sz w:val="21"/>
              </w:rPr>
              <w:t>5.21E-03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0"/>
              <w:ind w:left="299"/>
              <w:jc w:val="left"/>
              <w:rPr>
                <w:sz w:val="21"/>
              </w:rPr>
            </w:pPr>
            <w:r>
              <w:rPr>
                <w:sz w:val="21"/>
              </w:rPr>
              <w:t>52.14</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0"/>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26</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158"/>
              <w:rPr>
                <w:rFonts w:ascii="宋体" w:eastAsia="宋体" w:hint="eastAsia"/>
                <w:sz w:val="21"/>
              </w:rPr>
            </w:pPr>
            <w:r>
              <w:rPr>
                <w:rFonts w:ascii="宋体" w:eastAsia="宋体" w:hint="eastAsia"/>
                <w:sz w:val="21"/>
              </w:rPr>
              <w:t>规划敏感点 </w:t>
            </w:r>
            <w:r>
              <w:rPr>
                <w:sz w:val="21"/>
              </w:rPr>
              <w:t>9</w:t>
            </w:r>
            <w:r>
              <w:rPr>
                <w:rFonts w:ascii="宋体" w:eastAsia="宋体" w:hint="eastAsia"/>
                <w:sz w:val="21"/>
              </w:rPr>
              <w:t>（</w:t>
            </w:r>
            <w:r>
              <w:rPr>
                <w:sz w:val="21"/>
              </w:rPr>
              <w:t>1126,2099</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1.25E-03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right="213"/>
              <w:jc w:val="right"/>
              <w:rPr>
                <w:sz w:val="21"/>
              </w:rPr>
            </w:pPr>
            <w:r>
              <w:rPr>
                <w:sz w:val="21"/>
              </w:rPr>
              <w:t>19103001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12.47</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5.25E-03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52.47</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7"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27</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158"/>
              <w:rPr>
                <w:rFonts w:ascii="宋体" w:eastAsia="宋体" w:hint="eastAsia"/>
                <w:sz w:val="21"/>
              </w:rPr>
            </w:pPr>
            <w:r>
              <w:rPr>
                <w:rFonts w:ascii="宋体" w:eastAsia="宋体" w:hint="eastAsia"/>
                <w:sz w:val="21"/>
              </w:rPr>
              <w:t>规划敏感点 </w:t>
            </w:r>
            <w:r>
              <w:rPr>
                <w:sz w:val="21"/>
              </w:rPr>
              <w:t>10</w:t>
            </w:r>
            <w:r>
              <w:rPr>
                <w:rFonts w:ascii="宋体" w:eastAsia="宋体" w:hint="eastAsia"/>
                <w:sz w:val="21"/>
              </w:rPr>
              <w:t>（</w:t>
            </w:r>
            <w:r>
              <w:rPr>
                <w:sz w:val="21"/>
              </w:rPr>
              <w:t>1162,2463</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1.07E-03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right="213"/>
              <w:jc w:val="right"/>
              <w:rPr>
                <w:sz w:val="21"/>
              </w:rPr>
            </w:pPr>
            <w:r>
              <w:rPr>
                <w:sz w:val="21"/>
              </w:rPr>
              <w:t>19102021</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10.69</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5.07E-03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99"/>
              <w:jc w:val="left"/>
              <w:rPr>
                <w:sz w:val="21"/>
              </w:rPr>
            </w:pPr>
            <w:r>
              <w:rPr>
                <w:sz w:val="21"/>
              </w:rPr>
              <w:t>50.69</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bottom w:val="single" w:sz="4" w:space="0" w:color="000000"/>
              <w:right w:val="single" w:sz="4" w:space="0" w:color="000000"/>
            </w:tcBorders>
          </w:tcPr>
          <w:p>
            <w:pPr>
              <w:pStyle w:val="TableParagraph"/>
              <w:spacing w:before="60"/>
              <w:ind w:left="289"/>
              <w:jc w:val="left"/>
              <w:rPr>
                <w:sz w:val="21"/>
              </w:rPr>
            </w:pPr>
            <w:r>
              <w:rPr>
                <w:sz w:val="21"/>
              </w:rPr>
              <w:t>28</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right="155"/>
              <w:rPr>
                <w:rFonts w:ascii="宋体" w:eastAsia="宋体" w:hint="eastAsia"/>
                <w:sz w:val="21"/>
              </w:rPr>
            </w:pPr>
            <w:r>
              <w:rPr>
                <w:rFonts w:ascii="宋体" w:eastAsia="宋体" w:hint="eastAsia"/>
                <w:sz w:val="21"/>
              </w:rPr>
              <w:t>规划敏感点 </w:t>
            </w:r>
            <w:r>
              <w:rPr>
                <w:sz w:val="21"/>
              </w:rPr>
              <w:t>11</w:t>
            </w:r>
            <w:r>
              <w:rPr>
                <w:rFonts w:ascii="宋体" w:eastAsia="宋体" w:hint="eastAsia"/>
                <w:sz w:val="21"/>
              </w:rPr>
              <w:t>（</w:t>
            </w:r>
            <w:r>
              <w:rPr>
                <w:sz w:val="21"/>
              </w:rPr>
              <w:t>33,2313</w:t>
            </w:r>
            <w:r>
              <w:rPr>
                <w:rFonts w:ascii="宋体" w:eastAsia="宋体" w:hint="eastAsia"/>
                <w:sz w:val="21"/>
              </w:rPr>
              <w:t>）</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spacing w:before="60"/>
              <w:ind w:left="240"/>
              <w:jc w:val="left"/>
              <w:rPr>
                <w:sz w:val="21"/>
              </w:rPr>
            </w:pPr>
            <w:r>
              <w:rPr>
                <w:sz w:val="21"/>
              </w:rPr>
              <w:t>1.30E-03</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spacing w:before="60"/>
              <w:ind w:right="213"/>
              <w:jc w:val="right"/>
              <w:rPr>
                <w:sz w:val="21"/>
              </w:rPr>
            </w:pPr>
            <w:r>
              <w:rPr>
                <w:sz w:val="21"/>
              </w:rPr>
              <w:t>19061523</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spacing w:before="60"/>
              <w:ind w:left="204" w:right="167"/>
              <w:rPr>
                <w:sz w:val="21"/>
              </w:rPr>
            </w:pPr>
            <w:r>
              <w:rPr>
                <w:sz w:val="21"/>
              </w:rPr>
              <w:t>13.03</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6"/>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spacing w:before="60"/>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spacing w:before="60"/>
              <w:ind w:left="219" w:right="192"/>
              <w:rPr>
                <w:sz w:val="21"/>
              </w:rPr>
            </w:pPr>
            <w:r>
              <w:rPr>
                <w:sz w:val="21"/>
              </w:rPr>
              <w:t>5.30E-03</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spacing w:before="60"/>
              <w:ind w:left="299"/>
              <w:jc w:val="left"/>
              <w:rPr>
                <w:sz w:val="21"/>
              </w:rPr>
            </w:pPr>
            <w:r>
              <w:rPr>
                <w:sz w:val="21"/>
              </w:rPr>
              <w:t>53.03</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6"/>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bottom w:val="single" w:sz="4" w:space="0" w:color="000000"/>
            </w:tcBorders>
          </w:tcPr>
          <w:p>
            <w:pPr>
              <w:pStyle w:val="TableParagraph"/>
              <w:spacing w:before="60"/>
              <w:ind w:left="210" w:right="182"/>
              <w:rPr>
                <w:sz w:val="21"/>
              </w:rPr>
            </w:pPr>
            <w:r>
              <w:rPr>
                <w:sz w:val="21"/>
              </w:rPr>
              <w:t>1.00E-02</w:t>
            </w:r>
          </w:p>
        </w:tc>
      </w:tr>
      <w:tr>
        <w:trPr>
          <w:trHeight w:val="360" w:hRule="atLeast"/>
        </w:trPr>
        <w:tc>
          <w:tcPr>
            <w:tcW w:w="792" w:type="dxa"/>
            <w:tcBorders>
              <w:top w:val="single" w:sz="4" w:space="0" w:color="000000"/>
              <w:bottom w:val="single" w:sz="4" w:space="0" w:color="000000"/>
              <w:right w:val="single" w:sz="4" w:space="0" w:color="000000"/>
            </w:tcBorders>
          </w:tcPr>
          <w:p>
            <w:pPr>
              <w:pStyle w:val="TableParagraph"/>
              <w:ind w:left="289"/>
              <w:jc w:val="left"/>
              <w:rPr>
                <w:sz w:val="21"/>
              </w:rPr>
            </w:pPr>
            <w:r>
              <w:rPr>
                <w:sz w:val="21"/>
              </w:rPr>
              <w:t>29</w:t>
            </w:r>
          </w:p>
        </w:tc>
        <w:tc>
          <w:tcPr>
            <w:tcW w:w="3079"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right="55"/>
              <w:rPr>
                <w:rFonts w:ascii="宋体" w:eastAsia="宋体" w:hint="eastAsia"/>
                <w:sz w:val="21"/>
              </w:rPr>
            </w:pPr>
            <w:r>
              <w:rPr>
                <w:rFonts w:ascii="宋体" w:eastAsia="宋体" w:hint="eastAsia"/>
                <w:sz w:val="21"/>
              </w:rPr>
              <w:t>网格（</w:t>
            </w:r>
            <w:r>
              <w:rPr>
                <w:sz w:val="21"/>
              </w:rPr>
              <w:t>150,100</w:t>
            </w:r>
            <w:r>
              <w:rPr>
                <w:rFonts w:ascii="宋体" w:eastAsia="宋体" w:hint="eastAsia"/>
                <w:sz w:val="21"/>
              </w:rPr>
              <w:t>） </w:t>
            </w:r>
          </w:p>
        </w:tc>
        <w:tc>
          <w:tcPr>
            <w:tcW w:w="992"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bottom w:val="single" w:sz="4" w:space="0" w:color="000000"/>
              <w:right w:val="single" w:sz="4" w:space="0" w:color="000000"/>
            </w:tcBorders>
          </w:tcPr>
          <w:p>
            <w:pPr>
              <w:pStyle w:val="TableParagraph"/>
              <w:ind w:left="240"/>
              <w:jc w:val="left"/>
              <w:rPr>
                <w:sz w:val="21"/>
              </w:rPr>
            </w:pPr>
            <w:r>
              <w:rPr>
                <w:sz w:val="21"/>
              </w:rPr>
              <w:t>1.67E-02</w:t>
            </w:r>
          </w:p>
        </w:tc>
        <w:tc>
          <w:tcPr>
            <w:tcW w:w="1315" w:type="dxa"/>
            <w:tcBorders>
              <w:top w:val="single" w:sz="4" w:space="0" w:color="000000"/>
              <w:left w:val="single" w:sz="4" w:space="0" w:color="000000"/>
              <w:bottom w:val="single" w:sz="4" w:space="0" w:color="000000"/>
              <w:right w:val="single" w:sz="4" w:space="0" w:color="000000"/>
            </w:tcBorders>
          </w:tcPr>
          <w:p>
            <w:pPr>
              <w:pStyle w:val="TableParagraph"/>
              <w:ind w:right="213"/>
              <w:jc w:val="right"/>
              <w:rPr>
                <w:sz w:val="21"/>
              </w:rPr>
            </w:pPr>
            <w:r>
              <w:rPr>
                <w:sz w:val="21"/>
              </w:rPr>
              <w:t>19090920</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ind w:left="204" w:right="167"/>
              <w:rPr>
                <w:sz w:val="21"/>
              </w:rPr>
            </w:pPr>
            <w:r>
              <w:rPr>
                <w:sz w:val="21"/>
              </w:rPr>
              <w:t>166.55</w:t>
            </w:r>
          </w:p>
        </w:tc>
        <w:tc>
          <w:tcPr>
            <w:tcW w:w="795" w:type="dxa"/>
            <w:tcBorders>
              <w:top w:val="single" w:sz="4" w:space="0" w:color="000000"/>
              <w:left w:val="single" w:sz="4" w:space="0" w:color="000000"/>
              <w:bottom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超标</w:t>
            </w:r>
          </w:p>
        </w:tc>
        <w:tc>
          <w:tcPr>
            <w:tcW w:w="1237" w:type="dxa"/>
            <w:tcBorders>
              <w:top w:val="single" w:sz="4" w:space="0" w:color="000000"/>
              <w:left w:val="single" w:sz="4" w:space="0" w:color="000000"/>
              <w:bottom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bottom w:val="single" w:sz="4" w:space="0" w:color="000000"/>
              <w:right w:val="single" w:sz="4" w:space="0" w:color="000000"/>
            </w:tcBorders>
          </w:tcPr>
          <w:p>
            <w:pPr>
              <w:pStyle w:val="TableParagraph"/>
              <w:ind w:left="219" w:right="192"/>
              <w:rPr>
                <w:sz w:val="21"/>
              </w:rPr>
            </w:pPr>
            <w:r>
              <w:rPr>
                <w:sz w:val="21"/>
              </w:rPr>
              <w:t>2.07E-02</w:t>
            </w:r>
          </w:p>
        </w:tc>
        <w:tc>
          <w:tcPr>
            <w:tcW w:w="1060" w:type="dxa"/>
            <w:tcBorders>
              <w:top w:val="single" w:sz="4" w:space="0" w:color="000000"/>
              <w:left w:val="single" w:sz="4" w:space="0" w:color="000000"/>
              <w:bottom w:val="single" w:sz="4" w:space="0" w:color="000000"/>
              <w:right w:val="single" w:sz="4" w:space="0" w:color="000000"/>
            </w:tcBorders>
          </w:tcPr>
          <w:p>
            <w:pPr>
              <w:pStyle w:val="TableParagraph"/>
              <w:ind w:left="246"/>
              <w:jc w:val="left"/>
              <w:rPr>
                <w:sz w:val="21"/>
              </w:rPr>
            </w:pPr>
            <w:r>
              <w:rPr>
                <w:sz w:val="21"/>
              </w:rPr>
              <w:t>206.55</w:t>
            </w:r>
          </w:p>
        </w:tc>
        <w:tc>
          <w:tcPr>
            <w:tcW w:w="796" w:type="dxa"/>
            <w:tcBorders>
              <w:top w:val="single" w:sz="4" w:space="0" w:color="000000"/>
              <w:left w:val="single" w:sz="4" w:space="0" w:color="000000"/>
              <w:bottom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超标</w:t>
            </w:r>
          </w:p>
        </w:tc>
        <w:tc>
          <w:tcPr>
            <w:tcW w:w="1228" w:type="dxa"/>
            <w:tcBorders>
              <w:top w:val="single" w:sz="4" w:space="0" w:color="000000"/>
              <w:left w:val="single" w:sz="4" w:space="0" w:color="000000"/>
              <w:bottom w:val="single" w:sz="4" w:space="0" w:color="000000"/>
            </w:tcBorders>
          </w:tcPr>
          <w:p>
            <w:pPr>
              <w:pStyle w:val="TableParagraph"/>
              <w:ind w:left="210" w:right="182"/>
              <w:rPr>
                <w:sz w:val="21"/>
              </w:rPr>
            </w:pPr>
            <w:r>
              <w:rPr>
                <w:sz w:val="21"/>
              </w:rPr>
              <w:t>1.00E-02</w:t>
            </w:r>
          </w:p>
        </w:tc>
      </w:tr>
      <w:tr>
        <w:trPr>
          <w:trHeight w:val="359" w:hRule="atLeast"/>
        </w:trPr>
        <w:tc>
          <w:tcPr>
            <w:tcW w:w="792" w:type="dxa"/>
            <w:tcBorders>
              <w:top w:val="single" w:sz="4" w:space="0" w:color="000000"/>
              <w:right w:val="single" w:sz="4" w:space="0" w:color="000000"/>
            </w:tcBorders>
          </w:tcPr>
          <w:p>
            <w:pPr>
              <w:pStyle w:val="TableParagraph"/>
              <w:ind w:left="289"/>
              <w:jc w:val="left"/>
              <w:rPr>
                <w:sz w:val="21"/>
              </w:rPr>
            </w:pPr>
            <w:r>
              <w:rPr>
                <w:sz w:val="21"/>
              </w:rPr>
              <w:t>30</w:t>
            </w:r>
          </w:p>
        </w:tc>
        <w:tc>
          <w:tcPr>
            <w:tcW w:w="3079" w:type="dxa"/>
            <w:tcBorders>
              <w:top w:val="single" w:sz="4" w:space="0" w:color="000000"/>
              <w:left w:val="single" w:sz="4" w:space="0" w:color="000000"/>
              <w:right w:val="single" w:sz="4" w:space="0" w:color="000000"/>
            </w:tcBorders>
          </w:tcPr>
          <w:p>
            <w:pPr>
              <w:pStyle w:val="TableParagraph"/>
              <w:spacing w:before="44"/>
              <w:ind w:left="192" w:right="52"/>
              <w:rPr>
                <w:rFonts w:ascii="宋体" w:eastAsia="宋体" w:hint="eastAsia"/>
                <w:sz w:val="21"/>
              </w:rPr>
            </w:pPr>
            <w:r>
              <w:rPr>
                <w:rFonts w:ascii="宋体" w:eastAsia="宋体" w:hint="eastAsia"/>
                <w:sz w:val="21"/>
              </w:rPr>
              <w:t>厂界（</w:t>
            </w:r>
            <w:r>
              <w:rPr>
                <w:sz w:val="21"/>
              </w:rPr>
              <w:t>123,89</w:t>
            </w:r>
            <w:r>
              <w:rPr>
                <w:rFonts w:ascii="宋体" w:eastAsia="宋体" w:hint="eastAsia"/>
                <w:sz w:val="21"/>
              </w:rPr>
              <w:t>） </w:t>
            </w:r>
          </w:p>
        </w:tc>
        <w:tc>
          <w:tcPr>
            <w:tcW w:w="992" w:type="dxa"/>
            <w:tcBorders>
              <w:top w:val="single" w:sz="4" w:space="0" w:color="000000"/>
              <w:left w:val="single" w:sz="4" w:space="0" w:color="000000"/>
              <w:right w:val="single" w:sz="4" w:space="0" w:color="000000"/>
            </w:tcBorders>
          </w:tcPr>
          <w:p>
            <w:pPr>
              <w:pStyle w:val="TableParagraph"/>
              <w:spacing w:before="44"/>
              <w:ind w:left="116" w:right="84"/>
              <w:rPr>
                <w:rFonts w:ascii="宋体" w:eastAsia="宋体" w:hint="eastAsia"/>
                <w:sz w:val="21"/>
              </w:rPr>
            </w:pPr>
            <w:r>
              <w:rPr>
                <w:sz w:val="21"/>
              </w:rPr>
              <w:t>1 </w:t>
            </w:r>
            <w:r>
              <w:rPr>
                <w:rFonts w:ascii="宋体" w:eastAsia="宋体" w:hint="eastAsia"/>
                <w:sz w:val="21"/>
              </w:rPr>
              <w:t>小时</w:t>
            </w:r>
          </w:p>
        </w:tc>
        <w:tc>
          <w:tcPr>
            <w:tcW w:w="1236" w:type="dxa"/>
            <w:tcBorders>
              <w:top w:val="single" w:sz="4" w:space="0" w:color="000000"/>
              <w:left w:val="single" w:sz="4" w:space="0" w:color="000000"/>
              <w:right w:val="single" w:sz="4" w:space="0" w:color="000000"/>
            </w:tcBorders>
          </w:tcPr>
          <w:p>
            <w:pPr>
              <w:pStyle w:val="TableParagraph"/>
              <w:ind w:left="240"/>
              <w:jc w:val="left"/>
              <w:rPr>
                <w:sz w:val="21"/>
              </w:rPr>
            </w:pPr>
            <w:r>
              <w:rPr>
                <w:sz w:val="21"/>
              </w:rPr>
              <w:t>1.74E-02</w:t>
            </w:r>
          </w:p>
        </w:tc>
        <w:tc>
          <w:tcPr>
            <w:tcW w:w="1315" w:type="dxa"/>
            <w:tcBorders>
              <w:top w:val="single" w:sz="4" w:space="0" w:color="000000"/>
              <w:left w:val="single" w:sz="4" w:space="0" w:color="000000"/>
              <w:right w:val="single" w:sz="4" w:space="0" w:color="000000"/>
            </w:tcBorders>
          </w:tcPr>
          <w:p>
            <w:pPr>
              <w:pStyle w:val="TableParagraph"/>
              <w:ind w:right="213"/>
              <w:jc w:val="right"/>
              <w:rPr>
                <w:sz w:val="21"/>
              </w:rPr>
            </w:pPr>
            <w:r>
              <w:rPr>
                <w:sz w:val="21"/>
              </w:rPr>
              <w:t>19031020</w:t>
            </w:r>
          </w:p>
        </w:tc>
        <w:tc>
          <w:tcPr>
            <w:tcW w:w="1059" w:type="dxa"/>
            <w:tcBorders>
              <w:top w:val="single" w:sz="4" w:space="0" w:color="000000"/>
              <w:left w:val="single" w:sz="4" w:space="0" w:color="000000"/>
              <w:right w:val="single" w:sz="4" w:space="0" w:color="000000"/>
            </w:tcBorders>
          </w:tcPr>
          <w:p>
            <w:pPr>
              <w:pStyle w:val="TableParagraph"/>
              <w:ind w:left="204" w:right="167"/>
              <w:rPr>
                <w:sz w:val="21"/>
              </w:rPr>
            </w:pPr>
            <w:r>
              <w:rPr>
                <w:sz w:val="21"/>
              </w:rPr>
              <w:t>29.00</w:t>
            </w:r>
          </w:p>
        </w:tc>
        <w:tc>
          <w:tcPr>
            <w:tcW w:w="795" w:type="dxa"/>
            <w:tcBorders>
              <w:top w:val="single" w:sz="4" w:space="0" w:color="000000"/>
              <w:left w:val="single" w:sz="4" w:space="0" w:color="000000"/>
              <w:right w:val="single" w:sz="4" w:space="0" w:color="000000"/>
            </w:tcBorders>
          </w:tcPr>
          <w:p>
            <w:pPr>
              <w:pStyle w:val="TableParagraph"/>
              <w:spacing w:before="44"/>
              <w:ind w:left="196"/>
              <w:jc w:val="left"/>
              <w:rPr>
                <w:rFonts w:ascii="宋体" w:eastAsia="宋体" w:hint="eastAsia"/>
                <w:sz w:val="21"/>
              </w:rPr>
            </w:pPr>
            <w:r>
              <w:rPr>
                <w:rFonts w:ascii="宋体" w:eastAsia="宋体" w:hint="eastAsia"/>
                <w:sz w:val="21"/>
              </w:rPr>
              <w:t>达标</w:t>
            </w:r>
          </w:p>
        </w:tc>
        <w:tc>
          <w:tcPr>
            <w:tcW w:w="1237" w:type="dxa"/>
            <w:tcBorders>
              <w:top w:val="single" w:sz="4" w:space="0" w:color="000000"/>
              <w:left w:val="single" w:sz="4" w:space="0" w:color="000000"/>
              <w:right w:val="single" w:sz="4" w:space="0" w:color="000000"/>
            </w:tcBorders>
          </w:tcPr>
          <w:p>
            <w:pPr>
              <w:pStyle w:val="TableParagraph"/>
              <w:ind w:left="220" w:right="191"/>
              <w:rPr>
                <w:sz w:val="21"/>
              </w:rPr>
            </w:pPr>
            <w:r>
              <w:rPr>
                <w:sz w:val="21"/>
              </w:rPr>
              <w:t>4.00E-03</w:t>
            </w:r>
          </w:p>
        </w:tc>
        <w:tc>
          <w:tcPr>
            <w:tcW w:w="1238" w:type="dxa"/>
            <w:tcBorders>
              <w:top w:val="single" w:sz="4" w:space="0" w:color="000000"/>
              <w:left w:val="single" w:sz="4" w:space="0" w:color="000000"/>
              <w:right w:val="single" w:sz="4" w:space="0" w:color="000000"/>
            </w:tcBorders>
          </w:tcPr>
          <w:p>
            <w:pPr>
              <w:pStyle w:val="TableParagraph"/>
              <w:ind w:left="219" w:right="192"/>
              <w:rPr>
                <w:sz w:val="21"/>
              </w:rPr>
            </w:pPr>
            <w:r>
              <w:rPr>
                <w:sz w:val="21"/>
              </w:rPr>
              <w:t>2.14E-02</w:t>
            </w:r>
          </w:p>
        </w:tc>
        <w:tc>
          <w:tcPr>
            <w:tcW w:w="1060" w:type="dxa"/>
            <w:tcBorders>
              <w:top w:val="single" w:sz="4" w:space="0" w:color="000000"/>
              <w:left w:val="single" w:sz="4" w:space="0" w:color="000000"/>
              <w:right w:val="single" w:sz="4" w:space="0" w:color="000000"/>
            </w:tcBorders>
          </w:tcPr>
          <w:p>
            <w:pPr>
              <w:pStyle w:val="TableParagraph"/>
              <w:ind w:left="299"/>
              <w:jc w:val="left"/>
              <w:rPr>
                <w:sz w:val="21"/>
              </w:rPr>
            </w:pPr>
            <w:r>
              <w:rPr>
                <w:sz w:val="21"/>
              </w:rPr>
              <w:t>35.67</w:t>
            </w:r>
          </w:p>
        </w:tc>
        <w:tc>
          <w:tcPr>
            <w:tcW w:w="796" w:type="dxa"/>
            <w:tcBorders>
              <w:top w:val="single" w:sz="4" w:space="0" w:color="000000"/>
              <w:left w:val="single" w:sz="4" w:space="0" w:color="000000"/>
              <w:right w:val="single" w:sz="4" w:space="0" w:color="000000"/>
            </w:tcBorders>
          </w:tcPr>
          <w:p>
            <w:pPr>
              <w:pStyle w:val="TableParagraph"/>
              <w:spacing w:before="44"/>
              <w:ind w:left="192"/>
              <w:jc w:val="left"/>
              <w:rPr>
                <w:rFonts w:ascii="宋体" w:eastAsia="宋体" w:hint="eastAsia"/>
                <w:sz w:val="21"/>
              </w:rPr>
            </w:pPr>
            <w:r>
              <w:rPr>
                <w:rFonts w:ascii="宋体" w:eastAsia="宋体" w:hint="eastAsia"/>
                <w:sz w:val="21"/>
              </w:rPr>
              <w:t>达标</w:t>
            </w:r>
          </w:p>
        </w:tc>
        <w:tc>
          <w:tcPr>
            <w:tcW w:w="1228" w:type="dxa"/>
            <w:tcBorders>
              <w:top w:val="single" w:sz="4" w:space="0" w:color="000000"/>
              <w:left w:val="single" w:sz="4" w:space="0" w:color="000000"/>
            </w:tcBorders>
          </w:tcPr>
          <w:p>
            <w:pPr>
              <w:pStyle w:val="TableParagraph"/>
              <w:ind w:left="210" w:right="182"/>
              <w:rPr>
                <w:sz w:val="21"/>
              </w:rPr>
            </w:pPr>
            <w:r>
              <w:rPr>
                <w:sz w:val="21"/>
              </w:rPr>
              <w:t>6.00E-02</w:t>
            </w:r>
          </w:p>
        </w:tc>
      </w:tr>
    </w:tbl>
    <w:p>
      <w:pPr>
        <w:spacing w:after="0"/>
        <w:rPr>
          <w:sz w:val="21"/>
        </w:rPr>
        <w:sectPr>
          <w:pgSz w:w="16840" w:h="11910" w:orient="landscape"/>
          <w:pgMar w:header="874" w:footer="1004" w:top="1180" w:bottom="1200" w:left="900" w:right="860"/>
        </w:sectPr>
      </w:pPr>
    </w:p>
    <w:p>
      <w:pPr>
        <w:spacing w:before="56" w:after="18"/>
        <w:ind w:left="1708" w:right="1705"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100"/>
        <w:rPr>
          <w:sz w:val="2"/>
        </w:rPr>
      </w:pPr>
      <w:r>
        <w:rPr>
          <w:sz w:val="2"/>
        </w:rPr>
        <w:pict>
          <v:group style="width:463.7pt;height:.75pt;mso-position-horizontal-relative:char;mso-position-vertical-relative:line" coordorigin="0,0" coordsize="9274,15">
            <v:line style="position:absolute" from="0,7" to="9273,7" stroked="true" strokeweight=".72pt" strokecolor="#000000">
              <v:stroke dashstyle="solid"/>
            </v:line>
          </v:group>
        </w:pict>
      </w:r>
      <w:r>
        <w:rPr>
          <w:sz w:val="2"/>
        </w:rPr>
      </w:r>
    </w:p>
    <w:p>
      <w:pPr>
        <w:pStyle w:val="BodyText"/>
        <w:spacing w:before="4"/>
        <w:ind w:left="0"/>
        <w:rPr>
          <w:sz w:val="25"/>
        </w:rPr>
      </w:pPr>
    </w:p>
    <w:p>
      <w:pPr>
        <w:spacing w:before="73"/>
        <w:ind w:left="617" w:right="0" w:firstLine="0"/>
        <w:jc w:val="left"/>
        <w:rPr>
          <w:rFonts w:ascii="Times New Roman" w:hAnsi="Times New Roman"/>
          <w:sz w:val="16"/>
        </w:rPr>
      </w:pPr>
      <w:r>
        <w:rPr>
          <w:position w:val="2"/>
          <w:sz w:val="24"/>
        </w:rPr>
        <w:t>③</w:t>
      </w:r>
      <w:r>
        <w:rPr>
          <w:rFonts w:ascii="Times New Roman" w:hAnsi="Times New Roman"/>
          <w:position w:val="2"/>
          <w:sz w:val="24"/>
        </w:rPr>
        <w:t>NO</w:t>
      </w:r>
      <w:r>
        <w:rPr>
          <w:rFonts w:ascii="Times New Roman" w:hAnsi="Times New Roman"/>
          <w:sz w:val="16"/>
        </w:rPr>
        <w:t>2</w:t>
      </w:r>
    </w:p>
    <w:p>
      <w:pPr>
        <w:pStyle w:val="BodyText"/>
        <w:spacing w:line="364" w:lineRule="auto" w:before="161"/>
        <w:ind w:left="617" w:right="132"/>
        <w:jc w:val="both"/>
      </w:pPr>
      <w:r>
        <w:rPr>
          <w:spacing w:val="-6"/>
          <w:position w:val="2"/>
        </w:rPr>
        <w:t>正常工况下，项目实施后 </w:t>
      </w:r>
      <w:r>
        <w:rPr>
          <w:rFonts w:ascii="Times New Roman" w:eastAsia="Times New Roman"/>
          <w:position w:val="2"/>
        </w:rPr>
        <w:t>NO</w:t>
      </w:r>
      <w:r>
        <w:rPr>
          <w:rFonts w:ascii="Times New Roman" w:eastAsia="Times New Roman"/>
          <w:sz w:val="16"/>
        </w:rPr>
        <w:t>2 </w:t>
      </w:r>
      <w:r>
        <w:rPr>
          <w:spacing w:val="-7"/>
          <w:position w:val="2"/>
        </w:rPr>
        <w:t>排放的预测结果见表 </w:t>
      </w:r>
      <w:r>
        <w:rPr>
          <w:rFonts w:ascii="Times New Roman" w:eastAsia="Times New Roman"/>
          <w:position w:val="2"/>
        </w:rPr>
        <w:t>5.2-22 </w:t>
      </w:r>
      <w:r>
        <w:rPr>
          <w:spacing w:val="-20"/>
          <w:position w:val="2"/>
        </w:rPr>
        <w:t>及图 </w:t>
      </w:r>
      <w:r>
        <w:rPr>
          <w:rFonts w:ascii="Times New Roman" w:eastAsia="Times New Roman"/>
          <w:position w:val="2"/>
        </w:rPr>
        <w:t>5.2-13~</w:t>
      </w:r>
      <w:r>
        <w:rPr>
          <w:spacing w:val="-31"/>
          <w:position w:val="2"/>
        </w:rPr>
        <w:t>图 </w:t>
      </w:r>
      <w:r>
        <w:rPr>
          <w:rFonts w:ascii="Times New Roman" w:eastAsia="Times New Roman"/>
          <w:position w:val="2"/>
        </w:rPr>
        <w:t>5.2-14</w:t>
      </w:r>
      <w:r>
        <w:rPr>
          <w:position w:val="2"/>
        </w:rPr>
        <w:t>。</w:t>
      </w:r>
      <w:r>
        <w:rPr>
          <w:spacing w:val="-2"/>
          <w:position w:val="2"/>
        </w:rPr>
        <w:t>由预测结果可知，正常工况下，项目实施后 </w:t>
      </w:r>
      <w:r>
        <w:rPr>
          <w:rFonts w:ascii="Times New Roman" w:eastAsia="Times New Roman"/>
          <w:position w:val="2"/>
        </w:rPr>
        <w:t>NO</w:t>
      </w:r>
      <w:r>
        <w:rPr>
          <w:rFonts w:ascii="Times New Roman" w:eastAsia="Times New Roman"/>
          <w:sz w:val="16"/>
        </w:rPr>
        <w:t>2 </w:t>
      </w:r>
      <w:r>
        <w:rPr>
          <w:spacing w:val="-2"/>
          <w:position w:val="2"/>
        </w:rPr>
        <w:t>排放的小时浓度贡献值、日均浓度</w:t>
      </w:r>
    </w:p>
    <w:p>
      <w:pPr>
        <w:pStyle w:val="BodyText"/>
        <w:spacing w:line="364" w:lineRule="auto" w:before="2"/>
        <w:ind w:left="137" w:right="130"/>
        <w:jc w:val="both"/>
      </w:pPr>
      <w:r>
        <w:rPr/>
        <w:drawing>
          <wp:anchor distT="0" distB="0" distL="0" distR="0" allowOverlap="1" layoutInCell="1" locked="0" behindDoc="1" simplePos="0" relativeHeight="187927552">
            <wp:simplePos x="0" y="0"/>
            <wp:positionH relativeFrom="page">
              <wp:posOffset>2164079</wp:posOffset>
            </wp:positionH>
            <wp:positionV relativeFrom="paragraph">
              <wp:posOffset>1151254</wp:posOffset>
            </wp:positionV>
            <wp:extent cx="3138805" cy="3134359"/>
            <wp:effectExtent l="0" t="0" r="0" b="0"/>
            <wp:wrapNone/>
            <wp:docPr id="35" name="image72.jpeg"/>
            <wp:cNvGraphicFramePr>
              <a:graphicFrameLocks noChangeAspect="1"/>
            </wp:cNvGraphicFramePr>
            <a:graphic>
              <a:graphicData uri="http://schemas.openxmlformats.org/drawingml/2006/picture">
                <pic:pic>
                  <pic:nvPicPr>
                    <pic:cNvPr id="36" name="image72.jpeg"/>
                    <pic:cNvPicPr/>
                  </pic:nvPicPr>
                  <pic:blipFill>
                    <a:blip r:embed="rId128" cstate="print"/>
                    <a:stretch>
                      <a:fillRect/>
                    </a:stretch>
                  </pic:blipFill>
                  <pic:spPr>
                    <a:xfrm>
                      <a:off x="0" y="0"/>
                      <a:ext cx="3138805" cy="3134359"/>
                    </a:xfrm>
                    <a:prstGeom prst="rect">
                      <a:avLst/>
                    </a:prstGeom>
                  </pic:spPr>
                </pic:pic>
              </a:graphicData>
            </a:graphic>
          </wp:anchor>
        </w:drawing>
      </w:r>
      <w:r>
        <w:rPr>
          <w:spacing w:val="-2"/>
        </w:rPr>
        <w:t>贡献值的最大浓度占标率分别为 </w:t>
      </w:r>
      <w:r>
        <w:rPr>
          <w:rFonts w:ascii="Times New Roman" w:eastAsia="Times New Roman"/>
        </w:rPr>
        <w:t>24.98%</w:t>
      </w:r>
      <w:r>
        <w:rPr/>
        <w:t>、</w:t>
      </w:r>
      <w:r>
        <w:rPr>
          <w:rFonts w:ascii="Times New Roman" w:eastAsia="Times New Roman"/>
        </w:rPr>
        <w:t>8.37%</w:t>
      </w:r>
      <w:r>
        <w:rPr/>
        <w:t>（均＜</w:t>
      </w:r>
      <w:r>
        <w:rPr>
          <w:rFonts w:ascii="Times New Roman" w:eastAsia="Times New Roman"/>
        </w:rPr>
        <w:t>100%</w:t>
      </w:r>
      <w:r>
        <w:rPr/>
        <w:t>），</w:t>
      </w:r>
      <w:r>
        <w:rPr>
          <w:spacing w:val="-2"/>
        </w:rPr>
        <w:t>年均浓度贡献值的最大</w:t>
      </w:r>
      <w:r>
        <w:rPr>
          <w:spacing w:val="-8"/>
        </w:rPr>
        <w:t>浓度占标率为 </w:t>
      </w:r>
      <w:r>
        <w:rPr>
          <w:rFonts w:ascii="Times New Roman" w:eastAsia="Times New Roman"/>
          <w:spacing w:val="-5"/>
        </w:rPr>
        <w:t>2.95%</w:t>
      </w:r>
      <w:r>
        <w:rPr>
          <w:spacing w:val="-5"/>
        </w:rPr>
        <w:t>（＜</w:t>
      </w:r>
      <w:r>
        <w:rPr>
          <w:rFonts w:ascii="Times New Roman" w:eastAsia="Times New Roman"/>
          <w:spacing w:val="-5"/>
        </w:rPr>
        <w:t>30%</w:t>
      </w:r>
      <w:r>
        <w:rPr>
          <w:spacing w:val="-5"/>
        </w:rPr>
        <w:t>）；</w:t>
      </w:r>
      <w:r>
        <w:rPr>
          <w:spacing w:val="-4"/>
        </w:rPr>
        <w:t>叠加背景浓度后，保证率日平均质量浓度和年平均质量</w:t>
      </w:r>
      <w:r>
        <w:rPr>
          <w:spacing w:val="-5"/>
        </w:rPr>
        <w:t>浓度最大浓度占标率分别为 </w:t>
      </w:r>
      <w:r>
        <w:rPr>
          <w:rFonts w:ascii="Times New Roman" w:eastAsia="Times New Roman"/>
        </w:rPr>
        <w:t>85.87%</w:t>
      </w:r>
      <w:r>
        <w:rPr>
          <w:spacing w:val="-3"/>
        </w:rPr>
        <w:t>、</w:t>
      </w:r>
      <w:r>
        <w:rPr>
          <w:rFonts w:ascii="Times New Roman" w:eastAsia="Times New Roman"/>
        </w:rPr>
        <w:t>77.95%</w:t>
      </w:r>
      <w:r>
        <w:rPr>
          <w:spacing w:val="-2"/>
        </w:rPr>
        <w:t>，均能符合相应的环境质量保准要求。说明</w:t>
      </w:r>
      <w:r>
        <w:rPr>
          <w:spacing w:val="-9"/>
          <w:position w:val="2"/>
        </w:rPr>
        <w:t>本项目实施后 </w:t>
      </w:r>
      <w:r>
        <w:rPr>
          <w:rFonts w:ascii="Times New Roman" w:eastAsia="Times New Roman"/>
          <w:position w:val="2"/>
        </w:rPr>
        <w:t>NO</w:t>
      </w:r>
      <w:r>
        <w:rPr>
          <w:rFonts w:ascii="Times New Roman" w:eastAsia="Times New Roman"/>
          <w:sz w:val="16"/>
        </w:rPr>
        <w:t>2 </w:t>
      </w:r>
      <w:r>
        <w:rPr>
          <w:position w:val="2"/>
        </w:rPr>
        <w:t>正常排放的环境影响可接受。</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7"/>
        <w:ind w:left="0"/>
        <w:rPr>
          <w:sz w:val="21"/>
        </w:rPr>
      </w:pPr>
    </w:p>
    <w:p>
      <w:pPr>
        <w:pStyle w:val="Heading3"/>
        <w:spacing w:before="0"/>
        <w:ind w:left="1708" w:right="1705"/>
        <w:jc w:val="center"/>
      </w:pPr>
      <w:r>
        <w:rPr/>
        <w:drawing>
          <wp:anchor distT="0" distB="0" distL="0" distR="0" allowOverlap="1" layoutInCell="1" locked="0" behindDoc="0" simplePos="0" relativeHeight="205">
            <wp:simplePos x="0" y="0"/>
            <wp:positionH relativeFrom="page">
              <wp:posOffset>2154554</wp:posOffset>
            </wp:positionH>
            <wp:positionV relativeFrom="paragraph">
              <wp:posOffset>223697</wp:posOffset>
            </wp:positionV>
            <wp:extent cx="3172236" cy="3168396"/>
            <wp:effectExtent l="0" t="0" r="0" b="0"/>
            <wp:wrapTopAndBottom/>
            <wp:docPr id="37" name="image73.jpeg"/>
            <wp:cNvGraphicFramePr>
              <a:graphicFrameLocks noChangeAspect="1"/>
            </wp:cNvGraphicFramePr>
            <a:graphic>
              <a:graphicData uri="http://schemas.openxmlformats.org/drawingml/2006/picture">
                <pic:pic>
                  <pic:nvPicPr>
                    <pic:cNvPr id="38" name="image73.jpeg"/>
                    <pic:cNvPicPr/>
                  </pic:nvPicPr>
                  <pic:blipFill>
                    <a:blip r:embed="rId129" cstate="print"/>
                    <a:stretch>
                      <a:fillRect/>
                    </a:stretch>
                  </pic:blipFill>
                  <pic:spPr>
                    <a:xfrm>
                      <a:off x="0" y="0"/>
                      <a:ext cx="3172236" cy="3168396"/>
                    </a:xfrm>
                    <a:prstGeom prst="rect">
                      <a:avLst/>
                    </a:prstGeom>
                  </pic:spPr>
                </pic:pic>
              </a:graphicData>
            </a:graphic>
          </wp:anchor>
        </w:drawing>
      </w:r>
      <w:r>
        <w:rPr>
          <w:position w:val="1"/>
        </w:rPr>
        <w:t>图 </w:t>
      </w:r>
      <w:r>
        <w:rPr>
          <w:rFonts w:ascii="Times New Roman" w:eastAsia="Times New Roman"/>
          <w:position w:val="1"/>
        </w:rPr>
        <w:t>5.2-13  </w:t>
      </w:r>
      <w:r>
        <w:rPr>
          <w:position w:val="1"/>
        </w:rPr>
        <w:t>正常工况下 </w:t>
      </w:r>
      <w:r>
        <w:rPr>
          <w:rFonts w:ascii="Times New Roman" w:eastAsia="Times New Roman"/>
          <w:position w:val="1"/>
        </w:rPr>
        <w:t>NO</w:t>
      </w:r>
      <w:r>
        <w:rPr>
          <w:rFonts w:ascii="Times New Roman" w:eastAsia="Times New Roman"/>
          <w:sz w:val="16"/>
        </w:rPr>
        <w:t>2 </w:t>
      </w:r>
      <w:r>
        <w:rPr>
          <w:position w:val="1"/>
        </w:rPr>
        <w:t>日均浓度预测结果（</w:t>
      </w:r>
      <w:r>
        <w:rPr>
          <w:rFonts w:ascii="Times New Roman" w:eastAsia="Times New Roman"/>
          <w:position w:val="1"/>
        </w:rPr>
        <w:t>190524</w:t>
      </w:r>
      <w:r>
        <w:rPr>
          <w:position w:val="1"/>
        </w:rPr>
        <w:t>）</w:t>
      </w:r>
    </w:p>
    <w:p>
      <w:pPr>
        <w:spacing w:before="0"/>
        <w:ind w:left="1705" w:right="1705" w:firstLine="0"/>
        <w:jc w:val="center"/>
        <w:rPr>
          <w:b/>
          <w:sz w:val="24"/>
        </w:rPr>
      </w:pPr>
      <w:r>
        <w:rPr>
          <w:b/>
          <w:position w:val="1"/>
          <w:sz w:val="24"/>
        </w:rPr>
        <w:t>图 </w:t>
      </w:r>
      <w:r>
        <w:rPr>
          <w:rFonts w:ascii="Times New Roman" w:eastAsia="Times New Roman"/>
          <w:b/>
          <w:position w:val="1"/>
          <w:sz w:val="24"/>
        </w:rPr>
        <w:t>5.2-14  </w:t>
      </w:r>
      <w:r>
        <w:rPr>
          <w:b/>
          <w:position w:val="1"/>
          <w:sz w:val="24"/>
        </w:rPr>
        <w:t>正常工况下 </w:t>
      </w:r>
      <w:r>
        <w:rPr>
          <w:rFonts w:ascii="Times New Roman" w:eastAsia="Times New Roman"/>
          <w:b/>
          <w:position w:val="1"/>
          <w:sz w:val="24"/>
        </w:rPr>
        <w:t>NO</w:t>
      </w:r>
      <w:r>
        <w:rPr>
          <w:rFonts w:ascii="Times New Roman" w:eastAsia="Times New Roman"/>
          <w:b/>
          <w:sz w:val="16"/>
        </w:rPr>
        <w:t>2 </w:t>
      </w:r>
      <w:r>
        <w:rPr>
          <w:b/>
          <w:position w:val="1"/>
          <w:sz w:val="24"/>
        </w:rPr>
        <w:t>年均浓度预测结果</w:t>
      </w:r>
    </w:p>
    <w:p>
      <w:pPr>
        <w:spacing w:after="0"/>
        <w:jc w:val="center"/>
        <w:rPr>
          <w:sz w:val="24"/>
        </w:rPr>
        <w:sectPr>
          <w:headerReference w:type="default" r:id="rId126"/>
          <w:footerReference w:type="default" r:id="rId127"/>
          <w:pgSz w:w="11910" w:h="16840"/>
          <w:pgMar w:header="0" w:footer="1004" w:top="780" w:bottom="1200" w:left="1140" w:right="1280"/>
        </w:sectPr>
      </w:pPr>
    </w:p>
    <w:p>
      <w:pPr>
        <w:pStyle w:val="BodyText"/>
        <w:spacing w:before="6"/>
        <w:ind w:left="0"/>
        <w:rPr>
          <w:b/>
          <w:sz w:val="2"/>
        </w:rPr>
      </w:pPr>
    </w:p>
    <w:p>
      <w:pPr>
        <w:pStyle w:val="BodyText"/>
        <w:spacing w:line="20" w:lineRule="exact"/>
        <w:ind w:left="203"/>
        <w:rPr>
          <w:sz w:val="2"/>
        </w:rPr>
      </w:pPr>
      <w:r>
        <w:rPr>
          <w:sz w:val="2"/>
        </w:rPr>
        <w:pict>
          <v:group style="width:700.9pt;height:.75pt;mso-position-horizontal-relative:char;mso-position-vertical-relative:line" coordorigin="0,0" coordsize="14018,15">
            <v:line style="position:absolute" from="0,7" to="14018,7" stroked="true" strokeweight=".72pt" strokecolor="#000000">
              <v:stroke dashstyle="solid"/>
            </v:line>
          </v:group>
        </w:pict>
      </w:r>
      <w:r>
        <w:rPr>
          <w:sz w:val="2"/>
        </w:rPr>
      </w:r>
    </w:p>
    <w:p>
      <w:pPr>
        <w:spacing w:before="39" w:after="24"/>
        <w:ind w:left="3612" w:right="3608" w:firstLine="0"/>
        <w:jc w:val="center"/>
        <w:rPr>
          <w:rFonts w:ascii="Times New Roman" w:hAnsi="Times New Roman" w:eastAsia="Times New Roman"/>
          <w:b/>
          <w:sz w:val="24"/>
        </w:rPr>
      </w:pPr>
      <w:r>
        <w:rPr>
          <w:b/>
          <w:position w:val="1"/>
          <w:sz w:val="24"/>
        </w:rPr>
        <w:t>表 </w:t>
      </w:r>
      <w:r>
        <w:rPr>
          <w:rFonts w:ascii="Times New Roman" w:hAnsi="Times New Roman" w:eastAsia="Times New Roman"/>
          <w:b/>
          <w:position w:val="1"/>
          <w:sz w:val="24"/>
        </w:rPr>
        <w:t>5.2-22  </w:t>
      </w:r>
      <w:r>
        <w:rPr>
          <w:b/>
          <w:position w:val="1"/>
          <w:sz w:val="24"/>
        </w:rPr>
        <w:t>项目 </w:t>
      </w:r>
      <w:r>
        <w:rPr>
          <w:rFonts w:ascii="Times New Roman" w:hAnsi="Times New Roman" w:eastAsia="Times New Roman"/>
          <w:b/>
          <w:position w:val="1"/>
          <w:sz w:val="24"/>
        </w:rPr>
        <w:t>NO</w:t>
      </w:r>
      <w:r>
        <w:rPr>
          <w:rFonts w:ascii="Times New Roman" w:hAnsi="Times New Roman" w:eastAsia="Times New Roman"/>
          <w:b/>
          <w:sz w:val="16"/>
        </w:rPr>
        <w:t>2 </w:t>
      </w:r>
      <w:r>
        <w:rPr>
          <w:b/>
          <w:position w:val="1"/>
          <w:sz w:val="24"/>
        </w:rPr>
        <w:t>排放的预测结果 单位：浓度 </w:t>
      </w:r>
      <w:r>
        <w:rPr>
          <w:rFonts w:ascii="Times New Roman" w:hAnsi="Times New Roman" w:eastAsia="Times New Roman"/>
          <w:b/>
          <w:position w:val="1"/>
          <w:sz w:val="24"/>
        </w:rPr>
        <w:t>mg/m³</w:t>
      </w:r>
      <w:r>
        <w:rPr>
          <w:b/>
          <w:position w:val="1"/>
          <w:sz w:val="24"/>
        </w:rPr>
        <w:t>、占标率</w:t>
      </w:r>
      <w:r>
        <w:rPr>
          <w:rFonts w:ascii="Times New Roman" w:hAnsi="Times New Roman" w:eastAsia="Times New Roman"/>
          <w:b/>
          <w:position w:val="1"/>
          <w:sz w:val="24"/>
        </w:rPr>
        <w:t>%</w:t>
      </w: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2541"/>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51"/>
              <w:ind w:left="293"/>
              <w:jc w:val="left"/>
              <w:rPr>
                <w:rFonts w:ascii="宋体" w:eastAsia="宋体" w:hint="eastAsia"/>
                <w:b/>
                <w:sz w:val="21"/>
              </w:rPr>
            </w:pPr>
            <w:r>
              <w:rPr>
                <w:rFonts w:ascii="宋体" w:eastAsia="宋体" w:hint="eastAsia"/>
                <w:b/>
                <w:sz w:val="21"/>
              </w:rPr>
              <w:t>浓度</w:t>
            </w:r>
          </w:p>
          <w:p>
            <w:pPr>
              <w:pStyle w:val="TableParagraph"/>
              <w:spacing w:before="88"/>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6"/>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6"/>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1</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518"/>
              <w:jc w:val="left"/>
              <w:rPr>
                <w:rFonts w:ascii="宋体" w:eastAsia="宋体" w:hint="eastAsia"/>
                <w:sz w:val="21"/>
              </w:rPr>
            </w:pPr>
            <w:r>
              <w:rPr>
                <w:rFonts w:ascii="宋体" w:eastAsia="宋体" w:hint="eastAsia"/>
                <w:sz w:val="21"/>
              </w:rPr>
              <w:t>丰一（</w:t>
            </w:r>
            <w:r>
              <w:rPr>
                <w:sz w:val="21"/>
              </w:rPr>
              <w:t>797,894</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2.59E-03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19092603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1.30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3.02E-04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190405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0.38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6.23E-02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77.88</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2.89E-05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2</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465"/>
              <w:jc w:val="left"/>
              <w:rPr>
                <w:rFonts w:ascii="宋体" w:eastAsia="宋体" w:hint="eastAsia"/>
                <w:sz w:val="21"/>
              </w:rPr>
            </w:pPr>
            <w:r>
              <w:rPr>
                <w:rFonts w:ascii="宋体" w:eastAsia="宋体" w:hint="eastAsia"/>
                <w:sz w:val="21"/>
              </w:rPr>
              <w:t>丰二（</w:t>
            </w:r>
            <w:r>
              <w:rPr>
                <w:sz w:val="21"/>
              </w:rPr>
              <w:t>897,1268</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2.10E-03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19031202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1.05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2.29E-04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0.29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77.79</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1.99E-05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3</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472"/>
              <w:jc w:val="left"/>
              <w:rPr>
                <w:rFonts w:ascii="宋体" w:eastAsia="宋体" w:hint="eastAsia"/>
                <w:sz w:val="21"/>
              </w:rPr>
            </w:pPr>
            <w:r>
              <w:rPr>
                <w:rFonts w:ascii="宋体" w:eastAsia="宋体" w:hint="eastAsia"/>
                <w:sz w:val="21"/>
              </w:rPr>
              <w:t>项里（</w:t>
            </w:r>
            <w:r>
              <w:rPr>
                <w:sz w:val="21"/>
              </w:rPr>
              <w:t>332,1118</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2.86E-03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19081701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1.43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3.56E-04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190314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0.45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6.24E-02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77.95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2.61E-05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4</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26"/>
              <w:jc w:val="left"/>
              <w:rPr>
                <w:rFonts w:ascii="宋体" w:eastAsia="宋体" w:hint="eastAsia"/>
                <w:sz w:val="21"/>
              </w:rPr>
            </w:pPr>
            <w:r>
              <w:rPr>
                <w:rFonts w:ascii="宋体" w:eastAsia="宋体" w:hint="eastAsia"/>
                <w:sz w:val="21"/>
              </w:rPr>
              <w:t>河塔村（</w:t>
            </w:r>
            <w:r>
              <w:rPr>
                <w:sz w:val="21"/>
              </w:rPr>
              <w:t>-299,1816</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1.78E-03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19110919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0.89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1.30E-04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191109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0.16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77.66</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1.15E-05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75.03</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5</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09"/>
              <w:jc w:val="left"/>
              <w:rPr>
                <w:rFonts w:ascii="宋体" w:eastAsia="宋体" w:hint="eastAsia"/>
                <w:sz w:val="21"/>
              </w:rPr>
            </w:pPr>
            <w:r>
              <w:rPr>
                <w:rFonts w:ascii="宋体" w:eastAsia="宋体" w:hint="eastAsia"/>
                <w:sz w:val="21"/>
              </w:rPr>
              <w:t>秋湖村（</w:t>
            </w:r>
            <w:r>
              <w:rPr>
                <w:sz w:val="21"/>
              </w:rPr>
              <w:t>1686,2223</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1.20E-03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19012024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6" w:right="73"/>
              <w:rPr>
                <w:sz w:val="21"/>
              </w:rPr>
            </w:pPr>
            <w:r>
              <w:rPr>
                <w:sz w:val="21"/>
              </w:rPr>
              <w:t>1.11E-04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0.14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77.64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9.76E-06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6</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60"/>
              <w:jc w:val="left"/>
              <w:rPr>
                <w:rFonts w:ascii="宋体" w:eastAsia="宋体" w:hint="eastAsia"/>
                <w:sz w:val="21"/>
              </w:rPr>
            </w:pPr>
            <w:r>
              <w:rPr>
                <w:rFonts w:ascii="宋体" w:eastAsia="宋体" w:hint="eastAsia"/>
                <w:sz w:val="21"/>
              </w:rPr>
              <w:t>清和园（</w:t>
            </w:r>
            <w:r>
              <w:rPr>
                <w:sz w:val="21"/>
              </w:rPr>
              <w:t>830,2049</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1.43E-03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19100402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0.72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1.66E-04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190723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0.21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77.71</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1.14E-05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75.03</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7</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20"/>
              <w:jc w:val="left"/>
              <w:rPr>
                <w:rFonts w:ascii="宋体" w:eastAsia="宋体" w:hint="eastAsia"/>
                <w:sz w:val="21"/>
              </w:rPr>
            </w:pPr>
            <w:r>
              <w:rPr>
                <w:rFonts w:ascii="宋体" w:eastAsia="宋体" w:hint="eastAsia"/>
                <w:sz w:val="21"/>
              </w:rPr>
              <w:t>州山小学（</w:t>
            </w:r>
            <w:r>
              <w:rPr>
                <w:sz w:val="21"/>
              </w:rPr>
              <w:t>-141,2646</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1.39E-03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19060504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1.00E-04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190524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0.13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77.63</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8.14E-06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47" w:hRule="atLeast"/>
        </w:trPr>
        <w:tc>
          <w:tcPr>
            <w:tcW w:w="653" w:type="dxa"/>
            <w:vMerge w:val="restart"/>
            <w:tcBorders>
              <w:top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8</w:t>
            </w:r>
          </w:p>
        </w:tc>
        <w:tc>
          <w:tcPr>
            <w:tcW w:w="2541" w:type="dxa"/>
            <w:vMerge w:val="restart"/>
            <w:tcBorders>
              <w:top w:val="single" w:sz="4" w:space="0" w:color="000000"/>
              <w:left w:val="single" w:sz="4" w:space="0" w:color="000000"/>
              <w:right w:val="single" w:sz="4" w:space="0" w:color="000000"/>
            </w:tcBorders>
          </w:tcPr>
          <w:p>
            <w:pPr>
              <w:pStyle w:val="TableParagraph"/>
              <w:spacing w:before="0"/>
              <w:jc w:val="left"/>
              <w:rPr>
                <w:b/>
                <w:sz w:val="22"/>
              </w:rPr>
            </w:pPr>
          </w:p>
          <w:p>
            <w:pPr>
              <w:pStyle w:val="TableParagraph"/>
              <w:spacing w:before="161"/>
              <w:ind w:left="360"/>
              <w:jc w:val="left"/>
              <w:rPr>
                <w:rFonts w:ascii="宋体" w:eastAsia="宋体" w:hint="eastAsia"/>
                <w:sz w:val="21"/>
              </w:rPr>
            </w:pPr>
            <w:r>
              <w:rPr>
                <w:rFonts w:ascii="宋体" w:eastAsia="宋体" w:hint="eastAsia"/>
                <w:sz w:val="21"/>
              </w:rPr>
              <w:t>管委会（</w:t>
            </w:r>
            <w:r>
              <w:rPr>
                <w:sz w:val="21"/>
              </w:rPr>
              <w:t>914,2190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1.36E-03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19100402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39" w:hRule="atLeast"/>
        </w:trPr>
        <w:tc>
          <w:tcPr>
            <w:tcW w:w="653" w:type="dxa"/>
            <w:vMerge/>
            <w:tcBorders>
              <w:top w:val="nil"/>
              <w:right w:val="single" w:sz="4" w:space="0" w:color="000000"/>
            </w:tcBorders>
          </w:tcPr>
          <w:p>
            <w:pPr>
              <w:rPr>
                <w:sz w:val="2"/>
                <w:szCs w:val="2"/>
              </w:rPr>
            </w:pPr>
          </w:p>
        </w:tc>
        <w:tc>
          <w:tcPr>
            <w:tcW w:w="2541" w:type="dxa"/>
            <w:vMerge/>
            <w:tcBorders>
              <w:top w:val="nil"/>
              <w:left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3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50"/>
              <w:ind w:left="108" w:right="73"/>
              <w:rPr>
                <w:sz w:val="21"/>
              </w:rPr>
            </w:pPr>
            <w:r>
              <w:rPr>
                <w:sz w:val="21"/>
              </w:rPr>
              <w:t>1.53E-04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50"/>
              <w:ind w:left="110" w:right="70"/>
              <w:rPr>
                <w:sz w:val="21"/>
              </w:rPr>
            </w:pPr>
            <w:r>
              <w:rPr>
                <w:sz w:val="21"/>
              </w:rPr>
              <w:t>190723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50"/>
              <w:ind w:left="110" w:right="76"/>
              <w:rPr>
                <w:sz w:val="21"/>
              </w:rPr>
            </w:pPr>
            <w:r>
              <w:rPr>
                <w:sz w:val="21"/>
              </w:rPr>
              <w:t>0.19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3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50"/>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50"/>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50"/>
              <w:ind w:left="126" w:right="82"/>
              <w:rPr>
                <w:sz w:val="21"/>
              </w:rPr>
            </w:pPr>
            <w:r>
              <w:rPr>
                <w:sz w:val="21"/>
              </w:rPr>
              <w:t>77.69</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3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50"/>
              <w:ind w:left="148" w:right="87"/>
              <w:rPr>
                <w:sz w:val="21"/>
              </w:rPr>
            </w:pPr>
            <w:r>
              <w:rPr>
                <w:sz w:val="21"/>
              </w:rPr>
              <w:t>8.00E-02</w:t>
            </w:r>
          </w:p>
        </w:tc>
      </w:tr>
      <w:tr>
        <w:trPr>
          <w:trHeight w:val="349" w:hRule="atLeast"/>
        </w:trPr>
        <w:tc>
          <w:tcPr>
            <w:tcW w:w="653" w:type="dxa"/>
            <w:vMerge/>
            <w:tcBorders>
              <w:top w:val="nil"/>
              <w:right w:val="single" w:sz="4" w:space="0" w:color="000000"/>
            </w:tcBorders>
          </w:tcPr>
          <w:p>
            <w:pPr>
              <w:rPr>
                <w:sz w:val="2"/>
                <w:szCs w:val="2"/>
              </w:rPr>
            </w:pPr>
          </w:p>
        </w:tc>
        <w:tc>
          <w:tcPr>
            <w:tcW w:w="2541" w:type="dxa"/>
            <w:vMerge/>
            <w:tcBorders>
              <w:top w:val="nil"/>
              <w:left w:val="single" w:sz="4" w:space="0" w:color="000000"/>
              <w:right w:val="single" w:sz="4" w:space="0" w:color="000000"/>
            </w:tcBorders>
          </w:tcPr>
          <w:p>
            <w:pPr>
              <w:rPr>
                <w:sz w:val="2"/>
                <w:szCs w:val="2"/>
              </w:rPr>
            </w:pPr>
          </w:p>
        </w:tc>
        <w:tc>
          <w:tcPr>
            <w:tcW w:w="991" w:type="dxa"/>
            <w:tcBorders>
              <w:top w:val="single" w:sz="4" w:space="0" w:color="000000"/>
              <w:left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right w:val="single" w:sz="4" w:space="0" w:color="000000"/>
            </w:tcBorders>
          </w:tcPr>
          <w:p>
            <w:pPr>
              <w:pStyle w:val="TableParagraph"/>
              <w:spacing w:before="48"/>
              <w:ind w:left="108" w:right="73"/>
              <w:rPr>
                <w:sz w:val="21"/>
              </w:rPr>
            </w:pPr>
            <w:r>
              <w:rPr>
                <w:sz w:val="21"/>
              </w:rPr>
              <w:t>1.07E-05</w:t>
            </w:r>
          </w:p>
        </w:tc>
        <w:tc>
          <w:tcPr>
            <w:tcW w:w="1084" w:type="dxa"/>
            <w:tcBorders>
              <w:top w:val="single" w:sz="4" w:space="0" w:color="000000"/>
              <w:left w:val="single" w:sz="4" w:space="0" w:color="000000"/>
              <w:right w:val="single" w:sz="4" w:space="0" w:color="000000"/>
            </w:tcBorders>
          </w:tcPr>
          <w:p>
            <w:pPr>
              <w:pStyle w:val="TableParagraph"/>
              <w:spacing w:before="3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right w:val="single" w:sz="4" w:space="0" w:color="000000"/>
            </w:tcBorders>
          </w:tcPr>
          <w:p>
            <w:pPr>
              <w:pStyle w:val="TableParagraph"/>
              <w:spacing w:before="48"/>
              <w:ind w:left="110" w:right="76"/>
              <w:rPr>
                <w:sz w:val="21"/>
              </w:rPr>
            </w:pPr>
            <w:r>
              <w:rPr>
                <w:sz w:val="21"/>
              </w:rPr>
              <w:t>0.03</w:t>
            </w:r>
          </w:p>
        </w:tc>
        <w:tc>
          <w:tcPr>
            <w:tcW w:w="1086" w:type="dxa"/>
            <w:tcBorders>
              <w:top w:val="single" w:sz="4" w:space="0" w:color="000000"/>
              <w:left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spacing w:before="48"/>
              <w:ind w:left="113" w:right="68"/>
              <w:rPr>
                <w:sz w:val="21"/>
              </w:rPr>
            </w:pPr>
            <w:r>
              <w:rPr>
                <w:sz w:val="21"/>
              </w:rPr>
              <w:t>3.00E-02</w:t>
            </w:r>
          </w:p>
        </w:tc>
        <w:tc>
          <w:tcPr>
            <w:tcW w:w="1084" w:type="dxa"/>
            <w:tcBorders>
              <w:top w:val="single" w:sz="4" w:space="0" w:color="000000"/>
              <w:left w:val="single" w:sz="4" w:space="0" w:color="000000"/>
              <w:right w:val="single" w:sz="4" w:space="0" w:color="000000"/>
            </w:tcBorders>
          </w:tcPr>
          <w:p>
            <w:pPr>
              <w:pStyle w:val="TableParagraph"/>
              <w:spacing w:before="48"/>
              <w:ind w:left="115" w:right="66"/>
              <w:rPr>
                <w:sz w:val="21"/>
              </w:rPr>
            </w:pPr>
            <w:r>
              <w:rPr>
                <w:sz w:val="21"/>
              </w:rPr>
              <w:t>3.00E-02</w:t>
            </w:r>
          </w:p>
        </w:tc>
        <w:tc>
          <w:tcPr>
            <w:tcW w:w="1524" w:type="dxa"/>
            <w:tcBorders>
              <w:top w:val="single" w:sz="4" w:space="0" w:color="000000"/>
              <w:left w:val="single" w:sz="4" w:space="0" w:color="000000"/>
              <w:right w:val="single" w:sz="4" w:space="0" w:color="000000"/>
            </w:tcBorders>
          </w:tcPr>
          <w:p>
            <w:pPr>
              <w:pStyle w:val="TableParagraph"/>
              <w:spacing w:before="48"/>
              <w:ind w:left="126" w:right="82"/>
              <w:rPr>
                <w:sz w:val="21"/>
              </w:rPr>
            </w:pPr>
            <w:r>
              <w:rPr>
                <w:sz w:val="21"/>
              </w:rPr>
              <w:t>75.03</w:t>
            </w:r>
          </w:p>
        </w:tc>
        <w:tc>
          <w:tcPr>
            <w:tcW w:w="1089" w:type="dxa"/>
            <w:tcBorders>
              <w:top w:val="single" w:sz="4" w:space="0" w:color="000000"/>
              <w:left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tcBorders>
          </w:tcPr>
          <w:p>
            <w:pPr>
              <w:pStyle w:val="TableParagraph"/>
              <w:spacing w:before="48"/>
              <w:ind w:left="148" w:right="87"/>
              <w:rPr>
                <w:sz w:val="21"/>
              </w:rPr>
            </w:pPr>
            <w:r>
              <w:rPr>
                <w:sz w:val="21"/>
              </w:rPr>
              <w:t>4.00E-02</w:t>
            </w:r>
          </w:p>
        </w:tc>
      </w:tr>
    </w:tbl>
    <w:p>
      <w:pPr>
        <w:spacing w:after="0"/>
        <w:rPr>
          <w:sz w:val="21"/>
        </w:rPr>
        <w:sectPr>
          <w:headerReference w:type="default" r:id="rId130"/>
          <w:footerReference w:type="default" r:id="rId131"/>
          <w:pgSz w:w="16840" w:h="11910" w:orient="landscape"/>
          <w:pgMar w:header="588" w:footer="630" w:top="780" w:bottom="820" w:left="1200" w:right="1200"/>
          <w:pgNumType w:start="141"/>
        </w:sect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2541"/>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49"/>
              <w:ind w:left="293"/>
              <w:jc w:val="left"/>
              <w:rPr>
                <w:rFonts w:ascii="宋体" w:eastAsia="宋体" w:hint="eastAsia"/>
                <w:b/>
                <w:sz w:val="21"/>
              </w:rPr>
            </w:pPr>
            <w:r>
              <w:rPr>
                <w:rFonts w:ascii="宋体" w:eastAsia="宋体" w:hint="eastAsia"/>
                <w:b/>
                <w:sz w:val="21"/>
              </w:rPr>
              <w:t>浓度</w:t>
            </w:r>
          </w:p>
          <w:p>
            <w:pPr>
              <w:pStyle w:val="TableParagraph"/>
              <w:spacing w:before="91"/>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4"/>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4"/>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9</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151"/>
              <w:jc w:val="left"/>
              <w:rPr>
                <w:rFonts w:ascii="宋体" w:eastAsia="宋体" w:hint="eastAsia"/>
                <w:sz w:val="21"/>
              </w:rPr>
            </w:pPr>
            <w:r>
              <w:rPr>
                <w:rFonts w:ascii="宋体" w:eastAsia="宋体" w:hint="eastAsia"/>
                <w:sz w:val="21"/>
              </w:rPr>
              <w:t>区福利中心（</w:t>
            </w:r>
            <w:r>
              <w:rPr>
                <w:sz w:val="21"/>
              </w:rPr>
              <w:t>282,2431</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1.31E-03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19040705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1.19E-04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190407</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0.15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77.65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8.13E-06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10</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56"/>
              <w:jc w:val="left"/>
              <w:rPr>
                <w:rFonts w:ascii="宋体" w:eastAsia="宋体" w:hint="eastAsia"/>
                <w:sz w:val="21"/>
              </w:rPr>
            </w:pPr>
            <w:r>
              <w:rPr>
                <w:rFonts w:ascii="宋体" w:eastAsia="宋体" w:hint="eastAsia"/>
                <w:sz w:val="21"/>
              </w:rPr>
              <w:t>区委党校（</w:t>
            </w:r>
            <w:r>
              <w:rPr>
                <w:sz w:val="21"/>
              </w:rPr>
              <w:t>656,2182</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1.65E-03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19081701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0.83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1.52E-04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190314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0.19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77.69</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1.15E-05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75.03</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11" w:right="98"/>
              <w:rPr>
                <w:sz w:val="21"/>
              </w:rPr>
            </w:pPr>
            <w:r>
              <w:rPr>
                <w:sz w:val="21"/>
              </w:rPr>
              <w:t>11</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431"/>
              <w:jc w:val="left"/>
              <w:rPr>
                <w:rFonts w:ascii="宋体" w:eastAsia="宋体" w:hint="eastAsia"/>
                <w:sz w:val="21"/>
              </w:rPr>
            </w:pPr>
            <w:r>
              <w:rPr>
                <w:rFonts w:ascii="宋体" w:eastAsia="宋体" w:hint="eastAsia"/>
                <w:sz w:val="21"/>
              </w:rPr>
              <w:t>迪埠（</w:t>
            </w:r>
            <w:r>
              <w:rPr>
                <w:sz w:val="21"/>
              </w:rPr>
              <w:t>1022,-875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2.29E-03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19013019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1.15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2.83E-04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191229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0.35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6.23E-02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77.85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3.25E-05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75.08</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12</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73"/>
              <w:jc w:val="left"/>
              <w:rPr>
                <w:rFonts w:ascii="宋体" w:eastAsia="宋体" w:hint="eastAsia"/>
                <w:sz w:val="21"/>
              </w:rPr>
            </w:pPr>
            <w:r>
              <w:rPr>
                <w:rFonts w:ascii="宋体" w:eastAsia="宋体" w:hint="eastAsia"/>
                <w:sz w:val="21"/>
              </w:rPr>
              <w:t>洪家墩（</w:t>
            </w:r>
            <w:r>
              <w:rPr>
                <w:sz w:val="21"/>
              </w:rPr>
              <w:t>1096,-1407</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1.68E-03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19011905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0.84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1.59E-04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191016</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77.70</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1.57E-05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13</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26"/>
              <w:jc w:val="left"/>
              <w:rPr>
                <w:rFonts w:ascii="宋体" w:eastAsia="宋体" w:hint="eastAsia"/>
                <w:sz w:val="21"/>
              </w:rPr>
            </w:pPr>
            <w:r>
              <w:rPr>
                <w:rFonts w:ascii="宋体" w:eastAsia="宋体" w:hint="eastAsia"/>
                <w:sz w:val="21"/>
              </w:rPr>
              <w:t>兴联村（</w:t>
            </w:r>
            <w:r>
              <w:rPr>
                <w:sz w:val="21"/>
              </w:rPr>
              <w:t>1985,-302</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1.57E-03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19082221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0.79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1.64E-04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77.71</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2.93E-05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14</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78"/>
              <w:jc w:val="left"/>
              <w:rPr>
                <w:rFonts w:ascii="宋体" w:eastAsia="宋体" w:hint="eastAsia"/>
                <w:sz w:val="21"/>
              </w:rPr>
            </w:pPr>
            <w:r>
              <w:rPr>
                <w:rFonts w:ascii="宋体" w:eastAsia="宋体" w:hint="eastAsia"/>
                <w:sz w:val="21"/>
              </w:rPr>
              <w:t>梅三村（</w:t>
            </w:r>
            <w:r>
              <w:rPr>
                <w:sz w:val="21"/>
              </w:rPr>
              <w:t>1744,-1149</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1.49E-03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19102119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0.75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2.47E-04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191229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0.31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77.81</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2.58E-05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75.06</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15</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78"/>
              <w:jc w:val="left"/>
              <w:rPr>
                <w:rFonts w:ascii="宋体" w:eastAsia="宋体" w:hint="eastAsia"/>
                <w:sz w:val="21"/>
              </w:rPr>
            </w:pPr>
            <w:r>
              <w:rPr>
                <w:rFonts w:ascii="宋体" w:eastAsia="宋体" w:hint="eastAsia"/>
                <w:sz w:val="21"/>
              </w:rPr>
              <w:t>容山村（</w:t>
            </w:r>
            <w:r>
              <w:rPr>
                <w:sz w:val="21"/>
              </w:rPr>
              <w:t>1154,-2055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1.29E-03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19110305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9.00E-05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190915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3"/>
              <w:rPr>
                <w:sz w:val="21"/>
              </w:rPr>
            </w:pPr>
            <w:r>
              <w:rPr>
                <w:sz w:val="21"/>
              </w:rPr>
              <w:t>0.11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77.61</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9.18E-06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16</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37"/>
              <w:jc w:val="left"/>
              <w:rPr>
                <w:rFonts w:ascii="宋体" w:eastAsia="宋体" w:hint="eastAsia"/>
                <w:sz w:val="21"/>
              </w:rPr>
            </w:pPr>
            <w:r>
              <w:rPr>
                <w:rFonts w:ascii="宋体" w:eastAsia="宋体" w:hint="eastAsia"/>
                <w:sz w:val="21"/>
              </w:rPr>
              <w:t>兴华村（</w:t>
            </w:r>
            <w:r>
              <w:rPr>
                <w:sz w:val="21"/>
              </w:rPr>
              <w:t>-1653,-1249</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1.16E-03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19010123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0.58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1.35E-04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190216</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0.17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1.56E-05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tcBorders>
              <w:top w:val="single" w:sz="4" w:space="0" w:color="000000"/>
              <w:right w:val="single" w:sz="4" w:space="0" w:color="000000"/>
            </w:tcBorders>
          </w:tcPr>
          <w:p>
            <w:pPr>
              <w:pStyle w:val="TableParagraph"/>
              <w:ind w:left="220"/>
              <w:jc w:val="left"/>
              <w:rPr>
                <w:sz w:val="21"/>
              </w:rPr>
            </w:pPr>
            <w:r>
              <w:rPr>
                <w:sz w:val="21"/>
              </w:rPr>
              <w:t>17</w:t>
            </w:r>
          </w:p>
        </w:tc>
        <w:tc>
          <w:tcPr>
            <w:tcW w:w="2541" w:type="dxa"/>
            <w:tcBorders>
              <w:top w:val="single" w:sz="4" w:space="0" w:color="000000"/>
              <w:left w:val="single" w:sz="4" w:space="0" w:color="000000"/>
              <w:right w:val="single" w:sz="4" w:space="0" w:color="000000"/>
            </w:tcBorders>
          </w:tcPr>
          <w:p>
            <w:pPr>
              <w:pStyle w:val="TableParagraph"/>
              <w:spacing w:before="44"/>
              <w:ind w:left="326"/>
              <w:jc w:val="left"/>
              <w:rPr>
                <w:rFonts w:ascii="宋体" w:eastAsia="宋体" w:hint="eastAsia"/>
                <w:sz w:val="21"/>
              </w:rPr>
            </w:pPr>
            <w:r>
              <w:rPr>
                <w:rFonts w:ascii="宋体" w:eastAsia="宋体" w:hint="eastAsia"/>
                <w:sz w:val="21"/>
              </w:rPr>
              <w:t>永信村（</w:t>
            </w:r>
            <w:r>
              <w:rPr>
                <w:sz w:val="21"/>
              </w:rPr>
              <w:t>-2384,479</w:t>
            </w:r>
            <w:r>
              <w:rPr>
                <w:rFonts w:ascii="宋体" w:eastAsia="宋体" w:hint="eastAsia"/>
                <w:sz w:val="21"/>
              </w:rPr>
              <w:t>）</w:t>
            </w:r>
          </w:p>
        </w:tc>
        <w:tc>
          <w:tcPr>
            <w:tcW w:w="991" w:type="dxa"/>
            <w:tcBorders>
              <w:top w:val="single" w:sz="4" w:space="0" w:color="000000"/>
              <w:left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right w:val="single" w:sz="4" w:space="0" w:color="000000"/>
            </w:tcBorders>
          </w:tcPr>
          <w:p>
            <w:pPr>
              <w:pStyle w:val="TableParagraph"/>
              <w:ind w:left="108" w:right="73"/>
              <w:rPr>
                <w:sz w:val="21"/>
              </w:rPr>
            </w:pPr>
            <w:r>
              <w:rPr>
                <w:sz w:val="21"/>
              </w:rPr>
              <w:t>1.56E-03</w:t>
            </w:r>
          </w:p>
        </w:tc>
        <w:tc>
          <w:tcPr>
            <w:tcW w:w="1084" w:type="dxa"/>
            <w:tcBorders>
              <w:top w:val="single" w:sz="4" w:space="0" w:color="000000"/>
              <w:left w:val="single" w:sz="4" w:space="0" w:color="000000"/>
              <w:right w:val="single" w:sz="4" w:space="0" w:color="000000"/>
            </w:tcBorders>
          </w:tcPr>
          <w:p>
            <w:pPr>
              <w:pStyle w:val="TableParagraph"/>
              <w:ind w:left="107" w:right="70"/>
              <w:rPr>
                <w:sz w:val="21"/>
              </w:rPr>
            </w:pPr>
            <w:r>
              <w:rPr>
                <w:sz w:val="21"/>
              </w:rPr>
              <w:t>19092001</w:t>
            </w:r>
          </w:p>
        </w:tc>
        <w:tc>
          <w:tcPr>
            <w:tcW w:w="870" w:type="dxa"/>
            <w:tcBorders>
              <w:top w:val="single" w:sz="4" w:space="0" w:color="000000"/>
              <w:left w:val="single" w:sz="4" w:space="0" w:color="000000"/>
              <w:right w:val="single" w:sz="4" w:space="0" w:color="000000"/>
            </w:tcBorders>
          </w:tcPr>
          <w:p>
            <w:pPr>
              <w:pStyle w:val="TableParagraph"/>
              <w:ind w:left="110" w:right="76"/>
              <w:rPr>
                <w:sz w:val="21"/>
              </w:rPr>
            </w:pPr>
            <w:r>
              <w:rPr>
                <w:sz w:val="21"/>
              </w:rPr>
              <w:t>0.78</w:t>
            </w:r>
          </w:p>
        </w:tc>
        <w:tc>
          <w:tcPr>
            <w:tcW w:w="1086" w:type="dxa"/>
            <w:tcBorders>
              <w:top w:val="single" w:sz="4" w:space="0" w:color="000000"/>
              <w:left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tcBorders>
          </w:tcPr>
          <w:p>
            <w:pPr>
              <w:pStyle w:val="TableParagraph"/>
              <w:ind w:left="148" w:right="87"/>
              <w:rPr>
                <w:sz w:val="21"/>
              </w:rPr>
            </w:pPr>
            <w:r>
              <w:rPr>
                <w:sz w:val="21"/>
              </w:rPr>
              <w:t>2.00E-01</w:t>
            </w:r>
          </w:p>
        </w:tc>
      </w:tr>
    </w:tbl>
    <w:p>
      <w:pPr>
        <w:spacing w:after="0"/>
        <w:rPr>
          <w:sz w:val="21"/>
        </w:rPr>
        <w:sectPr>
          <w:headerReference w:type="default" r:id="rId132"/>
          <w:pgSz w:w="16840" w:h="11910" w:orient="landscape"/>
          <w:pgMar w:header="588" w:footer="630" w:top="840" w:bottom="820" w:left="1200" w:right="1200"/>
        </w:sect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2541"/>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49"/>
              <w:ind w:left="293"/>
              <w:jc w:val="left"/>
              <w:rPr>
                <w:rFonts w:ascii="宋体" w:eastAsia="宋体" w:hint="eastAsia"/>
                <w:b/>
                <w:sz w:val="21"/>
              </w:rPr>
            </w:pPr>
            <w:r>
              <w:rPr>
                <w:rFonts w:ascii="宋体" w:eastAsia="宋体" w:hint="eastAsia"/>
                <w:b/>
                <w:sz w:val="21"/>
              </w:rPr>
              <w:t>浓度</w:t>
            </w:r>
          </w:p>
          <w:p>
            <w:pPr>
              <w:pStyle w:val="TableParagraph"/>
              <w:spacing w:before="91"/>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4"/>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4"/>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1.94E-04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190607</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2.26E-05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75.06</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18</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24"/>
              <w:jc w:val="left"/>
              <w:rPr>
                <w:rFonts w:ascii="宋体" w:eastAsia="宋体" w:hint="eastAsia"/>
                <w:sz w:val="21"/>
              </w:rPr>
            </w:pPr>
            <w:r>
              <w:rPr>
                <w:rFonts w:ascii="宋体" w:eastAsia="宋体" w:hint="eastAsia"/>
                <w:sz w:val="21"/>
              </w:rPr>
              <w:t>规划敏感点 </w:t>
            </w:r>
            <w:r>
              <w:rPr>
                <w:sz w:val="21"/>
              </w:rPr>
              <w:t>1</w:t>
            </w:r>
            <w:r>
              <w:rPr>
                <w:rFonts w:ascii="宋体" w:eastAsia="宋体" w:hint="eastAsia"/>
                <w:sz w:val="21"/>
              </w:rPr>
              <w:t>（</w:t>
            </w:r>
            <w:r>
              <w:rPr>
                <w:sz w:val="21"/>
              </w:rPr>
              <w:t>983,975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2.26E-03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19072522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1.13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2.70E-04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190925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0.34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6.23E-02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77.84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2.49E-05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5"/>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75.06</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19</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15"/>
              <w:jc w:val="left"/>
              <w:rPr>
                <w:rFonts w:ascii="宋体" w:eastAsia="宋体" w:hint="eastAsia"/>
                <w:sz w:val="21"/>
              </w:rPr>
            </w:pPr>
            <w:r>
              <w:rPr>
                <w:rFonts w:ascii="宋体" w:eastAsia="宋体" w:hint="eastAsia"/>
                <w:spacing w:val="-10"/>
                <w:sz w:val="21"/>
              </w:rPr>
              <w:t>规划敏感点 </w:t>
            </w:r>
            <w:r>
              <w:rPr>
                <w:sz w:val="21"/>
              </w:rPr>
              <w:t>2</w:t>
            </w:r>
            <w:r>
              <w:rPr>
                <w:rFonts w:ascii="宋体" w:eastAsia="宋体" w:hint="eastAsia"/>
                <w:sz w:val="21"/>
              </w:rPr>
              <w:t>（</w:t>
            </w:r>
            <w:r>
              <w:rPr>
                <w:sz w:val="21"/>
              </w:rPr>
              <w:t>1246,677</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2.17E-03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19081519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1.09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2.59E-04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0.32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6.23E-02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77.82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3.19E-05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75.08</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20</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15"/>
              <w:jc w:val="left"/>
              <w:rPr>
                <w:rFonts w:ascii="宋体" w:eastAsia="宋体" w:hint="eastAsia"/>
                <w:sz w:val="21"/>
              </w:rPr>
            </w:pPr>
            <w:r>
              <w:rPr>
                <w:rFonts w:ascii="宋体" w:eastAsia="宋体" w:hint="eastAsia"/>
                <w:spacing w:val="-10"/>
                <w:sz w:val="21"/>
              </w:rPr>
              <w:t>规划敏感点 </w:t>
            </w:r>
            <w:r>
              <w:rPr>
                <w:sz w:val="21"/>
              </w:rPr>
              <w:t>3</w:t>
            </w:r>
            <w:r>
              <w:rPr>
                <w:rFonts w:ascii="宋体" w:eastAsia="宋体" w:hint="eastAsia"/>
                <w:sz w:val="21"/>
              </w:rPr>
              <w:t>（</w:t>
            </w:r>
            <w:r>
              <w:rPr>
                <w:sz w:val="21"/>
              </w:rPr>
              <w:t>1466,682</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1.93E-03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19081719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0.97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2.16E-04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2.70E-05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21</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15"/>
              <w:jc w:val="left"/>
              <w:rPr>
                <w:rFonts w:ascii="宋体" w:eastAsia="宋体" w:hint="eastAsia"/>
                <w:sz w:val="21"/>
              </w:rPr>
            </w:pPr>
            <w:r>
              <w:rPr>
                <w:rFonts w:ascii="宋体" w:eastAsia="宋体" w:hint="eastAsia"/>
                <w:spacing w:val="-10"/>
                <w:sz w:val="21"/>
              </w:rPr>
              <w:t>规划敏感点 </w:t>
            </w:r>
            <w:r>
              <w:rPr>
                <w:sz w:val="21"/>
              </w:rPr>
              <w:t>4</w:t>
            </w:r>
            <w:r>
              <w:rPr>
                <w:rFonts w:ascii="宋体" w:eastAsia="宋体" w:hint="eastAsia"/>
                <w:sz w:val="21"/>
              </w:rPr>
              <w:t>（</w:t>
            </w:r>
            <w:r>
              <w:rPr>
                <w:sz w:val="21"/>
              </w:rPr>
              <w:t>1819,754</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1.57E-03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19081322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0.79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1.89E-04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2.08E-05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22</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5</w:t>
            </w:r>
            <w:r>
              <w:rPr>
                <w:rFonts w:ascii="宋体" w:eastAsia="宋体" w:hint="eastAsia"/>
                <w:spacing w:val="-3"/>
                <w:w w:val="100"/>
                <w:sz w:val="21"/>
              </w:rPr>
              <w:t>（</w:t>
            </w:r>
            <w:r>
              <w:rPr>
                <w:w w:val="100"/>
                <w:sz w:val="21"/>
              </w:rPr>
              <w:t>169</w:t>
            </w:r>
            <w:r>
              <w:rPr>
                <w:spacing w:val="-3"/>
                <w:w w:val="100"/>
                <w:sz w:val="21"/>
              </w:rPr>
              <w:t>8</w:t>
            </w:r>
            <w:r>
              <w:rPr>
                <w:w w:val="100"/>
                <w:sz w:val="21"/>
              </w:rPr>
              <w:t>,10</w:t>
            </w:r>
            <w:r>
              <w:rPr>
                <w:spacing w:val="-3"/>
                <w:w w:val="100"/>
                <w:sz w:val="21"/>
              </w:rPr>
              <w:t>6</w:t>
            </w:r>
            <w:r>
              <w:rPr>
                <w:spacing w:val="-1"/>
                <w:w w:val="100"/>
                <w:sz w:val="21"/>
              </w:rPr>
              <w:t>1</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1.56E-03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19110901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0.78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1.72E-04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190909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2.01E-05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5"/>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23</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6</w:t>
            </w:r>
            <w:r>
              <w:rPr>
                <w:rFonts w:ascii="宋体" w:eastAsia="宋体" w:hint="eastAsia"/>
                <w:spacing w:val="-3"/>
                <w:w w:val="100"/>
                <w:sz w:val="21"/>
              </w:rPr>
              <w:t>（</w:t>
            </w:r>
            <w:r>
              <w:rPr>
                <w:w w:val="100"/>
                <w:sz w:val="21"/>
              </w:rPr>
              <w:t>157</w:t>
            </w:r>
            <w:r>
              <w:rPr>
                <w:spacing w:val="-3"/>
                <w:w w:val="100"/>
                <w:sz w:val="21"/>
              </w:rPr>
              <w:t>3</w:t>
            </w:r>
            <w:r>
              <w:rPr>
                <w:w w:val="100"/>
                <w:sz w:val="21"/>
              </w:rPr>
              <w:t>,13</w:t>
            </w:r>
            <w:r>
              <w:rPr>
                <w:spacing w:val="-3"/>
                <w:w w:val="100"/>
                <w:sz w:val="21"/>
              </w:rPr>
              <w:t>9</w:t>
            </w:r>
            <w:r>
              <w:rPr>
                <w:spacing w:val="-1"/>
                <w:w w:val="100"/>
                <w:sz w:val="21"/>
              </w:rPr>
              <w:t>3</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1.51E-03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19071921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0.76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1.85E-04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190925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77.73</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1.54E-05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24</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7</w:t>
            </w:r>
            <w:r>
              <w:rPr>
                <w:rFonts w:ascii="宋体" w:eastAsia="宋体" w:hint="eastAsia"/>
                <w:spacing w:val="-3"/>
                <w:w w:val="100"/>
                <w:sz w:val="21"/>
              </w:rPr>
              <w:t>（</w:t>
            </w:r>
            <w:r>
              <w:rPr>
                <w:w w:val="100"/>
                <w:sz w:val="21"/>
              </w:rPr>
              <w:t>205</w:t>
            </w:r>
            <w:r>
              <w:rPr>
                <w:spacing w:val="-3"/>
                <w:w w:val="100"/>
                <w:sz w:val="21"/>
              </w:rPr>
              <w:t>9</w:t>
            </w:r>
            <w:r>
              <w:rPr>
                <w:w w:val="100"/>
                <w:sz w:val="21"/>
              </w:rPr>
              <w:t>,10</w:t>
            </w:r>
            <w:r>
              <w:rPr>
                <w:spacing w:val="-3"/>
                <w:w w:val="100"/>
                <w:sz w:val="21"/>
              </w:rPr>
              <w:t>9</w:t>
            </w:r>
            <w:r>
              <w:rPr>
                <w:spacing w:val="-1"/>
                <w:w w:val="100"/>
                <w:sz w:val="21"/>
              </w:rPr>
              <w:t>5</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1.35E-03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19120905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1.60E-04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77.70</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1.76E-05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47" w:hRule="atLeast"/>
        </w:trPr>
        <w:tc>
          <w:tcPr>
            <w:tcW w:w="653" w:type="dxa"/>
            <w:vMerge w:val="restart"/>
            <w:tcBorders>
              <w:top w:val="single" w:sz="4" w:space="0" w:color="000000"/>
              <w:right w:val="single" w:sz="4" w:space="0" w:color="000000"/>
            </w:tcBorders>
          </w:tcPr>
          <w:p>
            <w:pPr>
              <w:pStyle w:val="TableParagraph"/>
              <w:spacing w:before="1"/>
              <w:jc w:val="left"/>
              <w:rPr>
                <w:b/>
                <w:sz w:val="21"/>
              </w:rPr>
            </w:pPr>
          </w:p>
          <w:p>
            <w:pPr>
              <w:pStyle w:val="TableParagraph"/>
              <w:spacing w:before="0"/>
              <w:ind w:left="220"/>
              <w:jc w:val="left"/>
              <w:rPr>
                <w:sz w:val="21"/>
              </w:rPr>
            </w:pPr>
            <w:r>
              <w:rPr>
                <w:sz w:val="21"/>
              </w:rPr>
              <w:t>25</w:t>
            </w:r>
          </w:p>
        </w:tc>
        <w:tc>
          <w:tcPr>
            <w:tcW w:w="2541" w:type="dxa"/>
            <w:vMerge w:val="restart"/>
            <w:tcBorders>
              <w:top w:val="single" w:sz="4" w:space="0" w:color="000000"/>
              <w:left w:val="single" w:sz="4" w:space="0" w:color="000000"/>
              <w:right w:val="single" w:sz="4" w:space="0" w:color="000000"/>
            </w:tcBorders>
          </w:tcPr>
          <w:p>
            <w:pPr>
              <w:pStyle w:val="TableParagraph"/>
              <w:spacing w:before="10"/>
              <w:jc w:val="left"/>
              <w:rPr>
                <w:b/>
                <w:sz w:val="19"/>
              </w:rPr>
            </w:pPr>
          </w:p>
          <w:p>
            <w:pPr>
              <w:pStyle w:val="TableParagraph"/>
              <w:spacing w:before="0"/>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8</w:t>
            </w:r>
            <w:r>
              <w:rPr>
                <w:rFonts w:ascii="宋体" w:eastAsia="宋体" w:hint="eastAsia"/>
                <w:spacing w:val="-3"/>
                <w:w w:val="100"/>
                <w:sz w:val="21"/>
              </w:rPr>
              <w:t>（</w:t>
            </w:r>
            <w:r>
              <w:rPr>
                <w:w w:val="100"/>
                <w:sz w:val="21"/>
              </w:rPr>
              <w:t>197</w:t>
            </w:r>
            <w:r>
              <w:rPr>
                <w:spacing w:val="-3"/>
                <w:w w:val="100"/>
                <w:sz w:val="21"/>
              </w:rPr>
              <w:t>7</w:t>
            </w:r>
            <w:r>
              <w:rPr>
                <w:w w:val="100"/>
                <w:sz w:val="21"/>
              </w:rPr>
              <w:t>,14</w:t>
            </w:r>
            <w:r>
              <w:rPr>
                <w:spacing w:val="-3"/>
                <w:w w:val="100"/>
                <w:sz w:val="21"/>
              </w:rPr>
              <w:t>2</w:t>
            </w:r>
            <w:r>
              <w:rPr>
                <w:spacing w:val="-1"/>
                <w:w w:val="100"/>
                <w:sz w:val="21"/>
              </w:rPr>
              <w:t>2</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1.29E-03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19051003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49" w:hRule="atLeast"/>
        </w:trPr>
        <w:tc>
          <w:tcPr>
            <w:tcW w:w="653" w:type="dxa"/>
            <w:vMerge/>
            <w:tcBorders>
              <w:top w:val="nil"/>
              <w:right w:val="single" w:sz="4" w:space="0" w:color="000000"/>
            </w:tcBorders>
          </w:tcPr>
          <w:p>
            <w:pPr>
              <w:rPr>
                <w:sz w:val="2"/>
                <w:szCs w:val="2"/>
              </w:rPr>
            </w:pPr>
          </w:p>
        </w:tc>
        <w:tc>
          <w:tcPr>
            <w:tcW w:w="2541" w:type="dxa"/>
            <w:vMerge/>
            <w:tcBorders>
              <w:top w:val="nil"/>
              <w:left w:val="single" w:sz="4" w:space="0" w:color="000000"/>
              <w:right w:val="single" w:sz="4" w:space="0" w:color="000000"/>
            </w:tcBorders>
          </w:tcPr>
          <w:p>
            <w:pPr>
              <w:rPr>
                <w:sz w:val="2"/>
                <w:szCs w:val="2"/>
              </w:rPr>
            </w:pPr>
          </w:p>
        </w:tc>
        <w:tc>
          <w:tcPr>
            <w:tcW w:w="991" w:type="dxa"/>
            <w:tcBorders>
              <w:top w:val="single" w:sz="4" w:space="0" w:color="000000"/>
              <w:left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right w:val="single" w:sz="4" w:space="0" w:color="000000"/>
            </w:tcBorders>
          </w:tcPr>
          <w:p>
            <w:pPr>
              <w:pStyle w:val="TableParagraph"/>
              <w:spacing w:before="48"/>
              <w:ind w:left="108" w:right="73"/>
              <w:rPr>
                <w:sz w:val="21"/>
              </w:rPr>
            </w:pPr>
            <w:r>
              <w:rPr>
                <w:sz w:val="21"/>
              </w:rPr>
              <w:t>1.48E-04</w:t>
            </w:r>
          </w:p>
        </w:tc>
        <w:tc>
          <w:tcPr>
            <w:tcW w:w="1084" w:type="dxa"/>
            <w:tcBorders>
              <w:top w:val="single" w:sz="4" w:space="0" w:color="000000"/>
              <w:left w:val="single" w:sz="4" w:space="0" w:color="000000"/>
              <w:right w:val="single" w:sz="4" w:space="0" w:color="000000"/>
            </w:tcBorders>
          </w:tcPr>
          <w:p>
            <w:pPr>
              <w:pStyle w:val="TableParagraph"/>
              <w:spacing w:before="48"/>
              <w:ind w:left="110" w:right="70"/>
              <w:rPr>
                <w:sz w:val="21"/>
              </w:rPr>
            </w:pPr>
            <w:r>
              <w:rPr>
                <w:sz w:val="21"/>
              </w:rPr>
              <w:t>190521</w:t>
            </w:r>
          </w:p>
        </w:tc>
        <w:tc>
          <w:tcPr>
            <w:tcW w:w="870" w:type="dxa"/>
            <w:tcBorders>
              <w:top w:val="single" w:sz="4" w:space="0" w:color="000000"/>
              <w:left w:val="single" w:sz="4" w:space="0" w:color="000000"/>
              <w:right w:val="single" w:sz="4" w:space="0" w:color="000000"/>
            </w:tcBorders>
          </w:tcPr>
          <w:p>
            <w:pPr>
              <w:pStyle w:val="TableParagraph"/>
              <w:spacing w:before="48"/>
              <w:ind w:left="110" w:right="76"/>
              <w:rPr>
                <w:sz w:val="21"/>
              </w:rPr>
            </w:pPr>
            <w:r>
              <w:rPr>
                <w:sz w:val="21"/>
              </w:rPr>
              <w:t>0.19</w:t>
            </w:r>
          </w:p>
        </w:tc>
        <w:tc>
          <w:tcPr>
            <w:tcW w:w="1086" w:type="dxa"/>
            <w:tcBorders>
              <w:top w:val="single" w:sz="4" w:space="0" w:color="000000"/>
              <w:left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spacing w:before="48"/>
              <w:ind w:left="113" w:right="68"/>
              <w:rPr>
                <w:sz w:val="21"/>
              </w:rPr>
            </w:pPr>
            <w:r>
              <w:rPr>
                <w:sz w:val="21"/>
              </w:rPr>
              <w:t>6.20E-02</w:t>
            </w:r>
          </w:p>
        </w:tc>
        <w:tc>
          <w:tcPr>
            <w:tcW w:w="1084" w:type="dxa"/>
            <w:tcBorders>
              <w:top w:val="single" w:sz="4" w:space="0" w:color="000000"/>
              <w:left w:val="single" w:sz="4" w:space="0" w:color="000000"/>
              <w:right w:val="single" w:sz="4" w:space="0" w:color="000000"/>
            </w:tcBorders>
          </w:tcPr>
          <w:p>
            <w:pPr>
              <w:pStyle w:val="TableParagraph"/>
              <w:spacing w:before="48"/>
              <w:ind w:left="115" w:right="66"/>
              <w:rPr>
                <w:sz w:val="21"/>
              </w:rPr>
            </w:pPr>
            <w:r>
              <w:rPr>
                <w:sz w:val="21"/>
              </w:rPr>
              <w:t>6.21E-02</w:t>
            </w:r>
          </w:p>
        </w:tc>
        <w:tc>
          <w:tcPr>
            <w:tcW w:w="1524" w:type="dxa"/>
            <w:tcBorders>
              <w:top w:val="single" w:sz="4" w:space="0" w:color="000000"/>
              <w:left w:val="single" w:sz="4" w:space="0" w:color="000000"/>
              <w:right w:val="single" w:sz="4" w:space="0" w:color="000000"/>
            </w:tcBorders>
          </w:tcPr>
          <w:p>
            <w:pPr>
              <w:pStyle w:val="TableParagraph"/>
              <w:spacing w:before="48"/>
              <w:ind w:left="126" w:right="82"/>
              <w:rPr>
                <w:sz w:val="21"/>
              </w:rPr>
            </w:pPr>
            <w:r>
              <w:rPr>
                <w:sz w:val="21"/>
              </w:rPr>
              <w:t>77.69</w:t>
            </w:r>
          </w:p>
        </w:tc>
        <w:tc>
          <w:tcPr>
            <w:tcW w:w="1089" w:type="dxa"/>
            <w:tcBorders>
              <w:top w:val="single" w:sz="4" w:space="0" w:color="000000"/>
              <w:left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tcBorders>
          </w:tcPr>
          <w:p>
            <w:pPr>
              <w:pStyle w:val="TableParagraph"/>
              <w:spacing w:before="48"/>
              <w:ind w:left="148" w:right="87"/>
              <w:rPr>
                <w:sz w:val="21"/>
              </w:rPr>
            </w:pPr>
            <w:r>
              <w:rPr>
                <w:sz w:val="21"/>
              </w:rPr>
              <w:t>8.00E-02</w:t>
            </w:r>
          </w:p>
        </w:tc>
      </w:tr>
    </w:tbl>
    <w:p>
      <w:pPr>
        <w:spacing w:after="0"/>
        <w:rPr>
          <w:sz w:val="21"/>
        </w:rPr>
        <w:sectPr>
          <w:pgSz w:w="16840" w:h="11910" w:orient="landscape"/>
          <w:pgMar w:header="588" w:footer="630" w:top="840" w:bottom="820" w:left="1200" w:right="1200"/>
        </w:sect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799"/>
        <w:gridCol w:w="1742"/>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gridSpan w:val="2"/>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49"/>
              <w:ind w:left="293"/>
              <w:jc w:val="left"/>
              <w:rPr>
                <w:rFonts w:ascii="宋体" w:eastAsia="宋体" w:hint="eastAsia"/>
                <w:b/>
                <w:sz w:val="21"/>
              </w:rPr>
            </w:pPr>
            <w:r>
              <w:rPr>
                <w:rFonts w:ascii="宋体" w:eastAsia="宋体" w:hint="eastAsia"/>
                <w:b/>
                <w:sz w:val="21"/>
              </w:rPr>
              <w:t>浓度</w:t>
            </w:r>
          </w:p>
          <w:p>
            <w:pPr>
              <w:pStyle w:val="TableParagraph"/>
              <w:spacing w:before="91"/>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4"/>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4"/>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1.45E-05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0.04</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75.04</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26</w:t>
            </w:r>
          </w:p>
        </w:tc>
        <w:tc>
          <w:tcPr>
            <w:tcW w:w="254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117" w:right="-29"/>
              <w:jc w:val="left"/>
              <w:rPr>
                <w:rFonts w:ascii="宋体" w:eastAsia="宋体" w:hint="eastAsia"/>
                <w:sz w:val="21"/>
              </w:rPr>
            </w:pPr>
            <w:r>
              <w:rPr>
                <w:rFonts w:ascii="宋体" w:eastAsia="宋体" w:hint="eastAsia"/>
                <w:spacing w:val="-8"/>
                <w:sz w:val="21"/>
              </w:rPr>
              <w:t>规划敏感点 </w:t>
            </w:r>
            <w:r>
              <w:rPr>
                <w:spacing w:val="-9"/>
                <w:sz w:val="21"/>
              </w:rPr>
              <w:t>9</w:t>
            </w:r>
            <w:r>
              <w:rPr>
                <w:rFonts w:ascii="宋体" w:eastAsia="宋体" w:hint="eastAsia"/>
                <w:spacing w:val="-9"/>
                <w:sz w:val="21"/>
              </w:rPr>
              <w:t>（</w:t>
            </w:r>
            <w:r>
              <w:rPr>
                <w:spacing w:val="-9"/>
                <w:sz w:val="21"/>
              </w:rPr>
              <w:t>1126,2099</w:t>
            </w:r>
            <w:r>
              <w:rPr>
                <w:rFonts w:ascii="宋体" w:eastAsia="宋体" w:hint="eastAsia"/>
                <w:spacing w:val="-9"/>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1.35E-03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19111705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1.37E-04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0.17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1.10E-05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0.03</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75.03</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60"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27</w:t>
            </w:r>
          </w:p>
        </w:tc>
        <w:tc>
          <w:tcPr>
            <w:tcW w:w="254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4"/>
              <w:jc w:val="left"/>
              <w:rPr>
                <w:b/>
                <w:sz w:val="20"/>
              </w:rPr>
            </w:pPr>
          </w:p>
          <w:p>
            <w:pPr>
              <w:pStyle w:val="TableParagraph"/>
              <w:spacing w:before="0"/>
              <w:ind w:left="623"/>
              <w:jc w:val="left"/>
              <w:rPr>
                <w:sz w:val="21"/>
              </w:rPr>
            </w:pPr>
            <w:r>
              <w:rPr>
                <w:rFonts w:ascii="宋体" w:eastAsia="宋体" w:hint="eastAsia"/>
                <w:spacing w:val="-10"/>
                <w:sz w:val="21"/>
              </w:rPr>
              <w:t>规划敏感点 </w:t>
            </w:r>
            <w:r>
              <w:rPr>
                <w:sz w:val="21"/>
              </w:rPr>
              <w:t>10</w:t>
            </w:r>
          </w:p>
          <w:p>
            <w:pPr>
              <w:pStyle w:val="TableParagraph"/>
              <w:spacing w:before="89"/>
              <w:ind w:left="626"/>
              <w:jc w:val="left"/>
              <w:rPr>
                <w:rFonts w:ascii="宋体" w:eastAsia="宋体" w:hint="eastAsia"/>
                <w:sz w:val="21"/>
              </w:rPr>
            </w:pPr>
            <w:r>
              <w:rPr>
                <w:rFonts w:ascii="宋体" w:eastAsia="宋体" w:hint="eastAsia"/>
                <w:sz w:val="21"/>
              </w:rPr>
              <w:t>（</w:t>
            </w:r>
            <w:r>
              <w:rPr>
                <w:sz w:val="21"/>
              </w:rPr>
              <w:t>1162,2463</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1.16E-03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19040624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0.58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1.21E-04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190723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0.15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77.65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9.04E-06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28</w:t>
            </w:r>
          </w:p>
        </w:tc>
        <w:tc>
          <w:tcPr>
            <w:tcW w:w="254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117"/>
              <w:jc w:val="left"/>
              <w:rPr>
                <w:rFonts w:ascii="宋体" w:eastAsia="宋体" w:hint="eastAsia"/>
                <w:sz w:val="21"/>
              </w:rPr>
            </w:pPr>
            <w:r>
              <w:rPr>
                <w:rFonts w:ascii="宋体" w:eastAsia="宋体" w:hint="eastAsia"/>
                <w:spacing w:val="-9"/>
                <w:sz w:val="21"/>
              </w:rPr>
              <w:t>规划敏感点 </w:t>
            </w:r>
            <w:r>
              <w:rPr>
                <w:spacing w:val="-3"/>
                <w:sz w:val="21"/>
              </w:rPr>
              <w:t>11</w:t>
            </w:r>
            <w:r>
              <w:rPr>
                <w:rFonts w:ascii="宋体" w:eastAsia="宋体" w:hint="eastAsia"/>
                <w:spacing w:val="-3"/>
                <w:sz w:val="21"/>
              </w:rPr>
              <w:t>（</w:t>
            </w:r>
            <w:r>
              <w:rPr>
                <w:spacing w:val="-3"/>
                <w:sz w:val="21"/>
              </w:rPr>
              <w:t>33,2313</w:t>
            </w:r>
            <w:r>
              <w:rPr>
                <w:rFonts w:ascii="宋体" w:eastAsia="宋体" w:hint="eastAsia"/>
                <w:spacing w:val="-3"/>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1.38E-03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19121424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0.69</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1.28E-04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190524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0.16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6.21E-02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77.66</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8.67E-06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3.00E-02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75.02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60"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29</w:t>
            </w:r>
          </w:p>
        </w:tc>
        <w:tc>
          <w:tcPr>
            <w:tcW w:w="79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0"/>
              </w:rPr>
            </w:pPr>
          </w:p>
          <w:p>
            <w:pPr>
              <w:pStyle w:val="TableParagraph"/>
              <w:spacing w:before="0"/>
              <w:jc w:val="left"/>
              <w:rPr>
                <w:b/>
                <w:sz w:val="16"/>
              </w:rPr>
            </w:pPr>
          </w:p>
          <w:p>
            <w:pPr>
              <w:pStyle w:val="TableParagraph"/>
              <w:spacing w:before="0"/>
              <w:ind w:left="199"/>
              <w:jc w:val="left"/>
              <w:rPr>
                <w:rFonts w:ascii="宋体" w:eastAsia="宋体" w:hint="eastAsia"/>
                <w:sz w:val="21"/>
              </w:rPr>
            </w:pPr>
            <w:r>
              <w:rPr>
                <w:rFonts w:ascii="宋体" w:eastAsia="宋体" w:hint="eastAsia"/>
                <w:sz w:val="21"/>
              </w:rPr>
              <w:t>网格</w:t>
            </w: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99"/>
              <w:rPr>
                <w:rFonts w:ascii="宋体" w:eastAsia="宋体" w:hint="eastAsia"/>
                <w:sz w:val="21"/>
              </w:rPr>
            </w:pPr>
            <w:r>
              <w:rPr>
                <w:rFonts w:ascii="宋体" w:eastAsia="宋体" w:hint="eastAsia"/>
                <w:sz w:val="21"/>
              </w:rPr>
              <w:t>（</w:t>
            </w:r>
            <w:r>
              <w:rPr>
                <w:sz w:val="21"/>
              </w:rPr>
              <w:t>0,150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19071624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24.98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2.00E-01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799" w:type="dxa"/>
            <w:vMerge/>
            <w:tcBorders>
              <w:top w:val="nil"/>
              <w:left w:val="single" w:sz="4" w:space="0" w:color="000000"/>
              <w:bottom w:val="single" w:sz="4" w:space="0" w:color="000000"/>
              <w:right w:val="single" w:sz="4" w:space="0" w:color="000000"/>
            </w:tcBorders>
          </w:tcPr>
          <w:p>
            <w:pPr>
              <w:rPr>
                <w:sz w:val="2"/>
                <w:szCs w:val="2"/>
              </w:rPr>
            </w:pP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99"/>
              <w:rPr>
                <w:rFonts w:ascii="宋体" w:eastAsia="宋体" w:hint="eastAsia"/>
                <w:sz w:val="21"/>
              </w:rPr>
            </w:pPr>
            <w:r>
              <w:rPr>
                <w:rFonts w:ascii="宋体" w:eastAsia="宋体" w:hint="eastAsia"/>
                <w:sz w:val="21"/>
              </w:rPr>
              <w:t>（</w:t>
            </w:r>
            <w:r>
              <w:rPr>
                <w:sz w:val="21"/>
              </w:rPr>
              <w:t>0,150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6.70E-03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190524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8.37</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6.87E-02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85.87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8.00E-02</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799" w:type="dxa"/>
            <w:vMerge/>
            <w:tcBorders>
              <w:top w:val="nil"/>
              <w:left w:val="single" w:sz="4" w:space="0" w:color="000000"/>
              <w:bottom w:val="single" w:sz="4" w:space="0" w:color="000000"/>
              <w:right w:val="single" w:sz="4" w:space="0" w:color="000000"/>
            </w:tcBorders>
          </w:tcPr>
          <w:p>
            <w:pPr>
              <w:rPr>
                <w:sz w:val="2"/>
                <w:szCs w:val="2"/>
              </w:rPr>
            </w:pP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101"/>
              <w:rPr>
                <w:rFonts w:ascii="宋体" w:eastAsia="宋体" w:hint="eastAsia"/>
                <w:sz w:val="21"/>
              </w:rPr>
            </w:pPr>
            <w:r>
              <w:rPr>
                <w:rFonts w:ascii="宋体" w:eastAsia="宋体" w:hint="eastAsia"/>
                <w:sz w:val="21"/>
              </w:rPr>
              <w:t>（</w:t>
            </w:r>
            <w:r>
              <w:rPr>
                <w:sz w:val="21"/>
              </w:rPr>
              <w:t>-150,50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1.18E-03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2.95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3.00E-02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3.12E-02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77.95</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4.00E-02</w:t>
            </w:r>
          </w:p>
        </w:tc>
      </w:tr>
      <w:tr>
        <w:trPr>
          <w:trHeight w:val="349" w:hRule="atLeast"/>
        </w:trPr>
        <w:tc>
          <w:tcPr>
            <w:tcW w:w="653" w:type="dxa"/>
            <w:vMerge w:val="restart"/>
            <w:tcBorders>
              <w:top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30</w:t>
            </w:r>
          </w:p>
        </w:tc>
        <w:tc>
          <w:tcPr>
            <w:tcW w:w="799" w:type="dxa"/>
            <w:vMerge w:val="restart"/>
            <w:tcBorders>
              <w:top w:val="single" w:sz="4" w:space="0" w:color="000000"/>
              <w:left w:val="single" w:sz="4" w:space="0" w:color="000000"/>
              <w:right w:val="single" w:sz="4" w:space="0" w:color="000000"/>
            </w:tcBorders>
          </w:tcPr>
          <w:p>
            <w:pPr>
              <w:pStyle w:val="TableParagraph"/>
              <w:spacing w:before="0"/>
              <w:jc w:val="left"/>
              <w:rPr>
                <w:b/>
                <w:sz w:val="20"/>
              </w:rPr>
            </w:pPr>
          </w:p>
          <w:p>
            <w:pPr>
              <w:pStyle w:val="TableParagraph"/>
              <w:spacing w:before="11"/>
              <w:jc w:val="left"/>
              <w:rPr>
                <w:b/>
                <w:sz w:val="15"/>
              </w:rPr>
            </w:pPr>
          </w:p>
          <w:p>
            <w:pPr>
              <w:pStyle w:val="TableParagraph"/>
              <w:spacing w:before="0"/>
              <w:ind w:left="199"/>
              <w:jc w:val="left"/>
              <w:rPr>
                <w:rFonts w:ascii="宋体" w:eastAsia="宋体" w:hint="eastAsia"/>
                <w:sz w:val="21"/>
              </w:rPr>
            </w:pPr>
            <w:r>
              <w:rPr>
                <w:rFonts w:ascii="宋体" w:eastAsia="宋体" w:hint="eastAsia"/>
                <w:sz w:val="21"/>
              </w:rPr>
              <w:t>厂界</w:t>
            </w: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101"/>
              <w:rPr>
                <w:rFonts w:ascii="宋体" w:eastAsia="宋体" w:hint="eastAsia"/>
                <w:sz w:val="21"/>
              </w:rPr>
            </w:pPr>
            <w:r>
              <w:rPr>
                <w:rFonts w:ascii="宋体" w:eastAsia="宋体" w:hint="eastAsia"/>
                <w:sz w:val="21"/>
              </w:rPr>
              <w:t>（</w:t>
            </w:r>
            <w:r>
              <w:rPr>
                <w:sz w:val="21"/>
              </w:rPr>
              <w:t>39,-66</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3.93E-02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19020619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32.75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1.20E-01</w:t>
            </w:r>
          </w:p>
        </w:tc>
      </w:tr>
      <w:tr>
        <w:trPr>
          <w:trHeight w:val="337" w:hRule="atLeast"/>
        </w:trPr>
        <w:tc>
          <w:tcPr>
            <w:tcW w:w="653" w:type="dxa"/>
            <w:vMerge/>
            <w:tcBorders>
              <w:top w:val="nil"/>
              <w:right w:val="single" w:sz="4" w:space="0" w:color="000000"/>
            </w:tcBorders>
          </w:tcPr>
          <w:p>
            <w:pPr>
              <w:rPr>
                <w:sz w:val="2"/>
                <w:szCs w:val="2"/>
              </w:rPr>
            </w:pPr>
          </w:p>
        </w:tc>
        <w:tc>
          <w:tcPr>
            <w:tcW w:w="799" w:type="dxa"/>
            <w:vMerge/>
            <w:tcBorders>
              <w:top w:val="nil"/>
              <w:left w:val="single" w:sz="4" w:space="0" w:color="000000"/>
              <w:right w:val="single" w:sz="4" w:space="0" w:color="000000"/>
            </w:tcBorders>
          </w:tcPr>
          <w:p>
            <w:pPr>
              <w:rPr>
                <w:sz w:val="2"/>
                <w:szCs w:val="2"/>
              </w:rPr>
            </w:pP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34"/>
              <w:ind w:left="131" w:right="99"/>
              <w:rPr>
                <w:rFonts w:ascii="宋体" w:eastAsia="宋体" w:hint="eastAsia"/>
                <w:sz w:val="21"/>
              </w:rPr>
            </w:pPr>
            <w:r>
              <w:rPr>
                <w:rFonts w:ascii="宋体" w:eastAsia="宋体" w:hint="eastAsia"/>
                <w:sz w:val="21"/>
              </w:rPr>
              <w:t>（</w:t>
            </w:r>
            <w:r>
              <w:rPr>
                <w:sz w:val="21"/>
              </w:rPr>
              <w:t>29,95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ight="73"/>
              <w:rPr>
                <w:sz w:val="21"/>
              </w:rPr>
            </w:pPr>
            <w:r>
              <w:rPr>
                <w:sz w:val="21"/>
              </w:rPr>
              <w:t>9.21E-03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8"/>
              <w:ind w:left="110" w:right="70"/>
              <w:rPr>
                <w:sz w:val="21"/>
              </w:rPr>
            </w:pPr>
            <w:r>
              <w:rPr>
                <w:sz w:val="21"/>
              </w:rPr>
              <w:t>191201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8"/>
              <w:ind w:left="110" w:right="76"/>
              <w:rPr>
                <w:sz w:val="21"/>
              </w:rPr>
            </w:pPr>
            <w:r>
              <w:rPr>
                <w:sz w:val="21"/>
              </w:rPr>
              <w:t>7.68</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8"/>
              <w:ind w:left="113" w:right="68"/>
              <w:rPr>
                <w:sz w:val="21"/>
              </w:rPr>
            </w:pPr>
            <w:r>
              <w:rPr>
                <w:sz w:val="21"/>
              </w:rPr>
              <w:t>6.20E-02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8"/>
              <w:ind w:left="115" w:right="66"/>
              <w:rPr>
                <w:sz w:val="21"/>
              </w:rPr>
            </w:pPr>
            <w:r>
              <w:rPr>
                <w:sz w:val="21"/>
              </w:rPr>
              <w:t>7.12E-02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8"/>
              <w:ind w:left="126" w:right="82"/>
              <w:rPr>
                <w:sz w:val="21"/>
              </w:rPr>
            </w:pPr>
            <w:r>
              <w:rPr>
                <w:sz w:val="21"/>
              </w:rPr>
              <w:t>59.33</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48"/>
              <w:ind w:left="148" w:right="87"/>
              <w:rPr>
                <w:sz w:val="21"/>
              </w:rPr>
            </w:pPr>
            <w:r>
              <w:rPr>
                <w:sz w:val="21"/>
              </w:rPr>
              <w:t>1.20E-01</w:t>
            </w:r>
          </w:p>
        </w:tc>
      </w:tr>
      <w:tr>
        <w:trPr>
          <w:trHeight w:val="349" w:hRule="atLeast"/>
        </w:trPr>
        <w:tc>
          <w:tcPr>
            <w:tcW w:w="653" w:type="dxa"/>
            <w:vMerge/>
            <w:tcBorders>
              <w:top w:val="nil"/>
              <w:right w:val="single" w:sz="4" w:space="0" w:color="000000"/>
            </w:tcBorders>
          </w:tcPr>
          <w:p>
            <w:pPr>
              <w:rPr>
                <w:sz w:val="2"/>
                <w:szCs w:val="2"/>
              </w:rPr>
            </w:pPr>
          </w:p>
        </w:tc>
        <w:tc>
          <w:tcPr>
            <w:tcW w:w="799" w:type="dxa"/>
            <w:vMerge/>
            <w:tcBorders>
              <w:top w:val="nil"/>
              <w:left w:val="single" w:sz="4" w:space="0" w:color="000000"/>
              <w:right w:val="single" w:sz="4" w:space="0" w:color="000000"/>
            </w:tcBorders>
          </w:tcPr>
          <w:p>
            <w:pPr>
              <w:rPr>
                <w:sz w:val="2"/>
                <w:szCs w:val="2"/>
              </w:rPr>
            </w:pPr>
          </w:p>
        </w:tc>
        <w:tc>
          <w:tcPr>
            <w:tcW w:w="1742" w:type="dxa"/>
            <w:tcBorders>
              <w:top w:val="single" w:sz="4" w:space="0" w:color="000000"/>
              <w:left w:val="single" w:sz="4" w:space="0" w:color="000000"/>
              <w:right w:val="single" w:sz="4" w:space="0" w:color="000000"/>
            </w:tcBorders>
          </w:tcPr>
          <w:p>
            <w:pPr>
              <w:pStyle w:val="TableParagraph"/>
              <w:spacing w:before="34"/>
              <w:ind w:left="131" w:right="101"/>
              <w:rPr>
                <w:rFonts w:ascii="宋体" w:eastAsia="宋体" w:hint="eastAsia"/>
                <w:sz w:val="21"/>
              </w:rPr>
            </w:pPr>
            <w:r>
              <w:rPr>
                <w:rFonts w:ascii="宋体" w:eastAsia="宋体" w:hint="eastAsia"/>
                <w:sz w:val="21"/>
              </w:rPr>
              <w:t>（</w:t>
            </w:r>
            <w:r>
              <w:rPr>
                <w:sz w:val="21"/>
              </w:rPr>
              <w:t>-123,70</w:t>
            </w:r>
            <w:r>
              <w:rPr>
                <w:rFonts w:ascii="宋体" w:eastAsia="宋体" w:hint="eastAsia"/>
                <w:sz w:val="21"/>
              </w:rPr>
              <w:t>）</w:t>
            </w:r>
          </w:p>
        </w:tc>
        <w:tc>
          <w:tcPr>
            <w:tcW w:w="991" w:type="dxa"/>
            <w:tcBorders>
              <w:top w:val="single" w:sz="4" w:space="0" w:color="000000"/>
              <w:left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right w:val="single" w:sz="4" w:space="0" w:color="000000"/>
            </w:tcBorders>
          </w:tcPr>
          <w:p>
            <w:pPr>
              <w:pStyle w:val="TableParagraph"/>
              <w:spacing w:before="48"/>
              <w:ind w:left="108" w:right="73"/>
              <w:rPr>
                <w:sz w:val="21"/>
              </w:rPr>
            </w:pPr>
            <w:r>
              <w:rPr>
                <w:sz w:val="21"/>
              </w:rPr>
              <w:t>1.35E-03</w:t>
            </w:r>
          </w:p>
        </w:tc>
        <w:tc>
          <w:tcPr>
            <w:tcW w:w="1084" w:type="dxa"/>
            <w:tcBorders>
              <w:top w:val="single" w:sz="4" w:space="0" w:color="000000"/>
              <w:left w:val="single" w:sz="4" w:space="0" w:color="000000"/>
              <w:right w:val="single" w:sz="4" w:space="0" w:color="000000"/>
            </w:tcBorders>
          </w:tcPr>
          <w:p>
            <w:pPr>
              <w:pStyle w:val="TableParagraph"/>
              <w:spacing w:before="3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right w:val="single" w:sz="4" w:space="0" w:color="000000"/>
            </w:tcBorders>
          </w:tcPr>
          <w:p>
            <w:pPr>
              <w:pStyle w:val="TableParagraph"/>
              <w:spacing w:before="48"/>
              <w:ind w:left="110" w:right="76"/>
              <w:rPr>
                <w:sz w:val="21"/>
              </w:rPr>
            </w:pPr>
            <w:r>
              <w:rPr>
                <w:sz w:val="21"/>
              </w:rPr>
              <w:t>1.13</w:t>
            </w:r>
          </w:p>
        </w:tc>
        <w:tc>
          <w:tcPr>
            <w:tcW w:w="1086" w:type="dxa"/>
            <w:tcBorders>
              <w:top w:val="single" w:sz="4" w:space="0" w:color="000000"/>
              <w:left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spacing w:before="48"/>
              <w:ind w:left="113" w:right="68"/>
              <w:rPr>
                <w:sz w:val="21"/>
              </w:rPr>
            </w:pPr>
            <w:r>
              <w:rPr>
                <w:sz w:val="21"/>
              </w:rPr>
              <w:t>3.00E-02</w:t>
            </w:r>
          </w:p>
        </w:tc>
        <w:tc>
          <w:tcPr>
            <w:tcW w:w="1084" w:type="dxa"/>
            <w:tcBorders>
              <w:top w:val="single" w:sz="4" w:space="0" w:color="000000"/>
              <w:left w:val="single" w:sz="4" w:space="0" w:color="000000"/>
              <w:right w:val="single" w:sz="4" w:space="0" w:color="000000"/>
            </w:tcBorders>
          </w:tcPr>
          <w:p>
            <w:pPr>
              <w:pStyle w:val="TableParagraph"/>
              <w:spacing w:before="48"/>
              <w:ind w:left="115" w:right="66"/>
              <w:rPr>
                <w:sz w:val="21"/>
              </w:rPr>
            </w:pPr>
            <w:r>
              <w:rPr>
                <w:sz w:val="21"/>
              </w:rPr>
              <w:t>3.14E-02</w:t>
            </w:r>
          </w:p>
        </w:tc>
        <w:tc>
          <w:tcPr>
            <w:tcW w:w="1524" w:type="dxa"/>
            <w:tcBorders>
              <w:top w:val="single" w:sz="4" w:space="0" w:color="000000"/>
              <w:left w:val="single" w:sz="4" w:space="0" w:color="000000"/>
              <w:right w:val="single" w:sz="4" w:space="0" w:color="000000"/>
            </w:tcBorders>
          </w:tcPr>
          <w:p>
            <w:pPr>
              <w:pStyle w:val="TableParagraph"/>
              <w:spacing w:before="48"/>
              <w:ind w:left="126" w:right="82"/>
              <w:rPr>
                <w:sz w:val="21"/>
              </w:rPr>
            </w:pPr>
            <w:r>
              <w:rPr>
                <w:sz w:val="21"/>
              </w:rPr>
              <w:t>26.17</w:t>
            </w:r>
          </w:p>
        </w:tc>
        <w:tc>
          <w:tcPr>
            <w:tcW w:w="1089" w:type="dxa"/>
            <w:tcBorders>
              <w:top w:val="single" w:sz="4" w:space="0" w:color="000000"/>
              <w:left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tcBorders>
          </w:tcPr>
          <w:p>
            <w:pPr>
              <w:pStyle w:val="TableParagraph"/>
              <w:spacing w:before="48"/>
              <w:ind w:left="148" w:right="87"/>
              <w:rPr>
                <w:sz w:val="21"/>
              </w:rPr>
            </w:pPr>
            <w:r>
              <w:rPr>
                <w:sz w:val="21"/>
              </w:rPr>
              <w:t>1.20E-01</w:t>
            </w:r>
          </w:p>
        </w:tc>
      </w:tr>
    </w:tbl>
    <w:p>
      <w:pPr>
        <w:spacing w:after="0"/>
        <w:rPr>
          <w:sz w:val="21"/>
        </w:rPr>
        <w:sectPr>
          <w:pgSz w:w="16840" w:h="11910" w:orient="landscape"/>
          <w:pgMar w:header="588" w:footer="630" w:top="840" w:bottom="820" w:left="1200" w:right="1200"/>
        </w:sectPr>
      </w:pPr>
    </w:p>
    <w:p>
      <w:pPr>
        <w:spacing w:before="56" w:after="18"/>
        <w:ind w:left="1708" w:right="1705" w:firstLine="0"/>
        <w:jc w:val="center"/>
        <w:rPr>
          <w:sz w:val="18"/>
        </w:rPr>
      </w:pPr>
      <w:r>
        <w:rPr>
          <w:sz w:val="18"/>
        </w:rPr>
        <w:t>天圣集团农业生态产业链项目</w:t>
      </w:r>
      <w:r>
        <w:rPr>
          <w:rFonts w:ascii="Times New Roman" w:hAnsi="Times New Roman" w:eastAsia="Times New Roman"/>
          <w:sz w:val="18"/>
        </w:rPr>
        <w:t>—</w:t>
      </w:r>
      <w:r>
        <w:rPr>
          <w:sz w:val="18"/>
        </w:rPr>
        <w:t>生猪养殖环境影响报告书</w:t>
      </w:r>
    </w:p>
    <w:p>
      <w:pPr>
        <w:pStyle w:val="BodyText"/>
        <w:spacing w:line="20" w:lineRule="exact"/>
        <w:ind w:left="100"/>
        <w:rPr>
          <w:sz w:val="2"/>
        </w:rPr>
      </w:pPr>
      <w:r>
        <w:rPr>
          <w:sz w:val="2"/>
        </w:rPr>
        <w:pict>
          <v:group style="width:463.7pt;height:.75pt;mso-position-horizontal-relative:char;mso-position-vertical-relative:line" coordorigin="0,0" coordsize="9274,15">
            <v:line style="position:absolute" from="0,7" to="9273,7" stroked="true" strokeweight=".72pt" strokecolor="#000000">
              <v:stroke dashstyle="solid"/>
            </v:line>
          </v:group>
        </w:pict>
      </w:r>
      <w:r>
        <w:rPr>
          <w:sz w:val="2"/>
        </w:rPr>
      </w:r>
    </w:p>
    <w:p>
      <w:pPr>
        <w:pStyle w:val="BodyText"/>
        <w:spacing w:before="4"/>
        <w:ind w:left="0"/>
        <w:rPr>
          <w:sz w:val="25"/>
        </w:rPr>
      </w:pPr>
    </w:p>
    <w:p>
      <w:pPr>
        <w:spacing w:before="73"/>
        <w:ind w:left="617" w:right="0" w:firstLine="0"/>
        <w:jc w:val="left"/>
        <w:rPr>
          <w:rFonts w:ascii="Times New Roman" w:hAnsi="Times New Roman"/>
          <w:sz w:val="16"/>
        </w:rPr>
      </w:pPr>
      <w:r>
        <w:rPr>
          <w:position w:val="2"/>
          <w:sz w:val="24"/>
        </w:rPr>
        <w:t>④</w:t>
      </w:r>
      <w:r>
        <w:rPr>
          <w:rFonts w:ascii="Times New Roman" w:hAnsi="Times New Roman"/>
          <w:position w:val="2"/>
          <w:sz w:val="24"/>
        </w:rPr>
        <w:t>SO</w:t>
      </w:r>
      <w:r>
        <w:rPr>
          <w:rFonts w:ascii="Times New Roman" w:hAnsi="Times New Roman"/>
          <w:sz w:val="16"/>
        </w:rPr>
        <w:t>2</w:t>
      </w:r>
    </w:p>
    <w:p>
      <w:pPr>
        <w:pStyle w:val="BodyText"/>
        <w:spacing w:line="364" w:lineRule="auto" w:before="161"/>
        <w:ind w:left="617" w:right="132"/>
        <w:jc w:val="both"/>
      </w:pPr>
      <w:r>
        <w:rPr>
          <w:spacing w:val="-5"/>
          <w:position w:val="2"/>
        </w:rPr>
        <w:t>正常工况下，项目实施后 </w:t>
      </w:r>
      <w:r>
        <w:rPr>
          <w:rFonts w:ascii="Times New Roman" w:eastAsia="Times New Roman"/>
          <w:position w:val="2"/>
        </w:rPr>
        <w:t>SO</w:t>
      </w:r>
      <w:r>
        <w:rPr>
          <w:rFonts w:ascii="Times New Roman" w:eastAsia="Times New Roman"/>
          <w:sz w:val="16"/>
        </w:rPr>
        <w:t>2 </w:t>
      </w:r>
      <w:r>
        <w:rPr>
          <w:spacing w:val="-7"/>
          <w:position w:val="2"/>
        </w:rPr>
        <w:t>排放的预测结果见表 </w:t>
      </w:r>
      <w:r>
        <w:rPr>
          <w:rFonts w:ascii="Times New Roman" w:eastAsia="Times New Roman"/>
          <w:position w:val="2"/>
        </w:rPr>
        <w:t>5.2-23 </w:t>
      </w:r>
      <w:r>
        <w:rPr>
          <w:spacing w:val="-19"/>
          <w:position w:val="2"/>
        </w:rPr>
        <w:t>及图 </w:t>
      </w:r>
      <w:r>
        <w:rPr>
          <w:rFonts w:ascii="Times New Roman" w:eastAsia="Times New Roman"/>
          <w:position w:val="2"/>
        </w:rPr>
        <w:t>5.2-15~</w:t>
      </w:r>
      <w:r>
        <w:rPr>
          <w:spacing w:val="-28"/>
          <w:position w:val="2"/>
        </w:rPr>
        <w:t>图 </w:t>
      </w:r>
      <w:r>
        <w:rPr>
          <w:rFonts w:ascii="Times New Roman" w:eastAsia="Times New Roman"/>
          <w:position w:val="2"/>
        </w:rPr>
        <w:t>5.2-16</w:t>
      </w:r>
      <w:r>
        <w:rPr>
          <w:position w:val="2"/>
        </w:rPr>
        <w:t>。由</w:t>
      </w:r>
      <w:r>
        <w:rPr>
          <w:spacing w:val="-1"/>
          <w:position w:val="2"/>
        </w:rPr>
        <w:t>预测结果可知，正常工况下，项目实施后 </w:t>
      </w:r>
      <w:r>
        <w:rPr>
          <w:rFonts w:ascii="Times New Roman" w:eastAsia="Times New Roman"/>
          <w:position w:val="2"/>
        </w:rPr>
        <w:t>SO</w:t>
      </w:r>
      <w:r>
        <w:rPr>
          <w:rFonts w:ascii="Times New Roman" w:eastAsia="Times New Roman"/>
          <w:sz w:val="16"/>
        </w:rPr>
        <w:t>2 </w:t>
      </w:r>
      <w:r>
        <w:rPr>
          <w:spacing w:val="-2"/>
          <w:position w:val="2"/>
        </w:rPr>
        <w:t>排放的小时浓度贡献值、日均浓度</w:t>
      </w:r>
    </w:p>
    <w:p>
      <w:pPr>
        <w:pStyle w:val="BodyText"/>
        <w:spacing w:line="364" w:lineRule="auto" w:before="2"/>
        <w:ind w:left="137" w:right="130"/>
        <w:jc w:val="both"/>
      </w:pPr>
      <w:r>
        <w:rPr/>
        <w:drawing>
          <wp:anchor distT="0" distB="0" distL="0" distR="0" allowOverlap="1" layoutInCell="1" locked="0" behindDoc="1" simplePos="0" relativeHeight="187931648">
            <wp:simplePos x="0" y="0"/>
            <wp:positionH relativeFrom="page">
              <wp:posOffset>2145029</wp:posOffset>
            </wp:positionH>
            <wp:positionV relativeFrom="paragraph">
              <wp:posOffset>1141729</wp:posOffset>
            </wp:positionV>
            <wp:extent cx="3164205" cy="3161030"/>
            <wp:effectExtent l="0" t="0" r="0" b="0"/>
            <wp:wrapNone/>
            <wp:docPr id="39" name="image74.jpeg"/>
            <wp:cNvGraphicFramePr>
              <a:graphicFrameLocks noChangeAspect="1"/>
            </wp:cNvGraphicFramePr>
            <a:graphic>
              <a:graphicData uri="http://schemas.openxmlformats.org/drawingml/2006/picture">
                <pic:pic>
                  <pic:nvPicPr>
                    <pic:cNvPr id="40" name="image74.jpeg"/>
                    <pic:cNvPicPr/>
                  </pic:nvPicPr>
                  <pic:blipFill>
                    <a:blip r:embed="rId135" cstate="print"/>
                    <a:stretch>
                      <a:fillRect/>
                    </a:stretch>
                  </pic:blipFill>
                  <pic:spPr>
                    <a:xfrm>
                      <a:off x="0" y="0"/>
                      <a:ext cx="3164205" cy="3161030"/>
                    </a:xfrm>
                    <a:prstGeom prst="rect">
                      <a:avLst/>
                    </a:prstGeom>
                  </pic:spPr>
                </pic:pic>
              </a:graphicData>
            </a:graphic>
          </wp:anchor>
        </w:drawing>
      </w:r>
      <w:r>
        <w:rPr>
          <w:spacing w:val="-4"/>
        </w:rPr>
        <w:t>贡献值的最大浓度占标率分别为 </w:t>
      </w:r>
      <w:r>
        <w:rPr>
          <w:rFonts w:ascii="Times New Roman" w:eastAsia="Times New Roman"/>
        </w:rPr>
        <w:t>0.26%</w:t>
      </w:r>
      <w:r>
        <w:rPr>
          <w:spacing w:val="-22"/>
        </w:rPr>
        <w:t>、</w:t>
      </w:r>
      <w:r>
        <w:rPr>
          <w:rFonts w:ascii="Times New Roman" w:eastAsia="Times New Roman"/>
          <w:spacing w:val="-4"/>
        </w:rPr>
        <w:t>0.12%</w:t>
      </w:r>
      <w:r>
        <w:rPr>
          <w:spacing w:val="-4"/>
        </w:rPr>
        <w:t>（均＜</w:t>
      </w:r>
      <w:r>
        <w:rPr>
          <w:rFonts w:ascii="Times New Roman" w:eastAsia="Times New Roman"/>
          <w:spacing w:val="-7"/>
        </w:rPr>
        <w:t>100%</w:t>
      </w:r>
      <w:r>
        <w:rPr>
          <w:spacing w:val="-7"/>
        </w:rPr>
        <w:t>），</w:t>
      </w:r>
      <w:r>
        <w:rPr>
          <w:spacing w:val="-2"/>
        </w:rPr>
        <w:t>年均浓度贡献值的最大浓</w:t>
      </w:r>
      <w:r>
        <w:rPr>
          <w:spacing w:val="-9"/>
        </w:rPr>
        <w:t>度占标率为 </w:t>
      </w:r>
      <w:r>
        <w:rPr>
          <w:rFonts w:ascii="Times New Roman" w:eastAsia="Times New Roman"/>
          <w:spacing w:val="-5"/>
        </w:rPr>
        <w:t>0.05%</w:t>
      </w:r>
      <w:r>
        <w:rPr>
          <w:spacing w:val="-5"/>
        </w:rPr>
        <w:t>（＜</w:t>
      </w:r>
      <w:r>
        <w:rPr>
          <w:rFonts w:ascii="Times New Roman" w:eastAsia="Times New Roman"/>
          <w:spacing w:val="-5"/>
        </w:rPr>
        <w:t>30%</w:t>
      </w:r>
      <w:r>
        <w:rPr>
          <w:spacing w:val="-5"/>
        </w:rPr>
        <w:t>）；</w:t>
      </w:r>
      <w:r>
        <w:rPr>
          <w:spacing w:val="-4"/>
        </w:rPr>
        <w:t>叠加背景浓度后，保证率日平均质量浓度和年平均质量浓</w:t>
      </w:r>
      <w:r>
        <w:rPr>
          <w:spacing w:val="-5"/>
        </w:rPr>
        <w:t>度最大浓度占标率分别为 </w:t>
      </w:r>
      <w:r>
        <w:rPr>
          <w:rFonts w:ascii="Times New Roman" w:eastAsia="Times New Roman"/>
        </w:rPr>
        <w:t>8.78%</w:t>
      </w:r>
      <w:r>
        <w:rPr>
          <w:spacing w:val="-39"/>
        </w:rPr>
        <w:t>、</w:t>
      </w:r>
      <w:r>
        <w:rPr>
          <w:rFonts w:ascii="Times New Roman" w:eastAsia="Times New Roman"/>
          <w:spacing w:val="-8"/>
        </w:rPr>
        <w:t>11.72%</w:t>
      </w:r>
      <w:r>
        <w:rPr>
          <w:spacing w:val="-7"/>
        </w:rPr>
        <w:t>，均能符合相应的环境质量保准要求。说明本项</w:t>
      </w:r>
      <w:r>
        <w:rPr>
          <w:spacing w:val="-13"/>
          <w:position w:val="2"/>
        </w:rPr>
        <w:t>目实施后 </w:t>
      </w:r>
      <w:r>
        <w:rPr>
          <w:rFonts w:ascii="Times New Roman" w:eastAsia="Times New Roman"/>
          <w:position w:val="2"/>
        </w:rPr>
        <w:t>SO</w:t>
      </w:r>
      <w:r>
        <w:rPr>
          <w:rFonts w:ascii="Times New Roman" w:eastAsia="Times New Roman"/>
          <w:sz w:val="16"/>
        </w:rPr>
        <w:t>2 </w:t>
      </w:r>
      <w:r>
        <w:rPr>
          <w:spacing w:val="-1"/>
          <w:position w:val="2"/>
        </w:rPr>
        <w:t>正常排放的环境影响可接受。</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7"/>
        <w:ind w:left="0"/>
        <w:rPr>
          <w:sz w:val="21"/>
        </w:rPr>
      </w:pPr>
    </w:p>
    <w:p>
      <w:pPr>
        <w:pStyle w:val="Heading3"/>
        <w:spacing w:before="0"/>
        <w:ind w:left="1708" w:right="1705"/>
        <w:jc w:val="center"/>
      </w:pPr>
      <w:r>
        <w:rPr/>
        <w:drawing>
          <wp:anchor distT="0" distB="0" distL="0" distR="0" allowOverlap="1" layoutInCell="1" locked="0" behindDoc="0" simplePos="0" relativeHeight="209">
            <wp:simplePos x="0" y="0"/>
            <wp:positionH relativeFrom="page">
              <wp:posOffset>2145029</wp:posOffset>
            </wp:positionH>
            <wp:positionV relativeFrom="paragraph">
              <wp:posOffset>214172</wp:posOffset>
            </wp:positionV>
            <wp:extent cx="3172216" cy="3168395"/>
            <wp:effectExtent l="0" t="0" r="0" b="0"/>
            <wp:wrapTopAndBottom/>
            <wp:docPr id="41" name="image75.jpeg"/>
            <wp:cNvGraphicFramePr>
              <a:graphicFrameLocks noChangeAspect="1"/>
            </wp:cNvGraphicFramePr>
            <a:graphic>
              <a:graphicData uri="http://schemas.openxmlformats.org/drawingml/2006/picture">
                <pic:pic>
                  <pic:nvPicPr>
                    <pic:cNvPr id="42" name="image75.jpeg"/>
                    <pic:cNvPicPr/>
                  </pic:nvPicPr>
                  <pic:blipFill>
                    <a:blip r:embed="rId136" cstate="print"/>
                    <a:stretch>
                      <a:fillRect/>
                    </a:stretch>
                  </pic:blipFill>
                  <pic:spPr>
                    <a:xfrm>
                      <a:off x="0" y="0"/>
                      <a:ext cx="3172216" cy="3168395"/>
                    </a:xfrm>
                    <a:prstGeom prst="rect">
                      <a:avLst/>
                    </a:prstGeom>
                  </pic:spPr>
                </pic:pic>
              </a:graphicData>
            </a:graphic>
          </wp:anchor>
        </w:drawing>
      </w:r>
      <w:r>
        <w:rPr>
          <w:position w:val="1"/>
        </w:rPr>
        <w:t>图 </w:t>
      </w:r>
      <w:r>
        <w:rPr>
          <w:rFonts w:ascii="Times New Roman" w:eastAsia="Times New Roman"/>
          <w:position w:val="1"/>
        </w:rPr>
        <w:t>5.2-15  </w:t>
      </w:r>
      <w:r>
        <w:rPr>
          <w:position w:val="1"/>
        </w:rPr>
        <w:t>正常工况下 </w:t>
      </w:r>
      <w:r>
        <w:rPr>
          <w:rFonts w:ascii="Times New Roman" w:eastAsia="Times New Roman"/>
          <w:position w:val="1"/>
        </w:rPr>
        <w:t>SO</w:t>
      </w:r>
      <w:r>
        <w:rPr>
          <w:rFonts w:ascii="Times New Roman" w:eastAsia="Times New Roman"/>
          <w:sz w:val="16"/>
        </w:rPr>
        <w:t>2 </w:t>
      </w:r>
      <w:r>
        <w:rPr>
          <w:position w:val="1"/>
        </w:rPr>
        <w:t>日均浓度预测结果（</w:t>
      </w:r>
      <w:r>
        <w:rPr>
          <w:rFonts w:ascii="Times New Roman" w:eastAsia="Times New Roman"/>
          <w:position w:val="1"/>
        </w:rPr>
        <w:t>190524</w:t>
      </w:r>
      <w:r>
        <w:rPr>
          <w:position w:val="1"/>
        </w:rPr>
        <w:t>）</w:t>
      </w:r>
    </w:p>
    <w:p>
      <w:pPr>
        <w:spacing w:before="0"/>
        <w:ind w:left="1705" w:right="1705" w:firstLine="0"/>
        <w:jc w:val="center"/>
        <w:rPr>
          <w:b/>
          <w:sz w:val="24"/>
        </w:rPr>
      </w:pPr>
      <w:r>
        <w:rPr>
          <w:b/>
          <w:position w:val="1"/>
          <w:sz w:val="24"/>
        </w:rPr>
        <w:t>图 </w:t>
      </w:r>
      <w:r>
        <w:rPr>
          <w:rFonts w:ascii="Times New Roman" w:eastAsia="Times New Roman"/>
          <w:b/>
          <w:position w:val="1"/>
          <w:sz w:val="24"/>
        </w:rPr>
        <w:t>5.2-16  </w:t>
      </w:r>
      <w:r>
        <w:rPr>
          <w:b/>
          <w:position w:val="1"/>
          <w:sz w:val="24"/>
        </w:rPr>
        <w:t>正常工况下 </w:t>
      </w:r>
      <w:r>
        <w:rPr>
          <w:rFonts w:ascii="Times New Roman" w:eastAsia="Times New Roman"/>
          <w:b/>
          <w:position w:val="1"/>
          <w:sz w:val="24"/>
        </w:rPr>
        <w:t>SO</w:t>
      </w:r>
      <w:r>
        <w:rPr>
          <w:rFonts w:ascii="Times New Roman" w:eastAsia="Times New Roman"/>
          <w:b/>
          <w:sz w:val="16"/>
        </w:rPr>
        <w:t>2 </w:t>
      </w:r>
      <w:r>
        <w:rPr>
          <w:b/>
          <w:position w:val="1"/>
          <w:sz w:val="24"/>
        </w:rPr>
        <w:t>年均浓度预测结果</w:t>
      </w:r>
    </w:p>
    <w:p>
      <w:pPr>
        <w:pStyle w:val="BodyText"/>
        <w:ind w:left="0"/>
        <w:rPr>
          <w:b/>
          <w:sz w:val="11"/>
        </w:rPr>
      </w:pPr>
    </w:p>
    <w:p>
      <w:pPr>
        <w:tabs>
          <w:tab w:pos="4611" w:val="left" w:leader="none"/>
          <w:tab w:pos="7192" w:val="left" w:leader="none"/>
        </w:tabs>
        <w:spacing w:before="80"/>
        <w:ind w:left="137" w:right="0" w:firstLine="0"/>
        <w:jc w:val="left"/>
        <w:rPr>
          <w:sz w:val="18"/>
        </w:rPr>
      </w:pPr>
      <w:r>
        <w:rPr>
          <w:sz w:val="18"/>
        </w:rPr>
        <w:t>浙江省工业环保设计研究院有限公司</w:t>
        <w:tab/>
      </w:r>
      <w:r>
        <w:rPr>
          <w:rFonts w:ascii="Times New Roman" w:eastAsia="Times New Roman"/>
          <w:sz w:val="18"/>
        </w:rPr>
        <w:t>145</w:t>
        <w:tab/>
      </w:r>
      <w:r>
        <w:rPr>
          <w:sz w:val="18"/>
        </w:rPr>
        <w:t>杭州市西湖区教工路</w:t>
      </w:r>
      <w:r>
        <w:rPr>
          <w:spacing w:val="-45"/>
          <w:sz w:val="18"/>
        </w:rPr>
        <w:t> </w:t>
      </w:r>
      <w:r>
        <w:rPr>
          <w:rFonts w:ascii="Times New Roman" w:eastAsia="Times New Roman"/>
          <w:sz w:val="18"/>
        </w:rPr>
        <w:t>149</w:t>
      </w:r>
      <w:r>
        <w:rPr>
          <w:rFonts w:ascii="Times New Roman" w:eastAsia="Times New Roman"/>
          <w:spacing w:val="1"/>
          <w:sz w:val="18"/>
        </w:rPr>
        <w:t> </w:t>
      </w:r>
      <w:r>
        <w:rPr>
          <w:sz w:val="18"/>
        </w:rPr>
        <w:t>号</w:t>
      </w:r>
    </w:p>
    <w:p>
      <w:pPr>
        <w:spacing w:after="0"/>
        <w:jc w:val="left"/>
        <w:rPr>
          <w:sz w:val="18"/>
        </w:rPr>
        <w:sectPr>
          <w:headerReference w:type="default" r:id="rId133"/>
          <w:footerReference w:type="default" r:id="rId134"/>
          <w:pgSz w:w="11910" w:h="16840"/>
          <w:pgMar w:header="0" w:footer="0" w:top="780" w:bottom="280" w:left="1140" w:right="1280"/>
        </w:sectPr>
      </w:pPr>
    </w:p>
    <w:p>
      <w:pPr>
        <w:pStyle w:val="BodyText"/>
        <w:spacing w:before="6"/>
        <w:ind w:left="0"/>
        <w:rPr>
          <w:sz w:val="2"/>
        </w:rPr>
      </w:pPr>
    </w:p>
    <w:p>
      <w:pPr>
        <w:pStyle w:val="BodyText"/>
        <w:spacing w:line="20" w:lineRule="exact"/>
        <w:ind w:left="203"/>
        <w:rPr>
          <w:sz w:val="2"/>
        </w:rPr>
      </w:pPr>
      <w:r>
        <w:rPr>
          <w:sz w:val="2"/>
        </w:rPr>
        <w:pict>
          <v:group style="width:700.9pt;height:.75pt;mso-position-horizontal-relative:char;mso-position-vertical-relative:line" coordorigin="0,0" coordsize="14018,15">
            <v:line style="position:absolute" from="0,7" to="14018,7" stroked="true" strokeweight=".72pt" strokecolor="#000000">
              <v:stroke dashstyle="solid"/>
            </v:line>
          </v:group>
        </w:pict>
      </w:r>
      <w:r>
        <w:rPr>
          <w:sz w:val="2"/>
        </w:rPr>
      </w:r>
    </w:p>
    <w:p>
      <w:pPr>
        <w:pStyle w:val="Heading3"/>
        <w:spacing w:before="39" w:after="24"/>
        <w:ind w:left="3612" w:right="3608"/>
        <w:jc w:val="center"/>
        <w:rPr>
          <w:rFonts w:ascii="Times New Roman" w:hAnsi="Times New Roman" w:eastAsia="Times New Roman"/>
        </w:rPr>
      </w:pPr>
      <w:r>
        <w:rPr>
          <w:position w:val="1"/>
        </w:rPr>
        <w:t>表 </w:t>
      </w:r>
      <w:r>
        <w:rPr>
          <w:rFonts w:ascii="Times New Roman" w:hAnsi="Times New Roman" w:eastAsia="Times New Roman"/>
          <w:position w:val="1"/>
        </w:rPr>
        <w:t>5.2-23  </w:t>
      </w:r>
      <w:r>
        <w:rPr>
          <w:position w:val="1"/>
        </w:rPr>
        <w:t>项目 </w:t>
      </w:r>
      <w:r>
        <w:rPr>
          <w:rFonts w:ascii="Times New Roman" w:hAnsi="Times New Roman" w:eastAsia="Times New Roman"/>
          <w:position w:val="1"/>
        </w:rPr>
        <w:t>SO</w:t>
      </w:r>
      <w:r>
        <w:rPr>
          <w:rFonts w:ascii="Times New Roman" w:hAnsi="Times New Roman" w:eastAsia="Times New Roman"/>
          <w:sz w:val="16"/>
        </w:rPr>
        <w:t>2 </w:t>
      </w:r>
      <w:r>
        <w:rPr>
          <w:position w:val="1"/>
        </w:rPr>
        <w:t>排放的预测结果 单位：浓度 </w:t>
      </w:r>
      <w:r>
        <w:rPr>
          <w:rFonts w:ascii="Times New Roman" w:hAnsi="Times New Roman" w:eastAsia="Times New Roman"/>
          <w:position w:val="1"/>
        </w:rPr>
        <w:t>mg/m³</w:t>
      </w:r>
      <w:r>
        <w:rPr>
          <w:position w:val="1"/>
        </w:rPr>
        <w:t>、占标率</w:t>
      </w:r>
      <w:r>
        <w:rPr>
          <w:rFonts w:ascii="Times New Roman" w:hAnsi="Times New Roman" w:eastAsia="Times New Roman"/>
          <w:position w:val="1"/>
        </w:rPr>
        <w:t>%</w:t>
      </w: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2541"/>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51"/>
              <w:ind w:left="293"/>
              <w:jc w:val="left"/>
              <w:rPr>
                <w:rFonts w:ascii="宋体" w:eastAsia="宋体" w:hint="eastAsia"/>
                <w:b/>
                <w:sz w:val="21"/>
              </w:rPr>
            </w:pPr>
            <w:r>
              <w:rPr>
                <w:rFonts w:ascii="宋体" w:eastAsia="宋体" w:hint="eastAsia"/>
                <w:b/>
                <w:sz w:val="21"/>
              </w:rPr>
              <w:t>浓度</w:t>
            </w:r>
          </w:p>
          <w:p>
            <w:pPr>
              <w:pStyle w:val="TableParagraph"/>
              <w:spacing w:before="88"/>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6"/>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6"/>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1</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518"/>
              <w:jc w:val="left"/>
              <w:rPr>
                <w:rFonts w:ascii="宋体" w:eastAsia="宋体" w:hint="eastAsia"/>
                <w:sz w:val="21"/>
              </w:rPr>
            </w:pPr>
            <w:r>
              <w:rPr>
                <w:rFonts w:ascii="宋体" w:eastAsia="宋体" w:hint="eastAsia"/>
                <w:sz w:val="21"/>
              </w:rPr>
              <w:t>丰一（</w:t>
            </w:r>
            <w:r>
              <w:rPr>
                <w:sz w:val="21"/>
              </w:rPr>
              <w:t>797,894</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6.78E-05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19092603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7.88E-06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190405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7.60E-07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2</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465"/>
              <w:jc w:val="left"/>
              <w:rPr>
                <w:rFonts w:ascii="宋体" w:eastAsia="宋体" w:hint="eastAsia"/>
                <w:sz w:val="21"/>
              </w:rPr>
            </w:pPr>
            <w:r>
              <w:rPr>
                <w:rFonts w:ascii="宋体" w:eastAsia="宋体" w:hint="eastAsia"/>
                <w:sz w:val="21"/>
              </w:rPr>
              <w:t>丰二（</w:t>
            </w:r>
            <w:r>
              <w:rPr>
                <w:sz w:val="21"/>
              </w:rPr>
              <w:t>897,1268</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5.49E-05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19031202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5.99E-06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5.20E-07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3</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472"/>
              <w:jc w:val="left"/>
              <w:rPr>
                <w:rFonts w:ascii="宋体" w:eastAsia="宋体" w:hint="eastAsia"/>
                <w:sz w:val="21"/>
              </w:rPr>
            </w:pPr>
            <w:r>
              <w:rPr>
                <w:rFonts w:ascii="宋体" w:eastAsia="宋体" w:hint="eastAsia"/>
                <w:sz w:val="21"/>
              </w:rPr>
              <w:t>项里（</w:t>
            </w:r>
            <w:r>
              <w:rPr>
                <w:sz w:val="21"/>
              </w:rPr>
              <w:t>332,1118</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7.48E-05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19081701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9.31E-06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190314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6.80E-07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4</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26"/>
              <w:jc w:val="left"/>
              <w:rPr>
                <w:rFonts w:ascii="宋体" w:eastAsia="宋体" w:hint="eastAsia"/>
                <w:sz w:val="21"/>
              </w:rPr>
            </w:pPr>
            <w:r>
              <w:rPr>
                <w:rFonts w:ascii="宋体" w:eastAsia="宋体" w:hint="eastAsia"/>
                <w:sz w:val="21"/>
              </w:rPr>
              <w:t>河塔村（</w:t>
            </w:r>
            <w:r>
              <w:rPr>
                <w:sz w:val="21"/>
              </w:rPr>
              <w:t>-299,1816</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4.65E-05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19110919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3.40E-06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191109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3.00E-07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5</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09"/>
              <w:jc w:val="left"/>
              <w:rPr>
                <w:rFonts w:ascii="宋体" w:eastAsia="宋体" w:hint="eastAsia"/>
                <w:sz w:val="21"/>
              </w:rPr>
            </w:pPr>
            <w:r>
              <w:rPr>
                <w:rFonts w:ascii="宋体" w:eastAsia="宋体" w:hint="eastAsia"/>
                <w:sz w:val="21"/>
              </w:rPr>
              <w:t>秋湖村（</w:t>
            </w:r>
            <w:r>
              <w:rPr>
                <w:sz w:val="21"/>
              </w:rPr>
              <w:t>1686,2223</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3.15E-05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19012024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2.91E-06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2.60E-07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6</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60"/>
              <w:jc w:val="left"/>
              <w:rPr>
                <w:rFonts w:ascii="宋体" w:eastAsia="宋体" w:hint="eastAsia"/>
                <w:sz w:val="21"/>
              </w:rPr>
            </w:pPr>
            <w:r>
              <w:rPr>
                <w:rFonts w:ascii="宋体" w:eastAsia="宋体" w:hint="eastAsia"/>
                <w:sz w:val="21"/>
              </w:rPr>
              <w:t>清和园（</w:t>
            </w:r>
            <w:r>
              <w:rPr>
                <w:sz w:val="21"/>
              </w:rPr>
              <w:t>830,2049</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3.74E-05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19100402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4.34E-06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190723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3.00E-07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7</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20"/>
              <w:jc w:val="left"/>
              <w:rPr>
                <w:rFonts w:ascii="宋体" w:eastAsia="宋体" w:hint="eastAsia"/>
                <w:sz w:val="21"/>
              </w:rPr>
            </w:pPr>
            <w:r>
              <w:rPr>
                <w:rFonts w:ascii="宋体" w:eastAsia="宋体" w:hint="eastAsia"/>
                <w:sz w:val="21"/>
              </w:rPr>
              <w:t>州山小学（</w:t>
            </w:r>
            <w:r>
              <w:rPr>
                <w:sz w:val="21"/>
              </w:rPr>
              <w:t>-141,2646</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3.63E-05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19060504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08" w:right="73"/>
              <w:rPr>
                <w:sz w:val="21"/>
              </w:rPr>
            </w:pPr>
            <w:r>
              <w:rPr>
                <w:sz w:val="21"/>
              </w:rPr>
              <w:t>2.62E-06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0"/>
              <w:rPr>
                <w:sz w:val="21"/>
              </w:rPr>
            </w:pPr>
            <w:r>
              <w:rPr>
                <w:sz w:val="21"/>
              </w:rPr>
              <w:t>190524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60"/>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6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6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6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60"/>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2.10E-07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47" w:hRule="atLeast"/>
        </w:trPr>
        <w:tc>
          <w:tcPr>
            <w:tcW w:w="653" w:type="dxa"/>
            <w:vMerge w:val="restart"/>
            <w:tcBorders>
              <w:top w:val="single" w:sz="4" w:space="0" w:color="000000"/>
              <w:right w:val="single" w:sz="4" w:space="0" w:color="000000"/>
            </w:tcBorders>
          </w:tcPr>
          <w:p>
            <w:pPr>
              <w:pStyle w:val="TableParagraph"/>
              <w:spacing w:before="0"/>
              <w:jc w:val="left"/>
              <w:rPr>
                <w:b/>
                <w:sz w:val="22"/>
              </w:rPr>
            </w:pPr>
          </w:p>
          <w:p>
            <w:pPr>
              <w:pStyle w:val="TableParagraph"/>
              <w:spacing w:before="175"/>
              <w:ind w:left="18"/>
              <w:rPr>
                <w:sz w:val="21"/>
              </w:rPr>
            </w:pPr>
            <w:r>
              <w:rPr>
                <w:w w:val="100"/>
                <w:sz w:val="21"/>
              </w:rPr>
              <w:t>8</w:t>
            </w:r>
          </w:p>
        </w:tc>
        <w:tc>
          <w:tcPr>
            <w:tcW w:w="2541" w:type="dxa"/>
            <w:vMerge w:val="restart"/>
            <w:tcBorders>
              <w:top w:val="single" w:sz="4" w:space="0" w:color="000000"/>
              <w:left w:val="single" w:sz="4" w:space="0" w:color="000000"/>
              <w:right w:val="single" w:sz="4" w:space="0" w:color="000000"/>
            </w:tcBorders>
          </w:tcPr>
          <w:p>
            <w:pPr>
              <w:pStyle w:val="TableParagraph"/>
              <w:spacing w:before="0"/>
              <w:jc w:val="left"/>
              <w:rPr>
                <w:b/>
                <w:sz w:val="22"/>
              </w:rPr>
            </w:pPr>
          </w:p>
          <w:p>
            <w:pPr>
              <w:pStyle w:val="TableParagraph"/>
              <w:spacing w:before="161"/>
              <w:ind w:left="360"/>
              <w:jc w:val="left"/>
              <w:rPr>
                <w:rFonts w:ascii="宋体" w:eastAsia="宋体" w:hint="eastAsia"/>
                <w:sz w:val="21"/>
              </w:rPr>
            </w:pPr>
            <w:r>
              <w:rPr>
                <w:rFonts w:ascii="宋体" w:eastAsia="宋体" w:hint="eastAsia"/>
                <w:sz w:val="21"/>
              </w:rPr>
              <w:t>管委会（</w:t>
            </w:r>
            <w:r>
              <w:rPr>
                <w:sz w:val="21"/>
              </w:rPr>
              <w:t>914,2190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3.54E-05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19100402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39" w:hRule="atLeast"/>
        </w:trPr>
        <w:tc>
          <w:tcPr>
            <w:tcW w:w="653" w:type="dxa"/>
            <w:vMerge/>
            <w:tcBorders>
              <w:top w:val="nil"/>
              <w:right w:val="single" w:sz="4" w:space="0" w:color="000000"/>
            </w:tcBorders>
          </w:tcPr>
          <w:p>
            <w:pPr>
              <w:rPr>
                <w:sz w:val="2"/>
                <w:szCs w:val="2"/>
              </w:rPr>
            </w:pPr>
          </w:p>
        </w:tc>
        <w:tc>
          <w:tcPr>
            <w:tcW w:w="2541" w:type="dxa"/>
            <w:vMerge/>
            <w:tcBorders>
              <w:top w:val="nil"/>
              <w:left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36"/>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50"/>
              <w:ind w:left="108" w:right="73"/>
              <w:rPr>
                <w:sz w:val="21"/>
              </w:rPr>
            </w:pPr>
            <w:r>
              <w:rPr>
                <w:sz w:val="21"/>
              </w:rPr>
              <w:t>4.01E-06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50"/>
              <w:ind w:left="110" w:right="70"/>
              <w:rPr>
                <w:sz w:val="21"/>
              </w:rPr>
            </w:pPr>
            <w:r>
              <w:rPr>
                <w:sz w:val="21"/>
              </w:rPr>
              <w:t>190723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50"/>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36"/>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50"/>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50"/>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50"/>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36"/>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50"/>
              <w:ind w:left="148" w:right="87"/>
              <w:rPr>
                <w:sz w:val="21"/>
              </w:rPr>
            </w:pPr>
            <w:r>
              <w:rPr>
                <w:sz w:val="21"/>
              </w:rPr>
              <w:t>1.50E-01</w:t>
            </w:r>
          </w:p>
        </w:tc>
      </w:tr>
      <w:tr>
        <w:trPr>
          <w:trHeight w:val="349" w:hRule="atLeast"/>
        </w:trPr>
        <w:tc>
          <w:tcPr>
            <w:tcW w:w="653" w:type="dxa"/>
            <w:vMerge/>
            <w:tcBorders>
              <w:top w:val="nil"/>
              <w:right w:val="single" w:sz="4" w:space="0" w:color="000000"/>
            </w:tcBorders>
          </w:tcPr>
          <w:p>
            <w:pPr>
              <w:rPr>
                <w:sz w:val="2"/>
                <w:szCs w:val="2"/>
              </w:rPr>
            </w:pPr>
          </w:p>
        </w:tc>
        <w:tc>
          <w:tcPr>
            <w:tcW w:w="2541" w:type="dxa"/>
            <w:vMerge/>
            <w:tcBorders>
              <w:top w:val="nil"/>
              <w:left w:val="single" w:sz="4" w:space="0" w:color="000000"/>
              <w:right w:val="single" w:sz="4" w:space="0" w:color="000000"/>
            </w:tcBorders>
          </w:tcPr>
          <w:p>
            <w:pPr>
              <w:rPr>
                <w:sz w:val="2"/>
                <w:szCs w:val="2"/>
              </w:rPr>
            </w:pPr>
          </w:p>
        </w:tc>
        <w:tc>
          <w:tcPr>
            <w:tcW w:w="991" w:type="dxa"/>
            <w:tcBorders>
              <w:top w:val="single" w:sz="4" w:space="0" w:color="000000"/>
              <w:left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right w:val="single" w:sz="4" w:space="0" w:color="000000"/>
            </w:tcBorders>
          </w:tcPr>
          <w:p>
            <w:pPr>
              <w:pStyle w:val="TableParagraph"/>
              <w:spacing w:before="48"/>
              <w:ind w:left="108" w:right="73"/>
              <w:rPr>
                <w:sz w:val="21"/>
              </w:rPr>
            </w:pPr>
            <w:r>
              <w:rPr>
                <w:sz w:val="21"/>
              </w:rPr>
              <w:t>2.80E-07</w:t>
            </w:r>
          </w:p>
        </w:tc>
        <w:tc>
          <w:tcPr>
            <w:tcW w:w="1084" w:type="dxa"/>
            <w:tcBorders>
              <w:top w:val="single" w:sz="4" w:space="0" w:color="000000"/>
              <w:left w:val="single" w:sz="4" w:space="0" w:color="000000"/>
              <w:right w:val="single" w:sz="4" w:space="0" w:color="000000"/>
            </w:tcBorders>
          </w:tcPr>
          <w:p>
            <w:pPr>
              <w:pStyle w:val="TableParagraph"/>
              <w:spacing w:before="3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right w:val="single" w:sz="4" w:space="0" w:color="000000"/>
            </w:tcBorders>
          </w:tcPr>
          <w:p>
            <w:pPr>
              <w:pStyle w:val="TableParagraph"/>
              <w:spacing w:before="48"/>
              <w:ind w:left="110" w:right="76"/>
              <w:rPr>
                <w:sz w:val="21"/>
              </w:rPr>
            </w:pPr>
            <w:r>
              <w:rPr>
                <w:sz w:val="21"/>
              </w:rPr>
              <w:t>0.00</w:t>
            </w:r>
          </w:p>
        </w:tc>
        <w:tc>
          <w:tcPr>
            <w:tcW w:w="1086" w:type="dxa"/>
            <w:tcBorders>
              <w:top w:val="single" w:sz="4" w:space="0" w:color="000000"/>
              <w:left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spacing w:before="48"/>
              <w:ind w:left="113" w:right="68"/>
              <w:rPr>
                <w:sz w:val="21"/>
              </w:rPr>
            </w:pPr>
            <w:r>
              <w:rPr>
                <w:sz w:val="21"/>
              </w:rPr>
              <w:t>7.00E-03</w:t>
            </w:r>
          </w:p>
        </w:tc>
        <w:tc>
          <w:tcPr>
            <w:tcW w:w="1084" w:type="dxa"/>
            <w:tcBorders>
              <w:top w:val="single" w:sz="4" w:space="0" w:color="000000"/>
              <w:left w:val="single" w:sz="4" w:space="0" w:color="000000"/>
              <w:right w:val="single" w:sz="4" w:space="0" w:color="000000"/>
            </w:tcBorders>
          </w:tcPr>
          <w:p>
            <w:pPr>
              <w:pStyle w:val="TableParagraph"/>
              <w:spacing w:before="48"/>
              <w:ind w:left="115" w:right="66"/>
              <w:rPr>
                <w:sz w:val="21"/>
              </w:rPr>
            </w:pPr>
            <w:r>
              <w:rPr>
                <w:sz w:val="21"/>
              </w:rPr>
              <w:t>7.00E-03</w:t>
            </w:r>
          </w:p>
        </w:tc>
        <w:tc>
          <w:tcPr>
            <w:tcW w:w="1524" w:type="dxa"/>
            <w:tcBorders>
              <w:top w:val="single" w:sz="4" w:space="0" w:color="000000"/>
              <w:left w:val="single" w:sz="4" w:space="0" w:color="000000"/>
              <w:right w:val="single" w:sz="4" w:space="0" w:color="000000"/>
            </w:tcBorders>
          </w:tcPr>
          <w:p>
            <w:pPr>
              <w:pStyle w:val="TableParagraph"/>
              <w:spacing w:before="48"/>
              <w:ind w:left="126" w:right="80"/>
              <w:rPr>
                <w:sz w:val="21"/>
              </w:rPr>
            </w:pPr>
            <w:r>
              <w:rPr>
                <w:sz w:val="21"/>
              </w:rPr>
              <w:t>11.67</w:t>
            </w:r>
          </w:p>
        </w:tc>
        <w:tc>
          <w:tcPr>
            <w:tcW w:w="1089" w:type="dxa"/>
            <w:tcBorders>
              <w:top w:val="single" w:sz="4" w:space="0" w:color="000000"/>
              <w:left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tcBorders>
          </w:tcPr>
          <w:p>
            <w:pPr>
              <w:pStyle w:val="TableParagraph"/>
              <w:spacing w:before="48"/>
              <w:ind w:left="148" w:right="87"/>
              <w:rPr>
                <w:sz w:val="21"/>
              </w:rPr>
            </w:pPr>
            <w:r>
              <w:rPr>
                <w:sz w:val="21"/>
              </w:rPr>
              <w:t>6.00E-02</w:t>
            </w:r>
          </w:p>
        </w:tc>
      </w:tr>
    </w:tbl>
    <w:p>
      <w:pPr>
        <w:spacing w:after="0"/>
        <w:rPr>
          <w:sz w:val="21"/>
        </w:rPr>
        <w:sectPr>
          <w:headerReference w:type="default" r:id="rId137"/>
          <w:footerReference w:type="default" r:id="rId138"/>
          <w:pgSz w:w="16840" w:h="11910" w:orient="landscape"/>
          <w:pgMar w:header="588" w:footer="630" w:top="780" w:bottom="820" w:left="1200" w:right="1200"/>
          <w:pgNumType w:start="146"/>
        </w:sect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2541"/>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49"/>
              <w:ind w:left="293"/>
              <w:jc w:val="left"/>
              <w:rPr>
                <w:rFonts w:ascii="宋体" w:eastAsia="宋体" w:hint="eastAsia"/>
                <w:b/>
                <w:sz w:val="21"/>
              </w:rPr>
            </w:pPr>
            <w:r>
              <w:rPr>
                <w:rFonts w:ascii="宋体" w:eastAsia="宋体" w:hint="eastAsia"/>
                <w:b/>
                <w:sz w:val="21"/>
              </w:rPr>
              <w:t>浓度</w:t>
            </w:r>
          </w:p>
          <w:p>
            <w:pPr>
              <w:pStyle w:val="TableParagraph"/>
              <w:spacing w:before="91"/>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4"/>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4"/>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8"/>
              <w:rPr>
                <w:sz w:val="21"/>
              </w:rPr>
            </w:pPr>
            <w:r>
              <w:rPr>
                <w:w w:val="100"/>
                <w:sz w:val="21"/>
              </w:rPr>
              <w:t>9</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151"/>
              <w:jc w:val="left"/>
              <w:rPr>
                <w:rFonts w:ascii="宋体" w:eastAsia="宋体" w:hint="eastAsia"/>
                <w:sz w:val="21"/>
              </w:rPr>
            </w:pPr>
            <w:r>
              <w:rPr>
                <w:rFonts w:ascii="宋体" w:eastAsia="宋体" w:hint="eastAsia"/>
                <w:sz w:val="21"/>
              </w:rPr>
              <w:t>区福利中心（</w:t>
            </w:r>
            <w:r>
              <w:rPr>
                <w:sz w:val="21"/>
              </w:rPr>
              <w:t>282,2431</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3.43E-05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19040705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3.10E-06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190407</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2.10E-07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10</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56"/>
              <w:jc w:val="left"/>
              <w:rPr>
                <w:rFonts w:ascii="宋体" w:eastAsia="宋体" w:hint="eastAsia"/>
                <w:sz w:val="21"/>
              </w:rPr>
            </w:pPr>
            <w:r>
              <w:rPr>
                <w:rFonts w:ascii="宋体" w:eastAsia="宋体" w:hint="eastAsia"/>
                <w:sz w:val="21"/>
              </w:rPr>
              <w:t>区委党校（</w:t>
            </w:r>
            <w:r>
              <w:rPr>
                <w:sz w:val="21"/>
              </w:rPr>
              <w:t>656,2182</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4.32E-05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19081701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3.98E-06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190314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3.00E-07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111" w:right="98"/>
              <w:rPr>
                <w:sz w:val="21"/>
              </w:rPr>
            </w:pPr>
            <w:r>
              <w:rPr>
                <w:sz w:val="21"/>
              </w:rPr>
              <w:t>11</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431"/>
              <w:jc w:val="left"/>
              <w:rPr>
                <w:rFonts w:ascii="宋体" w:eastAsia="宋体" w:hint="eastAsia"/>
                <w:sz w:val="21"/>
              </w:rPr>
            </w:pPr>
            <w:r>
              <w:rPr>
                <w:rFonts w:ascii="宋体" w:eastAsia="宋体" w:hint="eastAsia"/>
                <w:sz w:val="21"/>
              </w:rPr>
              <w:t>迪埠（</w:t>
            </w:r>
            <w:r>
              <w:rPr>
                <w:sz w:val="21"/>
              </w:rPr>
              <w:t>1022,-875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6.00E-05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19013019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7.41E-06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191229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8.50E-07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12</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73"/>
              <w:jc w:val="left"/>
              <w:rPr>
                <w:rFonts w:ascii="宋体" w:eastAsia="宋体" w:hint="eastAsia"/>
                <w:sz w:val="21"/>
              </w:rPr>
            </w:pPr>
            <w:r>
              <w:rPr>
                <w:rFonts w:ascii="宋体" w:eastAsia="宋体" w:hint="eastAsia"/>
                <w:sz w:val="21"/>
              </w:rPr>
              <w:t>洪家墩（</w:t>
            </w:r>
            <w:r>
              <w:rPr>
                <w:sz w:val="21"/>
              </w:rPr>
              <w:t>1096,-1407</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4.39E-05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19011905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4.16E-06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191016</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4.10E-07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13</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326"/>
              <w:jc w:val="left"/>
              <w:rPr>
                <w:rFonts w:ascii="宋体" w:eastAsia="宋体" w:hint="eastAsia"/>
                <w:sz w:val="21"/>
              </w:rPr>
            </w:pPr>
            <w:r>
              <w:rPr>
                <w:rFonts w:ascii="宋体" w:eastAsia="宋体" w:hint="eastAsia"/>
                <w:sz w:val="21"/>
              </w:rPr>
              <w:t>兴联村（</w:t>
            </w:r>
            <w:r>
              <w:rPr>
                <w:sz w:val="21"/>
              </w:rPr>
              <w:t>1985,-302</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6" w:right="73"/>
              <w:rPr>
                <w:sz w:val="21"/>
              </w:rPr>
            </w:pPr>
            <w:r>
              <w:rPr>
                <w:sz w:val="21"/>
              </w:rPr>
              <w:t>4.11E-05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19082221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4.29E-06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7.70E-07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14</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78"/>
              <w:jc w:val="left"/>
              <w:rPr>
                <w:rFonts w:ascii="宋体" w:eastAsia="宋体" w:hint="eastAsia"/>
                <w:sz w:val="21"/>
              </w:rPr>
            </w:pPr>
            <w:r>
              <w:rPr>
                <w:rFonts w:ascii="宋体" w:eastAsia="宋体" w:hint="eastAsia"/>
                <w:sz w:val="21"/>
              </w:rPr>
              <w:t>梅三村（</w:t>
            </w:r>
            <w:r>
              <w:rPr>
                <w:sz w:val="21"/>
              </w:rPr>
              <w:t>1744,-1149</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3.90E-05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19102119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6.47E-06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191229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6.80E-07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15</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78"/>
              <w:jc w:val="left"/>
              <w:rPr>
                <w:rFonts w:ascii="宋体" w:eastAsia="宋体" w:hint="eastAsia"/>
                <w:sz w:val="21"/>
              </w:rPr>
            </w:pPr>
            <w:r>
              <w:rPr>
                <w:rFonts w:ascii="宋体" w:eastAsia="宋体" w:hint="eastAsia"/>
                <w:sz w:val="21"/>
              </w:rPr>
              <w:t>容山村（</w:t>
            </w:r>
            <w:r>
              <w:rPr>
                <w:sz w:val="21"/>
              </w:rPr>
              <w:t>1154,-2055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3.37E-05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19110305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2.35E-06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190915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2.40E-07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16</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237"/>
              <w:jc w:val="left"/>
              <w:rPr>
                <w:rFonts w:ascii="宋体" w:eastAsia="宋体" w:hint="eastAsia"/>
                <w:sz w:val="21"/>
              </w:rPr>
            </w:pPr>
            <w:r>
              <w:rPr>
                <w:rFonts w:ascii="宋体" w:eastAsia="宋体" w:hint="eastAsia"/>
                <w:sz w:val="21"/>
              </w:rPr>
              <w:t>兴华村（</w:t>
            </w:r>
            <w:r>
              <w:rPr>
                <w:sz w:val="21"/>
              </w:rPr>
              <w:t>-1653,-1249</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3.04E-05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19010123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3.53E-06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190216</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4.10E-07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tcBorders>
              <w:top w:val="single" w:sz="4" w:space="0" w:color="000000"/>
              <w:right w:val="single" w:sz="4" w:space="0" w:color="000000"/>
            </w:tcBorders>
          </w:tcPr>
          <w:p>
            <w:pPr>
              <w:pStyle w:val="TableParagraph"/>
              <w:ind w:left="220"/>
              <w:jc w:val="left"/>
              <w:rPr>
                <w:sz w:val="21"/>
              </w:rPr>
            </w:pPr>
            <w:r>
              <w:rPr>
                <w:sz w:val="21"/>
              </w:rPr>
              <w:t>17</w:t>
            </w:r>
          </w:p>
        </w:tc>
        <w:tc>
          <w:tcPr>
            <w:tcW w:w="2541" w:type="dxa"/>
            <w:tcBorders>
              <w:top w:val="single" w:sz="4" w:space="0" w:color="000000"/>
              <w:left w:val="single" w:sz="4" w:space="0" w:color="000000"/>
              <w:right w:val="single" w:sz="4" w:space="0" w:color="000000"/>
            </w:tcBorders>
          </w:tcPr>
          <w:p>
            <w:pPr>
              <w:pStyle w:val="TableParagraph"/>
              <w:spacing w:before="44"/>
              <w:ind w:left="326"/>
              <w:jc w:val="left"/>
              <w:rPr>
                <w:rFonts w:ascii="宋体" w:eastAsia="宋体" w:hint="eastAsia"/>
                <w:sz w:val="21"/>
              </w:rPr>
            </w:pPr>
            <w:r>
              <w:rPr>
                <w:rFonts w:ascii="宋体" w:eastAsia="宋体" w:hint="eastAsia"/>
                <w:sz w:val="21"/>
              </w:rPr>
              <w:t>永信村（</w:t>
            </w:r>
            <w:r>
              <w:rPr>
                <w:sz w:val="21"/>
              </w:rPr>
              <w:t>-2384,479</w:t>
            </w:r>
            <w:r>
              <w:rPr>
                <w:rFonts w:ascii="宋体" w:eastAsia="宋体" w:hint="eastAsia"/>
                <w:sz w:val="21"/>
              </w:rPr>
              <w:t>）</w:t>
            </w:r>
          </w:p>
        </w:tc>
        <w:tc>
          <w:tcPr>
            <w:tcW w:w="991" w:type="dxa"/>
            <w:tcBorders>
              <w:top w:val="single" w:sz="4" w:space="0" w:color="000000"/>
              <w:left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right w:val="single" w:sz="4" w:space="0" w:color="000000"/>
            </w:tcBorders>
          </w:tcPr>
          <w:p>
            <w:pPr>
              <w:pStyle w:val="TableParagraph"/>
              <w:ind w:left="108" w:right="73"/>
              <w:rPr>
                <w:sz w:val="21"/>
              </w:rPr>
            </w:pPr>
            <w:r>
              <w:rPr>
                <w:sz w:val="21"/>
              </w:rPr>
              <w:t>4.09E-05</w:t>
            </w:r>
          </w:p>
        </w:tc>
        <w:tc>
          <w:tcPr>
            <w:tcW w:w="1084" w:type="dxa"/>
            <w:tcBorders>
              <w:top w:val="single" w:sz="4" w:space="0" w:color="000000"/>
              <w:left w:val="single" w:sz="4" w:space="0" w:color="000000"/>
              <w:right w:val="single" w:sz="4" w:space="0" w:color="000000"/>
            </w:tcBorders>
          </w:tcPr>
          <w:p>
            <w:pPr>
              <w:pStyle w:val="TableParagraph"/>
              <w:ind w:left="107" w:right="70"/>
              <w:rPr>
                <w:sz w:val="21"/>
              </w:rPr>
            </w:pPr>
            <w:r>
              <w:rPr>
                <w:sz w:val="21"/>
              </w:rPr>
              <w:t>19092001</w:t>
            </w:r>
          </w:p>
        </w:tc>
        <w:tc>
          <w:tcPr>
            <w:tcW w:w="870" w:type="dxa"/>
            <w:tcBorders>
              <w:top w:val="single" w:sz="4" w:space="0" w:color="000000"/>
              <w:left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tcBorders>
          </w:tcPr>
          <w:p>
            <w:pPr>
              <w:pStyle w:val="TableParagraph"/>
              <w:ind w:left="148" w:right="87"/>
              <w:rPr>
                <w:sz w:val="21"/>
              </w:rPr>
            </w:pPr>
            <w:r>
              <w:rPr>
                <w:sz w:val="21"/>
              </w:rPr>
              <w:t>5.00E-01</w:t>
            </w:r>
          </w:p>
        </w:tc>
      </w:tr>
    </w:tbl>
    <w:p>
      <w:pPr>
        <w:spacing w:after="0"/>
        <w:rPr>
          <w:sz w:val="21"/>
        </w:rPr>
        <w:sectPr>
          <w:headerReference w:type="default" r:id="rId139"/>
          <w:pgSz w:w="16840" w:h="11910" w:orient="landscape"/>
          <w:pgMar w:header="588" w:footer="630" w:top="840" w:bottom="820" w:left="1200" w:right="1200"/>
        </w:sect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2541"/>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49"/>
              <w:ind w:left="293"/>
              <w:jc w:val="left"/>
              <w:rPr>
                <w:rFonts w:ascii="宋体" w:eastAsia="宋体" w:hint="eastAsia"/>
                <w:b/>
                <w:sz w:val="21"/>
              </w:rPr>
            </w:pPr>
            <w:r>
              <w:rPr>
                <w:rFonts w:ascii="宋体" w:eastAsia="宋体" w:hint="eastAsia"/>
                <w:b/>
                <w:sz w:val="21"/>
              </w:rPr>
              <w:t>浓度</w:t>
            </w:r>
          </w:p>
          <w:p>
            <w:pPr>
              <w:pStyle w:val="TableParagraph"/>
              <w:spacing w:before="91"/>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4"/>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4"/>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5.06E-06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190607</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5.90E-07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18</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24"/>
              <w:jc w:val="left"/>
              <w:rPr>
                <w:rFonts w:ascii="宋体" w:eastAsia="宋体" w:hint="eastAsia"/>
                <w:sz w:val="21"/>
              </w:rPr>
            </w:pPr>
            <w:r>
              <w:rPr>
                <w:rFonts w:ascii="宋体" w:eastAsia="宋体" w:hint="eastAsia"/>
                <w:sz w:val="21"/>
              </w:rPr>
              <w:t>规划敏感点 </w:t>
            </w:r>
            <w:r>
              <w:rPr>
                <w:sz w:val="21"/>
              </w:rPr>
              <w:t>1</w:t>
            </w:r>
            <w:r>
              <w:rPr>
                <w:rFonts w:ascii="宋体" w:eastAsia="宋体" w:hint="eastAsia"/>
                <w:sz w:val="21"/>
              </w:rPr>
              <w:t>（</w:t>
            </w:r>
            <w:r>
              <w:rPr>
                <w:sz w:val="21"/>
              </w:rPr>
              <w:t>983,975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5.92E-05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19072522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7.05E-06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190925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6.50E-07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5"/>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19</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15"/>
              <w:jc w:val="left"/>
              <w:rPr>
                <w:rFonts w:ascii="宋体" w:eastAsia="宋体" w:hint="eastAsia"/>
                <w:sz w:val="21"/>
              </w:rPr>
            </w:pPr>
            <w:r>
              <w:rPr>
                <w:rFonts w:ascii="宋体" w:eastAsia="宋体" w:hint="eastAsia"/>
                <w:spacing w:val="-10"/>
                <w:sz w:val="21"/>
              </w:rPr>
              <w:t>规划敏感点 </w:t>
            </w:r>
            <w:r>
              <w:rPr>
                <w:sz w:val="21"/>
              </w:rPr>
              <w:t>2</w:t>
            </w:r>
            <w:r>
              <w:rPr>
                <w:rFonts w:ascii="宋体" w:eastAsia="宋体" w:hint="eastAsia"/>
                <w:sz w:val="21"/>
              </w:rPr>
              <w:t>（</w:t>
            </w:r>
            <w:r>
              <w:rPr>
                <w:sz w:val="21"/>
              </w:rPr>
              <w:t>1246,677</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5.68E-05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19081519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6.77E-06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8.30E-07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20</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15"/>
              <w:jc w:val="left"/>
              <w:rPr>
                <w:rFonts w:ascii="宋体" w:eastAsia="宋体" w:hint="eastAsia"/>
                <w:sz w:val="21"/>
              </w:rPr>
            </w:pPr>
            <w:r>
              <w:rPr>
                <w:rFonts w:ascii="宋体" w:eastAsia="宋体" w:hint="eastAsia"/>
                <w:spacing w:val="-10"/>
                <w:sz w:val="21"/>
              </w:rPr>
              <w:t>规划敏感点 </w:t>
            </w:r>
            <w:r>
              <w:rPr>
                <w:sz w:val="21"/>
              </w:rPr>
              <w:t>3</w:t>
            </w:r>
            <w:r>
              <w:rPr>
                <w:rFonts w:ascii="宋体" w:eastAsia="宋体" w:hint="eastAsia"/>
                <w:sz w:val="21"/>
              </w:rPr>
              <w:t>（</w:t>
            </w:r>
            <w:r>
              <w:rPr>
                <w:sz w:val="21"/>
              </w:rPr>
              <w:t>1466,682</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5.05E-05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19081719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5.65E-06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7.10E-07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21</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15"/>
              <w:jc w:val="left"/>
              <w:rPr>
                <w:rFonts w:ascii="宋体" w:eastAsia="宋体" w:hint="eastAsia"/>
                <w:sz w:val="21"/>
              </w:rPr>
            </w:pPr>
            <w:r>
              <w:rPr>
                <w:rFonts w:ascii="宋体" w:eastAsia="宋体" w:hint="eastAsia"/>
                <w:spacing w:val="-10"/>
                <w:sz w:val="21"/>
              </w:rPr>
              <w:t>规划敏感点 </w:t>
            </w:r>
            <w:r>
              <w:rPr>
                <w:sz w:val="21"/>
              </w:rPr>
              <w:t>4</w:t>
            </w:r>
            <w:r>
              <w:rPr>
                <w:rFonts w:ascii="宋体" w:eastAsia="宋体" w:hint="eastAsia"/>
                <w:sz w:val="21"/>
              </w:rPr>
              <w:t>（</w:t>
            </w:r>
            <w:r>
              <w:rPr>
                <w:sz w:val="21"/>
              </w:rPr>
              <w:t>1819,754</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6" w:right="73"/>
              <w:rPr>
                <w:sz w:val="21"/>
              </w:rPr>
            </w:pPr>
            <w:r>
              <w:rPr>
                <w:sz w:val="21"/>
              </w:rPr>
              <w:t>4.11E-05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19081322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4.94E-06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190121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5.40E-07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22</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5</w:t>
            </w:r>
            <w:r>
              <w:rPr>
                <w:rFonts w:ascii="宋体" w:eastAsia="宋体" w:hint="eastAsia"/>
                <w:spacing w:val="-3"/>
                <w:w w:val="100"/>
                <w:sz w:val="21"/>
              </w:rPr>
              <w:t>（</w:t>
            </w:r>
            <w:r>
              <w:rPr>
                <w:w w:val="100"/>
                <w:sz w:val="21"/>
              </w:rPr>
              <w:t>169</w:t>
            </w:r>
            <w:r>
              <w:rPr>
                <w:spacing w:val="-3"/>
                <w:w w:val="100"/>
                <w:sz w:val="21"/>
              </w:rPr>
              <w:t>8</w:t>
            </w:r>
            <w:r>
              <w:rPr>
                <w:w w:val="100"/>
                <w:sz w:val="21"/>
              </w:rPr>
              <w:t>,10</w:t>
            </w:r>
            <w:r>
              <w:rPr>
                <w:spacing w:val="-3"/>
                <w:w w:val="100"/>
                <w:sz w:val="21"/>
              </w:rPr>
              <w:t>6</w:t>
            </w:r>
            <w:r>
              <w:rPr>
                <w:spacing w:val="-1"/>
                <w:w w:val="100"/>
                <w:sz w:val="21"/>
              </w:rPr>
              <w:t>1</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4.07E-05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19110901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4.50E-06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190909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5.30E-07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5"/>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5"/>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23</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6</w:t>
            </w:r>
            <w:r>
              <w:rPr>
                <w:rFonts w:ascii="宋体" w:eastAsia="宋体" w:hint="eastAsia"/>
                <w:spacing w:val="-3"/>
                <w:w w:val="100"/>
                <w:sz w:val="21"/>
              </w:rPr>
              <w:t>（</w:t>
            </w:r>
            <w:r>
              <w:rPr>
                <w:w w:val="100"/>
                <w:sz w:val="21"/>
              </w:rPr>
              <w:t>157</w:t>
            </w:r>
            <w:r>
              <w:rPr>
                <w:spacing w:val="-3"/>
                <w:w w:val="100"/>
                <w:sz w:val="21"/>
              </w:rPr>
              <w:t>3</w:t>
            </w:r>
            <w:r>
              <w:rPr>
                <w:w w:val="100"/>
                <w:sz w:val="21"/>
              </w:rPr>
              <w:t>,13</w:t>
            </w:r>
            <w:r>
              <w:rPr>
                <w:spacing w:val="-3"/>
                <w:w w:val="100"/>
                <w:sz w:val="21"/>
              </w:rPr>
              <w:t>9</w:t>
            </w:r>
            <w:r>
              <w:rPr>
                <w:spacing w:val="-1"/>
                <w:w w:val="100"/>
                <w:sz w:val="21"/>
              </w:rPr>
              <w:t>3</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3.96E-05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19071921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4.82E-06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190925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4.00E-07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7"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2"/>
              <w:ind w:left="220"/>
              <w:jc w:val="left"/>
              <w:rPr>
                <w:sz w:val="21"/>
              </w:rPr>
            </w:pPr>
            <w:r>
              <w:rPr>
                <w:sz w:val="21"/>
              </w:rPr>
              <w:t>24</w:t>
            </w:r>
          </w:p>
        </w:tc>
        <w:tc>
          <w:tcPr>
            <w:tcW w:w="2541"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58"/>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7</w:t>
            </w:r>
            <w:r>
              <w:rPr>
                <w:rFonts w:ascii="宋体" w:eastAsia="宋体" w:hint="eastAsia"/>
                <w:spacing w:val="-3"/>
                <w:w w:val="100"/>
                <w:sz w:val="21"/>
              </w:rPr>
              <w:t>（</w:t>
            </w:r>
            <w:r>
              <w:rPr>
                <w:w w:val="100"/>
                <w:sz w:val="21"/>
              </w:rPr>
              <w:t>205</w:t>
            </w:r>
            <w:r>
              <w:rPr>
                <w:spacing w:val="-3"/>
                <w:w w:val="100"/>
                <w:sz w:val="21"/>
              </w:rPr>
              <w:t>9</w:t>
            </w:r>
            <w:r>
              <w:rPr>
                <w:w w:val="100"/>
                <w:sz w:val="21"/>
              </w:rPr>
              <w:t>,10</w:t>
            </w:r>
            <w:r>
              <w:rPr>
                <w:spacing w:val="-3"/>
                <w:w w:val="100"/>
                <w:sz w:val="21"/>
              </w:rPr>
              <w:t>9</w:t>
            </w:r>
            <w:r>
              <w:rPr>
                <w:spacing w:val="-1"/>
                <w:w w:val="100"/>
                <w:sz w:val="21"/>
              </w:rPr>
              <w:t>5</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3.54E-05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19120905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4.20E-06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60" w:hRule="atLeast"/>
        </w:trPr>
        <w:tc>
          <w:tcPr>
            <w:tcW w:w="653" w:type="dxa"/>
            <w:vMerge/>
            <w:tcBorders>
              <w:top w:val="nil"/>
              <w:bottom w:val="single" w:sz="4" w:space="0" w:color="000000"/>
              <w:right w:val="single" w:sz="4" w:space="0" w:color="000000"/>
            </w:tcBorders>
          </w:tcPr>
          <w:p>
            <w:pPr>
              <w:rPr>
                <w:sz w:val="2"/>
                <w:szCs w:val="2"/>
              </w:rPr>
            </w:pPr>
          </w:p>
        </w:tc>
        <w:tc>
          <w:tcPr>
            <w:tcW w:w="2541" w:type="dxa"/>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4.60E-07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47" w:hRule="atLeast"/>
        </w:trPr>
        <w:tc>
          <w:tcPr>
            <w:tcW w:w="653" w:type="dxa"/>
            <w:vMerge w:val="restart"/>
            <w:tcBorders>
              <w:top w:val="single" w:sz="4" w:space="0" w:color="000000"/>
              <w:right w:val="single" w:sz="4" w:space="0" w:color="000000"/>
            </w:tcBorders>
          </w:tcPr>
          <w:p>
            <w:pPr>
              <w:pStyle w:val="TableParagraph"/>
              <w:spacing w:before="1"/>
              <w:jc w:val="left"/>
              <w:rPr>
                <w:b/>
                <w:sz w:val="21"/>
              </w:rPr>
            </w:pPr>
          </w:p>
          <w:p>
            <w:pPr>
              <w:pStyle w:val="TableParagraph"/>
              <w:spacing w:before="0"/>
              <w:ind w:left="220"/>
              <w:jc w:val="left"/>
              <w:rPr>
                <w:sz w:val="21"/>
              </w:rPr>
            </w:pPr>
            <w:r>
              <w:rPr>
                <w:sz w:val="21"/>
              </w:rPr>
              <w:t>25</w:t>
            </w:r>
          </w:p>
        </w:tc>
        <w:tc>
          <w:tcPr>
            <w:tcW w:w="2541" w:type="dxa"/>
            <w:vMerge w:val="restart"/>
            <w:tcBorders>
              <w:top w:val="single" w:sz="4" w:space="0" w:color="000000"/>
              <w:left w:val="single" w:sz="4" w:space="0" w:color="000000"/>
              <w:right w:val="single" w:sz="4" w:space="0" w:color="000000"/>
            </w:tcBorders>
          </w:tcPr>
          <w:p>
            <w:pPr>
              <w:pStyle w:val="TableParagraph"/>
              <w:spacing w:before="10"/>
              <w:jc w:val="left"/>
              <w:rPr>
                <w:b/>
                <w:sz w:val="19"/>
              </w:rPr>
            </w:pPr>
          </w:p>
          <w:p>
            <w:pPr>
              <w:pStyle w:val="TableParagraph"/>
              <w:spacing w:before="0"/>
              <w:ind w:left="117" w:right="-29"/>
              <w:jc w:val="left"/>
              <w:rPr>
                <w:rFonts w:ascii="宋体" w:eastAsia="宋体" w:hint="eastAsia"/>
                <w:sz w:val="21"/>
              </w:rPr>
            </w:pPr>
            <w:r>
              <w:rPr>
                <w:rFonts w:ascii="宋体" w:eastAsia="宋体" w:hint="eastAsia"/>
                <w:spacing w:val="-2"/>
                <w:w w:val="100"/>
                <w:sz w:val="21"/>
              </w:rPr>
              <w:t>规划敏感点</w:t>
            </w:r>
            <w:r>
              <w:rPr>
                <w:rFonts w:ascii="宋体" w:eastAsia="宋体" w:hint="eastAsia"/>
                <w:spacing w:val="-53"/>
                <w:sz w:val="21"/>
              </w:rPr>
              <w:t> </w:t>
            </w:r>
            <w:r>
              <w:rPr>
                <w:spacing w:val="-89"/>
                <w:w w:val="100"/>
                <w:sz w:val="21"/>
              </w:rPr>
              <w:t>8</w:t>
            </w:r>
            <w:r>
              <w:rPr>
                <w:rFonts w:ascii="宋体" w:eastAsia="宋体" w:hint="eastAsia"/>
                <w:spacing w:val="-3"/>
                <w:w w:val="100"/>
                <w:sz w:val="21"/>
              </w:rPr>
              <w:t>（</w:t>
            </w:r>
            <w:r>
              <w:rPr>
                <w:w w:val="100"/>
                <w:sz w:val="21"/>
              </w:rPr>
              <w:t>197</w:t>
            </w:r>
            <w:r>
              <w:rPr>
                <w:spacing w:val="-3"/>
                <w:w w:val="100"/>
                <w:sz w:val="21"/>
              </w:rPr>
              <w:t>7</w:t>
            </w:r>
            <w:r>
              <w:rPr>
                <w:w w:val="100"/>
                <w:sz w:val="21"/>
              </w:rPr>
              <w:t>,14</w:t>
            </w:r>
            <w:r>
              <w:rPr>
                <w:spacing w:val="-3"/>
                <w:w w:val="100"/>
                <w:sz w:val="21"/>
              </w:rPr>
              <w:t>2</w:t>
            </w:r>
            <w:r>
              <w:rPr>
                <w:spacing w:val="-1"/>
                <w:w w:val="100"/>
                <w:sz w:val="21"/>
              </w:rPr>
              <w:t>2</w:t>
            </w:r>
            <w:r>
              <w:rPr>
                <w:rFonts w:ascii="宋体" w:eastAsia="宋体" w:hint="eastAsia"/>
                <w:w w:val="100"/>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3.36E-05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19051003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49" w:hRule="atLeast"/>
        </w:trPr>
        <w:tc>
          <w:tcPr>
            <w:tcW w:w="653" w:type="dxa"/>
            <w:vMerge/>
            <w:tcBorders>
              <w:top w:val="nil"/>
              <w:right w:val="single" w:sz="4" w:space="0" w:color="000000"/>
            </w:tcBorders>
          </w:tcPr>
          <w:p>
            <w:pPr>
              <w:rPr>
                <w:sz w:val="2"/>
                <w:szCs w:val="2"/>
              </w:rPr>
            </w:pPr>
          </w:p>
        </w:tc>
        <w:tc>
          <w:tcPr>
            <w:tcW w:w="2541" w:type="dxa"/>
            <w:vMerge/>
            <w:tcBorders>
              <w:top w:val="nil"/>
              <w:left w:val="single" w:sz="4" w:space="0" w:color="000000"/>
              <w:right w:val="single" w:sz="4" w:space="0" w:color="000000"/>
            </w:tcBorders>
          </w:tcPr>
          <w:p>
            <w:pPr>
              <w:rPr>
                <w:sz w:val="2"/>
                <w:szCs w:val="2"/>
              </w:rPr>
            </w:pPr>
          </w:p>
        </w:tc>
        <w:tc>
          <w:tcPr>
            <w:tcW w:w="991" w:type="dxa"/>
            <w:tcBorders>
              <w:top w:val="single" w:sz="4" w:space="0" w:color="000000"/>
              <w:left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right w:val="single" w:sz="4" w:space="0" w:color="000000"/>
            </w:tcBorders>
          </w:tcPr>
          <w:p>
            <w:pPr>
              <w:pStyle w:val="TableParagraph"/>
              <w:spacing w:before="48"/>
              <w:ind w:left="108" w:right="73"/>
              <w:rPr>
                <w:sz w:val="21"/>
              </w:rPr>
            </w:pPr>
            <w:r>
              <w:rPr>
                <w:sz w:val="21"/>
              </w:rPr>
              <w:t>3.88E-06</w:t>
            </w:r>
          </w:p>
        </w:tc>
        <w:tc>
          <w:tcPr>
            <w:tcW w:w="1084" w:type="dxa"/>
            <w:tcBorders>
              <w:top w:val="single" w:sz="4" w:space="0" w:color="000000"/>
              <w:left w:val="single" w:sz="4" w:space="0" w:color="000000"/>
              <w:right w:val="single" w:sz="4" w:space="0" w:color="000000"/>
            </w:tcBorders>
          </w:tcPr>
          <w:p>
            <w:pPr>
              <w:pStyle w:val="TableParagraph"/>
              <w:spacing w:before="48"/>
              <w:ind w:left="110" w:right="70"/>
              <w:rPr>
                <w:sz w:val="21"/>
              </w:rPr>
            </w:pPr>
            <w:r>
              <w:rPr>
                <w:sz w:val="21"/>
              </w:rPr>
              <w:t>190521</w:t>
            </w:r>
          </w:p>
        </w:tc>
        <w:tc>
          <w:tcPr>
            <w:tcW w:w="870" w:type="dxa"/>
            <w:tcBorders>
              <w:top w:val="single" w:sz="4" w:space="0" w:color="000000"/>
              <w:left w:val="single" w:sz="4" w:space="0" w:color="000000"/>
              <w:right w:val="single" w:sz="4" w:space="0" w:color="000000"/>
            </w:tcBorders>
          </w:tcPr>
          <w:p>
            <w:pPr>
              <w:pStyle w:val="TableParagraph"/>
              <w:spacing w:before="48"/>
              <w:ind w:left="110" w:right="76"/>
              <w:rPr>
                <w:sz w:val="21"/>
              </w:rPr>
            </w:pPr>
            <w:r>
              <w:rPr>
                <w:sz w:val="21"/>
              </w:rPr>
              <w:t>0.00</w:t>
            </w:r>
          </w:p>
        </w:tc>
        <w:tc>
          <w:tcPr>
            <w:tcW w:w="1086" w:type="dxa"/>
            <w:tcBorders>
              <w:top w:val="single" w:sz="4" w:space="0" w:color="000000"/>
              <w:left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spacing w:before="48"/>
              <w:ind w:left="113" w:right="68"/>
              <w:rPr>
                <w:sz w:val="21"/>
              </w:rPr>
            </w:pPr>
            <w:r>
              <w:rPr>
                <w:sz w:val="21"/>
              </w:rPr>
              <w:t>1.30E-02</w:t>
            </w:r>
          </w:p>
        </w:tc>
        <w:tc>
          <w:tcPr>
            <w:tcW w:w="1084" w:type="dxa"/>
            <w:tcBorders>
              <w:top w:val="single" w:sz="4" w:space="0" w:color="000000"/>
              <w:left w:val="single" w:sz="4" w:space="0" w:color="000000"/>
              <w:right w:val="single" w:sz="4" w:space="0" w:color="000000"/>
            </w:tcBorders>
          </w:tcPr>
          <w:p>
            <w:pPr>
              <w:pStyle w:val="TableParagraph"/>
              <w:spacing w:before="48"/>
              <w:ind w:left="115" w:right="66"/>
              <w:rPr>
                <w:sz w:val="21"/>
              </w:rPr>
            </w:pPr>
            <w:r>
              <w:rPr>
                <w:sz w:val="21"/>
              </w:rPr>
              <w:t>1.30E-02</w:t>
            </w:r>
          </w:p>
        </w:tc>
        <w:tc>
          <w:tcPr>
            <w:tcW w:w="1524" w:type="dxa"/>
            <w:tcBorders>
              <w:top w:val="single" w:sz="4" w:space="0" w:color="000000"/>
              <w:left w:val="single" w:sz="4" w:space="0" w:color="000000"/>
              <w:right w:val="single" w:sz="4" w:space="0" w:color="000000"/>
            </w:tcBorders>
          </w:tcPr>
          <w:p>
            <w:pPr>
              <w:pStyle w:val="TableParagraph"/>
              <w:spacing w:before="48"/>
              <w:ind w:left="126" w:right="82"/>
              <w:rPr>
                <w:sz w:val="21"/>
              </w:rPr>
            </w:pPr>
            <w:r>
              <w:rPr>
                <w:sz w:val="21"/>
              </w:rPr>
              <w:t>8.67</w:t>
            </w:r>
          </w:p>
        </w:tc>
        <w:tc>
          <w:tcPr>
            <w:tcW w:w="1089" w:type="dxa"/>
            <w:tcBorders>
              <w:top w:val="single" w:sz="4" w:space="0" w:color="000000"/>
              <w:left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tcBorders>
          </w:tcPr>
          <w:p>
            <w:pPr>
              <w:pStyle w:val="TableParagraph"/>
              <w:spacing w:before="48"/>
              <w:ind w:left="148" w:right="87"/>
              <w:rPr>
                <w:sz w:val="21"/>
              </w:rPr>
            </w:pPr>
            <w:r>
              <w:rPr>
                <w:sz w:val="21"/>
              </w:rPr>
              <w:t>1.50E-01</w:t>
            </w:r>
          </w:p>
        </w:tc>
      </w:tr>
    </w:tbl>
    <w:p>
      <w:pPr>
        <w:spacing w:after="0"/>
        <w:rPr>
          <w:sz w:val="21"/>
        </w:rPr>
        <w:sectPr>
          <w:pgSz w:w="16840" w:h="11910" w:orient="landscape"/>
          <w:pgMar w:header="588" w:footer="630" w:top="840" w:bottom="820" w:left="1200" w:right="1200"/>
        </w:sect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53"/>
        <w:gridCol w:w="799"/>
        <w:gridCol w:w="1742"/>
        <w:gridCol w:w="991"/>
        <w:gridCol w:w="1086"/>
        <w:gridCol w:w="1084"/>
        <w:gridCol w:w="870"/>
        <w:gridCol w:w="1086"/>
        <w:gridCol w:w="1086"/>
        <w:gridCol w:w="1084"/>
        <w:gridCol w:w="1524"/>
        <w:gridCol w:w="1089"/>
        <w:gridCol w:w="1072"/>
      </w:tblGrid>
      <w:tr>
        <w:trPr>
          <w:trHeight w:val="359" w:hRule="atLeast"/>
        </w:trPr>
        <w:tc>
          <w:tcPr>
            <w:tcW w:w="653" w:type="dxa"/>
            <w:vMerge w:val="restart"/>
            <w:tcBorders>
              <w:bottom w:val="single" w:sz="4" w:space="0" w:color="000000"/>
              <w:right w:val="single" w:sz="4" w:space="0" w:color="000000"/>
            </w:tcBorders>
          </w:tcPr>
          <w:p>
            <w:pPr>
              <w:pStyle w:val="TableParagraph"/>
              <w:spacing w:before="10"/>
              <w:jc w:val="left"/>
              <w:rPr>
                <w:b/>
                <w:sz w:val="19"/>
              </w:rPr>
            </w:pPr>
          </w:p>
          <w:p>
            <w:pPr>
              <w:pStyle w:val="TableParagraph"/>
              <w:spacing w:before="0"/>
              <w:ind w:left="114"/>
              <w:jc w:val="left"/>
              <w:rPr>
                <w:rFonts w:ascii="宋体" w:eastAsia="宋体" w:hint="eastAsia"/>
                <w:b/>
                <w:sz w:val="21"/>
              </w:rPr>
            </w:pPr>
            <w:r>
              <w:rPr>
                <w:rFonts w:ascii="宋体" w:eastAsia="宋体" w:hint="eastAsia"/>
                <w:b/>
                <w:sz w:val="21"/>
              </w:rPr>
              <w:t>序号</w:t>
            </w:r>
          </w:p>
        </w:tc>
        <w:tc>
          <w:tcPr>
            <w:tcW w:w="2541" w:type="dxa"/>
            <w:gridSpan w:val="2"/>
            <w:vMerge w:val="restart"/>
            <w:tcBorders>
              <w:left w:val="single" w:sz="4" w:space="0" w:color="000000"/>
              <w:bottom w:val="single" w:sz="4" w:space="0" w:color="000000"/>
              <w:right w:val="single" w:sz="4" w:space="0" w:color="000000"/>
            </w:tcBorders>
          </w:tcPr>
          <w:p>
            <w:pPr>
              <w:pStyle w:val="TableParagraph"/>
              <w:spacing w:before="10"/>
              <w:jc w:val="left"/>
              <w:rPr>
                <w:b/>
                <w:sz w:val="19"/>
              </w:rPr>
            </w:pPr>
          </w:p>
          <w:p>
            <w:pPr>
              <w:pStyle w:val="TableParagraph"/>
              <w:spacing w:before="0"/>
              <w:ind w:left="753"/>
              <w:jc w:val="left"/>
              <w:rPr>
                <w:rFonts w:ascii="宋体" w:eastAsia="宋体" w:hint="eastAsia"/>
                <w:b/>
                <w:sz w:val="21"/>
              </w:rPr>
            </w:pPr>
            <w:r>
              <w:rPr>
                <w:rFonts w:ascii="宋体" w:eastAsia="宋体" w:hint="eastAsia"/>
                <w:b/>
                <w:sz w:val="21"/>
              </w:rPr>
              <w:t>预测点名称</w:t>
            </w:r>
          </w:p>
        </w:tc>
        <w:tc>
          <w:tcPr>
            <w:tcW w:w="991" w:type="dxa"/>
            <w:vMerge w:val="restart"/>
            <w:tcBorders>
              <w:left w:val="single" w:sz="4" w:space="0" w:color="000000"/>
              <w:bottom w:val="single" w:sz="4" w:space="0" w:color="000000"/>
              <w:right w:val="single" w:sz="4" w:space="0" w:color="000000"/>
            </w:tcBorders>
          </w:tcPr>
          <w:p>
            <w:pPr>
              <w:pStyle w:val="TableParagraph"/>
              <w:spacing w:before="49"/>
              <w:ind w:left="293"/>
              <w:jc w:val="left"/>
              <w:rPr>
                <w:rFonts w:ascii="宋体" w:eastAsia="宋体" w:hint="eastAsia"/>
                <w:b/>
                <w:sz w:val="21"/>
              </w:rPr>
            </w:pPr>
            <w:r>
              <w:rPr>
                <w:rFonts w:ascii="宋体" w:eastAsia="宋体" w:hint="eastAsia"/>
                <w:b/>
                <w:sz w:val="21"/>
              </w:rPr>
              <w:t>浓度</w:t>
            </w:r>
          </w:p>
          <w:p>
            <w:pPr>
              <w:pStyle w:val="TableParagraph"/>
              <w:spacing w:before="91"/>
              <w:ind w:left="293"/>
              <w:jc w:val="left"/>
              <w:rPr>
                <w:rFonts w:ascii="宋体" w:eastAsia="宋体" w:hint="eastAsia"/>
                <w:b/>
                <w:sz w:val="21"/>
              </w:rPr>
            </w:pPr>
            <w:r>
              <w:rPr>
                <w:rFonts w:ascii="宋体" w:eastAsia="宋体" w:hint="eastAsia"/>
                <w:b/>
                <w:sz w:val="21"/>
              </w:rPr>
              <w:t>类型</w:t>
            </w:r>
          </w:p>
        </w:tc>
        <w:tc>
          <w:tcPr>
            <w:tcW w:w="4126" w:type="dxa"/>
            <w:gridSpan w:val="4"/>
            <w:tcBorders>
              <w:left w:val="single" w:sz="4" w:space="0" w:color="000000"/>
              <w:bottom w:val="single" w:sz="4" w:space="0" w:color="000000"/>
              <w:right w:val="single" w:sz="4" w:space="0" w:color="000000"/>
            </w:tcBorders>
          </w:tcPr>
          <w:p>
            <w:pPr>
              <w:pStyle w:val="TableParagraph"/>
              <w:spacing w:before="44"/>
              <w:ind w:left="1529" w:right="1491"/>
              <w:rPr>
                <w:rFonts w:ascii="宋体" w:eastAsia="宋体" w:hint="eastAsia"/>
                <w:b/>
                <w:sz w:val="21"/>
              </w:rPr>
            </w:pPr>
            <w:r>
              <w:rPr>
                <w:rFonts w:ascii="宋体" w:eastAsia="宋体" w:hint="eastAsia"/>
                <w:b/>
                <w:sz w:val="21"/>
              </w:rPr>
              <w:t>本项目新增</w:t>
            </w:r>
          </w:p>
        </w:tc>
        <w:tc>
          <w:tcPr>
            <w:tcW w:w="4783" w:type="dxa"/>
            <w:gridSpan w:val="4"/>
            <w:tcBorders>
              <w:left w:val="single" w:sz="4" w:space="0" w:color="000000"/>
              <w:bottom w:val="single" w:sz="4" w:space="0" w:color="000000"/>
              <w:right w:val="single" w:sz="4" w:space="0" w:color="000000"/>
            </w:tcBorders>
          </w:tcPr>
          <w:p>
            <w:pPr>
              <w:pStyle w:val="TableParagraph"/>
              <w:spacing w:before="44"/>
              <w:ind w:left="1398"/>
              <w:jc w:val="left"/>
              <w:rPr>
                <w:rFonts w:ascii="宋体" w:eastAsia="宋体" w:hint="eastAsia"/>
                <w:b/>
                <w:sz w:val="21"/>
              </w:rPr>
            </w:pPr>
            <w:r>
              <w:rPr>
                <w:rFonts w:ascii="宋体" w:eastAsia="宋体" w:hint="eastAsia"/>
                <w:b/>
                <w:sz w:val="21"/>
              </w:rPr>
              <w:t>本项目新增</w:t>
            </w:r>
            <w:r>
              <w:rPr>
                <w:b/>
                <w:sz w:val="21"/>
              </w:rPr>
              <w:t>+</w:t>
            </w:r>
            <w:r>
              <w:rPr>
                <w:rFonts w:ascii="宋体" w:eastAsia="宋体" w:hint="eastAsia"/>
                <w:b/>
                <w:sz w:val="21"/>
              </w:rPr>
              <w:t>背景浓度</w:t>
            </w:r>
          </w:p>
        </w:tc>
        <w:tc>
          <w:tcPr>
            <w:tcW w:w="1072" w:type="dxa"/>
            <w:vMerge w:val="restart"/>
            <w:tcBorders>
              <w:left w:val="single" w:sz="4" w:space="0" w:color="000000"/>
              <w:bottom w:val="single" w:sz="4" w:space="0" w:color="000000"/>
            </w:tcBorders>
          </w:tcPr>
          <w:p>
            <w:pPr>
              <w:pStyle w:val="TableParagraph"/>
              <w:spacing w:before="10"/>
              <w:jc w:val="left"/>
              <w:rPr>
                <w:b/>
                <w:sz w:val="19"/>
              </w:rPr>
            </w:pPr>
          </w:p>
          <w:p>
            <w:pPr>
              <w:pStyle w:val="TableParagraph"/>
              <w:spacing w:before="0"/>
              <w:ind w:left="134"/>
              <w:jc w:val="left"/>
              <w:rPr>
                <w:rFonts w:ascii="宋体" w:eastAsia="宋体" w:hint="eastAsia"/>
                <w:b/>
                <w:sz w:val="21"/>
              </w:rPr>
            </w:pPr>
            <w:r>
              <w:rPr>
                <w:rFonts w:ascii="宋体" w:eastAsia="宋体" w:hint="eastAsia"/>
                <w:b/>
                <w:sz w:val="21"/>
              </w:rPr>
              <w:t>评价标准</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vMerge/>
            <w:tcBorders>
              <w:top w:val="nil"/>
              <w:left w:val="single" w:sz="4" w:space="0" w:color="000000"/>
              <w:bottom w:val="single" w:sz="4" w:space="0" w:color="000000"/>
              <w:right w:val="single" w:sz="4" w:space="0" w:color="000000"/>
            </w:tcBorders>
          </w:tcPr>
          <w:p>
            <w:pPr>
              <w:rPr>
                <w:sz w:val="2"/>
                <w:szCs w:val="2"/>
              </w:rPr>
            </w:pP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08" w:right="73"/>
              <w:rPr>
                <w:rFonts w:ascii="宋体" w:eastAsia="宋体" w:hint="eastAsia"/>
                <w:b/>
                <w:sz w:val="21"/>
              </w:rPr>
            </w:pPr>
            <w:r>
              <w:rPr>
                <w:rFonts w:ascii="宋体" w:eastAsia="宋体" w:hint="eastAsia"/>
                <w:b/>
                <w:sz w:val="21"/>
              </w:rPr>
              <w:t>浓度增量</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b/>
                <w:sz w:val="21"/>
              </w:rPr>
            </w:pPr>
            <w:r>
              <w:rPr>
                <w:rFonts w:ascii="宋体" w:eastAsia="宋体" w:hint="eastAsia"/>
                <w:b/>
                <w:sz w:val="21"/>
              </w:rPr>
              <w:t>出现时间</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6"/>
              <w:rPr>
                <w:rFonts w:ascii="宋体" w:eastAsia="宋体" w:hint="eastAsia"/>
                <w:b/>
                <w:sz w:val="21"/>
              </w:rPr>
            </w:pPr>
            <w:r>
              <w:rPr>
                <w:rFonts w:ascii="宋体" w:eastAsia="宋体" w:hint="eastAsia"/>
                <w:b/>
                <w:sz w:val="21"/>
              </w:rPr>
              <w:t>占标率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b/>
                <w:sz w:val="21"/>
              </w:rPr>
            </w:pPr>
            <w:r>
              <w:rPr>
                <w:rFonts w:ascii="宋体" w:eastAsia="宋体" w:hint="eastAsia"/>
                <w:b/>
                <w:sz w:val="21"/>
              </w:rPr>
              <w:t>达标情况</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68"/>
              <w:rPr>
                <w:rFonts w:ascii="宋体" w:eastAsia="宋体" w:hint="eastAsia"/>
                <w:b/>
                <w:sz w:val="21"/>
              </w:rPr>
            </w:pPr>
            <w:r>
              <w:rPr>
                <w:rFonts w:ascii="宋体" w:eastAsia="宋体" w:hint="eastAsia"/>
                <w:b/>
                <w:sz w:val="21"/>
              </w:rPr>
              <w:t>背景浓度</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5" w:right="66"/>
              <w:rPr>
                <w:rFonts w:ascii="宋体" w:eastAsia="宋体" w:hint="eastAsia"/>
                <w:b/>
                <w:sz w:val="21"/>
              </w:rPr>
            </w:pPr>
            <w:r>
              <w:rPr>
                <w:rFonts w:ascii="宋体" w:eastAsia="宋体" w:hint="eastAsia"/>
                <w:b/>
                <w:sz w:val="21"/>
              </w:rPr>
              <w:t>叠加浓度</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4"/>
              <w:ind w:left="126" w:right="83"/>
              <w:rPr>
                <w:rFonts w:ascii="宋体" w:eastAsia="宋体" w:hint="eastAsia"/>
                <w:b/>
                <w:sz w:val="21"/>
              </w:rPr>
            </w:pPr>
            <w:r>
              <w:rPr>
                <w:rFonts w:ascii="宋体" w:eastAsia="宋体" w:hint="eastAsia"/>
                <w:b/>
                <w:sz w:val="21"/>
              </w:rPr>
              <w:t>叠加后占标率</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b/>
                <w:sz w:val="21"/>
              </w:rPr>
            </w:pPr>
            <w:r>
              <w:rPr>
                <w:rFonts w:ascii="宋体" w:eastAsia="宋体" w:hint="eastAsia"/>
                <w:b/>
                <w:sz w:val="21"/>
              </w:rPr>
              <w:t>达标情况</w:t>
            </w:r>
          </w:p>
        </w:tc>
        <w:tc>
          <w:tcPr>
            <w:tcW w:w="1072" w:type="dxa"/>
            <w:vMerge/>
            <w:tcBorders>
              <w:top w:val="nil"/>
              <w:left w:val="single" w:sz="4" w:space="0" w:color="000000"/>
              <w:bottom w:val="single" w:sz="4" w:space="0" w:color="000000"/>
            </w:tcBorders>
          </w:tcPr>
          <w:p>
            <w:pPr>
              <w:rPr>
                <w:sz w:val="2"/>
                <w:szCs w:val="2"/>
              </w:rPr>
            </w:pP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3.80E-07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26</w:t>
            </w:r>
          </w:p>
        </w:tc>
        <w:tc>
          <w:tcPr>
            <w:tcW w:w="254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117" w:right="-29"/>
              <w:jc w:val="left"/>
              <w:rPr>
                <w:rFonts w:ascii="宋体" w:eastAsia="宋体" w:hint="eastAsia"/>
                <w:sz w:val="21"/>
              </w:rPr>
            </w:pPr>
            <w:r>
              <w:rPr>
                <w:rFonts w:ascii="宋体" w:eastAsia="宋体" w:hint="eastAsia"/>
                <w:spacing w:val="-8"/>
                <w:sz w:val="21"/>
              </w:rPr>
              <w:t>规划敏感点 </w:t>
            </w:r>
            <w:r>
              <w:rPr>
                <w:spacing w:val="-9"/>
                <w:sz w:val="21"/>
              </w:rPr>
              <w:t>9</w:t>
            </w:r>
            <w:r>
              <w:rPr>
                <w:rFonts w:ascii="宋体" w:eastAsia="宋体" w:hint="eastAsia"/>
                <w:spacing w:val="-9"/>
                <w:sz w:val="21"/>
              </w:rPr>
              <w:t>（</w:t>
            </w:r>
            <w:r>
              <w:rPr>
                <w:spacing w:val="-9"/>
                <w:sz w:val="21"/>
              </w:rPr>
              <w:t>1126,2099</w:t>
            </w:r>
            <w:r>
              <w:rPr>
                <w:rFonts w:ascii="宋体" w:eastAsia="宋体" w:hint="eastAsia"/>
                <w:spacing w:val="-9"/>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3.52E-05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19111705</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3.57E-06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191122</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2.90E-07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60"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27</w:t>
            </w:r>
          </w:p>
        </w:tc>
        <w:tc>
          <w:tcPr>
            <w:tcW w:w="254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4"/>
              <w:jc w:val="left"/>
              <w:rPr>
                <w:b/>
                <w:sz w:val="20"/>
              </w:rPr>
            </w:pPr>
          </w:p>
          <w:p>
            <w:pPr>
              <w:pStyle w:val="TableParagraph"/>
              <w:spacing w:before="0"/>
              <w:ind w:left="623"/>
              <w:jc w:val="left"/>
              <w:rPr>
                <w:sz w:val="21"/>
              </w:rPr>
            </w:pPr>
            <w:r>
              <w:rPr>
                <w:rFonts w:ascii="宋体" w:eastAsia="宋体" w:hint="eastAsia"/>
                <w:spacing w:val="-10"/>
                <w:sz w:val="21"/>
              </w:rPr>
              <w:t>规划敏感点 </w:t>
            </w:r>
            <w:r>
              <w:rPr>
                <w:sz w:val="21"/>
              </w:rPr>
              <w:t>10</w:t>
            </w:r>
          </w:p>
          <w:p>
            <w:pPr>
              <w:pStyle w:val="TableParagraph"/>
              <w:spacing w:before="89"/>
              <w:ind w:left="626"/>
              <w:jc w:val="left"/>
              <w:rPr>
                <w:rFonts w:ascii="宋体" w:eastAsia="宋体" w:hint="eastAsia"/>
                <w:sz w:val="21"/>
              </w:rPr>
            </w:pPr>
            <w:r>
              <w:rPr>
                <w:rFonts w:ascii="宋体" w:eastAsia="宋体" w:hint="eastAsia"/>
                <w:sz w:val="21"/>
              </w:rPr>
              <w:t>（</w:t>
            </w:r>
            <w:r>
              <w:rPr>
                <w:sz w:val="21"/>
              </w:rPr>
              <w:t>1162,2463</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5"/>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3.04E-05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19040624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5"/>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3.16E-06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190723</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2.40E-07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59"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28</w:t>
            </w:r>
          </w:p>
        </w:tc>
        <w:tc>
          <w:tcPr>
            <w:tcW w:w="2541" w:type="dxa"/>
            <w:gridSpan w:val="2"/>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61"/>
              <w:ind w:left="117"/>
              <w:jc w:val="left"/>
              <w:rPr>
                <w:rFonts w:ascii="宋体" w:eastAsia="宋体" w:hint="eastAsia"/>
                <w:sz w:val="21"/>
              </w:rPr>
            </w:pPr>
            <w:r>
              <w:rPr>
                <w:rFonts w:ascii="宋体" w:eastAsia="宋体" w:hint="eastAsia"/>
                <w:spacing w:val="-9"/>
                <w:sz w:val="21"/>
              </w:rPr>
              <w:t>规划敏感点 </w:t>
            </w:r>
            <w:r>
              <w:rPr>
                <w:spacing w:val="-3"/>
                <w:sz w:val="21"/>
              </w:rPr>
              <w:t>11</w:t>
            </w:r>
            <w:r>
              <w:rPr>
                <w:rFonts w:ascii="宋体" w:eastAsia="宋体" w:hint="eastAsia"/>
                <w:spacing w:val="-3"/>
                <w:sz w:val="21"/>
              </w:rPr>
              <w:t>（</w:t>
            </w:r>
            <w:r>
              <w:rPr>
                <w:spacing w:val="-3"/>
                <w:sz w:val="21"/>
              </w:rPr>
              <w:t>33,2313</w:t>
            </w:r>
            <w:r>
              <w:rPr>
                <w:rFonts w:ascii="宋体" w:eastAsia="宋体" w:hint="eastAsia"/>
                <w:spacing w:val="-3"/>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3.62E-05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19121424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0.01</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3.35E-06</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190524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1.30E-02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2541" w:type="dxa"/>
            <w:gridSpan w:val="2"/>
            <w:vMerge/>
            <w:tcBorders>
              <w:top w:val="nil"/>
              <w:left w:val="single" w:sz="4" w:space="0" w:color="000000"/>
              <w:bottom w:val="single" w:sz="4" w:space="0" w:color="000000"/>
              <w:right w:val="single" w:sz="4" w:space="0" w:color="000000"/>
            </w:tcBorders>
          </w:tcPr>
          <w:p>
            <w:pPr>
              <w:rPr>
                <w:sz w:val="2"/>
                <w:szCs w:val="2"/>
              </w:rPr>
            </w:pP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2.30E-07</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0.00</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7.00E-03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11.67</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60" w:hRule="atLeast"/>
        </w:trPr>
        <w:tc>
          <w:tcPr>
            <w:tcW w:w="653" w:type="dxa"/>
            <w:vMerge w:val="restart"/>
            <w:tcBorders>
              <w:top w:val="single" w:sz="4" w:space="0" w:color="000000"/>
              <w:bottom w:val="single" w:sz="4" w:space="0" w:color="000000"/>
              <w:right w:val="single" w:sz="4" w:space="0" w:color="000000"/>
            </w:tcBorders>
          </w:tcPr>
          <w:p>
            <w:pPr>
              <w:pStyle w:val="TableParagraph"/>
              <w:spacing w:before="0"/>
              <w:jc w:val="left"/>
              <w:rPr>
                <w:b/>
                <w:sz w:val="22"/>
              </w:rPr>
            </w:pPr>
          </w:p>
          <w:p>
            <w:pPr>
              <w:pStyle w:val="TableParagraph"/>
              <w:spacing w:before="175"/>
              <w:ind w:left="220"/>
              <w:jc w:val="left"/>
              <w:rPr>
                <w:sz w:val="21"/>
              </w:rPr>
            </w:pPr>
            <w:r>
              <w:rPr>
                <w:sz w:val="21"/>
              </w:rPr>
              <w:t>29</w:t>
            </w:r>
          </w:p>
        </w:tc>
        <w:tc>
          <w:tcPr>
            <w:tcW w:w="799"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0"/>
              <w:jc w:val="left"/>
              <w:rPr>
                <w:b/>
                <w:sz w:val="20"/>
              </w:rPr>
            </w:pPr>
          </w:p>
          <w:p>
            <w:pPr>
              <w:pStyle w:val="TableParagraph"/>
              <w:spacing w:before="0"/>
              <w:jc w:val="left"/>
              <w:rPr>
                <w:b/>
                <w:sz w:val="16"/>
              </w:rPr>
            </w:pPr>
          </w:p>
          <w:p>
            <w:pPr>
              <w:pStyle w:val="TableParagraph"/>
              <w:spacing w:before="0"/>
              <w:ind w:left="199"/>
              <w:jc w:val="left"/>
              <w:rPr>
                <w:rFonts w:ascii="宋体" w:eastAsia="宋体" w:hint="eastAsia"/>
                <w:sz w:val="21"/>
              </w:rPr>
            </w:pPr>
            <w:r>
              <w:rPr>
                <w:rFonts w:ascii="宋体" w:eastAsia="宋体" w:hint="eastAsia"/>
                <w:sz w:val="21"/>
              </w:rPr>
              <w:t>网格</w:t>
            </w: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99"/>
              <w:rPr>
                <w:rFonts w:ascii="宋体" w:eastAsia="宋体" w:hint="eastAsia"/>
                <w:sz w:val="21"/>
              </w:rPr>
            </w:pPr>
            <w:r>
              <w:rPr>
                <w:rFonts w:ascii="宋体" w:eastAsia="宋体" w:hint="eastAsia"/>
                <w:sz w:val="21"/>
              </w:rPr>
              <w:t>（</w:t>
            </w:r>
            <w:r>
              <w:rPr>
                <w:sz w:val="21"/>
              </w:rPr>
              <w:t>0,150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1.31E-03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19071624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5.00E-01</w:t>
            </w:r>
          </w:p>
        </w:tc>
      </w:tr>
      <w:tr>
        <w:trPr>
          <w:trHeight w:val="357" w:hRule="atLeast"/>
        </w:trPr>
        <w:tc>
          <w:tcPr>
            <w:tcW w:w="653" w:type="dxa"/>
            <w:vMerge/>
            <w:tcBorders>
              <w:top w:val="nil"/>
              <w:bottom w:val="single" w:sz="4" w:space="0" w:color="000000"/>
              <w:right w:val="single" w:sz="4" w:space="0" w:color="000000"/>
            </w:tcBorders>
          </w:tcPr>
          <w:p>
            <w:pPr>
              <w:rPr>
                <w:sz w:val="2"/>
                <w:szCs w:val="2"/>
              </w:rPr>
            </w:pPr>
          </w:p>
        </w:tc>
        <w:tc>
          <w:tcPr>
            <w:tcW w:w="799" w:type="dxa"/>
            <w:vMerge/>
            <w:tcBorders>
              <w:top w:val="nil"/>
              <w:left w:val="single" w:sz="4" w:space="0" w:color="000000"/>
              <w:bottom w:val="single" w:sz="4" w:space="0" w:color="000000"/>
              <w:right w:val="single" w:sz="4" w:space="0" w:color="000000"/>
            </w:tcBorders>
          </w:tcPr>
          <w:p>
            <w:pPr>
              <w:rPr>
                <w:sz w:val="2"/>
                <w:szCs w:val="2"/>
              </w:rPr>
            </w:pP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99"/>
              <w:rPr>
                <w:rFonts w:ascii="宋体" w:eastAsia="宋体" w:hint="eastAsia"/>
                <w:sz w:val="21"/>
              </w:rPr>
            </w:pPr>
            <w:r>
              <w:rPr>
                <w:rFonts w:ascii="宋体" w:eastAsia="宋体" w:hint="eastAsia"/>
                <w:sz w:val="21"/>
              </w:rPr>
              <w:t>（</w:t>
            </w:r>
            <w:r>
              <w:rPr>
                <w:sz w:val="21"/>
              </w:rPr>
              <w:t>0,150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1.75E-04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0" w:right="70"/>
              <w:rPr>
                <w:sz w:val="21"/>
              </w:rPr>
            </w:pPr>
            <w:r>
              <w:rPr>
                <w:sz w:val="21"/>
              </w:rPr>
              <w:t>190524</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0.12</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1.32E-02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2"/>
              <w:rPr>
                <w:sz w:val="21"/>
              </w:rPr>
            </w:pPr>
            <w:r>
              <w:rPr>
                <w:sz w:val="21"/>
              </w:rPr>
              <w:t>8.78</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1.50E-01</w:t>
            </w:r>
          </w:p>
        </w:tc>
      </w:tr>
      <w:tr>
        <w:trPr>
          <w:trHeight w:val="359" w:hRule="atLeast"/>
        </w:trPr>
        <w:tc>
          <w:tcPr>
            <w:tcW w:w="653" w:type="dxa"/>
            <w:vMerge/>
            <w:tcBorders>
              <w:top w:val="nil"/>
              <w:bottom w:val="single" w:sz="4" w:space="0" w:color="000000"/>
              <w:right w:val="single" w:sz="4" w:space="0" w:color="000000"/>
            </w:tcBorders>
          </w:tcPr>
          <w:p>
            <w:pPr>
              <w:rPr>
                <w:sz w:val="2"/>
                <w:szCs w:val="2"/>
              </w:rPr>
            </w:pPr>
          </w:p>
        </w:tc>
        <w:tc>
          <w:tcPr>
            <w:tcW w:w="799" w:type="dxa"/>
            <w:vMerge/>
            <w:tcBorders>
              <w:top w:val="nil"/>
              <w:left w:val="single" w:sz="4" w:space="0" w:color="000000"/>
              <w:bottom w:val="single" w:sz="4" w:space="0" w:color="000000"/>
              <w:right w:val="single" w:sz="4" w:space="0" w:color="000000"/>
            </w:tcBorders>
          </w:tcPr>
          <w:p>
            <w:pPr>
              <w:rPr>
                <w:sz w:val="2"/>
                <w:szCs w:val="2"/>
              </w:rPr>
            </w:pP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101"/>
              <w:rPr>
                <w:rFonts w:ascii="宋体" w:eastAsia="宋体" w:hint="eastAsia"/>
                <w:sz w:val="21"/>
              </w:rPr>
            </w:pPr>
            <w:r>
              <w:rPr>
                <w:rFonts w:ascii="宋体" w:eastAsia="宋体" w:hint="eastAsia"/>
                <w:sz w:val="21"/>
              </w:rPr>
              <w:t>（</w:t>
            </w:r>
            <w:r>
              <w:rPr>
                <w:sz w:val="21"/>
              </w:rPr>
              <w:t>-150,50</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3.08E-05</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0.05</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13" w:right="68"/>
              <w:rPr>
                <w:sz w:val="21"/>
              </w:rPr>
            </w:pPr>
            <w:r>
              <w:rPr>
                <w:sz w:val="21"/>
              </w:rPr>
              <w:t>7.00E-03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15" w:right="66"/>
              <w:rPr>
                <w:sz w:val="21"/>
              </w:rPr>
            </w:pPr>
            <w:r>
              <w:rPr>
                <w:sz w:val="21"/>
              </w:rPr>
              <w:t>7.03E-03</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126" w:right="80"/>
              <w:rPr>
                <w:sz w:val="21"/>
              </w:rPr>
            </w:pPr>
            <w:r>
              <w:rPr>
                <w:sz w:val="21"/>
              </w:rPr>
              <w:t>11.72</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4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6.00E-02</w:t>
            </w:r>
          </w:p>
        </w:tc>
      </w:tr>
      <w:tr>
        <w:trPr>
          <w:trHeight w:val="349" w:hRule="atLeast"/>
        </w:trPr>
        <w:tc>
          <w:tcPr>
            <w:tcW w:w="653" w:type="dxa"/>
            <w:vMerge w:val="restart"/>
            <w:tcBorders>
              <w:top w:val="single" w:sz="4" w:space="0" w:color="000000"/>
              <w:right w:val="single" w:sz="4" w:space="0" w:color="000000"/>
            </w:tcBorders>
          </w:tcPr>
          <w:p>
            <w:pPr>
              <w:pStyle w:val="TableParagraph"/>
              <w:spacing w:before="0"/>
              <w:jc w:val="left"/>
              <w:rPr>
                <w:b/>
                <w:sz w:val="22"/>
              </w:rPr>
            </w:pPr>
          </w:p>
          <w:p>
            <w:pPr>
              <w:pStyle w:val="TableParagraph"/>
              <w:spacing w:before="174"/>
              <w:ind w:left="220"/>
              <w:jc w:val="left"/>
              <w:rPr>
                <w:sz w:val="21"/>
              </w:rPr>
            </w:pPr>
            <w:r>
              <w:rPr>
                <w:sz w:val="21"/>
              </w:rPr>
              <w:t>30</w:t>
            </w:r>
          </w:p>
        </w:tc>
        <w:tc>
          <w:tcPr>
            <w:tcW w:w="799" w:type="dxa"/>
            <w:vMerge w:val="restart"/>
            <w:tcBorders>
              <w:top w:val="single" w:sz="4" w:space="0" w:color="000000"/>
              <w:left w:val="single" w:sz="4" w:space="0" w:color="000000"/>
              <w:right w:val="single" w:sz="4" w:space="0" w:color="000000"/>
            </w:tcBorders>
          </w:tcPr>
          <w:p>
            <w:pPr>
              <w:pStyle w:val="TableParagraph"/>
              <w:spacing w:before="0"/>
              <w:jc w:val="left"/>
              <w:rPr>
                <w:b/>
                <w:sz w:val="20"/>
              </w:rPr>
            </w:pPr>
          </w:p>
          <w:p>
            <w:pPr>
              <w:pStyle w:val="TableParagraph"/>
              <w:spacing w:before="11"/>
              <w:jc w:val="left"/>
              <w:rPr>
                <w:b/>
                <w:sz w:val="15"/>
              </w:rPr>
            </w:pPr>
          </w:p>
          <w:p>
            <w:pPr>
              <w:pStyle w:val="TableParagraph"/>
              <w:spacing w:before="0"/>
              <w:ind w:left="199"/>
              <w:jc w:val="left"/>
              <w:rPr>
                <w:rFonts w:ascii="宋体" w:eastAsia="宋体" w:hint="eastAsia"/>
                <w:sz w:val="21"/>
              </w:rPr>
            </w:pPr>
            <w:r>
              <w:rPr>
                <w:rFonts w:ascii="宋体" w:eastAsia="宋体" w:hint="eastAsia"/>
                <w:sz w:val="21"/>
              </w:rPr>
              <w:t>厂界</w:t>
            </w: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44"/>
              <w:ind w:left="131" w:right="101"/>
              <w:rPr>
                <w:rFonts w:ascii="宋体" w:eastAsia="宋体" w:hint="eastAsia"/>
                <w:sz w:val="21"/>
              </w:rPr>
            </w:pPr>
            <w:r>
              <w:rPr>
                <w:rFonts w:ascii="宋体" w:eastAsia="宋体" w:hint="eastAsia"/>
                <w:sz w:val="21"/>
              </w:rPr>
              <w:t>（</w:t>
            </w:r>
            <w:r>
              <w:rPr>
                <w:sz w:val="21"/>
              </w:rPr>
              <w:t>39,-66</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44"/>
              <w:ind w:left="216"/>
              <w:jc w:val="left"/>
              <w:rPr>
                <w:rFonts w:ascii="宋体" w:eastAsia="宋体" w:hint="eastAsia"/>
                <w:sz w:val="21"/>
              </w:rPr>
            </w:pPr>
            <w:r>
              <w:rPr>
                <w:sz w:val="21"/>
              </w:rPr>
              <w:t>1 </w:t>
            </w:r>
            <w:r>
              <w:rPr>
                <w:rFonts w:ascii="宋体" w:eastAsia="宋体" w:hint="eastAsia"/>
                <w:sz w:val="21"/>
              </w:rPr>
              <w:t>小时</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108" w:right="73"/>
              <w:rPr>
                <w:sz w:val="21"/>
              </w:rPr>
            </w:pPr>
            <w:r>
              <w:rPr>
                <w:sz w:val="21"/>
              </w:rPr>
              <w:t>1.03E-03</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107" w:right="70"/>
              <w:rPr>
                <w:sz w:val="21"/>
              </w:rPr>
            </w:pPr>
            <w:r>
              <w:rPr>
                <w:sz w:val="21"/>
              </w:rPr>
              <w:t>19020619</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ind w:left="110" w:right="76"/>
              <w:rPr>
                <w:sz w:val="21"/>
              </w:rPr>
            </w:pPr>
            <w:r>
              <w:rPr>
                <w:sz w:val="21"/>
              </w:rPr>
              <w:t>0.26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ind w:left="41"/>
              <w:rPr>
                <w:sz w:val="21"/>
              </w:rPr>
            </w:pPr>
            <w:r>
              <w:rPr>
                <w:w w:val="100"/>
                <w:sz w:val="21"/>
              </w:rPr>
              <w:t>/</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ind w:left="45"/>
              <w:rPr>
                <w:sz w:val="21"/>
              </w:rPr>
            </w:pPr>
            <w:r>
              <w:rPr>
                <w:w w:val="100"/>
                <w:sz w:val="21"/>
              </w:rPr>
              <w:t>/</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ind w:left="48"/>
              <w:rPr>
                <w:sz w:val="21"/>
              </w:rPr>
            </w:pPr>
            <w:r>
              <w:rPr>
                <w:w w:val="100"/>
                <w:sz w:val="21"/>
              </w:rPr>
              <w:t>/</w:t>
            </w:r>
          </w:p>
        </w:tc>
        <w:tc>
          <w:tcPr>
            <w:tcW w:w="1072" w:type="dxa"/>
            <w:tcBorders>
              <w:top w:val="single" w:sz="4" w:space="0" w:color="000000"/>
              <w:left w:val="single" w:sz="4" w:space="0" w:color="000000"/>
              <w:bottom w:val="single" w:sz="4" w:space="0" w:color="000000"/>
            </w:tcBorders>
          </w:tcPr>
          <w:p>
            <w:pPr>
              <w:pStyle w:val="TableParagraph"/>
              <w:ind w:left="148" w:right="87"/>
              <w:rPr>
                <w:sz w:val="21"/>
              </w:rPr>
            </w:pPr>
            <w:r>
              <w:rPr>
                <w:sz w:val="21"/>
              </w:rPr>
              <w:t>4.00E-01</w:t>
            </w:r>
          </w:p>
        </w:tc>
      </w:tr>
      <w:tr>
        <w:trPr>
          <w:trHeight w:val="337" w:hRule="atLeast"/>
        </w:trPr>
        <w:tc>
          <w:tcPr>
            <w:tcW w:w="653" w:type="dxa"/>
            <w:vMerge/>
            <w:tcBorders>
              <w:top w:val="nil"/>
              <w:right w:val="single" w:sz="4" w:space="0" w:color="000000"/>
            </w:tcBorders>
          </w:tcPr>
          <w:p>
            <w:pPr>
              <w:rPr>
                <w:sz w:val="2"/>
                <w:szCs w:val="2"/>
              </w:rPr>
            </w:pPr>
          </w:p>
        </w:tc>
        <w:tc>
          <w:tcPr>
            <w:tcW w:w="799" w:type="dxa"/>
            <w:vMerge/>
            <w:tcBorders>
              <w:top w:val="nil"/>
              <w:left w:val="single" w:sz="4" w:space="0" w:color="000000"/>
              <w:right w:val="single" w:sz="4" w:space="0" w:color="000000"/>
            </w:tcBorders>
          </w:tcPr>
          <w:p>
            <w:pPr>
              <w:rPr>
                <w:sz w:val="2"/>
                <w:szCs w:val="2"/>
              </w:rPr>
            </w:pPr>
          </w:p>
        </w:tc>
        <w:tc>
          <w:tcPr>
            <w:tcW w:w="1742" w:type="dxa"/>
            <w:tcBorders>
              <w:top w:val="single" w:sz="4" w:space="0" w:color="000000"/>
              <w:left w:val="single" w:sz="4" w:space="0" w:color="000000"/>
              <w:bottom w:val="single" w:sz="4" w:space="0" w:color="000000"/>
              <w:right w:val="single" w:sz="4" w:space="0" w:color="000000"/>
            </w:tcBorders>
          </w:tcPr>
          <w:p>
            <w:pPr>
              <w:pStyle w:val="TableParagraph"/>
              <w:spacing w:before="34"/>
              <w:ind w:left="131" w:right="99"/>
              <w:rPr>
                <w:rFonts w:ascii="宋体" w:eastAsia="宋体" w:hint="eastAsia"/>
                <w:sz w:val="21"/>
              </w:rPr>
            </w:pPr>
            <w:r>
              <w:rPr>
                <w:rFonts w:ascii="宋体" w:eastAsia="宋体" w:hint="eastAsia"/>
                <w:sz w:val="21"/>
              </w:rPr>
              <w:t>（</w:t>
            </w:r>
            <w:r>
              <w:rPr>
                <w:sz w:val="21"/>
              </w:rPr>
              <w:t>29,95</w:t>
            </w:r>
            <w:r>
              <w:rPr>
                <w:rFonts w:ascii="宋体" w:eastAsia="宋体" w:hint="eastAsia"/>
                <w:sz w:val="21"/>
              </w:rPr>
              <w:t>）</w:t>
            </w:r>
          </w:p>
        </w:tc>
        <w:tc>
          <w:tcPr>
            <w:tcW w:w="991" w:type="dxa"/>
            <w:tcBorders>
              <w:top w:val="single" w:sz="4" w:space="0" w:color="000000"/>
              <w:left w:val="single" w:sz="4" w:space="0" w:color="000000"/>
              <w:bottom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日平均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8"/>
              <w:ind w:left="108" w:right="73"/>
              <w:rPr>
                <w:sz w:val="21"/>
              </w:rPr>
            </w:pPr>
            <w:r>
              <w:rPr>
                <w:sz w:val="21"/>
              </w:rPr>
              <w:t>2.41E-04</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8"/>
              <w:ind w:left="110" w:right="70"/>
              <w:rPr>
                <w:sz w:val="21"/>
              </w:rPr>
            </w:pPr>
            <w:r>
              <w:rPr>
                <w:sz w:val="21"/>
              </w:rPr>
              <w:t>191201</w:t>
            </w:r>
          </w:p>
        </w:tc>
        <w:tc>
          <w:tcPr>
            <w:tcW w:w="870" w:type="dxa"/>
            <w:tcBorders>
              <w:top w:val="single" w:sz="4" w:space="0" w:color="000000"/>
              <w:left w:val="single" w:sz="4" w:space="0" w:color="000000"/>
              <w:bottom w:val="single" w:sz="4" w:space="0" w:color="000000"/>
              <w:right w:val="single" w:sz="4" w:space="0" w:color="000000"/>
            </w:tcBorders>
          </w:tcPr>
          <w:p>
            <w:pPr>
              <w:pStyle w:val="TableParagraph"/>
              <w:spacing w:before="48"/>
              <w:ind w:left="110" w:right="76"/>
              <w:rPr>
                <w:sz w:val="21"/>
              </w:rPr>
            </w:pPr>
            <w:r>
              <w:rPr>
                <w:sz w:val="21"/>
              </w:rPr>
              <w:t>0.06</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bottom w:val="single" w:sz="4" w:space="0" w:color="000000"/>
              <w:right w:val="single" w:sz="4" w:space="0" w:color="000000"/>
            </w:tcBorders>
          </w:tcPr>
          <w:p>
            <w:pPr>
              <w:pStyle w:val="TableParagraph"/>
              <w:spacing w:before="48"/>
              <w:ind w:left="113" w:right="68"/>
              <w:rPr>
                <w:sz w:val="21"/>
              </w:rPr>
            </w:pPr>
            <w:r>
              <w:rPr>
                <w:sz w:val="21"/>
              </w:rPr>
              <w:t>1.30E-02</w:t>
            </w:r>
          </w:p>
        </w:tc>
        <w:tc>
          <w:tcPr>
            <w:tcW w:w="1084" w:type="dxa"/>
            <w:tcBorders>
              <w:top w:val="single" w:sz="4" w:space="0" w:color="000000"/>
              <w:left w:val="single" w:sz="4" w:space="0" w:color="000000"/>
              <w:bottom w:val="single" w:sz="4" w:space="0" w:color="000000"/>
              <w:right w:val="single" w:sz="4" w:space="0" w:color="000000"/>
            </w:tcBorders>
          </w:tcPr>
          <w:p>
            <w:pPr>
              <w:pStyle w:val="TableParagraph"/>
              <w:spacing w:before="48"/>
              <w:ind w:left="115" w:right="66"/>
              <w:rPr>
                <w:sz w:val="21"/>
              </w:rPr>
            </w:pPr>
            <w:r>
              <w:rPr>
                <w:sz w:val="21"/>
              </w:rPr>
              <w:t>1.32E-02</w:t>
            </w:r>
          </w:p>
        </w:tc>
        <w:tc>
          <w:tcPr>
            <w:tcW w:w="1524" w:type="dxa"/>
            <w:tcBorders>
              <w:top w:val="single" w:sz="4" w:space="0" w:color="000000"/>
              <w:left w:val="single" w:sz="4" w:space="0" w:color="000000"/>
              <w:bottom w:val="single" w:sz="4" w:space="0" w:color="000000"/>
              <w:right w:val="single" w:sz="4" w:space="0" w:color="000000"/>
            </w:tcBorders>
          </w:tcPr>
          <w:p>
            <w:pPr>
              <w:pStyle w:val="TableParagraph"/>
              <w:spacing w:before="48"/>
              <w:ind w:left="126" w:right="82"/>
              <w:rPr>
                <w:sz w:val="21"/>
              </w:rPr>
            </w:pPr>
            <w:r>
              <w:rPr>
                <w:sz w:val="21"/>
              </w:rPr>
              <w:t>3.30</w:t>
            </w:r>
          </w:p>
        </w:tc>
        <w:tc>
          <w:tcPr>
            <w:tcW w:w="1089" w:type="dxa"/>
            <w:tcBorders>
              <w:top w:val="single" w:sz="4" w:space="0" w:color="000000"/>
              <w:left w:val="single" w:sz="4" w:space="0" w:color="000000"/>
              <w:bottom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bottom w:val="single" w:sz="4" w:space="0" w:color="000000"/>
            </w:tcBorders>
          </w:tcPr>
          <w:p>
            <w:pPr>
              <w:pStyle w:val="TableParagraph"/>
              <w:spacing w:before="48"/>
              <w:ind w:left="148" w:right="87"/>
              <w:rPr>
                <w:sz w:val="21"/>
              </w:rPr>
            </w:pPr>
            <w:r>
              <w:rPr>
                <w:sz w:val="21"/>
              </w:rPr>
              <w:t>4.00E-01</w:t>
            </w:r>
          </w:p>
        </w:tc>
      </w:tr>
      <w:tr>
        <w:trPr>
          <w:trHeight w:val="349" w:hRule="atLeast"/>
        </w:trPr>
        <w:tc>
          <w:tcPr>
            <w:tcW w:w="653" w:type="dxa"/>
            <w:vMerge/>
            <w:tcBorders>
              <w:top w:val="nil"/>
              <w:right w:val="single" w:sz="4" w:space="0" w:color="000000"/>
            </w:tcBorders>
          </w:tcPr>
          <w:p>
            <w:pPr>
              <w:rPr>
                <w:sz w:val="2"/>
                <w:szCs w:val="2"/>
              </w:rPr>
            </w:pPr>
          </w:p>
        </w:tc>
        <w:tc>
          <w:tcPr>
            <w:tcW w:w="799" w:type="dxa"/>
            <w:vMerge/>
            <w:tcBorders>
              <w:top w:val="nil"/>
              <w:left w:val="single" w:sz="4" w:space="0" w:color="000000"/>
              <w:right w:val="single" w:sz="4" w:space="0" w:color="000000"/>
            </w:tcBorders>
          </w:tcPr>
          <w:p>
            <w:pPr>
              <w:rPr>
                <w:sz w:val="2"/>
                <w:szCs w:val="2"/>
              </w:rPr>
            </w:pPr>
          </w:p>
        </w:tc>
        <w:tc>
          <w:tcPr>
            <w:tcW w:w="1742" w:type="dxa"/>
            <w:tcBorders>
              <w:top w:val="single" w:sz="4" w:space="0" w:color="000000"/>
              <w:left w:val="single" w:sz="4" w:space="0" w:color="000000"/>
              <w:right w:val="single" w:sz="4" w:space="0" w:color="000000"/>
            </w:tcBorders>
          </w:tcPr>
          <w:p>
            <w:pPr>
              <w:pStyle w:val="TableParagraph"/>
              <w:spacing w:before="34"/>
              <w:ind w:left="131" w:right="101"/>
              <w:rPr>
                <w:rFonts w:ascii="宋体" w:eastAsia="宋体" w:hint="eastAsia"/>
                <w:sz w:val="21"/>
              </w:rPr>
            </w:pPr>
            <w:r>
              <w:rPr>
                <w:rFonts w:ascii="宋体" w:eastAsia="宋体" w:hint="eastAsia"/>
                <w:sz w:val="21"/>
              </w:rPr>
              <w:t>（</w:t>
            </w:r>
            <w:r>
              <w:rPr>
                <w:sz w:val="21"/>
              </w:rPr>
              <w:t>-123,70</w:t>
            </w:r>
            <w:r>
              <w:rPr>
                <w:rFonts w:ascii="宋体" w:eastAsia="宋体" w:hint="eastAsia"/>
                <w:sz w:val="21"/>
              </w:rPr>
              <w:t>）</w:t>
            </w:r>
          </w:p>
        </w:tc>
        <w:tc>
          <w:tcPr>
            <w:tcW w:w="991" w:type="dxa"/>
            <w:tcBorders>
              <w:top w:val="single" w:sz="4" w:space="0" w:color="000000"/>
              <w:left w:val="single" w:sz="4" w:space="0" w:color="000000"/>
              <w:right w:val="single" w:sz="4" w:space="0" w:color="000000"/>
            </w:tcBorders>
          </w:tcPr>
          <w:p>
            <w:pPr>
              <w:pStyle w:val="TableParagraph"/>
              <w:spacing w:before="34"/>
              <w:ind w:left="190"/>
              <w:jc w:val="left"/>
              <w:rPr>
                <w:rFonts w:ascii="宋体" w:eastAsia="宋体" w:hint="eastAsia"/>
                <w:sz w:val="21"/>
              </w:rPr>
            </w:pPr>
            <w:r>
              <w:rPr>
                <w:rFonts w:ascii="宋体" w:eastAsia="宋体" w:hint="eastAsia"/>
                <w:sz w:val="21"/>
              </w:rPr>
              <w:t>年平均</w:t>
            </w:r>
          </w:p>
        </w:tc>
        <w:tc>
          <w:tcPr>
            <w:tcW w:w="1086" w:type="dxa"/>
            <w:tcBorders>
              <w:top w:val="single" w:sz="4" w:space="0" w:color="000000"/>
              <w:left w:val="single" w:sz="4" w:space="0" w:color="000000"/>
              <w:right w:val="single" w:sz="4" w:space="0" w:color="000000"/>
            </w:tcBorders>
          </w:tcPr>
          <w:p>
            <w:pPr>
              <w:pStyle w:val="TableParagraph"/>
              <w:spacing w:before="48"/>
              <w:ind w:left="108" w:right="73"/>
              <w:rPr>
                <w:sz w:val="21"/>
              </w:rPr>
            </w:pPr>
            <w:r>
              <w:rPr>
                <w:sz w:val="21"/>
              </w:rPr>
              <w:t>3.54E-05</w:t>
            </w:r>
          </w:p>
        </w:tc>
        <w:tc>
          <w:tcPr>
            <w:tcW w:w="1084" w:type="dxa"/>
            <w:tcBorders>
              <w:top w:val="single" w:sz="4" w:space="0" w:color="000000"/>
              <w:left w:val="single" w:sz="4" w:space="0" w:color="000000"/>
              <w:right w:val="single" w:sz="4" w:space="0" w:color="000000"/>
            </w:tcBorders>
          </w:tcPr>
          <w:p>
            <w:pPr>
              <w:pStyle w:val="TableParagraph"/>
              <w:spacing w:before="34"/>
              <w:ind w:left="110" w:right="70"/>
              <w:rPr>
                <w:rFonts w:ascii="宋体" w:eastAsia="宋体" w:hint="eastAsia"/>
                <w:sz w:val="21"/>
              </w:rPr>
            </w:pPr>
            <w:r>
              <w:rPr>
                <w:rFonts w:ascii="宋体" w:eastAsia="宋体" w:hint="eastAsia"/>
                <w:sz w:val="21"/>
              </w:rPr>
              <w:t>平均值</w:t>
            </w:r>
          </w:p>
        </w:tc>
        <w:tc>
          <w:tcPr>
            <w:tcW w:w="870" w:type="dxa"/>
            <w:tcBorders>
              <w:top w:val="single" w:sz="4" w:space="0" w:color="000000"/>
              <w:left w:val="single" w:sz="4" w:space="0" w:color="000000"/>
              <w:right w:val="single" w:sz="4" w:space="0" w:color="000000"/>
            </w:tcBorders>
          </w:tcPr>
          <w:p>
            <w:pPr>
              <w:pStyle w:val="TableParagraph"/>
              <w:spacing w:before="48"/>
              <w:ind w:left="110" w:right="76"/>
              <w:rPr>
                <w:sz w:val="21"/>
              </w:rPr>
            </w:pPr>
            <w:r>
              <w:rPr>
                <w:sz w:val="21"/>
              </w:rPr>
              <w:t>0.01</w:t>
            </w:r>
          </w:p>
        </w:tc>
        <w:tc>
          <w:tcPr>
            <w:tcW w:w="1086" w:type="dxa"/>
            <w:tcBorders>
              <w:top w:val="single" w:sz="4" w:space="0" w:color="000000"/>
              <w:left w:val="single" w:sz="4" w:space="0" w:color="000000"/>
              <w:right w:val="single" w:sz="4" w:space="0" w:color="000000"/>
            </w:tcBorders>
          </w:tcPr>
          <w:p>
            <w:pPr>
              <w:pStyle w:val="TableParagraph"/>
              <w:spacing w:before="34"/>
              <w:ind w:left="113" w:right="71"/>
              <w:rPr>
                <w:rFonts w:ascii="宋体" w:eastAsia="宋体" w:hint="eastAsia"/>
                <w:sz w:val="21"/>
              </w:rPr>
            </w:pPr>
            <w:r>
              <w:rPr>
                <w:rFonts w:ascii="宋体" w:eastAsia="宋体" w:hint="eastAsia"/>
                <w:sz w:val="21"/>
              </w:rPr>
              <w:t>达标</w:t>
            </w:r>
          </w:p>
        </w:tc>
        <w:tc>
          <w:tcPr>
            <w:tcW w:w="1086" w:type="dxa"/>
            <w:tcBorders>
              <w:top w:val="single" w:sz="4" w:space="0" w:color="000000"/>
              <w:left w:val="single" w:sz="4" w:space="0" w:color="000000"/>
              <w:right w:val="single" w:sz="4" w:space="0" w:color="000000"/>
            </w:tcBorders>
          </w:tcPr>
          <w:p>
            <w:pPr>
              <w:pStyle w:val="TableParagraph"/>
              <w:spacing w:before="48"/>
              <w:ind w:left="113" w:right="68"/>
              <w:rPr>
                <w:sz w:val="21"/>
              </w:rPr>
            </w:pPr>
            <w:r>
              <w:rPr>
                <w:sz w:val="21"/>
              </w:rPr>
              <w:t>7.00E-03</w:t>
            </w:r>
          </w:p>
        </w:tc>
        <w:tc>
          <w:tcPr>
            <w:tcW w:w="1084" w:type="dxa"/>
            <w:tcBorders>
              <w:top w:val="single" w:sz="4" w:space="0" w:color="000000"/>
              <w:left w:val="single" w:sz="4" w:space="0" w:color="000000"/>
              <w:right w:val="single" w:sz="4" w:space="0" w:color="000000"/>
            </w:tcBorders>
          </w:tcPr>
          <w:p>
            <w:pPr>
              <w:pStyle w:val="TableParagraph"/>
              <w:spacing w:before="48"/>
              <w:ind w:left="115" w:right="66"/>
              <w:rPr>
                <w:sz w:val="21"/>
              </w:rPr>
            </w:pPr>
            <w:r>
              <w:rPr>
                <w:sz w:val="21"/>
              </w:rPr>
              <w:t>7.04E-03</w:t>
            </w:r>
          </w:p>
        </w:tc>
        <w:tc>
          <w:tcPr>
            <w:tcW w:w="1524" w:type="dxa"/>
            <w:tcBorders>
              <w:top w:val="single" w:sz="4" w:space="0" w:color="000000"/>
              <w:left w:val="single" w:sz="4" w:space="0" w:color="000000"/>
              <w:right w:val="single" w:sz="4" w:space="0" w:color="000000"/>
            </w:tcBorders>
          </w:tcPr>
          <w:p>
            <w:pPr>
              <w:pStyle w:val="TableParagraph"/>
              <w:spacing w:before="48"/>
              <w:ind w:left="126" w:right="82"/>
              <w:rPr>
                <w:sz w:val="21"/>
              </w:rPr>
            </w:pPr>
            <w:r>
              <w:rPr>
                <w:sz w:val="21"/>
              </w:rPr>
              <w:t>1.76</w:t>
            </w:r>
          </w:p>
        </w:tc>
        <w:tc>
          <w:tcPr>
            <w:tcW w:w="1089" w:type="dxa"/>
            <w:tcBorders>
              <w:top w:val="single" w:sz="4" w:space="0" w:color="000000"/>
              <w:left w:val="single" w:sz="4" w:space="0" w:color="000000"/>
              <w:right w:val="single" w:sz="4" w:space="0" w:color="000000"/>
            </w:tcBorders>
          </w:tcPr>
          <w:p>
            <w:pPr>
              <w:pStyle w:val="TableParagraph"/>
              <w:spacing w:before="34"/>
              <w:ind w:left="123" w:right="71"/>
              <w:rPr>
                <w:rFonts w:ascii="宋体" w:eastAsia="宋体" w:hint="eastAsia"/>
                <w:sz w:val="21"/>
              </w:rPr>
            </w:pPr>
            <w:r>
              <w:rPr>
                <w:rFonts w:ascii="宋体" w:eastAsia="宋体" w:hint="eastAsia"/>
                <w:sz w:val="21"/>
              </w:rPr>
              <w:t>达标</w:t>
            </w:r>
          </w:p>
        </w:tc>
        <w:tc>
          <w:tcPr>
            <w:tcW w:w="1072" w:type="dxa"/>
            <w:tcBorders>
              <w:top w:val="single" w:sz="4" w:space="0" w:color="000000"/>
              <w:left w:val="single" w:sz="4" w:space="0" w:color="000000"/>
            </w:tcBorders>
          </w:tcPr>
          <w:p>
            <w:pPr>
              <w:pStyle w:val="TableParagraph"/>
              <w:spacing w:before="48"/>
              <w:ind w:left="148" w:right="87"/>
              <w:rPr>
                <w:sz w:val="21"/>
              </w:rPr>
            </w:pPr>
            <w:r>
              <w:rPr>
                <w:sz w:val="21"/>
              </w:rPr>
              <w:t>4.00E-01</w:t>
            </w:r>
          </w:p>
        </w:tc>
      </w:tr>
    </w:tbl>
    <w:p>
      <w:pPr>
        <w:spacing w:after="0"/>
        <w:rPr>
          <w:sz w:val="21"/>
        </w:rPr>
        <w:sectPr>
          <w:pgSz w:w="16840" w:h="11910" w:orient="landscape"/>
          <w:pgMar w:header="588" w:footer="630" w:top="840" w:bottom="820" w:left="1200" w:right="1200"/>
        </w:sectPr>
      </w:pPr>
    </w:p>
    <w:p>
      <w:pPr>
        <w:pStyle w:val="ListParagraph"/>
        <w:numPr>
          <w:ilvl w:val="0"/>
          <w:numId w:val="75"/>
        </w:numPr>
        <w:tabs>
          <w:tab w:pos="1082" w:val="left" w:leader="none"/>
        </w:tabs>
        <w:spacing w:line="240" w:lineRule="auto" w:before="92" w:after="0"/>
        <w:ind w:left="1081" w:right="0" w:hanging="363"/>
        <w:jc w:val="left"/>
        <w:rPr>
          <w:b/>
          <w:sz w:val="24"/>
        </w:rPr>
      </w:pPr>
      <w:r>
        <w:rPr>
          <w:b/>
          <w:sz w:val="24"/>
        </w:rPr>
        <w:t>非正常工况下预测结果分析</w:t>
      </w:r>
    </w:p>
    <w:p>
      <w:pPr>
        <w:pStyle w:val="BodyText"/>
        <w:spacing w:line="364" w:lineRule="auto" w:before="160"/>
        <w:ind w:right="248" w:firstLine="480"/>
        <w:jc w:val="both"/>
      </w:pPr>
      <w:r>
        <w:rPr/>
        <w:t>本项目主要污染物为臭气，尤以无组织排放影响较大，因此本环评非正常排放主要</w:t>
      </w:r>
      <w:r>
        <w:rPr>
          <w:spacing w:val="-2"/>
        </w:rPr>
        <w:t>考虑各类猪舍除臭系统非正常运行</w:t>
      </w:r>
      <w:r>
        <w:rPr/>
        <w:t>（</w:t>
      </w:r>
      <w:r>
        <w:rPr>
          <w:spacing w:val="-9"/>
        </w:rPr>
        <w:t>除臭效率下降 </w:t>
      </w:r>
      <w:r>
        <w:rPr>
          <w:rFonts w:ascii="Times New Roman" w:eastAsia="Times New Roman"/>
          <w:spacing w:val="-6"/>
        </w:rPr>
        <w:t>70%</w:t>
      </w:r>
      <w:r>
        <w:rPr>
          <w:spacing w:val="-6"/>
        </w:rPr>
        <w:t>）</w:t>
      </w:r>
      <w:r>
        <w:rPr>
          <w:spacing w:val="-7"/>
        </w:rPr>
        <w:t>的情形</w:t>
      </w:r>
      <w:r>
        <w:rPr/>
        <w:t>（</w:t>
      </w:r>
      <w:r>
        <w:rPr>
          <w:spacing w:val="-20"/>
        </w:rPr>
        <w:t>情形 </w:t>
      </w:r>
      <w:r>
        <w:rPr>
          <w:rFonts w:ascii="Times New Roman" w:eastAsia="Times New Roman"/>
          <w:spacing w:val="-15"/>
        </w:rPr>
        <w:t>1</w:t>
      </w:r>
      <w:r>
        <w:rPr>
          <w:spacing w:val="-15"/>
        </w:rPr>
        <w:t>），</w:t>
      </w:r>
      <w:r>
        <w:rPr>
          <w:spacing w:val="-3"/>
        </w:rPr>
        <w:t>表现为猪舍</w:t>
      </w:r>
      <w:r>
        <w:rPr/>
        <w:t>臭气无组织排放量大幅增加。其次，因粪污处理区臭气强度较大，本环评也考虑了粪污</w:t>
      </w:r>
      <w:r>
        <w:rPr>
          <w:spacing w:val="-2"/>
        </w:rPr>
        <w:t>处理区除臭系统非正常运行</w:t>
      </w:r>
      <w:r>
        <w:rPr/>
        <w:t>（</w:t>
      </w:r>
      <w:r>
        <w:rPr>
          <w:spacing w:val="-9"/>
        </w:rPr>
        <w:t>除臭效率下降 </w:t>
      </w:r>
      <w:r>
        <w:rPr>
          <w:rFonts w:ascii="Times New Roman" w:eastAsia="Times New Roman"/>
          <w:spacing w:val="-6"/>
        </w:rPr>
        <w:t>70%</w:t>
      </w:r>
      <w:r>
        <w:rPr>
          <w:spacing w:val="-6"/>
        </w:rPr>
        <w:t>）</w:t>
      </w:r>
      <w:r>
        <w:rPr>
          <w:spacing w:val="-8"/>
        </w:rPr>
        <w:t>的情形</w:t>
      </w:r>
      <w:r>
        <w:rPr/>
        <w:t>（</w:t>
      </w:r>
      <w:r>
        <w:rPr>
          <w:spacing w:val="-20"/>
        </w:rPr>
        <w:t>情形 </w:t>
      </w:r>
      <w:r>
        <w:rPr>
          <w:rFonts w:ascii="Times New Roman" w:eastAsia="Times New Roman"/>
          <w:spacing w:val="-14"/>
        </w:rPr>
        <w:t>2</w:t>
      </w:r>
      <w:r>
        <w:rPr>
          <w:spacing w:val="-14"/>
        </w:rPr>
        <w:t>）</w:t>
      </w:r>
      <w:r>
        <w:rPr>
          <w:spacing w:val="-4"/>
        </w:rPr>
        <w:t>，表现为有组织排放</w:t>
      </w:r>
      <w:r>
        <w:rPr>
          <w:spacing w:val="-9"/>
        </w:rPr>
        <w:t>量大幅增加。具体源强详见表 </w:t>
      </w:r>
      <w:r>
        <w:rPr>
          <w:rFonts w:ascii="Times New Roman" w:eastAsia="Times New Roman"/>
        </w:rPr>
        <w:t>5.2-13</w:t>
      </w:r>
      <w:r>
        <w:rPr/>
        <w:t>。</w:t>
      </w:r>
    </w:p>
    <w:p>
      <w:pPr>
        <w:spacing w:before="2"/>
        <w:ind w:left="717" w:right="0" w:firstLine="0"/>
        <w:jc w:val="left"/>
        <w:rPr>
          <w:rFonts w:ascii="Times New Roman" w:hAnsi="Times New Roman"/>
          <w:sz w:val="16"/>
        </w:rPr>
      </w:pPr>
      <w:r>
        <w:rPr>
          <w:position w:val="2"/>
          <w:sz w:val="24"/>
        </w:rPr>
        <w:t>①</w:t>
      </w:r>
      <w:r>
        <w:rPr>
          <w:rFonts w:ascii="Times New Roman" w:hAnsi="Times New Roman"/>
          <w:position w:val="2"/>
          <w:sz w:val="24"/>
        </w:rPr>
        <w:t>NH</w:t>
      </w:r>
      <w:r>
        <w:rPr>
          <w:rFonts w:ascii="Times New Roman" w:hAnsi="Times New Roman"/>
          <w:sz w:val="16"/>
        </w:rPr>
        <w:t>3</w:t>
      </w:r>
    </w:p>
    <w:p>
      <w:pPr>
        <w:pStyle w:val="BodyText"/>
        <w:spacing w:line="364" w:lineRule="auto" w:before="161"/>
        <w:ind w:right="250" w:firstLine="480"/>
        <w:jc w:val="both"/>
      </w:pPr>
      <w:r>
        <w:rPr>
          <w:spacing w:val="-1"/>
          <w:position w:val="2"/>
        </w:rPr>
        <w:t>由预测结果可知，非正常工况下：情形 </w:t>
      </w:r>
      <w:r>
        <w:rPr>
          <w:rFonts w:ascii="Times New Roman" w:eastAsia="Times New Roman"/>
          <w:position w:val="2"/>
        </w:rPr>
        <w:t>1 </w:t>
      </w:r>
      <w:r>
        <w:rPr>
          <w:spacing w:val="-2"/>
          <w:position w:val="2"/>
        </w:rPr>
        <w:t>时，</w:t>
      </w:r>
      <w:r>
        <w:rPr>
          <w:rFonts w:ascii="Times New Roman" w:eastAsia="Times New Roman"/>
          <w:position w:val="2"/>
        </w:rPr>
        <w:t>NH</w:t>
      </w:r>
      <w:r>
        <w:rPr>
          <w:rFonts w:ascii="Times New Roman" w:eastAsia="Times New Roman"/>
          <w:sz w:val="16"/>
        </w:rPr>
        <w:t>3 </w:t>
      </w:r>
      <w:r>
        <w:rPr>
          <w:spacing w:val="-1"/>
          <w:position w:val="2"/>
        </w:rPr>
        <w:t>排放对各敏感点的小时浓度贡献</w:t>
      </w:r>
      <w:r>
        <w:rPr>
          <w:spacing w:val="-6"/>
        </w:rPr>
        <w:t>值最大占标率为 </w:t>
      </w:r>
      <w:r>
        <w:rPr>
          <w:rFonts w:ascii="Times New Roman" w:eastAsia="Times New Roman"/>
        </w:rPr>
        <w:t>51.08%</w:t>
      </w:r>
      <w:r>
        <w:rPr/>
        <w:t>（出现在丰项村项里自然村），</w:t>
      </w:r>
      <w:r>
        <w:rPr>
          <w:spacing w:val="-1"/>
        </w:rPr>
        <w:t>可达标；最大落地浓度点的小时</w:t>
      </w:r>
      <w:r>
        <w:rPr>
          <w:spacing w:val="-5"/>
          <w:position w:val="2"/>
        </w:rPr>
        <w:t>浓度贡献值最大占标率为 </w:t>
      </w:r>
      <w:r>
        <w:rPr>
          <w:rFonts w:ascii="Times New Roman" w:eastAsia="Times New Roman"/>
          <w:spacing w:val="-5"/>
          <w:position w:val="2"/>
        </w:rPr>
        <w:t>307.34%</w:t>
      </w:r>
      <w:r>
        <w:rPr>
          <w:spacing w:val="-15"/>
          <w:position w:val="2"/>
        </w:rPr>
        <w:t>，超标。情形 </w:t>
      </w:r>
      <w:r>
        <w:rPr>
          <w:rFonts w:ascii="Times New Roman" w:eastAsia="Times New Roman"/>
          <w:position w:val="2"/>
        </w:rPr>
        <w:t>2 </w:t>
      </w:r>
      <w:r>
        <w:rPr>
          <w:spacing w:val="-5"/>
          <w:position w:val="2"/>
        </w:rPr>
        <w:t>时，</w:t>
      </w:r>
      <w:r>
        <w:rPr>
          <w:rFonts w:ascii="Times New Roman" w:eastAsia="Times New Roman"/>
          <w:spacing w:val="-9"/>
          <w:position w:val="2"/>
        </w:rPr>
        <w:t>NH</w:t>
      </w:r>
      <w:r>
        <w:rPr>
          <w:rFonts w:ascii="Times New Roman" w:eastAsia="Times New Roman"/>
          <w:spacing w:val="-9"/>
          <w:sz w:val="16"/>
        </w:rPr>
        <w:t>3 </w:t>
      </w:r>
      <w:r>
        <w:rPr>
          <w:spacing w:val="-1"/>
          <w:position w:val="2"/>
        </w:rPr>
        <w:t>排放对各敏感点的小时浓度贡</w:t>
      </w:r>
      <w:r>
        <w:rPr>
          <w:spacing w:val="-6"/>
        </w:rPr>
        <w:t>献值最大占标率为 </w:t>
      </w:r>
      <w:r>
        <w:rPr>
          <w:rFonts w:ascii="Times New Roman" w:eastAsia="Times New Roman"/>
        </w:rPr>
        <w:t>17.99%</w:t>
      </w:r>
      <w:r>
        <w:rPr/>
        <w:t>（也出现在丰项村项里自然村），</w:t>
      </w:r>
      <w:r>
        <w:rPr>
          <w:spacing w:val="-2"/>
        </w:rPr>
        <w:t>可达标；最大落地浓度点的</w:t>
      </w:r>
      <w:r>
        <w:rPr>
          <w:spacing w:val="-5"/>
        </w:rPr>
        <w:t>小时浓度贡献值最大占标率为 </w:t>
      </w:r>
      <w:r>
        <w:rPr>
          <w:rFonts w:ascii="Times New Roman" w:eastAsia="Times New Roman"/>
          <w:spacing w:val="-3"/>
        </w:rPr>
        <w:t>673.08%</w:t>
      </w:r>
      <w:r>
        <w:rPr>
          <w:spacing w:val="-9"/>
        </w:rPr>
        <w:t>，超标；同时厂界浓度最大占标率为 </w:t>
      </w:r>
      <w:r>
        <w:rPr>
          <w:rFonts w:ascii="Times New Roman" w:eastAsia="Times New Roman"/>
          <w:spacing w:val="-3"/>
        </w:rPr>
        <w:t>201.33%</w:t>
      </w:r>
      <w:r>
        <w:rPr>
          <w:spacing w:val="-8"/>
        </w:rPr>
        <w:t>，也</w:t>
      </w:r>
      <w:r>
        <w:rPr>
          <w:spacing w:val="-5"/>
          <w:position w:val="2"/>
        </w:rPr>
        <w:t>超标。说明 </w:t>
      </w:r>
      <w:r>
        <w:rPr>
          <w:rFonts w:ascii="Times New Roman" w:eastAsia="Times New Roman"/>
          <w:position w:val="2"/>
        </w:rPr>
        <w:t>NH</w:t>
      </w:r>
      <w:r>
        <w:rPr>
          <w:rFonts w:ascii="Times New Roman" w:eastAsia="Times New Roman"/>
          <w:sz w:val="16"/>
        </w:rPr>
        <w:t>3 </w:t>
      </w:r>
      <w:r>
        <w:rPr>
          <w:spacing w:val="-1"/>
          <w:position w:val="2"/>
        </w:rPr>
        <w:t>的非正常排放对周围环境影响较大，企业须加强日常管理，确保除臭系</w:t>
      </w:r>
      <w:r>
        <w:rPr/>
        <w:t>统正常稳定运行。</w:t>
      </w:r>
    </w:p>
    <w:p>
      <w:pPr>
        <w:pStyle w:val="Heading3"/>
        <w:spacing w:before="5"/>
        <w:ind w:left="219" w:right="236"/>
        <w:jc w:val="center"/>
      </w:pPr>
      <w:r>
        <w:rPr>
          <w:position w:val="1"/>
        </w:rPr>
        <w:t>表 </w:t>
      </w:r>
      <w:r>
        <w:rPr>
          <w:rFonts w:ascii="Times New Roman" w:eastAsia="Times New Roman"/>
          <w:position w:val="1"/>
        </w:rPr>
        <w:t>5.2-24  </w:t>
      </w:r>
      <w:r>
        <w:rPr>
          <w:position w:val="1"/>
        </w:rPr>
        <w:t>非正常工况下 </w:t>
      </w:r>
      <w:r>
        <w:rPr>
          <w:rFonts w:ascii="Times New Roman" w:eastAsia="Times New Roman"/>
          <w:position w:val="1"/>
        </w:rPr>
        <w:t>NH</w:t>
      </w:r>
      <w:r>
        <w:rPr>
          <w:rFonts w:ascii="Times New Roman" w:eastAsia="Times New Roman"/>
          <w:sz w:val="16"/>
        </w:rPr>
        <w:t>3 </w:t>
      </w:r>
      <w:r>
        <w:rPr>
          <w:position w:val="1"/>
        </w:rPr>
        <w:t>排放的预测结果</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9"/>
        <w:gridCol w:w="2640"/>
        <w:gridCol w:w="981"/>
        <w:gridCol w:w="997"/>
        <w:gridCol w:w="1019"/>
        <w:gridCol w:w="1016"/>
        <w:gridCol w:w="812"/>
        <w:gridCol w:w="978"/>
      </w:tblGrid>
      <w:tr>
        <w:trPr>
          <w:trHeight w:val="359" w:hRule="atLeast"/>
        </w:trPr>
        <w:tc>
          <w:tcPr>
            <w:tcW w:w="979" w:type="dxa"/>
            <w:tcBorders>
              <w:bottom w:val="single" w:sz="4" w:space="0" w:color="000000"/>
              <w:right w:val="single" w:sz="4" w:space="0" w:color="000000"/>
            </w:tcBorders>
          </w:tcPr>
          <w:p>
            <w:pPr>
              <w:pStyle w:val="TableParagraph"/>
              <w:spacing w:before="64"/>
              <w:ind w:left="126"/>
              <w:jc w:val="left"/>
              <w:rPr>
                <w:rFonts w:ascii="宋体" w:eastAsia="宋体" w:hint="eastAsia"/>
                <w:b/>
                <w:sz w:val="18"/>
              </w:rPr>
            </w:pPr>
            <w:r>
              <w:rPr>
                <w:rFonts w:ascii="宋体" w:eastAsia="宋体" w:hint="eastAsia"/>
                <w:b/>
                <w:sz w:val="18"/>
              </w:rPr>
              <w:t>预测情形</w:t>
            </w:r>
          </w:p>
        </w:tc>
        <w:tc>
          <w:tcPr>
            <w:tcW w:w="2640" w:type="dxa"/>
            <w:tcBorders>
              <w:left w:val="single" w:sz="4" w:space="0" w:color="000000"/>
              <w:bottom w:val="single" w:sz="4" w:space="0" w:color="000000"/>
              <w:right w:val="single" w:sz="4" w:space="0" w:color="000000"/>
            </w:tcBorders>
          </w:tcPr>
          <w:p>
            <w:pPr>
              <w:pStyle w:val="TableParagraph"/>
              <w:spacing w:before="64"/>
              <w:ind w:left="28"/>
              <w:rPr>
                <w:rFonts w:ascii="宋体" w:eastAsia="宋体" w:hint="eastAsia"/>
                <w:b/>
                <w:sz w:val="18"/>
              </w:rPr>
            </w:pPr>
            <w:r>
              <w:rPr>
                <w:rFonts w:ascii="宋体" w:eastAsia="宋体" w:hint="eastAsia"/>
                <w:b/>
                <w:sz w:val="18"/>
              </w:rPr>
              <w:t>预测点名称</w:t>
            </w:r>
          </w:p>
        </w:tc>
        <w:tc>
          <w:tcPr>
            <w:tcW w:w="981" w:type="dxa"/>
            <w:tcBorders>
              <w:left w:val="single" w:sz="4" w:space="0" w:color="000000"/>
              <w:bottom w:val="single" w:sz="4" w:space="0" w:color="000000"/>
              <w:right w:val="single" w:sz="4" w:space="0" w:color="000000"/>
            </w:tcBorders>
          </w:tcPr>
          <w:p>
            <w:pPr>
              <w:pStyle w:val="TableParagraph"/>
              <w:spacing w:before="64"/>
              <w:ind w:left="117" w:right="91"/>
              <w:rPr>
                <w:rFonts w:ascii="宋体" w:eastAsia="宋体" w:hint="eastAsia"/>
                <w:b/>
                <w:sz w:val="18"/>
              </w:rPr>
            </w:pPr>
            <w:r>
              <w:rPr>
                <w:rFonts w:ascii="宋体" w:eastAsia="宋体" w:hint="eastAsia"/>
                <w:b/>
                <w:sz w:val="18"/>
              </w:rPr>
              <w:t>预测浓度</w:t>
            </w:r>
          </w:p>
        </w:tc>
        <w:tc>
          <w:tcPr>
            <w:tcW w:w="997" w:type="dxa"/>
            <w:tcBorders>
              <w:left w:val="single" w:sz="4" w:space="0" w:color="000000"/>
              <w:bottom w:val="single" w:sz="4" w:space="0" w:color="000000"/>
              <w:right w:val="single" w:sz="4" w:space="0" w:color="000000"/>
            </w:tcBorders>
          </w:tcPr>
          <w:p>
            <w:pPr>
              <w:pStyle w:val="TableParagraph"/>
              <w:spacing w:before="64"/>
              <w:ind w:left="133" w:right="105"/>
              <w:rPr>
                <w:rFonts w:ascii="宋体" w:eastAsia="宋体" w:hint="eastAsia"/>
                <w:b/>
                <w:sz w:val="18"/>
              </w:rPr>
            </w:pPr>
            <w:r>
              <w:rPr>
                <w:rFonts w:ascii="宋体" w:eastAsia="宋体" w:hint="eastAsia"/>
                <w:b/>
                <w:sz w:val="18"/>
              </w:rPr>
              <w:t>贡献值</w:t>
            </w:r>
          </w:p>
        </w:tc>
        <w:tc>
          <w:tcPr>
            <w:tcW w:w="1019" w:type="dxa"/>
            <w:tcBorders>
              <w:left w:val="single" w:sz="4" w:space="0" w:color="000000"/>
              <w:bottom w:val="single" w:sz="4" w:space="0" w:color="000000"/>
              <w:right w:val="single" w:sz="4" w:space="0" w:color="000000"/>
            </w:tcBorders>
          </w:tcPr>
          <w:p>
            <w:pPr>
              <w:pStyle w:val="TableParagraph"/>
              <w:spacing w:before="64"/>
              <w:ind w:left="158"/>
              <w:jc w:val="left"/>
              <w:rPr>
                <w:rFonts w:ascii="宋体" w:eastAsia="宋体" w:hint="eastAsia"/>
                <w:b/>
                <w:sz w:val="18"/>
              </w:rPr>
            </w:pPr>
            <w:r>
              <w:rPr>
                <w:rFonts w:ascii="宋体" w:eastAsia="宋体" w:hint="eastAsia"/>
                <w:b/>
                <w:sz w:val="18"/>
              </w:rPr>
              <w:t>出现时刻</w:t>
            </w:r>
          </w:p>
        </w:tc>
        <w:tc>
          <w:tcPr>
            <w:tcW w:w="1016" w:type="dxa"/>
            <w:tcBorders>
              <w:left w:val="single" w:sz="4" w:space="0" w:color="000000"/>
              <w:bottom w:val="single" w:sz="4" w:space="0" w:color="000000"/>
              <w:right w:val="single" w:sz="4" w:space="0" w:color="000000"/>
            </w:tcBorders>
          </w:tcPr>
          <w:p>
            <w:pPr>
              <w:pStyle w:val="TableParagraph"/>
              <w:spacing w:before="64"/>
              <w:ind w:left="75" w:right="43"/>
              <w:rPr>
                <w:rFonts w:ascii="宋体" w:eastAsia="宋体" w:hint="eastAsia"/>
                <w:b/>
                <w:sz w:val="18"/>
              </w:rPr>
            </w:pPr>
            <w:r>
              <w:rPr>
                <w:rFonts w:ascii="宋体" w:eastAsia="宋体" w:hint="eastAsia"/>
                <w:b/>
                <w:sz w:val="18"/>
              </w:rPr>
              <w:t>评价标准</w:t>
            </w:r>
          </w:p>
        </w:tc>
        <w:tc>
          <w:tcPr>
            <w:tcW w:w="812" w:type="dxa"/>
            <w:tcBorders>
              <w:left w:val="single" w:sz="4" w:space="0" w:color="000000"/>
              <w:bottom w:val="single" w:sz="4" w:space="0" w:color="000000"/>
              <w:right w:val="single" w:sz="4" w:space="0" w:color="000000"/>
            </w:tcBorders>
          </w:tcPr>
          <w:p>
            <w:pPr>
              <w:pStyle w:val="TableParagraph"/>
              <w:spacing w:before="64"/>
              <w:ind w:left="122" w:right="82"/>
              <w:rPr>
                <w:rFonts w:ascii="宋体" w:eastAsia="宋体" w:hint="eastAsia"/>
                <w:b/>
                <w:sz w:val="18"/>
              </w:rPr>
            </w:pPr>
            <w:r>
              <w:rPr>
                <w:rFonts w:ascii="宋体" w:eastAsia="宋体" w:hint="eastAsia"/>
                <w:b/>
                <w:sz w:val="18"/>
              </w:rPr>
              <w:t>占标率</w:t>
            </w:r>
          </w:p>
        </w:tc>
        <w:tc>
          <w:tcPr>
            <w:tcW w:w="978" w:type="dxa"/>
            <w:tcBorders>
              <w:left w:val="single" w:sz="4" w:space="0" w:color="000000"/>
              <w:bottom w:val="single" w:sz="4" w:space="0" w:color="000000"/>
            </w:tcBorders>
          </w:tcPr>
          <w:p>
            <w:pPr>
              <w:pStyle w:val="TableParagraph"/>
              <w:spacing w:before="64"/>
              <w:ind w:left="124" w:right="71"/>
              <w:rPr>
                <w:rFonts w:ascii="宋体" w:eastAsia="宋体" w:hint="eastAsia"/>
                <w:b/>
                <w:sz w:val="18"/>
              </w:rPr>
            </w:pPr>
            <w:r>
              <w:rPr>
                <w:rFonts w:ascii="宋体" w:eastAsia="宋体" w:hint="eastAsia"/>
                <w:b/>
                <w:sz w:val="18"/>
              </w:rPr>
              <w:t>是否达标</w:t>
            </w:r>
          </w:p>
        </w:tc>
      </w:tr>
      <w:tr>
        <w:trPr>
          <w:trHeight w:val="349" w:hRule="atLeast"/>
        </w:trPr>
        <w:tc>
          <w:tcPr>
            <w:tcW w:w="979" w:type="dxa"/>
            <w:vMerge w:val="restart"/>
            <w:tcBorders>
              <w:top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15"/>
              </w:rPr>
            </w:pPr>
          </w:p>
          <w:p>
            <w:pPr>
              <w:pStyle w:val="TableParagraph"/>
              <w:spacing w:before="0"/>
              <w:ind w:left="241"/>
              <w:jc w:val="left"/>
              <w:rPr>
                <w:sz w:val="18"/>
              </w:rPr>
            </w:pPr>
            <w:r>
              <w:rPr>
                <w:rFonts w:ascii="宋体" w:eastAsia="宋体" w:hint="eastAsia"/>
                <w:sz w:val="18"/>
              </w:rPr>
              <w:t>情形 </w:t>
            </w:r>
            <w:r>
              <w:rPr>
                <w:sz w:val="18"/>
              </w:rPr>
              <w:t>1</w:t>
            </w: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119"/>
              <w:rPr>
                <w:rFonts w:ascii="宋体" w:eastAsia="宋体" w:hint="eastAsia"/>
                <w:sz w:val="18"/>
              </w:rPr>
            </w:pPr>
            <w:r>
              <w:rPr>
                <w:rFonts w:ascii="宋体" w:eastAsia="宋体" w:hint="eastAsia"/>
                <w:sz w:val="18"/>
              </w:rPr>
              <w:t>丰一（</w:t>
            </w:r>
            <w:r>
              <w:rPr>
                <w:sz w:val="18"/>
              </w:rPr>
              <w:t>797,894</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9.71E-02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19090923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48.54</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丰二（</w:t>
            </w:r>
            <w:r>
              <w:rPr>
                <w:sz w:val="18"/>
              </w:rPr>
              <w:t>897,1268</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7.31E-02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19072101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36.53</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项里（</w:t>
            </w:r>
            <w:r>
              <w:rPr>
                <w:sz w:val="18"/>
              </w:rPr>
              <w:t>332,1118</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1.02E-01</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8"/>
              <w:jc w:val="left"/>
              <w:rPr>
                <w:sz w:val="18"/>
              </w:rPr>
            </w:pPr>
            <w:r>
              <w:rPr>
                <w:sz w:val="18"/>
              </w:rPr>
              <w:t>19112119</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51.08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河塔村（</w:t>
            </w:r>
            <w:r>
              <w:rPr>
                <w:sz w:val="18"/>
              </w:rPr>
              <w:t>-299,1816</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6.13E-02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19060723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30.64</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秋湖村（</w:t>
            </w:r>
            <w:r>
              <w:rPr>
                <w:sz w:val="18"/>
              </w:rPr>
              <w:t>1686,2223</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3.70E-02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19072101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18.48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清和园（</w:t>
            </w:r>
            <w:r>
              <w:rPr>
                <w:sz w:val="18"/>
              </w:rPr>
              <w:t>830,2049</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4.65E-02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19062723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23.27</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州山小学（</w:t>
            </w:r>
            <w:r>
              <w:rPr>
                <w:sz w:val="18"/>
              </w:rPr>
              <w:t>-141,2646</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4.28E-02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19012801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21.38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管委会（</w:t>
            </w:r>
            <w:r>
              <w:rPr>
                <w:sz w:val="18"/>
              </w:rPr>
              <w:t>914,2190</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4.31E-02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19012923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21.57</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40"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区福利中心（</w:t>
            </w:r>
            <w:r>
              <w:rPr>
                <w:sz w:val="18"/>
              </w:rPr>
              <w:t>282,2431</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4.32E-02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19090723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21.58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区委党校（</w:t>
            </w:r>
            <w:r>
              <w:rPr>
                <w:sz w:val="18"/>
              </w:rPr>
              <w:t>656,2182</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4.92E-02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8"/>
              <w:jc w:val="left"/>
              <w:rPr>
                <w:sz w:val="18"/>
              </w:rPr>
            </w:pPr>
            <w:r>
              <w:rPr>
                <w:sz w:val="18"/>
              </w:rPr>
              <w:t>19112119</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24.60</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迪埠（</w:t>
            </w:r>
            <w:r>
              <w:rPr>
                <w:sz w:val="18"/>
              </w:rPr>
              <w:t>1022,-875</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8.26E-02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19061501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41.30</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洪家墩（</w:t>
            </w:r>
            <w:r>
              <w:rPr>
                <w:sz w:val="18"/>
              </w:rPr>
              <w:t>1096,-1407</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5.68E-02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19050924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28.39</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兴联村（</w:t>
            </w:r>
            <w:r>
              <w:rPr>
                <w:sz w:val="18"/>
              </w:rPr>
              <w:t>1985,-302</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5.39E-02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19100321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26.97</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梅三村（</w:t>
            </w:r>
            <w:r>
              <w:rPr>
                <w:sz w:val="18"/>
              </w:rPr>
              <w:t>1744,-1149</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4.71E-02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19101821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23.55</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容山村（</w:t>
            </w:r>
            <w:r>
              <w:rPr>
                <w:sz w:val="18"/>
              </w:rPr>
              <w:t>1154,-2055</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4.16E-02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19122906</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20.82</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兴华村（</w:t>
            </w:r>
            <w:r>
              <w:rPr>
                <w:sz w:val="18"/>
              </w:rPr>
              <w:t>-1653,-1249</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1.41E-02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19053102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7.05</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4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永信村（</w:t>
            </w:r>
            <w:r>
              <w:rPr>
                <w:sz w:val="18"/>
              </w:rPr>
              <w:t>-2384,479</w:t>
            </w:r>
            <w:r>
              <w:rPr>
                <w:rFonts w:ascii="宋体" w:eastAsia="宋体" w:hint="eastAsia"/>
                <w:sz w:val="18"/>
              </w:rPr>
              <w:t>） </w:t>
            </w:r>
          </w:p>
        </w:tc>
        <w:tc>
          <w:tcPr>
            <w:tcW w:w="981" w:type="dxa"/>
            <w:tcBorders>
              <w:top w:val="single" w:sz="4" w:space="0" w:color="000000"/>
              <w:left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right w:val="single" w:sz="4" w:space="0" w:color="000000"/>
            </w:tcBorders>
          </w:tcPr>
          <w:p>
            <w:pPr>
              <w:pStyle w:val="TableParagraph"/>
              <w:spacing w:before="66"/>
              <w:ind w:left="134" w:right="103"/>
              <w:rPr>
                <w:sz w:val="18"/>
              </w:rPr>
            </w:pPr>
            <w:r>
              <w:rPr>
                <w:sz w:val="18"/>
              </w:rPr>
              <w:t>5.01E-02</w:t>
            </w:r>
          </w:p>
        </w:tc>
        <w:tc>
          <w:tcPr>
            <w:tcW w:w="1019" w:type="dxa"/>
            <w:tcBorders>
              <w:top w:val="single" w:sz="4" w:space="0" w:color="000000"/>
              <w:left w:val="single" w:sz="4" w:space="0" w:color="000000"/>
              <w:right w:val="single" w:sz="4" w:space="0" w:color="000000"/>
            </w:tcBorders>
          </w:tcPr>
          <w:p>
            <w:pPr>
              <w:pStyle w:val="TableParagraph"/>
              <w:spacing w:before="66"/>
              <w:ind w:left="161"/>
              <w:jc w:val="left"/>
              <w:rPr>
                <w:sz w:val="18"/>
              </w:rPr>
            </w:pPr>
            <w:r>
              <w:rPr>
                <w:sz w:val="18"/>
              </w:rPr>
              <w:t>19022521</w:t>
            </w:r>
          </w:p>
        </w:tc>
        <w:tc>
          <w:tcPr>
            <w:tcW w:w="1016" w:type="dxa"/>
            <w:tcBorders>
              <w:top w:val="single" w:sz="4" w:space="0" w:color="000000"/>
              <w:left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right w:val="single" w:sz="4" w:space="0" w:color="000000"/>
            </w:tcBorders>
          </w:tcPr>
          <w:p>
            <w:pPr>
              <w:pStyle w:val="TableParagraph"/>
              <w:spacing w:before="66"/>
              <w:ind w:left="122" w:right="83"/>
              <w:rPr>
                <w:sz w:val="18"/>
              </w:rPr>
            </w:pPr>
            <w:r>
              <w:rPr>
                <w:sz w:val="18"/>
              </w:rPr>
              <w:t>25.06</w:t>
            </w:r>
          </w:p>
        </w:tc>
        <w:tc>
          <w:tcPr>
            <w:tcW w:w="978" w:type="dxa"/>
            <w:tcBorders>
              <w:top w:val="single" w:sz="4" w:space="0" w:color="000000"/>
              <w:left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bl>
    <w:p>
      <w:pPr>
        <w:spacing w:after="0"/>
        <w:rPr>
          <w:rFonts w:ascii="宋体" w:eastAsia="宋体" w:hint="eastAsia"/>
          <w:sz w:val="18"/>
        </w:rPr>
        <w:sectPr>
          <w:headerReference w:type="default" r:id="rId140"/>
          <w:footerReference w:type="default" r:id="rId141"/>
          <w:pgSz w:w="11910" w:h="16840"/>
          <w:pgMar w:header="874" w:footer="1004" w:top="1420" w:bottom="1200" w:left="1040" w:right="1160"/>
          <w:pgNumType w:start="15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9"/>
        <w:gridCol w:w="2640"/>
        <w:gridCol w:w="981"/>
        <w:gridCol w:w="997"/>
        <w:gridCol w:w="1019"/>
        <w:gridCol w:w="1016"/>
        <w:gridCol w:w="812"/>
        <w:gridCol w:w="978"/>
      </w:tblGrid>
      <w:tr>
        <w:trPr>
          <w:trHeight w:val="359" w:hRule="atLeast"/>
        </w:trPr>
        <w:tc>
          <w:tcPr>
            <w:tcW w:w="979" w:type="dxa"/>
            <w:tcBorders>
              <w:bottom w:val="single" w:sz="4" w:space="0" w:color="000000"/>
              <w:right w:val="single" w:sz="4" w:space="0" w:color="000000"/>
            </w:tcBorders>
          </w:tcPr>
          <w:p>
            <w:pPr>
              <w:pStyle w:val="TableParagraph"/>
              <w:spacing w:before="67"/>
              <w:ind w:left="126"/>
              <w:jc w:val="left"/>
              <w:rPr>
                <w:rFonts w:ascii="宋体" w:eastAsia="宋体" w:hint="eastAsia"/>
                <w:b/>
                <w:sz w:val="18"/>
              </w:rPr>
            </w:pPr>
            <w:r>
              <w:rPr>
                <w:rFonts w:ascii="宋体" w:eastAsia="宋体" w:hint="eastAsia"/>
                <w:b/>
                <w:sz w:val="18"/>
              </w:rPr>
              <w:t>预测情形</w:t>
            </w:r>
          </w:p>
        </w:tc>
        <w:tc>
          <w:tcPr>
            <w:tcW w:w="2640" w:type="dxa"/>
            <w:tcBorders>
              <w:left w:val="single" w:sz="4" w:space="0" w:color="000000"/>
              <w:bottom w:val="single" w:sz="4" w:space="0" w:color="000000"/>
              <w:right w:val="single" w:sz="4" w:space="0" w:color="000000"/>
            </w:tcBorders>
          </w:tcPr>
          <w:p>
            <w:pPr>
              <w:pStyle w:val="TableParagraph"/>
              <w:spacing w:before="67"/>
              <w:ind w:left="28"/>
              <w:rPr>
                <w:rFonts w:ascii="宋体" w:eastAsia="宋体" w:hint="eastAsia"/>
                <w:b/>
                <w:sz w:val="18"/>
              </w:rPr>
            </w:pPr>
            <w:r>
              <w:rPr>
                <w:rFonts w:ascii="宋体" w:eastAsia="宋体" w:hint="eastAsia"/>
                <w:b/>
                <w:sz w:val="18"/>
              </w:rPr>
              <w:t>预测点名称</w:t>
            </w:r>
          </w:p>
        </w:tc>
        <w:tc>
          <w:tcPr>
            <w:tcW w:w="981" w:type="dxa"/>
            <w:tcBorders>
              <w:left w:val="single" w:sz="4" w:space="0" w:color="000000"/>
              <w:bottom w:val="single" w:sz="4" w:space="0" w:color="000000"/>
              <w:right w:val="single" w:sz="4" w:space="0" w:color="000000"/>
            </w:tcBorders>
          </w:tcPr>
          <w:p>
            <w:pPr>
              <w:pStyle w:val="TableParagraph"/>
              <w:spacing w:before="67"/>
              <w:ind w:left="117" w:right="91"/>
              <w:rPr>
                <w:rFonts w:ascii="宋体" w:eastAsia="宋体" w:hint="eastAsia"/>
                <w:b/>
                <w:sz w:val="18"/>
              </w:rPr>
            </w:pPr>
            <w:r>
              <w:rPr>
                <w:rFonts w:ascii="宋体" w:eastAsia="宋体" w:hint="eastAsia"/>
                <w:b/>
                <w:sz w:val="18"/>
              </w:rPr>
              <w:t>预测浓度</w:t>
            </w:r>
          </w:p>
        </w:tc>
        <w:tc>
          <w:tcPr>
            <w:tcW w:w="997" w:type="dxa"/>
            <w:tcBorders>
              <w:left w:val="single" w:sz="4" w:space="0" w:color="000000"/>
              <w:bottom w:val="single" w:sz="4" w:space="0" w:color="000000"/>
              <w:right w:val="single" w:sz="4" w:space="0" w:color="000000"/>
            </w:tcBorders>
          </w:tcPr>
          <w:p>
            <w:pPr>
              <w:pStyle w:val="TableParagraph"/>
              <w:spacing w:before="67"/>
              <w:ind w:left="133" w:right="105"/>
              <w:rPr>
                <w:rFonts w:ascii="宋体" w:eastAsia="宋体" w:hint="eastAsia"/>
                <w:b/>
                <w:sz w:val="18"/>
              </w:rPr>
            </w:pPr>
            <w:r>
              <w:rPr>
                <w:rFonts w:ascii="宋体" w:eastAsia="宋体" w:hint="eastAsia"/>
                <w:b/>
                <w:sz w:val="18"/>
              </w:rPr>
              <w:t>贡献值</w:t>
            </w:r>
          </w:p>
        </w:tc>
        <w:tc>
          <w:tcPr>
            <w:tcW w:w="1019" w:type="dxa"/>
            <w:tcBorders>
              <w:left w:val="single" w:sz="4" w:space="0" w:color="000000"/>
              <w:bottom w:val="single" w:sz="4" w:space="0" w:color="000000"/>
              <w:right w:val="single" w:sz="4" w:space="0" w:color="000000"/>
            </w:tcBorders>
          </w:tcPr>
          <w:p>
            <w:pPr>
              <w:pStyle w:val="TableParagraph"/>
              <w:spacing w:before="67"/>
              <w:ind w:left="158"/>
              <w:jc w:val="left"/>
              <w:rPr>
                <w:rFonts w:ascii="宋体" w:eastAsia="宋体" w:hint="eastAsia"/>
                <w:b/>
                <w:sz w:val="18"/>
              </w:rPr>
            </w:pPr>
            <w:r>
              <w:rPr>
                <w:rFonts w:ascii="宋体" w:eastAsia="宋体" w:hint="eastAsia"/>
                <w:b/>
                <w:sz w:val="18"/>
              </w:rPr>
              <w:t>出现时刻</w:t>
            </w:r>
          </w:p>
        </w:tc>
        <w:tc>
          <w:tcPr>
            <w:tcW w:w="1016" w:type="dxa"/>
            <w:tcBorders>
              <w:left w:val="single" w:sz="4" w:space="0" w:color="000000"/>
              <w:bottom w:val="single" w:sz="4" w:space="0" w:color="000000"/>
              <w:right w:val="single" w:sz="4" w:space="0" w:color="000000"/>
            </w:tcBorders>
          </w:tcPr>
          <w:p>
            <w:pPr>
              <w:pStyle w:val="TableParagraph"/>
              <w:spacing w:before="67"/>
              <w:ind w:left="75" w:right="43"/>
              <w:rPr>
                <w:rFonts w:ascii="宋体" w:eastAsia="宋体" w:hint="eastAsia"/>
                <w:b/>
                <w:sz w:val="18"/>
              </w:rPr>
            </w:pPr>
            <w:r>
              <w:rPr>
                <w:rFonts w:ascii="宋体" w:eastAsia="宋体" w:hint="eastAsia"/>
                <w:b/>
                <w:sz w:val="18"/>
              </w:rPr>
              <w:t>评价标准</w:t>
            </w:r>
          </w:p>
        </w:tc>
        <w:tc>
          <w:tcPr>
            <w:tcW w:w="812" w:type="dxa"/>
            <w:tcBorders>
              <w:left w:val="single" w:sz="4" w:space="0" w:color="000000"/>
              <w:bottom w:val="single" w:sz="4" w:space="0" w:color="000000"/>
              <w:right w:val="single" w:sz="4" w:space="0" w:color="000000"/>
            </w:tcBorders>
          </w:tcPr>
          <w:p>
            <w:pPr>
              <w:pStyle w:val="TableParagraph"/>
              <w:spacing w:before="67"/>
              <w:ind w:left="122" w:right="82"/>
              <w:rPr>
                <w:rFonts w:ascii="宋体" w:eastAsia="宋体" w:hint="eastAsia"/>
                <w:b/>
                <w:sz w:val="18"/>
              </w:rPr>
            </w:pPr>
            <w:r>
              <w:rPr>
                <w:rFonts w:ascii="宋体" w:eastAsia="宋体" w:hint="eastAsia"/>
                <w:b/>
                <w:sz w:val="18"/>
              </w:rPr>
              <w:t>占标率</w:t>
            </w:r>
          </w:p>
        </w:tc>
        <w:tc>
          <w:tcPr>
            <w:tcW w:w="978" w:type="dxa"/>
            <w:tcBorders>
              <w:left w:val="single" w:sz="4" w:space="0" w:color="000000"/>
              <w:bottom w:val="single" w:sz="4" w:space="0" w:color="000000"/>
            </w:tcBorders>
          </w:tcPr>
          <w:p>
            <w:pPr>
              <w:pStyle w:val="TableParagraph"/>
              <w:spacing w:before="67"/>
              <w:ind w:left="124" w:right="71"/>
              <w:rPr>
                <w:rFonts w:ascii="宋体" w:eastAsia="宋体" w:hint="eastAsia"/>
                <w:b/>
                <w:sz w:val="18"/>
              </w:rPr>
            </w:pPr>
            <w:r>
              <w:rPr>
                <w:rFonts w:ascii="宋体" w:eastAsia="宋体" w:hint="eastAsia"/>
                <w:b/>
                <w:sz w:val="18"/>
              </w:rPr>
              <w:t>是否达标</w:t>
            </w:r>
          </w:p>
        </w:tc>
      </w:tr>
      <w:tr>
        <w:trPr>
          <w:trHeight w:val="359" w:hRule="atLeast"/>
        </w:trPr>
        <w:tc>
          <w:tcPr>
            <w:tcW w:w="979" w:type="dxa"/>
            <w:vMerge w:val="restart"/>
            <w:tcBorders>
              <w:top w:val="single" w:sz="4" w:space="0" w:color="000000"/>
              <w:bottom w:val="single" w:sz="4" w:space="0" w:color="000000"/>
              <w:right w:val="single" w:sz="4" w:space="0" w:color="000000"/>
            </w:tcBorders>
          </w:tcPr>
          <w:p>
            <w:pPr>
              <w:pStyle w:val="TableParagraph"/>
              <w:spacing w:before="0"/>
              <w:jc w:val="left"/>
              <w:rPr>
                <w:sz w:val="18"/>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29"/>
              <w:rPr>
                <w:rFonts w:ascii="宋体" w:eastAsia="宋体" w:hint="eastAsia"/>
                <w:sz w:val="18"/>
              </w:rPr>
            </w:pPr>
            <w:r>
              <w:rPr>
                <w:rFonts w:ascii="宋体" w:eastAsia="宋体" w:hint="eastAsia"/>
                <w:sz w:val="18"/>
              </w:rPr>
              <w:t>规划敏感点 </w:t>
            </w:r>
            <w:r>
              <w:rPr>
                <w:sz w:val="18"/>
              </w:rPr>
              <w:t>1</w:t>
            </w:r>
            <w:r>
              <w:rPr>
                <w:rFonts w:ascii="宋体" w:eastAsia="宋体" w:hint="eastAsia"/>
                <w:sz w:val="18"/>
              </w:rPr>
              <w:t>（</w:t>
            </w:r>
            <w:r>
              <w:rPr>
                <w:sz w:val="18"/>
              </w:rPr>
              <w:t>983,975</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8.23E-02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19100224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41.14</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7"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29"/>
              <w:rPr>
                <w:rFonts w:ascii="宋体" w:eastAsia="宋体" w:hint="eastAsia"/>
                <w:sz w:val="18"/>
              </w:rPr>
            </w:pPr>
            <w:r>
              <w:rPr>
                <w:rFonts w:ascii="宋体" w:eastAsia="宋体" w:hint="eastAsia"/>
                <w:sz w:val="18"/>
              </w:rPr>
              <w:t>规划敏感点 </w:t>
            </w:r>
            <w:r>
              <w:rPr>
                <w:sz w:val="18"/>
              </w:rPr>
              <w:t>2</w:t>
            </w:r>
            <w:r>
              <w:rPr>
                <w:rFonts w:ascii="宋体" w:eastAsia="宋体" w:hint="eastAsia"/>
                <w:sz w:val="18"/>
              </w:rPr>
              <w:t>（</w:t>
            </w:r>
            <w:r>
              <w:rPr>
                <w:sz w:val="18"/>
              </w:rPr>
              <w:t>1246,677</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7.84E-02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3"/>
              <w:jc w:val="left"/>
              <w:rPr>
                <w:sz w:val="18"/>
              </w:rPr>
            </w:pPr>
            <w:r>
              <w:rPr>
                <w:sz w:val="18"/>
              </w:rPr>
              <w:t>19121124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39.20</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9"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29"/>
              <w:rPr>
                <w:rFonts w:ascii="宋体" w:eastAsia="宋体" w:hint="eastAsia"/>
                <w:sz w:val="18"/>
              </w:rPr>
            </w:pPr>
            <w:r>
              <w:rPr>
                <w:rFonts w:ascii="宋体" w:eastAsia="宋体" w:hint="eastAsia"/>
                <w:sz w:val="18"/>
              </w:rPr>
              <w:t>规划敏感点 </w:t>
            </w:r>
            <w:r>
              <w:rPr>
                <w:sz w:val="18"/>
              </w:rPr>
              <w:t>3</w:t>
            </w:r>
            <w:r>
              <w:rPr>
                <w:rFonts w:ascii="宋体" w:eastAsia="宋体" w:hint="eastAsia"/>
                <w:sz w:val="18"/>
              </w:rPr>
              <w:t>（</w:t>
            </w:r>
            <w:r>
              <w:rPr>
                <w:sz w:val="18"/>
              </w:rPr>
              <w:t>1466,682</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6.71E-02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19031623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33.57</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9"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29"/>
              <w:rPr>
                <w:rFonts w:ascii="宋体" w:eastAsia="宋体" w:hint="eastAsia"/>
                <w:sz w:val="18"/>
              </w:rPr>
            </w:pPr>
            <w:r>
              <w:rPr>
                <w:rFonts w:ascii="宋体" w:eastAsia="宋体" w:hint="eastAsia"/>
                <w:sz w:val="18"/>
              </w:rPr>
              <w:t>规划敏感点 </w:t>
            </w:r>
            <w:r>
              <w:rPr>
                <w:sz w:val="18"/>
              </w:rPr>
              <w:t>4</w:t>
            </w:r>
            <w:r>
              <w:rPr>
                <w:rFonts w:ascii="宋体" w:eastAsia="宋体" w:hint="eastAsia"/>
                <w:sz w:val="18"/>
              </w:rPr>
              <w:t>（</w:t>
            </w:r>
            <w:r>
              <w:rPr>
                <w:sz w:val="18"/>
              </w:rPr>
              <w:t>1819,754</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5.37E-02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19090920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26.84</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7"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32"/>
              <w:rPr>
                <w:rFonts w:ascii="宋体" w:eastAsia="宋体" w:hint="eastAsia"/>
                <w:sz w:val="18"/>
              </w:rPr>
            </w:pPr>
            <w:r>
              <w:rPr>
                <w:rFonts w:ascii="宋体" w:eastAsia="宋体" w:hint="eastAsia"/>
                <w:sz w:val="18"/>
              </w:rPr>
              <w:t>规划敏感点 </w:t>
            </w:r>
            <w:r>
              <w:rPr>
                <w:sz w:val="18"/>
              </w:rPr>
              <w:t>5</w:t>
            </w:r>
            <w:r>
              <w:rPr>
                <w:rFonts w:ascii="宋体" w:eastAsia="宋体" w:hint="eastAsia"/>
                <w:sz w:val="18"/>
              </w:rPr>
              <w:t>（</w:t>
            </w:r>
            <w:r>
              <w:rPr>
                <w:sz w:val="18"/>
              </w:rPr>
              <w:t>1698,1061</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5.34E-02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19090820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26.70</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9"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32"/>
              <w:rPr>
                <w:rFonts w:ascii="宋体" w:eastAsia="宋体" w:hint="eastAsia"/>
                <w:sz w:val="18"/>
              </w:rPr>
            </w:pPr>
            <w:r>
              <w:rPr>
                <w:rFonts w:ascii="宋体" w:eastAsia="宋体" w:hint="eastAsia"/>
                <w:sz w:val="18"/>
              </w:rPr>
              <w:t>规划敏感点 </w:t>
            </w:r>
            <w:r>
              <w:rPr>
                <w:sz w:val="18"/>
              </w:rPr>
              <w:t>6</w:t>
            </w:r>
            <w:r>
              <w:rPr>
                <w:rFonts w:ascii="宋体" w:eastAsia="宋体" w:hint="eastAsia"/>
                <w:sz w:val="18"/>
              </w:rPr>
              <w:t>（</w:t>
            </w:r>
            <w:r>
              <w:rPr>
                <w:sz w:val="18"/>
              </w:rPr>
              <w:t>1573,1393</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5.05E-02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19101001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25.23</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9"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32"/>
              <w:rPr>
                <w:rFonts w:ascii="宋体" w:eastAsia="宋体" w:hint="eastAsia"/>
                <w:sz w:val="18"/>
              </w:rPr>
            </w:pPr>
            <w:r>
              <w:rPr>
                <w:rFonts w:ascii="宋体" w:eastAsia="宋体" w:hint="eastAsia"/>
                <w:sz w:val="18"/>
              </w:rPr>
              <w:t>规划敏感点 </w:t>
            </w:r>
            <w:r>
              <w:rPr>
                <w:sz w:val="18"/>
              </w:rPr>
              <w:t>7</w:t>
            </w:r>
            <w:r>
              <w:rPr>
                <w:rFonts w:ascii="宋体" w:eastAsia="宋体" w:hint="eastAsia"/>
                <w:sz w:val="18"/>
              </w:rPr>
              <w:t>（</w:t>
            </w:r>
            <w:r>
              <w:rPr>
                <w:sz w:val="18"/>
              </w:rPr>
              <w:t>2059,1095</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4.37E-02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19102124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21.84</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7"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32"/>
              <w:rPr>
                <w:rFonts w:ascii="宋体" w:eastAsia="宋体" w:hint="eastAsia"/>
                <w:sz w:val="18"/>
              </w:rPr>
            </w:pPr>
            <w:r>
              <w:rPr>
                <w:rFonts w:ascii="宋体" w:eastAsia="宋体" w:hint="eastAsia"/>
                <w:sz w:val="18"/>
              </w:rPr>
              <w:t>规划敏感点 </w:t>
            </w:r>
            <w:r>
              <w:rPr>
                <w:sz w:val="18"/>
              </w:rPr>
              <w:t>8</w:t>
            </w:r>
            <w:r>
              <w:rPr>
                <w:rFonts w:ascii="宋体" w:eastAsia="宋体" w:hint="eastAsia"/>
                <w:sz w:val="18"/>
              </w:rPr>
              <w:t>（</w:t>
            </w:r>
            <w:r>
              <w:rPr>
                <w:sz w:val="18"/>
              </w:rPr>
              <w:t>1977,1422</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4.24E-02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19101022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21.18</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60"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29"/>
              <w:rPr>
                <w:rFonts w:ascii="宋体" w:eastAsia="宋体" w:hint="eastAsia"/>
                <w:sz w:val="18"/>
              </w:rPr>
            </w:pPr>
            <w:r>
              <w:rPr>
                <w:rFonts w:ascii="宋体" w:eastAsia="宋体" w:hint="eastAsia"/>
                <w:sz w:val="18"/>
              </w:rPr>
              <w:t>规划敏感点 </w:t>
            </w:r>
            <w:r>
              <w:rPr>
                <w:sz w:val="18"/>
              </w:rPr>
              <w:t>9</w:t>
            </w:r>
            <w:r>
              <w:rPr>
                <w:rFonts w:ascii="宋体" w:eastAsia="宋体" w:hint="eastAsia"/>
                <w:sz w:val="18"/>
              </w:rPr>
              <w:t>（</w:t>
            </w:r>
            <w:r>
              <w:rPr>
                <w:sz w:val="18"/>
              </w:rPr>
              <w:t>1126,2099</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4.29E-02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3"/>
              <w:jc w:val="left"/>
              <w:rPr>
                <w:sz w:val="18"/>
              </w:rPr>
            </w:pPr>
            <w:r>
              <w:rPr>
                <w:sz w:val="18"/>
              </w:rPr>
              <w:t>19071121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21.46</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9"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29"/>
              <w:rPr>
                <w:rFonts w:ascii="宋体" w:eastAsia="宋体" w:hint="eastAsia"/>
                <w:sz w:val="18"/>
              </w:rPr>
            </w:pPr>
            <w:r>
              <w:rPr>
                <w:rFonts w:ascii="宋体" w:eastAsia="宋体" w:hint="eastAsia"/>
                <w:sz w:val="18"/>
              </w:rPr>
              <w:t>规划敏感点 </w:t>
            </w:r>
            <w:r>
              <w:rPr>
                <w:sz w:val="18"/>
              </w:rPr>
              <w:t>10</w:t>
            </w:r>
            <w:r>
              <w:rPr>
                <w:rFonts w:ascii="宋体" w:eastAsia="宋体" w:hint="eastAsia"/>
                <w:sz w:val="18"/>
              </w:rPr>
              <w:t>（</w:t>
            </w:r>
            <w:r>
              <w:rPr>
                <w:sz w:val="18"/>
              </w:rPr>
              <w:t>1162,2463</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3.64E-02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19120801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18.22</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7"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32"/>
              <w:rPr>
                <w:rFonts w:ascii="宋体" w:eastAsia="宋体" w:hint="eastAsia"/>
                <w:sz w:val="18"/>
              </w:rPr>
            </w:pPr>
            <w:r>
              <w:rPr>
                <w:rFonts w:ascii="宋体" w:eastAsia="宋体" w:hint="eastAsia"/>
                <w:sz w:val="18"/>
              </w:rPr>
              <w:t>规划敏感点 </w:t>
            </w:r>
            <w:r>
              <w:rPr>
                <w:sz w:val="18"/>
              </w:rPr>
              <w:t>11</w:t>
            </w:r>
            <w:r>
              <w:rPr>
                <w:rFonts w:ascii="宋体" w:eastAsia="宋体" w:hint="eastAsia"/>
                <w:sz w:val="18"/>
              </w:rPr>
              <w:t>（</w:t>
            </w:r>
            <w:r>
              <w:rPr>
                <w:sz w:val="18"/>
              </w:rPr>
              <w:t>33,2313</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4.62E-02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19061523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23.10</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59"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119"/>
              <w:rPr>
                <w:rFonts w:ascii="宋体" w:eastAsia="宋体" w:hint="eastAsia"/>
                <w:sz w:val="18"/>
              </w:rPr>
            </w:pPr>
            <w:r>
              <w:rPr>
                <w:rFonts w:ascii="宋体" w:eastAsia="宋体" w:hint="eastAsia"/>
                <w:sz w:val="18"/>
              </w:rPr>
              <w:t>网格（</w:t>
            </w:r>
            <w:r>
              <w:rPr>
                <w:sz w:val="18"/>
              </w:rPr>
              <w:t>150,100</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6.15E-01</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19090920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1"/>
              <w:rPr>
                <w:sz w:val="18"/>
              </w:rPr>
            </w:pPr>
            <w:r>
              <w:rPr>
                <w:sz w:val="18"/>
              </w:rPr>
              <w:t>307.34</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超标</w:t>
            </w:r>
          </w:p>
        </w:tc>
      </w:tr>
      <w:tr>
        <w:trPr>
          <w:trHeight w:val="359" w:hRule="atLeast"/>
        </w:trPr>
        <w:tc>
          <w:tcPr>
            <w:tcW w:w="979" w:type="dxa"/>
            <w:vMerge/>
            <w:tcBorders>
              <w:top w:val="nil"/>
              <w:bottom w:val="single" w:sz="4" w:space="0" w:color="000000"/>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Pr>
                <w:rFonts w:ascii="宋体" w:eastAsia="宋体" w:hint="eastAsia"/>
                <w:sz w:val="18"/>
              </w:rPr>
            </w:pPr>
            <w:r>
              <w:rPr>
                <w:rFonts w:ascii="宋体" w:eastAsia="宋体" w:hint="eastAsia"/>
                <w:sz w:val="18"/>
              </w:rPr>
              <w:t>厂界（</w:t>
            </w:r>
            <w:r>
              <w:rPr>
                <w:sz w:val="18"/>
              </w:rPr>
              <w:t>-83,140</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5"/>
              <w:rPr>
                <w:sz w:val="18"/>
              </w:rPr>
            </w:pPr>
            <w:r>
              <w:rPr>
                <w:sz w:val="18"/>
              </w:rPr>
              <w:t>1.05E+00</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19060922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39"/>
              <w:rPr>
                <w:sz w:val="18"/>
              </w:rPr>
            </w:pPr>
            <w:r>
              <w:rPr>
                <w:sz w:val="18"/>
              </w:rPr>
              <w:t>1.50E+00</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70.00</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47" w:hRule="atLeast"/>
        </w:trPr>
        <w:tc>
          <w:tcPr>
            <w:tcW w:w="979" w:type="dxa"/>
            <w:vMerge w:val="restart"/>
            <w:tcBorders>
              <w:top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21"/>
              </w:rPr>
            </w:pPr>
          </w:p>
          <w:p>
            <w:pPr>
              <w:pStyle w:val="TableParagraph"/>
              <w:spacing w:before="0"/>
              <w:ind w:left="241"/>
              <w:jc w:val="left"/>
              <w:rPr>
                <w:sz w:val="18"/>
              </w:rPr>
            </w:pPr>
            <w:r>
              <w:rPr>
                <w:rFonts w:ascii="宋体" w:eastAsia="宋体" w:hint="eastAsia"/>
                <w:sz w:val="18"/>
              </w:rPr>
              <w:t>情形 </w:t>
            </w:r>
            <w:r>
              <w:rPr>
                <w:sz w:val="18"/>
              </w:rPr>
              <w:t>2</w:t>
            </w: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left="119"/>
              <w:rPr>
                <w:rFonts w:ascii="宋体" w:eastAsia="宋体" w:hint="eastAsia"/>
                <w:sz w:val="18"/>
              </w:rPr>
            </w:pPr>
            <w:r>
              <w:rPr>
                <w:rFonts w:ascii="宋体" w:eastAsia="宋体" w:hint="eastAsia"/>
                <w:sz w:val="18"/>
              </w:rPr>
              <w:t>丰一（</w:t>
            </w:r>
            <w:r>
              <w:rPr>
                <w:sz w:val="18"/>
              </w:rPr>
              <w:t>797,894</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3.23E-02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19100224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16.17</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丰二（</w:t>
            </w:r>
            <w:r>
              <w:rPr>
                <w:sz w:val="18"/>
              </w:rPr>
              <w:t>897,1268</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2.26E-02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19072101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1"/>
              <w:rPr>
                <w:sz w:val="18"/>
              </w:rPr>
            </w:pPr>
            <w:r>
              <w:rPr>
                <w:sz w:val="18"/>
              </w:rPr>
              <w:t>11.28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项里（</w:t>
            </w:r>
            <w:r>
              <w:rPr>
                <w:sz w:val="18"/>
              </w:rPr>
              <w:t>332,1118</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3.60E-02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19062602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17.99</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河塔村（</w:t>
            </w:r>
            <w:r>
              <w:rPr>
                <w:sz w:val="18"/>
              </w:rPr>
              <w:t>-299,1816</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2.34E-02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19060723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1"/>
              <w:rPr>
                <w:sz w:val="18"/>
              </w:rPr>
            </w:pPr>
            <w:r>
              <w:rPr>
                <w:sz w:val="18"/>
              </w:rPr>
              <w:t>11.70</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秋湖村（</w:t>
            </w:r>
            <w:r>
              <w:rPr>
                <w:sz w:val="18"/>
              </w:rPr>
              <w:t>1686,2223</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1.40E-02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19053106</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6.98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40"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5"/>
              <w:ind w:left="119"/>
              <w:rPr>
                <w:rFonts w:ascii="宋体" w:eastAsia="宋体" w:hint="eastAsia"/>
                <w:sz w:val="18"/>
              </w:rPr>
            </w:pPr>
            <w:r>
              <w:rPr>
                <w:rFonts w:ascii="宋体" w:eastAsia="宋体" w:hint="eastAsia"/>
                <w:sz w:val="18"/>
              </w:rPr>
              <w:t>清和园（</w:t>
            </w:r>
            <w:r>
              <w:rPr>
                <w:sz w:val="18"/>
              </w:rPr>
              <w:t>830,2049</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5"/>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7"/>
              <w:ind w:left="134" w:right="103"/>
              <w:rPr>
                <w:sz w:val="18"/>
              </w:rPr>
            </w:pPr>
            <w:r>
              <w:rPr>
                <w:sz w:val="18"/>
              </w:rPr>
              <w:t>1.42E-02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7"/>
              <w:ind w:left="161"/>
              <w:jc w:val="left"/>
              <w:rPr>
                <w:sz w:val="18"/>
              </w:rPr>
            </w:pPr>
            <w:r>
              <w:rPr>
                <w:sz w:val="18"/>
              </w:rPr>
              <w:t>19062723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7"/>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7"/>
              <w:ind w:left="122" w:right="83"/>
              <w:rPr>
                <w:sz w:val="18"/>
              </w:rPr>
            </w:pPr>
            <w:r>
              <w:rPr>
                <w:sz w:val="18"/>
              </w:rPr>
              <w:t>7.09</w:t>
            </w:r>
          </w:p>
        </w:tc>
        <w:tc>
          <w:tcPr>
            <w:tcW w:w="978" w:type="dxa"/>
            <w:tcBorders>
              <w:top w:val="single" w:sz="4" w:space="0" w:color="000000"/>
              <w:left w:val="single" w:sz="4" w:space="0" w:color="000000"/>
              <w:bottom w:val="single" w:sz="4" w:space="0" w:color="000000"/>
            </w:tcBorders>
          </w:tcPr>
          <w:p>
            <w:pPr>
              <w:pStyle w:val="TableParagraph"/>
              <w:spacing w:before="55"/>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州山小学（</w:t>
            </w:r>
            <w:r>
              <w:rPr>
                <w:sz w:val="18"/>
              </w:rPr>
              <w:t>-141,2646</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1.82E-02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19061523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1"/>
              <w:rPr>
                <w:sz w:val="18"/>
              </w:rPr>
            </w:pPr>
            <w:r>
              <w:rPr>
                <w:sz w:val="18"/>
              </w:rPr>
              <w:t>9.11</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管委会（</w:t>
            </w:r>
            <w:r>
              <w:rPr>
                <w:sz w:val="18"/>
              </w:rPr>
              <w:t>914,2190</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1.30E-02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19062723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6.52</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区福利中心（</w:t>
            </w:r>
            <w:r>
              <w:rPr>
                <w:sz w:val="18"/>
              </w:rPr>
              <w:t>282,2431</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1.84E-02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19090723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9.18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区委党校（</w:t>
            </w:r>
            <w:r>
              <w:rPr>
                <w:sz w:val="18"/>
              </w:rPr>
              <w:t>656,2182</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1.95E-02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19062602</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9.75</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迪埠（</w:t>
            </w:r>
            <w:r>
              <w:rPr>
                <w:sz w:val="18"/>
              </w:rPr>
              <w:t>1022,-875</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3.08E-02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19070221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15.42</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洪家墩（</w:t>
            </w:r>
            <w:r>
              <w:rPr>
                <w:sz w:val="18"/>
              </w:rPr>
              <w:t>1096,-1407</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1.75E-02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19042204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8.74</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兴联村（</w:t>
            </w:r>
            <w:r>
              <w:rPr>
                <w:sz w:val="18"/>
              </w:rPr>
              <w:t>1985,-302</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2.05E-02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19100321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10.27</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梅三村（</w:t>
            </w:r>
            <w:r>
              <w:rPr>
                <w:sz w:val="18"/>
              </w:rPr>
              <w:t>1744,-1149</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1.87E-02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19090819</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9.35</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40"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容山村（</w:t>
            </w:r>
            <w:r>
              <w:rPr>
                <w:sz w:val="18"/>
              </w:rPr>
              <w:t>1154,-2055</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1.47E-02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19042204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7.37</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9"/>
              <w:rPr>
                <w:rFonts w:ascii="宋体" w:eastAsia="宋体" w:hint="eastAsia"/>
                <w:sz w:val="18"/>
              </w:rPr>
            </w:pPr>
            <w:r>
              <w:rPr>
                <w:rFonts w:ascii="宋体" w:eastAsia="宋体" w:hint="eastAsia"/>
                <w:sz w:val="18"/>
              </w:rPr>
              <w:t>兴华村（</w:t>
            </w:r>
            <w:r>
              <w:rPr>
                <w:sz w:val="18"/>
              </w:rPr>
              <w:t>-1653,-1249</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1.67E-02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3"/>
              <w:jc w:val="left"/>
              <w:rPr>
                <w:sz w:val="18"/>
              </w:rPr>
            </w:pPr>
            <w:r>
              <w:rPr>
                <w:sz w:val="18"/>
              </w:rPr>
              <w:t>19110320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8.33</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Pr>
                <w:rFonts w:ascii="宋体" w:eastAsia="宋体" w:hint="eastAsia"/>
                <w:sz w:val="18"/>
              </w:rPr>
            </w:pPr>
            <w:r>
              <w:rPr>
                <w:rFonts w:ascii="宋体" w:eastAsia="宋体" w:hint="eastAsia"/>
                <w:sz w:val="18"/>
              </w:rPr>
              <w:t>永信村（</w:t>
            </w:r>
            <w:r>
              <w:rPr>
                <w:sz w:val="18"/>
              </w:rPr>
              <w:t>-2384,479</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2.48E-02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19071401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12.39</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29"/>
              <w:rPr>
                <w:rFonts w:ascii="宋体" w:eastAsia="宋体" w:hint="eastAsia"/>
                <w:sz w:val="18"/>
              </w:rPr>
            </w:pPr>
            <w:r>
              <w:rPr>
                <w:rFonts w:ascii="宋体" w:eastAsia="宋体" w:hint="eastAsia"/>
                <w:sz w:val="18"/>
              </w:rPr>
              <w:t>规划敏感点 </w:t>
            </w:r>
            <w:r>
              <w:rPr>
                <w:sz w:val="18"/>
              </w:rPr>
              <w:t>1</w:t>
            </w:r>
            <w:r>
              <w:rPr>
                <w:rFonts w:ascii="宋体" w:eastAsia="宋体" w:hint="eastAsia"/>
                <w:sz w:val="18"/>
              </w:rPr>
              <w:t>（</w:t>
            </w:r>
            <w:r>
              <w:rPr>
                <w:sz w:val="18"/>
              </w:rPr>
              <w:t>983,975</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2.81E-02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19100224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14.04</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29"/>
              <w:rPr>
                <w:rFonts w:ascii="宋体" w:eastAsia="宋体" w:hint="eastAsia"/>
                <w:sz w:val="18"/>
              </w:rPr>
            </w:pPr>
            <w:r>
              <w:rPr>
                <w:rFonts w:ascii="宋体" w:eastAsia="宋体" w:hint="eastAsia"/>
                <w:sz w:val="18"/>
              </w:rPr>
              <w:t>规划敏感点 </w:t>
            </w:r>
            <w:r>
              <w:rPr>
                <w:sz w:val="18"/>
              </w:rPr>
              <w:t>2</w:t>
            </w:r>
            <w:r>
              <w:rPr>
                <w:rFonts w:ascii="宋体" w:eastAsia="宋体" w:hint="eastAsia"/>
                <w:sz w:val="18"/>
              </w:rPr>
              <w:t>（</w:t>
            </w:r>
            <w:r>
              <w:rPr>
                <w:sz w:val="18"/>
              </w:rPr>
              <w:t>1246,677</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2.75E-02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19090820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13.75</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29"/>
              <w:rPr>
                <w:rFonts w:ascii="宋体" w:eastAsia="宋体" w:hint="eastAsia"/>
                <w:sz w:val="18"/>
              </w:rPr>
            </w:pPr>
            <w:r>
              <w:rPr>
                <w:rFonts w:ascii="宋体" w:eastAsia="宋体" w:hint="eastAsia"/>
                <w:sz w:val="18"/>
              </w:rPr>
              <w:t>规划敏感点 </w:t>
            </w:r>
            <w:r>
              <w:rPr>
                <w:sz w:val="18"/>
              </w:rPr>
              <w:t>3</w:t>
            </w:r>
            <w:r>
              <w:rPr>
                <w:rFonts w:ascii="宋体" w:eastAsia="宋体" w:hint="eastAsia"/>
                <w:sz w:val="18"/>
              </w:rPr>
              <w:t>（</w:t>
            </w:r>
            <w:r>
              <w:rPr>
                <w:sz w:val="18"/>
              </w:rPr>
              <w:t>1466,682</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2.20E-02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19090224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1"/>
              <w:rPr>
                <w:sz w:val="18"/>
              </w:rPr>
            </w:pPr>
            <w:r>
              <w:rPr>
                <w:sz w:val="18"/>
              </w:rPr>
              <w:t>11.01</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29"/>
              <w:rPr>
                <w:rFonts w:ascii="宋体" w:eastAsia="宋体" w:hint="eastAsia"/>
                <w:sz w:val="18"/>
              </w:rPr>
            </w:pPr>
            <w:r>
              <w:rPr>
                <w:rFonts w:ascii="宋体" w:eastAsia="宋体" w:hint="eastAsia"/>
                <w:sz w:val="18"/>
              </w:rPr>
              <w:t>规划敏感点 </w:t>
            </w:r>
            <w:r>
              <w:rPr>
                <w:sz w:val="18"/>
              </w:rPr>
              <w:t>4</w:t>
            </w:r>
            <w:r>
              <w:rPr>
                <w:rFonts w:ascii="宋体" w:eastAsia="宋体" w:hint="eastAsia"/>
                <w:sz w:val="18"/>
              </w:rPr>
              <w:t>（</w:t>
            </w:r>
            <w:r>
              <w:rPr>
                <w:sz w:val="18"/>
              </w:rPr>
              <w:t>1819,754</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1.80E-02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19090224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8.99</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32"/>
              <w:rPr>
                <w:rFonts w:ascii="宋体" w:eastAsia="宋体" w:hint="eastAsia"/>
                <w:sz w:val="18"/>
              </w:rPr>
            </w:pPr>
            <w:r>
              <w:rPr>
                <w:rFonts w:ascii="宋体" w:eastAsia="宋体" w:hint="eastAsia"/>
                <w:sz w:val="18"/>
              </w:rPr>
              <w:t>规划敏感点 </w:t>
            </w:r>
            <w:r>
              <w:rPr>
                <w:sz w:val="18"/>
              </w:rPr>
              <w:t>5</w:t>
            </w:r>
            <w:r>
              <w:rPr>
                <w:rFonts w:ascii="宋体" w:eastAsia="宋体" w:hint="eastAsia"/>
                <w:sz w:val="18"/>
              </w:rPr>
              <w:t>（</w:t>
            </w:r>
            <w:r>
              <w:rPr>
                <w:sz w:val="18"/>
              </w:rPr>
              <w:t>1698,1061</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2.18E-02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19090820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10.88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4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right w:val="single" w:sz="4" w:space="0" w:color="000000"/>
            </w:tcBorders>
          </w:tcPr>
          <w:p>
            <w:pPr>
              <w:pStyle w:val="TableParagraph"/>
              <w:spacing w:before="54"/>
              <w:ind w:left="32"/>
              <w:rPr>
                <w:rFonts w:ascii="宋体" w:eastAsia="宋体" w:hint="eastAsia"/>
                <w:sz w:val="18"/>
              </w:rPr>
            </w:pPr>
            <w:r>
              <w:rPr>
                <w:rFonts w:ascii="宋体" w:eastAsia="宋体" w:hint="eastAsia"/>
                <w:sz w:val="18"/>
              </w:rPr>
              <w:t>规划敏感点 </w:t>
            </w:r>
            <w:r>
              <w:rPr>
                <w:sz w:val="18"/>
              </w:rPr>
              <w:t>6</w:t>
            </w:r>
            <w:r>
              <w:rPr>
                <w:rFonts w:ascii="宋体" w:eastAsia="宋体" w:hint="eastAsia"/>
                <w:sz w:val="18"/>
              </w:rPr>
              <w:t>（</w:t>
            </w:r>
            <w:r>
              <w:rPr>
                <w:sz w:val="18"/>
              </w:rPr>
              <w:t>1573,1393</w:t>
            </w:r>
            <w:r>
              <w:rPr>
                <w:rFonts w:ascii="宋体" w:eastAsia="宋体" w:hint="eastAsia"/>
                <w:sz w:val="18"/>
              </w:rPr>
              <w:t>）</w:t>
            </w:r>
          </w:p>
        </w:tc>
        <w:tc>
          <w:tcPr>
            <w:tcW w:w="981" w:type="dxa"/>
            <w:tcBorders>
              <w:top w:val="single" w:sz="4" w:space="0" w:color="000000"/>
              <w:left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right w:val="single" w:sz="4" w:space="0" w:color="000000"/>
            </w:tcBorders>
          </w:tcPr>
          <w:p>
            <w:pPr>
              <w:pStyle w:val="TableParagraph"/>
              <w:spacing w:before="66"/>
              <w:ind w:left="134" w:right="103"/>
              <w:rPr>
                <w:sz w:val="18"/>
              </w:rPr>
            </w:pPr>
            <w:r>
              <w:rPr>
                <w:sz w:val="18"/>
              </w:rPr>
              <w:t>1.66E-02</w:t>
            </w:r>
          </w:p>
        </w:tc>
        <w:tc>
          <w:tcPr>
            <w:tcW w:w="1019" w:type="dxa"/>
            <w:tcBorders>
              <w:top w:val="single" w:sz="4" w:space="0" w:color="000000"/>
              <w:left w:val="single" w:sz="4" w:space="0" w:color="000000"/>
              <w:right w:val="single" w:sz="4" w:space="0" w:color="000000"/>
            </w:tcBorders>
          </w:tcPr>
          <w:p>
            <w:pPr>
              <w:pStyle w:val="TableParagraph"/>
              <w:spacing w:before="66"/>
              <w:ind w:left="161"/>
              <w:jc w:val="left"/>
              <w:rPr>
                <w:sz w:val="18"/>
              </w:rPr>
            </w:pPr>
            <w:r>
              <w:rPr>
                <w:sz w:val="18"/>
              </w:rPr>
              <w:t>19100224</w:t>
            </w:r>
          </w:p>
        </w:tc>
        <w:tc>
          <w:tcPr>
            <w:tcW w:w="1016" w:type="dxa"/>
            <w:tcBorders>
              <w:top w:val="single" w:sz="4" w:space="0" w:color="000000"/>
              <w:left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right w:val="single" w:sz="4" w:space="0" w:color="000000"/>
            </w:tcBorders>
          </w:tcPr>
          <w:p>
            <w:pPr>
              <w:pStyle w:val="TableParagraph"/>
              <w:spacing w:before="66"/>
              <w:ind w:left="122" w:right="83"/>
              <w:rPr>
                <w:sz w:val="18"/>
              </w:rPr>
            </w:pPr>
            <w:r>
              <w:rPr>
                <w:sz w:val="18"/>
              </w:rPr>
              <w:t>8.29</w:t>
            </w:r>
          </w:p>
        </w:tc>
        <w:tc>
          <w:tcPr>
            <w:tcW w:w="978" w:type="dxa"/>
            <w:tcBorders>
              <w:top w:val="single" w:sz="4" w:space="0" w:color="000000"/>
              <w:left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bl>
    <w:p>
      <w:pPr>
        <w:spacing w:after="0"/>
        <w:rPr>
          <w:rFonts w:ascii="宋体" w:eastAsia="宋体" w:hint="eastAsia"/>
          <w:sz w:val="18"/>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79"/>
        <w:gridCol w:w="2640"/>
        <w:gridCol w:w="981"/>
        <w:gridCol w:w="997"/>
        <w:gridCol w:w="1019"/>
        <w:gridCol w:w="1016"/>
        <w:gridCol w:w="812"/>
        <w:gridCol w:w="978"/>
      </w:tblGrid>
      <w:tr>
        <w:trPr>
          <w:trHeight w:val="359" w:hRule="atLeast"/>
        </w:trPr>
        <w:tc>
          <w:tcPr>
            <w:tcW w:w="979" w:type="dxa"/>
            <w:tcBorders>
              <w:bottom w:val="single" w:sz="4" w:space="0" w:color="000000"/>
              <w:right w:val="single" w:sz="4" w:space="0" w:color="000000"/>
            </w:tcBorders>
          </w:tcPr>
          <w:p>
            <w:pPr>
              <w:pStyle w:val="TableParagraph"/>
              <w:spacing w:before="67"/>
              <w:ind w:left="126"/>
              <w:jc w:val="left"/>
              <w:rPr>
                <w:rFonts w:ascii="宋体" w:eastAsia="宋体" w:hint="eastAsia"/>
                <w:b/>
                <w:sz w:val="18"/>
              </w:rPr>
            </w:pPr>
            <w:r>
              <w:rPr>
                <w:rFonts w:ascii="宋体" w:eastAsia="宋体" w:hint="eastAsia"/>
                <w:b/>
                <w:sz w:val="18"/>
              </w:rPr>
              <w:t>预测情形</w:t>
            </w:r>
          </w:p>
        </w:tc>
        <w:tc>
          <w:tcPr>
            <w:tcW w:w="2640" w:type="dxa"/>
            <w:tcBorders>
              <w:left w:val="single" w:sz="4" w:space="0" w:color="000000"/>
              <w:bottom w:val="single" w:sz="4" w:space="0" w:color="000000"/>
              <w:right w:val="single" w:sz="4" w:space="0" w:color="000000"/>
            </w:tcBorders>
          </w:tcPr>
          <w:p>
            <w:pPr>
              <w:pStyle w:val="TableParagraph"/>
              <w:spacing w:before="67"/>
              <w:ind w:left="878"/>
              <w:jc w:val="left"/>
              <w:rPr>
                <w:rFonts w:ascii="宋体" w:eastAsia="宋体" w:hint="eastAsia"/>
                <w:b/>
                <w:sz w:val="18"/>
              </w:rPr>
            </w:pPr>
            <w:r>
              <w:rPr>
                <w:rFonts w:ascii="宋体" w:eastAsia="宋体" w:hint="eastAsia"/>
                <w:b/>
                <w:sz w:val="18"/>
              </w:rPr>
              <w:t>预测点名称</w:t>
            </w:r>
          </w:p>
        </w:tc>
        <w:tc>
          <w:tcPr>
            <w:tcW w:w="981" w:type="dxa"/>
            <w:tcBorders>
              <w:left w:val="single" w:sz="4" w:space="0" w:color="000000"/>
              <w:bottom w:val="single" w:sz="4" w:space="0" w:color="000000"/>
              <w:right w:val="single" w:sz="4" w:space="0" w:color="000000"/>
            </w:tcBorders>
          </w:tcPr>
          <w:p>
            <w:pPr>
              <w:pStyle w:val="TableParagraph"/>
              <w:spacing w:before="67"/>
              <w:ind w:left="117" w:right="91"/>
              <w:rPr>
                <w:rFonts w:ascii="宋体" w:eastAsia="宋体" w:hint="eastAsia"/>
                <w:b/>
                <w:sz w:val="18"/>
              </w:rPr>
            </w:pPr>
            <w:r>
              <w:rPr>
                <w:rFonts w:ascii="宋体" w:eastAsia="宋体" w:hint="eastAsia"/>
                <w:b/>
                <w:sz w:val="18"/>
              </w:rPr>
              <w:t>预测浓度</w:t>
            </w:r>
          </w:p>
        </w:tc>
        <w:tc>
          <w:tcPr>
            <w:tcW w:w="997" w:type="dxa"/>
            <w:tcBorders>
              <w:left w:val="single" w:sz="4" w:space="0" w:color="000000"/>
              <w:bottom w:val="single" w:sz="4" w:space="0" w:color="000000"/>
              <w:right w:val="single" w:sz="4" w:space="0" w:color="000000"/>
            </w:tcBorders>
          </w:tcPr>
          <w:p>
            <w:pPr>
              <w:pStyle w:val="TableParagraph"/>
              <w:spacing w:before="67"/>
              <w:ind w:left="133" w:right="105"/>
              <w:rPr>
                <w:rFonts w:ascii="宋体" w:eastAsia="宋体" w:hint="eastAsia"/>
                <w:b/>
                <w:sz w:val="18"/>
              </w:rPr>
            </w:pPr>
            <w:r>
              <w:rPr>
                <w:rFonts w:ascii="宋体" w:eastAsia="宋体" w:hint="eastAsia"/>
                <w:b/>
                <w:sz w:val="18"/>
              </w:rPr>
              <w:t>贡献值</w:t>
            </w:r>
          </w:p>
        </w:tc>
        <w:tc>
          <w:tcPr>
            <w:tcW w:w="1019" w:type="dxa"/>
            <w:tcBorders>
              <w:left w:val="single" w:sz="4" w:space="0" w:color="000000"/>
              <w:bottom w:val="single" w:sz="4" w:space="0" w:color="000000"/>
              <w:right w:val="single" w:sz="4" w:space="0" w:color="000000"/>
            </w:tcBorders>
          </w:tcPr>
          <w:p>
            <w:pPr>
              <w:pStyle w:val="TableParagraph"/>
              <w:spacing w:before="67"/>
              <w:ind w:left="158"/>
              <w:jc w:val="left"/>
              <w:rPr>
                <w:rFonts w:ascii="宋体" w:eastAsia="宋体" w:hint="eastAsia"/>
                <w:b/>
                <w:sz w:val="18"/>
              </w:rPr>
            </w:pPr>
            <w:r>
              <w:rPr>
                <w:rFonts w:ascii="宋体" w:eastAsia="宋体" w:hint="eastAsia"/>
                <w:b/>
                <w:sz w:val="18"/>
              </w:rPr>
              <w:t>出现时刻</w:t>
            </w:r>
          </w:p>
        </w:tc>
        <w:tc>
          <w:tcPr>
            <w:tcW w:w="1016" w:type="dxa"/>
            <w:tcBorders>
              <w:left w:val="single" w:sz="4" w:space="0" w:color="000000"/>
              <w:bottom w:val="single" w:sz="4" w:space="0" w:color="000000"/>
              <w:right w:val="single" w:sz="4" w:space="0" w:color="000000"/>
            </w:tcBorders>
          </w:tcPr>
          <w:p>
            <w:pPr>
              <w:pStyle w:val="TableParagraph"/>
              <w:spacing w:before="67"/>
              <w:ind w:left="75" w:right="43"/>
              <w:rPr>
                <w:rFonts w:ascii="宋体" w:eastAsia="宋体" w:hint="eastAsia"/>
                <w:b/>
                <w:sz w:val="18"/>
              </w:rPr>
            </w:pPr>
            <w:r>
              <w:rPr>
                <w:rFonts w:ascii="宋体" w:eastAsia="宋体" w:hint="eastAsia"/>
                <w:b/>
                <w:sz w:val="18"/>
              </w:rPr>
              <w:t>评价标准</w:t>
            </w:r>
          </w:p>
        </w:tc>
        <w:tc>
          <w:tcPr>
            <w:tcW w:w="812" w:type="dxa"/>
            <w:tcBorders>
              <w:left w:val="single" w:sz="4" w:space="0" w:color="000000"/>
              <w:bottom w:val="single" w:sz="4" w:space="0" w:color="000000"/>
              <w:right w:val="single" w:sz="4" w:space="0" w:color="000000"/>
            </w:tcBorders>
          </w:tcPr>
          <w:p>
            <w:pPr>
              <w:pStyle w:val="TableParagraph"/>
              <w:spacing w:before="67"/>
              <w:ind w:left="122" w:right="82"/>
              <w:rPr>
                <w:rFonts w:ascii="宋体" w:eastAsia="宋体" w:hint="eastAsia"/>
                <w:b/>
                <w:sz w:val="18"/>
              </w:rPr>
            </w:pPr>
            <w:r>
              <w:rPr>
                <w:rFonts w:ascii="宋体" w:eastAsia="宋体" w:hint="eastAsia"/>
                <w:b/>
                <w:sz w:val="18"/>
              </w:rPr>
              <w:t>占标率</w:t>
            </w:r>
          </w:p>
        </w:tc>
        <w:tc>
          <w:tcPr>
            <w:tcW w:w="978" w:type="dxa"/>
            <w:tcBorders>
              <w:left w:val="single" w:sz="4" w:space="0" w:color="000000"/>
              <w:bottom w:val="single" w:sz="4" w:space="0" w:color="000000"/>
            </w:tcBorders>
          </w:tcPr>
          <w:p>
            <w:pPr>
              <w:pStyle w:val="TableParagraph"/>
              <w:spacing w:before="67"/>
              <w:ind w:left="124" w:right="71"/>
              <w:rPr>
                <w:rFonts w:ascii="宋体" w:eastAsia="宋体" w:hint="eastAsia"/>
                <w:b/>
                <w:sz w:val="18"/>
              </w:rPr>
            </w:pPr>
            <w:r>
              <w:rPr>
                <w:rFonts w:ascii="宋体" w:eastAsia="宋体" w:hint="eastAsia"/>
                <w:b/>
                <w:sz w:val="18"/>
              </w:rPr>
              <w:t>是否达标</w:t>
            </w:r>
          </w:p>
        </w:tc>
      </w:tr>
      <w:tr>
        <w:trPr>
          <w:trHeight w:val="349" w:hRule="atLeast"/>
        </w:trPr>
        <w:tc>
          <w:tcPr>
            <w:tcW w:w="979" w:type="dxa"/>
            <w:vMerge w:val="restart"/>
            <w:tcBorders>
              <w:top w:val="single" w:sz="4" w:space="0" w:color="000000"/>
              <w:right w:val="single" w:sz="4" w:space="0" w:color="000000"/>
            </w:tcBorders>
          </w:tcPr>
          <w:p>
            <w:pPr>
              <w:pStyle w:val="TableParagraph"/>
              <w:spacing w:before="0"/>
              <w:jc w:val="left"/>
              <w:rPr>
                <w:sz w:val="18"/>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64"/>
              <w:ind w:right="215"/>
              <w:jc w:val="right"/>
              <w:rPr>
                <w:rFonts w:ascii="宋体" w:eastAsia="宋体" w:hint="eastAsia"/>
                <w:sz w:val="18"/>
              </w:rPr>
            </w:pPr>
            <w:r>
              <w:rPr>
                <w:rFonts w:ascii="宋体" w:eastAsia="宋体" w:hint="eastAsia"/>
                <w:sz w:val="18"/>
              </w:rPr>
              <w:t>规划敏感点 </w:t>
            </w:r>
            <w:r>
              <w:rPr>
                <w:sz w:val="18"/>
              </w:rPr>
              <w:t>7</w:t>
            </w:r>
            <w:r>
              <w:rPr>
                <w:rFonts w:ascii="宋体" w:eastAsia="宋体" w:hint="eastAsia"/>
                <w:sz w:val="18"/>
              </w:rPr>
              <w:t>（</w:t>
            </w:r>
            <w:r>
              <w:rPr>
                <w:sz w:val="18"/>
              </w:rPr>
              <w:t>2059,1095</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6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76"/>
              <w:ind w:left="134" w:right="103"/>
              <w:rPr>
                <w:sz w:val="18"/>
              </w:rPr>
            </w:pPr>
            <w:r>
              <w:rPr>
                <w:sz w:val="18"/>
              </w:rPr>
              <w:t>1.68E-02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76"/>
              <w:ind w:left="161"/>
              <w:jc w:val="left"/>
              <w:rPr>
                <w:sz w:val="18"/>
              </w:rPr>
            </w:pPr>
            <w:r>
              <w:rPr>
                <w:sz w:val="18"/>
              </w:rPr>
              <w:t>19090820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7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22" w:right="83"/>
              <w:rPr>
                <w:sz w:val="18"/>
              </w:rPr>
            </w:pPr>
            <w:r>
              <w:rPr>
                <w:sz w:val="18"/>
              </w:rPr>
              <w:t>8.41</w:t>
            </w:r>
          </w:p>
        </w:tc>
        <w:tc>
          <w:tcPr>
            <w:tcW w:w="978" w:type="dxa"/>
            <w:tcBorders>
              <w:top w:val="single" w:sz="4" w:space="0" w:color="000000"/>
              <w:left w:val="single" w:sz="4" w:space="0" w:color="000000"/>
              <w:bottom w:val="single" w:sz="4" w:space="0" w:color="000000"/>
            </w:tcBorders>
          </w:tcPr>
          <w:p>
            <w:pPr>
              <w:pStyle w:val="TableParagraph"/>
              <w:spacing w:before="6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right="215"/>
              <w:jc w:val="right"/>
              <w:rPr>
                <w:rFonts w:ascii="宋体" w:eastAsia="宋体" w:hint="eastAsia"/>
                <w:sz w:val="18"/>
              </w:rPr>
            </w:pPr>
            <w:r>
              <w:rPr>
                <w:rFonts w:ascii="宋体" w:eastAsia="宋体" w:hint="eastAsia"/>
                <w:sz w:val="18"/>
              </w:rPr>
              <w:t>规划敏感点 </w:t>
            </w:r>
            <w:r>
              <w:rPr>
                <w:sz w:val="18"/>
              </w:rPr>
              <w:t>8</w:t>
            </w:r>
            <w:r>
              <w:rPr>
                <w:rFonts w:ascii="宋体" w:eastAsia="宋体" w:hint="eastAsia"/>
                <w:sz w:val="18"/>
              </w:rPr>
              <w:t>（</w:t>
            </w:r>
            <w:r>
              <w:rPr>
                <w:sz w:val="18"/>
              </w:rPr>
              <w:t>1977,1422</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1.60E-02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19090820</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8.02</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right="220"/>
              <w:jc w:val="right"/>
              <w:rPr>
                <w:rFonts w:ascii="宋体" w:eastAsia="宋体" w:hint="eastAsia"/>
                <w:sz w:val="18"/>
              </w:rPr>
            </w:pPr>
            <w:r>
              <w:rPr>
                <w:rFonts w:ascii="宋体" w:eastAsia="宋体" w:hint="eastAsia"/>
                <w:sz w:val="18"/>
              </w:rPr>
              <w:t>规划敏感点 </w:t>
            </w:r>
            <w:r>
              <w:rPr>
                <w:sz w:val="18"/>
              </w:rPr>
              <w:t>9</w:t>
            </w:r>
            <w:r>
              <w:rPr>
                <w:rFonts w:ascii="宋体" w:eastAsia="宋体" w:hint="eastAsia"/>
                <w:sz w:val="18"/>
              </w:rPr>
              <w:t>（</w:t>
            </w:r>
            <w:r>
              <w:rPr>
                <w:sz w:val="18"/>
              </w:rPr>
              <w:t>1126,2099</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1.31E-02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3"/>
              <w:jc w:val="left"/>
              <w:rPr>
                <w:sz w:val="18"/>
              </w:rPr>
            </w:pPr>
            <w:r>
              <w:rPr>
                <w:sz w:val="18"/>
              </w:rPr>
              <w:t>19071121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6.54</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right="174"/>
              <w:jc w:val="right"/>
              <w:rPr>
                <w:rFonts w:ascii="宋体" w:eastAsia="宋体" w:hint="eastAsia"/>
                <w:sz w:val="18"/>
              </w:rPr>
            </w:pPr>
            <w:r>
              <w:rPr>
                <w:rFonts w:ascii="宋体" w:eastAsia="宋体" w:hint="eastAsia"/>
                <w:sz w:val="18"/>
              </w:rPr>
              <w:t>规划敏感点 </w:t>
            </w:r>
            <w:r>
              <w:rPr>
                <w:sz w:val="18"/>
              </w:rPr>
              <w:t>10</w:t>
            </w:r>
            <w:r>
              <w:rPr>
                <w:rFonts w:ascii="宋体" w:eastAsia="宋体" w:hint="eastAsia"/>
                <w:sz w:val="18"/>
              </w:rPr>
              <w:t>（</w:t>
            </w:r>
            <w:r>
              <w:rPr>
                <w:sz w:val="18"/>
              </w:rPr>
              <w:t>1162,2463</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9.98E-03</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3"/>
              <w:jc w:val="left"/>
              <w:rPr>
                <w:sz w:val="18"/>
              </w:rPr>
            </w:pPr>
            <w:r>
              <w:rPr>
                <w:sz w:val="18"/>
              </w:rPr>
              <w:t>19071121</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4.99</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7"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297"/>
              <w:jc w:val="left"/>
              <w:rPr>
                <w:rFonts w:ascii="宋体" w:eastAsia="宋体" w:hint="eastAsia"/>
                <w:sz w:val="18"/>
              </w:rPr>
            </w:pPr>
            <w:r>
              <w:rPr>
                <w:rFonts w:ascii="宋体" w:eastAsia="宋体" w:hint="eastAsia"/>
                <w:sz w:val="18"/>
              </w:rPr>
              <w:t>规划敏感点 </w:t>
            </w:r>
            <w:r>
              <w:rPr>
                <w:sz w:val="18"/>
              </w:rPr>
              <w:t>11</w:t>
            </w:r>
            <w:r>
              <w:rPr>
                <w:rFonts w:ascii="宋体" w:eastAsia="宋体" w:hint="eastAsia"/>
                <w:sz w:val="18"/>
              </w:rPr>
              <w:t>（</w:t>
            </w:r>
            <w:r>
              <w:rPr>
                <w:sz w:val="18"/>
              </w:rPr>
              <w:t>33,2313</w:t>
            </w:r>
            <w:r>
              <w:rPr>
                <w:rFonts w:ascii="宋体" w:eastAsia="宋体" w:hint="eastAsia"/>
                <w:sz w:val="18"/>
              </w:rPr>
              <w:t>）</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3"/>
              <w:rPr>
                <w:sz w:val="18"/>
              </w:rPr>
            </w:pPr>
            <w:r>
              <w:rPr>
                <w:sz w:val="18"/>
              </w:rPr>
              <w:t>1.95E-02</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19061523</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3"/>
              <w:rPr>
                <w:sz w:val="18"/>
              </w:rPr>
            </w:pPr>
            <w:r>
              <w:rPr>
                <w:sz w:val="18"/>
              </w:rPr>
              <w:t>9.76</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达标</w:t>
            </w:r>
          </w:p>
        </w:tc>
      </w:tr>
      <w:tr>
        <w:trPr>
          <w:trHeight w:val="33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bottom w:val="single" w:sz="4" w:space="0" w:color="000000"/>
              <w:right w:val="single" w:sz="4" w:space="0" w:color="000000"/>
            </w:tcBorders>
          </w:tcPr>
          <w:p>
            <w:pPr>
              <w:pStyle w:val="TableParagraph"/>
              <w:spacing w:before="54"/>
              <w:ind w:left="691"/>
              <w:jc w:val="left"/>
              <w:rPr>
                <w:rFonts w:ascii="宋体" w:eastAsia="宋体" w:hint="eastAsia"/>
                <w:sz w:val="18"/>
              </w:rPr>
            </w:pPr>
            <w:r>
              <w:rPr>
                <w:rFonts w:ascii="宋体" w:eastAsia="宋体" w:hint="eastAsia"/>
                <w:sz w:val="18"/>
              </w:rPr>
              <w:t>网格（</w:t>
            </w:r>
            <w:r>
              <w:rPr>
                <w:sz w:val="18"/>
              </w:rPr>
              <w:t>-50,150</w:t>
            </w:r>
            <w:r>
              <w:rPr>
                <w:rFonts w:ascii="宋体" w:eastAsia="宋体" w:hint="eastAsia"/>
                <w:sz w:val="18"/>
              </w:rPr>
              <w:t>） </w:t>
            </w:r>
          </w:p>
        </w:tc>
        <w:tc>
          <w:tcPr>
            <w:tcW w:w="981" w:type="dxa"/>
            <w:tcBorders>
              <w:top w:val="single" w:sz="4" w:space="0" w:color="000000"/>
              <w:left w:val="single" w:sz="4" w:space="0" w:color="000000"/>
              <w:bottom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before="66"/>
              <w:ind w:left="134" w:right="105"/>
              <w:rPr>
                <w:sz w:val="18"/>
              </w:rPr>
            </w:pPr>
            <w:r>
              <w:rPr>
                <w:sz w:val="18"/>
              </w:rPr>
              <w:t>1.35E+00</w:t>
            </w:r>
          </w:p>
        </w:tc>
        <w:tc>
          <w:tcPr>
            <w:tcW w:w="1019" w:type="dxa"/>
            <w:tcBorders>
              <w:top w:val="single" w:sz="4" w:space="0" w:color="000000"/>
              <w:left w:val="single" w:sz="4" w:space="0" w:color="000000"/>
              <w:bottom w:val="single" w:sz="4" w:space="0" w:color="000000"/>
              <w:right w:val="single" w:sz="4" w:space="0" w:color="000000"/>
            </w:tcBorders>
          </w:tcPr>
          <w:p>
            <w:pPr>
              <w:pStyle w:val="TableParagraph"/>
              <w:spacing w:before="66"/>
              <w:ind w:left="161"/>
              <w:jc w:val="left"/>
              <w:rPr>
                <w:sz w:val="18"/>
              </w:rPr>
            </w:pPr>
            <w:r>
              <w:rPr>
                <w:sz w:val="18"/>
              </w:rPr>
              <w:t>19100224</w:t>
            </w:r>
          </w:p>
        </w:tc>
        <w:tc>
          <w:tcPr>
            <w:tcW w:w="1016" w:type="dxa"/>
            <w:tcBorders>
              <w:top w:val="single" w:sz="4" w:space="0" w:color="000000"/>
              <w:left w:val="single" w:sz="4" w:space="0" w:color="000000"/>
              <w:bottom w:val="single" w:sz="4" w:space="0" w:color="000000"/>
              <w:right w:val="single" w:sz="4" w:space="0" w:color="000000"/>
            </w:tcBorders>
          </w:tcPr>
          <w:p>
            <w:pPr>
              <w:pStyle w:val="TableParagraph"/>
              <w:spacing w:before="66"/>
              <w:ind w:left="75" w:right="43"/>
              <w:rPr>
                <w:sz w:val="18"/>
              </w:rPr>
            </w:pPr>
            <w:r>
              <w:rPr>
                <w:sz w:val="18"/>
              </w:rPr>
              <w:t>2.00E-01</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22" w:right="81"/>
              <w:rPr>
                <w:sz w:val="18"/>
              </w:rPr>
            </w:pPr>
            <w:r>
              <w:rPr>
                <w:sz w:val="18"/>
              </w:rPr>
              <w:t>673.08</w:t>
            </w:r>
          </w:p>
        </w:tc>
        <w:tc>
          <w:tcPr>
            <w:tcW w:w="978" w:type="dxa"/>
            <w:tcBorders>
              <w:top w:val="single" w:sz="4" w:space="0" w:color="000000"/>
              <w:left w:val="single" w:sz="4" w:space="0" w:color="000000"/>
              <w:bottom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超标</w:t>
            </w:r>
          </w:p>
        </w:tc>
      </w:tr>
      <w:tr>
        <w:trPr>
          <w:trHeight w:val="349" w:hRule="atLeast"/>
        </w:trPr>
        <w:tc>
          <w:tcPr>
            <w:tcW w:w="979" w:type="dxa"/>
            <w:vMerge/>
            <w:tcBorders>
              <w:top w:val="nil"/>
              <w:right w:val="single" w:sz="4" w:space="0" w:color="000000"/>
            </w:tcBorders>
          </w:tcPr>
          <w:p>
            <w:pPr>
              <w:rPr>
                <w:sz w:val="2"/>
                <w:szCs w:val="2"/>
              </w:rPr>
            </w:pPr>
          </w:p>
        </w:tc>
        <w:tc>
          <w:tcPr>
            <w:tcW w:w="2640" w:type="dxa"/>
            <w:tcBorders>
              <w:top w:val="single" w:sz="4" w:space="0" w:color="000000"/>
              <w:left w:val="single" w:sz="4" w:space="0" w:color="000000"/>
              <w:right w:val="single" w:sz="4" w:space="0" w:color="000000"/>
            </w:tcBorders>
          </w:tcPr>
          <w:p>
            <w:pPr>
              <w:pStyle w:val="TableParagraph"/>
              <w:spacing w:before="54"/>
              <w:ind w:left="691"/>
              <w:jc w:val="left"/>
              <w:rPr>
                <w:rFonts w:ascii="宋体" w:eastAsia="宋体" w:hint="eastAsia"/>
                <w:sz w:val="18"/>
              </w:rPr>
            </w:pPr>
            <w:r>
              <w:rPr>
                <w:rFonts w:ascii="宋体" w:eastAsia="宋体" w:hint="eastAsia"/>
                <w:sz w:val="18"/>
              </w:rPr>
              <w:t>厂界（</w:t>
            </w:r>
            <w:r>
              <w:rPr>
                <w:sz w:val="18"/>
              </w:rPr>
              <w:t>-83,140</w:t>
            </w:r>
            <w:r>
              <w:rPr>
                <w:rFonts w:ascii="宋体" w:eastAsia="宋体" w:hint="eastAsia"/>
                <w:sz w:val="18"/>
              </w:rPr>
              <w:t>） </w:t>
            </w:r>
          </w:p>
        </w:tc>
        <w:tc>
          <w:tcPr>
            <w:tcW w:w="981" w:type="dxa"/>
            <w:tcBorders>
              <w:top w:val="single" w:sz="4" w:space="0" w:color="000000"/>
              <w:left w:val="single" w:sz="4" w:space="0" w:color="000000"/>
              <w:right w:val="single" w:sz="4" w:space="0" w:color="000000"/>
            </w:tcBorders>
          </w:tcPr>
          <w:p>
            <w:pPr>
              <w:pStyle w:val="TableParagraph"/>
              <w:spacing w:before="54"/>
              <w:ind w:left="117" w:right="87"/>
              <w:rPr>
                <w:rFonts w:ascii="宋体" w:eastAsia="宋体" w:hint="eastAsia"/>
                <w:sz w:val="18"/>
              </w:rPr>
            </w:pPr>
            <w:r>
              <w:rPr>
                <w:sz w:val="18"/>
              </w:rPr>
              <w:t>1 </w:t>
            </w:r>
            <w:r>
              <w:rPr>
                <w:rFonts w:ascii="宋体" w:eastAsia="宋体" w:hint="eastAsia"/>
                <w:sz w:val="18"/>
              </w:rPr>
              <w:t>小时</w:t>
            </w:r>
          </w:p>
        </w:tc>
        <w:tc>
          <w:tcPr>
            <w:tcW w:w="997" w:type="dxa"/>
            <w:tcBorders>
              <w:top w:val="single" w:sz="4" w:space="0" w:color="000000"/>
              <w:left w:val="single" w:sz="4" w:space="0" w:color="000000"/>
              <w:right w:val="single" w:sz="4" w:space="0" w:color="000000"/>
            </w:tcBorders>
          </w:tcPr>
          <w:p>
            <w:pPr>
              <w:pStyle w:val="TableParagraph"/>
              <w:spacing w:before="66"/>
              <w:ind w:left="134" w:right="105"/>
              <w:rPr>
                <w:sz w:val="18"/>
              </w:rPr>
            </w:pPr>
            <w:r>
              <w:rPr>
                <w:sz w:val="18"/>
              </w:rPr>
              <w:t>3.02E+00</w:t>
            </w:r>
          </w:p>
        </w:tc>
        <w:tc>
          <w:tcPr>
            <w:tcW w:w="1019" w:type="dxa"/>
            <w:tcBorders>
              <w:top w:val="single" w:sz="4" w:space="0" w:color="000000"/>
              <w:left w:val="single" w:sz="4" w:space="0" w:color="000000"/>
              <w:right w:val="single" w:sz="4" w:space="0" w:color="000000"/>
            </w:tcBorders>
          </w:tcPr>
          <w:p>
            <w:pPr>
              <w:pStyle w:val="TableParagraph"/>
              <w:spacing w:before="66"/>
              <w:ind w:left="161"/>
              <w:jc w:val="left"/>
              <w:rPr>
                <w:sz w:val="18"/>
              </w:rPr>
            </w:pPr>
            <w:r>
              <w:rPr>
                <w:sz w:val="18"/>
              </w:rPr>
              <w:t>19060922</w:t>
            </w:r>
          </w:p>
        </w:tc>
        <w:tc>
          <w:tcPr>
            <w:tcW w:w="1016" w:type="dxa"/>
            <w:tcBorders>
              <w:top w:val="single" w:sz="4" w:space="0" w:color="000000"/>
              <w:left w:val="single" w:sz="4" w:space="0" w:color="000000"/>
              <w:right w:val="single" w:sz="4" w:space="0" w:color="000000"/>
            </w:tcBorders>
          </w:tcPr>
          <w:p>
            <w:pPr>
              <w:pStyle w:val="TableParagraph"/>
              <w:spacing w:before="66"/>
              <w:ind w:left="75" w:right="39"/>
              <w:rPr>
                <w:sz w:val="18"/>
              </w:rPr>
            </w:pPr>
            <w:r>
              <w:rPr>
                <w:sz w:val="18"/>
              </w:rPr>
              <w:t>1.50E+00</w:t>
            </w:r>
          </w:p>
        </w:tc>
        <w:tc>
          <w:tcPr>
            <w:tcW w:w="812" w:type="dxa"/>
            <w:tcBorders>
              <w:top w:val="single" w:sz="4" w:space="0" w:color="000000"/>
              <w:left w:val="single" w:sz="4" w:space="0" w:color="000000"/>
              <w:right w:val="single" w:sz="4" w:space="0" w:color="000000"/>
            </w:tcBorders>
          </w:tcPr>
          <w:p>
            <w:pPr>
              <w:pStyle w:val="TableParagraph"/>
              <w:spacing w:before="66"/>
              <w:ind w:left="122" w:right="81"/>
              <w:rPr>
                <w:sz w:val="18"/>
              </w:rPr>
            </w:pPr>
            <w:r>
              <w:rPr>
                <w:sz w:val="18"/>
              </w:rPr>
              <w:t>201.33</w:t>
            </w:r>
          </w:p>
        </w:tc>
        <w:tc>
          <w:tcPr>
            <w:tcW w:w="978" w:type="dxa"/>
            <w:tcBorders>
              <w:top w:val="single" w:sz="4" w:space="0" w:color="000000"/>
              <w:left w:val="single" w:sz="4" w:space="0" w:color="000000"/>
            </w:tcBorders>
          </w:tcPr>
          <w:p>
            <w:pPr>
              <w:pStyle w:val="TableParagraph"/>
              <w:spacing w:before="54"/>
              <w:ind w:left="124" w:right="68"/>
              <w:rPr>
                <w:rFonts w:ascii="宋体" w:eastAsia="宋体" w:hint="eastAsia"/>
                <w:sz w:val="18"/>
              </w:rPr>
            </w:pPr>
            <w:r>
              <w:rPr>
                <w:rFonts w:ascii="宋体" w:eastAsia="宋体" w:hint="eastAsia"/>
                <w:sz w:val="18"/>
              </w:rPr>
              <w:t>超标</w:t>
            </w:r>
          </w:p>
        </w:tc>
      </w:tr>
    </w:tbl>
    <w:p>
      <w:pPr>
        <w:spacing w:before="91"/>
        <w:ind w:left="717" w:right="0" w:firstLine="0"/>
        <w:jc w:val="left"/>
        <w:rPr>
          <w:rFonts w:ascii="Times New Roman" w:hAnsi="Times New Roman"/>
          <w:sz w:val="24"/>
        </w:rPr>
      </w:pPr>
      <w:r>
        <w:rPr>
          <w:position w:val="2"/>
          <w:sz w:val="24"/>
        </w:rPr>
        <w:t>②</w:t>
      </w:r>
      <w:r>
        <w:rPr>
          <w:rFonts w:ascii="Times New Roman" w:hAnsi="Times New Roman"/>
          <w:position w:val="2"/>
          <w:sz w:val="24"/>
        </w:rPr>
        <w:t>H</w:t>
      </w:r>
      <w:r>
        <w:rPr>
          <w:rFonts w:ascii="Times New Roman" w:hAnsi="Times New Roman"/>
          <w:sz w:val="16"/>
        </w:rPr>
        <w:t>2</w:t>
      </w:r>
      <w:r>
        <w:rPr>
          <w:rFonts w:ascii="Times New Roman" w:hAnsi="Times New Roman"/>
          <w:position w:val="2"/>
          <w:sz w:val="24"/>
        </w:rPr>
        <w:t>S</w:t>
      </w:r>
    </w:p>
    <w:p>
      <w:pPr>
        <w:pStyle w:val="BodyText"/>
        <w:spacing w:line="364" w:lineRule="auto" w:before="161"/>
        <w:ind w:right="252" w:firstLine="480"/>
        <w:jc w:val="both"/>
      </w:pPr>
      <w:r>
        <w:rPr>
          <w:spacing w:val="-11"/>
          <w:position w:val="2"/>
        </w:rPr>
        <w:t>由预测结果可知，非正常工况下：情形 </w:t>
      </w:r>
      <w:r>
        <w:rPr>
          <w:rFonts w:ascii="Times New Roman" w:eastAsia="Times New Roman"/>
          <w:position w:val="2"/>
        </w:rPr>
        <w:t>1 </w:t>
      </w:r>
      <w:r>
        <w:rPr>
          <w:spacing w:val="-5"/>
          <w:position w:val="2"/>
        </w:rPr>
        <w:t>时，</w:t>
      </w:r>
      <w:r>
        <w:rPr>
          <w:rFonts w:ascii="Times New Roman" w:eastAsia="Times New Roman"/>
          <w:spacing w:val="-9"/>
          <w:position w:val="2"/>
        </w:rPr>
        <w:t>H</w:t>
      </w:r>
      <w:r>
        <w:rPr>
          <w:rFonts w:ascii="Times New Roman" w:eastAsia="Times New Roman"/>
          <w:spacing w:val="-9"/>
          <w:sz w:val="16"/>
        </w:rPr>
        <w:t>2</w:t>
      </w:r>
      <w:r>
        <w:rPr>
          <w:rFonts w:ascii="Times New Roman" w:eastAsia="Times New Roman"/>
          <w:spacing w:val="-9"/>
          <w:position w:val="2"/>
        </w:rPr>
        <w:t>S </w:t>
      </w:r>
      <w:r>
        <w:rPr>
          <w:spacing w:val="-2"/>
          <w:position w:val="2"/>
        </w:rPr>
        <w:t>排放对各敏感点的小时浓度贡献值</w:t>
      </w:r>
      <w:r>
        <w:rPr>
          <w:spacing w:val="-7"/>
        </w:rPr>
        <w:t>最大占标率为 </w:t>
      </w:r>
      <w:r>
        <w:rPr>
          <w:rFonts w:ascii="Times New Roman" w:eastAsia="Times New Roman"/>
        </w:rPr>
        <w:t>87.93%</w:t>
      </w:r>
      <w:r>
        <w:rPr/>
        <w:t>（出现在丰项村项里自然村），</w:t>
      </w:r>
      <w:r>
        <w:rPr>
          <w:spacing w:val="-2"/>
        </w:rPr>
        <w:t>可达标；最大落地浓度点的小时浓</w:t>
      </w:r>
      <w:r>
        <w:rPr>
          <w:spacing w:val="-6"/>
          <w:position w:val="2"/>
        </w:rPr>
        <w:t>度贡献值最大占标率为 </w:t>
      </w:r>
      <w:r>
        <w:rPr>
          <w:rFonts w:ascii="Times New Roman" w:eastAsia="Times New Roman"/>
          <w:spacing w:val="-4"/>
          <w:position w:val="2"/>
        </w:rPr>
        <w:t>512.81%</w:t>
      </w:r>
      <w:r>
        <w:rPr>
          <w:spacing w:val="-14"/>
          <w:position w:val="2"/>
        </w:rPr>
        <w:t>，超标。情形 </w:t>
      </w:r>
      <w:r>
        <w:rPr>
          <w:rFonts w:ascii="Times New Roman" w:eastAsia="Times New Roman"/>
          <w:position w:val="2"/>
        </w:rPr>
        <w:t>2 </w:t>
      </w:r>
      <w:r>
        <w:rPr>
          <w:spacing w:val="-3"/>
          <w:position w:val="2"/>
        </w:rPr>
        <w:t>时，</w:t>
      </w:r>
      <w:r>
        <w:rPr>
          <w:rFonts w:ascii="Times New Roman" w:eastAsia="Times New Roman"/>
          <w:spacing w:val="-6"/>
          <w:position w:val="2"/>
        </w:rPr>
        <w:t>H</w:t>
      </w:r>
      <w:r>
        <w:rPr>
          <w:rFonts w:ascii="Times New Roman" w:eastAsia="Times New Roman"/>
          <w:spacing w:val="-6"/>
          <w:sz w:val="16"/>
        </w:rPr>
        <w:t>2</w:t>
      </w:r>
      <w:r>
        <w:rPr>
          <w:rFonts w:ascii="Times New Roman" w:eastAsia="Times New Roman"/>
          <w:spacing w:val="-6"/>
          <w:position w:val="2"/>
        </w:rPr>
        <w:t>S </w:t>
      </w:r>
      <w:r>
        <w:rPr>
          <w:spacing w:val="-2"/>
          <w:position w:val="2"/>
        </w:rPr>
        <w:t>排放对各敏感点的小时浓度贡献</w:t>
      </w:r>
      <w:r>
        <w:rPr>
          <w:spacing w:val="-6"/>
        </w:rPr>
        <w:t>值最大占标率为 </w:t>
      </w:r>
      <w:r>
        <w:rPr>
          <w:rFonts w:ascii="Times New Roman" w:eastAsia="Times New Roman"/>
        </w:rPr>
        <w:t>28.92%</w:t>
      </w:r>
      <w:r>
        <w:rPr/>
        <w:t>（也出现在丰项村项里自然村），</w:t>
      </w:r>
      <w:r>
        <w:rPr>
          <w:spacing w:val="-2"/>
        </w:rPr>
        <w:t>可达标；最大落地浓度点的小</w:t>
      </w:r>
      <w:r>
        <w:rPr>
          <w:spacing w:val="-2"/>
          <w:position w:val="2"/>
        </w:rPr>
        <w:t>时浓度贡献值最大占标率为 </w:t>
      </w:r>
      <w:r>
        <w:rPr>
          <w:rFonts w:ascii="Times New Roman" w:eastAsia="Times New Roman"/>
          <w:position w:val="2"/>
        </w:rPr>
        <w:t>168.77%</w:t>
      </w:r>
      <w:r>
        <w:rPr>
          <w:spacing w:val="-4"/>
          <w:position w:val="2"/>
        </w:rPr>
        <w:t>，超标。说明 </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2"/>
          <w:position w:val="2"/>
        </w:rPr>
        <w:t>的非正常排放对周围环境影响较</w:t>
      </w:r>
      <w:r>
        <w:rPr/>
        <w:t>大，企业须加强日常管理，确保除臭系统正常稳定运行。</w:t>
      </w:r>
    </w:p>
    <w:p>
      <w:pPr>
        <w:pStyle w:val="Heading3"/>
        <w:spacing w:before="4"/>
        <w:ind w:left="2496"/>
        <w:jc w:val="both"/>
      </w:pPr>
      <w:r>
        <w:rPr>
          <w:position w:val="1"/>
        </w:rPr>
        <w:t>表 </w:t>
      </w:r>
      <w:r>
        <w:rPr>
          <w:rFonts w:ascii="Times New Roman" w:eastAsia="Times New Roman"/>
          <w:position w:val="1"/>
        </w:rPr>
        <w:t>5.2-25  </w:t>
      </w:r>
      <w:r>
        <w:rPr>
          <w:position w:val="1"/>
        </w:rPr>
        <w:t>非正常工况下 </w:t>
      </w:r>
      <w:r>
        <w:rPr>
          <w:rFonts w:ascii="Times New Roman" w:eastAsia="Times New Roman"/>
          <w:position w:val="1"/>
        </w:rPr>
        <w:t>H</w:t>
      </w:r>
      <w:r>
        <w:rPr>
          <w:rFonts w:ascii="Times New Roman" w:eastAsia="Times New Roman"/>
          <w:sz w:val="16"/>
        </w:rPr>
        <w:t>2</w:t>
      </w:r>
      <w:r>
        <w:rPr>
          <w:rFonts w:ascii="Times New Roman" w:eastAsia="Times New Roman"/>
          <w:position w:val="1"/>
        </w:rPr>
        <w:t>S </w:t>
      </w:r>
      <w:r>
        <w:rPr>
          <w:position w:val="1"/>
        </w:rPr>
        <w:t>排放的预测结果</w:t>
      </w:r>
    </w:p>
    <w:p>
      <w:pPr>
        <w:pStyle w:val="BodyText"/>
        <w:spacing w:before="2"/>
        <w:ind w:left="0"/>
        <w:rPr>
          <w:b/>
          <w:sz w:val="6"/>
        </w:r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3"/>
        <w:gridCol w:w="2638"/>
        <w:gridCol w:w="1006"/>
        <w:gridCol w:w="946"/>
        <w:gridCol w:w="1007"/>
        <w:gridCol w:w="1006"/>
        <w:gridCol w:w="812"/>
        <w:gridCol w:w="1009"/>
      </w:tblGrid>
      <w:tr>
        <w:trPr>
          <w:trHeight w:val="359" w:hRule="atLeast"/>
        </w:trPr>
        <w:tc>
          <w:tcPr>
            <w:tcW w:w="1003" w:type="dxa"/>
            <w:tcBorders>
              <w:bottom w:val="single" w:sz="4" w:space="0" w:color="000000"/>
              <w:right w:val="single" w:sz="4" w:space="0" w:color="000000"/>
            </w:tcBorders>
          </w:tcPr>
          <w:p>
            <w:pPr>
              <w:pStyle w:val="TableParagraph"/>
              <w:spacing w:before="66"/>
              <w:ind w:left="138"/>
              <w:jc w:val="left"/>
              <w:rPr>
                <w:rFonts w:ascii="宋体" w:eastAsia="宋体" w:hint="eastAsia"/>
                <w:b/>
                <w:sz w:val="18"/>
              </w:rPr>
            </w:pPr>
            <w:r>
              <w:rPr>
                <w:rFonts w:ascii="宋体" w:eastAsia="宋体" w:hint="eastAsia"/>
                <w:b/>
                <w:sz w:val="18"/>
              </w:rPr>
              <w:t>预测情形</w:t>
            </w:r>
          </w:p>
        </w:tc>
        <w:tc>
          <w:tcPr>
            <w:tcW w:w="2638" w:type="dxa"/>
            <w:tcBorders>
              <w:left w:val="single" w:sz="4" w:space="0" w:color="000000"/>
              <w:bottom w:val="single" w:sz="4" w:space="0" w:color="000000"/>
              <w:right w:val="single" w:sz="4" w:space="0" w:color="000000"/>
            </w:tcBorders>
          </w:tcPr>
          <w:p>
            <w:pPr>
              <w:pStyle w:val="TableParagraph"/>
              <w:spacing w:before="66"/>
              <w:ind w:left="157" w:right="131"/>
              <w:rPr>
                <w:rFonts w:ascii="宋体" w:eastAsia="宋体" w:hint="eastAsia"/>
                <w:b/>
                <w:sz w:val="18"/>
              </w:rPr>
            </w:pPr>
            <w:r>
              <w:rPr>
                <w:rFonts w:ascii="宋体" w:eastAsia="宋体" w:hint="eastAsia"/>
                <w:b/>
                <w:sz w:val="18"/>
              </w:rPr>
              <w:t>预测点名称</w:t>
            </w:r>
          </w:p>
        </w:tc>
        <w:tc>
          <w:tcPr>
            <w:tcW w:w="1006" w:type="dxa"/>
            <w:tcBorders>
              <w:left w:val="single" w:sz="4" w:space="0" w:color="000000"/>
              <w:bottom w:val="single" w:sz="4" w:space="0" w:color="000000"/>
              <w:right w:val="single" w:sz="4" w:space="0" w:color="000000"/>
            </w:tcBorders>
          </w:tcPr>
          <w:p>
            <w:pPr>
              <w:pStyle w:val="TableParagraph"/>
              <w:spacing w:before="66"/>
              <w:ind w:left="127" w:right="98"/>
              <w:rPr>
                <w:rFonts w:ascii="宋体" w:eastAsia="宋体" w:hint="eastAsia"/>
                <w:b/>
                <w:sz w:val="18"/>
              </w:rPr>
            </w:pPr>
            <w:r>
              <w:rPr>
                <w:rFonts w:ascii="宋体" w:eastAsia="宋体" w:hint="eastAsia"/>
                <w:b/>
                <w:sz w:val="18"/>
              </w:rPr>
              <w:t>预测浓度</w:t>
            </w:r>
          </w:p>
        </w:tc>
        <w:tc>
          <w:tcPr>
            <w:tcW w:w="946" w:type="dxa"/>
            <w:tcBorders>
              <w:left w:val="single" w:sz="4" w:space="0" w:color="000000"/>
              <w:bottom w:val="single" w:sz="4" w:space="0" w:color="000000"/>
              <w:right w:val="single" w:sz="4" w:space="0" w:color="000000"/>
            </w:tcBorders>
          </w:tcPr>
          <w:p>
            <w:pPr>
              <w:pStyle w:val="TableParagraph"/>
              <w:spacing w:before="66"/>
              <w:ind w:left="208"/>
              <w:jc w:val="left"/>
              <w:rPr>
                <w:rFonts w:ascii="宋体" w:eastAsia="宋体" w:hint="eastAsia"/>
                <w:b/>
                <w:sz w:val="18"/>
              </w:rPr>
            </w:pPr>
            <w:r>
              <w:rPr>
                <w:rFonts w:ascii="宋体" w:eastAsia="宋体" w:hint="eastAsia"/>
                <w:b/>
                <w:sz w:val="18"/>
              </w:rPr>
              <w:t>贡献值</w:t>
            </w:r>
          </w:p>
        </w:tc>
        <w:tc>
          <w:tcPr>
            <w:tcW w:w="1007" w:type="dxa"/>
            <w:tcBorders>
              <w:left w:val="single" w:sz="4" w:space="0" w:color="000000"/>
              <w:bottom w:val="single" w:sz="4" w:space="0" w:color="000000"/>
              <w:right w:val="single" w:sz="4" w:space="0" w:color="000000"/>
            </w:tcBorders>
          </w:tcPr>
          <w:p>
            <w:pPr>
              <w:pStyle w:val="TableParagraph"/>
              <w:spacing w:before="66"/>
              <w:ind w:left="148"/>
              <w:jc w:val="left"/>
              <w:rPr>
                <w:rFonts w:ascii="宋体" w:eastAsia="宋体" w:hint="eastAsia"/>
                <w:b/>
                <w:sz w:val="18"/>
              </w:rPr>
            </w:pPr>
            <w:r>
              <w:rPr>
                <w:rFonts w:ascii="宋体" w:eastAsia="宋体" w:hint="eastAsia"/>
                <w:b/>
                <w:sz w:val="18"/>
              </w:rPr>
              <w:t>出现时刻</w:t>
            </w:r>
          </w:p>
        </w:tc>
        <w:tc>
          <w:tcPr>
            <w:tcW w:w="1006" w:type="dxa"/>
            <w:tcBorders>
              <w:left w:val="single" w:sz="4" w:space="0" w:color="000000"/>
              <w:bottom w:val="single" w:sz="4" w:space="0" w:color="000000"/>
              <w:right w:val="single" w:sz="4" w:space="0" w:color="000000"/>
            </w:tcBorders>
          </w:tcPr>
          <w:p>
            <w:pPr>
              <w:pStyle w:val="TableParagraph"/>
              <w:spacing w:before="66"/>
              <w:ind w:left="123" w:right="102"/>
              <w:rPr>
                <w:rFonts w:ascii="宋体" w:eastAsia="宋体" w:hint="eastAsia"/>
                <w:b/>
                <w:sz w:val="18"/>
              </w:rPr>
            </w:pPr>
            <w:r>
              <w:rPr>
                <w:rFonts w:ascii="宋体" w:eastAsia="宋体" w:hint="eastAsia"/>
                <w:b/>
                <w:sz w:val="18"/>
              </w:rPr>
              <w:t>评价标准</w:t>
            </w:r>
          </w:p>
        </w:tc>
        <w:tc>
          <w:tcPr>
            <w:tcW w:w="812" w:type="dxa"/>
            <w:tcBorders>
              <w:left w:val="single" w:sz="4" w:space="0" w:color="000000"/>
              <w:bottom w:val="single" w:sz="4" w:space="0" w:color="000000"/>
              <w:right w:val="single" w:sz="4" w:space="0" w:color="000000"/>
            </w:tcBorders>
          </w:tcPr>
          <w:p>
            <w:pPr>
              <w:pStyle w:val="TableParagraph"/>
              <w:spacing w:before="66"/>
              <w:ind w:left="114" w:right="89"/>
              <w:rPr>
                <w:rFonts w:ascii="宋体" w:eastAsia="宋体" w:hint="eastAsia"/>
                <w:b/>
                <w:sz w:val="18"/>
              </w:rPr>
            </w:pPr>
            <w:r>
              <w:rPr>
                <w:rFonts w:ascii="宋体" w:eastAsia="宋体" w:hint="eastAsia"/>
                <w:b/>
                <w:sz w:val="18"/>
              </w:rPr>
              <w:t>占标率</w:t>
            </w:r>
          </w:p>
        </w:tc>
        <w:tc>
          <w:tcPr>
            <w:tcW w:w="1009" w:type="dxa"/>
            <w:tcBorders>
              <w:left w:val="single" w:sz="4" w:space="0" w:color="000000"/>
              <w:bottom w:val="single" w:sz="4" w:space="0" w:color="000000"/>
            </w:tcBorders>
          </w:tcPr>
          <w:p>
            <w:pPr>
              <w:pStyle w:val="TableParagraph"/>
              <w:spacing w:before="66"/>
              <w:ind w:left="128" w:right="97"/>
              <w:rPr>
                <w:rFonts w:ascii="宋体" w:eastAsia="宋体" w:hint="eastAsia"/>
                <w:b/>
                <w:sz w:val="18"/>
              </w:rPr>
            </w:pPr>
            <w:r>
              <w:rPr>
                <w:rFonts w:ascii="宋体" w:eastAsia="宋体" w:hint="eastAsia"/>
                <w:b/>
                <w:sz w:val="18"/>
              </w:rPr>
              <w:t>是否达标</w:t>
            </w:r>
          </w:p>
        </w:tc>
      </w:tr>
      <w:tr>
        <w:trPr>
          <w:trHeight w:val="350" w:hRule="atLeast"/>
        </w:trPr>
        <w:tc>
          <w:tcPr>
            <w:tcW w:w="1003" w:type="dxa"/>
            <w:vMerge w:val="restart"/>
            <w:tcBorders>
              <w:top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9"/>
              </w:rPr>
            </w:pPr>
          </w:p>
          <w:p>
            <w:pPr>
              <w:pStyle w:val="TableParagraph"/>
              <w:spacing w:before="0"/>
              <w:ind w:left="251"/>
              <w:jc w:val="left"/>
              <w:rPr>
                <w:sz w:val="18"/>
              </w:rPr>
            </w:pPr>
            <w:r>
              <w:rPr>
                <w:rFonts w:ascii="宋体" w:eastAsia="宋体" w:hint="eastAsia"/>
                <w:sz w:val="18"/>
              </w:rPr>
              <w:t>情形 </w:t>
            </w:r>
            <w:r>
              <w:rPr>
                <w:sz w:val="18"/>
              </w:rPr>
              <w:t>1</w:t>
            </w: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5"/>
              <w:ind w:left="162" w:right="46"/>
              <w:rPr>
                <w:rFonts w:ascii="宋体" w:eastAsia="宋体" w:hint="eastAsia"/>
                <w:sz w:val="18"/>
              </w:rPr>
            </w:pPr>
            <w:r>
              <w:rPr>
                <w:rFonts w:ascii="宋体" w:eastAsia="宋体" w:hint="eastAsia"/>
                <w:sz w:val="18"/>
              </w:rPr>
              <w:t>丰一（</w:t>
            </w:r>
            <w:r>
              <w:rPr>
                <w:sz w:val="18"/>
              </w:rPr>
              <w:t>797,894</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5"/>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7"/>
              <w:ind w:left="148"/>
              <w:jc w:val="left"/>
              <w:rPr>
                <w:sz w:val="18"/>
              </w:rPr>
            </w:pPr>
            <w:r>
              <w:rPr>
                <w:sz w:val="18"/>
              </w:rPr>
              <w:t>8.33E-03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7"/>
              <w:ind w:left="148"/>
              <w:jc w:val="left"/>
              <w:rPr>
                <w:sz w:val="18"/>
              </w:rPr>
            </w:pPr>
            <w:r>
              <w:rPr>
                <w:sz w:val="18"/>
              </w:rPr>
              <w:t>19070422</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7"/>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7"/>
              <w:ind w:left="112" w:right="89"/>
              <w:rPr>
                <w:sz w:val="18"/>
              </w:rPr>
            </w:pPr>
            <w:r>
              <w:rPr>
                <w:sz w:val="18"/>
              </w:rPr>
              <w:t>83.29</w:t>
            </w:r>
          </w:p>
        </w:tc>
        <w:tc>
          <w:tcPr>
            <w:tcW w:w="1009" w:type="dxa"/>
            <w:tcBorders>
              <w:top w:val="single" w:sz="4" w:space="0" w:color="000000"/>
              <w:left w:val="single" w:sz="4" w:space="0" w:color="000000"/>
              <w:bottom w:val="single" w:sz="4" w:space="0" w:color="000000"/>
            </w:tcBorders>
          </w:tcPr>
          <w:p>
            <w:pPr>
              <w:pStyle w:val="TableParagraph"/>
              <w:spacing w:before="65"/>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丰二（</w:t>
            </w:r>
            <w:r>
              <w:rPr>
                <w:sz w:val="18"/>
              </w:rPr>
              <w:t>897,1268</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6.31E-03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53"/>
              <w:jc w:val="left"/>
              <w:rPr>
                <w:sz w:val="18"/>
              </w:rPr>
            </w:pPr>
            <w:r>
              <w:rPr>
                <w:sz w:val="18"/>
              </w:rPr>
              <w:t>19041124</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63.10</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7"/>
              <w:ind w:left="162" w:right="46"/>
              <w:rPr>
                <w:rFonts w:ascii="宋体" w:eastAsia="宋体" w:hint="eastAsia"/>
                <w:sz w:val="18"/>
              </w:rPr>
            </w:pPr>
            <w:r>
              <w:rPr>
                <w:rFonts w:ascii="宋体" w:eastAsia="宋体" w:hint="eastAsia"/>
                <w:sz w:val="18"/>
              </w:rPr>
              <w:t>项里（</w:t>
            </w:r>
            <w:r>
              <w:rPr>
                <w:sz w:val="18"/>
              </w:rPr>
              <w:t>332,1118</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7"/>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8.79E-03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9"/>
              <w:ind w:left="155"/>
              <w:jc w:val="left"/>
              <w:rPr>
                <w:sz w:val="18"/>
              </w:rPr>
            </w:pPr>
            <w:r>
              <w:rPr>
                <w:sz w:val="18"/>
              </w:rPr>
              <w:t>19112119</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9"/>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9"/>
              <w:ind w:left="112" w:right="89"/>
              <w:rPr>
                <w:sz w:val="18"/>
              </w:rPr>
            </w:pPr>
            <w:r>
              <w:rPr>
                <w:sz w:val="18"/>
              </w:rPr>
              <w:t>87.93</w:t>
            </w:r>
          </w:p>
        </w:tc>
        <w:tc>
          <w:tcPr>
            <w:tcW w:w="1009" w:type="dxa"/>
            <w:tcBorders>
              <w:top w:val="single" w:sz="4" w:space="0" w:color="000000"/>
              <w:left w:val="single" w:sz="4" w:space="0" w:color="000000"/>
              <w:bottom w:val="single" w:sz="4" w:space="0" w:color="000000"/>
            </w:tcBorders>
          </w:tcPr>
          <w:p>
            <w:pPr>
              <w:pStyle w:val="TableParagraph"/>
              <w:spacing w:before="57"/>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河塔村（</w:t>
            </w:r>
            <w:r>
              <w:rPr>
                <w:sz w:val="18"/>
              </w:rPr>
              <w:t>-299,1816</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5.17E-03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19060723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51.73</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秋湖村（</w:t>
            </w:r>
            <w:r>
              <w:rPr>
                <w:sz w:val="18"/>
              </w:rPr>
              <w:t>1686,2223</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3.26E-03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19120421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32.55</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7"/>
              <w:ind w:left="162" w:right="46"/>
              <w:rPr>
                <w:rFonts w:ascii="宋体" w:eastAsia="宋体" w:hint="eastAsia"/>
                <w:sz w:val="18"/>
              </w:rPr>
            </w:pPr>
            <w:r>
              <w:rPr>
                <w:rFonts w:ascii="宋体" w:eastAsia="宋体" w:hint="eastAsia"/>
                <w:sz w:val="18"/>
              </w:rPr>
              <w:t>清和园（</w:t>
            </w:r>
            <w:r>
              <w:rPr>
                <w:sz w:val="18"/>
              </w:rPr>
              <w:t>830,2049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7"/>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4.01E-03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19062723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9"/>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9"/>
              <w:ind w:left="112" w:right="89"/>
              <w:rPr>
                <w:sz w:val="18"/>
              </w:rPr>
            </w:pPr>
            <w:r>
              <w:rPr>
                <w:sz w:val="18"/>
              </w:rPr>
              <w:t>40.15</w:t>
            </w:r>
          </w:p>
        </w:tc>
        <w:tc>
          <w:tcPr>
            <w:tcW w:w="1009" w:type="dxa"/>
            <w:tcBorders>
              <w:top w:val="single" w:sz="4" w:space="0" w:color="000000"/>
              <w:left w:val="single" w:sz="4" w:space="0" w:color="000000"/>
              <w:bottom w:val="single" w:sz="4" w:space="0" w:color="000000"/>
            </w:tcBorders>
          </w:tcPr>
          <w:p>
            <w:pPr>
              <w:pStyle w:val="TableParagraph"/>
              <w:spacing w:before="57"/>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州山小学（</w:t>
            </w:r>
            <w:r>
              <w:rPr>
                <w:sz w:val="18"/>
              </w:rPr>
              <w:t>-141,2646</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3.76E-03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19012801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37.59</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管委会（</w:t>
            </w:r>
            <w:r>
              <w:rPr>
                <w:sz w:val="18"/>
              </w:rPr>
              <w:t>914,2190</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3.77E-03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19012923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37.69</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7"/>
              <w:ind w:left="162" w:right="46"/>
              <w:rPr>
                <w:rFonts w:ascii="宋体" w:eastAsia="宋体" w:hint="eastAsia"/>
                <w:sz w:val="18"/>
              </w:rPr>
            </w:pPr>
            <w:r>
              <w:rPr>
                <w:rFonts w:ascii="宋体" w:eastAsia="宋体" w:hint="eastAsia"/>
                <w:sz w:val="18"/>
              </w:rPr>
              <w:t>区福利中心（</w:t>
            </w:r>
            <w:r>
              <w:rPr>
                <w:sz w:val="18"/>
              </w:rPr>
              <w:t>282,2431</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7"/>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3.62E-03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19012321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9"/>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9"/>
              <w:ind w:left="112" w:right="89"/>
              <w:rPr>
                <w:sz w:val="18"/>
              </w:rPr>
            </w:pPr>
            <w:r>
              <w:rPr>
                <w:sz w:val="18"/>
              </w:rPr>
              <w:t>36.23</w:t>
            </w:r>
          </w:p>
        </w:tc>
        <w:tc>
          <w:tcPr>
            <w:tcW w:w="1009" w:type="dxa"/>
            <w:tcBorders>
              <w:top w:val="single" w:sz="4" w:space="0" w:color="000000"/>
              <w:left w:val="single" w:sz="4" w:space="0" w:color="000000"/>
              <w:bottom w:val="single" w:sz="4" w:space="0" w:color="000000"/>
            </w:tcBorders>
          </w:tcPr>
          <w:p>
            <w:pPr>
              <w:pStyle w:val="TableParagraph"/>
              <w:spacing w:before="57"/>
              <w:ind w:left="126" w:right="97"/>
              <w:rPr>
                <w:rFonts w:ascii="宋体" w:eastAsia="宋体" w:hint="eastAsia"/>
                <w:sz w:val="18"/>
              </w:rPr>
            </w:pPr>
            <w:r>
              <w:rPr>
                <w:rFonts w:ascii="宋体" w:eastAsia="宋体" w:hint="eastAsia"/>
                <w:sz w:val="18"/>
              </w:rPr>
              <w:t>达标</w:t>
            </w:r>
          </w:p>
        </w:tc>
      </w:tr>
      <w:tr>
        <w:trPr>
          <w:trHeight w:val="340"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5"/>
              <w:ind w:left="162" w:right="43"/>
              <w:rPr>
                <w:rFonts w:ascii="宋体" w:eastAsia="宋体" w:hint="eastAsia"/>
                <w:sz w:val="18"/>
              </w:rPr>
            </w:pPr>
            <w:r>
              <w:rPr>
                <w:rFonts w:ascii="宋体" w:eastAsia="宋体" w:hint="eastAsia"/>
                <w:sz w:val="18"/>
              </w:rPr>
              <w:t>区委党校（</w:t>
            </w:r>
            <w:r>
              <w:rPr>
                <w:sz w:val="18"/>
              </w:rPr>
              <w:t>656,2182</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5"/>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7"/>
              <w:ind w:left="148"/>
              <w:jc w:val="left"/>
              <w:rPr>
                <w:sz w:val="18"/>
              </w:rPr>
            </w:pPr>
            <w:r>
              <w:rPr>
                <w:sz w:val="18"/>
              </w:rPr>
              <w:t>4.36E-03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7"/>
              <w:ind w:left="155"/>
              <w:jc w:val="left"/>
              <w:rPr>
                <w:sz w:val="18"/>
              </w:rPr>
            </w:pPr>
            <w:r>
              <w:rPr>
                <w:sz w:val="18"/>
              </w:rPr>
              <w:t>19112119</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7"/>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7"/>
              <w:ind w:left="112" w:right="89"/>
              <w:rPr>
                <w:sz w:val="18"/>
              </w:rPr>
            </w:pPr>
            <w:r>
              <w:rPr>
                <w:sz w:val="18"/>
              </w:rPr>
              <w:t>43.55</w:t>
            </w:r>
          </w:p>
        </w:tc>
        <w:tc>
          <w:tcPr>
            <w:tcW w:w="1009" w:type="dxa"/>
            <w:tcBorders>
              <w:top w:val="single" w:sz="4" w:space="0" w:color="000000"/>
              <w:left w:val="single" w:sz="4" w:space="0" w:color="000000"/>
              <w:bottom w:val="single" w:sz="4" w:space="0" w:color="000000"/>
            </w:tcBorders>
          </w:tcPr>
          <w:p>
            <w:pPr>
              <w:pStyle w:val="TableParagraph"/>
              <w:spacing w:before="55"/>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迪埠（</w:t>
            </w:r>
            <w:r>
              <w:rPr>
                <w:sz w:val="18"/>
              </w:rPr>
              <w:t>1022,-875</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7.23E-03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19052221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72.25</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7"/>
              <w:ind w:left="162" w:right="43"/>
              <w:rPr>
                <w:rFonts w:ascii="宋体" w:eastAsia="宋体" w:hint="eastAsia"/>
                <w:sz w:val="18"/>
              </w:rPr>
            </w:pPr>
            <w:r>
              <w:rPr>
                <w:rFonts w:ascii="宋体" w:eastAsia="宋体" w:hint="eastAsia"/>
                <w:sz w:val="18"/>
              </w:rPr>
              <w:t>洪家墩（</w:t>
            </w:r>
            <w:r>
              <w:rPr>
                <w:sz w:val="18"/>
              </w:rPr>
              <w:t>1096,-1407</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7"/>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5.00E-03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19050924</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9"/>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9"/>
              <w:ind w:left="112" w:right="89"/>
              <w:rPr>
                <w:sz w:val="18"/>
              </w:rPr>
            </w:pPr>
            <w:r>
              <w:rPr>
                <w:sz w:val="18"/>
              </w:rPr>
              <w:t>49.99</w:t>
            </w:r>
          </w:p>
        </w:tc>
        <w:tc>
          <w:tcPr>
            <w:tcW w:w="1009" w:type="dxa"/>
            <w:tcBorders>
              <w:top w:val="single" w:sz="4" w:space="0" w:color="000000"/>
              <w:left w:val="single" w:sz="4" w:space="0" w:color="000000"/>
              <w:bottom w:val="single" w:sz="4" w:space="0" w:color="000000"/>
            </w:tcBorders>
          </w:tcPr>
          <w:p>
            <w:pPr>
              <w:pStyle w:val="TableParagraph"/>
              <w:spacing w:before="57"/>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兴联村（</w:t>
            </w:r>
            <w:r>
              <w:rPr>
                <w:sz w:val="18"/>
              </w:rPr>
              <w:t>1985,-302</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4.58E-03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19100321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45.84</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梅三村（</w:t>
            </w:r>
            <w:r>
              <w:rPr>
                <w:sz w:val="18"/>
              </w:rPr>
              <w:t>1744,-1149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4.15E-03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19101821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41.53</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7"/>
              <w:ind w:left="162" w:right="46"/>
              <w:rPr>
                <w:rFonts w:ascii="宋体" w:eastAsia="宋体" w:hint="eastAsia"/>
                <w:sz w:val="18"/>
              </w:rPr>
            </w:pPr>
            <w:r>
              <w:rPr>
                <w:rFonts w:ascii="宋体" w:eastAsia="宋体" w:hint="eastAsia"/>
                <w:sz w:val="18"/>
              </w:rPr>
              <w:t>容山村（</w:t>
            </w:r>
            <w:r>
              <w:rPr>
                <w:sz w:val="18"/>
              </w:rPr>
              <w:t>1154,-2055</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7"/>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3.68E-03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9"/>
              <w:ind w:left="148"/>
              <w:jc w:val="left"/>
              <w:rPr>
                <w:sz w:val="18"/>
              </w:rPr>
            </w:pPr>
            <w:r>
              <w:rPr>
                <w:sz w:val="18"/>
              </w:rPr>
              <w:t>19122906</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9"/>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9"/>
              <w:ind w:left="112" w:right="89"/>
              <w:rPr>
                <w:sz w:val="18"/>
              </w:rPr>
            </w:pPr>
            <w:r>
              <w:rPr>
                <w:sz w:val="18"/>
              </w:rPr>
              <w:t>36.84</w:t>
            </w:r>
          </w:p>
        </w:tc>
        <w:tc>
          <w:tcPr>
            <w:tcW w:w="1009" w:type="dxa"/>
            <w:tcBorders>
              <w:top w:val="single" w:sz="4" w:space="0" w:color="000000"/>
              <w:left w:val="single" w:sz="4" w:space="0" w:color="000000"/>
              <w:bottom w:val="single" w:sz="4" w:space="0" w:color="000000"/>
            </w:tcBorders>
          </w:tcPr>
          <w:p>
            <w:pPr>
              <w:pStyle w:val="TableParagraph"/>
              <w:spacing w:before="57"/>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兴华村（</w:t>
            </w:r>
            <w:r>
              <w:rPr>
                <w:sz w:val="18"/>
              </w:rPr>
              <w:t>-1653,-1249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1.19E-03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19053102</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5" w:right="89"/>
              <w:rPr>
                <w:sz w:val="18"/>
              </w:rPr>
            </w:pPr>
            <w:r>
              <w:rPr>
                <w:sz w:val="18"/>
              </w:rPr>
              <w:t>11.86</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永信村（</w:t>
            </w:r>
            <w:r>
              <w:rPr>
                <w:sz w:val="18"/>
              </w:rPr>
              <w:t>-2384,479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4.44E-03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19022521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44.38</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51"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right w:val="single" w:sz="4" w:space="0" w:color="000000"/>
            </w:tcBorders>
          </w:tcPr>
          <w:p>
            <w:pPr>
              <w:pStyle w:val="TableParagraph"/>
              <w:spacing w:before="57"/>
              <w:ind w:left="162" w:right="131"/>
              <w:rPr>
                <w:rFonts w:ascii="宋体" w:eastAsia="宋体" w:hint="eastAsia"/>
                <w:sz w:val="18"/>
              </w:rPr>
            </w:pPr>
            <w:r>
              <w:rPr>
                <w:rFonts w:ascii="宋体" w:eastAsia="宋体" w:hint="eastAsia"/>
                <w:sz w:val="18"/>
              </w:rPr>
              <w:t>规划敏感点 </w:t>
            </w:r>
            <w:r>
              <w:rPr>
                <w:sz w:val="18"/>
              </w:rPr>
              <w:t>1</w:t>
            </w:r>
            <w:r>
              <w:rPr>
                <w:rFonts w:ascii="宋体" w:eastAsia="宋体" w:hint="eastAsia"/>
                <w:sz w:val="18"/>
              </w:rPr>
              <w:t>（</w:t>
            </w:r>
            <w:r>
              <w:rPr>
                <w:sz w:val="18"/>
              </w:rPr>
              <w:t>983,975</w:t>
            </w:r>
            <w:r>
              <w:rPr>
                <w:rFonts w:ascii="宋体" w:eastAsia="宋体" w:hint="eastAsia"/>
                <w:sz w:val="18"/>
              </w:rPr>
              <w:t>）</w:t>
            </w:r>
          </w:p>
        </w:tc>
        <w:tc>
          <w:tcPr>
            <w:tcW w:w="1006" w:type="dxa"/>
            <w:tcBorders>
              <w:top w:val="single" w:sz="4" w:space="0" w:color="000000"/>
              <w:left w:val="single" w:sz="4" w:space="0" w:color="000000"/>
              <w:right w:val="single" w:sz="4" w:space="0" w:color="000000"/>
            </w:tcBorders>
          </w:tcPr>
          <w:p>
            <w:pPr>
              <w:pStyle w:val="TableParagraph"/>
              <w:spacing w:before="57"/>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right w:val="single" w:sz="4" w:space="0" w:color="000000"/>
            </w:tcBorders>
          </w:tcPr>
          <w:p>
            <w:pPr>
              <w:pStyle w:val="TableParagraph"/>
              <w:spacing w:before="69"/>
              <w:ind w:left="148"/>
              <w:jc w:val="left"/>
              <w:rPr>
                <w:sz w:val="18"/>
              </w:rPr>
            </w:pPr>
            <w:r>
              <w:rPr>
                <w:sz w:val="18"/>
              </w:rPr>
              <w:t>7.00E-03</w:t>
            </w:r>
          </w:p>
        </w:tc>
        <w:tc>
          <w:tcPr>
            <w:tcW w:w="1007" w:type="dxa"/>
            <w:tcBorders>
              <w:top w:val="single" w:sz="4" w:space="0" w:color="000000"/>
              <w:left w:val="single" w:sz="4" w:space="0" w:color="000000"/>
              <w:right w:val="single" w:sz="4" w:space="0" w:color="000000"/>
            </w:tcBorders>
          </w:tcPr>
          <w:p>
            <w:pPr>
              <w:pStyle w:val="TableParagraph"/>
              <w:spacing w:before="69"/>
              <w:ind w:left="155"/>
              <w:jc w:val="left"/>
              <w:rPr>
                <w:sz w:val="18"/>
              </w:rPr>
            </w:pPr>
            <w:r>
              <w:rPr>
                <w:sz w:val="18"/>
              </w:rPr>
              <w:t>19111201</w:t>
            </w:r>
          </w:p>
        </w:tc>
        <w:tc>
          <w:tcPr>
            <w:tcW w:w="1006" w:type="dxa"/>
            <w:tcBorders>
              <w:top w:val="single" w:sz="4" w:space="0" w:color="000000"/>
              <w:left w:val="single" w:sz="4" w:space="0" w:color="000000"/>
              <w:right w:val="single" w:sz="4" w:space="0" w:color="000000"/>
            </w:tcBorders>
          </w:tcPr>
          <w:p>
            <w:pPr>
              <w:pStyle w:val="TableParagraph"/>
              <w:spacing w:before="69"/>
              <w:ind w:left="123" w:right="102"/>
              <w:rPr>
                <w:sz w:val="18"/>
              </w:rPr>
            </w:pPr>
            <w:r>
              <w:rPr>
                <w:sz w:val="18"/>
              </w:rPr>
              <w:t>1.00E-02</w:t>
            </w:r>
          </w:p>
        </w:tc>
        <w:tc>
          <w:tcPr>
            <w:tcW w:w="812" w:type="dxa"/>
            <w:tcBorders>
              <w:top w:val="single" w:sz="4" w:space="0" w:color="000000"/>
              <w:left w:val="single" w:sz="4" w:space="0" w:color="000000"/>
              <w:right w:val="single" w:sz="4" w:space="0" w:color="000000"/>
            </w:tcBorders>
          </w:tcPr>
          <w:p>
            <w:pPr>
              <w:pStyle w:val="TableParagraph"/>
              <w:spacing w:before="69"/>
              <w:ind w:left="112" w:right="89"/>
              <w:rPr>
                <w:sz w:val="18"/>
              </w:rPr>
            </w:pPr>
            <w:r>
              <w:rPr>
                <w:sz w:val="18"/>
              </w:rPr>
              <w:t>69.97</w:t>
            </w:r>
          </w:p>
        </w:tc>
        <w:tc>
          <w:tcPr>
            <w:tcW w:w="1009" w:type="dxa"/>
            <w:tcBorders>
              <w:top w:val="single" w:sz="4" w:space="0" w:color="000000"/>
              <w:left w:val="single" w:sz="4" w:space="0" w:color="000000"/>
            </w:tcBorders>
          </w:tcPr>
          <w:p>
            <w:pPr>
              <w:pStyle w:val="TableParagraph"/>
              <w:spacing w:before="57"/>
              <w:ind w:left="126" w:right="97"/>
              <w:rPr>
                <w:rFonts w:ascii="宋体" w:eastAsia="宋体" w:hint="eastAsia"/>
                <w:sz w:val="18"/>
              </w:rPr>
            </w:pPr>
            <w:r>
              <w:rPr>
                <w:rFonts w:ascii="宋体" w:eastAsia="宋体" w:hint="eastAsia"/>
                <w:sz w:val="18"/>
              </w:rPr>
              <w:t>达标</w:t>
            </w:r>
          </w:p>
        </w:tc>
      </w:tr>
    </w:tbl>
    <w:p>
      <w:pPr>
        <w:spacing w:after="0"/>
        <w:rPr>
          <w:rFonts w:ascii="宋体" w:eastAsia="宋体" w:hint="eastAsia"/>
          <w:sz w:val="18"/>
        </w:rPr>
        <w:sectPr>
          <w:pgSz w:w="11910" w:h="16840"/>
          <w:pgMar w:header="874" w:footer="1004" w:top="1420" w:bottom="1200" w:left="1040" w:right="1160"/>
        </w:sect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3"/>
        <w:gridCol w:w="2638"/>
        <w:gridCol w:w="1006"/>
        <w:gridCol w:w="946"/>
        <w:gridCol w:w="1007"/>
        <w:gridCol w:w="1006"/>
        <w:gridCol w:w="812"/>
        <w:gridCol w:w="1009"/>
      </w:tblGrid>
      <w:tr>
        <w:trPr>
          <w:trHeight w:val="359" w:hRule="atLeast"/>
        </w:trPr>
        <w:tc>
          <w:tcPr>
            <w:tcW w:w="1003" w:type="dxa"/>
            <w:tcBorders>
              <w:bottom w:val="single" w:sz="4" w:space="0" w:color="000000"/>
              <w:right w:val="single" w:sz="4" w:space="0" w:color="000000"/>
            </w:tcBorders>
          </w:tcPr>
          <w:p>
            <w:pPr>
              <w:pStyle w:val="TableParagraph"/>
              <w:spacing w:before="67"/>
              <w:ind w:left="138"/>
              <w:jc w:val="left"/>
              <w:rPr>
                <w:rFonts w:ascii="宋体" w:eastAsia="宋体" w:hint="eastAsia"/>
                <w:b/>
                <w:sz w:val="18"/>
              </w:rPr>
            </w:pPr>
            <w:r>
              <w:rPr>
                <w:rFonts w:ascii="宋体" w:eastAsia="宋体" w:hint="eastAsia"/>
                <w:b/>
                <w:sz w:val="18"/>
              </w:rPr>
              <w:t>预测情形</w:t>
            </w:r>
          </w:p>
        </w:tc>
        <w:tc>
          <w:tcPr>
            <w:tcW w:w="2638" w:type="dxa"/>
            <w:tcBorders>
              <w:left w:val="single" w:sz="4" w:space="0" w:color="000000"/>
              <w:bottom w:val="single" w:sz="4" w:space="0" w:color="000000"/>
              <w:right w:val="single" w:sz="4" w:space="0" w:color="000000"/>
            </w:tcBorders>
          </w:tcPr>
          <w:p>
            <w:pPr>
              <w:pStyle w:val="TableParagraph"/>
              <w:spacing w:before="67"/>
              <w:ind w:left="157" w:right="131"/>
              <w:rPr>
                <w:rFonts w:ascii="宋体" w:eastAsia="宋体" w:hint="eastAsia"/>
                <w:b/>
                <w:sz w:val="18"/>
              </w:rPr>
            </w:pPr>
            <w:r>
              <w:rPr>
                <w:rFonts w:ascii="宋体" w:eastAsia="宋体" w:hint="eastAsia"/>
                <w:b/>
                <w:sz w:val="18"/>
              </w:rPr>
              <w:t>预测点名称</w:t>
            </w:r>
          </w:p>
        </w:tc>
        <w:tc>
          <w:tcPr>
            <w:tcW w:w="1006" w:type="dxa"/>
            <w:tcBorders>
              <w:left w:val="single" w:sz="4" w:space="0" w:color="000000"/>
              <w:bottom w:val="single" w:sz="4" w:space="0" w:color="000000"/>
              <w:right w:val="single" w:sz="4" w:space="0" w:color="000000"/>
            </w:tcBorders>
          </w:tcPr>
          <w:p>
            <w:pPr>
              <w:pStyle w:val="TableParagraph"/>
              <w:spacing w:before="67"/>
              <w:ind w:left="127" w:right="98"/>
              <w:rPr>
                <w:rFonts w:ascii="宋体" w:eastAsia="宋体" w:hint="eastAsia"/>
                <w:b/>
                <w:sz w:val="18"/>
              </w:rPr>
            </w:pPr>
            <w:r>
              <w:rPr>
                <w:rFonts w:ascii="宋体" w:eastAsia="宋体" w:hint="eastAsia"/>
                <w:b/>
                <w:sz w:val="18"/>
              </w:rPr>
              <w:t>预测浓度</w:t>
            </w:r>
          </w:p>
        </w:tc>
        <w:tc>
          <w:tcPr>
            <w:tcW w:w="946" w:type="dxa"/>
            <w:tcBorders>
              <w:left w:val="single" w:sz="4" w:space="0" w:color="000000"/>
              <w:bottom w:val="single" w:sz="4" w:space="0" w:color="000000"/>
              <w:right w:val="single" w:sz="4" w:space="0" w:color="000000"/>
            </w:tcBorders>
          </w:tcPr>
          <w:p>
            <w:pPr>
              <w:pStyle w:val="TableParagraph"/>
              <w:spacing w:before="67"/>
              <w:ind w:left="208"/>
              <w:jc w:val="left"/>
              <w:rPr>
                <w:rFonts w:ascii="宋体" w:eastAsia="宋体" w:hint="eastAsia"/>
                <w:b/>
                <w:sz w:val="18"/>
              </w:rPr>
            </w:pPr>
            <w:r>
              <w:rPr>
                <w:rFonts w:ascii="宋体" w:eastAsia="宋体" w:hint="eastAsia"/>
                <w:b/>
                <w:sz w:val="18"/>
              </w:rPr>
              <w:t>贡献值</w:t>
            </w:r>
          </w:p>
        </w:tc>
        <w:tc>
          <w:tcPr>
            <w:tcW w:w="1007" w:type="dxa"/>
            <w:tcBorders>
              <w:left w:val="single" w:sz="4" w:space="0" w:color="000000"/>
              <w:bottom w:val="single" w:sz="4" w:space="0" w:color="000000"/>
              <w:right w:val="single" w:sz="4" w:space="0" w:color="000000"/>
            </w:tcBorders>
          </w:tcPr>
          <w:p>
            <w:pPr>
              <w:pStyle w:val="TableParagraph"/>
              <w:spacing w:before="67"/>
              <w:ind w:left="148"/>
              <w:jc w:val="left"/>
              <w:rPr>
                <w:rFonts w:ascii="宋体" w:eastAsia="宋体" w:hint="eastAsia"/>
                <w:b/>
                <w:sz w:val="18"/>
              </w:rPr>
            </w:pPr>
            <w:r>
              <w:rPr>
                <w:rFonts w:ascii="宋体" w:eastAsia="宋体" w:hint="eastAsia"/>
                <w:b/>
                <w:sz w:val="18"/>
              </w:rPr>
              <w:t>出现时刻</w:t>
            </w:r>
          </w:p>
        </w:tc>
        <w:tc>
          <w:tcPr>
            <w:tcW w:w="1006" w:type="dxa"/>
            <w:tcBorders>
              <w:left w:val="single" w:sz="4" w:space="0" w:color="000000"/>
              <w:bottom w:val="single" w:sz="4" w:space="0" w:color="000000"/>
              <w:right w:val="single" w:sz="4" w:space="0" w:color="000000"/>
            </w:tcBorders>
          </w:tcPr>
          <w:p>
            <w:pPr>
              <w:pStyle w:val="TableParagraph"/>
              <w:spacing w:before="67"/>
              <w:ind w:left="123" w:right="102"/>
              <w:rPr>
                <w:rFonts w:ascii="宋体" w:eastAsia="宋体" w:hint="eastAsia"/>
                <w:b/>
                <w:sz w:val="18"/>
              </w:rPr>
            </w:pPr>
            <w:r>
              <w:rPr>
                <w:rFonts w:ascii="宋体" w:eastAsia="宋体" w:hint="eastAsia"/>
                <w:b/>
                <w:sz w:val="18"/>
              </w:rPr>
              <w:t>评价标准</w:t>
            </w:r>
          </w:p>
        </w:tc>
        <w:tc>
          <w:tcPr>
            <w:tcW w:w="812" w:type="dxa"/>
            <w:tcBorders>
              <w:left w:val="single" w:sz="4" w:space="0" w:color="000000"/>
              <w:bottom w:val="single" w:sz="4" w:space="0" w:color="000000"/>
              <w:right w:val="single" w:sz="4" w:space="0" w:color="000000"/>
            </w:tcBorders>
          </w:tcPr>
          <w:p>
            <w:pPr>
              <w:pStyle w:val="TableParagraph"/>
              <w:spacing w:before="67"/>
              <w:ind w:left="114" w:right="89"/>
              <w:rPr>
                <w:rFonts w:ascii="宋体" w:eastAsia="宋体" w:hint="eastAsia"/>
                <w:b/>
                <w:sz w:val="18"/>
              </w:rPr>
            </w:pPr>
            <w:r>
              <w:rPr>
                <w:rFonts w:ascii="宋体" w:eastAsia="宋体" w:hint="eastAsia"/>
                <w:b/>
                <w:sz w:val="18"/>
              </w:rPr>
              <w:t>占标率</w:t>
            </w:r>
          </w:p>
        </w:tc>
        <w:tc>
          <w:tcPr>
            <w:tcW w:w="1009" w:type="dxa"/>
            <w:tcBorders>
              <w:left w:val="single" w:sz="4" w:space="0" w:color="000000"/>
              <w:bottom w:val="single" w:sz="4" w:space="0" w:color="000000"/>
            </w:tcBorders>
          </w:tcPr>
          <w:p>
            <w:pPr>
              <w:pStyle w:val="TableParagraph"/>
              <w:spacing w:before="67"/>
              <w:ind w:left="128" w:right="97"/>
              <w:rPr>
                <w:rFonts w:ascii="宋体" w:eastAsia="宋体" w:hint="eastAsia"/>
                <w:b/>
                <w:sz w:val="18"/>
              </w:rPr>
            </w:pPr>
            <w:r>
              <w:rPr>
                <w:rFonts w:ascii="宋体" w:eastAsia="宋体" w:hint="eastAsia"/>
                <w:b/>
                <w:sz w:val="18"/>
              </w:rPr>
              <w:t>是否达标</w:t>
            </w:r>
          </w:p>
        </w:tc>
      </w:tr>
      <w:tr>
        <w:trPr>
          <w:trHeight w:val="359" w:hRule="atLeast"/>
        </w:trPr>
        <w:tc>
          <w:tcPr>
            <w:tcW w:w="1003" w:type="dxa"/>
            <w:vMerge w:val="restart"/>
            <w:tcBorders>
              <w:top w:val="single" w:sz="4" w:space="0" w:color="000000"/>
              <w:bottom w:val="single" w:sz="4" w:space="0" w:color="000000"/>
              <w:right w:val="single" w:sz="4" w:space="0" w:color="000000"/>
            </w:tcBorders>
          </w:tcPr>
          <w:p>
            <w:pPr>
              <w:pStyle w:val="TableParagraph"/>
              <w:spacing w:before="0"/>
              <w:jc w:val="left"/>
              <w:rPr>
                <w:sz w:val="18"/>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131"/>
              <w:rPr>
                <w:rFonts w:ascii="宋体" w:eastAsia="宋体" w:hint="eastAsia"/>
                <w:sz w:val="18"/>
              </w:rPr>
            </w:pPr>
            <w:r>
              <w:rPr>
                <w:rFonts w:ascii="宋体" w:eastAsia="宋体" w:hint="eastAsia"/>
                <w:sz w:val="18"/>
              </w:rPr>
              <w:t>规划敏感点 </w:t>
            </w:r>
            <w:r>
              <w:rPr>
                <w:sz w:val="18"/>
              </w:rPr>
              <w:t>2</w:t>
            </w:r>
            <w:r>
              <w:rPr>
                <w:rFonts w:ascii="宋体" w:eastAsia="宋体" w:hint="eastAsia"/>
                <w:sz w:val="18"/>
              </w:rPr>
              <w:t>（</w:t>
            </w:r>
            <w:r>
              <w:rPr>
                <w:sz w:val="18"/>
              </w:rPr>
              <w:t>1246,677</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6.80E-03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19102124</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67.98</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7"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131"/>
              <w:rPr>
                <w:rFonts w:ascii="宋体" w:eastAsia="宋体" w:hint="eastAsia"/>
                <w:sz w:val="18"/>
              </w:rPr>
            </w:pPr>
            <w:r>
              <w:rPr>
                <w:rFonts w:ascii="宋体" w:eastAsia="宋体" w:hint="eastAsia"/>
                <w:sz w:val="18"/>
              </w:rPr>
              <w:t>规划敏感点 </w:t>
            </w:r>
            <w:r>
              <w:rPr>
                <w:sz w:val="18"/>
              </w:rPr>
              <w:t>3</w:t>
            </w:r>
            <w:r>
              <w:rPr>
                <w:rFonts w:ascii="宋体" w:eastAsia="宋体" w:hint="eastAsia"/>
                <w:sz w:val="18"/>
              </w:rPr>
              <w:t>（</w:t>
            </w:r>
            <w:r>
              <w:rPr>
                <w:sz w:val="18"/>
              </w:rPr>
              <w:t>1466,682</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5.85E-03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19061421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58.52</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9"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131"/>
              <w:rPr>
                <w:rFonts w:ascii="宋体" w:eastAsia="宋体" w:hint="eastAsia"/>
                <w:sz w:val="18"/>
              </w:rPr>
            </w:pPr>
            <w:r>
              <w:rPr>
                <w:rFonts w:ascii="宋体" w:eastAsia="宋体" w:hint="eastAsia"/>
                <w:sz w:val="18"/>
              </w:rPr>
              <w:t>规划敏感点 </w:t>
            </w:r>
            <w:r>
              <w:rPr>
                <w:sz w:val="18"/>
              </w:rPr>
              <w:t>4</w:t>
            </w:r>
            <w:r>
              <w:rPr>
                <w:rFonts w:ascii="宋体" w:eastAsia="宋体" w:hint="eastAsia"/>
                <w:sz w:val="18"/>
              </w:rPr>
              <w:t>（</w:t>
            </w:r>
            <w:r>
              <w:rPr>
                <w:sz w:val="18"/>
              </w:rPr>
              <w:t>1819,754</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4.66E-03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19102901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46.59</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9"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0" w:right="131"/>
              <w:rPr>
                <w:rFonts w:ascii="宋体" w:eastAsia="宋体" w:hint="eastAsia"/>
                <w:sz w:val="18"/>
              </w:rPr>
            </w:pPr>
            <w:r>
              <w:rPr>
                <w:rFonts w:ascii="宋体" w:eastAsia="宋体" w:hint="eastAsia"/>
                <w:sz w:val="18"/>
              </w:rPr>
              <w:t>规划敏感点 </w:t>
            </w:r>
            <w:r>
              <w:rPr>
                <w:sz w:val="18"/>
              </w:rPr>
              <w:t>5</w:t>
            </w:r>
            <w:r>
              <w:rPr>
                <w:rFonts w:ascii="宋体" w:eastAsia="宋体" w:hint="eastAsia"/>
                <w:sz w:val="18"/>
              </w:rPr>
              <w:t>（</w:t>
            </w:r>
            <w:r>
              <w:rPr>
                <w:sz w:val="18"/>
              </w:rPr>
              <w:t>1698,1061</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4.57E-03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19121607</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45.71</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7"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0" w:right="131"/>
              <w:rPr>
                <w:rFonts w:ascii="宋体" w:eastAsia="宋体" w:hint="eastAsia"/>
                <w:sz w:val="18"/>
              </w:rPr>
            </w:pPr>
            <w:r>
              <w:rPr>
                <w:rFonts w:ascii="宋体" w:eastAsia="宋体" w:hint="eastAsia"/>
                <w:sz w:val="18"/>
              </w:rPr>
              <w:t>规划敏感点 </w:t>
            </w:r>
            <w:r>
              <w:rPr>
                <w:sz w:val="18"/>
              </w:rPr>
              <w:t>6</w:t>
            </w:r>
            <w:r>
              <w:rPr>
                <w:rFonts w:ascii="宋体" w:eastAsia="宋体" w:hint="eastAsia"/>
                <w:sz w:val="18"/>
              </w:rPr>
              <w:t>（</w:t>
            </w:r>
            <w:r>
              <w:rPr>
                <w:sz w:val="18"/>
              </w:rPr>
              <w:t>1573,1393</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4.35E-03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19102022</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43.53</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9"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0" w:right="131"/>
              <w:rPr>
                <w:rFonts w:ascii="宋体" w:eastAsia="宋体" w:hint="eastAsia"/>
                <w:sz w:val="18"/>
              </w:rPr>
            </w:pPr>
            <w:r>
              <w:rPr>
                <w:rFonts w:ascii="宋体" w:eastAsia="宋体" w:hint="eastAsia"/>
                <w:sz w:val="18"/>
              </w:rPr>
              <w:t>规划敏感点 </w:t>
            </w:r>
            <w:r>
              <w:rPr>
                <w:sz w:val="18"/>
              </w:rPr>
              <w:t>7</w:t>
            </w:r>
            <w:r>
              <w:rPr>
                <w:rFonts w:ascii="宋体" w:eastAsia="宋体" w:hint="eastAsia"/>
                <w:sz w:val="18"/>
              </w:rPr>
              <w:t>（</w:t>
            </w:r>
            <w:r>
              <w:rPr>
                <w:sz w:val="18"/>
              </w:rPr>
              <w:t>2059,1095</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3.84E-03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19102124</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38.36</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9"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0" w:right="131"/>
              <w:rPr>
                <w:rFonts w:ascii="宋体" w:eastAsia="宋体" w:hint="eastAsia"/>
                <w:sz w:val="18"/>
              </w:rPr>
            </w:pPr>
            <w:r>
              <w:rPr>
                <w:rFonts w:ascii="宋体" w:eastAsia="宋体" w:hint="eastAsia"/>
                <w:sz w:val="18"/>
              </w:rPr>
              <w:t>规划敏感点 </w:t>
            </w:r>
            <w:r>
              <w:rPr>
                <w:sz w:val="18"/>
              </w:rPr>
              <w:t>8</w:t>
            </w:r>
            <w:r>
              <w:rPr>
                <w:rFonts w:ascii="宋体" w:eastAsia="宋体" w:hint="eastAsia"/>
                <w:sz w:val="18"/>
              </w:rPr>
              <w:t>（</w:t>
            </w:r>
            <w:r>
              <w:rPr>
                <w:sz w:val="18"/>
              </w:rPr>
              <w:t>1977,1422</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3.62E-03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19101022</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36.25</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7"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131"/>
              <w:rPr>
                <w:rFonts w:ascii="宋体" w:eastAsia="宋体" w:hint="eastAsia"/>
                <w:sz w:val="18"/>
              </w:rPr>
            </w:pPr>
            <w:r>
              <w:rPr>
                <w:rFonts w:ascii="宋体" w:eastAsia="宋体" w:hint="eastAsia"/>
                <w:sz w:val="18"/>
              </w:rPr>
              <w:t>规划敏感点 </w:t>
            </w:r>
            <w:r>
              <w:rPr>
                <w:sz w:val="18"/>
              </w:rPr>
              <w:t>9</w:t>
            </w:r>
            <w:r>
              <w:rPr>
                <w:rFonts w:ascii="宋体" w:eastAsia="宋体" w:hint="eastAsia"/>
                <w:sz w:val="18"/>
              </w:rPr>
              <w:t>（</w:t>
            </w:r>
            <w:r>
              <w:rPr>
                <w:sz w:val="18"/>
              </w:rPr>
              <w:t>1126,2099</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3.73E-03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19103001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37.32</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60"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131"/>
              <w:rPr>
                <w:rFonts w:ascii="宋体" w:eastAsia="宋体" w:hint="eastAsia"/>
                <w:sz w:val="18"/>
              </w:rPr>
            </w:pPr>
            <w:r>
              <w:rPr>
                <w:rFonts w:ascii="宋体" w:eastAsia="宋体" w:hint="eastAsia"/>
                <w:sz w:val="18"/>
              </w:rPr>
              <w:t>规划敏感点 </w:t>
            </w:r>
            <w:r>
              <w:rPr>
                <w:sz w:val="18"/>
              </w:rPr>
              <w:t>10</w:t>
            </w:r>
            <w:r>
              <w:rPr>
                <w:rFonts w:ascii="宋体" w:eastAsia="宋体" w:hint="eastAsia"/>
                <w:sz w:val="18"/>
              </w:rPr>
              <w:t>（</w:t>
            </w:r>
            <w:r>
              <w:rPr>
                <w:sz w:val="18"/>
              </w:rPr>
              <w:t>1162,2463</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3.20E-03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19120801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32.00</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9"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0" w:right="131"/>
              <w:rPr>
                <w:rFonts w:ascii="宋体" w:eastAsia="宋体" w:hint="eastAsia"/>
                <w:sz w:val="18"/>
              </w:rPr>
            </w:pPr>
            <w:r>
              <w:rPr>
                <w:rFonts w:ascii="宋体" w:eastAsia="宋体" w:hint="eastAsia"/>
                <w:sz w:val="18"/>
              </w:rPr>
              <w:t>规划敏感点 </w:t>
            </w:r>
            <w:r>
              <w:rPr>
                <w:sz w:val="18"/>
              </w:rPr>
              <w:t>11</w:t>
            </w:r>
            <w:r>
              <w:rPr>
                <w:rFonts w:ascii="宋体" w:eastAsia="宋体" w:hint="eastAsia"/>
                <w:sz w:val="18"/>
              </w:rPr>
              <w:t>（</w:t>
            </w:r>
            <w:r>
              <w:rPr>
                <w:sz w:val="18"/>
              </w:rPr>
              <w:t>33,2313</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3.90E-03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53"/>
              <w:jc w:val="left"/>
              <w:rPr>
                <w:sz w:val="18"/>
              </w:rPr>
            </w:pPr>
            <w:r>
              <w:rPr>
                <w:sz w:val="18"/>
              </w:rPr>
              <w:t>19110123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38.95</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57"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46"/>
              <w:rPr>
                <w:rFonts w:ascii="宋体" w:eastAsia="宋体" w:hint="eastAsia"/>
                <w:sz w:val="18"/>
              </w:rPr>
            </w:pPr>
            <w:r>
              <w:rPr>
                <w:rFonts w:ascii="宋体" w:eastAsia="宋体" w:hint="eastAsia"/>
                <w:sz w:val="18"/>
              </w:rPr>
              <w:t>网格（</w:t>
            </w:r>
            <w:r>
              <w:rPr>
                <w:sz w:val="18"/>
              </w:rPr>
              <w:t>150,100</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5.13E-02</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19121520</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5" w:right="89"/>
              <w:rPr>
                <w:sz w:val="18"/>
              </w:rPr>
            </w:pPr>
            <w:r>
              <w:rPr>
                <w:sz w:val="18"/>
              </w:rPr>
              <w:t>512.81</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超标</w:t>
            </w:r>
          </w:p>
        </w:tc>
      </w:tr>
      <w:tr>
        <w:trPr>
          <w:trHeight w:val="359" w:hRule="atLeast"/>
        </w:trPr>
        <w:tc>
          <w:tcPr>
            <w:tcW w:w="1003" w:type="dxa"/>
            <w:vMerge/>
            <w:tcBorders>
              <w:top w:val="nil"/>
              <w:bottom w:val="single" w:sz="4" w:space="0" w:color="000000"/>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46"/>
              <w:rPr>
                <w:rFonts w:ascii="宋体" w:eastAsia="宋体" w:hint="eastAsia"/>
                <w:sz w:val="18"/>
              </w:rPr>
            </w:pPr>
            <w:r>
              <w:rPr>
                <w:rFonts w:ascii="宋体" w:eastAsia="宋体" w:hint="eastAsia"/>
                <w:sz w:val="18"/>
              </w:rPr>
              <w:t>厂界（</w:t>
            </w:r>
            <w:r>
              <w:rPr>
                <w:sz w:val="18"/>
              </w:rPr>
              <w:t>123,89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5.38E-02</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19031020</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6.00E-02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89.67</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49" w:hRule="atLeast"/>
        </w:trPr>
        <w:tc>
          <w:tcPr>
            <w:tcW w:w="1003" w:type="dxa"/>
            <w:vMerge w:val="restart"/>
            <w:tcBorders>
              <w:top w:val="single" w:sz="4" w:space="0" w:color="000000"/>
              <w:right w:val="single" w:sz="4"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16"/>
              </w:rPr>
            </w:pPr>
          </w:p>
          <w:p>
            <w:pPr>
              <w:pStyle w:val="TableParagraph"/>
              <w:spacing w:before="1"/>
              <w:ind w:left="251"/>
              <w:jc w:val="left"/>
              <w:rPr>
                <w:sz w:val="18"/>
              </w:rPr>
            </w:pPr>
            <w:r>
              <w:rPr>
                <w:rFonts w:ascii="宋体" w:eastAsia="宋体" w:hint="eastAsia"/>
                <w:sz w:val="18"/>
              </w:rPr>
              <w:t>情形 </w:t>
            </w:r>
            <w:r>
              <w:rPr>
                <w:sz w:val="18"/>
              </w:rPr>
              <w:t>2</w:t>
            </w: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2" w:right="46"/>
              <w:rPr>
                <w:rFonts w:ascii="宋体" w:eastAsia="宋体" w:hint="eastAsia"/>
                <w:sz w:val="18"/>
              </w:rPr>
            </w:pPr>
            <w:r>
              <w:rPr>
                <w:rFonts w:ascii="宋体" w:eastAsia="宋体" w:hint="eastAsia"/>
                <w:sz w:val="18"/>
              </w:rPr>
              <w:t>丰一（</w:t>
            </w:r>
            <w:r>
              <w:rPr>
                <w:sz w:val="18"/>
              </w:rPr>
              <w:t>797,894</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2.79E-03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19090923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27.93</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丰二（</w:t>
            </w:r>
            <w:r>
              <w:rPr>
                <w:sz w:val="18"/>
              </w:rPr>
              <w:t>897,1268</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2.10E-03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19072101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21.03</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项里（</w:t>
            </w:r>
            <w:r>
              <w:rPr>
                <w:sz w:val="18"/>
              </w:rPr>
              <w:t>332,1118</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2.89E-03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53"/>
              <w:jc w:val="left"/>
              <w:rPr>
                <w:sz w:val="18"/>
              </w:rPr>
            </w:pPr>
            <w:r>
              <w:rPr>
                <w:sz w:val="18"/>
              </w:rPr>
              <w:t>19110803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28.92</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河塔村（</w:t>
            </w:r>
            <w:r>
              <w:rPr>
                <w:sz w:val="18"/>
              </w:rPr>
              <w:t>-299,1816</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1.78E-03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19060723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17.82</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秋湖村（</w:t>
            </w:r>
            <w:r>
              <w:rPr>
                <w:sz w:val="18"/>
              </w:rPr>
              <w:t>1686,2223</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1.09E-03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19072101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10.86</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清和园（</w:t>
            </w:r>
            <w:r>
              <w:rPr>
                <w:sz w:val="18"/>
              </w:rPr>
              <w:t>830,2049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1.35E-03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19062723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13.53</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40"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5"/>
              <w:ind w:left="162" w:right="46"/>
              <w:rPr>
                <w:rFonts w:ascii="宋体" w:eastAsia="宋体" w:hint="eastAsia"/>
                <w:sz w:val="18"/>
              </w:rPr>
            </w:pPr>
            <w:r>
              <w:rPr>
                <w:rFonts w:ascii="宋体" w:eastAsia="宋体" w:hint="eastAsia"/>
                <w:sz w:val="18"/>
              </w:rPr>
              <w:t>州山小学（</w:t>
            </w:r>
            <w:r>
              <w:rPr>
                <w:sz w:val="18"/>
              </w:rPr>
              <w:t>-141,2646</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5"/>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7"/>
              <w:ind w:left="148"/>
              <w:jc w:val="left"/>
              <w:rPr>
                <w:sz w:val="18"/>
              </w:rPr>
            </w:pPr>
            <w:r>
              <w:rPr>
                <w:sz w:val="18"/>
              </w:rPr>
              <w:t>1.25E-03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7"/>
              <w:ind w:left="148"/>
              <w:jc w:val="left"/>
              <w:rPr>
                <w:sz w:val="18"/>
              </w:rPr>
            </w:pPr>
            <w:r>
              <w:rPr>
                <w:sz w:val="18"/>
              </w:rPr>
              <w:t>19050423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7"/>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7"/>
              <w:ind w:left="112" w:right="89"/>
              <w:rPr>
                <w:sz w:val="18"/>
              </w:rPr>
            </w:pPr>
            <w:r>
              <w:rPr>
                <w:sz w:val="18"/>
              </w:rPr>
              <w:t>12.53</w:t>
            </w:r>
          </w:p>
        </w:tc>
        <w:tc>
          <w:tcPr>
            <w:tcW w:w="1009" w:type="dxa"/>
            <w:tcBorders>
              <w:top w:val="single" w:sz="4" w:space="0" w:color="000000"/>
              <w:left w:val="single" w:sz="4" w:space="0" w:color="000000"/>
              <w:bottom w:val="single" w:sz="4" w:space="0" w:color="000000"/>
            </w:tcBorders>
          </w:tcPr>
          <w:p>
            <w:pPr>
              <w:pStyle w:val="TableParagraph"/>
              <w:spacing w:before="55"/>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管委会（</w:t>
            </w:r>
            <w:r>
              <w:rPr>
                <w:sz w:val="18"/>
              </w:rPr>
              <w:t>914,2190</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1.26E-03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19062723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12.58</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区福利中心（</w:t>
            </w:r>
            <w:r>
              <w:rPr>
                <w:sz w:val="18"/>
              </w:rPr>
              <w:t>282,2431</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1.26E-03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19090723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12.58</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区委党校（</w:t>
            </w:r>
            <w:r>
              <w:rPr>
                <w:sz w:val="18"/>
              </w:rPr>
              <w:t>656,2182</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1.46E-03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55"/>
              <w:jc w:val="left"/>
              <w:rPr>
                <w:sz w:val="18"/>
              </w:rPr>
            </w:pPr>
            <w:r>
              <w:rPr>
                <w:sz w:val="18"/>
              </w:rPr>
              <w:t>19112119</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14.55</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迪埠（</w:t>
            </w:r>
            <w:r>
              <w:rPr>
                <w:sz w:val="18"/>
              </w:rPr>
              <w:t>1022,-875</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2.40E-03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19061501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24.04</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洪家墩（</w:t>
            </w:r>
            <w:r>
              <w:rPr>
                <w:sz w:val="18"/>
              </w:rPr>
              <w:t>1096,-1407</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1.67E-03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19050924</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16.67</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兴联村（</w:t>
            </w:r>
            <w:r>
              <w:rPr>
                <w:sz w:val="18"/>
              </w:rPr>
              <w:t>1985,-302</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1.58E-03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19100321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15.76</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梅三村（</w:t>
            </w:r>
            <w:r>
              <w:rPr>
                <w:sz w:val="18"/>
              </w:rPr>
              <w:t>1744,-1149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1.39E-03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19101821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13.85</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容山村（</w:t>
            </w:r>
            <w:r>
              <w:rPr>
                <w:sz w:val="18"/>
              </w:rPr>
              <w:t>1154,-2055</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1.23E-03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19122906</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12.30</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40"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兴华村（</w:t>
            </w:r>
            <w:r>
              <w:rPr>
                <w:sz w:val="18"/>
              </w:rPr>
              <w:t>-1653,-1249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4.14E-04</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19053102</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4.14</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3"/>
              <w:rPr>
                <w:rFonts w:ascii="宋体" w:eastAsia="宋体" w:hint="eastAsia"/>
                <w:sz w:val="18"/>
              </w:rPr>
            </w:pPr>
            <w:r>
              <w:rPr>
                <w:rFonts w:ascii="宋体" w:eastAsia="宋体" w:hint="eastAsia"/>
                <w:sz w:val="18"/>
              </w:rPr>
              <w:t>永信村（</w:t>
            </w:r>
            <w:r>
              <w:rPr>
                <w:sz w:val="18"/>
              </w:rPr>
              <w:t>-2384,479</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1.47E-03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19022521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14.73</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131"/>
              <w:rPr>
                <w:rFonts w:ascii="宋体" w:eastAsia="宋体" w:hint="eastAsia"/>
                <w:sz w:val="18"/>
              </w:rPr>
            </w:pPr>
            <w:r>
              <w:rPr>
                <w:rFonts w:ascii="宋体" w:eastAsia="宋体" w:hint="eastAsia"/>
                <w:sz w:val="18"/>
              </w:rPr>
              <w:t>规划敏感点 </w:t>
            </w:r>
            <w:r>
              <w:rPr>
                <w:sz w:val="18"/>
              </w:rPr>
              <w:t>1</w:t>
            </w:r>
            <w:r>
              <w:rPr>
                <w:rFonts w:ascii="宋体" w:eastAsia="宋体" w:hint="eastAsia"/>
                <w:sz w:val="18"/>
              </w:rPr>
              <w:t>（</w:t>
            </w:r>
            <w:r>
              <w:rPr>
                <w:sz w:val="18"/>
              </w:rPr>
              <w:t>983,975</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2.36E-03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19100224</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23.60</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131"/>
              <w:rPr>
                <w:rFonts w:ascii="宋体" w:eastAsia="宋体" w:hint="eastAsia"/>
                <w:sz w:val="18"/>
              </w:rPr>
            </w:pPr>
            <w:r>
              <w:rPr>
                <w:rFonts w:ascii="宋体" w:eastAsia="宋体" w:hint="eastAsia"/>
                <w:sz w:val="18"/>
              </w:rPr>
              <w:t>规划敏感点 </w:t>
            </w:r>
            <w:r>
              <w:rPr>
                <w:sz w:val="18"/>
              </w:rPr>
              <w:t>2</w:t>
            </w:r>
            <w:r>
              <w:rPr>
                <w:rFonts w:ascii="宋体" w:eastAsia="宋体" w:hint="eastAsia"/>
                <w:sz w:val="18"/>
              </w:rPr>
              <w:t>（</w:t>
            </w:r>
            <w:r>
              <w:rPr>
                <w:sz w:val="18"/>
              </w:rPr>
              <w:t>1246,677</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2.26E-03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19102124</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22.56</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131"/>
              <w:rPr>
                <w:rFonts w:ascii="宋体" w:eastAsia="宋体" w:hint="eastAsia"/>
                <w:sz w:val="18"/>
              </w:rPr>
            </w:pPr>
            <w:r>
              <w:rPr>
                <w:rFonts w:ascii="宋体" w:eastAsia="宋体" w:hint="eastAsia"/>
                <w:sz w:val="18"/>
              </w:rPr>
              <w:t>规划敏感点 </w:t>
            </w:r>
            <w:r>
              <w:rPr>
                <w:sz w:val="18"/>
              </w:rPr>
              <w:t>3</w:t>
            </w:r>
            <w:r>
              <w:rPr>
                <w:rFonts w:ascii="宋体" w:eastAsia="宋体" w:hint="eastAsia"/>
                <w:sz w:val="18"/>
              </w:rPr>
              <w:t>（</w:t>
            </w:r>
            <w:r>
              <w:rPr>
                <w:sz w:val="18"/>
              </w:rPr>
              <w:t>1466,682</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19061421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19.45</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131"/>
              <w:rPr>
                <w:rFonts w:ascii="宋体" w:eastAsia="宋体" w:hint="eastAsia"/>
                <w:sz w:val="18"/>
              </w:rPr>
            </w:pPr>
            <w:r>
              <w:rPr>
                <w:rFonts w:ascii="宋体" w:eastAsia="宋体" w:hint="eastAsia"/>
                <w:sz w:val="18"/>
              </w:rPr>
              <w:t>规划敏感点 </w:t>
            </w:r>
            <w:r>
              <w:rPr>
                <w:sz w:val="18"/>
              </w:rPr>
              <w:t>4</w:t>
            </w:r>
            <w:r>
              <w:rPr>
                <w:rFonts w:ascii="宋体" w:eastAsia="宋体" w:hint="eastAsia"/>
                <w:sz w:val="18"/>
              </w:rPr>
              <w:t>（</w:t>
            </w:r>
            <w:r>
              <w:rPr>
                <w:sz w:val="18"/>
              </w:rPr>
              <w:t>1819,754</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1.56E-03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19090920</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15.57</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0" w:right="131"/>
              <w:rPr>
                <w:rFonts w:ascii="宋体" w:eastAsia="宋体" w:hint="eastAsia"/>
                <w:sz w:val="18"/>
              </w:rPr>
            </w:pPr>
            <w:r>
              <w:rPr>
                <w:rFonts w:ascii="宋体" w:eastAsia="宋体" w:hint="eastAsia"/>
                <w:sz w:val="18"/>
              </w:rPr>
              <w:t>规划敏感点 </w:t>
            </w:r>
            <w:r>
              <w:rPr>
                <w:sz w:val="18"/>
              </w:rPr>
              <w:t>5</w:t>
            </w:r>
            <w:r>
              <w:rPr>
                <w:rFonts w:ascii="宋体" w:eastAsia="宋体" w:hint="eastAsia"/>
                <w:sz w:val="18"/>
              </w:rPr>
              <w:t>（</w:t>
            </w:r>
            <w:r>
              <w:rPr>
                <w:sz w:val="18"/>
              </w:rPr>
              <w:t>1698,1061</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1.55E-03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19090820</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15.49</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0" w:right="131"/>
              <w:rPr>
                <w:rFonts w:ascii="宋体" w:eastAsia="宋体" w:hint="eastAsia"/>
                <w:sz w:val="18"/>
              </w:rPr>
            </w:pPr>
            <w:r>
              <w:rPr>
                <w:rFonts w:ascii="宋体" w:eastAsia="宋体" w:hint="eastAsia"/>
                <w:sz w:val="18"/>
              </w:rPr>
              <w:t>规划敏感点 </w:t>
            </w:r>
            <w:r>
              <w:rPr>
                <w:sz w:val="18"/>
              </w:rPr>
              <w:t>6</w:t>
            </w:r>
            <w:r>
              <w:rPr>
                <w:rFonts w:ascii="宋体" w:eastAsia="宋体" w:hint="eastAsia"/>
                <w:sz w:val="18"/>
              </w:rPr>
              <w:t>（</w:t>
            </w:r>
            <w:r>
              <w:rPr>
                <w:sz w:val="18"/>
              </w:rPr>
              <w:t>1573,1393</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1.47E-03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19101001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14.74</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4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right w:val="single" w:sz="4" w:space="0" w:color="000000"/>
            </w:tcBorders>
          </w:tcPr>
          <w:p>
            <w:pPr>
              <w:pStyle w:val="TableParagraph"/>
              <w:spacing w:before="54"/>
              <w:ind w:left="160" w:right="131"/>
              <w:rPr>
                <w:rFonts w:ascii="宋体" w:eastAsia="宋体" w:hint="eastAsia"/>
                <w:sz w:val="18"/>
              </w:rPr>
            </w:pPr>
            <w:r>
              <w:rPr>
                <w:rFonts w:ascii="宋体" w:eastAsia="宋体" w:hint="eastAsia"/>
                <w:sz w:val="18"/>
              </w:rPr>
              <w:t>规划敏感点 </w:t>
            </w:r>
            <w:r>
              <w:rPr>
                <w:sz w:val="18"/>
              </w:rPr>
              <w:t>7</w:t>
            </w:r>
            <w:r>
              <w:rPr>
                <w:rFonts w:ascii="宋体" w:eastAsia="宋体" w:hint="eastAsia"/>
                <w:sz w:val="18"/>
              </w:rPr>
              <w:t>（</w:t>
            </w:r>
            <w:r>
              <w:rPr>
                <w:sz w:val="18"/>
              </w:rPr>
              <w:t>2059,1095</w:t>
            </w:r>
            <w:r>
              <w:rPr>
                <w:rFonts w:ascii="宋体" w:eastAsia="宋体" w:hint="eastAsia"/>
                <w:sz w:val="18"/>
              </w:rPr>
              <w:t>）</w:t>
            </w:r>
          </w:p>
        </w:tc>
        <w:tc>
          <w:tcPr>
            <w:tcW w:w="1006" w:type="dxa"/>
            <w:tcBorders>
              <w:top w:val="single" w:sz="4" w:space="0" w:color="000000"/>
              <w:left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right w:val="single" w:sz="4" w:space="0" w:color="000000"/>
            </w:tcBorders>
          </w:tcPr>
          <w:p>
            <w:pPr>
              <w:pStyle w:val="TableParagraph"/>
              <w:spacing w:before="66"/>
              <w:ind w:left="148"/>
              <w:jc w:val="left"/>
              <w:rPr>
                <w:sz w:val="18"/>
              </w:rPr>
            </w:pPr>
            <w:r>
              <w:rPr>
                <w:sz w:val="18"/>
              </w:rPr>
              <w:t>1.28E-03</w:t>
            </w:r>
          </w:p>
        </w:tc>
        <w:tc>
          <w:tcPr>
            <w:tcW w:w="1007" w:type="dxa"/>
            <w:tcBorders>
              <w:top w:val="single" w:sz="4" w:space="0" w:color="000000"/>
              <w:left w:val="single" w:sz="4" w:space="0" w:color="000000"/>
              <w:right w:val="single" w:sz="4" w:space="0" w:color="000000"/>
            </w:tcBorders>
          </w:tcPr>
          <w:p>
            <w:pPr>
              <w:pStyle w:val="TableParagraph"/>
              <w:spacing w:before="66"/>
              <w:ind w:left="148"/>
              <w:jc w:val="left"/>
              <w:rPr>
                <w:sz w:val="18"/>
              </w:rPr>
            </w:pPr>
            <w:r>
              <w:rPr>
                <w:sz w:val="18"/>
              </w:rPr>
              <w:t>19102124</w:t>
            </w:r>
          </w:p>
        </w:tc>
        <w:tc>
          <w:tcPr>
            <w:tcW w:w="1006" w:type="dxa"/>
            <w:tcBorders>
              <w:top w:val="single" w:sz="4" w:space="0" w:color="000000"/>
              <w:left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right w:val="single" w:sz="4" w:space="0" w:color="000000"/>
            </w:tcBorders>
          </w:tcPr>
          <w:p>
            <w:pPr>
              <w:pStyle w:val="TableParagraph"/>
              <w:spacing w:before="66"/>
              <w:ind w:left="112" w:right="89"/>
              <w:rPr>
                <w:sz w:val="18"/>
              </w:rPr>
            </w:pPr>
            <w:r>
              <w:rPr>
                <w:sz w:val="18"/>
              </w:rPr>
              <w:t>12.80</w:t>
            </w:r>
          </w:p>
        </w:tc>
        <w:tc>
          <w:tcPr>
            <w:tcW w:w="1009" w:type="dxa"/>
            <w:tcBorders>
              <w:top w:val="single" w:sz="4" w:space="0" w:color="000000"/>
              <w:left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bl>
    <w:p>
      <w:pPr>
        <w:spacing w:after="0"/>
        <w:rPr>
          <w:rFonts w:ascii="宋体" w:eastAsia="宋体" w:hint="eastAsia"/>
          <w:sz w:val="18"/>
        </w:rPr>
        <w:sectPr>
          <w:pgSz w:w="11910" w:h="16840"/>
          <w:pgMar w:header="874" w:footer="1004" w:top="1420" w:bottom="1200" w:left="1040" w:right="1160"/>
        </w:sectPr>
      </w:pPr>
    </w:p>
    <w:tbl>
      <w:tblPr>
        <w:tblW w:w="0" w:type="auto"/>
        <w:jc w:val="left"/>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03"/>
        <w:gridCol w:w="2638"/>
        <w:gridCol w:w="1006"/>
        <w:gridCol w:w="946"/>
        <w:gridCol w:w="1007"/>
        <w:gridCol w:w="1006"/>
        <w:gridCol w:w="812"/>
        <w:gridCol w:w="1009"/>
      </w:tblGrid>
      <w:tr>
        <w:trPr>
          <w:trHeight w:val="359" w:hRule="atLeast"/>
        </w:trPr>
        <w:tc>
          <w:tcPr>
            <w:tcW w:w="1003" w:type="dxa"/>
            <w:tcBorders>
              <w:bottom w:val="single" w:sz="4" w:space="0" w:color="000000"/>
              <w:right w:val="single" w:sz="4" w:space="0" w:color="000000"/>
            </w:tcBorders>
          </w:tcPr>
          <w:p>
            <w:pPr>
              <w:pStyle w:val="TableParagraph"/>
              <w:spacing w:before="67"/>
              <w:ind w:left="138"/>
              <w:jc w:val="left"/>
              <w:rPr>
                <w:rFonts w:ascii="宋体" w:eastAsia="宋体" w:hint="eastAsia"/>
                <w:b/>
                <w:sz w:val="18"/>
              </w:rPr>
            </w:pPr>
            <w:r>
              <w:rPr>
                <w:rFonts w:ascii="宋体" w:eastAsia="宋体" w:hint="eastAsia"/>
                <w:b/>
                <w:sz w:val="18"/>
              </w:rPr>
              <w:t>预测情形</w:t>
            </w:r>
          </w:p>
        </w:tc>
        <w:tc>
          <w:tcPr>
            <w:tcW w:w="2638" w:type="dxa"/>
            <w:tcBorders>
              <w:left w:val="single" w:sz="4" w:space="0" w:color="000000"/>
              <w:bottom w:val="single" w:sz="4" w:space="0" w:color="000000"/>
              <w:right w:val="single" w:sz="4" w:space="0" w:color="000000"/>
            </w:tcBorders>
          </w:tcPr>
          <w:p>
            <w:pPr>
              <w:pStyle w:val="TableParagraph"/>
              <w:spacing w:before="67"/>
              <w:ind w:left="157" w:right="131"/>
              <w:rPr>
                <w:rFonts w:ascii="宋体" w:eastAsia="宋体" w:hint="eastAsia"/>
                <w:b/>
                <w:sz w:val="18"/>
              </w:rPr>
            </w:pPr>
            <w:r>
              <w:rPr>
                <w:rFonts w:ascii="宋体" w:eastAsia="宋体" w:hint="eastAsia"/>
                <w:b/>
                <w:sz w:val="18"/>
              </w:rPr>
              <w:t>预测点名称</w:t>
            </w:r>
          </w:p>
        </w:tc>
        <w:tc>
          <w:tcPr>
            <w:tcW w:w="1006" w:type="dxa"/>
            <w:tcBorders>
              <w:left w:val="single" w:sz="4" w:space="0" w:color="000000"/>
              <w:bottom w:val="single" w:sz="4" w:space="0" w:color="000000"/>
              <w:right w:val="single" w:sz="4" w:space="0" w:color="000000"/>
            </w:tcBorders>
          </w:tcPr>
          <w:p>
            <w:pPr>
              <w:pStyle w:val="TableParagraph"/>
              <w:spacing w:before="67"/>
              <w:ind w:left="127" w:right="98"/>
              <w:rPr>
                <w:rFonts w:ascii="宋体" w:eastAsia="宋体" w:hint="eastAsia"/>
                <w:b/>
                <w:sz w:val="18"/>
              </w:rPr>
            </w:pPr>
            <w:r>
              <w:rPr>
                <w:rFonts w:ascii="宋体" w:eastAsia="宋体" w:hint="eastAsia"/>
                <w:b/>
                <w:sz w:val="18"/>
              </w:rPr>
              <w:t>预测浓度</w:t>
            </w:r>
          </w:p>
        </w:tc>
        <w:tc>
          <w:tcPr>
            <w:tcW w:w="946" w:type="dxa"/>
            <w:tcBorders>
              <w:left w:val="single" w:sz="4" w:space="0" w:color="000000"/>
              <w:bottom w:val="single" w:sz="4" w:space="0" w:color="000000"/>
              <w:right w:val="single" w:sz="4" w:space="0" w:color="000000"/>
            </w:tcBorders>
          </w:tcPr>
          <w:p>
            <w:pPr>
              <w:pStyle w:val="TableParagraph"/>
              <w:spacing w:before="67"/>
              <w:ind w:left="208"/>
              <w:jc w:val="left"/>
              <w:rPr>
                <w:rFonts w:ascii="宋体" w:eastAsia="宋体" w:hint="eastAsia"/>
                <w:b/>
                <w:sz w:val="18"/>
              </w:rPr>
            </w:pPr>
            <w:r>
              <w:rPr>
                <w:rFonts w:ascii="宋体" w:eastAsia="宋体" w:hint="eastAsia"/>
                <w:b/>
                <w:sz w:val="18"/>
              </w:rPr>
              <w:t>贡献值</w:t>
            </w:r>
          </w:p>
        </w:tc>
        <w:tc>
          <w:tcPr>
            <w:tcW w:w="1007" w:type="dxa"/>
            <w:tcBorders>
              <w:left w:val="single" w:sz="4" w:space="0" w:color="000000"/>
              <w:bottom w:val="single" w:sz="4" w:space="0" w:color="000000"/>
              <w:right w:val="single" w:sz="4" w:space="0" w:color="000000"/>
            </w:tcBorders>
          </w:tcPr>
          <w:p>
            <w:pPr>
              <w:pStyle w:val="TableParagraph"/>
              <w:spacing w:before="67"/>
              <w:ind w:left="148"/>
              <w:jc w:val="left"/>
              <w:rPr>
                <w:rFonts w:ascii="宋体" w:eastAsia="宋体" w:hint="eastAsia"/>
                <w:b/>
                <w:sz w:val="18"/>
              </w:rPr>
            </w:pPr>
            <w:r>
              <w:rPr>
                <w:rFonts w:ascii="宋体" w:eastAsia="宋体" w:hint="eastAsia"/>
                <w:b/>
                <w:sz w:val="18"/>
              </w:rPr>
              <w:t>出现时刻</w:t>
            </w:r>
          </w:p>
        </w:tc>
        <w:tc>
          <w:tcPr>
            <w:tcW w:w="1006" w:type="dxa"/>
            <w:tcBorders>
              <w:left w:val="single" w:sz="4" w:space="0" w:color="000000"/>
              <w:bottom w:val="single" w:sz="4" w:space="0" w:color="000000"/>
              <w:right w:val="single" w:sz="4" w:space="0" w:color="000000"/>
            </w:tcBorders>
          </w:tcPr>
          <w:p>
            <w:pPr>
              <w:pStyle w:val="TableParagraph"/>
              <w:spacing w:before="67"/>
              <w:ind w:left="123" w:right="102"/>
              <w:rPr>
                <w:rFonts w:ascii="宋体" w:eastAsia="宋体" w:hint="eastAsia"/>
                <w:b/>
                <w:sz w:val="18"/>
              </w:rPr>
            </w:pPr>
            <w:r>
              <w:rPr>
                <w:rFonts w:ascii="宋体" w:eastAsia="宋体" w:hint="eastAsia"/>
                <w:b/>
                <w:sz w:val="18"/>
              </w:rPr>
              <w:t>评价标准</w:t>
            </w:r>
          </w:p>
        </w:tc>
        <w:tc>
          <w:tcPr>
            <w:tcW w:w="812" w:type="dxa"/>
            <w:tcBorders>
              <w:left w:val="single" w:sz="4" w:space="0" w:color="000000"/>
              <w:bottom w:val="single" w:sz="4" w:space="0" w:color="000000"/>
              <w:right w:val="single" w:sz="4" w:space="0" w:color="000000"/>
            </w:tcBorders>
          </w:tcPr>
          <w:p>
            <w:pPr>
              <w:pStyle w:val="TableParagraph"/>
              <w:spacing w:before="67"/>
              <w:ind w:left="114" w:right="89"/>
              <w:rPr>
                <w:rFonts w:ascii="宋体" w:eastAsia="宋体" w:hint="eastAsia"/>
                <w:b/>
                <w:sz w:val="18"/>
              </w:rPr>
            </w:pPr>
            <w:r>
              <w:rPr>
                <w:rFonts w:ascii="宋体" w:eastAsia="宋体" w:hint="eastAsia"/>
                <w:b/>
                <w:sz w:val="18"/>
              </w:rPr>
              <w:t>占标率</w:t>
            </w:r>
          </w:p>
        </w:tc>
        <w:tc>
          <w:tcPr>
            <w:tcW w:w="1009" w:type="dxa"/>
            <w:tcBorders>
              <w:left w:val="single" w:sz="4" w:space="0" w:color="000000"/>
              <w:bottom w:val="single" w:sz="4" w:space="0" w:color="000000"/>
            </w:tcBorders>
          </w:tcPr>
          <w:p>
            <w:pPr>
              <w:pStyle w:val="TableParagraph"/>
              <w:spacing w:before="67"/>
              <w:ind w:left="128" w:right="97"/>
              <w:rPr>
                <w:rFonts w:ascii="宋体" w:eastAsia="宋体" w:hint="eastAsia"/>
                <w:b/>
                <w:sz w:val="18"/>
              </w:rPr>
            </w:pPr>
            <w:r>
              <w:rPr>
                <w:rFonts w:ascii="宋体" w:eastAsia="宋体" w:hint="eastAsia"/>
                <w:b/>
                <w:sz w:val="18"/>
              </w:rPr>
              <w:t>是否达标</w:t>
            </w:r>
          </w:p>
        </w:tc>
      </w:tr>
      <w:tr>
        <w:trPr>
          <w:trHeight w:val="349" w:hRule="atLeast"/>
        </w:trPr>
        <w:tc>
          <w:tcPr>
            <w:tcW w:w="1003" w:type="dxa"/>
            <w:vMerge w:val="restart"/>
            <w:tcBorders>
              <w:top w:val="single" w:sz="4" w:space="0" w:color="000000"/>
              <w:right w:val="single" w:sz="4" w:space="0" w:color="000000"/>
            </w:tcBorders>
          </w:tcPr>
          <w:p>
            <w:pPr>
              <w:pStyle w:val="TableParagraph"/>
              <w:spacing w:before="0"/>
              <w:jc w:val="left"/>
              <w:rPr>
                <w:sz w:val="20"/>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64"/>
              <w:ind w:left="160" w:right="131"/>
              <w:rPr>
                <w:rFonts w:ascii="宋体" w:eastAsia="宋体" w:hint="eastAsia"/>
                <w:sz w:val="18"/>
              </w:rPr>
            </w:pPr>
            <w:r>
              <w:rPr>
                <w:rFonts w:ascii="宋体" w:eastAsia="宋体" w:hint="eastAsia"/>
                <w:sz w:val="18"/>
              </w:rPr>
              <w:t>规划敏感点 </w:t>
            </w:r>
            <w:r>
              <w:rPr>
                <w:sz w:val="18"/>
              </w:rPr>
              <w:t>8</w:t>
            </w:r>
            <w:r>
              <w:rPr>
                <w:rFonts w:ascii="宋体" w:eastAsia="宋体" w:hint="eastAsia"/>
                <w:sz w:val="18"/>
              </w:rPr>
              <w:t>（</w:t>
            </w:r>
            <w:r>
              <w:rPr>
                <w:sz w:val="18"/>
              </w:rPr>
              <w:t>1977,1422</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1.24E-03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76"/>
              <w:ind w:left="148"/>
              <w:jc w:val="left"/>
              <w:rPr>
                <w:sz w:val="18"/>
              </w:rPr>
            </w:pPr>
            <w:r>
              <w:rPr>
                <w:sz w:val="18"/>
              </w:rPr>
              <w:t>19101022</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7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76"/>
              <w:ind w:left="112" w:right="89"/>
              <w:rPr>
                <w:sz w:val="18"/>
              </w:rPr>
            </w:pPr>
            <w:r>
              <w:rPr>
                <w:sz w:val="18"/>
              </w:rPr>
              <w:t>12.39</w:t>
            </w:r>
          </w:p>
        </w:tc>
        <w:tc>
          <w:tcPr>
            <w:tcW w:w="1009" w:type="dxa"/>
            <w:tcBorders>
              <w:top w:val="single" w:sz="4" w:space="0" w:color="000000"/>
              <w:left w:val="single" w:sz="4" w:space="0" w:color="000000"/>
              <w:bottom w:val="single" w:sz="4" w:space="0" w:color="000000"/>
            </w:tcBorders>
          </w:tcPr>
          <w:p>
            <w:pPr>
              <w:pStyle w:val="TableParagraph"/>
              <w:spacing w:before="6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131"/>
              <w:rPr>
                <w:rFonts w:ascii="宋体" w:eastAsia="宋体" w:hint="eastAsia"/>
                <w:sz w:val="18"/>
              </w:rPr>
            </w:pPr>
            <w:r>
              <w:rPr>
                <w:rFonts w:ascii="宋体" w:eastAsia="宋体" w:hint="eastAsia"/>
                <w:sz w:val="18"/>
              </w:rPr>
              <w:t>规划敏感点 </w:t>
            </w:r>
            <w:r>
              <w:rPr>
                <w:sz w:val="18"/>
              </w:rPr>
              <w:t>9</w:t>
            </w:r>
            <w:r>
              <w:rPr>
                <w:rFonts w:ascii="宋体" w:eastAsia="宋体" w:hint="eastAsia"/>
                <w:sz w:val="18"/>
              </w:rPr>
              <w:t>（</w:t>
            </w:r>
            <w:r>
              <w:rPr>
                <w:sz w:val="18"/>
              </w:rPr>
              <w:t>1126,2099</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1.25E-03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53"/>
              <w:jc w:val="left"/>
              <w:rPr>
                <w:sz w:val="18"/>
              </w:rPr>
            </w:pPr>
            <w:r>
              <w:rPr>
                <w:sz w:val="18"/>
              </w:rPr>
              <w:t>19071121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12.48</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131"/>
              <w:rPr>
                <w:rFonts w:ascii="宋体" w:eastAsia="宋体" w:hint="eastAsia"/>
                <w:sz w:val="18"/>
              </w:rPr>
            </w:pPr>
            <w:r>
              <w:rPr>
                <w:rFonts w:ascii="宋体" w:eastAsia="宋体" w:hint="eastAsia"/>
                <w:sz w:val="18"/>
              </w:rPr>
              <w:t>规划敏感点 </w:t>
            </w:r>
            <w:r>
              <w:rPr>
                <w:sz w:val="18"/>
              </w:rPr>
              <w:t>10</w:t>
            </w:r>
            <w:r>
              <w:rPr>
                <w:rFonts w:ascii="宋体" w:eastAsia="宋体" w:hint="eastAsia"/>
                <w:sz w:val="18"/>
              </w:rPr>
              <w:t>（</w:t>
            </w:r>
            <w:r>
              <w:rPr>
                <w:sz w:val="18"/>
              </w:rPr>
              <w:t>1162,2463</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1.07E-03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19102021</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10.69</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0" w:right="131"/>
              <w:rPr>
                <w:rFonts w:ascii="宋体" w:eastAsia="宋体" w:hint="eastAsia"/>
                <w:sz w:val="18"/>
              </w:rPr>
            </w:pPr>
            <w:r>
              <w:rPr>
                <w:rFonts w:ascii="宋体" w:eastAsia="宋体" w:hint="eastAsia"/>
                <w:sz w:val="18"/>
              </w:rPr>
              <w:t>规划敏感点 </w:t>
            </w:r>
            <w:r>
              <w:rPr>
                <w:sz w:val="18"/>
              </w:rPr>
              <w:t>11</w:t>
            </w:r>
            <w:r>
              <w:rPr>
                <w:rFonts w:ascii="宋体" w:eastAsia="宋体" w:hint="eastAsia"/>
                <w:sz w:val="18"/>
              </w:rPr>
              <w:t>（</w:t>
            </w:r>
            <w:r>
              <w:rPr>
                <w:sz w:val="18"/>
              </w:rPr>
              <w:t>33,2313</w:t>
            </w:r>
            <w:r>
              <w:rPr>
                <w:rFonts w:ascii="宋体" w:eastAsia="宋体" w:hint="eastAsia"/>
                <w:sz w:val="18"/>
              </w:rPr>
              <w:t>）</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1.35E-03</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19061523</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2" w:right="89"/>
              <w:rPr>
                <w:sz w:val="18"/>
              </w:rPr>
            </w:pPr>
            <w:r>
              <w:rPr>
                <w:sz w:val="18"/>
              </w:rPr>
              <w:t>13.48</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r>
        <w:trPr>
          <w:trHeight w:val="337"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bottom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网格（</w:t>
            </w:r>
            <w:r>
              <w:rPr>
                <w:sz w:val="18"/>
              </w:rPr>
              <w:t>150,100</w:t>
            </w:r>
            <w:r>
              <w:rPr>
                <w:rFonts w:ascii="宋体" w:eastAsia="宋体" w:hint="eastAsia"/>
                <w:sz w:val="18"/>
              </w:rPr>
              <w:t>） </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1.69E-02</w:t>
            </w:r>
          </w:p>
        </w:tc>
        <w:tc>
          <w:tcPr>
            <w:tcW w:w="1007" w:type="dxa"/>
            <w:tcBorders>
              <w:top w:val="single" w:sz="4" w:space="0" w:color="000000"/>
              <w:left w:val="single" w:sz="4" w:space="0" w:color="000000"/>
              <w:bottom w:val="single" w:sz="4" w:space="0" w:color="000000"/>
              <w:right w:val="single" w:sz="4" w:space="0" w:color="000000"/>
            </w:tcBorders>
          </w:tcPr>
          <w:p>
            <w:pPr>
              <w:pStyle w:val="TableParagraph"/>
              <w:spacing w:before="66"/>
              <w:ind w:left="148"/>
              <w:jc w:val="left"/>
              <w:rPr>
                <w:sz w:val="18"/>
              </w:rPr>
            </w:pPr>
            <w:r>
              <w:rPr>
                <w:sz w:val="18"/>
              </w:rPr>
              <w:t>19090920</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before="66"/>
              <w:ind w:left="123" w:right="102"/>
              <w:rPr>
                <w:sz w:val="18"/>
              </w:rPr>
            </w:pPr>
            <w:r>
              <w:rPr>
                <w:sz w:val="18"/>
              </w:rPr>
              <w:t>1.00E-02</w:t>
            </w:r>
          </w:p>
        </w:tc>
        <w:tc>
          <w:tcPr>
            <w:tcW w:w="812" w:type="dxa"/>
            <w:tcBorders>
              <w:top w:val="single" w:sz="4" w:space="0" w:color="000000"/>
              <w:left w:val="single" w:sz="4" w:space="0" w:color="000000"/>
              <w:bottom w:val="single" w:sz="4" w:space="0" w:color="000000"/>
              <w:right w:val="single" w:sz="4" w:space="0" w:color="000000"/>
            </w:tcBorders>
          </w:tcPr>
          <w:p>
            <w:pPr>
              <w:pStyle w:val="TableParagraph"/>
              <w:spacing w:before="66"/>
              <w:ind w:left="115" w:right="89"/>
              <w:rPr>
                <w:sz w:val="18"/>
              </w:rPr>
            </w:pPr>
            <w:r>
              <w:rPr>
                <w:sz w:val="18"/>
              </w:rPr>
              <w:t>168.77</w:t>
            </w:r>
          </w:p>
        </w:tc>
        <w:tc>
          <w:tcPr>
            <w:tcW w:w="1009" w:type="dxa"/>
            <w:tcBorders>
              <w:top w:val="single" w:sz="4" w:space="0" w:color="000000"/>
              <w:left w:val="single" w:sz="4" w:space="0" w:color="000000"/>
              <w:bottom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超标</w:t>
            </w:r>
          </w:p>
        </w:tc>
      </w:tr>
      <w:tr>
        <w:trPr>
          <w:trHeight w:val="349" w:hRule="atLeast"/>
        </w:trPr>
        <w:tc>
          <w:tcPr>
            <w:tcW w:w="1003" w:type="dxa"/>
            <w:vMerge/>
            <w:tcBorders>
              <w:top w:val="nil"/>
              <w:right w:val="single" w:sz="4" w:space="0" w:color="000000"/>
            </w:tcBorders>
          </w:tcPr>
          <w:p>
            <w:pPr>
              <w:rPr>
                <w:sz w:val="2"/>
                <w:szCs w:val="2"/>
              </w:rPr>
            </w:pPr>
          </w:p>
        </w:tc>
        <w:tc>
          <w:tcPr>
            <w:tcW w:w="2638" w:type="dxa"/>
            <w:tcBorders>
              <w:top w:val="single" w:sz="4" w:space="0" w:color="000000"/>
              <w:left w:val="single" w:sz="4" w:space="0" w:color="000000"/>
              <w:right w:val="single" w:sz="4" w:space="0" w:color="000000"/>
            </w:tcBorders>
          </w:tcPr>
          <w:p>
            <w:pPr>
              <w:pStyle w:val="TableParagraph"/>
              <w:spacing w:before="54"/>
              <w:ind w:left="162" w:right="46"/>
              <w:rPr>
                <w:rFonts w:ascii="宋体" w:eastAsia="宋体" w:hint="eastAsia"/>
                <w:sz w:val="18"/>
              </w:rPr>
            </w:pPr>
            <w:r>
              <w:rPr>
                <w:rFonts w:ascii="宋体" w:eastAsia="宋体" w:hint="eastAsia"/>
                <w:sz w:val="18"/>
              </w:rPr>
              <w:t>厂界（</w:t>
            </w:r>
            <w:r>
              <w:rPr>
                <w:sz w:val="18"/>
              </w:rPr>
              <w:t>123,89</w:t>
            </w:r>
            <w:r>
              <w:rPr>
                <w:rFonts w:ascii="宋体" w:eastAsia="宋体" w:hint="eastAsia"/>
                <w:sz w:val="18"/>
              </w:rPr>
              <w:t>） </w:t>
            </w:r>
          </w:p>
        </w:tc>
        <w:tc>
          <w:tcPr>
            <w:tcW w:w="1006" w:type="dxa"/>
            <w:tcBorders>
              <w:top w:val="single" w:sz="4" w:space="0" w:color="000000"/>
              <w:left w:val="single" w:sz="4" w:space="0" w:color="000000"/>
              <w:right w:val="single" w:sz="4" w:space="0" w:color="000000"/>
            </w:tcBorders>
          </w:tcPr>
          <w:p>
            <w:pPr>
              <w:pStyle w:val="TableParagraph"/>
              <w:spacing w:before="54"/>
              <w:ind w:left="127" w:right="98"/>
              <w:rPr>
                <w:rFonts w:ascii="宋体" w:eastAsia="宋体" w:hint="eastAsia"/>
                <w:sz w:val="18"/>
              </w:rPr>
            </w:pPr>
            <w:r>
              <w:rPr>
                <w:sz w:val="18"/>
              </w:rPr>
              <w:t>1 </w:t>
            </w:r>
            <w:r>
              <w:rPr>
                <w:rFonts w:ascii="宋体" w:eastAsia="宋体" w:hint="eastAsia"/>
                <w:sz w:val="18"/>
              </w:rPr>
              <w:t>小时</w:t>
            </w:r>
          </w:p>
        </w:tc>
        <w:tc>
          <w:tcPr>
            <w:tcW w:w="946" w:type="dxa"/>
            <w:tcBorders>
              <w:top w:val="single" w:sz="4" w:space="0" w:color="000000"/>
              <w:left w:val="single" w:sz="4" w:space="0" w:color="000000"/>
              <w:right w:val="single" w:sz="4" w:space="0" w:color="000000"/>
            </w:tcBorders>
          </w:tcPr>
          <w:p>
            <w:pPr>
              <w:pStyle w:val="TableParagraph"/>
              <w:spacing w:before="66"/>
              <w:ind w:left="148"/>
              <w:jc w:val="left"/>
              <w:rPr>
                <w:sz w:val="18"/>
              </w:rPr>
            </w:pPr>
            <w:r>
              <w:rPr>
                <w:sz w:val="18"/>
              </w:rPr>
              <w:t>3.04E-02</w:t>
            </w:r>
          </w:p>
        </w:tc>
        <w:tc>
          <w:tcPr>
            <w:tcW w:w="1007" w:type="dxa"/>
            <w:tcBorders>
              <w:top w:val="single" w:sz="4" w:space="0" w:color="000000"/>
              <w:left w:val="single" w:sz="4" w:space="0" w:color="000000"/>
              <w:right w:val="single" w:sz="4" w:space="0" w:color="000000"/>
            </w:tcBorders>
          </w:tcPr>
          <w:p>
            <w:pPr>
              <w:pStyle w:val="TableParagraph"/>
              <w:spacing w:before="66"/>
              <w:ind w:left="148"/>
              <w:jc w:val="left"/>
              <w:rPr>
                <w:sz w:val="18"/>
              </w:rPr>
            </w:pPr>
            <w:r>
              <w:rPr>
                <w:sz w:val="18"/>
              </w:rPr>
              <w:t>19060922</w:t>
            </w:r>
          </w:p>
        </w:tc>
        <w:tc>
          <w:tcPr>
            <w:tcW w:w="1006" w:type="dxa"/>
            <w:tcBorders>
              <w:top w:val="single" w:sz="4" w:space="0" w:color="000000"/>
              <w:left w:val="single" w:sz="4" w:space="0" w:color="000000"/>
              <w:right w:val="single" w:sz="4" w:space="0" w:color="000000"/>
            </w:tcBorders>
          </w:tcPr>
          <w:p>
            <w:pPr>
              <w:pStyle w:val="TableParagraph"/>
              <w:spacing w:before="66"/>
              <w:ind w:left="123" w:right="102"/>
              <w:rPr>
                <w:sz w:val="18"/>
              </w:rPr>
            </w:pPr>
            <w:r>
              <w:rPr>
                <w:sz w:val="18"/>
              </w:rPr>
              <w:t>6.00E-02</w:t>
            </w:r>
          </w:p>
        </w:tc>
        <w:tc>
          <w:tcPr>
            <w:tcW w:w="812" w:type="dxa"/>
            <w:tcBorders>
              <w:top w:val="single" w:sz="4" w:space="0" w:color="000000"/>
              <w:left w:val="single" w:sz="4" w:space="0" w:color="000000"/>
              <w:right w:val="single" w:sz="4" w:space="0" w:color="000000"/>
            </w:tcBorders>
          </w:tcPr>
          <w:p>
            <w:pPr>
              <w:pStyle w:val="TableParagraph"/>
              <w:spacing w:before="66"/>
              <w:ind w:left="112" w:right="89"/>
              <w:rPr>
                <w:sz w:val="18"/>
              </w:rPr>
            </w:pPr>
            <w:r>
              <w:rPr>
                <w:sz w:val="18"/>
              </w:rPr>
              <w:t>50.67</w:t>
            </w:r>
          </w:p>
        </w:tc>
        <w:tc>
          <w:tcPr>
            <w:tcW w:w="1009" w:type="dxa"/>
            <w:tcBorders>
              <w:top w:val="single" w:sz="4" w:space="0" w:color="000000"/>
              <w:left w:val="single" w:sz="4" w:space="0" w:color="000000"/>
            </w:tcBorders>
          </w:tcPr>
          <w:p>
            <w:pPr>
              <w:pStyle w:val="TableParagraph"/>
              <w:spacing w:before="54"/>
              <w:ind w:left="126" w:right="97"/>
              <w:rPr>
                <w:rFonts w:ascii="宋体" w:eastAsia="宋体" w:hint="eastAsia"/>
                <w:sz w:val="18"/>
              </w:rPr>
            </w:pPr>
            <w:r>
              <w:rPr>
                <w:rFonts w:ascii="宋体" w:eastAsia="宋体" w:hint="eastAsia"/>
                <w:sz w:val="18"/>
              </w:rPr>
              <w:t>达标</w:t>
            </w:r>
          </w:p>
        </w:tc>
      </w:tr>
    </w:tbl>
    <w:p>
      <w:pPr>
        <w:pStyle w:val="ListParagraph"/>
        <w:numPr>
          <w:ilvl w:val="0"/>
          <w:numId w:val="75"/>
        </w:numPr>
        <w:tabs>
          <w:tab w:pos="1082" w:val="left" w:leader="none"/>
        </w:tabs>
        <w:spacing w:line="240" w:lineRule="auto" w:before="91" w:after="0"/>
        <w:ind w:left="1081" w:right="0" w:hanging="363"/>
        <w:jc w:val="left"/>
        <w:rPr>
          <w:b/>
          <w:sz w:val="24"/>
        </w:rPr>
      </w:pPr>
      <w:r>
        <w:rPr>
          <w:b/>
          <w:sz w:val="24"/>
        </w:rPr>
        <w:t>恶臭影响分析</w:t>
      </w:r>
    </w:p>
    <w:p>
      <w:pPr>
        <w:pStyle w:val="BodyText"/>
        <w:spacing w:line="364" w:lineRule="auto" w:before="160"/>
        <w:ind w:right="249" w:firstLine="480"/>
        <w:jc w:val="both"/>
      </w:pPr>
      <w:r>
        <w:rPr>
          <w:spacing w:val="-4"/>
          <w:position w:val="2"/>
        </w:rPr>
        <w:t>本项目运行过程中会产生 </w:t>
      </w:r>
      <w:r>
        <w:rPr>
          <w:rFonts w:ascii="Times New Roman" w:eastAsia="Times New Roman"/>
          <w:position w:val="2"/>
        </w:rPr>
        <w:t>NH</w:t>
      </w:r>
      <w:r>
        <w:rPr>
          <w:rFonts w:ascii="Times New Roman" w:eastAsia="Times New Roman"/>
          <w:sz w:val="16"/>
        </w:rPr>
        <w:t>3 </w:t>
      </w:r>
      <w:r>
        <w:rPr>
          <w:spacing w:val="-23"/>
          <w:position w:val="2"/>
        </w:rPr>
        <w:t>和 </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1"/>
          <w:position w:val="2"/>
        </w:rPr>
        <w:t>等恶臭气体。其中，</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4"/>
          <w:position w:val="2"/>
        </w:rPr>
        <w:t>的嗅阈值很低，很容</w:t>
      </w:r>
      <w:r>
        <w:rPr/>
        <w:t>易被识别并引起人的不快。根据华东理工大学乌锡康教授提供的有机化合物环境数据简表和胡名操编制的《环境保护实用数据手册》、《恶臭环境管理和污染控制》等资料， 根据嗅阈值（</w:t>
      </w:r>
      <w:r>
        <w:rPr>
          <w:rFonts w:ascii="Times New Roman" w:eastAsia="Times New Roman"/>
        </w:rPr>
        <w:t>ppm</w:t>
      </w:r>
      <w:r>
        <w:rPr/>
        <w:t>）可以求得嗅阈浓度值（</w:t>
      </w:r>
      <w:r>
        <w:rPr>
          <w:rFonts w:ascii="Times New Roman" w:eastAsia="Times New Roman"/>
        </w:rPr>
        <w:t>mg/m</w:t>
      </w:r>
      <w:r>
        <w:rPr>
          <w:rFonts w:ascii="Times New Roman" w:eastAsia="Times New Roman"/>
          <w:position w:val="9"/>
          <w:sz w:val="16"/>
        </w:rPr>
        <w:t>3</w:t>
      </w:r>
      <w:r>
        <w:rPr/>
        <w:t>），</w:t>
      </w:r>
      <w:r>
        <w:rPr>
          <w:spacing w:val="-1"/>
        </w:rPr>
        <w:t>计算方法如下：</w:t>
      </w:r>
    </w:p>
    <w:p>
      <w:pPr>
        <w:pStyle w:val="BodyText"/>
        <w:spacing w:before="17"/>
        <w:ind w:left="216" w:right="236"/>
        <w:jc w:val="center"/>
        <w:rPr>
          <w:rFonts w:ascii="Times New Roman" w:hAnsi="Times New Roman"/>
        </w:rPr>
      </w:pPr>
      <w:r>
        <w:rPr>
          <w:rFonts w:ascii="Times New Roman" w:hAnsi="Times New Roman"/>
        </w:rPr>
        <w:t>X=M/22.4×C×273/(273+T)×(Pa/101325)</w:t>
      </w:r>
    </w:p>
    <w:p>
      <w:pPr>
        <w:pStyle w:val="BodyText"/>
        <w:spacing w:line="364" w:lineRule="auto" w:before="179"/>
        <w:ind w:right="249" w:firstLine="480"/>
        <w:jc w:val="both"/>
      </w:pPr>
      <w:r>
        <w:rPr>
          <w:spacing w:val="-5"/>
        </w:rPr>
        <w:t>式中：</w:t>
      </w:r>
      <w:r>
        <w:rPr>
          <w:rFonts w:ascii="Times New Roman" w:hAnsi="Times New Roman" w:eastAsia="Times New Roman"/>
          <w:spacing w:val="-15"/>
        </w:rPr>
        <w:t>X——</w:t>
      </w:r>
      <w:r>
        <w:rPr>
          <w:spacing w:val="-4"/>
        </w:rPr>
        <w:t>浓度，</w:t>
      </w:r>
      <w:r>
        <w:rPr>
          <w:rFonts w:ascii="Times New Roman" w:hAnsi="Times New Roman" w:eastAsia="Times New Roman"/>
          <w:spacing w:val="-12"/>
        </w:rPr>
        <w:t>mg/m</w:t>
      </w:r>
      <w:r>
        <w:rPr>
          <w:rFonts w:ascii="Times New Roman" w:hAnsi="Times New Roman" w:eastAsia="Times New Roman"/>
          <w:spacing w:val="-12"/>
          <w:position w:val="9"/>
          <w:sz w:val="16"/>
        </w:rPr>
        <w:t>3</w:t>
      </w:r>
      <w:r>
        <w:rPr>
          <w:spacing w:val="-12"/>
        </w:rPr>
        <w:t>；</w:t>
      </w:r>
      <w:r>
        <w:rPr>
          <w:rFonts w:ascii="Times New Roman" w:hAnsi="Times New Roman" w:eastAsia="Times New Roman"/>
          <w:spacing w:val="-12"/>
        </w:rPr>
        <w:t>C——</w:t>
      </w:r>
      <w:r>
        <w:rPr>
          <w:spacing w:val="-7"/>
        </w:rPr>
        <w:t>浓度，</w:t>
      </w:r>
      <w:r>
        <w:rPr>
          <w:rFonts w:ascii="Times New Roman" w:hAnsi="Times New Roman" w:eastAsia="Times New Roman"/>
          <w:spacing w:val="-15"/>
        </w:rPr>
        <w:t>ppm</w:t>
      </w:r>
      <w:r>
        <w:rPr>
          <w:spacing w:val="-15"/>
        </w:rPr>
        <w:t>；</w:t>
      </w:r>
      <w:r>
        <w:rPr>
          <w:rFonts w:ascii="Times New Roman" w:hAnsi="Times New Roman" w:eastAsia="Times New Roman"/>
          <w:spacing w:val="-15"/>
        </w:rPr>
        <w:t>T——</w:t>
      </w:r>
      <w:r>
        <w:rPr>
          <w:spacing w:val="-13"/>
        </w:rPr>
        <w:t>温度，℃；</w:t>
      </w:r>
      <w:r>
        <w:rPr>
          <w:rFonts w:ascii="Times New Roman" w:hAnsi="Times New Roman" w:eastAsia="Times New Roman"/>
          <w:spacing w:val="-20"/>
        </w:rPr>
        <w:t>M——</w:t>
      </w:r>
      <w:r>
        <w:rPr>
          <w:spacing w:val="-3"/>
        </w:rPr>
        <w:t>分子量；</w:t>
      </w:r>
      <w:r>
        <w:rPr>
          <w:rFonts w:ascii="Times New Roman" w:hAnsi="Times New Roman" w:eastAsia="Times New Roman"/>
          <w:spacing w:val="-12"/>
        </w:rPr>
        <w:t>Pa—— </w:t>
      </w:r>
      <w:r>
        <w:rPr>
          <w:spacing w:val="-21"/>
        </w:rPr>
        <w:t>压力 </w:t>
      </w:r>
      <w:r>
        <w:rPr>
          <w:rFonts w:ascii="Times New Roman" w:hAnsi="Times New Roman" w:eastAsia="Times New Roman"/>
        </w:rPr>
        <w:t>Pa</w:t>
      </w:r>
      <w:r>
        <w:rPr/>
        <w:t>。由此可求得嗅阈浓度值（</w:t>
      </w:r>
      <w:r>
        <w:rPr>
          <w:rFonts w:ascii="Times New Roman" w:hAnsi="Times New Roman" w:eastAsia="Times New Roman"/>
        </w:rPr>
        <w:t>mg/m</w:t>
      </w:r>
      <w:r>
        <w:rPr>
          <w:rFonts w:ascii="Times New Roman" w:hAnsi="Times New Roman" w:eastAsia="Times New Roman"/>
          <w:position w:val="9"/>
          <w:sz w:val="16"/>
        </w:rPr>
        <w:t>3</w:t>
      </w:r>
      <w:r>
        <w:rPr/>
        <w:t>）</w:t>
      </w:r>
      <w:r>
        <w:rPr>
          <w:spacing w:val="-10"/>
        </w:rPr>
        <w:t>，具体见表 </w:t>
      </w:r>
      <w:r>
        <w:rPr>
          <w:rFonts w:ascii="Times New Roman" w:hAnsi="Times New Roman" w:eastAsia="Times New Roman"/>
        </w:rPr>
        <w:t>5.2-26</w:t>
      </w:r>
      <w:r>
        <w:rPr/>
        <w:t>。</w:t>
      </w:r>
    </w:p>
    <w:p>
      <w:pPr>
        <w:pStyle w:val="Heading3"/>
        <w:spacing w:before="1"/>
        <w:ind w:left="3237"/>
      </w:pPr>
      <w:r>
        <w:rPr/>
        <w:t>表 </w:t>
      </w:r>
      <w:r>
        <w:rPr>
          <w:rFonts w:ascii="Times New Roman" w:eastAsia="Times New Roman"/>
        </w:rPr>
        <w:t>5.2-26  </w:t>
      </w:r>
      <w:r>
        <w:rPr/>
        <w:t>嗅阈值和阈值浓度值</w:t>
      </w:r>
    </w:p>
    <w:p>
      <w:pPr>
        <w:pStyle w:val="BodyText"/>
        <w:spacing w:before="2"/>
        <w:ind w:left="0"/>
        <w:rPr>
          <w:b/>
          <w:sz w:val="6"/>
        </w:rPr>
      </w:pP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52"/>
        <w:gridCol w:w="3027"/>
        <w:gridCol w:w="2686"/>
        <w:gridCol w:w="1779"/>
      </w:tblGrid>
      <w:tr>
        <w:trPr>
          <w:trHeight w:val="359" w:hRule="atLeast"/>
        </w:trPr>
        <w:tc>
          <w:tcPr>
            <w:tcW w:w="1752" w:type="dxa"/>
            <w:tcBorders>
              <w:bottom w:val="single" w:sz="6" w:space="0" w:color="000000"/>
              <w:right w:val="single" w:sz="6" w:space="0" w:color="000000"/>
            </w:tcBorders>
          </w:tcPr>
          <w:p>
            <w:pPr>
              <w:pStyle w:val="TableParagraph"/>
              <w:spacing w:before="46"/>
              <w:ind w:left="102" w:right="76"/>
              <w:rPr>
                <w:rFonts w:ascii="宋体" w:eastAsia="宋体" w:hint="eastAsia"/>
                <w:b/>
                <w:sz w:val="21"/>
              </w:rPr>
            </w:pPr>
            <w:r>
              <w:rPr>
                <w:rFonts w:ascii="宋体" w:eastAsia="宋体" w:hint="eastAsia"/>
                <w:b/>
                <w:sz w:val="21"/>
              </w:rPr>
              <w:t>物质</w:t>
            </w:r>
          </w:p>
        </w:tc>
        <w:tc>
          <w:tcPr>
            <w:tcW w:w="3027" w:type="dxa"/>
            <w:tcBorders>
              <w:left w:val="single" w:sz="6" w:space="0" w:color="000000"/>
              <w:bottom w:val="single" w:sz="6" w:space="0" w:color="000000"/>
              <w:right w:val="single" w:sz="6" w:space="0" w:color="000000"/>
            </w:tcBorders>
          </w:tcPr>
          <w:p>
            <w:pPr>
              <w:pStyle w:val="TableParagraph"/>
              <w:spacing w:before="46"/>
              <w:ind w:left="767" w:right="741"/>
              <w:rPr>
                <w:rFonts w:ascii="宋体" w:eastAsia="宋体" w:hint="eastAsia"/>
                <w:b/>
                <w:sz w:val="21"/>
              </w:rPr>
            </w:pPr>
            <w:r>
              <w:rPr>
                <w:rFonts w:ascii="宋体" w:eastAsia="宋体" w:hint="eastAsia"/>
                <w:b/>
                <w:sz w:val="21"/>
              </w:rPr>
              <w:t>嗅阈值（</w:t>
            </w:r>
            <w:r>
              <w:rPr>
                <w:b/>
                <w:sz w:val="21"/>
              </w:rPr>
              <w:t>ppm</w:t>
            </w:r>
            <w:r>
              <w:rPr>
                <w:rFonts w:ascii="宋体" w:eastAsia="宋体" w:hint="eastAsia"/>
                <w:b/>
                <w:sz w:val="21"/>
              </w:rPr>
              <w:t>）</w:t>
            </w:r>
          </w:p>
        </w:tc>
        <w:tc>
          <w:tcPr>
            <w:tcW w:w="2686" w:type="dxa"/>
            <w:tcBorders>
              <w:left w:val="single" w:sz="6" w:space="0" w:color="000000"/>
              <w:bottom w:val="single" w:sz="6" w:space="0" w:color="000000"/>
              <w:right w:val="single" w:sz="6" w:space="0" w:color="000000"/>
            </w:tcBorders>
          </w:tcPr>
          <w:p>
            <w:pPr>
              <w:pStyle w:val="TableParagraph"/>
              <w:spacing w:before="46"/>
              <w:ind w:left="299" w:right="272"/>
              <w:rPr>
                <w:rFonts w:ascii="宋体" w:eastAsia="宋体" w:hint="eastAsia"/>
                <w:b/>
                <w:sz w:val="21"/>
              </w:rPr>
            </w:pPr>
            <w:r>
              <w:rPr>
                <w:rFonts w:ascii="宋体" w:eastAsia="宋体" w:hint="eastAsia"/>
                <w:b/>
                <w:sz w:val="21"/>
              </w:rPr>
              <w:t>嗅阈值浓度（</w:t>
            </w:r>
            <w:r>
              <w:rPr>
                <w:b/>
                <w:sz w:val="21"/>
              </w:rPr>
              <w:t>mg/m</w:t>
            </w:r>
            <w:r>
              <w:rPr>
                <w:b/>
                <w:position w:val="7"/>
                <w:sz w:val="14"/>
              </w:rPr>
              <w:t>3</w:t>
            </w:r>
            <w:r>
              <w:rPr>
                <w:rFonts w:ascii="宋体" w:eastAsia="宋体" w:hint="eastAsia"/>
                <w:b/>
                <w:sz w:val="21"/>
              </w:rPr>
              <w:t>）</w:t>
            </w:r>
          </w:p>
        </w:tc>
        <w:tc>
          <w:tcPr>
            <w:tcW w:w="1779" w:type="dxa"/>
            <w:tcBorders>
              <w:left w:val="single" w:sz="6" w:space="0" w:color="000000"/>
              <w:bottom w:val="single" w:sz="6" w:space="0" w:color="000000"/>
            </w:tcBorders>
          </w:tcPr>
          <w:p>
            <w:pPr>
              <w:pStyle w:val="TableParagraph"/>
              <w:spacing w:before="46"/>
              <w:ind w:left="448" w:right="424"/>
              <w:rPr>
                <w:rFonts w:ascii="宋体" w:eastAsia="宋体" w:hint="eastAsia"/>
                <w:b/>
                <w:sz w:val="21"/>
              </w:rPr>
            </w:pPr>
            <w:r>
              <w:rPr>
                <w:rFonts w:ascii="宋体" w:eastAsia="宋体" w:hint="eastAsia"/>
                <w:b/>
                <w:sz w:val="21"/>
              </w:rPr>
              <w:t>特性</w:t>
            </w:r>
          </w:p>
        </w:tc>
      </w:tr>
      <w:tr>
        <w:trPr>
          <w:trHeight w:val="359" w:hRule="atLeast"/>
        </w:trPr>
        <w:tc>
          <w:tcPr>
            <w:tcW w:w="1752" w:type="dxa"/>
            <w:tcBorders>
              <w:top w:val="single" w:sz="6" w:space="0" w:color="000000"/>
              <w:bottom w:val="single" w:sz="6" w:space="0" w:color="000000"/>
              <w:right w:val="single" w:sz="6" w:space="0" w:color="000000"/>
            </w:tcBorders>
          </w:tcPr>
          <w:p>
            <w:pPr>
              <w:pStyle w:val="TableParagraph"/>
              <w:spacing w:before="46"/>
              <w:ind w:left="25"/>
              <w:rPr>
                <w:rFonts w:ascii="宋体" w:eastAsia="宋体" w:hint="eastAsia"/>
                <w:sz w:val="21"/>
              </w:rPr>
            </w:pPr>
            <w:r>
              <w:rPr>
                <w:rFonts w:ascii="宋体" w:eastAsia="宋体" w:hint="eastAsia"/>
                <w:w w:val="100"/>
                <w:sz w:val="21"/>
              </w:rPr>
              <w:t>氨</w:t>
            </w:r>
          </w:p>
        </w:tc>
        <w:tc>
          <w:tcPr>
            <w:tcW w:w="3027" w:type="dxa"/>
            <w:tcBorders>
              <w:top w:val="single" w:sz="6" w:space="0" w:color="000000"/>
              <w:left w:val="single" w:sz="6" w:space="0" w:color="000000"/>
              <w:bottom w:val="single" w:sz="6" w:space="0" w:color="000000"/>
              <w:right w:val="single" w:sz="6" w:space="0" w:color="000000"/>
            </w:tcBorders>
          </w:tcPr>
          <w:p>
            <w:pPr>
              <w:pStyle w:val="TableParagraph"/>
              <w:spacing w:before="60"/>
              <w:ind w:left="767" w:right="741"/>
              <w:rPr>
                <w:sz w:val="21"/>
              </w:rPr>
            </w:pPr>
            <w:r>
              <w:rPr>
                <w:sz w:val="21"/>
              </w:rPr>
              <w:t>0.8</w:t>
            </w:r>
          </w:p>
        </w:tc>
        <w:tc>
          <w:tcPr>
            <w:tcW w:w="2686" w:type="dxa"/>
            <w:tcBorders>
              <w:top w:val="single" w:sz="6" w:space="0" w:color="000000"/>
              <w:left w:val="single" w:sz="6" w:space="0" w:color="000000"/>
              <w:bottom w:val="single" w:sz="6" w:space="0" w:color="000000"/>
              <w:right w:val="single" w:sz="6" w:space="0" w:color="000000"/>
            </w:tcBorders>
          </w:tcPr>
          <w:p>
            <w:pPr>
              <w:pStyle w:val="TableParagraph"/>
              <w:spacing w:before="60"/>
              <w:ind w:left="298" w:right="272"/>
              <w:rPr>
                <w:sz w:val="21"/>
              </w:rPr>
            </w:pPr>
            <w:r>
              <w:rPr>
                <w:sz w:val="21"/>
              </w:rPr>
              <w:t>0.6</w:t>
            </w:r>
          </w:p>
        </w:tc>
        <w:tc>
          <w:tcPr>
            <w:tcW w:w="1779" w:type="dxa"/>
            <w:tcBorders>
              <w:top w:val="single" w:sz="6" w:space="0" w:color="000000"/>
              <w:left w:val="single" w:sz="6" w:space="0" w:color="000000"/>
              <w:bottom w:val="single" w:sz="6" w:space="0" w:color="000000"/>
            </w:tcBorders>
          </w:tcPr>
          <w:p>
            <w:pPr>
              <w:pStyle w:val="TableParagraph"/>
              <w:spacing w:before="46"/>
              <w:ind w:left="448" w:right="424"/>
              <w:rPr>
                <w:rFonts w:ascii="宋体" w:eastAsia="宋体" w:hint="eastAsia"/>
                <w:sz w:val="21"/>
              </w:rPr>
            </w:pPr>
            <w:r>
              <w:rPr>
                <w:rFonts w:ascii="宋体" w:eastAsia="宋体" w:hint="eastAsia"/>
                <w:sz w:val="21"/>
              </w:rPr>
              <w:t>粪尿味</w:t>
            </w:r>
          </w:p>
        </w:tc>
      </w:tr>
      <w:tr>
        <w:trPr>
          <w:trHeight w:val="356" w:hRule="atLeast"/>
        </w:trPr>
        <w:tc>
          <w:tcPr>
            <w:tcW w:w="1752" w:type="dxa"/>
            <w:tcBorders>
              <w:top w:val="single" w:sz="6" w:space="0" w:color="000000"/>
              <w:right w:val="single" w:sz="6" w:space="0" w:color="000000"/>
            </w:tcBorders>
          </w:tcPr>
          <w:p>
            <w:pPr>
              <w:pStyle w:val="TableParagraph"/>
              <w:spacing w:before="44"/>
              <w:ind w:left="106" w:right="76"/>
              <w:rPr>
                <w:rFonts w:ascii="宋体" w:eastAsia="宋体" w:hint="eastAsia"/>
                <w:sz w:val="21"/>
              </w:rPr>
            </w:pPr>
            <w:r>
              <w:rPr>
                <w:rFonts w:ascii="宋体" w:eastAsia="宋体" w:hint="eastAsia"/>
                <w:sz w:val="21"/>
              </w:rPr>
              <w:t>硫化氢</w:t>
            </w:r>
          </w:p>
        </w:tc>
        <w:tc>
          <w:tcPr>
            <w:tcW w:w="3027" w:type="dxa"/>
            <w:tcBorders>
              <w:top w:val="single" w:sz="6" w:space="0" w:color="000000"/>
              <w:left w:val="single" w:sz="6" w:space="0" w:color="000000"/>
              <w:right w:val="single" w:sz="6" w:space="0" w:color="000000"/>
            </w:tcBorders>
          </w:tcPr>
          <w:p>
            <w:pPr>
              <w:pStyle w:val="TableParagraph"/>
              <w:ind w:left="767" w:right="741"/>
              <w:rPr>
                <w:sz w:val="21"/>
              </w:rPr>
            </w:pPr>
            <w:r>
              <w:rPr>
                <w:sz w:val="21"/>
              </w:rPr>
              <w:t>0.0005</w:t>
            </w:r>
          </w:p>
        </w:tc>
        <w:tc>
          <w:tcPr>
            <w:tcW w:w="2686" w:type="dxa"/>
            <w:tcBorders>
              <w:top w:val="single" w:sz="6" w:space="0" w:color="000000"/>
              <w:left w:val="single" w:sz="6" w:space="0" w:color="000000"/>
              <w:right w:val="single" w:sz="6" w:space="0" w:color="000000"/>
            </w:tcBorders>
          </w:tcPr>
          <w:p>
            <w:pPr>
              <w:pStyle w:val="TableParagraph"/>
              <w:ind w:left="298" w:right="272"/>
              <w:rPr>
                <w:sz w:val="21"/>
              </w:rPr>
            </w:pPr>
            <w:r>
              <w:rPr>
                <w:sz w:val="21"/>
              </w:rPr>
              <w:t>0.0008</w:t>
            </w:r>
          </w:p>
        </w:tc>
        <w:tc>
          <w:tcPr>
            <w:tcW w:w="1779" w:type="dxa"/>
            <w:tcBorders>
              <w:top w:val="single" w:sz="6" w:space="0" w:color="000000"/>
              <w:left w:val="single" w:sz="6" w:space="0" w:color="000000"/>
            </w:tcBorders>
          </w:tcPr>
          <w:p>
            <w:pPr>
              <w:pStyle w:val="TableParagraph"/>
              <w:spacing w:before="44"/>
              <w:ind w:left="451" w:right="424"/>
              <w:rPr>
                <w:rFonts w:ascii="宋体" w:eastAsia="宋体" w:hint="eastAsia"/>
                <w:sz w:val="21"/>
              </w:rPr>
            </w:pPr>
            <w:r>
              <w:rPr>
                <w:rFonts w:ascii="宋体" w:eastAsia="宋体" w:hint="eastAsia"/>
                <w:sz w:val="21"/>
              </w:rPr>
              <w:t>臭鸡蛋味</w:t>
            </w:r>
          </w:p>
        </w:tc>
      </w:tr>
    </w:tbl>
    <w:p>
      <w:pPr>
        <w:pStyle w:val="BodyText"/>
        <w:spacing w:line="364" w:lineRule="auto" w:before="84"/>
        <w:ind w:right="131" w:firstLine="480"/>
      </w:pPr>
      <w:r>
        <w:rPr/>
        <w:t>恶臭的标准可以以人的嗅觉器官对气味的反应将臭味强度分为若干级的臭味强度等</w:t>
      </w:r>
      <w:r>
        <w:rPr>
          <w:spacing w:val="-10"/>
        </w:rPr>
        <w:t>级法，该标准由日本制定，在国际上也比较通用。标准中从嗅觉强度上将恶臭分为 </w:t>
      </w:r>
      <w:r>
        <w:rPr>
          <w:rFonts w:ascii="Times New Roman" w:eastAsia="Times New Roman"/>
        </w:rPr>
        <w:t>0</w:t>
      </w:r>
      <w:r>
        <w:rPr>
          <w:spacing w:val="-22"/>
        </w:rPr>
        <w:t>、</w:t>
      </w:r>
      <w:r>
        <w:rPr>
          <w:rFonts w:ascii="Times New Roman" w:eastAsia="Times New Roman"/>
        </w:rPr>
        <w:t>1</w:t>
      </w:r>
      <w:r>
        <w:rPr>
          <w:spacing w:val="-15"/>
        </w:rPr>
        <w:t>、</w:t>
      </w:r>
      <w:r>
        <w:rPr>
          <w:rFonts w:ascii="Times New Roman" w:eastAsia="Times New Roman"/>
        </w:rPr>
        <w:t>2</w:t>
      </w:r>
      <w:r>
        <w:rPr/>
        <w:t>、</w:t>
      </w:r>
      <w:r>
        <w:rPr>
          <w:rFonts w:ascii="Times New Roman" w:eastAsia="Times New Roman"/>
        </w:rPr>
        <w:t>3</w:t>
      </w:r>
      <w:r>
        <w:rPr/>
        <w:t>、</w:t>
      </w:r>
      <w:r>
        <w:rPr>
          <w:rFonts w:ascii="Times New Roman" w:eastAsia="Times New Roman"/>
        </w:rPr>
        <w:t>4</w:t>
      </w:r>
      <w:r>
        <w:rPr/>
        <w:t>、</w:t>
      </w:r>
      <w:r>
        <w:rPr>
          <w:rFonts w:ascii="Times New Roman" w:eastAsia="Times New Roman"/>
        </w:rPr>
        <w:t>5 </w:t>
      </w:r>
      <w:r>
        <w:rPr>
          <w:spacing w:val="-3"/>
        </w:rPr>
        <w:t>六个等级，关于六个等级臭气强度与感觉的描述见表 </w:t>
      </w:r>
      <w:r>
        <w:rPr>
          <w:rFonts w:ascii="Times New Roman" w:eastAsia="Times New Roman"/>
        </w:rPr>
        <w:t>5.2-27</w:t>
      </w:r>
      <w:r>
        <w:rPr/>
        <w:t>。</w:t>
      </w:r>
    </w:p>
    <w:p>
      <w:pPr>
        <w:pStyle w:val="Heading3"/>
        <w:spacing w:before="2"/>
        <w:ind w:left="3480"/>
      </w:pPr>
      <w:r>
        <w:rPr/>
        <w:t>表 </w:t>
      </w:r>
      <w:r>
        <w:rPr>
          <w:rFonts w:ascii="Times New Roman" w:eastAsia="Times New Roman"/>
        </w:rPr>
        <w:t>5.2-27  </w:t>
      </w:r>
      <w:r>
        <w:rPr/>
        <w:t>臭气强度的描述</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96"/>
        <w:gridCol w:w="5642"/>
        <w:gridCol w:w="1894"/>
      </w:tblGrid>
      <w:tr>
        <w:trPr>
          <w:trHeight w:val="359" w:hRule="atLeast"/>
        </w:trPr>
        <w:tc>
          <w:tcPr>
            <w:tcW w:w="1896" w:type="dxa"/>
            <w:tcBorders>
              <w:bottom w:val="single" w:sz="6" w:space="0" w:color="000000"/>
              <w:right w:val="single" w:sz="6" w:space="0" w:color="000000"/>
            </w:tcBorders>
          </w:tcPr>
          <w:p>
            <w:pPr>
              <w:pStyle w:val="TableParagraph"/>
              <w:spacing w:before="46"/>
              <w:ind w:left="313" w:right="292"/>
              <w:rPr>
                <w:rFonts w:ascii="宋体" w:eastAsia="宋体" w:hint="eastAsia"/>
                <w:b/>
                <w:sz w:val="21"/>
              </w:rPr>
            </w:pPr>
            <w:r>
              <w:rPr>
                <w:rFonts w:ascii="宋体" w:eastAsia="宋体" w:hint="eastAsia"/>
                <w:b/>
                <w:sz w:val="21"/>
              </w:rPr>
              <w:t>恶臭等级</w:t>
            </w:r>
          </w:p>
        </w:tc>
        <w:tc>
          <w:tcPr>
            <w:tcW w:w="5642" w:type="dxa"/>
            <w:tcBorders>
              <w:left w:val="single" w:sz="6" w:space="0" w:color="000000"/>
              <w:bottom w:val="single" w:sz="6" w:space="0" w:color="000000"/>
              <w:right w:val="single" w:sz="6" w:space="0" w:color="000000"/>
            </w:tcBorders>
          </w:tcPr>
          <w:p>
            <w:pPr>
              <w:pStyle w:val="TableParagraph"/>
              <w:spacing w:before="46"/>
              <w:ind w:left="1334" w:right="1311"/>
              <w:rPr>
                <w:rFonts w:ascii="宋体" w:eastAsia="宋体" w:hint="eastAsia"/>
                <w:b/>
                <w:sz w:val="21"/>
              </w:rPr>
            </w:pPr>
            <w:r>
              <w:rPr>
                <w:rFonts w:ascii="宋体" w:eastAsia="宋体" w:hint="eastAsia"/>
                <w:b/>
                <w:sz w:val="21"/>
              </w:rPr>
              <w:t>感觉</w:t>
            </w:r>
          </w:p>
        </w:tc>
        <w:tc>
          <w:tcPr>
            <w:tcW w:w="1894" w:type="dxa"/>
            <w:tcBorders>
              <w:left w:val="single" w:sz="6" w:space="0" w:color="000000"/>
              <w:bottom w:val="single" w:sz="6" w:space="0" w:color="000000"/>
            </w:tcBorders>
          </w:tcPr>
          <w:p>
            <w:pPr>
              <w:pStyle w:val="TableParagraph"/>
              <w:spacing w:before="46"/>
              <w:ind w:left="512" w:right="475"/>
              <w:rPr>
                <w:rFonts w:ascii="宋体" w:eastAsia="宋体" w:hint="eastAsia"/>
                <w:b/>
                <w:sz w:val="21"/>
              </w:rPr>
            </w:pPr>
            <w:r>
              <w:rPr>
                <w:rFonts w:ascii="宋体" w:eastAsia="宋体" w:hint="eastAsia"/>
                <w:b/>
                <w:sz w:val="21"/>
              </w:rPr>
              <w:t>臭气强度</w:t>
            </w:r>
          </w:p>
        </w:tc>
      </w:tr>
      <w:tr>
        <w:trPr>
          <w:trHeight w:val="359" w:hRule="atLeast"/>
        </w:trPr>
        <w:tc>
          <w:tcPr>
            <w:tcW w:w="1896" w:type="dxa"/>
            <w:tcBorders>
              <w:top w:val="single" w:sz="6" w:space="0" w:color="000000"/>
              <w:bottom w:val="single" w:sz="6" w:space="0" w:color="000000"/>
              <w:right w:val="single" w:sz="6" w:space="0" w:color="000000"/>
            </w:tcBorders>
          </w:tcPr>
          <w:p>
            <w:pPr>
              <w:pStyle w:val="TableParagraph"/>
              <w:spacing w:before="60"/>
              <w:ind w:left="21"/>
              <w:rPr>
                <w:sz w:val="21"/>
              </w:rPr>
            </w:pPr>
            <w:r>
              <w:rPr>
                <w:w w:val="100"/>
                <w:sz w:val="21"/>
              </w:rPr>
              <w:t>0</w:t>
            </w:r>
          </w:p>
        </w:tc>
        <w:tc>
          <w:tcPr>
            <w:tcW w:w="56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34" w:right="1311"/>
              <w:rPr>
                <w:rFonts w:ascii="宋体" w:eastAsia="宋体" w:hint="eastAsia"/>
                <w:sz w:val="21"/>
              </w:rPr>
            </w:pPr>
            <w:r>
              <w:rPr>
                <w:rFonts w:ascii="宋体" w:eastAsia="宋体" w:hint="eastAsia"/>
                <w:sz w:val="21"/>
              </w:rPr>
              <w:t>无臭</w:t>
            </w:r>
          </w:p>
        </w:tc>
        <w:tc>
          <w:tcPr>
            <w:tcW w:w="1894" w:type="dxa"/>
            <w:tcBorders>
              <w:top w:val="single" w:sz="6" w:space="0" w:color="000000"/>
              <w:left w:val="single" w:sz="6" w:space="0" w:color="000000"/>
              <w:bottom w:val="single" w:sz="6" w:space="0" w:color="000000"/>
            </w:tcBorders>
          </w:tcPr>
          <w:p>
            <w:pPr>
              <w:pStyle w:val="TableParagraph"/>
              <w:spacing w:before="46"/>
              <w:ind w:left="512" w:right="475"/>
              <w:rPr>
                <w:rFonts w:ascii="宋体" w:eastAsia="宋体" w:hint="eastAsia"/>
                <w:sz w:val="21"/>
              </w:rPr>
            </w:pPr>
            <w:r>
              <w:rPr>
                <w:rFonts w:ascii="宋体" w:eastAsia="宋体" w:hint="eastAsia"/>
                <w:sz w:val="21"/>
              </w:rPr>
              <w:t>无气味</w:t>
            </w:r>
          </w:p>
        </w:tc>
      </w:tr>
      <w:tr>
        <w:trPr>
          <w:trHeight w:val="359" w:hRule="atLeast"/>
        </w:trPr>
        <w:tc>
          <w:tcPr>
            <w:tcW w:w="1896"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1</w:t>
            </w:r>
          </w:p>
        </w:tc>
        <w:tc>
          <w:tcPr>
            <w:tcW w:w="5642" w:type="dxa"/>
            <w:tcBorders>
              <w:top w:val="single" w:sz="6" w:space="0" w:color="000000"/>
              <w:left w:val="single" w:sz="6" w:space="0" w:color="000000"/>
              <w:bottom w:val="single" w:sz="6" w:space="0" w:color="000000"/>
              <w:right w:val="single" w:sz="6" w:space="0" w:color="000000"/>
            </w:tcBorders>
          </w:tcPr>
          <w:p>
            <w:pPr>
              <w:pStyle w:val="TableParagraph"/>
              <w:spacing w:before="44"/>
              <w:ind w:left="1336" w:right="1311"/>
              <w:rPr>
                <w:rFonts w:ascii="宋体" w:eastAsia="宋体" w:hint="eastAsia"/>
                <w:sz w:val="21"/>
              </w:rPr>
            </w:pPr>
            <w:r>
              <w:rPr>
                <w:rFonts w:ascii="宋体" w:eastAsia="宋体" w:hint="eastAsia"/>
                <w:sz w:val="21"/>
              </w:rPr>
              <w:t>勉强感觉臭味存在（嗅觉阈值）</w:t>
            </w:r>
          </w:p>
        </w:tc>
        <w:tc>
          <w:tcPr>
            <w:tcW w:w="1894" w:type="dxa"/>
            <w:tcBorders>
              <w:top w:val="single" w:sz="6" w:space="0" w:color="000000"/>
              <w:left w:val="single" w:sz="6" w:space="0" w:color="000000"/>
              <w:bottom w:val="single" w:sz="6" w:space="0" w:color="000000"/>
            </w:tcBorders>
          </w:tcPr>
          <w:p>
            <w:pPr>
              <w:pStyle w:val="TableParagraph"/>
              <w:spacing w:before="44"/>
              <w:ind w:left="512" w:right="475"/>
              <w:rPr>
                <w:rFonts w:ascii="宋体" w:eastAsia="宋体" w:hint="eastAsia"/>
                <w:sz w:val="21"/>
              </w:rPr>
            </w:pPr>
            <w:r>
              <w:rPr>
                <w:rFonts w:ascii="宋体" w:eastAsia="宋体" w:hint="eastAsia"/>
                <w:sz w:val="21"/>
              </w:rPr>
              <w:t>嗅阈</w:t>
            </w:r>
          </w:p>
        </w:tc>
      </w:tr>
      <w:tr>
        <w:trPr>
          <w:trHeight w:val="359" w:hRule="atLeast"/>
        </w:trPr>
        <w:tc>
          <w:tcPr>
            <w:tcW w:w="1896"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2</w:t>
            </w:r>
          </w:p>
        </w:tc>
        <w:tc>
          <w:tcPr>
            <w:tcW w:w="5642" w:type="dxa"/>
            <w:tcBorders>
              <w:top w:val="single" w:sz="6" w:space="0" w:color="000000"/>
              <w:left w:val="single" w:sz="6" w:space="0" w:color="000000"/>
              <w:bottom w:val="single" w:sz="6" w:space="0" w:color="000000"/>
              <w:right w:val="single" w:sz="6" w:space="0" w:color="000000"/>
            </w:tcBorders>
          </w:tcPr>
          <w:p>
            <w:pPr>
              <w:pStyle w:val="TableParagraph"/>
              <w:spacing w:before="44"/>
              <w:ind w:left="1332" w:right="1311"/>
              <w:rPr>
                <w:rFonts w:ascii="宋体" w:eastAsia="宋体" w:hint="eastAsia"/>
                <w:sz w:val="21"/>
              </w:rPr>
            </w:pPr>
            <w:r>
              <w:rPr>
                <w:rFonts w:ascii="宋体" w:eastAsia="宋体" w:hint="eastAsia"/>
                <w:sz w:val="21"/>
              </w:rPr>
              <w:t>确认臭味存在（认知阈值）</w:t>
            </w:r>
          </w:p>
        </w:tc>
        <w:tc>
          <w:tcPr>
            <w:tcW w:w="1894" w:type="dxa"/>
            <w:tcBorders>
              <w:top w:val="single" w:sz="6" w:space="0" w:color="000000"/>
              <w:left w:val="single" w:sz="6" w:space="0" w:color="000000"/>
              <w:bottom w:val="single" w:sz="6" w:space="0" w:color="000000"/>
            </w:tcBorders>
          </w:tcPr>
          <w:p>
            <w:pPr>
              <w:pStyle w:val="TableParagraph"/>
              <w:spacing w:before="44"/>
              <w:ind w:left="512" w:right="475"/>
              <w:rPr>
                <w:rFonts w:ascii="宋体" w:eastAsia="宋体" w:hint="eastAsia"/>
                <w:sz w:val="21"/>
              </w:rPr>
            </w:pPr>
            <w:r>
              <w:rPr>
                <w:rFonts w:ascii="宋体" w:eastAsia="宋体" w:hint="eastAsia"/>
                <w:sz w:val="21"/>
              </w:rPr>
              <w:t>轻微</w:t>
            </w:r>
          </w:p>
        </w:tc>
      </w:tr>
      <w:tr>
        <w:trPr>
          <w:trHeight w:val="356" w:hRule="atLeast"/>
        </w:trPr>
        <w:tc>
          <w:tcPr>
            <w:tcW w:w="1896"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3</w:t>
            </w:r>
          </w:p>
        </w:tc>
        <w:tc>
          <w:tcPr>
            <w:tcW w:w="5642" w:type="dxa"/>
            <w:tcBorders>
              <w:top w:val="single" w:sz="6" w:space="0" w:color="000000"/>
              <w:left w:val="single" w:sz="6" w:space="0" w:color="000000"/>
              <w:bottom w:val="single" w:sz="6" w:space="0" w:color="000000"/>
              <w:right w:val="single" w:sz="6" w:space="0" w:color="000000"/>
            </w:tcBorders>
          </w:tcPr>
          <w:p>
            <w:pPr>
              <w:pStyle w:val="TableParagraph"/>
              <w:spacing w:before="44"/>
              <w:ind w:left="1336" w:right="1311"/>
              <w:rPr>
                <w:rFonts w:ascii="宋体" w:eastAsia="宋体" w:hint="eastAsia"/>
                <w:sz w:val="21"/>
              </w:rPr>
            </w:pPr>
            <w:r>
              <w:rPr>
                <w:rFonts w:ascii="宋体" w:eastAsia="宋体" w:hint="eastAsia"/>
                <w:sz w:val="21"/>
              </w:rPr>
              <w:t>极易感觉臭味存在</w:t>
            </w:r>
          </w:p>
        </w:tc>
        <w:tc>
          <w:tcPr>
            <w:tcW w:w="1894" w:type="dxa"/>
            <w:tcBorders>
              <w:top w:val="single" w:sz="6" w:space="0" w:color="000000"/>
              <w:left w:val="single" w:sz="6" w:space="0" w:color="000000"/>
              <w:bottom w:val="single" w:sz="6" w:space="0" w:color="000000"/>
            </w:tcBorders>
          </w:tcPr>
          <w:p>
            <w:pPr>
              <w:pStyle w:val="TableParagraph"/>
              <w:spacing w:before="44"/>
              <w:ind w:left="512" w:right="475"/>
              <w:rPr>
                <w:rFonts w:ascii="宋体" w:eastAsia="宋体" w:hint="eastAsia"/>
                <w:sz w:val="21"/>
              </w:rPr>
            </w:pPr>
            <w:r>
              <w:rPr>
                <w:rFonts w:ascii="宋体" w:eastAsia="宋体" w:hint="eastAsia"/>
                <w:sz w:val="21"/>
              </w:rPr>
              <w:t>明显</w:t>
            </w:r>
          </w:p>
        </w:tc>
      </w:tr>
      <w:tr>
        <w:trPr>
          <w:trHeight w:val="359" w:hRule="atLeast"/>
        </w:trPr>
        <w:tc>
          <w:tcPr>
            <w:tcW w:w="1896" w:type="dxa"/>
            <w:tcBorders>
              <w:top w:val="single" w:sz="6" w:space="0" w:color="000000"/>
              <w:bottom w:val="single" w:sz="6" w:space="0" w:color="000000"/>
              <w:right w:val="single" w:sz="6" w:space="0" w:color="000000"/>
            </w:tcBorders>
          </w:tcPr>
          <w:p>
            <w:pPr>
              <w:pStyle w:val="TableParagraph"/>
              <w:spacing w:before="60"/>
              <w:ind w:left="21"/>
              <w:rPr>
                <w:sz w:val="21"/>
              </w:rPr>
            </w:pPr>
            <w:r>
              <w:rPr>
                <w:w w:val="100"/>
                <w:sz w:val="21"/>
              </w:rPr>
              <w:t>4</w:t>
            </w:r>
          </w:p>
        </w:tc>
        <w:tc>
          <w:tcPr>
            <w:tcW w:w="56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34" w:right="1311"/>
              <w:rPr>
                <w:rFonts w:ascii="宋体" w:eastAsia="宋体" w:hint="eastAsia"/>
                <w:sz w:val="21"/>
              </w:rPr>
            </w:pPr>
            <w:r>
              <w:rPr>
                <w:rFonts w:ascii="宋体" w:eastAsia="宋体" w:hint="eastAsia"/>
                <w:sz w:val="21"/>
              </w:rPr>
              <w:t>恶臭明显存在</w:t>
            </w:r>
          </w:p>
        </w:tc>
        <w:tc>
          <w:tcPr>
            <w:tcW w:w="1894" w:type="dxa"/>
            <w:tcBorders>
              <w:top w:val="single" w:sz="6" w:space="0" w:color="000000"/>
              <w:left w:val="single" w:sz="6" w:space="0" w:color="000000"/>
              <w:bottom w:val="single" w:sz="6" w:space="0" w:color="000000"/>
            </w:tcBorders>
          </w:tcPr>
          <w:p>
            <w:pPr>
              <w:pStyle w:val="TableParagraph"/>
              <w:spacing w:before="46"/>
              <w:ind w:left="512" w:right="475"/>
              <w:rPr>
                <w:rFonts w:ascii="宋体" w:eastAsia="宋体" w:hint="eastAsia"/>
                <w:sz w:val="21"/>
              </w:rPr>
            </w:pPr>
            <w:r>
              <w:rPr>
                <w:rFonts w:ascii="宋体" w:eastAsia="宋体" w:hint="eastAsia"/>
                <w:sz w:val="21"/>
              </w:rPr>
              <w:t>强烈</w:t>
            </w:r>
          </w:p>
        </w:tc>
      </w:tr>
      <w:tr>
        <w:trPr>
          <w:trHeight w:val="356" w:hRule="atLeast"/>
        </w:trPr>
        <w:tc>
          <w:tcPr>
            <w:tcW w:w="1896" w:type="dxa"/>
            <w:tcBorders>
              <w:top w:val="single" w:sz="6" w:space="0" w:color="000000"/>
              <w:right w:val="single" w:sz="6" w:space="0" w:color="000000"/>
            </w:tcBorders>
          </w:tcPr>
          <w:p>
            <w:pPr>
              <w:pStyle w:val="TableParagraph"/>
              <w:ind w:left="21"/>
              <w:rPr>
                <w:sz w:val="21"/>
              </w:rPr>
            </w:pPr>
            <w:r>
              <w:rPr>
                <w:w w:val="100"/>
                <w:sz w:val="21"/>
              </w:rPr>
              <w:t>5</w:t>
            </w:r>
          </w:p>
        </w:tc>
        <w:tc>
          <w:tcPr>
            <w:tcW w:w="5642" w:type="dxa"/>
            <w:tcBorders>
              <w:top w:val="single" w:sz="6" w:space="0" w:color="000000"/>
              <w:left w:val="single" w:sz="6" w:space="0" w:color="000000"/>
              <w:right w:val="single" w:sz="6" w:space="0" w:color="000000"/>
            </w:tcBorders>
          </w:tcPr>
          <w:p>
            <w:pPr>
              <w:pStyle w:val="TableParagraph"/>
              <w:spacing w:before="44"/>
              <w:ind w:left="1334" w:right="1311"/>
              <w:rPr>
                <w:rFonts w:ascii="宋体" w:eastAsia="宋体" w:hint="eastAsia"/>
                <w:sz w:val="21"/>
              </w:rPr>
            </w:pPr>
            <w:r>
              <w:rPr>
                <w:rFonts w:ascii="宋体" w:eastAsia="宋体" w:hint="eastAsia"/>
                <w:sz w:val="21"/>
              </w:rPr>
              <w:t>恶臭强烈存在</w:t>
            </w:r>
          </w:p>
        </w:tc>
        <w:tc>
          <w:tcPr>
            <w:tcW w:w="1894" w:type="dxa"/>
            <w:tcBorders>
              <w:top w:val="single" w:sz="6" w:space="0" w:color="000000"/>
              <w:left w:val="single" w:sz="6" w:space="0" w:color="000000"/>
            </w:tcBorders>
          </w:tcPr>
          <w:p>
            <w:pPr>
              <w:pStyle w:val="TableParagraph"/>
              <w:spacing w:before="44"/>
              <w:ind w:left="512" w:right="475"/>
              <w:rPr>
                <w:rFonts w:ascii="宋体" w:eastAsia="宋体" w:hint="eastAsia"/>
                <w:sz w:val="21"/>
              </w:rPr>
            </w:pPr>
            <w:r>
              <w:rPr>
                <w:rFonts w:ascii="宋体" w:eastAsia="宋体" w:hint="eastAsia"/>
                <w:sz w:val="21"/>
              </w:rPr>
              <w:t>极强烈</w:t>
            </w:r>
          </w:p>
        </w:tc>
      </w:tr>
    </w:tbl>
    <w:p>
      <w:pPr>
        <w:pStyle w:val="BodyText"/>
        <w:spacing w:line="364" w:lineRule="auto" w:before="84"/>
        <w:ind w:right="253" w:firstLine="480"/>
        <w:jc w:val="both"/>
      </w:pPr>
      <w:r>
        <w:rPr/>
        <w:t>根据《环境恶臭评价方法的新探讨》（李国发、黄翠花）、《建设项目环境影响评价中恶臭环境影响评价方法探讨》（康磊、刘凌等</w:t>
      </w:r>
      <w:r>
        <w:rPr>
          <w:spacing w:val="2"/>
        </w:rPr>
        <w:t>）</w:t>
      </w:r>
      <w:r>
        <w:rPr/>
        <w:t>，臭气强度的确定可采用韦伯一费</w:t>
      </w:r>
      <w:r>
        <w:rPr>
          <w:spacing w:val="-6"/>
        </w:rPr>
        <w:t>希内尔公式计算，即 </w:t>
      </w:r>
      <w:r>
        <w:rPr>
          <w:rFonts w:ascii="Times New Roman" w:eastAsia="Times New Roman"/>
        </w:rPr>
        <w:t>I=a+blogC</w:t>
      </w:r>
      <w:r>
        <w:rPr/>
        <w:t>。式中：</w:t>
      </w:r>
      <w:r>
        <w:rPr>
          <w:rFonts w:ascii="Times New Roman" w:eastAsia="Times New Roman"/>
        </w:rPr>
        <w:t>I </w:t>
      </w:r>
      <w:r>
        <w:rPr/>
        <w:t>为臭气强度（级数），</w:t>
      </w:r>
      <w:r>
        <w:rPr>
          <w:rFonts w:ascii="Times New Roman" w:eastAsia="Times New Roman"/>
        </w:rPr>
        <w:t>C </w:t>
      </w:r>
      <w:r>
        <w:rPr/>
        <w:t>为臭气浓度，</w:t>
      </w:r>
      <w:r>
        <w:rPr>
          <w:rFonts w:ascii="Times New Roman" w:eastAsia="Times New Roman"/>
        </w:rPr>
        <w:t>a</w:t>
      </w:r>
      <w:r>
        <w:rPr/>
        <w:t>、</w:t>
      </w:r>
      <w:r>
        <w:rPr>
          <w:rFonts w:ascii="Times New Roman" w:eastAsia="Times New Roman"/>
        </w:rPr>
        <w:t>b </w:t>
      </w:r>
      <w:r>
        <w:rPr>
          <w:spacing w:val="-13"/>
        </w:rPr>
        <w:t>为</w:t>
      </w:r>
    </w:p>
    <w:p>
      <w:pPr>
        <w:spacing w:after="0" w:line="364" w:lineRule="auto"/>
        <w:jc w:val="both"/>
        <w:sectPr>
          <w:pgSz w:w="11910" w:h="16840"/>
          <w:pgMar w:header="874" w:footer="1004" w:top="1420" w:bottom="1200" w:left="1040" w:right="1160"/>
        </w:sectPr>
      </w:pPr>
    </w:p>
    <w:p>
      <w:pPr>
        <w:spacing w:line="364" w:lineRule="auto" w:before="92"/>
        <w:ind w:left="2395" w:right="1240" w:hanging="2159"/>
        <w:jc w:val="left"/>
        <w:rPr>
          <w:b/>
          <w:sz w:val="24"/>
        </w:rPr>
      </w:pPr>
      <w:r>
        <w:rPr/>
        <w:pict>
          <v:shape style="position:absolute;margin-left:62.424pt;margin-top:47.320007pt;width:464.4pt;height:58.2pt;mso-position-horizontal-relative:page;mso-position-vertical-relative:paragraph;z-index:25187532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87"/>
                    <w:gridCol w:w="2352"/>
                    <w:gridCol w:w="2352"/>
                    <w:gridCol w:w="2352"/>
                  </w:tblGrid>
                  <w:tr>
                    <w:trPr>
                      <w:trHeight w:val="359" w:hRule="atLeast"/>
                    </w:trPr>
                    <w:tc>
                      <w:tcPr>
                        <w:tcW w:w="2187" w:type="dxa"/>
                        <w:tcBorders>
                          <w:bottom w:val="single" w:sz="6" w:space="0" w:color="000000"/>
                          <w:right w:val="single" w:sz="6" w:space="0" w:color="000000"/>
                        </w:tcBorders>
                      </w:tcPr>
                      <w:p>
                        <w:pPr>
                          <w:pStyle w:val="TableParagraph"/>
                          <w:spacing w:before="43"/>
                          <w:ind w:left="656" w:right="624"/>
                          <w:rPr>
                            <w:rFonts w:ascii="宋体" w:eastAsia="宋体" w:hint="eastAsia"/>
                            <w:b/>
                            <w:sz w:val="21"/>
                          </w:rPr>
                        </w:pPr>
                        <w:r>
                          <w:rPr>
                            <w:rFonts w:ascii="宋体" w:eastAsia="宋体" w:hint="eastAsia"/>
                            <w:b/>
                            <w:sz w:val="21"/>
                          </w:rPr>
                          <w:t>污染因子</w:t>
                        </w:r>
                      </w:p>
                    </w:tc>
                    <w:tc>
                      <w:tcPr>
                        <w:tcW w:w="2352" w:type="dxa"/>
                        <w:tcBorders>
                          <w:left w:val="single" w:sz="6" w:space="0" w:color="000000"/>
                          <w:bottom w:val="single" w:sz="6" w:space="0" w:color="000000"/>
                          <w:right w:val="single" w:sz="6" w:space="0" w:color="000000"/>
                        </w:tcBorders>
                      </w:tcPr>
                      <w:p>
                        <w:pPr>
                          <w:pStyle w:val="TableParagraph"/>
                          <w:spacing w:before="57"/>
                          <w:ind w:left="28"/>
                          <w:rPr>
                            <w:b/>
                            <w:sz w:val="21"/>
                          </w:rPr>
                        </w:pPr>
                        <w:r>
                          <w:rPr>
                            <w:b/>
                            <w:w w:val="100"/>
                            <w:sz w:val="21"/>
                          </w:rPr>
                          <w:t>a</w:t>
                        </w:r>
                      </w:p>
                    </w:tc>
                    <w:tc>
                      <w:tcPr>
                        <w:tcW w:w="2352" w:type="dxa"/>
                        <w:tcBorders>
                          <w:left w:val="single" w:sz="6" w:space="0" w:color="000000"/>
                          <w:bottom w:val="single" w:sz="6" w:space="0" w:color="000000"/>
                          <w:right w:val="single" w:sz="6" w:space="0" w:color="000000"/>
                        </w:tcBorders>
                      </w:tcPr>
                      <w:p>
                        <w:pPr>
                          <w:pStyle w:val="TableParagraph"/>
                          <w:spacing w:before="57"/>
                          <w:ind w:left="26"/>
                          <w:rPr>
                            <w:b/>
                            <w:sz w:val="21"/>
                          </w:rPr>
                        </w:pPr>
                        <w:r>
                          <w:rPr>
                            <w:b/>
                            <w:w w:val="100"/>
                            <w:sz w:val="21"/>
                          </w:rPr>
                          <w:t>b</w:t>
                        </w:r>
                      </w:p>
                    </w:tc>
                    <w:tc>
                      <w:tcPr>
                        <w:tcW w:w="2352" w:type="dxa"/>
                        <w:tcBorders>
                          <w:left w:val="single" w:sz="6" w:space="0" w:color="000000"/>
                          <w:bottom w:val="single" w:sz="6" w:space="0" w:color="000000"/>
                        </w:tcBorders>
                      </w:tcPr>
                      <w:p>
                        <w:pPr>
                          <w:pStyle w:val="TableParagraph"/>
                          <w:spacing w:before="43"/>
                          <w:ind w:left="432" w:right="404"/>
                          <w:rPr>
                            <w:rFonts w:ascii="宋体" w:eastAsia="宋体" w:hint="eastAsia"/>
                            <w:b/>
                            <w:sz w:val="21"/>
                          </w:rPr>
                        </w:pPr>
                        <w:r>
                          <w:rPr>
                            <w:rFonts w:ascii="宋体" w:eastAsia="宋体" w:hint="eastAsia"/>
                            <w:b/>
                            <w:sz w:val="21"/>
                          </w:rPr>
                          <w:t>公式</w:t>
                        </w:r>
                      </w:p>
                    </w:tc>
                  </w:tr>
                  <w:tr>
                    <w:trPr>
                      <w:trHeight w:val="359" w:hRule="atLeast"/>
                    </w:trPr>
                    <w:tc>
                      <w:tcPr>
                        <w:tcW w:w="2187" w:type="dxa"/>
                        <w:tcBorders>
                          <w:top w:val="single" w:sz="6" w:space="0" w:color="000000"/>
                          <w:bottom w:val="single" w:sz="6" w:space="0" w:color="000000"/>
                          <w:right w:val="single" w:sz="6" w:space="0" w:color="000000"/>
                        </w:tcBorders>
                      </w:tcPr>
                      <w:p>
                        <w:pPr>
                          <w:pStyle w:val="TableParagraph"/>
                          <w:spacing w:before="44"/>
                          <w:ind w:left="27"/>
                          <w:rPr>
                            <w:rFonts w:ascii="宋体" w:eastAsia="宋体" w:hint="eastAsia"/>
                            <w:sz w:val="21"/>
                          </w:rPr>
                        </w:pPr>
                        <w:r>
                          <w:rPr>
                            <w:rFonts w:ascii="宋体" w:eastAsia="宋体" w:hint="eastAsia"/>
                            <w:w w:val="100"/>
                            <w:sz w:val="21"/>
                          </w:rPr>
                          <w:t>氨</w:t>
                        </w:r>
                      </w:p>
                    </w:tc>
                    <w:tc>
                      <w:tcPr>
                        <w:tcW w:w="2352" w:type="dxa"/>
                        <w:tcBorders>
                          <w:top w:val="single" w:sz="6" w:space="0" w:color="000000"/>
                          <w:left w:val="single" w:sz="6" w:space="0" w:color="000000"/>
                          <w:bottom w:val="single" w:sz="6" w:space="0" w:color="000000"/>
                          <w:right w:val="single" w:sz="6" w:space="0" w:color="000000"/>
                        </w:tcBorders>
                      </w:tcPr>
                      <w:p>
                        <w:pPr>
                          <w:pStyle w:val="TableParagraph"/>
                          <w:ind w:left="526" w:right="498"/>
                          <w:rPr>
                            <w:sz w:val="21"/>
                          </w:rPr>
                        </w:pPr>
                        <w:r>
                          <w:rPr>
                            <w:sz w:val="21"/>
                          </w:rPr>
                          <w:t>2.5</w:t>
                        </w:r>
                      </w:p>
                    </w:tc>
                    <w:tc>
                      <w:tcPr>
                        <w:tcW w:w="2352" w:type="dxa"/>
                        <w:tcBorders>
                          <w:top w:val="single" w:sz="6" w:space="0" w:color="000000"/>
                          <w:left w:val="single" w:sz="6" w:space="0" w:color="000000"/>
                          <w:bottom w:val="single" w:sz="6" w:space="0" w:color="000000"/>
                          <w:right w:val="single" w:sz="6" w:space="0" w:color="000000"/>
                        </w:tcBorders>
                      </w:tcPr>
                      <w:p>
                        <w:pPr>
                          <w:pStyle w:val="TableParagraph"/>
                          <w:ind w:left="527" w:right="498"/>
                          <w:rPr>
                            <w:sz w:val="21"/>
                          </w:rPr>
                        </w:pPr>
                        <w:r>
                          <w:rPr>
                            <w:sz w:val="21"/>
                          </w:rPr>
                          <w:t>1.53</w:t>
                        </w:r>
                      </w:p>
                    </w:tc>
                    <w:tc>
                      <w:tcPr>
                        <w:tcW w:w="2352" w:type="dxa"/>
                        <w:tcBorders>
                          <w:top w:val="single" w:sz="6" w:space="0" w:color="000000"/>
                          <w:left w:val="single" w:sz="6" w:space="0" w:color="000000"/>
                          <w:bottom w:val="single" w:sz="6" w:space="0" w:color="000000"/>
                        </w:tcBorders>
                      </w:tcPr>
                      <w:p>
                        <w:pPr>
                          <w:pStyle w:val="TableParagraph"/>
                          <w:ind w:left="434" w:right="402"/>
                          <w:rPr>
                            <w:sz w:val="21"/>
                          </w:rPr>
                        </w:pPr>
                        <w:r>
                          <w:rPr>
                            <w:sz w:val="21"/>
                          </w:rPr>
                          <w:t>I=2.5+1.53logC</w:t>
                        </w:r>
                      </w:p>
                    </w:tc>
                  </w:tr>
                  <w:tr>
                    <w:trPr>
                      <w:trHeight w:val="356" w:hRule="atLeast"/>
                    </w:trPr>
                    <w:tc>
                      <w:tcPr>
                        <w:tcW w:w="2187" w:type="dxa"/>
                        <w:tcBorders>
                          <w:top w:val="single" w:sz="6" w:space="0" w:color="000000"/>
                          <w:right w:val="single" w:sz="6" w:space="0" w:color="000000"/>
                        </w:tcBorders>
                      </w:tcPr>
                      <w:p>
                        <w:pPr>
                          <w:pStyle w:val="TableParagraph"/>
                          <w:spacing w:before="44"/>
                          <w:ind w:left="656" w:right="624"/>
                          <w:rPr>
                            <w:rFonts w:ascii="宋体" w:eastAsia="宋体" w:hint="eastAsia"/>
                            <w:sz w:val="21"/>
                          </w:rPr>
                        </w:pPr>
                        <w:r>
                          <w:rPr>
                            <w:rFonts w:ascii="宋体" w:eastAsia="宋体" w:hint="eastAsia"/>
                            <w:sz w:val="21"/>
                          </w:rPr>
                          <w:t>硫化氢</w:t>
                        </w:r>
                      </w:p>
                    </w:tc>
                    <w:tc>
                      <w:tcPr>
                        <w:tcW w:w="2352" w:type="dxa"/>
                        <w:tcBorders>
                          <w:top w:val="single" w:sz="6" w:space="0" w:color="000000"/>
                          <w:left w:val="single" w:sz="6" w:space="0" w:color="000000"/>
                          <w:right w:val="single" w:sz="6" w:space="0" w:color="000000"/>
                        </w:tcBorders>
                      </w:tcPr>
                      <w:p>
                        <w:pPr>
                          <w:pStyle w:val="TableParagraph"/>
                          <w:ind w:left="526" w:right="498"/>
                          <w:rPr>
                            <w:sz w:val="21"/>
                          </w:rPr>
                        </w:pPr>
                        <w:r>
                          <w:rPr>
                            <w:sz w:val="21"/>
                          </w:rPr>
                          <w:t>4.15</w:t>
                        </w:r>
                      </w:p>
                    </w:tc>
                    <w:tc>
                      <w:tcPr>
                        <w:tcW w:w="2352" w:type="dxa"/>
                        <w:tcBorders>
                          <w:top w:val="single" w:sz="6" w:space="0" w:color="000000"/>
                          <w:left w:val="single" w:sz="6" w:space="0" w:color="000000"/>
                          <w:right w:val="single" w:sz="6" w:space="0" w:color="000000"/>
                        </w:tcBorders>
                      </w:tcPr>
                      <w:p>
                        <w:pPr>
                          <w:pStyle w:val="TableParagraph"/>
                          <w:ind w:left="527" w:right="498"/>
                          <w:rPr>
                            <w:sz w:val="21"/>
                          </w:rPr>
                        </w:pPr>
                        <w:r>
                          <w:rPr>
                            <w:sz w:val="21"/>
                          </w:rPr>
                          <w:t>0.96</w:t>
                        </w:r>
                      </w:p>
                    </w:tc>
                    <w:tc>
                      <w:tcPr>
                        <w:tcW w:w="2352" w:type="dxa"/>
                        <w:tcBorders>
                          <w:top w:val="single" w:sz="6" w:space="0" w:color="000000"/>
                          <w:left w:val="single" w:sz="6" w:space="0" w:color="000000"/>
                        </w:tcBorders>
                      </w:tcPr>
                      <w:p>
                        <w:pPr>
                          <w:pStyle w:val="TableParagraph"/>
                          <w:ind w:left="434" w:right="404"/>
                          <w:rPr>
                            <w:sz w:val="21"/>
                          </w:rPr>
                        </w:pPr>
                        <w:r>
                          <w:rPr>
                            <w:sz w:val="21"/>
                          </w:rPr>
                          <w:t>I=4.15+0.96logC</w:t>
                        </w:r>
                      </w:p>
                    </w:tc>
                  </w:tr>
                </w:tbl>
                <w:p>
                  <w:pPr>
                    <w:pStyle w:val="BodyText"/>
                    <w:ind w:left="0"/>
                  </w:pPr>
                </w:p>
              </w:txbxContent>
            </v:textbox>
            <w10:wrap type="none"/>
          </v:shape>
        </w:pict>
      </w:r>
      <w:r>
        <w:rPr>
          <w:spacing w:val="-3"/>
          <w:sz w:val="24"/>
        </w:rPr>
        <w:t>与臭气性质有关的常数。根据查询相关资料，废气因子的 </w:t>
      </w:r>
      <w:r>
        <w:rPr>
          <w:rFonts w:ascii="Times New Roman" w:eastAsia="Times New Roman"/>
          <w:sz w:val="24"/>
        </w:rPr>
        <w:t>a</w:t>
      </w:r>
      <w:r>
        <w:rPr>
          <w:sz w:val="24"/>
        </w:rPr>
        <w:t>、</w:t>
      </w:r>
      <w:r>
        <w:rPr>
          <w:rFonts w:ascii="Times New Roman" w:eastAsia="Times New Roman"/>
          <w:sz w:val="24"/>
        </w:rPr>
        <w:t>b </w:t>
      </w:r>
      <w:r>
        <w:rPr>
          <w:spacing w:val="-15"/>
          <w:sz w:val="24"/>
        </w:rPr>
        <w:t>值见表 </w:t>
      </w:r>
      <w:r>
        <w:rPr>
          <w:rFonts w:ascii="Times New Roman" w:eastAsia="Times New Roman"/>
          <w:sz w:val="24"/>
        </w:rPr>
        <w:t>5.2-28</w:t>
      </w:r>
      <w:r>
        <w:rPr>
          <w:spacing w:val="-15"/>
          <w:sz w:val="24"/>
        </w:rPr>
        <w:t>。</w:t>
      </w:r>
      <w:r>
        <w:rPr>
          <w:b/>
          <w:spacing w:val="-30"/>
          <w:sz w:val="24"/>
        </w:rPr>
        <w:t>表 </w:t>
      </w:r>
      <w:r>
        <w:rPr>
          <w:rFonts w:ascii="Times New Roman" w:eastAsia="Times New Roman"/>
          <w:b/>
          <w:sz w:val="24"/>
        </w:rPr>
        <w:t>5.2-28  </w:t>
      </w:r>
      <w:r>
        <w:rPr>
          <w:b/>
          <w:sz w:val="24"/>
        </w:rPr>
        <w:t>主要污染因子的韦伯一费希内尔公式</w:t>
      </w:r>
    </w:p>
    <w:p>
      <w:pPr>
        <w:pStyle w:val="BodyText"/>
        <w:ind w:left="0"/>
        <w:rPr>
          <w:b/>
          <w:sz w:val="26"/>
        </w:rPr>
      </w:pPr>
    </w:p>
    <w:p>
      <w:pPr>
        <w:pStyle w:val="BodyText"/>
        <w:ind w:left="0"/>
        <w:rPr>
          <w:b/>
          <w:sz w:val="26"/>
        </w:rPr>
      </w:pPr>
    </w:p>
    <w:p>
      <w:pPr>
        <w:pStyle w:val="BodyText"/>
        <w:spacing w:before="6"/>
        <w:ind w:left="0"/>
        <w:rPr>
          <w:b/>
          <w:sz w:val="34"/>
        </w:rPr>
      </w:pPr>
    </w:p>
    <w:p>
      <w:pPr>
        <w:spacing w:before="1"/>
        <w:ind w:left="657" w:right="0" w:firstLine="0"/>
        <w:jc w:val="left"/>
        <w:rPr>
          <w:sz w:val="21"/>
        </w:rPr>
      </w:pPr>
      <w:r>
        <w:rPr>
          <w:sz w:val="21"/>
        </w:rPr>
        <w:t>注：公式中，</w:t>
      </w:r>
      <w:r>
        <w:rPr>
          <w:rFonts w:ascii="Times New Roman" w:eastAsia="Times New Roman"/>
          <w:sz w:val="21"/>
        </w:rPr>
        <w:t>C </w:t>
      </w:r>
      <w:r>
        <w:rPr>
          <w:sz w:val="21"/>
        </w:rPr>
        <w:t>单位为 </w:t>
      </w:r>
      <w:r>
        <w:rPr>
          <w:rFonts w:ascii="Times New Roman" w:eastAsia="Times New Roman"/>
          <w:sz w:val="21"/>
        </w:rPr>
        <w:t>mg/m</w:t>
      </w:r>
      <w:r>
        <w:rPr>
          <w:rFonts w:ascii="Times New Roman" w:eastAsia="Times New Roman"/>
          <w:position w:val="7"/>
          <w:sz w:val="14"/>
        </w:rPr>
        <w:t>3</w:t>
      </w:r>
      <w:r>
        <w:rPr>
          <w:sz w:val="21"/>
        </w:rPr>
        <w:t>。</w:t>
      </w:r>
    </w:p>
    <w:p>
      <w:pPr>
        <w:pStyle w:val="BodyText"/>
        <w:spacing w:before="101"/>
        <w:ind w:left="717"/>
      </w:pPr>
      <w:r>
        <w:rPr/>
        <w:t>根据预测结果，最大排放速率条件下各敏感点的恶臭评价见表 </w:t>
      </w:r>
      <w:r>
        <w:rPr>
          <w:rFonts w:ascii="Times New Roman" w:eastAsia="Times New Roman"/>
        </w:rPr>
        <w:t>5.2-29 </w:t>
      </w:r>
      <w:r>
        <w:rPr/>
        <w:t>及表 </w:t>
      </w:r>
      <w:r>
        <w:rPr>
          <w:rFonts w:ascii="Times New Roman" w:eastAsia="Times New Roman"/>
        </w:rPr>
        <w:t>5.2-30</w:t>
      </w:r>
      <w:r>
        <w:rPr/>
        <w:t>。</w:t>
      </w:r>
    </w:p>
    <w:p>
      <w:pPr>
        <w:pStyle w:val="Heading3"/>
        <w:spacing w:before="106" w:after="24"/>
        <w:ind w:left="219" w:right="236"/>
        <w:jc w:val="center"/>
      </w:pPr>
      <w:r>
        <w:rPr/>
        <w:t>表 </w:t>
      </w:r>
      <w:r>
        <w:rPr>
          <w:rFonts w:ascii="Times New Roman" w:eastAsia="Times New Roman"/>
        </w:rPr>
        <w:t>5.2-29  </w:t>
      </w:r>
      <w:r>
        <w:rPr/>
        <w:t>氨恶臭评价</w:t>
      </w: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09"/>
        <w:gridCol w:w="1587"/>
        <w:gridCol w:w="947"/>
        <w:gridCol w:w="3251"/>
        <w:gridCol w:w="954"/>
      </w:tblGrid>
      <w:tr>
        <w:trPr>
          <w:trHeight w:val="359" w:hRule="atLeast"/>
        </w:trPr>
        <w:tc>
          <w:tcPr>
            <w:tcW w:w="2509" w:type="dxa"/>
            <w:tcBorders>
              <w:bottom w:val="single" w:sz="6" w:space="0" w:color="000000"/>
              <w:right w:val="single" w:sz="6" w:space="0" w:color="000000"/>
            </w:tcBorders>
          </w:tcPr>
          <w:p>
            <w:pPr>
              <w:pStyle w:val="TableParagraph"/>
              <w:spacing w:before="46"/>
              <w:ind w:left="35" w:right="8"/>
              <w:rPr>
                <w:rFonts w:ascii="宋体" w:eastAsia="宋体" w:hint="eastAsia"/>
                <w:b/>
                <w:sz w:val="21"/>
              </w:rPr>
            </w:pPr>
            <w:r>
              <w:rPr>
                <w:rFonts w:ascii="宋体" w:eastAsia="宋体" w:hint="eastAsia"/>
                <w:b/>
                <w:sz w:val="21"/>
              </w:rPr>
              <w:t>点位</w:t>
            </w:r>
          </w:p>
        </w:tc>
        <w:tc>
          <w:tcPr>
            <w:tcW w:w="1587" w:type="dxa"/>
            <w:tcBorders>
              <w:left w:val="single" w:sz="6" w:space="0" w:color="000000"/>
              <w:bottom w:val="single" w:sz="6" w:space="0" w:color="000000"/>
              <w:right w:val="single" w:sz="6" w:space="0" w:color="000000"/>
            </w:tcBorders>
          </w:tcPr>
          <w:p>
            <w:pPr>
              <w:pStyle w:val="TableParagraph"/>
              <w:spacing w:before="46"/>
              <w:ind w:left="64" w:right="40"/>
              <w:rPr>
                <w:rFonts w:ascii="宋体" w:eastAsia="宋体" w:hint="eastAsia"/>
                <w:b/>
                <w:sz w:val="21"/>
              </w:rPr>
            </w:pPr>
            <w:r>
              <w:rPr>
                <w:rFonts w:ascii="宋体" w:eastAsia="宋体" w:hint="eastAsia"/>
                <w:b/>
                <w:sz w:val="21"/>
              </w:rPr>
              <w:t>浓度（</w:t>
            </w:r>
            <w:r>
              <w:rPr>
                <w:b/>
                <w:sz w:val="21"/>
              </w:rPr>
              <w:t>mg/m</w:t>
            </w:r>
            <w:r>
              <w:rPr>
                <w:b/>
                <w:position w:val="7"/>
                <w:sz w:val="14"/>
              </w:rPr>
              <w:t>3</w:t>
            </w:r>
            <w:r>
              <w:rPr>
                <w:rFonts w:ascii="宋体" w:eastAsia="宋体" w:hint="eastAsia"/>
                <w:b/>
                <w:sz w:val="21"/>
              </w:rPr>
              <w:t>）</w:t>
            </w:r>
          </w:p>
        </w:tc>
        <w:tc>
          <w:tcPr>
            <w:tcW w:w="947" w:type="dxa"/>
            <w:tcBorders>
              <w:left w:val="single" w:sz="6" w:space="0" w:color="000000"/>
              <w:bottom w:val="single" w:sz="6" w:space="0" w:color="000000"/>
              <w:right w:val="single" w:sz="6" w:space="0" w:color="000000"/>
            </w:tcBorders>
          </w:tcPr>
          <w:p>
            <w:pPr>
              <w:pStyle w:val="TableParagraph"/>
              <w:spacing w:before="46"/>
              <w:ind w:left="36" w:right="11"/>
              <w:rPr>
                <w:rFonts w:ascii="宋体" w:eastAsia="宋体" w:hint="eastAsia"/>
                <w:b/>
                <w:sz w:val="21"/>
              </w:rPr>
            </w:pPr>
            <w:r>
              <w:rPr>
                <w:rFonts w:ascii="宋体" w:eastAsia="宋体" w:hint="eastAsia"/>
                <w:b/>
                <w:sz w:val="21"/>
              </w:rPr>
              <w:t>恶臭强度</w:t>
            </w:r>
          </w:p>
        </w:tc>
        <w:tc>
          <w:tcPr>
            <w:tcW w:w="3251" w:type="dxa"/>
            <w:tcBorders>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b/>
                <w:sz w:val="21"/>
              </w:rPr>
            </w:pPr>
            <w:r>
              <w:rPr>
                <w:rFonts w:ascii="宋体" w:eastAsia="宋体" w:hint="eastAsia"/>
                <w:b/>
                <w:sz w:val="21"/>
              </w:rPr>
              <w:t>感觉</w:t>
            </w:r>
          </w:p>
        </w:tc>
        <w:tc>
          <w:tcPr>
            <w:tcW w:w="954" w:type="dxa"/>
            <w:tcBorders>
              <w:left w:val="single" w:sz="6" w:space="0" w:color="000000"/>
              <w:bottom w:val="single" w:sz="6" w:space="0" w:color="000000"/>
            </w:tcBorders>
          </w:tcPr>
          <w:p>
            <w:pPr>
              <w:pStyle w:val="TableParagraph"/>
              <w:spacing w:before="46"/>
              <w:ind w:left="35" w:right="13"/>
              <w:rPr>
                <w:rFonts w:ascii="宋体" w:eastAsia="宋体" w:hint="eastAsia"/>
                <w:b/>
                <w:sz w:val="21"/>
              </w:rPr>
            </w:pPr>
            <w:r>
              <w:rPr>
                <w:rFonts w:ascii="宋体" w:eastAsia="宋体" w:hint="eastAsia"/>
                <w:b/>
                <w:sz w:val="21"/>
              </w:rPr>
              <w:t>臭气强度</w:t>
            </w:r>
          </w:p>
        </w:tc>
      </w:tr>
      <w:tr>
        <w:trPr>
          <w:trHeight w:val="360" w:hRule="atLeast"/>
        </w:trPr>
        <w:tc>
          <w:tcPr>
            <w:tcW w:w="2509" w:type="dxa"/>
            <w:tcBorders>
              <w:top w:val="single" w:sz="6" w:space="0" w:color="000000"/>
              <w:bottom w:val="single" w:sz="6" w:space="0" w:color="000000"/>
              <w:right w:val="single" w:sz="6" w:space="0" w:color="000000"/>
            </w:tcBorders>
          </w:tcPr>
          <w:p>
            <w:pPr>
              <w:pStyle w:val="TableParagraph"/>
              <w:spacing w:before="47"/>
              <w:ind w:left="496"/>
              <w:jc w:val="left"/>
              <w:rPr>
                <w:rFonts w:ascii="宋体" w:eastAsia="宋体" w:hint="eastAsia"/>
                <w:sz w:val="21"/>
              </w:rPr>
            </w:pPr>
            <w:r>
              <w:rPr>
                <w:rFonts w:ascii="宋体" w:eastAsia="宋体" w:hint="eastAsia"/>
                <w:sz w:val="21"/>
              </w:rPr>
              <w:t>丰一（</w:t>
            </w:r>
            <w:r>
              <w:rPr>
                <w:sz w:val="21"/>
              </w:rPr>
              <w:t>797,894</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spacing w:before="61"/>
              <w:ind w:left="64" w:right="35"/>
              <w:rPr>
                <w:sz w:val="21"/>
              </w:rPr>
            </w:pPr>
            <w:r>
              <w:rPr>
                <w:sz w:val="21"/>
              </w:rPr>
              <w:t>1.06E-01</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7"/>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7"/>
              <w:ind w:left="35" w:right="13"/>
              <w:rPr>
                <w:rFonts w:ascii="宋体" w:eastAsia="宋体" w:hint="eastAsia"/>
                <w:sz w:val="21"/>
              </w:rPr>
            </w:pPr>
            <w:r>
              <w:rPr>
                <w:rFonts w:ascii="宋体" w:eastAsia="宋体" w:hint="eastAsia"/>
                <w:sz w:val="21"/>
              </w:rPr>
              <w:t>嗅阈</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443"/>
              <w:jc w:val="left"/>
              <w:rPr>
                <w:rFonts w:ascii="宋体" w:eastAsia="宋体" w:hint="eastAsia"/>
                <w:sz w:val="21"/>
              </w:rPr>
            </w:pPr>
            <w:r>
              <w:rPr>
                <w:rFonts w:ascii="宋体" w:eastAsia="宋体" w:hint="eastAsia"/>
                <w:sz w:val="21"/>
              </w:rPr>
              <w:t>丰二（</w:t>
            </w:r>
            <w:r>
              <w:rPr>
                <w:sz w:val="21"/>
              </w:rPr>
              <w:t>897,1268</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9.95E-02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嗅阈</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450"/>
              <w:jc w:val="left"/>
              <w:rPr>
                <w:rFonts w:ascii="宋体" w:eastAsia="宋体" w:hint="eastAsia"/>
                <w:sz w:val="21"/>
              </w:rPr>
            </w:pPr>
            <w:r>
              <w:rPr>
                <w:rFonts w:ascii="宋体" w:eastAsia="宋体" w:hint="eastAsia"/>
                <w:sz w:val="21"/>
              </w:rPr>
              <w:t>项里（</w:t>
            </w:r>
            <w:r>
              <w:rPr>
                <w:sz w:val="21"/>
              </w:rPr>
              <w:t>332,1118</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1.06E-01</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嗅阈</w:t>
            </w:r>
          </w:p>
        </w:tc>
      </w:tr>
      <w:tr>
        <w:trPr>
          <w:trHeight w:val="356" w:hRule="atLeast"/>
        </w:trPr>
        <w:tc>
          <w:tcPr>
            <w:tcW w:w="2509" w:type="dxa"/>
            <w:tcBorders>
              <w:top w:val="single" w:sz="6" w:space="0" w:color="000000"/>
              <w:bottom w:val="single" w:sz="6" w:space="0" w:color="000000"/>
              <w:right w:val="single" w:sz="6" w:space="0" w:color="000000"/>
            </w:tcBorders>
          </w:tcPr>
          <w:p>
            <w:pPr>
              <w:pStyle w:val="TableParagraph"/>
              <w:spacing w:before="44"/>
              <w:ind w:left="301"/>
              <w:jc w:val="left"/>
              <w:rPr>
                <w:rFonts w:ascii="宋体" w:eastAsia="宋体" w:hint="eastAsia"/>
                <w:sz w:val="21"/>
              </w:rPr>
            </w:pPr>
            <w:r>
              <w:rPr>
                <w:rFonts w:ascii="宋体" w:eastAsia="宋体" w:hint="eastAsia"/>
                <w:sz w:val="21"/>
              </w:rPr>
              <w:t>河塔村（</w:t>
            </w:r>
            <w:r>
              <w:rPr>
                <w:sz w:val="21"/>
              </w:rPr>
              <w:t>-299,1816</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9.75E-02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嗅阈</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6"/>
              <w:ind w:left="285"/>
              <w:jc w:val="left"/>
              <w:rPr>
                <w:rFonts w:ascii="宋体" w:eastAsia="宋体" w:hint="eastAsia"/>
                <w:sz w:val="21"/>
              </w:rPr>
            </w:pPr>
            <w:r>
              <w:rPr>
                <w:rFonts w:ascii="宋体" w:eastAsia="宋体" w:hint="eastAsia"/>
                <w:sz w:val="21"/>
              </w:rPr>
              <w:t>秋湖村（</w:t>
            </w:r>
            <w:r>
              <w:rPr>
                <w:sz w:val="21"/>
              </w:rPr>
              <w:t>1686,2223</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spacing w:before="60"/>
              <w:ind w:left="64" w:right="35"/>
              <w:rPr>
                <w:sz w:val="21"/>
              </w:rPr>
            </w:pPr>
            <w:r>
              <w:rPr>
                <w:sz w:val="21"/>
              </w:rPr>
              <w:t>8.97E-02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6"/>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337"/>
              <w:jc w:val="left"/>
              <w:rPr>
                <w:rFonts w:ascii="宋体" w:eastAsia="宋体" w:hint="eastAsia"/>
                <w:sz w:val="21"/>
              </w:rPr>
            </w:pPr>
            <w:r>
              <w:rPr>
                <w:rFonts w:ascii="宋体" w:eastAsia="宋体" w:hint="eastAsia"/>
                <w:sz w:val="21"/>
              </w:rPr>
              <w:t>清和园（</w:t>
            </w:r>
            <w:r>
              <w:rPr>
                <w:sz w:val="21"/>
              </w:rPr>
              <w:t>830,2049</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9.23E-02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198"/>
              <w:jc w:val="left"/>
              <w:rPr>
                <w:rFonts w:ascii="宋体" w:eastAsia="宋体" w:hint="eastAsia"/>
                <w:sz w:val="21"/>
              </w:rPr>
            </w:pPr>
            <w:r>
              <w:rPr>
                <w:rFonts w:ascii="宋体" w:eastAsia="宋体" w:hint="eastAsia"/>
                <w:sz w:val="21"/>
              </w:rPr>
              <w:t>州山小学（</w:t>
            </w:r>
            <w:r>
              <w:rPr>
                <w:sz w:val="21"/>
              </w:rPr>
              <w:t>-141,2646</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9.20E-02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7" w:hRule="atLeast"/>
        </w:trPr>
        <w:tc>
          <w:tcPr>
            <w:tcW w:w="2509" w:type="dxa"/>
            <w:tcBorders>
              <w:top w:val="single" w:sz="6" w:space="0" w:color="000000"/>
              <w:bottom w:val="single" w:sz="6" w:space="0" w:color="000000"/>
              <w:right w:val="single" w:sz="6" w:space="0" w:color="000000"/>
            </w:tcBorders>
          </w:tcPr>
          <w:p>
            <w:pPr>
              <w:pStyle w:val="TableParagraph"/>
              <w:spacing w:before="44"/>
              <w:ind w:left="337"/>
              <w:jc w:val="left"/>
              <w:rPr>
                <w:rFonts w:ascii="宋体" w:eastAsia="宋体" w:hint="eastAsia"/>
                <w:sz w:val="21"/>
              </w:rPr>
            </w:pPr>
            <w:r>
              <w:rPr>
                <w:rFonts w:ascii="宋体" w:eastAsia="宋体" w:hint="eastAsia"/>
                <w:sz w:val="21"/>
              </w:rPr>
              <w:t>管委会（</w:t>
            </w:r>
            <w:r>
              <w:rPr>
                <w:sz w:val="21"/>
              </w:rPr>
              <w:t>914,2190</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9.13E-02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6"/>
              <w:ind w:left="126" w:right="-15"/>
              <w:jc w:val="left"/>
              <w:rPr>
                <w:rFonts w:ascii="宋体" w:eastAsia="宋体" w:hint="eastAsia"/>
                <w:sz w:val="21"/>
              </w:rPr>
            </w:pPr>
            <w:r>
              <w:rPr>
                <w:rFonts w:ascii="宋体" w:eastAsia="宋体" w:hint="eastAsia"/>
                <w:spacing w:val="-2"/>
                <w:sz w:val="21"/>
              </w:rPr>
              <w:t>区福利中心</w:t>
            </w:r>
            <w:r>
              <w:rPr>
                <w:rFonts w:ascii="宋体" w:eastAsia="宋体" w:hint="eastAsia"/>
                <w:sz w:val="21"/>
              </w:rPr>
              <w:t>（</w:t>
            </w:r>
            <w:r>
              <w:rPr>
                <w:sz w:val="21"/>
              </w:rPr>
              <w:t>282,2431</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spacing w:before="60"/>
              <w:ind w:left="64" w:right="35"/>
              <w:rPr>
                <w:sz w:val="21"/>
              </w:rPr>
            </w:pPr>
            <w:r>
              <w:rPr>
                <w:sz w:val="21"/>
              </w:rPr>
              <w:t>9.26E-02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6"/>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232"/>
              <w:jc w:val="left"/>
              <w:rPr>
                <w:rFonts w:ascii="宋体" w:eastAsia="宋体" w:hint="eastAsia"/>
                <w:sz w:val="21"/>
              </w:rPr>
            </w:pPr>
            <w:r>
              <w:rPr>
                <w:rFonts w:ascii="宋体" w:eastAsia="宋体" w:hint="eastAsia"/>
                <w:sz w:val="21"/>
              </w:rPr>
              <w:t>区委党校（</w:t>
            </w:r>
            <w:r>
              <w:rPr>
                <w:sz w:val="21"/>
              </w:rPr>
              <w:t>656,2182</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9.29E-02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407"/>
              <w:jc w:val="left"/>
              <w:rPr>
                <w:rFonts w:ascii="宋体" w:eastAsia="宋体" w:hint="eastAsia"/>
                <w:sz w:val="21"/>
              </w:rPr>
            </w:pPr>
            <w:r>
              <w:rPr>
                <w:rFonts w:ascii="宋体" w:eastAsia="宋体" w:hint="eastAsia"/>
                <w:sz w:val="21"/>
              </w:rPr>
              <w:t>迪埠（</w:t>
            </w:r>
            <w:r>
              <w:rPr>
                <w:sz w:val="21"/>
              </w:rPr>
              <w:t>1022,-875</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1.02E-01</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嗅阈</w:t>
            </w:r>
          </w:p>
        </w:tc>
      </w:tr>
      <w:tr>
        <w:trPr>
          <w:trHeight w:val="356" w:hRule="atLeast"/>
        </w:trPr>
        <w:tc>
          <w:tcPr>
            <w:tcW w:w="2509" w:type="dxa"/>
            <w:tcBorders>
              <w:top w:val="single" w:sz="6" w:space="0" w:color="000000"/>
              <w:bottom w:val="single" w:sz="6" w:space="0" w:color="000000"/>
              <w:right w:val="single" w:sz="6" w:space="0" w:color="000000"/>
            </w:tcBorders>
          </w:tcPr>
          <w:p>
            <w:pPr>
              <w:pStyle w:val="TableParagraph"/>
              <w:spacing w:before="44"/>
              <w:ind w:left="248"/>
              <w:jc w:val="left"/>
              <w:rPr>
                <w:rFonts w:ascii="宋体" w:eastAsia="宋体" w:hint="eastAsia"/>
                <w:sz w:val="21"/>
              </w:rPr>
            </w:pPr>
            <w:r>
              <w:rPr>
                <w:rFonts w:ascii="宋体" w:eastAsia="宋体" w:hint="eastAsia"/>
                <w:sz w:val="21"/>
              </w:rPr>
              <w:t>洪家墩（</w:t>
            </w:r>
            <w:r>
              <w:rPr>
                <w:sz w:val="21"/>
              </w:rPr>
              <w:t>1096,-1407</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9.45E-02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6"/>
              <w:ind w:left="301"/>
              <w:jc w:val="left"/>
              <w:rPr>
                <w:rFonts w:ascii="宋体" w:eastAsia="宋体" w:hint="eastAsia"/>
                <w:sz w:val="21"/>
              </w:rPr>
            </w:pPr>
            <w:r>
              <w:rPr>
                <w:rFonts w:ascii="宋体" w:eastAsia="宋体" w:hint="eastAsia"/>
                <w:sz w:val="21"/>
              </w:rPr>
              <w:t>兴联村（</w:t>
            </w:r>
            <w:r>
              <w:rPr>
                <w:sz w:val="21"/>
              </w:rPr>
              <w:t>1985,-302</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spacing w:before="60"/>
              <w:ind w:left="64" w:right="35"/>
              <w:rPr>
                <w:sz w:val="21"/>
              </w:rPr>
            </w:pPr>
            <w:r>
              <w:rPr>
                <w:sz w:val="21"/>
              </w:rPr>
              <w:t>9.50E-02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6"/>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253"/>
              <w:jc w:val="left"/>
              <w:rPr>
                <w:rFonts w:ascii="宋体" w:eastAsia="宋体" w:hint="eastAsia"/>
                <w:sz w:val="21"/>
              </w:rPr>
            </w:pPr>
            <w:r>
              <w:rPr>
                <w:rFonts w:ascii="宋体" w:eastAsia="宋体" w:hint="eastAsia"/>
                <w:sz w:val="21"/>
              </w:rPr>
              <w:t>梅三村（</w:t>
            </w:r>
            <w:r>
              <w:rPr>
                <w:sz w:val="21"/>
              </w:rPr>
              <w:t>1744,-1149</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9.27E-02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253"/>
              <w:jc w:val="left"/>
              <w:rPr>
                <w:rFonts w:ascii="宋体" w:eastAsia="宋体" w:hint="eastAsia"/>
                <w:sz w:val="21"/>
              </w:rPr>
            </w:pPr>
            <w:r>
              <w:rPr>
                <w:rFonts w:ascii="宋体" w:eastAsia="宋体" w:hint="eastAsia"/>
                <w:sz w:val="21"/>
              </w:rPr>
              <w:t>容山村（</w:t>
            </w:r>
            <w:r>
              <w:rPr>
                <w:sz w:val="21"/>
              </w:rPr>
              <w:t>1154,-2055</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9.06E-02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6" w:hRule="atLeast"/>
        </w:trPr>
        <w:tc>
          <w:tcPr>
            <w:tcW w:w="2509" w:type="dxa"/>
            <w:tcBorders>
              <w:top w:val="single" w:sz="6" w:space="0" w:color="000000"/>
              <w:bottom w:val="single" w:sz="6" w:space="0" w:color="000000"/>
              <w:right w:val="single" w:sz="6" w:space="0" w:color="000000"/>
            </w:tcBorders>
          </w:tcPr>
          <w:p>
            <w:pPr>
              <w:pStyle w:val="TableParagraph"/>
              <w:spacing w:before="44"/>
              <w:ind w:left="215"/>
              <w:jc w:val="left"/>
              <w:rPr>
                <w:rFonts w:ascii="宋体" w:eastAsia="宋体" w:hint="eastAsia"/>
                <w:sz w:val="21"/>
              </w:rPr>
            </w:pPr>
            <w:r>
              <w:rPr>
                <w:rFonts w:ascii="宋体" w:eastAsia="宋体" w:hint="eastAsia"/>
                <w:sz w:val="21"/>
              </w:rPr>
              <w:t>兴华村（</w:t>
            </w:r>
            <w:r>
              <w:rPr>
                <w:sz w:val="21"/>
              </w:rPr>
              <w:t>-1653,-1249</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8.52E-02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6"/>
              <w:ind w:left="301"/>
              <w:jc w:val="left"/>
              <w:rPr>
                <w:rFonts w:ascii="宋体" w:eastAsia="宋体" w:hint="eastAsia"/>
                <w:sz w:val="21"/>
              </w:rPr>
            </w:pPr>
            <w:r>
              <w:rPr>
                <w:rFonts w:ascii="宋体" w:eastAsia="宋体" w:hint="eastAsia"/>
                <w:sz w:val="21"/>
              </w:rPr>
              <w:t>永信村（</w:t>
            </w:r>
            <w:r>
              <w:rPr>
                <w:sz w:val="21"/>
              </w:rPr>
              <w:t>-2384,479</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spacing w:before="60"/>
              <w:ind w:left="64" w:right="35"/>
              <w:rPr>
                <w:sz w:val="21"/>
              </w:rPr>
            </w:pPr>
            <w:r>
              <w:rPr>
                <w:sz w:val="21"/>
              </w:rPr>
              <w:t>9.47E-02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6"/>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100"/>
              <w:jc w:val="left"/>
              <w:rPr>
                <w:rFonts w:ascii="宋体" w:eastAsia="宋体" w:hint="eastAsia"/>
                <w:sz w:val="21"/>
              </w:rPr>
            </w:pPr>
            <w:r>
              <w:rPr>
                <w:rFonts w:ascii="宋体" w:eastAsia="宋体" w:hint="eastAsia"/>
                <w:sz w:val="21"/>
              </w:rPr>
              <w:t>规划敏感点 </w:t>
            </w:r>
            <w:r>
              <w:rPr>
                <w:sz w:val="21"/>
              </w:rPr>
              <w:t>1</w:t>
            </w:r>
            <w:r>
              <w:rPr>
                <w:rFonts w:ascii="宋体" w:eastAsia="宋体" w:hint="eastAsia"/>
                <w:sz w:val="21"/>
              </w:rPr>
              <w:t>（</w:t>
            </w:r>
            <w:r>
              <w:rPr>
                <w:sz w:val="21"/>
              </w:rPr>
              <w:t>983,975</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1.02E-01</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嗅阈</w:t>
            </w:r>
          </w:p>
        </w:tc>
      </w:tr>
      <w:tr>
        <w:trPr>
          <w:trHeight w:val="360" w:hRule="atLeast"/>
        </w:trPr>
        <w:tc>
          <w:tcPr>
            <w:tcW w:w="2509" w:type="dxa"/>
            <w:tcBorders>
              <w:top w:val="single" w:sz="6" w:space="0" w:color="000000"/>
              <w:bottom w:val="single" w:sz="6" w:space="0" w:color="000000"/>
              <w:right w:val="single" w:sz="6" w:space="0" w:color="000000"/>
            </w:tcBorders>
          </w:tcPr>
          <w:p>
            <w:pPr>
              <w:pStyle w:val="TableParagraph"/>
              <w:spacing w:before="44"/>
              <w:ind w:left="49"/>
              <w:jc w:val="left"/>
              <w:rPr>
                <w:rFonts w:ascii="宋体" w:eastAsia="宋体" w:hint="eastAsia"/>
                <w:sz w:val="21"/>
              </w:rPr>
            </w:pPr>
            <w:r>
              <w:rPr>
                <w:rFonts w:ascii="宋体" w:eastAsia="宋体" w:hint="eastAsia"/>
                <w:spacing w:val="-10"/>
                <w:sz w:val="21"/>
              </w:rPr>
              <w:t>规划敏感点 </w:t>
            </w:r>
            <w:r>
              <w:rPr>
                <w:sz w:val="21"/>
              </w:rPr>
              <w:t>2</w:t>
            </w:r>
            <w:r>
              <w:rPr>
                <w:rFonts w:ascii="宋体" w:eastAsia="宋体" w:hint="eastAsia"/>
                <w:sz w:val="21"/>
              </w:rPr>
              <w:t>（</w:t>
            </w:r>
            <w:r>
              <w:rPr>
                <w:sz w:val="21"/>
              </w:rPr>
              <w:t>1246,677</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1.01E-01</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嗅阈</w:t>
            </w:r>
          </w:p>
        </w:tc>
      </w:tr>
      <w:tr>
        <w:trPr>
          <w:trHeight w:val="356" w:hRule="atLeast"/>
        </w:trPr>
        <w:tc>
          <w:tcPr>
            <w:tcW w:w="2509" w:type="dxa"/>
            <w:tcBorders>
              <w:top w:val="single" w:sz="6" w:space="0" w:color="000000"/>
              <w:bottom w:val="single" w:sz="6" w:space="0" w:color="000000"/>
              <w:right w:val="single" w:sz="6" w:space="0" w:color="000000"/>
            </w:tcBorders>
          </w:tcPr>
          <w:p>
            <w:pPr>
              <w:pStyle w:val="TableParagraph"/>
              <w:spacing w:before="44"/>
              <w:ind w:left="49"/>
              <w:jc w:val="left"/>
              <w:rPr>
                <w:rFonts w:ascii="宋体" w:eastAsia="宋体" w:hint="eastAsia"/>
                <w:sz w:val="21"/>
              </w:rPr>
            </w:pPr>
            <w:r>
              <w:rPr>
                <w:rFonts w:ascii="宋体" w:eastAsia="宋体" w:hint="eastAsia"/>
                <w:spacing w:val="-10"/>
                <w:sz w:val="21"/>
              </w:rPr>
              <w:t>规划敏感点 </w:t>
            </w:r>
            <w:r>
              <w:rPr>
                <w:sz w:val="21"/>
              </w:rPr>
              <w:t>3</w:t>
            </w:r>
            <w:r>
              <w:rPr>
                <w:rFonts w:ascii="宋体" w:eastAsia="宋体" w:hint="eastAsia"/>
                <w:sz w:val="21"/>
              </w:rPr>
              <w:t>（</w:t>
            </w:r>
            <w:r>
              <w:rPr>
                <w:sz w:val="21"/>
              </w:rPr>
              <w:t>1466,682</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9.74E-02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1.0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8" w:right="117"/>
              <w:rPr>
                <w:rFonts w:ascii="宋体" w:eastAsia="宋体" w:hint="eastAsia"/>
                <w:sz w:val="21"/>
              </w:rPr>
            </w:pPr>
            <w:r>
              <w:rPr>
                <w:rFonts w:ascii="宋体" w:eastAsia="宋体" w:hint="eastAsia"/>
                <w:sz w:val="21"/>
              </w:rPr>
              <w:t>勉强感觉臭味存在（嗅觉阈值）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嗅阈</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6"/>
              <w:ind w:left="49"/>
              <w:jc w:val="left"/>
              <w:rPr>
                <w:rFonts w:ascii="宋体" w:eastAsia="宋体" w:hint="eastAsia"/>
                <w:sz w:val="21"/>
              </w:rPr>
            </w:pPr>
            <w:r>
              <w:rPr>
                <w:rFonts w:ascii="宋体" w:eastAsia="宋体" w:hint="eastAsia"/>
                <w:spacing w:val="-10"/>
                <w:sz w:val="21"/>
              </w:rPr>
              <w:t>规划敏感点 </w:t>
            </w:r>
            <w:r>
              <w:rPr>
                <w:sz w:val="21"/>
              </w:rPr>
              <w:t>4</w:t>
            </w:r>
            <w:r>
              <w:rPr>
                <w:rFonts w:ascii="宋体" w:eastAsia="宋体" w:hint="eastAsia"/>
                <w:sz w:val="21"/>
              </w:rPr>
              <w:t>（</w:t>
            </w:r>
            <w:r>
              <w:rPr>
                <w:sz w:val="21"/>
              </w:rPr>
              <w:t>1819,754</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spacing w:before="60"/>
              <w:ind w:left="64" w:right="35"/>
              <w:rPr>
                <w:sz w:val="21"/>
              </w:rPr>
            </w:pPr>
            <w:r>
              <w:rPr>
                <w:sz w:val="21"/>
              </w:rPr>
              <w:t>9.40E-02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6"/>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13" w:right="-58"/>
              <w:jc w:val="left"/>
              <w:rPr>
                <w:rFonts w:ascii="宋体" w:eastAsia="宋体" w:hint="eastAsia"/>
                <w:sz w:val="21"/>
              </w:rPr>
            </w:pPr>
            <w:r>
              <w:rPr>
                <w:rFonts w:ascii="宋体" w:eastAsia="宋体" w:hint="eastAsia"/>
                <w:spacing w:val="-10"/>
                <w:sz w:val="21"/>
              </w:rPr>
              <w:t>规划敏感点 </w:t>
            </w:r>
            <w:r>
              <w:rPr>
                <w:sz w:val="21"/>
              </w:rPr>
              <w:t>5</w:t>
            </w:r>
            <w:r>
              <w:rPr>
                <w:rFonts w:ascii="宋体" w:eastAsia="宋体" w:hint="eastAsia"/>
                <w:sz w:val="21"/>
              </w:rPr>
              <w:t>（</w:t>
            </w:r>
            <w:r>
              <w:rPr>
                <w:sz w:val="21"/>
              </w:rPr>
              <w:t>1698,1061</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9.52E-02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13" w:right="-58"/>
              <w:jc w:val="left"/>
              <w:rPr>
                <w:rFonts w:ascii="宋体" w:eastAsia="宋体" w:hint="eastAsia"/>
                <w:sz w:val="21"/>
              </w:rPr>
            </w:pPr>
            <w:r>
              <w:rPr>
                <w:rFonts w:ascii="宋体" w:eastAsia="宋体" w:hint="eastAsia"/>
                <w:spacing w:val="-10"/>
                <w:sz w:val="21"/>
              </w:rPr>
              <w:t>规划敏感点 </w:t>
            </w:r>
            <w:r>
              <w:rPr>
                <w:sz w:val="21"/>
              </w:rPr>
              <w:t>6</w:t>
            </w:r>
            <w:r>
              <w:rPr>
                <w:rFonts w:ascii="宋体" w:eastAsia="宋体" w:hint="eastAsia"/>
                <w:sz w:val="21"/>
              </w:rPr>
              <w:t>（</w:t>
            </w:r>
            <w:r>
              <w:rPr>
                <w:sz w:val="21"/>
              </w:rPr>
              <w:t>1573,1393</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9.34E-02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6" w:hRule="atLeast"/>
        </w:trPr>
        <w:tc>
          <w:tcPr>
            <w:tcW w:w="2509" w:type="dxa"/>
            <w:tcBorders>
              <w:top w:val="single" w:sz="6" w:space="0" w:color="000000"/>
              <w:bottom w:val="single" w:sz="6" w:space="0" w:color="000000"/>
              <w:right w:val="single" w:sz="6" w:space="0" w:color="000000"/>
            </w:tcBorders>
          </w:tcPr>
          <w:p>
            <w:pPr>
              <w:pStyle w:val="TableParagraph"/>
              <w:spacing w:before="44"/>
              <w:ind w:left="13" w:right="-58"/>
              <w:jc w:val="left"/>
              <w:rPr>
                <w:rFonts w:ascii="宋体" w:eastAsia="宋体" w:hint="eastAsia"/>
                <w:sz w:val="21"/>
              </w:rPr>
            </w:pPr>
            <w:r>
              <w:rPr>
                <w:rFonts w:ascii="宋体" w:eastAsia="宋体" w:hint="eastAsia"/>
                <w:spacing w:val="-10"/>
                <w:sz w:val="21"/>
              </w:rPr>
              <w:t>规划敏感点 </w:t>
            </w:r>
            <w:r>
              <w:rPr>
                <w:sz w:val="21"/>
              </w:rPr>
              <w:t>7</w:t>
            </w:r>
            <w:r>
              <w:rPr>
                <w:rFonts w:ascii="宋体" w:eastAsia="宋体" w:hint="eastAsia"/>
                <w:sz w:val="21"/>
              </w:rPr>
              <w:t>（</w:t>
            </w:r>
            <w:r>
              <w:rPr>
                <w:sz w:val="21"/>
              </w:rPr>
              <w:t>2059,1095</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9.14E-02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6"/>
              <w:ind w:left="13" w:right="-58"/>
              <w:jc w:val="left"/>
              <w:rPr>
                <w:rFonts w:ascii="宋体" w:eastAsia="宋体" w:hint="eastAsia"/>
                <w:sz w:val="21"/>
              </w:rPr>
            </w:pPr>
            <w:r>
              <w:rPr>
                <w:rFonts w:ascii="宋体" w:eastAsia="宋体" w:hint="eastAsia"/>
                <w:spacing w:val="-10"/>
                <w:sz w:val="21"/>
              </w:rPr>
              <w:t>规划敏感点 </w:t>
            </w:r>
            <w:r>
              <w:rPr>
                <w:sz w:val="21"/>
              </w:rPr>
              <w:t>8</w:t>
            </w:r>
            <w:r>
              <w:rPr>
                <w:rFonts w:ascii="宋体" w:eastAsia="宋体" w:hint="eastAsia"/>
                <w:sz w:val="21"/>
              </w:rPr>
              <w:t>（</w:t>
            </w:r>
            <w:r>
              <w:rPr>
                <w:sz w:val="21"/>
              </w:rPr>
              <w:t>1977,1422</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spacing w:before="60"/>
              <w:ind w:left="64" w:right="35"/>
              <w:rPr>
                <w:sz w:val="21"/>
              </w:rPr>
            </w:pPr>
            <w:r>
              <w:rPr>
                <w:sz w:val="21"/>
              </w:rPr>
              <w:t>9.15E-02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6"/>
              <w:ind w:left="35" w:right="13"/>
              <w:rPr>
                <w:rFonts w:ascii="宋体" w:eastAsia="宋体" w:hint="eastAsia"/>
                <w:sz w:val="21"/>
              </w:rPr>
            </w:pPr>
            <w:r>
              <w:rPr>
                <w:rFonts w:ascii="宋体" w:eastAsia="宋体" w:hint="eastAsia"/>
                <w:sz w:val="21"/>
              </w:rPr>
              <w:t>无气味</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13" w:right="-44"/>
              <w:jc w:val="left"/>
              <w:rPr>
                <w:rFonts w:ascii="宋体" w:eastAsia="宋体" w:hint="eastAsia"/>
                <w:sz w:val="21"/>
              </w:rPr>
            </w:pPr>
            <w:r>
              <w:rPr>
                <w:rFonts w:ascii="宋体" w:eastAsia="宋体" w:hint="eastAsia"/>
                <w:spacing w:val="-9"/>
                <w:sz w:val="21"/>
              </w:rPr>
              <w:t>规划敏感点 </w:t>
            </w:r>
            <w:r>
              <w:rPr>
                <w:spacing w:val="-3"/>
                <w:sz w:val="21"/>
              </w:rPr>
              <w:t>9</w:t>
            </w:r>
            <w:r>
              <w:rPr>
                <w:rFonts w:ascii="宋体" w:eastAsia="宋体" w:hint="eastAsia"/>
                <w:spacing w:val="-3"/>
                <w:sz w:val="21"/>
              </w:rPr>
              <w:t>（</w:t>
            </w:r>
            <w:r>
              <w:rPr>
                <w:spacing w:val="-3"/>
                <w:sz w:val="21"/>
              </w:rPr>
              <w:t>1126,2099</w:t>
            </w:r>
            <w:r>
              <w:rPr>
                <w:rFonts w:ascii="宋体" w:eastAsia="宋体" w:hint="eastAsia"/>
                <w:spacing w:val="-3"/>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9.14E-02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6" w:hRule="atLeast"/>
        </w:trPr>
        <w:tc>
          <w:tcPr>
            <w:tcW w:w="2509" w:type="dxa"/>
            <w:tcBorders>
              <w:top w:val="single" w:sz="6" w:space="0" w:color="000000"/>
              <w:right w:val="single" w:sz="6" w:space="0" w:color="000000"/>
            </w:tcBorders>
          </w:tcPr>
          <w:p>
            <w:pPr>
              <w:pStyle w:val="TableParagraph"/>
              <w:spacing w:before="44"/>
              <w:ind w:left="13"/>
              <w:jc w:val="left"/>
              <w:rPr>
                <w:sz w:val="21"/>
              </w:rPr>
            </w:pPr>
            <w:r>
              <w:rPr>
                <w:rFonts w:ascii="宋体" w:eastAsia="宋体" w:hint="eastAsia"/>
                <w:sz w:val="21"/>
              </w:rPr>
              <w:t>规划敏感点 </w:t>
            </w:r>
            <w:r>
              <w:rPr>
                <w:sz w:val="21"/>
              </w:rPr>
              <w:t>10</w:t>
            </w:r>
            <w:r>
              <w:rPr>
                <w:rFonts w:ascii="宋体" w:eastAsia="宋体" w:hint="eastAsia"/>
                <w:sz w:val="21"/>
              </w:rPr>
              <w:t>（</w:t>
            </w:r>
            <w:r>
              <w:rPr>
                <w:sz w:val="21"/>
              </w:rPr>
              <w:t>1162,2463</w:t>
            </w:r>
          </w:p>
        </w:tc>
        <w:tc>
          <w:tcPr>
            <w:tcW w:w="1587" w:type="dxa"/>
            <w:tcBorders>
              <w:top w:val="single" w:sz="6" w:space="0" w:color="000000"/>
              <w:left w:val="single" w:sz="6" w:space="0" w:color="000000"/>
              <w:right w:val="single" w:sz="6" w:space="0" w:color="000000"/>
            </w:tcBorders>
          </w:tcPr>
          <w:p>
            <w:pPr>
              <w:pStyle w:val="TableParagraph"/>
              <w:ind w:left="64" w:right="35"/>
              <w:rPr>
                <w:sz w:val="21"/>
              </w:rPr>
            </w:pPr>
            <w:r>
              <w:rPr>
                <w:sz w:val="21"/>
              </w:rPr>
              <w:t>8.92E-02</w:t>
            </w:r>
          </w:p>
        </w:tc>
        <w:tc>
          <w:tcPr>
            <w:tcW w:w="947" w:type="dxa"/>
            <w:tcBorders>
              <w:top w:val="single" w:sz="6" w:space="0" w:color="000000"/>
              <w:left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bl>
    <w:p>
      <w:pPr>
        <w:spacing w:after="0"/>
        <w:rPr>
          <w:rFonts w:ascii="宋体" w:eastAsia="宋体" w:hint="eastAsia"/>
          <w:sz w:val="21"/>
        </w:rPr>
        <w:sectPr>
          <w:pgSz w:w="11910" w:h="16840"/>
          <w:pgMar w:header="874" w:footer="1004" w:top="1420" w:bottom="1200" w:left="1040" w:right="1160"/>
        </w:sectPr>
      </w:pPr>
    </w:p>
    <w:tbl>
      <w:tblPr>
        <w:tblW w:w="0" w:type="auto"/>
        <w:jc w:val="left"/>
        <w:tblInd w:w="2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09"/>
        <w:gridCol w:w="1587"/>
        <w:gridCol w:w="947"/>
        <w:gridCol w:w="3251"/>
        <w:gridCol w:w="954"/>
      </w:tblGrid>
      <w:tr>
        <w:trPr>
          <w:trHeight w:val="359" w:hRule="atLeast"/>
        </w:trPr>
        <w:tc>
          <w:tcPr>
            <w:tcW w:w="2509" w:type="dxa"/>
            <w:tcBorders>
              <w:bottom w:val="single" w:sz="6" w:space="0" w:color="000000"/>
              <w:right w:val="single" w:sz="6" w:space="0" w:color="000000"/>
            </w:tcBorders>
          </w:tcPr>
          <w:p>
            <w:pPr>
              <w:pStyle w:val="TableParagraph"/>
              <w:spacing w:before="46"/>
              <w:ind w:left="35" w:right="8"/>
              <w:rPr>
                <w:rFonts w:ascii="宋体" w:eastAsia="宋体" w:hint="eastAsia"/>
                <w:b/>
                <w:sz w:val="21"/>
              </w:rPr>
            </w:pPr>
            <w:r>
              <w:rPr>
                <w:rFonts w:ascii="宋体" w:eastAsia="宋体" w:hint="eastAsia"/>
                <w:b/>
                <w:sz w:val="21"/>
              </w:rPr>
              <w:t>点位</w:t>
            </w:r>
          </w:p>
        </w:tc>
        <w:tc>
          <w:tcPr>
            <w:tcW w:w="1587" w:type="dxa"/>
            <w:tcBorders>
              <w:left w:val="single" w:sz="6" w:space="0" w:color="000000"/>
              <w:bottom w:val="single" w:sz="6" w:space="0" w:color="000000"/>
              <w:right w:val="single" w:sz="6" w:space="0" w:color="000000"/>
            </w:tcBorders>
          </w:tcPr>
          <w:p>
            <w:pPr>
              <w:pStyle w:val="TableParagraph"/>
              <w:spacing w:before="46"/>
              <w:ind w:left="64" w:right="40"/>
              <w:rPr>
                <w:rFonts w:ascii="宋体" w:eastAsia="宋体" w:hint="eastAsia"/>
                <w:b/>
                <w:sz w:val="21"/>
              </w:rPr>
            </w:pPr>
            <w:r>
              <w:rPr>
                <w:rFonts w:ascii="宋体" w:eastAsia="宋体" w:hint="eastAsia"/>
                <w:b/>
                <w:sz w:val="21"/>
              </w:rPr>
              <w:t>浓度（</w:t>
            </w:r>
            <w:r>
              <w:rPr>
                <w:b/>
                <w:sz w:val="21"/>
              </w:rPr>
              <w:t>mg/m</w:t>
            </w:r>
            <w:r>
              <w:rPr>
                <w:b/>
                <w:position w:val="7"/>
                <w:sz w:val="14"/>
              </w:rPr>
              <w:t>3</w:t>
            </w:r>
            <w:r>
              <w:rPr>
                <w:rFonts w:ascii="宋体" w:eastAsia="宋体" w:hint="eastAsia"/>
                <w:b/>
                <w:sz w:val="21"/>
              </w:rPr>
              <w:t>）</w:t>
            </w:r>
          </w:p>
        </w:tc>
        <w:tc>
          <w:tcPr>
            <w:tcW w:w="947" w:type="dxa"/>
            <w:tcBorders>
              <w:left w:val="single" w:sz="6" w:space="0" w:color="000000"/>
              <w:bottom w:val="single" w:sz="6" w:space="0" w:color="000000"/>
              <w:right w:val="single" w:sz="6" w:space="0" w:color="000000"/>
            </w:tcBorders>
          </w:tcPr>
          <w:p>
            <w:pPr>
              <w:pStyle w:val="TableParagraph"/>
              <w:spacing w:before="46"/>
              <w:ind w:left="36" w:right="11"/>
              <w:rPr>
                <w:rFonts w:ascii="宋体" w:eastAsia="宋体" w:hint="eastAsia"/>
                <w:b/>
                <w:sz w:val="21"/>
              </w:rPr>
            </w:pPr>
            <w:r>
              <w:rPr>
                <w:rFonts w:ascii="宋体" w:eastAsia="宋体" w:hint="eastAsia"/>
                <w:b/>
                <w:sz w:val="21"/>
              </w:rPr>
              <w:t>恶臭强度</w:t>
            </w:r>
          </w:p>
        </w:tc>
        <w:tc>
          <w:tcPr>
            <w:tcW w:w="3251" w:type="dxa"/>
            <w:tcBorders>
              <w:left w:val="single" w:sz="6" w:space="0" w:color="000000"/>
              <w:bottom w:val="single" w:sz="6" w:space="0" w:color="000000"/>
              <w:right w:val="single" w:sz="6" w:space="0" w:color="000000"/>
            </w:tcBorders>
          </w:tcPr>
          <w:p>
            <w:pPr>
              <w:pStyle w:val="TableParagraph"/>
              <w:spacing w:before="46"/>
              <w:ind w:left="136" w:right="117"/>
              <w:rPr>
                <w:rFonts w:ascii="宋体" w:eastAsia="宋体" w:hint="eastAsia"/>
                <w:b/>
                <w:sz w:val="21"/>
              </w:rPr>
            </w:pPr>
            <w:r>
              <w:rPr>
                <w:rFonts w:ascii="宋体" w:eastAsia="宋体" w:hint="eastAsia"/>
                <w:b/>
                <w:sz w:val="21"/>
              </w:rPr>
              <w:t>感觉</w:t>
            </w:r>
          </w:p>
        </w:tc>
        <w:tc>
          <w:tcPr>
            <w:tcW w:w="954" w:type="dxa"/>
            <w:tcBorders>
              <w:left w:val="single" w:sz="6" w:space="0" w:color="000000"/>
              <w:bottom w:val="single" w:sz="6" w:space="0" w:color="000000"/>
            </w:tcBorders>
          </w:tcPr>
          <w:p>
            <w:pPr>
              <w:pStyle w:val="TableParagraph"/>
              <w:spacing w:before="46"/>
              <w:ind w:left="35" w:right="13"/>
              <w:rPr>
                <w:rFonts w:ascii="宋体" w:eastAsia="宋体" w:hint="eastAsia"/>
                <w:b/>
                <w:sz w:val="21"/>
              </w:rPr>
            </w:pPr>
            <w:r>
              <w:rPr>
                <w:rFonts w:ascii="宋体" w:eastAsia="宋体" w:hint="eastAsia"/>
                <w:b/>
                <w:sz w:val="21"/>
              </w:rPr>
              <w:t>臭气强度</w:t>
            </w:r>
          </w:p>
        </w:tc>
      </w:tr>
      <w:tr>
        <w:trPr>
          <w:trHeight w:val="359" w:hRule="atLeast"/>
        </w:trPr>
        <w:tc>
          <w:tcPr>
            <w:tcW w:w="2509" w:type="dxa"/>
            <w:tcBorders>
              <w:top w:val="single" w:sz="6" w:space="0" w:color="000000"/>
              <w:bottom w:val="single" w:sz="6" w:space="0" w:color="000000"/>
              <w:right w:val="single" w:sz="6" w:space="0" w:color="000000"/>
            </w:tcBorders>
          </w:tcPr>
          <w:p>
            <w:pPr>
              <w:pStyle w:val="TableParagraph"/>
              <w:spacing w:before="44"/>
              <w:ind w:left="36" w:right="8"/>
              <w:rPr>
                <w:rFonts w:ascii="宋体" w:eastAsia="宋体" w:hint="eastAsia"/>
                <w:sz w:val="21"/>
              </w:rPr>
            </w:pPr>
            <w:r>
              <w:rPr>
                <w:rFonts w:ascii="宋体" w:eastAsia="宋体" w:hint="eastAsia"/>
                <w:spacing w:val="-11"/>
                <w:sz w:val="21"/>
              </w:rPr>
              <w:t>规划敏感点 </w:t>
            </w:r>
            <w:r>
              <w:rPr>
                <w:sz w:val="21"/>
              </w:rPr>
              <w:t>11</w:t>
            </w:r>
            <w:r>
              <w:rPr>
                <w:rFonts w:ascii="宋体" w:eastAsia="宋体" w:hint="eastAsia"/>
                <w:sz w:val="21"/>
              </w:rPr>
              <w:t>（</w:t>
            </w:r>
            <w:r>
              <w:rPr>
                <w:sz w:val="21"/>
              </w:rPr>
              <w:t>33,2313</w:t>
            </w:r>
            <w:r>
              <w:rPr>
                <w:rFonts w:ascii="宋体" w:eastAsia="宋体" w:hint="eastAsia"/>
                <w:sz w:val="21"/>
              </w:rPr>
              <w:t>）</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9.34E-02</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0.9</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6" w:right="117"/>
              <w:rPr>
                <w:rFonts w:ascii="宋体" w:eastAsia="宋体" w:hint="eastAsia"/>
                <w:sz w:val="21"/>
              </w:rPr>
            </w:pPr>
            <w:r>
              <w:rPr>
                <w:rFonts w:ascii="宋体" w:eastAsia="宋体" w:hint="eastAsia"/>
                <w:sz w:val="21"/>
              </w:rPr>
              <w:t>无臭</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无气味</w:t>
            </w:r>
          </w:p>
        </w:tc>
      </w:tr>
      <w:tr>
        <w:trPr>
          <w:trHeight w:val="357" w:hRule="atLeast"/>
        </w:trPr>
        <w:tc>
          <w:tcPr>
            <w:tcW w:w="2509" w:type="dxa"/>
            <w:tcBorders>
              <w:top w:val="single" w:sz="6" w:space="0" w:color="000000"/>
              <w:bottom w:val="single" w:sz="6" w:space="0" w:color="000000"/>
              <w:right w:val="single" w:sz="6" w:space="0" w:color="000000"/>
            </w:tcBorders>
          </w:tcPr>
          <w:p>
            <w:pPr>
              <w:pStyle w:val="TableParagraph"/>
              <w:spacing w:before="44"/>
              <w:ind w:left="141" w:right="8"/>
              <w:rPr>
                <w:rFonts w:ascii="宋体" w:eastAsia="宋体" w:hint="eastAsia"/>
                <w:sz w:val="21"/>
              </w:rPr>
            </w:pPr>
            <w:r>
              <w:rPr>
                <w:rFonts w:ascii="宋体" w:eastAsia="宋体" w:hint="eastAsia"/>
                <w:sz w:val="21"/>
              </w:rPr>
              <w:t>网格（</w:t>
            </w:r>
            <w:r>
              <w:rPr>
                <w:sz w:val="21"/>
              </w:rPr>
              <w:t>-50,150</w:t>
            </w:r>
            <w:r>
              <w:rPr>
                <w:rFonts w:ascii="宋体" w:eastAsia="宋体" w:hint="eastAsia"/>
                <w:sz w:val="21"/>
              </w:rPr>
              <w:t>） </w:t>
            </w:r>
          </w:p>
        </w:tc>
        <w:tc>
          <w:tcPr>
            <w:tcW w:w="1587" w:type="dxa"/>
            <w:tcBorders>
              <w:top w:val="single" w:sz="6" w:space="0" w:color="000000"/>
              <w:left w:val="single" w:sz="6" w:space="0" w:color="000000"/>
              <w:bottom w:val="single" w:sz="6" w:space="0" w:color="000000"/>
              <w:right w:val="single" w:sz="6" w:space="0" w:color="000000"/>
            </w:tcBorders>
          </w:tcPr>
          <w:p>
            <w:pPr>
              <w:pStyle w:val="TableParagraph"/>
              <w:ind w:left="64" w:right="35"/>
              <w:rPr>
                <w:sz w:val="21"/>
              </w:rPr>
            </w:pPr>
            <w:r>
              <w:rPr>
                <w:sz w:val="21"/>
              </w:rPr>
              <w:t>4.46E-01</w:t>
            </w:r>
          </w:p>
        </w:tc>
        <w:tc>
          <w:tcPr>
            <w:tcW w:w="947" w:type="dxa"/>
            <w:tcBorders>
              <w:top w:val="single" w:sz="6" w:space="0" w:color="000000"/>
              <w:left w:val="single" w:sz="6" w:space="0" w:color="000000"/>
              <w:bottom w:val="single" w:sz="6" w:space="0" w:color="000000"/>
              <w:right w:val="single" w:sz="6" w:space="0" w:color="000000"/>
            </w:tcBorders>
          </w:tcPr>
          <w:p>
            <w:pPr>
              <w:pStyle w:val="TableParagraph"/>
              <w:ind w:left="36" w:right="10"/>
              <w:rPr>
                <w:sz w:val="21"/>
              </w:rPr>
            </w:pPr>
            <w:r>
              <w:rPr>
                <w:sz w:val="21"/>
              </w:rPr>
              <w:t>2.0</w:t>
            </w:r>
          </w:p>
        </w:tc>
        <w:tc>
          <w:tcPr>
            <w:tcW w:w="3251" w:type="dxa"/>
            <w:tcBorders>
              <w:top w:val="single" w:sz="6" w:space="0" w:color="000000"/>
              <w:left w:val="single" w:sz="6" w:space="0" w:color="000000"/>
              <w:bottom w:val="single" w:sz="6" w:space="0" w:color="000000"/>
              <w:right w:val="single" w:sz="6" w:space="0" w:color="000000"/>
            </w:tcBorders>
          </w:tcPr>
          <w:p>
            <w:pPr>
              <w:pStyle w:val="TableParagraph"/>
              <w:spacing w:before="44"/>
              <w:ind w:left="133" w:right="117"/>
              <w:rPr>
                <w:rFonts w:ascii="宋体" w:eastAsia="宋体" w:hint="eastAsia"/>
                <w:sz w:val="21"/>
              </w:rPr>
            </w:pPr>
            <w:r>
              <w:rPr>
                <w:rFonts w:ascii="宋体" w:eastAsia="宋体" w:hint="eastAsia"/>
                <w:sz w:val="21"/>
              </w:rPr>
              <w:t>确认臭味存在（认知阈值）</w:t>
            </w:r>
          </w:p>
        </w:tc>
        <w:tc>
          <w:tcPr>
            <w:tcW w:w="954" w:type="dxa"/>
            <w:tcBorders>
              <w:top w:val="single" w:sz="6" w:space="0" w:color="000000"/>
              <w:left w:val="single" w:sz="6" w:space="0" w:color="000000"/>
              <w:bottom w:val="single" w:sz="6" w:space="0" w:color="000000"/>
            </w:tcBorders>
          </w:tcPr>
          <w:p>
            <w:pPr>
              <w:pStyle w:val="TableParagraph"/>
              <w:spacing w:before="44"/>
              <w:ind w:left="35" w:right="13"/>
              <w:rPr>
                <w:rFonts w:ascii="宋体" w:eastAsia="宋体" w:hint="eastAsia"/>
                <w:sz w:val="21"/>
              </w:rPr>
            </w:pPr>
            <w:r>
              <w:rPr>
                <w:rFonts w:ascii="宋体" w:eastAsia="宋体" w:hint="eastAsia"/>
                <w:sz w:val="21"/>
              </w:rPr>
              <w:t>轻微</w:t>
            </w:r>
          </w:p>
        </w:tc>
      </w:tr>
      <w:tr>
        <w:trPr>
          <w:trHeight w:val="359" w:hRule="atLeast"/>
        </w:trPr>
        <w:tc>
          <w:tcPr>
            <w:tcW w:w="2509" w:type="dxa"/>
            <w:tcBorders>
              <w:top w:val="single" w:sz="6" w:space="0" w:color="000000"/>
              <w:right w:val="single" w:sz="6" w:space="0" w:color="000000"/>
            </w:tcBorders>
          </w:tcPr>
          <w:p>
            <w:pPr>
              <w:pStyle w:val="TableParagraph"/>
              <w:spacing w:before="46"/>
              <w:ind w:left="141" w:right="8"/>
              <w:rPr>
                <w:rFonts w:ascii="宋体" w:eastAsia="宋体" w:hint="eastAsia"/>
                <w:sz w:val="21"/>
              </w:rPr>
            </w:pPr>
            <w:r>
              <w:rPr>
                <w:rFonts w:ascii="宋体" w:eastAsia="宋体" w:hint="eastAsia"/>
                <w:sz w:val="21"/>
              </w:rPr>
              <w:t>厂界（</w:t>
            </w:r>
            <w:r>
              <w:rPr>
                <w:sz w:val="21"/>
              </w:rPr>
              <w:t>-83,140</w:t>
            </w:r>
            <w:r>
              <w:rPr>
                <w:rFonts w:ascii="宋体" w:eastAsia="宋体" w:hint="eastAsia"/>
                <w:sz w:val="21"/>
              </w:rPr>
              <w:t>） </w:t>
            </w:r>
          </w:p>
        </w:tc>
        <w:tc>
          <w:tcPr>
            <w:tcW w:w="1587" w:type="dxa"/>
            <w:tcBorders>
              <w:top w:val="single" w:sz="6" w:space="0" w:color="000000"/>
              <w:left w:val="single" w:sz="6" w:space="0" w:color="000000"/>
              <w:right w:val="single" w:sz="6" w:space="0" w:color="000000"/>
            </w:tcBorders>
          </w:tcPr>
          <w:p>
            <w:pPr>
              <w:pStyle w:val="TableParagraph"/>
              <w:spacing w:before="60"/>
              <w:ind w:left="64" w:right="35"/>
              <w:rPr>
                <w:sz w:val="21"/>
              </w:rPr>
            </w:pPr>
            <w:r>
              <w:rPr>
                <w:sz w:val="21"/>
              </w:rPr>
              <w:t>9.14E-01</w:t>
            </w:r>
          </w:p>
        </w:tc>
        <w:tc>
          <w:tcPr>
            <w:tcW w:w="947" w:type="dxa"/>
            <w:tcBorders>
              <w:top w:val="single" w:sz="6" w:space="0" w:color="000000"/>
              <w:left w:val="single" w:sz="6" w:space="0" w:color="000000"/>
              <w:right w:val="single" w:sz="6" w:space="0" w:color="000000"/>
            </w:tcBorders>
          </w:tcPr>
          <w:p>
            <w:pPr>
              <w:pStyle w:val="TableParagraph"/>
              <w:ind w:left="36" w:right="10"/>
              <w:rPr>
                <w:sz w:val="21"/>
              </w:rPr>
            </w:pPr>
            <w:r>
              <w:rPr>
                <w:sz w:val="21"/>
              </w:rPr>
              <w:t>2.4</w:t>
            </w:r>
          </w:p>
        </w:tc>
        <w:tc>
          <w:tcPr>
            <w:tcW w:w="3251" w:type="dxa"/>
            <w:tcBorders>
              <w:top w:val="single" w:sz="6" w:space="0" w:color="000000"/>
              <w:left w:val="single" w:sz="6" w:space="0" w:color="000000"/>
              <w:right w:val="single" w:sz="6" w:space="0" w:color="000000"/>
            </w:tcBorders>
          </w:tcPr>
          <w:p>
            <w:pPr>
              <w:pStyle w:val="TableParagraph"/>
              <w:spacing w:before="46"/>
              <w:ind w:left="133" w:right="117"/>
              <w:rPr>
                <w:rFonts w:ascii="宋体" w:eastAsia="宋体" w:hint="eastAsia"/>
                <w:sz w:val="21"/>
              </w:rPr>
            </w:pPr>
            <w:r>
              <w:rPr>
                <w:rFonts w:ascii="宋体" w:eastAsia="宋体" w:hint="eastAsia"/>
                <w:sz w:val="21"/>
              </w:rPr>
              <w:t>确认臭味存在（认知阈值）</w:t>
            </w:r>
          </w:p>
        </w:tc>
        <w:tc>
          <w:tcPr>
            <w:tcW w:w="954" w:type="dxa"/>
            <w:tcBorders>
              <w:top w:val="single" w:sz="6" w:space="0" w:color="000000"/>
              <w:left w:val="single" w:sz="6" w:space="0" w:color="000000"/>
            </w:tcBorders>
          </w:tcPr>
          <w:p>
            <w:pPr>
              <w:pStyle w:val="TableParagraph"/>
              <w:spacing w:before="46"/>
              <w:ind w:left="35" w:right="13"/>
              <w:rPr>
                <w:rFonts w:ascii="宋体" w:eastAsia="宋体" w:hint="eastAsia"/>
                <w:sz w:val="21"/>
              </w:rPr>
            </w:pPr>
            <w:r>
              <w:rPr>
                <w:rFonts w:ascii="宋体" w:eastAsia="宋体" w:hint="eastAsia"/>
                <w:sz w:val="21"/>
              </w:rPr>
              <w:t>轻微</w:t>
            </w:r>
          </w:p>
        </w:tc>
      </w:tr>
    </w:tbl>
    <w:p>
      <w:pPr>
        <w:spacing w:before="39" w:after="23"/>
        <w:ind w:left="221" w:right="236" w:firstLine="0"/>
        <w:jc w:val="center"/>
        <w:rPr>
          <w:b/>
          <w:sz w:val="24"/>
        </w:rPr>
      </w:pPr>
      <w:r>
        <w:rPr>
          <w:b/>
          <w:sz w:val="24"/>
        </w:rPr>
        <w:t>表 </w:t>
      </w:r>
      <w:r>
        <w:rPr>
          <w:rFonts w:ascii="Times New Roman" w:eastAsia="Times New Roman"/>
          <w:b/>
          <w:sz w:val="24"/>
        </w:rPr>
        <w:t>5.2-30  </w:t>
      </w:r>
      <w:r>
        <w:rPr>
          <w:b/>
          <w:sz w:val="24"/>
        </w:rPr>
        <w:t>硫化氢恶臭评价</w:t>
      </w:r>
    </w:p>
    <w:tbl>
      <w:tblPr>
        <w:tblW w:w="0" w:type="auto"/>
        <w:jc w:val="left"/>
        <w:tblInd w:w="2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785"/>
        <w:gridCol w:w="1520"/>
        <w:gridCol w:w="905"/>
        <w:gridCol w:w="3118"/>
        <w:gridCol w:w="915"/>
      </w:tblGrid>
      <w:tr>
        <w:trPr>
          <w:trHeight w:val="359" w:hRule="atLeast"/>
        </w:trPr>
        <w:tc>
          <w:tcPr>
            <w:tcW w:w="2785" w:type="dxa"/>
            <w:tcBorders>
              <w:bottom w:val="single" w:sz="6" w:space="0" w:color="000000"/>
              <w:right w:val="single" w:sz="6" w:space="0" w:color="000000"/>
            </w:tcBorders>
          </w:tcPr>
          <w:p>
            <w:pPr>
              <w:pStyle w:val="TableParagraph"/>
              <w:spacing w:before="46"/>
              <w:ind w:left="1164" w:right="1135"/>
              <w:rPr>
                <w:rFonts w:ascii="宋体" w:eastAsia="宋体" w:hint="eastAsia"/>
                <w:b/>
                <w:sz w:val="21"/>
              </w:rPr>
            </w:pPr>
            <w:r>
              <w:rPr>
                <w:rFonts w:ascii="宋体" w:eastAsia="宋体" w:hint="eastAsia"/>
                <w:b/>
                <w:sz w:val="21"/>
              </w:rPr>
              <w:t>点位</w:t>
            </w:r>
          </w:p>
        </w:tc>
        <w:tc>
          <w:tcPr>
            <w:tcW w:w="1520" w:type="dxa"/>
            <w:tcBorders>
              <w:left w:val="single" w:sz="6" w:space="0" w:color="000000"/>
              <w:bottom w:val="single" w:sz="6" w:space="0" w:color="000000"/>
              <w:right w:val="single" w:sz="6" w:space="0" w:color="000000"/>
            </w:tcBorders>
          </w:tcPr>
          <w:p>
            <w:pPr>
              <w:pStyle w:val="TableParagraph"/>
              <w:spacing w:before="46"/>
              <w:ind w:left="31" w:right="7"/>
              <w:rPr>
                <w:rFonts w:ascii="宋体" w:eastAsia="宋体" w:hint="eastAsia"/>
                <w:b/>
                <w:sz w:val="21"/>
              </w:rPr>
            </w:pPr>
            <w:r>
              <w:rPr>
                <w:rFonts w:ascii="宋体" w:eastAsia="宋体" w:hint="eastAsia"/>
                <w:b/>
                <w:sz w:val="21"/>
              </w:rPr>
              <w:t>浓度（</w:t>
            </w:r>
            <w:r>
              <w:rPr>
                <w:b/>
                <w:sz w:val="21"/>
              </w:rPr>
              <w:t>mg/m</w:t>
            </w:r>
            <w:r>
              <w:rPr>
                <w:b/>
                <w:position w:val="7"/>
                <w:sz w:val="14"/>
              </w:rPr>
              <w:t>3</w:t>
            </w:r>
            <w:r>
              <w:rPr>
                <w:rFonts w:ascii="宋体" w:eastAsia="宋体" w:hint="eastAsia"/>
                <w:b/>
                <w:sz w:val="21"/>
              </w:rPr>
              <w:t>）</w:t>
            </w:r>
          </w:p>
        </w:tc>
        <w:tc>
          <w:tcPr>
            <w:tcW w:w="905" w:type="dxa"/>
            <w:tcBorders>
              <w:left w:val="single" w:sz="6" w:space="0" w:color="000000"/>
              <w:bottom w:val="single" w:sz="6" w:space="0" w:color="000000"/>
              <w:right w:val="single" w:sz="6" w:space="0" w:color="000000"/>
            </w:tcBorders>
          </w:tcPr>
          <w:p>
            <w:pPr>
              <w:pStyle w:val="TableParagraph"/>
              <w:spacing w:before="46"/>
              <w:ind w:left="24"/>
              <w:rPr>
                <w:rFonts w:ascii="宋体" w:eastAsia="宋体" w:hint="eastAsia"/>
                <w:b/>
                <w:sz w:val="21"/>
              </w:rPr>
            </w:pPr>
            <w:r>
              <w:rPr>
                <w:rFonts w:ascii="宋体" w:eastAsia="宋体" w:hint="eastAsia"/>
                <w:b/>
                <w:sz w:val="21"/>
              </w:rPr>
              <w:t>恶臭强度</w:t>
            </w:r>
          </w:p>
        </w:tc>
        <w:tc>
          <w:tcPr>
            <w:tcW w:w="3118" w:type="dxa"/>
            <w:tcBorders>
              <w:left w:val="single" w:sz="6" w:space="0" w:color="000000"/>
              <w:bottom w:val="single" w:sz="6" w:space="0" w:color="000000"/>
              <w:right w:val="single" w:sz="6" w:space="0" w:color="000000"/>
            </w:tcBorders>
          </w:tcPr>
          <w:p>
            <w:pPr>
              <w:pStyle w:val="TableParagraph"/>
              <w:spacing w:before="46"/>
              <w:ind w:left="73" w:right="48"/>
              <w:rPr>
                <w:rFonts w:ascii="宋体" w:eastAsia="宋体" w:hint="eastAsia"/>
                <w:b/>
                <w:sz w:val="21"/>
              </w:rPr>
            </w:pPr>
            <w:r>
              <w:rPr>
                <w:rFonts w:ascii="宋体" w:eastAsia="宋体" w:hint="eastAsia"/>
                <w:b/>
                <w:sz w:val="21"/>
              </w:rPr>
              <w:t>感觉</w:t>
            </w:r>
          </w:p>
        </w:tc>
        <w:tc>
          <w:tcPr>
            <w:tcW w:w="915" w:type="dxa"/>
            <w:tcBorders>
              <w:left w:val="single" w:sz="6" w:space="0" w:color="000000"/>
              <w:bottom w:val="single" w:sz="6" w:space="0" w:color="000000"/>
            </w:tcBorders>
          </w:tcPr>
          <w:p>
            <w:pPr>
              <w:pStyle w:val="TableParagraph"/>
              <w:spacing w:before="46"/>
              <w:ind w:left="26"/>
              <w:rPr>
                <w:rFonts w:ascii="宋体" w:eastAsia="宋体" w:hint="eastAsia"/>
                <w:b/>
                <w:sz w:val="21"/>
              </w:rPr>
            </w:pPr>
            <w:r>
              <w:rPr>
                <w:rFonts w:ascii="宋体" w:eastAsia="宋体" w:hint="eastAsia"/>
                <w:b/>
                <w:sz w:val="21"/>
              </w:rPr>
              <w:t>臭气强度</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635"/>
              <w:jc w:val="left"/>
              <w:rPr>
                <w:rFonts w:ascii="宋体" w:eastAsia="宋体" w:hint="eastAsia"/>
                <w:sz w:val="21"/>
              </w:rPr>
            </w:pPr>
            <w:r>
              <w:rPr>
                <w:rFonts w:ascii="宋体" w:eastAsia="宋体" w:hint="eastAsia"/>
                <w:sz w:val="21"/>
              </w:rPr>
              <w:t>丰一（</w:t>
            </w:r>
            <w:r>
              <w:rPr>
                <w:sz w:val="21"/>
              </w:rPr>
              <w:t>797,894</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6.77E-03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2.1</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582"/>
              <w:jc w:val="left"/>
              <w:rPr>
                <w:rFonts w:ascii="宋体" w:eastAsia="宋体" w:hint="eastAsia"/>
                <w:sz w:val="21"/>
              </w:rPr>
            </w:pPr>
            <w:r>
              <w:rPr>
                <w:rFonts w:ascii="宋体" w:eastAsia="宋体" w:hint="eastAsia"/>
                <w:sz w:val="21"/>
              </w:rPr>
              <w:t>丰二（</w:t>
            </w:r>
            <w:r>
              <w:rPr>
                <w:sz w:val="21"/>
              </w:rPr>
              <w:t>897,1268</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6.09E-03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7" w:hRule="atLeast"/>
        </w:trPr>
        <w:tc>
          <w:tcPr>
            <w:tcW w:w="2785" w:type="dxa"/>
            <w:tcBorders>
              <w:top w:val="single" w:sz="6" w:space="0" w:color="000000"/>
              <w:bottom w:val="single" w:sz="6" w:space="0" w:color="000000"/>
              <w:right w:val="single" w:sz="6" w:space="0" w:color="000000"/>
            </w:tcBorders>
          </w:tcPr>
          <w:p>
            <w:pPr>
              <w:pStyle w:val="TableParagraph"/>
              <w:spacing w:before="44"/>
              <w:ind w:left="589"/>
              <w:jc w:val="left"/>
              <w:rPr>
                <w:rFonts w:ascii="宋体" w:eastAsia="宋体" w:hint="eastAsia"/>
                <w:sz w:val="21"/>
              </w:rPr>
            </w:pPr>
            <w:r>
              <w:rPr>
                <w:rFonts w:ascii="宋体" w:eastAsia="宋体" w:hint="eastAsia"/>
                <w:sz w:val="21"/>
              </w:rPr>
              <w:t>项里（</w:t>
            </w:r>
            <w:r>
              <w:rPr>
                <w:sz w:val="21"/>
              </w:rPr>
              <w:t>332,1118</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6.89E-03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2.1</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60" w:hRule="atLeast"/>
        </w:trPr>
        <w:tc>
          <w:tcPr>
            <w:tcW w:w="2785" w:type="dxa"/>
            <w:tcBorders>
              <w:top w:val="single" w:sz="6" w:space="0" w:color="000000"/>
              <w:bottom w:val="single" w:sz="6" w:space="0" w:color="000000"/>
              <w:right w:val="single" w:sz="6" w:space="0" w:color="000000"/>
            </w:tcBorders>
          </w:tcPr>
          <w:p>
            <w:pPr>
              <w:pStyle w:val="TableParagraph"/>
              <w:spacing w:before="46"/>
              <w:ind w:left="440"/>
              <w:jc w:val="left"/>
              <w:rPr>
                <w:rFonts w:ascii="宋体" w:eastAsia="宋体" w:hint="eastAsia"/>
                <w:sz w:val="21"/>
              </w:rPr>
            </w:pPr>
            <w:r>
              <w:rPr>
                <w:rFonts w:ascii="宋体" w:eastAsia="宋体" w:hint="eastAsia"/>
                <w:sz w:val="21"/>
              </w:rPr>
              <w:t>河塔村（</w:t>
            </w:r>
            <w:r>
              <w:rPr>
                <w:sz w:val="21"/>
              </w:rPr>
              <w:t>-299,1816</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ight="7"/>
              <w:rPr>
                <w:sz w:val="21"/>
              </w:rPr>
            </w:pPr>
            <w:r>
              <w:rPr>
                <w:sz w:val="21"/>
              </w:rPr>
              <w:t>5.74E-03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6"/>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6"/>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424"/>
              <w:jc w:val="left"/>
              <w:rPr>
                <w:rFonts w:ascii="宋体" w:eastAsia="宋体" w:hint="eastAsia"/>
                <w:sz w:val="21"/>
              </w:rPr>
            </w:pPr>
            <w:r>
              <w:rPr>
                <w:rFonts w:ascii="宋体" w:eastAsia="宋体" w:hint="eastAsia"/>
                <w:sz w:val="21"/>
              </w:rPr>
              <w:t>秋湖村（</w:t>
            </w:r>
            <w:r>
              <w:rPr>
                <w:sz w:val="21"/>
              </w:rPr>
              <w:t>1686,2223</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5.09E-03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1.9</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勉强感觉臭味存在（嗅觉阈值）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嗅阈</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477"/>
              <w:jc w:val="left"/>
              <w:rPr>
                <w:rFonts w:ascii="宋体" w:eastAsia="宋体" w:hint="eastAsia"/>
                <w:sz w:val="21"/>
              </w:rPr>
            </w:pPr>
            <w:r>
              <w:rPr>
                <w:rFonts w:ascii="宋体" w:eastAsia="宋体" w:hint="eastAsia"/>
                <w:sz w:val="21"/>
              </w:rPr>
              <w:t>清和园（</w:t>
            </w:r>
            <w:r>
              <w:rPr>
                <w:sz w:val="21"/>
              </w:rPr>
              <w:t>830,2049</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5.34E-03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7" w:hRule="atLeast"/>
        </w:trPr>
        <w:tc>
          <w:tcPr>
            <w:tcW w:w="2785" w:type="dxa"/>
            <w:tcBorders>
              <w:top w:val="single" w:sz="6" w:space="0" w:color="000000"/>
              <w:bottom w:val="single" w:sz="6" w:space="0" w:color="000000"/>
              <w:right w:val="single" w:sz="6" w:space="0" w:color="000000"/>
            </w:tcBorders>
          </w:tcPr>
          <w:p>
            <w:pPr>
              <w:pStyle w:val="TableParagraph"/>
              <w:spacing w:before="44"/>
              <w:ind w:left="337"/>
              <w:jc w:val="left"/>
              <w:rPr>
                <w:rFonts w:ascii="宋体" w:eastAsia="宋体" w:hint="eastAsia"/>
                <w:sz w:val="21"/>
              </w:rPr>
            </w:pPr>
            <w:r>
              <w:rPr>
                <w:rFonts w:ascii="宋体" w:eastAsia="宋体" w:hint="eastAsia"/>
                <w:sz w:val="21"/>
              </w:rPr>
              <w:t>州山小学（</w:t>
            </w:r>
            <w:r>
              <w:rPr>
                <w:sz w:val="21"/>
              </w:rPr>
              <w:t>-141,2646</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5.25E-03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6"/>
              <w:ind w:left="477"/>
              <w:jc w:val="left"/>
              <w:rPr>
                <w:rFonts w:ascii="宋体" w:eastAsia="宋体" w:hint="eastAsia"/>
                <w:sz w:val="21"/>
              </w:rPr>
            </w:pPr>
            <w:r>
              <w:rPr>
                <w:rFonts w:ascii="宋体" w:eastAsia="宋体" w:hint="eastAsia"/>
                <w:sz w:val="21"/>
              </w:rPr>
              <w:t>管委会（</w:t>
            </w:r>
            <w:r>
              <w:rPr>
                <w:sz w:val="21"/>
              </w:rPr>
              <w:t>914,2190</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ight="7"/>
              <w:rPr>
                <w:sz w:val="21"/>
              </w:rPr>
            </w:pPr>
            <w:r>
              <w:rPr>
                <w:sz w:val="21"/>
              </w:rPr>
              <w:t>5.25E-03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6"/>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6"/>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right="130"/>
              <w:jc w:val="right"/>
              <w:rPr>
                <w:rFonts w:ascii="宋体" w:eastAsia="宋体" w:hint="eastAsia"/>
                <w:sz w:val="21"/>
              </w:rPr>
            </w:pPr>
            <w:r>
              <w:rPr>
                <w:rFonts w:ascii="宋体" w:eastAsia="宋体" w:hint="eastAsia"/>
                <w:sz w:val="21"/>
              </w:rPr>
              <w:t>区福利中心（</w:t>
            </w:r>
            <w:r>
              <w:rPr>
                <w:sz w:val="21"/>
              </w:rPr>
              <w:t>282,2431</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5.21E-03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371"/>
              <w:jc w:val="left"/>
              <w:rPr>
                <w:rFonts w:ascii="宋体" w:eastAsia="宋体" w:hint="eastAsia"/>
                <w:sz w:val="21"/>
              </w:rPr>
            </w:pPr>
            <w:r>
              <w:rPr>
                <w:rFonts w:ascii="宋体" w:eastAsia="宋体" w:hint="eastAsia"/>
                <w:sz w:val="21"/>
              </w:rPr>
              <w:t>区委党校（</w:t>
            </w:r>
            <w:r>
              <w:rPr>
                <w:sz w:val="21"/>
              </w:rPr>
              <w:t>656,2182</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5.46E-03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7" w:hRule="atLeast"/>
        </w:trPr>
        <w:tc>
          <w:tcPr>
            <w:tcW w:w="2785" w:type="dxa"/>
            <w:tcBorders>
              <w:top w:val="single" w:sz="6" w:space="0" w:color="000000"/>
              <w:bottom w:val="single" w:sz="6" w:space="0" w:color="000000"/>
              <w:right w:val="single" w:sz="6" w:space="0" w:color="000000"/>
            </w:tcBorders>
          </w:tcPr>
          <w:p>
            <w:pPr>
              <w:pStyle w:val="TableParagraph"/>
              <w:spacing w:before="44"/>
              <w:ind w:left="546"/>
              <w:jc w:val="left"/>
              <w:rPr>
                <w:rFonts w:ascii="宋体" w:eastAsia="宋体" w:hint="eastAsia"/>
                <w:sz w:val="21"/>
              </w:rPr>
            </w:pPr>
            <w:r>
              <w:rPr>
                <w:rFonts w:ascii="宋体" w:eastAsia="宋体" w:hint="eastAsia"/>
                <w:sz w:val="21"/>
              </w:rPr>
              <w:t>迪埠（</w:t>
            </w:r>
            <w:r>
              <w:rPr>
                <w:sz w:val="21"/>
              </w:rPr>
              <w:t>1022,-875</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6.40E-03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6"/>
              <w:ind w:left="388"/>
              <w:jc w:val="left"/>
              <w:rPr>
                <w:rFonts w:ascii="宋体" w:eastAsia="宋体" w:hint="eastAsia"/>
                <w:sz w:val="21"/>
              </w:rPr>
            </w:pPr>
            <w:r>
              <w:rPr>
                <w:rFonts w:ascii="宋体" w:eastAsia="宋体" w:hint="eastAsia"/>
                <w:sz w:val="21"/>
              </w:rPr>
              <w:t>洪家墩（</w:t>
            </w:r>
            <w:r>
              <w:rPr>
                <w:sz w:val="21"/>
              </w:rPr>
              <w:t>1096,-1407</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ight="7"/>
              <w:rPr>
                <w:sz w:val="21"/>
              </w:rPr>
            </w:pPr>
            <w:r>
              <w:rPr>
                <w:sz w:val="21"/>
              </w:rPr>
              <w:t>5.67E-03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6"/>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6"/>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440"/>
              <w:jc w:val="left"/>
              <w:rPr>
                <w:rFonts w:ascii="宋体" w:eastAsia="宋体" w:hint="eastAsia"/>
                <w:sz w:val="21"/>
              </w:rPr>
            </w:pPr>
            <w:r>
              <w:rPr>
                <w:rFonts w:ascii="宋体" w:eastAsia="宋体" w:hint="eastAsia"/>
                <w:sz w:val="21"/>
              </w:rPr>
              <w:t>兴联村（</w:t>
            </w:r>
            <w:r>
              <w:rPr>
                <w:sz w:val="21"/>
              </w:rPr>
              <w:t>1985,-302</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5.54E-03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393"/>
              <w:jc w:val="left"/>
              <w:rPr>
                <w:rFonts w:ascii="宋体" w:eastAsia="宋体" w:hint="eastAsia"/>
                <w:sz w:val="21"/>
              </w:rPr>
            </w:pPr>
            <w:r>
              <w:rPr>
                <w:rFonts w:ascii="宋体" w:eastAsia="宋体" w:hint="eastAsia"/>
                <w:sz w:val="21"/>
              </w:rPr>
              <w:t>梅三村（</w:t>
            </w:r>
            <w:r>
              <w:rPr>
                <w:sz w:val="21"/>
              </w:rPr>
              <w:t>1744,-1149</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5.39E-03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7" w:hRule="atLeast"/>
        </w:trPr>
        <w:tc>
          <w:tcPr>
            <w:tcW w:w="2785" w:type="dxa"/>
            <w:tcBorders>
              <w:top w:val="single" w:sz="6" w:space="0" w:color="000000"/>
              <w:bottom w:val="single" w:sz="6" w:space="0" w:color="000000"/>
              <w:right w:val="single" w:sz="6" w:space="0" w:color="000000"/>
            </w:tcBorders>
          </w:tcPr>
          <w:p>
            <w:pPr>
              <w:pStyle w:val="TableParagraph"/>
              <w:spacing w:before="44"/>
              <w:ind w:left="393"/>
              <w:jc w:val="left"/>
              <w:rPr>
                <w:rFonts w:ascii="宋体" w:eastAsia="宋体" w:hint="eastAsia"/>
                <w:sz w:val="21"/>
              </w:rPr>
            </w:pPr>
            <w:r>
              <w:rPr>
                <w:rFonts w:ascii="宋体" w:eastAsia="宋体" w:hint="eastAsia"/>
                <w:sz w:val="21"/>
              </w:rPr>
              <w:t>容山村（</w:t>
            </w:r>
            <w:r>
              <w:rPr>
                <w:sz w:val="21"/>
              </w:rPr>
              <w:t>1154,-2055</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5.23E-03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6"/>
              <w:ind w:left="354"/>
              <w:jc w:val="left"/>
              <w:rPr>
                <w:rFonts w:ascii="宋体" w:eastAsia="宋体" w:hint="eastAsia"/>
                <w:sz w:val="21"/>
              </w:rPr>
            </w:pPr>
            <w:r>
              <w:rPr>
                <w:rFonts w:ascii="宋体" w:eastAsia="宋体" w:hint="eastAsia"/>
                <w:sz w:val="21"/>
              </w:rPr>
              <w:t>兴华村（</w:t>
            </w:r>
            <w:r>
              <w:rPr>
                <w:sz w:val="21"/>
              </w:rPr>
              <w:t>-1653,-1249</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ight="7"/>
              <w:rPr>
                <w:sz w:val="21"/>
              </w:rPr>
            </w:pPr>
            <w:r>
              <w:rPr>
                <w:sz w:val="21"/>
              </w:rPr>
              <w:t>4.40E-03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1.9</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6"/>
              <w:ind w:left="74" w:right="48"/>
              <w:rPr>
                <w:rFonts w:ascii="宋体" w:eastAsia="宋体" w:hint="eastAsia"/>
                <w:sz w:val="21"/>
              </w:rPr>
            </w:pPr>
            <w:r>
              <w:rPr>
                <w:rFonts w:ascii="宋体" w:eastAsia="宋体" w:hint="eastAsia"/>
                <w:sz w:val="21"/>
              </w:rPr>
              <w:t>勉强感觉臭味存在（嗅觉阈值）</w:t>
            </w:r>
          </w:p>
        </w:tc>
        <w:tc>
          <w:tcPr>
            <w:tcW w:w="915" w:type="dxa"/>
            <w:tcBorders>
              <w:top w:val="single" w:sz="6" w:space="0" w:color="000000"/>
              <w:left w:val="single" w:sz="6" w:space="0" w:color="000000"/>
              <w:bottom w:val="single" w:sz="6" w:space="0" w:color="000000"/>
            </w:tcBorders>
          </w:tcPr>
          <w:p>
            <w:pPr>
              <w:pStyle w:val="TableParagraph"/>
              <w:spacing w:before="46"/>
              <w:ind w:left="26"/>
              <w:rPr>
                <w:rFonts w:ascii="宋体" w:eastAsia="宋体" w:hint="eastAsia"/>
                <w:sz w:val="21"/>
              </w:rPr>
            </w:pPr>
            <w:r>
              <w:rPr>
                <w:rFonts w:ascii="宋体" w:eastAsia="宋体" w:hint="eastAsia"/>
                <w:sz w:val="21"/>
              </w:rPr>
              <w:t>嗅阈</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440"/>
              <w:jc w:val="left"/>
              <w:rPr>
                <w:rFonts w:ascii="宋体" w:eastAsia="宋体" w:hint="eastAsia"/>
                <w:sz w:val="21"/>
              </w:rPr>
            </w:pPr>
            <w:r>
              <w:rPr>
                <w:rFonts w:ascii="宋体" w:eastAsia="宋体" w:hint="eastAsia"/>
                <w:sz w:val="21"/>
              </w:rPr>
              <w:t>永信村（</w:t>
            </w:r>
            <w:r>
              <w:rPr>
                <w:sz w:val="21"/>
              </w:rPr>
              <w:t>-2384,479</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5.47E-03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239"/>
              <w:jc w:val="left"/>
              <w:rPr>
                <w:rFonts w:ascii="宋体" w:eastAsia="宋体" w:hint="eastAsia"/>
                <w:sz w:val="21"/>
              </w:rPr>
            </w:pPr>
            <w:r>
              <w:rPr>
                <w:rFonts w:ascii="宋体" w:eastAsia="宋体" w:hint="eastAsia"/>
                <w:sz w:val="21"/>
              </w:rPr>
              <w:t>规划敏感点 </w:t>
            </w:r>
            <w:r>
              <w:rPr>
                <w:sz w:val="21"/>
              </w:rPr>
              <w:t>1</w:t>
            </w:r>
            <w:r>
              <w:rPr>
                <w:rFonts w:ascii="宋体" w:eastAsia="宋体" w:hint="eastAsia"/>
                <w:sz w:val="21"/>
              </w:rPr>
              <w:t>（</w:t>
            </w:r>
            <w:r>
              <w:rPr>
                <w:sz w:val="21"/>
              </w:rPr>
              <w:t>983,975</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6.32E-03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7" w:hRule="atLeast"/>
        </w:trPr>
        <w:tc>
          <w:tcPr>
            <w:tcW w:w="2785" w:type="dxa"/>
            <w:tcBorders>
              <w:top w:val="single" w:sz="6" w:space="0" w:color="000000"/>
              <w:bottom w:val="single" w:sz="6" w:space="0" w:color="000000"/>
              <w:right w:val="single" w:sz="6" w:space="0" w:color="000000"/>
            </w:tcBorders>
          </w:tcPr>
          <w:p>
            <w:pPr>
              <w:pStyle w:val="TableParagraph"/>
              <w:spacing w:before="44"/>
              <w:ind w:left="189"/>
              <w:jc w:val="left"/>
              <w:rPr>
                <w:rFonts w:ascii="宋体" w:eastAsia="宋体" w:hint="eastAsia"/>
                <w:sz w:val="21"/>
              </w:rPr>
            </w:pPr>
            <w:r>
              <w:rPr>
                <w:rFonts w:ascii="宋体" w:eastAsia="宋体" w:hint="eastAsia"/>
                <w:sz w:val="21"/>
              </w:rPr>
              <w:t>规划敏感点 </w:t>
            </w:r>
            <w:r>
              <w:rPr>
                <w:sz w:val="21"/>
              </w:rPr>
              <w:t>2</w:t>
            </w:r>
            <w:r>
              <w:rPr>
                <w:rFonts w:ascii="宋体" w:eastAsia="宋体" w:hint="eastAsia"/>
                <w:sz w:val="21"/>
              </w:rPr>
              <w:t>（</w:t>
            </w:r>
            <w:r>
              <w:rPr>
                <w:sz w:val="21"/>
              </w:rPr>
              <w:t>1246,677</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6.26E-03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6"/>
              <w:ind w:left="189"/>
              <w:jc w:val="left"/>
              <w:rPr>
                <w:rFonts w:ascii="宋体" w:eastAsia="宋体" w:hint="eastAsia"/>
                <w:sz w:val="21"/>
              </w:rPr>
            </w:pPr>
            <w:r>
              <w:rPr>
                <w:rFonts w:ascii="宋体" w:eastAsia="宋体" w:hint="eastAsia"/>
                <w:sz w:val="21"/>
              </w:rPr>
              <w:t>规划敏感点 </w:t>
            </w:r>
            <w:r>
              <w:rPr>
                <w:sz w:val="21"/>
              </w:rPr>
              <w:t>3</w:t>
            </w:r>
            <w:r>
              <w:rPr>
                <w:rFonts w:ascii="宋体" w:eastAsia="宋体" w:hint="eastAsia"/>
                <w:sz w:val="21"/>
              </w:rPr>
              <w:t>（</w:t>
            </w:r>
            <w:r>
              <w:rPr>
                <w:sz w:val="21"/>
              </w:rPr>
              <w:t>1466,682</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ight="7"/>
              <w:rPr>
                <w:sz w:val="21"/>
              </w:rPr>
            </w:pPr>
            <w:r>
              <w:rPr>
                <w:sz w:val="21"/>
              </w:rPr>
              <w:t>5.95E-03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6"/>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6"/>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189"/>
              <w:jc w:val="left"/>
              <w:rPr>
                <w:rFonts w:ascii="宋体" w:eastAsia="宋体" w:hint="eastAsia"/>
                <w:sz w:val="21"/>
              </w:rPr>
            </w:pPr>
            <w:r>
              <w:rPr>
                <w:rFonts w:ascii="宋体" w:eastAsia="宋体" w:hint="eastAsia"/>
                <w:sz w:val="21"/>
              </w:rPr>
              <w:t>规划敏感点 </w:t>
            </w:r>
            <w:r>
              <w:rPr>
                <w:sz w:val="21"/>
              </w:rPr>
              <w:t>4</w:t>
            </w:r>
            <w:r>
              <w:rPr>
                <w:rFonts w:ascii="宋体" w:eastAsia="宋体" w:hint="eastAsia"/>
                <w:sz w:val="21"/>
              </w:rPr>
              <w:t>（</w:t>
            </w:r>
            <w:r>
              <w:rPr>
                <w:sz w:val="21"/>
              </w:rPr>
              <w:t>1819,754</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5.55E-03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right="103"/>
              <w:jc w:val="right"/>
              <w:rPr>
                <w:rFonts w:ascii="宋体" w:eastAsia="宋体" w:hint="eastAsia"/>
                <w:sz w:val="21"/>
              </w:rPr>
            </w:pPr>
            <w:r>
              <w:rPr>
                <w:rFonts w:ascii="宋体" w:eastAsia="宋体" w:hint="eastAsia"/>
                <w:sz w:val="21"/>
              </w:rPr>
              <w:t>规划敏感点 </w:t>
            </w:r>
            <w:r>
              <w:rPr>
                <w:sz w:val="21"/>
              </w:rPr>
              <w:t>5</w:t>
            </w:r>
            <w:r>
              <w:rPr>
                <w:rFonts w:ascii="宋体" w:eastAsia="宋体" w:hint="eastAsia"/>
                <w:sz w:val="21"/>
              </w:rPr>
              <w:t>（</w:t>
            </w:r>
            <w:r>
              <w:rPr>
                <w:sz w:val="21"/>
              </w:rPr>
              <w:t>1698,1061</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5.53E-03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7" w:hRule="atLeast"/>
        </w:trPr>
        <w:tc>
          <w:tcPr>
            <w:tcW w:w="2785" w:type="dxa"/>
            <w:tcBorders>
              <w:top w:val="single" w:sz="6" w:space="0" w:color="000000"/>
              <w:bottom w:val="single" w:sz="6" w:space="0" w:color="000000"/>
              <w:right w:val="single" w:sz="6" w:space="0" w:color="000000"/>
            </w:tcBorders>
          </w:tcPr>
          <w:p>
            <w:pPr>
              <w:pStyle w:val="TableParagraph"/>
              <w:spacing w:before="44"/>
              <w:ind w:right="103"/>
              <w:jc w:val="right"/>
              <w:rPr>
                <w:rFonts w:ascii="宋体" w:eastAsia="宋体" w:hint="eastAsia"/>
                <w:sz w:val="21"/>
              </w:rPr>
            </w:pPr>
            <w:r>
              <w:rPr>
                <w:rFonts w:ascii="宋体" w:eastAsia="宋体" w:hint="eastAsia"/>
                <w:sz w:val="21"/>
              </w:rPr>
              <w:t>规划敏感点 </w:t>
            </w:r>
            <w:r>
              <w:rPr>
                <w:sz w:val="21"/>
              </w:rPr>
              <w:t>6</w:t>
            </w:r>
            <w:r>
              <w:rPr>
                <w:rFonts w:ascii="宋体" w:eastAsia="宋体" w:hint="eastAsia"/>
                <w:sz w:val="21"/>
              </w:rPr>
              <w:t>（</w:t>
            </w:r>
            <w:r>
              <w:rPr>
                <w:sz w:val="21"/>
              </w:rPr>
              <w:t>1573,1393</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5.45E-03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6"/>
              <w:ind w:right="103"/>
              <w:jc w:val="right"/>
              <w:rPr>
                <w:rFonts w:ascii="宋体" w:eastAsia="宋体" w:hint="eastAsia"/>
                <w:sz w:val="21"/>
              </w:rPr>
            </w:pPr>
            <w:r>
              <w:rPr>
                <w:rFonts w:ascii="宋体" w:eastAsia="宋体" w:hint="eastAsia"/>
                <w:sz w:val="21"/>
              </w:rPr>
              <w:t>规划敏感点 </w:t>
            </w:r>
            <w:r>
              <w:rPr>
                <w:sz w:val="21"/>
              </w:rPr>
              <w:t>7</w:t>
            </w:r>
            <w:r>
              <w:rPr>
                <w:rFonts w:ascii="宋体" w:eastAsia="宋体" w:hint="eastAsia"/>
                <w:sz w:val="21"/>
              </w:rPr>
              <w:t>（</w:t>
            </w:r>
            <w:r>
              <w:rPr>
                <w:sz w:val="21"/>
              </w:rPr>
              <w:t>2059,1095</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ight="7"/>
              <w:rPr>
                <w:sz w:val="21"/>
              </w:rPr>
            </w:pPr>
            <w:r>
              <w:rPr>
                <w:sz w:val="21"/>
              </w:rPr>
              <w:t>5.28E-03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6"/>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6"/>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right="103"/>
              <w:jc w:val="right"/>
              <w:rPr>
                <w:rFonts w:ascii="宋体" w:eastAsia="宋体" w:hint="eastAsia"/>
                <w:sz w:val="21"/>
              </w:rPr>
            </w:pPr>
            <w:r>
              <w:rPr>
                <w:rFonts w:ascii="宋体" w:eastAsia="宋体" w:hint="eastAsia"/>
                <w:sz w:val="21"/>
              </w:rPr>
              <w:t>规划敏感点 </w:t>
            </w:r>
            <w:r>
              <w:rPr>
                <w:sz w:val="21"/>
              </w:rPr>
              <w:t>8</w:t>
            </w:r>
            <w:r>
              <w:rPr>
                <w:rFonts w:ascii="宋体" w:eastAsia="宋体" w:hint="eastAsia"/>
                <w:sz w:val="21"/>
              </w:rPr>
              <w:t>（</w:t>
            </w:r>
            <w:r>
              <w:rPr>
                <w:sz w:val="21"/>
              </w:rPr>
              <w:t>1977,1422</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5.21E-03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right="108"/>
              <w:jc w:val="right"/>
              <w:rPr>
                <w:rFonts w:ascii="宋体" w:eastAsia="宋体" w:hint="eastAsia"/>
                <w:sz w:val="21"/>
              </w:rPr>
            </w:pPr>
            <w:r>
              <w:rPr>
                <w:rFonts w:ascii="宋体" w:eastAsia="宋体" w:hint="eastAsia"/>
                <w:sz w:val="21"/>
              </w:rPr>
              <w:t>规划敏感点 </w:t>
            </w:r>
            <w:r>
              <w:rPr>
                <w:sz w:val="21"/>
              </w:rPr>
              <w:t>9</w:t>
            </w:r>
            <w:r>
              <w:rPr>
                <w:rFonts w:ascii="宋体" w:eastAsia="宋体" w:hint="eastAsia"/>
                <w:sz w:val="21"/>
              </w:rPr>
              <w:t>（</w:t>
            </w:r>
            <w:r>
              <w:rPr>
                <w:sz w:val="21"/>
              </w:rPr>
              <w:t>1126,2099</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5.25E-03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7" w:hRule="atLeast"/>
        </w:trPr>
        <w:tc>
          <w:tcPr>
            <w:tcW w:w="2785" w:type="dxa"/>
            <w:tcBorders>
              <w:top w:val="single" w:sz="6" w:space="0" w:color="000000"/>
              <w:bottom w:val="single" w:sz="6" w:space="0" w:color="000000"/>
              <w:right w:val="single" w:sz="6" w:space="0" w:color="000000"/>
            </w:tcBorders>
          </w:tcPr>
          <w:p>
            <w:pPr>
              <w:pStyle w:val="TableParagraph"/>
              <w:spacing w:before="44"/>
              <w:ind w:right="55"/>
              <w:jc w:val="right"/>
              <w:rPr>
                <w:rFonts w:ascii="宋体" w:eastAsia="宋体" w:hint="eastAsia"/>
                <w:sz w:val="21"/>
              </w:rPr>
            </w:pPr>
            <w:r>
              <w:rPr>
                <w:rFonts w:ascii="宋体" w:eastAsia="宋体" w:hint="eastAsia"/>
                <w:sz w:val="21"/>
              </w:rPr>
              <w:t>规划敏感点 </w:t>
            </w:r>
            <w:r>
              <w:rPr>
                <w:sz w:val="21"/>
              </w:rPr>
              <w:t>10</w:t>
            </w:r>
            <w:r>
              <w:rPr>
                <w:rFonts w:ascii="宋体" w:eastAsia="宋体" w:hint="eastAsia"/>
                <w:sz w:val="21"/>
              </w:rPr>
              <w:t>（</w:t>
            </w:r>
            <w:r>
              <w:rPr>
                <w:sz w:val="21"/>
              </w:rPr>
              <w:t>1162,2463</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5.07E-03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1.9</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勉强感觉臭味存在（嗅觉阈值）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嗅阈</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6"/>
              <w:ind w:left="191"/>
              <w:jc w:val="left"/>
              <w:rPr>
                <w:rFonts w:ascii="宋体" w:eastAsia="宋体" w:hint="eastAsia"/>
                <w:sz w:val="21"/>
              </w:rPr>
            </w:pPr>
            <w:r>
              <w:rPr>
                <w:rFonts w:ascii="宋体" w:eastAsia="宋体" w:hint="eastAsia"/>
                <w:sz w:val="21"/>
              </w:rPr>
              <w:t>规划敏感点 </w:t>
            </w:r>
            <w:r>
              <w:rPr>
                <w:sz w:val="21"/>
              </w:rPr>
              <w:t>11</w:t>
            </w:r>
            <w:r>
              <w:rPr>
                <w:rFonts w:ascii="宋体" w:eastAsia="宋体" w:hint="eastAsia"/>
                <w:sz w:val="21"/>
              </w:rPr>
              <w:t>（</w:t>
            </w:r>
            <w:r>
              <w:rPr>
                <w:sz w:val="21"/>
              </w:rPr>
              <w:t>33,2313</w:t>
            </w:r>
            <w:r>
              <w:rPr>
                <w:rFonts w:ascii="宋体" w:eastAsia="宋体" w:hint="eastAsia"/>
                <w:sz w:val="21"/>
              </w:rPr>
              <w:t>）</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ight="7"/>
              <w:rPr>
                <w:sz w:val="21"/>
              </w:rPr>
            </w:pPr>
            <w:r>
              <w:rPr>
                <w:sz w:val="21"/>
              </w:rPr>
              <w:t>5.30E-03</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2.0</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6"/>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6"/>
              <w:ind w:left="26"/>
              <w:rPr>
                <w:rFonts w:ascii="宋体" w:eastAsia="宋体" w:hint="eastAsia"/>
                <w:sz w:val="21"/>
              </w:rPr>
            </w:pPr>
            <w:r>
              <w:rPr>
                <w:rFonts w:ascii="宋体" w:eastAsia="宋体" w:hint="eastAsia"/>
                <w:sz w:val="21"/>
              </w:rPr>
              <w:t>轻微</w:t>
            </w:r>
          </w:p>
        </w:tc>
      </w:tr>
      <w:tr>
        <w:trPr>
          <w:trHeight w:val="359" w:hRule="atLeast"/>
        </w:trPr>
        <w:tc>
          <w:tcPr>
            <w:tcW w:w="2785" w:type="dxa"/>
            <w:tcBorders>
              <w:top w:val="single" w:sz="6" w:space="0" w:color="000000"/>
              <w:bottom w:val="single" w:sz="6" w:space="0" w:color="000000"/>
              <w:right w:val="single" w:sz="6" w:space="0" w:color="000000"/>
            </w:tcBorders>
          </w:tcPr>
          <w:p>
            <w:pPr>
              <w:pStyle w:val="TableParagraph"/>
              <w:spacing w:before="44"/>
              <w:ind w:left="635"/>
              <w:jc w:val="left"/>
              <w:rPr>
                <w:rFonts w:ascii="宋体" w:eastAsia="宋体" w:hint="eastAsia"/>
                <w:sz w:val="21"/>
              </w:rPr>
            </w:pPr>
            <w:r>
              <w:rPr>
                <w:rFonts w:ascii="宋体" w:eastAsia="宋体" w:hint="eastAsia"/>
                <w:sz w:val="21"/>
              </w:rPr>
              <w:t>网格（</w:t>
            </w:r>
            <w:r>
              <w:rPr>
                <w:sz w:val="21"/>
              </w:rPr>
              <w:t>150,100</w:t>
            </w:r>
            <w:r>
              <w:rPr>
                <w:rFonts w:ascii="宋体" w:eastAsia="宋体" w:hint="eastAsia"/>
                <w:sz w:val="21"/>
              </w:rPr>
              <w:t>） </w:t>
            </w:r>
          </w:p>
        </w:tc>
        <w:tc>
          <w:tcPr>
            <w:tcW w:w="1520" w:type="dxa"/>
            <w:tcBorders>
              <w:top w:val="single" w:sz="6" w:space="0" w:color="000000"/>
              <w:left w:val="single" w:sz="6" w:space="0" w:color="000000"/>
              <w:bottom w:val="single" w:sz="6" w:space="0" w:color="000000"/>
              <w:right w:val="single" w:sz="6" w:space="0" w:color="000000"/>
            </w:tcBorders>
          </w:tcPr>
          <w:p>
            <w:pPr>
              <w:pStyle w:val="TableParagraph"/>
              <w:ind w:left="31" w:right="7"/>
              <w:rPr>
                <w:sz w:val="21"/>
              </w:rPr>
            </w:pPr>
            <w:r>
              <w:rPr>
                <w:sz w:val="21"/>
              </w:rPr>
              <w:t>2.07E-02</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ind w:left="24"/>
              <w:rPr>
                <w:sz w:val="21"/>
              </w:rPr>
            </w:pPr>
            <w:r>
              <w:rPr>
                <w:sz w:val="21"/>
              </w:rPr>
              <w:t>2.5</w:t>
            </w:r>
          </w:p>
        </w:tc>
        <w:tc>
          <w:tcPr>
            <w:tcW w:w="3118" w:type="dxa"/>
            <w:tcBorders>
              <w:top w:val="single" w:sz="6" w:space="0" w:color="000000"/>
              <w:left w:val="single" w:sz="6" w:space="0" w:color="000000"/>
              <w:bottom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bottom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r>
        <w:trPr>
          <w:trHeight w:val="356" w:hRule="atLeast"/>
        </w:trPr>
        <w:tc>
          <w:tcPr>
            <w:tcW w:w="2785" w:type="dxa"/>
            <w:tcBorders>
              <w:top w:val="single" w:sz="6" w:space="0" w:color="000000"/>
              <w:right w:val="single" w:sz="6" w:space="0" w:color="000000"/>
            </w:tcBorders>
          </w:tcPr>
          <w:p>
            <w:pPr>
              <w:pStyle w:val="TableParagraph"/>
              <w:spacing w:before="44"/>
              <w:ind w:left="685"/>
              <w:jc w:val="left"/>
              <w:rPr>
                <w:rFonts w:ascii="宋体" w:eastAsia="宋体" w:hint="eastAsia"/>
                <w:sz w:val="21"/>
              </w:rPr>
            </w:pPr>
            <w:r>
              <w:rPr>
                <w:rFonts w:ascii="宋体" w:eastAsia="宋体" w:hint="eastAsia"/>
                <w:sz w:val="21"/>
              </w:rPr>
              <w:t>厂界（</w:t>
            </w:r>
            <w:r>
              <w:rPr>
                <w:sz w:val="21"/>
              </w:rPr>
              <w:t>123,89</w:t>
            </w:r>
            <w:r>
              <w:rPr>
                <w:rFonts w:ascii="宋体" w:eastAsia="宋体" w:hint="eastAsia"/>
                <w:sz w:val="21"/>
              </w:rPr>
              <w:t>） </w:t>
            </w:r>
          </w:p>
        </w:tc>
        <w:tc>
          <w:tcPr>
            <w:tcW w:w="1520" w:type="dxa"/>
            <w:tcBorders>
              <w:top w:val="single" w:sz="6" w:space="0" w:color="000000"/>
              <w:left w:val="single" w:sz="6" w:space="0" w:color="000000"/>
              <w:right w:val="single" w:sz="6" w:space="0" w:color="000000"/>
            </w:tcBorders>
          </w:tcPr>
          <w:p>
            <w:pPr>
              <w:pStyle w:val="TableParagraph"/>
              <w:ind w:left="31" w:right="7"/>
              <w:rPr>
                <w:sz w:val="21"/>
              </w:rPr>
            </w:pPr>
            <w:r>
              <w:rPr>
                <w:sz w:val="21"/>
              </w:rPr>
              <w:t>2.14E-02</w:t>
            </w:r>
          </w:p>
        </w:tc>
        <w:tc>
          <w:tcPr>
            <w:tcW w:w="905" w:type="dxa"/>
            <w:tcBorders>
              <w:top w:val="single" w:sz="6" w:space="0" w:color="000000"/>
              <w:left w:val="single" w:sz="6" w:space="0" w:color="000000"/>
              <w:right w:val="single" w:sz="6" w:space="0" w:color="000000"/>
            </w:tcBorders>
          </w:tcPr>
          <w:p>
            <w:pPr>
              <w:pStyle w:val="TableParagraph"/>
              <w:ind w:left="24"/>
              <w:rPr>
                <w:sz w:val="21"/>
              </w:rPr>
            </w:pPr>
            <w:r>
              <w:rPr>
                <w:sz w:val="21"/>
              </w:rPr>
              <w:t>2.5</w:t>
            </w:r>
          </w:p>
        </w:tc>
        <w:tc>
          <w:tcPr>
            <w:tcW w:w="3118" w:type="dxa"/>
            <w:tcBorders>
              <w:top w:val="single" w:sz="6" w:space="0" w:color="000000"/>
              <w:left w:val="single" w:sz="6" w:space="0" w:color="000000"/>
              <w:right w:val="single" w:sz="6" w:space="0" w:color="000000"/>
            </w:tcBorders>
          </w:tcPr>
          <w:p>
            <w:pPr>
              <w:pStyle w:val="TableParagraph"/>
              <w:spacing w:before="44"/>
              <w:ind w:left="74" w:right="48"/>
              <w:rPr>
                <w:rFonts w:ascii="宋体" w:eastAsia="宋体" w:hint="eastAsia"/>
                <w:sz w:val="21"/>
              </w:rPr>
            </w:pPr>
            <w:r>
              <w:rPr>
                <w:rFonts w:ascii="宋体" w:eastAsia="宋体" w:hint="eastAsia"/>
                <w:sz w:val="21"/>
              </w:rPr>
              <w:t>确认臭味存在（认知阈值）</w:t>
            </w:r>
          </w:p>
        </w:tc>
        <w:tc>
          <w:tcPr>
            <w:tcW w:w="915" w:type="dxa"/>
            <w:tcBorders>
              <w:top w:val="single" w:sz="6" w:space="0" w:color="000000"/>
              <w:left w:val="single" w:sz="6" w:space="0" w:color="000000"/>
            </w:tcBorders>
          </w:tcPr>
          <w:p>
            <w:pPr>
              <w:pStyle w:val="TableParagraph"/>
              <w:spacing w:before="44"/>
              <w:ind w:left="26"/>
              <w:rPr>
                <w:rFonts w:ascii="宋体" w:eastAsia="宋体" w:hint="eastAsia"/>
                <w:sz w:val="21"/>
              </w:rPr>
            </w:pPr>
            <w:r>
              <w:rPr>
                <w:rFonts w:ascii="宋体" w:eastAsia="宋体" w:hint="eastAsia"/>
                <w:sz w:val="21"/>
              </w:rPr>
              <w:t>轻微</w:t>
            </w:r>
          </w:p>
        </w:tc>
      </w:tr>
    </w:tbl>
    <w:p>
      <w:pPr>
        <w:pStyle w:val="BodyText"/>
        <w:spacing w:before="84"/>
        <w:ind w:left="717"/>
      </w:pPr>
      <w:r>
        <w:rPr/>
        <w:t>根据《恶臭污染物排放标准》（</w:t>
      </w:r>
      <w:r>
        <w:rPr>
          <w:rFonts w:ascii="Times New Roman" w:eastAsia="Times New Roman"/>
          <w:position w:val="1"/>
        </w:rPr>
        <w:t>GB 14554-93</w:t>
      </w:r>
      <w:r>
        <w:rPr/>
        <w:t>）编制课题组的调研和有关标准说明，</w:t>
      </w:r>
    </w:p>
    <w:p>
      <w:pPr>
        <w:spacing w:after="0"/>
        <w:sectPr>
          <w:pgSz w:w="11910" w:h="16840"/>
          <w:pgMar w:header="874" w:footer="1004" w:top="1420" w:bottom="1200" w:left="1040" w:right="1160"/>
        </w:sectPr>
      </w:pPr>
    </w:p>
    <w:p>
      <w:pPr>
        <w:pStyle w:val="BodyText"/>
        <w:spacing w:line="364" w:lineRule="auto" w:before="92"/>
        <w:ind w:right="131"/>
      </w:pPr>
      <w:r>
        <w:rPr/>
        <w:t>我国恶臭控制按如下三类区域进行划分：一类限制区为国家规定的自然保护区、风景游</w:t>
      </w:r>
      <w:r>
        <w:rPr>
          <w:spacing w:val="-17"/>
        </w:rPr>
        <w:t>览区、居民区、文教区和名胜古迹及疗养地区等环境要求高的区域，执行恶臭级别 </w:t>
      </w:r>
      <w:r>
        <w:rPr>
          <w:rFonts w:ascii="Times New Roman" w:eastAsia="Times New Roman"/>
          <w:position w:val="1"/>
        </w:rPr>
        <w:t>2.5 </w:t>
      </w:r>
      <w:r>
        <w:rPr>
          <w:spacing w:val="-8"/>
        </w:rPr>
        <w:t>级； </w:t>
      </w:r>
      <w:r>
        <w:rPr/>
        <w:t>二类限制区为商业区、商业和居民混合区、邻近商业区等环境要求一般的区域，执行恶</w:t>
      </w:r>
      <w:r>
        <w:rPr>
          <w:spacing w:val="-16"/>
        </w:rPr>
        <w:t>臭级别 </w:t>
      </w:r>
      <w:r>
        <w:rPr>
          <w:rFonts w:ascii="Times New Roman" w:eastAsia="Times New Roman"/>
          <w:position w:val="1"/>
        </w:rPr>
        <w:t>3.0 </w:t>
      </w:r>
      <w:r>
        <w:rPr>
          <w:spacing w:val="-4"/>
        </w:rPr>
        <w:t>级；三类限制区为工业区，执行恶臭级别 </w:t>
      </w:r>
      <w:r>
        <w:rPr>
          <w:rFonts w:ascii="Times New Roman" w:eastAsia="Times New Roman"/>
          <w:position w:val="1"/>
        </w:rPr>
        <w:t>3.5 </w:t>
      </w:r>
      <w:r>
        <w:rPr/>
        <w:t>级。</w:t>
      </w:r>
    </w:p>
    <w:p>
      <w:pPr>
        <w:pStyle w:val="BodyText"/>
        <w:spacing w:before="2"/>
        <w:ind w:left="717"/>
      </w:pPr>
      <w:r>
        <w:rPr>
          <w:spacing w:val="3"/>
        </w:rPr>
        <w:t>由表 </w:t>
      </w:r>
      <w:r>
        <w:rPr>
          <w:rFonts w:ascii="Times New Roman" w:eastAsia="Times New Roman"/>
          <w:position w:val="1"/>
        </w:rPr>
        <w:t>5.2-29</w:t>
      </w:r>
      <w:r>
        <w:rPr>
          <w:rFonts w:ascii="Times New Roman" w:eastAsia="Times New Roman"/>
          <w:spacing w:val="5"/>
          <w:position w:val="1"/>
        </w:rPr>
        <w:t>  </w:t>
      </w:r>
      <w:r>
        <w:rPr>
          <w:spacing w:val="4"/>
        </w:rPr>
        <w:t>及表 </w:t>
      </w:r>
      <w:r>
        <w:rPr>
          <w:rFonts w:ascii="Times New Roman" w:eastAsia="Times New Roman"/>
          <w:position w:val="1"/>
        </w:rPr>
        <w:t>5.2-30</w:t>
      </w:r>
      <w:r>
        <w:rPr>
          <w:rFonts w:ascii="Times New Roman" w:eastAsia="Times New Roman"/>
          <w:spacing w:val="6"/>
          <w:position w:val="1"/>
        </w:rPr>
        <w:t>  </w:t>
      </w:r>
      <w:r>
        <w:rPr/>
        <w:t>可知，项目周边敏感点及最大网格点处氨气的恶臭强度为</w:t>
      </w:r>
    </w:p>
    <w:p>
      <w:pPr>
        <w:pStyle w:val="BodyText"/>
        <w:spacing w:before="161"/>
      </w:pPr>
      <w:r>
        <w:rPr>
          <w:rFonts w:ascii="Times New Roman" w:eastAsia="Times New Roman"/>
          <w:position w:val="1"/>
        </w:rPr>
        <w:t>0.9~2.4</w:t>
      </w:r>
      <w:r>
        <w:rPr/>
        <w:t>（无气味</w:t>
      </w:r>
      <w:r>
        <w:rPr>
          <w:rFonts w:ascii="Times New Roman" w:eastAsia="Times New Roman"/>
          <w:position w:val="1"/>
        </w:rPr>
        <w:t>~</w:t>
      </w:r>
      <w:r>
        <w:rPr/>
        <w:t>轻微），</w:t>
      </w:r>
      <w:r>
        <w:rPr>
          <w:spacing w:val="-8"/>
        </w:rPr>
        <w:t>硫化氢的恶臭强度为 </w:t>
      </w:r>
      <w:r>
        <w:rPr>
          <w:rFonts w:ascii="Times New Roman" w:eastAsia="Times New Roman"/>
          <w:position w:val="1"/>
        </w:rPr>
        <w:t>1.9~2.5</w:t>
      </w:r>
      <w:r>
        <w:rPr/>
        <w:t>（嗅阈</w:t>
      </w:r>
      <w:r>
        <w:rPr>
          <w:rFonts w:ascii="Times New Roman" w:eastAsia="Times New Roman"/>
          <w:position w:val="1"/>
        </w:rPr>
        <w:t>~</w:t>
      </w:r>
      <w:r>
        <w:rPr/>
        <w:t>轻微），低于二类限制区</w:t>
      </w:r>
    </w:p>
    <w:p>
      <w:pPr>
        <w:pStyle w:val="BodyText"/>
        <w:spacing w:before="160"/>
      </w:pPr>
      <w:r>
        <w:rPr>
          <w:rFonts w:ascii="Times New Roman" w:eastAsia="Times New Roman"/>
          <w:position w:val="1"/>
        </w:rPr>
        <w:t>3.0 </w:t>
      </w:r>
      <w:r>
        <w:rPr/>
        <w:t>要求。因此，本项目恶臭排放对周边环境的影响在可接受范围内。</w:t>
      </w:r>
    </w:p>
    <w:p>
      <w:pPr>
        <w:pStyle w:val="Heading3"/>
        <w:numPr>
          <w:ilvl w:val="0"/>
          <w:numId w:val="75"/>
        </w:numPr>
        <w:tabs>
          <w:tab w:pos="1082" w:val="left" w:leader="none"/>
        </w:tabs>
        <w:spacing w:line="240" w:lineRule="auto" w:before="161" w:after="0"/>
        <w:ind w:left="1082" w:right="0" w:hanging="363"/>
        <w:jc w:val="left"/>
      </w:pPr>
      <w:r>
        <w:rPr/>
        <w:t>防护距离分析</w:t>
      </w:r>
    </w:p>
    <w:p>
      <w:pPr>
        <w:pStyle w:val="BodyText"/>
        <w:spacing w:line="364" w:lineRule="auto" w:before="160"/>
        <w:ind w:right="249" w:firstLine="480"/>
        <w:jc w:val="both"/>
      </w:pPr>
      <w:r>
        <w:rPr>
          <w:spacing w:val="-11"/>
          <w:position w:val="2"/>
        </w:rPr>
        <w:t>本项目为新建项目，根据上文预测，正常工况下，本项目 </w:t>
      </w:r>
      <w:r>
        <w:rPr>
          <w:rFonts w:ascii="Times New Roman" w:eastAsia="Times New Roman"/>
          <w:position w:val="2"/>
        </w:rPr>
        <w:t>NH</w:t>
      </w:r>
      <w:r>
        <w:rPr>
          <w:rFonts w:ascii="Times New Roman" w:eastAsia="Times New Roman"/>
          <w:sz w:val="16"/>
        </w:rPr>
        <w:t>3</w:t>
      </w:r>
      <w:r>
        <w:rPr>
          <w:spacing w:val="-29"/>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2"/>
          <w:position w:val="2"/>
        </w:rPr>
        <w:t>厂界浓度贡献值</w:t>
      </w:r>
      <w:r>
        <w:rPr>
          <w:spacing w:val="-8"/>
        </w:rPr>
        <w:t>的占标率分别为 </w:t>
      </w:r>
      <w:r>
        <w:rPr>
          <w:rFonts w:ascii="Times New Roman" w:eastAsia="Times New Roman"/>
        </w:rPr>
        <w:t>55.60%</w:t>
      </w:r>
      <w:r>
        <w:rPr>
          <w:spacing w:val="-3"/>
        </w:rPr>
        <w:t>、</w:t>
      </w:r>
      <w:r>
        <w:rPr>
          <w:rFonts w:ascii="Times New Roman" w:eastAsia="Times New Roman"/>
        </w:rPr>
        <w:t>29.00%</w:t>
      </w:r>
      <w:r>
        <w:rPr>
          <w:spacing w:val="-1"/>
        </w:rPr>
        <w:t>，均能达标，但最大地面落地浓度贡献值的占标率分别</w:t>
      </w:r>
      <w:r>
        <w:rPr>
          <w:spacing w:val="-33"/>
        </w:rPr>
        <w:t>为 </w:t>
      </w:r>
      <w:r>
        <w:rPr>
          <w:rFonts w:ascii="Times New Roman" w:eastAsia="Times New Roman"/>
        </w:rPr>
        <w:t>182.87%</w:t>
      </w:r>
      <w:r>
        <w:rPr>
          <w:spacing w:val="-3"/>
        </w:rPr>
        <w:t>、</w:t>
      </w:r>
      <w:r>
        <w:rPr>
          <w:rFonts w:ascii="Times New Roman" w:eastAsia="Times New Roman"/>
        </w:rPr>
        <w:t>166.55%</w:t>
      </w:r>
      <w:r>
        <w:rPr>
          <w:spacing w:val="-1"/>
        </w:rPr>
        <w:t>，均超标，且叠加背景浓度后最大地面落地浓度贡献值的占标率分</w:t>
      </w:r>
      <w:r>
        <w:rPr>
          <w:spacing w:val="-21"/>
        </w:rPr>
        <w:t>别为 </w:t>
      </w:r>
      <w:r>
        <w:rPr>
          <w:rFonts w:ascii="Times New Roman" w:eastAsia="Times New Roman"/>
        </w:rPr>
        <w:t>222.87%</w:t>
      </w:r>
      <w:r>
        <w:rPr>
          <w:spacing w:val="-3"/>
        </w:rPr>
        <w:t>、</w:t>
      </w:r>
      <w:r>
        <w:rPr>
          <w:rFonts w:ascii="Times New Roman" w:eastAsia="Times New Roman"/>
        </w:rPr>
        <w:t>206.55%</w:t>
      </w:r>
      <w:r>
        <w:rPr>
          <w:spacing w:val="-2"/>
        </w:rPr>
        <w:t>，也超标。贡献浓度及叠加浓度均存在超标现象，超标结果汇总</w:t>
      </w:r>
      <w:r>
        <w:rPr>
          <w:spacing w:val="-22"/>
        </w:rPr>
        <w:t>见表 </w:t>
      </w:r>
      <w:r>
        <w:rPr>
          <w:rFonts w:ascii="Times New Roman" w:eastAsia="Times New Roman"/>
        </w:rPr>
        <w:t>5.2-31</w:t>
      </w:r>
      <w:r>
        <w:rPr/>
        <w:t>。</w:t>
      </w:r>
    </w:p>
    <w:p>
      <w:pPr>
        <w:pStyle w:val="Heading3"/>
        <w:spacing w:before="4"/>
        <w:ind w:left="219" w:right="236"/>
        <w:jc w:val="center"/>
      </w:pPr>
      <w:r>
        <w:rPr/>
        <w:t>表 </w:t>
      </w:r>
      <w:r>
        <w:rPr>
          <w:rFonts w:ascii="Times New Roman" w:eastAsia="Times New Roman"/>
        </w:rPr>
        <w:t>5.2-31  </w:t>
      </w:r>
      <w:r>
        <w:rPr/>
        <w:t>本项目超标因子的预测结果（厂界及最大网格点）</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05"/>
        <w:gridCol w:w="1395"/>
        <w:gridCol w:w="1118"/>
        <w:gridCol w:w="1118"/>
        <w:gridCol w:w="894"/>
        <w:gridCol w:w="1118"/>
        <w:gridCol w:w="1117"/>
        <w:gridCol w:w="1761"/>
      </w:tblGrid>
      <w:tr>
        <w:trPr>
          <w:trHeight w:val="359" w:hRule="atLeast"/>
        </w:trPr>
        <w:tc>
          <w:tcPr>
            <w:tcW w:w="905" w:type="dxa"/>
            <w:tcBorders>
              <w:bottom w:val="single" w:sz="4" w:space="0" w:color="000000"/>
              <w:right w:val="single" w:sz="4" w:space="0" w:color="000000"/>
            </w:tcBorders>
          </w:tcPr>
          <w:p>
            <w:pPr>
              <w:pStyle w:val="TableParagraph"/>
              <w:spacing w:before="44"/>
              <w:ind w:left="133"/>
              <w:jc w:val="left"/>
              <w:rPr>
                <w:rFonts w:ascii="宋体" w:eastAsia="宋体" w:hint="eastAsia"/>
                <w:b/>
                <w:sz w:val="21"/>
              </w:rPr>
            </w:pPr>
            <w:r>
              <w:rPr>
                <w:rFonts w:ascii="宋体" w:eastAsia="宋体" w:hint="eastAsia"/>
                <w:b/>
                <w:sz w:val="21"/>
              </w:rPr>
              <w:t>污染物</w:t>
            </w:r>
          </w:p>
        </w:tc>
        <w:tc>
          <w:tcPr>
            <w:tcW w:w="1395" w:type="dxa"/>
            <w:tcBorders>
              <w:left w:val="single" w:sz="4" w:space="0" w:color="000000"/>
              <w:bottom w:val="single" w:sz="4" w:space="0" w:color="000000"/>
              <w:right w:val="single" w:sz="4" w:space="0" w:color="000000"/>
            </w:tcBorders>
          </w:tcPr>
          <w:p>
            <w:pPr>
              <w:pStyle w:val="TableParagraph"/>
              <w:spacing w:before="44"/>
              <w:ind w:left="133" w:right="108"/>
              <w:rPr>
                <w:rFonts w:ascii="宋体" w:eastAsia="宋体" w:hint="eastAsia"/>
                <w:b/>
                <w:sz w:val="21"/>
              </w:rPr>
            </w:pPr>
            <w:r>
              <w:rPr>
                <w:rFonts w:ascii="宋体" w:eastAsia="宋体" w:hint="eastAsia"/>
                <w:b/>
                <w:sz w:val="21"/>
              </w:rPr>
              <w:t>出现坐标</w:t>
            </w:r>
          </w:p>
        </w:tc>
        <w:tc>
          <w:tcPr>
            <w:tcW w:w="1118" w:type="dxa"/>
            <w:tcBorders>
              <w:left w:val="single" w:sz="4" w:space="0" w:color="000000"/>
              <w:bottom w:val="single" w:sz="4" w:space="0" w:color="000000"/>
              <w:right w:val="single" w:sz="4" w:space="0" w:color="000000"/>
            </w:tcBorders>
          </w:tcPr>
          <w:p>
            <w:pPr>
              <w:pStyle w:val="TableParagraph"/>
              <w:spacing w:before="44"/>
              <w:ind w:right="115"/>
              <w:jc w:val="right"/>
              <w:rPr>
                <w:rFonts w:ascii="宋体" w:eastAsia="宋体" w:hint="eastAsia"/>
                <w:b/>
                <w:sz w:val="21"/>
              </w:rPr>
            </w:pPr>
            <w:r>
              <w:rPr>
                <w:rFonts w:ascii="宋体" w:eastAsia="宋体" w:hint="eastAsia"/>
                <w:b/>
                <w:sz w:val="21"/>
              </w:rPr>
              <w:t>出现时间</w:t>
            </w:r>
          </w:p>
        </w:tc>
        <w:tc>
          <w:tcPr>
            <w:tcW w:w="1118" w:type="dxa"/>
            <w:tcBorders>
              <w:left w:val="single" w:sz="4" w:space="0" w:color="000000"/>
              <w:bottom w:val="single" w:sz="4" w:space="0" w:color="000000"/>
              <w:right w:val="single" w:sz="4" w:space="0" w:color="000000"/>
            </w:tcBorders>
          </w:tcPr>
          <w:p>
            <w:pPr>
              <w:pStyle w:val="TableParagraph"/>
              <w:spacing w:before="44"/>
              <w:ind w:left="126" w:right="97"/>
              <w:rPr>
                <w:rFonts w:ascii="宋体" w:eastAsia="宋体" w:hint="eastAsia"/>
                <w:b/>
                <w:sz w:val="21"/>
              </w:rPr>
            </w:pPr>
            <w:r>
              <w:rPr>
                <w:rFonts w:ascii="宋体" w:eastAsia="宋体" w:hint="eastAsia"/>
                <w:b/>
                <w:sz w:val="21"/>
              </w:rPr>
              <w:t>预测浓度</w:t>
            </w:r>
          </w:p>
        </w:tc>
        <w:tc>
          <w:tcPr>
            <w:tcW w:w="894" w:type="dxa"/>
            <w:tcBorders>
              <w:left w:val="single" w:sz="4" w:space="0" w:color="000000"/>
              <w:bottom w:val="single" w:sz="4" w:space="0" w:color="000000"/>
              <w:right w:val="single" w:sz="4" w:space="0" w:color="000000"/>
            </w:tcBorders>
          </w:tcPr>
          <w:p>
            <w:pPr>
              <w:pStyle w:val="TableParagraph"/>
              <w:spacing w:before="44"/>
              <w:ind w:left="120" w:right="91"/>
              <w:rPr>
                <w:rFonts w:ascii="宋体" w:eastAsia="宋体" w:hint="eastAsia"/>
                <w:b/>
                <w:sz w:val="21"/>
              </w:rPr>
            </w:pPr>
            <w:r>
              <w:rPr>
                <w:rFonts w:ascii="宋体" w:eastAsia="宋体" w:hint="eastAsia"/>
                <w:b/>
                <w:sz w:val="21"/>
              </w:rPr>
              <w:t>占标率</w:t>
            </w:r>
          </w:p>
        </w:tc>
        <w:tc>
          <w:tcPr>
            <w:tcW w:w="1118" w:type="dxa"/>
            <w:tcBorders>
              <w:left w:val="single" w:sz="4" w:space="0" w:color="000000"/>
              <w:bottom w:val="single" w:sz="4" w:space="0" w:color="000000"/>
              <w:right w:val="single" w:sz="4" w:space="0" w:color="000000"/>
            </w:tcBorders>
          </w:tcPr>
          <w:p>
            <w:pPr>
              <w:pStyle w:val="TableParagraph"/>
              <w:spacing w:before="44"/>
              <w:ind w:left="148"/>
              <w:jc w:val="left"/>
              <w:rPr>
                <w:rFonts w:ascii="宋体" w:eastAsia="宋体" w:hint="eastAsia"/>
                <w:b/>
                <w:sz w:val="21"/>
              </w:rPr>
            </w:pPr>
            <w:r>
              <w:rPr>
                <w:rFonts w:ascii="宋体" w:eastAsia="宋体" w:hint="eastAsia"/>
                <w:b/>
                <w:sz w:val="21"/>
              </w:rPr>
              <w:t>评价标准</w:t>
            </w:r>
          </w:p>
        </w:tc>
        <w:tc>
          <w:tcPr>
            <w:tcW w:w="1117" w:type="dxa"/>
            <w:tcBorders>
              <w:left w:val="single" w:sz="4" w:space="0" w:color="000000"/>
              <w:bottom w:val="single" w:sz="4" w:space="0" w:color="000000"/>
              <w:right w:val="single" w:sz="4" w:space="0" w:color="000000"/>
            </w:tcBorders>
          </w:tcPr>
          <w:p>
            <w:pPr>
              <w:pStyle w:val="TableParagraph"/>
              <w:spacing w:before="44"/>
              <w:ind w:left="129" w:right="93"/>
              <w:rPr>
                <w:rFonts w:ascii="宋体" w:eastAsia="宋体" w:hint="eastAsia"/>
                <w:b/>
                <w:sz w:val="21"/>
              </w:rPr>
            </w:pPr>
            <w:r>
              <w:rPr>
                <w:rFonts w:ascii="宋体" w:eastAsia="宋体" w:hint="eastAsia"/>
                <w:b/>
                <w:sz w:val="21"/>
              </w:rPr>
              <w:t>达标情况</w:t>
            </w:r>
          </w:p>
        </w:tc>
        <w:tc>
          <w:tcPr>
            <w:tcW w:w="1761" w:type="dxa"/>
            <w:tcBorders>
              <w:left w:val="single" w:sz="4" w:space="0" w:color="000000"/>
              <w:bottom w:val="single" w:sz="4" w:space="0" w:color="000000"/>
            </w:tcBorders>
          </w:tcPr>
          <w:p>
            <w:pPr>
              <w:pStyle w:val="TableParagraph"/>
              <w:spacing w:before="44"/>
              <w:ind w:left="139" w:right="91"/>
              <w:rPr>
                <w:rFonts w:ascii="宋体" w:eastAsia="宋体" w:hint="eastAsia"/>
                <w:b/>
                <w:sz w:val="21"/>
              </w:rPr>
            </w:pPr>
            <w:r>
              <w:rPr>
                <w:rFonts w:ascii="宋体" w:eastAsia="宋体" w:hint="eastAsia"/>
                <w:b/>
                <w:sz w:val="21"/>
              </w:rPr>
              <w:t>备注</w:t>
            </w:r>
          </w:p>
        </w:tc>
      </w:tr>
      <w:tr>
        <w:trPr>
          <w:trHeight w:val="360" w:hRule="atLeast"/>
        </w:trPr>
        <w:tc>
          <w:tcPr>
            <w:tcW w:w="905" w:type="dxa"/>
            <w:vMerge w:val="restart"/>
            <w:tcBorders>
              <w:top w:val="single" w:sz="4" w:space="0" w:color="000000"/>
              <w:bottom w:val="single" w:sz="4" w:space="0" w:color="000000"/>
              <w:right w:val="single" w:sz="4" w:space="0" w:color="000000"/>
            </w:tcBorders>
          </w:tcPr>
          <w:p>
            <w:pPr>
              <w:pStyle w:val="TableParagraph"/>
              <w:spacing w:before="4"/>
              <w:jc w:val="left"/>
              <w:rPr>
                <w:rFonts w:ascii="宋体"/>
                <w:b/>
                <w:sz w:val="33"/>
              </w:rPr>
            </w:pPr>
          </w:p>
          <w:p>
            <w:pPr>
              <w:pStyle w:val="TableParagraph"/>
              <w:spacing w:before="0"/>
              <w:ind w:left="263"/>
              <w:jc w:val="left"/>
              <w:rPr>
                <w:sz w:val="14"/>
              </w:rPr>
            </w:pPr>
            <w:r>
              <w:rPr>
                <w:position w:val="2"/>
                <w:sz w:val="21"/>
              </w:rPr>
              <w:t>NH</w:t>
            </w:r>
            <w:r>
              <w:rPr>
                <w:sz w:val="14"/>
              </w:rPr>
              <w:t>3</w:t>
            </w:r>
          </w:p>
        </w:tc>
        <w:tc>
          <w:tcPr>
            <w:tcW w:w="1395" w:type="dxa"/>
            <w:tcBorders>
              <w:top w:val="single" w:sz="4" w:space="0" w:color="000000"/>
              <w:left w:val="single" w:sz="4" w:space="0" w:color="000000"/>
              <w:bottom w:val="single" w:sz="4" w:space="0" w:color="000000"/>
              <w:right w:val="single" w:sz="4" w:space="0" w:color="000000"/>
            </w:tcBorders>
          </w:tcPr>
          <w:p>
            <w:pPr>
              <w:pStyle w:val="TableParagraph"/>
              <w:spacing w:before="44"/>
              <w:ind w:left="133" w:right="108"/>
              <w:rPr>
                <w:rFonts w:ascii="宋体" w:eastAsia="宋体" w:hint="eastAsia"/>
                <w:sz w:val="21"/>
              </w:rPr>
            </w:pPr>
            <w:r>
              <w:rPr>
                <w:rFonts w:ascii="宋体" w:eastAsia="宋体" w:hint="eastAsia"/>
                <w:sz w:val="21"/>
              </w:rPr>
              <w:t>（</w:t>
            </w:r>
            <w:r>
              <w:rPr>
                <w:sz w:val="21"/>
              </w:rPr>
              <w:t>-83,140</w:t>
            </w:r>
            <w:r>
              <w:rPr>
                <w:rFonts w:ascii="宋体" w:eastAsia="宋体" w:hint="eastAsia"/>
                <w:sz w:val="21"/>
              </w:rPr>
              <w:t>）</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right="115"/>
              <w:jc w:val="right"/>
              <w:rPr>
                <w:sz w:val="21"/>
              </w:rPr>
            </w:pPr>
            <w:r>
              <w:rPr>
                <w:sz w:val="21"/>
              </w:rPr>
              <w:t>19060922</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26" w:right="97"/>
              <w:rPr>
                <w:sz w:val="21"/>
              </w:rPr>
            </w:pPr>
            <w:r>
              <w:rPr>
                <w:sz w:val="21"/>
              </w:rPr>
              <w:t>8.34E-01</w:t>
            </w:r>
          </w:p>
        </w:tc>
        <w:tc>
          <w:tcPr>
            <w:tcW w:w="894" w:type="dxa"/>
            <w:tcBorders>
              <w:top w:val="single" w:sz="4" w:space="0" w:color="000000"/>
              <w:left w:val="single" w:sz="4" w:space="0" w:color="000000"/>
              <w:bottom w:val="single" w:sz="4" w:space="0" w:color="000000"/>
              <w:right w:val="single" w:sz="4" w:space="0" w:color="000000"/>
            </w:tcBorders>
          </w:tcPr>
          <w:p>
            <w:pPr>
              <w:pStyle w:val="TableParagraph"/>
              <w:ind w:left="120" w:right="86"/>
              <w:rPr>
                <w:sz w:val="21"/>
              </w:rPr>
            </w:pPr>
            <w:r>
              <w:rPr>
                <w:sz w:val="21"/>
              </w:rPr>
              <w:t>55.60</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57"/>
              <w:jc w:val="left"/>
              <w:rPr>
                <w:sz w:val="21"/>
              </w:rPr>
            </w:pPr>
            <w:r>
              <w:rPr>
                <w:sz w:val="21"/>
              </w:rPr>
              <w:t>1.50E+00</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before="44"/>
              <w:ind w:left="129" w:right="93"/>
              <w:rPr>
                <w:rFonts w:ascii="宋体" w:eastAsia="宋体" w:hint="eastAsia"/>
                <w:sz w:val="21"/>
              </w:rPr>
            </w:pPr>
            <w:r>
              <w:rPr>
                <w:rFonts w:ascii="宋体" w:eastAsia="宋体" w:hint="eastAsia"/>
                <w:sz w:val="21"/>
              </w:rPr>
              <w:t>达标</w:t>
            </w:r>
          </w:p>
        </w:tc>
        <w:tc>
          <w:tcPr>
            <w:tcW w:w="1761" w:type="dxa"/>
            <w:tcBorders>
              <w:top w:val="single" w:sz="4" w:space="0" w:color="000000"/>
              <w:left w:val="single" w:sz="4" w:space="0" w:color="000000"/>
              <w:bottom w:val="single" w:sz="4" w:space="0" w:color="000000"/>
            </w:tcBorders>
          </w:tcPr>
          <w:p>
            <w:pPr>
              <w:pStyle w:val="TableParagraph"/>
              <w:spacing w:before="44"/>
              <w:ind w:left="139" w:right="91"/>
              <w:rPr>
                <w:rFonts w:ascii="宋体" w:eastAsia="宋体" w:hint="eastAsia"/>
                <w:sz w:val="21"/>
              </w:rPr>
            </w:pPr>
            <w:r>
              <w:rPr>
                <w:rFonts w:ascii="宋体" w:eastAsia="宋体" w:hint="eastAsia"/>
                <w:sz w:val="21"/>
              </w:rPr>
              <w:t>厂界贡献浓度</w:t>
            </w:r>
          </w:p>
        </w:tc>
      </w:tr>
      <w:tr>
        <w:trPr>
          <w:trHeight w:val="357" w:hRule="atLeast"/>
        </w:trPr>
        <w:tc>
          <w:tcPr>
            <w:tcW w:w="905" w:type="dxa"/>
            <w:vMerge/>
            <w:tcBorders>
              <w:top w:val="nil"/>
              <w:bottom w:val="single" w:sz="4" w:space="0" w:color="000000"/>
              <w:right w:val="single" w:sz="4" w:space="0" w:color="000000"/>
            </w:tcBorders>
          </w:tcPr>
          <w:p>
            <w:pPr>
              <w:rPr>
                <w:sz w:val="2"/>
                <w:szCs w:val="2"/>
              </w:rPr>
            </w:pPr>
          </w:p>
        </w:tc>
        <w:tc>
          <w:tcPr>
            <w:tcW w:w="1395" w:type="dxa"/>
            <w:tcBorders>
              <w:top w:val="single" w:sz="4" w:space="0" w:color="000000"/>
              <w:left w:val="single" w:sz="4" w:space="0" w:color="000000"/>
              <w:bottom w:val="single" w:sz="4" w:space="0" w:color="000000"/>
              <w:right w:val="single" w:sz="4" w:space="0" w:color="000000"/>
            </w:tcBorders>
          </w:tcPr>
          <w:p>
            <w:pPr>
              <w:pStyle w:val="TableParagraph"/>
              <w:spacing w:before="44"/>
              <w:ind w:left="133" w:right="108"/>
              <w:rPr>
                <w:rFonts w:ascii="宋体" w:eastAsia="宋体" w:hint="eastAsia"/>
                <w:sz w:val="21"/>
              </w:rPr>
            </w:pPr>
            <w:r>
              <w:rPr>
                <w:rFonts w:ascii="宋体" w:eastAsia="宋体" w:hint="eastAsia"/>
                <w:sz w:val="21"/>
              </w:rPr>
              <w:t>（</w:t>
            </w:r>
            <w:r>
              <w:rPr>
                <w:sz w:val="21"/>
              </w:rPr>
              <w:t>-50,150</w:t>
            </w:r>
            <w:r>
              <w:rPr>
                <w:rFonts w:ascii="宋体" w:eastAsia="宋体" w:hint="eastAsia"/>
                <w:sz w:val="21"/>
              </w:rPr>
              <w:t>）</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right="115"/>
              <w:jc w:val="right"/>
              <w:rPr>
                <w:sz w:val="21"/>
              </w:rPr>
            </w:pPr>
            <w:r>
              <w:rPr>
                <w:sz w:val="21"/>
              </w:rPr>
              <w:t>19100224</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26" w:right="97"/>
              <w:rPr>
                <w:sz w:val="21"/>
              </w:rPr>
            </w:pPr>
            <w:r>
              <w:rPr>
                <w:sz w:val="21"/>
              </w:rPr>
              <w:t>3.66E-01</w:t>
            </w:r>
          </w:p>
        </w:tc>
        <w:tc>
          <w:tcPr>
            <w:tcW w:w="894" w:type="dxa"/>
            <w:tcBorders>
              <w:top w:val="single" w:sz="4" w:space="0" w:color="000000"/>
              <w:left w:val="single" w:sz="4" w:space="0" w:color="000000"/>
              <w:bottom w:val="single" w:sz="4" w:space="0" w:color="000000"/>
              <w:right w:val="single" w:sz="4" w:space="0" w:color="000000"/>
            </w:tcBorders>
          </w:tcPr>
          <w:p>
            <w:pPr>
              <w:pStyle w:val="TableParagraph"/>
              <w:ind w:left="120" w:right="86"/>
              <w:rPr>
                <w:sz w:val="21"/>
              </w:rPr>
            </w:pPr>
            <w:r>
              <w:rPr>
                <w:sz w:val="21"/>
              </w:rPr>
              <w:t>182.87</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81"/>
              <w:jc w:val="left"/>
              <w:rPr>
                <w:sz w:val="21"/>
              </w:rPr>
            </w:pPr>
            <w:r>
              <w:rPr>
                <w:sz w:val="21"/>
              </w:rPr>
              <w:t>2.00E-01</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before="44"/>
              <w:ind w:left="129" w:right="93"/>
              <w:rPr>
                <w:rFonts w:ascii="宋体" w:eastAsia="宋体" w:hint="eastAsia"/>
                <w:sz w:val="21"/>
              </w:rPr>
            </w:pPr>
            <w:r>
              <w:rPr>
                <w:rFonts w:ascii="宋体" w:eastAsia="宋体" w:hint="eastAsia"/>
                <w:sz w:val="21"/>
              </w:rPr>
              <w:t>超标</w:t>
            </w:r>
          </w:p>
        </w:tc>
        <w:tc>
          <w:tcPr>
            <w:tcW w:w="1761" w:type="dxa"/>
            <w:tcBorders>
              <w:top w:val="single" w:sz="4" w:space="0" w:color="000000"/>
              <w:left w:val="single" w:sz="4" w:space="0" w:color="000000"/>
              <w:bottom w:val="single" w:sz="4" w:space="0" w:color="000000"/>
            </w:tcBorders>
          </w:tcPr>
          <w:p>
            <w:pPr>
              <w:pStyle w:val="TableParagraph"/>
              <w:spacing w:before="44"/>
              <w:ind w:left="139" w:right="91"/>
              <w:rPr>
                <w:rFonts w:ascii="宋体" w:eastAsia="宋体" w:hint="eastAsia"/>
                <w:sz w:val="21"/>
              </w:rPr>
            </w:pPr>
            <w:r>
              <w:rPr>
                <w:rFonts w:ascii="宋体" w:eastAsia="宋体" w:hint="eastAsia"/>
                <w:sz w:val="21"/>
              </w:rPr>
              <w:t>本项目小时浓度</w:t>
            </w:r>
          </w:p>
        </w:tc>
      </w:tr>
      <w:tr>
        <w:trPr>
          <w:trHeight w:val="359" w:hRule="atLeast"/>
        </w:trPr>
        <w:tc>
          <w:tcPr>
            <w:tcW w:w="905" w:type="dxa"/>
            <w:vMerge/>
            <w:tcBorders>
              <w:top w:val="nil"/>
              <w:bottom w:val="single" w:sz="4" w:space="0" w:color="000000"/>
              <w:right w:val="single" w:sz="4" w:space="0" w:color="000000"/>
            </w:tcBorders>
          </w:tcPr>
          <w:p>
            <w:pPr>
              <w:rPr>
                <w:sz w:val="2"/>
                <w:szCs w:val="2"/>
              </w:rPr>
            </w:pPr>
          </w:p>
        </w:tc>
        <w:tc>
          <w:tcPr>
            <w:tcW w:w="1395" w:type="dxa"/>
            <w:tcBorders>
              <w:top w:val="single" w:sz="4" w:space="0" w:color="000000"/>
              <w:left w:val="single" w:sz="4" w:space="0" w:color="000000"/>
              <w:bottom w:val="single" w:sz="4" w:space="0" w:color="000000"/>
              <w:right w:val="single" w:sz="4" w:space="0" w:color="000000"/>
            </w:tcBorders>
          </w:tcPr>
          <w:p>
            <w:pPr>
              <w:pStyle w:val="TableParagraph"/>
              <w:spacing w:before="44"/>
              <w:ind w:left="133" w:right="108"/>
              <w:rPr>
                <w:rFonts w:ascii="宋体" w:eastAsia="宋体" w:hint="eastAsia"/>
                <w:sz w:val="21"/>
              </w:rPr>
            </w:pPr>
            <w:r>
              <w:rPr>
                <w:rFonts w:ascii="宋体" w:eastAsia="宋体" w:hint="eastAsia"/>
                <w:sz w:val="21"/>
              </w:rPr>
              <w:t>（</w:t>
            </w:r>
            <w:r>
              <w:rPr>
                <w:sz w:val="21"/>
              </w:rPr>
              <w:t>-50,150</w:t>
            </w:r>
            <w:r>
              <w:rPr>
                <w:rFonts w:ascii="宋体" w:eastAsia="宋体" w:hint="eastAsia"/>
                <w:sz w:val="21"/>
              </w:rPr>
              <w:t>）</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right="115"/>
              <w:jc w:val="right"/>
              <w:rPr>
                <w:sz w:val="21"/>
              </w:rPr>
            </w:pPr>
            <w:r>
              <w:rPr>
                <w:sz w:val="21"/>
              </w:rPr>
              <w:t>19100224</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26" w:right="97"/>
              <w:rPr>
                <w:sz w:val="21"/>
              </w:rPr>
            </w:pPr>
            <w:r>
              <w:rPr>
                <w:sz w:val="21"/>
              </w:rPr>
              <w:t>4.46E-01</w:t>
            </w:r>
          </w:p>
        </w:tc>
        <w:tc>
          <w:tcPr>
            <w:tcW w:w="894" w:type="dxa"/>
            <w:tcBorders>
              <w:top w:val="single" w:sz="4" w:space="0" w:color="000000"/>
              <w:left w:val="single" w:sz="4" w:space="0" w:color="000000"/>
              <w:bottom w:val="single" w:sz="4" w:space="0" w:color="000000"/>
              <w:right w:val="single" w:sz="4" w:space="0" w:color="000000"/>
            </w:tcBorders>
          </w:tcPr>
          <w:p>
            <w:pPr>
              <w:pStyle w:val="TableParagraph"/>
              <w:ind w:left="120" w:right="86"/>
              <w:rPr>
                <w:sz w:val="21"/>
              </w:rPr>
            </w:pPr>
            <w:r>
              <w:rPr>
                <w:sz w:val="21"/>
              </w:rPr>
              <w:t>222.87</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81"/>
              <w:jc w:val="left"/>
              <w:rPr>
                <w:sz w:val="21"/>
              </w:rPr>
            </w:pPr>
            <w:r>
              <w:rPr>
                <w:sz w:val="21"/>
              </w:rPr>
              <w:t>2.00E-01</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before="44"/>
              <w:ind w:left="129" w:right="93"/>
              <w:rPr>
                <w:rFonts w:ascii="宋体" w:eastAsia="宋体" w:hint="eastAsia"/>
                <w:sz w:val="21"/>
              </w:rPr>
            </w:pPr>
            <w:r>
              <w:rPr>
                <w:rFonts w:ascii="宋体" w:eastAsia="宋体" w:hint="eastAsia"/>
                <w:sz w:val="21"/>
              </w:rPr>
              <w:t>超标</w:t>
            </w:r>
          </w:p>
        </w:tc>
        <w:tc>
          <w:tcPr>
            <w:tcW w:w="1761" w:type="dxa"/>
            <w:tcBorders>
              <w:top w:val="single" w:sz="4" w:space="0" w:color="000000"/>
              <w:left w:val="single" w:sz="4" w:space="0" w:color="000000"/>
              <w:bottom w:val="single" w:sz="4" w:space="0" w:color="000000"/>
            </w:tcBorders>
          </w:tcPr>
          <w:p>
            <w:pPr>
              <w:pStyle w:val="TableParagraph"/>
              <w:spacing w:before="44"/>
              <w:ind w:left="139" w:right="91"/>
              <w:rPr>
                <w:rFonts w:ascii="宋体" w:eastAsia="宋体" w:hint="eastAsia"/>
                <w:sz w:val="21"/>
              </w:rPr>
            </w:pPr>
            <w:r>
              <w:rPr>
                <w:rFonts w:ascii="宋体" w:eastAsia="宋体" w:hint="eastAsia"/>
                <w:sz w:val="21"/>
              </w:rPr>
              <w:t>叠加后小时浓度</w:t>
            </w:r>
          </w:p>
        </w:tc>
      </w:tr>
      <w:tr>
        <w:trPr>
          <w:trHeight w:val="349" w:hRule="atLeast"/>
        </w:trPr>
        <w:tc>
          <w:tcPr>
            <w:tcW w:w="905" w:type="dxa"/>
            <w:vMerge w:val="restart"/>
            <w:tcBorders>
              <w:top w:val="single" w:sz="4" w:space="0" w:color="000000"/>
              <w:right w:val="single" w:sz="4" w:space="0" w:color="000000"/>
            </w:tcBorders>
          </w:tcPr>
          <w:p>
            <w:pPr>
              <w:pStyle w:val="TableParagraph"/>
              <w:spacing w:before="4"/>
              <w:jc w:val="left"/>
              <w:rPr>
                <w:rFonts w:ascii="宋体"/>
                <w:b/>
                <w:sz w:val="33"/>
              </w:rPr>
            </w:pPr>
          </w:p>
          <w:p>
            <w:pPr>
              <w:pStyle w:val="TableParagraph"/>
              <w:spacing w:before="0"/>
              <w:ind w:left="282"/>
              <w:jc w:val="left"/>
              <w:rPr>
                <w:sz w:val="21"/>
              </w:rPr>
            </w:pPr>
            <w:r>
              <w:rPr>
                <w:position w:val="2"/>
                <w:sz w:val="21"/>
              </w:rPr>
              <w:t>H</w:t>
            </w:r>
            <w:r>
              <w:rPr>
                <w:sz w:val="14"/>
              </w:rPr>
              <w:t>2</w:t>
            </w:r>
            <w:r>
              <w:rPr>
                <w:position w:val="2"/>
                <w:sz w:val="21"/>
              </w:rPr>
              <w:t>S</w:t>
            </w:r>
          </w:p>
        </w:tc>
        <w:tc>
          <w:tcPr>
            <w:tcW w:w="1395" w:type="dxa"/>
            <w:tcBorders>
              <w:top w:val="single" w:sz="4" w:space="0" w:color="000000"/>
              <w:left w:val="single" w:sz="4" w:space="0" w:color="000000"/>
              <w:bottom w:val="single" w:sz="4" w:space="0" w:color="000000"/>
              <w:right w:val="single" w:sz="4" w:space="0" w:color="000000"/>
            </w:tcBorders>
          </w:tcPr>
          <w:p>
            <w:pPr>
              <w:pStyle w:val="TableParagraph"/>
              <w:spacing w:before="44"/>
              <w:ind w:left="133" w:right="106"/>
              <w:rPr>
                <w:rFonts w:ascii="宋体" w:eastAsia="宋体" w:hint="eastAsia"/>
                <w:sz w:val="21"/>
              </w:rPr>
            </w:pPr>
            <w:r>
              <w:rPr>
                <w:rFonts w:ascii="宋体" w:eastAsia="宋体" w:hint="eastAsia"/>
                <w:sz w:val="21"/>
              </w:rPr>
              <w:t>（</w:t>
            </w:r>
            <w:r>
              <w:rPr>
                <w:sz w:val="21"/>
              </w:rPr>
              <w:t>123,89</w:t>
            </w:r>
            <w:r>
              <w:rPr>
                <w:rFonts w:ascii="宋体" w:eastAsia="宋体" w:hint="eastAsia"/>
                <w:sz w:val="21"/>
              </w:rPr>
              <w:t>）</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right="115"/>
              <w:jc w:val="right"/>
              <w:rPr>
                <w:sz w:val="21"/>
              </w:rPr>
            </w:pPr>
            <w:r>
              <w:rPr>
                <w:sz w:val="21"/>
              </w:rPr>
              <w:t>19031020</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26" w:right="97"/>
              <w:rPr>
                <w:sz w:val="21"/>
              </w:rPr>
            </w:pPr>
            <w:r>
              <w:rPr>
                <w:sz w:val="21"/>
              </w:rPr>
              <w:t>1.74E-02</w:t>
            </w:r>
          </w:p>
        </w:tc>
        <w:tc>
          <w:tcPr>
            <w:tcW w:w="894" w:type="dxa"/>
            <w:tcBorders>
              <w:top w:val="single" w:sz="4" w:space="0" w:color="000000"/>
              <w:left w:val="single" w:sz="4" w:space="0" w:color="000000"/>
              <w:bottom w:val="single" w:sz="4" w:space="0" w:color="000000"/>
              <w:right w:val="single" w:sz="4" w:space="0" w:color="000000"/>
            </w:tcBorders>
          </w:tcPr>
          <w:p>
            <w:pPr>
              <w:pStyle w:val="TableParagraph"/>
              <w:ind w:left="120" w:right="86"/>
              <w:rPr>
                <w:sz w:val="21"/>
              </w:rPr>
            </w:pPr>
            <w:r>
              <w:rPr>
                <w:sz w:val="21"/>
              </w:rPr>
              <w:t>29.00</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ind w:left="181"/>
              <w:jc w:val="left"/>
              <w:rPr>
                <w:sz w:val="21"/>
              </w:rPr>
            </w:pPr>
            <w:r>
              <w:rPr>
                <w:sz w:val="21"/>
              </w:rPr>
              <w:t>6.00E-02</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before="44"/>
              <w:ind w:left="129" w:right="93"/>
              <w:rPr>
                <w:rFonts w:ascii="宋体" w:eastAsia="宋体" w:hint="eastAsia"/>
                <w:sz w:val="21"/>
              </w:rPr>
            </w:pPr>
            <w:r>
              <w:rPr>
                <w:rFonts w:ascii="宋体" w:eastAsia="宋体" w:hint="eastAsia"/>
                <w:sz w:val="21"/>
              </w:rPr>
              <w:t>达标</w:t>
            </w:r>
          </w:p>
        </w:tc>
        <w:tc>
          <w:tcPr>
            <w:tcW w:w="1761" w:type="dxa"/>
            <w:tcBorders>
              <w:top w:val="single" w:sz="4" w:space="0" w:color="000000"/>
              <w:left w:val="single" w:sz="4" w:space="0" w:color="000000"/>
              <w:bottom w:val="single" w:sz="4" w:space="0" w:color="000000"/>
            </w:tcBorders>
          </w:tcPr>
          <w:p>
            <w:pPr>
              <w:pStyle w:val="TableParagraph"/>
              <w:spacing w:before="44"/>
              <w:ind w:left="139" w:right="91"/>
              <w:rPr>
                <w:rFonts w:ascii="宋体" w:eastAsia="宋体" w:hint="eastAsia"/>
                <w:sz w:val="21"/>
              </w:rPr>
            </w:pPr>
            <w:r>
              <w:rPr>
                <w:rFonts w:ascii="宋体" w:eastAsia="宋体" w:hint="eastAsia"/>
                <w:sz w:val="21"/>
              </w:rPr>
              <w:t>厂界贡献浓度</w:t>
            </w:r>
          </w:p>
        </w:tc>
      </w:tr>
      <w:tr>
        <w:trPr>
          <w:trHeight w:val="337" w:hRule="atLeast"/>
        </w:trPr>
        <w:tc>
          <w:tcPr>
            <w:tcW w:w="905" w:type="dxa"/>
            <w:vMerge/>
            <w:tcBorders>
              <w:top w:val="nil"/>
              <w:right w:val="single" w:sz="4" w:space="0" w:color="000000"/>
            </w:tcBorders>
          </w:tcPr>
          <w:p>
            <w:pPr>
              <w:rPr>
                <w:sz w:val="2"/>
                <w:szCs w:val="2"/>
              </w:rPr>
            </w:pPr>
          </w:p>
        </w:tc>
        <w:tc>
          <w:tcPr>
            <w:tcW w:w="1395" w:type="dxa"/>
            <w:tcBorders>
              <w:top w:val="single" w:sz="4" w:space="0" w:color="000000"/>
              <w:left w:val="single" w:sz="4" w:space="0" w:color="000000"/>
              <w:bottom w:val="single" w:sz="4" w:space="0" w:color="000000"/>
              <w:right w:val="single" w:sz="4" w:space="0" w:color="000000"/>
            </w:tcBorders>
          </w:tcPr>
          <w:p>
            <w:pPr>
              <w:pStyle w:val="TableParagraph"/>
              <w:spacing w:before="34"/>
              <w:ind w:left="133" w:right="108"/>
              <w:rPr>
                <w:rFonts w:ascii="宋体" w:eastAsia="宋体" w:hint="eastAsia"/>
                <w:sz w:val="21"/>
              </w:rPr>
            </w:pPr>
            <w:r>
              <w:rPr>
                <w:rFonts w:ascii="宋体" w:eastAsia="宋体" w:hint="eastAsia"/>
                <w:sz w:val="21"/>
              </w:rPr>
              <w:t>（</w:t>
            </w:r>
            <w:r>
              <w:rPr>
                <w:sz w:val="21"/>
              </w:rPr>
              <w:t>150,100</w:t>
            </w:r>
            <w:r>
              <w:rPr>
                <w:rFonts w:ascii="宋体" w:eastAsia="宋体" w:hint="eastAsia"/>
                <w:sz w:val="21"/>
              </w:rPr>
              <w:t>）</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48"/>
              <w:ind w:right="115"/>
              <w:jc w:val="right"/>
              <w:rPr>
                <w:sz w:val="21"/>
              </w:rPr>
            </w:pPr>
            <w:r>
              <w:rPr>
                <w:sz w:val="21"/>
              </w:rPr>
              <w:t>19090920</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48"/>
              <w:ind w:left="126" w:right="97"/>
              <w:rPr>
                <w:sz w:val="21"/>
              </w:rPr>
            </w:pPr>
            <w:r>
              <w:rPr>
                <w:sz w:val="21"/>
              </w:rPr>
              <w:t>1.67E-02</w:t>
            </w:r>
          </w:p>
        </w:tc>
        <w:tc>
          <w:tcPr>
            <w:tcW w:w="894" w:type="dxa"/>
            <w:tcBorders>
              <w:top w:val="single" w:sz="4" w:space="0" w:color="000000"/>
              <w:left w:val="single" w:sz="4" w:space="0" w:color="000000"/>
              <w:bottom w:val="single" w:sz="4" w:space="0" w:color="000000"/>
              <w:right w:val="single" w:sz="4" w:space="0" w:color="000000"/>
            </w:tcBorders>
          </w:tcPr>
          <w:p>
            <w:pPr>
              <w:pStyle w:val="TableParagraph"/>
              <w:spacing w:before="48"/>
              <w:ind w:left="120" w:right="86"/>
              <w:rPr>
                <w:sz w:val="21"/>
              </w:rPr>
            </w:pPr>
            <w:r>
              <w:rPr>
                <w:sz w:val="21"/>
              </w:rPr>
              <w:t>166.55</w:t>
            </w:r>
          </w:p>
        </w:tc>
        <w:tc>
          <w:tcPr>
            <w:tcW w:w="1118" w:type="dxa"/>
            <w:tcBorders>
              <w:top w:val="single" w:sz="4" w:space="0" w:color="000000"/>
              <w:left w:val="single" w:sz="4" w:space="0" w:color="000000"/>
              <w:bottom w:val="single" w:sz="4" w:space="0" w:color="000000"/>
              <w:right w:val="single" w:sz="4" w:space="0" w:color="000000"/>
            </w:tcBorders>
          </w:tcPr>
          <w:p>
            <w:pPr>
              <w:pStyle w:val="TableParagraph"/>
              <w:spacing w:before="48"/>
              <w:ind w:left="181"/>
              <w:jc w:val="left"/>
              <w:rPr>
                <w:sz w:val="21"/>
              </w:rPr>
            </w:pPr>
            <w:r>
              <w:rPr>
                <w:sz w:val="21"/>
              </w:rPr>
              <w:t>1.00E-02</w:t>
            </w:r>
          </w:p>
        </w:tc>
        <w:tc>
          <w:tcPr>
            <w:tcW w:w="1117" w:type="dxa"/>
            <w:tcBorders>
              <w:top w:val="single" w:sz="4" w:space="0" w:color="000000"/>
              <w:left w:val="single" w:sz="4" w:space="0" w:color="000000"/>
              <w:bottom w:val="single" w:sz="4" w:space="0" w:color="000000"/>
              <w:right w:val="single" w:sz="4" w:space="0" w:color="000000"/>
            </w:tcBorders>
          </w:tcPr>
          <w:p>
            <w:pPr>
              <w:pStyle w:val="TableParagraph"/>
              <w:spacing w:before="34"/>
              <w:ind w:left="129" w:right="93"/>
              <w:rPr>
                <w:rFonts w:ascii="宋体" w:eastAsia="宋体" w:hint="eastAsia"/>
                <w:sz w:val="21"/>
              </w:rPr>
            </w:pPr>
            <w:r>
              <w:rPr>
                <w:rFonts w:ascii="宋体" w:eastAsia="宋体" w:hint="eastAsia"/>
                <w:sz w:val="21"/>
              </w:rPr>
              <w:t>超标</w:t>
            </w:r>
          </w:p>
        </w:tc>
        <w:tc>
          <w:tcPr>
            <w:tcW w:w="1761" w:type="dxa"/>
            <w:tcBorders>
              <w:top w:val="single" w:sz="4" w:space="0" w:color="000000"/>
              <w:left w:val="single" w:sz="4" w:space="0" w:color="000000"/>
              <w:bottom w:val="single" w:sz="4" w:space="0" w:color="000000"/>
            </w:tcBorders>
          </w:tcPr>
          <w:p>
            <w:pPr>
              <w:pStyle w:val="TableParagraph"/>
              <w:spacing w:before="34"/>
              <w:ind w:left="139" w:right="91"/>
              <w:rPr>
                <w:rFonts w:ascii="宋体" w:eastAsia="宋体" w:hint="eastAsia"/>
                <w:sz w:val="21"/>
              </w:rPr>
            </w:pPr>
            <w:r>
              <w:rPr>
                <w:rFonts w:ascii="宋体" w:eastAsia="宋体" w:hint="eastAsia"/>
                <w:sz w:val="21"/>
              </w:rPr>
              <w:t>本项目小时浓度</w:t>
            </w:r>
          </w:p>
        </w:tc>
      </w:tr>
      <w:tr>
        <w:trPr>
          <w:trHeight w:val="349" w:hRule="atLeast"/>
        </w:trPr>
        <w:tc>
          <w:tcPr>
            <w:tcW w:w="905" w:type="dxa"/>
            <w:vMerge/>
            <w:tcBorders>
              <w:top w:val="nil"/>
              <w:right w:val="single" w:sz="4" w:space="0" w:color="000000"/>
            </w:tcBorders>
          </w:tcPr>
          <w:p>
            <w:pPr>
              <w:rPr>
                <w:sz w:val="2"/>
                <w:szCs w:val="2"/>
              </w:rPr>
            </w:pPr>
          </w:p>
        </w:tc>
        <w:tc>
          <w:tcPr>
            <w:tcW w:w="1395" w:type="dxa"/>
            <w:tcBorders>
              <w:top w:val="single" w:sz="4" w:space="0" w:color="000000"/>
              <w:left w:val="single" w:sz="4" w:space="0" w:color="000000"/>
              <w:right w:val="single" w:sz="4" w:space="0" w:color="000000"/>
            </w:tcBorders>
          </w:tcPr>
          <w:p>
            <w:pPr>
              <w:pStyle w:val="TableParagraph"/>
              <w:spacing w:before="34"/>
              <w:ind w:left="133" w:right="108"/>
              <w:rPr>
                <w:rFonts w:ascii="宋体" w:eastAsia="宋体" w:hint="eastAsia"/>
                <w:sz w:val="21"/>
              </w:rPr>
            </w:pPr>
            <w:r>
              <w:rPr>
                <w:rFonts w:ascii="宋体" w:eastAsia="宋体" w:hint="eastAsia"/>
                <w:sz w:val="21"/>
              </w:rPr>
              <w:t>（</w:t>
            </w:r>
            <w:r>
              <w:rPr>
                <w:sz w:val="21"/>
              </w:rPr>
              <w:t>150,100</w:t>
            </w:r>
            <w:r>
              <w:rPr>
                <w:rFonts w:ascii="宋体" w:eastAsia="宋体" w:hint="eastAsia"/>
                <w:sz w:val="21"/>
              </w:rPr>
              <w:t>）</w:t>
            </w:r>
          </w:p>
        </w:tc>
        <w:tc>
          <w:tcPr>
            <w:tcW w:w="1118" w:type="dxa"/>
            <w:tcBorders>
              <w:top w:val="single" w:sz="4" w:space="0" w:color="000000"/>
              <w:left w:val="single" w:sz="4" w:space="0" w:color="000000"/>
              <w:right w:val="single" w:sz="4" w:space="0" w:color="000000"/>
            </w:tcBorders>
          </w:tcPr>
          <w:p>
            <w:pPr>
              <w:pStyle w:val="TableParagraph"/>
              <w:spacing w:before="48"/>
              <w:ind w:right="115"/>
              <w:jc w:val="right"/>
              <w:rPr>
                <w:sz w:val="21"/>
              </w:rPr>
            </w:pPr>
            <w:r>
              <w:rPr>
                <w:sz w:val="21"/>
              </w:rPr>
              <w:t>19090920</w:t>
            </w:r>
          </w:p>
        </w:tc>
        <w:tc>
          <w:tcPr>
            <w:tcW w:w="1118" w:type="dxa"/>
            <w:tcBorders>
              <w:top w:val="single" w:sz="4" w:space="0" w:color="000000"/>
              <w:left w:val="single" w:sz="4" w:space="0" w:color="000000"/>
              <w:right w:val="single" w:sz="4" w:space="0" w:color="000000"/>
            </w:tcBorders>
          </w:tcPr>
          <w:p>
            <w:pPr>
              <w:pStyle w:val="TableParagraph"/>
              <w:spacing w:before="48"/>
              <w:ind w:left="126" w:right="97"/>
              <w:rPr>
                <w:sz w:val="21"/>
              </w:rPr>
            </w:pPr>
            <w:r>
              <w:rPr>
                <w:sz w:val="21"/>
              </w:rPr>
              <w:t>2.07E-02</w:t>
            </w:r>
          </w:p>
        </w:tc>
        <w:tc>
          <w:tcPr>
            <w:tcW w:w="894" w:type="dxa"/>
            <w:tcBorders>
              <w:top w:val="single" w:sz="4" w:space="0" w:color="000000"/>
              <w:left w:val="single" w:sz="4" w:space="0" w:color="000000"/>
              <w:right w:val="single" w:sz="4" w:space="0" w:color="000000"/>
            </w:tcBorders>
          </w:tcPr>
          <w:p>
            <w:pPr>
              <w:pStyle w:val="TableParagraph"/>
              <w:spacing w:before="48"/>
              <w:ind w:left="120" w:right="86"/>
              <w:rPr>
                <w:sz w:val="21"/>
              </w:rPr>
            </w:pPr>
            <w:r>
              <w:rPr>
                <w:sz w:val="21"/>
              </w:rPr>
              <w:t>206.55</w:t>
            </w:r>
          </w:p>
        </w:tc>
        <w:tc>
          <w:tcPr>
            <w:tcW w:w="1118" w:type="dxa"/>
            <w:tcBorders>
              <w:top w:val="single" w:sz="4" w:space="0" w:color="000000"/>
              <w:left w:val="single" w:sz="4" w:space="0" w:color="000000"/>
              <w:right w:val="single" w:sz="4" w:space="0" w:color="000000"/>
            </w:tcBorders>
          </w:tcPr>
          <w:p>
            <w:pPr>
              <w:pStyle w:val="TableParagraph"/>
              <w:spacing w:before="48"/>
              <w:ind w:left="181"/>
              <w:jc w:val="left"/>
              <w:rPr>
                <w:sz w:val="21"/>
              </w:rPr>
            </w:pPr>
            <w:r>
              <w:rPr>
                <w:sz w:val="21"/>
              </w:rPr>
              <w:t>1.00E-02</w:t>
            </w:r>
          </w:p>
        </w:tc>
        <w:tc>
          <w:tcPr>
            <w:tcW w:w="1117" w:type="dxa"/>
            <w:tcBorders>
              <w:top w:val="single" w:sz="4" w:space="0" w:color="000000"/>
              <w:left w:val="single" w:sz="4" w:space="0" w:color="000000"/>
              <w:right w:val="single" w:sz="4" w:space="0" w:color="000000"/>
            </w:tcBorders>
          </w:tcPr>
          <w:p>
            <w:pPr>
              <w:pStyle w:val="TableParagraph"/>
              <w:spacing w:before="34"/>
              <w:ind w:left="129" w:right="93"/>
              <w:rPr>
                <w:rFonts w:ascii="宋体" w:eastAsia="宋体" w:hint="eastAsia"/>
                <w:sz w:val="21"/>
              </w:rPr>
            </w:pPr>
            <w:r>
              <w:rPr>
                <w:rFonts w:ascii="宋体" w:eastAsia="宋体" w:hint="eastAsia"/>
                <w:sz w:val="21"/>
              </w:rPr>
              <w:t>超标</w:t>
            </w:r>
          </w:p>
        </w:tc>
        <w:tc>
          <w:tcPr>
            <w:tcW w:w="1761" w:type="dxa"/>
            <w:tcBorders>
              <w:top w:val="single" w:sz="4" w:space="0" w:color="000000"/>
              <w:left w:val="single" w:sz="4" w:space="0" w:color="000000"/>
            </w:tcBorders>
          </w:tcPr>
          <w:p>
            <w:pPr>
              <w:pStyle w:val="TableParagraph"/>
              <w:spacing w:before="34"/>
              <w:ind w:left="139" w:right="91"/>
              <w:rPr>
                <w:rFonts w:ascii="宋体" w:eastAsia="宋体" w:hint="eastAsia"/>
                <w:sz w:val="21"/>
              </w:rPr>
            </w:pPr>
            <w:r>
              <w:rPr>
                <w:rFonts w:ascii="宋体" w:eastAsia="宋体" w:hint="eastAsia"/>
                <w:sz w:val="21"/>
              </w:rPr>
              <w:t>叠加后小时浓度</w:t>
            </w:r>
          </w:p>
        </w:tc>
      </w:tr>
    </w:tbl>
    <w:p>
      <w:pPr>
        <w:pStyle w:val="BodyText"/>
        <w:spacing w:line="364" w:lineRule="auto" w:before="81"/>
        <w:ind w:right="211" w:firstLine="480"/>
        <w:jc w:val="both"/>
      </w:pPr>
      <w:r>
        <w:rPr>
          <w:spacing w:val="-4"/>
        </w:rPr>
        <w:t>根据《环境影响评价技术导则 大气环境》</w:t>
      </w:r>
      <w:r>
        <w:rPr/>
        <w:t>（</w:t>
      </w:r>
      <w:r>
        <w:rPr>
          <w:rFonts w:ascii="Times New Roman" w:hAnsi="Times New Roman" w:eastAsia="Times New Roman"/>
        </w:rPr>
        <w:t>HJ 2.2-2018</w:t>
      </w:r>
      <w:r>
        <w:rPr/>
        <w:t>）“对于厂界浓度满足大气污染物厂界浓度限值，但厂界外大气污染物短期贡献浓度超过环境质量浓度限值的，可以自厂界向外设置一定范围的大气环境防护区域，以确保大气环境防护区域外的污染物</w:t>
      </w:r>
      <w:r>
        <w:rPr>
          <w:spacing w:val="-1"/>
        </w:rPr>
        <w:t>贡献浓度满足环境质量标准”及结论要求中</w:t>
      </w:r>
      <w:r>
        <w:rPr>
          <w:rFonts w:ascii="Times New Roman" w:hAnsi="Times New Roman" w:eastAsia="Times New Roman"/>
        </w:rPr>
        <w:t>“</w:t>
      </w:r>
      <w:r>
        <w:rPr>
          <w:spacing w:val="-1"/>
        </w:rPr>
        <w:t>大气环境防护区域之外，叠加后的短期浓度须符合环境质量标准</w:t>
      </w:r>
      <w:r>
        <w:rPr>
          <w:rFonts w:ascii="Times New Roman" w:hAnsi="Times New Roman" w:eastAsia="Times New Roman"/>
          <w:spacing w:val="-1"/>
        </w:rPr>
        <w:t>”</w:t>
      </w:r>
      <w:r>
        <w:rPr>
          <w:spacing w:val="-4"/>
        </w:rPr>
        <w:t>的规定，本环评要求建设项目设置大气环境防护距离</w:t>
      </w:r>
      <w:r>
        <w:rPr/>
        <w:t>（具体详见图</w:t>
      </w:r>
      <w:r>
        <w:rPr>
          <w:rFonts w:ascii="Times New Roman" w:hAnsi="Times New Roman" w:eastAsia="Times New Roman"/>
          <w:position w:val="2"/>
        </w:rPr>
        <w:t>5.2-17 </w:t>
      </w:r>
      <w:r>
        <w:rPr>
          <w:spacing w:val="-22"/>
          <w:position w:val="2"/>
        </w:rPr>
        <w:t>及图 </w:t>
      </w:r>
      <w:r>
        <w:rPr>
          <w:rFonts w:ascii="Times New Roman" w:hAnsi="Times New Roman" w:eastAsia="Times New Roman"/>
          <w:position w:val="2"/>
        </w:rPr>
        <w:t>5.2-18</w:t>
      </w:r>
      <w:r>
        <w:rPr>
          <w:position w:val="2"/>
        </w:rPr>
        <w:t>）</w:t>
      </w:r>
      <w:r>
        <w:rPr>
          <w:spacing w:val="-3"/>
          <w:position w:val="2"/>
        </w:rPr>
        <w:t>。根据计算，</w:t>
      </w:r>
      <w:r>
        <w:rPr>
          <w:rFonts w:ascii="Times New Roman" w:hAnsi="Times New Roman" w:eastAsia="Times New Roman"/>
          <w:spacing w:val="-3"/>
          <w:position w:val="2"/>
        </w:rPr>
        <w:t>NH</w:t>
      </w:r>
      <w:r>
        <w:rPr>
          <w:rFonts w:ascii="Times New Roman" w:hAnsi="Times New Roman" w:eastAsia="Times New Roman"/>
          <w:spacing w:val="-3"/>
          <w:sz w:val="16"/>
        </w:rPr>
        <w:t>3</w:t>
      </w:r>
      <w:r>
        <w:rPr>
          <w:spacing w:val="-10"/>
          <w:position w:val="2"/>
        </w:rPr>
        <w:t>、</w:t>
      </w:r>
      <w:r>
        <w:rPr>
          <w:rFonts w:ascii="Times New Roman" w:hAnsi="Times New Roman" w:eastAsia="Times New Roman"/>
          <w:position w:val="2"/>
        </w:rPr>
        <w:t>H</w:t>
      </w:r>
      <w:r>
        <w:rPr>
          <w:rFonts w:ascii="Times New Roman" w:hAnsi="Times New Roman" w:eastAsia="Times New Roman"/>
          <w:sz w:val="16"/>
        </w:rPr>
        <w:t>2</w:t>
      </w:r>
      <w:r>
        <w:rPr>
          <w:rFonts w:ascii="Times New Roman" w:hAnsi="Times New Roman" w:eastAsia="Times New Roman"/>
          <w:position w:val="2"/>
        </w:rPr>
        <w:t>S </w:t>
      </w:r>
      <w:r>
        <w:rPr>
          <w:spacing w:val="-5"/>
          <w:position w:val="2"/>
        </w:rPr>
        <w:t>厂界外最远超标距离分别为 </w:t>
      </w:r>
      <w:r>
        <w:rPr>
          <w:rFonts w:ascii="Times New Roman" w:hAnsi="Times New Roman" w:eastAsia="Times New Roman"/>
          <w:position w:val="2"/>
        </w:rPr>
        <w:t>69m</w:t>
      </w:r>
      <w:r>
        <w:rPr>
          <w:spacing w:val="-10"/>
          <w:position w:val="2"/>
        </w:rPr>
        <w:t>、</w:t>
      </w:r>
      <w:r>
        <w:rPr>
          <w:rFonts w:ascii="Times New Roman" w:hAnsi="Times New Roman" w:eastAsia="Times New Roman"/>
          <w:position w:val="2"/>
        </w:rPr>
        <w:t>453m</w:t>
      </w:r>
      <w:r>
        <w:rPr>
          <w:position w:val="2"/>
        </w:rPr>
        <w:t>，因</w:t>
      </w:r>
      <w:r>
        <w:rPr>
          <w:spacing w:val="-6"/>
        </w:rPr>
        <w:t>计算时网格点分辨率为 </w:t>
      </w:r>
      <w:r>
        <w:rPr>
          <w:rFonts w:ascii="Times New Roman" w:hAnsi="Times New Roman" w:eastAsia="Times New Roman"/>
        </w:rPr>
        <w:t>50m</w:t>
      </w:r>
      <w:r>
        <w:rPr>
          <w:spacing w:val="-4"/>
        </w:rPr>
        <w:t>，所以本项目保守考虑防护距离取 </w:t>
      </w:r>
      <w:r>
        <w:rPr>
          <w:rFonts w:ascii="Times New Roman" w:hAnsi="Times New Roman" w:eastAsia="Times New Roman"/>
        </w:rPr>
        <w:t>500m</w:t>
      </w:r>
      <w:r>
        <w:rPr/>
        <w:t>（</w:t>
      </w:r>
      <w:r>
        <w:rPr>
          <w:spacing w:val="-2"/>
        </w:rPr>
        <w:t>即距东、南、西、</w:t>
      </w:r>
      <w:r>
        <w:rPr>
          <w:spacing w:val="-16"/>
        </w:rPr>
        <w:t>北厂界 </w:t>
      </w:r>
      <w:r>
        <w:rPr>
          <w:rFonts w:ascii="Times New Roman" w:hAnsi="Times New Roman" w:eastAsia="Times New Roman"/>
        </w:rPr>
        <w:t>500m </w:t>
      </w:r>
      <w:r>
        <w:rPr/>
        <w:t>的范围为大气环境防护距离范围</w:t>
      </w:r>
      <w:r>
        <w:rPr>
          <w:spacing w:val="-12"/>
        </w:rPr>
        <w:t>），</w:t>
      </w:r>
      <w:r>
        <w:rPr>
          <w:spacing w:val="-15"/>
        </w:rPr>
        <w:t>详见图 </w:t>
      </w:r>
      <w:r>
        <w:rPr>
          <w:rFonts w:ascii="Times New Roman" w:hAnsi="Times New Roman" w:eastAsia="Times New Roman"/>
        </w:rPr>
        <w:t>5.2-36</w:t>
      </w:r>
      <w:r>
        <w:rPr>
          <w:spacing w:val="-5"/>
        </w:rPr>
        <w:t>。根据调查可知，目前该</w:t>
      </w:r>
      <w:r>
        <w:rPr>
          <w:spacing w:val="-4"/>
        </w:rPr>
        <w:t>大气环境防护距离内无空气敏感保护目标分布，大气环境防护距离外的预测结果均能达标（</w:t>
      </w:r>
      <w:r>
        <w:rPr>
          <w:spacing w:val="-19"/>
        </w:rPr>
        <w:t>详见表 </w:t>
      </w:r>
      <w:r>
        <w:rPr>
          <w:rFonts w:ascii="Times New Roman" w:hAnsi="Times New Roman" w:eastAsia="Times New Roman"/>
        </w:rPr>
        <w:t>5.2-32</w:t>
      </w:r>
      <w:r>
        <w:rPr/>
        <w:t>），</w:t>
      </w:r>
      <w:r>
        <w:rPr>
          <w:spacing w:val="-15"/>
        </w:rPr>
        <w:t>可满足 </w:t>
      </w:r>
      <w:r>
        <w:rPr>
          <w:rFonts w:ascii="Times New Roman" w:hAnsi="Times New Roman" w:eastAsia="Times New Roman"/>
        </w:rPr>
        <w:t>HJ 2.2-2018 </w:t>
      </w:r>
      <w:r>
        <w:rPr/>
        <w:t>要求。</w:t>
      </w:r>
    </w:p>
    <w:p>
      <w:pPr>
        <w:spacing w:after="0" w:line="364" w:lineRule="auto"/>
        <w:jc w:val="both"/>
        <w:sectPr>
          <w:pgSz w:w="11910" w:h="16840"/>
          <w:pgMar w:header="874" w:footer="1004" w:top="1420" w:bottom="1200" w:left="1040" w:right="1160"/>
        </w:sectPr>
      </w:pPr>
    </w:p>
    <w:p>
      <w:pPr>
        <w:pStyle w:val="BodyText"/>
        <w:spacing w:before="1"/>
        <w:ind w:left="0"/>
        <w:rPr>
          <w:sz w:val="3"/>
        </w:rPr>
      </w:pPr>
    </w:p>
    <w:p>
      <w:pPr>
        <w:pStyle w:val="BodyText"/>
        <w:ind w:left="748"/>
        <w:rPr>
          <w:sz w:val="20"/>
        </w:rPr>
      </w:pPr>
      <w:r>
        <w:rPr>
          <w:sz w:val="20"/>
        </w:rPr>
        <w:drawing>
          <wp:inline distT="0" distB="0" distL="0" distR="0">
            <wp:extent cx="5224666" cy="3938968"/>
            <wp:effectExtent l="0" t="0" r="0" b="0"/>
            <wp:docPr id="43" name="image76.jpeg"/>
            <wp:cNvGraphicFramePr>
              <a:graphicFrameLocks noChangeAspect="1"/>
            </wp:cNvGraphicFramePr>
            <a:graphic>
              <a:graphicData uri="http://schemas.openxmlformats.org/drawingml/2006/picture">
                <pic:pic>
                  <pic:nvPicPr>
                    <pic:cNvPr id="44" name="image76.jpeg"/>
                    <pic:cNvPicPr/>
                  </pic:nvPicPr>
                  <pic:blipFill>
                    <a:blip r:embed="rId142" cstate="print"/>
                    <a:stretch>
                      <a:fillRect/>
                    </a:stretch>
                  </pic:blipFill>
                  <pic:spPr>
                    <a:xfrm>
                      <a:off x="0" y="0"/>
                      <a:ext cx="5224666" cy="3938968"/>
                    </a:xfrm>
                    <a:prstGeom prst="rect">
                      <a:avLst/>
                    </a:prstGeom>
                  </pic:spPr>
                </pic:pic>
              </a:graphicData>
            </a:graphic>
          </wp:inline>
        </w:drawing>
      </w:r>
      <w:r>
        <w:rPr>
          <w:sz w:val="20"/>
        </w:rPr>
      </w:r>
    </w:p>
    <w:p>
      <w:pPr>
        <w:pStyle w:val="Heading3"/>
        <w:spacing w:before="88"/>
        <w:ind w:left="558"/>
      </w:pPr>
      <w:r>
        <w:rPr>
          <w:spacing w:val="-31"/>
          <w:position w:val="2"/>
        </w:rPr>
        <w:t>图 </w:t>
      </w:r>
      <w:r>
        <w:rPr>
          <w:rFonts w:ascii="Times New Roman" w:eastAsia="Times New Roman"/>
          <w:position w:val="2"/>
        </w:rPr>
        <w:t>5.2-17</w:t>
      </w:r>
      <w:r>
        <w:rPr>
          <w:rFonts w:ascii="Times New Roman" w:eastAsia="Times New Roman"/>
          <w:spacing w:val="56"/>
          <w:position w:val="2"/>
        </w:rPr>
        <w:t> </w:t>
      </w:r>
      <w:r>
        <w:rPr>
          <w:position w:val="2"/>
        </w:rPr>
        <w:t>本项目大气环境防护距离示意图（</w:t>
      </w:r>
      <w:r>
        <w:rPr>
          <w:spacing w:val="-7"/>
          <w:position w:val="2"/>
        </w:rPr>
        <w:t>红色方块为厂界外 </w:t>
      </w:r>
      <w:r>
        <w:rPr>
          <w:rFonts w:ascii="Times New Roman" w:eastAsia="Times New Roman"/>
          <w:position w:val="2"/>
        </w:rPr>
        <w:t>NH</w:t>
      </w:r>
      <w:r>
        <w:rPr>
          <w:rFonts w:ascii="Times New Roman" w:eastAsia="Times New Roman"/>
          <w:sz w:val="16"/>
        </w:rPr>
        <w:t>3</w:t>
      </w:r>
      <w:r>
        <w:rPr>
          <w:rFonts w:ascii="Times New Roman" w:eastAsia="Times New Roman"/>
          <w:spacing w:val="-2"/>
          <w:sz w:val="16"/>
        </w:rPr>
        <w:t> </w:t>
      </w:r>
      <w:r>
        <w:rPr>
          <w:position w:val="2"/>
        </w:rPr>
        <w:t>的超标范围）</w:t>
      </w:r>
    </w:p>
    <w:p>
      <w:pPr>
        <w:pStyle w:val="BodyText"/>
        <w:ind w:left="0"/>
        <w:rPr>
          <w:b/>
          <w:sz w:val="20"/>
        </w:rPr>
      </w:pPr>
    </w:p>
    <w:p>
      <w:pPr>
        <w:pStyle w:val="BodyText"/>
        <w:spacing w:before="1"/>
        <w:ind w:left="0"/>
        <w:rPr>
          <w:b/>
          <w:sz w:val="23"/>
        </w:rPr>
      </w:pPr>
      <w:r>
        <w:rPr/>
        <w:drawing>
          <wp:anchor distT="0" distB="0" distL="0" distR="0" allowOverlap="1" layoutInCell="1" locked="0" behindDoc="0" simplePos="0" relativeHeight="213">
            <wp:simplePos x="0" y="0"/>
            <wp:positionH relativeFrom="page">
              <wp:posOffset>1144905</wp:posOffset>
            </wp:positionH>
            <wp:positionV relativeFrom="paragraph">
              <wp:posOffset>213113</wp:posOffset>
            </wp:positionV>
            <wp:extent cx="5140998" cy="3871055"/>
            <wp:effectExtent l="0" t="0" r="0" b="0"/>
            <wp:wrapTopAndBottom/>
            <wp:docPr id="45" name="image77.jpeg"/>
            <wp:cNvGraphicFramePr>
              <a:graphicFrameLocks noChangeAspect="1"/>
            </wp:cNvGraphicFramePr>
            <a:graphic>
              <a:graphicData uri="http://schemas.openxmlformats.org/drawingml/2006/picture">
                <pic:pic>
                  <pic:nvPicPr>
                    <pic:cNvPr id="46" name="image77.jpeg"/>
                    <pic:cNvPicPr/>
                  </pic:nvPicPr>
                  <pic:blipFill>
                    <a:blip r:embed="rId143" cstate="print"/>
                    <a:stretch>
                      <a:fillRect/>
                    </a:stretch>
                  </pic:blipFill>
                  <pic:spPr>
                    <a:xfrm>
                      <a:off x="0" y="0"/>
                      <a:ext cx="5140998" cy="3871055"/>
                    </a:xfrm>
                    <a:prstGeom prst="rect">
                      <a:avLst/>
                    </a:prstGeom>
                  </pic:spPr>
                </pic:pic>
              </a:graphicData>
            </a:graphic>
          </wp:anchor>
        </w:drawing>
      </w:r>
    </w:p>
    <w:p>
      <w:pPr>
        <w:spacing w:before="152"/>
        <w:ind w:left="568" w:right="0" w:firstLine="0"/>
        <w:jc w:val="left"/>
        <w:rPr>
          <w:b/>
          <w:sz w:val="24"/>
        </w:rPr>
      </w:pPr>
      <w:r>
        <w:rPr>
          <w:b/>
          <w:spacing w:val="-31"/>
          <w:position w:val="2"/>
          <w:sz w:val="24"/>
        </w:rPr>
        <w:t>图 </w:t>
      </w:r>
      <w:r>
        <w:rPr>
          <w:rFonts w:ascii="Times New Roman" w:eastAsia="Times New Roman"/>
          <w:b/>
          <w:position w:val="2"/>
          <w:sz w:val="24"/>
        </w:rPr>
        <w:t>5.2-18</w:t>
      </w:r>
      <w:r>
        <w:rPr>
          <w:rFonts w:ascii="Times New Roman" w:eastAsia="Times New Roman"/>
          <w:b/>
          <w:spacing w:val="56"/>
          <w:position w:val="2"/>
          <w:sz w:val="24"/>
        </w:rPr>
        <w:t> </w:t>
      </w:r>
      <w:r>
        <w:rPr>
          <w:b/>
          <w:position w:val="2"/>
          <w:sz w:val="24"/>
        </w:rPr>
        <w:t>本项目大气环境防护距离示意图（</w:t>
      </w:r>
      <w:r>
        <w:rPr>
          <w:b/>
          <w:spacing w:val="-7"/>
          <w:position w:val="2"/>
          <w:sz w:val="24"/>
        </w:rPr>
        <w:t>红色方块为厂界外 </w:t>
      </w:r>
      <w:r>
        <w:rPr>
          <w:rFonts w:ascii="Times New Roman" w:eastAsia="Times New Roman"/>
          <w:b/>
          <w:position w:val="2"/>
          <w:sz w:val="24"/>
        </w:rPr>
        <w:t>H</w:t>
      </w:r>
      <w:r>
        <w:rPr>
          <w:rFonts w:ascii="Times New Roman" w:eastAsia="Times New Roman"/>
          <w:b/>
          <w:sz w:val="16"/>
        </w:rPr>
        <w:t>2</w:t>
      </w:r>
      <w:r>
        <w:rPr>
          <w:rFonts w:ascii="Times New Roman" w:eastAsia="Times New Roman"/>
          <w:b/>
          <w:position w:val="2"/>
          <w:sz w:val="24"/>
        </w:rPr>
        <w:t>S</w:t>
      </w:r>
      <w:r>
        <w:rPr>
          <w:rFonts w:ascii="Times New Roman" w:eastAsia="Times New Roman"/>
          <w:b/>
          <w:spacing w:val="-3"/>
          <w:position w:val="2"/>
          <w:sz w:val="24"/>
        </w:rPr>
        <w:t> </w:t>
      </w:r>
      <w:r>
        <w:rPr>
          <w:b/>
          <w:position w:val="2"/>
          <w:sz w:val="24"/>
        </w:rPr>
        <w:t>的超标范围）</w:t>
      </w:r>
    </w:p>
    <w:p>
      <w:pPr>
        <w:spacing w:after="0"/>
        <w:jc w:val="left"/>
        <w:rPr>
          <w:sz w:val="24"/>
        </w:rPr>
        <w:sectPr>
          <w:pgSz w:w="11910" w:h="16840"/>
          <w:pgMar w:header="874" w:footer="1004" w:top="1420" w:bottom="1200" w:left="1040" w:right="1160"/>
        </w:sectPr>
      </w:pPr>
    </w:p>
    <w:p>
      <w:pPr>
        <w:spacing w:before="92"/>
        <w:ind w:left="950" w:right="0" w:firstLine="0"/>
        <w:jc w:val="left"/>
        <w:rPr>
          <w:b/>
          <w:sz w:val="24"/>
        </w:rPr>
      </w:pPr>
      <w:r>
        <w:rPr>
          <w:b/>
          <w:sz w:val="24"/>
        </w:rPr>
        <w:t>表 </w:t>
      </w:r>
      <w:r>
        <w:rPr>
          <w:rFonts w:ascii="Times New Roman" w:eastAsia="Times New Roman"/>
          <w:b/>
          <w:sz w:val="24"/>
        </w:rPr>
        <w:t>5.2-32  </w:t>
      </w:r>
      <w:r>
        <w:rPr>
          <w:b/>
          <w:sz w:val="24"/>
        </w:rPr>
        <w:t>本项目超标因子大气环境防护距离外的预测结果（最大网格点）</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88"/>
        <w:gridCol w:w="1455"/>
        <w:gridCol w:w="1109"/>
        <w:gridCol w:w="1109"/>
        <w:gridCol w:w="888"/>
        <w:gridCol w:w="1112"/>
        <w:gridCol w:w="1109"/>
        <w:gridCol w:w="1762"/>
      </w:tblGrid>
      <w:tr>
        <w:trPr>
          <w:trHeight w:val="359" w:hRule="atLeast"/>
        </w:trPr>
        <w:tc>
          <w:tcPr>
            <w:tcW w:w="888" w:type="dxa"/>
            <w:tcBorders>
              <w:bottom w:val="single" w:sz="4" w:space="0" w:color="000000"/>
              <w:right w:val="single" w:sz="4" w:space="0" w:color="000000"/>
            </w:tcBorders>
          </w:tcPr>
          <w:p>
            <w:pPr>
              <w:pStyle w:val="TableParagraph"/>
              <w:spacing w:before="43"/>
              <w:ind w:left="126"/>
              <w:jc w:val="left"/>
              <w:rPr>
                <w:rFonts w:ascii="宋体" w:eastAsia="宋体" w:hint="eastAsia"/>
                <w:b/>
                <w:sz w:val="21"/>
              </w:rPr>
            </w:pPr>
            <w:r>
              <w:rPr>
                <w:rFonts w:ascii="宋体" w:eastAsia="宋体" w:hint="eastAsia"/>
                <w:b/>
                <w:sz w:val="21"/>
              </w:rPr>
              <w:t>污染物</w:t>
            </w:r>
          </w:p>
        </w:tc>
        <w:tc>
          <w:tcPr>
            <w:tcW w:w="1455" w:type="dxa"/>
            <w:tcBorders>
              <w:left w:val="single" w:sz="4" w:space="0" w:color="000000"/>
              <w:bottom w:val="single" w:sz="4" w:space="0" w:color="000000"/>
              <w:right w:val="single" w:sz="4" w:space="0" w:color="000000"/>
            </w:tcBorders>
          </w:tcPr>
          <w:p>
            <w:pPr>
              <w:pStyle w:val="TableParagraph"/>
              <w:spacing w:before="43"/>
              <w:ind w:left="165" w:right="137"/>
              <w:rPr>
                <w:rFonts w:ascii="宋体" w:eastAsia="宋体" w:hint="eastAsia"/>
                <w:b/>
                <w:sz w:val="21"/>
              </w:rPr>
            </w:pPr>
            <w:r>
              <w:rPr>
                <w:rFonts w:ascii="宋体" w:eastAsia="宋体" w:hint="eastAsia"/>
                <w:b/>
                <w:sz w:val="21"/>
              </w:rPr>
              <w:t>出现坐标</w:t>
            </w:r>
          </w:p>
        </w:tc>
        <w:tc>
          <w:tcPr>
            <w:tcW w:w="1109" w:type="dxa"/>
            <w:tcBorders>
              <w:left w:val="single" w:sz="4" w:space="0" w:color="000000"/>
              <w:bottom w:val="single" w:sz="4" w:space="0" w:color="000000"/>
              <w:right w:val="single" w:sz="4" w:space="0" w:color="000000"/>
            </w:tcBorders>
          </w:tcPr>
          <w:p>
            <w:pPr>
              <w:pStyle w:val="TableParagraph"/>
              <w:spacing w:before="43"/>
              <w:ind w:left="119" w:right="91"/>
              <w:rPr>
                <w:rFonts w:ascii="宋体" w:eastAsia="宋体" w:hint="eastAsia"/>
                <w:b/>
                <w:sz w:val="21"/>
              </w:rPr>
            </w:pPr>
            <w:r>
              <w:rPr>
                <w:rFonts w:ascii="宋体" w:eastAsia="宋体" w:hint="eastAsia"/>
                <w:b/>
                <w:sz w:val="21"/>
              </w:rPr>
              <w:t>出现时间</w:t>
            </w:r>
          </w:p>
        </w:tc>
        <w:tc>
          <w:tcPr>
            <w:tcW w:w="1109" w:type="dxa"/>
            <w:tcBorders>
              <w:left w:val="single" w:sz="4" w:space="0" w:color="000000"/>
              <w:bottom w:val="single" w:sz="4" w:space="0" w:color="000000"/>
              <w:right w:val="single" w:sz="4" w:space="0" w:color="000000"/>
            </w:tcBorders>
          </w:tcPr>
          <w:p>
            <w:pPr>
              <w:pStyle w:val="TableParagraph"/>
              <w:spacing w:before="43"/>
              <w:ind w:left="141"/>
              <w:jc w:val="left"/>
              <w:rPr>
                <w:rFonts w:ascii="宋体" w:eastAsia="宋体" w:hint="eastAsia"/>
                <w:b/>
                <w:sz w:val="21"/>
              </w:rPr>
            </w:pPr>
            <w:r>
              <w:rPr>
                <w:rFonts w:ascii="宋体" w:eastAsia="宋体" w:hint="eastAsia"/>
                <w:b/>
                <w:sz w:val="21"/>
              </w:rPr>
              <w:t>预测浓度</w:t>
            </w:r>
          </w:p>
        </w:tc>
        <w:tc>
          <w:tcPr>
            <w:tcW w:w="888" w:type="dxa"/>
            <w:tcBorders>
              <w:left w:val="single" w:sz="4" w:space="0" w:color="000000"/>
              <w:bottom w:val="single" w:sz="4" w:space="0" w:color="000000"/>
              <w:right w:val="single" w:sz="4" w:space="0" w:color="000000"/>
            </w:tcBorders>
          </w:tcPr>
          <w:p>
            <w:pPr>
              <w:pStyle w:val="TableParagraph"/>
              <w:spacing w:before="43"/>
              <w:ind w:left="116" w:right="88"/>
              <w:rPr>
                <w:rFonts w:ascii="宋体" w:eastAsia="宋体" w:hint="eastAsia"/>
                <w:b/>
                <w:sz w:val="21"/>
              </w:rPr>
            </w:pPr>
            <w:r>
              <w:rPr>
                <w:rFonts w:ascii="宋体" w:eastAsia="宋体" w:hint="eastAsia"/>
                <w:b/>
                <w:sz w:val="21"/>
              </w:rPr>
              <w:t>占标率</w:t>
            </w:r>
          </w:p>
        </w:tc>
        <w:tc>
          <w:tcPr>
            <w:tcW w:w="1112" w:type="dxa"/>
            <w:tcBorders>
              <w:left w:val="single" w:sz="4" w:space="0" w:color="000000"/>
              <w:bottom w:val="single" w:sz="4" w:space="0" w:color="000000"/>
              <w:right w:val="single" w:sz="4" w:space="0" w:color="000000"/>
            </w:tcBorders>
          </w:tcPr>
          <w:p>
            <w:pPr>
              <w:pStyle w:val="TableParagraph"/>
              <w:spacing w:before="43"/>
              <w:ind w:left="141"/>
              <w:jc w:val="left"/>
              <w:rPr>
                <w:rFonts w:ascii="宋体" w:eastAsia="宋体" w:hint="eastAsia"/>
                <w:b/>
                <w:sz w:val="21"/>
              </w:rPr>
            </w:pPr>
            <w:r>
              <w:rPr>
                <w:rFonts w:ascii="宋体" w:eastAsia="宋体" w:hint="eastAsia"/>
                <w:b/>
                <w:sz w:val="21"/>
              </w:rPr>
              <w:t>评价标准</w:t>
            </w:r>
          </w:p>
        </w:tc>
        <w:tc>
          <w:tcPr>
            <w:tcW w:w="1109" w:type="dxa"/>
            <w:tcBorders>
              <w:left w:val="single" w:sz="4" w:space="0" w:color="000000"/>
              <w:bottom w:val="single" w:sz="4" w:space="0" w:color="000000"/>
              <w:right w:val="single" w:sz="4" w:space="0" w:color="000000"/>
            </w:tcBorders>
          </w:tcPr>
          <w:p>
            <w:pPr>
              <w:pStyle w:val="TableParagraph"/>
              <w:spacing w:before="43"/>
              <w:ind w:left="116" w:right="93"/>
              <w:rPr>
                <w:rFonts w:ascii="宋体" w:eastAsia="宋体" w:hint="eastAsia"/>
                <w:b/>
                <w:sz w:val="21"/>
              </w:rPr>
            </w:pPr>
            <w:r>
              <w:rPr>
                <w:rFonts w:ascii="宋体" w:eastAsia="宋体" w:hint="eastAsia"/>
                <w:b/>
                <w:sz w:val="21"/>
              </w:rPr>
              <w:t>达标情况</w:t>
            </w:r>
          </w:p>
        </w:tc>
        <w:tc>
          <w:tcPr>
            <w:tcW w:w="1762" w:type="dxa"/>
            <w:tcBorders>
              <w:left w:val="single" w:sz="4" w:space="0" w:color="000000"/>
              <w:bottom w:val="single" w:sz="4" w:space="0" w:color="000000"/>
            </w:tcBorders>
          </w:tcPr>
          <w:p>
            <w:pPr>
              <w:pStyle w:val="TableParagraph"/>
              <w:spacing w:before="43"/>
              <w:ind w:left="129" w:right="97"/>
              <w:rPr>
                <w:rFonts w:ascii="宋体" w:eastAsia="宋体" w:hint="eastAsia"/>
                <w:b/>
                <w:sz w:val="21"/>
              </w:rPr>
            </w:pPr>
            <w:r>
              <w:rPr>
                <w:rFonts w:ascii="宋体" w:eastAsia="宋体" w:hint="eastAsia"/>
                <w:b/>
                <w:sz w:val="21"/>
              </w:rPr>
              <w:t>备注</w:t>
            </w:r>
          </w:p>
        </w:tc>
      </w:tr>
      <w:tr>
        <w:trPr>
          <w:trHeight w:val="359" w:hRule="atLeast"/>
        </w:trPr>
        <w:tc>
          <w:tcPr>
            <w:tcW w:w="888" w:type="dxa"/>
            <w:vMerge w:val="restart"/>
            <w:tcBorders>
              <w:top w:val="single" w:sz="4" w:space="0" w:color="000000"/>
              <w:bottom w:val="single" w:sz="4" w:space="0" w:color="000000"/>
              <w:right w:val="single" w:sz="4" w:space="0" w:color="000000"/>
            </w:tcBorders>
          </w:tcPr>
          <w:p>
            <w:pPr>
              <w:pStyle w:val="TableParagraph"/>
              <w:spacing w:before="11"/>
              <w:jc w:val="left"/>
              <w:rPr>
                <w:rFonts w:ascii="宋体"/>
                <w:b/>
                <w:sz w:val="18"/>
              </w:rPr>
            </w:pPr>
          </w:p>
          <w:p>
            <w:pPr>
              <w:pStyle w:val="TableParagraph"/>
              <w:spacing w:before="0"/>
              <w:ind w:left="256"/>
              <w:jc w:val="left"/>
              <w:rPr>
                <w:sz w:val="14"/>
              </w:rPr>
            </w:pPr>
            <w:r>
              <w:rPr>
                <w:position w:val="2"/>
                <w:sz w:val="21"/>
              </w:rPr>
              <w:t>NH</w:t>
            </w:r>
            <w:r>
              <w:rPr>
                <w:sz w:val="14"/>
              </w:rPr>
              <w:t>3</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spacing w:before="44"/>
              <w:ind w:left="165" w:right="137"/>
              <w:rPr>
                <w:rFonts w:ascii="宋体" w:eastAsia="宋体" w:hint="eastAsia"/>
                <w:sz w:val="21"/>
              </w:rPr>
            </w:pPr>
            <w:r>
              <w:rPr>
                <w:rFonts w:ascii="宋体" w:eastAsia="宋体" w:hint="eastAsia"/>
                <w:sz w:val="21"/>
              </w:rPr>
              <w:t>（</w:t>
            </w:r>
            <w:r>
              <w:rPr>
                <w:sz w:val="21"/>
              </w:rPr>
              <w:t>100,650</w:t>
            </w:r>
            <w:r>
              <w:rPr>
                <w:rFonts w:ascii="宋体" w:eastAsia="宋体" w:hint="eastAsia"/>
                <w:sz w:val="21"/>
              </w:rPr>
              <w:t>）</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ind w:left="119" w:right="89"/>
              <w:rPr>
                <w:sz w:val="21"/>
              </w:rPr>
            </w:pPr>
            <w:r>
              <w:rPr>
                <w:sz w:val="21"/>
              </w:rPr>
              <w:t>19071922</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ind w:left="174"/>
              <w:jc w:val="left"/>
              <w:rPr>
                <w:sz w:val="21"/>
              </w:rPr>
            </w:pPr>
            <w:r>
              <w:rPr>
                <w:sz w:val="21"/>
              </w:rPr>
              <w:t>6.62E-02</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ind w:left="116" w:right="88"/>
              <w:rPr>
                <w:sz w:val="21"/>
              </w:rPr>
            </w:pPr>
            <w:r>
              <w:rPr>
                <w:sz w:val="21"/>
              </w:rPr>
              <w:t>33.12</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ind w:left="174"/>
              <w:jc w:val="left"/>
              <w:rPr>
                <w:sz w:val="21"/>
              </w:rPr>
            </w:pPr>
            <w:r>
              <w:rPr>
                <w:sz w:val="21"/>
              </w:rPr>
              <w:t>2.00E-01</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93"/>
              <w:rPr>
                <w:rFonts w:ascii="宋体" w:eastAsia="宋体" w:hint="eastAsia"/>
                <w:sz w:val="21"/>
              </w:rPr>
            </w:pPr>
            <w:r>
              <w:rPr>
                <w:rFonts w:ascii="宋体" w:eastAsia="宋体" w:hint="eastAsia"/>
                <w:sz w:val="21"/>
              </w:rPr>
              <w:t>达标</w:t>
            </w:r>
          </w:p>
        </w:tc>
        <w:tc>
          <w:tcPr>
            <w:tcW w:w="1762" w:type="dxa"/>
            <w:tcBorders>
              <w:top w:val="single" w:sz="4" w:space="0" w:color="000000"/>
              <w:left w:val="single" w:sz="4" w:space="0" w:color="000000"/>
              <w:bottom w:val="single" w:sz="4" w:space="0" w:color="000000"/>
            </w:tcBorders>
          </w:tcPr>
          <w:p>
            <w:pPr>
              <w:pStyle w:val="TableParagraph"/>
              <w:spacing w:before="44"/>
              <w:ind w:left="134" w:right="97"/>
              <w:rPr>
                <w:rFonts w:ascii="宋体" w:eastAsia="宋体" w:hint="eastAsia"/>
                <w:sz w:val="21"/>
              </w:rPr>
            </w:pPr>
            <w:r>
              <w:rPr>
                <w:rFonts w:ascii="宋体" w:eastAsia="宋体" w:hint="eastAsia"/>
                <w:sz w:val="21"/>
              </w:rPr>
              <w:t>本项目小时浓度</w:t>
            </w:r>
          </w:p>
        </w:tc>
      </w:tr>
      <w:tr>
        <w:trPr>
          <w:trHeight w:val="357" w:hRule="atLeast"/>
        </w:trPr>
        <w:tc>
          <w:tcPr>
            <w:tcW w:w="888" w:type="dxa"/>
            <w:vMerge/>
            <w:tcBorders>
              <w:top w:val="nil"/>
              <w:bottom w:val="single" w:sz="4" w:space="0" w:color="000000"/>
              <w:right w:val="single" w:sz="4" w:space="0" w:color="000000"/>
            </w:tcBorders>
          </w:tcPr>
          <w:p>
            <w:pPr>
              <w:rPr>
                <w:sz w:val="2"/>
                <w:szCs w:val="2"/>
              </w:rPr>
            </w:pPr>
          </w:p>
        </w:tc>
        <w:tc>
          <w:tcPr>
            <w:tcW w:w="1455" w:type="dxa"/>
            <w:tcBorders>
              <w:top w:val="single" w:sz="4" w:space="0" w:color="000000"/>
              <w:left w:val="single" w:sz="4" w:space="0" w:color="000000"/>
              <w:bottom w:val="single" w:sz="4" w:space="0" w:color="000000"/>
              <w:right w:val="single" w:sz="4" w:space="0" w:color="000000"/>
            </w:tcBorders>
          </w:tcPr>
          <w:p>
            <w:pPr>
              <w:pStyle w:val="TableParagraph"/>
              <w:spacing w:before="44"/>
              <w:ind w:left="165" w:right="137"/>
              <w:rPr>
                <w:rFonts w:ascii="宋体" w:eastAsia="宋体" w:hint="eastAsia"/>
                <w:sz w:val="21"/>
              </w:rPr>
            </w:pPr>
            <w:r>
              <w:rPr>
                <w:rFonts w:ascii="宋体" w:eastAsia="宋体" w:hint="eastAsia"/>
                <w:sz w:val="21"/>
              </w:rPr>
              <w:t>（</w:t>
            </w:r>
            <w:r>
              <w:rPr>
                <w:sz w:val="21"/>
              </w:rPr>
              <w:t>100,650</w:t>
            </w:r>
            <w:r>
              <w:rPr>
                <w:rFonts w:ascii="宋体" w:eastAsia="宋体" w:hint="eastAsia"/>
                <w:sz w:val="21"/>
              </w:rPr>
              <w:t>）</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ind w:left="119" w:right="89"/>
              <w:rPr>
                <w:sz w:val="21"/>
              </w:rPr>
            </w:pPr>
            <w:r>
              <w:rPr>
                <w:sz w:val="21"/>
              </w:rPr>
              <w:t>19071922</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ind w:left="174"/>
              <w:jc w:val="left"/>
              <w:rPr>
                <w:sz w:val="21"/>
              </w:rPr>
            </w:pPr>
            <w:r>
              <w:rPr>
                <w:sz w:val="21"/>
              </w:rPr>
              <w:t>1.46E-01</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ind w:left="116" w:right="88"/>
              <w:rPr>
                <w:sz w:val="21"/>
              </w:rPr>
            </w:pPr>
            <w:r>
              <w:rPr>
                <w:sz w:val="21"/>
              </w:rPr>
              <w:t>73.12</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ind w:left="174"/>
              <w:jc w:val="left"/>
              <w:rPr>
                <w:sz w:val="21"/>
              </w:rPr>
            </w:pPr>
            <w:r>
              <w:rPr>
                <w:sz w:val="21"/>
              </w:rPr>
              <w:t>2.00E-01</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93"/>
              <w:rPr>
                <w:rFonts w:ascii="宋体" w:eastAsia="宋体" w:hint="eastAsia"/>
                <w:sz w:val="21"/>
              </w:rPr>
            </w:pPr>
            <w:r>
              <w:rPr>
                <w:rFonts w:ascii="宋体" w:eastAsia="宋体" w:hint="eastAsia"/>
                <w:sz w:val="21"/>
              </w:rPr>
              <w:t>达标</w:t>
            </w:r>
          </w:p>
        </w:tc>
        <w:tc>
          <w:tcPr>
            <w:tcW w:w="1762" w:type="dxa"/>
            <w:tcBorders>
              <w:top w:val="single" w:sz="4" w:space="0" w:color="000000"/>
              <w:left w:val="single" w:sz="4" w:space="0" w:color="000000"/>
              <w:bottom w:val="single" w:sz="4" w:space="0" w:color="000000"/>
            </w:tcBorders>
          </w:tcPr>
          <w:p>
            <w:pPr>
              <w:pStyle w:val="TableParagraph"/>
              <w:spacing w:before="44"/>
              <w:ind w:left="134" w:right="97"/>
              <w:rPr>
                <w:rFonts w:ascii="宋体" w:eastAsia="宋体" w:hint="eastAsia"/>
                <w:sz w:val="21"/>
              </w:rPr>
            </w:pPr>
            <w:r>
              <w:rPr>
                <w:rFonts w:ascii="宋体" w:eastAsia="宋体" w:hint="eastAsia"/>
                <w:sz w:val="21"/>
              </w:rPr>
              <w:t>叠加后小时浓度</w:t>
            </w:r>
          </w:p>
        </w:tc>
      </w:tr>
      <w:tr>
        <w:trPr>
          <w:trHeight w:val="349" w:hRule="atLeast"/>
        </w:trPr>
        <w:tc>
          <w:tcPr>
            <w:tcW w:w="888" w:type="dxa"/>
            <w:vMerge w:val="restart"/>
            <w:tcBorders>
              <w:top w:val="single" w:sz="4" w:space="0" w:color="000000"/>
              <w:right w:val="single" w:sz="4" w:space="0" w:color="000000"/>
            </w:tcBorders>
          </w:tcPr>
          <w:p>
            <w:pPr>
              <w:pStyle w:val="TableParagraph"/>
              <w:spacing w:before="11"/>
              <w:jc w:val="left"/>
              <w:rPr>
                <w:rFonts w:ascii="宋体"/>
                <w:b/>
                <w:sz w:val="18"/>
              </w:rPr>
            </w:pPr>
          </w:p>
          <w:p>
            <w:pPr>
              <w:pStyle w:val="TableParagraph"/>
              <w:spacing w:before="0"/>
              <w:ind w:left="273"/>
              <w:jc w:val="left"/>
              <w:rPr>
                <w:sz w:val="21"/>
              </w:rPr>
            </w:pPr>
            <w:r>
              <w:rPr>
                <w:position w:val="2"/>
                <w:sz w:val="21"/>
              </w:rPr>
              <w:t>H</w:t>
            </w:r>
            <w:r>
              <w:rPr>
                <w:sz w:val="14"/>
              </w:rPr>
              <w:t>2</w:t>
            </w:r>
            <w:r>
              <w:rPr>
                <w:position w:val="2"/>
                <w:sz w:val="21"/>
              </w:rPr>
              <w:t>S</w:t>
            </w:r>
          </w:p>
        </w:tc>
        <w:tc>
          <w:tcPr>
            <w:tcW w:w="1455" w:type="dxa"/>
            <w:tcBorders>
              <w:top w:val="single" w:sz="4" w:space="0" w:color="000000"/>
              <w:left w:val="single" w:sz="4" w:space="0" w:color="000000"/>
              <w:bottom w:val="single" w:sz="4" w:space="0" w:color="000000"/>
              <w:right w:val="single" w:sz="4" w:space="0" w:color="000000"/>
            </w:tcBorders>
          </w:tcPr>
          <w:p>
            <w:pPr>
              <w:pStyle w:val="TableParagraph"/>
              <w:spacing w:before="44"/>
              <w:ind w:left="165" w:right="137"/>
              <w:rPr>
                <w:rFonts w:ascii="宋体" w:eastAsia="宋体" w:hint="eastAsia"/>
                <w:sz w:val="21"/>
              </w:rPr>
            </w:pPr>
            <w:r>
              <w:rPr>
                <w:rFonts w:ascii="宋体" w:eastAsia="宋体" w:hint="eastAsia"/>
                <w:sz w:val="21"/>
              </w:rPr>
              <w:t>（</w:t>
            </w:r>
            <w:r>
              <w:rPr>
                <w:sz w:val="21"/>
              </w:rPr>
              <w:t>150,650</w:t>
            </w:r>
            <w:r>
              <w:rPr>
                <w:rFonts w:ascii="宋体" w:eastAsia="宋体" w:hint="eastAsia"/>
                <w:sz w:val="21"/>
              </w:rPr>
              <w:t>）</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ind w:left="119" w:right="89"/>
              <w:rPr>
                <w:sz w:val="21"/>
              </w:rPr>
            </w:pPr>
            <w:r>
              <w:rPr>
                <w:sz w:val="21"/>
              </w:rPr>
              <w:t>19071922</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ind w:left="174"/>
              <w:jc w:val="left"/>
              <w:rPr>
                <w:sz w:val="21"/>
              </w:rPr>
            </w:pPr>
            <w:r>
              <w:rPr>
                <w:sz w:val="21"/>
              </w:rPr>
              <w:t>5.70E-03</w:t>
            </w:r>
          </w:p>
        </w:tc>
        <w:tc>
          <w:tcPr>
            <w:tcW w:w="888" w:type="dxa"/>
            <w:tcBorders>
              <w:top w:val="single" w:sz="4" w:space="0" w:color="000000"/>
              <w:left w:val="single" w:sz="4" w:space="0" w:color="000000"/>
              <w:bottom w:val="single" w:sz="4" w:space="0" w:color="000000"/>
              <w:right w:val="single" w:sz="4" w:space="0" w:color="000000"/>
            </w:tcBorders>
          </w:tcPr>
          <w:p>
            <w:pPr>
              <w:pStyle w:val="TableParagraph"/>
              <w:ind w:left="116" w:right="88"/>
              <w:rPr>
                <w:sz w:val="21"/>
              </w:rPr>
            </w:pPr>
            <w:r>
              <w:rPr>
                <w:sz w:val="21"/>
              </w:rPr>
              <w:t>56.98</w:t>
            </w:r>
          </w:p>
        </w:tc>
        <w:tc>
          <w:tcPr>
            <w:tcW w:w="1112" w:type="dxa"/>
            <w:tcBorders>
              <w:top w:val="single" w:sz="4" w:space="0" w:color="000000"/>
              <w:left w:val="single" w:sz="4" w:space="0" w:color="000000"/>
              <w:bottom w:val="single" w:sz="4" w:space="0" w:color="000000"/>
              <w:right w:val="single" w:sz="4" w:space="0" w:color="000000"/>
            </w:tcBorders>
          </w:tcPr>
          <w:p>
            <w:pPr>
              <w:pStyle w:val="TableParagraph"/>
              <w:ind w:left="174"/>
              <w:jc w:val="left"/>
              <w:rPr>
                <w:sz w:val="21"/>
              </w:rPr>
            </w:pPr>
            <w:r>
              <w:rPr>
                <w:sz w:val="21"/>
              </w:rPr>
              <w:t>1.00E-02</w:t>
            </w:r>
          </w:p>
        </w:tc>
        <w:tc>
          <w:tcPr>
            <w:tcW w:w="1109" w:type="dxa"/>
            <w:tcBorders>
              <w:top w:val="single" w:sz="4" w:space="0" w:color="000000"/>
              <w:left w:val="single" w:sz="4" w:space="0" w:color="000000"/>
              <w:bottom w:val="single" w:sz="4" w:space="0" w:color="000000"/>
              <w:right w:val="single" w:sz="4" w:space="0" w:color="000000"/>
            </w:tcBorders>
          </w:tcPr>
          <w:p>
            <w:pPr>
              <w:pStyle w:val="TableParagraph"/>
              <w:spacing w:before="44"/>
              <w:ind w:left="116" w:right="93"/>
              <w:rPr>
                <w:rFonts w:ascii="宋体" w:eastAsia="宋体" w:hint="eastAsia"/>
                <w:sz w:val="21"/>
              </w:rPr>
            </w:pPr>
            <w:r>
              <w:rPr>
                <w:rFonts w:ascii="宋体" w:eastAsia="宋体" w:hint="eastAsia"/>
                <w:sz w:val="21"/>
              </w:rPr>
              <w:t>达标</w:t>
            </w:r>
          </w:p>
        </w:tc>
        <w:tc>
          <w:tcPr>
            <w:tcW w:w="1762" w:type="dxa"/>
            <w:tcBorders>
              <w:top w:val="single" w:sz="4" w:space="0" w:color="000000"/>
              <w:left w:val="single" w:sz="4" w:space="0" w:color="000000"/>
              <w:bottom w:val="single" w:sz="4" w:space="0" w:color="000000"/>
            </w:tcBorders>
          </w:tcPr>
          <w:p>
            <w:pPr>
              <w:pStyle w:val="TableParagraph"/>
              <w:spacing w:before="44"/>
              <w:ind w:left="134" w:right="97"/>
              <w:rPr>
                <w:rFonts w:ascii="宋体" w:eastAsia="宋体" w:hint="eastAsia"/>
                <w:sz w:val="21"/>
              </w:rPr>
            </w:pPr>
            <w:r>
              <w:rPr>
                <w:rFonts w:ascii="宋体" w:eastAsia="宋体" w:hint="eastAsia"/>
                <w:sz w:val="21"/>
              </w:rPr>
              <w:t>本项目小时浓度</w:t>
            </w:r>
          </w:p>
        </w:tc>
      </w:tr>
      <w:tr>
        <w:trPr>
          <w:trHeight w:val="349" w:hRule="atLeast"/>
        </w:trPr>
        <w:tc>
          <w:tcPr>
            <w:tcW w:w="888" w:type="dxa"/>
            <w:vMerge/>
            <w:tcBorders>
              <w:top w:val="nil"/>
              <w:right w:val="single" w:sz="4" w:space="0" w:color="000000"/>
            </w:tcBorders>
          </w:tcPr>
          <w:p>
            <w:pPr>
              <w:rPr>
                <w:sz w:val="2"/>
                <w:szCs w:val="2"/>
              </w:rPr>
            </w:pPr>
          </w:p>
        </w:tc>
        <w:tc>
          <w:tcPr>
            <w:tcW w:w="1455" w:type="dxa"/>
            <w:tcBorders>
              <w:top w:val="single" w:sz="4" w:space="0" w:color="000000"/>
              <w:left w:val="single" w:sz="4" w:space="0" w:color="000000"/>
              <w:right w:val="single" w:sz="4" w:space="0" w:color="000000"/>
            </w:tcBorders>
          </w:tcPr>
          <w:p>
            <w:pPr>
              <w:pStyle w:val="TableParagraph"/>
              <w:spacing w:before="34"/>
              <w:ind w:left="165" w:right="137"/>
              <w:rPr>
                <w:rFonts w:ascii="宋体" w:eastAsia="宋体" w:hint="eastAsia"/>
                <w:sz w:val="21"/>
              </w:rPr>
            </w:pPr>
            <w:r>
              <w:rPr>
                <w:rFonts w:ascii="宋体" w:eastAsia="宋体" w:hint="eastAsia"/>
                <w:sz w:val="21"/>
              </w:rPr>
              <w:t>（</w:t>
            </w:r>
            <w:r>
              <w:rPr>
                <w:sz w:val="21"/>
              </w:rPr>
              <w:t>150,650</w:t>
            </w:r>
            <w:r>
              <w:rPr>
                <w:rFonts w:ascii="宋体" w:eastAsia="宋体" w:hint="eastAsia"/>
                <w:sz w:val="21"/>
              </w:rPr>
              <w:t>）</w:t>
            </w:r>
          </w:p>
        </w:tc>
        <w:tc>
          <w:tcPr>
            <w:tcW w:w="1109" w:type="dxa"/>
            <w:tcBorders>
              <w:top w:val="single" w:sz="4" w:space="0" w:color="000000"/>
              <w:left w:val="single" w:sz="4" w:space="0" w:color="000000"/>
              <w:right w:val="single" w:sz="4" w:space="0" w:color="000000"/>
            </w:tcBorders>
          </w:tcPr>
          <w:p>
            <w:pPr>
              <w:pStyle w:val="TableParagraph"/>
              <w:spacing w:before="48"/>
              <w:ind w:left="119" w:right="89"/>
              <w:rPr>
                <w:sz w:val="21"/>
              </w:rPr>
            </w:pPr>
            <w:r>
              <w:rPr>
                <w:sz w:val="21"/>
              </w:rPr>
              <w:t>19071922</w:t>
            </w:r>
          </w:p>
        </w:tc>
        <w:tc>
          <w:tcPr>
            <w:tcW w:w="1109" w:type="dxa"/>
            <w:tcBorders>
              <w:top w:val="single" w:sz="4" w:space="0" w:color="000000"/>
              <w:left w:val="single" w:sz="4" w:space="0" w:color="000000"/>
              <w:right w:val="single" w:sz="4" w:space="0" w:color="000000"/>
            </w:tcBorders>
          </w:tcPr>
          <w:p>
            <w:pPr>
              <w:pStyle w:val="TableParagraph"/>
              <w:spacing w:before="48"/>
              <w:ind w:left="174"/>
              <w:jc w:val="left"/>
              <w:rPr>
                <w:sz w:val="21"/>
              </w:rPr>
            </w:pPr>
            <w:r>
              <w:rPr>
                <w:sz w:val="21"/>
              </w:rPr>
              <w:t>9.70E-03</w:t>
            </w:r>
          </w:p>
        </w:tc>
        <w:tc>
          <w:tcPr>
            <w:tcW w:w="888" w:type="dxa"/>
            <w:tcBorders>
              <w:top w:val="single" w:sz="4" w:space="0" w:color="000000"/>
              <w:left w:val="single" w:sz="4" w:space="0" w:color="000000"/>
              <w:right w:val="single" w:sz="4" w:space="0" w:color="000000"/>
            </w:tcBorders>
          </w:tcPr>
          <w:p>
            <w:pPr>
              <w:pStyle w:val="TableParagraph"/>
              <w:spacing w:before="48"/>
              <w:ind w:left="116" w:right="88"/>
              <w:rPr>
                <w:sz w:val="21"/>
              </w:rPr>
            </w:pPr>
            <w:r>
              <w:rPr>
                <w:sz w:val="21"/>
              </w:rPr>
              <w:t>96.98</w:t>
            </w:r>
          </w:p>
        </w:tc>
        <w:tc>
          <w:tcPr>
            <w:tcW w:w="1112" w:type="dxa"/>
            <w:tcBorders>
              <w:top w:val="single" w:sz="4" w:space="0" w:color="000000"/>
              <w:left w:val="single" w:sz="4" w:space="0" w:color="000000"/>
              <w:right w:val="single" w:sz="4" w:space="0" w:color="000000"/>
            </w:tcBorders>
          </w:tcPr>
          <w:p>
            <w:pPr>
              <w:pStyle w:val="TableParagraph"/>
              <w:spacing w:before="48"/>
              <w:ind w:left="174"/>
              <w:jc w:val="left"/>
              <w:rPr>
                <w:sz w:val="21"/>
              </w:rPr>
            </w:pPr>
            <w:r>
              <w:rPr>
                <w:sz w:val="21"/>
              </w:rPr>
              <w:t>1.00E-02</w:t>
            </w:r>
          </w:p>
        </w:tc>
        <w:tc>
          <w:tcPr>
            <w:tcW w:w="1109" w:type="dxa"/>
            <w:tcBorders>
              <w:top w:val="single" w:sz="4" w:space="0" w:color="000000"/>
              <w:left w:val="single" w:sz="4" w:space="0" w:color="000000"/>
              <w:right w:val="single" w:sz="4" w:space="0" w:color="000000"/>
            </w:tcBorders>
          </w:tcPr>
          <w:p>
            <w:pPr>
              <w:pStyle w:val="TableParagraph"/>
              <w:spacing w:before="34"/>
              <w:ind w:left="116" w:right="93"/>
              <w:rPr>
                <w:rFonts w:ascii="宋体" w:eastAsia="宋体" w:hint="eastAsia"/>
                <w:sz w:val="21"/>
              </w:rPr>
            </w:pPr>
            <w:r>
              <w:rPr>
                <w:rFonts w:ascii="宋体" w:eastAsia="宋体" w:hint="eastAsia"/>
                <w:sz w:val="21"/>
              </w:rPr>
              <w:t>达标</w:t>
            </w:r>
          </w:p>
        </w:tc>
        <w:tc>
          <w:tcPr>
            <w:tcW w:w="1762" w:type="dxa"/>
            <w:tcBorders>
              <w:top w:val="single" w:sz="4" w:space="0" w:color="000000"/>
              <w:left w:val="single" w:sz="4" w:space="0" w:color="000000"/>
            </w:tcBorders>
          </w:tcPr>
          <w:p>
            <w:pPr>
              <w:pStyle w:val="TableParagraph"/>
              <w:spacing w:before="34"/>
              <w:ind w:left="134" w:right="97"/>
              <w:rPr>
                <w:rFonts w:ascii="宋体" w:eastAsia="宋体" w:hint="eastAsia"/>
                <w:sz w:val="21"/>
              </w:rPr>
            </w:pPr>
            <w:r>
              <w:rPr>
                <w:rFonts w:ascii="宋体" w:eastAsia="宋体" w:hint="eastAsia"/>
                <w:sz w:val="21"/>
              </w:rPr>
              <w:t>叠加后小时浓度</w:t>
            </w:r>
          </w:p>
        </w:tc>
      </w:tr>
    </w:tbl>
    <w:p>
      <w:pPr>
        <w:pStyle w:val="ListParagraph"/>
        <w:numPr>
          <w:ilvl w:val="0"/>
          <w:numId w:val="75"/>
        </w:numPr>
        <w:tabs>
          <w:tab w:pos="1082" w:val="left" w:leader="none"/>
        </w:tabs>
        <w:spacing w:line="240" w:lineRule="auto" w:before="81" w:after="0"/>
        <w:ind w:left="1081" w:right="0" w:hanging="363"/>
        <w:jc w:val="left"/>
        <w:rPr>
          <w:b/>
          <w:sz w:val="24"/>
        </w:rPr>
      </w:pPr>
      <w:r>
        <w:rPr>
          <w:b/>
          <w:sz w:val="24"/>
        </w:rPr>
        <w:t>运输恶臭影响分析</w:t>
      </w:r>
    </w:p>
    <w:p>
      <w:pPr>
        <w:pStyle w:val="BodyText"/>
        <w:spacing w:line="364" w:lineRule="auto" w:before="160"/>
        <w:ind w:right="247" w:firstLine="480"/>
        <w:jc w:val="both"/>
      </w:pPr>
      <w:r>
        <w:rPr>
          <w:position w:val="2"/>
        </w:rPr>
        <w:t>本项目发酵产物运至有机肥加工厂途中会散发出恶臭，其主要恶臭污染物为 </w:t>
      </w:r>
      <w:r>
        <w:rPr>
          <w:rFonts w:ascii="Times New Roman" w:eastAsia="Times New Roman"/>
          <w:position w:val="2"/>
        </w:rPr>
        <w:t>NH</w:t>
      </w:r>
      <w:r>
        <w:rPr>
          <w:rFonts w:ascii="Times New Roman" w:eastAsia="Times New Roman"/>
          <w:sz w:val="16"/>
        </w:rPr>
        <w:t>3</w:t>
      </w:r>
      <w:r>
        <w:rPr>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10"/>
          <w:position w:val="2"/>
        </w:rPr>
        <w:t>等。育肥猪主要运往项目东侧约 </w:t>
      </w:r>
      <w:r>
        <w:rPr>
          <w:rFonts w:ascii="Times New Roman" w:eastAsia="Times New Roman"/>
          <w:position w:val="2"/>
        </w:rPr>
        <w:t>1.4km </w:t>
      </w:r>
      <w:r>
        <w:rPr>
          <w:spacing w:val="-10"/>
          <w:position w:val="2"/>
        </w:rPr>
        <w:t>处的屠宰场，在运输途中，猪粪便、尿液等散</w:t>
      </w:r>
      <w:r>
        <w:rPr/>
        <w:t>发出的恶臭会对周围环境产生短暂影响，对沿途居民会产生心理及感官上的不良影响。企业应采取出猪前对运输车辆进行彻底清理和消毒、使用密闭运输车辆等措施，尽量减小对沿途村居民影响。</w:t>
      </w:r>
    </w:p>
    <w:p>
      <w:pPr>
        <w:pStyle w:val="BodyText"/>
        <w:spacing w:line="364" w:lineRule="auto" w:before="4"/>
        <w:ind w:right="249" w:firstLine="480"/>
        <w:jc w:val="both"/>
      </w:pPr>
      <w:r>
        <w:rPr/>
        <w:t>本项目运输发酵产物必须采用全封闭的车辆，防止其恶臭在运输过程对周边环境产生影响，同时企业在选择运输道路时，尽量选择远离居民区的道路进行运输。通过采用上述方法后，其对周边居民环境的影响是可以接收的。</w:t>
      </w:r>
    </w:p>
    <w:p>
      <w:pPr>
        <w:pStyle w:val="Heading3"/>
        <w:numPr>
          <w:ilvl w:val="2"/>
          <w:numId w:val="70"/>
        </w:numPr>
        <w:tabs>
          <w:tab w:pos="838" w:val="left" w:leader="none"/>
        </w:tabs>
        <w:spacing w:line="240" w:lineRule="auto" w:before="2" w:after="0"/>
        <w:ind w:left="837" w:right="0" w:hanging="601"/>
        <w:jc w:val="both"/>
      </w:pPr>
      <w:bookmarkStart w:name="_bookmark89" w:id="172"/>
      <w:bookmarkEnd w:id="172"/>
      <w:r>
        <w:rPr>
          <w:b w:val="0"/>
        </w:rPr>
      </w:r>
      <w:bookmarkStart w:name="_bookmark89" w:id="173"/>
      <w:bookmarkEnd w:id="173"/>
      <w:r>
        <w:rPr/>
        <w:t>固体废弃物影响预测与评价</w:t>
      </w:r>
    </w:p>
    <w:p>
      <w:pPr>
        <w:spacing w:before="161"/>
        <w:ind w:left="719" w:right="0" w:firstLine="0"/>
        <w:jc w:val="left"/>
        <w:rPr>
          <w:b/>
          <w:sz w:val="24"/>
        </w:rPr>
      </w:pPr>
      <w:r>
        <w:rPr>
          <w:rFonts w:ascii="Times New Roman" w:eastAsia="Times New Roman"/>
          <w:b/>
          <w:sz w:val="24"/>
        </w:rPr>
        <w:t>1</w:t>
      </w:r>
      <w:r>
        <w:rPr>
          <w:b/>
          <w:sz w:val="24"/>
        </w:rPr>
        <w:t>、固体废物处置基本要求</w:t>
      </w:r>
    </w:p>
    <w:p>
      <w:pPr>
        <w:pStyle w:val="BodyText"/>
        <w:spacing w:line="364" w:lineRule="auto" w:before="161"/>
        <w:ind w:right="249" w:firstLine="480"/>
        <w:jc w:val="both"/>
      </w:pPr>
      <w:r>
        <w:rPr/>
        <w:t>本项目产生的固体废弃物主要包括主要包括发酵产物（为粪便、饲料残渣、污泥、病死猪无害化处理产物等经猪粪发酵罐发酵后的产物）、一般废包装物、危化品废包装物、废矿物油、废脱硫剂、医疗废物及员工生活垃圾等。本项目固体废物产生及处置情</w:t>
      </w:r>
      <w:r>
        <w:rPr>
          <w:spacing w:val="-8"/>
        </w:rPr>
        <w:t>况分析结果见表 </w:t>
      </w:r>
      <w:r>
        <w:rPr>
          <w:rFonts w:ascii="Times New Roman" w:eastAsia="Times New Roman"/>
        </w:rPr>
        <w:t>5.2-33</w:t>
      </w:r>
      <w:r>
        <w:rPr>
          <w:spacing w:val="-12"/>
        </w:rPr>
        <w:t>。项目在生产过程中产生的各类固体废物，分别采取不同的处置措</w:t>
      </w:r>
      <w:r>
        <w:rPr/>
        <w:t>施和综合利用措施后，妥善解决了固体废物的污染问题，不仅实现了固体废物的资源化和无害化处理，减轻了固体废物对环境的不利影响，而且具有较好的社会、环境和经济效益。</w:t>
      </w:r>
    </w:p>
    <w:p>
      <w:pPr>
        <w:pStyle w:val="Heading3"/>
        <w:spacing w:before="4"/>
        <w:ind w:left="223" w:right="236"/>
        <w:jc w:val="center"/>
        <w:rPr>
          <w:rFonts w:ascii="Times New Roman" w:eastAsia="Times New Roman"/>
        </w:rPr>
      </w:pPr>
      <w:r>
        <w:rPr/>
        <w:t>表 </w:t>
      </w:r>
      <w:r>
        <w:rPr>
          <w:rFonts w:ascii="Times New Roman" w:eastAsia="Times New Roman"/>
        </w:rPr>
        <w:t>5.2-33  </w:t>
      </w:r>
      <w:r>
        <w:rPr/>
        <w:t>固废产生及处置情况 单位：</w:t>
      </w:r>
      <w:r>
        <w:rPr>
          <w:rFonts w:ascii="Times New Roman" w:eastAsia="Times New Roman"/>
        </w:rPr>
        <w:t>t/a</w:t>
      </w:r>
    </w:p>
    <w:p>
      <w:pPr>
        <w:pStyle w:val="BodyText"/>
        <w:spacing w:before="10"/>
        <w:ind w:left="0"/>
        <w:rPr>
          <w:rFonts w:ascii="Times New Roman"/>
          <w:b/>
          <w:sz w:val="6"/>
        </w:rPr>
      </w:pPr>
    </w:p>
    <w:tbl>
      <w:tblPr>
        <w:tblW w:w="0" w:type="auto"/>
        <w:jc w:val="left"/>
        <w:tblInd w:w="1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1"/>
        <w:gridCol w:w="1458"/>
        <w:gridCol w:w="1474"/>
        <w:gridCol w:w="627"/>
        <w:gridCol w:w="1200"/>
        <w:gridCol w:w="929"/>
        <w:gridCol w:w="2907"/>
      </w:tblGrid>
      <w:tr>
        <w:trPr>
          <w:trHeight w:val="359" w:hRule="atLeast"/>
        </w:trPr>
        <w:tc>
          <w:tcPr>
            <w:tcW w:w="761" w:type="dxa"/>
            <w:tcBorders>
              <w:bottom w:val="single" w:sz="6" w:space="0" w:color="000000"/>
              <w:right w:val="single" w:sz="6" w:space="0" w:color="000000"/>
            </w:tcBorders>
          </w:tcPr>
          <w:p>
            <w:pPr>
              <w:pStyle w:val="TableParagraph"/>
              <w:spacing w:before="54"/>
              <w:ind w:left="157" w:right="139"/>
              <w:rPr>
                <w:rFonts w:ascii="宋体" w:eastAsia="宋体" w:hint="eastAsia"/>
                <w:b/>
                <w:sz w:val="20"/>
              </w:rPr>
            </w:pPr>
            <w:r>
              <w:rPr>
                <w:rFonts w:ascii="宋体" w:eastAsia="宋体" w:hint="eastAsia"/>
                <w:b/>
                <w:sz w:val="20"/>
              </w:rPr>
              <w:t>序号</w:t>
            </w:r>
          </w:p>
        </w:tc>
        <w:tc>
          <w:tcPr>
            <w:tcW w:w="1458" w:type="dxa"/>
            <w:tcBorders>
              <w:left w:val="single" w:sz="6" w:space="0" w:color="000000"/>
              <w:bottom w:val="single" w:sz="6" w:space="0" w:color="000000"/>
              <w:right w:val="single" w:sz="6" w:space="0" w:color="000000"/>
            </w:tcBorders>
          </w:tcPr>
          <w:p>
            <w:pPr>
              <w:pStyle w:val="TableParagraph"/>
              <w:spacing w:before="54"/>
              <w:ind w:left="112" w:right="88"/>
              <w:rPr>
                <w:rFonts w:ascii="宋体" w:eastAsia="宋体" w:hint="eastAsia"/>
                <w:b/>
                <w:sz w:val="20"/>
              </w:rPr>
            </w:pPr>
            <w:r>
              <w:rPr>
                <w:rFonts w:ascii="宋体" w:eastAsia="宋体" w:hint="eastAsia"/>
                <w:b/>
                <w:sz w:val="20"/>
              </w:rPr>
              <w:t>固废名称</w:t>
            </w:r>
          </w:p>
        </w:tc>
        <w:tc>
          <w:tcPr>
            <w:tcW w:w="1474" w:type="dxa"/>
            <w:tcBorders>
              <w:left w:val="single" w:sz="6" w:space="0" w:color="000000"/>
              <w:bottom w:val="single" w:sz="6" w:space="0" w:color="000000"/>
              <w:right w:val="single" w:sz="6" w:space="0" w:color="000000"/>
            </w:tcBorders>
          </w:tcPr>
          <w:p>
            <w:pPr>
              <w:pStyle w:val="TableParagraph"/>
              <w:spacing w:before="54"/>
              <w:ind w:left="121" w:right="95"/>
              <w:rPr>
                <w:rFonts w:ascii="宋体" w:eastAsia="宋体" w:hint="eastAsia"/>
                <w:b/>
                <w:sz w:val="20"/>
              </w:rPr>
            </w:pPr>
            <w:r>
              <w:rPr>
                <w:rFonts w:ascii="宋体" w:eastAsia="宋体" w:hint="eastAsia"/>
                <w:b/>
                <w:sz w:val="20"/>
              </w:rPr>
              <w:t>产生工序</w:t>
            </w:r>
          </w:p>
        </w:tc>
        <w:tc>
          <w:tcPr>
            <w:tcW w:w="627" w:type="dxa"/>
            <w:tcBorders>
              <w:left w:val="single" w:sz="6" w:space="0" w:color="000000"/>
              <w:bottom w:val="single" w:sz="6" w:space="0" w:color="000000"/>
              <w:right w:val="single" w:sz="6" w:space="0" w:color="000000"/>
            </w:tcBorders>
          </w:tcPr>
          <w:p>
            <w:pPr>
              <w:pStyle w:val="TableParagraph"/>
              <w:spacing w:before="54"/>
              <w:ind w:left="118"/>
              <w:jc w:val="left"/>
              <w:rPr>
                <w:rFonts w:ascii="宋体" w:eastAsia="宋体" w:hint="eastAsia"/>
                <w:b/>
                <w:sz w:val="20"/>
              </w:rPr>
            </w:pPr>
            <w:r>
              <w:rPr>
                <w:rFonts w:ascii="宋体" w:eastAsia="宋体" w:hint="eastAsia"/>
                <w:b/>
                <w:sz w:val="20"/>
              </w:rPr>
              <w:t>属性</w:t>
            </w:r>
          </w:p>
        </w:tc>
        <w:tc>
          <w:tcPr>
            <w:tcW w:w="1200" w:type="dxa"/>
            <w:tcBorders>
              <w:left w:val="single" w:sz="6" w:space="0" w:color="000000"/>
              <w:bottom w:val="single" w:sz="6" w:space="0" w:color="000000"/>
              <w:right w:val="single" w:sz="6" w:space="0" w:color="000000"/>
            </w:tcBorders>
          </w:tcPr>
          <w:p>
            <w:pPr>
              <w:pStyle w:val="TableParagraph"/>
              <w:spacing w:before="54"/>
              <w:ind w:left="202"/>
              <w:jc w:val="left"/>
              <w:rPr>
                <w:rFonts w:ascii="宋体" w:eastAsia="宋体" w:hint="eastAsia"/>
                <w:b/>
                <w:sz w:val="20"/>
              </w:rPr>
            </w:pPr>
            <w:r>
              <w:rPr>
                <w:rFonts w:ascii="宋体" w:eastAsia="宋体" w:hint="eastAsia"/>
                <w:b/>
                <w:sz w:val="20"/>
              </w:rPr>
              <w:t>废物代码</w:t>
            </w:r>
          </w:p>
        </w:tc>
        <w:tc>
          <w:tcPr>
            <w:tcW w:w="929" w:type="dxa"/>
            <w:tcBorders>
              <w:left w:val="single" w:sz="6" w:space="0" w:color="000000"/>
              <w:bottom w:val="single" w:sz="6" w:space="0" w:color="000000"/>
              <w:right w:val="single" w:sz="6" w:space="0" w:color="000000"/>
            </w:tcBorders>
          </w:tcPr>
          <w:p>
            <w:pPr>
              <w:pStyle w:val="TableParagraph"/>
              <w:spacing w:before="54"/>
              <w:ind w:left="122" w:right="99"/>
              <w:rPr>
                <w:rFonts w:ascii="宋体" w:eastAsia="宋体" w:hint="eastAsia"/>
                <w:b/>
                <w:sz w:val="20"/>
              </w:rPr>
            </w:pPr>
            <w:r>
              <w:rPr>
                <w:rFonts w:ascii="宋体" w:eastAsia="宋体" w:hint="eastAsia"/>
                <w:b/>
                <w:sz w:val="20"/>
              </w:rPr>
              <w:t>产生量</w:t>
            </w:r>
          </w:p>
        </w:tc>
        <w:tc>
          <w:tcPr>
            <w:tcW w:w="2907" w:type="dxa"/>
            <w:tcBorders>
              <w:left w:val="single" w:sz="6" w:space="0" w:color="000000"/>
              <w:bottom w:val="single" w:sz="6" w:space="0" w:color="000000"/>
            </w:tcBorders>
          </w:tcPr>
          <w:p>
            <w:pPr>
              <w:pStyle w:val="TableParagraph"/>
              <w:spacing w:before="54"/>
              <w:ind w:left="133" w:right="108"/>
              <w:rPr>
                <w:rFonts w:ascii="宋体" w:eastAsia="宋体" w:hint="eastAsia"/>
                <w:b/>
                <w:sz w:val="20"/>
              </w:rPr>
            </w:pPr>
            <w:r>
              <w:rPr>
                <w:rFonts w:ascii="宋体" w:eastAsia="宋体" w:hint="eastAsia"/>
                <w:b/>
                <w:sz w:val="20"/>
              </w:rPr>
              <w:t>利用处置方式</w:t>
            </w:r>
          </w:p>
        </w:tc>
      </w:tr>
      <w:tr>
        <w:trPr>
          <w:trHeight w:val="709" w:hRule="atLeast"/>
        </w:trPr>
        <w:tc>
          <w:tcPr>
            <w:tcW w:w="761" w:type="dxa"/>
            <w:tcBorders>
              <w:top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before="0"/>
              <w:ind w:left="17"/>
              <w:rPr>
                <w:sz w:val="20"/>
              </w:rPr>
            </w:pPr>
            <w:r>
              <w:rPr>
                <w:w w:val="99"/>
                <w:sz w:val="20"/>
              </w:rPr>
              <w:t>1</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1"/>
              <w:ind w:left="112" w:right="90"/>
              <w:rPr>
                <w:rFonts w:ascii="宋体" w:eastAsia="宋体" w:hint="eastAsia"/>
                <w:sz w:val="20"/>
              </w:rPr>
            </w:pPr>
            <w:r>
              <w:rPr>
                <w:rFonts w:ascii="宋体" w:eastAsia="宋体" w:hint="eastAsia"/>
                <w:sz w:val="20"/>
              </w:rPr>
              <w:t>危化品废包装</w:t>
            </w:r>
          </w:p>
          <w:p>
            <w:pPr>
              <w:pStyle w:val="TableParagraph"/>
              <w:spacing w:before="104"/>
              <w:ind w:left="22"/>
              <w:rPr>
                <w:rFonts w:ascii="宋体" w:eastAsia="宋体" w:hint="eastAsia"/>
                <w:sz w:val="20"/>
              </w:rPr>
            </w:pPr>
            <w:r>
              <w:rPr>
                <w:rFonts w:ascii="宋体" w:eastAsia="宋体" w:hint="eastAsia"/>
                <w:w w:val="99"/>
                <w:sz w:val="20"/>
              </w:rPr>
              <w:t>物</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118" w:right="97"/>
              <w:rPr>
                <w:rFonts w:ascii="宋体" w:eastAsia="宋体" w:hint="eastAsia"/>
                <w:sz w:val="20"/>
              </w:rPr>
            </w:pPr>
            <w:r>
              <w:rPr>
                <w:rFonts w:ascii="宋体" w:eastAsia="宋体" w:hint="eastAsia"/>
                <w:sz w:val="20"/>
              </w:rPr>
              <w:t>危化品包装</w:t>
            </w:r>
          </w:p>
        </w:tc>
        <w:tc>
          <w:tcPr>
            <w:tcW w:w="627" w:type="dxa"/>
            <w:vMerge w:val="restart"/>
            <w:tcBorders>
              <w:top w:val="single" w:sz="6" w:space="0" w:color="000000"/>
              <w:left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4"/>
              <w:jc w:val="left"/>
              <w:rPr>
                <w:b/>
                <w:sz w:val="28"/>
              </w:rPr>
            </w:pPr>
          </w:p>
          <w:p>
            <w:pPr>
              <w:pStyle w:val="TableParagraph"/>
              <w:spacing w:line="336" w:lineRule="auto" w:before="0"/>
              <w:ind w:left="118" w:right="93"/>
              <w:jc w:val="left"/>
              <w:rPr>
                <w:rFonts w:ascii="宋体" w:eastAsia="宋体" w:hint="eastAsia"/>
                <w:sz w:val="20"/>
              </w:rPr>
            </w:pPr>
            <w:r>
              <w:rPr>
                <w:rFonts w:ascii="宋体" w:eastAsia="宋体" w:hint="eastAsia"/>
                <w:sz w:val="20"/>
              </w:rPr>
              <w:t>危险废物</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2"/>
              <w:ind w:left="117" w:right="93"/>
              <w:rPr>
                <w:sz w:val="20"/>
              </w:rPr>
            </w:pPr>
            <w:r>
              <w:rPr>
                <w:sz w:val="20"/>
              </w:rPr>
              <w:t>HW49</w:t>
            </w:r>
          </w:p>
          <w:p>
            <w:pPr>
              <w:pStyle w:val="TableParagraph"/>
              <w:spacing w:before="130"/>
              <w:ind w:left="118" w:right="93"/>
              <w:rPr>
                <w:sz w:val="20"/>
              </w:rPr>
            </w:pPr>
            <w:r>
              <w:rPr>
                <w:sz w:val="20"/>
              </w:rPr>
              <w:t>900-041-49</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before="0"/>
              <w:ind w:left="122" w:right="98"/>
              <w:rPr>
                <w:sz w:val="20"/>
              </w:rPr>
            </w:pPr>
            <w:r>
              <w:rPr>
                <w:sz w:val="20"/>
              </w:rPr>
              <w:t>0.6</w:t>
            </w:r>
          </w:p>
        </w:tc>
        <w:tc>
          <w:tcPr>
            <w:tcW w:w="2907" w:type="dxa"/>
            <w:tcBorders>
              <w:top w:val="single" w:sz="6" w:space="0" w:color="000000"/>
              <w:left w:val="single" w:sz="6" w:space="0" w:color="000000"/>
              <w:bottom w:val="single" w:sz="6" w:space="0" w:color="000000"/>
            </w:tcBorders>
          </w:tcPr>
          <w:p>
            <w:pPr>
              <w:pStyle w:val="TableParagraph"/>
              <w:spacing w:before="1"/>
              <w:jc w:val="left"/>
              <w:rPr>
                <w:b/>
                <w:sz w:val="20"/>
              </w:rPr>
            </w:pPr>
          </w:p>
          <w:p>
            <w:pPr>
              <w:pStyle w:val="TableParagraph"/>
              <w:spacing w:before="0"/>
              <w:ind w:left="133" w:right="108"/>
              <w:rPr>
                <w:rFonts w:ascii="宋体" w:eastAsia="宋体" w:hint="eastAsia"/>
                <w:sz w:val="20"/>
              </w:rPr>
            </w:pPr>
            <w:r>
              <w:rPr>
                <w:rFonts w:ascii="宋体" w:eastAsia="宋体" w:hint="eastAsia"/>
                <w:sz w:val="20"/>
              </w:rPr>
              <w:t>委托有资质单位安全处置</w:t>
            </w:r>
          </w:p>
        </w:tc>
      </w:tr>
      <w:tr>
        <w:trPr>
          <w:trHeight w:val="704" w:hRule="atLeast"/>
        </w:trPr>
        <w:tc>
          <w:tcPr>
            <w:tcW w:w="761" w:type="dxa"/>
            <w:tcBorders>
              <w:top w:val="single" w:sz="6" w:space="0" w:color="000000"/>
              <w:bottom w:val="single" w:sz="6" w:space="0" w:color="000000"/>
              <w:right w:val="single" w:sz="6" w:space="0" w:color="000000"/>
            </w:tcBorders>
          </w:tcPr>
          <w:p>
            <w:pPr>
              <w:pStyle w:val="TableParagraph"/>
              <w:spacing w:before="5"/>
              <w:jc w:val="left"/>
              <w:rPr>
                <w:b/>
                <w:sz w:val="20"/>
              </w:rPr>
            </w:pPr>
          </w:p>
          <w:p>
            <w:pPr>
              <w:pStyle w:val="TableParagraph"/>
              <w:spacing w:before="0"/>
              <w:ind w:left="17"/>
              <w:rPr>
                <w:sz w:val="20"/>
              </w:rPr>
            </w:pPr>
            <w:r>
              <w:rPr>
                <w:w w:val="99"/>
                <w:sz w:val="20"/>
              </w:rPr>
              <w:t>2</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19"/>
              </w:rPr>
            </w:pPr>
          </w:p>
          <w:p>
            <w:pPr>
              <w:pStyle w:val="TableParagraph"/>
              <w:spacing w:before="0"/>
              <w:ind w:left="109" w:right="90"/>
              <w:rPr>
                <w:rFonts w:ascii="宋体" w:eastAsia="宋体" w:hint="eastAsia"/>
                <w:sz w:val="20"/>
              </w:rPr>
            </w:pPr>
            <w:r>
              <w:rPr>
                <w:rFonts w:ascii="宋体" w:eastAsia="宋体" w:hint="eastAsia"/>
                <w:sz w:val="20"/>
              </w:rPr>
              <w:t>废矿物油</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19"/>
              </w:rPr>
            </w:pPr>
          </w:p>
          <w:p>
            <w:pPr>
              <w:pStyle w:val="TableParagraph"/>
              <w:spacing w:before="0"/>
              <w:ind w:left="121" w:right="97"/>
              <w:rPr>
                <w:rFonts w:ascii="宋体" w:eastAsia="宋体" w:hint="eastAsia"/>
                <w:sz w:val="20"/>
              </w:rPr>
            </w:pPr>
            <w:r>
              <w:rPr>
                <w:rFonts w:ascii="宋体" w:eastAsia="宋体" w:hint="eastAsia"/>
                <w:sz w:val="20"/>
              </w:rPr>
              <w:t>无害化处理机</w:t>
            </w:r>
          </w:p>
        </w:tc>
        <w:tc>
          <w:tcPr>
            <w:tcW w:w="627" w:type="dxa"/>
            <w:vMerge/>
            <w:tcBorders>
              <w:top w:val="nil"/>
              <w:left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57"/>
              <w:ind w:left="117" w:right="93"/>
              <w:rPr>
                <w:sz w:val="20"/>
              </w:rPr>
            </w:pPr>
            <w:r>
              <w:rPr>
                <w:sz w:val="20"/>
              </w:rPr>
              <w:t>HW08</w:t>
            </w:r>
          </w:p>
          <w:p>
            <w:pPr>
              <w:pStyle w:val="TableParagraph"/>
              <w:spacing w:before="128"/>
              <w:ind w:left="118" w:right="93"/>
              <w:rPr>
                <w:sz w:val="20"/>
              </w:rPr>
            </w:pPr>
            <w:r>
              <w:rPr>
                <w:sz w:val="20"/>
              </w:rPr>
              <w:t>900-249-08</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5"/>
              <w:jc w:val="left"/>
              <w:rPr>
                <w:b/>
                <w:sz w:val="20"/>
              </w:rPr>
            </w:pPr>
          </w:p>
          <w:p>
            <w:pPr>
              <w:pStyle w:val="TableParagraph"/>
              <w:spacing w:before="0"/>
              <w:ind w:left="122" w:right="98"/>
              <w:rPr>
                <w:sz w:val="20"/>
              </w:rPr>
            </w:pPr>
            <w:r>
              <w:rPr>
                <w:sz w:val="20"/>
              </w:rPr>
              <w:t>0.1</w:t>
            </w:r>
          </w:p>
        </w:tc>
        <w:tc>
          <w:tcPr>
            <w:tcW w:w="2907" w:type="dxa"/>
            <w:tcBorders>
              <w:top w:val="single" w:sz="6" w:space="0" w:color="000000"/>
              <w:left w:val="single" w:sz="6" w:space="0" w:color="000000"/>
              <w:bottom w:val="single" w:sz="6" w:space="0" w:color="000000"/>
            </w:tcBorders>
          </w:tcPr>
          <w:p>
            <w:pPr>
              <w:pStyle w:val="TableParagraph"/>
              <w:spacing w:before="5"/>
              <w:jc w:val="left"/>
              <w:rPr>
                <w:b/>
                <w:sz w:val="19"/>
              </w:rPr>
            </w:pPr>
          </w:p>
          <w:p>
            <w:pPr>
              <w:pStyle w:val="TableParagraph"/>
              <w:spacing w:before="0"/>
              <w:ind w:left="133" w:right="108"/>
              <w:rPr>
                <w:rFonts w:ascii="宋体" w:eastAsia="宋体" w:hint="eastAsia"/>
                <w:sz w:val="20"/>
              </w:rPr>
            </w:pPr>
            <w:r>
              <w:rPr>
                <w:rFonts w:ascii="宋体" w:eastAsia="宋体" w:hint="eastAsia"/>
                <w:sz w:val="20"/>
              </w:rPr>
              <w:t>委托有资质单位安全处置</w:t>
            </w:r>
          </w:p>
        </w:tc>
      </w:tr>
      <w:tr>
        <w:trPr>
          <w:trHeight w:val="706" w:hRule="atLeast"/>
        </w:trPr>
        <w:tc>
          <w:tcPr>
            <w:tcW w:w="761" w:type="dxa"/>
            <w:tcBorders>
              <w:top w:val="single" w:sz="6" w:space="0" w:color="000000"/>
              <w:right w:val="single" w:sz="6" w:space="0" w:color="000000"/>
            </w:tcBorders>
          </w:tcPr>
          <w:p>
            <w:pPr>
              <w:pStyle w:val="TableParagraph"/>
              <w:spacing w:before="5"/>
              <w:jc w:val="left"/>
              <w:rPr>
                <w:b/>
                <w:sz w:val="20"/>
              </w:rPr>
            </w:pPr>
          </w:p>
          <w:p>
            <w:pPr>
              <w:pStyle w:val="TableParagraph"/>
              <w:spacing w:before="0"/>
              <w:ind w:left="17"/>
              <w:rPr>
                <w:sz w:val="20"/>
              </w:rPr>
            </w:pPr>
            <w:r>
              <w:rPr>
                <w:w w:val="99"/>
                <w:sz w:val="20"/>
              </w:rPr>
              <w:t>3</w:t>
            </w:r>
          </w:p>
        </w:tc>
        <w:tc>
          <w:tcPr>
            <w:tcW w:w="1458" w:type="dxa"/>
            <w:tcBorders>
              <w:top w:val="single" w:sz="6" w:space="0" w:color="000000"/>
              <w:left w:val="single" w:sz="6" w:space="0" w:color="000000"/>
              <w:right w:val="single" w:sz="6" w:space="0" w:color="000000"/>
            </w:tcBorders>
          </w:tcPr>
          <w:p>
            <w:pPr>
              <w:pStyle w:val="TableParagraph"/>
              <w:spacing w:before="5"/>
              <w:jc w:val="left"/>
              <w:rPr>
                <w:b/>
                <w:sz w:val="19"/>
              </w:rPr>
            </w:pPr>
          </w:p>
          <w:p>
            <w:pPr>
              <w:pStyle w:val="TableParagraph"/>
              <w:spacing w:before="0"/>
              <w:ind w:left="109" w:right="90"/>
              <w:rPr>
                <w:rFonts w:ascii="宋体" w:eastAsia="宋体" w:hint="eastAsia"/>
                <w:sz w:val="20"/>
              </w:rPr>
            </w:pPr>
            <w:r>
              <w:rPr>
                <w:rFonts w:ascii="宋体" w:eastAsia="宋体" w:hint="eastAsia"/>
                <w:sz w:val="20"/>
              </w:rPr>
              <w:t>医疗废物</w:t>
            </w:r>
          </w:p>
        </w:tc>
        <w:tc>
          <w:tcPr>
            <w:tcW w:w="1474" w:type="dxa"/>
            <w:tcBorders>
              <w:top w:val="single" w:sz="6" w:space="0" w:color="000000"/>
              <w:left w:val="single" w:sz="6" w:space="0" w:color="000000"/>
              <w:right w:val="single" w:sz="6" w:space="0" w:color="000000"/>
            </w:tcBorders>
          </w:tcPr>
          <w:p>
            <w:pPr>
              <w:pStyle w:val="TableParagraph"/>
              <w:spacing w:before="5"/>
              <w:jc w:val="left"/>
              <w:rPr>
                <w:b/>
                <w:sz w:val="19"/>
              </w:rPr>
            </w:pPr>
          </w:p>
          <w:p>
            <w:pPr>
              <w:pStyle w:val="TableParagraph"/>
              <w:spacing w:before="0"/>
              <w:ind w:left="118" w:right="97"/>
              <w:rPr>
                <w:rFonts w:ascii="宋体" w:eastAsia="宋体" w:hint="eastAsia"/>
                <w:sz w:val="20"/>
              </w:rPr>
            </w:pPr>
            <w:r>
              <w:rPr>
                <w:rFonts w:ascii="宋体" w:eastAsia="宋体" w:hint="eastAsia"/>
                <w:sz w:val="20"/>
              </w:rPr>
              <w:t>猪卫生防疫</w:t>
            </w:r>
          </w:p>
        </w:tc>
        <w:tc>
          <w:tcPr>
            <w:tcW w:w="627" w:type="dxa"/>
            <w:vMerge/>
            <w:tcBorders>
              <w:top w:val="nil"/>
              <w:left w:val="single" w:sz="6" w:space="0" w:color="000000"/>
              <w:right w:val="single" w:sz="6" w:space="0" w:color="000000"/>
            </w:tcBorders>
          </w:tcPr>
          <w:p>
            <w:pPr>
              <w:rPr>
                <w:sz w:val="2"/>
                <w:szCs w:val="2"/>
              </w:rPr>
            </w:pPr>
          </w:p>
        </w:tc>
        <w:tc>
          <w:tcPr>
            <w:tcW w:w="1200" w:type="dxa"/>
            <w:tcBorders>
              <w:top w:val="single" w:sz="6" w:space="0" w:color="000000"/>
              <w:left w:val="single" w:sz="6" w:space="0" w:color="000000"/>
              <w:right w:val="single" w:sz="6" w:space="0" w:color="000000"/>
            </w:tcBorders>
          </w:tcPr>
          <w:p>
            <w:pPr>
              <w:pStyle w:val="TableParagraph"/>
              <w:spacing w:before="55"/>
              <w:ind w:left="117" w:right="93"/>
              <w:rPr>
                <w:sz w:val="20"/>
              </w:rPr>
            </w:pPr>
            <w:r>
              <w:rPr>
                <w:sz w:val="20"/>
              </w:rPr>
              <w:t>HW01</w:t>
            </w:r>
          </w:p>
          <w:p>
            <w:pPr>
              <w:pStyle w:val="TableParagraph"/>
              <w:spacing w:before="127"/>
              <w:ind w:left="118" w:right="93"/>
              <w:rPr>
                <w:sz w:val="20"/>
              </w:rPr>
            </w:pPr>
            <w:r>
              <w:rPr>
                <w:sz w:val="20"/>
              </w:rPr>
              <w:t>841-001-01</w:t>
            </w:r>
          </w:p>
        </w:tc>
        <w:tc>
          <w:tcPr>
            <w:tcW w:w="929" w:type="dxa"/>
            <w:tcBorders>
              <w:top w:val="single" w:sz="6" w:space="0" w:color="000000"/>
              <w:left w:val="single" w:sz="6" w:space="0" w:color="000000"/>
              <w:right w:val="single" w:sz="6" w:space="0" w:color="000000"/>
            </w:tcBorders>
          </w:tcPr>
          <w:p>
            <w:pPr>
              <w:pStyle w:val="TableParagraph"/>
              <w:spacing w:before="7"/>
              <w:jc w:val="left"/>
              <w:rPr>
                <w:b/>
                <w:sz w:val="20"/>
              </w:rPr>
            </w:pPr>
          </w:p>
          <w:p>
            <w:pPr>
              <w:pStyle w:val="TableParagraph"/>
              <w:spacing w:before="0"/>
              <w:ind w:left="122" w:right="98"/>
              <w:rPr>
                <w:sz w:val="20"/>
              </w:rPr>
            </w:pPr>
            <w:r>
              <w:rPr>
                <w:sz w:val="20"/>
              </w:rPr>
              <w:t>4.3</w:t>
            </w:r>
          </w:p>
        </w:tc>
        <w:tc>
          <w:tcPr>
            <w:tcW w:w="2907" w:type="dxa"/>
            <w:tcBorders>
              <w:top w:val="single" w:sz="6" w:space="0" w:color="000000"/>
              <w:left w:val="single" w:sz="6" w:space="0" w:color="000000"/>
            </w:tcBorders>
          </w:tcPr>
          <w:p>
            <w:pPr>
              <w:pStyle w:val="TableParagraph"/>
              <w:spacing w:before="44"/>
              <w:ind w:left="157"/>
              <w:jc w:val="left"/>
              <w:rPr>
                <w:rFonts w:ascii="宋体" w:eastAsia="宋体" w:hint="eastAsia"/>
                <w:sz w:val="20"/>
              </w:rPr>
            </w:pPr>
            <w:r>
              <w:rPr>
                <w:rFonts w:ascii="宋体" w:eastAsia="宋体" w:hint="eastAsia"/>
                <w:w w:val="95"/>
                <w:sz w:val="20"/>
              </w:rPr>
              <w:t>定点收集后由柯桥区畜牧兽医</w:t>
            </w:r>
          </w:p>
          <w:p>
            <w:pPr>
              <w:pStyle w:val="TableParagraph"/>
              <w:spacing w:before="101"/>
              <w:ind w:left="157"/>
              <w:jc w:val="left"/>
              <w:rPr>
                <w:rFonts w:ascii="宋体" w:eastAsia="宋体" w:hint="eastAsia"/>
                <w:sz w:val="20"/>
              </w:rPr>
            </w:pPr>
            <w:r>
              <w:rPr>
                <w:rFonts w:ascii="宋体" w:eastAsia="宋体" w:hint="eastAsia"/>
                <w:w w:val="95"/>
                <w:sz w:val="20"/>
              </w:rPr>
              <w:t>局统一委托绍兴华鑫环保科技</w:t>
            </w:r>
          </w:p>
        </w:tc>
      </w:tr>
    </w:tbl>
    <w:p>
      <w:pPr>
        <w:spacing w:after="0"/>
        <w:jc w:val="left"/>
        <w:rPr>
          <w:rFonts w:ascii="宋体" w:eastAsia="宋体" w:hint="eastAsia"/>
          <w:sz w:val="20"/>
        </w:rPr>
        <w:sectPr>
          <w:pgSz w:w="11910" w:h="16840"/>
          <w:pgMar w:header="874" w:footer="1004" w:top="1420" w:bottom="1200" w:left="1040" w:right="1160"/>
        </w:sectPr>
      </w:pPr>
    </w:p>
    <w:tbl>
      <w:tblPr>
        <w:tblW w:w="0" w:type="auto"/>
        <w:jc w:val="left"/>
        <w:tblInd w:w="1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1"/>
        <w:gridCol w:w="1458"/>
        <w:gridCol w:w="1474"/>
        <w:gridCol w:w="627"/>
        <w:gridCol w:w="1200"/>
        <w:gridCol w:w="929"/>
        <w:gridCol w:w="2907"/>
      </w:tblGrid>
      <w:tr>
        <w:trPr>
          <w:trHeight w:val="359" w:hRule="atLeast"/>
        </w:trPr>
        <w:tc>
          <w:tcPr>
            <w:tcW w:w="761" w:type="dxa"/>
            <w:tcBorders>
              <w:bottom w:val="single" w:sz="6" w:space="0" w:color="000000"/>
              <w:right w:val="single" w:sz="6" w:space="0" w:color="000000"/>
            </w:tcBorders>
          </w:tcPr>
          <w:p>
            <w:pPr>
              <w:pStyle w:val="TableParagraph"/>
              <w:spacing w:before="54"/>
              <w:ind w:left="157" w:right="139"/>
              <w:rPr>
                <w:rFonts w:ascii="宋体" w:eastAsia="宋体" w:hint="eastAsia"/>
                <w:b/>
                <w:sz w:val="20"/>
              </w:rPr>
            </w:pPr>
            <w:r>
              <w:rPr>
                <w:rFonts w:ascii="宋体" w:eastAsia="宋体" w:hint="eastAsia"/>
                <w:b/>
                <w:sz w:val="20"/>
              </w:rPr>
              <w:t>序号</w:t>
            </w:r>
          </w:p>
        </w:tc>
        <w:tc>
          <w:tcPr>
            <w:tcW w:w="1458" w:type="dxa"/>
            <w:tcBorders>
              <w:left w:val="single" w:sz="6" w:space="0" w:color="000000"/>
              <w:bottom w:val="single" w:sz="6" w:space="0" w:color="000000"/>
              <w:right w:val="single" w:sz="6" w:space="0" w:color="000000"/>
            </w:tcBorders>
          </w:tcPr>
          <w:p>
            <w:pPr>
              <w:pStyle w:val="TableParagraph"/>
              <w:spacing w:before="54"/>
              <w:ind w:left="112" w:right="88"/>
              <w:rPr>
                <w:rFonts w:ascii="宋体" w:eastAsia="宋体" w:hint="eastAsia"/>
                <w:b/>
                <w:sz w:val="20"/>
              </w:rPr>
            </w:pPr>
            <w:r>
              <w:rPr>
                <w:rFonts w:ascii="宋体" w:eastAsia="宋体" w:hint="eastAsia"/>
                <w:b/>
                <w:sz w:val="20"/>
              </w:rPr>
              <w:t>固废名称</w:t>
            </w:r>
          </w:p>
        </w:tc>
        <w:tc>
          <w:tcPr>
            <w:tcW w:w="1474" w:type="dxa"/>
            <w:tcBorders>
              <w:left w:val="single" w:sz="6" w:space="0" w:color="000000"/>
              <w:bottom w:val="single" w:sz="6" w:space="0" w:color="000000"/>
              <w:right w:val="single" w:sz="6" w:space="0" w:color="000000"/>
            </w:tcBorders>
          </w:tcPr>
          <w:p>
            <w:pPr>
              <w:pStyle w:val="TableParagraph"/>
              <w:spacing w:before="54"/>
              <w:ind w:left="121" w:right="95"/>
              <w:rPr>
                <w:rFonts w:ascii="宋体" w:eastAsia="宋体" w:hint="eastAsia"/>
                <w:b/>
                <w:sz w:val="20"/>
              </w:rPr>
            </w:pPr>
            <w:r>
              <w:rPr>
                <w:rFonts w:ascii="宋体" w:eastAsia="宋体" w:hint="eastAsia"/>
                <w:b/>
                <w:sz w:val="20"/>
              </w:rPr>
              <w:t>产生工序</w:t>
            </w:r>
          </w:p>
        </w:tc>
        <w:tc>
          <w:tcPr>
            <w:tcW w:w="627" w:type="dxa"/>
            <w:tcBorders>
              <w:left w:val="single" w:sz="6" w:space="0" w:color="000000"/>
              <w:bottom w:val="single" w:sz="6" w:space="0" w:color="000000"/>
              <w:right w:val="single" w:sz="6" w:space="0" w:color="000000"/>
            </w:tcBorders>
          </w:tcPr>
          <w:p>
            <w:pPr>
              <w:pStyle w:val="TableParagraph"/>
              <w:spacing w:before="54"/>
              <w:ind w:left="118"/>
              <w:jc w:val="left"/>
              <w:rPr>
                <w:rFonts w:ascii="宋体" w:eastAsia="宋体" w:hint="eastAsia"/>
                <w:b/>
                <w:sz w:val="20"/>
              </w:rPr>
            </w:pPr>
            <w:r>
              <w:rPr>
                <w:rFonts w:ascii="宋体" w:eastAsia="宋体" w:hint="eastAsia"/>
                <w:b/>
                <w:sz w:val="20"/>
              </w:rPr>
              <w:t>属性</w:t>
            </w:r>
          </w:p>
        </w:tc>
        <w:tc>
          <w:tcPr>
            <w:tcW w:w="1200" w:type="dxa"/>
            <w:tcBorders>
              <w:left w:val="single" w:sz="6" w:space="0" w:color="000000"/>
              <w:bottom w:val="single" w:sz="6" w:space="0" w:color="000000"/>
              <w:right w:val="single" w:sz="6" w:space="0" w:color="000000"/>
            </w:tcBorders>
          </w:tcPr>
          <w:p>
            <w:pPr>
              <w:pStyle w:val="TableParagraph"/>
              <w:spacing w:before="54"/>
              <w:ind w:left="118" w:right="93"/>
              <w:rPr>
                <w:rFonts w:ascii="宋体" w:eastAsia="宋体" w:hint="eastAsia"/>
                <w:b/>
                <w:sz w:val="20"/>
              </w:rPr>
            </w:pPr>
            <w:r>
              <w:rPr>
                <w:rFonts w:ascii="宋体" w:eastAsia="宋体" w:hint="eastAsia"/>
                <w:b/>
                <w:sz w:val="20"/>
              </w:rPr>
              <w:t>废物代码</w:t>
            </w:r>
          </w:p>
        </w:tc>
        <w:tc>
          <w:tcPr>
            <w:tcW w:w="929" w:type="dxa"/>
            <w:tcBorders>
              <w:left w:val="single" w:sz="6" w:space="0" w:color="000000"/>
              <w:bottom w:val="single" w:sz="6" w:space="0" w:color="000000"/>
              <w:right w:val="single" w:sz="6" w:space="0" w:color="000000"/>
            </w:tcBorders>
          </w:tcPr>
          <w:p>
            <w:pPr>
              <w:pStyle w:val="TableParagraph"/>
              <w:spacing w:before="54"/>
              <w:ind w:left="122" w:right="99"/>
              <w:rPr>
                <w:rFonts w:ascii="宋体" w:eastAsia="宋体" w:hint="eastAsia"/>
                <w:b/>
                <w:sz w:val="20"/>
              </w:rPr>
            </w:pPr>
            <w:r>
              <w:rPr>
                <w:rFonts w:ascii="宋体" w:eastAsia="宋体" w:hint="eastAsia"/>
                <w:b/>
                <w:sz w:val="20"/>
              </w:rPr>
              <w:t>产生量</w:t>
            </w:r>
          </w:p>
        </w:tc>
        <w:tc>
          <w:tcPr>
            <w:tcW w:w="2907" w:type="dxa"/>
            <w:tcBorders>
              <w:left w:val="single" w:sz="6" w:space="0" w:color="000000"/>
              <w:bottom w:val="single" w:sz="6" w:space="0" w:color="000000"/>
            </w:tcBorders>
          </w:tcPr>
          <w:p>
            <w:pPr>
              <w:pStyle w:val="TableParagraph"/>
              <w:spacing w:before="54"/>
              <w:ind w:left="133" w:right="108"/>
              <w:rPr>
                <w:rFonts w:ascii="宋体" w:eastAsia="宋体" w:hint="eastAsia"/>
                <w:b/>
                <w:sz w:val="20"/>
              </w:rPr>
            </w:pPr>
            <w:r>
              <w:rPr>
                <w:rFonts w:ascii="宋体" w:eastAsia="宋体" w:hint="eastAsia"/>
                <w:b/>
                <w:sz w:val="20"/>
              </w:rPr>
              <w:t>利用处置方式</w:t>
            </w:r>
          </w:p>
        </w:tc>
      </w:tr>
      <w:tr>
        <w:trPr>
          <w:trHeight w:val="359" w:hRule="atLeast"/>
        </w:trPr>
        <w:tc>
          <w:tcPr>
            <w:tcW w:w="761" w:type="dxa"/>
            <w:tcBorders>
              <w:top w:val="single" w:sz="6" w:space="0" w:color="000000"/>
              <w:bottom w:val="single" w:sz="6" w:space="0" w:color="000000"/>
              <w:right w:val="single" w:sz="6" w:space="0" w:color="000000"/>
            </w:tcBorders>
          </w:tcPr>
          <w:p>
            <w:pPr>
              <w:pStyle w:val="TableParagraph"/>
              <w:spacing w:before="0"/>
              <w:jc w:val="left"/>
              <w:rPr>
                <w:sz w:val="22"/>
              </w:rPr>
            </w:pP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62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2907" w:type="dxa"/>
            <w:tcBorders>
              <w:top w:val="single" w:sz="6" w:space="0" w:color="000000"/>
              <w:left w:val="single" w:sz="6" w:space="0" w:color="000000"/>
              <w:bottom w:val="single" w:sz="6" w:space="0" w:color="000000"/>
            </w:tcBorders>
          </w:tcPr>
          <w:p>
            <w:pPr>
              <w:pStyle w:val="TableParagraph"/>
              <w:spacing w:before="51"/>
              <w:ind w:left="133" w:right="108"/>
              <w:rPr>
                <w:rFonts w:ascii="宋体" w:eastAsia="宋体" w:hint="eastAsia"/>
                <w:sz w:val="20"/>
              </w:rPr>
            </w:pPr>
            <w:r>
              <w:rPr>
                <w:rFonts w:ascii="宋体" w:eastAsia="宋体" w:hint="eastAsia"/>
                <w:sz w:val="20"/>
              </w:rPr>
              <w:t>有限公司安全处置</w:t>
            </w:r>
          </w:p>
        </w:tc>
      </w:tr>
      <w:tr>
        <w:trPr>
          <w:trHeight w:val="357" w:hRule="atLeast"/>
        </w:trPr>
        <w:tc>
          <w:tcPr>
            <w:tcW w:w="761" w:type="dxa"/>
            <w:tcBorders>
              <w:top w:val="single" w:sz="6" w:space="0" w:color="000000"/>
              <w:bottom w:val="single" w:sz="6" w:space="0" w:color="000000"/>
              <w:right w:val="single" w:sz="6" w:space="0" w:color="000000"/>
            </w:tcBorders>
          </w:tcPr>
          <w:p>
            <w:pPr>
              <w:pStyle w:val="TableParagraph"/>
              <w:spacing w:before="62"/>
              <w:ind w:left="17"/>
              <w:rPr>
                <w:sz w:val="20"/>
              </w:rPr>
            </w:pPr>
            <w:r>
              <w:rPr>
                <w:w w:val="99"/>
                <w:sz w:val="20"/>
              </w:rPr>
              <w:t>4</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1"/>
              <w:ind w:left="109" w:right="90"/>
              <w:rPr>
                <w:rFonts w:ascii="宋体" w:eastAsia="宋体" w:hint="eastAsia"/>
                <w:sz w:val="20"/>
              </w:rPr>
            </w:pPr>
            <w:r>
              <w:rPr>
                <w:rFonts w:ascii="宋体" w:eastAsia="宋体" w:hint="eastAsia"/>
                <w:sz w:val="20"/>
              </w:rPr>
              <w:t>发酵产物</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51"/>
              <w:ind w:left="118" w:right="97"/>
              <w:rPr>
                <w:rFonts w:ascii="宋体" w:eastAsia="宋体" w:hint="eastAsia"/>
                <w:sz w:val="20"/>
              </w:rPr>
            </w:pPr>
            <w:r>
              <w:rPr>
                <w:rFonts w:ascii="宋体" w:eastAsia="宋体" w:hint="eastAsia"/>
                <w:sz w:val="20"/>
              </w:rPr>
              <w:t>猪粪发酵罐</w:t>
            </w:r>
          </w:p>
        </w:tc>
        <w:tc>
          <w:tcPr>
            <w:tcW w:w="6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b/>
                <w:sz w:val="21"/>
              </w:rPr>
            </w:pPr>
          </w:p>
          <w:p>
            <w:pPr>
              <w:pStyle w:val="TableParagraph"/>
              <w:spacing w:line="336" w:lineRule="auto" w:before="0"/>
              <w:ind w:left="118" w:right="93"/>
              <w:jc w:val="left"/>
              <w:rPr>
                <w:rFonts w:ascii="宋体" w:eastAsia="宋体" w:hint="eastAsia"/>
                <w:sz w:val="20"/>
              </w:rPr>
            </w:pPr>
            <w:r>
              <w:rPr>
                <w:rFonts w:ascii="宋体" w:eastAsia="宋体" w:hint="eastAsia"/>
                <w:sz w:val="20"/>
              </w:rPr>
              <w:t>一般废物</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2"/>
              <w:ind w:left="118" w:right="93"/>
              <w:rPr>
                <w:sz w:val="20"/>
              </w:rPr>
            </w:pPr>
            <w:r>
              <w:rPr>
                <w:sz w:val="20"/>
              </w:rPr>
              <w:t>030-001-33</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62"/>
              <w:ind w:left="122" w:right="101"/>
              <w:rPr>
                <w:sz w:val="20"/>
              </w:rPr>
            </w:pPr>
            <w:r>
              <w:rPr>
                <w:sz w:val="20"/>
              </w:rPr>
              <w:t>22695.0</w:t>
            </w:r>
          </w:p>
        </w:tc>
        <w:tc>
          <w:tcPr>
            <w:tcW w:w="2907" w:type="dxa"/>
            <w:tcBorders>
              <w:top w:val="single" w:sz="6" w:space="0" w:color="000000"/>
              <w:left w:val="single" w:sz="6" w:space="0" w:color="000000"/>
              <w:bottom w:val="single" w:sz="6" w:space="0" w:color="000000"/>
            </w:tcBorders>
          </w:tcPr>
          <w:p>
            <w:pPr>
              <w:pStyle w:val="TableParagraph"/>
              <w:spacing w:before="51"/>
              <w:ind w:left="135" w:right="108"/>
              <w:rPr>
                <w:rFonts w:ascii="宋体" w:eastAsia="宋体" w:hint="eastAsia"/>
                <w:sz w:val="20"/>
              </w:rPr>
            </w:pPr>
            <w:r>
              <w:rPr>
                <w:rFonts w:ascii="宋体" w:eastAsia="宋体" w:hint="eastAsia"/>
                <w:sz w:val="20"/>
              </w:rPr>
              <w:t>外运至第三方企业生产有机肥</w:t>
            </w:r>
          </w:p>
        </w:tc>
      </w:tr>
      <w:tr>
        <w:trPr>
          <w:trHeight w:val="359" w:hRule="atLeast"/>
        </w:trPr>
        <w:tc>
          <w:tcPr>
            <w:tcW w:w="761" w:type="dxa"/>
            <w:tcBorders>
              <w:top w:val="single" w:sz="6" w:space="0" w:color="000000"/>
              <w:bottom w:val="single" w:sz="6" w:space="0" w:color="000000"/>
              <w:right w:val="single" w:sz="6" w:space="0" w:color="000000"/>
            </w:tcBorders>
          </w:tcPr>
          <w:p>
            <w:pPr>
              <w:pStyle w:val="TableParagraph"/>
              <w:spacing w:before="65"/>
              <w:ind w:left="17"/>
              <w:rPr>
                <w:sz w:val="20"/>
              </w:rPr>
            </w:pPr>
            <w:r>
              <w:rPr>
                <w:w w:val="99"/>
                <w:sz w:val="20"/>
              </w:rPr>
              <w:t>5</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4"/>
              <w:ind w:left="112" w:right="90"/>
              <w:rPr>
                <w:rFonts w:ascii="宋体" w:eastAsia="宋体" w:hint="eastAsia"/>
                <w:sz w:val="20"/>
              </w:rPr>
            </w:pPr>
            <w:r>
              <w:rPr>
                <w:rFonts w:ascii="宋体" w:eastAsia="宋体" w:hint="eastAsia"/>
                <w:sz w:val="20"/>
              </w:rPr>
              <w:t>一般废包装物</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54"/>
              <w:ind w:left="121" w:right="97"/>
              <w:rPr>
                <w:rFonts w:ascii="宋体" w:eastAsia="宋体" w:hint="eastAsia"/>
                <w:sz w:val="20"/>
              </w:rPr>
            </w:pPr>
            <w:r>
              <w:rPr>
                <w:rFonts w:ascii="宋体" w:eastAsia="宋体" w:hint="eastAsia"/>
                <w:sz w:val="20"/>
              </w:rPr>
              <w:t>非危化品包装</w:t>
            </w:r>
          </w:p>
        </w:tc>
        <w:tc>
          <w:tcPr>
            <w:tcW w:w="627" w:type="dxa"/>
            <w:vMerge/>
            <w:tcBorders>
              <w:top w:val="nil"/>
              <w:left w:val="single" w:sz="6" w:space="0" w:color="000000"/>
              <w:bottom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5"/>
              <w:ind w:left="118" w:right="93"/>
              <w:rPr>
                <w:sz w:val="20"/>
              </w:rPr>
            </w:pPr>
            <w:r>
              <w:rPr>
                <w:sz w:val="20"/>
              </w:rPr>
              <w:t>223-001-07</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65"/>
              <w:ind w:left="122" w:right="99"/>
              <w:rPr>
                <w:sz w:val="20"/>
              </w:rPr>
            </w:pPr>
            <w:r>
              <w:rPr>
                <w:sz w:val="20"/>
              </w:rPr>
              <w:t>40.0</w:t>
            </w:r>
          </w:p>
        </w:tc>
        <w:tc>
          <w:tcPr>
            <w:tcW w:w="2907" w:type="dxa"/>
            <w:tcBorders>
              <w:top w:val="single" w:sz="6" w:space="0" w:color="000000"/>
              <w:left w:val="single" w:sz="6" w:space="0" w:color="000000"/>
              <w:bottom w:val="single" w:sz="6" w:space="0" w:color="000000"/>
            </w:tcBorders>
          </w:tcPr>
          <w:p>
            <w:pPr>
              <w:pStyle w:val="TableParagraph"/>
              <w:spacing w:before="54"/>
              <w:ind w:left="131" w:right="108"/>
              <w:rPr>
                <w:rFonts w:ascii="宋体" w:eastAsia="宋体" w:hint="eastAsia"/>
                <w:sz w:val="20"/>
              </w:rPr>
            </w:pPr>
            <w:r>
              <w:rPr>
                <w:rFonts w:ascii="宋体" w:eastAsia="宋体" w:hint="eastAsia"/>
                <w:sz w:val="20"/>
              </w:rPr>
              <w:t>外卖综合利用</w:t>
            </w:r>
          </w:p>
        </w:tc>
      </w:tr>
      <w:tr>
        <w:trPr>
          <w:trHeight w:val="359" w:hRule="atLeast"/>
        </w:trPr>
        <w:tc>
          <w:tcPr>
            <w:tcW w:w="761" w:type="dxa"/>
            <w:tcBorders>
              <w:top w:val="single" w:sz="6" w:space="0" w:color="000000"/>
              <w:bottom w:val="single" w:sz="6" w:space="0" w:color="000000"/>
              <w:right w:val="single" w:sz="6" w:space="0" w:color="000000"/>
            </w:tcBorders>
          </w:tcPr>
          <w:p>
            <w:pPr>
              <w:pStyle w:val="TableParagraph"/>
              <w:spacing w:before="62"/>
              <w:ind w:left="17"/>
              <w:rPr>
                <w:sz w:val="20"/>
              </w:rPr>
            </w:pPr>
            <w:r>
              <w:rPr>
                <w:w w:val="99"/>
                <w:sz w:val="20"/>
              </w:rPr>
              <w:t>6</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1"/>
              <w:ind w:left="109" w:right="90"/>
              <w:rPr>
                <w:rFonts w:ascii="宋体" w:eastAsia="宋体" w:hint="eastAsia"/>
                <w:sz w:val="20"/>
              </w:rPr>
            </w:pPr>
            <w:r>
              <w:rPr>
                <w:rFonts w:ascii="宋体" w:eastAsia="宋体" w:hint="eastAsia"/>
                <w:sz w:val="20"/>
              </w:rPr>
              <w:t>废脱硫剂</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51"/>
              <w:ind w:left="118" w:right="97"/>
              <w:rPr>
                <w:rFonts w:ascii="宋体" w:eastAsia="宋体" w:hint="eastAsia"/>
                <w:sz w:val="20"/>
              </w:rPr>
            </w:pPr>
            <w:r>
              <w:rPr>
                <w:rFonts w:ascii="宋体" w:eastAsia="宋体" w:hint="eastAsia"/>
                <w:sz w:val="20"/>
              </w:rPr>
              <w:t>沼气脱硫</w:t>
            </w:r>
          </w:p>
        </w:tc>
        <w:tc>
          <w:tcPr>
            <w:tcW w:w="627" w:type="dxa"/>
            <w:vMerge/>
            <w:tcBorders>
              <w:top w:val="nil"/>
              <w:left w:val="single" w:sz="6" w:space="0" w:color="000000"/>
              <w:bottom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2"/>
              <w:ind w:left="118" w:right="93"/>
              <w:rPr>
                <w:sz w:val="20"/>
              </w:rPr>
            </w:pPr>
            <w:r>
              <w:rPr>
                <w:sz w:val="20"/>
              </w:rPr>
              <w:t>260-001-54</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62"/>
              <w:ind w:left="122" w:right="98"/>
              <w:rPr>
                <w:sz w:val="20"/>
              </w:rPr>
            </w:pPr>
            <w:r>
              <w:rPr>
                <w:sz w:val="20"/>
              </w:rPr>
              <w:t>8.0</w:t>
            </w:r>
          </w:p>
        </w:tc>
        <w:tc>
          <w:tcPr>
            <w:tcW w:w="2907" w:type="dxa"/>
            <w:tcBorders>
              <w:top w:val="single" w:sz="6" w:space="0" w:color="000000"/>
              <w:left w:val="single" w:sz="6" w:space="0" w:color="000000"/>
              <w:bottom w:val="single" w:sz="6" w:space="0" w:color="000000"/>
            </w:tcBorders>
          </w:tcPr>
          <w:p>
            <w:pPr>
              <w:pStyle w:val="TableParagraph"/>
              <w:spacing w:before="51"/>
              <w:ind w:left="134" w:right="108"/>
              <w:rPr>
                <w:rFonts w:ascii="宋体" w:eastAsia="宋体" w:hint="eastAsia"/>
                <w:sz w:val="20"/>
              </w:rPr>
            </w:pPr>
            <w:r>
              <w:rPr>
                <w:rFonts w:ascii="宋体" w:eastAsia="宋体" w:hint="eastAsia"/>
                <w:sz w:val="20"/>
              </w:rPr>
              <w:t>供应商更换回收</w:t>
            </w:r>
          </w:p>
        </w:tc>
      </w:tr>
      <w:tr>
        <w:trPr>
          <w:trHeight w:val="716" w:hRule="atLeast"/>
        </w:trPr>
        <w:tc>
          <w:tcPr>
            <w:tcW w:w="761" w:type="dxa"/>
            <w:tcBorders>
              <w:top w:val="single" w:sz="6" w:space="0" w:color="000000"/>
              <w:right w:val="single" w:sz="6" w:space="0" w:color="000000"/>
            </w:tcBorders>
          </w:tcPr>
          <w:p>
            <w:pPr>
              <w:pStyle w:val="TableParagraph"/>
              <w:spacing w:before="1"/>
              <w:jc w:val="left"/>
              <w:rPr>
                <w:b/>
                <w:sz w:val="21"/>
              </w:rPr>
            </w:pPr>
          </w:p>
          <w:p>
            <w:pPr>
              <w:pStyle w:val="TableParagraph"/>
              <w:spacing w:before="0"/>
              <w:ind w:left="17"/>
              <w:rPr>
                <w:sz w:val="20"/>
              </w:rPr>
            </w:pPr>
            <w:r>
              <w:rPr>
                <w:w w:val="99"/>
                <w:sz w:val="20"/>
              </w:rPr>
              <w:t>7</w:t>
            </w:r>
          </w:p>
        </w:tc>
        <w:tc>
          <w:tcPr>
            <w:tcW w:w="1458" w:type="dxa"/>
            <w:tcBorders>
              <w:top w:val="single" w:sz="6" w:space="0" w:color="000000"/>
              <w:left w:val="single" w:sz="6" w:space="0" w:color="000000"/>
              <w:right w:val="single" w:sz="6" w:space="0" w:color="000000"/>
            </w:tcBorders>
          </w:tcPr>
          <w:p>
            <w:pPr>
              <w:pStyle w:val="TableParagraph"/>
              <w:spacing w:before="1"/>
              <w:jc w:val="left"/>
              <w:rPr>
                <w:b/>
                <w:sz w:val="20"/>
              </w:rPr>
            </w:pPr>
          </w:p>
          <w:p>
            <w:pPr>
              <w:pStyle w:val="TableParagraph"/>
              <w:spacing w:before="0"/>
              <w:ind w:left="109" w:right="90"/>
              <w:rPr>
                <w:rFonts w:ascii="宋体" w:eastAsia="宋体" w:hint="eastAsia"/>
                <w:sz w:val="20"/>
              </w:rPr>
            </w:pPr>
            <w:r>
              <w:rPr>
                <w:rFonts w:ascii="宋体" w:eastAsia="宋体" w:hint="eastAsia"/>
                <w:sz w:val="20"/>
              </w:rPr>
              <w:t>生活垃圾</w:t>
            </w:r>
          </w:p>
        </w:tc>
        <w:tc>
          <w:tcPr>
            <w:tcW w:w="1474" w:type="dxa"/>
            <w:tcBorders>
              <w:top w:val="single" w:sz="6" w:space="0" w:color="000000"/>
              <w:left w:val="single" w:sz="6" w:space="0" w:color="000000"/>
              <w:right w:val="single" w:sz="6" w:space="0" w:color="000000"/>
            </w:tcBorders>
          </w:tcPr>
          <w:p>
            <w:pPr>
              <w:pStyle w:val="TableParagraph"/>
              <w:spacing w:before="1"/>
              <w:jc w:val="left"/>
              <w:rPr>
                <w:b/>
                <w:sz w:val="20"/>
              </w:rPr>
            </w:pPr>
          </w:p>
          <w:p>
            <w:pPr>
              <w:pStyle w:val="TableParagraph"/>
              <w:spacing w:before="0"/>
              <w:ind w:left="118" w:right="97"/>
              <w:rPr>
                <w:rFonts w:ascii="宋体" w:eastAsia="宋体" w:hint="eastAsia"/>
                <w:sz w:val="20"/>
              </w:rPr>
            </w:pPr>
            <w:r>
              <w:rPr>
                <w:rFonts w:ascii="宋体" w:eastAsia="宋体" w:hint="eastAsia"/>
                <w:sz w:val="20"/>
              </w:rPr>
              <w:t>职工生活</w:t>
            </w:r>
          </w:p>
        </w:tc>
        <w:tc>
          <w:tcPr>
            <w:tcW w:w="627" w:type="dxa"/>
            <w:tcBorders>
              <w:top w:val="single" w:sz="6" w:space="0" w:color="000000"/>
              <w:left w:val="single" w:sz="6" w:space="0" w:color="000000"/>
              <w:right w:val="single" w:sz="6" w:space="0" w:color="000000"/>
            </w:tcBorders>
          </w:tcPr>
          <w:p>
            <w:pPr>
              <w:pStyle w:val="TableParagraph"/>
              <w:spacing w:before="51"/>
              <w:ind w:left="118"/>
              <w:jc w:val="left"/>
              <w:rPr>
                <w:rFonts w:ascii="宋体" w:eastAsia="宋体" w:hint="eastAsia"/>
                <w:sz w:val="20"/>
              </w:rPr>
            </w:pPr>
            <w:r>
              <w:rPr>
                <w:rFonts w:ascii="宋体" w:eastAsia="宋体" w:hint="eastAsia"/>
                <w:w w:val="95"/>
                <w:sz w:val="20"/>
              </w:rPr>
              <w:t>生活</w:t>
            </w:r>
          </w:p>
          <w:p>
            <w:pPr>
              <w:pStyle w:val="TableParagraph"/>
              <w:spacing w:before="104"/>
              <w:ind w:left="118"/>
              <w:jc w:val="left"/>
              <w:rPr>
                <w:rFonts w:ascii="宋体" w:eastAsia="宋体" w:hint="eastAsia"/>
                <w:sz w:val="20"/>
              </w:rPr>
            </w:pPr>
            <w:r>
              <w:rPr>
                <w:rFonts w:ascii="宋体" w:eastAsia="宋体" w:hint="eastAsia"/>
                <w:w w:val="95"/>
                <w:sz w:val="20"/>
              </w:rPr>
              <w:t>垃圾</w:t>
            </w:r>
          </w:p>
        </w:tc>
        <w:tc>
          <w:tcPr>
            <w:tcW w:w="1200" w:type="dxa"/>
            <w:tcBorders>
              <w:top w:val="single" w:sz="6" w:space="0" w:color="000000"/>
              <w:left w:val="single" w:sz="6" w:space="0" w:color="000000"/>
              <w:right w:val="single" w:sz="6" w:space="0" w:color="000000"/>
            </w:tcBorders>
          </w:tcPr>
          <w:p>
            <w:pPr>
              <w:pStyle w:val="TableParagraph"/>
              <w:spacing w:before="1"/>
              <w:jc w:val="left"/>
              <w:rPr>
                <w:b/>
                <w:sz w:val="21"/>
              </w:rPr>
            </w:pPr>
          </w:p>
          <w:p>
            <w:pPr>
              <w:pStyle w:val="TableParagraph"/>
              <w:spacing w:before="0"/>
              <w:ind w:left="23"/>
              <w:rPr>
                <w:sz w:val="20"/>
              </w:rPr>
            </w:pPr>
            <w:r>
              <w:rPr>
                <w:w w:val="99"/>
                <w:sz w:val="20"/>
              </w:rPr>
              <w:t>/</w:t>
            </w:r>
          </w:p>
        </w:tc>
        <w:tc>
          <w:tcPr>
            <w:tcW w:w="929" w:type="dxa"/>
            <w:tcBorders>
              <w:top w:val="single" w:sz="6" w:space="0" w:color="000000"/>
              <w:left w:val="single" w:sz="6" w:space="0" w:color="000000"/>
              <w:right w:val="single" w:sz="6" w:space="0" w:color="000000"/>
            </w:tcBorders>
          </w:tcPr>
          <w:p>
            <w:pPr>
              <w:pStyle w:val="TableParagraph"/>
              <w:spacing w:before="1"/>
              <w:jc w:val="left"/>
              <w:rPr>
                <w:b/>
                <w:sz w:val="21"/>
              </w:rPr>
            </w:pPr>
          </w:p>
          <w:p>
            <w:pPr>
              <w:pStyle w:val="TableParagraph"/>
              <w:spacing w:before="0"/>
              <w:ind w:left="122" w:right="99"/>
              <w:rPr>
                <w:sz w:val="20"/>
              </w:rPr>
            </w:pPr>
            <w:r>
              <w:rPr>
                <w:sz w:val="20"/>
              </w:rPr>
              <w:t>16.4</w:t>
            </w:r>
          </w:p>
        </w:tc>
        <w:tc>
          <w:tcPr>
            <w:tcW w:w="2907" w:type="dxa"/>
            <w:tcBorders>
              <w:top w:val="single" w:sz="6" w:space="0" w:color="000000"/>
              <w:left w:val="single" w:sz="6" w:space="0" w:color="000000"/>
            </w:tcBorders>
          </w:tcPr>
          <w:p>
            <w:pPr>
              <w:pStyle w:val="TableParagraph"/>
              <w:spacing w:before="1"/>
              <w:jc w:val="left"/>
              <w:rPr>
                <w:b/>
                <w:sz w:val="20"/>
              </w:rPr>
            </w:pPr>
          </w:p>
          <w:p>
            <w:pPr>
              <w:pStyle w:val="TableParagraph"/>
              <w:spacing w:before="0"/>
              <w:ind w:left="133" w:right="108"/>
              <w:rPr>
                <w:rFonts w:ascii="宋体" w:eastAsia="宋体" w:hint="eastAsia"/>
                <w:sz w:val="20"/>
              </w:rPr>
            </w:pPr>
            <w:r>
              <w:rPr>
                <w:rFonts w:ascii="宋体" w:eastAsia="宋体" w:hint="eastAsia"/>
                <w:sz w:val="20"/>
              </w:rPr>
              <w:t>当地环卫部门统一清运</w:t>
            </w:r>
          </w:p>
        </w:tc>
      </w:tr>
    </w:tbl>
    <w:p>
      <w:pPr>
        <w:pStyle w:val="BodyText"/>
        <w:spacing w:line="364" w:lineRule="auto" w:before="94"/>
        <w:ind w:right="254" w:firstLine="480"/>
        <w:jc w:val="both"/>
      </w:pPr>
      <w:r>
        <w:rPr/>
        <w:t>项目固废包括一般固废和危险废物，因此应分类收集处理。其中一般固废的贮存、</w:t>
      </w:r>
      <w:r>
        <w:rPr>
          <w:spacing w:val="-3"/>
        </w:rPr>
        <w:t>处置参照《一般工业固体废弃物贮存和填埋污染控制标准》</w:t>
      </w:r>
      <w:r>
        <w:rPr/>
        <w:t>（</w:t>
      </w:r>
      <w:r>
        <w:rPr>
          <w:rFonts w:ascii="Times New Roman" w:eastAsia="Times New Roman"/>
        </w:rPr>
        <w:t>GB 18599-2020</w:t>
      </w:r>
      <w:r>
        <w:rPr/>
        <w:t>）</w:t>
      </w:r>
      <w:r>
        <w:rPr>
          <w:spacing w:val="-5"/>
        </w:rPr>
        <w:t>执行。危</w:t>
      </w:r>
      <w:r>
        <w:rPr>
          <w:spacing w:val="-2"/>
        </w:rPr>
        <w:t>险废物的贮存须按《危险废物储存污染控制标准》</w:t>
      </w:r>
      <w:r>
        <w:rPr/>
        <w:t>（</w:t>
      </w:r>
      <w:r>
        <w:rPr>
          <w:rFonts w:ascii="Times New Roman" w:eastAsia="Times New Roman"/>
        </w:rPr>
        <w:t>GB 18597-2001</w:t>
      </w:r>
      <w:r>
        <w:rPr/>
        <w:t>）</w:t>
      </w:r>
      <w:r>
        <w:rPr>
          <w:spacing w:val="-3"/>
        </w:rPr>
        <w:t>及修改单执行，因</w:t>
      </w:r>
      <w:r>
        <w:rPr/>
        <w:t>危险废物具有长期性、隐蔽性，必须从以下几方面加强对危险固废的管理力度。</w:t>
      </w:r>
    </w:p>
    <w:p>
      <w:pPr>
        <w:pStyle w:val="ListParagraph"/>
        <w:numPr>
          <w:ilvl w:val="0"/>
          <w:numId w:val="76"/>
        </w:numPr>
        <w:tabs>
          <w:tab w:pos="1319" w:val="left" w:leader="none"/>
        </w:tabs>
        <w:spacing w:line="240" w:lineRule="auto" w:before="3" w:after="0"/>
        <w:ind w:left="1318" w:right="0" w:hanging="602"/>
        <w:jc w:val="left"/>
        <w:rPr>
          <w:sz w:val="24"/>
        </w:rPr>
      </w:pPr>
      <w:r>
        <w:rPr>
          <w:sz w:val="24"/>
        </w:rPr>
        <w:t>首先对危险废物的产生源及固废产生量进行申报登记。</w:t>
      </w:r>
    </w:p>
    <w:p>
      <w:pPr>
        <w:pStyle w:val="ListParagraph"/>
        <w:numPr>
          <w:ilvl w:val="0"/>
          <w:numId w:val="76"/>
        </w:numPr>
        <w:tabs>
          <w:tab w:pos="1319" w:val="left" w:leader="none"/>
        </w:tabs>
        <w:spacing w:line="364" w:lineRule="auto" w:before="160" w:after="0"/>
        <w:ind w:left="237" w:right="257" w:firstLine="480"/>
        <w:jc w:val="left"/>
        <w:rPr>
          <w:sz w:val="24"/>
        </w:rPr>
      </w:pPr>
      <w:r>
        <w:rPr>
          <w:spacing w:val="-4"/>
          <w:sz w:val="24"/>
        </w:rPr>
        <w:t>对危险废物的转移运输要实行《危险废物转移联单管理办法》，实行五联单制</w:t>
      </w:r>
      <w:r>
        <w:rPr>
          <w:sz w:val="24"/>
        </w:rPr>
        <w:t>度。运输单位、接受单位及当地环保部门进行跟踪联单。</w:t>
      </w:r>
    </w:p>
    <w:p>
      <w:pPr>
        <w:pStyle w:val="ListParagraph"/>
        <w:numPr>
          <w:ilvl w:val="0"/>
          <w:numId w:val="76"/>
        </w:numPr>
        <w:tabs>
          <w:tab w:pos="1319" w:val="left" w:leader="none"/>
        </w:tabs>
        <w:spacing w:line="364" w:lineRule="auto" w:before="1" w:after="0"/>
        <w:ind w:left="237" w:right="247" w:firstLine="480"/>
        <w:jc w:val="both"/>
        <w:rPr>
          <w:sz w:val="24"/>
        </w:rPr>
      </w:pPr>
      <w:r>
        <w:rPr>
          <w:sz w:val="24"/>
        </w:rPr>
        <w:t>根据浙环发</w:t>
      </w:r>
      <w:r>
        <w:rPr>
          <w:rFonts w:ascii="Times New Roman" w:eastAsia="Times New Roman"/>
          <w:sz w:val="24"/>
        </w:rPr>
        <w:t>[2001]113</w:t>
      </w:r>
      <w:r>
        <w:rPr>
          <w:rFonts w:ascii="Times New Roman" w:eastAsia="Times New Roman"/>
          <w:spacing w:val="-1"/>
          <w:sz w:val="24"/>
        </w:rPr>
        <w:t> </w:t>
      </w:r>
      <w:r>
        <w:rPr>
          <w:spacing w:val="-11"/>
          <w:sz w:val="24"/>
        </w:rPr>
        <w:t>号《浙江省危险废物交换和转移办法》和浙环发</w:t>
      </w:r>
      <w:r>
        <w:rPr>
          <w:rFonts w:ascii="Times New Roman" w:eastAsia="Times New Roman"/>
          <w:spacing w:val="-11"/>
          <w:sz w:val="24"/>
        </w:rPr>
        <w:t>[2001]183</w:t>
      </w:r>
      <w:r>
        <w:rPr>
          <w:spacing w:val="-10"/>
          <w:sz w:val="24"/>
        </w:rPr>
        <w:t>号《浙江省危险废物经营许可证管理暂行办法》的规定，应将危险废物处置 办法报请环保行政管理部门批准后，才可实施，禁止私自处置危险废物。</w:t>
      </w:r>
    </w:p>
    <w:p>
      <w:pPr>
        <w:pStyle w:val="Heading3"/>
        <w:spacing w:before="3"/>
      </w:pPr>
      <w:r>
        <w:rPr>
          <w:rFonts w:ascii="Times New Roman" w:eastAsia="Times New Roman"/>
        </w:rPr>
        <w:t>2</w:t>
      </w:r>
      <w:r>
        <w:rPr/>
        <w:t>、危险废物贮存场所（设施）环境影响分析</w:t>
      </w:r>
    </w:p>
    <w:p>
      <w:pPr>
        <w:pStyle w:val="BodyText"/>
        <w:spacing w:line="364" w:lineRule="auto" w:before="160"/>
        <w:ind w:right="252" w:firstLine="480"/>
        <w:jc w:val="both"/>
      </w:pPr>
      <w:r>
        <w:rPr/>
        <w:t>项目危化品废包装物、废矿物油暂存于有机肥仓库中的危废暂存库内（占地面积约</w:t>
      </w:r>
      <w:r>
        <w:rPr>
          <w:rFonts w:ascii="Times New Roman" w:eastAsia="Times New Roman"/>
        </w:rPr>
        <w:t>8m</w:t>
      </w:r>
      <w:r>
        <w:rPr>
          <w:rFonts w:ascii="Times New Roman" w:eastAsia="Times New Roman"/>
          <w:position w:val="9"/>
          <w:sz w:val="16"/>
        </w:rPr>
        <w:t>2</w:t>
      </w:r>
      <w:r>
        <w:rPr/>
        <w:t>），医疗废物暂存于兽医间的废物隔间内（占地面积约 </w:t>
      </w:r>
      <w:r>
        <w:rPr>
          <w:rFonts w:ascii="Times New Roman" w:eastAsia="Times New Roman"/>
        </w:rPr>
        <w:t>10m</w:t>
      </w:r>
      <w:r>
        <w:rPr>
          <w:rFonts w:ascii="Times New Roman" w:eastAsia="Times New Roman"/>
          <w:position w:val="9"/>
          <w:sz w:val="16"/>
        </w:rPr>
        <w:t>2</w:t>
      </w:r>
      <w:r>
        <w:rPr/>
        <w:t>），储存间容积可满足暂存要求。危险废物临时存放时须按《危险废物贮存污染控制标准》、《中华人民共和国固体废物污染环境防治法》等要求进行，在此前提下基本不会对环境造成不利影响。</w:t>
      </w:r>
    </w:p>
    <w:p>
      <w:pPr>
        <w:pStyle w:val="Heading3"/>
        <w:spacing w:before="2"/>
      </w:pPr>
      <w:r>
        <w:rPr>
          <w:rFonts w:ascii="Times New Roman" w:eastAsia="Times New Roman"/>
        </w:rPr>
        <w:t>3</w:t>
      </w:r>
      <w:r>
        <w:rPr/>
        <w:t>、运输过程的环境影响分析</w:t>
      </w:r>
    </w:p>
    <w:p>
      <w:pPr>
        <w:pStyle w:val="BodyText"/>
        <w:spacing w:line="364" w:lineRule="auto" w:before="161"/>
        <w:ind w:right="246" w:firstLine="480"/>
        <w:jc w:val="both"/>
      </w:pPr>
      <w:r>
        <w:rPr/>
        <w:t>项目危险固废主要为危化品废包装物、废矿物油、医疗废物等，要求运输到贮存及处置场所的过程中加强管理，确保不会造成散落、泄露等。项目周边基本为农用地、林地等，道路经过沿线存在环境敏感点。环评要求危险固废运输过程中应进行密闭处理， 避免造成散落、泄露等，车辆在道路输过程中应尽量远离环境敏感点，减少对周围环境的影响。</w:t>
      </w:r>
    </w:p>
    <w:p>
      <w:pPr>
        <w:pStyle w:val="Heading3"/>
        <w:spacing w:before="4"/>
      </w:pPr>
      <w:r>
        <w:rPr>
          <w:rFonts w:ascii="Times New Roman" w:eastAsia="Times New Roman"/>
        </w:rPr>
        <w:t>4</w:t>
      </w:r>
      <w:r>
        <w:rPr/>
        <w:t>、委托利用或者处置的环境影响分析</w:t>
      </w:r>
    </w:p>
    <w:p>
      <w:pPr>
        <w:pStyle w:val="BodyText"/>
        <w:spacing w:line="364" w:lineRule="auto" w:before="160"/>
        <w:ind w:right="247" w:firstLine="480"/>
      </w:pPr>
      <w:r>
        <w:rPr/>
        <w:t>项目产生的发酵产物外运至第三方企业生产有机肥、一般废包装物外卖综合利用， 废脱硫剂由供应商更换回收，危化品废包装物、废矿物油、医疗废物委托有相应危废处</w:t>
      </w:r>
    </w:p>
    <w:p>
      <w:pPr>
        <w:spacing w:after="0" w:line="364" w:lineRule="auto"/>
        <w:sectPr>
          <w:footerReference w:type="default" r:id="rId144"/>
          <w:pgSz w:w="11910" w:h="16840"/>
          <w:pgMar w:footer="1004" w:header="874" w:top="1420" w:bottom="1200" w:left="1040" w:right="1160"/>
        </w:sectPr>
      </w:pPr>
    </w:p>
    <w:p>
      <w:pPr>
        <w:pStyle w:val="BodyText"/>
        <w:spacing w:line="364" w:lineRule="auto" w:before="92"/>
        <w:ind w:right="247"/>
      </w:pPr>
      <w:r>
        <w:rPr/>
        <w:t>理资质的单位安全处置，综合利用及处置渠道畅通，全部固废均能得到妥善处置（其中医疗废物委托处置协议见附件九）。</w:t>
      </w:r>
    </w:p>
    <w:p>
      <w:pPr>
        <w:pStyle w:val="BodyText"/>
        <w:spacing w:line="364" w:lineRule="auto" w:before="1"/>
        <w:ind w:right="249" w:firstLine="480"/>
        <w:jc w:val="both"/>
      </w:pPr>
      <w:r>
        <w:rPr/>
        <w:t>只要建设单位严格进行分类收集，存储场所严格按照有关规定设计、建造，做好防风、防雨、防晒及防渗漏，在加强自身利用的基础上，按照相关规定进行合理处置，本项目固废不会对周边环境造成不良影响。</w:t>
      </w:r>
    </w:p>
    <w:p>
      <w:pPr>
        <w:pStyle w:val="Heading3"/>
        <w:numPr>
          <w:ilvl w:val="2"/>
          <w:numId w:val="70"/>
        </w:numPr>
        <w:tabs>
          <w:tab w:pos="838" w:val="left" w:leader="none"/>
        </w:tabs>
        <w:spacing w:line="240" w:lineRule="auto" w:before="2" w:after="0"/>
        <w:ind w:left="837" w:right="0" w:hanging="601"/>
        <w:jc w:val="both"/>
      </w:pPr>
      <w:bookmarkStart w:name="_bookmark90" w:id="174"/>
      <w:bookmarkEnd w:id="174"/>
      <w:r>
        <w:rPr>
          <w:b w:val="0"/>
        </w:rPr>
      </w:r>
      <w:bookmarkStart w:name="_bookmark90" w:id="175"/>
      <w:bookmarkEnd w:id="175"/>
      <w:r>
        <w:rPr/>
        <w:t>声环境影响预测与评价</w:t>
      </w:r>
    </w:p>
    <w:p>
      <w:pPr>
        <w:spacing w:before="160"/>
        <w:ind w:left="719" w:right="0" w:firstLine="0"/>
        <w:jc w:val="left"/>
        <w:rPr>
          <w:b/>
          <w:sz w:val="24"/>
        </w:rPr>
      </w:pPr>
      <w:r>
        <w:rPr>
          <w:rFonts w:ascii="Times New Roman" w:eastAsia="Times New Roman"/>
          <w:b/>
          <w:sz w:val="24"/>
        </w:rPr>
        <w:t>1</w:t>
      </w:r>
      <w:r>
        <w:rPr>
          <w:b/>
          <w:sz w:val="24"/>
        </w:rPr>
        <w:t>、预测模式</w:t>
      </w:r>
    </w:p>
    <w:p>
      <w:pPr>
        <w:pStyle w:val="BodyText"/>
        <w:spacing w:line="364" w:lineRule="auto" w:before="161"/>
        <w:ind w:right="207" w:firstLine="480"/>
      </w:pPr>
      <w:r>
        <w:rPr/>
        <w:t>本次评价采用《环境影响评价技术导则 声环境》（</w:t>
      </w:r>
      <w:r>
        <w:rPr>
          <w:rFonts w:ascii="Times New Roman" w:eastAsia="Times New Roman"/>
          <w:position w:val="1"/>
        </w:rPr>
        <w:t>HJ 2.4-2009</w:t>
      </w:r>
      <w:r>
        <w:rPr/>
        <w:t>）中的工业噪声预测计算模式，预测内容主要为厂界噪声贡献值、分析其达标情况。</w:t>
      </w:r>
    </w:p>
    <w:p>
      <w:pPr>
        <w:pStyle w:val="Heading3"/>
        <w:numPr>
          <w:ilvl w:val="0"/>
          <w:numId w:val="77"/>
        </w:numPr>
        <w:tabs>
          <w:tab w:pos="1323" w:val="left" w:leader="none"/>
        </w:tabs>
        <w:spacing w:line="240" w:lineRule="auto" w:before="1" w:after="0"/>
        <w:ind w:left="1323" w:right="0" w:hanging="604"/>
        <w:jc w:val="left"/>
      </w:pPr>
      <w:r>
        <w:rPr/>
        <w:t>室外声源</w:t>
      </w:r>
    </w:p>
    <w:p>
      <w:pPr>
        <w:pStyle w:val="BodyText"/>
        <w:spacing w:line="364" w:lineRule="auto" w:before="161"/>
        <w:ind w:right="213" w:firstLine="480"/>
      </w:pPr>
      <w:r>
        <w:rPr/>
        <w:t>已知声源的倍频带声功率级（</w:t>
      </w:r>
      <w:r>
        <w:rPr>
          <w:spacing w:val="-30"/>
        </w:rPr>
        <w:t>从 </w:t>
      </w:r>
      <w:r>
        <w:rPr>
          <w:rFonts w:ascii="Times New Roman" w:eastAsia="Times New Roman"/>
          <w:position w:val="1"/>
        </w:rPr>
        <w:t>63Hz </w:t>
      </w:r>
      <w:r>
        <w:rPr>
          <w:spacing w:val="-30"/>
        </w:rPr>
        <w:t>到 </w:t>
      </w:r>
      <w:r>
        <w:rPr>
          <w:rFonts w:ascii="Times New Roman" w:eastAsia="Times New Roman"/>
          <w:position w:val="1"/>
        </w:rPr>
        <w:t>8KHz </w:t>
      </w:r>
      <w:r>
        <w:rPr>
          <w:spacing w:val="-6"/>
        </w:rPr>
        <w:t>标称频带中心频率的 </w:t>
      </w:r>
      <w:r>
        <w:rPr>
          <w:rFonts w:ascii="Times New Roman" w:eastAsia="Times New Roman"/>
          <w:position w:val="1"/>
        </w:rPr>
        <w:t>8 </w:t>
      </w:r>
      <w:r>
        <w:rPr/>
        <w:t>个倍频带</w:t>
      </w:r>
      <w:r>
        <w:rPr>
          <w:spacing w:val="-8"/>
        </w:rPr>
        <w:t>）， </w:t>
      </w:r>
      <w:r>
        <w:rPr/>
        <w:t>预测点位置的倍频带声压级可按下式计算：</w:t>
      </w:r>
    </w:p>
    <w:p>
      <w:pPr>
        <w:spacing w:before="61"/>
        <w:ind w:left="241" w:right="236" w:firstLine="0"/>
        <w:jc w:val="center"/>
        <w:rPr>
          <w:rFonts w:ascii="Times New Roman" w:hAnsi="Times New Roman"/>
          <w:i/>
          <w:sz w:val="23"/>
        </w:rPr>
      </w:pPr>
      <w:r>
        <w:rPr>
          <w:rFonts w:ascii="Times New Roman" w:hAnsi="Times New Roman"/>
          <w:i/>
          <w:w w:val="110"/>
          <w:sz w:val="23"/>
        </w:rPr>
        <w:t>L</w:t>
      </w:r>
      <w:r>
        <w:rPr>
          <w:rFonts w:ascii="Times New Roman" w:hAnsi="Times New Roman"/>
          <w:i/>
          <w:w w:val="110"/>
          <w:position w:val="-5"/>
          <w:sz w:val="13"/>
        </w:rPr>
        <w:t>P </w:t>
      </w:r>
      <w:r>
        <w:rPr>
          <w:rFonts w:ascii="Times New Roman" w:hAnsi="Times New Roman"/>
          <w:w w:val="110"/>
          <w:sz w:val="23"/>
        </w:rPr>
        <w:t>(</w:t>
      </w:r>
      <w:r>
        <w:rPr>
          <w:rFonts w:ascii="Times New Roman" w:hAnsi="Times New Roman"/>
          <w:i/>
          <w:w w:val="110"/>
          <w:sz w:val="23"/>
        </w:rPr>
        <w:t>r</w:t>
      </w:r>
      <w:r>
        <w:rPr>
          <w:rFonts w:ascii="Times New Roman" w:hAnsi="Times New Roman"/>
          <w:w w:val="110"/>
          <w:sz w:val="23"/>
        </w:rPr>
        <w:t>) </w:t>
      </w:r>
      <w:r>
        <w:rPr>
          <w:rFonts w:ascii="Symbol" w:hAnsi="Symbol"/>
          <w:w w:val="110"/>
          <w:sz w:val="23"/>
        </w:rPr>
        <w:t></w:t>
      </w:r>
      <w:r>
        <w:rPr>
          <w:rFonts w:ascii="Times New Roman" w:hAnsi="Times New Roman"/>
          <w:w w:val="110"/>
          <w:sz w:val="23"/>
        </w:rPr>
        <w:t> </w:t>
      </w:r>
      <w:r>
        <w:rPr>
          <w:rFonts w:ascii="Times New Roman" w:hAnsi="Times New Roman"/>
          <w:i/>
          <w:w w:val="110"/>
          <w:sz w:val="23"/>
        </w:rPr>
        <w:t>L</w:t>
      </w:r>
      <w:r>
        <w:rPr>
          <w:rFonts w:ascii="Times New Roman" w:hAnsi="Times New Roman"/>
          <w:i/>
          <w:w w:val="110"/>
          <w:position w:val="-5"/>
          <w:sz w:val="13"/>
        </w:rPr>
        <w:t>w  </w:t>
      </w:r>
      <w:r>
        <w:rPr>
          <w:rFonts w:ascii="Symbol" w:hAnsi="Symbol"/>
          <w:w w:val="110"/>
          <w:sz w:val="23"/>
        </w:rPr>
        <w:t></w:t>
      </w:r>
      <w:r>
        <w:rPr>
          <w:rFonts w:ascii="Times New Roman" w:hAnsi="Times New Roman"/>
          <w:w w:val="110"/>
          <w:sz w:val="23"/>
        </w:rPr>
        <w:t> </w:t>
      </w:r>
      <w:r>
        <w:rPr>
          <w:rFonts w:ascii="Times New Roman" w:hAnsi="Times New Roman"/>
          <w:i/>
          <w:w w:val="110"/>
          <w:sz w:val="23"/>
        </w:rPr>
        <w:t>D</w:t>
      </w:r>
      <w:r>
        <w:rPr>
          <w:rFonts w:ascii="Times New Roman" w:hAnsi="Times New Roman"/>
          <w:i/>
          <w:w w:val="110"/>
          <w:position w:val="-5"/>
          <w:sz w:val="13"/>
        </w:rPr>
        <w:t>c   </w:t>
      </w:r>
      <w:r>
        <w:rPr>
          <w:rFonts w:ascii="Symbol" w:hAnsi="Symbol"/>
          <w:w w:val="110"/>
          <w:sz w:val="23"/>
        </w:rPr>
        <w:t></w:t>
      </w:r>
      <w:r>
        <w:rPr>
          <w:rFonts w:ascii="Times New Roman" w:hAnsi="Times New Roman"/>
          <w:w w:val="110"/>
          <w:sz w:val="23"/>
        </w:rPr>
        <w:t> </w:t>
      </w:r>
      <w:r>
        <w:rPr>
          <w:rFonts w:ascii="Times New Roman" w:hAnsi="Times New Roman"/>
          <w:i/>
          <w:w w:val="110"/>
          <w:sz w:val="23"/>
        </w:rPr>
        <w:t>A</w:t>
      </w:r>
    </w:p>
    <w:p>
      <w:pPr>
        <w:spacing w:before="285"/>
        <w:ind w:left="246" w:right="236" w:firstLine="0"/>
        <w:jc w:val="center"/>
        <w:rPr>
          <w:rFonts w:ascii="Times New Roman" w:hAnsi="Times New Roman"/>
          <w:i/>
          <w:sz w:val="14"/>
        </w:rPr>
      </w:pPr>
      <w:r>
        <w:rPr>
          <w:rFonts w:ascii="Times New Roman" w:hAnsi="Times New Roman"/>
          <w:i/>
          <w:position w:val="6"/>
          <w:sz w:val="24"/>
        </w:rPr>
        <w:t>A </w:t>
      </w:r>
      <w:r>
        <w:rPr>
          <w:rFonts w:ascii="Symbol" w:hAnsi="Symbol"/>
          <w:position w:val="6"/>
          <w:sz w:val="24"/>
        </w:rPr>
        <w:t></w:t>
      </w:r>
      <w:r>
        <w:rPr>
          <w:rFonts w:ascii="Times New Roman" w:hAnsi="Times New Roman"/>
          <w:position w:val="6"/>
          <w:sz w:val="24"/>
        </w:rPr>
        <w:t>  </w:t>
      </w:r>
      <w:r>
        <w:rPr>
          <w:rFonts w:ascii="Times New Roman" w:hAnsi="Times New Roman"/>
          <w:i/>
          <w:position w:val="6"/>
          <w:sz w:val="24"/>
        </w:rPr>
        <w:t>A</w:t>
      </w:r>
      <w:r>
        <w:rPr>
          <w:rFonts w:ascii="Times New Roman" w:hAnsi="Times New Roman"/>
          <w:i/>
          <w:sz w:val="14"/>
        </w:rPr>
        <w:t>div  </w:t>
      </w:r>
      <w:r>
        <w:rPr>
          <w:rFonts w:ascii="Symbol" w:hAnsi="Symbol"/>
          <w:position w:val="6"/>
          <w:sz w:val="24"/>
        </w:rPr>
        <w:t></w:t>
      </w:r>
      <w:r>
        <w:rPr>
          <w:rFonts w:ascii="Times New Roman" w:hAnsi="Times New Roman"/>
          <w:position w:val="6"/>
          <w:sz w:val="24"/>
        </w:rPr>
        <w:t> </w:t>
      </w:r>
      <w:r>
        <w:rPr>
          <w:rFonts w:ascii="Times New Roman" w:hAnsi="Times New Roman"/>
          <w:i/>
          <w:position w:val="6"/>
          <w:sz w:val="24"/>
        </w:rPr>
        <w:t>A</w:t>
      </w:r>
      <w:r>
        <w:rPr>
          <w:rFonts w:ascii="Times New Roman" w:hAnsi="Times New Roman"/>
          <w:i/>
          <w:sz w:val="14"/>
        </w:rPr>
        <w:t>atm  </w:t>
      </w:r>
      <w:r>
        <w:rPr>
          <w:rFonts w:ascii="Symbol" w:hAnsi="Symbol"/>
          <w:position w:val="6"/>
          <w:sz w:val="24"/>
        </w:rPr>
        <w:t></w:t>
      </w:r>
      <w:r>
        <w:rPr>
          <w:rFonts w:ascii="Times New Roman" w:hAnsi="Times New Roman"/>
          <w:position w:val="6"/>
          <w:sz w:val="24"/>
        </w:rPr>
        <w:t> </w:t>
      </w:r>
      <w:r>
        <w:rPr>
          <w:rFonts w:ascii="Times New Roman" w:hAnsi="Times New Roman"/>
          <w:i/>
          <w:position w:val="6"/>
          <w:sz w:val="24"/>
        </w:rPr>
        <w:t>A</w:t>
      </w:r>
      <w:r>
        <w:rPr>
          <w:rFonts w:ascii="Times New Roman" w:hAnsi="Times New Roman"/>
          <w:i/>
          <w:sz w:val="14"/>
        </w:rPr>
        <w:t>gr   </w:t>
      </w:r>
      <w:r>
        <w:rPr>
          <w:rFonts w:ascii="Symbol" w:hAnsi="Symbol"/>
          <w:position w:val="6"/>
          <w:sz w:val="24"/>
        </w:rPr>
        <w:t></w:t>
      </w:r>
      <w:r>
        <w:rPr>
          <w:rFonts w:ascii="Times New Roman" w:hAnsi="Times New Roman"/>
          <w:position w:val="6"/>
          <w:sz w:val="24"/>
        </w:rPr>
        <w:t> </w:t>
      </w:r>
      <w:r>
        <w:rPr>
          <w:rFonts w:ascii="Times New Roman" w:hAnsi="Times New Roman"/>
          <w:i/>
          <w:position w:val="6"/>
          <w:sz w:val="24"/>
        </w:rPr>
        <w:t>A</w:t>
      </w:r>
      <w:r>
        <w:rPr>
          <w:rFonts w:ascii="Times New Roman" w:hAnsi="Times New Roman"/>
          <w:i/>
          <w:sz w:val="14"/>
        </w:rPr>
        <w:t>bar  </w:t>
      </w:r>
      <w:r>
        <w:rPr>
          <w:rFonts w:ascii="Symbol" w:hAnsi="Symbol"/>
          <w:position w:val="6"/>
          <w:sz w:val="24"/>
        </w:rPr>
        <w:t></w:t>
      </w:r>
      <w:r>
        <w:rPr>
          <w:rFonts w:ascii="Times New Roman" w:hAnsi="Times New Roman"/>
          <w:position w:val="6"/>
          <w:sz w:val="24"/>
        </w:rPr>
        <w:t> </w:t>
      </w:r>
      <w:r>
        <w:rPr>
          <w:rFonts w:ascii="Times New Roman" w:hAnsi="Times New Roman"/>
          <w:i/>
          <w:position w:val="6"/>
          <w:sz w:val="24"/>
        </w:rPr>
        <w:t>A</w:t>
      </w:r>
      <w:r>
        <w:rPr>
          <w:rFonts w:ascii="Times New Roman" w:hAnsi="Times New Roman"/>
          <w:i/>
          <w:sz w:val="14"/>
        </w:rPr>
        <w:t>misc</w:t>
      </w:r>
    </w:p>
    <w:p>
      <w:pPr>
        <w:pStyle w:val="BodyText"/>
        <w:spacing w:before="6"/>
        <w:ind w:left="0"/>
        <w:rPr>
          <w:rFonts w:ascii="Times New Roman"/>
          <w:i/>
          <w:sz w:val="15"/>
        </w:rPr>
      </w:pPr>
    </w:p>
    <w:p>
      <w:pPr>
        <w:spacing w:before="73"/>
        <w:ind w:left="717" w:right="0" w:firstLine="0"/>
        <w:jc w:val="left"/>
        <w:rPr>
          <w:sz w:val="24"/>
        </w:rPr>
      </w:pPr>
      <w:r>
        <w:rPr>
          <w:position w:val="2"/>
          <w:sz w:val="24"/>
        </w:rPr>
        <w:t>式中：</w:t>
      </w:r>
      <w:r>
        <w:rPr>
          <w:rFonts w:ascii="Times New Roman" w:hAnsi="Times New Roman" w:eastAsia="Times New Roman"/>
          <w:i/>
          <w:position w:val="2"/>
          <w:sz w:val="24"/>
        </w:rPr>
        <w:t>L</w:t>
      </w:r>
      <w:r>
        <w:rPr>
          <w:rFonts w:ascii="Times New Roman" w:hAnsi="Times New Roman" w:eastAsia="Times New Roman"/>
          <w:i/>
          <w:sz w:val="16"/>
        </w:rPr>
        <w:t>P</w:t>
      </w:r>
      <w:r>
        <w:rPr>
          <w:rFonts w:ascii="Times New Roman" w:hAnsi="Times New Roman" w:eastAsia="Times New Roman"/>
          <w:i/>
          <w:position w:val="2"/>
          <w:sz w:val="24"/>
        </w:rPr>
        <w:t>(r)</w:t>
      </w:r>
      <w:r>
        <w:rPr>
          <w:rFonts w:ascii="Times New Roman" w:hAnsi="Times New Roman" w:eastAsia="Times New Roman"/>
          <w:position w:val="2"/>
          <w:sz w:val="24"/>
        </w:rPr>
        <w:t>——</w:t>
      </w:r>
      <w:r>
        <w:rPr>
          <w:position w:val="2"/>
          <w:sz w:val="24"/>
        </w:rPr>
        <w:t>预测点的倍频带声压级，</w:t>
      </w:r>
      <w:r>
        <w:rPr>
          <w:rFonts w:ascii="Times New Roman" w:hAnsi="Times New Roman" w:eastAsia="Times New Roman"/>
          <w:position w:val="2"/>
          <w:sz w:val="24"/>
        </w:rPr>
        <w:t>dB</w:t>
      </w:r>
      <w:r>
        <w:rPr>
          <w:position w:val="2"/>
          <w:sz w:val="24"/>
        </w:rPr>
        <w:t>；</w:t>
      </w:r>
    </w:p>
    <w:p>
      <w:pPr>
        <w:pStyle w:val="BodyText"/>
        <w:spacing w:line="364" w:lineRule="auto" w:before="161"/>
        <w:ind w:left="1437" w:right="5092"/>
      </w:pPr>
      <w:r>
        <w:rPr>
          <w:rFonts w:ascii="Times New Roman" w:hAnsi="Times New Roman" w:eastAsia="Times New Roman"/>
          <w:i/>
          <w:position w:val="2"/>
        </w:rPr>
        <w:t>L</w:t>
      </w:r>
      <w:r>
        <w:rPr>
          <w:rFonts w:ascii="Times New Roman" w:hAnsi="Times New Roman" w:eastAsia="Times New Roman"/>
          <w:i/>
          <w:sz w:val="16"/>
        </w:rPr>
        <w:t>w</w:t>
      </w:r>
      <w:r>
        <w:rPr>
          <w:rFonts w:ascii="Times New Roman" w:hAnsi="Times New Roman" w:eastAsia="Times New Roman"/>
          <w:position w:val="2"/>
        </w:rPr>
        <w:t>——</w:t>
      </w:r>
      <w:r>
        <w:rPr>
          <w:position w:val="2"/>
        </w:rPr>
        <w:t>倍频带声功率级，</w:t>
      </w:r>
      <w:r>
        <w:rPr>
          <w:rFonts w:ascii="Times New Roman" w:hAnsi="Times New Roman" w:eastAsia="Times New Roman"/>
          <w:position w:val="2"/>
        </w:rPr>
        <w:t>dB</w:t>
      </w:r>
      <w:r>
        <w:rPr>
          <w:position w:val="2"/>
        </w:rPr>
        <w:t>； </w:t>
      </w:r>
      <w:r>
        <w:rPr>
          <w:rFonts w:ascii="Times New Roman" w:hAnsi="Times New Roman" w:eastAsia="Times New Roman"/>
          <w:i/>
        </w:rPr>
        <w:t>Dc</w:t>
      </w:r>
      <w:r>
        <w:rPr>
          <w:rFonts w:ascii="Times New Roman" w:hAnsi="Times New Roman" w:eastAsia="Times New Roman"/>
        </w:rPr>
        <w:t>——</w:t>
      </w:r>
      <w:r>
        <w:rPr/>
        <w:t>指向性校正，</w:t>
      </w:r>
      <w:r>
        <w:rPr>
          <w:rFonts w:ascii="Times New Roman" w:hAnsi="Times New Roman" w:eastAsia="Times New Roman"/>
        </w:rPr>
        <w:t>dB</w:t>
      </w:r>
      <w:r>
        <w:rPr/>
        <w:t>； </w:t>
      </w:r>
      <w:r>
        <w:rPr>
          <w:rFonts w:ascii="Times New Roman" w:hAnsi="Times New Roman" w:eastAsia="Times New Roman"/>
          <w:i/>
        </w:rPr>
        <w:t>A</w:t>
      </w:r>
      <w:r>
        <w:rPr>
          <w:rFonts w:ascii="Times New Roman" w:hAnsi="Times New Roman" w:eastAsia="Times New Roman"/>
        </w:rPr>
        <w:t>——</w:t>
      </w:r>
      <w:r>
        <w:rPr/>
        <w:t>倍频带衰减，</w:t>
      </w:r>
      <w:r>
        <w:rPr>
          <w:rFonts w:ascii="Times New Roman" w:hAnsi="Times New Roman" w:eastAsia="Times New Roman"/>
        </w:rPr>
        <w:t>dB</w:t>
      </w:r>
      <w:r>
        <w:rPr/>
        <w:t>；</w:t>
      </w:r>
    </w:p>
    <w:p>
      <w:pPr>
        <w:pStyle w:val="BodyText"/>
        <w:spacing w:line="364" w:lineRule="auto" w:before="2"/>
        <w:ind w:left="1437" w:right="3746"/>
      </w:pPr>
      <w:r>
        <w:rPr>
          <w:rFonts w:ascii="Times New Roman" w:hAnsi="Times New Roman" w:eastAsia="Times New Roman"/>
          <w:i/>
          <w:position w:val="2"/>
        </w:rPr>
        <w:t>A</w:t>
      </w:r>
      <w:r>
        <w:rPr>
          <w:rFonts w:ascii="Times New Roman" w:hAnsi="Times New Roman" w:eastAsia="Times New Roman"/>
          <w:i/>
          <w:sz w:val="16"/>
        </w:rPr>
        <w:t>div</w:t>
      </w:r>
      <w:r>
        <w:rPr>
          <w:rFonts w:ascii="Times New Roman" w:hAnsi="Times New Roman" w:eastAsia="Times New Roman"/>
          <w:position w:val="2"/>
        </w:rPr>
        <w:t>——</w:t>
      </w:r>
      <w:r>
        <w:rPr>
          <w:position w:val="2"/>
        </w:rPr>
        <w:t>几何发散引起的倍频带衰减，</w:t>
      </w:r>
      <w:r>
        <w:rPr>
          <w:rFonts w:ascii="Times New Roman" w:hAnsi="Times New Roman" w:eastAsia="Times New Roman"/>
          <w:position w:val="2"/>
        </w:rPr>
        <w:t>dB</w:t>
      </w:r>
      <w:r>
        <w:rPr>
          <w:position w:val="2"/>
        </w:rPr>
        <w:t>； </w:t>
      </w:r>
      <w:r>
        <w:rPr>
          <w:rFonts w:ascii="Times New Roman" w:hAnsi="Times New Roman" w:eastAsia="Times New Roman"/>
          <w:i/>
          <w:position w:val="2"/>
        </w:rPr>
        <w:t>A</w:t>
      </w:r>
      <w:r>
        <w:rPr>
          <w:rFonts w:ascii="Times New Roman" w:hAnsi="Times New Roman" w:eastAsia="Times New Roman"/>
          <w:i/>
          <w:sz w:val="16"/>
        </w:rPr>
        <w:t>atm</w:t>
      </w:r>
      <w:r>
        <w:rPr>
          <w:rFonts w:ascii="Times New Roman" w:hAnsi="Times New Roman" w:eastAsia="Times New Roman"/>
          <w:position w:val="2"/>
        </w:rPr>
        <w:t>——</w:t>
      </w:r>
      <w:r>
        <w:rPr>
          <w:position w:val="2"/>
        </w:rPr>
        <w:t>大气吸收引起的倍频带衰减，</w:t>
      </w:r>
      <w:r>
        <w:rPr>
          <w:rFonts w:ascii="Times New Roman" w:hAnsi="Times New Roman" w:eastAsia="Times New Roman"/>
          <w:position w:val="2"/>
        </w:rPr>
        <w:t>dB</w:t>
      </w:r>
      <w:r>
        <w:rPr>
          <w:position w:val="2"/>
        </w:rPr>
        <w:t>； </w:t>
      </w:r>
      <w:r>
        <w:rPr>
          <w:rFonts w:ascii="Times New Roman" w:hAnsi="Times New Roman" w:eastAsia="Times New Roman"/>
          <w:i/>
          <w:position w:val="2"/>
        </w:rPr>
        <w:t>A</w:t>
      </w:r>
      <w:r>
        <w:rPr>
          <w:rFonts w:ascii="Times New Roman" w:hAnsi="Times New Roman" w:eastAsia="Times New Roman"/>
          <w:i/>
          <w:sz w:val="16"/>
        </w:rPr>
        <w:t>gr</w:t>
      </w:r>
      <w:r>
        <w:rPr>
          <w:rFonts w:ascii="Times New Roman" w:hAnsi="Times New Roman" w:eastAsia="Times New Roman"/>
          <w:position w:val="2"/>
        </w:rPr>
        <w:t>——</w:t>
      </w:r>
      <w:r>
        <w:rPr>
          <w:position w:val="2"/>
        </w:rPr>
        <w:t>地面效应引起的倍频带衰减，</w:t>
      </w:r>
      <w:r>
        <w:rPr>
          <w:rFonts w:ascii="Times New Roman" w:hAnsi="Times New Roman" w:eastAsia="Times New Roman"/>
          <w:position w:val="2"/>
        </w:rPr>
        <w:t>dB</w:t>
      </w:r>
      <w:r>
        <w:rPr>
          <w:position w:val="2"/>
        </w:rPr>
        <w:t>； </w:t>
      </w:r>
      <w:r>
        <w:rPr>
          <w:rFonts w:ascii="Times New Roman" w:hAnsi="Times New Roman" w:eastAsia="Times New Roman"/>
          <w:i/>
          <w:position w:val="2"/>
        </w:rPr>
        <w:t>A</w:t>
      </w:r>
      <w:r>
        <w:rPr>
          <w:rFonts w:ascii="Times New Roman" w:hAnsi="Times New Roman" w:eastAsia="Times New Roman"/>
          <w:i/>
          <w:sz w:val="16"/>
        </w:rPr>
        <w:t>bar</w:t>
      </w:r>
      <w:r>
        <w:rPr>
          <w:rFonts w:ascii="Times New Roman" w:hAnsi="Times New Roman" w:eastAsia="Times New Roman"/>
          <w:position w:val="2"/>
        </w:rPr>
        <w:t>——</w:t>
      </w:r>
      <w:r>
        <w:rPr>
          <w:position w:val="2"/>
        </w:rPr>
        <w:t>声屏障引起的倍频带衰减，</w:t>
      </w:r>
      <w:r>
        <w:rPr>
          <w:rFonts w:ascii="Times New Roman" w:hAnsi="Times New Roman" w:eastAsia="Times New Roman"/>
          <w:position w:val="2"/>
        </w:rPr>
        <w:t>dB</w:t>
      </w:r>
      <w:r>
        <w:rPr>
          <w:position w:val="2"/>
        </w:rPr>
        <w:t>；</w:t>
      </w:r>
    </w:p>
    <w:p>
      <w:pPr>
        <w:pStyle w:val="BodyText"/>
        <w:spacing w:before="3"/>
        <w:ind w:left="1317"/>
        <w:rPr>
          <w:rFonts w:ascii="Times New Roman" w:hAnsi="Times New Roman" w:eastAsia="Times New Roman"/>
        </w:rPr>
      </w:pPr>
      <w:r>
        <w:rPr>
          <w:rFonts w:ascii="Times New Roman" w:hAnsi="Times New Roman" w:eastAsia="Times New Roman"/>
          <w:i/>
          <w:position w:val="2"/>
        </w:rPr>
        <w:t>A</w:t>
      </w:r>
      <w:r>
        <w:rPr>
          <w:rFonts w:ascii="Times New Roman" w:hAnsi="Times New Roman" w:eastAsia="Times New Roman"/>
          <w:i/>
          <w:sz w:val="16"/>
        </w:rPr>
        <w:t>misc</w:t>
      </w:r>
      <w:r>
        <w:rPr>
          <w:rFonts w:ascii="Times New Roman" w:hAnsi="Times New Roman" w:eastAsia="Times New Roman"/>
          <w:position w:val="2"/>
        </w:rPr>
        <w:t>——</w:t>
      </w:r>
      <w:r>
        <w:rPr>
          <w:position w:val="2"/>
        </w:rPr>
        <w:t>其他多方面效应引起的倍频带衰减，</w:t>
      </w:r>
      <w:r>
        <w:rPr>
          <w:rFonts w:ascii="Times New Roman" w:hAnsi="Times New Roman" w:eastAsia="Times New Roman"/>
          <w:position w:val="2"/>
        </w:rPr>
        <w:t>dB</w:t>
      </w:r>
    </w:p>
    <w:p>
      <w:pPr>
        <w:pStyle w:val="BodyText"/>
        <w:spacing w:before="161"/>
        <w:ind w:left="717"/>
        <w:rPr>
          <w:rFonts w:ascii="Times New Roman" w:eastAsia="Times New Roman"/>
          <w:i/>
        </w:rPr>
      </w:pPr>
      <w:r>
        <w:rPr/>
        <w:t>在不能取得声源倍频带声功率级或倍频带声压级，只能获得 </w:t>
      </w:r>
      <w:r>
        <w:rPr>
          <w:rFonts w:ascii="Times New Roman" w:eastAsia="Times New Roman"/>
          <w:i/>
          <w:position w:val="1"/>
        </w:rPr>
        <w:t>A </w:t>
      </w:r>
      <w:r>
        <w:rPr/>
        <w:t>声功率级或某点的 </w:t>
      </w:r>
      <w:r>
        <w:rPr>
          <w:rFonts w:ascii="Times New Roman" w:eastAsia="Times New Roman"/>
          <w:i/>
          <w:position w:val="1"/>
        </w:rPr>
        <w:t>A</w:t>
      </w:r>
    </w:p>
    <w:p>
      <w:pPr>
        <w:pStyle w:val="BodyText"/>
        <w:spacing w:before="160"/>
      </w:pPr>
      <w:r>
        <w:rPr/>
        <w:t>声级时，可按下面两个公示作近似计算：</w:t>
      </w:r>
    </w:p>
    <w:p>
      <w:pPr>
        <w:pStyle w:val="BodyText"/>
        <w:spacing w:before="2"/>
        <w:ind w:left="0"/>
        <w:rPr>
          <w:sz w:val="17"/>
        </w:rPr>
      </w:pPr>
    </w:p>
    <w:p>
      <w:pPr>
        <w:spacing w:before="0"/>
        <w:ind w:left="245" w:right="236" w:firstLine="0"/>
        <w:jc w:val="center"/>
        <w:rPr>
          <w:rFonts w:ascii="Times New Roman" w:hAnsi="Times New Roman"/>
          <w:i/>
          <w:sz w:val="23"/>
        </w:rPr>
      </w:pPr>
      <w:r>
        <w:rPr>
          <w:rFonts w:ascii="Times New Roman" w:hAnsi="Times New Roman"/>
          <w:i/>
          <w:w w:val="110"/>
          <w:sz w:val="23"/>
        </w:rPr>
        <w:t>L</w:t>
      </w:r>
      <w:r>
        <w:rPr>
          <w:rFonts w:ascii="Times New Roman" w:hAnsi="Times New Roman"/>
          <w:i/>
          <w:w w:val="110"/>
          <w:position w:val="-5"/>
          <w:sz w:val="13"/>
        </w:rPr>
        <w:t>A </w:t>
      </w:r>
      <w:r>
        <w:rPr>
          <w:rFonts w:ascii="Times New Roman" w:hAnsi="Times New Roman"/>
          <w:w w:val="110"/>
          <w:sz w:val="23"/>
        </w:rPr>
        <w:t>(</w:t>
      </w:r>
      <w:r>
        <w:rPr>
          <w:rFonts w:ascii="Times New Roman" w:hAnsi="Times New Roman"/>
          <w:i/>
          <w:w w:val="110"/>
          <w:sz w:val="23"/>
        </w:rPr>
        <w:t>r</w:t>
      </w:r>
      <w:r>
        <w:rPr>
          <w:rFonts w:ascii="Times New Roman" w:hAnsi="Times New Roman"/>
          <w:w w:val="110"/>
          <w:sz w:val="23"/>
        </w:rPr>
        <w:t>) </w:t>
      </w:r>
      <w:r>
        <w:rPr>
          <w:rFonts w:ascii="Symbol" w:hAnsi="Symbol"/>
          <w:w w:val="110"/>
          <w:sz w:val="23"/>
        </w:rPr>
        <w:t></w:t>
      </w:r>
      <w:r>
        <w:rPr>
          <w:rFonts w:ascii="Times New Roman" w:hAnsi="Times New Roman"/>
          <w:w w:val="110"/>
          <w:sz w:val="23"/>
        </w:rPr>
        <w:t> </w:t>
      </w:r>
      <w:r>
        <w:rPr>
          <w:rFonts w:ascii="Times New Roman" w:hAnsi="Times New Roman"/>
          <w:i/>
          <w:w w:val="110"/>
          <w:sz w:val="23"/>
        </w:rPr>
        <w:t>L</w:t>
      </w:r>
      <w:r>
        <w:rPr>
          <w:rFonts w:ascii="Times New Roman" w:hAnsi="Times New Roman"/>
          <w:i/>
          <w:w w:val="110"/>
          <w:position w:val="-5"/>
          <w:sz w:val="13"/>
        </w:rPr>
        <w:t>Aw </w:t>
      </w:r>
      <w:r>
        <w:rPr>
          <w:rFonts w:ascii="Symbol" w:hAnsi="Symbol"/>
          <w:w w:val="110"/>
          <w:sz w:val="23"/>
        </w:rPr>
        <w:t></w:t>
      </w:r>
      <w:r>
        <w:rPr>
          <w:rFonts w:ascii="Times New Roman" w:hAnsi="Times New Roman"/>
          <w:w w:val="110"/>
          <w:sz w:val="23"/>
        </w:rPr>
        <w:t> </w:t>
      </w:r>
      <w:r>
        <w:rPr>
          <w:rFonts w:ascii="Times New Roman" w:hAnsi="Times New Roman"/>
          <w:i/>
          <w:w w:val="110"/>
          <w:sz w:val="23"/>
        </w:rPr>
        <w:t>D</w:t>
      </w:r>
      <w:r>
        <w:rPr>
          <w:rFonts w:ascii="Times New Roman" w:hAnsi="Times New Roman"/>
          <w:i/>
          <w:w w:val="110"/>
          <w:position w:val="-5"/>
          <w:sz w:val="13"/>
        </w:rPr>
        <w:t>c </w:t>
      </w:r>
      <w:r>
        <w:rPr>
          <w:rFonts w:ascii="Symbol" w:hAnsi="Symbol"/>
          <w:w w:val="110"/>
          <w:sz w:val="23"/>
        </w:rPr>
        <w:t></w:t>
      </w:r>
      <w:r>
        <w:rPr>
          <w:rFonts w:ascii="Times New Roman" w:hAnsi="Times New Roman"/>
          <w:w w:val="110"/>
          <w:sz w:val="23"/>
        </w:rPr>
        <w:t> </w:t>
      </w:r>
      <w:r>
        <w:rPr>
          <w:rFonts w:ascii="Times New Roman" w:hAnsi="Times New Roman"/>
          <w:i/>
          <w:w w:val="110"/>
          <w:sz w:val="23"/>
        </w:rPr>
        <w:t>A </w:t>
      </w:r>
      <w:r>
        <w:rPr>
          <w:w w:val="110"/>
          <w:position w:val="-2"/>
          <w:sz w:val="24"/>
        </w:rPr>
        <w:t>或 </w:t>
      </w:r>
      <w:r>
        <w:rPr>
          <w:rFonts w:ascii="Times New Roman" w:hAnsi="Times New Roman"/>
          <w:i/>
          <w:w w:val="110"/>
          <w:sz w:val="23"/>
        </w:rPr>
        <w:t>L</w:t>
      </w:r>
      <w:r>
        <w:rPr>
          <w:rFonts w:ascii="Times New Roman" w:hAnsi="Times New Roman"/>
          <w:i/>
          <w:w w:val="110"/>
          <w:position w:val="-5"/>
          <w:sz w:val="13"/>
        </w:rPr>
        <w:t>A </w:t>
      </w:r>
      <w:r>
        <w:rPr>
          <w:rFonts w:ascii="Times New Roman" w:hAnsi="Times New Roman"/>
          <w:w w:val="110"/>
          <w:sz w:val="23"/>
        </w:rPr>
        <w:t>(</w:t>
      </w:r>
      <w:r>
        <w:rPr>
          <w:rFonts w:ascii="Times New Roman" w:hAnsi="Times New Roman"/>
          <w:i/>
          <w:w w:val="110"/>
          <w:sz w:val="23"/>
        </w:rPr>
        <w:t>r</w:t>
      </w:r>
      <w:r>
        <w:rPr>
          <w:rFonts w:ascii="Times New Roman" w:hAnsi="Times New Roman"/>
          <w:w w:val="110"/>
          <w:sz w:val="23"/>
        </w:rPr>
        <w:t>) </w:t>
      </w:r>
      <w:r>
        <w:rPr>
          <w:rFonts w:ascii="Symbol" w:hAnsi="Symbol"/>
          <w:w w:val="110"/>
          <w:sz w:val="23"/>
        </w:rPr>
        <w:t></w:t>
      </w:r>
      <w:r>
        <w:rPr>
          <w:rFonts w:ascii="Times New Roman" w:hAnsi="Times New Roman"/>
          <w:w w:val="110"/>
          <w:sz w:val="23"/>
        </w:rPr>
        <w:t> </w:t>
      </w:r>
      <w:r>
        <w:rPr>
          <w:rFonts w:ascii="Times New Roman" w:hAnsi="Times New Roman"/>
          <w:i/>
          <w:w w:val="110"/>
          <w:sz w:val="23"/>
        </w:rPr>
        <w:t>L</w:t>
      </w:r>
      <w:r>
        <w:rPr>
          <w:rFonts w:ascii="Times New Roman" w:hAnsi="Times New Roman"/>
          <w:i/>
          <w:w w:val="110"/>
          <w:position w:val="-5"/>
          <w:sz w:val="13"/>
        </w:rPr>
        <w:t>A </w:t>
      </w:r>
      <w:r>
        <w:rPr>
          <w:rFonts w:ascii="Times New Roman" w:hAnsi="Times New Roman"/>
          <w:w w:val="110"/>
          <w:sz w:val="23"/>
        </w:rPr>
        <w:t>(</w:t>
      </w:r>
      <w:r>
        <w:rPr>
          <w:rFonts w:ascii="Times New Roman" w:hAnsi="Times New Roman"/>
          <w:i/>
          <w:w w:val="110"/>
          <w:sz w:val="23"/>
        </w:rPr>
        <w:t>r</w:t>
      </w:r>
      <w:r>
        <w:rPr>
          <w:rFonts w:ascii="Times New Roman" w:hAnsi="Times New Roman"/>
          <w:w w:val="110"/>
          <w:position w:val="-5"/>
          <w:sz w:val="13"/>
        </w:rPr>
        <w:t>0 </w:t>
      </w:r>
      <w:r>
        <w:rPr>
          <w:rFonts w:ascii="Times New Roman" w:hAnsi="Times New Roman"/>
          <w:w w:val="110"/>
          <w:sz w:val="23"/>
        </w:rPr>
        <w:t>) </w:t>
      </w:r>
      <w:r>
        <w:rPr>
          <w:rFonts w:ascii="Symbol" w:hAnsi="Symbol"/>
          <w:w w:val="110"/>
          <w:sz w:val="23"/>
        </w:rPr>
        <w:t></w:t>
      </w:r>
      <w:r>
        <w:rPr>
          <w:rFonts w:ascii="Times New Roman" w:hAnsi="Times New Roman"/>
          <w:w w:val="110"/>
          <w:sz w:val="23"/>
        </w:rPr>
        <w:t> </w:t>
      </w:r>
      <w:r>
        <w:rPr>
          <w:rFonts w:ascii="Times New Roman" w:hAnsi="Times New Roman"/>
          <w:i/>
          <w:w w:val="110"/>
          <w:sz w:val="23"/>
        </w:rPr>
        <w:t>A</w:t>
      </w:r>
    </w:p>
    <w:p>
      <w:pPr>
        <w:pStyle w:val="BodyText"/>
        <w:spacing w:before="1"/>
        <w:ind w:left="0"/>
        <w:rPr>
          <w:rFonts w:ascii="Times New Roman"/>
          <w:i/>
          <w:sz w:val="14"/>
        </w:rPr>
      </w:pPr>
    </w:p>
    <w:p>
      <w:pPr>
        <w:pStyle w:val="Heading3"/>
        <w:numPr>
          <w:ilvl w:val="0"/>
          <w:numId w:val="77"/>
        </w:numPr>
        <w:tabs>
          <w:tab w:pos="1321" w:val="left" w:leader="none"/>
        </w:tabs>
        <w:spacing w:line="240" w:lineRule="auto" w:before="74" w:after="0"/>
        <w:ind w:left="1320" w:right="0" w:hanging="604"/>
        <w:jc w:val="left"/>
      </w:pPr>
      <w:r>
        <w:rPr/>
        <w:t>室内声源</w:t>
      </w:r>
    </w:p>
    <w:p>
      <w:pPr>
        <w:pStyle w:val="ListParagraph"/>
        <w:numPr>
          <w:ilvl w:val="0"/>
          <w:numId w:val="78"/>
        </w:numPr>
        <w:tabs>
          <w:tab w:pos="1079" w:val="left" w:leader="none"/>
        </w:tabs>
        <w:spacing w:line="240" w:lineRule="auto" w:before="161" w:after="0"/>
        <w:ind w:left="1078" w:right="0" w:hanging="362"/>
        <w:jc w:val="left"/>
        <w:rPr>
          <w:sz w:val="24"/>
        </w:rPr>
      </w:pPr>
      <w:r>
        <w:rPr>
          <w:spacing w:val="-3"/>
          <w:sz w:val="24"/>
        </w:rPr>
        <w:t>声源位于室内，室内声源可采用等效室外声源声功率级法进行计算。设靠近开口</w:t>
      </w:r>
    </w:p>
    <w:p>
      <w:pPr>
        <w:spacing w:after="0" w:line="240" w:lineRule="auto"/>
        <w:jc w:val="left"/>
        <w:rPr>
          <w:sz w:val="24"/>
        </w:rPr>
        <w:sectPr>
          <w:footerReference w:type="default" r:id="rId145"/>
          <w:pgSz w:w="11910" w:h="16840"/>
          <w:pgMar w:footer="1004" w:header="874" w:top="1420" w:bottom="1200" w:left="1040" w:right="1160"/>
          <w:pgNumType w:start="161"/>
        </w:sectPr>
      </w:pPr>
    </w:p>
    <w:p>
      <w:pPr>
        <w:pStyle w:val="BodyText"/>
        <w:spacing w:line="367" w:lineRule="auto" w:before="89"/>
        <w:ind w:right="170"/>
      </w:pPr>
      <w:r>
        <w:rPr>
          <w:position w:val="2"/>
        </w:rPr>
        <w:t>处（或窗户）室内、室外某倍频带的声压级分别为 </w:t>
      </w:r>
      <w:r>
        <w:rPr>
          <w:rFonts w:ascii="Times New Roman" w:eastAsia="Times New Roman"/>
          <w:i/>
          <w:position w:val="2"/>
        </w:rPr>
        <w:t>L</w:t>
      </w:r>
      <w:r>
        <w:rPr>
          <w:rFonts w:ascii="Times New Roman" w:eastAsia="Times New Roman"/>
          <w:i/>
          <w:sz w:val="16"/>
        </w:rPr>
        <w:t>P1 </w:t>
      </w:r>
      <w:r>
        <w:rPr>
          <w:position w:val="2"/>
        </w:rPr>
        <w:t>和 </w:t>
      </w:r>
      <w:r>
        <w:rPr>
          <w:rFonts w:ascii="Times New Roman" w:eastAsia="Times New Roman"/>
          <w:i/>
          <w:position w:val="2"/>
        </w:rPr>
        <w:t>L</w:t>
      </w:r>
      <w:r>
        <w:rPr>
          <w:rFonts w:ascii="Times New Roman" w:eastAsia="Times New Roman"/>
          <w:i/>
          <w:sz w:val="16"/>
        </w:rPr>
        <w:t>P2</w:t>
      </w:r>
      <w:r>
        <w:rPr>
          <w:position w:val="2"/>
        </w:rPr>
        <w:t>。若声源所在室内声场为近</w:t>
      </w:r>
      <w:r>
        <w:rPr/>
        <w:t>似扩散声场，则室外的倍频带声压级可按以下公式计算：</w:t>
      </w:r>
    </w:p>
    <w:p>
      <w:pPr>
        <w:spacing w:after="0" w:line="367" w:lineRule="auto"/>
        <w:sectPr>
          <w:pgSz w:w="11910" w:h="16840"/>
          <w:pgMar w:header="874" w:footer="1004" w:top="1420" w:bottom="1200" w:left="1040" w:right="1160"/>
        </w:sectPr>
      </w:pPr>
    </w:p>
    <w:p>
      <w:pPr>
        <w:spacing w:before="73"/>
        <w:ind w:left="0" w:right="0" w:firstLine="0"/>
        <w:jc w:val="right"/>
        <w:rPr>
          <w:rFonts w:ascii="Times New Roman"/>
          <w:sz w:val="14"/>
        </w:rPr>
      </w:pPr>
      <w:r>
        <w:rPr>
          <w:rFonts w:ascii="Times New Roman"/>
          <w:i/>
          <w:w w:val="110"/>
          <w:position w:val="6"/>
          <w:sz w:val="24"/>
        </w:rPr>
        <w:t>L</w:t>
      </w:r>
      <w:r>
        <w:rPr>
          <w:rFonts w:ascii="Times New Roman"/>
          <w:i/>
          <w:w w:val="110"/>
          <w:sz w:val="14"/>
        </w:rPr>
        <w:t>P </w:t>
      </w:r>
      <w:r>
        <w:rPr>
          <w:rFonts w:ascii="Times New Roman"/>
          <w:w w:val="110"/>
          <w:sz w:val="14"/>
        </w:rPr>
        <w:t>2</w:t>
      </w:r>
    </w:p>
    <w:p>
      <w:pPr>
        <w:spacing w:before="56"/>
        <w:ind w:left="60" w:right="0" w:firstLine="0"/>
        <w:jc w:val="left"/>
        <w:rPr>
          <w:rFonts w:ascii="Times New Roman" w:hAnsi="Times New Roman"/>
          <w:sz w:val="24"/>
        </w:rPr>
      </w:pPr>
      <w:r>
        <w:rPr/>
        <w:br w:type="column"/>
      </w:r>
      <w:r>
        <w:rPr>
          <w:rFonts w:ascii="Symbol" w:hAnsi="Symbol"/>
          <w:w w:val="110"/>
          <w:sz w:val="24"/>
        </w:rPr>
        <w:t></w:t>
      </w:r>
      <w:r>
        <w:rPr>
          <w:rFonts w:ascii="Times New Roman" w:hAnsi="Times New Roman"/>
          <w:w w:val="110"/>
          <w:sz w:val="24"/>
        </w:rPr>
        <w:t> </w:t>
      </w:r>
      <w:r>
        <w:rPr>
          <w:rFonts w:ascii="Times New Roman" w:hAnsi="Times New Roman"/>
          <w:i/>
          <w:w w:val="110"/>
          <w:sz w:val="24"/>
        </w:rPr>
        <w:t>L</w:t>
      </w:r>
      <w:r>
        <w:rPr>
          <w:rFonts w:ascii="Times New Roman" w:hAnsi="Times New Roman"/>
          <w:i/>
          <w:w w:val="110"/>
          <w:position w:val="-5"/>
          <w:sz w:val="14"/>
        </w:rPr>
        <w:t>P</w:t>
      </w:r>
      <w:r>
        <w:rPr>
          <w:rFonts w:ascii="Times New Roman" w:hAnsi="Times New Roman"/>
          <w:w w:val="110"/>
          <w:position w:val="-5"/>
          <w:sz w:val="14"/>
        </w:rPr>
        <w:t>1 </w:t>
      </w:r>
      <w:r>
        <w:rPr>
          <w:rFonts w:ascii="Symbol" w:hAnsi="Symbol"/>
          <w:w w:val="110"/>
          <w:sz w:val="24"/>
        </w:rPr>
        <w:t></w:t>
      </w:r>
      <w:r>
        <w:rPr>
          <w:rFonts w:ascii="Times New Roman" w:hAnsi="Times New Roman"/>
          <w:w w:val="110"/>
          <w:sz w:val="24"/>
        </w:rPr>
        <w:t> (</w:t>
      </w:r>
      <w:r>
        <w:rPr>
          <w:rFonts w:ascii="Times New Roman" w:hAnsi="Times New Roman"/>
          <w:i/>
          <w:w w:val="110"/>
          <w:sz w:val="24"/>
        </w:rPr>
        <w:t>TL </w:t>
      </w:r>
      <w:r>
        <w:rPr>
          <w:rFonts w:ascii="Symbol" w:hAnsi="Symbol"/>
          <w:w w:val="110"/>
          <w:sz w:val="24"/>
        </w:rPr>
        <w:t></w:t>
      </w:r>
      <w:r>
        <w:rPr>
          <w:rFonts w:ascii="Times New Roman" w:hAnsi="Times New Roman"/>
          <w:w w:val="110"/>
          <w:sz w:val="24"/>
        </w:rPr>
        <w:t> 6)</w:t>
      </w:r>
    </w:p>
    <w:p>
      <w:pPr>
        <w:spacing w:after="0"/>
        <w:jc w:val="left"/>
        <w:rPr>
          <w:rFonts w:ascii="Times New Roman" w:hAnsi="Times New Roman"/>
          <w:sz w:val="24"/>
        </w:rPr>
        <w:sectPr>
          <w:type w:val="continuous"/>
          <w:pgSz w:w="11910" w:h="16840"/>
          <w:pgMar w:top="1400" w:bottom="1200" w:left="1040" w:right="1160"/>
          <w:cols w:num="2" w:equalWidth="0">
            <w:col w:w="4382" w:space="40"/>
            <w:col w:w="5288"/>
          </w:cols>
        </w:sectPr>
      </w:pPr>
    </w:p>
    <w:p>
      <w:pPr>
        <w:pStyle w:val="BodyText"/>
        <w:spacing w:before="11"/>
        <w:ind w:left="0"/>
        <w:rPr>
          <w:rFonts w:ascii="Times New Roman"/>
          <w:sz w:val="13"/>
        </w:rPr>
      </w:pPr>
    </w:p>
    <w:p>
      <w:pPr>
        <w:spacing w:after="0"/>
        <w:rPr>
          <w:rFonts w:ascii="Times New Roman"/>
          <w:sz w:val="13"/>
        </w:rPr>
        <w:sectPr>
          <w:type w:val="continuous"/>
          <w:pgSz w:w="11910" w:h="16840"/>
          <w:pgMar w:top="1400" w:bottom="1200" w:left="1040" w:right="1160"/>
        </w:sectPr>
      </w:pPr>
    </w:p>
    <w:p>
      <w:pPr>
        <w:pStyle w:val="BodyText"/>
        <w:spacing w:before="73"/>
        <w:ind w:left="717"/>
      </w:pPr>
      <w:r>
        <w:rPr>
          <w:position w:val="2"/>
        </w:rPr>
        <w:t>式中：</w:t>
      </w:r>
      <w:r>
        <w:rPr>
          <w:rFonts w:ascii="Times New Roman" w:hAnsi="Times New Roman" w:eastAsia="Times New Roman"/>
          <w:i/>
          <w:position w:val="2"/>
        </w:rPr>
        <w:t>L</w:t>
      </w:r>
      <w:r>
        <w:rPr>
          <w:rFonts w:ascii="Times New Roman" w:hAnsi="Times New Roman" w:eastAsia="Times New Roman"/>
          <w:i/>
          <w:sz w:val="16"/>
        </w:rPr>
        <w:t>P2</w:t>
      </w:r>
      <w:r>
        <w:rPr>
          <w:rFonts w:ascii="Times New Roman" w:hAnsi="Times New Roman" w:eastAsia="Times New Roman"/>
          <w:position w:val="2"/>
        </w:rPr>
        <w:t>——</w:t>
      </w:r>
      <w:r>
        <w:rPr>
          <w:position w:val="2"/>
        </w:rPr>
        <w:t>等效室外倍频带的声压级，</w:t>
      </w:r>
      <w:r>
        <w:rPr>
          <w:rFonts w:ascii="Times New Roman" w:hAnsi="Times New Roman" w:eastAsia="Times New Roman"/>
          <w:position w:val="2"/>
        </w:rPr>
        <w:t>dB</w:t>
      </w:r>
      <w:r>
        <w:rPr>
          <w:position w:val="2"/>
        </w:rPr>
        <w:t>；</w:t>
      </w:r>
    </w:p>
    <w:p>
      <w:pPr>
        <w:spacing w:before="211"/>
        <w:ind w:left="1434" w:right="0" w:firstLine="0"/>
        <w:jc w:val="left"/>
        <w:rPr>
          <w:rFonts w:ascii="Times New Roman" w:hAnsi="Times New Roman" w:eastAsia="Times New Roman"/>
          <w:sz w:val="13"/>
        </w:rPr>
      </w:pPr>
      <w:r>
        <w:rPr>
          <w:rFonts w:ascii="Times New Roman" w:hAnsi="Times New Roman" w:eastAsia="Times New Roman"/>
          <w:i/>
          <w:position w:val="2"/>
          <w:sz w:val="24"/>
        </w:rPr>
        <w:t>L</w:t>
      </w:r>
      <w:r>
        <w:rPr>
          <w:rFonts w:ascii="Times New Roman" w:hAnsi="Times New Roman" w:eastAsia="Times New Roman"/>
          <w:i/>
          <w:sz w:val="16"/>
        </w:rPr>
        <w:t>P1</w:t>
      </w:r>
      <w:r>
        <w:rPr>
          <w:rFonts w:ascii="Times New Roman" w:hAnsi="Times New Roman" w:eastAsia="Times New Roman"/>
          <w:position w:val="2"/>
          <w:sz w:val="24"/>
        </w:rPr>
        <w:t>——</w:t>
      </w:r>
      <w:r>
        <w:rPr>
          <w:spacing w:val="-3"/>
          <w:position w:val="2"/>
          <w:sz w:val="24"/>
        </w:rPr>
        <w:t>室内倍频带的声压级，</w:t>
      </w:r>
      <w:r>
        <w:rPr>
          <w:rFonts w:ascii="Times New Roman" w:hAnsi="Times New Roman" w:eastAsia="Times New Roman"/>
          <w:spacing w:val="-14"/>
          <w:position w:val="2"/>
          <w:sz w:val="24"/>
        </w:rPr>
        <w:t>dB</w:t>
      </w:r>
      <w:r>
        <w:rPr>
          <w:spacing w:val="7"/>
          <w:position w:val="2"/>
          <w:sz w:val="24"/>
        </w:rPr>
        <w:t>，按式</w:t>
      </w:r>
      <w:r>
        <w:rPr>
          <w:rFonts w:ascii="Times New Roman" w:hAnsi="Times New Roman" w:eastAsia="Times New Roman"/>
          <w:i/>
          <w:spacing w:val="-5"/>
          <w:position w:val="1"/>
          <w:sz w:val="23"/>
        </w:rPr>
        <w:t>L</w:t>
      </w:r>
      <w:r>
        <w:rPr>
          <w:rFonts w:ascii="Times New Roman" w:hAnsi="Times New Roman" w:eastAsia="Times New Roman"/>
          <w:i/>
          <w:spacing w:val="-5"/>
          <w:position w:val="-4"/>
          <w:sz w:val="13"/>
        </w:rPr>
        <w:t>P</w:t>
      </w:r>
      <w:r>
        <w:rPr>
          <w:rFonts w:ascii="Times New Roman" w:hAnsi="Times New Roman" w:eastAsia="Times New Roman"/>
          <w:spacing w:val="-5"/>
          <w:position w:val="-4"/>
          <w:sz w:val="13"/>
        </w:rPr>
        <w:t>1</w:t>
      </w:r>
    </w:p>
    <w:p>
      <w:pPr>
        <w:pStyle w:val="BodyText"/>
        <w:ind w:left="0"/>
        <w:rPr>
          <w:rFonts w:ascii="Times New Roman"/>
          <w:sz w:val="32"/>
        </w:rPr>
      </w:pPr>
      <w:r>
        <w:rPr/>
        <w:br w:type="column"/>
      </w:r>
      <w:r>
        <w:rPr>
          <w:rFonts w:ascii="Times New Roman"/>
          <w:sz w:val="32"/>
        </w:rPr>
      </w:r>
    </w:p>
    <w:p>
      <w:pPr>
        <w:spacing w:before="240"/>
        <w:ind w:left="35" w:right="0" w:firstLine="0"/>
        <w:jc w:val="left"/>
        <w:rPr>
          <w:rFonts w:ascii="Times New Roman" w:hAnsi="Times New Roman"/>
          <w:i/>
          <w:sz w:val="13"/>
        </w:rPr>
      </w:pPr>
      <w:r>
        <w:rPr>
          <w:rFonts w:ascii="Symbol" w:hAnsi="Symbol"/>
          <w:sz w:val="23"/>
        </w:rPr>
        <w:t></w:t>
      </w:r>
      <w:r>
        <w:rPr>
          <w:rFonts w:ascii="Times New Roman" w:hAnsi="Times New Roman"/>
          <w:sz w:val="23"/>
        </w:rPr>
        <w:t> </w:t>
      </w:r>
      <w:r>
        <w:rPr>
          <w:rFonts w:ascii="Times New Roman" w:hAnsi="Times New Roman"/>
          <w:i/>
          <w:spacing w:val="-16"/>
          <w:sz w:val="23"/>
        </w:rPr>
        <w:t>L</w:t>
      </w:r>
      <w:r>
        <w:rPr>
          <w:rFonts w:ascii="Times New Roman" w:hAnsi="Times New Roman"/>
          <w:i/>
          <w:spacing w:val="-16"/>
          <w:position w:val="-5"/>
          <w:sz w:val="13"/>
        </w:rPr>
        <w:t>W</w:t>
      </w:r>
    </w:p>
    <w:p>
      <w:pPr>
        <w:pStyle w:val="BodyText"/>
        <w:ind w:left="0"/>
        <w:rPr>
          <w:rFonts w:ascii="Times New Roman"/>
          <w:i/>
          <w:sz w:val="28"/>
        </w:rPr>
      </w:pPr>
      <w:r>
        <w:rPr/>
        <w:br w:type="column"/>
      </w:r>
      <w:r>
        <w:rPr>
          <w:rFonts w:ascii="Times New Roman"/>
          <w:i/>
          <w:sz w:val="28"/>
        </w:rPr>
      </w:r>
    </w:p>
    <w:p>
      <w:pPr>
        <w:pStyle w:val="BodyText"/>
        <w:spacing w:before="10"/>
        <w:ind w:left="0"/>
        <w:rPr>
          <w:rFonts w:ascii="Times New Roman"/>
          <w:i/>
        </w:rPr>
      </w:pPr>
    </w:p>
    <w:p>
      <w:pPr>
        <w:spacing w:before="0"/>
        <w:ind w:left="51" w:right="0" w:firstLine="0"/>
        <w:jc w:val="left"/>
        <w:rPr>
          <w:rFonts w:ascii="Times New Roman" w:hAnsi="Times New Roman"/>
          <w:sz w:val="23"/>
        </w:rPr>
      </w:pPr>
      <w:r>
        <w:rPr>
          <w:rFonts w:ascii="Symbol" w:hAnsi="Symbol"/>
          <w:sz w:val="23"/>
        </w:rPr>
        <w:t></w:t>
      </w:r>
      <w:r>
        <w:rPr>
          <w:rFonts w:ascii="Times New Roman" w:hAnsi="Times New Roman"/>
          <w:spacing w:val="-45"/>
          <w:sz w:val="23"/>
        </w:rPr>
        <w:t> </w:t>
      </w:r>
      <w:r>
        <w:rPr>
          <w:rFonts w:ascii="Times New Roman" w:hAnsi="Times New Roman"/>
          <w:sz w:val="23"/>
        </w:rPr>
        <w:t>10</w:t>
      </w:r>
      <w:r>
        <w:rPr>
          <w:rFonts w:ascii="Times New Roman" w:hAnsi="Times New Roman"/>
          <w:spacing w:val="-44"/>
          <w:sz w:val="23"/>
        </w:rPr>
        <w:t> </w:t>
      </w:r>
      <w:r>
        <w:rPr>
          <w:rFonts w:ascii="Times New Roman" w:hAnsi="Times New Roman"/>
          <w:spacing w:val="-18"/>
          <w:sz w:val="23"/>
        </w:rPr>
        <w:t>lg(</w:t>
      </w:r>
    </w:p>
    <w:p>
      <w:pPr>
        <w:pStyle w:val="BodyText"/>
        <w:ind w:left="0"/>
        <w:rPr>
          <w:rFonts w:ascii="Times New Roman"/>
          <w:sz w:val="26"/>
        </w:rPr>
      </w:pPr>
      <w:r>
        <w:rPr/>
        <w:br w:type="column"/>
      </w:r>
      <w:r>
        <w:rPr>
          <w:rFonts w:ascii="Times New Roman"/>
          <w:sz w:val="26"/>
        </w:rPr>
      </w:r>
    </w:p>
    <w:p>
      <w:pPr>
        <w:spacing w:before="180"/>
        <w:ind w:left="140" w:right="0" w:firstLine="0"/>
        <w:jc w:val="left"/>
        <w:rPr>
          <w:rFonts w:ascii="Times New Roman"/>
          <w:i/>
          <w:sz w:val="23"/>
        </w:rPr>
      </w:pPr>
      <w:r>
        <w:rPr>
          <w:rFonts w:ascii="Times New Roman"/>
          <w:i/>
          <w:w w:val="95"/>
          <w:sz w:val="23"/>
        </w:rPr>
        <w:t>Q</w:t>
      </w:r>
    </w:p>
    <w:p>
      <w:pPr>
        <w:spacing w:before="38"/>
        <w:ind w:left="13" w:right="0" w:firstLine="0"/>
        <w:jc w:val="left"/>
        <w:rPr>
          <w:rFonts w:ascii="Times New Roman" w:hAnsi="Times New Roman"/>
          <w:sz w:val="13"/>
        </w:rPr>
      </w:pPr>
      <w:r>
        <w:rPr/>
        <w:pict>
          <v:line style="position:absolute;mso-position-horizontal-relative:page;mso-position-vertical-relative:paragraph;z-index:251878400" from="406.15387pt,1.908133pt" to="428.480756pt,1.908142pt" stroked="true" strokeweight=".48278pt" strokecolor="#000000">
            <v:stroke dashstyle="solid"/>
            <w10:wrap type="none"/>
          </v:line>
        </w:pict>
      </w:r>
      <w:r>
        <w:rPr>
          <w:rFonts w:ascii="Times New Roman" w:hAnsi="Times New Roman"/>
          <w:spacing w:val="-6"/>
          <w:sz w:val="23"/>
        </w:rPr>
        <w:t>4</w:t>
      </w:r>
      <w:r>
        <w:rPr>
          <w:rFonts w:ascii="Symbol" w:hAnsi="Symbol"/>
          <w:i/>
          <w:spacing w:val="-6"/>
          <w:sz w:val="24"/>
        </w:rPr>
        <w:t></w:t>
      </w:r>
      <w:r>
        <w:rPr>
          <w:rFonts w:ascii="Times New Roman" w:hAnsi="Times New Roman"/>
          <w:i/>
          <w:spacing w:val="-6"/>
          <w:sz w:val="23"/>
        </w:rPr>
        <w:t>r</w:t>
      </w:r>
      <w:r>
        <w:rPr>
          <w:rFonts w:ascii="Times New Roman" w:hAnsi="Times New Roman"/>
          <w:i/>
          <w:spacing w:val="-41"/>
          <w:sz w:val="23"/>
        </w:rPr>
        <w:t> </w:t>
      </w:r>
      <w:r>
        <w:rPr>
          <w:rFonts w:ascii="Times New Roman" w:hAnsi="Times New Roman"/>
          <w:spacing w:val="-18"/>
          <w:position w:val="10"/>
          <w:sz w:val="13"/>
        </w:rPr>
        <w:t>2</w:t>
      </w:r>
    </w:p>
    <w:p>
      <w:pPr>
        <w:pStyle w:val="BodyText"/>
        <w:spacing w:before="3"/>
        <w:ind w:left="0"/>
        <w:rPr>
          <w:rFonts w:ascii="Times New Roman"/>
          <w:sz w:val="41"/>
        </w:rPr>
      </w:pPr>
      <w:r>
        <w:rPr/>
        <w:br w:type="column"/>
      </w:r>
      <w:r>
        <w:rPr>
          <w:rFonts w:ascii="Times New Roman"/>
          <w:sz w:val="41"/>
        </w:rPr>
      </w:r>
    </w:p>
    <w:p>
      <w:pPr>
        <w:pStyle w:val="ListParagraph"/>
        <w:numPr>
          <w:ilvl w:val="0"/>
          <w:numId w:val="79"/>
        </w:numPr>
        <w:tabs>
          <w:tab w:pos="255" w:val="left" w:leader="none"/>
        </w:tabs>
        <w:spacing w:line="376" w:lineRule="exact" w:before="0" w:after="0"/>
        <w:ind w:left="254" w:right="0" w:hanging="206"/>
        <w:jc w:val="left"/>
        <w:rPr>
          <w:rFonts w:ascii="Times New Roman" w:hAnsi="Times New Roman" w:eastAsia="Times New Roman"/>
          <w:i/>
          <w:sz w:val="24"/>
        </w:rPr>
      </w:pPr>
      <w:r>
        <w:rPr>
          <w:rFonts w:ascii="Times New Roman" w:hAnsi="Times New Roman" w:eastAsia="Times New Roman"/>
          <w:position w:val="15"/>
          <w:sz w:val="23"/>
        </w:rPr>
        <w:t>4</w:t>
      </w:r>
      <w:r>
        <w:rPr>
          <w:rFonts w:ascii="Times New Roman" w:hAnsi="Times New Roman" w:eastAsia="Times New Roman"/>
          <w:spacing w:val="-23"/>
          <w:position w:val="15"/>
          <w:sz w:val="23"/>
        </w:rPr>
        <w:t> </w:t>
      </w:r>
      <w:r>
        <w:rPr>
          <w:rFonts w:ascii="Times New Roman" w:hAnsi="Times New Roman" w:eastAsia="Times New Roman"/>
          <w:spacing w:val="-9"/>
          <w:sz w:val="23"/>
        </w:rPr>
        <w:t>) </w:t>
      </w:r>
      <w:r>
        <w:rPr>
          <w:spacing w:val="-16"/>
          <w:position w:val="1"/>
          <w:sz w:val="24"/>
        </w:rPr>
        <w:t>计算，其中 </w:t>
      </w:r>
      <w:r>
        <w:rPr>
          <w:rFonts w:ascii="Times New Roman" w:hAnsi="Times New Roman" w:eastAsia="Times New Roman"/>
          <w:i/>
          <w:position w:val="1"/>
          <w:sz w:val="24"/>
        </w:rPr>
        <w:t>Q</w:t>
      </w:r>
    </w:p>
    <w:p>
      <w:pPr>
        <w:spacing w:line="218" w:lineRule="exact" w:before="0"/>
        <w:ind w:left="242" w:right="0" w:firstLine="0"/>
        <w:jc w:val="left"/>
        <w:rPr>
          <w:rFonts w:ascii="Times New Roman"/>
          <w:i/>
          <w:sz w:val="23"/>
        </w:rPr>
      </w:pPr>
      <w:r>
        <w:rPr/>
        <w:pict>
          <v:line style="position:absolute;mso-position-horizontal-relative:page;mso-position-vertical-relative:paragraph;z-index:-315378688" from="439.560608pt,-3.429505pt" to="448.037685pt,-3.429502pt" stroked="true" strokeweight=".48278pt" strokecolor="#000000">
            <v:stroke dashstyle="solid"/>
            <w10:wrap type="none"/>
          </v:line>
        </w:pict>
      </w:r>
      <w:r>
        <w:rPr>
          <w:rFonts w:ascii="Times New Roman"/>
          <w:i/>
          <w:w w:val="95"/>
          <w:sz w:val="23"/>
        </w:rPr>
        <w:t>R</w:t>
      </w:r>
    </w:p>
    <w:p>
      <w:pPr>
        <w:spacing w:after="0" w:line="218" w:lineRule="exact"/>
        <w:jc w:val="left"/>
        <w:rPr>
          <w:rFonts w:ascii="Times New Roman"/>
          <w:sz w:val="23"/>
        </w:rPr>
        <w:sectPr>
          <w:type w:val="continuous"/>
          <w:pgSz w:w="11910" w:h="16840"/>
          <w:pgMar w:top="1400" w:bottom="1200" w:left="1040" w:right="1160"/>
          <w:cols w:num="5" w:equalWidth="0">
            <w:col w:w="5880" w:space="40"/>
            <w:col w:w="438" w:space="39"/>
            <w:col w:w="647" w:space="40"/>
            <w:col w:w="408" w:space="39"/>
            <w:col w:w="2179"/>
          </w:cols>
        </w:sectPr>
      </w:pPr>
    </w:p>
    <w:p>
      <w:pPr>
        <w:spacing w:before="153"/>
        <w:ind w:left="2275" w:right="0" w:firstLine="0"/>
        <w:jc w:val="left"/>
        <w:rPr>
          <w:sz w:val="24"/>
        </w:rPr>
      </w:pPr>
      <w:r>
        <w:rPr>
          <w:spacing w:val="-1"/>
          <w:sz w:val="24"/>
        </w:rPr>
        <w:t>为指向性因数；</w:t>
      </w:r>
      <w:r>
        <w:rPr>
          <w:rFonts w:ascii="Times New Roman" w:hAnsi="Times New Roman" w:eastAsia="Times New Roman"/>
          <w:i/>
          <w:spacing w:val="-6"/>
          <w:sz w:val="24"/>
        </w:rPr>
        <w:t>R</w:t>
      </w:r>
      <w:r>
        <w:rPr>
          <w:rFonts w:ascii="Times New Roman" w:hAnsi="Times New Roman" w:eastAsia="Times New Roman"/>
          <w:i/>
          <w:spacing w:val="9"/>
          <w:sz w:val="24"/>
        </w:rPr>
        <w:t> </w:t>
      </w:r>
      <w:r>
        <w:rPr>
          <w:spacing w:val="-12"/>
          <w:sz w:val="24"/>
        </w:rPr>
        <w:t>为房间常数， </w:t>
      </w:r>
      <w:r>
        <w:rPr>
          <w:rFonts w:ascii="Times New Roman" w:hAnsi="Times New Roman" w:eastAsia="Times New Roman"/>
          <w:i/>
          <w:sz w:val="24"/>
        </w:rPr>
        <w:t>R</w:t>
      </w:r>
      <w:r>
        <w:rPr>
          <w:rFonts w:ascii="Times New Roman" w:hAnsi="Times New Roman" w:eastAsia="Times New Roman"/>
          <w:i/>
          <w:spacing w:val="3"/>
          <w:sz w:val="24"/>
        </w:rPr>
        <w:t> </w:t>
      </w:r>
      <w:r>
        <w:rPr>
          <w:rFonts w:ascii="Symbol" w:hAnsi="Symbol" w:eastAsia="Symbol"/>
          <w:sz w:val="24"/>
        </w:rPr>
        <w:t></w:t>
      </w:r>
      <w:r>
        <w:rPr>
          <w:rFonts w:ascii="Times New Roman" w:hAnsi="Times New Roman" w:eastAsia="Times New Roman"/>
          <w:spacing w:val="1"/>
          <w:sz w:val="24"/>
        </w:rPr>
        <w:t> </w:t>
      </w:r>
      <w:r>
        <w:rPr>
          <w:rFonts w:ascii="Times New Roman" w:hAnsi="Times New Roman" w:eastAsia="Times New Roman"/>
          <w:i/>
          <w:spacing w:val="3"/>
          <w:sz w:val="24"/>
        </w:rPr>
        <w:t>Sa</w:t>
      </w:r>
      <w:r>
        <w:rPr>
          <w:rFonts w:ascii="Times New Roman" w:hAnsi="Times New Roman" w:eastAsia="Times New Roman"/>
          <w:i/>
          <w:spacing w:val="-33"/>
          <w:sz w:val="24"/>
        </w:rPr>
        <w:t> </w:t>
      </w:r>
      <w:r>
        <w:rPr>
          <w:rFonts w:ascii="Times New Roman" w:hAnsi="Times New Roman" w:eastAsia="Times New Roman"/>
          <w:spacing w:val="-3"/>
          <w:sz w:val="24"/>
        </w:rPr>
        <w:t>/(1</w:t>
      </w:r>
      <w:r>
        <w:rPr>
          <w:rFonts w:ascii="Symbol" w:hAnsi="Symbol" w:eastAsia="Symbol"/>
          <w:spacing w:val="-3"/>
          <w:sz w:val="24"/>
        </w:rPr>
        <w:t></w:t>
      </w:r>
      <w:r>
        <w:rPr>
          <w:rFonts w:ascii="Times New Roman" w:hAnsi="Times New Roman" w:eastAsia="Times New Roman"/>
          <w:spacing w:val="-16"/>
          <w:sz w:val="24"/>
        </w:rPr>
        <w:t> </w:t>
      </w:r>
      <w:r>
        <w:rPr>
          <w:rFonts w:ascii="Times New Roman" w:hAnsi="Times New Roman" w:eastAsia="Times New Roman"/>
          <w:i/>
          <w:sz w:val="24"/>
        </w:rPr>
        <w:t>a</w:t>
      </w:r>
      <w:r>
        <w:rPr>
          <w:rFonts w:ascii="Times New Roman" w:hAnsi="Times New Roman" w:eastAsia="Times New Roman"/>
          <w:spacing w:val="-9"/>
          <w:sz w:val="24"/>
        </w:rPr>
        <w:t>) </w:t>
      </w:r>
      <w:r>
        <w:rPr>
          <w:spacing w:val="-6"/>
          <w:sz w:val="24"/>
        </w:rPr>
        <w:t>，</w:t>
      </w:r>
      <w:r>
        <w:rPr>
          <w:rFonts w:ascii="Times New Roman" w:hAnsi="Times New Roman" w:eastAsia="Times New Roman"/>
          <w:i/>
          <w:spacing w:val="-6"/>
          <w:sz w:val="24"/>
        </w:rPr>
        <w:t>S</w:t>
      </w:r>
      <w:r>
        <w:rPr>
          <w:rFonts w:ascii="Times New Roman" w:hAnsi="Times New Roman" w:eastAsia="Times New Roman"/>
          <w:i/>
          <w:spacing w:val="11"/>
          <w:sz w:val="24"/>
        </w:rPr>
        <w:t> </w:t>
      </w:r>
      <w:r>
        <w:rPr>
          <w:sz w:val="24"/>
        </w:rPr>
        <w:t>为房间内表面面积，</w:t>
      </w:r>
    </w:p>
    <w:p>
      <w:pPr>
        <w:pStyle w:val="BodyText"/>
        <w:spacing w:before="252"/>
        <w:ind w:left="2275"/>
      </w:pPr>
      <w:r>
        <w:rPr>
          <w:rFonts w:ascii="Times New Roman" w:hAnsi="Times New Roman" w:eastAsia="Times New Roman"/>
        </w:rPr>
        <w:t>m</w:t>
      </w:r>
      <w:r>
        <w:rPr>
          <w:rFonts w:ascii="Times New Roman" w:hAnsi="Times New Roman" w:eastAsia="Times New Roman"/>
          <w:position w:val="9"/>
          <w:sz w:val="16"/>
        </w:rPr>
        <w:t>2</w:t>
      </w:r>
      <w:r>
        <w:rPr/>
        <w:t>，</w:t>
      </w:r>
      <w:r>
        <w:rPr>
          <w:rFonts w:ascii="Times New Roman" w:hAnsi="Times New Roman" w:eastAsia="Times New Roman"/>
          <w:i/>
        </w:rPr>
        <w:t>α</w:t>
      </w:r>
      <w:r>
        <w:rPr>
          <w:rFonts w:ascii="Times New Roman" w:hAnsi="Times New Roman" w:eastAsia="Times New Roman"/>
          <w:i/>
          <w:spacing w:val="-1"/>
        </w:rPr>
        <w:t> </w:t>
      </w:r>
      <w:r>
        <w:rPr/>
        <w:t>为平均吸声系数；</w:t>
      </w:r>
      <w:r>
        <w:rPr>
          <w:rFonts w:ascii="Times New Roman" w:hAnsi="Times New Roman" w:eastAsia="Times New Roman"/>
          <w:i/>
        </w:rPr>
        <w:t>r</w:t>
      </w:r>
      <w:r>
        <w:rPr>
          <w:rFonts w:ascii="Times New Roman" w:hAnsi="Times New Roman" w:eastAsia="Times New Roman"/>
          <w:i/>
          <w:spacing w:val="1"/>
        </w:rPr>
        <w:t> </w:t>
      </w:r>
      <w:r>
        <w:rPr/>
        <w:t>为声源到靠近围护结构某点处的距离，</w:t>
      </w:r>
      <w:r>
        <w:rPr>
          <w:rFonts w:ascii="Times New Roman" w:hAnsi="Times New Roman" w:eastAsia="Times New Roman"/>
        </w:rPr>
        <w:t>m</w:t>
      </w:r>
      <w:r>
        <w:rPr/>
        <w:t>。</w:t>
      </w:r>
    </w:p>
    <w:p>
      <w:pPr>
        <w:pStyle w:val="BodyText"/>
        <w:spacing w:before="162"/>
        <w:ind w:left="1437"/>
      </w:pPr>
      <w:r>
        <w:rPr>
          <w:rFonts w:ascii="Times New Roman" w:hAnsi="Times New Roman" w:eastAsia="Times New Roman"/>
          <w:i/>
        </w:rPr>
        <w:t>TL</w:t>
      </w:r>
      <w:r>
        <w:rPr>
          <w:rFonts w:ascii="Times New Roman" w:hAnsi="Times New Roman" w:eastAsia="Times New Roman"/>
        </w:rPr>
        <w:t>——</w:t>
      </w:r>
      <w:r>
        <w:rPr/>
        <w:t>隔墙（或窗户）倍频带的隔声量，</w:t>
      </w:r>
      <w:r>
        <w:rPr>
          <w:rFonts w:ascii="Times New Roman" w:hAnsi="Times New Roman" w:eastAsia="Times New Roman"/>
        </w:rPr>
        <w:t>dB</w:t>
      </w:r>
      <w:r>
        <w:rPr/>
        <w:t>。</w:t>
      </w:r>
    </w:p>
    <w:p>
      <w:pPr>
        <w:pStyle w:val="ListParagraph"/>
        <w:numPr>
          <w:ilvl w:val="0"/>
          <w:numId w:val="78"/>
        </w:numPr>
        <w:tabs>
          <w:tab w:pos="1079" w:val="left" w:leader="none"/>
        </w:tabs>
        <w:spacing w:line="240" w:lineRule="auto" w:before="160" w:after="0"/>
        <w:ind w:left="1078" w:right="0" w:hanging="362"/>
        <w:jc w:val="left"/>
        <w:rPr>
          <w:sz w:val="24"/>
        </w:rPr>
      </w:pPr>
      <w:r>
        <w:rPr>
          <w:spacing w:val="-3"/>
          <w:sz w:val="24"/>
        </w:rPr>
        <w:t>再按下式计算出所有室内声源在围护结构处产生的 </w:t>
      </w:r>
      <w:r>
        <w:rPr>
          <w:rFonts w:ascii="Times New Roman" w:eastAsia="Times New Roman"/>
          <w:i/>
          <w:sz w:val="24"/>
        </w:rPr>
        <w:t>i </w:t>
      </w:r>
      <w:r>
        <w:rPr>
          <w:sz w:val="24"/>
        </w:rPr>
        <w:t>倍频带叠加声压级：</w:t>
      </w:r>
    </w:p>
    <w:p>
      <w:pPr>
        <w:pStyle w:val="BodyText"/>
        <w:spacing w:before="9"/>
        <w:ind w:left="0"/>
        <w:rPr>
          <w:sz w:val="14"/>
        </w:rPr>
      </w:pPr>
    </w:p>
    <w:p>
      <w:pPr>
        <w:spacing w:after="0"/>
        <w:rPr>
          <w:sz w:val="14"/>
        </w:rPr>
        <w:sectPr>
          <w:type w:val="continuous"/>
          <w:pgSz w:w="11910" w:h="16840"/>
          <w:pgMar w:top="1400" w:bottom="1200" w:left="1040" w:right="1160"/>
        </w:sectPr>
      </w:pPr>
    </w:p>
    <w:p>
      <w:pPr>
        <w:spacing w:before="189"/>
        <w:ind w:left="0" w:right="0" w:firstLine="0"/>
        <w:jc w:val="right"/>
        <w:rPr>
          <w:rFonts w:ascii="Times New Roman"/>
          <w:i/>
          <w:sz w:val="14"/>
        </w:rPr>
      </w:pPr>
      <w:r>
        <w:rPr>
          <w:rFonts w:ascii="Times New Roman"/>
          <w:i/>
          <w:position w:val="6"/>
          <w:sz w:val="24"/>
        </w:rPr>
        <w:t>L</w:t>
      </w:r>
      <w:r>
        <w:rPr>
          <w:rFonts w:ascii="Times New Roman"/>
          <w:i/>
          <w:sz w:val="14"/>
        </w:rPr>
        <w:t>Pli</w:t>
      </w:r>
    </w:p>
    <w:p>
      <w:pPr>
        <w:pStyle w:val="BodyText"/>
        <w:spacing w:before="3"/>
        <w:ind w:left="0"/>
        <w:rPr>
          <w:rFonts w:ascii="Times New Roman"/>
          <w:i/>
          <w:sz w:val="3"/>
        </w:rPr>
      </w:pPr>
      <w:r>
        <w:rPr/>
        <w:br w:type="column"/>
      </w:r>
      <w:r>
        <w:rPr>
          <w:rFonts w:ascii="Times New Roman"/>
          <w:i/>
          <w:sz w:val="3"/>
        </w:rPr>
      </w:r>
    </w:p>
    <w:p>
      <w:pPr>
        <w:pStyle w:val="BodyText"/>
        <w:spacing w:line="157" w:lineRule="exact"/>
        <w:ind w:left="1120"/>
        <w:rPr>
          <w:rFonts w:ascii="Times New Roman"/>
          <w:sz w:val="15"/>
        </w:rPr>
      </w:pPr>
      <w:r>
        <w:rPr>
          <w:rFonts w:ascii="Times New Roman"/>
          <w:position w:val="-2"/>
          <w:sz w:val="15"/>
        </w:rPr>
        <w:pict>
          <v:shape style="width:4.75pt;height:7.9pt;mso-position-horizontal-relative:char;mso-position-vertical-relative:line" type="#_x0000_t202" filled="false" stroked="false">
            <w10:anchorlock/>
            <v:textbox inset="0,0,0,0">
              <w:txbxContent>
                <w:p>
                  <w:pPr>
                    <w:spacing w:line="157" w:lineRule="exact" w:before="0"/>
                    <w:ind w:left="0" w:right="0" w:firstLine="0"/>
                    <w:jc w:val="left"/>
                    <w:rPr>
                      <w:rFonts w:ascii="Times New Roman"/>
                      <w:i/>
                      <w:sz w:val="14"/>
                    </w:rPr>
                  </w:pPr>
                  <w:r>
                    <w:rPr>
                      <w:rFonts w:ascii="Times New Roman"/>
                      <w:i/>
                      <w:w w:val="101"/>
                      <w:sz w:val="14"/>
                    </w:rPr>
                    <w:t>N</w:t>
                  </w:r>
                </w:p>
              </w:txbxContent>
            </v:textbox>
          </v:shape>
        </w:pict>
      </w:r>
      <w:r>
        <w:rPr>
          <w:rFonts w:ascii="Times New Roman"/>
          <w:position w:val="-2"/>
          <w:sz w:val="15"/>
        </w:rPr>
      </w:r>
    </w:p>
    <w:p>
      <w:pPr>
        <w:spacing w:line="334" w:lineRule="exact" w:before="0"/>
        <w:ind w:left="-13" w:right="0" w:firstLine="0"/>
        <w:jc w:val="left"/>
        <w:rPr>
          <w:rFonts w:ascii="Times New Roman" w:hAnsi="Times New Roman"/>
          <w:sz w:val="24"/>
        </w:rPr>
      </w:pPr>
      <w:r>
        <w:rPr>
          <w:rFonts w:ascii="Times New Roman" w:hAnsi="Times New Roman"/>
          <w:spacing w:val="-12"/>
          <w:w w:val="101"/>
          <w:sz w:val="24"/>
        </w:rPr>
        <w:t>(</w:t>
      </w:r>
      <w:r>
        <w:rPr>
          <w:rFonts w:ascii="Times New Roman" w:hAnsi="Times New Roman"/>
          <w:i/>
          <w:w w:val="101"/>
          <w:sz w:val="24"/>
        </w:rPr>
        <w:t>T</w:t>
      </w:r>
      <w:r>
        <w:rPr>
          <w:rFonts w:ascii="Times New Roman" w:hAnsi="Times New Roman"/>
          <w:i/>
          <w:spacing w:val="-34"/>
          <w:sz w:val="24"/>
        </w:rPr>
        <w:t> </w:t>
      </w:r>
      <w:r>
        <w:rPr>
          <w:rFonts w:ascii="Times New Roman" w:hAnsi="Times New Roman"/>
          <w:w w:val="101"/>
          <w:sz w:val="24"/>
        </w:rPr>
        <w:t>)</w:t>
      </w:r>
      <w:r>
        <w:rPr>
          <w:rFonts w:ascii="Times New Roman" w:hAnsi="Times New Roman"/>
          <w:spacing w:val="-2"/>
          <w:sz w:val="24"/>
        </w:rPr>
        <w:t> </w:t>
      </w:r>
      <w:r>
        <w:rPr>
          <w:rFonts w:ascii="Symbol" w:hAnsi="Symbol"/>
          <w:w w:val="101"/>
          <w:sz w:val="24"/>
        </w:rPr>
        <w:t></w:t>
      </w:r>
      <w:r>
        <w:rPr>
          <w:rFonts w:ascii="Times New Roman" w:hAnsi="Times New Roman"/>
          <w:spacing w:val="-29"/>
          <w:sz w:val="24"/>
        </w:rPr>
        <w:t> </w:t>
      </w:r>
      <w:r>
        <w:rPr>
          <w:rFonts w:ascii="Times New Roman" w:hAnsi="Times New Roman"/>
          <w:spacing w:val="-4"/>
          <w:w w:val="101"/>
          <w:sz w:val="24"/>
        </w:rPr>
        <w:t>1</w:t>
      </w:r>
      <w:r>
        <w:rPr>
          <w:rFonts w:ascii="Times New Roman" w:hAnsi="Times New Roman"/>
          <w:w w:val="101"/>
          <w:sz w:val="24"/>
        </w:rPr>
        <w:t>0</w:t>
      </w:r>
      <w:r>
        <w:rPr>
          <w:rFonts w:ascii="Times New Roman" w:hAnsi="Times New Roman"/>
          <w:spacing w:val="-39"/>
          <w:sz w:val="24"/>
        </w:rPr>
        <w:t> </w:t>
      </w:r>
      <w:r>
        <w:rPr>
          <w:rFonts w:ascii="Times New Roman" w:hAnsi="Times New Roman"/>
          <w:spacing w:val="-24"/>
          <w:w w:val="101"/>
          <w:sz w:val="24"/>
        </w:rPr>
        <w:t>l</w:t>
      </w:r>
      <w:r>
        <w:rPr>
          <w:rFonts w:ascii="Times New Roman" w:hAnsi="Times New Roman"/>
          <w:spacing w:val="-19"/>
          <w:w w:val="101"/>
          <w:sz w:val="24"/>
        </w:rPr>
        <w:t>g</w:t>
      </w:r>
      <w:r>
        <w:rPr>
          <w:rFonts w:ascii="Times New Roman" w:hAnsi="Times New Roman"/>
          <w:w w:val="101"/>
          <w:sz w:val="24"/>
        </w:rPr>
        <w:t>(</w:t>
      </w:r>
      <w:r>
        <w:rPr>
          <w:rFonts w:ascii="Times New Roman" w:hAnsi="Times New Roman"/>
          <w:spacing w:val="-26"/>
          <w:sz w:val="24"/>
        </w:rPr>
        <w:t> </w:t>
      </w:r>
      <w:r>
        <w:rPr>
          <w:rFonts w:ascii="Symbol" w:hAnsi="Symbol"/>
          <w:spacing w:val="-3"/>
          <w:w w:val="101"/>
          <w:position w:val="-5"/>
          <w:sz w:val="36"/>
        </w:rPr>
        <w:t></w:t>
      </w:r>
      <w:r>
        <w:rPr>
          <w:rFonts w:ascii="Times New Roman" w:hAnsi="Times New Roman"/>
          <w:spacing w:val="-4"/>
          <w:w w:val="101"/>
          <w:sz w:val="24"/>
        </w:rPr>
        <w:t>1</w:t>
      </w:r>
      <w:r>
        <w:rPr>
          <w:rFonts w:ascii="Times New Roman" w:hAnsi="Times New Roman"/>
          <w:spacing w:val="10"/>
          <w:w w:val="101"/>
          <w:sz w:val="24"/>
        </w:rPr>
        <w:t>0</w:t>
      </w:r>
      <w:r>
        <w:rPr>
          <w:rFonts w:ascii="Times New Roman" w:hAnsi="Times New Roman"/>
          <w:spacing w:val="-2"/>
          <w:w w:val="101"/>
          <w:position w:val="13"/>
          <w:sz w:val="14"/>
        </w:rPr>
        <w:t>0.</w:t>
      </w:r>
      <w:r>
        <w:rPr>
          <w:rFonts w:ascii="Times New Roman" w:hAnsi="Times New Roman"/>
          <w:w w:val="101"/>
          <w:position w:val="13"/>
          <w:sz w:val="14"/>
        </w:rPr>
        <w:t>1</w:t>
      </w:r>
      <w:r>
        <w:rPr>
          <w:rFonts w:ascii="Times New Roman" w:hAnsi="Times New Roman"/>
          <w:i/>
          <w:spacing w:val="-3"/>
          <w:w w:val="100"/>
          <w:position w:val="13"/>
          <w:sz w:val="14"/>
        </w:rPr>
        <w:t>L</w:t>
      </w:r>
      <w:r>
        <w:rPr>
          <w:rFonts w:ascii="Times New Roman" w:hAnsi="Times New Roman"/>
          <w:i/>
          <w:spacing w:val="-3"/>
          <w:w w:val="100"/>
          <w:position w:val="10"/>
          <w:sz w:val="10"/>
        </w:rPr>
        <w:t>P</w:t>
      </w:r>
      <w:r>
        <w:rPr>
          <w:rFonts w:ascii="Times New Roman" w:hAnsi="Times New Roman"/>
          <w:i/>
          <w:spacing w:val="1"/>
          <w:w w:val="100"/>
          <w:position w:val="10"/>
          <w:sz w:val="10"/>
        </w:rPr>
        <w:t>l</w:t>
      </w:r>
      <w:r>
        <w:rPr>
          <w:rFonts w:ascii="Times New Roman" w:hAnsi="Times New Roman"/>
          <w:i/>
          <w:w w:val="100"/>
          <w:position w:val="10"/>
          <w:sz w:val="10"/>
        </w:rPr>
        <w:t>j</w:t>
      </w:r>
      <w:r>
        <w:rPr>
          <w:rFonts w:ascii="Times New Roman" w:hAnsi="Times New Roman"/>
          <w:i/>
          <w:position w:val="10"/>
          <w:sz w:val="10"/>
        </w:rPr>
        <w:t> </w:t>
      </w:r>
      <w:r>
        <w:rPr>
          <w:rFonts w:ascii="Times New Roman" w:hAnsi="Times New Roman"/>
          <w:i/>
          <w:spacing w:val="3"/>
          <w:position w:val="10"/>
          <w:sz w:val="10"/>
        </w:rPr>
        <w:t> </w:t>
      </w:r>
      <w:r>
        <w:rPr>
          <w:rFonts w:ascii="Times New Roman" w:hAnsi="Times New Roman"/>
          <w:w w:val="101"/>
          <w:sz w:val="24"/>
        </w:rPr>
        <w:t>)</w:t>
      </w:r>
    </w:p>
    <w:p>
      <w:pPr>
        <w:spacing w:line="148" w:lineRule="exact" w:before="0"/>
        <w:ind w:left="1095" w:right="0" w:firstLine="0"/>
        <w:jc w:val="left"/>
        <w:rPr>
          <w:rFonts w:ascii="Times New Roman" w:hAnsi="Times New Roman"/>
          <w:sz w:val="14"/>
        </w:rPr>
      </w:pPr>
      <w:r>
        <w:rPr>
          <w:rFonts w:ascii="Times New Roman" w:hAnsi="Times New Roman"/>
          <w:i/>
          <w:sz w:val="14"/>
        </w:rPr>
        <w:t>j </w:t>
      </w:r>
      <w:r>
        <w:rPr>
          <w:rFonts w:ascii="Symbol" w:hAnsi="Symbol"/>
          <w:sz w:val="14"/>
        </w:rPr>
        <w:t></w:t>
      </w:r>
      <w:r>
        <w:rPr>
          <w:rFonts w:ascii="Times New Roman" w:hAnsi="Times New Roman"/>
          <w:sz w:val="14"/>
        </w:rPr>
        <w:t>1</w:t>
      </w:r>
    </w:p>
    <w:p>
      <w:pPr>
        <w:spacing w:after="0" w:line="148" w:lineRule="exact"/>
        <w:jc w:val="left"/>
        <w:rPr>
          <w:rFonts w:ascii="Times New Roman" w:hAnsi="Times New Roman"/>
          <w:sz w:val="14"/>
        </w:rPr>
        <w:sectPr>
          <w:type w:val="continuous"/>
          <w:pgSz w:w="11910" w:h="16840"/>
          <w:pgMar w:top="1400" w:bottom="1200" w:left="1040" w:right="1160"/>
          <w:cols w:num="2" w:equalWidth="0">
            <w:col w:w="4193" w:space="40"/>
            <w:col w:w="5477"/>
          </w:cols>
        </w:sectPr>
      </w:pPr>
    </w:p>
    <w:p>
      <w:pPr>
        <w:pStyle w:val="BodyText"/>
        <w:spacing w:before="8"/>
        <w:ind w:left="0"/>
        <w:rPr>
          <w:rFonts w:ascii="Times New Roman"/>
          <w:sz w:val="13"/>
        </w:rPr>
      </w:pPr>
    </w:p>
    <w:p>
      <w:pPr>
        <w:spacing w:before="73"/>
        <w:ind w:left="717" w:right="0" w:firstLine="0"/>
        <w:jc w:val="left"/>
        <w:rPr>
          <w:sz w:val="24"/>
        </w:rPr>
      </w:pPr>
      <w:r>
        <w:rPr>
          <w:position w:val="2"/>
          <w:sz w:val="24"/>
        </w:rPr>
        <w:t>式中：</w:t>
      </w:r>
      <w:r>
        <w:rPr>
          <w:rFonts w:ascii="Times New Roman" w:hAnsi="Times New Roman" w:eastAsia="Times New Roman"/>
          <w:i/>
          <w:position w:val="2"/>
          <w:sz w:val="24"/>
        </w:rPr>
        <w:t>L</w:t>
      </w:r>
      <w:r>
        <w:rPr>
          <w:rFonts w:ascii="Times New Roman" w:hAnsi="Times New Roman" w:eastAsia="Times New Roman"/>
          <w:i/>
          <w:sz w:val="16"/>
        </w:rPr>
        <w:t>Pli</w:t>
      </w:r>
      <w:r>
        <w:rPr>
          <w:rFonts w:ascii="Times New Roman" w:hAnsi="Times New Roman" w:eastAsia="Times New Roman"/>
          <w:i/>
          <w:position w:val="2"/>
          <w:sz w:val="24"/>
        </w:rPr>
        <w:t>(T) </w:t>
      </w:r>
      <w:r>
        <w:rPr>
          <w:rFonts w:ascii="Times New Roman" w:hAnsi="Times New Roman" w:eastAsia="Times New Roman"/>
          <w:position w:val="2"/>
          <w:sz w:val="24"/>
        </w:rPr>
        <w:t>——</w:t>
      </w:r>
      <w:r>
        <w:rPr>
          <w:position w:val="2"/>
          <w:sz w:val="24"/>
        </w:rPr>
        <w:t>靠近围护结构处室内 </w:t>
      </w:r>
      <w:r>
        <w:rPr>
          <w:rFonts w:ascii="Times New Roman" w:hAnsi="Times New Roman" w:eastAsia="Times New Roman"/>
          <w:i/>
          <w:position w:val="2"/>
          <w:sz w:val="24"/>
        </w:rPr>
        <w:t>N </w:t>
      </w:r>
      <w:r>
        <w:rPr>
          <w:position w:val="2"/>
          <w:sz w:val="24"/>
        </w:rPr>
        <w:t>个声源 </w:t>
      </w:r>
      <w:r>
        <w:rPr>
          <w:rFonts w:ascii="Times New Roman" w:hAnsi="Times New Roman" w:eastAsia="Times New Roman"/>
          <w:i/>
          <w:position w:val="2"/>
          <w:sz w:val="24"/>
        </w:rPr>
        <w:t>i </w:t>
      </w:r>
      <w:r>
        <w:rPr>
          <w:position w:val="2"/>
          <w:sz w:val="24"/>
        </w:rPr>
        <w:t>倍频带的叠加声压级，</w:t>
      </w:r>
      <w:r>
        <w:rPr>
          <w:rFonts w:ascii="Times New Roman" w:hAnsi="Times New Roman" w:eastAsia="Times New Roman"/>
          <w:position w:val="2"/>
          <w:sz w:val="24"/>
        </w:rPr>
        <w:t>dB</w:t>
      </w:r>
      <w:r>
        <w:rPr>
          <w:position w:val="2"/>
          <w:sz w:val="24"/>
        </w:rPr>
        <w:t>；</w:t>
      </w:r>
    </w:p>
    <w:p>
      <w:pPr>
        <w:spacing w:before="161"/>
        <w:ind w:left="1437" w:right="0" w:firstLine="0"/>
        <w:jc w:val="left"/>
        <w:rPr>
          <w:sz w:val="24"/>
        </w:rPr>
      </w:pPr>
      <w:r>
        <w:rPr>
          <w:rFonts w:ascii="Times New Roman" w:hAnsi="Times New Roman" w:eastAsia="Times New Roman"/>
          <w:i/>
          <w:position w:val="2"/>
          <w:sz w:val="24"/>
        </w:rPr>
        <w:t>L</w:t>
      </w:r>
      <w:r>
        <w:rPr>
          <w:rFonts w:ascii="Times New Roman" w:hAnsi="Times New Roman" w:eastAsia="Times New Roman"/>
          <w:i/>
          <w:sz w:val="16"/>
        </w:rPr>
        <w:t>Plj</w:t>
      </w:r>
      <w:r>
        <w:rPr>
          <w:rFonts w:ascii="Times New Roman" w:hAnsi="Times New Roman" w:eastAsia="Times New Roman"/>
          <w:position w:val="2"/>
          <w:sz w:val="24"/>
        </w:rPr>
        <w:t>——</w:t>
      </w:r>
      <w:r>
        <w:rPr>
          <w:position w:val="2"/>
          <w:sz w:val="24"/>
        </w:rPr>
        <w:t>室内 </w:t>
      </w:r>
      <w:r>
        <w:rPr>
          <w:rFonts w:ascii="Times New Roman" w:hAnsi="Times New Roman" w:eastAsia="Times New Roman"/>
          <w:i/>
          <w:position w:val="2"/>
          <w:sz w:val="24"/>
        </w:rPr>
        <w:t>j </w:t>
      </w:r>
      <w:r>
        <w:rPr>
          <w:position w:val="2"/>
          <w:sz w:val="24"/>
        </w:rPr>
        <w:t>声源 </w:t>
      </w:r>
      <w:r>
        <w:rPr>
          <w:rFonts w:ascii="Times New Roman" w:hAnsi="Times New Roman" w:eastAsia="Times New Roman"/>
          <w:i/>
          <w:position w:val="2"/>
          <w:sz w:val="24"/>
        </w:rPr>
        <w:t>i </w:t>
      </w:r>
      <w:r>
        <w:rPr>
          <w:position w:val="2"/>
          <w:sz w:val="24"/>
        </w:rPr>
        <w:t>倍频带的声压级，</w:t>
      </w:r>
      <w:r>
        <w:rPr>
          <w:rFonts w:ascii="Times New Roman" w:hAnsi="Times New Roman" w:eastAsia="Times New Roman"/>
          <w:position w:val="2"/>
          <w:sz w:val="24"/>
        </w:rPr>
        <w:t>dB</w:t>
      </w:r>
      <w:r>
        <w:rPr>
          <w:position w:val="2"/>
          <w:sz w:val="24"/>
        </w:rPr>
        <w:t>；</w:t>
      </w:r>
    </w:p>
    <w:p>
      <w:pPr>
        <w:pStyle w:val="BodyText"/>
        <w:spacing w:before="161"/>
        <w:ind w:left="1437"/>
      </w:pPr>
      <w:r>
        <w:rPr>
          <w:rFonts w:ascii="Times New Roman" w:hAnsi="Times New Roman" w:eastAsia="Times New Roman"/>
          <w:i/>
        </w:rPr>
        <w:t>N</w:t>
      </w:r>
      <w:r>
        <w:rPr>
          <w:rFonts w:ascii="Times New Roman" w:hAnsi="Times New Roman" w:eastAsia="Times New Roman"/>
        </w:rPr>
        <w:t>——</w:t>
      </w:r>
      <w:r>
        <w:rPr/>
        <w:t>室内声源总数。</w:t>
      </w:r>
    </w:p>
    <w:p>
      <w:pPr>
        <w:pStyle w:val="ListParagraph"/>
        <w:numPr>
          <w:ilvl w:val="0"/>
          <w:numId w:val="78"/>
        </w:numPr>
        <w:tabs>
          <w:tab w:pos="1079" w:val="left" w:leader="none"/>
        </w:tabs>
        <w:spacing w:line="240" w:lineRule="auto" w:before="161" w:after="0"/>
        <w:ind w:left="1078" w:right="0" w:hanging="362"/>
        <w:jc w:val="left"/>
        <w:rPr>
          <w:sz w:val="24"/>
        </w:rPr>
      </w:pPr>
      <w:r>
        <w:rPr>
          <w:sz w:val="24"/>
        </w:rPr>
        <w:t>在室内近似为扩散声场时，靠近室外围护结构处的声压级：</w:t>
      </w:r>
    </w:p>
    <w:p>
      <w:pPr>
        <w:spacing w:before="195"/>
        <w:ind w:left="705" w:right="236" w:firstLine="0"/>
        <w:jc w:val="center"/>
        <w:rPr>
          <w:rFonts w:ascii="Times New Roman" w:hAnsi="Times New Roman"/>
          <w:sz w:val="26"/>
        </w:rPr>
      </w:pPr>
      <w:r>
        <w:rPr>
          <w:rFonts w:ascii="Times New Roman" w:hAnsi="Times New Roman"/>
          <w:i/>
          <w:sz w:val="26"/>
        </w:rPr>
        <w:t>L</w:t>
      </w:r>
      <w:r>
        <w:rPr>
          <w:rFonts w:ascii="Times New Roman" w:hAnsi="Times New Roman"/>
          <w:i/>
          <w:position w:val="-6"/>
          <w:sz w:val="15"/>
        </w:rPr>
        <w:t>P</w:t>
      </w:r>
      <w:r>
        <w:rPr>
          <w:rFonts w:ascii="Times New Roman" w:hAnsi="Times New Roman"/>
          <w:position w:val="-6"/>
          <w:sz w:val="15"/>
        </w:rPr>
        <w:t>2</w:t>
      </w:r>
      <w:r>
        <w:rPr>
          <w:rFonts w:ascii="Times New Roman" w:hAnsi="Times New Roman"/>
          <w:i/>
          <w:position w:val="-6"/>
          <w:sz w:val="15"/>
        </w:rPr>
        <w:t>i </w:t>
      </w:r>
      <w:r>
        <w:rPr>
          <w:rFonts w:ascii="Times New Roman" w:hAnsi="Times New Roman"/>
          <w:sz w:val="26"/>
        </w:rPr>
        <w:t>(</w:t>
      </w:r>
      <w:r>
        <w:rPr>
          <w:rFonts w:ascii="Times New Roman" w:hAnsi="Times New Roman"/>
          <w:i/>
          <w:sz w:val="26"/>
        </w:rPr>
        <w:t>T </w:t>
      </w:r>
      <w:r>
        <w:rPr>
          <w:rFonts w:ascii="Times New Roman" w:hAnsi="Times New Roman"/>
          <w:sz w:val="26"/>
        </w:rPr>
        <w:t>) </w:t>
      </w:r>
      <w:r>
        <w:rPr>
          <w:rFonts w:ascii="Symbol" w:hAnsi="Symbol"/>
          <w:sz w:val="26"/>
        </w:rPr>
        <w:t></w:t>
      </w:r>
      <w:r>
        <w:rPr>
          <w:rFonts w:ascii="Times New Roman" w:hAnsi="Times New Roman"/>
          <w:sz w:val="26"/>
        </w:rPr>
        <w:t> </w:t>
      </w:r>
      <w:r>
        <w:rPr>
          <w:rFonts w:ascii="Times New Roman" w:hAnsi="Times New Roman"/>
          <w:i/>
          <w:sz w:val="26"/>
        </w:rPr>
        <w:t>L</w:t>
      </w:r>
      <w:r>
        <w:rPr>
          <w:rFonts w:ascii="Times New Roman" w:hAnsi="Times New Roman"/>
          <w:i/>
          <w:position w:val="-6"/>
          <w:sz w:val="15"/>
        </w:rPr>
        <w:t>Pli </w:t>
      </w:r>
      <w:r>
        <w:rPr>
          <w:rFonts w:ascii="Times New Roman" w:hAnsi="Times New Roman"/>
          <w:sz w:val="26"/>
        </w:rPr>
        <w:t>(</w:t>
      </w:r>
      <w:r>
        <w:rPr>
          <w:rFonts w:ascii="Times New Roman" w:hAnsi="Times New Roman"/>
          <w:i/>
          <w:sz w:val="26"/>
        </w:rPr>
        <w:t>T </w:t>
      </w:r>
      <w:r>
        <w:rPr>
          <w:rFonts w:ascii="Times New Roman" w:hAnsi="Times New Roman"/>
          <w:sz w:val="26"/>
        </w:rPr>
        <w:t>) </w:t>
      </w:r>
      <w:r>
        <w:rPr>
          <w:rFonts w:ascii="Symbol" w:hAnsi="Symbol"/>
          <w:sz w:val="26"/>
        </w:rPr>
        <w:t></w:t>
      </w:r>
      <w:r>
        <w:rPr>
          <w:rFonts w:ascii="Times New Roman" w:hAnsi="Times New Roman"/>
          <w:sz w:val="26"/>
        </w:rPr>
        <w:t> (</w:t>
      </w:r>
      <w:r>
        <w:rPr>
          <w:rFonts w:ascii="Times New Roman" w:hAnsi="Times New Roman"/>
          <w:i/>
          <w:sz w:val="26"/>
        </w:rPr>
        <w:t>TL</w:t>
      </w:r>
      <w:r>
        <w:rPr>
          <w:rFonts w:ascii="Times New Roman" w:hAnsi="Times New Roman"/>
          <w:i/>
          <w:position w:val="-6"/>
          <w:sz w:val="15"/>
        </w:rPr>
        <w:t>i  </w:t>
      </w:r>
      <w:r>
        <w:rPr>
          <w:rFonts w:ascii="Symbol" w:hAnsi="Symbol"/>
          <w:sz w:val="26"/>
        </w:rPr>
        <w:t></w:t>
      </w:r>
      <w:r>
        <w:rPr>
          <w:rFonts w:ascii="Times New Roman" w:hAnsi="Times New Roman"/>
          <w:sz w:val="26"/>
        </w:rPr>
        <w:t> 6)</w:t>
      </w:r>
    </w:p>
    <w:p>
      <w:pPr>
        <w:spacing w:before="225"/>
        <w:ind w:left="717" w:right="0" w:firstLine="0"/>
        <w:jc w:val="left"/>
        <w:rPr>
          <w:sz w:val="24"/>
        </w:rPr>
      </w:pPr>
      <w:r>
        <w:rPr>
          <w:position w:val="2"/>
          <w:sz w:val="24"/>
        </w:rPr>
        <w:t>式中：</w:t>
      </w:r>
      <w:r>
        <w:rPr>
          <w:rFonts w:ascii="Times New Roman" w:hAnsi="Times New Roman" w:eastAsia="Times New Roman"/>
          <w:i/>
          <w:position w:val="2"/>
          <w:sz w:val="24"/>
        </w:rPr>
        <w:t>L</w:t>
      </w:r>
      <w:r>
        <w:rPr>
          <w:rFonts w:ascii="Times New Roman" w:hAnsi="Times New Roman" w:eastAsia="Times New Roman"/>
          <w:i/>
          <w:sz w:val="16"/>
        </w:rPr>
        <w:t>Pli</w:t>
      </w:r>
      <w:r>
        <w:rPr>
          <w:rFonts w:ascii="Times New Roman" w:hAnsi="Times New Roman" w:eastAsia="Times New Roman"/>
          <w:i/>
          <w:position w:val="2"/>
          <w:sz w:val="24"/>
        </w:rPr>
        <w:t>(T)</w:t>
      </w:r>
      <w:r>
        <w:rPr>
          <w:rFonts w:ascii="Times New Roman" w:hAnsi="Times New Roman" w:eastAsia="Times New Roman"/>
          <w:position w:val="2"/>
          <w:sz w:val="24"/>
        </w:rPr>
        <w:t>——</w:t>
      </w:r>
      <w:r>
        <w:rPr>
          <w:position w:val="2"/>
          <w:sz w:val="24"/>
        </w:rPr>
        <w:t>靠近围护结构处室外 </w:t>
      </w:r>
      <w:r>
        <w:rPr>
          <w:rFonts w:ascii="Times New Roman" w:hAnsi="Times New Roman" w:eastAsia="Times New Roman"/>
          <w:i/>
          <w:position w:val="2"/>
          <w:sz w:val="24"/>
        </w:rPr>
        <w:t>N </w:t>
      </w:r>
      <w:r>
        <w:rPr>
          <w:position w:val="2"/>
          <w:sz w:val="24"/>
        </w:rPr>
        <w:t>个声源 </w:t>
      </w:r>
      <w:r>
        <w:rPr>
          <w:rFonts w:ascii="Times New Roman" w:hAnsi="Times New Roman" w:eastAsia="Times New Roman"/>
          <w:i/>
          <w:position w:val="2"/>
          <w:sz w:val="24"/>
        </w:rPr>
        <w:t>i </w:t>
      </w:r>
      <w:r>
        <w:rPr>
          <w:position w:val="2"/>
          <w:sz w:val="24"/>
        </w:rPr>
        <w:t>倍频带的叠加声压级，</w:t>
      </w:r>
      <w:r>
        <w:rPr>
          <w:rFonts w:ascii="Times New Roman" w:hAnsi="Times New Roman" w:eastAsia="Times New Roman"/>
          <w:position w:val="2"/>
          <w:sz w:val="24"/>
        </w:rPr>
        <w:t>dB</w:t>
      </w:r>
      <w:r>
        <w:rPr>
          <w:position w:val="2"/>
          <w:sz w:val="24"/>
        </w:rPr>
        <w:t>；</w:t>
      </w:r>
    </w:p>
    <w:p>
      <w:pPr>
        <w:spacing w:before="160"/>
        <w:ind w:left="1437" w:right="0" w:firstLine="0"/>
        <w:jc w:val="left"/>
        <w:rPr>
          <w:sz w:val="24"/>
        </w:rPr>
      </w:pPr>
      <w:r>
        <w:rPr>
          <w:rFonts w:ascii="Times New Roman" w:hAnsi="Times New Roman" w:eastAsia="Times New Roman"/>
          <w:i/>
          <w:position w:val="2"/>
          <w:sz w:val="24"/>
        </w:rPr>
        <w:t>TL</w:t>
      </w:r>
      <w:r>
        <w:rPr>
          <w:rFonts w:ascii="Times New Roman" w:hAnsi="Times New Roman" w:eastAsia="Times New Roman"/>
          <w:i/>
          <w:sz w:val="16"/>
        </w:rPr>
        <w:t>i</w:t>
      </w:r>
      <w:r>
        <w:rPr>
          <w:rFonts w:ascii="Times New Roman" w:hAnsi="Times New Roman" w:eastAsia="Times New Roman"/>
          <w:position w:val="2"/>
          <w:sz w:val="24"/>
        </w:rPr>
        <w:t>——</w:t>
      </w:r>
      <w:r>
        <w:rPr>
          <w:position w:val="2"/>
          <w:sz w:val="24"/>
        </w:rPr>
        <w:t>围护结构 </w:t>
      </w:r>
      <w:r>
        <w:rPr>
          <w:rFonts w:ascii="Times New Roman" w:hAnsi="Times New Roman" w:eastAsia="Times New Roman"/>
          <w:i/>
          <w:position w:val="2"/>
          <w:sz w:val="24"/>
        </w:rPr>
        <w:t>i </w:t>
      </w:r>
      <w:r>
        <w:rPr>
          <w:position w:val="2"/>
          <w:sz w:val="24"/>
        </w:rPr>
        <w:t>倍频带的隔声量，</w:t>
      </w:r>
      <w:r>
        <w:rPr>
          <w:rFonts w:ascii="Times New Roman" w:hAnsi="Times New Roman" w:eastAsia="Times New Roman"/>
          <w:position w:val="2"/>
          <w:sz w:val="24"/>
        </w:rPr>
        <w:t>dB</w:t>
      </w:r>
      <w:r>
        <w:rPr>
          <w:position w:val="2"/>
          <w:sz w:val="24"/>
        </w:rPr>
        <w:t>。</w:t>
      </w:r>
    </w:p>
    <w:p>
      <w:pPr>
        <w:pStyle w:val="ListParagraph"/>
        <w:numPr>
          <w:ilvl w:val="0"/>
          <w:numId w:val="78"/>
        </w:numPr>
        <w:tabs>
          <w:tab w:pos="1079" w:val="left" w:leader="none"/>
        </w:tabs>
        <w:spacing w:line="364" w:lineRule="auto" w:before="161" w:after="0"/>
        <w:ind w:left="237" w:right="251" w:firstLine="480"/>
        <w:jc w:val="left"/>
        <w:rPr>
          <w:sz w:val="24"/>
        </w:rPr>
      </w:pPr>
      <w:r>
        <w:rPr>
          <w:spacing w:val="-2"/>
          <w:sz w:val="24"/>
        </w:rPr>
        <w:t>按下式将室外声源的声压级和透过面积换算成等效的室外声源，计算出中心位置</w:t>
      </w:r>
      <w:r>
        <w:rPr>
          <w:sz w:val="24"/>
        </w:rPr>
        <w:t>位于透声面积（</w:t>
      </w:r>
      <w:r>
        <w:rPr>
          <w:rFonts w:ascii="Times New Roman" w:eastAsia="Times New Roman"/>
          <w:sz w:val="24"/>
        </w:rPr>
        <w:t>S</w:t>
      </w:r>
      <w:r>
        <w:rPr>
          <w:sz w:val="24"/>
        </w:rPr>
        <w:t>）处的等效声源的倍频带声功率级：</w:t>
      </w:r>
    </w:p>
    <w:p>
      <w:pPr>
        <w:spacing w:before="61"/>
        <w:ind w:left="688" w:right="236" w:firstLine="0"/>
        <w:jc w:val="center"/>
        <w:rPr>
          <w:rFonts w:ascii="Times New Roman" w:hAnsi="Times New Roman"/>
          <w:i/>
          <w:sz w:val="23"/>
        </w:rPr>
      </w:pPr>
      <w:r>
        <w:rPr>
          <w:rFonts w:ascii="Times New Roman" w:hAnsi="Times New Roman"/>
          <w:i/>
          <w:w w:val="115"/>
          <w:sz w:val="23"/>
        </w:rPr>
        <w:t>L</w:t>
      </w:r>
      <w:r>
        <w:rPr>
          <w:rFonts w:ascii="Times New Roman" w:hAnsi="Times New Roman"/>
          <w:i/>
          <w:w w:val="115"/>
          <w:position w:val="-5"/>
          <w:sz w:val="13"/>
        </w:rPr>
        <w:t>W    </w:t>
      </w:r>
      <w:r>
        <w:rPr>
          <w:rFonts w:ascii="Symbol" w:hAnsi="Symbol"/>
          <w:w w:val="115"/>
          <w:sz w:val="23"/>
        </w:rPr>
        <w:t></w:t>
      </w:r>
      <w:r>
        <w:rPr>
          <w:rFonts w:ascii="Times New Roman" w:hAnsi="Times New Roman"/>
          <w:w w:val="115"/>
          <w:sz w:val="23"/>
        </w:rPr>
        <w:t> </w:t>
      </w:r>
      <w:r>
        <w:rPr>
          <w:rFonts w:ascii="Times New Roman" w:hAnsi="Times New Roman"/>
          <w:i/>
          <w:w w:val="115"/>
          <w:sz w:val="23"/>
        </w:rPr>
        <w:t>L</w:t>
      </w:r>
      <w:r>
        <w:rPr>
          <w:rFonts w:ascii="Times New Roman" w:hAnsi="Times New Roman"/>
          <w:i/>
          <w:w w:val="115"/>
          <w:position w:val="-5"/>
          <w:sz w:val="13"/>
        </w:rPr>
        <w:t>P</w:t>
      </w:r>
      <w:r>
        <w:rPr>
          <w:rFonts w:ascii="Times New Roman" w:hAnsi="Times New Roman"/>
          <w:w w:val="115"/>
          <w:position w:val="-5"/>
          <w:sz w:val="13"/>
        </w:rPr>
        <w:t>2 </w:t>
      </w:r>
      <w:r>
        <w:rPr>
          <w:rFonts w:ascii="Times New Roman" w:hAnsi="Times New Roman"/>
          <w:w w:val="115"/>
          <w:sz w:val="23"/>
        </w:rPr>
        <w:t>(</w:t>
      </w:r>
      <w:r>
        <w:rPr>
          <w:rFonts w:ascii="Times New Roman" w:hAnsi="Times New Roman"/>
          <w:i/>
          <w:w w:val="115"/>
          <w:sz w:val="23"/>
        </w:rPr>
        <w:t>T </w:t>
      </w:r>
      <w:r>
        <w:rPr>
          <w:rFonts w:ascii="Times New Roman" w:hAnsi="Times New Roman"/>
          <w:w w:val="115"/>
          <w:sz w:val="23"/>
        </w:rPr>
        <w:t>) </w:t>
      </w:r>
      <w:r>
        <w:rPr>
          <w:rFonts w:ascii="Symbol" w:hAnsi="Symbol"/>
          <w:w w:val="115"/>
          <w:sz w:val="23"/>
        </w:rPr>
        <w:t></w:t>
      </w:r>
      <w:r>
        <w:rPr>
          <w:rFonts w:ascii="Times New Roman" w:hAnsi="Times New Roman"/>
          <w:w w:val="115"/>
          <w:sz w:val="23"/>
        </w:rPr>
        <w:t>10lg </w:t>
      </w:r>
      <w:r>
        <w:rPr>
          <w:rFonts w:ascii="Times New Roman" w:hAnsi="Times New Roman"/>
          <w:i/>
          <w:w w:val="115"/>
          <w:sz w:val="23"/>
        </w:rPr>
        <w:t>S</w:t>
      </w:r>
    </w:p>
    <w:p>
      <w:pPr>
        <w:pStyle w:val="BodyText"/>
        <w:spacing w:before="11"/>
        <w:ind w:left="0"/>
        <w:rPr>
          <w:rFonts w:ascii="Times New Roman"/>
          <w:i/>
          <w:sz w:val="14"/>
        </w:rPr>
      </w:pPr>
    </w:p>
    <w:p>
      <w:pPr>
        <w:spacing w:before="73"/>
        <w:ind w:left="717" w:right="0" w:firstLine="0"/>
        <w:jc w:val="left"/>
        <w:rPr>
          <w:sz w:val="24"/>
        </w:rPr>
      </w:pPr>
      <w:r>
        <w:rPr>
          <w:position w:val="2"/>
          <w:sz w:val="24"/>
        </w:rPr>
        <w:t>式中：</w:t>
      </w:r>
      <w:r>
        <w:rPr>
          <w:rFonts w:ascii="Times New Roman" w:hAnsi="Times New Roman" w:eastAsia="Times New Roman"/>
          <w:i/>
          <w:position w:val="2"/>
          <w:sz w:val="24"/>
        </w:rPr>
        <w:t>L</w:t>
      </w:r>
      <w:r>
        <w:rPr>
          <w:rFonts w:ascii="Times New Roman" w:hAnsi="Times New Roman" w:eastAsia="Times New Roman"/>
          <w:i/>
          <w:sz w:val="16"/>
        </w:rPr>
        <w:t>P2</w:t>
      </w:r>
      <w:r>
        <w:rPr>
          <w:rFonts w:ascii="Times New Roman" w:hAnsi="Times New Roman" w:eastAsia="Times New Roman"/>
          <w:i/>
          <w:position w:val="2"/>
          <w:sz w:val="24"/>
        </w:rPr>
        <w:t>(T)</w:t>
      </w:r>
      <w:r>
        <w:rPr>
          <w:rFonts w:ascii="Times New Roman" w:hAnsi="Times New Roman" w:eastAsia="Times New Roman"/>
          <w:position w:val="2"/>
          <w:sz w:val="24"/>
        </w:rPr>
        <w:t>——</w:t>
      </w:r>
      <w:r>
        <w:rPr>
          <w:position w:val="2"/>
          <w:sz w:val="24"/>
        </w:rPr>
        <w:t>室外声源倍频带声压级，</w:t>
      </w:r>
      <w:r>
        <w:rPr>
          <w:rFonts w:ascii="Times New Roman" w:hAnsi="Times New Roman" w:eastAsia="Times New Roman"/>
          <w:position w:val="2"/>
          <w:sz w:val="24"/>
        </w:rPr>
        <w:t>dB</w:t>
      </w:r>
      <w:r>
        <w:rPr>
          <w:position w:val="2"/>
          <w:sz w:val="24"/>
        </w:rPr>
        <w:t>；</w:t>
      </w:r>
    </w:p>
    <w:p>
      <w:pPr>
        <w:pStyle w:val="BodyText"/>
        <w:spacing w:before="161"/>
        <w:ind w:left="1437"/>
      </w:pPr>
      <w:r>
        <w:rPr>
          <w:rFonts w:ascii="Times New Roman" w:hAnsi="Times New Roman" w:eastAsia="Times New Roman"/>
          <w:i/>
        </w:rPr>
        <w:t>S</w:t>
      </w:r>
      <w:r>
        <w:rPr>
          <w:rFonts w:ascii="Times New Roman" w:hAnsi="Times New Roman" w:eastAsia="Times New Roman"/>
        </w:rPr>
        <w:t>——</w:t>
      </w:r>
      <w:r>
        <w:rPr/>
        <w:t>透声面积，</w:t>
      </w:r>
      <w:r>
        <w:rPr>
          <w:rFonts w:ascii="Times New Roman" w:hAnsi="Times New Roman" w:eastAsia="Times New Roman"/>
        </w:rPr>
        <w:t>m</w:t>
      </w:r>
      <w:r>
        <w:rPr>
          <w:rFonts w:ascii="Times New Roman" w:hAnsi="Times New Roman" w:eastAsia="Times New Roman"/>
          <w:position w:val="9"/>
          <w:sz w:val="16"/>
        </w:rPr>
        <w:t>2</w:t>
      </w:r>
      <w:r>
        <w:rPr/>
        <w:t>。</w:t>
      </w:r>
    </w:p>
    <w:p>
      <w:pPr>
        <w:pStyle w:val="ListParagraph"/>
        <w:numPr>
          <w:ilvl w:val="0"/>
          <w:numId w:val="78"/>
        </w:numPr>
        <w:tabs>
          <w:tab w:pos="1079" w:val="left" w:leader="none"/>
        </w:tabs>
        <w:spacing w:line="240" w:lineRule="auto" w:before="161" w:after="0"/>
        <w:ind w:left="1078" w:right="0" w:hanging="362"/>
        <w:jc w:val="left"/>
        <w:rPr>
          <w:sz w:val="24"/>
        </w:rPr>
      </w:pPr>
      <w:r>
        <w:rPr>
          <w:spacing w:val="-4"/>
          <w:sz w:val="24"/>
        </w:rPr>
        <w:t>按室外声源预测方法计算预测点处的 </w:t>
      </w:r>
      <w:r>
        <w:rPr>
          <w:rFonts w:ascii="Times New Roman" w:eastAsia="Times New Roman"/>
          <w:i/>
          <w:sz w:val="24"/>
        </w:rPr>
        <w:t>A</w:t>
      </w:r>
      <w:r>
        <w:rPr>
          <w:rFonts w:ascii="Times New Roman" w:eastAsia="Times New Roman"/>
          <w:i/>
          <w:spacing w:val="-1"/>
          <w:sz w:val="24"/>
        </w:rPr>
        <w:t> </w:t>
      </w:r>
      <w:r>
        <w:rPr>
          <w:sz w:val="24"/>
        </w:rPr>
        <w:t>声级。</w:t>
      </w:r>
    </w:p>
    <w:p>
      <w:pPr>
        <w:pStyle w:val="Heading3"/>
        <w:numPr>
          <w:ilvl w:val="0"/>
          <w:numId w:val="77"/>
        </w:numPr>
        <w:tabs>
          <w:tab w:pos="1321" w:val="left" w:leader="none"/>
        </w:tabs>
        <w:spacing w:line="240" w:lineRule="auto" w:before="160" w:after="0"/>
        <w:ind w:left="1320" w:right="0" w:hanging="604"/>
        <w:jc w:val="left"/>
      </w:pPr>
      <w:r>
        <w:rPr/>
        <w:t>噪声贡献值计算</w:t>
      </w:r>
    </w:p>
    <w:p>
      <w:pPr>
        <w:pStyle w:val="BodyText"/>
        <w:spacing w:line="364" w:lineRule="auto" w:before="160"/>
        <w:ind w:right="246" w:firstLine="480"/>
        <w:jc w:val="both"/>
      </w:pPr>
      <w:r>
        <w:rPr>
          <w:spacing w:val="-18"/>
          <w:position w:val="2"/>
        </w:rPr>
        <w:t>设第 </w:t>
      </w:r>
      <w:r>
        <w:rPr>
          <w:rFonts w:ascii="Times New Roman" w:eastAsia="Times New Roman"/>
          <w:i/>
          <w:position w:val="2"/>
        </w:rPr>
        <w:t>i </w:t>
      </w:r>
      <w:r>
        <w:rPr>
          <w:spacing w:val="-5"/>
          <w:position w:val="2"/>
        </w:rPr>
        <w:t>个室外声源在预测点产生的 </w:t>
      </w:r>
      <w:r>
        <w:rPr>
          <w:rFonts w:ascii="Times New Roman" w:eastAsia="Times New Roman"/>
          <w:i/>
          <w:position w:val="2"/>
        </w:rPr>
        <w:t>A </w:t>
      </w:r>
      <w:r>
        <w:rPr>
          <w:spacing w:val="-14"/>
          <w:position w:val="2"/>
        </w:rPr>
        <w:t>声级为 </w:t>
      </w:r>
      <w:r>
        <w:rPr>
          <w:rFonts w:ascii="Times New Roman" w:eastAsia="Times New Roman"/>
          <w:i/>
          <w:position w:val="2"/>
        </w:rPr>
        <w:t>L</w:t>
      </w:r>
      <w:r>
        <w:rPr>
          <w:rFonts w:ascii="Times New Roman" w:eastAsia="Times New Roman"/>
          <w:i/>
          <w:sz w:val="16"/>
        </w:rPr>
        <w:t>Ai</w:t>
      </w:r>
      <w:r>
        <w:rPr>
          <w:spacing w:val="-18"/>
          <w:position w:val="2"/>
        </w:rPr>
        <w:t>，在 </w:t>
      </w:r>
      <w:r>
        <w:rPr>
          <w:rFonts w:ascii="Times New Roman" w:eastAsia="Times New Roman"/>
          <w:position w:val="2"/>
        </w:rPr>
        <w:t>T </w:t>
      </w:r>
      <w:r>
        <w:rPr>
          <w:spacing w:val="-6"/>
          <w:position w:val="2"/>
        </w:rPr>
        <w:t>时间内该声源工作时间为 </w:t>
      </w:r>
      <w:r>
        <w:rPr>
          <w:rFonts w:ascii="Times New Roman" w:eastAsia="Times New Roman"/>
          <w:i/>
          <w:position w:val="2"/>
        </w:rPr>
        <w:t>t</w:t>
      </w:r>
      <w:r>
        <w:rPr>
          <w:rFonts w:ascii="Times New Roman" w:eastAsia="Times New Roman"/>
          <w:i/>
          <w:sz w:val="16"/>
        </w:rPr>
        <w:t>i</w:t>
      </w:r>
      <w:r>
        <w:rPr>
          <w:position w:val="2"/>
        </w:rPr>
        <w:t>； </w:t>
      </w:r>
      <w:r>
        <w:rPr>
          <w:spacing w:val="-26"/>
          <w:position w:val="2"/>
        </w:rPr>
        <w:t>第 </w:t>
      </w:r>
      <w:r>
        <w:rPr>
          <w:rFonts w:ascii="Times New Roman" w:eastAsia="Times New Roman"/>
          <w:i/>
          <w:position w:val="2"/>
        </w:rPr>
        <w:t>j </w:t>
      </w:r>
      <w:r>
        <w:rPr>
          <w:spacing w:val="-5"/>
          <w:position w:val="2"/>
        </w:rPr>
        <w:t>个等效室外声源在预测点产生的 </w:t>
      </w:r>
      <w:r>
        <w:rPr>
          <w:rFonts w:ascii="Times New Roman" w:eastAsia="Times New Roman"/>
          <w:i/>
          <w:position w:val="2"/>
        </w:rPr>
        <w:t>A </w:t>
      </w:r>
      <w:r>
        <w:rPr>
          <w:spacing w:val="-15"/>
          <w:position w:val="2"/>
        </w:rPr>
        <w:t>声级为 </w:t>
      </w:r>
      <w:r>
        <w:rPr>
          <w:rFonts w:ascii="Times New Roman" w:eastAsia="Times New Roman"/>
          <w:i/>
          <w:position w:val="2"/>
        </w:rPr>
        <w:t>L</w:t>
      </w:r>
      <w:r>
        <w:rPr>
          <w:rFonts w:ascii="Times New Roman" w:eastAsia="Times New Roman"/>
          <w:i/>
          <w:sz w:val="16"/>
        </w:rPr>
        <w:t>Aj</w:t>
      </w:r>
      <w:r>
        <w:rPr>
          <w:spacing w:val="-17"/>
          <w:position w:val="2"/>
        </w:rPr>
        <w:t>，在 </w:t>
      </w:r>
      <w:r>
        <w:rPr>
          <w:rFonts w:ascii="Times New Roman" w:eastAsia="Times New Roman"/>
          <w:position w:val="2"/>
        </w:rPr>
        <w:t>T </w:t>
      </w:r>
      <w:r>
        <w:rPr>
          <w:spacing w:val="-6"/>
          <w:position w:val="2"/>
        </w:rPr>
        <w:t>时间内该声源工作时间为 </w:t>
      </w:r>
      <w:r>
        <w:rPr>
          <w:rFonts w:ascii="Times New Roman" w:eastAsia="Times New Roman"/>
          <w:i/>
          <w:position w:val="2"/>
        </w:rPr>
        <w:t>t</w:t>
      </w:r>
      <w:r>
        <w:rPr>
          <w:rFonts w:ascii="Times New Roman" w:eastAsia="Times New Roman"/>
          <w:i/>
          <w:sz w:val="16"/>
        </w:rPr>
        <w:t>j</w:t>
      </w:r>
      <w:r>
        <w:rPr>
          <w:position w:val="2"/>
        </w:rPr>
        <w:t>，则拟建工程声源对预测点产生的贡献值（</w:t>
      </w:r>
      <w:r>
        <w:rPr>
          <w:rFonts w:ascii="Times New Roman" w:eastAsia="Times New Roman"/>
          <w:i/>
          <w:position w:val="2"/>
        </w:rPr>
        <w:t>L</w:t>
      </w:r>
      <w:r>
        <w:rPr>
          <w:rFonts w:ascii="Times New Roman" w:eastAsia="Times New Roman"/>
          <w:i/>
          <w:sz w:val="16"/>
        </w:rPr>
        <w:t>eqg</w:t>
      </w:r>
      <w:r>
        <w:rPr>
          <w:position w:val="2"/>
        </w:rPr>
        <w:t>）为：</w:t>
      </w:r>
    </w:p>
    <w:p>
      <w:pPr>
        <w:spacing w:after="0" w:line="364" w:lineRule="auto"/>
        <w:jc w:val="both"/>
        <w:sectPr>
          <w:type w:val="continuous"/>
          <w:pgSz w:w="11910" w:h="16840"/>
          <w:pgMar w:top="1400" w:bottom="1200" w:left="1040" w:right="1160"/>
        </w:sectPr>
      </w:pPr>
    </w:p>
    <w:p>
      <w:pPr>
        <w:spacing w:line="120" w:lineRule="exact" w:before="125"/>
        <w:ind w:left="0" w:right="0" w:firstLine="0"/>
        <w:jc w:val="right"/>
        <w:rPr>
          <w:rFonts w:ascii="Times New Roman" w:hAnsi="Times New Roman"/>
          <w:i/>
          <w:sz w:val="13"/>
        </w:rPr>
      </w:pPr>
      <w:r>
        <w:rPr>
          <w:rFonts w:ascii="Symbol" w:hAnsi="Symbol"/>
          <w:w w:val="110"/>
          <w:position w:val="2"/>
          <w:sz w:val="22"/>
        </w:rPr>
        <w:t></w:t>
      </w:r>
      <w:r>
        <w:rPr>
          <w:rFonts w:ascii="Times New Roman" w:hAnsi="Times New Roman"/>
          <w:w w:val="110"/>
          <w:position w:val="2"/>
          <w:sz w:val="22"/>
        </w:rPr>
        <w:t> </w:t>
      </w:r>
      <w:r>
        <w:rPr>
          <w:rFonts w:ascii="Times New Roman" w:hAnsi="Times New Roman"/>
          <w:w w:val="110"/>
          <w:position w:val="-2"/>
          <w:sz w:val="22"/>
        </w:rPr>
        <w:t>1 </w:t>
      </w:r>
      <w:r>
        <w:rPr>
          <w:rFonts w:ascii="Symbol" w:hAnsi="Symbol"/>
          <w:w w:val="110"/>
          <w:sz w:val="22"/>
        </w:rPr>
        <w:t></w:t>
      </w:r>
      <w:r>
        <w:rPr>
          <w:rFonts w:ascii="Times New Roman" w:hAnsi="Times New Roman"/>
          <w:w w:val="110"/>
          <w:sz w:val="22"/>
        </w:rPr>
        <w:t> </w:t>
      </w:r>
      <w:r>
        <w:rPr>
          <w:rFonts w:ascii="Times New Roman" w:hAnsi="Times New Roman"/>
          <w:i/>
          <w:w w:val="110"/>
          <w:position w:val="6"/>
          <w:sz w:val="13"/>
        </w:rPr>
        <w:t>N</w:t>
      </w:r>
    </w:p>
    <w:p>
      <w:pPr>
        <w:pStyle w:val="BodyText"/>
        <w:spacing w:before="10"/>
        <w:ind w:left="0"/>
        <w:rPr>
          <w:rFonts w:ascii="Times New Roman"/>
          <w:i/>
          <w:sz w:val="15"/>
        </w:rPr>
      </w:pPr>
      <w:r>
        <w:rPr/>
        <w:br w:type="column"/>
      </w:r>
      <w:r>
        <w:rPr>
          <w:rFonts w:ascii="Times New Roman"/>
          <w:i/>
          <w:sz w:val="15"/>
        </w:rPr>
      </w:r>
    </w:p>
    <w:p>
      <w:pPr>
        <w:spacing w:line="137" w:lineRule="exact" w:before="1"/>
        <w:ind w:left="0" w:right="0" w:firstLine="0"/>
        <w:jc w:val="right"/>
        <w:rPr>
          <w:rFonts w:ascii="Times New Roman"/>
          <w:i/>
          <w:sz w:val="13"/>
        </w:rPr>
      </w:pPr>
      <w:r>
        <w:rPr>
          <w:rFonts w:ascii="Times New Roman"/>
          <w:i/>
          <w:w w:val="109"/>
          <w:sz w:val="13"/>
        </w:rPr>
        <w:t>M</w:t>
      </w:r>
    </w:p>
    <w:p>
      <w:pPr>
        <w:pStyle w:val="ListParagraph"/>
        <w:numPr>
          <w:ilvl w:val="1"/>
          <w:numId w:val="80"/>
        </w:numPr>
        <w:tabs>
          <w:tab w:pos="647" w:val="left" w:leader="none"/>
        </w:tabs>
        <w:spacing w:line="76" w:lineRule="exact" w:before="0" w:after="0"/>
        <w:ind w:left="646" w:right="93" w:hanging="647"/>
        <w:jc w:val="left"/>
        <w:rPr>
          <w:rFonts w:ascii="Times New Roman"/>
          <w:sz w:val="13"/>
        </w:rPr>
      </w:pPr>
      <w:r>
        <w:rPr>
          <w:rFonts w:ascii="Times New Roman"/>
          <w:i/>
          <w:w w:val="109"/>
          <w:sz w:val="13"/>
        </w:rPr>
        <w:t>L</w:t>
      </w:r>
      <w:r>
        <w:rPr>
          <w:rFonts w:ascii="Times New Roman"/>
          <w:sz w:val="13"/>
        </w:rPr>
      </w:r>
    </w:p>
    <w:p>
      <w:pPr>
        <w:spacing w:line="116" w:lineRule="exact" w:before="129"/>
        <w:ind w:left="492" w:right="0" w:firstLine="0"/>
        <w:jc w:val="left"/>
        <w:rPr>
          <w:rFonts w:ascii="Symbol" w:hAnsi="Symbol"/>
          <w:sz w:val="22"/>
        </w:rPr>
      </w:pPr>
      <w:r>
        <w:rPr/>
        <w:br w:type="column"/>
      </w:r>
      <w:r>
        <w:rPr>
          <w:rFonts w:ascii="Times New Roman" w:hAnsi="Times New Roman"/>
          <w:w w:val="110"/>
          <w:sz w:val="13"/>
        </w:rPr>
        <w:t>0.1</w:t>
      </w:r>
      <w:r>
        <w:rPr>
          <w:rFonts w:ascii="Times New Roman" w:hAnsi="Times New Roman"/>
          <w:i/>
          <w:w w:val="110"/>
          <w:sz w:val="13"/>
        </w:rPr>
        <w:t>L </w:t>
      </w:r>
      <w:r>
        <w:rPr>
          <w:rFonts w:ascii="Symbol" w:hAnsi="Symbol"/>
          <w:w w:val="110"/>
          <w:position w:val="4"/>
          <w:sz w:val="22"/>
        </w:rPr>
        <w:t></w:t>
      </w:r>
      <w:r>
        <w:rPr>
          <w:rFonts w:ascii="Symbol" w:hAnsi="Symbol"/>
          <w:w w:val="110"/>
          <w:position w:val="6"/>
          <w:sz w:val="22"/>
        </w:rPr>
        <w:t></w:t>
      </w:r>
    </w:p>
    <w:p>
      <w:pPr>
        <w:spacing w:after="0" w:line="116" w:lineRule="exact"/>
        <w:jc w:val="left"/>
        <w:rPr>
          <w:rFonts w:ascii="Symbol" w:hAnsi="Symbol"/>
          <w:sz w:val="22"/>
        </w:rPr>
        <w:sectPr>
          <w:pgSz w:w="11910" w:h="16840"/>
          <w:pgMar w:header="874" w:footer="1004" w:top="1420" w:bottom="1200" w:left="1040" w:right="1160"/>
          <w:cols w:num="3" w:equalWidth="0">
            <w:col w:w="4687" w:space="40"/>
            <w:col w:w="1287" w:space="39"/>
            <w:col w:w="3657"/>
          </w:cols>
        </w:sectPr>
      </w:pPr>
    </w:p>
    <w:p>
      <w:pPr>
        <w:spacing w:line="114" w:lineRule="exact" w:before="0"/>
        <w:ind w:left="0" w:right="0" w:firstLine="0"/>
        <w:jc w:val="right"/>
        <w:rPr>
          <w:rFonts w:ascii="Times New Roman"/>
          <w:i/>
          <w:sz w:val="13"/>
        </w:rPr>
      </w:pPr>
      <w:r>
        <w:rPr>
          <w:rFonts w:ascii="Times New Roman"/>
          <w:i/>
          <w:w w:val="110"/>
          <w:position w:val="6"/>
          <w:sz w:val="22"/>
        </w:rPr>
        <w:t>L</w:t>
      </w:r>
      <w:r>
        <w:rPr>
          <w:rFonts w:ascii="Times New Roman"/>
          <w:i/>
          <w:w w:val="110"/>
          <w:sz w:val="13"/>
        </w:rPr>
        <w:t>eqg</w:t>
      </w:r>
    </w:p>
    <w:p>
      <w:pPr>
        <w:tabs>
          <w:tab w:pos="1021" w:val="left" w:leader="none"/>
        </w:tabs>
        <w:spacing w:line="114" w:lineRule="exact" w:before="0"/>
        <w:ind w:left="63" w:right="0" w:firstLine="0"/>
        <w:jc w:val="left"/>
        <w:rPr>
          <w:rFonts w:ascii="Times New Roman" w:hAnsi="Times New Roman"/>
          <w:sz w:val="22"/>
        </w:rPr>
      </w:pPr>
      <w:r>
        <w:rPr/>
        <w:br w:type="column"/>
      </w:r>
      <w:r>
        <w:rPr>
          <w:rFonts w:ascii="Symbol" w:hAnsi="Symbol"/>
          <w:w w:val="111"/>
          <w:sz w:val="22"/>
        </w:rPr>
        <w:t></w:t>
      </w:r>
      <w:r>
        <w:rPr>
          <w:rFonts w:ascii="Times New Roman" w:hAnsi="Times New Roman"/>
          <w:spacing w:val="-19"/>
          <w:sz w:val="22"/>
        </w:rPr>
        <w:t> </w:t>
      </w:r>
      <w:r>
        <w:rPr>
          <w:rFonts w:ascii="Times New Roman" w:hAnsi="Times New Roman"/>
          <w:spacing w:val="-1"/>
          <w:w w:val="111"/>
          <w:sz w:val="22"/>
        </w:rPr>
        <w:t>1</w:t>
      </w:r>
      <w:r>
        <w:rPr>
          <w:rFonts w:ascii="Times New Roman" w:hAnsi="Times New Roman"/>
          <w:w w:val="111"/>
          <w:sz w:val="22"/>
        </w:rPr>
        <w:t>0</w:t>
      </w:r>
      <w:r>
        <w:rPr>
          <w:rFonts w:ascii="Times New Roman" w:hAnsi="Times New Roman"/>
          <w:spacing w:val="-30"/>
          <w:sz w:val="22"/>
        </w:rPr>
        <w:t> </w:t>
      </w:r>
      <w:r>
        <w:rPr>
          <w:rFonts w:ascii="Times New Roman" w:hAnsi="Times New Roman"/>
          <w:spacing w:val="-23"/>
          <w:w w:val="111"/>
          <w:sz w:val="22"/>
        </w:rPr>
        <w:t>l</w:t>
      </w:r>
      <w:r>
        <w:rPr>
          <w:rFonts w:ascii="Times New Roman" w:hAnsi="Times New Roman"/>
          <w:w w:val="111"/>
          <w:sz w:val="22"/>
        </w:rPr>
        <w:t>g</w:t>
      </w:r>
      <w:r>
        <w:rPr>
          <w:rFonts w:ascii="Times New Roman" w:hAnsi="Times New Roman"/>
          <w:spacing w:val="-22"/>
          <w:sz w:val="22"/>
        </w:rPr>
        <w:t> </w:t>
      </w:r>
      <w:r>
        <w:rPr>
          <w:rFonts w:ascii="Symbol" w:hAnsi="Symbol"/>
          <w:w w:val="111"/>
          <w:position w:val="-2"/>
          <w:sz w:val="22"/>
        </w:rPr>
        <w:t></w:t>
      </w:r>
      <w:r>
        <w:rPr>
          <w:rFonts w:ascii="Times New Roman" w:hAnsi="Times New Roman"/>
          <w:position w:val="-2"/>
          <w:sz w:val="22"/>
        </w:rPr>
        <w:tab/>
      </w:r>
      <w:r>
        <w:rPr>
          <w:rFonts w:ascii="Symbol" w:hAnsi="Symbol"/>
          <w:spacing w:val="25"/>
          <w:w w:val="111"/>
          <w:position w:val="2"/>
          <w:sz w:val="22"/>
        </w:rPr>
        <w:t></w:t>
      </w:r>
      <w:r>
        <w:rPr>
          <w:rFonts w:ascii="Symbol" w:hAnsi="Symbol"/>
          <w:spacing w:val="24"/>
          <w:w w:val="107"/>
          <w:position w:val="-4"/>
          <w:sz w:val="34"/>
        </w:rPr>
        <w:t></w:t>
      </w:r>
      <w:r>
        <w:rPr>
          <w:rFonts w:ascii="Times New Roman" w:hAnsi="Times New Roman"/>
          <w:i/>
          <w:spacing w:val="11"/>
          <w:w w:val="111"/>
          <w:sz w:val="22"/>
        </w:rPr>
        <w:t>t</w:t>
      </w:r>
      <w:r>
        <w:rPr>
          <w:rFonts w:ascii="Times New Roman" w:hAnsi="Times New Roman"/>
          <w:i/>
          <w:w w:val="109"/>
          <w:position w:val="-5"/>
          <w:sz w:val="13"/>
        </w:rPr>
        <w:t>i</w:t>
      </w:r>
      <w:r>
        <w:rPr>
          <w:rFonts w:ascii="Times New Roman" w:hAnsi="Times New Roman"/>
          <w:i/>
          <w:spacing w:val="-16"/>
          <w:position w:val="-5"/>
          <w:sz w:val="13"/>
        </w:rPr>
        <w:t> </w:t>
      </w:r>
      <w:r>
        <w:rPr>
          <w:rFonts w:ascii="Times New Roman" w:hAnsi="Times New Roman"/>
          <w:spacing w:val="-10"/>
          <w:w w:val="111"/>
          <w:sz w:val="22"/>
        </w:rPr>
        <w:t>10</w:t>
      </w:r>
    </w:p>
    <w:p>
      <w:pPr>
        <w:spacing w:line="114" w:lineRule="exact" w:before="0"/>
        <w:ind w:left="239" w:right="0" w:firstLine="0"/>
        <w:jc w:val="left"/>
        <w:rPr>
          <w:rFonts w:ascii="Times New Roman" w:hAnsi="Times New Roman"/>
          <w:sz w:val="22"/>
        </w:rPr>
      </w:pPr>
      <w:r>
        <w:rPr/>
        <w:br w:type="column"/>
      </w:r>
      <w:r>
        <w:rPr>
          <w:rFonts w:ascii="Times New Roman" w:hAnsi="Times New Roman"/>
          <w:i/>
          <w:w w:val="110"/>
          <w:position w:val="7"/>
          <w:sz w:val="9"/>
        </w:rPr>
        <w:t>Ai </w:t>
      </w:r>
      <w:r>
        <w:rPr>
          <w:rFonts w:ascii="Symbol" w:hAnsi="Symbol"/>
          <w:w w:val="110"/>
          <w:sz w:val="22"/>
        </w:rPr>
        <w:t></w:t>
      </w:r>
      <w:r>
        <w:rPr>
          <w:rFonts w:ascii="Times New Roman" w:hAnsi="Times New Roman"/>
          <w:w w:val="110"/>
          <w:sz w:val="22"/>
        </w:rPr>
        <w:t> </w:t>
      </w:r>
      <w:r>
        <w:rPr>
          <w:rFonts w:ascii="Symbol" w:hAnsi="Symbol"/>
          <w:spacing w:val="11"/>
          <w:w w:val="110"/>
          <w:position w:val="-4"/>
          <w:sz w:val="34"/>
        </w:rPr>
        <w:t></w:t>
      </w:r>
      <w:r>
        <w:rPr>
          <w:rFonts w:ascii="Times New Roman" w:hAnsi="Times New Roman"/>
          <w:i/>
          <w:spacing w:val="11"/>
          <w:w w:val="110"/>
          <w:sz w:val="22"/>
        </w:rPr>
        <w:t>t</w:t>
      </w:r>
      <w:r>
        <w:rPr>
          <w:rFonts w:ascii="Times New Roman" w:hAnsi="Times New Roman"/>
          <w:i/>
          <w:spacing w:val="-42"/>
          <w:w w:val="110"/>
          <w:sz w:val="22"/>
        </w:rPr>
        <w:t> </w:t>
      </w:r>
      <w:r>
        <w:rPr>
          <w:rFonts w:ascii="Times New Roman" w:hAnsi="Times New Roman"/>
          <w:i/>
          <w:w w:val="110"/>
          <w:position w:val="-5"/>
          <w:sz w:val="13"/>
        </w:rPr>
        <w:t>j </w:t>
      </w:r>
      <w:r>
        <w:rPr>
          <w:rFonts w:ascii="Times New Roman" w:hAnsi="Times New Roman"/>
          <w:spacing w:val="-9"/>
          <w:w w:val="110"/>
          <w:sz w:val="22"/>
        </w:rPr>
        <w:t>10</w:t>
      </w:r>
    </w:p>
    <w:p>
      <w:pPr>
        <w:spacing w:line="50" w:lineRule="auto" w:before="0"/>
        <w:ind w:left="240" w:right="0" w:firstLine="0"/>
        <w:jc w:val="left"/>
        <w:rPr>
          <w:rFonts w:ascii="Symbol" w:hAnsi="Symbol"/>
          <w:sz w:val="22"/>
        </w:rPr>
      </w:pPr>
      <w:r>
        <w:rPr/>
        <w:br w:type="column"/>
      </w:r>
      <w:r>
        <w:rPr>
          <w:rFonts w:ascii="Times New Roman" w:hAnsi="Times New Roman"/>
          <w:i/>
          <w:w w:val="110"/>
          <w:sz w:val="9"/>
        </w:rPr>
        <w:t>Aj </w:t>
      </w:r>
      <w:r>
        <w:rPr>
          <w:rFonts w:ascii="Symbol" w:hAnsi="Symbol"/>
          <w:w w:val="110"/>
          <w:position w:val="-6"/>
          <w:sz w:val="22"/>
        </w:rPr>
        <w:t></w:t>
      </w:r>
      <w:r>
        <w:rPr>
          <w:rFonts w:ascii="Symbol" w:hAnsi="Symbol"/>
          <w:w w:val="110"/>
          <w:position w:val="-11"/>
          <w:sz w:val="22"/>
        </w:rPr>
        <w:t></w:t>
      </w:r>
    </w:p>
    <w:p>
      <w:pPr>
        <w:spacing w:after="0" w:line="50" w:lineRule="auto"/>
        <w:jc w:val="left"/>
        <w:rPr>
          <w:rFonts w:ascii="Symbol" w:hAnsi="Symbol"/>
          <w:sz w:val="22"/>
        </w:rPr>
        <w:sectPr>
          <w:type w:val="continuous"/>
          <w:pgSz w:w="11910" w:h="16840"/>
          <w:pgMar w:top="1400" w:bottom="1200" w:left="1040" w:right="1160"/>
          <w:cols w:num="4" w:equalWidth="0">
            <w:col w:w="3332" w:space="40"/>
            <w:col w:w="1807" w:space="39"/>
            <w:col w:w="1314" w:space="40"/>
            <w:col w:w="3138"/>
          </w:cols>
        </w:sectPr>
      </w:pPr>
    </w:p>
    <w:p>
      <w:pPr>
        <w:spacing w:line="341" w:lineRule="exact" w:before="0"/>
        <w:ind w:left="0" w:right="710" w:firstLine="0"/>
        <w:jc w:val="right"/>
        <w:rPr>
          <w:rFonts w:ascii="Times New Roman" w:hAnsi="Times New Roman"/>
          <w:sz w:val="13"/>
        </w:rPr>
      </w:pPr>
      <w:r>
        <w:rPr/>
        <w:pict>
          <v:line style="position:absolute;mso-position-horizontal-relative:page;mso-position-vertical-relative:paragraph;z-index:251880448" from="261.080627pt,-1.567403pt" to="269.940849pt,-1.567401pt" stroked="true" strokeweight=".477839pt" strokecolor="#000000">
            <v:stroke dashstyle="solid"/>
            <w10:wrap type="none"/>
          </v:line>
        </w:pict>
      </w:r>
      <w:r>
        <w:rPr>
          <w:rFonts w:ascii="Symbol" w:hAnsi="Symbol"/>
          <w:spacing w:val="-94"/>
          <w:w w:val="111"/>
          <w:sz w:val="22"/>
        </w:rPr>
        <w:t></w:t>
      </w:r>
      <w:r>
        <w:rPr>
          <w:rFonts w:ascii="Symbol" w:hAnsi="Symbol"/>
          <w:spacing w:val="9"/>
          <w:w w:val="111"/>
          <w:position w:val="-3"/>
          <w:sz w:val="22"/>
        </w:rPr>
        <w:t></w:t>
      </w:r>
      <w:r>
        <w:rPr>
          <w:rFonts w:ascii="Times New Roman" w:hAnsi="Times New Roman"/>
          <w:i/>
          <w:w w:val="111"/>
          <w:position w:val="5"/>
          <w:sz w:val="22"/>
        </w:rPr>
        <w:t>T</w:t>
      </w:r>
      <w:r>
        <w:rPr>
          <w:rFonts w:ascii="Times New Roman" w:hAnsi="Times New Roman"/>
          <w:i/>
          <w:spacing w:val="19"/>
          <w:position w:val="5"/>
          <w:sz w:val="22"/>
        </w:rPr>
        <w:t> </w:t>
      </w:r>
      <w:r>
        <w:rPr>
          <w:rFonts w:ascii="Symbol" w:hAnsi="Symbol"/>
          <w:w w:val="111"/>
          <w:position w:val="-1"/>
          <w:sz w:val="22"/>
        </w:rPr>
        <w:t></w:t>
      </w:r>
      <w:r>
        <w:rPr>
          <w:rFonts w:ascii="Times New Roman" w:hAnsi="Times New Roman"/>
          <w:spacing w:val="9"/>
          <w:position w:val="-1"/>
          <w:sz w:val="22"/>
        </w:rPr>
        <w:t> </w:t>
      </w:r>
      <w:r>
        <w:rPr>
          <w:rFonts w:ascii="Times New Roman" w:hAnsi="Times New Roman"/>
          <w:i/>
          <w:spacing w:val="11"/>
          <w:w w:val="109"/>
          <w:position w:val="1"/>
          <w:sz w:val="13"/>
        </w:rPr>
        <w:t>i</w:t>
      </w:r>
      <w:r>
        <w:rPr>
          <w:rFonts w:ascii="Symbol" w:hAnsi="Symbol"/>
          <w:spacing w:val="-8"/>
          <w:w w:val="109"/>
          <w:position w:val="1"/>
          <w:sz w:val="13"/>
        </w:rPr>
        <w:t></w:t>
      </w:r>
      <w:r>
        <w:rPr>
          <w:rFonts w:ascii="Times New Roman" w:hAnsi="Times New Roman"/>
          <w:w w:val="109"/>
          <w:position w:val="1"/>
          <w:sz w:val="13"/>
        </w:rPr>
        <w:t>1</w:t>
      </w:r>
    </w:p>
    <w:p>
      <w:pPr>
        <w:pStyle w:val="BodyText"/>
        <w:spacing w:line="364" w:lineRule="auto" w:before="176"/>
        <w:ind w:left="1437" w:hanging="720"/>
      </w:pPr>
      <w:r>
        <w:rPr>
          <w:position w:val="2"/>
        </w:rPr>
        <w:t>式中：</w:t>
      </w:r>
      <w:r>
        <w:rPr>
          <w:rFonts w:ascii="Times New Roman" w:hAnsi="Times New Roman" w:eastAsia="Times New Roman"/>
          <w:i/>
          <w:position w:val="2"/>
        </w:rPr>
        <w:t>t</w:t>
      </w:r>
      <w:r>
        <w:rPr>
          <w:rFonts w:ascii="Times New Roman" w:hAnsi="Times New Roman" w:eastAsia="Times New Roman"/>
          <w:i/>
          <w:sz w:val="16"/>
        </w:rPr>
        <w:t>j</w:t>
      </w:r>
      <w:r>
        <w:rPr>
          <w:rFonts w:ascii="Times New Roman" w:hAnsi="Times New Roman" w:eastAsia="Times New Roman"/>
          <w:position w:val="2"/>
        </w:rPr>
        <w:t>——</w:t>
      </w:r>
      <w:r>
        <w:rPr>
          <w:spacing w:val="-30"/>
          <w:position w:val="2"/>
        </w:rPr>
        <w:t>在 </w:t>
      </w:r>
      <w:r>
        <w:rPr>
          <w:rFonts w:ascii="Times New Roman" w:hAnsi="Times New Roman" w:eastAsia="Times New Roman"/>
          <w:position w:val="2"/>
        </w:rPr>
        <w:t>T </w:t>
      </w:r>
      <w:r>
        <w:rPr>
          <w:spacing w:val="-17"/>
          <w:position w:val="2"/>
        </w:rPr>
        <w:t>时间内 </w:t>
      </w:r>
      <w:r>
        <w:rPr>
          <w:rFonts w:ascii="Times New Roman" w:hAnsi="Times New Roman" w:eastAsia="Times New Roman"/>
          <w:i/>
          <w:position w:val="2"/>
        </w:rPr>
        <w:t>j </w:t>
      </w:r>
      <w:r>
        <w:rPr>
          <w:spacing w:val="-1"/>
          <w:position w:val="2"/>
        </w:rPr>
        <w:t>声源工作时间，</w:t>
      </w:r>
      <w:r>
        <w:rPr>
          <w:rFonts w:ascii="Times New Roman" w:hAnsi="Times New Roman" w:eastAsia="Times New Roman"/>
          <w:spacing w:val="-5"/>
          <w:position w:val="2"/>
        </w:rPr>
        <w:t>s</w:t>
      </w:r>
      <w:r>
        <w:rPr>
          <w:spacing w:val="-5"/>
          <w:position w:val="2"/>
        </w:rPr>
        <w:t>； </w:t>
      </w:r>
      <w:r>
        <w:rPr>
          <w:rFonts w:ascii="Times New Roman" w:hAnsi="Times New Roman" w:eastAsia="Times New Roman"/>
          <w:i/>
          <w:position w:val="2"/>
        </w:rPr>
        <w:t>t</w:t>
      </w:r>
      <w:r>
        <w:rPr>
          <w:rFonts w:ascii="Times New Roman" w:hAnsi="Times New Roman" w:eastAsia="Times New Roman"/>
          <w:i/>
          <w:sz w:val="16"/>
        </w:rPr>
        <w:t>i</w:t>
      </w:r>
      <w:r>
        <w:rPr>
          <w:rFonts w:ascii="Times New Roman" w:hAnsi="Times New Roman" w:eastAsia="Times New Roman"/>
          <w:position w:val="2"/>
        </w:rPr>
        <w:t>——</w:t>
      </w:r>
      <w:r>
        <w:rPr>
          <w:spacing w:val="-30"/>
          <w:position w:val="2"/>
        </w:rPr>
        <w:t>在 </w:t>
      </w:r>
      <w:r>
        <w:rPr>
          <w:rFonts w:ascii="Times New Roman" w:hAnsi="Times New Roman" w:eastAsia="Times New Roman"/>
          <w:position w:val="2"/>
        </w:rPr>
        <w:t>T </w:t>
      </w:r>
      <w:r>
        <w:rPr>
          <w:spacing w:val="-15"/>
          <w:position w:val="2"/>
        </w:rPr>
        <w:t>时间内 </w:t>
      </w:r>
      <w:r>
        <w:rPr>
          <w:rFonts w:ascii="Times New Roman" w:hAnsi="Times New Roman" w:eastAsia="Times New Roman"/>
          <w:i/>
          <w:position w:val="2"/>
        </w:rPr>
        <w:t>i </w:t>
      </w:r>
      <w:r>
        <w:rPr>
          <w:spacing w:val="-3"/>
          <w:position w:val="2"/>
        </w:rPr>
        <w:t>声源工作时间，</w:t>
      </w:r>
      <w:r>
        <w:rPr>
          <w:rFonts w:ascii="Times New Roman" w:hAnsi="Times New Roman" w:eastAsia="Times New Roman"/>
          <w:spacing w:val="-6"/>
          <w:position w:val="2"/>
        </w:rPr>
        <w:t>s</w:t>
      </w:r>
      <w:r>
        <w:rPr>
          <w:spacing w:val="-6"/>
          <w:position w:val="2"/>
        </w:rPr>
        <w:t>； </w:t>
      </w:r>
      <w:r>
        <w:rPr>
          <w:rFonts w:ascii="Times New Roman" w:hAnsi="Times New Roman" w:eastAsia="Times New Roman"/>
          <w:i/>
        </w:rPr>
        <w:t>T</w:t>
      </w:r>
      <w:r>
        <w:rPr>
          <w:rFonts w:ascii="Times New Roman" w:hAnsi="Times New Roman" w:eastAsia="Times New Roman"/>
        </w:rPr>
        <w:t>——</w:t>
      </w:r>
      <w:r>
        <w:rPr/>
        <w:t>用于计算等效声级的时间，</w:t>
      </w:r>
      <w:r>
        <w:rPr>
          <w:rFonts w:ascii="Times New Roman" w:hAnsi="Times New Roman" w:eastAsia="Times New Roman"/>
        </w:rPr>
        <w:t>s</w:t>
      </w:r>
      <w:r>
        <w:rPr/>
        <w:t>； </w:t>
      </w:r>
      <w:r>
        <w:rPr>
          <w:rFonts w:ascii="Times New Roman" w:hAnsi="Times New Roman" w:eastAsia="Times New Roman"/>
          <w:i/>
        </w:rPr>
        <w:t>N</w:t>
      </w:r>
      <w:r>
        <w:rPr>
          <w:rFonts w:ascii="Times New Roman" w:hAnsi="Times New Roman" w:eastAsia="Times New Roman"/>
        </w:rPr>
        <w:t>——</w:t>
      </w:r>
      <w:r>
        <w:rPr/>
        <w:t>室外声源个数；</w:t>
      </w:r>
    </w:p>
    <w:p>
      <w:pPr>
        <w:pStyle w:val="BodyText"/>
        <w:spacing w:before="3"/>
        <w:ind w:left="1437"/>
      </w:pPr>
      <w:r>
        <w:rPr>
          <w:rFonts w:ascii="Times New Roman" w:hAnsi="Times New Roman" w:eastAsia="Times New Roman"/>
          <w:i/>
        </w:rPr>
        <w:t>M</w:t>
      </w:r>
      <w:r>
        <w:rPr>
          <w:rFonts w:ascii="Times New Roman" w:hAnsi="Times New Roman" w:eastAsia="Times New Roman"/>
        </w:rPr>
        <w:t>——</w:t>
      </w:r>
      <w:r>
        <w:rPr/>
        <w:t>等效室外声源个数。</w:t>
      </w:r>
    </w:p>
    <w:p>
      <w:pPr>
        <w:spacing w:before="111"/>
        <w:ind w:left="390" w:right="0" w:firstLine="0"/>
        <w:jc w:val="left"/>
        <w:rPr>
          <w:rFonts w:ascii="Times New Roman" w:hAnsi="Times New Roman"/>
          <w:sz w:val="13"/>
        </w:rPr>
      </w:pPr>
      <w:r>
        <w:rPr/>
        <w:br w:type="column"/>
      </w:r>
      <w:r>
        <w:rPr>
          <w:rFonts w:ascii="Times New Roman" w:hAnsi="Times New Roman"/>
          <w:i/>
          <w:w w:val="110"/>
          <w:sz w:val="13"/>
        </w:rPr>
        <w:t>j </w:t>
      </w:r>
      <w:r>
        <w:rPr>
          <w:rFonts w:ascii="Symbol" w:hAnsi="Symbol"/>
          <w:w w:val="110"/>
          <w:sz w:val="13"/>
        </w:rPr>
        <w:t></w:t>
      </w:r>
      <w:r>
        <w:rPr>
          <w:rFonts w:ascii="Times New Roman" w:hAnsi="Times New Roman"/>
          <w:w w:val="110"/>
          <w:sz w:val="13"/>
        </w:rPr>
        <w:t>1</w:t>
      </w:r>
    </w:p>
    <w:p>
      <w:pPr>
        <w:spacing w:before="30"/>
        <w:ind w:left="717" w:right="0" w:firstLine="0"/>
        <w:jc w:val="left"/>
        <w:rPr>
          <w:rFonts w:ascii="Symbol" w:hAnsi="Symbol"/>
          <w:sz w:val="22"/>
        </w:rPr>
      </w:pPr>
      <w:r>
        <w:rPr/>
        <w:br w:type="column"/>
      </w:r>
      <w:r>
        <w:rPr>
          <w:rFonts w:ascii="Symbol" w:hAnsi="Symbol"/>
          <w:spacing w:val="5"/>
          <w:w w:val="111"/>
          <w:position w:val="2"/>
          <w:sz w:val="22"/>
        </w:rPr>
        <w:t></w:t>
      </w:r>
      <w:r>
        <w:rPr>
          <w:rFonts w:ascii="Symbol" w:hAnsi="Symbol"/>
          <w:spacing w:val="-94"/>
          <w:w w:val="111"/>
          <w:position w:val="4"/>
          <w:sz w:val="22"/>
        </w:rPr>
        <w:t></w:t>
      </w:r>
      <w:r>
        <w:rPr>
          <w:rFonts w:ascii="Symbol" w:hAnsi="Symbol"/>
          <w:w w:val="111"/>
          <w:sz w:val="22"/>
        </w:rPr>
        <w:t></w:t>
      </w:r>
    </w:p>
    <w:p>
      <w:pPr>
        <w:spacing w:after="0"/>
        <w:jc w:val="left"/>
        <w:rPr>
          <w:rFonts w:ascii="Symbol" w:hAnsi="Symbol"/>
          <w:sz w:val="22"/>
        </w:rPr>
        <w:sectPr>
          <w:type w:val="continuous"/>
          <w:pgSz w:w="11910" w:h="16840"/>
          <w:pgMar w:top="1400" w:bottom="1200" w:left="1040" w:right="1160"/>
          <w:cols w:num="3" w:equalWidth="0">
            <w:col w:w="5456" w:space="40"/>
            <w:col w:w="625" w:space="139"/>
            <w:col w:w="3450"/>
          </w:cols>
        </w:sectPr>
      </w:pPr>
    </w:p>
    <w:p>
      <w:pPr>
        <w:pStyle w:val="BodyText"/>
        <w:spacing w:before="160"/>
        <w:ind w:left="717"/>
      </w:pPr>
      <w:r>
        <w:rPr>
          <w:position w:val="2"/>
        </w:rPr>
        <w:t>建设项目声源在预测点产生的等效声级贡献值（</w:t>
      </w:r>
      <w:r>
        <w:rPr>
          <w:rFonts w:ascii="Times New Roman" w:eastAsia="Times New Roman"/>
          <w:i/>
          <w:position w:val="2"/>
        </w:rPr>
        <w:t>L</w:t>
      </w:r>
      <w:r>
        <w:rPr>
          <w:rFonts w:ascii="Times New Roman" w:eastAsia="Times New Roman"/>
          <w:i/>
          <w:sz w:val="16"/>
        </w:rPr>
        <w:t>eqg</w:t>
      </w:r>
      <w:r>
        <w:rPr>
          <w:position w:val="2"/>
        </w:rPr>
        <w:t>）计算公式为：</w:t>
      </w:r>
    </w:p>
    <w:p>
      <w:pPr>
        <w:pStyle w:val="BodyText"/>
        <w:spacing w:before="10"/>
        <w:ind w:left="0"/>
        <w:rPr>
          <w:sz w:val="9"/>
        </w:rPr>
      </w:pPr>
    </w:p>
    <w:p>
      <w:pPr>
        <w:tabs>
          <w:tab w:pos="438" w:val="left" w:leader="none"/>
        </w:tabs>
        <w:spacing w:line="317" w:lineRule="exact" w:before="92"/>
        <w:ind w:left="0" w:right="10" w:firstLine="0"/>
        <w:jc w:val="center"/>
        <w:rPr>
          <w:rFonts w:ascii="Times New Roman" w:hAnsi="Times New Roman"/>
          <w:sz w:val="24"/>
        </w:rPr>
      </w:pPr>
      <w:r>
        <w:rPr>
          <w:rFonts w:ascii="Times New Roman" w:hAnsi="Times New Roman"/>
          <w:i/>
          <w:w w:val="101"/>
          <w:sz w:val="24"/>
        </w:rPr>
        <w:t>L</w:t>
      </w:r>
      <w:r>
        <w:rPr>
          <w:rFonts w:ascii="Times New Roman" w:hAnsi="Times New Roman"/>
          <w:i/>
          <w:sz w:val="24"/>
        </w:rPr>
        <w:tab/>
      </w:r>
      <w:r>
        <w:rPr>
          <w:rFonts w:ascii="Symbol" w:hAnsi="Symbol"/>
          <w:w w:val="101"/>
          <w:sz w:val="24"/>
        </w:rPr>
        <w:t></w:t>
      </w:r>
      <w:r>
        <w:rPr>
          <w:rFonts w:ascii="Times New Roman" w:hAnsi="Times New Roman"/>
          <w:spacing w:val="-26"/>
          <w:sz w:val="24"/>
        </w:rPr>
        <w:t> </w:t>
      </w:r>
      <w:r>
        <w:rPr>
          <w:rFonts w:ascii="Times New Roman" w:hAnsi="Times New Roman"/>
          <w:spacing w:val="-3"/>
          <w:w w:val="101"/>
          <w:sz w:val="24"/>
        </w:rPr>
        <w:t>1</w:t>
      </w:r>
      <w:r>
        <w:rPr>
          <w:rFonts w:ascii="Times New Roman" w:hAnsi="Times New Roman"/>
          <w:w w:val="101"/>
          <w:sz w:val="24"/>
        </w:rPr>
        <w:t>0</w:t>
      </w:r>
      <w:r>
        <w:rPr>
          <w:rFonts w:ascii="Times New Roman" w:hAnsi="Times New Roman"/>
          <w:spacing w:val="-37"/>
          <w:sz w:val="24"/>
        </w:rPr>
        <w:t> </w:t>
      </w:r>
      <w:r>
        <w:rPr>
          <w:rFonts w:ascii="Times New Roman" w:hAnsi="Times New Roman"/>
          <w:spacing w:val="-24"/>
          <w:w w:val="101"/>
          <w:sz w:val="24"/>
        </w:rPr>
        <w:t>l</w:t>
      </w:r>
      <w:r>
        <w:rPr>
          <w:rFonts w:ascii="Times New Roman" w:hAnsi="Times New Roman"/>
          <w:spacing w:val="-18"/>
          <w:w w:val="101"/>
          <w:sz w:val="24"/>
        </w:rPr>
        <w:t>g</w:t>
      </w:r>
      <w:r>
        <w:rPr>
          <w:rFonts w:ascii="Times New Roman" w:hAnsi="Times New Roman"/>
          <w:w w:val="101"/>
          <w:sz w:val="24"/>
        </w:rPr>
        <w:t>(</w:t>
      </w:r>
      <w:r>
        <w:rPr>
          <w:rFonts w:ascii="Times New Roman" w:hAnsi="Times New Roman"/>
          <w:spacing w:val="9"/>
          <w:sz w:val="24"/>
        </w:rPr>
        <w:t> </w:t>
      </w:r>
      <w:r>
        <w:rPr>
          <w:rFonts w:ascii="Times New Roman" w:hAnsi="Times New Roman"/>
          <w:w w:val="101"/>
          <w:position w:val="16"/>
          <w:sz w:val="24"/>
          <w:u w:val="single"/>
        </w:rPr>
        <w:t>1</w:t>
      </w:r>
      <w:r>
        <w:rPr>
          <w:rFonts w:ascii="Times New Roman" w:hAnsi="Times New Roman"/>
          <w:spacing w:val="3"/>
          <w:position w:val="16"/>
          <w:sz w:val="24"/>
        </w:rPr>
        <w:t> </w:t>
      </w:r>
      <w:r>
        <w:rPr>
          <w:rFonts w:ascii="Symbol" w:hAnsi="Symbol"/>
          <w:spacing w:val="19"/>
          <w:w w:val="99"/>
          <w:position w:val="-5"/>
          <w:sz w:val="37"/>
        </w:rPr>
        <w:t></w:t>
      </w:r>
      <w:r>
        <w:rPr>
          <w:rFonts w:ascii="Times New Roman" w:hAnsi="Times New Roman"/>
          <w:i/>
          <w:w w:val="101"/>
          <w:sz w:val="24"/>
        </w:rPr>
        <w:t>t</w:t>
      </w:r>
      <w:r>
        <w:rPr>
          <w:rFonts w:ascii="Times New Roman" w:hAnsi="Times New Roman"/>
          <w:i/>
          <w:spacing w:val="5"/>
          <w:sz w:val="24"/>
        </w:rPr>
        <w:t> </w:t>
      </w:r>
      <w:r>
        <w:rPr>
          <w:rFonts w:ascii="Times New Roman" w:hAnsi="Times New Roman"/>
          <w:spacing w:val="-3"/>
          <w:w w:val="101"/>
          <w:sz w:val="24"/>
        </w:rPr>
        <w:t>1</w:t>
      </w:r>
      <w:r>
        <w:rPr>
          <w:rFonts w:ascii="Times New Roman" w:hAnsi="Times New Roman"/>
          <w:spacing w:val="12"/>
          <w:w w:val="101"/>
          <w:sz w:val="24"/>
        </w:rPr>
        <w:t>0</w:t>
      </w:r>
      <w:r>
        <w:rPr>
          <w:rFonts w:ascii="Times New Roman" w:hAnsi="Times New Roman"/>
          <w:spacing w:val="-2"/>
          <w:w w:val="101"/>
          <w:position w:val="11"/>
          <w:sz w:val="14"/>
        </w:rPr>
        <w:t>0</w:t>
      </w:r>
      <w:r>
        <w:rPr>
          <w:rFonts w:ascii="Times New Roman" w:hAnsi="Times New Roman"/>
          <w:spacing w:val="-1"/>
          <w:w w:val="101"/>
          <w:position w:val="11"/>
          <w:sz w:val="14"/>
        </w:rPr>
        <w:t>.</w:t>
      </w:r>
      <w:r>
        <w:rPr>
          <w:rFonts w:ascii="Times New Roman" w:hAnsi="Times New Roman"/>
          <w:spacing w:val="1"/>
          <w:w w:val="101"/>
          <w:position w:val="11"/>
          <w:sz w:val="14"/>
        </w:rPr>
        <w:t>1</w:t>
      </w:r>
      <w:r>
        <w:rPr>
          <w:rFonts w:ascii="Times New Roman" w:hAnsi="Times New Roman"/>
          <w:i/>
          <w:spacing w:val="4"/>
          <w:w w:val="101"/>
          <w:position w:val="11"/>
          <w:sz w:val="14"/>
        </w:rPr>
        <w:t>L</w:t>
      </w:r>
      <w:r>
        <w:rPr>
          <w:rFonts w:ascii="Times New Roman" w:hAnsi="Times New Roman"/>
          <w:i/>
          <w:spacing w:val="-3"/>
          <w:w w:val="101"/>
          <w:position w:val="8"/>
          <w:sz w:val="10"/>
        </w:rPr>
        <w:t>A</w:t>
      </w:r>
      <w:r>
        <w:rPr>
          <w:rFonts w:ascii="Times New Roman" w:hAnsi="Times New Roman"/>
          <w:i/>
          <w:w w:val="101"/>
          <w:position w:val="8"/>
          <w:sz w:val="10"/>
        </w:rPr>
        <w:t>i</w:t>
      </w:r>
      <w:r>
        <w:rPr>
          <w:rFonts w:ascii="Times New Roman" w:hAnsi="Times New Roman"/>
          <w:i/>
          <w:position w:val="8"/>
          <w:sz w:val="10"/>
        </w:rPr>
        <w:t> </w:t>
      </w:r>
      <w:r>
        <w:rPr>
          <w:rFonts w:ascii="Times New Roman" w:hAnsi="Times New Roman"/>
          <w:i/>
          <w:spacing w:val="4"/>
          <w:position w:val="8"/>
          <w:sz w:val="10"/>
        </w:rPr>
        <w:t> </w:t>
      </w:r>
      <w:r>
        <w:rPr>
          <w:rFonts w:ascii="Times New Roman" w:hAnsi="Times New Roman"/>
          <w:w w:val="101"/>
          <w:sz w:val="24"/>
        </w:rPr>
        <w:t>)</w:t>
      </w:r>
    </w:p>
    <w:p>
      <w:pPr>
        <w:tabs>
          <w:tab w:pos="1585" w:val="left" w:leader="none"/>
        </w:tabs>
        <w:spacing w:line="159" w:lineRule="exact" w:before="0"/>
        <w:ind w:left="0" w:right="632" w:firstLine="0"/>
        <w:jc w:val="center"/>
        <w:rPr>
          <w:rFonts w:ascii="Times New Roman"/>
          <w:i/>
          <w:sz w:val="14"/>
        </w:rPr>
      </w:pPr>
      <w:r>
        <w:rPr/>
        <w:pict>
          <v:shape style="position:absolute;margin-left:288.871704pt;margin-top:2.001326pt;width:6.8pt;height:13.75pt;mso-position-horizontal-relative:page;mso-position-vertical-relative:paragraph;z-index:-315376640" type="#_x0000_t202" filled="false" stroked="false">
            <v:textbox inset="0,0,0,0">
              <w:txbxContent>
                <w:p>
                  <w:pPr>
                    <w:spacing w:line="273" w:lineRule="exact" w:before="0"/>
                    <w:ind w:left="0" w:right="0" w:firstLine="0"/>
                    <w:jc w:val="left"/>
                    <w:rPr>
                      <w:rFonts w:ascii="Times New Roman"/>
                      <w:i/>
                      <w:sz w:val="24"/>
                    </w:rPr>
                  </w:pPr>
                  <w:r>
                    <w:rPr>
                      <w:rFonts w:ascii="Times New Roman"/>
                      <w:i/>
                      <w:w w:val="101"/>
                      <w:sz w:val="24"/>
                    </w:rPr>
                    <w:t>T</w:t>
                  </w:r>
                </w:p>
              </w:txbxContent>
            </v:textbox>
            <w10:wrap type="none"/>
          </v:shape>
        </w:pict>
      </w:r>
      <w:r>
        <w:rPr>
          <w:rFonts w:ascii="Times New Roman"/>
          <w:i/>
          <w:sz w:val="14"/>
        </w:rPr>
        <w:t>eqg</w:t>
        <w:tab/>
        <w:t>i</w:t>
      </w:r>
    </w:p>
    <w:p>
      <w:pPr>
        <w:spacing w:before="13"/>
        <w:ind w:left="443" w:right="0" w:firstLine="0"/>
        <w:jc w:val="center"/>
        <w:rPr>
          <w:rFonts w:ascii="Times New Roman"/>
          <w:i/>
          <w:sz w:val="14"/>
        </w:rPr>
      </w:pPr>
      <w:r>
        <w:rPr>
          <w:rFonts w:ascii="Times New Roman"/>
          <w:i/>
          <w:w w:val="101"/>
          <w:sz w:val="14"/>
        </w:rPr>
        <w:t>i</w:t>
      </w:r>
    </w:p>
    <w:p>
      <w:pPr>
        <w:pStyle w:val="BodyText"/>
        <w:spacing w:before="6"/>
        <w:ind w:left="0"/>
        <w:rPr>
          <w:rFonts w:ascii="Times New Roman"/>
          <w:i/>
          <w:sz w:val="13"/>
        </w:rPr>
      </w:pPr>
    </w:p>
    <w:p>
      <w:pPr>
        <w:pStyle w:val="BodyText"/>
        <w:spacing w:before="73"/>
        <w:ind w:left="717"/>
      </w:pPr>
      <w:r>
        <w:rPr>
          <w:position w:val="2"/>
        </w:rPr>
        <w:t>式中：</w:t>
      </w:r>
      <w:r>
        <w:rPr>
          <w:rFonts w:ascii="Times New Roman" w:hAnsi="Times New Roman" w:eastAsia="Times New Roman"/>
          <w:i/>
          <w:position w:val="2"/>
        </w:rPr>
        <w:t>L</w:t>
      </w:r>
      <w:r>
        <w:rPr>
          <w:rFonts w:ascii="Times New Roman" w:hAnsi="Times New Roman" w:eastAsia="Times New Roman"/>
          <w:i/>
          <w:sz w:val="16"/>
        </w:rPr>
        <w:t>eqg</w:t>
      </w:r>
      <w:r>
        <w:rPr>
          <w:rFonts w:ascii="Times New Roman" w:hAnsi="Times New Roman" w:eastAsia="Times New Roman"/>
          <w:position w:val="2"/>
        </w:rPr>
        <w:t>——</w:t>
      </w:r>
      <w:r>
        <w:rPr>
          <w:position w:val="2"/>
        </w:rPr>
        <w:t>建设项目声源在预测点的等效声级贡献值，</w:t>
      </w:r>
      <w:r>
        <w:rPr>
          <w:rFonts w:ascii="Times New Roman" w:hAnsi="Times New Roman" w:eastAsia="Times New Roman"/>
          <w:position w:val="2"/>
        </w:rPr>
        <w:t>dB(A)</w:t>
      </w:r>
      <w:r>
        <w:rPr>
          <w:position w:val="2"/>
        </w:rPr>
        <w:t>；</w:t>
      </w:r>
    </w:p>
    <w:p>
      <w:pPr>
        <w:pStyle w:val="BodyText"/>
        <w:spacing w:before="161"/>
        <w:ind w:left="1437"/>
      </w:pPr>
      <w:r>
        <w:rPr>
          <w:rFonts w:ascii="Times New Roman" w:hAnsi="Times New Roman" w:eastAsia="Times New Roman"/>
          <w:i/>
          <w:position w:val="2"/>
        </w:rPr>
        <w:t>L</w:t>
      </w:r>
      <w:r>
        <w:rPr>
          <w:rFonts w:ascii="Times New Roman" w:hAnsi="Times New Roman" w:eastAsia="Times New Roman"/>
          <w:i/>
          <w:sz w:val="16"/>
        </w:rPr>
        <w:t>Ai</w:t>
      </w:r>
      <w:r>
        <w:rPr>
          <w:rFonts w:ascii="Times New Roman" w:hAnsi="Times New Roman" w:eastAsia="Times New Roman"/>
          <w:position w:val="2"/>
        </w:rPr>
        <w:t>——</w:t>
      </w:r>
      <w:r>
        <w:rPr>
          <w:position w:val="2"/>
        </w:rPr>
        <w:t>声源在预测点产生的 </w:t>
      </w:r>
      <w:r>
        <w:rPr>
          <w:rFonts w:ascii="Times New Roman" w:hAnsi="Times New Roman" w:eastAsia="Times New Roman"/>
          <w:position w:val="2"/>
        </w:rPr>
        <w:t>A </w:t>
      </w:r>
      <w:r>
        <w:rPr>
          <w:position w:val="2"/>
        </w:rPr>
        <w:t>声级，</w:t>
      </w:r>
      <w:r>
        <w:rPr>
          <w:rFonts w:ascii="Times New Roman" w:hAnsi="Times New Roman" w:eastAsia="Times New Roman"/>
          <w:position w:val="2"/>
        </w:rPr>
        <w:t>dB(A)</w:t>
      </w:r>
      <w:r>
        <w:rPr>
          <w:position w:val="2"/>
        </w:rPr>
        <w:t>；</w:t>
      </w:r>
    </w:p>
    <w:p>
      <w:pPr>
        <w:pStyle w:val="BodyText"/>
        <w:spacing w:before="161"/>
        <w:ind w:left="1437"/>
      </w:pPr>
      <w:r>
        <w:rPr>
          <w:rFonts w:ascii="Times New Roman" w:hAnsi="Times New Roman" w:eastAsia="Times New Roman"/>
          <w:i/>
        </w:rPr>
        <w:t>T</w:t>
      </w:r>
      <w:r>
        <w:rPr>
          <w:rFonts w:ascii="Times New Roman" w:hAnsi="Times New Roman" w:eastAsia="Times New Roman"/>
        </w:rPr>
        <w:t>——</w:t>
      </w:r>
      <w:r>
        <w:rPr/>
        <w:t>预测计算的时间段，</w:t>
      </w:r>
      <w:r>
        <w:rPr>
          <w:rFonts w:ascii="Times New Roman" w:hAnsi="Times New Roman" w:eastAsia="Times New Roman"/>
        </w:rPr>
        <w:t>s</w:t>
      </w:r>
      <w:r>
        <w:rPr/>
        <w:t>；</w:t>
      </w:r>
    </w:p>
    <w:p>
      <w:pPr>
        <w:spacing w:before="160"/>
        <w:ind w:left="1437" w:right="0" w:firstLine="0"/>
        <w:jc w:val="left"/>
        <w:rPr>
          <w:sz w:val="24"/>
        </w:rPr>
      </w:pPr>
      <w:r>
        <w:rPr>
          <w:rFonts w:ascii="Times New Roman" w:hAnsi="Times New Roman" w:eastAsia="Times New Roman"/>
          <w:i/>
          <w:position w:val="2"/>
          <w:sz w:val="24"/>
        </w:rPr>
        <w:t>t</w:t>
      </w:r>
      <w:r>
        <w:rPr>
          <w:rFonts w:ascii="Times New Roman" w:hAnsi="Times New Roman" w:eastAsia="Times New Roman"/>
          <w:i/>
          <w:sz w:val="16"/>
        </w:rPr>
        <w:t>i</w:t>
      </w:r>
      <w:r>
        <w:rPr>
          <w:rFonts w:ascii="Times New Roman" w:hAnsi="Times New Roman" w:eastAsia="Times New Roman"/>
          <w:position w:val="2"/>
          <w:sz w:val="24"/>
        </w:rPr>
        <w:t>——</w:t>
      </w:r>
      <w:r>
        <w:rPr>
          <w:rFonts w:ascii="Times New Roman" w:hAnsi="Times New Roman" w:eastAsia="Times New Roman"/>
          <w:i/>
          <w:position w:val="2"/>
          <w:sz w:val="24"/>
        </w:rPr>
        <w:t>i </w:t>
      </w:r>
      <w:r>
        <w:rPr>
          <w:position w:val="2"/>
          <w:sz w:val="24"/>
        </w:rPr>
        <w:t>声源在 </w:t>
      </w:r>
      <w:r>
        <w:rPr>
          <w:rFonts w:ascii="Times New Roman" w:hAnsi="Times New Roman" w:eastAsia="Times New Roman"/>
          <w:i/>
          <w:position w:val="2"/>
          <w:sz w:val="24"/>
        </w:rPr>
        <w:t>T </w:t>
      </w:r>
      <w:r>
        <w:rPr>
          <w:position w:val="2"/>
          <w:sz w:val="24"/>
        </w:rPr>
        <w:t>时段内的运行时间，</w:t>
      </w:r>
      <w:r>
        <w:rPr>
          <w:rFonts w:ascii="Times New Roman" w:hAnsi="Times New Roman" w:eastAsia="Times New Roman"/>
          <w:position w:val="2"/>
          <w:sz w:val="24"/>
        </w:rPr>
        <w:t>s</w:t>
      </w:r>
      <w:r>
        <w:rPr>
          <w:position w:val="2"/>
          <w:sz w:val="24"/>
        </w:rPr>
        <w:t>。</w:t>
      </w:r>
    </w:p>
    <w:p>
      <w:pPr>
        <w:pStyle w:val="Heading3"/>
      </w:pPr>
      <w:r>
        <w:rPr>
          <w:rFonts w:ascii="Times New Roman" w:eastAsia="Times New Roman"/>
        </w:rPr>
        <w:t>2</w:t>
      </w:r>
      <w:r>
        <w:rPr/>
        <w:t>、主要噪声源</w:t>
      </w:r>
    </w:p>
    <w:p>
      <w:pPr>
        <w:pStyle w:val="BodyText"/>
        <w:spacing w:line="364" w:lineRule="auto" w:before="161"/>
        <w:ind w:right="259" w:firstLine="480"/>
      </w:pPr>
      <w:r>
        <w:rPr/>
        <w:t>项目噪声污染主要来源于各类风机、水泵、搅拌机等机械类设备的运行，其噪声级在 </w:t>
      </w:r>
      <w:r>
        <w:rPr>
          <w:rFonts w:ascii="Times New Roman" w:eastAsia="Times New Roman"/>
          <w:position w:val="1"/>
        </w:rPr>
        <w:t>70~75dB</w:t>
      </w:r>
      <w:r>
        <w:rPr/>
        <w:t>（</w:t>
      </w:r>
      <w:r>
        <w:rPr>
          <w:rFonts w:ascii="Times New Roman" w:eastAsia="Times New Roman"/>
          <w:position w:val="1"/>
        </w:rPr>
        <w:t>A</w:t>
      </w:r>
      <w:r>
        <w:rPr/>
        <w:t>）之间。主要噪声设施源强见表 </w:t>
      </w:r>
      <w:r>
        <w:rPr>
          <w:rFonts w:ascii="Times New Roman" w:eastAsia="Times New Roman"/>
          <w:position w:val="1"/>
        </w:rPr>
        <w:t>5.2-34</w:t>
      </w:r>
      <w:r>
        <w:rPr/>
        <w:t>。</w:t>
      </w:r>
    </w:p>
    <w:p>
      <w:pPr>
        <w:pStyle w:val="Heading3"/>
        <w:spacing w:before="1"/>
        <w:ind w:left="2757"/>
      </w:pPr>
      <w:r>
        <w:rPr/>
        <w:t>表 </w:t>
      </w:r>
      <w:r>
        <w:rPr>
          <w:rFonts w:ascii="Times New Roman" w:eastAsia="Times New Roman"/>
        </w:rPr>
        <w:t>5.2-34  </w:t>
      </w:r>
      <w:r>
        <w:rPr/>
        <w:t>项目主要噪声源噪声级一览表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01"/>
        <w:gridCol w:w="1393"/>
        <w:gridCol w:w="1848"/>
        <w:gridCol w:w="1164"/>
        <w:gridCol w:w="1164"/>
        <w:gridCol w:w="1361"/>
        <w:gridCol w:w="1800"/>
      </w:tblGrid>
      <w:tr>
        <w:trPr>
          <w:trHeight w:val="359" w:hRule="atLeast"/>
        </w:trPr>
        <w:tc>
          <w:tcPr>
            <w:tcW w:w="701"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38"/>
              <w:jc w:val="left"/>
              <w:rPr>
                <w:rFonts w:ascii="宋体" w:eastAsia="宋体" w:hint="eastAsia"/>
                <w:b/>
                <w:sz w:val="21"/>
              </w:rPr>
            </w:pPr>
            <w:r>
              <w:rPr>
                <w:rFonts w:ascii="宋体" w:eastAsia="宋体" w:hint="eastAsia"/>
                <w:b/>
                <w:sz w:val="21"/>
              </w:rPr>
              <w:t>序号</w:t>
            </w:r>
          </w:p>
        </w:tc>
        <w:tc>
          <w:tcPr>
            <w:tcW w:w="1393"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385"/>
              <w:jc w:val="left"/>
              <w:rPr>
                <w:rFonts w:ascii="宋体" w:eastAsia="宋体" w:hint="eastAsia"/>
                <w:b/>
                <w:sz w:val="21"/>
              </w:rPr>
            </w:pPr>
            <w:r>
              <w:rPr>
                <w:rFonts w:ascii="宋体" w:eastAsia="宋体" w:hint="eastAsia"/>
                <w:b/>
                <w:sz w:val="21"/>
              </w:rPr>
              <w:t>噪声源</w:t>
            </w:r>
          </w:p>
        </w:tc>
        <w:tc>
          <w:tcPr>
            <w:tcW w:w="1848"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507"/>
              <w:jc w:val="left"/>
              <w:rPr>
                <w:rFonts w:ascii="宋体" w:eastAsia="宋体" w:hint="eastAsia"/>
                <w:b/>
                <w:sz w:val="21"/>
              </w:rPr>
            </w:pPr>
            <w:r>
              <w:rPr>
                <w:rFonts w:ascii="宋体" w:eastAsia="宋体" w:hint="eastAsia"/>
                <w:b/>
                <w:sz w:val="21"/>
              </w:rPr>
              <w:t>声源位置</w:t>
            </w:r>
          </w:p>
        </w:tc>
        <w:tc>
          <w:tcPr>
            <w:tcW w:w="1164"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167"/>
              <w:jc w:val="left"/>
              <w:rPr>
                <w:rFonts w:ascii="宋体" w:eastAsia="宋体" w:hint="eastAsia"/>
                <w:b/>
                <w:sz w:val="21"/>
              </w:rPr>
            </w:pPr>
            <w:r>
              <w:rPr>
                <w:rFonts w:ascii="宋体" w:eastAsia="宋体" w:hint="eastAsia"/>
                <w:b/>
                <w:sz w:val="21"/>
              </w:rPr>
              <w:t>时间特性</w:t>
            </w:r>
          </w:p>
        </w:tc>
        <w:tc>
          <w:tcPr>
            <w:tcW w:w="1164" w:type="dxa"/>
            <w:vMerge w:val="restart"/>
            <w:tcBorders>
              <w:left w:val="single" w:sz="6" w:space="0" w:color="000000"/>
              <w:bottom w:val="single" w:sz="6" w:space="0" w:color="000000"/>
              <w:right w:val="single" w:sz="6" w:space="0" w:color="000000"/>
            </w:tcBorders>
          </w:tcPr>
          <w:p>
            <w:pPr>
              <w:pStyle w:val="TableParagraph"/>
              <w:spacing w:before="55"/>
              <w:ind w:left="167"/>
              <w:jc w:val="left"/>
              <w:rPr>
                <w:rFonts w:ascii="宋体" w:eastAsia="宋体" w:hint="eastAsia"/>
                <w:b/>
                <w:sz w:val="21"/>
              </w:rPr>
            </w:pPr>
            <w:r>
              <w:rPr>
                <w:rFonts w:ascii="宋体" w:eastAsia="宋体" w:hint="eastAsia"/>
                <w:b/>
                <w:sz w:val="21"/>
              </w:rPr>
              <w:t>设备数量</w:t>
            </w:r>
          </w:p>
          <w:p>
            <w:pPr>
              <w:pStyle w:val="TableParagraph"/>
              <w:spacing w:before="89"/>
              <w:ind w:left="136"/>
              <w:jc w:val="left"/>
              <w:rPr>
                <w:rFonts w:ascii="宋体" w:eastAsia="宋体" w:hint="eastAsia"/>
                <w:b/>
                <w:sz w:val="21"/>
              </w:rPr>
            </w:pPr>
            <w:r>
              <w:rPr>
                <w:rFonts w:ascii="宋体" w:eastAsia="宋体" w:hint="eastAsia"/>
                <w:b/>
                <w:sz w:val="21"/>
              </w:rPr>
              <w:t>（台</w:t>
            </w:r>
            <w:r>
              <w:rPr>
                <w:b/>
                <w:spacing w:val="-4"/>
                <w:sz w:val="21"/>
              </w:rPr>
              <w:t>/</w:t>
            </w:r>
            <w:r>
              <w:rPr>
                <w:rFonts w:ascii="宋体" w:eastAsia="宋体" w:hint="eastAsia"/>
                <w:b/>
                <w:sz w:val="21"/>
              </w:rPr>
              <w:t>套）</w:t>
            </w:r>
          </w:p>
        </w:tc>
        <w:tc>
          <w:tcPr>
            <w:tcW w:w="3161" w:type="dxa"/>
            <w:gridSpan w:val="2"/>
            <w:tcBorders>
              <w:left w:val="single" w:sz="6" w:space="0" w:color="000000"/>
              <w:bottom w:val="single" w:sz="6" w:space="0" w:color="000000"/>
            </w:tcBorders>
          </w:tcPr>
          <w:p>
            <w:pPr>
              <w:pStyle w:val="TableParagraph"/>
              <w:spacing w:before="46"/>
              <w:ind w:left="955"/>
              <w:jc w:val="left"/>
              <w:rPr>
                <w:rFonts w:ascii="宋体" w:eastAsia="宋体" w:hint="eastAsia"/>
                <w:b/>
                <w:sz w:val="21"/>
              </w:rPr>
            </w:pPr>
            <w:r>
              <w:rPr>
                <w:rFonts w:ascii="宋体" w:eastAsia="宋体" w:hint="eastAsia"/>
                <w:b/>
                <w:sz w:val="21"/>
              </w:rPr>
              <w:t>主要声源情况</w:t>
            </w:r>
          </w:p>
        </w:tc>
      </w:tr>
      <w:tr>
        <w:trPr>
          <w:trHeight w:val="359" w:hRule="atLeast"/>
        </w:trPr>
        <w:tc>
          <w:tcPr>
            <w:tcW w:w="701" w:type="dxa"/>
            <w:vMerge/>
            <w:tcBorders>
              <w:top w:val="nil"/>
              <w:bottom w:val="single" w:sz="6" w:space="0" w:color="000000"/>
              <w:right w:val="single" w:sz="6" w:space="0" w:color="000000"/>
            </w:tcBorders>
          </w:tcPr>
          <w:p>
            <w:pPr>
              <w:rPr>
                <w:sz w:val="2"/>
                <w:szCs w:val="2"/>
              </w:rPr>
            </w:pPr>
          </w:p>
        </w:tc>
        <w:tc>
          <w:tcPr>
            <w:tcW w:w="1393" w:type="dxa"/>
            <w:vMerge/>
            <w:tcBorders>
              <w:top w:val="nil"/>
              <w:left w:val="single" w:sz="6" w:space="0" w:color="000000"/>
              <w:bottom w:val="single" w:sz="6" w:space="0" w:color="000000"/>
              <w:right w:val="single" w:sz="6" w:space="0" w:color="000000"/>
            </w:tcBorders>
          </w:tcPr>
          <w:p>
            <w:pPr>
              <w:rPr>
                <w:sz w:val="2"/>
                <w:szCs w:val="2"/>
              </w:rPr>
            </w:pPr>
          </w:p>
        </w:tc>
        <w:tc>
          <w:tcPr>
            <w:tcW w:w="1848" w:type="dxa"/>
            <w:vMerge/>
            <w:tcBorders>
              <w:top w:val="nil"/>
              <w:left w:val="single" w:sz="6" w:space="0" w:color="000000"/>
              <w:bottom w:val="single" w:sz="6" w:space="0" w:color="000000"/>
              <w:right w:val="single" w:sz="6" w:space="0" w:color="000000"/>
            </w:tcBorders>
          </w:tcPr>
          <w:p>
            <w:pPr>
              <w:rPr>
                <w:sz w:val="2"/>
                <w:szCs w:val="2"/>
              </w:rPr>
            </w:pPr>
          </w:p>
        </w:tc>
        <w:tc>
          <w:tcPr>
            <w:tcW w:w="1164" w:type="dxa"/>
            <w:vMerge/>
            <w:tcBorders>
              <w:top w:val="nil"/>
              <w:left w:val="single" w:sz="6" w:space="0" w:color="000000"/>
              <w:bottom w:val="single" w:sz="6" w:space="0" w:color="000000"/>
              <w:right w:val="single" w:sz="6" w:space="0" w:color="000000"/>
            </w:tcBorders>
          </w:tcPr>
          <w:p>
            <w:pPr>
              <w:rPr>
                <w:sz w:val="2"/>
                <w:szCs w:val="2"/>
              </w:rPr>
            </w:pPr>
          </w:p>
        </w:tc>
        <w:tc>
          <w:tcPr>
            <w:tcW w:w="1164" w:type="dxa"/>
            <w:vMerge/>
            <w:tcBorders>
              <w:top w:val="nil"/>
              <w:left w:val="single" w:sz="6" w:space="0" w:color="000000"/>
              <w:bottom w:val="single" w:sz="6" w:space="0" w:color="000000"/>
              <w:right w:val="single" w:sz="6" w:space="0" w:color="000000"/>
            </w:tcBorders>
          </w:tcPr>
          <w:p>
            <w:pPr>
              <w:rPr>
                <w:sz w:val="2"/>
                <w:szCs w:val="2"/>
              </w:rPr>
            </w:pPr>
          </w:p>
        </w:tc>
        <w:tc>
          <w:tcPr>
            <w:tcW w:w="1361" w:type="dxa"/>
            <w:tcBorders>
              <w:top w:val="single" w:sz="6" w:space="0" w:color="000000"/>
              <w:left w:val="single" w:sz="6" w:space="0" w:color="000000"/>
              <w:bottom w:val="single" w:sz="6" w:space="0" w:color="000000"/>
              <w:right w:val="single" w:sz="6" w:space="0" w:color="000000"/>
            </w:tcBorders>
          </w:tcPr>
          <w:p>
            <w:pPr>
              <w:pStyle w:val="TableParagraph"/>
              <w:spacing w:before="46"/>
              <w:ind w:left="129" w:right="101"/>
              <w:rPr>
                <w:b/>
                <w:sz w:val="21"/>
              </w:rPr>
            </w:pPr>
            <w:r>
              <w:rPr>
                <w:rFonts w:ascii="宋体" w:eastAsia="宋体" w:hint="eastAsia"/>
                <w:b/>
                <w:sz w:val="21"/>
              </w:rPr>
              <w:t>声级 </w:t>
            </w:r>
            <w:r>
              <w:rPr>
                <w:b/>
                <w:sz w:val="21"/>
              </w:rPr>
              <w:t>dB(A)</w:t>
            </w:r>
          </w:p>
        </w:tc>
        <w:tc>
          <w:tcPr>
            <w:tcW w:w="1800" w:type="dxa"/>
            <w:tcBorders>
              <w:top w:val="single" w:sz="6" w:space="0" w:color="000000"/>
              <w:left w:val="single" w:sz="6" w:space="0" w:color="000000"/>
              <w:bottom w:val="single" w:sz="6" w:space="0" w:color="000000"/>
            </w:tcBorders>
          </w:tcPr>
          <w:p>
            <w:pPr>
              <w:pStyle w:val="TableParagraph"/>
              <w:spacing w:before="46"/>
              <w:ind w:left="462" w:right="431"/>
              <w:rPr>
                <w:rFonts w:ascii="宋体" w:eastAsia="宋体" w:hint="eastAsia"/>
                <w:b/>
                <w:sz w:val="21"/>
              </w:rPr>
            </w:pPr>
            <w:r>
              <w:rPr>
                <w:rFonts w:ascii="宋体" w:eastAsia="宋体" w:hint="eastAsia"/>
                <w:b/>
                <w:sz w:val="21"/>
              </w:rPr>
              <w:t>测点位置</w:t>
            </w:r>
          </w:p>
        </w:tc>
      </w:tr>
      <w:tr>
        <w:trPr>
          <w:trHeight w:val="356" w:hRule="atLeast"/>
        </w:trPr>
        <w:tc>
          <w:tcPr>
            <w:tcW w:w="701"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1</w:t>
            </w:r>
          </w:p>
        </w:tc>
        <w:tc>
          <w:tcPr>
            <w:tcW w:w="1393" w:type="dxa"/>
            <w:tcBorders>
              <w:top w:val="single" w:sz="6" w:space="0" w:color="000000"/>
              <w:left w:val="single" w:sz="6" w:space="0" w:color="000000"/>
              <w:bottom w:val="single" w:sz="6" w:space="0" w:color="000000"/>
              <w:right w:val="single" w:sz="6" w:space="0" w:color="000000"/>
            </w:tcBorders>
          </w:tcPr>
          <w:p>
            <w:pPr>
              <w:pStyle w:val="TableParagraph"/>
              <w:spacing w:before="46"/>
              <w:ind w:left="367" w:right="340"/>
              <w:rPr>
                <w:rFonts w:ascii="宋体" w:eastAsia="宋体" w:hint="eastAsia"/>
                <w:sz w:val="21"/>
              </w:rPr>
            </w:pPr>
            <w:r>
              <w:rPr>
                <w:rFonts w:ascii="宋体" w:eastAsia="宋体" w:hint="eastAsia"/>
                <w:sz w:val="21"/>
              </w:rPr>
              <w:t>风机</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46"/>
              <w:ind w:left="69" w:right="42"/>
              <w:rPr>
                <w:rFonts w:ascii="宋体" w:eastAsia="宋体" w:hint="eastAsia"/>
                <w:sz w:val="21"/>
              </w:rPr>
            </w:pPr>
            <w:r>
              <w:rPr>
                <w:rFonts w:ascii="宋体" w:eastAsia="宋体" w:hint="eastAsia"/>
                <w:sz w:val="21"/>
              </w:rPr>
              <w:t>猪舍</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right="345"/>
              <w:jc w:val="right"/>
              <w:rPr>
                <w:rFonts w:ascii="宋体" w:eastAsia="宋体" w:hint="eastAsia"/>
                <w:sz w:val="21"/>
              </w:rPr>
            </w:pPr>
            <w:r>
              <w:rPr>
                <w:rFonts w:ascii="宋体" w:eastAsia="宋体" w:hint="eastAsia"/>
                <w:sz w:val="21"/>
              </w:rPr>
              <w:t>连续</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left="359" w:right="329"/>
              <w:rPr>
                <w:rFonts w:ascii="宋体" w:eastAsia="宋体" w:hint="eastAsia"/>
                <w:sz w:val="21"/>
              </w:rPr>
            </w:pPr>
            <w:r>
              <w:rPr>
                <w:rFonts w:ascii="宋体" w:eastAsia="宋体" w:hint="eastAsia"/>
                <w:sz w:val="21"/>
              </w:rPr>
              <w:t>若干</w:t>
            </w:r>
          </w:p>
        </w:tc>
        <w:tc>
          <w:tcPr>
            <w:tcW w:w="1361" w:type="dxa"/>
            <w:tcBorders>
              <w:top w:val="single" w:sz="6" w:space="0" w:color="000000"/>
              <w:left w:val="single" w:sz="6" w:space="0" w:color="000000"/>
              <w:bottom w:val="single" w:sz="6" w:space="0" w:color="000000"/>
              <w:right w:val="single" w:sz="6" w:space="0" w:color="000000"/>
            </w:tcBorders>
          </w:tcPr>
          <w:p>
            <w:pPr>
              <w:pStyle w:val="TableParagraph"/>
              <w:ind w:left="127" w:right="101"/>
              <w:rPr>
                <w:sz w:val="21"/>
              </w:rPr>
            </w:pPr>
            <w:r>
              <w:rPr>
                <w:sz w:val="21"/>
              </w:rPr>
              <w:t>70</w:t>
            </w:r>
          </w:p>
        </w:tc>
        <w:tc>
          <w:tcPr>
            <w:tcW w:w="1800" w:type="dxa"/>
            <w:vMerge w:val="restart"/>
            <w:tcBorders>
              <w:top w:val="single" w:sz="6" w:space="0" w:color="000000"/>
              <w:left w:val="single" w:sz="6" w:space="0" w:color="000000"/>
              <w:bottom w:val="single" w:sz="6" w:space="0" w:color="000000"/>
            </w:tcBorders>
          </w:tcPr>
          <w:p>
            <w:pPr>
              <w:pStyle w:val="TableParagraph"/>
              <w:spacing w:before="10"/>
              <w:jc w:val="left"/>
              <w:rPr>
                <w:rFonts w:ascii="宋体"/>
                <w:b/>
                <w:sz w:val="32"/>
              </w:rPr>
            </w:pPr>
          </w:p>
          <w:p>
            <w:pPr>
              <w:pStyle w:val="TableParagraph"/>
              <w:spacing w:before="1"/>
              <w:ind w:left="191"/>
              <w:jc w:val="left"/>
              <w:rPr>
                <w:rFonts w:ascii="宋体" w:eastAsia="宋体" w:hint="eastAsia"/>
                <w:sz w:val="21"/>
              </w:rPr>
            </w:pPr>
            <w:r>
              <w:rPr>
                <w:rFonts w:ascii="宋体" w:eastAsia="宋体" w:hint="eastAsia"/>
                <w:sz w:val="21"/>
              </w:rPr>
              <w:t>距离设备 </w:t>
            </w:r>
            <w:r>
              <w:rPr>
                <w:position w:val="1"/>
                <w:sz w:val="21"/>
              </w:rPr>
              <w:t>1m </w:t>
            </w:r>
            <w:r>
              <w:rPr>
                <w:rFonts w:ascii="宋体" w:eastAsia="宋体" w:hint="eastAsia"/>
                <w:sz w:val="21"/>
              </w:rPr>
              <w:t>处</w:t>
            </w:r>
          </w:p>
        </w:tc>
      </w:tr>
      <w:tr>
        <w:trPr>
          <w:trHeight w:val="359" w:hRule="atLeast"/>
        </w:trPr>
        <w:tc>
          <w:tcPr>
            <w:tcW w:w="701" w:type="dxa"/>
            <w:tcBorders>
              <w:top w:val="single" w:sz="6" w:space="0" w:color="000000"/>
              <w:bottom w:val="single" w:sz="6" w:space="0" w:color="000000"/>
              <w:right w:val="single" w:sz="6" w:space="0" w:color="000000"/>
            </w:tcBorders>
          </w:tcPr>
          <w:p>
            <w:pPr>
              <w:pStyle w:val="TableParagraph"/>
              <w:spacing w:before="60"/>
              <w:ind w:left="21"/>
              <w:rPr>
                <w:sz w:val="21"/>
              </w:rPr>
            </w:pPr>
            <w:r>
              <w:rPr>
                <w:w w:val="100"/>
                <w:sz w:val="21"/>
              </w:rPr>
              <w:t>2</w:t>
            </w:r>
          </w:p>
        </w:tc>
        <w:tc>
          <w:tcPr>
            <w:tcW w:w="1393" w:type="dxa"/>
            <w:tcBorders>
              <w:top w:val="single" w:sz="6" w:space="0" w:color="000000"/>
              <w:left w:val="single" w:sz="6" w:space="0" w:color="000000"/>
              <w:bottom w:val="single" w:sz="6" w:space="0" w:color="000000"/>
              <w:right w:val="single" w:sz="6" w:space="0" w:color="000000"/>
            </w:tcBorders>
          </w:tcPr>
          <w:p>
            <w:pPr>
              <w:pStyle w:val="TableParagraph"/>
              <w:spacing w:before="49"/>
              <w:ind w:left="367" w:right="340"/>
              <w:rPr>
                <w:rFonts w:ascii="宋体" w:eastAsia="宋体" w:hint="eastAsia"/>
                <w:sz w:val="21"/>
              </w:rPr>
            </w:pPr>
            <w:r>
              <w:rPr>
                <w:rFonts w:ascii="宋体" w:eastAsia="宋体" w:hint="eastAsia"/>
                <w:sz w:val="21"/>
              </w:rPr>
              <w:t>水泵</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49"/>
              <w:ind w:left="71" w:right="42"/>
              <w:rPr>
                <w:rFonts w:ascii="宋体" w:eastAsia="宋体" w:hint="eastAsia"/>
                <w:sz w:val="21"/>
              </w:rPr>
            </w:pPr>
            <w:r>
              <w:rPr>
                <w:rFonts w:ascii="宋体" w:eastAsia="宋体" w:hint="eastAsia"/>
                <w:sz w:val="21"/>
              </w:rPr>
              <w:t>猪舍、污水处理站</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9"/>
              <w:ind w:right="345"/>
              <w:jc w:val="right"/>
              <w:rPr>
                <w:rFonts w:ascii="宋体" w:eastAsia="宋体" w:hint="eastAsia"/>
                <w:sz w:val="21"/>
              </w:rPr>
            </w:pPr>
            <w:r>
              <w:rPr>
                <w:rFonts w:ascii="宋体" w:eastAsia="宋体" w:hint="eastAsia"/>
                <w:sz w:val="21"/>
              </w:rPr>
              <w:t>连续</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9"/>
              <w:ind w:left="359" w:right="329"/>
              <w:rPr>
                <w:rFonts w:ascii="宋体" w:eastAsia="宋体" w:hint="eastAsia"/>
                <w:sz w:val="21"/>
              </w:rPr>
            </w:pPr>
            <w:r>
              <w:rPr>
                <w:rFonts w:ascii="宋体" w:eastAsia="宋体" w:hint="eastAsia"/>
                <w:sz w:val="21"/>
              </w:rPr>
              <w:t>若干</w:t>
            </w:r>
          </w:p>
        </w:tc>
        <w:tc>
          <w:tcPr>
            <w:tcW w:w="1361"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101"/>
              <w:rPr>
                <w:sz w:val="21"/>
              </w:rPr>
            </w:pPr>
            <w:r>
              <w:rPr>
                <w:sz w:val="21"/>
              </w:rPr>
              <w:t>70</w:t>
            </w:r>
          </w:p>
        </w:tc>
        <w:tc>
          <w:tcPr>
            <w:tcW w:w="1800" w:type="dxa"/>
            <w:vMerge/>
            <w:tcBorders>
              <w:top w:val="nil"/>
              <w:left w:val="single" w:sz="6" w:space="0" w:color="000000"/>
              <w:bottom w:val="single" w:sz="6" w:space="0" w:color="000000"/>
            </w:tcBorders>
          </w:tcPr>
          <w:p>
            <w:pPr>
              <w:rPr>
                <w:sz w:val="2"/>
                <w:szCs w:val="2"/>
              </w:rPr>
            </w:pPr>
          </w:p>
        </w:tc>
      </w:tr>
      <w:tr>
        <w:trPr>
          <w:trHeight w:val="359" w:hRule="atLeast"/>
        </w:trPr>
        <w:tc>
          <w:tcPr>
            <w:tcW w:w="701"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3</w:t>
            </w:r>
          </w:p>
        </w:tc>
        <w:tc>
          <w:tcPr>
            <w:tcW w:w="1393" w:type="dxa"/>
            <w:tcBorders>
              <w:top w:val="single" w:sz="6" w:space="0" w:color="000000"/>
              <w:left w:val="single" w:sz="6" w:space="0" w:color="000000"/>
              <w:bottom w:val="single" w:sz="6" w:space="0" w:color="000000"/>
              <w:right w:val="single" w:sz="6" w:space="0" w:color="000000"/>
            </w:tcBorders>
          </w:tcPr>
          <w:p>
            <w:pPr>
              <w:pStyle w:val="TableParagraph"/>
              <w:spacing w:before="46"/>
              <w:ind w:left="367" w:right="340"/>
              <w:rPr>
                <w:rFonts w:ascii="宋体" w:eastAsia="宋体" w:hint="eastAsia"/>
                <w:sz w:val="21"/>
              </w:rPr>
            </w:pPr>
            <w:r>
              <w:rPr>
                <w:rFonts w:ascii="宋体" w:eastAsia="宋体" w:hint="eastAsia"/>
                <w:sz w:val="21"/>
              </w:rPr>
              <w:t>搅拌机</w:t>
            </w:r>
          </w:p>
        </w:tc>
        <w:tc>
          <w:tcPr>
            <w:tcW w:w="1848" w:type="dxa"/>
            <w:tcBorders>
              <w:top w:val="single" w:sz="6" w:space="0" w:color="000000"/>
              <w:left w:val="single" w:sz="6" w:space="0" w:color="000000"/>
              <w:bottom w:val="single" w:sz="6" w:space="0" w:color="000000"/>
              <w:right w:val="single" w:sz="6" w:space="0" w:color="000000"/>
            </w:tcBorders>
          </w:tcPr>
          <w:p>
            <w:pPr>
              <w:pStyle w:val="TableParagraph"/>
              <w:spacing w:before="46"/>
              <w:ind w:left="71" w:right="42"/>
              <w:rPr>
                <w:rFonts w:ascii="宋体" w:eastAsia="宋体" w:hint="eastAsia"/>
                <w:sz w:val="21"/>
              </w:rPr>
            </w:pPr>
            <w:r>
              <w:rPr>
                <w:rFonts w:ascii="宋体" w:eastAsia="宋体" w:hint="eastAsia"/>
                <w:sz w:val="21"/>
              </w:rPr>
              <w:t>污水处理站</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right="345"/>
              <w:jc w:val="right"/>
              <w:rPr>
                <w:rFonts w:ascii="宋体" w:eastAsia="宋体" w:hint="eastAsia"/>
                <w:sz w:val="21"/>
              </w:rPr>
            </w:pPr>
            <w:r>
              <w:rPr>
                <w:rFonts w:ascii="宋体" w:eastAsia="宋体" w:hint="eastAsia"/>
                <w:sz w:val="21"/>
              </w:rPr>
              <w:t>连续</w:t>
            </w:r>
          </w:p>
        </w:tc>
        <w:tc>
          <w:tcPr>
            <w:tcW w:w="1164" w:type="dxa"/>
            <w:tcBorders>
              <w:top w:val="single" w:sz="6" w:space="0" w:color="000000"/>
              <w:left w:val="single" w:sz="6" w:space="0" w:color="000000"/>
              <w:bottom w:val="single" w:sz="6" w:space="0" w:color="000000"/>
              <w:right w:val="single" w:sz="6" w:space="0" w:color="000000"/>
            </w:tcBorders>
          </w:tcPr>
          <w:p>
            <w:pPr>
              <w:pStyle w:val="TableParagraph"/>
              <w:spacing w:before="46"/>
              <w:ind w:left="359" w:right="329"/>
              <w:rPr>
                <w:rFonts w:ascii="宋体" w:eastAsia="宋体" w:hint="eastAsia"/>
                <w:sz w:val="21"/>
              </w:rPr>
            </w:pPr>
            <w:r>
              <w:rPr>
                <w:rFonts w:ascii="宋体" w:eastAsia="宋体" w:hint="eastAsia"/>
                <w:sz w:val="21"/>
              </w:rPr>
              <w:t>若干</w:t>
            </w:r>
          </w:p>
        </w:tc>
        <w:tc>
          <w:tcPr>
            <w:tcW w:w="1361" w:type="dxa"/>
            <w:tcBorders>
              <w:top w:val="single" w:sz="6" w:space="0" w:color="000000"/>
              <w:left w:val="single" w:sz="6" w:space="0" w:color="000000"/>
              <w:bottom w:val="single" w:sz="6" w:space="0" w:color="000000"/>
              <w:right w:val="single" w:sz="6" w:space="0" w:color="000000"/>
            </w:tcBorders>
          </w:tcPr>
          <w:p>
            <w:pPr>
              <w:pStyle w:val="TableParagraph"/>
              <w:ind w:left="127" w:right="101"/>
              <w:rPr>
                <w:sz w:val="21"/>
              </w:rPr>
            </w:pPr>
            <w:r>
              <w:rPr>
                <w:sz w:val="21"/>
              </w:rPr>
              <w:t>75</w:t>
            </w:r>
          </w:p>
        </w:tc>
        <w:tc>
          <w:tcPr>
            <w:tcW w:w="1800" w:type="dxa"/>
            <w:vMerge/>
            <w:tcBorders>
              <w:top w:val="nil"/>
              <w:left w:val="single" w:sz="6" w:space="0" w:color="000000"/>
              <w:bottom w:val="single" w:sz="6" w:space="0" w:color="000000"/>
            </w:tcBorders>
          </w:tcPr>
          <w:p>
            <w:pPr>
              <w:rPr>
                <w:sz w:val="2"/>
                <w:szCs w:val="2"/>
              </w:rPr>
            </w:pPr>
          </w:p>
        </w:tc>
      </w:tr>
      <w:tr>
        <w:trPr>
          <w:trHeight w:val="357" w:hRule="atLeast"/>
        </w:trPr>
        <w:tc>
          <w:tcPr>
            <w:tcW w:w="701" w:type="dxa"/>
            <w:tcBorders>
              <w:top w:val="single" w:sz="6" w:space="0" w:color="000000"/>
              <w:right w:val="single" w:sz="6" w:space="0" w:color="000000"/>
            </w:tcBorders>
          </w:tcPr>
          <w:p>
            <w:pPr>
              <w:pStyle w:val="TableParagraph"/>
              <w:ind w:left="21"/>
              <w:rPr>
                <w:sz w:val="21"/>
              </w:rPr>
            </w:pPr>
            <w:r>
              <w:rPr>
                <w:w w:val="100"/>
                <w:sz w:val="21"/>
              </w:rPr>
              <w:t>4</w:t>
            </w:r>
          </w:p>
        </w:tc>
        <w:tc>
          <w:tcPr>
            <w:tcW w:w="1393" w:type="dxa"/>
            <w:tcBorders>
              <w:top w:val="single" w:sz="6" w:space="0" w:color="000000"/>
              <w:left w:val="single" w:sz="6" w:space="0" w:color="000000"/>
              <w:right w:val="single" w:sz="6" w:space="0" w:color="000000"/>
            </w:tcBorders>
          </w:tcPr>
          <w:p>
            <w:pPr>
              <w:pStyle w:val="TableParagraph"/>
              <w:spacing w:before="46"/>
              <w:ind w:left="367" w:right="340"/>
              <w:rPr>
                <w:rFonts w:ascii="宋体" w:eastAsia="宋体" w:hint="eastAsia"/>
                <w:sz w:val="21"/>
              </w:rPr>
            </w:pPr>
            <w:r>
              <w:rPr>
                <w:rFonts w:ascii="宋体" w:eastAsia="宋体" w:hint="eastAsia"/>
                <w:sz w:val="21"/>
              </w:rPr>
              <w:t>猪叫</w:t>
            </w:r>
          </w:p>
        </w:tc>
        <w:tc>
          <w:tcPr>
            <w:tcW w:w="1848" w:type="dxa"/>
            <w:tcBorders>
              <w:top w:val="single" w:sz="6" w:space="0" w:color="000000"/>
              <w:left w:val="single" w:sz="6" w:space="0" w:color="000000"/>
              <w:right w:val="single" w:sz="6" w:space="0" w:color="000000"/>
            </w:tcBorders>
          </w:tcPr>
          <w:p>
            <w:pPr>
              <w:pStyle w:val="TableParagraph"/>
              <w:spacing w:before="46"/>
              <w:ind w:left="69" w:right="42"/>
              <w:rPr>
                <w:rFonts w:ascii="宋体" w:eastAsia="宋体" w:hint="eastAsia"/>
                <w:sz w:val="21"/>
              </w:rPr>
            </w:pPr>
            <w:r>
              <w:rPr>
                <w:rFonts w:ascii="宋体" w:eastAsia="宋体" w:hint="eastAsia"/>
                <w:sz w:val="21"/>
              </w:rPr>
              <w:t>猪舍</w:t>
            </w:r>
          </w:p>
        </w:tc>
        <w:tc>
          <w:tcPr>
            <w:tcW w:w="1164" w:type="dxa"/>
            <w:tcBorders>
              <w:top w:val="single" w:sz="6" w:space="0" w:color="000000"/>
              <w:left w:val="single" w:sz="6" w:space="0" w:color="000000"/>
              <w:right w:val="single" w:sz="6" w:space="0" w:color="000000"/>
            </w:tcBorders>
          </w:tcPr>
          <w:p>
            <w:pPr>
              <w:pStyle w:val="TableParagraph"/>
              <w:spacing w:before="46"/>
              <w:ind w:right="345"/>
              <w:jc w:val="right"/>
              <w:rPr>
                <w:rFonts w:ascii="宋体" w:eastAsia="宋体" w:hint="eastAsia"/>
                <w:sz w:val="21"/>
              </w:rPr>
            </w:pPr>
            <w:r>
              <w:rPr>
                <w:rFonts w:ascii="宋体" w:eastAsia="宋体" w:hint="eastAsia"/>
                <w:sz w:val="21"/>
              </w:rPr>
              <w:t>间断</w:t>
            </w:r>
          </w:p>
        </w:tc>
        <w:tc>
          <w:tcPr>
            <w:tcW w:w="1164" w:type="dxa"/>
            <w:tcBorders>
              <w:top w:val="single" w:sz="6" w:space="0" w:color="000000"/>
              <w:left w:val="single" w:sz="6" w:space="0" w:color="000000"/>
              <w:right w:val="single" w:sz="6" w:space="0" w:color="000000"/>
            </w:tcBorders>
          </w:tcPr>
          <w:p>
            <w:pPr>
              <w:pStyle w:val="TableParagraph"/>
              <w:ind w:left="26"/>
              <w:rPr>
                <w:sz w:val="21"/>
              </w:rPr>
            </w:pPr>
            <w:r>
              <w:rPr>
                <w:w w:val="100"/>
                <w:sz w:val="21"/>
              </w:rPr>
              <w:t>/</w:t>
            </w:r>
          </w:p>
        </w:tc>
        <w:tc>
          <w:tcPr>
            <w:tcW w:w="1361" w:type="dxa"/>
            <w:tcBorders>
              <w:top w:val="single" w:sz="6" w:space="0" w:color="000000"/>
              <w:left w:val="single" w:sz="6" w:space="0" w:color="000000"/>
              <w:right w:val="single" w:sz="6" w:space="0" w:color="000000"/>
            </w:tcBorders>
          </w:tcPr>
          <w:p>
            <w:pPr>
              <w:pStyle w:val="TableParagraph"/>
              <w:ind w:left="127" w:right="101"/>
              <w:rPr>
                <w:sz w:val="21"/>
              </w:rPr>
            </w:pPr>
            <w:r>
              <w:rPr>
                <w:sz w:val="21"/>
              </w:rPr>
              <w:t>70</w:t>
            </w:r>
          </w:p>
        </w:tc>
        <w:tc>
          <w:tcPr>
            <w:tcW w:w="1800" w:type="dxa"/>
            <w:tcBorders>
              <w:top w:val="single" w:sz="6" w:space="0" w:color="000000"/>
              <w:left w:val="single" w:sz="6" w:space="0" w:color="000000"/>
            </w:tcBorders>
          </w:tcPr>
          <w:p>
            <w:pPr>
              <w:pStyle w:val="TableParagraph"/>
              <w:ind w:left="32"/>
              <w:rPr>
                <w:sz w:val="21"/>
              </w:rPr>
            </w:pPr>
            <w:r>
              <w:rPr>
                <w:w w:val="100"/>
                <w:sz w:val="21"/>
              </w:rPr>
              <w:t>/</w:t>
            </w:r>
          </w:p>
        </w:tc>
      </w:tr>
    </w:tbl>
    <w:p>
      <w:pPr>
        <w:spacing w:before="84"/>
        <w:ind w:left="719" w:right="0" w:firstLine="0"/>
        <w:jc w:val="left"/>
        <w:rPr>
          <w:b/>
          <w:sz w:val="24"/>
        </w:rPr>
      </w:pPr>
      <w:r>
        <w:rPr>
          <w:rFonts w:ascii="Times New Roman" w:eastAsia="Times New Roman"/>
          <w:b/>
          <w:sz w:val="24"/>
        </w:rPr>
        <w:t>3</w:t>
      </w:r>
      <w:r>
        <w:rPr>
          <w:b/>
          <w:sz w:val="24"/>
        </w:rPr>
        <w:t>、噪声防治措施</w:t>
      </w:r>
    </w:p>
    <w:p>
      <w:pPr>
        <w:pStyle w:val="BodyText"/>
        <w:spacing w:before="161"/>
        <w:ind w:left="717"/>
      </w:pPr>
      <w:r>
        <w:rPr/>
        <w:t>为确保厂界噪声达标以及将项目噪声对周围环境的影响降到最低，应采取以下措施：</w:t>
      </w:r>
    </w:p>
    <w:p>
      <w:pPr>
        <w:pStyle w:val="ListParagraph"/>
        <w:numPr>
          <w:ilvl w:val="2"/>
          <w:numId w:val="80"/>
        </w:numPr>
        <w:tabs>
          <w:tab w:pos="1319" w:val="left" w:leader="none"/>
        </w:tabs>
        <w:spacing w:line="240" w:lineRule="auto" w:before="160" w:after="0"/>
        <w:ind w:left="1318" w:right="0" w:hanging="602"/>
        <w:jc w:val="left"/>
        <w:rPr>
          <w:sz w:val="24"/>
        </w:rPr>
      </w:pPr>
      <w:r>
        <w:rPr>
          <w:sz w:val="24"/>
        </w:rPr>
        <w:t>在设备采购阶段，要注意选用先进的低噪声设备，以降低噪声源强；</w:t>
      </w:r>
    </w:p>
    <w:p>
      <w:pPr>
        <w:pStyle w:val="ListParagraph"/>
        <w:numPr>
          <w:ilvl w:val="2"/>
          <w:numId w:val="80"/>
        </w:numPr>
        <w:tabs>
          <w:tab w:pos="1319" w:val="left" w:leader="none"/>
        </w:tabs>
        <w:spacing w:line="240" w:lineRule="auto" w:before="161" w:after="0"/>
        <w:ind w:left="1318" w:right="0" w:hanging="602"/>
        <w:jc w:val="left"/>
        <w:rPr>
          <w:sz w:val="24"/>
        </w:rPr>
      </w:pPr>
      <w:r>
        <w:rPr>
          <w:sz w:val="24"/>
        </w:rPr>
        <w:t>对风机、水泵等高噪声设备采取减震、隔震措施，对电动机加装隔声罩；</w:t>
      </w:r>
    </w:p>
    <w:p>
      <w:pPr>
        <w:pStyle w:val="ListParagraph"/>
        <w:numPr>
          <w:ilvl w:val="2"/>
          <w:numId w:val="80"/>
        </w:numPr>
        <w:tabs>
          <w:tab w:pos="1319" w:val="left" w:leader="none"/>
        </w:tabs>
        <w:spacing w:line="240" w:lineRule="auto" w:before="160" w:after="0"/>
        <w:ind w:left="1318" w:right="0" w:hanging="602"/>
        <w:jc w:val="left"/>
        <w:rPr>
          <w:sz w:val="24"/>
        </w:rPr>
      </w:pPr>
      <w:r>
        <w:rPr>
          <w:sz w:val="24"/>
        </w:rPr>
        <w:t>临厂界的猪舍室内墙壁采用吸声材料，以降低噪声的影响；</w:t>
      </w:r>
    </w:p>
    <w:p>
      <w:pPr>
        <w:pStyle w:val="ListParagraph"/>
        <w:numPr>
          <w:ilvl w:val="2"/>
          <w:numId w:val="80"/>
        </w:numPr>
        <w:tabs>
          <w:tab w:pos="1319" w:val="left" w:leader="none"/>
        </w:tabs>
        <w:spacing w:line="240" w:lineRule="auto" w:before="161" w:after="0"/>
        <w:ind w:left="1318" w:right="0" w:hanging="602"/>
        <w:jc w:val="left"/>
        <w:rPr>
          <w:sz w:val="24"/>
        </w:rPr>
      </w:pPr>
      <w:r>
        <w:rPr>
          <w:sz w:val="24"/>
        </w:rPr>
        <w:t>合理布局设备位置，将室内高噪声设备远离墙体，室外高噪声设备远离厂界；</w:t>
      </w:r>
    </w:p>
    <w:p>
      <w:pPr>
        <w:pStyle w:val="ListParagraph"/>
        <w:numPr>
          <w:ilvl w:val="2"/>
          <w:numId w:val="80"/>
        </w:numPr>
        <w:tabs>
          <w:tab w:pos="1319" w:val="left" w:leader="none"/>
        </w:tabs>
        <w:spacing w:line="240" w:lineRule="auto" w:before="160" w:after="0"/>
        <w:ind w:left="1318" w:right="0" w:hanging="602"/>
        <w:jc w:val="left"/>
        <w:rPr>
          <w:sz w:val="24"/>
        </w:rPr>
      </w:pPr>
      <w:r>
        <w:rPr>
          <w:spacing w:val="-2"/>
          <w:sz w:val="24"/>
        </w:rPr>
        <w:t>加强设备的维护管理，避免因不正常运行所导致的噪声增大，发现设备有异常</w:t>
      </w:r>
    </w:p>
    <w:p>
      <w:pPr>
        <w:spacing w:after="0" w:line="240" w:lineRule="auto"/>
        <w:jc w:val="left"/>
        <w:rPr>
          <w:sz w:val="24"/>
        </w:rPr>
        <w:sectPr>
          <w:type w:val="continuous"/>
          <w:pgSz w:w="11910" w:h="16840"/>
          <w:pgMar w:top="1400" w:bottom="1200" w:left="1040" w:right="1160"/>
        </w:sectPr>
      </w:pPr>
    </w:p>
    <w:p>
      <w:pPr>
        <w:pStyle w:val="BodyText"/>
        <w:spacing w:before="92"/>
      </w:pPr>
      <w:r>
        <w:rPr/>
        <w:t>声音时应及时检修；</w:t>
      </w:r>
    </w:p>
    <w:p>
      <w:pPr>
        <w:pStyle w:val="ListParagraph"/>
        <w:numPr>
          <w:ilvl w:val="2"/>
          <w:numId w:val="80"/>
        </w:numPr>
        <w:tabs>
          <w:tab w:pos="1319" w:val="left" w:leader="none"/>
        </w:tabs>
        <w:spacing w:line="240" w:lineRule="auto" w:before="160" w:after="0"/>
        <w:ind w:left="1318" w:right="0" w:hanging="602"/>
        <w:jc w:val="left"/>
        <w:rPr>
          <w:sz w:val="24"/>
        </w:rPr>
      </w:pPr>
      <w:r>
        <w:rPr>
          <w:sz w:val="24"/>
        </w:rPr>
        <w:t>对进出厂区大型车辆加强管理，厂区内及出入口附近禁止鸣笛，并限制车速；</w:t>
      </w:r>
    </w:p>
    <w:p>
      <w:pPr>
        <w:pStyle w:val="ListParagraph"/>
        <w:numPr>
          <w:ilvl w:val="2"/>
          <w:numId w:val="80"/>
        </w:numPr>
        <w:tabs>
          <w:tab w:pos="1319" w:val="left" w:leader="none"/>
        </w:tabs>
        <w:spacing w:line="240" w:lineRule="auto" w:before="161" w:after="0"/>
        <w:ind w:left="1318" w:right="0" w:hanging="602"/>
        <w:jc w:val="left"/>
        <w:rPr>
          <w:sz w:val="24"/>
        </w:rPr>
      </w:pPr>
      <w:r>
        <w:rPr>
          <w:sz w:val="24"/>
        </w:rPr>
        <w:t>加强厂区绿化，采用乔灌结合的立体绿化系统。</w:t>
      </w:r>
    </w:p>
    <w:p>
      <w:pPr>
        <w:pStyle w:val="Heading3"/>
        <w:spacing w:before="160"/>
      </w:pPr>
      <w:r>
        <w:rPr>
          <w:rFonts w:ascii="Times New Roman" w:eastAsia="Times New Roman"/>
        </w:rPr>
        <w:t>4</w:t>
      </w:r>
      <w:r>
        <w:rPr/>
        <w:t>、预测结果及评价</w:t>
      </w:r>
    </w:p>
    <w:p>
      <w:pPr>
        <w:pStyle w:val="BodyText"/>
        <w:spacing w:line="364" w:lineRule="auto" w:before="161"/>
        <w:ind w:right="252" w:firstLine="480"/>
        <w:jc w:val="both"/>
      </w:pPr>
      <w:r>
        <w:rPr>
          <w:spacing w:val="-4"/>
        </w:rPr>
        <w:t>本环评采取环安科技公司研发的噪声软件 </w:t>
      </w:r>
      <w:r>
        <w:rPr>
          <w:rFonts w:ascii="Times New Roman" w:eastAsia="Times New Roman"/>
          <w:position w:val="1"/>
        </w:rPr>
        <w:t>NoiseSystem </w:t>
      </w:r>
      <w:r>
        <w:rPr>
          <w:spacing w:val="-11"/>
        </w:rPr>
        <w:t>进行预测，该软件采用的模型</w:t>
      </w:r>
      <w:r>
        <w:rPr>
          <w:spacing w:val="-3"/>
        </w:rPr>
        <w:t>来自于《环境影响评价技术导则 声环境》</w:t>
      </w:r>
      <w:r>
        <w:rPr/>
        <w:t>（</w:t>
      </w:r>
      <w:r>
        <w:rPr>
          <w:rFonts w:ascii="Times New Roman" w:eastAsia="Times New Roman"/>
          <w:position w:val="1"/>
        </w:rPr>
        <w:t>HJ 2.4-2009</w:t>
      </w:r>
      <w:r>
        <w:rPr/>
        <w:t>）</w:t>
      </w:r>
      <w:r>
        <w:rPr>
          <w:spacing w:val="-2"/>
        </w:rPr>
        <w:t>噪声导则，噪声衰减因素中考</w:t>
      </w:r>
      <w:r>
        <w:rPr/>
        <w:t>虑了几何发散、空气吸收、地面吸收和屏障衰减等的影响。</w:t>
      </w:r>
    </w:p>
    <w:p>
      <w:pPr>
        <w:pStyle w:val="BodyText"/>
        <w:spacing w:before="1"/>
        <w:ind w:left="717"/>
        <w:jc w:val="both"/>
      </w:pPr>
      <w:r>
        <w:rPr/>
        <w:t>根据表 </w:t>
      </w:r>
      <w:r>
        <w:rPr>
          <w:rFonts w:ascii="Times New Roman" w:eastAsia="Times New Roman"/>
          <w:position w:val="1"/>
        </w:rPr>
        <w:t>5.2-34 </w:t>
      </w:r>
      <w:r>
        <w:rPr/>
        <w:t>及周边环境概况图输入相关声源、周边建筑物、屏障、地面等数据后，</w:t>
      </w:r>
    </w:p>
    <w:p>
      <w:pPr>
        <w:pStyle w:val="BodyText"/>
        <w:spacing w:before="162"/>
      </w:pPr>
      <w:r>
        <w:rPr>
          <w:rFonts w:ascii="Times New Roman" w:eastAsia="Times New Roman"/>
          <w:position w:val="1"/>
        </w:rPr>
        <w:t>NoiseSystem </w:t>
      </w:r>
      <w:r>
        <w:rPr/>
        <w:t>软件预测得到的等声级线图见图 </w:t>
      </w:r>
      <w:r>
        <w:rPr>
          <w:rFonts w:ascii="Times New Roman" w:eastAsia="Times New Roman"/>
          <w:position w:val="1"/>
        </w:rPr>
        <w:t>5.2-19</w:t>
      </w:r>
      <w:r>
        <w:rPr/>
        <w:t>，噪声预测值见表 </w:t>
      </w:r>
      <w:r>
        <w:rPr>
          <w:rFonts w:ascii="Times New Roman" w:eastAsia="Times New Roman"/>
          <w:position w:val="1"/>
        </w:rPr>
        <w:t>5.2-35</w:t>
      </w:r>
      <w:r>
        <w:rPr/>
        <w:t>。</w:t>
      </w:r>
    </w:p>
    <w:p>
      <w:pPr>
        <w:pStyle w:val="Heading3"/>
        <w:spacing w:before="160"/>
        <w:ind w:left="219" w:right="236"/>
        <w:jc w:val="center"/>
      </w:pPr>
      <w:r>
        <w:rPr/>
        <w:t>表 </w:t>
      </w:r>
      <w:r>
        <w:rPr>
          <w:rFonts w:ascii="Times New Roman" w:eastAsia="Times New Roman"/>
        </w:rPr>
        <w:t>5.2-35  </w:t>
      </w:r>
      <w:r>
        <w:rPr/>
        <w:t>噪声预测结果</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31"/>
        <w:gridCol w:w="1836"/>
        <w:gridCol w:w="1838"/>
        <w:gridCol w:w="1044"/>
        <w:gridCol w:w="1046"/>
        <w:gridCol w:w="916"/>
        <w:gridCol w:w="916"/>
      </w:tblGrid>
      <w:tr>
        <w:trPr>
          <w:trHeight w:val="359" w:hRule="atLeast"/>
        </w:trPr>
        <w:tc>
          <w:tcPr>
            <w:tcW w:w="1831" w:type="dxa"/>
            <w:vMerge w:val="restart"/>
            <w:tcBorders>
              <w:bottom w:val="single" w:sz="4" w:space="0" w:color="000000"/>
              <w:right w:val="single" w:sz="4" w:space="0" w:color="000000"/>
            </w:tcBorders>
          </w:tcPr>
          <w:p>
            <w:pPr>
              <w:pStyle w:val="TableParagraph"/>
              <w:spacing w:before="0"/>
              <w:jc w:val="left"/>
              <w:rPr>
                <w:rFonts w:ascii="宋体"/>
                <w:b/>
                <w:sz w:val="18"/>
              </w:rPr>
            </w:pPr>
          </w:p>
          <w:p>
            <w:pPr>
              <w:pStyle w:val="TableParagraph"/>
              <w:spacing w:before="0"/>
              <w:ind w:left="388"/>
              <w:jc w:val="left"/>
              <w:rPr>
                <w:rFonts w:ascii="宋体" w:eastAsia="宋体" w:hint="eastAsia"/>
                <w:b/>
                <w:sz w:val="21"/>
              </w:rPr>
            </w:pPr>
            <w:r>
              <w:rPr>
                <w:rFonts w:ascii="宋体" w:eastAsia="宋体" w:hint="eastAsia"/>
                <w:b/>
                <w:sz w:val="21"/>
              </w:rPr>
              <w:t>预测点位置</w:t>
            </w:r>
          </w:p>
        </w:tc>
        <w:tc>
          <w:tcPr>
            <w:tcW w:w="3674" w:type="dxa"/>
            <w:gridSpan w:val="2"/>
            <w:tcBorders>
              <w:left w:val="single" w:sz="4" w:space="0" w:color="000000"/>
              <w:bottom w:val="single" w:sz="4" w:space="0" w:color="000000"/>
              <w:right w:val="single" w:sz="4" w:space="0" w:color="000000"/>
            </w:tcBorders>
          </w:tcPr>
          <w:p>
            <w:pPr>
              <w:pStyle w:val="TableParagraph"/>
              <w:spacing w:before="46"/>
              <w:ind w:left="1229"/>
              <w:jc w:val="left"/>
              <w:rPr>
                <w:b/>
                <w:sz w:val="21"/>
              </w:rPr>
            </w:pPr>
            <w:r>
              <w:rPr>
                <w:rFonts w:ascii="宋体" w:eastAsia="宋体" w:hint="eastAsia"/>
                <w:b/>
                <w:sz w:val="21"/>
              </w:rPr>
              <w:t>贡献值 </w:t>
            </w:r>
            <w:r>
              <w:rPr>
                <w:b/>
                <w:sz w:val="21"/>
              </w:rPr>
              <w:t>dB(A)</w:t>
            </w:r>
          </w:p>
        </w:tc>
        <w:tc>
          <w:tcPr>
            <w:tcW w:w="2090" w:type="dxa"/>
            <w:gridSpan w:val="2"/>
            <w:tcBorders>
              <w:left w:val="single" w:sz="4" w:space="0" w:color="000000"/>
              <w:bottom w:val="single" w:sz="4" w:space="0" w:color="000000"/>
              <w:right w:val="single" w:sz="4" w:space="0" w:color="000000"/>
            </w:tcBorders>
          </w:tcPr>
          <w:p>
            <w:pPr>
              <w:pStyle w:val="TableParagraph"/>
              <w:spacing w:before="46"/>
              <w:ind w:left="435"/>
              <w:jc w:val="left"/>
              <w:rPr>
                <w:b/>
                <w:sz w:val="21"/>
              </w:rPr>
            </w:pPr>
            <w:r>
              <w:rPr>
                <w:rFonts w:ascii="宋体" w:eastAsia="宋体" w:hint="eastAsia"/>
                <w:b/>
                <w:sz w:val="21"/>
              </w:rPr>
              <w:t>标准值 </w:t>
            </w:r>
            <w:r>
              <w:rPr>
                <w:b/>
                <w:sz w:val="21"/>
              </w:rPr>
              <w:t>dB(A)</w:t>
            </w:r>
          </w:p>
        </w:tc>
        <w:tc>
          <w:tcPr>
            <w:tcW w:w="1832" w:type="dxa"/>
            <w:gridSpan w:val="2"/>
            <w:tcBorders>
              <w:left w:val="single" w:sz="4" w:space="0" w:color="000000"/>
              <w:bottom w:val="single" w:sz="4" w:space="0" w:color="000000"/>
            </w:tcBorders>
          </w:tcPr>
          <w:p>
            <w:pPr>
              <w:pStyle w:val="TableParagraph"/>
              <w:spacing w:before="46"/>
              <w:ind w:left="506"/>
              <w:jc w:val="left"/>
              <w:rPr>
                <w:rFonts w:ascii="宋体" w:eastAsia="宋体" w:hint="eastAsia"/>
                <w:b/>
                <w:sz w:val="21"/>
              </w:rPr>
            </w:pPr>
            <w:r>
              <w:rPr>
                <w:rFonts w:ascii="宋体" w:eastAsia="宋体" w:hint="eastAsia"/>
                <w:b/>
                <w:sz w:val="21"/>
              </w:rPr>
              <w:t>评价结果</w:t>
            </w:r>
          </w:p>
        </w:tc>
      </w:tr>
      <w:tr>
        <w:trPr>
          <w:trHeight w:val="359" w:hRule="atLeast"/>
        </w:trPr>
        <w:tc>
          <w:tcPr>
            <w:tcW w:w="1831" w:type="dxa"/>
            <w:vMerge/>
            <w:tcBorders>
              <w:top w:val="nil"/>
              <w:bottom w:val="single" w:sz="4" w:space="0" w:color="000000"/>
              <w:right w:val="single" w:sz="4" w:space="0" w:color="000000"/>
            </w:tcBorders>
          </w:tcPr>
          <w:p>
            <w:pPr>
              <w:rPr>
                <w:sz w:val="2"/>
                <w:szCs w:val="2"/>
              </w:rPr>
            </w:pPr>
          </w:p>
        </w:tc>
        <w:tc>
          <w:tcPr>
            <w:tcW w:w="1836" w:type="dxa"/>
            <w:tcBorders>
              <w:top w:val="single" w:sz="4" w:space="0" w:color="000000"/>
              <w:left w:val="single" w:sz="4" w:space="0" w:color="000000"/>
              <w:bottom w:val="single" w:sz="4" w:space="0" w:color="000000"/>
              <w:right w:val="single" w:sz="4" w:space="0" w:color="000000"/>
            </w:tcBorders>
          </w:tcPr>
          <w:p>
            <w:pPr>
              <w:pStyle w:val="TableParagraph"/>
              <w:spacing w:before="46"/>
              <w:ind w:left="116" w:right="89"/>
              <w:rPr>
                <w:rFonts w:ascii="宋体" w:eastAsia="宋体" w:hint="eastAsia"/>
                <w:b/>
                <w:sz w:val="21"/>
              </w:rPr>
            </w:pPr>
            <w:r>
              <w:rPr>
                <w:rFonts w:ascii="宋体" w:eastAsia="宋体" w:hint="eastAsia"/>
                <w:b/>
                <w:sz w:val="21"/>
              </w:rPr>
              <w:t>昼间</w:t>
            </w:r>
          </w:p>
        </w:tc>
        <w:tc>
          <w:tcPr>
            <w:tcW w:w="1838" w:type="dxa"/>
            <w:tcBorders>
              <w:top w:val="single" w:sz="4" w:space="0" w:color="000000"/>
              <w:left w:val="single" w:sz="4" w:space="0" w:color="000000"/>
              <w:bottom w:val="single" w:sz="4" w:space="0" w:color="000000"/>
              <w:right w:val="single" w:sz="4" w:space="0" w:color="000000"/>
            </w:tcBorders>
          </w:tcPr>
          <w:p>
            <w:pPr>
              <w:pStyle w:val="TableParagraph"/>
              <w:spacing w:before="46"/>
              <w:ind w:left="375" w:right="349"/>
              <w:rPr>
                <w:rFonts w:ascii="宋体" w:eastAsia="宋体" w:hint="eastAsia"/>
                <w:b/>
                <w:sz w:val="21"/>
              </w:rPr>
            </w:pPr>
            <w:r>
              <w:rPr>
                <w:rFonts w:ascii="宋体" w:eastAsia="宋体" w:hint="eastAsia"/>
                <w:b/>
                <w:sz w:val="21"/>
              </w:rPr>
              <w:t>夜间</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spacing w:before="46"/>
              <w:ind w:left="298" w:right="274"/>
              <w:rPr>
                <w:rFonts w:ascii="宋体" w:eastAsia="宋体" w:hint="eastAsia"/>
                <w:b/>
                <w:sz w:val="21"/>
              </w:rPr>
            </w:pPr>
            <w:r>
              <w:rPr>
                <w:rFonts w:ascii="宋体" w:eastAsia="宋体" w:hint="eastAsia"/>
                <w:b/>
                <w:sz w:val="21"/>
              </w:rPr>
              <w:t>昼间</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before="46"/>
              <w:ind w:left="301" w:right="273"/>
              <w:rPr>
                <w:rFonts w:ascii="宋体" w:eastAsia="宋体" w:hint="eastAsia"/>
                <w:b/>
                <w:sz w:val="21"/>
              </w:rPr>
            </w:pPr>
            <w:r>
              <w:rPr>
                <w:rFonts w:ascii="宋体" w:eastAsia="宋体" w:hint="eastAsia"/>
                <w:b/>
                <w:sz w:val="21"/>
              </w:rPr>
              <w:t>夜间</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before="46"/>
              <w:ind w:left="235" w:right="206"/>
              <w:rPr>
                <w:rFonts w:ascii="宋体" w:eastAsia="宋体" w:hint="eastAsia"/>
                <w:b/>
                <w:sz w:val="21"/>
              </w:rPr>
            </w:pPr>
            <w:r>
              <w:rPr>
                <w:rFonts w:ascii="宋体" w:eastAsia="宋体" w:hint="eastAsia"/>
                <w:b/>
                <w:sz w:val="21"/>
              </w:rPr>
              <w:t>昼间</w:t>
            </w:r>
          </w:p>
        </w:tc>
        <w:tc>
          <w:tcPr>
            <w:tcW w:w="916" w:type="dxa"/>
            <w:tcBorders>
              <w:top w:val="single" w:sz="4" w:space="0" w:color="000000"/>
              <w:left w:val="single" w:sz="4" w:space="0" w:color="000000"/>
              <w:bottom w:val="single" w:sz="4" w:space="0" w:color="000000"/>
            </w:tcBorders>
          </w:tcPr>
          <w:p>
            <w:pPr>
              <w:pStyle w:val="TableParagraph"/>
              <w:spacing w:before="46"/>
              <w:ind w:left="260"/>
              <w:jc w:val="left"/>
              <w:rPr>
                <w:rFonts w:ascii="宋体" w:eastAsia="宋体" w:hint="eastAsia"/>
                <w:b/>
                <w:sz w:val="21"/>
              </w:rPr>
            </w:pPr>
            <w:r>
              <w:rPr>
                <w:rFonts w:ascii="宋体" w:eastAsia="宋体" w:hint="eastAsia"/>
                <w:b/>
                <w:sz w:val="21"/>
              </w:rPr>
              <w:t>夜间</w:t>
            </w:r>
          </w:p>
        </w:tc>
      </w:tr>
      <w:tr>
        <w:trPr>
          <w:trHeight w:val="357" w:hRule="atLeast"/>
        </w:trPr>
        <w:tc>
          <w:tcPr>
            <w:tcW w:w="1831" w:type="dxa"/>
            <w:tcBorders>
              <w:top w:val="single" w:sz="4" w:space="0" w:color="000000"/>
              <w:bottom w:val="single" w:sz="4" w:space="0" w:color="000000"/>
              <w:right w:val="single" w:sz="4" w:space="0" w:color="000000"/>
            </w:tcBorders>
          </w:tcPr>
          <w:p>
            <w:pPr>
              <w:pStyle w:val="TableParagraph"/>
              <w:spacing w:before="46"/>
              <w:ind w:left="599"/>
              <w:jc w:val="left"/>
              <w:rPr>
                <w:rFonts w:ascii="宋体" w:eastAsia="宋体" w:hint="eastAsia"/>
                <w:sz w:val="21"/>
              </w:rPr>
            </w:pPr>
            <w:r>
              <w:rPr>
                <w:rFonts w:ascii="宋体" w:eastAsia="宋体" w:hint="eastAsia"/>
                <w:sz w:val="21"/>
              </w:rPr>
              <w:t>东厂界</w:t>
            </w:r>
          </w:p>
        </w:tc>
        <w:tc>
          <w:tcPr>
            <w:tcW w:w="1836" w:type="dxa"/>
            <w:tcBorders>
              <w:top w:val="single" w:sz="4" w:space="0" w:color="000000"/>
              <w:left w:val="single" w:sz="4" w:space="0" w:color="000000"/>
              <w:bottom w:val="single" w:sz="4" w:space="0" w:color="000000"/>
              <w:right w:val="single" w:sz="4" w:space="0" w:color="000000"/>
            </w:tcBorders>
          </w:tcPr>
          <w:p>
            <w:pPr>
              <w:pStyle w:val="TableParagraph"/>
              <w:ind w:left="121" w:right="89"/>
              <w:rPr>
                <w:sz w:val="21"/>
              </w:rPr>
            </w:pPr>
            <w:r>
              <w:rPr>
                <w:sz w:val="21"/>
              </w:rPr>
              <w:t>36.91~42.80</w:t>
            </w:r>
          </w:p>
        </w:tc>
        <w:tc>
          <w:tcPr>
            <w:tcW w:w="1838" w:type="dxa"/>
            <w:tcBorders>
              <w:top w:val="single" w:sz="4" w:space="0" w:color="000000"/>
              <w:left w:val="single" w:sz="4" w:space="0" w:color="000000"/>
              <w:bottom w:val="single" w:sz="4" w:space="0" w:color="000000"/>
              <w:right w:val="single" w:sz="4" w:space="0" w:color="000000"/>
            </w:tcBorders>
          </w:tcPr>
          <w:p>
            <w:pPr>
              <w:pStyle w:val="TableParagraph"/>
              <w:ind w:left="380" w:right="349"/>
              <w:rPr>
                <w:sz w:val="21"/>
              </w:rPr>
            </w:pPr>
            <w:r>
              <w:rPr>
                <w:sz w:val="21"/>
              </w:rPr>
              <w:t>35.93~42.54</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ind w:left="298" w:right="274"/>
              <w:rPr>
                <w:sz w:val="21"/>
              </w:rPr>
            </w:pPr>
            <w:r>
              <w:rPr>
                <w:sz w:val="21"/>
              </w:rPr>
              <w:t>60</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ind w:left="301" w:right="273"/>
              <w:rPr>
                <w:sz w:val="21"/>
              </w:rPr>
            </w:pPr>
            <w:r>
              <w:rPr>
                <w:sz w:val="21"/>
              </w:rPr>
              <w:t>50</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before="46"/>
              <w:ind w:left="236" w:right="202"/>
              <w:rPr>
                <w:rFonts w:ascii="宋体" w:eastAsia="宋体" w:hint="eastAsia"/>
                <w:sz w:val="21"/>
              </w:rPr>
            </w:pPr>
            <w:r>
              <w:rPr>
                <w:rFonts w:ascii="宋体" w:eastAsia="宋体" w:hint="eastAsia"/>
                <w:sz w:val="21"/>
              </w:rPr>
              <w:t>达标</w:t>
            </w:r>
          </w:p>
        </w:tc>
        <w:tc>
          <w:tcPr>
            <w:tcW w:w="916" w:type="dxa"/>
            <w:tcBorders>
              <w:top w:val="single" w:sz="4" w:space="0" w:color="000000"/>
              <w:left w:val="single" w:sz="4" w:space="0" w:color="000000"/>
              <w:bottom w:val="single" w:sz="4" w:space="0" w:color="000000"/>
            </w:tcBorders>
          </w:tcPr>
          <w:p>
            <w:pPr>
              <w:pStyle w:val="TableParagraph"/>
              <w:spacing w:before="46"/>
              <w:ind w:left="260"/>
              <w:jc w:val="left"/>
              <w:rPr>
                <w:rFonts w:ascii="宋体" w:eastAsia="宋体" w:hint="eastAsia"/>
                <w:sz w:val="21"/>
              </w:rPr>
            </w:pPr>
            <w:r>
              <w:rPr>
                <w:rFonts w:ascii="宋体" w:eastAsia="宋体" w:hint="eastAsia"/>
                <w:sz w:val="21"/>
              </w:rPr>
              <w:t>达标</w:t>
            </w:r>
          </w:p>
        </w:tc>
      </w:tr>
      <w:tr>
        <w:trPr>
          <w:trHeight w:val="359" w:hRule="atLeast"/>
        </w:trPr>
        <w:tc>
          <w:tcPr>
            <w:tcW w:w="1831" w:type="dxa"/>
            <w:tcBorders>
              <w:top w:val="single" w:sz="4" w:space="0" w:color="000000"/>
              <w:bottom w:val="single" w:sz="4" w:space="0" w:color="000000"/>
              <w:right w:val="single" w:sz="4" w:space="0" w:color="000000"/>
            </w:tcBorders>
          </w:tcPr>
          <w:p>
            <w:pPr>
              <w:pStyle w:val="TableParagraph"/>
              <w:spacing w:before="46"/>
              <w:ind w:left="599"/>
              <w:jc w:val="left"/>
              <w:rPr>
                <w:rFonts w:ascii="宋体" w:eastAsia="宋体" w:hint="eastAsia"/>
                <w:sz w:val="21"/>
              </w:rPr>
            </w:pPr>
            <w:r>
              <w:rPr>
                <w:rFonts w:ascii="宋体" w:eastAsia="宋体" w:hint="eastAsia"/>
                <w:sz w:val="21"/>
              </w:rPr>
              <w:t>南厂界</w:t>
            </w:r>
          </w:p>
        </w:tc>
        <w:tc>
          <w:tcPr>
            <w:tcW w:w="1836" w:type="dxa"/>
            <w:tcBorders>
              <w:top w:val="single" w:sz="4" w:space="0" w:color="000000"/>
              <w:left w:val="single" w:sz="4" w:space="0" w:color="000000"/>
              <w:bottom w:val="single" w:sz="4" w:space="0" w:color="000000"/>
              <w:right w:val="single" w:sz="4" w:space="0" w:color="000000"/>
            </w:tcBorders>
          </w:tcPr>
          <w:p>
            <w:pPr>
              <w:pStyle w:val="TableParagraph"/>
              <w:ind w:left="121" w:right="89"/>
              <w:rPr>
                <w:sz w:val="21"/>
              </w:rPr>
            </w:pPr>
            <w:r>
              <w:rPr>
                <w:sz w:val="21"/>
              </w:rPr>
              <w:t>38.37~49.29</w:t>
            </w:r>
          </w:p>
        </w:tc>
        <w:tc>
          <w:tcPr>
            <w:tcW w:w="1838" w:type="dxa"/>
            <w:tcBorders>
              <w:top w:val="single" w:sz="4" w:space="0" w:color="000000"/>
              <w:left w:val="single" w:sz="4" w:space="0" w:color="000000"/>
              <w:bottom w:val="single" w:sz="4" w:space="0" w:color="000000"/>
              <w:right w:val="single" w:sz="4" w:space="0" w:color="000000"/>
            </w:tcBorders>
          </w:tcPr>
          <w:p>
            <w:pPr>
              <w:pStyle w:val="TableParagraph"/>
              <w:ind w:left="380" w:right="349"/>
              <w:rPr>
                <w:sz w:val="21"/>
              </w:rPr>
            </w:pPr>
            <w:r>
              <w:rPr>
                <w:sz w:val="21"/>
              </w:rPr>
              <w:t>38.17~49.26</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ind w:left="298" w:right="274"/>
              <w:rPr>
                <w:sz w:val="21"/>
              </w:rPr>
            </w:pPr>
            <w:r>
              <w:rPr>
                <w:sz w:val="21"/>
              </w:rPr>
              <w:t>60</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ind w:left="301" w:right="273"/>
              <w:rPr>
                <w:sz w:val="21"/>
              </w:rPr>
            </w:pPr>
            <w:r>
              <w:rPr>
                <w:sz w:val="21"/>
              </w:rPr>
              <w:t>50</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before="46"/>
              <w:ind w:left="236" w:right="202"/>
              <w:rPr>
                <w:rFonts w:ascii="宋体" w:eastAsia="宋体" w:hint="eastAsia"/>
                <w:sz w:val="21"/>
              </w:rPr>
            </w:pPr>
            <w:r>
              <w:rPr>
                <w:rFonts w:ascii="宋体" w:eastAsia="宋体" w:hint="eastAsia"/>
                <w:sz w:val="21"/>
              </w:rPr>
              <w:t>达标</w:t>
            </w:r>
          </w:p>
        </w:tc>
        <w:tc>
          <w:tcPr>
            <w:tcW w:w="916" w:type="dxa"/>
            <w:tcBorders>
              <w:top w:val="single" w:sz="4" w:space="0" w:color="000000"/>
              <w:left w:val="single" w:sz="4" w:space="0" w:color="000000"/>
              <w:bottom w:val="single" w:sz="4" w:space="0" w:color="000000"/>
            </w:tcBorders>
          </w:tcPr>
          <w:p>
            <w:pPr>
              <w:pStyle w:val="TableParagraph"/>
              <w:spacing w:before="46"/>
              <w:ind w:left="260"/>
              <w:jc w:val="left"/>
              <w:rPr>
                <w:rFonts w:ascii="宋体" w:eastAsia="宋体" w:hint="eastAsia"/>
                <w:sz w:val="21"/>
              </w:rPr>
            </w:pPr>
            <w:r>
              <w:rPr>
                <w:rFonts w:ascii="宋体" w:eastAsia="宋体" w:hint="eastAsia"/>
                <w:sz w:val="21"/>
              </w:rPr>
              <w:t>达标</w:t>
            </w:r>
          </w:p>
        </w:tc>
      </w:tr>
      <w:tr>
        <w:trPr>
          <w:trHeight w:val="359" w:hRule="atLeast"/>
        </w:trPr>
        <w:tc>
          <w:tcPr>
            <w:tcW w:w="1831" w:type="dxa"/>
            <w:tcBorders>
              <w:top w:val="single" w:sz="4" w:space="0" w:color="000000"/>
              <w:bottom w:val="single" w:sz="4" w:space="0" w:color="000000"/>
              <w:right w:val="single" w:sz="4" w:space="0" w:color="000000"/>
            </w:tcBorders>
          </w:tcPr>
          <w:p>
            <w:pPr>
              <w:pStyle w:val="TableParagraph"/>
              <w:spacing w:before="46"/>
              <w:ind w:left="599"/>
              <w:jc w:val="left"/>
              <w:rPr>
                <w:rFonts w:ascii="宋体" w:eastAsia="宋体" w:hint="eastAsia"/>
                <w:sz w:val="21"/>
              </w:rPr>
            </w:pPr>
            <w:r>
              <w:rPr>
                <w:rFonts w:ascii="宋体" w:eastAsia="宋体" w:hint="eastAsia"/>
                <w:sz w:val="21"/>
              </w:rPr>
              <w:t>西厂界</w:t>
            </w:r>
          </w:p>
        </w:tc>
        <w:tc>
          <w:tcPr>
            <w:tcW w:w="1836" w:type="dxa"/>
            <w:tcBorders>
              <w:top w:val="single" w:sz="4" w:space="0" w:color="000000"/>
              <w:left w:val="single" w:sz="4" w:space="0" w:color="000000"/>
              <w:bottom w:val="single" w:sz="4" w:space="0" w:color="000000"/>
              <w:right w:val="single" w:sz="4" w:space="0" w:color="000000"/>
            </w:tcBorders>
          </w:tcPr>
          <w:p>
            <w:pPr>
              <w:pStyle w:val="TableParagraph"/>
              <w:ind w:left="121" w:right="89"/>
              <w:rPr>
                <w:sz w:val="21"/>
              </w:rPr>
            </w:pPr>
            <w:r>
              <w:rPr>
                <w:sz w:val="21"/>
              </w:rPr>
              <w:t>44.32~49.98</w:t>
            </w:r>
          </w:p>
        </w:tc>
        <w:tc>
          <w:tcPr>
            <w:tcW w:w="1838" w:type="dxa"/>
            <w:tcBorders>
              <w:top w:val="single" w:sz="4" w:space="0" w:color="000000"/>
              <w:left w:val="single" w:sz="4" w:space="0" w:color="000000"/>
              <w:bottom w:val="single" w:sz="4" w:space="0" w:color="000000"/>
              <w:right w:val="single" w:sz="4" w:space="0" w:color="000000"/>
            </w:tcBorders>
          </w:tcPr>
          <w:p>
            <w:pPr>
              <w:pStyle w:val="TableParagraph"/>
              <w:ind w:left="380" w:right="349"/>
              <w:rPr>
                <w:sz w:val="21"/>
              </w:rPr>
            </w:pPr>
            <w:r>
              <w:rPr>
                <w:sz w:val="21"/>
              </w:rPr>
              <w:t>38.27~49.96</w:t>
            </w:r>
          </w:p>
        </w:tc>
        <w:tc>
          <w:tcPr>
            <w:tcW w:w="1044" w:type="dxa"/>
            <w:tcBorders>
              <w:top w:val="single" w:sz="4" w:space="0" w:color="000000"/>
              <w:left w:val="single" w:sz="4" w:space="0" w:color="000000"/>
              <w:bottom w:val="single" w:sz="4" w:space="0" w:color="000000"/>
              <w:right w:val="single" w:sz="4" w:space="0" w:color="000000"/>
            </w:tcBorders>
          </w:tcPr>
          <w:p>
            <w:pPr>
              <w:pStyle w:val="TableParagraph"/>
              <w:ind w:left="298" w:right="274"/>
              <w:rPr>
                <w:sz w:val="21"/>
              </w:rPr>
            </w:pPr>
            <w:r>
              <w:rPr>
                <w:sz w:val="21"/>
              </w:rPr>
              <w:t>60</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ind w:left="301" w:right="273"/>
              <w:rPr>
                <w:sz w:val="21"/>
              </w:rPr>
            </w:pPr>
            <w:r>
              <w:rPr>
                <w:sz w:val="21"/>
              </w:rPr>
              <w:t>50</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before="46"/>
              <w:ind w:left="236" w:right="202"/>
              <w:rPr>
                <w:rFonts w:ascii="宋体" w:eastAsia="宋体" w:hint="eastAsia"/>
                <w:sz w:val="21"/>
              </w:rPr>
            </w:pPr>
            <w:r>
              <w:rPr>
                <w:rFonts w:ascii="宋体" w:eastAsia="宋体" w:hint="eastAsia"/>
                <w:sz w:val="21"/>
              </w:rPr>
              <w:t>达标</w:t>
            </w:r>
          </w:p>
        </w:tc>
        <w:tc>
          <w:tcPr>
            <w:tcW w:w="916" w:type="dxa"/>
            <w:tcBorders>
              <w:top w:val="single" w:sz="4" w:space="0" w:color="000000"/>
              <w:left w:val="single" w:sz="4" w:space="0" w:color="000000"/>
              <w:bottom w:val="single" w:sz="4" w:space="0" w:color="000000"/>
            </w:tcBorders>
          </w:tcPr>
          <w:p>
            <w:pPr>
              <w:pStyle w:val="TableParagraph"/>
              <w:spacing w:before="46"/>
              <w:ind w:left="260"/>
              <w:jc w:val="left"/>
              <w:rPr>
                <w:rFonts w:ascii="宋体" w:eastAsia="宋体" w:hint="eastAsia"/>
                <w:sz w:val="21"/>
              </w:rPr>
            </w:pPr>
            <w:r>
              <w:rPr>
                <w:rFonts w:ascii="宋体" w:eastAsia="宋体" w:hint="eastAsia"/>
                <w:sz w:val="21"/>
              </w:rPr>
              <w:t>达标</w:t>
            </w:r>
          </w:p>
        </w:tc>
      </w:tr>
      <w:tr>
        <w:trPr>
          <w:trHeight w:val="359" w:hRule="atLeast"/>
        </w:trPr>
        <w:tc>
          <w:tcPr>
            <w:tcW w:w="1831" w:type="dxa"/>
            <w:tcBorders>
              <w:top w:val="single" w:sz="4" w:space="0" w:color="000000"/>
              <w:right w:val="single" w:sz="4" w:space="0" w:color="000000"/>
            </w:tcBorders>
          </w:tcPr>
          <w:p>
            <w:pPr>
              <w:pStyle w:val="TableParagraph"/>
              <w:spacing w:before="46"/>
              <w:ind w:left="599"/>
              <w:jc w:val="left"/>
              <w:rPr>
                <w:rFonts w:ascii="宋体" w:eastAsia="宋体" w:hint="eastAsia"/>
                <w:sz w:val="21"/>
              </w:rPr>
            </w:pPr>
            <w:r>
              <w:rPr>
                <w:rFonts w:ascii="宋体" w:eastAsia="宋体" w:hint="eastAsia"/>
                <w:sz w:val="21"/>
              </w:rPr>
              <w:t>北厂界</w:t>
            </w:r>
          </w:p>
        </w:tc>
        <w:tc>
          <w:tcPr>
            <w:tcW w:w="1836" w:type="dxa"/>
            <w:tcBorders>
              <w:top w:val="single" w:sz="4" w:space="0" w:color="000000"/>
              <w:left w:val="single" w:sz="4" w:space="0" w:color="000000"/>
              <w:right w:val="single" w:sz="4" w:space="0" w:color="000000"/>
            </w:tcBorders>
          </w:tcPr>
          <w:p>
            <w:pPr>
              <w:pStyle w:val="TableParagraph"/>
              <w:ind w:left="121" w:right="89"/>
              <w:rPr>
                <w:sz w:val="21"/>
              </w:rPr>
            </w:pPr>
            <w:r>
              <w:rPr>
                <w:sz w:val="21"/>
              </w:rPr>
              <w:t>40.19~49.06</w:t>
            </w:r>
          </w:p>
        </w:tc>
        <w:tc>
          <w:tcPr>
            <w:tcW w:w="1838" w:type="dxa"/>
            <w:tcBorders>
              <w:top w:val="single" w:sz="4" w:space="0" w:color="000000"/>
              <w:left w:val="single" w:sz="4" w:space="0" w:color="000000"/>
              <w:right w:val="single" w:sz="4" w:space="0" w:color="000000"/>
            </w:tcBorders>
          </w:tcPr>
          <w:p>
            <w:pPr>
              <w:pStyle w:val="TableParagraph"/>
              <w:ind w:left="380" w:right="349"/>
              <w:rPr>
                <w:sz w:val="21"/>
              </w:rPr>
            </w:pPr>
            <w:r>
              <w:rPr>
                <w:sz w:val="21"/>
              </w:rPr>
              <w:t>35.95~44.99</w:t>
            </w:r>
          </w:p>
        </w:tc>
        <w:tc>
          <w:tcPr>
            <w:tcW w:w="1044" w:type="dxa"/>
            <w:tcBorders>
              <w:top w:val="single" w:sz="4" w:space="0" w:color="000000"/>
              <w:left w:val="single" w:sz="4" w:space="0" w:color="000000"/>
              <w:right w:val="single" w:sz="4" w:space="0" w:color="000000"/>
            </w:tcBorders>
          </w:tcPr>
          <w:p>
            <w:pPr>
              <w:pStyle w:val="TableParagraph"/>
              <w:ind w:left="298" w:right="274"/>
              <w:rPr>
                <w:sz w:val="21"/>
              </w:rPr>
            </w:pPr>
            <w:r>
              <w:rPr>
                <w:sz w:val="21"/>
              </w:rPr>
              <w:t>60</w:t>
            </w:r>
          </w:p>
        </w:tc>
        <w:tc>
          <w:tcPr>
            <w:tcW w:w="1046" w:type="dxa"/>
            <w:tcBorders>
              <w:top w:val="single" w:sz="4" w:space="0" w:color="000000"/>
              <w:left w:val="single" w:sz="4" w:space="0" w:color="000000"/>
              <w:right w:val="single" w:sz="4" w:space="0" w:color="000000"/>
            </w:tcBorders>
          </w:tcPr>
          <w:p>
            <w:pPr>
              <w:pStyle w:val="TableParagraph"/>
              <w:ind w:left="301" w:right="273"/>
              <w:rPr>
                <w:sz w:val="21"/>
              </w:rPr>
            </w:pPr>
            <w:r>
              <w:rPr>
                <w:sz w:val="21"/>
              </w:rPr>
              <w:t>50</w:t>
            </w:r>
          </w:p>
        </w:tc>
        <w:tc>
          <w:tcPr>
            <w:tcW w:w="916" w:type="dxa"/>
            <w:tcBorders>
              <w:top w:val="single" w:sz="4" w:space="0" w:color="000000"/>
              <w:left w:val="single" w:sz="4" w:space="0" w:color="000000"/>
              <w:right w:val="single" w:sz="4" w:space="0" w:color="000000"/>
            </w:tcBorders>
          </w:tcPr>
          <w:p>
            <w:pPr>
              <w:pStyle w:val="TableParagraph"/>
              <w:spacing w:before="46"/>
              <w:ind w:left="236" w:right="202"/>
              <w:rPr>
                <w:rFonts w:ascii="宋体" w:eastAsia="宋体" w:hint="eastAsia"/>
                <w:sz w:val="21"/>
              </w:rPr>
            </w:pPr>
            <w:r>
              <w:rPr>
                <w:rFonts w:ascii="宋体" w:eastAsia="宋体" w:hint="eastAsia"/>
                <w:sz w:val="21"/>
              </w:rPr>
              <w:t>达标</w:t>
            </w:r>
          </w:p>
        </w:tc>
        <w:tc>
          <w:tcPr>
            <w:tcW w:w="916" w:type="dxa"/>
            <w:tcBorders>
              <w:top w:val="single" w:sz="4" w:space="0" w:color="000000"/>
              <w:left w:val="single" w:sz="4" w:space="0" w:color="000000"/>
            </w:tcBorders>
          </w:tcPr>
          <w:p>
            <w:pPr>
              <w:pStyle w:val="TableParagraph"/>
              <w:spacing w:before="46"/>
              <w:ind w:left="260"/>
              <w:jc w:val="left"/>
              <w:rPr>
                <w:rFonts w:ascii="宋体" w:eastAsia="宋体" w:hint="eastAsia"/>
                <w:sz w:val="21"/>
              </w:rPr>
            </w:pPr>
            <w:r>
              <w:rPr>
                <w:rFonts w:ascii="宋体" w:eastAsia="宋体" w:hint="eastAsia"/>
                <w:sz w:val="21"/>
              </w:rPr>
              <w:t>达标</w:t>
            </w:r>
          </w:p>
        </w:tc>
      </w:tr>
    </w:tbl>
    <w:p>
      <w:pPr>
        <w:spacing w:before="47"/>
        <w:ind w:left="657" w:right="0" w:firstLine="0"/>
        <w:jc w:val="left"/>
        <w:rPr>
          <w:sz w:val="21"/>
        </w:rPr>
      </w:pPr>
      <w:r>
        <w:rPr/>
        <w:pict>
          <v:group style="position:absolute;margin-left:64.550003pt;margin-top:19.055006pt;width:221.15pt;height:215.35pt;mso-position-horizontal-relative:page;mso-position-vertical-relative:paragraph;z-index:-251433984;mso-wrap-distance-left:0;mso-wrap-distance-right:0" coordorigin="1291,381" coordsize="4423,4307">
            <v:shape style="position:absolute;left:1316;top:396;width:4382;height:4229" type="#_x0000_t75" stroked="false">
              <v:imagedata r:id="rId146" o:title=""/>
            </v:shape>
            <v:rect style="position:absolute;left:1298;top:388;width:4408;height:4292" filled="false" stroked="true" strokeweight=".75pt" strokecolor="#000000">
              <v:stroke dashstyle="solid"/>
            </v:rect>
            <v:shape style="position:absolute;left:5115;top:1658;width:491;height:2846" type="#_x0000_t75" stroked="false">
              <v:imagedata r:id="rId147" o:title=""/>
            </v:shape>
            <w10:wrap type="topAndBottom"/>
          </v:group>
        </w:pict>
      </w:r>
      <w:r>
        <w:rPr/>
        <w:pict>
          <v:group style="position:absolute;margin-left:292.554993pt;margin-top:19.055006pt;width:223.35pt;height:215.25pt;mso-position-horizontal-relative:page;mso-position-vertical-relative:paragraph;z-index:-251432960;mso-wrap-distance-left:0;mso-wrap-distance-right:0" coordorigin="5851,381" coordsize="4467,4305">
            <v:shape style="position:absolute;left:5882;top:396;width:4421;height:4249" type="#_x0000_t75" stroked="false">
              <v:imagedata r:id="rId148" o:title=""/>
            </v:shape>
            <v:rect style="position:absolute;left:5858;top:388;width:4452;height:4290" filled="false" stroked="true" strokeweight=".75pt" strokecolor="#000000">
              <v:stroke dashstyle="solid"/>
            </v:rect>
            <v:shape style="position:absolute;left:9699;top:1685;width:491;height:2846" type="#_x0000_t75" stroked="false">
              <v:imagedata r:id="rId147" o:title=""/>
            </v:shape>
            <w10:wrap type="topAndBottom"/>
          </v:group>
        </w:pict>
      </w:r>
      <w:r>
        <w:rPr>
          <w:sz w:val="21"/>
        </w:rPr>
        <w:t>注：厂界噪声不叠加背景值。</w:t>
      </w:r>
    </w:p>
    <w:p>
      <w:pPr>
        <w:pStyle w:val="Heading3"/>
        <w:spacing w:before="90"/>
        <w:ind w:left="2032"/>
        <w:jc w:val="both"/>
      </w:pPr>
      <w:r>
        <w:rPr/>
        <w:t>图 </w:t>
      </w:r>
      <w:r>
        <w:rPr>
          <w:rFonts w:ascii="Times New Roman" w:eastAsia="Times New Roman"/>
        </w:rPr>
        <w:t>5.2-19  </w:t>
      </w:r>
      <w:r>
        <w:rPr/>
        <w:t>昼夜间等声级线图（左为昼间、右为夜间）</w:t>
      </w:r>
    </w:p>
    <w:p>
      <w:pPr>
        <w:pStyle w:val="BodyText"/>
        <w:spacing w:line="364" w:lineRule="auto" w:before="161"/>
        <w:ind w:right="249" w:firstLine="480"/>
        <w:jc w:val="both"/>
      </w:pPr>
      <w:r>
        <w:rPr/>
        <w:t>由以上预测结果可以看出，本项目实施后，各声源产生的噪声衰减至四周厂界的声级贡献值均低于《工业企业厂界环境噪声排放标准》（</w:t>
      </w:r>
      <w:r>
        <w:rPr>
          <w:rFonts w:ascii="Times New Roman" w:eastAsia="Times New Roman"/>
          <w:position w:val="1"/>
        </w:rPr>
        <w:t>GB 12348-2008</w:t>
      </w:r>
      <w:r>
        <w:rPr/>
        <w:t>）</w:t>
      </w:r>
      <w:r>
        <w:rPr>
          <w:rFonts w:ascii="Times New Roman" w:eastAsia="Times New Roman"/>
          <w:position w:val="1"/>
        </w:rPr>
        <w:t>2 </w:t>
      </w:r>
      <w:r>
        <w:rPr/>
        <w:t>级排放标准要求。因此，在采取本环评提出的各项污染治理措施的基础上，各声源产生的噪声衰减至各厂界能满足相关标准要求，对周围声环境的影响较小。</w:t>
      </w:r>
    </w:p>
    <w:p>
      <w:pPr>
        <w:spacing w:after="0" w:line="364" w:lineRule="auto"/>
        <w:jc w:val="both"/>
        <w:sectPr>
          <w:pgSz w:w="11910" w:h="16840"/>
          <w:pgMar w:header="874" w:footer="1004" w:top="1420" w:bottom="1200" w:left="1040" w:right="1160"/>
        </w:sectPr>
      </w:pPr>
    </w:p>
    <w:p>
      <w:pPr>
        <w:pStyle w:val="Heading3"/>
        <w:spacing w:before="92"/>
      </w:pPr>
      <w:r>
        <w:rPr>
          <w:rFonts w:ascii="Times New Roman" w:eastAsia="Times New Roman"/>
        </w:rPr>
        <w:t>5</w:t>
      </w:r>
      <w:r>
        <w:rPr/>
        <w:t>、运输噪声影响分析</w:t>
      </w:r>
    </w:p>
    <w:p>
      <w:pPr>
        <w:pStyle w:val="BodyText"/>
        <w:spacing w:line="364" w:lineRule="auto" w:before="160"/>
        <w:ind w:right="131" w:firstLine="480"/>
      </w:pPr>
      <w:r>
        <w:rPr/>
        <w:t>本项目进出物料在运输过程中会产生噪声，对沿线的居民产生噪声影响。本项目在</w:t>
      </w:r>
      <w:r>
        <w:rPr>
          <w:spacing w:val="-4"/>
        </w:rPr>
        <w:t>运输过程中，对于运送物料的车辆等随机移动声源，企业应保证运输车辆技术性能良好， </w:t>
      </w:r>
      <w:r>
        <w:rPr/>
        <w:t>部件紧固，无刹车尖叫声；运输车辆均需安装完整有效的排气消声器。同时，企业应采取合理调度，减少夜间运输量，在途径村庄时减速行驶，禁鸣喇叭等措施后，可减轻物流运输中对沿途村的声环境影响。</w:t>
      </w:r>
    </w:p>
    <w:p>
      <w:pPr>
        <w:pStyle w:val="Heading3"/>
        <w:numPr>
          <w:ilvl w:val="2"/>
          <w:numId w:val="70"/>
        </w:numPr>
        <w:tabs>
          <w:tab w:pos="838" w:val="left" w:leader="none"/>
        </w:tabs>
        <w:spacing w:line="240" w:lineRule="auto" w:before="3" w:after="0"/>
        <w:ind w:left="837" w:right="0" w:hanging="601"/>
        <w:jc w:val="left"/>
      </w:pPr>
      <w:bookmarkStart w:name="_bookmark91" w:id="176"/>
      <w:bookmarkEnd w:id="176"/>
      <w:r>
        <w:rPr>
          <w:b w:val="0"/>
        </w:rPr>
      </w:r>
      <w:bookmarkStart w:name="_bookmark91" w:id="177"/>
      <w:bookmarkEnd w:id="177"/>
      <w:r>
        <w:rPr/>
        <w:t>环境风险影响预测与评价</w:t>
      </w:r>
    </w:p>
    <w:p>
      <w:pPr>
        <w:spacing w:before="161"/>
        <w:ind w:left="719" w:right="0" w:firstLine="0"/>
        <w:jc w:val="left"/>
        <w:rPr>
          <w:b/>
          <w:sz w:val="24"/>
        </w:rPr>
      </w:pPr>
      <w:r>
        <w:rPr>
          <w:rFonts w:ascii="Times New Roman" w:eastAsia="Times New Roman"/>
          <w:b/>
          <w:sz w:val="24"/>
        </w:rPr>
        <w:t>1</w:t>
      </w:r>
      <w:r>
        <w:rPr>
          <w:b/>
          <w:sz w:val="24"/>
        </w:rPr>
        <w:t>、风险调查</w:t>
      </w:r>
    </w:p>
    <w:p>
      <w:pPr>
        <w:pStyle w:val="ListParagraph"/>
        <w:numPr>
          <w:ilvl w:val="0"/>
          <w:numId w:val="81"/>
        </w:numPr>
        <w:tabs>
          <w:tab w:pos="1323" w:val="left" w:leader="none"/>
        </w:tabs>
        <w:spacing w:line="240" w:lineRule="auto" w:before="161" w:after="0"/>
        <w:ind w:left="1323" w:right="0" w:hanging="604"/>
        <w:jc w:val="left"/>
        <w:rPr>
          <w:b/>
          <w:sz w:val="24"/>
        </w:rPr>
      </w:pPr>
      <w:r>
        <w:rPr>
          <w:b/>
          <w:sz w:val="24"/>
        </w:rPr>
        <w:t>风险源调查</w:t>
      </w:r>
    </w:p>
    <w:p>
      <w:pPr>
        <w:pStyle w:val="BodyText"/>
        <w:spacing w:line="364" w:lineRule="auto" w:before="160"/>
        <w:ind w:right="248" w:firstLine="480"/>
        <w:jc w:val="both"/>
      </w:pPr>
      <w:r>
        <w:rPr/>
        <w:t>对照《建设项目环境风险评价技术导则》（</w:t>
      </w:r>
      <w:r>
        <w:rPr>
          <w:rFonts w:ascii="Times New Roman" w:hAnsi="Times New Roman" w:eastAsia="Times New Roman"/>
        </w:rPr>
        <w:t>HJ 169-2018</w:t>
      </w:r>
      <w:r>
        <w:rPr/>
        <w:t>）</w:t>
      </w:r>
      <w:r>
        <w:rPr>
          <w:spacing w:val="-21"/>
        </w:rPr>
        <w:t>附录 </w:t>
      </w:r>
      <w:r>
        <w:rPr>
          <w:rFonts w:ascii="Times New Roman" w:hAnsi="Times New Roman" w:eastAsia="Times New Roman"/>
        </w:rPr>
        <w:t>B </w:t>
      </w:r>
      <w:r>
        <w:rPr/>
        <w:t>中的“重点关注的危险物质及临界量”，本项目涉及的危险物质种类、年耗量、最大存在总量、分布位置</w:t>
      </w:r>
      <w:r>
        <w:rPr>
          <w:spacing w:val="-7"/>
        </w:rPr>
        <w:t>等基本信息详见表 </w:t>
      </w:r>
      <w:r>
        <w:rPr>
          <w:rFonts w:ascii="Times New Roman" w:hAnsi="Times New Roman" w:eastAsia="Times New Roman"/>
        </w:rPr>
        <w:t>5.2-36</w:t>
      </w:r>
      <w:r>
        <w:rPr/>
        <w:t>。</w:t>
      </w:r>
    </w:p>
    <w:p>
      <w:pPr>
        <w:pStyle w:val="Heading3"/>
        <w:spacing w:before="2"/>
        <w:ind w:left="2275"/>
        <w:jc w:val="both"/>
      </w:pPr>
      <w:r>
        <w:rPr/>
        <w:t>表 </w:t>
      </w:r>
      <w:r>
        <w:rPr>
          <w:rFonts w:ascii="Times New Roman" w:eastAsia="Times New Roman"/>
        </w:rPr>
        <w:t>5.2-36  </w:t>
      </w:r>
      <w:r>
        <w:rPr/>
        <w:t>本项目涉及的危险物质数量及分布情况</w:t>
      </w:r>
    </w:p>
    <w:p>
      <w:pPr>
        <w:pStyle w:val="BodyText"/>
        <w:spacing w:before="2"/>
        <w:ind w:left="0"/>
        <w:rPr>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1786"/>
        <w:gridCol w:w="1267"/>
        <w:gridCol w:w="1819"/>
        <w:gridCol w:w="1867"/>
        <w:gridCol w:w="2011"/>
      </w:tblGrid>
      <w:tr>
        <w:trPr>
          <w:trHeight w:val="359" w:hRule="atLeast"/>
        </w:trPr>
        <w:tc>
          <w:tcPr>
            <w:tcW w:w="674" w:type="dxa"/>
            <w:tcBorders>
              <w:bottom w:val="single" w:sz="6" w:space="0" w:color="000000"/>
              <w:right w:val="single" w:sz="6" w:space="0" w:color="000000"/>
            </w:tcBorders>
          </w:tcPr>
          <w:p>
            <w:pPr>
              <w:pStyle w:val="TableParagraph"/>
              <w:spacing w:before="46"/>
              <w:ind w:left="99" w:right="85"/>
              <w:rPr>
                <w:rFonts w:ascii="宋体" w:eastAsia="宋体" w:hint="eastAsia"/>
                <w:b/>
                <w:sz w:val="21"/>
              </w:rPr>
            </w:pPr>
            <w:r>
              <w:rPr>
                <w:rFonts w:ascii="宋体" w:eastAsia="宋体" w:hint="eastAsia"/>
                <w:b/>
                <w:sz w:val="21"/>
              </w:rPr>
              <w:t>序号</w:t>
            </w:r>
          </w:p>
        </w:tc>
        <w:tc>
          <w:tcPr>
            <w:tcW w:w="1786" w:type="dxa"/>
            <w:tcBorders>
              <w:left w:val="single" w:sz="6" w:space="0" w:color="000000"/>
              <w:bottom w:val="single" w:sz="6" w:space="0" w:color="000000"/>
              <w:right w:val="single" w:sz="6" w:space="0" w:color="000000"/>
            </w:tcBorders>
          </w:tcPr>
          <w:p>
            <w:pPr>
              <w:pStyle w:val="TableParagraph"/>
              <w:spacing w:before="46"/>
              <w:ind w:left="142" w:right="118"/>
              <w:rPr>
                <w:rFonts w:ascii="宋体" w:eastAsia="宋体" w:hint="eastAsia"/>
                <w:b/>
                <w:sz w:val="21"/>
              </w:rPr>
            </w:pPr>
            <w:r>
              <w:rPr>
                <w:rFonts w:ascii="宋体" w:eastAsia="宋体" w:hint="eastAsia"/>
                <w:b/>
                <w:sz w:val="21"/>
              </w:rPr>
              <w:t>危险物质名称</w:t>
            </w:r>
          </w:p>
        </w:tc>
        <w:tc>
          <w:tcPr>
            <w:tcW w:w="1267" w:type="dxa"/>
            <w:tcBorders>
              <w:left w:val="single" w:sz="6" w:space="0" w:color="000000"/>
              <w:bottom w:val="single" w:sz="6" w:space="0" w:color="000000"/>
              <w:right w:val="single" w:sz="6" w:space="0" w:color="000000"/>
            </w:tcBorders>
          </w:tcPr>
          <w:p>
            <w:pPr>
              <w:pStyle w:val="TableParagraph"/>
              <w:spacing w:before="46"/>
              <w:ind w:left="127" w:right="100"/>
              <w:rPr>
                <w:rFonts w:ascii="宋体" w:eastAsia="宋体" w:hint="eastAsia"/>
                <w:b/>
                <w:sz w:val="21"/>
              </w:rPr>
            </w:pPr>
            <w:r>
              <w:rPr>
                <w:b/>
                <w:sz w:val="21"/>
              </w:rPr>
              <w:t>CAS </w:t>
            </w:r>
            <w:r>
              <w:rPr>
                <w:rFonts w:ascii="宋体" w:eastAsia="宋体" w:hint="eastAsia"/>
                <w:b/>
                <w:sz w:val="21"/>
              </w:rPr>
              <w:t>号</w:t>
            </w:r>
          </w:p>
        </w:tc>
        <w:tc>
          <w:tcPr>
            <w:tcW w:w="1819" w:type="dxa"/>
            <w:tcBorders>
              <w:left w:val="single" w:sz="6" w:space="0" w:color="000000"/>
              <w:bottom w:val="single" w:sz="6" w:space="0" w:color="000000"/>
              <w:right w:val="single" w:sz="6" w:space="0" w:color="000000"/>
            </w:tcBorders>
          </w:tcPr>
          <w:p>
            <w:pPr>
              <w:pStyle w:val="TableParagraph"/>
              <w:spacing w:before="43"/>
              <w:ind w:left="145" w:right="119"/>
              <w:rPr>
                <w:rFonts w:ascii="宋体" w:eastAsia="宋体" w:hint="eastAsia"/>
                <w:b/>
                <w:sz w:val="21"/>
              </w:rPr>
            </w:pPr>
            <w:r>
              <w:rPr>
                <w:rFonts w:ascii="宋体" w:eastAsia="宋体" w:hint="eastAsia"/>
                <w:b/>
                <w:sz w:val="21"/>
              </w:rPr>
              <w:t>年使用量（</w:t>
            </w:r>
            <w:r>
              <w:rPr>
                <w:b/>
                <w:sz w:val="21"/>
              </w:rPr>
              <w:t>t/a</w:t>
            </w:r>
            <w:r>
              <w:rPr>
                <w:rFonts w:ascii="宋体" w:eastAsia="宋体" w:hint="eastAsia"/>
                <w:b/>
                <w:sz w:val="21"/>
              </w:rPr>
              <w:t>）</w:t>
            </w:r>
          </w:p>
        </w:tc>
        <w:tc>
          <w:tcPr>
            <w:tcW w:w="1867" w:type="dxa"/>
            <w:tcBorders>
              <w:left w:val="single" w:sz="6" w:space="0" w:color="000000"/>
              <w:bottom w:val="single" w:sz="6" w:space="0" w:color="000000"/>
              <w:right w:val="single" w:sz="6" w:space="0" w:color="000000"/>
            </w:tcBorders>
          </w:tcPr>
          <w:p>
            <w:pPr>
              <w:pStyle w:val="TableParagraph"/>
              <w:spacing w:before="43"/>
              <w:ind w:left="146" w:right="119"/>
              <w:rPr>
                <w:rFonts w:ascii="宋体" w:eastAsia="宋体" w:hint="eastAsia"/>
                <w:b/>
                <w:sz w:val="21"/>
              </w:rPr>
            </w:pPr>
            <w:r>
              <w:rPr>
                <w:rFonts w:ascii="宋体" w:eastAsia="宋体" w:hint="eastAsia"/>
                <w:b/>
                <w:sz w:val="21"/>
              </w:rPr>
              <w:t>最大存在量（</w:t>
            </w:r>
            <w:r>
              <w:rPr>
                <w:b/>
                <w:sz w:val="21"/>
              </w:rPr>
              <w:t>t</w:t>
            </w:r>
            <w:r>
              <w:rPr>
                <w:rFonts w:ascii="宋体" w:eastAsia="宋体" w:hint="eastAsia"/>
                <w:b/>
                <w:sz w:val="21"/>
              </w:rPr>
              <w:t>）</w:t>
            </w:r>
          </w:p>
        </w:tc>
        <w:tc>
          <w:tcPr>
            <w:tcW w:w="2011" w:type="dxa"/>
            <w:tcBorders>
              <w:left w:val="single" w:sz="6" w:space="0" w:color="000000"/>
              <w:bottom w:val="single" w:sz="6" w:space="0" w:color="000000"/>
            </w:tcBorders>
          </w:tcPr>
          <w:p>
            <w:pPr>
              <w:pStyle w:val="TableParagraph"/>
              <w:spacing w:before="43"/>
              <w:ind w:left="364" w:right="324"/>
              <w:rPr>
                <w:rFonts w:ascii="宋体" w:eastAsia="宋体" w:hint="eastAsia"/>
                <w:b/>
                <w:sz w:val="21"/>
              </w:rPr>
            </w:pPr>
            <w:r>
              <w:rPr>
                <w:rFonts w:ascii="宋体" w:eastAsia="宋体" w:hint="eastAsia"/>
                <w:b/>
                <w:sz w:val="21"/>
              </w:rPr>
              <w:t>分布位置</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1</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8"/>
              <w:rPr>
                <w:rFonts w:ascii="宋体" w:eastAsia="宋体" w:hint="eastAsia"/>
                <w:sz w:val="21"/>
              </w:rPr>
            </w:pPr>
            <w:r>
              <w:rPr>
                <w:rFonts w:ascii="宋体" w:eastAsia="宋体" w:hint="eastAsia"/>
                <w:sz w:val="21"/>
              </w:rPr>
              <w:t>沼气</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132" w:right="100"/>
              <w:rPr>
                <w:sz w:val="21"/>
              </w:rPr>
            </w:pPr>
            <w:r>
              <w:rPr>
                <w:sz w:val="21"/>
              </w:rPr>
              <w:t>68476-85-7</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387.0</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1.28</w:t>
            </w:r>
          </w:p>
        </w:tc>
        <w:tc>
          <w:tcPr>
            <w:tcW w:w="2011" w:type="dxa"/>
            <w:tcBorders>
              <w:top w:val="single" w:sz="6" w:space="0" w:color="000000"/>
              <w:left w:val="single" w:sz="6" w:space="0" w:color="000000"/>
              <w:bottom w:val="single" w:sz="6" w:space="0" w:color="000000"/>
            </w:tcBorders>
          </w:tcPr>
          <w:p>
            <w:pPr>
              <w:pStyle w:val="TableParagraph"/>
              <w:spacing w:before="44"/>
              <w:ind w:left="364" w:right="324"/>
              <w:rPr>
                <w:rFonts w:ascii="宋体" w:eastAsia="宋体" w:hint="eastAsia"/>
                <w:sz w:val="21"/>
              </w:rPr>
            </w:pPr>
            <w:r>
              <w:rPr>
                <w:rFonts w:ascii="宋体" w:eastAsia="宋体" w:hint="eastAsia"/>
                <w:sz w:val="21"/>
              </w:rPr>
              <w:t>储气罐</w:t>
            </w:r>
          </w:p>
        </w:tc>
      </w:tr>
      <w:tr>
        <w:trPr>
          <w:trHeight w:val="357" w:hRule="atLeast"/>
        </w:trPr>
        <w:tc>
          <w:tcPr>
            <w:tcW w:w="67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2</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rFonts w:ascii="宋体" w:eastAsia="宋体" w:hint="eastAsia"/>
                <w:sz w:val="21"/>
              </w:rPr>
            </w:pPr>
            <w:r>
              <w:rPr>
                <w:rFonts w:ascii="宋体" w:eastAsia="宋体" w:hint="eastAsia"/>
                <w:w w:val="100"/>
                <w:sz w:val="21"/>
              </w:rPr>
              <w:t>氨</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130" w:right="100"/>
              <w:rPr>
                <w:sz w:val="21"/>
              </w:rPr>
            </w:pPr>
            <w:r>
              <w:rPr>
                <w:sz w:val="21"/>
              </w:rPr>
              <w:t>7664-41-7</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25.946</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146" w:right="119"/>
              <w:rPr>
                <w:sz w:val="21"/>
              </w:rPr>
            </w:pPr>
            <w:r>
              <w:rPr>
                <w:sz w:val="21"/>
              </w:rPr>
              <w:t>1.97E-04</w:t>
            </w:r>
          </w:p>
        </w:tc>
        <w:tc>
          <w:tcPr>
            <w:tcW w:w="2011" w:type="dxa"/>
            <w:vMerge w:val="restart"/>
            <w:tcBorders>
              <w:top w:val="single" w:sz="6" w:space="0" w:color="000000"/>
              <w:left w:val="single" w:sz="6" w:space="0" w:color="000000"/>
              <w:bottom w:val="single" w:sz="6" w:space="0" w:color="000000"/>
            </w:tcBorders>
          </w:tcPr>
          <w:p>
            <w:pPr>
              <w:pStyle w:val="TableParagraph"/>
              <w:spacing w:before="1"/>
              <w:jc w:val="left"/>
              <w:rPr>
                <w:rFonts w:ascii="宋体"/>
                <w:b/>
                <w:sz w:val="18"/>
              </w:rPr>
            </w:pPr>
          </w:p>
          <w:p>
            <w:pPr>
              <w:pStyle w:val="TableParagraph"/>
              <w:spacing w:before="0"/>
              <w:ind w:left="174"/>
              <w:jc w:val="left"/>
              <w:rPr>
                <w:rFonts w:ascii="宋体" w:eastAsia="宋体" w:hint="eastAsia"/>
                <w:sz w:val="21"/>
              </w:rPr>
            </w:pPr>
            <w:r>
              <w:rPr>
                <w:rFonts w:ascii="宋体" w:eastAsia="宋体" w:hint="eastAsia"/>
                <w:sz w:val="21"/>
              </w:rPr>
              <w:t>猪舍等臭气产生点</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spacing w:before="60"/>
              <w:ind w:left="14"/>
              <w:rPr>
                <w:sz w:val="21"/>
              </w:rPr>
            </w:pPr>
            <w:r>
              <w:rPr>
                <w:w w:val="100"/>
                <w:sz w:val="21"/>
              </w:rPr>
              <w:t>3</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6"/>
              <w:ind w:left="142" w:right="118"/>
              <w:rPr>
                <w:rFonts w:ascii="宋体" w:eastAsia="宋体" w:hint="eastAsia"/>
                <w:sz w:val="21"/>
              </w:rPr>
            </w:pPr>
            <w:r>
              <w:rPr>
                <w:rFonts w:ascii="宋体" w:eastAsia="宋体" w:hint="eastAsia"/>
                <w:sz w:val="21"/>
              </w:rPr>
              <w:t>硫化氢</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spacing w:before="60"/>
              <w:ind w:left="130" w:right="100"/>
              <w:rPr>
                <w:sz w:val="21"/>
              </w:rPr>
            </w:pPr>
            <w:r>
              <w:rPr>
                <w:sz w:val="21"/>
              </w:rPr>
              <w:t>7783-06-4</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spacing w:before="60"/>
              <w:ind w:left="145" w:right="119"/>
              <w:rPr>
                <w:sz w:val="21"/>
              </w:rPr>
            </w:pPr>
            <w:r>
              <w:rPr>
                <w:sz w:val="21"/>
              </w:rPr>
              <w:t>1.617</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spacing w:before="60"/>
              <w:ind w:left="146" w:right="119"/>
              <w:rPr>
                <w:sz w:val="21"/>
              </w:rPr>
            </w:pPr>
            <w:r>
              <w:rPr>
                <w:sz w:val="21"/>
              </w:rPr>
              <w:t>1.23E-05</w:t>
            </w:r>
          </w:p>
        </w:tc>
        <w:tc>
          <w:tcPr>
            <w:tcW w:w="2011" w:type="dxa"/>
            <w:vMerge/>
            <w:tcBorders>
              <w:top w:val="nil"/>
              <w:left w:val="single" w:sz="6" w:space="0" w:color="000000"/>
              <w:bottom w:val="single" w:sz="6" w:space="0" w:color="000000"/>
            </w:tcBorders>
          </w:tcPr>
          <w:p>
            <w:pPr>
              <w:rPr>
                <w:sz w:val="2"/>
                <w:szCs w:val="2"/>
              </w:rPr>
            </w:pP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4</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6"/>
              <w:rPr>
                <w:rFonts w:ascii="宋体" w:eastAsia="宋体" w:hint="eastAsia"/>
                <w:sz w:val="21"/>
              </w:rPr>
            </w:pPr>
            <w:r>
              <w:rPr>
                <w:rFonts w:ascii="宋体" w:eastAsia="宋体" w:hint="eastAsia"/>
                <w:sz w:val="21"/>
              </w:rPr>
              <w:t>过氧乙酸</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130" w:right="100"/>
              <w:rPr>
                <w:sz w:val="21"/>
              </w:rPr>
            </w:pPr>
            <w:r>
              <w:rPr>
                <w:sz w:val="21"/>
              </w:rPr>
              <w:t>79-21-0</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26"/>
              <w:rPr>
                <w:sz w:val="21"/>
              </w:rPr>
            </w:pPr>
            <w:r>
              <w:rPr>
                <w:w w:val="100"/>
                <w:sz w:val="21"/>
              </w:rPr>
              <w:t>2</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26"/>
              <w:rPr>
                <w:sz w:val="21"/>
              </w:rPr>
            </w:pPr>
            <w:r>
              <w:rPr>
                <w:w w:val="100"/>
                <w:sz w:val="21"/>
              </w:rPr>
              <w:t>1</w:t>
            </w:r>
          </w:p>
        </w:tc>
        <w:tc>
          <w:tcPr>
            <w:tcW w:w="2011" w:type="dxa"/>
            <w:tcBorders>
              <w:top w:val="single" w:sz="6" w:space="0" w:color="000000"/>
              <w:left w:val="single" w:sz="6" w:space="0" w:color="000000"/>
              <w:bottom w:val="single" w:sz="6" w:space="0" w:color="000000"/>
            </w:tcBorders>
          </w:tcPr>
          <w:p>
            <w:pPr>
              <w:pStyle w:val="TableParagraph"/>
              <w:spacing w:before="44"/>
              <w:ind w:left="364" w:right="324"/>
              <w:rPr>
                <w:rFonts w:ascii="宋体" w:eastAsia="宋体" w:hint="eastAsia"/>
                <w:sz w:val="21"/>
              </w:rPr>
            </w:pPr>
            <w:r>
              <w:rPr>
                <w:rFonts w:ascii="宋体" w:eastAsia="宋体" w:hint="eastAsia"/>
                <w:sz w:val="21"/>
              </w:rPr>
              <w:t>综合楼</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5</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6"/>
              <w:rPr>
                <w:rFonts w:ascii="宋体" w:eastAsia="宋体" w:hint="eastAsia"/>
                <w:sz w:val="21"/>
              </w:rPr>
            </w:pPr>
            <w:r>
              <w:rPr>
                <w:rFonts w:ascii="宋体" w:eastAsia="宋体" w:hint="eastAsia"/>
                <w:sz w:val="21"/>
              </w:rPr>
              <w:t>氢氧化钠</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130" w:right="100"/>
              <w:rPr>
                <w:sz w:val="21"/>
              </w:rPr>
            </w:pPr>
            <w:r>
              <w:rPr>
                <w:sz w:val="21"/>
              </w:rPr>
              <w:t>1310-73-2</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22</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1.8</w:t>
            </w:r>
          </w:p>
        </w:tc>
        <w:tc>
          <w:tcPr>
            <w:tcW w:w="2011" w:type="dxa"/>
            <w:tcBorders>
              <w:top w:val="single" w:sz="6" w:space="0" w:color="000000"/>
              <w:left w:val="single" w:sz="6" w:space="0" w:color="000000"/>
              <w:bottom w:val="single" w:sz="6" w:space="0" w:color="000000"/>
            </w:tcBorders>
          </w:tcPr>
          <w:p>
            <w:pPr>
              <w:pStyle w:val="TableParagraph"/>
              <w:spacing w:before="44"/>
              <w:ind w:left="364" w:right="324"/>
              <w:rPr>
                <w:rFonts w:ascii="宋体" w:eastAsia="宋体" w:hint="eastAsia"/>
                <w:sz w:val="21"/>
              </w:rPr>
            </w:pPr>
            <w:r>
              <w:rPr>
                <w:rFonts w:ascii="宋体" w:eastAsia="宋体" w:hint="eastAsia"/>
                <w:sz w:val="21"/>
              </w:rPr>
              <w:t>污水站</w:t>
            </w:r>
          </w:p>
        </w:tc>
      </w:tr>
      <w:tr>
        <w:trPr>
          <w:trHeight w:val="356" w:hRule="atLeast"/>
        </w:trPr>
        <w:tc>
          <w:tcPr>
            <w:tcW w:w="67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6</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6"/>
              <w:rPr>
                <w:rFonts w:ascii="宋体" w:eastAsia="宋体" w:hint="eastAsia"/>
                <w:sz w:val="21"/>
              </w:rPr>
            </w:pPr>
            <w:r>
              <w:rPr>
                <w:rFonts w:ascii="宋体" w:eastAsia="宋体" w:hint="eastAsia"/>
                <w:sz w:val="21"/>
              </w:rPr>
              <w:t>次氯酸钠</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130" w:right="100"/>
              <w:rPr>
                <w:sz w:val="21"/>
              </w:rPr>
            </w:pPr>
            <w:r>
              <w:rPr>
                <w:sz w:val="21"/>
              </w:rPr>
              <w:t>7681-52-9</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3.6</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0.9</w:t>
            </w:r>
          </w:p>
        </w:tc>
        <w:tc>
          <w:tcPr>
            <w:tcW w:w="2011" w:type="dxa"/>
            <w:tcBorders>
              <w:top w:val="single" w:sz="6" w:space="0" w:color="000000"/>
              <w:left w:val="single" w:sz="6" w:space="0" w:color="000000"/>
              <w:bottom w:val="single" w:sz="6" w:space="0" w:color="000000"/>
            </w:tcBorders>
          </w:tcPr>
          <w:p>
            <w:pPr>
              <w:pStyle w:val="TableParagraph"/>
              <w:spacing w:before="44"/>
              <w:ind w:left="364" w:right="324"/>
              <w:rPr>
                <w:rFonts w:ascii="宋体" w:eastAsia="宋体" w:hint="eastAsia"/>
                <w:sz w:val="21"/>
              </w:rPr>
            </w:pPr>
            <w:r>
              <w:rPr>
                <w:rFonts w:ascii="宋体" w:eastAsia="宋体" w:hint="eastAsia"/>
                <w:sz w:val="21"/>
              </w:rPr>
              <w:t>污水站</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spacing w:before="60"/>
              <w:ind w:left="14"/>
              <w:rPr>
                <w:sz w:val="21"/>
              </w:rPr>
            </w:pPr>
            <w:r>
              <w:rPr>
                <w:w w:val="100"/>
                <w:sz w:val="21"/>
              </w:rPr>
              <w:t>7</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6"/>
              <w:ind w:left="142" w:right="118"/>
              <w:rPr>
                <w:rFonts w:ascii="宋体" w:eastAsia="宋体" w:hint="eastAsia"/>
                <w:sz w:val="21"/>
              </w:rPr>
            </w:pPr>
            <w:r>
              <w:rPr>
                <w:rFonts w:ascii="宋体" w:eastAsia="宋体" w:hint="eastAsia"/>
                <w:sz w:val="21"/>
              </w:rPr>
              <w:t>导热油</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1"/>
              </w:rPr>
            </w:pPr>
            <w:r>
              <w:rPr>
                <w:w w:val="100"/>
                <w:sz w:val="21"/>
              </w:rPr>
              <w:t>/</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spacing w:before="60"/>
              <w:ind w:left="145" w:right="119"/>
              <w:rPr>
                <w:sz w:val="21"/>
              </w:rPr>
            </w:pPr>
            <w:r>
              <w:rPr>
                <w:sz w:val="21"/>
              </w:rPr>
              <w:t>0.55</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spacing w:before="60"/>
              <w:ind w:left="145" w:right="119"/>
              <w:rPr>
                <w:sz w:val="21"/>
              </w:rPr>
            </w:pPr>
            <w:r>
              <w:rPr>
                <w:sz w:val="21"/>
              </w:rPr>
              <w:t>0.55</w:t>
            </w:r>
          </w:p>
        </w:tc>
        <w:tc>
          <w:tcPr>
            <w:tcW w:w="2011" w:type="dxa"/>
            <w:tcBorders>
              <w:top w:val="single" w:sz="6" w:space="0" w:color="000000"/>
              <w:left w:val="single" w:sz="6" w:space="0" w:color="000000"/>
              <w:bottom w:val="single" w:sz="6" w:space="0" w:color="000000"/>
            </w:tcBorders>
          </w:tcPr>
          <w:p>
            <w:pPr>
              <w:pStyle w:val="TableParagraph"/>
              <w:spacing w:before="46"/>
              <w:ind w:left="364" w:right="324"/>
              <w:rPr>
                <w:rFonts w:ascii="宋体" w:eastAsia="宋体" w:hint="eastAsia"/>
                <w:sz w:val="21"/>
              </w:rPr>
            </w:pPr>
            <w:r>
              <w:rPr>
                <w:rFonts w:ascii="宋体" w:eastAsia="宋体" w:hint="eastAsia"/>
                <w:sz w:val="21"/>
              </w:rPr>
              <w:t>无害化处理间</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8</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6"/>
              <w:rPr>
                <w:rFonts w:ascii="宋体" w:eastAsia="宋体" w:hint="eastAsia"/>
                <w:sz w:val="21"/>
              </w:rPr>
            </w:pPr>
            <w:r>
              <w:rPr>
                <w:rFonts w:ascii="宋体" w:eastAsia="宋体" w:hint="eastAsia"/>
                <w:sz w:val="21"/>
              </w:rPr>
              <w:t>废矿物油</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w w:val="100"/>
                <w:sz w:val="21"/>
              </w:rPr>
              <w:t>/</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0.40</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0.40</w:t>
            </w:r>
          </w:p>
        </w:tc>
        <w:tc>
          <w:tcPr>
            <w:tcW w:w="2011" w:type="dxa"/>
            <w:tcBorders>
              <w:top w:val="single" w:sz="6" w:space="0" w:color="000000"/>
              <w:left w:val="single" w:sz="6" w:space="0" w:color="000000"/>
              <w:bottom w:val="single" w:sz="6" w:space="0" w:color="000000"/>
            </w:tcBorders>
          </w:tcPr>
          <w:p>
            <w:pPr>
              <w:pStyle w:val="TableParagraph"/>
              <w:spacing w:before="44"/>
              <w:ind w:left="364" w:right="321"/>
              <w:rPr>
                <w:rFonts w:ascii="宋体" w:eastAsia="宋体" w:hint="eastAsia"/>
                <w:sz w:val="21"/>
              </w:rPr>
            </w:pPr>
            <w:r>
              <w:rPr>
                <w:rFonts w:ascii="宋体" w:eastAsia="宋体" w:hint="eastAsia"/>
                <w:sz w:val="21"/>
              </w:rPr>
              <w:t>危废仓库</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9</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8"/>
              <w:rPr>
                <w:rFonts w:ascii="宋体" w:eastAsia="宋体" w:hint="eastAsia"/>
                <w:sz w:val="21"/>
              </w:rPr>
            </w:pPr>
            <w:r>
              <w:rPr>
                <w:rFonts w:ascii="宋体" w:eastAsia="宋体" w:hint="eastAsia"/>
                <w:sz w:val="21"/>
              </w:rPr>
              <w:t>病死猪</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w w:val="100"/>
                <w:sz w:val="21"/>
              </w:rPr>
              <w:t>/</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447.5</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8.6</w:t>
            </w:r>
          </w:p>
        </w:tc>
        <w:tc>
          <w:tcPr>
            <w:tcW w:w="2011" w:type="dxa"/>
            <w:tcBorders>
              <w:top w:val="single" w:sz="6" w:space="0" w:color="000000"/>
              <w:left w:val="single" w:sz="6" w:space="0" w:color="000000"/>
              <w:bottom w:val="single" w:sz="6" w:space="0" w:color="000000"/>
            </w:tcBorders>
          </w:tcPr>
          <w:p>
            <w:pPr>
              <w:pStyle w:val="TableParagraph"/>
              <w:spacing w:before="44"/>
              <w:ind w:left="364" w:right="324"/>
              <w:rPr>
                <w:rFonts w:ascii="宋体" w:eastAsia="宋体" w:hint="eastAsia"/>
                <w:sz w:val="21"/>
              </w:rPr>
            </w:pPr>
            <w:r>
              <w:rPr>
                <w:rFonts w:ascii="宋体" w:eastAsia="宋体" w:hint="eastAsia"/>
                <w:sz w:val="21"/>
              </w:rPr>
              <w:t>无害化处理间</w:t>
            </w:r>
          </w:p>
        </w:tc>
      </w:tr>
      <w:tr>
        <w:trPr>
          <w:trHeight w:val="356" w:hRule="atLeast"/>
        </w:trPr>
        <w:tc>
          <w:tcPr>
            <w:tcW w:w="674" w:type="dxa"/>
            <w:tcBorders>
              <w:top w:val="single" w:sz="6" w:space="0" w:color="000000"/>
              <w:bottom w:val="single" w:sz="6" w:space="0" w:color="000000"/>
              <w:right w:val="single" w:sz="6" w:space="0" w:color="000000"/>
            </w:tcBorders>
          </w:tcPr>
          <w:p>
            <w:pPr>
              <w:pStyle w:val="TableParagraph"/>
              <w:ind w:left="99" w:right="85"/>
              <w:rPr>
                <w:sz w:val="21"/>
              </w:rPr>
            </w:pPr>
            <w:r>
              <w:rPr>
                <w:sz w:val="21"/>
              </w:rPr>
              <w:t>10</w:t>
            </w:r>
          </w:p>
        </w:tc>
        <w:tc>
          <w:tcPr>
            <w:tcW w:w="1786" w:type="dxa"/>
            <w:tcBorders>
              <w:top w:val="single" w:sz="6" w:space="0" w:color="000000"/>
              <w:left w:val="single" w:sz="6" w:space="0" w:color="000000"/>
              <w:bottom w:val="single" w:sz="6" w:space="0" w:color="000000"/>
              <w:right w:val="single" w:sz="6" w:space="0" w:color="000000"/>
            </w:tcBorders>
          </w:tcPr>
          <w:p>
            <w:pPr>
              <w:pStyle w:val="TableParagraph"/>
              <w:spacing w:before="44"/>
              <w:ind w:left="142" w:right="118"/>
              <w:rPr>
                <w:rFonts w:ascii="宋体" w:eastAsia="宋体" w:hint="eastAsia"/>
                <w:sz w:val="21"/>
              </w:rPr>
            </w:pPr>
            <w:r>
              <w:rPr>
                <w:rFonts w:ascii="宋体" w:eastAsia="宋体" w:hint="eastAsia"/>
                <w:sz w:val="21"/>
              </w:rPr>
              <w:t>危化品废包装物</w:t>
            </w:r>
          </w:p>
        </w:tc>
        <w:tc>
          <w:tcPr>
            <w:tcW w:w="126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w w:val="100"/>
                <w:sz w:val="21"/>
              </w:rPr>
              <w:t>/</w:t>
            </w:r>
          </w:p>
        </w:tc>
        <w:tc>
          <w:tcPr>
            <w:tcW w:w="1819"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0.6</w:t>
            </w:r>
          </w:p>
        </w:tc>
        <w:tc>
          <w:tcPr>
            <w:tcW w:w="1867" w:type="dxa"/>
            <w:tcBorders>
              <w:top w:val="single" w:sz="6" w:space="0" w:color="000000"/>
              <w:left w:val="single" w:sz="6" w:space="0" w:color="000000"/>
              <w:bottom w:val="single" w:sz="6" w:space="0" w:color="000000"/>
              <w:right w:val="single" w:sz="6" w:space="0" w:color="000000"/>
            </w:tcBorders>
          </w:tcPr>
          <w:p>
            <w:pPr>
              <w:pStyle w:val="TableParagraph"/>
              <w:ind w:left="145" w:right="119"/>
              <w:rPr>
                <w:sz w:val="21"/>
              </w:rPr>
            </w:pPr>
            <w:r>
              <w:rPr>
                <w:sz w:val="21"/>
              </w:rPr>
              <w:t>0.6</w:t>
            </w:r>
          </w:p>
        </w:tc>
        <w:tc>
          <w:tcPr>
            <w:tcW w:w="2011" w:type="dxa"/>
            <w:tcBorders>
              <w:top w:val="single" w:sz="6" w:space="0" w:color="000000"/>
              <w:left w:val="single" w:sz="6" w:space="0" w:color="000000"/>
              <w:bottom w:val="single" w:sz="6" w:space="0" w:color="000000"/>
            </w:tcBorders>
          </w:tcPr>
          <w:p>
            <w:pPr>
              <w:pStyle w:val="TableParagraph"/>
              <w:spacing w:before="44"/>
              <w:ind w:left="364" w:right="321"/>
              <w:rPr>
                <w:rFonts w:ascii="宋体" w:eastAsia="宋体" w:hint="eastAsia"/>
                <w:sz w:val="21"/>
              </w:rPr>
            </w:pPr>
            <w:r>
              <w:rPr>
                <w:rFonts w:ascii="宋体" w:eastAsia="宋体" w:hint="eastAsia"/>
                <w:sz w:val="21"/>
              </w:rPr>
              <w:t>危废仓库</w:t>
            </w:r>
          </w:p>
        </w:tc>
      </w:tr>
      <w:tr>
        <w:trPr>
          <w:trHeight w:val="361" w:hRule="atLeast"/>
        </w:trPr>
        <w:tc>
          <w:tcPr>
            <w:tcW w:w="674" w:type="dxa"/>
            <w:tcBorders>
              <w:top w:val="single" w:sz="6" w:space="0" w:color="000000"/>
              <w:right w:val="single" w:sz="6" w:space="0" w:color="000000"/>
            </w:tcBorders>
          </w:tcPr>
          <w:p>
            <w:pPr>
              <w:pStyle w:val="TableParagraph"/>
              <w:spacing w:before="60"/>
              <w:ind w:left="94" w:right="85"/>
              <w:rPr>
                <w:sz w:val="21"/>
              </w:rPr>
            </w:pPr>
            <w:r>
              <w:rPr>
                <w:sz w:val="21"/>
              </w:rPr>
              <w:t>11</w:t>
            </w:r>
          </w:p>
        </w:tc>
        <w:tc>
          <w:tcPr>
            <w:tcW w:w="1786" w:type="dxa"/>
            <w:tcBorders>
              <w:top w:val="single" w:sz="6" w:space="0" w:color="000000"/>
              <w:left w:val="single" w:sz="6" w:space="0" w:color="000000"/>
              <w:right w:val="single" w:sz="6" w:space="0" w:color="000000"/>
            </w:tcBorders>
          </w:tcPr>
          <w:p>
            <w:pPr>
              <w:pStyle w:val="TableParagraph"/>
              <w:spacing w:before="46"/>
              <w:ind w:left="142" w:right="116"/>
              <w:rPr>
                <w:rFonts w:ascii="宋体" w:eastAsia="宋体" w:hint="eastAsia"/>
                <w:sz w:val="21"/>
              </w:rPr>
            </w:pPr>
            <w:r>
              <w:rPr>
                <w:rFonts w:ascii="宋体" w:eastAsia="宋体" w:hint="eastAsia"/>
                <w:sz w:val="21"/>
              </w:rPr>
              <w:t>医疗废物</w:t>
            </w:r>
          </w:p>
        </w:tc>
        <w:tc>
          <w:tcPr>
            <w:tcW w:w="1267" w:type="dxa"/>
            <w:tcBorders>
              <w:top w:val="single" w:sz="6" w:space="0" w:color="000000"/>
              <w:left w:val="single" w:sz="6" w:space="0" w:color="000000"/>
              <w:right w:val="single" w:sz="6" w:space="0" w:color="000000"/>
            </w:tcBorders>
          </w:tcPr>
          <w:p>
            <w:pPr>
              <w:pStyle w:val="TableParagraph"/>
              <w:spacing w:before="60"/>
              <w:ind w:left="31"/>
              <w:rPr>
                <w:sz w:val="21"/>
              </w:rPr>
            </w:pPr>
            <w:r>
              <w:rPr>
                <w:w w:val="100"/>
                <w:sz w:val="21"/>
              </w:rPr>
              <w:t>/</w:t>
            </w:r>
          </w:p>
        </w:tc>
        <w:tc>
          <w:tcPr>
            <w:tcW w:w="1819" w:type="dxa"/>
            <w:tcBorders>
              <w:top w:val="single" w:sz="6" w:space="0" w:color="000000"/>
              <w:left w:val="single" w:sz="6" w:space="0" w:color="000000"/>
              <w:right w:val="single" w:sz="6" w:space="0" w:color="000000"/>
            </w:tcBorders>
          </w:tcPr>
          <w:p>
            <w:pPr>
              <w:pStyle w:val="TableParagraph"/>
              <w:spacing w:before="60"/>
              <w:ind w:left="145" w:right="119"/>
              <w:rPr>
                <w:sz w:val="21"/>
              </w:rPr>
            </w:pPr>
            <w:r>
              <w:rPr>
                <w:sz w:val="21"/>
              </w:rPr>
              <w:t>4.3</w:t>
            </w:r>
          </w:p>
        </w:tc>
        <w:tc>
          <w:tcPr>
            <w:tcW w:w="1867" w:type="dxa"/>
            <w:tcBorders>
              <w:top w:val="single" w:sz="6" w:space="0" w:color="000000"/>
              <w:left w:val="single" w:sz="6" w:space="0" w:color="000000"/>
              <w:right w:val="single" w:sz="6" w:space="0" w:color="000000"/>
            </w:tcBorders>
          </w:tcPr>
          <w:p>
            <w:pPr>
              <w:pStyle w:val="TableParagraph"/>
              <w:spacing w:before="60"/>
              <w:ind w:left="145" w:right="119"/>
              <w:rPr>
                <w:sz w:val="21"/>
              </w:rPr>
            </w:pPr>
            <w:r>
              <w:rPr>
                <w:sz w:val="21"/>
              </w:rPr>
              <w:t>4.3</w:t>
            </w:r>
          </w:p>
        </w:tc>
        <w:tc>
          <w:tcPr>
            <w:tcW w:w="2011" w:type="dxa"/>
            <w:tcBorders>
              <w:top w:val="single" w:sz="6" w:space="0" w:color="000000"/>
              <w:left w:val="single" w:sz="6" w:space="0" w:color="000000"/>
            </w:tcBorders>
          </w:tcPr>
          <w:p>
            <w:pPr>
              <w:pStyle w:val="TableParagraph"/>
              <w:spacing w:before="46"/>
              <w:ind w:left="364" w:right="321"/>
              <w:rPr>
                <w:rFonts w:ascii="宋体" w:eastAsia="宋体" w:hint="eastAsia"/>
                <w:sz w:val="21"/>
              </w:rPr>
            </w:pPr>
            <w:r>
              <w:rPr>
                <w:rFonts w:ascii="宋体" w:eastAsia="宋体" w:hint="eastAsia"/>
                <w:sz w:val="21"/>
              </w:rPr>
              <w:t>医废隔间</w:t>
            </w:r>
          </w:p>
        </w:tc>
      </w:tr>
    </w:tbl>
    <w:p>
      <w:pPr>
        <w:spacing w:line="319" w:lineRule="auto" w:before="45"/>
        <w:ind w:left="237" w:right="203" w:firstLine="420"/>
        <w:jc w:val="left"/>
        <w:rPr>
          <w:sz w:val="21"/>
        </w:rPr>
      </w:pPr>
      <w:r>
        <w:rPr>
          <w:spacing w:val="-5"/>
          <w:sz w:val="21"/>
        </w:rPr>
        <w:t>注：年使用量包括年产生量；氨、硫化氢最大存在量按 </w:t>
      </w:r>
      <w:r>
        <w:rPr>
          <w:rFonts w:ascii="Times New Roman" w:eastAsia="Times New Roman"/>
          <w:sz w:val="21"/>
        </w:rPr>
        <w:t>15 </w:t>
      </w:r>
      <w:r>
        <w:rPr>
          <w:sz w:val="21"/>
        </w:rPr>
        <w:t>次</w:t>
      </w:r>
      <w:r>
        <w:rPr>
          <w:rFonts w:ascii="Times New Roman" w:eastAsia="Times New Roman"/>
          <w:sz w:val="21"/>
        </w:rPr>
        <w:t>/h </w:t>
      </w:r>
      <w:r>
        <w:rPr>
          <w:spacing w:val="-9"/>
          <w:sz w:val="21"/>
        </w:rPr>
        <w:t>的换风频次即 </w:t>
      </w:r>
      <w:r>
        <w:rPr>
          <w:rFonts w:ascii="Times New Roman" w:eastAsia="Times New Roman"/>
          <w:sz w:val="21"/>
        </w:rPr>
        <w:t>4min </w:t>
      </w:r>
      <w:r>
        <w:rPr>
          <w:spacing w:val="-3"/>
          <w:sz w:val="21"/>
        </w:rPr>
        <w:t>的存在量计； 病死猪最大存在量按一周的产生量计；医疗废物最大存在量按一年的产生量计。</w:t>
      </w:r>
    </w:p>
    <w:p>
      <w:pPr>
        <w:pStyle w:val="Heading3"/>
        <w:numPr>
          <w:ilvl w:val="0"/>
          <w:numId w:val="81"/>
        </w:numPr>
        <w:tabs>
          <w:tab w:pos="1323" w:val="left" w:leader="none"/>
        </w:tabs>
        <w:spacing w:line="240" w:lineRule="auto" w:before="39" w:after="0"/>
        <w:ind w:left="1323" w:right="0" w:hanging="604"/>
        <w:jc w:val="left"/>
      </w:pPr>
      <w:r>
        <w:rPr/>
        <w:t>环境敏感目标调查</w:t>
      </w:r>
    </w:p>
    <w:p>
      <w:pPr>
        <w:spacing w:line="364" w:lineRule="auto" w:before="161"/>
        <w:ind w:left="2635" w:right="320" w:hanging="1919"/>
        <w:jc w:val="left"/>
        <w:rPr>
          <w:b/>
          <w:sz w:val="24"/>
        </w:rPr>
      </w:pPr>
      <w:r>
        <w:rPr/>
        <w:pict>
          <v:shape style="position:absolute;margin-left:57.743999pt;margin-top:50.770096pt;width:473.75pt;height:58.35pt;mso-position-horizontal-relative:page;mso-position-vertical-relative:paragraph;z-index:251884544"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5"/>
                    <w:gridCol w:w="720"/>
                    <w:gridCol w:w="1949"/>
                    <w:gridCol w:w="1308"/>
                    <w:gridCol w:w="1308"/>
                    <w:gridCol w:w="1390"/>
                    <w:gridCol w:w="1800"/>
                  </w:tblGrid>
                  <w:tr>
                    <w:trPr>
                      <w:trHeight w:val="359" w:hRule="atLeast"/>
                    </w:trPr>
                    <w:tc>
                      <w:tcPr>
                        <w:tcW w:w="955" w:type="dxa"/>
                        <w:tcBorders>
                          <w:bottom w:val="single" w:sz="6" w:space="0" w:color="000000"/>
                          <w:right w:val="single" w:sz="6" w:space="0" w:color="000000"/>
                        </w:tcBorders>
                      </w:tcPr>
                      <w:p>
                        <w:pPr>
                          <w:pStyle w:val="TableParagraph"/>
                          <w:spacing w:before="46"/>
                          <w:ind w:left="265"/>
                          <w:jc w:val="left"/>
                          <w:rPr>
                            <w:rFonts w:ascii="宋体" w:eastAsia="宋体" w:hint="eastAsia"/>
                            <w:b/>
                            <w:sz w:val="21"/>
                          </w:rPr>
                        </w:pPr>
                        <w:r>
                          <w:rPr>
                            <w:rFonts w:ascii="宋体" w:eastAsia="宋体" w:hint="eastAsia"/>
                            <w:b/>
                            <w:sz w:val="21"/>
                          </w:rPr>
                          <w:t>类别</w:t>
                        </w:r>
                      </w:p>
                    </w:tc>
                    <w:tc>
                      <w:tcPr>
                        <w:tcW w:w="8475" w:type="dxa"/>
                        <w:gridSpan w:val="6"/>
                        <w:tcBorders>
                          <w:left w:val="single" w:sz="6" w:space="0" w:color="000000"/>
                          <w:bottom w:val="single" w:sz="6" w:space="0" w:color="000000"/>
                        </w:tcBorders>
                      </w:tcPr>
                      <w:p>
                        <w:pPr>
                          <w:pStyle w:val="TableParagraph"/>
                          <w:spacing w:before="46"/>
                          <w:ind w:left="3224" w:right="3184"/>
                          <w:rPr>
                            <w:rFonts w:ascii="宋体" w:eastAsia="宋体" w:hint="eastAsia"/>
                            <w:b/>
                            <w:sz w:val="21"/>
                          </w:rPr>
                        </w:pPr>
                        <w:r>
                          <w:rPr>
                            <w:rFonts w:ascii="宋体" w:eastAsia="宋体" w:hint="eastAsia"/>
                            <w:b/>
                            <w:sz w:val="21"/>
                          </w:rPr>
                          <w:t>环境敏感特征</w:t>
                        </w:r>
                      </w:p>
                    </w:tc>
                  </w:tr>
                  <w:tr>
                    <w:trPr>
                      <w:trHeight w:val="349" w:hRule="atLeast"/>
                    </w:trPr>
                    <w:tc>
                      <w:tcPr>
                        <w:tcW w:w="955" w:type="dxa"/>
                        <w:vMerge w:val="restart"/>
                        <w:tcBorders>
                          <w:top w:val="single" w:sz="6" w:space="0" w:color="000000"/>
                          <w:right w:val="single" w:sz="6" w:space="0" w:color="000000"/>
                        </w:tcBorders>
                      </w:tcPr>
                      <w:p>
                        <w:pPr>
                          <w:pStyle w:val="TableParagraph"/>
                          <w:spacing w:before="51"/>
                          <w:ind w:left="265"/>
                          <w:jc w:val="left"/>
                          <w:rPr>
                            <w:rFonts w:ascii="宋体" w:eastAsia="宋体" w:hint="eastAsia"/>
                            <w:b/>
                            <w:sz w:val="21"/>
                          </w:rPr>
                        </w:pPr>
                        <w:r>
                          <w:rPr>
                            <w:rFonts w:ascii="宋体" w:eastAsia="宋体" w:hint="eastAsia"/>
                            <w:b/>
                            <w:sz w:val="21"/>
                          </w:rPr>
                          <w:t>环境</w:t>
                        </w:r>
                      </w:p>
                      <w:p>
                        <w:pPr>
                          <w:pStyle w:val="TableParagraph"/>
                          <w:spacing w:before="91"/>
                          <w:ind w:left="265"/>
                          <w:jc w:val="left"/>
                          <w:rPr>
                            <w:rFonts w:ascii="宋体" w:eastAsia="宋体" w:hint="eastAsia"/>
                            <w:b/>
                            <w:sz w:val="21"/>
                          </w:rPr>
                        </w:pPr>
                        <w:r>
                          <w:rPr>
                            <w:rFonts w:ascii="宋体" w:eastAsia="宋体" w:hint="eastAsia"/>
                            <w:b/>
                            <w:sz w:val="21"/>
                          </w:rPr>
                          <w:t>空气</w:t>
                        </w:r>
                      </w:p>
                    </w:tc>
                    <w:tc>
                      <w:tcPr>
                        <w:tcW w:w="8475" w:type="dxa"/>
                        <w:gridSpan w:val="6"/>
                        <w:tcBorders>
                          <w:top w:val="single" w:sz="6" w:space="0" w:color="000000"/>
                          <w:left w:val="single" w:sz="6" w:space="0" w:color="000000"/>
                          <w:bottom w:val="single" w:sz="6" w:space="0" w:color="000000"/>
                        </w:tcBorders>
                      </w:tcPr>
                      <w:p>
                        <w:pPr>
                          <w:pStyle w:val="TableParagraph"/>
                          <w:spacing w:before="44"/>
                          <w:ind w:left="3224" w:right="3187"/>
                          <w:rPr>
                            <w:rFonts w:ascii="宋体" w:eastAsia="宋体" w:hint="eastAsia"/>
                            <w:sz w:val="21"/>
                          </w:rPr>
                        </w:pPr>
                        <w:r>
                          <w:rPr>
                            <w:rFonts w:ascii="宋体" w:eastAsia="宋体" w:hint="eastAsia"/>
                            <w:sz w:val="21"/>
                          </w:rPr>
                          <w:t>厂址周边 </w:t>
                        </w:r>
                        <w:r>
                          <w:rPr>
                            <w:sz w:val="21"/>
                          </w:rPr>
                          <w:t>5km </w:t>
                        </w:r>
                        <w:r>
                          <w:rPr>
                            <w:rFonts w:ascii="宋体" w:eastAsia="宋体" w:hint="eastAsia"/>
                            <w:sz w:val="21"/>
                          </w:rPr>
                          <w:t>范围内</w:t>
                        </w:r>
                      </w:p>
                    </w:tc>
                  </w:tr>
                  <w:tr>
                    <w:trPr>
                      <w:trHeight w:val="353" w:hRule="atLeast"/>
                    </w:trPr>
                    <w:tc>
                      <w:tcPr>
                        <w:tcW w:w="955" w:type="dxa"/>
                        <w:vMerge/>
                        <w:tcBorders>
                          <w:top w:val="nil"/>
                          <w:right w:val="single" w:sz="6" w:space="0" w:color="000000"/>
                        </w:tcBorders>
                      </w:tcPr>
                      <w:p>
                        <w:pPr>
                          <w:rPr>
                            <w:sz w:val="2"/>
                            <w:szCs w:val="2"/>
                          </w:rPr>
                        </w:pPr>
                      </w:p>
                    </w:tc>
                    <w:tc>
                      <w:tcPr>
                        <w:tcW w:w="720" w:type="dxa"/>
                        <w:tcBorders>
                          <w:top w:val="single" w:sz="6" w:space="0" w:color="000000"/>
                          <w:left w:val="single" w:sz="6" w:space="0" w:color="000000"/>
                          <w:right w:val="single" w:sz="6" w:space="0" w:color="000000"/>
                        </w:tcBorders>
                      </w:tcPr>
                      <w:p>
                        <w:pPr>
                          <w:pStyle w:val="TableParagraph"/>
                          <w:spacing w:before="39"/>
                          <w:ind w:left="155"/>
                          <w:jc w:val="left"/>
                          <w:rPr>
                            <w:rFonts w:ascii="宋体" w:eastAsia="宋体" w:hint="eastAsia"/>
                            <w:sz w:val="21"/>
                          </w:rPr>
                        </w:pPr>
                        <w:r>
                          <w:rPr>
                            <w:rFonts w:ascii="宋体" w:eastAsia="宋体" w:hint="eastAsia"/>
                            <w:sz w:val="21"/>
                          </w:rPr>
                          <w:t>序号</w:t>
                        </w:r>
                      </w:p>
                    </w:tc>
                    <w:tc>
                      <w:tcPr>
                        <w:tcW w:w="1949" w:type="dxa"/>
                        <w:tcBorders>
                          <w:top w:val="single" w:sz="6" w:space="0" w:color="000000"/>
                          <w:left w:val="single" w:sz="6" w:space="0" w:color="000000"/>
                          <w:right w:val="single" w:sz="6" w:space="0" w:color="000000"/>
                        </w:tcBorders>
                      </w:tcPr>
                      <w:p>
                        <w:pPr>
                          <w:pStyle w:val="TableParagraph"/>
                          <w:spacing w:before="39"/>
                          <w:ind w:left="347"/>
                          <w:jc w:val="left"/>
                          <w:rPr>
                            <w:rFonts w:ascii="宋体" w:eastAsia="宋体" w:hint="eastAsia"/>
                            <w:sz w:val="21"/>
                          </w:rPr>
                        </w:pPr>
                        <w:r>
                          <w:rPr>
                            <w:rFonts w:ascii="宋体" w:eastAsia="宋体" w:hint="eastAsia"/>
                            <w:sz w:val="21"/>
                          </w:rPr>
                          <w:t>敏感目标名称</w:t>
                        </w:r>
                      </w:p>
                    </w:tc>
                    <w:tc>
                      <w:tcPr>
                        <w:tcW w:w="1308" w:type="dxa"/>
                        <w:tcBorders>
                          <w:top w:val="single" w:sz="6" w:space="0" w:color="000000"/>
                          <w:left w:val="single" w:sz="6" w:space="0" w:color="000000"/>
                          <w:right w:val="single" w:sz="6" w:space="0" w:color="000000"/>
                        </w:tcBorders>
                      </w:tcPr>
                      <w:p>
                        <w:pPr>
                          <w:pStyle w:val="TableParagraph"/>
                          <w:spacing w:before="39"/>
                          <w:ind w:left="240"/>
                          <w:jc w:val="left"/>
                          <w:rPr>
                            <w:rFonts w:ascii="宋体" w:eastAsia="宋体" w:hint="eastAsia"/>
                            <w:sz w:val="21"/>
                          </w:rPr>
                        </w:pPr>
                        <w:r>
                          <w:rPr>
                            <w:rFonts w:ascii="宋体" w:eastAsia="宋体" w:hint="eastAsia"/>
                            <w:sz w:val="21"/>
                          </w:rPr>
                          <w:t>相对方位</w:t>
                        </w:r>
                      </w:p>
                    </w:tc>
                    <w:tc>
                      <w:tcPr>
                        <w:tcW w:w="1308" w:type="dxa"/>
                        <w:tcBorders>
                          <w:top w:val="single" w:sz="6" w:space="0" w:color="000000"/>
                          <w:left w:val="single" w:sz="6" w:space="0" w:color="000000"/>
                          <w:right w:val="single" w:sz="6" w:space="0" w:color="000000"/>
                        </w:tcBorders>
                      </w:tcPr>
                      <w:p>
                        <w:pPr>
                          <w:pStyle w:val="TableParagraph"/>
                          <w:spacing w:before="39"/>
                          <w:ind w:left="159"/>
                          <w:jc w:val="left"/>
                          <w:rPr>
                            <w:rFonts w:ascii="宋体" w:eastAsia="宋体" w:hint="eastAsia"/>
                            <w:sz w:val="21"/>
                          </w:rPr>
                        </w:pPr>
                        <w:r>
                          <w:rPr>
                            <w:rFonts w:ascii="宋体" w:eastAsia="宋体" w:hint="eastAsia"/>
                            <w:sz w:val="21"/>
                          </w:rPr>
                          <w:t>距离（</w:t>
                        </w:r>
                        <w:r>
                          <w:rPr>
                            <w:sz w:val="21"/>
                          </w:rPr>
                          <w:t>m</w:t>
                        </w:r>
                        <w:r>
                          <w:rPr>
                            <w:rFonts w:ascii="宋体" w:eastAsia="宋体" w:hint="eastAsia"/>
                            <w:sz w:val="21"/>
                          </w:rPr>
                          <w:t>）</w:t>
                        </w:r>
                      </w:p>
                    </w:tc>
                    <w:tc>
                      <w:tcPr>
                        <w:tcW w:w="1390" w:type="dxa"/>
                        <w:tcBorders>
                          <w:top w:val="single" w:sz="6" w:space="0" w:color="000000"/>
                          <w:left w:val="single" w:sz="6" w:space="0" w:color="000000"/>
                          <w:right w:val="single" w:sz="6" w:space="0" w:color="000000"/>
                        </w:tcBorders>
                      </w:tcPr>
                      <w:p>
                        <w:pPr>
                          <w:pStyle w:val="TableParagraph"/>
                          <w:spacing w:before="39"/>
                          <w:ind w:left="474" w:right="441"/>
                          <w:rPr>
                            <w:rFonts w:ascii="宋体" w:eastAsia="宋体" w:hint="eastAsia"/>
                            <w:sz w:val="21"/>
                          </w:rPr>
                        </w:pPr>
                        <w:r>
                          <w:rPr>
                            <w:rFonts w:ascii="宋体" w:eastAsia="宋体" w:hint="eastAsia"/>
                            <w:sz w:val="21"/>
                          </w:rPr>
                          <w:t>属性</w:t>
                        </w:r>
                      </w:p>
                    </w:tc>
                    <w:tc>
                      <w:tcPr>
                        <w:tcW w:w="1800" w:type="dxa"/>
                        <w:tcBorders>
                          <w:top w:val="single" w:sz="6" w:space="0" w:color="000000"/>
                          <w:left w:val="single" w:sz="6" w:space="0" w:color="000000"/>
                        </w:tcBorders>
                      </w:tcPr>
                      <w:p>
                        <w:pPr>
                          <w:pStyle w:val="TableParagraph"/>
                          <w:spacing w:before="39"/>
                          <w:ind w:left="588"/>
                          <w:jc w:val="left"/>
                          <w:rPr>
                            <w:rFonts w:ascii="宋体" w:eastAsia="宋体" w:hint="eastAsia"/>
                            <w:sz w:val="21"/>
                          </w:rPr>
                        </w:pPr>
                        <w:r>
                          <w:rPr>
                            <w:rFonts w:ascii="宋体" w:eastAsia="宋体" w:hint="eastAsia"/>
                            <w:sz w:val="21"/>
                          </w:rPr>
                          <w:t>人口数</w:t>
                        </w:r>
                      </w:p>
                    </w:tc>
                  </w:tr>
                </w:tbl>
                <w:p>
                  <w:pPr>
                    <w:pStyle w:val="BodyText"/>
                    <w:ind w:left="0"/>
                  </w:pPr>
                </w:p>
              </w:txbxContent>
            </v:textbox>
            <w10:wrap type="none"/>
          </v:shape>
        </w:pict>
      </w:r>
      <w:r>
        <w:rPr>
          <w:sz w:val="24"/>
        </w:rPr>
        <w:t>建设项目周围空气、地表水、地下水等主要环境敏感目标分布情况详见表 </w:t>
      </w:r>
      <w:r>
        <w:rPr>
          <w:rFonts w:ascii="Times New Roman" w:eastAsia="Times New Roman"/>
          <w:sz w:val="24"/>
        </w:rPr>
        <w:t>5.2-37</w:t>
      </w:r>
      <w:r>
        <w:rPr>
          <w:sz w:val="24"/>
        </w:rPr>
        <w:t>。</w:t>
      </w:r>
      <w:r>
        <w:rPr>
          <w:b/>
          <w:sz w:val="24"/>
        </w:rPr>
        <w:t>表 </w:t>
      </w:r>
      <w:r>
        <w:rPr>
          <w:rFonts w:ascii="Times New Roman" w:eastAsia="Times New Roman"/>
          <w:b/>
          <w:sz w:val="24"/>
        </w:rPr>
        <w:t>5.2-37  </w:t>
      </w:r>
      <w:r>
        <w:rPr>
          <w:b/>
          <w:sz w:val="24"/>
        </w:rPr>
        <w:t>建设项目周围主要环境敏感目标</w:t>
      </w:r>
    </w:p>
    <w:p>
      <w:pPr>
        <w:spacing w:after="0" w:line="364" w:lineRule="auto"/>
        <w:jc w:val="left"/>
        <w:rPr>
          <w:sz w:val="24"/>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5"/>
        <w:gridCol w:w="720"/>
        <w:gridCol w:w="1268"/>
        <w:gridCol w:w="682"/>
        <w:gridCol w:w="173"/>
        <w:gridCol w:w="709"/>
        <w:gridCol w:w="428"/>
        <w:gridCol w:w="716"/>
        <w:gridCol w:w="594"/>
        <w:gridCol w:w="825"/>
        <w:gridCol w:w="277"/>
        <w:gridCol w:w="291"/>
        <w:gridCol w:w="1801"/>
      </w:tblGrid>
      <w:tr>
        <w:trPr>
          <w:trHeight w:val="359" w:hRule="atLeast"/>
        </w:trPr>
        <w:tc>
          <w:tcPr>
            <w:tcW w:w="955" w:type="dxa"/>
            <w:tcBorders>
              <w:bottom w:val="single" w:sz="6" w:space="0" w:color="000000"/>
              <w:right w:val="single" w:sz="6" w:space="0" w:color="000000"/>
            </w:tcBorders>
          </w:tcPr>
          <w:p>
            <w:pPr>
              <w:pStyle w:val="TableParagraph"/>
              <w:spacing w:before="49"/>
              <w:ind w:left="133" w:right="112"/>
              <w:rPr>
                <w:rFonts w:ascii="宋体" w:eastAsia="宋体" w:hint="eastAsia"/>
                <w:b/>
                <w:sz w:val="21"/>
              </w:rPr>
            </w:pPr>
            <w:r>
              <w:rPr>
                <w:rFonts w:ascii="宋体" w:eastAsia="宋体" w:hint="eastAsia"/>
                <w:b/>
                <w:sz w:val="21"/>
              </w:rPr>
              <w:t>类别</w:t>
            </w:r>
          </w:p>
        </w:tc>
        <w:tc>
          <w:tcPr>
            <w:tcW w:w="8484" w:type="dxa"/>
            <w:gridSpan w:val="12"/>
            <w:tcBorders>
              <w:left w:val="single" w:sz="6" w:space="0" w:color="000000"/>
              <w:bottom w:val="single" w:sz="6" w:space="0" w:color="000000"/>
            </w:tcBorders>
          </w:tcPr>
          <w:p>
            <w:pPr>
              <w:pStyle w:val="TableParagraph"/>
              <w:spacing w:before="49"/>
              <w:ind w:left="2228" w:right="2197"/>
              <w:rPr>
                <w:rFonts w:ascii="宋体" w:eastAsia="宋体" w:hint="eastAsia"/>
                <w:b/>
                <w:sz w:val="21"/>
              </w:rPr>
            </w:pPr>
            <w:r>
              <w:rPr>
                <w:rFonts w:ascii="宋体" w:eastAsia="宋体" w:hint="eastAsia"/>
                <w:b/>
                <w:sz w:val="21"/>
              </w:rPr>
              <w:t>环境敏感特征</w:t>
            </w:r>
          </w:p>
        </w:tc>
      </w:tr>
      <w:tr>
        <w:trPr>
          <w:trHeight w:val="359" w:hRule="atLeast"/>
        </w:trPr>
        <w:tc>
          <w:tcPr>
            <w:tcW w:w="955" w:type="dxa"/>
            <w:vMerge w:val="restart"/>
            <w:tcBorders>
              <w:top w:val="single" w:sz="6" w:space="0" w:color="000000"/>
              <w:bottom w:val="single" w:sz="6" w:space="0" w:color="000000"/>
              <w:right w:val="single" w:sz="6" w:space="0" w:color="000000"/>
            </w:tcBorders>
          </w:tcPr>
          <w:p>
            <w:pPr>
              <w:pStyle w:val="TableParagraph"/>
              <w:spacing w:before="0"/>
              <w:jc w:val="left"/>
              <w:rPr>
                <w:sz w:val="20"/>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1</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662"/>
              <w:jc w:val="left"/>
              <w:rPr>
                <w:rFonts w:ascii="宋体" w:eastAsia="宋体" w:hint="eastAsia"/>
                <w:sz w:val="21"/>
              </w:rPr>
            </w:pPr>
            <w:r>
              <w:rPr>
                <w:rFonts w:ascii="宋体" w:eastAsia="宋体" w:hint="eastAsia"/>
                <w:sz w:val="21"/>
              </w:rPr>
              <w:t>丰项村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88"/>
              <w:jc w:val="left"/>
              <w:rPr>
                <w:sz w:val="21"/>
              </w:rPr>
            </w:pPr>
            <w:r>
              <w:rPr>
                <w:rFonts w:ascii="宋体" w:eastAsia="宋体" w:hint="eastAsia"/>
                <w:sz w:val="21"/>
              </w:rPr>
              <w:t>约 </w:t>
            </w:r>
            <w:r>
              <w:rPr>
                <w:sz w:val="21"/>
              </w:rPr>
              <w:t>760m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3047 </w:t>
            </w:r>
            <w:r>
              <w:rPr>
                <w:rFonts w:ascii="宋体" w:eastAsia="宋体" w:hint="eastAsia"/>
                <w:sz w:val="21"/>
              </w:rPr>
              <w:t>人</w:t>
            </w:r>
          </w:p>
        </w:tc>
      </w:tr>
      <w:tr>
        <w:trPr>
          <w:trHeight w:val="357"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2</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河塔村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1220m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4"/>
              <w:rPr>
                <w:rFonts w:ascii="宋体" w:eastAsia="宋体" w:hint="eastAsia"/>
                <w:sz w:val="21"/>
              </w:rPr>
            </w:pPr>
            <w:r>
              <w:rPr>
                <w:rFonts w:ascii="宋体" w:eastAsia="宋体" w:hint="eastAsia"/>
                <w:sz w:val="21"/>
              </w:rPr>
              <w:t>约 </w:t>
            </w:r>
            <w:r>
              <w:rPr>
                <w:sz w:val="21"/>
              </w:rPr>
              <w:t>1171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29"/>
              <w:rPr>
                <w:sz w:val="21"/>
              </w:rPr>
            </w:pPr>
            <w:r>
              <w:rPr>
                <w:w w:val="100"/>
                <w:sz w:val="21"/>
              </w:rPr>
              <w:t>3</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662"/>
              <w:jc w:val="left"/>
              <w:rPr>
                <w:rFonts w:ascii="宋体" w:eastAsia="宋体" w:hint="eastAsia"/>
                <w:sz w:val="21"/>
              </w:rPr>
            </w:pPr>
            <w:r>
              <w:rPr>
                <w:rFonts w:ascii="宋体" w:eastAsia="宋体" w:hint="eastAsia"/>
                <w:sz w:val="21"/>
              </w:rPr>
              <w:t>秋湖村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60"/>
              <w:ind w:left="466" w:right="438"/>
              <w:rPr>
                <w:sz w:val="21"/>
              </w:rPr>
            </w:pPr>
            <w:r>
              <w:rPr>
                <w:sz w:val="21"/>
              </w:rPr>
              <w:t>NE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235"/>
              <w:jc w:val="left"/>
              <w:rPr>
                <w:sz w:val="21"/>
              </w:rPr>
            </w:pPr>
            <w:r>
              <w:rPr>
                <w:rFonts w:ascii="宋体" w:eastAsia="宋体" w:hint="eastAsia"/>
                <w:sz w:val="21"/>
              </w:rPr>
              <w:t>约 </w:t>
            </w:r>
            <w:r>
              <w:rPr>
                <w:sz w:val="21"/>
              </w:rPr>
              <w:t>2200m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9"/>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sz w:val="21"/>
              </w:rPr>
              <w:t>2161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4</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清和园</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1820m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700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5</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州山村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2550m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3384 </w:t>
            </w:r>
            <w:r>
              <w:rPr>
                <w:rFonts w:ascii="宋体" w:eastAsia="宋体" w:hint="eastAsia"/>
                <w:sz w:val="21"/>
              </w:rPr>
              <w:t>人</w:t>
            </w:r>
          </w:p>
        </w:tc>
      </w:tr>
      <w:tr>
        <w:trPr>
          <w:trHeight w:val="357"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6</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559"/>
              <w:jc w:val="left"/>
              <w:rPr>
                <w:rFonts w:ascii="宋体" w:eastAsia="宋体" w:hint="eastAsia"/>
                <w:sz w:val="21"/>
              </w:rPr>
            </w:pPr>
            <w:r>
              <w:rPr>
                <w:rFonts w:ascii="宋体" w:eastAsia="宋体" w:hint="eastAsia"/>
                <w:sz w:val="21"/>
              </w:rPr>
              <w:t>州山小学</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2290m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277"/>
              <w:jc w:val="left"/>
              <w:rPr>
                <w:rFonts w:ascii="宋体" w:eastAsia="宋体" w:hint="eastAsia"/>
                <w:sz w:val="21"/>
              </w:rPr>
            </w:pPr>
            <w:r>
              <w:rPr>
                <w:rFonts w:ascii="宋体" w:eastAsia="宋体" w:hint="eastAsia"/>
                <w:sz w:val="21"/>
              </w:rPr>
              <w:t>文化教育</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2000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29"/>
              <w:rPr>
                <w:sz w:val="21"/>
              </w:rPr>
            </w:pPr>
            <w:r>
              <w:rPr>
                <w:w w:val="100"/>
                <w:sz w:val="21"/>
              </w:rPr>
              <w:t>7</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559"/>
              <w:jc w:val="left"/>
              <w:rPr>
                <w:rFonts w:ascii="宋体" w:eastAsia="宋体" w:hint="eastAsia"/>
                <w:sz w:val="21"/>
              </w:rPr>
            </w:pPr>
            <w:r>
              <w:rPr>
                <w:rFonts w:ascii="宋体" w:eastAsia="宋体" w:hint="eastAsia"/>
                <w:sz w:val="21"/>
              </w:rPr>
              <w:t>竹林社区</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60"/>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235"/>
              <w:jc w:val="left"/>
              <w:rPr>
                <w:sz w:val="21"/>
              </w:rPr>
            </w:pPr>
            <w:r>
              <w:rPr>
                <w:rFonts w:ascii="宋体" w:eastAsia="宋体" w:hint="eastAsia"/>
                <w:sz w:val="21"/>
              </w:rPr>
              <w:t>约 </w:t>
            </w:r>
            <w:r>
              <w:rPr>
                <w:sz w:val="21"/>
              </w:rPr>
              <w:t>2860m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9"/>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9"/>
              <w:ind w:left="121" w:right="102"/>
              <w:rPr>
                <w:rFonts w:ascii="宋体" w:eastAsia="宋体" w:hint="eastAsia"/>
                <w:sz w:val="21"/>
              </w:rPr>
            </w:pPr>
            <w:r>
              <w:rPr>
                <w:rFonts w:ascii="宋体" w:eastAsia="宋体" w:hint="eastAsia"/>
                <w:sz w:val="21"/>
              </w:rPr>
              <w:t>约 </w:t>
            </w:r>
            <w:r>
              <w:rPr>
                <w:position w:val="1"/>
                <w:sz w:val="21"/>
              </w:rPr>
              <w:t>3025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8</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347"/>
              <w:jc w:val="left"/>
              <w:rPr>
                <w:rFonts w:ascii="宋体" w:eastAsia="宋体" w:hint="eastAsia"/>
                <w:sz w:val="21"/>
              </w:rPr>
            </w:pPr>
            <w:r>
              <w:rPr>
                <w:rFonts w:ascii="宋体" w:eastAsia="宋体" w:hint="eastAsia"/>
                <w:sz w:val="21"/>
              </w:rPr>
              <w:t>梅墅水庄社区</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6" w:right="438"/>
              <w:rPr>
                <w:sz w:val="21"/>
              </w:rPr>
            </w:pPr>
            <w:r>
              <w:rPr>
                <w:sz w:val="21"/>
              </w:rPr>
              <w:t>NE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2910m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position w:val="1"/>
                <w:sz w:val="21"/>
              </w:rPr>
              <w:t>2792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9</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海山村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6" w:right="438"/>
              <w:rPr>
                <w:sz w:val="21"/>
              </w:rPr>
            </w:pPr>
            <w:r>
              <w:rPr>
                <w:sz w:val="21"/>
              </w:rPr>
              <w:t>NE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3340m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position w:val="1"/>
                <w:sz w:val="21"/>
              </w:rPr>
              <w:t>1822 </w:t>
            </w:r>
            <w:r>
              <w:rPr>
                <w:rFonts w:ascii="宋体" w:eastAsia="宋体" w:hint="eastAsia"/>
                <w:sz w:val="21"/>
              </w:rPr>
              <w:t>人</w:t>
            </w:r>
          </w:p>
        </w:tc>
      </w:tr>
      <w:tr>
        <w:trPr>
          <w:trHeight w:val="357"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10</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澄湾村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6" w:right="438"/>
              <w:rPr>
                <w:sz w:val="21"/>
              </w:rPr>
            </w:pPr>
            <w:r>
              <w:rPr>
                <w:sz w:val="21"/>
              </w:rPr>
              <w:t>NE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4440m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position w:val="1"/>
                <w:sz w:val="21"/>
              </w:rPr>
              <w:t>2304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106" w:right="82"/>
              <w:rPr>
                <w:sz w:val="21"/>
              </w:rPr>
            </w:pPr>
            <w:r>
              <w:rPr>
                <w:sz w:val="21"/>
              </w:rPr>
              <w:t>11</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管委会</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60"/>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240"/>
              <w:jc w:val="left"/>
              <w:rPr>
                <w:sz w:val="21"/>
              </w:rPr>
            </w:pPr>
            <w:r>
              <w:rPr>
                <w:rFonts w:ascii="宋体" w:eastAsia="宋体" w:hint="eastAsia"/>
                <w:sz w:val="21"/>
              </w:rPr>
              <w:t>约 </w:t>
            </w:r>
            <w:r>
              <w:rPr>
                <w:sz w:val="21"/>
              </w:rPr>
              <w:t>2110m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277"/>
              <w:jc w:val="left"/>
              <w:rPr>
                <w:rFonts w:ascii="宋体" w:eastAsia="宋体" w:hint="eastAsia"/>
                <w:sz w:val="21"/>
              </w:rPr>
            </w:pPr>
            <w:r>
              <w:rPr>
                <w:rFonts w:ascii="宋体" w:eastAsia="宋体" w:hint="eastAsia"/>
                <w:sz w:val="21"/>
              </w:rPr>
              <w:t>行政办公</w:t>
            </w:r>
          </w:p>
        </w:tc>
        <w:tc>
          <w:tcPr>
            <w:tcW w:w="1801" w:type="dxa"/>
            <w:tcBorders>
              <w:top w:val="single" w:sz="6" w:space="0" w:color="000000"/>
              <w:left w:val="single" w:sz="6" w:space="0" w:color="000000"/>
              <w:bottom w:val="single" w:sz="6" w:space="0" w:color="000000"/>
            </w:tcBorders>
          </w:tcPr>
          <w:p>
            <w:pPr>
              <w:pStyle w:val="TableParagraph"/>
              <w:spacing w:before="60"/>
              <w:ind w:left="17"/>
              <w:rPr>
                <w:sz w:val="21"/>
              </w:rPr>
            </w:pPr>
            <w:r>
              <w:rPr>
                <w:w w:val="100"/>
                <w:sz w:val="21"/>
              </w:rPr>
              <w:t>/</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12</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454"/>
              <w:jc w:val="left"/>
              <w:rPr>
                <w:rFonts w:ascii="宋体" w:eastAsia="宋体" w:hint="eastAsia"/>
                <w:sz w:val="21"/>
              </w:rPr>
            </w:pPr>
            <w:r>
              <w:rPr>
                <w:rFonts w:ascii="宋体" w:eastAsia="宋体" w:hint="eastAsia"/>
                <w:sz w:val="21"/>
              </w:rPr>
              <w:t>区福利中心</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2120m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277"/>
              <w:jc w:val="left"/>
              <w:rPr>
                <w:rFonts w:ascii="宋体" w:eastAsia="宋体" w:hint="eastAsia"/>
                <w:sz w:val="21"/>
              </w:rPr>
            </w:pPr>
            <w:r>
              <w:rPr>
                <w:rFonts w:ascii="宋体" w:eastAsia="宋体" w:hint="eastAsia"/>
                <w:sz w:val="21"/>
              </w:rPr>
              <w:t>医疗卫生</w:t>
            </w:r>
          </w:p>
        </w:tc>
        <w:tc>
          <w:tcPr>
            <w:tcW w:w="1801" w:type="dxa"/>
            <w:tcBorders>
              <w:top w:val="single" w:sz="6" w:space="0" w:color="000000"/>
              <w:left w:val="single" w:sz="6" w:space="0" w:color="000000"/>
              <w:bottom w:val="single" w:sz="6" w:space="0" w:color="000000"/>
            </w:tcBorders>
          </w:tcPr>
          <w:p>
            <w:pPr>
              <w:pStyle w:val="TableParagraph"/>
              <w:ind w:left="17"/>
              <w:rPr>
                <w:sz w:val="21"/>
              </w:rPr>
            </w:pPr>
            <w:r>
              <w:rPr>
                <w:w w:val="100"/>
                <w:sz w:val="21"/>
              </w:rPr>
              <w:t>/</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13</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559"/>
              <w:jc w:val="left"/>
              <w:rPr>
                <w:rFonts w:ascii="宋体" w:eastAsia="宋体" w:hint="eastAsia"/>
                <w:sz w:val="21"/>
              </w:rPr>
            </w:pPr>
            <w:r>
              <w:rPr>
                <w:rFonts w:ascii="宋体" w:eastAsia="宋体" w:hint="eastAsia"/>
                <w:sz w:val="21"/>
              </w:rPr>
              <w:t>区委党校</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N</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1960m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277"/>
              <w:jc w:val="left"/>
              <w:rPr>
                <w:rFonts w:ascii="宋体" w:eastAsia="宋体" w:hint="eastAsia"/>
                <w:sz w:val="21"/>
              </w:rPr>
            </w:pPr>
            <w:r>
              <w:rPr>
                <w:rFonts w:ascii="宋体" w:eastAsia="宋体" w:hint="eastAsia"/>
                <w:sz w:val="21"/>
              </w:rPr>
              <w:t>文化教育</w:t>
            </w:r>
          </w:p>
        </w:tc>
        <w:tc>
          <w:tcPr>
            <w:tcW w:w="1801" w:type="dxa"/>
            <w:tcBorders>
              <w:top w:val="single" w:sz="6" w:space="0" w:color="000000"/>
              <w:left w:val="single" w:sz="6" w:space="0" w:color="000000"/>
              <w:bottom w:val="single" w:sz="6" w:space="0" w:color="000000"/>
            </w:tcBorders>
          </w:tcPr>
          <w:p>
            <w:pPr>
              <w:pStyle w:val="TableParagraph"/>
              <w:ind w:left="17"/>
              <w:rPr>
                <w:sz w:val="21"/>
              </w:rPr>
            </w:pPr>
            <w:r>
              <w:rPr>
                <w:w w:val="100"/>
                <w:sz w:val="21"/>
              </w:rPr>
              <w:t>/</w:t>
            </w:r>
          </w:p>
        </w:tc>
      </w:tr>
      <w:tr>
        <w:trPr>
          <w:trHeight w:val="356"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14</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559"/>
              <w:jc w:val="left"/>
              <w:rPr>
                <w:rFonts w:ascii="宋体" w:eastAsia="宋体" w:hint="eastAsia"/>
                <w:sz w:val="21"/>
              </w:rPr>
            </w:pPr>
            <w:r>
              <w:rPr>
                <w:rFonts w:ascii="宋体" w:eastAsia="宋体" w:hint="eastAsia"/>
                <w:sz w:val="21"/>
              </w:rPr>
              <w:t>新迪埠村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4" w:right="439"/>
              <w:rPr>
                <w:sz w:val="21"/>
              </w:rPr>
            </w:pPr>
            <w:r>
              <w:rPr>
                <w:sz w:val="21"/>
              </w:rPr>
              <w:t>SE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88"/>
              <w:jc w:val="left"/>
              <w:rPr>
                <w:sz w:val="21"/>
              </w:rPr>
            </w:pPr>
            <w:r>
              <w:rPr>
                <w:rFonts w:ascii="宋体" w:eastAsia="宋体" w:hint="eastAsia"/>
                <w:sz w:val="21"/>
              </w:rPr>
              <w:t>约 </w:t>
            </w:r>
            <w:r>
              <w:rPr>
                <w:sz w:val="21"/>
              </w:rPr>
              <w:t>980m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2465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109" w:right="80"/>
              <w:rPr>
                <w:sz w:val="21"/>
              </w:rPr>
            </w:pPr>
            <w:r>
              <w:rPr>
                <w:sz w:val="21"/>
              </w:rPr>
              <w:t>15</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662"/>
              <w:jc w:val="left"/>
              <w:rPr>
                <w:rFonts w:ascii="宋体" w:eastAsia="宋体" w:hint="eastAsia"/>
                <w:sz w:val="21"/>
              </w:rPr>
            </w:pPr>
            <w:r>
              <w:rPr>
                <w:rFonts w:ascii="宋体" w:eastAsia="宋体" w:hint="eastAsia"/>
                <w:sz w:val="21"/>
              </w:rPr>
              <w:t>兴联村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60"/>
              <w:ind w:left="27"/>
              <w:rPr>
                <w:sz w:val="21"/>
              </w:rPr>
            </w:pPr>
            <w:r>
              <w:rPr>
                <w:w w:val="100"/>
                <w:sz w:val="21"/>
              </w:rPr>
              <w:t>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235"/>
              <w:jc w:val="left"/>
              <w:rPr>
                <w:sz w:val="21"/>
              </w:rPr>
            </w:pPr>
            <w:r>
              <w:rPr>
                <w:rFonts w:ascii="宋体" w:eastAsia="宋体" w:hint="eastAsia"/>
                <w:sz w:val="21"/>
              </w:rPr>
              <w:t>约 </w:t>
            </w:r>
            <w:r>
              <w:rPr>
                <w:sz w:val="21"/>
              </w:rPr>
              <w:t>1560m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9"/>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9"/>
              <w:ind w:left="121" w:right="102"/>
              <w:rPr>
                <w:rFonts w:ascii="宋体" w:eastAsia="宋体" w:hint="eastAsia"/>
                <w:sz w:val="21"/>
              </w:rPr>
            </w:pPr>
            <w:r>
              <w:rPr>
                <w:rFonts w:ascii="宋体" w:eastAsia="宋体" w:hint="eastAsia"/>
                <w:sz w:val="21"/>
              </w:rPr>
              <w:t>约 </w:t>
            </w:r>
            <w:r>
              <w:rPr>
                <w:position w:val="1"/>
                <w:sz w:val="21"/>
              </w:rPr>
              <w:t>1805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16</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梅三村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4" w:right="439"/>
              <w:rPr>
                <w:sz w:val="21"/>
              </w:rPr>
            </w:pPr>
            <w:r>
              <w:rPr>
                <w:sz w:val="21"/>
              </w:rPr>
              <w:t>SE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1680m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position w:val="1"/>
                <w:sz w:val="21"/>
              </w:rPr>
              <w:t>1760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17</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容山村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5"/>
              <w:rPr>
                <w:sz w:val="21"/>
              </w:rPr>
            </w:pPr>
            <w:r>
              <w:rPr>
                <w:w w:val="100"/>
                <w:sz w:val="21"/>
              </w:rPr>
              <w:t>S</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1900m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position w:val="1"/>
                <w:sz w:val="21"/>
              </w:rPr>
              <w:t>3280 </w:t>
            </w:r>
            <w:r>
              <w:rPr>
                <w:rFonts w:ascii="宋体" w:eastAsia="宋体" w:hint="eastAsia"/>
                <w:sz w:val="21"/>
              </w:rPr>
              <w:t>人</w:t>
            </w:r>
          </w:p>
        </w:tc>
      </w:tr>
      <w:tr>
        <w:trPr>
          <w:trHeight w:val="356"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18</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兴华村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6" w:right="438"/>
              <w:rPr>
                <w:sz w:val="21"/>
              </w:rPr>
            </w:pPr>
            <w:r>
              <w:rPr>
                <w:sz w:val="21"/>
              </w:rPr>
              <w:t>SW</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1830m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position w:val="1"/>
                <w:sz w:val="21"/>
              </w:rPr>
              <w:t>1463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1"/>
              <w:ind w:left="109" w:right="80"/>
              <w:rPr>
                <w:sz w:val="21"/>
              </w:rPr>
            </w:pPr>
            <w:r>
              <w:rPr>
                <w:sz w:val="21"/>
              </w:rPr>
              <w:t>19</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662"/>
              <w:jc w:val="left"/>
              <w:rPr>
                <w:rFonts w:ascii="宋体" w:eastAsia="宋体" w:hint="eastAsia"/>
                <w:sz w:val="21"/>
              </w:rPr>
            </w:pPr>
            <w:r>
              <w:rPr>
                <w:rFonts w:ascii="宋体" w:eastAsia="宋体" w:hint="eastAsia"/>
                <w:sz w:val="21"/>
              </w:rPr>
              <w:t>永信村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61"/>
              <w:ind w:left="466" w:right="439"/>
              <w:rPr>
                <w:sz w:val="21"/>
              </w:rPr>
            </w:pPr>
            <w:r>
              <w:rPr>
                <w:sz w:val="21"/>
              </w:rPr>
              <w:t>NW</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7"/>
              <w:ind w:left="235"/>
              <w:jc w:val="left"/>
              <w:rPr>
                <w:sz w:val="21"/>
              </w:rPr>
            </w:pPr>
            <w:r>
              <w:rPr>
                <w:rFonts w:ascii="宋体" w:eastAsia="宋体" w:hint="eastAsia"/>
                <w:sz w:val="21"/>
              </w:rPr>
              <w:t>约 </w:t>
            </w:r>
            <w:r>
              <w:rPr>
                <w:sz w:val="21"/>
              </w:rPr>
              <w:t>2270m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9"/>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9"/>
              <w:ind w:left="121" w:right="102"/>
              <w:rPr>
                <w:rFonts w:ascii="宋体" w:eastAsia="宋体" w:hint="eastAsia"/>
                <w:sz w:val="21"/>
              </w:rPr>
            </w:pPr>
            <w:r>
              <w:rPr>
                <w:rFonts w:ascii="宋体" w:eastAsia="宋体" w:hint="eastAsia"/>
                <w:sz w:val="21"/>
              </w:rPr>
              <w:t>约 </w:t>
            </w:r>
            <w:r>
              <w:rPr>
                <w:position w:val="1"/>
                <w:sz w:val="21"/>
              </w:rPr>
              <w:t>1210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20</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559"/>
              <w:jc w:val="left"/>
              <w:rPr>
                <w:rFonts w:ascii="宋体" w:eastAsia="宋体" w:hint="eastAsia"/>
                <w:sz w:val="21"/>
              </w:rPr>
            </w:pPr>
            <w:r>
              <w:rPr>
                <w:rFonts w:ascii="宋体" w:eastAsia="宋体" w:hint="eastAsia"/>
                <w:sz w:val="21"/>
              </w:rPr>
              <w:t>龙尾山村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4" w:right="439"/>
              <w:rPr>
                <w:sz w:val="21"/>
              </w:rPr>
            </w:pPr>
            <w:r>
              <w:rPr>
                <w:sz w:val="21"/>
              </w:rPr>
              <w:t>SE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3390m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2168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21</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662"/>
              <w:jc w:val="left"/>
              <w:rPr>
                <w:rFonts w:ascii="宋体" w:eastAsia="宋体" w:hint="eastAsia"/>
                <w:sz w:val="21"/>
              </w:rPr>
            </w:pPr>
            <w:r>
              <w:rPr>
                <w:rFonts w:ascii="宋体" w:eastAsia="宋体" w:hint="eastAsia"/>
                <w:sz w:val="21"/>
              </w:rPr>
              <w:t>六峰村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466" w:right="438"/>
              <w:rPr>
                <w:sz w:val="21"/>
              </w:rPr>
            </w:pPr>
            <w:r>
              <w:rPr>
                <w:sz w:val="21"/>
              </w:rPr>
              <w:t>SW</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3950m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1342 </w:t>
            </w:r>
            <w:r>
              <w:rPr>
                <w:rFonts w:ascii="宋体" w:eastAsia="宋体" w:hint="eastAsia"/>
                <w:sz w:val="21"/>
              </w:rPr>
              <w:t>人</w:t>
            </w:r>
          </w:p>
        </w:tc>
      </w:tr>
      <w:tr>
        <w:trPr>
          <w:trHeight w:val="357"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22</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锦坞村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3100m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4"/>
              <w:rPr>
                <w:rFonts w:ascii="宋体" w:eastAsia="宋体" w:hint="eastAsia"/>
                <w:sz w:val="21"/>
              </w:rPr>
            </w:pPr>
            <w:r>
              <w:rPr>
                <w:rFonts w:ascii="宋体" w:eastAsia="宋体" w:hint="eastAsia"/>
                <w:sz w:val="21"/>
              </w:rPr>
              <w:t>约 </w:t>
            </w:r>
            <w:r>
              <w:rPr>
                <w:sz w:val="21"/>
              </w:rPr>
              <w:t>1165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109" w:right="80"/>
              <w:rPr>
                <w:sz w:val="21"/>
              </w:rPr>
            </w:pPr>
            <w:r>
              <w:rPr>
                <w:sz w:val="21"/>
              </w:rPr>
              <w:t>23</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662"/>
              <w:jc w:val="left"/>
              <w:rPr>
                <w:rFonts w:ascii="宋体" w:eastAsia="宋体" w:hint="eastAsia"/>
                <w:sz w:val="21"/>
              </w:rPr>
            </w:pPr>
            <w:r>
              <w:rPr>
                <w:rFonts w:ascii="宋体" w:eastAsia="宋体" w:hint="eastAsia"/>
                <w:sz w:val="21"/>
              </w:rPr>
              <w:t>梅峰村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spacing w:before="60"/>
              <w:ind w:left="27"/>
              <w:rPr>
                <w:sz w:val="21"/>
              </w:rPr>
            </w:pPr>
            <w:r>
              <w:rPr>
                <w:w w:val="100"/>
                <w:sz w:val="21"/>
              </w:rPr>
              <w:t>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235"/>
              <w:jc w:val="left"/>
              <w:rPr>
                <w:sz w:val="21"/>
              </w:rPr>
            </w:pPr>
            <w:r>
              <w:rPr>
                <w:rFonts w:ascii="宋体" w:eastAsia="宋体" w:hint="eastAsia"/>
                <w:sz w:val="21"/>
              </w:rPr>
              <w:t>约 </w:t>
            </w:r>
            <w:r>
              <w:rPr>
                <w:sz w:val="21"/>
              </w:rPr>
              <w:t>3270m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9"/>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rFonts w:ascii="宋体" w:eastAsia="宋体" w:hint="eastAsia"/>
                <w:sz w:val="21"/>
              </w:rPr>
              <w:t>约 </w:t>
            </w:r>
            <w:r>
              <w:rPr>
                <w:sz w:val="21"/>
              </w:rPr>
              <w:t>2360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24</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559"/>
              <w:jc w:val="left"/>
              <w:rPr>
                <w:rFonts w:ascii="宋体" w:eastAsia="宋体" w:hint="eastAsia"/>
                <w:sz w:val="21"/>
              </w:rPr>
            </w:pPr>
            <w:r>
              <w:rPr>
                <w:rFonts w:ascii="宋体" w:eastAsia="宋体" w:hint="eastAsia"/>
                <w:sz w:val="21"/>
              </w:rPr>
              <w:t>福全山村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3500m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4"/>
              <w:rPr>
                <w:rFonts w:ascii="宋体" w:eastAsia="宋体" w:hint="eastAsia"/>
                <w:sz w:val="21"/>
              </w:rPr>
            </w:pPr>
            <w:r>
              <w:rPr>
                <w:rFonts w:ascii="宋体" w:eastAsia="宋体" w:hint="eastAsia"/>
                <w:sz w:val="21"/>
              </w:rPr>
              <w:t>约 </w:t>
            </w:r>
            <w:r>
              <w:rPr>
                <w:sz w:val="21"/>
              </w:rPr>
              <w:t>1161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109" w:right="80"/>
              <w:rPr>
                <w:sz w:val="21"/>
              </w:rPr>
            </w:pPr>
            <w:r>
              <w:rPr>
                <w:sz w:val="21"/>
              </w:rPr>
              <w:t>25</w:t>
            </w:r>
          </w:p>
        </w:tc>
        <w:tc>
          <w:tcPr>
            <w:tcW w:w="19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662"/>
              <w:jc w:val="left"/>
              <w:rPr>
                <w:rFonts w:ascii="宋体" w:eastAsia="宋体" w:hint="eastAsia"/>
                <w:sz w:val="21"/>
              </w:rPr>
            </w:pPr>
            <w:r>
              <w:rPr>
                <w:rFonts w:ascii="宋体" w:eastAsia="宋体" w:hint="eastAsia"/>
                <w:sz w:val="21"/>
              </w:rPr>
              <w:t>永联村</w:t>
            </w:r>
          </w:p>
        </w:tc>
        <w:tc>
          <w:tcPr>
            <w:tcW w:w="1310" w:type="dxa"/>
            <w:gridSpan w:val="3"/>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E</w:t>
            </w:r>
          </w:p>
        </w:tc>
        <w:tc>
          <w:tcPr>
            <w:tcW w:w="131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35"/>
              <w:jc w:val="left"/>
              <w:rPr>
                <w:sz w:val="21"/>
              </w:rPr>
            </w:pPr>
            <w:r>
              <w:rPr>
                <w:rFonts w:ascii="宋体" w:eastAsia="宋体" w:hint="eastAsia"/>
                <w:sz w:val="21"/>
              </w:rPr>
              <w:t>约 </w:t>
            </w:r>
            <w:r>
              <w:rPr>
                <w:sz w:val="21"/>
              </w:rPr>
              <w:t>4080m</w:t>
            </w:r>
          </w:p>
        </w:tc>
        <w:tc>
          <w:tcPr>
            <w:tcW w:w="139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382"/>
              <w:jc w:val="left"/>
              <w:rPr>
                <w:rFonts w:ascii="宋体" w:eastAsia="宋体" w:hint="eastAsia"/>
                <w:sz w:val="21"/>
              </w:rPr>
            </w:pPr>
            <w:r>
              <w:rPr>
                <w:rFonts w:ascii="宋体" w:eastAsia="宋体" w:hint="eastAsia"/>
                <w:sz w:val="21"/>
              </w:rPr>
              <w:t>居住区</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约 </w:t>
            </w:r>
            <w:r>
              <w:rPr>
                <w:sz w:val="21"/>
              </w:rPr>
              <w:t>2712 </w:t>
            </w:r>
            <w:r>
              <w:rPr>
                <w:rFonts w:ascii="宋体" w:eastAsia="宋体" w:hint="eastAsia"/>
                <w:sz w:val="21"/>
              </w:rPr>
              <w:t>人</w:t>
            </w:r>
          </w:p>
        </w:tc>
      </w:tr>
      <w:tr>
        <w:trPr>
          <w:trHeight w:val="357" w:hRule="atLeast"/>
        </w:trPr>
        <w:tc>
          <w:tcPr>
            <w:tcW w:w="955" w:type="dxa"/>
            <w:vMerge/>
            <w:tcBorders>
              <w:top w:val="nil"/>
              <w:bottom w:val="single" w:sz="6" w:space="0" w:color="000000"/>
              <w:right w:val="single" w:sz="6" w:space="0" w:color="000000"/>
            </w:tcBorders>
          </w:tcPr>
          <w:p>
            <w:pPr>
              <w:rPr>
                <w:sz w:val="2"/>
                <w:szCs w:val="2"/>
              </w:rPr>
            </w:pPr>
          </w:p>
        </w:tc>
        <w:tc>
          <w:tcPr>
            <w:tcW w:w="6683" w:type="dxa"/>
            <w:gridSpan w:val="11"/>
            <w:tcBorders>
              <w:top w:val="single" w:sz="6" w:space="0" w:color="000000"/>
              <w:left w:val="single" w:sz="6" w:space="0" w:color="000000"/>
              <w:bottom w:val="single" w:sz="6" w:space="0" w:color="000000"/>
              <w:right w:val="single" w:sz="6" w:space="0" w:color="000000"/>
            </w:tcBorders>
          </w:tcPr>
          <w:p>
            <w:pPr>
              <w:pStyle w:val="TableParagraph"/>
              <w:spacing w:before="44"/>
              <w:ind w:left="1793"/>
              <w:jc w:val="left"/>
              <w:rPr>
                <w:rFonts w:ascii="宋体" w:eastAsia="宋体" w:hint="eastAsia"/>
                <w:sz w:val="21"/>
              </w:rPr>
            </w:pPr>
            <w:r>
              <w:rPr>
                <w:rFonts w:ascii="宋体" w:eastAsia="宋体" w:hint="eastAsia"/>
                <w:sz w:val="21"/>
              </w:rPr>
              <w:t>厂址周边 </w:t>
            </w:r>
            <w:r>
              <w:rPr>
                <w:sz w:val="21"/>
              </w:rPr>
              <w:t>500m </w:t>
            </w:r>
            <w:r>
              <w:rPr>
                <w:rFonts w:ascii="宋体" w:eastAsia="宋体" w:hint="eastAsia"/>
                <w:sz w:val="21"/>
              </w:rPr>
              <w:t>范围内人口数小计</w:t>
            </w:r>
          </w:p>
        </w:tc>
        <w:tc>
          <w:tcPr>
            <w:tcW w:w="1801" w:type="dxa"/>
            <w:tcBorders>
              <w:top w:val="single" w:sz="6" w:space="0" w:color="000000"/>
              <w:left w:val="single" w:sz="6" w:space="0" w:color="000000"/>
              <w:bottom w:val="single" w:sz="6" w:space="0" w:color="000000"/>
            </w:tcBorders>
          </w:tcPr>
          <w:p>
            <w:pPr>
              <w:pStyle w:val="TableParagraph"/>
              <w:spacing w:before="44"/>
              <w:ind w:left="121" w:right="102"/>
              <w:rPr>
                <w:rFonts w:ascii="宋体" w:eastAsia="宋体" w:hint="eastAsia"/>
                <w:sz w:val="21"/>
              </w:rPr>
            </w:pPr>
            <w:r>
              <w:rPr>
                <w:rFonts w:ascii="宋体" w:eastAsia="宋体" w:hint="eastAsia"/>
                <w:sz w:val="21"/>
              </w:rPr>
              <w:t>＜</w:t>
            </w:r>
            <w:r>
              <w:rPr>
                <w:sz w:val="21"/>
              </w:rPr>
              <w:t>100 </w:t>
            </w:r>
            <w:r>
              <w:rPr>
                <w:rFonts w:ascii="宋体" w:eastAsia="宋体" w:hint="eastAsia"/>
                <w:sz w:val="21"/>
              </w:rPr>
              <w:t>人</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6683" w:type="dxa"/>
            <w:gridSpan w:val="11"/>
            <w:tcBorders>
              <w:top w:val="single" w:sz="6" w:space="0" w:color="000000"/>
              <w:left w:val="single" w:sz="6" w:space="0" w:color="000000"/>
              <w:bottom w:val="single" w:sz="6" w:space="0" w:color="000000"/>
              <w:right w:val="single" w:sz="6" w:space="0" w:color="000000"/>
            </w:tcBorders>
          </w:tcPr>
          <w:p>
            <w:pPr>
              <w:pStyle w:val="TableParagraph"/>
              <w:spacing w:before="46"/>
              <w:ind w:left="1843"/>
              <w:jc w:val="left"/>
              <w:rPr>
                <w:rFonts w:ascii="宋体" w:eastAsia="宋体" w:hint="eastAsia"/>
                <w:sz w:val="21"/>
              </w:rPr>
            </w:pPr>
            <w:r>
              <w:rPr>
                <w:rFonts w:ascii="宋体" w:eastAsia="宋体" w:hint="eastAsia"/>
                <w:sz w:val="21"/>
              </w:rPr>
              <w:t>厂址周边 </w:t>
            </w:r>
            <w:r>
              <w:rPr>
                <w:sz w:val="21"/>
              </w:rPr>
              <w:t>5km </w:t>
            </w:r>
            <w:r>
              <w:rPr>
                <w:rFonts w:ascii="宋体" w:eastAsia="宋体" w:hint="eastAsia"/>
                <w:sz w:val="21"/>
              </w:rPr>
              <w:t>范围内人口数小计</w:t>
            </w:r>
          </w:p>
        </w:tc>
        <w:tc>
          <w:tcPr>
            <w:tcW w:w="1801" w:type="dxa"/>
            <w:tcBorders>
              <w:top w:val="single" w:sz="6" w:space="0" w:color="000000"/>
              <w:left w:val="single" w:sz="6" w:space="0" w:color="000000"/>
              <w:bottom w:val="single" w:sz="6" w:space="0" w:color="000000"/>
            </w:tcBorders>
          </w:tcPr>
          <w:p>
            <w:pPr>
              <w:pStyle w:val="TableParagraph"/>
              <w:spacing w:before="46"/>
              <w:ind w:left="121" w:right="102"/>
              <w:rPr>
                <w:rFonts w:ascii="宋体" w:eastAsia="宋体" w:hint="eastAsia"/>
                <w:sz w:val="21"/>
              </w:rPr>
            </w:pPr>
            <w:r>
              <w:rPr>
                <w:sz w:val="21"/>
              </w:rPr>
              <w:t>5 </w:t>
            </w:r>
            <w:r>
              <w:rPr>
                <w:rFonts w:ascii="宋体" w:eastAsia="宋体" w:hint="eastAsia"/>
                <w:sz w:val="21"/>
              </w:rPr>
              <w:t>万余人</w:t>
            </w:r>
          </w:p>
        </w:tc>
      </w:tr>
      <w:tr>
        <w:trPr>
          <w:trHeight w:val="360" w:hRule="atLeast"/>
        </w:trPr>
        <w:tc>
          <w:tcPr>
            <w:tcW w:w="955" w:type="dxa"/>
            <w:vMerge/>
            <w:tcBorders>
              <w:top w:val="nil"/>
              <w:bottom w:val="single" w:sz="6" w:space="0" w:color="000000"/>
              <w:right w:val="single" w:sz="6" w:space="0" w:color="000000"/>
            </w:tcBorders>
          </w:tcPr>
          <w:p>
            <w:pPr>
              <w:rPr>
                <w:sz w:val="2"/>
                <w:szCs w:val="2"/>
              </w:rPr>
            </w:pPr>
          </w:p>
        </w:tc>
        <w:tc>
          <w:tcPr>
            <w:tcW w:w="6683" w:type="dxa"/>
            <w:gridSpan w:val="11"/>
            <w:tcBorders>
              <w:top w:val="single" w:sz="6" w:space="0" w:color="000000"/>
              <w:left w:val="single" w:sz="6" w:space="0" w:color="000000"/>
              <w:bottom w:val="single" w:sz="6" w:space="0" w:color="000000"/>
              <w:right w:val="single" w:sz="6" w:space="0" w:color="000000"/>
            </w:tcBorders>
          </w:tcPr>
          <w:p>
            <w:pPr>
              <w:pStyle w:val="TableParagraph"/>
              <w:spacing w:before="44"/>
              <w:ind w:left="2228" w:right="2204"/>
              <w:rPr>
                <w:rFonts w:ascii="宋体" w:eastAsia="宋体" w:hint="eastAsia"/>
                <w:b/>
                <w:sz w:val="21"/>
              </w:rPr>
            </w:pPr>
            <w:r>
              <w:rPr>
                <w:rFonts w:ascii="宋体" w:eastAsia="宋体" w:hint="eastAsia"/>
                <w:b/>
                <w:sz w:val="21"/>
              </w:rPr>
              <w:t>大气环境敏感程度 </w:t>
            </w:r>
            <w:r>
              <w:rPr>
                <w:b/>
                <w:sz w:val="21"/>
              </w:rPr>
              <w:t>E </w:t>
            </w:r>
            <w:r>
              <w:rPr>
                <w:rFonts w:ascii="宋体" w:eastAsia="宋体" w:hint="eastAsia"/>
                <w:b/>
                <w:sz w:val="21"/>
              </w:rPr>
              <w:t>值</w:t>
            </w:r>
          </w:p>
        </w:tc>
        <w:tc>
          <w:tcPr>
            <w:tcW w:w="1801" w:type="dxa"/>
            <w:tcBorders>
              <w:top w:val="single" w:sz="6" w:space="0" w:color="000000"/>
              <w:left w:val="single" w:sz="6" w:space="0" w:color="000000"/>
              <w:bottom w:val="single" w:sz="6" w:space="0" w:color="000000"/>
            </w:tcBorders>
          </w:tcPr>
          <w:p>
            <w:pPr>
              <w:pStyle w:val="TableParagraph"/>
              <w:spacing w:before="44"/>
              <w:ind w:left="121" w:right="107"/>
              <w:rPr>
                <w:rFonts w:ascii="宋体" w:eastAsia="宋体" w:hint="eastAsia"/>
                <w:b/>
                <w:sz w:val="21"/>
              </w:rPr>
            </w:pPr>
            <w:r>
              <w:rPr>
                <w:rFonts w:ascii="宋体" w:eastAsia="宋体" w:hint="eastAsia"/>
                <w:b/>
                <w:sz w:val="21"/>
              </w:rPr>
              <w:t>高度敏感（</w:t>
            </w:r>
            <w:r>
              <w:rPr>
                <w:b/>
                <w:sz w:val="21"/>
              </w:rPr>
              <w:t>E1</w:t>
            </w:r>
            <w:r>
              <w:rPr>
                <w:rFonts w:ascii="宋体" w:eastAsia="宋体" w:hint="eastAsia"/>
                <w:b/>
                <w:sz w:val="21"/>
              </w:rPr>
              <w:t>）</w:t>
            </w:r>
          </w:p>
        </w:tc>
      </w:tr>
      <w:tr>
        <w:trPr>
          <w:trHeight w:val="359" w:hRule="atLeast"/>
        </w:trPr>
        <w:tc>
          <w:tcPr>
            <w:tcW w:w="955"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42"/>
              <w:ind w:left="160"/>
              <w:jc w:val="left"/>
              <w:rPr>
                <w:rFonts w:ascii="宋体" w:eastAsia="宋体" w:hint="eastAsia"/>
                <w:b/>
                <w:sz w:val="21"/>
              </w:rPr>
            </w:pPr>
            <w:r>
              <w:rPr>
                <w:rFonts w:ascii="宋体" w:eastAsia="宋体" w:hint="eastAsia"/>
                <w:b/>
                <w:sz w:val="21"/>
              </w:rPr>
              <w:t>地表水</w:t>
            </w:r>
          </w:p>
        </w:tc>
        <w:tc>
          <w:tcPr>
            <w:tcW w:w="8484" w:type="dxa"/>
            <w:gridSpan w:val="12"/>
            <w:tcBorders>
              <w:top w:val="single" w:sz="6" w:space="0" w:color="000000"/>
              <w:left w:val="single" w:sz="6" w:space="0" w:color="000000"/>
              <w:bottom w:val="single" w:sz="6" w:space="0" w:color="000000"/>
            </w:tcBorders>
          </w:tcPr>
          <w:p>
            <w:pPr>
              <w:pStyle w:val="TableParagraph"/>
              <w:spacing w:before="44"/>
              <w:ind w:left="2226" w:right="2197"/>
              <w:rPr>
                <w:rFonts w:ascii="宋体" w:eastAsia="宋体" w:hint="eastAsia"/>
                <w:sz w:val="21"/>
              </w:rPr>
            </w:pPr>
            <w:r>
              <w:rPr>
                <w:rFonts w:ascii="宋体" w:eastAsia="宋体" w:hint="eastAsia"/>
                <w:sz w:val="21"/>
              </w:rPr>
              <w:t>受纳水体</w:t>
            </w:r>
          </w:p>
        </w:tc>
      </w:tr>
      <w:tr>
        <w:trPr>
          <w:trHeight w:val="357"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44"/>
              <w:ind w:left="109" w:right="80"/>
              <w:rPr>
                <w:rFonts w:ascii="宋体" w:eastAsia="宋体" w:hint="eastAsia"/>
                <w:sz w:val="21"/>
              </w:rPr>
            </w:pPr>
            <w:r>
              <w:rPr>
                <w:rFonts w:ascii="宋体" w:eastAsia="宋体" w:hint="eastAsia"/>
                <w:sz w:val="21"/>
              </w:rPr>
              <w:t>序号</w:t>
            </w:r>
          </w:p>
        </w:tc>
        <w:tc>
          <w:tcPr>
            <w:tcW w:w="212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434"/>
              <w:jc w:val="left"/>
              <w:rPr>
                <w:rFonts w:ascii="宋体" w:eastAsia="宋体" w:hint="eastAsia"/>
                <w:sz w:val="21"/>
              </w:rPr>
            </w:pPr>
            <w:r>
              <w:rPr>
                <w:rFonts w:ascii="宋体" w:eastAsia="宋体" w:hint="eastAsia"/>
                <w:sz w:val="21"/>
              </w:rPr>
              <w:t>受纳水体名称</w:t>
            </w:r>
          </w:p>
        </w:tc>
        <w:tc>
          <w:tcPr>
            <w:tcW w:w="3272" w:type="dxa"/>
            <w:gridSpan w:val="5"/>
            <w:tcBorders>
              <w:top w:val="single" w:sz="6" w:space="0" w:color="000000"/>
              <w:left w:val="single" w:sz="6" w:space="0" w:color="000000"/>
              <w:bottom w:val="single" w:sz="6" w:space="0" w:color="000000"/>
              <w:right w:val="single" w:sz="6" w:space="0" w:color="000000"/>
            </w:tcBorders>
          </w:tcPr>
          <w:p>
            <w:pPr>
              <w:pStyle w:val="TableParagraph"/>
              <w:spacing w:before="44"/>
              <w:ind w:left="693"/>
              <w:jc w:val="left"/>
              <w:rPr>
                <w:rFonts w:ascii="宋体" w:eastAsia="宋体" w:hint="eastAsia"/>
                <w:sz w:val="21"/>
              </w:rPr>
            </w:pPr>
            <w:r>
              <w:rPr>
                <w:rFonts w:ascii="宋体" w:eastAsia="宋体" w:hint="eastAsia"/>
                <w:sz w:val="21"/>
              </w:rPr>
              <w:t>排放点水域环境功能</w:t>
            </w:r>
          </w:p>
        </w:tc>
        <w:tc>
          <w:tcPr>
            <w:tcW w:w="2369" w:type="dxa"/>
            <w:gridSpan w:val="3"/>
            <w:tcBorders>
              <w:top w:val="single" w:sz="6" w:space="0" w:color="000000"/>
              <w:left w:val="single" w:sz="6" w:space="0" w:color="000000"/>
              <w:bottom w:val="single" w:sz="6" w:space="0" w:color="000000"/>
            </w:tcBorders>
          </w:tcPr>
          <w:p>
            <w:pPr>
              <w:pStyle w:val="TableParagraph"/>
              <w:spacing w:before="44"/>
              <w:ind w:left="131"/>
              <w:jc w:val="left"/>
              <w:rPr>
                <w:rFonts w:ascii="宋体" w:eastAsia="宋体" w:hint="eastAsia"/>
                <w:sz w:val="21"/>
              </w:rPr>
            </w:pPr>
            <w:r>
              <w:rPr>
                <w:sz w:val="21"/>
              </w:rPr>
              <w:t>24h </w:t>
            </w:r>
            <w:r>
              <w:rPr>
                <w:rFonts w:ascii="宋体" w:eastAsia="宋体" w:hint="eastAsia"/>
                <w:sz w:val="21"/>
              </w:rPr>
              <w:t>内流经范围（</w:t>
            </w:r>
            <w:r>
              <w:rPr>
                <w:sz w:val="21"/>
              </w:rPr>
              <w:t>km</w:t>
            </w:r>
            <w:r>
              <w:rPr>
                <w:rFonts w:ascii="宋体" w:eastAsia="宋体" w:hint="eastAsia"/>
                <w:sz w:val="21"/>
              </w:rPr>
              <w:t>）</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60"/>
              <w:ind w:left="29"/>
              <w:rPr>
                <w:sz w:val="21"/>
              </w:rPr>
            </w:pPr>
            <w:r>
              <w:rPr>
                <w:w w:val="100"/>
                <w:sz w:val="21"/>
              </w:rPr>
              <w:t>1</w:t>
            </w:r>
          </w:p>
        </w:tc>
        <w:tc>
          <w:tcPr>
            <w:tcW w:w="212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6"/>
              <w:ind w:left="112" w:right="-29"/>
              <w:jc w:val="left"/>
              <w:rPr>
                <w:rFonts w:ascii="宋体" w:eastAsia="宋体" w:hint="eastAsia"/>
                <w:sz w:val="21"/>
              </w:rPr>
            </w:pPr>
            <w:r>
              <w:rPr>
                <w:rFonts w:ascii="宋体" w:eastAsia="宋体" w:hint="eastAsia"/>
                <w:spacing w:val="-17"/>
                <w:sz w:val="21"/>
              </w:rPr>
              <w:t>项里溪及支流</w:t>
            </w:r>
            <w:r>
              <w:rPr>
                <w:rFonts w:ascii="宋体" w:eastAsia="宋体" w:hint="eastAsia"/>
                <w:sz w:val="21"/>
              </w:rPr>
              <w:t>（</w:t>
            </w:r>
            <w:r>
              <w:rPr>
                <w:rFonts w:ascii="宋体" w:eastAsia="宋体" w:hint="eastAsia"/>
                <w:spacing w:val="-2"/>
                <w:sz w:val="21"/>
              </w:rPr>
              <w:t>雨水</w:t>
            </w:r>
            <w:r>
              <w:rPr>
                <w:rFonts w:ascii="宋体" w:eastAsia="宋体" w:hint="eastAsia"/>
                <w:sz w:val="21"/>
              </w:rPr>
              <w:t>）</w:t>
            </w:r>
          </w:p>
        </w:tc>
        <w:tc>
          <w:tcPr>
            <w:tcW w:w="3272" w:type="dxa"/>
            <w:gridSpan w:val="5"/>
            <w:tcBorders>
              <w:top w:val="single" w:sz="6" w:space="0" w:color="000000"/>
              <w:left w:val="single" w:sz="6" w:space="0" w:color="000000"/>
              <w:bottom w:val="single" w:sz="6" w:space="0" w:color="000000"/>
              <w:right w:val="single" w:sz="6" w:space="0" w:color="000000"/>
            </w:tcBorders>
          </w:tcPr>
          <w:p>
            <w:pPr>
              <w:pStyle w:val="TableParagraph"/>
              <w:spacing w:before="46"/>
              <w:ind w:left="1094" w:right="1072"/>
              <w:rPr>
                <w:rFonts w:ascii="宋体" w:eastAsia="宋体" w:hint="eastAsia"/>
                <w:sz w:val="21"/>
              </w:rPr>
            </w:pPr>
            <w:r>
              <w:rPr>
                <w:rFonts w:ascii="宋体" w:eastAsia="宋体" w:hint="eastAsia"/>
                <w:sz w:val="21"/>
              </w:rPr>
              <w:t>农业用水区</w:t>
            </w:r>
          </w:p>
        </w:tc>
        <w:tc>
          <w:tcPr>
            <w:tcW w:w="2369" w:type="dxa"/>
            <w:gridSpan w:val="3"/>
            <w:tcBorders>
              <w:top w:val="single" w:sz="6" w:space="0" w:color="000000"/>
              <w:left w:val="single" w:sz="6" w:space="0" w:color="000000"/>
              <w:bottom w:val="single" w:sz="6" w:space="0" w:color="000000"/>
            </w:tcBorders>
          </w:tcPr>
          <w:p>
            <w:pPr>
              <w:pStyle w:val="TableParagraph"/>
              <w:spacing w:before="46"/>
              <w:ind w:left="849" w:right="826"/>
              <w:rPr>
                <w:rFonts w:ascii="宋体" w:eastAsia="宋体" w:hint="eastAsia"/>
                <w:sz w:val="21"/>
              </w:rPr>
            </w:pPr>
            <w:r>
              <w:rPr>
                <w:rFonts w:ascii="宋体" w:eastAsia="宋体" w:hint="eastAsia"/>
                <w:sz w:val="21"/>
              </w:rPr>
              <w:t>绍兴市</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8484" w:type="dxa"/>
            <w:gridSpan w:val="12"/>
            <w:tcBorders>
              <w:top w:val="single" w:sz="6" w:space="0" w:color="000000"/>
              <w:left w:val="single" w:sz="6" w:space="0" w:color="000000"/>
              <w:bottom w:val="single" w:sz="6" w:space="0" w:color="000000"/>
            </w:tcBorders>
          </w:tcPr>
          <w:p>
            <w:pPr>
              <w:pStyle w:val="TableParagraph"/>
              <w:spacing w:before="44"/>
              <w:ind w:left="2228" w:right="2197"/>
              <w:rPr>
                <w:rFonts w:ascii="宋体" w:eastAsia="宋体" w:hint="eastAsia"/>
                <w:sz w:val="21"/>
              </w:rPr>
            </w:pPr>
            <w:r>
              <w:rPr>
                <w:rFonts w:ascii="宋体" w:eastAsia="宋体" w:hint="eastAsia"/>
                <w:sz w:val="21"/>
              </w:rPr>
              <w:t>内陆水体排放点下游 </w:t>
            </w:r>
            <w:r>
              <w:rPr>
                <w:sz w:val="21"/>
              </w:rPr>
              <w:t>10km </w:t>
            </w:r>
            <w:r>
              <w:rPr>
                <w:rFonts w:ascii="宋体" w:eastAsia="宋体" w:hint="eastAsia"/>
                <w:sz w:val="21"/>
              </w:rPr>
              <w:t>范围内敏感目标</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spacing w:before="44"/>
              <w:ind w:left="109" w:right="80"/>
              <w:rPr>
                <w:rFonts w:ascii="宋体" w:eastAsia="宋体" w:hint="eastAsia"/>
                <w:sz w:val="21"/>
              </w:rPr>
            </w:pPr>
            <w:r>
              <w:rPr>
                <w:rFonts w:ascii="宋体" w:eastAsia="宋体" w:hint="eastAsia"/>
                <w:sz w:val="21"/>
              </w:rPr>
              <w:t>序号</w:t>
            </w:r>
          </w:p>
        </w:tc>
        <w:tc>
          <w:tcPr>
            <w:tcW w:w="212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434"/>
              <w:jc w:val="left"/>
              <w:rPr>
                <w:rFonts w:ascii="宋体" w:eastAsia="宋体" w:hint="eastAsia"/>
                <w:sz w:val="21"/>
              </w:rPr>
            </w:pPr>
            <w:r>
              <w:rPr>
                <w:rFonts w:ascii="宋体" w:eastAsia="宋体" w:hint="eastAsia"/>
                <w:sz w:val="21"/>
              </w:rPr>
              <w:t>敏感目标名称</w:t>
            </w:r>
          </w:p>
        </w:tc>
        <w:tc>
          <w:tcPr>
            <w:tcW w:w="185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299"/>
              <w:jc w:val="left"/>
              <w:rPr>
                <w:rFonts w:ascii="宋体" w:eastAsia="宋体" w:hint="eastAsia"/>
                <w:sz w:val="21"/>
              </w:rPr>
            </w:pPr>
            <w:r>
              <w:rPr>
                <w:rFonts w:ascii="宋体" w:eastAsia="宋体" w:hint="eastAsia"/>
                <w:sz w:val="21"/>
              </w:rPr>
              <w:t>环境敏感特征</w:t>
            </w:r>
          </w:p>
        </w:tc>
        <w:tc>
          <w:tcPr>
            <w:tcW w:w="169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426"/>
              <w:jc w:val="left"/>
              <w:rPr>
                <w:rFonts w:ascii="宋体" w:eastAsia="宋体" w:hint="eastAsia"/>
                <w:sz w:val="21"/>
              </w:rPr>
            </w:pPr>
            <w:r>
              <w:rPr>
                <w:rFonts w:ascii="宋体" w:eastAsia="宋体" w:hint="eastAsia"/>
                <w:sz w:val="21"/>
              </w:rPr>
              <w:t>水质目标</w:t>
            </w:r>
          </w:p>
        </w:tc>
        <w:tc>
          <w:tcPr>
            <w:tcW w:w="2092" w:type="dxa"/>
            <w:gridSpan w:val="2"/>
            <w:tcBorders>
              <w:top w:val="single" w:sz="6" w:space="0" w:color="000000"/>
              <w:left w:val="single" w:sz="6" w:space="0" w:color="000000"/>
              <w:bottom w:val="single" w:sz="6" w:space="0" w:color="000000"/>
            </w:tcBorders>
          </w:tcPr>
          <w:p>
            <w:pPr>
              <w:pStyle w:val="TableParagraph"/>
              <w:spacing w:before="44"/>
              <w:ind w:left="123"/>
              <w:jc w:val="left"/>
              <w:rPr>
                <w:rFonts w:ascii="宋体" w:eastAsia="宋体" w:hint="eastAsia"/>
                <w:sz w:val="21"/>
              </w:rPr>
            </w:pPr>
            <w:r>
              <w:rPr>
                <w:rFonts w:ascii="宋体" w:eastAsia="宋体" w:hint="eastAsia"/>
                <w:sz w:val="21"/>
              </w:rPr>
              <w:t>与排放点距离（</w:t>
            </w:r>
            <w:r>
              <w:rPr>
                <w:sz w:val="21"/>
              </w:rPr>
              <w:t>m</w:t>
            </w:r>
            <w:r>
              <w:rPr>
                <w:rFonts w:ascii="宋体" w:eastAsia="宋体" w:hint="eastAsia"/>
                <w:sz w:val="21"/>
              </w:rPr>
              <w:t>）</w:t>
            </w:r>
          </w:p>
        </w:tc>
      </w:tr>
      <w:tr>
        <w:trPr>
          <w:trHeight w:val="357" w:hRule="atLeast"/>
        </w:trPr>
        <w:tc>
          <w:tcPr>
            <w:tcW w:w="955" w:type="dxa"/>
            <w:vMerge/>
            <w:tcBorders>
              <w:top w:val="nil"/>
              <w:bottom w:val="single" w:sz="6" w:space="0" w:color="000000"/>
              <w:right w:val="single" w:sz="6" w:space="0" w:color="000000"/>
            </w:tcBorders>
          </w:tcPr>
          <w:p>
            <w:pPr>
              <w:rPr>
                <w:sz w:val="2"/>
                <w:szCs w:val="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1</w:t>
            </w:r>
          </w:p>
        </w:tc>
        <w:tc>
          <w:tcPr>
            <w:tcW w:w="212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836" w:right="812"/>
              <w:rPr>
                <w:rFonts w:ascii="宋体" w:eastAsia="宋体" w:hint="eastAsia"/>
                <w:sz w:val="21"/>
              </w:rPr>
            </w:pPr>
            <w:r>
              <w:rPr>
                <w:rFonts w:ascii="宋体" w:eastAsia="宋体" w:hint="eastAsia"/>
                <w:sz w:val="21"/>
              </w:rPr>
              <w:t>鉴湖</w:t>
            </w:r>
          </w:p>
        </w:tc>
        <w:tc>
          <w:tcPr>
            <w:tcW w:w="1853" w:type="dxa"/>
            <w:gridSpan w:val="3"/>
            <w:tcBorders>
              <w:top w:val="single" w:sz="6" w:space="0" w:color="000000"/>
              <w:left w:val="single" w:sz="6" w:space="0" w:color="000000"/>
              <w:bottom w:val="single" w:sz="6" w:space="0" w:color="000000"/>
              <w:right w:val="single" w:sz="6" w:space="0" w:color="000000"/>
            </w:tcBorders>
          </w:tcPr>
          <w:p>
            <w:pPr>
              <w:pStyle w:val="TableParagraph"/>
              <w:ind w:left="798" w:right="778"/>
              <w:rPr>
                <w:sz w:val="21"/>
              </w:rPr>
            </w:pPr>
            <w:r>
              <w:rPr>
                <w:sz w:val="21"/>
              </w:rPr>
              <w:t>S2</w:t>
            </w:r>
          </w:p>
        </w:tc>
        <w:tc>
          <w:tcPr>
            <w:tcW w:w="1696"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290" w:right="273"/>
              <w:rPr>
                <w:rFonts w:ascii="宋体" w:hAnsi="宋体" w:eastAsia="宋体" w:hint="eastAsia"/>
                <w:sz w:val="21"/>
              </w:rPr>
            </w:pPr>
            <w:r>
              <w:rPr>
                <w:rFonts w:ascii="宋体" w:hAnsi="宋体" w:eastAsia="宋体" w:hint="eastAsia"/>
                <w:sz w:val="21"/>
              </w:rPr>
              <w:t>Ⅱ类</w:t>
            </w:r>
          </w:p>
        </w:tc>
        <w:tc>
          <w:tcPr>
            <w:tcW w:w="2092" w:type="dxa"/>
            <w:gridSpan w:val="2"/>
            <w:tcBorders>
              <w:top w:val="single" w:sz="6" w:space="0" w:color="000000"/>
              <w:left w:val="single" w:sz="6" w:space="0" w:color="000000"/>
              <w:bottom w:val="single" w:sz="6" w:space="0" w:color="000000"/>
            </w:tcBorders>
          </w:tcPr>
          <w:p>
            <w:pPr>
              <w:pStyle w:val="TableParagraph"/>
              <w:ind w:left="20"/>
              <w:rPr>
                <w:sz w:val="21"/>
              </w:rPr>
            </w:pPr>
            <w:r>
              <w:rPr>
                <w:w w:val="100"/>
                <w:sz w:val="21"/>
              </w:rPr>
              <w:t>/</w:t>
            </w:r>
          </w:p>
        </w:tc>
      </w:tr>
      <w:tr>
        <w:trPr>
          <w:trHeight w:val="359" w:hRule="atLeast"/>
        </w:trPr>
        <w:tc>
          <w:tcPr>
            <w:tcW w:w="955" w:type="dxa"/>
            <w:vMerge/>
            <w:tcBorders>
              <w:top w:val="nil"/>
              <w:bottom w:val="single" w:sz="6" w:space="0" w:color="000000"/>
              <w:right w:val="single" w:sz="6" w:space="0" w:color="000000"/>
            </w:tcBorders>
          </w:tcPr>
          <w:p>
            <w:pPr>
              <w:rPr>
                <w:sz w:val="2"/>
                <w:szCs w:val="2"/>
              </w:rPr>
            </w:pPr>
          </w:p>
        </w:tc>
        <w:tc>
          <w:tcPr>
            <w:tcW w:w="6392" w:type="dxa"/>
            <w:gridSpan w:val="10"/>
            <w:tcBorders>
              <w:top w:val="single" w:sz="6" w:space="0" w:color="000000"/>
              <w:left w:val="single" w:sz="6" w:space="0" w:color="000000"/>
              <w:bottom w:val="single" w:sz="6" w:space="0" w:color="000000"/>
              <w:right w:val="single" w:sz="6" w:space="0" w:color="000000"/>
            </w:tcBorders>
          </w:tcPr>
          <w:p>
            <w:pPr>
              <w:pStyle w:val="TableParagraph"/>
              <w:spacing w:before="46"/>
              <w:ind w:left="1976" w:right="1954"/>
              <w:rPr>
                <w:rFonts w:ascii="宋体" w:eastAsia="宋体" w:hint="eastAsia"/>
                <w:b/>
                <w:sz w:val="21"/>
              </w:rPr>
            </w:pPr>
            <w:r>
              <w:rPr>
                <w:rFonts w:ascii="宋体" w:eastAsia="宋体" w:hint="eastAsia"/>
                <w:b/>
                <w:sz w:val="21"/>
              </w:rPr>
              <w:t>地表水环境敏感程度 </w:t>
            </w:r>
            <w:r>
              <w:rPr>
                <w:b/>
                <w:sz w:val="21"/>
              </w:rPr>
              <w:t>E </w:t>
            </w:r>
            <w:r>
              <w:rPr>
                <w:rFonts w:ascii="宋体" w:eastAsia="宋体" w:hint="eastAsia"/>
                <w:b/>
                <w:sz w:val="21"/>
              </w:rPr>
              <w:t>值</w:t>
            </w:r>
          </w:p>
        </w:tc>
        <w:tc>
          <w:tcPr>
            <w:tcW w:w="2092" w:type="dxa"/>
            <w:gridSpan w:val="2"/>
            <w:tcBorders>
              <w:top w:val="single" w:sz="6" w:space="0" w:color="000000"/>
              <w:left w:val="single" w:sz="6" w:space="0" w:color="000000"/>
              <w:bottom w:val="single" w:sz="6" w:space="0" w:color="000000"/>
            </w:tcBorders>
          </w:tcPr>
          <w:p>
            <w:pPr>
              <w:pStyle w:val="TableParagraph"/>
              <w:spacing w:before="46"/>
              <w:ind w:left="291"/>
              <w:jc w:val="left"/>
              <w:rPr>
                <w:rFonts w:ascii="宋体" w:eastAsia="宋体" w:hint="eastAsia"/>
                <w:b/>
                <w:sz w:val="21"/>
              </w:rPr>
            </w:pPr>
            <w:r>
              <w:rPr>
                <w:rFonts w:ascii="宋体" w:eastAsia="宋体" w:hint="eastAsia"/>
                <w:b/>
                <w:sz w:val="21"/>
              </w:rPr>
              <w:t>高度敏感（</w:t>
            </w:r>
            <w:r>
              <w:rPr>
                <w:b/>
                <w:sz w:val="21"/>
              </w:rPr>
              <w:t>E1</w:t>
            </w:r>
            <w:r>
              <w:rPr>
                <w:rFonts w:ascii="宋体" w:eastAsia="宋体" w:hint="eastAsia"/>
                <w:b/>
                <w:sz w:val="21"/>
              </w:rPr>
              <w:t>）</w:t>
            </w:r>
          </w:p>
        </w:tc>
      </w:tr>
      <w:tr>
        <w:trPr>
          <w:trHeight w:val="359" w:hRule="atLeast"/>
        </w:trPr>
        <w:tc>
          <w:tcPr>
            <w:tcW w:w="955" w:type="dxa"/>
            <w:tcBorders>
              <w:top w:val="single" w:sz="6" w:space="0" w:color="000000"/>
              <w:right w:val="single" w:sz="6" w:space="0" w:color="000000"/>
            </w:tcBorders>
          </w:tcPr>
          <w:p>
            <w:pPr>
              <w:pStyle w:val="TableParagraph"/>
              <w:spacing w:before="46"/>
              <w:ind w:left="133" w:right="112"/>
              <w:rPr>
                <w:rFonts w:ascii="宋体" w:eastAsia="宋体" w:hint="eastAsia"/>
                <w:b/>
                <w:sz w:val="21"/>
              </w:rPr>
            </w:pPr>
            <w:r>
              <w:rPr>
                <w:rFonts w:ascii="宋体" w:eastAsia="宋体" w:hint="eastAsia"/>
                <w:b/>
                <w:sz w:val="21"/>
              </w:rPr>
              <w:t>地下水</w:t>
            </w:r>
          </w:p>
        </w:tc>
        <w:tc>
          <w:tcPr>
            <w:tcW w:w="720" w:type="dxa"/>
            <w:tcBorders>
              <w:top w:val="single" w:sz="6" w:space="0" w:color="000000"/>
              <w:left w:val="single" w:sz="6" w:space="0" w:color="000000"/>
              <w:right w:val="single" w:sz="6" w:space="0" w:color="000000"/>
            </w:tcBorders>
          </w:tcPr>
          <w:p>
            <w:pPr>
              <w:pStyle w:val="TableParagraph"/>
              <w:spacing w:before="44"/>
              <w:ind w:left="109" w:right="80"/>
              <w:rPr>
                <w:rFonts w:ascii="宋体" w:eastAsia="宋体" w:hint="eastAsia"/>
                <w:sz w:val="21"/>
              </w:rPr>
            </w:pPr>
            <w:r>
              <w:rPr>
                <w:rFonts w:ascii="宋体" w:eastAsia="宋体" w:hint="eastAsia"/>
                <w:sz w:val="21"/>
              </w:rPr>
              <w:t>序号</w:t>
            </w:r>
          </w:p>
        </w:tc>
        <w:tc>
          <w:tcPr>
            <w:tcW w:w="1268" w:type="dxa"/>
            <w:tcBorders>
              <w:top w:val="single" w:sz="6" w:space="0" w:color="000000"/>
              <w:left w:val="single" w:sz="6" w:space="0" w:color="000000"/>
              <w:right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敏感区名称</w:t>
            </w:r>
          </w:p>
        </w:tc>
        <w:tc>
          <w:tcPr>
            <w:tcW w:w="1564" w:type="dxa"/>
            <w:gridSpan w:val="3"/>
            <w:tcBorders>
              <w:top w:val="single" w:sz="6" w:space="0" w:color="000000"/>
              <w:left w:val="single" w:sz="6" w:space="0" w:color="000000"/>
              <w:right w:val="single" w:sz="6" w:space="0" w:color="000000"/>
            </w:tcBorders>
          </w:tcPr>
          <w:p>
            <w:pPr>
              <w:pStyle w:val="TableParagraph"/>
              <w:spacing w:before="44"/>
              <w:ind w:left="158"/>
              <w:jc w:val="left"/>
              <w:rPr>
                <w:rFonts w:ascii="宋体" w:eastAsia="宋体" w:hint="eastAsia"/>
                <w:sz w:val="21"/>
              </w:rPr>
            </w:pPr>
            <w:r>
              <w:rPr>
                <w:rFonts w:ascii="宋体" w:eastAsia="宋体" w:hint="eastAsia"/>
                <w:sz w:val="21"/>
              </w:rPr>
              <w:t>环境敏感特征</w:t>
            </w:r>
          </w:p>
        </w:tc>
        <w:tc>
          <w:tcPr>
            <w:tcW w:w="1144" w:type="dxa"/>
            <w:gridSpan w:val="2"/>
            <w:tcBorders>
              <w:top w:val="single" w:sz="6" w:space="0" w:color="000000"/>
              <w:left w:val="single" w:sz="6" w:space="0" w:color="000000"/>
              <w:right w:val="single" w:sz="6" w:space="0" w:color="000000"/>
            </w:tcBorders>
          </w:tcPr>
          <w:p>
            <w:pPr>
              <w:pStyle w:val="TableParagraph"/>
              <w:spacing w:before="44"/>
              <w:ind w:left="154"/>
              <w:jc w:val="left"/>
              <w:rPr>
                <w:rFonts w:ascii="宋体" w:eastAsia="宋体" w:hint="eastAsia"/>
                <w:sz w:val="21"/>
              </w:rPr>
            </w:pPr>
            <w:r>
              <w:rPr>
                <w:rFonts w:ascii="宋体" w:eastAsia="宋体" w:hint="eastAsia"/>
                <w:sz w:val="21"/>
              </w:rPr>
              <w:t>水质目标</w:t>
            </w:r>
          </w:p>
        </w:tc>
        <w:tc>
          <w:tcPr>
            <w:tcW w:w="1696" w:type="dxa"/>
            <w:gridSpan w:val="3"/>
            <w:tcBorders>
              <w:top w:val="single" w:sz="6" w:space="0" w:color="000000"/>
              <w:left w:val="single" w:sz="6" w:space="0" w:color="000000"/>
              <w:right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包气带防污性能</w:t>
            </w:r>
          </w:p>
        </w:tc>
        <w:tc>
          <w:tcPr>
            <w:tcW w:w="2092" w:type="dxa"/>
            <w:gridSpan w:val="2"/>
            <w:tcBorders>
              <w:top w:val="single" w:sz="6" w:space="0" w:color="000000"/>
              <w:left w:val="single" w:sz="6" w:space="0" w:color="000000"/>
            </w:tcBorders>
          </w:tcPr>
          <w:p>
            <w:pPr>
              <w:pStyle w:val="TableParagraph"/>
              <w:spacing w:before="44"/>
              <w:ind w:left="108" w:right="-29"/>
              <w:jc w:val="left"/>
              <w:rPr>
                <w:rFonts w:ascii="宋体" w:eastAsia="宋体" w:hint="eastAsia"/>
                <w:sz w:val="21"/>
              </w:rPr>
            </w:pPr>
            <w:r>
              <w:rPr>
                <w:rFonts w:ascii="宋体" w:eastAsia="宋体" w:hint="eastAsia"/>
                <w:spacing w:val="-13"/>
                <w:sz w:val="21"/>
              </w:rPr>
              <w:t>与下游厂界距离</w:t>
            </w:r>
            <w:r>
              <w:rPr>
                <w:rFonts w:ascii="宋体" w:eastAsia="宋体" w:hint="eastAsia"/>
                <w:sz w:val="21"/>
              </w:rPr>
              <w:t>（</w:t>
            </w:r>
            <w:r>
              <w:rPr>
                <w:sz w:val="21"/>
              </w:rPr>
              <w:t>m</w:t>
            </w:r>
            <w:r>
              <w:rPr>
                <w:rFonts w:ascii="宋体" w:eastAsia="宋体" w:hint="eastAsia"/>
                <w:sz w:val="21"/>
              </w:rPr>
              <w:t>）</w:t>
            </w:r>
          </w:p>
        </w:tc>
      </w:tr>
    </w:tbl>
    <w:p>
      <w:pPr>
        <w:spacing w:after="0"/>
        <w:jc w:val="left"/>
        <w:rPr>
          <w:rFonts w:ascii="宋体" w:eastAsia="宋体" w:hint="eastAsia"/>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55"/>
        <w:gridCol w:w="720"/>
        <w:gridCol w:w="1268"/>
        <w:gridCol w:w="1563"/>
        <w:gridCol w:w="1143"/>
        <w:gridCol w:w="1693"/>
        <w:gridCol w:w="2091"/>
      </w:tblGrid>
      <w:tr>
        <w:trPr>
          <w:trHeight w:val="359" w:hRule="atLeast"/>
        </w:trPr>
        <w:tc>
          <w:tcPr>
            <w:tcW w:w="955" w:type="dxa"/>
            <w:tcBorders>
              <w:bottom w:val="single" w:sz="6" w:space="0" w:color="000000"/>
              <w:right w:val="single" w:sz="6" w:space="0" w:color="000000"/>
            </w:tcBorders>
          </w:tcPr>
          <w:p>
            <w:pPr>
              <w:pStyle w:val="TableParagraph"/>
              <w:spacing w:before="49"/>
              <w:ind w:left="265"/>
              <w:jc w:val="left"/>
              <w:rPr>
                <w:rFonts w:ascii="宋体" w:eastAsia="宋体" w:hint="eastAsia"/>
                <w:b/>
                <w:sz w:val="21"/>
              </w:rPr>
            </w:pPr>
            <w:r>
              <w:rPr>
                <w:rFonts w:ascii="宋体" w:eastAsia="宋体" w:hint="eastAsia"/>
                <w:b/>
                <w:sz w:val="21"/>
              </w:rPr>
              <w:t>类别</w:t>
            </w:r>
          </w:p>
        </w:tc>
        <w:tc>
          <w:tcPr>
            <w:tcW w:w="8478" w:type="dxa"/>
            <w:gridSpan w:val="6"/>
            <w:tcBorders>
              <w:left w:val="single" w:sz="6" w:space="0" w:color="000000"/>
              <w:bottom w:val="single" w:sz="6" w:space="0" w:color="000000"/>
            </w:tcBorders>
          </w:tcPr>
          <w:p>
            <w:pPr>
              <w:pStyle w:val="TableParagraph"/>
              <w:spacing w:before="49"/>
              <w:ind w:left="3593" w:right="3556"/>
              <w:rPr>
                <w:rFonts w:ascii="宋体" w:eastAsia="宋体" w:hint="eastAsia"/>
                <w:b/>
                <w:sz w:val="21"/>
              </w:rPr>
            </w:pPr>
            <w:r>
              <w:rPr>
                <w:rFonts w:ascii="宋体" w:eastAsia="宋体" w:hint="eastAsia"/>
                <w:b/>
                <w:sz w:val="21"/>
              </w:rPr>
              <w:t>环境敏感特征</w:t>
            </w:r>
          </w:p>
        </w:tc>
      </w:tr>
      <w:tr>
        <w:trPr>
          <w:trHeight w:val="351" w:hRule="atLeast"/>
        </w:trPr>
        <w:tc>
          <w:tcPr>
            <w:tcW w:w="955" w:type="dxa"/>
            <w:vMerge w:val="restart"/>
            <w:tcBorders>
              <w:top w:val="single" w:sz="6" w:space="0" w:color="000000"/>
              <w:right w:val="single" w:sz="6" w:space="0" w:color="000000"/>
            </w:tcBorders>
          </w:tcPr>
          <w:p>
            <w:pPr>
              <w:pStyle w:val="TableParagraph"/>
              <w:spacing w:before="0"/>
              <w:jc w:val="left"/>
              <w:rPr>
                <w:sz w:val="22"/>
              </w:rPr>
            </w:pPr>
          </w:p>
        </w:tc>
        <w:tc>
          <w:tcPr>
            <w:tcW w:w="720" w:type="dxa"/>
            <w:tcBorders>
              <w:top w:val="single" w:sz="6" w:space="0" w:color="000000"/>
              <w:left w:val="single" w:sz="6" w:space="0" w:color="000000"/>
              <w:bottom w:val="single" w:sz="6" w:space="0" w:color="000000"/>
              <w:right w:val="single" w:sz="6" w:space="0" w:color="000000"/>
            </w:tcBorders>
          </w:tcPr>
          <w:p>
            <w:pPr>
              <w:pStyle w:val="TableParagraph"/>
              <w:ind w:left="29"/>
              <w:rPr>
                <w:sz w:val="21"/>
              </w:rPr>
            </w:pPr>
            <w:r>
              <w:rPr>
                <w:w w:val="100"/>
                <w:sz w:val="21"/>
              </w:rPr>
              <w:t>1</w:t>
            </w:r>
          </w:p>
        </w:tc>
        <w:tc>
          <w:tcPr>
            <w:tcW w:w="1268" w:type="dxa"/>
            <w:tcBorders>
              <w:top w:val="single" w:sz="6" w:space="0" w:color="000000"/>
              <w:left w:val="single" w:sz="6" w:space="0" w:color="000000"/>
              <w:bottom w:val="single" w:sz="6" w:space="0" w:color="000000"/>
              <w:right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周边地下水</w:t>
            </w:r>
          </w:p>
        </w:tc>
        <w:tc>
          <w:tcPr>
            <w:tcW w:w="1563" w:type="dxa"/>
            <w:tcBorders>
              <w:top w:val="single" w:sz="6" w:space="0" w:color="000000"/>
              <w:left w:val="single" w:sz="6" w:space="0" w:color="000000"/>
              <w:bottom w:val="single" w:sz="6" w:space="0" w:color="000000"/>
              <w:right w:val="single" w:sz="6" w:space="0" w:color="000000"/>
            </w:tcBorders>
          </w:tcPr>
          <w:p>
            <w:pPr>
              <w:pStyle w:val="TableParagraph"/>
              <w:ind w:left="640" w:right="610"/>
              <w:rPr>
                <w:sz w:val="21"/>
              </w:rPr>
            </w:pPr>
            <w:r>
              <w:rPr>
                <w:sz w:val="21"/>
              </w:rPr>
              <w:t>G3</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4"/>
              <w:ind w:left="366"/>
              <w:jc w:val="left"/>
              <w:rPr>
                <w:rFonts w:ascii="宋体" w:hAnsi="宋体" w:eastAsia="宋体" w:hint="eastAsia"/>
                <w:sz w:val="21"/>
              </w:rPr>
            </w:pPr>
            <w:r>
              <w:rPr>
                <w:rFonts w:ascii="宋体" w:hAnsi="宋体" w:eastAsia="宋体" w:hint="eastAsia"/>
                <w:sz w:val="21"/>
              </w:rPr>
              <w:t>Ⅲ类</w:t>
            </w:r>
          </w:p>
        </w:tc>
        <w:tc>
          <w:tcPr>
            <w:tcW w:w="1693" w:type="dxa"/>
            <w:tcBorders>
              <w:top w:val="single" w:sz="6" w:space="0" w:color="000000"/>
              <w:left w:val="single" w:sz="6" w:space="0" w:color="000000"/>
              <w:bottom w:val="single" w:sz="6" w:space="0" w:color="000000"/>
              <w:right w:val="single" w:sz="6" w:space="0" w:color="000000"/>
            </w:tcBorders>
          </w:tcPr>
          <w:p>
            <w:pPr>
              <w:pStyle w:val="TableParagraph"/>
              <w:ind w:left="702" w:right="678"/>
              <w:rPr>
                <w:sz w:val="21"/>
              </w:rPr>
            </w:pPr>
            <w:r>
              <w:rPr>
                <w:sz w:val="21"/>
              </w:rPr>
              <w:t>D1</w:t>
            </w:r>
          </w:p>
        </w:tc>
        <w:tc>
          <w:tcPr>
            <w:tcW w:w="2091" w:type="dxa"/>
            <w:tcBorders>
              <w:top w:val="single" w:sz="6" w:space="0" w:color="000000"/>
              <w:left w:val="single" w:sz="6" w:space="0" w:color="000000"/>
              <w:bottom w:val="single" w:sz="6" w:space="0" w:color="000000"/>
            </w:tcBorders>
          </w:tcPr>
          <w:p>
            <w:pPr>
              <w:pStyle w:val="TableParagraph"/>
              <w:ind w:left="31"/>
              <w:rPr>
                <w:sz w:val="21"/>
              </w:rPr>
            </w:pPr>
            <w:r>
              <w:rPr>
                <w:w w:val="100"/>
                <w:sz w:val="21"/>
              </w:rPr>
              <w:t>/</w:t>
            </w:r>
          </w:p>
        </w:tc>
      </w:tr>
      <w:tr>
        <w:trPr>
          <w:trHeight w:val="351" w:hRule="atLeast"/>
        </w:trPr>
        <w:tc>
          <w:tcPr>
            <w:tcW w:w="955" w:type="dxa"/>
            <w:vMerge/>
            <w:tcBorders>
              <w:top w:val="nil"/>
              <w:right w:val="single" w:sz="6" w:space="0" w:color="000000"/>
            </w:tcBorders>
          </w:tcPr>
          <w:p>
            <w:pPr>
              <w:rPr>
                <w:sz w:val="2"/>
                <w:szCs w:val="2"/>
              </w:rPr>
            </w:pPr>
          </w:p>
        </w:tc>
        <w:tc>
          <w:tcPr>
            <w:tcW w:w="6387" w:type="dxa"/>
            <w:gridSpan w:val="5"/>
            <w:tcBorders>
              <w:top w:val="single" w:sz="6" w:space="0" w:color="000000"/>
              <w:left w:val="single" w:sz="6" w:space="0" w:color="000000"/>
              <w:right w:val="single" w:sz="6" w:space="0" w:color="000000"/>
            </w:tcBorders>
          </w:tcPr>
          <w:p>
            <w:pPr>
              <w:pStyle w:val="TableParagraph"/>
              <w:spacing w:before="36"/>
              <w:ind w:left="1976" w:right="1949"/>
              <w:rPr>
                <w:rFonts w:ascii="宋体" w:eastAsia="宋体" w:hint="eastAsia"/>
                <w:b/>
                <w:sz w:val="21"/>
              </w:rPr>
            </w:pPr>
            <w:r>
              <w:rPr>
                <w:rFonts w:ascii="宋体" w:eastAsia="宋体" w:hint="eastAsia"/>
                <w:b/>
                <w:sz w:val="21"/>
              </w:rPr>
              <w:t>地下水环境敏感程度 </w:t>
            </w:r>
            <w:r>
              <w:rPr>
                <w:b/>
                <w:sz w:val="21"/>
              </w:rPr>
              <w:t>E </w:t>
            </w:r>
            <w:r>
              <w:rPr>
                <w:rFonts w:ascii="宋体" w:eastAsia="宋体" w:hint="eastAsia"/>
                <w:b/>
                <w:sz w:val="21"/>
              </w:rPr>
              <w:t>值</w:t>
            </w:r>
          </w:p>
        </w:tc>
        <w:tc>
          <w:tcPr>
            <w:tcW w:w="2091" w:type="dxa"/>
            <w:tcBorders>
              <w:top w:val="single" w:sz="6" w:space="0" w:color="000000"/>
              <w:left w:val="single" w:sz="6" w:space="0" w:color="000000"/>
            </w:tcBorders>
          </w:tcPr>
          <w:p>
            <w:pPr>
              <w:pStyle w:val="TableParagraph"/>
              <w:spacing w:before="36"/>
              <w:ind w:left="275" w:right="242"/>
              <w:rPr>
                <w:rFonts w:ascii="宋体" w:eastAsia="宋体" w:hint="eastAsia"/>
                <w:b/>
                <w:sz w:val="21"/>
              </w:rPr>
            </w:pPr>
            <w:r>
              <w:rPr>
                <w:rFonts w:ascii="宋体" w:eastAsia="宋体" w:hint="eastAsia"/>
                <w:b/>
                <w:sz w:val="21"/>
              </w:rPr>
              <w:t>中度敏感（</w:t>
            </w:r>
            <w:r>
              <w:rPr>
                <w:b/>
                <w:sz w:val="21"/>
              </w:rPr>
              <w:t>E2</w:t>
            </w:r>
            <w:r>
              <w:rPr>
                <w:rFonts w:ascii="宋体" w:eastAsia="宋体" w:hint="eastAsia"/>
                <w:b/>
                <w:sz w:val="21"/>
              </w:rPr>
              <w:t>）</w:t>
            </w:r>
          </w:p>
        </w:tc>
      </w:tr>
    </w:tbl>
    <w:p>
      <w:pPr>
        <w:pStyle w:val="Heading3"/>
        <w:spacing w:before="91"/>
      </w:pPr>
      <w:r>
        <w:rPr>
          <w:rFonts w:ascii="Times New Roman" w:eastAsia="Times New Roman"/>
        </w:rPr>
        <w:t>2</w:t>
      </w:r>
      <w:r>
        <w:rPr/>
        <w:t>、环境风险潜势初判</w:t>
      </w:r>
    </w:p>
    <w:p>
      <w:pPr>
        <w:pStyle w:val="ListParagraph"/>
        <w:numPr>
          <w:ilvl w:val="0"/>
          <w:numId w:val="82"/>
        </w:numPr>
        <w:tabs>
          <w:tab w:pos="1323" w:val="left" w:leader="none"/>
        </w:tabs>
        <w:spacing w:line="240" w:lineRule="auto" w:before="161" w:after="0"/>
        <w:ind w:left="1323" w:right="0" w:hanging="604"/>
        <w:jc w:val="left"/>
        <w:rPr>
          <w:b/>
          <w:sz w:val="24"/>
        </w:rPr>
      </w:pPr>
      <w:r>
        <w:rPr>
          <w:b/>
          <w:sz w:val="24"/>
        </w:rPr>
        <w:t>环境风险潜势划分</w:t>
      </w:r>
    </w:p>
    <w:p>
      <w:pPr>
        <w:pStyle w:val="BodyText"/>
        <w:spacing w:line="364" w:lineRule="auto" w:before="160"/>
        <w:ind w:right="249" w:firstLine="480"/>
        <w:jc w:val="both"/>
      </w:pPr>
      <w:r>
        <w:rPr/>
        <w:t>建设项目环境风险潜势划分为Ⅰ、Ⅱ、Ⅲ、Ⅳ、Ⅳ</w:t>
      </w:r>
      <w:r>
        <w:rPr>
          <w:rFonts w:ascii="Times New Roman" w:hAnsi="Times New Roman" w:eastAsia="Times New Roman"/>
          <w:vertAlign w:val="superscript"/>
        </w:rPr>
        <w:t>+</w:t>
      </w:r>
      <w:r>
        <w:rPr>
          <w:vertAlign w:val="baseline"/>
        </w:rPr>
        <w:t>级。根据建设项目涉及的物质和工艺系统的危险性及其所在地的环境敏感程度，结合事故情形下环境影响途径，对建设项目潜在环境危险程度进行概化分析，按照下表确定环境风险潜势。</w:t>
      </w:r>
    </w:p>
    <w:p>
      <w:pPr>
        <w:pStyle w:val="Heading3"/>
        <w:spacing w:before="3"/>
        <w:ind w:left="2877"/>
        <w:jc w:val="both"/>
      </w:pPr>
      <w:r>
        <w:rPr/>
        <w:t>表 </w:t>
      </w:r>
      <w:r>
        <w:rPr>
          <w:rFonts w:ascii="Times New Roman" w:eastAsia="Times New Roman"/>
        </w:rPr>
        <w:t>5.2-38  </w:t>
      </w:r>
      <w:r>
        <w:rPr/>
        <w:t>建设项目环境风险潜势划分</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17"/>
        <w:gridCol w:w="1754"/>
        <w:gridCol w:w="1752"/>
        <w:gridCol w:w="1755"/>
        <w:gridCol w:w="1752"/>
      </w:tblGrid>
      <w:tr>
        <w:trPr>
          <w:trHeight w:val="359" w:hRule="atLeast"/>
        </w:trPr>
        <w:tc>
          <w:tcPr>
            <w:tcW w:w="2417" w:type="dxa"/>
            <w:vMerge w:val="restart"/>
            <w:tcBorders>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294"/>
              <w:jc w:val="left"/>
              <w:rPr>
                <w:rFonts w:ascii="宋体" w:eastAsia="宋体" w:hint="eastAsia"/>
                <w:b/>
                <w:sz w:val="21"/>
              </w:rPr>
            </w:pPr>
            <w:r>
              <w:rPr>
                <w:rFonts w:ascii="宋体" w:eastAsia="宋体" w:hint="eastAsia"/>
                <w:b/>
                <w:sz w:val="21"/>
              </w:rPr>
              <w:t>环境敏感程度（</w:t>
            </w:r>
            <w:r>
              <w:rPr>
                <w:b/>
                <w:sz w:val="21"/>
              </w:rPr>
              <w:t>E</w:t>
            </w:r>
            <w:r>
              <w:rPr>
                <w:rFonts w:ascii="宋体" w:eastAsia="宋体" w:hint="eastAsia"/>
                <w:b/>
                <w:sz w:val="21"/>
              </w:rPr>
              <w:t>）</w:t>
            </w:r>
          </w:p>
        </w:tc>
        <w:tc>
          <w:tcPr>
            <w:tcW w:w="7013" w:type="dxa"/>
            <w:gridSpan w:val="4"/>
            <w:tcBorders>
              <w:left w:val="single" w:sz="6" w:space="0" w:color="000000"/>
              <w:bottom w:val="single" w:sz="6" w:space="0" w:color="000000"/>
            </w:tcBorders>
          </w:tcPr>
          <w:p>
            <w:pPr>
              <w:pStyle w:val="TableParagraph"/>
              <w:spacing w:before="44"/>
              <w:ind w:left="2226" w:right="2194"/>
              <w:rPr>
                <w:rFonts w:ascii="宋体" w:eastAsia="宋体" w:hint="eastAsia"/>
                <w:b/>
                <w:sz w:val="21"/>
              </w:rPr>
            </w:pPr>
            <w:r>
              <w:rPr>
                <w:rFonts w:ascii="宋体" w:eastAsia="宋体" w:hint="eastAsia"/>
                <w:b/>
                <w:sz w:val="21"/>
              </w:rPr>
              <w:t>危险物质及工艺系统危险性</w:t>
            </w:r>
          </w:p>
        </w:tc>
      </w:tr>
      <w:tr>
        <w:trPr>
          <w:trHeight w:val="359" w:hRule="atLeast"/>
        </w:trPr>
        <w:tc>
          <w:tcPr>
            <w:tcW w:w="2417" w:type="dxa"/>
            <w:vMerge/>
            <w:tcBorders>
              <w:top w:val="nil"/>
              <w:bottom w:val="single" w:sz="6" w:space="0" w:color="000000"/>
              <w:right w:val="single" w:sz="6" w:space="0" w:color="000000"/>
            </w:tcBorders>
          </w:tcPr>
          <w:p>
            <w:pPr>
              <w:rPr>
                <w:sz w:val="2"/>
                <w:szCs w:val="2"/>
              </w:rPr>
            </w:pP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44"/>
              <w:ind w:left="111" w:right="89"/>
              <w:rPr>
                <w:rFonts w:ascii="宋体" w:eastAsia="宋体" w:hint="eastAsia"/>
                <w:b/>
                <w:sz w:val="21"/>
              </w:rPr>
            </w:pPr>
            <w:r>
              <w:rPr>
                <w:rFonts w:ascii="宋体" w:eastAsia="宋体" w:hint="eastAsia"/>
                <w:b/>
                <w:sz w:val="21"/>
              </w:rPr>
              <w:t>极高危险（</w:t>
            </w:r>
            <w:r>
              <w:rPr>
                <w:b/>
                <w:sz w:val="21"/>
              </w:rPr>
              <w:t>P1</w:t>
            </w:r>
            <w:r>
              <w:rPr>
                <w:rFonts w:ascii="宋体" w:eastAsia="宋体" w:hint="eastAsia"/>
                <w:b/>
                <w:sz w:val="21"/>
              </w:rPr>
              <w:t>）</w:t>
            </w:r>
          </w:p>
        </w:tc>
        <w:tc>
          <w:tcPr>
            <w:tcW w:w="1752" w:type="dxa"/>
            <w:tcBorders>
              <w:top w:val="single" w:sz="6" w:space="0" w:color="000000"/>
              <w:left w:val="single" w:sz="6" w:space="0" w:color="000000"/>
              <w:bottom w:val="single" w:sz="6" w:space="0" w:color="000000"/>
              <w:right w:val="single" w:sz="6" w:space="0" w:color="000000"/>
            </w:tcBorders>
          </w:tcPr>
          <w:p>
            <w:pPr>
              <w:pStyle w:val="TableParagraph"/>
              <w:spacing w:before="44"/>
              <w:ind w:left="112" w:right="86"/>
              <w:rPr>
                <w:rFonts w:ascii="宋体" w:eastAsia="宋体" w:hint="eastAsia"/>
                <w:b/>
                <w:sz w:val="21"/>
              </w:rPr>
            </w:pPr>
            <w:r>
              <w:rPr>
                <w:rFonts w:ascii="宋体" w:eastAsia="宋体" w:hint="eastAsia"/>
                <w:b/>
                <w:sz w:val="21"/>
              </w:rPr>
              <w:t>高度危险（</w:t>
            </w:r>
            <w:r>
              <w:rPr>
                <w:b/>
                <w:sz w:val="21"/>
              </w:rPr>
              <w:t>P2</w:t>
            </w:r>
            <w:r>
              <w:rPr>
                <w:rFonts w:ascii="宋体" w:eastAsia="宋体" w:hint="eastAsia"/>
                <w:b/>
                <w:sz w:val="21"/>
              </w:rPr>
              <w:t>）</w:t>
            </w: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right="86"/>
              <w:rPr>
                <w:rFonts w:ascii="宋体" w:eastAsia="宋体" w:hint="eastAsia"/>
                <w:b/>
                <w:sz w:val="21"/>
              </w:rPr>
            </w:pPr>
            <w:r>
              <w:rPr>
                <w:rFonts w:ascii="宋体" w:eastAsia="宋体" w:hint="eastAsia"/>
                <w:b/>
                <w:sz w:val="21"/>
              </w:rPr>
              <w:t>中度危险（</w:t>
            </w:r>
            <w:r>
              <w:rPr>
                <w:b/>
                <w:sz w:val="21"/>
              </w:rPr>
              <w:t>P3</w:t>
            </w:r>
            <w:r>
              <w:rPr>
                <w:rFonts w:ascii="宋体" w:eastAsia="宋体" w:hint="eastAsia"/>
                <w:b/>
                <w:sz w:val="21"/>
              </w:rPr>
              <w:t>）</w:t>
            </w:r>
          </w:p>
        </w:tc>
        <w:tc>
          <w:tcPr>
            <w:tcW w:w="1752" w:type="dxa"/>
            <w:tcBorders>
              <w:top w:val="single" w:sz="6" w:space="0" w:color="000000"/>
              <w:left w:val="single" w:sz="6" w:space="0" w:color="000000"/>
              <w:bottom w:val="single" w:sz="6" w:space="0" w:color="000000"/>
            </w:tcBorders>
          </w:tcPr>
          <w:p>
            <w:pPr>
              <w:pStyle w:val="TableParagraph"/>
              <w:spacing w:before="44"/>
              <w:ind w:left="114" w:right="76"/>
              <w:rPr>
                <w:rFonts w:ascii="宋体" w:eastAsia="宋体" w:hint="eastAsia"/>
                <w:b/>
                <w:sz w:val="21"/>
              </w:rPr>
            </w:pPr>
            <w:r>
              <w:rPr>
                <w:rFonts w:ascii="宋体" w:eastAsia="宋体" w:hint="eastAsia"/>
                <w:b/>
                <w:sz w:val="21"/>
              </w:rPr>
              <w:t>轻度危害（</w:t>
            </w:r>
            <w:r>
              <w:rPr>
                <w:b/>
                <w:sz w:val="21"/>
              </w:rPr>
              <w:t>P4</w:t>
            </w:r>
            <w:r>
              <w:rPr>
                <w:rFonts w:ascii="宋体" w:eastAsia="宋体" w:hint="eastAsia"/>
                <w:b/>
                <w:sz w:val="21"/>
              </w:rPr>
              <w:t>）</w:t>
            </w:r>
          </w:p>
        </w:tc>
      </w:tr>
      <w:tr>
        <w:trPr>
          <w:trHeight w:val="357" w:hRule="atLeast"/>
        </w:trPr>
        <w:tc>
          <w:tcPr>
            <w:tcW w:w="2417" w:type="dxa"/>
            <w:tcBorders>
              <w:top w:val="single" w:sz="6" w:space="0" w:color="000000"/>
              <w:bottom w:val="single" w:sz="6" w:space="0" w:color="000000"/>
              <w:right w:val="single" w:sz="6" w:space="0" w:color="000000"/>
            </w:tcBorders>
          </w:tcPr>
          <w:p>
            <w:pPr>
              <w:pStyle w:val="TableParagraph"/>
              <w:spacing w:before="44"/>
              <w:ind w:left="145"/>
              <w:jc w:val="left"/>
              <w:rPr>
                <w:rFonts w:ascii="宋体" w:eastAsia="宋体" w:hint="eastAsia"/>
                <w:sz w:val="21"/>
              </w:rPr>
            </w:pPr>
            <w:r>
              <w:rPr>
                <w:rFonts w:ascii="宋体" w:eastAsia="宋体" w:hint="eastAsia"/>
                <w:sz w:val="21"/>
              </w:rPr>
              <w:t>环境高度敏感区（</w:t>
            </w:r>
            <w:r>
              <w:rPr>
                <w:sz w:val="21"/>
              </w:rPr>
              <w:t>E1</w:t>
            </w:r>
            <w:r>
              <w:rPr>
                <w:rFonts w:ascii="宋体" w:eastAsia="宋体" w:hint="eastAsia"/>
                <w:sz w:val="21"/>
              </w:rPr>
              <w:t>）</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44"/>
              <w:ind w:left="111" w:right="87"/>
              <w:rPr>
                <w:sz w:val="14"/>
              </w:rPr>
            </w:pPr>
            <w:r>
              <w:rPr>
                <w:rFonts w:ascii="宋体" w:hAnsi="宋体"/>
                <w:position w:val="-6"/>
                <w:sz w:val="21"/>
              </w:rPr>
              <w:t>Ⅳ</w:t>
            </w:r>
            <w:r>
              <w:rPr>
                <w:sz w:val="14"/>
              </w:rPr>
              <w:t>+</w:t>
            </w:r>
          </w:p>
        </w:tc>
        <w:tc>
          <w:tcPr>
            <w:tcW w:w="1752"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hAnsi="宋体"/>
                <w:sz w:val="21"/>
              </w:rPr>
            </w:pPr>
            <w:r>
              <w:rPr>
                <w:rFonts w:ascii="宋体" w:hAnsi="宋体"/>
                <w:w w:val="100"/>
                <w:sz w:val="21"/>
              </w:rPr>
              <w:t>Ⅳ</w:t>
            </w: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hAnsi="宋体"/>
                <w:sz w:val="21"/>
              </w:rPr>
            </w:pPr>
            <w:r>
              <w:rPr>
                <w:rFonts w:ascii="宋体" w:hAnsi="宋体"/>
                <w:w w:val="100"/>
                <w:sz w:val="21"/>
              </w:rPr>
              <w:t>Ⅲ</w:t>
            </w:r>
          </w:p>
        </w:tc>
        <w:tc>
          <w:tcPr>
            <w:tcW w:w="1752" w:type="dxa"/>
            <w:tcBorders>
              <w:top w:val="single" w:sz="6" w:space="0" w:color="000000"/>
              <w:left w:val="single" w:sz="6" w:space="0" w:color="000000"/>
              <w:bottom w:val="single" w:sz="6" w:space="0" w:color="000000"/>
            </w:tcBorders>
          </w:tcPr>
          <w:p>
            <w:pPr>
              <w:pStyle w:val="TableParagraph"/>
              <w:spacing w:before="44"/>
              <w:ind w:left="38"/>
              <w:rPr>
                <w:rFonts w:ascii="宋体" w:hAnsi="宋体"/>
                <w:sz w:val="21"/>
              </w:rPr>
            </w:pPr>
            <w:r>
              <w:rPr>
                <w:rFonts w:ascii="宋体" w:hAnsi="宋体"/>
                <w:w w:val="100"/>
                <w:sz w:val="21"/>
              </w:rPr>
              <w:t>Ⅲ</w:t>
            </w:r>
          </w:p>
        </w:tc>
      </w:tr>
      <w:tr>
        <w:trPr>
          <w:trHeight w:val="359" w:hRule="atLeast"/>
        </w:trPr>
        <w:tc>
          <w:tcPr>
            <w:tcW w:w="2417" w:type="dxa"/>
            <w:tcBorders>
              <w:top w:val="single" w:sz="6" w:space="0" w:color="000000"/>
              <w:bottom w:val="single" w:sz="6" w:space="0" w:color="000000"/>
              <w:right w:val="single" w:sz="6" w:space="0" w:color="000000"/>
            </w:tcBorders>
          </w:tcPr>
          <w:p>
            <w:pPr>
              <w:pStyle w:val="TableParagraph"/>
              <w:spacing w:before="46"/>
              <w:ind w:left="145"/>
              <w:jc w:val="left"/>
              <w:rPr>
                <w:rFonts w:ascii="宋体" w:eastAsia="宋体" w:hint="eastAsia"/>
                <w:sz w:val="21"/>
              </w:rPr>
            </w:pPr>
            <w:r>
              <w:rPr>
                <w:rFonts w:ascii="宋体" w:eastAsia="宋体" w:hint="eastAsia"/>
                <w:sz w:val="21"/>
              </w:rPr>
              <w:t>环境中度敏感区（</w:t>
            </w:r>
            <w:r>
              <w:rPr>
                <w:sz w:val="21"/>
              </w:rPr>
              <w:t>E2</w:t>
            </w:r>
            <w:r>
              <w:rPr>
                <w:rFonts w:ascii="宋体" w:eastAsia="宋体" w:hint="eastAsia"/>
                <w:sz w:val="21"/>
              </w:rPr>
              <w:t>）</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46"/>
              <w:ind w:left="22"/>
              <w:rPr>
                <w:rFonts w:ascii="宋体" w:hAnsi="宋体"/>
                <w:sz w:val="21"/>
              </w:rPr>
            </w:pPr>
            <w:r>
              <w:rPr>
                <w:rFonts w:ascii="宋体" w:hAnsi="宋体"/>
                <w:w w:val="100"/>
                <w:sz w:val="21"/>
              </w:rPr>
              <w:t>Ⅳ</w:t>
            </w:r>
          </w:p>
        </w:tc>
        <w:tc>
          <w:tcPr>
            <w:tcW w:w="1752" w:type="dxa"/>
            <w:tcBorders>
              <w:top w:val="single" w:sz="6" w:space="0" w:color="000000"/>
              <w:left w:val="single" w:sz="6" w:space="0" w:color="000000"/>
              <w:bottom w:val="single" w:sz="6" w:space="0" w:color="000000"/>
              <w:right w:val="single" w:sz="6" w:space="0" w:color="000000"/>
            </w:tcBorders>
          </w:tcPr>
          <w:p>
            <w:pPr>
              <w:pStyle w:val="TableParagraph"/>
              <w:spacing w:before="46"/>
              <w:ind w:left="26"/>
              <w:rPr>
                <w:rFonts w:ascii="宋体" w:hAnsi="宋体"/>
                <w:sz w:val="21"/>
              </w:rPr>
            </w:pPr>
            <w:r>
              <w:rPr>
                <w:rFonts w:ascii="宋体" w:hAnsi="宋体"/>
                <w:w w:val="100"/>
                <w:sz w:val="21"/>
              </w:rPr>
              <w:t>Ⅲ</w:t>
            </w: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hAnsi="宋体"/>
                <w:sz w:val="21"/>
              </w:rPr>
            </w:pPr>
            <w:r>
              <w:rPr>
                <w:rFonts w:ascii="宋体" w:hAnsi="宋体"/>
                <w:w w:val="100"/>
                <w:sz w:val="21"/>
              </w:rPr>
              <w:t>Ⅲ</w:t>
            </w:r>
          </w:p>
        </w:tc>
        <w:tc>
          <w:tcPr>
            <w:tcW w:w="1752" w:type="dxa"/>
            <w:tcBorders>
              <w:top w:val="single" w:sz="6" w:space="0" w:color="000000"/>
              <w:left w:val="single" w:sz="6" w:space="0" w:color="000000"/>
              <w:bottom w:val="single" w:sz="6" w:space="0" w:color="000000"/>
            </w:tcBorders>
          </w:tcPr>
          <w:p>
            <w:pPr>
              <w:pStyle w:val="TableParagraph"/>
              <w:spacing w:before="46"/>
              <w:ind w:left="38"/>
              <w:rPr>
                <w:rFonts w:ascii="宋体" w:hAnsi="宋体"/>
                <w:sz w:val="21"/>
              </w:rPr>
            </w:pPr>
            <w:r>
              <w:rPr>
                <w:rFonts w:ascii="宋体" w:hAnsi="宋体"/>
                <w:w w:val="100"/>
                <w:sz w:val="21"/>
              </w:rPr>
              <w:t>Ⅱ</w:t>
            </w:r>
          </w:p>
        </w:tc>
      </w:tr>
      <w:tr>
        <w:trPr>
          <w:trHeight w:val="359" w:hRule="atLeast"/>
        </w:trPr>
        <w:tc>
          <w:tcPr>
            <w:tcW w:w="2417" w:type="dxa"/>
            <w:tcBorders>
              <w:top w:val="single" w:sz="6" w:space="0" w:color="000000"/>
              <w:bottom w:val="single" w:sz="6" w:space="0" w:color="000000"/>
              <w:right w:val="single" w:sz="6" w:space="0" w:color="000000"/>
            </w:tcBorders>
          </w:tcPr>
          <w:p>
            <w:pPr>
              <w:pStyle w:val="TableParagraph"/>
              <w:spacing w:before="44"/>
              <w:ind w:left="145"/>
              <w:jc w:val="left"/>
              <w:rPr>
                <w:rFonts w:ascii="宋体" w:eastAsia="宋体" w:hint="eastAsia"/>
                <w:sz w:val="21"/>
              </w:rPr>
            </w:pPr>
            <w:r>
              <w:rPr>
                <w:rFonts w:ascii="宋体" w:eastAsia="宋体" w:hint="eastAsia"/>
                <w:sz w:val="21"/>
              </w:rPr>
              <w:t>环境低度敏感区（</w:t>
            </w:r>
            <w:r>
              <w:rPr>
                <w:sz w:val="21"/>
              </w:rPr>
              <w:t>E3</w:t>
            </w:r>
            <w:r>
              <w:rPr>
                <w:rFonts w:ascii="宋体" w:eastAsia="宋体" w:hint="eastAsia"/>
                <w:sz w:val="21"/>
              </w:rPr>
              <w:t>）</w:t>
            </w:r>
          </w:p>
        </w:tc>
        <w:tc>
          <w:tcPr>
            <w:tcW w:w="1754" w:type="dxa"/>
            <w:tcBorders>
              <w:top w:val="single" w:sz="6" w:space="0" w:color="000000"/>
              <w:left w:val="single" w:sz="6" w:space="0" w:color="000000"/>
              <w:bottom w:val="single" w:sz="6" w:space="0" w:color="000000"/>
              <w:right w:val="single" w:sz="6" w:space="0" w:color="000000"/>
            </w:tcBorders>
          </w:tcPr>
          <w:p>
            <w:pPr>
              <w:pStyle w:val="TableParagraph"/>
              <w:spacing w:before="44"/>
              <w:ind w:left="22"/>
              <w:rPr>
                <w:rFonts w:ascii="宋体" w:hAnsi="宋体"/>
                <w:sz w:val="21"/>
              </w:rPr>
            </w:pPr>
            <w:r>
              <w:rPr>
                <w:rFonts w:ascii="宋体" w:hAnsi="宋体"/>
                <w:w w:val="100"/>
                <w:sz w:val="21"/>
              </w:rPr>
              <w:t>Ⅲ</w:t>
            </w:r>
          </w:p>
        </w:tc>
        <w:tc>
          <w:tcPr>
            <w:tcW w:w="1752"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hAnsi="宋体"/>
                <w:sz w:val="21"/>
              </w:rPr>
            </w:pPr>
            <w:r>
              <w:rPr>
                <w:rFonts w:ascii="宋体" w:hAnsi="宋体"/>
                <w:w w:val="100"/>
                <w:sz w:val="21"/>
              </w:rPr>
              <w:t>Ⅲ</w:t>
            </w: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hAnsi="宋体"/>
                <w:sz w:val="21"/>
              </w:rPr>
            </w:pPr>
            <w:r>
              <w:rPr>
                <w:rFonts w:ascii="宋体" w:hAnsi="宋体"/>
                <w:w w:val="100"/>
                <w:sz w:val="21"/>
              </w:rPr>
              <w:t>Ⅱ</w:t>
            </w:r>
          </w:p>
        </w:tc>
        <w:tc>
          <w:tcPr>
            <w:tcW w:w="1752" w:type="dxa"/>
            <w:tcBorders>
              <w:top w:val="single" w:sz="6" w:space="0" w:color="000000"/>
              <w:left w:val="single" w:sz="6" w:space="0" w:color="000000"/>
              <w:bottom w:val="single" w:sz="6" w:space="0" w:color="000000"/>
            </w:tcBorders>
          </w:tcPr>
          <w:p>
            <w:pPr>
              <w:pStyle w:val="TableParagraph"/>
              <w:spacing w:before="44"/>
              <w:ind w:left="38"/>
              <w:rPr>
                <w:rFonts w:ascii="宋体" w:hAnsi="宋体"/>
                <w:sz w:val="21"/>
              </w:rPr>
            </w:pPr>
            <w:r>
              <w:rPr>
                <w:rFonts w:ascii="宋体" w:hAnsi="宋体"/>
                <w:w w:val="100"/>
                <w:sz w:val="21"/>
              </w:rPr>
              <w:t>Ⅰ</w:t>
            </w:r>
          </w:p>
        </w:tc>
      </w:tr>
      <w:tr>
        <w:trPr>
          <w:trHeight w:val="359" w:hRule="atLeast"/>
        </w:trPr>
        <w:tc>
          <w:tcPr>
            <w:tcW w:w="9430" w:type="dxa"/>
            <w:gridSpan w:val="5"/>
            <w:tcBorders>
              <w:top w:val="single" w:sz="6" w:space="0" w:color="000000"/>
            </w:tcBorders>
          </w:tcPr>
          <w:p>
            <w:pPr>
              <w:pStyle w:val="TableParagraph"/>
              <w:spacing w:before="44"/>
              <w:ind w:left="107"/>
              <w:jc w:val="left"/>
              <w:rPr>
                <w:rFonts w:ascii="宋体" w:hAnsi="宋体" w:eastAsia="宋体" w:hint="eastAsia"/>
                <w:sz w:val="21"/>
              </w:rPr>
            </w:pPr>
            <w:r>
              <w:rPr>
                <w:rFonts w:ascii="宋体" w:hAnsi="宋体" w:eastAsia="宋体" w:hint="eastAsia"/>
                <w:sz w:val="21"/>
              </w:rPr>
              <w:t>注：Ⅳ</w:t>
            </w:r>
            <w:r>
              <w:rPr>
                <w:position w:val="7"/>
                <w:sz w:val="14"/>
              </w:rPr>
              <w:t>+</w:t>
            </w:r>
            <w:r>
              <w:rPr>
                <w:rFonts w:ascii="宋体" w:hAnsi="宋体" w:eastAsia="宋体" w:hint="eastAsia"/>
                <w:sz w:val="21"/>
              </w:rPr>
              <w:t>为极高环境风险。</w:t>
            </w:r>
          </w:p>
        </w:tc>
      </w:tr>
    </w:tbl>
    <w:p>
      <w:pPr>
        <w:pStyle w:val="ListParagraph"/>
        <w:numPr>
          <w:ilvl w:val="0"/>
          <w:numId w:val="82"/>
        </w:numPr>
        <w:tabs>
          <w:tab w:pos="1323" w:val="left" w:leader="none"/>
        </w:tabs>
        <w:spacing w:line="240" w:lineRule="auto" w:before="81" w:after="0"/>
        <w:ind w:left="1323" w:right="0" w:hanging="604"/>
        <w:jc w:val="left"/>
        <w:rPr>
          <w:b/>
          <w:sz w:val="24"/>
        </w:rPr>
      </w:pPr>
      <w:r>
        <w:rPr>
          <w:b/>
          <w:sz w:val="24"/>
        </w:rPr>
        <w:t>危险物质数量与临界量比值（</w:t>
      </w:r>
      <w:r>
        <w:rPr>
          <w:rFonts w:ascii="Times New Roman" w:eastAsia="Times New Roman"/>
          <w:b/>
          <w:sz w:val="24"/>
        </w:rPr>
        <w:t>Q</w:t>
      </w:r>
      <w:r>
        <w:rPr>
          <w:b/>
          <w:sz w:val="24"/>
        </w:rPr>
        <w:t>）</w:t>
      </w:r>
    </w:p>
    <w:p>
      <w:pPr>
        <w:pStyle w:val="BodyText"/>
        <w:spacing w:line="364" w:lineRule="auto" w:before="161"/>
        <w:ind w:right="131" w:firstLine="480"/>
        <w:jc w:val="both"/>
      </w:pPr>
      <w:r>
        <w:rPr/>
        <w:t>计算所涉及危险物质在厂界内的最大存在总量与其在《建设项目环境风险评价技术导则》（</w:t>
      </w:r>
      <w:r>
        <w:rPr>
          <w:rFonts w:ascii="Times New Roman" w:eastAsia="Times New Roman"/>
        </w:rPr>
        <w:t>HJ 169-2018</w:t>
      </w:r>
      <w:r>
        <w:rPr/>
        <w:t>）</w:t>
      </w:r>
      <w:r>
        <w:rPr>
          <w:spacing w:val="-21"/>
        </w:rPr>
        <w:t>附录 </w:t>
      </w:r>
      <w:r>
        <w:rPr>
          <w:rFonts w:ascii="Times New Roman" w:eastAsia="Times New Roman"/>
        </w:rPr>
        <w:t>B </w:t>
      </w:r>
      <w:r>
        <w:rPr>
          <w:spacing w:val="-7"/>
        </w:rPr>
        <w:t>中对应临界量的比值 </w:t>
      </w:r>
      <w:r>
        <w:rPr>
          <w:rFonts w:ascii="Times New Roman" w:eastAsia="Times New Roman"/>
          <w:i/>
        </w:rPr>
        <w:t>Q</w:t>
      </w:r>
      <w:r>
        <w:rPr/>
        <w:t>。在不同厂区的同一种物质，按其在厂界内的最大存在总量计算。当只涉及一种危险物质时，计算该物质的总量与其临界</w:t>
      </w:r>
      <w:r>
        <w:rPr>
          <w:spacing w:val="-9"/>
        </w:rPr>
        <w:t>量的比值，即为 </w:t>
      </w:r>
      <w:r>
        <w:rPr>
          <w:rFonts w:ascii="Times New Roman" w:eastAsia="Times New Roman"/>
          <w:i/>
          <w:spacing w:val="-3"/>
        </w:rPr>
        <w:t>Q</w:t>
      </w:r>
      <w:r>
        <w:rPr>
          <w:spacing w:val="-5"/>
        </w:rPr>
        <w:t>；当存在多种危险物质时，按下式计算物质总量与其临界量的比值 </w:t>
      </w:r>
      <w:r>
        <w:rPr>
          <w:rFonts w:ascii="Times New Roman" w:eastAsia="Times New Roman"/>
          <w:i/>
        </w:rPr>
        <w:t>Q</w:t>
      </w:r>
      <w:r>
        <w:rPr>
          <w:spacing w:val="-15"/>
        </w:rPr>
        <w:t>。</w:t>
      </w:r>
    </w:p>
    <w:p>
      <w:pPr>
        <w:spacing w:before="15"/>
        <w:ind w:left="700" w:right="236" w:firstLine="0"/>
        <w:jc w:val="center"/>
        <w:rPr>
          <w:rFonts w:ascii="Times New Roman" w:hAnsi="Times New Roman"/>
          <w:i/>
          <w:sz w:val="16"/>
        </w:rPr>
      </w:pPr>
      <w:r>
        <w:rPr>
          <w:rFonts w:ascii="Times New Roman" w:hAnsi="Times New Roman"/>
          <w:i/>
          <w:position w:val="2"/>
          <w:sz w:val="24"/>
        </w:rPr>
        <w:t>Q</w:t>
      </w:r>
      <w:r>
        <w:rPr>
          <w:rFonts w:ascii="Times New Roman" w:hAnsi="Times New Roman"/>
          <w:position w:val="2"/>
          <w:sz w:val="24"/>
        </w:rPr>
        <w:t>=</w:t>
      </w:r>
      <w:r>
        <w:rPr>
          <w:rFonts w:ascii="Times New Roman" w:hAnsi="Times New Roman"/>
          <w:i/>
          <w:position w:val="2"/>
          <w:sz w:val="24"/>
        </w:rPr>
        <w:t>q</w:t>
      </w:r>
      <w:r>
        <w:rPr>
          <w:rFonts w:ascii="Times New Roman" w:hAnsi="Times New Roman"/>
          <w:i/>
          <w:sz w:val="16"/>
        </w:rPr>
        <w:t>1</w:t>
      </w:r>
      <w:r>
        <w:rPr>
          <w:rFonts w:ascii="Times New Roman" w:hAnsi="Times New Roman"/>
          <w:position w:val="2"/>
          <w:sz w:val="24"/>
        </w:rPr>
        <w:t>/</w:t>
      </w:r>
      <w:r>
        <w:rPr>
          <w:rFonts w:ascii="Times New Roman" w:hAnsi="Times New Roman"/>
          <w:i/>
          <w:position w:val="2"/>
          <w:sz w:val="24"/>
        </w:rPr>
        <w:t>Q</w:t>
      </w:r>
      <w:r>
        <w:rPr>
          <w:rFonts w:ascii="Times New Roman" w:hAnsi="Times New Roman"/>
          <w:i/>
          <w:sz w:val="16"/>
        </w:rPr>
        <w:t>1</w:t>
      </w:r>
      <w:r>
        <w:rPr>
          <w:rFonts w:ascii="Times New Roman" w:hAnsi="Times New Roman"/>
          <w:position w:val="2"/>
          <w:sz w:val="24"/>
        </w:rPr>
        <w:t>+</w:t>
      </w:r>
      <w:r>
        <w:rPr>
          <w:rFonts w:ascii="Times New Roman" w:hAnsi="Times New Roman"/>
          <w:i/>
          <w:position w:val="2"/>
          <w:sz w:val="24"/>
        </w:rPr>
        <w:t>q</w:t>
      </w:r>
      <w:r>
        <w:rPr>
          <w:rFonts w:ascii="Times New Roman" w:hAnsi="Times New Roman"/>
          <w:i/>
          <w:sz w:val="16"/>
        </w:rPr>
        <w:t>2</w:t>
      </w:r>
      <w:r>
        <w:rPr>
          <w:rFonts w:ascii="Times New Roman" w:hAnsi="Times New Roman"/>
          <w:position w:val="2"/>
          <w:sz w:val="24"/>
        </w:rPr>
        <w:t>/</w:t>
      </w:r>
      <w:r>
        <w:rPr>
          <w:rFonts w:ascii="Times New Roman" w:hAnsi="Times New Roman"/>
          <w:i/>
          <w:position w:val="2"/>
          <w:sz w:val="24"/>
        </w:rPr>
        <w:t>Q</w:t>
      </w:r>
      <w:r>
        <w:rPr>
          <w:rFonts w:ascii="Times New Roman" w:hAnsi="Times New Roman"/>
          <w:i/>
          <w:sz w:val="16"/>
        </w:rPr>
        <w:t>2</w:t>
      </w:r>
      <w:r>
        <w:rPr>
          <w:rFonts w:ascii="Times New Roman" w:hAnsi="Times New Roman"/>
          <w:position w:val="2"/>
          <w:sz w:val="24"/>
        </w:rPr>
        <w:t>+ ……+</w:t>
      </w:r>
      <w:r>
        <w:rPr>
          <w:rFonts w:ascii="Times New Roman" w:hAnsi="Times New Roman"/>
          <w:i/>
          <w:position w:val="2"/>
          <w:sz w:val="24"/>
        </w:rPr>
        <w:t>q</w:t>
      </w:r>
      <w:r>
        <w:rPr>
          <w:rFonts w:ascii="Times New Roman" w:hAnsi="Times New Roman"/>
          <w:i/>
          <w:sz w:val="16"/>
        </w:rPr>
        <w:t>n</w:t>
      </w:r>
      <w:r>
        <w:rPr>
          <w:rFonts w:ascii="Times New Roman" w:hAnsi="Times New Roman"/>
          <w:position w:val="2"/>
          <w:sz w:val="24"/>
        </w:rPr>
        <w:t>/</w:t>
      </w:r>
      <w:r>
        <w:rPr>
          <w:rFonts w:ascii="Times New Roman" w:hAnsi="Times New Roman"/>
          <w:i/>
          <w:position w:val="2"/>
          <w:sz w:val="24"/>
        </w:rPr>
        <w:t>Q</w:t>
      </w:r>
      <w:r>
        <w:rPr>
          <w:rFonts w:ascii="Times New Roman" w:hAnsi="Times New Roman"/>
          <w:i/>
          <w:sz w:val="16"/>
        </w:rPr>
        <w:t>n</w:t>
      </w:r>
    </w:p>
    <w:p>
      <w:pPr>
        <w:pStyle w:val="BodyText"/>
        <w:spacing w:before="176"/>
        <w:ind w:left="717"/>
      </w:pPr>
      <w:r>
        <w:rPr>
          <w:position w:val="2"/>
        </w:rPr>
        <w:t>式中：</w:t>
      </w:r>
      <w:r>
        <w:rPr>
          <w:rFonts w:ascii="Times New Roman" w:hAnsi="Times New Roman" w:eastAsia="Times New Roman"/>
          <w:i/>
          <w:position w:val="2"/>
        </w:rPr>
        <w:t>q</w:t>
      </w:r>
      <w:r>
        <w:rPr>
          <w:rFonts w:ascii="Times New Roman" w:hAnsi="Times New Roman" w:eastAsia="Times New Roman"/>
          <w:i/>
          <w:sz w:val="16"/>
        </w:rPr>
        <w:t>1</w:t>
      </w:r>
      <w:r>
        <w:rPr>
          <w:position w:val="2"/>
        </w:rPr>
        <w:t>、</w:t>
      </w:r>
      <w:r>
        <w:rPr>
          <w:rFonts w:ascii="Times New Roman" w:hAnsi="Times New Roman" w:eastAsia="Times New Roman"/>
          <w:i/>
          <w:position w:val="2"/>
        </w:rPr>
        <w:t>q</w:t>
      </w:r>
      <w:r>
        <w:rPr>
          <w:rFonts w:ascii="Times New Roman" w:hAnsi="Times New Roman" w:eastAsia="Times New Roman"/>
          <w:i/>
          <w:sz w:val="16"/>
        </w:rPr>
        <w:t>2</w:t>
      </w:r>
      <w:r>
        <w:rPr>
          <w:rFonts w:ascii="Times New Roman" w:hAnsi="Times New Roman" w:eastAsia="Times New Roman"/>
          <w:position w:val="2"/>
        </w:rPr>
        <w:t>……</w:t>
      </w:r>
      <w:r>
        <w:rPr>
          <w:rFonts w:ascii="Times New Roman" w:hAnsi="Times New Roman" w:eastAsia="Times New Roman"/>
          <w:i/>
          <w:position w:val="2"/>
        </w:rPr>
        <w:t>q</w:t>
      </w:r>
      <w:r>
        <w:rPr>
          <w:rFonts w:ascii="Times New Roman" w:hAnsi="Times New Roman" w:eastAsia="Times New Roman"/>
          <w:i/>
          <w:sz w:val="16"/>
        </w:rPr>
        <w:t>n</w:t>
      </w:r>
      <w:r>
        <w:rPr>
          <w:rFonts w:ascii="Times New Roman" w:hAnsi="Times New Roman" w:eastAsia="Times New Roman"/>
          <w:position w:val="2"/>
        </w:rPr>
        <w:t>——</w:t>
      </w:r>
      <w:r>
        <w:rPr>
          <w:position w:val="2"/>
        </w:rPr>
        <w:t>每种危险物质的最大存在总量，</w:t>
      </w:r>
      <w:r>
        <w:rPr>
          <w:rFonts w:ascii="Times New Roman" w:hAnsi="Times New Roman" w:eastAsia="Times New Roman"/>
          <w:position w:val="2"/>
        </w:rPr>
        <w:t>t</w:t>
      </w:r>
      <w:r>
        <w:rPr>
          <w:position w:val="2"/>
        </w:rPr>
        <w:t>；</w:t>
      </w:r>
    </w:p>
    <w:p>
      <w:pPr>
        <w:pStyle w:val="BodyText"/>
        <w:spacing w:line="364" w:lineRule="auto" w:before="161"/>
        <w:ind w:left="1437" w:right="3358"/>
      </w:pPr>
      <w:r>
        <w:rPr>
          <w:rFonts w:ascii="Times New Roman" w:hAnsi="Times New Roman" w:eastAsia="Times New Roman"/>
          <w:i/>
          <w:position w:val="2"/>
        </w:rPr>
        <w:t>Q</w:t>
      </w:r>
      <w:r>
        <w:rPr>
          <w:rFonts w:ascii="Times New Roman" w:hAnsi="Times New Roman" w:eastAsia="Times New Roman"/>
          <w:i/>
          <w:sz w:val="16"/>
        </w:rPr>
        <w:t>1</w:t>
      </w:r>
      <w:r>
        <w:rPr>
          <w:position w:val="2"/>
        </w:rPr>
        <w:t>、</w:t>
      </w:r>
      <w:r>
        <w:rPr>
          <w:rFonts w:ascii="Times New Roman" w:hAnsi="Times New Roman" w:eastAsia="Times New Roman"/>
          <w:i/>
          <w:position w:val="2"/>
        </w:rPr>
        <w:t>Q</w:t>
      </w:r>
      <w:r>
        <w:rPr>
          <w:rFonts w:ascii="Times New Roman" w:hAnsi="Times New Roman" w:eastAsia="Times New Roman"/>
          <w:i/>
          <w:sz w:val="16"/>
        </w:rPr>
        <w:t>2</w:t>
      </w:r>
      <w:r>
        <w:rPr>
          <w:rFonts w:ascii="Times New Roman" w:hAnsi="Times New Roman" w:eastAsia="Times New Roman"/>
          <w:position w:val="2"/>
        </w:rPr>
        <w:t>……</w:t>
      </w:r>
      <w:r>
        <w:rPr>
          <w:rFonts w:ascii="Times New Roman" w:hAnsi="Times New Roman" w:eastAsia="Times New Roman"/>
          <w:i/>
          <w:position w:val="2"/>
        </w:rPr>
        <w:t>Q</w:t>
      </w:r>
      <w:r>
        <w:rPr>
          <w:rFonts w:ascii="Times New Roman" w:hAnsi="Times New Roman" w:eastAsia="Times New Roman"/>
          <w:i/>
          <w:sz w:val="16"/>
        </w:rPr>
        <w:t>n</w:t>
      </w:r>
      <w:r>
        <w:rPr>
          <w:rFonts w:ascii="Times New Roman" w:hAnsi="Times New Roman" w:eastAsia="Times New Roman"/>
          <w:position w:val="2"/>
        </w:rPr>
        <w:t>——</w:t>
      </w:r>
      <w:r>
        <w:rPr>
          <w:position w:val="2"/>
        </w:rPr>
        <w:t>每种危险物质的临界量，</w:t>
      </w:r>
      <w:r>
        <w:rPr>
          <w:rFonts w:ascii="Times New Roman" w:hAnsi="Times New Roman" w:eastAsia="Times New Roman"/>
          <w:position w:val="2"/>
        </w:rPr>
        <w:t>t</w:t>
      </w:r>
      <w:r>
        <w:rPr>
          <w:position w:val="2"/>
        </w:rPr>
        <w:t>。</w:t>
      </w:r>
      <w:r>
        <w:rPr/>
        <w:t>当 </w:t>
      </w:r>
      <w:r>
        <w:rPr>
          <w:rFonts w:ascii="Times New Roman" w:hAnsi="Times New Roman" w:eastAsia="Times New Roman"/>
          <w:i/>
        </w:rPr>
        <w:t>Q</w:t>
      </w:r>
      <w:r>
        <w:rPr/>
        <w:t>＜</w:t>
      </w:r>
      <w:r>
        <w:rPr>
          <w:rFonts w:ascii="Times New Roman" w:hAnsi="Times New Roman" w:eastAsia="Times New Roman"/>
        </w:rPr>
        <w:t>1 </w:t>
      </w:r>
      <w:r>
        <w:rPr/>
        <w:t>时，该项目环境风险潜势为Ⅰ；</w:t>
      </w:r>
    </w:p>
    <w:p>
      <w:pPr>
        <w:pStyle w:val="BodyText"/>
        <w:spacing w:before="2"/>
        <w:ind w:left="1437"/>
      </w:pPr>
      <w:r>
        <w:rPr/>
        <w:t>当 </w:t>
      </w:r>
      <w:r>
        <w:rPr>
          <w:rFonts w:ascii="Times New Roman" w:hAnsi="Times New Roman" w:eastAsia="Times New Roman"/>
          <w:i/>
        </w:rPr>
        <w:t>Q</w:t>
      </w:r>
      <w:r>
        <w:rPr>
          <w:rFonts w:ascii="Times New Roman" w:hAnsi="Times New Roman" w:eastAsia="Times New Roman"/>
        </w:rPr>
        <w:t>≥1 </w:t>
      </w:r>
      <w:r>
        <w:rPr/>
        <w:t>时，将 </w:t>
      </w:r>
      <w:r>
        <w:rPr>
          <w:rFonts w:ascii="Times New Roman" w:hAnsi="Times New Roman" w:eastAsia="Times New Roman"/>
          <w:i/>
        </w:rPr>
        <w:t>Q </w:t>
      </w:r>
      <w:r>
        <w:rPr/>
        <w:t>值划分为：</w:t>
      </w:r>
      <w:r>
        <w:rPr>
          <w:rFonts w:ascii="Times New Roman" w:hAnsi="Times New Roman" w:eastAsia="Times New Roman"/>
        </w:rPr>
        <w:t>1</w:t>
      </w:r>
      <w:r>
        <w:rPr/>
        <w:t>）</w:t>
      </w:r>
      <w:r>
        <w:rPr>
          <w:rFonts w:ascii="Times New Roman" w:hAnsi="Times New Roman" w:eastAsia="Times New Roman"/>
        </w:rPr>
        <w:t>1≤</w:t>
      </w:r>
      <w:r>
        <w:rPr>
          <w:rFonts w:ascii="Times New Roman" w:hAnsi="Times New Roman" w:eastAsia="Times New Roman"/>
          <w:i/>
        </w:rPr>
        <w:t>Q</w:t>
      </w:r>
      <w:r>
        <w:rPr/>
        <w:t>＜</w:t>
      </w:r>
      <w:r>
        <w:rPr>
          <w:rFonts w:ascii="Times New Roman" w:hAnsi="Times New Roman" w:eastAsia="Times New Roman"/>
        </w:rPr>
        <w:t>10</w:t>
      </w:r>
      <w:r>
        <w:rPr/>
        <w:t>；</w:t>
      </w:r>
      <w:r>
        <w:rPr>
          <w:rFonts w:ascii="Times New Roman" w:hAnsi="Times New Roman" w:eastAsia="Times New Roman"/>
        </w:rPr>
        <w:t>2</w:t>
      </w:r>
      <w:r>
        <w:rPr/>
        <w:t>）</w:t>
      </w:r>
      <w:r>
        <w:rPr>
          <w:rFonts w:ascii="Times New Roman" w:hAnsi="Times New Roman" w:eastAsia="Times New Roman"/>
        </w:rPr>
        <w:t>10≤</w:t>
      </w:r>
      <w:r>
        <w:rPr>
          <w:rFonts w:ascii="Times New Roman" w:hAnsi="Times New Roman" w:eastAsia="Times New Roman"/>
          <w:i/>
        </w:rPr>
        <w:t>Q</w:t>
      </w:r>
      <w:r>
        <w:rPr/>
        <w:t>＜</w:t>
      </w:r>
      <w:r>
        <w:rPr>
          <w:rFonts w:ascii="Times New Roman" w:hAnsi="Times New Roman" w:eastAsia="Times New Roman"/>
        </w:rPr>
        <w:t>100</w:t>
      </w:r>
      <w:r>
        <w:rPr/>
        <w:t>；</w:t>
      </w:r>
      <w:r>
        <w:rPr>
          <w:rFonts w:ascii="Times New Roman" w:hAnsi="Times New Roman" w:eastAsia="Times New Roman"/>
        </w:rPr>
        <w:t>3</w:t>
      </w:r>
      <w:r>
        <w:rPr/>
        <w:t>）</w:t>
      </w:r>
      <w:r>
        <w:rPr>
          <w:rFonts w:ascii="Times New Roman" w:hAnsi="Times New Roman" w:eastAsia="Times New Roman"/>
          <w:i/>
        </w:rPr>
        <w:t>Q</w:t>
      </w:r>
      <w:r>
        <w:rPr>
          <w:rFonts w:ascii="Times New Roman" w:hAnsi="Times New Roman" w:eastAsia="Times New Roman"/>
        </w:rPr>
        <w:t>≥100</w:t>
      </w:r>
      <w:r>
        <w:rPr/>
        <w:t>。</w:t>
      </w:r>
    </w:p>
    <w:p>
      <w:pPr>
        <w:pStyle w:val="BodyText"/>
        <w:spacing w:line="364" w:lineRule="auto" w:before="161"/>
        <w:ind w:right="250" w:firstLine="480"/>
        <w:jc w:val="both"/>
      </w:pPr>
      <w:r>
        <w:rPr>
          <w:spacing w:val="-4"/>
        </w:rPr>
        <w:t>根据原辅材料组分可知，本项目涉及 </w:t>
      </w:r>
      <w:r>
        <w:rPr>
          <w:rFonts w:ascii="Times New Roman" w:eastAsia="Times New Roman"/>
        </w:rPr>
        <w:t>HJ 169-2018 </w:t>
      </w:r>
      <w:r>
        <w:rPr>
          <w:spacing w:val="-20"/>
        </w:rPr>
        <w:t>附录 </w:t>
      </w:r>
      <w:r>
        <w:rPr>
          <w:rFonts w:ascii="Times New Roman" w:eastAsia="Times New Roman"/>
        </w:rPr>
        <w:t>B</w:t>
      </w:r>
      <w:r>
        <w:rPr/>
        <w:t>、</w:t>
      </w:r>
      <w:r>
        <w:rPr>
          <w:rFonts w:ascii="Times New Roman" w:eastAsia="Times New Roman"/>
        </w:rPr>
        <w:t>GB 30000.18-2013 </w:t>
      </w:r>
      <w:r>
        <w:rPr>
          <w:spacing w:val="-30"/>
        </w:rPr>
        <w:t>及 </w:t>
      </w:r>
      <w:r>
        <w:rPr>
          <w:rFonts w:ascii="Times New Roman" w:eastAsia="Times New Roman"/>
          <w:spacing w:val="-6"/>
        </w:rPr>
        <w:t>GB </w:t>
      </w:r>
      <w:r>
        <w:rPr>
          <w:rFonts w:ascii="Times New Roman" w:eastAsia="Times New Roman"/>
        </w:rPr>
        <w:t>30000.28-2013 </w:t>
      </w:r>
      <w:r>
        <w:rPr/>
        <w:t>中的物质厂内最大存在量 </w:t>
      </w:r>
      <w:r>
        <w:rPr>
          <w:rFonts w:ascii="Times New Roman" w:eastAsia="Times New Roman"/>
          <w:i/>
        </w:rPr>
        <w:t>q </w:t>
      </w:r>
      <w:r>
        <w:rPr>
          <w:spacing w:val="1"/>
        </w:rPr>
        <w:t>与临界量 </w:t>
      </w:r>
      <w:r>
        <w:rPr>
          <w:rFonts w:ascii="Times New Roman" w:eastAsia="Times New Roman"/>
          <w:i/>
        </w:rPr>
        <w:t>Q </w:t>
      </w:r>
      <w:r>
        <w:rPr>
          <w:spacing w:val="2"/>
        </w:rPr>
        <w:t>的比值为 </w:t>
      </w:r>
      <w:r>
        <w:rPr>
          <w:rFonts w:ascii="Times New Roman" w:eastAsia="Times New Roman"/>
        </w:rPr>
        <w:t>0.814</w:t>
      </w:r>
      <w:r>
        <w:rPr/>
        <w:t>（＜</w:t>
      </w:r>
      <w:r>
        <w:rPr>
          <w:rFonts w:ascii="Times New Roman" w:eastAsia="Times New Roman"/>
        </w:rPr>
        <w:t>1</w:t>
      </w:r>
      <w:r>
        <w:rPr/>
        <w:t>，详见表</w:t>
      </w:r>
    </w:p>
    <w:p>
      <w:pPr>
        <w:spacing w:line="364" w:lineRule="auto" w:before="1"/>
        <w:ind w:left="2877" w:right="130" w:hanging="2641"/>
        <w:jc w:val="left"/>
        <w:rPr>
          <w:b/>
          <w:sz w:val="24"/>
        </w:rPr>
      </w:pPr>
      <w:r>
        <w:rPr/>
        <w:pict>
          <v:shape style="position:absolute;margin-left:57.863998pt;margin-top:42.77pt;width:473.5pt;height:39.6pt;mso-position-horizontal-relative:page;mso-position-vertical-relative:paragraph;z-index:25188556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4"/>
                    <w:gridCol w:w="2273"/>
                    <w:gridCol w:w="1286"/>
                    <w:gridCol w:w="2372"/>
                    <w:gridCol w:w="1747"/>
                    <w:gridCol w:w="1063"/>
                  </w:tblGrid>
                  <w:tr>
                    <w:trPr>
                      <w:trHeight w:val="359" w:hRule="atLeast"/>
                    </w:trPr>
                    <w:tc>
                      <w:tcPr>
                        <w:tcW w:w="684" w:type="dxa"/>
                        <w:tcBorders>
                          <w:bottom w:val="single" w:sz="6" w:space="0" w:color="000000"/>
                          <w:right w:val="single" w:sz="6" w:space="0" w:color="000000"/>
                        </w:tcBorders>
                      </w:tcPr>
                      <w:p>
                        <w:pPr>
                          <w:pStyle w:val="TableParagraph"/>
                          <w:spacing w:before="48"/>
                          <w:ind w:left="106" w:right="92"/>
                          <w:rPr>
                            <w:rFonts w:ascii="宋体" w:eastAsia="宋体" w:hint="eastAsia"/>
                            <w:b/>
                            <w:sz w:val="21"/>
                          </w:rPr>
                        </w:pPr>
                        <w:r>
                          <w:rPr>
                            <w:rFonts w:ascii="宋体" w:eastAsia="宋体" w:hint="eastAsia"/>
                            <w:b/>
                            <w:sz w:val="21"/>
                          </w:rPr>
                          <w:t>序号</w:t>
                        </w:r>
                      </w:p>
                    </w:tc>
                    <w:tc>
                      <w:tcPr>
                        <w:tcW w:w="2273" w:type="dxa"/>
                        <w:tcBorders>
                          <w:left w:val="single" w:sz="6" w:space="0" w:color="000000"/>
                          <w:bottom w:val="single" w:sz="6" w:space="0" w:color="000000"/>
                          <w:right w:val="single" w:sz="6" w:space="0" w:color="000000"/>
                        </w:tcBorders>
                      </w:tcPr>
                      <w:p>
                        <w:pPr>
                          <w:pStyle w:val="TableParagraph"/>
                          <w:spacing w:before="48"/>
                          <w:ind w:left="491" w:right="461"/>
                          <w:rPr>
                            <w:rFonts w:ascii="宋体" w:eastAsia="宋体" w:hint="eastAsia"/>
                            <w:b/>
                            <w:sz w:val="21"/>
                          </w:rPr>
                        </w:pPr>
                        <w:r>
                          <w:rPr>
                            <w:rFonts w:ascii="宋体" w:eastAsia="宋体" w:hint="eastAsia"/>
                            <w:b/>
                            <w:sz w:val="21"/>
                          </w:rPr>
                          <w:t>危险物质名称</w:t>
                        </w:r>
                      </w:p>
                    </w:tc>
                    <w:tc>
                      <w:tcPr>
                        <w:tcW w:w="1286" w:type="dxa"/>
                        <w:tcBorders>
                          <w:left w:val="single" w:sz="6" w:space="0" w:color="000000"/>
                          <w:bottom w:val="single" w:sz="6" w:space="0" w:color="000000"/>
                          <w:right w:val="single" w:sz="6" w:space="0" w:color="000000"/>
                        </w:tcBorders>
                      </w:tcPr>
                      <w:p>
                        <w:pPr>
                          <w:pStyle w:val="TableParagraph"/>
                          <w:spacing w:before="48"/>
                          <w:ind w:left="136" w:right="109"/>
                          <w:rPr>
                            <w:rFonts w:ascii="宋体" w:eastAsia="宋体" w:hint="eastAsia"/>
                            <w:b/>
                            <w:sz w:val="21"/>
                          </w:rPr>
                        </w:pPr>
                        <w:r>
                          <w:rPr>
                            <w:b/>
                            <w:sz w:val="21"/>
                          </w:rPr>
                          <w:t>CAS </w:t>
                        </w:r>
                        <w:r>
                          <w:rPr>
                            <w:rFonts w:ascii="宋体" w:eastAsia="宋体" w:hint="eastAsia"/>
                            <w:b/>
                            <w:sz w:val="21"/>
                          </w:rPr>
                          <w:t>号</w:t>
                        </w:r>
                      </w:p>
                    </w:tc>
                    <w:tc>
                      <w:tcPr>
                        <w:tcW w:w="2372" w:type="dxa"/>
                        <w:tcBorders>
                          <w:left w:val="single" w:sz="6" w:space="0" w:color="000000"/>
                          <w:bottom w:val="single" w:sz="6" w:space="0" w:color="000000"/>
                          <w:right w:val="single" w:sz="6" w:space="0" w:color="000000"/>
                        </w:tcBorders>
                      </w:tcPr>
                      <w:p>
                        <w:pPr>
                          <w:pStyle w:val="TableParagraph"/>
                          <w:spacing w:before="45"/>
                          <w:ind w:left="148" w:right="123"/>
                          <w:rPr>
                            <w:rFonts w:ascii="宋体" w:eastAsia="宋体" w:hint="eastAsia"/>
                            <w:b/>
                            <w:sz w:val="21"/>
                          </w:rPr>
                        </w:pPr>
                        <w:r>
                          <w:rPr>
                            <w:rFonts w:ascii="宋体" w:eastAsia="宋体" w:hint="eastAsia"/>
                            <w:b/>
                            <w:position w:val="2"/>
                            <w:sz w:val="21"/>
                          </w:rPr>
                          <w:t>最大存在总量 </w:t>
                        </w:r>
                        <w:r>
                          <w:rPr>
                            <w:b/>
                            <w:i/>
                            <w:position w:val="2"/>
                            <w:sz w:val="21"/>
                          </w:rPr>
                          <w:t>q</w:t>
                        </w:r>
                        <w:r>
                          <w:rPr>
                            <w:b/>
                            <w:i/>
                            <w:sz w:val="14"/>
                          </w:rPr>
                          <w:t>n</w:t>
                        </w:r>
                        <w:r>
                          <w:rPr>
                            <w:rFonts w:ascii="宋体" w:eastAsia="宋体" w:hint="eastAsia"/>
                            <w:b/>
                            <w:position w:val="2"/>
                            <w:sz w:val="21"/>
                          </w:rPr>
                          <w:t>（</w:t>
                        </w:r>
                        <w:r>
                          <w:rPr>
                            <w:b/>
                            <w:position w:val="2"/>
                            <w:sz w:val="21"/>
                          </w:rPr>
                          <w:t>t</w:t>
                        </w:r>
                        <w:r>
                          <w:rPr>
                            <w:rFonts w:ascii="宋体" w:eastAsia="宋体" w:hint="eastAsia"/>
                            <w:b/>
                            <w:position w:val="2"/>
                            <w:sz w:val="21"/>
                          </w:rPr>
                          <w:t>）</w:t>
                        </w:r>
                      </w:p>
                    </w:tc>
                    <w:tc>
                      <w:tcPr>
                        <w:tcW w:w="1747" w:type="dxa"/>
                        <w:tcBorders>
                          <w:left w:val="single" w:sz="6" w:space="0" w:color="000000"/>
                          <w:bottom w:val="single" w:sz="6" w:space="0" w:color="000000"/>
                          <w:right w:val="single" w:sz="6" w:space="0" w:color="000000"/>
                        </w:tcBorders>
                      </w:tcPr>
                      <w:p>
                        <w:pPr>
                          <w:pStyle w:val="TableParagraph"/>
                          <w:spacing w:before="45"/>
                          <w:ind w:left="131" w:right="101"/>
                          <w:rPr>
                            <w:rFonts w:ascii="宋体" w:eastAsia="宋体" w:hint="eastAsia"/>
                            <w:b/>
                            <w:sz w:val="21"/>
                          </w:rPr>
                        </w:pPr>
                        <w:r>
                          <w:rPr>
                            <w:rFonts w:ascii="宋体" w:eastAsia="宋体" w:hint="eastAsia"/>
                            <w:b/>
                            <w:position w:val="2"/>
                            <w:sz w:val="21"/>
                          </w:rPr>
                          <w:t>临界量 </w:t>
                        </w:r>
                        <w:r>
                          <w:rPr>
                            <w:b/>
                            <w:i/>
                            <w:position w:val="2"/>
                            <w:sz w:val="21"/>
                          </w:rPr>
                          <w:t>Q</w:t>
                        </w:r>
                        <w:r>
                          <w:rPr>
                            <w:b/>
                            <w:i/>
                            <w:sz w:val="14"/>
                          </w:rPr>
                          <w:t>n</w:t>
                        </w:r>
                        <w:r>
                          <w:rPr>
                            <w:rFonts w:ascii="宋体" w:eastAsia="宋体" w:hint="eastAsia"/>
                            <w:b/>
                            <w:position w:val="2"/>
                            <w:sz w:val="21"/>
                          </w:rPr>
                          <w:t>（</w:t>
                        </w:r>
                        <w:r>
                          <w:rPr>
                            <w:b/>
                            <w:position w:val="2"/>
                            <w:sz w:val="21"/>
                          </w:rPr>
                          <w:t>t</w:t>
                        </w:r>
                        <w:r>
                          <w:rPr>
                            <w:rFonts w:ascii="宋体" w:eastAsia="宋体" w:hint="eastAsia"/>
                            <w:b/>
                            <w:position w:val="2"/>
                            <w:sz w:val="21"/>
                          </w:rPr>
                          <w:t>）</w:t>
                        </w:r>
                      </w:p>
                    </w:tc>
                    <w:tc>
                      <w:tcPr>
                        <w:tcW w:w="1063" w:type="dxa"/>
                        <w:tcBorders>
                          <w:left w:val="single" w:sz="6" w:space="0" w:color="000000"/>
                          <w:bottom w:val="single" w:sz="6" w:space="0" w:color="000000"/>
                        </w:tcBorders>
                      </w:tcPr>
                      <w:p>
                        <w:pPr>
                          <w:pStyle w:val="TableParagraph"/>
                          <w:spacing w:before="59"/>
                          <w:ind w:right="263"/>
                          <w:jc w:val="right"/>
                          <w:rPr>
                            <w:b/>
                            <w:i/>
                            <w:sz w:val="14"/>
                          </w:rPr>
                        </w:pPr>
                        <w:r>
                          <w:rPr>
                            <w:b/>
                            <w:i/>
                            <w:position w:val="2"/>
                            <w:sz w:val="21"/>
                          </w:rPr>
                          <w:t>q</w:t>
                        </w:r>
                        <w:r>
                          <w:rPr>
                            <w:b/>
                            <w:i/>
                            <w:sz w:val="14"/>
                          </w:rPr>
                          <w:t>n</w:t>
                        </w:r>
                        <w:r>
                          <w:rPr>
                            <w:b/>
                            <w:position w:val="2"/>
                            <w:sz w:val="21"/>
                          </w:rPr>
                          <w:t>/</w:t>
                        </w:r>
                        <w:r>
                          <w:rPr>
                            <w:b/>
                            <w:i/>
                            <w:position w:val="2"/>
                            <w:sz w:val="21"/>
                          </w:rPr>
                          <w:t>Q</w:t>
                        </w:r>
                        <w:r>
                          <w:rPr>
                            <w:b/>
                            <w:i/>
                            <w:sz w:val="14"/>
                          </w:rPr>
                          <w:t>n</w:t>
                        </w:r>
                      </w:p>
                    </w:tc>
                  </w:tr>
                  <w:tr>
                    <w:trPr>
                      <w:trHeight w:val="359" w:hRule="atLeast"/>
                    </w:trPr>
                    <w:tc>
                      <w:tcPr>
                        <w:tcW w:w="684" w:type="dxa"/>
                        <w:tcBorders>
                          <w:top w:val="single" w:sz="6" w:space="0" w:color="000000"/>
                          <w:right w:val="single" w:sz="6" w:space="0" w:color="000000"/>
                        </w:tcBorders>
                      </w:tcPr>
                      <w:p>
                        <w:pPr>
                          <w:pStyle w:val="TableParagraph"/>
                          <w:ind w:left="14"/>
                          <w:rPr>
                            <w:sz w:val="21"/>
                          </w:rPr>
                        </w:pPr>
                        <w:r>
                          <w:rPr>
                            <w:w w:val="100"/>
                            <w:sz w:val="21"/>
                          </w:rPr>
                          <w:t>1</w:t>
                        </w:r>
                      </w:p>
                    </w:tc>
                    <w:tc>
                      <w:tcPr>
                        <w:tcW w:w="2273" w:type="dxa"/>
                        <w:tcBorders>
                          <w:top w:val="single" w:sz="6" w:space="0" w:color="000000"/>
                          <w:left w:val="single" w:sz="6" w:space="0" w:color="000000"/>
                          <w:right w:val="single" w:sz="6" w:space="0" w:color="000000"/>
                        </w:tcBorders>
                      </w:tcPr>
                      <w:p>
                        <w:pPr>
                          <w:pStyle w:val="TableParagraph"/>
                          <w:spacing w:before="44"/>
                          <w:ind w:left="491" w:right="461"/>
                          <w:rPr>
                            <w:rFonts w:ascii="宋体" w:eastAsia="宋体" w:hint="eastAsia"/>
                            <w:sz w:val="21"/>
                          </w:rPr>
                        </w:pPr>
                        <w:r>
                          <w:rPr>
                            <w:rFonts w:ascii="宋体" w:eastAsia="宋体" w:hint="eastAsia"/>
                            <w:sz w:val="21"/>
                          </w:rPr>
                          <w:t>沼气</w:t>
                        </w:r>
                      </w:p>
                    </w:tc>
                    <w:tc>
                      <w:tcPr>
                        <w:tcW w:w="1286" w:type="dxa"/>
                        <w:tcBorders>
                          <w:top w:val="single" w:sz="6" w:space="0" w:color="000000"/>
                          <w:left w:val="single" w:sz="6" w:space="0" w:color="000000"/>
                          <w:right w:val="single" w:sz="6" w:space="0" w:color="000000"/>
                        </w:tcBorders>
                      </w:tcPr>
                      <w:p>
                        <w:pPr>
                          <w:pStyle w:val="TableParagraph"/>
                          <w:ind w:left="141" w:right="109"/>
                          <w:rPr>
                            <w:sz w:val="21"/>
                          </w:rPr>
                        </w:pPr>
                        <w:r>
                          <w:rPr>
                            <w:sz w:val="21"/>
                          </w:rPr>
                          <w:t>68476-85-7</w:t>
                        </w:r>
                      </w:p>
                    </w:tc>
                    <w:tc>
                      <w:tcPr>
                        <w:tcW w:w="2372" w:type="dxa"/>
                        <w:tcBorders>
                          <w:top w:val="single" w:sz="6" w:space="0" w:color="000000"/>
                          <w:left w:val="single" w:sz="6" w:space="0" w:color="000000"/>
                          <w:right w:val="single" w:sz="6" w:space="0" w:color="000000"/>
                        </w:tcBorders>
                      </w:tcPr>
                      <w:p>
                        <w:pPr>
                          <w:pStyle w:val="TableParagraph"/>
                          <w:ind w:left="148" w:right="123"/>
                          <w:rPr>
                            <w:sz w:val="21"/>
                          </w:rPr>
                        </w:pPr>
                        <w:r>
                          <w:rPr>
                            <w:sz w:val="21"/>
                          </w:rPr>
                          <w:t>1.28</w:t>
                        </w:r>
                      </w:p>
                    </w:tc>
                    <w:tc>
                      <w:tcPr>
                        <w:tcW w:w="1747" w:type="dxa"/>
                        <w:tcBorders>
                          <w:top w:val="single" w:sz="6" w:space="0" w:color="000000"/>
                          <w:left w:val="single" w:sz="6" w:space="0" w:color="000000"/>
                          <w:right w:val="single" w:sz="6" w:space="0" w:color="000000"/>
                        </w:tcBorders>
                      </w:tcPr>
                      <w:p>
                        <w:pPr>
                          <w:pStyle w:val="TableParagraph"/>
                          <w:ind w:left="131" w:right="101"/>
                          <w:rPr>
                            <w:sz w:val="21"/>
                          </w:rPr>
                        </w:pPr>
                        <w:r>
                          <w:rPr>
                            <w:sz w:val="21"/>
                          </w:rPr>
                          <w:t>10</w:t>
                        </w:r>
                      </w:p>
                    </w:tc>
                    <w:tc>
                      <w:tcPr>
                        <w:tcW w:w="1063" w:type="dxa"/>
                        <w:tcBorders>
                          <w:top w:val="single" w:sz="6" w:space="0" w:color="000000"/>
                          <w:left w:val="single" w:sz="6" w:space="0" w:color="000000"/>
                        </w:tcBorders>
                      </w:tcPr>
                      <w:p>
                        <w:pPr>
                          <w:pStyle w:val="TableParagraph"/>
                          <w:ind w:right="262"/>
                          <w:jc w:val="right"/>
                          <w:rPr>
                            <w:sz w:val="21"/>
                          </w:rPr>
                        </w:pPr>
                        <w:r>
                          <w:rPr>
                            <w:sz w:val="21"/>
                          </w:rPr>
                          <w:t>0.128</w:t>
                        </w:r>
                      </w:p>
                    </w:tc>
                  </w:tr>
                </w:tbl>
                <w:p>
                  <w:pPr>
                    <w:pStyle w:val="BodyText"/>
                    <w:ind w:left="0"/>
                  </w:pPr>
                </w:p>
              </w:txbxContent>
            </v:textbox>
            <w10:wrap type="none"/>
          </v:shape>
        </w:pict>
      </w:r>
      <w:r>
        <w:rPr>
          <w:rFonts w:ascii="Times New Roman" w:hAnsi="Times New Roman" w:eastAsia="Times New Roman"/>
          <w:sz w:val="24"/>
        </w:rPr>
        <w:t>5.2</w:t>
      </w:r>
      <w:r>
        <w:rPr>
          <w:rFonts w:ascii="Times New Roman" w:hAnsi="Times New Roman" w:eastAsia="Times New Roman"/>
          <w:spacing w:val="-1"/>
          <w:sz w:val="24"/>
        </w:rPr>
        <w:t>-</w:t>
      </w:r>
      <w:r>
        <w:rPr>
          <w:rFonts w:ascii="Times New Roman" w:hAnsi="Times New Roman" w:eastAsia="Times New Roman"/>
          <w:sz w:val="24"/>
        </w:rPr>
        <w:t>39</w:t>
      </w:r>
      <w:r>
        <w:rPr>
          <w:spacing w:val="-101"/>
          <w:sz w:val="24"/>
        </w:rPr>
        <w:t>），</w:t>
      </w:r>
      <w:r>
        <w:rPr>
          <w:spacing w:val="-6"/>
          <w:sz w:val="24"/>
        </w:rPr>
        <w:t>则项目环境风险潜势可直接定位为Ⅰ级</w:t>
      </w:r>
      <w:r>
        <w:rPr>
          <w:sz w:val="24"/>
        </w:rPr>
        <w:t>（不用再针对各要素分别判断风险潜势</w:t>
      </w:r>
      <w:r>
        <w:rPr>
          <w:spacing w:val="-101"/>
          <w:sz w:val="24"/>
        </w:rPr>
        <w:t>）</w:t>
      </w:r>
      <w:r>
        <w:rPr>
          <w:spacing w:val="-15"/>
          <w:sz w:val="24"/>
        </w:rPr>
        <w:t>。</w:t>
      </w:r>
      <w:r>
        <w:rPr>
          <w:b/>
          <w:spacing w:val="-30"/>
          <w:sz w:val="24"/>
        </w:rPr>
        <w:t>表 </w:t>
      </w:r>
      <w:r>
        <w:rPr>
          <w:rFonts w:ascii="Times New Roman" w:hAnsi="Times New Roman" w:eastAsia="Times New Roman"/>
          <w:b/>
          <w:sz w:val="24"/>
        </w:rPr>
        <w:t>5.2-39  </w:t>
      </w:r>
      <w:r>
        <w:rPr>
          <w:b/>
          <w:sz w:val="24"/>
        </w:rPr>
        <w:t>原料及各化学物质的临界量</w:t>
      </w:r>
    </w:p>
    <w:p>
      <w:pPr>
        <w:spacing w:after="0" w:line="364" w:lineRule="auto"/>
        <w:jc w:val="left"/>
        <w:rPr>
          <w:sz w:val="24"/>
        </w:rPr>
        <w:sectPr>
          <w:pgSz w:w="11910" w:h="16840"/>
          <w:pgMar w:header="874" w:footer="1004" w:top="1420" w:bottom="1200" w:left="1040" w:right="1160"/>
        </w:sect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4"/>
        <w:gridCol w:w="1135"/>
        <w:gridCol w:w="1138"/>
        <w:gridCol w:w="1286"/>
        <w:gridCol w:w="2372"/>
        <w:gridCol w:w="1747"/>
        <w:gridCol w:w="1063"/>
      </w:tblGrid>
      <w:tr>
        <w:trPr>
          <w:trHeight w:val="359" w:hRule="atLeast"/>
        </w:trPr>
        <w:tc>
          <w:tcPr>
            <w:tcW w:w="684" w:type="dxa"/>
            <w:tcBorders>
              <w:bottom w:val="single" w:sz="6" w:space="0" w:color="000000"/>
              <w:right w:val="single" w:sz="6" w:space="0" w:color="000000"/>
            </w:tcBorders>
          </w:tcPr>
          <w:p>
            <w:pPr>
              <w:pStyle w:val="TableParagraph"/>
              <w:spacing w:before="49"/>
              <w:ind w:left="106" w:right="92"/>
              <w:rPr>
                <w:rFonts w:ascii="宋体" w:eastAsia="宋体" w:hint="eastAsia"/>
                <w:b/>
                <w:sz w:val="21"/>
              </w:rPr>
            </w:pPr>
            <w:r>
              <w:rPr>
                <w:rFonts w:ascii="宋体" w:eastAsia="宋体" w:hint="eastAsia"/>
                <w:b/>
                <w:sz w:val="21"/>
              </w:rPr>
              <w:t>序号</w:t>
            </w:r>
          </w:p>
        </w:tc>
        <w:tc>
          <w:tcPr>
            <w:tcW w:w="2273" w:type="dxa"/>
            <w:gridSpan w:val="2"/>
            <w:tcBorders>
              <w:left w:val="single" w:sz="6" w:space="0" w:color="000000"/>
              <w:bottom w:val="single" w:sz="6" w:space="0" w:color="000000"/>
              <w:right w:val="single" w:sz="6" w:space="0" w:color="000000"/>
            </w:tcBorders>
          </w:tcPr>
          <w:p>
            <w:pPr>
              <w:pStyle w:val="TableParagraph"/>
              <w:spacing w:before="49"/>
              <w:ind w:left="510"/>
              <w:jc w:val="left"/>
              <w:rPr>
                <w:rFonts w:ascii="宋体" w:eastAsia="宋体" w:hint="eastAsia"/>
                <w:b/>
                <w:sz w:val="21"/>
              </w:rPr>
            </w:pPr>
            <w:r>
              <w:rPr>
                <w:rFonts w:ascii="宋体" w:eastAsia="宋体" w:hint="eastAsia"/>
                <w:b/>
                <w:sz w:val="21"/>
              </w:rPr>
              <w:t>危险物质名称</w:t>
            </w:r>
          </w:p>
        </w:tc>
        <w:tc>
          <w:tcPr>
            <w:tcW w:w="1286" w:type="dxa"/>
            <w:tcBorders>
              <w:left w:val="single" w:sz="6" w:space="0" w:color="000000"/>
              <w:bottom w:val="single" w:sz="6" w:space="0" w:color="000000"/>
              <w:right w:val="single" w:sz="6" w:space="0" w:color="000000"/>
            </w:tcBorders>
          </w:tcPr>
          <w:p>
            <w:pPr>
              <w:pStyle w:val="TableParagraph"/>
              <w:spacing w:before="49"/>
              <w:ind w:left="136" w:right="109"/>
              <w:rPr>
                <w:rFonts w:ascii="宋体" w:eastAsia="宋体" w:hint="eastAsia"/>
                <w:b/>
                <w:sz w:val="21"/>
              </w:rPr>
            </w:pPr>
            <w:r>
              <w:rPr>
                <w:b/>
                <w:sz w:val="21"/>
              </w:rPr>
              <w:t>CAS </w:t>
            </w:r>
            <w:r>
              <w:rPr>
                <w:rFonts w:ascii="宋体" w:eastAsia="宋体" w:hint="eastAsia"/>
                <w:b/>
                <w:sz w:val="21"/>
              </w:rPr>
              <w:t>号</w:t>
            </w:r>
          </w:p>
        </w:tc>
        <w:tc>
          <w:tcPr>
            <w:tcW w:w="2372" w:type="dxa"/>
            <w:tcBorders>
              <w:left w:val="single" w:sz="6" w:space="0" w:color="000000"/>
              <w:bottom w:val="single" w:sz="6" w:space="0" w:color="000000"/>
              <w:right w:val="single" w:sz="6" w:space="0" w:color="000000"/>
            </w:tcBorders>
          </w:tcPr>
          <w:p>
            <w:pPr>
              <w:pStyle w:val="TableParagraph"/>
              <w:spacing w:before="46"/>
              <w:ind w:left="148" w:right="123"/>
              <w:rPr>
                <w:rFonts w:ascii="宋体" w:eastAsia="宋体" w:hint="eastAsia"/>
                <w:b/>
                <w:sz w:val="21"/>
              </w:rPr>
            </w:pPr>
            <w:r>
              <w:rPr>
                <w:rFonts w:ascii="宋体" w:eastAsia="宋体" w:hint="eastAsia"/>
                <w:b/>
                <w:position w:val="2"/>
                <w:sz w:val="21"/>
              </w:rPr>
              <w:t>最大存在总量 </w:t>
            </w:r>
            <w:r>
              <w:rPr>
                <w:b/>
                <w:i/>
                <w:position w:val="2"/>
                <w:sz w:val="21"/>
              </w:rPr>
              <w:t>q</w:t>
            </w:r>
            <w:r>
              <w:rPr>
                <w:b/>
                <w:i/>
                <w:sz w:val="14"/>
              </w:rPr>
              <w:t>n</w:t>
            </w:r>
            <w:r>
              <w:rPr>
                <w:rFonts w:ascii="宋体" w:eastAsia="宋体" w:hint="eastAsia"/>
                <w:b/>
                <w:position w:val="2"/>
                <w:sz w:val="21"/>
              </w:rPr>
              <w:t>（</w:t>
            </w:r>
            <w:r>
              <w:rPr>
                <w:b/>
                <w:position w:val="2"/>
                <w:sz w:val="21"/>
              </w:rPr>
              <w:t>t</w:t>
            </w:r>
            <w:r>
              <w:rPr>
                <w:rFonts w:ascii="宋体" w:eastAsia="宋体" w:hint="eastAsia"/>
                <w:b/>
                <w:position w:val="2"/>
                <w:sz w:val="21"/>
              </w:rPr>
              <w:t>）</w:t>
            </w:r>
          </w:p>
        </w:tc>
        <w:tc>
          <w:tcPr>
            <w:tcW w:w="1747" w:type="dxa"/>
            <w:tcBorders>
              <w:left w:val="single" w:sz="6" w:space="0" w:color="000000"/>
              <w:bottom w:val="single" w:sz="6" w:space="0" w:color="000000"/>
              <w:right w:val="single" w:sz="6" w:space="0" w:color="000000"/>
            </w:tcBorders>
          </w:tcPr>
          <w:p>
            <w:pPr>
              <w:pStyle w:val="TableParagraph"/>
              <w:spacing w:before="46"/>
              <w:ind w:left="131" w:right="101"/>
              <w:rPr>
                <w:rFonts w:ascii="宋体" w:eastAsia="宋体" w:hint="eastAsia"/>
                <w:b/>
                <w:sz w:val="21"/>
              </w:rPr>
            </w:pPr>
            <w:r>
              <w:rPr>
                <w:rFonts w:ascii="宋体" w:eastAsia="宋体" w:hint="eastAsia"/>
                <w:b/>
                <w:position w:val="2"/>
                <w:sz w:val="21"/>
              </w:rPr>
              <w:t>临界量 </w:t>
            </w:r>
            <w:r>
              <w:rPr>
                <w:b/>
                <w:i/>
                <w:position w:val="2"/>
                <w:sz w:val="21"/>
              </w:rPr>
              <w:t>Q</w:t>
            </w:r>
            <w:r>
              <w:rPr>
                <w:b/>
                <w:i/>
                <w:sz w:val="14"/>
              </w:rPr>
              <w:t>n</w:t>
            </w:r>
            <w:r>
              <w:rPr>
                <w:rFonts w:ascii="宋体" w:eastAsia="宋体" w:hint="eastAsia"/>
                <w:b/>
                <w:position w:val="2"/>
                <w:sz w:val="21"/>
              </w:rPr>
              <w:t>（</w:t>
            </w:r>
            <w:r>
              <w:rPr>
                <w:b/>
                <w:position w:val="2"/>
                <w:sz w:val="21"/>
              </w:rPr>
              <w:t>t</w:t>
            </w:r>
            <w:r>
              <w:rPr>
                <w:rFonts w:ascii="宋体" w:eastAsia="宋体" w:hint="eastAsia"/>
                <w:b/>
                <w:position w:val="2"/>
                <w:sz w:val="21"/>
              </w:rPr>
              <w:t>）</w:t>
            </w:r>
          </w:p>
        </w:tc>
        <w:tc>
          <w:tcPr>
            <w:tcW w:w="1063" w:type="dxa"/>
            <w:tcBorders>
              <w:left w:val="single" w:sz="6" w:space="0" w:color="000000"/>
              <w:bottom w:val="single" w:sz="6" w:space="0" w:color="000000"/>
            </w:tcBorders>
          </w:tcPr>
          <w:p>
            <w:pPr>
              <w:pStyle w:val="TableParagraph"/>
              <w:spacing w:before="59"/>
              <w:ind w:left="130" w:right="93"/>
              <w:rPr>
                <w:b/>
                <w:i/>
                <w:sz w:val="14"/>
              </w:rPr>
            </w:pPr>
            <w:r>
              <w:rPr>
                <w:b/>
                <w:i/>
                <w:position w:val="2"/>
                <w:sz w:val="21"/>
              </w:rPr>
              <w:t>q</w:t>
            </w:r>
            <w:r>
              <w:rPr>
                <w:b/>
                <w:i/>
                <w:sz w:val="14"/>
              </w:rPr>
              <w:t>n</w:t>
            </w:r>
            <w:r>
              <w:rPr>
                <w:b/>
                <w:position w:val="2"/>
                <w:sz w:val="21"/>
              </w:rPr>
              <w:t>/</w:t>
            </w:r>
            <w:r>
              <w:rPr>
                <w:b/>
                <w:i/>
                <w:position w:val="2"/>
                <w:sz w:val="21"/>
              </w:rPr>
              <w:t>Q</w:t>
            </w:r>
            <w:r>
              <w:rPr>
                <w:b/>
                <w:i/>
                <w:sz w:val="14"/>
              </w:rPr>
              <w:t>n</w:t>
            </w:r>
          </w:p>
        </w:tc>
      </w:tr>
      <w:tr>
        <w:trPr>
          <w:trHeight w:val="359" w:hRule="atLeast"/>
        </w:trPr>
        <w:tc>
          <w:tcPr>
            <w:tcW w:w="68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2</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氨</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138" w:right="109"/>
              <w:rPr>
                <w:sz w:val="21"/>
              </w:rPr>
            </w:pPr>
            <w:r>
              <w:rPr>
                <w:sz w:val="21"/>
              </w:rPr>
              <w:t>7664-41-7</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1.97E-04</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5</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3.94E-05</w:t>
            </w:r>
          </w:p>
        </w:tc>
      </w:tr>
      <w:tr>
        <w:trPr>
          <w:trHeight w:val="357" w:hRule="atLeast"/>
        </w:trPr>
        <w:tc>
          <w:tcPr>
            <w:tcW w:w="68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3</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491" w:right="461"/>
              <w:rPr>
                <w:rFonts w:ascii="宋体" w:eastAsia="宋体" w:hint="eastAsia"/>
                <w:sz w:val="21"/>
              </w:rPr>
            </w:pPr>
            <w:r>
              <w:rPr>
                <w:rFonts w:ascii="宋体" w:eastAsia="宋体" w:hint="eastAsia"/>
                <w:sz w:val="21"/>
              </w:rPr>
              <w:t>硫化氢</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138" w:right="109"/>
              <w:rPr>
                <w:sz w:val="21"/>
              </w:rPr>
            </w:pPr>
            <w:r>
              <w:rPr>
                <w:sz w:val="21"/>
              </w:rPr>
              <w:t>7783-06-4</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1.23E-05</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ind w:left="131" w:right="101"/>
              <w:rPr>
                <w:sz w:val="21"/>
              </w:rPr>
            </w:pPr>
            <w:r>
              <w:rPr>
                <w:sz w:val="21"/>
              </w:rPr>
              <w:t>2.5</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4.92E-06</w:t>
            </w:r>
          </w:p>
        </w:tc>
      </w:tr>
      <w:tr>
        <w:trPr>
          <w:trHeight w:val="359" w:hRule="atLeast"/>
        </w:trPr>
        <w:tc>
          <w:tcPr>
            <w:tcW w:w="684" w:type="dxa"/>
            <w:tcBorders>
              <w:top w:val="single" w:sz="6" w:space="0" w:color="000000"/>
              <w:bottom w:val="single" w:sz="6" w:space="0" w:color="000000"/>
              <w:right w:val="single" w:sz="6" w:space="0" w:color="000000"/>
            </w:tcBorders>
          </w:tcPr>
          <w:p>
            <w:pPr>
              <w:pStyle w:val="TableParagraph"/>
              <w:spacing w:before="60"/>
              <w:ind w:left="14"/>
              <w:rPr>
                <w:sz w:val="21"/>
              </w:rPr>
            </w:pPr>
            <w:r>
              <w:rPr>
                <w:w w:val="100"/>
                <w:sz w:val="21"/>
              </w:rPr>
              <w:t>4</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722"/>
              <w:jc w:val="left"/>
              <w:rPr>
                <w:rFonts w:ascii="宋体" w:eastAsia="宋体" w:hint="eastAsia"/>
                <w:sz w:val="21"/>
              </w:rPr>
            </w:pPr>
            <w:r>
              <w:rPr>
                <w:rFonts w:ascii="宋体" w:eastAsia="宋体" w:hint="eastAsia"/>
                <w:sz w:val="21"/>
              </w:rPr>
              <w:t>过氧乙酸</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spacing w:before="60"/>
              <w:ind w:left="138" w:right="109"/>
              <w:rPr>
                <w:sz w:val="21"/>
              </w:rPr>
            </w:pPr>
            <w:r>
              <w:rPr>
                <w:sz w:val="21"/>
              </w:rPr>
              <w:t>79-21-0</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before="60"/>
              <w:ind w:left="25"/>
              <w:rPr>
                <w:sz w:val="21"/>
              </w:rPr>
            </w:pPr>
            <w:r>
              <w:rPr>
                <w:w w:val="100"/>
                <w:sz w:val="21"/>
              </w:rPr>
              <w:t>1</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spacing w:before="60"/>
              <w:ind w:left="30"/>
              <w:rPr>
                <w:sz w:val="21"/>
              </w:rPr>
            </w:pPr>
            <w:r>
              <w:rPr>
                <w:w w:val="100"/>
                <w:sz w:val="21"/>
              </w:rPr>
              <w:t>5</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0.200</w:t>
            </w:r>
          </w:p>
        </w:tc>
      </w:tr>
      <w:tr>
        <w:trPr>
          <w:trHeight w:val="359" w:hRule="atLeast"/>
        </w:trPr>
        <w:tc>
          <w:tcPr>
            <w:tcW w:w="68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5</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722"/>
              <w:jc w:val="left"/>
              <w:rPr>
                <w:rFonts w:ascii="宋体" w:eastAsia="宋体" w:hint="eastAsia"/>
                <w:sz w:val="21"/>
              </w:rPr>
            </w:pPr>
            <w:r>
              <w:rPr>
                <w:rFonts w:ascii="宋体" w:eastAsia="宋体" w:hint="eastAsia"/>
                <w:sz w:val="21"/>
              </w:rPr>
              <w:t>氢氧化钠</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138" w:right="109"/>
              <w:rPr>
                <w:sz w:val="21"/>
              </w:rPr>
            </w:pPr>
            <w:r>
              <w:rPr>
                <w:sz w:val="21"/>
              </w:rPr>
              <w:t>1310-73-2</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1.8</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ind w:left="131" w:right="101"/>
              <w:rPr>
                <w:sz w:val="21"/>
              </w:rPr>
            </w:pPr>
            <w:r>
              <w:rPr>
                <w:sz w:val="21"/>
              </w:rPr>
              <w:t>50</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0.036</w:t>
            </w:r>
          </w:p>
        </w:tc>
      </w:tr>
      <w:tr>
        <w:trPr>
          <w:trHeight w:val="359" w:hRule="atLeast"/>
        </w:trPr>
        <w:tc>
          <w:tcPr>
            <w:tcW w:w="68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6</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722"/>
              <w:jc w:val="left"/>
              <w:rPr>
                <w:rFonts w:ascii="宋体" w:eastAsia="宋体" w:hint="eastAsia"/>
                <w:sz w:val="21"/>
              </w:rPr>
            </w:pPr>
            <w:r>
              <w:rPr>
                <w:rFonts w:ascii="宋体" w:eastAsia="宋体" w:hint="eastAsia"/>
                <w:sz w:val="21"/>
              </w:rPr>
              <w:t>次氯酸钠</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138" w:right="109"/>
              <w:rPr>
                <w:sz w:val="21"/>
              </w:rPr>
            </w:pPr>
            <w:r>
              <w:rPr>
                <w:sz w:val="21"/>
              </w:rPr>
              <w:t>7681-52-9</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0.9</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5</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0.180</w:t>
            </w:r>
          </w:p>
        </w:tc>
      </w:tr>
      <w:tr>
        <w:trPr>
          <w:trHeight w:val="357" w:hRule="atLeast"/>
        </w:trPr>
        <w:tc>
          <w:tcPr>
            <w:tcW w:w="684"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4"/>
              <w:rPr>
                <w:sz w:val="21"/>
              </w:rPr>
            </w:pPr>
            <w:r>
              <w:rPr>
                <w:w w:val="100"/>
                <w:sz w:val="21"/>
              </w:rPr>
              <w:t>7</w:t>
            </w:r>
          </w:p>
        </w:tc>
        <w:tc>
          <w:tcPr>
            <w:tcW w:w="113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53"/>
              <w:jc w:val="left"/>
              <w:rPr>
                <w:rFonts w:ascii="宋体" w:eastAsia="宋体" w:hint="eastAsia"/>
                <w:sz w:val="21"/>
              </w:rPr>
            </w:pPr>
            <w:r>
              <w:rPr>
                <w:rFonts w:ascii="宋体" w:eastAsia="宋体" w:hint="eastAsia"/>
                <w:sz w:val="21"/>
              </w:rPr>
              <w:t>油类物质</w:t>
            </w: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4"/>
              <w:ind w:left="135" w:right="106"/>
              <w:rPr>
                <w:rFonts w:ascii="宋体" w:eastAsia="宋体" w:hint="eastAsia"/>
                <w:sz w:val="21"/>
              </w:rPr>
            </w:pPr>
            <w:r>
              <w:rPr>
                <w:rFonts w:ascii="宋体" w:eastAsia="宋体" w:hint="eastAsia"/>
                <w:sz w:val="21"/>
              </w:rPr>
              <w:t>导热油</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0.55</w:t>
            </w:r>
          </w:p>
        </w:tc>
        <w:tc>
          <w:tcPr>
            <w:tcW w:w="174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131" w:right="101"/>
              <w:rPr>
                <w:sz w:val="21"/>
              </w:rPr>
            </w:pPr>
            <w:r>
              <w:rPr>
                <w:sz w:val="21"/>
              </w:rPr>
              <w:t>2500</w:t>
            </w:r>
          </w:p>
        </w:tc>
        <w:tc>
          <w:tcPr>
            <w:tcW w:w="1063" w:type="dxa"/>
            <w:vMerge w:val="restart"/>
            <w:tcBorders>
              <w:top w:val="single" w:sz="6" w:space="0" w:color="000000"/>
              <w:left w:val="single" w:sz="6" w:space="0" w:color="000000"/>
              <w:bottom w:val="single" w:sz="6" w:space="0" w:color="000000"/>
            </w:tcBorders>
          </w:tcPr>
          <w:p>
            <w:pPr>
              <w:pStyle w:val="TableParagraph"/>
              <w:spacing w:before="1"/>
              <w:jc w:val="left"/>
              <w:rPr>
                <w:rFonts w:ascii="宋体"/>
                <w:b/>
                <w:sz w:val="19"/>
              </w:rPr>
            </w:pPr>
          </w:p>
          <w:p>
            <w:pPr>
              <w:pStyle w:val="TableParagraph"/>
              <w:spacing w:before="1"/>
              <w:ind w:left="149"/>
              <w:jc w:val="left"/>
              <w:rPr>
                <w:sz w:val="21"/>
              </w:rPr>
            </w:pPr>
            <w:r>
              <w:rPr>
                <w:sz w:val="21"/>
              </w:rPr>
              <w:t>3.80E-04</w:t>
            </w:r>
          </w:p>
        </w:tc>
      </w:tr>
      <w:tr>
        <w:trPr>
          <w:trHeight w:val="359" w:hRule="atLeast"/>
        </w:trPr>
        <w:tc>
          <w:tcPr>
            <w:tcW w:w="684" w:type="dxa"/>
            <w:vMerge/>
            <w:tcBorders>
              <w:top w:val="nil"/>
              <w:bottom w:val="single" w:sz="6" w:space="0" w:color="000000"/>
              <w:right w:val="single" w:sz="6" w:space="0" w:color="000000"/>
            </w:tcBorders>
          </w:tcPr>
          <w:p>
            <w:pPr>
              <w:rPr>
                <w:sz w:val="2"/>
                <w:szCs w:val="2"/>
              </w:rPr>
            </w:pPr>
          </w:p>
        </w:tc>
        <w:tc>
          <w:tcPr>
            <w:tcW w:w="1135" w:type="dxa"/>
            <w:vMerge/>
            <w:tcBorders>
              <w:top w:val="nil"/>
              <w:left w:val="single" w:sz="6" w:space="0" w:color="000000"/>
              <w:bottom w:val="single" w:sz="6" w:space="0" w:color="000000"/>
              <w:right w:val="single" w:sz="6" w:space="0" w:color="000000"/>
            </w:tcBorders>
          </w:tcPr>
          <w:p>
            <w:pPr>
              <w:rPr>
                <w:sz w:val="2"/>
                <w:szCs w:val="2"/>
              </w:rPr>
            </w:pPr>
          </w:p>
        </w:tc>
        <w:tc>
          <w:tcPr>
            <w:tcW w:w="1138" w:type="dxa"/>
            <w:tcBorders>
              <w:top w:val="single" w:sz="6" w:space="0" w:color="000000"/>
              <w:left w:val="single" w:sz="6" w:space="0" w:color="000000"/>
              <w:bottom w:val="single" w:sz="6" w:space="0" w:color="000000"/>
              <w:right w:val="single" w:sz="6" w:space="0" w:color="000000"/>
            </w:tcBorders>
          </w:tcPr>
          <w:p>
            <w:pPr>
              <w:pStyle w:val="TableParagraph"/>
              <w:spacing w:before="46"/>
              <w:ind w:left="137" w:right="106"/>
              <w:rPr>
                <w:rFonts w:ascii="宋体" w:eastAsia="宋体" w:hint="eastAsia"/>
                <w:sz w:val="21"/>
              </w:rPr>
            </w:pPr>
            <w:r>
              <w:rPr>
                <w:rFonts w:ascii="宋体" w:eastAsia="宋体" w:hint="eastAsia"/>
                <w:sz w:val="21"/>
              </w:rPr>
              <w:t>废矿物油</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spacing w:before="60"/>
              <w:ind w:left="30"/>
              <w:rPr>
                <w:sz w:val="21"/>
              </w:rPr>
            </w:pPr>
            <w:r>
              <w:rPr>
                <w:w w:val="100"/>
                <w:sz w:val="21"/>
              </w:rPr>
              <w:t>/</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spacing w:before="60"/>
              <w:ind w:left="148" w:right="123"/>
              <w:rPr>
                <w:sz w:val="21"/>
              </w:rPr>
            </w:pPr>
            <w:r>
              <w:rPr>
                <w:sz w:val="21"/>
              </w:rPr>
              <w:t>0.40</w:t>
            </w:r>
          </w:p>
        </w:tc>
        <w:tc>
          <w:tcPr>
            <w:tcW w:w="1747" w:type="dxa"/>
            <w:vMerge/>
            <w:tcBorders>
              <w:top w:val="nil"/>
              <w:left w:val="single" w:sz="6" w:space="0" w:color="000000"/>
              <w:bottom w:val="single" w:sz="6" w:space="0" w:color="000000"/>
              <w:right w:val="single" w:sz="6" w:space="0" w:color="000000"/>
            </w:tcBorders>
          </w:tcPr>
          <w:p>
            <w:pPr>
              <w:rPr>
                <w:sz w:val="2"/>
                <w:szCs w:val="2"/>
              </w:rPr>
            </w:pPr>
          </w:p>
        </w:tc>
        <w:tc>
          <w:tcPr>
            <w:tcW w:w="1063" w:type="dxa"/>
            <w:vMerge/>
            <w:tcBorders>
              <w:top w:val="nil"/>
              <w:left w:val="single" w:sz="6" w:space="0" w:color="000000"/>
              <w:bottom w:val="single" w:sz="6" w:space="0" w:color="000000"/>
            </w:tcBorders>
          </w:tcPr>
          <w:p>
            <w:pPr>
              <w:rPr>
                <w:sz w:val="2"/>
                <w:szCs w:val="2"/>
              </w:rPr>
            </w:pPr>
          </w:p>
        </w:tc>
      </w:tr>
      <w:tr>
        <w:trPr>
          <w:trHeight w:val="359" w:hRule="atLeast"/>
        </w:trPr>
        <w:tc>
          <w:tcPr>
            <w:tcW w:w="68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8</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491" w:right="461"/>
              <w:rPr>
                <w:rFonts w:ascii="宋体" w:eastAsia="宋体" w:hint="eastAsia"/>
                <w:sz w:val="21"/>
              </w:rPr>
            </w:pPr>
            <w:r>
              <w:rPr>
                <w:rFonts w:ascii="宋体" w:eastAsia="宋体" w:hint="eastAsia"/>
                <w:sz w:val="21"/>
              </w:rPr>
              <w:t>病死猪</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8.6</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ind w:left="131" w:right="101"/>
              <w:rPr>
                <w:sz w:val="21"/>
              </w:rPr>
            </w:pPr>
            <w:r>
              <w:rPr>
                <w:sz w:val="21"/>
              </w:rPr>
              <w:t>50</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0.172</w:t>
            </w:r>
          </w:p>
        </w:tc>
      </w:tr>
      <w:tr>
        <w:trPr>
          <w:trHeight w:val="359" w:hRule="atLeast"/>
        </w:trPr>
        <w:tc>
          <w:tcPr>
            <w:tcW w:w="684" w:type="dxa"/>
            <w:tcBorders>
              <w:top w:val="single" w:sz="6" w:space="0" w:color="000000"/>
              <w:bottom w:val="single" w:sz="6" w:space="0" w:color="000000"/>
              <w:right w:val="single" w:sz="6" w:space="0" w:color="000000"/>
            </w:tcBorders>
          </w:tcPr>
          <w:p>
            <w:pPr>
              <w:pStyle w:val="TableParagraph"/>
              <w:ind w:left="14"/>
              <w:rPr>
                <w:sz w:val="21"/>
              </w:rPr>
            </w:pPr>
            <w:r>
              <w:rPr>
                <w:w w:val="100"/>
                <w:sz w:val="21"/>
              </w:rPr>
              <w:t>9</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407"/>
              <w:jc w:val="left"/>
              <w:rPr>
                <w:rFonts w:ascii="宋体" w:eastAsia="宋体" w:hint="eastAsia"/>
                <w:sz w:val="21"/>
              </w:rPr>
            </w:pPr>
            <w:r>
              <w:rPr>
                <w:rFonts w:ascii="宋体" w:eastAsia="宋体" w:hint="eastAsia"/>
                <w:sz w:val="21"/>
              </w:rPr>
              <w:t>危化品废包装物</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0.6</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ind w:left="131" w:right="101"/>
              <w:rPr>
                <w:sz w:val="21"/>
              </w:rPr>
            </w:pPr>
            <w:r>
              <w:rPr>
                <w:sz w:val="21"/>
              </w:rPr>
              <w:t>50</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0.012</w:t>
            </w:r>
          </w:p>
        </w:tc>
      </w:tr>
      <w:tr>
        <w:trPr>
          <w:trHeight w:val="357" w:hRule="atLeast"/>
        </w:trPr>
        <w:tc>
          <w:tcPr>
            <w:tcW w:w="684" w:type="dxa"/>
            <w:tcBorders>
              <w:top w:val="single" w:sz="6" w:space="0" w:color="000000"/>
              <w:bottom w:val="single" w:sz="6" w:space="0" w:color="000000"/>
              <w:right w:val="single" w:sz="6" w:space="0" w:color="000000"/>
            </w:tcBorders>
          </w:tcPr>
          <w:p>
            <w:pPr>
              <w:pStyle w:val="TableParagraph"/>
              <w:ind w:left="106" w:right="92"/>
              <w:rPr>
                <w:sz w:val="21"/>
              </w:rPr>
            </w:pPr>
            <w:r>
              <w:rPr>
                <w:sz w:val="21"/>
              </w:rPr>
              <w:t>10</w:t>
            </w:r>
          </w:p>
        </w:tc>
        <w:tc>
          <w:tcPr>
            <w:tcW w:w="227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722"/>
              <w:jc w:val="left"/>
              <w:rPr>
                <w:rFonts w:ascii="宋体" w:eastAsia="宋体" w:hint="eastAsia"/>
                <w:sz w:val="21"/>
              </w:rPr>
            </w:pPr>
            <w:r>
              <w:rPr>
                <w:rFonts w:ascii="宋体" w:eastAsia="宋体" w:hint="eastAsia"/>
                <w:sz w:val="21"/>
              </w:rPr>
              <w:t>医疗废物</w:t>
            </w:r>
          </w:p>
        </w:tc>
        <w:tc>
          <w:tcPr>
            <w:tcW w:w="1286"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w:t>
            </w:r>
          </w:p>
        </w:tc>
        <w:tc>
          <w:tcPr>
            <w:tcW w:w="2372" w:type="dxa"/>
            <w:tcBorders>
              <w:top w:val="single" w:sz="6" w:space="0" w:color="000000"/>
              <w:left w:val="single" w:sz="6" w:space="0" w:color="000000"/>
              <w:bottom w:val="single" w:sz="6" w:space="0" w:color="000000"/>
              <w:right w:val="single" w:sz="6" w:space="0" w:color="000000"/>
            </w:tcBorders>
          </w:tcPr>
          <w:p>
            <w:pPr>
              <w:pStyle w:val="TableParagraph"/>
              <w:ind w:left="148" w:right="123"/>
              <w:rPr>
                <w:sz w:val="21"/>
              </w:rPr>
            </w:pPr>
            <w:r>
              <w:rPr>
                <w:sz w:val="21"/>
              </w:rPr>
              <w:t>4.3</w:t>
            </w:r>
          </w:p>
        </w:tc>
        <w:tc>
          <w:tcPr>
            <w:tcW w:w="1747" w:type="dxa"/>
            <w:tcBorders>
              <w:top w:val="single" w:sz="6" w:space="0" w:color="000000"/>
              <w:left w:val="single" w:sz="6" w:space="0" w:color="000000"/>
              <w:bottom w:val="single" w:sz="6" w:space="0" w:color="000000"/>
              <w:right w:val="single" w:sz="6" w:space="0" w:color="000000"/>
            </w:tcBorders>
          </w:tcPr>
          <w:p>
            <w:pPr>
              <w:pStyle w:val="TableParagraph"/>
              <w:ind w:left="131" w:right="101"/>
              <w:rPr>
                <w:sz w:val="21"/>
              </w:rPr>
            </w:pPr>
            <w:r>
              <w:rPr>
                <w:sz w:val="21"/>
              </w:rPr>
              <w:t>50</w:t>
            </w:r>
          </w:p>
        </w:tc>
        <w:tc>
          <w:tcPr>
            <w:tcW w:w="1063" w:type="dxa"/>
            <w:tcBorders>
              <w:top w:val="single" w:sz="6" w:space="0" w:color="000000"/>
              <w:left w:val="single" w:sz="6" w:space="0" w:color="000000"/>
              <w:bottom w:val="single" w:sz="6" w:space="0" w:color="000000"/>
            </w:tcBorders>
          </w:tcPr>
          <w:p>
            <w:pPr>
              <w:pStyle w:val="TableParagraph"/>
              <w:ind w:left="130" w:right="94"/>
              <w:rPr>
                <w:sz w:val="21"/>
              </w:rPr>
            </w:pPr>
            <w:r>
              <w:rPr>
                <w:sz w:val="21"/>
              </w:rPr>
              <w:t>0.086</w:t>
            </w:r>
          </w:p>
        </w:tc>
      </w:tr>
      <w:tr>
        <w:trPr>
          <w:trHeight w:val="361" w:hRule="atLeast"/>
        </w:trPr>
        <w:tc>
          <w:tcPr>
            <w:tcW w:w="8362" w:type="dxa"/>
            <w:gridSpan w:val="6"/>
            <w:tcBorders>
              <w:top w:val="single" w:sz="6" w:space="0" w:color="000000"/>
              <w:right w:val="single" w:sz="6" w:space="0" w:color="000000"/>
            </w:tcBorders>
          </w:tcPr>
          <w:p>
            <w:pPr>
              <w:pStyle w:val="TableParagraph"/>
              <w:spacing w:before="49"/>
              <w:ind w:left="3667" w:right="3648"/>
              <w:rPr>
                <w:sz w:val="21"/>
              </w:rPr>
            </w:pPr>
            <w:r>
              <w:rPr>
                <w:rFonts w:ascii="宋体" w:hAnsi="宋体" w:eastAsia="宋体" w:hint="eastAsia"/>
                <w:sz w:val="21"/>
              </w:rPr>
              <w:t>项目</w:t>
            </w:r>
            <w:r>
              <w:rPr>
                <w:position w:val="1"/>
                <w:sz w:val="21"/>
              </w:rPr>
              <w:t>Q </w:t>
            </w:r>
            <w:r>
              <w:rPr>
                <w:rFonts w:ascii="宋体" w:hAnsi="宋体" w:eastAsia="宋体" w:hint="eastAsia"/>
                <w:sz w:val="21"/>
              </w:rPr>
              <w:t>值</w:t>
            </w:r>
            <w:r>
              <w:rPr>
                <w:position w:val="1"/>
                <w:sz w:val="21"/>
              </w:rPr>
              <w:t>∑</w:t>
            </w:r>
          </w:p>
        </w:tc>
        <w:tc>
          <w:tcPr>
            <w:tcW w:w="1063" w:type="dxa"/>
            <w:tcBorders>
              <w:top w:val="single" w:sz="6" w:space="0" w:color="000000"/>
              <w:left w:val="single" w:sz="6" w:space="0" w:color="000000"/>
            </w:tcBorders>
          </w:tcPr>
          <w:p>
            <w:pPr>
              <w:pStyle w:val="TableParagraph"/>
              <w:spacing w:before="60"/>
              <w:ind w:left="130" w:right="94"/>
              <w:rPr>
                <w:sz w:val="21"/>
              </w:rPr>
            </w:pPr>
            <w:r>
              <w:rPr>
                <w:sz w:val="21"/>
              </w:rPr>
              <w:t>0.814</w:t>
            </w:r>
          </w:p>
        </w:tc>
      </w:tr>
    </w:tbl>
    <w:p>
      <w:pPr>
        <w:pStyle w:val="Heading3"/>
        <w:numPr>
          <w:ilvl w:val="0"/>
          <w:numId w:val="82"/>
        </w:numPr>
        <w:tabs>
          <w:tab w:pos="1323" w:val="left" w:leader="none"/>
        </w:tabs>
        <w:spacing w:line="240" w:lineRule="auto" w:before="91" w:after="0"/>
        <w:ind w:left="1323" w:right="0" w:hanging="604"/>
        <w:jc w:val="left"/>
      </w:pPr>
      <w:r>
        <w:rPr/>
        <w:t>评价等级</w:t>
      </w:r>
    </w:p>
    <w:p>
      <w:pPr>
        <w:pStyle w:val="BodyText"/>
        <w:spacing w:line="364" w:lineRule="auto" w:before="161"/>
        <w:ind w:right="249" w:firstLine="480"/>
        <w:jc w:val="both"/>
      </w:pPr>
      <w:r>
        <w:rPr/>
        <w:t>依据《建设项目环境风险评价技术导则》（</w:t>
      </w:r>
      <w:r>
        <w:rPr>
          <w:rFonts w:ascii="Times New Roman" w:hAnsi="Times New Roman" w:eastAsia="Times New Roman"/>
          <w:position w:val="1"/>
        </w:rPr>
        <w:t>HJ 169-2018</w:t>
      </w:r>
      <w:r>
        <w:rPr/>
        <w:t>），建设项目环境风险评价工作等级划分为一级、二级、三级。根据建设项目涉及的物质及工艺系统危险性和所在地的环境敏感性确定环境风险潜势，再按照表 </w:t>
      </w:r>
      <w:r>
        <w:rPr>
          <w:rFonts w:ascii="Times New Roman" w:hAnsi="Times New Roman" w:eastAsia="Times New Roman"/>
          <w:position w:val="1"/>
        </w:rPr>
        <w:t>5.2-40 </w:t>
      </w:r>
      <w:r>
        <w:rPr/>
        <w:t>确定评价工作等级。由于本项目环境风险潜势为Ⅰ，直接判定本项目环境风险评价的工作等级为简单分析。</w:t>
      </w:r>
    </w:p>
    <w:p>
      <w:pPr>
        <w:pStyle w:val="Heading3"/>
        <w:spacing w:before="3"/>
        <w:ind w:left="2877"/>
        <w:jc w:val="both"/>
      </w:pPr>
      <w:r>
        <w:rPr/>
        <w:t>表 </w:t>
      </w:r>
      <w:r>
        <w:rPr>
          <w:rFonts w:ascii="Times New Roman" w:eastAsia="Times New Roman"/>
        </w:rPr>
        <w:t>5.2-40  </w:t>
      </w:r>
      <w:r>
        <w:rPr/>
        <w:t>环境风险评价工作等级划分</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36"/>
        <w:gridCol w:w="1757"/>
        <w:gridCol w:w="1973"/>
        <w:gridCol w:w="2410"/>
        <w:gridCol w:w="1755"/>
      </w:tblGrid>
      <w:tr>
        <w:trPr>
          <w:trHeight w:val="359" w:hRule="atLeast"/>
        </w:trPr>
        <w:tc>
          <w:tcPr>
            <w:tcW w:w="1536" w:type="dxa"/>
            <w:tcBorders>
              <w:bottom w:val="single" w:sz="6" w:space="0" w:color="000000"/>
              <w:right w:val="single" w:sz="6" w:space="0" w:color="000000"/>
            </w:tcBorders>
          </w:tcPr>
          <w:p>
            <w:pPr>
              <w:pStyle w:val="TableParagraph"/>
              <w:spacing w:before="43"/>
              <w:ind w:left="133"/>
              <w:jc w:val="left"/>
              <w:rPr>
                <w:rFonts w:ascii="宋体" w:eastAsia="宋体" w:hint="eastAsia"/>
                <w:b/>
                <w:sz w:val="21"/>
              </w:rPr>
            </w:pPr>
            <w:r>
              <w:rPr>
                <w:rFonts w:ascii="宋体" w:eastAsia="宋体" w:hint="eastAsia"/>
                <w:b/>
                <w:sz w:val="21"/>
              </w:rPr>
              <w:t>环境风险潜势</w:t>
            </w:r>
          </w:p>
        </w:tc>
        <w:tc>
          <w:tcPr>
            <w:tcW w:w="1757" w:type="dxa"/>
            <w:tcBorders>
              <w:left w:val="single" w:sz="6" w:space="0" w:color="000000"/>
              <w:bottom w:val="single" w:sz="6" w:space="0" w:color="000000"/>
              <w:right w:val="single" w:sz="6" w:space="0" w:color="000000"/>
            </w:tcBorders>
          </w:tcPr>
          <w:p>
            <w:pPr>
              <w:pStyle w:val="TableParagraph"/>
              <w:spacing w:before="43"/>
              <w:ind w:left="126" w:right="97"/>
              <w:rPr>
                <w:b/>
                <w:sz w:val="21"/>
              </w:rPr>
            </w:pPr>
            <w:r>
              <w:rPr>
                <w:rFonts w:ascii="宋体" w:hAnsi="宋体" w:eastAsia="宋体" w:hint="eastAsia"/>
                <w:b/>
                <w:sz w:val="21"/>
              </w:rPr>
              <w:t>Ⅳ、Ⅳ</w:t>
            </w:r>
            <w:r>
              <w:rPr>
                <w:b/>
                <w:sz w:val="21"/>
              </w:rPr>
              <w:t>+</w:t>
            </w:r>
          </w:p>
        </w:tc>
        <w:tc>
          <w:tcPr>
            <w:tcW w:w="1973" w:type="dxa"/>
            <w:tcBorders>
              <w:left w:val="single" w:sz="6" w:space="0" w:color="000000"/>
              <w:bottom w:val="single" w:sz="6" w:space="0" w:color="000000"/>
              <w:right w:val="single" w:sz="6" w:space="0" w:color="000000"/>
            </w:tcBorders>
          </w:tcPr>
          <w:p>
            <w:pPr>
              <w:pStyle w:val="TableParagraph"/>
              <w:spacing w:before="43"/>
              <w:ind w:left="29"/>
              <w:rPr>
                <w:rFonts w:ascii="宋体" w:hAnsi="宋体"/>
                <w:b/>
                <w:sz w:val="21"/>
              </w:rPr>
            </w:pPr>
            <w:r>
              <w:rPr>
                <w:rFonts w:ascii="宋体" w:hAnsi="宋体"/>
                <w:b/>
                <w:w w:val="100"/>
                <w:sz w:val="21"/>
              </w:rPr>
              <w:t>Ⅲ</w:t>
            </w:r>
          </w:p>
        </w:tc>
        <w:tc>
          <w:tcPr>
            <w:tcW w:w="2410" w:type="dxa"/>
            <w:tcBorders>
              <w:left w:val="single" w:sz="6" w:space="0" w:color="000000"/>
              <w:bottom w:val="single" w:sz="6" w:space="0" w:color="000000"/>
              <w:right w:val="single" w:sz="6" w:space="0" w:color="000000"/>
            </w:tcBorders>
          </w:tcPr>
          <w:p>
            <w:pPr>
              <w:pStyle w:val="TableParagraph"/>
              <w:spacing w:before="43"/>
              <w:ind w:left="29"/>
              <w:rPr>
                <w:rFonts w:ascii="宋体" w:hAnsi="宋体"/>
                <w:b/>
                <w:sz w:val="21"/>
              </w:rPr>
            </w:pPr>
            <w:r>
              <w:rPr>
                <w:rFonts w:ascii="宋体" w:hAnsi="宋体"/>
                <w:b/>
                <w:w w:val="100"/>
                <w:sz w:val="21"/>
              </w:rPr>
              <w:t>Ⅱ</w:t>
            </w:r>
          </w:p>
        </w:tc>
        <w:tc>
          <w:tcPr>
            <w:tcW w:w="1755" w:type="dxa"/>
            <w:tcBorders>
              <w:left w:val="single" w:sz="6" w:space="0" w:color="000000"/>
              <w:bottom w:val="single" w:sz="6" w:space="0" w:color="000000"/>
            </w:tcBorders>
          </w:tcPr>
          <w:p>
            <w:pPr>
              <w:pStyle w:val="TableParagraph"/>
              <w:spacing w:before="43"/>
              <w:ind w:left="34"/>
              <w:rPr>
                <w:rFonts w:ascii="宋体" w:hAnsi="宋体"/>
                <w:b/>
                <w:sz w:val="21"/>
              </w:rPr>
            </w:pPr>
            <w:r>
              <w:rPr>
                <w:rFonts w:ascii="宋体" w:hAnsi="宋体"/>
                <w:b/>
                <w:w w:val="100"/>
                <w:sz w:val="21"/>
              </w:rPr>
              <w:t>Ⅰ</w:t>
            </w:r>
          </w:p>
        </w:tc>
      </w:tr>
      <w:tr>
        <w:trPr>
          <w:trHeight w:val="357" w:hRule="atLeast"/>
        </w:trPr>
        <w:tc>
          <w:tcPr>
            <w:tcW w:w="1536" w:type="dxa"/>
            <w:tcBorders>
              <w:top w:val="single" w:sz="6" w:space="0" w:color="000000"/>
              <w:bottom w:val="single" w:sz="6" w:space="0" w:color="000000"/>
              <w:right w:val="single" w:sz="6" w:space="0" w:color="000000"/>
            </w:tcBorders>
          </w:tcPr>
          <w:p>
            <w:pPr>
              <w:pStyle w:val="TableParagraph"/>
              <w:spacing w:before="44"/>
              <w:ind w:left="136"/>
              <w:jc w:val="left"/>
              <w:rPr>
                <w:rFonts w:ascii="宋体" w:eastAsia="宋体" w:hint="eastAsia"/>
                <w:sz w:val="21"/>
              </w:rPr>
            </w:pPr>
            <w:r>
              <w:rPr>
                <w:rFonts w:ascii="宋体" w:eastAsia="宋体" w:hint="eastAsia"/>
                <w:sz w:val="21"/>
              </w:rPr>
              <w:t>评价工作等级</w:t>
            </w:r>
          </w:p>
        </w:tc>
        <w:tc>
          <w:tcPr>
            <w:tcW w:w="1757"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一</w:t>
            </w:r>
          </w:p>
        </w:tc>
        <w:tc>
          <w:tcPr>
            <w:tcW w:w="1973"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二</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三</w:t>
            </w:r>
          </w:p>
        </w:tc>
        <w:tc>
          <w:tcPr>
            <w:tcW w:w="1755" w:type="dxa"/>
            <w:tcBorders>
              <w:top w:val="single" w:sz="6" w:space="0" w:color="000000"/>
              <w:left w:val="single" w:sz="6" w:space="0" w:color="000000"/>
              <w:bottom w:val="single" w:sz="6" w:space="0" w:color="000000"/>
            </w:tcBorders>
          </w:tcPr>
          <w:p>
            <w:pPr>
              <w:pStyle w:val="TableParagraph"/>
              <w:spacing w:before="44"/>
              <w:ind w:left="392" w:right="355"/>
              <w:rPr>
                <w:sz w:val="21"/>
              </w:rPr>
            </w:pPr>
            <w:r>
              <w:rPr>
                <w:rFonts w:ascii="宋体" w:eastAsia="宋体" w:hint="eastAsia"/>
                <w:sz w:val="21"/>
              </w:rPr>
              <w:t>简单分析</w:t>
            </w:r>
            <w:r>
              <w:rPr>
                <w:sz w:val="21"/>
              </w:rPr>
              <w:t>*</w:t>
            </w:r>
          </w:p>
        </w:tc>
      </w:tr>
      <w:tr>
        <w:trPr>
          <w:trHeight w:val="719" w:hRule="atLeast"/>
        </w:trPr>
        <w:tc>
          <w:tcPr>
            <w:tcW w:w="9431" w:type="dxa"/>
            <w:gridSpan w:val="5"/>
            <w:tcBorders>
              <w:top w:val="single" w:sz="6" w:space="0" w:color="000000"/>
            </w:tcBorders>
          </w:tcPr>
          <w:p>
            <w:pPr>
              <w:pStyle w:val="TableParagraph"/>
              <w:spacing w:before="46"/>
              <w:ind w:left="107"/>
              <w:jc w:val="left"/>
              <w:rPr>
                <w:rFonts w:ascii="宋体" w:eastAsia="宋体" w:hint="eastAsia"/>
                <w:sz w:val="21"/>
              </w:rPr>
            </w:pPr>
            <w:r>
              <w:rPr>
                <w:sz w:val="21"/>
              </w:rPr>
              <w:t>*</w:t>
            </w:r>
            <w:r>
              <w:rPr>
                <w:rFonts w:ascii="宋体" w:eastAsia="宋体" w:hint="eastAsia"/>
                <w:sz w:val="21"/>
              </w:rPr>
              <w:t>是相对于详细评价工作内容而言，在描述危险物质、环境影响途径、环境危害后果、风险防范措施</w:t>
            </w:r>
          </w:p>
          <w:p>
            <w:pPr>
              <w:pStyle w:val="TableParagraph"/>
              <w:spacing w:before="89"/>
              <w:ind w:left="107"/>
              <w:jc w:val="left"/>
              <w:rPr>
                <w:rFonts w:ascii="宋体" w:eastAsia="宋体" w:hint="eastAsia"/>
                <w:sz w:val="21"/>
              </w:rPr>
            </w:pPr>
            <w:r>
              <w:rPr>
                <w:rFonts w:ascii="宋体" w:eastAsia="宋体" w:hint="eastAsia"/>
                <w:sz w:val="21"/>
              </w:rPr>
              <w:t>等方面给出定性的说明。</w:t>
            </w:r>
          </w:p>
        </w:tc>
      </w:tr>
    </w:tbl>
    <w:p>
      <w:pPr>
        <w:spacing w:before="82"/>
        <w:ind w:left="719" w:right="0" w:firstLine="0"/>
        <w:jc w:val="left"/>
        <w:rPr>
          <w:b/>
          <w:sz w:val="24"/>
        </w:rPr>
      </w:pPr>
      <w:r>
        <w:rPr>
          <w:rFonts w:ascii="Times New Roman" w:eastAsia="Times New Roman"/>
          <w:b/>
          <w:sz w:val="24"/>
        </w:rPr>
        <w:t>3</w:t>
      </w:r>
      <w:r>
        <w:rPr>
          <w:b/>
          <w:sz w:val="24"/>
        </w:rPr>
        <w:t>、环境风险识别</w:t>
      </w:r>
    </w:p>
    <w:p>
      <w:pPr>
        <w:pStyle w:val="BodyText"/>
        <w:spacing w:line="364" w:lineRule="auto" w:before="161"/>
        <w:ind w:right="83" w:firstLine="480"/>
      </w:pPr>
      <w:r>
        <w:rPr/>
        <w:t>本次事故风险评价不考虑工程外部事故风险因素（如地震、雷电等自然灾害及战争、人为蓄意破坏等），项目存在的潜在事故风险主要表现在以下几个方面：</w:t>
      </w:r>
    </w:p>
    <w:p>
      <w:pPr>
        <w:pStyle w:val="Heading3"/>
        <w:numPr>
          <w:ilvl w:val="0"/>
          <w:numId w:val="83"/>
        </w:numPr>
        <w:tabs>
          <w:tab w:pos="1323" w:val="left" w:leader="none"/>
        </w:tabs>
        <w:spacing w:line="240" w:lineRule="auto" w:before="1" w:after="0"/>
        <w:ind w:left="1323" w:right="0" w:hanging="604"/>
        <w:jc w:val="left"/>
      </w:pPr>
      <w:r>
        <w:rPr/>
        <w:t>大气污染事故风险</w:t>
      </w:r>
    </w:p>
    <w:p>
      <w:pPr>
        <w:pStyle w:val="BodyText"/>
        <w:spacing w:line="364" w:lineRule="auto" w:before="161"/>
        <w:ind w:right="249" w:firstLine="480"/>
        <w:jc w:val="both"/>
      </w:pPr>
      <w:r>
        <w:rPr/>
        <w:t>大气污染事故主要是物料（如饲料、猪粪、危化品等）在储运过程的泄漏以及废气处理装置事故性排放。本项目厂外运输主要为汽运，运输过程有发生交通事故的可能， 如撞车、侧翻等，一旦发生此类事故，包装易被撞破，从而导致物料泄漏及废气排放。另外，废气处理装置若发生非正常运转可能导致废气有组织或无组织排放量大幅增加， 进而对附近敏感点造成影响。沼气还可能存在泄漏爆炸的风险。</w:t>
      </w:r>
    </w:p>
    <w:p>
      <w:pPr>
        <w:pStyle w:val="Heading3"/>
        <w:numPr>
          <w:ilvl w:val="0"/>
          <w:numId w:val="83"/>
        </w:numPr>
        <w:tabs>
          <w:tab w:pos="1323" w:val="left" w:leader="none"/>
        </w:tabs>
        <w:spacing w:line="240" w:lineRule="auto" w:before="3" w:after="0"/>
        <w:ind w:left="1323" w:right="0" w:hanging="604"/>
        <w:jc w:val="left"/>
      </w:pPr>
      <w:r>
        <w:rPr/>
        <w:t>水污染事故风险</w:t>
      </w:r>
    </w:p>
    <w:p>
      <w:pPr>
        <w:pStyle w:val="BodyText"/>
        <w:spacing w:before="160"/>
        <w:ind w:left="717"/>
      </w:pPr>
      <w:r>
        <w:rPr/>
        <w:t>物料在运输过程、厂区储存过程如发生泄漏，则泄漏物料有可能进入清下水系统，</w:t>
      </w:r>
    </w:p>
    <w:p>
      <w:pPr>
        <w:spacing w:after="0"/>
        <w:sectPr>
          <w:pgSz w:w="11910" w:h="16840"/>
          <w:pgMar w:header="874" w:footer="1004" w:top="1420" w:bottom="1200" w:left="1040" w:right="1160"/>
        </w:sectPr>
      </w:pPr>
    </w:p>
    <w:p>
      <w:pPr>
        <w:pStyle w:val="BodyText"/>
        <w:spacing w:line="364" w:lineRule="auto" w:before="92"/>
        <w:ind w:right="249"/>
        <w:jc w:val="both"/>
      </w:pPr>
      <w:r>
        <w:rPr/>
        <w:t>进而污染周边地表水体、地下水。废水泄露管线破损可能引发地下水污染；废水站处理效率下降，出水未达纳管标准即排放，可能会对绍兴市污水厂运行工况造成影响，进而影响其出水水质。</w:t>
      </w:r>
    </w:p>
    <w:p>
      <w:pPr>
        <w:pStyle w:val="Heading3"/>
        <w:spacing w:before="2"/>
      </w:pPr>
      <w:r>
        <w:rPr>
          <w:rFonts w:ascii="Times New Roman" w:eastAsia="Times New Roman"/>
        </w:rPr>
        <w:t>4</w:t>
      </w:r>
      <w:r>
        <w:rPr/>
        <w:t>、环境风险分析</w:t>
      </w:r>
    </w:p>
    <w:p>
      <w:pPr>
        <w:pStyle w:val="BodyText"/>
        <w:spacing w:line="364" w:lineRule="auto" w:before="160"/>
        <w:ind w:right="251" w:firstLine="480"/>
      </w:pPr>
      <w:r>
        <w:rPr/>
        <w:t>类比同类型生产企业的事故发生类型，该类企业中的事故最常见的为物料泄漏及废水、废气的事故排放，另外还有畜禽疾病的风险不可忽视。</w:t>
      </w:r>
    </w:p>
    <w:p>
      <w:pPr>
        <w:pStyle w:val="Heading3"/>
        <w:numPr>
          <w:ilvl w:val="0"/>
          <w:numId w:val="84"/>
        </w:numPr>
        <w:tabs>
          <w:tab w:pos="1323" w:val="left" w:leader="none"/>
        </w:tabs>
        <w:spacing w:line="240" w:lineRule="auto" w:before="1" w:after="0"/>
        <w:ind w:left="1323" w:right="0" w:hanging="604"/>
        <w:jc w:val="left"/>
      </w:pPr>
      <w:r>
        <w:rPr/>
        <w:t>物料泄露风险事故</w:t>
      </w:r>
    </w:p>
    <w:p>
      <w:pPr>
        <w:pStyle w:val="BodyText"/>
        <w:spacing w:line="364" w:lineRule="auto" w:before="161"/>
        <w:ind w:right="254" w:firstLine="480"/>
      </w:pPr>
      <w:r>
        <w:rPr/>
        <w:t>如前所述，各类危化品在储存、运输过程中泄露可能有一定的环境风险。但此类泄露事故一般规模较小，泄漏后通常能够及时处置，不会引发较大风险。</w:t>
      </w:r>
    </w:p>
    <w:p>
      <w:pPr>
        <w:pStyle w:val="Heading3"/>
        <w:numPr>
          <w:ilvl w:val="0"/>
          <w:numId w:val="84"/>
        </w:numPr>
        <w:tabs>
          <w:tab w:pos="1323" w:val="left" w:leader="none"/>
        </w:tabs>
        <w:spacing w:line="240" w:lineRule="auto" w:before="1" w:after="0"/>
        <w:ind w:left="1323" w:right="0" w:hanging="604"/>
        <w:jc w:val="left"/>
      </w:pPr>
      <w:r>
        <w:rPr/>
        <w:t>废气事故性排放</w:t>
      </w:r>
    </w:p>
    <w:p>
      <w:pPr>
        <w:pStyle w:val="ListParagraph"/>
        <w:numPr>
          <w:ilvl w:val="0"/>
          <w:numId w:val="85"/>
        </w:numPr>
        <w:tabs>
          <w:tab w:pos="1079" w:val="left" w:leader="none"/>
        </w:tabs>
        <w:spacing w:line="240" w:lineRule="auto" w:before="161" w:after="0"/>
        <w:ind w:left="1078" w:right="0" w:hanging="362"/>
        <w:jc w:val="left"/>
        <w:rPr>
          <w:sz w:val="24"/>
        </w:rPr>
      </w:pPr>
      <w:r>
        <w:rPr>
          <w:sz w:val="24"/>
        </w:rPr>
        <w:t>臭气</w:t>
      </w:r>
    </w:p>
    <w:p>
      <w:pPr>
        <w:pStyle w:val="BodyText"/>
        <w:spacing w:line="364" w:lineRule="auto" w:before="160"/>
        <w:ind w:right="249" w:firstLine="480"/>
        <w:jc w:val="both"/>
      </w:pPr>
      <w:r>
        <w:rPr/>
        <w:t>本项目废气主要是猪舍臭气及发酵罐、粪污处理区臭气。其中，前者通过及时清理猪粪（日产日清）、日常喷洒消毒剂、除臭剂，加强车间通风、喷淋除臭等措施能有效控制臭气排放源强；若发生风机失效或除臭装置失效的情况，臭气排放量会显著增加， 会导致区域最大地面落地浓度大幅增加甚至超标。后者主要通过配套的除臭装置处理， 若除臭装置处理效率降低，也可能导致废气排放量增加。根据预测，本项目非正常工况下（主要指各类除臭系统失效时）氨、硫化氢对周围环境的影响较大，最大地面落地浓度存在超标风险，因此企业须加强管理，确保除臭系统的正常运行。</w:t>
      </w:r>
    </w:p>
    <w:p>
      <w:pPr>
        <w:pStyle w:val="ListParagraph"/>
        <w:numPr>
          <w:ilvl w:val="0"/>
          <w:numId w:val="85"/>
        </w:numPr>
        <w:tabs>
          <w:tab w:pos="1079" w:val="left" w:leader="none"/>
        </w:tabs>
        <w:spacing w:line="240" w:lineRule="auto" w:before="5" w:after="0"/>
        <w:ind w:left="1078" w:right="0" w:hanging="362"/>
        <w:jc w:val="left"/>
        <w:rPr>
          <w:sz w:val="24"/>
        </w:rPr>
      </w:pPr>
      <w:r>
        <w:rPr>
          <w:sz w:val="24"/>
        </w:rPr>
        <w:t>沼气</w:t>
      </w:r>
    </w:p>
    <w:p>
      <w:pPr>
        <w:pStyle w:val="BodyText"/>
        <w:spacing w:line="364" w:lineRule="auto" w:before="157"/>
        <w:ind w:right="249" w:firstLine="480"/>
        <w:jc w:val="both"/>
        <w:rPr>
          <w:rFonts w:ascii="Times New Roman" w:eastAsia="Times New Roman"/>
        </w:rPr>
      </w:pPr>
      <w:r>
        <w:rPr>
          <w:spacing w:val="-9"/>
          <w:position w:val="2"/>
        </w:rPr>
        <w:t>沼气是一种无色、有特殊气味的可以燃烧的混合气体。其主要成分是 </w:t>
      </w:r>
      <w:r>
        <w:rPr>
          <w:rFonts w:ascii="Times New Roman" w:eastAsia="Times New Roman"/>
          <w:position w:val="2"/>
        </w:rPr>
        <w:t>CH</w:t>
      </w:r>
      <w:r>
        <w:rPr>
          <w:rFonts w:ascii="Times New Roman" w:eastAsia="Times New Roman"/>
          <w:sz w:val="16"/>
        </w:rPr>
        <w:t>4</w:t>
      </w:r>
      <w:r>
        <w:rPr>
          <w:spacing w:val="-39"/>
          <w:position w:val="2"/>
        </w:rPr>
        <w:t>、</w:t>
      </w:r>
      <w:r>
        <w:rPr>
          <w:rFonts w:ascii="Times New Roman" w:eastAsia="Times New Roman"/>
          <w:position w:val="2"/>
        </w:rPr>
        <w:t>CO</w:t>
      </w:r>
      <w:r>
        <w:rPr>
          <w:rFonts w:ascii="Times New Roman" w:eastAsia="Times New Roman"/>
          <w:sz w:val="16"/>
        </w:rPr>
        <w:t>2 </w:t>
      </w:r>
      <w:r>
        <w:rPr>
          <w:spacing w:val="-7"/>
          <w:position w:val="2"/>
        </w:rPr>
        <w:t>和少</w:t>
      </w:r>
      <w:r>
        <w:rPr>
          <w:spacing w:val="-20"/>
          <w:position w:val="2"/>
        </w:rPr>
        <w:t>量的 </w:t>
      </w:r>
      <w:r>
        <w:rPr>
          <w:rFonts w:ascii="Times New Roman" w:eastAsia="Times New Roman"/>
          <w:position w:val="2"/>
        </w:rPr>
        <w:t>H</w:t>
      </w:r>
      <w:r>
        <w:rPr>
          <w:rFonts w:ascii="Times New Roman" w:eastAsia="Times New Roman"/>
          <w:sz w:val="16"/>
        </w:rPr>
        <w:t>2</w:t>
      </w:r>
      <w:r>
        <w:rPr>
          <w:rFonts w:ascii="Times New Roman" w:eastAsia="Times New Roman"/>
          <w:position w:val="2"/>
        </w:rPr>
        <w:t>S</w:t>
      </w:r>
      <w:r>
        <w:rPr>
          <w:spacing w:val="-12"/>
          <w:position w:val="2"/>
        </w:rPr>
        <w:t>、</w:t>
      </w:r>
      <w:r>
        <w:rPr>
          <w:rFonts w:ascii="Times New Roman" w:eastAsia="Times New Roman"/>
          <w:position w:val="2"/>
        </w:rPr>
        <w:t>H</w:t>
      </w:r>
      <w:r>
        <w:rPr>
          <w:rFonts w:ascii="Times New Roman" w:eastAsia="Times New Roman"/>
          <w:sz w:val="16"/>
        </w:rPr>
        <w:t>2</w:t>
      </w:r>
      <w:r>
        <w:rPr>
          <w:spacing w:val="-15"/>
          <w:position w:val="2"/>
        </w:rPr>
        <w:t>、</w:t>
      </w:r>
      <w:r>
        <w:rPr>
          <w:rFonts w:ascii="Times New Roman" w:eastAsia="Times New Roman"/>
          <w:position w:val="2"/>
        </w:rPr>
        <w:t>CO</w:t>
      </w:r>
      <w:r>
        <w:rPr>
          <w:spacing w:val="-12"/>
          <w:position w:val="2"/>
        </w:rPr>
        <w:t>、</w:t>
      </w:r>
      <w:r>
        <w:rPr>
          <w:rFonts w:ascii="Times New Roman" w:eastAsia="Times New Roman"/>
          <w:position w:val="2"/>
        </w:rPr>
        <w:t>N</w:t>
      </w:r>
      <w:r>
        <w:rPr>
          <w:rFonts w:ascii="Times New Roman" w:eastAsia="Times New Roman"/>
          <w:sz w:val="16"/>
        </w:rPr>
        <w:t>2 </w:t>
      </w:r>
      <w:r>
        <w:rPr>
          <w:spacing w:val="-9"/>
          <w:position w:val="2"/>
        </w:rPr>
        <w:t>等气体。其中甲烷约占 </w:t>
      </w:r>
      <w:r>
        <w:rPr>
          <w:rFonts w:ascii="Times New Roman" w:eastAsia="Times New Roman"/>
          <w:position w:val="2"/>
        </w:rPr>
        <w:t>55%</w:t>
      </w:r>
      <w:r>
        <w:rPr>
          <w:spacing w:val="-9"/>
          <w:position w:val="2"/>
        </w:rPr>
        <w:t>左右、二氧化碳约占 </w:t>
      </w:r>
      <w:r>
        <w:rPr>
          <w:rFonts w:ascii="Times New Roman" w:eastAsia="Times New Roman"/>
          <w:spacing w:val="-4"/>
          <w:position w:val="2"/>
        </w:rPr>
        <w:t>40%</w:t>
      </w:r>
      <w:r>
        <w:rPr>
          <w:spacing w:val="-2"/>
          <w:position w:val="2"/>
        </w:rPr>
        <w:t>，其它成分</w:t>
      </w:r>
      <w:r>
        <w:rPr>
          <w:spacing w:val="-8"/>
          <w:position w:val="2"/>
        </w:rPr>
        <w:t>含量极少，其中 </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22"/>
          <w:position w:val="2"/>
        </w:rPr>
        <w:t>占 </w:t>
      </w:r>
      <w:r>
        <w:rPr>
          <w:rFonts w:ascii="Times New Roman" w:eastAsia="Times New Roman"/>
          <w:position w:val="2"/>
        </w:rPr>
        <w:t>2%</w:t>
      </w:r>
      <w:r>
        <w:rPr>
          <w:spacing w:val="-6"/>
          <w:position w:val="2"/>
        </w:rPr>
        <w:t>左右。沼气热值 </w:t>
      </w:r>
      <w:r>
        <w:rPr>
          <w:rFonts w:ascii="Times New Roman" w:eastAsia="Times New Roman"/>
          <w:position w:val="2"/>
        </w:rPr>
        <w:t>23MJ/m</w:t>
      </w:r>
      <w:r>
        <w:rPr>
          <w:rFonts w:ascii="Times New Roman" w:eastAsia="Times New Roman"/>
          <w:position w:val="11"/>
          <w:sz w:val="16"/>
        </w:rPr>
        <w:t>3</w:t>
      </w:r>
      <w:r>
        <w:rPr>
          <w:spacing w:val="-13"/>
          <w:position w:val="2"/>
        </w:rPr>
        <w:t>，密度 </w:t>
      </w:r>
      <w:r>
        <w:rPr>
          <w:rFonts w:ascii="Times New Roman" w:eastAsia="Times New Roman"/>
          <w:position w:val="2"/>
        </w:rPr>
        <w:t>1.22g/L</w:t>
      </w:r>
      <w:r>
        <w:rPr>
          <w:position w:val="2"/>
        </w:rPr>
        <w:t>（标态）</w:t>
      </w:r>
      <w:r>
        <w:rPr>
          <w:spacing w:val="-11"/>
          <w:position w:val="2"/>
        </w:rPr>
        <w:t>。比重 </w:t>
      </w:r>
      <w:r>
        <w:rPr>
          <w:rFonts w:ascii="Times New Roman" w:eastAsia="Times New Roman"/>
          <w:position w:val="2"/>
        </w:rPr>
        <w:t>0.94</w:t>
      </w:r>
    </w:p>
    <w:p>
      <w:pPr>
        <w:pStyle w:val="BodyText"/>
        <w:spacing w:line="364" w:lineRule="auto" w:before="5"/>
        <w:ind w:right="250"/>
        <w:jc w:val="both"/>
      </w:pPr>
      <w:r>
        <w:rPr>
          <w:spacing w:val="21"/>
        </w:rPr>
        <w:t>（空气</w:t>
      </w:r>
      <w:r>
        <w:rPr>
          <w:rFonts w:ascii="Times New Roman" w:hAnsi="Times New Roman" w:eastAsia="Times New Roman"/>
          <w:position w:val="1"/>
        </w:rPr>
        <w:t>=1</w:t>
      </w:r>
      <w:r>
        <w:rPr>
          <w:rFonts w:ascii="Times New Roman" w:hAnsi="Times New Roman" w:eastAsia="Times New Roman"/>
          <w:spacing w:val="-40"/>
          <w:position w:val="1"/>
        </w:rPr>
        <w:t> </w:t>
      </w:r>
      <w:r>
        <w:rPr>
          <w:spacing w:val="10"/>
        </w:rPr>
        <w:t>）</w:t>
      </w:r>
      <w:r>
        <w:rPr>
          <w:spacing w:val="-2"/>
        </w:rPr>
        <w:t>， 临界温度</w:t>
      </w:r>
      <w:r>
        <w:rPr>
          <w:rFonts w:ascii="Times New Roman" w:hAnsi="Times New Roman" w:eastAsia="Times New Roman"/>
          <w:position w:val="1"/>
        </w:rPr>
        <w:t>-25.7~-48.42</w:t>
      </w:r>
      <w:r>
        <w:rPr>
          <w:rFonts w:ascii="Times New Roman" w:hAnsi="Times New Roman" w:eastAsia="Times New Roman"/>
          <w:spacing w:val="-39"/>
          <w:position w:val="1"/>
        </w:rPr>
        <w:t> </w:t>
      </w:r>
      <w:r>
        <w:rPr>
          <w:spacing w:val="-1"/>
        </w:rPr>
        <w:t>℃， 临界压力</w:t>
      </w:r>
      <w:r>
        <w:rPr/>
        <w:t>（</w:t>
      </w:r>
      <w:r>
        <w:rPr>
          <w:spacing w:val="-97"/>
        </w:rPr>
        <w:t> </w:t>
      </w:r>
      <w:r>
        <w:rPr>
          <w:rFonts w:ascii="Times New Roman" w:hAnsi="Times New Roman" w:eastAsia="Times New Roman"/>
          <w:spacing w:val="3"/>
          <w:position w:val="1"/>
        </w:rPr>
        <w:t>59.35~53.93</w:t>
      </w:r>
      <w:r>
        <w:rPr>
          <w:spacing w:val="3"/>
        </w:rPr>
        <w:t>）</w:t>
      </w:r>
      <w:r>
        <w:rPr>
          <w:rFonts w:ascii="Times New Roman" w:hAnsi="Times New Roman" w:eastAsia="Times New Roman"/>
          <w:spacing w:val="3"/>
          <w:position w:val="1"/>
        </w:rPr>
        <w:t>×10</w:t>
      </w:r>
      <w:r>
        <w:rPr>
          <w:rFonts w:ascii="Times New Roman" w:hAnsi="Times New Roman" w:eastAsia="Times New Roman"/>
          <w:spacing w:val="3"/>
          <w:position w:val="1"/>
          <w:vertAlign w:val="superscript"/>
        </w:rPr>
        <w:t>5</w:t>
      </w:r>
      <w:r>
        <w:rPr>
          <w:rFonts w:ascii="Times New Roman" w:hAnsi="Times New Roman" w:eastAsia="Times New Roman"/>
          <w:spacing w:val="3"/>
          <w:position w:val="1"/>
          <w:vertAlign w:val="baseline"/>
        </w:rPr>
        <w:t>Pa</w:t>
      </w:r>
      <w:r>
        <w:rPr>
          <w:spacing w:val="-7"/>
          <w:vertAlign w:val="baseline"/>
        </w:rPr>
        <w:t>， 爆炸范围</w:t>
      </w:r>
      <w:r>
        <w:rPr>
          <w:rFonts w:ascii="Times New Roman" w:hAnsi="Times New Roman" w:eastAsia="Times New Roman"/>
          <w:spacing w:val="-7"/>
          <w:position w:val="2"/>
          <w:vertAlign w:val="baseline"/>
        </w:rPr>
        <w:t>8.80~24.4%</w:t>
      </w:r>
      <w:r>
        <w:rPr>
          <w:spacing w:val="-8"/>
          <w:position w:val="2"/>
          <w:vertAlign w:val="baseline"/>
        </w:rPr>
        <w:t>。由于它常含有微量的 </w:t>
      </w:r>
      <w:r>
        <w:rPr>
          <w:rFonts w:ascii="Times New Roman" w:hAnsi="Times New Roman" w:eastAsia="Times New Roman"/>
          <w:position w:val="2"/>
          <w:vertAlign w:val="baseline"/>
        </w:rPr>
        <w:t>H</w:t>
      </w:r>
      <w:r>
        <w:rPr>
          <w:rFonts w:ascii="Times New Roman" w:hAnsi="Times New Roman" w:eastAsia="Times New Roman"/>
          <w:sz w:val="16"/>
          <w:vertAlign w:val="baseline"/>
        </w:rPr>
        <w:t>2</w:t>
      </w:r>
      <w:r>
        <w:rPr>
          <w:rFonts w:ascii="Times New Roman" w:hAnsi="Times New Roman" w:eastAsia="Times New Roman"/>
          <w:position w:val="2"/>
          <w:vertAlign w:val="baseline"/>
        </w:rPr>
        <w:t>S</w:t>
      </w:r>
      <w:r>
        <w:rPr>
          <w:rFonts w:ascii="Times New Roman" w:hAnsi="Times New Roman" w:eastAsia="Times New Roman"/>
          <w:spacing w:val="48"/>
          <w:position w:val="2"/>
          <w:vertAlign w:val="baseline"/>
        </w:rPr>
        <w:t> </w:t>
      </w:r>
      <w:r>
        <w:rPr>
          <w:spacing w:val="-1"/>
          <w:position w:val="2"/>
          <w:vertAlign w:val="baseline"/>
        </w:rPr>
        <w:t>气体，所以脱硫前有轻微的臭鸡蛋味，燃烧后， </w:t>
      </w:r>
      <w:r>
        <w:rPr>
          <w:vertAlign w:val="baseline"/>
        </w:rPr>
        <w:t>臭鸡蛋味消除。</w:t>
      </w:r>
    </w:p>
    <w:p>
      <w:pPr>
        <w:spacing w:line="367" w:lineRule="auto" w:before="0"/>
        <w:ind w:left="3237" w:right="131" w:hanging="2521"/>
        <w:jc w:val="both"/>
        <w:rPr>
          <w:b/>
          <w:sz w:val="24"/>
        </w:rPr>
      </w:pPr>
      <w:r>
        <w:rPr/>
        <w:pict>
          <v:shape style="position:absolute;margin-left:57.743999pt;margin-top:42.879993pt;width:473.75pt;height:57.5pt;mso-position-horizontal-relative:page;mso-position-vertical-relative:paragraph;z-index:25188659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2"/>
                    <w:gridCol w:w="852"/>
                    <w:gridCol w:w="853"/>
                    <w:gridCol w:w="1275"/>
                    <w:gridCol w:w="5781"/>
                  </w:tblGrid>
                  <w:tr>
                    <w:trPr>
                      <w:trHeight w:val="359" w:hRule="atLeast"/>
                    </w:trPr>
                    <w:tc>
                      <w:tcPr>
                        <w:tcW w:w="672" w:type="dxa"/>
                        <w:tcBorders>
                          <w:bottom w:val="single" w:sz="6" w:space="0" w:color="000000"/>
                          <w:right w:val="single" w:sz="6" w:space="0" w:color="000000"/>
                        </w:tcBorders>
                      </w:tcPr>
                      <w:p>
                        <w:pPr>
                          <w:pStyle w:val="TableParagraph"/>
                          <w:spacing w:before="46"/>
                          <w:ind w:left="104" w:right="83"/>
                          <w:rPr>
                            <w:rFonts w:ascii="宋体" w:eastAsia="宋体" w:hint="eastAsia"/>
                            <w:b/>
                            <w:sz w:val="21"/>
                          </w:rPr>
                        </w:pPr>
                        <w:r>
                          <w:rPr>
                            <w:rFonts w:ascii="宋体" w:eastAsia="宋体" w:hint="eastAsia"/>
                            <w:b/>
                            <w:sz w:val="21"/>
                          </w:rPr>
                          <w:t>序号</w:t>
                        </w:r>
                      </w:p>
                    </w:tc>
                    <w:tc>
                      <w:tcPr>
                        <w:tcW w:w="852" w:type="dxa"/>
                        <w:tcBorders>
                          <w:left w:val="single" w:sz="6" w:space="0" w:color="000000"/>
                          <w:bottom w:val="single" w:sz="6" w:space="0" w:color="000000"/>
                          <w:right w:val="single" w:sz="6" w:space="0" w:color="000000"/>
                        </w:tcBorders>
                      </w:tcPr>
                      <w:p>
                        <w:pPr>
                          <w:pStyle w:val="TableParagraph"/>
                          <w:spacing w:before="46"/>
                          <w:ind w:left="94" w:right="68"/>
                          <w:rPr>
                            <w:rFonts w:ascii="宋体" w:eastAsia="宋体" w:hint="eastAsia"/>
                            <w:b/>
                            <w:sz w:val="21"/>
                          </w:rPr>
                        </w:pPr>
                        <w:r>
                          <w:rPr>
                            <w:rFonts w:ascii="宋体" w:eastAsia="宋体" w:hint="eastAsia"/>
                            <w:b/>
                            <w:sz w:val="21"/>
                          </w:rPr>
                          <w:t>名称</w:t>
                        </w:r>
                      </w:p>
                    </w:tc>
                    <w:tc>
                      <w:tcPr>
                        <w:tcW w:w="853" w:type="dxa"/>
                        <w:tcBorders>
                          <w:left w:val="single" w:sz="6" w:space="0" w:color="000000"/>
                          <w:bottom w:val="single" w:sz="6" w:space="0" w:color="000000"/>
                          <w:right w:val="single" w:sz="6" w:space="0" w:color="000000"/>
                        </w:tcBorders>
                      </w:tcPr>
                      <w:p>
                        <w:pPr>
                          <w:pStyle w:val="TableParagraph"/>
                          <w:spacing w:before="46"/>
                          <w:ind w:left="95" w:right="70"/>
                          <w:rPr>
                            <w:rFonts w:ascii="宋体" w:eastAsia="宋体" w:hint="eastAsia"/>
                            <w:b/>
                            <w:sz w:val="21"/>
                          </w:rPr>
                        </w:pPr>
                        <w:r>
                          <w:rPr>
                            <w:rFonts w:ascii="宋体" w:eastAsia="宋体" w:hint="eastAsia"/>
                            <w:b/>
                            <w:sz w:val="21"/>
                          </w:rPr>
                          <w:t>分子式</w:t>
                        </w:r>
                      </w:p>
                    </w:tc>
                    <w:tc>
                      <w:tcPr>
                        <w:tcW w:w="1275" w:type="dxa"/>
                        <w:tcBorders>
                          <w:left w:val="single" w:sz="6" w:space="0" w:color="000000"/>
                          <w:bottom w:val="single" w:sz="6" w:space="0" w:color="000000"/>
                          <w:right w:val="single" w:sz="6" w:space="0" w:color="000000"/>
                        </w:tcBorders>
                      </w:tcPr>
                      <w:p>
                        <w:pPr>
                          <w:pStyle w:val="TableParagraph"/>
                          <w:spacing w:before="46"/>
                          <w:ind w:left="116"/>
                          <w:jc w:val="left"/>
                          <w:rPr>
                            <w:rFonts w:ascii="宋体" w:eastAsia="宋体" w:hint="eastAsia"/>
                            <w:b/>
                            <w:sz w:val="21"/>
                          </w:rPr>
                        </w:pPr>
                        <w:r>
                          <w:rPr>
                            <w:rFonts w:ascii="宋体" w:eastAsia="宋体" w:hint="eastAsia"/>
                            <w:b/>
                            <w:sz w:val="21"/>
                          </w:rPr>
                          <w:t>危险性分类</w:t>
                        </w:r>
                      </w:p>
                    </w:tc>
                    <w:tc>
                      <w:tcPr>
                        <w:tcW w:w="5781" w:type="dxa"/>
                        <w:tcBorders>
                          <w:left w:val="single" w:sz="6" w:space="0" w:color="000000"/>
                          <w:bottom w:val="single" w:sz="6" w:space="0" w:color="000000"/>
                        </w:tcBorders>
                      </w:tcPr>
                      <w:p>
                        <w:pPr>
                          <w:pStyle w:val="TableParagraph"/>
                          <w:spacing w:before="46"/>
                          <w:ind w:left="2454" w:right="2421"/>
                          <w:rPr>
                            <w:rFonts w:ascii="宋体" w:eastAsia="宋体" w:hint="eastAsia"/>
                            <w:b/>
                            <w:sz w:val="21"/>
                          </w:rPr>
                        </w:pPr>
                        <w:r>
                          <w:rPr>
                            <w:rFonts w:ascii="宋体" w:eastAsia="宋体" w:hint="eastAsia"/>
                            <w:b/>
                            <w:sz w:val="21"/>
                          </w:rPr>
                          <w:t>危险特性</w:t>
                        </w:r>
                      </w:p>
                    </w:tc>
                  </w:tr>
                  <w:tr>
                    <w:trPr>
                      <w:trHeight w:val="716" w:hRule="atLeast"/>
                    </w:trPr>
                    <w:tc>
                      <w:tcPr>
                        <w:tcW w:w="672" w:type="dxa"/>
                        <w:tcBorders>
                          <w:top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1"/>
                          <w:rPr>
                            <w:sz w:val="21"/>
                          </w:rPr>
                        </w:pPr>
                        <w:r>
                          <w:rPr>
                            <w:w w:val="100"/>
                            <w:sz w:val="21"/>
                          </w:rPr>
                          <w:t>1</w:t>
                        </w:r>
                      </w:p>
                    </w:tc>
                    <w:tc>
                      <w:tcPr>
                        <w:tcW w:w="852" w:type="dxa"/>
                        <w:tcBorders>
                          <w:top w:val="single" w:sz="6" w:space="0" w:color="000000"/>
                          <w:left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99" w:right="68"/>
                          <w:rPr>
                            <w:rFonts w:ascii="宋体" w:eastAsia="宋体" w:hint="eastAsia"/>
                            <w:sz w:val="21"/>
                          </w:rPr>
                        </w:pPr>
                        <w:r>
                          <w:rPr>
                            <w:rFonts w:ascii="宋体" w:eastAsia="宋体" w:hint="eastAsia"/>
                            <w:sz w:val="21"/>
                          </w:rPr>
                          <w:t>硫化氢</w:t>
                        </w:r>
                      </w:p>
                    </w:tc>
                    <w:tc>
                      <w:tcPr>
                        <w:tcW w:w="853" w:type="dxa"/>
                        <w:tcBorders>
                          <w:top w:val="single" w:sz="6" w:space="0" w:color="000000"/>
                          <w:left w:val="single" w:sz="6" w:space="0" w:color="000000"/>
                          <w:right w:val="single" w:sz="6" w:space="0" w:color="000000"/>
                        </w:tcBorders>
                      </w:tcPr>
                      <w:p>
                        <w:pPr>
                          <w:pStyle w:val="TableParagraph"/>
                          <w:spacing w:before="6"/>
                          <w:jc w:val="left"/>
                          <w:rPr>
                            <w:rFonts w:ascii="宋体"/>
                            <w:b/>
                            <w:sz w:val="18"/>
                          </w:rPr>
                        </w:pPr>
                      </w:p>
                      <w:p>
                        <w:pPr>
                          <w:pStyle w:val="TableParagraph"/>
                          <w:spacing w:before="0"/>
                          <w:ind w:left="95" w:right="66"/>
                          <w:rPr>
                            <w:sz w:val="21"/>
                          </w:rPr>
                        </w:pPr>
                        <w:r>
                          <w:rPr>
                            <w:position w:val="2"/>
                            <w:sz w:val="21"/>
                          </w:rPr>
                          <w:t>H</w:t>
                        </w:r>
                        <w:r>
                          <w:rPr>
                            <w:sz w:val="14"/>
                          </w:rPr>
                          <w:t>2</w:t>
                        </w:r>
                        <w:r>
                          <w:rPr>
                            <w:position w:val="2"/>
                            <w:sz w:val="21"/>
                          </w:rPr>
                          <w:t>S</w:t>
                        </w:r>
                      </w:p>
                    </w:tc>
                    <w:tc>
                      <w:tcPr>
                        <w:tcW w:w="1275" w:type="dxa"/>
                        <w:tcBorders>
                          <w:top w:val="single" w:sz="6" w:space="0" w:color="000000"/>
                          <w:left w:val="single" w:sz="6" w:space="0" w:color="000000"/>
                          <w:right w:val="single" w:sz="6" w:space="0" w:color="000000"/>
                        </w:tcBorders>
                      </w:tcPr>
                      <w:p>
                        <w:pPr>
                          <w:pStyle w:val="TableParagraph"/>
                          <w:spacing w:before="46"/>
                          <w:ind w:left="222"/>
                          <w:jc w:val="left"/>
                          <w:rPr>
                            <w:rFonts w:ascii="宋体" w:eastAsia="宋体" w:hint="eastAsia"/>
                            <w:sz w:val="21"/>
                          </w:rPr>
                        </w:pPr>
                        <w:r>
                          <w:rPr>
                            <w:rFonts w:ascii="宋体" w:eastAsia="宋体" w:hint="eastAsia"/>
                            <w:spacing w:val="-1"/>
                            <w:sz w:val="21"/>
                          </w:rPr>
                          <w:t>易燃气体</w:t>
                        </w:r>
                      </w:p>
                      <w:p>
                        <w:pPr>
                          <w:pStyle w:val="TableParagraph"/>
                          <w:spacing w:before="91"/>
                          <w:ind w:left="222"/>
                          <w:jc w:val="left"/>
                          <w:rPr>
                            <w:rFonts w:ascii="宋体" w:eastAsia="宋体" w:hint="eastAsia"/>
                            <w:sz w:val="21"/>
                          </w:rPr>
                        </w:pPr>
                        <w:r>
                          <w:rPr>
                            <w:rFonts w:ascii="宋体" w:eastAsia="宋体" w:hint="eastAsia"/>
                            <w:sz w:val="21"/>
                          </w:rPr>
                          <w:t>（</w:t>
                        </w:r>
                        <w:r>
                          <w:rPr>
                            <w:rFonts w:ascii="宋体" w:eastAsia="宋体" w:hint="eastAsia"/>
                            <w:spacing w:val="-2"/>
                            <w:sz w:val="21"/>
                          </w:rPr>
                          <w:t>有毒</w:t>
                        </w:r>
                        <w:r>
                          <w:rPr>
                            <w:rFonts w:ascii="宋体" w:eastAsia="宋体" w:hint="eastAsia"/>
                            <w:sz w:val="21"/>
                          </w:rPr>
                          <w:t>）</w:t>
                        </w:r>
                      </w:p>
                    </w:tc>
                    <w:tc>
                      <w:tcPr>
                        <w:tcW w:w="5781" w:type="dxa"/>
                        <w:tcBorders>
                          <w:top w:val="single" w:sz="6" w:space="0" w:color="000000"/>
                          <w:left w:val="single" w:sz="6" w:space="0" w:color="000000"/>
                        </w:tcBorders>
                      </w:tcPr>
                      <w:p>
                        <w:pPr>
                          <w:pStyle w:val="TableParagraph"/>
                          <w:spacing w:before="46"/>
                          <w:ind w:left="113"/>
                          <w:jc w:val="left"/>
                          <w:rPr>
                            <w:rFonts w:ascii="宋体" w:eastAsia="宋体" w:hint="eastAsia"/>
                            <w:sz w:val="21"/>
                          </w:rPr>
                        </w:pPr>
                        <w:r>
                          <w:rPr>
                            <w:rFonts w:ascii="宋体" w:eastAsia="宋体" w:hint="eastAsia"/>
                            <w:sz w:val="21"/>
                          </w:rPr>
                          <w:t>具有臭鸡蛋气味，其毒作用的主要靶器是中枢神经系统，亦</w:t>
                        </w:r>
                      </w:p>
                      <w:p>
                        <w:pPr>
                          <w:pStyle w:val="TableParagraph"/>
                          <w:spacing w:before="91"/>
                          <w:ind w:left="113"/>
                          <w:jc w:val="left"/>
                          <w:rPr>
                            <w:rFonts w:ascii="宋体" w:eastAsia="宋体" w:hint="eastAsia"/>
                            <w:sz w:val="21"/>
                          </w:rPr>
                        </w:pPr>
                        <w:r>
                          <w:rPr>
                            <w:rFonts w:ascii="宋体" w:eastAsia="宋体" w:hint="eastAsia"/>
                            <w:sz w:val="21"/>
                          </w:rPr>
                          <w:t>可伴有心脏等多器官损害，对毒作用最敏感的组织是脑和粘</w:t>
                        </w:r>
                      </w:p>
                    </w:tc>
                  </w:tr>
                </w:tbl>
                <w:p>
                  <w:pPr>
                    <w:pStyle w:val="BodyText"/>
                    <w:ind w:left="0"/>
                  </w:pPr>
                </w:p>
              </w:txbxContent>
            </v:textbox>
            <w10:wrap type="none"/>
          </v:shape>
        </w:pict>
      </w:r>
      <w:r>
        <w:rPr>
          <w:spacing w:val="11"/>
          <w:position w:val="2"/>
          <w:sz w:val="24"/>
        </w:rPr>
        <w:t>沼气成分中</w:t>
      </w:r>
      <w:r>
        <w:rPr>
          <w:rFonts w:ascii="Times New Roman" w:eastAsia="Times New Roman"/>
          <w:position w:val="2"/>
          <w:sz w:val="24"/>
        </w:rPr>
        <w:t>H</w:t>
      </w:r>
      <w:r>
        <w:rPr>
          <w:rFonts w:ascii="Times New Roman" w:eastAsia="Times New Roman"/>
          <w:sz w:val="16"/>
        </w:rPr>
        <w:t>2</w:t>
      </w:r>
      <w:r>
        <w:rPr>
          <w:rFonts w:ascii="Times New Roman" w:eastAsia="Times New Roman"/>
          <w:position w:val="2"/>
          <w:sz w:val="24"/>
        </w:rPr>
        <w:t>S </w:t>
      </w:r>
      <w:r>
        <w:rPr>
          <w:spacing w:val="-19"/>
          <w:position w:val="2"/>
          <w:sz w:val="24"/>
        </w:rPr>
        <w:t>对人体有毒害作用，甲烷气体属于易燃气体，其危险特征见表 </w:t>
      </w:r>
      <w:r>
        <w:rPr>
          <w:rFonts w:ascii="Times New Roman" w:eastAsia="Times New Roman"/>
          <w:position w:val="2"/>
          <w:sz w:val="24"/>
        </w:rPr>
        <w:t>5.2-41</w:t>
      </w:r>
      <w:r>
        <w:rPr>
          <w:spacing w:val="-14"/>
          <w:position w:val="2"/>
          <w:sz w:val="24"/>
        </w:rPr>
        <w:t>。</w:t>
      </w:r>
      <w:r>
        <w:rPr>
          <w:b/>
          <w:spacing w:val="-30"/>
          <w:sz w:val="24"/>
        </w:rPr>
        <w:t>表 </w:t>
      </w:r>
      <w:r>
        <w:rPr>
          <w:rFonts w:ascii="Times New Roman" w:eastAsia="Times New Roman"/>
          <w:b/>
          <w:sz w:val="24"/>
        </w:rPr>
        <w:t>5.2-41  </w:t>
      </w:r>
      <w:r>
        <w:rPr>
          <w:b/>
          <w:sz w:val="24"/>
        </w:rPr>
        <w:t>沼气危险特性一览表</w:t>
      </w:r>
    </w:p>
    <w:p>
      <w:pPr>
        <w:spacing w:after="0" w:line="367" w:lineRule="auto"/>
        <w:jc w:val="both"/>
        <w:rPr>
          <w:sz w:val="24"/>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2"/>
        <w:gridCol w:w="852"/>
        <w:gridCol w:w="853"/>
        <w:gridCol w:w="1275"/>
        <w:gridCol w:w="5781"/>
      </w:tblGrid>
      <w:tr>
        <w:trPr>
          <w:trHeight w:val="359" w:hRule="atLeast"/>
        </w:trPr>
        <w:tc>
          <w:tcPr>
            <w:tcW w:w="672" w:type="dxa"/>
            <w:tcBorders>
              <w:bottom w:val="single" w:sz="6" w:space="0" w:color="000000"/>
              <w:right w:val="single" w:sz="6" w:space="0" w:color="000000"/>
            </w:tcBorders>
          </w:tcPr>
          <w:p>
            <w:pPr>
              <w:pStyle w:val="TableParagraph"/>
              <w:spacing w:before="49"/>
              <w:ind w:left="104" w:right="83"/>
              <w:rPr>
                <w:rFonts w:ascii="宋体" w:eastAsia="宋体" w:hint="eastAsia"/>
                <w:b/>
                <w:sz w:val="21"/>
              </w:rPr>
            </w:pPr>
            <w:r>
              <w:rPr>
                <w:rFonts w:ascii="宋体" w:eastAsia="宋体" w:hint="eastAsia"/>
                <w:b/>
                <w:sz w:val="21"/>
              </w:rPr>
              <w:t>序号</w:t>
            </w:r>
          </w:p>
        </w:tc>
        <w:tc>
          <w:tcPr>
            <w:tcW w:w="852" w:type="dxa"/>
            <w:tcBorders>
              <w:left w:val="single" w:sz="6" w:space="0" w:color="000000"/>
              <w:bottom w:val="single" w:sz="6" w:space="0" w:color="000000"/>
              <w:right w:val="single" w:sz="6" w:space="0" w:color="000000"/>
            </w:tcBorders>
          </w:tcPr>
          <w:p>
            <w:pPr>
              <w:pStyle w:val="TableParagraph"/>
              <w:spacing w:before="49"/>
              <w:ind w:left="94" w:right="68"/>
              <w:rPr>
                <w:rFonts w:ascii="宋体" w:eastAsia="宋体" w:hint="eastAsia"/>
                <w:b/>
                <w:sz w:val="21"/>
              </w:rPr>
            </w:pPr>
            <w:r>
              <w:rPr>
                <w:rFonts w:ascii="宋体" w:eastAsia="宋体" w:hint="eastAsia"/>
                <w:b/>
                <w:sz w:val="21"/>
              </w:rPr>
              <w:t>名称</w:t>
            </w:r>
          </w:p>
        </w:tc>
        <w:tc>
          <w:tcPr>
            <w:tcW w:w="853" w:type="dxa"/>
            <w:tcBorders>
              <w:left w:val="single" w:sz="6" w:space="0" w:color="000000"/>
              <w:bottom w:val="single" w:sz="6" w:space="0" w:color="000000"/>
              <w:right w:val="single" w:sz="6" w:space="0" w:color="000000"/>
            </w:tcBorders>
          </w:tcPr>
          <w:p>
            <w:pPr>
              <w:pStyle w:val="TableParagraph"/>
              <w:spacing w:before="49"/>
              <w:ind w:left="95" w:right="70"/>
              <w:rPr>
                <w:rFonts w:ascii="宋体" w:eastAsia="宋体" w:hint="eastAsia"/>
                <w:b/>
                <w:sz w:val="21"/>
              </w:rPr>
            </w:pPr>
            <w:r>
              <w:rPr>
                <w:rFonts w:ascii="宋体" w:eastAsia="宋体" w:hint="eastAsia"/>
                <w:b/>
                <w:sz w:val="21"/>
              </w:rPr>
              <w:t>分子式</w:t>
            </w:r>
          </w:p>
        </w:tc>
        <w:tc>
          <w:tcPr>
            <w:tcW w:w="1275" w:type="dxa"/>
            <w:tcBorders>
              <w:left w:val="single" w:sz="6" w:space="0" w:color="000000"/>
              <w:bottom w:val="single" w:sz="6" w:space="0" w:color="000000"/>
              <w:right w:val="single" w:sz="6" w:space="0" w:color="000000"/>
            </w:tcBorders>
          </w:tcPr>
          <w:p>
            <w:pPr>
              <w:pStyle w:val="TableParagraph"/>
              <w:spacing w:before="49"/>
              <w:ind w:left="45" w:right="16"/>
              <w:rPr>
                <w:rFonts w:ascii="宋体" w:eastAsia="宋体" w:hint="eastAsia"/>
                <w:b/>
                <w:sz w:val="21"/>
              </w:rPr>
            </w:pPr>
            <w:r>
              <w:rPr>
                <w:rFonts w:ascii="宋体" w:eastAsia="宋体" w:hint="eastAsia"/>
                <w:b/>
                <w:sz w:val="21"/>
              </w:rPr>
              <w:t>危险性分类</w:t>
            </w:r>
          </w:p>
        </w:tc>
        <w:tc>
          <w:tcPr>
            <w:tcW w:w="5781" w:type="dxa"/>
            <w:tcBorders>
              <w:left w:val="single" w:sz="6" w:space="0" w:color="000000"/>
              <w:bottom w:val="single" w:sz="6" w:space="0" w:color="000000"/>
            </w:tcBorders>
          </w:tcPr>
          <w:p>
            <w:pPr>
              <w:pStyle w:val="TableParagraph"/>
              <w:spacing w:before="49"/>
              <w:ind w:left="2454" w:right="2421"/>
              <w:rPr>
                <w:rFonts w:ascii="宋体" w:eastAsia="宋体" w:hint="eastAsia"/>
                <w:b/>
                <w:sz w:val="21"/>
              </w:rPr>
            </w:pPr>
            <w:r>
              <w:rPr>
                <w:rFonts w:ascii="宋体" w:eastAsia="宋体" w:hint="eastAsia"/>
                <w:b/>
                <w:sz w:val="21"/>
              </w:rPr>
              <w:t>危险特性</w:t>
            </w:r>
          </w:p>
        </w:tc>
      </w:tr>
      <w:tr>
        <w:trPr>
          <w:trHeight w:val="3229" w:hRule="atLeast"/>
        </w:trPr>
        <w:tc>
          <w:tcPr>
            <w:tcW w:w="672" w:type="dxa"/>
            <w:tcBorders>
              <w:top w:val="single" w:sz="6" w:space="0" w:color="000000"/>
              <w:bottom w:val="single" w:sz="6" w:space="0" w:color="000000"/>
              <w:right w:val="single" w:sz="6" w:space="0" w:color="000000"/>
            </w:tcBorders>
          </w:tcPr>
          <w:p>
            <w:pPr>
              <w:pStyle w:val="TableParagraph"/>
              <w:spacing w:before="0"/>
              <w:jc w:val="left"/>
              <w:rPr>
                <w:sz w:val="22"/>
              </w:rPr>
            </w:pPr>
          </w:p>
        </w:tc>
        <w:tc>
          <w:tcPr>
            <w:tcW w:w="852"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85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5781" w:type="dxa"/>
            <w:tcBorders>
              <w:top w:val="single" w:sz="6" w:space="0" w:color="000000"/>
              <w:left w:val="single" w:sz="6" w:space="0" w:color="000000"/>
              <w:bottom w:val="single" w:sz="6" w:space="0" w:color="000000"/>
            </w:tcBorders>
          </w:tcPr>
          <w:p>
            <w:pPr>
              <w:pStyle w:val="TableParagraph"/>
              <w:spacing w:line="319" w:lineRule="auto" w:before="48"/>
              <w:ind w:left="113" w:right="73"/>
              <w:jc w:val="both"/>
              <w:rPr>
                <w:rFonts w:ascii="宋体" w:eastAsia="宋体" w:hint="eastAsia"/>
                <w:sz w:val="21"/>
              </w:rPr>
            </w:pPr>
            <w:r>
              <w:rPr>
                <w:rFonts w:ascii="宋体" w:eastAsia="宋体" w:hint="eastAsia"/>
                <w:spacing w:val="-9"/>
                <w:position w:val="1"/>
                <w:sz w:val="21"/>
              </w:rPr>
              <w:t>膜接触部位。人吸入 </w:t>
            </w:r>
            <w:r>
              <w:rPr>
                <w:spacing w:val="-5"/>
                <w:position w:val="2"/>
                <w:sz w:val="21"/>
              </w:rPr>
              <w:t>LC</w:t>
            </w:r>
            <w:r>
              <w:rPr>
                <w:spacing w:val="-5"/>
                <w:sz w:val="14"/>
              </w:rPr>
              <w:t>10Lo</w:t>
            </w:r>
            <w:r>
              <w:rPr>
                <w:spacing w:val="-5"/>
                <w:position w:val="2"/>
                <w:sz w:val="21"/>
              </w:rPr>
              <w:t>600ppm/30M</w:t>
            </w:r>
            <w:r>
              <w:rPr>
                <w:rFonts w:ascii="宋体" w:eastAsia="宋体" w:hint="eastAsia"/>
                <w:spacing w:val="-5"/>
                <w:position w:val="1"/>
                <w:sz w:val="21"/>
              </w:rPr>
              <w:t>，</w:t>
            </w:r>
            <w:r>
              <w:rPr>
                <w:spacing w:val="-5"/>
                <w:position w:val="2"/>
                <w:sz w:val="21"/>
              </w:rPr>
              <w:t>800ppm/5M</w:t>
            </w:r>
            <w:r>
              <w:rPr>
                <w:rFonts w:ascii="宋体" w:eastAsia="宋体" w:hint="eastAsia"/>
                <w:spacing w:val="-26"/>
                <w:position w:val="1"/>
                <w:sz w:val="21"/>
              </w:rPr>
              <w:t>，人</w:t>
            </w:r>
            <w:r>
              <w:rPr>
                <w:rFonts w:ascii="宋体" w:eastAsia="宋体" w:hint="eastAsia"/>
                <w:position w:val="1"/>
                <w:sz w:val="21"/>
              </w:rPr>
              <w:t>（男</w:t>
            </w:r>
            <w:r>
              <w:rPr>
                <w:rFonts w:ascii="宋体" w:eastAsia="宋体" w:hint="eastAsia"/>
                <w:spacing w:val="6"/>
                <w:position w:val="1"/>
                <w:sz w:val="21"/>
              </w:rPr>
              <w:t>性</w:t>
            </w:r>
            <w:r>
              <w:rPr>
                <w:rFonts w:ascii="宋体" w:eastAsia="宋体" w:hint="eastAsia"/>
                <w:spacing w:val="4"/>
                <w:position w:val="1"/>
                <w:sz w:val="21"/>
              </w:rPr>
              <w:t>）</w:t>
            </w:r>
            <w:r>
              <w:rPr>
                <w:rFonts w:ascii="宋体" w:eastAsia="宋体" w:hint="eastAsia"/>
                <w:spacing w:val="7"/>
                <w:position w:val="1"/>
                <w:sz w:val="21"/>
              </w:rPr>
              <w:t>吸入 </w:t>
            </w:r>
            <w:r>
              <w:rPr>
                <w:position w:val="2"/>
                <w:sz w:val="21"/>
              </w:rPr>
              <w:t>LC</w:t>
            </w:r>
            <w:r>
              <w:rPr>
                <w:sz w:val="14"/>
              </w:rPr>
              <w:t>Lo</w:t>
            </w:r>
            <w:r>
              <w:rPr>
                <w:position w:val="2"/>
                <w:sz w:val="21"/>
              </w:rPr>
              <w:t>5700ug/kg</w:t>
            </w:r>
            <w:r>
              <w:rPr>
                <w:rFonts w:ascii="宋体" w:eastAsia="宋体" w:hint="eastAsia"/>
                <w:spacing w:val="4"/>
                <w:position w:val="1"/>
                <w:sz w:val="21"/>
              </w:rPr>
              <w:t>；大鼠吸入 </w:t>
            </w:r>
            <w:r>
              <w:rPr>
                <w:position w:val="2"/>
                <w:sz w:val="21"/>
              </w:rPr>
              <w:t>LC</w:t>
            </w:r>
            <w:r>
              <w:rPr>
                <w:sz w:val="14"/>
              </w:rPr>
              <w:t>50</w:t>
            </w:r>
            <w:r>
              <w:rPr>
                <w:position w:val="2"/>
                <w:sz w:val="21"/>
              </w:rPr>
              <w:t>444pm</w:t>
            </w:r>
            <w:r>
              <w:rPr>
                <w:rFonts w:ascii="宋体" w:eastAsia="宋体" w:hint="eastAsia"/>
                <w:spacing w:val="2"/>
                <w:position w:val="1"/>
                <w:sz w:val="21"/>
              </w:rPr>
              <w:t>，小鼠吸入</w:t>
            </w:r>
            <w:r>
              <w:rPr>
                <w:spacing w:val="2"/>
                <w:position w:val="2"/>
                <w:sz w:val="21"/>
              </w:rPr>
              <w:t>LC</w:t>
            </w:r>
            <w:r>
              <w:rPr>
                <w:spacing w:val="2"/>
                <w:sz w:val="14"/>
              </w:rPr>
              <w:t>50</w:t>
            </w:r>
            <w:r>
              <w:rPr>
                <w:spacing w:val="2"/>
                <w:position w:val="2"/>
                <w:sz w:val="21"/>
              </w:rPr>
              <w:t>634pm/1H</w:t>
            </w:r>
            <w:r>
              <w:rPr>
                <w:rFonts w:ascii="宋体" w:eastAsia="宋体" w:hint="eastAsia"/>
                <w:spacing w:val="2"/>
                <w:position w:val="1"/>
                <w:sz w:val="21"/>
              </w:rPr>
              <w:t>。</w:t>
            </w:r>
          </w:p>
          <w:p>
            <w:pPr>
              <w:pStyle w:val="TableParagraph"/>
              <w:spacing w:line="319" w:lineRule="auto" w:before="2"/>
              <w:ind w:left="113" w:right="86"/>
              <w:jc w:val="both"/>
              <w:rPr>
                <w:rFonts w:ascii="宋体" w:eastAsia="宋体" w:hint="eastAsia"/>
                <w:sz w:val="21"/>
              </w:rPr>
            </w:pPr>
            <w:r>
              <w:rPr>
                <w:rFonts w:ascii="宋体" w:eastAsia="宋体" w:hint="eastAsia"/>
                <w:sz w:val="21"/>
              </w:rPr>
              <w:t>接触高浓度硫化氢后以脑病表现为显著，出现头疼、头晕、易激动、步态蹒跚、烦躁、意识模糊、谵忘、癫痫样抽搐可呈现全身性强直一阵挛发作等；可突然发生昏迷；眼底检查可见个别病例有视神经乳头水肿。部分病例可同时伴有肺水肿。脑病症状常较呼吸道症状的出现为早。可能因发生粘膜</w:t>
            </w:r>
          </w:p>
          <w:p>
            <w:pPr>
              <w:pStyle w:val="TableParagraph"/>
              <w:spacing w:before="4"/>
              <w:ind w:left="113"/>
              <w:jc w:val="left"/>
              <w:rPr>
                <w:rFonts w:ascii="宋体" w:eastAsia="宋体" w:hint="eastAsia"/>
                <w:sz w:val="21"/>
              </w:rPr>
            </w:pPr>
            <w:r>
              <w:rPr>
                <w:rFonts w:ascii="宋体" w:eastAsia="宋体" w:hint="eastAsia"/>
                <w:sz w:val="21"/>
              </w:rPr>
              <w:t>刺激作用需要一定时间。</w:t>
            </w:r>
          </w:p>
        </w:tc>
      </w:tr>
      <w:tr>
        <w:trPr>
          <w:trHeight w:val="1792" w:hRule="atLeast"/>
        </w:trPr>
        <w:tc>
          <w:tcPr>
            <w:tcW w:w="672" w:type="dxa"/>
            <w:tcBorders>
              <w:top w:val="single" w:sz="6" w:space="0" w:color="000000"/>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7"/>
              <w:jc w:val="left"/>
              <w:rPr>
                <w:rFonts w:ascii="宋体"/>
                <w:b/>
                <w:sz w:val="16"/>
              </w:rPr>
            </w:pPr>
          </w:p>
          <w:p>
            <w:pPr>
              <w:pStyle w:val="TableParagraph"/>
              <w:spacing w:before="0"/>
              <w:ind w:left="21"/>
              <w:rPr>
                <w:sz w:val="21"/>
              </w:rPr>
            </w:pPr>
            <w:r>
              <w:rPr>
                <w:w w:val="100"/>
                <w:sz w:val="21"/>
              </w:rPr>
              <w:t>2</w:t>
            </w:r>
          </w:p>
        </w:tc>
        <w:tc>
          <w:tcPr>
            <w:tcW w:w="852" w:type="dxa"/>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99" w:right="68"/>
              <w:rPr>
                <w:rFonts w:ascii="宋体" w:eastAsia="宋体" w:hint="eastAsia"/>
                <w:sz w:val="21"/>
              </w:rPr>
            </w:pPr>
            <w:r>
              <w:rPr>
                <w:rFonts w:ascii="宋体" w:eastAsia="宋体" w:hint="eastAsia"/>
                <w:sz w:val="21"/>
              </w:rPr>
              <w:t>甲烷</w:t>
            </w:r>
          </w:p>
        </w:tc>
        <w:tc>
          <w:tcPr>
            <w:tcW w:w="853" w:type="dxa"/>
            <w:tcBorders>
              <w:top w:val="single" w:sz="6" w:space="0" w:color="000000"/>
              <w:left w:val="single" w:sz="6" w:space="0" w:color="000000"/>
              <w:right w:val="single" w:sz="6" w:space="0" w:color="000000"/>
            </w:tcBorders>
          </w:tcPr>
          <w:p>
            <w:pPr>
              <w:pStyle w:val="TableParagraph"/>
              <w:spacing w:before="0"/>
              <w:jc w:val="left"/>
              <w:rPr>
                <w:rFonts w:ascii="宋体"/>
                <w:b/>
                <w:sz w:val="24"/>
              </w:rPr>
            </w:pPr>
          </w:p>
          <w:p>
            <w:pPr>
              <w:pStyle w:val="TableParagraph"/>
              <w:spacing w:before="0"/>
              <w:jc w:val="left"/>
              <w:rPr>
                <w:rFonts w:ascii="宋体"/>
                <w:b/>
                <w:sz w:val="24"/>
              </w:rPr>
            </w:pPr>
          </w:p>
          <w:p>
            <w:pPr>
              <w:pStyle w:val="TableParagraph"/>
              <w:spacing w:before="160"/>
              <w:ind w:left="95" w:right="65"/>
              <w:rPr>
                <w:sz w:val="14"/>
              </w:rPr>
            </w:pPr>
            <w:r>
              <w:rPr>
                <w:position w:val="2"/>
                <w:sz w:val="21"/>
              </w:rPr>
              <w:t>CH</w:t>
            </w:r>
            <w:r>
              <w:rPr>
                <w:sz w:val="14"/>
              </w:rPr>
              <w:t>4</w:t>
            </w:r>
          </w:p>
        </w:tc>
        <w:tc>
          <w:tcPr>
            <w:tcW w:w="1275" w:type="dxa"/>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45" w:right="18"/>
              <w:rPr>
                <w:rFonts w:ascii="宋体" w:eastAsia="宋体" w:hint="eastAsia"/>
                <w:sz w:val="21"/>
              </w:rPr>
            </w:pPr>
            <w:r>
              <w:rPr>
                <w:rFonts w:ascii="宋体" w:eastAsia="宋体" w:hint="eastAsia"/>
                <w:sz w:val="21"/>
              </w:rPr>
              <w:t>易燃气体</w:t>
            </w:r>
          </w:p>
        </w:tc>
        <w:tc>
          <w:tcPr>
            <w:tcW w:w="5781" w:type="dxa"/>
            <w:tcBorders>
              <w:top w:val="single" w:sz="6" w:space="0" w:color="000000"/>
              <w:left w:val="single" w:sz="6" w:space="0" w:color="000000"/>
            </w:tcBorders>
          </w:tcPr>
          <w:p>
            <w:pPr>
              <w:pStyle w:val="TableParagraph"/>
              <w:spacing w:line="319" w:lineRule="auto" w:before="47"/>
              <w:ind w:left="113" w:right="75"/>
              <w:jc w:val="both"/>
              <w:rPr>
                <w:rFonts w:ascii="宋体" w:eastAsia="宋体" w:hint="eastAsia"/>
                <w:sz w:val="21"/>
              </w:rPr>
            </w:pPr>
            <w:r>
              <w:rPr>
                <w:rFonts w:ascii="宋体" w:eastAsia="宋体" w:hint="eastAsia"/>
                <w:sz w:val="21"/>
              </w:rPr>
              <w:t>与空气混合能形成爆炸性混合物。遇明火、高热会引起燃烧爆炸。甲烷对人基本无毒，但浓度过高时，使空气中氧含量</w:t>
            </w:r>
            <w:r>
              <w:rPr>
                <w:rFonts w:ascii="宋体" w:eastAsia="宋体" w:hint="eastAsia"/>
                <w:spacing w:val="-5"/>
                <w:sz w:val="21"/>
              </w:rPr>
              <w:t>明显降低，使人窒息。当空气中甲烷达 </w:t>
            </w:r>
            <w:r>
              <w:rPr>
                <w:position w:val="1"/>
                <w:sz w:val="21"/>
              </w:rPr>
              <w:t>25%~30%</w:t>
            </w:r>
            <w:r>
              <w:rPr>
                <w:rFonts w:ascii="宋体" w:eastAsia="宋体" w:hint="eastAsia"/>
                <w:spacing w:val="-3"/>
                <w:sz w:val="21"/>
              </w:rPr>
              <w:t>时，可引起</w:t>
            </w:r>
            <w:r>
              <w:rPr>
                <w:rFonts w:ascii="宋体" w:eastAsia="宋体" w:hint="eastAsia"/>
                <w:sz w:val="21"/>
              </w:rPr>
              <w:t>头疼、头晕、乏力、注意力不集中、呼吸和心跳加速、共济</w:t>
            </w:r>
          </w:p>
          <w:p>
            <w:pPr>
              <w:pStyle w:val="TableParagraph"/>
              <w:spacing w:before="4"/>
              <w:ind w:left="113"/>
              <w:jc w:val="left"/>
              <w:rPr>
                <w:rFonts w:ascii="宋体" w:eastAsia="宋体" w:hint="eastAsia"/>
                <w:sz w:val="21"/>
              </w:rPr>
            </w:pPr>
            <w:r>
              <w:rPr>
                <w:rFonts w:ascii="宋体" w:eastAsia="宋体" w:hint="eastAsia"/>
                <w:sz w:val="21"/>
              </w:rPr>
              <w:t>失调。若不及时逃离，可致窒息死亡。</w:t>
            </w:r>
          </w:p>
        </w:tc>
      </w:tr>
    </w:tbl>
    <w:p>
      <w:pPr>
        <w:pStyle w:val="BodyText"/>
        <w:spacing w:line="364" w:lineRule="auto" w:before="94"/>
        <w:ind w:right="247" w:firstLine="480"/>
        <w:jc w:val="both"/>
      </w:pPr>
      <w:r>
        <w:rPr/>
        <w:t>若厌氧罐、储气膜密封不严或操作不规范会导致沼气泄漏，该气体和空气成适当比例混合后，遇火花会发生爆炸。发生泄漏的原因主要是：①厌氧罐、储气膜破裂导致泄漏；②管线破裂或法兰接口不严导致泄漏。若泄漏的沼气达不到火灾或爆炸极限，有可能发生中毒事故；当泄漏的沼气遇上明火，可能发生火灾或爆炸事故。</w:t>
      </w:r>
    </w:p>
    <w:p>
      <w:pPr>
        <w:pStyle w:val="BodyText"/>
        <w:spacing w:before="2"/>
        <w:ind w:left="717"/>
      </w:pPr>
      <w:r>
        <w:rPr/>
        <w:t>当沼气发生泄漏引起爆炸时，将对周围的环境造成严重的破坏，主要危害如下：</w:t>
      </w:r>
    </w:p>
    <w:p>
      <w:pPr>
        <w:pStyle w:val="ListParagraph"/>
        <w:numPr>
          <w:ilvl w:val="0"/>
          <w:numId w:val="86"/>
        </w:numPr>
        <w:tabs>
          <w:tab w:pos="1079" w:val="left" w:leader="none"/>
        </w:tabs>
        <w:spacing w:line="364" w:lineRule="auto" w:before="161" w:after="0"/>
        <w:ind w:left="237" w:right="253" w:firstLine="480"/>
        <w:jc w:val="left"/>
        <w:rPr>
          <w:sz w:val="24"/>
        </w:rPr>
      </w:pPr>
      <w:r>
        <w:rPr>
          <w:spacing w:val="-5"/>
          <w:sz w:val="24"/>
        </w:rPr>
        <w:t>爆炸震荡：在爆炸发生时，产生一般能使物体震荡使之松散的作用力，这股力量</w:t>
      </w:r>
      <w:r>
        <w:rPr>
          <w:sz w:val="24"/>
        </w:rPr>
        <w:t>削弱生产装置及建、构筑物、设备的基础强度，甚至使之解体。</w:t>
      </w:r>
    </w:p>
    <w:p>
      <w:pPr>
        <w:pStyle w:val="ListParagraph"/>
        <w:numPr>
          <w:ilvl w:val="0"/>
          <w:numId w:val="86"/>
        </w:numPr>
        <w:tabs>
          <w:tab w:pos="1079" w:val="left" w:leader="none"/>
        </w:tabs>
        <w:spacing w:line="364" w:lineRule="auto" w:before="1" w:after="0"/>
        <w:ind w:left="237" w:right="249" w:firstLine="480"/>
        <w:jc w:val="both"/>
        <w:rPr>
          <w:sz w:val="24"/>
        </w:rPr>
      </w:pPr>
      <w:r>
        <w:rPr>
          <w:spacing w:val="-4"/>
          <w:sz w:val="24"/>
        </w:rPr>
        <w:t>冲击波：爆炸冲击波最初出现正压力，而后又出现负压力。它与爆炸物的质量成正比，与距离成反比。它将对爆炸区域周围的建筑物产生一个强大的冲击波，并摧毁部分建筑物及设备。</w:t>
      </w:r>
    </w:p>
    <w:p>
      <w:pPr>
        <w:pStyle w:val="ListParagraph"/>
        <w:numPr>
          <w:ilvl w:val="0"/>
          <w:numId w:val="86"/>
        </w:numPr>
        <w:tabs>
          <w:tab w:pos="1079" w:val="left" w:leader="none"/>
        </w:tabs>
        <w:spacing w:line="364" w:lineRule="auto" w:before="2" w:after="0"/>
        <w:ind w:left="237" w:right="251" w:firstLine="480"/>
        <w:jc w:val="both"/>
        <w:rPr>
          <w:sz w:val="24"/>
        </w:rPr>
      </w:pPr>
      <w:r>
        <w:rPr>
          <w:spacing w:val="-5"/>
          <w:sz w:val="24"/>
        </w:rPr>
        <w:t>冲击碎片：机械设备、装置、容器等爆炸后产生的大量碎片，飞出后会在相当大</w:t>
      </w:r>
      <w:r>
        <w:rPr>
          <w:spacing w:val="-3"/>
          <w:sz w:val="24"/>
        </w:rPr>
        <w:t>的范围内造成危害。一般碎片的飞散范围在 </w:t>
      </w:r>
      <w:r>
        <w:rPr>
          <w:rFonts w:ascii="Times New Roman" w:eastAsia="Times New Roman"/>
          <w:position w:val="1"/>
          <w:sz w:val="24"/>
        </w:rPr>
        <w:t>100~1500m </w:t>
      </w:r>
      <w:r>
        <w:rPr>
          <w:sz w:val="24"/>
        </w:rPr>
        <w:t>左右。</w:t>
      </w:r>
    </w:p>
    <w:p>
      <w:pPr>
        <w:pStyle w:val="ListParagraph"/>
        <w:numPr>
          <w:ilvl w:val="0"/>
          <w:numId w:val="86"/>
        </w:numPr>
        <w:tabs>
          <w:tab w:pos="1079" w:val="left" w:leader="none"/>
        </w:tabs>
        <w:spacing w:line="240" w:lineRule="auto" w:before="2" w:after="0"/>
        <w:ind w:left="1078" w:right="0" w:hanging="362"/>
        <w:jc w:val="left"/>
        <w:rPr>
          <w:sz w:val="24"/>
        </w:rPr>
      </w:pPr>
      <w:r>
        <w:rPr>
          <w:spacing w:val="-9"/>
          <w:sz w:val="24"/>
        </w:rPr>
        <w:t>造成新的火灾：残余火种会点燃破损设备内不断流出的可燃物体而造成新的火灾。</w:t>
      </w:r>
    </w:p>
    <w:p>
      <w:pPr>
        <w:pStyle w:val="Heading3"/>
        <w:numPr>
          <w:ilvl w:val="0"/>
          <w:numId w:val="84"/>
        </w:numPr>
        <w:tabs>
          <w:tab w:pos="1323" w:val="left" w:leader="none"/>
        </w:tabs>
        <w:spacing w:line="240" w:lineRule="auto" w:before="160" w:after="0"/>
        <w:ind w:left="1323" w:right="0" w:hanging="604"/>
        <w:jc w:val="left"/>
      </w:pPr>
      <w:r>
        <w:rPr/>
        <w:t>废水事故排放</w:t>
      </w:r>
    </w:p>
    <w:p>
      <w:pPr>
        <w:pStyle w:val="BodyText"/>
        <w:spacing w:line="364" w:lineRule="auto" w:before="161"/>
        <w:ind w:right="131" w:firstLine="480"/>
        <w:jc w:val="both"/>
      </w:pPr>
      <w:r>
        <w:rPr/>
        <w:t>本项目各类废水收集后全部进入厂区自建的污水处理站处理达标后纳入市政污水管网，最终送绍兴市污水处理厂处理达标后排入钱塘江，不排入周边环境，因此厂区发生废水事故排放的可能性较小。但是若废水处理不达标即排放，可能会对绍兴市污水厂运</w:t>
      </w:r>
      <w:r>
        <w:rPr>
          <w:spacing w:val="-16"/>
        </w:rPr>
        <w:t>行工况造成影响，进而影响其出水水质。本项目配套污水处理站设计处理能力为 </w:t>
      </w:r>
      <w:r>
        <w:rPr>
          <w:rFonts w:ascii="Times New Roman" w:hAnsi="Times New Roman" w:eastAsia="Times New Roman"/>
          <w:position w:val="1"/>
        </w:rPr>
        <w:t>600m³/d</w:t>
      </w:r>
      <w:r>
        <w:rPr/>
        <w:t>，</w:t>
      </w:r>
    </w:p>
    <w:p>
      <w:pPr>
        <w:spacing w:after="0" w:line="364" w:lineRule="auto"/>
        <w:jc w:val="both"/>
        <w:sectPr>
          <w:footerReference w:type="default" r:id="rId149"/>
          <w:pgSz w:w="11910" w:h="16840"/>
          <w:pgMar w:footer="1004" w:header="874" w:top="1420" w:bottom="1200" w:left="1040" w:right="1160"/>
        </w:sectPr>
      </w:pPr>
    </w:p>
    <w:p>
      <w:pPr>
        <w:pStyle w:val="BodyText"/>
        <w:spacing w:line="364" w:lineRule="auto" w:before="92"/>
        <w:ind w:right="255"/>
        <w:jc w:val="both"/>
      </w:pPr>
      <w:r>
        <w:rPr/>
        <w:t>可满足废水的处理需求。所配套的应急池（有效容积 </w:t>
      </w:r>
      <w:r>
        <w:rPr>
          <w:rFonts w:ascii="Times New Roman" w:hAnsi="Times New Roman" w:eastAsia="Times New Roman"/>
          <w:position w:val="1"/>
        </w:rPr>
        <w:t>510m</w:t>
      </w:r>
      <w:r>
        <w:rPr/>
        <w:t>³）也能满足当天废水产生的废水的暂存需求。</w:t>
      </w:r>
    </w:p>
    <w:p>
      <w:pPr>
        <w:pStyle w:val="BodyText"/>
        <w:spacing w:line="364" w:lineRule="auto" w:before="1"/>
        <w:ind w:right="247" w:firstLine="480"/>
        <w:jc w:val="both"/>
      </w:pPr>
      <w:r>
        <w:rPr/>
        <w:t>另外，因本项目地处鉴湖支流项里江的上游，若项目附近河道水体受到污染，可能会对项里江及鉴湖水质造成不利影响。如初期雨水未有效收集、事故时废水未能进入事故应急池等，可能会由雨水管网污染周围地表水体。因此，企业务必要做好初期雨水的收集及雨水排放口、事故应急池的应急阀门建设，确保初期雨水不会直接进入周边地表水体，事故时及时切断雨水阀门、开启应急池阀门，确保事故废水及时进入应急池，并及时接入污水站进行处理，以有效降低对周边地表水体的影响。</w:t>
      </w:r>
    </w:p>
    <w:p>
      <w:pPr>
        <w:pStyle w:val="Heading3"/>
        <w:numPr>
          <w:ilvl w:val="0"/>
          <w:numId w:val="84"/>
        </w:numPr>
        <w:tabs>
          <w:tab w:pos="1323" w:val="left" w:leader="none"/>
        </w:tabs>
        <w:spacing w:line="240" w:lineRule="auto" w:before="4" w:after="0"/>
        <w:ind w:left="1323" w:right="0" w:hanging="604"/>
        <w:jc w:val="left"/>
      </w:pPr>
      <w:r>
        <w:rPr/>
        <w:t>瘟疫传播风险</w:t>
      </w:r>
    </w:p>
    <w:p>
      <w:pPr>
        <w:pStyle w:val="BodyText"/>
        <w:spacing w:line="364" w:lineRule="auto" w:before="161"/>
        <w:ind w:right="131" w:firstLine="480"/>
      </w:pPr>
      <w:r>
        <w:rPr/>
        <w:t>猪病包括传染病、寄生虫病、内科病、外科病及产科病等，这些疾病的发生，都给</w:t>
      </w:r>
      <w:r>
        <w:rPr>
          <w:spacing w:val="-4"/>
        </w:rPr>
        <w:t>养猪生产造成重大损失。这些病中，尤以传染病的危害最为严重，会引发猪只大批死亡， </w:t>
      </w:r>
      <w:r>
        <w:rPr/>
        <w:t>造成巨大经济损失。病死猪处理不当，极易引起病原扩散，带有病菌、病毒和寄生虫虫卵的畜禽、皮毛、血液、粪便、骨骼、肉尸、污水等会使环境中病源种类增多、菌量增</w:t>
      </w:r>
      <w:r>
        <w:rPr>
          <w:spacing w:val="-5"/>
        </w:rPr>
        <w:t>大，出现病原菌和寄生虫的大量繁殖，首先对养殖场及其周围地区的其他畜禽产生危害， </w:t>
      </w:r>
      <w:r>
        <w:rPr/>
        <w:t>导致育雏死亡率和育成死亡，造成更大经济损失。</w:t>
      </w:r>
    </w:p>
    <w:p>
      <w:pPr>
        <w:pStyle w:val="BodyText"/>
        <w:spacing w:line="364" w:lineRule="auto" w:before="4"/>
        <w:ind w:right="133" w:firstLine="480"/>
      </w:pPr>
      <w:r>
        <w:rPr>
          <w:spacing w:val="-41"/>
        </w:rPr>
        <w:t>此外，</w:t>
      </w:r>
      <w:r>
        <w:rPr>
          <w:rFonts w:ascii="Times New Roman" w:hAnsi="Times New Roman" w:eastAsia="Times New Roman"/>
          <w:spacing w:val="-1"/>
          <w:position w:val="1"/>
        </w:rPr>
        <w:t>“</w:t>
      </w:r>
      <w:r>
        <w:rPr/>
        <w:t>人畜共患疾病</w:t>
      </w:r>
      <w:r>
        <w:rPr>
          <w:rFonts w:ascii="Times New Roman" w:hAnsi="Times New Roman" w:eastAsia="Times New Roman"/>
          <w:spacing w:val="1"/>
          <w:position w:val="1"/>
        </w:rPr>
        <w:t>”</w:t>
      </w:r>
      <w:r>
        <w:rPr/>
        <w:t>是指那些由共同病原体引起的人类与脊椎动物之间相互传染的疾病，其传染渠道主要是患病动物的粪尿、分泌物、污染的废水、饲料等。有一些病源属于人畜共患病，包括病毒、细菌、支原体、螺旋体、立克次氏体、衣原体、真菌、寄</w:t>
      </w:r>
      <w:r>
        <w:rPr>
          <w:spacing w:val="-6"/>
        </w:rPr>
        <w:t>生虫等。主要疾病种类有：高致病性禽流感、炭疽、鼠疫、猪丹毒、猪水疱病、狂犬病、布氏杆菌病、结核病、李氏杆菌病、链球菌病、钩端螺旋体病、旋毛虫病、肝片吸虫等。</w:t>
      </w:r>
      <w:r>
        <w:rPr/>
        <w:t>人畜共患病可以通过接触传染，也可以通过吃肉或其他方式传染。</w:t>
      </w:r>
    </w:p>
    <w:p>
      <w:pPr>
        <w:pStyle w:val="BodyText"/>
        <w:spacing w:line="364" w:lineRule="auto" w:before="3"/>
        <w:ind w:right="249" w:firstLine="480"/>
        <w:jc w:val="both"/>
      </w:pPr>
      <w:r>
        <w:rPr/>
        <w:t>如果对这些病死猪处理不当，没有采取有效的预防和控制措施，或使病死猪流入市场，则各种带有病菌、病毒和寄生虫虫卵的畜禽、皮毛、血液、粪便、骨骼、肉尸、污水等会使环境中病源种类增多、菌量增大，出现病原菌和寄生虫的大量繁殖，造成人、畜传染病的蔓延，会对人畜健康产生极大的威胁，严重影响了公众卫生安全，给人类健康和生命带来危害。</w:t>
      </w:r>
    </w:p>
    <w:p>
      <w:pPr>
        <w:pStyle w:val="Heading3"/>
        <w:spacing w:before="4"/>
      </w:pPr>
      <w:r>
        <w:rPr>
          <w:rFonts w:ascii="Times New Roman" w:eastAsia="Times New Roman"/>
        </w:rPr>
        <w:t>5</w:t>
      </w:r>
      <w:r>
        <w:rPr/>
        <w:t>、环境风险管理（措施）</w:t>
      </w:r>
    </w:p>
    <w:p>
      <w:pPr>
        <w:pStyle w:val="BodyText"/>
        <w:spacing w:line="364" w:lineRule="auto" w:before="160"/>
        <w:ind w:right="172" w:firstLine="480"/>
      </w:pPr>
      <w:r>
        <w:rPr/>
        <w:t>详见第 </w:t>
      </w:r>
      <w:r>
        <w:rPr>
          <w:rFonts w:ascii="Times New Roman" w:hAnsi="Times New Roman" w:eastAsia="Times New Roman"/>
          <w:position w:val="1"/>
        </w:rPr>
        <w:t>6.2.6 </w:t>
      </w:r>
      <w:r>
        <w:rPr/>
        <w:t>章，包括：①加强运输管理；②加强废水事故防范措施；③加强臭气污染防范措施；④加强沼气安全利用；⑤加强瘟疫卫生预防；⑥编制环境应急预案等。</w:t>
      </w:r>
    </w:p>
    <w:p>
      <w:pPr>
        <w:spacing w:after="0" w:line="364" w:lineRule="auto"/>
        <w:sectPr>
          <w:footerReference w:type="default" r:id="rId150"/>
          <w:pgSz w:w="11910" w:h="16840"/>
          <w:pgMar w:footer="1004" w:header="874" w:top="1420" w:bottom="1200" w:left="1040" w:right="1160"/>
          <w:pgNumType w:start="171"/>
        </w:sectPr>
      </w:pPr>
    </w:p>
    <w:p>
      <w:pPr>
        <w:pStyle w:val="Heading3"/>
        <w:spacing w:before="92"/>
      </w:pPr>
      <w:r>
        <w:rPr>
          <w:rFonts w:ascii="Times New Roman" w:eastAsia="Times New Roman"/>
        </w:rPr>
        <w:t>6</w:t>
      </w:r>
      <w:r>
        <w:rPr/>
        <w:t>、分析结论</w:t>
      </w:r>
    </w:p>
    <w:p>
      <w:pPr>
        <w:pStyle w:val="BodyText"/>
        <w:spacing w:line="364" w:lineRule="auto" w:before="160"/>
        <w:ind w:right="259" w:firstLine="480"/>
      </w:pPr>
      <w:r>
        <w:rPr/>
        <w:t>根据分析，只要企业按照本环评提出的缓解环境风险的建议和措施执行，本项目的环境风险是可以防控的。</w:t>
      </w:r>
    </w:p>
    <w:p>
      <w:pPr>
        <w:pStyle w:val="Heading3"/>
        <w:spacing w:before="1"/>
        <w:ind w:left="2515"/>
      </w:pPr>
      <w:r>
        <w:rPr/>
        <w:t>表 </w:t>
      </w:r>
      <w:r>
        <w:rPr>
          <w:rFonts w:ascii="Times New Roman" w:eastAsia="Times New Roman"/>
        </w:rPr>
        <w:t>5.2-42  </w:t>
      </w:r>
      <w:r>
        <w:rPr/>
        <w:t>建设项目环境风险简单分析内容表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60"/>
        <w:gridCol w:w="1135"/>
        <w:gridCol w:w="2407"/>
        <w:gridCol w:w="1248"/>
        <w:gridCol w:w="1980"/>
      </w:tblGrid>
      <w:tr>
        <w:trPr>
          <w:trHeight w:val="359" w:hRule="atLeast"/>
        </w:trPr>
        <w:tc>
          <w:tcPr>
            <w:tcW w:w="2660" w:type="dxa"/>
            <w:tcBorders>
              <w:bottom w:val="single" w:sz="6" w:space="0" w:color="000000"/>
              <w:right w:val="single" w:sz="6" w:space="0" w:color="000000"/>
            </w:tcBorders>
          </w:tcPr>
          <w:p>
            <w:pPr>
              <w:pStyle w:val="TableParagraph"/>
              <w:spacing w:before="43"/>
              <w:ind w:left="148" w:right="128"/>
              <w:rPr>
                <w:rFonts w:ascii="宋体" w:eastAsia="宋体" w:hint="eastAsia"/>
                <w:b/>
                <w:sz w:val="21"/>
              </w:rPr>
            </w:pPr>
            <w:r>
              <w:rPr>
                <w:rFonts w:ascii="宋体" w:eastAsia="宋体" w:hint="eastAsia"/>
                <w:b/>
                <w:sz w:val="21"/>
              </w:rPr>
              <w:t>建设项目名称</w:t>
            </w:r>
          </w:p>
        </w:tc>
        <w:tc>
          <w:tcPr>
            <w:tcW w:w="6770" w:type="dxa"/>
            <w:gridSpan w:val="4"/>
            <w:tcBorders>
              <w:left w:val="single" w:sz="6" w:space="0" w:color="000000"/>
              <w:bottom w:val="single" w:sz="6" w:space="0" w:color="000000"/>
            </w:tcBorders>
          </w:tcPr>
          <w:p>
            <w:pPr>
              <w:pStyle w:val="TableParagraph"/>
              <w:spacing w:before="43"/>
              <w:ind w:left="1499"/>
              <w:jc w:val="left"/>
              <w:rPr>
                <w:rFonts w:ascii="宋体" w:hAnsi="宋体" w:eastAsia="宋体" w:hint="eastAsia"/>
                <w:sz w:val="21"/>
              </w:rPr>
            </w:pPr>
            <w:r>
              <w:rPr>
                <w:rFonts w:ascii="宋体" w:hAnsi="宋体" w:eastAsia="宋体" w:hint="eastAsia"/>
                <w:sz w:val="21"/>
              </w:rPr>
              <w:t>天圣集团农业生态产业链项目</w:t>
            </w:r>
            <w:r>
              <w:rPr>
                <w:sz w:val="21"/>
              </w:rPr>
              <w:t>—</w:t>
            </w:r>
            <w:r>
              <w:rPr>
                <w:rFonts w:ascii="宋体" w:hAnsi="宋体" w:eastAsia="宋体" w:hint="eastAsia"/>
                <w:sz w:val="21"/>
              </w:rPr>
              <w:t>生猪养殖</w:t>
            </w:r>
          </w:p>
        </w:tc>
      </w:tr>
      <w:tr>
        <w:trPr>
          <w:trHeight w:val="359" w:hRule="atLeast"/>
        </w:trPr>
        <w:tc>
          <w:tcPr>
            <w:tcW w:w="2660" w:type="dxa"/>
            <w:tcBorders>
              <w:top w:val="single" w:sz="6" w:space="0" w:color="000000"/>
              <w:bottom w:val="single" w:sz="6" w:space="0" w:color="000000"/>
              <w:right w:val="single" w:sz="6" w:space="0" w:color="000000"/>
            </w:tcBorders>
          </w:tcPr>
          <w:p>
            <w:pPr>
              <w:pStyle w:val="TableParagraph"/>
              <w:spacing w:before="44"/>
              <w:ind w:left="148" w:right="128"/>
              <w:rPr>
                <w:rFonts w:ascii="宋体" w:eastAsia="宋体" w:hint="eastAsia"/>
                <w:b/>
                <w:sz w:val="21"/>
              </w:rPr>
            </w:pPr>
            <w:r>
              <w:rPr>
                <w:rFonts w:ascii="宋体" w:eastAsia="宋体" w:hint="eastAsia"/>
                <w:b/>
                <w:sz w:val="21"/>
              </w:rPr>
              <w:t>建设地点</w:t>
            </w:r>
          </w:p>
        </w:tc>
        <w:tc>
          <w:tcPr>
            <w:tcW w:w="6770" w:type="dxa"/>
            <w:gridSpan w:val="4"/>
            <w:tcBorders>
              <w:top w:val="single" w:sz="6" w:space="0" w:color="000000"/>
              <w:left w:val="single" w:sz="6" w:space="0" w:color="000000"/>
              <w:bottom w:val="single" w:sz="6" w:space="0" w:color="000000"/>
            </w:tcBorders>
          </w:tcPr>
          <w:p>
            <w:pPr>
              <w:pStyle w:val="TableParagraph"/>
              <w:spacing w:before="44"/>
              <w:ind w:left="1271" w:right="1234"/>
              <w:rPr>
                <w:rFonts w:ascii="宋体" w:eastAsia="宋体" w:hint="eastAsia"/>
                <w:sz w:val="21"/>
              </w:rPr>
            </w:pPr>
            <w:r>
              <w:rPr>
                <w:rFonts w:ascii="宋体" w:eastAsia="宋体" w:hint="eastAsia"/>
                <w:sz w:val="21"/>
              </w:rPr>
              <w:t>绍兴市柯桥区柯岩街道丰项村</w:t>
            </w:r>
          </w:p>
        </w:tc>
      </w:tr>
      <w:tr>
        <w:trPr>
          <w:trHeight w:val="356" w:hRule="atLeast"/>
        </w:trPr>
        <w:tc>
          <w:tcPr>
            <w:tcW w:w="2660" w:type="dxa"/>
            <w:tcBorders>
              <w:top w:val="single" w:sz="6" w:space="0" w:color="000000"/>
              <w:bottom w:val="single" w:sz="6" w:space="0" w:color="000000"/>
              <w:right w:val="single" w:sz="6" w:space="0" w:color="000000"/>
            </w:tcBorders>
          </w:tcPr>
          <w:p>
            <w:pPr>
              <w:pStyle w:val="TableParagraph"/>
              <w:spacing w:before="44"/>
              <w:ind w:left="148" w:right="128"/>
              <w:rPr>
                <w:rFonts w:ascii="宋体" w:eastAsia="宋体" w:hint="eastAsia"/>
                <w:b/>
                <w:sz w:val="21"/>
              </w:rPr>
            </w:pPr>
            <w:r>
              <w:rPr>
                <w:rFonts w:ascii="宋体" w:eastAsia="宋体" w:hint="eastAsia"/>
                <w:b/>
                <w:sz w:val="21"/>
              </w:rPr>
              <w:t>地理坐标</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44"/>
              <w:ind w:left="364"/>
              <w:jc w:val="left"/>
              <w:rPr>
                <w:rFonts w:ascii="宋体" w:eastAsia="宋体" w:hint="eastAsia"/>
                <w:sz w:val="21"/>
              </w:rPr>
            </w:pPr>
            <w:r>
              <w:rPr>
                <w:rFonts w:ascii="宋体" w:eastAsia="宋体" w:hint="eastAsia"/>
                <w:sz w:val="21"/>
              </w:rPr>
              <w:t>经度</w:t>
            </w:r>
          </w:p>
        </w:tc>
        <w:tc>
          <w:tcPr>
            <w:tcW w:w="2407" w:type="dxa"/>
            <w:tcBorders>
              <w:top w:val="single" w:sz="6" w:space="0" w:color="000000"/>
              <w:left w:val="single" w:sz="6" w:space="0" w:color="000000"/>
              <w:bottom w:val="single" w:sz="6" w:space="0" w:color="000000"/>
              <w:right w:val="single" w:sz="6" w:space="0" w:color="000000"/>
            </w:tcBorders>
          </w:tcPr>
          <w:p>
            <w:pPr>
              <w:pStyle w:val="TableParagraph"/>
              <w:ind w:left="604"/>
              <w:jc w:val="left"/>
              <w:rPr>
                <w:sz w:val="21"/>
              </w:rPr>
            </w:pPr>
            <w:r>
              <w:rPr>
                <w:sz w:val="21"/>
              </w:rPr>
              <w:t>120.460246°E</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before="44"/>
              <w:ind w:left="418"/>
              <w:jc w:val="left"/>
              <w:rPr>
                <w:rFonts w:ascii="宋体" w:eastAsia="宋体" w:hint="eastAsia"/>
                <w:sz w:val="21"/>
              </w:rPr>
            </w:pPr>
            <w:r>
              <w:rPr>
                <w:rFonts w:ascii="宋体" w:eastAsia="宋体" w:hint="eastAsia"/>
                <w:sz w:val="21"/>
              </w:rPr>
              <w:t>纬度</w:t>
            </w:r>
          </w:p>
        </w:tc>
        <w:tc>
          <w:tcPr>
            <w:tcW w:w="1980" w:type="dxa"/>
            <w:tcBorders>
              <w:top w:val="single" w:sz="6" w:space="0" w:color="000000"/>
              <w:left w:val="single" w:sz="6" w:space="0" w:color="000000"/>
              <w:bottom w:val="single" w:sz="6" w:space="0" w:color="000000"/>
            </w:tcBorders>
          </w:tcPr>
          <w:p>
            <w:pPr>
              <w:pStyle w:val="TableParagraph"/>
              <w:ind w:left="437"/>
              <w:jc w:val="left"/>
              <w:rPr>
                <w:sz w:val="21"/>
              </w:rPr>
            </w:pPr>
            <w:r>
              <w:rPr>
                <w:sz w:val="21"/>
              </w:rPr>
              <w:t>30.008811°N</w:t>
            </w:r>
          </w:p>
        </w:tc>
      </w:tr>
      <w:tr>
        <w:trPr>
          <w:trHeight w:val="359" w:hRule="atLeast"/>
        </w:trPr>
        <w:tc>
          <w:tcPr>
            <w:tcW w:w="2660" w:type="dxa"/>
            <w:tcBorders>
              <w:top w:val="single" w:sz="6" w:space="0" w:color="000000"/>
              <w:bottom w:val="single" w:sz="6" w:space="0" w:color="000000"/>
              <w:right w:val="single" w:sz="6" w:space="0" w:color="000000"/>
            </w:tcBorders>
          </w:tcPr>
          <w:p>
            <w:pPr>
              <w:pStyle w:val="TableParagraph"/>
              <w:spacing w:before="46"/>
              <w:ind w:left="148" w:right="128"/>
              <w:rPr>
                <w:rFonts w:ascii="宋体" w:eastAsia="宋体" w:hint="eastAsia"/>
                <w:b/>
                <w:sz w:val="21"/>
              </w:rPr>
            </w:pPr>
            <w:r>
              <w:rPr>
                <w:rFonts w:ascii="宋体" w:eastAsia="宋体" w:hint="eastAsia"/>
                <w:b/>
                <w:sz w:val="21"/>
              </w:rPr>
              <w:t>主要危险物质及分布</w:t>
            </w:r>
          </w:p>
        </w:tc>
        <w:tc>
          <w:tcPr>
            <w:tcW w:w="6770" w:type="dxa"/>
            <w:gridSpan w:val="4"/>
            <w:tcBorders>
              <w:top w:val="single" w:sz="6" w:space="0" w:color="000000"/>
              <w:left w:val="single" w:sz="6" w:space="0" w:color="000000"/>
              <w:bottom w:val="single" w:sz="6" w:space="0" w:color="000000"/>
            </w:tcBorders>
          </w:tcPr>
          <w:p>
            <w:pPr>
              <w:pStyle w:val="TableParagraph"/>
              <w:spacing w:before="46"/>
              <w:ind w:left="1273" w:right="1234"/>
              <w:rPr>
                <w:rFonts w:ascii="宋体" w:eastAsia="宋体" w:hint="eastAsia"/>
                <w:sz w:val="21"/>
              </w:rPr>
            </w:pPr>
            <w:r>
              <w:rPr>
                <w:rFonts w:ascii="宋体" w:eastAsia="宋体" w:hint="eastAsia"/>
                <w:sz w:val="21"/>
              </w:rPr>
              <w:t>废水、废气等；废水处理站、废气净化装置等</w:t>
            </w:r>
          </w:p>
        </w:tc>
      </w:tr>
      <w:tr>
        <w:trPr>
          <w:trHeight w:val="1077" w:hRule="atLeast"/>
        </w:trPr>
        <w:tc>
          <w:tcPr>
            <w:tcW w:w="2660"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50" w:right="128"/>
              <w:rPr>
                <w:rFonts w:ascii="宋体" w:eastAsia="宋体" w:hint="eastAsia"/>
                <w:b/>
                <w:sz w:val="21"/>
              </w:rPr>
            </w:pPr>
            <w:r>
              <w:rPr>
                <w:rFonts w:ascii="宋体" w:eastAsia="宋体" w:hint="eastAsia"/>
                <w:b/>
                <w:sz w:val="21"/>
              </w:rPr>
              <w:t>环境影响途径及危害后果</w:t>
            </w:r>
          </w:p>
        </w:tc>
        <w:tc>
          <w:tcPr>
            <w:tcW w:w="6770" w:type="dxa"/>
            <w:gridSpan w:val="4"/>
            <w:tcBorders>
              <w:top w:val="single" w:sz="6" w:space="0" w:color="000000"/>
              <w:left w:val="single" w:sz="6" w:space="0" w:color="000000"/>
              <w:bottom w:val="single" w:sz="6" w:space="0" w:color="000000"/>
            </w:tcBorders>
          </w:tcPr>
          <w:p>
            <w:pPr>
              <w:pStyle w:val="TableParagraph"/>
              <w:spacing w:before="44"/>
              <w:ind w:left="133"/>
              <w:jc w:val="left"/>
              <w:rPr>
                <w:rFonts w:ascii="宋体" w:eastAsia="宋体" w:hint="eastAsia"/>
                <w:sz w:val="21"/>
              </w:rPr>
            </w:pPr>
            <w:r>
              <w:rPr>
                <w:rFonts w:ascii="宋体" w:eastAsia="宋体" w:hint="eastAsia"/>
                <w:sz w:val="21"/>
              </w:rPr>
              <w:t>主要风险为物料泄露引发的废气废水污染事故，废气处理系统非正常运</w:t>
            </w:r>
          </w:p>
          <w:p>
            <w:pPr>
              <w:pStyle w:val="TableParagraph"/>
              <w:spacing w:line="350" w:lineRule="atLeast" w:before="10"/>
              <w:ind w:left="1711" w:right="94" w:hanging="1578"/>
              <w:jc w:val="left"/>
              <w:rPr>
                <w:rFonts w:ascii="宋体" w:eastAsia="宋体" w:hint="eastAsia"/>
                <w:sz w:val="21"/>
              </w:rPr>
            </w:pPr>
            <w:r>
              <w:rPr>
                <w:rFonts w:ascii="宋体" w:eastAsia="宋体" w:hint="eastAsia"/>
                <w:sz w:val="21"/>
              </w:rPr>
              <w:t>行引发的废气污染事故、沼气泄漏爆炸事故，废水处理站非正常运行引发的超标排放事故，以及畜禽疾病等</w:t>
            </w:r>
          </w:p>
        </w:tc>
      </w:tr>
      <w:tr>
        <w:trPr>
          <w:trHeight w:val="719" w:hRule="atLeast"/>
        </w:trPr>
        <w:tc>
          <w:tcPr>
            <w:tcW w:w="2660" w:type="dxa"/>
            <w:tcBorders>
              <w:top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48" w:right="128"/>
              <w:rPr>
                <w:rFonts w:ascii="宋体" w:eastAsia="宋体" w:hint="eastAsia"/>
                <w:b/>
                <w:sz w:val="21"/>
              </w:rPr>
            </w:pPr>
            <w:r>
              <w:rPr>
                <w:rFonts w:ascii="宋体" w:eastAsia="宋体" w:hint="eastAsia"/>
                <w:b/>
                <w:sz w:val="21"/>
              </w:rPr>
              <w:t>风险防范措施要求</w:t>
            </w:r>
          </w:p>
        </w:tc>
        <w:tc>
          <w:tcPr>
            <w:tcW w:w="6770" w:type="dxa"/>
            <w:gridSpan w:val="4"/>
            <w:tcBorders>
              <w:top w:val="single" w:sz="6" w:space="0" w:color="000000"/>
              <w:left w:val="single" w:sz="6" w:space="0" w:color="000000"/>
            </w:tcBorders>
          </w:tcPr>
          <w:p>
            <w:pPr>
              <w:pStyle w:val="TableParagraph"/>
              <w:spacing w:before="44"/>
              <w:ind w:left="114" w:right="-44"/>
              <w:jc w:val="left"/>
              <w:rPr>
                <w:rFonts w:ascii="宋体" w:hAnsi="宋体" w:eastAsia="宋体" w:hint="eastAsia"/>
                <w:sz w:val="21"/>
              </w:rPr>
            </w:pPr>
            <w:r>
              <w:rPr>
                <w:rFonts w:ascii="宋体" w:hAnsi="宋体" w:eastAsia="宋体" w:hint="eastAsia"/>
                <w:spacing w:val="-8"/>
                <w:sz w:val="21"/>
              </w:rPr>
              <w:t>①加强运输管理；②加强废水事故防范措施；③加强臭气污染防范措施；</w:t>
            </w:r>
          </w:p>
          <w:p>
            <w:pPr>
              <w:pStyle w:val="TableParagraph"/>
              <w:spacing w:before="91"/>
              <w:ind w:left="239"/>
              <w:jc w:val="left"/>
              <w:rPr>
                <w:rFonts w:ascii="宋体" w:hAnsi="宋体" w:eastAsia="宋体" w:hint="eastAsia"/>
                <w:sz w:val="21"/>
              </w:rPr>
            </w:pPr>
            <w:r>
              <w:rPr>
                <w:rFonts w:ascii="宋体" w:hAnsi="宋体" w:eastAsia="宋体" w:hint="eastAsia"/>
                <w:sz w:val="21"/>
              </w:rPr>
              <w:t>④加强沼气安全利用；⑤加强瘟疫卫生预防；⑥编制环境应急预案。</w:t>
            </w:r>
          </w:p>
        </w:tc>
      </w:tr>
    </w:tbl>
    <w:p>
      <w:pPr>
        <w:pStyle w:val="ListParagraph"/>
        <w:numPr>
          <w:ilvl w:val="2"/>
          <w:numId w:val="70"/>
        </w:numPr>
        <w:tabs>
          <w:tab w:pos="838" w:val="left" w:leader="none"/>
        </w:tabs>
        <w:spacing w:line="240" w:lineRule="auto" w:before="82" w:after="0"/>
        <w:ind w:left="837" w:right="0" w:hanging="601"/>
        <w:jc w:val="left"/>
        <w:rPr>
          <w:b/>
          <w:sz w:val="24"/>
        </w:rPr>
      </w:pPr>
      <w:bookmarkStart w:name="_bookmark92" w:id="178"/>
      <w:bookmarkEnd w:id="178"/>
      <w:r>
        <w:rPr/>
      </w:r>
      <w:bookmarkStart w:name="_bookmark92" w:id="179"/>
      <w:bookmarkEnd w:id="179"/>
      <w:r>
        <w:rPr>
          <w:b/>
          <w:sz w:val="24"/>
        </w:rPr>
        <w:t>生态环境影响分析与评价</w:t>
      </w:r>
    </w:p>
    <w:p>
      <w:pPr>
        <w:pStyle w:val="BodyText"/>
        <w:spacing w:before="161"/>
        <w:ind w:left="717"/>
      </w:pPr>
      <w:r>
        <w:rPr/>
        <w:t>对于项目的生态环境影响，采用列表清单法进行分析，具体见表 </w:t>
      </w:r>
      <w:r>
        <w:rPr>
          <w:rFonts w:ascii="Times New Roman" w:eastAsia="Times New Roman"/>
          <w:position w:val="1"/>
        </w:rPr>
        <w:t>5.2-43</w:t>
      </w:r>
      <w:r>
        <w:rPr/>
        <w:t>。</w:t>
      </w:r>
    </w:p>
    <w:p>
      <w:pPr>
        <w:pStyle w:val="Heading3"/>
        <w:spacing w:before="160"/>
        <w:ind w:left="221" w:right="236"/>
        <w:jc w:val="center"/>
      </w:pPr>
      <w:r>
        <w:rPr/>
        <w:t>表 </w:t>
      </w:r>
      <w:r>
        <w:rPr>
          <w:rFonts w:ascii="Times New Roman" w:eastAsia="Times New Roman"/>
        </w:rPr>
        <w:t>5.2-43  </w:t>
      </w:r>
      <w:r>
        <w:rPr/>
        <w:t>生态环境影响清单</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9"/>
        <w:gridCol w:w="1428"/>
        <w:gridCol w:w="859"/>
        <w:gridCol w:w="1997"/>
        <w:gridCol w:w="1428"/>
        <w:gridCol w:w="1430"/>
        <w:gridCol w:w="1428"/>
      </w:tblGrid>
      <w:tr>
        <w:trPr>
          <w:trHeight w:val="359" w:hRule="atLeast"/>
        </w:trPr>
        <w:tc>
          <w:tcPr>
            <w:tcW w:w="859" w:type="dxa"/>
            <w:vMerge w:val="restart"/>
            <w:tcBorders>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217"/>
              <w:jc w:val="left"/>
              <w:rPr>
                <w:rFonts w:ascii="宋体" w:eastAsia="宋体" w:hint="eastAsia"/>
                <w:b/>
                <w:sz w:val="21"/>
              </w:rPr>
            </w:pPr>
            <w:r>
              <w:rPr>
                <w:rFonts w:ascii="宋体" w:eastAsia="宋体" w:hint="eastAsia"/>
                <w:b/>
                <w:sz w:val="21"/>
              </w:rPr>
              <w:t>阶段</w:t>
            </w:r>
          </w:p>
        </w:tc>
        <w:tc>
          <w:tcPr>
            <w:tcW w:w="2287" w:type="dxa"/>
            <w:gridSpan w:val="2"/>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811" w:right="785"/>
              <w:rPr>
                <w:rFonts w:ascii="宋体" w:eastAsia="宋体" w:hint="eastAsia"/>
                <w:b/>
                <w:sz w:val="21"/>
              </w:rPr>
            </w:pPr>
            <w:r>
              <w:rPr>
                <w:rFonts w:ascii="宋体" w:eastAsia="宋体" w:hint="eastAsia"/>
                <w:b/>
                <w:sz w:val="21"/>
              </w:rPr>
              <w:t>行为</w:t>
            </w:r>
          </w:p>
        </w:tc>
        <w:tc>
          <w:tcPr>
            <w:tcW w:w="1997" w:type="dxa"/>
            <w:vMerge w:val="restart"/>
            <w:tcBorders>
              <w:left w:val="single" w:sz="6" w:space="0" w:color="000000"/>
              <w:bottom w:val="single" w:sz="6" w:space="0" w:color="000000"/>
              <w:right w:val="single" w:sz="6" w:space="0" w:color="000000"/>
            </w:tcBorders>
          </w:tcPr>
          <w:p>
            <w:pPr>
              <w:pStyle w:val="TableParagraph"/>
              <w:spacing w:before="2"/>
              <w:jc w:val="left"/>
              <w:rPr>
                <w:rFonts w:ascii="宋体"/>
                <w:b/>
                <w:sz w:val="18"/>
              </w:rPr>
            </w:pPr>
          </w:p>
          <w:p>
            <w:pPr>
              <w:pStyle w:val="TableParagraph"/>
              <w:spacing w:before="0"/>
              <w:ind w:left="372"/>
              <w:jc w:val="left"/>
              <w:rPr>
                <w:rFonts w:ascii="宋体" w:eastAsia="宋体" w:hint="eastAsia"/>
                <w:b/>
                <w:sz w:val="21"/>
              </w:rPr>
            </w:pPr>
            <w:r>
              <w:rPr>
                <w:rFonts w:ascii="宋体" w:eastAsia="宋体" w:hint="eastAsia"/>
                <w:b/>
                <w:sz w:val="21"/>
              </w:rPr>
              <w:t>土地利用格局</w:t>
            </w:r>
          </w:p>
        </w:tc>
        <w:tc>
          <w:tcPr>
            <w:tcW w:w="2858" w:type="dxa"/>
            <w:gridSpan w:val="2"/>
            <w:tcBorders>
              <w:left w:val="single" w:sz="6" w:space="0" w:color="000000"/>
              <w:bottom w:val="single" w:sz="6" w:space="0" w:color="000000"/>
              <w:right w:val="single" w:sz="6" w:space="0" w:color="000000"/>
            </w:tcBorders>
          </w:tcPr>
          <w:p>
            <w:pPr>
              <w:pStyle w:val="TableParagraph"/>
              <w:spacing w:before="46"/>
              <w:ind w:left="910"/>
              <w:jc w:val="left"/>
              <w:rPr>
                <w:rFonts w:ascii="宋体" w:eastAsia="宋体" w:hint="eastAsia"/>
                <w:b/>
                <w:sz w:val="21"/>
              </w:rPr>
            </w:pPr>
            <w:r>
              <w:rPr>
                <w:rFonts w:ascii="宋体" w:eastAsia="宋体" w:hint="eastAsia"/>
                <w:b/>
                <w:sz w:val="21"/>
              </w:rPr>
              <w:t>生物多样性</w:t>
            </w:r>
          </w:p>
        </w:tc>
        <w:tc>
          <w:tcPr>
            <w:tcW w:w="1428" w:type="dxa"/>
            <w:vMerge w:val="restart"/>
            <w:tcBorders>
              <w:left w:val="single" w:sz="6" w:space="0" w:color="000000"/>
              <w:bottom w:val="single" w:sz="6" w:space="0" w:color="000000"/>
            </w:tcBorders>
          </w:tcPr>
          <w:p>
            <w:pPr>
              <w:pStyle w:val="TableParagraph"/>
              <w:spacing w:before="2"/>
              <w:jc w:val="left"/>
              <w:rPr>
                <w:rFonts w:ascii="宋体"/>
                <w:b/>
                <w:sz w:val="18"/>
              </w:rPr>
            </w:pPr>
          </w:p>
          <w:p>
            <w:pPr>
              <w:pStyle w:val="TableParagraph"/>
              <w:spacing w:before="0"/>
              <w:ind w:left="301"/>
              <w:jc w:val="left"/>
              <w:rPr>
                <w:rFonts w:ascii="宋体" w:eastAsia="宋体" w:hint="eastAsia"/>
                <w:b/>
                <w:sz w:val="21"/>
              </w:rPr>
            </w:pPr>
            <w:r>
              <w:rPr>
                <w:rFonts w:ascii="宋体" w:eastAsia="宋体" w:hint="eastAsia"/>
                <w:b/>
                <w:sz w:val="21"/>
              </w:rPr>
              <w:t>水土流失</w:t>
            </w:r>
          </w:p>
        </w:tc>
      </w:tr>
      <w:tr>
        <w:trPr>
          <w:trHeight w:val="357" w:hRule="atLeast"/>
        </w:trPr>
        <w:tc>
          <w:tcPr>
            <w:tcW w:w="859" w:type="dxa"/>
            <w:vMerge/>
            <w:tcBorders>
              <w:top w:val="nil"/>
              <w:bottom w:val="single" w:sz="6" w:space="0" w:color="000000"/>
              <w:right w:val="single" w:sz="6" w:space="0" w:color="000000"/>
            </w:tcBorders>
          </w:tcPr>
          <w:p>
            <w:pPr>
              <w:rPr>
                <w:sz w:val="2"/>
                <w:szCs w:val="2"/>
              </w:rPr>
            </w:pPr>
          </w:p>
        </w:tc>
        <w:tc>
          <w:tcPr>
            <w:tcW w:w="2287" w:type="dxa"/>
            <w:gridSpan w:val="2"/>
            <w:vMerge/>
            <w:tcBorders>
              <w:top w:val="nil"/>
              <w:left w:val="single" w:sz="6" w:space="0" w:color="000000"/>
              <w:bottom w:val="single" w:sz="6" w:space="0" w:color="000000"/>
              <w:right w:val="single" w:sz="6" w:space="0" w:color="000000"/>
            </w:tcBorders>
          </w:tcPr>
          <w:p>
            <w:pPr>
              <w:rPr>
                <w:sz w:val="2"/>
                <w:szCs w:val="2"/>
              </w:rPr>
            </w:pPr>
          </w:p>
        </w:tc>
        <w:tc>
          <w:tcPr>
            <w:tcW w:w="1997" w:type="dxa"/>
            <w:vMerge/>
            <w:tcBorders>
              <w:top w:val="nil"/>
              <w:left w:val="single" w:sz="6" w:space="0" w:color="000000"/>
              <w:bottom w:val="single" w:sz="6" w:space="0" w:color="000000"/>
              <w:right w:val="single" w:sz="6" w:space="0" w:color="000000"/>
            </w:tcBorders>
          </w:tcPr>
          <w:p>
            <w:pPr>
              <w:rPr>
                <w:sz w:val="2"/>
                <w:szCs w:val="2"/>
              </w:rPr>
            </w:pP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47"/>
              <w:ind w:left="139" w:right="106"/>
              <w:rPr>
                <w:rFonts w:ascii="宋体" w:eastAsia="宋体" w:hint="eastAsia"/>
                <w:b/>
                <w:sz w:val="21"/>
              </w:rPr>
            </w:pPr>
            <w:r>
              <w:rPr>
                <w:rFonts w:ascii="宋体" w:eastAsia="宋体" w:hint="eastAsia"/>
                <w:b/>
                <w:sz w:val="21"/>
              </w:rPr>
              <w:t>陆生生物</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47"/>
              <w:ind w:left="281" w:right="249"/>
              <w:rPr>
                <w:rFonts w:ascii="宋体" w:eastAsia="宋体" w:hint="eastAsia"/>
                <w:b/>
                <w:sz w:val="21"/>
              </w:rPr>
            </w:pPr>
            <w:r>
              <w:rPr>
                <w:rFonts w:ascii="宋体" w:eastAsia="宋体" w:hint="eastAsia"/>
                <w:b/>
                <w:sz w:val="21"/>
              </w:rPr>
              <w:t>水生生物</w:t>
            </w:r>
          </w:p>
        </w:tc>
        <w:tc>
          <w:tcPr>
            <w:tcW w:w="1428" w:type="dxa"/>
            <w:vMerge/>
            <w:tcBorders>
              <w:top w:val="nil"/>
              <w:left w:val="single" w:sz="6" w:space="0" w:color="000000"/>
              <w:bottom w:val="single" w:sz="6" w:space="0" w:color="000000"/>
            </w:tcBorders>
          </w:tcPr>
          <w:p>
            <w:pPr>
              <w:rPr>
                <w:sz w:val="2"/>
                <w:szCs w:val="2"/>
              </w:rPr>
            </w:pPr>
          </w:p>
        </w:tc>
      </w:tr>
      <w:tr>
        <w:trPr>
          <w:trHeight w:val="359" w:hRule="atLeast"/>
        </w:trPr>
        <w:tc>
          <w:tcPr>
            <w:tcW w:w="859"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before="1"/>
              <w:ind w:left="217"/>
              <w:jc w:val="left"/>
              <w:rPr>
                <w:rFonts w:ascii="宋体" w:eastAsia="宋体" w:hint="eastAsia"/>
                <w:sz w:val="21"/>
              </w:rPr>
            </w:pPr>
            <w:r>
              <w:rPr>
                <w:rFonts w:ascii="宋体" w:eastAsia="宋体" w:hint="eastAsia"/>
                <w:sz w:val="21"/>
              </w:rPr>
              <w:t>施工</w:t>
            </w:r>
          </w:p>
        </w:tc>
        <w:tc>
          <w:tcPr>
            <w:tcW w:w="228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816" w:right="785"/>
              <w:rPr>
                <w:rFonts w:ascii="宋体" w:eastAsia="宋体" w:hint="eastAsia"/>
                <w:sz w:val="21"/>
              </w:rPr>
            </w:pPr>
            <w:r>
              <w:rPr>
                <w:rFonts w:ascii="宋体" w:eastAsia="宋体" w:hint="eastAsia"/>
                <w:sz w:val="21"/>
              </w:rPr>
              <w:t>土石方</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spacing w:before="60"/>
              <w:ind w:left="861" w:right="831"/>
              <w:rPr>
                <w:sz w:val="21"/>
              </w:rPr>
            </w:pPr>
            <w:r>
              <w:rPr>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60"/>
              <w:ind w:left="137" w:right="108"/>
              <w:rPr>
                <w:sz w:val="21"/>
              </w:rPr>
            </w:pPr>
            <w:r>
              <w:rPr>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53"/>
              <w:ind w:left="281" w:right="248"/>
              <w:rPr>
                <w:rFonts w:ascii="Cambria Math" w:hAnsi="Cambria Math"/>
                <w:sz w:val="21"/>
              </w:rPr>
            </w:pPr>
            <w:r>
              <w:rPr>
                <w:position w:val="1"/>
                <w:sz w:val="21"/>
              </w:rPr>
              <w:t>-</w:t>
            </w:r>
            <w:r>
              <w:rPr>
                <w:rFonts w:ascii="Cambria Math" w:hAnsi="Cambria Math"/>
                <w:sz w:val="21"/>
              </w:rPr>
              <w:t>△</w:t>
            </w:r>
          </w:p>
        </w:tc>
        <w:tc>
          <w:tcPr>
            <w:tcW w:w="1428" w:type="dxa"/>
            <w:tcBorders>
              <w:top w:val="single" w:sz="6" w:space="0" w:color="000000"/>
              <w:left w:val="single" w:sz="6" w:space="0" w:color="000000"/>
              <w:bottom w:val="single" w:sz="6" w:space="0" w:color="000000"/>
            </w:tcBorders>
          </w:tcPr>
          <w:p>
            <w:pPr>
              <w:pStyle w:val="TableParagraph"/>
              <w:spacing w:before="60"/>
              <w:ind w:left="578" w:right="540"/>
              <w:rPr>
                <w:sz w:val="21"/>
              </w:rPr>
            </w:pPr>
            <w:r>
              <w:rPr>
                <w:sz w:val="21"/>
              </w:rPr>
              <w:t>-□</w:t>
            </w:r>
          </w:p>
        </w:tc>
      </w:tr>
      <w:tr>
        <w:trPr>
          <w:trHeight w:val="359" w:hRule="atLeast"/>
        </w:trPr>
        <w:tc>
          <w:tcPr>
            <w:tcW w:w="859" w:type="dxa"/>
            <w:vMerge/>
            <w:tcBorders>
              <w:top w:val="nil"/>
              <w:bottom w:val="single" w:sz="6" w:space="0" w:color="000000"/>
              <w:right w:val="single" w:sz="6" w:space="0" w:color="000000"/>
            </w:tcBorders>
          </w:tcPr>
          <w:p>
            <w:pPr>
              <w:rPr>
                <w:sz w:val="2"/>
                <w:szCs w:val="2"/>
              </w:rPr>
            </w:pPr>
          </w:p>
        </w:tc>
        <w:tc>
          <w:tcPr>
            <w:tcW w:w="228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729"/>
              <w:jc w:val="left"/>
              <w:rPr>
                <w:rFonts w:ascii="宋体" w:eastAsia="宋体" w:hint="eastAsia"/>
                <w:sz w:val="21"/>
              </w:rPr>
            </w:pPr>
            <w:r>
              <w:rPr>
                <w:rFonts w:ascii="宋体" w:eastAsia="宋体" w:hint="eastAsia"/>
                <w:sz w:val="21"/>
              </w:rPr>
              <w:t>基础施工</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ind w:left="861" w:right="831"/>
              <w:rPr>
                <w:sz w:val="21"/>
              </w:rPr>
            </w:pPr>
            <w:r>
              <w:rPr>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137" w:right="108"/>
              <w:rPr>
                <w:sz w:val="21"/>
              </w:rPr>
            </w:pPr>
            <w:r>
              <w:rPr>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50"/>
              <w:ind w:left="281" w:right="248"/>
              <w:rPr>
                <w:rFonts w:ascii="Cambria Math" w:hAnsi="Cambria Math"/>
                <w:sz w:val="21"/>
              </w:rPr>
            </w:pPr>
            <w:r>
              <w:rPr>
                <w:position w:val="1"/>
                <w:sz w:val="21"/>
              </w:rPr>
              <w:t>-</w:t>
            </w:r>
            <w:r>
              <w:rPr>
                <w:rFonts w:ascii="Cambria Math" w:hAnsi="Cambria Math"/>
                <w:sz w:val="21"/>
              </w:rPr>
              <w:t>△</w:t>
            </w:r>
          </w:p>
        </w:tc>
        <w:tc>
          <w:tcPr>
            <w:tcW w:w="1428" w:type="dxa"/>
            <w:tcBorders>
              <w:top w:val="single" w:sz="6" w:space="0" w:color="000000"/>
              <w:left w:val="single" w:sz="6" w:space="0" w:color="000000"/>
              <w:bottom w:val="single" w:sz="6" w:space="0" w:color="000000"/>
            </w:tcBorders>
          </w:tcPr>
          <w:p>
            <w:pPr>
              <w:pStyle w:val="TableParagraph"/>
              <w:ind w:left="578" w:right="540"/>
              <w:rPr>
                <w:sz w:val="21"/>
              </w:rPr>
            </w:pPr>
            <w:r>
              <w:rPr>
                <w:sz w:val="21"/>
              </w:rPr>
              <w:t>-□</w:t>
            </w:r>
          </w:p>
        </w:tc>
      </w:tr>
      <w:tr>
        <w:trPr>
          <w:trHeight w:val="359" w:hRule="atLeast"/>
        </w:trPr>
        <w:tc>
          <w:tcPr>
            <w:tcW w:w="859" w:type="dxa"/>
            <w:vMerge/>
            <w:tcBorders>
              <w:top w:val="nil"/>
              <w:bottom w:val="single" w:sz="6" w:space="0" w:color="000000"/>
              <w:right w:val="single" w:sz="6" w:space="0" w:color="000000"/>
            </w:tcBorders>
          </w:tcPr>
          <w:p>
            <w:pPr>
              <w:rPr>
                <w:sz w:val="2"/>
                <w:szCs w:val="2"/>
              </w:rPr>
            </w:pPr>
          </w:p>
        </w:tc>
        <w:tc>
          <w:tcPr>
            <w:tcW w:w="228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816" w:right="785"/>
              <w:rPr>
                <w:rFonts w:ascii="宋体" w:eastAsia="宋体" w:hint="eastAsia"/>
                <w:sz w:val="21"/>
              </w:rPr>
            </w:pPr>
            <w:r>
              <w:rPr>
                <w:rFonts w:ascii="宋体" w:eastAsia="宋体" w:hint="eastAsia"/>
                <w:sz w:val="21"/>
              </w:rPr>
              <w:t>结构</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ind w:left="861" w:right="831"/>
              <w:rPr>
                <w:sz w:val="21"/>
              </w:rPr>
            </w:pPr>
            <w:r>
              <w:rPr>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50"/>
              <w:ind w:left="137" w:right="108"/>
              <w:rPr>
                <w:rFonts w:ascii="Cambria Math" w:hAnsi="Cambria Math"/>
                <w:sz w:val="21"/>
              </w:rPr>
            </w:pPr>
            <w:r>
              <w:rPr>
                <w:position w:val="1"/>
                <w:sz w:val="21"/>
              </w:rPr>
              <w:t>-</w:t>
            </w:r>
            <w:r>
              <w:rPr>
                <w:rFonts w:ascii="Cambria Math" w:hAnsi="Cambria Math"/>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50"/>
              <w:ind w:left="281" w:right="248"/>
              <w:rPr>
                <w:rFonts w:ascii="Cambria Math" w:hAnsi="Cambria Math"/>
                <w:sz w:val="21"/>
              </w:rPr>
            </w:pPr>
            <w:r>
              <w:rPr>
                <w:position w:val="1"/>
                <w:sz w:val="21"/>
              </w:rPr>
              <w:t>-</w:t>
            </w:r>
            <w:r>
              <w:rPr>
                <w:rFonts w:ascii="Cambria Math" w:hAnsi="Cambria Math"/>
                <w:sz w:val="21"/>
              </w:rPr>
              <w:t>△</w:t>
            </w:r>
          </w:p>
        </w:tc>
        <w:tc>
          <w:tcPr>
            <w:tcW w:w="1428" w:type="dxa"/>
            <w:tcBorders>
              <w:top w:val="single" w:sz="6" w:space="0" w:color="000000"/>
              <w:left w:val="single" w:sz="6" w:space="0" w:color="000000"/>
              <w:bottom w:val="single" w:sz="6" w:space="0" w:color="000000"/>
            </w:tcBorders>
          </w:tcPr>
          <w:p>
            <w:pPr>
              <w:pStyle w:val="TableParagraph"/>
              <w:spacing w:before="50"/>
              <w:ind w:left="579" w:right="540"/>
              <w:rPr>
                <w:rFonts w:ascii="Cambria Math" w:hAnsi="Cambria Math"/>
                <w:sz w:val="21"/>
              </w:rPr>
            </w:pPr>
            <w:r>
              <w:rPr>
                <w:position w:val="1"/>
                <w:sz w:val="21"/>
              </w:rPr>
              <w:t>-</w:t>
            </w:r>
            <w:r>
              <w:rPr>
                <w:rFonts w:ascii="Cambria Math" w:hAnsi="Cambria Math"/>
                <w:sz w:val="21"/>
              </w:rPr>
              <w:t>△</w:t>
            </w:r>
          </w:p>
        </w:tc>
      </w:tr>
      <w:tr>
        <w:trPr>
          <w:trHeight w:val="356" w:hRule="atLeast"/>
        </w:trPr>
        <w:tc>
          <w:tcPr>
            <w:tcW w:w="859" w:type="dxa"/>
            <w:vMerge/>
            <w:tcBorders>
              <w:top w:val="nil"/>
              <w:bottom w:val="single" w:sz="6" w:space="0" w:color="000000"/>
              <w:right w:val="single" w:sz="6" w:space="0" w:color="000000"/>
            </w:tcBorders>
          </w:tcPr>
          <w:p>
            <w:pPr>
              <w:rPr>
                <w:sz w:val="2"/>
                <w:szCs w:val="2"/>
              </w:rPr>
            </w:pPr>
          </w:p>
        </w:tc>
        <w:tc>
          <w:tcPr>
            <w:tcW w:w="228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6"/>
              <w:ind w:left="816" w:right="785"/>
              <w:rPr>
                <w:rFonts w:ascii="宋体" w:eastAsia="宋体" w:hint="eastAsia"/>
                <w:sz w:val="21"/>
              </w:rPr>
            </w:pPr>
            <w:r>
              <w:rPr>
                <w:rFonts w:ascii="宋体" w:eastAsia="宋体" w:hint="eastAsia"/>
                <w:sz w:val="21"/>
              </w:rPr>
              <w:t>装修</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ind w:left="861" w:right="831"/>
              <w:rPr>
                <w:sz w:val="21"/>
              </w:rPr>
            </w:pPr>
            <w:r>
              <w:rPr>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50"/>
              <w:ind w:left="137" w:right="108"/>
              <w:rPr>
                <w:rFonts w:ascii="Cambria Math" w:hAnsi="Cambria Math"/>
                <w:sz w:val="21"/>
              </w:rPr>
            </w:pPr>
            <w:r>
              <w:rPr>
                <w:position w:val="1"/>
                <w:sz w:val="21"/>
              </w:rPr>
              <w:t>-</w:t>
            </w:r>
            <w:r>
              <w:rPr>
                <w:rFonts w:ascii="Cambria Math" w:hAnsi="Cambria Math"/>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50"/>
              <w:ind w:left="281" w:right="248"/>
              <w:rPr>
                <w:rFonts w:ascii="Cambria Math" w:hAnsi="Cambria Math"/>
                <w:sz w:val="21"/>
              </w:rPr>
            </w:pPr>
            <w:r>
              <w:rPr>
                <w:position w:val="1"/>
                <w:sz w:val="21"/>
              </w:rPr>
              <w:t>-</w:t>
            </w:r>
            <w:r>
              <w:rPr>
                <w:rFonts w:ascii="Cambria Math" w:hAnsi="Cambria Math"/>
                <w:sz w:val="21"/>
              </w:rPr>
              <w:t>△</w:t>
            </w:r>
          </w:p>
        </w:tc>
        <w:tc>
          <w:tcPr>
            <w:tcW w:w="1428" w:type="dxa"/>
            <w:tcBorders>
              <w:top w:val="single" w:sz="6" w:space="0" w:color="000000"/>
              <w:left w:val="single" w:sz="6" w:space="0" w:color="000000"/>
              <w:bottom w:val="single" w:sz="6" w:space="0" w:color="000000"/>
            </w:tcBorders>
          </w:tcPr>
          <w:p>
            <w:pPr>
              <w:pStyle w:val="TableParagraph"/>
              <w:spacing w:before="50"/>
              <w:ind w:left="579" w:right="540"/>
              <w:rPr>
                <w:rFonts w:ascii="Cambria Math" w:hAnsi="Cambria Math"/>
                <w:sz w:val="21"/>
              </w:rPr>
            </w:pPr>
            <w:r>
              <w:rPr>
                <w:position w:val="1"/>
                <w:sz w:val="21"/>
              </w:rPr>
              <w:t>-</w:t>
            </w:r>
            <w:r>
              <w:rPr>
                <w:rFonts w:ascii="Cambria Math" w:hAnsi="Cambria Math"/>
                <w:sz w:val="21"/>
              </w:rPr>
              <w:t>△</w:t>
            </w:r>
          </w:p>
        </w:tc>
      </w:tr>
      <w:tr>
        <w:trPr>
          <w:trHeight w:val="359" w:hRule="atLeast"/>
        </w:trPr>
        <w:tc>
          <w:tcPr>
            <w:tcW w:w="859"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before="1"/>
              <w:ind w:left="217"/>
              <w:jc w:val="left"/>
              <w:rPr>
                <w:rFonts w:ascii="宋体" w:eastAsia="宋体" w:hint="eastAsia"/>
                <w:sz w:val="21"/>
              </w:rPr>
            </w:pPr>
            <w:r>
              <w:rPr>
                <w:rFonts w:ascii="宋体" w:eastAsia="宋体" w:hint="eastAsia"/>
                <w:sz w:val="21"/>
              </w:rPr>
              <w:t>运营</w:t>
            </w:r>
          </w:p>
        </w:tc>
        <w:tc>
          <w:tcPr>
            <w:tcW w:w="142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before="1"/>
              <w:ind w:left="299"/>
              <w:jc w:val="left"/>
              <w:rPr>
                <w:rFonts w:ascii="宋体" w:eastAsia="宋体" w:hint="eastAsia"/>
                <w:sz w:val="21"/>
              </w:rPr>
            </w:pPr>
            <w:r>
              <w:rPr>
                <w:rFonts w:ascii="宋体" w:eastAsia="宋体" w:hint="eastAsia"/>
                <w:sz w:val="21"/>
              </w:rPr>
              <w:t>污染排放</w:t>
            </w: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49"/>
              <w:ind w:left="207" w:right="177"/>
              <w:rPr>
                <w:rFonts w:ascii="宋体" w:eastAsia="宋体" w:hint="eastAsia"/>
                <w:sz w:val="21"/>
              </w:rPr>
            </w:pPr>
            <w:r>
              <w:rPr>
                <w:rFonts w:ascii="宋体" w:eastAsia="宋体" w:hint="eastAsia"/>
                <w:sz w:val="21"/>
              </w:rPr>
              <w:t>废气</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1"/>
              </w:rPr>
            </w:pPr>
            <w:r>
              <w:rPr>
                <w:w w:val="100"/>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60"/>
              <w:ind w:left="136" w:right="108"/>
              <w:rPr>
                <w:sz w:val="21"/>
              </w:rPr>
            </w:pPr>
            <w:r>
              <w:rPr>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60"/>
              <w:ind w:left="33"/>
              <w:rPr>
                <w:sz w:val="21"/>
              </w:rPr>
            </w:pPr>
            <w:r>
              <w:rPr>
                <w:w w:val="100"/>
                <w:sz w:val="21"/>
              </w:rPr>
              <w:t>/</w:t>
            </w:r>
          </w:p>
        </w:tc>
        <w:tc>
          <w:tcPr>
            <w:tcW w:w="1428" w:type="dxa"/>
            <w:tcBorders>
              <w:top w:val="single" w:sz="6" w:space="0" w:color="000000"/>
              <w:left w:val="single" w:sz="6" w:space="0" w:color="000000"/>
              <w:bottom w:val="single" w:sz="6" w:space="0" w:color="000000"/>
            </w:tcBorders>
          </w:tcPr>
          <w:p>
            <w:pPr>
              <w:pStyle w:val="TableParagraph"/>
              <w:spacing w:before="60"/>
              <w:ind w:left="40"/>
              <w:rPr>
                <w:sz w:val="21"/>
              </w:rPr>
            </w:pPr>
            <w:r>
              <w:rPr>
                <w:w w:val="100"/>
                <w:sz w:val="21"/>
              </w:rPr>
              <w:t>/</w:t>
            </w:r>
          </w:p>
        </w:tc>
      </w:tr>
      <w:tr>
        <w:trPr>
          <w:trHeight w:val="359" w:hRule="atLeast"/>
        </w:trPr>
        <w:tc>
          <w:tcPr>
            <w:tcW w:w="859"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46"/>
              <w:ind w:left="207" w:right="177"/>
              <w:rPr>
                <w:rFonts w:ascii="宋体" w:eastAsia="宋体" w:hint="eastAsia"/>
                <w:sz w:val="21"/>
              </w:rPr>
            </w:pPr>
            <w:r>
              <w:rPr>
                <w:rFonts w:ascii="宋体" w:eastAsia="宋体" w:hint="eastAsia"/>
                <w:sz w:val="21"/>
              </w:rPr>
              <w:t>废水</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w w:val="100"/>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136" w:right="108"/>
              <w:rPr>
                <w:sz w:val="21"/>
              </w:rPr>
            </w:pPr>
            <w:r>
              <w:rPr>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50"/>
              <w:ind w:left="281" w:right="248"/>
              <w:rPr>
                <w:rFonts w:ascii="Cambria Math" w:hAnsi="Cambria Math"/>
                <w:sz w:val="21"/>
              </w:rPr>
            </w:pPr>
            <w:r>
              <w:rPr>
                <w:position w:val="1"/>
                <w:sz w:val="21"/>
              </w:rPr>
              <w:t>-</w:t>
            </w:r>
            <w:r>
              <w:rPr>
                <w:rFonts w:ascii="Cambria Math" w:hAnsi="Cambria Math"/>
                <w:sz w:val="21"/>
              </w:rPr>
              <w:t>△</w:t>
            </w:r>
          </w:p>
        </w:tc>
        <w:tc>
          <w:tcPr>
            <w:tcW w:w="142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w:t>
            </w:r>
          </w:p>
        </w:tc>
      </w:tr>
      <w:tr>
        <w:trPr>
          <w:trHeight w:val="359" w:hRule="atLeast"/>
        </w:trPr>
        <w:tc>
          <w:tcPr>
            <w:tcW w:w="859"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46"/>
              <w:ind w:left="207" w:right="177"/>
              <w:rPr>
                <w:rFonts w:ascii="宋体" w:eastAsia="宋体" w:hint="eastAsia"/>
                <w:sz w:val="21"/>
              </w:rPr>
            </w:pPr>
            <w:r>
              <w:rPr>
                <w:rFonts w:ascii="宋体" w:eastAsia="宋体" w:hint="eastAsia"/>
                <w:sz w:val="21"/>
              </w:rPr>
              <w:t>噪声</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w w:val="100"/>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136" w:right="108"/>
              <w:rPr>
                <w:sz w:val="21"/>
              </w:rPr>
            </w:pPr>
            <w:r>
              <w:rPr>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ind w:left="33"/>
              <w:rPr>
                <w:sz w:val="21"/>
              </w:rPr>
            </w:pPr>
            <w:r>
              <w:rPr>
                <w:w w:val="100"/>
                <w:sz w:val="21"/>
              </w:rPr>
              <w:t>/</w:t>
            </w:r>
          </w:p>
        </w:tc>
        <w:tc>
          <w:tcPr>
            <w:tcW w:w="142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w:t>
            </w:r>
          </w:p>
        </w:tc>
      </w:tr>
      <w:tr>
        <w:trPr>
          <w:trHeight w:val="356" w:hRule="atLeast"/>
        </w:trPr>
        <w:tc>
          <w:tcPr>
            <w:tcW w:w="859" w:type="dxa"/>
            <w:vMerge/>
            <w:tcBorders>
              <w:top w:val="nil"/>
              <w:bottom w:val="single" w:sz="6" w:space="0" w:color="000000"/>
              <w:right w:val="single" w:sz="6" w:space="0" w:color="000000"/>
            </w:tcBorders>
          </w:tcPr>
          <w:p>
            <w:pPr>
              <w:rPr>
                <w:sz w:val="2"/>
                <w:szCs w:val="2"/>
              </w:rPr>
            </w:pPr>
          </w:p>
        </w:tc>
        <w:tc>
          <w:tcPr>
            <w:tcW w:w="1428" w:type="dxa"/>
            <w:vMerge/>
            <w:tcBorders>
              <w:top w:val="nil"/>
              <w:left w:val="single" w:sz="6" w:space="0" w:color="000000"/>
              <w:bottom w:val="single" w:sz="6" w:space="0" w:color="000000"/>
              <w:right w:val="single" w:sz="6" w:space="0" w:color="000000"/>
            </w:tcBorders>
          </w:tcPr>
          <w:p>
            <w:pPr>
              <w:rPr>
                <w:sz w:val="2"/>
                <w:szCs w:val="2"/>
              </w:rPr>
            </w:pPr>
          </w:p>
        </w:tc>
        <w:tc>
          <w:tcPr>
            <w:tcW w:w="859" w:type="dxa"/>
            <w:tcBorders>
              <w:top w:val="single" w:sz="6" w:space="0" w:color="000000"/>
              <w:left w:val="single" w:sz="6" w:space="0" w:color="000000"/>
              <w:bottom w:val="single" w:sz="6" w:space="0" w:color="000000"/>
              <w:right w:val="single" w:sz="6" w:space="0" w:color="000000"/>
            </w:tcBorders>
          </w:tcPr>
          <w:p>
            <w:pPr>
              <w:pStyle w:val="TableParagraph"/>
              <w:spacing w:before="46"/>
              <w:ind w:left="207" w:right="177"/>
              <w:rPr>
                <w:rFonts w:ascii="宋体" w:eastAsia="宋体" w:hint="eastAsia"/>
                <w:sz w:val="21"/>
              </w:rPr>
            </w:pPr>
            <w:r>
              <w:rPr>
                <w:rFonts w:ascii="宋体" w:eastAsia="宋体" w:hint="eastAsia"/>
                <w:sz w:val="21"/>
              </w:rPr>
              <w:t>固废</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w w:val="100"/>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ind w:left="136" w:right="108"/>
              <w:rPr>
                <w:sz w:val="21"/>
              </w:rPr>
            </w:pPr>
            <w:r>
              <w:rPr>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50"/>
              <w:ind w:left="281" w:right="248"/>
              <w:rPr>
                <w:rFonts w:ascii="Cambria Math" w:hAnsi="Cambria Math"/>
                <w:sz w:val="21"/>
              </w:rPr>
            </w:pPr>
            <w:r>
              <w:rPr>
                <w:position w:val="1"/>
                <w:sz w:val="21"/>
              </w:rPr>
              <w:t>-</w:t>
            </w:r>
            <w:r>
              <w:rPr>
                <w:rFonts w:ascii="Cambria Math" w:hAnsi="Cambria Math"/>
                <w:sz w:val="21"/>
              </w:rPr>
              <w:t>△</w:t>
            </w:r>
          </w:p>
        </w:tc>
        <w:tc>
          <w:tcPr>
            <w:tcW w:w="142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w:t>
            </w:r>
          </w:p>
        </w:tc>
      </w:tr>
      <w:tr>
        <w:trPr>
          <w:trHeight w:val="352" w:hRule="atLeast"/>
        </w:trPr>
        <w:tc>
          <w:tcPr>
            <w:tcW w:w="859" w:type="dxa"/>
            <w:vMerge w:val="restart"/>
            <w:tcBorders>
              <w:top w:val="single" w:sz="6" w:space="0" w:color="000000"/>
              <w:right w:val="single" w:sz="6" w:space="0" w:color="000000"/>
            </w:tcBorders>
          </w:tcPr>
          <w:p>
            <w:pPr>
              <w:pStyle w:val="TableParagraph"/>
              <w:spacing w:before="6"/>
              <w:jc w:val="left"/>
              <w:rPr>
                <w:rFonts w:ascii="宋体"/>
                <w:b/>
                <w:sz w:val="18"/>
              </w:rPr>
            </w:pPr>
          </w:p>
          <w:p>
            <w:pPr>
              <w:pStyle w:val="TableParagraph"/>
              <w:spacing w:before="0"/>
              <w:ind w:left="217"/>
              <w:jc w:val="left"/>
              <w:rPr>
                <w:rFonts w:ascii="宋体" w:eastAsia="宋体" w:hint="eastAsia"/>
                <w:sz w:val="21"/>
              </w:rPr>
            </w:pPr>
            <w:r>
              <w:rPr>
                <w:rFonts w:ascii="宋体" w:eastAsia="宋体" w:hint="eastAsia"/>
                <w:sz w:val="21"/>
              </w:rPr>
              <w:t>退役</w:t>
            </w:r>
          </w:p>
        </w:tc>
        <w:tc>
          <w:tcPr>
            <w:tcW w:w="228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9"/>
              <w:ind w:left="729"/>
              <w:jc w:val="left"/>
              <w:rPr>
                <w:rFonts w:ascii="宋体" w:eastAsia="宋体" w:hint="eastAsia"/>
                <w:sz w:val="21"/>
              </w:rPr>
            </w:pPr>
            <w:r>
              <w:rPr>
                <w:rFonts w:ascii="宋体" w:eastAsia="宋体" w:hint="eastAsia"/>
                <w:sz w:val="21"/>
              </w:rPr>
              <w:t>企业拆除</w:t>
            </w:r>
          </w:p>
        </w:tc>
        <w:tc>
          <w:tcPr>
            <w:tcW w:w="1997" w:type="dxa"/>
            <w:tcBorders>
              <w:top w:val="single" w:sz="6" w:space="0" w:color="000000"/>
              <w:left w:val="single" w:sz="6" w:space="0" w:color="000000"/>
              <w:bottom w:val="single" w:sz="6" w:space="0" w:color="000000"/>
              <w:right w:val="single" w:sz="6" w:space="0" w:color="000000"/>
            </w:tcBorders>
          </w:tcPr>
          <w:p>
            <w:pPr>
              <w:pStyle w:val="TableParagraph"/>
              <w:spacing w:before="60"/>
              <w:ind w:left="865" w:right="831"/>
              <w:rPr>
                <w:sz w:val="21"/>
              </w:rPr>
            </w:pPr>
            <w:r>
              <w:rPr>
                <w:sz w:val="21"/>
              </w:rPr>
              <w:t>+■</w:t>
            </w:r>
          </w:p>
        </w:tc>
        <w:tc>
          <w:tcPr>
            <w:tcW w:w="1428" w:type="dxa"/>
            <w:tcBorders>
              <w:top w:val="single" w:sz="6" w:space="0" w:color="000000"/>
              <w:left w:val="single" w:sz="6" w:space="0" w:color="000000"/>
              <w:bottom w:val="single" w:sz="6" w:space="0" w:color="000000"/>
              <w:right w:val="single" w:sz="6" w:space="0" w:color="000000"/>
            </w:tcBorders>
          </w:tcPr>
          <w:p>
            <w:pPr>
              <w:pStyle w:val="TableParagraph"/>
              <w:spacing w:before="60"/>
              <w:ind w:left="139" w:right="107"/>
              <w:rPr>
                <w:sz w:val="21"/>
              </w:rPr>
            </w:pPr>
            <w:r>
              <w:rPr>
                <w:sz w:val="21"/>
              </w:rPr>
              <w:t>+▲</w:t>
            </w:r>
          </w:p>
        </w:tc>
        <w:tc>
          <w:tcPr>
            <w:tcW w:w="1430" w:type="dxa"/>
            <w:tcBorders>
              <w:top w:val="single" w:sz="6" w:space="0" w:color="000000"/>
              <w:left w:val="single" w:sz="6" w:space="0" w:color="000000"/>
              <w:bottom w:val="single" w:sz="6" w:space="0" w:color="000000"/>
              <w:right w:val="single" w:sz="6" w:space="0" w:color="000000"/>
            </w:tcBorders>
          </w:tcPr>
          <w:p>
            <w:pPr>
              <w:pStyle w:val="TableParagraph"/>
              <w:spacing w:before="60"/>
              <w:ind w:left="281" w:right="245"/>
              <w:rPr>
                <w:sz w:val="21"/>
              </w:rPr>
            </w:pPr>
            <w:r>
              <w:rPr>
                <w:sz w:val="21"/>
              </w:rPr>
              <w:t>+▲</w:t>
            </w:r>
          </w:p>
        </w:tc>
        <w:tc>
          <w:tcPr>
            <w:tcW w:w="1428" w:type="dxa"/>
            <w:tcBorders>
              <w:top w:val="single" w:sz="6" w:space="0" w:color="000000"/>
              <w:left w:val="single" w:sz="6" w:space="0" w:color="000000"/>
              <w:bottom w:val="single" w:sz="6" w:space="0" w:color="000000"/>
            </w:tcBorders>
          </w:tcPr>
          <w:p>
            <w:pPr>
              <w:pStyle w:val="TableParagraph"/>
              <w:spacing w:before="53"/>
              <w:ind w:left="579" w:right="540"/>
              <w:rPr>
                <w:rFonts w:ascii="Cambria Math" w:hAnsi="Cambria Math"/>
                <w:sz w:val="21"/>
              </w:rPr>
            </w:pPr>
            <w:r>
              <w:rPr>
                <w:position w:val="1"/>
                <w:sz w:val="21"/>
              </w:rPr>
              <w:t>-</w:t>
            </w:r>
            <w:r>
              <w:rPr>
                <w:rFonts w:ascii="Cambria Math" w:hAnsi="Cambria Math"/>
                <w:sz w:val="21"/>
              </w:rPr>
              <w:t>△</w:t>
            </w:r>
          </w:p>
        </w:tc>
      </w:tr>
      <w:tr>
        <w:trPr>
          <w:trHeight w:val="351" w:hRule="atLeast"/>
        </w:trPr>
        <w:tc>
          <w:tcPr>
            <w:tcW w:w="859" w:type="dxa"/>
            <w:vMerge/>
            <w:tcBorders>
              <w:top w:val="nil"/>
              <w:right w:val="single" w:sz="6" w:space="0" w:color="000000"/>
            </w:tcBorders>
          </w:tcPr>
          <w:p>
            <w:pPr>
              <w:rPr>
                <w:sz w:val="2"/>
                <w:szCs w:val="2"/>
              </w:rPr>
            </w:pPr>
          </w:p>
        </w:tc>
        <w:tc>
          <w:tcPr>
            <w:tcW w:w="2287" w:type="dxa"/>
            <w:gridSpan w:val="2"/>
            <w:tcBorders>
              <w:top w:val="single" w:sz="6" w:space="0" w:color="000000"/>
              <w:left w:val="single" w:sz="6" w:space="0" w:color="000000"/>
              <w:right w:val="single" w:sz="6" w:space="0" w:color="000000"/>
            </w:tcBorders>
          </w:tcPr>
          <w:p>
            <w:pPr>
              <w:pStyle w:val="TableParagraph"/>
              <w:spacing w:before="39"/>
              <w:ind w:left="729"/>
              <w:jc w:val="left"/>
              <w:rPr>
                <w:rFonts w:ascii="宋体" w:eastAsia="宋体" w:hint="eastAsia"/>
                <w:sz w:val="21"/>
              </w:rPr>
            </w:pPr>
            <w:r>
              <w:rPr>
                <w:rFonts w:ascii="宋体" w:eastAsia="宋体" w:hint="eastAsia"/>
                <w:sz w:val="21"/>
              </w:rPr>
              <w:t>污染消除</w:t>
            </w:r>
          </w:p>
        </w:tc>
        <w:tc>
          <w:tcPr>
            <w:tcW w:w="1997" w:type="dxa"/>
            <w:tcBorders>
              <w:top w:val="single" w:sz="6" w:space="0" w:color="000000"/>
              <w:left w:val="single" w:sz="6" w:space="0" w:color="000000"/>
              <w:right w:val="single" w:sz="6" w:space="0" w:color="000000"/>
            </w:tcBorders>
          </w:tcPr>
          <w:p>
            <w:pPr>
              <w:pStyle w:val="TableParagraph"/>
              <w:spacing w:before="50"/>
              <w:ind w:left="865" w:right="831"/>
              <w:rPr>
                <w:sz w:val="21"/>
              </w:rPr>
            </w:pPr>
            <w:r>
              <w:rPr>
                <w:sz w:val="21"/>
              </w:rPr>
              <w:t>+■</w:t>
            </w:r>
          </w:p>
        </w:tc>
        <w:tc>
          <w:tcPr>
            <w:tcW w:w="1428" w:type="dxa"/>
            <w:tcBorders>
              <w:top w:val="single" w:sz="6" w:space="0" w:color="000000"/>
              <w:left w:val="single" w:sz="6" w:space="0" w:color="000000"/>
              <w:right w:val="single" w:sz="6" w:space="0" w:color="000000"/>
            </w:tcBorders>
          </w:tcPr>
          <w:p>
            <w:pPr>
              <w:pStyle w:val="TableParagraph"/>
              <w:spacing w:before="50"/>
              <w:ind w:left="139" w:right="107"/>
              <w:rPr>
                <w:sz w:val="21"/>
              </w:rPr>
            </w:pPr>
            <w:r>
              <w:rPr>
                <w:sz w:val="21"/>
              </w:rPr>
              <w:t>+▲</w:t>
            </w:r>
          </w:p>
        </w:tc>
        <w:tc>
          <w:tcPr>
            <w:tcW w:w="1430" w:type="dxa"/>
            <w:tcBorders>
              <w:top w:val="single" w:sz="6" w:space="0" w:color="000000"/>
              <w:left w:val="single" w:sz="6" w:space="0" w:color="000000"/>
              <w:right w:val="single" w:sz="6" w:space="0" w:color="000000"/>
            </w:tcBorders>
          </w:tcPr>
          <w:p>
            <w:pPr>
              <w:pStyle w:val="TableParagraph"/>
              <w:spacing w:before="50"/>
              <w:ind w:left="281" w:right="245"/>
              <w:rPr>
                <w:sz w:val="21"/>
              </w:rPr>
            </w:pPr>
            <w:r>
              <w:rPr>
                <w:sz w:val="21"/>
              </w:rPr>
              <w:t>+▲</w:t>
            </w:r>
          </w:p>
        </w:tc>
        <w:tc>
          <w:tcPr>
            <w:tcW w:w="1428" w:type="dxa"/>
            <w:tcBorders>
              <w:top w:val="single" w:sz="6" w:space="0" w:color="000000"/>
              <w:left w:val="single" w:sz="6" w:space="0" w:color="000000"/>
            </w:tcBorders>
          </w:tcPr>
          <w:p>
            <w:pPr>
              <w:pStyle w:val="TableParagraph"/>
              <w:spacing w:before="43"/>
              <w:ind w:left="579" w:right="540"/>
              <w:rPr>
                <w:rFonts w:ascii="Cambria Math" w:hAnsi="Cambria Math"/>
                <w:sz w:val="21"/>
              </w:rPr>
            </w:pPr>
            <w:r>
              <w:rPr>
                <w:position w:val="1"/>
                <w:sz w:val="21"/>
              </w:rPr>
              <w:t>-</w:t>
            </w:r>
            <w:r>
              <w:rPr>
                <w:rFonts w:ascii="Cambria Math" w:hAnsi="Cambria Math"/>
                <w:sz w:val="21"/>
              </w:rPr>
              <w:t>△</w:t>
            </w:r>
          </w:p>
        </w:tc>
      </w:tr>
    </w:tbl>
    <w:p>
      <w:pPr>
        <w:spacing w:before="47"/>
        <w:ind w:left="657" w:right="0" w:firstLine="0"/>
        <w:jc w:val="left"/>
        <w:rPr>
          <w:sz w:val="21"/>
        </w:rPr>
      </w:pPr>
      <w:r>
        <w:rPr>
          <w:spacing w:val="-6"/>
          <w:sz w:val="21"/>
        </w:rPr>
        <w:t>注：</w:t>
      </w:r>
      <w:r>
        <w:rPr>
          <w:rFonts w:ascii="Times New Roman" w:hAnsi="Times New Roman" w:eastAsia="Times New Roman"/>
          <w:spacing w:val="-12"/>
          <w:position w:val="1"/>
          <w:sz w:val="21"/>
        </w:rPr>
        <w:t>“■/□”</w:t>
      </w:r>
      <w:r>
        <w:rPr>
          <w:spacing w:val="-2"/>
          <w:sz w:val="21"/>
        </w:rPr>
        <w:t>表示长期</w:t>
      </w:r>
      <w:r>
        <w:rPr>
          <w:rFonts w:ascii="Times New Roman" w:hAnsi="Times New Roman" w:eastAsia="Times New Roman"/>
          <w:position w:val="1"/>
          <w:sz w:val="21"/>
        </w:rPr>
        <w:t>/</w:t>
      </w:r>
      <w:r>
        <w:rPr>
          <w:spacing w:val="-5"/>
          <w:sz w:val="21"/>
        </w:rPr>
        <w:t>短期的严重影响，</w:t>
      </w:r>
      <w:r>
        <w:rPr>
          <w:rFonts w:ascii="Times New Roman" w:hAnsi="Times New Roman" w:eastAsia="Times New Roman"/>
          <w:spacing w:val="-12"/>
          <w:position w:val="1"/>
          <w:sz w:val="21"/>
        </w:rPr>
        <w:t>“+/-”</w:t>
      </w:r>
      <w:r>
        <w:rPr>
          <w:spacing w:val="-3"/>
          <w:sz w:val="21"/>
        </w:rPr>
        <w:t>表示有利</w:t>
      </w:r>
      <w:r>
        <w:rPr>
          <w:rFonts w:ascii="Times New Roman" w:hAnsi="Times New Roman" w:eastAsia="Times New Roman"/>
          <w:position w:val="1"/>
          <w:sz w:val="21"/>
        </w:rPr>
        <w:t>/</w:t>
      </w:r>
      <w:r>
        <w:rPr>
          <w:spacing w:val="-4"/>
          <w:sz w:val="21"/>
        </w:rPr>
        <w:t>不利影响，</w:t>
      </w:r>
      <w:r>
        <w:rPr>
          <w:rFonts w:ascii="Times New Roman" w:hAnsi="Times New Roman" w:eastAsia="Times New Roman"/>
          <w:spacing w:val="-12"/>
          <w:position w:val="1"/>
          <w:sz w:val="21"/>
        </w:rPr>
        <w:t>“▲/</w:t>
      </w:r>
      <w:r>
        <w:rPr>
          <w:rFonts w:ascii="Cambria Math" w:hAnsi="Cambria Math" w:eastAsia="Cambria Math"/>
          <w:spacing w:val="-12"/>
          <w:sz w:val="21"/>
        </w:rPr>
        <w:t>△</w:t>
      </w:r>
      <w:r>
        <w:rPr>
          <w:rFonts w:ascii="Times New Roman" w:hAnsi="Times New Roman" w:eastAsia="Times New Roman"/>
          <w:spacing w:val="-12"/>
          <w:position w:val="1"/>
          <w:sz w:val="21"/>
        </w:rPr>
        <w:t>”</w:t>
      </w:r>
      <w:r>
        <w:rPr>
          <w:spacing w:val="-3"/>
          <w:sz w:val="21"/>
        </w:rPr>
        <w:t>表示长期</w:t>
      </w:r>
      <w:r>
        <w:rPr>
          <w:rFonts w:ascii="Times New Roman" w:hAnsi="Times New Roman" w:eastAsia="Times New Roman"/>
          <w:position w:val="1"/>
          <w:sz w:val="21"/>
        </w:rPr>
        <w:t>/</w:t>
      </w:r>
      <w:r>
        <w:rPr>
          <w:spacing w:val="-2"/>
          <w:sz w:val="21"/>
        </w:rPr>
        <w:t>短期的轻微影响，</w:t>
      </w:r>
    </w:p>
    <w:p>
      <w:pPr>
        <w:spacing w:before="91"/>
        <w:ind w:left="237" w:right="0" w:firstLine="0"/>
        <w:jc w:val="left"/>
        <w:rPr>
          <w:sz w:val="21"/>
        </w:rPr>
      </w:pPr>
      <w:r>
        <w:rPr>
          <w:rFonts w:ascii="Times New Roman" w:hAnsi="Times New Roman" w:eastAsia="Times New Roman"/>
          <w:position w:val="1"/>
          <w:sz w:val="21"/>
        </w:rPr>
        <w:t>“/”</w:t>
      </w:r>
      <w:r>
        <w:rPr>
          <w:sz w:val="21"/>
        </w:rPr>
        <w:t>表示无相关关系。</w:t>
      </w:r>
    </w:p>
    <w:p>
      <w:pPr>
        <w:pStyle w:val="BodyText"/>
        <w:spacing w:line="364" w:lineRule="auto" w:before="123"/>
        <w:ind w:right="247" w:firstLine="480"/>
        <w:jc w:val="both"/>
      </w:pPr>
      <w:r>
        <w:rPr/>
        <w:t>根据调查，本项目拟建址四面环山，现状为农田，不涉及重要生态敏感区和特殊生态敏感区，为一般区域。施工期生态影响主要为可能造成的水土流失，其次为对周边动植物的影响，具体如下：</w:t>
      </w:r>
    </w:p>
    <w:p>
      <w:pPr>
        <w:pStyle w:val="ListParagraph"/>
        <w:numPr>
          <w:ilvl w:val="0"/>
          <w:numId w:val="87"/>
        </w:numPr>
        <w:tabs>
          <w:tab w:pos="1319" w:val="left" w:leader="none"/>
        </w:tabs>
        <w:spacing w:line="240" w:lineRule="auto" w:before="2" w:after="0"/>
        <w:ind w:left="1318" w:right="0" w:hanging="602"/>
        <w:jc w:val="left"/>
        <w:rPr>
          <w:sz w:val="24"/>
        </w:rPr>
      </w:pPr>
      <w:r>
        <w:rPr>
          <w:sz w:val="24"/>
        </w:rPr>
        <w:t>水土流失</w:t>
      </w:r>
    </w:p>
    <w:p>
      <w:pPr>
        <w:spacing w:after="0" w:line="240" w:lineRule="auto"/>
        <w:jc w:val="left"/>
        <w:rPr>
          <w:sz w:val="24"/>
        </w:rPr>
        <w:sectPr>
          <w:pgSz w:w="11910" w:h="16840"/>
          <w:pgMar w:header="874" w:footer="1004" w:top="1420" w:bottom="1200" w:left="1040" w:right="1160"/>
        </w:sectPr>
      </w:pPr>
    </w:p>
    <w:p>
      <w:pPr>
        <w:pStyle w:val="BodyText"/>
        <w:spacing w:line="364" w:lineRule="auto" w:before="92"/>
        <w:ind w:right="249" w:firstLine="480"/>
        <w:jc w:val="both"/>
      </w:pPr>
      <w:r>
        <w:rPr/>
        <w:t>根据施工特点，工程开挖回填等扰动地表的活动基本都是在工程占地范围内完成， 所以工程可能造成的水土流失也主要发生在工程占地范围内。因水土流失主要发生在多雨季节，因而施工单位需合理规划施工期，制定合理的施工计划，及时掌握台风、暴雨等灾害性天气情况，以便在雨前及时采取应急防护措施。通常在加强施工管理，落实好相关防护措施的前提下，项目的水土流失影响是可控的。</w:t>
      </w:r>
    </w:p>
    <w:p>
      <w:pPr>
        <w:pStyle w:val="ListParagraph"/>
        <w:numPr>
          <w:ilvl w:val="0"/>
          <w:numId w:val="87"/>
        </w:numPr>
        <w:tabs>
          <w:tab w:pos="1319" w:val="left" w:leader="none"/>
        </w:tabs>
        <w:spacing w:line="240" w:lineRule="auto" w:before="3" w:after="0"/>
        <w:ind w:left="1318" w:right="0" w:hanging="602"/>
        <w:jc w:val="left"/>
        <w:rPr>
          <w:sz w:val="24"/>
        </w:rPr>
      </w:pPr>
      <w:r>
        <w:rPr>
          <w:sz w:val="24"/>
        </w:rPr>
        <w:t>对陆生植物的影响</w:t>
      </w:r>
    </w:p>
    <w:p>
      <w:pPr>
        <w:pStyle w:val="BodyText"/>
        <w:spacing w:line="364" w:lineRule="auto" w:before="160"/>
        <w:ind w:right="249" w:firstLine="480"/>
        <w:jc w:val="both"/>
      </w:pPr>
      <w:r>
        <w:rPr/>
        <w:t>本项目拟建址植被较单一，多为人工栽种的经济作物，在工程建设过程中，将不可避免地损坏用地范围内的植物，但是由于征地范围内的植被多为人工栽培物种，因此其影响是可以接受的。另外，施工运输车辆扬尘、施工过程挥洒的石灰和水泥等，都会对周围植物的生长带来直接影响，这些尘土降落到植物的叶面上，会堵塞毛孔，影响植物的光合作用，从而使之生长减缓甚至死去。石灰和水泥若被雨水冲刷渗入地下，会导致土壤板结，影响植物根系对水分和矿物质的吸收。因此施工过程中，须采取措施将其影响减小到最少范围。</w:t>
      </w:r>
    </w:p>
    <w:p>
      <w:pPr>
        <w:pStyle w:val="ListParagraph"/>
        <w:numPr>
          <w:ilvl w:val="0"/>
          <w:numId w:val="87"/>
        </w:numPr>
        <w:tabs>
          <w:tab w:pos="1319" w:val="left" w:leader="none"/>
        </w:tabs>
        <w:spacing w:line="240" w:lineRule="auto" w:before="5" w:after="0"/>
        <w:ind w:left="1318" w:right="0" w:hanging="602"/>
        <w:jc w:val="left"/>
        <w:rPr>
          <w:sz w:val="24"/>
        </w:rPr>
      </w:pPr>
      <w:r>
        <w:rPr>
          <w:sz w:val="24"/>
        </w:rPr>
        <w:t>对野生动物的影响</w:t>
      </w:r>
    </w:p>
    <w:p>
      <w:pPr>
        <w:pStyle w:val="BodyText"/>
        <w:spacing w:line="364" w:lineRule="auto" w:before="160"/>
        <w:ind w:right="131" w:firstLine="480"/>
      </w:pPr>
      <w:r>
        <w:rPr/>
        <w:t>根据调查，本项目拟建址及周边无珍惜濒危野生动物。施工期可能会对动物栖息地生境造成一定干扰和破坏，使得原来生活在附近的部分动物迁移它处，从而导致项目周</w:t>
      </w:r>
      <w:r>
        <w:rPr>
          <w:spacing w:val="-4"/>
        </w:rPr>
        <w:t>围的动物数量有所减少。但由于本项目占地范围较小，对动物的生存基本不会造成威胁， </w:t>
      </w:r>
      <w:r>
        <w:rPr/>
        <w:t>其影响是可以接受的。</w:t>
      </w:r>
    </w:p>
    <w:p>
      <w:pPr>
        <w:pStyle w:val="BodyText"/>
        <w:spacing w:line="364" w:lineRule="auto" w:before="3"/>
        <w:ind w:right="254" w:firstLine="480"/>
      </w:pPr>
      <w:r>
        <w:rPr/>
        <w:t>日常生产过程中，只要企业切实落实各项污染防治措施，做到达标排放，运营期一般不会对周边生态环境产生影响。</w:t>
      </w:r>
    </w:p>
    <w:p>
      <w:pPr>
        <w:pStyle w:val="Heading3"/>
        <w:numPr>
          <w:ilvl w:val="2"/>
          <w:numId w:val="70"/>
        </w:numPr>
        <w:tabs>
          <w:tab w:pos="838" w:val="left" w:leader="none"/>
        </w:tabs>
        <w:spacing w:line="240" w:lineRule="auto" w:before="2" w:after="0"/>
        <w:ind w:left="837" w:right="0" w:hanging="601"/>
        <w:jc w:val="left"/>
      </w:pPr>
      <w:bookmarkStart w:name="_bookmark93" w:id="180"/>
      <w:bookmarkEnd w:id="180"/>
      <w:r>
        <w:rPr>
          <w:b w:val="0"/>
        </w:rPr>
      </w:r>
      <w:bookmarkStart w:name="_bookmark93" w:id="181"/>
      <w:bookmarkEnd w:id="181"/>
      <w:r>
        <w:rPr/>
        <w:t>土壤环境影响预测与评价</w:t>
      </w:r>
    </w:p>
    <w:p>
      <w:pPr>
        <w:spacing w:before="160"/>
        <w:ind w:left="719" w:right="0" w:firstLine="0"/>
        <w:jc w:val="left"/>
        <w:rPr>
          <w:b/>
          <w:sz w:val="24"/>
        </w:rPr>
      </w:pPr>
      <w:r>
        <w:rPr>
          <w:rFonts w:ascii="Times New Roman" w:eastAsia="Times New Roman"/>
          <w:b/>
          <w:sz w:val="24"/>
        </w:rPr>
        <w:t>1</w:t>
      </w:r>
      <w:r>
        <w:rPr>
          <w:b/>
          <w:sz w:val="24"/>
        </w:rPr>
        <w:t>、项目周边用地类型调查和评价范围</w:t>
      </w:r>
    </w:p>
    <w:p>
      <w:pPr>
        <w:pStyle w:val="BodyText"/>
        <w:spacing w:line="364" w:lineRule="auto" w:before="160"/>
        <w:ind w:right="132" w:firstLine="480"/>
      </w:pPr>
      <w:r>
        <w:rPr>
          <w:spacing w:val="-4"/>
        </w:rPr>
        <w:t>本项目对土壤的影响途径涉及到地面垂直入渗，边界外扩 </w:t>
      </w:r>
      <w:r>
        <w:rPr>
          <w:rFonts w:ascii="Times New Roman" w:eastAsia="Times New Roman"/>
          <w:spacing w:val="-5"/>
        </w:rPr>
        <w:t>50m</w:t>
      </w:r>
      <w:r>
        <w:rPr>
          <w:spacing w:val="-4"/>
        </w:rPr>
        <w:t>，周围无工业污染源， </w:t>
      </w:r>
      <w:r>
        <w:rPr/>
        <w:t>影响范围内用地类型主要为农用地。</w:t>
      </w:r>
    </w:p>
    <w:p>
      <w:pPr>
        <w:pStyle w:val="Heading3"/>
        <w:spacing w:before="2"/>
      </w:pPr>
      <w:r>
        <w:rPr>
          <w:rFonts w:ascii="Times New Roman" w:eastAsia="Times New Roman"/>
        </w:rPr>
        <w:t>2</w:t>
      </w:r>
      <w:r>
        <w:rPr/>
        <w:t>、环境影响类型、途径及影响因子识别</w:t>
      </w:r>
    </w:p>
    <w:p>
      <w:pPr>
        <w:pStyle w:val="BodyText"/>
        <w:spacing w:before="161"/>
        <w:ind w:left="717"/>
      </w:pPr>
      <w:r>
        <w:rPr/>
        <w:t>本项目对土壤环境的影响途径及因子识别分别见表 </w:t>
      </w:r>
      <w:r>
        <w:rPr>
          <w:rFonts w:ascii="Times New Roman" w:eastAsia="Times New Roman"/>
        </w:rPr>
        <w:t>5.2-44</w:t>
      </w:r>
      <w:r>
        <w:rPr/>
        <w:t>、</w:t>
      </w:r>
      <w:r>
        <w:rPr>
          <w:rFonts w:ascii="Times New Roman" w:eastAsia="Times New Roman"/>
        </w:rPr>
        <w:t>5.2-45</w:t>
      </w:r>
      <w:r>
        <w:rPr/>
        <w:t>。</w:t>
      </w:r>
    </w:p>
    <w:p>
      <w:pPr>
        <w:pStyle w:val="Heading3"/>
        <w:spacing w:before="160"/>
        <w:ind w:left="220" w:right="236"/>
        <w:jc w:val="center"/>
      </w:pPr>
      <w:r>
        <w:rPr/>
        <w:t>表 </w:t>
      </w:r>
      <w:r>
        <w:rPr>
          <w:rFonts w:ascii="Times New Roman" w:eastAsia="Times New Roman"/>
        </w:rPr>
        <w:t>5.2-44  </w:t>
      </w:r>
      <w:r>
        <w:rPr/>
        <w:t>本项目土壤环境影响途径表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6"/>
        <w:gridCol w:w="1887"/>
        <w:gridCol w:w="1887"/>
        <w:gridCol w:w="1885"/>
        <w:gridCol w:w="1887"/>
      </w:tblGrid>
      <w:tr>
        <w:trPr>
          <w:trHeight w:val="359" w:hRule="atLeast"/>
        </w:trPr>
        <w:tc>
          <w:tcPr>
            <w:tcW w:w="1886" w:type="dxa"/>
            <w:vMerge w:val="restart"/>
            <w:tcBorders>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520"/>
              <w:jc w:val="left"/>
              <w:rPr>
                <w:rFonts w:ascii="宋体" w:eastAsia="宋体" w:hint="eastAsia"/>
                <w:b/>
                <w:sz w:val="21"/>
              </w:rPr>
            </w:pPr>
            <w:r>
              <w:rPr>
                <w:rFonts w:ascii="宋体" w:eastAsia="宋体" w:hint="eastAsia"/>
                <w:b/>
                <w:sz w:val="21"/>
              </w:rPr>
              <w:t>不同时段</w:t>
            </w:r>
          </w:p>
        </w:tc>
        <w:tc>
          <w:tcPr>
            <w:tcW w:w="7546" w:type="dxa"/>
            <w:gridSpan w:val="4"/>
            <w:tcBorders>
              <w:left w:val="single" w:sz="6" w:space="0" w:color="000000"/>
              <w:bottom w:val="single" w:sz="6" w:space="0" w:color="000000"/>
            </w:tcBorders>
          </w:tcPr>
          <w:p>
            <w:pPr>
              <w:pStyle w:val="TableParagraph"/>
              <w:spacing w:before="43"/>
              <w:ind w:left="3339" w:right="3301"/>
              <w:rPr>
                <w:rFonts w:ascii="宋体" w:eastAsia="宋体" w:hint="eastAsia"/>
                <w:b/>
                <w:sz w:val="21"/>
              </w:rPr>
            </w:pPr>
            <w:r>
              <w:rPr>
                <w:rFonts w:ascii="宋体" w:eastAsia="宋体" w:hint="eastAsia"/>
                <w:b/>
                <w:sz w:val="21"/>
              </w:rPr>
              <w:t>影响途径</w:t>
            </w:r>
          </w:p>
        </w:tc>
      </w:tr>
      <w:tr>
        <w:trPr>
          <w:trHeight w:val="359" w:hRule="atLeast"/>
        </w:trPr>
        <w:tc>
          <w:tcPr>
            <w:tcW w:w="1886" w:type="dxa"/>
            <w:vMerge/>
            <w:tcBorders>
              <w:top w:val="nil"/>
              <w:bottom w:val="single" w:sz="6" w:space="0" w:color="000000"/>
              <w:right w:val="single" w:sz="6" w:space="0" w:color="000000"/>
            </w:tcBorders>
          </w:tcPr>
          <w:p>
            <w:pPr>
              <w:rPr>
                <w:sz w:val="2"/>
                <w:szCs w:val="2"/>
              </w:rPr>
            </w:pPr>
          </w:p>
        </w:tc>
        <w:tc>
          <w:tcPr>
            <w:tcW w:w="1887" w:type="dxa"/>
            <w:tcBorders>
              <w:top w:val="single" w:sz="6" w:space="0" w:color="000000"/>
              <w:left w:val="single" w:sz="6" w:space="0" w:color="000000"/>
              <w:bottom w:val="single" w:sz="6" w:space="0" w:color="000000"/>
              <w:right w:val="single" w:sz="6" w:space="0" w:color="000000"/>
            </w:tcBorders>
          </w:tcPr>
          <w:p>
            <w:pPr>
              <w:pStyle w:val="TableParagraph"/>
              <w:spacing w:before="44"/>
              <w:ind w:left="506" w:right="476"/>
              <w:rPr>
                <w:rFonts w:ascii="宋体" w:eastAsia="宋体" w:hint="eastAsia"/>
                <w:b/>
                <w:sz w:val="21"/>
              </w:rPr>
            </w:pPr>
            <w:r>
              <w:rPr>
                <w:rFonts w:ascii="宋体" w:eastAsia="宋体" w:hint="eastAsia"/>
                <w:b/>
                <w:sz w:val="21"/>
              </w:rPr>
              <w:t>大气沉降</w:t>
            </w:r>
          </w:p>
        </w:tc>
        <w:tc>
          <w:tcPr>
            <w:tcW w:w="1887" w:type="dxa"/>
            <w:tcBorders>
              <w:top w:val="single" w:sz="6" w:space="0" w:color="000000"/>
              <w:left w:val="single" w:sz="6" w:space="0" w:color="000000"/>
              <w:bottom w:val="single" w:sz="6" w:space="0" w:color="000000"/>
              <w:right w:val="single" w:sz="6" w:space="0" w:color="000000"/>
            </w:tcBorders>
          </w:tcPr>
          <w:p>
            <w:pPr>
              <w:pStyle w:val="TableParagraph"/>
              <w:spacing w:before="44"/>
              <w:ind w:left="503" w:right="479"/>
              <w:rPr>
                <w:rFonts w:ascii="宋体" w:eastAsia="宋体" w:hint="eastAsia"/>
                <w:b/>
                <w:sz w:val="21"/>
              </w:rPr>
            </w:pPr>
            <w:r>
              <w:rPr>
                <w:rFonts w:ascii="宋体" w:eastAsia="宋体" w:hint="eastAsia"/>
                <w:b/>
                <w:sz w:val="21"/>
              </w:rPr>
              <w:t>地面漫流</w:t>
            </w:r>
          </w:p>
        </w:tc>
        <w:tc>
          <w:tcPr>
            <w:tcW w:w="1885" w:type="dxa"/>
            <w:tcBorders>
              <w:top w:val="single" w:sz="6" w:space="0" w:color="000000"/>
              <w:left w:val="single" w:sz="6" w:space="0" w:color="000000"/>
              <w:bottom w:val="single" w:sz="6" w:space="0" w:color="000000"/>
              <w:right w:val="single" w:sz="6" w:space="0" w:color="000000"/>
            </w:tcBorders>
          </w:tcPr>
          <w:p>
            <w:pPr>
              <w:pStyle w:val="TableParagraph"/>
              <w:spacing w:before="44"/>
              <w:ind w:left="505" w:right="480"/>
              <w:rPr>
                <w:rFonts w:ascii="宋体" w:eastAsia="宋体" w:hint="eastAsia"/>
                <w:b/>
                <w:sz w:val="21"/>
              </w:rPr>
            </w:pPr>
            <w:r>
              <w:rPr>
                <w:rFonts w:ascii="宋体" w:eastAsia="宋体" w:hint="eastAsia"/>
                <w:b/>
                <w:sz w:val="21"/>
              </w:rPr>
              <w:t>垂直入渗</w:t>
            </w:r>
          </w:p>
        </w:tc>
        <w:tc>
          <w:tcPr>
            <w:tcW w:w="1887" w:type="dxa"/>
            <w:tcBorders>
              <w:top w:val="single" w:sz="6" w:space="0" w:color="000000"/>
              <w:left w:val="single" w:sz="6" w:space="0" w:color="000000"/>
              <w:bottom w:val="single" w:sz="6" w:space="0" w:color="000000"/>
            </w:tcBorders>
          </w:tcPr>
          <w:p>
            <w:pPr>
              <w:pStyle w:val="TableParagraph"/>
              <w:spacing w:before="44"/>
              <w:ind w:left="718" w:right="683"/>
              <w:rPr>
                <w:rFonts w:ascii="宋体" w:eastAsia="宋体" w:hint="eastAsia"/>
                <w:b/>
                <w:sz w:val="21"/>
              </w:rPr>
            </w:pPr>
            <w:r>
              <w:rPr>
                <w:rFonts w:ascii="宋体" w:eastAsia="宋体" w:hint="eastAsia"/>
                <w:b/>
                <w:sz w:val="21"/>
              </w:rPr>
              <w:t>其他</w:t>
            </w:r>
          </w:p>
        </w:tc>
      </w:tr>
      <w:tr>
        <w:trPr>
          <w:trHeight w:val="356" w:hRule="atLeast"/>
        </w:trPr>
        <w:tc>
          <w:tcPr>
            <w:tcW w:w="1886" w:type="dxa"/>
            <w:tcBorders>
              <w:top w:val="single" w:sz="6" w:space="0" w:color="000000"/>
              <w:right w:val="single" w:sz="6" w:space="0" w:color="000000"/>
            </w:tcBorders>
          </w:tcPr>
          <w:p>
            <w:pPr>
              <w:pStyle w:val="TableParagraph"/>
              <w:spacing w:before="44"/>
              <w:ind w:left="625"/>
              <w:jc w:val="left"/>
              <w:rPr>
                <w:rFonts w:ascii="宋体" w:eastAsia="宋体" w:hint="eastAsia"/>
                <w:sz w:val="21"/>
              </w:rPr>
            </w:pPr>
            <w:r>
              <w:rPr>
                <w:rFonts w:ascii="宋体" w:eastAsia="宋体" w:hint="eastAsia"/>
                <w:sz w:val="21"/>
              </w:rPr>
              <w:t>建设期</w:t>
            </w:r>
          </w:p>
        </w:tc>
        <w:tc>
          <w:tcPr>
            <w:tcW w:w="1887" w:type="dxa"/>
            <w:tcBorders>
              <w:top w:val="single" w:sz="6" w:space="0" w:color="000000"/>
              <w:left w:val="single" w:sz="6" w:space="0" w:color="000000"/>
              <w:right w:val="single" w:sz="6" w:space="0" w:color="000000"/>
            </w:tcBorders>
          </w:tcPr>
          <w:p>
            <w:pPr>
              <w:pStyle w:val="TableParagraph"/>
              <w:spacing w:before="44"/>
              <w:ind w:left="30"/>
              <w:rPr>
                <w:rFonts w:ascii="宋体" w:eastAsia="宋体" w:hint="eastAsia"/>
                <w:sz w:val="21"/>
              </w:rPr>
            </w:pPr>
            <w:r>
              <w:rPr>
                <w:rFonts w:ascii="宋体" w:eastAsia="宋体" w:hint="eastAsia"/>
                <w:w w:val="100"/>
                <w:sz w:val="21"/>
              </w:rPr>
              <w:t>无</w:t>
            </w:r>
          </w:p>
        </w:tc>
        <w:tc>
          <w:tcPr>
            <w:tcW w:w="1887" w:type="dxa"/>
            <w:tcBorders>
              <w:top w:val="single" w:sz="6" w:space="0" w:color="000000"/>
              <w:left w:val="single" w:sz="6" w:space="0" w:color="000000"/>
              <w:right w:val="single" w:sz="6" w:space="0" w:color="000000"/>
            </w:tcBorders>
          </w:tcPr>
          <w:p>
            <w:pPr>
              <w:pStyle w:val="TableParagraph"/>
              <w:spacing w:before="44"/>
              <w:ind w:left="24"/>
              <w:rPr>
                <w:rFonts w:ascii="宋体" w:hAnsi="宋体"/>
                <w:sz w:val="21"/>
              </w:rPr>
            </w:pPr>
            <w:r>
              <w:rPr>
                <w:rFonts w:ascii="宋体" w:hAnsi="宋体"/>
                <w:w w:val="100"/>
                <w:sz w:val="21"/>
              </w:rPr>
              <w:t>√</w:t>
            </w:r>
          </w:p>
        </w:tc>
        <w:tc>
          <w:tcPr>
            <w:tcW w:w="1885" w:type="dxa"/>
            <w:tcBorders>
              <w:top w:val="single" w:sz="6" w:space="0" w:color="000000"/>
              <w:left w:val="single" w:sz="6" w:space="0" w:color="000000"/>
              <w:right w:val="single" w:sz="6" w:space="0" w:color="000000"/>
            </w:tcBorders>
          </w:tcPr>
          <w:p>
            <w:pPr>
              <w:pStyle w:val="TableParagraph"/>
              <w:spacing w:before="44"/>
              <w:ind w:left="26"/>
              <w:rPr>
                <w:rFonts w:ascii="宋体" w:eastAsia="宋体" w:hint="eastAsia"/>
                <w:sz w:val="21"/>
              </w:rPr>
            </w:pPr>
            <w:r>
              <w:rPr>
                <w:rFonts w:ascii="宋体" w:eastAsia="宋体" w:hint="eastAsia"/>
                <w:w w:val="100"/>
                <w:sz w:val="21"/>
              </w:rPr>
              <w:t>无</w:t>
            </w:r>
          </w:p>
        </w:tc>
        <w:tc>
          <w:tcPr>
            <w:tcW w:w="1887" w:type="dxa"/>
            <w:tcBorders>
              <w:top w:val="single" w:sz="6" w:space="0" w:color="000000"/>
              <w:left w:val="single" w:sz="6" w:space="0" w:color="000000"/>
            </w:tcBorders>
          </w:tcPr>
          <w:p>
            <w:pPr>
              <w:pStyle w:val="TableParagraph"/>
              <w:spacing w:before="44"/>
              <w:ind w:left="35"/>
              <w:rPr>
                <w:rFonts w:ascii="宋体" w:hAnsi="宋体"/>
                <w:sz w:val="21"/>
              </w:rPr>
            </w:pPr>
            <w:r>
              <w:rPr>
                <w:rFonts w:ascii="宋体" w:hAnsi="宋体"/>
                <w:w w:val="100"/>
                <w:sz w:val="21"/>
              </w:rPr>
              <w:t>√</w:t>
            </w:r>
          </w:p>
        </w:tc>
      </w:tr>
    </w:tbl>
    <w:p>
      <w:pPr>
        <w:spacing w:after="0"/>
        <w:rPr>
          <w:rFonts w:ascii="宋体" w:hAnsi="宋体"/>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6"/>
        <w:gridCol w:w="1887"/>
        <w:gridCol w:w="1887"/>
        <w:gridCol w:w="1885"/>
        <w:gridCol w:w="1887"/>
      </w:tblGrid>
      <w:tr>
        <w:trPr>
          <w:trHeight w:val="359" w:hRule="atLeast"/>
        </w:trPr>
        <w:tc>
          <w:tcPr>
            <w:tcW w:w="1886" w:type="dxa"/>
            <w:vMerge w:val="restart"/>
            <w:tcBorders>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520"/>
              <w:jc w:val="left"/>
              <w:rPr>
                <w:rFonts w:ascii="宋体" w:eastAsia="宋体" w:hint="eastAsia"/>
                <w:b/>
                <w:sz w:val="21"/>
              </w:rPr>
            </w:pPr>
            <w:r>
              <w:rPr>
                <w:rFonts w:ascii="宋体" w:eastAsia="宋体" w:hint="eastAsia"/>
                <w:b/>
                <w:sz w:val="21"/>
              </w:rPr>
              <w:t>不同时段</w:t>
            </w:r>
          </w:p>
        </w:tc>
        <w:tc>
          <w:tcPr>
            <w:tcW w:w="7546" w:type="dxa"/>
            <w:gridSpan w:val="4"/>
            <w:tcBorders>
              <w:left w:val="single" w:sz="6" w:space="0" w:color="000000"/>
              <w:bottom w:val="single" w:sz="6" w:space="0" w:color="000000"/>
            </w:tcBorders>
          </w:tcPr>
          <w:p>
            <w:pPr>
              <w:pStyle w:val="TableParagraph"/>
              <w:spacing w:before="46"/>
              <w:ind w:left="3339" w:right="3301"/>
              <w:rPr>
                <w:rFonts w:ascii="宋体" w:eastAsia="宋体" w:hint="eastAsia"/>
                <w:b/>
                <w:sz w:val="21"/>
              </w:rPr>
            </w:pPr>
            <w:r>
              <w:rPr>
                <w:rFonts w:ascii="宋体" w:eastAsia="宋体" w:hint="eastAsia"/>
                <w:b/>
                <w:sz w:val="21"/>
              </w:rPr>
              <w:t>影响途径</w:t>
            </w:r>
          </w:p>
        </w:tc>
      </w:tr>
      <w:tr>
        <w:trPr>
          <w:trHeight w:val="359" w:hRule="atLeast"/>
        </w:trPr>
        <w:tc>
          <w:tcPr>
            <w:tcW w:w="1886" w:type="dxa"/>
            <w:vMerge/>
            <w:tcBorders>
              <w:top w:val="nil"/>
              <w:bottom w:val="single" w:sz="6" w:space="0" w:color="000000"/>
              <w:right w:val="single" w:sz="6" w:space="0" w:color="000000"/>
            </w:tcBorders>
          </w:tcPr>
          <w:p>
            <w:pPr>
              <w:rPr>
                <w:sz w:val="2"/>
                <w:szCs w:val="2"/>
              </w:rPr>
            </w:pPr>
          </w:p>
        </w:tc>
        <w:tc>
          <w:tcPr>
            <w:tcW w:w="1887" w:type="dxa"/>
            <w:tcBorders>
              <w:top w:val="single" w:sz="6" w:space="0" w:color="000000"/>
              <w:left w:val="single" w:sz="6" w:space="0" w:color="000000"/>
              <w:bottom w:val="single" w:sz="6" w:space="0" w:color="000000"/>
              <w:right w:val="single" w:sz="6" w:space="0" w:color="000000"/>
            </w:tcBorders>
          </w:tcPr>
          <w:p>
            <w:pPr>
              <w:pStyle w:val="TableParagraph"/>
              <w:spacing w:before="44"/>
              <w:ind w:left="506" w:right="476"/>
              <w:rPr>
                <w:rFonts w:ascii="宋体" w:eastAsia="宋体" w:hint="eastAsia"/>
                <w:b/>
                <w:sz w:val="21"/>
              </w:rPr>
            </w:pPr>
            <w:r>
              <w:rPr>
                <w:rFonts w:ascii="宋体" w:eastAsia="宋体" w:hint="eastAsia"/>
                <w:b/>
                <w:sz w:val="21"/>
              </w:rPr>
              <w:t>大气沉降</w:t>
            </w:r>
          </w:p>
        </w:tc>
        <w:tc>
          <w:tcPr>
            <w:tcW w:w="1887" w:type="dxa"/>
            <w:tcBorders>
              <w:top w:val="single" w:sz="6" w:space="0" w:color="000000"/>
              <w:left w:val="single" w:sz="6" w:space="0" w:color="000000"/>
              <w:bottom w:val="single" w:sz="6" w:space="0" w:color="000000"/>
              <w:right w:val="single" w:sz="6" w:space="0" w:color="000000"/>
            </w:tcBorders>
          </w:tcPr>
          <w:p>
            <w:pPr>
              <w:pStyle w:val="TableParagraph"/>
              <w:spacing w:before="44"/>
              <w:ind w:left="503" w:right="479"/>
              <w:rPr>
                <w:rFonts w:ascii="宋体" w:eastAsia="宋体" w:hint="eastAsia"/>
                <w:b/>
                <w:sz w:val="21"/>
              </w:rPr>
            </w:pPr>
            <w:r>
              <w:rPr>
                <w:rFonts w:ascii="宋体" w:eastAsia="宋体" w:hint="eastAsia"/>
                <w:b/>
                <w:sz w:val="21"/>
              </w:rPr>
              <w:t>地面漫流</w:t>
            </w:r>
          </w:p>
        </w:tc>
        <w:tc>
          <w:tcPr>
            <w:tcW w:w="1885" w:type="dxa"/>
            <w:tcBorders>
              <w:top w:val="single" w:sz="6" w:space="0" w:color="000000"/>
              <w:left w:val="single" w:sz="6" w:space="0" w:color="000000"/>
              <w:bottom w:val="single" w:sz="6" w:space="0" w:color="000000"/>
              <w:right w:val="single" w:sz="6" w:space="0" w:color="000000"/>
            </w:tcBorders>
          </w:tcPr>
          <w:p>
            <w:pPr>
              <w:pStyle w:val="TableParagraph"/>
              <w:spacing w:before="44"/>
              <w:ind w:left="505" w:right="480"/>
              <w:rPr>
                <w:rFonts w:ascii="宋体" w:eastAsia="宋体" w:hint="eastAsia"/>
                <w:b/>
                <w:sz w:val="21"/>
              </w:rPr>
            </w:pPr>
            <w:r>
              <w:rPr>
                <w:rFonts w:ascii="宋体" w:eastAsia="宋体" w:hint="eastAsia"/>
                <w:b/>
                <w:sz w:val="21"/>
              </w:rPr>
              <w:t>垂直入渗</w:t>
            </w:r>
          </w:p>
        </w:tc>
        <w:tc>
          <w:tcPr>
            <w:tcW w:w="1887" w:type="dxa"/>
            <w:tcBorders>
              <w:top w:val="single" w:sz="6" w:space="0" w:color="000000"/>
              <w:left w:val="single" w:sz="6" w:space="0" w:color="000000"/>
              <w:bottom w:val="single" w:sz="6" w:space="0" w:color="000000"/>
            </w:tcBorders>
          </w:tcPr>
          <w:p>
            <w:pPr>
              <w:pStyle w:val="TableParagraph"/>
              <w:spacing w:before="44"/>
              <w:ind w:left="718" w:right="683"/>
              <w:rPr>
                <w:rFonts w:ascii="宋体" w:eastAsia="宋体" w:hint="eastAsia"/>
                <w:b/>
                <w:sz w:val="21"/>
              </w:rPr>
            </w:pPr>
            <w:r>
              <w:rPr>
                <w:rFonts w:ascii="宋体" w:eastAsia="宋体" w:hint="eastAsia"/>
                <w:b/>
                <w:sz w:val="21"/>
              </w:rPr>
              <w:t>其他</w:t>
            </w:r>
          </w:p>
        </w:tc>
      </w:tr>
      <w:tr>
        <w:trPr>
          <w:trHeight w:val="357" w:hRule="atLeast"/>
        </w:trPr>
        <w:tc>
          <w:tcPr>
            <w:tcW w:w="1886" w:type="dxa"/>
            <w:tcBorders>
              <w:top w:val="single" w:sz="6" w:space="0" w:color="000000"/>
              <w:bottom w:val="single" w:sz="6" w:space="0" w:color="000000"/>
              <w:right w:val="single" w:sz="6" w:space="0" w:color="000000"/>
            </w:tcBorders>
          </w:tcPr>
          <w:p>
            <w:pPr>
              <w:pStyle w:val="TableParagraph"/>
              <w:spacing w:before="44"/>
              <w:ind w:left="625"/>
              <w:jc w:val="left"/>
              <w:rPr>
                <w:rFonts w:ascii="宋体" w:eastAsia="宋体" w:hint="eastAsia"/>
                <w:sz w:val="21"/>
              </w:rPr>
            </w:pPr>
            <w:r>
              <w:rPr>
                <w:rFonts w:ascii="宋体" w:eastAsia="宋体" w:hint="eastAsia"/>
                <w:sz w:val="21"/>
              </w:rPr>
              <w:t>运营期</w:t>
            </w:r>
          </w:p>
        </w:tc>
        <w:tc>
          <w:tcPr>
            <w:tcW w:w="1887" w:type="dxa"/>
            <w:tcBorders>
              <w:top w:val="single" w:sz="6" w:space="0" w:color="000000"/>
              <w:left w:val="single" w:sz="6" w:space="0" w:color="000000"/>
              <w:bottom w:val="single" w:sz="6" w:space="0" w:color="000000"/>
              <w:right w:val="single" w:sz="6" w:space="0" w:color="000000"/>
            </w:tcBorders>
          </w:tcPr>
          <w:p>
            <w:pPr>
              <w:pStyle w:val="TableParagraph"/>
              <w:spacing w:before="44"/>
              <w:ind w:left="30"/>
              <w:rPr>
                <w:rFonts w:ascii="宋体" w:eastAsia="宋体" w:hint="eastAsia"/>
                <w:sz w:val="21"/>
              </w:rPr>
            </w:pPr>
            <w:r>
              <w:rPr>
                <w:rFonts w:ascii="宋体" w:eastAsia="宋体" w:hint="eastAsia"/>
                <w:w w:val="100"/>
                <w:sz w:val="21"/>
              </w:rPr>
              <w:t>无</w:t>
            </w:r>
          </w:p>
        </w:tc>
        <w:tc>
          <w:tcPr>
            <w:tcW w:w="1887" w:type="dxa"/>
            <w:tcBorders>
              <w:top w:val="single" w:sz="6" w:space="0" w:color="000000"/>
              <w:left w:val="single" w:sz="6" w:space="0" w:color="000000"/>
              <w:bottom w:val="single" w:sz="6" w:space="0" w:color="000000"/>
              <w:right w:val="single" w:sz="6" w:space="0" w:color="000000"/>
            </w:tcBorders>
          </w:tcPr>
          <w:p>
            <w:pPr>
              <w:pStyle w:val="TableParagraph"/>
              <w:spacing w:before="44"/>
              <w:ind w:left="24"/>
              <w:rPr>
                <w:rFonts w:ascii="宋体" w:eastAsia="宋体" w:hint="eastAsia"/>
                <w:sz w:val="21"/>
              </w:rPr>
            </w:pPr>
            <w:r>
              <w:rPr>
                <w:rFonts w:ascii="宋体" w:eastAsia="宋体" w:hint="eastAsia"/>
                <w:w w:val="100"/>
                <w:sz w:val="21"/>
              </w:rPr>
              <w:t>无</w:t>
            </w:r>
          </w:p>
        </w:tc>
        <w:tc>
          <w:tcPr>
            <w:tcW w:w="1885" w:type="dxa"/>
            <w:tcBorders>
              <w:top w:val="single" w:sz="6" w:space="0" w:color="000000"/>
              <w:left w:val="single" w:sz="6" w:space="0" w:color="000000"/>
              <w:bottom w:val="single" w:sz="6" w:space="0" w:color="000000"/>
              <w:right w:val="single" w:sz="6" w:space="0" w:color="000000"/>
            </w:tcBorders>
          </w:tcPr>
          <w:p>
            <w:pPr>
              <w:pStyle w:val="TableParagraph"/>
              <w:spacing w:before="44"/>
              <w:ind w:left="26"/>
              <w:rPr>
                <w:rFonts w:ascii="宋体" w:hAnsi="宋体"/>
                <w:sz w:val="21"/>
              </w:rPr>
            </w:pPr>
            <w:r>
              <w:rPr>
                <w:rFonts w:ascii="宋体" w:hAnsi="宋体"/>
                <w:w w:val="100"/>
                <w:sz w:val="21"/>
              </w:rPr>
              <w:t>√</w:t>
            </w:r>
          </w:p>
        </w:tc>
        <w:tc>
          <w:tcPr>
            <w:tcW w:w="1887" w:type="dxa"/>
            <w:tcBorders>
              <w:top w:val="single" w:sz="6" w:space="0" w:color="000000"/>
              <w:left w:val="single" w:sz="6" w:space="0" w:color="000000"/>
              <w:bottom w:val="single" w:sz="6" w:space="0" w:color="000000"/>
            </w:tcBorders>
          </w:tcPr>
          <w:p>
            <w:pPr>
              <w:pStyle w:val="TableParagraph"/>
              <w:spacing w:before="44"/>
              <w:ind w:left="35"/>
              <w:rPr>
                <w:rFonts w:ascii="宋体" w:eastAsia="宋体" w:hint="eastAsia"/>
                <w:sz w:val="21"/>
              </w:rPr>
            </w:pPr>
            <w:r>
              <w:rPr>
                <w:rFonts w:ascii="宋体" w:eastAsia="宋体" w:hint="eastAsia"/>
                <w:w w:val="100"/>
                <w:sz w:val="21"/>
              </w:rPr>
              <w:t>无</w:t>
            </w:r>
          </w:p>
        </w:tc>
      </w:tr>
      <w:tr>
        <w:trPr>
          <w:trHeight w:val="359" w:hRule="atLeast"/>
        </w:trPr>
        <w:tc>
          <w:tcPr>
            <w:tcW w:w="1886" w:type="dxa"/>
            <w:tcBorders>
              <w:top w:val="single" w:sz="6" w:space="0" w:color="000000"/>
              <w:right w:val="single" w:sz="6" w:space="0" w:color="000000"/>
            </w:tcBorders>
          </w:tcPr>
          <w:p>
            <w:pPr>
              <w:pStyle w:val="TableParagraph"/>
              <w:spacing w:before="46"/>
              <w:ind w:left="625"/>
              <w:jc w:val="left"/>
              <w:rPr>
                <w:rFonts w:ascii="宋体" w:eastAsia="宋体" w:hint="eastAsia"/>
                <w:sz w:val="21"/>
              </w:rPr>
            </w:pPr>
            <w:r>
              <w:rPr>
                <w:rFonts w:ascii="宋体" w:eastAsia="宋体" w:hint="eastAsia"/>
                <w:sz w:val="21"/>
              </w:rPr>
              <w:t>退役期</w:t>
            </w:r>
          </w:p>
        </w:tc>
        <w:tc>
          <w:tcPr>
            <w:tcW w:w="1887" w:type="dxa"/>
            <w:tcBorders>
              <w:top w:val="single" w:sz="6" w:space="0" w:color="000000"/>
              <w:left w:val="single" w:sz="6" w:space="0" w:color="000000"/>
              <w:right w:val="single" w:sz="6" w:space="0" w:color="000000"/>
            </w:tcBorders>
          </w:tcPr>
          <w:p>
            <w:pPr>
              <w:pStyle w:val="TableParagraph"/>
              <w:spacing w:before="46"/>
              <w:ind w:left="30"/>
              <w:rPr>
                <w:rFonts w:ascii="宋体" w:eastAsia="宋体" w:hint="eastAsia"/>
                <w:sz w:val="21"/>
              </w:rPr>
            </w:pPr>
            <w:r>
              <w:rPr>
                <w:rFonts w:ascii="宋体" w:eastAsia="宋体" w:hint="eastAsia"/>
                <w:w w:val="100"/>
                <w:sz w:val="21"/>
              </w:rPr>
              <w:t>无</w:t>
            </w:r>
          </w:p>
        </w:tc>
        <w:tc>
          <w:tcPr>
            <w:tcW w:w="1887" w:type="dxa"/>
            <w:tcBorders>
              <w:top w:val="single" w:sz="6" w:space="0" w:color="000000"/>
              <w:left w:val="single" w:sz="6" w:space="0" w:color="000000"/>
              <w:right w:val="single" w:sz="6" w:space="0" w:color="000000"/>
            </w:tcBorders>
          </w:tcPr>
          <w:p>
            <w:pPr>
              <w:pStyle w:val="TableParagraph"/>
              <w:spacing w:before="46"/>
              <w:ind w:left="24"/>
              <w:rPr>
                <w:rFonts w:ascii="宋体" w:eastAsia="宋体" w:hint="eastAsia"/>
                <w:sz w:val="21"/>
              </w:rPr>
            </w:pPr>
            <w:r>
              <w:rPr>
                <w:rFonts w:ascii="宋体" w:eastAsia="宋体" w:hint="eastAsia"/>
                <w:w w:val="100"/>
                <w:sz w:val="21"/>
              </w:rPr>
              <w:t>无</w:t>
            </w:r>
          </w:p>
        </w:tc>
        <w:tc>
          <w:tcPr>
            <w:tcW w:w="1885" w:type="dxa"/>
            <w:tcBorders>
              <w:top w:val="single" w:sz="6" w:space="0" w:color="000000"/>
              <w:left w:val="single" w:sz="6" w:space="0" w:color="000000"/>
              <w:right w:val="single" w:sz="6" w:space="0" w:color="000000"/>
            </w:tcBorders>
          </w:tcPr>
          <w:p>
            <w:pPr>
              <w:pStyle w:val="TableParagraph"/>
              <w:spacing w:before="46"/>
              <w:ind w:left="26"/>
              <w:rPr>
                <w:rFonts w:ascii="宋体" w:eastAsia="宋体" w:hint="eastAsia"/>
                <w:sz w:val="21"/>
              </w:rPr>
            </w:pPr>
            <w:r>
              <w:rPr>
                <w:rFonts w:ascii="宋体" w:eastAsia="宋体" w:hint="eastAsia"/>
                <w:w w:val="100"/>
                <w:sz w:val="21"/>
              </w:rPr>
              <w:t>无</w:t>
            </w:r>
          </w:p>
        </w:tc>
        <w:tc>
          <w:tcPr>
            <w:tcW w:w="1887" w:type="dxa"/>
            <w:tcBorders>
              <w:top w:val="single" w:sz="6" w:space="0" w:color="000000"/>
              <w:left w:val="single" w:sz="6" w:space="0" w:color="000000"/>
            </w:tcBorders>
          </w:tcPr>
          <w:p>
            <w:pPr>
              <w:pStyle w:val="TableParagraph"/>
              <w:spacing w:before="46"/>
              <w:ind w:left="35"/>
              <w:rPr>
                <w:rFonts w:ascii="宋体" w:eastAsia="宋体" w:hint="eastAsia"/>
                <w:sz w:val="21"/>
              </w:rPr>
            </w:pPr>
            <w:r>
              <w:rPr>
                <w:rFonts w:ascii="宋体" w:eastAsia="宋体" w:hint="eastAsia"/>
                <w:w w:val="100"/>
                <w:sz w:val="21"/>
              </w:rPr>
              <w:t>无</w:t>
            </w:r>
          </w:p>
        </w:tc>
      </w:tr>
    </w:tbl>
    <w:p>
      <w:pPr>
        <w:spacing w:before="94"/>
        <w:ind w:left="219" w:right="236" w:firstLine="0"/>
        <w:jc w:val="center"/>
        <w:rPr>
          <w:b/>
          <w:sz w:val="24"/>
        </w:rPr>
      </w:pPr>
      <w:r>
        <w:rPr>
          <w:b/>
          <w:sz w:val="24"/>
        </w:rPr>
        <w:t>表 </w:t>
      </w:r>
      <w:r>
        <w:rPr>
          <w:rFonts w:ascii="Times New Roman" w:eastAsia="Times New Roman"/>
          <w:b/>
          <w:sz w:val="24"/>
        </w:rPr>
        <w:t>5.2-45  </w:t>
      </w:r>
      <w:r>
        <w:rPr>
          <w:b/>
          <w:sz w:val="24"/>
        </w:rPr>
        <w:t>本项目土壤环境影响源及影响因子识别表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35"/>
        <w:gridCol w:w="2727"/>
        <w:gridCol w:w="1245"/>
        <w:gridCol w:w="1726"/>
        <w:gridCol w:w="1246"/>
        <w:gridCol w:w="752"/>
      </w:tblGrid>
      <w:tr>
        <w:trPr>
          <w:trHeight w:val="359" w:hRule="atLeast"/>
        </w:trPr>
        <w:tc>
          <w:tcPr>
            <w:tcW w:w="1735" w:type="dxa"/>
            <w:tcBorders>
              <w:bottom w:val="single" w:sz="6" w:space="0" w:color="000000"/>
              <w:right w:val="single" w:sz="6" w:space="0" w:color="000000"/>
            </w:tcBorders>
          </w:tcPr>
          <w:p>
            <w:pPr>
              <w:pStyle w:val="TableParagraph"/>
              <w:spacing w:before="44"/>
              <w:ind w:left="424" w:right="405"/>
              <w:rPr>
                <w:rFonts w:ascii="宋体" w:eastAsia="宋体" w:hint="eastAsia"/>
                <w:b/>
                <w:sz w:val="21"/>
              </w:rPr>
            </w:pPr>
            <w:r>
              <w:rPr>
                <w:rFonts w:ascii="宋体" w:eastAsia="宋体" w:hint="eastAsia"/>
                <w:b/>
                <w:sz w:val="21"/>
              </w:rPr>
              <w:t>污染源</w:t>
            </w:r>
          </w:p>
        </w:tc>
        <w:tc>
          <w:tcPr>
            <w:tcW w:w="2727" w:type="dxa"/>
            <w:tcBorders>
              <w:left w:val="single" w:sz="6" w:space="0" w:color="000000"/>
              <w:bottom w:val="single" w:sz="6" w:space="0" w:color="000000"/>
              <w:right w:val="single" w:sz="6" w:space="0" w:color="000000"/>
            </w:tcBorders>
          </w:tcPr>
          <w:p>
            <w:pPr>
              <w:pStyle w:val="TableParagraph"/>
              <w:spacing w:before="44"/>
              <w:ind w:left="300" w:right="271"/>
              <w:rPr>
                <w:rFonts w:ascii="宋体" w:eastAsia="宋体" w:hint="eastAsia"/>
                <w:b/>
                <w:sz w:val="21"/>
              </w:rPr>
            </w:pPr>
            <w:r>
              <w:rPr>
                <w:rFonts w:ascii="宋体" w:eastAsia="宋体" w:hint="eastAsia"/>
                <w:b/>
                <w:sz w:val="21"/>
              </w:rPr>
              <w:t>工艺流程</w:t>
            </w:r>
            <w:r>
              <w:rPr>
                <w:b/>
                <w:sz w:val="21"/>
              </w:rPr>
              <w:t>/</w:t>
            </w:r>
            <w:r>
              <w:rPr>
                <w:rFonts w:ascii="宋体" w:eastAsia="宋体" w:hint="eastAsia"/>
                <w:b/>
                <w:sz w:val="21"/>
              </w:rPr>
              <w:t>节点</w:t>
            </w:r>
          </w:p>
        </w:tc>
        <w:tc>
          <w:tcPr>
            <w:tcW w:w="1245" w:type="dxa"/>
            <w:tcBorders>
              <w:left w:val="single" w:sz="6" w:space="0" w:color="000000"/>
              <w:bottom w:val="single" w:sz="6" w:space="0" w:color="000000"/>
              <w:right w:val="single" w:sz="6" w:space="0" w:color="000000"/>
            </w:tcBorders>
          </w:tcPr>
          <w:p>
            <w:pPr>
              <w:pStyle w:val="TableParagraph"/>
              <w:spacing w:before="44"/>
              <w:ind w:left="187" w:right="159"/>
              <w:rPr>
                <w:rFonts w:ascii="宋体" w:eastAsia="宋体" w:hint="eastAsia"/>
                <w:b/>
                <w:sz w:val="21"/>
              </w:rPr>
            </w:pPr>
            <w:r>
              <w:rPr>
                <w:rFonts w:ascii="宋体" w:eastAsia="宋体" w:hint="eastAsia"/>
                <w:b/>
                <w:sz w:val="21"/>
              </w:rPr>
              <w:t>污染途径</w:t>
            </w:r>
          </w:p>
        </w:tc>
        <w:tc>
          <w:tcPr>
            <w:tcW w:w="1726" w:type="dxa"/>
            <w:tcBorders>
              <w:left w:val="single" w:sz="6" w:space="0" w:color="000000"/>
              <w:bottom w:val="single" w:sz="6" w:space="0" w:color="000000"/>
              <w:right w:val="single" w:sz="6" w:space="0" w:color="000000"/>
            </w:tcBorders>
          </w:tcPr>
          <w:p>
            <w:pPr>
              <w:pStyle w:val="TableParagraph"/>
              <w:spacing w:before="44"/>
              <w:ind w:left="224" w:right="196"/>
              <w:rPr>
                <w:rFonts w:ascii="宋体" w:eastAsia="宋体" w:hint="eastAsia"/>
                <w:b/>
                <w:sz w:val="21"/>
              </w:rPr>
            </w:pPr>
            <w:r>
              <w:rPr>
                <w:rFonts w:ascii="宋体" w:eastAsia="宋体" w:hint="eastAsia"/>
                <w:b/>
                <w:sz w:val="21"/>
              </w:rPr>
              <w:t>污染物指标</w:t>
            </w:r>
          </w:p>
        </w:tc>
        <w:tc>
          <w:tcPr>
            <w:tcW w:w="1246" w:type="dxa"/>
            <w:tcBorders>
              <w:left w:val="single" w:sz="6" w:space="0" w:color="000000"/>
              <w:bottom w:val="single" w:sz="6" w:space="0" w:color="000000"/>
              <w:right w:val="single" w:sz="6" w:space="0" w:color="000000"/>
            </w:tcBorders>
          </w:tcPr>
          <w:p>
            <w:pPr>
              <w:pStyle w:val="TableParagraph"/>
              <w:spacing w:before="44"/>
              <w:ind w:left="187" w:right="159"/>
              <w:rPr>
                <w:rFonts w:ascii="宋体" w:eastAsia="宋体" w:hint="eastAsia"/>
                <w:b/>
                <w:sz w:val="21"/>
              </w:rPr>
            </w:pPr>
            <w:r>
              <w:rPr>
                <w:rFonts w:ascii="宋体" w:eastAsia="宋体" w:hint="eastAsia"/>
                <w:b/>
                <w:sz w:val="21"/>
              </w:rPr>
              <w:t>特征因子</w:t>
            </w:r>
          </w:p>
        </w:tc>
        <w:tc>
          <w:tcPr>
            <w:tcW w:w="752" w:type="dxa"/>
            <w:tcBorders>
              <w:left w:val="single" w:sz="6" w:space="0" w:color="000000"/>
              <w:bottom w:val="single" w:sz="6" w:space="0" w:color="000000"/>
            </w:tcBorders>
          </w:tcPr>
          <w:p>
            <w:pPr>
              <w:pStyle w:val="TableParagraph"/>
              <w:spacing w:before="44"/>
              <w:ind w:left="171"/>
              <w:jc w:val="left"/>
              <w:rPr>
                <w:rFonts w:ascii="宋体" w:eastAsia="宋体" w:hint="eastAsia"/>
                <w:b/>
                <w:sz w:val="21"/>
              </w:rPr>
            </w:pPr>
            <w:r>
              <w:rPr>
                <w:rFonts w:ascii="宋体" w:eastAsia="宋体" w:hint="eastAsia"/>
                <w:b/>
                <w:sz w:val="21"/>
              </w:rPr>
              <w:t>备注</w:t>
            </w:r>
          </w:p>
        </w:tc>
      </w:tr>
      <w:tr>
        <w:trPr>
          <w:trHeight w:val="356" w:hRule="atLeast"/>
        </w:trPr>
        <w:tc>
          <w:tcPr>
            <w:tcW w:w="1735" w:type="dxa"/>
            <w:tcBorders>
              <w:top w:val="single" w:sz="6" w:space="0" w:color="000000"/>
              <w:bottom w:val="single" w:sz="6" w:space="0" w:color="000000"/>
              <w:right w:val="single" w:sz="6" w:space="0" w:color="000000"/>
            </w:tcBorders>
          </w:tcPr>
          <w:p>
            <w:pPr>
              <w:pStyle w:val="TableParagraph"/>
              <w:spacing w:before="44"/>
              <w:ind w:left="426" w:right="403"/>
              <w:rPr>
                <w:rFonts w:ascii="宋体" w:eastAsia="宋体" w:hint="eastAsia"/>
                <w:sz w:val="21"/>
              </w:rPr>
            </w:pPr>
            <w:r>
              <w:rPr>
                <w:rFonts w:ascii="宋体" w:eastAsia="宋体" w:hint="eastAsia"/>
                <w:sz w:val="21"/>
              </w:rPr>
              <w:t>猪舍</w:t>
            </w:r>
          </w:p>
        </w:tc>
        <w:tc>
          <w:tcPr>
            <w:tcW w:w="2727" w:type="dxa"/>
            <w:tcBorders>
              <w:top w:val="single" w:sz="6" w:space="0" w:color="000000"/>
              <w:left w:val="single" w:sz="6" w:space="0" w:color="000000"/>
              <w:bottom w:val="single" w:sz="6" w:space="0" w:color="000000"/>
              <w:right w:val="single" w:sz="6" w:space="0" w:color="000000"/>
            </w:tcBorders>
          </w:tcPr>
          <w:p>
            <w:pPr>
              <w:pStyle w:val="TableParagraph"/>
              <w:spacing w:before="44"/>
              <w:ind w:left="300" w:right="271"/>
              <w:rPr>
                <w:rFonts w:ascii="宋体" w:eastAsia="宋体" w:hint="eastAsia"/>
                <w:sz w:val="21"/>
              </w:rPr>
            </w:pPr>
            <w:r>
              <w:rPr>
                <w:rFonts w:ascii="宋体" w:eastAsia="宋体" w:hint="eastAsia"/>
                <w:sz w:val="21"/>
              </w:rPr>
              <w:t>排污沟、漏缝板</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4"/>
              <w:ind w:left="187" w:right="157"/>
              <w:rPr>
                <w:rFonts w:ascii="宋体" w:eastAsia="宋体" w:hint="eastAsia"/>
                <w:sz w:val="21"/>
              </w:rPr>
            </w:pPr>
            <w:r>
              <w:rPr>
                <w:rFonts w:ascii="宋体" w:eastAsia="宋体" w:hint="eastAsia"/>
                <w:sz w:val="21"/>
              </w:rPr>
              <w:t>垂直入渗</w:t>
            </w:r>
          </w:p>
        </w:tc>
        <w:tc>
          <w:tcPr>
            <w:tcW w:w="1726" w:type="dxa"/>
            <w:tcBorders>
              <w:top w:val="single" w:sz="6" w:space="0" w:color="000000"/>
              <w:left w:val="single" w:sz="6" w:space="0" w:color="000000"/>
              <w:bottom w:val="single" w:sz="6" w:space="0" w:color="000000"/>
              <w:right w:val="single" w:sz="6" w:space="0" w:color="000000"/>
            </w:tcBorders>
          </w:tcPr>
          <w:p>
            <w:pPr>
              <w:pStyle w:val="TableParagraph"/>
              <w:spacing w:before="43"/>
              <w:ind w:left="226" w:right="196"/>
              <w:rPr>
                <w:sz w:val="21"/>
              </w:rPr>
            </w:pPr>
            <w:r>
              <w:rPr>
                <w:position w:val="2"/>
                <w:sz w:val="21"/>
              </w:rPr>
              <w:t>COD</w:t>
            </w:r>
            <w:r>
              <w:rPr>
                <w:rFonts w:ascii="宋体" w:eastAsia="宋体" w:hint="eastAsia"/>
                <w:position w:val="2"/>
                <w:sz w:val="21"/>
              </w:rPr>
              <w:t>、</w:t>
            </w:r>
            <w:r>
              <w:rPr>
                <w:position w:val="2"/>
                <w:sz w:val="21"/>
              </w:rPr>
              <w:t>NH</w:t>
            </w:r>
            <w:r>
              <w:rPr>
                <w:sz w:val="14"/>
              </w:rPr>
              <w:t>3</w:t>
            </w:r>
            <w:r>
              <w:rPr>
                <w:position w:val="2"/>
                <w:sz w:val="21"/>
              </w:rPr>
              <w:t>-N</w:t>
            </w:r>
          </w:p>
        </w:tc>
        <w:tc>
          <w:tcPr>
            <w:tcW w:w="1246" w:type="dxa"/>
            <w:tcBorders>
              <w:top w:val="single" w:sz="6" w:space="0" w:color="000000"/>
              <w:left w:val="single" w:sz="6" w:space="0" w:color="000000"/>
              <w:bottom w:val="single" w:sz="6" w:space="0" w:color="000000"/>
              <w:right w:val="single" w:sz="6" w:space="0" w:color="000000"/>
            </w:tcBorders>
          </w:tcPr>
          <w:p>
            <w:pPr>
              <w:pStyle w:val="TableParagraph"/>
              <w:ind w:left="26"/>
              <w:rPr>
                <w:sz w:val="21"/>
              </w:rPr>
            </w:pPr>
            <w:r>
              <w:rPr>
                <w:w w:val="100"/>
                <w:sz w:val="21"/>
              </w:rPr>
              <w:t>-</w:t>
            </w:r>
          </w:p>
        </w:tc>
        <w:tc>
          <w:tcPr>
            <w:tcW w:w="752" w:type="dxa"/>
            <w:tcBorders>
              <w:top w:val="single" w:sz="6" w:space="0" w:color="000000"/>
              <w:left w:val="single" w:sz="6" w:space="0" w:color="000000"/>
              <w:bottom w:val="single" w:sz="6" w:space="0" w:color="000000"/>
            </w:tcBorders>
          </w:tcPr>
          <w:p>
            <w:pPr>
              <w:pStyle w:val="TableParagraph"/>
              <w:spacing w:before="44"/>
              <w:ind w:left="173"/>
              <w:jc w:val="left"/>
              <w:rPr>
                <w:rFonts w:ascii="宋体" w:eastAsia="宋体" w:hint="eastAsia"/>
                <w:sz w:val="21"/>
              </w:rPr>
            </w:pPr>
            <w:r>
              <w:rPr>
                <w:rFonts w:ascii="宋体" w:eastAsia="宋体" w:hint="eastAsia"/>
                <w:sz w:val="21"/>
              </w:rPr>
              <w:t>事故</w:t>
            </w:r>
          </w:p>
        </w:tc>
      </w:tr>
      <w:tr>
        <w:trPr>
          <w:trHeight w:val="359" w:hRule="atLeast"/>
        </w:trPr>
        <w:tc>
          <w:tcPr>
            <w:tcW w:w="1735" w:type="dxa"/>
            <w:tcBorders>
              <w:top w:val="single" w:sz="6" w:space="0" w:color="000000"/>
              <w:bottom w:val="single" w:sz="6" w:space="0" w:color="000000"/>
              <w:right w:val="single" w:sz="6" w:space="0" w:color="000000"/>
            </w:tcBorders>
          </w:tcPr>
          <w:p>
            <w:pPr>
              <w:pStyle w:val="TableParagraph"/>
              <w:spacing w:before="46"/>
              <w:ind w:left="426" w:right="405"/>
              <w:rPr>
                <w:rFonts w:ascii="宋体" w:eastAsia="宋体" w:hint="eastAsia"/>
                <w:sz w:val="21"/>
              </w:rPr>
            </w:pPr>
            <w:r>
              <w:rPr>
                <w:rFonts w:ascii="宋体" w:eastAsia="宋体" w:hint="eastAsia"/>
                <w:sz w:val="21"/>
              </w:rPr>
              <w:t>污水处理</w:t>
            </w:r>
          </w:p>
        </w:tc>
        <w:tc>
          <w:tcPr>
            <w:tcW w:w="2727" w:type="dxa"/>
            <w:tcBorders>
              <w:top w:val="single" w:sz="6" w:space="0" w:color="000000"/>
              <w:left w:val="single" w:sz="6" w:space="0" w:color="000000"/>
              <w:bottom w:val="single" w:sz="6" w:space="0" w:color="000000"/>
              <w:right w:val="single" w:sz="6" w:space="0" w:color="000000"/>
            </w:tcBorders>
          </w:tcPr>
          <w:p>
            <w:pPr>
              <w:pStyle w:val="TableParagraph"/>
              <w:spacing w:before="46"/>
              <w:ind w:left="300" w:right="272"/>
              <w:rPr>
                <w:rFonts w:ascii="宋体" w:eastAsia="宋体" w:hint="eastAsia"/>
                <w:sz w:val="21"/>
              </w:rPr>
            </w:pPr>
            <w:r>
              <w:rPr>
                <w:rFonts w:ascii="宋体" w:eastAsia="宋体" w:hint="eastAsia"/>
                <w:sz w:val="21"/>
              </w:rPr>
              <w:t>污水管线、池体构筑物</w:t>
            </w:r>
          </w:p>
        </w:tc>
        <w:tc>
          <w:tcPr>
            <w:tcW w:w="1245" w:type="dxa"/>
            <w:tcBorders>
              <w:top w:val="single" w:sz="6" w:space="0" w:color="000000"/>
              <w:left w:val="single" w:sz="6" w:space="0" w:color="000000"/>
              <w:bottom w:val="single" w:sz="6" w:space="0" w:color="000000"/>
              <w:right w:val="single" w:sz="6" w:space="0" w:color="000000"/>
            </w:tcBorders>
          </w:tcPr>
          <w:p>
            <w:pPr>
              <w:pStyle w:val="TableParagraph"/>
              <w:spacing w:before="46"/>
              <w:ind w:left="187" w:right="157"/>
              <w:rPr>
                <w:rFonts w:ascii="宋体" w:eastAsia="宋体" w:hint="eastAsia"/>
                <w:sz w:val="21"/>
              </w:rPr>
            </w:pPr>
            <w:r>
              <w:rPr>
                <w:rFonts w:ascii="宋体" w:eastAsia="宋体" w:hint="eastAsia"/>
                <w:sz w:val="21"/>
              </w:rPr>
              <w:t>垂直入渗</w:t>
            </w:r>
          </w:p>
        </w:tc>
        <w:tc>
          <w:tcPr>
            <w:tcW w:w="1726" w:type="dxa"/>
            <w:tcBorders>
              <w:top w:val="single" w:sz="6" w:space="0" w:color="000000"/>
              <w:left w:val="single" w:sz="6" w:space="0" w:color="000000"/>
              <w:bottom w:val="single" w:sz="6" w:space="0" w:color="000000"/>
              <w:right w:val="single" w:sz="6" w:space="0" w:color="000000"/>
            </w:tcBorders>
          </w:tcPr>
          <w:p>
            <w:pPr>
              <w:pStyle w:val="TableParagraph"/>
              <w:spacing w:before="45"/>
              <w:ind w:left="226" w:right="196"/>
              <w:rPr>
                <w:sz w:val="21"/>
              </w:rPr>
            </w:pPr>
            <w:r>
              <w:rPr>
                <w:position w:val="2"/>
                <w:sz w:val="21"/>
              </w:rPr>
              <w:t>COD</w:t>
            </w:r>
            <w:r>
              <w:rPr>
                <w:rFonts w:ascii="宋体" w:eastAsia="宋体" w:hint="eastAsia"/>
                <w:position w:val="2"/>
                <w:sz w:val="21"/>
              </w:rPr>
              <w:t>、</w:t>
            </w:r>
            <w:r>
              <w:rPr>
                <w:position w:val="2"/>
                <w:sz w:val="21"/>
              </w:rPr>
              <w:t>NH</w:t>
            </w:r>
            <w:r>
              <w:rPr>
                <w:sz w:val="14"/>
              </w:rPr>
              <w:t>3</w:t>
            </w:r>
            <w:r>
              <w:rPr>
                <w:position w:val="2"/>
                <w:sz w:val="21"/>
              </w:rPr>
              <w:t>-N</w:t>
            </w:r>
          </w:p>
        </w:tc>
        <w:tc>
          <w:tcPr>
            <w:tcW w:w="1246" w:type="dxa"/>
            <w:tcBorders>
              <w:top w:val="single" w:sz="6" w:space="0" w:color="000000"/>
              <w:left w:val="single" w:sz="6" w:space="0" w:color="000000"/>
              <w:bottom w:val="single" w:sz="6" w:space="0" w:color="000000"/>
              <w:right w:val="single" w:sz="6" w:space="0" w:color="000000"/>
            </w:tcBorders>
          </w:tcPr>
          <w:p>
            <w:pPr>
              <w:pStyle w:val="TableParagraph"/>
              <w:spacing w:before="60"/>
              <w:ind w:left="26"/>
              <w:rPr>
                <w:sz w:val="21"/>
              </w:rPr>
            </w:pPr>
            <w:r>
              <w:rPr>
                <w:w w:val="100"/>
                <w:sz w:val="21"/>
              </w:rPr>
              <w:t>-</w:t>
            </w:r>
          </w:p>
        </w:tc>
        <w:tc>
          <w:tcPr>
            <w:tcW w:w="752" w:type="dxa"/>
            <w:tcBorders>
              <w:top w:val="single" w:sz="6" w:space="0" w:color="000000"/>
              <w:left w:val="single" w:sz="6" w:space="0" w:color="000000"/>
              <w:bottom w:val="single" w:sz="6" w:space="0" w:color="000000"/>
            </w:tcBorders>
          </w:tcPr>
          <w:p>
            <w:pPr>
              <w:pStyle w:val="TableParagraph"/>
              <w:spacing w:before="46"/>
              <w:ind w:left="173"/>
              <w:jc w:val="left"/>
              <w:rPr>
                <w:rFonts w:ascii="宋体" w:eastAsia="宋体" w:hint="eastAsia"/>
                <w:sz w:val="21"/>
              </w:rPr>
            </w:pPr>
            <w:r>
              <w:rPr>
                <w:rFonts w:ascii="宋体" w:eastAsia="宋体" w:hint="eastAsia"/>
                <w:sz w:val="21"/>
              </w:rPr>
              <w:t>事故</w:t>
            </w:r>
          </w:p>
        </w:tc>
      </w:tr>
      <w:tr>
        <w:trPr>
          <w:trHeight w:val="356" w:hRule="atLeast"/>
        </w:trPr>
        <w:tc>
          <w:tcPr>
            <w:tcW w:w="1735" w:type="dxa"/>
            <w:tcBorders>
              <w:top w:val="single" w:sz="6" w:space="0" w:color="000000"/>
              <w:right w:val="single" w:sz="6" w:space="0" w:color="000000"/>
            </w:tcBorders>
          </w:tcPr>
          <w:p>
            <w:pPr>
              <w:pStyle w:val="TableParagraph"/>
              <w:spacing w:before="44"/>
              <w:ind w:left="426" w:right="405"/>
              <w:rPr>
                <w:rFonts w:ascii="宋体" w:eastAsia="宋体" w:hint="eastAsia"/>
                <w:sz w:val="21"/>
              </w:rPr>
            </w:pPr>
            <w:r>
              <w:rPr>
                <w:rFonts w:ascii="宋体" w:eastAsia="宋体" w:hint="eastAsia"/>
                <w:sz w:val="21"/>
              </w:rPr>
              <w:t>猪粪发酵</w:t>
            </w:r>
          </w:p>
        </w:tc>
        <w:tc>
          <w:tcPr>
            <w:tcW w:w="2727" w:type="dxa"/>
            <w:tcBorders>
              <w:top w:val="single" w:sz="6" w:space="0" w:color="000000"/>
              <w:left w:val="single" w:sz="6" w:space="0" w:color="000000"/>
              <w:right w:val="single" w:sz="6" w:space="0" w:color="000000"/>
            </w:tcBorders>
          </w:tcPr>
          <w:p>
            <w:pPr>
              <w:pStyle w:val="TableParagraph"/>
              <w:spacing w:before="44"/>
              <w:ind w:left="299" w:right="272"/>
              <w:rPr>
                <w:rFonts w:ascii="宋体" w:eastAsia="宋体" w:hint="eastAsia"/>
                <w:sz w:val="21"/>
              </w:rPr>
            </w:pPr>
            <w:r>
              <w:rPr>
                <w:rFonts w:ascii="宋体" w:eastAsia="宋体" w:hint="eastAsia"/>
                <w:sz w:val="21"/>
              </w:rPr>
              <w:t>固液分离</w:t>
            </w:r>
          </w:p>
        </w:tc>
        <w:tc>
          <w:tcPr>
            <w:tcW w:w="1245" w:type="dxa"/>
            <w:tcBorders>
              <w:top w:val="single" w:sz="6" w:space="0" w:color="000000"/>
              <w:left w:val="single" w:sz="6" w:space="0" w:color="000000"/>
              <w:right w:val="single" w:sz="6" w:space="0" w:color="000000"/>
            </w:tcBorders>
          </w:tcPr>
          <w:p>
            <w:pPr>
              <w:pStyle w:val="TableParagraph"/>
              <w:spacing w:before="44"/>
              <w:ind w:left="187" w:right="157"/>
              <w:rPr>
                <w:rFonts w:ascii="宋体" w:eastAsia="宋体" w:hint="eastAsia"/>
                <w:sz w:val="21"/>
              </w:rPr>
            </w:pPr>
            <w:r>
              <w:rPr>
                <w:rFonts w:ascii="宋体" w:eastAsia="宋体" w:hint="eastAsia"/>
                <w:sz w:val="21"/>
              </w:rPr>
              <w:t>垂直入渗</w:t>
            </w:r>
          </w:p>
        </w:tc>
        <w:tc>
          <w:tcPr>
            <w:tcW w:w="1726" w:type="dxa"/>
            <w:tcBorders>
              <w:top w:val="single" w:sz="6" w:space="0" w:color="000000"/>
              <w:left w:val="single" w:sz="6" w:space="0" w:color="000000"/>
              <w:right w:val="single" w:sz="6" w:space="0" w:color="000000"/>
            </w:tcBorders>
          </w:tcPr>
          <w:p>
            <w:pPr>
              <w:pStyle w:val="TableParagraph"/>
              <w:spacing w:before="43"/>
              <w:ind w:left="226" w:right="196"/>
              <w:rPr>
                <w:sz w:val="21"/>
              </w:rPr>
            </w:pPr>
            <w:r>
              <w:rPr>
                <w:position w:val="2"/>
                <w:sz w:val="21"/>
              </w:rPr>
              <w:t>COD</w:t>
            </w:r>
            <w:r>
              <w:rPr>
                <w:rFonts w:ascii="宋体" w:eastAsia="宋体" w:hint="eastAsia"/>
                <w:position w:val="2"/>
                <w:sz w:val="21"/>
              </w:rPr>
              <w:t>、</w:t>
            </w:r>
            <w:r>
              <w:rPr>
                <w:position w:val="2"/>
                <w:sz w:val="21"/>
              </w:rPr>
              <w:t>NH</w:t>
            </w:r>
            <w:r>
              <w:rPr>
                <w:sz w:val="14"/>
              </w:rPr>
              <w:t>3</w:t>
            </w:r>
            <w:r>
              <w:rPr>
                <w:position w:val="2"/>
                <w:sz w:val="21"/>
              </w:rPr>
              <w:t>-N</w:t>
            </w:r>
          </w:p>
        </w:tc>
        <w:tc>
          <w:tcPr>
            <w:tcW w:w="1246" w:type="dxa"/>
            <w:tcBorders>
              <w:top w:val="single" w:sz="6" w:space="0" w:color="000000"/>
              <w:left w:val="single" w:sz="6" w:space="0" w:color="000000"/>
              <w:right w:val="single" w:sz="6" w:space="0" w:color="000000"/>
            </w:tcBorders>
          </w:tcPr>
          <w:p>
            <w:pPr>
              <w:pStyle w:val="TableParagraph"/>
              <w:ind w:left="26"/>
              <w:rPr>
                <w:sz w:val="21"/>
              </w:rPr>
            </w:pPr>
            <w:r>
              <w:rPr>
                <w:w w:val="100"/>
                <w:sz w:val="21"/>
              </w:rPr>
              <w:t>-</w:t>
            </w:r>
          </w:p>
        </w:tc>
        <w:tc>
          <w:tcPr>
            <w:tcW w:w="752" w:type="dxa"/>
            <w:tcBorders>
              <w:top w:val="single" w:sz="6" w:space="0" w:color="000000"/>
              <w:left w:val="single" w:sz="6" w:space="0" w:color="000000"/>
            </w:tcBorders>
          </w:tcPr>
          <w:p>
            <w:pPr>
              <w:pStyle w:val="TableParagraph"/>
              <w:spacing w:before="44"/>
              <w:ind w:left="173"/>
              <w:jc w:val="left"/>
              <w:rPr>
                <w:rFonts w:ascii="宋体" w:eastAsia="宋体" w:hint="eastAsia"/>
                <w:sz w:val="21"/>
              </w:rPr>
            </w:pPr>
            <w:r>
              <w:rPr>
                <w:rFonts w:ascii="宋体" w:eastAsia="宋体" w:hint="eastAsia"/>
                <w:sz w:val="21"/>
              </w:rPr>
              <w:t>事故</w:t>
            </w:r>
          </w:p>
        </w:tc>
      </w:tr>
    </w:tbl>
    <w:p>
      <w:pPr>
        <w:pStyle w:val="BodyText"/>
        <w:spacing w:line="364" w:lineRule="auto" w:before="84"/>
        <w:ind w:right="249" w:firstLine="480"/>
        <w:jc w:val="both"/>
      </w:pPr>
      <w:r>
        <w:rPr>
          <w:spacing w:val="-4"/>
        </w:rPr>
        <w:t>根据《环境影响评价技术导则 土壤环境</w:t>
      </w:r>
      <w:r>
        <w:rPr/>
        <w:t>（试行</w:t>
      </w:r>
      <w:r>
        <w:rPr>
          <w:spacing w:val="-10"/>
        </w:rPr>
        <w:t>）</w:t>
      </w:r>
      <w:r>
        <w:rPr>
          <w:spacing w:val="-19"/>
        </w:rPr>
        <w:t>》</w:t>
      </w:r>
      <w:r>
        <w:rPr/>
        <w:t>（</w:t>
      </w:r>
      <w:r>
        <w:rPr>
          <w:rFonts w:ascii="Times New Roman" w:eastAsia="Times New Roman"/>
        </w:rPr>
        <w:t>HJ </w:t>
      </w:r>
      <w:r>
        <w:rPr>
          <w:rFonts w:ascii="Times New Roman" w:eastAsia="Times New Roman"/>
          <w:spacing w:val="-3"/>
        </w:rPr>
        <w:t>964-2018</w:t>
      </w:r>
      <w:r>
        <w:rPr>
          <w:spacing w:val="-3"/>
        </w:rPr>
        <w:t>）</w:t>
      </w:r>
      <w:r>
        <w:rPr>
          <w:spacing w:val="-4"/>
        </w:rPr>
        <w:t>，本项目土壤环</w:t>
      </w:r>
      <w:r>
        <w:rPr/>
        <w:t>境评价工作等级为三级，评价方法采用定性描述方法进行评价。</w:t>
      </w:r>
    </w:p>
    <w:p>
      <w:pPr>
        <w:pStyle w:val="BodyText"/>
        <w:spacing w:line="364" w:lineRule="auto" w:before="2"/>
        <w:ind w:right="249" w:firstLine="480"/>
        <w:jc w:val="both"/>
      </w:pPr>
      <w:r>
        <w:rPr/>
        <w:t>本项目污染土壤的途径主要为猪舍、污水处理、猪粪发酵等处的粪便、废水在发生风险事故后进入土壤，从而造成土壤的污染，污水处理站构筑物破裂也可能造成下方土壤污染。类比同类企业</w:t>
      </w:r>
      <w:r>
        <w:rPr>
          <w:spacing w:val="4"/>
        </w:rPr>
        <w:t>（</w:t>
      </w:r>
      <w:r>
        <w:rPr/>
        <w:t>浙江科强生态养殖有限公司）现有养殖区的土壤监测结果（详</w:t>
      </w:r>
      <w:r>
        <w:rPr>
          <w:spacing w:val="-16"/>
        </w:rPr>
        <w:t>见表 </w:t>
      </w:r>
      <w:r>
        <w:rPr>
          <w:rFonts w:ascii="Times New Roman" w:eastAsia="Times New Roman"/>
        </w:rPr>
        <w:t>5.2-46</w:t>
      </w:r>
      <w:r>
        <w:rPr/>
        <w:t>），</w:t>
      </w:r>
      <w:r>
        <w:rPr>
          <w:spacing w:val="-1"/>
        </w:rPr>
        <w:t>其污水处理区、养殖区土壤中各监测指标均低于《土壤环境质量 农用地土壤污染风险管控标准</w:t>
      </w:r>
      <w:r>
        <w:rPr/>
        <w:t>（试行</w:t>
      </w:r>
      <w:r>
        <w:rPr>
          <w:spacing w:val="-3"/>
        </w:rPr>
        <w:t>）</w:t>
      </w:r>
      <w:r>
        <w:rPr>
          <w:spacing w:val="-5"/>
        </w:rPr>
        <w:t>》</w:t>
      </w:r>
      <w:r>
        <w:rPr/>
        <w:t>（</w:t>
      </w:r>
      <w:r>
        <w:rPr>
          <w:rFonts w:ascii="Times New Roman" w:eastAsia="Times New Roman"/>
        </w:rPr>
        <w:t>GB 15618-2018</w:t>
      </w:r>
      <w:r>
        <w:rPr/>
        <w:t>）</w:t>
      </w:r>
      <w:r>
        <w:rPr>
          <w:spacing w:val="-2"/>
        </w:rPr>
        <w:t>中农用地土壤污染风险筛选值，表</w:t>
      </w:r>
      <w:r>
        <w:rPr/>
        <w:t>明从事养殖生产对所在地土壤环境的影响较小。另外，项目在采取本环评提出的分区防渗等措施后，会更加有效地降低对土壤的污染影响。</w:t>
      </w:r>
    </w:p>
    <w:p>
      <w:pPr>
        <w:pStyle w:val="Heading3"/>
        <w:spacing w:before="4"/>
        <w:ind w:left="930"/>
        <w:jc w:val="both"/>
        <w:rPr>
          <w:rFonts w:ascii="Times New Roman" w:eastAsia="Times New Roman"/>
        </w:rPr>
      </w:pPr>
      <w:r>
        <w:rPr/>
        <w:t>表 </w:t>
      </w:r>
      <w:r>
        <w:rPr>
          <w:rFonts w:ascii="Times New Roman" w:eastAsia="Times New Roman"/>
        </w:rPr>
        <w:t>5.2-46  </w:t>
      </w:r>
      <w:r>
        <w:rPr/>
        <w:t>浙江科强生态养殖有限公司现有厂区土壤检测结果 单位：</w:t>
      </w:r>
      <w:r>
        <w:rPr>
          <w:rFonts w:ascii="Times New Roman" w:eastAsia="Times New Roman"/>
        </w:rPr>
        <w:t>mg/kg</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1344"/>
        <w:gridCol w:w="901"/>
        <w:gridCol w:w="900"/>
        <w:gridCol w:w="1124"/>
        <w:gridCol w:w="1121"/>
        <w:gridCol w:w="1124"/>
        <w:gridCol w:w="900"/>
        <w:gridCol w:w="1344"/>
      </w:tblGrid>
      <w:tr>
        <w:trPr>
          <w:trHeight w:val="719" w:hRule="atLeast"/>
        </w:trPr>
        <w:tc>
          <w:tcPr>
            <w:tcW w:w="674" w:type="dxa"/>
            <w:tcBorders>
              <w:bottom w:val="single" w:sz="6" w:space="0" w:color="000000"/>
              <w:right w:val="single" w:sz="6" w:space="0" w:color="000000"/>
            </w:tcBorders>
          </w:tcPr>
          <w:p>
            <w:pPr>
              <w:pStyle w:val="TableParagraph"/>
              <w:spacing w:before="7"/>
              <w:jc w:val="left"/>
              <w:rPr>
                <w:b/>
                <w:sz w:val="19"/>
              </w:rPr>
            </w:pPr>
          </w:p>
          <w:p>
            <w:pPr>
              <w:pStyle w:val="TableParagraph"/>
              <w:spacing w:before="0"/>
              <w:ind w:left="101" w:right="82"/>
              <w:rPr>
                <w:rFonts w:ascii="宋体" w:eastAsia="宋体" w:hint="eastAsia"/>
                <w:b/>
                <w:sz w:val="21"/>
              </w:rPr>
            </w:pPr>
            <w:r>
              <w:rPr>
                <w:rFonts w:ascii="宋体" w:eastAsia="宋体" w:hint="eastAsia"/>
                <w:b/>
                <w:sz w:val="21"/>
              </w:rPr>
              <w:t>序号</w:t>
            </w:r>
          </w:p>
        </w:tc>
        <w:tc>
          <w:tcPr>
            <w:tcW w:w="1344" w:type="dxa"/>
            <w:tcBorders>
              <w:left w:val="single" w:sz="6" w:space="0" w:color="000000"/>
              <w:bottom w:val="single" w:sz="6" w:space="0" w:color="000000"/>
              <w:right w:val="single" w:sz="6" w:space="0" w:color="000000"/>
            </w:tcBorders>
          </w:tcPr>
          <w:p>
            <w:pPr>
              <w:pStyle w:val="TableParagraph"/>
              <w:spacing w:before="7"/>
              <w:jc w:val="left"/>
              <w:rPr>
                <w:b/>
                <w:sz w:val="19"/>
              </w:rPr>
            </w:pPr>
          </w:p>
          <w:p>
            <w:pPr>
              <w:pStyle w:val="TableParagraph"/>
              <w:spacing w:before="0"/>
              <w:ind w:left="131" w:right="102"/>
              <w:rPr>
                <w:rFonts w:ascii="宋体" w:eastAsia="宋体" w:hint="eastAsia"/>
                <w:b/>
                <w:sz w:val="21"/>
              </w:rPr>
            </w:pPr>
            <w:r>
              <w:rPr>
                <w:rFonts w:ascii="宋体" w:eastAsia="宋体" w:hint="eastAsia"/>
                <w:b/>
                <w:sz w:val="21"/>
              </w:rPr>
              <w:t>污染物项目</w:t>
            </w:r>
          </w:p>
        </w:tc>
        <w:tc>
          <w:tcPr>
            <w:tcW w:w="901" w:type="dxa"/>
            <w:tcBorders>
              <w:left w:val="single" w:sz="6" w:space="0" w:color="000000"/>
              <w:bottom w:val="single" w:sz="6" w:space="0" w:color="000000"/>
              <w:right w:val="single" w:sz="6" w:space="0" w:color="000000"/>
            </w:tcBorders>
          </w:tcPr>
          <w:p>
            <w:pPr>
              <w:pStyle w:val="TableParagraph"/>
              <w:spacing w:before="46"/>
              <w:ind w:left="139"/>
              <w:jc w:val="left"/>
              <w:rPr>
                <w:rFonts w:ascii="宋体" w:eastAsia="宋体" w:hint="eastAsia"/>
                <w:b/>
                <w:sz w:val="21"/>
              </w:rPr>
            </w:pPr>
            <w:r>
              <w:rPr>
                <w:rFonts w:ascii="宋体" w:eastAsia="宋体" w:hint="eastAsia"/>
                <w:b/>
                <w:sz w:val="21"/>
              </w:rPr>
              <w:t>样本数</w:t>
            </w:r>
          </w:p>
          <w:p>
            <w:pPr>
              <w:pStyle w:val="TableParagraph"/>
              <w:spacing w:before="88"/>
              <w:ind w:left="139"/>
              <w:jc w:val="left"/>
              <w:rPr>
                <w:rFonts w:ascii="宋体" w:eastAsia="宋体" w:hint="eastAsia"/>
                <w:b/>
                <w:sz w:val="21"/>
              </w:rPr>
            </w:pPr>
            <w:r>
              <w:rPr>
                <w:rFonts w:ascii="宋体" w:eastAsia="宋体" w:hint="eastAsia"/>
                <w:b/>
                <w:sz w:val="21"/>
              </w:rPr>
              <w:t>（个）</w:t>
            </w:r>
          </w:p>
        </w:tc>
        <w:tc>
          <w:tcPr>
            <w:tcW w:w="900" w:type="dxa"/>
            <w:tcBorders>
              <w:left w:val="single" w:sz="6" w:space="0" w:color="000000"/>
              <w:bottom w:val="single" w:sz="6" w:space="0" w:color="000000"/>
              <w:right w:val="single" w:sz="6" w:space="0" w:color="000000"/>
            </w:tcBorders>
          </w:tcPr>
          <w:p>
            <w:pPr>
              <w:pStyle w:val="TableParagraph"/>
              <w:spacing w:before="46"/>
              <w:ind w:left="138"/>
              <w:jc w:val="left"/>
              <w:rPr>
                <w:rFonts w:ascii="宋体" w:eastAsia="宋体" w:hint="eastAsia"/>
                <w:b/>
                <w:sz w:val="21"/>
              </w:rPr>
            </w:pPr>
            <w:r>
              <w:rPr>
                <w:rFonts w:ascii="宋体" w:eastAsia="宋体" w:hint="eastAsia"/>
                <w:b/>
                <w:sz w:val="21"/>
              </w:rPr>
              <w:t>检出率</w:t>
            </w:r>
          </w:p>
          <w:p>
            <w:pPr>
              <w:pStyle w:val="TableParagraph"/>
              <w:spacing w:before="88"/>
              <w:ind w:left="141"/>
              <w:jc w:val="left"/>
              <w:rPr>
                <w:rFonts w:ascii="宋体" w:eastAsia="宋体" w:hint="eastAsia"/>
                <w:b/>
                <w:sz w:val="21"/>
              </w:rPr>
            </w:pPr>
            <w:r>
              <w:rPr>
                <w:rFonts w:ascii="宋体" w:eastAsia="宋体" w:hint="eastAsia"/>
                <w:b/>
                <w:sz w:val="21"/>
              </w:rPr>
              <w:t>（</w:t>
            </w:r>
            <w:r>
              <w:rPr>
                <w:b/>
                <w:sz w:val="21"/>
              </w:rPr>
              <w:t>%</w:t>
            </w:r>
            <w:r>
              <w:rPr>
                <w:rFonts w:ascii="宋体" w:eastAsia="宋体" w:hint="eastAsia"/>
                <w:b/>
                <w:sz w:val="21"/>
              </w:rPr>
              <w:t>）</w:t>
            </w:r>
          </w:p>
        </w:tc>
        <w:tc>
          <w:tcPr>
            <w:tcW w:w="1124" w:type="dxa"/>
            <w:tcBorders>
              <w:left w:val="single" w:sz="6" w:space="0" w:color="000000"/>
              <w:bottom w:val="single" w:sz="6" w:space="0" w:color="000000"/>
              <w:right w:val="single" w:sz="6" w:space="0" w:color="000000"/>
            </w:tcBorders>
          </w:tcPr>
          <w:p>
            <w:pPr>
              <w:pStyle w:val="TableParagraph"/>
              <w:spacing w:before="7"/>
              <w:jc w:val="left"/>
              <w:rPr>
                <w:b/>
                <w:sz w:val="19"/>
              </w:rPr>
            </w:pPr>
          </w:p>
          <w:p>
            <w:pPr>
              <w:pStyle w:val="TableParagraph"/>
              <w:spacing w:before="0"/>
              <w:ind w:left="125" w:right="98"/>
              <w:rPr>
                <w:rFonts w:ascii="宋体" w:eastAsia="宋体" w:hint="eastAsia"/>
                <w:b/>
                <w:sz w:val="21"/>
              </w:rPr>
            </w:pPr>
            <w:r>
              <w:rPr>
                <w:rFonts w:ascii="宋体" w:eastAsia="宋体" w:hint="eastAsia"/>
                <w:b/>
                <w:sz w:val="21"/>
              </w:rPr>
              <w:t>最小浓度</w:t>
            </w:r>
          </w:p>
        </w:tc>
        <w:tc>
          <w:tcPr>
            <w:tcW w:w="1121" w:type="dxa"/>
            <w:tcBorders>
              <w:left w:val="single" w:sz="6" w:space="0" w:color="000000"/>
              <w:bottom w:val="single" w:sz="6" w:space="0" w:color="000000"/>
              <w:right w:val="single" w:sz="6" w:space="0" w:color="000000"/>
            </w:tcBorders>
          </w:tcPr>
          <w:p>
            <w:pPr>
              <w:pStyle w:val="TableParagraph"/>
              <w:spacing w:before="7"/>
              <w:jc w:val="left"/>
              <w:rPr>
                <w:b/>
                <w:sz w:val="19"/>
              </w:rPr>
            </w:pPr>
          </w:p>
          <w:p>
            <w:pPr>
              <w:pStyle w:val="TableParagraph"/>
              <w:spacing w:before="0"/>
              <w:ind w:left="123" w:right="98"/>
              <w:rPr>
                <w:rFonts w:ascii="宋体" w:eastAsia="宋体" w:hint="eastAsia"/>
                <w:b/>
                <w:sz w:val="21"/>
              </w:rPr>
            </w:pPr>
            <w:r>
              <w:rPr>
                <w:rFonts w:ascii="宋体" w:eastAsia="宋体" w:hint="eastAsia"/>
                <w:b/>
                <w:sz w:val="21"/>
              </w:rPr>
              <w:t>最大浓度</w:t>
            </w:r>
          </w:p>
        </w:tc>
        <w:tc>
          <w:tcPr>
            <w:tcW w:w="1124" w:type="dxa"/>
            <w:tcBorders>
              <w:left w:val="single" w:sz="6" w:space="0" w:color="000000"/>
              <w:bottom w:val="single" w:sz="6" w:space="0" w:color="000000"/>
              <w:right w:val="single" w:sz="6" w:space="0" w:color="000000"/>
            </w:tcBorders>
          </w:tcPr>
          <w:p>
            <w:pPr>
              <w:pStyle w:val="TableParagraph"/>
              <w:spacing w:before="7"/>
              <w:jc w:val="left"/>
              <w:rPr>
                <w:b/>
                <w:sz w:val="19"/>
              </w:rPr>
            </w:pPr>
          </w:p>
          <w:p>
            <w:pPr>
              <w:pStyle w:val="TableParagraph"/>
              <w:spacing w:before="0"/>
              <w:ind w:left="125" w:right="99"/>
              <w:rPr>
                <w:rFonts w:ascii="宋体" w:eastAsia="宋体" w:hint="eastAsia"/>
                <w:b/>
                <w:sz w:val="21"/>
              </w:rPr>
            </w:pPr>
            <w:r>
              <w:rPr>
                <w:rFonts w:ascii="宋体" w:eastAsia="宋体" w:hint="eastAsia"/>
                <w:b/>
                <w:sz w:val="21"/>
              </w:rPr>
              <w:t>平均浓度</w:t>
            </w:r>
          </w:p>
        </w:tc>
        <w:tc>
          <w:tcPr>
            <w:tcW w:w="900" w:type="dxa"/>
            <w:tcBorders>
              <w:left w:val="single" w:sz="6" w:space="0" w:color="000000"/>
              <w:bottom w:val="single" w:sz="6" w:space="0" w:color="000000"/>
              <w:right w:val="single" w:sz="6" w:space="0" w:color="000000"/>
            </w:tcBorders>
          </w:tcPr>
          <w:p>
            <w:pPr>
              <w:pStyle w:val="TableParagraph"/>
              <w:spacing w:before="7"/>
              <w:jc w:val="left"/>
              <w:rPr>
                <w:b/>
                <w:sz w:val="19"/>
              </w:rPr>
            </w:pPr>
          </w:p>
          <w:p>
            <w:pPr>
              <w:pStyle w:val="TableParagraph"/>
              <w:spacing w:before="0"/>
              <w:ind w:left="115" w:right="96"/>
              <w:rPr>
                <w:rFonts w:ascii="宋体" w:eastAsia="宋体" w:hint="eastAsia"/>
                <w:b/>
                <w:sz w:val="21"/>
              </w:rPr>
            </w:pPr>
            <w:r>
              <w:rPr>
                <w:rFonts w:ascii="宋体" w:eastAsia="宋体" w:hint="eastAsia"/>
                <w:b/>
                <w:sz w:val="21"/>
              </w:rPr>
              <w:t>筛选值</w:t>
            </w:r>
          </w:p>
        </w:tc>
        <w:tc>
          <w:tcPr>
            <w:tcW w:w="1344" w:type="dxa"/>
            <w:tcBorders>
              <w:left w:val="single" w:sz="6" w:space="0" w:color="000000"/>
              <w:bottom w:val="single" w:sz="6" w:space="0" w:color="000000"/>
            </w:tcBorders>
          </w:tcPr>
          <w:p>
            <w:pPr>
              <w:pStyle w:val="TableParagraph"/>
              <w:spacing w:before="7"/>
              <w:jc w:val="left"/>
              <w:rPr>
                <w:b/>
                <w:sz w:val="19"/>
              </w:rPr>
            </w:pPr>
          </w:p>
          <w:p>
            <w:pPr>
              <w:pStyle w:val="TableParagraph"/>
              <w:spacing w:before="0"/>
              <w:ind w:left="128" w:right="99"/>
              <w:rPr>
                <w:rFonts w:ascii="宋体" w:eastAsia="宋体" w:hint="eastAsia"/>
                <w:b/>
                <w:sz w:val="21"/>
              </w:rPr>
            </w:pPr>
            <w:r>
              <w:rPr>
                <w:rFonts w:ascii="宋体" w:eastAsia="宋体" w:hint="eastAsia"/>
                <w:b/>
                <w:sz w:val="21"/>
              </w:rPr>
              <w:t>最大比标值</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1</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砷</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3</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86"/>
              <w:rPr>
                <w:sz w:val="21"/>
              </w:rPr>
            </w:pPr>
            <w:r>
              <w:rPr>
                <w:sz w:val="21"/>
              </w:rPr>
              <w:t>100%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8"/>
              <w:rPr>
                <w:sz w:val="21"/>
              </w:rPr>
            </w:pPr>
            <w:r>
              <w:rPr>
                <w:sz w:val="21"/>
              </w:rPr>
              <w:t>2.67</w:t>
            </w:r>
          </w:p>
        </w:tc>
        <w:tc>
          <w:tcPr>
            <w:tcW w:w="1121" w:type="dxa"/>
            <w:tcBorders>
              <w:top w:val="single" w:sz="6" w:space="0" w:color="000000"/>
              <w:left w:val="single" w:sz="6" w:space="0" w:color="000000"/>
              <w:bottom w:val="single" w:sz="6" w:space="0" w:color="000000"/>
              <w:right w:val="single" w:sz="6" w:space="0" w:color="000000"/>
            </w:tcBorders>
          </w:tcPr>
          <w:p>
            <w:pPr>
              <w:pStyle w:val="TableParagraph"/>
              <w:ind w:left="123" w:right="98"/>
              <w:rPr>
                <w:sz w:val="21"/>
              </w:rPr>
            </w:pPr>
            <w:r>
              <w:rPr>
                <w:sz w:val="21"/>
              </w:rPr>
              <w:t>2.82</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9"/>
              <w:rPr>
                <w:sz w:val="21"/>
              </w:rPr>
            </w:pPr>
            <w:r>
              <w:rPr>
                <w:sz w:val="21"/>
              </w:rPr>
              <w:t>2.74</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96"/>
              <w:rPr>
                <w:sz w:val="21"/>
              </w:rPr>
            </w:pPr>
            <w:r>
              <w:rPr>
                <w:sz w:val="21"/>
              </w:rPr>
              <w:t>25</w:t>
            </w:r>
          </w:p>
        </w:tc>
        <w:tc>
          <w:tcPr>
            <w:tcW w:w="1344" w:type="dxa"/>
            <w:tcBorders>
              <w:top w:val="single" w:sz="6" w:space="0" w:color="000000"/>
              <w:left w:val="single" w:sz="6" w:space="0" w:color="000000"/>
              <w:bottom w:val="single" w:sz="6" w:space="0" w:color="000000"/>
            </w:tcBorders>
          </w:tcPr>
          <w:p>
            <w:pPr>
              <w:pStyle w:val="TableParagraph"/>
              <w:ind w:left="128" w:right="96"/>
              <w:rPr>
                <w:sz w:val="21"/>
              </w:rPr>
            </w:pPr>
            <w:r>
              <w:rPr>
                <w:sz w:val="21"/>
              </w:rPr>
              <w:t>0.113</w:t>
            </w:r>
          </w:p>
        </w:tc>
      </w:tr>
      <w:tr>
        <w:trPr>
          <w:trHeight w:val="357" w:hRule="atLeast"/>
        </w:trPr>
        <w:tc>
          <w:tcPr>
            <w:tcW w:w="67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2</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镉</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3</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86"/>
              <w:rPr>
                <w:sz w:val="21"/>
              </w:rPr>
            </w:pPr>
            <w:r>
              <w:rPr>
                <w:sz w:val="21"/>
              </w:rPr>
              <w:t>100%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8"/>
              <w:rPr>
                <w:sz w:val="21"/>
              </w:rPr>
            </w:pPr>
            <w:r>
              <w:rPr>
                <w:sz w:val="21"/>
              </w:rPr>
              <w:t>0.14</w:t>
            </w:r>
          </w:p>
        </w:tc>
        <w:tc>
          <w:tcPr>
            <w:tcW w:w="1121" w:type="dxa"/>
            <w:tcBorders>
              <w:top w:val="single" w:sz="6" w:space="0" w:color="000000"/>
              <w:left w:val="single" w:sz="6" w:space="0" w:color="000000"/>
              <w:bottom w:val="single" w:sz="6" w:space="0" w:color="000000"/>
              <w:right w:val="single" w:sz="6" w:space="0" w:color="000000"/>
            </w:tcBorders>
          </w:tcPr>
          <w:p>
            <w:pPr>
              <w:pStyle w:val="TableParagraph"/>
              <w:ind w:left="123" w:right="98"/>
              <w:rPr>
                <w:sz w:val="21"/>
              </w:rPr>
            </w:pPr>
            <w:r>
              <w:rPr>
                <w:sz w:val="21"/>
              </w:rPr>
              <w:t>0.15</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9"/>
              <w:rPr>
                <w:sz w:val="21"/>
              </w:rPr>
            </w:pPr>
            <w:r>
              <w:rPr>
                <w:sz w:val="21"/>
              </w:rPr>
              <w:t>0.14</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91"/>
              <w:rPr>
                <w:sz w:val="21"/>
              </w:rPr>
            </w:pPr>
            <w:r>
              <w:rPr>
                <w:sz w:val="21"/>
              </w:rPr>
              <w:t>0.3</w:t>
            </w:r>
          </w:p>
        </w:tc>
        <w:tc>
          <w:tcPr>
            <w:tcW w:w="1344" w:type="dxa"/>
            <w:tcBorders>
              <w:top w:val="single" w:sz="6" w:space="0" w:color="000000"/>
              <w:left w:val="single" w:sz="6" w:space="0" w:color="000000"/>
              <w:bottom w:val="single" w:sz="6" w:space="0" w:color="000000"/>
            </w:tcBorders>
          </w:tcPr>
          <w:p>
            <w:pPr>
              <w:pStyle w:val="TableParagraph"/>
              <w:ind w:left="128" w:right="99"/>
              <w:rPr>
                <w:sz w:val="21"/>
              </w:rPr>
            </w:pPr>
            <w:r>
              <w:rPr>
                <w:sz w:val="21"/>
              </w:rPr>
              <w:t>0.500</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spacing w:before="60"/>
              <w:ind w:left="19"/>
              <w:rPr>
                <w:sz w:val="21"/>
              </w:rPr>
            </w:pPr>
            <w:r>
              <w:rPr>
                <w:w w:val="100"/>
                <w:sz w:val="21"/>
              </w:rPr>
              <w:t>3</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99"/>
              <w:rPr>
                <w:rFonts w:ascii="宋体" w:eastAsia="宋体" w:hint="eastAsia"/>
                <w:sz w:val="21"/>
              </w:rPr>
            </w:pPr>
            <w:r>
              <w:rPr>
                <w:rFonts w:ascii="宋体" w:eastAsia="宋体" w:hint="eastAsia"/>
                <w:sz w:val="21"/>
              </w:rPr>
              <w:t>铬（六价）</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spacing w:before="60"/>
              <w:ind w:left="27"/>
              <w:rPr>
                <w:sz w:val="21"/>
              </w:rPr>
            </w:pPr>
            <w:r>
              <w:rPr>
                <w:w w:val="100"/>
                <w:sz w:val="21"/>
              </w:rPr>
              <w:t>3</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5" w:right="86"/>
              <w:rPr>
                <w:sz w:val="21"/>
              </w:rPr>
            </w:pPr>
            <w:r>
              <w:rPr>
                <w:sz w:val="21"/>
              </w:rPr>
              <w:t>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spacing w:before="60"/>
              <w:ind w:left="125" w:right="98"/>
              <w:rPr>
                <w:sz w:val="21"/>
              </w:rPr>
            </w:pPr>
            <w:r>
              <w:rPr>
                <w:sz w:val="21"/>
              </w:rPr>
              <w:t>&lt;0.5</w:t>
            </w:r>
          </w:p>
        </w:tc>
        <w:tc>
          <w:tcPr>
            <w:tcW w:w="1121" w:type="dxa"/>
            <w:tcBorders>
              <w:top w:val="single" w:sz="6" w:space="0" w:color="000000"/>
              <w:left w:val="single" w:sz="6" w:space="0" w:color="000000"/>
              <w:bottom w:val="single" w:sz="6" w:space="0" w:color="000000"/>
              <w:right w:val="single" w:sz="6" w:space="0" w:color="000000"/>
            </w:tcBorders>
          </w:tcPr>
          <w:p>
            <w:pPr>
              <w:pStyle w:val="TableParagraph"/>
              <w:spacing w:before="60"/>
              <w:ind w:left="122" w:right="98"/>
              <w:rPr>
                <w:sz w:val="21"/>
              </w:rPr>
            </w:pPr>
            <w:r>
              <w:rPr>
                <w:sz w:val="21"/>
              </w:rPr>
              <w:t>&lt;0.5</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spacing w:before="60"/>
              <w:ind w:left="125" w:right="99"/>
              <w:rPr>
                <w:sz w:val="21"/>
              </w:rPr>
            </w:pPr>
            <w:r>
              <w:rPr>
                <w:sz w:val="21"/>
              </w:rPr>
              <w:t>&lt;0.5</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before="60"/>
              <w:ind w:left="20"/>
              <w:rPr>
                <w:sz w:val="21"/>
              </w:rPr>
            </w:pPr>
            <w:r>
              <w:rPr>
                <w:w w:val="100"/>
                <w:sz w:val="21"/>
              </w:rPr>
              <w:t>/</w:t>
            </w:r>
          </w:p>
        </w:tc>
        <w:tc>
          <w:tcPr>
            <w:tcW w:w="1344" w:type="dxa"/>
            <w:tcBorders>
              <w:top w:val="single" w:sz="6" w:space="0" w:color="000000"/>
              <w:left w:val="single" w:sz="6" w:space="0" w:color="000000"/>
              <w:bottom w:val="single" w:sz="6" w:space="0" w:color="000000"/>
            </w:tcBorders>
          </w:tcPr>
          <w:p>
            <w:pPr>
              <w:pStyle w:val="TableParagraph"/>
              <w:spacing w:before="60"/>
              <w:ind w:left="31"/>
              <w:rPr>
                <w:sz w:val="21"/>
              </w:rPr>
            </w:pPr>
            <w:r>
              <w:rPr>
                <w:w w:val="100"/>
                <w:sz w:val="21"/>
              </w:rPr>
              <w:t>/</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4</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铜</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3</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86"/>
              <w:rPr>
                <w:sz w:val="21"/>
              </w:rPr>
            </w:pPr>
            <w:r>
              <w:rPr>
                <w:sz w:val="21"/>
              </w:rPr>
              <w:t>100%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8"/>
              <w:rPr>
                <w:sz w:val="21"/>
              </w:rPr>
            </w:pPr>
            <w:r>
              <w:rPr>
                <w:sz w:val="21"/>
              </w:rPr>
              <w:t>25</w:t>
            </w:r>
          </w:p>
        </w:tc>
        <w:tc>
          <w:tcPr>
            <w:tcW w:w="1121" w:type="dxa"/>
            <w:tcBorders>
              <w:top w:val="single" w:sz="6" w:space="0" w:color="000000"/>
              <w:left w:val="single" w:sz="6" w:space="0" w:color="000000"/>
              <w:bottom w:val="single" w:sz="6" w:space="0" w:color="000000"/>
              <w:right w:val="single" w:sz="6" w:space="0" w:color="000000"/>
            </w:tcBorders>
          </w:tcPr>
          <w:p>
            <w:pPr>
              <w:pStyle w:val="TableParagraph"/>
              <w:ind w:left="123" w:right="98"/>
              <w:rPr>
                <w:sz w:val="21"/>
              </w:rPr>
            </w:pPr>
            <w:r>
              <w:rPr>
                <w:sz w:val="21"/>
              </w:rPr>
              <w:t>39</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8"/>
              <w:rPr>
                <w:sz w:val="21"/>
              </w:rPr>
            </w:pPr>
            <w:r>
              <w:rPr>
                <w:sz w:val="21"/>
              </w:rPr>
              <w:t>32</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91"/>
              <w:rPr>
                <w:sz w:val="21"/>
              </w:rPr>
            </w:pPr>
            <w:r>
              <w:rPr>
                <w:sz w:val="21"/>
              </w:rPr>
              <w:t>100</w:t>
            </w:r>
          </w:p>
        </w:tc>
        <w:tc>
          <w:tcPr>
            <w:tcW w:w="1344" w:type="dxa"/>
            <w:tcBorders>
              <w:top w:val="single" w:sz="6" w:space="0" w:color="000000"/>
              <w:left w:val="single" w:sz="6" w:space="0" w:color="000000"/>
              <w:bottom w:val="single" w:sz="6" w:space="0" w:color="000000"/>
            </w:tcBorders>
          </w:tcPr>
          <w:p>
            <w:pPr>
              <w:pStyle w:val="TableParagraph"/>
              <w:ind w:left="128" w:right="99"/>
              <w:rPr>
                <w:sz w:val="21"/>
              </w:rPr>
            </w:pPr>
            <w:r>
              <w:rPr>
                <w:sz w:val="21"/>
              </w:rPr>
              <w:t>0.390</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5</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铅</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3</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86"/>
              <w:rPr>
                <w:sz w:val="21"/>
              </w:rPr>
            </w:pPr>
            <w:r>
              <w:rPr>
                <w:sz w:val="21"/>
              </w:rPr>
              <w:t>100%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8"/>
              <w:rPr>
                <w:sz w:val="21"/>
              </w:rPr>
            </w:pPr>
            <w:r>
              <w:rPr>
                <w:sz w:val="21"/>
              </w:rPr>
              <w:t>23.5</w:t>
            </w:r>
          </w:p>
        </w:tc>
        <w:tc>
          <w:tcPr>
            <w:tcW w:w="1121" w:type="dxa"/>
            <w:tcBorders>
              <w:top w:val="single" w:sz="6" w:space="0" w:color="000000"/>
              <w:left w:val="single" w:sz="6" w:space="0" w:color="000000"/>
              <w:bottom w:val="single" w:sz="6" w:space="0" w:color="000000"/>
              <w:right w:val="single" w:sz="6" w:space="0" w:color="000000"/>
            </w:tcBorders>
          </w:tcPr>
          <w:p>
            <w:pPr>
              <w:pStyle w:val="TableParagraph"/>
              <w:ind w:left="123" w:right="98"/>
              <w:rPr>
                <w:sz w:val="21"/>
              </w:rPr>
            </w:pPr>
            <w:r>
              <w:rPr>
                <w:sz w:val="21"/>
              </w:rPr>
              <w:t>40.6</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9"/>
              <w:rPr>
                <w:sz w:val="21"/>
              </w:rPr>
            </w:pPr>
            <w:r>
              <w:rPr>
                <w:sz w:val="21"/>
              </w:rPr>
              <w:t>33.9</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91"/>
              <w:rPr>
                <w:sz w:val="21"/>
              </w:rPr>
            </w:pPr>
            <w:r>
              <w:rPr>
                <w:sz w:val="21"/>
              </w:rPr>
              <w:t>120</w:t>
            </w:r>
          </w:p>
        </w:tc>
        <w:tc>
          <w:tcPr>
            <w:tcW w:w="1344" w:type="dxa"/>
            <w:tcBorders>
              <w:top w:val="single" w:sz="6" w:space="0" w:color="000000"/>
              <w:left w:val="single" w:sz="6" w:space="0" w:color="000000"/>
              <w:bottom w:val="single" w:sz="6" w:space="0" w:color="000000"/>
            </w:tcBorders>
          </w:tcPr>
          <w:p>
            <w:pPr>
              <w:pStyle w:val="TableParagraph"/>
              <w:ind w:left="128" w:right="99"/>
              <w:rPr>
                <w:sz w:val="21"/>
              </w:rPr>
            </w:pPr>
            <w:r>
              <w:rPr>
                <w:sz w:val="21"/>
              </w:rPr>
              <w:t>0.338</w:t>
            </w:r>
          </w:p>
        </w:tc>
      </w:tr>
      <w:tr>
        <w:trPr>
          <w:trHeight w:val="357" w:hRule="atLeast"/>
        </w:trPr>
        <w:tc>
          <w:tcPr>
            <w:tcW w:w="674" w:type="dxa"/>
            <w:tcBorders>
              <w:top w:val="single" w:sz="6" w:space="0" w:color="000000"/>
              <w:bottom w:val="single" w:sz="6" w:space="0" w:color="000000"/>
              <w:right w:val="single" w:sz="6" w:space="0" w:color="000000"/>
            </w:tcBorders>
          </w:tcPr>
          <w:p>
            <w:pPr>
              <w:pStyle w:val="TableParagraph"/>
              <w:ind w:left="19"/>
              <w:rPr>
                <w:sz w:val="21"/>
              </w:rPr>
            </w:pPr>
            <w:r>
              <w:rPr>
                <w:w w:val="100"/>
                <w:sz w:val="21"/>
              </w:rPr>
              <w:t>6</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汞</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ind w:left="27"/>
              <w:rPr>
                <w:sz w:val="21"/>
              </w:rPr>
            </w:pPr>
            <w:r>
              <w:rPr>
                <w:w w:val="100"/>
                <w:sz w:val="21"/>
              </w:rPr>
              <w:t>3</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86"/>
              <w:rPr>
                <w:sz w:val="21"/>
              </w:rPr>
            </w:pPr>
            <w:r>
              <w:rPr>
                <w:sz w:val="21"/>
              </w:rPr>
              <w:t>100%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8"/>
              <w:rPr>
                <w:sz w:val="21"/>
              </w:rPr>
            </w:pPr>
            <w:r>
              <w:rPr>
                <w:sz w:val="21"/>
              </w:rPr>
              <w:t>0.073</w:t>
            </w:r>
          </w:p>
        </w:tc>
        <w:tc>
          <w:tcPr>
            <w:tcW w:w="1121" w:type="dxa"/>
            <w:tcBorders>
              <w:top w:val="single" w:sz="6" w:space="0" w:color="000000"/>
              <w:left w:val="single" w:sz="6" w:space="0" w:color="000000"/>
              <w:bottom w:val="single" w:sz="6" w:space="0" w:color="000000"/>
              <w:right w:val="single" w:sz="6" w:space="0" w:color="000000"/>
            </w:tcBorders>
          </w:tcPr>
          <w:p>
            <w:pPr>
              <w:pStyle w:val="TableParagraph"/>
              <w:ind w:left="123" w:right="98"/>
              <w:rPr>
                <w:sz w:val="21"/>
              </w:rPr>
            </w:pPr>
            <w:r>
              <w:rPr>
                <w:sz w:val="21"/>
              </w:rPr>
              <w:t>0.083</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ind w:left="125" w:right="99"/>
              <w:rPr>
                <w:sz w:val="21"/>
              </w:rPr>
            </w:pPr>
            <w:r>
              <w:rPr>
                <w:sz w:val="21"/>
              </w:rPr>
              <w:t>0.077</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ind w:left="115" w:right="91"/>
              <w:rPr>
                <w:sz w:val="21"/>
              </w:rPr>
            </w:pPr>
            <w:r>
              <w:rPr>
                <w:sz w:val="21"/>
              </w:rPr>
              <w:t>0.6</w:t>
            </w:r>
          </w:p>
        </w:tc>
        <w:tc>
          <w:tcPr>
            <w:tcW w:w="1344" w:type="dxa"/>
            <w:tcBorders>
              <w:top w:val="single" w:sz="6" w:space="0" w:color="000000"/>
              <w:left w:val="single" w:sz="6" w:space="0" w:color="000000"/>
              <w:bottom w:val="single" w:sz="6" w:space="0" w:color="000000"/>
            </w:tcBorders>
          </w:tcPr>
          <w:p>
            <w:pPr>
              <w:pStyle w:val="TableParagraph"/>
              <w:ind w:left="128" w:right="99"/>
              <w:rPr>
                <w:sz w:val="21"/>
              </w:rPr>
            </w:pPr>
            <w:r>
              <w:rPr>
                <w:sz w:val="21"/>
              </w:rPr>
              <w:t>0.138</w:t>
            </w:r>
          </w:p>
        </w:tc>
      </w:tr>
      <w:tr>
        <w:trPr>
          <w:trHeight w:val="359" w:hRule="atLeast"/>
        </w:trPr>
        <w:tc>
          <w:tcPr>
            <w:tcW w:w="674" w:type="dxa"/>
            <w:tcBorders>
              <w:top w:val="single" w:sz="6" w:space="0" w:color="000000"/>
              <w:bottom w:val="single" w:sz="6" w:space="0" w:color="000000"/>
              <w:right w:val="single" w:sz="6" w:space="0" w:color="000000"/>
            </w:tcBorders>
          </w:tcPr>
          <w:p>
            <w:pPr>
              <w:pStyle w:val="TableParagraph"/>
              <w:spacing w:before="60"/>
              <w:ind w:left="19"/>
              <w:rPr>
                <w:sz w:val="21"/>
              </w:rPr>
            </w:pPr>
            <w:r>
              <w:rPr>
                <w:w w:val="100"/>
                <w:sz w:val="21"/>
              </w:rPr>
              <w:t>7</w:t>
            </w:r>
          </w:p>
        </w:tc>
        <w:tc>
          <w:tcPr>
            <w:tcW w:w="1344"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镍</w:t>
            </w:r>
          </w:p>
        </w:tc>
        <w:tc>
          <w:tcPr>
            <w:tcW w:w="901" w:type="dxa"/>
            <w:tcBorders>
              <w:top w:val="single" w:sz="6" w:space="0" w:color="000000"/>
              <w:left w:val="single" w:sz="6" w:space="0" w:color="000000"/>
              <w:bottom w:val="single" w:sz="6" w:space="0" w:color="000000"/>
              <w:right w:val="single" w:sz="6" w:space="0" w:color="000000"/>
            </w:tcBorders>
          </w:tcPr>
          <w:p>
            <w:pPr>
              <w:pStyle w:val="TableParagraph"/>
              <w:spacing w:before="60"/>
              <w:ind w:left="27"/>
              <w:rPr>
                <w:sz w:val="21"/>
              </w:rPr>
            </w:pPr>
            <w:r>
              <w:rPr>
                <w:w w:val="100"/>
                <w:sz w:val="21"/>
              </w:rPr>
              <w:t>3</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5" w:right="86"/>
              <w:rPr>
                <w:sz w:val="21"/>
              </w:rPr>
            </w:pPr>
            <w:r>
              <w:rPr>
                <w:sz w:val="21"/>
              </w:rPr>
              <w:t>100%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spacing w:before="60"/>
              <w:ind w:left="125" w:right="98"/>
              <w:rPr>
                <w:sz w:val="21"/>
              </w:rPr>
            </w:pPr>
            <w:r>
              <w:rPr>
                <w:sz w:val="21"/>
              </w:rPr>
              <w:t>36</w:t>
            </w:r>
          </w:p>
        </w:tc>
        <w:tc>
          <w:tcPr>
            <w:tcW w:w="1121" w:type="dxa"/>
            <w:tcBorders>
              <w:top w:val="single" w:sz="6" w:space="0" w:color="000000"/>
              <w:left w:val="single" w:sz="6" w:space="0" w:color="000000"/>
              <w:bottom w:val="single" w:sz="6" w:space="0" w:color="000000"/>
              <w:right w:val="single" w:sz="6" w:space="0" w:color="000000"/>
            </w:tcBorders>
          </w:tcPr>
          <w:p>
            <w:pPr>
              <w:pStyle w:val="TableParagraph"/>
              <w:spacing w:before="60"/>
              <w:ind w:left="123" w:right="98"/>
              <w:rPr>
                <w:sz w:val="21"/>
              </w:rPr>
            </w:pPr>
            <w:r>
              <w:rPr>
                <w:sz w:val="21"/>
              </w:rPr>
              <w:t>40</w:t>
            </w:r>
          </w:p>
        </w:tc>
        <w:tc>
          <w:tcPr>
            <w:tcW w:w="1124" w:type="dxa"/>
            <w:tcBorders>
              <w:top w:val="single" w:sz="6" w:space="0" w:color="000000"/>
              <w:left w:val="single" w:sz="6" w:space="0" w:color="000000"/>
              <w:bottom w:val="single" w:sz="6" w:space="0" w:color="000000"/>
              <w:right w:val="single" w:sz="6" w:space="0" w:color="000000"/>
            </w:tcBorders>
          </w:tcPr>
          <w:p>
            <w:pPr>
              <w:pStyle w:val="TableParagraph"/>
              <w:spacing w:before="60"/>
              <w:ind w:left="125" w:right="98"/>
              <w:rPr>
                <w:sz w:val="21"/>
              </w:rPr>
            </w:pPr>
            <w:r>
              <w:rPr>
                <w:sz w:val="21"/>
              </w:rPr>
              <w:t>39</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spacing w:before="60"/>
              <w:ind w:left="115" w:right="91"/>
              <w:rPr>
                <w:sz w:val="21"/>
              </w:rPr>
            </w:pPr>
            <w:r>
              <w:rPr>
                <w:sz w:val="21"/>
              </w:rPr>
              <w:t>100</w:t>
            </w:r>
          </w:p>
        </w:tc>
        <w:tc>
          <w:tcPr>
            <w:tcW w:w="1344" w:type="dxa"/>
            <w:tcBorders>
              <w:top w:val="single" w:sz="6" w:space="0" w:color="000000"/>
              <w:left w:val="single" w:sz="6" w:space="0" w:color="000000"/>
              <w:bottom w:val="single" w:sz="6" w:space="0" w:color="000000"/>
            </w:tcBorders>
          </w:tcPr>
          <w:p>
            <w:pPr>
              <w:pStyle w:val="TableParagraph"/>
              <w:spacing w:before="60"/>
              <w:ind w:left="128" w:right="99"/>
              <w:rPr>
                <w:sz w:val="21"/>
              </w:rPr>
            </w:pPr>
            <w:r>
              <w:rPr>
                <w:sz w:val="21"/>
              </w:rPr>
              <w:t>0.400</w:t>
            </w:r>
          </w:p>
        </w:tc>
      </w:tr>
      <w:tr>
        <w:trPr>
          <w:trHeight w:val="356" w:hRule="atLeast"/>
        </w:trPr>
        <w:tc>
          <w:tcPr>
            <w:tcW w:w="674" w:type="dxa"/>
            <w:tcBorders>
              <w:top w:val="single" w:sz="6" w:space="0" w:color="000000"/>
              <w:right w:val="single" w:sz="6" w:space="0" w:color="000000"/>
            </w:tcBorders>
          </w:tcPr>
          <w:p>
            <w:pPr>
              <w:pStyle w:val="TableParagraph"/>
              <w:ind w:left="19"/>
              <w:rPr>
                <w:sz w:val="21"/>
              </w:rPr>
            </w:pPr>
            <w:r>
              <w:rPr>
                <w:w w:val="100"/>
                <w:sz w:val="21"/>
              </w:rPr>
              <w:t>8</w:t>
            </w:r>
          </w:p>
        </w:tc>
        <w:tc>
          <w:tcPr>
            <w:tcW w:w="1344" w:type="dxa"/>
            <w:tcBorders>
              <w:top w:val="single" w:sz="6" w:space="0" w:color="000000"/>
              <w:left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锌</w:t>
            </w:r>
          </w:p>
        </w:tc>
        <w:tc>
          <w:tcPr>
            <w:tcW w:w="901" w:type="dxa"/>
            <w:tcBorders>
              <w:top w:val="single" w:sz="6" w:space="0" w:color="000000"/>
              <w:left w:val="single" w:sz="6" w:space="0" w:color="000000"/>
              <w:right w:val="single" w:sz="6" w:space="0" w:color="000000"/>
            </w:tcBorders>
          </w:tcPr>
          <w:p>
            <w:pPr>
              <w:pStyle w:val="TableParagraph"/>
              <w:ind w:left="27"/>
              <w:rPr>
                <w:sz w:val="21"/>
              </w:rPr>
            </w:pPr>
            <w:r>
              <w:rPr>
                <w:w w:val="100"/>
                <w:sz w:val="21"/>
              </w:rPr>
              <w:t>3</w:t>
            </w:r>
          </w:p>
        </w:tc>
        <w:tc>
          <w:tcPr>
            <w:tcW w:w="900" w:type="dxa"/>
            <w:tcBorders>
              <w:top w:val="single" w:sz="6" w:space="0" w:color="000000"/>
              <w:left w:val="single" w:sz="6" w:space="0" w:color="000000"/>
              <w:right w:val="single" w:sz="6" w:space="0" w:color="000000"/>
            </w:tcBorders>
          </w:tcPr>
          <w:p>
            <w:pPr>
              <w:pStyle w:val="TableParagraph"/>
              <w:ind w:left="115" w:right="86"/>
              <w:rPr>
                <w:sz w:val="21"/>
              </w:rPr>
            </w:pPr>
            <w:r>
              <w:rPr>
                <w:sz w:val="21"/>
              </w:rPr>
              <w:t>100%</w:t>
            </w:r>
          </w:p>
        </w:tc>
        <w:tc>
          <w:tcPr>
            <w:tcW w:w="1124" w:type="dxa"/>
            <w:tcBorders>
              <w:top w:val="single" w:sz="6" w:space="0" w:color="000000"/>
              <w:left w:val="single" w:sz="6" w:space="0" w:color="000000"/>
              <w:right w:val="single" w:sz="6" w:space="0" w:color="000000"/>
            </w:tcBorders>
          </w:tcPr>
          <w:p>
            <w:pPr>
              <w:pStyle w:val="TableParagraph"/>
              <w:ind w:left="125" w:right="98"/>
              <w:rPr>
                <w:sz w:val="21"/>
              </w:rPr>
            </w:pPr>
            <w:r>
              <w:rPr>
                <w:sz w:val="21"/>
              </w:rPr>
              <w:t>65</w:t>
            </w:r>
          </w:p>
        </w:tc>
        <w:tc>
          <w:tcPr>
            <w:tcW w:w="1121" w:type="dxa"/>
            <w:tcBorders>
              <w:top w:val="single" w:sz="6" w:space="0" w:color="000000"/>
              <w:left w:val="single" w:sz="6" w:space="0" w:color="000000"/>
              <w:right w:val="single" w:sz="6" w:space="0" w:color="000000"/>
            </w:tcBorders>
          </w:tcPr>
          <w:p>
            <w:pPr>
              <w:pStyle w:val="TableParagraph"/>
              <w:ind w:left="123" w:right="98"/>
              <w:rPr>
                <w:sz w:val="21"/>
              </w:rPr>
            </w:pPr>
            <w:r>
              <w:rPr>
                <w:sz w:val="21"/>
              </w:rPr>
              <w:t>73</w:t>
            </w:r>
          </w:p>
        </w:tc>
        <w:tc>
          <w:tcPr>
            <w:tcW w:w="1124" w:type="dxa"/>
            <w:tcBorders>
              <w:top w:val="single" w:sz="6" w:space="0" w:color="000000"/>
              <w:left w:val="single" w:sz="6" w:space="0" w:color="000000"/>
              <w:right w:val="single" w:sz="6" w:space="0" w:color="000000"/>
            </w:tcBorders>
          </w:tcPr>
          <w:p>
            <w:pPr>
              <w:pStyle w:val="TableParagraph"/>
              <w:ind w:left="125" w:right="98"/>
              <w:rPr>
                <w:sz w:val="21"/>
              </w:rPr>
            </w:pPr>
            <w:r>
              <w:rPr>
                <w:sz w:val="21"/>
              </w:rPr>
              <w:t>69</w:t>
            </w:r>
          </w:p>
        </w:tc>
        <w:tc>
          <w:tcPr>
            <w:tcW w:w="900" w:type="dxa"/>
            <w:tcBorders>
              <w:top w:val="single" w:sz="6" w:space="0" w:color="000000"/>
              <w:left w:val="single" w:sz="6" w:space="0" w:color="000000"/>
              <w:right w:val="single" w:sz="6" w:space="0" w:color="000000"/>
            </w:tcBorders>
          </w:tcPr>
          <w:p>
            <w:pPr>
              <w:pStyle w:val="TableParagraph"/>
              <w:ind w:left="115" w:right="91"/>
              <w:rPr>
                <w:sz w:val="21"/>
              </w:rPr>
            </w:pPr>
            <w:r>
              <w:rPr>
                <w:sz w:val="21"/>
              </w:rPr>
              <w:t>250</w:t>
            </w:r>
          </w:p>
        </w:tc>
        <w:tc>
          <w:tcPr>
            <w:tcW w:w="1344" w:type="dxa"/>
            <w:tcBorders>
              <w:top w:val="single" w:sz="6" w:space="0" w:color="000000"/>
              <w:left w:val="single" w:sz="6" w:space="0" w:color="000000"/>
            </w:tcBorders>
          </w:tcPr>
          <w:p>
            <w:pPr>
              <w:pStyle w:val="TableParagraph"/>
              <w:ind w:left="128" w:right="99"/>
              <w:rPr>
                <w:sz w:val="21"/>
              </w:rPr>
            </w:pPr>
            <w:r>
              <w:rPr>
                <w:sz w:val="21"/>
              </w:rPr>
              <w:t>0.292</w:t>
            </w:r>
          </w:p>
        </w:tc>
      </w:tr>
    </w:tbl>
    <w:p>
      <w:pPr>
        <w:spacing w:before="47"/>
        <w:ind w:left="657" w:right="0" w:firstLine="0"/>
        <w:jc w:val="left"/>
        <w:rPr>
          <w:sz w:val="21"/>
        </w:rPr>
      </w:pPr>
      <w:r>
        <w:rPr>
          <w:sz w:val="21"/>
        </w:rPr>
        <w:t>注：其余因子均未检出，不再列出。</w:t>
      </w:r>
    </w:p>
    <w:p>
      <w:pPr>
        <w:spacing w:after="0"/>
        <w:jc w:val="left"/>
        <w:rPr>
          <w:sz w:val="21"/>
        </w:rPr>
        <w:sectPr>
          <w:pgSz w:w="11910" w:h="16840"/>
          <w:pgMar w:header="874" w:footer="1004" w:top="1420" w:bottom="1200" w:left="1040" w:right="1160"/>
        </w:sectPr>
      </w:pPr>
    </w:p>
    <w:p>
      <w:pPr>
        <w:pStyle w:val="Heading1"/>
      </w:pPr>
      <w:bookmarkStart w:name="_bookmark94" w:id="182"/>
      <w:bookmarkEnd w:id="182"/>
      <w:r>
        <w:rPr>
          <w:b w:val="0"/>
        </w:rPr>
      </w:r>
      <w:r>
        <w:rPr/>
        <w:t>第六章 环境保护措施及其可行性论证</w:t>
      </w:r>
    </w:p>
    <w:p>
      <w:pPr>
        <w:pStyle w:val="Heading2"/>
        <w:numPr>
          <w:ilvl w:val="1"/>
          <w:numId w:val="88"/>
        </w:numPr>
        <w:tabs>
          <w:tab w:pos="730" w:val="left" w:leader="none"/>
        </w:tabs>
        <w:spacing w:line="240" w:lineRule="auto" w:before="253" w:after="0"/>
        <w:ind w:left="729" w:right="0" w:hanging="493"/>
        <w:jc w:val="left"/>
      </w:pPr>
      <w:bookmarkStart w:name="_bookmark95" w:id="183"/>
      <w:bookmarkEnd w:id="183"/>
      <w:r>
        <w:rPr>
          <w:b w:val="0"/>
        </w:rPr>
      </w:r>
      <w:bookmarkStart w:name="_bookmark95" w:id="184"/>
      <w:bookmarkEnd w:id="184"/>
      <w:r>
        <w:rPr/>
        <w:t>施工期环境保护措施对策</w:t>
      </w:r>
    </w:p>
    <w:p>
      <w:pPr>
        <w:pStyle w:val="Heading3"/>
        <w:numPr>
          <w:ilvl w:val="2"/>
          <w:numId w:val="88"/>
        </w:numPr>
        <w:tabs>
          <w:tab w:pos="838" w:val="left" w:leader="none"/>
        </w:tabs>
        <w:spacing w:line="240" w:lineRule="auto" w:before="214" w:after="0"/>
        <w:ind w:left="837" w:right="0" w:hanging="601"/>
        <w:jc w:val="left"/>
      </w:pPr>
      <w:bookmarkStart w:name="_bookmark96" w:id="185"/>
      <w:bookmarkEnd w:id="185"/>
      <w:r>
        <w:rPr>
          <w:b w:val="0"/>
        </w:rPr>
      </w:r>
      <w:bookmarkStart w:name="_bookmark96" w:id="186"/>
      <w:bookmarkEnd w:id="186"/>
      <w:r>
        <w:rPr>
          <w:w w:val="95"/>
        </w:rPr>
        <w:t>施工期环境空气污染防治措施</w:t>
      </w:r>
    </w:p>
    <w:p>
      <w:pPr>
        <w:pStyle w:val="BodyText"/>
        <w:spacing w:line="364" w:lineRule="auto" w:before="160"/>
        <w:ind w:right="257" w:firstLine="480"/>
      </w:pPr>
      <w:r>
        <w:rPr>
          <w:rFonts w:ascii="Times New Roman" w:eastAsia="Times New Roman"/>
          <w:position w:val="1"/>
        </w:rPr>
        <w:t>1</w:t>
      </w:r>
      <w:r>
        <w:rPr>
          <w:spacing w:val="-6"/>
        </w:rPr>
        <w:t>、应制定扬尘污染防治方案，建立相应的责任制度和作业记录台帐，并指定专人具</w:t>
      </w:r>
      <w:r>
        <w:rPr/>
        <w:t>体负责施工现场扬尘污染防治的管理工作。</w:t>
      </w:r>
    </w:p>
    <w:p>
      <w:pPr>
        <w:pStyle w:val="BodyText"/>
        <w:spacing w:line="364" w:lineRule="auto" w:before="1"/>
        <w:ind w:right="131" w:firstLine="480"/>
        <w:jc w:val="both"/>
      </w:pPr>
      <w:r>
        <w:rPr>
          <w:rFonts w:ascii="Times New Roman" w:eastAsia="Times New Roman"/>
          <w:position w:val="1"/>
        </w:rPr>
        <w:t>2</w:t>
      </w:r>
      <w:r>
        <w:rPr>
          <w:spacing w:val="-27"/>
        </w:rPr>
        <w:t>、运输黄沙、石子、弃土、建筑垃圾等的车辆必须用帆布严密覆盖，覆盖率要达 </w:t>
      </w:r>
      <w:r>
        <w:rPr>
          <w:rFonts w:ascii="Times New Roman" w:eastAsia="Times New Roman"/>
          <w:position w:val="1"/>
        </w:rPr>
        <w:t>100%</w:t>
      </w:r>
      <w:r>
        <w:rPr>
          <w:spacing w:val="-14"/>
        </w:rPr>
        <w:t>。</w:t>
      </w:r>
      <w:r>
        <w:rPr>
          <w:spacing w:val="-11"/>
        </w:rPr>
        <w:t>工地出入口 </w:t>
      </w:r>
      <w:r>
        <w:rPr>
          <w:rFonts w:ascii="Times New Roman" w:eastAsia="Times New Roman"/>
          <w:position w:val="1"/>
        </w:rPr>
        <w:t>15m </w:t>
      </w:r>
      <w:r>
        <w:rPr>
          <w:spacing w:val="-11"/>
        </w:rPr>
        <w:t>内应将路面硬化，并派专人冲洗进出运输车辆和保持出入口通道的整洁， </w:t>
      </w:r>
      <w:r>
        <w:rPr/>
        <w:t>以减少扬尘对周围环境、道路的影响。</w:t>
      </w:r>
    </w:p>
    <w:p>
      <w:pPr>
        <w:pStyle w:val="BodyText"/>
        <w:spacing w:line="364" w:lineRule="auto" w:before="3"/>
        <w:ind w:right="249" w:firstLine="480"/>
        <w:jc w:val="right"/>
      </w:pPr>
      <w:r>
        <w:rPr>
          <w:rFonts w:ascii="Times New Roman" w:eastAsia="Times New Roman"/>
          <w:position w:val="1"/>
        </w:rPr>
        <w:t>3</w:t>
      </w:r>
      <w:r>
        <w:rPr>
          <w:spacing w:val="-2"/>
        </w:rPr>
        <w:t>、洒水抑尘。一般情况，施工场地自然风作用下产生的扬尘所影响范围在 </w:t>
      </w:r>
      <w:r>
        <w:rPr>
          <w:rFonts w:ascii="Times New Roman" w:eastAsia="Times New Roman"/>
          <w:position w:val="1"/>
        </w:rPr>
        <w:t>100m </w:t>
      </w:r>
      <w:r>
        <w:rPr>
          <w:spacing w:val="-17"/>
        </w:rPr>
        <w:t>以</w:t>
      </w:r>
      <w:r>
        <w:rPr>
          <w:spacing w:val="-3"/>
        </w:rPr>
        <w:t>内。对施工场地及车辆行驶路面洒水抑尘，每天洒水 </w:t>
      </w:r>
      <w:r>
        <w:rPr>
          <w:rFonts w:ascii="Times New Roman" w:eastAsia="Times New Roman"/>
          <w:position w:val="1"/>
        </w:rPr>
        <w:t>4~5 </w:t>
      </w:r>
      <w:r>
        <w:rPr>
          <w:spacing w:val="-7"/>
        </w:rPr>
        <w:t>次，可使扬尘减少 </w:t>
      </w:r>
      <w:r>
        <w:rPr>
          <w:rFonts w:ascii="Times New Roman" w:eastAsia="Times New Roman"/>
          <w:position w:val="1"/>
        </w:rPr>
        <w:t>70%</w:t>
      </w:r>
      <w:r>
        <w:rPr/>
        <w:t>左右。 </w:t>
      </w:r>
      <w:r>
        <w:rPr>
          <w:rFonts w:ascii="Times New Roman" w:eastAsia="Times New Roman"/>
          <w:position w:val="1"/>
        </w:rPr>
        <w:t>4</w:t>
      </w:r>
      <w:r>
        <w:rPr>
          <w:spacing w:val="-4"/>
        </w:rPr>
        <w:t>、粉状建材的露天堆放和搅拌作业是施工扬尘的另一产生源，这类扬尘的主要特点</w:t>
      </w:r>
    </w:p>
    <w:p>
      <w:pPr>
        <w:pStyle w:val="BodyText"/>
        <w:spacing w:line="364" w:lineRule="auto" w:before="1"/>
        <w:ind w:right="249"/>
      </w:pPr>
      <w:r>
        <w:rPr/>
        <w:t>是受扬尘的风速影响。因此，尽量不在露天堆放沙石、水泥等粉状建材，不在露天进行搅拌作业。在露天暂时堆放的沙石、水泥等必须用帆布或塑料编织布严密封盖。</w:t>
      </w:r>
    </w:p>
    <w:p>
      <w:pPr>
        <w:pStyle w:val="BodyText"/>
        <w:spacing w:line="364" w:lineRule="auto" w:before="2"/>
        <w:ind w:right="221" w:firstLine="480"/>
      </w:pPr>
      <w:r>
        <w:rPr>
          <w:rFonts w:ascii="Times New Roman" w:eastAsia="Times New Roman"/>
          <w:position w:val="1"/>
        </w:rPr>
        <w:t>5</w:t>
      </w:r>
      <w:r>
        <w:rPr/>
        <w:t>、施工单位应当使用预拌砂浆、商品混凝土，禁止现场搅拌，需要现场搅拌的，应当依法报经散装水泥管理机构批准，并采取相应的扬尘防治措施。</w:t>
      </w:r>
    </w:p>
    <w:p>
      <w:pPr>
        <w:pStyle w:val="Heading3"/>
        <w:numPr>
          <w:ilvl w:val="2"/>
          <w:numId w:val="88"/>
        </w:numPr>
        <w:tabs>
          <w:tab w:pos="838" w:val="left" w:leader="none"/>
        </w:tabs>
        <w:spacing w:line="240" w:lineRule="auto" w:before="1" w:after="0"/>
        <w:ind w:left="837" w:right="0" w:hanging="601"/>
        <w:jc w:val="left"/>
      </w:pPr>
      <w:bookmarkStart w:name="_bookmark97" w:id="187"/>
      <w:bookmarkEnd w:id="187"/>
      <w:r>
        <w:rPr>
          <w:b w:val="0"/>
        </w:rPr>
      </w:r>
      <w:bookmarkStart w:name="_bookmark97" w:id="188"/>
      <w:bookmarkEnd w:id="188"/>
      <w:r>
        <w:rPr/>
        <w:t>施工期废水污染防治措施</w:t>
      </w:r>
    </w:p>
    <w:p>
      <w:pPr>
        <w:pStyle w:val="BodyText"/>
        <w:spacing w:line="364" w:lineRule="auto" w:before="161"/>
        <w:ind w:right="254" w:firstLine="480"/>
      </w:pPr>
      <w:r>
        <w:rPr/>
        <w:t>施工期地下涌水或渗水经沉淀处理达标后可进行洒水抑尘，剩余部分则排入附近水体，以减轻对周围水环境的影响。</w:t>
      </w:r>
    </w:p>
    <w:p>
      <w:pPr>
        <w:pStyle w:val="BodyText"/>
        <w:spacing w:line="364" w:lineRule="auto" w:before="1"/>
        <w:ind w:right="254" w:firstLine="480"/>
      </w:pPr>
      <w:r>
        <w:rPr/>
        <w:t>施工期间应管理好施工队伍的生活污水排放情况，可采用移动式化粪池处理施工废水，处理后由环卫部门及时清运。</w:t>
      </w:r>
    </w:p>
    <w:p>
      <w:pPr>
        <w:pStyle w:val="Heading3"/>
        <w:numPr>
          <w:ilvl w:val="2"/>
          <w:numId w:val="88"/>
        </w:numPr>
        <w:tabs>
          <w:tab w:pos="838" w:val="left" w:leader="none"/>
        </w:tabs>
        <w:spacing w:line="240" w:lineRule="auto" w:before="1" w:after="0"/>
        <w:ind w:left="837" w:right="0" w:hanging="601"/>
        <w:jc w:val="left"/>
      </w:pPr>
      <w:bookmarkStart w:name="_bookmark98" w:id="189"/>
      <w:bookmarkEnd w:id="189"/>
      <w:r>
        <w:rPr>
          <w:b w:val="0"/>
        </w:rPr>
      </w:r>
      <w:bookmarkStart w:name="_bookmark98" w:id="190"/>
      <w:bookmarkEnd w:id="190"/>
      <w:r>
        <w:rPr/>
        <w:t>施工期噪声污染防治措施</w:t>
      </w:r>
    </w:p>
    <w:p>
      <w:pPr>
        <w:pStyle w:val="BodyText"/>
        <w:spacing w:line="364" w:lineRule="auto" w:before="161"/>
        <w:ind w:right="227" w:firstLine="480"/>
      </w:pPr>
      <w:r>
        <w:rPr>
          <w:rFonts w:ascii="Times New Roman" w:eastAsia="Times New Roman"/>
          <w:position w:val="1"/>
        </w:rPr>
        <w:t>1</w:t>
      </w:r>
      <w:r>
        <w:rPr/>
        <w:t>、选用低噪声施工设备，加强施工机械的维修、管理，保证施工机械处于低噪声、高效率的良好工作状态；施工时要求施工队实施文明施工。</w:t>
      </w:r>
    </w:p>
    <w:p>
      <w:pPr>
        <w:pStyle w:val="BodyText"/>
        <w:spacing w:line="364" w:lineRule="auto" w:before="1"/>
        <w:ind w:right="221" w:firstLine="480"/>
      </w:pPr>
      <w:r>
        <w:rPr>
          <w:rFonts w:ascii="Times New Roman" w:eastAsia="Times New Roman"/>
          <w:position w:val="1"/>
        </w:rPr>
        <w:t>2</w:t>
      </w:r>
      <w:r>
        <w:rPr/>
        <w:t>、施工设备尽量远离敏感点设置，电动机、水泵、电刨、搅拌机等强噪声设备安置于单独的工棚内，以减轻对周围的噪声影响。</w:t>
      </w:r>
    </w:p>
    <w:p>
      <w:pPr>
        <w:pStyle w:val="BodyText"/>
        <w:spacing w:before="2"/>
        <w:ind w:left="717"/>
        <w:rPr>
          <w:rFonts w:ascii="Times New Roman" w:eastAsia="Times New Roman"/>
        </w:rPr>
      </w:pPr>
      <w:r>
        <w:rPr>
          <w:rFonts w:ascii="Times New Roman" w:eastAsia="Times New Roman"/>
          <w:position w:val="1"/>
        </w:rPr>
        <w:t>3</w:t>
      </w:r>
      <w:r>
        <w:rPr/>
        <w:t>、在建筑施工期间，必须严格执行国家《建筑施工场界环境噪声排放标准》（</w:t>
      </w:r>
      <w:r>
        <w:rPr>
          <w:rFonts w:ascii="Times New Roman" w:eastAsia="Times New Roman"/>
          <w:position w:val="1"/>
        </w:rPr>
        <w:t>GB</w:t>
      </w:r>
    </w:p>
    <w:p>
      <w:pPr>
        <w:pStyle w:val="BodyText"/>
        <w:spacing w:before="160"/>
      </w:pPr>
      <w:r>
        <w:rPr>
          <w:rFonts w:ascii="Times New Roman" w:eastAsia="Times New Roman"/>
          <w:position w:val="1"/>
        </w:rPr>
        <w:t>12523-2011</w:t>
      </w:r>
      <w:r>
        <w:rPr/>
        <w:t>）的标准和规定。</w:t>
      </w:r>
    </w:p>
    <w:p>
      <w:pPr>
        <w:pStyle w:val="BodyText"/>
        <w:spacing w:line="364" w:lineRule="auto" w:before="161"/>
        <w:ind w:left="171" w:right="253" w:firstLine="480"/>
        <w:jc w:val="right"/>
      </w:pPr>
      <w:r>
        <w:rPr>
          <w:rFonts w:ascii="Times New Roman" w:eastAsia="Times New Roman"/>
          <w:position w:val="1"/>
        </w:rPr>
        <w:t>4</w:t>
      </w:r>
      <w:r>
        <w:rPr/>
        <w:t>、根据国家环保局《关于贯彻实施</w:t>
      </w:r>
      <w:r>
        <w:rPr>
          <w:rFonts w:ascii="Times New Roman" w:eastAsia="Times New Roman"/>
          <w:position w:val="1"/>
        </w:rPr>
        <w:t>&lt;</w:t>
      </w:r>
      <w:r>
        <w:rPr/>
        <w:t>中华人民共和国环境污染防治法</w:t>
      </w:r>
      <w:r>
        <w:rPr>
          <w:rFonts w:ascii="Times New Roman" w:eastAsia="Times New Roman"/>
          <w:position w:val="1"/>
        </w:rPr>
        <w:t>&gt;</w:t>
      </w:r>
      <w:r>
        <w:rPr/>
        <w:t>的通知》（环控</w:t>
      </w:r>
      <w:r>
        <w:rPr>
          <w:rFonts w:ascii="Times New Roman" w:eastAsia="Times New Roman"/>
          <w:position w:val="1"/>
        </w:rPr>
        <w:t>[1997]066 </w:t>
      </w:r>
      <w:r>
        <w:rPr/>
        <w:t>号）的规定，除抢修、抢险作业和因生产工艺上需要或者特殊要求必须连续</w:t>
      </w:r>
    </w:p>
    <w:p>
      <w:pPr>
        <w:spacing w:after="0" w:line="364" w:lineRule="auto"/>
        <w:jc w:val="right"/>
        <w:sectPr>
          <w:pgSz w:w="11910" w:h="16840"/>
          <w:pgMar w:header="874" w:footer="1004" w:top="1420" w:bottom="1200" w:left="1040" w:right="1160"/>
        </w:sectPr>
      </w:pPr>
    </w:p>
    <w:p>
      <w:pPr>
        <w:pStyle w:val="BodyText"/>
        <w:spacing w:line="364" w:lineRule="auto" w:before="92"/>
        <w:ind w:right="90"/>
      </w:pPr>
      <w:r>
        <w:rPr/>
        <w:t>作业外，禁止夜间进行产生环境噪声污染的建筑施工作业，因特殊要求必须连续作业的， 必须经得环保管理部门的同意，同时要协调好周围群众关系。</w:t>
      </w:r>
    </w:p>
    <w:p>
      <w:pPr>
        <w:pStyle w:val="Heading3"/>
        <w:numPr>
          <w:ilvl w:val="2"/>
          <w:numId w:val="88"/>
        </w:numPr>
        <w:tabs>
          <w:tab w:pos="838" w:val="left" w:leader="none"/>
        </w:tabs>
        <w:spacing w:line="240" w:lineRule="auto" w:before="1" w:after="0"/>
        <w:ind w:left="837" w:right="0" w:hanging="601"/>
        <w:jc w:val="left"/>
      </w:pPr>
      <w:bookmarkStart w:name="_bookmark99" w:id="191"/>
      <w:bookmarkEnd w:id="191"/>
      <w:r>
        <w:rPr>
          <w:b w:val="0"/>
        </w:rPr>
      </w:r>
      <w:bookmarkStart w:name="_bookmark99" w:id="192"/>
      <w:bookmarkEnd w:id="192"/>
      <w:r>
        <w:rPr/>
        <w:t>施工期固体废物防治措施</w:t>
      </w:r>
    </w:p>
    <w:p>
      <w:pPr>
        <w:pStyle w:val="BodyText"/>
        <w:spacing w:line="364" w:lineRule="auto" w:before="160"/>
        <w:ind w:right="203" w:firstLine="480"/>
      </w:pPr>
      <w:r>
        <w:rPr>
          <w:rFonts w:ascii="Times New Roman" w:eastAsia="Times New Roman"/>
          <w:position w:val="1"/>
        </w:rPr>
        <w:t>1</w:t>
      </w:r>
      <w:r>
        <w:rPr/>
        <w:t>、合理利用施工建筑中产生的建筑垃圾。如不能利用则应转移至当地部门规定的已合法登记的消纳场地内处理，并且运输车辆必须密闭化，严禁在运输过程中跑冒滴漏。</w:t>
      </w:r>
    </w:p>
    <w:p>
      <w:pPr>
        <w:pStyle w:val="BodyText"/>
        <w:spacing w:before="2"/>
        <w:ind w:left="717"/>
      </w:pPr>
      <w:r>
        <w:rPr>
          <w:rFonts w:ascii="Times New Roman" w:eastAsia="Times New Roman"/>
          <w:position w:val="1"/>
        </w:rPr>
        <w:t>2</w:t>
      </w:r>
      <w:r>
        <w:rPr/>
        <w:t>、施工队伍生活垃圾收集到指定垃圾箱（筒）内，由环卫部门统一清运。</w:t>
      </w:r>
    </w:p>
    <w:p>
      <w:pPr>
        <w:pStyle w:val="Heading3"/>
        <w:numPr>
          <w:ilvl w:val="2"/>
          <w:numId w:val="88"/>
        </w:numPr>
        <w:tabs>
          <w:tab w:pos="838" w:val="left" w:leader="none"/>
        </w:tabs>
        <w:spacing w:line="240" w:lineRule="auto" w:before="160" w:after="0"/>
        <w:ind w:left="837" w:right="0" w:hanging="601"/>
        <w:jc w:val="left"/>
      </w:pPr>
      <w:bookmarkStart w:name="_bookmark100" w:id="193"/>
      <w:bookmarkEnd w:id="193"/>
      <w:r>
        <w:rPr>
          <w:b w:val="0"/>
        </w:rPr>
      </w:r>
      <w:bookmarkStart w:name="_bookmark100" w:id="194"/>
      <w:bookmarkEnd w:id="194"/>
      <w:r>
        <w:rPr/>
        <w:t>施工期污染防治措施汇总</w:t>
      </w:r>
    </w:p>
    <w:p>
      <w:pPr>
        <w:pStyle w:val="BodyText"/>
        <w:spacing w:before="161"/>
        <w:ind w:left="717"/>
      </w:pPr>
      <w:r>
        <w:rPr/>
        <w:t>施工期污染防治措施汇总具体见表 </w:t>
      </w:r>
      <w:r>
        <w:rPr>
          <w:rFonts w:ascii="Times New Roman" w:eastAsia="Times New Roman"/>
          <w:position w:val="1"/>
        </w:rPr>
        <w:t>6.1-1</w:t>
      </w:r>
      <w:r>
        <w:rPr/>
        <w:t>。</w:t>
      </w:r>
    </w:p>
    <w:p>
      <w:pPr>
        <w:pStyle w:val="Heading3"/>
        <w:ind w:left="218" w:right="236"/>
        <w:jc w:val="center"/>
      </w:pPr>
      <w:r>
        <w:rPr/>
        <w:t>表 </w:t>
      </w:r>
      <w:r>
        <w:rPr>
          <w:rFonts w:ascii="Times New Roman" w:eastAsia="Times New Roman"/>
        </w:rPr>
        <w:t>6.1-1  </w:t>
      </w:r>
      <w:r>
        <w:rPr/>
        <w:t>施工期污染防治措施一览表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1275"/>
        <w:gridCol w:w="7055"/>
      </w:tblGrid>
      <w:tr>
        <w:trPr>
          <w:trHeight w:val="359" w:hRule="atLeast"/>
        </w:trPr>
        <w:tc>
          <w:tcPr>
            <w:tcW w:w="1102" w:type="dxa"/>
            <w:tcBorders>
              <w:bottom w:val="single" w:sz="6" w:space="0" w:color="000000"/>
              <w:right w:val="single" w:sz="6" w:space="0" w:color="000000"/>
            </w:tcBorders>
          </w:tcPr>
          <w:p>
            <w:pPr>
              <w:pStyle w:val="TableParagraph"/>
              <w:spacing w:before="46"/>
              <w:ind w:left="109" w:right="86"/>
              <w:rPr>
                <w:rFonts w:ascii="宋体" w:eastAsia="宋体" w:hint="eastAsia"/>
                <w:b/>
                <w:sz w:val="21"/>
              </w:rPr>
            </w:pPr>
            <w:r>
              <w:rPr>
                <w:rFonts w:ascii="宋体" w:eastAsia="宋体" w:hint="eastAsia"/>
                <w:b/>
                <w:sz w:val="21"/>
              </w:rPr>
              <w:t>污染种类</w:t>
            </w:r>
          </w:p>
        </w:tc>
        <w:tc>
          <w:tcPr>
            <w:tcW w:w="1275" w:type="dxa"/>
            <w:tcBorders>
              <w:left w:val="single" w:sz="6" w:space="0" w:color="000000"/>
              <w:bottom w:val="single" w:sz="6" w:space="0" w:color="000000"/>
              <w:right w:val="single" w:sz="6" w:space="0" w:color="000000"/>
            </w:tcBorders>
          </w:tcPr>
          <w:p>
            <w:pPr>
              <w:pStyle w:val="TableParagraph"/>
              <w:spacing w:before="46"/>
              <w:ind w:left="43" w:right="19"/>
              <w:rPr>
                <w:rFonts w:ascii="宋体" w:eastAsia="宋体" w:hint="eastAsia"/>
                <w:b/>
                <w:sz w:val="21"/>
              </w:rPr>
            </w:pPr>
            <w:r>
              <w:rPr>
                <w:rFonts w:ascii="宋体" w:eastAsia="宋体" w:hint="eastAsia"/>
                <w:b/>
                <w:sz w:val="21"/>
              </w:rPr>
              <w:t>污染物名称</w:t>
            </w:r>
          </w:p>
        </w:tc>
        <w:tc>
          <w:tcPr>
            <w:tcW w:w="7055" w:type="dxa"/>
            <w:tcBorders>
              <w:left w:val="single" w:sz="6" w:space="0" w:color="000000"/>
              <w:bottom w:val="single" w:sz="6" w:space="0" w:color="000000"/>
            </w:tcBorders>
          </w:tcPr>
          <w:p>
            <w:pPr>
              <w:pStyle w:val="TableParagraph"/>
              <w:spacing w:before="46"/>
              <w:ind w:left="2882" w:right="2845"/>
              <w:rPr>
                <w:rFonts w:ascii="宋体" w:eastAsia="宋体" w:hint="eastAsia"/>
                <w:b/>
                <w:sz w:val="21"/>
              </w:rPr>
            </w:pPr>
            <w:r>
              <w:rPr>
                <w:rFonts w:ascii="宋体" w:eastAsia="宋体" w:hint="eastAsia"/>
                <w:b/>
                <w:sz w:val="21"/>
              </w:rPr>
              <w:t>污染防治措施</w:t>
            </w:r>
          </w:p>
        </w:tc>
      </w:tr>
      <w:tr>
        <w:trPr>
          <w:trHeight w:val="2152" w:hRule="atLeast"/>
        </w:trPr>
        <w:tc>
          <w:tcPr>
            <w:tcW w:w="1102"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75"/>
              <w:ind w:left="109" w:right="86"/>
              <w:rPr>
                <w:rFonts w:ascii="宋体" w:eastAsia="宋体" w:hint="eastAsia"/>
                <w:sz w:val="21"/>
              </w:rPr>
            </w:pPr>
            <w:r>
              <w:rPr>
                <w:rFonts w:ascii="宋体" w:eastAsia="宋体" w:hint="eastAsia"/>
                <w:sz w:val="21"/>
              </w:rPr>
              <w:t>废气</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75"/>
              <w:ind w:left="43" w:right="19"/>
              <w:rPr>
                <w:rFonts w:ascii="宋体" w:eastAsia="宋体" w:hint="eastAsia"/>
                <w:sz w:val="21"/>
              </w:rPr>
            </w:pPr>
            <w:r>
              <w:rPr>
                <w:rFonts w:ascii="宋体" w:eastAsia="宋体" w:hint="eastAsia"/>
                <w:sz w:val="21"/>
              </w:rPr>
              <w:t>扬尘</w:t>
            </w:r>
          </w:p>
        </w:tc>
        <w:tc>
          <w:tcPr>
            <w:tcW w:w="7055" w:type="dxa"/>
            <w:tcBorders>
              <w:top w:val="single" w:sz="6" w:space="0" w:color="000000"/>
              <w:left w:val="single" w:sz="6" w:space="0" w:color="000000"/>
              <w:bottom w:val="single" w:sz="6" w:space="0" w:color="000000"/>
            </w:tcBorders>
          </w:tcPr>
          <w:p>
            <w:pPr>
              <w:pStyle w:val="TableParagraph"/>
              <w:spacing w:before="46"/>
              <w:ind w:left="114"/>
              <w:jc w:val="left"/>
              <w:rPr>
                <w:rFonts w:ascii="宋体" w:eastAsia="宋体" w:hint="eastAsia"/>
                <w:sz w:val="21"/>
              </w:rPr>
            </w:pPr>
            <w:r>
              <w:rPr>
                <w:position w:val="1"/>
                <w:sz w:val="21"/>
              </w:rPr>
              <w:t>1</w:t>
            </w:r>
            <w:r>
              <w:rPr>
                <w:rFonts w:ascii="宋体" w:eastAsia="宋体" w:hint="eastAsia"/>
                <w:sz w:val="21"/>
              </w:rPr>
              <w:t>、制定扬尘污染防治方案，建立责任制度和作业台账；</w:t>
            </w:r>
          </w:p>
          <w:p>
            <w:pPr>
              <w:pStyle w:val="TableParagraph"/>
              <w:spacing w:before="91"/>
              <w:ind w:left="114"/>
              <w:jc w:val="left"/>
              <w:rPr>
                <w:rFonts w:ascii="宋体" w:eastAsia="宋体" w:hint="eastAsia"/>
                <w:sz w:val="21"/>
              </w:rPr>
            </w:pPr>
            <w:r>
              <w:rPr>
                <w:position w:val="1"/>
                <w:sz w:val="21"/>
              </w:rPr>
              <w:t>2</w:t>
            </w:r>
            <w:r>
              <w:rPr>
                <w:rFonts w:ascii="宋体" w:eastAsia="宋体" w:hint="eastAsia"/>
                <w:sz w:val="21"/>
              </w:rPr>
              <w:t>、运输车辆用帆布覆盖，工地出入口路面硬化，冲洗进出车辆。</w:t>
            </w:r>
          </w:p>
          <w:p>
            <w:pPr>
              <w:pStyle w:val="TableParagraph"/>
              <w:spacing w:before="89"/>
              <w:ind w:left="114"/>
              <w:jc w:val="left"/>
              <w:rPr>
                <w:rFonts w:ascii="宋体" w:eastAsia="宋体" w:hint="eastAsia"/>
                <w:sz w:val="21"/>
              </w:rPr>
            </w:pPr>
            <w:r>
              <w:rPr>
                <w:position w:val="1"/>
                <w:sz w:val="21"/>
              </w:rPr>
              <w:t>3</w:t>
            </w:r>
            <w:r>
              <w:rPr>
                <w:rFonts w:ascii="宋体" w:eastAsia="宋体" w:hint="eastAsia"/>
                <w:sz w:val="21"/>
              </w:rPr>
              <w:t>、对施工场地及车辆行驶路面洒水抑尘。</w:t>
            </w:r>
          </w:p>
          <w:p>
            <w:pPr>
              <w:pStyle w:val="TableParagraph"/>
              <w:spacing w:line="319" w:lineRule="auto" w:before="91"/>
              <w:ind w:left="114" w:right="75"/>
              <w:jc w:val="left"/>
              <w:rPr>
                <w:rFonts w:ascii="宋体" w:eastAsia="宋体" w:hint="eastAsia"/>
                <w:sz w:val="21"/>
              </w:rPr>
            </w:pPr>
            <w:r>
              <w:rPr>
                <w:position w:val="1"/>
                <w:sz w:val="21"/>
              </w:rPr>
              <w:t>4</w:t>
            </w:r>
            <w:r>
              <w:rPr>
                <w:rFonts w:ascii="宋体" w:eastAsia="宋体" w:hint="eastAsia"/>
                <w:sz w:val="21"/>
              </w:rPr>
              <w:t>、粉状建材一定要堆放在料棚内并远离周界，在露天暂时堆放的沙石、水泥等必须用帆布或塑料编织布严密封盖。</w:t>
            </w:r>
          </w:p>
          <w:p>
            <w:pPr>
              <w:pStyle w:val="TableParagraph"/>
              <w:spacing w:before="2"/>
              <w:ind w:left="114"/>
              <w:jc w:val="left"/>
              <w:rPr>
                <w:rFonts w:ascii="宋体" w:eastAsia="宋体" w:hint="eastAsia"/>
                <w:sz w:val="21"/>
              </w:rPr>
            </w:pPr>
            <w:r>
              <w:rPr>
                <w:position w:val="1"/>
                <w:sz w:val="21"/>
              </w:rPr>
              <w:t>5</w:t>
            </w:r>
            <w:r>
              <w:rPr>
                <w:rFonts w:ascii="宋体" w:eastAsia="宋体" w:hint="eastAsia"/>
                <w:sz w:val="21"/>
              </w:rPr>
              <w:t>、采用预拌砂浆、商品混凝土，禁止现场搅拌。</w:t>
            </w:r>
          </w:p>
        </w:tc>
      </w:tr>
      <w:tr>
        <w:trPr>
          <w:trHeight w:val="3587" w:hRule="atLeast"/>
        </w:trPr>
        <w:tc>
          <w:tcPr>
            <w:tcW w:w="1102"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9"/>
              </w:rPr>
            </w:pPr>
          </w:p>
          <w:p>
            <w:pPr>
              <w:pStyle w:val="TableParagraph"/>
              <w:spacing w:before="0"/>
              <w:ind w:left="109" w:right="86"/>
              <w:rPr>
                <w:rFonts w:ascii="宋体" w:eastAsia="宋体" w:hint="eastAsia"/>
                <w:sz w:val="21"/>
              </w:rPr>
            </w:pPr>
            <w:r>
              <w:rPr>
                <w:rFonts w:ascii="宋体" w:eastAsia="宋体" w:hint="eastAsia"/>
                <w:sz w:val="21"/>
              </w:rPr>
              <w:t>噪声</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9"/>
              </w:rPr>
            </w:pPr>
          </w:p>
          <w:p>
            <w:pPr>
              <w:pStyle w:val="TableParagraph"/>
              <w:spacing w:before="0"/>
              <w:ind w:left="43" w:right="19"/>
              <w:rPr>
                <w:rFonts w:ascii="宋体" w:eastAsia="宋体" w:hint="eastAsia"/>
                <w:sz w:val="21"/>
              </w:rPr>
            </w:pPr>
            <w:r>
              <w:rPr>
                <w:rFonts w:ascii="宋体" w:eastAsia="宋体" w:hint="eastAsia"/>
                <w:sz w:val="21"/>
              </w:rPr>
              <w:t>噪声</w:t>
            </w:r>
          </w:p>
        </w:tc>
        <w:tc>
          <w:tcPr>
            <w:tcW w:w="7055" w:type="dxa"/>
            <w:tcBorders>
              <w:top w:val="single" w:sz="6" w:space="0" w:color="000000"/>
              <w:left w:val="single" w:sz="6" w:space="0" w:color="000000"/>
              <w:bottom w:val="single" w:sz="6" w:space="0" w:color="000000"/>
            </w:tcBorders>
          </w:tcPr>
          <w:p>
            <w:pPr>
              <w:pStyle w:val="TableParagraph"/>
              <w:spacing w:line="321" w:lineRule="auto" w:before="46"/>
              <w:ind w:left="114" w:right="75"/>
              <w:jc w:val="left"/>
              <w:rPr>
                <w:rFonts w:ascii="宋体" w:eastAsia="宋体" w:hint="eastAsia"/>
                <w:sz w:val="21"/>
              </w:rPr>
            </w:pPr>
            <w:r>
              <w:rPr>
                <w:position w:val="1"/>
                <w:sz w:val="21"/>
              </w:rPr>
              <w:t>1</w:t>
            </w:r>
            <w:r>
              <w:rPr>
                <w:rFonts w:ascii="宋体" w:eastAsia="宋体" w:hint="eastAsia"/>
                <w:sz w:val="21"/>
              </w:rPr>
              <w:t>、选用低噪声施工设备，加强施工机械的维修、管理，保证施工机械处于低噪声、高效率的良好工作状态；施工时要求施工队实施文明施工。</w:t>
            </w:r>
          </w:p>
          <w:p>
            <w:pPr>
              <w:pStyle w:val="TableParagraph"/>
              <w:spacing w:line="321" w:lineRule="auto" w:before="0"/>
              <w:ind w:left="114" w:right="75"/>
              <w:jc w:val="left"/>
              <w:rPr>
                <w:rFonts w:ascii="宋体" w:eastAsia="宋体" w:hint="eastAsia"/>
                <w:sz w:val="21"/>
              </w:rPr>
            </w:pPr>
            <w:r>
              <w:rPr>
                <w:position w:val="1"/>
                <w:sz w:val="21"/>
              </w:rPr>
              <w:t>2</w:t>
            </w:r>
            <w:r>
              <w:rPr>
                <w:rFonts w:ascii="宋体" w:eastAsia="宋体" w:hint="eastAsia"/>
                <w:sz w:val="21"/>
              </w:rPr>
              <w:t>、施工设备尽量远离敏感点设置，电动机、水泵、电刨、搅拌机等强噪声设备安置于单独的工棚内，以减轻对周围的噪声影响。</w:t>
            </w:r>
          </w:p>
          <w:p>
            <w:pPr>
              <w:pStyle w:val="TableParagraph"/>
              <w:spacing w:line="266" w:lineRule="exact" w:before="0"/>
              <w:ind w:left="114" w:right="-44"/>
              <w:jc w:val="left"/>
              <w:rPr>
                <w:rFonts w:ascii="宋体" w:eastAsia="宋体" w:hint="eastAsia"/>
                <w:sz w:val="21"/>
              </w:rPr>
            </w:pPr>
            <w:r>
              <w:rPr>
                <w:position w:val="1"/>
                <w:sz w:val="21"/>
              </w:rPr>
              <w:t>3</w:t>
            </w:r>
            <w:r>
              <w:rPr>
                <w:rFonts w:ascii="宋体" w:eastAsia="宋体" w:hint="eastAsia"/>
                <w:spacing w:val="-11"/>
                <w:sz w:val="21"/>
              </w:rPr>
              <w:t>、在建筑施工期间，必须严格执行国家《建筑施工场界环境噪声排放标准》</w:t>
            </w:r>
          </w:p>
          <w:p>
            <w:pPr>
              <w:pStyle w:val="TableParagraph"/>
              <w:spacing w:before="88"/>
              <w:ind w:left="114"/>
              <w:jc w:val="left"/>
              <w:rPr>
                <w:rFonts w:ascii="宋体" w:eastAsia="宋体" w:hint="eastAsia"/>
                <w:sz w:val="21"/>
              </w:rPr>
            </w:pPr>
            <w:r>
              <w:rPr>
                <w:rFonts w:ascii="宋体" w:eastAsia="宋体" w:hint="eastAsia"/>
                <w:sz w:val="21"/>
              </w:rPr>
              <w:t>（</w:t>
            </w:r>
            <w:r>
              <w:rPr>
                <w:position w:val="1"/>
                <w:sz w:val="21"/>
              </w:rPr>
              <w:t>GB 12523-2011</w:t>
            </w:r>
            <w:r>
              <w:rPr>
                <w:rFonts w:ascii="宋体" w:eastAsia="宋体" w:hint="eastAsia"/>
                <w:sz w:val="21"/>
              </w:rPr>
              <w:t>）的标准和规定。</w:t>
            </w:r>
          </w:p>
          <w:p>
            <w:pPr>
              <w:pStyle w:val="TableParagraph"/>
              <w:spacing w:line="319" w:lineRule="auto" w:before="89"/>
              <w:ind w:left="114" w:right="72"/>
              <w:jc w:val="both"/>
              <w:rPr>
                <w:rFonts w:ascii="宋体" w:eastAsia="宋体" w:hint="eastAsia"/>
                <w:sz w:val="21"/>
              </w:rPr>
            </w:pPr>
            <w:r>
              <w:rPr>
                <w:position w:val="1"/>
                <w:sz w:val="21"/>
              </w:rPr>
              <w:t>4</w:t>
            </w:r>
            <w:r>
              <w:rPr>
                <w:rFonts w:ascii="宋体" w:eastAsia="宋体" w:hint="eastAsia"/>
                <w:spacing w:val="-5"/>
                <w:sz w:val="21"/>
              </w:rPr>
              <w:t>、根据国家环保局《关于贯彻实施</w:t>
            </w:r>
            <w:r>
              <w:rPr>
                <w:position w:val="1"/>
                <w:sz w:val="21"/>
              </w:rPr>
              <w:t>&lt;</w:t>
            </w:r>
            <w:r>
              <w:rPr>
                <w:rFonts w:ascii="宋体" w:eastAsia="宋体" w:hint="eastAsia"/>
                <w:spacing w:val="-3"/>
                <w:sz w:val="21"/>
              </w:rPr>
              <w:t>中华人民共和国环境噪声污染防治法</w:t>
            </w:r>
            <w:r>
              <w:rPr>
                <w:position w:val="1"/>
                <w:sz w:val="21"/>
              </w:rPr>
              <w:t>&gt; </w:t>
            </w:r>
            <w:r>
              <w:rPr>
                <w:rFonts w:ascii="宋体" w:eastAsia="宋体" w:hint="eastAsia"/>
                <w:spacing w:val="-1"/>
                <w:sz w:val="21"/>
              </w:rPr>
              <w:t>的通知》</w:t>
            </w:r>
            <w:r>
              <w:rPr>
                <w:rFonts w:ascii="宋体" w:eastAsia="宋体" w:hint="eastAsia"/>
                <w:spacing w:val="-3"/>
                <w:sz w:val="21"/>
              </w:rPr>
              <w:t>（</w:t>
            </w:r>
            <w:r>
              <w:rPr>
                <w:rFonts w:ascii="宋体" w:eastAsia="宋体" w:hint="eastAsia"/>
                <w:sz w:val="21"/>
              </w:rPr>
              <w:t>环控</w:t>
            </w:r>
            <w:r>
              <w:rPr>
                <w:position w:val="1"/>
                <w:sz w:val="21"/>
              </w:rPr>
              <w:t>[1997]066 </w:t>
            </w:r>
            <w:r>
              <w:rPr>
                <w:rFonts w:ascii="宋体" w:eastAsia="宋体" w:hint="eastAsia"/>
                <w:sz w:val="21"/>
              </w:rPr>
              <w:t>号）</w:t>
            </w:r>
            <w:r>
              <w:rPr>
                <w:rFonts w:ascii="宋体" w:eastAsia="宋体" w:hint="eastAsia"/>
                <w:spacing w:val="-3"/>
                <w:sz w:val="21"/>
              </w:rPr>
              <w:t>的规定，除抢修、抢险作业和因生产工艺上</w:t>
            </w:r>
            <w:r>
              <w:rPr>
                <w:rFonts w:ascii="宋体" w:eastAsia="宋体" w:hint="eastAsia"/>
                <w:spacing w:val="-9"/>
                <w:sz w:val="21"/>
              </w:rPr>
              <w:t>需要或者特殊要求必须连续作业外，禁止夜间进行产生环境噪声污染的建筑</w:t>
            </w:r>
          </w:p>
          <w:p>
            <w:pPr>
              <w:pStyle w:val="TableParagraph"/>
              <w:spacing w:before="4"/>
              <w:ind w:left="114" w:right="-29"/>
              <w:jc w:val="left"/>
              <w:rPr>
                <w:rFonts w:ascii="宋体" w:eastAsia="宋体" w:hint="eastAsia"/>
                <w:sz w:val="21"/>
              </w:rPr>
            </w:pPr>
            <w:r>
              <w:rPr>
                <w:rFonts w:ascii="宋体" w:eastAsia="宋体" w:hint="eastAsia"/>
                <w:spacing w:val="-17"/>
                <w:sz w:val="21"/>
              </w:rPr>
              <w:t>施工作业，因特殊要求必须连续作业的，必须征得当地环保管理部门的同意。</w:t>
            </w:r>
          </w:p>
        </w:tc>
      </w:tr>
      <w:tr>
        <w:trPr>
          <w:trHeight w:val="1437" w:hRule="atLeast"/>
        </w:trPr>
        <w:tc>
          <w:tcPr>
            <w:tcW w:w="1102"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25"/>
              </w:rPr>
            </w:pPr>
          </w:p>
          <w:p>
            <w:pPr>
              <w:pStyle w:val="TableParagraph"/>
              <w:spacing w:before="0"/>
              <w:ind w:left="109" w:right="86"/>
              <w:rPr>
                <w:rFonts w:ascii="宋体" w:eastAsia="宋体" w:hint="eastAsia"/>
                <w:sz w:val="21"/>
              </w:rPr>
            </w:pPr>
            <w:r>
              <w:rPr>
                <w:rFonts w:ascii="宋体" w:eastAsia="宋体" w:hint="eastAsia"/>
                <w:sz w:val="21"/>
              </w:rPr>
              <w:t>废水</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line="321" w:lineRule="auto" w:before="151"/>
              <w:ind w:left="220" w:right="89" w:hanging="106"/>
              <w:jc w:val="left"/>
              <w:rPr>
                <w:rFonts w:ascii="宋体" w:eastAsia="宋体" w:hint="eastAsia"/>
                <w:sz w:val="21"/>
              </w:rPr>
            </w:pPr>
            <w:r>
              <w:rPr>
                <w:rFonts w:ascii="宋体" w:eastAsia="宋体" w:hint="eastAsia"/>
                <w:sz w:val="21"/>
              </w:rPr>
              <w:t>施工涌渗水生活污水</w:t>
            </w:r>
          </w:p>
        </w:tc>
        <w:tc>
          <w:tcPr>
            <w:tcW w:w="7055" w:type="dxa"/>
            <w:tcBorders>
              <w:top w:val="single" w:sz="6" w:space="0" w:color="000000"/>
              <w:left w:val="single" w:sz="6" w:space="0" w:color="000000"/>
              <w:bottom w:val="single" w:sz="6" w:space="0" w:color="000000"/>
            </w:tcBorders>
          </w:tcPr>
          <w:p>
            <w:pPr>
              <w:pStyle w:val="TableParagraph"/>
              <w:spacing w:line="319" w:lineRule="auto" w:before="49"/>
              <w:ind w:left="114" w:right="75"/>
              <w:jc w:val="left"/>
              <w:rPr>
                <w:rFonts w:ascii="宋体" w:eastAsia="宋体" w:hint="eastAsia"/>
                <w:sz w:val="21"/>
              </w:rPr>
            </w:pPr>
            <w:r>
              <w:rPr>
                <w:position w:val="1"/>
                <w:sz w:val="21"/>
              </w:rPr>
              <w:t>1</w:t>
            </w:r>
            <w:r>
              <w:rPr>
                <w:rFonts w:ascii="宋体" w:eastAsia="宋体" w:hint="eastAsia"/>
                <w:sz w:val="21"/>
              </w:rPr>
              <w:t>、施工期地下涌水或渗水经沉淀处理达标后可进行洒水抑尘，剩余部分则排入附近水体，以减轻对周围水环境的影响。</w:t>
            </w:r>
          </w:p>
          <w:p>
            <w:pPr>
              <w:pStyle w:val="TableParagraph"/>
              <w:spacing w:before="2"/>
              <w:ind w:left="114"/>
              <w:jc w:val="left"/>
              <w:rPr>
                <w:rFonts w:ascii="宋体" w:eastAsia="宋体" w:hint="eastAsia"/>
                <w:sz w:val="21"/>
              </w:rPr>
            </w:pPr>
            <w:r>
              <w:rPr>
                <w:position w:val="1"/>
                <w:sz w:val="21"/>
              </w:rPr>
              <w:t>2</w:t>
            </w:r>
            <w:r>
              <w:rPr>
                <w:rFonts w:ascii="宋体" w:eastAsia="宋体" w:hint="eastAsia"/>
                <w:sz w:val="21"/>
              </w:rPr>
              <w:t>、应管理好施工队伍的生活污水排放情况，可采用移动式化粪池处理施工</w:t>
            </w:r>
          </w:p>
          <w:p>
            <w:pPr>
              <w:pStyle w:val="TableParagraph"/>
              <w:spacing w:before="89"/>
              <w:ind w:left="114"/>
              <w:jc w:val="left"/>
              <w:rPr>
                <w:rFonts w:ascii="宋体" w:eastAsia="宋体" w:hint="eastAsia"/>
                <w:sz w:val="21"/>
              </w:rPr>
            </w:pPr>
            <w:r>
              <w:rPr>
                <w:rFonts w:ascii="宋体" w:eastAsia="宋体" w:hint="eastAsia"/>
                <w:sz w:val="21"/>
              </w:rPr>
              <w:t>废水，处理后由环卫部门及时清运。</w:t>
            </w:r>
          </w:p>
        </w:tc>
      </w:tr>
      <w:tr>
        <w:trPr>
          <w:trHeight w:val="1791" w:hRule="atLeast"/>
        </w:trPr>
        <w:tc>
          <w:tcPr>
            <w:tcW w:w="1102" w:type="dxa"/>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line="321" w:lineRule="auto" w:before="0"/>
              <w:ind w:left="340" w:right="314"/>
              <w:jc w:val="left"/>
              <w:rPr>
                <w:rFonts w:ascii="宋体" w:eastAsia="宋体" w:hint="eastAsia"/>
                <w:sz w:val="21"/>
              </w:rPr>
            </w:pPr>
            <w:r>
              <w:rPr>
                <w:rFonts w:ascii="宋体" w:eastAsia="宋体" w:hint="eastAsia"/>
                <w:sz w:val="21"/>
              </w:rPr>
              <w:t>固体废物</w:t>
            </w:r>
          </w:p>
        </w:tc>
        <w:tc>
          <w:tcPr>
            <w:tcW w:w="1275" w:type="dxa"/>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line="321" w:lineRule="auto" w:before="0"/>
              <w:ind w:left="220" w:right="195"/>
              <w:jc w:val="left"/>
              <w:rPr>
                <w:rFonts w:ascii="宋体" w:eastAsia="宋体" w:hint="eastAsia"/>
                <w:sz w:val="21"/>
              </w:rPr>
            </w:pPr>
            <w:r>
              <w:rPr>
                <w:rFonts w:ascii="宋体" w:eastAsia="宋体" w:hint="eastAsia"/>
                <w:sz w:val="21"/>
              </w:rPr>
              <w:t>建筑垃圾生活垃圾</w:t>
            </w:r>
          </w:p>
        </w:tc>
        <w:tc>
          <w:tcPr>
            <w:tcW w:w="7055" w:type="dxa"/>
            <w:tcBorders>
              <w:top w:val="single" w:sz="6" w:space="0" w:color="000000"/>
              <w:left w:val="single" w:sz="6" w:space="0" w:color="000000"/>
            </w:tcBorders>
          </w:tcPr>
          <w:p>
            <w:pPr>
              <w:pStyle w:val="TableParagraph"/>
              <w:spacing w:line="319" w:lineRule="auto" w:before="46"/>
              <w:ind w:left="114" w:right="74"/>
              <w:jc w:val="both"/>
              <w:rPr>
                <w:rFonts w:ascii="宋体" w:eastAsia="宋体" w:hint="eastAsia"/>
                <w:sz w:val="21"/>
              </w:rPr>
            </w:pPr>
            <w:r>
              <w:rPr>
                <w:position w:val="1"/>
                <w:sz w:val="21"/>
              </w:rPr>
              <w:t>1</w:t>
            </w:r>
            <w:r>
              <w:rPr>
                <w:rFonts w:ascii="宋体" w:eastAsia="宋体" w:hint="eastAsia"/>
                <w:spacing w:val="-3"/>
                <w:sz w:val="21"/>
              </w:rPr>
              <w:t>、合理利用施工建筑中产生的建筑垃圾。如不能利用则应转移至当地部门</w:t>
            </w:r>
            <w:r>
              <w:rPr>
                <w:rFonts w:ascii="宋体" w:eastAsia="宋体" w:hint="eastAsia"/>
                <w:spacing w:val="-8"/>
                <w:sz w:val="21"/>
              </w:rPr>
              <w:t>规定的已合法登记的消纳场地内处理，并且运输车辆必须密闭化，严禁在运</w:t>
            </w:r>
            <w:r>
              <w:rPr>
                <w:rFonts w:ascii="宋体" w:eastAsia="宋体" w:hint="eastAsia"/>
                <w:spacing w:val="-5"/>
                <w:sz w:val="21"/>
              </w:rPr>
              <w:t>输过程中跑冒滴漏。</w:t>
            </w:r>
          </w:p>
          <w:p>
            <w:pPr>
              <w:pStyle w:val="TableParagraph"/>
              <w:spacing w:before="2"/>
              <w:ind w:left="114"/>
              <w:jc w:val="left"/>
              <w:rPr>
                <w:rFonts w:ascii="宋体" w:eastAsia="宋体" w:hint="eastAsia"/>
                <w:sz w:val="21"/>
              </w:rPr>
            </w:pPr>
            <w:r>
              <w:rPr>
                <w:position w:val="1"/>
                <w:sz w:val="21"/>
              </w:rPr>
              <w:t>2</w:t>
            </w:r>
            <w:r>
              <w:rPr>
                <w:rFonts w:ascii="宋体" w:eastAsia="宋体" w:hint="eastAsia"/>
                <w:sz w:val="21"/>
              </w:rPr>
              <w:t>、施工队伍的生活垃圾应收集到指定的垃圾箱（筒）内，由环卫部门统一</w:t>
            </w:r>
          </w:p>
          <w:p>
            <w:pPr>
              <w:pStyle w:val="TableParagraph"/>
              <w:spacing w:before="91"/>
              <w:ind w:left="114"/>
              <w:jc w:val="left"/>
              <w:rPr>
                <w:rFonts w:ascii="宋体" w:eastAsia="宋体" w:hint="eastAsia"/>
                <w:sz w:val="21"/>
              </w:rPr>
            </w:pPr>
            <w:r>
              <w:rPr>
                <w:rFonts w:ascii="宋体" w:eastAsia="宋体" w:hint="eastAsia"/>
                <w:sz w:val="21"/>
              </w:rPr>
              <w:t>收集处理。</w:t>
            </w:r>
          </w:p>
        </w:tc>
      </w:tr>
    </w:tbl>
    <w:p>
      <w:pPr>
        <w:spacing w:after="0"/>
        <w:jc w:val="left"/>
        <w:rPr>
          <w:rFonts w:ascii="宋体" w:eastAsia="宋体" w:hint="eastAsia"/>
          <w:sz w:val="21"/>
        </w:rPr>
        <w:sectPr>
          <w:pgSz w:w="11910" w:h="16840"/>
          <w:pgMar w:header="874" w:footer="1004" w:top="1420" w:bottom="1200" w:left="1040" w:right="1160"/>
        </w:sectPr>
      </w:pPr>
    </w:p>
    <w:p>
      <w:pPr>
        <w:pStyle w:val="Heading2"/>
        <w:numPr>
          <w:ilvl w:val="1"/>
          <w:numId w:val="88"/>
        </w:numPr>
        <w:tabs>
          <w:tab w:pos="730" w:val="left" w:leader="none"/>
        </w:tabs>
        <w:spacing w:line="240" w:lineRule="auto" w:before="143" w:after="0"/>
        <w:ind w:left="729" w:right="0" w:hanging="493"/>
        <w:jc w:val="left"/>
      </w:pPr>
      <w:bookmarkStart w:name="_bookmark101" w:id="195"/>
      <w:bookmarkEnd w:id="195"/>
      <w:r>
        <w:rPr>
          <w:b w:val="0"/>
        </w:rPr>
      </w:r>
      <w:bookmarkStart w:name="_bookmark101" w:id="196"/>
      <w:bookmarkEnd w:id="196"/>
      <w:r>
        <w:rPr/>
        <w:t>运营期环境保护措施对策</w:t>
      </w:r>
    </w:p>
    <w:p>
      <w:pPr>
        <w:pStyle w:val="Heading3"/>
        <w:numPr>
          <w:ilvl w:val="2"/>
          <w:numId w:val="88"/>
        </w:numPr>
        <w:tabs>
          <w:tab w:pos="838" w:val="left" w:leader="none"/>
        </w:tabs>
        <w:spacing w:line="240" w:lineRule="auto" w:before="214" w:after="0"/>
        <w:ind w:left="837" w:right="0" w:hanging="601"/>
        <w:jc w:val="left"/>
      </w:pPr>
      <w:bookmarkStart w:name="_bookmark102" w:id="197"/>
      <w:bookmarkEnd w:id="197"/>
      <w:r>
        <w:rPr>
          <w:b w:val="0"/>
        </w:rPr>
      </w:r>
      <w:bookmarkStart w:name="_bookmark102" w:id="198"/>
      <w:bookmarkEnd w:id="198"/>
      <w:r>
        <w:rPr/>
        <w:t>废水污染防治对策</w:t>
      </w:r>
    </w:p>
    <w:p>
      <w:pPr>
        <w:spacing w:before="160"/>
        <w:ind w:left="719" w:right="0" w:firstLine="0"/>
        <w:jc w:val="left"/>
        <w:rPr>
          <w:b/>
          <w:sz w:val="24"/>
        </w:rPr>
      </w:pPr>
      <w:r>
        <w:rPr>
          <w:rFonts w:ascii="Times New Roman" w:eastAsia="Times New Roman"/>
          <w:b/>
          <w:sz w:val="24"/>
        </w:rPr>
        <w:t>1</w:t>
      </w:r>
      <w:r>
        <w:rPr>
          <w:b/>
          <w:sz w:val="24"/>
        </w:rPr>
        <w:t>、雨水、污水收集方式</w:t>
      </w:r>
    </w:p>
    <w:p>
      <w:pPr>
        <w:pStyle w:val="ListParagraph"/>
        <w:numPr>
          <w:ilvl w:val="3"/>
          <w:numId w:val="88"/>
        </w:numPr>
        <w:tabs>
          <w:tab w:pos="1319" w:val="left" w:leader="none"/>
        </w:tabs>
        <w:spacing w:line="364" w:lineRule="auto" w:before="161" w:after="0"/>
        <w:ind w:left="237" w:right="247" w:firstLine="480"/>
        <w:jc w:val="both"/>
        <w:rPr>
          <w:sz w:val="22"/>
        </w:rPr>
      </w:pPr>
      <w:r>
        <w:rPr>
          <w:spacing w:val="-2"/>
          <w:sz w:val="24"/>
        </w:rPr>
        <w:t>本环评要求企业采用雨污分流制排水系统。即在猪舍建筑设计上，形成独立的雨水收集管网系统和污水收集系统，可确保雨水不受污水污染；养殖区、污水处理区、</w:t>
      </w:r>
      <w:r>
        <w:rPr>
          <w:spacing w:val="-5"/>
          <w:sz w:val="24"/>
        </w:rPr>
        <w:t>猪粪发酵区周边裸露地面初期雨水经初期雨水池</w:t>
      </w:r>
      <w:r>
        <w:rPr>
          <w:sz w:val="24"/>
        </w:rPr>
        <w:t>（</w:t>
      </w:r>
      <w:r>
        <w:rPr>
          <w:spacing w:val="-12"/>
          <w:sz w:val="24"/>
        </w:rPr>
        <w:t>有效容积 </w:t>
      </w:r>
      <w:r>
        <w:rPr>
          <w:rFonts w:ascii="Times New Roman" w:hAnsi="Times New Roman" w:eastAsia="Times New Roman"/>
          <w:spacing w:val="-9"/>
          <w:position w:val="1"/>
          <w:sz w:val="24"/>
        </w:rPr>
        <w:t>100m³</w:t>
      </w:r>
      <w:r>
        <w:rPr>
          <w:spacing w:val="-9"/>
          <w:sz w:val="24"/>
        </w:rPr>
        <w:t>）</w:t>
      </w:r>
      <w:r>
        <w:rPr>
          <w:spacing w:val="-2"/>
          <w:sz w:val="24"/>
        </w:rPr>
        <w:t>收集后汇入污水处理</w:t>
      </w:r>
      <w:r>
        <w:rPr>
          <w:sz w:val="24"/>
        </w:rPr>
        <w:t>站处理，后期雨水及其他区域雨水则经雨水管网排入周边地表水环境。要求企业规范建设厂区内雨水管网、初期雨水池和雨水排放口。</w:t>
      </w:r>
    </w:p>
    <w:p>
      <w:pPr>
        <w:pStyle w:val="ListParagraph"/>
        <w:numPr>
          <w:ilvl w:val="3"/>
          <w:numId w:val="88"/>
        </w:numPr>
        <w:tabs>
          <w:tab w:pos="1319" w:val="left" w:leader="none"/>
        </w:tabs>
        <w:spacing w:line="364" w:lineRule="auto" w:before="4" w:after="0"/>
        <w:ind w:left="237" w:right="251" w:firstLine="480"/>
        <w:jc w:val="left"/>
        <w:rPr>
          <w:sz w:val="22"/>
        </w:rPr>
      </w:pPr>
      <w:r>
        <w:rPr>
          <w:spacing w:val="-2"/>
          <w:sz w:val="24"/>
        </w:rPr>
        <w:t>猪舍尿水和冲洗废水顺沟渠汇入集污池，与生活污水一道汇入厂区自建污水处</w:t>
      </w:r>
      <w:r>
        <w:rPr>
          <w:sz w:val="24"/>
        </w:rPr>
        <w:t>理站处理达标后纳管排放。厂区内外污水收集输送系统采取暗沟布设。</w:t>
      </w:r>
    </w:p>
    <w:p>
      <w:pPr>
        <w:pStyle w:val="ListParagraph"/>
        <w:numPr>
          <w:ilvl w:val="3"/>
          <w:numId w:val="88"/>
        </w:numPr>
        <w:tabs>
          <w:tab w:pos="1319" w:val="left" w:leader="none"/>
        </w:tabs>
        <w:spacing w:line="364" w:lineRule="auto" w:before="1" w:after="0"/>
        <w:ind w:left="237" w:right="257" w:firstLine="480"/>
        <w:jc w:val="left"/>
        <w:rPr>
          <w:sz w:val="22"/>
        </w:rPr>
      </w:pPr>
      <w:r>
        <w:rPr>
          <w:spacing w:val="-4"/>
          <w:sz w:val="24"/>
        </w:rPr>
        <w:t>为建避免雨水冲刷，建议厂区靠山体部分设置防洪沟、疏通排洪渠道，以减少</w:t>
      </w:r>
      <w:r>
        <w:rPr>
          <w:sz w:val="24"/>
        </w:rPr>
        <w:t>流经厂区的雨水量，同时降低受污染雨水排入周边地表水体的风险。</w:t>
      </w:r>
    </w:p>
    <w:p>
      <w:pPr>
        <w:pStyle w:val="ListParagraph"/>
        <w:numPr>
          <w:ilvl w:val="3"/>
          <w:numId w:val="88"/>
        </w:numPr>
        <w:tabs>
          <w:tab w:pos="1319" w:val="left" w:leader="none"/>
        </w:tabs>
        <w:spacing w:line="364" w:lineRule="auto" w:before="1" w:after="0"/>
        <w:ind w:left="237" w:right="227" w:firstLine="480"/>
        <w:jc w:val="left"/>
        <w:rPr>
          <w:sz w:val="22"/>
        </w:rPr>
      </w:pPr>
      <w:r>
        <w:rPr>
          <w:spacing w:val="-1"/>
          <w:sz w:val="24"/>
        </w:rPr>
        <w:t>要求实行干清粪，猪粪与污水分开收集，干粪收集后直接送入发酵罐预处理， </w:t>
      </w:r>
      <w:r>
        <w:rPr>
          <w:spacing w:val="-7"/>
          <w:sz w:val="24"/>
        </w:rPr>
        <w:t>干粪收集率要求达到 </w:t>
      </w:r>
      <w:r>
        <w:rPr>
          <w:rFonts w:ascii="Times New Roman" w:eastAsia="Times New Roman"/>
          <w:position w:val="1"/>
          <w:sz w:val="24"/>
        </w:rPr>
        <w:t>99%</w:t>
      </w:r>
      <w:r>
        <w:rPr>
          <w:sz w:val="24"/>
        </w:rPr>
        <w:t>以上，减少猪粪进入废水中的量。</w:t>
      </w:r>
    </w:p>
    <w:p>
      <w:pPr>
        <w:pStyle w:val="ListParagraph"/>
        <w:numPr>
          <w:ilvl w:val="3"/>
          <w:numId w:val="88"/>
        </w:numPr>
        <w:tabs>
          <w:tab w:pos="1337" w:val="left" w:leader="none"/>
        </w:tabs>
        <w:spacing w:line="364" w:lineRule="auto" w:before="1" w:after="0"/>
        <w:ind w:left="237" w:right="248" w:firstLine="480"/>
        <w:jc w:val="both"/>
        <w:rPr>
          <w:sz w:val="22"/>
        </w:rPr>
      </w:pPr>
      <w:r>
        <w:rPr>
          <w:spacing w:val="4"/>
          <w:sz w:val="24"/>
        </w:rPr>
        <w:t>若污水处理系统设备发生故障，应将废水收集管线切换至应急池</w:t>
      </w:r>
      <w:r>
        <w:rPr>
          <w:spacing w:val="6"/>
          <w:sz w:val="24"/>
        </w:rPr>
        <w:t>（</w:t>
      </w:r>
      <w:r>
        <w:rPr>
          <w:spacing w:val="3"/>
          <w:sz w:val="24"/>
        </w:rPr>
        <w:t>有效容积</w:t>
      </w:r>
      <w:r>
        <w:rPr>
          <w:rFonts w:ascii="Times New Roman" w:hAnsi="Times New Roman" w:eastAsia="Times New Roman"/>
          <w:spacing w:val="-4"/>
          <w:position w:val="1"/>
          <w:sz w:val="24"/>
        </w:rPr>
        <w:t>510m³</w:t>
      </w:r>
      <w:r>
        <w:rPr>
          <w:spacing w:val="-4"/>
          <w:sz w:val="24"/>
        </w:rPr>
        <w:t>）</w:t>
      </w:r>
      <w:r>
        <w:rPr>
          <w:spacing w:val="-5"/>
          <w:sz w:val="24"/>
        </w:rPr>
        <w:t>，待故障抢修完毕后，再将应急池内废水逐步排入污水站处理。废水应急池上方</w:t>
      </w:r>
      <w:r>
        <w:rPr>
          <w:sz w:val="24"/>
        </w:rPr>
        <w:t>设防雨棚，且高度应高于周围地平，并在四周设截水沟，防止径流雨水渗入。</w:t>
      </w:r>
    </w:p>
    <w:p>
      <w:pPr>
        <w:pStyle w:val="Heading3"/>
        <w:spacing w:before="2"/>
      </w:pPr>
      <w:r>
        <w:rPr>
          <w:rFonts w:ascii="Times New Roman" w:eastAsia="Times New Roman"/>
        </w:rPr>
        <w:t>2</w:t>
      </w:r>
      <w:r>
        <w:rPr/>
        <w:t>、废水处理工艺及可行性分析</w:t>
      </w:r>
    </w:p>
    <w:p>
      <w:pPr>
        <w:pStyle w:val="ListParagraph"/>
        <w:numPr>
          <w:ilvl w:val="0"/>
          <w:numId w:val="89"/>
        </w:numPr>
        <w:tabs>
          <w:tab w:pos="1323" w:val="left" w:leader="none"/>
        </w:tabs>
        <w:spacing w:line="240" w:lineRule="auto" w:before="161" w:after="0"/>
        <w:ind w:left="1323" w:right="0" w:hanging="604"/>
        <w:jc w:val="left"/>
        <w:rPr>
          <w:b/>
          <w:sz w:val="24"/>
        </w:rPr>
      </w:pPr>
      <w:r>
        <w:rPr>
          <w:b/>
          <w:sz w:val="24"/>
        </w:rPr>
        <w:t>废水处理工艺</w:t>
      </w:r>
    </w:p>
    <w:p>
      <w:pPr>
        <w:pStyle w:val="BodyText"/>
        <w:spacing w:line="364" w:lineRule="auto" w:before="160"/>
        <w:ind w:right="250" w:firstLine="480"/>
        <w:jc w:val="both"/>
      </w:pPr>
      <w:r>
        <w:rPr>
          <w:spacing w:val="-9"/>
        </w:rPr>
        <w:t>根据工程分析，本项目日最大废水产生量为 </w:t>
      </w:r>
      <w:r>
        <w:rPr>
          <w:rFonts w:ascii="Times New Roman" w:hAnsi="Times New Roman" w:eastAsia="Times New Roman"/>
          <w:position w:val="1"/>
        </w:rPr>
        <w:t>554.47m³/d</w:t>
      </w:r>
      <w:r>
        <w:rPr>
          <w:spacing w:val="-10"/>
        </w:rPr>
        <w:t>。目前，企业已委托广州嘉康</w:t>
      </w:r>
      <w:r>
        <w:rPr/>
        <w:t>环保技术有限公司设计了一套废水处理站，采用</w:t>
      </w:r>
      <w:r>
        <w:rPr>
          <w:rFonts w:ascii="Times New Roman" w:hAnsi="Times New Roman" w:eastAsia="Times New Roman"/>
          <w:position w:val="1"/>
        </w:rPr>
        <w:t>“</w:t>
      </w:r>
      <w:r>
        <w:rPr/>
        <w:t>预处理</w:t>
      </w:r>
      <w:r>
        <w:rPr>
          <w:rFonts w:ascii="Times New Roman" w:hAnsi="Times New Roman" w:eastAsia="Times New Roman"/>
          <w:position w:val="1"/>
        </w:rPr>
        <w:t>+</w:t>
      </w:r>
      <w:r>
        <w:rPr/>
        <w:t>厌氧发酵</w:t>
      </w:r>
      <w:r>
        <w:rPr>
          <w:rFonts w:ascii="Times New Roman" w:hAnsi="Times New Roman" w:eastAsia="Times New Roman"/>
          <w:position w:val="1"/>
        </w:rPr>
        <w:t>+</w:t>
      </w:r>
      <w:r>
        <w:rPr/>
        <w:t>生化</w:t>
      </w:r>
      <w:r>
        <w:rPr>
          <w:rFonts w:ascii="Times New Roman" w:hAnsi="Times New Roman" w:eastAsia="Times New Roman"/>
          <w:position w:val="1"/>
        </w:rPr>
        <w:t>/</w:t>
      </w:r>
      <w:r>
        <w:rPr/>
        <w:t>物化</w:t>
      </w:r>
      <w:r>
        <w:rPr>
          <w:rFonts w:ascii="Times New Roman" w:hAnsi="Times New Roman" w:eastAsia="Times New Roman"/>
          <w:position w:val="1"/>
        </w:rPr>
        <w:t>”</w:t>
      </w:r>
      <w:r>
        <w:rPr>
          <w:spacing w:val="-3"/>
        </w:rPr>
        <w:t>工艺，设</w:t>
      </w:r>
      <w:r>
        <w:rPr>
          <w:spacing w:val="-9"/>
        </w:rPr>
        <w:t>计处理能力为 </w:t>
      </w:r>
      <w:r>
        <w:rPr>
          <w:rFonts w:ascii="Times New Roman" w:hAnsi="Times New Roman" w:eastAsia="Times New Roman"/>
          <w:position w:val="1"/>
        </w:rPr>
        <w:t>600m³/d</w:t>
      </w:r>
      <w:r>
        <w:rPr/>
        <w:t>。</w:t>
      </w:r>
    </w:p>
    <w:p>
      <w:pPr>
        <w:pStyle w:val="BodyText"/>
        <w:spacing w:before="3"/>
        <w:ind w:left="717"/>
      </w:pPr>
      <w:r>
        <w:rPr/>
        <w:t>具体工艺流程如下图所示。</w:t>
      </w:r>
    </w:p>
    <w:p>
      <w:pPr>
        <w:spacing w:after="0"/>
        <w:sectPr>
          <w:pgSz w:w="11910" w:h="16840"/>
          <w:pgMar w:header="874" w:footer="1004" w:top="1420" w:bottom="1200" w:left="1040" w:right="1160"/>
        </w:sectPr>
      </w:pPr>
    </w:p>
    <w:p>
      <w:pPr>
        <w:pStyle w:val="BodyText"/>
        <w:spacing w:before="1"/>
        <w:ind w:left="0"/>
        <w:rPr>
          <w:sz w:val="15"/>
        </w:rPr>
      </w:pPr>
    </w:p>
    <w:p>
      <w:pPr>
        <w:pStyle w:val="BodyText"/>
        <w:ind w:left="523"/>
        <w:rPr>
          <w:sz w:val="20"/>
        </w:rPr>
      </w:pPr>
      <w:r>
        <w:rPr>
          <w:sz w:val="20"/>
        </w:rPr>
        <w:drawing>
          <wp:inline distT="0" distB="0" distL="0" distR="0">
            <wp:extent cx="4879717" cy="7211853"/>
            <wp:effectExtent l="0" t="0" r="0" b="0"/>
            <wp:docPr id="47" name="image17.jpeg"/>
            <wp:cNvGraphicFramePr>
              <a:graphicFrameLocks noChangeAspect="1"/>
            </wp:cNvGraphicFramePr>
            <a:graphic>
              <a:graphicData uri="http://schemas.openxmlformats.org/drawingml/2006/picture">
                <pic:pic>
                  <pic:nvPicPr>
                    <pic:cNvPr id="48" name="image17.jpeg"/>
                    <pic:cNvPicPr/>
                  </pic:nvPicPr>
                  <pic:blipFill>
                    <a:blip r:embed="rId29" cstate="print"/>
                    <a:stretch>
                      <a:fillRect/>
                    </a:stretch>
                  </pic:blipFill>
                  <pic:spPr>
                    <a:xfrm>
                      <a:off x="0" y="0"/>
                      <a:ext cx="4879717" cy="7211853"/>
                    </a:xfrm>
                    <a:prstGeom prst="rect">
                      <a:avLst/>
                    </a:prstGeom>
                  </pic:spPr>
                </pic:pic>
              </a:graphicData>
            </a:graphic>
          </wp:inline>
        </w:drawing>
      </w:r>
      <w:r>
        <w:rPr>
          <w:sz w:val="20"/>
        </w:rPr>
      </w:r>
    </w:p>
    <w:p>
      <w:pPr>
        <w:pStyle w:val="BodyText"/>
        <w:ind w:left="0"/>
        <w:rPr>
          <w:sz w:val="20"/>
        </w:rPr>
      </w:pPr>
    </w:p>
    <w:p>
      <w:pPr>
        <w:pStyle w:val="BodyText"/>
        <w:spacing w:before="2"/>
        <w:ind w:left="0"/>
        <w:rPr>
          <w:sz w:val="25"/>
        </w:rPr>
      </w:pPr>
    </w:p>
    <w:p>
      <w:pPr>
        <w:spacing w:after="0"/>
        <w:rPr>
          <w:sz w:val="25"/>
        </w:rPr>
        <w:sectPr>
          <w:pgSz w:w="11910" w:h="16840"/>
          <w:pgMar w:header="874" w:footer="1004" w:top="1420" w:bottom="1200" w:left="1040" w:right="1160"/>
        </w:sectPr>
      </w:pPr>
    </w:p>
    <w:p>
      <w:pPr>
        <w:pStyle w:val="BodyText"/>
        <w:ind w:left="0"/>
      </w:pPr>
    </w:p>
    <w:p>
      <w:pPr>
        <w:pStyle w:val="Heading3"/>
        <w:spacing w:before="181"/>
      </w:pPr>
      <w:r>
        <w:rPr/>
        <w:t>工艺流程简述：</w:t>
      </w:r>
    </w:p>
    <w:p>
      <w:pPr>
        <w:spacing w:before="76"/>
        <w:ind w:left="251" w:right="0" w:firstLine="0"/>
        <w:jc w:val="left"/>
        <w:rPr>
          <w:b/>
          <w:sz w:val="24"/>
        </w:rPr>
      </w:pPr>
      <w:r>
        <w:rPr/>
        <w:br w:type="column"/>
      </w:r>
      <w:r>
        <w:rPr>
          <w:b/>
          <w:sz w:val="24"/>
        </w:rPr>
        <w:t>图 </w:t>
      </w:r>
      <w:r>
        <w:rPr>
          <w:rFonts w:ascii="Times New Roman" w:eastAsia="Times New Roman"/>
          <w:b/>
          <w:sz w:val="24"/>
        </w:rPr>
        <w:t>6.2-1  </w:t>
      </w:r>
      <w:r>
        <w:rPr>
          <w:b/>
          <w:sz w:val="24"/>
        </w:rPr>
        <w:t>本项目污水处理工艺流程示意图</w:t>
      </w:r>
    </w:p>
    <w:p>
      <w:pPr>
        <w:spacing w:after="0"/>
        <w:jc w:val="left"/>
        <w:rPr>
          <w:sz w:val="24"/>
        </w:rPr>
        <w:sectPr>
          <w:type w:val="continuous"/>
          <w:pgSz w:w="11910" w:h="16840"/>
          <w:pgMar w:top="1400" w:bottom="1200" w:left="1040" w:right="1160"/>
          <w:cols w:num="2" w:equalWidth="0">
            <w:col w:w="2407" w:space="40"/>
            <w:col w:w="7263"/>
          </w:cols>
        </w:sectPr>
      </w:pPr>
    </w:p>
    <w:p>
      <w:pPr>
        <w:pStyle w:val="ListParagraph"/>
        <w:numPr>
          <w:ilvl w:val="0"/>
          <w:numId w:val="90"/>
        </w:numPr>
        <w:tabs>
          <w:tab w:pos="1079" w:val="left" w:leader="none"/>
        </w:tabs>
        <w:spacing w:line="364" w:lineRule="auto" w:before="161" w:after="0"/>
        <w:ind w:left="237" w:right="226" w:firstLine="480"/>
        <w:jc w:val="left"/>
        <w:rPr>
          <w:sz w:val="24"/>
        </w:rPr>
      </w:pPr>
      <w:r>
        <w:rPr>
          <w:spacing w:val="-1"/>
          <w:sz w:val="24"/>
        </w:rPr>
        <w:t>预处理系统：通过固液分离、初沉池等物理作用，去除水中大部分颗粒污染物， </w:t>
      </w:r>
      <w:r>
        <w:rPr>
          <w:sz w:val="24"/>
        </w:rPr>
        <w:t>减少后续设备堵塞问题等，以利于设备稳定运行。</w:t>
      </w:r>
    </w:p>
    <w:p>
      <w:pPr>
        <w:spacing w:after="0" w:line="364" w:lineRule="auto"/>
        <w:jc w:val="left"/>
        <w:rPr>
          <w:sz w:val="24"/>
        </w:rPr>
        <w:sectPr>
          <w:type w:val="continuous"/>
          <w:pgSz w:w="11910" w:h="16840"/>
          <w:pgMar w:top="1400" w:bottom="1200" w:left="1040" w:right="1160"/>
        </w:sectPr>
      </w:pPr>
    </w:p>
    <w:p>
      <w:pPr>
        <w:pStyle w:val="ListParagraph"/>
        <w:numPr>
          <w:ilvl w:val="0"/>
          <w:numId w:val="90"/>
        </w:numPr>
        <w:tabs>
          <w:tab w:pos="1079" w:val="left" w:leader="none"/>
        </w:tabs>
        <w:spacing w:line="364" w:lineRule="auto" w:before="92" w:after="0"/>
        <w:ind w:left="237" w:right="249" w:firstLine="480"/>
        <w:jc w:val="left"/>
        <w:rPr>
          <w:sz w:val="24"/>
        </w:rPr>
      </w:pPr>
      <w:r>
        <w:rPr>
          <w:spacing w:val="-1"/>
          <w:sz w:val="24"/>
        </w:rPr>
        <w:t>厌氧处理系统：通过自然沉降、厌氧发酵等作用，去除废水中大部分 </w:t>
      </w:r>
      <w:r>
        <w:rPr>
          <w:rFonts w:ascii="Times New Roman" w:eastAsia="Times New Roman"/>
          <w:sz w:val="24"/>
        </w:rPr>
        <w:t>SS</w:t>
      </w:r>
      <w:r>
        <w:rPr>
          <w:rFonts w:ascii="Times New Roman" w:eastAsia="Times New Roman"/>
          <w:spacing w:val="34"/>
          <w:sz w:val="24"/>
        </w:rPr>
        <w:t> </w:t>
      </w:r>
      <w:r>
        <w:rPr>
          <w:spacing w:val="-6"/>
          <w:sz w:val="24"/>
        </w:rPr>
        <w:t>及有机</w:t>
      </w:r>
      <w:r>
        <w:rPr>
          <w:sz w:val="24"/>
        </w:rPr>
        <w:t>物，降低水中有机物浓度，以利于后续生化处理。</w:t>
      </w:r>
    </w:p>
    <w:p>
      <w:pPr>
        <w:pStyle w:val="ListParagraph"/>
        <w:numPr>
          <w:ilvl w:val="0"/>
          <w:numId w:val="90"/>
        </w:numPr>
        <w:tabs>
          <w:tab w:pos="1079" w:val="left" w:leader="none"/>
        </w:tabs>
        <w:spacing w:line="364" w:lineRule="auto" w:before="1" w:after="0"/>
        <w:ind w:left="237" w:right="251" w:firstLine="480"/>
        <w:jc w:val="left"/>
        <w:rPr>
          <w:sz w:val="24"/>
        </w:rPr>
      </w:pPr>
      <w:r>
        <w:rPr>
          <w:spacing w:val="-21"/>
          <w:sz w:val="24"/>
        </w:rPr>
        <w:t>三级 </w:t>
      </w:r>
      <w:r>
        <w:rPr>
          <w:rFonts w:ascii="Times New Roman" w:eastAsia="Times New Roman"/>
          <w:sz w:val="24"/>
        </w:rPr>
        <w:t>A/O</w:t>
      </w:r>
      <w:r>
        <w:rPr>
          <w:rFonts w:ascii="Times New Roman" w:eastAsia="Times New Roman"/>
          <w:spacing w:val="-2"/>
          <w:sz w:val="24"/>
        </w:rPr>
        <w:t> </w:t>
      </w:r>
      <w:r>
        <w:rPr>
          <w:spacing w:val="-7"/>
          <w:sz w:val="24"/>
        </w:rPr>
        <w:t>生物处理系统：通过缺氧、好氧等生物作用，去除废水中大部分不易降</w:t>
      </w:r>
      <w:r>
        <w:rPr>
          <w:spacing w:val="-5"/>
          <w:sz w:val="24"/>
        </w:rPr>
        <w:t>解有机物，同时去除废水中 </w:t>
      </w:r>
      <w:r>
        <w:rPr>
          <w:rFonts w:ascii="Times New Roman" w:eastAsia="Times New Roman"/>
          <w:sz w:val="24"/>
        </w:rPr>
        <w:t>98%</w:t>
      </w:r>
      <w:r>
        <w:rPr>
          <w:sz w:val="24"/>
        </w:rPr>
        <w:t>以上的氨氮。</w:t>
      </w:r>
    </w:p>
    <w:p>
      <w:pPr>
        <w:pStyle w:val="ListParagraph"/>
        <w:numPr>
          <w:ilvl w:val="0"/>
          <w:numId w:val="90"/>
        </w:numPr>
        <w:tabs>
          <w:tab w:pos="1079" w:val="left" w:leader="none"/>
        </w:tabs>
        <w:spacing w:line="240" w:lineRule="auto" w:before="1" w:after="0"/>
        <w:ind w:left="1078" w:right="0" w:hanging="362"/>
        <w:jc w:val="left"/>
        <w:rPr>
          <w:sz w:val="24"/>
        </w:rPr>
      </w:pPr>
      <w:r>
        <w:rPr>
          <w:sz w:val="24"/>
        </w:rPr>
        <w:t>化学处理系统：通过投加除磷剂，去除废水中含磷物质，降低出水总磷。</w:t>
      </w:r>
    </w:p>
    <w:p>
      <w:pPr>
        <w:pStyle w:val="Heading3"/>
        <w:numPr>
          <w:ilvl w:val="0"/>
          <w:numId w:val="89"/>
        </w:numPr>
        <w:tabs>
          <w:tab w:pos="1323" w:val="left" w:leader="none"/>
        </w:tabs>
        <w:spacing w:line="240" w:lineRule="auto" w:before="161" w:after="0"/>
        <w:ind w:left="1323" w:right="0" w:hanging="604"/>
        <w:jc w:val="left"/>
      </w:pPr>
      <w:r>
        <w:rPr/>
        <w:t>主要构筑物设施一览</w:t>
      </w:r>
    </w:p>
    <w:p>
      <w:pPr>
        <w:spacing w:before="160"/>
        <w:ind w:left="217" w:right="236" w:firstLine="0"/>
        <w:jc w:val="center"/>
        <w:rPr>
          <w:b/>
          <w:sz w:val="24"/>
        </w:rPr>
      </w:pPr>
      <w:r>
        <w:rPr>
          <w:b/>
          <w:sz w:val="24"/>
        </w:rPr>
        <w:t>表 </w:t>
      </w:r>
      <w:r>
        <w:rPr>
          <w:rFonts w:ascii="Times New Roman" w:eastAsia="Times New Roman"/>
          <w:b/>
          <w:sz w:val="24"/>
        </w:rPr>
        <w:t>6.2-1  </w:t>
      </w:r>
      <w:r>
        <w:rPr>
          <w:b/>
          <w:sz w:val="24"/>
        </w:rPr>
        <w:t>污水处理站主要构筑物设施一览表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9"/>
        <w:gridCol w:w="1825"/>
        <w:gridCol w:w="1143"/>
        <w:gridCol w:w="1717"/>
        <w:gridCol w:w="2684"/>
        <w:gridCol w:w="689"/>
        <w:gridCol w:w="686"/>
      </w:tblGrid>
      <w:tr>
        <w:trPr>
          <w:trHeight w:val="359" w:hRule="atLeast"/>
        </w:trPr>
        <w:tc>
          <w:tcPr>
            <w:tcW w:w="689" w:type="dxa"/>
            <w:tcBorders>
              <w:bottom w:val="single" w:sz="6" w:space="0" w:color="000000"/>
              <w:right w:val="single" w:sz="6" w:space="0" w:color="000000"/>
            </w:tcBorders>
          </w:tcPr>
          <w:p>
            <w:pPr>
              <w:pStyle w:val="TableParagraph"/>
              <w:spacing w:before="46"/>
              <w:ind w:left="111" w:right="93"/>
              <w:rPr>
                <w:rFonts w:ascii="宋体" w:eastAsia="宋体" w:hint="eastAsia"/>
                <w:b/>
                <w:sz w:val="21"/>
              </w:rPr>
            </w:pPr>
            <w:r>
              <w:rPr>
                <w:rFonts w:ascii="宋体" w:eastAsia="宋体" w:hint="eastAsia"/>
                <w:b/>
                <w:sz w:val="21"/>
              </w:rPr>
              <w:t>序号</w:t>
            </w:r>
          </w:p>
        </w:tc>
        <w:tc>
          <w:tcPr>
            <w:tcW w:w="1825" w:type="dxa"/>
            <w:tcBorders>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b/>
                <w:sz w:val="21"/>
              </w:rPr>
            </w:pPr>
            <w:r>
              <w:rPr>
                <w:rFonts w:ascii="宋体" w:eastAsia="宋体" w:hint="eastAsia"/>
                <w:b/>
                <w:sz w:val="21"/>
              </w:rPr>
              <w:t>名称</w:t>
            </w:r>
          </w:p>
        </w:tc>
        <w:tc>
          <w:tcPr>
            <w:tcW w:w="1143" w:type="dxa"/>
            <w:tcBorders>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b/>
                <w:sz w:val="21"/>
              </w:rPr>
            </w:pPr>
            <w:r>
              <w:rPr>
                <w:rFonts w:ascii="宋体" w:eastAsia="宋体" w:hint="eastAsia"/>
                <w:b/>
                <w:sz w:val="21"/>
              </w:rPr>
              <w:t>结构形式</w:t>
            </w:r>
          </w:p>
        </w:tc>
        <w:tc>
          <w:tcPr>
            <w:tcW w:w="1717" w:type="dxa"/>
            <w:tcBorders>
              <w:left w:val="single" w:sz="6" w:space="0" w:color="000000"/>
              <w:bottom w:val="single" w:sz="6" w:space="0" w:color="000000"/>
              <w:right w:val="single" w:sz="6" w:space="0" w:color="000000"/>
            </w:tcBorders>
          </w:tcPr>
          <w:p>
            <w:pPr>
              <w:pStyle w:val="TableParagraph"/>
              <w:spacing w:before="46"/>
              <w:ind w:left="158" w:right="131"/>
              <w:rPr>
                <w:rFonts w:ascii="宋体" w:eastAsia="宋体" w:hint="eastAsia"/>
                <w:b/>
                <w:sz w:val="21"/>
              </w:rPr>
            </w:pPr>
            <w:r>
              <w:rPr>
                <w:rFonts w:ascii="宋体" w:eastAsia="宋体" w:hint="eastAsia"/>
                <w:b/>
                <w:sz w:val="21"/>
              </w:rPr>
              <w:t>规格尺寸</w:t>
            </w:r>
          </w:p>
        </w:tc>
        <w:tc>
          <w:tcPr>
            <w:tcW w:w="2684" w:type="dxa"/>
            <w:tcBorders>
              <w:left w:val="single" w:sz="6" w:space="0" w:color="000000"/>
              <w:bottom w:val="single" w:sz="6" w:space="0" w:color="000000"/>
              <w:right w:val="single" w:sz="6" w:space="0" w:color="000000"/>
            </w:tcBorders>
          </w:tcPr>
          <w:p>
            <w:pPr>
              <w:pStyle w:val="TableParagraph"/>
              <w:spacing w:before="45"/>
              <w:ind w:left="179" w:right="155"/>
              <w:rPr>
                <w:rFonts w:ascii="宋体" w:eastAsia="宋体" w:hint="eastAsia"/>
                <w:b/>
                <w:sz w:val="21"/>
              </w:rPr>
            </w:pPr>
            <w:r>
              <w:rPr>
                <w:rFonts w:ascii="宋体" w:eastAsia="宋体" w:hint="eastAsia"/>
                <w:b/>
                <w:sz w:val="21"/>
              </w:rPr>
              <w:t>单体容积</w:t>
            </w:r>
            <w:r>
              <w:rPr>
                <w:b/>
                <w:sz w:val="21"/>
              </w:rPr>
              <w:t>/</w:t>
            </w:r>
            <w:r>
              <w:rPr>
                <w:rFonts w:ascii="宋体" w:eastAsia="宋体" w:hint="eastAsia"/>
                <w:b/>
                <w:sz w:val="21"/>
              </w:rPr>
              <w:t>面积（</w:t>
            </w:r>
            <w:r>
              <w:rPr>
                <w:b/>
                <w:sz w:val="21"/>
              </w:rPr>
              <w:t>m</w:t>
            </w:r>
            <w:r>
              <w:rPr>
                <w:b/>
                <w:position w:val="8"/>
                <w:sz w:val="14"/>
              </w:rPr>
              <w:t>2</w:t>
            </w:r>
            <w:r>
              <w:rPr>
                <w:b/>
                <w:sz w:val="21"/>
              </w:rPr>
              <w:t>/m</w:t>
            </w:r>
            <w:r>
              <w:rPr>
                <w:b/>
                <w:position w:val="8"/>
                <w:sz w:val="14"/>
              </w:rPr>
              <w:t>3</w:t>
            </w:r>
            <w:r>
              <w:rPr>
                <w:rFonts w:ascii="宋体" w:eastAsia="宋体" w:hint="eastAsia"/>
                <w:b/>
                <w:sz w:val="21"/>
              </w:rPr>
              <w:t>）</w:t>
            </w:r>
          </w:p>
        </w:tc>
        <w:tc>
          <w:tcPr>
            <w:tcW w:w="689" w:type="dxa"/>
            <w:tcBorders>
              <w:left w:val="single" w:sz="6" w:space="0" w:color="000000"/>
              <w:bottom w:val="single" w:sz="6" w:space="0" w:color="000000"/>
              <w:right w:val="single" w:sz="6" w:space="0" w:color="000000"/>
            </w:tcBorders>
          </w:tcPr>
          <w:p>
            <w:pPr>
              <w:pStyle w:val="TableParagraph"/>
              <w:spacing w:before="46"/>
              <w:ind w:left="117" w:right="95"/>
              <w:rPr>
                <w:rFonts w:ascii="宋体" w:eastAsia="宋体" w:hint="eastAsia"/>
                <w:b/>
                <w:sz w:val="21"/>
              </w:rPr>
            </w:pPr>
            <w:r>
              <w:rPr>
                <w:rFonts w:ascii="宋体" w:eastAsia="宋体" w:hint="eastAsia"/>
                <w:b/>
                <w:sz w:val="21"/>
              </w:rPr>
              <w:t>数量</w:t>
            </w:r>
          </w:p>
        </w:tc>
        <w:tc>
          <w:tcPr>
            <w:tcW w:w="686" w:type="dxa"/>
            <w:tcBorders>
              <w:left w:val="single" w:sz="6" w:space="0" w:color="000000"/>
              <w:bottom w:val="single" w:sz="6" w:space="0" w:color="000000"/>
            </w:tcBorders>
          </w:tcPr>
          <w:p>
            <w:pPr>
              <w:pStyle w:val="TableParagraph"/>
              <w:spacing w:before="46"/>
              <w:ind w:left="116" w:right="84"/>
              <w:rPr>
                <w:rFonts w:ascii="宋体" w:eastAsia="宋体" w:hint="eastAsia"/>
                <w:b/>
                <w:sz w:val="21"/>
              </w:rPr>
            </w:pPr>
            <w:r>
              <w:rPr>
                <w:rFonts w:ascii="宋体" w:eastAsia="宋体" w:hint="eastAsia"/>
                <w:b/>
                <w:sz w:val="21"/>
              </w:rPr>
              <w:t>单位</w:t>
            </w:r>
          </w:p>
        </w:tc>
      </w:tr>
      <w:tr>
        <w:trPr>
          <w:trHeight w:val="360" w:hRule="atLeast"/>
        </w:trPr>
        <w:tc>
          <w:tcPr>
            <w:tcW w:w="9433" w:type="dxa"/>
            <w:gridSpan w:val="7"/>
            <w:tcBorders>
              <w:top w:val="single" w:sz="6" w:space="0" w:color="000000"/>
              <w:bottom w:val="single" w:sz="6" w:space="0" w:color="000000"/>
            </w:tcBorders>
          </w:tcPr>
          <w:p>
            <w:pPr>
              <w:pStyle w:val="TableParagraph"/>
              <w:spacing w:before="47"/>
              <w:ind w:left="3958" w:right="3932"/>
              <w:rPr>
                <w:rFonts w:ascii="宋体" w:eastAsia="宋体" w:hint="eastAsia"/>
                <w:sz w:val="21"/>
              </w:rPr>
            </w:pPr>
            <w:r>
              <w:rPr>
                <w:rFonts w:ascii="宋体" w:eastAsia="宋体" w:hint="eastAsia"/>
                <w:sz w:val="21"/>
              </w:rPr>
              <w:t>一、预处理</w:t>
            </w:r>
          </w:p>
        </w:tc>
      </w:tr>
      <w:tr>
        <w:trPr>
          <w:trHeight w:val="357"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1</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格栅渠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5.0*0.95*1.5m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4"/>
              <w:rPr>
                <w:sz w:val="21"/>
              </w:rPr>
            </w:pPr>
            <w:r>
              <w:rPr>
                <w:sz w:val="21"/>
              </w:rPr>
              <w:t>7.1</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spacing w:before="60"/>
              <w:ind w:left="18"/>
              <w:rPr>
                <w:sz w:val="21"/>
              </w:rPr>
            </w:pPr>
            <w:r>
              <w:rPr>
                <w:w w:val="100"/>
                <w:sz w:val="21"/>
              </w:rPr>
              <w:t>2</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9"/>
              <w:ind w:left="161" w:right="139"/>
              <w:rPr>
                <w:rFonts w:ascii="宋体" w:eastAsia="宋体" w:hint="eastAsia"/>
                <w:sz w:val="21"/>
              </w:rPr>
            </w:pPr>
            <w:r>
              <w:rPr>
                <w:rFonts w:ascii="宋体" w:eastAsia="宋体" w:hint="eastAsia"/>
                <w:sz w:val="21"/>
              </w:rPr>
              <w:t>集水池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9"/>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spacing w:before="60"/>
              <w:ind w:left="159" w:right="131"/>
              <w:rPr>
                <w:sz w:val="21"/>
              </w:rPr>
            </w:pPr>
            <w:r>
              <w:rPr>
                <w:sz w:val="21"/>
              </w:rPr>
              <w:t>12.0*9.2*4.0m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5"/>
              <w:rPr>
                <w:sz w:val="21"/>
              </w:rPr>
            </w:pPr>
            <w:r>
              <w:rPr>
                <w:sz w:val="21"/>
              </w:rPr>
              <w:t>441.6</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60"/>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9"/>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3</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调节池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17.3*5.8*5.0m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501.7</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4</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应急池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12.0*8.5*5.0m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510.0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7"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5</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初沉池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10.0*5.0*5.0m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250.0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spacing w:before="60"/>
              <w:ind w:left="18"/>
              <w:rPr>
                <w:sz w:val="21"/>
              </w:rPr>
            </w:pPr>
            <w:r>
              <w:rPr>
                <w:w w:val="100"/>
                <w:sz w:val="21"/>
              </w:rPr>
              <w:t>6</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9"/>
              <w:ind w:left="161" w:right="137"/>
              <w:rPr>
                <w:rFonts w:ascii="宋体" w:eastAsia="宋体" w:hint="eastAsia"/>
                <w:sz w:val="21"/>
              </w:rPr>
            </w:pPr>
            <w:r>
              <w:rPr>
                <w:rFonts w:ascii="宋体" w:eastAsia="宋体" w:hint="eastAsia"/>
                <w:sz w:val="21"/>
              </w:rPr>
              <w:t>絮凝反应池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9"/>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spacing w:before="60"/>
              <w:ind w:left="159" w:right="131"/>
              <w:rPr>
                <w:sz w:val="21"/>
              </w:rPr>
            </w:pPr>
            <w:r>
              <w:rPr>
                <w:sz w:val="21"/>
              </w:rPr>
              <w:t>2.4*2.35*5.0m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4"/>
              <w:rPr>
                <w:sz w:val="21"/>
              </w:rPr>
            </w:pPr>
            <w:r>
              <w:rPr>
                <w:sz w:val="21"/>
              </w:rPr>
              <w:t>28.2</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60"/>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9"/>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7</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7"/>
              <w:rPr>
                <w:rFonts w:ascii="宋体" w:eastAsia="宋体" w:hint="eastAsia"/>
                <w:sz w:val="21"/>
              </w:rPr>
            </w:pPr>
            <w:r>
              <w:rPr>
                <w:rFonts w:ascii="宋体" w:eastAsia="宋体" w:hint="eastAsia"/>
                <w:sz w:val="21"/>
              </w:rPr>
              <w:t>污泥浓缩池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7" w:right="131"/>
              <w:rPr>
                <w:sz w:val="21"/>
              </w:rPr>
            </w:pPr>
            <w:r>
              <w:rPr>
                <w:sz w:val="21"/>
              </w:rPr>
              <w:t>5.0*5.0*5.0m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125.0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8</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固液分离机平台</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7" w:right="131"/>
              <w:rPr>
                <w:sz w:val="21"/>
              </w:rPr>
            </w:pPr>
            <w:r>
              <w:rPr>
                <w:sz w:val="21"/>
              </w:rPr>
              <w:t>7.0*4.5*3.5m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4"/>
              <w:rPr>
                <w:sz w:val="21"/>
              </w:rPr>
            </w:pPr>
            <w:r>
              <w:rPr>
                <w:sz w:val="21"/>
              </w:rPr>
              <w:t>31.5</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层</w:t>
            </w:r>
          </w:p>
        </w:tc>
      </w:tr>
      <w:tr>
        <w:trPr>
          <w:trHeight w:val="357"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9</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7"/>
              <w:ind w:left="161" w:right="137"/>
              <w:rPr>
                <w:rFonts w:ascii="宋体" w:eastAsia="宋体" w:hint="eastAsia"/>
                <w:sz w:val="21"/>
              </w:rPr>
            </w:pPr>
            <w:r>
              <w:rPr>
                <w:rFonts w:ascii="宋体" w:eastAsia="宋体" w:hint="eastAsia"/>
                <w:sz w:val="21"/>
              </w:rPr>
              <w:t>平台钢梯</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7"/>
              <w:ind w:left="131" w:right="109"/>
              <w:rPr>
                <w:rFonts w:ascii="宋体" w:eastAsia="宋体" w:hint="eastAsia"/>
                <w:sz w:val="21"/>
              </w:rPr>
            </w:pPr>
            <w:r>
              <w:rPr>
                <w:rFonts w:ascii="宋体" w:eastAsia="宋体" w:hint="eastAsia"/>
                <w:sz w:val="21"/>
              </w:rPr>
              <w:t>钢构</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8" w:right="131"/>
              <w:rPr>
                <w:sz w:val="21"/>
              </w:rPr>
            </w:pPr>
            <w:r>
              <w:rPr>
                <w:sz w:val="21"/>
              </w:rPr>
              <w:t>1.0*3.0</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4"/>
              <w:rPr>
                <w:sz w:val="21"/>
              </w:rPr>
            </w:pPr>
            <w:r>
              <w:rPr>
                <w:sz w:val="21"/>
              </w:rPr>
              <w:t>1.0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7"/>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spacing w:before="60"/>
              <w:ind w:left="111" w:right="93"/>
              <w:rPr>
                <w:sz w:val="21"/>
              </w:rPr>
            </w:pPr>
            <w:r>
              <w:rPr>
                <w:sz w:val="21"/>
              </w:rPr>
              <w:t>10</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9"/>
              <w:ind w:left="161" w:right="137"/>
              <w:rPr>
                <w:rFonts w:ascii="宋体" w:eastAsia="宋体" w:hint="eastAsia"/>
                <w:sz w:val="21"/>
              </w:rPr>
            </w:pPr>
            <w:r>
              <w:rPr>
                <w:rFonts w:ascii="宋体" w:eastAsia="宋体" w:hint="eastAsia"/>
                <w:sz w:val="21"/>
              </w:rPr>
              <w:t>分离机棚</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9"/>
              <w:ind w:left="131" w:right="109"/>
              <w:rPr>
                <w:rFonts w:ascii="宋体" w:eastAsia="宋体" w:hint="eastAsia"/>
                <w:sz w:val="21"/>
              </w:rPr>
            </w:pPr>
            <w:r>
              <w:rPr>
                <w:rFonts w:ascii="宋体" w:eastAsia="宋体" w:hint="eastAsia"/>
                <w:sz w:val="21"/>
              </w:rPr>
              <w:t>钢构</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spacing w:before="60"/>
              <w:ind w:left="159" w:right="131"/>
              <w:rPr>
                <w:sz w:val="21"/>
              </w:rPr>
            </w:pPr>
            <w:r>
              <w:rPr>
                <w:sz w:val="21"/>
              </w:rPr>
              <w:t>18.6*8.0*5.0m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5"/>
              <w:rPr>
                <w:sz w:val="21"/>
              </w:rPr>
            </w:pPr>
            <w:r>
              <w:rPr>
                <w:sz w:val="21"/>
              </w:rPr>
              <w:t>148.8</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60"/>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9"/>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06" w:right="93"/>
              <w:rPr>
                <w:sz w:val="21"/>
              </w:rPr>
            </w:pPr>
            <w:r>
              <w:rPr>
                <w:sz w:val="21"/>
              </w:rPr>
              <w:t>11</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分离机棚硬化</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素混</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18.6*8.0*0.2m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148.8</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项</w:t>
            </w:r>
          </w:p>
        </w:tc>
      </w:tr>
      <w:tr>
        <w:trPr>
          <w:trHeight w:val="359" w:hRule="atLeast"/>
        </w:trPr>
        <w:tc>
          <w:tcPr>
            <w:tcW w:w="9433" w:type="dxa"/>
            <w:gridSpan w:val="7"/>
            <w:tcBorders>
              <w:top w:val="single" w:sz="6" w:space="0" w:color="000000"/>
              <w:bottom w:val="single" w:sz="6" w:space="0" w:color="000000"/>
            </w:tcBorders>
          </w:tcPr>
          <w:p>
            <w:pPr>
              <w:pStyle w:val="TableParagraph"/>
              <w:spacing w:before="46"/>
              <w:ind w:left="3960" w:right="3932"/>
              <w:rPr>
                <w:rFonts w:ascii="宋体" w:eastAsia="宋体" w:hint="eastAsia"/>
                <w:sz w:val="21"/>
              </w:rPr>
            </w:pPr>
            <w:r>
              <w:rPr>
                <w:rFonts w:ascii="宋体" w:eastAsia="宋体" w:hint="eastAsia"/>
                <w:sz w:val="21"/>
              </w:rPr>
              <w:t>二、厌氧和生化</w:t>
            </w:r>
          </w:p>
        </w:tc>
      </w:tr>
      <w:tr>
        <w:trPr>
          <w:trHeight w:val="356"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1</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position w:val="1"/>
                <w:sz w:val="21"/>
              </w:rPr>
              <w:t>UASB </w:t>
            </w:r>
            <w:r>
              <w:rPr>
                <w:rFonts w:ascii="宋体" w:eastAsia="宋体" w:hint="eastAsia"/>
                <w:sz w:val="21"/>
              </w:rPr>
              <w:t>基础</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spacing w:before="46"/>
              <w:ind w:left="157" w:right="131"/>
              <w:rPr>
                <w:sz w:val="21"/>
              </w:rPr>
            </w:pPr>
            <w:r>
              <w:rPr>
                <w:rFonts w:ascii="宋体" w:hAnsi="宋体"/>
                <w:sz w:val="21"/>
              </w:rPr>
              <w:t>φ</w:t>
            </w:r>
            <w:r>
              <w:rPr>
                <w:position w:val="1"/>
                <w:sz w:val="21"/>
              </w:rPr>
              <w:t>12.08*0.5m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4"/>
              <w:rPr>
                <w:sz w:val="21"/>
              </w:rPr>
            </w:pPr>
            <w:r>
              <w:rPr>
                <w:sz w:val="21"/>
              </w:rPr>
              <w:t>57.3</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spacing w:before="60"/>
              <w:ind w:left="18"/>
              <w:rPr>
                <w:sz w:val="21"/>
              </w:rPr>
            </w:pPr>
            <w:r>
              <w:rPr>
                <w:w w:val="100"/>
                <w:sz w:val="21"/>
              </w:rPr>
              <w:t>2</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9"/>
              <w:ind w:left="161" w:right="137"/>
              <w:rPr>
                <w:rFonts w:ascii="宋体" w:eastAsia="宋体" w:hint="eastAsia"/>
                <w:sz w:val="21"/>
              </w:rPr>
            </w:pPr>
            <w:r>
              <w:rPr>
                <w:rFonts w:ascii="宋体" w:eastAsia="宋体" w:hint="eastAsia"/>
                <w:sz w:val="21"/>
              </w:rPr>
              <w:t>厌氧沉淀池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9"/>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spacing w:before="60"/>
              <w:ind w:left="157" w:right="131"/>
              <w:rPr>
                <w:sz w:val="21"/>
              </w:rPr>
            </w:pPr>
            <w:r>
              <w:rPr>
                <w:sz w:val="21"/>
              </w:rPr>
              <w:t>5.0*5.0*6.0m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5"/>
              <w:rPr>
                <w:sz w:val="21"/>
              </w:rPr>
            </w:pPr>
            <w:r>
              <w:rPr>
                <w:sz w:val="21"/>
              </w:rPr>
              <w:t>150.0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60"/>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9"/>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3</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一级</w:t>
            </w:r>
            <w:r>
              <w:rPr>
                <w:position w:val="1"/>
                <w:sz w:val="21"/>
              </w:rPr>
              <w:t>A </w:t>
            </w:r>
            <w:r>
              <w:rPr>
                <w:rFonts w:ascii="宋体" w:eastAsia="宋体" w:hint="eastAsia"/>
                <w:sz w:val="21"/>
              </w:rPr>
              <w:t>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12.0*5.0*6.0m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360.0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4</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一级</w:t>
            </w:r>
            <w:r>
              <w:rPr>
                <w:position w:val="1"/>
                <w:sz w:val="21"/>
              </w:rPr>
              <w:t>O </w:t>
            </w:r>
            <w:r>
              <w:rPr>
                <w:rFonts w:ascii="宋体" w:eastAsia="宋体" w:hint="eastAsia"/>
                <w:sz w:val="21"/>
              </w:rPr>
              <w:t>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27.3*6.0*6.0m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982.8</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6"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5</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二级</w:t>
            </w:r>
            <w:r>
              <w:rPr>
                <w:position w:val="1"/>
                <w:sz w:val="21"/>
              </w:rPr>
              <w:t>A </w:t>
            </w:r>
            <w:r>
              <w:rPr>
                <w:rFonts w:ascii="宋体" w:eastAsia="宋体" w:hint="eastAsia"/>
                <w:sz w:val="21"/>
              </w:rPr>
              <w:t>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7" w:right="131"/>
              <w:rPr>
                <w:sz w:val="21"/>
              </w:rPr>
            </w:pPr>
            <w:r>
              <w:rPr>
                <w:sz w:val="21"/>
              </w:rPr>
              <w:t>6.0*7.0*6.0m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252.0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60" w:hRule="atLeast"/>
        </w:trPr>
        <w:tc>
          <w:tcPr>
            <w:tcW w:w="689" w:type="dxa"/>
            <w:tcBorders>
              <w:top w:val="single" w:sz="6" w:space="0" w:color="000000"/>
              <w:bottom w:val="single" w:sz="6" w:space="0" w:color="000000"/>
              <w:right w:val="single" w:sz="6" w:space="0" w:color="000000"/>
            </w:tcBorders>
          </w:tcPr>
          <w:p>
            <w:pPr>
              <w:pStyle w:val="TableParagraph"/>
              <w:spacing w:before="60"/>
              <w:ind w:left="18"/>
              <w:rPr>
                <w:sz w:val="21"/>
              </w:rPr>
            </w:pPr>
            <w:r>
              <w:rPr>
                <w:w w:val="100"/>
                <w:sz w:val="21"/>
              </w:rPr>
              <w:t>6</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9"/>
              <w:ind w:left="161" w:right="139"/>
              <w:rPr>
                <w:rFonts w:ascii="宋体" w:eastAsia="宋体" w:hint="eastAsia"/>
                <w:sz w:val="21"/>
              </w:rPr>
            </w:pPr>
            <w:r>
              <w:rPr>
                <w:rFonts w:ascii="宋体" w:eastAsia="宋体" w:hint="eastAsia"/>
                <w:sz w:val="21"/>
              </w:rPr>
              <w:t>二级</w:t>
            </w:r>
            <w:r>
              <w:rPr>
                <w:position w:val="1"/>
                <w:sz w:val="21"/>
              </w:rPr>
              <w:t>O </w:t>
            </w:r>
            <w:r>
              <w:rPr>
                <w:rFonts w:ascii="宋体" w:eastAsia="宋体" w:hint="eastAsia"/>
                <w:sz w:val="21"/>
              </w:rPr>
              <w:t>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9"/>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spacing w:before="60"/>
              <w:ind w:left="159" w:right="131"/>
              <w:rPr>
                <w:sz w:val="21"/>
              </w:rPr>
            </w:pPr>
            <w:r>
              <w:rPr>
                <w:sz w:val="21"/>
              </w:rPr>
              <w:t>12.0*5.0*6.0m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5"/>
              <w:rPr>
                <w:sz w:val="21"/>
              </w:rPr>
            </w:pPr>
            <w:r>
              <w:rPr>
                <w:sz w:val="21"/>
              </w:rPr>
              <w:t>360.0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60"/>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9"/>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7</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二沉池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7" w:right="131"/>
              <w:rPr>
                <w:sz w:val="21"/>
              </w:rPr>
            </w:pPr>
            <w:r>
              <w:rPr>
                <w:sz w:val="21"/>
              </w:rPr>
              <w:t>5.0*5.0*6.0m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150.0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8</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三级</w:t>
            </w:r>
            <w:r>
              <w:rPr>
                <w:position w:val="1"/>
                <w:sz w:val="21"/>
              </w:rPr>
              <w:t>A </w:t>
            </w:r>
            <w:r>
              <w:rPr>
                <w:rFonts w:ascii="宋体" w:eastAsia="宋体" w:hint="eastAsia"/>
                <w:sz w:val="21"/>
              </w:rPr>
              <w:t>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7" w:right="131"/>
              <w:rPr>
                <w:sz w:val="21"/>
              </w:rPr>
            </w:pPr>
            <w:r>
              <w:rPr>
                <w:sz w:val="21"/>
              </w:rPr>
              <w:t>5.0*6.0*6.0m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180.0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6" w:hRule="atLeast"/>
        </w:trPr>
        <w:tc>
          <w:tcPr>
            <w:tcW w:w="689" w:type="dxa"/>
            <w:tcBorders>
              <w:top w:val="single" w:sz="6" w:space="0" w:color="000000"/>
              <w:bottom w:val="single" w:sz="6" w:space="0" w:color="000000"/>
              <w:right w:val="single" w:sz="6" w:space="0" w:color="000000"/>
            </w:tcBorders>
          </w:tcPr>
          <w:p>
            <w:pPr>
              <w:pStyle w:val="TableParagraph"/>
              <w:ind w:left="18"/>
              <w:rPr>
                <w:sz w:val="21"/>
              </w:rPr>
            </w:pPr>
            <w:r>
              <w:rPr>
                <w:w w:val="100"/>
                <w:sz w:val="21"/>
              </w:rPr>
              <w:t>9</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9"/>
              <w:rPr>
                <w:rFonts w:ascii="宋体" w:eastAsia="宋体" w:hint="eastAsia"/>
                <w:sz w:val="21"/>
              </w:rPr>
            </w:pPr>
            <w:r>
              <w:rPr>
                <w:rFonts w:ascii="宋体" w:eastAsia="宋体" w:hint="eastAsia"/>
                <w:sz w:val="21"/>
              </w:rPr>
              <w:t>三级</w:t>
            </w:r>
            <w:r>
              <w:rPr>
                <w:position w:val="1"/>
                <w:sz w:val="21"/>
              </w:rPr>
              <w:t>O </w:t>
            </w:r>
            <w:r>
              <w:rPr>
                <w:rFonts w:ascii="宋体" w:eastAsia="宋体" w:hint="eastAsia"/>
                <w:sz w:val="21"/>
              </w:rPr>
              <w:t>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7" w:right="131"/>
              <w:rPr>
                <w:sz w:val="21"/>
              </w:rPr>
            </w:pPr>
            <w:r>
              <w:rPr>
                <w:sz w:val="21"/>
              </w:rPr>
              <w:t>11.0*5.0*6.0m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330.0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spacing w:before="60"/>
              <w:ind w:left="111" w:right="93"/>
              <w:rPr>
                <w:sz w:val="21"/>
              </w:rPr>
            </w:pPr>
            <w:r>
              <w:rPr>
                <w:sz w:val="21"/>
              </w:rPr>
              <w:t>10</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9"/>
              <w:ind w:left="161" w:right="139"/>
              <w:rPr>
                <w:rFonts w:ascii="宋体" w:eastAsia="宋体" w:hint="eastAsia"/>
                <w:sz w:val="21"/>
              </w:rPr>
            </w:pPr>
            <w:r>
              <w:rPr>
                <w:rFonts w:ascii="宋体" w:eastAsia="宋体" w:hint="eastAsia"/>
                <w:sz w:val="21"/>
              </w:rPr>
              <w:t>中转池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9"/>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spacing w:before="60"/>
              <w:ind w:left="157" w:right="131"/>
              <w:rPr>
                <w:sz w:val="21"/>
              </w:rPr>
            </w:pPr>
            <w:r>
              <w:rPr>
                <w:sz w:val="21"/>
              </w:rPr>
              <w:t>8.0*6.0*6.0m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spacing w:before="60"/>
              <w:ind w:left="179" w:right="155"/>
              <w:rPr>
                <w:sz w:val="21"/>
              </w:rPr>
            </w:pPr>
            <w:r>
              <w:rPr>
                <w:sz w:val="21"/>
              </w:rPr>
              <w:t>288.0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spacing w:before="60"/>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9"/>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06" w:right="93"/>
              <w:rPr>
                <w:sz w:val="21"/>
              </w:rPr>
            </w:pPr>
            <w:r>
              <w:rPr>
                <w:sz w:val="21"/>
              </w:rPr>
              <w:t>11</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7"/>
              <w:rPr>
                <w:rFonts w:ascii="宋体" w:eastAsia="宋体" w:hint="eastAsia"/>
                <w:sz w:val="21"/>
              </w:rPr>
            </w:pPr>
            <w:r>
              <w:rPr>
                <w:rFonts w:ascii="宋体" w:eastAsia="宋体" w:hint="eastAsia"/>
                <w:sz w:val="21"/>
              </w:rPr>
              <w:t>加药反应池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2.875*2.0*6.0m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4"/>
              <w:rPr>
                <w:sz w:val="21"/>
              </w:rPr>
            </w:pPr>
            <w:r>
              <w:rPr>
                <w:sz w:val="21"/>
              </w:rPr>
              <w:t>34.5</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4</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9" w:hRule="atLeast"/>
        </w:trPr>
        <w:tc>
          <w:tcPr>
            <w:tcW w:w="689" w:type="dxa"/>
            <w:tcBorders>
              <w:top w:val="single" w:sz="6" w:space="0" w:color="000000"/>
              <w:bottom w:val="single" w:sz="6" w:space="0" w:color="000000"/>
              <w:right w:val="single" w:sz="6" w:space="0" w:color="000000"/>
            </w:tcBorders>
          </w:tcPr>
          <w:p>
            <w:pPr>
              <w:pStyle w:val="TableParagraph"/>
              <w:ind w:left="111" w:right="93"/>
              <w:rPr>
                <w:sz w:val="21"/>
              </w:rPr>
            </w:pPr>
            <w:r>
              <w:rPr>
                <w:sz w:val="21"/>
              </w:rPr>
              <w:t>12</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7"/>
              <w:rPr>
                <w:rFonts w:ascii="宋体" w:eastAsia="宋体" w:hint="eastAsia"/>
                <w:sz w:val="21"/>
              </w:rPr>
            </w:pPr>
            <w:r>
              <w:rPr>
                <w:rFonts w:ascii="宋体" w:eastAsia="宋体" w:hint="eastAsia"/>
                <w:sz w:val="21"/>
              </w:rPr>
              <w:t>物化沉淀池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9" w:right="131"/>
              <w:rPr>
                <w:sz w:val="21"/>
              </w:rPr>
            </w:pPr>
            <w:r>
              <w:rPr>
                <w:sz w:val="21"/>
              </w:rPr>
              <w:t>12.0*6.0*6.0m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432.0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56" w:hRule="atLeast"/>
        </w:trPr>
        <w:tc>
          <w:tcPr>
            <w:tcW w:w="689" w:type="dxa"/>
            <w:tcBorders>
              <w:top w:val="single" w:sz="6" w:space="0" w:color="000000"/>
              <w:bottom w:val="single" w:sz="6" w:space="0" w:color="000000"/>
              <w:right w:val="single" w:sz="6" w:space="0" w:color="000000"/>
            </w:tcBorders>
          </w:tcPr>
          <w:p>
            <w:pPr>
              <w:pStyle w:val="TableParagraph"/>
              <w:ind w:left="111" w:right="93"/>
              <w:rPr>
                <w:sz w:val="21"/>
              </w:rPr>
            </w:pPr>
            <w:r>
              <w:rPr>
                <w:sz w:val="21"/>
              </w:rPr>
              <w:t>13</w:t>
            </w:r>
          </w:p>
        </w:tc>
        <w:tc>
          <w:tcPr>
            <w:tcW w:w="1825" w:type="dxa"/>
            <w:tcBorders>
              <w:top w:val="single" w:sz="6" w:space="0" w:color="000000"/>
              <w:left w:val="single" w:sz="6" w:space="0" w:color="000000"/>
              <w:bottom w:val="single" w:sz="6" w:space="0" w:color="000000"/>
              <w:right w:val="single" w:sz="6" w:space="0" w:color="000000"/>
            </w:tcBorders>
          </w:tcPr>
          <w:p>
            <w:pPr>
              <w:pStyle w:val="TableParagraph"/>
              <w:spacing w:before="46"/>
              <w:ind w:left="161" w:right="137"/>
              <w:rPr>
                <w:rFonts w:ascii="宋体" w:eastAsia="宋体" w:hint="eastAsia"/>
                <w:sz w:val="21"/>
              </w:rPr>
            </w:pPr>
            <w:r>
              <w:rPr>
                <w:rFonts w:ascii="宋体" w:eastAsia="宋体" w:hint="eastAsia"/>
                <w:sz w:val="21"/>
              </w:rPr>
              <w:t>物化污泥池</w:t>
            </w:r>
          </w:p>
        </w:tc>
        <w:tc>
          <w:tcPr>
            <w:tcW w:w="1143" w:type="dxa"/>
            <w:tcBorders>
              <w:top w:val="single" w:sz="6" w:space="0" w:color="000000"/>
              <w:left w:val="single" w:sz="6" w:space="0" w:color="000000"/>
              <w:bottom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bottom w:val="single" w:sz="6" w:space="0" w:color="000000"/>
              <w:right w:val="single" w:sz="6" w:space="0" w:color="000000"/>
            </w:tcBorders>
          </w:tcPr>
          <w:p>
            <w:pPr>
              <w:pStyle w:val="TableParagraph"/>
              <w:ind w:left="157" w:right="131"/>
              <w:rPr>
                <w:sz w:val="21"/>
              </w:rPr>
            </w:pPr>
            <w:r>
              <w:rPr>
                <w:sz w:val="21"/>
              </w:rPr>
              <w:t>6.0*6.0*6.0m</w:t>
            </w:r>
          </w:p>
        </w:tc>
        <w:tc>
          <w:tcPr>
            <w:tcW w:w="2684" w:type="dxa"/>
            <w:tcBorders>
              <w:top w:val="single" w:sz="6" w:space="0" w:color="000000"/>
              <w:left w:val="single" w:sz="6" w:space="0" w:color="000000"/>
              <w:bottom w:val="single" w:sz="6" w:space="0" w:color="000000"/>
              <w:right w:val="single" w:sz="6" w:space="0" w:color="000000"/>
            </w:tcBorders>
          </w:tcPr>
          <w:p>
            <w:pPr>
              <w:pStyle w:val="TableParagraph"/>
              <w:ind w:left="179" w:right="155"/>
              <w:rPr>
                <w:sz w:val="21"/>
              </w:rPr>
            </w:pPr>
            <w:r>
              <w:rPr>
                <w:sz w:val="21"/>
              </w:rPr>
              <w:t>216.0</w:t>
            </w:r>
          </w:p>
        </w:tc>
        <w:tc>
          <w:tcPr>
            <w:tcW w:w="689" w:type="dxa"/>
            <w:tcBorders>
              <w:top w:val="single" w:sz="6" w:space="0" w:color="000000"/>
              <w:left w:val="single" w:sz="6" w:space="0" w:color="000000"/>
              <w:bottom w:val="single" w:sz="6" w:space="0" w:color="000000"/>
              <w:right w:val="single" w:sz="6" w:space="0" w:color="000000"/>
            </w:tcBorders>
          </w:tcPr>
          <w:p>
            <w:pPr>
              <w:pStyle w:val="TableParagraph"/>
              <w:ind w:left="22"/>
              <w:rPr>
                <w:sz w:val="21"/>
              </w:rPr>
            </w:pPr>
            <w:r>
              <w:rPr>
                <w:w w:val="100"/>
                <w:sz w:val="21"/>
              </w:rPr>
              <w:t>1</w:t>
            </w:r>
          </w:p>
        </w:tc>
        <w:tc>
          <w:tcPr>
            <w:tcW w:w="686" w:type="dxa"/>
            <w:tcBorders>
              <w:top w:val="single" w:sz="6" w:space="0" w:color="000000"/>
              <w:left w:val="single" w:sz="6" w:space="0" w:color="000000"/>
              <w:bottom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r>
        <w:trPr>
          <w:trHeight w:val="361" w:hRule="atLeast"/>
        </w:trPr>
        <w:tc>
          <w:tcPr>
            <w:tcW w:w="689" w:type="dxa"/>
            <w:tcBorders>
              <w:top w:val="single" w:sz="6" w:space="0" w:color="000000"/>
              <w:right w:val="single" w:sz="6" w:space="0" w:color="000000"/>
            </w:tcBorders>
          </w:tcPr>
          <w:p>
            <w:pPr>
              <w:pStyle w:val="TableParagraph"/>
              <w:spacing w:before="60"/>
              <w:ind w:left="111" w:right="93"/>
              <w:rPr>
                <w:sz w:val="21"/>
              </w:rPr>
            </w:pPr>
            <w:r>
              <w:rPr>
                <w:sz w:val="21"/>
              </w:rPr>
              <w:t>14</w:t>
            </w:r>
          </w:p>
        </w:tc>
        <w:tc>
          <w:tcPr>
            <w:tcW w:w="1825" w:type="dxa"/>
            <w:tcBorders>
              <w:top w:val="single" w:sz="6" w:space="0" w:color="000000"/>
              <w:left w:val="single" w:sz="6" w:space="0" w:color="000000"/>
              <w:right w:val="single" w:sz="6" w:space="0" w:color="000000"/>
            </w:tcBorders>
          </w:tcPr>
          <w:p>
            <w:pPr>
              <w:pStyle w:val="TableParagraph"/>
              <w:spacing w:before="49"/>
              <w:ind w:left="161" w:right="137"/>
              <w:rPr>
                <w:rFonts w:ascii="宋体" w:eastAsia="宋体" w:hint="eastAsia"/>
                <w:sz w:val="21"/>
              </w:rPr>
            </w:pPr>
            <w:r>
              <w:rPr>
                <w:rFonts w:ascii="宋体" w:eastAsia="宋体" w:hint="eastAsia"/>
                <w:sz w:val="21"/>
              </w:rPr>
              <w:t>外排水池</w:t>
            </w:r>
          </w:p>
        </w:tc>
        <w:tc>
          <w:tcPr>
            <w:tcW w:w="1143" w:type="dxa"/>
            <w:tcBorders>
              <w:top w:val="single" w:sz="6" w:space="0" w:color="000000"/>
              <w:left w:val="single" w:sz="6" w:space="0" w:color="000000"/>
              <w:right w:val="single" w:sz="6" w:space="0" w:color="000000"/>
            </w:tcBorders>
          </w:tcPr>
          <w:p>
            <w:pPr>
              <w:pStyle w:val="TableParagraph"/>
              <w:spacing w:before="49"/>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right w:val="single" w:sz="6" w:space="0" w:color="000000"/>
            </w:tcBorders>
          </w:tcPr>
          <w:p>
            <w:pPr>
              <w:pStyle w:val="TableParagraph"/>
              <w:spacing w:before="60"/>
              <w:ind w:left="159" w:right="131"/>
              <w:rPr>
                <w:sz w:val="21"/>
              </w:rPr>
            </w:pPr>
            <w:r>
              <w:rPr>
                <w:sz w:val="21"/>
              </w:rPr>
              <w:t>6.0*3.45*6.0m</w:t>
            </w:r>
          </w:p>
        </w:tc>
        <w:tc>
          <w:tcPr>
            <w:tcW w:w="2684" w:type="dxa"/>
            <w:tcBorders>
              <w:top w:val="single" w:sz="6" w:space="0" w:color="000000"/>
              <w:left w:val="single" w:sz="6" w:space="0" w:color="000000"/>
              <w:right w:val="single" w:sz="6" w:space="0" w:color="000000"/>
            </w:tcBorders>
          </w:tcPr>
          <w:p>
            <w:pPr>
              <w:pStyle w:val="TableParagraph"/>
              <w:spacing w:before="60"/>
              <w:ind w:left="179" w:right="155"/>
              <w:rPr>
                <w:sz w:val="21"/>
              </w:rPr>
            </w:pPr>
            <w:r>
              <w:rPr>
                <w:sz w:val="21"/>
              </w:rPr>
              <w:t>124.2</w:t>
            </w:r>
          </w:p>
        </w:tc>
        <w:tc>
          <w:tcPr>
            <w:tcW w:w="689" w:type="dxa"/>
            <w:tcBorders>
              <w:top w:val="single" w:sz="6" w:space="0" w:color="000000"/>
              <w:left w:val="single" w:sz="6" w:space="0" w:color="000000"/>
              <w:right w:val="single" w:sz="6" w:space="0" w:color="000000"/>
            </w:tcBorders>
          </w:tcPr>
          <w:p>
            <w:pPr>
              <w:pStyle w:val="TableParagraph"/>
              <w:spacing w:before="60"/>
              <w:ind w:left="22"/>
              <w:rPr>
                <w:sz w:val="21"/>
              </w:rPr>
            </w:pPr>
            <w:r>
              <w:rPr>
                <w:w w:val="100"/>
                <w:sz w:val="21"/>
              </w:rPr>
              <w:t>1</w:t>
            </w:r>
          </w:p>
        </w:tc>
        <w:tc>
          <w:tcPr>
            <w:tcW w:w="686" w:type="dxa"/>
            <w:tcBorders>
              <w:top w:val="single" w:sz="6" w:space="0" w:color="000000"/>
              <w:left w:val="single" w:sz="6" w:space="0" w:color="000000"/>
            </w:tcBorders>
          </w:tcPr>
          <w:p>
            <w:pPr>
              <w:pStyle w:val="TableParagraph"/>
              <w:spacing w:before="49"/>
              <w:ind w:left="32"/>
              <w:rPr>
                <w:rFonts w:ascii="宋体" w:eastAsia="宋体" w:hint="eastAsia"/>
                <w:sz w:val="21"/>
              </w:rPr>
            </w:pPr>
            <w:r>
              <w:rPr>
                <w:rFonts w:ascii="宋体" w:eastAsia="宋体" w:hint="eastAsia"/>
                <w:w w:val="100"/>
                <w:sz w:val="21"/>
              </w:rPr>
              <w:t>座</w:t>
            </w:r>
          </w:p>
        </w:tc>
      </w:tr>
    </w:tbl>
    <w:p>
      <w:pPr>
        <w:spacing w:after="0"/>
        <w:rPr>
          <w:rFonts w:ascii="宋体" w:eastAsia="宋体" w:hint="eastAsia"/>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9"/>
        <w:gridCol w:w="1825"/>
        <w:gridCol w:w="1143"/>
        <w:gridCol w:w="1717"/>
        <w:gridCol w:w="2684"/>
        <w:gridCol w:w="689"/>
        <w:gridCol w:w="686"/>
      </w:tblGrid>
      <w:tr>
        <w:trPr>
          <w:trHeight w:val="359" w:hRule="atLeast"/>
        </w:trPr>
        <w:tc>
          <w:tcPr>
            <w:tcW w:w="689" w:type="dxa"/>
            <w:tcBorders>
              <w:bottom w:val="single" w:sz="6" w:space="0" w:color="000000"/>
              <w:right w:val="single" w:sz="6" w:space="0" w:color="000000"/>
            </w:tcBorders>
          </w:tcPr>
          <w:p>
            <w:pPr>
              <w:pStyle w:val="TableParagraph"/>
              <w:spacing w:before="49"/>
              <w:ind w:left="111" w:right="93"/>
              <w:rPr>
                <w:rFonts w:ascii="宋体" w:eastAsia="宋体" w:hint="eastAsia"/>
                <w:b/>
                <w:sz w:val="21"/>
              </w:rPr>
            </w:pPr>
            <w:r>
              <w:rPr>
                <w:rFonts w:ascii="宋体" w:eastAsia="宋体" w:hint="eastAsia"/>
                <w:b/>
                <w:sz w:val="21"/>
              </w:rPr>
              <w:t>序号</w:t>
            </w:r>
          </w:p>
        </w:tc>
        <w:tc>
          <w:tcPr>
            <w:tcW w:w="1825" w:type="dxa"/>
            <w:tcBorders>
              <w:left w:val="single" w:sz="6" w:space="0" w:color="000000"/>
              <w:bottom w:val="single" w:sz="6" w:space="0" w:color="000000"/>
              <w:right w:val="single" w:sz="6" w:space="0" w:color="000000"/>
            </w:tcBorders>
          </w:tcPr>
          <w:p>
            <w:pPr>
              <w:pStyle w:val="TableParagraph"/>
              <w:spacing w:before="49"/>
              <w:ind w:left="161" w:right="139"/>
              <w:rPr>
                <w:rFonts w:ascii="宋体" w:eastAsia="宋体" w:hint="eastAsia"/>
                <w:b/>
                <w:sz w:val="21"/>
              </w:rPr>
            </w:pPr>
            <w:r>
              <w:rPr>
                <w:rFonts w:ascii="宋体" w:eastAsia="宋体" w:hint="eastAsia"/>
                <w:b/>
                <w:sz w:val="21"/>
              </w:rPr>
              <w:t>名称</w:t>
            </w:r>
          </w:p>
        </w:tc>
        <w:tc>
          <w:tcPr>
            <w:tcW w:w="1143" w:type="dxa"/>
            <w:tcBorders>
              <w:left w:val="single" w:sz="6" w:space="0" w:color="000000"/>
              <w:bottom w:val="single" w:sz="6" w:space="0" w:color="000000"/>
              <w:right w:val="single" w:sz="6" w:space="0" w:color="000000"/>
            </w:tcBorders>
          </w:tcPr>
          <w:p>
            <w:pPr>
              <w:pStyle w:val="TableParagraph"/>
              <w:spacing w:before="49"/>
              <w:ind w:left="131" w:right="109"/>
              <w:rPr>
                <w:rFonts w:ascii="宋体" w:eastAsia="宋体" w:hint="eastAsia"/>
                <w:b/>
                <w:sz w:val="21"/>
              </w:rPr>
            </w:pPr>
            <w:r>
              <w:rPr>
                <w:rFonts w:ascii="宋体" w:eastAsia="宋体" w:hint="eastAsia"/>
                <w:b/>
                <w:sz w:val="21"/>
              </w:rPr>
              <w:t>结构形式</w:t>
            </w:r>
          </w:p>
        </w:tc>
        <w:tc>
          <w:tcPr>
            <w:tcW w:w="1717" w:type="dxa"/>
            <w:tcBorders>
              <w:left w:val="single" w:sz="6" w:space="0" w:color="000000"/>
              <w:bottom w:val="single" w:sz="6" w:space="0" w:color="000000"/>
              <w:right w:val="single" w:sz="6" w:space="0" w:color="000000"/>
            </w:tcBorders>
          </w:tcPr>
          <w:p>
            <w:pPr>
              <w:pStyle w:val="TableParagraph"/>
              <w:spacing w:before="49"/>
              <w:ind w:left="158" w:right="131"/>
              <w:rPr>
                <w:rFonts w:ascii="宋体" w:eastAsia="宋体" w:hint="eastAsia"/>
                <w:b/>
                <w:sz w:val="21"/>
              </w:rPr>
            </w:pPr>
            <w:r>
              <w:rPr>
                <w:rFonts w:ascii="宋体" w:eastAsia="宋体" w:hint="eastAsia"/>
                <w:b/>
                <w:sz w:val="21"/>
              </w:rPr>
              <w:t>规格尺寸</w:t>
            </w:r>
          </w:p>
        </w:tc>
        <w:tc>
          <w:tcPr>
            <w:tcW w:w="2684" w:type="dxa"/>
            <w:tcBorders>
              <w:left w:val="single" w:sz="6" w:space="0" w:color="000000"/>
              <w:bottom w:val="single" w:sz="6" w:space="0" w:color="000000"/>
              <w:right w:val="single" w:sz="6" w:space="0" w:color="000000"/>
            </w:tcBorders>
          </w:tcPr>
          <w:p>
            <w:pPr>
              <w:pStyle w:val="TableParagraph"/>
              <w:spacing w:before="48"/>
              <w:ind w:left="179" w:right="155"/>
              <w:rPr>
                <w:rFonts w:ascii="宋体" w:eastAsia="宋体" w:hint="eastAsia"/>
                <w:b/>
                <w:sz w:val="21"/>
              </w:rPr>
            </w:pPr>
            <w:r>
              <w:rPr>
                <w:rFonts w:ascii="宋体" w:eastAsia="宋体" w:hint="eastAsia"/>
                <w:b/>
                <w:sz w:val="21"/>
              </w:rPr>
              <w:t>单体容积</w:t>
            </w:r>
            <w:r>
              <w:rPr>
                <w:b/>
                <w:sz w:val="21"/>
              </w:rPr>
              <w:t>/</w:t>
            </w:r>
            <w:r>
              <w:rPr>
                <w:rFonts w:ascii="宋体" w:eastAsia="宋体" w:hint="eastAsia"/>
                <w:b/>
                <w:sz w:val="21"/>
              </w:rPr>
              <w:t>面积（</w:t>
            </w:r>
            <w:r>
              <w:rPr>
                <w:b/>
                <w:sz w:val="21"/>
              </w:rPr>
              <w:t>m</w:t>
            </w:r>
            <w:r>
              <w:rPr>
                <w:b/>
                <w:position w:val="8"/>
                <w:sz w:val="14"/>
              </w:rPr>
              <w:t>2</w:t>
            </w:r>
            <w:r>
              <w:rPr>
                <w:b/>
                <w:sz w:val="21"/>
              </w:rPr>
              <w:t>/m</w:t>
            </w:r>
            <w:r>
              <w:rPr>
                <w:b/>
                <w:position w:val="8"/>
                <w:sz w:val="14"/>
              </w:rPr>
              <w:t>3</w:t>
            </w:r>
            <w:r>
              <w:rPr>
                <w:rFonts w:ascii="宋体" w:eastAsia="宋体" w:hint="eastAsia"/>
                <w:b/>
                <w:sz w:val="21"/>
              </w:rPr>
              <w:t>）</w:t>
            </w:r>
          </w:p>
        </w:tc>
        <w:tc>
          <w:tcPr>
            <w:tcW w:w="689" w:type="dxa"/>
            <w:tcBorders>
              <w:left w:val="single" w:sz="6" w:space="0" w:color="000000"/>
              <w:bottom w:val="single" w:sz="6" w:space="0" w:color="000000"/>
              <w:right w:val="single" w:sz="6" w:space="0" w:color="000000"/>
            </w:tcBorders>
          </w:tcPr>
          <w:p>
            <w:pPr>
              <w:pStyle w:val="TableParagraph"/>
              <w:spacing w:before="49"/>
              <w:ind w:left="117" w:right="95"/>
              <w:rPr>
                <w:rFonts w:ascii="宋体" w:eastAsia="宋体" w:hint="eastAsia"/>
                <w:b/>
                <w:sz w:val="21"/>
              </w:rPr>
            </w:pPr>
            <w:r>
              <w:rPr>
                <w:rFonts w:ascii="宋体" w:eastAsia="宋体" w:hint="eastAsia"/>
                <w:b/>
                <w:sz w:val="21"/>
              </w:rPr>
              <w:t>数量</w:t>
            </w:r>
          </w:p>
        </w:tc>
        <w:tc>
          <w:tcPr>
            <w:tcW w:w="686" w:type="dxa"/>
            <w:tcBorders>
              <w:left w:val="single" w:sz="6" w:space="0" w:color="000000"/>
              <w:bottom w:val="single" w:sz="6" w:space="0" w:color="000000"/>
            </w:tcBorders>
          </w:tcPr>
          <w:p>
            <w:pPr>
              <w:pStyle w:val="TableParagraph"/>
              <w:spacing w:before="49"/>
              <w:ind w:left="116" w:right="84"/>
              <w:rPr>
                <w:rFonts w:ascii="宋体" w:eastAsia="宋体" w:hint="eastAsia"/>
                <w:b/>
                <w:sz w:val="21"/>
              </w:rPr>
            </w:pPr>
            <w:r>
              <w:rPr>
                <w:rFonts w:ascii="宋体" w:eastAsia="宋体" w:hint="eastAsia"/>
                <w:b/>
                <w:sz w:val="21"/>
              </w:rPr>
              <w:t>单位</w:t>
            </w:r>
          </w:p>
        </w:tc>
      </w:tr>
      <w:tr>
        <w:trPr>
          <w:trHeight w:val="359" w:hRule="atLeast"/>
        </w:trPr>
        <w:tc>
          <w:tcPr>
            <w:tcW w:w="689" w:type="dxa"/>
            <w:tcBorders>
              <w:top w:val="single" w:sz="6" w:space="0" w:color="000000"/>
              <w:right w:val="single" w:sz="6" w:space="0" w:color="000000"/>
            </w:tcBorders>
          </w:tcPr>
          <w:p>
            <w:pPr>
              <w:pStyle w:val="TableParagraph"/>
              <w:ind w:left="111" w:right="93"/>
              <w:rPr>
                <w:sz w:val="21"/>
              </w:rPr>
            </w:pPr>
            <w:r>
              <w:rPr>
                <w:sz w:val="21"/>
              </w:rPr>
              <w:t>15</w:t>
            </w:r>
          </w:p>
        </w:tc>
        <w:tc>
          <w:tcPr>
            <w:tcW w:w="1825" w:type="dxa"/>
            <w:tcBorders>
              <w:top w:val="single" w:sz="6" w:space="0" w:color="000000"/>
              <w:left w:val="single" w:sz="6" w:space="0" w:color="000000"/>
              <w:right w:val="single" w:sz="6" w:space="0" w:color="000000"/>
            </w:tcBorders>
          </w:tcPr>
          <w:p>
            <w:pPr>
              <w:pStyle w:val="TableParagraph"/>
              <w:spacing w:before="46"/>
              <w:ind w:left="161" w:right="137"/>
              <w:rPr>
                <w:rFonts w:ascii="宋体" w:eastAsia="宋体" w:hint="eastAsia"/>
                <w:sz w:val="21"/>
              </w:rPr>
            </w:pPr>
            <w:r>
              <w:rPr>
                <w:rFonts w:ascii="宋体" w:eastAsia="宋体" w:hint="eastAsia"/>
                <w:sz w:val="21"/>
              </w:rPr>
              <w:t>组合池楼梯</w:t>
            </w:r>
          </w:p>
        </w:tc>
        <w:tc>
          <w:tcPr>
            <w:tcW w:w="1143" w:type="dxa"/>
            <w:tcBorders>
              <w:top w:val="single" w:sz="6" w:space="0" w:color="000000"/>
              <w:left w:val="single" w:sz="6" w:space="0" w:color="000000"/>
              <w:right w:val="single" w:sz="6" w:space="0" w:color="000000"/>
            </w:tcBorders>
          </w:tcPr>
          <w:p>
            <w:pPr>
              <w:pStyle w:val="TableParagraph"/>
              <w:spacing w:before="46"/>
              <w:ind w:left="131" w:right="109"/>
              <w:rPr>
                <w:rFonts w:ascii="宋体" w:eastAsia="宋体" w:hint="eastAsia"/>
                <w:sz w:val="21"/>
              </w:rPr>
            </w:pPr>
            <w:r>
              <w:rPr>
                <w:rFonts w:ascii="宋体" w:eastAsia="宋体" w:hint="eastAsia"/>
                <w:sz w:val="21"/>
              </w:rPr>
              <w:t>钢砼</w:t>
            </w:r>
          </w:p>
        </w:tc>
        <w:tc>
          <w:tcPr>
            <w:tcW w:w="1717" w:type="dxa"/>
            <w:tcBorders>
              <w:top w:val="single" w:sz="6" w:space="0" w:color="000000"/>
              <w:left w:val="single" w:sz="6" w:space="0" w:color="000000"/>
              <w:right w:val="single" w:sz="6" w:space="0" w:color="000000"/>
            </w:tcBorders>
          </w:tcPr>
          <w:p>
            <w:pPr>
              <w:pStyle w:val="TableParagraph"/>
              <w:ind w:left="159" w:right="131"/>
              <w:rPr>
                <w:sz w:val="21"/>
              </w:rPr>
            </w:pPr>
            <w:r>
              <w:rPr>
                <w:sz w:val="21"/>
              </w:rPr>
              <w:t>1*4m</w:t>
            </w:r>
          </w:p>
        </w:tc>
        <w:tc>
          <w:tcPr>
            <w:tcW w:w="2684" w:type="dxa"/>
            <w:tcBorders>
              <w:top w:val="single" w:sz="6" w:space="0" w:color="000000"/>
              <w:left w:val="single" w:sz="6" w:space="0" w:color="000000"/>
              <w:right w:val="single" w:sz="6" w:space="0" w:color="000000"/>
            </w:tcBorders>
          </w:tcPr>
          <w:p>
            <w:pPr>
              <w:pStyle w:val="TableParagraph"/>
              <w:ind w:left="179" w:right="154"/>
              <w:rPr>
                <w:sz w:val="21"/>
              </w:rPr>
            </w:pPr>
            <w:r>
              <w:rPr>
                <w:sz w:val="21"/>
              </w:rPr>
              <w:t>1.0</w:t>
            </w:r>
          </w:p>
        </w:tc>
        <w:tc>
          <w:tcPr>
            <w:tcW w:w="689" w:type="dxa"/>
            <w:tcBorders>
              <w:top w:val="single" w:sz="6" w:space="0" w:color="000000"/>
              <w:left w:val="single" w:sz="6" w:space="0" w:color="000000"/>
              <w:right w:val="single" w:sz="6" w:space="0" w:color="000000"/>
            </w:tcBorders>
          </w:tcPr>
          <w:p>
            <w:pPr>
              <w:pStyle w:val="TableParagraph"/>
              <w:ind w:left="22"/>
              <w:rPr>
                <w:sz w:val="21"/>
              </w:rPr>
            </w:pPr>
            <w:r>
              <w:rPr>
                <w:w w:val="100"/>
                <w:sz w:val="21"/>
              </w:rPr>
              <w:t>2</w:t>
            </w:r>
          </w:p>
        </w:tc>
        <w:tc>
          <w:tcPr>
            <w:tcW w:w="686" w:type="dxa"/>
            <w:tcBorders>
              <w:top w:val="single" w:sz="6" w:space="0" w:color="000000"/>
              <w:left w:val="single" w:sz="6" w:space="0" w:color="000000"/>
            </w:tcBorders>
          </w:tcPr>
          <w:p>
            <w:pPr>
              <w:pStyle w:val="TableParagraph"/>
              <w:spacing w:before="46"/>
              <w:ind w:left="32"/>
              <w:rPr>
                <w:rFonts w:ascii="宋体" w:eastAsia="宋体" w:hint="eastAsia"/>
                <w:sz w:val="21"/>
              </w:rPr>
            </w:pPr>
            <w:r>
              <w:rPr>
                <w:rFonts w:ascii="宋体" w:eastAsia="宋体" w:hint="eastAsia"/>
                <w:w w:val="100"/>
                <w:sz w:val="21"/>
              </w:rPr>
              <w:t>座</w:t>
            </w:r>
          </w:p>
        </w:tc>
      </w:tr>
    </w:tbl>
    <w:p>
      <w:pPr>
        <w:pStyle w:val="ListParagraph"/>
        <w:numPr>
          <w:ilvl w:val="0"/>
          <w:numId w:val="89"/>
        </w:numPr>
        <w:tabs>
          <w:tab w:pos="1323" w:val="left" w:leader="none"/>
        </w:tabs>
        <w:spacing w:line="240" w:lineRule="auto" w:before="91" w:after="0"/>
        <w:ind w:left="1323" w:right="0" w:hanging="604"/>
        <w:jc w:val="left"/>
        <w:rPr>
          <w:b/>
          <w:sz w:val="24"/>
        </w:rPr>
      </w:pPr>
      <w:r>
        <w:rPr>
          <w:b/>
          <w:sz w:val="24"/>
        </w:rPr>
        <w:t>可行性分析</w:t>
      </w:r>
    </w:p>
    <w:p>
      <w:pPr>
        <w:pStyle w:val="BodyText"/>
        <w:spacing w:line="364" w:lineRule="auto" w:before="161"/>
        <w:ind w:right="192" w:firstLine="480"/>
      </w:pPr>
      <w:r>
        <w:rPr/>
        <w:t>根据设计方案，该废水处理系统各工艺单元对污染物的预期去除效果见表 </w:t>
      </w:r>
      <w:r>
        <w:rPr>
          <w:rFonts w:ascii="Times New Roman" w:eastAsia="Times New Roman"/>
        </w:rPr>
        <w:t>6.2-2</w:t>
      </w:r>
      <w:r>
        <w:rPr/>
        <w:t>，出水水质能够达到《污水综合排放标准》（</w:t>
      </w:r>
      <w:r>
        <w:rPr>
          <w:rFonts w:ascii="Times New Roman" w:eastAsia="Times New Roman"/>
        </w:rPr>
        <w:t>GB 8978-1996</w:t>
      </w:r>
      <w:r>
        <w:rPr/>
        <w:t>）三级标准要求。</w:t>
      </w:r>
    </w:p>
    <w:p>
      <w:pPr>
        <w:pStyle w:val="Heading3"/>
        <w:spacing w:before="1"/>
        <w:ind w:left="3660"/>
      </w:pPr>
      <w:r>
        <w:rPr/>
        <w:t>表 </w:t>
      </w:r>
      <w:r>
        <w:rPr>
          <w:rFonts w:ascii="Times New Roman" w:eastAsia="Times New Roman"/>
        </w:rPr>
        <w:t>6.2-2  </w:t>
      </w:r>
      <w:r>
        <w:rPr/>
        <w:t>预期处理效果</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12"/>
        <w:gridCol w:w="1085"/>
        <w:gridCol w:w="1137"/>
        <w:gridCol w:w="1140"/>
        <w:gridCol w:w="1137"/>
        <w:gridCol w:w="1140"/>
        <w:gridCol w:w="1139"/>
        <w:gridCol w:w="1137"/>
      </w:tblGrid>
      <w:tr>
        <w:trPr>
          <w:trHeight w:val="719" w:hRule="atLeast"/>
        </w:trPr>
        <w:tc>
          <w:tcPr>
            <w:tcW w:w="1512" w:type="dxa"/>
            <w:tcBorders>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333"/>
              <w:jc w:val="left"/>
              <w:rPr>
                <w:rFonts w:ascii="宋体" w:eastAsia="宋体" w:hint="eastAsia"/>
                <w:b/>
                <w:sz w:val="21"/>
              </w:rPr>
            </w:pPr>
            <w:r>
              <w:rPr>
                <w:rFonts w:ascii="宋体" w:eastAsia="宋体" w:hint="eastAsia"/>
                <w:b/>
                <w:sz w:val="21"/>
              </w:rPr>
              <w:t>处理单元</w:t>
            </w:r>
          </w:p>
        </w:tc>
        <w:tc>
          <w:tcPr>
            <w:tcW w:w="1085" w:type="dxa"/>
            <w:tcBorders>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7" w:right="79"/>
              <w:rPr>
                <w:rFonts w:ascii="宋体" w:eastAsia="宋体" w:hint="eastAsia"/>
                <w:b/>
                <w:sz w:val="21"/>
              </w:rPr>
            </w:pPr>
            <w:r>
              <w:rPr>
                <w:rFonts w:ascii="宋体" w:eastAsia="宋体" w:hint="eastAsia"/>
                <w:b/>
                <w:sz w:val="21"/>
              </w:rPr>
              <w:t>项目指标</w:t>
            </w:r>
          </w:p>
        </w:tc>
        <w:tc>
          <w:tcPr>
            <w:tcW w:w="1137" w:type="dxa"/>
            <w:tcBorders>
              <w:left w:val="single" w:sz="6" w:space="0" w:color="000000"/>
              <w:bottom w:val="single" w:sz="6" w:space="0" w:color="000000"/>
              <w:right w:val="single" w:sz="6" w:space="0" w:color="000000"/>
            </w:tcBorders>
          </w:tcPr>
          <w:p>
            <w:pPr>
              <w:pStyle w:val="TableParagraph"/>
              <w:spacing w:before="61"/>
              <w:ind w:left="101" w:right="74"/>
              <w:rPr>
                <w:b/>
                <w:sz w:val="14"/>
              </w:rPr>
            </w:pPr>
            <w:r>
              <w:rPr>
                <w:b/>
                <w:position w:val="2"/>
                <w:sz w:val="21"/>
              </w:rPr>
              <w:t>COD</w:t>
            </w:r>
            <w:r>
              <w:rPr>
                <w:b/>
                <w:sz w:val="14"/>
              </w:rPr>
              <w:t>Cr</w:t>
            </w:r>
          </w:p>
          <w:p>
            <w:pPr>
              <w:pStyle w:val="TableParagraph"/>
              <w:spacing w:before="99"/>
              <w:ind w:left="101" w:right="74"/>
              <w:rPr>
                <w:rFonts w:ascii="宋体" w:eastAsia="宋体" w:hint="eastAsia"/>
                <w:b/>
                <w:sz w:val="21"/>
              </w:rPr>
            </w:pPr>
            <w:r>
              <w:rPr>
                <w:rFonts w:ascii="宋体" w:eastAsia="宋体" w:hint="eastAsia"/>
                <w:b/>
                <w:sz w:val="21"/>
              </w:rPr>
              <w:t>（</w:t>
            </w:r>
            <w:r>
              <w:rPr>
                <w:b/>
                <w:sz w:val="21"/>
              </w:rPr>
              <w:t>mg/L</w:t>
            </w:r>
            <w:r>
              <w:rPr>
                <w:rFonts w:ascii="宋体" w:eastAsia="宋体" w:hint="eastAsia"/>
                <w:b/>
                <w:sz w:val="21"/>
              </w:rPr>
              <w:t>）</w:t>
            </w:r>
          </w:p>
        </w:tc>
        <w:tc>
          <w:tcPr>
            <w:tcW w:w="1140" w:type="dxa"/>
            <w:tcBorders>
              <w:left w:val="single" w:sz="6" w:space="0" w:color="000000"/>
              <w:bottom w:val="single" w:sz="6" w:space="0" w:color="000000"/>
              <w:right w:val="single" w:sz="6" w:space="0" w:color="000000"/>
            </w:tcBorders>
          </w:tcPr>
          <w:p>
            <w:pPr>
              <w:pStyle w:val="TableParagraph"/>
              <w:spacing w:before="61"/>
              <w:ind w:left="104" w:right="71"/>
              <w:rPr>
                <w:b/>
                <w:sz w:val="14"/>
              </w:rPr>
            </w:pPr>
            <w:r>
              <w:rPr>
                <w:b/>
                <w:position w:val="2"/>
                <w:sz w:val="21"/>
              </w:rPr>
              <w:t>BOD</w:t>
            </w:r>
            <w:r>
              <w:rPr>
                <w:b/>
                <w:sz w:val="14"/>
              </w:rPr>
              <w:t>5</w:t>
            </w:r>
          </w:p>
          <w:p>
            <w:pPr>
              <w:pStyle w:val="TableParagraph"/>
              <w:spacing w:before="99"/>
              <w:ind w:left="104" w:right="73"/>
              <w:rPr>
                <w:rFonts w:ascii="宋体" w:eastAsia="宋体" w:hint="eastAsia"/>
                <w:b/>
                <w:sz w:val="21"/>
              </w:rPr>
            </w:pPr>
            <w:r>
              <w:rPr>
                <w:rFonts w:ascii="宋体" w:eastAsia="宋体" w:hint="eastAsia"/>
                <w:b/>
                <w:sz w:val="21"/>
              </w:rPr>
              <w:t>（</w:t>
            </w:r>
            <w:r>
              <w:rPr>
                <w:b/>
                <w:sz w:val="21"/>
              </w:rPr>
              <w:t>mg/L</w:t>
            </w:r>
            <w:r>
              <w:rPr>
                <w:rFonts w:ascii="宋体" w:eastAsia="宋体" w:hint="eastAsia"/>
                <w:b/>
                <w:sz w:val="21"/>
              </w:rPr>
              <w:t>）</w:t>
            </w:r>
          </w:p>
        </w:tc>
        <w:tc>
          <w:tcPr>
            <w:tcW w:w="1137" w:type="dxa"/>
            <w:tcBorders>
              <w:left w:val="single" w:sz="6" w:space="0" w:color="000000"/>
              <w:bottom w:val="single" w:sz="6" w:space="0" w:color="000000"/>
              <w:right w:val="single" w:sz="6" w:space="0" w:color="000000"/>
            </w:tcBorders>
          </w:tcPr>
          <w:p>
            <w:pPr>
              <w:pStyle w:val="TableParagraph"/>
              <w:spacing w:before="48"/>
              <w:ind w:left="104" w:right="72"/>
              <w:rPr>
                <w:rFonts w:ascii="宋体" w:eastAsia="宋体" w:hint="eastAsia"/>
                <w:b/>
                <w:sz w:val="21"/>
              </w:rPr>
            </w:pPr>
            <w:r>
              <w:rPr>
                <w:rFonts w:ascii="宋体" w:eastAsia="宋体" w:hint="eastAsia"/>
                <w:b/>
                <w:sz w:val="21"/>
              </w:rPr>
              <w:t>氨氮</w:t>
            </w:r>
          </w:p>
          <w:p>
            <w:pPr>
              <w:pStyle w:val="TableParagraph"/>
              <w:spacing w:before="89"/>
              <w:ind w:left="104" w:right="70"/>
              <w:rPr>
                <w:rFonts w:ascii="宋体" w:eastAsia="宋体" w:hint="eastAsia"/>
                <w:b/>
                <w:sz w:val="21"/>
              </w:rPr>
            </w:pPr>
            <w:r>
              <w:rPr>
                <w:rFonts w:ascii="宋体" w:eastAsia="宋体" w:hint="eastAsia"/>
                <w:b/>
                <w:sz w:val="21"/>
              </w:rPr>
              <w:t>（</w:t>
            </w:r>
            <w:r>
              <w:rPr>
                <w:b/>
                <w:sz w:val="21"/>
              </w:rPr>
              <w:t>mg/L</w:t>
            </w:r>
            <w:r>
              <w:rPr>
                <w:rFonts w:ascii="宋体" w:eastAsia="宋体" w:hint="eastAsia"/>
                <w:b/>
                <w:sz w:val="21"/>
              </w:rPr>
              <w:t>）</w:t>
            </w:r>
          </w:p>
        </w:tc>
        <w:tc>
          <w:tcPr>
            <w:tcW w:w="1140" w:type="dxa"/>
            <w:tcBorders>
              <w:left w:val="single" w:sz="6" w:space="0" w:color="000000"/>
              <w:bottom w:val="single" w:sz="6" w:space="0" w:color="000000"/>
              <w:right w:val="single" w:sz="6" w:space="0" w:color="000000"/>
            </w:tcBorders>
          </w:tcPr>
          <w:p>
            <w:pPr>
              <w:pStyle w:val="TableParagraph"/>
              <w:spacing w:before="65"/>
              <w:ind w:left="104" w:right="72"/>
              <w:rPr>
                <w:b/>
                <w:sz w:val="21"/>
              </w:rPr>
            </w:pPr>
            <w:r>
              <w:rPr>
                <w:b/>
                <w:sz w:val="21"/>
              </w:rPr>
              <w:t>TP</w:t>
            </w:r>
          </w:p>
          <w:p>
            <w:pPr>
              <w:pStyle w:val="TableParagraph"/>
              <w:spacing w:before="99"/>
              <w:ind w:left="104" w:right="71"/>
              <w:rPr>
                <w:rFonts w:ascii="宋体" w:eastAsia="宋体" w:hint="eastAsia"/>
                <w:b/>
                <w:sz w:val="21"/>
              </w:rPr>
            </w:pPr>
            <w:r>
              <w:rPr>
                <w:rFonts w:ascii="宋体" w:eastAsia="宋体" w:hint="eastAsia"/>
                <w:b/>
                <w:sz w:val="21"/>
              </w:rPr>
              <w:t>（</w:t>
            </w:r>
            <w:r>
              <w:rPr>
                <w:b/>
                <w:sz w:val="21"/>
              </w:rPr>
              <w:t>mg/L</w:t>
            </w:r>
            <w:r>
              <w:rPr>
                <w:rFonts w:ascii="宋体" w:eastAsia="宋体" w:hint="eastAsia"/>
                <w:b/>
                <w:sz w:val="21"/>
              </w:rPr>
              <w:t>）</w:t>
            </w:r>
          </w:p>
        </w:tc>
        <w:tc>
          <w:tcPr>
            <w:tcW w:w="1139" w:type="dxa"/>
            <w:tcBorders>
              <w:left w:val="single" w:sz="6" w:space="0" w:color="000000"/>
              <w:bottom w:val="single" w:sz="6" w:space="0" w:color="000000"/>
              <w:right w:val="single" w:sz="6" w:space="0" w:color="000000"/>
            </w:tcBorders>
          </w:tcPr>
          <w:p>
            <w:pPr>
              <w:pStyle w:val="TableParagraph"/>
              <w:spacing w:before="65"/>
              <w:ind w:left="100" w:right="66"/>
              <w:rPr>
                <w:b/>
                <w:sz w:val="21"/>
              </w:rPr>
            </w:pPr>
            <w:r>
              <w:rPr>
                <w:b/>
                <w:sz w:val="21"/>
              </w:rPr>
              <w:t>TN</w:t>
            </w:r>
          </w:p>
          <w:p>
            <w:pPr>
              <w:pStyle w:val="TableParagraph"/>
              <w:spacing w:before="99"/>
              <w:ind w:left="100" w:right="66"/>
              <w:rPr>
                <w:rFonts w:ascii="宋体" w:eastAsia="宋体" w:hint="eastAsia"/>
                <w:b/>
                <w:sz w:val="21"/>
              </w:rPr>
            </w:pPr>
            <w:r>
              <w:rPr>
                <w:rFonts w:ascii="宋体" w:eastAsia="宋体" w:hint="eastAsia"/>
                <w:b/>
                <w:sz w:val="21"/>
              </w:rPr>
              <w:t>（</w:t>
            </w:r>
            <w:r>
              <w:rPr>
                <w:b/>
                <w:sz w:val="21"/>
              </w:rPr>
              <w:t>mg/L</w:t>
            </w:r>
            <w:r>
              <w:rPr>
                <w:rFonts w:ascii="宋体" w:eastAsia="宋体" w:hint="eastAsia"/>
                <w:b/>
                <w:sz w:val="21"/>
              </w:rPr>
              <w:t>）</w:t>
            </w:r>
          </w:p>
        </w:tc>
        <w:tc>
          <w:tcPr>
            <w:tcW w:w="1137" w:type="dxa"/>
            <w:tcBorders>
              <w:left w:val="single" w:sz="6" w:space="0" w:color="000000"/>
              <w:bottom w:val="single" w:sz="6" w:space="0" w:color="000000"/>
            </w:tcBorders>
          </w:tcPr>
          <w:p>
            <w:pPr>
              <w:pStyle w:val="TableParagraph"/>
              <w:spacing w:before="65"/>
              <w:ind w:left="107" w:right="63"/>
              <w:rPr>
                <w:b/>
                <w:sz w:val="21"/>
              </w:rPr>
            </w:pPr>
            <w:r>
              <w:rPr>
                <w:b/>
                <w:sz w:val="21"/>
              </w:rPr>
              <w:t>SS</w:t>
            </w:r>
          </w:p>
          <w:p>
            <w:pPr>
              <w:pStyle w:val="TableParagraph"/>
              <w:spacing w:before="99"/>
              <w:ind w:left="107" w:right="66"/>
              <w:rPr>
                <w:rFonts w:ascii="宋体" w:eastAsia="宋体" w:hint="eastAsia"/>
                <w:b/>
                <w:sz w:val="21"/>
              </w:rPr>
            </w:pPr>
            <w:r>
              <w:rPr>
                <w:rFonts w:ascii="宋体" w:eastAsia="宋体" w:hint="eastAsia"/>
                <w:b/>
                <w:sz w:val="21"/>
              </w:rPr>
              <w:t>（</w:t>
            </w:r>
            <w:r>
              <w:rPr>
                <w:b/>
                <w:sz w:val="21"/>
              </w:rPr>
              <w:t>mg/L</w:t>
            </w:r>
            <w:r>
              <w:rPr>
                <w:rFonts w:ascii="宋体" w:eastAsia="宋体" w:hint="eastAsia"/>
                <w:b/>
                <w:sz w:val="21"/>
              </w:rPr>
              <w:t>）</w:t>
            </w:r>
          </w:p>
        </w:tc>
      </w:tr>
      <w:tr>
        <w:trPr>
          <w:trHeight w:val="357" w:hRule="atLeast"/>
        </w:trPr>
        <w:tc>
          <w:tcPr>
            <w:tcW w:w="2597" w:type="dxa"/>
            <w:gridSpan w:val="2"/>
            <w:tcBorders>
              <w:top w:val="single" w:sz="6" w:space="0" w:color="000000"/>
              <w:bottom w:val="single" w:sz="6" w:space="0" w:color="000000"/>
              <w:right w:val="single" w:sz="6" w:space="0" w:color="000000"/>
            </w:tcBorders>
          </w:tcPr>
          <w:p>
            <w:pPr>
              <w:pStyle w:val="TableParagraph"/>
              <w:spacing w:before="46"/>
              <w:ind w:left="877"/>
              <w:jc w:val="left"/>
              <w:rPr>
                <w:rFonts w:ascii="宋体" w:eastAsia="宋体" w:hint="eastAsia"/>
                <w:sz w:val="21"/>
              </w:rPr>
            </w:pPr>
            <w:r>
              <w:rPr>
                <w:rFonts w:ascii="宋体" w:eastAsia="宋体" w:hint="eastAsia"/>
                <w:sz w:val="21"/>
              </w:rPr>
              <w:t>原水进水</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4" w:right="74"/>
              <w:rPr>
                <w:sz w:val="21"/>
              </w:rPr>
            </w:pPr>
            <w:r>
              <w:rPr>
                <w:sz w:val="21"/>
              </w:rPr>
              <w:t>12000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1"/>
              <w:rPr>
                <w:sz w:val="21"/>
              </w:rPr>
            </w:pPr>
            <w:r>
              <w:rPr>
                <w:sz w:val="21"/>
              </w:rPr>
              <w:t>6000</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68"/>
              <w:jc w:val="left"/>
              <w:rPr>
                <w:sz w:val="21"/>
              </w:rPr>
            </w:pPr>
            <w:r>
              <w:rPr>
                <w:sz w:val="21"/>
              </w:rPr>
              <w:t>1200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84"/>
              <w:jc w:val="right"/>
              <w:rPr>
                <w:sz w:val="21"/>
              </w:rPr>
            </w:pPr>
            <w:r>
              <w:rPr>
                <w:sz w:val="21"/>
              </w:rPr>
              <w:t>200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103" w:right="66"/>
              <w:rPr>
                <w:sz w:val="21"/>
              </w:rPr>
            </w:pPr>
            <w:r>
              <w:rPr>
                <w:sz w:val="21"/>
              </w:rPr>
              <w:t>2000</w:t>
            </w:r>
          </w:p>
        </w:tc>
        <w:tc>
          <w:tcPr>
            <w:tcW w:w="1137" w:type="dxa"/>
            <w:tcBorders>
              <w:top w:val="single" w:sz="6" w:space="0" w:color="000000"/>
              <w:left w:val="single" w:sz="6" w:space="0" w:color="000000"/>
              <w:bottom w:val="single" w:sz="6" w:space="0" w:color="000000"/>
            </w:tcBorders>
          </w:tcPr>
          <w:p>
            <w:pPr>
              <w:pStyle w:val="TableParagraph"/>
              <w:ind w:left="107" w:right="64"/>
              <w:rPr>
                <w:sz w:val="21"/>
              </w:rPr>
            </w:pPr>
            <w:r>
              <w:rPr>
                <w:sz w:val="21"/>
              </w:rPr>
              <w:t>5000</w:t>
            </w:r>
          </w:p>
        </w:tc>
      </w:tr>
      <w:tr>
        <w:trPr>
          <w:trHeight w:val="359" w:hRule="atLeast"/>
        </w:trPr>
        <w:tc>
          <w:tcPr>
            <w:tcW w:w="151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229"/>
              <w:jc w:val="left"/>
              <w:rPr>
                <w:rFonts w:ascii="宋体" w:eastAsia="宋体" w:hint="eastAsia"/>
                <w:sz w:val="21"/>
              </w:rPr>
            </w:pPr>
            <w:r>
              <w:rPr>
                <w:rFonts w:ascii="宋体" w:eastAsia="宋体" w:hint="eastAsia"/>
                <w:sz w:val="21"/>
              </w:rPr>
              <w:t>预处理系统</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9"/>
              <w:ind w:left="107" w:right="77"/>
              <w:rPr>
                <w:rFonts w:ascii="宋体" w:eastAsia="宋体" w:hint="eastAsia"/>
                <w:sz w:val="21"/>
              </w:rPr>
            </w:pPr>
            <w:r>
              <w:rPr>
                <w:rFonts w:ascii="宋体" w:eastAsia="宋体" w:hint="eastAsia"/>
                <w:sz w:val="21"/>
              </w:rPr>
              <w:t>去除效率</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spacing w:before="60"/>
              <w:ind w:left="102" w:right="74"/>
              <w:rPr>
                <w:sz w:val="21"/>
              </w:rPr>
            </w:pPr>
            <w:r>
              <w:rPr>
                <w:sz w:val="21"/>
              </w:rPr>
              <w:t>20%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60"/>
              <w:ind w:left="104" w:right="73"/>
              <w:rPr>
                <w:sz w:val="21"/>
              </w:rPr>
            </w:pPr>
            <w:r>
              <w:rPr>
                <w:sz w:val="21"/>
              </w:rPr>
              <w:t>15%</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spacing w:before="60"/>
              <w:ind w:left="437"/>
              <w:jc w:val="left"/>
              <w:rPr>
                <w:sz w:val="21"/>
              </w:rPr>
            </w:pPr>
            <w:r>
              <w:rPr>
                <w:sz w:val="21"/>
              </w:rPr>
              <w:t>5%</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60"/>
              <w:ind w:right="403"/>
              <w:jc w:val="right"/>
              <w:rPr>
                <w:sz w:val="21"/>
              </w:rPr>
            </w:pPr>
            <w:r>
              <w:rPr>
                <w:sz w:val="21"/>
              </w:rPr>
              <w:t>5%</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60"/>
              <w:ind w:left="101" w:right="66"/>
              <w:rPr>
                <w:sz w:val="21"/>
              </w:rPr>
            </w:pPr>
            <w:r>
              <w:rPr>
                <w:sz w:val="21"/>
              </w:rPr>
              <w:t>5%</w:t>
            </w:r>
          </w:p>
        </w:tc>
        <w:tc>
          <w:tcPr>
            <w:tcW w:w="1137" w:type="dxa"/>
            <w:tcBorders>
              <w:top w:val="single" w:sz="6" w:space="0" w:color="000000"/>
              <w:left w:val="single" w:sz="6" w:space="0" w:color="000000"/>
              <w:bottom w:val="single" w:sz="6" w:space="0" w:color="000000"/>
            </w:tcBorders>
          </w:tcPr>
          <w:p>
            <w:pPr>
              <w:pStyle w:val="TableParagraph"/>
              <w:spacing w:before="60"/>
              <w:ind w:left="107" w:right="65"/>
              <w:rPr>
                <w:sz w:val="21"/>
              </w:rPr>
            </w:pPr>
            <w:r>
              <w:rPr>
                <w:sz w:val="21"/>
              </w:rPr>
              <w:t>80%</w:t>
            </w:r>
          </w:p>
        </w:tc>
      </w:tr>
      <w:tr>
        <w:trPr>
          <w:trHeight w:val="359" w:hRule="atLeast"/>
        </w:trPr>
        <w:tc>
          <w:tcPr>
            <w:tcW w:w="1512" w:type="dxa"/>
            <w:vMerge/>
            <w:tcBorders>
              <w:top w:val="nil"/>
              <w:bottom w:val="single" w:sz="6" w:space="0" w:color="000000"/>
              <w:right w:val="single" w:sz="6" w:space="0" w:color="000000"/>
            </w:tcBorders>
          </w:tcPr>
          <w:p>
            <w:pPr>
              <w:rPr>
                <w:sz w:val="2"/>
                <w:szCs w:val="2"/>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出水水质</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4" w:right="74"/>
              <w:rPr>
                <w:sz w:val="21"/>
              </w:rPr>
            </w:pPr>
            <w:r>
              <w:rPr>
                <w:sz w:val="21"/>
              </w:rPr>
              <w:t>9600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1"/>
              <w:rPr>
                <w:sz w:val="21"/>
              </w:rPr>
            </w:pPr>
            <w:r>
              <w:rPr>
                <w:sz w:val="21"/>
              </w:rPr>
              <w:t>5100</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70"/>
              <w:jc w:val="left"/>
              <w:rPr>
                <w:sz w:val="21"/>
              </w:rPr>
            </w:pPr>
            <w:r>
              <w:rPr>
                <w:sz w:val="21"/>
              </w:rPr>
              <w:t>1140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84"/>
              <w:jc w:val="right"/>
              <w:rPr>
                <w:sz w:val="21"/>
              </w:rPr>
            </w:pPr>
            <w:r>
              <w:rPr>
                <w:sz w:val="21"/>
              </w:rPr>
              <w:t>190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103" w:right="66"/>
              <w:rPr>
                <w:sz w:val="21"/>
              </w:rPr>
            </w:pPr>
            <w:r>
              <w:rPr>
                <w:sz w:val="21"/>
              </w:rPr>
              <w:t>1900</w:t>
            </w:r>
          </w:p>
        </w:tc>
        <w:tc>
          <w:tcPr>
            <w:tcW w:w="1137" w:type="dxa"/>
            <w:tcBorders>
              <w:top w:val="single" w:sz="6" w:space="0" w:color="000000"/>
              <w:left w:val="single" w:sz="6" w:space="0" w:color="000000"/>
              <w:bottom w:val="single" w:sz="6" w:space="0" w:color="000000"/>
            </w:tcBorders>
          </w:tcPr>
          <w:p>
            <w:pPr>
              <w:pStyle w:val="TableParagraph"/>
              <w:ind w:left="107" w:right="64"/>
              <w:rPr>
                <w:sz w:val="21"/>
              </w:rPr>
            </w:pPr>
            <w:r>
              <w:rPr>
                <w:sz w:val="21"/>
              </w:rPr>
              <w:t>1000</w:t>
            </w:r>
          </w:p>
        </w:tc>
      </w:tr>
      <w:tr>
        <w:trPr>
          <w:trHeight w:val="359" w:hRule="atLeast"/>
        </w:trPr>
        <w:tc>
          <w:tcPr>
            <w:tcW w:w="151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335"/>
              <w:jc w:val="left"/>
              <w:rPr>
                <w:rFonts w:ascii="宋体" w:eastAsia="宋体" w:hint="eastAsia"/>
                <w:sz w:val="21"/>
              </w:rPr>
            </w:pPr>
            <w:r>
              <w:rPr>
                <w:rFonts w:ascii="宋体" w:eastAsia="宋体" w:hint="eastAsia"/>
                <w:sz w:val="21"/>
              </w:rPr>
              <w:t>厌氧系统</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去除效率</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2" w:right="74"/>
              <w:rPr>
                <w:sz w:val="21"/>
              </w:rPr>
            </w:pPr>
            <w:r>
              <w:rPr>
                <w:sz w:val="21"/>
              </w:rPr>
              <w:t>65%</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3"/>
              <w:rPr>
                <w:sz w:val="21"/>
              </w:rPr>
            </w:pPr>
            <w:r>
              <w:rPr>
                <w:sz w:val="21"/>
              </w:rPr>
              <w:t>65%</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30"/>
              <w:rPr>
                <w:sz w:val="21"/>
              </w:rPr>
            </w:pPr>
            <w:r>
              <w:rPr>
                <w:w w:val="100"/>
                <w:sz w:val="21"/>
              </w:rPr>
              <w:t>—</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137" w:type="dxa"/>
            <w:tcBorders>
              <w:top w:val="single" w:sz="6" w:space="0" w:color="000000"/>
              <w:left w:val="single" w:sz="6" w:space="0" w:color="000000"/>
              <w:bottom w:val="single" w:sz="6" w:space="0" w:color="000000"/>
            </w:tcBorders>
          </w:tcPr>
          <w:p>
            <w:pPr>
              <w:pStyle w:val="TableParagraph"/>
              <w:ind w:left="107" w:right="65"/>
              <w:rPr>
                <w:sz w:val="21"/>
              </w:rPr>
            </w:pPr>
            <w:r>
              <w:rPr>
                <w:sz w:val="21"/>
              </w:rPr>
              <w:t>80%</w:t>
            </w:r>
          </w:p>
        </w:tc>
      </w:tr>
      <w:tr>
        <w:trPr>
          <w:trHeight w:val="357" w:hRule="atLeast"/>
        </w:trPr>
        <w:tc>
          <w:tcPr>
            <w:tcW w:w="1512" w:type="dxa"/>
            <w:vMerge/>
            <w:tcBorders>
              <w:top w:val="nil"/>
              <w:bottom w:val="single" w:sz="6" w:space="0" w:color="000000"/>
              <w:right w:val="single" w:sz="6" w:space="0" w:color="000000"/>
            </w:tcBorders>
          </w:tcPr>
          <w:p>
            <w:pPr>
              <w:rPr>
                <w:sz w:val="2"/>
                <w:szCs w:val="2"/>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出水水质</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4" w:right="74"/>
              <w:rPr>
                <w:sz w:val="21"/>
              </w:rPr>
            </w:pPr>
            <w:r>
              <w:rPr>
                <w:sz w:val="21"/>
              </w:rPr>
              <w:t>3360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1"/>
              <w:rPr>
                <w:sz w:val="21"/>
              </w:rPr>
            </w:pPr>
            <w:r>
              <w:rPr>
                <w:sz w:val="21"/>
              </w:rPr>
              <w:t>1785</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70"/>
              <w:jc w:val="left"/>
              <w:rPr>
                <w:sz w:val="21"/>
              </w:rPr>
            </w:pPr>
            <w:r>
              <w:rPr>
                <w:sz w:val="21"/>
              </w:rPr>
              <w:t>1140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84"/>
              <w:jc w:val="right"/>
              <w:rPr>
                <w:sz w:val="21"/>
              </w:rPr>
            </w:pPr>
            <w:r>
              <w:rPr>
                <w:sz w:val="21"/>
              </w:rPr>
              <w:t>190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103" w:right="66"/>
              <w:rPr>
                <w:sz w:val="21"/>
              </w:rPr>
            </w:pPr>
            <w:r>
              <w:rPr>
                <w:sz w:val="21"/>
              </w:rPr>
              <w:t>1900</w:t>
            </w:r>
          </w:p>
        </w:tc>
        <w:tc>
          <w:tcPr>
            <w:tcW w:w="1137" w:type="dxa"/>
            <w:tcBorders>
              <w:top w:val="single" w:sz="6" w:space="0" w:color="000000"/>
              <w:left w:val="single" w:sz="6" w:space="0" w:color="000000"/>
              <w:bottom w:val="single" w:sz="6" w:space="0" w:color="000000"/>
            </w:tcBorders>
          </w:tcPr>
          <w:p>
            <w:pPr>
              <w:pStyle w:val="TableParagraph"/>
              <w:ind w:left="107" w:right="63"/>
              <w:rPr>
                <w:sz w:val="21"/>
              </w:rPr>
            </w:pPr>
            <w:r>
              <w:rPr>
                <w:sz w:val="21"/>
              </w:rPr>
              <w:t>200</w:t>
            </w:r>
          </w:p>
        </w:tc>
      </w:tr>
      <w:tr>
        <w:trPr>
          <w:trHeight w:val="359" w:hRule="atLeast"/>
        </w:trPr>
        <w:tc>
          <w:tcPr>
            <w:tcW w:w="151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0"/>
              <w:ind w:left="131"/>
              <w:jc w:val="left"/>
              <w:rPr>
                <w:rFonts w:ascii="宋体" w:eastAsia="宋体" w:hint="eastAsia"/>
                <w:sz w:val="21"/>
              </w:rPr>
            </w:pPr>
            <w:r>
              <w:rPr>
                <w:rFonts w:ascii="宋体" w:eastAsia="宋体" w:hint="eastAsia"/>
                <w:sz w:val="21"/>
              </w:rPr>
              <w:t>一级 </w:t>
            </w:r>
            <w:r>
              <w:rPr>
                <w:position w:val="1"/>
                <w:sz w:val="21"/>
              </w:rPr>
              <w:t>AO </w:t>
            </w:r>
            <w:r>
              <w:rPr>
                <w:rFonts w:ascii="宋体" w:eastAsia="宋体" w:hint="eastAsia"/>
                <w:sz w:val="21"/>
              </w:rPr>
              <w:t>系统</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9"/>
              <w:ind w:left="107" w:right="77"/>
              <w:rPr>
                <w:rFonts w:ascii="宋体" w:eastAsia="宋体" w:hint="eastAsia"/>
                <w:sz w:val="21"/>
              </w:rPr>
            </w:pPr>
            <w:r>
              <w:rPr>
                <w:rFonts w:ascii="宋体" w:eastAsia="宋体" w:hint="eastAsia"/>
                <w:sz w:val="21"/>
              </w:rPr>
              <w:t>去除效率</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spacing w:before="60"/>
              <w:ind w:left="102" w:right="74"/>
              <w:rPr>
                <w:sz w:val="21"/>
              </w:rPr>
            </w:pPr>
            <w:r>
              <w:rPr>
                <w:sz w:val="21"/>
              </w:rPr>
              <w:t>75%</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60"/>
              <w:ind w:left="104" w:right="73"/>
              <w:rPr>
                <w:sz w:val="21"/>
              </w:rPr>
            </w:pPr>
            <w:r>
              <w:rPr>
                <w:sz w:val="21"/>
              </w:rPr>
              <w:t>80%</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spacing w:before="60"/>
              <w:ind w:left="385"/>
              <w:jc w:val="left"/>
              <w:rPr>
                <w:sz w:val="21"/>
              </w:rPr>
            </w:pPr>
            <w:r>
              <w:rPr>
                <w:sz w:val="21"/>
              </w:rPr>
              <w:t>90%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60"/>
              <w:ind w:right="350"/>
              <w:jc w:val="right"/>
              <w:rPr>
                <w:sz w:val="21"/>
              </w:rPr>
            </w:pPr>
            <w:r>
              <w:rPr>
                <w:sz w:val="21"/>
              </w:rPr>
              <w:t>45%</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60"/>
              <w:ind w:left="101" w:right="66"/>
              <w:rPr>
                <w:sz w:val="21"/>
              </w:rPr>
            </w:pPr>
            <w:r>
              <w:rPr>
                <w:sz w:val="21"/>
              </w:rPr>
              <w:t>85%</w:t>
            </w:r>
          </w:p>
        </w:tc>
        <w:tc>
          <w:tcPr>
            <w:tcW w:w="1137" w:type="dxa"/>
            <w:tcBorders>
              <w:top w:val="single" w:sz="6" w:space="0" w:color="000000"/>
              <w:left w:val="single" w:sz="6" w:space="0" w:color="000000"/>
              <w:bottom w:val="single" w:sz="6" w:space="0" w:color="000000"/>
            </w:tcBorders>
          </w:tcPr>
          <w:p>
            <w:pPr>
              <w:pStyle w:val="TableParagraph"/>
              <w:spacing w:before="60"/>
              <w:ind w:left="39"/>
              <w:rPr>
                <w:sz w:val="21"/>
              </w:rPr>
            </w:pPr>
            <w:r>
              <w:rPr>
                <w:w w:val="100"/>
                <w:sz w:val="21"/>
              </w:rPr>
              <w:t>—</w:t>
            </w:r>
          </w:p>
        </w:tc>
      </w:tr>
      <w:tr>
        <w:trPr>
          <w:trHeight w:val="359" w:hRule="atLeast"/>
        </w:trPr>
        <w:tc>
          <w:tcPr>
            <w:tcW w:w="1512" w:type="dxa"/>
            <w:vMerge/>
            <w:tcBorders>
              <w:top w:val="nil"/>
              <w:bottom w:val="single" w:sz="6" w:space="0" w:color="000000"/>
              <w:right w:val="single" w:sz="6" w:space="0" w:color="000000"/>
            </w:tcBorders>
          </w:tcPr>
          <w:p>
            <w:pPr>
              <w:rPr>
                <w:sz w:val="2"/>
                <w:szCs w:val="2"/>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出水水质</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4" w:right="74"/>
              <w:rPr>
                <w:sz w:val="21"/>
              </w:rPr>
            </w:pPr>
            <w:r>
              <w:rPr>
                <w:sz w:val="21"/>
              </w:rPr>
              <w:t>840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1"/>
              <w:rPr>
                <w:sz w:val="21"/>
              </w:rPr>
            </w:pPr>
            <w:r>
              <w:rPr>
                <w:sz w:val="21"/>
              </w:rPr>
              <w:t>357</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423"/>
              <w:jc w:val="left"/>
              <w:rPr>
                <w:sz w:val="21"/>
              </w:rPr>
            </w:pPr>
            <w:r>
              <w:rPr>
                <w:sz w:val="21"/>
              </w:rPr>
              <w:t>114</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05"/>
              <w:jc w:val="right"/>
              <w:rPr>
                <w:sz w:val="21"/>
              </w:rPr>
            </w:pPr>
            <w:r>
              <w:rPr>
                <w:sz w:val="21"/>
              </w:rPr>
              <w:t>104.5</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103" w:right="66"/>
              <w:rPr>
                <w:sz w:val="21"/>
              </w:rPr>
            </w:pPr>
            <w:r>
              <w:rPr>
                <w:sz w:val="21"/>
              </w:rPr>
              <w:t>285</w:t>
            </w:r>
          </w:p>
        </w:tc>
        <w:tc>
          <w:tcPr>
            <w:tcW w:w="1137" w:type="dxa"/>
            <w:tcBorders>
              <w:top w:val="single" w:sz="6" w:space="0" w:color="000000"/>
              <w:left w:val="single" w:sz="6" w:space="0" w:color="000000"/>
              <w:bottom w:val="single" w:sz="6" w:space="0" w:color="000000"/>
            </w:tcBorders>
          </w:tcPr>
          <w:p>
            <w:pPr>
              <w:pStyle w:val="TableParagraph"/>
              <w:ind w:left="107" w:right="63"/>
              <w:rPr>
                <w:sz w:val="21"/>
              </w:rPr>
            </w:pPr>
            <w:r>
              <w:rPr>
                <w:sz w:val="21"/>
              </w:rPr>
              <w:t>200</w:t>
            </w:r>
          </w:p>
        </w:tc>
      </w:tr>
      <w:tr>
        <w:trPr>
          <w:trHeight w:val="359" w:hRule="atLeast"/>
        </w:trPr>
        <w:tc>
          <w:tcPr>
            <w:tcW w:w="151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31"/>
              <w:jc w:val="left"/>
              <w:rPr>
                <w:rFonts w:ascii="宋体" w:eastAsia="宋体" w:hint="eastAsia"/>
                <w:sz w:val="21"/>
              </w:rPr>
            </w:pPr>
            <w:r>
              <w:rPr>
                <w:rFonts w:ascii="宋体" w:eastAsia="宋体" w:hint="eastAsia"/>
                <w:sz w:val="21"/>
              </w:rPr>
              <w:t>二级 </w:t>
            </w:r>
            <w:r>
              <w:rPr>
                <w:position w:val="1"/>
                <w:sz w:val="21"/>
              </w:rPr>
              <w:t>AO </w:t>
            </w:r>
            <w:r>
              <w:rPr>
                <w:rFonts w:ascii="宋体" w:eastAsia="宋体" w:hint="eastAsia"/>
                <w:sz w:val="21"/>
              </w:rPr>
              <w:t>系统</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去除效率</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2" w:right="74"/>
              <w:rPr>
                <w:sz w:val="21"/>
              </w:rPr>
            </w:pPr>
            <w:r>
              <w:rPr>
                <w:sz w:val="21"/>
              </w:rPr>
              <w:t>40%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3"/>
              <w:rPr>
                <w:sz w:val="21"/>
              </w:rPr>
            </w:pPr>
            <w:r>
              <w:rPr>
                <w:sz w:val="21"/>
              </w:rPr>
              <w:t>50%</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85"/>
              <w:jc w:val="left"/>
              <w:rPr>
                <w:sz w:val="21"/>
              </w:rPr>
            </w:pPr>
            <w:r>
              <w:rPr>
                <w:sz w:val="21"/>
              </w:rPr>
              <w:t>80%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50"/>
              <w:jc w:val="right"/>
              <w:rPr>
                <w:sz w:val="21"/>
              </w:rPr>
            </w:pPr>
            <w:r>
              <w:rPr>
                <w:sz w:val="21"/>
              </w:rPr>
              <w:t>40%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101" w:right="66"/>
              <w:rPr>
                <w:sz w:val="21"/>
              </w:rPr>
            </w:pPr>
            <w:r>
              <w:rPr>
                <w:sz w:val="21"/>
              </w:rPr>
              <w:t>80%</w:t>
            </w:r>
          </w:p>
        </w:tc>
        <w:tc>
          <w:tcPr>
            <w:tcW w:w="1137" w:type="dxa"/>
            <w:tcBorders>
              <w:top w:val="single" w:sz="6" w:space="0" w:color="000000"/>
              <w:left w:val="single" w:sz="6" w:space="0" w:color="000000"/>
              <w:bottom w:val="single" w:sz="6" w:space="0" w:color="000000"/>
            </w:tcBorders>
          </w:tcPr>
          <w:p>
            <w:pPr>
              <w:pStyle w:val="TableParagraph"/>
              <w:ind w:left="39"/>
              <w:rPr>
                <w:sz w:val="21"/>
              </w:rPr>
            </w:pPr>
            <w:r>
              <w:rPr>
                <w:w w:val="100"/>
                <w:sz w:val="21"/>
              </w:rPr>
              <w:t>—</w:t>
            </w:r>
          </w:p>
        </w:tc>
      </w:tr>
      <w:tr>
        <w:trPr>
          <w:trHeight w:val="357" w:hRule="atLeast"/>
        </w:trPr>
        <w:tc>
          <w:tcPr>
            <w:tcW w:w="1512" w:type="dxa"/>
            <w:vMerge/>
            <w:tcBorders>
              <w:top w:val="nil"/>
              <w:bottom w:val="single" w:sz="6" w:space="0" w:color="000000"/>
              <w:right w:val="single" w:sz="6" w:space="0" w:color="000000"/>
            </w:tcBorders>
          </w:tcPr>
          <w:p>
            <w:pPr>
              <w:rPr>
                <w:sz w:val="2"/>
                <w:szCs w:val="2"/>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出水水质</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4" w:right="74"/>
              <w:rPr>
                <w:sz w:val="21"/>
              </w:rPr>
            </w:pPr>
            <w:r>
              <w:rPr>
                <w:sz w:val="21"/>
              </w:rPr>
              <w:t>504</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1"/>
              <w:rPr>
                <w:sz w:val="21"/>
              </w:rPr>
            </w:pPr>
            <w:r>
              <w:rPr>
                <w:sz w:val="21"/>
              </w:rPr>
              <w:t>178.5</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94"/>
              <w:jc w:val="left"/>
              <w:rPr>
                <w:sz w:val="21"/>
              </w:rPr>
            </w:pPr>
            <w:r>
              <w:rPr>
                <w:sz w:val="21"/>
              </w:rPr>
              <w:t>22.8</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58"/>
              <w:jc w:val="right"/>
              <w:rPr>
                <w:sz w:val="21"/>
              </w:rPr>
            </w:pPr>
            <w:r>
              <w:rPr>
                <w:sz w:val="21"/>
              </w:rPr>
              <w:t>62.7</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98" w:right="66"/>
              <w:rPr>
                <w:sz w:val="21"/>
              </w:rPr>
            </w:pPr>
            <w:r>
              <w:rPr>
                <w:sz w:val="21"/>
              </w:rPr>
              <w:t>57</w:t>
            </w:r>
          </w:p>
        </w:tc>
        <w:tc>
          <w:tcPr>
            <w:tcW w:w="1137" w:type="dxa"/>
            <w:tcBorders>
              <w:top w:val="single" w:sz="6" w:space="0" w:color="000000"/>
              <w:left w:val="single" w:sz="6" w:space="0" w:color="000000"/>
              <w:bottom w:val="single" w:sz="6" w:space="0" w:color="000000"/>
            </w:tcBorders>
          </w:tcPr>
          <w:p>
            <w:pPr>
              <w:pStyle w:val="TableParagraph"/>
              <w:ind w:left="107" w:right="63"/>
              <w:rPr>
                <w:sz w:val="21"/>
              </w:rPr>
            </w:pPr>
            <w:r>
              <w:rPr>
                <w:sz w:val="21"/>
              </w:rPr>
              <w:t>200</w:t>
            </w:r>
          </w:p>
        </w:tc>
      </w:tr>
      <w:tr>
        <w:trPr>
          <w:trHeight w:val="359" w:hRule="atLeast"/>
        </w:trPr>
        <w:tc>
          <w:tcPr>
            <w:tcW w:w="1512"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18"/>
              </w:rPr>
            </w:pPr>
          </w:p>
          <w:p>
            <w:pPr>
              <w:pStyle w:val="TableParagraph"/>
              <w:spacing w:before="1"/>
              <w:ind w:left="131"/>
              <w:jc w:val="left"/>
              <w:rPr>
                <w:rFonts w:ascii="宋体" w:eastAsia="宋体" w:hint="eastAsia"/>
                <w:sz w:val="21"/>
              </w:rPr>
            </w:pPr>
            <w:r>
              <w:rPr>
                <w:rFonts w:ascii="宋体" w:eastAsia="宋体" w:hint="eastAsia"/>
                <w:sz w:val="21"/>
              </w:rPr>
              <w:t>三级 </w:t>
            </w:r>
            <w:r>
              <w:rPr>
                <w:position w:val="1"/>
                <w:sz w:val="21"/>
              </w:rPr>
              <w:t>AO </w:t>
            </w:r>
            <w:r>
              <w:rPr>
                <w:rFonts w:ascii="宋体" w:eastAsia="宋体" w:hint="eastAsia"/>
                <w:sz w:val="21"/>
              </w:rPr>
              <w:t>系统</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9"/>
              <w:ind w:left="107" w:right="77"/>
              <w:rPr>
                <w:rFonts w:ascii="宋体" w:eastAsia="宋体" w:hint="eastAsia"/>
                <w:sz w:val="21"/>
              </w:rPr>
            </w:pPr>
            <w:r>
              <w:rPr>
                <w:rFonts w:ascii="宋体" w:eastAsia="宋体" w:hint="eastAsia"/>
                <w:sz w:val="21"/>
              </w:rPr>
              <w:t>去除效率</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spacing w:before="60"/>
              <w:ind w:left="102" w:right="74"/>
              <w:rPr>
                <w:sz w:val="21"/>
              </w:rPr>
            </w:pPr>
            <w:r>
              <w:rPr>
                <w:sz w:val="21"/>
              </w:rPr>
              <w:t>20%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60"/>
              <w:ind w:left="104" w:right="73"/>
              <w:rPr>
                <w:sz w:val="21"/>
              </w:rPr>
            </w:pPr>
            <w:r>
              <w:rPr>
                <w:sz w:val="21"/>
              </w:rPr>
              <w:t>30%</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spacing w:before="60"/>
              <w:ind w:left="385"/>
              <w:jc w:val="left"/>
              <w:rPr>
                <w:sz w:val="21"/>
              </w:rPr>
            </w:pPr>
            <w:r>
              <w:rPr>
                <w:sz w:val="21"/>
              </w:rPr>
              <w:t>50%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60"/>
              <w:ind w:right="350"/>
              <w:jc w:val="right"/>
              <w:rPr>
                <w:sz w:val="21"/>
              </w:rPr>
            </w:pPr>
            <w:r>
              <w:rPr>
                <w:sz w:val="21"/>
              </w:rPr>
              <w:t>20%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spacing w:before="60"/>
              <w:ind w:left="101" w:right="66"/>
              <w:rPr>
                <w:sz w:val="21"/>
              </w:rPr>
            </w:pPr>
            <w:r>
              <w:rPr>
                <w:sz w:val="21"/>
              </w:rPr>
              <w:t>30%</w:t>
            </w:r>
          </w:p>
        </w:tc>
        <w:tc>
          <w:tcPr>
            <w:tcW w:w="1137" w:type="dxa"/>
            <w:tcBorders>
              <w:top w:val="single" w:sz="6" w:space="0" w:color="000000"/>
              <w:left w:val="single" w:sz="6" w:space="0" w:color="000000"/>
              <w:bottom w:val="single" w:sz="6" w:space="0" w:color="000000"/>
            </w:tcBorders>
          </w:tcPr>
          <w:p>
            <w:pPr>
              <w:pStyle w:val="TableParagraph"/>
              <w:spacing w:before="60"/>
              <w:ind w:left="39"/>
              <w:rPr>
                <w:sz w:val="21"/>
              </w:rPr>
            </w:pPr>
            <w:r>
              <w:rPr>
                <w:w w:val="100"/>
                <w:sz w:val="21"/>
              </w:rPr>
              <w:t>—</w:t>
            </w:r>
          </w:p>
        </w:tc>
      </w:tr>
      <w:tr>
        <w:trPr>
          <w:trHeight w:val="359" w:hRule="atLeast"/>
        </w:trPr>
        <w:tc>
          <w:tcPr>
            <w:tcW w:w="1512" w:type="dxa"/>
            <w:vMerge/>
            <w:tcBorders>
              <w:top w:val="nil"/>
              <w:bottom w:val="single" w:sz="6" w:space="0" w:color="000000"/>
              <w:right w:val="single" w:sz="6" w:space="0" w:color="000000"/>
            </w:tcBorders>
          </w:tcPr>
          <w:p>
            <w:pPr>
              <w:rPr>
                <w:sz w:val="2"/>
                <w:szCs w:val="2"/>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7"/>
              <w:ind w:left="107" w:right="77"/>
              <w:rPr>
                <w:rFonts w:ascii="宋体" w:eastAsia="宋体" w:hint="eastAsia"/>
                <w:sz w:val="21"/>
              </w:rPr>
            </w:pPr>
            <w:r>
              <w:rPr>
                <w:rFonts w:ascii="宋体" w:eastAsia="宋体" w:hint="eastAsia"/>
                <w:sz w:val="21"/>
              </w:rPr>
              <w:t>出水水质</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4" w:right="74"/>
              <w:rPr>
                <w:sz w:val="21"/>
              </w:rPr>
            </w:pPr>
            <w:r>
              <w:rPr>
                <w:sz w:val="21"/>
              </w:rPr>
              <w:t>403.2</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1"/>
              <w:rPr>
                <w:sz w:val="21"/>
              </w:rPr>
            </w:pPr>
            <w:r>
              <w:rPr>
                <w:sz w:val="21"/>
              </w:rPr>
              <w:t>124.95</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97"/>
              <w:jc w:val="left"/>
              <w:rPr>
                <w:sz w:val="21"/>
              </w:rPr>
            </w:pPr>
            <w:r>
              <w:rPr>
                <w:sz w:val="21"/>
              </w:rPr>
              <w:t>11.4</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05"/>
              <w:jc w:val="right"/>
              <w:rPr>
                <w:sz w:val="21"/>
              </w:rPr>
            </w:pPr>
            <w:r>
              <w:rPr>
                <w:sz w:val="21"/>
              </w:rPr>
              <w:t>50.16</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103" w:right="66"/>
              <w:rPr>
                <w:sz w:val="21"/>
              </w:rPr>
            </w:pPr>
            <w:r>
              <w:rPr>
                <w:sz w:val="21"/>
              </w:rPr>
              <w:t>39.9</w:t>
            </w:r>
          </w:p>
        </w:tc>
        <w:tc>
          <w:tcPr>
            <w:tcW w:w="1137" w:type="dxa"/>
            <w:tcBorders>
              <w:top w:val="single" w:sz="6" w:space="0" w:color="000000"/>
              <w:left w:val="single" w:sz="6" w:space="0" w:color="000000"/>
              <w:bottom w:val="single" w:sz="6" w:space="0" w:color="000000"/>
            </w:tcBorders>
          </w:tcPr>
          <w:p>
            <w:pPr>
              <w:pStyle w:val="TableParagraph"/>
              <w:ind w:left="107" w:right="63"/>
              <w:rPr>
                <w:sz w:val="21"/>
              </w:rPr>
            </w:pPr>
            <w:r>
              <w:rPr>
                <w:sz w:val="21"/>
              </w:rPr>
              <w:t>200</w:t>
            </w:r>
          </w:p>
        </w:tc>
      </w:tr>
      <w:tr>
        <w:trPr>
          <w:trHeight w:val="359" w:hRule="atLeast"/>
        </w:trPr>
        <w:tc>
          <w:tcPr>
            <w:tcW w:w="1512" w:type="dxa"/>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8"/>
              </w:rPr>
            </w:pPr>
          </w:p>
          <w:p>
            <w:pPr>
              <w:pStyle w:val="TableParagraph"/>
              <w:spacing w:before="0"/>
              <w:ind w:left="124"/>
              <w:jc w:val="left"/>
              <w:rPr>
                <w:rFonts w:ascii="宋体" w:eastAsia="宋体" w:hint="eastAsia"/>
                <w:sz w:val="21"/>
              </w:rPr>
            </w:pPr>
            <w:r>
              <w:rPr>
                <w:rFonts w:ascii="宋体" w:eastAsia="宋体" w:hint="eastAsia"/>
                <w:sz w:val="21"/>
              </w:rPr>
              <w:t>物化处理系统</w:t>
            </w: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去除效率</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2" w:right="74"/>
              <w:rPr>
                <w:sz w:val="21"/>
              </w:rPr>
            </w:pPr>
            <w:r>
              <w:rPr>
                <w:sz w:val="21"/>
              </w:rPr>
              <w:t>30%</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3"/>
              <w:rPr>
                <w:sz w:val="21"/>
              </w:rPr>
            </w:pPr>
            <w:r>
              <w:rPr>
                <w:sz w:val="21"/>
              </w:rPr>
              <w:t>20%</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50"/>
              <w:jc w:val="right"/>
              <w:rPr>
                <w:sz w:val="21"/>
              </w:rPr>
            </w:pPr>
            <w:r>
              <w:rPr>
                <w:sz w:val="21"/>
              </w:rPr>
              <w:t>90%</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137" w:type="dxa"/>
            <w:tcBorders>
              <w:top w:val="single" w:sz="6" w:space="0" w:color="000000"/>
              <w:left w:val="single" w:sz="6" w:space="0" w:color="000000"/>
              <w:bottom w:val="single" w:sz="6" w:space="0" w:color="000000"/>
            </w:tcBorders>
          </w:tcPr>
          <w:p>
            <w:pPr>
              <w:pStyle w:val="TableParagraph"/>
              <w:ind w:left="107" w:right="65"/>
              <w:rPr>
                <w:sz w:val="21"/>
              </w:rPr>
            </w:pPr>
            <w:r>
              <w:rPr>
                <w:sz w:val="21"/>
              </w:rPr>
              <w:t>80%</w:t>
            </w:r>
          </w:p>
        </w:tc>
      </w:tr>
      <w:tr>
        <w:trPr>
          <w:trHeight w:val="356" w:hRule="atLeast"/>
        </w:trPr>
        <w:tc>
          <w:tcPr>
            <w:tcW w:w="1512" w:type="dxa"/>
            <w:vMerge/>
            <w:tcBorders>
              <w:top w:val="nil"/>
              <w:bottom w:val="single" w:sz="6" w:space="0" w:color="000000"/>
              <w:right w:val="single" w:sz="6" w:space="0" w:color="000000"/>
            </w:tcBorders>
          </w:tcPr>
          <w:p>
            <w:pPr>
              <w:rPr>
                <w:sz w:val="2"/>
                <w:szCs w:val="2"/>
              </w:rPr>
            </w:pPr>
          </w:p>
        </w:tc>
        <w:tc>
          <w:tcPr>
            <w:tcW w:w="1085" w:type="dxa"/>
            <w:tcBorders>
              <w:top w:val="single" w:sz="6" w:space="0" w:color="000000"/>
              <w:left w:val="single" w:sz="6" w:space="0" w:color="000000"/>
              <w:bottom w:val="single" w:sz="6" w:space="0" w:color="000000"/>
              <w:right w:val="single" w:sz="6" w:space="0" w:color="000000"/>
            </w:tcBorders>
          </w:tcPr>
          <w:p>
            <w:pPr>
              <w:pStyle w:val="TableParagraph"/>
              <w:spacing w:before="46"/>
              <w:ind w:left="107" w:right="77"/>
              <w:rPr>
                <w:rFonts w:ascii="宋体" w:eastAsia="宋体" w:hint="eastAsia"/>
                <w:sz w:val="21"/>
              </w:rPr>
            </w:pPr>
            <w:r>
              <w:rPr>
                <w:rFonts w:ascii="宋体" w:eastAsia="宋体" w:hint="eastAsia"/>
                <w:sz w:val="21"/>
              </w:rPr>
              <w:t>出水水质</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104" w:right="74"/>
              <w:rPr>
                <w:sz w:val="21"/>
              </w:rPr>
            </w:pPr>
            <w:r>
              <w:rPr>
                <w:sz w:val="21"/>
              </w:rPr>
              <w:t>282.24</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left="104" w:right="71"/>
              <w:rPr>
                <w:sz w:val="21"/>
              </w:rPr>
            </w:pPr>
            <w:r>
              <w:rPr>
                <w:sz w:val="21"/>
              </w:rPr>
              <w:t>99.96</w:t>
            </w:r>
          </w:p>
        </w:tc>
        <w:tc>
          <w:tcPr>
            <w:tcW w:w="1137" w:type="dxa"/>
            <w:tcBorders>
              <w:top w:val="single" w:sz="6" w:space="0" w:color="000000"/>
              <w:left w:val="single" w:sz="6" w:space="0" w:color="000000"/>
              <w:bottom w:val="single" w:sz="6" w:space="0" w:color="000000"/>
              <w:right w:val="single" w:sz="6" w:space="0" w:color="000000"/>
            </w:tcBorders>
          </w:tcPr>
          <w:p>
            <w:pPr>
              <w:pStyle w:val="TableParagraph"/>
              <w:ind w:left="397"/>
              <w:jc w:val="left"/>
              <w:rPr>
                <w:sz w:val="21"/>
              </w:rPr>
            </w:pPr>
            <w:r>
              <w:rPr>
                <w:sz w:val="21"/>
              </w:rPr>
              <w:t>11.4</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ind w:right="358"/>
              <w:jc w:val="right"/>
              <w:rPr>
                <w:sz w:val="21"/>
              </w:rPr>
            </w:pPr>
            <w:r>
              <w:rPr>
                <w:sz w:val="21"/>
              </w:rPr>
              <w:t>5.02</w:t>
            </w:r>
          </w:p>
        </w:tc>
        <w:tc>
          <w:tcPr>
            <w:tcW w:w="1139" w:type="dxa"/>
            <w:tcBorders>
              <w:top w:val="single" w:sz="6" w:space="0" w:color="000000"/>
              <w:left w:val="single" w:sz="6" w:space="0" w:color="000000"/>
              <w:bottom w:val="single" w:sz="6" w:space="0" w:color="000000"/>
              <w:right w:val="single" w:sz="6" w:space="0" w:color="000000"/>
            </w:tcBorders>
          </w:tcPr>
          <w:p>
            <w:pPr>
              <w:pStyle w:val="TableParagraph"/>
              <w:ind w:left="103" w:right="66"/>
              <w:rPr>
                <w:sz w:val="21"/>
              </w:rPr>
            </w:pPr>
            <w:r>
              <w:rPr>
                <w:sz w:val="21"/>
              </w:rPr>
              <w:t>39.9</w:t>
            </w:r>
          </w:p>
        </w:tc>
        <w:tc>
          <w:tcPr>
            <w:tcW w:w="1137" w:type="dxa"/>
            <w:tcBorders>
              <w:top w:val="single" w:sz="6" w:space="0" w:color="000000"/>
              <w:left w:val="single" w:sz="6" w:space="0" w:color="000000"/>
              <w:bottom w:val="single" w:sz="6" w:space="0" w:color="000000"/>
            </w:tcBorders>
          </w:tcPr>
          <w:p>
            <w:pPr>
              <w:pStyle w:val="TableParagraph"/>
              <w:ind w:left="105" w:right="66"/>
              <w:rPr>
                <w:sz w:val="21"/>
              </w:rPr>
            </w:pPr>
            <w:r>
              <w:rPr>
                <w:sz w:val="21"/>
              </w:rPr>
              <w:t>40</w:t>
            </w:r>
          </w:p>
        </w:tc>
      </w:tr>
      <w:tr>
        <w:trPr>
          <w:trHeight w:val="359" w:hRule="atLeast"/>
        </w:trPr>
        <w:tc>
          <w:tcPr>
            <w:tcW w:w="1512" w:type="dxa"/>
            <w:tcBorders>
              <w:top w:val="single" w:sz="6" w:space="0" w:color="000000"/>
              <w:right w:val="single" w:sz="6" w:space="0" w:color="000000"/>
            </w:tcBorders>
          </w:tcPr>
          <w:p>
            <w:pPr>
              <w:pStyle w:val="TableParagraph"/>
              <w:spacing w:before="49"/>
              <w:ind w:left="335"/>
              <w:jc w:val="left"/>
              <w:rPr>
                <w:rFonts w:ascii="宋体" w:eastAsia="宋体" w:hint="eastAsia"/>
                <w:sz w:val="21"/>
              </w:rPr>
            </w:pPr>
            <w:r>
              <w:rPr>
                <w:rFonts w:ascii="宋体" w:eastAsia="宋体" w:hint="eastAsia"/>
                <w:sz w:val="21"/>
              </w:rPr>
              <w:t>设计标准</w:t>
            </w:r>
          </w:p>
        </w:tc>
        <w:tc>
          <w:tcPr>
            <w:tcW w:w="1085" w:type="dxa"/>
            <w:tcBorders>
              <w:top w:val="single" w:sz="6" w:space="0" w:color="000000"/>
              <w:left w:val="single" w:sz="6" w:space="0" w:color="000000"/>
              <w:right w:val="single" w:sz="6" w:space="0" w:color="000000"/>
            </w:tcBorders>
          </w:tcPr>
          <w:p>
            <w:pPr>
              <w:pStyle w:val="TableParagraph"/>
              <w:spacing w:before="0"/>
              <w:jc w:val="left"/>
              <w:rPr>
                <w:sz w:val="22"/>
              </w:rPr>
            </w:pPr>
          </w:p>
        </w:tc>
        <w:tc>
          <w:tcPr>
            <w:tcW w:w="1137" w:type="dxa"/>
            <w:tcBorders>
              <w:top w:val="single" w:sz="6" w:space="0" w:color="000000"/>
              <w:left w:val="single" w:sz="6" w:space="0" w:color="000000"/>
              <w:right w:val="single" w:sz="6" w:space="0" w:color="000000"/>
            </w:tcBorders>
          </w:tcPr>
          <w:p>
            <w:pPr>
              <w:pStyle w:val="TableParagraph"/>
              <w:spacing w:before="60"/>
              <w:ind w:left="103" w:right="74"/>
              <w:rPr>
                <w:sz w:val="21"/>
              </w:rPr>
            </w:pPr>
            <w:r>
              <w:rPr>
                <w:sz w:val="21"/>
              </w:rPr>
              <w:t>≤500</w:t>
            </w:r>
          </w:p>
        </w:tc>
        <w:tc>
          <w:tcPr>
            <w:tcW w:w="1140" w:type="dxa"/>
            <w:tcBorders>
              <w:top w:val="single" w:sz="6" w:space="0" w:color="000000"/>
              <w:left w:val="single" w:sz="6" w:space="0" w:color="000000"/>
              <w:right w:val="single" w:sz="6" w:space="0" w:color="000000"/>
            </w:tcBorders>
          </w:tcPr>
          <w:p>
            <w:pPr>
              <w:pStyle w:val="TableParagraph"/>
              <w:spacing w:before="60"/>
              <w:ind w:left="104" w:right="72"/>
              <w:rPr>
                <w:sz w:val="21"/>
              </w:rPr>
            </w:pPr>
            <w:r>
              <w:rPr>
                <w:sz w:val="21"/>
              </w:rPr>
              <w:t>≤300</w:t>
            </w:r>
          </w:p>
        </w:tc>
        <w:tc>
          <w:tcPr>
            <w:tcW w:w="1137" w:type="dxa"/>
            <w:tcBorders>
              <w:top w:val="single" w:sz="6" w:space="0" w:color="000000"/>
              <w:left w:val="single" w:sz="6" w:space="0" w:color="000000"/>
              <w:right w:val="single" w:sz="6" w:space="0" w:color="000000"/>
            </w:tcBorders>
          </w:tcPr>
          <w:p>
            <w:pPr>
              <w:pStyle w:val="TableParagraph"/>
              <w:spacing w:before="60"/>
              <w:ind w:left="413"/>
              <w:jc w:val="left"/>
              <w:rPr>
                <w:sz w:val="21"/>
              </w:rPr>
            </w:pPr>
            <w:r>
              <w:rPr>
                <w:sz w:val="21"/>
              </w:rPr>
              <w:t>≤70</w:t>
            </w:r>
          </w:p>
        </w:tc>
        <w:tc>
          <w:tcPr>
            <w:tcW w:w="1140" w:type="dxa"/>
            <w:tcBorders>
              <w:top w:val="single" w:sz="6" w:space="0" w:color="000000"/>
              <w:left w:val="single" w:sz="6" w:space="0" w:color="000000"/>
              <w:right w:val="single" w:sz="6" w:space="0" w:color="000000"/>
            </w:tcBorders>
          </w:tcPr>
          <w:p>
            <w:pPr>
              <w:pStyle w:val="TableParagraph"/>
              <w:spacing w:before="60"/>
              <w:ind w:left="104" w:right="75"/>
              <w:rPr>
                <w:sz w:val="21"/>
              </w:rPr>
            </w:pPr>
            <w:r>
              <w:rPr>
                <w:sz w:val="21"/>
              </w:rPr>
              <w:t>≤7</w:t>
            </w:r>
          </w:p>
        </w:tc>
        <w:tc>
          <w:tcPr>
            <w:tcW w:w="1139" w:type="dxa"/>
            <w:tcBorders>
              <w:top w:val="single" w:sz="6" w:space="0" w:color="000000"/>
              <w:left w:val="single" w:sz="6" w:space="0" w:color="000000"/>
              <w:right w:val="single" w:sz="6" w:space="0" w:color="000000"/>
            </w:tcBorders>
          </w:tcPr>
          <w:p>
            <w:pPr>
              <w:pStyle w:val="TableParagraph"/>
              <w:spacing w:before="60"/>
              <w:ind w:left="98" w:right="66"/>
              <w:rPr>
                <w:sz w:val="21"/>
              </w:rPr>
            </w:pPr>
            <w:r>
              <w:rPr>
                <w:sz w:val="21"/>
              </w:rPr>
              <w:t>≤70</w:t>
            </w:r>
          </w:p>
        </w:tc>
        <w:tc>
          <w:tcPr>
            <w:tcW w:w="1137" w:type="dxa"/>
            <w:tcBorders>
              <w:top w:val="single" w:sz="6" w:space="0" w:color="000000"/>
              <w:left w:val="single" w:sz="6" w:space="0" w:color="000000"/>
            </w:tcBorders>
          </w:tcPr>
          <w:p>
            <w:pPr>
              <w:pStyle w:val="TableParagraph"/>
              <w:spacing w:before="60"/>
              <w:ind w:left="107" w:right="64"/>
              <w:rPr>
                <w:sz w:val="21"/>
              </w:rPr>
            </w:pPr>
            <w:r>
              <w:rPr>
                <w:sz w:val="21"/>
              </w:rPr>
              <w:t>≤400</w:t>
            </w:r>
          </w:p>
        </w:tc>
      </w:tr>
    </w:tbl>
    <w:p>
      <w:pPr>
        <w:spacing w:before="84"/>
        <w:ind w:left="719" w:right="0" w:firstLine="0"/>
        <w:jc w:val="left"/>
        <w:rPr>
          <w:b/>
          <w:sz w:val="24"/>
        </w:rPr>
      </w:pPr>
      <w:r>
        <w:rPr>
          <w:rFonts w:ascii="Times New Roman" w:eastAsia="Times New Roman"/>
          <w:b/>
          <w:sz w:val="24"/>
        </w:rPr>
        <w:t>3</w:t>
      </w:r>
      <w:r>
        <w:rPr>
          <w:b/>
          <w:sz w:val="24"/>
        </w:rPr>
        <w:t>、其他要求</w:t>
      </w:r>
    </w:p>
    <w:p>
      <w:pPr>
        <w:pStyle w:val="ListParagraph"/>
        <w:numPr>
          <w:ilvl w:val="0"/>
          <w:numId w:val="91"/>
        </w:numPr>
        <w:tabs>
          <w:tab w:pos="1079" w:val="left" w:leader="none"/>
        </w:tabs>
        <w:spacing w:line="364" w:lineRule="auto" w:before="161" w:after="0"/>
        <w:ind w:left="237" w:right="254" w:firstLine="480"/>
        <w:jc w:val="both"/>
        <w:rPr>
          <w:sz w:val="24"/>
        </w:rPr>
      </w:pPr>
      <w:r>
        <w:rPr>
          <w:sz w:val="24"/>
        </w:rPr>
        <w:t>严格执行</w:t>
      </w:r>
      <w:r>
        <w:rPr>
          <w:rFonts w:ascii="Times New Roman" w:hAnsi="Times New Roman" w:eastAsia="Times New Roman"/>
          <w:position w:val="1"/>
          <w:sz w:val="24"/>
        </w:rPr>
        <w:t>“</w:t>
      </w:r>
      <w:r>
        <w:rPr>
          <w:sz w:val="24"/>
        </w:rPr>
        <w:t>三同时</w:t>
      </w:r>
      <w:r>
        <w:rPr>
          <w:rFonts w:ascii="Times New Roman" w:hAnsi="Times New Roman" w:eastAsia="Times New Roman"/>
          <w:position w:val="1"/>
          <w:sz w:val="24"/>
        </w:rPr>
        <w:t>”</w:t>
      </w:r>
      <w:r>
        <w:rPr>
          <w:spacing w:val="-1"/>
          <w:sz w:val="24"/>
        </w:rPr>
        <w:t>制度，项目建成运行一段时间且各设施进入稳定运行后，必须</w:t>
      </w:r>
      <w:r>
        <w:rPr>
          <w:spacing w:val="-4"/>
          <w:sz w:val="24"/>
        </w:rPr>
        <w:t>向环保及其他有关部门提交运行情况总结、验收监测报告及其</w:t>
      </w:r>
      <w:r>
        <w:rPr>
          <w:rFonts w:ascii="Times New Roman" w:hAnsi="Times New Roman" w:eastAsia="Times New Roman"/>
          <w:position w:val="1"/>
          <w:sz w:val="24"/>
        </w:rPr>
        <w:t>“</w:t>
      </w:r>
      <w:r>
        <w:rPr>
          <w:sz w:val="24"/>
        </w:rPr>
        <w:t>三同时</w:t>
      </w:r>
      <w:r>
        <w:rPr>
          <w:rFonts w:ascii="Times New Roman" w:hAnsi="Times New Roman" w:eastAsia="Times New Roman"/>
          <w:position w:val="1"/>
          <w:sz w:val="24"/>
        </w:rPr>
        <w:t>”</w:t>
      </w:r>
      <w:r>
        <w:rPr>
          <w:spacing w:val="-10"/>
          <w:sz w:val="24"/>
        </w:rPr>
        <w:t>执行情况，及时向</w:t>
      </w:r>
      <w:r>
        <w:rPr>
          <w:sz w:val="24"/>
        </w:rPr>
        <w:t>环保局申领项目排污证。</w:t>
      </w:r>
    </w:p>
    <w:p>
      <w:pPr>
        <w:pStyle w:val="ListParagraph"/>
        <w:numPr>
          <w:ilvl w:val="0"/>
          <w:numId w:val="91"/>
        </w:numPr>
        <w:tabs>
          <w:tab w:pos="1079" w:val="left" w:leader="none"/>
        </w:tabs>
        <w:spacing w:line="364" w:lineRule="auto" w:before="2" w:after="0"/>
        <w:ind w:left="237" w:right="251" w:firstLine="480"/>
        <w:jc w:val="both"/>
        <w:rPr>
          <w:sz w:val="24"/>
        </w:rPr>
      </w:pPr>
      <w:r>
        <w:rPr>
          <w:spacing w:val="-4"/>
          <w:sz w:val="24"/>
        </w:rPr>
        <w:t>废水标准化排放口设置：根据省、市环保局的有关要求，企业只能设置一个排污</w:t>
      </w:r>
      <w:r>
        <w:rPr>
          <w:sz w:val="24"/>
        </w:rPr>
        <w:t>口，并设置专门的废水采样口，设立明显的标志。厂区设置一个雨水排放口，并应规范化设置，设立明显的标志牌。</w:t>
      </w:r>
    </w:p>
    <w:p>
      <w:pPr>
        <w:pStyle w:val="ListParagraph"/>
        <w:numPr>
          <w:ilvl w:val="0"/>
          <w:numId w:val="91"/>
        </w:numPr>
        <w:tabs>
          <w:tab w:pos="1079" w:val="left" w:leader="none"/>
        </w:tabs>
        <w:spacing w:line="364" w:lineRule="auto" w:before="2" w:after="0"/>
        <w:ind w:left="237" w:right="255" w:firstLine="480"/>
        <w:jc w:val="left"/>
        <w:rPr>
          <w:sz w:val="24"/>
        </w:rPr>
      </w:pPr>
      <w:r>
        <w:rPr>
          <w:spacing w:val="-3"/>
          <w:sz w:val="24"/>
        </w:rPr>
        <w:t>加强污水站的职工培训，制定各项规章制度和操作规程，工作人员实行岗位责任</w:t>
      </w:r>
      <w:r>
        <w:rPr>
          <w:sz w:val="24"/>
        </w:rPr>
        <w:t>制，避免员工操作失误造成的污染事故。</w:t>
      </w:r>
    </w:p>
    <w:p>
      <w:pPr>
        <w:pStyle w:val="ListParagraph"/>
        <w:numPr>
          <w:ilvl w:val="0"/>
          <w:numId w:val="91"/>
        </w:numPr>
        <w:tabs>
          <w:tab w:pos="1079" w:val="left" w:leader="none"/>
        </w:tabs>
        <w:spacing w:line="364" w:lineRule="auto" w:before="1" w:after="0"/>
        <w:ind w:left="237" w:right="253" w:firstLine="480"/>
        <w:jc w:val="left"/>
        <w:rPr>
          <w:sz w:val="24"/>
        </w:rPr>
      </w:pPr>
      <w:r>
        <w:rPr>
          <w:spacing w:val="-3"/>
          <w:sz w:val="24"/>
        </w:rPr>
        <w:t>根据《浙江省生猪养殖业环境准入指导意见</w:t>
      </w:r>
      <w:r>
        <w:rPr>
          <w:sz w:val="24"/>
        </w:rPr>
        <w:t>（修订</w:t>
      </w:r>
      <w:r>
        <w:rPr>
          <w:spacing w:val="-5"/>
          <w:sz w:val="24"/>
        </w:rPr>
        <w:t>）》的规定，废水处理设施应</w:t>
      </w:r>
      <w:r>
        <w:rPr>
          <w:sz w:val="24"/>
        </w:rPr>
        <w:t>设置标准的废水排放口和检查井，并按照相关规定设置在线监测设施。</w:t>
      </w:r>
    </w:p>
    <w:p>
      <w:pPr>
        <w:spacing w:after="0" w:line="364" w:lineRule="auto"/>
        <w:jc w:val="left"/>
        <w:rPr>
          <w:sz w:val="24"/>
        </w:rPr>
        <w:sectPr>
          <w:footerReference w:type="default" r:id="rId151"/>
          <w:pgSz w:w="11910" w:h="16840"/>
          <w:pgMar w:footer="1004" w:header="874" w:top="1420" w:bottom="1200" w:left="1040" w:right="1160"/>
        </w:sectPr>
      </w:pPr>
    </w:p>
    <w:p>
      <w:pPr>
        <w:pStyle w:val="Heading3"/>
        <w:numPr>
          <w:ilvl w:val="2"/>
          <w:numId w:val="88"/>
        </w:numPr>
        <w:tabs>
          <w:tab w:pos="838" w:val="left" w:leader="none"/>
        </w:tabs>
        <w:spacing w:line="240" w:lineRule="auto" w:before="92" w:after="0"/>
        <w:ind w:left="837" w:right="0" w:hanging="601"/>
        <w:jc w:val="left"/>
      </w:pPr>
      <w:bookmarkStart w:name="_bookmark103" w:id="199"/>
      <w:bookmarkEnd w:id="199"/>
      <w:r>
        <w:rPr>
          <w:b w:val="0"/>
        </w:rPr>
      </w:r>
      <w:bookmarkStart w:name="_bookmark103" w:id="200"/>
      <w:bookmarkEnd w:id="200"/>
      <w:r>
        <w:rPr/>
        <w:t>废气污染防治对策</w:t>
      </w:r>
    </w:p>
    <w:p>
      <w:pPr>
        <w:spacing w:before="160"/>
        <w:ind w:left="719" w:right="0" w:firstLine="0"/>
        <w:jc w:val="left"/>
        <w:rPr>
          <w:b/>
          <w:sz w:val="24"/>
        </w:rPr>
      </w:pPr>
      <w:r>
        <w:rPr>
          <w:rFonts w:ascii="Times New Roman" w:eastAsia="Times New Roman"/>
          <w:b/>
          <w:sz w:val="24"/>
        </w:rPr>
        <w:t>1</w:t>
      </w:r>
      <w:r>
        <w:rPr>
          <w:b/>
          <w:sz w:val="24"/>
        </w:rPr>
        <w:t>、猪舍臭气（无组织）</w:t>
      </w:r>
    </w:p>
    <w:p>
      <w:pPr>
        <w:pStyle w:val="BodyText"/>
        <w:spacing w:line="364" w:lineRule="auto" w:before="161"/>
        <w:ind w:right="249" w:firstLine="480"/>
        <w:jc w:val="both"/>
      </w:pPr>
      <w:r>
        <w:rPr/>
        <w:t>规模化猪场粪尿产生的恶臭由于污染猪场及周围空气使猪生产性能下降、影响人体健康而越来越受重视。科学研究和生产实践均已证明，由粪便产生的氨气和硫化氢，浓度低时可降低猪的生产性能，浓度高时可使仔猪中毒死亡，使猪场工作人员健康受损， 易患呼吸道疾病。本环评类比同类企业，对猪舍臭气控制提出如下措施：</w:t>
      </w:r>
    </w:p>
    <w:p>
      <w:pPr>
        <w:pStyle w:val="Heading3"/>
        <w:numPr>
          <w:ilvl w:val="0"/>
          <w:numId w:val="92"/>
        </w:numPr>
        <w:tabs>
          <w:tab w:pos="1323" w:val="left" w:leader="none"/>
        </w:tabs>
        <w:spacing w:line="240" w:lineRule="auto" w:before="2" w:after="0"/>
        <w:ind w:left="1323" w:right="0" w:hanging="604"/>
        <w:jc w:val="left"/>
      </w:pPr>
      <w:r>
        <w:rPr/>
        <w:t>源头控制</w:t>
      </w:r>
    </w:p>
    <w:p>
      <w:pPr>
        <w:pStyle w:val="ListParagraph"/>
        <w:numPr>
          <w:ilvl w:val="0"/>
          <w:numId w:val="93"/>
        </w:numPr>
        <w:tabs>
          <w:tab w:pos="1079" w:val="left" w:leader="none"/>
        </w:tabs>
        <w:spacing w:line="364" w:lineRule="auto" w:before="161" w:after="0"/>
        <w:ind w:left="237" w:right="249" w:firstLine="480"/>
        <w:jc w:val="both"/>
        <w:rPr>
          <w:sz w:val="24"/>
        </w:rPr>
      </w:pPr>
      <w:r>
        <w:rPr>
          <w:spacing w:val="-2"/>
          <w:sz w:val="24"/>
        </w:rPr>
        <w:t>通过日粮调控可减少猪舍臭味。利用合成氨基酸降低饲粮粗蛋白质含量，从而降低氮的排泄量；在日粮中添加可发酵碳水化合物（</w:t>
      </w:r>
      <w:r>
        <w:rPr>
          <w:spacing w:val="1"/>
          <w:sz w:val="24"/>
        </w:rPr>
        <w:t>如 </w:t>
      </w:r>
      <w:r>
        <w:rPr>
          <w:rFonts w:ascii="Times New Roman" w:hAnsi="Times New Roman" w:eastAsia="Times New Roman"/>
          <w:position w:val="1"/>
          <w:sz w:val="24"/>
        </w:rPr>
        <w:t>β-</w:t>
      </w:r>
      <w:r>
        <w:rPr>
          <w:sz w:val="24"/>
        </w:rPr>
        <w:t>葡聚糖、纤维素）可降低氨的释放；果寡糖能改变胃肠道后段挥发性脂肪酸的产生，减少总需氧菌量（大肠杆菌）增加双歧杆菌，减少排泄物中臭味成分。</w:t>
      </w:r>
    </w:p>
    <w:p>
      <w:pPr>
        <w:pStyle w:val="ListParagraph"/>
        <w:numPr>
          <w:ilvl w:val="0"/>
          <w:numId w:val="93"/>
        </w:numPr>
        <w:tabs>
          <w:tab w:pos="1079" w:val="left" w:leader="none"/>
        </w:tabs>
        <w:spacing w:line="364" w:lineRule="auto" w:before="3" w:after="0"/>
        <w:ind w:left="237" w:right="129" w:firstLine="480"/>
        <w:jc w:val="left"/>
        <w:rPr>
          <w:sz w:val="24"/>
        </w:rPr>
      </w:pPr>
      <w:r>
        <w:rPr>
          <w:spacing w:val="-8"/>
          <w:sz w:val="24"/>
        </w:rPr>
        <w:t>由于健康猪的粪便产生恶臭少，腹泻粪便恶臭剧烈。在饲料中添加沸石或 </w:t>
      </w:r>
      <w:r>
        <w:rPr>
          <w:rFonts w:ascii="Times New Roman" w:eastAsia="Times New Roman"/>
          <w:position w:val="1"/>
          <w:sz w:val="24"/>
        </w:rPr>
        <w:t>EM </w:t>
      </w:r>
      <w:r>
        <w:rPr>
          <w:sz w:val="24"/>
        </w:rPr>
        <w:t>液</w:t>
      </w:r>
      <w:r>
        <w:rPr>
          <w:spacing w:val="-8"/>
          <w:sz w:val="24"/>
        </w:rPr>
        <w:t>，使用 </w:t>
      </w:r>
      <w:r>
        <w:rPr>
          <w:rFonts w:ascii="Times New Roman" w:eastAsia="Times New Roman"/>
          <w:position w:val="1"/>
          <w:sz w:val="24"/>
        </w:rPr>
        <w:t>EM</w:t>
      </w:r>
      <w:r>
        <w:rPr>
          <w:rFonts w:ascii="Times New Roman" w:eastAsia="Times New Roman"/>
          <w:spacing w:val="48"/>
          <w:position w:val="1"/>
          <w:sz w:val="24"/>
        </w:rPr>
        <w:t> </w:t>
      </w:r>
      <w:r>
        <w:rPr>
          <w:spacing w:val="-1"/>
          <w:sz w:val="24"/>
        </w:rPr>
        <w:t>之类的活菌剂或酶类可以显著减少臭气，而使用沸石之类的具有较强吸附能力的饲料添加剂也能明显减轻恶臭。</w:t>
      </w:r>
    </w:p>
    <w:p>
      <w:pPr>
        <w:pStyle w:val="ListParagraph"/>
        <w:numPr>
          <w:ilvl w:val="0"/>
          <w:numId w:val="93"/>
        </w:numPr>
        <w:tabs>
          <w:tab w:pos="1079" w:val="left" w:leader="none"/>
        </w:tabs>
        <w:spacing w:line="364" w:lineRule="auto" w:before="1" w:after="0"/>
        <w:ind w:left="237" w:right="255" w:firstLine="480"/>
        <w:jc w:val="left"/>
        <w:rPr>
          <w:sz w:val="24"/>
        </w:rPr>
      </w:pPr>
      <w:r>
        <w:rPr>
          <w:spacing w:val="-3"/>
          <w:sz w:val="24"/>
        </w:rPr>
        <w:t>正确设置猪场内的建筑设施，猪场内要建硬质的有一定坡度的水泥路面，生产区</w:t>
      </w:r>
      <w:r>
        <w:rPr>
          <w:sz w:val="24"/>
        </w:rPr>
        <w:t>要设有喷雾降温除尘系统，有充足的供水和通畅的排水系统，要经常性喷雾降尘。</w:t>
      </w:r>
    </w:p>
    <w:p>
      <w:pPr>
        <w:pStyle w:val="ListParagraph"/>
        <w:numPr>
          <w:ilvl w:val="0"/>
          <w:numId w:val="93"/>
        </w:numPr>
        <w:tabs>
          <w:tab w:pos="1079" w:val="left" w:leader="none"/>
        </w:tabs>
        <w:spacing w:line="240" w:lineRule="auto" w:before="2" w:after="0"/>
        <w:ind w:left="1078" w:right="0" w:hanging="362"/>
        <w:jc w:val="left"/>
        <w:rPr>
          <w:sz w:val="24"/>
        </w:rPr>
      </w:pPr>
      <w:r>
        <w:rPr>
          <w:sz w:val="24"/>
        </w:rPr>
        <w:t>在猪舍地面、垫料上撒沸石粉、过磷酸钙等降低恶臭气体浓度。</w:t>
      </w:r>
    </w:p>
    <w:p>
      <w:pPr>
        <w:pStyle w:val="ListParagraph"/>
        <w:numPr>
          <w:ilvl w:val="0"/>
          <w:numId w:val="93"/>
        </w:numPr>
        <w:tabs>
          <w:tab w:pos="1079" w:val="left" w:leader="none"/>
        </w:tabs>
        <w:spacing w:line="240" w:lineRule="auto" w:before="160" w:after="0"/>
        <w:ind w:left="1078" w:right="0" w:hanging="362"/>
        <w:jc w:val="left"/>
        <w:rPr>
          <w:sz w:val="24"/>
        </w:rPr>
      </w:pPr>
      <w:r>
        <w:rPr>
          <w:sz w:val="24"/>
        </w:rPr>
        <w:t>严格实行企业制定的猪场消毒制度，可显著降低恶臭和氨气等有害气体浓度。</w:t>
      </w:r>
    </w:p>
    <w:p>
      <w:pPr>
        <w:pStyle w:val="Heading3"/>
        <w:numPr>
          <w:ilvl w:val="0"/>
          <w:numId w:val="92"/>
        </w:numPr>
        <w:tabs>
          <w:tab w:pos="1323" w:val="left" w:leader="none"/>
        </w:tabs>
        <w:spacing w:line="240" w:lineRule="auto" w:before="161" w:after="0"/>
        <w:ind w:left="1323" w:right="0" w:hanging="604"/>
        <w:jc w:val="left"/>
      </w:pPr>
      <w:r>
        <w:rPr/>
        <w:t>过程控制</w:t>
      </w:r>
    </w:p>
    <w:p>
      <w:pPr>
        <w:pStyle w:val="ListParagraph"/>
        <w:numPr>
          <w:ilvl w:val="0"/>
          <w:numId w:val="94"/>
        </w:numPr>
        <w:tabs>
          <w:tab w:pos="1079" w:val="left" w:leader="none"/>
        </w:tabs>
        <w:spacing w:line="364" w:lineRule="auto" w:before="160" w:after="0"/>
        <w:ind w:left="237" w:right="130" w:firstLine="480"/>
        <w:jc w:val="left"/>
        <w:rPr>
          <w:sz w:val="24"/>
        </w:rPr>
      </w:pPr>
      <w:r>
        <w:rPr>
          <w:spacing w:val="-8"/>
          <w:sz w:val="24"/>
        </w:rPr>
        <w:t>做好猪场粪便的管理，在猪舍内加强通风，加速粪便干燥，就可减少臭气的产生</w:t>
      </w:r>
      <w:r>
        <w:rPr>
          <w:spacing w:val="-6"/>
          <w:sz w:val="24"/>
        </w:rPr>
        <w:t>，采取清污分流和粪尿分离的干湿分离措施，对舍内粪便及时清扫，同时使畜体保持清洁</w:t>
      </w:r>
      <w:r>
        <w:rPr>
          <w:spacing w:val="-4"/>
          <w:sz w:val="24"/>
        </w:rPr>
        <w:t>，及时洗去地面的粪便，安排好粪便处理时间，建议安排在气温较低的无风日进行。收集起来的猪粪及时接入发酵罐处理，减少猪粪在堆放过程中臭气的产生和逸出。</w:t>
      </w:r>
    </w:p>
    <w:p>
      <w:pPr>
        <w:pStyle w:val="ListParagraph"/>
        <w:numPr>
          <w:ilvl w:val="0"/>
          <w:numId w:val="94"/>
        </w:numPr>
        <w:tabs>
          <w:tab w:pos="1079" w:val="left" w:leader="none"/>
        </w:tabs>
        <w:spacing w:line="362" w:lineRule="auto" w:before="4" w:after="0"/>
        <w:ind w:left="237" w:right="132" w:firstLine="480"/>
        <w:jc w:val="left"/>
        <w:rPr>
          <w:sz w:val="24"/>
        </w:rPr>
      </w:pPr>
      <w:r>
        <w:rPr>
          <w:spacing w:val="-3"/>
          <w:sz w:val="24"/>
        </w:rPr>
        <w:t>采取舍内环控系统，猪舍内恶臭的产生与排放，与舍内环境</w:t>
      </w:r>
      <w:r>
        <w:rPr>
          <w:sz w:val="24"/>
        </w:rPr>
        <w:t>（</w:t>
      </w:r>
      <w:r>
        <w:rPr>
          <w:spacing w:val="-2"/>
          <w:sz w:val="24"/>
        </w:rPr>
        <w:t>温度、湿度和风速</w:t>
      </w:r>
      <w:r>
        <w:rPr>
          <w:spacing w:val="-2"/>
          <w:position w:val="2"/>
          <w:sz w:val="24"/>
        </w:rPr>
        <w:t>等）</w:t>
      </w:r>
      <w:r>
        <w:rPr>
          <w:spacing w:val="-5"/>
          <w:position w:val="2"/>
          <w:sz w:val="24"/>
        </w:rPr>
        <w:t>直接相关。猪舍内通风、温度等环控操作，与 </w:t>
      </w:r>
      <w:r>
        <w:rPr>
          <w:rFonts w:ascii="Times New Roman" w:eastAsia="Times New Roman"/>
          <w:position w:val="2"/>
          <w:sz w:val="24"/>
        </w:rPr>
        <w:t>NH</w:t>
      </w:r>
      <w:r>
        <w:rPr>
          <w:rFonts w:ascii="Times New Roman" w:eastAsia="Times New Roman"/>
          <w:sz w:val="16"/>
        </w:rPr>
        <w:t>3</w:t>
      </w:r>
      <w:r>
        <w:rPr>
          <w:position w:val="2"/>
          <w:sz w:val="24"/>
        </w:rPr>
        <w:t>、</w:t>
      </w:r>
      <w:r>
        <w:rPr>
          <w:rFonts w:ascii="Times New Roman" w:eastAsia="Times New Roman"/>
          <w:position w:val="2"/>
          <w:sz w:val="24"/>
        </w:rPr>
        <w:t>H</w:t>
      </w:r>
      <w:r>
        <w:rPr>
          <w:rFonts w:ascii="Times New Roman" w:eastAsia="Times New Roman"/>
          <w:sz w:val="16"/>
        </w:rPr>
        <w:t>2</w:t>
      </w:r>
      <w:r>
        <w:rPr>
          <w:rFonts w:ascii="Times New Roman" w:eastAsia="Times New Roman"/>
          <w:position w:val="2"/>
          <w:sz w:val="24"/>
        </w:rPr>
        <w:t>S</w:t>
      </w:r>
      <w:r>
        <w:rPr>
          <w:rFonts w:ascii="Times New Roman" w:eastAsia="Times New Roman"/>
          <w:spacing w:val="1"/>
          <w:position w:val="2"/>
          <w:sz w:val="24"/>
        </w:rPr>
        <w:t> </w:t>
      </w:r>
      <w:r>
        <w:rPr>
          <w:spacing w:val="-3"/>
          <w:position w:val="2"/>
          <w:sz w:val="24"/>
        </w:rPr>
        <w:t>等恶臭浓度控制目标联动。</w:t>
      </w:r>
    </w:p>
    <w:p>
      <w:pPr>
        <w:pStyle w:val="ListParagraph"/>
        <w:numPr>
          <w:ilvl w:val="0"/>
          <w:numId w:val="94"/>
        </w:numPr>
        <w:tabs>
          <w:tab w:pos="1079" w:val="left" w:leader="none"/>
        </w:tabs>
        <w:spacing w:line="364" w:lineRule="auto" w:before="7" w:after="0"/>
        <w:ind w:left="237" w:right="253" w:firstLine="480"/>
        <w:jc w:val="left"/>
        <w:rPr>
          <w:sz w:val="24"/>
        </w:rPr>
      </w:pPr>
      <w:r>
        <w:rPr>
          <w:spacing w:val="-4"/>
          <w:sz w:val="24"/>
        </w:rPr>
        <w:t>在舍内安装喷雾设备，定期进行喷雾，并在喷雾溶液中添加植物提取剂、微生物</w:t>
      </w:r>
      <w:r>
        <w:rPr>
          <w:sz w:val="24"/>
        </w:rPr>
        <w:t>除臭剂，空栏阶段喷洒微酸性电解水，可有效降低舍内的臭气浓度。</w:t>
      </w:r>
    </w:p>
    <w:p>
      <w:pPr>
        <w:pStyle w:val="ListParagraph"/>
        <w:numPr>
          <w:ilvl w:val="0"/>
          <w:numId w:val="94"/>
        </w:numPr>
        <w:tabs>
          <w:tab w:pos="1079" w:val="left" w:leader="none"/>
        </w:tabs>
        <w:spacing w:line="240" w:lineRule="auto" w:before="1" w:after="0"/>
        <w:ind w:left="1078" w:right="0" w:hanging="362"/>
        <w:jc w:val="left"/>
        <w:rPr>
          <w:sz w:val="24"/>
        </w:rPr>
      </w:pPr>
      <w:r>
        <w:rPr>
          <w:sz w:val="24"/>
        </w:rPr>
        <w:t>对猪舍内的污水收集沟渠加盖，避免腐败发酵的恶臭气体扩散。</w:t>
      </w:r>
    </w:p>
    <w:p>
      <w:pPr>
        <w:pStyle w:val="ListParagraph"/>
        <w:numPr>
          <w:ilvl w:val="0"/>
          <w:numId w:val="94"/>
        </w:numPr>
        <w:tabs>
          <w:tab w:pos="1079" w:val="left" w:leader="none"/>
        </w:tabs>
        <w:spacing w:line="240" w:lineRule="auto" w:before="160" w:after="0"/>
        <w:ind w:left="1078" w:right="0" w:hanging="362"/>
        <w:jc w:val="left"/>
        <w:rPr>
          <w:sz w:val="24"/>
        </w:rPr>
      </w:pPr>
      <w:r>
        <w:rPr>
          <w:spacing w:val="-3"/>
          <w:sz w:val="24"/>
        </w:rPr>
        <w:t>猪舍及时清粪送至集粪间，不要在猪舍内长期堆积，避免污染墙壁和地面，同时</w:t>
      </w:r>
    </w:p>
    <w:p>
      <w:pPr>
        <w:spacing w:after="0" w:line="240" w:lineRule="auto"/>
        <w:jc w:val="left"/>
        <w:rPr>
          <w:sz w:val="24"/>
        </w:rPr>
        <w:sectPr>
          <w:footerReference w:type="default" r:id="rId152"/>
          <w:pgSz w:w="11910" w:h="16840"/>
          <w:pgMar w:footer="1004" w:header="874" w:top="1420" w:bottom="1200" w:left="1040" w:right="1160"/>
          <w:pgNumType w:start="181"/>
        </w:sectPr>
      </w:pPr>
    </w:p>
    <w:p>
      <w:pPr>
        <w:pStyle w:val="BodyText"/>
        <w:spacing w:before="92"/>
      </w:pPr>
      <w:r>
        <w:rPr/>
        <w:t>减少恶臭淤积扩散。</w:t>
      </w:r>
    </w:p>
    <w:p>
      <w:pPr>
        <w:pStyle w:val="ListParagraph"/>
        <w:numPr>
          <w:ilvl w:val="0"/>
          <w:numId w:val="94"/>
        </w:numPr>
        <w:tabs>
          <w:tab w:pos="1079" w:val="left" w:leader="none"/>
        </w:tabs>
        <w:spacing w:line="364" w:lineRule="auto" w:before="160" w:after="0"/>
        <w:ind w:left="237" w:right="252" w:firstLine="480"/>
        <w:jc w:val="both"/>
        <w:rPr>
          <w:sz w:val="24"/>
        </w:rPr>
      </w:pPr>
      <w:r>
        <w:rPr>
          <w:spacing w:val="-5"/>
          <w:sz w:val="24"/>
        </w:rPr>
        <w:t>建议在春、夏季节使用掩臭剂、氧化剂处理未及时处置的粪便；在不利于污染物</w:t>
      </w:r>
      <w:r>
        <w:rPr>
          <w:spacing w:val="-4"/>
          <w:sz w:val="24"/>
        </w:rPr>
        <w:t>稀释扩散的气象条件下，每天增加 </w:t>
      </w:r>
      <w:r>
        <w:rPr>
          <w:rFonts w:ascii="Times New Roman" w:eastAsia="Times New Roman"/>
          <w:position w:val="1"/>
          <w:sz w:val="24"/>
        </w:rPr>
        <w:t>1~2</w:t>
      </w:r>
      <w:r>
        <w:rPr>
          <w:rFonts w:ascii="Times New Roman" w:eastAsia="Times New Roman"/>
          <w:spacing w:val="-1"/>
          <w:position w:val="1"/>
          <w:sz w:val="24"/>
        </w:rPr>
        <w:t> </w:t>
      </w:r>
      <w:r>
        <w:rPr>
          <w:sz w:val="24"/>
        </w:rPr>
        <w:t>次猪粪的收集次数，减少堆积臭气的排放。</w:t>
      </w:r>
    </w:p>
    <w:p>
      <w:pPr>
        <w:pStyle w:val="ListParagraph"/>
        <w:numPr>
          <w:ilvl w:val="0"/>
          <w:numId w:val="94"/>
        </w:numPr>
        <w:tabs>
          <w:tab w:pos="1079" w:val="left" w:leader="none"/>
        </w:tabs>
        <w:spacing w:line="364" w:lineRule="auto" w:before="1" w:after="0"/>
        <w:ind w:left="237" w:right="131" w:firstLine="480"/>
        <w:jc w:val="both"/>
        <w:rPr>
          <w:sz w:val="24"/>
        </w:rPr>
      </w:pPr>
      <w:r>
        <w:rPr>
          <w:spacing w:val="-2"/>
          <w:sz w:val="24"/>
        </w:rPr>
        <w:t>为防止粪便暂存过程的二次污染，集粪间须设为密闭车间，减少恶臭气体的大范围扩散，尽量缩短粪便的暂存周期，及时进入发酵罐处理。集粪间应采取有效的防渗措</w:t>
      </w:r>
      <w:r>
        <w:rPr>
          <w:spacing w:val="-6"/>
          <w:sz w:val="24"/>
        </w:rPr>
        <w:t>施，防止污染地下水。粪肥堆放时，建议使用掩臭剂，氧化剂处理，以减少臭气的散发。</w:t>
      </w:r>
    </w:p>
    <w:p>
      <w:pPr>
        <w:pStyle w:val="ListParagraph"/>
        <w:numPr>
          <w:ilvl w:val="0"/>
          <w:numId w:val="94"/>
        </w:numPr>
        <w:tabs>
          <w:tab w:pos="1079" w:val="left" w:leader="none"/>
        </w:tabs>
        <w:spacing w:line="364" w:lineRule="auto" w:before="2" w:after="0"/>
        <w:ind w:left="237" w:right="249" w:firstLine="480"/>
        <w:jc w:val="both"/>
        <w:rPr>
          <w:sz w:val="24"/>
        </w:rPr>
      </w:pPr>
      <w:r>
        <w:rPr>
          <w:spacing w:val="-3"/>
          <w:sz w:val="24"/>
        </w:rPr>
        <w:t>加强场区的绿化工作、对改善场区内小环境有重要意义。绿化可以吸尘灭菌、降低噪声、净化空气防疫隔离、防暑防寒。绿化工作应做到常绿植物和落叶植物相结合、灌木和草坪相结合配制原则，把养殖场建设成为一个四季常绿、空气清新的生态化养殖场。如按全年主导风向的上风向设防护林、在养殖场的周围设隔离林、猪舍之间、道路两旁进行遮阴绿化、场区裸露地面上种植花草。同时还应科学的选择园艺花卉品种，尽量选择对恶臭气体有一定吸收作用的植物，并加大绿化面积，派专人管理、维护场区绿化工作。经研究发现，绿色植物对空气污染具有很好的净化作用，不光是叶子，植物的根以及土壤里的细菌都能有效清除有害气体。建议在养殖场周围栽种较高大绿色植物如石榴等形成绿色屏障，减少对附近居民的危害。在场区的院墙上可以选择攀缘性强的蔷薇；进场额道路两侧、场区内空地上以及办公室等种植月季等。这些植物都能很好的吸</w:t>
      </w:r>
      <w:r>
        <w:rPr>
          <w:spacing w:val="-32"/>
          <w:position w:val="2"/>
          <w:sz w:val="24"/>
        </w:rPr>
        <w:t>收 </w:t>
      </w:r>
      <w:r>
        <w:rPr>
          <w:rFonts w:ascii="Times New Roman" w:eastAsia="Times New Roman"/>
          <w:position w:val="2"/>
          <w:sz w:val="24"/>
        </w:rPr>
        <w:t>H</w:t>
      </w:r>
      <w:r>
        <w:rPr>
          <w:rFonts w:ascii="Times New Roman" w:eastAsia="Times New Roman"/>
          <w:sz w:val="16"/>
        </w:rPr>
        <w:t>2</w:t>
      </w:r>
      <w:r>
        <w:rPr>
          <w:rFonts w:ascii="Times New Roman" w:eastAsia="Times New Roman"/>
          <w:position w:val="2"/>
          <w:sz w:val="24"/>
        </w:rPr>
        <w:t>S</w:t>
      </w:r>
      <w:r>
        <w:rPr>
          <w:position w:val="2"/>
          <w:sz w:val="24"/>
        </w:rPr>
        <w:t>、</w:t>
      </w:r>
      <w:r>
        <w:rPr>
          <w:rFonts w:ascii="Times New Roman" w:eastAsia="Times New Roman"/>
          <w:position w:val="2"/>
          <w:sz w:val="24"/>
        </w:rPr>
        <w:t>NH</w:t>
      </w:r>
      <w:r>
        <w:rPr>
          <w:rFonts w:ascii="Times New Roman" w:eastAsia="Times New Roman"/>
          <w:sz w:val="16"/>
        </w:rPr>
        <w:t>3</w:t>
      </w:r>
      <w:r>
        <w:rPr>
          <w:rFonts w:ascii="Times New Roman" w:eastAsia="Times New Roman"/>
          <w:spacing w:val="2"/>
          <w:sz w:val="16"/>
        </w:rPr>
        <w:t> </w:t>
      </w:r>
      <w:r>
        <w:rPr>
          <w:spacing w:val="-8"/>
          <w:position w:val="2"/>
          <w:sz w:val="24"/>
        </w:rPr>
        <w:t>等气体，具有减降 </w:t>
      </w:r>
      <w:r>
        <w:rPr>
          <w:rFonts w:ascii="Times New Roman" w:eastAsia="Times New Roman"/>
          <w:position w:val="2"/>
          <w:sz w:val="24"/>
        </w:rPr>
        <w:t>H</w:t>
      </w:r>
      <w:r>
        <w:rPr>
          <w:rFonts w:ascii="Times New Roman" w:eastAsia="Times New Roman"/>
          <w:sz w:val="16"/>
        </w:rPr>
        <w:t>2</w:t>
      </w:r>
      <w:r>
        <w:rPr>
          <w:rFonts w:ascii="Times New Roman" w:eastAsia="Times New Roman"/>
          <w:position w:val="2"/>
          <w:sz w:val="24"/>
        </w:rPr>
        <w:t>S </w:t>
      </w:r>
      <w:r>
        <w:rPr>
          <w:spacing w:val="-1"/>
          <w:position w:val="2"/>
          <w:sz w:val="24"/>
        </w:rPr>
        <w:t>气体排放量的作用。</w:t>
      </w:r>
    </w:p>
    <w:p>
      <w:pPr>
        <w:pStyle w:val="Heading3"/>
        <w:numPr>
          <w:ilvl w:val="0"/>
          <w:numId w:val="92"/>
        </w:numPr>
        <w:tabs>
          <w:tab w:pos="1323" w:val="left" w:leader="none"/>
        </w:tabs>
        <w:spacing w:line="240" w:lineRule="auto" w:before="8" w:after="0"/>
        <w:ind w:left="1323" w:right="0" w:hanging="604"/>
        <w:jc w:val="left"/>
      </w:pPr>
      <w:r>
        <w:rPr/>
        <w:t>末端治理</w:t>
      </w:r>
    </w:p>
    <w:p>
      <w:pPr>
        <w:pStyle w:val="BodyText"/>
        <w:spacing w:line="364" w:lineRule="auto" w:before="160"/>
        <w:ind w:right="256" w:firstLine="480"/>
      </w:pPr>
      <w:r>
        <w:rPr/>
        <w:drawing>
          <wp:anchor distT="0" distB="0" distL="0" distR="0" allowOverlap="1" layoutInCell="1" locked="0" behindDoc="1" simplePos="0" relativeHeight="187945984">
            <wp:simplePos x="0" y="0"/>
            <wp:positionH relativeFrom="page">
              <wp:posOffset>1611630</wp:posOffset>
            </wp:positionH>
            <wp:positionV relativeFrom="paragraph">
              <wp:posOffset>654558</wp:posOffset>
            </wp:positionV>
            <wp:extent cx="4252467" cy="2554808"/>
            <wp:effectExtent l="0" t="0" r="0" b="0"/>
            <wp:wrapNone/>
            <wp:docPr id="49" name="image81.png"/>
            <wp:cNvGraphicFramePr>
              <a:graphicFrameLocks noChangeAspect="1"/>
            </wp:cNvGraphicFramePr>
            <a:graphic>
              <a:graphicData uri="http://schemas.openxmlformats.org/drawingml/2006/picture">
                <pic:pic>
                  <pic:nvPicPr>
                    <pic:cNvPr id="50" name="image81.png"/>
                    <pic:cNvPicPr/>
                  </pic:nvPicPr>
                  <pic:blipFill>
                    <a:blip r:embed="rId153" cstate="print"/>
                    <a:stretch>
                      <a:fillRect/>
                    </a:stretch>
                  </pic:blipFill>
                  <pic:spPr>
                    <a:xfrm>
                      <a:off x="0" y="0"/>
                      <a:ext cx="4252467" cy="2554808"/>
                    </a:xfrm>
                    <a:prstGeom prst="rect">
                      <a:avLst/>
                    </a:prstGeom>
                  </pic:spPr>
                </pic:pic>
              </a:graphicData>
            </a:graphic>
          </wp:anchor>
        </w:drawing>
      </w:r>
      <w:r>
        <w:rPr/>
        <w:t>根据楼房养殖通风方案的特点制定如下废气处理工艺原理图，每层猪舍对应一套除臭系统。</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9"/>
        <w:ind w:left="0"/>
        <w:rPr>
          <w:sz w:val="28"/>
        </w:rPr>
      </w:pPr>
    </w:p>
    <w:p>
      <w:pPr>
        <w:pStyle w:val="Heading3"/>
        <w:spacing w:before="0"/>
        <w:ind w:left="219" w:right="236"/>
        <w:jc w:val="center"/>
      </w:pPr>
      <w:r>
        <w:rPr/>
        <w:t>图 </w:t>
      </w:r>
      <w:r>
        <w:rPr>
          <w:rFonts w:ascii="Times New Roman" w:eastAsia="Times New Roman"/>
        </w:rPr>
        <w:t>6.2-2  </w:t>
      </w:r>
      <w:r>
        <w:rPr/>
        <w:t>除臭系统工作结构示意图</w:t>
      </w:r>
    </w:p>
    <w:p>
      <w:pPr>
        <w:spacing w:after="0"/>
        <w:jc w:val="center"/>
        <w:sectPr>
          <w:pgSz w:w="11910" w:h="16840"/>
          <w:pgMar w:header="874" w:footer="1004" w:top="1420" w:bottom="1200" w:left="1040" w:right="1160"/>
        </w:sectPr>
      </w:pPr>
    </w:p>
    <w:p>
      <w:pPr>
        <w:pStyle w:val="BodyText"/>
        <w:ind w:left="0"/>
        <w:rPr>
          <w:b/>
          <w:sz w:val="2"/>
        </w:rPr>
      </w:pPr>
    </w:p>
    <w:p>
      <w:pPr>
        <w:pStyle w:val="BodyText"/>
        <w:ind w:left="1182"/>
        <w:rPr>
          <w:sz w:val="20"/>
        </w:rPr>
      </w:pPr>
      <w:r>
        <w:rPr>
          <w:sz w:val="20"/>
        </w:rPr>
        <w:drawing>
          <wp:inline distT="0" distB="0" distL="0" distR="0">
            <wp:extent cx="4627362" cy="3894772"/>
            <wp:effectExtent l="0" t="0" r="0" b="0"/>
            <wp:docPr id="51" name="image82.jpeg"/>
            <wp:cNvGraphicFramePr>
              <a:graphicFrameLocks noChangeAspect="1"/>
            </wp:cNvGraphicFramePr>
            <a:graphic>
              <a:graphicData uri="http://schemas.openxmlformats.org/drawingml/2006/picture">
                <pic:pic>
                  <pic:nvPicPr>
                    <pic:cNvPr id="52" name="image82.jpeg"/>
                    <pic:cNvPicPr/>
                  </pic:nvPicPr>
                  <pic:blipFill>
                    <a:blip r:embed="rId154" cstate="print"/>
                    <a:stretch>
                      <a:fillRect/>
                    </a:stretch>
                  </pic:blipFill>
                  <pic:spPr>
                    <a:xfrm>
                      <a:off x="0" y="0"/>
                      <a:ext cx="4627362" cy="3894772"/>
                    </a:xfrm>
                    <a:prstGeom prst="rect">
                      <a:avLst/>
                    </a:prstGeom>
                  </pic:spPr>
                </pic:pic>
              </a:graphicData>
            </a:graphic>
          </wp:inline>
        </w:drawing>
      </w:r>
      <w:r>
        <w:rPr>
          <w:sz w:val="20"/>
        </w:rPr>
      </w:r>
    </w:p>
    <w:p>
      <w:pPr>
        <w:pStyle w:val="BodyText"/>
        <w:spacing w:before="7"/>
        <w:ind w:left="0"/>
        <w:rPr>
          <w:b/>
          <w:sz w:val="7"/>
        </w:rPr>
      </w:pPr>
    </w:p>
    <w:p>
      <w:pPr>
        <w:spacing w:before="76"/>
        <w:ind w:left="2697" w:right="0" w:firstLine="0"/>
        <w:jc w:val="left"/>
        <w:rPr>
          <w:b/>
          <w:sz w:val="24"/>
        </w:rPr>
      </w:pPr>
      <w:r>
        <w:rPr>
          <w:b/>
          <w:sz w:val="24"/>
        </w:rPr>
        <w:t>图 </w:t>
      </w:r>
      <w:r>
        <w:rPr>
          <w:rFonts w:ascii="Times New Roman" w:eastAsia="Times New Roman"/>
          <w:b/>
          <w:sz w:val="24"/>
        </w:rPr>
        <w:t>6.2-2</w:t>
      </w:r>
      <w:r>
        <w:rPr>
          <w:b/>
          <w:sz w:val="24"/>
        </w:rPr>
        <w:t>（续） 除臭系统工作结构示意图</w:t>
      </w:r>
    </w:p>
    <w:p>
      <w:pPr>
        <w:pStyle w:val="BodyText"/>
        <w:spacing w:line="364" w:lineRule="auto" w:before="160"/>
        <w:ind w:right="130" w:firstLine="482"/>
      </w:pPr>
      <w:r>
        <w:rPr>
          <w:b/>
        </w:rPr>
        <w:t>工艺流程简述：</w:t>
      </w:r>
      <w:r>
        <w:rPr/>
        <w:t>猪舍中的废气通过风机进入废气处理间，废气经过负压通风的原理通过除臭设备。废气经过除臭设备时，由离心泵将蓄水池中经过多级过滤的溶液通过管</w:t>
      </w:r>
      <w:r>
        <w:rPr>
          <w:spacing w:val="-9"/>
        </w:rPr>
        <w:t>路输送和专用抗堵塞大流量喷头喷洒到除臭填料上，填料使用 </w:t>
      </w:r>
      <w:r>
        <w:rPr>
          <w:rFonts w:ascii="Times New Roman" w:hAnsi="Times New Roman" w:eastAsia="Times New Roman"/>
          <w:position w:val="1"/>
        </w:rPr>
        <w:t>PP </w:t>
      </w:r>
      <w:r>
        <w:rPr>
          <w:spacing w:val="-16"/>
        </w:rPr>
        <w:t>高分子抗 </w:t>
      </w:r>
      <w:r>
        <w:rPr>
          <w:rFonts w:ascii="Times New Roman" w:hAnsi="Times New Roman" w:eastAsia="Times New Roman"/>
          <w:position w:val="1"/>
        </w:rPr>
        <w:t>UV </w:t>
      </w:r>
      <w:r>
        <w:rPr>
          <w:spacing w:val="-3"/>
        </w:rPr>
        <w:t>材料制成， </w:t>
      </w:r>
      <w:r>
        <w:rPr>
          <w:spacing w:val="-12"/>
        </w:rPr>
        <w:t>比表面积 </w:t>
      </w:r>
      <w:r>
        <w:rPr>
          <w:rFonts w:ascii="Times New Roman" w:hAnsi="Times New Roman" w:eastAsia="Times New Roman"/>
          <w:spacing w:val="-5"/>
          <w:position w:val="1"/>
        </w:rPr>
        <w:t>125m</w:t>
      </w:r>
      <w:r>
        <w:rPr>
          <w:rFonts w:ascii="Times New Roman" w:hAnsi="Times New Roman" w:eastAsia="Times New Roman"/>
          <w:spacing w:val="-5"/>
          <w:position w:val="1"/>
          <w:vertAlign w:val="superscript"/>
        </w:rPr>
        <w:t>2</w:t>
      </w:r>
      <w:r>
        <w:rPr>
          <w:rFonts w:ascii="Times New Roman" w:hAnsi="Times New Roman" w:eastAsia="Times New Roman"/>
          <w:spacing w:val="-5"/>
          <w:position w:val="1"/>
          <w:vertAlign w:val="baseline"/>
        </w:rPr>
        <w:t>/m</w:t>
      </w:r>
      <w:r>
        <w:rPr>
          <w:spacing w:val="-5"/>
          <w:vertAlign w:val="baseline"/>
        </w:rPr>
        <w:t>³</w:t>
      </w:r>
      <w:r>
        <w:rPr>
          <w:spacing w:val="-14"/>
          <w:vertAlign w:val="baseline"/>
        </w:rPr>
        <w:t>，孔隙率 </w:t>
      </w:r>
      <w:r>
        <w:rPr>
          <w:rFonts w:ascii="Times New Roman" w:hAnsi="Times New Roman" w:eastAsia="Times New Roman"/>
          <w:position w:val="1"/>
          <w:vertAlign w:val="baseline"/>
        </w:rPr>
        <w:t>97%</w:t>
      </w:r>
      <w:r>
        <w:rPr>
          <w:spacing w:val="-11"/>
          <w:vertAlign w:val="baseline"/>
        </w:rPr>
        <w:t>以上，该填料具有比表面积大，孔隙率高，过滤阻力小， </w:t>
      </w:r>
      <w:r>
        <w:rPr>
          <w:spacing w:val="-15"/>
          <w:vertAlign w:val="baseline"/>
        </w:rPr>
        <w:t>压降低等优点。填料的厚度 </w:t>
      </w:r>
      <w:r>
        <w:rPr>
          <w:rFonts w:ascii="Times New Roman" w:hAnsi="Times New Roman" w:eastAsia="Times New Roman"/>
          <w:position w:val="1"/>
          <w:vertAlign w:val="baseline"/>
        </w:rPr>
        <w:t>450mm</w:t>
      </w:r>
      <w:r>
        <w:rPr>
          <w:spacing w:val="-8"/>
          <w:vertAlign w:val="baseline"/>
        </w:rPr>
        <w:t>，全年平均风速 </w:t>
      </w:r>
      <w:r>
        <w:rPr>
          <w:rFonts w:ascii="Times New Roman" w:hAnsi="Times New Roman" w:eastAsia="Times New Roman"/>
          <w:position w:val="1"/>
          <w:vertAlign w:val="baseline"/>
        </w:rPr>
        <w:t>0.8m/s</w:t>
      </w:r>
      <w:r>
        <w:rPr>
          <w:spacing w:val="-8"/>
          <w:vertAlign w:val="baseline"/>
        </w:rPr>
        <w:t>，空床停留时间 </w:t>
      </w:r>
      <w:r>
        <w:rPr>
          <w:rFonts w:ascii="Times New Roman" w:hAnsi="Times New Roman" w:eastAsia="Times New Roman"/>
          <w:position w:val="1"/>
          <w:vertAlign w:val="baseline"/>
        </w:rPr>
        <w:t>0.56s</w:t>
      </w:r>
      <w:r>
        <w:rPr>
          <w:vertAlign w:val="baseline"/>
        </w:rPr>
        <w:t>。</w:t>
      </w:r>
    </w:p>
    <w:p>
      <w:pPr>
        <w:pStyle w:val="BodyText"/>
        <w:spacing w:line="364" w:lineRule="auto" w:before="4"/>
        <w:ind w:right="249" w:firstLine="482"/>
        <w:jc w:val="both"/>
      </w:pPr>
      <w:r>
        <w:rPr>
          <w:b/>
          <w:spacing w:val="-1"/>
        </w:rPr>
        <w:t>通风模式：</w:t>
      </w:r>
      <w:r>
        <w:rPr>
          <w:spacing w:val="-4"/>
        </w:rPr>
        <w:t>根据设计，本项目各类猪舍采用联合通风模式</w:t>
      </w:r>
      <w:r>
        <w:rPr/>
        <w:t>（橫向</w:t>
      </w:r>
      <w:r>
        <w:rPr>
          <w:rFonts w:ascii="Times New Roman" w:eastAsia="Times New Roman"/>
          <w:position w:val="1"/>
        </w:rPr>
        <w:t>+</w:t>
      </w:r>
      <w:r>
        <w:rPr/>
        <w:t>纵向</w:t>
      </w:r>
      <w:r>
        <w:rPr>
          <w:spacing w:val="-8"/>
        </w:rPr>
        <w:t>）</w:t>
      </w:r>
      <w:r>
        <w:rPr>
          <w:spacing w:val="-7"/>
        </w:rPr>
        <w:t>。其中，横</w:t>
      </w:r>
      <w:r>
        <w:rPr/>
        <w:t>向模式下，空气沿房舍横截面方向流动，通风量控制精确、保温效果好，家畜区域无冷风直吹或贼风；纵向模式下，空气沿房舍纵向流动，风速高、风冷效果明显；电脑根据</w:t>
      </w:r>
      <w:r>
        <w:rPr>
          <w:spacing w:val="-3"/>
        </w:rPr>
        <w:t>舍内气候情况自动切换横纵向通风模式。项目通风设计详见表 </w:t>
      </w:r>
      <w:r>
        <w:rPr>
          <w:rFonts w:ascii="Times New Roman" w:eastAsia="Times New Roman"/>
          <w:position w:val="1"/>
        </w:rPr>
        <w:t>6.2-3</w:t>
      </w:r>
      <w:r>
        <w:rPr/>
        <w:t>。</w:t>
      </w:r>
    </w:p>
    <w:p>
      <w:pPr>
        <w:pStyle w:val="Heading3"/>
        <w:spacing w:before="3"/>
        <w:ind w:left="1677"/>
        <w:jc w:val="both"/>
        <w:rPr>
          <w:rFonts w:ascii="Times New Roman" w:hAnsi="Times New Roman" w:eastAsia="Times New Roman"/>
        </w:rPr>
      </w:pPr>
      <w:r>
        <w:rPr/>
        <w:t>表 </w:t>
      </w:r>
      <w:r>
        <w:rPr>
          <w:rFonts w:ascii="Times New Roman" w:hAnsi="Times New Roman" w:eastAsia="Times New Roman"/>
        </w:rPr>
        <w:t>6.2-3  </w:t>
      </w:r>
      <w:r>
        <w:rPr/>
        <w:t>项目各类猪舍通风设计 单位：风量 </w:t>
      </w:r>
      <w:r>
        <w:rPr>
          <w:rFonts w:ascii="Times New Roman" w:hAnsi="Times New Roman" w:eastAsia="Times New Roman"/>
        </w:rPr>
        <w:t>m³/h </w:t>
      </w:r>
      <w:r>
        <w:rPr/>
        <w:t>、风速 </w:t>
      </w:r>
      <w:r>
        <w:rPr>
          <w:rFonts w:ascii="Times New Roman" w:hAnsi="Times New Roman" w:eastAsia="Times New Roman"/>
        </w:rPr>
        <w:t>m/s</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4"/>
        <w:gridCol w:w="1342"/>
        <w:gridCol w:w="1080"/>
        <w:gridCol w:w="1077"/>
        <w:gridCol w:w="1079"/>
        <w:gridCol w:w="1080"/>
        <w:gridCol w:w="808"/>
        <w:gridCol w:w="1077"/>
      </w:tblGrid>
      <w:tr>
        <w:trPr>
          <w:trHeight w:val="359" w:hRule="atLeast"/>
        </w:trPr>
        <w:tc>
          <w:tcPr>
            <w:tcW w:w="1884" w:type="dxa"/>
            <w:vMerge w:val="restart"/>
            <w:tcBorders>
              <w:bottom w:val="single" w:sz="6" w:space="0" w:color="000000"/>
              <w:right w:val="single" w:sz="6" w:space="0" w:color="000000"/>
            </w:tcBorders>
          </w:tcPr>
          <w:p>
            <w:pPr>
              <w:pStyle w:val="TableParagraph"/>
              <w:spacing w:before="0"/>
              <w:jc w:val="left"/>
              <w:rPr>
                <w:b/>
                <w:sz w:val="20"/>
              </w:rPr>
            </w:pPr>
          </w:p>
          <w:p>
            <w:pPr>
              <w:pStyle w:val="TableParagraph"/>
              <w:spacing w:before="10"/>
              <w:jc w:val="left"/>
              <w:rPr>
                <w:b/>
                <w:sz w:val="15"/>
              </w:rPr>
            </w:pPr>
          </w:p>
          <w:p>
            <w:pPr>
              <w:pStyle w:val="TableParagraph"/>
              <w:spacing w:before="1"/>
              <w:ind w:left="256" w:right="238"/>
              <w:rPr>
                <w:rFonts w:ascii="宋体" w:eastAsia="宋体" w:hint="eastAsia"/>
                <w:b/>
                <w:sz w:val="21"/>
              </w:rPr>
            </w:pPr>
            <w:r>
              <w:rPr>
                <w:rFonts w:ascii="宋体" w:eastAsia="宋体" w:hint="eastAsia"/>
                <w:b/>
                <w:sz w:val="21"/>
              </w:rPr>
              <w:t>位置</w:t>
            </w:r>
          </w:p>
        </w:tc>
        <w:tc>
          <w:tcPr>
            <w:tcW w:w="1342" w:type="dxa"/>
            <w:vMerge w:val="restart"/>
            <w:tcBorders>
              <w:left w:val="single" w:sz="6" w:space="0" w:color="000000"/>
              <w:bottom w:val="single" w:sz="6" w:space="0" w:color="000000"/>
              <w:right w:val="single" w:sz="6" w:space="0" w:color="000000"/>
            </w:tcBorders>
          </w:tcPr>
          <w:p>
            <w:pPr>
              <w:pStyle w:val="TableParagraph"/>
              <w:spacing w:before="3"/>
              <w:jc w:val="left"/>
              <w:rPr>
                <w:b/>
                <w:sz w:val="20"/>
              </w:rPr>
            </w:pPr>
          </w:p>
          <w:p>
            <w:pPr>
              <w:pStyle w:val="TableParagraph"/>
              <w:spacing w:line="321" w:lineRule="auto" w:before="0"/>
              <w:ind w:left="465" w:right="436"/>
              <w:jc w:val="left"/>
              <w:rPr>
                <w:rFonts w:ascii="宋体" w:eastAsia="宋体" w:hint="eastAsia"/>
                <w:b/>
                <w:sz w:val="21"/>
              </w:rPr>
            </w:pPr>
            <w:r>
              <w:rPr>
                <w:rFonts w:ascii="宋体" w:eastAsia="宋体" w:hint="eastAsia"/>
                <w:b/>
                <w:sz w:val="21"/>
              </w:rPr>
              <w:t>猪舍类型</w:t>
            </w:r>
          </w:p>
        </w:tc>
        <w:tc>
          <w:tcPr>
            <w:tcW w:w="3236" w:type="dxa"/>
            <w:gridSpan w:val="3"/>
            <w:tcBorders>
              <w:left w:val="single" w:sz="6" w:space="0" w:color="000000"/>
              <w:bottom w:val="single" w:sz="6" w:space="0" w:color="000000"/>
              <w:right w:val="single" w:sz="6" w:space="0" w:color="000000"/>
            </w:tcBorders>
          </w:tcPr>
          <w:p>
            <w:pPr>
              <w:pStyle w:val="TableParagraph"/>
              <w:spacing w:before="46"/>
              <w:ind w:left="782"/>
              <w:jc w:val="left"/>
              <w:rPr>
                <w:rFonts w:ascii="宋体" w:eastAsia="宋体" w:hint="eastAsia"/>
                <w:b/>
                <w:sz w:val="21"/>
              </w:rPr>
            </w:pPr>
            <w:r>
              <w:rPr>
                <w:rFonts w:ascii="宋体" w:eastAsia="宋体" w:hint="eastAsia"/>
                <w:b/>
                <w:sz w:val="21"/>
              </w:rPr>
              <w:t>联合通风橫向模式</w:t>
            </w:r>
          </w:p>
        </w:tc>
        <w:tc>
          <w:tcPr>
            <w:tcW w:w="2965" w:type="dxa"/>
            <w:gridSpan w:val="3"/>
            <w:tcBorders>
              <w:left w:val="single" w:sz="6" w:space="0" w:color="000000"/>
              <w:bottom w:val="single" w:sz="6" w:space="0" w:color="000000"/>
            </w:tcBorders>
          </w:tcPr>
          <w:p>
            <w:pPr>
              <w:pStyle w:val="TableParagraph"/>
              <w:spacing w:before="46"/>
              <w:ind w:left="648"/>
              <w:jc w:val="left"/>
              <w:rPr>
                <w:rFonts w:ascii="宋体" w:eastAsia="宋体" w:hint="eastAsia"/>
                <w:b/>
                <w:sz w:val="21"/>
              </w:rPr>
            </w:pPr>
            <w:r>
              <w:rPr>
                <w:rFonts w:ascii="宋体" w:eastAsia="宋体" w:hint="eastAsia"/>
                <w:b/>
                <w:sz w:val="21"/>
              </w:rPr>
              <w:t>联合通风纵向模式</w:t>
            </w:r>
          </w:p>
        </w:tc>
      </w:tr>
      <w:tr>
        <w:trPr>
          <w:trHeight w:val="716" w:hRule="atLeast"/>
        </w:trPr>
        <w:tc>
          <w:tcPr>
            <w:tcW w:w="1884" w:type="dxa"/>
            <w:vMerge/>
            <w:tcBorders>
              <w:top w:val="nil"/>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before="46"/>
              <w:ind w:left="210" w:right="181"/>
              <w:rPr>
                <w:rFonts w:ascii="宋体" w:eastAsia="宋体" w:hint="eastAsia"/>
                <w:b/>
                <w:sz w:val="21"/>
              </w:rPr>
            </w:pPr>
            <w:r>
              <w:rPr>
                <w:rFonts w:ascii="宋体" w:eastAsia="宋体" w:hint="eastAsia"/>
                <w:b/>
                <w:sz w:val="21"/>
              </w:rPr>
              <w:t>最小通</w:t>
            </w:r>
          </w:p>
          <w:p>
            <w:pPr>
              <w:pStyle w:val="TableParagraph"/>
              <w:spacing w:before="91"/>
              <w:ind w:left="210" w:right="181"/>
              <w:rPr>
                <w:rFonts w:ascii="宋体" w:eastAsia="宋体" w:hint="eastAsia"/>
                <w:b/>
                <w:sz w:val="21"/>
              </w:rPr>
            </w:pPr>
            <w:r>
              <w:rPr>
                <w:rFonts w:ascii="宋体" w:eastAsia="宋体" w:hint="eastAsia"/>
                <w:b/>
                <w:sz w:val="21"/>
              </w:rPr>
              <w:t>风量</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spacing w:before="46"/>
              <w:ind w:left="208" w:right="180"/>
              <w:rPr>
                <w:rFonts w:ascii="宋体" w:eastAsia="宋体" w:hint="eastAsia"/>
                <w:b/>
                <w:sz w:val="21"/>
              </w:rPr>
            </w:pPr>
            <w:r>
              <w:rPr>
                <w:rFonts w:ascii="宋体" w:eastAsia="宋体" w:hint="eastAsia"/>
                <w:b/>
                <w:sz w:val="21"/>
              </w:rPr>
              <w:t>最大通</w:t>
            </w:r>
          </w:p>
          <w:p>
            <w:pPr>
              <w:pStyle w:val="TableParagraph"/>
              <w:spacing w:before="91"/>
              <w:ind w:left="208" w:right="180"/>
              <w:rPr>
                <w:rFonts w:ascii="宋体" w:eastAsia="宋体" w:hint="eastAsia"/>
                <w:b/>
                <w:sz w:val="21"/>
              </w:rPr>
            </w:pPr>
            <w:r>
              <w:rPr>
                <w:rFonts w:ascii="宋体" w:eastAsia="宋体" w:hint="eastAsia"/>
                <w:b/>
                <w:sz w:val="21"/>
              </w:rPr>
              <w:t>风量</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46"/>
              <w:ind w:left="231"/>
              <w:jc w:val="left"/>
              <w:rPr>
                <w:rFonts w:ascii="宋体" w:eastAsia="宋体" w:hint="eastAsia"/>
                <w:b/>
                <w:sz w:val="21"/>
              </w:rPr>
            </w:pPr>
            <w:r>
              <w:rPr>
                <w:rFonts w:ascii="宋体" w:eastAsia="宋体" w:hint="eastAsia"/>
                <w:b/>
                <w:sz w:val="21"/>
              </w:rPr>
              <w:t>最大换</w:t>
            </w:r>
          </w:p>
          <w:p>
            <w:pPr>
              <w:pStyle w:val="TableParagraph"/>
              <w:spacing w:before="91"/>
              <w:ind w:left="231"/>
              <w:jc w:val="left"/>
              <w:rPr>
                <w:rFonts w:ascii="宋体" w:eastAsia="宋体" w:hint="eastAsia"/>
                <w:b/>
                <w:sz w:val="21"/>
              </w:rPr>
            </w:pPr>
            <w:r>
              <w:rPr>
                <w:rFonts w:ascii="宋体" w:eastAsia="宋体" w:hint="eastAsia"/>
                <w:b/>
                <w:sz w:val="21"/>
              </w:rPr>
              <w:t>气次数</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before="46"/>
              <w:ind w:left="232"/>
              <w:jc w:val="left"/>
              <w:rPr>
                <w:rFonts w:ascii="宋体" w:eastAsia="宋体" w:hint="eastAsia"/>
                <w:b/>
                <w:sz w:val="21"/>
              </w:rPr>
            </w:pPr>
            <w:r>
              <w:rPr>
                <w:rFonts w:ascii="宋体" w:eastAsia="宋体" w:hint="eastAsia"/>
                <w:b/>
                <w:sz w:val="21"/>
              </w:rPr>
              <w:t>最大换</w:t>
            </w:r>
          </w:p>
          <w:p>
            <w:pPr>
              <w:pStyle w:val="TableParagraph"/>
              <w:spacing w:before="91"/>
              <w:ind w:left="232"/>
              <w:jc w:val="left"/>
              <w:rPr>
                <w:rFonts w:ascii="宋体" w:eastAsia="宋体" w:hint="eastAsia"/>
                <w:b/>
                <w:sz w:val="21"/>
              </w:rPr>
            </w:pPr>
            <w:r>
              <w:rPr>
                <w:rFonts w:ascii="宋体" w:eastAsia="宋体" w:hint="eastAsia"/>
                <w:b/>
                <w:sz w:val="21"/>
              </w:rPr>
              <w:t>气次数</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spacing w:before="46"/>
              <w:ind w:left="201"/>
              <w:jc w:val="left"/>
              <w:rPr>
                <w:rFonts w:ascii="宋体" w:eastAsia="宋体" w:hint="eastAsia"/>
                <w:b/>
                <w:sz w:val="21"/>
              </w:rPr>
            </w:pPr>
            <w:r>
              <w:rPr>
                <w:rFonts w:ascii="宋体" w:eastAsia="宋体" w:hint="eastAsia"/>
                <w:b/>
                <w:sz w:val="21"/>
              </w:rPr>
              <w:t>最高</w:t>
            </w:r>
          </w:p>
          <w:p>
            <w:pPr>
              <w:pStyle w:val="TableParagraph"/>
              <w:spacing w:before="91"/>
              <w:ind w:left="201"/>
              <w:jc w:val="left"/>
              <w:rPr>
                <w:rFonts w:ascii="宋体" w:eastAsia="宋体" w:hint="eastAsia"/>
                <w:b/>
                <w:sz w:val="21"/>
              </w:rPr>
            </w:pPr>
            <w:r>
              <w:rPr>
                <w:rFonts w:ascii="宋体" w:eastAsia="宋体" w:hint="eastAsia"/>
                <w:b/>
                <w:sz w:val="21"/>
              </w:rPr>
              <w:t>风速</w:t>
            </w:r>
          </w:p>
        </w:tc>
        <w:tc>
          <w:tcPr>
            <w:tcW w:w="1077" w:type="dxa"/>
            <w:tcBorders>
              <w:top w:val="single" w:sz="6" w:space="0" w:color="000000"/>
              <w:left w:val="single" w:sz="6" w:space="0" w:color="000000"/>
              <w:bottom w:val="single" w:sz="6" w:space="0" w:color="000000"/>
            </w:tcBorders>
          </w:tcPr>
          <w:p>
            <w:pPr>
              <w:pStyle w:val="TableParagraph"/>
              <w:spacing w:before="46"/>
              <w:ind w:left="231"/>
              <w:jc w:val="left"/>
              <w:rPr>
                <w:rFonts w:ascii="宋体" w:eastAsia="宋体" w:hint="eastAsia"/>
                <w:b/>
                <w:sz w:val="21"/>
              </w:rPr>
            </w:pPr>
            <w:r>
              <w:rPr>
                <w:rFonts w:ascii="宋体" w:eastAsia="宋体" w:hint="eastAsia"/>
                <w:b/>
                <w:sz w:val="21"/>
              </w:rPr>
              <w:t>水帘过</w:t>
            </w:r>
          </w:p>
          <w:p>
            <w:pPr>
              <w:pStyle w:val="TableParagraph"/>
              <w:spacing w:before="91"/>
              <w:ind w:left="231"/>
              <w:jc w:val="left"/>
              <w:rPr>
                <w:rFonts w:ascii="宋体" w:eastAsia="宋体" w:hint="eastAsia"/>
                <w:b/>
                <w:sz w:val="21"/>
              </w:rPr>
            </w:pPr>
            <w:r>
              <w:rPr>
                <w:rFonts w:ascii="宋体" w:eastAsia="宋体" w:hint="eastAsia"/>
                <w:b/>
                <w:sz w:val="21"/>
              </w:rPr>
              <w:t>帘风速</w:t>
            </w:r>
          </w:p>
        </w:tc>
      </w:tr>
      <w:tr>
        <w:trPr>
          <w:trHeight w:val="359" w:hRule="atLeast"/>
        </w:trPr>
        <w:tc>
          <w:tcPr>
            <w:tcW w:w="1884" w:type="dxa"/>
            <w:tcBorders>
              <w:top w:val="single" w:sz="6" w:space="0" w:color="000000"/>
              <w:bottom w:val="single" w:sz="6" w:space="0" w:color="000000"/>
              <w:right w:val="single" w:sz="6" w:space="0" w:color="000000"/>
            </w:tcBorders>
          </w:tcPr>
          <w:p>
            <w:pPr>
              <w:pStyle w:val="TableParagraph"/>
              <w:spacing w:before="46"/>
              <w:ind w:left="259" w:right="238"/>
              <w:rPr>
                <w:rFonts w:ascii="宋体" w:eastAsia="宋体" w:hint="eastAsia"/>
                <w:sz w:val="21"/>
              </w:rPr>
            </w:pPr>
            <w:r>
              <w:rPr>
                <w:rFonts w:ascii="宋体" w:eastAsia="宋体" w:hint="eastAsia"/>
                <w:sz w:val="21"/>
              </w:rPr>
              <w:t>车间一 </w:t>
            </w:r>
            <w:r>
              <w:rPr>
                <w:position w:val="1"/>
                <w:sz w:val="21"/>
              </w:rPr>
              <w:t>4 </w:t>
            </w:r>
            <w:r>
              <w:rPr>
                <w:rFonts w:ascii="宋体" w:eastAsia="宋体" w:hint="eastAsia"/>
                <w:sz w:val="21"/>
              </w:rPr>
              <w:t>层</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2" w:right="103"/>
              <w:rPr>
                <w:rFonts w:ascii="宋体" w:eastAsia="宋体" w:hint="eastAsia"/>
                <w:sz w:val="21"/>
              </w:rPr>
            </w:pPr>
            <w:r>
              <w:rPr>
                <w:rFonts w:ascii="宋体" w:eastAsia="宋体" w:hint="eastAsia"/>
                <w:sz w:val="21"/>
              </w:rPr>
              <w:t>小配怀舍</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81"/>
              <w:rPr>
                <w:sz w:val="21"/>
              </w:rPr>
            </w:pPr>
            <w:r>
              <w:rPr>
                <w:sz w:val="21"/>
              </w:rPr>
              <w:t>3020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ind w:left="208" w:right="180"/>
              <w:rPr>
                <w:sz w:val="21"/>
              </w:rPr>
            </w:pPr>
            <w:r>
              <w:rPr>
                <w:sz w:val="21"/>
              </w:rPr>
              <w:t>22500</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ind w:left="102" w:right="70"/>
              <w:rPr>
                <w:sz w:val="21"/>
              </w:rPr>
            </w:pPr>
            <w:r>
              <w:rPr>
                <w:sz w:val="21"/>
              </w:rPr>
              <w:t>24</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76"/>
              <w:rPr>
                <w:sz w:val="21"/>
              </w:rPr>
            </w:pPr>
            <w:r>
              <w:rPr>
                <w:sz w:val="21"/>
              </w:rPr>
              <w:t>143</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ind w:left="208" w:right="176"/>
              <w:rPr>
                <w:sz w:val="21"/>
              </w:rPr>
            </w:pPr>
            <w:r>
              <w:rPr>
                <w:sz w:val="21"/>
              </w:rPr>
              <w:t>1.47</w:t>
            </w:r>
          </w:p>
        </w:tc>
        <w:tc>
          <w:tcPr>
            <w:tcW w:w="1077" w:type="dxa"/>
            <w:tcBorders>
              <w:top w:val="single" w:sz="6" w:space="0" w:color="000000"/>
              <w:left w:val="single" w:sz="6" w:space="0" w:color="000000"/>
              <w:bottom w:val="single" w:sz="6" w:space="0" w:color="000000"/>
            </w:tcBorders>
          </w:tcPr>
          <w:p>
            <w:pPr>
              <w:pStyle w:val="TableParagraph"/>
              <w:ind w:left="366"/>
              <w:jc w:val="left"/>
              <w:rPr>
                <w:sz w:val="21"/>
              </w:rPr>
            </w:pPr>
            <w:r>
              <w:rPr>
                <w:sz w:val="21"/>
              </w:rPr>
              <w:t>1.86</w:t>
            </w:r>
          </w:p>
        </w:tc>
      </w:tr>
      <w:tr>
        <w:trPr>
          <w:trHeight w:val="359" w:hRule="atLeast"/>
        </w:trPr>
        <w:tc>
          <w:tcPr>
            <w:tcW w:w="1884" w:type="dxa"/>
            <w:tcBorders>
              <w:top w:val="single" w:sz="6" w:space="0" w:color="000000"/>
              <w:bottom w:val="single" w:sz="6" w:space="0" w:color="000000"/>
              <w:right w:val="single" w:sz="6" w:space="0" w:color="000000"/>
            </w:tcBorders>
          </w:tcPr>
          <w:p>
            <w:pPr>
              <w:pStyle w:val="TableParagraph"/>
              <w:spacing w:before="46"/>
              <w:ind w:left="259" w:right="238"/>
              <w:rPr>
                <w:rFonts w:ascii="宋体" w:eastAsia="宋体" w:hint="eastAsia"/>
                <w:sz w:val="21"/>
              </w:rPr>
            </w:pPr>
            <w:r>
              <w:rPr>
                <w:rFonts w:ascii="宋体" w:eastAsia="宋体" w:hint="eastAsia"/>
                <w:sz w:val="21"/>
              </w:rPr>
              <w:t>车间一 </w:t>
            </w:r>
            <w:r>
              <w:rPr>
                <w:position w:val="1"/>
                <w:sz w:val="21"/>
              </w:rPr>
              <w:t>4 </w:t>
            </w:r>
            <w:r>
              <w:rPr>
                <w:rFonts w:ascii="宋体" w:eastAsia="宋体" w:hint="eastAsia"/>
                <w:sz w:val="21"/>
              </w:rPr>
              <w:t>层</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2" w:right="103"/>
              <w:rPr>
                <w:rFonts w:ascii="宋体" w:eastAsia="宋体" w:hint="eastAsia"/>
                <w:sz w:val="21"/>
              </w:rPr>
            </w:pPr>
            <w:r>
              <w:rPr>
                <w:rFonts w:ascii="宋体" w:eastAsia="宋体" w:hint="eastAsia"/>
                <w:sz w:val="21"/>
              </w:rPr>
              <w:t>大配怀舍</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81"/>
              <w:rPr>
                <w:sz w:val="21"/>
              </w:rPr>
            </w:pPr>
            <w:r>
              <w:rPr>
                <w:sz w:val="21"/>
              </w:rPr>
              <w:t>4100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ind w:left="208" w:right="180"/>
              <w:rPr>
                <w:sz w:val="21"/>
              </w:rPr>
            </w:pPr>
            <w:r>
              <w:rPr>
                <w:sz w:val="21"/>
              </w:rPr>
              <w:t>22500</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ind w:left="102" w:right="70"/>
              <w:rPr>
                <w:sz w:val="21"/>
              </w:rPr>
            </w:pPr>
            <w:r>
              <w:rPr>
                <w:sz w:val="21"/>
              </w:rPr>
              <w:t>18</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76"/>
              <w:rPr>
                <w:sz w:val="21"/>
              </w:rPr>
            </w:pPr>
            <w:r>
              <w:rPr>
                <w:sz w:val="21"/>
              </w:rPr>
              <w:t>151</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ind w:left="208" w:right="176"/>
              <w:rPr>
                <w:sz w:val="21"/>
              </w:rPr>
            </w:pPr>
            <w:r>
              <w:rPr>
                <w:sz w:val="21"/>
              </w:rPr>
              <w:t>1.55</w:t>
            </w:r>
          </w:p>
        </w:tc>
        <w:tc>
          <w:tcPr>
            <w:tcW w:w="1077" w:type="dxa"/>
            <w:tcBorders>
              <w:top w:val="single" w:sz="6" w:space="0" w:color="000000"/>
              <w:left w:val="single" w:sz="6" w:space="0" w:color="000000"/>
              <w:bottom w:val="single" w:sz="6" w:space="0" w:color="000000"/>
            </w:tcBorders>
          </w:tcPr>
          <w:p>
            <w:pPr>
              <w:pStyle w:val="TableParagraph"/>
              <w:ind w:left="366"/>
              <w:jc w:val="left"/>
              <w:rPr>
                <w:sz w:val="21"/>
              </w:rPr>
            </w:pPr>
            <w:r>
              <w:rPr>
                <w:sz w:val="21"/>
              </w:rPr>
              <w:t>1.89</w:t>
            </w:r>
          </w:p>
        </w:tc>
      </w:tr>
      <w:tr>
        <w:trPr>
          <w:trHeight w:val="359" w:hRule="atLeast"/>
        </w:trPr>
        <w:tc>
          <w:tcPr>
            <w:tcW w:w="1884" w:type="dxa"/>
            <w:tcBorders>
              <w:top w:val="single" w:sz="6" w:space="0" w:color="000000"/>
              <w:right w:val="single" w:sz="6" w:space="0" w:color="000000"/>
            </w:tcBorders>
          </w:tcPr>
          <w:p>
            <w:pPr>
              <w:pStyle w:val="TableParagraph"/>
              <w:spacing w:before="46"/>
              <w:ind w:left="259" w:right="238"/>
              <w:rPr>
                <w:rFonts w:ascii="宋体" w:eastAsia="宋体" w:hint="eastAsia"/>
                <w:sz w:val="21"/>
              </w:rPr>
            </w:pPr>
            <w:r>
              <w:rPr>
                <w:rFonts w:ascii="宋体" w:eastAsia="宋体" w:hint="eastAsia"/>
                <w:sz w:val="21"/>
              </w:rPr>
              <w:t>车间一 </w:t>
            </w:r>
            <w:r>
              <w:rPr>
                <w:position w:val="1"/>
                <w:sz w:val="21"/>
              </w:rPr>
              <w:t>3 </w:t>
            </w:r>
            <w:r>
              <w:rPr>
                <w:rFonts w:ascii="宋体" w:eastAsia="宋体" w:hint="eastAsia"/>
                <w:sz w:val="21"/>
              </w:rPr>
              <w:t>层</w:t>
            </w:r>
          </w:p>
        </w:tc>
        <w:tc>
          <w:tcPr>
            <w:tcW w:w="1342" w:type="dxa"/>
            <w:tcBorders>
              <w:top w:val="single" w:sz="6" w:space="0" w:color="000000"/>
              <w:left w:val="single" w:sz="6" w:space="0" w:color="000000"/>
              <w:right w:val="single" w:sz="6" w:space="0" w:color="000000"/>
            </w:tcBorders>
          </w:tcPr>
          <w:p>
            <w:pPr>
              <w:pStyle w:val="TableParagraph"/>
              <w:spacing w:before="46"/>
              <w:ind w:left="134" w:right="103"/>
              <w:rPr>
                <w:rFonts w:ascii="宋体" w:eastAsia="宋体" w:hint="eastAsia"/>
                <w:sz w:val="21"/>
              </w:rPr>
            </w:pPr>
            <w:r>
              <w:rPr>
                <w:rFonts w:ascii="宋体" w:eastAsia="宋体" w:hint="eastAsia"/>
                <w:sz w:val="21"/>
              </w:rPr>
              <w:t>后备舍</w:t>
            </w:r>
          </w:p>
        </w:tc>
        <w:tc>
          <w:tcPr>
            <w:tcW w:w="1080" w:type="dxa"/>
            <w:tcBorders>
              <w:top w:val="single" w:sz="6" w:space="0" w:color="000000"/>
              <w:left w:val="single" w:sz="6" w:space="0" w:color="000000"/>
              <w:right w:val="single" w:sz="6" w:space="0" w:color="000000"/>
            </w:tcBorders>
          </w:tcPr>
          <w:p>
            <w:pPr>
              <w:pStyle w:val="TableParagraph"/>
              <w:ind w:left="210" w:right="181"/>
              <w:rPr>
                <w:sz w:val="21"/>
              </w:rPr>
            </w:pPr>
            <w:r>
              <w:rPr>
                <w:sz w:val="21"/>
              </w:rPr>
              <w:t>3120</w:t>
            </w:r>
          </w:p>
        </w:tc>
        <w:tc>
          <w:tcPr>
            <w:tcW w:w="1077" w:type="dxa"/>
            <w:tcBorders>
              <w:top w:val="single" w:sz="6" w:space="0" w:color="000000"/>
              <w:left w:val="single" w:sz="6" w:space="0" w:color="000000"/>
              <w:right w:val="single" w:sz="6" w:space="0" w:color="000000"/>
            </w:tcBorders>
          </w:tcPr>
          <w:p>
            <w:pPr>
              <w:pStyle w:val="TableParagraph"/>
              <w:ind w:left="208" w:right="180"/>
              <w:rPr>
                <w:sz w:val="21"/>
              </w:rPr>
            </w:pPr>
            <w:r>
              <w:rPr>
                <w:sz w:val="21"/>
              </w:rPr>
              <w:t>49000</w:t>
            </w:r>
          </w:p>
        </w:tc>
        <w:tc>
          <w:tcPr>
            <w:tcW w:w="1079" w:type="dxa"/>
            <w:tcBorders>
              <w:top w:val="single" w:sz="6" w:space="0" w:color="000000"/>
              <w:left w:val="single" w:sz="6" w:space="0" w:color="000000"/>
              <w:right w:val="single" w:sz="6" w:space="0" w:color="000000"/>
            </w:tcBorders>
          </w:tcPr>
          <w:p>
            <w:pPr>
              <w:pStyle w:val="TableParagraph"/>
              <w:ind w:left="102" w:right="70"/>
              <w:rPr>
                <w:sz w:val="21"/>
              </w:rPr>
            </w:pPr>
            <w:r>
              <w:rPr>
                <w:sz w:val="21"/>
              </w:rPr>
              <w:t>36</w:t>
            </w:r>
          </w:p>
        </w:tc>
        <w:tc>
          <w:tcPr>
            <w:tcW w:w="1080" w:type="dxa"/>
            <w:tcBorders>
              <w:top w:val="single" w:sz="6" w:space="0" w:color="000000"/>
              <w:left w:val="single" w:sz="6" w:space="0" w:color="000000"/>
              <w:right w:val="single" w:sz="6" w:space="0" w:color="000000"/>
            </w:tcBorders>
          </w:tcPr>
          <w:p>
            <w:pPr>
              <w:pStyle w:val="TableParagraph"/>
              <w:ind w:left="210" w:right="176"/>
              <w:rPr>
                <w:sz w:val="21"/>
              </w:rPr>
            </w:pPr>
            <w:r>
              <w:rPr>
                <w:sz w:val="21"/>
              </w:rPr>
              <w:t>143</w:t>
            </w:r>
          </w:p>
        </w:tc>
        <w:tc>
          <w:tcPr>
            <w:tcW w:w="808" w:type="dxa"/>
            <w:tcBorders>
              <w:top w:val="single" w:sz="6" w:space="0" w:color="000000"/>
              <w:left w:val="single" w:sz="6" w:space="0" w:color="000000"/>
              <w:right w:val="single" w:sz="6" w:space="0" w:color="000000"/>
            </w:tcBorders>
          </w:tcPr>
          <w:p>
            <w:pPr>
              <w:pStyle w:val="TableParagraph"/>
              <w:ind w:left="208" w:right="176"/>
              <w:rPr>
                <w:sz w:val="21"/>
              </w:rPr>
            </w:pPr>
            <w:r>
              <w:rPr>
                <w:sz w:val="21"/>
              </w:rPr>
              <w:t>1.47</w:t>
            </w:r>
          </w:p>
        </w:tc>
        <w:tc>
          <w:tcPr>
            <w:tcW w:w="1077" w:type="dxa"/>
            <w:tcBorders>
              <w:top w:val="single" w:sz="6" w:space="0" w:color="000000"/>
              <w:left w:val="single" w:sz="6" w:space="0" w:color="000000"/>
            </w:tcBorders>
          </w:tcPr>
          <w:p>
            <w:pPr>
              <w:pStyle w:val="TableParagraph"/>
              <w:ind w:left="366"/>
              <w:jc w:val="left"/>
              <w:rPr>
                <w:sz w:val="21"/>
              </w:rPr>
            </w:pPr>
            <w:r>
              <w:rPr>
                <w:sz w:val="21"/>
              </w:rPr>
              <w:t>2.03</w:t>
            </w:r>
          </w:p>
        </w:tc>
      </w:tr>
    </w:tbl>
    <w:p>
      <w:pPr>
        <w:spacing w:after="0"/>
        <w:jc w:val="left"/>
        <w:rPr>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884"/>
        <w:gridCol w:w="1342"/>
        <w:gridCol w:w="1080"/>
        <w:gridCol w:w="1077"/>
        <w:gridCol w:w="1079"/>
        <w:gridCol w:w="1080"/>
        <w:gridCol w:w="808"/>
        <w:gridCol w:w="1077"/>
      </w:tblGrid>
      <w:tr>
        <w:trPr>
          <w:trHeight w:val="359" w:hRule="atLeast"/>
        </w:trPr>
        <w:tc>
          <w:tcPr>
            <w:tcW w:w="1884" w:type="dxa"/>
            <w:vMerge w:val="restart"/>
            <w:tcBorders>
              <w:bottom w:val="single" w:sz="6" w:space="0" w:color="000000"/>
              <w:right w:val="single" w:sz="6" w:space="0" w:color="000000"/>
            </w:tcBorders>
          </w:tcPr>
          <w:p>
            <w:pPr>
              <w:pStyle w:val="TableParagraph"/>
              <w:spacing w:before="0"/>
              <w:jc w:val="left"/>
              <w:rPr>
                <w:b/>
                <w:sz w:val="20"/>
              </w:rPr>
            </w:pPr>
          </w:p>
          <w:p>
            <w:pPr>
              <w:pStyle w:val="TableParagraph"/>
              <w:spacing w:before="11"/>
              <w:jc w:val="left"/>
              <w:rPr>
                <w:b/>
                <w:sz w:val="15"/>
              </w:rPr>
            </w:pPr>
          </w:p>
          <w:p>
            <w:pPr>
              <w:pStyle w:val="TableParagraph"/>
              <w:spacing w:before="0"/>
              <w:ind w:left="256" w:right="238"/>
              <w:rPr>
                <w:rFonts w:ascii="宋体" w:eastAsia="宋体" w:hint="eastAsia"/>
                <w:b/>
                <w:sz w:val="21"/>
              </w:rPr>
            </w:pPr>
            <w:r>
              <w:rPr>
                <w:rFonts w:ascii="宋体" w:eastAsia="宋体" w:hint="eastAsia"/>
                <w:b/>
                <w:sz w:val="21"/>
              </w:rPr>
              <w:t>位置</w:t>
            </w:r>
          </w:p>
        </w:tc>
        <w:tc>
          <w:tcPr>
            <w:tcW w:w="1342" w:type="dxa"/>
            <w:vMerge w:val="restart"/>
            <w:tcBorders>
              <w:left w:val="single" w:sz="6" w:space="0" w:color="000000"/>
              <w:bottom w:val="single" w:sz="6" w:space="0" w:color="000000"/>
              <w:right w:val="single" w:sz="6" w:space="0" w:color="000000"/>
            </w:tcBorders>
          </w:tcPr>
          <w:p>
            <w:pPr>
              <w:pStyle w:val="TableParagraph"/>
              <w:spacing w:before="3"/>
              <w:jc w:val="left"/>
              <w:rPr>
                <w:b/>
                <w:sz w:val="20"/>
              </w:rPr>
            </w:pPr>
          </w:p>
          <w:p>
            <w:pPr>
              <w:pStyle w:val="TableParagraph"/>
              <w:spacing w:line="321" w:lineRule="auto" w:before="1"/>
              <w:ind w:left="465" w:right="436"/>
              <w:jc w:val="left"/>
              <w:rPr>
                <w:rFonts w:ascii="宋体" w:eastAsia="宋体" w:hint="eastAsia"/>
                <w:b/>
                <w:sz w:val="21"/>
              </w:rPr>
            </w:pPr>
            <w:r>
              <w:rPr>
                <w:rFonts w:ascii="宋体" w:eastAsia="宋体" w:hint="eastAsia"/>
                <w:b/>
                <w:sz w:val="21"/>
              </w:rPr>
              <w:t>猪舍类型</w:t>
            </w:r>
          </w:p>
        </w:tc>
        <w:tc>
          <w:tcPr>
            <w:tcW w:w="3236" w:type="dxa"/>
            <w:gridSpan w:val="3"/>
            <w:tcBorders>
              <w:left w:val="single" w:sz="6" w:space="0" w:color="000000"/>
              <w:bottom w:val="single" w:sz="6" w:space="0" w:color="000000"/>
              <w:right w:val="single" w:sz="6" w:space="0" w:color="000000"/>
            </w:tcBorders>
          </w:tcPr>
          <w:p>
            <w:pPr>
              <w:pStyle w:val="TableParagraph"/>
              <w:spacing w:before="49"/>
              <w:ind w:left="782"/>
              <w:jc w:val="left"/>
              <w:rPr>
                <w:rFonts w:ascii="宋体" w:eastAsia="宋体" w:hint="eastAsia"/>
                <w:b/>
                <w:sz w:val="21"/>
              </w:rPr>
            </w:pPr>
            <w:r>
              <w:rPr>
                <w:rFonts w:ascii="宋体" w:eastAsia="宋体" w:hint="eastAsia"/>
                <w:b/>
                <w:sz w:val="21"/>
              </w:rPr>
              <w:t>联合通风橫向模式</w:t>
            </w:r>
          </w:p>
        </w:tc>
        <w:tc>
          <w:tcPr>
            <w:tcW w:w="2965" w:type="dxa"/>
            <w:gridSpan w:val="3"/>
            <w:tcBorders>
              <w:left w:val="single" w:sz="6" w:space="0" w:color="000000"/>
              <w:bottom w:val="single" w:sz="6" w:space="0" w:color="000000"/>
            </w:tcBorders>
          </w:tcPr>
          <w:p>
            <w:pPr>
              <w:pStyle w:val="TableParagraph"/>
              <w:spacing w:before="49"/>
              <w:ind w:left="648"/>
              <w:jc w:val="left"/>
              <w:rPr>
                <w:rFonts w:ascii="宋体" w:eastAsia="宋体" w:hint="eastAsia"/>
                <w:b/>
                <w:sz w:val="21"/>
              </w:rPr>
            </w:pPr>
            <w:r>
              <w:rPr>
                <w:rFonts w:ascii="宋体" w:eastAsia="宋体" w:hint="eastAsia"/>
                <w:b/>
                <w:sz w:val="21"/>
              </w:rPr>
              <w:t>联合通风纵向模式</w:t>
            </w:r>
          </w:p>
        </w:tc>
      </w:tr>
      <w:tr>
        <w:trPr>
          <w:trHeight w:val="716" w:hRule="atLeast"/>
        </w:trPr>
        <w:tc>
          <w:tcPr>
            <w:tcW w:w="1884" w:type="dxa"/>
            <w:vMerge/>
            <w:tcBorders>
              <w:top w:val="nil"/>
              <w:bottom w:val="single" w:sz="6" w:space="0" w:color="000000"/>
              <w:right w:val="single" w:sz="6" w:space="0" w:color="000000"/>
            </w:tcBorders>
          </w:tcPr>
          <w:p>
            <w:pPr>
              <w:rPr>
                <w:sz w:val="2"/>
                <w:szCs w:val="2"/>
              </w:rPr>
            </w:pPr>
          </w:p>
        </w:tc>
        <w:tc>
          <w:tcPr>
            <w:tcW w:w="1342" w:type="dxa"/>
            <w:vMerge/>
            <w:tcBorders>
              <w:top w:val="nil"/>
              <w:left w:val="single" w:sz="6" w:space="0" w:color="000000"/>
              <w:bottom w:val="single" w:sz="6" w:space="0" w:color="000000"/>
              <w:right w:val="single" w:sz="6" w:space="0" w:color="000000"/>
            </w:tcBorders>
          </w:tcPr>
          <w:p>
            <w:pPr>
              <w:rPr>
                <w:sz w:val="2"/>
                <w:szCs w:val="2"/>
              </w:rPr>
            </w:pP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before="46"/>
              <w:ind w:left="230"/>
              <w:jc w:val="left"/>
              <w:rPr>
                <w:rFonts w:ascii="宋体" w:eastAsia="宋体" w:hint="eastAsia"/>
                <w:b/>
                <w:sz w:val="21"/>
              </w:rPr>
            </w:pPr>
            <w:r>
              <w:rPr>
                <w:rFonts w:ascii="宋体" w:eastAsia="宋体" w:hint="eastAsia"/>
                <w:b/>
                <w:sz w:val="21"/>
              </w:rPr>
              <w:t>最小通</w:t>
            </w:r>
          </w:p>
          <w:p>
            <w:pPr>
              <w:pStyle w:val="TableParagraph"/>
              <w:spacing w:before="91"/>
              <w:ind w:left="335"/>
              <w:jc w:val="left"/>
              <w:rPr>
                <w:rFonts w:ascii="宋体" w:eastAsia="宋体" w:hint="eastAsia"/>
                <w:b/>
                <w:sz w:val="21"/>
              </w:rPr>
            </w:pPr>
            <w:r>
              <w:rPr>
                <w:rFonts w:ascii="宋体" w:eastAsia="宋体" w:hint="eastAsia"/>
                <w:b/>
                <w:sz w:val="21"/>
              </w:rPr>
              <w:t>风量</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spacing w:before="46"/>
              <w:ind w:left="208" w:right="180"/>
              <w:rPr>
                <w:rFonts w:ascii="宋体" w:eastAsia="宋体" w:hint="eastAsia"/>
                <w:b/>
                <w:sz w:val="21"/>
              </w:rPr>
            </w:pPr>
            <w:r>
              <w:rPr>
                <w:rFonts w:ascii="宋体" w:eastAsia="宋体" w:hint="eastAsia"/>
                <w:b/>
                <w:sz w:val="21"/>
              </w:rPr>
              <w:t>最大通</w:t>
            </w:r>
          </w:p>
          <w:p>
            <w:pPr>
              <w:pStyle w:val="TableParagraph"/>
              <w:spacing w:before="91"/>
              <w:ind w:left="208" w:right="180"/>
              <w:rPr>
                <w:rFonts w:ascii="宋体" w:eastAsia="宋体" w:hint="eastAsia"/>
                <w:b/>
                <w:sz w:val="21"/>
              </w:rPr>
            </w:pPr>
            <w:r>
              <w:rPr>
                <w:rFonts w:ascii="宋体" w:eastAsia="宋体" w:hint="eastAsia"/>
                <w:b/>
                <w:sz w:val="21"/>
              </w:rPr>
              <w:t>风量</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46"/>
              <w:ind w:left="231"/>
              <w:jc w:val="left"/>
              <w:rPr>
                <w:rFonts w:ascii="宋体" w:eastAsia="宋体" w:hint="eastAsia"/>
                <w:b/>
                <w:sz w:val="21"/>
              </w:rPr>
            </w:pPr>
            <w:r>
              <w:rPr>
                <w:rFonts w:ascii="宋体" w:eastAsia="宋体" w:hint="eastAsia"/>
                <w:b/>
                <w:sz w:val="21"/>
              </w:rPr>
              <w:t>最大换</w:t>
            </w:r>
          </w:p>
          <w:p>
            <w:pPr>
              <w:pStyle w:val="TableParagraph"/>
              <w:spacing w:before="91"/>
              <w:ind w:left="231"/>
              <w:jc w:val="left"/>
              <w:rPr>
                <w:rFonts w:ascii="宋体" w:eastAsia="宋体" w:hint="eastAsia"/>
                <w:b/>
                <w:sz w:val="21"/>
              </w:rPr>
            </w:pPr>
            <w:r>
              <w:rPr>
                <w:rFonts w:ascii="宋体" w:eastAsia="宋体" w:hint="eastAsia"/>
                <w:b/>
                <w:sz w:val="21"/>
              </w:rPr>
              <w:t>气次数</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before="46"/>
              <w:ind w:left="232"/>
              <w:jc w:val="left"/>
              <w:rPr>
                <w:rFonts w:ascii="宋体" w:eastAsia="宋体" w:hint="eastAsia"/>
                <w:b/>
                <w:sz w:val="21"/>
              </w:rPr>
            </w:pPr>
            <w:r>
              <w:rPr>
                <w:rFonts w:ascii="宋体" w:eastAsia="宋体" w:hint="eastAsia"/>
                <w:b/>
                <w:sz w:val="21"/>
              </w:rPr>
              <w:t>最大换</w:t>
            </w:r>
          </w:p>
          <w:p>
            <w:pPr>
              <w:pStyle w:val="TableParagraph"/>
              <w:spacing w:before="91"/>
              <w:ind w:left="232"/>
              <w:jc w:val="left"/>
              <w:rPr>
                <w:rFonts w:ascii="宋体" w:eastAsia="宋体" w:hint="eastAsia"/>
                <w:b/>
                <w:sz w:val="21"/>
              </w:rPr>
            </w:pPr>
            <w:r>
              <w:rPr>
                <w:rFonts w:ascii="宋体" w:eastAsia="宋体" w:hint="eastAsia"/>
                <w:b/>
                <w:sz w:val="21"/>
              </w:rPr>
              <w:t>气次数</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spacing w:before="46"/>
              <w:ind w:left="201"/>
              <w:jc w:val="left"/>
              <w:rPr>
                <w:rFonts w:ascii="宋体" w:eastAsia="宋体" w:hint="eastAsia"/>
                <w:b/>
                <w:sz w:val="21"/>
              </w:rPr>
            </w:pPr>
            <w:r>
              <w:rPr>
                <w:rFonts w:ascii="宋体" w:eastAsia="宋体" w:hint="eastAsia"/>
                <w:b/>
                <w:sz w:val="21"/>
              </w:rPr>
              <w:t>最高</w:t>
            </w:r>
          </w:p>
          <w:p>
            <w:pPr>
              <w:pStyle w:val="TableParagraph"/>
              <w:spacing w:before="91"/>
              <w:ind w:left="201"/>
              <w:jc w:val="left"/>
              <w:rPr>
                <w:rFonts w:ascii="宋体" w:eastAsia="宋体" w:hint="eastAsia"/>
                <w:b/>
                <w:sz w:val="21"/>
              </w:rPr>
            </w:pPr>
            <w:r>
              <w:rPr>
                <w:rFonts w:ascii="宋体" w:eastAsia="宋体" w:hint="eastAsia"/>
                <w:b/>
                <w:sz w:val="21"/>
              </w:rPr>
              <w:t>风速</w:t>
            </w:r>
          </w:p>
        </w:tc>
        <w:tc>
          <w:tcPr>
            <w:tcW w:w="1077" w:type="dxa"/>
            <w:tcBorders>
              <w:top w:val="single" w:sz="6" w:space="0" w:color="000000"/>
              <w:left w:val="single" w:sz="6" w:space="0" w:color="000000"/>
              <w:bottom w:val="single" w:sz="6" w:space="0" w:color="000000"/>
            </w:tcBorders>
          </w:tcPr>
          <w:p>
            <w:pPr>
              <w:pStyle w:val="TableParagraph"/>
              <w:spacing w:before="46"/>
              <w:ind w:left="231"/>
              <w:jc w:val="left"/>
              <w:rPr>
                <w:rFonts w:ascii="宋体" w:eastAsia="宋体" w:hint="eastAsia"/>
                <w:b/>
                <w:sz w:val="21"/>
              </w:rPr>
            </w:pPr>
            <w:r>
              <w:rPr>
                <w:rFonts w:ascii="宋体" w:eastAsia="宋体" w:hint="eastAsia"/>
                <w:b/>
                <w:sz w:val="21"/>
              </w:rPr>
              <w:t>水帘过</w:t>
            </w:r>
          </w:p>
          <w:p>
            <w:pPr>
              <w:pStyle w:val="TableParagraph"/>
              <w:spacing w:before="91"/>
              <w:ind w:left="231"/>
              <w:jc w:val="left"/>
              <w:rPr>
                <w:rFonts w:ascii="宋体" w:eastAsia="宋体" w:hint="eastAsia"/>
                <w:b/>
                <w:sz w:val="21"/>
              </w:rPr>
            </w:pPr>
            <w:r>
              <w:rPr>
                <w:rFonts w:ascii="宋体" w:eastAsia="宋体" w:hint="eastAsia"/>
                <w:b/>
                <w:sz w:val="21"/>
              </w:rPr>
              <w:t>帘风速</w:t>
            </w:r>
          </w:p>
        </w:tc>
      </w:tr>
      <w:tr>
        <w:trPr>
          <w:trHeight w:val="359" w:hRule="atLeast"/>
        </w:trPr>
        <w:tc>
          <w:tcPr>
            <w:tcW w:w="1884" w:type="dxa"/>
            <w:tcBorders>
              <w:top w:val="single" w:sz="6" w:space="0" w:color="000000"/>
              <w:bottom w:val="single" w:sz="6" w:space="0" w:color="000000"/>
              <w:right w:val="single" w:sz="6" w:space="0" w:color="000000"/>
            </w:tcBorders>
          </w:tcPr>
          <w:p>
            <w:pPr>
              <w:pStyle w:val="TableParagraph"/>
              <w:spacing w:before="46"/>
              <w:ind w:left="259" w:right="238"/>
              <w:rPr>
                <w:rFonts w:ascii="宋体" w:eastAsia="宋体" w:hint="eastAsia"/>
                <w:sz w:val="21"/>
              </w:rPr>
            </w:pPr>
            <w:r>
              <w:rPr>
                <w:rFonts w:ascii="宋体" w:eastAsia="宋体" w:hint="eastAsia"/>
                <w:sz w:val="21"/>
              </w:rPr>
              <w:t>车间一 </w:t>
            </w:r>
            <w:r>
              <w:rPr>
                <w:position w:val="1"/>
                <w:sz w:val="21"/>
              </w:rPr>
              <w:t>3 </w:t>
            </w:r>
            <w:r>
              <w:rPr>
                <w:rFonts w:ascii="宋体" w:eastAsia="宋体" w:hint="eastAsia"/>
                <w:sz w:val="21"/>
              </w:rPr>
              <w:t>层</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4" w:right="103"/>
              <w:rPr>
                <w:rFonts w:ascii="宋体" w:eastAsia="宋体" w:hint="eastAsia"/>
                <w:sz w:val="21"/>
              </w:rPr>
            </w:pPr>
            <w:r>
              <w:rPr>
                <w:rFonts w:ascii="宋体" w:eastAsia="宋体" w:hint="eastAsia"/>
                <w:sz w:val="21"/>
              </w:rPr>
              <w:t>公猪舍</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81"/>
              <w:rPr>
                <w:sz w:val="21"/>
              </w:rPr>
            </w:pPr>
            <w:r>
              <w:rPr>
                <w:sz w:val="21"/>
              </w:rPr>
              <w:t>1680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ind w:left="208" w:right="180"/>
              <w:rPr>
                <w:sz w:val="21"/>
              </w:rPr>
            </w:pPr>
            <w:r>
              <w:rPr>
                <w:sz w:val="21"/>
              </w:rPr>
              <w:t>22500</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ind w:left="102" w:right="70"/>
              <w:rPr>
                <w:sz w:val="21"/>
              </w:rPr>
            </w:pPr>
            <w:r>
              <w:rPr>
                <w:sz w:val="21"/>
              </w:rPr>
              <w:t>17</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76"/>
              <w:rPr>
                <w:sz w:val="21"/>
              </w:rPr>
            </w:pPr>
            <w:r>
              <w:rPr>
                <w:sz w:val="21"/>
              </w:rPr>
              <w:t>156</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ind w:left="208" w:right="176"/>
              <w:rPr>
                <w:sz w:val="21"/>
              </w:rPr>
            </w:pPr>
            <w:r>
              <w:rPr>
                <w:sz w:val="21"/>
              </w:rPr>
              <w:t>1.60</w:t>
            </w:r>
          </w:p>
        </w:tc>
        <w:tc>
          <w:tcPr>
            <w:tcW w:w="1077" w:type="dxa"/>
            <w:tcBorders>
              <w:top w:val="single" w:sz="6" w:space="0" w:color="000000"/>
              <w:left w:val="single" w:sz="6" w:space="0" w:color="000000"/>
              <w:bottom w:val="single" w:sz="6" w:space="0" w:color="000000"/>
            </w:tcBorders>
          </w:tcPr>
          <w:p>
            <w:pPr>
              <w:pStyle w:val="TableParagraph"/>
              <w:ind w:left="366"/>
              <w:jc w:val="left"/>
              <w:rPr>
                <w:sz w:val="21"/>
              </w:rPr>
            </w:pPr>
            <w:r>
              <w:rPr>
                <w:sz w:val="21"/>
              </w:rPr>
              <w:t>2.01</w:t>
            </w:r>
          </w:p>
        </w:tc>
      </w:tr>
      <w:tr>
        <w:trPr>
          <w:trHeight w:val="359" w:hRule="atLeast"/>
        </w:trPr>
        <w:tc>
          <w:tcPr>
            <w:tcW w:w="1884" w:type="dxa"/>
            <w:tcBorders>
              <w:top w:val="single" w:sz="6" w:space="0" w:color="000000"/>
              <w:bottom w:val="single" w:sz="6" w:space="0" w:color="000000"/>
              <w:right w:val="single" w:sz="6" w:space="0" w:color="000000"/>
            </w:tcBorders>
          </w:tcPr>
          <w:p>
            <w:pPr>
              <w:pStyle w:val="TableParagraph"/>
              <w:spacing w:before="46"/>
              <w:ind w:left="261" w:right="238"/>
              <w:rPr>
                <w:rFonts w:ascii="宋体" w:eastAsia="宋体" w:hint="eastAsia"/>
                <w:sz w:val="21"/>
              </w:rPr>
            </w:pPr>
            <w:r>
              <w:rPr>
                <w:rFonts w:ascii="宋体" w:eastAsia="宋体" w:hint="eastAsia"/>
                <w:sz w:val="21"/>
              </w:rPr>
              <w:t>车间一 </w:t>
            </w:r>
            <w:r>
              <w:rPr>
                <w:position w:val="1"/>
                <w:sz w:val="21"/>
              </w:rPr>
              <w:t>1~3 </w:t>
            </w:r>
            <w:r>
              <w:rPr>
                <w:rFonts w:ascii="宋体" w:eastAsia="宋体" w:hint="eastAsia"/>
                <w:sz w:val="21"/>
              </w:rPr>
              <w:t>层</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2" w:right="103"/>
              <w:rPr>
                <w:rFonts w:ascii="宋体" w:eastAsia="宋体" w:hint="eastAsia"/>
                <w:sz w:val="21"/>
              </w:rPr>
            </w:pPr>
            <w:r>
              <w:rPr>
                <w:rFonts w:ascii="宋体" w:eastAsia="宋体" w:hint="eastAsia"/>
                <w:sz w:val="21"/>
              </w:rPr>
              <w:t>小育肥舍</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81"/>
              <w:rPr>
                <w:sz w:val="21"/>
              </w:rPr>
            </w:pPr>
            <w:r>
              <w:rPr>
                <w:sz w:val="21"/>
              </w:rPr>
              <w:t>3120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ind w:left="208" w:right="180"/>
              <w:rPr>
                <w:sz w:val="21"/>
              </w:rPr>
            </w:pPr>
            <w:r>
              <w:rPr>
                <w:sz w:val="21"/>
              </w:rPr>
              <w:t>27300</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ind w:left="102" w:right="70"/>
              <w:rPr>
                <w:sz w:val="21"/>
              </w:rPr>
            </w:pPr>
            <w:r>
              <w:rPr>
                <w:sz w:val="21"/>
              </w:rPr>
              <w:t>27</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76"/>
              <w:rPr>
                <w:sz w:val="21"/>
              </w:rPr>
            </w:pPr>
            <w:r>
              <w:rPr>
                <w:sz w:val="21"/>
              </w:rPr>
              <w:t>133</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ind w:left="208" w:right="176"/>
              <w:rPr>
                <w:sz w:val="21"/>
              </w:rPr>
            </w:pPr>
            <w:r>
              <w:rPr>
                <w:sz w:val="21"/>
              </w:rPr>
              <w:t>1.37</w:t>
            </w:r>
          </w:p>
        </w:tc>
        <w:tc>
          <w:tcPr>
            <w:tcW w:w="1077" w:type="dxa"/>
            <w:tcBorders>
              <w:top w:val="single" w:sz="6" w:space="0" w:color="000000"/>
              <w:left w:val="single" w:sz="6" w:space="0" w:color="000000"/>
              <w:bottom w:val="single" w:sz="6" w:space="0" w:color="000000"/>
            </w:tcBorders>
          </w:tcPr>
          <w:p>
            <w:pPr>
              <w:pStyle w:val="TableParagraph"/>
              <w:ind w:left="366"/>
              <w:jc w:val="left"/>
              <w:rPr>
                <w:sz w:val="21"/>
              </w:rPr>
            </w:pPr>
            <w:r>
              <w:rPr>
                <w:sz w:val="21"/>
              </w:rPr>
              <w:t>1.86</w:t>
            </w:r>
          </w:p>
        </w:tc>
      </w:tr>
      <w:tr>
        <w:trPr>
          <w:trHeight w:val="357" w:hRule="atLeast"/>
        </w:trPr>
        <w:tc>
          <w:tcPr>
            <w:tcW w:w="1884" w:type="dxa"/>
            <w:tcBorders>
              <w:top w:val="single" w:sz="6" w:space="0" w:color="000000"/>
              <w:bottom w:val="single" w:sz="6" w:space="0" w:color="000000"/>
              <w:right w:val="single" w:sz="6" w:space="0" w:color="000000"/>
            </w:tcBorders>
          </w:tcPr>
          <w:p>
            <w:pPr>
              <w:pStyle w:val="TableParagraph"/>
              <w:spacing w:before="46"/>
              <w:ind w:left="261" w:right="238"/>
              <w:rPr>
                <w:rFonts w:ascii="宋体" w:eastAsia="宋体" w:hint="eastAsia"/>
                <w:sz w:val="21"/>
              </w:rPr>
            </w:pPr>
            <w:r>
              <w:rPr>
                <w:rFonts w:ascii="宋体" w:eastAsia="宋体" w:hint="eastAsia"/>
                <w:sz w:val="21"/>
              </w:rPr>
              <w:t>车间一 </w:t>
            </w:r>
            <w:r>
              <w:rPr>
                <w:position w:val="1"/>
                <w:sz w:val="21"/>
              </w:rPr>
              <w:t>1~3 </w:t>
            </w:r>
            <w:r>
              <w:rPr>
                <w:rFonts w:ascii="宋体" w:eastAsia="宋体" w:hint="eastAsia"/>
                <w:sz w:val="21"/>
              </w:rPr>
              <w:t>层</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2" w:right="103"/>
              <w:rPr>
                <w:rFonts w:ascii="宋体" w:eastAsia="宋体" w:hint="eastAsia"/>
                <w:sz w:val="21"/>
              </w:rPr>
            </w:pPr>
            <w:r>
              <w:rPr>
                <w:rFonts w:ascii="宋体" w:eastAsia="宋体" w:hint="eastAsia"/>
                <w:sz w:val="21"/>
              </w:rPr>
              <w:t>大育肥舍</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81"/>
              <w:rPr>
                <w:sz w:val="21"/>
              </w:rPr>
            </w:pPr>
            <w:r>
              <w:rPr>
                <w:sz w:val="21"/>
              </w:rPr>
              <w:t>4180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ind w:left="208" w:right="180"/>
              <w:rPr>
                <w:sz w:val="21"/>
              </w:rPr>
            </w:pPr>
            <w:r>
              <w:rPr>
                <w:sz w:val="21"/>
              </w:rPr>
              <w:t>49000</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ind w:left="102" w:right="70"/>
              <w:rPr>
                <w:sz w:val="21"/>
              </w:rPr>
            </w:pPr>
            <w:r>
              <w:rPr>
                <w:sz w:val="21"/>
              </w:rPr>
              <w:t>36</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76"/>
              <w:rPr>
                <w:sz w:val="21"/>
              </w:rPr>
            </w:pPr>
            <w:r>
              <w:rPr>
                <w:sz w:val="21"/>
              </w:rPr>
              <w:t>143</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ind w:left="208" w:right="176"/>
              <w:rPr>
                <w:sz w:val="21"/>
              </w:rPr>
            </w:pPr>
            <w:r>
              <w:rPr>
                <w:sz w:val="21"/>
              </w:rPr>
              <w:t>1.47</w:t>
            </w:r>
          </w:p>
        </w:tc>
        <w:tc>
          <w:tcPr>
            <w:tcW w:w="1077" w:type="dxa"/>
            <w:tcBorders>
              <w:top w:val="single" w:sz="6" w:space="0" w:color="000000"/>
              <w:left w:val="single" w:sz="6" w:space="0" w:color="000000"/>
              <w:bottom w:val="single" w:sz="6" w:space="0" w:color="000000"/>
            </w:tcBorders>
          </w:tcPr>
          <w:p>
            <w:pPr>
              <w:pStyle w:val="TableParagraph"/>
              <w:ind w:left="366"/>
              <w:jc w:val="left"/>
              <w:rPr>
                <w:sz w:val="21"/>
              </w:rPr>
            </w:pPr>
            <w:r>
              <w:rPr>
                <w:sz w:val="21"/>
              </w:rPr>
              <w:t>2.03</w:t>
            </w:r>
          </w:p>
        </w:tc>
      </w:tr>
      <w:tr>
        <w:trPr>
          <w:trHeight w:val="359" w:hRule="atLeast"/>
        </w:trPr>
        <w:tc>
          <w:tcPr>
            <w:tcW w:w="1884" w:type="dxa"/>
            <w:tcBorders>
              <w:top w:val="single" w:sz="6" w:space="0" w:color="000000"/>
              <w:bottom w:val="single" w:sz="6" w:space="0" w:color="000000"/>
              <w:right w:val="single" w:sz="6" w:space="0" w:color="000000"/>
            </w:tcBorders>
          </w:tcPr>
          <w:p>
            <w:pPr>
              <w:pStyle w:val="TableParagraph"/>
              <w:spacing w:before="49"/>
              <w:ind w:left="259" w:right="238"/>
              <w:rPr>
                <w:rFonts w:ascii="宋体" w:eastAsia="宋体" w:hint="eastAsia"/>
                <w:sz w:val="21"/>
              </w:rPr>
            </w:pPr>
            <w:r>
              <w:rPr>
                <w:rFonts w:ascii="宋体" w:eastAsia="宋体" w:hint="eastAsia"/>
                <w:sz w:val="21"/>
              </w:rPr>
              <w:t>车间二 </w:t>
            </w:r>
            <w:r>
              <w:rPr>
                <w:position w:val="1"/>
                <w:sz w:val="21"/>
              </w:rPr>
              <w:t>4 </w:t>
            </w:r>
            <w:r>
              <w:rPr>
                <w:rFonts w:ascii="宋体" w:eastAsia="宋体" w:hint="eastAsia"/>
                <w:sz w:val="21"/>
              </w:rPr>
              <w:t>层</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9"/>
              <w:ind w:left="134" w:right="103"/>
              <w:rPr>
                <w:rFonts w:ascii="宋体" w:eastAsia="宋体" w:hint="eastAsia"/>
                <w:sz w:val="21"/>
              </w:rPr>
            </w:pPr>
            <w:r>
              <w:rPr>
                <w:rFonts w:ascii="宋体" w:eastAsia="宋体" w:hint="eastAsia"/>
                <w:sz w:val="21"/>
              </w:rPr>
              <w:t>分娩舍</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before="60"/>
              <w:ind w:left="210" w:right="181"/>
              <w:rPr>
                <w:sz w:val="21"/>
              </w:rPr>
            </w:pPr>
            <w:r>
              <w:rPr>
                <w:sz w:val="21"/>
              </w:rPr>
              <w:t>1760</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spacing w:before="60"/>
              <w:ind w:left="208" w:right="180"/>
              <w:rPr>
                <w:sz w:val="21"/>
              </w:rPr>
            </w:pPr>
            <w:r>
              <w:rPr>
                <w:sz w:val="21"/>
              </w:rPr>
              <w:t>22500</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spacing w:before="60"/>
              <w:ind w:left="102" w:right="70"/>
              <w:rPr>
                <w:sz w:val="21"/>
              </w:rPr>
            </w:pPr>
            <w:r>
              <w:rPr>
                <w:sz w:val="21"/>
              </w:rPr>
              <w:t>19</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spacing w:before="60"/>
              <w:ind w:left="210" w:right="176"/>
              <w:rPr>
                <w:sz w:val="21"/>
              </w:rPr>
            </w:pPr>
            <w:r>
              <w:rPr>
                <w:sz w:val="21"/>
              </w:rPr>
              <w:t>128</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spacing w:before="60"/>
              <w:ind w:left="208" w:right="176"/>
              <w:rPr>
                <w:sz w:val="21"/>
              </w:rPr>
            </w:pPr>
            <w:r>
              <w:rPr>
                <w:sz w:val="21"/>
              </w:rPr>
              <w:t>1.36</w:t>
            </w:r>
          </w:p>
        </w:tc>
        <w:tc>
          <w:tcPr>
            <w:tcW w:w="1077" w:type="dxa"/>
            <w:tcBorders>
              <w:top w:val="single" w:sz="6" w:space="0" w:color="000000"/>
              <w:left w:val="single" w:sz="6" w:space="0" w:color="000000"/>
              <w:bottom w:val="single" w:sz="6" w:space="0" w:color="000000"/>
            </w:tcBorders>
          </w:tcPr>
          <w:p>
            <w:pPr>
              <w:pStyle w:val="TableParagraph"/>
              <w:spacing w:before="60"/>
              <w:ind w:left="366"/>
              <w:jc w:val="left"/>
              <w:rPr>
                <w:sz w:val="21"/>
              </w:rPr>
            </w:pPr>
            <w:r>
              <w:rPr>
                <w:sz w:val="21"/>
              </w:rPr>
              <w:t>1.92</w:t>
            </w:r>
          </w:p>
        </w:tc>
      </w:tr>
      <w:tr>
        <w:trPr>
          <w:trHeight w:val="359" w:hRule="atLeast"/>
        </w:trPr>
        <w:tc>
          <w:tcPr>
            <w:tcW w:w="1884" w:type="dxa"/>
            <w:tcBorders>
              <w:top w:val="single" w:sz="6" w:space="0" w:color="000000"/>
              <w:bottom w:val="single" w:sz="6" w:space="0" w:color="000000"/>
              <w:right w:val="single" w:sz="6" w:space="0" w:color="000000"/>
            </w:tcBorders>
          </w:tcPr>
          <w:p>
            <w:pPr>
              <w:pStyle w:val="TableParagraph"/>
              <w:spacing w:before="46"/>
              <w:ind w:left="259" w:right="238"/>
              <w:rPr>
                <w:rFonts w:ascii="宋体" w:eastAsia="宋体" w:hint="eastAsia"/>
                <w:sz w:val="21"/>
              </w:rPr>
            </w:pPr>
            <w:r>
              <w:rPr>
                <w:rFonts w:ascii="宋体" w:eastAsia="宋体" w:hint="eastAsia"/>
                <w:sz w:val="21"/>
              </w:rPr>
              <w:t>车间二 </w:t>
            </w:r>
            <w:r>
              <w:rPr>
                <w:position w:val="1"/>
                <w:sz w:val="21"/>
              </w:rPr>
              <w:t>3 </w:t>
            </w:r>
            <w:r>
              <w:rPr>
                <w:rFonts w:ascii="宋体" w:eastAsia="宋体" w:hint="eastAsia"/>
                <w:sz w:val="21"/>
              </w:rPr>
              <w:t>层</w:t>
            </w:r>
          </w:p>
        </w:tc>
        <w:tc>
          <w:tcPr>
            <w:tcW w:w="1342" w:type="dxa"/>
            <w:tcBorders>
              <w:top w:val="single" w:sz="6" w:space="0" w:color="000000"/>
              <w:left w:val="single" w:sz="6" w:space="0" w:color="000000"/>
              <w:bottom w:val="single" w:sz="6" w:space="0" w:color="000000"/>
              <w:right w:val="single" w:sz="6" w:space="0" w:color="000000"/>
            </w:tcBorders>
          </w:tcPr>
          <w:p>
            <w:pPr>
              <w:pStyle w:val="TableParagraph"/>
              <w:spacing w:before="46"/>
              <w:ind w:left="134" w:right="103"/>
              <w:rPr>
                <w:rFonts w:ascii="宋体" w:eastAsia="宋体" w:hint="eastAsia"/>
                <w:sz w:val="21"/>
              </w:rPr>
            </w:pPr>
            <w:r>
              <w:rPr>
                <w:rFonts w:ascii="宋体" w:eastAsia="宋体" w:hint="eastAsia"/>
                <w:sz w:val="21"/>
              </w:rPr>
              <w:t>保育舍</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81"/>
              <w:rPr>
                <w:sz w:val="21"/>
              </w:rPr>
            </w:pPr>
            <w:r>
              <w:rPr>
                <w:sz w:val="21"/>
              </w:rPr>
              <w:t>1872</w:t>
            </w:r>
          </w:p>
        </w:tc>
        <w:tc>
          <w:tcPr>
            <w:tcW w:w="1077" w:type="dxa"/>
            <w:tcBorders>
              <w:top w:val="single" w:sz="6" w:space="0" w:color="000000"/>
              <w:left w:val="single" w:sz="6" w:space="0" w:color="000000"/>
              <w:bottom w:val="single" w:sz="6" w:space="0" w:color="000000"/>
              <w:right w:val="single" w:sz="6" w:space="0" w:color="000000"/>
            </w:tcBorders>
          </w:tcPr>
          <w:p>
            <w:pPr>
              <w:pStyle w:val="TableParagraph"/>
              <w:ind w:left="208" w:right="180"/>
              <w:rPr>
                <w:sz w:val="21"/>
              </w:rPr>
            </w:pPr>
            <w:r>
              <w:rPr>
                <w:sz w:val="21"/>
              </w:rPr>
              <w:t>22500</w:t>
            </w:r>
          </w:p>
        </w:tc>
        <w:tc>
          <w:tcPr>
            <w:tcW w:w="1079" w:type="dxa"/>
            <w:tcBorders>
              <w:top w:val="single" w:sz="6" w:space="0" w:color="000000"/>
              <w:left w:val="single" w:sz="6" w:space="0" w:color="000000"/>
              <w:bottom w:val="single" w:sz="6" w:space="0" w:color="000000"/>
              <w:right w:val="single" w:sz="6" w:space="0" w:color="000000"/>
            </w:tcBorders>
          </w:tcPr>
          <w:p>
            <w:pPr>
              <w:pStyle w:val="TableParagraph"/>
              <w:ind w:left="102" w:right="70"/>
              <w:rPr>
                <w:sz w:val="21"/>
              </w:rPr>
            </w:pPr>
            <w:r>
              <w:rPr>
                <w:sz w:val="21"/>
              </w:rPr>
              <w:t>32</w:t>
            </w:r>
          </w:p>
        </w:tc>
        <w:tc>
          <w:tcPr>
            <w:tcW w:w="1080" w:type="dxa"/>
            <w:tcBorders>
              <w:top w:val="single" w:sz="6" w:space="0" w:color="000000"/>
              <w:left w:val="single" w:sz="6" w:space="0" w:color="000000"/>
              <w:bottom w:val="single" w:sz="6" w:space="0" w:color="000000"/>
              <w:right w:val="single" w:sz="6" w:space="0" w:color="000000"/>
            </w:tcBorders>
          </w:tcPr>
          <w:p>
            <w:pPr>
              <w:pStyle w:val="TableParagraph"/>
              <w:ind w:left="210" w:right="176"/>
              <w:rPr>
                <w:sz w:val="21"/>
              </w:rPr>
            </w:pPr>
            <w:r>
              <w:rPr>
                <w:sz w:val="21"/>
              </w:rPr>
              <w:t>72</w:t>
            </w:r>
          </w:p>
        </w:tc>
        <w:tc>
          <w:tcPr>
            <w:tcW w:w="808" w:type="dxa"/>
            <w:tcBorders>
              <w:top w:val="single" w:sz="6" w:space="0" w:color="000000"/>
              <w:left w:val="single" w:sz="6" w:space="0" w:color="000000"/>
              <w:bottom w:val="single" w:sz="6" w:space="0" w:color="000000"/>
              <w:right w:val="single" w:sz="6" w:space="0" w:color="000000"/>
            </w:tcBorders>
          </w:tcPr>
          <w:p>
            <w:pPr>
              <w:pStyle w:val="TableParagraph"/>
              <w:ind w:left="208" w:right="176"/>
              <w:rPr>
                <w:sz w:val="21"/>
              </w:rPr>
            </w:pPr>
            <w:r>
              <w:rPr>
                <w:sz w:val="21"/>
              </w:rPr>
              <w:t>0.77</w:t>
            </w:r>
          </w:p>
        </w:tc>
        <w:tc>
          <w:tcPr>
            <w:tcW w:w="1077" w:type="dxa"/>
            <w:tcBorders>
              <w:top w:val="single" w:sz="6" w:space="0" w:color="000000"/>
              <w:left w:val="single" w:sz="6" w:space="0" w:color="000000"/>
              <w:bottom w:val="single" w:sz="6" w:space="0" w:color="000000"/>
            </w:tcBorders>
          </w:tcPr>
          <w:p>
            <w:pPr>
              <w:pStyle w:val="TableParagraph"/>
              <w:ind w:left="366"/>
              <w:jc w:val="left"/>
              <w:rPr>
                <w:sz w:val="21"/>
              </w:rPr>
            </w:pPr>
            <w:r>
              <w:rPr>
                <w:sz w:val="21"/>
              </w:rPr>
              <w:t>1.96</w:t>
            </w:r>
          </w:p>
        </w:tc>
      </w:tr>
      <w:tr>
        <w:trPr>
          <w:trHeight w:val="359" w:hRule="atLeast"/>
        </w:trPr>
        <w:tc>
          <w:tcPr>
            <w:tcW w:w="1884" w:type="dxa"/>
            <w:tcBorders>
              <w:top w:val="single" w:sz="6" w:space="0" w:color="000000"/>
              <w:right w:val="single" w:sz="6" w:space="0" w:color="000000"/>
            </w:tcBorders>
          </w:tcPr>
          <w:p>
            <w:pPr>
              <w:pStyle w:val="TableParagraph"/>
              <w:spacing w:before="46"/>
              <w:ind w:left="259" w:right="238"/>
              <w:rPr>
                <w:rFonts w:ascii="宋体" w:eastAsia="宋体" w:hint="eastAsia"/>
                <w:sz w:val="21"/>
              </w:rPr>
            </w:pPr>
            <w:r>
              <w:rPr>
                <w:rFonts w:ascii="宋体" w:eastAsia="宋体" w:hint="eastAsia"/>
                <w:sz w:val="21"/>
              </w:rPr>
              <w:t>车间二 </w:t>
            </w:r>
            <w:r>
              <w:rPr>
                <w:position w:val="1"/>
                <w:sz w:val="21"/>
              </w:rPr>
              <w:t>1/2 </w:t>
            </w:r>
            <w:r>
              <w:rPr>
                <w:rFonts w:ascii="宋体" w:eastAsia="宋体" w:hint="eastAsia"/>
                <w:sz w:val="21"/>
              </w:rPr>
              <w:t>层</w:t>
            </w:r>
          </w:p>
        </w:tc>
        <w:tc>
          <w:tcPr>
            <w:tcW w:w="1342" w:type="dxa"/>
            <w:tcBorders>
              <w:top w:val="single" w:sz="6" w:space="0" w:color="000000"/>
              <w:left w:val="single" w:sz="6" w:space="0" w:color="000000"/>
              <w:right w:val="single" w:sz="6" w:space="0" w:color="000000"/>
            </w:tcBorders>
          </w:tcPr>
          <w:p>
            <w:pPr>
              <w:pStyle w:val="TableParagraph"/>
              <w:spacing w:before="46"/>
              <w:ind w:left="134" w:right="103"/>
              <w:rPr>
                <w:rFonts w:ascii="宋体" w:eastAsia="宋体" w:hint="eastAsia"/>
                <w:sz w:val="21"/>
              </w:rPr>
            </w:pPr>
            <w:r>
              <w:rPr>
                <w:rFonts w:ascii="宋体" w:eastAsia="宋体" w:hint="eastAsia"/>
                <w:sz w:val="21"/>
              </w:rPr>
              <w:t>育肥舍</w:t>
            </w:r>
          </w:p>
        </w:tc>
        <w:tc>
          <w:tcPr>
            <w:tcW w:w="1080" w:type="dxa"/>
            <w:tcBorders>
              <w:top w:val="single" w:sz="6" w:space="0" w:color="000000"/>
              <w:left w:val="single" w:sz="6" w:space="0" w:color="000000"/>
              <w:right w:val="single" w:sz="6" w:space="0" w:color="000000"/>
            </w:tcBorders>
          </w:tcPr>
          <w:p>
            <w:pPr>
              <w:pStyle w:val="TableParagraph"/>
              <w:ind w:left="210" w:right="181"/>
              <w:rPr>
                <w:sz w:val="21"/>
              </w:rPr>
            </w:pPr>
            <w:r>
              <w:rPr>
                <w:sz w:val="21"/>
              </w:rPr>
              <w:t>4560</w:t>
            </w:r>
          </w:p>
        </w:tc>
        <w:tc>
          <w:tcPr>
            <w:tcW w:w="1077" w:type="dxa"/>
            <w:tcBorders>
              <w:top w:val="single" w:sz="6" w:space="0" w:color="000000"/>
              <w:left w:val="single" w:sz="6" w:space="0" w:color="000000"/>
              <w:right w:val="single" w:sz="6" w:space="0" w:color="000000"/>
            </w:tcBorders>
          </w:tcPr>
          <w:p>
            <w:pPr>
              <w:pStyle w:val="TableParagraph"/>
              <w:ind w:left="208" w:right="180"/>
              <w:rPr>
                <w:sz w:val="21"/>
              </w:rPr>
            </w:pPr>
            <w:r>
              <w:rPr>
                <w:sz w:val="21"/>
              </w:rPr>
              <w:t>49000</w:t>
            </w:r>
          </w:p>
        </w:tc>
        <w:tc>
          <w:tcPr>
            <w:tcW w:w="1079" w:type="dxa"/>
            <w:tcBorders>
              <w:top w:val="single" w:sz="6" w:space="0" w:color="000000"/>
              <w:left w:val="single" w:sz="6" w:space="0" w:color="000000"/>
              <w:right w:val="single" w:sz="6" w:space="0" w:color="000000"/>
            </w:tcBorders>
          </w:tcPr>
          <w:p>
            <w:pPr>
              <w:pStyle w:val="TableParagraph"/>
              <w:ind w:left="102" w:right="70"/>
              <w:rPr>
                <w:sz w:val="21"/>
              </w:rPr>
            </w:pPr>
            <w:r>
              <w:rPr>
                <w:sz w:val="21"/>
              </w:rPr>
              <w:t>33</w:t>
            </w:r>
          </w:p>
        </w:tc>
        <w:tc>
          <w:tcPr>
            <w:tcW w:w="1080" w:type="dxa"/>
            <w:tcBorders>
              <w:top w:val="single" w:sz="6" w:space="0" w:color="000000"/>
              <w:left w:val="single" w:sz="6" w:space="0" w:color="000000"/>
              <w:right w:val="single" w:sz="6" w:space="0" w:color="000000"/>
            </w:tcBorders>
          </w:tcPr>
          <w:p>
            <w:pPr>
              <w:pStyle w:val="TableParagraph"/>
              <w:ind w:left="210" w:right="176"/>
              <w:rPr>
                <w:sz w:val="21"/>
              </w:rPr>
            </w:pPr>
            <w:r>
              <w:rPr>
                <w:sz w:val="21"/>
              </w:rPr>
              <w:t>130</w:t>
            </w:r>
          </w:p>
        </w:tc>
        <w:tc>
          <w:tcPr>
            <w:tcW w:w="808" w:type="dxa"/>
            <w:tcBorders>
              <w:top w:val="single" w:sz="6" w:space="0" w:color="000000"/>
              <w:left w:val="single" w:sz="6" w:space="0" w:color="000000"/>
              <w:right w:val="single" w:sz="6" w:space="0" w:color="000000"/>
            </w:tcBorders>
          </w:tcPr>
          <w:p>
            <w:pPr>
              <w:pStyle w:val="TableParagraph"/>
              <w:ind w:left="208" w:right="176"/>
              <w:rPr>
                <w:sz w:val="21"/>
              </w:rPr>
            </w:pPr>
            <w:r>
              <w:rPr>
                <w:sz w:val="21"/>
              </w:rPr>
              <w:t>1.38</w:t>
            </w:r>
          </w:p>
        </w:tc>
        <w:tc>
          <w:tcPr>
            <w:tcW w:w="1077" w:type="dxa"/>
            <w:tcBorders>
              <w:top w:val="single" w:sz="6" w:space="0" w:color="000000"/>
              <w:left w:val="single" w:sz="6" w:space="0" w:color="000000"/>
            </w:tcBorders>
          </w:tcPr>
          <w:p>
            <w:pPr>
              <w:pStyle w:val="TableParagraph"/>
              <w:ind w:left="366"/>
              <w:jc w:val="left"/>
              <w:rPr>
                <w:sz w:val="21"/>
              </w:rPr>
            </w:pPr>
            <w:r>
              <w:rPr>
                <w:sz w:val="21"/>
              </w:rPr>
              <w:t>2.03</w:t>
            </w:r>
          </w:p>
        </w:tc>
      </w:tr>
    </w:tbl>
    <w:p>
      <w:pPr>
        <w:pStyle w:val="BodyText"/>
        <w:spacing w:line="364" w:lineRule="auto" w:before="92"/>
        <w:ind w:right="201" w:firstLine="482"/>
        <w:jc w:val="both"/>
      </w:pPr>
      <w:r>
        <w:rPr>
          <w:b/>
          <w:spacing w:val="-4"/>
        </w:rPr>
        <w:t>可行性分析： </w:t>
      </w:r>
      <w:r>
        <w:rPr>
          <w:spacing w:val="16"/>
        </w:rPr>
        <w:t>根据浙江大学农业生物环境工程研究所的检测研究（报告编号： </w:t>
      </w:r>
      <w:r>
        <w:rPr>
          <w:rFonts w:ascii="Times New Roman" w:eastAsia="Times New Roman"/>
        </w:rPr>
        <w:t>ZJUAQG-001</w:t>
      </w:r>
      <w:r>
        <w:rPr>
          <w:spacing w:val="-13"/>
          <w:position w:val="0"/>
        </w:rPr>
        <w:t>，详见表 </w:t>
      </w:r>
      <w:r>
        <w:rPr>
          <w:rFonts w:ascii="Times New Roman" w:eastAsia="Times New Roman"/>
        </w:rPr>
        <w:t>6.2-4</w:t>
      </w:r>
      <w:r>
        <w:rPr>
          <w:position w:val="0"/>
        </w:rPr>
        <w:t>），</w:t>
      </w:r>
      <w:r>
        <w:rPr>
          <w:spacing w:val="-13"/>
          <w:position w:val="0"/>
        </w:rPr>
        <w:t>该装置对 </w:t>
      </w:r>
      <w:r>
        <w:rPr>
          <w:rFonts w:ascii="Times New Roman" w:eastAsia="Times New Roman"/>
        </w:rPr>
        <w:t>NH</w:t>
      </w:r>
      <w:r>
        <w:rPr>
          <w:rFonts w:ascii="Times New Roman" w:eastAsia="Times New Roman"/>
          <w:vertAlign w:val="subscript"/>
        </w:rPr>
        <w:t>3</w:t>
      </w:r>
      <w:r>
        <w:rPr>
          <w:position w:val="0"/>
          <w:vertAlign w:val="baseline"/>
        </w:rPr>
        <w:t>、</w:t>
      </w:r>
      <w:r>
        <w:rPr>
          <w:rFonts w:ascii="Times New Roman" w:eastAsia="Times New Roman"/>
          <w:vertAlign w:val="baseline"/>
        </w:rPr>
        <w:t>H</w:t>
      </w:r>
      <w:r>
        <w:rPr>
          <w:rFonts w:ascii="Times New Roman" w:eastAsia="Times New Roman"/>
          <w:vertAlign w:val="subscript"/>
        </w:rPr>
        <w:t>2</w:t>
      </w:r>
      <w:r>
        <w:rPr>
          <w:rFonts w:ascii="Times New Roman" w:eastAsia="Times New Roman"/>
          <w:vertAlign w:val="baseline"/>
        </w:rPr>
        <w:t>S </w:t>
      </w:r>
      <w:r>
        <w:rPr>
          <w:spacing w:val="-8"/>
          <w:position w:val="0"/>
          <w:vertAlign w:val="baseline"/>
        </w:rPr>
        <w:t>的去除率可分别达 </w:t>
      </w:r>
      <w:r>
        <w:rPr>
          <w:rFonts w:ascii="Times New Roman" w:eastAsia="Times New Roman"/>
          <w:vertAlign w:val="baseline"/>
        </w:rPr>
        <w:t>91.1%</w:t>
      </w:r>
      <w:r>
        <w:rPr>
          <w:spacing w:val="-32"/>
          <w:position w:val="0"/>
          <w:vertAlign w:val="baseline"/>
        </w:rPr>
        <w:t>及 </w:t>
      </w:r>
      <w:r>
        <w:rPr>
          <w:rFonts w:ascii="Times New Roman" w:eastAsia="Times New Roman"/>
          <w:vertAlign w:val="baseline"/>
        </w:rPr>
        <w:t>79.1%</w:t>
      </w:r>
      <w:r>
        <w:rPr>
          <w:position w:val="0"/>
          <w:vertAlign w:val="baseline"/>
        </w:rPr>
        <w:t>， </w:t>
      </w:r>
      <w:r>
        <w:rPr>
          <w:spacing w:val="-9"/>
          <w:vertAlign w:val="baseline"/>
        </w:rPr>
        <w:t>因此本环评按 </w:t>
      </w:r>
      <w:r>
        <w:rPr>
          <w:rFonts w:ascii="Times New Roman" w:eastAsia="Times New Roman"/>
          <w:position w:val="1"/>
          <w:vertAlign w:val="baseline"/>
        </w:rPr>
        <w:t>85%</w:t>
      </w:r>
      <w:r>
        <w:rPr>
          <w:spacing w:val="-30"/>
          <w:vertAlign w:val="baseline"/>
        </w:rPr>
        <w:t>及 </w:t>
      </w:r>
      <w:r>
        <w:rPr>
          <w:rFonts w:ascii="Times New Roman" w:eastAsia="Times New Roman"/>
          <w:position w:val="1"/>
          <w:vertAlign w:val="baseline"/>
        </w:rPr>
        <w:t>75%</w:t>
      </w:r>
      <w:r>
        <w:rPr>
          <w:vertAlign w:val="baseline"/>
        </w:rPr>
        <w:t>的除臭效率考虑是可行的，采用该工艺除臭也是可行的。</w:t>
      </w:r>
    </w:p>
    <w:p>
      <w:pPr>
        <w:pStyle w:val="Heading3"/>
        <w:spacing w:before="2"/>
        <w:ind w:left="3660"/>
        <w:jc w:val="both"/>
      </w:pPr>
      <w:r>
        <w:rPr/>
        <w:t>表 </w:t>
      </w:r>
      <w:r>
        <w:rPr>
          <w:rFonts w:ascii="Times New Roman" w:eastAsia="Times New Roman"/>
        </w:rPr>
        <w:t>6.2-4  </w:t>
      </w:r>
      <w:r>
        <w:rPr/>
        <w:t>臭气检测数据</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7"/>
        <w:gridCol w:w="2357"/>
        <w:gridCol w:w="2360"/>
        <w:gridCol w:w="2357"/>
      </w:tblGrid>
      <w:tr>
        <w:trPr>
          <w:trHeight w:val="359" w:hRule="atLeast"/>
        </w:trPr>
        <w:tc>
          <w:tcPr>
            <w:tcW w:w="2357" w:type="dxa"/>
            <w:tcBorders>
              <w:bottom w:val="single" w:sz="4" w:space="0" w:color="000000"/>
              <w:right w:val="single" w:sz="4" w:space="0" w:color="000000"/>
            </w:tcBorders>
          </w:tcPr>
          <w:p>
            <w:pPr>
              <w:pStyle w:val="TableParagraph"/>
              <w:spacing w:before="48"/>
              <w:ind w:left="516" w:right="498"/>
              <w:rPr>
                <w:rFonts w:ascii="宋体" w:eastAsia="宋体" w:hint="eastAsia"/>
                <w:b/>
                <w:sz w:val="21"/>
              </w:rPr>
            </w:pPr>
            <w:r>
              <w:rPr>
                <w:rFonts w:ascii="宋体" w:eastAsia="宋体" w:hint="eastAsia"/>
                <w:b/>
                <w:sz w:val="21"/>
              </w:rPr>
              <w:t>因子</w:t>
            </w:r>
          </w:p>
        </w:tc>
        <w:tc>
          <w:tcPr>
            <w:tcW w:w="2357" w:type="dxa"/>
            <w:tcBorders>
              <w:left w:val="single" w:sz="4" w:space="0" w:color="000000"/>
              <w:bottom w:val="single" w:sz="4" w:space="0" w:color="000000"/>
              <w:right w:val="single" w:sz="4" w:space="0" w:color="000000"/>
            </w:tcBorders>
          </w:tcPr>
          <w:p>
            <w:pPr>
              <w:pStyle w:val="TableParagraph"/>
              <w:spacing w:before="48"/>
              <w:ind w:left="201" w:right="174"/>
              <w:rPr>
                <w:rFonts w:ascii="宋体" w:eastAsia="宋体" w:hint="eastAsia"/>
                <w:b/>
                <w:sz w:val="21"/>
              </w:rPr>
            </w:pPr>
            <w:r>
              <w:rPr>
                <w:rFonts w:ascii="宋体" w:eastAsia="宋体" w:hint="eastAsia"/>
                <w:b/>
                <w:sz w:val="21"/>
              </w:rPr>
              <w:t>处理前浓度（</w:t>
            </w:r>
            <w:r>
              <w:rPr>
                <w:b/>
                <w:sz w:val="21"/>
              </w:rPr>
              <w:t>ppbv</w:t>
            </w:r>
            <w:r>
              <w:rPr>
                <w:rFonts w:ascii="宋体" w:eastAsia="宋体" w:hint="eastAsia"/>
                <w:b/>
                <w:sz w:val="21"/>
              </w:rPr>
              <w:t>）</w:t>
            </w:r>
          </w:p>
        </w:tc>
        <w:tc>
          <w:tcPr>
            <w:tcW w:w="2360" w:type="dxa"/>
            <w:tcBorders>
              <w:left w:val="single" w:sz="4" w:space="0" w:color="000000"/>
              <w:bottom w:val="single" w:sz="4" w:space="0" w:color="000000"/>
              <w:right w:val="single" w:sz="4" w:space="0" w:color="000000"/>
            </w:tcBorders>
          </w:tcPr>
          <w:p>
            <w:pPr>
              <w:pStyle w:val="TableParagraph"/>
              <w:spacing w:before="48"/>
              <w:ind w:left="203" w:right="174"/>
              <w:rPr>
                <w:rFonts w:ascii="宋体" w:eastAsia="宋体" w:hint="eastAsia"/>
                <w:b/>
                <w:sz w:val="21"/>
              </w:rPr>
            </w:pPr>
            <w:r>
              <w:rPr>
                <w:rFonts w:ascii="宋体" w:eastAsia="宋体" w:hint="eastAsia"/>
                <w:b/>
                <w:sz w:val="21"/>
              </w:rPr>
              <w:t>处理后浓度（</w:t>
            </w:r>
            <w:r>
              <w:rPr>
                <w:b/>
                <w:sz w:val="21"/>
              </w:rPr>
              <w:t>ppbv</w:t>
            </w:r>
            <w:r>
              <w:rPr>
                <w:rFonts w:ascii="宋体" w:eastAsia="宋体" w:hint="eastAsia"/>
                <w:b/>
                <w:sz w:val="21"/>
              </w:rPr>
              <w:t>）</w:t>
            </w:r>
          </w:p>
        </w:tc>
        <w:tc>
          <w:tcPr>
            <w:tcW w:w="2357" w:type="dxa"/>
            <w:tcBorders>
              <w:left w:val="single" w:sz="4" w:space="0" w:color="000000"/>
              <w:bottom w:val="single" w:sz="4" w:space="0" w:color="000000"/>
            </w:tcBorders>
          </w:tcPr>
          <w:p>
            <w:pPr>
              <w:pStyle w:val="TableParagraph"/>
              <w:spacing w:before="48"/>
              <w:ind w:left="534" w:right="498"/>
              <w:rPr>
                <w:rFonts w:ascii="宋体" w:eastAsia="宋体" w:hint="eastAsia"/>
                <w:b/>
                <w:sz w:val="21"/>
              </w:rPr>
            </w:pPr>
            <w:r>
              <w:rPr>
                <w:rFonts w:ascii="宋体" w:eastAsia="宋体" w:hint="eastAsia"/>
                <w:b/>
                <w:sz w:val="21"/>
              </w:rPr>
              <w:t>去除率（</w:t>
            </w:r>
            <w:r>
              <w:rPr>
                <w:b/>
                <w:sz w:val="21"/>
              </w:rPr>
              <w:t>%</w:t>
            </w:r>
            <w:r>
              <w:rPr>
                <w:rFonts w:ascii="宋体" w:eastAsia="宋体" w:hint="eastAsia"/>
                <w:b/>
                <w:sz w:val="21"/>
              </w:rPr>
              <w:t>）</w:t>
            </w:r>
          </w:p>
        </w:tc>
      </w:tr>
      <w:tr>
        <w:trPr>
          <w:trHeight w:val="359" w:hRule="atLeast"/>
        </w:trPr>
        <w:tc>
          <w:tcPr>
            <w:tcW w:w="2357" w:type="dxa"/>
            <w:tcBorders>
              <w:top w:val="single" w:sz="4" w:space="0" w:color="000000"/>
              <w:bottom w:val="single" w:sz="4" w:space="0" w:color="000000"/>
              <w:right w:val="single" w:sz="4" w:space="0" w:color="000000"/>
            </w:tcBorders>
          </w:tcPr>
          <w:p>
            <w:pPr>
              <w:pStyle w:val="TableParagraph"/>
              <w:spacing w:before="46"/>
              <w:ind w:left="18"/>
              <w:rPr>
                <w:rFonts w:ascii="宋体" w:eastAsia="宋体" w:hint="eastAsia"/>
                <w:sz w:val="21"/>
              </w:rPr>
            </w:pPr>
            <w:r>
              <w:rPr>
                <w:rFonts w:ascii="宋体" w:eastAsia="宋体" w:hint="eastAsia"/>
                <w:w w:val="100"/>
                <w:sz w:val="21"/>
              </w:rPr>
              <w:t>氨</w:t>
            </w:r>
          </w:p>
        </w:tc>
        <w:tc>
          <w:tcPr>
            <w:tcW w:w="2357" w:type="dxa"/>
            <w:tcBorders>
              <w:top w:val="single" w:sz="4" w:space="0" w:color="000000"/>
              <w:left w:val="single" w:sz="4" w:space="0" w:color="000000"/>
              <w:bottom w:val="single" w:sz="4" w:space="0" w:color="000000"/>
              <w:right w:val="single" w:sz="4" w:space="0" w:color="000000"/>
            </w:tcBorders>
          </w:tcPr>
          <w:p>
            <w:pPr>
              <w:pStyle w:val="TableParagraph"/>
              <w:ind w:left="201" w:right="172"/>
              <w:rPr>
                <w:sz w:val="21"/>
              </w:rPr>
            </w:pPr>
            <w:r>
              <w:rPr>
                <w:sz w:val="21"/>
              </w:rPr>
              <w:t>1728</w:t>
            </w:r>
          </w:p>
        </w:tc>
        <w:tc>
          <w:tcPr>
            <w:tcW w:w="2360" w:type="dxa"/>
            <w:tcBorders>
              <w:top w:val="single" w:sz="4" w:space="0" w:color="000000"/>
              <w:left w:val="single" w:sz="4" w:space="0" w:color="000000"/>
              <w:bottom w:val="single" w:sz="4" w:space="0" w:color="000000"/>
              <w:right w:val="single" w:sz="4" w:space="0" w:color="000000"/>
            </w:tcBorders>
          </w:tcPr>
          <w:p>
            <w:pPr>
              <w:pStyle w:val="TableParagraph"/>
              <w:ind w:left="203" w:right="172"/>
              <w:rPr>
                <w:sz w:val="21"/>
              </w:rPr>
            </w:pPr>
            <w:r>
              <w:rPr>
                <w:sz w:val="21"/>
              </w:rPr>
              <w:t>154</w:t>
            </w:r>
          </w:p>
        </w:tc>
        <w:tc>
          <w:tcPr>
            <w:tcW w:w="2357" w:type="dxa"/>
            <w:tcBorders>
              <w:top w:val="single" w:sz="4" w:space="0" w:color="000000"/>
              <w:left w:val="single" w:sz="4" w:space="0" w:color="000000"/>
              <w:bottom w:val="single" w:sz="4" w:space="0" w:color="000000"/>
            </w:tcBorders>
          </w:tcPr>
          <w:p>
            <w:pPr>
              <w:pStyle w:val="TableParagraph"/>
              <w:ind w:left="534" w:right="495"/>
              <w:rPr>
                <w:sz w:val="21"/>
              </w:rPr>
            </w:pPr>
            <w:r>
              <w:rPr>
                <w:sz w:val="21"/>
              </w:rPr>
              <w:t>91.1</w:t>
            </w:r>
          </w:p>
        </w:tc>
      </w:tr>
      <w:tr>
        <w:trPr>
          <w:trHeight w:val="359" w:hRule="atLeast"/>
        </w:trPr>
        <w:tc>
          <w:tcPr>
            <w:tcW w:w="2357" w:type="dxa"/>
            <w:tcBorders>
              <w:top w:val="single" w:sz="4" w:space="0" w:color="000000"/>
              <w:right w:val="single" w:sz="4" w:space="0" w:color="000000"/>
            </w:tcBorders>
          </w:tcPr>
          <w:p>
            <w:pPr>
              <w:pStyle w:val="TableParagraph"/>
              <w:spacing w:before="46"/>
              <w:ind w:left="516" w:right="498"/>
              <w:rPr>
                <w:rFonts w:ascii="宋体" w:eastAsia="宋体" w:hint="eastAsia"/>
                <w:sz w:val="21"/>
              </w:rPr>
            </w:pPr>
            <w:r>
              <w:rPr>
                <w:rFonts w:ascii="宋体" w:eastAsia="宋体" w:hint="eastAsia"/>
                <w:sz w:val="21"/>
              </w:rPr>
              <w:t>硫化氢</w:t>
            </w:r>
          </w:p>
        </w:tc>
        <w:tc>
          <w:tcPr>
            <w:tcW w:w="2357" w:type="dxa"/>
            <w:tcBorders>
              <w:top w:val="single" w:sz="4" w:space="0" w:color="000000"/>
              <w:left w:val="single" w:sz="4" w:space="0" w:color="000000"/>
              <w:right w:val="single" w:sz="4" w:space="0" w:color="000000"/>
            </w:tcBorders>
          </w:tcPr>
          <w:p>
            <w:pPr>
              <w:pStyle w:val="TableParagraph"/>
              <w:ind w:left="201" w:right="172"/>
              <w:rPr>
                <w:sz w:val="21"/>
              </w:rPr>
            </w:pPr>
            <w:r>
              <w:rPr>
                <w:sz w:val="21"/>
              </w:rPr>
              <w:t>172.8</w:t>
            </w:r>
          </w:p>
        </w:tc>
        <w:tc>
          <w:tcPr>
            <w:tcW w:w="2360" w:type="dxa"/>
            <w:tcBorders>
              <w:top w:val="single" w:sz="4" w:space="0" w:color="000000"/>
              <w:left w:val="single" w:sz="4" w:space="0" w:color="000000"/>
              <w:right w:val="single" w:sz="4" w:space="0" w:color="000000"/>
            </w:tcBorders>
          </w:tcPr>
          <w:p>
            <w:pPr>
              <w:pStyle w:val="TableParagraph"/>
              <w:ind w:left="203" w:right="172"/>
              <w:rPr>
                <w:sz w:val="21"/>
              </w:rPr>
            </w:pPr>
            <w:r>
              <w:rPr>
                <w:sz w:val="21"/>
              </w:rPr>
              <w:t>36.1</w:t>
            </w:r>
          </w:p>
        </w:tc>
        <w:tc>
          <w:tcPr>
            <w:tcW w:w="2357" w:type="dxa"/>
            <w:tcBorders>
              <w:top w:val="single" w:sz="4" w:space="0" w:color="000000"/>
              <w:left w:val="single" w:sz="4" w:space="0" w:color="000000"/>
            </w:tcBorders>
          </w:tcPr>
          <w:p>
            <w:pPr>
              <w:pStyle w:val="TableParagraph"/>
              <w:ind w:left="534" w:right="495"/>
              <w:rPr>
                <w:sz w:val="21"/>
              </w:rPr>
            </w:pPr>
            <w:r>
              <w:rPr>
                <w:sz w:val="21"/>
              </w:rPr>
              <w:t>79.1</w:t>
            </w:r>
          </w:p>
        </w:tc>
      </w:tr>
    </w:tbl>
    <w:p>
      <w:pPr>
        <w:spacing w:before="81"/>
        <w:ind w:left="719" w:right="0" w:firstLine="0"/>
        <w:jc w:val="left"/>
        <w:rPr>
          <w:b/>
          <w:sz w:val="24"/>
        </w:rPr>
      </w:pPr>
      <w:r>
        <w:rPr>
          <w:rFonts w:ascii="Times New Roman" w:eastAsia="Times New Roman"/>
          <w:b/>
          <w:sz w:val="24"/>
        </w:rPr>
        <w:t>2</w:t>
      </w:r>
      <w:r>
        <w:rPr>
          <w:b/>
          <w:sz w:val="24"/>
        </w:rPr>
        <w:t>、粪污处理臭气</w:t>
      </w:r>
    </w:p>
    <w:p>
      <w:pPr>
        <w:pStyle w:val="ListParagraph"/>
        <w:numPr>
          <w:ilvl w:val="0"/>
          <w:numId w:val="95"/>
        </w:numPr>
        <w:tabs>
          <w:tab w:pos="1323" w:val="left" w:leader="none"/>
        </w:tabs>
        <w:spacing w:line="240" w:lineRule="auto" w:before="161" w:after="0"/>
        <w:ind w:left="1323" w:right="0" w:hanging="604"/>
        <w:jc w:val="left"/>
        <w:rPr>
          <w:b/>
          <w:sz w:val="24"/>
        </w:rPr>
      </w:pPr>
      <w:r>
        <w:rPr>
          <w:b/>
          <w:sz w:val="24"/>
        </w:rPr>
        <w:t>风量设计</w:t>
      </w:r>
    </w:p>
    <w:p>
      <w:pPr>
        <w:pStyle w:val="BodyText"/>
        <w:spacing w:line="364" w:lineRule="auto" w:before="161"/>
        <w:ind w:right="129" w:firstLine="480"/>
      </w:pPr>
      <w:r>
        <w:rPr>
          <w:spacing w:val="-7"/>
        </w:rPr>
        <w:t>根据设计，预处理区各池体构筑物占地面积约 </w:t>
      </w:r>
      <w:r>
        <w:rPr>
          <w:rFonts w:ascii="Times New Roman" w:hAnsi="Times New Roman" w:eastAsia="Times New Roman"/>
          <w:spacing w:val="-3"/>
          <w:position w:val="1"/>
        </w:rPr>
        <w:t>442.13m</w:t>
      </w:r>
      <w:r>
        <w:rPr>
          <w:rFonts w:ascii="Times New Roman" w:hAnsi="Times New Roman" w:eastAsia="Times New Roman"/>
          <w:spacing w:val="-3"/>
          <w:position w:val="1"/>
          <w:vertAlign w:val="superscript"/>
        </w:rPr>
        <w:t>2</w:t>
      </w:r>
      <w:r>
        <w:rPr>
          <w:spacing w:val="-10"/>
          <w:vertAlign w:val="baseline"/>
        </w:rPr>
        <w:t>，加盖高度为 </w:t>
      </w:r>
      <w:r>
        <w:rPr>
          <w:rFonts w:ascii="Times New Roman" w:hAnsi="Times New Roman" w:eastAsia="Times New Roman"/>
          <w:spacing w:val="-7"/>
          <w:position w:val="1"/>
          <w:vertAlign w:val="baseline"/>
        </w:rPr>
        <w:t>2m</w:t>
      </w:r>
      <w:r>
        <w:rPr>
          <w:spacing w:val="-3"/>
          <w:vertAlign w:val="baseline"/>
        </w:rPr>
        <w:t>，换气次数</w:t>
      </w:r>
      <w:r>
        <w:rPr>
          <w:rFonts w:ascii="Times New Roman" w:hAnsi="Times New Roman" w:eastAsia="Times New Roman"/>
          <w:position w:val="1"/>
          <w:vertAlign w:val="baseline"/>
        </w:rPr>
        <w:t>8 </w:t>
      </w:r>
      <w:r>
        <w:rPr>
          <w:vertAlign w:val="baseline"/>
        </w:rPr>
        <w:t>次</w:t>
      </w:r>
      <w:r>
        <w:rPr>
          <w:rFonts w:ascii="Times New Roman" w:hAnsi="Times New Roman" w:eastAsia="Times New Roman"/>
          <w:spacing w:val="-8"/>
          <w:position w:val="1"/>
          <w:vertAlign w:val="baseline"/>
        </w:rPr>
        <w:t>/h</w:t>
      </w:r>
      <w:r>
        <w:rPr>
          <w:spacing w:val="-11"/>
          <w:vertAlign w:val="baseline"/>
        </w:rPr>
        <w:t>，所需风量约 </w:t>
      </w:r>
      <w:r>
        <w:rPr>
          <w:rFonts w:ascii="Times New Roman" w:hAnsi="Times New Roman" w:eastAsia="Times New Roman"/>
          <w:spacing w:val="-8"/>
          <w:position w:val="1"/>
          <w:vertAlign w:val="baseline"/>
        </w:rPr>
        <w:t>7074m³/h</w:t>
      </w:r>
      <w:r>
        <w:rPr>
          <w:rFonts w:ascii="Times New Roman" w:hAnsi="Times New Roman" w:eastAsia="Times New Roman"/>
          <w:spacing w:val="-2"/>
          <w:position w:val="1"/>
          <w:vertAlign w:val="baseline"/>
        </w:rPr>
        <w:t> </w:t>
      </w:r>
      <w:r>
        <w:rPr>
          <w:spacing w:val="-10"/>
          <w:vertAlign w:val="baseline"/>
        </w:rPr>
        <w:t>；固液分离间占地面积约 </w:t>
      </w:r>
      <w:r>
        <w:rPr>
          <w:rFonts w:ascii="Times New Roman" w:hAnsi="Times New Roman" w:eastAsia="Times New Roman"/>
          <w:spacing w:val="-5"/>
          <w:position w:val="1"/>
          <w:vertAlign w:val="baseline"/>
        </w:rPr>
        <w:t>90m</w:t>
      </w:r>
      <w:r>
        <w:rPr>
          <w:rFonts w:ascii="Times New Roman" w:hAnsi="Times New Roman" w:eastAsia="Times New Roman"/>
          <w:spacing w:val="-5"/>
          <w:position w:val="1"/>
          <w:vertAlign w:val="superscript"/>
        </w:rPr>
        <w:t>2</w:t>
      </w:r>
      <w:r>
        <w:rPr>
          <w:spacing w:val="-17"/>
          <w:vertAlign w:val="baseline"/>
        </w:rPr>
        <w:t>，高约 </w:t>
      </w:r>
      <w:r>
        <w:rPr>
          <w:rFonts w:ascii="Times New Roman" w:hAnsi="Times New Roman" w:eastAsia="Times New Roman"/>
          <w:spacing w:val="-9"/>
          <w:position w:val="1"/>
          <w:vertAlign w:val="baseline"/>
        </w:rPr>
        <w:t>4m</w:t>
      </w:r>
      <w:r>
        <w:rPr>
          <w:spacing w:val="-13"/>
          <w:vertAlign w:val="baseline"/>
        </w:rPr>
        <w:t>，换气次数 </w:t>
      </w:r>
      <w:r>
        <w:rPr>
          <w:rFonts w:ascii="Times New Roman" w:hAnsi="Times New Roman" w:eastAsia="Times New Roman"/>
          <w:position w:val="1"/>
          <w:vertAlign w:val="baseline"/>
        </w:rPr>
        <w:t>8</w:t>
      </w:r>
      <w:r>
        <w:rPr>
          <w:rFonts w:ascii="Times New Roman" w:hAnsi="Times New Roman" w:eastAsia="Times New Roman"/>
          <w:spacing w:val="1"/>
          <w:position w:val="1"/>
          <w:vertAlign w:val="baseline"/>
        </w:rPr>
        <w:t> </w:t>
      </w:r>
      <w:r>
        <w:rPr>
          <w:vertAlign w:val="baseline"/>
        </w:rPr>
        <w:t>次</w:t>
      </w:r>
      <w:r>
        <w:rPr>
          <w:rFonts w:ascii="Times New Roman" w:hAnsi="Times New Roman" w:eastAsia="Times New Roman"/>
          <w:position w:val="1"/>
          <w:vertAlign w:val="baseline"/>
        </w:rPr>
        <w:t>/h</w:t>
      </w:r>
      <w:r>
        <w:rPr>
          <w:vertAlign w:val="baseline"/>
        </w:rPr>
        <w:t>， </w:t>
      </w:r>
      <w:r>
        <w:rPr>
          <w:spacing w:val="-11"/>
          <w:vertAlign w:val="baseline"/>
        </w:rPr>
        <w:t>所需风量约 </w:t>
      </w:r>
      <w:r>
        <w:rPr>
          <w:rFonts w:ascii="Times New Roman" w:hAnsi="Times New Roman" w:eastAsia="Times New Roman"/>
          <w:spacing w:val="-8"/>
          <w:position w:val="1"/>
          <w:vertAlign w:val="baseline"/>
        </w:rPr>
        <w:t>2880m³/h</w:t>
      </w:r>
      <w:r>
        <w:rPr>
          <w:rFonts w:ascii="Times New Roman" w:hAnsi="Times New Roman" w:eastAsia="Times New Roman"/>
          <w:spacing w:val="-1"/>
          <w:position w:val="1"/>
          <w:vertAlign w:val="baseline"/>
        </w:rPr>
        <w:t> </w:t>
      </w:r>
      <w:r>
        <w:rPr>
          <w:spacing w:val="-11"/>
          <w:vertAlign w:val="baseline"/>
        </w:rPr>
        <w:t>；废水处理区占地面积约 </w:t>
      </w:r>
      <w:r>
        <w:rPr>
          <w:rFonts w:ascii="Times New Roman" w:hAnsi="Times New Roman" w:eastAsia="Times New Roman"/>
          <w:spacing w:val="-4"/>
          <w:position w:val="1"/>
          <w:vertAlign w:val="baseline"/>
        </w:rPr>
        <w:t>1239m</w:t>
      </w:r>
      <w:r>
        <w:rPr>
          <w:rFonts w:ascii="Times New Roman" w:hAnsi="Times New Roman" w:eastAsia="Times New Roman"/>
          <w:spacing w:val="-4"/>
          <w:position w:val="1"/>
          <w:vertAlign w:val="superscript"/>
        </w:rPr>
        <w:t>2</w:t>
      </w:r>
      <w:r>
        <w:rPr>
          <w:spacing w:val="-11"/>
          <w:vertAlign w:val="baseline"/>
        </w:rPr>
        <w:t>，加盖高度为 </w:t>
      </w:r>
      <w:r>
        <w:rPr>
          <w:rFonts w:ascii="Times New Roman" w:hAnsi="Times New Roman" w:eastAsia="Times New Roman"/>
          <w:spacing w:val="-6"/>
          <w:position w:val="1"/>
          <w:vertAlign w:val="baseline"/>
        </w:rPr>
        <w:t>1.5m</w:t>
      </w:r>
      <w:r>
        <w:rPr>
          <w:spacing w:val="-12"/>
          <w:vertAlign w:val="baseline"/>
        </w:rPr>
        <w:t>，换气次数 </w:t>
      </w:r>
      <w:r>
        <w:rPr>
          <w:rFonts w:ascii="Times New Roman" w:hAnsi="Times New Roman" w:eastAsia="Times New Roman"/>
          <w:position w:val="1"/>
          <w:vertAlign w:val="baseline"/>
        </w:rPr>
        <w:t>8 </w:t>
      </w:r>
      <w:r>
        <w:rPr>
          <w:vertAlign w:val="baseline"/>
        </w:rPr>
        <w:t>次</w:t>
      </w:r>
    </w:p>
    <w:p>
      <w:pPr>
        <w:pStyle w:val="BodyText"/>
        <w:spacing w:line="364" w:lineRule="auto" w:before="2"/>
        <w:ind w:right="129"/>
      </w:pPr>
      <w:r>
        <w:rPr>
          <w:rFonts w:ascii="Times New Roman" w:hAnsi="Times New Roman" w:eastAsia="Times New Roman"/>
          <w:spacing w:val="-4"/>
          <w:position w:val="1"/>
        </w:rPr>
        <w:t>/h</w:t>
      </w:r>
      <w:r>
        <w:rPr>
          <w:spacing w:val="-11"/>
        </w:rPr>
        <w:t>，所需风量约 </w:t>
      </w:r>
      <w:r>
        <w:rPr>
          <w:rFonts w:ascii="Times New Roman" w:hAnsi="Times New Roman" w:eastAsia="Times New Roman"/>
          <w:spacing w:val="-7"/>
          <w:position w:val="1"/>
        </w:rPr>
        <w:t>14867m³/h </w:t>
      </w:r>
      <w:r>
        <w:rPr>
          <w:spacing w:val="-8"/>
        </w:rPr>
        <w:t>；猪粪投料间占地面积约 </w:t>
      </w:r>
      <w:r>
        <w:rPr>
          <w:rFonts w:ascii="Times New Roman" w:hAnsi="Times New Roman" w:eastAsia="Times New Roman"/>
          <w:position w:val="1"/>
        </w:rPr>
        <w:t>176m</w:t>
      </w:r>
      <w:r>
        <w:rPr>
          <w:rFonts w:ascii="Times New Roman" w:hAnsi="Times New Roman" w:eastAsia="Times New Roman"/>
          <w:position w:val="1"/>
          <w:vertAlign w:val="superscript"/>
        </w:rPr>
        <w:t>2</w:t>
      </w:r>
      <w:r>
        <w:rPr>
          <w:spacing w:val="-16"/>
          <w:vertAlign w:val="baseline"/>
        </w:rPr>
        <w:t>，高约 </w:t>
      </w:r>
      <w:r>
        <w:rPr>
          <w:rFonts w:ascii="Times New Roman" w:hAnsi="Times New Roman" w:eastAsia="Times New Roman"/>
          <w:spacing w:val="-5"/>
          <w:position w:val="1"/>
          <w:vertAlign w:val="baseline"/>
        </w:rPr>
        <w:t>5m</w:t>
      </w:r>
      <w:r>
        <w:rPr>
          <w:spacing w:val="-12"/>
          <w:vertAlign w:val="baseline"/>
        </w:rPr>
        <w:t>，换气次数 </w:t>
      </w:r>
      <w:r>
        <w:rPr>
          <w:rFonts w:ascii="Times New Roman" w:hAnsi="Times New Roman" w:eastAsia="Times New Roman"/>
          <w:position w:val="1"/>
          <w:vertAlign w:val="baseline"/>
        </w:rPr>
        <w:t>10 </w:t>
      </w:r>
      <w:r>
        <w:rPr>
          <w:vertAlign w:val="baseline"/>
        </w:rPr>
        <w:t>次</w:t>
      </w:r>
      <w:r>
        <w:rPr>
          <w:rFonts w:ascii="Times New Roman" w:hAnsi="Times New Roman" w:eastAsia="Times New Roman"/>
          <w:position w:val="1"/>
          <w:vertAlign w:val="baseline"/>
        </w:rPr>
        <w:t>/h</w:t>
      </w:r>
      <w:r>
        <w:rPr>
          <w:vertAlign w:val="baseline"/>
        </w:rPr>
        <w:t>， </w:t>
      </w:r>
      <w:r>
        <w:rPr>
          <w:spacing w:val="-10"/>
          <w:vertAlign w:val="baseline"/>
        </w:rPr>
        <w:t>所需风量约 </w:t>
      </w:r>
      <w:r>
        <w:rPr>
          <w:rFonts w:ascii="Times New Roman" w:hAnsi="Times New Roman" w:eastAsia="Times New Roman"/>
          <w:spacing w:val="-8"/>
          <w:position w:val="1"/>
          <w:vertAlign w:val="baseline"/>
        </w:rPr>
        <w:t>8800m³/h </w:t>
      </w:r>
      <w:r>
        <w:rPr>
          <w:spacing w:val="-5"/>
          <w:vertAlign w:val="baseline"/>
        </w:rPr>
        <w:t>；有机肥仓库占地面积 </w:t>
      </w:r>
      <w:r>
        <w:rPr>
          <w:rFonts w:ascii="Times New Roman" w:hAnsi="Times New Roman" w:eastAsia="Times New Roman"/>
          <w:position w:val="1"/>
          <w:vertAlign w:val="baseline"/>
        </w:rPr>
        <w:t>360m</w:t>
      </w:r>
      <w:r>
        <w:rPr>
          <w:rFonts w:ascii="Times New Roman" w:hAnsi="Times New Roman" w:eastAsia="Times New Roman"/>
          <w:position w:val="1"/>
          <w:vertAlign w:val="superscript"/>
        </w:rPr>
        <w:t>2</w:t>
      </w:r>
      <w:r>
        <w:rPr>
          <w:spacing w:val="-14"/>
          <w:vertAlign w:val="baseline"/>
        </w:rPr>
        <w:t>，高约 </w:t>
      </w:r>
      <w:r>
        <w:rPr>
          <w:rFonts w:ascii="Times New Roman" w:hAnsi="Times New Roman" w:eastAsia="Times New Roman"/>
          <w:position w:val="1"/>
          <w:vertAlign w:val="baseline"/>
        </w:rPr>
        <w:t>5m</w:t>
      </w:r>
      <w:r>
        <w:rPr>
          <w:spacing w:val="-10"/>
          <w:vertAlign w:val="baseline"/>
        </w:rPr>
        <w:t>，换气次数 </w:t>
      </w:r>
      <w:r>
        <w:rPr>
          <w:rFonts w:ascii="Times New Roman" w:hAnsi="Times New Roman" w:eastAsia="Times New Roman"/>
          <w:position w:val="1"/>
          <w:vertAlign w:val="baseline"/>
        </w:rPr>
        <w:t>8 </w:t>
      </w:r>
      <w:r>
        <w:rPr>
          <w:vertAlign w:val="baseline"/>
        </w:rPr>
        <w:t>次</w:t>
      </w:r>
      <w:r>
        <w:rPr>
          <w:rFonts w:ascii="Times New Roman" w:hAnsi="Times New Roman" w:eastAsia="Times New Roman"/>
          <w:position w:val="1"/>
          <w:vertAlign w:val="baseline"/>
        </w:rPr>
        <w:t>/h</w:t>
      </w:r>
      <w:r>
        <w:rPr>
          <w:vertAlign w:val="baseline"/>
        </w:rPr>
        <w:t>，所需风</w:t>
      </w:r>
      <w:r>
        <w:rPr>
          <w:spacing w:val="-20"/>
          <w:vertAlign w:val="baseline"/>
        </w:rPr>
        <w:t>量约 </w:t>
      </w:r>
      <w:r>
        <w:rPr>
          <w:rFonts w:ascii="Times New Roman" w:hAnsi="Times New Roman" w:eastAsia="Times New Roman"/>
          <w:spacing w:val="-7"/>
          <w:position w:val="1"/>
          <w:vertAlign w:val="baseline"/>
        </w:rPr>
        <w:t>14400m³/h </w:t>
      </w:r>
      <w:r>
        <w:rPr>
          <w:spacing w:val="-3"/>
          <w:vertAlign w:val="baseline"/>
        </w:rPr>
        <w:t>；病死猪无害化处理间位于有机肥仓库内，风量保守考虑另加 </w:t>
      </w:r>
      <w:r>
        <w:rPr>
          <w:rFonts w:ascii="Times New Roman" w:hAnsi="Times New Roman" w:eastAsia="Times New Roman"/>
          <w:spacing w:val="-8"/>
          <w:position w:val="1"/>
          <w:vertAlign w:val="baseline"/>
        </w:rPr>
        <w:t>1500m³/h </w:t>
      </w:r>
      <w:r>
        <w:rPr>
          <w:vertAlign w:val="baseline"/>
        </w:rPr>
        <w:t>。</w:t>
      </w:r>
      <w:r>
        <w:rPr>
          <w:spacing w:val="-4"/>
          <w:vertAlign w:val="baseline"/>
        </w:rPr>
        <w:t>综上，该废气处理装置所需总风量约 </w:t>
      </w:r>
      <w:r>
        <w:rPr>
          <w:rFonts w:ascii="Times New Roman" w:hAnsi="Times New Roman" w:eastAsia="Times New Roman"/>
          <w:spacing w:val="-7"/>
          <w:position w:val="1"/>
          <w:vertAlign w:val="baseline"/>
        </w:rPr>
        <w:t>49521m³/h </w:t>
      </w:r>
      <w:r>
        <w:rPr>
          <w:spacing w:val="-12"/>
          <w:vertAlign w:val="baseline"/>
        </w:rPr>
        <w:t>，取整按 </w:t>
      </w:r>
      <w:r>
        <w:rPr>
          <w:rFonts w:ascii="Times New Roman" w:hAnsi="Times New Roman" w:eastAsia="Times New Roman"/>
          <w:spacing w:val="-7"/>
          <w:position w:val="1"/>
          <w:vertAlign w:val="baseline"/>
        </w:rPr>
        <w:t>50000m³/h </w:t>
      </w:r>
      <w:r>
        <w:rPr>
          <w:vertAlign w:val="baseline"/>
        </w:rPr>
        <w:t>设计。具体如下：</w:t>
      </w:r>
    </w:p>
    <w:p>
      <w:pPr>
        <w:pStyle w:val="Heading3"/>
        <w:spacing w:before="3"/>
        <w:ind w:left="3420"/>
      </w:pPr>
      <w:r>
        <w:rPr/>
        <w:t>表 </w:t>
      </w:r>
      <w:r>
        <w:rPr>
          <w:rFonts w:ascii="Times New Roman" w:eastAsia="Times New Roman"/>
        </w:rPr>
        <w:t>6.2-5  </w:t>
      </w:r>
      <w:r>
        <w:rPr/>
        <w:t>处理系统风量设计</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8"/>
        <w:gridCol w:w="2377"/>
        <w:gridCol w:w="1851"/>
        <w:gridCol w:w="1428"/>
        <w:gridCol w:w="1191"/>
        <w:gridCol w:w="1868"/>
      </w:tblGrid>
      <w:tr>
        <w:trPr>
          <w:trHeight w:val="359" w:hRule="atLeast"/>
        </w:trPr>
        <w:tc>
          <w:tcPr>
            <w:tcW w:w="718" w:type="dxa"/>
            <w:tcBorders>
              <w:bottom w:val="single" w:sz="4" w:space="0" w:color="000000"/>
              <w:right w:val="single" w:sz="4" w:space="0" w:color="000000"/>
            </w:tcBorders>
          </w:tcPr>
          <w:p>
            <w:pPr>
              <w:pStyle w:val="TableParagraph"/>
              <w:spacing w:before="48"/>
              <w:ind w:left="124" w:right="108"/>
              <w:rPr>
                <w:rFonts w:ascii="宋体" w:eastAsia="宋体" w:hint="eastAsia"/>
                <w:b/>
                <w:sz w:val="21"/>
              </w:rPr>
            </w:pPr>
            <w:r>
              <w:rPr>
                <w:rFonts w:ascii="宋体" w:eastAsia="宋体" w:hint="eastAsia"/>
                <w:b/>
                <w:sz w:val="21"/>
              </w:rPr>
              <w:t>序号</w:t>
            </w:r>
          </w:p>
        </w:tc>
        <w:tc>
          <w:tcPr>
            <w:tcW w:w="2377" w:type="dxa"/>
            <w:tcBorders>
              <w:left w:val="single" w:sz="4" w:space="0" w:color="000000"/>
              <w:bottom w:val="single" w:sz="4" w:space="0" w:color="000000"/>
              <w:right w:val="single" w:sz="4" w:space="0" w:color="000000"/>
            </w:tcBorders>
          </w:tcPr>
          <w:p>
            <w:pPr>
              <w:pStyle w:val="TableParagraph"/>
              <w:spacing w:before="48"/>
              <w:ind w:left="228" w:right="206"/>
              <w:rPr>
                <w:rFonts w:ascii="宋体" w:eastAsia="宋体" w:hint="eastAsia"/>
                <w:b/>
                <w:sz w:val="21"/>
              </w:rPr>
            </w:pPr>
            <w:r>
              <w:rPr>
                <w:rFonts w:ascii="宋体" w:eastAsia="宋体" w:hint="eastAsia"/>
                <w:b/>
                <w:sz w:val="21"/>
              </w:rPr>
              <w:t>构筑物名称</w:t>
            </w:r>
          </w:p>
        </w:tc>
        <w:tc>
          <w:tcPr>
            <w:tcW w:w="1851" w:type="dxa"/>
            <w:tcBorders>
              <w:left w:val="single" w:sz="4" w:space="0" w:color="000000"/>
              <w:bottom w:val="single" w:sz="4" w:space="0" w:color="000000"/>
              <w:right w:val="single" w:sz="4" w:space="0" w:color="000000"/>
            </w:tcBorders>
          </w:tcPr>
          <w:p>
            <w:pPr>
              <w:pStyle w:val="TableParagraph"/>
              <w:spacing w:before="48"/>
              <w:ind w:left="190" w:right="171"/>
              <w:rPr>
                <w:rFonts w:ascii="宋体" w:eastAsia="宋体" w:hint="eastAsia"/>
                <w:b/>
                <w:sz w:val="21"/>
              </w:rPr>
            </w:pPr>
            <w:r>
              <w:rPr>
                <w:rFonts w:ascii="宋体" w:eastAsia="宋体" w:hint="eastAsia"/>
                <w:b/>
                <w:sz w:val="21"/>
              </w:rPr>
              <w:t>平面尺寸（</w:t>
            </w:r>
            <w:r>
              <w:rPr>
                <w:b/>
                <w:sz w:val="21"/>
              </w:rPr>
              <w:t>m</w:t>
            </w:r>
            <w:r>
              <w:rPr>
                <w:rFonts w:ascii="宋体" w:eastAsia="宋体" w:hint="eastAsia"/>
                <w:b/>
                <w:sz w:val="21"/>
              </w:rPr>
              <w:t>）</w:t>
            </w:r>
          </w:p>
        </w:tc>
        <w:tc>
          <w:tcPr>
            <w:tcW w:w="1428" w:type="dxa"/>
            <w:tcBorders>
              <w:left w:val="single" w:sz="4" w:space="0" w:color="000000"/>
              <w:bottom w:val="single" w:sz="4" w:space="0" w:color="000000"/>
              <w:right w:val="single" w:sz="4" w:space="0" w:color="000000"/>
            </w:tcBorders>
          </w:tcPr>
          <w:p>
            <w:pPr>
              <w:pStyle w:val="TableParagraph"/>
              <w:spacing w:before="48"/>
              <w:ind w:left="155" w:right="134"/>
              <w:rPr>
                <w:rFonts w:ascii="宋体" w:eastAsia="宋体" w:hint="eastAsia"/>
                <w:b/>
                <w:sz w:val="21"/>
              </w:rPr>
            </w:pPr>
            <w:r>
              <w:rPr>
                <w:rFonts w:ascii="宋体" w:eastAsia="宋体" w:hint="eastAsia"/>
                <w:b/>
                <w:sz w:val="21"/>
              </w:rPr>
              <w:t>面积（</w:t>
            </w:r>
            <w:r>
              <w:rPr>
                <w:b/>
                <w:sz w:val="21"/>
              </w:rPr>
              <w:t>m</w:t>
            </w:r>
            <w:r>
              <w:rPr>
                <w:b/>
                <w:position w:val="8"/>
                <w:sz w:val="14"/>
              </w:rPr>
              <w:t>2</w:t>
            </w:r>
            <w:r>
              <w:rPr>
                <w:rFonts w:ascii="宋体" w:eastAsia="宋体" w:hint="eastAsia"/>
                <w:b/>
                <w:sz w:val="21"/>
              </w:rPr>
              <w:t>）</w:t>
            </w:r>
          </w:p>
        </w:tc>
        <w:tc>
          <w:tcPr>
            <w:tcW w:w="1191" w:type="dxa"/>
            <w:tcBorders>
              <w:left w:val="single" w:sz="4" w:space="0" w:color="000000"/>
              <w:bottom w:val="single" w:sz="4" w:space="0" w:color="000000"/>
              <w:right w:val="single" w:sz="4" w:space="0" w:color="000000"/>
            </w:tcBorders>
          </w:tcPr>
          <w:p>
            <w:pPr>
              <w:pStyle w:val="TableParagraph"/>
              <w:spacing w:before="48"/>
              <w:ind w:left="162" w:right="135"/>
              <w:rPr>
                <w:rFonts w:ascii="宋体" w:eastAsia="宋体" w:hint="eastAsia"/>
                <w:b/>
                <w:sz w:val="21"/>
              </w:rPr>
            </w:pPr>
            <w:r>
              <w:rPr>
                <w:rFonts w:ascii="宋体" w:eastAsia="宋体" w:hint="eastAsia"/>
                <w:b/>
                <w:sz w:val="21"/>
              </w:rPr>
              <w:t>换气次数</w:t>
            </w:r>
          </w:p>
        </w:tc>
        <w:tc>
          <w:tcPr>
            <w:tcW w:w="1868" w:type="dxa"/>
            <w:tcBorders>
              <w:left w:val="single" w:sz="4" w:space="0" w:color="000000"/>
              <w:bottom w:val="single" w:sz="4" w:space="0" w:color="000000"/>
            </w:tcBorders>
          </w:tcPr>
          <w:p>
            <w:pPr>
              <w:pStyle w:val="TableParagraph"/>
              <w:spacing w:before="48"/>
              <w:ind w:left="186" w:right="153"/>
              <w:rPr>
                <w:rFonts w:ascii="宋体" w:hAnsi="宋体" w:eastAsia="宋体" w:hint="eastAsia"/>
                <w:b/>
                <w:sz w:val="21"/>
              </w:rPr>
            </w:pPr>
            <w:r>
              <w:rPr>
                <w:rFonts w:ascii="宋体" w:hAnsi="宋体" w:eastAsia="宋体" w:hint="eastAsia"/>
                <w:b/>
                <w:sz w:val="21"/>
              </w:rPr>
              <w:t>废气量（</w:t>
            </w:r>
            <w:r>
              <w:rPr>
                <w:b/>
                <w:sz w:val="21"/>
              </w:rPr>
              <w:t>m³/h</w:t>
            </w:r>
            <w:r>
              <w:rPr>
                <w:rFonts w:ascii="宋体" w:hAnsi="宋体" w:eastAsia="宋体" w:hint="eastAsia"/>
                <w:b/>
                <w:sz w:val="21"/>
              </w:rPr>
              <w:t>）</w:t>
            </w:r>
          </w:p>
        </w:tc>
      </w:tr>
      <w:tr>
        <w:trPr>
          <w:trHeight w:val="359" w:hRule="atLeast"/>
        </w:trPr>
        <w:tc>
          <w:tcPr>
            <w:tcW w:w="718" w:type="dxa"/>
            <w:tcBorders>
              <w:top w:val="single" w:sz="4" w:space="0" w:color="000000"/>
              <w:bottom w:val="single" w:sz="4" w:space="0" w:color="000000"/>
              <w:right w:val="single" w:sz="4" w:space="0" w:color="000000"/>
            </w:tcBorders>
          </w:tcPr>
          <w:p>
            <w:pPr>
              <w:pStyle w:val="TableParagraph"/>
              <w:ind w:left="16"/>
              <w:rPr>
                <w:sz w:val="21"/>
              </w:rPr>
            </w:pPr>
            <w:r>
              <w:rPr>
                <w:w w:val="100"/>
                <w:sz w:val="21"/>
              </w:rPr>
              <w:t>1</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46"/>
              <w:ind w:left="230" w:right="206"/>
              <w:rPr>
                <w:rFonts w:ascii="宋体" w:eastAsia="宋体" w:hint="eastAsia"/>
                <w:sz w:val="21"/>
              </w:rPr>
            </w:pPr>
            <w:r>
              <w:rPr>
                <w:rFonts w:ascii="宋体" w:eastAsia="宋体" w:hint="eastAsia"/>
                <w:sz w:val="21"/>
              </w:rPr>
              <w:t>预处理系统</w:t>
            </w:r>
          </w:p>
        </w:tc>
        <w:tc>
          <w:tcPr>
            <w:tcW w:w="1851" w:type="dxa"/>
            <w:tcBorders>
              <w:top w:val="single" w:sz="4" w:space="0" w:color="000000"/>
              <w:left w:val="single" w:sz="4" w:space="0" w:color="000000"/>
              <w:bottom w:val="single" w:sz="4" w:space="0" w:color="000000"/>
              <w:right w:val="single" w:sz="4" w:space="0" w:color="000000"/>
            </w:tcBorders>
          </w:tcPr>
          <w:p>
            <w:pPr>
              <w:pStyle w:val="TableParagraph"/>
              <w:ind w:left="190" w:right="169"/>
              <w:rPr>
                <w:sz w:val="21"/>
              </w:rPr>
            </w:pPr>
            <w:r>
              <w:rPr>
                <w:sz w:val="21"/>
              </w:rPr>
              <w:t>17.9*24.7</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ind w:left="155" w:right="131"/>
              <w:rPr>
                <w:sz w:val="21"/>
              </w:rPr>
            </w:pPr>
            <w:r>
              <w:rPr>
                <w:sz w:val="21"/>
              </w:rPr>
              <w:t>442.13</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ind w:left="22"/>
              <w:rPr>
                <w:sz w:val="21"/>
              </w:rPr>
            </w:pPr>
            <w:r>
              <w:rPr>
                <w:w w:val="100"/>
                <w:sz w:val="21"/>
              </w:rPr>
              <w:t>8</w:t>
            </w:r>
          </w:p>
        </w:tc>
        <w:tc>
          <w:tcPr>
            <w:tcW w:w="1868" w:type="dxa"/>
            <w:tcBorders>
              <w:top w:val="single" w:sz="4" w:space="0" w:color="000000"/>
              <w:left w:val="single" w:sz="4" w:space="0" w:color="000000"/>
              <w:bottom w:val="single" w:sz="4" w:space="0" w:color="000000"/>
            </w:tcBorders>
          </w:tcPr>
          <w:p>
            <w:pPr>
              <w:pStyle w:val="TableParagraph"/>
              <w:ind w:left="186" w:right="151"/>
              <w:rPr>
                <w:sz w:val="21"/>
              </w:rPr>
            </w:pPr>
            <w:r>
              <w:rPr>
                <w:sz w:val="21"/>
              </w:rPr>
              <w:t>7074</w:t>
            </w:r>
          </w:p>
        </w:tc>
      </w:tr>
      <w:tr>
        <w:trPr>
          <w:trHeight w:val="357" w:hRule="atLeast"/>
        </w:trPr>
        <w:tc>
          <w:tcPr>
            <w:tcW w:w="718" w:type="dxa"/>
            <w:tcBorders>
              <w:top w:val="single" w:sz="4" w:space="0" w:color="000000"/>
              <w:bottom w:val="single" w:sz="4" w:space="0" w:color="000000"/>
              <w:right w:val="single" w:sz="4" w:space="0" w:color="000000"/>
            </w:tcBorders>
          </w:tcPr>
          <w:p>
            <w:pPr>
              <w:pStyle w:val="TableParagraph"/>
              <w:ind w:left="16"/>
              <w:rPr>
                <w:sz w:val="21"/>
              </w:rPr>
            </w:pPr>
            <w:r>
              <w:rPr>
                <w:w w:val="100"/>
                <w:sz w:val="21"/>
              </w:rPr>
              <w:t>2</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46"/>
              <w:ind w:left="230" w:right="206"/>
              <w:rPr>
                <w:rFonts w:ascii="宋体" w:eastAsia="宋体" w:hint="eastAsia"/>
                <w:sz w:val="21"/>
              </w:rPr>
            </w:pPr>
            <w:r>
              <w:rPr>
                <w:rFonts w:ascii="宋体" w:eastAsia="宋体" w:hint="eastAsia"/>
                <w:sz w:val="21"/>
              </w:rPr>
              <w:t>固液分离间</w:t>
            </w:r>
          </w:p>
        </w:tc>
        <w:tc>
          <w:tcPr>
            <w:tcW w:w="1851" w:type="dxa"/>
            <w:tcBorders>
              <w:top w:val="single" w:sz="4" w:space="0" w:color="000000"/>
              <w:left w:val="single" w:sz="4" w:space="0" w:color="000000"/>
              <w:bottom w:val="single" w:sz="4" w:space="0" w:color="000000"/>
              <w:right w:val="single" w:sz="4" w:space="0" w:color="000000"/>
            </w:tcBorders>
          </w:tcPr>
          <w:p>
            <w:pPr>
              <w:pStyle w:val="TableParagraph"/>
              <w:ind w:left="190" w:right="166"/>
              <w:rPr>
                <w:sz w:val="21"/>
              </w:rPr>
            </w:pPr>
            <w:r>
              <w:rPr>
                <w:sz w:val="21"/>
              </w:rPr>
              <w:t>15*6</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ind w:left="153" w:right="134"/>
              <w:rPr>
                <w:sz w:val="21"/>
              </w:rPr>
            </w:pPr>
            <w:r>
              <w:rPr>
                <w:sz w:val="21"/>
              </w:rPr>
              <w:t>90</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ind w:left="22"/>
              <w:rPr>
                <w:sz w:val="21"/>
              </w:rPr>
            </w:pPr>
            <w:r>
              <w:rPr>
                <w:w w:val="100"/>
                <w:sz w:val="21"/>
              </w:rPr>
              <w:t>8</w:t>
            </w:r>
          </w:p>
        </w:tc>
        <w:tc>
          <w:tcPr>
            <w:tcW w:w="1868" w:type="dxa"/>
            <w:tcBorders>
              <w:top w:val="single" w:sz="4" w:space="0" w:color="000000"/>
              <w:left w:val="single" w:sz="4" w:space="0" w:color="000000"/>
              <w:bottom w:val="single" w:sz="4" w:space="0" w:color="000000"/>
            </w:tcBorders>
          </w:tcPr>
          <w:p>
            <w:pPr>
              <w:pStyle w:val="TableParagraph"/>
              <w:ind w:left="186" w:right="151"/>
              <w:rPr>
                <w:sz w:val="21"/>
              </w:rPr>
            </w:pPr>
            <w:r>
              <w:rPr>
                <w:sz w:val="21"/>
              </w:rPr>
              <w:t>2880</w:t>
            </w:r>
          </w:p>
        </w:tc>
      </w:tr>
      <w:tr>
        <w:trPr>
          <w:trHeight w:val="359" w:hRule="atLeast"/>
        </w:trPr>
        <w:tc>
          <w:tcPr>
            <w:tcW w:w="718" w:type="dxa"/>
            <w:tcBorders>
              <w:top w:val="single" w:sz="4" w:space="0" w:color="000000"/>
              <w:bottom w:val="single" w:sz="4" w:space="0" w:color="000000"/>
              <w:right w:val="single" w:sz="4" w:space="0" w:color="000000"/>
            </w:tcBorders>
          </w:tcPr>
          <w:p>
            <w:pPr>
              <w:pStyle w:val="TableParagraph"/>
              <w:spacing w:before="60"/>
              <w:ind w:left="16"/>
              <w:rPr>
                <w:sz w:val="21"/>
              </w:rPr>
            </w:pPr>
            <w:r>
              <w:rPr>
                <w:w w:val="100"/>
                <w:sz w:val="21"/>
              </w:rPr>
              <w:t>3</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49"/>
              <w:ind w:left="230" w:right="206"/>
              <w:rPr>
                <w:rFonts w:ascii="宋体" w:eastAsia="宋体" w:hint="eastAsia"/>
                <w:sz w:val="21"/>
              </w:rPr>
            </w:pPr>
            <w:r>
              <w:rPr>
                <w:rFonts w:ascii="宋体" w:eastAsia="宋体" w:hint="eastAsia"/>
                <w:sz w:val="21"/>
              </w:rPr>
              <w:t>生化组合池</w:t>
            </w:r>
          </w:p>
        </w:tc>
        <w:tc>
          <w:tcPr>
            <w:tcW w:w="1851" w:type="dxa"/>
            <w:tcBorders>
              <w:top w:val="single" w:sz="4" w:space="0" w:color="000000"/>
              <w:left w:val="single" w:sz="4" w:space="0" w:color="000000"/>
              <w:bottom w:val="single" w:sz="4" w:space="0" w:color="000000"/>
              <w:right w:val="single" w:sz="4" w:space="0" w:color="000000"/>
            </w:tcBorders>
          </w:tcPr>
          <w:p>
            <w:pPr>
              <w:pStyle w:val="TableParagraph"/>
              <w:spacing w:before="60"/>
              <w:ind w:left="190" w:right="169"/>
              <w:rPr>
                <w:sz w:val="21"/>
              </w:rPr>
            </w:pPr>
            <w:r>
              <w:rPr>
                <w:sz w:val="21"/>
              </w:rPr>
              <w:t>34.9*35.5</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spacing w:before="60"/>
              <w:ind w:left="155" w:right="134"/>
              <w:rPr>
                <w:sz w:val="21"/>
              </w:rPr>
            </w:pPr>
            <w:r>
              <w:rPr>
                <w:sz w:val="21"/>
              </w:rPr>
              <w:t>1238.95</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spacing w:before="60"/>
              <w:ind w:left="22"/>
              <w:rPr>
                <w:sz w:val="21"/>
              </w:rPr>
            </w:pPr>
            <w:r>
              <w:rPr>
                <w:w w:val="100"/>
                <w:sz w:val="21"/>
              </w:rPr>
              <w:t>8</w:t>
            </w:r>
          </w:p>
        </w:tc>
        <w:tc>
          <w:tcPr>
            <w:tcW w:w="1868" w:type="dxa"/>
            <w:tcBorders>
              <w:top w:val="single" w:sz="4" w:space="0" w:color="000000"/>
              <w:left w:val="single" w:sz="4" w:space="0" w:color="000000"/>
              <w:bottom w:val="single" w:sz="4" w:space="0" w:color="000000"/>
            </w:tcBorders>
          </w:tcPr>
          <w:p>
            <w:pPr>
              <w:pStyle w:val="TableParagraph"/>
              <w:spacing w:before="60"/>
              <w:ind w:left="186" w:right="151"/>
              <w:rPr>
                <w:sz w:val="21"/>
              </w:rPr>
            </w:pPr>
            <w:r>
              <w:rPr>
                <w:sz w:val="21"/>
              </w:rPr>
              <w:t>14867</w:t>
            </w:r>
          </w:p>
        </w:tc>
      </w:tr>
      <w:tr>
        <w:trPr>
          <w:trHeight w:val="359" w:hRule="atLeast"/>
        </w:trPr>
        <w:tc>
          <w:tcPr>
            <w:tcW w:w="718" w:type="dxa"/>
            <w:tcBorders>
              <w:top w:val="single" w:sz="4" w:space="0" w:color="000000"/>
              <w:bottom w:val="single" w:sz="4" w:space="0" w:color="000000"/>
              <w:right w:val="single" w:sz="4" w:space="0" w:color="000000"/>
            </w:tcBorders>
          </w:tcPr>
          <w:p>
            <w:pPr>
              <w:pStyle w:val="TableParagraph"/>
              <w:ind w:left="16"/>
              <w:rPr>
                <w:sz w:val="21"/>
              </w:rPr>
            </w:pPr>
            <w:r>
              <w:rPr>
                <w:w w:val="100"/>
                <w:sz w:val="21"/>
              </w:rPr>
              <w:t>4</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46"/>
              <w:ind w:left="230" w:right="206"/>
              <w:rPr>
                <w:rFonts w:ascii="宋体" w:eastAsia="宋体" w:hint="eastAsia"/>
                <w:sz w:val="21"/>
              </w:rPr>
            </w:pPr>
            <w:r>
              <w:rPr>
                <w:rFonts w:ascii="宋体" w:eastAsia="宋体" w:hint="eastAsia"/>
                <w:sz w:val="21"/>
              </w:rPr>
              <w:t>猪粪投料间</w:t>
            </w:r>
          </w:p>
        </w:tc>
        <w:tc>
          <w:tcPr>
            <w:tcW w:w="1851" w:type="dxa"/>
            <w:tcBorders>
              <w:top w:val="single" w:sz="4" w:space="0" w:color="000000"/>
              <w:left w:val="single" w:sz="4" w:space="0" w:color="000000"/>
              <w:bottom w:val="single" w:sz="4" w:space="0" w:color="000000"/>
              <w:right w:val="single" w:sz="4" w:space="0" w:color="000000"/>
            </w:tcBorders>
          </w:tcPr>
          <w:p>
            <w:pPr>
              <w:pStyle w:val="TableParagraph"/>
              <w:ind w:left="190" w:right="166"/>
              <w:rPr>
                <w:sz w:val="21"/>
              </w:rPr>
            </w:pPr>
            <w:r>
              <w:rPr>
                <w:sz w:val="21"/>
              </w:rPr>
              <w:t>22*8</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ind w:left="155" w:right="131"/>
              <w:rPr>
                <w:sz w:val="21"/>
              </w:rPr>
            </w:pPr>
            <w:r>
              <w:rPr>
                <w:sz w:val="21"/>
              </w:rPr>
              <w:t>176</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ind w:left="157" w:right="135"/>
              <w:rPr>
                <w:sz w:val="21"/>
              </w:rPr>
            </w:pPr>
            <w:r>
              <w:rPr>
                <w:sz w:val="21"/>
              </w:rPr>
              <w:t>10</w:t>
            </w:r>
          </w:p>
        </w:tc>
        <w:tc>
          <w:tcPr>
            <w:tcW w:w="1868" w:type="dxa"/>
            <w:tcBorders>
              <w:top w:val="single" w:sz="4" w:space="0" w:color="000000"/>
              <w:left w:val="single" w:sz="4" w:space="0" w:color="000000"/>
              <w:bottom w:val="single" w:sz="4" w:space="0" w:color="000000"/>
            </w:tcBorders>
          </w:tcPr>
          <w:p>
            <w:pPr>
              <w:pStyle w:val="TableParagraph"/>
              <w:ind w:left="186" w:right="151"/>
              <w:rPr>
                <w:sz w:val="21"/>
              </w:rPr>
            </w:pPr>
            <w:r>
              <w:rPr>
                <w:sz w:val="21"/>
              </w:rPr>
              <w:t>8800</w:t>
            </w:r>
          </w:p>
        </w:tc>
      </w:tr>
      <w:tr>
        <w:trPr>
          <w:trHeight w:val="357" w:hRule="atLeast"/>
        </w:trPr>
        <w:tc>
          <w:tcPr>
            <w:tcW w:w="718" w:type="dxa"/>
            <w:tcBorders>
              <w:top w:val="single" w:sz="4" w:space="0" w:color="000000"/>
              <w:bottom w:val="single" w:sz="4" w:space="0" w:color="000000"/>
              <w:right w:val="single" w:sz="4" w:space="0" w:color="000000"/>
            </w:tcBorders>
          </w:tcPr>
          <w:p>
            <w:pPr>
              <w:pStyle w:val="TableParagraph"/>
              <w:ind w:left="16"/>
              <w:rPr>
                <w:sz w:val="21"/>
              </w:rPr>
            </w:pPr>
            <w:r>
              <w:rPr>
                <w:w w:val="100"/>
                <w:sz w:val="21"/>
              </w:rPr>
              <w:t>5</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46"/>
              <w:ind w:left="230" w:right="206"/>
              <w:rPr>
                <w:rFonts w:ascii="宋体" w:eastAsia="宋体" w:hint="eastAsia"/>
                <w:sz w:val="21"/>
              </w:rPr>
            </w:pPr>
            <w:r>
              <w:rPr>
                <w:rFonts w:ascii="宋体" w:eastAsia="宋体" w:hint="eastAsia"/>
                <w:sz w:val="21"/>
              </w:rPr>
              <w:t>有机肥仓库</w:t>
            </w:r>
          </w:p>
        </w:tc>
        <w:tc>
          <w:tcPr>
            <w:tcW w:w="1851" w:type="dxa"/>
            <w:tcBorders>
              <w:top w:val="single" w:sz="4" w:space="0" w:color="000000"/>
              <w:left w:val="single" w:sz="4" w:space="0" w:color="000000"/>
              <w:bottom w:val="single" w:sz="4" w:space="0" w:color="000000"/>
              <w:right w:val="single" w:sz="4" w:space="0" w:color="000000"/>
            </w:tcBorders>
          </w:tcPr>
          <w:p>
            <w:pPr>
              <w:pStyle w:val="TableParagraph"/>
              <w:ind w:left="190" w:right="166"/>
              <w:rPr>
                <w:sz w:val="21"/>
              </w:rPr>
            </w:pPr>
            <w:r>
              <w:rPr>
                <w:sz w:val="21"/>
              </w:rPr>
              <w:t>15*24</w:t>
            </w:r>
          </w:p>
        </w:tc>
        <w:tc>
          <w:tcPr>
            <w:tcW w:w="1428" w:type="dxa"/>
            <w:tcBorders>
              <w:top w:val="single" w:sz="4" w:space="0" w:color="000000"/>
              <w:left w:val="single" w:sz="4" w:space="0" w:color="000000"/>
              <w:bottom w:val="single" w:sz="4" w:space="0" w:color="000000"/>
              <w:right w:val="single" w:sz="4" w:space="0" w:color="000000"/>
            </w:tcBorders>
          </w:tcPr>
          <w:p>
            <w:pPr>
              <w:pStyle w:val="TableParagraph"/>
              <w:ind w:left="155" w:right="131"/>
              <w:rPr>
                <w:sz w:val="21"/>
              </w:rPr>
            </w:pPr>
            <w:r>
              <w:rPr>
                <w:sz w:val="21"/>
              </w:rPr>
              <w:t>360</w:t>
            </w:r>
          </w:p>
        </w:tc>
        <w:tc>
          <w:tcPr>
            <w:tcW w:w="1191" w:type="dxa"/>
            <w:tcBorders>
              <w:top w:val="single" w:sz="4" w:space="0" w:color="000000"/>
              <w:left w:val="single" w:sz="4" w:space="0" w:color="000000"/>
              <w:bottom w:val="single" w:sz="4" w:space="0" w:color="000000"/>
              <w:right w:val="single" w:sz="4" w:space="0" w:color="000000"/>
            </w:tcBorders>
          </w:tcPr>
          <w:p>
            <w:pPr>
              <w:pStyle w:val="TableParagraph"/>
              <w:ind w:left="22"/>
              <w:rPr>
                <w:sz w:val="21"/>
              </w:rPr>
            </w:pPr>
            <w:r>
              <w:rPr>
                <w:w w:val="100"/>
                <w:sz w:val="21"/>
              </w:rPr>
              <w:t>8</w:t>
            </w:r>
          </w:p>
        </w:tc>
        <w:tc>
          <w:tcPr>
            <w:tcW w:w="1868" w:type="dxa"/>
            <w:tcBorders>
              <w:top w:val="single" w:sz="4" w:space="0" w:color="000000"/>
              <w:left w:val="single" w:sz="4" w:space="0" w:color="000000"/>
              <w:bottom w:val="single" w:sz="4" w:space="0" w:color="000000"/>
            </w:tcBorders>
          </w:tcPr>
          <w:p>
            <w:pPr>
              <w:pStyle w:val="TableParagraph"/>
              <w:ind w:left="186" w:right="151"/>
              <w:rPr>
                <w:sz w:val="21"/>
              </w:rPr>
            </w:pPr>
            <w:r>
              <w:rPr>
                <w:sz w:val="21"/>
              </w:rPr>
              <w:t>14400</w:t>
            </w:r>
          </w:p>
        </w:tc>
      </w:tr>
      <w:tr>
        <w:trPr>
          <w:trHeight w:val="356" w:hRule="atLeast"/>
        </w:trPr>
        <w:tc>
          <w:tcPr>
            <w:tcW w:w="718" w:type="dxa"/>
            <w:tcBorders>
              <w:top w:val="single" w:sz="4" w:space="0" w:color="000000"/>
              <w:right w:val="single" w:sz="4" w:space="0" w:color="000000"/>
            </w:tcBorders>
          </w:tcPr>
          <w:p>
            <w:pPr>
              <w:pStyle w:val="TableParagraph"/>
              <w:ind w:left="16"/>
              <w:rPr>
                <w:sz w:val="21"/>
              </w:rPr>
            </w:pPr>
            <w:r>
              <w:rPr>
                <w:w w:val="100"/>
                <w:sz w:val="21"/>
              </w:rPr>
              <w:t>6</w:t>
            </w:r>
          </w:p>
        </w:tc>
        <w:tc>
          <w:tcPr>
            <w:tcW w:w="2377" w:type="dxa"/>
            <w:tcBorders>
              <w:top w:val="single" w:sz="4" w:space="0" w:color="000000"/>
              <w:left w:val="single" w:sz="4" w:space="0" w:color="000000"/>
              <w:right w:val="single" w:sz="4" w:space="0" w:color="000000"/>
            </w:tcBorders>
          </w:tcPr>
          <w:p>
            <w:pPr>
              <w:pStyle w:val="TableParagraph"/>
              <w:spacing w:before="46"/>
              <w:ind w:left="230" w:right="206"/>
              <w:rPr>
                <w:rFonts w:ascii="宋体" w:eastAsia="宋体" w:hint="eastAsia"/>
                <w:sz w:val="21"/>
              </w:rPr>
            </w:pPr>
            <w:r>
              <w:rPr>
                <w:rFonts w:ascii="宋体" w:eastAsia="宋体" w:hint="eastAsia"/>
                <w:sz w:val="21"/>
              </w:rPr>
              <w:t>病死猪无害化处理间</w:t>
            </w:r>
          </w:p>
        </w:tc>
        <w:tc>
          <w:tcPr>
            <w:tcW w:w="1851" w:type="dxa"/>
            <w:tcBorders>
              <w:top w:val="single" w:sz="4" w:space="0" w:color="000000"/>
              <w:left w:val="single" w:sz="4" w:space="0" w:color="000000"/>
              <w:right w:val="single" w:sz="4" w:space="0" w:color="000000"/>
            </w:tcBorders>
          </w:tcPr>
          <w:p>
            <w:pPr>
              <w:pStyle w:val="TableParagraph"/>
              <w:ind w:left="20"/>
              <w:rPr>
                <w:sz w:val="21"/>
              </w:rPr>
            </w:pPr>
            <w:r>
              <w:rPr>
                <w:w w:val="100"/>
                <w:sz w:val="21"/>
              </w:rPr>
              <w:t>/</w:t>
            </w:r>
          </w:p>
        </w:tc>
        <w:tc>
          <w:tcPr>
            <w:tcW w:w="1428" w:type="dxa"/>
            <w:tcBorders>
              <w:top w:val="single" w:sz="4" w:space="0" w:color="000000"/>
              <w:left w:val="single" w:sz="4" w:space="0" w:color="000000"/>
              <w:right w:val="single" w:sz="4" w:space="0" w:color="000000"/>
            </w:tcBorders>
          </w:tcPr>
          <w:p>
            <w:pPr>
              <w:pStyle w:val="TableParagraph"/>
              <w:ind w:left="20"/>
              <w:rPr>
                <w:sz w:val="21"/>
              </w:rPr>
            </w:pPr>
            <w:r>
              <w:rPr>
                <w:w w:val="100"/>
                <w:sz w:val="21"/>
              </w:rPr>
              <w:t>/</w:t>
            </w:r>
          </w:p>
        </w:tc>
        <w:tc>
          <w:tcPr>
            <w:tcW w:w="1191" w:type="dxa"/>
            <w:tcBorders>
              <w:top w:val="single" w:sz="4" w:space="0" w:color="000000"/>
              <w:left w:val="single" w:sz="4" w:space="0" w:color="000000"/>
              <w:right w:val="single" w:sz="4" w:space="0" w:color="000000"/>
            </w:tcBorders>
          </w:tcPr>
          <w:p>
            <w:pPr>
              <w:pStyle w:val="TableParagraph"/>
              <w:ind w:left="23"/>
              <w:rPr>
                <w:sz w:val="21"/>
              </w:rPr>
            </w:pPr>
            <w:r>
              <w:rPr>
                <w:w w:val="100"/>
                <w:sz w:val="21"/>
              </w:rPr>
              <w:t>/</w:t>
            </w:r>
          </w:p>
        </w:tc>
        <w:tc>
          <w:tcPr>
            <w:tcW w:w="1868" w:type="dxa"/>
            <w:tcBorders>
              <w:top w:val="single" w:sz="4" w:space="0" w:color="000000"/>
              <w:left w:val="single" w:sz="4" w:space="0" w:color="000000"/>
            </w:tcBorders>
          </w:tcPr>
          <w:p>
            <w:pPr>
              <w:pStyle w:val="TableParagraph"/>
              <w:ind w:left="186" w:right="151"/>
              <w:rPr>
                <w:sz w:val="21"/>
              </w:rPr>
            </w:pPr>
            <w:r>
              <w:rPr>
                <w:sz w:val="21"/>
              </w:rPr>
              <w:t>1500</w:t>
            </w:r>
          </w:p>
        </w:tc>
      </w:tr>
    </w:tbl>
    <w:p>
      <w:pPr>
        <w:spacing w:after="0"/>
        <w:rPr>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18"/>
        <w:gridCol w:w="2377"/>
        <w:gridCol w:w="1851"/>
        <w:gridCol w:w="1428"/>
        <w:gridCol w:w="1191"/>
        <w:gridCol w:w="1868"/>
      </w:tblGrid>
      <w:tr>
        <w:trPr>
          <w:trHeight w:val="359" w:hRule="atLeast"/>
        </w:trPr>
        <w:tc>
          <w:tcPr>
            <w:tcW w:w="718" w:type="dxa"/>
            <w:tcBorders>
              <w:bottom w:val="single" w:sz="4" w:space="0" w:color="000000"/>
              <w:right w:val="single" w:sz="4" w:space="0" w:color="000000"/>
            </w:tcBorders>
          </w:tcPr>
          <w:p>
            <w:pPr>
              <w:pStyle w:val="TableParagraph"/>
              <w:spacing w:before="49"/>
              <w:ind w:left="124" w:right="108"/>
              <w:rPr>
                <w:rFonts w:ascii="宋体" w:eastAsia="宋体" w:hint="eastAsia"/>
                <w:b/>
                <w:sz w:val="21"/>
              </w:rPr>
            </w:pPr>
            <w:r>
              <w:rPr>
                <w:rFonts w:ascii="宋体" w:eastAsia="宋体" w:hint="eastAsia"/>
                <w:b/>
                <w:sz w:val="21"/>
              </w:rPr>
              <w:t>序号</w:t>
            </w:r>
          </w:p>
        </w:tc>
        <w:tc>
          <w:tcPr>
            <w:tcW w:w="2377" w:type="dxa"/>
            <w:tcBorders>
              <w:left w:val="single" w:sz="4" w:space="0" w:color="000000"/>
              <w:bottom w:val="single" w:sz="4" w:space="0" w:color="000000"/>
              <w:right w:val="single" w:sz="4" w:space="0" w:color="000000"/>
            </w:tcBorders>
          </w:tcPr>
          <w:p>
            <w:pPr>
              <w:pStyle w:val="TableParagraph"/>
              <w:spacing w:before="49"/>
              <w:ind w:left="228" w:right="206"/>
              <w:rPr>
                <w:rFonts w:ascii="宋体" w:eastAsia="宋体" w:hint="eastAsia"/>
                <w:b/>
                <w:sz w:val="21"/>
              </w:rPr>
            </w:pPr>
            <w:r>
              <w:rPr>
                <w:rFonts w:ascii="宋体" w:eastAsia="宋体" w:hint="eastAsia"/>
                <w:b/>
                <w:sz w:val="21"/>
              </w:rPr>
              <w:t>构筑物名称</w:t>
            </w:r>
          </w:p>
        </w:tc>
        <w:tc>
          <w:tcPr>
            <w:tcW w:w="1851" w:type="dxa"/>
            <w:tcBorders>
              <w:left w:val="single" w:sz="4" w:space="0" w:color="000000"/>
              <w:bottom w:val="single" w:sz="4" w:space="0" w:color="000000"/>
              <w:right w:val="single" w:sz="4" w:space="0" w:color="000000"/>
            </w:tcBorders>
          </w:tcPr>
          <w:p>
            <w:pPr>
              <w:pStyle w:val="TableParagraph"/>
              <w:spacing w:before="49"/>
              <w:ind w:left="210"/>
              <w:jc w:val="left"/>
              <w:rPr>
                <w:rFonts w:ascii="宋体" w:eastAsia="宋体" w:hint="eastAsia"/>
                <w:b/>
                <w:sz w:val="21"/>
              </w:rPr>
            </w:pPr>
            <w:r>
              <w:rPr>
                <w:rFonts w:ascii="宋体" w:eastAsia="宋体" w:hint="eastAsia"/>
                <w:b/>
                <w:sz w:val="21"/>
              </w:rPr>
              <w:t>平面尺寸（</w:t>
            </w:r>
            <w:r>
              <w:rPr>
                <w:b/>
                <w:sz w:val="21"/>
              </w:rPr>
              <w:t>m</w:t>
            </w:r>
            <w:r>
              <w:rPr>
                <w:rFonts w:ascii="宋体" w:eastAsia="宋体" w:hint="eastAsia"/>
                <w:b/>
                <w:sz w:val="21"/>
              </w:rPr>
              <w:t>）</w:t>
            </w:r>
          </w:p>
        </w:tc>
        <w:tc>
          <w:tcPr>
            <w:tcW w:w="1428" w:type="dxa"/>
            <w:tcBorders>
              <w:left w:val="single" w:sz="4" w:space="0" w:color="000000"/>
              <w:bottom w:val="single" w:sz="4" w:space="0" w:color="000000"/>
              <w:right w:val="single" w:sz="4" w:space="0" w:color="000000"/>
            </w:tcBorders>
          </w:tcPr>
          <w:p>
            <w:pPr>
              <w:pStyle w:val="TableParagraph"/>
              <w:spacing w:before="48"/>
              <w:ind w:left="176"/>
              <w:jc w:val="left"/>
              <w:rPr>
                <w:rFonts w:ascii="宋体" w:eastAsia="宋体" w:hint="eastAsia"/>
                <w:b/>
                <w:sz w:val="21"/>
              </w:rPr>
            </w:pPr>
            <w:r>
              <w:rPr>
                <w:rFonts w:ascii="宋体" w:eastAsia="宋体" w:hint="eastAsia"/>
                <w:b/>
                <w:sz w:val="21"/>
              </w:rPr>
              <w:t>面积（</w:t>
            </w:r>
            <w:r>
              <w:rPr>
                <w:b/>
                <w:sz w:val="21"/>
              </w:rPr>
              <w:t>m</w:t>
            </w:r>
            <w:r>
              <w:rPr>
                <w:b/>
                <w:position w:val="8"/>
                <w:sz w:val="14"/>
              </w:rPr>
              <w:t>2</w:t>
            </w:r>
            <w:r>
              <w:rPr>
                <w:rFonts w:ascii="宋体" w:eastAsia="宋体" w:hint="eastAsia"/>
                <w:b/>
                <w:sz w:val="21"/>
              </w:rPr>
              <w:t>）</w:t>
            </w:r>
          </w:p>
        </w:tc>
        <w:tc>
          <w:tcPr>
            <w:tcW w:w="1191" w:type="dxa"/>
            <w:tcBorders>
              <w:left w:val="single" w:sz="4" w:space="0" w:color="000000"/>
              <w:bottom w:val="single" w:sz="4" w:space="0" w:color="000000"/>
              <w:right w:val="single" w:sz="4" w:space="0" w:color="000000"/>
            </w:tcBorders>
          </w:tcPr>
          <w:p>
            <w:pPr>
              <w:pStyle w:val="TableParagraph"/>
              <w:spacing w:before="49"/>
              <w:ind w:left="181"/>
              <w:jc w:val="left"/>
              <w:rPr>
                <w:rFonts w:ascii="宋体" w:eastAsia="宋体" w:hint="eastAsia"/>
                <w:b/>
                <w:sz w:val="21"/>
              </w:rPr>
            </w:pPr>
            <w:r>
              <w:rPr>
                <w:rFonts w:ascii="宋体" w:eastAsia="宋体" w:hint="eastAsia"/>
                <w:b/>
                <w:sz w:val="21"/>
              </w:rPr>
              <w:t>换气次数</w:t>
            </w:r>
          </w:p>
        </w:tc>
        <w:tc>
          <w:tcPr>
            <w:tcW w:w="1868" w:type="dxa"/>
            <w:tcBorders>
              <w:left w:val="single" w:sz="4" w:space="0" w:color="000000"/>
              <w:bottom w:val="single" w:sz="4" w:space="0" w:color="000000"/>
            </w:tcBorders>
          </w:tcPr>
          <w:p>
            <w:pPr>
              <w:pStyle w:val="TableParagraph"/>
              <w:spacing w:before="49"/>
              <w:ind w:left="186" w:right="153"/>
              <w:rPr>
                <w:rFonts w:ascii="宋体" w:hAnsi="宋体" w:eastAsia="宋体" w:hint="eastAsia"/>
                <w:b/>
                <w:sz w:val="21"/>
              </w:rPr>
            </w:pPr>
            <w:r>
              <w:rPr>
                <w:rFonts w:ascii="宋体" w:hAnsi="宋体" w:eastAsia="宋体" w:hint="eastAsia"/>
                <w:b/>
                <w:sz w:val="21"/>
              </w:rPr>
              <w:t>废气量（</w:t>
            </w:r>
            <w:r>
              <w:rPr>
                <w:b/>
                <w:sz w:val="21"/>
              </w:rPr>
              <w:t>m³/h</w:t>
            </w:r>
            <w:r>
              <w:rPr>
                <w:rFonts w:ascii="宋体" w:hAnsi="宋体" w:eastAsia="宋体" w:hint="eastAsia"/>
                <w:b/>
                <w:sz w:val="21"/>
              </w:rPr>
              <w:t>）</w:t>
            </w:r>
          </w:p>
        </w:tc>
      </w:tr>
      <w:tr>
        <w:trPr>
          <w:trHeight w:val="359" w:hRule="atLeast"/>
        </w:trPr>
        <w:tc>
          <w:tcPr>
            <w:tcW w:w="718" w:type="dxa"/>
            <w:tcBorders>
              <w:top w:val="single" w:sz="4" w:space="0" w:color="000000"/>
              <w:bottom w:val="single" w:sz="4" w:space="0" w:color="000000"/>
              <w:right w:val="single" w:sz="4" w:space="0" w:color="000000"/>
            </w:tcBorders>
          </w:tcPr>
          <w:p>
            <w:pPr>
              <w:pStyle w:val="TableParagraph"/>
              <w:ind w:left="16"/>
              <w:rPr>
                <w:sz w:val="21"/>
              </w:rPr>
            </w:pPr>
            <w:r>
              <w:rPr>
                <w:w w:val="100"/>
                <w:sz w:val="21"/>
              </w:rPr>
              <w:t>7</w:t>
            </w:r>
          </w:p>
        </w:tc>
        <w:tc>
          <w:tcPr>
            <w:tcW w:w="2377" w:type="dxa"/>
            <w:tcBorders>
              <w:top w:val="single" w:sz="4" w:space="0" w:color="000000"/>
              <w:left w:val="single" w:sz="4" w:space="0" w:color="000000"/>
              <w:bottom w:val="single" w:sz="4" w:space="0" w:color="000000"/>
              <w:right w:val="single" w:sz="4" w:space="0" w:color="000000"/>
            </w:tcBorders>
          </w:tcPr>
          <w:p>
            <w:pPr>
              <w:pStyle w:val="TableParagraph"/>
              <w:spacing w:before="46"/>
              <w:ind w:left="228" w:right="206"/>
              <w:rPr>
                <w:rFonts w:ascii="宋体" w:eastAsia="宋体" w:hint="eastAsia"/>
                <w:sz w:val="21"/>
              </w:rPr>
            </w:pPr>
            <w:r>
              <w:rPr>
                <w:rFonts w:ascii="宋体" w:eastAsia="宋体" w:hint="eastAsia"/>
                <w:sz w:val="21"/>
              </w:rPr>
              <w:t>小计</w:t>
            </w:r>
          </w:p>
        </w:tc>
        <w:tc>
          <w:tcPr>
            <w:tcW w:w="4470" w:type="dxa"/>
            <w:gridSpan w:val="3"/>
            <w:tcBorders>
              <w:top w:val="single" w:sz="4" w:space="0" w:color="000000"/>
              <w:left w:val="single" w:sz="4" w:space="0" w:color="000000"/>
              <w:bottom w:val="single" w:sz="4" w:space="0" w:color="000000"/>
              <w:right w:val="single" w:sz="4" w:space="0" w:color="000000"/>
            </w:tcBorders>
          </w:tcPr>
          <w:p>
            <w:pPr>
              <w:pStyle w:val="TableParagraph"/>
              <w:ind w:left="1609" w:right="1588"/>
              <w:rPr>
                <w:sz w:val="21"/>
              </w:rPr>
            </w:pPr>
            <w:r>
              <w:rPr>
                <w:sz w:val="21"/>
              </w:rPr>
              <w:t>1+2+3+4+5+6</w:t>
            </w:r>
          </w:p>
        </w:tc>
        <w:tc>
          <w:tcPr>
            <w:tcW w:w="1868" w:type="dxa"/>
            <w:tcBorders>
              <w:top w:val="single" w:sz="4" w:space="0" w:color="000000"/>
              <w:left w:val="single" w:sz="4" w:space="0" w:color="000000"/>
              <w:bottom w:val="single" w:sz="4" w:space="0" w:color="000000"/>
            </w:tcBorders>
          </w:tcPr>
          <w:p>
            <w:pPr>
              <w:pStyle w:val="TableParagraph"/>
              <w:ind w:left="186" w:right="151"/>
              <w:rPr>
                <w:sz w:val="21"/>
              </w:rPr>
            </w:pPr>
            <w:r>
              <w:rPr>
                <w:sz w:val="21"/>
              </w:rPr>
              <w:t>49521</w:t>
            </w:r>
          </w:p>
        </w:tc>
      </w:tr>
      <w:tr>
        <w:trPr>
          <w:trHeight w:val="356" w:hRule="atLeast"/>
        </w:trPr>
        <w:tc>
          <w:tcPr>
            <w:tcW w:w="718" w:type="dxa"/>
            <w:tcBorders>
              <w:top w:val="single" w:sz="4" w:space="0" w:color="000000"/>
              <w:right w:val="single" w:sz="4" w:space="0" w:color="000000"/>
            </w:tcBorders>
          </w:tcPr>
          <w:p>
            <w:pPr>
              <w:pStyle w:val="TableParagraph"/>
              <w:ind w:left="16"/>
              <w:rPr>
                <w:sz w:val="21"/>
              </w:rPr>
            </w:pPr>
            <w:r>
              <w:rPr>
                <w:w w:val="100"/>
                <w:sz w:val="21"/>
              </w:rPr>
              <w:t>8</w:t>
            </w:r>
          </w:p>
        </w:tc>
        <w:tc>
          <w:tcPr>
            <w:tcW w:w="2377" w:type="dxa"/>
            <w:tcBorders>
              <w:top w:val="single" w:sz="4" w:space="0" w:color="000000"/>
              <w:left w:val="single" w:sz="4" w:space="0" w:color="000000"/>
              <w:right w:val="single" w:sz="4" w:space="0" w:color="000000"/>
            </w:tcBorders>
          </w:tcPr>
          <w:p>
            <w:pPr>
              <w:pStyle w:val="TableParagraph"/>
              <w:spacing w:before="46"/>
              <w:ind w:left="230" w:right="206"/>
              <w:rPr>
                <w:rFonts w:ascii="宋体" w:eastAsia="宋体" w:hint="eastAsia"/>
                <w:sz w:val="21"/>
              </w:rPr>
            </w:pPr>
            <w:r>
              <w:rPr>
                <w:rFonts w:ascii="宋体" w:eastAsia="宋体" w:hint="eastAsia"/>
                <w:sz w:val="21"/>
              </w:rPr>
              <w:t>设计风量</w:t>
            </w:r>
          </w:p>
        </w:tc>
        <w:tc>
          <w:tcPr>
            <w:tcW w:w="4470" w:type="dxa"/>
            <w:gridSpan w:val="3"/>
            <w:tcBorders>
              <w:top w:val="single" w:sz="4" w:space="0" w:color="000000"/>
              <w:left w:val="single" w:sz="4" w:space="0" w:color="000000"/>
              <w:right w:val="single" w:sz="4" w:space="0" w:color="000000"/>
            </w:tcBorders>
          </w:tcPr>
          <w:p>
            <w:pPr>
              <w:pStyle w:val="TableParagraph"/>
              <w:spacing w:before="46"/>
              <w:ind w:left="1609" w:right="1588"/>
              <w:rPr>
                <w:rFonts w:ascii="宋体" w:eastAsia="宋体" w:hint="eastAsia"/>
                <w:sz w:val="21"/>
              </w:rPr>
            </w:pPr>
            <w:r>
              <w:rPr>
                <w:rFonts w:ascii="宋体" w:eastAsia="宋体" w:hint="eastAsia"/>
                <w:sz w:val="21"/>
              </w:rPr>
              <w:t>取整</w:t>
            </w:r>
          </w:p>
        </w:tc>
        <w:tc>
          <w:tcPr>
            <w:tcW w:w="1868" w:type="dxa"/>
            <w:tcBorders>
              <w:top w:val="single" w:sz="4" w:space="0" w:color="000000"/>
              <w:left w:val="single" w:sz="4" w:space="0" w:color="000000"/>
            </w:tcBorders>
          </w:tcPr>
          <w:p>
            <w:pPr>
              <w:pStyle w:val="TableParagraph"/>
              <w:ind w:left="186" w:right="151"/>
              <w:rPr>
                <w:sz w:val="21"/>
              </w:rPr>
            </w:pPr>
            <w:r>
              <w:rPr>
                <w:sz w:val="21"/>
              </w:rPr>
              <w:t>50000</w:t>
            </w:r>
          </w:p>
        </w:tc>
      </w:tr>
    </w:tbl>
    <w:p>
      <w:pPr>
        <w:pStyle w:val="ListParagraph"/>
        <w:numPr>
          <w:ilvl w:val="0"/>
          <w:numId w:val="95"/>
        </w:numPr>
        <w:tabs>
          <w:tab w:pos="1323" w:val="left" w:leader="none"/>
        </w:tabs>
        <w:spacing w:line="240" w:lineRule="auto" w:before="94" w:after="0"/>
        <w:ind w:left="1323" w:right="0" w:hanging="604"/>
        <w:jc w:val="left"/>
        <w:rPr>
          <w:b/>
          <w:sz w:val="24"/>
        </w:rPr>
      </w:pPr>
      <w:r>
        <w:rPr>
          <w:b/>
          <w:sz w:val="24"/>
        </w:rPr>
        <w:t>处理工艺</w:t>
      </w:r>
    </w:p>
    <w:p>
      <w:pPr>
        <w:pStyle w:val="BodyText"/>
        <w:spacing w:line="364" w:lineRule="auto" w:before="160"/>
        <w:ind w:right="249" w:firstLine="480"/>
        <w:jc w:val="both"/>
      </w:pPr>
      <w:r>
        <w:rPr/>
        <w:t>本环评要求企业对污水处理站固液分离间、集水池、调节池、污泥池、生化物化处理池等构筑物加盖集气，对固液分离间、猪粪投料间、有机肥仓库（含无害化处理间） 进行整体负压集气，上述废气经收集后引至 </w:t>
      </w:r>
      <w:r>
        <w:rPr>
          <w:rFonts w:ascii="Times New Roman" w:hAnsi="Times New Roman" w:eastAsia="Times New Roman"/>
          <w:position w:val="1"/>
        </w:rPr>
        <w:t>1 </w:t>
      </w:r>
      <w:r>
        <w:rPr/>
        <w:t>套“二级喷淋装置”处理，尾气由对应的</w:t>
      </w:r>
      <w:r>
        <w:rPr>
          <w:rFonts w:ascii="Times New Roman" w:hAnsi="Times New Roman" w:eastAsia="Times New Roman"/>
          <w:position w:val="1"/>
        </w:rPr>
        <w:t>15m </w:t>
      </w:r>
      <w:r>
        <w:rPr/>
        <w:t>高排气筒（</w:t>
      </w:r>
      <w:r>
        <w:rPr>
          <w:rFonts w:ascii="Times New Roman" w:hAnsi="Times New Roman" w:eastAsia="Times New Roman"/>
          <w:position w:val="1"/>
        </w:rPr>
        <w:t>DA001</w:t>
      </w:r>
      <w:r>
        <w:rPr/>
        <w:t>）高空排放。</w:t>
      </w:r>
    </w:p>
    <w:p>
      <w:pPr>
        <w:pStyle w:val="BodyText"/>
        <w:spacing w:before="3"/>
        <w:ind w:left="717"/>
        <w:jc w:val="both"/>
      </w:pPr>
      <w:r>
        <w:rPr/>
        <w:pict>
          <v:group style="position:absolute;margin-left:236.628189pt;margin-top:38.801544pt;width:35.15pt;height:4.55pt;mso-position-horizontal-relative:page;mso-position-vertical-relative:paragraph;z-index:251891712" coordorigin="4733,776" coordsize="703,91">
            <v:line style="position:absolute" from="4733,821" to="5311,821" stroked="true" strokeweight=".545228pt" strokecolor="#000000">
              <v:stroke dashstyle="solid"/>
            </v:line>
            <v:shape style="position:absolute;left:5300;top:776;width:135;height:91" coordorigin="5301,776" coordsize="135,91" path="m5301,776l5301,867,5435,821,5301,776xe" filled="true" fillcolor="#000000" stroked="false">
              <v:path arrowok="t"/>
              <v:fill type="solid"/>
            </v:shape>
            <w10:wrap type="none"/>
          </v:group>
        </w:pict>
      </w:r>
      <w:r>
        <w:rPr/>
        <w:pict>
          <v:group style="position:absolute;margin-left:333.188202pt;margin-top:38.801556pt;width:35.15pt;height:4.55pt;mso-position-horizontal-relative:page;mso-position-vertical-relative:paragraph;z-index:251892736" coordorigin="6664,776" coordsize="703,91">
            <v:line style="position:absolute" from="6664,821" to="7242,821" stroked="true" strokeweight=".545228pt" strokecolor="#000000">
              <v:stroke dashstyle="solid"/>
            </v:line>
            <v:shape style="position:absolute;left:7231;top:776;width:135;height:91" coordorigin="7232,776" coordsize="135,91" path="m7232,776l7232,867,7366,821,7232,776xe" filled="true" fillcolor="#000000" stroked="false">
              <v:path arrowok="t"/>
              <v:fill type="solid"/>
            </v:shape>
            <w10:wrap type="none"/>
          </v:group>
        </w:pict>
      </w:r>
      <w:r>
        <w:rPr/>
        <w:pict>
          <v:group style="position:absolute;margin-left:412.191833pt;margin-top:38.801563pt;width:35.15pt;height:4.55pt;mso-position-horizontal-relative:page;mso-position-vertical-relative:paragraph;z-index:251893760" coordorigin="8244,776" coordsize="703,91">
            <v:line style="position:absolute" from="8244,821" to="8822,821" stroked="true" strokeweight=".545228pt" strokecolor="#000000">
              <v:stroke dashstyle="solid"/>
            </v:line>
            <v:shape style="position:absolute;left:8811;top:776;width:135;height:91" coordorigin="8812,776" coordsize="135,91" path="m8812,776l8812,867,8946,821,8812,776xe" filled="true" fillcolor="#000000" stroked="false">
              <v:path arrowok="t"/>
              <v:fill type="solid"/>
            </v:shape>
            <w10:wrap type="none"/>
          </v:group>
        </w:pict>
      </w:r>
      <w:r>
        <w:rPr/>
        <w:pict>
          <v:shape style="position:absolute;margin-left:368.300934pt;margin-top:31.418257pt;width:43.9pt;height:19.350pt;mso-position-horizontal-relative:page;mso-position-vertical-relative:paragraph;z-index:251898880" type="#_x0000_t202" filled="false" stroked="true" strokeweight=".5384pt" strokecolor="#000000">
            <v:textbox inset="0,0,0,0">
              <w:txbxContent>
                <w:p>
                  <w:pPr>
                    <w:spacing w:before="69"/>
                    <w:ind w:left="180" w:right="0" w:firstLine="0"/>
                    <w:jc w:val="left"/>
                    <w:rPr>
                      <w:sz w:val="18"/>
                    </w:rPr>
                  </w:pPr>
                  <w:r>
                    <w:rPr>
                      <w:sz w:val="18"/>
                    </w:rPr>
                    <w:t>引风机</w:t>
                  </w:r>
                </w:p>
              </w:txbxContent>
            </v:textbox>
            <v:stroke dashstyle="solid"/>
            <w10:wrap type="none"/>
          </v:shape>
        </w:pict>
      </w:r>
      <w:r>
        <w:rPr/>
        <w:pict>
          <v:shape style="position:absolute;margin-left:271.740936pt;margin-top:31.418247pt;width:61.45pt;height:19.350pt;mso-position-horizontal-relative:page;mso-position-vertical-relative:paragraph;z-index:251899904" type="#_x0000_t202" filled="false" stroked="true" strokeweight=".541493pt" strokecolor="#000000">
            <v:textbox inset="0,0,0,0">
              <w:txbxContent>
                <w:p>
                  <w:pPr>
                    <w:spacing w:before="69"/>
                    <w:ind w:left="356" w:right="0" w:firstLine="0"/>
                    <w:jc w:val="left"/>
                    <w:rPr>
                      <w:sz w:val="18"/>
                    </w:rPr>
                  </w:pPr>
                  <w:r>
                    <w:rPr>
                      <w:sz w:val="18"/>
                    </w:rPr>
                    <w:t>碱喷淋</w:t>
                  </w:r>
                </w:p>
              </w:txbxContent>
            </v:textbox>
            <v:stroke dashstyle="solid"/>
            <w10:wrap type="none"/>
          </v:shape>
        </w:pict>
      </w:r>
      <w:r>
        <w:rPr/>
        <w:t>具体处理工艺详见图 </w:t>
      </w:r>
      <w:r>
        <w:rPr>
          <w:rFonts w:ascii="Times New Roman" w:eastAsia="Times New Roman"/>
          <w:position w:val="1"/>
        </w:rPr>
        <w:t>6.2-3</w:t>
      </w:r>
      <w:r>
        <w:rPr/>
        <w:t>。</w:t>
      </w:r>
    </w:p>
    <w:p>
      <w:pPr>
        <w:pStyle w:val="BodyText"/>
        <w:spacing w:before="8"/>
        <w:ind w:left="0"/>
        <w:rPr>
          <w:sz w:val="14"/>
        </w:rPr>
      </w:pPr>
    </w:p>
    <w:p>
      <w:pPr>
        <w:spacing w:after="0"/>
        <w:rPr>
          <w:sz w:val="14"/>
        </w:rPr>
        <w:sectPr>
          <w:pgSz w:w="11910" w:h="16840"/>
          <w:pgMar w:header="874" w:footer="1004" w:top="1420" w:bottom="1200" w:left="1040" w:right="1160"/>
        </w:sectPr>
      </w:pPr>
    </w:p>
    <w:p>
      <w:pPr>
        <w:pStyle w:val="BodyText"/>
        <w:spacing w:before="7"/>
        <w:ind w:left="0"/>
        <w:rPr>
          <w:sz w:val="11"/>
        </w:rPr>
      </w:pPr>
    </w:p>
    <w:p>
      <w:pPr>
        <w:spacing w:line="103" w:lineRule="exact" w:before="0"/>
        <w:ind w:left="1497" w:right="0" w:firstLine="0"/>
        <w:jc w:val="left"/>
        <w:rPr>
          <w:rFonts w:ascii="Times New Roman" w:hAnsi="Times New Roman"/>
          <w:sz w:val="13"/>
        </w:rPr>
      </w:pPr>
      <w:r>
        <w:rPr/>
        <w:pict>
          <v:shape style="position:absolute;margin-left:175.180908pt;margin-top:-.871962pt;width:61.45pt;height:19.350pt;mso-position-horizontal-relative:page;mso-position-vertical-relative:paragraph;z-index:251900928" type="#_x0000_t202" filled="false" stroked="true" strokeweight=".541493pt" strokecolor="#000000">
            <v:textbox inset="0,0,0,0">
              <w:txbxContent>
                <w:p>
                  <w:pPr>
                    <w:spacing w:before="69"/>
                    <w:ind w:left="108" w:right="0" w:firstLine="0"/>
                    <w:jc w:val="left"/>
                    <w:rPr>
                      <w:sz w:val="18"/>
                    </w:rPr>
                  </w:pPr>
                  <w:r>
                    <w:rPr>
                      <w:w w:val="95"/>
                      <w:sz w:val="18"/>
                    </w:rPr>
                    <w:t>次氯酸钠喷淋</w:t>
                  </w:r>
                </w:p>
              </w:txbxContent>
            </v:textbox>
            <v:stroke dashstyle="solid"/>
            <w10:wrap type="none"/>
          </v:shape>
        </w:pict>
      </w:r>
      <w:r>
        <w:rPr>
          <w:rFonts w:ascii="Times New Roman" w:hAnsi="Times New Roman"/>
          <w:w w:val="95"/>
          <w:sz w:val="13"/>
          <w:u w:val="single"/>
        </w:rPr>
        <w:t> </w:t>
      </w:r>
      <w:r>
        <w:rPr>
          <w:rFonts w:ascii="Times New Roman" w:hAnsi="Times New Roman"/>
          <w:sz w:val="13"/>
          <w:u w:val="single"/>
        </w:rPr>
        <w:t>50000m /h</w:t>
      </w:r>
      <w:r>
        <w:rPr>
          <w:rFonts w:ascii="Times New Roman" w:hAnsi="Times New Roman"/>
          <w:sz w:val="13"/>
        </w:rPr>
        <w:t> ³</w:t>
      </w:r>
    </w:p>
    <w:p>
      <w:pPr>
        <w:spacing w:line="184" w:lineRule="exact" w:before="0"/>
        <w:ind w:left="523" w:right="0" w:firstLine="0"/>
        <w:jc w:val="left"/>
        <w:rPr>
          <w:sz w:val="18"/>
        </w:rPr>
      </w:pPr>
      <w:r>
        <w:rPr/>
        <w:pict>
          <v:shape style="position:absolute;margin-left:168.468185pt;margin-top:1.347637pt;width:6.75pt;height:4.55pt;mso-position-horizontal-relative:page;mso-position-vertical-relative:paragraph;z-index:251890688" coordorigin="3369,27" coordsize="135,91" path="m3369,27l3369,118,3504,72,3369,27xe" filled="true" fillcolor="#000000" stroked="false">
            <v:path arrowok="t"/>
            <v:fill type="solid"/>
            <w10:wrap type="none"/>
          </v:shape>
        </w:pict>
      </w:r>
      <w:r>
        <w:rPr/>
        <w:pict>
          <v:group style="position:absolute;margin-left:286.715485pt;margin-top:13.274522pt;width:4.650pt;height:21.05pt;mso-position-horizontal-relative:page;mso-position-vertical-relative:paragraph;z-index:251894784" coordorigin="5734,265" coordsize="93,421">
            <v:line style="position:absolute" from="5786,345" to="5786,686" stroked="true" strokeweight=".495709pt" strokecolor="#000000">
              <v:stroke dashstyle="shortdash"/>
            </v:line>
            <v:shape style="position:absolute;left:5734;top:265;width:93;height:103" coordorigin="5734,265" coordsize="93,103" path="m5786,265l5734,368,5737,366,5758,357,5781,354,5822,354,5786,265xm5822,354l5781,354,5804,357,5826,366,5827,368,5822,354xe" filled="true" fillcolor="#000000" stroked="false">
              <v:path arrowok="t"/>
              <v:fill type="solid"/>
            </v:shape>
            <w10:wrap type="none"/>
          </v:group>
        </w:pict>
      </w:r>
      <w:r>
        <w:rPr/>
        <w:pict>
          <v:group style="position:absolute;margin-left:313.566376pt;margin-top:13.274527pt;width:4.650pt;height:21.05pt;mso-position-horizontal-relative:page;mso-position-vertical-relative:paragraph;z-index:251895808" coordorigin="6271,265" coordsize="93,421">
            <v:line style="position:absolute" from="6313,618" to="6313,265" stroked="true" strokeweight=".495709pt" strokecolor="#000000">
              <v:stroke dashstyle="shortdash"/>
            </v:line>
            <v:shape style="position:absolute;left:6271;top:592;width:93;height:94" coordorigin="6271,593" coordsize="93,94" path="m6272,593l6271,595,6313,686,6359,604,6317,604,6294,601,6272,593xm6361,593l6339,601,6317,604,6359,604,6364,595,6361,593xe" filled="true" fillcolor="#000000" stroked="false">
              <v:path arrowok="t"/>
              <v:fill type="solid"/>
            </v:shape>
            <w10:wrap type="none"/>
          </v:group>
        </w:pict>
      </w:r>
      <w:r>
        <w:rPr/>
        <w:pict>
          <v:group style="position:absolute;margin-left:190.155472pt;margin-top:13.27451pt;width:4.650pt;height:21.05pt;mso-position-horizontal-relative:page;mso-position-vertical-relative:paragraph;z-index:251896832" coordorigin="3803,265" coordsize="93,421">
            <v:line style="position:absolute" from="3855,345" to="3855,686" stroked="true" strokeweight=".495709pt" strokecolor="#000000">
              <v:stroke dashstyle="shortdash"/>
            </v:line>
            <v:shape style="position:absolute;left:3803;top:265;width:93;height:103" coordorigin="3803,265" coordsize="93,103" path="m3855,265l3803,368,3805,366,3827,357,3850,354,3891,354,3855,265xm3891,354l3850,354,3873,357,3894,366,3896,368,3891,354xe" filled="true" fillcolor="#000000" stroked="false">
              <v:path arrowok="t"/>
              <v:fill type="solid"/>
            </v:shape>
            <w10:wrap type="none"/>
          </v:group>
        </w:pict>
      </w:r>
      <w:r>
        <w:rPr/>
        <w:pict>
          <v:group style="position:absolute;margin-left:217.006378pt;margin-top:13.274514pt;width:4.650pt;height:21.05pt;mso-position-horizontal-relative:page;mso-position-vertical-relative:paragraph;z-index:251897856" coordorigin="4340,265" coordsize="93,421">
            <v:line style="position:absolute" from="4381,618" to="4381,265" stroked="true" strokeweight=".495709pt" strokecolor="#000000">
              <v:stroke dashstyle="shortdash"/>
            </v:line>
            <v:shape style="position:absolute;left:4340;top:592;width:93;height:94" coordorigin="4340,593" coordsize="93,94" path="m4341,593l4340,595,4381,686,4428,604,4385,604,4363,601,4341,593xm4430,593l4408,601,4385,604,4428,604,4433,595,4430,593xe" filled="true" fillcolor="#000000" stroked="false">
              <v:path arrowok="t"/>
              <v:fill type="solid"/>
            </v:shape>
            <w10:wrap type="none"/>
          </v:group>
        </w:pict>
      </w:r>
      <w:r>
        <w:rPr>
          <w:sz w:val="18"/>
        </w:rPr>
        <w:t>臭气收集系统</w:t>
      </w:r>
    </w:p>
    <w:p>
      <w:pPr>
        <w:spacing w:line="249" w:lineRule="auto" w:before="83"/>
        <w:ind w:left="835" w:right="725" w:hanging="313"/>
        <w:jc w:val="left"/>
        <w:rPr>
          <w:sz w:val="18"/>
        </w:rPr>
      </w:pPr>
      <w:r>
        <w:rPr/>
        <w:br w:type="column"/>
      </w:r>
      <w:r>
        <w:rPr>
          <w:rFonts w:ascii="Times New Roman" w:eastAsia="Times New Roman"/>
          <w:w w:val="90"/>
          <w:sz w:val="18"/>
        </w:rPr>
        <w:t>15m</w:t>
      </w:r>
      <w:r>
        <w:rPr>
          <w:w w:val="90"/>
          <w:sz w:val="18"/>
        </w:rPr>
        <w:t>高排气筒</w:t>
      </w:r>
      <w:r>
        <w:rPr>
          <w:sz w:val="18"/>
        </w:rPr>
        <w:t>排放</w:t>
      </w:r>
    </w:p>
    <w:p>
      <w:pPr>
        <w:spacing w:after="0" w:line="249" w:lineRule="auto"/>
        <w:jc w:val="left"/>
        <w:rPr>
          <w:sz w:val="18"/>
        </w:rPr>
        <w:sectPr>
          <w:type w:val="continuous"/>
          <w:pgSz w:w="11910" w:h="16840"/>
          <w:pgMar w:top="1400" w:bottom="1200" w:left="1040" w:right="1160"/>
          <w:cols w:num="2" w:equalWidth="0">
            <w:col w:w="2436" w:space="5065"/>
            <w:col w:w="2209"/>
          </w:cols>
        </w:sectPr>
      </w:pPr>
    </w:p>
    <w:p>
      <w:pPr>
        <w:pStyle w:val="BodyText"/>
        <w:spacing w:before="10"/>
        <w:ind w:left="0"/>
        <w:rPr>
          <w:sz w:val="28"/>
        </w:rPr>
      </w:pPr>
    </w:p>
    <w:p>
      <w:pPr>
        <w:tabs>
          <w:tab w:pos="4559" w:val="left" w:leader="none"/>
        </w:tabs>
        <w:spacing w:line="240" w:lineRule="auto"/>
        <w:ind w:left="2633" w:right="0" w:firstLine="0"/>
        <w:rPr>
          <w:sz w:val="20"/>
        </w:rPr>
      </w:pPr>
      <w:r>
        <w:rPr>
          <w:sz w:val="20"/>
        </w:rPr>
        <w:pict>
          <v:shape style="width:43.9pt;height:19.9pt;mso-position-horizontal-relative:char;mso-position-vertical-relative:line" type="#_x0000_t202" filled="false" stroked="true" strokeweight=".538051pt" strokecolor="#000000">
            <w10:anchorlock/>
            <v:textbox inset="0,0,0,0">
              <w:txbxContent>
                <w:p>
                  <w:pPr>
                    <w:spacing w:before="73"/>
                    <w:ind w:left="98" w:right="0" w:firstLine="0"/>
                    <w:jc w:val="left"/>
                    <w:rPr>
                      <w:sz w:val="18"/>
                    </w:rPr>
                  </w:pPr>
                  <w:r>
                    <w:rPr>
                      <w:sz w:val="18"/>
                    </w:rPr>
                    <w:t>循环水箱</w:t>
                  </w:r>
                </w:p>
              </w:txbxContent>
            </v:textbox>
            <v:stroke dashstyle="solid"/>
          </v:shape>
        </w:pict>
      </w:r>
      <w:r>
        <w:rPr>
          <w:sz w:val="20"/>
        </w:rPr>
      </w:r>
      <w:r>
        <w:rPr>
          <w:sz w:val="20"/>
        </w:rPr>
        <w:tab/>
      </w:r>
      <w:r>
        <w:rPr>
          <w:position w:val="0"/>
          <w:sz w:val="20"/>
        </w:rPr>
        <w:pict>
          <v:shape style="width:43.9pt;height:19.9pt;mso-position-horizontal-relative:char;mso-position-vertical-relative:line" type="#_x0000_t202" filled="false" stroked="true" strokeweight=".538051pt" strokecolor="#000000">
            <w10:anchorlock/>
            <v:textbox inset="0,0,0,0">
              <w:txbxContent>
                <w:p>
                  <w:pPr>
                    <w:spacing w:before="73"/>
                    <w:ind w:left="98" w:right="0" w:firstLine="0"/>
                    <w:jc w:val="left"/>
                    <w:rPr>
                      <w:sz w:val="18"/>
                    </w:rPr>
                  </w:pPr>
                  <w:r>
                    <w:rPr>
                      <w:sz w:val="18"/>
                    </w:rPr>
                    <w:t>循环水箱</w:t>
                  </w:r>
                </w:p>
              </w:txbxContent>
            </v:textbox>
            <v:stroke dashstyle="solid"/>
          </v:shape>
        </w:pict>
      </w:r>
      <w:r>
        <w:rPr>
          <w:position w:val="0"/>
          <w:sz w:val="20"/>
        </w:rPr>
      </w:r>
    </w:p>
    <w:p>
      <w:pPr>
        <w:pStyle w:val="BodyText"/>
        <w:spacing w:before="7"/>
        <w:ind w:left="0"/>
        <w:rPr>
          <w:sz w:val="18"/>
        </w:rPr>
      </w:pPr>
    </w:p>
    <w:p>
      <w:pPr>
        <w:pStyle w:val="Heading3"/>
        <w:spacing w:before="76"/>
        <w:ind w:left="218" w:right="236"/>
        <w:jc w:val="center"/>
      </w:pPr>
      <w:r>
        <w:rPr/>
        <w:t>图 </w:t>
      </w:r>
      <w:r>
        <w:rPr>
          <w:rFonts w:ascii="Times New Roman" w:eastAsia="Times New Roman"/>
        </w:rPr>
        <w:t>6.2-3  </w:t>
      </w:r>
      <w:r>
        <w:rPr/>
        <w:t>粪污处理区除臭工艺流程图</w:t>
      </w:r>
    </w:p>
    <w:p>
      <w:pPr>
        <w:pStyle w:val="BodyText"/>
        <w:spacing w:line="364" w:lineRule="auto" w:before="160"/>
        <w:ind w:right="259" w:firstLine="482"/>
      </w:pPr>
      <w:r>
        <w:rPr>
          <w:b/>
        </w:rPr>
        <w:t>工艺流程简述：</w:t>
      </w:r>
      <w:r>
        <w:rPr/>
        <w:t>粪污处理区臭气主要成分为硫化氢、氨及一些有机恶臭成分。考虑</w:t>
      </w:r>
      <w:r>
        <w:rPr>
          <w:position w:val="2"/>
        </w:rPr>
        <w:t>首先进入一级氧化喷淋塔吸收 </w:t>
      </w:r>
      <w:r>
        <w:rPr>
          <w:rFonts w:ascii="Times New Roman" w:eastAsia="Times New Roman"/>
          <w:position w:val="2"/>
        </w:rPr>
        <w:t>NH</w:t>
      </w:r>
      <w:r>
        <w:rPr>
          <w:rFonts w:ascii="Times New Roman" w:eastAsia="Times New Roman"/>
          <w:sz w:val="16"/>
        </w:rPr>
        <w:t>3</w:t>
      </w:r>
      <w:r>
        <w:rPr>
          <w:position w:val="2"/>
        </w:rPr>
        <w:t>，再进入第二级碱喷淋塔吸收 </w:t>
      </w:r>
      <w:r>
        <w:rPr>
          <w:rFonts w:ascii="Times New Roman" w:eastAsia="Times New Roman"/>
          <w:position w:val="2"/>
        </w:rPr>
        <w:t>H</w:t>
      </w:r>
      <w:r>
        <w:rPr>
          <w:rFonts w:ascii="Times New Roman" w:eastAsia="Times New Roman"/>
          <w:sz w:val="16"/>
        </w:rPr>
        <w:t>2</w:t>
      </w:r>
      <w:r>
        <w:rPr>
          <w:rFonts w:ascii="Times New Roman" w:eastAsia="Times New Roman"/>
          <w:position w:val="2"/>
        </w:rPr>
        <w:t>S</w:t>
      </w:r>
      <w:r>
        <w:rPr>
          <w:position w:val="2"/>
        </w:rPr>
        <w:t>。</w:t>
      </w:r>
    </w:p>
    <w:p>
      <w:pPr>
        <w:pStyle w:val="BodyText"/>
        <w:spacing w:line="364" w:lineRule="auto" w:before="2"/>
        <w:ind w:right="132" w:firstLine="482"/>
      </w:pPr>
      <w:r>
        <w:rPr>
          <w:b/>
          <w:spacing w:val="1"/>
        </w:rPr>
        <w:t>可行性分析：</w:t>
      </w:r>
      <w:r>
        <w:rPr/>
        <w:t>该工艺在臭气治理方面已广泛使用，根据同类企业的运行情况，粪污</w:t>
      </w:r>
      <w:r>
        <w:rPr>
          <w:spacing w:val="-4"/>
        </w:rPr>
        <w:t>处理臭气经该装置净化后，出口中氨、硫化氢排放速率均能符合《恶臭污染物排放标准》</w:t>
      </w:r>
    </w:p>
    <w:p>
      <w:pPr>
        <w:pStyle w:val="BodyText"/>
        <w:rPr>
          <w:rFonts w:ascii="Times New Roman" w:eastAsia="Times New Roman"/>
        </w:rPr>
      </w:pPr>
      <w:r>
        <w:rPr>
          <w:position w:val="2"/>
        </w:rPr>
        <w:t>（</w:t>
      </w:r>
      <w:r>
        <w:rPr>
          <w:rFonts w:ascii="Times New Roman" w:eastAsia="Times New Roman"/>
          <w:position w:val="2"/>
        </w:rPr>
        <w:t>GB</w:t>
      </w:r>
      <w:r>
        <w:rPr>
          <w:rFonts w:ascii="Times New Roman" w:eastAsia="Times New Roman"/>
          <w:spacing w:val="57"/>
          <w:position w:val="2"/>
        </w:rPr>
        <w:t> </w:t>
      </w:r>
      <w:r>
        <w:rPr>
          <w:rFonts w:ascii="Times New Roman" w:eastAsia="Times New Roman"/>
          <w:position w:val="2"/>
        </w:rPr>
        <w:t>14554-93</w:t>
      </w:r>
      <w:r>
        <w:rPr>
          <w:position w:val="2"/>
        </w:rPr>
        <w:t>）</w:t>
      </w:r>
      <w:r>
        <w:rPr>
          <w:spacing w:val="-2"/>
          <w:position w:val="2"/>
        </w:rPr>
        <w:t>中的排放标准限值。同时根据本环评工程分析，经处理后的 </w:t>
      </w:r>
      <w:r>
        <w:rPr>
          <w:rFonts w:ascii="Times New Roman" w:eastAsia="Times New Roman"/>
          <w:position w:val="2"/>
        </w:rPr>
        <w:t>NH</w:t>
      </w:r>
      <w:r>
        <w:rPr>
          <w:rFonts w:ascii="Times New Roman" w:eastAsia="Times New Roman"/>
          <w:sz w:val="16"/>
        </w:rPr>
        <w:t>3</w:t>
      </w:r>
      <w:r>
        <w:rPr>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w:t>
      </w:r>
    </w:p>
    <w:p>
      <w:pPr>
        <w:pStyle w:val="BodyText"/>
        <w:spacing w:before="162"/>
      </w:pPr>
      <w:r>
        <w:rPr/>
        <w:t>排放速率能够符合《恶臭污染物排放标准》（</w:t>
      </w:r>
      <w:r>
        <w:rPr>
          <w:rFonts w:ascii="Times New Roman" w:eastAsia="Times New Roman"/>
        </w:rPr>
        <w:t>GB 14554-93</w:t>
      </w:r>
      <w:r>
        <w:rPr/>
        <w:t>）中的排放标准限值。</w:t>
      </w:r>
    </w:p>
    <w:p>
      <w:pPr>
        <w:pStyle w:val="Heading3"/>
        <w:numPr>
          <w:ilvl w:val="0"/>
          <w:numId w:val="95"/>
        </w:numPr>
        <w:tabs>
          <w:tab w:pos="1323" w:val="left" w:leader="none"/>
        </w:tabs>
        <w:spacing w:line="240" w:lineRule="auto" w:before="160" w:after="0"/>
        <w:ind w:left="1323" w:right="0" w:hanging="604"/>
        <w:jc w:val="left"/>
      </w:pPr>
      <w:r>
        <w:rPr/>
        <w:t>主要设备配置</w:t>
      </w:r>
    </w:p>
    <w:p>
      <w:pPr>
        <w:spacing w:before="161"/>
        <w:ind w:left="219" w:right="236" w:firstLine="0"/>
        <w:jc w:val="center"/>
        <w:rPr>
          <w:b/>
          <w:sz w:val="24"/>
        </w:rPr>
      </w:pPr>
      <w:r>
        <w:rPr>
          <w:b/>
          <w:sz w:val="24"/>
        </w:rPr>
        <w:t>表 </w:t>
      </w:r>
      <w:r>
        <w:rPr>
          <w:rFonts w:ascii="Times New Roman" w:eastAsia="Times New Roman"/>
          <w:b/>
          <w:sz w:val="24"/>
        </w:rPr>
        <w:t>6.2-6  </w:t>
      </w:r>
      <w:r>
        <w:rPr>
          <w:b/>
          <w:sz w:val="24"/>
        </w:rPr>
        <w:t>除臭系统主要设备配置</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8"/>
        <w:gridCol w:w="2021"/>
        <w:gridCol w:w="3684"/>
        <w:gridCol w:w="1812"/>
        <w:gridCol w:w="636"/>
        <w:gridCol w:w="638"/>
      </w:tblGrid>
      <w:tr>
        <w:trPr>
          <w:trHeight w:val="359" w:hRule="atLeast"/>
        </w:trPr>
        <w:tc>
          <w:tcPr>
            <w:tcW w:w="638" w:type="dxa"/>
            <w:tcBorders>
              <w:bottom w:val="single" w:sz="6" w:space="0" w:color="000000"/>
              <w:right w:val="single" w:sz="6" w:space="0" w:color="000000"/>
            </w:tcBorders>
          </w:tcPr>
          <w:p>
            <w:pPr>
              <w:pStyle w:val="TableParagraph"/>
              <w:spacing w:before="46"/>
              <w:ind w:left="77" w:right="56"/>
              <w:rPr>
                <w:rFonts w:ascii="宋体" w:eastAsia="宋体" w:hint="eastAsia"/>
                <w:b/>
                <w:sz w:val="21"/>
              </w:rPr>
            </w:pPr>
            <w:r>
              <w:rPr>
                <w:rFonts w:ascii="宋体" w:eastAsia="宋体" w:hint="eastAsia"/>
                <w:b/>
                <w:sz w:val="21"/>
              </w:rPr>
              <w:t>序号</w:t>
            </w:r>
          </w:p>
        </w:tc>
        <w:tc>
          <w:tcPr>
            <w:tcW w:w="2021" w:type="dxa"/>
            <w:tcBorders>
              <w:left w:val="single" w:sz="6" w:space="0" w:color="000000"/>
              <w:bottom w:val="single" w:sz="6" w:space="0" w:color="000000"/>
              <w:right w:val="single" w:sz="6" w:space="0" w:color="000000"/>
            </w:tcBorders>
          </w:tcPr>
          <w:p>
            <w:pPr>
              <w:pStyle w:val="TableParagraph"/>
              <w:spacing w:before="46"/>
              <w:ind w:left="156" w:right="127"/>
              <w:rPr>
                <w:rFonts w:ascii="宋体" w:eastAsia="宋体" w:hint="eastAsia"/>
                <w:b/>
                <w:sz w:val="21"/>
              </w:rPr>
            </w:pPr>
            <w:r>
              <w:rPr>
                <w:rFonts w:ascii="宋体" w:eastAsia="宋体" w:hint="eastAsia"/>
                <w:b/>
                <w:sz w:val="21"/>
              </w:rPr>
              <w:t>名称</w:t>
            </w:r>
          </w:p>
        </w:tc>
        <w:tc>
          <w:tcPr>
            <w:tcW w:w="3684" w:type="dxa"/>
            <w:tcBorders>
              <w:left w:val="single" w:sz="6" w:space="0" w:color="000000"/>
              <w:bottom w:val="single" w:sz="6" w:space="0" w:color="000000"/>
              <w:right w:val="single" w:sz="6" w:space="0" w:color="000000"/>
            </w:tcBorders>
          </w:tcPr>
          <w:p>
            <w:pPr>
              <w:pStyle w:val="TableParagraph"/>
              <w:spacing w:before="46"/>
              <w:ind w:left="159" w:right="127"/>
              <w:rPr>
                <w:rFonts w:ascii="宋体" w:eastAsia="宋体" w:hint="eastAsia"/>
                <w:b/>
                <w:sz w:val="21"/>
              </w:rPr>
            </w:pPr>
            <w:r>
              <w:rPr>
                <w:rFonts w:ascii="宋体" w:eastAsia="宋体" w:hint="eastAsia"/>
                <w:b/>
                <w:sz w:val="21"/>
              </w:rPr>
              <w:t>规格型号</w:t>
            </w:r>
          </w:p>
        </w:tc>
        <w:tc>
          <w:tcPr>
            <w:tcW w:w="1812" w:type="dxa"/>
            <w:tcBorders>
              <w:left w:val="single" w:sz="6" w:space="0" w:color="000000"/>
              <w:bottom w:val="single" w:sz="6" w:space="0" w:color="000000"/>
              <w:right w:val="single" w:sz="6" w:space="0" w:color="000000"/>
            </w:tcBorders>
          </w:tcPr>
          <w:p>
            <w:pPr>
              <w:pStyle w:val="TableParagraph"/>
              <w:spacing w:before="46"/>
              <w:ind w:left="176" w:right="147"/>
              <w:rPr>
                <w:rFonts w:ascii="宋体" w:eastAsia="宋体" w:hint="eastAsia"/>
                <w:b/>
                <w:sz w:val="21"/>
              </w:rPr>
            </w:pPr>
            <w:r>
              <w:rPr>
                <w:rFonts w:ascii="宋体" w:eastAsia="宋体" w:hint="eastAsia"/>
                <w:b/>
                <w:sz w:val="21"/>
              </w:rPr>
              <w:t>材质</w:t>
            </w:r>
          </w:p>
        </w:tc>
        <w:tc>
          <w:tcPr>
            <w:tcW w:w="636" w:type="dxa"/>
            <w:tcBorders>
              <w:left w:val="single" w:sz="6" w:space="0" w:color="000000"/>
              <w:bottom w:val="single" w:sz="6" w:space="0" w:color="000000"/>
              <w:right w:val="single" w:sz="6" w:space="0" w:color="000000"/>
            </w:tcBorders>
          </w:tcPr>
          <w:p>
            <w:pPr>
              <w:pStyle w:val="TableParagraph"/>
              <w:spacing w:before="46"/>
              <w:ind w:left="94" w:right="65"/>
              <w:rPr>
                <w:rFonts w:ascii="宋体" w:eastAsia="宋体" w:hint="eastAsia"/>
                <w:b/>
                <w:sz w:val="21"/>
              </w:rPr>
            </w:pPr>
            <w:r>
              <w:rPr>
                <w:rFonts w:ascii="宋体" w:eastAsia="宋体" w:hint="eastAsia"/>
                <w:b/>
                <w:sz w:val="21"/>
              </w:rPr>
              <w:t>单位</w:t>
            </w:r>
          </w:p>
        </w:tc>
        <w:tc>
          <w:tcPr>
            <w:tcW w:w="638" w:type="dxa"/>
            <w:tcBorders>
              <w:left w:val="single" w:sz="6" w:space="0" w:color="000000"/>
              <w:bottom w:val="single" w:sz="6" w:space="0" w:color="000000"/>
            </w:tcBorders>
          </w:tcPr>
          <w:p>
            <w:pPr>
              <w:pStyle w:val="TableParagraph"/>
              <w:spacing w:before="46"/>
              <w:ind w:left="87" w:right="47"/>
              <w:rPr>
                <w:rFonts w:ascii="宋体" w:eastAsia="宋体" w:hint="eastAsia"/>
                <w:b/>
                <w:sz w:val="21"/>
              </w:rPr>
            </w:pPr>
            <w:r>
              <w:rPr>
                <w:rFonts w:ascii="宋体" w:eastAsia="宋体" w:hint="eastAsia"/>
                <w:b/>
                <w:sz w:val="21"/>
              </w:rPr>
              <w:t>数量</w:t>
            </w:r>
          </w:p>
        </w:tc>
      </w:tr>
      <w:tr>
        <w:trPr>
          <w:trHeight w:val="359" w:hRule="atLeast"/>
        </w:trPr>
        <w:tc>
          <w:tcPr>
            <w:tcW w:w="638" w:type="dxa"/>
            <w:vMerge w:val="restart"/>
            <w:tcBorders>
              <w:top w:val="single" w:sz="6" w:space="0" w:color="000000"/>
              <w:bottom w:val="single" w:sz="6" w:space="0" w:color="000000"/>
              <w:right w:val="single" w:sz="6" w:space="0" w:color="000000"/>
            </w:tcBorders>
          </w:tcPr>
          <w:p>
            <w:pPr>
              <w:pStyle w:val="TableParagraph"/>
              <w:spacing w:before="2"/>
              <w:jc w:val="left"/>
              <w:rPr>
                <w:rFonts w:ascii="宋体"/>
                <w:b/>
                <w:sz w:val="19"/>
              </w:rPr>
            </w:pPr>
          </w:p>
          <w:p>
            <w:pPr>
              <w:pStyle w:val="TableParagraph"/>
              <w:spacing w:before="0"/>
              <w:ind w:left="21"/>
              <w:rPr>
                <w:sz w:val="21"/>
              </w:rPr>
            </w:pPr>
            <w:r>
              <w:rPr>
                <w:w w:val="100"/>
                <w:sz w:val="21"/>
              </w:rPr>
              <w:t>1</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6"/>
              <w:ind w:left="158" w:right="127"/>
              <w:rPr>
                <w:rFonts w:ascii="宋体" w:eastAsia="宋体" w:hint="eastAsia"/>
                <w:sz w:val="21"/>
              </w:rPr>
            </w:pPr>
            <w:r>
              <w:rPr>
                <w:rFonts w:ascii="宋体" w:eastAsia="宋体" w:hint="eastAsia"/>
                <w:sz w:val="21"/>
              </w:rPr>
              <w:t>收集管道</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6"/>
              <w:ind w:left="159" w:right="126"/>
              <w:rPr>
                <w:rFonts w:ascii="宋体" w:eastAsia="宋体" w:hint="eastAsia"/>
                <w:sz w:val="21"/>
              </w:rPr>
            </w:pPr>
            <w:r>
              <w:rPr>
                <w:rFonts w:ascii="宋体" w:eastAsia="宋体" w:hint="eastAsia"/>
                <w:sz w:val="21"/>
              </w:rPr>
              <w:t>配套</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6"/>
              <w:ind w:left="179" w:right="145"/>
              <w:rPr>
                <w:rFonts w:ascii="宋体" w:eastAsia="宋体" w:hint="eastAsia"/>
                <w:sz w:val="21"/>
              </w:rPr>
            </w:pPr>
            <w:r>
              <w:rPr>
                <w:rFonts w:ascii="宋体" w:eastAsia="宋体" w:hint="eastAsia"/>
                <w:sz w:val="21"/>
              </w:rPr>
              <w:t>玻璃钢</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60"/>
              <w:ind w:left="40"/>
              <w:rPr>
                <w:sz w:val="21"/>
              </w:rPr>
            </w:pPr>
            <w:r>
              <w:rPr>
                <w:w w:val="100"/>
                <w:sz w:val="21"/>
              </w:rPr>
              <w:t>1</w:t>
            </w:r>
          </w:p>
        </w:tc>
      </w:tr>
      <w:tr>
        <w:trPr>
          <w:trHeight w:val="360" w:hRule="atLeast"/>
        </w:trPr>
        <w:tc>
          <w:tcPr>
            <w:tcW w:w="638" w:type="dxa"/>
            <w:vMerge/>
            <w:tcBorders>
              <w:top w:val="nil"/>
              <w:bottom w:val="single" w:sz="6" w:space="0" w:color="000000"/>
              <w:right w:val="single" w:sz="6" w:space="0" w:color="000000"/>
            </w:tcBorders>
          </w:tcPr>
          <w:p>
            <w:pPr>
              <w:rPr>
                <w:sz w:val="2"/>
                <w:szCs w:val="2"/>
              </w:rPr>
            </w:pPr>
          </w:p>
        </w:tc>
        <w:tc>
          <w:tcPr>
            <w:tcW w:w="81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44"/>
              <w:ind w:left="463"/>
              <w:jc w:val="left"/>
              <w:rPr>
                <w:rFonts w:ascii="宋体" w:hAnsi="宋体" w:eastAsia="宋体" w:hint="eastAsia"/>
                <w:sz w:val="21"/>
              </w:rPr>
            </w:pPr>
            <w:r>
              <w:rPr>
                <w:rFonts w:ascii="宋体" w:hAnsi="宋体" w:eastAsia="宋体" w:hint="eastAsia"/>
                <w:sz w:val="21"/>
              </w:rPr>
              <w:t>与池体加盖连接支管风速取 </w:t>
            </w:r>
            <w:r>
              <w:rPr>
                <w:sz w:val="21"/>
              </w:rPr>
              <w:t>4~6m/s</w:t>
            </w:r>
            <w:r>
              <w:rPr>
                <w:rFonts w:ascii="宋体" w:hAnsi="宋体" w:eastAsia="宋体" w:hint="eastAsia"/>
                <w:sz w:val="21"/>
              </w:rPr>
              <w:t>；次干管风速为 </w:t>
            </w:r>
            <w:r>
              <w:rPr>
                <w:sz w:val="21"/>
              </w:rPr>
              <w:t>6~8m/s</w:t>
            </w:r>
            <w:r>
              <w:rPr>
                <w:rFonts w:ascii="宋体" w:hAnsi="宋体" w:eastAsia="宋体" w:hint="eastAsia"/>
                <w:sz w:val="21"/>
              </w:rPr>
              <w:t>；主管风速</w:t>
            </w:r>
            <w:r>
              <w:rPr>
                <w:sz w:val="21"/>
              </w:rPr>
              <w:t>≥12m/s</w:t>
            </w:r>
            <w:r>
              <w:rPr>
                <w:rFonts w:ascii="宋体" w:hAnsi="宋体" w:eastAsia="宋体" w:hint="eastAsia"/>
                <w:sz w:val="21"/>
              </w:rPr>
              <w:t>。</w:t>
            </w:r>
          </w:p>
        </w:tc>
        <w:tc>
          <w:tcPr>
            <w:tcW w:w="638" w:type="dxa"/>
            <w:tcBorders>
              <w:top w:val="single" w:sz="6" w:space="0" w:color="000000"/>
              <w:left w:val="single" w:sz="6" w:space="0" w:color="000000"/>
              <w:bottom w:val="single" w:sz="6" w:space="0" w:color="000000"/>
            </w:tcBorders>
          </w:tcPr>
          <w:p>
            <w:pPr>
              <w:pStyle w:val="TableParagraph"/>
              <w:spacing w:before="0"/>
              <w:jc w:val="left"/>
              <w:rPr>
                <w:sz w:val="22"/>
              </w:rPr>
            </w:pPr>
          </w:p>
        </w:tc>
      </w:tr>
      <w:tr>
        <w:trPr>
          <w:trHeight w:val="359" w:hRule="atLeast"/>
        </w:trPr>
        <w:tc>
          <w:tcPr>
            <w:tcW w:w="638"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21"/>
              <w:rPr>
                <w:sz w:val="21"/>
              </w:rPr>
            </w:pPr>
            <w:r>
              <w:rPr>
                <w:w w:val="100"/>
                <w:sz w:val="21"/>
              </w:rPr>
              <w:t>2</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8" w:right="127"/>
              <w:rPr>
                <w:rFonts w:ascii="宋体" w:eastAsia="宋体" w:hint="eastAsia"/>
                <w:sz w:val="21"/>
              </w:rPr>
            </w:pPr>
            <w:r>
              <w:rPr>
                <w:rFonts w:ascii="宋体" w:eastAsia="宋体" w:hint="eastAsia"/>
                <w:sz w:val="21"/>
              </w:rPr>
              <w:t>玻璃钢盖板</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5"/>
              <w:rPr>
                <w:sz w:val="21"/>
              </w:rPr>
            </w:pPr>
            <w:r>
              <w:rPr>
                <w:rFonts w:ascii="宋体" w:eastAsia="宋体" w:hint="eastAsia"/>
                <w:sz w:val="21"/>
              </w:rPr>
              <w:t>配套，厚度 </w:t>
            </w:r>
            <w:r>
              <w:rPr>
                <w:sz w:val="21"/>
              </w:rPr>
              <w:t>6mmm</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4"/>
              <w:ind w:left="179" w:right="145"/>
              <w:rPr>
                <w:rFonts w:ascii="宋体" w:eastAsia="宋体" w:hint="eastAsia"/>
                <w:sz w:val="21"/>
              </w:rPr>
            </w:pPr>
            <w:r>
              <w:rPr>
                <w:rFonts w:ascii="宋体" w:eastAsia="宋体" w:hint="eastAsia"/>
                <w:sz w:val="21"/>
              </w:rPr>
              <w:t>玻璃钢</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1</w:t>
            </w:r>
          </w:p>
        </w:tc>
      </w:tr>
      <w:tr>
        <w:trPr>
          <w:trHeight w:val="357" w:hRule="atLeast"/>
        </w:trPr>
        <w:tc>
          <w:tcPr>
            <w:tcW w:w="638" w:type="dxa"/>
            <w:vMerge/>
            <w:tcBorders>
              <w:top w:val="nil"/>
              <w:bottom w:val="single" w:sz="6" w:space="0" w:color="000000"/>
              <w:right w:val="single" w:sz="6" w:space="0" w:color="000000"/>
            </w:tcBorders>
          </w:tcPr>
          <w:p>
            <w:pPr>
              <w:rPr>
                <w:sz w:val="2"/>
                <w:szCs w:val="2"/>
              </w:rPr>
            </w:pPr>
          </w:p>
        </w:tc>
        <w:tc>
          <w:tcPr>
            <w:tcW w:w="751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44"/>
              <w:ind w:left="867" w:right="835"/>
              <w:rPr>
                <w:rFonts w:ascii="宋体" w:eastAsia="宋体" w:hint="eastAsia"/>
                <w:sz w:val="21"/>
              </w:rPr>
            </w:pPr>
            <w:r>
              <w:rPr>
                <w:rFonts w:ascii="宋体" w:eastAsia="宋体" w:hint="eastAsia"/>
                <w:sz w:val="21"/>
              </w:rPr>
              <w:t>加盖面积 </w:t>
            </w:r>
            <w:r>
              <w:rPr>
                <w:sz w:val="21"/>
              </w:rPr>
              <w:t>1400m</w:t>
            </w:r>
            <w:r>
              <w:rPr>
                <w:position w:val="7"/>
                <w:sz w:val="14"/>
              </w:rPr>
              <w:t>2</w:t>
            </w:r>
            <w:r>
              <w:rPr>
                <w:rFonts w:ascii="宋体" w:eastAsia="宋体" w:hint="eastAsia"/>
                <w:sz w:val="21"/>
              </w:rPr>
              <w:t>，加盖形式不锈钢 </w:t>
            </w:r>
            <w:r>
              <w:rPr>
                <w:sz w:val="21"/>
              </w:rPr>
              <w:t>304 </w:t>
            </w:r>
            <w:r>
              <w:rPr>
                <w:rFonts w:ascii="宋体" w:eastAsia="宋体" w:hint="eastAsia"/>
                <w:sz w:val="21"/>
              </w:rPr>
              <w:t>骨架</w:t>
            </w:r>
            <w:r>
              <w:rPr>
                <w:sz w:val="21"/>
              </w:rPr>
              <w:t>+</w:t>
            </w:r>
            <w:r>
              <w:rPr>
                <w:rFonts w:ascii="宋体" w:eastAsia="宋体" w:hint="eastAsia"/>
                <w:sz w:val="21"/>
              </w:rPr>
              <w:t>拱形玻璃钢盖板</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638" w:type="dxa"/>
            <w:tcBorders>
              <w:top w:val="single" w:sz="6" w:space="0" w:color="000000"/>
              <w:left w:val="single" w:sz="6" w:space="0" w:color="000000"/>
              <w:bottom w:val="single" w:sz="6" w:space="0" w:color="000000"/>
            </w:tcBorders>
          </w:tcPr>
          <w:p>
            <w:pPr>
              <w:pStyle w:val="TableParagraph"/>
              <w:spacing w:before="0"/>
              <w:jc w:val="left"/>
              <w:rPr>
                <w:sz w:val="22"/>
              </w:rPr>
            </w:pPr>
          </w:p>
        </w:tc>
      </w:tr>
      <w:tr>
        <w:trPr>
          <w:trHeight w:val="359" w:hRule="atLeast"/>
        </w:trPr>
        <w:tc>
          <w:tcPr>
            <w:tcW w:w="638" w:type="dxa"/>
            <w:vMerge w:val="restart"/>
            <w:tcBorders>
              <w:top w:val="single" w:sz="6" w:space="0" w:color="000000"/>
              <w:bottom w:val="single" w:sz="6" w:space="0" w:color="000000"/>
              <w:right w:val="single" w:sz="6" w:space="0" w:color="000000"/>
            </w:tcBorders>
          </w:tcPr>
          <w:p>
            <w:pPr>
              <w:pStyle w:val="TableParagraph"/>
              <w:spacing w:before="1"/>
              <w:jc w:val="left"/>
              <w:rPr>
                <w:rFonts w:ascii="宋体"/>
                <w:b/>
                <w:sz w:val="19"/>
              </w:rPr>
            </w:pPr>
          </w:p>
          <w:p>
            <w:pPr>
              <w:pStyle w:val="TableParagraph"/>
              <w:spacing w:before="1"/>
              <w:ind w:left="21"/>
              <w:rPr>
                <w:sz w:val="21"/>
              </w:rPr>
            </w:pPr>
            <w:r>
              <w:rPr>
                <w:w w:val="100"/>
                <w:sz w:val="21"/>
              </w:rPr>
              <w:t>3</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6"/>
              <w:ind w:left="159" w:right="125"/>
              <w:rPr>
                <w:rFonts w:ascii="宋体" w:eastAsia="宋体" w:hint="eastAsia"/>
                <w:sz w:val="21"/>
              </w:rPr>
            </w:pPr>
            <w:r>
              <w:rPr>
                <w:rFonts w:ascii="宋体" w:eastAsia="宋体" w:hint="eastAsia"/>
                <w:sz w:val="21"/>
              </w:rPr>
              <w:t>除臭塔</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6"/>
              <w:ind w:left="159" w:right="126"/>
              <w:rPr>
                <w:rFonts w:ascii="宋体" w:eastAsia="宋体" w:hint="eastAsia"/>
                <w:sz w:val="21"/>
              </w:rPr>
            </w:pPr>
            <w:r>
              <w:rPr>
                <w:rFonts w:ascii="宋体" w:eastAsia="宋体" w:hint="eastAsia"/>
                <w:sz w:val="21"/>
              </w:rPr>
              <w:t>配套</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6"/>
              <w:ind w:left="179" w:right="145"/>
              <w:rPr>
                <w:rFonts w:ascii="宋体" w:eastAsia="宋体" w:hint="eastAsia"/>
                <w:sz w:val="21"/>
              </w:rPr>
            </w:pPr>
            <w:r>
              <w:rPr>
                <w:rFonts w:ascii="宋体" w:eastAsia="宋体" w:hint="eastAsia"/>
                <w:sz w:val="21"/>
              </w:rPr>
              <w:t>玻璃钢</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60"/>
              <w:ind w:left="40"/>
              <w:rPr>
                <w:sz w:val="21"/>
              </w:rPr>
            </w:pPr>
            <w:r>
              <w:rPr>
                <w:w w:val="100"/>
                <w:sz w:val="21"/>
              </w:rPr>
              <w:t>2</w:t>
            </w:r>
          </w:p>
        </w:tc>
      </w:tr>
      <w:tr>
        <w:trPr>
          <w:trHeight w:val="359" w:hRule="atLeast"/>
        </w:trPr>
        <w:tc>
          <w:tcPr>
            <w:tcW w:w="638" w:type="dxa"/>
            <w:vMerge/>
            <w:tcBorders>
              <w:top w:val="nil"/>
              <w:bottom w:val="single" w:sz="6" w:space="0" w:color="000000"/>
              <w:right w:val="single" w:sz="6" w:space="0" w:color="000000"/>
            </w:tcBorders>
          </w:tcPr>
          <w:p>
            <w:pPr>
              <w:rPr>
                <w:sz w:val="2"/>
                <w:szCs w:val="2"/>
              </w:rPr>
            </w:pPr>
          </w:p>
        </w:tc>
        <w:tc>
          <w:tcPr>
            <w:tcW w:w="81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44"/>
              <w:ind w:left="410"/>
              <w:jc w:val="left"/>
              <w:rPr>
                <w:sz w:val="21"/>
              </w:rPr>
            </w:pPr>
            <w:r>
              <w:rPr>
                <w:rFonts w:ascii="宋体" w:hAnsi="宋体" w:eastAsia="宋体" w:hint="eastAsia"/>
                <w:sz w:val="21"/>
              </w:rPr>
              <w:t>尺寸 </w:t>
            </w:r>
            <w:r>
              <w:rPr>
                <w:sz w:val="21"/>
              </w:rPr>
              <w:t>Φ4.5m×8.0m</w:t>
            </w:r>
            <w:r>
              <w:rPr>
                <w:rFonts w:ascii="宋体" w:hAnsi="宋体" w:eastAsia="宋体" w:hint="eastAsia"/>
                <w:sz w:val="21"/>
              </w:rPr>
              <w:t>，含循环水槽，含填料</w:t>
            </w:r>
            <w:r>
              <w:rPr>
                <w:sz w:val="21"/>
              </w:rPr>
              <w:t>+</w:t>
            </w:r>
            <w:r>
              <w:rPr>
                <w:rFonts w:ascii="宋体" w:hAnsi="宋体" w:eastAsia="宋体" w:hint="eastAsia"/>
                <w:sz w:val="21"/>
              </w:rPr>
              <w:t>除雾、喷淋层、观察口等，板厚 </w:t>
            </w:r>
            <w:r>
              <w:rPr>
                <w:sz w:val="21"/>
              </w:rPr>
              <w:t>25mm</w:t>
            </w:r>
          </w:p>
        </w:tc>
        <w:tc>
          <w:tcPr>
            <w:tcW w:w="638" w:type="dxa"/>
            <w:tcBorders>
              <w:top w:val="single" w:sz="6" w:space="0" w:color="000000"/>
              <w:left w:val="single" w:sz="6" w:space="0" w:color="000000"/>
              <w:bottom w:val="single" w:sz="6" w:space="0" w:color="000000"/>
            </w:tcBorders>
          </w:tcPr>
          <w:p>
            <w:pPr>
              <w:pStyle w:val="TableParagraph"/>
              <w:spacing w:before="0"/>
              <w:jc w:val="left"/>
              <w:rPr>
                <w:sz w:val="22"/>
              </w:rPr>
            </w:pP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4</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25"/>
              <w:ind w:left="159" w:right="125"/>
              <w:rPr>
                <w:rFonts w:ascii="宋体" w:eastAsia="宋体" w:hint="eastAsia"/>
                <w:sz w:val="21"/>
              </w:rPr>
            </w:pPr>
            <w:r>
              <w:rPr>
                <w:rFonts w:ascii="宋体" w:eastAsia="宋体" w:hint="eastAsia"/>
                <w:sz w:val="21"/>
              </w:rPr>
              <w:t>液位计</w:t>
            </w:r>
          </w:p>
        </w:tc>
        <w:tc>
          <w:tcPr>
            <w:tcW w:w="54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648" w:right="618"/>
              <w:rPr>
                <w:rFonts w:ascii="宋体" w:eastAsia="宋体" w:hint="eastAsia"/>
                <w:sz w:val="21"/>
              </w:rPr>
            </w:pPr>
            <w:r>
              <w:rPr>
                <w:rFonts w:ascii="宋体" w:eastAsia="宋体" w:hint="eastAsia"/>
                <w:sz w:val="21"/>
              </w:rPr>
              <w:t>磁翻板，量程 </w:t>
            </w:r>
            <w:r>
              <w:rPr>
                <w:sz w:val="21"/>
              </w:rPr>
              <w:t>0-1m</w:t>
            </w:r>
            <w:r>
              <w:rPr>
                <w:rFonts w:ascii="宋体" w:eastAsia="宋体" w:hint="eastAsia"/>
                <w:sz w:val="21"/>
              </w:rPr>
              <w:t>；带 </w:t>
            </w:r>
            <w:r>
              <w:rPr>
                <w:sz w:val="21"/>
              </w:rPr>
              <w:t>4-20mA </w:t>
            </w:r>
            <w:r>
              <w:rPr>
                <w:rFonts w:ascii="宋体" w:eastAsia="宋体" w:hint="eastAsia"/>
                <w:sz w:val="21"/>
              </w:rPr>
              <w:t>信号输出。</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批</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2</w:t>
            </w:r>
          </w:p>
        </w:tc>
      </w:tr>
      <w:tr>
        <w:trPr>
          <w:trHeight w:val="625" w:hRule="atLeast"/>
        </w:trPr>
        <w:tc>
          <w:tcPr>
            <w:tcW w:w="638" w:type="dxa"/>
            <w:tcBorders>
              <w:top w:val="single" w:sz="6" w:space="0" w:color="000000"/>
              <w:bottom w:val="single" w:sz="6" w:space="0" w:color="000000"/>
              <w:right w:val="single" w:sz="6" w:space="0" w:color="000000"/>
            </w:tcBorders>
          </w:tcPr>
          <w:p>
            <w:pPr>
              <w:pStyle w:val="TableParagraph"/>
              <w:spacing w:before="192"/>
              <w:ind w:left="21"/>
              <w:rPr>
                <w:sz w:val="21"/>
              </w:rPr>
            </w:pPr>
            <w:r>
              <w:rPr>
                <w:w w:val="100"/>
                <w:sz w:val="21"/>
              </w:rPr>
              <w:t>5</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157"/>
              <w:ind w:left="159" w:right="127"/>
              <w:rPr>
                <w:rFonts w:ascii="宋体" w:eastAsia="宋体" w:hint="eastAsia"/>
                <w:sz w:val="21"/>
              </w:rPr>
            </w:pPr>
            <w:r>
              <w:rPr>
                <w:rFonts w:ascii="宋体" w:eastAsia="宋体" w:hint="eastAsia"/>
                <w:sz w:val="21"/>
              </w:rPr>
              <w:t>次氯酸钠加药系统</w:t>
            </w:r>
          </w:p>
        </w:tc>
        <w:tc>
          <w:tcPr>
            <w:tcW w:w="54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
              <w:ind w:left="115" w:right="-29"/>
              <w:jc w:val="left"/>
              <w:rPr>
                <w:rFonts w:ascii="宋体" w:hAnsi="宋体" w:eastAsia="宋体" w:hint="eastAsia"/>
                <w:sz w:val="21"/>
              </w:rPr>
            </w:pPr>
            <w:r>
              <w:rPr>
                <w:rFonts w:ascii="宋体" w:hAnsi="宋体" w:eastAsia="宋体" w:hint="eastAsia"/>
                <w:spacing w:val="-14"/>
                <w:sz w:val="21"/>
              </w:rPr>
              <w:t>加药桶 </w:t>
            </w:r>
            <w:r>
              <w:rPr>
                <w:spacing w:val="-4"/>
                <w:sz w:val="21"/>
              </w:rPr>
              <w:t>10m³</w:t>
            </w:r>
            <w:r>
              <w:rPr>
                <w:rFonts w:ascii="宋体" w:hAnsi="宋体" w:eastAsia="宋体" w:hint="eastAsia"/>
                <w:spacing w:val="15"/>
                <w:sz w:val="21"/>
              </w:rPr>
              <w:t>，材质</w:t>
            </w:r>
            <w:r>
              <w:rPr>
                <w:spacing w:val="-3"/>
                <w:sz w:val="21"/>
              </w:rPr>
              <w:t>PE</w:t>
            </w:r>
            <w:r>
              <w:rPr>
                <w:rFonts w:ascii="宋体" w:hAnsi="宋体" w:eastAsia="宋体" w:hint="eastAsia"/>
                <w:spacing w:val="-3"/>
                <w:sz w:val="21"/>
              </w:rPr>
              <w:t>，</w:t>
            </w:r>
            <w:r>
              <w:rPr>
                <w:spacing w:val="-3"/>
                <w:sz w:val="21"/>
              </w:rPr>
              <w:t>2</w:t>
            </w:r>
            <w:r>
              <w:rPr>
                <w:sz w:val="21"/>
              </w:rPr>
              <w:t> </w:t>
            </w:r>
            <w:r>
              <w:rPr>
                <w:rFonts w:ascii="宋体" w:hAnsi="宋体" w:eastAsia="宋体" w:hint="eastAsia"/>
                <w:spacing w:val="6"/>
                <w:sz w:val="21"/>
              </w:rPr>
              <w:t>套；计量泵</w:t>
            </w:r>
            <w:r>
              <w:rPr>
                <w:sz w:val="21"/>
              </w:rPr>
              <w:t>Q=100L/h</w:t>
            </w:r>
            <w:r>
              <w:rPr>
                <w:rFonts w:ascii="宋体" w:hAnsi="宋体" w:eastAsia="宋体" w:hint="eastAsia"/>
                <w:sz w:val="21"/>
              </w:rPr>
              <w:t>，</w:t>
            </w:r>
            <w:r>
              <w:rPr>
                <w:sz w:val="21"/>
              </w:rPr>
              <w:t>P=3bar</w:t>
            </w:r>
            <w:r>
              <w:rPr>
                <w:rFonts w:ascii="宋体" w:hAnsi="宋体" w:eastAsia="宋体" w:hint="eastAsia"/>
                <w:sz w:val="21"/>
              </w:rPr>
              <w:t>，</w:t>
            </w:r>
          </w:p>
          <w:p>
            <w:pPr>
              <w:pStyle w:val="TableParagraph"/>
              <w:spacing w:before="42"/>
              <w:ind w:left="1519"/>
              <w:jc w:val="left"/>
              <w:rPr>
                <w:rFonts w:ascii="宋体" w:eastAsia="宋体" w:hint="eastAsia"/>
                <w:sz w:val="21"/>
              </w:rPr>
            </w:pPr>
            <w:r>
              <w:rPr>
                <w:sz w:val="21"/>
              </w:rPr>
              <w:t>1 </w:t>
            </w:r>
            <w:r>
              <w:rPr>
                <w:rFonts w:ascii="宋体" w:eastAsia="宋体" w:hint="eastAsia"/>
                <w:sz w:val="21"/>
              </w:rPr>
              <w:t>用 </w:t>
            </w:r>
            <w:r>
              <w:rPr>
                <w:sz w:val="21"/>
              </w:rPr>
              <w:t>1 </w:t>
            </w:r>
            <w:r>
              <w:rPr>
                <w:rFonts w:ascii="宋体" w:eastAsia="宋体" w:hint="eastAsia"/>
                <w:sz w:val="21"/>
              </w:rPr>
              <w:t>备，转子流量计 </w:t>
            </w:r>
            <w:r>
              <w:rPr>
                <w:sz w:val="21"/>
              </w:rPr>
              <w:t>2 </w:t>
            </w:r>
            <w:r>
              <w:rPr>
                <w:rFonts w:ascii="宋体" w:eastAsia="宋体" w:hint="eastAsia"/>
                <w:sz w:val="21"/>
              </w:rPr>
              <w:t>只</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178"/>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192"/>
              <w:ind w:left="40"/>
              <w:rPr>
                <w:sz w:val="21"/>
              </w:rPr>
            </w:pPr>
            <w:r>
              <w:rPr>
                <w:w w:val="100"/>
                <w:sz w:val="21"/>
              </w:rPr>
              <w:t>1</w:t>
            </w:r>
          </w:p>
        </w:tc>
      </w:tr>
      <w:tr>
        <w:trPr>
          <w:trHeight w:val="356" w:hRule="atLeast"/>
        </w:trPr>
        <w:tc>
          <w:tcPr>
            <w:tcW w:w="638" w:type="dxa"/>
            <w:tcBorders>
              <w:top w:val="single" w:sz="6" w:space="0" w:color="000000"/>
              <w:right w:val="single" w:sz="6" w:space="0" w:color="000000"/>
            </w:tcBorders>
          </w:tcPr>
          <w:p>
            <w:pPr>
              <w:pStyle w:val="TableParagraph"/>
              <w:ind w:left="21"/>
              <w:rPr>
                <w:sz w:val="21"/>
              </w:rPr>
            </w:pPr>
            <w:r>
              <w:rPr>
                <w:w w:val="100"/>
                <w:sz w:val="21"/>
              </w:rPr>
              <w:t>6</w:t>
            </w:r>
          </w:p>
        </w:tc>
        <w:tc>
          <w:tcPr>
            <w:tcW w:w="2021" w:type="dxa"/>
            <w:tcBorders>
              <w:top w:val="single" w:sz="6" w:space="0" w:color="000000"/>
              <w:left w:val="single" w:sz="6" w:space="0" w:color="000000"/>
              <w:right w:val="single" w:sz="6" w:space="0" w:color="000000"/>
            </w:tcBorders>
          </w:tcPr>
          <w:p>
            <w:pPr>
              <w:pStyle w:val="TableParagraph"/>
              <w:spacing w:before="25"/>
              <w:ind w:left="159" w:right="127"/>
              <w:rPr>
                <w:rFonts w:ascii="宋体" w:eastAsia="宋体" w:hint="eastAsia"/>
                <w:sz w:val="21"/>
              </w:rPr>
            </w:pPr>
            <w:r>
              <w:rPr>
                <w:rFonts w:ascii="宋体" w:eastAsia="宋体" w:hint="eastAsia"/>
                <w:sz w:val="21"/>
              </w:rPr>
              <w:t>次氯酸钠卸料系统</w:t>
            </w:r>
          </w:p>
        </w:tc>
        <w:tc>
          <w:tcPr>
            <w:tcW w:w="5496" w:type="dxa"/>
            <w:gridSpan w:val="2"/>
            <w:tcBorders>
              <w:top w:val="single" w:sz="6" w:space="0" w:color="000000"/>
              <w:left w:val="single" w:sz="6" w:space="0" w:color="000000"/>
              <w:right w:val="single" w:sz="6" w:space="0" w:color="000000"/>
            </w:tcBorders>
          </w:tcPr>
          <w:p>
            <w:pPr>
              <w:pStyle w:val="TableParagraph"/>
              <w:spacing w:before="25"/>
              <w:ind w:left="649" w:right="618"/>
              <w:rPr>
                <w:rFonts w:ascii="宋体" w:hAnsi="宋体" w:eastAsia="宋体" w:hint="eastAsia"/>
                <w:sz w:val="21"/>
              </w:rPr>
            </w:pPr>
            <w:r>
              <w:rPr>
                <w:rFonts w:ascii="宋体" w:hAnsi="宋体" w:eastAsia="宋体" w:hint="eastAsia"/>
                <w:sz w:val="21"/>
              </w:rPr>
              <w:t>卸料泵 </w:t>
            </w:r>
            <w:r>
              <w:rPr>
                <w:sz w:val="21"/>
              </w:rPr>
              <w:t>Q=25m³/h </w:t>
            </w:r>
            <w:r>
              <w:rPr>
                <w:rFonts w:ascii="宋体" w:hAnsi="宋体" w:eastAsia="宋体" w:hint="eastAsia"/>
                <w:sz w:val="21"/>
              </w:rPr>
              <w:t>，</w:t>
            </w:r>
            <w:r>
              <w:rPr>
                <w:sz w:val="21"/>
              </w:rPr>
              <w:t>H=20m</w:t>
            </w:r>
            <w:r>
              <w:rPr>
                <w:rFonts w:ascii="宋体" w:hAnsi="宋体" w:eastAsia="宋体" w:hint="eastAsia"/>
                <w:sz w:val="21"/>
              </w:rPr>
              <w:t>，含</w:t>
            </w:r>
            <w:r>
              <w:rPr>
                <w:sz w:val="21"/>
              </w:rPr>
              <w:t>UPVC </w:t>
            </w:r>
            <w:r>
              <w:rPr>
                <w:rFonts w:ascii="宋体" w:hAnsi="宋体" w:eastAsia="宋体" w:hint="eastAsia"/>
                <w:sz w:val="21"/>
              </w:rPr>
              <w:t>管道。</w:t>
            </w:r>
          </w:p>
        </w:tc>
        <w:tc>
          <w:tcPr>
            <w:tcW w:w="636" w:type="dxa"/>
            <w:tcBorders>
              <w:top w:val="single" w:sz="6" w:space="0" w:color="000000"/>
              <w:left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tcBorders>
          </w:tcPr>
          <w:p>
            <w:pPr>
              <w:pStyle w:val="TableParagraph"/>
              <w:ind w:left="40"/>
              <w:rPr>
                <w:sz w:val="21"/>
              </w:rPr>
            </w:pPr>
            <w:r>
              <w:rPr>
                <w:w w:val="100"/>
                <w:sz w:val="21"/>
              </w:rPr>
              <w:t>1</w:t>
            </w:r>
          </w:p>
        </w:tc>
      </w:tr>
    </w:tbl>
    <w:p>
      <w:pPr>
        <w:spacing w:after="0"/>
        <w:rPr>
          <w:sz w:val="21"/>
        </w:rPr>
        <w:sectPr>
          <w:type w:val="continuous"/>
          <w:pgSz w:w="11910" w:h="16840"/>
          <w:pgMar w:top="140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8"/>
        <w:gridCol w:w="2021"/>
        <w:gridCol w:w="3684"/>
        <w:gridCol w:w="1812"/>
        <w:gridCol w:w="636"/>
        <w:gridCol w:w="638"/>
      </w:tblGrid>
      <w:tr>
        <w:trPr>
          <w:trHeight w:val="359" w:hRule="atLeast"/>
        </w:trPr>
        <w:tc>
          <w:tcPr>
            <w:tcW w:w="638" w:type="dxa"/>
            <w:tcBorders>
              <w:bottom w:val="single" w:sz="6" w:space="0" w:color="000000"/>
              <w:right w:val="single" w:sz="6" w:space="0" w:color="000000"/>
            </w:tcBorders>
          </w:tcPr>
          <w:p>
            <w:pPr>
              <w:pStyle w:val="TableParagraph"/>
              <w:spacing w:before="46"/>
              <w:ind w:left="77" w:right="56"/>
              <w:rPr>
                <w:rFonts w:ascii="宋体" w:eastAsia="宋体" w:hint="eastAsia"/>
                <w:b/>
                <w:sz w:val="21"/>
              </w:rPr>
            </w:pPr>
            <w:r>
              <w:rPr>
                <w:rFonts w:ascii="宋体" w:eastAsia="宋体" w:hint="eastAsia"/>
                <w:b/>
                <w:sz w:val="21"/>
              </w:rPr>
              <w:t>序号</w:t>
            </w:r>
          </w:p>
        </w:tc>
        <w:tc>
          <w:tcPr>
            <w:tcW w:w="2021" w:type="dxa"/>
            <w:tcBorders>
              <w:left w:val="single" w:sz="6" w:space="0" w:color="000000"/>
              <w:bottom w:val="single" w:sz="6" w:space="0" w:color="000000"/>
              <w:right w:val="single" w:sz="6" w:space="0" w:color="000000"/>
            </w:tcBorders>
          </w:tcPr>
          <w:p>
            <w:pPr>
              <w:pStyle w:val="TableParagraph"/>
              <w:spacing w:before="46"/>
              <w:ind w:left="156" w:right="127"/>
              <w:rPr>
                <w:rFonts w:ascii="宋体" w:eastAsia="宋体" w:hint="eastAsia"/>
                <w:b/>
                <w:sz w:val="21"/>
              </w:rPr>
            </w:pPr>
            <w:r>
              <w:rPr>
                <w:rFonts w:ascii="宋体" w:eastAsia="宋体" w:hint="eastAsia"/>
                <w:b/>
                <w:sz w:val="21"/>
              </w:rPr>
              <w:t>名称</w:t>
            </w:r>
          </w:p>
        </w:tc>
        <w:tc>
          <w:tcPr>
            <w:tcW w:w="3684" w:type="dxa"/>
            <w:tcBorders>
              <w:left w:val="single" w:sz="6" w:space="0" w:color="000000"/>
              <w:bottom w:val="single" w:sz="6" w:space="0" w:color="000000"/>
              <w:right w:val="single" w:sz="6" w:space="0" w:color="000000"/>
            </w:tcBorders>
          </w:tcPr>
          <w:p>
            <w:pPr>
              <w:pStyle w:val="TableParagraph"/>
              <w:spacing w:before="46"/>
              <w:ind w:left="159" w:right="127"/>
              <w:rPr>
                <w:rFonts w:ascii="宋体" w:eastAsia="宋体" w:hint="eastAsia"/>
                <w:b/>
                <w:sz w:val="21"/>
              </w:rPr>
            </w:pPr>
            <w:r>
              <w:rPr>
                <w:rFonts w:ascii="宋体" w:eastAsia="宋体" w:hint="eastAsia"/>
                <w:b/>
                <w:sz w:val="21"/>
              </w:rPr>
              <w:t>规格型号</w:t>
            </w:r>
          </w:p>
        </w:tc>
        <w:tc>
          <w:tcPr>
            <w:tcW w:w="1812" w:type="dxa"/>
            <w:tcBorders>
              <w:left w:val="single" w:sz="6" w:space="0" w:color="000000"/>
              <w:bottom w:val="single" w:sz="6" w:space="0" w:color="000000"/>
              <w:right w:val="single" w:sz="6" w:space="0" w:color="000000"/>
            </w:tcBorders>
          </w:tcPr>
          <w:p>
            <w:pPr>
              <w:pStyle w:val="TableParagraph"/>
              <w:spacing w:before="46"/>
              <w:ind w:left="176" w:right="147"/>
              <w:rPr>
                <w:rFonts w:ascii="宋体" w:eastAsia="宋体" w:hint="eastAsia"/>
                <w:b/>
                <w:sz w:val="21"/>
              </w:rPr>
            </w:pPr>
            <w:r>
              <w:rPr>
                <w:rFonts w:ascii="宋体" w:eastAsia="宋体" w:hint="eastAsia"/>
                <w:b/>
                <w:sz w:val="21"/>
              </w:rPr>
              <w:t>材质</w:t>
            </w:r>
          </w:p>
        </w:tc>
        <w:tc>
          <w:tcPr>
            <w:tcW w:w="636" w:type="dxa"/>
            <w:tcBorders>
              <w:left w:val="single" w:sz="6" w:space="0" w:color="000000"/>
              <w:bottom w:val="single" w:sz="6" w:space="0" w:color="000000"/>
              <w:right w:val="single" w:sz="6" w:space="0" w:color="000000"/>
            </w:tcBorders>
          </w:tcPr>
          <w:p>
            <w:pPr>
              <w:pStyle w:val="TableParagraph"/>
              <w:spacing w:before="46"/>
              <w:ind w:left="94" w:right="65"/>
              <w:rPr>
                <w:rFonts w:ascii="宋体" w:eastAsia="宋体" w:hint="eastAsia"/>
                <w:b/>
                <w:sz w:val="21"/>
              </w:rPr>
            </w:pPr>
            <w:r>
              <w:rPr>
                <w:rFonts w:ascii="宋体" w:eastAsia="宋体" w:hint="eastAsia"/>
                <w:b/>
                <w:sz w:val="21"/>
              </w:rPr>
              <w:t>单位</w:t>
            </w:r>
          </w:p>
        </w:tc>
        <w:tc>
          <w:tcPr>
            <w:tcW w:w="638" w:type="dxa"/>
            <w:tcBorders>
              <w:left w:val="single" w:sz="6" w:space="0" w:color="000000"/>
              <w:bottom w:val="single" w:sz="6" w:space="0" w:color="000000"/>
            </w:tcBorders>
          </w:tcPr>
          <w:p>
            <w:pPr>
              <w:pStyle w:val="TableParagraph"/>
              <w:spacing w:before="46"/>
              <w:ind w:left="87" w:right="47"/>
              <w:rPr>
                <w:rFonts w:ascii="宋体" w:eastAsia="宋体" w:hint="eastAsia"/>
                <w:b/>
                <w:sz w:val="21"/>
              </w:rPr>
            </w:pPr>
            <w:r>
              <w:rPr>
                <w:rFonts w:ascii="宋体" w:eastAsia="宋体" w:hint="eastAsia"/>
                <w:b/>
                <w:sz w:val="21"/>
              </w:rPr>
              <w:t>数量</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7</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8" w:right="127"/>
              <w:rPr>
                <w:rFonts w:ascii="宋体" w:eastAsia="宋体" w:hint="eastAsia"/>
                <w:sz w:val="21"/>
              </w:rPr>
            </w:pPr>
            <w:r>
              <w:rPr>
                <w:rFonts w:ascii="宋体" w:eastAsia="宋体" w:hint="eastAsia"/>
                <w:sz w:val="21"/>
              </w:rPr>
              <w:t>碱配药桶</w:t>
            </w:r>
          </w:p>
        </w:tc>
        <w:tc>
          <w:tcPr>
            <w:tcW w:w="54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3"/>
              <w:ind w:left="646" w:right="618"/>
              <w:rPr>
                <w:sz w:val="14"/>
              </w:rPr>
            </w:pPr>
            <w:r>
              <w:rPr>
                <w:sz w:val="21"/>
              </w:rPr>
              <w:t>1m</w:t>
            </w:r>
            <w:r>
              <w:rPr>
                <w:position w:val="7"/>
                <w:sz w:val="14"/>
              </w:rPr>
              <w:t>3</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2</w:t>
            </w:r>
          </w:p>
        </w:tc>
      </w:tr>
      <w:tr>
        <w:trPr>
          <w:trHeight w:val="357" w:hRule="atLeast"/>
        </w:trPr>
        <w:tc>
          <w:tcPr>
            <w:tcW w:w="638"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8</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5"/>
              <w:rPr>
                <w:rFonts w:ascii="宋体" w:eastAsia="宋体" w:hint="eastAsia"/>
                <w:sz w:val="21"/>
              </w:rPr>
            </w:pPr>
            <w:r>
              <w:rPr>
                <w:rFonts w:ascii="宋体" w:eastAsia="宋体" w:hint="eastAsia"/>
                <w:sz w:val="21"/>
              </w:rPr>
              <w:t>碱配药搅拌机</w:t>
            </w:r>
          </w:p>
        </w:tc>
        <w:tc>
          <w:tcPr>
            <w:tcW w:w="54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1135"/>
              <w:jc w:val="left"/>
              <w:rPr>
                <w:rFonts w:ascii="宋体" w:eastAsia="宋体" w:hint="eastAsia"/>
                <w:sz w:val="21"/>
              </w:rPr>
            </w:pPr>
            <w:r>
              <w:rPr>
                <w:sz w:val="21"/>
              </w:rPr>
              <w:t>0.75KW</w:t>
            </w:r>
            <w:r>
              <w:rPr>
                <w:rFonts w:ascii="宋体" w:eastAsia="宋体" w:hint="eastAsia"/>
                <w:sz w:val="21"/>
              </w:rPr>
              <w:t>，搅拌杆为 </w:t>
            </w:r>
            <w:r>
              <w:rPr>
                <w:sz w:val="21"/>
              </w:rPr>
              <w:t>304 </w:t>
            </w:r>
            <w:r>
              <w:rPr>
                <w:rFonts w:ascii="宋体" w:eastAsia="宋体" w:hint="eastAsia"/>
                <w:sz w:val="21"/>
              </w:rPr>
              <w:t>不锈钢材质</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2</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0"/>
              <w:ind w:left="21"/>
              <w:rPr>
                <w:sz w:val="21"/>
              </w:rPr>
            </w:pPr>
            <w:r>
              <w:rPr>
                <w:w w:val="100"/>
                <w:sz w:val="21"/>
              </w:rPr>
              <w:t>9</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25"/>
              <w:ind w:left="158" w:right="127"/>
              <w:rPr>
                <w:rFonts w:ascii="宋体" w:eastAsia="宋体" w:hint="eastAsia"/>
                <w:sz w:val="21"/>
              </w:rPr>
            </w:pPr>
            <w:r>
              <w:rPr>
                <w:rFonts w:ascii="宋体" w:eastAsia="宋体" w:hint="eastAsia"/>
                <w:sz w:val="21"/>
              </w:rPr>
              <w:t>碱加药系统</w:t>
            </w:r>
          </w:p>
        </w:tc>
        <w:tc>
          <w:tcPr>
            <w:tcW w:w="54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226"/>
              <w:jc w:val="left"/>
              <w:rPr>
                <w:rFonts w:ascii="宋体" w:eastAsia="宋体" w:hint="eastAsia"/>
                <w:sz w:val="21"/>
              </w:rPr>
            </w:pPr>
            <w:r>
              <w:rPr>
                <w:rFonts w:ascii="宋体" w:eastAsia="宋体" w:hint="eastAsia"/>
                <w:sz w:val="21"/>
              </w:rPr>
              <w:t>计量泵 </w:t>
            </w:r>
            <w:r>
              <w:rPr>
                <w:sz w:val="21"/>
              </w:rPr>
              <w:t>Q=100L/h</w:t>
            </w:r>
            <w:r>
              <w:rPr>
                <w:rFonts w:ascii="宋体" w:eastAsia="宋体" w:hint="eastAsia"/>
                <w:sz w:val="21"/>
              </w:rPr>
              <w:t>，</w:t>
            </w:r>
            <w:r>
              <w:rPr>
                <w:sz w:val="21"/>
              </w:rPr>
              <w:t>P=3bar</w:t>
            </w:r>
            <w:r>
              <w:rPr>
                <w:rFonts w:ascii="宋体" w:eastAsia="宋体" w:hint="eastAsia"/>
                <w:sz w:val="21"/>
              </w:rPr>
              <w:t>，</w:t>
            </w:r>
            <w:r>
              <w:rPr>
                <w:sz w:val="21"/>
              </w:rPr>
              <w:t>1 </w:t>
            </w:r>
            <w:r>
              <w:rPr>
                <w:rFonts w:ascii="宋体" w:eastAsia="宋体" w:hint="eastAsia"/>
                <w:sz w:val="21"/>
              </w:rPr>
              <w:t>用 </w:t>
            </w:r>
            <w:r>
              <w:rPr>
                <w:sz w:val="21"/>
              </w:rPr>
              <w:t>1 </w:t>
            </w:r>
            <w:r>
              <w:rPr>
                <w:rFonts w:ascii="宋体" w:eastAsia="宋体" w:hint="eastAsia"/>
                <w:sz w:val="21"/>
              </w:rPr>
              <w:t>备，转子流量计 </w:t>
            </w:r>
            <w:r>
              <w:rPr>
                <w:sz w:val="21"/>
              </w:rPr>
              <w:t>2 </w:t>
            </w:r>
            <w:r>
              <w:rPr>
                <w:rFonts w:ascii="宋体" w:eastAsia="宋体" w:hint="eastAsia"/>
                <w:sz w:val="21"/>
              </w:rPr>
              <w:t>只</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60"/>
              <w:ind w:left="40"/>
              <w:rPr>
                <w:sz w:val="21"/>
              </w:rPr>
            </w:pPr>
            <w:r>
              <w:rPr>
                <w:w w:val="100"/>
                <w:sz w:val="21"/>
              </w:rPr>
              <w:t>1</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10</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25"/>
              <w:ind w:left="158" w:right="127"/>
              <w:rPr>
                <w:rFonts w:ascii="宋体" w:eastAsia="宋体" w:hint="eastAsia"/>
                <w:sz w:val="21"/>
              </w:rPr>
            </w:pPr>
            <w:r>
              <w:rPr>
                <w:sz w:val="21"/>
              </w:rPr>
              <w:t>pH </w:t>
            </w:r>
            <w:r>
              <w:rPr>
                <w:rFonts w:ascii="宋体" w:eastAsia="宋体" w:hint="eastAsia"/>
                <w:sz w:val="21"/>
              </w:rPr>
              <w:t>计</w:t>
            </w:r>
          </w:p>
        </w:tc>
        <w:tc>
          <w:tcPr>
            <w:tcW w:w="54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1169"/>
              <w:jc w:val="left"/>
              <w:rPr>
                <w:rFonts w:ascii="宋体" w:eastAsia="宋体" w:hint="eastAsia"/>
                <w:sz w:val="21"/>
              </w:rPr>
            </w:pPr>
            <w:r>
              <w:rPr>
                <w:rFonts w:ascii="宋体" w:eastAsia="宋体" w:hint="eastAsia"/>
                <w:sz w:val="21"/>
              </w:rPr>
              <w:t>测量范围 </w:t>
            </w:r>
            <w:r>
              <w:rPr>
                <w:sz w:val="21"/>
              </w:rPr>
              <w:t>0~14</w:t>
            </w:r>
            <w:r>
              <w:rPr>
                <w:rFonts w:ascii="宋体" w:eastAsia="宋体" w:hint="eastAsia"/>
                <w:sz w:val="21"/>
              </w:rPr>
              <w:t>，</w:t>
            </w:r>
            <w:r>
              <w:rPr>
                <w:sz w:val="21"/>
              </w:rPr>
              <w:t>4~20mA </w:t>
            </w:r>
            <w:r>
              <w:rPr>
                <w:rFonts w:ascii="宋体" w:eastAsia="宋体" w:hint="eastAsia"/>
                <w:sz w:val="21"/>
              </w:rPr>
              <w:t>信号输出</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25"/>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41"/>
              <w:ind w:left="40"/>
              <w:rPr>
                <w:sz w:val="21"/>
              </w:rPr>
            </w:pPr>
            <w:r>
              <w:rPr>
                <w:w w:val="100"/>
                <w:sz w:val="21"/>
              </w:rPr>
              <w:t>1</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11</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25"/>
              <w:ind w:left="158" w:right="127"/>
              <w:rPr>
                <w:rFonts w:ascii="宋体" w:eastAsia="宋体" w:hint="eastAsia"/>
                <w:sz w:val="21"/>
              </w:rPr>
            </w:pPr>
            <w:r>
              <w:rPr>
                <w:sz w:val="21"/>
              </w:rPr>
              <w:t>ORP </w:t>
            </w:r>
            <w:r>
              <w:rPr>
                <w:rFonts w:ascii="宋体" w:eastAsia="宋体" w:hint="eastAsia"/>
                <w:sz w:val="21"/>
              </w:rPr>
              <w:t>计</w:t>
            </w:r>
          </w:p>
        </w:tc>
        <w:tc>
          <w:tcPr>
            <w:tcW w:w="54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866"/>
              <w:jc w:val="left"/>
              <w:rPr>
                <w:rFonts w:ascii="宋体" w:eastAsia="宋体" w:hint="eastAsia"/>
                <w:sz w:val="21"/>
              </w:rPr>
            </w:pPr>
            <w:r>
              <w:rPr>
                <w:rFonts w:ascii="宋体" w:eastAsia="宋体" w:hint="eastAsia"/>
                <w:sz w:val="21"/>
              </w:rPr>
              <w:t>测量范围</w:t>
            </w:r>
            <w:r>
              <w:rPr>
                <w:sz w:val="21"/>
              </w:rPr>
              <w:t>-999-999mV</w:t>
            </w:r>
            <w:r>
              <w:rPr>
                <w:rFonts w:ascii="宋体" w:eastAsia="宋体" w:hint="eastAsia"/>
                <w:sz w:val="21"/>
              </w:rPr>
              <w:t>，</w:t>
            </w:r>
            <w:r>
              <w:rPr>
                <w:sz w:val="21"/>
              </w:rPr>
              <w:t>4~20mA </w:t>
            </w:r>
            <w:r>
              <w:rPr>
                <w:rFonts w:ascii="宋体" w:eastAsia="宋体" w:hint="eastAsia"/>
                <w:sz w:val="21"/>
              </w:rPr>
              <w:t>信号输出</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25"/>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41"/>
              <w:ind w:left="40"/>
              <w:rPr>
                <w:sz w:val="21"/>
              </w:rPr>
            </w:pPr>
            <w:r>
              <w:rPr>
                <w:w w:val="100"/>
                <w:sz w:val="21"/>
              </w:rPr>
              <w:t>1</w:t>
            </w:r>
          </w:p>
        </w:tc>
      </w:tr>
      <w:tr>
        <w:trPr>
          <w:trHeight w:val="357"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12</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22"/>
              <w:ind w:left="159" w:right="125"/>
              <w:rPr>
                <w:rFonts w:ascii="宋体" w:eastAsia="宋体" w:hint="eastAsia"/>
                <w:sz w:val="21"/>
              </w:rPr>
            </w:pPr>
            <w:r>
              <w:rPr>
                <w:rFonts w:ascii="宋体" w:eastAsia="宋体" w:hint="eastAsia"/>
                <w:sz w:val="21"/>
              </w:rPr>
              <w:t>循环泵</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22"/>
              <w:ind w:left="159" w:right="128"/>
              <w:rPr>
                <w:sz w:val="21"/>
              </w:rPr>
            </w:pPr>
            <w:r>
              <w:rPr>
                <w:sz w:val="21"/>
              </w:rPr>
              <w:t>Q=84m³/h </w:t>
            </w:r>
            <w:r>
              <w:rPr>
                <w:rFonts w:ascii="宋体" w:hAnsi="宋体" w:eastAsia="宋体" w:hint="eastAsia"/>
                <w:sz w:val="21"/>
              </w:rPr>
              <w:t>，</w:t>
            </w:r>
            <w:r>
              <w:rPr>
                <w:sz w:val="21"/>
              </w:rPr>
              <w:t>H=18m</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4"/>
              <w:ind w:left="179" w:right="146"/>
              <w:rPr>
                <w:sz w:val="21"/>
              </w:rPr>
            </w:pPr>
            <w:r>
              <w:rPr>
                <w:rFonts w:ascii="宋体" w:eastAsia="宋体" w:hint="eastAsia"/>
                <w:sz w:val="21"/>
              </w:rPr>
              <w:t>材质 </w:t>
            </w:r>
            <w:r>
              <w:rPr>
                <w:sz w:val="21"/>
              </w:rPr>
              <w:t>FRPP</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台</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6</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0"/>
              <w:ind w:left="77" w:right="56"/>
              <w:rPr>
                <w:sz w:val="21"/>
              </w:rPr>
            </w:pPr>
            <w:r>
              <w:rPr>
                <w:sz w:val="21"/>
              </w:rPr>
              <w:t>13</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6"/>
              <w:ind w:left="158" w:right="127"/>
              <w:rPr>
                <w:rFonts w:ascii="宋体" w:eastAsia="宋体" w:hint="eastAsia"/>
                <w:sz w:val="21"/>
              </w:rPr>
            </w:pPr>
            <w:r>
              <w:rPr>
                <w:rFonts w:ascii="宋体" w:eastAsia="宋体" w:hint="eastAsia"/>
                <w:sz w:val="21"/>
              </w:rPr>
              <w:t>喷淋系统</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6"/>
              <w:ind w:left="159" w:right="126"/>
              <w:rPr>
                <w:rFonts w:ascii="宋体" w:eastAsia="宋体" w:hint="eastAsia"/>
                <w:sz w:val="21"/>
              </w:rPr>
            </w:pPr>
            <w:r>
              <w:rPr>
                <w:rFonts w:ascii="宋体" w:eastAsia="宋体" w:hint="eastAsia"/>
                <w:sz w:val="21"/>
              </w:rPr>
              <w:t>配套</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6"/>
              <w:ind w:left="179" w:right="147"/>
              <w:rPr>
                <w:sz w:val="21"/>
              </w:rPr>
            </w:pPr>
            <w:r>
              <w:rPr>
                <w:sz w:val="21"/>
              </w:rPr>
              <w:t>UPVC</w:t>
            </w:r>
            <w:r>
              <w:rPr>
                <w:rFonts w:ascii="宋体" w:eastAsia="宋体" w:hint="eastAsia"/>
                <w:sz w:val="21"/>
              </w:rPr>
              <w:t>，</w:t>
            </w:r>
            <w:r>
              <w:rPr>
                <w:sz w:val="21"/>
              </w:rPr>
              <w:t>1.0MPa</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60"/>
              <w:ind w:left="40"/>
              <w:rPr>
                <w:sz w:val="21"/>
              </w:rPr>
            </w:pPr>
            <w:r>
              <w:rPr>
                <w:w w:val="100"/>
                <w:sz w:val="21"/>
              </w:rPr>
              <w:t>2</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14</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8" w:right="127"/>
              <w:rPr>
                <w:rFonts w:ascii="宋体" w:eastAsia="宋体" w:hint="eastAsia"/>
                <w:sz w:val="21"/>
              </w:rPr>
            </w:pPr>
            <w:r>
              <w:rPr>
                <w:rFonts w:ascii="宋体" w:eastAsia="宋体" w:hint="eastAsia"/>
                <w:sz w:val="21"/>
              </w:rPr>
              <w:t>循环水箱</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6"/>
              <w:rPr>
                <w:rFonts w:ascii="宋体" w:eastAsia="宋体" w:hint="eastAsia"/>
                <w:sz w:val="21"/>
              </w:rPr>
            </w:pPr>
            <w:r>
              <w:rPr>
                <w:rFonts w:ascii="宋体" w:eastAsia="宋体" w:hint="eastAsia"/>
                <w:sz w:val="21"/>
              </w:rPr>
              <w:t>配套</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4"/>
              <w:ind w:left="179" w:right="145"/>
              <w:rPr>
                <w:rFonts w:ascii="宋体" w:eastAsia="宋体" w:hint="eastAsia"/>
                <w:sz w:val="21"/>
              </w:rPr>
            </w:pPr>
            <w:r>
              <w:rPr>
                <w:rFonts w:ascii="宋体" w:eastAsia="宋体" w:hint="eastAsia"/>
                <w:sz w:val="21"/>
              </w:rPr>
              <w:t>玻璃钢</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2</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15</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5"/>
              <w:rPr>
                <w:rFonts w:ascii="宋体" w:eastAsia="宋体" w:hint="eastAsia"/>
                <w:sz w:val="21"/>
              </w:rPr>
            </w:pPr>
            <w:r>
              <w:rPr>
                <w:rFonts w:ascii="宋体" w:eastAsia="宋体" w:hint="eastAsia"/>
                <w:sz w:val="21"/>
              </w:rPr>
              <w:t>循环泵</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7"/>
              <w:rPr>
                <w:sz w:val="21"/>
              </w:rPr>
            </w:pPr>
            <w:r>
              <w:rPr>
                <w:sz w:val="21"/>
              </w:rPr>
              <w:t>25m³/h </w:t>
            </w:r>
            <w:r>
              <w:rPr>
                <w:rFonts w:ascii="宋体" w:hAnsi="宋体" w:eastAsia="宋体" w:hint="eastAsia"/>
                <w:sz w:val="21"/>
              </w:rPr>
              <w:t>，</w:t>
            </w:r>
            <w:r>
              <w:rPr>
                <w:sz w:val="21"/>
              </w:rPr>
              <w:t>9m</w:t>
            </w:r>
            <w:r>
              <w:rPr>
                <w:rFonts w:ascii="宋体" w:hAnsi="宋体" w:eastAsia="宋体" w:hint="eastAsia"/>
                <w:sz w:val="21"/>
              </w:rPr>
              <w:t>，</w:t>
            </w:r>
            <w:r>
              <w:rPr>
                <w:sz w:val="21"/>
              </w:rPr>
              <w:t>1.5kw</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4"/>
              <w:ind w:left="179" w:right="145"/>
              <w:rPr>
                <w:sz w:val="21"/>
              </w:rPr>
            </w:pPr>
            <w:r>
              <w:rPr>
                <w:rFonts w:ascii="宋体" w:eastAsia="宋体" w:hint="eastAsia"/>
                <w:sz w:val="21"/>
              </w:rPr>
              <w:t>过流部件 </w:t>
            </w:r>
            <w:r>
              <w:rPr>
                <w:sz w:val="21"/>
              </w:rPr>
              <w:t>304</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台</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2</w:t>
            </w:r>
          </w:p>
        </w:tc>
      </w:tr>
      <w:tr>
        <w:trPr>
          <w:trHeight w:val="357"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16</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5"/>
              <w:rPr>
                <w:rFonts w:ascii="宋体" w:eastAsia="宋体" w:hint="eastAsia"/>
                <w:sz w:val="21"/>
              </w:rPr>
            </w:pPr>
            <w:r>
              <w:rPr>
                <w:rFonts w:ascii="宋体" w:eastAsia="宋体" w:hint="eastAsia"/>
                <w:sz w:val="21"/>
              </w:rPr>
              <w:t>管道</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6"/>
              <w:rPr>
                <w:rFonts w:ascii="宋体" w:eastAsia="宋体" w:hint="eastAsia"/>
                <w:sz w:val="21"/>
              </w:rPr>
            </w:pPr>
            <w:r>
              <w:rPr>
                <w:rFonts w:ascii="宋体" w:eastAsia="宋体" w:hint="eastAsia"/>
                <w:sz w:val="21"/>
              </w:rPr>
              <w:t>配套</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4"/>
              <w:ind w:left="178" w:right="147"/>
              <w:rPr>
                <w:sz w:val="21"/>
              </w:rPr>
            </w:pPr>
            <w:r>
              <w:rPr>
                <w:rFonts w:ascii="宋体" w:eastAsia="宋体" w:hint="eastAsia"/>
                <w:sz w:val="21"/>
              </w:rPr>
              <w:t>玻璃钢</w:t>
            </w:r>
            <w:r>
              <w:rPr>
                <w:sz w:val="21"/>
              </w:rPr>
              <w:t>/UPVC</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批</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1</w:t>
            </w:r>
          </w:p>
        </w:tc>
      </w:tr>
      <w:tr>
        <w:trPr>
          <w:trHeight w:val="719" w:hRule="atLeast"/>
        </w:trPr>
        <w:tc>
          <w:tcPr>
            <w:tcW w:w="638" w:type="dxa"/>
            <w:tcBorders>
              <w:top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77" w:right="56"/>
              <w:rPr>
                <w:sz w:val="21"/>
              </w:rPr>
            </w:pPr>
            <w:r>
              <w:rPr>
                <w:sz w:val="21"/>
              </w:rPr>
              <w:t>17</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58" w:right="127"/>
              <w:rPr>
                <w:rFonts w:ascii="宋体" w:eastAsia="宋体" w:hint="eastAsia"/>
                <w:sz w:val="21"/>
              </w:rPr>
            </w:pPr>
            <w:r>
              <w:rPr>
                <w:rFonts w:ascii="宋体" w:eastAsia="宋体" w:hint="eastAsia"/>
                <w:sz w:val="21"/>
              </w:rPr>
              <w:t>离心风机</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6"/>
              <w:ind w:left="159" w:right="129"/>
              <w:rPr>
                <w:sz w:val="21"/>
              </w:rPr>
            </w:pPr>
            <w:r>
              <w:rPr>
                <w:rFonts w:ascii="宋体" w:hAnsi="宋体" w:eastAsia="宋体" w:hint="eastAsia"/>
                <w:sz w:val="21"/>
              </w:rPr>
              <w:t>蜗壳离心式玻璃钢流量：</w:t>
            </w:r>
            <w:r>
              <w:rPr>
                <w:sz w:val="21"/>
              </w:rPr>
              <w:t>≥50000m³/h</w:t>
            </w:r>
          </w:p>
          <w:p>
            <w:pPr>
              <w:pStyle w:val="TableParagraph"/>
              <w:spacing w:before="89"/>
              <w:ind w:left="159" w:right="129"/>
              <w:rPr>
                <w:rFonts w:ascii="宋体" w:eastAsia="宋体" w:hint="eastAsia"/>
                <w:sz w:val="21"/>
              </w:rPr>
            </w:pPr>
            <w:r>
              <w:rPr>
                <w:rFonts w:ascii="宋体" w:eastAsia="宋体" w:hint="eastAsia"/>
                <w:sz w:val="21"/>
              </w:rPr>
              <w:t>叶轮钢衬胶</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79" w:right="145"/>
              <w:rPr>
                <w:rFonts w:ascii="宋体" w:eastAsia="宋体" w:hint="eastAsia"/>
                <w:sz w:val="21"/>
              </w:rPr>
            </w:pPr>
            <w:r>
              <w:rPr>
                <w:rFonts w:ascii="宋体" w:eastAsia="宋体" w:hint="eastAsia"/>
                <w:sz w:val="21"/>
              </w:rPr>
              <w:t>玻璃钢</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29"/>
              <w:rPr>
                <w:rFonts w:ascii="宋体" w:eastAsia="宋体" w:hint="eastAsia"/>
                <w:sz w:val="21"/>
              </w:rPr>
            </w:pPr>
            <w:r>
              <w:rPr>
                <w:rFonts w:ascii="宋体" w:eastAsia="宋体" w:hint="eastAsia"/>
                <w:w w:val="100"/>
                <w:sz w:val="21"/>
              </w:rPr>
              <w:t>台</w:t>
            </w:r>
          </w:p>
        </w:tc>
        <w:tc>
          <w:tcPr>
            <w:tcW w:w="638" w:type="dxa"/>
            <w:tcBorders>
              <w:top w:val="single" w:sz="6" w:space="0" w:color="000000"/>
              <w:left w:val="single" w:sz="6" w:space="0" w:color="000000"/>
              <w:bottom w:val="single" w:sz="6" w:space="0" w:color="000000"/>
            </w:tcBorders>
          </w:tcPr>
          <w:p>
            <w:pPr>
              <w:pStyle w:val="TableParagraph"/>
              <w:spacing w:before="7"/>
              <w:jc w:val="left"/>
              <w:rPr>
                <w:rFonts w:ascii="宋体"/>
                <w:b/>
                <w:sz w:val="18"/>
              </w:rPr>
            </w:pPr>
          </w:p>
          <w:p>
            <w:pPr>
              <w:pStyle w:val="TableParagraph"/>
              <w:spacing w:before="0"/>
              <w:ind w:left="40"/>
              <w:rPr>
                <w:sz w:val="21"/>
              </w:rPr>
            </w:pPr>
            <w:r>
              <w:rPr>
                <w:w w:val="100"/>
                <w:sz w:val="21"/>
              </w:rPr>
              <w:t>1</w:t>
            </w:r>
          </w:p>
        </w:tc>
      </w:tr>
      <w:tr>
        <w:trPr>
          <w:trHeight w:val="356"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18</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5"/>
              <w:rPr>
                <w:rFonts w:ascii="宋体" w:eastAsia="宋体" w:hint="eastAsia"/>
                <w:sz w:val="21"/>
              </w:rPr>
            </w:pPr>
            <w:r>
              <w:rPr>
                <w:rFonts w:ascii="宋体" w:eastAsia="宋体" w:hint="eastAsia"/>
                <w:sz w:val="21"/>
              </w:rPr>
              <w:t>变频器</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ind w:left="158" w:right="129"/>
              <w:rPr>
                <w:sz w:val="21"/>
              </w:rPr>
            </w:pPr>
            <w:r>
              <w:rPr>
                <w:sz w:val="21"/>
              </w:rPr>
              <w:t>90kw</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4"/>
              <w:ind w:left="179" w:right="145"/>
              <w:rPr>
                <w:rFonts w:ascii="宋体" w:eastAsia="宋体" w:hint="eastAsia"/>
                <w:sz w:val="21"/>
              </w:rPr>
            </w:pPr>
            <w:r>
              <w:rPr>
                <w:rFonts w:ascii="宋体" w:eastAsia="宋体" w:hint="eastAsia"/>
                <w:sz w:val="21"/>
              </w:rPr>
              <w:t>配套</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台</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1</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spacing w:before="60"/>
              <w:ind w:left="77" w:right="56"/>
              <w:rPr>
                <w:sz w:val="21"/>
              </w:rPr>
            </w:pPr>
            <w:r>
              <w:rPr>
                <w:sz w:val="21"/>
              </w:rPr>
              <w:t>19</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6"/>
              <w:ind w:left="159" w:right="125"/>
              <w:rPr>
                <w:rFonts w:ascii="宋体" w:eastAsia="宋体" w:hint="eastAsia"/>
                <w:sz w:val="21"/>
              </w:rPr>
            </w:pPr>
            <w:r>
              <w:rPr>
                <w:rFonts w:ascii="宋体" w:eastAsia="宋体" w:hint="eastAsia"/>
                <w:sz w:val="21"/>
              </w:rPr>
              <w:t>排气筒</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60"/>
              <w:ind w:left="159" w:right="127"/>
              <w:rPr>
                <w:sz w:val="21"/>
              </w:rPr>
            </w:pPr>
            <w:r>
              <w:rPr>
                <w:sz w:val="21"/>
              </w:rPr>
              <w:t>DN1200</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6"/>
              <w:ind w:left="179" w:right="145"/>
              <w:rPr>
                <w:rFonts w:ascii="宋体" w:eastAsia="宋体" w:hint="eastAsia"/>
                <w:sz w:val="21"/>
              </w:rPr>
            </w:pPr>
            <w:r>
              <w:rPr>
                <w:rFonts w:ascii="宋体" w:eastAsia="宋体" w:hint="eastAsia"/>
                <w:sz w:val="21"/>
              </w:rPr>
              <w:t>玻璃钢</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6"/>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spacing w:before="60"/>
              <w:ind w:left="40"/>
              <w:rPr>
                <w:sz w:val="21"/>
              </w:rPr>
            </w:pPr>
            <w:r>
              <w:rPr>
                <w:w w:val="100"/>
                <w:sz w:val="21"/>
              </w:rPr>
              <w:t>1</w:t>
            </w:r>
          </w:p>
        </w:tc>
      </w:tr>
      <w:tr>
        <w:trPr>
          <w:trHeight w:val="359" w:hRule="atLeast"/>
        </w:trPr>
        <w:tc>
          <w:tcPr>
            <w:tcW w:w="638" w:type="dxa"/>
            <w:tcBorders>
              <w:top w:val="single" w:sz="6" w:space="0" w:color="000000"/>
              <w:bottom w:val="single" w:sz="6" w:space="0" w:color="000000"/>
              <w:right w:val="single" w:sz="6" w:space="0" w:color="000000"/>
            </w:tcBorders>
          </w:tcPr>
          <w:p>
            <w:pPr>
              <w:pStyle w:val="TableParagraph"/>
              <w:ind w:left="77" w:right="56"/>
              <w:rPr>
                <w:sz w:val="21"/>
              </w:rPr>
            </w:pPr>
            <w:r>
              <w:rPr>
                <w:sz w:val="21"/>
              </w:rPr>
              <w:t>20</w:t>
            </w:r>
          </w:p>
        </w:tc>
        <w:tc>
          <w:tcPr>
            <w:tcW w:w="2021" w:type="dxa"/>
            <w:tcBorders>
              <w:top w:val="single" w:sz="6" w:space="0" w:color="000000"/>
              <w:left w:val="single" w:sz="6" w:space="0" w:color="000000"/>
              <w:bottom w:val="single" w:sz="6" w:space="0" w:color="000000"/>
              <w:right w:val="single" w:sz="6" w:space="0" w:color="000000"/>
            </w:tcBorders>
          </w:tcPr>
          <w:p>
            <w:pPr>
              <w:pStyle w:val="TableParagraph"/>
              <w:spacing w:before="44"/>
              <w:ind w:left="158" w:right="127"/>
              <w:rPr>
                <w:rFonts w:ascii="宋体" w:eastAsia="宋体" w:hint="eastAsia"/>
                <w:sz w:val="21"/>
              </w:rPr>
            </w:pPr>
            <w:r>
              <w:rPr>
                <w:rFonts w:ascii="宋体" w:eastAsia="宋体" w:hint="eastAsia"/>
                <w:sz w:val="21"/>
              </w:rPr>
              <w:t>管道支架</w:t>
            </w:r>
          </w:p>
        </w:tc>
        <w:tc>
          <w:tcPr>
            <w:tcW w:w="3684" w:type="dxa"/>
            <w:tcBorders>
              <w:top w:val="single" w:sz="6" w:space="0" w:color="000000"/>
              <w:left w:val="single" w:sz="6" w:space="0" w:color="000000"/>
              <w:bottom w:val="single" w:sz="6" w:space="0" w:color="000000"/>
              <w:right w:val="single" w:sz="6" w:space="0" w:color="000000"/>
            </w:tcBorders>
          </w:tcPr>
          <w:p>
            <w:pPr>
              <w:pStyle w:val="TableParagraph"/>
              <w:spacing w:before="44"/>
              <w:ind w:left="159" w:right="126"/>
              <w:rPr>
                <w:rFonts w:ascii="宋体" w:eastAsia="宋体" w:hint="eastAsia"/>
                <w:sz w:val="21"/>
              </w:rPr>
            </w:pPr>
            <w:r>
              <w:rPr>
                <w:rFonts w:ascii="宋体" w:eastAsia="宋体" w:hint="eastAsia"/>
                <w:sz w:val="21"/>
              </w:rPr>
              <w:t>非标</w:t>
            </w:r>
          </w:p>
        </w:tc>
        <w:tc>
          <w:tcPr>
            <w:tcW w:w="1812" w:type="dxa"/>
            <w:tcBorders>
              <w:top w:val="single" w:sz="6" w:space="0" w:color="000000"/>
              <w:left w:val="single" w:sz="6" w:space="0" w:color="000000"/>
              <w:bottom w:val="single" w:sz="6" w:space="0" w:color="000000"/>
              <w:right w:val="single" w:sz="6" w:space="0" w:color="000000"/>
            </w:tcBorders>
          </w:tcPr>
          <w:p>
            <w:pPr>
              <w:pStyle w:val="TableParagraph"/>
              <w:spacing w:before="44"/>
              <w:ind w:left="179" w:right="145"/>
              <w:rPr>
                <w:rFonts w:ascii="宋体" w:eastAsia="宋体" w:hint="eastAsia"/>
                <w:sz w:val="21"/>
              </w:rPr>
            </w:pPr>
            <w:r>
              <w:rPr>
                <w:rFonts w:ascii="宋体" w:eastAsia="宋体" w:hint="eastAsia"/>
                <w:sz w:val="21"/>
              </w:rPr>
              <w:t>热镀锌</w:t>
            </w:r>
          </w:p>
        </w:tc>
        <w:tc>
          <w:tcPr>
            <w:tcW w:w="636"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bottom w:val="single" w:sz="6" w:space="0" w:color="000000"/>
            </w:tcBorders>
          </w:tcPr>
          <w:p>
            <w:pPr>
              <w:pStyle w:val="TableParagraph"/>
              <w:ind w:left="40"/>
              <w:rPr>
                <w:sz w:val="21"/>
              </w:rPr>
            </w:pPr>
            <w:r>
              <w:rPr>
                <w:w w:val="100"/>
                <w:sz w:val="21"/>
              </w:rPr>
              <w:t>1</w:t>
            </w:r>
          </w:p>
        </w:tc>
      </w:tr>
      <w:tr>
        <w:trPr>
          <w:trHeight w:val="356" w:hRule="atLeast"/>
        </w:trPr>
        <w:tc>
          <w:tcPr>
            <w:tcW w:w="638" w:type="dxa"/>
            <w:tcBorders>
              <w:top w:val="single" w:sz="6" w:space="0" w:color="000000"/>
              <w:right w:val="single" w:sz="6" w:space="0" w:color="000000"/>
            </w:tcBorders>
          </w:tcPr>
          <w:p>
            <w:pPr>
              <w:pStyle w:val="TableParagraph"/>
              <w:ind w:left="77" w:right="56"/>
              <w:rPr>
                <w:sz w:val="21"/>
              </w:rPr>
            </w:pPr>
            <w:r>
              <w:rPr>
                <w:sz w:val="21"/>
              </w:rPr>
              <w:t>21</w:t>
            </w:r>
          </w:p>
        </w:tc>
        <w:tc>
          <w:tcPr>
            <w:tcW w:w="2021" w:type="dxa"/>
            <w:tcBorders>
              <w:top w:val="single" w:sz="6" w:space="0" w:color="000000"/>
              <w:left w:val="single" w:sz="6" w:space="0" w:color="000000"/>
              <w:right w:val="single" w:sz="6" w:space="0" w:color="000000"/>
            </w:tcBorders>
          </w:tcPr>
          <w:p>
            <w:pPr>
              <w:pStyle w:val="TableParagraph"/>
              <w:spacing w:before="44"/>
              <w:ind w:left="158" w:right="127"/>
              <w:rPr>
                <w:rFonts w:ascii="宋体" w:eastAsia="宋体" w:hint="eastAsia"/>
                <w:sz w:val="21"/>
              </w:rPr>
            </w:pPr>
            <w:r>
              <w:rPr>
                <w:sz w:val="21"/>
              </w:rPr>
              <w:t>PLC </w:t>
            </w:r>
            <w:r>
              <w:rPr>
                <w:rFonts w:ascii="宋体" w:eastAsia="宋体" w:hint="eastAsia"/>
                <w:sz w:val="21"/>
              </w:rPr>
              <w:t>控制系统</w:t>
            </w:r>
          </w:p>
        </w:tc>
        <w:tc>
          <w:tcPr>
            <w:tcW w:w="3684" w:type="dxa"/>
            <w:tcBorders>
              <w:top w:val="single" w:sz="6" w:space="0" w:color="000000"/>
              <w:left w:val="single" w:sz="6" w:space="0" w:color="000000"/>
              <w:right w:val="single" w:sz="6" w:space="0" w:color="000000"/>
            </w:tcBorders>
          </w:tcPr>
          <w:p>
            <w:pPr>
              <w:pStyle w:val="TableParagraph"/>
              <w:spacing w:before="44"/>
              <w:ind w:left="159" w:right="126"/>
              <w:rPr>
                <w:rFonts w:ascii="宋体" w:eastAsia="宋体" w:hint="eastAsia"/>
                <w:sz w:val="21"/>
              </w:rPr>
            </w:pPr>
            <w:r>
              <w:rPr>
                <w:rFonts w:ascii="宋体" w:eastAsia="宋体" w:hint="eastAsia"/>
                <w:sz w:val="21"/>
              </w:rPr>
              <w:t>配套</w:t>
            </w:r>
          </w:p>
        </w:tc>
        <w:tc>
          <w:tcPr>
            <w:tcW w:w="1812" w:type="dxa"/>
            <w:tcBorders>
              <w:top w:val="single" w:sz="6" w:space="0" w:color="000000"/>
              <w:left w:val="single" w:sz="6" w:space="0" w:color="000000"/>
              <w:right w:val="single" w:sz="6" w:space="0" w:color="000000"/>
            </w:tcBorders>
          </w:tcPr>
          <w:p>
            <w:pPr>
              <w:pStyle w:val="TableParagraph"/>
              <w:ind w:left="30"/>
              <w:rPr>
                <w:sz w:val="21"/>
              </w:rPr>
            </w:pPr>
            <w:r>
              <w:rPr>
                <w:w w:val="100"/>
                <w:sz w:val="21"/>
              </w:rPr>
              <w:t>/</w:t>
            </w:r>
          </w:p>
        </w:tc>
        <w:tc>
          <w:tcPr>
            <w:tcW w:w="636" w:type="dxa"/>
            <w:tcBorders>
              <w:top w:val="single" w:sz="6" w:space="0" w:color="000000"/>
              <w:left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w w:val="100"/>
                <w:sz w:val="21"/>
              </w:rPr>
              <w:t>套</w:t>
            </w:r>
          </w:p>
        </w:tc>
        <w:tc>
          <w:tcPr>
            <w:tcW w:w="638" w:type="dxa"/>
            <w:tcBorders>
              <w:top w:val="single" w:sz="6" w:space="0" w:color="000000"/>
              <w:left w:val="single" w:sz="6" w:space="0" w:color="000000"/>
            </w:tcBorders>
          </w:tcPr>
          <w:p>
            <w:pPr>
              <w:pStyle w:val="TableParagraph"/>
              <w:ind w:left="40"/>
              <w:rPr>
                <w:sz w:val="21"/>
              </w:rPr>
            </w:pPr>
            <w:r>
              <w:rPr>
                <w:w w:val="100"/>
                <w:sz w:val="21"/>
              </w:rPr>
              <w:t>1</w:t>
            </w:r>
          </w:p>
        </w:tc>
      </w:tr>
    </w:tbl>
    <w:p>
      <w:pPr>
        <w:spacing w:before="94"/>
        <w:ind w:left="719" w:right="0" w:firstLine="0"/>
        <w:jc w:val="left"/>
        <w:rPr>
          <w:b/>
          <w:sz w:val="24"/>
        </w:rPr>
      </w:pPr>
      <w:r>
        <w:rPr>
          <w:rFonts w:ascii="Times New Roman" w:eastAsia="Times New Roman"/>
          <w:b/>
          <w:sz w:val="24"/>
        </w:rPr>
        <w:t>3</w:t>
      </w:r>
      <w:r>
        <w:rPr>
          <w:b/>
          <w:sz w:val="24"/>
        </w:rPr>
        <w:t>、猪粪发酵罐臭气</w:t>
      </w:r>
    </w:p>
    <w:p>
      <w:pPr>
        <w:pStyle w:val="BodyText"/>
        <w:spacing w:line="364" w:lineRule="auto" w:before="160"/>
        <w:ind w:right="252" w:firstLine="480"/>
        <w:jc w:val="both"/>
      </w:pPr>
      <w:r>
        <w:rPr>
          <w:spacing w:val="-1"/>
        </w:rPr>
        <w:t>根据企业提供的资料，本项目拟设置 </w:t>
      </w:r>
      <w:r>
        <w:rPr>
          <w:rFonts w:ascii="Times New Roman" w:eastAsia="Times New Roman"/>
          <w:position w:val="1"/>
        </w:rPr>
        <w:t>2 </w:t>
      </w:r>
      <w:r>
        <w:rPr>
          <w:spacing w:val="-3"/>
        </w:rPr>
        <w:t>套发酵罐处理猪粪，各发酵罐均配套有一套</w:t>
      </w:r>
      <w:r>
        <w:rPr>
          <w:spacing w:val="11"/>
        </w:rPr>
        <w:t>独立的废气喷淋装置，发酵臭气经喷淋处理后由对应的 </w:t>
      </w:r>
      <w:r>
        <w:rPr>
          <w:rFonts w:ascii="Times New Roman" w:eastAsia="Times New Roman"/>
          <w:position w:val="1"/>
        </w:rPr>
        <w:t>15m </w:t>
      </w:r>
      <w:r>
        <w:rPr>
          <w:spacing w:val="14"/>
        </w:rPr>
        <w:t>高排气筒</w:t>
      </w:r>
      <w:r>
        <w:rPr>
          <w:spacing w:val="3"/>
        </w:rPr>
        <w:t>（</w:t>
      </w:r>
      <w:r>
        <w:rPr>
          <w:rFonts w:ascii="Times New Roman" w:eastAsia="Times New Roman"/>
          <w:spacing w:val="3"/>
          <w:position w:val="1"/>
        </w:rPr>
        <w:t>DA002-1</w:t>
      </w:r>
      <w:r>
        <w:rPr/>
        <w:t>、</w:t>
      </w:r>
      <w:r>
        <w:rPr>
          <w:rFonts w:ascii="Times New Roman" w:eastAsia="Times New Roman"/>
          <w:spacing w:val="-4"/>
          <w:position w:val="1"/>
        </w:rPr>
        <w:t>DA002-2</w:t>
      </w:r>
      <w:r>
        <w:rPr>
          <w:spacing w:val="-21"/>
        </w:rPr>
        <w:t>，共 </w:t>
      </w:r>
      <w:r>
        <w:rPr>
          <w:rFonts w:ascii="Times New Roman" w:eastAsia="Times New Roman"/>
          <w:position w:val="1"/>
        </w:rPr>
        <w:t>2 </w:t>
      </w:r>
      <w:r>
        <w:rPr/>
        <w:t>个</w:t>
      </w:r>
      <w:r>
        <w:rPr>
          <w:spacing w:val="-19"/>
        </w:rPr>
        <w:t>）</w:t>
      </w:r>
      <w:r>
        <w:rPr>
          <w:spacing w:val="-6"/>
        </w:rPr>
        <w:t>高空排放。根据同类企业</w:t>
      </w:r>
      <w:r>
        <w:rPr/>
        <w:t>（浙江科强生态养殖有限公司</w:t>
      </w:r>
      <w:r>
        <w:rPr>
          <w:spacing w:val="-20"/>
        </w:rPr>
        <w:t>）</w:t>
      </w:r>
      <w:r>
        <w:rPr/>
        <w:t>同类发酵罐的检测数据（</w:t>
      </w:r>
      <w:r>
        <w:rPr>
          <w:spacing w:val="-12"/>
        </w:rPr>
        <w:t>详见表 </w:t>
      </w:r>
      <w:r>
        <w:rPr>
          <w:rFonts w:ascii="Times New Roman" w:eastAsia="Times New Roman"/>
          <w:position w:val="1"/>
        </w:rPr>
        <w:t>6.2-7</w:t>
      </w:r>
      <w:r>
        <w:rPr/>
        <w:t>）</w:t>
      </w:r>
      <w:r>
        <w:rPr>
          <w:spacing w:val="-1"/>
        </w:rPr>
        <w:t>分析可知，其排气筒氨、硫化氢的有组织排放速率及臭气浓</w:t>
      </w:r>
      <w:r>
        <w:rPr>
          <w:spacing w:val="-2"/>
        </w:rPr>
        <w:t>度均能符合《恶臭污染物排放标准》</w:t>
      </w:r>
      <w:r>
        <w:rPr/>
        <w:t>（</w:t>
      </w:r>
      <w:r>
        <w:rPr>
          <w:rFonts w:ascii="Times New Roman" w:eastAsia="Times New Roman"/>
          <w:position w:val="1"/>
        </w:rPr>
        <w:t>GB 14554-93</w:t>
      </w:r>
      <w:r>
        <w:rPr/>
        <w:t>）</w:t>
      </w:r>
      <w:r>
        <w:rPr>
          <w:spacing w:val="-2"/>
        </w:rPr>
        <w:t>中的规定限值要求，喷淋装置对氨</w:t>
      </w:r>
      <w:r>
        <w:rPr>
          <w:spacing w:val="-5"/>
        </w:rPr>
        <w:t>和硫化氢的净化效率均能达到 </w:t>
      </w:r>
      <w:r>
        <w:rPr>
          <w:rFonts w:ascii="Times New Roman" w:eastAsia="Times New Roman"/>
          <w:position w:val="1"/>
        </w:rPr>
        <w:t>80%</w:t>
      </w:r>
      <w:r>
        <w:rPr>
          <w:spacing w:val="-4"/>
        </w:rPr>
        <w:t>以上，对臭气浓度的净化效率也接近 </w:t>
      </w:r>
      <w:r>
        <w:rPr>
          <w:rFonts w:ascii="Times New Roman" w:eastAsia="Times New Roman"/>
          <w:position w:val="1"/>
        </w:rPr>
        <w:t>80%</w:t>
      </w:r>
      <w:r>
        <w:rPr/>
        <w:t>。</w:t>
      </w:r>
    </w:p>
    <w:p>
      <w:pPr>
        <w:pStyle w:val="Heading3"/>
        <w:spacing w:before="4"/>
        <w:ind w:left="1151"/>
        <w:jc w:val="both"/>
        <w:rPr>
          <w:rFonts w:ascii="Times New Roman" w:hAnsi="Times New Roman" w:eastAsia="Times New Roman"/>
        </w:rPr>
      </w:pPr>
      <w:r>
        <w:rPr>
          <w:spacing w:val="-30"/>
        </w:rPr>
        <w:t>表 </w:t>
      </w:r>
      <w:r>
        <w:rPr>
          <w:rFonts w:ascii="Times New Roman" w:hAnsi="Times New Roman" w:eastAsia="Times New Roman"/>
        </w:rPr>
        <w:t>6.2-7</w:t>
      </w:r>
      <w:r>
        <w:rPr>
          <w:rFonts w:ascii="Times New Roman" w:hAnsi="Times New Roman" w:eastAsia="Times New Roman"/>
          <w:spacing w:val="59"/>
        </w:rPr>
        <w:t> </w:t>
      </w:r>
      <w:r>
        <w:rPr>
          <w:spacing w:val="-3"/>
        </w:rPr>
        <w:t>同类企业发酵罐臭气检测结果 单位：浓度 </w:t>
      </w:r>
      <w:r>
        <w:rPr>
          <w:rFonts w:ascii="Times New Roman" w:hAnsi="Times New Roman" w:eastAsia="Times New Roman"/>
        </w:rPr>
        <w:t>mg/m</w:t>
      </w:r>
      <w:r>
        <w:rPr/>
        <w:t>³</w:t>
      </w:r>
      <w:r>
        <w:rPr>
          <w:spacing w:val="-15"/>
        </w:rPr>
        <w:t>、速率 </w:t>
      </w:r>
      <w:r>
        <w:rPr>
          <w:rFonts w:ascii="Times New Roman" w:hAnsi="Times New Roman" w:eastAsia="Times New Roman"/>
        </w:rPr>
        <w:t>kg/h</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669"/>
        <w:gridCol w:w="1502"/>
        <w:gridCol w:w="868"/>
        <w:gridCol w:w="1050"/>
        <w:gridCol w:w="1298"/>
        <w:gridCol w:w="1297"/>
        <w:gridCol w:w="1509"/>
      </w:tblGrid>
      <w:tr>
        <w:trPr>
          <w:trHeight w:val="719" w:hRule="atLeast"/>
        </w:trPr>
        <w:tc>
          <w:tcPr>
            <w:tcW w:w="1231" w:type="dxa"/>
            <w:tcBorders>
              <w:bottom w:val="single" w:sz="6" w:space="0" w:color="000000"/>
              <w:right w:val="single" w:sz="6" w:space="0" w:color="000000"/>
            </w:tcBorders>
          </w:tcPr>
          <w:p>
            <w:pPr>
              <w:pStyle w:val="TableParagraph"/>
              <w:spacing w:before="5"/>
              <w:jc w:val="left"/>
              <w:rPr>
                <w:b/>
                <w:sz w:val="19"/>
              </w:rPr>
            </w:pPr>
          </w:p>
          <w:p>
            <w:pPr>
              <w:pStyle w:val="TableParagraph"/>
              <w:spacing w:before="0"/>
              <w:ind w:left="193"/>
              <w:jc w:val="left"/>
              <w:rPr>
                <w:rFonts w:ascii="宋体" w:eastAsia="宋体" w:hint="eastAsia"/>
                <w:b/>
                <w:sz w:val="21"/>
              </w:rPr>
            </w:pPr>
            <w:r>
              <w:rPr>
                <w:rFonts w:ascii="宋体" w:eastAsia="宋体" w:hint="eastAsia"/>
                <w:b/>
                <w:sz w:val="21"/>
              </w:rPr>
              <w:t>检测日期</w:t>
            </w:r>
          </w:p>
        </w:tc>
        <w:tc>
          <w:tcPr>
            <w:tcW w:w="669" w:type="dxa"/>
            <w:tcBorders>
              <w:left w:val="single" w:sz="6" w:space="0" w:color="000000"/>
              <w:bottom w:val="single" w:sz="6" w:space="0" w:color="000000"/>
              <w:right w:val="single" w:sz="6" w:space="0" w:color="000000"/>
            </w:tcBorders>
          </w:tcPr>
          <w:p>
            <w:pPr>
              <w:pStyle w:val="TableParagraph"/>
              <w:spacing w:before="46"/>
              <w:ind w:left="129"/>
              <w:jc w:val="left"/>
              <w:rPr>
                <w:rFonts w:ascii="宋体" w:eastAsia="宋体" w:hint="eastAsia"/>
                <w:b/>
                <w:sz w:val="21"/>
              </w:rPr>
            </w:pPr>
            <w:r>
              <w:rPr>
                <w:rFonts w:ascii="宋体" w:eastAsia="宋体" w:hint="eastAsia"/>
                <w:b/>
                <w:sz w:val="21"/>
              </w:rPr>
              <w:t>检测</w:t>
            </w:r>
          </w:p>
          <w:p>
            <w:pPr>
              <w:pStyle w:val="TableParagraph"/>
              <w:spacing w:before="89"/>
              <w:ind w:left="129"/>
              <w:jc w:val="left"/>
              <w:rPr>
                <w:rFonts w:ascii="宋体" w:eastAsia="宋体" w:hint="eastAsia"/>
                <w:b/>
                <w:sz w:val="21"/>
              </w:rPr>
            </w:pPr>
            <w:r>
              <w:rPr>
                <w:rFonts w:ascii="宋体" w:eastAsia="宋体" w:hint="eastAsia"/>
                <w:b/>
                <w:sz w:val="21"/>
              </w:rPr>
              <w:t>位置</w:t>
            </w:r>
          </w:p>
        </w:tc>
        <w:tc>
          <w:tcPr>
            <w:tcW w:w="1502" w:type="dxa"/>
            <w:tcBorders>
              <w:left w:val="single" w:sz="6" w:space="0" w:color="000000"/>
              <w:bottom w:val="single" w:sz="6" w:space="0" w:color="000000"/>
              <w:right w:val="single" w:sz="6" w:space="0" w:color="000000"/>
            </w:tcBorders>
          </w:tcPr>
          <w:p>
            <w:pPr>
              <w:pStyle w:val="TableParagraph"/>
              <w:spacing w:before="46"/>
              <w:ind w:left="231"/>
              <w:jc w:val="left"/>
              <w:rPr>
                <w:rFonts w:ascii="宋体" w:eastAsia="宋体" w:hint="eastAsia"/>
                <w:b/>
                <w:sz w:val="21"/>
              </w:rPr>
            </w:pPr>
            <w:r>
              <w:rPr>
                <w:rFonts w:ascii="宋体" w:eastAsia="宋体" w:hint="eastAsia"/>
                <w:b/>
                <w:sz w:val="21"/>
              </w:rPr>
              <w:t>标干态废气</w:t>
            </w:r>
          </w:p>
          <w:p>
            <w:pPr>
              <w:pStyle w:val="TableParagraph"/>
              <w:spacing w:before="89"/>
              <w:ind w:left="130"/>
              <w:jc w:val="left"/>
              <w:rPr>
                <w:rFonts w:ascii="宋体" w:hAnsi="宋体" w:eastAsia="宋体" w:hint="eastAsia"/>
                <w:b/>
                <w:sz w:val="21"/>
              </w:rPr>
            </w:pPr>
            <w:r>
              <w:rPr>
                <w:rFonts w:ascii="宋体" w:hAnsi="宋体" w:eastAsia="宋体" w:hint="eastAsia"/>
                <w:b/>
                <w:sz w:val="21"/>
              </w:rPr>
              <w:t>流量</w:t>
            </w:r>
            <w:r>
              <w:rPr>
                <w:rFonts w:ascii="宋体" w:hAnsi="宋体" w:eastAsia="宋体" w:hint="eastAsia"/>
                <w:b/>
                <w:spacing w:val="-11"/>
                <w:sz w:val="21"/>
              </w:rPr>
              <w:t>（</w:t>
            </w:r>
            <w:r>
              <w:rPr>
                <w:b/>
                <w:spacing w:val="-11"/>
                <w:sz w:val="21"/>
              </w:rPr>
              <w:t>m³/h</w:t>
            </w:r>
            <w:r>
              <w:rPr>
                <w:b/>
                <w:spacing w:val="1"/>
                <w:sz w:val="21"/>
              </w:rPr>
              <w:t> </w:t>
            </w:r>
            <w:r>
              <w:rPr>
                <w:rFonts w:ascii="宋体" w:hAnsi="宋体" w:eastAsia="宋体" w:hint="eastAsia"/>
                <w:b/>
                <w:sz w:val="21"/>
              </w:rPr>
              <w:t>）</w:t>
            </w:r>
          </w:p>
        </w:tc>
        <w:tc>
          <w:tcPr>
            <w:tcW w:w="868" w:type="dxa"/>
            <w:tcBorders>
              <w:left w:val="single" w:sz="6" w:space="0" w:color="000000"/>
              <w:bottom w:val="single" w:sz="6" w:space="0" w:color="000000"/>
              <w:right w:val="single" w:sz="6" w:space="0" w:color="000000"/>
            </w:tcBorders>
          </w:tcPr>
          <w:p>
            <w:pPr>
              <w:pStyle w:val="TableParagraph"/>
              <w:spacing w:before="46"/>
              <w:ind w:left="106" w:right="73"/>
              <w:rPr>
                <w:rFonts w:ascii="宋体" w:eastAsia="宋体" w:hint="eastAsia"/>
                <w:b/>
                <w:sz w:val="21"/>
              </w:rPr>
            </w:pPr>
            <w:r>
              <w:rPr>
                <w:rFonts w:ascii="宋体" w:eastAsia="宋体" w:hint="eastAsia"/>
                <w:b/>
                <w:sz w:val="21"/>
              </w:rPr>
              <w:t>氨排放</w:t>
            </w:r>
          </w:p>
          <w:p>
            <w:pPr>
              <w:pStyle w:val="TableParagraph"/>
              <w:spacing w:before="89"/>
              <w:ind w:left="106" w:right="73"/>
              <w:rPr>
                <w:rFonts w:ascii="宋体" w:eastAsia="宋体" w:hint="eastAsia"/>
                <w:b/>
                <w:sz w:val="21"/>
              </w:rPr>
            </w:pPr>
            <w:r>
              <w:rPr>
                <w:rFonts w:ascii="宋体" w:eastAsia="宋体" w:hint="eastAsia"/>
                <w:b/>
                <w:sz w:val="21"/>
              </w:rPr>
              <w:t>浓度</w:t>
            </w:r>
          </w:p>
        </w:tc>
        <w:tc>
          <w:tcPr>
            <w:tcW w:w="1050" w:type="dxa"/>
            <w:tcBorders>
              <w:left w:val="single" w:sz="6" w:space="0" w:color="000000"/>
              <w:bottom w:val="single" w:sz="6" w:space="0" w:color="000000"/>
              <w:right w:val="single" w:sz="6" w:space="0" w:color="000000"/>
            </w:tcBorders>
          </w:tcPr>
          <w:p>
            <w:pPr>
              <w:pStyle w:val="TableParagraph"/>
              <w:spacing w:before="46"/>
              <w:ind w:left="218"/>
              <w:jc w:val="left"/>
              <w:rPr>
                <w:rFonts w:ascii="宋体" w:eastAsia="宋体" w:hint="eastAsia"/>
                <w:b/>
                <w:sz w:val="21"/>
              </w:rPr>
            </w:pPr>
            <w:r>
              <w:rPr>
                <w:rFonts w:ascii="宋体" w:eastAsia="宋体" w:hint="eastAsia"/>
                <w:b/>
                <w:sz w:val="21"/>
              </w:rPr>
              <w:t>氨排放</w:t>
            </w:r>
          </w:p>
          <w:p>
            <w:pPr>
              <w:pStyle w:val="TableParagraph"/>
              <w:spacing w:before="89"/>
              <w:ind w:left="324"/>
              <w:jc w:val="left"/>
              <w:rPr>
                <w:rFonts w:ascii="宋体" w:eastAsia="宋体" w:hint="eastAsia"/>
                <w:b/>
                <w:sz w:val="21"/>
              </w:rPr>
            </w:pPr>
            <w:r>
              <w:rPr>
                <w:rFonts w:ascii="宋体" w:eastAsia="宋体" w:hint="eastAsia"/>
                <w:b/>
                <w:sz w:val="21"/>
              </w:rPr>
              <w:t>速率</w:t>
            </w:r>
          </w:p>
        </w:tc>
        <w:tc>
          <w:tcPr>
            <w:tcW w:w="1298" w:type="dxa"/>
            <w:tcBorders>
              <w:left w:val="single" w:sz="6" w:space="0" w:color="000000"/>
              <w:bottom w:val="single" w:sz="6" w:space="0" w:color="000000"/>
              <w:right w:val="single" w:sz="6" w:space="0" w:color="000000"/>
            </w:tcBorders>
          </w:tcPr>
          <w:p>
            <w:pPr>
              <w:pStyle w:val="TableParagraph"/>
              <w:spacing w:before="46"/>
              <w:ind w:left="113" w:right="74"/>
              <w:rPr>
                <w:rFonts w:ascii="宋体" w:eastAsia="宋体" w:hint="eastAsia"/>
                <w:b/>
                <w:sz w:val="21"/>
              </w:rPr>
            </w:pPr>
            <w:r>
              <w:rPr>
                <w:rFonts w:ascii="宋体" w:eastAsia="宋体" w:hint="eastAsia"/>
                <w:b/>
                <w:sz w:val="21"/>
              </w:rPr>
              <w:t>硫化氢排放</w:t>
            </w:r>
          </w:p>
          <w:p>
            <w:pPr>
              <w:pStyle w:val="TableParagraph"/>
              <w:spacing w:before="89"/>
              <w:ind w:left="109" w:right="74"/>
              <w:rPr>
                <w:rFonts w:ascii="宋体" w:eastAsia="宋体" w:hint="eastAsia"/>
                <w:b/>
                <w:sz w:val="21"/>
              </w:rPr>
            </w:pPr>
            <w:r>
              <w:rPr>
                <w:rFonts w:ascii="宋体" w:eastAsia="宋体" w:hint="eastAsia"/>
                <w:b/>
                <w:sz w:val="21"/>
              </w:rPr>
              <w:t>浓度</w:t>
            </w:r>
          </w:p>
        </w:tc>
        <w:tc>
          <w:tcPr>
            <w:tcW w:w="1297" w:type="dxa"/>
            <w:tcBorders>
              <w:left w:val="single" w:sz="6" w:space="0" w:color="000000"/>
              <w:bottom w:val="single" w:sz="6" w:space="0" w:color="000000"/>
              <w:right w:val="single" w:sz="6" w:space="0" w:color="000000"/>
            </w:tcBorders>
          </w:tcPr>
          <w:p>
            <w:pPr>
              <w:pStyle w:val="TableParagraph"/>
              <w:spacing w:before="46"/>
              <w:ind w:left="95" w:right="57"/>
              <w:rPr>
                <w:rFonts w:ascii="宋体" w:eastAsia="宋体" w:hint="eastAsia"/>
                <w:b/>
                <w:sz w:val="21"/>
              </w:rPr>
            </w:pPr>
            <w:r>
              <w:rPr>
                <w:rFonts w:ascii="宋体" w:eastAsia="宋体" w:hint="eastAsia"/>
                <w:b/>
                <w:sz w:val="21"/>
              </w:rPr>
              <w:t>硫化氢排放</w:t>
            </w:r>
          </w:p>
          <w:p>
            <w:pPr>
              <w:pStyle w:val="TableParagraph"/>
              <w:spacing w:before="89"/>
              <w:ind w:left="95" w:right="62"/>
              <w:rPr>
                <w:rFonts w:ascii="宋体" w:eastAsia="宋体" w:hint="eastAsia"/>
                <w:b/>
                <w:sz w:val="21"/>
              </w:rPr>
            </w:pPr>
            <w:r>
              <w:rPr>
                <w:rFonts w:ascii="宋体" w:eastAsia="宋体" w:hint="eastAsia"/>
                <w:b/>
                <w:sz w:val="21"/>
              </w:rPr>
              <w:t>速率</w:t>
            </w:r>
          </w:p>
        </w:tc>
        <w:tc>
          <w:tcPr>
            <w:tcW w:w="1509" w:type="dxa"/>
            <w:tcBorders>
              <w:left w:val="single" w:sz="6" w:space="0" w:color="000000"/>
              <w:bottom w:val="single" w:sz="6" w:space="0" w:color="000000"/>
            </w:tcBorders>
          </w:tcPr>
          <w:p>
            <w:pPr>
              <w:pStyle w:val="TableParagraph"/>
              <w:spacing w:before="46"/>
              <w:ind w:left="133"/>
              <w:jc w:val="left"/>
              <w:rPr>
                <w:rFonts w:ascii="宋体" w:eastAsia="宋体" w:hint="eastAsia"/>
                <w:b/>
                <w:sz w:val="21"/>
              </w:rPr>
            </w:pPr>
            <w:r>
              <w:rPr>
                <w:rFonts w:ascii="宋体" w:eastAsia="宋体" w:hint="eastAsia"/>
                <w:b/>
                <w:sz w:val="21"/>
              </w:rPr>
              <w:t>臭气排放浓度</w:t>
            </w:r>
          </w:p>
          <w:p>
            <w:pPr>
              <w:pStyle w:val="TableParagraph"/>
              <w:spacing w:before="89"/>
              <w:ind w:left="239"/>
              <w:jc w:val="left"/>
              <w:rPr>
                <w:rFonts w:ascii="宋体" w:eastAsia="宋体" w:hint="eastAsia"/>
                <w:b/>
                <w:sz w:val="21"/>
              </w:rPr>
            </w:pPr>
            <w:r>
              <w:rPr>
                <w:rFonts w:ascii="宋体" w:eastAsia="宋体" w:hint="eastAsia"/>
                <w:b/>
                <w:sz w:val="21"/>
              </w:rPr>
              <w:t>（无量纲）</w:t>
            </w:r>
          </w:p>
        </w:tc>
      </w:tr>
      <w:tr>
        <w:trPr>
          <w:trHeight w:val="356"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40"/>
              <w:jc w:val="left"/>
              <w:rPr>
                <w:sz w:val="21"/>
              </w:rPr>
            </w:pPr>
            <w:r>
              <w:rPr>
                <w:sz w:val="21"/>
              </w:rPr>
              <w:t>2020.10.13</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进口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2.81E+03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9.67</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2.71E-02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0.169</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4.74E-04</w:t>
            </w:r>
          </w:p>
        </w:tc>
        <w:tc>
          <w:tcPr>
            <w:tcW w:w="1509" w:type="dxa"/>
            <w:tcBorders>
              <w:top w:val="single" w:sz="6" w:space="0" w:color="000000"/>
              <w:left w:val="single" w:sz="6" w:space="0" w:color="000000"/>
              <w:bottom w:val="single" w:sz="6" w:space="0" w:color="000000"/>
            </w:tcBorders>
          </w:tcPr>
          <w:p>
            <w:pPr>
              <w:pStyle w:val="TableParagraph"/>
              <w:ind w:left="536" w:right="489"/>
              <w:rPr>
                <w:sz w:val="21"/>
              </w:rPr>
            </w:pPr>
            <w:r>
              <w:rPr>
                <w:sz w:val="21"/>
              </w:rPr>
              <w:t>965</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6"/>
              <w:ind w:right="97"/>
              <w:jc w:val="right"/>
              <w:rPr>
                <w:rFonts w:ascii="宋体" w:eastAsia="宋体" w:hint="eastAsia"/>
                <w:sz w:val="21"/>
              </w:rPr>
            </w:pPr>
            <w:r>
              <w:rPr>
                <w:rFonts w:ascii="宋体" w:eastAsia="宋体" w:hint="eastAsia"/>
                <w:sz w:val="21"/>
              </w:rPr>
              <w:t>出口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spacing w:before="60"/>
              <w:ind w:left="326" w:right="295"/>
              <w:rPr>
                <w:sz w:val="21"/>
              </w:rPr>
            </w:pPr>
            <w:r>
              <w:rPr>
                <w:sz w:val="21"/>
              </w:rPr>
              <w:t>2.53E+03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spacing w:before="60"/>
              <w:ind w:left="106" w:right="73"/>
              <w:rPr>
                <w:sz w:val="21"/>
              </w:rPr>
            </w:pPr>
            <w:r>
              <w:rPr>
                <w:sz w:val="21"/>
              </w:rPr>
              <w:t>1.92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92"/>
              <w:rPr>
                <w:sz w:val="21"/>
              </w:rPr>
            </w:pPr>
            <w:r>
              <w:rPr>
                <w:sz w:val="21"/>
              </w:rPr>
              <w:t>4.86E-03</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60"/>
              <w:ind w:left="113" w:right="74"/>
              <w:rPr>
                <w:sz w:val="21"/>
              </w:rPr>
            </w:pPr>
            <w:r>
              <w:rPr>
                <w:sz w:val="21"/>
              </w:rPr>
              <w:t>0.024</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spacing w:before="60"/>
              <w:ind w:left="95" w:right="57"/>
              <w:rPr>
                <w:sz w:val="21"/>
              </w:rPr>
            </w:pPr>
            <w:r>
              <w:rPr>
                <w:sz w:val="21"/>
              </w:rPr>
              <w:t>6.07E-05</w:t>
            </w:r>
          </w:p>
        </w:tc>
        <w:tc>
          <w:tcPr>
            <w:tcW w:w="1509" w:type="dxa"/>
            <w:tcBorders>
              <w:top w:val="single" w:sz="6" w:space="0" w:color="000000"/>
              <w:left w:val="single" w:sz="6" w:space="0" w:color="000000"/>
              <w:bottom w:val="single" w:sz="6" w:space="0" w:color="000000"/>
            </w:tcBorders>
          </w:tcPr>
          <w:p>
            <w:pPr>
              <w:pStyle w:val="TableParagraph"/>
              <w:spacing w:before="60"/>
              <w:ind w:left="536" w:right="489"/>
              <w:rPr>
                <w:sz w:val="21"/>
              </w:rPr>
            </w:pPr>
            <w:r>
              <w:rPr>
                <w:sz w:val="21"/>
              </w:rPr>
              <w:t>214</w:t>
            </w:r>
          </w:p>
        </w:tc>
      </w:tr>
      <w:tr>
        <w:trPr>
          <w:trHeight w:val="359"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40"/>
              <w:jc w:val="left"/>
              <w:rPr>
                <w:sz w:val="21"/>
              </w:rPr>
            </w:pPr>
            <w:r>
              <w:rPr>
                <w:sz w:val="21"/>
              </w:rPr>
              <w:t>2020.10.14</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进口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2.70E+03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9.79</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2.64E-02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0.169</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4.57E-04</w:t>
            </w:r>
          </w:p>
        </w:tc>
        <w:tc>
          <w:tcPr>
            <w:tcW w:w="1509" w:type="dxa"/>
            <w:tcBorders>
              <w:top w:val="single" w:sz="6" w:space="0" w:color="000000"/>
              <w:left w:val="single" w:sz="6" w:space="0" w:color="000000"/>
              <w:bottom w:val="single" w:sz="6" w:space="0" w:color="000000"/>
            </w:tcBorders>
          </w:tcPr>
          <w:p>
            <w:pPr>
              <w:pStyle w:val="TableParagraph"/>
              <w:ind w:left="555"/>
              <w:jc w:val="left"/>
              <w:rPr>
                <w:sz w:val="21"/>
              </w:rPr>
            </w:pPr>
            <w:r>
              <w:rPr>
                <w:sz w:val="21"/>
              </w:rPr>
              <w:t>1012</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出口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2.37E+03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1.82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4.32E-03</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0.023</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5.37E-05</w:t>
            </w:r>
          </w:p>
        </w:tc>
        <w:tc>
          <w:tcPr>
            <w:tcW w:w="1509" w:type="dxa"/>
            <w:tcBorders>
              <w:top w:val="single" w:sz="6" w:space="0" w:color="000000"/>
              <w:left w:val="single" w:sz="6" w:space="0" w:color="000000"/>
              <w:bottom w:val="single" w:sz="6" w:space="0" w:color="000000"/>
            </w:tcBorders>
          </w:tcPr>
          <w:p>
            <w:pPr>
              <w:pStyle w:val="TableParagraph"/>
              <w:ind w:left="536" w:right="489"/>
              <w:rPr>
                <w:sz w:val="21"/>
              </w:rPr>
            </w:pPr>
            <w:r>
              <w:rPr>
                <w:sz w:val="21"/>
              </w:rPr>
              <w:t>180</w:t>
            </w:r>
          </w:p>
        </w:tc>
      </w:tr>
      <w:tr>
        <w:trPr>
          <w:trHeight w:val="357"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3"/>
              <w:jc w:val="left"/>
              <w:rPr>
                <w:b/>
                <w:sz w:val="21"/>
              </w:rPr>
            </w:pPr>
          </w:p>
          <w:p>
            <w:pPr>
              <w:pStyle w:val="TableParagraph"/>
              <w:spacing w:before="0"/>
              <w:ind w:left="140"/>
              <w:jc w:val="left"/>
              <w:rPr>
                <w:sz w:val="21"/>
              </w:rPr>
            </w:pPr>
            <w:r>
              <w:rPr>
                <w:sz w:val="21"/>
              </w:rPr>
              <w:t>2020.10.15</w:t>
            </w: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4"/>
              <w:ind w:right="97"/>
              <w:jc w:val="right"/>
              <w:rPr>
                <w:rFonts w:ascii="宋体" w:eastAsia="宋体" w:hint="eastAsia"/>
                <w:sz w:val="21"/>
              </w:rPr>
            </w:pPr>
            <w:r>
              <w:rPr>
                <w:rFonts w:ascii="宋体" w:eastAsia="宋体" w:hint="eastAsia"/>
                <w:sz w:val="21"/>
              </w:rPr>
              <w:t>进口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6" w:right="295"/>
              <w:rPr>
                <w:sz w:val="21"/>
              </w:rPr>
            </w:pPr>
            <w:r>
              <w:rPr>
                <w:sz w:val="21"/>
              </w:rPr>
              <w:t>2.74E+03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ind w:left="106" w:right="73"/>
              <w:rPr>
                <w:sz w:val="21"/>
              </w:rPr>
            </w:pPr>
            <w:r>
              <w:rPr>
                <w:sz w:val="21"/>
              </w:rPr>
              <w:t>8.40</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ind w:left="127" w:right="92"/>
              <w:rPr>
                <w:sz w:val="21"/>
              </w:rPr>
            </w:pPr>
            <w:r>
              <w:rPr>
                <w:sz w:val="21"/>
              </w:rPr>
              <w:t>2.30E-02</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ind w:left="113" w:right="74"/>
              <w:rPr>
                <w:sz w:val="21"/>
              </w:rPr>
            </w:pPr>
            <w:r>
              <w:rPr>
                <w:sz w:val="21"/>
              </w:rPr>
              <w:t>0.169</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ind w:left="95" w:right="57"/>
              <w:rPr>
                <w:sz w:val="21"/>
              </w:rPr>
            </w:pPr>
            <w:r>
              <w:rPr>
                <w:sz w:val="21"/>
              </w:rPr>
              <w:t>4.62E-04</w:t>
            </w:r>
          </w:p>
        </w:tc>
        <w:tc>
          <w:tcPr>
            <w:tcW w:w="1509" w:type="dxa"/>
            <w:tcBorders>
              <w:top w:val="single" w:sz="6" w:space="0" w:color="000000"/>
              <w:left w:val="single" w:sz="6" w:space="0" w:color="000000"/>
              <w:bottom w:val="single" w:sz="6" w:space="0" w:color="000000"/>
            </w:tcBorders>
          </w:tcPr>
          <w:p>
            <w:pPr>
              <w:pStyle w:val="TableParagraph"/>
              <w:ind w:left="536" w:right="489"/>
              <w:rPr>
                <w:sz w:val="21"/>
              </w:rPr>
            </w:pPr>
            <w:r>
              <w:rPr>
                <w:sz w:val="21"/>
              </w:rPr>
              <w:t>820</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669" w:type="dxa"/>
            <w:tcBorders>
              <w:top w:val="single" w:sz="6" w:space="0" w:color="000000"/>
              <w:left w:val="single" w:sz="6" w:space="0" w:color="000000"/>
              <w:bottom w:val="single" w:sz="6" w:space="0" w:color="000000"/>
              <w:right w:val="single" w:sz="6" w:space="0" w:color="000000"/>
            </w:tcBorders>
          </w:tcPr>
          <w:p>
            <w:pPr>
              <w:pStyle w:val="TableParagraph"/>
              <w:spacing w:before="46"/>
              <w:ind w:right="97"/>
              <w:jc w:val="right"/>
              <w:rPr>
                <w:rFonts w:ascii="宋体" w:eastAsia="宋体" w:hint="eastAsia"/>
                <w:sz w:val="21"/>
              </w:rPr>
            </w:pPr>
            <w:r>
              <w:rPr>
                <w:rFonts w:ascii="宋体" w:eastAsia="宋体" w:hint="eastAsia"/>
                <w:sz w:val="21"/>
              </w:rPr>
              <w:t>出口</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spacing w:before="60"/>
              <w:ind w:left="326" w:right="295"/>
              <w:rPr>
                <w:sz w:val="21"/>
              </w:rPr>
            </w:pPr>
            <w:r>
              <w:rPr>
                <w:sz w:val="21"/>
              </w:rPr>
              <w:t>2.38E+03</w:t>
            </w:r>
          </w:p>
        </w:tc>
        <w:tc>
          <w:tcPr>
            <w:tcW w:w="868" w:type="dxa"/>
            <w:tcBorders>
              <w:top w:val="single" w:sz="6" w:space="0" w:color="000000"/>
              <w:left w:val="single" w:sz="6" w:space="0" w:color="000000"/>
              <w:bottom w:val="single" w:sz="6" w:space="0" w:color="000000"/>
              <w:right w:val="single" w:sz="6" w:space="0" w:color="000000"/>
            </w:tcBorders>
          </w:tcPr>
          <w:p>
            <w:pPr>
              <w:pStyle w:val="TableParagraph"/>
              <w:spacing w:before="60"/>
              <w:ind w:left="106" w:right="73"/>
              <w:rPr>
                <w:sz w:val="21"/>
              </w:rPr>
            </w:pPr>
            <w:r>
              <w:rPr>
                <w:sz w:val="21"/>
              </w:rPr>
              <w:t>1.82</w:t>
            </w:r>
          </w:p>
        </w:tc>
        <w:tc>
          <w:tcPr>
            <w:tcW w:w="1050" w:type="dxa"/>
            <w:tcBorders>
              <w:top w:val="single" w:sz="6" w:space="0" w:color="000000"/>
              <w:left w:val="single" w:sz="6" w:space="0" w:color="000000"/>
              <w:bottom w:val="single" w:sz="6" w:space="0" w:color="000000"/>
              <w:right w:val="single" w:sz="6" w:space="0" w:color="000000"/>
            </w:tcBorders>
          </w:tcPr>
          <w:p>
            <w:pPr>
              <w:pStyle w:val="TableParagraph"/>
              <w:spacing w:before="60"/>
              <w:ind w:left="127" w:right="92"/>
              <w:rPr>
                <w:sz w:val="21"/>
              </w:rPr>
            </w:pPr>
            <w:r>
              <w:rPr>
                <w:sz w:val="21"/>
              </w:rPr>
              <w:t>4.32E-03</w:t>
            </w:r>
          </w:p>
        </w:tc>
        <w:tc>
          <w:tcPr>
            <w:tcW w:w="1298" w:type="dxa"/>
            <w:tcBorders>
              <w:top w:val="single" w:sz="6" w:space="0" w:color="000000"/>
              <w:left w:val="single" w:sz="6" w:space="0" w:color="000000"/>
              <w:bottom w:val="single" w:sz="6" w:space="0" w:color="000000"/>
              <w:right w:val="single" w:sz="6" w:space="0" w:color="000000"/>
            </w:tcBorders>
          </w:tcPr>
          <w:p>
            <w:pPr>
              <w:pStyle w:val="TableParagraph"/>
              <w:spacing w:before="60"/>
              <w:ind w:left="113" w:right="74"/>
              <w:rPr>
                <w:sz w:val="21"/>
              </w:rPr>
            </w:pPr>
            <w:r>
              <w:rPr>
                <w:sz w:val="21"/>
              </w:rPr>
              <w:t>0.025</w:t>
            </w:r>
          </w:p>
        </w:tc>
        <w:tc>
          <w:tcPr>
            <w:tcW w:w="1297" w:type="dxa"/>
            <w:tcBorders>
              <w:top w:val="single" w:sz="6" w:space="0" w:color="000000"/>
              <w:left w:val="single" w:sz="6" w:space="0" w:color="000000"/>
              <w:bottom w:val="single" w:sz="6" w:space="0" w:color="000000"/>
              <w:right w:val="single" w:sz="6" w:space="0" w:color="000000"/>
            </w:tcBorders>
          </w:tcPr>
          <w:p>
            <w:pPr>
              <w:pStyle w:val="TableParagraph"/>
              <w:spacing w:before="60"/>
              <w:ind w:left="95" w:right="57"/>
              <w:rPr>
                <w:sz w:val="21"/>
              </w:rPr>
            </w:pPr>
            <w:r>
              <w:rPr>
                <w:sz w:val="21"/>
              </w:rPr>
              <w:t>6.02E-05</w:t>
            </w:r>
          </w:p>
        </w:tc>
        <w:tc>
          <w:tcPr>
            <w:tcW w:w="1509" w:type="dxa"/>
            <w:tcBorders>
              <w:top w:val="single" w:sz="6" w:space="0" w:color="000000"/>
              <w:left w:val="single" w:sz="6" w:space="0" w:color="000000"/>
              <w:bottom w:val="single" w:sz="6" w:space="0" w:color="000000"/>
            </w:tcBorders>
          </w:tcPr>
          <w:p>
            <w:pPr>
              <w:pStyle w:val="TableParagraph"/>
              <w:spacing w:before="60"/>
              <w:ind w:left="536" w:right="489"/>
              <w:rPr>
                <w:sz w:val="21"/>
              </w:rPr>
            </w:pPr>
            <w:r>
              <w:rPr>
                <w:sz w:val="21"/>
              </w:rPr>
              <w:t>180</w:t>
            </w:r>
          </w:p>
        </w:tc>
      </w:tr>
      <w:tr>
        <w:trPr>
          <w:trHeight w:val="359" w:hRule="atLeast"/>
        </w:trPr>
        <w:tc>
          <w:tcPr>
            <w:tcW w:w="1900" w:type="dxa"/>
            <w:gridSpan w:val="2"/>
            <w:tcBorders>
              <w:top w:val="single" w:sz="6" w:space="0" w:color="000000"/>
              <w:bottom w:val="single" w:sz="6" w:space="0" w:color="000000"/>
              <w:right w:val="single" w:sz="6" w:space="0" w:color="000000"/>
            </w:tcBorders>
          </w:tcPr>
          <w:p>
            <w:pPr>
              <w:pStyle w:val="TableParagraph"/>
              <w:spacing w:before="44"/>
              <w:ind w:left="529"/>
              <w:jc w:val="left"/>
              <w:rPr>
                <w:rFonts w:ascii="宋体" w:eastAsia="宋体" w:hint="eastAsia"/>
                <w:sz w:val="21"/>
              </w:rPr>
            </w:pPr>
            <w:r>
              <w:rPr>
                <w:rFonts w:ascii="宋体" w:eastAsia="宋体" w:hint="eastAsia"/>
                <w:sz w:val="21"/>
              </w:rPr>
              <w:t>净化效率</w:t>
            </w:r>
          </w:p>
        </w:tc>
        <w:tc>
          <w:tcPr>
            <w:tcW w:w="1502" w:type="dxa"/>
            <w:tcBorders>
              <w:top w:val="single" w:sz="6" w:space="0" w:color="000000"/>
              <w:left w:val="single" w:sz="6" w:space="0" w:color="000000"/>
              <w:bottom w:val="single" w:sz="6" w:space="0" w:color="000000"/>
              <w:right w:val="single" w:sz="6" w:space="0" w:color="000000"/>
            </w:tcBorders>
          </w:tcPr>
          <w:p>
            <w:pPr>
              <w:pStyle w:val="TableParagraph"/>
              <w:ind w:left="32"/>
              <w:rPr>
                <w:sz w:val="21"/>
              </w:rPr>
            </w:pPr>
            <w:r>
              <w:rPr>
                <w:w w:val="100"/>
                <w:sz w:val="21"/>
              </w:rPr>
              <w:t>/</w:t>
            </w:r>
          </w:p>
        </w:tc>
        <w:tc>
          <w:tcPr>
            <w:tcW w:w="1918" w:type="dxa"/>
            <w:gridSpan w:val="2"/>
            <w:tcBorders>
              <w:top w:val="single" w:sz="6" w:space="0" w:color="000000"/>
              <w:left w:val="single" w:sz="6" w:space="0" w:color="000000"/>
              <w:bottom w:val="single" w:sz="6" w:space="0" w:color="000000"/>
              <w:right w:val="single" w:sz="6" w:space="0" w:color="000000"/>
            </w:tcBorders>
          </w:tcPr>
          <w:p>
            <w:pPr>
              <w:pStyle w:val="TableParagraph"/>
              <w:ind w:left="199" w:right="162"/>
              <w:rPr>
                <w:sz w:val="21"/>
              </w:rPr>
            </w:pPr>
            <w:r>
              <w:rPr>
                <w:sz w:val="21"/>
              </w:rPr>
              <w:t>82.3%</w:t>
            </w:r>
          </w:p>
        </w:tc>
        <w:tc>
          <w:tcPr>
            <w:tcW w:w="2595" w:type="dxa"/>
            <w:gridSpan w:val="2"/>
            <w:tcBorders>
              <w:top w:val="single" w:sz="6" w:space="0" w:color="000000"/>
              <w:left w:val="single" w:sz="6" w:space="0" w:color="000000"/>
              <w:bottom w:val="single" w:sz="6" w:space="0" w:color="000000"/>
              <w:right w:val="single" w:sz="6" w:space="0" w:color="000000"/>
            </w:tcBorders>
          </w:tcPr>
          <w:p>
            <w:pPr>
              <w:pStyle w:val="TableParagraph"/>
              <w:ind w:left="1019" w:right="978"/>
              <w:rPr>
                <w:sz w:val="21"/>
              </w:rPr>
            </w:pPr>
            <w:r>
              <w:rPr>
                <w:sz w:val="21"/>
              </w:rPr>
              <w:t>87.5%</w:t>
            </w:r>
          </w:p>
        </w:tc>
        <w:tc>
          <w:tcPr>
            <w:tcW w:w="1509" w:type="dxa"/>
            <w:tcBorders>
              <w:top w:val="single" w:sz="6" w:space="0" w:color="000000"/>
              <w:left w:val="single" w:sz="6" w:space="0" w:color="000000"/>
              <w:bottom w:val="single" w:sz="6" w:space="0" w:color="000000"/>
            </w:tcBorders>
          </w:tcPr>
          <w:p>
            <w:pPr>
              <w:pStyle w:val="TableParagraph"/>
              <w:ind w:left="495"/>
              <w:jc w:val="left"/>
              <w:rPr>
                <w:sz w:val="21"/>
              </w:rPr>
            </w:pPr>
            <w:r>
              <w:rPr>
                <w:sz w:val="21"/>
              </w:rPr>
              <w:t>79.4%</w:t>
            </w:r>
          </w:p>
        </w:tc>
      </w:tr>
      <w:tr>
        <w:trPr>
          <w:trHeight w:val="359" w:hRule="atLeast"/>
        </w:trPr>
        <w:tc>
          <w:tcPr>
            <w:tcW w:w="1900" w:type="dxa"/>
            <w:gridSpan w:val="2"/>
            <w:tcBorders>
              <w:top w:val="single" w:sz="6" w:space="0" w:color="000000"/>
              <w:right w:val="single" w:sz="6" w:space="0" w:color="000000"/>
            </w:tcBorders>
          </w:tcPr>
          <w:p>
            <w:pPr>
              <w:pStyle w:val="TableParagraph"/>
              <w:spacing w:before="44"/>
              <w:ind w:left="529"/>
              <w:jc w:val="left"/>
              <w:rPr>
                <w:rFonts w:ascii="宋体" w:eastAsia="宋体" w:hint="eastAsia"/>
                <w:sz w:val="21"/>
              </w:rPr>
            </w:pPr>
            <w:r>
              <w:rPr>
                <w:rFonts w:ascii="宋体" w:eastAsia="宋体" w:hint="eastAsia"/>
                <w:sz w:val="21"/>
              </w:rPr>
              <w:t>排放标准</w:t>
            </w:r>
          </w:p>
        </w:tc>
        <w:tc>
          <w:tcPr>
            <w:tcW w:w="1502" w:type="dxa"/>
            <w:tcBorders>
              <w:top w:val="single" w:sz="6" w:space="0" w:color="000000"/>
              <w:left w:val="single" w:sz="6" w:space="0" w:color="000000"/>
              <w:right w:val="single" w:sz="6" w:space="0" w:color="000000"/>
            </w:tcBorders>
          </w:tcPr>
          <w:p>
            <w:pPr>
              <w:pStyle w:val="TableParagraph"/>
              <w:ind w:left="32"/>
              <w:rPr>
                <w:sz w:val="21"/>
              </w:rPr>
            </w:pPr>
            <w:r>
              <w:rPr>
                <w:w w:val="100"/>
                <w:sz w:val="21"/>
              </w:rPr>
              <w:t>/</w:t>
            </w:r>
          </w:p>
        </w:tc>
        <w:tc>
          <w:tcPr>
            <w:tcW w:w="868" w:type="dxa"/>
            <w:tcBorders>
              <w:top w:val="single" w:sz="6" w:space="0" w:color="000000"/>
              <w:left w:val="single" w:sz="6" w:space="0" w:color="000000"/>
              <w:right w:val="single" w:sz="6" w:space="0" w:color="000000"/>
            </w:tcBorders>
          </w:tcPr>
          <w:p>
            <w:pPr>
              <w:pStyle w:val="TableParagraph"/>
              <w:ind w:left="34"/>
              <w:rPr>
                <w:sz w:val="21"/>
              </w:rPr>
            </w:pPr>
            <w:r>
              <w:rPr>
                <w:w w:val="100"/>
                <w:sz w:val="21"/>
              </w:rPr>
              <w:t>/</w:t>
            </w:r>
          </w:p>
        </w:tc>
        <w:tc>
          <w:tcPr>
            <w:tcW w:w="1050" w:type="dxa"/>
            <w:tcBorders>
              <w:top w:val="single" w:sz="6" w:space="0" w:color="000000"/>
              <w:left w:val="single" w:sz="6" w:space="0" w:color="000000"/>
              <w:right w:val="single" w:sz="6" w:space="0" w:color="000000"/>
            </w:tcBorders>
          </w:tcPr>
          <w:p>
            <w:pPr>
              <w:pStyle w:val="TableParagraph"/>
              <w:ind w:left="127" w:right="92"/>
              <w:rPr>
                <w:sz w:val="21"/>
              </w:rPr>
            </w:pPr>
            <w:r>
              <w:rPr>
                <w:sz w:val="21"/>
              </w:rPr>
              <w:t>4.9</w:t>
            </w:r>
          </w:p>
        </w:tc>
        <w:tc>
          <w:tcPr>
            <w:tcW w:w="1298" w:type="dxa"/>
            <w:tcBorders>
              <w:top w:val="single" w:sz="6" w:space="0" w:color="000000"/>
              <w:left w:val="single" w:sz="6" w:space="0" w:color="000000"/>
              <w:right w:val="single" w:sz="6" w:space="0" w:color="000000"/>
            </w:tcBorders>
          </w:tcPr>
          <w:p>
            <w:pPr>
              <w:pStyle w:val="TableParagraph"/>
              <w:ind w:left="36"/>
              <w:rPr>
                <w:sz w:val="21"/>
              </w:rPr>
            </w:pPr>
            <w:r>
              <w:rPr>
                <w:w w:val="100"/>
                <w:sz w:val="21"/>
              </w:rPr>
              <w:t>/</w:t>
            </w:r>
          </w:p>
        </w:tc>
        <w:tc>
          <w:tcPr>
            <w:tcW w:w="1297" w:type="dxa"/>
            <w:tcBorders>
              <w:top w:val="single" w:sz="6" w:space="0" w:color="000000"/>
              <w:left w:val="single" w:sz="6" w:space="0" w:color="000000"/>
              <w:right w:val="single" w:sz="6" w:space="0" w:color="000000"/>
            </w:tcBorders>
          </w:tcPr>
          <w:p>
            <w:pPr>
              <w:pStyle w:val="TableParagraph"/>
              <w:ind w:left="95" w:right="57"/>
              <w:rPr>
                <w:sz w:val="21"/>
              </w:rPr>
            </w:pPr>
            <w:r>
              <w:rPr>
                <w:sz w:val="21"/>
              </w:rPr>
              <w:t>0.33</w:t>
            </w:r>
          </w:p>
        </w:tc>
        <w:tc>
          <w:tcPr>
            <w:tcW w:w="1509" w:type="dxa"/>
            <w:tcBorders>
              <w:top w:val="single" w:sz="6" w:space="0" w:color="000000"/>
              <w:left w:val="single" w:sz="6" w:space="0" w:color="000000"/>
            </w:tcBorders>
          </w:tcPr>
          <w:p>
            <w:pPr>
              <w:pStyle w:val="TableParagraph"/>
              <w:ind w:left="555"/>
              <w:jc w:val="left"/>
              <w:rPr>
                <w:sz w:val="21"/>
              </w:rPr>
            </w:pPr>
            <w:r>
              <w:rPr>
                <w:sz w:val="21"/>
              </w:rPr>
              <w:t>2000</w:t>
            </w:r>
          </w:p>
        </w:tc>
      </w:tr>
    </w:tbl>
    <w:p>
      <w:pPr>
        <w:spacing w:after="0"/>
        <w:jc w:val="left"/>
        <w:rPr>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669"/>
        <w:gridCol w:w="1502"/>
        <w:gridCol w:w="868"/>
        <w:gridCol w:w="1050"/>
        <w:gridCol w:w="1298"/>
        <w:gridCol w:w="1297"/>
        <w:gridCol w:w="1509"/>
      </w:tblGrid>
      <w:tr>
        <w:trPr>
          <w:trHeight w:val="717" w:hRule="atLeast"/>
        </w:trPr>
        <w:tc>
          <w:tcPr>
            <w:tcW w:w="1231" w:type="dxa"/>
            <w:tcBorders>
              <w:bottom w:val="single" w:sz="6" w:space="0" w:color="000000"/>
              <w:right w:val="single" w:sz="6" w:space="0" w:color="000000"/>
            </w:tcBorders>
          </w:tcPr>
          <w:p>
            <w:pPr>
              <w:pStyle w:val="TableParagraph"/>
              <w:spacing w:before="5"/>
              <w:jc w:val="left"/>
              <w:rPr>
                <w:b/>
                <w:sz w:val="19"/>
              </w:rPr>
            </w:pPr>
          </w:p>
          <w:p>
            <w:pPr>
              <w:pStyle w:val="TableParagraph"/>
              <w:spacing w:before="0"/>
              <w:ind w:left="193"/>
              <w:jc w:val="left"/>
              <w:rPr>
                <w:rFonts w:ascii="宋体" w:eastAsia="宋体" w:hint="eastAsia"/>
                <w:b/>
                <w:sz w:val="21"/>
              </w:rPr>
            </w:pPr>
            <w:r>
              <w:rPr>
                <w:rFonts w:ascii="宋体" w:eastAsia="宋体" w:hint="eastAsia"/>
                <w:b/>
                <w:sz w:val="21"/>
              </w:rPr>
              <w:t>检测日期</w:t>
            </w:r>
          </w:p>
        </w:tc>
        <w:tc>
          <w:tcPr>
            <w:tcW w:w="669" w:type="dxa"/>
            <w:tcBorders>
              <w:left w:val="single" w:sz="6" w:space="0" w:color="000000"/>
              <w:bottom w:val="single" w:sz="6" w:space="0" w:color="000000"/>
              <w:right w:val="single" w:sz="6" w:space="0" w:color="000000"/>
            </w:tcBorders>
          </w:tcPr>
          <w:p>
            <w:pPr>
              <w:pStyle w:val="TableParagraph"/>
              <w:spacing w:before="46"/>
              <w:ind w:left="129"/>
              <w:jc w:val="left"/>
              <w:rPr>
                <w:rFonts w:ascii="宋体" w:eastAsia="宋体" w:hint="eastAsia"/>
                <w:b/>
                <w:sz w:val="21"/>
              </w:rPr>
            </w:pPr>
            <w:r>
              <w:rPr>
                <w:rFonts w:ascii="宋体" w:eastAsia="宋体" w:hint="eastAsia"/>
                <w:b/>
                <w:sz w:val="21"/>
              </w:rPr>
              <w:t>检测</w:t>
            </w:r>
          </w:p>
          <w:p>
            <w:pPr>
              <w:pStyle w:val="TableParagraph"/>
              <w:spacing w:before="89"/>
              <w:ind w:left="129"/>
              <w:jc w:val="left"/>
              <w:rPr>
                <w:rFonts w:ascii="宋体" w:eastAsia="宋体" w:hint="eastAsia"/>
                <w:b/>
                <w:sz w:val="21"/>
              </w:rPr>
            </w:pPr>
            <w:r>
              <w:rPr>
                <w:rFonts w:ascii="宋体" w:eastAsia="宋体" w:hint="eastAsia"/>
                <w:b/>
                <w:sz w:val="21"/>
              </w:rPr>
              <w:t>位置</w:t>
            </w:r>
          </w:p>
        </w:tc>
        <w:tc>
          <w:tcPr>
            <w:tcW w:w="1502" w:type="dxa"/>
            <w:tcBorders>
              <w:left w:val="single" w:sz="6" w:space="0" w:color="000000"/>
              <w:bottom w:val="single" w:sz="6" w:space="0" w:color="000000"/>
              <w:right w:val="single" w:sz="6" w:space="0" w:color="000000"/>
            </w:tcBorders>
          </w:tcPr>
          <w:p>
            <w:pPr>
              <w:pStyle w:val="TableParagraph"/>
              <w:spacing w:before="46"/>
              <w:ind w:left="231"/>
              <w:jc w:val="left"/>
              <w:rPr>
                <w:rFonts w:ascii="宋体" w:eastAsia="宋体" w:hint="eastAsia"/>
                <w:b/>
                <w:sz w:val="21"/>
              </w:rPr>
            </w:pPr>
            <w:r>
              <w:rPr>
                <w:rFonts w:ascii="宋体" w:eastAsia="宋体" w:hint="eastAsia"/>
                <w:b/>
                <w:sz w:val="21"/>
              </w:rPr>
              <w:t>标干态废气</w:t>
            </w:r>
          </w:p>
          <w:p>
            <w:pPr>
              <w:pStyle w:val="TableParagraph"/>
              <w:spacing w:before="89"/>
              <w:ind w:left="130"/>
              <w:jc w:val="left"/>
              <w:rPr>
                <w:rFonts w:ascii="宋体" w:hAnsi="宋体" w:eastAsia="宋体" w:hint="eastAsia"/>
                <w:b/>
                <w:sz w:val="21"/>
              </w:rPr>
            </w:pPr>
            <w:r>
              <w:rPr>
                <w:rFonts w:ascii="宋体" w:hAnsi="宋体" w:eastAsia="宋体" w:hint="eastAsia"/>
                <w:b/>
                <w:sz w:val="21"/>
              </w:rPr>
              <w:t>流量</w:t>
            </w:r>
            <w:r>
              <w:rPr>
                <w:rFonts w:ascii="宋体" w:hAnsi="宋体" w:eastAsia="宋体" w:hint="eastAsia"/>
                <w:b/>
                <w:spacing w:val="-11"/>
                <w:sz w:val="21"/>
              </w:rPr>
              <w:t>（</w:t>
            </w:r>
            <w:r>
              <w:rPr>
                <w:b/>
                <w:spacing w:val="-11"/>
                <w:sz w:val="21"/>
              </w:rPr>
              <w:t>m³/h</w:t>
            </w:r>
            <w:r>
              <w:rPr>
                <w:b/>
                <w:spacing w:val="1"/>
                <w:sz w:val="21"/>
              </w:rPr>
              <w:t> </w:t>
            </w:r>
            <w:r>
              <w:rPr>
                <w:rFonts w:ascii="宋体" w:hAnsi="宋体" w:eastAsia="宋体" w:hint="eastAsia"/>
                <w:b/>
                <w:sz w:val="21"/>
              </w:rPr>
              <w:t>）</w:t>
            </w:r>
          </w:p>
        </w:tc>
        <w:tc>
          <w:tcPr>
            <w:tcW w:w="868" w:type="dxa"/>
            <w:tcBorders>
              <w:left w:val="single" w:sz="6" w:space="0" w:color="000000"/>
              <w:bottom w:val="single" w:sz="6" w:space="0" w:color="000000"/>
              <w:right w:val="single" w:sz="6" w:space="0" w:color="000000"/>
            </w:tcBorders>
          </w:tcPr>
          <w:p>
            <w:pPr>
              <w:pStyle w:val="TableParagraph"/>
              <w:spacing w:before="46"/>
              <w:ind w:left="126"/>
              <w:jc w:val="left"/>
              <w:rPr>
                <w:rFonts w:ascii="宋体" w:eastAsia="宋体" w:hint="eastAsia"/>
                <w:b/>
                <w:sz w:val="21"/>
              </w:rPr>
            </w:pPr>
            <w:r>
              <w:rPr>
                <w:rFonts w:ascii="宋体" w:eastAsia="宋体" w:hint="eastAsia"/>
                <w:b/>
                <w:sz w:val="21"/>
              </w:rPr>
              <w:t>氨排放</w:t>
            </w:r>
          </w:p>
          <w:p>
            <w:pPr>
              <w:pStyle w:val="TableParagraph"/>
              <w:spacing w:before="89"/>
              <w:ind w:left="231"/>
              <w:jc w:val="left"/>
              <w:rPr>
                <w:rFonts w:ascii="宋体" w:eastAsia="宋体" w:hint="eastAsia"/>
                <w:b/>
                <w:sz w:val="21"/>
              </w:rPr>
            </w:pPr>
            <w:r>
              <w:rPr>
                <w:rFonts w:ascii="宋体" w:eastAsia="宋体" w:hint="eastAsia"/>
                <w:b/>
                <w:sz w:val="21"/>
              </w:rPr>
              <w:t>浓度</w:t>
            </w:r>
          </w:p>
        </w:tc>
        <w:tc>
          <w:tcPr>
            <w:tcW w:w="1050" w:type="dxa"/>
            <w:tcBorders>
              <w:left w:val="single" w:sz="6" w:space="0" w:color="000000"/>
              <w:bottom w:val="single" w:sz="6" w:space="0" w:color="000000"/>
              <w:right w:val="single" w:sz="6" w:space="0" w:color="000000"/>
            </w:tcBorders>
          </w:tcPr>
          <w:p>
            <w:pPr>
              <w:pStyle w:val="TableParagraph"/>
              <w:spacing w:before="46"/>
              <w:ind w:left="218"/>
              <w:jc w:val="left"/>
              <w:rPr>
                <w:rFonts w:ascii="宋体" w:eastAsia="宋体" w:hint="eastAsia"/>
                <w:b/>
                <w:sz w:val="21"/>
              </w:rPr>
            </w:pPr>
            <w:r>
              <w:rPr>
                <w:rFonts w:ascii="宋体" w:eastAsia="宋体" w:hint="eastAsia"/>
                <w:b/>
                <w:sz w:val="21"/>
              </w:rPr>
              <w:t>氨排放</w:t>
            </w:r>
          </w:p>
          <w:p>
            <w:pPr>
              <w:pStyle w:val="TableParagraph"/>
              <w:spacing w:before="89"/>
              <w:ind w:left="324"/>
              <w:jc w:val="left"/>
              <w:rPr>
                <w:rFonts w:ascii="宋体" w:eastAsia="宋体" w:hint="eastAsia"/>
                <w:b/>
                <w:sz w:val="21"/>
              </w:rPr>
            </w:pPr>
            <w:r>
              <w:rPr>
                <w:rFonts w:ascii="宋体" w:eastAsia="宋体" w:hint="eastAsia"/>
                <w:b/>
                <w:sz w:val="21"/>
              </w:rPr>
              <w:t>速率</w:t>
            </w:r>
          </w:p>
        </w:tc>
        <w:tc>
          <w:tcPr>
            <w:tcW w:w="1298" w:type="dxa"/>
            <w:tcBorders>
              <w:left w:val="single" w:sz="6" w:space="0" w:color="000000"/>
              <w:bottom w:val="single" w:sz="6" w:space="0" w:color="000000"/>
              <w:right w:val="single" w:sz="6" w:space="0" w:color="000000"/>
            </w:tcBorders>
          </w:tcPr>
          <w:p>
            <w:pPr>
              <w:pStyle w:val="TableParagraph"/>
              <w:spacing w:before="46"/>
              <w:ind w:left="113" w:right="74"/>
              <w:rPr>
                <w:rFonts w:ascii="宋体" w:eastAsia="宋体" w:hint="eastAsia"/>
                <w:b/>
                <w:sz w:val="21"/>
              </w:rPr>
            </w:pPr>
            <w:r>
              <w:rPr>
                <w:rFonts w:ascii="宋体" w:eastAsia="宋体" w:hint="eastAsia"/>
                <w:b/>
                <w:sz w:val="21"/>
              </w:rPr>
              <w:t>硫化氢排放</w:t>
            </w:r>
          </w:p>
          <w:p>
            <w:pPr>
              <w:pStyle w:val="TableParagraph"/>
              <w:spacing w:before="89"/>
              <w:ind w:left="109" w:right="74"/>
              <w:rPr>
                <w:rFonts w:ascii="宋体" w:eastAsia="宋体" w:hint="eastAsia"/>
                <w:b/>
                <w:sz w:val="21"/>
              </w:rPr>
            </w:pPr>
            <w:r>
              <w:rPr>
                <w:rFonts w:ascii="宋体" w:eastAsia="宋体" w:hint="eastAsia"/>
                <w:b/>
                <w:sz w:val="21"/>
              </w:rPr>
              <w:t>浓度</w:t>
            </w:r>
          </w:p>
        </w:tc>
        <w:tc>
          <w:tcPr>
            <w:tcW w:w="1297" w:type="dxa"/>
            <w:tcBorders>
              <w:left w:val="single" w:sz="6" w:space="0" w:color="000000"/>
              <w:bottom w:val="single" w:sz="6" w:space="0" w:color="000000"/>
              <w:right w:val="single" w:sz="6" w:space="0" w:color="000000"/>
            </w:tcBorders>
          </w:tcPr>
          <w:p>
            <w:pPr>
              <w:pStyle w:val="TableParagraph"/>
              <w:spacing w:before="46"/>
              <w:ind w:left="95" w:right="57"/>
              <w:rPr>
                <w:rFonts w:ascii="宋体" w:eastAsia="宋体" w:hint="eastAsia"/>
                <w:b/>
                <w:sz w:val="21"/>
              </w:rPr>
            </w:pPr>
            <w:r>
              <w:rPr>
                <w:rFonts w:ascii="宋体" w:eastAsia="宋体" w:hint="eastAsia"/>
                <w:b/>
                <w:sz w:val="21"/>
              </w:rPr>
              <w:t>硫化氢排放</w:t>
            </w:r>
          </w:p>
          <w:p>
            <w:pPr>
              <w:pStyle w:val="TableParagraph"/>
              <w:spacing w:before="89"/>
              <w:ind w:left="95" w:right="62"/>
              <w:rPr>
                <w:rFonts w:ascii="宋体" w:eastAsia="宋体" w:hint="eastAsia"/>
                <w:b/>
                <w:sz w:val="21"/>
              </w:rPr>
            </w:pPr>
            <w:r>
              <w:rPr>
                <w:rFonts w:ascii="宋体" w:eastAsia="宋体" w:hint="eastAsia"/>
                <w:b/>
                <w:sz w:val="21"/>
              </w:rPr>
              <w:t>速率</w:t>
            </w:r>
          </w:p>
        </w:tc>
        <w:tc>
          <w:tcPr>
            <w:tcW w:w="1509" w:type="dxa"/>
            <w:tcBorders>
              <w:left w:val="single" w:sz="6" w:space="0" w:color="000000"/>
              <w:bottom w:val="single" w:sz="6" w:space="0" w:color="000000"/>
            </w:tcBorders>
          </w:tcPr>
          <w:p>
            <w:pPr>
              <w:pStyle w:val="TableParagraph"/>
              <w:spacing w:before="46"/>
              <w:ind w:left="133"/>
              <w:jc w:val="left"/>
              <w:rPr>
                <w:rFonts w:ascii="宋体" w:eastAsia="宋体" w:hint="eastAsia"/>
                <w:b/>
                <w:sz w:val="21"/>
              </w:rPr>
            </w:pPr>
            <w:r>
              <w:rPr>
                <w:rFonts w:ascii="宋体" w:eastAsia="宋体" w:hint="eastAsia"/>
                <w:b/>
                <w:sz w:val="21"/>
              </w:rPr>
              <w:t>臭气排放浓度</w:t>
            </w:r>
          </w:p>
          <w:p>
            <w:pPr>
              <w:pStyle w:val="TableParagraph"/>
              <w:spacing w:before="89"/>
              <w:ind w:left="239"/>
              <w:jc w:val="left"/>
              <w:rPr>
                <w:rFonts w:ascii="宋体" w:eastAsia="宋体" w:hint="eastAsia"/>
                <w:b/>
                <w:sz w:val="21"/>
              </w:rPr>
            </w:pPr>
            <w:r>
              <w:rPr>
                <w:rFonts w:ascii="宋体" w:eastAsia="宋体" w:hint="eastAsia"/>
                <w:b/>
                <w:sz w:val="21"/>
              </w:rPr>
              <w:t>（无量纲）</w:t>
            </w:r>
          </w:p>
        </w:tc>
      </w:tr>
      <w:tr>
        <w:trPr>
          <w:trHeight w:val="361" w:hRule="atLeast"/>
        </w:trPr>
        <w:tc>
          <w:tcPr>
            <w:tcW w:w="1900" w:type="dxa"/>
            <w:gridSpan w:val="2"/>
            <w:tcBorders>
              <w:top w:val="single" w:sz="6" w:space="0" w:color="000000"/>
              <w:right w:val="single" w:sz="6" w:space="0" w:color="000000"/>
            </w:tcBorders>
          </w:tcPr>
          <w:p>
            <w:pPr>
              <w:pStyle w:val="TableParagraph"/>
              <w:spacing w:before="46"/>
              <w:ind w:left="529"/>
              <w:jc w:val="left"/>
              <w:rPr>
                <w:rFonts w:ascii="宋体" w:eastAsia="宋体" w:hint="eastAsia"/>
                <w:sz w:val="21"/>
              </w:rPr>
            </w:pPr>
            <w:r>
              <w:rPr>
                <w:rFonts w:ascii="宋体" w:eastAsia="宋体" w:hint="eastAsia"/>
                <w:sz w:val="21"/>
              </w:rPr>
              <w:t>是否达标</w:t>
            </w:r>
          </w:p>
        </w:tc>
        <w:tc>
          <w:tcPr>
            <w:tcW w:w="1502" w:type="dxa"/>
            <w:tcBorders>
              <w:top w:val="single" w:sz="6" w:space="0" w:color="000000"/>
              <w:left w:val="single" w:sz="6" w:space="0" w:color="000000"/>
              <w:right w:val="single" w:sz="6" w:space="0" w:color="000000"/>
            </w:tcBorders>
          </w:tcPr>
          <w:p>
            <w:pPr>
              <w:pStyle w:val="TableParagraph"/>
              <w:spacing w:before="60"/>
              <w:ind w:left="32"/>
              <w:rPr>
                <w:sz w:val="21"/>
              </w:rPr>
            </w:pPr>
            <w:r>
              <w:rPr>
                <w:w w:val="100"/>
                <w:sz w:val="21"/>
              </w:rPr>
              <w:t>/</w:t>
            </w:r>
          </w:p>
        </w:tc>
        <w:tc>
          <w:tcPr>
            <w:tcW w:w="1918" w:type="dxa"/>
            <w:gridSpan w:val="2"/>
            <w:tcBorders>
              <w:top w:val="single" w:sz="6" w:space="0" w:color="000000"/>
              <w:left w:val="single" w:sz="6" w:space="0" w:color="000000"/>
              <w:right w:val="single" w:sz="6" w:space="0" w:color="000000"/>
            </w:tcBorders>
          </w:tcPr>
          <w:p>
            <w:pPr>
              <w:pStyle w:val="TableParagraph"/>
              <w:spacing w:before="46"/>
              <w:ind w:left="198" w:right="164"/>
              <w:rPr>
                <w:rFonts w:ascii="宋体" w:eastAsia="宋体" w:hint="eastAsia"/>
                <w:sz w:val="21"/>
              </w:rPr>
            </w:pPr>
            <w:r>
              <w:rPr>
                <w:rFonts w:ascii="宋体" w:eastAsia="宋体" w:hint="eastAsia"/>
                <w:sz w:val="21"/>
              </w:rPr>
              <w:t>达标</w:t>
            </w:r>
          </w:p>
        </w:tc>
        <w:tc>
          <w:tcPr>
            <w:tcW w:w="2595" w:type="dxa"/>
            <w:gridSpan w:val="2"/>
            <w:tcBorders>
              <w:top w:val="single" w:sz="6" w:space="0" w:color="000000"/>
              <w:left w:val="single" w:sz="6" w:space="0" w:color="000000"/>
              <w:right w:val="single" w:sz="6" w:space="0" w:color="000000"/>
            </w:tcBorders>
          </w:tcPr>
          <w:p>
            <w:pPr>
              <w:pStyle w:val="TableParagraph"/>
              <w:spacing w:before="46"/>
              <w:ind w:left="1016" w:right="978"/>
              <w:rPr>
                <w:rFonts w:ascii="宋体" w:eastAsia="宋体" w:hint="eastAsia"/>
                <w:sz w:val="21"/>
              </w:rPr>
            </w:pPr>
            <w:r>
              <w:rPr>
                <w:rFonts w:ascii="宋体" w:eastAsia="宋体" w:hint="eastAsia"/>
                <w:sz w:val="21"/>
              </w:rPr>
              <w:t>达标</w:t>
            </w:r>
          </w:p>
        </w:tc>
        <w:tc>
          <w:tcPr>
            <w:tcW w:w="1509" w:type="dxa"/>
            <w:tcBorders>
              <w:top w:val="single" w:sz="6" w:space="0" w:color="000000"/>
              <w:left w:val="single" w:sz="6" w:space="0" w:color="000000"/>
            </w:tcBorders>
          </w:tcPr>
          <w:p>
            <w:pPr>
              <w:pStyle w:val="TableParagraph"/>
              <w:spacing w:before="46"/>
              <w:ind w:left="536" w:right="489"/>
              <w:rPr>
                <w:rFonts w:ascii="宋体" w:eastAsia="宋体" w:hint="eastAsia"/>
                <w:sz w:val="21"/>
              </w:rPr>
            </w:pPr>
            <w:r>
              <w:rPr>
                <w:rFonts w:ascii="宋体" w:eastAsia="宋体" w:hint="eastAsia"/>
                <w:sz w:val="21"/>
              </w:rPr>
              <w:t>达标</w:t>
            </w:r>
          </w:p>
        </w:tc>
      </w:tr>
    </w:tbl>
    <w:p>
      <w:pPr>
        <w:spacing w:before="91"/>
        <w:ind w:left="719" w:right="0" w:firstLine="0"/>
        <w:jc w:val="left"/>
        <w:rPr>
          <w:b/>
          <w:sz w:val="24"/>
        </w:rPr>
      </w:pPr>
      <w:r>
        <w:rPr>
          <w:rFonts w:ascii="Times New Roman" w:eastAsia="Times New Roman"/>
          <w:b/>
          <w:sz w:val="24"/>
        </w:rPr>
        <w:t>4</w:t>
      </w:r>
      <w:r>
        <w:rPr>
          <w:b/>
          <w:sz w:val="24"/>
        </w:rPr>
        <w:t>、其他废气</w:t>
      </w:r>
    </w:p>
    <w:p>
      <w:pPr>
        <w:pStyle w:val="ListParagraph"/>
        <w:numPr>
          <w:ilvl w:val="0"/>
          <w:numId w:val="96"/>
        </w:numPr>
        <w:tabs>
          <w:tab w:pos="1323" w:val="left" w:leader="none"/>
        </w:tabs>
        <w:spacing w:line="240" w:lineRule="auto" w:before="161" w:after="0"/>
        <w:ind w:left="1323" w:right="0" w:hanging="604"/>
        <w:jc w:val="left"/>
        <w:rPr>
          <w:b/>
          <w:sz w:val="24"/>
        </w:rPr>
      </w:pPr>
      <w:r>
        <w:rPr>
          <w:b/>
          <w:sz w:val="24"/>
        </w:rPr>
        <w:t>病死猪无害化处理臭气</w:t>
      </w:r>
    </w:p>
    <w:p>
      <w:pPr>
        <w:pStyle w:val="BodyText"/>
        <w:spacing w:line="364" w:lineRule="auto" w:before="160"/>
        <w:ind w:right="134" w:firstLine="480"/>
      </w:pPr>
      <w:r>
        <w:rPr/>
        <w:t>本项目拟采用高温生物降解技术处理病死猪，要求废气收集管线与处理机排气口实</w:t>
      </w:r>
      <w:r>
        <w:rPr>
          <w:spacing w:val="-12"/>
        </w:rPr>
        <w:t>行硬链接，废气引至配套的喷淋装置处理后由对应的 </w:t>
      </w:r>
      <w:r>
        <w:rPr>
          <w:rFonts w:ascii="Times New Roman" w:eastAsia="Times New Roman"/>
          <w:position w:val="1"/>
        </w:rPr>
        <w:t>15m </w:t>
      </w:r>
      <w:r>
        <w:rPr>
          <w:spacing w:val="-19"/>
        </w:rPr>
        <w:t>高排气筒</w:t>
      </w:r>
      <w:r>
        <w:rPr/>
        <w:t>（</w:t>
      </w:r>
      <w:r>
        <w:rPr>
          <w:rFonts w:ascii="Times New Roman" w:eastAsia="Times New Roman"/>
          <w:position w:val="1"/>
        </w:rPr>
        <w:t>DA003-1</w:t>
      </w:r>
      <w:r>
        <w:rPr>
          <w:spacing w:val="-75"/>
        </w:rPr>
        <w:t>、</w:t>
      </w:r>
      <w:r>
        <w:rPr>
          <w:rFonts w:ascii="Times New Roman" w:eastAsia="Times New Roman"/>
          <w:position w:val="1"/>
        </w:rPr>
        <w:t>DA003-2</w:t>
      </w:r>
      <w:r>
        <w:rPr/>
        <w:t>， </w:t>
      </w:r>
      <w:r>
        <w:rPr>
          <w:spacing w:val="-7"/>
        </w:rPr>
        <w:t>共 </w:t>
      </w:r>
      <w:r>
        <w:rPr>
          <w:rFonts w:ascii="Times New Roman" w:eastAsia="Times New Roman"/>
          <w:position w:val="1"/>
        </w:rPr>
        <w:t>2 </w:t>
      </w:r>
      <w:r>
        <w:rPr/>
        <w:t>个）</w:t>
      </w:r>
      <w:r>
        <w:rPr>
          <w:spacing w:val="-1"/>
        </w:rPr>
        <w:t>排放。根据《病死畜禽不同无害化处理方法的环评要点分析》</w:t>
      </w:r>
      <w:r>
        <w:rPr/>
        <w:t>（陈永兴等）、</w:t>
      </w:r>
    </w:p>
    <w:p>
      <w:pPr>
        <w:pStyle w:val="BodyText"/>
        <w:spacing w:line="364" w:lineRule="auto" w:before="3"/>
        <w:ind w:right="247"/>
        <w:jc w:val="both"/>
      </w:pPr>
      <w:r>
        <w:rPr/>
        <w:t>《病死动物高温生物降解无害化处理技术推广应用探讨》（余波等）等文献资料，相对于焚烧法、掩埋法、化制法、发酵法，高温生物降解法在处理过程中恶臭废气产生量相对较小，对周边环境空气的影响相对较小。同时根据工程分析，经处理后的废气均能符合《恶臭污染物排放标准》（</w:t>
      </w:r>
      <w:r>
        <w:rPr>
          <w:rFonts w:ascii="Times New Roman" w:eastAsia="Times New Roman"/>
          <w:position w:val="1"/>
        </w:rPr>
        <w:t>GB 14554-93</w:t>
      </w:r>
      <w:r>
        <w:rPr/>
        <w:t>）中的要求。</w:t>
      </w:r>
    </w:p>
    <w:p>
      <w:pPr>
        <w:pStyle w:val="Heading3"/>
        <w:numPr>
          <w:ilvl w:val="0"/>
          <w:numId w:val="96"/>
        </w:numPr>
        <w:tabs>
          <w:tab w:pos="1323" w:val="left" w:leader="none"/>
        </w:tabs>
        <w:spacing w:line="240" w:lineRule="auto" w:before="2" w:after="0"/>
        <w:ind w:left="1323" w:right="0" w:hanging="604"/>
        <w:jc w:val="left"/>
      </w:pPr>
      <w:r>
        <w:rPr/>
        <w:t>沼气锅炉废气</w:t>
      </w:r>
    </w:p>
    <w:p>
      <w:pPr>
        <w:pStyle w:val="BodyText"/>
        <w:spacing w:line="364" w:lineRule="auto" w:before="161"/>
        <w:ind w:right="146" w:firstLine="480"/>
      </w:pPr>
      <w:r>
        <w:rPr>
          <w:spacing w:val="-3"/>
        </w:rPr>
        <w:t>项目污水站厌氧罐产生的沼气经脱水脱硫预处理后暂存于罐顶约 </w:t>
      </w:r>
      <w:r>
        <w:rPr>
          <w:rFonts w:ascii="Times New Roman" w:hAnsi="Times New Roman" w:eastAsia="Times New Roman"/>
          <w:position w:val="1"/>
        </w:rPr>
        <w:t>500m³</w:t>
      </w:r>
      <w:r>
        <w:rPr>
          <w:spacing w:val="-3"/>
        </w:rPr>
        <w:t>的储气罐内， </w:t>
      </w:r>
      <w:r>
        <w:rPr>
          <w:spacing w:val="-1"/>
          <w:position w:val="2"/>
        </w:rPr>
        <w:t>然后供厂区内热水锅炉综合利用。根据工程分析，脱硫处理后的 </w:t>
      </w:r>
      <w:r>
        <w:rPr>
          <w:rFonts w:ascii="Times New Roman" w:hAnsi="Times New Roman" w:eastAsia="Times New Roman"/>
          <w:position w:val="2"/>
        </w:rPr>
        <w:t>H</w:t>
      </w:r>
      <w:r>
        <w:rPr>
          <w:rFonts w:ascii="Times New Roman" w:hAnsi="Times New Roman" w:eastAsia="Times New Roman"/>
          <w:sz w:val="16"/>
        </w:rPr>
        <w:t>2</w:t>
      </w:r>
      <w:r>
        <w:rPr>
          <w:rFonts w:ascii="Times New Roman" w:hAnsi="Times New Roman" w:eastAsia="Times New Roman"/>
          <w:position w:val="2"/>
        </w:rPr>
        <w:t>S </w:t>
      </w:r>
      <w:r>
        <w:rPr>
          <w:position w:val="2"/>
        </w:rPr>
        <w:t>浓度符合《人工煤</w:t>
      </w:r>
      <w:r>
        <w:rPr/>
        <w:t>气》（</w:t>
      </w:r>
      <w:r>
        <w:rPr>
          <w:rFonts w:ascii="Times New Roman" w:hAnsi="Times New Roman" w:eastAsia="Times New Roman"/>
          <w:position w:val="1"/>
        </w:rPr>
        <w:t>GB/T</w:t>
      </w:r>
      <w:r>
        <w:rPr>
          <w:rFonts w:ascii="Times New Roman" w:hAnsi="Times New Roman" w:eastAsia="Times New Roman"/>
          <w:spacing w:val="54"/>
          <w:position w:val="1"/>
        </w:rPr>
        <w:t> </w:t>
      </w:r>
      <w:r>
        <w:rPr>
          <w:rFonts w:ascii="Times New Roman" w:hAnsi="Times New Roman" w:eastAsia="Times New Roman"/>
          <w:position w:val="1"/>
        </w:rPr>
        <w:t>13612-2006</w:t>
      </w:r>
      <w:r>
        <w:rPr/>
        <w:t>）中的规定（</w:t>
      </w:r>
      <w:r>
        <w:rPr>
          <w:spacing w:val="-16"/>
        </w:rPr>
        <w:t>低于 </w:t>
      </w:r>
      <w:r>
        <w:rPr>
          <w:rFonts w:ascii="Times New Roman" w:hAnsi="Times New Roman" w:eastAsia="Times New Roman"/>
          <w:position w:val="1"/>
        </w:rPr>
        <w:t>20mg/m³</w:t>
      </w:r>
      <w:r>
        <w:rPr/>
        <w:t>），</w:t>
      </w:r>
      <w:r>
        <w:rPr>
          <w:spacing w:val="-7"/>
        </w:rPr>
        <w:t>锅炉尾气由对应的 </w:t>
      </w:r>
      <w:r>
        <w:rPr>
          <w:rFonts w:ascii="Times New Roman" w:hAnsi="Times New Roman" w:eastAsia="Times New Roman"/>
          <w:position w:val="1"/>
        </w:rPr>
        <w:t>8m </w:t>
      </w:r>
      <w:r>
        <w:rPr/>
        <w:t>高排气筒</w:t>
      </w:r>
    </w:p>
    <w:p>
      <w:pPr>
        <w:pStyle w:val="BodyText"/>
        <w:spacing w:line="364" w:lineRule="auto" w:before="2"/>
        <w:ind w:right="181"/>
      </w:pPr>
      <w:r>
        <w:rPr/>
        <w:t>（</w:t>
      </w:r>
      <w:r>
        <w:rPr>
          <w:rFonts w:ascii="Times New Roman" w:eastAsia="Times New Roman"/>
          <w:position w:val="1"/>
        </w:rPr>
        <w:t>DA004</w:t>
      </w:r>
      <w:r>
        <w:rPr/>
        <w:t>）排放，可以达到《锅炉大气污染物排放标准》（</w:t>
      </w:r>
      <w:r>
        <w:rPr>
          <w:rFonts w:ascii="Times New Roman" w:eastAsia="Times New Roman"/>
          <w:position w:val="1"/>
        </w:rPr>
        <w:t>GB 13271-2014</w:t>
      </w:r>
      <w:r>
        <w:rPr/>
        <w:t>）中表 </w:t>
      </w:r>
      <w:r>
        <w:rPr>
          <w:rFonts w:ascii="Times New Roman" w:eastAsia="Times New Roman"/>
          <w:position w:val="1"/>
        </w:rPr>
        <w:t>3 </w:t>
      </w:r>
      <w:r>
        <w:rPr/>
        <w:t>燃气锅炉排放限制。</w:t>
      </w:r>
    </w:p>
    <w:p>
      <w:pPr>
        <w:pStyle w:val="Heading3"/>
        <w:numPr>
          <w:ilvl w:val="0"/>
          <w:numId w:val="96"/>
        </w:numPr>
        <w:tabs>
          <w:tab w:pos="1323" w:val="left" w:leader="none"/>
        </w:tabs>
        <w:spacing w:line="240" w:lineRule="auto" w:before="1" w:after="0"/>
        <w:ind w:left="1323" w:right="0" w:hanging="604"/>
        <w:jc w:val="left"/>
      </w:pPr>
      <w:r>
        <w:rPr/>
        <w:t>食堂油烟</w:t>
      </w:r>
    </w:p>
    <w:p>
      <w:pPr>
        <w:pStyle w:val="BodyText"/>
        <w:spacing w:line="364" w:lineRule="auto" w:before="161"/>
        <w:ind w:right="249" w:firstLine="480"/>
        <w:jc w:val="both"/>
      </w:pPr>
      <w:r>
        <w:rPr/>
        <w:t>新建食堂厨房内安装油烟净化装置，净化效率不得低于 </w:t>
      </w:r>
      <w:r>
        <w:rPr>
          <w:rFonts w:ascii="Times New Roman" w:eastAsia="Times New Roman"/>
          <w:position w:val="1"/>
        </w:rPr>
        <w:t>75%</w:t>
      </w:r>
      <w:r>
        <w:rPr/>
        <w:t>（中型规模食堂最低要求）。油烟废气经油烟净化装置处理后于食堂所在建筑屋顶排放，并建立定期清洗油烟净化装置的管理制度。</w:t>
      </w:r>
    </w:p>
    <w:p>
      <w:pPr>
        <w:pStyle w:val="Heading3"/>
        <w:numPr>
          <w:ilvl w:val="2"/>
          <w:numId w:val="88"/>
        </w:numPr>
        <w:tabs>
          <w:tab w:pos="838" w:val="left" w:leader="none"/>
        </w:tabs>
        <w:spacing w:line="240" w:lineRule="auto" w:before="1" w:after="0"/>
        <w:ind w:left="837" w:right="0" w:hanging="601"/>
        <w:jc w:val="both"/>
      </w:pPr>
      <w:bookmarkStart w:name="_bookmark104" w:id="201"/>
      <w:bookmarkEnd w:id="201"/>
      <w:r>
        <w:rPr>
          <w:b w:val="0"/>
        </w:rPr>
      </w:r>
      <w:bookmarkStart w:name="_bookmark104" w:id="202"/>
      <w:bookmarkEnd w:id="202"/>
      <w:r>
        <w:rPr/>
        <w:t>固体废弃物污染防治对策</w:t>
      </w:r>
    </w:p>
    <w:p>
      <w:pPr>
        <w:spacing w:before="161"/>
        <w:ind w:left="719" w:right="0" w:firstLine="0"/>
        <w:jc w:val="left"/>
        <w:rPr>
          <w:b/>
          <w:sz w:val="24"/>
        </w:rPr>
      </w:pPr>
      <w:r>
        <w:rPr>
          <w:rFonts w:ascii="Times New Roman" w:eastAsia="Times New Roman"/>
          <w:b/>
          <w:sz w:val="24"/>
        </w:rPr>
        <w:t>1</w:t>
      </w:r>
      <w:r>
        <w:rPr>
          <w:b/>
          <w:sz w:val="24"/>
        </w:rPr>
        <w:t>、储存过程污染防治措施</w:t>
      </w:r>
    </w:p>
    <w:p>
      <w:pPr>
        <w:pStyle w:val="ListParagraph"/>
        <w:numPr>
          <w:ilvl w:val="0"/>
          <w:numId w:val="97"/>
        </w:numPr>
        <w:tabs>
          <w:tab w:pos="1323" w:val="left" w:leader="none"/>
        </w:tabs>
        <w:spacing w:line="240" w:lineRule="auto" w:before="161" w:after="0"/>
        <w:ind w:left="1323" w:right="0" w:hanging="604"/>
        <w:jc w:val="left"/>
        <w:rPr>
          <w:b/>
          <w:sz w:val="24"/>
        </w:rPr>
      </w:pPr>
      <w:r>
        <w:rPr>
          <w:b/>
          <w:sz w:val="24"/>
        </w:rPr>
        <w:t>一般固废污染防治措施</w:t>
      </w:r>
    </w:p>
    <w:p>
      <w:pPr>
        <w:pStyle w:val="BodyText"/>
        <w:spacing w:line="364" w:lineRule="auto" w:before="160"/>
        <w:ind w:right="132" w:firstLine="480"/>
      </w:pPr>
      <w:r>
        <w:rPr/>
        <w:t>本项目一般废物主要包括发酵产物（为粪便、饲料残渣、污泥、病死猪无害化处理产物等经猪粪发酵罐发酵后的产物）、一般废包装物、废脱硫剂及职工生活垃圾，可参</w:t>
      </w:r>
      <w:r>
        <w:rPr>
          <w:spacing w:val="-9"/>
        </w:rPr>
        <w:t>照《一般工业固体废弃物贮存和填埋污染控制标准》</w:t>
      </w:r>
      <w:r>
        <w:rPr/>
        <w:t>（</w:t>
      </w:r>
      <w:r>
        <w:rPr>
          <w:rFonts w:ascii="Times New Roman" w:eastAsia="Times New Roman"/>
        </w:rPr>
        <w:t>GB </w:t>
      </w:r>
      <w:r>
        <w:rPr>
          <w:rFonts w:ascii="Times New Roman" w:eastAsia="Times New Roman"/>
          <w:spacing w:val="-4"/>
        </w:rPr>
        <w:t>18599-2020</w:t>
      </w:r>
      <w:r>
        <w:rPr>
          <w:spacing w:val="-4"/>
        </w:rPr>
        <w:t>）</w:t>
      </w:r>
      <w:r>
        <w:rPr>
          <w:spacing w:val="-2"/>
        </w:rPr>
        <w:t>中有关规定要求， </w:t>
      </w:r>
      <w:r>
        <w:rPr/>
        <w:t>设置一般工业固废暂存场所，要求务必满足防风、防晒、防雨要求，地面及四周须用水泥硬化处理，并设立标识标牌，且严禁长时间堆放，须及时外运处理。</w:t>
      </w:r>
    </w:p>
    <w:p>
      <w:pPr>
        <w:spacing w:after="0" w:line="364" w:lineRule="auto"/>
        <w:sectPr>
          <w:pgSz w:w="11910" w:h="16840"/>
          <w:pgMar w:header="874" w:footer="1004" w:top="1420" w:bottom="1200" w:left="1040" w:right="1160"/>
        </w:sectPr>
      </w:pPr>
    </w:p>
    <w:p>
      <w:pPr>
        <w:pStyle w:val="Heading3"/>
        <w:numPr>
          <w:ilvl w:val="0"/>
          <w:numId w:val="97"/>
        </w:numPr>
        <w:tabs>
          <w:tab w:pos="1323" w:val="left" w:leader="none"/>
        </w:tabs>
        <w:spacing w:line="240" w:lineRule="auto" w:before="92" w:after="0"/>
        <w:ind w:left="1323" w:right="0" w:hanging="604"/>
        <w:jc w:val="left"/>
      </w:pPr>
      <w:r>
        <w:rPr/>
        <w:t>危险固废污染防治措施</w:t>
      </w:r>
    </w:p>
    <w:p>
      <w:pPr>
        <w:pStyle w:val="BodyText"/>
        <w:spacing w:line="364" w:lineRule="auto" w:before="160"/>
        <w:ind w:right="130" w:firstLine="480"/>
      </w:pPr>
      <w:r>
        <w:rPr>
          <w:spacing w:val="19"/>
        </w:rPr>
        <w:t>本项目产生的危险废物主要是危化品废包装物</w:t>
      </w:r>
      <w:r>
        <w:rPr>
          <w:rFonts w:ascii="Times New Roman" w:eastAsia="Times New Roman"/>
        </w:rPr>
        <w:t>[HW49</w:t>
      </w:r>
      <w:r>
        <w:rPr>
          <w:rFonts w:ascii="Times New Roman" w:eastAsia="Times New Roman"/>
          <w:spacing w:val="-36"/>
        </w:rPr>
        <w:t> </w:t>
      </w:r>
      <w:r>
        <w:rPr>
          <w:spacing w:val="-49"/>
        </w:rPr>
        <w:t>， </w:t>
      </w:r>
      <w:r>
        <w:rPr>
          <w:rFonts w:ascii="Times New Roman" w:eastAsia="Times New Roman"/>
        </w:rPr>
        <w:t>900-041-49]</w:t>
      </w:r>
      <w:r>
        <w:rPr>
          <w:spacing w:val="21"/>
        </w:rPr>
        <w:t>、废矿物油</w:t>
      </w:r>
      <w:r>
        <w:rPr>
          <w:rFonts w:ascii="Times New Roman" w:eastAsia="Times New Roman"/>
        </w:rPr>
        <w:t>[HW08</w:t>
      </w:r>
      <w:r>
        <w:rPr/>
        <w:t>，</w:t>
      </w:r>
      <w:r>
        <w:rPr>
          <w:rFonts w:ascii="Times New Roman" w:eastAsia="Times New Roman"/>
        </w:rPr>
        <w:t>900-249-08]</w:t>
      </w:r>
      <w:r>
        <w:rPr>
          <w:spacing w:val="3"/>
        </w:rPr>
        <w:t>和医疗废物</w:t>
      </w:r>
      <w:r>
        <w:rPr>
          <w:rFonts w:ascii="Times New Roman" w:eastAsia="Times New Roman"/>
        </w:rPr>
        <w:t>[HW01</w:t>
      </w:r>
      <w:r>
        <w:rPr/>
        <w:t>，</w:t>
      </w:r>
      <w:r>
        <w:rPr>
          <w:rFonts w:ascii="Times New Roman" w:eastAsia="Times New Roman"/>
        </w:rPr>
        <w:t>841-001-01]</w:t>
      </w:r>
      <w:r>
        <w:rPr/>
        <w:t>，企业须按照《危险废物贮存污染</w:t>
      </w:r>
      <w:r>
        <w:rPr>
          <w:spacing w:val="-14"/>
        </w:rPr>
        <w:t>控制标准</w:t>
      </w:r>
      <w:r>
        <w:rPr/>
        <w:t>（</w:t>
      </w:r>
      <w:r>
        <w:rPr>
          <w:rFonts w:ascii="Times New Roman" w:eastAsia="Times New Roman"/>
        </w:rPr>
        <w:t>GB</w:t>
      </w:r>
      <w:r>
        <w:rPr>
          <w:rFonts w:ascii="Times New Roman" w:eastAsia="Times New Roman"/>
          <w:spacing w:val="-1"/>
        </w:rPr>
        <w:t> </w:t>
      </w:r>
      <w:r>
        <w:rPr>
          <w:rFonts w:ascii="Times New Roman" w:eastAsia="Times New Roman"/>
          <w:spacing w:val="-5"/>
        </w:rPr>
        <w:t>18597-2001</w:t>
      </w:r>
      <w:r>
        <w:rPr>
          <w:spacing w:val="-5"/>
        </w:rPr>
        <w:t>）</w:t>
      </w:r>
      <w:r>
        <w:rPr>
          <w:spacing w:val="-13"/>
        </w:rPr>
        <w:t>》及其修改单的规定，设立专门的场所分类堆放各类危废</w:t>
      </w:r>
      <w:r>
        <w:rPr/>
        <w:t>（本项目危化品废包装物、废矿物油暂存于有机肥仓库中的危废暂存库内，医疗废物暂存于综合楼兽医间的医疗废物隔间内</w:t>
      </w:r>
      <w:r>
        <w:rPr>
          <w:spacing w:val="-5"/>
        </w:rPr>
        <w:t>），</w:t>
      </w:r>
      <w:r>
        <w:rPr>
          <w:spacing w:val="-4"/>
        </w:rPr>
        <w:t>贮存容器须加盖密闭，采取防雨、防漏、防渗措施， 并设立危险废物标示牌。建议按表 </w:t>
      </w:r>
      <w:r>
        <w:rPr>
          <w:rFonts w:ascii="Times New Roman" w:eastAsia="Times New Roman"/>
        </w:rPr>
        <w:t>6.2-8 </w:t>
      </w:r>
      <w:r>
        <w:rPr/>
        <w:t>设置各类危险废物的暂存场所。</w:t>
      </w:r>
    </w:p>
    <w:p>
      <w:pPr>
        <w:pStyle w:val="Heading3"/>
        <w:spacing w:before="4"/>
        <w:ind w:left="2455"/>
      </w:pPr>
      <w:r>
        <w:rPr/>
        <w:t>表 </w:t>
      </w:r>
      <w:r>
        <w:rPr>
          <w:rFonts w:ascii="Times New Roman" w:eastAsia="Times New Roman"/>
        </w:rPr>
        <w:t>6.2-8  </w:t>
      </w:r>
      <w:r>
        <w:rPr/>
        <w:t>建设项目危险废物贮存场所基本情况</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3"/>
        <w:gridCol w:w="1484"/>
        <w:gridCol w:w="1059"/>
        <w:gridCol w:w="855"/>
        <w:gridCol w:w="1199"/>
        <w:gridCol w:w="1478"/>
        <w:gridCol w:w="664"/>
        <w:gridCol w:w="645"/>
        <w:gridCol w:w="770"/>
        <w:gridCol w:w="645"/>
      </w:tblGrid>
      <w:tr>
        <w:trPr>
          <w:trHeight w:val="716" w:hRule="atLeast"/>
        </w:trPr>
        <w:tc>
          <w:tcPr>
            <w:tcW w:w="643" w:type="dxa"/>
            <w:tcBorders>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99" w:right="78"/>
              <w:rPr>
                <w:rFonts w:ascii="宋体" w:eastAsia="宋体" w:hint="eastAsia"/>
                <w:b/>
                <w:sz w:val="20"/>
              </w:rPr>
            </w:pPr>
            <w:r>
              <w:rPr>
                <w:rFonts w:ascii="宋体" w:eastAsia="宋体" w:hint="eastAsia"/>
                <w:b/>
                <w:sz w:val="20"/>
              </w:rPr>
              <w:t>序号</w:t>
            </w:r>
          </w:p>
        </w:tc>
        <w:tc>
          <w:tcPr>
            <w:tcW w:w="1484" w:type="dxa"/>
            <w:tcBorders>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46"/>
              <w:jc w:val="left"/>
              <w:rPr>
                <w:rFonts w:ascii="宋体" w:eastAsia="宋体" w:hint="eastAsia"/>
                <w:b/>
                <w:sz w:val="20"/>
              </w:rPr>
            </w:pPr>
            <w:r>
              <w:rPr>
                <w:rFonts w:ascii="宋体" w:eastAsia="宋体" w:hint="eastAsia"/>
                <w:b/>
                <w:sz w:val="20"/>
              </w:rPr>
              <w:t>贮存场所名称</w:t>
            </w:r>
          </w:p>
        </w:tc>
        <w:tc>
          <w:tcPr>
            <w:tcW w:w="1059" w:type="dxa"/>
            <w:tcBorders>
              <w:left w:val="single" w:sz="6" w:space="0" w:color="000000"/>
              <w:bottom w:val="single" w:sz="6" w:space="0" w:color="000000"/>
              <w:right w:val="single" w:sz="6" w:space="0" w:color="000000"/>
            </w:tcBorders>
          </w:tcPr>
          <w:p>
            <w:pPr>
              <w:pStyle w:val="TableParagraph"/>
              <w:spacing w:before="51"/>
              <w:ind w:left="234"/>
              <w:jc w:val="left"/>
              <w:rPr>
                <w:rFonts w:ascii="宋体" w:eastAsia="宋体" w:hint="eastAsia"/>
                <w:b/>
                <w:sz w:val="20"/>
              </w:rPr>
            </w:pPr>
            <w:r>
              <w:rPr>
                <w:rFonts w:ascii="宋体" w:eastAsia="宋体" w:hint="eastAsia"/>
                <w:b/>
                <w:sz w:val="20"/>
              </w:rPr>
              <w:t>危险废</w:t>
            </w:r>
          </w:p>
          <w:p>
            <w:pPr>
              <w:pStyle w:val="TableParagraph"/>
              <w:spacing w:before="104"/>
              <w:ind w:left="234"/>
              <w:jc w:val="left"/>
              <w:rPr>
                <w:rFonts w:ascii="宋体" w:eastAsia="宋体" w:hint="eastAsia"/>
                <w:b/>
                <w:sz w:val="20"/>
              </w:rPr>
            </w:pPr>
            <w:r>
              <w:rPr>
                <w:rFonts w:ascii="宋体" w:eastAsia="宋体" w:hint="eastAsia"/>
                <w:b/>
                <w:sz w:val="20"/>
              </w:rPr>
              <w:t>物名称</w:t>
            </w:r>
          </w:p>
        </w:tc>
        <w:tc>
          <w:tcPr>
            <w:tcW w:w="855" w:type="dxa"/>
            <w:tcBorders>
              <w:left w:val="single" w:sz="6" w:space="0" w:color="000000"/>
              <w:bottom w:val="single" w:sz="6" w:space="0" w:color="000000"/>
              <w:right w:val="single" w:sz="6" w:space="0" w:color="000000"/>
            </w:tcBorders>
          </w:tcPr>
          <w:p>
            <w:pPr>
              <w:pStyle w:val="TableParagraph"/>
              <w:spacing w:before="51"/>
              <w:ind w:left="131"/>
              <w:jc w:val="left"/>
              <w:rPr>
                <w:rFonts w:ascii="宋体" w:eastAsia="宋体" w:hint="eastAsia"/>
                <w:b/>
                <w:sz w:val="20"/>
              </w:rPr>
            </w:pPr>
            <w:r>
              <w:rPr>
                <w:rFonts w:ascii="宋体" w:eastAsia="宋体" w:hint="eastAsia"/>
                <w:b/>
                <w:sz w:val="20"/>
              </w:rPr>
              <w:t>危险废</w:t>
            </w:r>
          </w:p>
          <w:p>
            <w:pPr>
              <w:pStyle w:val="TableParagraph"/>
              <w:spacing w:before="104"/>
              <w:ind w:left="131"/>
              <w:jc w:val="left"/>
              <w:rPr>
                <w:rFonts w:ascii="宋体" w:eastAsia="宋体" w:hint="eastAsia"/>
                <w:b/>
                <w:sz w:val="20"/>
              </w:rPr>
            </w:pPr>
            <w:r>
              <w:rPr>
                <w:rFonts w:ascii="宋体" w:eastAsia="宋体" w:hint="eastAsia"/>
                <w:b/>
                <w:sz w:val="20"/>
              </w:rPr>
              <w:t>物类别</w:t>
            </w:r>
          </w:p>
        </w:tc>
        <w:tc>
          <w:tcPr>
            <w:tcW w:w="1199" w:type="dxa"/>
            <w:tcBorders>
              <w:left w:val="single" w:sz="6" w:space="0" w:color="000000"/>
              <w:bottom w:val="single" w:sz="6" w:space="0" w:color="000000"/>
              <w:right w:val="single" w:sz="6" w:space="0" w:color="000000"/>
            </w:tcBorders>
          </w:tcPr>
          <w:p>
            <w:pPr>
              <w:pStyle w:val="TableParagraph"/>
              <w:spacing w:before="51"/>
              <w:ind w:left="301"/>
              <w:jc w:val="left"/>
              <w:rPr>
                <w:rFonts w:ascii="宋体" w:eastAsia="宋体" w:hint="eastAsia"/>
                <w:b/>
                <w:sz w:val="20"/>
              </w:rPr>
            </w:pPr>
            <w:r>
              <w:rPr>
                <w:rFonts w:ascii="宋体" w:eastAsia="宋体" w:hint="eastAsia"/>
                <w:b/>
                <w:sz w:val="20"/>
              </w:rPr>
              <w:t>危险废</w:t>
            </w:r>
          </w:p>
          <w:p>
            <w:pPr>
              <w:pStyle w:val="TableParagraph"/>
              <w:spacing w:before="104"/>
              <w:ind w:left="301"/>
              <w:jc w:val="left"/>
              <w:rPr>
                <w:rFonts w:ascii="宋体" w:eastAsia="宋体" w:hint="eastAsia"/>
                <w:b/>
                <w:sz w:val="20"/>
              </w:rPr>
            </w:pPr>
            <w:r>
              <w:rPr>
                <w:rFonts w:ascii="宋体" w:eastAsia="宋体" w:hint="eastAsia"/>
                <w:b/>
                <w:sz w:val="20"/>
              </w:rPr>
              <w:t>物代码</w:t>
            </w:r>
          </w:p>
        </w:tc>
        <w:tc>
          <w:tcPr>
            <w:tcW w:w="1478" w:type="dxa"/>
            <w:tcBorders>
              <w:left w:val="single" w:sz="6" w:space="0" w:color="000000"/>
              <w:bottom w:val="single" w:sz="6" w:space="0" w:color="000000"/>
              <w:right w:val="single" w:sz="6" w:space="0" w:color="000000"/>
            </w:tcBorders>
          </w:tcPr>
          <w:p>
            <w:pPr>
              <w:pStyle w:val="TableParagraph"/>
              <w:spacing w:before="0"/>
              <w:jc w:val="left"/>
              <w:rPr>
                <w:rFonts w:ascii="宋体"/>
                <w:b/>
                <w:sz w:val="18"/>
              </w:rPr>
            </w:pPr>
          </w:p>
          <w:p>
            <w:pPr>
              <w:pStyle w:val="TableParagraph"/>
              <w:spacing w:before="0"/>
              <w:ind w:left="120" w:right="96"/>
              <w:rPr>
                <w:rFonts w:ascii="宋体" w:eastAsia="宋体" w:hint="eastAsia"/>
                <w:b/>
                <w:sz w:val="20"/>
              </w:rPr>
            </w:pPr>
            <w:r>
              <w:rPr>
                <w:rFonts w:ascii="宋体" w:eastAsia="宋体" w:hint="eastAsia"/>
                <w:b/>
                <w:sz w:val="20"/>
              </w:rPr>
              <w:t>位置</w:t>
            </w:r>
          </w:p>
        </w:tc>
        <w:tc>
          <w:tcPr>
            <w:tcW w:w="664" w:type="dxa"/>
            <w:tcBorders>
              <w:left w:val="single" w:sz="6" w:space="0" w:color="000000"/>
              <w:bottom w:val="single" w:sz="6" w:space="0" w:color="000000"/>
              <w:right w:val="single" w:sz="6" w:space="0" w:color="000000"/>
            </w:tcBorders>
          </w:tcPr>
          <w:p>
            <w:pPr>
              <w:pStyle w:val="TableParagraph"/>
              <w:spacing w:before="51"/>
              <w:ind w:left="132"/>
              <w:jc w:val="left"/>
              <w:rPr>
                <w:rFonts w:ascii="宋体" w:eastAsia="宋体" w:hint="eastAsia"/>
                <w:b/>
                <w:sz w:val="20"/>
              </w:rPr>
            </w:pPr>
            <w:r>
              <w:rPr>
                <w:rFonts w:ascii="宋体" w:eastAsia="宋体" w:hint="eastAsia"/>
                <w:b/>
                <w:sz w:val="20"/>
              </w:rPr>
              <w:t>占地</w:t>
            </w:r>
          </w:p>
          <w:p>
            <w:pPr>
              <w:pStyle w:val="TableParagraph"/>
              <w:spacing w:before="104"/>
              <w:ind w:left="132"/>
              <w:jc w:val="left"/>
              <w:rPr>
                <w:rFonts w:ascii="宋体" w:eastAsia="宋体" w:hint="eastAsia"/>
                <w:b/>
                <w:sz w:val="20"/>
              </w:rPr>
            </w:pPr>
            <w:r>
              <w:rPr>
                <w:rFonts w:ascii="宋体" w:eastAsia="宋体" w:hint="eastAsia"/>
                <w:b/>
                <w:sz w:val="20"/>
              </w:rPr>
              <w:t>面积</w:t>
            </w:r>
          </w:p>
        </w:tc>
        <w:tc>
          <w:tcPr>
            <w:tcW w:w="645" w:type="dxa"/>
            <w:tcBorders>
              <w:left w:val="single" w:sz="6" w:space="0" w:color="000000"/>
              <w:bottom w:val="single" w:sz="6" w:space="0" w:color="000000"/>
              <w:right w:val="single" w:sz="6" w:space="0" w:color="000000"/>
            </w:tcBorders>
          </w:tcPr>
          <w:p>
            <w:pPr>
              <w:pStyle w:val="TableParagraph"/>
              <w:spacing w:before="51"/>
              <w:ind w:left="121"/>
              <w:jc w:val="left"/>
              <w:rPr>
                <w:rFonts w:ascii="宋体" w:eastAsia="宋体" w:hint="eastAsia"/>
                <w:b/>
                <w:sz w:val="20"/>
              </w:rPr>
            </w:pPr>
            <w:r>
              <w:rPr>
                <w:rFonts w:ascii="宋体" w:eastAsia="宋体" w:hint="eastAsia"/>
                <w:b/>
                <w:sz w:val="20"/>
              </w:rPr>
              <w:t>贮存</w:t>
            </w:r>
          </w:p>
          <w:p>
            <w:pPr>
              <w:pStyle w:val="TableParagraph"/>
              <w:spacing w:before="104"/>
              <w:ind w:left="121"/>
              <w:jc w:val="left"/>
              <w:rPr>
                <w:rFonts w:ascii="宋体" w:eastAsia="宋体" w:hint="eastAsia"/>
                <w:b/>
                <w:sz w:val="20"/>
              </w:rPr>
            </w:pPr>
            <w:r>
              <w:rPr>
                <w:rFonts w:ascii="宋体" w:eastAsia="宋体" w:hint="eastAsia"/>
                <w:b/>
                <w:sz w:val="20"/>
              </w:rPr>
              <w:t>方式</w:t>
            </w:r>
          </w:p>
        </w:tc>
        <w:tc>
          <w:tcPr>
            <w:tcW w:w="770" w:type="dxa"/>
            <w:tcBorders>
              <w:left w:val="single" w:sz="6" w:space="0" w:color="000000"/>
              <w:bottom w:val="single" w:sz="6" w:space="0" w:color="000000"/>
              <w:right w:val="single" w:sz="6" w:space="0" w:color="000000"/>
            </w:tcBorders>
          </w:tcPr>
          <w:p>
            <w:pPr>
              <w:pStyle w:val="TableParagraph"/>
              <w:spacing w:before="51"/>
              <w:ind w:left="182"/>
              <w:jc w:val="left"/>
              <w:rPr>
                <w:rFonts w:ascii="宋体" w:eastAsia="宋体" w:hint="eastAsia"/>
                <w:b/>
                <w:sz w:val="20"/>
              </w:rPr>
            </w:pPr>
            <w:r>
              <w:rPr>
                <w:rFonts w:ascii="宋体" w:eastAsia="宋体" w:hint="eastAsia"/>
                <w:b/>
                <w:sz w:val="20"/>
              </w:rPr>
              <w:t>贮存</w:t>
            </w:r>
          </w:p>
          <w:p>
            <w:pPr>
              <w:pStyle w:val="TableParagraph"/>
              <w:spacing w:before="104"/>
              <w:ind w:left="182"/>
              <w:jc w:val="left"/>
              <w:rPr>
                <w:rFonts w:ascii="宋体" w:eastAsia="宋体" w:hint="eastAsia"/>
                <w:b/>
                <w:sz w:val="20"/>
              </w:rPr>
            </w:pPr>
            <w:r>
              <w:rPr>
                <w:rFonts w:ascii="宋体" w:eastAsia="宋体" w:hint="eastAsia"/>
                <w:b/>
                <w:sz w:val="20"/>
              </w:rPr>
              <w:t>能力</w:t>
            </w:r>
          </w:p>
        </w:tc>
        <w:tc>
          <w:tcPr>
            <w:tcW w:w="645" w:type="dxa"/>
            <w:tcBorders>
              <w:left w:val="single" w:sz="6" w:space="0" w:color="000000"/>
              <w:bottom w:val="single" w:sz="6" w:space="0" w:color="000000"/>
            </w:tcBorders>
          </w:tcPr>
          <w:p>
            <w:pPr>
              <w:pStyle w:val="TableParagraph"/>
              <w:spacing w:before="51"/>
              <w:ind w:left="118"/>
              <w:jc w:val="left"/>
              <w:rPr>
                <w:rFonts w:ascii="宋体" w:eastAsia="宋体" w:hint="eastAsia"/>
                <w:b/>
                <w:sz w:val="20"/>
              </w:rPr>
            </w:pPr>
            <w:r>
              <w:rPr>
                <w:rFonts w:ascii="宋体" w:eastAsia="宋体" w:hint="eastAsia"/>
                <w:b/>
                <w:sz w:val="20"/>
              </w:rPr>
              <w:t>贮存</w:t>
            </w:r>
          </w:p>
          <w:p>
            <w:pPr>
              <w:pStyle w:val="TableParagraph"/>
              <w:spacing w:before="104"/>
              <w:ind w:left="118"/>
              <w:jc w:val="left"/>
              <w:rPr>
                <w:rFonts w:ascii="宋体" w:eastAsia="宋体" w:hint="eastAsia"/>
                <w:b/>
                <w:sz w:val="20"/>
              </w:rPr>
            </w:pPr>
            <w:r>
              <w:rPr>
                <w:rFonts w:ascii="宋体" w:eastAsia="宋体" w:hint="eastAsia"/>
                <w:b/>
                <w:sz w:val="20"/>
              </w:rPr>
              <w:t>周期</w:t>
            </w:r>
          </w:p>
        </w:tc>
      </w:tr>
      <w:tr>
        <w:trPr>
          <w:trHeight w:val="719" w:hRule="atLeast"/>
        </w:trPr>
        <w:tc>
          <w:tcPr>
            <w:tcW w:w="643"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2"/>
              </w:rPr>
            </w:pPr>
          </w:p>
          <w:p>
            <w:pPr>
              <w:pStyle w:val="TableParagraph"/>
              <w:spacing w:before="148"/>
              <w:ind w:left="20"/>
              <w:rPr>
                <w:sz w:val="20"/>
              </w:rPr>
            </w:pPr>
            <w:r>
              <w:rPr>
                <w:w w:val="99"/>
                <w:sz w:val="20"/>
              </w:rPr>
              <w:t>1</w:t>
            </w:r>
          </w:p>
        </w:tc>
        <w:tc>
          <w:tcPr>
            <w:tcW w:w="148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62"/>
              <w:ind w:left="247"/>
              <w:jc w:val="left"/>
              <w:rPr>
                <w:rFonts w:ascii="宋体" w:eastAsia="宋体" w:hint="eastAsia"/>
                <w:sz w:val="20"/>
              </w:rPr>
            </w:pPr>
            <w:r>
              <w:rPr>
                <w:rFonts w:ascii="宋体" w:eastAsia="宋体" w:hint="eastAsia"/>
                <w:sz w:val="20"/>
              </w:rPr>
              <w:t>危废暂存库</w:t>
            </w:r>
          </w:p>
        </w:tc>
        <w:tc>
          <w:tcPr>
            <w:tcW w:w="1059" w:type="dxa"/>
            <w:tcBorders>
              <w:top w:val="single" w:sz="6" w:space="0" w:color="000000"/>
              <w:left w:val="single" w:sz="6" w:space="0" w:color="000000"/>
              <w:bottom w:val="single" w:sz="6" w:space="0" w:color="000000"/>
              <w:right w:val="single" w:sz="6" w:space="0" w:color="000000"/>
            </w:tcBorders>
          </w:tcPr>
          <w:p>
            <w:pPr>
              <w:pStyle w:val="TableParagraph"/>
              <w:spacing w:before="54"/>
              <w:ind w:left="136"/>
              <w:jc w:val="left"/>
              <w:rPr>
                <w:rFonts w:ascii="宋体" w:eastAsia="宋体" w:hint="eastAsia"/>
                <w:sz w:val="20"/>
              </w:rPr>
            </w:pPr>
            <w:r>
              <w:rPr>
                <w:rFonts w:ascii="宋体" w:eastAsia="宋体" w:hint="eastAsia"/>
                <w:sz w:val="20"/>
              </w:rPr>
              <w:t>危化品废</w:t>
            </w:r>
          </w:p>
          <w:p>
            <w:pPr>
              <w:pStyle w:val="TableParagraph"/>
              <w:spacing w:before="101"/>
              <w:ind w:left="234"/>
              <w:jc w:val="left"/>
              <w:rPr>
                <w:rFonts w:ascii="宋体" w:eastAsia="宋体" w:hint="eastAsia"/>
                <w:sz w:val="20"/>
              </w:rPr>
            </w:pPr>
            <w:r>
              <w:rPr>
                <w:rFonts w:ascii="宋体" w:eastAsia="宋体" w:hint="eastAsia"/>
                <w:sz w:val="20"/>
              </w:rPr>
              <w:t>包装物</w:t>
            </w:r>
          </w:p>
        </w:tc>
        <w:tc>
          <w:tcPr>
            <w:tcW w:w="855"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8"/>
              </w:rPr>
            </w:pPr>
          </w:p>
          <w:p>
            <w:pPr>
              <w:pStyle w:val="TableParagraph"/>
              <w:spacing w:before="1"/>
              <w:ind w:left="143" w:right="123"/>
              <w:rPr>
                <w:sz w:val="20"/>
              </w:rPr>
            </w:pPr>
            <w:r>
              <w:rPr>
                <w:sz w:val="20"/>
              </w:rPr>
              <w:t>HW49</w:t>
            </w:r>
          </w:p>
        </w:tc>
        <w:tc>
          <w:tcPr>
            <w:tcW w:w="1199"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8"/>
              </w:rPr>
            </w:pPr>
          </w:p>
          <w:p>
            <w:pPr>
              <w:pStyle w:val="TableParagraph"/>
              <w:spacing w:before="1"/>
              <w:ind w:left="116" w:right="94"/>
              <w:rPr>
                <w:sz w:val="20"/>
              </w:rPr>
            </w:pPr>
            <w:r>
              <w:rPr>
                <w:sz w:val="20"/>
              </w:rPr>
              <w:t>900-041-49</w:t>
            </w:r>
          </w:p>
        </w:tc>
        <w:tc>
          <w:tcPr>
            <w:tcW w:w="147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62"/>
              <w:ind w:left="141"/>
              <w:jc w:val="left"/>
              <w:rPr>
                <w:rFonts w:ascii="宋体" w:eastAsia="宋体" w:hint="eastAsia"/>
                <w:sz w:val="20"/>
              </w:rPr>
            </w:pPr>
            <w:r>
              <w:rPr>
                <w:rFonts w:ascii="宋体" w:eastAsia="宋体" w:hint="eastAsia"/>
                <w:sz w:val="20"/>
              </w:rPr>
              <w:t>有机肥仓库内</w:t>
            </w:r>
          </w:p>
        </w:tc>
        <w:tc>
          <w:tcPr>
            <w:tcW w:w="66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2"/>
              </w:rPr>
            </w:pPr>
          </w:p>
          <w:p>
            <w:pPr>
              <w:pStyle w:val="TableParagraph"/>
              <w:spacing w:before="143"/>
              <w:ind w:left="171"/>
              <w:jc w:val="left"/>
              <w:rPr>
                <w:sz w:val="13"/>
              </w:rPr>
            </w:pPr>
            <w:r>
              <w:rPr>
                <w:sz w:val="20"/>
              </w:rPr>
              <w:t>8m</w:t>
            </w:r>
            <w:r>
              <w:rPr>
                <w:position w:val="7"/>
                <w:sz w:val="13"/>
              </w:rPr>
              <w:t>2</w:t>
            </w: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8"/>
              </w:rPr>
            </w:pPr>
          </w:p>
          <w:p>
            <w:pPr>
              <w:pStyle w:val="TableParagraph"/>
              <w:spacing w:before="0"/>
              <w:ind w:left="121"/>
              <w:jc w:val="left"/>
              <w:rPr>
                <w:rFonts w:ascii="宋体" w:eastAsia="宋体" w:hint="eastAsia"/>
                <w:sz w:val="20"/>
              </w:rPr>
            </w:pPr>
            <w:r>
              <w:rPr>
                <w:rFonts w:ascii="宋体" w:eastAsia="宋体" w:hint="eastAsia"/>
                <w:sz w:val="20"/>
              </w:rPr>
              <w:t>堆置</w:t>
            </w:r>
          </w:p>
        </w:tc>
        <w:tc>
          <w:tcPr>
            <w:tcW w:w="770"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8"/>
              </w:rPr>
            </w:pPr>
          </w:p>
          <w:p>
            <w:pPr>
              <w:pStyle w:val="TableParagraph"/>
              <w:spacing w:before="1"/>
              <w:ind w:right="291"/>
              <w:jc w:val="right"/>
              <w:rPr>
                <w:sz w:val="20"/>
              </w:rPr>
            </w:pPr>
            <w:r>
              <w:rPr>
                <w:sz w:val="20"/>
              </w:rPr>
              <w:t>3t</w:t>
            </w:r>
          </w:p>
        </w:tc>
        <w:tc>
          <w:tcPr>
            <w:tcW w:w="645" w:type="dxa"/>
            <w:tcBorders>
              <w:top w:val="single" w:sz="6" w:space="0" w:color="000000"/>
              <w:left w:val="single" w:sz="6" w:space="0" w:color="000000"/>
              <w:bottom w:val="single" w:sz="6" w:space="0" w:color="000000"/>
            </w:tcBorders>
          </w:tcPr>
          <w:p>
            <w:pPr>
              <w:pStyle w:val="TableParagraph"/>
              <w:spacing w:before="1"/>
              <w:jc w:val="left"/>
              <w:rPr>
                <w:rFonts w:ascii="宋体"/>
                <w:b/>
                <w:sz w:val="18"/>
              </w:rPr>
            </w:pPr>
          </w:p>
          <w:p>
            <w:pPr>
              <w:pStyle w:val="TableParagraph"/>
              <w:spacing w:before="0"/>
              <w:ind w:left="124" w:right="107"/>
              <w:rPr>
                <w:rFonts w:ascii="宋体" w:eastAsia="宋体" w:hint="eastAsia"/>
                <w:sz w:val="20"/>
              </w:rPr>
            </w:pPr>
            <w:r>
              <w:rPr>
                <w:position w:val="1"/>
                <w:sz w:val="20"/>
              </w:rPr>
              <w:t>1 </w:t>
            </w:r>
            <w:r>
              <w:rPr>
                <w:rFonts w:ascii="宋体" w:eastAsia="宋体" w:hint="eastAsia"/>
                <w:sz w:val="20"/>
              </w:rPr>
              <w:t>年</w:t>
            </w:r>
          </w:p>
        </w:tc>
      </w:tr>
      <w:tr>
        <w:trPr>
          <w:trHeight w:val="357" w:hRule="atLeast"/>
        </w:trPr>
        <w:tc>
          <w:tcPr>
            <w:tcW w:w="643" w:type="dxa"/>
            <w:vMerge/>
            <w:tcBorders>
              <w:top w:val="nil"/>
              <w:bottom w:val="single" w:sz="6" w:space="0" w:color="000000"/>
              <w:right w:val="single" w:sz="6" w:space="0" w:color="000000"/>
            </w:tcBorders>
          </w:tcPr>
          <w:p>
            <w:pPr>
              <w:rPr>
                <w:sz w:val="2"/>
                <w:szCs w:val="2"/>
              </w:rPr>
            </w:pPr>
          </w:p>
        </w:tc>
        <w:tc>
          <w:tcPr>
            <w:tcW w:w="1484" w:type="dxa"/>
            <w:vMerge/>
            <w:tcBorders>
              <w:top w:val="nil"/>
              <w:left w:val="single" w:sz="6" w:space="0" w:color="000000"/>
              <w:bottom w:val="single" w:sz="6" w:space="0" w:color="000000"/>
              <w:right w:val="single" w:sz="6" w:space="0" w:color="000000"/>
            </w:tcBorders>
          </w:tcPr>
          <w:p>
            <w:pPr>
              <w:rPr>
                <w:sz w:val="2"/>
                <w:szCs w:val="2"/>
              </w:rPr>
            </w:pPr>
          </w:p>
        </w:tc>
        <w:tc>
          <w:tcPr>
            <w:tcW w:w="1059" w:type="dxa"/>
            <w:tcBorders>
              <w:top w:val="single" w:sz="6" w:space="0" w:color="000000"/>
              <w:left w:val="single" w:sz="6" w:space="0" w:color="000000"/>
              <w:bottom w:val="single" w:sz="6" w:space="0" w:color="000000"/>
              <w:right w:val="single" w:sz="6" w:space="0" w:color="000000"/>
            </w:tcBorders>
          </w:tcPr>
          <w:p>
            <w:pPr>
              <w:pStyle w:val="TableParagraph"/>
              <w:spacing w:before="51"/>
              <w:ind w:right="108"/>
              <w:jc w:val="right"/>
              <w:rPr>
                <w:rFonts w:ascii="宋体" w:eastAsia="宋体" w:hint="eastAsia"/>
                <w:sz w:val="20"/>
              </w:rPr>
            </w:pPr>
            <w:r>
              <w:rPr>
                <w:rFonts w:ascii="宋体" w:eastAsia="宋体" w:hint="eastAsia"/>
                <w:w w:val="95"/>
                <w:sz w:val="20"/>
              </w:rPr>
              <w:t>废矿物油</w:t>
            </w:r>
          </w:p>
        </w:tc>
        <w:tc>
          <w:tcPr>
            <w:tcW w:w="855" w:type="dxa"/>
            <w:tcBorders>
              <w:top w:val="single" w:sz="6" w:space="0" w:color="000000"/>
              <w:left w:val="single" w:sz="6" w:space="0" w:color="000000"/>
              <w:bottom w:val="single" w:sz="6" w:space="0" w:color="000000"/>
              <w:right w:val="single" w:sz="6" w:space="0" w:color="000000"/>
            </w:tcBorders>
          </w:tcPr>
          <w:p>
            <w:pPr>
              <w:pStyle w:val="TableParagraph"/>
              <w:spacing w:before="62"/>
              <w:ind w:left="143" w:right="123"/>
              <w:rPr>
                <w:sz w:val="20"/>
              </w:rPr>
            </w:pPr>
            <w:r>
              <w:rPr>
                <w:sz w:val="20"/>
              </w:rPr>
              <w:t>HW08</w:t>
            </w:r>
          </w:p>
        </w:tc>
        <w:tc>
          <w:tcPr>
            <w:tcW w:w="1199" w:type="dxa"/>
            <w:tcBorders>
              <w:top w:val="single" w:sz="6" w:space="0" w:color="000000"/>
              <w:left w:val="single" w:sz="6" w:space="0" w:color="000000"/>
              <w:bottom w:val="single" w:sz="6" w:space="0" w:color="000000"/>
              <w:right w:val="single" w:sz="6" w:space="0" w:color="000000"/>
            </w:tcBorders>
          </w:tcPr>
          <w:p>
            <w:pPr>
              <w:pStyle w:val="TableParagraph"/>
              <w:spacing w:before="62"/>
              <w:ind w:left="116" w:right="94"/>
              <w:rPr>
                <w:sz w:val="20"/>
              </w:rPr>
            </w:pPr>
            <w:r>
              <w:rPr>
                <w:sz w:val="20"/>
              </w:rPr>
              <w:t>900-249-08</w:t>
            </w:r>
          </w:p>
        </w:tc>
        <w:tc>
          <w:tcPr>
            <w:tcW w:w="1478" w:type="dxa"/>
            <w:vMerge/>
            <w:tcBorders>
              <w:top w:val="nil"/>
              <w:left w:val="single" w:sz="6" w:space="0" w:color="000000"/>
              <w:bottom w:val="single" w:sz="6" w:space="0" w:color="000000"/>
              <w:right w:val="single" w:sz="6" w:space="0" w:color="000000"/>
            </w:tcBorders>
          </w:tcPr>
          <w:p>
            <w:pPr>
              <w:rPr>
                <w:sz w:val="2"/>
                <w:szCs w:val="2"/>
              </w:rPr>
            </w:pPr>
          </w:p>
        </w:tc>
        <w:tc>
          <w:tcPr>
            <w:tcW w:w="664" w:type="dxa"/>
            <w:vMerge/>
            <w:tcBorders>
              <w:top w:val="nil"/>
              <w:left w:val="single" w:sz="6" w:space="0" w:color="000000"/>
              <w:bottom w:val="single" w:sz="6" w:space="0" w:color="000000"/>
              <w:right w:val="single" w:sz="6" w:space="0" w:color="000000"/>
            </w:tcBorders>
          </w:tcPr>
          <w:p>
            <w:pPr>
              <w:rPr>
                <w:sz w:val="2"/>
                <w:szCs w:val="2"/>
              </w:rPr>
            </w:pPr>
          </w:p>
        </w:tc>
        <w:tc>
          <w:tcPr>
            <w:tcW w:w="645" w:type="dxa"/>
            <w:tcBorders>
              <w:top w:val="single" w:sz="6" w:space="0" w:color="000000"/>
              <w:left w:val="single" w:sz="6" w:space="0" w:color="000000"/>
              <w:bottom w:val="single" w:sz="6" w:space="0" w:color="000000"/>
              <w:right w:val="single" w:sz="6" w:space="0" w:color="000000"/>
            </w:tcBorders>
          </w:tcPr>
          <w:p>
            <w:pPr>
              <w:pStyle w:val="TableParagraph"/>
              <w:spacing w:before="51"/>
              <w:ind w:left="121"/>
              <w:jc w:val="left"/>
              <w:rPr>
                <w:rFonts w:ascii="宋体" w:eastAsia="宋体" w:hint="eastAsia"/>
                <w:sz w:val="20"/>
              </w:rPr>
            </w:pPr>
            <w:r>
              <w:rPr>
                <w:rFonts w:ascii="宋体" w:eastAsia="宋体" w:hint="eastAsia"/>
                <w:sz w:val="20"/>
              </w:rPr>
              <w:t>桶装</w:t>
            </w:r>
          </w:p>
        </w:tc>
        <w:tc>
          <w:tcPr>
            <w:tcW w:w="770" w:type="dxa"/>
            <w:tcBorders>
              <w:top w:val="single" w:sz="6" w:space="0" w:color="000000"/>
              <w:left w:val="single" w:sz="6" w:space="0" w:color="000000"/>
              <w:bottom w:val="single" w:sz="6" w:space="0" w:color="000000"/>
              <w:right w:val="single" w:sz="6" w:space="0" w:color="000000"/>
            </w:tcBorders>
          </w:tcPr>
          <w:p>
            <w:pPr>
              <w:pStyle w:val="TableParagraph"/>
              <w:spacing w:before="62"/>
              <w:ind w:right="291"/>
              <w:jc w:val="right"/>
              <w:rPr>
                <w:sz w:val="20"/>
              </w:rPr>
            </w:pPr>
            <w:r>
              <w:rPr>
                <w:sz w:val="20"/>
              </w:rPr>
              <w:t>1t</w:t>
            </w:r>
          </w:p>
        </w:tc>
        <w:tc>
          <w:tcPr>
            <w:tcW w:w="645" w:type="dxa"/>
            <w:tcBorders>
              <w:top w:val="single" w:sz="6" w:space="0" w:color="000000"/>
              <w:left w:val="single" w:sz="6" w:space="0" w:color="000000"/>
              <w:bottom w:val="single" w:sz="6" w:space="0" w:color="000000"/>
            </w:tcBorders>
          </w:tcPr>
          <w:p>
            <w:pPr>
              <w:pStyle w:val="TableParagraph"/>
              <w:spacing w:before="51"/>
              <w:ind w:left="124" w:right="107"/>
              <w:rPr>
                <w:rFonts w:ascii="宋体" w:eastAsia="宋体" w:hint="eastAsia"/>
                <w:sz w:val="20"/>
              </w:rPr>
            </w:pPr>
            <w:r>
              <w:rPr>
                <w:position w:val="1"/>
                <w:sz w:val="20"/>
              </w:rPr>
              <w:t>1 </w:t>
            </w:r>
            <w:r>
              <w:rPr>
                <w:rFonts w:ascii="宋体" w:eastAsia="宋体" w:hint="eastAsia"/>
                <w:sz w:val="20"/>
              </w:rPr>
              <w:t>年</w:t>
            </w:r>
          </w:p>
        </w:tc>
      </w:tr>
      <w:tr>
        <w:trPr>
          <w:trHeight w:val="359" w:hRule="atLeast"/>
        </w:trPr>
        <w:tc>
          <w:tcPr>
            <w:tcW w:w="643" w:type="dxa"/>
            <w:tcBorders>
              <w:top w:val="single" w:sz="6" w:space="0" w:color="000000"/>
              <w:right w:val="single" w:sz="6" w:space="0" w:color="000000"/>
            </w:tcBorders>
          </w:tcPr>
          <w:p>
            <w:pPr>
              <w:pStyle w:val="TableParagraph"/>
              <w:spacing w:before="65"/>
              <w:ind w:left="20"/>
              <w:rPr>
                <w:sz w:val="20"/>
              </w:rPr>
            </w:pPr>
            <w:r>
              <w:rPr>
                <w:w w:val="99"/>
                <w:sz w:val="20"/>
              </w:rPr>
              <w:t>2</w:t>
            </w:r>
          </w:p>
        </w:tc>
        <w:tc>
          <w:tcPr>
            <w:tcW w:w="1484" w:type="dxa"/>
            <w:tcBorders>
              <w:top w:val="single" w:sz="6" w:space="0" w:color="000000"/>
              <w:left w:val="single" w:sz="6" w:space="0" w:color="000000"/>
              <w:right w:val="single" w:sz="6" w:space="0" w:color="000000"/>
            </w:tcBorders>
          </w:tcPr>
          <w:p>
            <w:pPr>
              <w:pStyle w:val="TableParagraph"/>
              <w:spacing w:before="54"/>
              <w:ind w:left="148"/>
              <w:jc w:val="left"/>
              <w:rPr>
                <w:rFonts w:ascii="宋体" w:eastAsia="宋体" w:hint="eastAsia"/>
                <w:sz w:val="20"/>
              </w:rPr>
            </w:pPr>
            <w:r>
              <w:rPr>
                <w:rFonts w:ascii="宋体" w:eastAsia="宋体" w:hint="eastAsia"/>
                <w:sz w:val="20"/>
              </w:rPr>
              <w:t>医疗废物隔间</w:t>
            </w:r>
          </w:p>
        </w:tc>
        <w:tc>
          <w:tcPr>
            <w:tcW w:w="1059" w:type="dxa"/>
            <w:tcBorders>
              <w:top w:val="single" w:sz="6" w:space="0" w:color="000000"/>
              <w:left w:val="single" w:sz="6" w:space="0" w:color="000000"/>
              <w:right w:val="single" w:sz="6" w:space="0" w:color="000000"/>
            </w:tcBorders>
          </w:tcPr>
          <w:p>
            <w:pPr>
              <w:pStyle w:val="TableParagraph"/>
              <w:spacing w:before="54"/>
              <w:ind w:right="108"/>
              <w:jc w:val="right"/>
              <w:rPr>
                <w:rFonts w:ascii="宋体" w:eastAsia="宋体" w:hint="eastAsia"/>
                <w:sz w:val="20"/>
              </w:rPr>
            </w:pPr>
            <w:r>
              <w:rPr>
                <w:rFonts w:ascii="宋体" w:eastAsia="宋体" w:hint="eastAsia"/>
                <w:w w:val="95"/>
                <w:sz w:val="20"/>
              </w:rPr>
              <w:t>医疗废物</w:t>
            </w:r>
          </w:p>
        </w:tc>
        <w:tc>
          <w:tcPr>
            <w:tcW w:w="855" w:type="dxa"/>
            <w:tcBorders>
              <w:top w:val="single" w:sz="6" w:space="0" w:color="000000"/>
              <w:left w:val="single" w:sz="6" w:space="0" w:color="000000"/>
              <w:right w:val="single" w:sz="6" w:space="0" w:color="000000"/>
            </w:tcBorders>
          </w:tcPr>
          <w:p>
            <w:pPr>
              <w:pStyle w:val="TableParagraph"/>
              <w:spacing w:before="65"/>
              <w:ind w:left="143" w:right="123"/>
              <w:rPr>
                <w:sz w:val="20"/>
              </w:rPr>
            </w:pPr>
            <w:r>
              <w:rPr>
                <w:sz w:val="20"/>
              </w:rPr>
              <w:t>HW01</w:t>
            </w:r>
          </w:p>
        </w:tc>
        <w:tc>
          <w:tcPr>
            <w:tcW w:w="1199" w:type="dxa"/>
            <w:tcBorders>
              <w:top w:val="single" w:sz="6" w:space="0" w:color="000000"/>
              <w:left w:val="single" w:sz="6" w:space="0" w:color="000000"/>
              <w:right w:val="single" w:sz="6" w:space="0" w:color="000000"/>
            </w:tcBorders>
          </w:tcPr>
          <w:p>
            <w:pPr>
              <w:pStyle w:val="TableParagraph"/>
              <w:spacing w:before="65"/>
              <w:ind w:left="116" w:right="94"/>
              <w:rPr>
                <w:sz w:val="20"/>
              </w:rPr>
            </w:pPr>
            <w:r>
              <w:rPr>
                <w:sz w:val="20"/>
              </w:rPr>
              <w:t>841-001-01</w:t>
            </w:r>
          </w:p>
        </w:tc>
        <w:tc>
          <w:tcPr>
            <w:tcW w:w="1478" w:type="dxa"/>
            <w:tcBorders>
              <w:top w:val="single" w:sz="6" w:space="0" w:color="000000"/>
              <w:left w:val="single" w:sz="6" w:space="0" w:color="000000"/>
              <w:right w:val="single" w:sz="6" w:space="0" w:color="000000"/>
            </w:tcBorders>
          </w:tcPr>
          <w:p>
            <w:pPr>
              <w:pStyle w:val="TableParagraph"/>
              <w:spacing w:before="54"/>
              <w:ind w:left="120" w:right="103"/>
              <w:rPr>
                <w:rFonts w:ascii="宋体" w:eastAsia="宋体" w:hint="eastAsia"/>
                <w:sz w:val="20"/>
              </w:rPr>
            </w:pPr>
            <w:r>
              <w:rPr>
                <w:rFonts w:ascii="宋体" w:eastAsia="宋体" w:hint="eastAsia"/>
                <w:sz w:val="20"/>
              </w:rPr>
              <w:t>综合楼兽医间</w:t>
            </w:r>
          </w:p>
        </w:tc>
        <w:tc>
          <w:tcPr>
            <w:tcW w:w="664" w:type="dxa"/>
            <w:tcBorders>
              <w:top w:val="single" w:sz="6" w:space="0" w:color="000000"/>
              <w:left w:val="single" w:sz="6" w:space="0" w:color="000000"/>
              <w:right w:val="single" w:sz="6" w:space="0" w:color="000000"/>
            </w:tcBorders>
          </w:tcPr>
          <w:p>
            <w:pPr>
              <w:pStyle w:val="TableParagraph"/>
              <w:spacing w:before="60"/>
              <w:ind w:left="123"/>
              <w:jc w:val="left"/>
              <w:rPr>
                <w:sz w:val="13"/>
              </w:rPr>
            </w:pPr>
            <w:r>
              <w:rPr>
                <w:sz w:val="20"/>
              </w:rPr>
              <w:t>10m</w:t>
            </w:r>
            <w:r>
              <w:rPr>
                <w:position w:val="7"/>
                <w:sz w:val="13"/>
              </w:rPr>
              <w:t>2</w:t>
            </w:r>
          </w:p>
        </w:tc>
        <w:tc>
          <w:tcPr>
            <w:tcW w:w="645" w:type="dxa"/>
            <w:tcBorders>
              <w:top w:val="single" w:sz="6" w:space="0" w:color="000000"/>
              <w:left w:val="single" w:sz="6" w:space="0" w:color="000000"/>
              <w:right w:val="single" w:sz="6" w:space="0" w:color="000000"/>
            </w:tcBorders>
          </w:tcPr>
          <w:p>
            <w:pPr>
              <w:pStyle w:val="TableParagraph"/>
              <w:spacing w:before="54"/>
              <w:ind w:left="121"/>
              <w:jc w:val="left"/>
              <w:rPr>
                <w:rFonts w:ascii="宋体" w:eastAsia="宋体" w:hint="eastAsia"/>
                <w:sz w:val="20"/>
              </w:rPr>
            </w:pPr>
            <w:r>
              <w:rPr>
                <w:rFonts w:ascii="宋体" w:eastAsia="宋体" w:hint="eastAsia"/>
                <w:sz w:val="20"/>
              </w:rPr>
              <w:t>桶装</w:t>
            </w:r>
          </w:p>
        </w:tc>
        <w:tc>
          <w:tcPr>
            <w:tcW w:w="770" w:type="dxa"/>
            <w:tcBorders>
              <w:top w:val="single" w:sz="6" w:space="0" w:color="000000"/>
              <w:left w:val="single" w:sz="6" w:space="0" w:color="000000"/>
              <w:right w:val="single" w:sz="6" w:space="0" w:color="000000"/>
            </w:tcBorders>
          </w:tcPr>
          <w:p>
            <w:pPr>
              <w:pStyle w:val="TableParagraph"/>
              <w:spacing w:before="65"/>
              <w:ind w:right="291"/>
              <w:jc w:val="right"/>
              <w:rPr>
                <w:sz w:val="20"/>
              </w:rPr>
            </w:pPr>
            <w:r>
              <w:rPr>
                <w:sz w:val="20"/>
              </w:rPr>
              <w:t>5t</w:t>
            </w:r>
          </w:p>
        </w:tc>
        <w:tc>
          <w:tcPr>
            <w:tcW w:w="645" w:type="dxa"/>
            <w:tcBorders>
              <w:top w:val="single" w:sz="6" w:space="0" w:color="000000"/>
              <w:left w:val="single" w:sz="6" w:space="0" w:color="000000"/>
            </w:tcBorders>
          </w:tcPr>
          <w:p>
            <w:pPr>
              <w:pStyle w:val="TableParagraph"/>
              <w:spacing w:before="54"/>
              <w:ind w:left="124" w:right="107"/>
              <w:rPr>
                <w:rFonts w:ascii="宋体" w:eastAsia="宋体" w:hint="eastAsia"/>
                <w:sz w:val="20"/>
              </w:rPr>
            </w:pPr>
            <w:r>
              <w:rPr>
                <w:position w:val="1"/>
                <w:sz w:val="20"/>
              </w:rPr>
              <w:t>1 </w:t>
            </w:r>
            <w:r>
              <w:rPr>
                <w:rFonts w:ascii="宋体" w:eastAsia="宋体" w:hint="eastAsia"/>
                <w:sz w:val="20"/>
              </w:rPr>
              <w:t>年</w:t>
            </w:r>
          </w:p>
        </w:tc>
      </w:tr>
    </w:tbl>
    <w:p>
      <w:pPr>
        <w:spacing w:before="84"/>
        <w:ind w:left="719" w:right="0" w:firstLine="0"/>
        <w:jc w:val="left"/>
        <w:rPr>
          <w:b/>
          <w:sz w:val="24"/>
        </w:rPr>
      </w:pPr>
      <w:r>
        <w:rPr>
          <w:rFonts w:ascii="Times New Roman" w:eastAsia="Times New Roman"/>
          <w:b/>
          <w:sz w:val="24"/>
        </w:rPr>
        <w:t>2</w:t>
      </w:r>
      <w:r>
        <w:rPr>
          <w:b/>
          <w:sz w:val="24"/>
        </w:rPr>
        <w:t>、运输过程污染防治措施</w:t>
      </w:r>
    </w:p>
    <w:p>
      <w:pPr>
        <w:pStyle w:val="ListParagraph"/>
        <w:numPr>
          <w:ilvl w:val="0"/>
          <w:numId w:val="98"/>
        </w:numPr>
        <w:tabs>
          <w:tab w:pos="1319" w:val="left" w:leader="none"/>
        </w:tabs>
        <w:spacing w:line="364" w:lineRule="auto" w:before="161" w:after="0"/>
        <w:ind w:left="237" w:right="253" w:firstLine="480"/>
        <w:jc w:val="left"/>
        <w:rPr>
          <w:sz w:val="24"/>
        </w:rPr>
      </w:pPr>
      <w:r>
        <w:rPr>
          <w:spacing w:val="-4"/>
          <w:sz w:val="24"/>
        </w:rPr>
        <w:t>项目各类废物运输过程中应进行密闭处理，避免造成散落、泄露等，车辆在道</w:t>
      </w:r>
      <w:r>
        <w:rPr>
          <w:sz w:val="24"/>
        </w:rPr>
        <w:t>路输过程中应远离环境敏感点，减少对周围环境的影响。</w:t>
      </w:r>
    </w:p>
    <w:p>
      <w:pPr>
        <w:pStyle w:val="ListParagraph"/>
        <w:numPr>
          <w:ilvl w:val="0"/>
          <w:numId w:val="98"/>
        </w:numPr>
        <w:tabs>
          <w:tab w:pos="1319" w:val="left" w:leader="none"/>
        </w:tabs>
        <w:spacing w:line="364" w:lineRule="auto" w:before="2" w:after="0"/>
        <w:ind w:left="237" w:right="249" w:firstLine="480"/>
        <w:jc w:val="both"/>
        <w:rPr>
          <w:sz w:val="24"/>
        </w:rPr>
      </w:pPr>
      <w:r>
        <w:rPr>
          <w:spacing w:val="-2"/>
          <w:sz w:val="24"/>
        </w:rPr>
        <w:t>企业必须对危险固废进行申报登记，制定定期外运制度，并对危险废物的流向和最终处置进行跟踪，确保危险废物得到妥善安全处置，严禁在转移过程中将危险废物排放至环境中。</w:t>
      </w:r>
    </w:p>
    <w:p>
      <w:pPr>
        <w:pStyle w:val="ListParagraph"/>
        <w:numPr>
          <w:ilvl w:val="0"/>
          <w:numId w:val="98"/>
        </w:numPr>
        <w:tabs>
          <w:tab w:pos="1319" w:val="left" w:leader="none"/>
        </w:tabs>
        <w:spacing w:line="364" w:lineRule="auto" w:before="1" w:after="0"/>
        <w:ind w:left="237" w:right="133" w:firstLine="480"/>
        <w:jc w:val="left"/>
        <w:rPr>
          <w:sz w:val="24"/>
        </w:rPr>
      </w:pPr>
      <w:r>
        <w:rPr>
          <w:spacing w:val="-2"/>
          <w:sz w:val="24"/>
        </w:rPr>
        <w:t>企业应严格履行国家与地方政府关于危险废物处理、转移的规定，履行向环保</w:t>
      </w:r>
      <w:r>
        <w:rPr>
          <w:spacing w:val="-7"/>
          <w:sz w:val="24"/>
        </w:rPr>
        <w:t>管理部门申报的登记制度、建立台账管理，并执行转移联单制度，不得擅自倾倒、堆放。</w:t>
      </w:r>
      <w:r>
        <w:rPr>
          <w:sz w:val="24"/>
        </w:rPr>
        <w:t>若确实无法做到及时清运、处置，应严格按照有关规定在厂内暂存。</w:t>
      </w:r>
    </w:p>
    <w:p>
      <w:pPr>
        <w:pStyle w:val="Heading3"/>
        <w:spacing w:before="2"/>
      </w:pPr>
      <w:r>
        <w:rPr>
          <w:rFonts w:ascii="Times New Roman" w:eastAsia="Times New Roman"/>
        </w:rPr>
        <w:t>3</w:t>
      </w:r>
      <w:r>
        <w:rPr/>
        <w:t>、处置过程污染防治措施</w:t>
      </w:r>
    </w:p>
    <w:p>
      <w:pPr>
        <w:pStyle w:val="ListParagraph"/>
        <w:numPr>
          <w:ilvl w:val="0"/>
          <w:numId w:val="99"/>
        </w:numPr>
        <w:tabs>
          <w:tab w:pos="1323" w:val="left" w:leader="none"/>
        </w:tabs>
        <w:spacing w:line="240" w:lineRule="auto" w:before="161" w:after="0"/>
        <w:ind w:left="1323" w:right="0" w:hanging="604"/>
        <w:jc w:val="left"/>
        <w:rPr>
          <w:b/>
          <w:sz w:val="24"/>
        </w:rPr>
      </w:pPr>
      <w:r>
        <w:rPr>
          <w:b/>
          <w:sz w:val="24"/>
        </w:rPr>
        <w:t>一般固废污染防治措施</w:t>
      </w:r>
    </w:p>
    <w:p>
      <w:pPr>
        <w:pStyle w:val="BodyText"/>
        <w:spacing w:line="364" w:lineRule="auto" w:before="161"/>
        <w:ind w:right="249" w:firstLine="480"/>
        <w:jc w:val="both"/>
      </w:pPr>
      <w:r>
        <w:rPr/>
        <w:t>本项目一般固体废弃物主要是发酵产物、一般废包装物、废脱硫剂及职工生活垃圾</w:t>
      </w:r>
      <w:r>
        <w:rPr>
          <w:spacing w:val="-8"/>
        </w:rPr>
        <w:t>等。首先，本着</w:t>
      </w:r>
      <w:r>
        <w:rPr>
          <w:rFonts w:ascii="Times New Roman" w:hAnsi="Times New Roman" w:eastAsia="Times New Roman"/>
        </w:rPr>
        <w:t>“</w:t>
      </w:r>
      <w:r>
        <w:rPr>
          <w:spacing w:val="-8"/>
        </w:rPr>
        <w:t>减量化、资源化、无害化</w:t>
      </w:r>
      <w:r>
        <w:rPr>
          <w:rFonts w:ascii="Times New Roman" w:hAnsi="Times New Roman" w:eastAsia="Times New Roman"/>
        </w:rPr>
        <w:t>”</w:t>
      </w:r>
      <w:r>
        <w:rPr>
          <w:spacing w:val="-6"/>
        </w:rPr>
        <w:t>的原则，对具有可回收或综合利用的固废应尽</w:t>
      </w:r>
      <w:r>
        <w:rPr/>
        <w:t>可能利用。如发酵产物外运至第三方企业生产有机肥，一般废包装物外卖综合利用，废脱硫剂由供应商更换回收，生活垃圾由环卫部门定期清运。</w:t>
      </w:r>
    </w:p>
    <w:p>
      <w:pPr>
        <w:pStyle w:val="Heading3"/>
        <w:numPr>
          <w:ilvl w:val="0"/>
          <w:numId w:val="99"/>
        </w:numPr>
        <w:tabs>
          <w:tab w:pos="1323" w:val="left" w:leader="none"/>
        </w:tabs>
        <w:spacing w:line="240" w:lineRule="auto" w:before="2" w:after="0"/>
        <w:ind w:left="1323" w:right="0" w:hanging="604"/>
        <w:jc w:val="left"/>
      </w:pPr>
      <w:r>
        <w:rPr/>
        <w:t>危险固废污染防治措施</w:t>
      </w:r>
    </w:p>
    <w:p>
      <w:pPr>
        <w:pStyle w:val="BodyText"/>
        <w:spacing w:before="161"/>
        <w:ind w:left="717"/>
      </w:pPr>
      <w:r>
        <w:rPr/>
        <w:t>本项目产生的危险废物主要是危化品废包装物</w:t>
      </w:r>
      <w:r>
        <w:rPr>
          <w:rFonts w:ascii="Times New Roman" w:eastAsia="Times New Roman"/>
        </w:rPr>
        <w:t>[HW49 </w:t>
      </w:r>
      <w:r>
        <w:rPr/>
        <w:t>， </w:t>
      </w:r>
      <w:r>
        <w:rPr>
          <w:rFonts w:ascii="Times New Roman" w:eastAsia="Times New Roman"/>
        </w:rPr>
        <w:t>900-041-49]</w:t>
      </w:r>
      <w:r>
        <w:rPr/>
        <w:t>、废矿物油</w:t>
      </w:r>
    </w:p>
    <w:p>
      <w:pPr>
        <w:spacing w:after="0"/>
        <w:sectPr>
          <w:pgSz w:w="11910" w:h="16840"/>
          <w:pgMar w:header="874" w:footer="1004" w:top="1420" w:bottom="1200" w:left="1040" w:right="1160"/>
        </w:sectPr>
      </w:pPr>
    </w:p>
    <w:p>
      <w:pPr>
        <w:pStyle w:val="BodyText"/>
        <w:spacing w:line="364" w:lineRule="auto" w:before="92"/>
        <w:ind w:right="247"/>
        <w:jc w:val="both"/>
      </w:pPr>
      <w:r>
        <w:rPr>
          <w:rFonts w:ascii="Times New Roman" w:eastAsia="Times New Roman"/>
        </w:rPr>
        <w:t>[HW08</w:t>
      </w:r>
      <w:r>
        <w:rPr/>
        <w:t>，</w:t>
      </w:r>
      <w:r>
        <w:rPr>
          <w:rFonts w:ascii="Times New Roman" w:eastAsia="Times New Roman"/>
        </w:rPr>
        <w:t>900-249-08]</w:t>
      </w:r>
      <w:r>
        <w:rPr/>
        <w:t>和医疗废物</w:t>
      </w:r>
      <w:r>
        <w:rPr>
          <w:rFonts w:ascii="Times New Roman" w:eastAsia="Times New Roman"/>
        </w:rPr>
        <w:t>[HW01</w:t>
      </w:r>
      <w:r>
        <w:rPr/>
        <w:t>，</w:t>
      </w:r>
      <w:r>
        <w:rPr>
          <w:rFonts w:ascii="Times New Roman" w:eastAsia="Times New Roman"/>
        </w:rPr>
        <w:t>841-001-01]</w:t>
      </w:r>
      <w:r>
        <w:rPr/>
        <w:t>，其中医疗废物由柯桥区畜牧兽医局统一委托绍兴华鑫环保科技有限公司安全处置（详见附件九），危化品废包装物、废矿物油经收集后委托有相应危废处理资质的单位安全处置，符合环保要求。本项目固体废物产生及处置情况分析结果见表 </w:t>
      </w:r>
      <w:r>
        <w:rPr>
          <w:rFonts w:ascii="Times New Roman" w:eastAsia="Times New Roman"/>
        </w:rPr>
        <w:t>6.2-9</w:t>
      </w:r>
      <w:r>
        <w:rPr/>
        <w:t>。</w:t>
      </w:r>
    </w:p>
    <w:p>
      <w:pPr>
        <w:pStyle w:val="Heading3"/>
        <w:spacing w:before="2"/>
        <w:ind w:left="2743"/>
        <w:jc w:val="both"/>
        <w:rPr>
          <w:rFonts w:ascii="Times New Roman" w:eastAsia="Times New Roman"/>
        </w:rPr>
      </w:pPr>
      <w:r>
        <w:rPr/>
        <w:t>表 </w:t>
      </w:r>
      <w:r>
        <w:rPr>
          <w:rFonts w:ascii="Times New Roman" w:eastAsia="Times New Roman"/>
        </w:rPr>
        <w:t>6.2-9  </w:t>
      </w:r>
      <w:r>
        <w:rPr/>
        <w:t>固废产生及处置情况 单位：</w:t>
      </w:r>
      <w:r>
        <w:rPr>
          <w:rFonts w:ascii="Times New Roman" w:eastAsia="Times New Roman"/>
        </w:rPr>
        <w:t>t/a</w:t>
      </w:r>
    </w:p>
    <w:p>
      <w:pPr>
        <w:pStyle w:val="BodyText"/>
        <w:spacing w:before="10"/>
        <w:ind w:left="0"/>
        <w:rPr>
          <w:rFonts w:ascii="Times New Roman"/>
          <w:b/>
          <w:sz w:val="6"/>
        </w:rPr>
      </w:pPr>
    </w:p>
    <w:tbl>
      <w:tblPr>
        <w:tblW w:w="0" w:type="auto"/>
        <w:jc w:val="left"/>
        <w:tblInd w:w="1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61"/>
        <w:gridCol w:w="1458"/>
        <w:gridCol w:w="1474"/>
        <w:gridCol w:w="627"/>
        <w:gridCol w:w="1200"/>
        <w:gridCol w:w="929"/>
        <w:gridCol w:w="2907"/>
      </w:tblGrid>
      <w:tr>
        <w:trPr>
          <w:trHeight w:val="359" w:hRule="atLeast"/>
        </w:trPr>
        <w:tc>
          <w:tcPr>
            <w:tcW w:w="761" w:type="dxa"/>
            <w:tcBorders>
              <w:bottom w:val="single" w:sz="6" w:space="0" w:color="000000"/>
              <w:right w:val="single" w:sz="6" w:space="0" w:color="000000"/>
            </w:tcBorders>
          </w:tcPr>
          <w:p>
            <w:pPr>
              <w:pStyle w:val="TableParagraph"/>
              <w:spacing w:before="51"/>
              <w:ind w:left="157" w:right="139"/>
              <w:rPr>
                <w:rFonts w:ascii="宋体" w:eastAsia="宋体" w:hint="eastAsia"/>
                <w:b/>
                <w:sz w:val="20"/>
              </w:rPr>
            </w:pPr>
            <w:r>
              <w:rPr>
                <w:rFonts w:ascii="宋体" w:eastAsia="宋体" w:hint="eastAsia"/>
                <w:b/>
                <w:sz w:val="20"/>
              </w:rPr>
              <w:t>序号</w:t>
            </w:r>
          </w:p>
        </w:tc>
        <w:tc>
          <w:tcPr>
            <w:tcW w:w="1458" w:type="dxa"/>
            <w:tcBorders>
              <w:left w:val="single" w:sz="6" w:space="0" w:color="000000"/>
              <w:bottom w:val="single" w:sz="6" w:space="0" w:color="000000"/>
              <w:right w:val="single" w:sz="6" w:space="0" w:color="000000"/>
            </w:tcBorders>
          </w:tcPr>
          <w:p>
            <w:pPr>
              <w:pStyle w:val="TableParagraph"/>
              <w:spacing w:before="51"/>
              <w:ind w:left="112" w:right="88"/>
              <w:rPr>
                <w:rFonts w:ascii="宋体" w:eastAsia="宋体" w:hint="eastAsia"/>
                <w:b/>
                <w:sz w:val="20"/>
              </w:rPr>
            </w:pPr>
            <w:r>
              <w:rPr>
                <w:rFonts w:ascii="宋体" w:eastAsia="宋体" w:hint="eastAsia"/>
                <w:b/>
                <w:sz w:val="20"/>
              </w:rPr>
              <w:t>固废名称</w:t>
            </w:r>
          </w:p>
        </w:tc>
        <w:tc>
          <w:tcPr>
            <w:tcW w:w="1474" w:type="dxa"/>
            <w:tcBorders>
              <w:left w:val="single" w:sz="6" w:space="0" w:color="000000"/>
              <w:bottom w:val="single" w:sz="6" w:space="0" w:color="000000"/>
              <w:right w:val="single" w:sz="6" w:space="0" w:color="000000"/>
            </w:tcBorders>
          </w:tcPr>
          <w:p>
            <w:pPr>
              <w:pStyle w:val="TableParagraph"/>
              <w:spacing w:before="51"/>
              <w:ind w:left="121" w:right="95"/>
              <w:rPr>
                <w:rFonts w:ascii="宋体" w:eastAsia="宋体" w:hint="eastAsia"/>
                <w:b/>
                <w:sz w:val="20"/>
              </w:rPr>
            </w:pPr>
            <w:r>
              <w:rPr>
                <w:rFonts w:ascii="宋体" w:eastAsia="宋体" w:hint="eastAsia"/>
                <w:b/>
                <w:sz w:val="20"/>
              </w:rPr>
              <w:t>产生工序</w:t>
            </w:r>
          </w:p>
        </w:tc>
        <w:tc>
          <w:tcPr>
            <w:tcW w:w="627" w:type="dxa"/>
            <w:tcBorders>
              <w:left w:val="single" w:sz="6" w:space="0" w:color="000000"/>
              <w:bottom w:val="single" w:sz="6" w:space="0" w:color="000000"/>
              <w:right w:val="single" w:sz="6" w:space="0" w:color="000000"/>
            </w:tcBorders>
          </w:tcPr>
          <w:p>
            <w:pPr>
              <w:pStyle w:val="TableParagraph"/>
              <w:spacing w:before="51"/>
              <w:ind w:left="118"/>
              <w:jc w:val="left"/>
              <w:rPr>
                <w:rFonts w:ascii="宋体" w:eastAsia="宋体" w:hint="eastAsia"/>
                <w:b/>
                <w:sz w:val="20"/>
              </w:rPr>
            </w:pPr>
            <w:r>
              <w:rPr>
                <w:rFonts w:ascii="宋体" w:eastAsia="宋体" w:hint="eastAsia"/>
                <w:b/>
                <w:sz w:val="20"/>
              </w:rPr>
              <w:t>属性</w:t>
            </w:r>
          </w:p>
        </w:tc>
        <w:tc>
          <w:tcPr>
            <w:tcW w:w="1200" w:type="dxa"/>
            <w:tcBorders>
              <w:left w:val="single" w:sz="6" w:space="0" w:color="000000"/>
              <w:bottom w:val="single" w:sz="6" w:space="0" w:color="000000"/>
              <w:right w:val="single" w:sz="6" w:space="0" w:color="000000"/>
            </w:tcBorders>
          </w:tcPr>
          <w:p>
            <w:pPr>
              <w:pStyle w:val="TableParagraph"/>
              <w:spacing w:before="51"/>
              <w:ind w:left="118" w:right="93"/>
              <w:rPr>
                <w:rFonts w:ascii="宋体" w:eastAsia="宋体" w:hint="eastAsia"/>
                <w:b/>
                <w:sz w:val="20"/>
              </w:rPr>
            </w:pPr>
            <w:r>
              <w:rPr>
                <w:rFonts w:ascii="宋体" w:eastAsia="宋体" w:hint="eastAsia"/>
                <w:b/>
                <w:sz w:val="20"/>
              </w:rPr>
              <w:t>废物代码</w:t>
            </w:r>
          </w:p>
        </w:tc>
        <w:tc>
          <w:tcPr>
            <w:tcW w:w="929" w:type="dxa"/>
            <w:tcBorders>
              <w:left w:val="single" w:sz="6" w:space="0" w:color="000000"/>
              <w:bottom w:val="single" w:sz="6" w:space="0" w:color="000000"/>
              <w:right w:val="single" w:sz="6" w:space="0" w:color="000000"/>
            </w:tcBorders>
          </w:tcPr>
          <w:p>
            <w:pPr>
              <w:pStyle w:val="TableParagraph"/>
              <w:spacing w:before="51"/>
              <w:ind w:left="122" w:right="99"/>
              <w:rPr>
                <w:rFonts w:ascii="宋体" w:eastAsia="宋体" w:hint="eastAsia"/>
                <w:b/>
                <w:sz w:val="20"/>
              </w:rPr>
            </w:pPr>
            <w:r>
              <w:rPr>
                <w:rFonts w:ascii="宋体" w:eastAsia="宋体" w:hint="eastAsia"/>
                <w:b/>
                <w:sz w:val="20"/>
              </w:rPr>
              <w:t>产生量</w:t>
            </w:r>
          </w:p>
        </w:tc>
        <w:tc>
          <w:tcPr>
            <w:tcW w:w="2907" w:type="dxa"/>
            <w:tcBorders>
              <w:left w:val="single" w:sz="6" w:space="0" w:color="000000"/>
              <w:bottom w:val="single" w:sz="6" w:space="0" w:color="000000"/>
            </w:tcBorders>
          </w:tcPr>
          <w:p>
            <w:pPr>
              <w:pStyle w:val="TableParagraph"/>
              <w:spacing w:before="51"/>
              <w:ind w:left="133" w:right="108"/>
              <w:rPr>
                <w:rFonts w:ascii="宋体" w:eastAsia="宋体" w:hint="eastAsia"/>
                <w:b/>
                <w:sz w:val="20"/>
              </w:rPr>
            </w:pPr>
            <w:r>
              <w:rPr>
                <w:rFonts w:ascii="宋体" w:eastAsia="宋体" w:hint="eastAsia"/>
                <w:b/>
                <w:sz w:val="20"/>
              </w:rPr>
              <w:t>利用处置方式</w:t>
            </w:r>
          </w:p>
        </w:tc>
      </w:tr>
      <w:tr>
        <w:trPr>
          <w:trHeight w:val="717" w:hRule="atLeast"/>
        </w:trPr>
        <w:tc>
          <w:tcPr>
            <w:tcW w:w="761" w:type="dxa"/>
            <w:tcBorders>
              <w:top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before="0"/>
              <w:ind w:left="17"/>
              <w:rPr>
                <w:sz w:val="20"/>
              </w:rPr>
            </w:pPr>
            <w:r>
              <w:rPr>
                <w:w w:val="99"/>
                <w:sz w:val="20"/>
              </w:rPr>
              <w:t>1</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1"/>
              <w:ind w:left="112" w:right="90"/>
              <w:rPr>
                <w:rFonts w:ascii="宋体" w:eastAsia="宋体" w:hint="eastAsia"/>
                <w:sz w:val="20"/>
              </w:rPr>
            </w:pPr>
            <w:r>
              <w:rPr>
                <w:rFonts w:ascii="宋体" w:eastAsia="宋体" w:hint="eastAsia"/>
                <w:sz w:val="20"/>
              </w:rPr>
              <w:t>危化品废包装</w:t>
            </w:r>
          </w:p>
          <w:p>
            <w:pPr>
              <w:pStyle w:val="TableParagraph"/>
              <w:spacing w:before="104"/>
              <w:ind w:left="22"/>
              <w:rPr>
                <w:rFonts w:ascii="宋体" w:eastAsia="宋体" w:hint="eastAsia"/>
                <w:sz w:val="20"/>
              </w:rPr>
            </w:pPr>
            <w:r>
              <w:rPr>
                <w:rFonts w:ascii="宋体" w:eastAsia="宋体" w:hint="eastAsia"/>
                <w:w w:val="99"/>
                <w:sz w:val="20"/>
              </w:rPr>
              <w:t>物</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0"/>
              </w:rPr>
            </w:pPr>
          </w:p>
          <w:p>
            <w:pPr>
              <w:pStyle w:val="TableParagraph"/>
              <w:spacing w:before="0"/>
              <w:ind w:left="118" w:right="97"/>
              <w:rPr>
                <w:rFonts w:ascii="宋体" w:eastAsia="宋体" w:hint="eastAsia"/>
                <w:sz w:val="20"/>
              </w:rPr>
            </w:pPr>
            <w:r>
              <w:rPr>
                <w:rFonts w:ascii="宋体" w:eastAsia="宋体" w:hint="eastAsia"/>
                <w:sz w:val="20"/>
              </w:rPr>
              <w:t>危化品包装</w:t>
            </w:r>
          </w:p>
        </w:tc>
        <w:tc>
          <w:tcPr>
            <w:tcW w:w="6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9"/>
              <w:jc w:val="left"/>
              <w:rPr>
                <w:b/>
                <w:sz w:val="23"/>
              </w:rPr>
            </w:pPr>
          </w:p>
          <w:p>
            <w:pPr>
              <w:pStyle w:val="TableParagraph"/>
              <w:spacing w:line="336" w:lineRule="auto" w:before="1"/>
              <w:ind w:left="118" w:right="93"/>
              <w:jc w:val="left"/>
              <w:rPr>
                <w:rFonts w:ascii="宋体" w:eastAsia="宋体" w:hint="eastAsia"/>
                <w:sz w:val="20"/>
              </w:rPr>
            </w:pPr>
            <w:r>
              <w:rPr>
                <w:rFonts w:ascii="宋体" w:eastAsia="宋体" w:hint="eastAsia"/>
                <w:sz w:val="20"/>
              </w:rPr>
              <w:t>危险废物</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2"/>
              <w:ind w:left="117" w:right="93"/>
              <w:rPr>
                <w:sz w:val="20"/>
              </w:rPr>
            </w:pPr>
            <w:r>
              <w:rPr>
                <w:sz w:val="20"/>
              </w:rPr>
              <w:t>HW49</w:t>
            </w:r>
          </w:p>
          <w:p>
            <w:pPr>
              <w:pStyle w:val="TableParagraph"/>
              <w:spacing w:before="130"/>
              <w:ind w:left="118" w:right="93"/>
              <w:rPr>
                <w:sz w:val="20"/>
              </w:rPr>
            </w:pPr>
            <w:r>
              <w:rPr>
                <w:sz w:val="20"/>
              </w:rPr>
              <w:t>900-041-49</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before="0"/>
              <w:ind w:left="122" w:right="98"/>
              <w:rPr>
                <w:sz w:val="20"/>
              </w:rPr>
            </w:pPr>
            <w:r>
              <w:rPr>
                <w:sz w:val="20"/>
              </w:rPr>
              <w:t>0.6</w:t>
            </w:r>
          </w:p>
        </w:tc>
        <w:tc>
          <w:tcPr>
            <w:tcW w:w="2907" w:type="dxa"/>
            <w:tcBorders>
              <w:top w:val="single" w:sz="6" w:space="0" w:color="000000"/>
              <w:left w:val="single" w:sz="6" w:space="0" w:color="000000"/>
              <w:bottom w:val="single" w:sz="6" w:space="0" w:color="000000"/>
            </w:tcBorders>
          </w:tcPr>
          <w:p>
            <w:pPr>
              <w:pStyle w:val="TableParagraph"/>
              <w:spacing w:before="1"/>
              <w:jc w:val="left"/>
              <w:rPr>
                <w:b/>
                <w:sz w:val="20"/>
              </w:rPr>
            </w:pPr>
          </w:p>
          <w:p>
            <w:pPr>
              <w:pStyle w:val="TableParagraph"/>
              <w:spacing w:before="0"/>
              <w:ind w:left="133" w:right="108"/>
              <w:rPr>
                <w:rFonts w:ascii="宋体" w:eastAsia="宋体" w:hint="eastAsia"/>
                <w:sz w:val="20"/>
              </w:rPr>
            </w:pPr>
            <w:r>
              <w:rPr>
                <w:rFonts w:ascii="宋体" w:eastAsia="宋体" w:hint="eastAsia"/>
                <w:sz w:val="20"/>
              </w:rPr>
              <w:t>委托有资质单位安全处置</w:t>
            </w:r>
          </w:p>
        </w:tc>
      </w:tr>
      <w:tr>
        <w:trPr>
          <w:trHeight w:val="717" w:hRule="atLeast"/>
        </w:trPr>
        <w:tc>
          <w:tcPr>
            <w:tcW w:w="761" w:type="dxa"/>
            <w:tcBorders>
              <w:top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before="0"/>
              <w:ind w:left="17"/>
              <w:rPr>
                <w:sz w:val="20"/>
              </w:rPr>
            </w:pPr>
            <w:r>
              <w:rPr>
                <w:w w:val="99"/>
                <w:sz w:val="20"/>
              </w:rPr>
              <w:t>2</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2"/>
              <w:jc w:val="left"/>
              <w:rPr>
                <w:b/>
                <w:sz w:val="20"/>
              </w:rPr>
            </w:pPr>
          </w:p>
          <w:p>
            <w:pPr>
              <w:pStyle w:val="TableParagraph"/>
              <w:spacing w:before="0"/>
              <w:ind w:left="109" w:right="90"/>
              <w:rPr>
                <w:rFonts w:ascii="宋体" w:eastAsia="宋体" w:hint="eastAsia"/>
                <w:sz w:val="20"/>
              </w:rPr>
            </w:pPr>
            <w:r>
              <w:rPr>
                <w:rFonts w:ascii="宋体" w:eastAsia="宋体" w:hint="eastAsia"/>
                <w:sz w:val="20"/>
              </w:rPr>
              <w:t>废矿物油</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2"/>
              <w:jc w:val="left"/>
              <w:rPr>
                <w:b/>
                <w:sz w:val="20"/>
              </w:rPr>
            </w:pPr>
          </w:p>
          <w:p>
            <w:pPr>
              <w:pStyle w:val="TableParagraph"/>
              <w:spacing w:before="0"/>
              <w:ind w:left="121" w:right="97"/>
              <w:rPr>
                <w:rFonts w:ascii="宋体" w:eastAsia="宋体" w:hint="eastAsia"/>
                <w:sz w:val="20"/>
              </w:rPr>
            </w:pPr>
            <w:r>
              <w:rPr>
                <w:rFonts w:ascii="宋体" w:eastAsia="宋体" w:hint="eastAsia"/>
                <w:sz w:val="20"/>
              </w:rPr>
              <w:t>无害化处理机</w:t>
            </w:r>
          </w:p>
        </w:tc>
        <w:tc>
          <w:tcPr>
            <w:tcW w:w="627" w:type="dxa"/>
            <w:vMerge/>
            <w:tcBorders>
              <w:top w:val="nil"/>
              <w:left w:val="single" w:sz="6" w:space="0" w:color="000000"/>
              <w:bottom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3"/>
              <w:ind w:left="117" w:right="93"/>
              <w:rPr>
                <w:sz w:val="20"/>
              </w:rPr>
            </w:pPr>
            <w:r>
              <w:rPr>
                <w:sz w:val="20"/>
              </w:rPr>
              <w:t>HW08</w:t>
            </w:r>
          </w:p>
          <w:p>
            <w:pPr>
              <w:pStyle w:val="TableParagraph"/>
              <w:spacing w:before="130"/>
              <w:ind w:left="118" w:right="93"/>
              <w:rPr>
                <w:sz w:val="20"/>
              </w:rPr>
            </w:pPr>
            <w:r>
              <w:rPr>
                <w:sz w:val="20"/>
              </w:rPr>
              <w:t>900-249-08</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before="0"/>
              <w:ind w:left="122" w:right="98"/>
              <w:rPr>
                <w:sz w:val="20"/>
              </w:rPr>
            </w:pPr>
            <w:r>
              <w:rPr>
                <w:sz w:val="20"/>
              </w:rPr>
              <w:t>0.1</w:t>
            </w:r>
          </w:p>
        </w:tc>
        <w:tc>
          <w:tcPr>
            <w:tcW w:w="2907" w:type="dxa"/>
            <w:tcBorders>
              <w:top w:val="single" w:sz="6" w:space="0" w:color="000000"/>
              <w:left w:val="single" w:sz="6" w:space="0" w:color="000000"/>
              <w:bottom w:val="single" w:sz="6" w:space="0" w:color="000000"/>
            </w:tcBorders>
          </w:tcPr>
          <w:p>
            <w:pPr>
              <w:pStyle w:val="TableParagraph"/>
              <w:spacing w:before="2"/>
              <w:jc w:val="left"/>
              <w:rPr>
                <w:b/>
                <w:sz w:val="20"/>
              </w:rPr>
            </w:pPr>
          </w:p>
          <w:p>
            <w:pPr>
              <w:pStyle w:val="TableParagraph"/>
              <w:spacing w:before="0"/>
              <w:ind w:left="133" w:right="108"/>
              <w:rPr>
                <w:rFonts w:ascii="宋体" w:eastAsia="宋体" w:hint="eastAsia"/>
                <w:sz w:val="20"/>
              </w:rPr>
            </w:pPr>
            <w:r>
              <w:rPr>
                <w:rFonts w:ascii="宋体" w:eastAsia="宋体" w:hint="eastAsia"/>
                <w:sz w:val="20"/>
              </w:rPr>
              <w:t>委托有资质单位安全处置</w:t>
            </w:r>
          </w:p>
        </w:tc>
      </w:tr>
      <w:tr>
        <w:trPr>
          <w:trHeight w:val="1076" w:hRule="atLeast"/>
        </w:trPr>
        <w:tc>
          <w:tcPr>
            <w:tcW w:w="761" w:type="dxa"/>
            <w:tcBorders>
              <w:top w:val="single" w:sz="6" w:space="0" w:color="000000"/>
              <w:bottom w:val="single" w:sz="6" w:space="0" w:color="000000"/>
              <w:right w:val="single" w:sz="6" w:space="0" w:color="000000"/>
            </w:tcBorders>
          </w:tcPr>
          <w:p>
            <w:pPr>
              <w:pStyle w:val="TableParagraph"/>
              <w:spacing w:before="0"/>
              <w:jc w:val="left"/>
              <w:rPr>
                <w:b/>
                <w:sz w:val="22"/>
              </w:rPr>
            </w:pPr>
          </w:p>
          <w:p>
            <w:pPr>
              <w:pStyle w:val="TableParagraph"/>
              <w:spacing w:before="169"/>
              <w:ind w:left="17"/>
              <w:rPr>
                <w:sz w:val="20"/>
              </w:rPr>
            </w:pPr>
            <w:r>
              <w:rPr>
                <w:w w:val="99"/>
                <w:sz w:val="20"/>
              </w:rPr>
              <w:t>3</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9"/>
              <w:jc w:val="left"/>
              <w:rPr>
                <w:b/>
                <w:sz w:val="15"/>
              </w:rPr>
            </w:pPr>
          </w:p>
          <w:p>
            <w:pPr>
              <w:pStyle w:val="TableParagraph"/>
              <w:spacing w:before="0"/>
              <w:ind w:left="109" w:right="90"/>
              <w:rPr>
                <w:rFonts w:ascii="宋体" w:eastAsia="宋体" w:hint="eastAsia"/>
                <w:sz w:val="20"/>
              </w:rPr>
            </w:pPr>
            <w:r>
              <w:rPr>
                <w:rFonts w:ascii="宋体" w:eastAsia="宋体" w:hint="eastAsia"/>
                <w:sz w:val="20"/>
              </w:rPr>
              <w:t>医疗废物</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9"/>
              <w:jc w:val="left"/>
              <w:rPr>
                <w:b/>
                <w:sz w:val="15"/>
              </w:rPr>
            </w:pPr>
          </w:p>
          <w:p>
            <w:pPr>
              <w:pStyle w:val="TableParagraph"/>
              <w:spacing w:before="0"/>
              <w:ind w:left="118" w:right="97"/>
              <w:rPr>
                <w:rFonts w:ascii="宋体" w:eastAsia="宋体" w:hint="eastAsia"/>
                <w:sz w:val="20"/>
              </w:rPr>
            </w:pPr>
            <w:r>
              <w:rPr>
                <w:rFonts w:ascii="宋体" w:eastAsia="宋体" w:hint="eastAsia"/>
                <w:sz w:val="20"/>
              </w:rPr>
              <w:t>猪卫生防疫</w:t>
            </w:r>
          </w:p>
        </w:tc>
        <w:tc>
          <w:tcPr>
            <w:tcW w:w="627" w:type="dxa"/>
            <w:vMerge/>
            <w:tcBorders>
              <w:top w:val="nil"/>
              <w:left w:val="single" w:sz="6" w:space="0" w:color="000000"/>
              <w:bottom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b/>
                <w:sz w:val="21"/>
              </w:rPr>
            </w:pPr>
          </w:p>
          <w:p>
            <w:pPr>
              <w:pStyle w:val="TableParagraph"/>
              <w:spacing w:line="376" w:lineRule="auto" w:before="0"/>
              <w:ind w:left="137" w:right="109" w:firstLine="201"/>
              <w:jc w:val="left"/>
              <w:rPr>
                <w:sz w:val="20"/>
              </w:rPr>
            </w:pPr>
            <w:r>
              <w:rPr>
                <w:sz w:val="20"/>
              </w:rPr>
              <w:t>HW01 841-001-01</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22"/>
              </w:rPr>
            </w:pPr>
          </w:p>
          <w:p>
            <w:pPr>
              <w:pStyle w:val="TableParagraph"/>
              <w:spacing w:before="172"/>
              <w:ind w:left="122" w:right="98"/>
              <w:rPr>
                <w:sz w:val="20"/>
              </w:rPr>
            </w:pPr>
            <w:r>
              <w:rPr>
                <w:sz w:val="20"/>
              </w:rPr>
              <w:t>4.3</w:t>
            </w:r>
          </w:p>
        </w:tc>
        <w:tc>
          <w:tcPr>
            <w:tcW w:w="2907" w:type="dxa"/>
            <w:tcBorders>
              <w:top w:val="single" w:sz="6" w:space="0" w:color="000000"/>
              <w:left w:val="single" w:sz="6" w:space="0" w:color="000000"/>
              <w:bottom w:val="single" w:sz="6" w:space="0" w:color="000000"/>
            </w:tcBorders>
          </w:tcPr>
          <w:p>
            <w:pPr>
              <w:pStyle w:val="TableParagraph"/>
              <w:spacing w:line="336" w:lineRule="auto" w:before="54"/>
              <w:ind w:left="157" w:right="126"/>
              <w:rPr>
                <w:rFonts w:ascii="宋体" w:eastAsia="宋体" w:hint="eastAsia"/>
                <w:sz w:val="20"/>
              </w:rPr>
            </w:pPr>
            <w:r>
              <w:rPr>
                <w:rFonts w:ascii="宋体" w:eastAsia="宋体" w:hint="eastAsia"/>
                <w:sz w:val="20"/>
              </w:rPr>
              <w:t>定点收集后由柯桥区畜牧兽医局统一委托绍兴华鑫环保科技</w:t>
            </w:r>
          </w:p>
          <w:p>
            <w:pPr>
              <w:pStyle w:val="TableParagraph"/>
              <w:spacing w:before="0"/>
              <w:ind w:left="133" w:right="108"/>
              <w:rPr>
                <w:rFonts w:ascii="宋体" w:eastAsia="宋体" w:hint="eastAsia"/>
                <w:sz w:val="20"/>
              </w:rPr>
            </w:pPr>
            <w:r>
              <w:rPr>
                <w:rFonts w:ascii="宋体" w:eastAsia="宋体" w:hint="eastAsia"/>
                <w:sz w:val="20"/>
              </w:rPr>
              <w:t>有限公司安全处置</w:t>
            </w:r>
          </w:p>
        </w:tc>
      </w:tr>
      <w:tr>
        <w:trPr>
          <w:trHeight w:val="359" w:hRule="atLeast"/>
        </w:trPr>
        <w:tc>
          <w:tcPr>
            <w:tcW w:w="761" w:type="dxa"/>
            <w:tcBorders>
              <w:top w:val="single" w:sz="6" w:space="0" w:color="000000"/>
              <w:bottom w:val="single" w:sz="6" w:space="0" w:color="000000"/>
              <w:right w:val="single" w:sz="6" w:space="0" w:color="000000"/>
            </w:tcBorders>
          </w:tcPr>
          <w:p>
            <w:pPr>
              <w:pStyle w:val="TableParagraph"/>
              <w:spacing w:before="62"/>
              <w:ind w:left="17"/>
              <w:rPr>
                <w:sz w:val="20"/>
              </w:rPr>
            </w:pPr>
            <w:r>
              <w:rPr>
                <w:w w:val="99"/>
                <w:sz w:val="20"/>
              </w:rPr>
              <w:t>4</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1"/>
              <w:ind w:left="109" w:right="90"/>
              <w:rPr>
                <w:rFonts w:ascii="宋体" w:eastAsia="宋体" w:hint="eastAsia"/>
                <w:sz w:val="20"/>
              </w:rPr>
            </w:pPr>
            <w:r>
              <w:rPr>
                <w:rFonts w:ascii="宋体" w:eastAsia="宋体" w:hint="eastAsia"/>
                <w:sz w:val="20"/>
              </w:rPr>
              <w:t>发酵产物</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51"/>
              <w:ind w:left="118" w:right="97"/>
              <w:rPr>
                <w:rFonts w:ascii="宋体" w:eastAsia="宋体" w:hint="eastAsia"/>
                <w:sz w:val="20"/>
              </w:rPr>
            </w:pPr>
            <w:r>
              <w:rPr>
                <w:rFonts w:ascii="宋体" w:eastAsia="宋体" w:hint="eastAsia"/>
                <w:sz w:val="20"/>
              </w:rPr>
              <w:t>猪粪发酵罐</w:t>
            </w:r>
          </w:p>
        </w:tc>
        <w:tc>
          <w:tcPr>
            <w:tcW w:w="6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
              <w:jc w:val="left"/>
              <w:rPr>
                <w:b/>
                <w:sz w:val="21"/>
              </w:rPr>
            </w:pPr>
          </w:p>
          <w:p>
            <w:pPr>
              <w:pStyle w:val="TableParagraph"/>
              <w:spacing w:line="336" w:lineRule="auto" w:before="0"/>
              <w:ind w:left="118" w:right="93"/>
              <w:jc w:val="left"/>
              <w:rPr>
                <w:rFonts w:ascii="宋体" w:eastAsia="宋体" w:hint="eastAsia"/>
                <w:sz w:val="20"/>
              </w:rPr>
            </w:pPr>
            <w:r>
              <w:rPr>
                <w:rFonts w:ascii="宋体" w:eastAsia="宋体" w:hint="eastAsia"/>
                <w:sz w:val="20"/>
              </w:rPr>
              <w:t>一般废物</w:t>
            </w: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2"/>
              <w:ind w:left="118" w:right="93"/>
              <w:rPr>
                <w:sz w:val="20"/>
              </w:rPr>
            </w:pPr>
            <w:r>
              <w:rPr>
                <w:sz w:val="20"/>
              </w:rPr>
              <w:t>030-001-33</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62"/>
              <w:ind w:left="122" w:right="101"/>
              <w:rPr>
                <w:sz w:val="20"/>
              </w:rPr>
            </w:pPr>
            <w:r>
              <w:rPr>
                <w:sz w:val="20"/>
              </w:rPr>
              <w:t>22695.0</w:t>
            </w:r>
          </w:p>
        </w:tc>
        <w:tc>
          <w:tcPr>
            <w:tcW w:w="2907" w:type="dxa"/>
            <w:tcBorders>
              <w:top w:val="single" w:sz="6" w:space="0" w:color="000000"/>
              <w:left w:val="single" w:sz="6" w:space="0" w:color="000000"/>
              <w:bottom w:val="single" w:sz="6" w:space="0" w:color="000000"/>
            </w:tcBorders>
          </w:tcPr>
          <w:p>
            <w:pPr>
              <w:pStyle w:val="TableParagraph"/>
              <w:spacing w:before="51"/>
              <w:ind w:left="135" w:right="108"/>
              <w:rPr>
                <w:rFonts w:ascii="宋体" w:eastAsia="宋体" w:hint="eastAsia"/>
                <w:sz w:val="20"/>
              </w:rPr>
            </w:pPr>
            <w:r>
              <w:rPr>
                <w:rFonts w:ascii="宋体" w:eastAsia="宋体" w:hint="eastAsia"/>
                <w:sz w:val="20"/>
              </w:rPr>
              <w:t>外运至第三方企业生产有机肥</w:t>
            </w:r>
          </w:p>
        </w:tc>
      </w:tr>
      <w:tr>
        <w:trPr>
          <w:trHeight w:val="359" w:hRule="atLeast"/>
        </w:trPr>
        <w:tc>
          <w:tcPr>
            <w:tcW w:w="761" w:type="dxa"/>
            <w:tcBorders>
              <w:top w:val="single" w:sz="6" w:space="0" w:color="000000"/>
              <w:bottom w:val="single" w:sz="6" w:space="0" w:color="000000"/>
              <w:right w:val="single" w:sz="6" w:space="0" w:color="000000"/>
            </w:tcBorders>
          </w:tcPr>
          <w:p>
            <w:pPr>
              <w:pStyle w:val="TableParagraph"/>
              <w:spacing w:before="62"/>
              <w:ind w:left="17"/>
              <w:rPr>
                <w:sz w:val="20"/>
              </w:rPr>
            </w:pPr>
            <w:r>
              <w:rPr>
                <w:w w:val="99"/>
                <w:sz w:val="20"/>
              </w:rPr>
              <w:t>5</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1"/>
              <w:ind w:left="112" w:right="90"/>
              <w:rPr>
                <w:rFonts w:ascii="宋体" w:eastAsia="宋体" w:hint="eastAsia"/>
                <w:sz w:val="20"/>
              </w:rPr>
            </w:pPr>
            <w:r>
              <w:rPr>
                <w:rFonts w:ascii="宋体" w:eastAsia="宋体" w:hint="eastAsia"/>
                <w:sz w:val="20"/>
              </w:rPr>
              <w:t>一般废包装物</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51"/>
              <w:ind w:left="121" w:right="97"/>
              <w:rPr>
                <w:rFonts w:ascii="宋体" w:eastAsia="宋体" w:hint="eastAsia"/>
                <w:sz w:val="20"/>
              </w:rPr>
            </w:pPr>
            <w:r>
              <w:rPr>
                <w:rFonts w:ascii="宋体" w:eastAsia="宋体" w:hint="eastAsia"/>
                <w:sz w:val="20"/>
              </w:rPr>
              <w:t>非危化品包装</w:t>
            </w:r>
          </w:p>
        </w:tc>
        <w:tc>
          <w:tcPr>
            <w:tcW w:w="627" w:type="dxa"/>
            <w:vMerge/>
            <w:tcBorders>
              <w:top w:val="nil"/>
              <w:left w:val="single" w:sz="6" w:space="0" w:color="000000"/>
              <w:bottom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2"/>
              <w:ind w:left="118" w:right="93"/>
              <w:rPr>
                <w:sz w:val="20"/>
              </w:rPr>
            </w:pPr>
            <w:r>
              <w:rPr>
                <w:sz w:val="20"/>
              </w:rPr>
              <w:t>223-001-07</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62"/>
              <w:ind w:left="122" w:right="99"/>
              <w:rPr>
                <w:sz w:val="20"/>
              </w:rPr>
            </w:pPr>
            <w:r>
              <w:rPr>
                <w:sz w:val="20"/>
              </w:rPr>
              <w:t>40.0</w:t>
            </w:r>
          </w:p>
        </w:tc>
        <w:tc>
          <w:tcPr>
            <w:tcW w:w="2907" w:type="dxa"/>
            <w:tcBorders>
              <w:top w:val="single" w:sz="6" w:space="0" w:color="000000"/>
              <w:left w:val="single" w:sz="6" w:space="0" w:color="000000"/>
              <w:bottom w:val="single" w:sz="6" w:space="0" w:color="000000"/>
            </w:tcBorders>
          </w:tcPr>
          <w:p>
            <w:pPr>
              <w:pStyle w:val="TableParagraph"/>
              <w:spacing w:before="51"/>
              <w:ind w:left="131" w:right="108"/>
              <w:rPr>
                <w:rFonts w:ascii="宋体" w:eastAsia="宋体" w:hint="eastAsia"/>
                <w:sz w:val="20"/>
              </w:rPr>
            </w:pPr>
            <w:r>
              <w:rPr>
                <w:rFonts w:ascii="宋体" w:eastAsia="宋体" w:hint="eastAsia"/>
                <w:sz w:val="20"/>
              </w:rPr>
              <w:t>外卖综合利用</w:t>
            </w:r>
          </w:p>
        </w:tc>
      </w:tr>
      <w:tr>
        <w:trPr>
          <w:trHeight w:val="357" w:hRule="atLeast"/>
        </w:trPr>
        <w:tc>
          <w:tcPr>
            <w:tcW w:w="761" w:type="dxa"/>
            <w:tcBorders>
              <w:top w:val="single" w:sz="6" w:space="0" w:color="000000"/>
              <w:bottom w:val="single" w:sz="6" w:space="0" w:color="000000"/>
              <w:right w:val="single" w:sz="6" w:space="0" w:color="000000"/>
            </w:tcBorders>
          </w:tcPr>
          <w:p>
            <w:pPr>
              <w:pStyle w:val="TableParagraph"/>
              <w:spacing w:before="62"/>
              <w:ind w:left="17"/>
              <w:rPr>
                <w:sz w:val="20"/>
              </w:rPr>
            </w:pPr>
            <w:r>
              <w:rPr>
                <w:w w:val="99"/>
                <w:sz w:val="20"/>
              </w:rPr>
              <w:t>6</w:t>
            </w:r>
          </w:p>
        </w:tc>
        <w:tc>
          <w:tcPr>
            <w:tcW w:w="1458" w:type="dxa"/>
            <w:tcBorders>
              <w:top w:val="single" w:sz="6" w:space="0" w:color="000000"/>
              <w:left w:val="single" w:sz="6" w:space="0" w:color="000000"/>
              <w:bottom w:val="single" w:sz="6" w:space="0" w:color="000000"/>
              <w:right w:val="single" w:sz="6" w:space="0" w:color="000000"/>
            </w:tcBorders>
          </w:tcPr>
          <w:p>
            <w:pPr>
              <w:pStyle w:val="TableParagraph"/>
              <w:spacing w:before="51"/>
              <w:ind w:left="109" w:right="90"/>
              <w:rPr>
                <w:rFonts w:ascii="宋体" w:eastAsia="宋体" w:hint="eastAsia"/>
                <w:sz w:val="20"/>
              </w:rPr>
            </w:pPr>
            <w:r>
              <w:rPr>
                <w:rFonts w:ascii="宋体" w:eastAsia="宋体" w:hint="eastAsia"/>
                <w:sz w:val="20"/>
              </w:rPr>
              <w:t>废脱硫剂</w:t>
            </w:r>
          </w:p>
        </w:tc>
        <w:tc>
          <w:tcPr>
            <w:tcW w:w="1474" w:type="dxa"/>
            <w:tcBorders>
              <w:top w:val="single" w:sz="6" w:space="0" w:color="000000"/>
              <w:left w:val="single" w:sz="6" w:space="0" w:color="000000"/>
              <w:bottom w:val="single" w:sz="6" w:space="0" w:color="000000"/>
              <w:right w:val="single" w:sz="6" w:space="0" w:color="000000"/>
            </w:tcBorders>
          </w:tcPr>
          <w:p>
            <w:pPr>
              <w:pStyle w:val="TableParagraph"/>
              <w:spacing w:before="51"/>
              <w:ind w:left="118" w:right="97"/>
              <w:rPr>
                <w:rFonts w:ascii="宋体" w:eastAsia="宋体" w:hint="eastAsia"/>
                <w:sz w:val="20"/>
              </w:rPr>
            </w:pPr>
            <w:r>
              <w:rPr>
                <w:rFonts w:ascii="宋体" w:eastAsia="宋体" w:hint="eastAsia"/>
                <w:sz w:val="20"/>
              </w:rPr>
              <w:t>沼气脱硫</w:t>
            </w:r>
          </w:p>
        </w:tc>
        <w:tc>
          <w:tcPr>
            <w:tcW w:w="627" w:type="dxa"/>
            <w:vMerge/>
            <w:tcBorders>
              <w:top w:val="nil"/>
              <w:left w:val="single" w:sz="6" w:space="0" w:color="000000"/>
              <w:bottom w:val="single" w:sz="6" w:space="0" w:color="000000"/>
              <w:right w:val="single" w:sz="6" w:space="0" w:color="000000"/>
            </w:tcBorders>
          </w:tcPr>
          <w:p>
            <w:pPr>
              <w:rPr>
                <w:sz w:val="2"/>
                <w:szCs w:val="2"/>
              </w:rPr>
            </w:pPr>
          </w:p>
        </w:tc>
        <w:tc>
          <w:tcPr>
            <w:tcW w:w="1200" w:type="dxa"/>
            <w:tcBorders>
              <w:top w:val="single" w:sz="6" w:space="0" w:color="000000"/>
              <w:left w:val="single" w:sz="6" w:space="0" w:color="000000"/>
              <w:bottom w:val="single" w:sz="6" w:space="0" w:color="000000"/>
              <w:right w:val="single" w:sz="6" w:space="0" w:color="000000"/>
            </w:tcBorders>
          </w:tcPr>
          <w:p>
            <w:pPr>
              <w:pStyle w:val="TableParagraph"/>
              <w:spacing w:before="62"/>
              <w:ind w:left="118" w:right="93"/>
              <w:rPr>
                <w:sz w:val="20"/>
              </w:rPr>
            </w:pPr>
            <w:r>
              <w:rPr>
                <w:sz w:val="20"/>
              </w:rPr>
              <w:t>260-001-54</w:t>
            </w:r>
          </w:p>
        </w:tc>
        <w:tc>
          <w:tcPr>
            <w:tcW w:w="929" w:type="dxa"/>
            <w:tcBorders>
              <w:top w:val="single" w:sz="6" w:space="0" w:color="000000"/>
              <w:left w:val="single" w:sz="6" w:space="0" w:color="000000"/>
              <w:bottom w:val="single" w:sz="6" w:space="0" w:color="000000"/>
              <w:right w:val="single" w:sz="6" w:space="0" w:color="000000"/>
            </w:tcBorders>
          </w:tcPr>
          <w:p>
            <w:pPr>
              <w:pStyle w:val="TableParagraph"/>
              <w:spacing w:before="62"/>
              <w:ind w:left="122" w:right="98"/>
              <w:rPr>
                <w:sz w:val="20"/>
              </w:rPr>
            </w:pPr>
            <w:r>
              <w:rPr>
                <w:sz w:val="20"/>
              </w:rPr>
              <w:t>8.0</w:t>
            </w:r>
          </w:p>
        </w:tc>
        <w:tc>
          <w:tcPr>
            <w:tcW w:w="2907" w:type="dxa"/>
            <w:tcBorders>
              <w:top w:val="single" w:sz="6" w:space="0" w:color="000000"/>
              <w:left w:val="single" w:sz="6" w:space="0" w:color="000000"/>
              <w:bottom w:val="single" w:sz="6" w:space="0" w:color="000000"/>
            </w:tcBorders>
          </w:tcPr>
          <w:p>
            <w:pPr>
              <w:pStyle w:val="TableParagraph"/>
              <w:spacing w:before="51"/>
              <w:ind w:left="134" w:right="108"/>
              <w:rPr>
                <w:rFonts w:ascii="宋体" w:eastAsia="宋体" w:hint="eastAsia"/>
                <w:sz w:val="20"/>
              </w:rPr>
            </w:pPr>
            <w:r>
              <w:rPr>
                <w:rFonts w:ascii="宋体" w:eastAsia="宋体" w:hint="eastAsia"/>
                <w:sz w:val="20"/>
              </w:rPr>
              <w:t>供应商更换回收</w:t>
            </w:r>
          </w:p>
        </w:tc>
      </w:tr>
      <w:tr>
        <w:trPr>
          <w:trHeight w:val="716" w:hRule="atLeast"/>
        </w:trPr>
        <w:tc>
          <w:tcPr>
            <w:tcW w:w="761" w:type="dxa"/>
            <w:tcBorders>
              <w:top w:val="single" w:sz="6" w:space="0" w:color="000000"/>
              <w:right w:val="single" w:sz="6" w:space="0" w:color="000000"/>
            </w:tcBorders>
          </w:tcPr>
          <w:p>
            <w:pPr>
              <w:pStyle w:val="TableParagraph"/>
              <w:spacing w:before="1"/>
              <w:jc w:val="left"/>
              <w:rPr>
                <w:b/>
                <w:sz w:val="21"/>
              </w:rPr>
            </w:pPr>
          </w:p>
          <w:p>
            <w:pPr>
              <w:pStyle w:val="TableParagraph"/>
              <w:spacing w:before="0"/>
              <w:ind w:left="17"/>
              <w:rPr>
                <w:sz w:val="20"/>
              </w:rPr>
            </w:pPr>
            <w:r>
              <w:rPr>
                <w:w w:val="99"/>
                <w:sz w:val="20"/>
              </w:rPr>
              <w:t>7</w:t>
            </w:r>
          </w:p>
        </w:tc>
        <w:tc>
          <w:tcPr>
            <w:tcW w:w="1458" w:type="dxa"/>
            <w:tcBorders>
              <w:top w:val="single" w:sz="6" w:space="0" w:color="000000"/>
              <w:left w:val="single" w:sz="6" w:space="0" w:color="000000"/>
              <w:right w:val="single" w:sz="6" w:space="0" w:color="000000"/>
            </w:tcBorders>
          </w:tcPr>
          <w:p>
            <w:pPr>
              <w:pStyle w:val="TableParagraph"/>
              <w:spacing w:before="1"/>
              <w:jc w:val="left"/>
              <w:rPr>
                <w:b/>
                <w:sz w:val="20"/>
              </w:rPr>
            </w:pPr>
          </w:p>
          <w:p>
            <w:pPr>
              <w:pStyle w:val="TableParagraph"/>
              <w:spacing w:before="0"/>
              <w:ind w:left="109" w:right="90"/>
              <w:rPr>
                <w:rFonts w:ascii="宋体" w:eastAsia="宋体" w:hint="eastAsia"/>
                <w:sz w:val="20"/>
              </w:rPr>
            </w:pPr>
            <w:r>
              <w:rPr>
                <w:rFonts w:ascii="宋体" w:eastAsia="宋体" w:hint="eastAsia"/>
                <w:sz w:val="20"/>
              </w:rPr>
              <w:t>生活垃圾</w:t>
            </w:r>
          </w:p>
        </w:tc>
        <w:tc>
          <w:tcPr>
            <w:tcW w:w="1474" w:type="dxa"/>
            <w:tcBorders>
              <w:top w:val="single" w:sz="6" w:space="0" w:color="000000"/>
              <w:left w:val="single" w:sz="6" w:space="0" w:color="000000"/>
              <w:right w:val="single" w:sz="6" w:space="0" w:color="000000"/>
            </w:tcBorders>
          </w:tcPr>
          <w:p>
            <w:pPr>
              <w:pStyle w:val="TableParagraph"/>
              <w:spacing w:before="1"/>
              <w:jc w:val="left"/>
              <w:rPr>
                <w:b/>
                <w:sz w:val="20"/>
              </w:rPr>
            </w:pPr>
          </w:p>
          <w:p>
            <w:pPr>
              <w:pStyle w:val="TableParagraph"/>
              <w:spacing w:before="0"/>
              <w:ind w:left="118" w:right="97"/>
              <w:rPr>
                <w:rFonts w:ascii="宋体" w:eastAsia="宋体" w:hint="eastAsia"/>
                <w:sz w:val="20"/>
              </w:rPr>
            </w:pPr>
            <w:r>
              <w:rPr>
                <w:rFonts w:ascii="宋体" w:eastAsia="宋体" w:hint="eastAsia"/>
                <w:sz w:val="20"/>
              </w:rPr>
              <w:t>职工生活</w:t>
            </w:r>
          </w:p>
        </w:tc>
        <w:tc>
          <w:tcPr>
            <w:tcW w:w="627" w:type="dxa"/>
            <w:tcBorders>
              <w:top w:val="single" w:sz="6" w:space="0" w:color="000000"/>
              <w:left w:val="single" w:sz="6" w:space="0" w:color="000000"/>
              <w:right w:val="single" w:sz="6" w:space="0" w:color="000000"/>
            </w:tcBorders>
          </w:tcPr>
          <w:p>
            <w:pPr>
              <w:pStyle w:val="TableParagraph"/>
              <w:spacing w:before="54"/>
              <w:ind w:left="118"/>
              <w:jc w:val="left"/>
              <w:rPr>
                <w:rFonts w:ascii="宋体" w:eastAsia="宋体" w:hint="eastAsia"/>
                <w:sz w:val="20"/>
              </w:rPr>
            </w:pPr>
            <w:r>
              <w:rPr>
                <w:rFonts w:ascii="宋体" w:eastAsia="宋体" w:hint="eastAsia"/>
                <w:w w:val="95"/>
                <w:sz w:val="20"/>
              </w:rPr>
              <w:t>生活</w:t>
            </w:r>
          </w:p>
          <w:p>
            <w:pPr>
              <w:pStyle w:val="TableParagraph"/>
              <w:spacing w:before="101"/>
              <w:ind w:left="118"/>
              <w:jc w:val="left"/>
              <w:rPr>
                <w:rFonts w:ascii="宋体" w:eastAsia="宋体" w:hint="eastAsia"/>
                <w:sz w:val="20"/>
              </w:rPr>
            </w:pPr>
            <w:r>
              <w:rPr>
                <w:rFonts w:ascii="宋体" w:eastAsia="宋体" w:hint="eastAsia"/>
                <w:w w:val="95"/>
                <w:sz w:val="20"/>
              </w:rPr>
              <w:t>垃圾</w:t>
            </w:r>
          </w:p>
        </w:tc>
        <w:tc>
          <w:tcPr>
            <w:tcW w:w="1200" w:type="dxa"/>
            <w:tcBorders>
              <w:top w:val="single" w:sz="6" w:space="0" w:color="000000"/>
              <w:left w:val="single" w:sz="6" w:space="0" w:color="000000"/>
              <w:right w:val="single" w:sz="6" w:space="0" w:color="000000"/>
            </w:tcBorders>
          </w:tcPr>
          <w:p>
            <w:pPr>
              <w:pStyle w:val="TableParagraph"/>
              <w:spacing w:before="1"/>
              <w:jc w:val="left"/>
              <w:rPr>
                <w:b/>
                <w:sz w:val="21"/>
              </w:rPr>
            </w:pPr>
          </w:p>
          <w:p>
            <w:pPr>
              <w:pStyle w:val="TableParagraph"/>
              <w:spacing w:before="0"/>
              <w:ind w:left="23"/>
              <w:rPr>
                <w:sz w:val="20"/>
              </w:rPr>
            </w:pPr>
            <w:r>
              <w:rPr>
                <w:w w:val="99"/>
                <w:sz w:val="20"/>
              </w:rPr>
              <w:t>/</w:t>
            </w:r>
          </w:p>
        </w:tc>
        <w:tc>
          <w:tcPr>
            <w:tcW w:w="929" w:type="dxa"/>
            <w:tcBorders>
              <w:top w:val="single" w:sz="6" w:space="0" w:color="000000"/>
              <w:left w:val="single" w:sz="6" w:space="0" w:color="000000"/>
              <w:right w:val="single" w:sz="6" w:space="0" w:color="000000"/>
            </w:tcBorders>
          </w:tcPr>
          <w:p>
            <w:pPr>
              <w:pStyle w:val="TableParagraph"/>
              <w:spacing w:before="1"/>
              <w:jc w:val="left"/>
              <w:rPr>
                <w:b/>
                <w:sz w:val="21"/>
              </w:rPr>
            </w:pPr>
          </w:p>
          <w:p>
            <w:pPr>
              <w:pStyle w:val="TableParagraph"/>
              <w:spacing w:before="0"/>
              <w:ind w:left="122" w:right="99"/>
              <w:rPr>
                <w:sz w:val="20"/>
              </w:rPr>
            </w:pPr>
            <w:r>
              <w:rPr>
                <w:sz w:val="20"/>
              </w:rPr>
              <w:t>16.4</w:t>
            </w:r>
          </w:p>
        </w:tc>
        <w:tc>
          <w:tcPr>
            <w:tcW w:w="2907" w:type="dxa"/>
            <w:tcBorders>
              <w:top w:val="single" w:sz="6" w:space="0" w:color="000000"/>
              <w:left w:val="single" w:sz="6" w:space="0" w:color="000000"/>
            </w:tcBorders>
          </w:tcPr>
          <w:p>
            <w:pPr>
              <w:pStyle w:val="TableParagraph"/>
              <w:spacing w:before="1"/>
              <w:jc w:val="left"/>
              <w:rPr>
                <w:b/>
                <w:sz w:val="20"/>
              </w:rPr>
            </w:pPr>
          </w:p>
          <w:p>
            <w:pPr>
              <w:pStyle w:val="TableParagraph"/>
              <w:spacing w:before="0"/>
              <w:ind w:left="133" w:right="108"/>
              <w:rPr>
                <w:rFonts w:ascii="宋体" w:eastAsia="宋体" w:hint="eastAsia"/>
                <w:sz w:val="20"/>
              </w:rPr>
            </w:pPr>
            <w:r>
              <w:rPr>
                <w:rFonts w:ascii="宋体" w:eastAsia="宋体" w:hint="eastAsia"/>
                <w:sz w:val="20"/>
              </w:rPr>
              <w:t>当地环卫部门统一清运</w:t>
            </w:r>
          </w:p>
        </w:tc>
      </w:tr>
    </w:tbl>
    <w:p>
      <w:pPr>
        <w:spacing w:before="84"/>
        <w:ind w:left="719" w:right="0" w:firstLine="0"/>
        <w:jc w:val="left"/>
        <w:rPr>
          <w:b/>
          <w:sz w:val="24"/>
        </w:rPr>
      </w:pPr>
      <w:r>
        <w:rPr>
          <w:rFonts w:ascii="Times New Roman" w:eastAsia="Times New Roman"/>
          <w:b/>
          <w:sz w:val="24"/>
        </w:rPr>
        <w:t>4</w:t>
      </w:r>
      <w:r>
        <w:rPr>
          <w:b/>
          <w:sz w:val="24"/>
        </w:rPr>
        <w:t>、重金属污染预防措施</w:t>
      </w:r>
    </w:p>
    <w:p>
      <w:pPr>
        <w:pStyle w:val="BodyText"/>
        <w:spacing w:line="364" w:lineRule="auto" w:before="161"/>
        <w:ind w:right="249" w:firstLine="480"/>
        <w:jc w:val="both"/>
      </w:pPr>
      <w:r>
        <w:rPr/>
        <w:t>严格控制金属元素的添加量，不使用高铜制剂；尽可能采用生猪易吸收的 </w:t>
      </w:r>
      <w:r>
        <w:rPr>
          <w:rFonts w:ascii="Times New Roman" w:eastAsia="Times New Roman"/>
          <w:spacing w:val="2"/>
        </w:rPr>
        <w:t>Cu</w:t>
      </w:r>
      <w:r>
        <w:rPr>
          <w:spacing w:val="4"/>
        </w:rPr>
        <w:t>、</w:t>
      </w:r>
      <w:r>
        <w:rPr>
          <w:rFonts w:ascii="Times New Roman" w:eastAsia="Times New Roman"/>
        </w:rPr>
        <w:t>Zn </w:t>
      </w:r>
      <w:r>
        <w:rPr/>
        <w:t>化合物，如有机铜或有机锌，从而减少重金属的排放量。参照国外有关规定，欧盟将铜</w:t>
      </w:r>
      <w:r>
        <w:rPr>
          <w:spacing w:val="-11"/>
        </w:rPr>
        <w:t>限制在 </w:t>
      </w:r>
      <w:r>
        <w:rPr>
          <w:rFonts w:ascii="Times New Roman" w:eastAsia="Times New Roman"/>
        </w:rPr>
        <w:t>160mg/kg </w:t>
      </w:r>
      <w:r>
        <w:rPr/>
        <w:t>以内；日本对猪粮中铜的限制为：仔猪（</w:t>
      </w:r>
      <w:r>
        <w:rPr>
          <w:rFonts w:ascii="Times New Roman" w:eastAsia="Times New Roman"/>
        </w:rPr>
        <w:t>30kg </w:t>
      </w:r>
      <w:r>
        <w:rPr/>
        <w:t>以下）</w:t>
      </w:r>
      <w:r>
        <w:rPr>
          <w:rFonts w:ascii="Times New Roman" w:eastAsia="Times New Roman"/>
        </w:rPr>
        <w:t>125mg/kg </w:t>
      </w:r>
      <w:r>
        <w:rPr>
          <w:spacing w:val="-5"/>
        </w:rPr>
        <w:t>以内、</w:t>
      </w:r>
      <w:r>
        <w:rPr/>
        <w:t>生长猪（</w:t>
      </w:r>
      <w:r>
        <w:rPr>
          <w:rFonts w:ascii="Times New Roman" w:eastAsia="Times New Roman"/>
        </w:rPr>
        <w:t>30~70kg</w:t>
      </w:r>
      <w:r>
        <w:rPr/>
        <w:t>）</w:t>
      </w:r>
      <w:r>
        <w:rPr>
          <w:rFonts w:ascii="Times New Roman" w:eastAsia="Times New Roman"/>
        </w:rPr>
        <w:t>45mg/kg </w:t>
      </w:r>
      <w:r>
        <w:rPr/>
        <w:t>以内、肥育猪（</w:t>
      </w:r>
      <w:r>
        <w:rPr>
          <w:rFonts w:ascii="Times New Roman" w:eastAsia="Times New Roman"/>
        </w:rPr>
        <w:t>70kg </w:t>
      </w:r>
      <w:r>
        <w:rPr/>
        <w:t>以上）</w:t>
      </w:r>
      <w:r>
        <w:rPr>
          <w:rFonts w:ascii="Times New Roman" w:eastAsia="Times New Roman"/>
        </w:rPr>
        <w:t>10mg/kg </w:t>
      </w:r>
      <w:r>
        <w:rPr>
          <w:spacing w:val="-2"/>
        </w:rPr>
        <w:t>以内；我国规定仔猪饲</w:t>
      </w:r>
      <w:r>
        <w:rPr>
          <w:spacing w:val="-5"/>
        </w:rPr>
        <w:t>料中铜含量不能超过 </w:t>
      </w:r>
      <w:r>
        <w:rPr>
          <w:rFonts w:ascii="Times New Roman" w:eastAsia="Times New Roman"/>
        </w:rPr>
        <w:t>200mg/kg</w:t>
      </w:r>
      <w:r>
        <w:rPr>
          <w:spacing w:val="-2"/>
        </w:rPr>
        <w:t>。建设单位在养殖过程中应严格控制混合饲料中 </w:t>
      </w:r>
      <w:r>
        <w:rPr>
          <w:rFonts w:ascii="Times New Roman" w:eastAsia="Times New Roman"/>
        </w:rPr>
        <w:t>Cu </w:t>
      </w:r>
      <w:r>
        <w:rPr>
          <w:spacing w:val="-8"/>
        </w:rPr>
        <w:t>的添</w:t>
      </w:r>
      <w:r>
        <w:rPr>
          <w:spacing w:val="-7"/>
        </w:rPr>
        <w:t>加量，本次环评建议参照欧盟限值，将铜含量控制在 </w:t>
      </w:r>
      <w:r>
        <w:rPr>
          <w:rFonts w:ascii="Times New Roman" w:eastAsia="Times New Roman"/>
        </w:rPr>
        <w:t>150mg/kg </w:t>
      </w:r>
      <w:r>
        <w:rPr>
          <w:spacing w:val="-4"/>
        </w:rPr>
        <w:t>以下，从源头上减少重金</w:t>
      </w:r>
      <w:r>
        <w:rPr/>
        <w:t>属的使用和产生量。</w:t>
      </w:r>
    </w:p>
    <w:p>
      <w:pPr>
        <w:pStyle w:val="Heading3"/>
        <w:numPr>
          <w:ilvl w:val="2"/>
          <w:numId w:val="88"/>
        </w:numPr>
        <w:tabs>
          <w:tab w:pos="838" w:val="left" w:leader="none"/>
        </w:tabs>
        <w:spacing w:line="240" w:lineRule="auto" w:before="5" w:after="0"/>
        <w:ind w:left="837" w:right="0" w:hanging="601"/>
        <w:jc w:val="both"/>
      </w:pPr>
      <w:bookmarkStart w:name="_bookmark105" w:id="203"/>
      <w:bookmarkEnd w:id="203"/>
      <w:r>
        <w:rPr>
          <w:b w:val="0"/>
        </w:rPr>
      </w:r>
      <w:bookmarkStart w:name="_bookmark105" w:id="204"/>
      <w:bookmarkEnd w:id="204"/>
      <w:r>
        <w:rPr/>
        <w:t>噪声污染防治对策</w:t>
      </w:r>
    </w:p>
    <w:p>
      <w:pPr>
        <w:pStyle w:val="BodyText"/>
        <w:spacing w:line="364" w:lineRule="auto" w:before="160"/>
        <w:ind w:right="250" w:firstLine="480"/>
        <w:jc w:val="both"/>
      </w:pPr>
      <w:r>
        <w:rPr/>
        <w:t>项目噪声污染主要来源于各类风机、水泵、搅拌机等机械类设备的运行，其噪声级</w:t>
      </w:r>
      <w:r>
        <w:rPr>
          <w:spacing w:val="-29"/>
        </w:rPr>
        <w:t>在 </w:t>
      </w:r>
      <w:r>
        <w:rPr>
          <w:rFonts w:ascii="Times New Roman" w:eastAsia="Times New Roman"/>
          <w:spacing w:val="-4"/>
        </w:rPr>
        <w:t>70~75dB</w:t>
      </w:r>
      <w:r>
        <w:rPr>
          <w:spacing w:val="-4"/>
        </w:rPr>
        <w:t>（</w:t>
      </w:r>
      <w:r>
        <w:rPr>
          <w:rFonts w:ascii="Times New Roman" w:eastAsia="Times New Roman"/>
          <w:spacing w:val="-4"/>
        </w:rPr>
        <w:t>A</w:t>
      </w:r>
      <w:r>
        <w:rPr>
          <w:spacing w:val="-4"/>
        </w:rPr>
        <w:t>）</w:t>
      </w:r>
      <w:r>
        <w:rPr>
          <w:spacing w:val="-6"/>
        </w:rPr>
        <w:t>之间。这些噪声源在车间内部形成混响声场，以面源的形式对外界造成</w:t>
      </w:r>
      <w:r>
        <w:rPr>
          <w:spacing w:val="-12"/>
        </w:rPr>
        <w:t>影响。根据声环境影响分析，项目建成投产后，在采取下列措施的基础上，噪声可达《工</w:t>
      </w:r>
      <w:r>
        <w:rPr/>
        <w:t>业企业厂界环境噪声排放标准》（</w:t>
      </w:r>
      <w:r>
        <w:rPr>
          <w:rFonts w:ascii="Times New Roman" w:eastAsia="Times New Roman"/>
        </w:rPr>
        <w:t>GB 12348-2008</w:t>
      </w:r>
      <w:r>
        <w:rPr/>
        <w:t>）规定要求。</w:t>
      </w:r>
    </w:p>
    <w:p>
      <w:pPr>
        <w:pStyle w:val="BodyText"/>
        <w:spacing w:before="3"/>
        <w:ind w:left="717"/>
      </w:pPr>
      <w:r>
        <w:rPr>
          <w:rFonts w:ascii="Times New Roman" w:eastAsia="Times New Roman"/>
        </w:rPr>
        <w:t>1</w:t>
      </w:r>
      <w:r>
        <w:rPr/>
        <w:t>、在设备采购阶段，要注意选用先进的低噪声设备，以降低噪声源强；</w:t>
      </w:r>
    </w:p>
    <w:p>
      <w:pPr>
        <w:spacing w:after="0"/>
        <w:sectPr>
          <w:pgSz w:w="11910" w:h="16840"/>
          <w:pgMar w:header="874" w:footer="1004" w:top="1420" w:bottom="1200" w:left="1040" w:right="1160"/>
        </w:sectPr>
      </w:pPr>
    </w:p>
    <w:p>
      <w:pPr>
        <w:pStyle w:val="BodyText"/>
        <w:spacing w:before="92"/>
        <w:ind w:left="717"/>
      </w:pPr>
      <w:r>
        <w:rPr>
          <w:rFonts w:ascii="Times New Roman" w:eastAsia="Times New Roman"/>
        </w:rPr>
        <w:t>2</w:t>
      </w:r>
      <w:r>
        <w:rPr/>
        <w:t>、对风机、水泵等高噪声设备采取减震、隔震措施，对电动机加装隔声罩；</w:t>
      </w:r>
    </w:p>
    <w:p>
      <w:pPr>
        <w:pStyle w:val="BodyText"/>
        <w:spacing w:before="160"/>
        <w:ind w:left="717"/>
      </w:pPr>
      <w:r>
        <w:rPr>
          <w:rFonts w:ascii="Times New Roman" w:eastAsia="Times New Roman"/>
        </w:rPr>
        <w:t>3</w:t>
      </w:r>
      <w:r>
        <w:rPr/>
        <w:t>、临厂界的猪舍室内墙壁采用吸声材料，以降低噪声的影响；</w:t>
      </w:r>
    </w:p>
    <w:p>
      <w:pPr>
        <w:pStyle w:val="BodyText"/>
        <w:spacing w:before="161"/>
        <w:ind w:left="717"/>
      </w:pPr>
      <w:r>
        <w:rPr>
          <w:rFonts w:ascii="Times New Roman" w:eastAsia="Times New Roman"/>
          <w:position w:val="1"/>
        </w:rPr>
        <w:t>4</w:t>
      </w:r>
      <w:r>
        <w:rPr/>
        <w:t>、合理布局设备位置，将室内高噪声设备远离墙体，室外高噪声设备远离厂界；</w:t>
      </w:r>
    </w:p>
    <w:p>
      <w:pPr>
        <w:pStyle w:val="BodyText"/>
        <w:spacing w:line="364" w:lineRule="auto" w:before="160"/>
        <w:ind w:right="221" w:firstLine="480"/>
      </w:pPr>
      <w:r>
        <w:rPr>
          <w:rFonts w:ascii="Times New Roman" w:eastAsia="Times New Roman"/>
          <w:position w:val="1"/>
        </w:rPr>
        <w:t>5</w:t>
      </w:r>
      <w:r>
        <w:rPr/>
        <w:t>、加强设备的维护管理，避免因不正常运行所导致的噪声增大，发现设备有异常声音时应及时检修；</w:t>
      </w:r>
    </w:p>
    <w:p>
      <w:pPr>
        <w:pStyle w:val="BodyText"/>
        <w:spacing w:before="1"/>
        <w:ind w:left="717"/>
      </w:pPr>
      <w:r>
        <w:rPr>
          <w:rFonts w:ascii="Times New Roman" w:eastAsia="Times New Roman"/>
          <w:position w:val="1"/>
        </w:rPr>
        <w:t>6</w:t>
      </w:r>
      <w:r>
        <w:rPr/>
        <w:t>、对进出厂区大型车辆加强管理，厂区内及出入口附近禁止鸣笛，并限制车速；</w:t>
      </w:r>
    </w:p>
    <w:p>
      <w:pPr>
        <w:pStyle w:val="BodyText"/>
        <w:spacing w:before="161"/>
        <w:ind w:left="717"/>
      </w:pPr>
      <w:r>
        <w:rPr>
          <w:rFonts w:ascii="Times New Roman" w:eastAsia="Times New Roman"/>
          <w:position w:val="1"/>
        </w:rPr>
        <w:t>7</w:t>
      </w:r>
      <w:r>
        <w:rPr/>
        <w:t>、加强厂区绿化，采用乔灌结合的立体绿化系统。</w:t>
      </w:r>
    </w:p>
    <w:p>
      <w:pPr>
        <w:pStyle w:val="Heading3"/>
        <w:numPr>
          <w:ilvl w:val="2"/>
          <w:numId w:val="88"/>
        </w:numPr>
        <w:tabs>
          <w:tab w:pos="838" w:val="left" w:leader="none"/>
        </w:tabs>
        <w:spacing w:line="240" w:lineRule="auto" w:before="160" w:after="0"/>
        <w:ind w:left="837" w:right="0" w:hanging="601"/>
        <w:jc w:val="left"/>
      </w:pPr>
      <w:bookmarkStart w:name="_bookmark106" w:id="205"/>
      <w:bookmarkEnd w:id="205"/>
      <w:r>
        <w:rPr>
          <w:b w:val="0"/>
        </w:rPr>
      </w:r>
      <w:bookmarkStart w:name="_bookmark106" w:id="206"/>
      <w:bookmarkEnd w:id="206"/>
      <w:r>
        <w:rPr/>
        <w:t>地下水及土壤污染防治措施</w:t>
      </w:r>
    </w:p>
    <w:p>
      <w:pPr>
        <w:spacing w:before="161"/>
        <w:ind w:left="719" w:right="0" w:firstLine="0"/>
        <w:jc w:val="left"/>
        <w:rPr>
          <w:b/>
          <w:sz w:val="24"/>
        </w:rPr>
      </w:pPr>
      <w:r>
        <w:rPr>
          <w:rFonts w:ascii="Times New Roman" w:eastAsia="Times New Roman"/>
          <w:b/>
          <w:sz w:val="24"/>
        </w:rPr>
        <w:t>1</w:t>
      </w:r>
      <w:r>
        <w:rPr>
          <w:b/>
          <w:sz w:val="24"/>
        </w:rPr>
        <w:t>、合理进行防渗区域划分</w:t>
      </w:r>
    </w:p>
    <w:p>
      <w:pPr>
        <w:pStyle w:val="BodyText"/>
        <w:spacing w:line="364" w:lineRule="auto" w:before="161"/>
        <w:ind w:right="247" w:firstLine="480"/>
        <w:jc w:val="both"/>
      </w:pPr>
      <w:r>
        <w:rPr/>
        <w:t>项目不开采地下水，也不向地下水及土壤排放废水或其他物质。根据分析，项目可能对地下水及土壤造成污染的污染源主要有：各类猪舍、污水收集沟渠、固液分离区、污水处理构筑物（含事故应急池）、猪粪发酵间、有机肥车间、危废暂存间（含医疗废物暂存间）、无害化处理间等。根据可能泄漏至地面区域污染物的性质和生产单元的构筑方式划分为：重点污染防治区、一般污染防治区和非污染防治区。</w:t>
      </w:r>
    </w:p>
    <w:p>
      <w:pPr>
        <w:pStyle w:val="ListParagraph"/>
        <w:numPr>
          <w:ilvl w:val="0"/>
          <w:numId w:val="100"/>
        </w:numPr>
        <w:tabs>
          <w:tab w:pos="1319" w:val="left" w:leader="none"/>
        </w:tabs>
        <w:spacing w:line="240" w:lineRule="auto" w:before="3" w:after="0"/>
        <w:ind w:left="1318" w:right="0" w:hanging="602"/>
        <w:jc w:val="left"/>
        <w:rPr>
          <w:sz w:val="24"/>
        </w:rPr>
      </w:pPr>
      <w:r>
        <w:rPr>
          <w:sz w:val="24"/>
        </w:rPr>
        <w:t>重点污染防治区</w:t>
      </w:r>
    </w:p>
    <w:p>
      <w:pPr>
        <w:pStyle w:val="BodyText"/>
        <w:spacing w:line="364" w:lineRule="auto" w:before="161"/>
        <w:ind w:right="247" w:firstLine="480"/>
        <w:jc w:val="both"/>
      </w:pPr>
      <w:r>
        <w:rPr/>
        <w:t>对地下水及土壤环境有污染的物料或污染物泄漏后，不能及时发现和处理的区域或部位，包括污水收集沟渠、固液分离区、污水处理构筑物（含事故应急池</w:t>
      </w:r>
      <w:r>
        <w:rPr>
          <w:spacing w:val="3"/>
        </w:rPr>
        <w:t>）</w:t>
      </w:r>
      <w:r>
        <w:rPr/>
        <w:t>、危废暂存间（含医疗废物暂存间）、无害化处理间等。对于重点污染防治区，按照《危险废物贮</w:t>
      </w:r>
      <w:r>
        <w:rPr>
          <w:spacing w:val="-1"/>
        </w:rPr>
        <w:t>存污染控制标准》</w:t>
      </w:r>
      <w:r>
        <w:rPr/>
        <w:t>（</w:t>
      </w:r>
      <w:r>
        <w:rPr>
          <w:rFonts w:ascii="Times New Roman" w:eastAsia="Times New Roman"/>
          <w:position w:val="1"/>
        </w:rPr>
        <w:t>GB 18597-2001</w:t>
      </w:r>
      <w:r>
        <w:rPr/>
        <w:t>）</w:t>
      </w:r>
      <w:r>
        <w:rPr>
          <w:spacing w:val="-4"/>
        </w:rPr>
        <w:t>、《危险废物污染防治技术政策》等相关标准、法</w:t>
      </w:r>
      <w:r>
        <w:rPr/>
        <w:t>律法规要求，参照《危废物安全填埋处置工程建设技术要求》、《危险废物填埋场污染控制标准》（</w:t>
      </w:r>
      <w:r>
        <w:rPr>
          <w:rFonts w:ascii="Times New Roman" w:eastAsia="Times New Roman"/>
          <w:position w:val="1"/>
        </w:rPr>
        <w:t>GB 18598-2001</w:t>
      </w:r>
      <w:r>
        <w:rPr/>
        <w:t>）进行防渗设计。</w:t>
      </w:r>
    </w:p>
    <w:p>
      <w:pPr>
        <w:pStyle w:val="BodyText"/>
        <w:spacing w:line="364" w:lineRule="auto" w:before="4"/>
        <w:ind w:right="126" w:firstLine="480"/>
        <w:jc w:val="both"/>
      </w:pPr>
      <w:r>
        <w:rPr>
          <w:spacing w:val="-15"/>
        </w:rPr>
        <w:t>重点防渗区要求：场地基础必须防渗，防渗层至少 </w:t>
      </w:r>
      <w:r>
        <w:rPr>
          <w:rFonts w:ascii="Times New Roman" w:hAnsi="Times New Roman" w:eastAsia="Times New Roman"/>
          <w:position w:val="1"/>
        </w:rPr>
        <w:t>1m </w:t>
      </w:r>
      <w:r>
        <w:rPr>
          <w:spacing w:val="-18"/>
        </w:rPr>
        <w:t>厚粘土层</w:t>
      </w:r>
      <w:r>
        <w:rPr/>
        <w:t>（渗透系数</w:t>
      </w:r>
      <w:r>
        <w:rPr>
          <w:rFonts w:ascii="Times New Roman" w:hAnsi="Times New Roman" w:eastAsia="Times New Roman"/>
          <w:position w:val="1"/>
        </w:rPr>
        <w:t>≤10</w:t>
      </w:r>
      <w:r>
        <w:rPr>
          <w:rFonts w:ascii="Times New Roman" w:hAnsi="Times New Roman" w:eastAsia="Times New Roman"/>
          <w:position w:val="1"/>
          <w:vertAlign w:val="superscript"/>
        </w:rPr>
        <w:t>-7</w:t>
      </w:r>
      <w:r>
        <w:rPr>
          <w:rFonts w:ascii="Times New Roman" w:hAnsi="Times New Roman" w:eastAsia="Times New Roman"/>
          <w:position w:val="1"/>
          <w:vertAlign w:val="baseline"/>
        </w:rPr>
        <w:t>cm/s</w:t>
      </w:r>
      <w:r>
        <w:rPr>
          <w:vertAlign w:val="baseline"/>
        </w:rPr>
        <w:t>， </w:t>
      </w:r>
      <w:r>
        <w:rPr>
          <w:spacing w:val="-31"/>
          <w:vertAlign w:val="baseline"/>
        </w:rPr>
        <w:t>或 </w:t>
      </w:r>
      <w:r>
        <w:rPr>
          <w:rFonts w:ascii="Times New Roman" w:hAnsi="Times New Roman" w:eastAsia="Times New Roman"/>
          <w:position w:val="1"/>
          <w:vertAlign w:val="baseline"/>
        </w:rPr>
        <w:t>2mm </w:t>
      </w:r>
      <w:r>
        <w:rPr>
          <w:spacing w:val="-5"/>
          <w:vertAlign w:val="baseline"/>
        </w:rPr>
        <w:t>厚高密度聚乙烯，或至少 </w:t>
      </w:r>
      <w:r>
        <w:rPr>
          <w:rFonts w:ascii="Times New Roman" w:hAnsi="Times New Roman" w:eastAsia="Times New Roman"/>
          <w:position w:val="1"/>
          <w:vertAlign w:val="baseline"/>
        </w:rPr>
        <w:t>2mm </w:t>
      </w:r>
      <w:r>
        <w:rPr>
          <w:vertAlign w:val="baseline"/>
        </w:rPr>
        <w:t>厚的其他人工材料，渗透系数</w:t>
      </w:r>
      <w:r>
        <w:rPr>
          <w:rFonts w:ascii="Times New Roman" w:hAnsi="Times New Roman" w:eastAsia="Times New Roman"/>
          <w:position w:val="1"/>
          <w:vertAlign w:val="baseline"/>
        </w:rPr>
        <w:t>≤10</w:t>
      </w:r>
      <w:r>
        <w:rPr>
          <w:rFonts w:ascii="Times New Roman" w:hAnsi="Times New Roman" w:eastAsia="Times New Roman"/>
          <w:position w:val="1"/>
          <w:vertAlign w:val="superscript"/>
        </w:rPr>
        <w:t>-10</w:t>
      </w:r>
      <w:r>
        <w:rPr>
          <w:rFonts w:ascii="Times New Roman" w:hAnsi="Times New Roman" w:eastAsia="Times New Roman"/>
          <w:position w:val="1"/>
          <w:vertAlign w:val="baseline"/>
        </w:rPr>
        <w:t>cm/s</w:t>
      </w:r>
      <w:r>
        <w:rPr>
          <w:vertAlign w:val="baseline"/>
        </w:rPr>
        <w:t>）。</w:t>
      </w:r>
    </w:p>
    <w:p>
      <w:pPr>
        <w:pStyle w:val="ListParagraph"/>
        <w:numPr>
          <w:ilvl w:val="0"/>
          <w:numId w:val="100"/>
        </w:numPr>
        <w:tabs>
          <w:tab w:pos="1319" w:val="left" w:leader="none"/>
        </w:tabs>
        <w:spacing w:line="240" w:lineRule="auto" w:before="1" w:after="0"/>
        <w:ind w:left="1318" w:right="0" w:hanging="602"/>
        <w:jc w:val="left"/>
        <w:rPr>
          <w:sz w:val="24"/>
        </w:rPr>
      </w:pPr>
      <w:r>
        <w:rPr>
          <w:sz w:val="24"/>
        </w:rPr>
        <w:t>一般污染防治区</w:t>
      </w:r>
    </w:p>
    <w:p>
      <w:pPr>
        <w:pStyle w:val="BodyText"/>
        <w:spacing w:line="364" w:lineRule="auto" w:before="161"/>
        <w:ind w:right="252" w:firstLine="480"/>
        <w:jc w:val="both"/>
      </w:pPr>
      <w:r>
        <w:rPr/>
        <w:t>主要为除重点防治区外的区域，如各类猪舍、猪粪发酵间、有机肥车间、一般固废暂存间、原料仓库等。对于一般污染防治区，参照《一般工业固体废弃物贮存和填埋污染控制标准》（</w:t>
      </w:r>
      <w:r>
        <w:rPr>
          <w:rFonts w:ascii="Times New Roman" w:hAnsi="Times New Roman" w:eastAsia="Times New Roman"/>
          <w:position w:val="1"/>
        </w:rPr>
        <w:t>GB 18599-2020</w:t>
      </w:r>
      <w:r>
        <w:rPr/>
        <w:t>）Ⅱ类场设计。</w:t>
      </w:r>
    </w:p>
    <w:p>
      <w:pPr>
        <w:pStyle w:val="BodyText"/>
        <w:spacing w:line="364" w:lineRule="auto" w:before="2"/>
        <w:ind w:right="129" w:firstLine="480"/>
        <w:jc w:val="both"/>
      </w:pPr>
      <w:r>
        <w:rPr>
          <w:spacing w:val="-4"/>
        </w:rPr>
        <w:t>一般污染区防渗要求：</w:t>
      </w:r>
      <w:r>
        <w:rPr>
          <w:rFonts w:ascii="Times New Roman" w:eastAsia="Times New Roman"/>
          <w:spacing w:val="-33"/>
          <w:position w:val="1"/>
        </w:rPr>
        <w:t>a</w:t>
      </w:r>
      <w:r>
        <w:rPr>
          <w:spacing w:val="-33"/>
        </w:rPr>
        <w:t>）</w:t>
      </w:r>
      <w:r>
        <w:rPr>
          <w:spacing w:val="-6"/>
        </w:rPr>
        <w:t>人工合成材料应采用高密度聚乙烯膜，厚度不小于 </w:t>
      </w:r>
      <w:r>
        <w:rPr>
          <w:rFonts w:ascii="Times New Roman" w:eastAsia="Times New Roman"/>
          <w:spacing w:val="-3"/>
          <w:position w:val="1"/>
        </w:rPr>
        <w:t>1.5mm</w:t>
      </w:r>
      <w:r>
        <w:rPr>
          <w:spacing w:val="-3"/>
        </w:rPr>
        <w:t>， </w:t>
      </w:r>
      <w:r>
        <w:rPr>
          <w:spacing w:val="-16"/>
        </w:rPr>
        <w:t>并满足 </w:t>
      </w:r>
      <w:r>
        <w:rPr>
          <w:rFonts w:ascii="Times New Roman" w:eastAsia="Times New Roman"/>
          <w:position w:val="1"/>
        </w:rPr>
        <w:t>GB/T 17643 </w:t>
      </w:r>
      <w:r>
        <w:rPr>
          <w:spacing w:val="-3"/>
        </w:rPr>
        <w:t>规定的技术指标要求；采用其他人工合成材料的，其防渗性能至少相</w:t>
      </w:r>
    </w:p>
    <w:p>
      <w:pPr>
        <w:spacing w:after="0" w:line="364" w:lineRule="auto"/>
        <w:jc w:val="both"/>
        <w:sectPr>
          <w:footerReference w:type="default" r:id="rId155"/>
          <w:pgSz w:w="11910" w:h="16840"/>
          <w:pgMar w:footer="1004" w:header="874" w:top="1420" w:bottom="1200" w:left="1040" w:right="1160"/>
        </w:sectPr>
      </w:pPr>
    </w:p>
    <w:p>
      <w:pPr>
        <w:pStyle w:val="BodyText"/>
        <w:spacing w:line="364" w:lineRule="auto" w:before="92"/>
        <w:ind w:right="204"/>
        <w:jc w:val="both"/>
      </w:pPr>
      <w:r>
        <w:rPr>
          <w:spacing w:val="-20"/>
        </w:rPr>
        <w:t>当于 </w:t>
      </w:r>
      <w:r>
        <w:rPr>
          <w:rFonts w:ascii="Times New Roman" w:hAnsi="Times New Roman" w:eastAsia="Times New Roman"/>
          <w:position w:val="1"/>
        </w:rPr>
        <w:t>1.5mm </w:t>
      </w:r>
      <w:r>
        <w:rPr/>
        <w:t>高密度聚乙烯膜的防渗性能。</w:t>
      </w:r>
      <w:r>
        <w:rPr>
          <w:rFonts w:ascii="Times New Roman" w:hAnsi="Times New Roman" w:eastAsia="Times New Roman"/>
          <w:position w:val="1"/>
        </w:rPr>
        <w:t>b</w:t>
      </w:r>
      <w:r>
        <w:rPr/>
        <w:t>）</w:t>
      </w:r>
      <w:r>
        <w:rPr>
          <w:spacing w:val="-6"/>
        </w:rPr>
        <w:t>粘土衬层厚度应不小于 </w:t>
      </w:r>
      <w:r>
        <w:rPr>
          <w:rFonts w:ascii="Times New Roman" w:hAnsi="Times New Roman" w:eastAsia="Times New Roman"/>
          <w:position w:val="1"/>
        </w:rPr>
        <w:t>0.75m</w:t>
      </w:r>
      <w:r>
        <w:rPr>
          <w:spacing w:val="-3"/>
        </w:rPr>
        <w:t>，且经压实、</w:t>
      </w:r>
      <w:r>
        <w:rPr>
          <w:spacing w:val="1"/>
        </w:rPr>
        <w:t>人工改性等措施处理后的饱和渗透系数不应大于 </w:t>
      </w:r>
      <w:r>
        <w:rPr>
          <w:rFonts w:ascii="Times New Roman" w:hAnsi="Times New Roman" w:eastAsia="Times New Roman"/>
          <w:position w:val="1"/>
        </w:rPr>
        <w:t>1.0</w:t>
      </w:r>
      <w:r>
        <w:rPr/>
        <w:t>×</w:t>
      </w:r>
      <w:r>
        <w:rPr>
          <w:rFonts w:ascii="Times New Roman" w:hAnsi="Times New Roman" w:eastAsia="Times New Roman"/>
          <w:position w:val="1"/>
        </w:rPr>
        <w:t>10</w:t>
      </w:r>
      <w:r>
        <w:rPr>
          <w:rFonts w:ascii="Times New Roman" w:hAnsi="Times New Roman" w:eastAsia="Times New Roman"/>
          <w:position w:val="1"/>
          <w:vertAlign w:val="superscript"/>
        </w:rPr>
        <w:t>-7</w:t>
      </w:r>
      <w:r>
        <w:rPr>
          <w:rFonts w:ascii="Times New Roman" w:hAnsi="Times New Roman" w:eastAsia="Times New Roman"/>
          <w:position w:val="1"/>
          <w:vertAlign w:val="baseline"/>
        </w:rPr>
        <w:t>cm/s</w:t>
      </w:r>
      <w:r>
        <w:rPr>
          <w:vertAlign w:val="baseline"/>
        </w:rPr>
        <w:t>；使用其他粘土类防渗衬层材料时，应具有同等以上隔水效力。</w:t>
      </w:r>
    </w:p>
    <w:p>
      <w:pPr>
        <w:pStyle w:val="ListParagraph"/>
        <w:numPr>
          <w:ilvl w:val="0"/>
          <w:numId w:val="100"/>
        </w:numPr>
        <w:tabs>
          <w:tab w:pos="1319" w:val="left" w:leader="none"/>
        </w:tabs>
        <w:spacing w:line="240" w:lineRule="auto" w:before="2" w:after="0"/>
        <w:ind w:left="1318" w:right="0" w:hanging="602"/>
        <w:jc w:val="left"/>
        <w:rPr>
          <w:sz w:val="24"/>
        </w:rPr>
      </w:pPr>
      <w:r>
        <w:rPr>
          <w:sz w:val="24"/>
        </w:rPr>
        <w:t>非污染防治区</w:t>
      </w:r>
    </w:p>
    <w:p>
      <w:pPr>
        <w:pStyle w:val="BodyText"/>
        <w:spacing w:line="364" w:lineRule="auto" w:before="160"/>
        <w:ind w:right="252" w:firstLine="480"/>
      </w:pPr>
      <w:r>
        <w:rPr/>
        <w:t>指不会对地下水环境造成污染的区域。主要包括管理用房、绿地、道路等。对于基本上不产生污染物的非污染防治区，不采取专门针对地下水及土壤污染的防治措施。</w:t>
      </w:r>
    </w:p>
    <w:p>
      <w:pPr>
        <w:pStyle w:val="BodyText"/>
        <w:spacing w:before="1"/>
        <w:ind w:left="717"/>
      </w:pPr>
      <w:r>
        <w:rPr/>
        <w:t>根据场区污染防治分区，其各分区防渗内容详见图 </w:t>
      </w:r>
      <w:r>
        <w:rPr>
          <w:rFonts w:ascii="Times New Roman" w:eastAsia="Times New Roman"/>
          <w:position w:val="1"/>
        </w:rPr>
        <w:t>6.2-4 </w:t>
      </w:r>
      <w:r>
        <w:rPr/>
        <w:t>及表 </w:t>
      </w:r>
      <w:r>
        <w:rPr>
          <w:rFonts w:ascii="Times New Roman" w:eastAsia="Times New Roman"/>
          <w:position w:val="1"/>
        </w:rPr>
        <w:t>6.2-10</w:t>
      </w:r>
      <w:r>
        <w:rPr/>
        <w:t>。</w:t>
      </w:r>
    </w:p>
    <w:p>
      <w:pPr>
        <w:pStyle w:val="BodyText"/>
        <w:ind w:left="0"/>
        <w:rPr>
          <w:sz w:val="20"/>
        </w:rPr>
      </w:pPr>
    </w:p>
    <w:p>
      <w:pPr>
        <w:pStyle w:val="BodyText"/>
        <w:ind w:left="0"/>
        <w:rPr>
          <w:sz w:val="20"/>
        </w:rPr>
      </w:pPr>
    </w:p>
    <w:p>
      <w:pPr>
        <w:pStyle w:val="BodyText"/>
        <w:ind w:left="0"/>
        <w:rPr>
          <w:sz w:val="20"/>
        </w:rPr>
      </w:pPr>
    </w:p>
    <w:p>
      <w:pPr>
        <w:pStyle w:val="BodyText"/>
        <w:spacing w:before="12"/>
        <w:ind w:left="0"/>
        <w:rPr>
          <w:sz w:val="25"/>
        </w:rPr>
      </w:pPr>
    </w:p>
    <w:p>
      <w:pPr>
        <w:spacing w:before="79"/>
        <w:ind w:left="1074" w:right="2006" w:firstLine="0"/>
        <w:jc w:val="center"/>
        <w:rPr>
          <w:b/>
          <w:sz w:val="16"/>
        </w:rPr>
      </w:pPr>
      <w:r>
        <w:rPr/>
        <w:pict>
          <v:group style="position:absolute;margin-left:108.900002pt;margin-top:-24.344183pt;width:370.2pt;height:440.9pt;mso-position-horizontal-relative:page;mso-position-vertical-relative:paragraph;z-index:-315353088" coordorigin="2178,-487" coordsize="7404,8818">
            <v:shape style="position:absolute;left:2356;top:-487;width:6492;height:4727" type="#_x0000_t75" stroked="false">
              <v:imagedata r:id="rId157" o:title=""/>
            </v:shape>
            <v:rect style="position:absolute;left:4846;top:697;width:3525;height:783" filled="true" fillcolor="#00afef" stroked="false">
              <v:fill opacity="19789f" type="solid"/>
            </v:rect>
            <v:rect style="position:absolute;left:4846;top:697;width:3525;height:783" filled="false" stroked="true" strokeweight="1.5pt" strokecolor="#00afef">
              <v:stroke dashstyle="solid"/>
            </v:rect>
            <v:shape style="position:absolute;left:2178;top:4739;width:7404;height:3453" type="#_x0000_t75" stroked="false">
              <v:imagedata r:id="rId158" o:title=""/>
            </v:shape>
            <v:rect style="position:absolute;left:6297;top:6496;width:1106;height:1585" filled="true" fillcolor="#00afef" stroked="false">
              <v:fill opacity="19789f" type="solid"/>
            </v:rect>
            <v:rect style="position:absolute;left:6297;top:6496;width:1106;height:1585" filled="false" stroked="true" strokeweight="1.5pt" strokecolor="#00afef">
              <v:stroke dashstyle="solid"/>
            </v:rect>
            <v:rect style="position:absolute;left:6200;top:5523;width:1289;height:913" filled="true" fillcolor="#00afef" stroked="false">
              <v:fill opacity="19789f" type="solid"/>
            </v:rect>
            <v:rect style="position:absolute;left:6200;top:5523;width:1289;height:913" filled="false" stroked="true" strokeweight="1.5pt" strokecolor="#00afef">
              <v:stroke dashstyle="solid"/>
            </v:rect>
            <v:shape style="position:absolute;left:2213;top:4738;width:3922;height:3321" coordorigin="2213,4738" coordsize="3922,3321" path="m4541,4738l2252,4738,2213,8059,6135,8059,6135,5828,5480,5828,5480,5061,4541,5061,4541,4738xe" filled="true" fillcolor="#ff0000" stroked="false">
              <v:path arrowok="t"/>
              <v:fill opacity="19789f" type="solid"/>
            </v:shape>
            <v:shape style="position:absolute;left:2213;top:4738;width:3922;height:3321" coordorigin="2213,4738" coordsize="3922,3321" path="m2252,4738l4541,4738,4541,5061,5480,5061,5480,5828,6135,5828,6135,8059,2213,8059,2252,4738xe" filled="false" stroked="true" strokeweight="1.5pt" strokecolor="#ff0000">
              <v:path arrowok="t"/>
              <v:stroke dashstyle="solid"/>
            </v:shape>
            <v:shape style="position:absolute;left:4281;top:462;width:935;height:5151" coordorigin="4281,463" coordsize="935,5151" path="m4281,5484l4320,5613,4377,5535,4341,5535,4334,5534,4334,5534,4333,5534,4326,5533,4327,5528,4281,5484xm4342,5531l4334,5534,4341,5535,4342,5531xm4400,5505l4342,5531,4341,5535,4377,5535,4400,5505xm4334,5534l4334,5534,4334,5534,4334,5534xm5201,463l4327,5528,4333,5534,4334,5534,4342,5531,5215,465,5201,463xm4327,5528l4326,5533,4333,5534,4327,5528xe" filled="true" fillcolor="#000000" stroked="false">
              <v:path arrowok="t"/>
              <v:fill type="solid"/>
            </v:shape>
            <v:rect style="position:absolute;left:4878;top:1686;width:2418;height:763" filled="true" fillcolor="#00afef" stroked="false">
              <v:fill opacity="19789f" type="solid"/>
            </v:rect>
            <v:rect style="position:absolute;left:4878;top:1686;width:2418;height:763" filled="false" stroked="true" strokeweight="1.5pt" strokecolor="#00afef">
              <v:stroke dashstyle="solid"/>
            </v:rect>
            <v:shape style="position:absolute;left:5901;top:7890;width:794;height:441" coordorigin="5901,7890" coordsize="794,441" path="m6614,7923l5901,8313,5911,8331,6624,7940,6625,7928,6614,7923xm6674,7920l6620,7920,6630,7937,6624,7940,6619,8000,6674,7920xm6625,7928l6624,7940,6630,7937,6625,7928xm6620,7920l6614,7923,6625,7928,6620,7920xm6695,7890l6561,7895,6614,7923,6620,7920,6674,7920,6695,7890xe" filled="true" fillcolor="#ff0000" stroked="false">
              <v:path arrowok="t"/>
              <v:fill type="solid"/>
            </v:shape>
            <v:rect style="position:absolute;left:5791;top:5855;width:358;height:902" filled="true" fillcolor="#ff0000" stroked="false">
              <v:fill opacity="19789f" type="solid"/>
            </v:rect>
            <v:rect style="position:absolute;left:5791;top:5855;width:358;height:902" filled="false" stroked="true" strokeweight="1.5pt" strokecolor="#ff0000">
              <v:stroke dashstyle="solid"/>
            </v:rect>
            <v:rect style="position:absolute;left:6314;top:7581;width:651;height:485" filled="true" fillcolor="#ff0000" stroked="false">
              <v:fill opacity="19789f" type="solid"/>
            </v:rect>
            <v:rect style="position:absolute;left:6314;top:7581;width:651;height:485" filled="false" stroked="true" strokeweight="1.5pt" strokecolor="#ff0000">
              <v:stroke dashstyle="solid"/>
            </v:rect>
            <v:line style="position:absolute" from="6902,2960" to="6902,3117" stroked="true" strokeweight="5.85pt" strokecolor="#ff0000">
              <v:stroke dashstyle="solid"/>
            </v:line>
            <v:rect style="position:absolute;left:6843;top:2960;width:117;height:157" filled="false" stroked="true" strokeweight="1.5pt" strokecolor="#ff0000">
              <v:stroke dashstyle="solid"/>
            </v:rect>
            <v:shape style="position:absolute;left:6956;top:2777;width:1115;height:254" coordorigin="6956,2777" coordsize="1115,254" path="m7063,2913l6956,2994,7085,3031,7044,2989,7036,2989,7033,2969,7039,2968,7063,2913xm7035,2979l7036,2989,7043,2988,7035,2979xm7043,2988l7036,2989,7044,2989,7043,2988xm8067,2777l7039,2968,7035,2979,7035,2979,7043,2988,8071,2797,8067,2777xm7039,2968l7033,2969,7035,2979,7039,2968xe" filled="true" fillcolor="#ff0000" stroked="false">
              <v:path arrowok="t"/>
              <v:fill type="solid"/>
            </v:shape>
            <v:shape style="position:absolute;left:6002;top:6125;width:2812;height:748" coordorigin="6002,6125" coordsize="2812,748" path="m6104,6756l6002,6844,6133,6873,6090,6834,6082,6834,6077,6815,6084,6813,6104,6756xm6080,6824l6082,6834,6088,6832,6080,6824xm6088,6832l6082,6834,6090,6834,6088,6832xm8809,6125l6084,6813,6080,6824,6080,6824,6088,6832,8813,6145,8809,6125xm6084,6813l6077,6815,6080,6824,6084,6813xe" filled="true" fillcolor="#6f2f9f" stroked="false">
              <v:path arrowok="t"/>
              <v:fill type="solid"/>
            </v:shape>
            <v:shape style="position:absolute;left:2814;top:2932;width:1325;height:592" coordorigin="2814,2932" coordsize="1325,592" path="m3639,2932l2814,3073,3554,3524,4139,3228,3639,2932xe" filled="true" fillcolor="#00afef" stroked="false">
              <v:path arrowok="t"/>
              <v:fill opacity="19789f" type="solid"/>
            </v:shape>
            <v:shape style="position:absolute;left:2814;top:2932;width:1325;height:592" coordorigin="2814,2932" coordsize="1325,592" path="m2814,3073l3554,3524,4139,3228,3639,2932,2814,3073xe" filled="false" stroked="true" strokeweight="1.5pt" strokecolor="#00afef">
              <v:path arrowok="t"/>
              <v:stroke dashstyle="solid"/>
            </v:shape>
            <v:shape style="position:absolute;left:5906;top:6807;width:111;height:102" type="#_x0000_t75" stroked="false">
              <v:imagedata r:id="rId159" o:title=""/>
            </v:shape>
            <v:shape style="position:absolute;left:4826;top:-205;width:1313;height:792" coordorigin="4826,-205" coordsize="1313,792" path="m4826,-205l5357,-205,5357,-131,5776,-131,6139,121,6139,587,4826,587,4826,-205xe" filled="false" stroked="true" strokeweight="1pt" strokecolor="#000000">
              <v:path arrowok="t"/>
              <v:stroke dashstyle="solid"/>
            </v:shape>
            <v:shape style="position:absolute;left:6046;top:4954;width:677;height:1004" coordorigin="6046,4954" coordsize="677,1004" path="m6063,5825l6046,5958,6153,5897,6099,5897,6082,5886,6086,5880,6063,5825xm6086,5880l6082,5886,6099,5897,6103,5891,6091,5891,6086,5880xm6103,5891l6099,5897,6153,5897,6163,5892,6103,5891xm6706,4954l6086,5880,6091,5891,6103,5891,6722,4966,6706,4954xe" filled="true" fillcolor="#ff0000" stroked="false">
              <v:path arrowok="t"/>
              <v:fill type="solid"/>
            </v:shape>
            <v:rect style="position:absolute;left:6990;top:7788;width:418;height:289" filled="true" fillcolor="#ff0000" stroked="false">
              <v:fill opacity="19789f" type="solid"/>
            </v:rect>
            <v:rect style="position:absolute;left:6990;top:7788;width:418;height:289" filled="false" stroked="true" strokeweight="1.5pt" strokecolor="#ff0000">
              <v:stroke dashstyle="solid"/>
            </v:rect>
            <v:shape style="position:absolute;left:7201;top:7974;width:316;height:309" type="#_x0000_t75" stroked="false">
              <v:imagedata r:id="rId160" o:title=""/>
            </v:shape>
            <w10:wrap type="none"/>
          </v:group>
        </w:pict>
      </w:r>
      <w:r>
        <w:rPr>
          <w:b/>
          <w:sz w:val="16"/>
          <w:shd w:fill="E4E4E4" w:color="auto" w:val="clear"/>
        </w:rPr>
        <w:t>粪污处理区</w:t>
      </w:r>
    </w:p>
    <w:p>
      <w:pPr>
        <w:pStyle w:val="BodyText"/>
        <w:ind w:left="0"/>
        <w:rPr>
          <w:b/>
          <w:sz w:val="20"/>
        </w:rPr>
      </w:pPr>
    </w:p>
    <w:p>
      <w:pPr>
        <w:pStyle w:val="BodyText"/>
        <w:ind w:left="0"/>
        <w:rPr>
          <w:b/>
          <w:sz w:val="20"/>
        </w:rPr>
      </w:pPr>
    </w:p>
    <w:p>
      <w:pPr>
        <w:pStyle w:val="BodyText"/>
        <w:spacing w:before="4"/>
        <w:ind w:left="0"/>
        <w:rPr>
          <w:b/>
          <w:sz w:val="11"/>
        </w:rPr>
      </w:pPr>
      <w:r>
        <w:rPr/>
        <w:pict>
          <v:shape style="position:absolute;margin-left:319.029999pt;margin-top:8.481875pt;width:20.05pt;height:13pt;mso-position-horizontal-relative:page;mso-position-vertical-relative:paragraph;z-index:-251414528;mso-wrap-distance-left:0;mso-wrap-distance-right:0" type="#_x0000_t202" filled="true" fillcolor="#e4e4e4" stroked="false">
            <v:textbox inset="0,0,0,0">
              <w:txbxContent>
                <w:p>
                  <w:pPr>
                    <w:spacing w:before="1"/>
                    <w:ind w:left="0" w:right="-15" w:firstLine="0"/>
                    <w:jc w:val="left"/>
                    <w:rPr>
                      <w:b/>
                      <w:sz w:val="20"/>
                    </w:rPr>
                  </w:pPr>
                  <w:r>
                    <w:rPr>
                      <w:b/>
                      <w:color w:val="00AFEF"/>
                      <w:sz w:val="20"/>
                    </w:rPr>
                    <w:t>猪舍</w:t>
                  </w:r>
                </w:p>
              </w:txbxContent>
            </v:textbox>
            <v:fill type="solid"/>
            <w10:wrap type="topAndBottom"/>
          </v:shape>
        </w:pict>
      </w:r>
    </w:p>
    <w:p>
      <w:pPr>
        <w:pStyle w:val="BodyText"/>
        <w:ind w:left="0"/>
        <w:rPr>
          <w:b/>
          <w:sz w:val="20"/>
        </w:rPr>
      </w:pPr>
    </w:p>
    <w:p>
      <w:pPr>
        <w:pStyle w:val="BodyText"/>
        <w:ind w:left="0"/>
        <w:rPr>
          <w:b/>
          <w:sz w:val="20"/>
        </w:rPr>
      </w:pPr>
    </w:p>
    <w:p>
      <w:pPr>
        <w:pStyle w:val="BodyText"/>
        <w:spacing w:before="6"/>
        <w:ind w:left="0"/>
        <w:rPr>
          <w:b/>
          <w:sz w:val="16"/>
        </w:rPr>
      </w:pPr>
      <w:r>
        <w:rPr/>
        <w:pict>
          <v:shape style="position:absolute;margin-left:293.709991pt;margin-top:11.785pt;width:20.05pt;height:13pt;mso-position-horizontal-relative:page;mso-position-vertical-relative:paragraph;z-index:-251413504;mso-wrap-distance-left:0;mso-wrap-distance-right:0" type="#_x0000_t202" filled="true" fillcolor="#e4e4e4" stroked="false">
            <v:textbox inset="0,0,0,0">
              <w:txbxContent>
                <w:p>
                  <w:pPr>
                    <w:spacing w:before="1"/>
                    <w:ind w:left="0" w:right="-15" w:firstLine="0"/>
                    <w:jc w:val="left"/>
                    <w:rPr>
                      <w:b/>
                      <w:sz w:val="20"/>
                    </w:rPr>
                  </w:pPr>
                  <w:r>
                    <w:rPr>
                      <w:b/>
                      <w:color w:val="00AFEF"/>
                      <w:sz w:val="20"/>
                    </w:rPr>
                    <w:t>猪舍</w:t>
                  </w:r>
                </w:p>
              </w:txbxContent>
            </v:textbox>
            <v:fill type="solid"/>
            <w10:wrap type="topAndBottom"/>
          </v:shape>
        </w:pict>
      </w:r>
    </w:p>
    <w:p>
      <w:pPr>
        <w:pStyle w:val="BodyText"/>
        <w:spacing w:before="6"/>
        <w:ind w:left="0"/>
        <w:rPr>
          <w:b/>
          <w:sz w:val="26"/>
        </w:rPr>
      </w:pPr>
    </w:p>
    <w:p>
      <w:pPr>
        <w:spacing w:before="78"/>
        <w:ind w:left="0" w:right="1516" w:firstLine="0"/>
        <w:jc w:val="right"/>
        <w:rPr>
          <w:b/>
          <w:sz w:val="16"/>
        </w:rPr>
      </w:pPr>
      <w:r>
        <w:rPr>
          <w:b/>
          <w:color w:val="FF0000"/>
          <w:sz w:val="16"/>
          <w:shd w:fill="E4E4E4" w:color="auto" w:val="clear"/>
        </w:rPr>
        <w:t>医疗废物暂存间</w:t>
      </w:r>
    </w:p>
    <w:p>
      <w:pPr>
        <w:pStyle w:val="BodyText"/>
        <w:spacing w:before="11"/>
        <w:ind w:left="0"/>
        <w:rPr>
          <w:b/>
          <w:sz w:val="8"/>
        </w:rPr>
      </w:pPr>
    </w:p>
    <w:p>
      <w:pPr>
        <w:spacing w:before="72"/>
        <w:ind w:left="2270" w:right="0" w:firstLine="0"/>
        <w:jc w:val="left"/>
        <w:rPr>
          <w:b/>
          <w:sz w:val="20"/>
        </w:rPr>
      </w:pPr>
      <w:r>
        <w:rPr>
          <w:b/>
          <w:color w:val="00AFEF"/>
          <w:sz w:val="20"/>
          <w:shd w:fill="E4E4E4" w:color="auto" w:val="clear"/>
        </w:rPr>
        <w:t>猪舍</w:t>
      </w:r>
    </w:p>
    <w:p>
      <w:pPr>
        <w:pStyle w:val="BodyText"/>
        <w:ind w:left="0"/>
        <w:rPr>
          <w:b/>
          <w:sz w:val="20"/>
        </w:rPr>
      </w:pPr>
    </w:p>
    <w:p>
      <w:pPr>
        <w:pStyle w:val="BodyText"/>
        <w:ind w:left="0"/>
        <w:rPr>
          <w:b/>
          <w:sz w:val="20"/>
        </w:rPr>
      </w:pPr>
    </w:p>
    <w:p>
      <w:pPr>
        <w:pStyle w:val="BodyText"/>
        <w:spacing w:before="12"/>
        <w:ind w:left="0"/>
        <w:rPr>
          <w:b/>
          <w:sz w:val="14"/>
        </w:rPr>
      </w:pPr>
    </w:p>
    <w:p>
      <w:pPr>
        <w:spacing w:line="324" w:lineRule="auto" w:before="75"/>
        <w:ind w:left="7558" w:right="339" w:firstLine="0"/>
        <w:jc w:val="right"/>
        <w:rPr>
          <w:b/>
          <w:sz w:val="18"/>
        </w:rPr>
      </w:pPr>
      <w:r>
        <w:rPr/>
        <w:pict>
          <v:shape style="position:absolute;margin-left:332.829987pt;margin-top:31.590012pt;width:40.2pt;height:10.45pt;mso-position-horizontal-relative:page;mso-position-vertical-relative:paragraph;z-index:251907072" type="#_x0000_t202" filled="true" fillcolor="#e4e4e4" stroked="false">
            <v:textbox inset="0,0,0,0">
              <w:txbxContent>
                <w:p>
                  <w:pPr>
                    <w:spacing w:before="3"/>
                    <w:ind w:left="0" w:right="-15" w:firstLine="0"/>
                    <w:jc w:val="left"/>
                    <w:rPr>
                      <w:b/>
                      <w:sz w:val="16"/>
                    </w:rPr>
                  </w:pPr>
                  <w:r>
                    <w:rPr>
                      <w:b/>
                      <w:color w:val="FF0000"/>
                      <w:sz w:val="16"/>
                    </w:rPr>
                    <w:t>固液分离区</w:t>
                  </w:r>
                </w:p>
              </w:txbxContent>
            </v:textbox>
            <v:fill type="solid"/>
            <w10:wrap type="none"/>
          </v:shape>
        </w:pict>
      </w:r>
      <w:r>
        <w:rPr>
          <w:b/>
          <w:color w:val="FF0000"/>
          <w:w w:val="95"/>
          <w:sz w:val="18"/>
        </w:rPr>
        <w:t>红色区域：重点防渗区</w:t>
      </w:r>
      <w:r>
        <w:rPr>
          <w:b/>
          <w:color w:val="00AFEF"/>
          <w:w w:val="95"/>
          <w:sz w:val="18"/>
        </w:rPr>
        <w:t>蓝色区域：一般防渗区</w:t>
      </w:r>
    </w:p>
    <w:p>
      <w:pPr>
        <w:pStyle w:val="BodyText"/>
        <w:ind w:left="0"/>
        <w:rPr>
          <w:b/>
          <w:sz w:val="20"/>
        </w:rPr>
      </w:pPr>
    </w:p>
    <w:p>
      <w:pPr>
        <w:pStyle w:val="BodyText"/>
        <w:ind w:left="0"/>
        <w:rPr>
          <w:b/>
          <w:sz w:val="20"/>
        </w:rPr>
      </w:pPr>
    </w:p>
    <w:p>
      <w:pPr>
        <w:pStyle w:val="BodyText"/>
        <w:ind w:left="0"/>
        <w:rPr>
          <w:b/>
          <w:sz w:val="20"/>
        </w:rPr>
      </w:pPr>
    </w:p>
    <w:p>
      <w:pPr>
        <w:pStyle w:val="BodyText"/>
        <w:spacing w:before="11"/>
        <w:ind w:left="0"/>
        <w:rPr>
          <w:b/>
          <w:sz w:val="19"/>
        </w:rPr>
      </w:pPr>
    </w:p>
    <w:p>
      <w:pPr>
        <w:spacing w:before="71"/>
        <w:ind w:left="2209" w:right="236" w:firstLine="0"/>
        <w:jc w:val="center"/>
        <w:rPr>
          <w:b/>
          <w:sz w:val="21"/>
        </w:rPr>
      </w:pPr>
      <w:r>
        <w:rPr/>
        <w:pict>
          <v:shape style="position:absolute;margin-left:445.059998pt;margin-top:10.929996pt;width:64.25pt;height:10.45pt;mso-position-horizontal-relative:page;mso-position-vertical-relative:paragraph;z-index:251906048" type="#_x0000_t202" filled="true" fillcolor="#e4e4e4" stroked="false">
            <v:textbox inset="0,0,0,0">
              <w:txbxContent>
                <w:p>
                  <w:pPr>
                    <w:spacing w:before="3"/>
                    <w:ind w:left="0" w:right="-15" w:firstLine="0"/>
                    <w:jc w:val="left"/>
                    <w:rPr>
                      <w:b/>
                      <w:sz w:val="16"/>
                    </w:rPr>
                  </w:pPr>
                  <w:r>
                    <w:rPr>
                      <w:b/>
                      <w:color w:val="6F2F9F"/>
                      <w:sz w:val="16"/>
                    </w:rPr>
                    <w:t>地下水跟踪监测井</w:t>
                  </w:r>
                </w:p>
              </w:txbxContent>
            </v:textbox>
            <v:fill type="solid"/>
            <w10:wrap type="none"/>
          </v:shape>
        </w:pict>
      </w:r>
      <w:r>
        <w:rPr>
          <w:b/>
          <w:color w:val="00AFEF"/>
          <w:sz w:val="21"/>
          <w:shd w:fill="E4E4E4" w:color="auto" w:val="clear"/>
        </w:rPr>
        <w:t>猪粪发酵间</w:t>
      </w:r>
    </w:p>
    <w:p>
      <w:pPr>
        <w:spacing w:before="65"/>
        <w:ind w:left="725" w:right="4899" w:firstLine="0"/>
        <w:jc w:val="center"/>
        <w:rPr>
          <w:b/>
          <w:sz w:val="21"/>
        </w:rPr>
      </w:pPr>
      <w:r>
        <w:rPr/>
        <w:pict>
          <v:shape style="position:absolute;margin-left:315.600006pt;margin-top:20.220003pt;width:53.8pt;height:53.5pt;mso-position-horizontal-relative:page;mso-position-vertical-relative:paragraph;z-index:-251412480;mso-wrap-distance-left:0;mso-wrap-distance-right:0" type="#_x0000_t202" filled="false" stroked="false">
            <v:textbox inset="0,0,0,0">
              <w:txbxContent>
                <w:p>
                  <w:pPr>
                    <w:pStyle w:val="BodyText"/>
                    <w:ind w:left="0"/>
                    <w:rPr>
                      <w:b/>
                      <w:sz w:val="20"/>
                    </w:rPr>
                  </w:pPr>
                </w:p>
                <w:p>
                  <w:pPr>
                    <w:pStyle w:val="BodyText"/>
                    <w:spacing w:before="6"/>
                    <w:ind w:left="0"/>
                    <w:rPr>
                      <w:b/>
                      <w:sz w:val="16"/>
                    </w:rPr>
                  </w:pPr>
                </w:p>
                <w:p>
                  <w:pPr>
                    <w:spacing w:before="0"/>
                    <w:ind w:left="13" w:right="0" w:firstLine="0"/>
                    <w:jc w:val="left"/>
                    <w:rPr>
                      <w:b/>
                      <w:sz w:val="21"/>
                    </w:rPr>
                  </w:pPr>
                  <w:r>
                    <w:rPr>
                      <w:b/>
                      <w:color w:val="00AFEF"/>
                      <w:sz w:val="21"/>
                      <w:shd w:fill="E4E4E4" w:color="auto" w:val="clear"/>
                    </w:rPr>
                    <w:t>有机肥车间</w:t>
                  </w:r>
                </w:p>
              </w:txbxContent>
            </v:textbox>
            <w10:wrap type="topAndBottom"/>
          </v:shape>
        </w:pict>
      </w:r>
      <w:r>
        <w:rPr>
          <w:b/>
          <w:color w:val="FF0000"/>
          <w:sz w:val="21"/>
          <w:shd w:fill="E4E4E4" w:color="auto" w:val="clear"/>
        </w:rPr>
        <w:t>污水处理区</w:t>
      </w:r>
    </w:p>
    <w:p>
      <w:pPr>
        <w:pStyle w:val="BodyText"/>
        <w:ind w:left="0"/>
        <w:rPr>
          <w:b/>
          <w:sz w:val="20"/>
        </w:rPr>
      </w:pPr>
    </w:p>
    <w:p>
      <w:pPr>
        <w:pStyle w:val="BodyText"/>
        <w:ind w:left="0"/>
        <w:rPr>
          <w:b/>
          <w:sz w:val="20"/>
        </w:rPr>
      </w:pPr>
    </w:p>
    <w:p>
      <w:pPr>
        <w:pStyle w:val="BodyText"/>
        <w:spacing w:before="11"/>
        <w:ind w:left="0"/>
        <w:rPr>
          <w:b/>
          <w:sz w:val="18"/>
        </w:rPr>
      </w:pPr>
    </w:p>
    <w:p>
      <w:pPr>
        <w:tabs>
          <w:tab w:pos="6187" w:val="left" w:leader="none"/>
        </w:tabs>
        <w:spacing w:before="1"/>
        <w:ind w:left="3876" w:right="0" w:firstLine="0"/>
        <w:jc w:val="left"/>
        <w:rPr>
          <w:b/>
          <w:sz w:val="16"/>
        </w:rPr>
      </w:pPr>
      <w:r>
        <w:rPr>
          <w:b/>
          <w:color w:val="FF0000"/>
          <w:sz w:val="16"/>
          <w:shd w:fill="E4E4E4" w:color="auto" w:val="clear"/>
        </w:rPr>
        <w:t>无害化处理间</w:t>
      </w:r>
      <w:r>
        <w:rPr>
          <w:b/>
          <w:color w:val="FF0000"/>
          <w:sz w:val="16"/>
        </w:rPr>
        <w:tab/>
      </w:r>
      <w:r>
        <w:rPr>
          <w:b/>
          <w:color w:val="FF0000"/>
          <w:sz w:val="16"/>
          <w:shd w:fill="E4E4E4" w:color="auto" w:val="clear"/>
        </w:rPr>
        <w:t>危废暂存间</w:t>
      </w:r>
    </w:p>
    <w:p>
      <w:pPr>
        <w:pStyle w:val="Heading3"/>
        <w:spacing w:before="137"/>
        <w:ind w:left="221" w:right="236"/>
        <w:jc w:val="center"/>
      </w:pPr>
      <w:r>
        <w:rPr/>
        <w:t>图 </w:t>
      </w:r>
      <w:r>
        <w:rPr>
          <w:rFonts w:ascii="Times New Roman" w:eastAsia="Times New Roman"/>
        </w:rPr>
        <w:t>6.2-4  </w:t>
      </w:r>
      <w:r>
        <w:rPr/>
        <w:t>项目分区防渗示意图</w:t>
      </w:r>
    </w:p>
    <w:p>
      <w:pPr>
        <w:spacing w:after="0"/>
        <w:jc w:val="center"/>
        <w:sectPr>
          <w:footerReference w:type="default" r:id="rId156"/>
          <w:pgSz w:w="11910" w:h="16840"/>
          <w:pgMar w:footer="1004" w:header="874" w:top="1420" w:bottom="1200" w:left="1040" w:right="1160"/>
          <w:pgNumType w:start="191"/>
        </w:sectPr>
      </w:pPr>
    </w:p>
    <w:p>
      <w:pPr>
        <w:spacing w:before="92"/>
        <w:ind w:left="219" w:right="236" w:firstLine="0"/>
        <w:jc w:val="center"/>
        <w:rPr>
          <w:b/>
          <w:sz w:val="24"/>
        </w:rPr>
      </w:pPr>
      <w:r>
        <w:rPr>
          <w:b/>
          <w:sz w:val="24"/>
        </w:rPr>
        <w:t>表 </w:t>
      </w:r>
      <w:r>
        <w:rPr>
          <w:rFonts w:ascii="Times New Roman" w:eastAsia="Times New Roman"/>
          <w:b/>
          <w:sz w:val="24"/>
        </w:rPr>
        <w:t>6.2-10  </w:t>
      </w:r>
      <w:r>
        <w:rPr>
          <w:b/>
          <w:sz w:val="24"/>
        </w:rPr>
        <w:t>项目地下水及土壤污染防治区分类</w:t>
      </w:r>
    </w:p>
    <w:p>
      <w:pPr>
        <w:pStyle w:val="BodyText"/>
        <w:spacing w:before="2"/>
        <w:ind w:left="0"/>
        <w:rPr>
          <w:b/>
          <w:sz w:val="6"/>
        </w:rPr>
      </w:pPr>
    </w:p>
    <w:tbl>
      <w:tblPr>
        <w:tblW w:w="0" w:type="auto"/>
        <w:jc w:val="left"/>
        <w:tblInd w:w="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334"/>
        <w:gridCol w:w="2693"/>
        <w:gridCol w:w="1702"/>
        <w:gridCol w:w="3601"/>
      </w:tblGrid>
      <w:tr>
        <w:trPr>
          <w:trHeight w:val="359" w:hRule="atLeast"/>
        </w:trPr>
        <w:tc>
          <w:tcPr>
            <w:tcW w:w="1334" w:type="dxa"/>
            <w:tcBorders>
              <w:bottom w:val="single" w:sz="6" w:space="0" w:color="000000"/>
              <w:right w:val="single" w:sz="6" w:space="0" w:color="000000"/>
            </w:tcBorders>
          </w:tcPr>
          <w:p>
            <w:pPr>
              <w:pStyle w:val="TableParagraph"/>
              <w:spacing w:before="46"/>
              <w:ind w:left="138"/>
              <w:jc w:val="left"/>
              <w:rPr>
                <w:rFonts w:ascii="宋体" w:eastAsia="宋体" w:hint="eastAsia"/>
                <w:b/>
                <w:sz w:val="21"/>
              </w:rPr>
            </w:pPr>
            <w:r>
              <w:rPr>
                <w:rFonts w:ascii="宋体" w:eastAsia="宋体" w:hint="eastAsia"/>
                <w:b/>
                <w:sz w:val="21"/>
              </w:rPr>
              <w:t>防治区分区</w:t>
            </w:r>
          </w:p>
        </w:tc>
        <w:tc>
          <w:tcPr>
            <w:tcW w:w="2693" w:type="dxa"/>
            <w:tcBorders>
              <w:left w:val="single" w:sz="6" w:space="0" w:color="000000"/>
              <w:bottom w:val="single" w:sz="6" w:space="0" w:color="000000"/>
              <w:right w:val="single" w:sz="6" w:space="0" w:color="000000"/>
            </w:tcBorders>
          </w:tcPr>
          <w:p>
            <w:pPr>
              <w:pStyle w:val="TableParagraph"/>
              <w:spacing w:before="46"/>
              <w:ind w:left="69" w:right="45"/>
              <w:rPr>
                <w:rFonts w:ascii="宋体" w:eastAsia="宋体" w:hint="eastAsia"/>
                <w:b/>
                <w:sz w:val="21"/>
              </w:rPr>
            </w:pPr>
            <w:r>
              <w:rPr>
                <w:rFonts w:ascii="宋体" w:eastAsia="宋体" w:hint="eastAsia"/>
                <w:b/>
                <w:sz w:val="21"/>
              </w:rPr>
              <w:t>装置或建筑物名称</w:t>
            </w:r>
          </w:p>
        </w:tc>
        <w:tc>
          <w:tcPr>
            <w:tcW w:w="1702" w:type="dxa"/>
            <w:tcBorders>
              <w:left w:val="single" w:sz="6" w:space="0" w:color="000000"/>
              <w:bottom w:val="single" w:sz="6" w:space="0" w:color="000000"/>
              <w:right w:val="single" w:sz="6" w:space="0" w:color="000000"/>
            </w:tcBorders>
          </w:tcPr>
          <w:p>
            <w:pPr>
              <w:pStyle w:val="TableParagraph"/>
              <w:spacing w:before="46"/>
              <w:ind w:left="102" w:right="74"/>
              <w:rPr>
                <w:rFonts w:ascii="宋体" w:eastAsia="宋体" w:hint="eastAsia"/>
                <w:b/>
                <w:sz w:val="21"/>
              </w:rPr>
            </w:pPr>
            <w:r>
              <w:rPr>
                <w:rFonts w:ascii="宋体" w:eastAsia="宋体" w:hint="eastAsia"/>
                <w:b/>
                <w:sz w:val="21"/>
              </w:rPr>
              <w:t>防渗区域</w:t>
            </w:r>
          </w:p>
        </w:tc>
        <w:tc>
          <w:tcPr>
            <w:tcW w:w="3601" w:type="dxa"/>
            <w:tcBorders>
              <w:left w:val="single" w:sz="6" w:space="0" w:color="000000"/>
              <w:bottom w:val="single" w:sz="6" w:space="0" w:color="000000"/>
            </w:tcBorders>
          </w:tcPr>
          <w:p>
            <w:pPr>
              <w:pStyle w:val="TableParagraph"/>
              <w:spacing w:before="46"/>
              <w:ind w:left="1366" w:right="1329"/>
              <w:rPr>
                <w:rFonts w:ascii="宋体" w:eastAsia="宋体" w:hint="eastAsia"/>
                <w:b/>
                <w:sz w:val="21"/>
              </w:rPr>
            </w:pPr>
            <w:r>
              <w:rPr>
                <w:rFonts w:ascii="宋体" w:eastAsia="宋体" w:hint="eastAsia"/>
                <w:b/>
                <w:sz w:val="21"/>
              </w:rPr>
              <w:t>防渗措施</w:t>
            </w:r>
          </w:p>
        </w:tc>
      </w:tr>
      <w:tr>
        <w:trPr>
          <w:trHeight w:val="359" w:hRule="atLeast"/>
        </w:trPr>
        <w:tc>
          <w:tcPr>
            <w:tcW w:w="1334"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line="319" w:lineRule="auto" w:before="1"/>
              <w:ind w:left="455" w:right="114" w:hanging="315"/>
              <w:jc w:val="left"/>
              <w:rPr>
                <w:rFonts w:ascii="宋体" w:eastAsia="宋体" w:hint="eastAsia"/>
                <w:sz w:val="21"/>
              </w:rPr>
            </w:pPr>
            <w:r>
              <w:rPr>
                <w:rFonts w:ascii="宋体" w:eastAsia="宋体" w:hint="eastAsia"/>
                <w:sz w:val="21"/>
              </w:rPr>
              <w:t>重点污染防治区</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46"/>
              <w:ind w:left="70" w:right="45"/>
              <w:rPr>
                <w:rFonts w:ascii="宋体" w:eastAsia="宋体" w:hint="eastAsia"/>
                <w:sz w:val="21"/>
              </w:rPr>
            </w:pPr>
            <w:r>
              <w:rPr>
                <w:rFonts w:ascii="宋体" w:eastAsia="宋体" w:hint="eastAsia"/>
                <w:sz w:val="21"/>
              </w:rPr>
              <w:t>污水收集沟渠</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6"/>
              <w:ind w:left="102" w:right="75"/>
              <w:rPr>
                <w:rFonts w:ascii="宋体" w:eastAsia="宋体" w:hint="eastAsia"/>
                <w:sz w:val="21"/>
              </w:rPr>
            </w:pPr>
            <w:r>
              <w:rPr>
                <w:rFonts w:ascii="宋体" w:eastAsia="宋体" w:hint="eastAsia"/>
                <w:sz w:val="21"/>
              </w:rPr>
              <w:t>管道及敷设管沟</w:t>
            </w:r>
          </w:p>
        </w:tc>
        <w:tc>
          <w:tcPr>
            <w:tcW w:w="3601" w:type="dxa"/>
            <w:vMerge w:val="restart"/>
            <w:tcBorders>
              <w:top w:val="single" w:sz="6" w:space="0" w:color="000000"/>
              <w:left w:val="single" w:sz="6" w:space="0" w:color="000000"/>
              <w:bottom w:val="single" w:sz="6" w:space="0" w:color="000000"/>
            </w:tcBorders>
          </w:tcPr>
          <w:p>
            <w:pPr>
              <w:pStyle w:val="TableParagraph"/>
              <w:spacing w:line="319" w:lineRule="auto" w:before="70"/>
              <w:ind w:left="115" w:right="71" w:firstLine="24"/>
              <w:jc w:val="both"/>
              <w:rPr>
                <w:sz w:val="21"/>
              </w:rPr>
            </w:pPr>
            <w:r>
              <w:rPr>
                <w:rFonts w:ascii="宋体" w:hAnsi="宋体" w:eastAsia="宋体" w:hint="eastAsia"/>
                <w:spacing w:val="-9"/>
                <w:sz w:val="21"/>
              </w:rPr>
              <w:t>等效黏土防渗层 </w:t>
            </w:r>
            <w:r>
              <w:rPr>
                <w:position w:val="1"/>
                <w:sz w:val="21"/>
              </w:rPr>
              <w:t>Mb</w:t>
            </w:r>
            <w:r>
              <w:rPr>
                <w:rFonts w:ascii="宋体" w:hAnsi="宋体" w:eastAsia="宋体" w:hint="eastAsia"/>
                <w:sz w:val="21"/>
              </w:rPr>
              <w:t>≥</w:t>
            </w:r>
            <w:r>
              <w:rPr>
                <w:position w:val="1"/>
                <w:sz w:val="21"/>
              </w:rPr>
              <w:t>6.0m</w:t>
            </w:r>
            <w:r>
              <w:rPr>
                <w:rFonts w:ascii="宋体" w:hAnsi="宋体" w:eastAsia="宋体" w:hint="eastAsia"/>
                <w:sz w:val="21"/>
              </w:rPr>
              <w:t>，</w:t>
            </w:r>
            <w:r>
              <w:rPr>
                <w:position w:val="1"/>
                <w:sz w:val="21"/>
              </w:rPr>
              <w:t>K</w:t>
            </w:r>
            <w:r>
              <w:rPr>
                <w:rFonts w:ascii="宋体" w:hAnsi="宋体" w:eastAsia="宋体" w:hint="eastAsia"/>
                <w:sz w:val="21"/>
              </w:rPr>
              <w:t>≤</w:t>
            </w:r>
            <w:r>
              <w:rPr>
                <w:position w:val="1"/>
                <w:sz w:val="21"/>
              </w:rPr>
              <w:t>1</w:t>
            </w:r>
            <w:r>
              <w:rPr>
                <w:rFonts w:ascii="宋体" w:hAnsi="宋体" w:eastAsia="宋体" w:hint="eastAsia"/>
                <w:sz w:val="21"/>
              </w:rPr>
              <w:t>× </w:t>
            </w:r>
            <w:r>
              <w:rPr>
                <w:spacing w:val="-5"/>
                <w:position w:val="1"/>
                <w:sz w:val="21"/>
              </w:rPr>
              <w:t>10</w:t>
            </w:r>
            <w:r>
              <w:rPr>
                <w:spacing w:val="-5"/>
                <w:position w:val="8"/>
                <w:sz w:val="14"/>
              </w:rPr>
              <w:t>-7</w:t>
            </w:r>
            <w:r>
              <w:rPr>
                <w:spacing w:val="-5"/>
                <w:position w:val="1"/>
                <w:sz w:val="21"/>
              </w:rPr>
              <w:t>cm/s</w:t>
            </w:r>
            <w:r>
              <w:rPr>
                <w:rFonts w:ascii="宋体" w:hAnsi="宋体" w:eastAsia="宋体" w:hint="eastAsia"/>
                <w:spacing w:val="-9"/>
                <w:sz w:val="21"/>
              </w:rPr>
              <w:t>；或参照《危险废物贮存污染</w:t>
            </w:r>
            <w:r>
              <w:rPr>
                <w:rFonts w:ascii="宋体" w:hAnsi="宋体" w:eastAsia="宋体" w:hint="eastAsia"/>
                <w:spacing w:val="-8"/>
                <w:sz w:val="21"/>
              </w:rPr>
              <w:t>控制标准》</w:t>
            </w:r>
            <w:r>
              <w:rPr>
                <w:rFonts w:ascii="宋体" w:hAnsi="宋体" w:eastAsia="宋体" w:hint="eastAsia"/>
                <w:sz w:val="21"/>
              </w:rPr>
              <w:t>（</w:t>
            </w:r>
            <w:r>
              <w:rPr>
                <w:position w:val="1"/>
                <w:sz w:val="21"/>
              </w:rPr>
              <w:t>GB </w:t>
            </w:r>
            <w:r>
              <w:rPr>
                <w:spacing w:val="-3"/>
                <w:position w:val="1"/>
                <w:sz w:val="21"/>
              </w:rPr>
              <w:t>18597-2001</w:t>
            </w:r>
            <w:r>
              <w:rPr>
                <w:rFonts w:ascii="宋体" w:hAnsi="宋体" w:eastAsia="宋体" w:hint="eastAsia"/>
                <w:spacing w:val="-3"/>
                <w:sz w:val="21"/>
              </w:rPr>
              <w:t>）</w:t>
            </w:r>
            <w:r>
              <w:rPr>
                <w:rFonts w:ascii="宋体" w:hAnsi="宋体" w:eastAsia="宋体" w:hint="eastAsia"/>
                <w:spacing w:val="-15"/>
                <w:sz w:val="21"/>
              </w:rPr>
              <w:t>、《危</w:t>
            </w:r>
            <w:r>
              <w:rPr>
                <w:rFonts w:ascii="宋体" w:hAnsi="宋体" w:eastAsia="宋体" w:hint="eastAsia"/>
                <w:spacing w:val="-3"/>
                <w:sz w:val="21"/>
              </w:rPr>
              <w:t>险废物填埋场污染控制标准》</w:t>
            </w:r>
            <w:r>
              <w:rPr>
                <w:rFonts w:ascii="宋体" w:hAnsi="宋体" w:eastAsia="宋体" w:hint="eastAsia"/>
                <w:sz w:val="21"/>
              </w:rPr>
              <w:t>（</w:t>
            </w:r>
            <w:r>
              <w:rPr>
                <w:position w:val="1"/>
                <w:sz w:val="21"/>
              </w:rPr>
              <w:t>GB</w:t>
            </w:r>
          </w:p>
          <w:p>
            <w:pPr>
              <w:pStyle w:val="TableParagraph"/>
              <w:spacing w:before="3"/>
              <w:ind w:left="879"/>
              <w:jc w:val="left"/>
              <w:rPr>
                <w:rFonts w:ascii="宋体" w:eastAsia="宋体" w:hint="eastAsia"/>
                <w:sz w:val="21"/>
              </w:rPr>
            </w:pPr>
            <w:r>
              <w:rPr>
                <w:position w:val="1"/>
                <w:sz w:val="21"/>
              </w:rPr>
              <w:t>18598-2001</w:t>
            </w:r>
            <w:r>
              <w:rPr>
                <w:rFonts w:ascii="宋体" w:eastAsia="宋体" w:hint="eastAsia"/>
                <w:sz w:val="21"/>
              </w:rPr>
              <w:t>）等执行</w:t>
            </w:r>
          </w:p>
        </w:tc>
      </w:tr>
      <w:tr>
        <w:trPr>
          <w:trHeight w:val="357" w:hRule="atLeast"/>
        </w:trPr>
        <w:tc>
          <w:tcPr>
            <w:tcW w:w="1334" w:type="dxa"/>
            <w:vMerge/>
            <w:tcBorders>
              <w:top w:val="nil"/>
              <w:bottom w:val="single" w:sz="6" w:space="0" w:color="000000"/>
              <w:right w:val="single" w:sz="6" w:space="0" w:color="000000"/>
            </w:tcBorders>
          </w:tcPr>
          <w:p>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46"/>
              <w:ind w:left="72" w:right="44"/>
              <w:rPr>
                <w:rFonts w:ascii="宋体" w:eastAsia="宋体" w:hint="eastAsia"/>
                <w:sz w:val="21"/>
              </w:rPr>
            </w:pPr>
            <w:r>
              <w:rPr>
                <w:rFonts w:ascii="宋体" w:eastAsia="宋体" w:hint="eastAsia"/>
                <w:sz w:val="21"/>
              </w:rPr>
              <w:t>固液分离间</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6"/>
              <w:ind w:left="100" w:right="75"/>
              <w:rPr>
                <w:rFonts w:ascii="宋体" w:eastAsia="宋体" w:hint="eastAsia"/>
                <w:sz w:val="21"/>
              </w:rPr>
            </w:pPr>
            <w:r>
              <w:rPr>
                <w:rFonts w:ascii="宋体" w:eastAsia="宋体" w:hint="eastAsia"/>
                <w:sz w:val="21"/>
              </w:rPr>
              <w:t>底部、四周</w:t>
            </w:r>
          </w:p>
        </w:tc>
        <w:tc>
          <w:tcPr>
            <w:tcW w:w="3601" w:type="dxa"/>
            <w:vMerge/>
            <w:tcBorders>
              <w:top w:val="nil"/>
              <w:left w:val="single" w:sz="6" w:space="0" w:color="000000"/>
              <w:bottom w:val="single" w:sz="6" w:space="0" w:color="000000"/>
            </w:tcBorders>
          </w:tcPr>
          <w:p>
            <w:pPr>
              <w:rPr>
                <w:sz w:val="2"/>
                <w:szCs w:val="2"/>
              </w:rPr>
            </w:pPr>
          </w:p>
        </w:tc>
      </w:tr>
      <w:tr>
        <w:trPr>
          <w:trHeight w:val="359" w:hRule="atLeast"/>
        </w:trPr>
        <w:tc>
          <w:tcPr>
            <w:tcW w:w="1334" w:type="dxa"/>
            <w:vMerge/>
            <w:tcBorders>
              <w:top w:val="nil"/>
              <w:bottom w:val="single" w:sz="6" w:space="0" w:color="000000"/>
              <w:right w:val="single" w:sz="6" w:space="0" w:color="000000"/>
            </w:tcBorders>
          </w:tcPr>
          <w:p>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49"/>
              <w:ind w:left="69" w:right="45"/>
              <w:rPr>
                <w:rFonts w:ascii="宋体" w:eastAsia="宋体" w:hint="eastAsia"/>
                <w:sz w:val="21"/>
              </w:rPr>
            </w:pPr>
            <w:r>
              <w:rPr>
                <w:rFonts w:ascii="宋体" w:eastAsia="宋体" w:hint="eastAsia"/>
                <w:sz w:val="21"/>
              </w:rPr>
              <w:t>污水处理构筑物</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9"/>
              <w:ind w:left="100" w:right="75"/>
              <w:rPr>
                <w:rFonts w:ascii="宋体" w:eastAsia="宋体" w:hint="eastAsia"/>
                <w:sz w:val="21"/>
              </w:rPr>
            </w:pPr>
            <w:r>
              <w:rPr>
                <w:rFonts w:ascii="宋体" w:eastAsia="宋体" w:hint="eastAsia"/>
                <w:sz w:val="21"/>
              </w:rPr>
              <w:t>底部、四周</w:t>
            </w:r>
          </w:p>
        </w:tc>
        <w:tc>
          <w:tcPr>
            <w:tcW w:w="3601" w:type="dxa"/>
            <w:vMerge/>
            <w:tcBorders>
              <w:top w:val="nil"/>
              <w:left w:val="single" w:sz="6" w:space="0" w:color="000000"/>
              <w:bottom w:val="single" w:sz="6" w:space="0" w:color="000000"/>
            </w:tcBorders>
          </w:tcPr>
          <w:p>
            <w:pPr>
              <w:rPr>
                <w:sz w:val="2"/>
                <w:szCs w:val="2"/>
              </w:rPr>
            </w:pPr>
          </w:p>
        </w:tc>
      </w:tr>
      <w:tr>
        <w:trPr>
          <w:trHeight w:val="716" w:hRule="atLeast"/>
        </w:trPr>
        <w:tc>
          <w:tcPr>
            <w:tcW w:w="1334" w:type="dxa"/>
            <w:vMerge/>
            <w:tcBorders>
              <w:top w:val="nil"/>
              <w:bottom w:val="single" w:sz="6" w:space="0" w:color="000000"/>
              <w:right w:val="single" w:sz="6" w:space="0" w:color="000000"/>
            </w:tcBorders>
          </w:tcPr>
          <w:p>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46"/>
              <w:ind w:left="72" w:right="45"/>
              <w:rPr>
                <w:rFonts w:ascii="宋体" w:eastAsia="宋体" w:hint="eastAsia"/>
                <w:sz w:val="21"/>
              </w:rPr>
            </w:pPr>
            <w:r>
              <w:rPr>
                <w:rFonts w:ascii="宋体" w:eastAsia="宋体" w:hint="eastAsia"/>
                <w:sz w:val="21"/>
              </w:rPr>
              <w:t>危废暂存间（含医疗废物暂</w:t>
            </w:r>
          </w:p>
          <w:p>
            <w:pPr>
              <w:pStyle w:val="TableParagraph"/>
              <w:spacing w:before="91"/>
              <w:ind w:left="69" w:right="45"/>
              <w:rPr>
                <w:rFonts w:ascii="宋体" w:eastAsia="宋体" w:hint="eastAsia"/>
                <w:sz w:val="21"/>
              </w:rPr>
            </w:pPr>
            <w:r>
              <w:rPr>
                <w:rFonts w:ascii="宋体" w:eastAsia="宋体" w:hint="eastAsia"/>
                <w:sz w:val="21"/>
              </w:rPr>
              <w:t>存间）、无害化处理间</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100" w:right="75"/>
              <w:rPr>
                <w:rFonts w:ascii="宋体" w:eastAsia="宋体" w:hint="eastAsia"/>
                <w:sz w:val="21"/>
              </w:rPr>
            </w:pPr>
            <w:r>
              <w:rPr>
                <w:rFonts w:ascii="宋体" w:eastAsia="宋体" w:hint="eastAsia"/>
                <w:sz w:val="21"/>
              </w:rPr>
              <w:t>四周、地面</w:t>
            </w:r>
          </w:p>
        </w:tc>
        <w:tc>
          <w:tcPr>
            <w:tcW w:w="3601" w:type="dxa"/>
            <w:vMerge/>
            <w:tcBorders>
              <w:top w:val="nil"/>
              <w:left w:val="single" w:sz="6" w:space="0" w:color="000000"/>
              <w:bottom w:val="single" w:sz="6" w:space="0" w:color="000000"/>
            </w:tcBorders>
          </w:tcPr>
          <w:p>
            <w:pPr>
              <w:rPr>
                <w:sz w:val="2"/>
                <w:szCs w:val="2"/>
              </w:rPr>
            </w:pPr>
          </w:p>
        </w:tc>
      </w:tr>
      <w:tr>
        <w:trPr>
          <w:trHeight w:val="351" w:hRule="atLeast"/>
        </w:trPr>
        <w:tc>
          <w:tcPr>
            <w:tcW w:w="1334"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9"/>
              <w:jc w:val="left"/>
              <w:rPr>
                <w:rFonts w:ascii="宋体"/>
                <w:b/>
                <w:sz w:val="25"/>
              </w:rPr>
            </w:pPr>
          </w:p>
          <w:p>
            <w:pPr>
              <w:pStyle w:val="TableParagraph"/>
              <w:spacing w:line="319" w:lineRule="auto" w:before="1"/>
              <w:ind w:left="455" w:right="114" w:hanging="315"/>
              <w:jc w:val="left"/>
              <w:rPr>
                <w:rFonts w:ascii="宋体" w:eastAsia="宋体" w:hint="eastAsia"/>
                <w:sz w:val="21"/>
              </w:rPr>
            </w:pPr>
            <w:r>
              <w:rPr>
                <w:rFonts w:ascii="宋体" w:eastAsia="宋体" w:hint="eastAsia"/>
                <w:sz w:val="21"/>
              </w:rPr>
              <w:t>一般污染防治区</w:t>
            </w: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49"/>
              <w:ind w:left="70" w:right="45"/>
              <w:rPr>
                <w:rFonts w:ascii="宋体" w:eastAsia="宋体" w:hint="eastAsia"/>
                <w:sz w:val="21"/>
              </w:rPr>
            </w:pPr>
            <w:r>
              <w:rPr>
                <w:rFonts w:ascii="宋体" w:eastAsia="宋体" w:hint="eastAsia"/>
                <w:sz w:val="21"/>
              </w:rPr>
              <w:t>各类猪舍</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49"/>
              <w:ind w:left="102" w:right="74"/>
              <w:rPr>
                <w:rFonts w:ascii="宋体" w:eastAsia="宋体" w:hint="eastAsia"/>
                <w:sz w:val="21"/>
              </w:rPr>
            </w:pPr>
            <w:r>
              <w:rPr>
                <w:rFonts w:ascii="宋体" w:eastAsia="宋体" w:hint="eastAsia"/>
                <w:sz w:val="21"/>
              </w:rPr>
              <w:t>地面</w:t>
            </w:r>
          </w:p>
        </w:tc>
        <w:tc>
          <w:tcPr>
            <w:tcW w:w="3601" w:type="dxa"/>
            <w:vMerge w:val="restart"/>
            <w:tcBorders>
              <w:top w:val="single" w:sz="6" w:space="0" w:color="000000"/>
              <w:left w:val="single" w:sz="6" w:space="0" w:color="000000"/>
            </w:tcBorders>
          </w:tcPr>
          <w:p>
            <w:pPr>
              <w:pStyle w:val="TableParagraph"/>
              <w:spacing w:line="319" w:lineRule="auto" w:before="49"/>
              <w:ind w:left="115" w:right="71" w:firstLine="24"/>
              <w:jc w:val="both"/>
              <w:rPr>
                <w:rFonts w:ascii="宋体" w:hAnsi="宋体" w:eastAsia="宋体" w:hint="eastAsia"/>
                <w:sz w:val="21"/>
              </w:rPr>
            </w:pPr>
            <w:r>
              <w:rPr>
                <w:rFonts w:ascii="宋体" w:hAnsi="宋体" w:eastAsia="宋体" w:hint="eastAsia"/>
                <w:spacing w:val="-9"/>
                <w:sz w:val="21"/>
              </w:rPr>
              <w:t>等效黏土防渗层 </w:t>
            </w:r>
            <w:r>
              <w:rPr>
                <w:position w:val="1"/>
                <w:sz w:val="21"/>
              </w:rPr>
              <w:t>Mb</w:t>
            </w:r>
            <w:r>
              <w:rPr>
                <w:rFonts w:ascii="宋体" w:hAnsi="宋体" w:eastAsia="宋体" w:hint="eastAsia"/>
                <w:sz w:val="21"/>
              </w:rPr>
              <w:t>≥</w:t>
            </w:r>
            <w:r>
              <w:rPr>
                <w:position w:val="1"/>
                <w:sz w:val="21"/>
              </w:rPr>
              <w:t>1.5m</w:t>
            </w:r>
            <w:r>
              <w:rPr>
                <w:rFonts w:ascii="宋体" w:hAnsi="宋体" w:eastAsia="宋体" w:hint="eastAsia"/>
                <w:sz w:val="21"/>
              </w:rPr>
              <w:t>，</w:t>
            </w:r>
            <w:r>
              <w:rPr>
                <w:position w:val="1"/>
                <w:sz w:val="21"/>
              </w:rPr>
              <w:t>K</w:t>
            </w:r>
            <w:r>
              <w:rPr>
                <w:rFonts w:ascii="宋体" w:hAnsi="宋体" w:eastAsia="宋体" w:hint="eastAsia"/>
                <w:sz w:val="21"/>
              </w:rPr>
              <w:t>≤</w:t>
            </w:r>
            <w:r>
              <w:rPr>
                <w:position w:val="1"/>
                <w:sz w:val="21"/>
              </w:rPr>
              <w:t>1</w:t>
            </w:r>
            <w:r>
              <w:rPr>
                <w:rFonts w:ascii="宋体" w:hAnsi="宋体" w:eastAsia="宋体" w:hint="eastAsia"/>
                <w:sz w:val="21"/>
              </w:rPr>
              <w:t>× </w:t>
            </w:r>
            <w:r>
              <w:rPr>
                <w:spacing w:val="-5"/>
                <w:position w:val="1"/>
                <w:sz w:val="21"/>
              </w:rPr>
              <w:t>10</w:t>
            </w:r>
            <w:r>
              <w:rPr>
                <w:spacing w:val="-5"/>
                <w:position w:val="8"/>
                <w:sz w:val="14"/>
              </w:rPr>
              <w:t>-7</w:t>
            </w:r>
            <w:r>
              <w:rPr>
                <w:spacing w:val="-5"/>
                <w:position w:val="1"/>
                <w:sz w:val="21"/>
              </w:rPr>
              <w:t>cm/s</w:t>
            </w:r>
            <w:r>
              <w:rPr>
                <w:rFonts w:ascii="宋体" w:hAnsi="宋体" w:eastAsia="宋体" w:hint="eastAsia"/>
                <w:spacing w:val="-9"/>
                <w:sz w:val="21"/>
              </w:rPr>
              <w:t>；或参照《生活垃圾填埋场污</w:t>
            </w:r>
            <w:r>
              <w:rPr>
                <w:rFonts w:ascii="宋体" w:hAnsi="宋体" w:eastAsia="宋体" w:hint="eastAsia"/>
                <w:spacing w:val="-21"/>
                <w:sz w:val="21"/>
              </w:rPr>
              <w:t>染控制标准》</w:t>
            </w:r>
            <w:r>
              <w:rPr>
                <w:rFonts w:ascii="宋体" w:hAnsi="宋体" w:eastAsia="宋体" w:hint="eastAsia"/>
                <w:sz w:val="21"/>
              </w:rPr>
              <w:t>（</w:t>
            </w:r>
            <w:r>
              <w:rPr>
                <w:position w:val="1"/>
                <w:sz w:val="21"/>
              </w:rPr>
              <w:t>GB </w:t>
            </w:r>
            <w:r>
              <w:rPr>
                <w:spacing w:val="-6"/>
                <w:position w:val="1"/>
                <w:sz w:val="21"/>
              </w:rPr>
              <w:t>16889-2008</w:t>
            </w:r>
            <w:r>
              <w:rPr>
                <w:rFonts w:ascii="宋体" w:hAnsi="宋体" w:eastAsia="宋体" w:hint="eastAsia"/>
                <w:spacing w:val="-6"/>
                <w:sz w:val="21"/>
              </w:rPr>
              <w:t>）</w:t>
            </w:r>
            <w:r>
              <w:rPr>
                <w:rFonts w:ascii="宋体" w:hAnsi="宋体" w:eastAsia="宋体" w:hint="eastAsia"/>
                <w:spacing w:val="-41"/>
                <w:sz w:val="21"/>
              </w:rPr>
              <w:t>、《一</w:t>
            </w:r>
            <w:r>
              <w:rPr>
                <w:rFonts w:ascii="宋体" w:hAnsi="宋体" w:eastAsia="宋体" w:hint="eastAsia"/>
                <w:spacing w:val="-3"/>
                <w:sz w:val="21"/>
              </w:rPr>
              <w:t>般工业固体废弃物贮存和填埋污染控</w:t>
            </w:r>
          </w:p>
          <w:p>
            <w:pPr>
              <w:pStyle w:val="TableParagraph"/>
              <w:spacing w:before="3"/>
              <w:ind w:left="286"/>
              <w:jc w:val="left"/>
              <w:rPr>
                <w:rFonts w:ascii="宋体" w:eastAsia="宋体" w:hint="eastAsia"/>
                <w:sz w:val="21"/>
              </w:rPr>
            </w:pPr>
            <w:r>
              <w:rPr>
                <w:rFonts w:ascii="宋体" w:eastAsia="宋体" w:hint="eastAsia"/>
                <w:sz w:val="21"/>
              </w:rPr>
              <w:t>制标准》（</w:t>
            </w:r>
            <w:r>
              <w:rPr>
                <w:position w:val="1"/>
                <w:sz w:val="21"/>
              </w:rPr>
              <w:t>GB 18599-2020</w:t>
            </w:r>
            <w:r>
              <w:rPr>
                <w:rFonts w:ascii="宋体" w:eastAsia="宋体" w:hint="eastAsia"/>
                <w:sz w:val="21"/>
              </w:rPr>
              <w:t>）执行</w:t>
            </w:r>
          </w:p>
        </w:tc>
      </w:tr>
      <w:tr>
        <w:trPr>
          <w:trHeight w:val="344" w:hRule="atLeast"/>
        </w:trPr>
        <w:tc>
          <w:tcPr>
            <w:tcW w:w="1334" w:type="dxa"/>
            <w:vMerge/>
            <w:tcBorders>
              <w:top w:val="nil"/>
              <w:right w:val="single" w:sz="6" w:space="0" w:color="000000"/>
            </w:tcBorders>
          </w:tcPr>
          <w:p>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pPr>
              <w:pStyle w:val="TableParagraph"/>
              <w:spacing w:before="39"/>
              <w:ind w:left="69" w:right="45"/>
              <w:rPr>
                <w:rFonts w:ascii="宋体" w:eastAsia="宋体" w:hint="eastAsia"/>
                <w:sz w:val="21"/>
              </w:rPr>
            </w:pPr>
            <w:r>
              <w:rPr>
                <w:rFonts w:ascii="宋体" w:eastAsia="宋体" w:hint="eastAsia"/>
                <w:sz w:val="21"/>
              </w:rPr>
              <w:t>猪粪发酵间、有机肥车间</w:t>
            </w:r>
          </w:p>
        </w:tc>
        <w:tc>
          <w:tcPr>
            <w:tcW w:w="1702" w:type="dxa"/>
            <w:tcBorders>
              <w:top w:val="single" w:sz="6" w:space="0" w:color="000000"/>
              <w:left w:val="single" w:sz="6" w:space="0" w:color="000000"/>
              <w:bottom w:val="single" w:sz="6" w:space="0" w:color="000000"/>
              <w:right w:val="single" w:sz="6" w:space="0" w:color="000000"/>
            </w:tcBorders>
          </w:tcPr>
          <w:p>
            <w:pPr>
              <w:pStyle w:val="TableParagraph"/>
              <w:spacing w:before="39"/>
              <w:ind w:left="102" w:right="74"/>
              <w:rPr>
                <w:rFonts w:ascii="宋体" w:eastAsia="宋体" w:hint="eastAsia"/>
                <w:sz w:val="21"/>
              </w:rPr>
            </w:pPr>
            <w:r>
              <w:rPr>
                <w:rFonts w:ascii="宋体" w:eastAsia="宋体" w:hint="eastAsia"/>
                <w:sz w:val="21"/>
              </w:rPr>
              <w:t>地面</w:t>
            </w:r>
          </w:p>
        </w:tc>
        <w:tc>
          <w:tcPr>
            <w:tcW w:w="3601" w:type="dxa"/>
            <w:vMerge/>
            <w:tcBorders>
              <w:top w:val="nil"/>
              <w:left w:val="single" w:sz="6" w:space="0" w:color="000000"/>
            </w:tcBorders>
          </w:tcPr>
          <w:p>
            <w:pPr>
              <w:rPr>
                <w:sz w:val="2"/>
                <w:szCs w:val="2"/>
              </w:rPr>
            </w:pPr>
          </w:p>
        </w:tc>
      </w:tr>
      <w:tr>
        <w:trPr>
          <w:trHeight w:val="1038" w:hRule="atLeast"/>
        </w:trPr>
        <w:tc>
          <w:tcPr>
            <w:tcW w:w="1334" w:type="dxa"/>
            <w:vMerge/>
            <w:tcBorders>
              <w:top w:val="nil"/>
              <w:right w:val="single" w:sz="6" w:space="0" w:color="000000"/>
            </w:tcBorders>
          </w:tcPr>
          <w:p>
            <w:pPr>
              <w:rPr>
                <w:sz w:val="2"/>
                <w:szCs w:val="2"/>
              </w:rPr>
            </w:pPr>
          </w:p>
        </w:tc>
        <w:tc>
          <w:tcPr>
            <w:tcW w:w="2693" w:type="dxa"/>
            <w:tcBorders>
              <w:top w:val="single" w:sz="6" w:space="0" w:color="000000"/>
              <w:left w:val="single" w:sz="6" w:space="0" w:color="000000"/>
              <w:right w:val="single" w:sz="6" w:space="0" w:color="000000"/>
            </w:tcBorders>
          </w:tcPr>
          <w:p>
            <w:pPr>
              <w:pStyle w:val="TableParagraph"/>
              <w:spacing w:before="11"/>
              <w:jc w:val="left"/>
              <w:rPr>
                <w:rFonts w:ascii="宋体"/>
                <w:b/>
                <w:sz w:val="29"/>
              </w:rPr>
            </w:pPr>
          </w:p>
          <w:p>
            <w:pPr>
              <w:pStyle w:val="TableParagraph"/>
              <w:spacing w:before="0"/>
              <w:ind w:left="72" w:right="45"/>
              <w:rPr>
                <w:rFonts w:ascii="宋体" w:eastAsia="宋体" w:hint="eastAsia"/>
                <w:sz w:val="21"/>
              </w:rPr>
            </w:pPr>
            <w:r>
              <w:rPr>
                <w:rFonts w:ascii="宋体" w:eastAsia="宋体" w:hint="eastAsia"/>
                <w:sz w:val="21"/>
              </w:rPr>
              <w:t>一般固废暂存间、原料仓库</w:t>
            </w:r>
          </w:p>
        </w:tc>
        <w:tc>
          <w:tcPr>
            <w:tcW w:w="1702" w:type="dxa"/>
            <w:tcBorders>
              <w:top w:val="single" w:sz="6" w:space="0" w:color="000000"/>
              <w:left w:val="single" w:sz="6" w:space="0" w:color="000000"/>
              <w:right w:val="single" w:sz="6" w:space="0" w:color="000000"/>
            </w:tcBorders>
          </w:tcPr>
          <w:p>
            <w:pPr>
              <w:pStyle w:val="TableParagraph"/>
              <w:spacing w:before="11"/>
              <w:jc w:val="left"/>
              <w:rPr>
                <w:rFonts w:ascii="宋体"/>
                <w:b/>
                <w:sz w:val="29"/>
              </w:rPr>
            </w:pPr>
          </w:p>
          <w:p>
            <w:pPr>
              <w:pStyle w:val="TableParagraph"/>
              <w:spacing w:before="0"/>
              <w:ind w:left="102" w:right="74"/>
              <w:rPr>
                <w:rFonts w:ascii="宋体" w:eastAsia="宋体" w:hint="eastAsia"/>
                <w:sz w:val="21"/>
              </w:rPr>
            </w:pPr>
            <w:r>
              <w:rPr>
                <w:rFonts w:ascii="宋体" w:eastAsia="宋体" w:hint="eastAsia"/>
                <w:sz w:val="21"/>
              </w:rPr>
              <w:t>地面</w:t>
            </w:r>
          </w:p>
        </w:tc>
        <w:tc>
          <w:tcPr>
            <w:tcW w:w="3601" w:type="dxa"/>
            <w:vMerge/>
            <w:tcBorders>
              <w:top w:val="nil"/>
              <w:left w:val="single" w:sz="6" w:space="0" w:color="000000"/>
            </w:tcBorders>
          </w:tcPr>
          <w:p>
            <w:pPr>
              <w:rPr>
                <w:sz w:val="2"/>
                <w:szCs w:val="2"/>
              </w:rPr>
            </w:pPr>
          </w:p>
        </w:tc>
      </w:tr>
    </w:tbl>
    <w:p>
      <w:pPr>
        <w:spacing w:before="84"/>
        <w:ind w:left="719" w:right="0" w:firstLine="0"/>
        <w:jc w:val="left"/>
        <w:rPr>
          <w:b/>
          <w:sz w:val="24"/>
        </w:rPr>
      </w:pPr>
      <w:r>
        <w:rPr>
          <w:rFonts w:ascii="Times New Roman" w:eastAsia="Times New Roman"/>
          <w:b/>
          <w:sz w:val="24"/>
        </w:rPr>
        <w:t>2</w:t>
      </w:r>
      <w:r>
        <w:rPr>
          <w:b/>
          <w:sz w:val="24"/>
        </w:rPr>
        <w:t>、地下水及土壤污染防治措施</w:t>
      </w:r>
    </w:p>
    <w:p>
      <w:pPr>
        <w:pStyle w:val="BodyText"/>
        <w:spacing w:line="364" w:lineRule="auto" w:before="160"/>
        <w:ind w:right="252" w:firstLine="480"/>
      </w:pPr>
      <w:r>
        <w:rPr/>
        <w:t>项目应编制应急预案，一旦发现地下水及土壤污染事故，立即启动应急预案、采取应急措施控制地下水及土壤污染，并使污染得到治理。</w:t>
      </w:r>
    </w:p>
    <w:p>
      <w:pPr>
        <w:pStyle w:val="BodyText"/>
        <w:spacing w:line="364" w:lineRule="auto" w:before="1"/>
        <w:ind w:right="261" w:firstLine="480"/>
      </w:pPr>
      <w:r>
        <w:rPr/>
        <w:t>防止地下水及土壤污染，要预防为主、防治结合，把预防污染作为基本原则，把治理作为补救措施。要求建设单位根据上述污染防控要求做好各污染防治区的防渗措施。</w:t>
      </w:r>
    </w:p>
    <w:p>
      <w:pPr>
        <w:pStyle w:val="ListParagraph"/>
        <w:numPr>
          <w:ilvl w:val="0"/>
          <w:numId w:val="101"/>
        </w:numPr>
        <w:tabs>
          <w:tab w:pos="1319" w:val="left" w:leader="none"/>
        </w:tabs>
        <w:spacing w:line="364" w:lineRule="auto" w:before="2" w:after="0"/>
        <w:ind w:left="237" w:right="249" w:firstLine="480"/>
        <w:jc w:val="left"/>
        <w:rPr>
          <w:sz w:val="24"/>
        </w:rPr>
      </w:pPr>
      <w:r>
        <w:rPr>
          <w:spacing w:val="-6"/>
          <w:sz w:val="24"/>
        </w:rPr>
        <w:t>场区内做好雨污分流。废水采用 </w:t>
      </w:r>
      <w:r>
        <w:rPr>
          <w:rFonts w:ascii="Times New Roman" w:eastAsia="Times New Roman"/>
          <w:position w:val="1"/>
          <w:sz w:val="24"/>
        </w:rPr>
        <w:t>HDPE </w:t>
      </w:r>
      <w:r>
        <w:rPr>
          <w:spacing w:val="-3"/>
          <w:sz w:val="24"/>
        </w:rPr>
        <w:t>管输送至污水处理站，做好污水管道的</w:t>
      </w:r>
      <w:r>
        <w:rPr>
          <w:sz w:val="24"/>
        </w:rPr>
        <w:t>防渗处理，杜绝污水渗漏，确保污水收集系统衔接良好。</w:t>
      </w:r>
    </w:p>
    <w:p>
      <w:pPr>
        <w:pStyle w:val="ListParagraph"/>
        <w:numPr>
          <w:ilvl w:val="0"/>
          <w:numId w:val="101"/>
        </w:numPr>
        <w:tabs>
          <w:tab w:pos="1319" w:val="left" w:leader="none"/>
        </w:tabs>
        <w:spacing w:line="364" w:lineRule="auto" w:before="1" w:after="0"/>
        <w:ind w:left="237" w:right="131" w:firstLine="480"/>
        <w:jc w:val="left"/>
        <w:rPr>
          <w:sz w:val="24"/>
        </w:rPr>
      </w:pPr>
      <w:r>
        <w:rPr>
          <w:spacing w:val="-4"/>
          <w:sz w:val="24"/>
        </w:rPr>
        <w:t>污水收集沟渠、固液分离区、污水处理构筑物、危废暂存间、无害化处理间等</w:t>
      </w:r>
      <w:r>
        <w:rPr>
          <w:spacing w:val="-7"/>
          <w:sz w:val="24"/>
        </w:rPr>
        <w:t>重点区域地基采用粘土材料，中间采用防渗水泥混凝土硬化，上层涂防渗环氧树脂涂料。</w:t>
      </w:r>
      <w:r>
        <w:rPr>
          <w:sz w:val="24"/>
        </w:rPr>
        <w:t>一般污染防治区域采用防渗水泥混凝土硬化。在此前提下，能够杜绝污染源对地下水及其下层土壤的影响。</w:t>
      </w:r>
    </w:p>
    <w:p>
      <w:pPr>
        <w:pStyle w:val="ListParagraph"/>
        <w:numPr>
          <w:ilvl w:val="0"/>
          <w:numId w:val="101"/>
        </w:numPr>
        <w:tabs>
          <w:tab w:pos="1319" w:val="left" w:leader="none"/>
        </w:tabs>
        <w:spacing w:line="240" w:lineRule="auto" w:before="3" w:after="0"/>
        <w:ind w:left="1318" w:right="0" w:hanging="602"/>
        <w:jc w:val="left"/>
        <w:rPr>
          <w:sz w:val="24"/>
        </w:rPr>
      </w:pPr>
      <w:r>
        <w:rPr>
          <w:spacing w:val="-3"/>
          <w:sz w:val="24"/>
        </w:rPr>
        <w:t>在项目运营时，加强现场巡查，当地面雨水量较大时，重点检查有无渗漏情况</w:t>
      </w:r>
    </w:p>
    <w:p>
      <w:pPr>
        <w:pStyle w:val="BodyText"/>
        <w:spacing w:line="364" w:lineRule="auto" w:before="160"/>
        <w:ind w:right="249"/>
      </w:pPr>
      <w:r>
        <w:rPr/>
        <w:t>（如地面有气泡现象），若发现问题，及时分析原因，找到渗透点制定整改措施，尽快修补，确保防腐防渗层的完整性。</w:t>
      </w:r>
    </w:p>
    <w:p>
      <w:pPr>
        <w:pStyle w:val="BodyText"/>
        <w:spacing w:before="2"/>
        <w:ind w:left="717"/>
      </w:pPr>
      <w:r>
        <w:rPr/>
        <w:t>综上，采取上述措施基本可消除项目对地下水及土壤造成的不利影响，措施可行。</w:t>
      </w:r>
    </w:p>
    <w:p>
      <w:pPr>
        <w:pStyle w:val="Heading3"/>
        <w:spacing w:before="160"/>
      </w:pPr>
      <w:r>
        <w:rPr>
          <w:rFonts w:ascii="Times New Roman" w:eastAsia="Times New Roman"/>
        </w:rPr>
        <w:t>3</w:t>
      </w:r>
      <w:r>
        <w:rPr/>
        <w:t>、环境管理</w:t>
      </w:r>
    </w:p>
    <w:p>
      <w:pPr>
        <w:pStyle w:val="ListParagraph"/>
        <w:numPr>
          <w:ilvl w:val="0"/>
          <w:numId w:val="102"/>
        </w:numPr>
        <w:tabs>
          <w:tab w:pos="1319" w:val="left" w:leader="none"/>
        </w:tabs>
        <w:spacing w:line="364" w:lineRule="auto" w:before="161" w:after="0"/>
        <w:ind w:left="237" w:right="251" w:firstLine="480"/>
        <w:jc w:val="left"/>
        <w:rPr>
          <w:sz w:val="24"/>
        </w:rPr>
      </w:pPr>
      <w:r>
        <w:rPr>
          <w:spacing w:val="-2"/>
          <w:sz w:val="24"/>
        </w:rPr>
        <w:t>对于养殖场各污染防治区的防渗结构应根据环评要求进行设计和建设，确保各</w:t>
      </w:r>
      <w:r>
        <w:rPr>
          <w:sz w:val="24"/>
        </w:rPr>
        <w:t>污染防治区的防渗能力满足要求。</w:t>
      </w:r>
    </w:p>
    <w:p>
      <w:pPr>
        <w:pStyle w:val="ListParagraph"/>
        <w:numPr>
          <w:ilvl w:val="0"/>
          <w:numId w:val="102"/>
        </w:numPr>
        <w:tabs>
          <w:tab w:pos="1319" w:val="left" w:leader="none"/>
        </w:tabs>
        <w:spacing w:line="240" w:lineRule="auto" w:before="1" w:after="0"/>
        <w:ind w:left="1318" w:right="0" w:hanging="602"/>
        <w:jc w:val="left"/>
        <w:rPr>
          <w:sz w:val="24"/>
        </w:rPr>
      </w:pPr>
      <w:r>
        <w:rPr>
          <w:sz w:val="24"/>
        </w:rPr>
        <w:t>防渗措施和各污染防治区的防渗效果应作为项目竣工环保验收内容之一。</w:t>
      </w:r>
    </w:p>
    <w:p>
      <w:pPr>
        <w:pStyle w:val="ListParagraph"/>
        <w:numPr>
          <w:ilvl w:val="0"/>
          <w:numId w:val="102"/>
        </w:numPr>
        <w:tabs>
          <w:tab w:pos="1319" w:val="left" w:leader="none"/>
        </w:tabs>
        <w:spacing w:line="240" w:lineRule="auto" w:before="161" w:after="0"/>
        <w:ind w:left="1318" w:right="0" w:hanging="602"/>
        <w:jc w:val="left"/>
        <w:rPr>
          <w:sz w:val="24"/>
        </w:rPr>
      </w:pPr>
      <w:r>
        <w:rPr>
          <w:spacing w:val="-1"/>
          <w:sz w:val="24"/>
        </w:rPr>
        <w:t>若污染事故发生或发现监控井地下水或土壤受到污染时，应及时报告项目环境</w:t>
      </w:r>
    </w:p>
    <w:p>
      <w:pPr>
        <w:spacing w:after="0" w:line="240" w:lineRule="auto"/>
        <w:jc w:val="left"/>
        <w:rPr>
          <w:sz w:val="24"/>
        </w:rPr>
        <w:sectPr>
          <w:pgSz w:w="11910" w:h="16840"/>
          <w:pgMar w:header="874" w:footer="1004" w:top="1420" w:bottom="1200" w:left="1040" w:right="1160"/>
        </w:sectPr>
      </w:pPr>
    </w:p>
    <w:p>
      <w:pPr>
        <w:pStyle w:val="BodyText"/>
        <w:spacing w:line="364" w:lineRule="auto" w:before="92"/>
        <w:ind w:right="82"/>
      </w:pPr>
      <w:r>
        <w:rPr/>
        <w:t>管理机构负责人，由其采取必要的应急处置措施及防治措施，当事故发展事态继续发展， 场区应急措施及防治措施无法控制事故事态时，应及时上报环保主管部门请求援助。</w:t>
      </w:r>
    </w:p>
    <w:p>
      <w:pPr>
        <w:pStyle w:val="ListParagraph"/>
        <w:numPr>
          <w:ilvl w:val="0"/>
          <w:numId w:val="102"/>
        </w:numPr>
        <w:tabs>
          <w:tab w:pos="1319" w:val="left" w:leader="none"/>
        </w:tabs>
        <w:spacing w:line="364" w:lineRule="auto" w:before="1" w:after="0"/>
        <w:ind w:left="237" w:right="249" w:firstLine="480"/>
        <w:jc w:val="both"/>
        <w:rPr>
          <w:sz w:val="24"/>
        </w:rPr>
      </w:pPr>
      <w:r>
        <w:rPr>
          <w:spacing w:val="-3"/>
          <w:sz w:val="24"/>
        </w:rPr>
        <w:t>设置地下水监测井。本项目地下水环境监测主要参考《环境影响评价技术导则</w:t>
      </w:r>
      <w:r>
        <w:rPr>
          <w:spacing w:val="-5"/>
          <w:sz w:val="24"/>
        </w:rPr>
        <w:t>地下 水环境》</w:t>
      </w:r>
      <w:r>
        <w:rPr>
          <w:sz w:val="24"/>
        </w:rPr>
        <w:t>（</w:t>
      </w:r>
      <w:r>
        <w:rPr>
          <w:rFonts w:ascii="Times New Roman" w:eastAsia="Times New Roman"/>
          <w:position w:val="1"/>
          <w:sz w:val="24"/>
        </w:rPr>
        <w:t>HJ</w:t>
      </w:r>
      <w:r>
        <w:rPr>
          <w:rFonts w:ascii="Times New Roman" w:eastAsia="Times New Roman"/>
          <w:spacing w:val="2"/>
          <w:position w:val="1"/>
          <w:sz w:val="24"/>
        </w:rPr>
        <w:t> </w:t>
      </w:r>
      <w:r>
        <w:rPr>
          <w:rFonts w:ascii="Times New Roman" w:eastAsia="Times New Roman"/>
          <w:spacing w:val="-4"/>
          <w:position w:val="1"/>
          <w:sz w:val="24"/>
        </w:rPr>
        <w:t>610-2016</w:t>
      </w:r>
      <w:r>
        <w:rPr>
          <w:spacing w:val="-4"/>
          <w:sz w:val="24"/>
        </w:rPr>
        <w:t>），根据拟建项目特点和本区水文地质条件，结合本项目潜</w:t>
      </w:r>
      <w:r>
        <w:rPr>
          <w:spacing w:val="-1"/>
          <w:sz w:val="24"/>
        </w:rPr>
        <w:t>在地下水污染点，本项目至少应在项目场地下游布设 </w:t>
      </w:r>
      <w:r>
        <w:rPr>
          <w:rFonts w:ascii="Times New Roman" w:eastAsia="Times New Roman"/>
          <w:position w:val="1"/>
          <w:sz w:val="24"/>
        </w:rPr>
        <w:t>1</w:t>
      </w:r>
      <w:r>
        <w:rPr>
          <w:rFonts w:ascii="Times New Roman" w:eastAsia="Times New Roman"/>
          <w:spacing w:val="48"/>
          <w:position w:val="1"/>
          <w:sz w:val="24"/>
        </w:rPr>
        <w:t> </w:t>
      </w:r>
      <w:r>
        <w:rPr>
          <w:spacing w:val="-1"/>
          <w:sz w:val="24"/>
        </w:rPr>
        <w:t>个水质监测井</w:t>
      </w:r>
      <w:r>
        <w:rPr>
          <w:sz w:val="24"/>
        </w:rPr>
        <w:t>（</w:t>
      </w:r>
      <w:r>
        <w:rPr>
          <w:spacing w:val="-2"/>
          <w:sz w:val="24"/>
        </w:rPr>
        <w:t>可设置在污水处</w:t>
      </w:r>
      <w:r>
        <w:rPr>
          <w:spacing w:val="-4"/>
          <w:position w:val="2"/>
          <w:sz w:val="24"/>
        </w:rPr>
        <w:t>理区附近，详见图 </w:t>
      </w:r>
      <w:r>
        <w:rPr>
          <w:rFonts w:ascii="Times New Roman" w:eastAsia="Times New Roman"/>
          <w:position w:val="2"/>
          <w:sz w:val="24"/>
        </w:rPr>
        <w:t>6.2-4</w:t>
      </w:r>
      <w:r>
        <w:rPr>
          <w:position w:val="2"/>
          <w:sz w:val="24"/>
        </w:rPr>
        <w:t>）</w:t>
      </w:r>
      <w:r>
        <w:rPr>
          <w:spacing w:val="-4"/>
          <w:position w:val="2"/>
          <w:sz w:val="24"/>
        </w:rPr>
        <w:t>。监测项目应包括 </w:t>
      </w:r>
      <w:r>
        <w:rPr>
          <w:rFonts w:ascii="Times New Roman" w:eastAsia="Times New Roman"/>
          <w:position w:val="2"/>
          <w:sz w:val="24"/>
        </w:rPr>
        <w:t>pH</w:t>
      </w:r>
      <w:r>
        <w:rPr>
          <w:position w:val="2"/>
          <w:sz w:val="24"/>
        </w:rPr>
        <w:t>、</w:t>
      </w:r>
      <w:r>
        <w:rPr>
          <w:rFonts w:ascii="Times New Roman" w:eastAsia="Times New Roman"/>
          <w:position w:val="2"/>
          <w:sz w:val="24"/>
        </w:rPr>
        <w:t>COD</w:t>
      </w:r>
      <w:r>
        <w:rPr>
          <w:rFonts w:ascii="Times New Roman" w:eastAsia="Times New Roman"/>
          <w:sz w:val="16"/>
        </w:rPr>
        <w:t>Mn</w:t>
      </w:r>
      <w:r>
        <w:rPr>
          <w:position w:val="2"/>
          <w:sz w:val="24"/>
        </w:rPr>
        <w:t>、</w:t>
      </w:r>
      <w:r>
        <w:rPr>
          <w:rFonts w:ascii="Times New Roman" w:eastAsia="Times New Roman"/>
          <w:position w:val="2"/>
          <w:sz w:val="24"/>
        </w:rPr>
        <w:t>BOD</w:t>
      </w:r>
      <w:r>
        <w:rPr>
          <w:rFonts w:ascii="Times New Roman" w:eastAsia="Times New Roman"/>
          <w:sz w:val="16"/>
        </w:rPr>
        <w:t>5</w:t>
      </w:r>
      <w:r>
        <w:rPr>
          <w:position w:val="2"/>
          <w:sz w:val="24"/>
        </w:rPr>
        <w:t>、</w:t>
      </w:r>
      <w:r>
        <w:rPr>
          <w:rFonts w:ascii="Times New Roman" w:eastAsia="Times New Roman"/>
          <w:position w:val="2"/>
          <w:sz w:val="24"/>
        </w:rPr>
        <w:t>NH</w:t>
      </w:r>
      <w:r>
        <w:rPr>
          <w:rFonts w:ascii="Times New Roman" w:eastAsia="Times New Roman"/>
          <w:sz w:val="16"/>
        </w:rPr>
        <w:t>3</w:t>
      </w:r>
      <w:r>
        <w:rPr>
          <w:rFonts w:ascii="Times New Roman" w:eastAsia="Times New Roman"/>
          <w:position w:val="2"/>
          <w:sz w:val="24"/>
        </w:rPr>
        <w:t>-N</w:t>
      </w:r>
      <w:r>
        <w:rPr>
          <w:spacing w:val="-2"/>
          <w:position w:val="2"/>
          <w:sz w:val="24"/>
        </w:rPr>
        <w:t>、铜、锌、总</w:t>
      </w:r>
      <w:r>
        <w:rPr>
          <w:spacing w:val="-3"/>
          <w:sz w:val="24"/>
        </w:rPr>
        <w:t>大肠菌群数、亚硝酸盐等。监测频次为 </w:t>
      </w:r>
      <w:r>
        <w:rPr>
          <w:rFonts w:ascii="Times New Roman" w:eastAsia="Times New Roman"/>
          <w:position w:val="1"/>
          <w:sz w:val="24"/>
        </w:rPr>
        <w:t>1</w:t>
      </w:r>
      <w:r>
        <w:rPr>
          <w:rFonts w:ascii="Times New Roman" w:eastAsia="Times New Roman"/>
          <w:spacing w:val="13"/>
          <w:position w:val="1"/>
          <w:sz w:val="24"/>
        </w:rPr>
        <w:t> </w:t>
      </w:r>
      <w:r>
        <w:rPr>
          <w:sz w:val="24"/>
        </w:rPr>
        <w:t>次</w:t>
      </w:r>
      <w:r>
        <w:rPr>
          <w:rFonts w:ascii="Times New Roman" w:eastAsia="Times New Roman"/>
          <w:position w:val="1"/>
          <w:sz w:val="24"/>
        </w:rPr>
        <w:t>/</w:t>
      </w:r>
      <w:r>
        <w:rPr>
          <w:spacing w:val="-1"/>
          <w:sz w:val="24"/>
        </w:rPr>
        <w:t>年。监测结果应按项目有关规定及时建立档</w:t>
      </w:r>
      <w:r>
        <w:rPr>
          <w:sz w:val="24"/>
        </w:rPr>
        <w:t>案，并定期向安全环保部门汇报。如发现异常或发生事故，加密监测频次，改为每天监测一次，并分析污染原因，确定泄漏污染源，及时采取应急措施。</w:t>
      </w:r>
    </w:p>
    <w:p>
      <w:pPr>
        <w:pStyle w:val="Heading3"/>
        <w:numPr>
          <w:ilvl w:val="2"/>
          <w:numId w:val="88"/>
        </w:numPr>
        <w:tabs>
          <w:tab w:pos="838" w:val="left" w:leader="none"/>
        </w:tabs>
        <w:spacing w:line="240" w:lineRule="auto" w:before="5" w:after="0"/>
        <w:ind w:left="837" w:right="0" w:hanging="601"/>
        <w:jc w:val="both"/>
      </w:pPr>
      <w:bookmarkStart w:name="_bookmark107" w:id="207"/>
      <w:bookmarkEnd w:id="207"/>
      <w:r>
        <w:rPr>
          <w:b w:val="0"/>
        </w:rPr>
      </w:r>
      <w:bookmarkStart w:name="_bookmark107" w:id="208"/>
      <w:bookmarkEnd w:id="208"/>
      <w:r>
        <w:rPr/>
        <w:t>环境风险防范措施</w:t>
      </w:r>
    </w:p>
    <w:p>
      <w:pPr>
        <w:spacing w:before="160"/>
        <w:ind w:left="719" w:right="0" w:firstLine="0"/>
        <w:jc w:val="left"/>
        <w:rPr>
          <w:b/>
          <w:sz w:val="24"/>
        </w:rPr>
      </w:pPr>
      <w:r>
        <w:rPr>
          <w:rFonts w:ascii="Times New Roman" w:eastAsia="Times New Roman"/>
          <w:b/>
          <w:sz w:val="24"/>
        </w:rPr>
        <w:t>1</w:t>
      </w:r>
      <w:r>
        <w:rPr>
          <w:b/>
          <w:sz w:val="24"/>
        </w:rPr>
        <w:t>、加强运输过程风险防范</w:t>
      </w:r>
    </w:p>
    <w:p>
      <w:pPr>
        <w:pStyle w:val="BodyText"/>
        <w:spacing w:before="161"/>
        <w:ind w:left="717"/>
      </w:pPr>
      <w:r>
        <w:rPr/>
        <w:t>加强运输过程风险防范，具体措施如下：</w:t>
      </w:r>
    </w:p>
    <w:p>
      <w:pPr>
        <w:pStyle w:val="BodyText"/>
        <w:spacing w:before="160"/>
        <w:ind w:left="717"/>
      </w:pPr>
      <w:r>
        <w:rPr/>
        <w:t>①运输过程中应进行密闭处理，避免发生抛洒、泄漏、跑冒漏滴等事故；</w:t>
      </w:r>
    </w:p>
    <w:p>
      <w:pPr>
        <w:pStyle w:val="BodyText"/>
        <w:spacing w:line="364" w:lineRule="auto" w:before="161"/>
        <w:ind w:right="254" w:firstLine="480"/>
      </w:pPr>
      <w:r>
        <w:rPr/>
        <w:t>②合理规划运输路线及时间，运输危险品车辆行使应避开居民区、学校、医院、水源保护区、风景名胜区等环境敏感区以及城镇人群密集区；</w:t>
      </w:r>
    </w:p>
    <w:p>
      <w:pPr>
        <w:pStyle w:val="BodyText"/>
        <w:spacing w:before="1"/>
        <w:ind w:left="717"/>
      </w:pPr>
      <w:r>
        <w:rPr/>
        <w:t>③建立台账记录及定期外运制度，严禁在转移过程排放至环境中；</w:t>
      </w:r>
    </w:p>
    <w:p>
      <w:pPr>
        <w:pStyle w:val="BodyText"/>
        <w:spacing w:line="364" w:lineRule="auto" w:before="161"/>
        <w:ind w:right="252" w:firstLine="480"/>
      </w:pPr>
      <w:r>
        <w:rPr/>
        <w:t>④使用专用车辆，严禁采用三轮车机动车、人力三轮车、自行车和摩托车等不符合规范的车辆装运各类危险品及危险废物；</w:t>
      </w:r>
    </w:p>
    <w:p>
      <w:pPr>
        <w:pStyle w:val="BodyText"/>
        <w:spacing w:line="364" w:lineRule="auto" w:before="1"/>
        <w:ind w:right="252" w:firstLine="480"/>
      </w:pPr>
      <w:r>
        <w:rPr/>
        <w:t>⑤危险品及危险废物的装运应做到定车、定人，其运输、装卸应符合《汽车危险货物运输、装卸作业规程》（</w:t>
      </w:r>
      <w:r>
        <w:rPr>
          <w:rFonts w:ascii="Times New Roman" w:hAnsi="Times New Roman" w:eastAsia="Times New Roman"/>
          <w:position w:val="1"/>
        </w:rPr>
        <w:t>JT 617-2004</w:t>
      </w:r>
      <w:r>
        <w:rPr/>
        <w:t>）的有关规定。</w:t>
      </w:r>
    </w:p>
    <w:p>
      <w:pPr>
        <w:pStyle w:val="Heading3"/>
        <w:spacing w:before="1"/>
      </w:pPr>
      <w:r>
        <w:rPr>
          <w:rFonts w:ascii="Times New Roman" w:eastAsia="Times New Roman"/>
        </w:rPr>
        <w:t>2</w:t>
      </w:r>
      <w:r>
        <w:rPr/>
        <w:t>、废水事故性排放防范措施</w:t>
      </w:r>
    </w:p>
    <w:p>
      <w:pPr>
        <w:pStyle w:val="BodyText"/>
        <w:spacing w:line="364" w:lineRule="auto" w:before="161"/>
        <w:ind w:right="249" w:firstLine="480"/>
        <w:jc w:val="both"/>
      </w:pPr>
      <w:r>
        <w:rPr/>
        <w:t>污水处理设施一旦发生事故，应立即停止运行，关闭排水系统，并进行检修，同时将各类废水接入应急池，应急池要求能容纳 </w:t>
      </w:r>
      <w:r>
        <w:rPr>
          <w:rFonts w:ascii="Times New Roman" w:hAnsi="Times New Roman" w:eastAsia="Times New Roman"/>
          <w:position w:val="1"/>
        </w:rPr>
        <w:t>1 </w:t>
      </w:r>
      <w:r>
        <w:rPr/>
        <w:t>天的生产废水产生量（本项目应急池有效容积为 </w:t>
      </w:r>
      <w:r>
        <w:rPr>
          <w:rFonts w:ascii="Times New Roman" w:hAnsi="Times New Roman" w:eastAsia="Times New Roman"/>
          <w:position w:val="1"/>
        </w:rPr>
        <w:t>510m</w:t>
      </w:r>
      <w:r>
        <w:rPr/>
        <w:t>³，可满足应急需求），并配备应急切断系统，待处理设施正常运行后才能继续接入处理，以保证废水能够达标纳管。</w:t>
      </w:r>
    </w:p>
    <w:p>
      <w:pPr>
        <w:pStyle w:val="BodyText"/>
        <w:spacing w:line="364" w:lineRule="auto" w:before="3"/>
        <w:ind w:right="263" w:firstLine="480"/>
      </w:pPr>
      <w:r>
        <w:rPr/>
        <w:t>另外，处理站使用的机泵、阀门、电器及仪表等在运行中发生故障，将会导致废水处理操作事故，这种事故发生概率较高。此类事故应急要求在设计上注意：</w:t>
      </w:r>
    </w:p>
    <w:p>
      <w:pPr>
        <w:pStyle w:val="BodyText"/>
        <w:spacing w:before="1"/>
        <w:ind w:left="717"/>
      </w:pPr>
      <w:r>
        <w:rPr/>
        <w:t>①处理站机电设备至少应有一用一备方式；</w:t>
      </w:r>
    </w:p>
    <w:p>
      <w:pPr>
        <w:pStyle w:val="BodyText"/>
        <w:spacing w:before="160"/>
        <w:ind w:left="717"/>
      </w:pPr>
      <w:r>
        <w:rPr/>
        <w:t>②处理站设计上应考虑留有一定的回流处理缓冲能力和设施；</w:t>
      </w:r>
    </w:p>
    <w:p>
      <w:pPr>
        <w:spacing w:after="0"/>
        <w:sectPr>
          <w:pgSz w:w="11910" w:h="16840"/>
          <w:pgMar w:header="874" w:footer="1004" w:top="1420" w:bottom="1200" w:left="1040" w:right="1160"/>
        </w:sectPr>
      </w:pPr>
    </w:p>
    <w:p>
      <w:pPr>
        <w:pStyle w:val="BodyText"/>
        <w:spacing w:line="364" w:lineRule="auto" w:before="92"/>
        <w:ind w:right="134" w:firstLine="480"/>
        <w:jc w:val="both"/>
      </w:pPr>
      <w:r>
        <w:rPr/>
        <w:t>③灾难风险。由火灾、爆炸、地震及各种不可抗拒力量造成的灾难性事故发生，将迫使污水处理站停止运行，进而形成废水外溢事故排污。应采取立即关闭排水口、全面</w:t>
      </w:r>
      <w:r>
        <w:rPr>
          <w:spacing w:val="-5"/>
        </w:rPr>
        <w:t>停产的措施。在复运前，必须确认各处设备设施全部修复好，具有可靠保证时方可投产；</w:t>
      </w:r>
    </w:p>
    <w:p>
      <w:pPr>
        <w:pStyle w:val="BodyText"/>
        <w:spacing w:line="364" w:lineRule="auto" w:before="2"/>
        <w:ind w:right="254" w:firstLine="480"/>
      </w:pPr>
      <w:r>
        <w:rPr/>
        <w:t>④对废水处理设备定期巡查、保养、维护，及时发现有可能引起的事故异常运行苗头，消除事故隐患；</w:t>
      </w:r>
    </w:p>
    <w:p>
      <w:pPr>
        <w:pStyle w:val="BodyText"/>
        <w:spacing w:before="1"/>
        <w:ind w:left="717"/>
      </w:pPr>
      <w:r>
        <w:rPr/>
        <w:t>⑤配备专职化验人员，定时分析废水水质，反馈给操作人员调整处理运行参数；</w:t>
      </w:r>
    </w:p>
    <w:p>
      <w:pPr>
        <w:pStyle w:val="BodyText"/>
        <w:spacing w:line="364" w:lineRule="auto" w:before="160"/>
        <w:ind w:right="254" w:firstLine="480"/>
      </w:pPr>
      <w:r>
        <w:rPr/>
        <w:t>⑥加强生产过程的控制，制定合理的工艺规程，配备专业技术人才，强化员工操作责任心，提高操作技能，使各系统均能保持稳定的运行状态，应可能避免事故；</w:t>
      </w:r>
    </w:p>
    <w:p>
      <w:pPr>
        <w:pStyle w:val="BodyText"/>
        <w:spacing w:before="2"/>
        <w:ind w:left="717"/>
      </w:pPr>
      <w:r>
        <w:rPr/>
        <w:t>⑦安装在线监测，随时监测出水浓度，保证达标。</w:t>
      </w:r>
    </w:p>
    <w:p>
      <w:pPr>
        <w:pStyle w:val="BodyText"/>
        <w:spacing w:line="364" w:lineRule="auto" w:before="160"/>
        <w:ind w:right="254" w:firstLine="480"/>
      </w:pPr>
      <w:r>
        <w:rPr/>
        <w:t>⑧事故发生后，应及时通知绍兴市污水处理厂，告知其事故排水情况，如：估计水量、出水浓度等。配合园区污水处理的各项应急措施。</w:t>
      </w:r>
    </w:p>
    <w:p>
      <w:pPr>
        <w:pStyle w:val="Heading3"/>
        <w:spacing w:before="2"/>
      </w:pPr>
      <w:r>
        <w:rPr/>
        <w:t>为防止对周边地表水（项里江、鉴湖）造成影响，企业须做好如下几个方面措施：</w:t>
      </w:r>
    </w:p>
    <w:p>
      <w:pPr>
        <w:pStyle w:val="BodyText"/>
        <w:spacing w:line="364" w:lineRule="auto" w:before="160"/>
        <w:ind w:right="146" w:firstLine="480"/>
      </w:pPr>
      <w:r>
        <w:rPr/>
        <w:t>①做好厂区内相关区域的雨污分流措施，尤其是各类猪舍、污水处理构筑物、猪粪</w:t>
      </w:r>
      <w:r>
        <w:rPr>
          <w:spacing w:val="-2"/>
        </w:rPr>
        <w:t>发酵间等区域，避免发生污水漫流进入雨水系统的现象；初期雨水池容积不小于 </w:t>
      </w:r>
      <w:r>
        <w:rPr>
          <w:rFonts w:ascii="Times New Roman" w:hAnsi="Times New Roman" w:eastAsia="Times New Roman"/>
          <w:position w:val="1"/>
        </w:rPr>
        <w:t>100m³</w:t>
      </w:r>
      <w:r>
        <w:rPr>
          <w:spacing w:val="-17"/>
        </w:rPr>
        <w:t>。</w:t>
      </w:r>
    </w:p>
    <w:p>
      <w:pPr>
        <w:pStyle w:val="BodyText"/>
        <w:spacing w:line="364" w:lineRule="auto" w:before="1"/>
        <w:ind w:right="254" w:firstLine="480"/>
      </w:pPr>
      <w:r>
        <w:rPr/>
        <w:t>②加强对运输过程的风险防范，尤其是对饲料、猪粪等的运输管理，出厂运输路线尽量远离上述水体，避免发生交通事故导致物料泄漏，进而污染地表水。</w:t>
      </w:r>
    </w:p>
    <w:p>
      <w:pPr>
        <w:pStyle w:val="BodyText"/>
        <w:spacing w:line="364" w:lineRule="auto" w:before="2"/>
        <w:ind w:right="248" w:firstLine="480"/>
        <w:jc w:val="both"/>
      </w:pPr>
      <w:r>
        <w:rPr/>
        <w:t>③在雨水管道和雨水总管连接处设置自动切断阀；在雨水管道排放口附近也应安装切断阀。在发生事故时，可通过切断雨水管及总管排放口附近的切断阀，来防止事故情况下废水进入周边地表水。</w:t>
      </w:r>
    </w:p>
    <w:p>
      <w:pPr>
        <w:pStyle w:val="BodyText"/>
        <w:spacing w:line="364" w:lineRule="auto" w:before="2"/>
        <w:ind w:right="254" w:firstLine="480"/>
        <w:jc w:val="both"/>
      </w:pPr>
      <w:r>
        <w:rPr/>
        <w:t>④严格执行应急预案要求，确保事故时各类废水能够及时接入事故应急池（根据设计，应急池容量约 </w:t>
      </w:r>
      <w:r>
        <w:rPr>
          <w:rFonts w:ascii="Times New Roman" w:hAnsi="Times New Roman" w:eastAsia="Times New Roman"/>
          <w:position w:val="1"/>
        </w:rPr>
        <w:t>510m</w:t>
      </w:r>
      <w:r>
        <w:rPr/>
        <w:t>³，可满足事故应急废水暂存要求），不得发生地面漫流经雨水管进入周边地表水体的情况。</w:t>
      </w:r>
    </w:p>
    <w:p>
      <w:pPr>
        <w:pStyle w:val="BodyText"/>
        <w:spacing w:line="364" w:lineRule="auto" w:before="2"/>
        <w:ind w:right="249" w:firstLine="480"/>
        <w:jc w:val="both"/>
      </w:pPr>
      <w:r>
        <w:rPr/>
        <w:t>⑤项目厂区与周边市政污水管网的衔接工程须委托有资质的单位施工，确保施工质量。企业可在厂区总排口及与市政污水管网的衔接口处安装流量监控设施，通过加强管理及巡视检查，判断是否发生管道破碎及泄漏现象，并及时采取修复措施。</w:t>
      </w:r>
    </w:p>
    <w:p>
      <w:pPr>
        <w:pStyle w:val="Heading3"/>
        <w:spacing w:before="2"/>
      </w:pPr>
      <w:r>
        <w:rPr>
          <w:rFonts w:ascii="Times New Roman" w:eastAsia="Times New Roman"/>
        </w:rPr>
        <w:t>3</w:t>
      </w:r>
      <w:r>
        <w:rPr/>
        <w:t>、沼气泄漏安全防范措施</w:t>
      </w:r>
    </w:p>
    <w:p>
      <w:pPr>
        <w:pStyle w:val="BodyText"/>
        <w:spacing w:line="364" w:lineRule="auto" w:before="161"/>
        <w:ind w:right="252" w:firstLine="480"/>
      </w:pPr>
      <w:r>
        <w:rPr/>
        <w:t>①产生的沼气经净化系统处理后供锅炉及食堂使用，净化处理后的沼气质量指标应符合下列要求：甲烷含量 </w:t>
      </w:r>
      <w:r>
        <w:rPr>
          <w:rFonts w:ascii="Times New Roman" w:hAnsi="Times New Roman" w:eastAsia="Times New Roman"/>
          <w:position w:val="1"/>
        </w:rPr>
        <w:t>55%</w:t>
      </w:r>
      <w:r>
        <w:rPr/>
        <w:t>以上，硫化氢含量小于 </w:t>
      </w:r>
      <w:r>
        <w:rPr>
          <w:rFonts w:ascii="Times New Roman" w:hAnsi="Times New Roman" w:eastAsia="Times New Roman"/>
          <w:position w:val="1"/>
        </w:rPr>
        <w:t>20mg/m</w:t>
      </w:r>
      <w:r>
        <w:rPr>
          <w:rFonts w:ascii="Times New Roman" w:hAnsi="Times New Roman" w:eastAsia="Times New Roman"/>
          <w:position w:val="1"/>
          <w:vertAlign w:val="superscript"/>
        </w:rPr>
        <w:t>3</w:t>
      </w:r>
      <w:r>
        <w:rPr>
          <w:vertAlign w:val="baseline"/>
        </w:rPr>
        <w:t>。</w:t>
      </w:r>
    </w:p>
    <w:p>
      <w:pPr>
        <w:pStyle w:val="BodyText"/>
        <w:spacing w:before="1"/>
        <w:ind w:left="717"/>
      </w:pPr>
      <w:r>
        <w:rPr/>
        <w:t>②厂房内布置严格执行国家有关防火防爆的规定，设备之间保证有足够的安全间距，</w:t>
      </w:r>
    </w:p>
    <w:p>
      <w:pPr>
        <w:spacing w:after="0"/>
        <w:sectPr>
          <w:pgSz w:w="11910" w:h="16840"/>
          <w:pgMar w:header="874" w:footer="1004" w:top="1420" w:bottom="1200" w:left="1040" w:right="1160"/>
        </w:sectPr>
      </w:pPr>
    </w:p>
    <w:p>
      <w:pPr>
        <w:pStyle w:val="BodyText"/>
        <w:spacing w:before="92"/>
      </w:pPr>
      <w:r>
        <w:rPr/>
        <w:t>并按国家有关规定在车间内设置必要的安全卫生设施，按要求设置消防通道。</w:t>
      </w:r>
    </w:p>
    <w:p>
      <w:pPr>
        <w:pStyle w:val="BodyText"/>
        <w:spacing w:line="364" w:lineRule="auto" w:before="160"/>
        <w:ind w:right="263" w:firstLine="480"/>
      </w:pPr>
      <w:r>
        <w:rPr/>
        <w:t>③设备、管道、管件等均采用可靠的密封技术，使厌氧反应器、贮气柜和输送过程都在密闭的情况下进行，防止沼气泄漏。</w:t>
      </w:r>
    </w:p>
    <w:p>
      <w:pPr>
        <w:pStyle w:val="BodyText"/>
        <w:spacing w:line="364" w:lineRule="auto" w:before="1"/>
        <w:ind w:right="254" w:firstLine="480"/>
      </w:pPr>
      <w:r>
        <w:rPr/>
        <w:t>④贮气柜严格按照《压力容器安全技术监察规程》的有关规定进行设计，并按规定装设安全阀，防止超压后的危害。</w:t>
      </w:r>
    </w:p>
    <w:p>
      <w:pPr>
        <w:pStyle w:val="BodyText"/>
        <w:spacing w:before="2"/>
        <w:ind w:left="717"/>
      </w:pPr>
      <w:r>
        <w:rPr/>
        <w:t>⑤对爆炸、火灾危害场所内可能产生静电危害的物体采取工业静电防范措施。</w:t>
      </w:r>
    </w:p>
    <w:p>
      <w:pPr>
        <w:pStyle w:val="BodyText"/>
        <w:spacing w:line="364" w:lineRule="auto" w:before="160"/>
        <w:ind w:right="254" w:firstLine="480"/>
      </w:pPr>
      <w:r>
        <w:rPr/>
        <w:t>⑥在厌氧反应器附近应设置事故柜和急救器材、救生器、防护面罩、衣、护目镜、胶皮手套、耳塞等防护、急救用具、用品。</w:t>
      </w:r>
    </w:p>
    <w:p>
      <w:pPr>
        <w:pStyle w:val="BodyText"/>
        <w:spacing w:line="364" w:lineRule="auto" w:before="2"/>
        <w:ind w:right="254" w:firstLine="480"/>
      </w:pPr>
      <w:r>
        <w:rPr/>
        <w:t>⑦严禁在沼气出口或导气管口点火，以免引起火灾，导致厌氧反应器内气体猛烈膨胀、爆炸破裂。</w:t>
      </w:r>
    </w:p>
    <w:p>
      <w:pPr>
        <w:pStyle w:val="BodyText"/>
        <w:spacing w:before="1"/>
        <w:ind w:left="717"/>
      </w:pPr>
      <w:r>
        <w:rPr/>
        <w:t>⑧沼气工程必须定期检查各设施、设备，避免水、气泄漏，发现问题应及时维修。</w:t>
      </w:r>
    </w:p>
    <w:p>
      <w:pPr>
        <w:pStyle w:val="BodyText"/>
        <w:spacing w:before="161"/>
        <w:ind w:left="717"/>
      </w:pPr>
      <w:r>
        <w:rPr/>
        <w:t>⑨提高安全意识，制定各项环保安全制度。</w:t>
      </w:r>
    </w:p>
    <w:p>
      <w:pPr>
        <w:pStyle w:val="Heading3"/>
        <w:spacing w:before="160"/>
      </w:pPr>
      <w:r>
        <w:rPr>
          <w:rFonts w:ascii="Times New Roman" w:eastAsia="Times New Roman"/>
        </w:rPr>
        <w:t>4</w:t>
      </w:r>
      <w:r>
        <w:rPr/>
        <w:t>、臭气风险防范措施</w:t>
      </w:r>
    </w:p>
    <w:p>
      <w:pPr>
        <w:pStyle w:val="BodyText"/>
        <w:spacing w:line="364" w:lineRule="auto" w:before="161"/>
        <w:ind w:right="248" w:firstLine="480"/>
        <w:jc w:val="both"/>
      </w:pPr>
      <w:r>
        <w:rPr/>
        <w:t>若企业因猪舍消毒、通风、清粪等不彻底，猪粪发酵罐、粪污处理区臭气收集及处理装置失效，将会引起恶臭气体的大量排放，进而影响周围村庄的环境质量，甚至引发投诉现象。本项目非正常工况下（主要指各类除臭系统失效时）氨、硫化氢对周围环境的影响较大，最大地面落地浓度可能会超标。因此，本环评要求企业加强如下几个方面的工作，以降低臭气风险对周边环境的影响。</w:t>
      </w:r>
    </w:p>
    <w:p>
      <w:pPr>
        <w:pStyle w:val="ListParagraph"/>
        <w:numPr>
          <w:ilvl w:val="0"/>
          <w:numId w:val="103"/>
        </w:numPr>
        <w:tabs>
          <w:tab w:pos="1319" w:val="left" w:leader="none"/>
        </w:tabs>
        <w:spacing w:line="240" w:lineRule="auto" w:before="3" w:after="0"/>
        <w:ind w:left="1318" w:right="0" w:hanging="602"/>
        <w:jc w:val="left"/>
        <w:rPr>
          <w:sz w:val="24"/>
        </w:rPr>
      </w:pPr>
      <w:r>
        <w:rPr>
          <w:sz w:val="24"/>
        </w:rPr>
        <w:t>制定并严格规范各类规章制度和操作规程，实行岗位责任制；</w:t>
      </w:r>
    </w:p>
    <w:p>
      <w:pPr>
        <w:pStyle w:val="ListParagraph"/>
        <w:numPr>
          <w:ilvl w:val="0"/>
          <w:numId w:val="103"/>
        </w:numPr>
        <w:tabs>
          <w:tab w:pos="1319" w:val="left" w:leader="none"/>
        </w:tabs>
        <w:spacing w:line="240" w:lineRule="auto" w:before="160" w:after="0"/>
        <w:ind w:left="1318" w:right="0" w:hanging="602"/>
        <w:jc w:val="left"/>
        <w:rPr>
          <w:sz w:val="24"/>
        </w:rPr>
      </w:pPr>
      <w:r>
        <w:rPr>
          <w:sz w:val="24"/>
        </w:rPr>
        <w:t>做好日常巡查和管理工作；</w:t>
      </w:r>
    </w:p>
    <w:p>
      <w:pPr>
        <w:pStyle w:val="ListParagraph"/>
        <w:numPr>
          <w:ilvl w:val="0"/>
          <w:numId w:val="103"/>
        </w:numPr>
        <w:tabs>
          <w:tab w:pos="1319" w:val="left" w:leader="none"/>
        </w:tabs>
        <w:spacing w:line="240" w:lineRule="auto" w:before="161" w:after="0"/>
        <w:ind w:left="1318" w:right="0" w:hanging="602"/>
        <w:jc w:val="left"/>
        <w:rPr>
          <w:sz w:val="24"/>
        </w:rPr>
      </w:pPr>
      <w:r>
        <w:rPr>
          <w:sz w:val="24"/>
        </w:rPr>
        <w:t>废气治理设施需委托有资质的单位进行设计建设；</w:t>
      </w:r>
    </w:p>
    <w:p>
      <w:pPr>
        <w:pStyle w:val="ListParagraph"/>
        <w:numPr>
          <w:ilvl w:val="0"/>
          <w:numId w:val="103"/>
        </w:numPr>
        <w:tabs>
          <w:tab w:pos="1319" w:val="left" w:leader="none"/>
        </w:tabs>
        <w:spacing w:line="240" w:lineRule="auto" w:before="161" w:after="0"/>
        <w:ind w:left="1318" w:right="0" w:hanging="602"/>
        <w:jc w:val="left"/>
        <w:rPr>
          <w:sz w:val="24"/>
        </w:rPr>
      </w:pPr>
      <w:r>
        <w:rPr>
          <w:sz w:val="24"/>
        </w:rPr>
        <w:t>对废气治理设施安装异常警报装置，以便及时发现异常；</w:t>
      </w:r>
    </w:p>
    <w:p>
      <w:pPr>
        <w:pStyle w:val="ListParagraph"/>
        <w:numPr>
          <w:ilvl w:val="0"/>
          <w:numId w:val="103"/>
        </w:numPr>
        <w:tabs>
          <w:tab w:pos="1319" w:val="left" w:leader="none"/>
        </w:tabs>
        <w:spacing w:line="240" w:lineRule="auto" w:before="160" w:after="0"/>
        <w:ind w:left="1318" w:right="0" w:hanging="602"/>
        <w:jc w:val="left"/>
        <w:rPr>
          <w:sz w:val="24"/>
        </w:rPr>
      </w:pPr>
      <w:r>
        <w:rPr>
          <w:sz w:val="24"/>
        </w:rPr>
        <w:t>加强对废气治理设施的运行维护，确保废气处理效率；</w:t>
      </w:r>
    </w:p>
    <w:p>
      <w:pPr>
        <w:pStyle w:val="ListParagraph"/>
        <w:numPr>
          <w:ilvl w:val="0"/>
          <w:numId w:val="103"/>
        </w:numPr>
        <w:tabs>
          <w:tab w:pos="1319" w:val="left" w:leader="none"/>
        </w:tabs>
        <w:spacing w:line="240" w:lineRule="auto" w:before="161" w:after="0"/>
        <w:ind w:left="1318" w:right="0" w:hanging="602"/>
        <w:jc w:val="left"/>
        <w:rPr>
          <w:sz w:val="24"/>
        </w:rPr>
      </w:pPr>
      <w:r>
        <w:rPr>
          <w:sz w:val="24"/>
        </w:rPr>
        <w:t>设置专项应急预案，加强演练。</w:t>
      </w:r>
    </w:p>
    <w:p>
      <w:pPr>
        <w:pStyle w:val="Heading3"/>
      </w:pPr>
      <w:r>
        <w:rPr>
          <w:rFonts w:ascii="Times New Roman" w:eastAsia="Times New Roman"/>
        </w:rPr>
        <w:t>5</w:t>
      </w:r>
      <w:r>
        <w:rPr/>
        <w:t>、瘟疫卫生预防措施</w:t>
      </w:r>
    </w:p>
    <w:p>
      <w:pPr>
        <w:pStyle w:val="BodyText"/>
        <w:spacing w:line="364" w:lineRule="auto" w:before="160"/>
        <w:ind w:right="249" w:firstLine="480"/>
        <w:jc w:val="both"/>
      </w:pPr>
      <w:r>
        <w:rPr/>
        <w:t>建立严格的卫生防疫制度是工厂化养殖场正常生产的保证，要认真贯彻</w:t>
      </w:r>
      <w:r>
        <w:rPr>
          <w:rFonts w:ascii="Times New Roman" w:hAnsi="Times New Roman" w:eastAsia="Times New Roman"/>
          <w:position w:val="1"/>
        </w:rPr>
        <w:t>“</w:t>
      </w:r>
      <w:r>
        <w:rPr/>
        <w:t>防重于治</w:t>
      </w:r>
      <w:r>
        <w:rPr>
          <w:rFonts w:ascii="Times New Roman" w:hAnsi="Times New Roman" w:eastAsia="Times New Roman"/>
          <w:position w:val="1"/>
        </w:rPr>
        <w:t>” </w:t>
      </w:r>
      <w:r>
        <w:rPr/>
        <w:t>的方针，必须建立严格的卫生防疫制度、健全卫生防疫设施，以确保养殖场安全生产。采取的措施有：</w:t>
      </w:r>
    </w:p>
    <w:p>
      <w:pPr>
        <w:pStyle w:val="BodyText"/>
        <w:spacing w:before="2"/>
        <w:ind w:left="717"/>
      </w:pPr>
      <w:r>
        <w:rPr/>
        <w:t>①设计中考虑养殖场布局合理，采取分离的布置方法，合理控制饲养规模。非生产</w:t>
      </w:r>
    </w:p>
    <w:p>
      <w:pPr>
        <w:spacing w:after="0"/>
        <w:sectPr>
          <w:pgSz w:w="11910" w:h="16840"/>
          <w:pgMar w:header="874" w:footer="1004" w:top="1420" w:bottom="1200" w:left="1040" w:right="1160"/>
        </w:sectPr>
      </w:pPr>
    </w:p>
    <w:p>
      <w:pPr>
        <w:pStyle w:val="BodyText"/>
        <w:spacing w:before="92"/>
      </w:pPr>
      <w:r>
        <w:rPr/>
        <w:t>人员不得随意进入生产区。生产区周围应有防护设施，进入生产区必须消毒。</w:t>
      </w:r>
    </w:p>
    <w:p>
      <w:pPr>
        <w:pStyle w:val="BodyText"/>
        <w:spacing w:line="364" w:lineRule="auto" w:before="160"/>
        <w:ind w:right="254" w:firstLine="480"/>
      </w:pPr>
      <w:r>
        <w:rPr/>
        <w:t>②建立正常的卫生防疫制度，按计划对畜舍进行清扫、消毒按计划对牲畜实施免疫程序，建立免疫档案。</w:t>
      </w:r>
    </w:p>
    <w:p>
      <w:pPr>
        <w:pStyle w:val="BodyText"/>
        <w:spacing w:line="364" w:lineRule="auto" w:before="1"/>
        <w:ind w:right="130" w:firstLine="480"/>
        <w:jc w:val="both"/>
      </w:pPr>
      <w:r>
        <w:rPr>
          <w:spacing w:val="-6"/>
        </w:rPr>
        <w:t>③健全检验、检疫制度，强化检验、检疫手段，场部设技术科、实验室，配备兽医， </w:t>
      </w:r>
      <w:r>
        <w:rPr>
          <w:spacing w:val="-3"/>
        </w:rPr>
        <w:t>加强对疾病的预防和医治。出售市场的产品不允许有病，病死牲畜必须投入尸体处理坑， </w:t>
      </w:r>
      <w:r>
        <w:rPr/>
        <w:t>严格消毒现场。不得乱扔污染环境。</w:t>
      </w:r>
    </w:p>
    <w:p>
      <w:pPr>
        <w:pStyle w:val="BodyText"/>
        <w:spacing w:line="364" w:lineRule="auto" w:before="2"/>
        <w:ind w:right="254" w:firstLine="480"/>
      </w:pPr>
      <w:r>
        <w:rPr/>
        <w:t>④牲畜饲养采用全进全出制度，为各阶段畜舍的清洗、消毒、阻断疫病传播创造条件，能有效控制和消灭场内已有病源。</w:t>
      </w:r>
    </w:p>
    <w:p>
      <w:pPr>
        <w:pStyle w:val="BodyText"/>
        <w:spacing w:before="2"/>
        <w:ind w:left="717"/>
      </w:pPr>
      <w:r>
        <w:rPr/>
        <w:t>⑤根据发生疫情的类别，应分别采取相应的控制方案，具体如下。</w:t>
      </w:r>
    </w:p>
    <w:p>
      <w:pPr>
        <w:pStyle w:val="BodyText"/>
        <w:spacing w:line="364" w:lineRule="auto" w:before="160"/>
        <w:ind w:right="248" w:firstLine="480"/>
        <w:jc w:val="both"/>
      </w:pPr>
      <w:r>
        <w:rPr/>
        <w:t>发生一类疫病时，应当及时报告当地政府畜牧兽医行政管理部门，由其派专人到现场，划定疫点、疫区、受威胁区，采集病料，调查疫源，并及时报请当地人民政府决定对场区实行封锁，将疫情等情况逐级上报国务院畜牧兽医行政管理部门。政府应当立即组织有关部门和单位采取隔离、扑杀、销毁、消毒、紧急免疫接种等强制性控制、扑灭措施，迅速扑灭疫病，并通报毗邻地区。在封锁期间，禁止染疫和疑似染疫的猪只流出场区，禁止非疫区的牲畜进入场区，并根据扑灭动物疫病的需要对出入封锁区的人员、运输工具及有关物品采取消毒和其他限制性措施。</w:t>
      </w:r>
    </w:p>
    <w:p>
      <w:pPr>
        <w:pStyle w:val="BodyText"/>
        <w:spacing w:line="364" w:lineRule="auto" w:before="5"/>
        <w:ind w:right="249" w:firstLine="480"/>
        <w:jc w:val="both"/>
      </w:pPr>
      <w:r>
        <w:rPr/>
        <w:t>发生二类动物疫病时，当地政府等管理部门应当根据需要组织有关部门和单位采取隔离、扑杀、销毁、消毒、紧急免疫接种、限制易感染的动物、动物产品及有关物品出入等控制、扑灭措施。</w:t>
      </w:r>
    </w:p>
    <w:p>
      <w:pPr>
        <w:pStyle w:val="BodyText"/>
        <w:spacing w:line="364" w:lineRule="auto" w:before="2"/>
        <w:ind w:right="254" w:firstLine="480"/>
      </w:pPr>
      <w:r>
        <w:rPr/>
        <w:t>发生三类动物疫病时，应由当地政府按照动物疫病预防计划和国务院畜牧兽医行政管理部门的有关规定，组织防治和净化。</w:t>
      </w:r>
    </w:p>
    <w:p>
      <w:pPr>
        <w:pStyle w:val="BodyText"/>
        <w:spacing w:line="364" w:lineRule="auto" w:before="1"/>
        <w:ind w:right="82" w:firstLine="480"/>
      </w:pPr>
      <w:r>
        <w:rPr/>
        <w:t>⑥疫情的控制要贯彻以防为主的方针，切实做好防疫工作，确保养殖场的健康发展。一些常见疫病防治可以采用如下办法。</w:t>
      </w:r>
    </w:p>
    <w:p>
      <w:pPr>
        <w:pStyle w:val="BodyText"/>
        <w:spacing w:line="364" w:lineRule="auto" w:before="2"/>
        <w:ind w:right="249" w:firstLine="480"/>
        <w:jc w:val="both"/>
      </w:pPr>
      <w:r>
        <w:rPr/>
        <w:t>猪瘟：猪瘟又叫烂肠瘟，是由猪瘟病毒引起的一种急性、热性、败血性传染病，不同品种、性别、年龄的猪均可感染该病。在该病的常发季节，要对种母猪于配种前或配</w:t>
      </w:r>
      <w:r>
        <w:rPr>
          <w:spacing w:val="-9"/>
        </w:rPr>
        <w:t>种后免疫一次；仔猪于 </w:t>
      </w:r>
      <w:r>
        <w:rPr>
          <w:rFonts w:ascii="Times New Roman" w:eastAsia="Times New Roman"/>
          <w:position w:val="1"/>
        </w:rPr>
        <w:t>20~25 </w:t>
      </w:r>
      <w:r>
        <w:rPr>
          <w:spacing w:val="-1"/>
        </w:rPr>
        <w:t>日龄首免，</w:t>
      </w:r>
      <w:r>
        <w:rPr>
          <w:rFonts w:ascii="Times New Roman" w:eastAsia="Times New Roman"/>
          <w:spacing w:val="-5"/>
          <w:position w:val="1"/>
        </w:rPr>
        <w:t>50~60 </w:t>
      </w:r>
      <w:r>
        <w:rPr>
          <w:spacing w:val="-8"/>
        </w:rPr>
        <w:t>日龄二免。在非疫季节，应对种母猪于配</w:t>
      </w:r>
      <w:r>
        <w:rPr/>
        <w:t>种前或后免疫一次；种公猪于春秋两季各免疫一次；仔猪断奶后免疫一次。另外，可以对仔猪进行超前免疫（</w:t>
      </w:r>
      <w:r>
        <w:rPr>
          <w:spacing w:val="-8"/>
        </w:rPr>
        <w:t>出生后肌肉注射 </w:t>
      </w:r>
      <w:r>
        <w:rPr>
          <w:rFonts w:ascii="Times New Roman" w:eastAsia="Times New Roman"/>
          <w:position w:val="1"/>
        </w:rPr>
        <w:t>1 </w:t>
      </w:r>
      <w:r>
        <w:rPr/>
        <w:t>头份，</w:t>
      </w:r>
      <w:r>
        <w:rPr>
          <w:rFonts w:ascii="Times New Roman" w:eastAsia="Times New Roman"/>
          <w:position w:val="1"/>
        </w:rPr>
        <w:t>1 </w:t>
      </w:r>
      <w:r>
        <w:rPr/>
        <w:t>小时后再喂初乳）。</w:t>
      </w:r>
    </w:p>
    <w:p>
      <w:pPr>
        <w:pStyle w:val="BodyText"/>
        <w:spacing w:before="3"/>
        <w:ind w:left="717"/>
        <w:jc w:val="both"/>
      </w:pPr>
      <w:r>
        <w:rPr/>
        <w:t>猪传染性胃炎：该病是由猪传染性胃肠炎病毒引起的以 </w:t>
      </w:r>
      <w:r>
        <w:rPr>
          <w:rFonts w:ascii="Times New Roman" w:eastAsia="Times New Roman"/>
          <w:position w:val="1"/>
        </w:rPr>
        <w:t>2 </w:t>
      </w:r>
      <w:r>
        <w:rPr/>
        <w:t>周龄内仔猪呕吐、水样腹</w:t>
      </w:r>
    </w:p>
    <w:p>
      <w:pPr>
        <w:spacing w:after="0"/>
        <w:jc w:val="both"/>
        <w:sectPr>
          <w:pgSz w:w="11910" w:h="16840"/>
          <w:pgMar w:header="874" w:footer="1004" w:top="1420" w:bottom="1200" w:left="1040" w:right="1160"/>
        </w:sectPr>
      </w:pPr>
    </w:p>
    <w:p>
      <w:pPr>
        <w:pStyle w:val="BodyText"/>
        <w:spacing w:line="364" w:lineRule="auto" w:before="92"/>
        <w:ind w:right="82"/>
      </w:pPr>
      <w:r>
        <w:rPr/>
        <w:t>泻、脱水为特征的接触性传染病，</w:t>
      </w:r>
      <w:r>
        <w:rPr>
          <w:rFonts w:ascii="Times New Roman" w:eastAsia="Times New Roman"/>
          <w:position w:val="1"/>
        </w:rPr>
        <w:t>10 </w:t>
      </w:r>
      <w:r>
        <w:rPr/>
        <w:t>日龄以下病猪死亡率达 </w:t>
      </w:r>
      <w:r>
        <w:rPr>
          <w:rFonts w:ascii="Times New Roman" w:eastAsia="Times New Roman"/>
          <w:position w:val="1"/>
        </w:rPr>
        <w:t>50~100%</w:t>
      </w:r>
      <w:r>
        <w:rPr/>
        <w:t>。可对怀孕母猪注射传染性胃肠炎弱病毒，使仔猪通过母乳获得被动免疫。也可将病死猪内脏磨成模糊状， 混于饲料中饲喂分娩前 </w:t>
      </w:r>
      <w:r>
        <w:rPr>
          <w:rFonts w:ascii="Times New Roman" w:eastAsia="Times New Roman"/>
          <w:position w:val="1"/>
        </w:rPr>
        <w:t>15 </w:t>
      </w:r>
      <w:r>
        <w:rPr/>
        <w:t>天的母猪。</w:t>
      </w:r>
    </w:p>
    <w:p>
      <w:pPr>
        <w:pStyle w:val="BodyText"/>
        <w:spacing w:line="364" w:lineRule="auto" w:before="2"/>
        <w:ind w:right="249" w:firstLine="480"/>
        <w:jc w:val="both"/>
      </w:pPr>
      <w:r>
        <w:rPr/>
        <w:t>猪流行性感冒：该病是由猪流行性感冒病毒引起的一种急性、高度接触性传染病， 发病猪不分品种、性别和年龄，多发生于春季，往往突然发病，迅速传播整个猪群。本病目前尚无有效的疫苗。预防本病应加强猪舍的消毒工作，保持猪舍清洁干燥。</w:t>
      </w:r>
    </w:p>
    <w:p>
      <w:pPr>
        <w:pStyle w:val="BodyText"/>
        <w:spacing w:line="364" w:lineRule="auto" w:before="1"/>
        <w:ind w:right="253" w:firstLine="480"/>
        <w:jc w:val="both"/>
      </w:pPr>
      <w:r>
        <w:rPr/>
        <w:t>仔猪副伤寒：该病是由沙门氏菌引起的一种传染病，多发生于 </w:t>
      </w:r>
      <w:r>
        <w:rPr>
          <w:rFonts w:ascii="Times New Roman" w:eastAsia="Times New Roman"/>
          <w:position w:val="1"/>
        </w:rPr>
        <w:t>2~4 </w:t>
      </w:r>
      <w:r>
        <w:rPr/>
        <w:t>月龄的仔猪，</w:t>
      </w:r>
      <w:r>
        <w:rPr>
          <w:rFonts w:ascii="Times New Roman" w:eastAsia="Times New Roman"/>
          <w:position w:val="1"/>
        </w:rPr>
        <w:t>1 </w:t>
      </w:r>
      <w:r>
        <w:rPr/>
        <w:t>个月以下和 </w:t>
      </w:r>
      <w:r>
        <w:rPr>
          <w:rFonts w:ascii="Times New Roman" w:eastAsia="Times New Roman"/>
          <w:position w:val="1"/>
        </w:rPr>
        <w:t>6 </w:t>
      </w:r>
      <w:r>
        <w:rPr/>
        <w:t>个月以上的猪很少发生。在非疫区仔猪断奶后接种副伤寒弱毒冻干苗，疫区要对 </w:t>
      </w:r>
      <w:r>
        <w:rPr>
          <w:rFonts w:ascii="Times New Roman" w:eastAsia="Times New Roman"/>
          <w:position w:val="1"/>
        </w:rPr>
        <w:t>20~30 </w:t>
      </w:r>
      <w:r>
        <w:rPr/>
        <w:t>日龄的仔猪用副伤寒甲醛苗首免，间隔 </w:t>
      </w:r>
      <w:r>
        <w:rPr>
          <w:rFonts w:ascii="Times New Roman" w:eastAsia="Times New Roman"/>
          <w:position w:val="1"/>
        </w:rPr>
        <w:t>5~8 </w:t>
      </w:r>
      <w:r>
        <w:rPr/>
        <w:t>天再免疫一次。</w:t>
      </w:r>
    </w:p>
    <w:p>
      <w:pPr>
        <w:pStyle w:val="BodyText"/>
        <w:spacing w:before="3"/>
        <w:ind w:left="717"/>
        <w:jc w:val="both"/>
      </w:pPr>
      <w:r>
        <w:rPr/>
        <w:t>仔猪大肠杆菌病毒引起，包括仔猪黄痢油剂苗（</w:t>
      </w:r>
      <w:r>
        <w:rPr>
          <w:spacing w:val="-8"/>
        </w:rPr>
        <w:t>以 </w:t>
      </w:r>
      <w:r>
        <w:rPr>
          <w:rFonts w:ascii="Times New Roman" w:eastAsia="Times New Roman"/>
          <w:position w:val="1"/>
        </w:rPr>
        <w:t>1~3</w:t>
      </w:r>
      <w:r>
        <w:rPr>
          <w:rFonts w:ascii="Times New Roman" w:eastAsia="Times New Roman"/>
          <w:spacing w:val="42"/>
          <w:position w:val="1"/>
        </w:rPr>
        <w:t> </w:t>
      </w:r>
      <w:r>
        <w:rPr>
          <w:spacing w:val="-1"/>
        </w:rPr>
        <w:t>日龄仔猪多见</w:t>
      </w:r>
      <w:r>
        <w:rPr/>
        <w:t>）、仔猪白痢</w:t>
      </w:r>
    </w:p>
    <w:p>
      <w:pPr>
        <w:pStyle w:val="BodyText"/>
        <w:spacing w:line="364" w:lineRule="auto" w:before="160"/>
        <w:ind w:right="252"/>
        <w:jc w:val="both"/>
      </w:pPr>
      <w:r>
        <w:rPr/>
        <w:t>（</w:t>
      </w:r>
      <w:r>
        <w:rPr>
          <w:spacing w:val="-9"/>
        </w:rPr>
        <w:t>以 </w:t>
      </w:r>
      <w:r>
        <w:rPr>
          <w:rFonts w:ascii="Times New Roman" w:eastAsia="Times New Roman"/>
          <w:position w:val="1"/>
        </w:rPr>
        <w:t>10~30</w:t>
      </w:r>
      <w:r>
        <w:rPr>
          <w:rFonts w:ascii="Times New Roman" w:eastAsia="Times New Roman"/>
          <w:spacing w:val="42"/>
          <w:position w:val="1"/>
        </w:rPr>
        <w:t> </w:t>
      </w:r>
      <w:r>
        <w:rPr>
          <w:spacing w:val="-1"/>
        </w:rPr>
        <w:t>日龄仔猪多发</w:t>
      </w:r>
      <w:r>
        <w:rPr/>
        <w:t>）、仔猪水肿病（多发生于断奶前后体质健壮的仔猪）</w:t>
      </w:r>
      <w:r>
        <w:rPr>
          <w:spacing w:val="-5"/>
        </w:rPr>
        <w:t>。仔猪</w:t>
      </w:r>
      <w:r>
        <w:rPr>
          <w:spacing w:val="-4"/>
        </w:rPr>
        <w:t>黄痢的免疫是对怀孕母猪于产前 </w:t>
      </w:r>
      <w:r>
        <w:rPr>
          <w:rFonts w:ascii="Times New Roman" w:eastAsia="Times New Roman"/>
          <w:position w:val="1"/>
        </w:rPr>
        <w:t>40 </w:t>
      </w:r>
      <w:r>
        <w:rPr>
          <w:spacing w:val="-10"/>
        </w:rPr>
        <w:t>天肌肉注射 </w:t>
      </w:r>
      <w:r>
        <w:rPr>
          <w:rFonts w:ascii="Times New Roman" w:eastAsia="Times New Roman"/>
          <w:position w:val="1"/>
        </w:rPr>
        <w:t>2 </w:t>
      </w:r>
      <w:r>
        <w:rPr>
          <w:spacing w:val="-4"/>
        </w:rPr>
        <w:t>毫升仔猪黄痢油剂苗；仔猪白痢的免疫</w:t>
      </w:r>
    </w:p>
    <w:p>
      <w:pPr>
        <w:pStyle w:val="BodyText"/>
        <w:spacing w:line="364" w:lineRule="auto" w:before="1"/>
        <w:ind w:right="249"/>
        <w:jc w:val="both"/>
      </w:pPr>
      <w:r>
        <w:rPr>
          <w:spacing w:val="-4"/>
        </w:rPr>
        <w:t>方法是让怀孕母猪于产前 </w:t>
      </w:r>
      <w:r>
        <w:rPr>
          <w:rFonts w:ascii="Times New Roman" w:eastAsia="Times New Roman"/>
          <w:position w:val="1"/>
        </w:rPr>
        <w:t>40 </w:t>
      </w:r>
      <w:r>
        <w:rPr>
          <w:spacing w:val="-3"/>
        </w:rPr>
        <w:t>天口服遗传工程活菌苗，产前 </w:t>
      </w:r>
      <w:r>
        <w:rPr>
          <w:rFonts w:ascii="Times New Roman" w:eastAsia="Times New Roman"/>
          <w:position w:val="1"/>
        </w:rPr>
        <w:t>15 </w:t>
      </w:r>
      <w:r>
        <w:rPr>
          <w:spacing w:val="-2"/>
        </w:rPr>
        <w:t>天进行加强免疫；仔猪水</w:t>
      </w:r>
      <w:r>
        <w:rPr/>
        <w:t>肿病的免疫方法是对妊娠母猪注射采用本猪场病猪分离的致病菌株制备的灭活苗。</w:t>
      </w:r>
    </w:p>
    <w:p>
      <w:pPr>
        <w:pStyle w:val="BodyText"/>
        <w:spacing w:line="364" w:lineRule="auto" w:before="2"/>
        <w:ind w:left="170" w:right="226" w:firstLine="480"/>
        <w:jc w:val="right"/>
      </w:pPr>
      <w:r>
        <w:rPr/>
        <w:t>猪喘气病：该病又称猪霉形体肺炎，是由肺炎霉形体（支原体）引起的一种慢性呼吸道传染病，各种年龄、性别、品种的猪都可发生，病猪表现为咳嗽、气喘，死亡率不高，主要影响猪的生长速度。可对 </w:t>
      </w:r>
      <w:r>
        <w:rPr>
          <w:rFonts w:ascii="Times New Roman" w:eastAsia="Times New Roman"/>
          <w:position w:val="1"/>
        </w:rPr>
        <w:t>15 </w:t>
      </w:r>
      <w:r>
        <w:rPr/>
        <w:t>日龄以上的仔猪胸腔或肺内接种猪气喘病弱毒苗。猪肺疫：该病是由巴氏杆菌引起的一种急性、热性、败血性传染病，各种年龄的猪</w:t>
      </w:r>
    </w:p>
    <w:p>
      <w:pPr>
        <w:pStyle w:val="BodyText"/>
        <w:spacing w:before="2"/>
      </w:pPr>
      <w:r>
        <w:rPr/>
        <w:t>均易感染，但以仔猪和架子猪发病率较高。仔猪断奶时肌肉注射猪肺疫弱毒苗。</w:t>
      </w:r>
    </w:p>
    <w:p>
      <w:pPr>
        <w:pStyle w:val="Heading3"/>
      </w:pPr>
      <w:r>
        <w:rPr>
          <w:rFonts w:ascii="Times New Roman" w:eastAsia="Times New Roman"/>
        </w:rPr>
        <w:t>6</w:t>
      </w:r>
      <w:r>
        <w:rPr/>
        <w:t>、应急预案要求</w:t>
      </w:r>
    </w:p>
    <w:p>
      <w:pPr>
        <w:pStyle w:val="BodyText"/>
        <w:spacing w:line="364" w:lineRule="auto" w:before="160"/>
        <w:ind w:right="132" w:firstLine="480"/>
      </w:pPr>
      <w:r>
        <w:rPr/>
        <w:t>根据《建设项目环境风险评价技术导则》（</w:t>
      </w:r>
      <w:r>
        <w:rPr>
          <w:rFonts w:ascii="Times New Roman" w:eastAsia="Times New Roman"/>
          <w:position w:val="1"/>
        </w:rPr>
        <w:t>HJ 169-2018</w:t>
      </w:r>
      <w:r>
        <w:rPr/>
        <w:t>）及《企业事业单位突发环</w:t>
      </w:r>
      <w:r>
        <w:rPr>
          <w:spacing w:val="-2"/>
        </w:rPr>
        <w:t>境事件应急预案备案管理办法</w:t>
      </w:r>
      <w:r>
        <w:rPr/>
        <w:t>（试行</w:t>
      </w:r>
      <w:r>
        <w:rPr>
          <w:spacing w:val="-22"/>
        </w:rPr>
        <w:t>）</w:t>
      </w:r>
      <w:r>
        <w:rPr>
          <w:spacing w:val="-44"/>
        </w:rPr>
        <w:t>》</w:t>
      </w:r>
      <w:r>
        <w:rPr/>
        <w:t>（环发</w:t>
      </w:r>
      <w:r>
        <w:rPr>
          <w:rFonts w:ascii="Times New Roman" w:eastAsia="Times New Roman"/>
          <w:position w:val="1"/>
        </w:rPr>
        <w:t>[2015]4 </w:t>
      </w:r>
      <w:r>
        <w:rPr/>
        <w:t>号</w:t>
      </w:r>
      <w:r>
        <w:rPr>
          <w:spacing w:val="-22"/>
        </w:rPr>
        <w:t>）</w:t>
      </w:r>
      <w:r>
        <w:rPr>
          <w:spacing w:val="-6"/>
        </w:rPr>
        <w:t>的规定，制定环境应急预案， </w:t>
      </w:r>
      <w:r>
        <w:rPr/>
        <w:t>并报环保局备案，企业应根据应急预案的要求抓好落实、定期演练并适时修订。</w:t>
      </w:r>
    </w:p>
    <w:p>
      <w:pPr>
        <w:pStyle w:val="ListParagraph"/>
        <w:numPr>
          <w:ilvl w:val="0"/>
          <w:numId w:val="104"/>
        </w:numPr>
        <w:tabs>
          <w:tab w:pos="1319" w:val="left" w:leader="none"/>
        </w:tabs>
        <w:spacing w:line="240" w:lineRule="auto" w:before="3" w:after="0"/>
        <w:ind w:left="1318" w:right="0" w:hanging="602"/>
        <w:jc w:val="left"/>
        <w:rPr>
          <w:sz w:val="24"/>
        </w:rPr>
      </w:pPr>
      <w:r>
        <w:rPr>
          <w:sz w:val="24"/>
        </w:rPr>
        <w:t>总体要求</w:t>
      </w:r>
    </w:p>
    <w:p>
      <w:pPr>
        <w:pStyle w:val="BodyText"/>
        <w:spacing w:line="364" w:lineRule="auto" w:before="160"/>
        <w:ind w:right="133" w:firstLine="480"/>
      </w:pPr>
      <w:r>
        <w:rPr/>
        <w:t>制定风险事故应急预案目的是为了在发生风险事故时，能以最快的速度发挥最大的</w:t>
      </w:r>
      <w:r>
        <w:rPr>
          <w:spacing w:val="-7"/>
        </w:rPr>
        <w:t>效能，有序实施救援，尽快控制事态发展，降低事故造成的危害，减少事故造成的损失。</w:t>
      </w:r>
    </w:p>
    <w:p>
      <w:pPr>
        <w:pStyle w:val="BodyText"/>
        <w:spacing w:line="364" w:lineRule="auto" w:before="2"/>
        <w:ind w:right="249" w:firstLine="480"/>
        <w:jc w:val="both"/>
      </w:pPr>
      <w:r>
        <w:rPr/>
        <w:t>风险事故应急预案的基本要求包括：科学性、实用性和权威性。风险事故的应急救援预案必须进行科学分析和论证；应急预案应符合项目的客观情况，具有实用、简单、易掌握等特性，便于实施；对事故处置过程中职责、权限、任务、工作标准、奖励与处</w:t>
      </w:r>
    </w:p>
    <w:p>
      <w:pPr>
        <w:spacing w:after="0" w:line="364" w:lineRule="auto"/>
        <w:jc w:val="both"/>
        <w:sectPr>
          <w:pgSz w:w="11910" w:h="16840"/>
          <w:pgMar w:header="874" w:footer="1004" w:top="1420" w:bottom="1200" w:left="1040" w:right="1160"/>
        </w:sectPr>
      </w:pPr>
    </w:p>
    <w:p>
      <w:pPr>
        <w:pStyle w:val="BodyText"/>
        <w:spacing w:before="92"/>
      </w:pPr>
      <w:r>
        <w:rPr/>
        <w:t>罚等做出明确规定，使之成为企业的一项制度，确保其权威性。</w:t>
      </w:r>
    </w:p>
    <w:p>
      <w:pPr>
        <w:pStyle w:val="ListParagraph"/>
        <w:numPr>
          <w:ilvl w:val="0"/>
          <w:numId w:val="104"/>
        </w:numPr>
        <w:tabs>
          <w:tab w:pos="1319" w:val="left" w:leader="none"/>
        </w:tabs>
        <w:spacing w:line="240" w:lineRule="auto" w:before="160" w:after="0"/>
        <w:ind w:left="1318" w:right="0" w:hanging="602"/>
        <w:jc w:val="left"/>
        <w:rPr>
          <w:sz w:val="24"/>
        </w:rPr>
      </w:pPr>
      <w:r>
        <w:rPr>
          <w:sz w:val="24"/>
        </w:rPr>
        <w:t>应急救援指挥部的组成、职责和分工</w:t>
      </w:r>
    </w:p>
    <w:p>
      <w:pPr>
        <w:pStyle w:val="BodyText"/>
        <w:spacing w:line="364" w:lineRule="auto" w:before="161"/>
        <w:ind w:right="248" w:firstLine="480"/>
        <w:jc w:val="both"/>
      </w:pPr>
      <w:r>
        <w:rPr/>
        <w:t>企业应成立事故应急救援“指挥领导小组”，由总经理、有关副总经理、书记及生产科、安环科、公司办公室（办公室及总务）、设备科、监测科等部门领导组成，下设应急救援办公室（设在安环科），日常工作由安环科兼管。发生重大事故时，以指挥领导小组为基础，即事故应急救援指挥部，总经理任总指挥，有关副总经理、书记任副总指挥，负责全厂应急救援工作的组织和指挥，指挥部设在生产调度室。若总经理和副总经理、书记不在企业时，由生产科长（或生产总调度长）和安环科科长为临时总指挥和副总指挥，全权负责应急救援工作。</w:t>
      </w:r>
    </w:p>
    <w:p>
      <w:pPr>
        <w:pStyle w:val="ListParagraph"/>
        <w:numPr>
          <w:ilvl w:val="0"/>
          <w:numId w:val="104"/>
        </w:numPr>
        <w:tabs>
          <w:tab w:pos="1319" w:val="left" w:leader="none"/>
        </w:tabs>
        <w:spacing w:line="240" w:lineRule="auto" w:before="4" w:after="0"/>
        <w:ind w:left="1318" w:right="0" w:hanging="602"/>
        <w:jc w:val="left"/>
        <w:rPr>
          <w:sz w:val="24"/>
        </w:rPr>
      </w:pPr>
      <w:r>
        <w:rPr>
          <w:sz w:val="24"/>
        </w:rPr>
        <w:t>职责</w:t>
      </w:r>
    </w:p>
    <w:p>
      <w:pPr>
        <w:pStyle w:val="BodyText"/>
        <w:spacing w:before="161"/>
        <w:ind w:left="717"/>
      </w:pPr>
      <w:r>
        <w:rPr/>
        <w:t>指挥机构及成员的职责如下表所示。</w:t>
      </w:r>
    </w:p>
    <w:p>
      <w:pPr>
        <w:pStyle w:val="Heading3"/>
        <w:spacing w:before="160"/>
        <w:ind w:left="220" w:right="236"/>
        <w:jc w:val="center"/>
      </w:pPr>
      <w:r>
        <w:rPr/>
        <w:t>表 </w:t>
      </w:r>
      <w:r>
        <w:rPr>
          <w:rFonts w:ascii="Times New Roman" w:eastAsia="Times New Roman"/>
        </w:rPr>
        <w:t>6.2-11 </w:t>
      </w:r>
      <w:r>
        <w:rPr/>
        <w:t>指挥机构及成员职责一览表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61"/>
        <w:gridCol w:w="7271"/>
      </w:tblGrid>
      <w:tr>
        <w:trPr>
          <w:trHeight w:val="359" w:hRule="atLeast"/>
        </w:trPr>
        <w:tc>
          <w:tcPr>
            <w:tcW w:w="2161" w:type="dxa"/>
            <w:tcBorders>
              <w:bottom w:val="single" w:sz="6" w:space="0" w:color="000000"/>
              <w:right w:val="single" w:sz="6" w:space="0" w:color="000000"/>
            </w:tcBorders>
          </w:tcPr>
          <w:p>
            <w:pPr>
              <w:pStyle w:val="TableParagraph"/>
              <w:spacing w:before="43"/>
              <w:ind w:left="416"/>
              <w:jc w:val="left"/>
              <w:rPr>
                <w:rFonts w:ascii="宋体" w:eastAsia="宋体" w:hint="eastAsia"/>
                <w:b/>
                <w:sz w:val="21"/>
              </w:rPr>
            </w:pPr>
            <w:r>
              <w:rPr>
                <w:rFonts w:ascii="宋体" w:eastAsia="宋体" w:hint="eastAsia"/>
                <w:b/>
                <w:sz w:val="21"/>
              </w:rPr>
              <w:t>机构</w:t>
            </w:r>
            <w:r>
              <w:rPr>
                <w:b/>
                <w:sz w:val="21"/>
              </w:rPr>
              <w:t>/</w:t>
            </w:r>
            <w:r>
              <w:rPr>
                <w:rFonts w:ascii="宋体" w:eastAsia="宋体" w:hint="eastAsia"/>
                <w:b/>
                <w:sz w:val="21"/>
              </w:rPr>
              <w:t>成员名称</w:t>
            </w:r>
          </w:p>
        </w:tc>
        <w:tc>
          <w:tcPr>
            <w:tcW w:w="7271" w:type="dxa"/>
            <w:tcBorders>
              <w:left w:val="single" w:sz="6" w:space="0" w:color="000000"/>
              <w:bottom w:val="single" w:sz="6" w:space="0" w:color="000000"/>
            </w:tcBorders>
          </w:tcPr>
          <w:p>
            <w:pPr>
              <w:pStyle w:val="TableParagraph"/>
              <w:spacing w:before="43"/>
              <w:ind w:left="3409" w:right="3377"/>
              <w:rPr>
                <w:rFonts w:ascii="宋体" w:eastAsia="宋体" w:hint="eastAsia"/>
                <w:b/>
                <w:sz w:val="21"/>
              </w:rPr>
            </w:pPr>
            <w:r>
              <w:rPr>
                <w:rFonts w:ascii="宋体" w:eastAsia="宋体" w:hint="eastAsia"/>
                <w:b/>
                <w:sz w:val="21"/>
              </w:rPr>
              <w:t>职责</w:t>
            </w:r>
          </w:p>
        </w:tc>
      </w:tr>
      <w:tr>
        <w:trPr>
          <w:trHeight w:val="1077" w:hRule="atLeast"/>
        </w:trPr>
        <w:tc>
          <w:tcPr>
            <w:tcW w:w="2161"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448"/>
              <w:jc w:val="left"/>
              <w:rPr>
                <w:rFonts w:ascii="宋体" w:eastAsia="宋体" w:hint="eastAsia"/>
                <w:sz w:val="21"/>
              </w:rPr>
            </w:pPr>
            <w:r>
              <w:rPr>
                <w:rFonts w:ascii="宋体" w:eastAsia="宋体" w:hint="eastAsia"/>
                <w:sz w:val="21"/>
              </w:rPr>
              <w:t>指挥领导小组</w:t>
            </w:r>
          </w:p>
        </w:tc>
        <w:tc>
          <w:tcPr>
            <w:tcW w:w="7271" w:type="dxa"/>
            <w:tcBorders>
              <w:top w:val="single" w:sz="6" w:space="0" w:color="000000"/>
              <w:left w:val="single" w:sz="6" w:space="0" w:color="000000"/>
              <w:bottom w:val="single" w:sz="6" w:space="0" w:color="000000"/>
            </w:tcBorders>
          </w:tcPr>
          <w:p>
            <w:pPr>
              <w:pStyle w:val="TableParagraph"/>
              <w:spacing w:before="44"/>
              <w:ind w:left="112"/>
              <w:jc w:val="left"/>
              <w:rPr>
                <w:rFonts w:ascii="宋体" w:hAnsi="宋体" w:eastAsia="宋体" w:hint="eastAsia"/>
                <w:sz w:val="21"/>
              </w:rPr>
            </w:pPr>
            <w:r>
              <w:rPr>
                <w:rFonts w:ascii="宋体" w:hAnsi="宋体" w:eastAsia="宋体" w:hint="eastAsia"/>
                <w:sz w:val="21"/>
              </w:rPr>
              <w:t>①批准本预案的启动与终止，负责本单位</w:t>
            </w:r>
            <w:r>
              <w:rPr>
                <w:sz w:val="21"/>
              </w:rPr>
              <w:t>“</w:t>
            </w:r>
            <w:r>
              <w:rPr>
                <w:rFonts w:ascii="宋体" w:hAnsi="宋体" w:eastAsia="宋体" w:hint="eastAsia"/>
                <w:sz w:val="21"/>
              </w:rPr>
              <w:t>预案</w:t>
            </w:r>
            <w:r>
              <w:rPr>
                <w:sz w:val="21"/>
              </w:rPr>
              <w:t>”</w:t>
            </w:r>
            <w:r>
              <w:rPr>
                <w:rFonts w:ascii="宋体" w:hAnsi="宋体" w:eastAsia="宋体" w:hint="eastAsia"/>
                <w:sz w:val="21"/>
              </w:rPr>
              <w:t>的制定、修订；</w:t>
            </w:r>
          </w:p>
          <w:p>
            <w:pPr>
              <w:pStyle w:val="TableParagraph"/>
              <w:spacing w:before="91"/>
              <w:ind w:left="112"/>
              <w:jc w:val="left"/>
              <w:rPr>
                <w:rFonts w:ascii="宋体" w:hAnsi="宋体" w:eastAsia="宋体" w:hint="eastAsia"/>
                <w:sz w:val="21"/>
              </w:rPr>
            </w:pPr>
            <w:r>
              <w:rPr>
                <w:rFonts w:ascii="宋体" w:hAnsi="宋体" w:eastAsia="宋体" w:hint="eastAsia"/>
                <w:sz w:val="21"/>
              </w:rPr>
              <w:t>②组建应急救援专业队伍，并组织实施和演练；</w:t>
            </w:r>
          </w:p>
          <w:p>
            <w:pPr>
              <w:pStyle w:val="TableParagraph"/>
              <w:spacing w:before="88"/>
              <w:ind w:left="112"/>
              <w:jc w:val="left"/>
              <w:rPr>
                <w:rFonts w:ascii="宋体" w:hAnsi="宋体" w:eastAsia="宋体" w:hint="eastAsia"/>
                <w:sz w:val="21"/>
              </w:rPr>
            </w:pPr>
            <w:r>
              <w:rPr>
                <w:rFonts w:ascii="宋体" w:hAnsi="宋体" w:eastAsia="宋体" w:hint="eastAsia"/>
                <w:sz w:val="21"/>
              </w:rPr>
              <w:t>③检查、督促做好企业事故的预防措施和应急救援的各项准备工作。</w:t>
            </w:r>
          </w:p>
        </w:tc>
      </w:tr>
      <w:tr>
        <w:trPr>
          <w:trHeight w:val="2510" w:hRule="atLeast"/>
        </w:trPr>
        <w:tc>
          <w:tcPr>
            <w:tcW w:w="2161"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before="0"/>
              <w:ind w:left="744" w:right="724"/>
              <w:rPr>
                <w:rFonts w:ascii="宋体" w:eastAsia="宋体" w:hint="eastAsia"/>
                <w:sz w:val="21"/>
              </w:rPr>
            </w:pPr>
            <w:r>
              <w:rPr>
                <w:rFonts w:ascii="宋体" w:eastAsia="宋体" w:hint="eastAsia"/>
                <w:sz w:val="21"/>
              </w:rPr>
              <w:t>指挥部</w:t>
            </w:r>
          </w:p>
        </w:tc>
        <w:tc>
          <w:tcPr>
            <w:tcW w:w="7271" w:type="dxa"/>
            <w:tcBorders>
              <w:top w:val="single" w:sz="6" w:space="0" w:color="000000"/>
              <w:left w:val="single" w:sz="6" w:space="0" w:color="000000"/>
              <w:bottom w:val="single" w:sz="6" w:space="0" w:color="000000"/>
            </w:tcBorders>
          </w:tcPr>
          <w:p>
            <w:pPr>
              <w:pStyle w:val="TableParagraph"/>
              <w:spacing w:before="44"/>
              <w:ind w:left="112"/>
              <w:jc w:val="left"/>
              <w:rPr>
                <w:rFonts w:ascii="宋体" w:hAnsi="宋体" w:eastAsia="宋体" w:hint="eastAsia"/>
                <w:sz w:val="21"/>
              </w:rPr>
            </w:pPr>
            <w:r>
              <w:rPr>
                <w:rFonts w:ascii="宋体" w:hAnsi="宋体" w:eastAsia="宋体" w:hint="eastAsia"/>
                <w:spacing w:val="-3"/>
                <w:sz w:val="21"/>
              </w:rPr>
              <w:t>①现场事故等级判定及相应的应急响应启动；</w:t>
            </w:r>
          </w:p>
          <w:p>
            <w:pPr>
              <w:pStyle w:val="TableParagraph"/>
              <w:spacing w:before="89"/>
              <w:ind w:left="112"/>
              <w:jc w:val="left"/>
              <w:rPr>
                <w:rFonts w:ascii="宋体" w:hAnsi="宋体" w:eastAsia="宋体" w:hint="eastAsia"/>
                <w:sz w:val="21"/>
              </w:rPr>
            </w:pPr>
            <w:r>
              <w:rPr>
                <w:rFonts w:ascii="宋体" w:hAnsi="宋体" w:eastAsia="宋体" w:hint="eastAsia"/>
                <w:spacing w:val="-3"/>
                <w:sz w:val="21"/>
              </w:rPr>
              <w:t>②负责人员、资源配置、应急队伍的调动组；</w:t>
            </w:r>
          </w:p>
          <w:p>
            <w:pPr>
              <w:pStyle w:val="TableParagraph"/>
              <w:spacing w:line="319" w:lineRule="auto" w:before="91"/>
              <w:ind w:left="112" w:right="-15"/>
              <w:jc w:val="left"/>
              <w:rPr>
                <w:rFonts w:ascii="宋体" w:hAnsi="宋体" w:eastAsia="宋体" w:hint="eastAsia"/>
                <w:sz w:val="21"/>
              </w:rPr>
            </w:pPr>
            <w:r>
              <w:rPr>
                <w:rFonts w:ascii="宋体" w:hAnsi="宋体" w:eastAsia="宋体" w:hint="eastAsia"/>
                <w:spacing w:val="-3"/>
                <w:sz w:val="21"/>
              </w:rPr>
              <w:t>③确定应急现场指挥人员，接受政府的指令和调动，协调事故现场有关工作， 确定事故状态下各级人员的职责；</w:t>
            </w:r>
          </w:p>
          <w:p>
            <w:pPr>
              <w:pStyle w:val="TableParagraph"/>
              <w:spacing w:before="2"/>
              <w:ind w:left="112"/>
              <w:jc w:val="left"/>
              <w:rPr>
                <w:rFonts w:ascii="宋体" w:hAnsi="宋体" w:eastAsia="宋体" w:hint="eastAsia"/>
                <w:sz w:val="21"/>
              </w:rPr>
            </w:pPr>
            <w:r>
              <w:rPr>
                <w:rFonts w:ascii="宋体" w:hAnsi="宋体" w:eastAsia="宋体" w:hint="eastAsia"/>
                <w:sz w:val="21"/>
              </w:rPr>
              <w:t>④负责保护事故现场及收集相关数据；</w:t>
            </w:r>
          </w:p>
          <w:p>
            <w:pPr>
              <w:pStyle w:val="TableParagraph"/>
              <w:spacing w:before="88"/>
              <w:ind w:left="112"/>
              <w:jc w:val="left"/>
              <w:rPr>
                <w:rFonts w:ascii="宋体" w:hAnsi="宋体" w:eastAsia="宋体" w:hint="eastAsia"/>
                <w:sz w:val="21"/>
              </w:rPr>
            </w:pPr>
            <w:r>
              <w:rPr>
                <w:rFonts w:ascii="宋体" w:hAnsi="宋体" w:eastAsia="宋体" w:hint="eastAsia"/>
                <w:sz w:val="21"/>
              </w:rPr>
              <w:t>⑤负责事故原因调查、突发环境污染事故信息的上报工作；</w:t>
            </w:r>
          </w:p>
          <w:p>
            <w:pPr>
              <w:pStyle w:val="TableParagraph"/>
              <w:spacing w:before="91"/>
              <w:ind w:left="112"/>
              <w:jc w:val="left"/>
              <w:rPr>
                <w:rFonts w:ascii="宋体" w:hAnsi="宋体" w:eastAsia="宋体" w:hint="eastAsia"/>
                <w:sz w:val="21"/>
              </w:rPr>
            </w:pPr>
            <w:r>
              <w:rPr>
                <w:rFonts w:ascii="宋体" w:hAnsi="宋体" w:eastAsia="宋体" w:hint="eastAsia"/>
                <w:sz w:val="21"/>
              </w:rPr>
              <w:t>⑥负责应急经验总结。</w:t>
            </w:r>
          </w:p>
        </w:tc>
      </w:tr>
      <w:tr>
        <w:trPr>
          <w:trHeight w:val="359" w:hRule="atLeast"/>
        </w:trPr>
        <w:tc>
          <w:tcPr>
            <w:tcW w:w="9432" w:type="dxa"/>
            <w:gridSpan w:val="2"/>
            <w:tcBorders>
              <w:top w:val="single" w:sz="6" w:space="0" w:color="000000"/>
              <w:bottom w:val="single" w:sz="6" w:space="0" w:color="000000"/>
            </w:tcBorders>
          </w:tcPr>
          <w:p>
            <w:pPr>
              <w:pStyle w:val="TableParagraph"/>
              <w:spacing w:before="46"/>
              <w:ind w:left="107"/>
              <w:jc w:val="left"/>
              <w:rPr>
                <w:rFonts w:ascii="宋体" w:eastAsia="宋体" w:hint="eastAsia"/>
                <w:sz w:val="21"/>
              </w:rPr>
            </w:pPr>
            <w:r>
              <w:rPr>
                <w:rFonts w:ascii="宋体" w:eastAsia="宋体" w:hint="eastAsia"/>
                <w:sz w:val="21"/>
              </w:rPr>
              <w:t>指挥部人员分工</w:t>
            </w:r>
          </w:p>
        </w:tc>
      </w:tr>
      <w:tr>
        <w:trPr>
          <w:trHeight w:val="359" w:hRule="atLeast"/>
        </w:trPr>
        <w:tc>
          <w:tcPr>
            <w:tcW w:w="2161" w:type="dxa"/>
            <w:tcBorders>
              <w:top w:val="single" w:sz="6" w:space="0" w:color="000000"/>
              <w:bottom w:val="single" w:sz="6" w:space="0" w:color="000000"/>
              <w:right w:val="single" w:sz="6" w:space="0" w:color="000000"/>
            </w:tcBorders>
          </w:tcPr>
          <w:p>
            <w:pPr>
              <w:pStyle w:val="TableParagraph"/>
              <w:spacing w:before="44"/>
              <w:ind w:left="744" w:right="724"/>
              <w:rPr>
                <w:rFonts w:ascii="宋体" w:eastAsia="宋体" w:hint="eastAsia"/>
                <w:sz w:val="21"/>
              </w:rPr>
            </w:pPr>
            <w:r>
              <w:rPr>
                <w:rFonts w:ascii="宋体" w:eastAsia="宋体" w:hint="eastAsia"/>
                <w:sz w:val="21"/>
              </w:rPr>
              <w:t>总指挥</w:t>
            </w:r>
          </w:p>
        </w:tc>
        <w:tc>
          <w:tcPr>
            <w:tcW w:w="7271" w:type="dxa"/>
            <w:tcBorders>
              <w:top w:val="single" w:sz="6" w:space="0" w:color="000000"/>
              <w:left w:val="single" w:sz="6" w:space="0" w:color="000000"/>
              <w:bottom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组织指挥全厂的应急救援工作</w:t>
            </w:r>
          </w:p>
        </w:tc>
      </w:tr>
      <w:tr>
        <w:trPr>
          <w:trHeight w:val="360" w:hRule="atLeast"/>
        </w:trPr>
        <w:tc>
          <w:tcPr>
            <w:tcW w:w="2161" w:type="dxa"/>
            <w:tcBorders>
              <w:top w:val="single" w:sz="6" w:space="0" w:color="000000"/>
              <w:bottom w:val="single" w:sz="6" w:space="0" w:color="000000"/>
              <w:right w:val="single" w:sz="6" w:space="0" w:color="000000"/>
            </w:tcBorders>
          </w:tcPr>
          <w:p>
            <w:pPr>
              <w:pStyle w:val="TableParagraph"/>
              <w:spacing w:before="44"/>
              <w:ind w:left="659"/>
              <w:jc w:val="left"/>
              <w:rPr>
                <w:rFonts w:ascii="宋体" w:eastAsia="宋体" w:hint="eastAsia"/>
                <w:sz w:val="21"/>
              </w:rPr>
            </w:pPr>
            <w:r>
              <w:rPr>
                <w:rFonts w:ascii="宋体" w:eastAsia="宋体" w:hint="eastAsia"/>
                <w:sz w:val="21"/>
              </w:rPr>
              <w:t>副总指挥</w:t>
            </w:r>
          </w:p>
        </w:tc>
        <w:tc>
          <w:tcPr>
            <w:tcW w:w="7271" w:type="dxa"/>
            <w:tcBorders>
              <w:top w:val="single" w:sz="6" w:space="0" w:color="000000"/>
              <w:left w:val="single" w:sz="6" w:space="0" w:color="000000"/>
              <w:bottom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协助总指挥负责应急救援的具体指挥工作</w:t>
            </w:r>
          </w:p>
        </w:tc>
      </w:tr>
      <w:tr>
        <w:trPr>
          <w:trHeight w:val="357" w:hRule="atLeast"/>
        </w:trPr>
        <w:tc>
          <w:tcPr>
            <w:tcW w:w="2161" w:type="dxa"/>
            <w:tcBorders>
              <w:top w:val="single" w:sz="6" w:space="0" w:color="000000"/>
              <w:bottom w:val="single" w:sz="6" w:space="0" w:color="000000"/>
              <w:right w:val="single" w:sz="6" w:space="0" w:color="000000"/>
            </w:tcBorders>
          </w:tcPr>
          <w:p>
            <w:pPr>
              <w:pStyle w:val="TableParagraph"/>
              <w:spacing w:before="44"/>
              <w:ind w:left="342"/>
              <w:jc w:val="left"/>
              <w:rPr>
                <w:rFonts w:ascii="宋体" w:eastAsia="宋体" w:hint="eastAsia"/>
                <w:sz w:val="21"/>
              </w:rPr>
            </w:pPr>
            <w:r>
              <w:rPr>
                <w:rFonts w:ascii="宋体" w:eastAsia="宋体" w:hint="eastAsia"/>
                <w:sz w:val="21"/>
              </w:rPr>
              <w:t>安全环保科科长</w:t>
            </w:r>
          </w:p>
        </w:tc>
        <w:tc>
          <w:tcPr>
            <w:tcW w:w="7271" w:type="dxa"/>
            <w:tcBorders>
              <w:top w:val="single" w:sz="6" w:space="0" w:color="000000"/>
              <w:left w:val="single" w:sz="6" w:space="0" w:color="000000"/>
              <w:bottom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协助总指挥做好事故报警、情况通报及事故处置工作</w:t>
            </w:r>
          </w:p>
        </w:tc>
      </w:tr>
      <w:tr>
        <w:trPr>
          <w:trHeight w:val="1077" w:hRule="atLeast"/>
        </w:trPr>
        <w:tc>
          <w:tcPr>
            <w:tcW w:w="2161"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33"/>
              <w:jc w:val="left"/>
              <w:rPr>
                <w:rFonts w:ascii="宋体" w:eastAsia="宋体" w:hint="eastAsia"/>
                <w:sz w:val="21"/>
              </w:rPr>
            </w:pPr>
            <w:r>
              <w:rPr>
                <w:rFonts w:ascii="宋体" w:eastAsia="宋体" w:hint="eastAsia"/>
                <w:sz w:val="21"/>
              </w:rPr>
              <w:t>生产科长或总调度长</w:t>
            </w:r>
          </w:p>
        </w:tc>
        <w:tc>
          <w:tcPr>
            <w:tcW w:w="7271" w:type="dxa"/>
            <w:tcBorders>
              <w:top w:val="single" w:sz="6" w:space="0" w:color="000000"/>
              <w:left w:val="single" w:sz="6" w:space="0" w:color="000000"/>
              <w:bottom w:val="single" w:sz="6" w:space="0" w:color="000000"/>
            </w:tcBorders>
          </w:tcPr>
          <w:p>
            <w:pPr>
              <w:pStyle w:val="TableParagraph"/>
              <w:spacing w:before="46"/>
              <w:ind w:left="112"/>
              <w:jc w:val="left"/>
              <w:rPr>
                <w:rFonts w:ascii="宋体" w:hAnsi="宋体" w:eastAsia="宋体" w:hint="eastAsia"/>
                <w:sz w:val="21"/>
              </w:rPr>
            </w:pPr>
            <w:r>
              <w:rPr>
                <w:rFonts w:ascii="宋体" w:hAnsi="宋体" w:eastAsia="宋体" w:hint="eastAsia"/>
                <w:sz w:val="21"/>
              </w:rPr>
              <w:t>①负责事故处置时生产系统开、停车调度工作；</w:t>
            </w:r>
          </w:p>
          <w:p>
            <w:pPr>
              <w:pStyle w:val="TableParagraph"/>
              <w:spacing w:before="89"/>
              <w:ind w:left="112"/>
              <w:jc w:val="left"/>
              <w:rPr>
                <w:rFonts w:ascii="宋体" w:hAnsi="宋体" w:eastAsia="宋体" w:hint="eastAsia"/>
                <w:sz w:val="21"/>
              </w:rPr>
            </w:pPr>
            <w:r>
              <w:rPr>
                <w:rFonts w:ascii="宋体" w:hAnsi="宋体" w:eastAsia="宋体" w:hint="eastAsia"/>
                <w:sz w:val="21"/>
              </w:rPr>
              <w:t>②事故现场通讯联络和对外联系；</w:t>
            </w:r>
          </w:p>
          <w:p>
            <w:pPr>
              <w:pStyle w:val="TableParagraph"/>
              <w:spacing w:before="91"/>
              <w:ind w:left="112"/>
              <w:jc w:val="left"/>
              <w:rPr>
                <w:rFonts w:ascii="宋体" w:hAnsi="宋体" w:eastAsia="宋体" w:hint="eastAsia"/>
                <w:sz w:val="21"/>
              </w:rPr>
            </w:pPr>
            <w:r>
              <w:rPr>
                <w:rFonts w:ascii="宋体" w:hAnsi="宋体" w:eastAsia="宋体" w:hint="eastAsia"/>
                <w:sz w:val="21"/>
              </w:rPr>
              <w:t>③必要时代表指挥部对外发布有关信息。</w:t>
            </w:r>
          </w:p>
        </w:tc>
      </w:tr>
      <w:tr>
        <w:trPr>
          <w:trHeight w:val="716" w:hRule="atLeast"/>
        </w:trPr>
        <w:tc>
          <w:tcPr>
            <w:tcW w:w="2161" w:type="dxa"/>
            <w:tcBorders>
              <w:top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07" w:right="-29"/>
              <w:jc w:val="left"/>
              <w:rPr>
                <w:rFonts w:ascii="宋体" w:eastAsia="宋体" w:hint="eastAsia"/>
                <w:sz w:val="21"/>
              </w:rPr>
            </w:pPr>
            <w:r>
              <w:rPr>
                <w:rFonts w:ascii="宋体" w:eastAsia="宋体" w:hint="eastAsia"/>
                <w:spacing w:val="-12"/>
                <w:sz w:val="21"/>
              </w:rPr>
              <w:t>办公室主任</w:t>
            </w:r>
            <w:r>
              <w:rPr>
                <w:rFonts w:ascii="宋体" w:eastAsia="宋体" w:hint="eastAsia"/>
                <w:sz w:val="21"/>
              </w:rPr>
              <w:t>（</w:t>
            </w:r>
            <w:r>
              <w:rPr>
                <w:rFonts w:ascii="宋体" w:eastAsia="宋体" w:hint="eastAsia"/>
                <w:spacing w:val="-2"/>
                <w:sz w:val="21"/>
              </w:rPr>
              <w:t>总务科</w:t>
            </w:r>
            <w:r>
              <w:rPr>
                <w:rFonts w:ascii="宋体" w:eastAsia="宋体" w:hint="eastAsia"/>
                <w:sz w:val="21"/>
              </w:rPr>
              <w:t>）</w:t>
            </w:r>
          </w:p>
        </w:tc>
        <w:tc>
          <w:tcPr>
            <w:tcW w:w="7271" w:type="dxa"/>
            <w:tcBorders>
              <w:top w:val="single" w:sz="6" w:space="0" w:color="000000"/>
              <w:left w:val="single" w:sz="6" w:space="0" w:color="000000"/>
              <w:bottom w:val="single" w:sz="6" w:space="0" w:color="000000"/>
            </w:tcBorders>
          </w:tcPr>
          <w:p>
            <w:pPr>
              <w:pStyle w:val="TableParagraph"/>
              <w:spacing w:before="44"/>
              <w:ind w:left="112"/>
              <w:jc w:val="left"/>
              <w:rPr>
                <w:rFonts w:ascii="宋体" w:hAnsi="宋体" w:eastAsia="宋体" w:hint="eastAsia"/>
                <w:sz w:val="21"/>
              </w:rPr>
            </w:pPr>
            <w:r>
              <w:rPr>
                <w:rFonts w:ascii="宋体" w:hAnsi="宋体" w:eastAsia="宋体" w:hint="eastAsia"/>
                <w:sz w:val="21"/>
              </w:rPr>
              <w:t>①负责抢险救援物资的供应和运输工作；</w:t>
            </w:r>
          </w:p>
          <w:p>
            <w:pPr>
              <w:pStyle w:val="TableParagraph"/>
              <w:spacing w:before="91"/>
              <w:ind w:left="112"/>
              <w:jc w:val="left"/>
              <w:rPr>
                <w:rFonts w:ascii="宋体" w:hAnsi="宋体" w:eastAsia="宋体" w:hint="eastAsia"/>
                <w:sz w:val="21"/>
              </w:rPr>
            </w:pPr>
            <w:r>
              <w:rPr>
                <w:rFonts w:ascii="宋体" w:hAnsi="宋体" w:eastAsia="宋体" w:hint="eastAsia"/>
                <w:sz w:val="21"/>
              </w:rPr>
              <w:t>②负责灭火、警戒、治安保卫、疏散、道路管制工作。</w:t>
            </w:r>
          </w:p>
        </w:tc>
      </w:tr>
      <w:tr>
        <w:trPr>
          <w:trHeight w:val="359" w:hRule="atLeast"/>
        </w:trPr>
        <w:tc>
          <w:tcPr>
            <w:tcW w:w="2161" w:type="dxa"/>
            <w:tcBorders>
              <w:top w:val="single" w:sz="6" w:space="0" w:color="000000"/>
              <w:bottom w:val="single" w:sz="6" w:space="0" w:color="000000"/>
              <w:right w:val="single" w:sz="6" w:space="0" w:color="000000"/>
            </w:tcBorders>
          </w:tcPr>
          <w:p>
            <w:pPr>
              <w:pStyle w:val="TableParagraph"/>
              <w:spacing w:before="46"/>
              <w:ind w:left="553"/>
              <w:jc w:val="left"/>
              <w:rPr>
                <w:rFonts w:ascii="宋体" w:eastAsia="宋体" w:hint="eastAsia"/>
                <w:sz w:val="21"/>
              </w:rPr>
            </w:pPr>
            <w:r>
              <w:rPr>
                <w:rFonts w:ascii="宋体" w:eastAsia="宋体" w:hint="eastAsia"/>
                <w:sz w:val="21"/>
              </w:rPr>
              <w:t>设备科科长</w:t>
            </w:r>
          </w:p>
        </w:tc>
        <w:tc>
          <w:tcPr>
            <w:tcW w:w="7271" w:type="dxa"/>
            <w:tcBorders>
              <w:top w:val="single" w:sz="6" w:space="0" w:color="000000"/>
              <w:left w:val="single" w:sz="6" w:space="0" w:color="000000"/>
              <w:bottom w:val="single" w:sz="6" w:space="0" w:color="000000"/>
            </w:tcBorders>
          </w:tcPr>
          <w:p>
            <w:pPr>
              <w:pStyle w:val="TableParagraph"/>
              <w:spacing w:before="46"/>
              <w:ind w:left="112"/>
              <w:jc w:val="left"/>
              <w:rPr>
                <w:rFonts w:ascii="宋体" w:eastAsia="宋体" w:hint="eastAsia"/>
                <w:sz w:val="21"/>
              </w:rPr>
            </w:pPr>
            <w:r>
              <w:rPr>
                <w:rFonts w:ascii="宋体" w:eastAsia="宋体" w:hint="eastAsia"/>
                <w:sz w:val="21"/>
              </w:rPr>
              <w:t>协助总指挥负责工程抢险、抢修的现场指挥</w:t>
            </w:r>
          </w:p>
        </w:tc>
      </w:tr>
      <w:tr>
        <w:trPr>
          <w:trHeight w:val="356" w:hRule="atLeast"/>
        </w:trPr>
        <w:tc>
          <w:tcPr>
            <w:tcW w:w="2161" w:type="dxa"/>
            <w:tcBorders>
              <w:top w:val="single" w:sz="6" w:space="0" w:color="000000"/>
              <w:right w:val="single" w:sz="6" w:space="0" w:color="000000"/>
            </w:tcBorders>
          </w:tcPr>
          <w:p>
            <w:pPr>
              <w:pStyle w:val="TableParagraph"/>
              <w:spacing w:before="44"/>
              <w:ind w:left="553"/>
              <w:jc w:val="left"/>
              <w:rPr>
                <w:rFonts w:ascii="宋体" w:eastAsia="宋体" w:hint="eastAsia"/>
                <w:sz w:val="21"/>
              </w:rPr>
            </w:pPr>
            <w:r>
              <w:rPr>
                <w:rFonts w:ascii="宋体" w:eastAsia="宋体" w:hint="eastAsia"/>
                <w:sz w:val="21"/>
              </w:rPr>
              <w:t>监测科科长</w:t>
            </w:r>
          </w:p>
        </w:tc>
        <w:tc>
          <w:tcPr>
            <w:tcW w:w="7271" w:type="dxa"/>
            <w:tcBorders>
              <w:top w:val="single" w:sz="6" w:space="0" w:color="000000"/>
              <w:left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负责事故现场扩散区域监测工作</w:t>
            </w:r>
          </w:p>
        </w:tc>
      </w:tr>
    </w:tbl>
    <w:p>
      <w:pPr>
        <w:spacing w:after="0"/>
        <w:jc w:val="left"/>
        <w:rPr>
          <w:rFonts w:ascii="宋体" w:eastAsia="宋体" w:hint="eastAsia"/>
          <w:sz w:val="21"/>
        </w:rPr>
        <w:sectPr>
          <w:pgSz w:w="11910" w:h="16840"/>
          <w:pgMar w:header="874" w:footer="1004" w:top="1420" w:bottom="1200" w:left="1040" w:right="1160"/>
        </w:sectPr>
      </w:pPr>
    </w:p>
    <w:p>
      <w:pPr>
        <w:pStyle w:val="ListParagraph"/>
        <w:numPr>
          <w:ilvl w:val="0"/>
          <w:numId w:val="104"/>
        </w:numPr>
        <w:tabs>
          <w:tab w:pos="1319" w:val="left" w:leader="none"/>
        </w:tabs>
        <w:spacing w:line="240" w:lineRule="auto" w:before="92" w:after="0"/>
        <w:ind w:left="1318" w:right="0" w:hanging="602"/>
        <w:jc w:val="left"/>
        <w:rPr>
          <w:sz w:val="24"/>
        </w:rPr>
      </w:pPr>
      <w:r>
        <w:rPr>
          <w:sz w:val="24"/>
        </w:rPr>
        <w:t>安全管理制度</w:t>
      </w:r>
    </w:p>
    <w:p>
      <w:pPr>
        <w:pStyle w:val="BodyText"/>
        <w:spacing w:line="364" w:lineRule="auto" w:before="160"/>
        <w:ind w:right="131" w:firstLine="480"/>
      </w:pPr>
      <w:r>
        <w:rPr/>
        <w:t>企业应高度重视生产安全，制定《安全生产紧急预案制度》，由公司各职能部门和支持保障部门组成安全事故应急救援指挥小组，并制定一系列安全管理条例，如《仓库防火管理制度》、《消防安全责任制度》、《维修车间安全生产规程》、《设备管理制</w:t>
      </w:r>
      <w:r>
        <w:rPr>
          <w:spacing w:val="-6"/>
        </w:rPr>
        <w:t>度》、《化验室安全管理制度》、《配电间管理制度》、《管网运行巡查维护制度》等。</w:t>
      </w:r>
      <w:r>
        <w:rPr/>
        <w:t>在环境管理方面，公司应以正式文件形式建立公司环保领导小组，明确环保管理工作小组成员及环保管理的主要任务和指标，同时建立环境保护管理制度及各项生产情况日报表制度、生产运行记录制度和环保管理台账，各种安全环境管理制度的实施在一定程度上可提高全体员工的风险防范意识，对降低风险事故的发生概率具有一定的积极作用。</w:t>
      </w:r>
    </w:p>
    <w:p>
      <w:pPr>
        <w:pStyle w:val="ListParagraph"/>
        <w:numPr>
          <w:ilvl w:val="0"/>
          <w:numId w:val="104"/>
        </w:numPr>
        <w:tabs>
          <w:tab w:pos="1319" w:val="left" w:leader="none"/>
        </w:tabs>
        <w:spacing w:line="240" w:lineRule="auto" w:before="6" w:after="0"/>
        <w:ind w:left="1318" w:right="0" w:hanging="602"/>
        <w:jc w:val="left"/>
        <w:rPr>
          <w:sz w:val="24"/>
        </w:rPr>
      </w:pPr>
      <w:r>
        <w:rPr>
          <w:sz w:val="24"/>
        </w:rPr>
        <w:t>事故应急设施要求</w:t>
      </w:r>
    </w:p>
    <w:p>
      <w:pPr>
        <w:pStyle w:val="BodyText"/>
        <w:spacing w:line="364" w:lineRule="auto" w:before="160"/>
        <w:ind w:right="249" w:firstLine="480"/>
        <w:jc w:val="both"/>
      </w:pPr>
      <w:r>
        <w:rPr/>
        <w:t>本项目应急池有效容积 </w:t>
      </w:r>
      <w:r>
        <w:rPr>
          <w:rFonts w:ascii="Times New Roman" w:hAnsi="Times New Roman" w:eastAsia="Times New Roman"/>
          <w:position w:val="1"/>
        </w:rPr>
        <w:t>510m</w:t>
      </w:r>
      <w:r>
        <w:rPr/>
        <w:t>³，可容纳最大一天的生产废水产生量。要求配备切断装置，当污水站发生事故时，及时关闭切断阀，避免废水继续进入污水站，待其检修完成后再打开切断阀，将废水接入污水站处理。</w:t>
      </w:r>
    </w:p>
    <w:p>
      <w:pPr>
        <w:pStyle w:val="ListParagraph"/>
        <w:numPr>
          <w:ilvl w:val="0"/>
          <w:numId w:val="104"/>
        </w:numPr>
        <w:tabs>
          <w:tab w:pos="1319" w:val="left" w:leader="none"/>
        </w:tabs>
        <w:spacing w:line="240" w:lineRule="auto" w:before="2" w:after="0"/>
        <w:ind w:left="1318" w:right="0" w:hanging="602"/>
        <w:jc w:val="left"/>
        <w:rPr>
          <w:sz w:val="24"/>
        </w:rPr>
      </w:pPr>
      <w:r>
        <w:rPr>
          <w:sz w:val="24"/>
        </w:rPr>
        <w:t>应急队伍建设情况</w:t>
      </w:r>
    </w:p>
    <w:p>
      <w:pPr>
        <w:pStyle w:val="BodyText"/>
        <w:spacing w:line="364" w:lineRule="auto" w:before="160"/>
        <w:ind w:right="254" w:firstLine="480"/>
      </w:pPr>
      <w:r>
        <w:rPr/>
        <w:t>要求企业尽快编制应急预案，成立应急指挥领导小组，设置事故现场抢修组、后勤保障组、应急监测组等二级组织机构，要求队伍设置必须完善。</w:t>
      </w:r>
    </w:p>
    <w:p>
      <w:pPr>
        <w:pStyle w:val="ListParagraph"/>
        <w:numPr>
          <w:ilvl w:val="0"/>
          <w:numId w:val="104"/>
        </w:numPr>
        <w:tabs>
          <w:tab w:pos="1319" w:val="left" w:leader="none"/>
        </w:tabs>
        <w:spacing w:line="240" w:lineRule="auto" w:before="2" w:after="0"/>
        <w:ind w:left="1318" w:right="0" w:hanging="602"/>
        <w:jc w:val="left"/>
        <w:rPr>
          <w:sz w:val="24"/>
        </w:rPr>
      </w:pPr>
      <w:r>
        <w:rPr>
          <w:sz w:val="24"/>
        </w:rPr>
        <w:t>应急物资配置情况</w:t>
      </w:r>
    </w:p>
    <w:p>
      <w:pPr>
        <w:pStyle w:val="BodyText"/>
        <w:spacing w:line="364" w:lineRule="auto" w:before="160"/>
        <w:ind w:right="253" w:firstLine="480"/>
      </w:pPr>
      <w:r>
        <w:rPr/>
        <w:t>企业应根据正式应急预案要求，配备齐全的应急物资，并按指定位置进行存放，安排专人负责管理、维修保养，保证所有设施和物资完好、有效，并随时可投入使用。</w:t>
      </w:r>
    </w:p>
    <w:p>
      <w:pPr>
        <w:pStyle w:val="ListParagraph"/>
        <w:numPr>
          <w:ilvl w:val="0"/>
          <w:numId w:val="104"/>
        </w:numPr>
        <w:tabs>
          <w:tab w:pos="1319" w:val="left" w:leader="none"/>
        </w:tabs>
        <w:spacing w:line="240" w:lineRule="auto" w:before="2" w:after="0"/>
        <w:ind w:left="1318" w:right="0" w:hanging="602"/>
        <w:jc w:val="left"/>
        <w:rPr>
          <w:sz w:val="24"/>
        </w:rPr>
      </w:pPr>
      <w:r>
        <w:rPr>
          <w:sz w:val="24"/>
        </w:rPr>
        <w:t>应急预案的制定</w:t>
      </w:r>
    </w:p>
    <w:p>
      <w:pPr>
        <w:pStyle w:val="BodyText"/>
        <w:spacing w:line="364" w:lineRule="auto" w:before="160"/>
        <w:ind w:right="254" w:firstLine="480"/>
      </w:pPr>
      <w:r>
        <w:rPr/>
        <w:t>企业应编制应急预案，在预案中分析企业可能发生的环境污染事故，并提出相应的应急措施。突发环境污染事故应急预案的编制，可在一定程度上提高企业的应急能力。</w:t>
      </w:r>
    </w:p>
    <w:p>
      <w:pPr>
        <w:pStyle w:val="ListParagraph"/>
        <w:numPr>
          <w:ilvl w:val="0"/>
          <w:numId w:val="104"/>
        </w:numPr>
        <w:tabs>
          <w:tab w:pos="1319" w:val="left" w:leader="none"/>
        </w:tabs>
        <w:spacing w:line="240" w:lineRule="auto" w:before="1" w:after="0"/>
        <w:ind w:left="1318" w:right="0" w:hanging="602"/>
        <w:jc w:val="left"/>
        <w:rPr>
          <w:sz w:val="24"/>
        </w:rPr>
      </w:pPr>
      <w:r>
        <w:rPr>
          <w:sz w:val="24"/>
        </w:rPr>
        <w:t>其他有关规定和要求</w:t>
      </w:r>
    </w:p>
    <w:p>
      <w:pPr>
        <w:pStyle w:val="BodyText"/>
        <w:spacing w:line="364" w:lineRule="auto" w:before="162"/>
        <w:ind w:right="254" w:firstLine="480"/>
      </w:pPr>
      <w:r>
        <w:rPr/>
        <w:t>按照本节内容要求落实应急救援组织，每年初要根据人员变化进行组织调整，确保救援组织的落实，并对全厂职工进行经常性的常识教育。</w:t>
      </w:r>
    </w:p>
    <w:p>
      <w:pPr>
        <w:pStyle w:val="BodyText"/>
        <w:spacing w:line="364" w:lineRule="auto" w:before="1"/>
        <w:ind w:right="249" w:firstLine="480"/>
        <w:jc w:val="both"/>
      </w:pPr>
      <w:r>
        <w:rPr/>
        <w:t>建立完善各项制度：建立昼夜值班制度，指定预案责任人和备选联系人。建立检查制度，每月结合安全生产工作检查，定期检查应急救援工作落实情况及器具保管情况， 并组织应急预案演习。建立例会制度，每季度第一个月的第一周召开领导小组成员和救援队负责人会议，研究应急救援工作。</w:t>
      </w:r>
    </w:p>
    <w:p>
      <w:pPr>
        <w:spacing w:after="0" w:line="364" w:lineRule="auto"/>
        <w:jc w:val="both"/>
        <w:sectPr>
          <w:pgSz w:w="11910" w:h="16840"/>
          <w:pgMar w:header="874" w:footer="1004" w:top="1420" w:bottom="1200" w:left="1040" w:right="1160"/>
        </w:sectPr>
      </w:pPr>
    </w:p>
    <w:p>
      <w:pPr>
        <w:pStyle w:val="BodyText"/>
        <w:spacing w:before="92"/>
        <w:ind w:left="717"/>
      </w:pPr>
      <w:r>
        <w:rPr/>
        <w:t>总结评比工作，与安全生产工作同检查、同讲评、同表彰奖励。</w:t>
      </w:r>
    </w:p>
    <w:p>
      <w:pPr>
        <w:pStyle w:val="Heading3"/>
        <w:numPr>
          <w:ilvl w:val="2"/>
          <w:numId w:val="88"/>
        </w:numPr>
        <w:tabs>
          <w:tab w:pos="838" w:val="left" w:leader="none"/>
        </w:tabs>
        <w:spacing w:line="240" w:lineRule="auto" w:before="160" w:after="0"/>
        <w:ind w:left="837" w:right="0" w:hanging="601"/>
        <w:jc w:val="left"/>
      </w:pPr>
      <w:bookmarkStart w:name="_bookmark108" w:id="209"/>
      <w:bookmarkEnd w:id="209"/>
      <w:r>
        <w:rPr>
          <w:b w:val="0"/>
        </w:rPr>
      </w:r>
      <w:bookmarkStart w:name="_bookmark108" w:id="210"/>
      <w:bookmarkEnd w:id="210"/>
      <w:r>
        <w:rPr/>
        <w:t>环境保护措施汇总</w:t>
      </w:r>
    </w:p>
    <w:p>
      <w:pPr>
        <w:pStyle w:val="BodyText"/>
        <w:spacing w:before="161"/>
        <w:ind w:left="717"/>
      </w:pPr>
      <w:r>
        <w:rPr/>
        <w:t>项目主要污染治理措施见表 </w:t>
      </w:r>
      <w:r>
        <w:rPr>
          <w:rFonts w:ascii="Times New Roman" w:eastAsia="Times New Roman"/>
        </w:rPr>
        <w:t>6.2-12</w:t>
      </w:r>
      <w:r>
        <w:rPr/>
        <w:t>。</w:t>
      </w:r>
    </w:p>
    <w:p>
      <w:pPr>
        <w:pStyle w:val="Heading3"/>
        <w:spacing w:before="160"/>
        <w:ind w:left="220" w:right="236"/>
        <w:jc w:val="center"/>
      </w:pPr>
      <w:r>
        <w:rPr/>
        <w:t>表 </w:t>
      </w:r>
      <w:r>
        <w:rPr>
          <w:rFonts w:ascii="Times New Roman" w:eastAsia="Times New Roman"/>
        </w:rPr>
        <w:t>6.2-12  </w:t>
      </w:r>
      <w:r>
        <w:rPr/>
        <w:t>项目主要污染治理措施一览表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133"/>
        <w:gridCol w:w="5246"/>
        <w:gridCol w:w="2377"/>
      </w:tblGrid>
      <w:tr>
        <w:trPr>
          <w:trHeight w:val="359" w:hRule="atLeast"/>
        </w:trPr>
        <w:tc>
          <w:tcPr>
            <w:tcW w:w="677" w:type="dxa"/>
            <w:tcBorders>
              <w:bottom w:val="single" w:sz="6" w:space="0" w:color="000000"/>
              <w:right w:val="single" w:sz="6" w:space="0" w:color="000000"/>
            </w:tcBorders>
          </w:tcPr>
          <w:p>
            <w:pPr>
              <w:pStyle w:val="TableParagraph"/>
              <w:spacing w:before="43"/>
              <w:ind w:left="126"/>
              <w:jc w:val="left"/>
              <w:rPr>
                <w:rFonts w:ascii="宋体" w:eastAsia="宋体" w:hint="eastAsia"/>
                <w:b/>
                <w:sz w:val="21"/>
              </w:rPr>
            </w:pPr>
            <w:r>
              <w:rPr>
                <w:rFonts w:ascii="宋体" w:eastAsia="宋体" w:hint="eastAsia"/>
                <w:b/>
                <w:sz w:val="21"/>
              </w:rPr>
              <w:t>类别</w:t>
            </w:r>
          </w:p>
        </w:tc>
        <w:tc>
          <w:tcPr>
            <w:tcW w:w="1133" w:type="dxa"/>
            <w:tcBorders>
              <w:left w:val="single" w:sz="6" w:space="0" w:color="000000"/>
              <w:bottom w:val="single" w:sz="6" w:space="0" w:color="000000"/>
              <w:right w:val="single" w:sz="6" w:space="0" w:color="000000"/>
            </w:tcBorders>
          </w:tcPr>
          <w:p>
            <w:pPr>
              <w:pStyle w:val="TableParagraph"/>
              <w:spacing w:before="43"/>
              <w:ind w:left="129" w:right="106"/>
              <w:rPr>
                <w:rFonts w:ascii="宋体" w:eastAsia="宋体" w:hint="eastAsia"/>
                <w:b/>
                <w:sz w:val="21"/>
              </w:rPr>
            </w:pPr>
            <w:r>
              <w:rPr>
                <w:rFonts w:ascii="宋体" w:eastAsia="宋体" w:hint="eastAsia"/>
                <w:b/>
                <w:sz w:val="21"/>
              </w:rPr>
              <w:t>项目</w:t>
            </w:r>
          </w:p>
        </w:tc>
        <w:tc>
          <w:tcPr>
            <w:tcW w:w="5246" w:type="dxa"/>
            <w:tcBorders>
              <w:left w:val="single" w:sz="6" w:space="0" w:color="000000"/>
              <w:bottom w:val="single" w:sz="6" w:space="0" w:color="000000"/>
              <w:right w:val="single" w:sz="6" w:space="0" w:color="000000"/>
            </w:tcBorders>
          </w:tcPr>
          <w:p>
            <w:pPr>
              <w:pStyle w:val="TableParagraph"/>
              <w:spacing w:before="43"/>
              <w:ind w:left="1975" w:right="1951"/>
              <w:rPr>
                <w:rFonts w:ascii="宋体" w:eastAsia="宋体" w:hint="eastAsia"/>
                <w:b/>
                <w:sz w:val="21"/>
              </w:rPr>
            </w:pPr>
            <w:r>
              <w:rPr>
                <w:rFonts w:ascii="宋体" w:eastAsia="宋体" w:hint="eastAsia"/>
                <w:b/>
                <w:sz w:val="21"/>
              </w:rPr>
              <w:t>污染防治措施</w:t>
            </w:r>
          </w:p>
        </w:tc>
        <w:tc>
          <w:tcPr>
            <w:tcW w:w="2377" w:type="dxa"/>
            <w:tcBorders>
              <w:left w:val="single" w:sz="6" w:space="0" w:color="000000"/>
              <w:bottom w:val="single" w:sz="6" w:space="0" w:color="000000"/>
            </w:tcBorders>
          </w:tcPr>
          <w:p>
            <w:pPr>
              <w:pStyle w:val="TableParagraph"/>
              <w:spacing w:before="43"/>
              <w:ind w:left="771"/>
              <w:jc w:val="left"/>
              <w:rPr>
                <w:rFonts w:ascii="宋体" w:eastAsia="宋体" w:hint="eastAsia"/>
                <w:b/>
                <w:sz w:val="21"/>
              </w:rPr>
            </w:pPr>
            <w:r>
              <w:rPr>
                <w:rFonts w:ascii="宋体" w:eastAsia="宋体" w:hint="eastAsia"/>
                <w:b/>
                <w:sz w:val="21"/>
              </w:rPr>
              <w:t>预期效果</w:t>
            </w:r>
          </w:p>
        </w:tc>
      </w:tr>
      <w:tr>
        <w:trPr>
          <w:trHeight w:val="2512" w:hRule="atLeast"/>
        </w:trPr>
        <w:tc>
          <w:tcPr>
            <w:tcW w:w="677"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27"/>
              </w:rPr>
            </w:pPr>
          </w:p>
          <w:p>
            <w:pPr>
              <w:pStyle w:val="TableParagraph"/>
              <w:spacing w:before="0"/>
              <w:ind w:left="126"/>
              <w:jc w:val="left"/>
              <w:rPr>
                <w:rFonts w:ascii="宋体" w:eastAsia="宋体" w:hint="eastAsia"/>
                <w:sz w:val="21"/>
              </w:rPr>
            </w:pPr>
            <w:r>
              <w:rPr>
                <w:rFonts w:ascii="宋体" w:eastAsia="宋体" w:hint="eastAsia"/>
                <w:sz w:val="21"/>
              </w:rPr>
              <w:t>废水</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319" w:lineRule="auto" w:before="173"/>
              <w:ind w:left="150" w:right="122"/>
              <w:jc w:val="left"/>
              <w:rPr>
                <w:rFonts w:ascii="宋体" w:eastAsia="宋体" w:hint="eastAsia"/>
                <w:sz w:val="21"/>
              </w:rPr>
            </w:pPr>
            <w:r>
              <w:rPr>
                <w:rFonts w:ascii="宋体" w:eastAsia="宋体" w:hint="eastAsia"/>
                <w:sz w:val="21"/>
              </w:rPr>
              <w:t>生产废水生活污水</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82"/>
              <w:jc w:val="both"/>
              <w:rPr>
                <w:rFonts w:ascii="宋体" w:hAnsi="宋体" w:eastAsia="宋体" w:hint="eastAsia"/>
                <w:sz w:val="21"/>
              </w:rPr>
            </w:pPr>
            <w:r>
              <w:rPr>
                <w:rFonts w:ascii="宋体" w:hAnsi="宋体" w:eastAsia="宋体" w:hint="eastAsia"/>
                <w:spacing w:val="-5"/>
                <w:sz w:val="21"/>
              </w:rPr>
              <w:t>①实施雨污分流，设初期雨水池收集初期雨水，建议厂</w:t>
            </w:r>
            <w:r>
              <w:rPr>
                <w:rFonts w:ascii="宋体" w:hAnsi="宋体" w:eastAsia="宋体" w:hint="eastAsia"/>
                <w:spacing w:val="-6"/>
                <w:sz w:val="21"/>
              </w:rPr>
              <w:t>区靠山体部分设置防洪沟。②项目生产生活废水、初期</w:t>
            </w:r>
            <w:r>
              <w:rPr>
                <w:rFonts w:ascii="宋体" w:hAnsi="宋体" w:eastAsia="宋体" w:hint="eastAsia"/>
                <w:spacing w:val="5"/>
                <w:sz w:val="21"/>
              </w:rPr>
              <w:t>雨水统一接入厂区内自建污水处理站处理达标后纳入</w:t>
            </w:r>
            <w:r>
              <w:rPr>
                <w:rFonts w:ascii="宋体" w:hAnsi="宋体" w:eastAsia="宋体" w:hint="eastAsia"/>
                <w:spacing w:val="-3"/>
                <w:sz w:val="21"/>
              </w:rPr>
              <w:t>市政污水管网，最终进入绍兴市污水处理厂处理达标后</w:t>
            </w:r>
            <w:r>
              <w:rPr>
                <w:rFonts w:ascii="宋体" w:hAnsi="宋体" w:eastAsia="宋体" w:hint="eastAsia"/>
                <w:spacing w:val="-6"/>
                <w:sz w:val="21"/>
              </w:rPr>
              <w:t>排入钱塘江。③做好各类猪舍、污水收集沟渠、固液分</w:t>
            </w:r>
            <w:r>
              <w:rPr>
                <w:rFonts w:ascii="宋体" w:hAnsi="宋体" w:eastAsia="宋体" w:hint="eastAsia"/>
                <w:spacing w:val="-5"/>
                <w:sz w:val="21"/>
              </w:rPr>
              <w:t>离区、污水处理构筑物、猪粪发酵间、有机肥车间、危</w:t>
            </w:r>
          </w:p>
          <w:p>
            <w:pPr>
              <w:pStyle w:val="TableParagraph"/>
              <w:spacing w:before="6"/>
              <w:ind w:left="112" w:right="-29"/>
              <w:jc w:val="left"/>
              <w:rPr>
                <w:rFonts w:ascii="宋体" w:eastAsia="宋体" w:hint="eastAsia"/>
                <w:sz w:val="21"/>
              </w:rPr>
            </w:pPr>
            <w:r>
              <w:rPr>
                <w:rFonts w:ascii="宋体" w:eastAsia="宋体" w:hint="eastAsia"/>
                <w:spacing w:val="-12"/>
                <w:sz w:val="21"/>
              </w:rPr>
              <w:t>废暂存间、无害化处理间等的防渗、防漏、防腐蚀措施。</w:t>
            </w:r>
          </w:p>
        </w:tc>
        <w:tc>
          <w:tcPr>
            <w:tcW w:w="2377" w:type="dxa"/>
            <w:tcBorders>
              <w:top w:val="single" w:sz="6" w:space="0" w:color="000000"/>
              <w:left w:val="single" w:sz="6" w:space="0" w:color="000000"/>
              <w:bottom w:val="single" w:sz="6" w:space="0" w:color="000000"/>
            </w:tcBorders>
          </w:tcPr>
          <w:p>
            <w:pPr>
              <w:pStyle w:val="TableParagraph"/>
              <w:spacing w:line="319" w:lineRule="auto" w:before="44"/>
              <w:ind w:left="114" w:right="76"/>
              <w:jc w:val="both"/>
              <w:rPr>
                <w:rFonts w:ascii="宋体" w:eastAsia="宋体" w:hint="eastAsia"/>
                <w:sz w:val="21"/>
              </w:rPr>
            </w:pPr>
            <w:r>
              <w:rPr>
                <w:rFonts w:ascii="宋体" w:eastAsia="宋体" w:hint="eastAsia"/>
                <w:spacing w:val="3"/>
                <w:sz w:val="21"/>
              </w:rPr>
              <w:t>纳管废水水质符合《污</w:t>
            </w:r>
            <w:r>
              <w:rPr>
                <w:rFonts w:ascii="宋体" w:eastAsia="宋体" w:hint="eastAsia"/>
                <w:spacing w:val="-4"/>
                <w:sz w:val="21"/>
              </w:rPr>
              <w:t>水综合排放标准》</w:t>
            </w:r>
            <w:r>
              <w:rPr>
                <w:rFonts w:ascii="宋体" w:eastAsia="宋体" w:hint="eastAsia"/>
                <w:spacing w:val="-7"/>
                <w:sz w:val="21"/>
              </w:rPr>
              <w:t>（</w:t>
            </w:r>
            <w:r>
              <w:rPr>
                <w:spacing w:val="-7"/>
                <w:sz w:val="21"/>
              </w:rPr>
              <w:t>GB </w:t>
            </w:r>
            <w:r>
              <w:rPr>
                <w:sz w:val="21"/>
              </w:rPr>
              <w:t>8978-1996</w:t>
            </w:r>
            <w:r>
              <w:rPr>
                <w:spacing w:val="-11"/>
                <w:sz w:val="21"/>
              </w:rPr>
              <w:t> </w:t>
            </w:r>
            <w:r>
              <w:rPr>
                <w:rFonts w:ascii="宋体" w:eastAsia="宋体" w:hint="eastAsia"/>
                <w:sz w:val="21"/>
              </w:rPr>
              <w:t>）</w:t>
            </w:r>
            <w:r>
              <w:rPr>
                <w:rFonts w:ascii="宋体" w:eastAsia="宋体" w:hint="eastAsia"/>
                <w:spacing w:val="6"/>
                <w:sz w:val="21"/>
              </w:rPr>
              <w:t> 三级标准</w:t>
            </w:r>
          </w:p>
          <w:p>
            <w:pPr>
              <w:pStyle w:val="TableParagraph"/>
              <w:spacing w:line="319" w:lineRule="auto" w:before="4"/>
              <w:ind w:left="114" w:right="77"/>
              <w:jc w:val="both"/>
              <w:rPr>
                <w:rFonts w:ascii="宋体" w:eastAsia="宋体" w:hint="eastAsia"/>
                <w:sz w:val="21"/>
              </w:rPr>
            </w:pPr>
            <w:r>
              <w:rPr>
                <w:rFonts w:ascii="宋体" w:eastAsia="宋体" w:hint="eastAsia"/>
                <w:spacing w:val="6"/>
                <w:sz w:val="21"/>
              </w:rPr>
              <w:t>（</w:t>
            </w:r>
            <w:r>
              <w:rPr>
                <w:rFonts w:ascii="宋体" w:eastAsia="宋体" w:hint="eastAsia"/>
                <w:spacing w:val="2"/>
                <w:sz w:val="21"/>
              </w:rPr>
              <w:t>氨氮、总磷、粪大肠菌群数符合《浙江省畜禽养殖业污染物排放标</w:t>
            </w:r>
          </w:p>
          <w:p>
            <w:pPr>
              <w:pStyle w:val="TableParagraph"/>
              <w:spacing w:before="2"/>
              <w:ind w:left="114" w:right="-29"/>
              <w:jc w:val="left"/>
              <w:rPr>
                <w:rFonts w:ascii="宋体" w:eastAsia="宋体" w:hint="eastAsia"/>
                <w:sz w:val="21"/>
              </w:rPr>
            </w:pPr>
            <w:r>
              <w:rPr>
                <w:rFonts w:ascii="宋体" w:eastAsia="宋体" w:hint="eastAsia"/>
                <w:spacing w:val="-104"/>
                <w:w w:val="100"/>
                <w:sz w:val="21"/>
              </w:rPr>
              <w:t>准》</w:t>
            </w:r>
            <w:r>
              <w:rPr>
                <w:rFonts w:ascii="宋体" w:eastAsia="宋体" w:hint="eastAsia"/>
                <w:spacing w:val="-3"/>
                <w:w w:val="100"/>
                <w:sz w:val="21"/>
              </w:rPr>
              <w:t>（</w:t>
            </w:r>
            <w:r>
              <w:rPr>
                <w:spacing w:val="-2"/>
                <w:w w:val="100"/>
                <w:sz w:val="21"/>
              </w:rPr>
              <w:t>D</w:t>
            </w:r>
            <w:r>
              <w:rPr>
                <w:w w:val="100"/>
                <w:sz w:val="21"/>
              </w:rPr>
              <w:t>B</w:t>
            </w:r>
            <w:r>
              <w:rPr>
                <w:sz w:val="21"/>
              </w:rPr>
              <w:t> </w:t>
            </w:r>
            <w:r>
              <w:rPr>
                <w:w w:val="100"/>
                <w:sz w:val="21"/>
              </w:rPr>
              <w:t>33</w:t>
            </w:r>
            <w:r>
              <w:rPr>
                <w:spacing w:val="-2"/>
                <w:w w:val="100"/>
                <w:sz w:val="21"/>
              </w:rPr>
              <w:t>/</w:t>
            </w:r>
            <w:r>
              <w:rPr>
                <w:spacing w:val="-3"/>
                <w:w w:val="100"/>
                <w:sz w:val="21"/>
              </w:rPr>
              <w:t>5</w:t>
            </w:r>
            <w:r>
              <w:rPr>
                <w:w w:val="100"/>
                <w:sz w:val="21"/>
              </w:rPr>
              <w:t>93</w:t>
            </w:r>
            <w:r>
              <w:rPr>
                <w:spacing w:val="-1"/>
                <w:w w:val="100"/>
                <w:sz w:val="21"/>
              </w:rPr>
              <w:t>-</w:t>
            </w:r>
            <w:r>
              <w:rPr>
                <w:w w:val="100"/>
                <w:sz w:val="21"/>
              </w:rPr>
              <w:t>2</w:t>
            </w:r>
            <w:r>
              <w:rPr>
                <w:spacing w:val="-3"/>
                <w:w w:val="100"/>
                <w:sz w:val="21"/>
              </w:rPr>
              <w:t>0</w:t>
            </w:r>
            <w:r>
              <w:rPr>
                <w:w w:val="100"/>
                <w:sz w:val="21"/>
              </w:rPr>
              <w:t>05</w:t>
            </w:r>
            <w:r>
              <w:rPr>
                <w:rFonts w:ascii="宋体" w:eastAsia="宋体" w:hint="eastAsia"/>
                <w:spacing w:val="-106"/>
                <w:w w:val="100"/>
                <w:sz w:val="21"/>
              </w:rPr>
              <w:t>）</w:t>
            </w:r>
            <w:r>
              <w:rPr>
                <w:rFonts w:ascii="宋体" w:eastAsia="宋体" w:hint="eastAsia"/>
                <w:spacing w:val="-104"/>
                <w:w w:val="100"/>
                <w:sz w:val="21"/>
              </w:rPr>
              <w:t>）</w:t>
            </w:r>
            <w:r>
              <w:rPr>
                <w:rFonts w:ascii="宋体" w:eastAsia="宋体" w:hint="eastAsia"/>
                <w:spacing w:val="-12"/>
                <w:w w:val="100"/>
                <w:sz w:val="21"/>
              </w:rPr>
              <w:t>。</w:t>
            </w:r>
          </w:p>
        </w:tc>
      </w:tr>
      <w:tr>
        <w:trPr>
          <w:trHeight w:val="1792"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4"/>
              <w:jc w:val="left"/>
              <w:rPr>
                <w:rFonts w:ascii="宋体"/>
                <w:b/>
                <w:sz w:val="20"/>
              </w:rPr>
            </w:pPr>
          </w:p>
          <w:p>
            <w:pPr>
              <w:pStyle w:val="TableParagraph"/>
              <w:spacing w:before="0"/>
              <w:ind w:left="126"/>
              <w:jc w:val="left"/>
              <w:rPr>
                <w:rFonts w:ascii="宋体" w:eastAsia="宋体" w:hint="eastAsia"/>
                <w:sz w:val="21"/>
              </w:rPr>
            </w:pPr>
            <w:r>
              <w:rPr>
                <w:rFonts w:ascii="宋体" w:eastAsia="宋体" w:hint="eastAsia"/>
                <w:sz w:val="21"/>
              </w:rPr>
              <w:t>废气</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19"/>
              </w:rPr>
            </w:pPr>
          </w:p>
          <w:p>
            <w:pPr>
              <w:pStyle w:val="TableParagraph"/>
              <w:spacing w:before="0"/>
              <w:ind w:left="131" w:right="106"/>
              <w:rPr>
                <w:rFonts w:ascii="宋体" w:eastAsia="宋体" w:hint="eastAsia"/>
                <w:sz w:val="21"/>
              </w:rPr>
            </w:pPr>
            <w:r>
              <w:rPr>
                <w:rFonts w:ascii="宋体" w:eastAsia="宋体" w:hint="eastAsia"/>
                <w:sz w:val="21"/>
              </w:rPr>
              <w:t>猪舍臭气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29"/>
              <w:jc w:val="left"/>
              <w:rPr>
                <w:rFonts w:ascii="宋体" w:hAnsi="宋体" w:eastAsia="宋体" w:hint="eastAsia"/>
                <w:sz w:val="21"/>
              </w:rPr>
            </w:pPr>
            <w:r>
              <w:rPr>
                <w:rFonts w:ascii="宋体" w:hAnsi="宋体" w:eastAsia="宋体" w:hint="eastAsia"/>
                <w:spacing w:val="-13"/>
                <w:sz w:val="21"/>
              </w:rPr>
              <w:t>①加强猪舍排风；②科学合理配置日粮，改善日粮结构， </w:t>
            </w:r>
            <w:r>
              <w:rPr>
                <w:rFonts w:ascii="宋体" w:hAnsi="宋体" w:eastAsia="宋体" w:hint="eastAsia"/>
                <w:spacing w:val="-7"/>
                <w:sz w:val="21"/>
              </w:rPr>
              <w:t>提高饲料利用率，减少粪便及臭气的产生；③每天及时</w:t>
            </w:r>
            <w:r>
              <w:rPr>
                <w:rFonts w:ascii="宋体" w:hAnsi="宋体" w:eastAsia="宋体" w:hint="eastAsia"/>
                <w:spacing w:val="-14"/>
                <w:sz w:val="21"/>
              </w:rPr>
              <w:t>清理粪污，保持舍内清洁卫生、干燥；④定期进行消毒， 每天喷洒除臭剂；⑤合理设置猪舍结构，控制饲养密度；</w:t>
            </w:r>
          </w:p>
          <w:p>
            <w:pPr>
              <w:pStyle w:val="TableParagraph"/>
              <w:spacing w:before="4"/>
              <w:ind w:left="112"/>
              <w:jc w:val="left"/>
              <w:rPr>
                <w:rFonts w:ascii="宋体" w:hAnsi="宋体" w:eastAsia="宋体" w:hint="eastAsia"/>
                <w:sz w:val="21"/>
              </w:rPr>
            </w:pPr>
            <w:r>
              <w:rPr>
                <w:rFonts w:ascii="宋体" w:hAnsi="宋体" w:eastAsia="宋体" w:hint="eastAsia"/>
                <w:sz w:val="21"/>
              </w:rPr>
              <w:t>⑥臭气经舍外喷淋过滤装置处理后排放；⑦加强绿化。</w:t>
            </w:r>
          </w:p>
        </w:tc>
        <w:tc>
          <w:tcPr>
            <w:tcW w:w="2377" w:type="dxa"/>
            <w:vMerge w:val="restart"/>
            <w:tcBorders>
              <w:top w:val="single" w:sz="6" w:space="0" w:color="000000"/>
              <w:left w:val="single" w:sz="6" w:space="0" w:color="000000"/>
              <w:bottom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line="319" w:lineRule="auto" w:before="195"/>
              <w:ind w:left="114" w:right="-29"/>
              <w:jc w:val="both"/>
              <w:rPr>
                <w:rFonts w:ascii="宋体" w:eastAsia="宋体" w:hint="eastAsia"/>
                <w:sz w:val="21"/>
              </w:rPr>
            </w:pPr>
            <w:r>
              <w:rPr>
                <w:position w:val="2"/>
                <w:sz w:val="21"/>
              </w:rPr>
              <w:t>NH</w:t>
            </w:r>
            <w:r>
              <w:rPr>
                <w:sz w:val="14"/>
              </w:rPr>
              <w:t>3</w:t>
            </w:r>
            <w:r>
              <w:rPr>
                <w:rFonts w:ascii="宋体" w:eastAsia="宋体" w:hint="eastAsia"/>
                <w:spacing w:val="-77"/>
                <w:position w:val="2"/>
                <w:sz w:val="21"/>
              </w:rPr>
              <w:t>、</w:t>
            </w:r>
            <w:r>
              <w:rPr>
                <w:position w:val="2"/>
                <w:sz w:val="21"/>
              </w:rPr>
              <w:t>H</w:t>
            </w:r>
            <w:r>
              <w:rPr>
                <w:sz w:val="14"/>
              </w:rPr>
              <w:t>2</w:t>
            </w:r>
            <w:r>
              <w:rPr>
                <w:position w:val="2"/>
                <w:sz w:val="21"/>
              </w:rPr>
              <w:t>S </w:t>
            </w:r>
            <w:r>
              <w:rPr>
                <w:rFonts w:ascii="宋体" w:eastAsia="宋体" w:hint="eastAsia"/>
                <w:spacing w:val="-3"/>
                <w:position w:val="2"/>
                <w:sz w:val="21"/>
              </w:rPr>
              <w:t>及有组织排放</w:t>
            </w:r>
            <w:r>
              <w:rPr>
                <w:rFonts w:ascii="宋体" w:eastAsia="宋体" w:hint="eastAsia"/>
                <w:spacing w:val="3"/>
                <w:sz w:val="21"/>
              </w:rPr>
              <w:t>臭气浓度执行《恶臭污</w:t>
            </w:r>
            <w:r>
              <w:rPr>
                <w:rFonts w:ascii="宋体" w:eastAsia="宋体" w:hint="eastAsia"/>
                <w:spacing w:val="21"/>
                <w:sz w:val="21"/>
              </w:rPr>
              <w:t>染物排放标准》</w:t>
            </w:r>
            <w:r>
              <w:rPr>
                <w:rFonts w:ascii="宋体" w:eastAsia="宋体" w:hint="eastAsia"/>
                <w:sz w:val="21"/>
              </w:rPr>
              <w:t>（</w:t>
            </w:r>
            <w:r>
              <w:rPr>
                <w:rFonts w:ascii="宋体" w:eastAsia="宋体" w:hint="eastAsia"/>
                <w:spacing w:val="-81"/>
                <w:sz w:val="21"/>
              </w:rPr>
              <w:t> </w:t>
            </w:r>
            <w:r>
              <w:rPr>
                <w:sz w:val="21"/>
              </w:rPr>
              <w:t>GB </w:t>
            </w:r>
            <w:r>
              <w:rPr>
                <w:spacing w:val="2"/>
                <w:sz w:val="21"/>
              </w:rPr>
              <w:t>14554-93</w:t>
            </w:r>
            <w:r>
              <w:rPr>
                <w:rFonts w:ascii="宋体" w:eastAsia="宋体" w:hint="eastAsia"/>
                <w:spacing w:val="2"/>
                <w:sz w:val="21"/>
              </w:rPr>
              <w:t>）</w:t>
            </w:r>
            <w:r>
              <w:rPr>
                <w:rFonts w:ascii="宋体" w:eastAsia="宋体" w:hint="eastAsia"/>
                <w:spacing w:val="11"/>
                <w:sz w:val="21"/>
              </w:rPr>
              <w:t>中的规定， </w:t>
            </w:r>
            <w:r>
              <w:rPr>
                <w:rFonts w:ascii="宋体" w:eastAsia="宋体" w:hint="eastAsia"/>
                <w:spacing w:val="3"/>
                <w:sz w:val="21"/>
              </w:rPr>
              <w:t>厂界无组织臭气浓度执行《畜禽养殖业污染物排 放 标 准 》 （ </w:t>
            </w:r>
            <w:r>
              <w:rPr>
                <w:spacing w:val="3"/>
                <w:sz w:val="21"/>
              </w:rPr>
              <w:t>DB </w:t>
            </w:r>
            <w:r>
              <w:rPr>
                <w:spacing w:val="-7"/>
                <w:sz w:val="21"/>
              </w:rPr>
              <w:t>33/593-2005</w:t>
            </w:r>
            <w:r>
              <w:rPr>
                <w:rFonts w:ascii="宋体" w:eastAsia="宋体" w:hint="eastAsia"/>
                <w:spacing w:val="-7"/>
                <w:sz w:val="21"/>
              </w:rPr>
              <w:t>）</w:t>
            </w:r>
            <w:r>
              <w:rPr>
                <w:rFonts w:ascii="宋体" w:eastAsia="宋体" w:hint="eastAsia"/>
                <w:spacing w:val="-6"/>
                <w:sz w:val="21"/>
              </w:rPr>
              <w:t>中的规定。</w:t>
            </w:r>
          </w:p>
        </w:tc>
      </w:tr>
      <w:tr>
        <w:trPr>
          <w:trHeight w:val="1795" w:hRule="atLeast"/>
        </w:trPr>
        <w:tc>
          <w:tcPr>
            <w:tcW w:w="677" w:type="dxa"/>
            <w:vMerge/>
            <w:tcBorders>
              <w:top w:val="nil"/>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7"/>
              <w:jc w:val="left"/>
              <w:rPr>
                <w:rFonts w:ascii="宋体"/>
                <w:b/>
                <w:sz w:val="25"/>
              </w:rPr>
            </w:pPr>
          </w:p>
          <w:p>
            <w:pPr>
              <w:pStyle w:val="TableParagraph"/>
              <w:spacing w:line="319" w:lineRule="auto" w:before="1"/>
              <w:ind w:left="253" w:right="122" w:hanging="104"/>
              <w:jc w:val="left"/>
              <w:rPr>
                <w:rFonts w:ascii="宋体" w:eastAsia="宋体" w:hint="eastAsia"/>
                <w:sz w:val="21"/>
              </w:rPr>
            </w:pPr>
            <w:r>
              <w:rPr>
                <w:rFonts w:ascii="宋体" w:eastAsia="宋体" w:hint="eastAsia"/>
                <w:sz w:val="21"/>
              </w:rPr>
              <w:t>粪污处理区臭气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6"/>
              <w:ind w:left="112" w:right="71"/>
              <w:jc w:val="both"/>
              <w:rPr>
                <w:rFonts w:ascii="宋体" w:hAnsi="宋体" w:eastAsia="宋体" w:hint="eastAsia"/>
                <w:sz w:val="21"/>
              </w:rPr>
            </w:pPr>
            <w:r>
              <w:rPr>
                <w:rFonts w:ascii="宋体" w:hAnsi="宋体" w:eastAsia="宋体" w:hint="eastAsia"/>
                <w:spacing w:val="-4"/>
                <w:sz w:val="21"/>
              </w:rPr>
              <w:t>对污水处理站固液分离间、集水池、调节池、污泥池、</w:t>
            </w:r>
            <w:r>
              <w:rPr>
                <w:rFonts w:ascii="宋体" w:hAnsi="宋体" w:eastAsia="宋体" w:hint="eastAsia"/>
                <w:spacing w:val="-5"/>
                <w:sz w:val="21"/>
              </w:rPr>
              <w:t>生化物化处理池等构筑物加盖集气，对固液分离间、猪粪投料间、有机肥仓库</w:t>
            </w:r>
            <w:r>
              <w:rPr>
                <w:rFonts w:ascii="宋体" w:hAnsi="宋体" w:eastAsia="宋体" w:hint="eastAsia"/>
                <w:spacing w:val="-3"/>
                <w:sz w:val="21"/>
              </w:rPr>
              <w:t>（</w:t>
            </w:r>
            <w:r>
              <w:rPr>
                <w:rFonts w:ascii="宋体" w:hAnsi="宋体" w:eastAsia="宋体" w:hint="eastAsia"/>
                <w:spacing w:val="-2"/>
                <w:sz w:val="21"/>
              </w:rPr>
              <w:t>含无害化处理间</w:t>
            </w:r>
            <w:r>
              <w:rPr>
                <w:rFonts w:ascii="宋体" w:hAnsi="宋体" w:eastAsia="宋体" w:hint="eastAsia"/>
                <w:spacing w:val="-8"/>
                <w:sz w:val="21"/>
              </w:rPr>
              <w:t>）</w:t>
            </w:r>
            <w:r>
              <w:rPr>
                <w:rFonts w:ascii="宋体" w:hAnsi="宋体" w:eastAsia="宋体" w:hint="eastAsia"/>
                <w:spacing w:val="-3"/>
                <w:sz w:val="21"/>
              </w:rPr>
              <w:t>进行整体负</w:t>
            </w:r>
            <w:r>
              <w:rPr>
                <w:rFonts w:ascii="宋体" w:hAnsi="宋体" w:eastAsia="宋体" w:hint="eastAsia"/>
                <w:spacing w:val="-6"/>
                <w:sz w:val="21"/>
              </w:rPr>
              <w:t>压集气，上述废气经收集后引至 </w:t>
            </w:r>
            <w:r>
              <w:rPr>
                <w:sz w:val="21"/>
              </w:rPr>
              <w:t>1 </w:t>
            </w:r>
            <w:r>
              <w:rPr>
                <w:rFonts w:ascii="宋体" w:hAnsi="宋体" w:eastAsia="宋体" w:hint="eastAsia"/>
                <w:sz w:val="21"/>
              </w:rPr>
              <w:t>套</w:t>
            </w:r>
            <w:r>
              <w:rPr>
                <w:spacing w:val="-3"/>
                <w:sz w:val="21"/>
              </w:rPr>
              <w:t>“</w:t>
            </w:r>
            <w:r>
              <w:rPr>
                <w:rFonts w:ascii="宋体" w:hAnsi="宋体" w:eastAsia="宋体" w:hint="eastAsia"/>
                <w:spacing w:val="-3"/>
                <w:sz w:val="21"/>
              </w:rPr>
              <w:t>二级喷淋装置</w:t>
            </w:r>
            <w:r>
              <w:rPr>
                <w:sz w:val="21"/>
              </w:rPr>
              <w:t>”</w:t>
            </w:r>
            <w:r>
              <w:rPr>
                <w:rFonts w:ascii="宋体" w:hAnsi="宋体" w:eastAsia="宋体" w:hint="eastAsia"/>
                <w:sz w:val="21"/>
              </w:rPr>
              <w:t>处</w:t>
            </w:r>
          </w:p>
          <w:p>
            <w:pPr>
              <w:pStyle w:val="TableParagraph"/>
              <w:spacing w:before="4"/>
              <w:ind w:left="112"/>
              <w:jc w:val="both"/>
              <w:rPr>
                <w:rFonts w:ascii="宋体" w:eastAsia="宋体" w:hint="eastAsia"/>
                <w:sz w:val="21"/>
              </w:rPr>
            </w:pPr>
            <w:r>
              <w:rPr>
                <w:rFonts w:ascii="宋体" w:eastAsia="宋体" w:hint="eastAsia"/>
                <w:spacing w:val="-8"/>
                <w:sz w:val="21"/>
              </w:rPr>
              <w:t>理，尾气由对应的 </w:t>
            </w:r>
            <w:r>
              <w:rPr>
                <w:sz w:val="21"/>
              </w:rPr>
              <w:t>15m </w:t>
            </w:r>
            <w:r>
              <w:rPr>
                <w:rFonts w:ascii="宋体" w:eastAsia="宋体" w:hint="eastAsia"/>
                <w:spacing w:val="-3"/>
                <w:sz w:val="21"/>
              </w:rPr>
              <w:t>高排气筒</w:t>
            </w:r>
            <w:r>
              <w:rPr>
                <w:rFonts w:ascii="宋体" w:eastAsia="宋体" w:hint="eastAsia"/>
                <w:sz w:val="21"/>
              </w:rPr>
              <w:t>（</w:t>
            </w:r>
            <w:r>
              <w:rPr>
                <w:sz w:val="21"/>
              </w:rPr>
              <w:t>DA001</w:t>
            </w:r>
            <w:r>
              <w:rPr>
                <w:rFonts w:ascii="宋体" w:eastAsia="宋体" w:hint="eastAsia"/>
                <w:sz w:val="21"/>
              </w:rPr>
              <w:t>）</w:t>
            </w:r>
            <w:r>
              <w:rPr>
                <w:rFonts w:ascii="宋体" w:eastAsia="宋体" w:hint="eastAsia"/>
                <w:spacing w:val="-3"/>
                <w:sz w:val="21"/>
              </w:rPr>
              <w:t>高空排放。</w:t>
            </w:r>
          </w:p>
        </w:tc>
        <w:tc>
          <w:tcPr>
            <w:tcW w:w="2377" w:type="dxa"/>
            <w:vMerge/>
            <w:tcBorders>
              <w:top w:val="nil"/>
              <w:left w:val="single" w:sz="6" w:space="0" w:color="000000"/>
              <w:bottom w:val="single" w:sz="6" w:space="0" w:color="000000"/>
            </w:tcBorders>
          </w:tcPr>
          <w:p>
            <w:pPr>
              <w:rPr>
                <w:sz w:val="2"/>
                <w:szCs w:val="2"/>
              </w:rPr>
            </w:pPr>
          </w:p>
        </w:tc>
      </w:tr>
      <w:tr>
        <w:trPr>
          <w:trHeight w:val="716" w:hRule="atLeast"/>
        </w:trPr>
        <w:tc>
          <w:tcPr>
            <w:tcW w:w="677" w:type="dxa"/>
            <w:vMerge/>
            <w:tcBorders>
              <w:top w:val="nil"/>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44"/>
              <w:ind w:left="131" w:right="106"/>
              <w:rPr>
                <w:rFonts w:ascii="宋体" w:eastAsia="宋体" w:hint="eastAsia"/>
                <w:sz w:val="21"/>
              </w:rPr>
            </w:pPr>
            <w:r>
              <w:rPr>
                <w:rFonts w:ascii="宋体" w:eastAsia="宋体" w:hint="eastAsia"/>
                <w:sz w:val="21"/>
              </w:rPr>
              <w:t>猪粪发酵</w:t>
            </w:r>
          </w:p>
          <w:p>
            <w:pPr>
              <w:pStyle w:val="TableParagraph"/>
              <w:spacing w:before="91"/>
              <w:ind w:left="129" w:right="106"/>
              <w:rPr>
                <w:rFonts w:ascii="宋体" w:eastAsia="宋体" w:hint="eastAsia"/>
                <w:sz w:val="21"/>
              </w:rPr>
            </w:pPr>
            <w:r>
              <w:rPr>
                <w:rFonts w:ascii="宋体" w:eastAsia="宋体" w:hint="eastAsia"/>
                <w:sz w:val="21"/>
              </w:rPr>
              <w:t>臭气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before="44"/>
              <w:ind w:left="112"/>
              <w:jc w:val="left"/>
              <w:rPr>
                <w:sz w:val="21"/>
              </w:rPr>
            </w:pPr>
            <w:r>
              <w:rPr>
                <w:rFonts w:ascii="宋体" w:eastAsia="宋体" w:hint="eastAsia"/>
                <w:sz w:val="21"/>
              </w:rPr>
              <w:t>发酵罐臭气经设备配套的喷淋装置处理后由对应的</w:t>
            </w:r>
            <w:r>
              <w:rPr>
                <w:sz w:val="21"/>
              </w:rPr>
              <w:t>15m</w:t>
            </w:r>
          </w:p>
          <w:p>
            <w:pPr>
              <w:pStyle w:val="TableParagraph"/>
              <w:spacing w:before="91"/>
              <w:ind w:left="112"/>
              <w:jc w:val="left"/>
              <w:rPr>
                <w:rFonts w:ascii="宋体" w:eastAsia="宋体" w:hint="eastAsia"/>
                <w:sz w:val="21"/>
              </w:rPr>
            </w:pPr>
            <w:r>
              <w:rPr>
                <w:rFonts w:ascii="宋体" w:eastAsia="宋体" w:hint="eastAsia"/>
                <w:sz w:val="21"/>
              </w:rPr>
              <w:t>高排气筒（</w:t>
            </w:r>
            <w:r>
              <w:rPr>
                <w:sz w:val="21"/>
              </w:rPr>
              <w:t>DA002-1</w:t>
            </w:r>
            <w:r>
              <w:rPr>
                <w:rFonts w:ascii="宋体" w:eastAsia="宋体" w:hint="eastAsia"/>
                <w:sz w:val="21"/>
              </w:rPr>
              <w:t>、</w:t>
            </w:r>
            <w:r>
              <w:rPr>
                <w:sz w:val="21"/>
              </w:rPr>
              <w:t>DA002-2</w:t>
            </w:r>
            <w:r>
              <w:rPr>
                <w:rFonts w:ascii="宋体" w:eastAsia="宋体" w:hint="eastAsia"/>
                <w:sz w:val="21"/>
              </w:rPr>
              <w:t>，共 </w:t>
            </w:r>
            <w:r>
              <w:rPr>
                <w:sz w:val="21"/>
              </w:rPr>
              <w:t>2 </w:t>
            </w:r>
            <w:r>
              <w:rPr>
                <w:rFonts w:ascii="宋体" w:eastAsia="宋体" w:hint="eastAsia"/>
                <w:sz w:val="21"/>
              </w:rPr>
              <w:t>个）排放。</w:t>
            </w:r>
          </w:p>
        </w:tc>
        <w:tc>
          <w:tcPr>
            <w:tcW w:w="2377" w:type="dxa"/>
            <w:vMerge/>
            <w:tcBorders>
              <w:top w:val="nil"/>
              <w:left w:val="single" w:sz="6" w:space="0" w:color="000000"/>
              <w:bottom w:val="single" w:sz="6" w:space="0" w:color="000000"/>
            </w:tcBorders>
          </w:tcPr>
          <w:p>
            <w:pPr>
              <w:rPr>
                <w:sz w:val="2"/>
                <w:szCs w:val="2"/>
              </w:rPr>
            </w:pPr>
          </w:p>
        </w:tc>
      </w:tr>
      <w:tr>
        <w:trPr>
          <w:trHeight w:val="1077" w:hRule="atLeast"/>
        </w:trPr>
        <w:tc>
          <w:tcPr>
            <w:tcW w:w="677" w:type="dxa"/>
            <w:vMerge/>
            <w:tcBorders>
              <w:top w:val="nil"/>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line="321" w:lineRule="auto" w:before="0"/>
              <w:ind w:left="253" w:right="122" w:hanging="104"/>
              <w:jc w:val="left"/>
              <w:rPr>
                <w:rFonts w:ascii="宋体" w:eastAsia="宋体" w:hint="eastAsia"/>
                <w:sz w:val="21"/>
              </w:rPr>
            </w:pPr>
            <w:r>
              <w:rPr>
                <w:rFonts w:ascii="宋体" w:eastAsia="宋体" w:hint="eastAsia"/>
                <w:sz w:val="21"/>
              </w:rPr>
              <w:t>无害化处理废气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6"/>
              <w:ind w:left="112" w:right="70"/>
              <w:jc w:val="left"/>
              <w:rPr>
                <w:rFonts w:ascii="宋体" w:eastAsia="宋体" w:hint="eastAsia"/>
                <w:sz w:val="21"/>
              </w:rPr>
            </w:pPr>
            <w:r>
              <w:rPr>
                <w:rFonts w:ascii="宋体" w:eastAsia="宋体" w:hint="eastAsia"/>
                <w:sz w:val="21"/>
              </w:rPr>
              <w:t>要求废气收集管线与无害化处理机排气口实行硬链接， 臭气引至配套的喷淋装置处理后由对应的 </w:t>
            </w:r>
            <w:r>
              <w:rPr>
                <w:sz w:val="21"/>
              </w:rPr>
              <w:t>15m </w:t>
            </w:r>
            <w:r>
              <w:rPr>
                <w:rFonts w:ascii="宋体" w:eastAsia="宋体" w:hint="eastAsia"/>
                <w:sz w:val="21"/>
              </w:rPr>
              <w:t>高排气</w:t>
            </w:r>
          </w:p>
          <w:p>
            <w:pPr>
              <w:pStyle w:val="TableParagraph"/>
              <w:spacing w:before="2"/>
              <w:ind w:left="112"/>
              <w:jc w:val="left"/>
              <w:rPr>
                <w:rFonts w:ascii="宋体" w:eastAsia="宋体" w:hint="eastAsia"/>
                <w:sz w:val="21"/>
              </w:rPr>
            </w:pPr>
            <w:r>
              <w:rPr>
                <w:rFonts w:ascii="宋体" w:eastAsia="宋体" w:hint="eastAsia"/>
                <w:sz w:val="21"/>
              </w:rPr>
              <w:t>筒（</w:t>
            </w:r>
            <w:r>
              <w:rPr>
                <w:sz w:val="21"/>
              </w:rPr>
              <w:t>DA003-1</w:t>
            </w:r>
            <w:r>
              <w:rPr>
                <w:rFonts w:ascii="宋体" w:eastAsia="宋体" w:hint="eastAsia"/>
                <w:sz w:val="21"/>
              </w:rPr>
              <w:t>、</w:t>
            </w:r>
            <w:r>
              <w:rPr>
                <w:sz w:val="21"/>
              </w:rPr>
              <w:t>DA003-2</w:t>
            </w:r>
            <w:r>
              <w:rPr>
                <w:rFonts w:ascii="宋体" w:eastAsia="宋体" w:hint="eastAsia"/>
                <w:sz w:val="21"/>
              </w:rPr>
              <w:t>，共 </w:t>
            </w:r>
            <w:r>
              <w:rPr>
                <w:sz w:val="21"/>
              </w:rPr>
              <w:t>2 </w:t>
            </w:r>
            <w:r>
              <w:rPr>
                <w:rFonts w:ascii="宋体" w:eastAsia="宋体" w:hint="eastAsia"/>
                <w:sz w:val="21"/>
              </w:rPr>
              <w:t>个）排放。</w:t>
            </w:r>
          </w:p>
        </w:tc>
        <w:tc>
          <w:tcPr>
            <w:tcW w:w="2377" w:type="dxa"/>
            <w:vMerge/>
            <w:tcBorders>
              <w:top w:val="nil"/>
              <w:left w:val="single" w:sz="6" w:space="0" w:color="000000"/>
              <w:bottom w:val="single" w:sz="6" w:space="0" w:color="000000"/>
            </w:tcBorders>
          </w:tcPr>
          <w:p>
            <w:pPr>
              <w:rPr>
                <w:sz w:val="2"/>
                <w:szCs w:val="2"/>
              </w:rPr>
            </w:pPr>
          </w:p>
        </w:tc>
      </w:tr>
      <w:tr>
        <w:trPr>
          <w:trHeight w:val="1435" w:hRule="atLeast"/>
        </w:trPr>
        <w:tc>
          <w:tcPr>
            <w:tcW w:w="677" w:type="dxa"/>
            <w:vMerge/>
            <w:tcBorders>
              <w:top w:val="nil"/>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line="319" w:lineRule="auto" w:before="148"/>
              <w:ind w:left="359" w:right="125" w:hanging="209"/>
              <w:jc w:val="left"/>
              <w:rPr>
                <w:rFonts w:ascii="宋体" w:eastAsia="宋体" w:hint="eastAsia"/>
                <w:sz w:val="21"/>
              </w:rPr>
            </w:pPr>
            <w:r>
              <w:rPr>
                <w:rFonts w:ascii="宋体" w:eastAsia="宋体" w:hint="eastAsia"/>
                <w:sz w:val="21"/>
              </w:rPr>
              <w:t>沼气锅炉废气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31"/>
              </w:rPr>
            </w:pPr>
          </w:p>
          <w:p>
            <w:pPr>
              <w:pStyle w:val="TableParagraph"/>
              <w:spacing w:line="319" w:lineRule="auto" w:before="0"/>
              <w:ind w:left="112" w:right="71"/>
              <w:jc w:val="left"/>
              <w:rPr>
                <w:rFonts w:ascii="宋体" w:eastAsia="宋体" w:hint="eastAsia"/>
                <w:sz w:val="21"/>
              </w:rPr>
            </w:pPr>
            <w:r>
              <w:rPr>
                <w:rFonts w:ascii="宋体" w:eastAsia="宋体" w:hint="eastAsia"/>
                <w:sz w:val="21"/>
              </w:rPr>
              <w:t>沼气经脱水脱硫预处理后供热水锅炉和食堂综合利用， 锅炉废气由 </w:t>
            </w:r>
            <w:r>
              <w:rPr>
                <w:sz w:val="21"/>
              </w:rPr>
              <w:t>8m </w:t>
            </w:r>
            <w:r>
              <w:rPr>
                <w:rFonts w:ascii="宋体" w:eastAsia="宋体" w:hint="eastAsia"/>
                <w:sz w:val="21"/>
              </w:rPr>
              <w:t>高排气筒（</w:t>
            </w:r>
            <w:r>
              <w:rPr>
                <w:sz w:val="21"/>
              </w:rPr>
              <w:t>DA004</w:t>
            </w:r>
            <w:r>
              <w:rPr>
                <w:rFonts w:ascii="宋体" w:eastAsia="宋体" w:hint="eastAsia"/>
                <w:sz w:val="21"/>
              </w:rPr>
              <w:t>）排放。</w:t>
            </w:r>
          </w:p>
        </w:tc>
        <w:tc>
          <w:tcPr>
            <w:tcW w:w="2377" w:type="dxa"/>
            <w:tcBorders>
              <w:top w:val="single" w:sz="6" w:space="0" w:color="000000"/>
              <w:left w:val="single" w:sz="6" w:space="0" w:color="000000"/>
              <w:bottom w:val="single" w:sz="6" w:space="0" w:color="000000"/>
            </w:tcBorders>
          </w:tcPr>
          <w:p>
            <w:pPr>
              <w:pStyle w:val="TableParagraph"/>
              <w:spacing w:line="321" w:lineRule="auto" w:before="44"/>
              <w:ind w:left="114" w:right="77"/>
              <w:jc w:val="left"/>
              <w:rPr>
                <w:rFonts w:ascii="宋体" w:eastAsia="宋体" w:hint="eastAsia"/>
                <w:sz w:val="21"/>
              </w:rPr>
            </w:pPr>
            <w:r>
              <w:rPr>
                <w:rFonts w:ascii="宋体" w:eastAsia="宋体" w:hint="eastAsia"/>
                <w:spacing w:val="2"/>
                <w:sz w:val="21"/>
              </w:rPr>
              <w:t>锅炉废气执行《锅炉大</w:t>
            </w:r>
            <w:r>
              <w:rPr>
                <w:rFonts w:ascii="宋体" w:eastAsia="宋体" w:hint="eastAsia"/>
                <w:spacing w:val="25"/>
                <w:sz w:val="21"/>
              </w:rPr>
              <w:t>气污染物排放标准》</w:t>
            </w:r>
          </w:p>
          <w:p>
            <w:pPr>
              <w:pStyle w:val="TableParagraph"/>
              <w:spacing w:line="266" w:lineRule="exact" w:before="0"/>
              <w:ind w:left="114"/>
              <w:jc w:val="left"/>
              <w:rPr>
                <w:rFonts w:ascii="宋体" w:eastAsia="宋体" w:hint="eastAsia"/>
                <w:sz w:val="21"/>
              </w:rPr>
            </w:pPr>
            <w:r>
              <w:rPr>
                <w:rFonts w:ascii="宋体" w:eastAsia="宋体" w:hint="eastAsia"/>
                <w:w w:val="100"/>
                <w:sz w:val="21"/>
              </w:rPr>
              <w:t>（</w:t>
            </w:r>
            <w:r>
              <w:rPr>
                <w:spacing w:val="-2"/>
                <w:w w:val="100"/>
                <w:sz w:val="21"/>
              </w:rPr>
              <w:t>G</w:t>
            </w:r>
            <w:r>
              <w:rPr>
                <w:w w:val="100"/>
                <w:sz w:val="21"/>
              </w:rPr>
              <w:t>B</w:t>
            </w:r>
            <w:r>
              <w:rPr>
                <w:sz w:val="21"/>
              </w:rPr>
              <w:t> </w:t>
            </w:r>
            <w:r>
              <w:rPr>
                <w:spacing w:val="-3"/>
                <w:w w:val="100"/>
                <w:sz w:val="21"/>
              </w:rPr>
              <w:t>1</w:t>
            </w:r>
            <w:r>
              <w:rPr>
                <w:w w:val="100"/>
                <w:sz w:val="21"/>
              </w:rPr>
              <w:t>3271-</w:t>
            </w:r>
            <w:r>
              <w:rPr>
                <w:spacing w:val="-3"/>
                <w:sz w:val="21"/>
              </w:rPr>
              <w:t> </w:t>
            </w:r>
            <w:r>
              <w:rPr>
                <w:w w:val="100"/>
                <w:sz w:val="21"/>
              </w:rPr>
              <w:t>201</w:t>
            </w:r>
            <w:r>
              <w:rPr>
                <w:spacing w:val="-2"/>
                <w:w w:val="100"/>
                <w:sz w:val="21"/>
              </w:rPr>
              <w:t>4</w:t>
            </w:r>
            <w:r>
              <w:rPr>
                <w:rFonts w:ascii="宋体" w:eastAsia="宋体" w:hint="eastAsia"/>
                <w:spacing w:val="-92"/>
                <w:w w:val="100"/>
                <w:sz w:val="21"/>
              </w:rPr>
              <w:t>）</w:t>
            </w:r>
            <w:r>
              <w:rPr>
                <w:rFonts w:ascii="宋体" w:eastAsia="宋体" w:hint="eastAsia"/>
                <w:spacing w:val="-2"/>
                <w:w w:val="100"/>
                <w:sz w:val="21"/>
              </w:rPr>
              <w:t>中表</w:t>
            </w:r>
          </w:p>
          <w:p>
            <w:pPr>
              <w:pStyle w:val="TableParagraph"/>
              <w:spacing w:before="91"/>
              <w:ind w:left="114"/>
              <w:jc w:val="left"/>
              <w:rPr>
                <w:rFonts w:ascii="宋体" w:eastAsia="宋体" w:hint="eastAsia"/>
                <w:sz w:val="21"/>
              </w:rPr>
            </w:pPr>
            <w:r>
              <w:rPr>
                <w:sz w:val="21"/>
              </w:rPr>
              <w:t>3 </w:t>
            </w:r>
            <w:r>
              <w:rPr>
                <w:rFonts w:ascii="宋体" w:eastAsia="宋体" w:hint="eastAsia"/>
                <w:sz w:val="21"/>
              </w:rPr>
              <w:t>燃气锅炉的规定。</w:t>
            </w:r>
          </w:p>
        </w:tc>
      </w:tr>
      <w:tr>
        <w:trPr>
          <w:trHeight w:val="1077" w:hRule="atLeast"/>
        </w:trPr>
        <w:tc>
          <w:tcPr>
            <w:tcW w:w="677" w:type="dxa"/>
            <w:vMerge/>
            <w:tcBorders>
              <w:top w:val="nil"/>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31" w:right="106"/>
              <w:rPr>
                <w:rFonts w:ascii="宋体" w:eastAsia="宋体" w:hint="eastAsia"/>
                <w:sz w:val="21"/>
              </w:rPr>
            </w:pPr>
            <w:r>
              <w:rPr>
                <w:rFonts w:ascii="宋体" w:eastAsia="宋体" w:hint="eastAsia"/>
                <w:sz w:val="21"/>
              </w:rPr>
              <w:t>食堂油烟</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line="321" w:lineRule="auto" w:before="0"/>
              <w:ind w:left="112" w:right="41"/>
              <w:jc w:val="left"/>
              <w:rPr>
                <w:rFonts w:ascii="宋体" w:eastAsia="宋体" w:hint="eastAsia"/>
                <w:sz w:val="21"/>
              </w:rPr>
            </w:pPr>
            <w:r>
              <w:rPr>
                <w:rFonts w:ascii="宋体" w:eastAsia="宋体" w:hint="eastAsia"/>
                <w:sz w:val="21"/>
              </w:rPr>
              <w:t>经油烟净化装置处理后引至屋顶高空排放，要求净化效率不低于 </w:t>
            </w:r>
            <w:r>
              <w:rPr>
                <w:sz w:val="21"/>
              </w:rPr>
              <w:t>75%</w:t>
            </w:r>
            <w:r>
              <w:rPr>
                <w:rFonts w:ascii="宋体" w:eastAsia="宋体" w:hint="eastAsia"/>
                <w:sz w:val="21"/>
              </w:rPr>
              <w:t>。</w:t>
            </w:r>
          </w:p>
        </w:tc>
        <w:tc>
          <w:tcPr>
            <w:tcW w:w="2377" w:type="dxa"/>
            <w:tcBorders>
              <w:top w:val="single" w:sz="6" w:space="0" w:color="000000"/>
              <w:left w:val="single" w:sz="6" w:space="0" w:color="000000"/>
              <w:bottom w:val="single" w:sz="6" w:space="0" w:color="000000"/>
            </w:tcBorders>
          </w:tcPr>
          <w:p>
            <w:pPr>
              <w:pStyle w:val="TableParagraph"/>
              <w:spacing w:line="319" w:lineRule="auto" w:before="46"/>
              <w:ind w:left="114" w:right="76"/>
              <w:jc w:val="left"/>
              <w:rPr>
                <w:sz w:val="21"/>
              </w:rPr>
            </w:pPr>
            <w:r>
              <w:rPr>
                <w:rFonts w:ascii="宋体" w:eastAsia="宋体" w:hint="eastAsia"/>
                <w:spacing w:val="3"/>
                <w:sz w:val="21"/>
              </w:rPr>
              <w:t>排放浓度符合《饮食业</w:t>
            </w:r>
            <w:r>
              <w:rPr>
                <w:rFonts w:ascii="宋体" w:eastAsia="宋体" w:hint="eastAsia"/>
                <w:spacing w:val="21"/>
                <w:sz w:val="21"/>
              </w:rPr>
              <w:t>油烟排放标准》</w:t>
            </w:r>
            <w:r>
              <w:rPr>
                <w:rFonts w:ascii="宋体" w:eastAsia="宋体" w:hint="eastAsia"/>
                <w:sz w:val="21"/>
              </w:rPr>
              <w:t>（</w:t>
            </w:r>
            <w:r>
              <w:rPr>
                <w:rFonts w:ascii="宋体" w:eastAsia="宋体" w:hint="eastAsia"/>
                <w:spacing w:val="-76"/>
                <w:sz w:val="21"/>
              </w:rPr>
              <w:t> </w:t>
            </w:r>
            <w:r>
              <w:rPr>
                <w:spacing w:val="-8"/>
                <w:sz w:val="21"/>
              </w:rPr>
              <w:t>GB</w:t>
            </w:r>
          </w:p>
          <w:p>
            <w:pPr>
              <w:pStyle w:val="TableParagraph"/>
              <w:spacing w:before="2"/>
              <w:ind w:left="114"/>
              <w:jc w:val="left"/>
              <w:rPr>
                <w:rFonts w:ascii="宋体" w:eastAsia="宋体" w:hint="eastAsia"/>
                <w:sz w:val="21"/>
              </w:rPr>
            </w:pPr>
            <w:r>
              <w:rPr>
                <w:sz w:val="21"/>
              </w:rPr>
              <w:t>18483-2001</w:t>
            </w:r>
            <w:r>
              <w:rPr>
                <w:rFonts w:ascii="宋体" w:eastAsia="宋体" w:hint="eastAsia"/>
                <w:sz w:val="21"/>
              </w:rPr>
              <w:t>）。</w:t>
            </w:r>
          </w:p>
        </w:tc>
      </w:tr>
      <w:tr>
        <w:trPr>
          <w:trHeight w:val="1074" w:hRule="atLeast"/>
        </w:trPr>
        <w:tc>
          <w:tcPr>
            <w:tcW w:w="677" w:type="dxa"/>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147"/>
              <w:ind w:left="126"/>
              <w:jc w:val="left"/>
              <w:rPr>
                <w:rFonts w:ascii="宋体" w:eastAsia="宋体" w:hint="eastAsia"/>
                <w:sz w:val="21"/>
              </w:rPr>
            </w:pPr>
            <w:r>
              <w:rPr>
                <w:rFonts w:ascii="宋体" w:eastAsia="宋体" w:hint="eastAsia"/>
                <w:sz w:val="21"/>
              </w:rPr>
              <w:t>固废</w:t>
            </w:r>
          </w:p>
        </w:tc>
        <w:tc>
          <w:tcPr>
            <w:tcW w:w="1133" w:type="dxa"/>
            <w:tcBorders>
              <w:top w:val="single" w:sz="6" w:space="0" w:color="000000"/>
              <w:left w:val="single" w:sz="6" w:space="0" w:color="000000"/>
              <w:right w:val="single" w:sz="6" w:space="0" w:color="000000"/>
            </w:tcBorders>
          </w:tcPr>
          <w:p>
            <w:pPr>
              <w:pStyle w:val="TableParagraph"/>
              <w:spacing w:before="6"/>
              <w:jc w:val="left"/>
              <w:rPr>
                <w:rFonts w:ascii="宋体"/>
                <w:b/>
                <w:sz w:val="17"/>
              </w:rPr>
            </w:pPr>
          </w:p>
          <w:p>
            <w:pPr>
              <w:pStyle w:val="TableParagraph"/>
              <w:spacing w:line="321" w:lineRule="auto" w:before="0"/>
              <w:ind w:left="150" w:right="122"/>
              <w:jc w:val="left"/>
              <w:rPr>
                <w:rFonts w:ascii="宋体" w:eastAsia="宋体" w:hint="eastAsia"/>
                <w:sz w:val="21"/>
              </w:rPr>
            </w:pPr>
            <w:r>
              <w:rPr>
                <w:rFonts w:ascii="宋体" w:eastAsia="宋体" w:hint="eastAsia"/>
                <w:sz w:val="21"/>
              </w:rPr>
              <w:t>危险废物一般废物</w:t>
            </w:r>
          </w:p>
        </w:tc>
        <w:tc>
          <w:tcPr>
            <w:tcW w:w="5246" w:type="dxa"/>
            <w:tcBorders>
              <w:top w:val="single" w:sz="6" w:space="0" w:color="000000"/>
              <w:left w:val="single" w:sz="6" w:space="0" w:color="000000"/>
              <w:right w:val="single" w:sz="6" w:space="0" w:color="000000"/>
            </w:tcBorders>
          </w:tcPr>
          <w:p>
            <w:pPr>
              <w:pStyle w:val="TableParagraph"/>
              <w:spacing w:before="44"/>
              <w:ind w:left="112"/>
              <w:jc w:val="left"/>
              <w:rPr>
                <w:rFonts w:ascii="宋体" w:hAnsi="宋体" w:eastAsia="宋体" w:hint="eastAsia"/>
                <w:sz w:val="21"/>
              </w:rPr>
            </w:pPr>
            <w:r>
              <w:rPr>
                <w:rFonts w:ascii="宋体" w:hAnsi="宋体" w:eastAsia="宋体" w:hint="eastAsia"/>
                <w:spacing w:val="-4"/>
                <w:sz w:val="21"/>
              </w:rPr>
              <w:t>①发酵产物外运生产有机肥，一般废包装物收集后外卖</w:t>
            </w:r>
          </w:p>
          <w:p>
            <w:pPr>
              <w:pStyle w:val="TableParagraph"/>
              <w:spacing w:line="350" w:lineRule="atLeast" w:before="10"/>
              <w:ind w:left="112" w:right="71"/>
              <w:jc w:val="left"/>
              <w:rPr>
                <w:rFonts w:ascii="宋体" w:hAnsi="宋体" w:eastAsia="宋体" w:hint="eastAsia"/>
                <w:sz w:val="21"/>
              </w:rPr>
            </w:pPr>
            <w:r>
              <w:rPr>
                <w:rFonts w:ascii="宋体" w:hAnsi="宋体" w:eastAsia="宋体" w:hint="eastAsia"/>
                <w:spacing w:val="-4"/>
                <w:sz w:val="21"/>
              </w:rPr>
              <w:t>综合利用，废脱硫剂由设备供应商更换回收，生活垃圾由环卫部门统一清运；②危化品废包装物、废矿物油、</w:t>
            </w:r>
          </w:p>
        </w:tc>
        <w:tc>
          <w:tcPr>
            <w:tcW w:w="2377" w:type="dxa"/>
            <w:tcBorders>
              <w:top w:val="single" w:sz="6" w:space="0" w:color="000000"/>
              <w:left w:val="single" w:sz="6" w:space="0" w:color="000000"/>
            </w:tcBorders>
          </w:tcPr>
          <w:p>
            <w:pPr>
              <w:pStyle w:val="TableParagraph"/>
              <w:spacing w:before="44"/>
              <w:ind w:left="114"/>
              <w:jc w:val="left"/>
              <w:rPr>
                <w:rFonts w:ascii="宋体" w:eastAsia="宋体" w:hint="eastAsia"/>
                <w:sz w:val="21"/>
              </w:rPr>
            </w:pPr>
            <w:r>
              <w:rPr>
                <w:rFonts w:ascii="宋体" w:eastAsia="宋体" w:hint="eastAsia"/>
                <w:spacing w:val="3"/>
                <w:sz w:val="21"/>
              </w:rPr>
              <w:t>符合《一般工业固体废</w:t>
            </w:r>
          </w:p>
          <w:p>
            <w:pPr>
              <w:pStyle w:val="TableParagraph"/>
              <w:spacing w:line="350" w:lineRule="atLeast" w:before="10"/>
              <w:ind w:left="114" w:right="76"/>
              <w:jc w:val="left"/>
              <w:rPr>
                <w:sz w:val="21"/>
              </w:rPr>
            </w:pPr>
            <w:r>
              <w:rPr>
                <w:rFonts w:ascii="宋体" w:eastAsia="宋体" w:hint="eastAsia"/>
                <w:spacing w:val="3"/>
                <w:sz w:val="21"/>
              </w:rPr>
              <w:t>弃物贮存和填埋污染控</w:t>
            </w:r>
            <w:r>
              <w:rPr>
                <w:rFonts w:ascii="宋体" w:eastAsia="宋体" w:hint="eastAsia"/>
                <w:spacing w:val="28"/>
                <w:sz w:val="21"/>
              </w:rPr>
              <w:t>制 标 准 》 </w:t>
            </w:r>
            <w:r>
              <w:rPr>
                <w:rFonts w:ascii="宋体" w:eastAsia="宋体" w:hint="eastAsia"/>
                <w:sz w:val="21"/>
              </w:rPr>
              <w:t>（</w:t>
            </w:r>
            <w:r>
              <w:rPr>
                <w:rFonts w:ascii="宋体" w:eastAsia="宋体" w:hint="eastAsia"/>
                <w:spacing w:val="57"/>
                <w:sz w:val="21"/>
              </w:rPr>
              <w:t> </w:t>
            </w:r>
            <w:r>
              <w:rPr>
                <w:spacing w:val="-9"/>
                <w:sz w:val="21"/>
              </w:rPr>
              <w:t>GB</w:t>
            </w:r>
          </w:p>
        </w:tc>
      </w:tr>
    </w:tbl>
    <w:p>
      <w:pPr>
        <w:spacing w:after="0" w:line="350" w:lineRule="atLeast"/>
        <w:jc w:val="left"/>
        <w:rPr>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133"/>
        <w:gridCol w:w="5246"/>
        <w:gridCol w:w="2377"/>
      </w:tblGrid>
      <w:tr>
        <w:trPr>
          <w:trHeight w:val="359" w:hRule="atLeast"/>
        </w:trPr>
        <w:tc>
          <w:tcPr>
            <w:tcW w:w="677" w:type="dxa"/>
            <w:tcBorders>
              <w:bottom w:val="single" w:sz="6" w:space="0" w:color="000000"/>
              <w:right w:val="single" w:sz="6" w:space="0" w:color="000000"/>
            </w:tcBorders>
          </w:tcPr>
          <w:p>
            <w:pPr>
              <w:pStyle w:val="TableParagraph"/>
              <w:spacing w:before="46"/>
              <w:ind w:left="126"/>
              <w:jc w:val="left"/>
              <w:rPr>
                <w:rFonts w:ascii="宋体" w:eastAsia="宋体" w:hint="eastAsia"/>
                <w:b/>
                <w:sz w:val="21"/>
              </w:rPr>
            </w:pPr>
            <w:r>
              <w:rPr>
                <w:rFonts w:ascii="宋体" w:eastAsia="宋体" w:hint="eastAsia"/>
                <w:b/>
                <w:sz w:val="21"/>
              </w:rPr>
              <w:t>类别</w:t>
            </w:r>
          </w:p>
        </w:tc>
        <w:tc>
          <w:tcPr>
            <w:tcW w:w="1133" w:type="dxa"/>
            <w:tcBorders>
              <w:left w:val="single" w:sz="6" w:space="0" w:color="000000"/>
              <w:bottom w:val="single" w:sz="6" w:space="0" w:color="000000"/>
              <w:right w:val="single" w:sz="6" w:space="0" w:color="000000"/>
            </w:tcBorders>
          </w:tcPr>
          <w:p>
            <w:pPr>
              <w:pStyle w:val="TableParagraph"/>
              <w:spacing w:before="46"/>
              <w:ind w:left="129" w:right="106"/>
              <w:rPr>
                <w:rFonts w:ascii="宋体" w:eastAsia="宋体" w:hint="eastAsia"/>
                <w:b/>
                <w:sz w:val="21"/>
              </w:rPr>
            </w:pPr>
            <w:r>
              <w:rPr>
                <w:rFonts w:ascii="宋体" w:eastAsia="宋体" w:hint="eastAsia"/>
                <w:b/>
                <w:sz w:val="21"/>
              </w:rPr>
              <w:t>项目</w:t>
            </w:r>
          </w:p>
        </w:tc>
        <w:tc>
          <w:tcPr>
            <w:tcW w:w="5246" w:type="dxa"/>
            <w:tcBorders>
              <w:left w:val="single" w:sz="6" w:space="0" w:color="000000"/>
              <w:bottom w:val="single" w:sz="6" w:space="0" w:color="000000"/>
              <w:right w:val="single" w:sz="6" w:space="0" w:color="000000"/>
            </w:tcBorders>
          </w:tcPr>
          <w:p>
            <w:pPr>
              <w:pStyle w:val="TableParagraph"/>
              <w:spacing w:before="46"/>
              <w:ind w:left="1975" w:right="1951"/>
              <w:rPr>
                <w:rFonts w:ascii="宋体" w:eastAsia="宋体" w:hint="eastAsia"/>
                <w:b/>
                <w:sz w:val="21"/>
              </w:rPr>
            </w:pPr>
            <w:r>
              <w:rPr>
                <w:rFonts w:ascii="宋体" w:eastAsia="宋体" w:hint="eastAsia"/>
                <w:b/>
                <w:sz w:val="21"/>
              </w:rPr>
              <w:t>污染防治措施</w:t>
            </w:r>
          </w:p>
        </w:tc>
        <w:tc>
          <w:tcPr>
            <w:tcW w:w="2377" w:type="dxa"/>
            <w:tcBorders>
              <w:left w:val="single" w:sz="6" w:space="0" w:color="000000"/>
              <w:bottom w:val="single" w:sz="6" w:space="0" w:color="000000"/>
            </w:tcBorders>
          </w:tcPr>
          <w:p>
            <w:pPr>
              <w:pStyle w:val="TableParagraph"/>
              <w:spacing w:before="46"/>
              <w:ind w:left="771"/>
              <w:jc w:val="left"/>
              <w:rPr>
                <w:rFonts w:ascii="宋体" w:eastAsia="宋体" w:hint="eastAsia"/>
                <w:b/>
                <w:sz w:val="21"/>
              </w:rPr>
            </w:pPr>
            <w:r>
              <w:rPr>
                <w:rFonts w:ascii="宋体" w:eastAsia="宋体" w:hint="eastAsia"/>
                <w:b/>
                <w:sz w:val="21"/>
              </w:rPr>
              <w:t>预期效果</w:t>
            </w:r>
          </w:p>
        </w:tc>
      </w:tr>
      <w:tr>
        <w:trPr>
          <w:trHeight w:val="1434" w:hRule="atLeast"/>
        </w:trPr>
        <w:tc>
          <w:tcPr>
            <w:tcW w:w="677" w:type="dxa"/>
            <w:tcBorders>
              <w:top w:val="single" w:sz="6" w:space="0" w:color="000000"/>
              <w:bottom w:val="single" w:sz="6" w:space="0" w:color="000000"/>
              <w:right w:val="single" w:sz="6" w:space="0" w:color="000000"/>
            </w:tcBorders>
          </w:tcPr>
          <w:p>
            <w:pPr>
              <w:pStyle w:val="TableParagraph"/>
              <w:spacing w:before="0"/>
              <w:jc w:val="left"/>
              <w:rPr>
                <w:sz w:val="20"/>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82"/>
              <w:jc w:val="both"/>
              <w:rPr>
                <w:rFonts w:ascii="宋体" w:hAnsi="宋体" w:eastAsia="宋体" w:hint="eastAsia"/>
                <w:sz w:val="21"/>
              </w:rPr>
            </w:pPr>
            <w:r>
              <w:rPr>
                <w:rFonts w:ascii="宋体" w:hAnsi="宋体" w:eastAsia="宋体" w:hint="eastAsia"/>
                <w:spacing w:val="-4"/>
                <w:sz w:val="21"/>
              </w:rPr>
              <w:t>医疗废物委托有相应危废处理资质的单位安全处置，其</w:t>
            </w:r>
            <w:r>
              <w:rPr>
                <w:rFonts w:ascii="宋体" w:hAnsi="宋体" w:eastAsia="宋体" w:hint="eastAsia"/>
                <w:spacing w:val="-5"/>
                <w:sz w:val="21"/>
              </w:rPr>
              <w:t>转移须实行转移联单制度；③建立规范化固废堆场，做好标识、防风、防雨、防渗漏等工作，按规范收集储存</w:t>
            </w:r>
          </w:p>
          <w:p>
            <w:pPr>
              <w:pStyle w:val="TableParagraph"/>
              <w:spacing w:before="4"/>
              <w:ind w:left="112"/>
              <w:jc w:val="left"/>
              <w:rPr>
                <w:rFonts w:ascii="宋体" w:eastAsia="宋体" w:hint="eastAsia"/>
                <w:sz w:val="21"/>
              </w:rPr>
            </w:pPr>
            <w:r>
              <w:rPr>
                <w:rFonts w:ascii="宋体" w:eastAsia="宋体" w:hint="eastAsia"/>
                <w:sz w:val="21"/>
              </w:rPr>
              <w:t>各类废物。</w:t>
            </w:r>
          </w:p>
        </w:tc>
        <w:tc>
          <w:tcPr>
            <w:tcW w:w="2377" w:type="dxa"/>
            <w:tcBorders>
              <w:top w:val="single" w:sz="6" w:space="0" w:color="000000"/>
              <w:left w:val="single" w:sz="6" w:space="0" w:color="000000"/>
              <w:bottom w:val="single" w:sz="6" w:space="0" w:color="000000"/>
            </w:tcBorders>
          </w:tcPr>
          <w:p>
            <w:pPr>
              <w:pStyle w:val="TableParagraph"/>
              <w:spacing w:line="319" w:lineRule="auto" w:before="44"/>
              <w:ind w:left="114" w:right="37"/>
              <w:jc w:val="both"/>
              <w:rPr>
                <w:rFonts w:ascii="宋体" w:eastAsia="宋体" w:hint="eastAsia"/>
                <w:sz w:val="21"/>
              </w:rPr>
            </w:pPr>
            <w:r>
              <w:rPr>
                <w:sz w:val="21"/>
              </w:rPr>
              <w:t>18599-2020</w:t>
            </w:r>
            <w:r>
              <w:rPr>
                <w:rFonts w:ascii="宋体" w:eastAsia="宋体" w:hint="eastAsia"/>
                <w:sz w:val="21"/>
              </w:rPr>
              <w:t>）、《危险废物贮存污染控制标准》（</w:t>
            </w:r>
            <w:r>
              <w:rPr>
                <w:sz w:val="21"/>
              </w:rPr>
              <w:t>GB 18597-2001</w:t>
            </w:r>
            <w:r>
              <w:rPr>
                <w:rFonts w:ascii="宋体" w:eastAsia="宋体" w:hint="eastAsia"/>
                <w:sz w:val="21"/>
              </w:rPr>
              <w:t>）</w:t>
            </w:r>
          </w:p>
          <w:p>
            <w:pPr>
              <w:pStyle w:val="TableParagraph"/>
              <w:spacing w:before="4"/>
              <w:ind w:left="114"/>
              <w:jc w:val="left"/>
              <w:rPr>
                <w:rFonts w:ascii="宋体" w:eastAsia="宋体" w:hint="eastAsia"/>
                <w:sz w:val="21"/>
              </w:rPr>
            </w:pPr>
            <w:r>
              <w:rPr>
                <w:rFonts w:ascii="宋体" w:eastAsia="宋体" w:hint="eastAsia"/>
                <w:sz w:val="21"/>
              </w:rPr>
              <w:t>及修改单规定。</w:t>
            </w:r>
          </w:p>
        </w:tc>
      </w:tr>
      <w:tr>
        <w:trPr>
          <w:trHeight w:val="1794" w:hRule="atLeast"/>
        </w:trPr>
        <w:tc>
          <w:tcPr>
            <w:tcW w:w="677"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19"/>
              </w:rPr>
            </w:pPr>
          </w:p>
          <w:p>
            <w:pPr>
              <w:pStyle w:val="TableParagraph"/>
              <w:spacing w:before="0"/>
              <w:ind w:left="126"/>
              <w:jc w:val="left"/>
              <w:rPr>
                <w:rFonts w:ascii="宋体" w:eastAsia="宋体" w:hint="eastAsia"/>
                <w:sz w:val="21"/>
              </w:rPr>
            </w:pPr>
            <w:r>
              <w:rPr>
                <w:rFonts w:ascii="宋体" w:eastAsia="宋体" w:hint="eastAsia"/>
                <w:sz w:val="21"/>
              </w:rPr>
              <w:t>噪声</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19"/>
              </w:rPr>
            </w:pPr>
          </w:p>
          <w:p>
            <w:pPr>
              <w:pStyle w:val="TableParagraph"/>
              <w:spacing w:before="0"/>
              <w:ind w:left="131" w:right="106"/>
              <w:rPr>
                <w:rFonts w:ascii="宋体" w:eastAsia="宋体" w:hint="eastAsia"/>
                <w:sz w:val="21"/>
              </w:rPr>
            </w:pPr>
            <w:r>
              <w:rPr>
                <w:rFonts w:ascii="宋体" w:eastAsia="宋体" w:hint="eastAsia"/>
                <w:sz w:val="21"/>
              </w:rPr>
              <w:t>设备噪声</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70"/>
              <w:jc w:val="both"/>
              <w:rPr>
                <w:rFonts w:ascii="宋体" w:hAnsi="宋体" w:eastAsia="宋体" w:hint="eastAsia"/>
                <w:sz w:val="21"/>
              </w:rPr>
            </w:pPr>
            <w:r>
              <w:rPr>
                <w:rFonts w:ascii="宋体" w:hAnsi="宋体" w:eastAsia="宋体" w:hint="eastAsia"/>
                <w:spacing w:val="6"/>
                <w:sz w:val="21"/>
              </w:rPr>
              <w:t>①在设备采购阶段选用先进的低噪声设备；②采取减</w:t>
            </w:r>
            <w:r>
              <w:rPr>
                <w:rFonts w:ascii="宋体" w:hAnsi="宋体" w:eastAsia="宋体" w:hint="eastAsia"/>
                <w:spacing w:val="-4"/>
                <w:sz w:val="21"/>
              </w:rPr>
              <w:t>震、隔声措施切断噪声传播途径；③临厂界猪舍采用隔声窗，室内墙壁采用吸声材料；④合理布局设备位置；</w:t>
            </w:r>
          </w:p>
          <w:p>
            <w:pPr>
              <w:pStyle w:val="TableParagraph"/>
              <w:spacing w:before="4"/>
              <w:ind w:left="112"/>
              <w:jc w:val="left"/>
              <w:rPr>
                <w:rFonts w:ascii="宋体" w:hAnsi="宋体" w:eastAsia="宋体" w:hint="eastAsia"/>
                <w:sz w:val="21"/>
              </w:rPr>
            </w:pPr>
            <w:r>
              <w:rPr>
                <w:rFonts w:ascii="宋体" w:hAnsi="宋体" w:eastAsia="宋体" w:hint="eastAsia"/>
                <w:spacing w:val="-5"/>
                <w:sz w:val="21"/>
              </w:rPr>
              <w:t>⑤加强设备的维护管理；⑥加强进出厂区大型车辆的管</w:t>
            </w:r>
          </w:p>
          <w:p>
            <w:pPr>
              <w:pStyle w:val="TableParagraph"/>
              <w:spacing w:before="88"/>
              <w:ind w:left="112"/>
              <w:jc w:val="left"/>
              <w:rPr>
                <w:rFonts w:ascii="宋体" w:hAnsi="宋体" w:eastAsia="宋体" w:hint="eastAsia"/>
                <w:sz w:val="21"/>
              </w:rPr>
            </w:pPr>
            <w:r>
              <w:rPr>
                <w:rFonts w:ascii="宋体" w:hAnsi="宋体" w:eastAsia="宋体" w:hint="eastAsia"/>
                <w:sz w:val="21"/>
              </w:rPr>
              <w:t>理；⑦加强厂区绿化。</w:t>
            </w:r>
          </w:p>
        </w:tc>
        <w:tc>
          <w:tcPr>
            <w:tcW w:w="2377" w:type="dxa"/>
            <w:tcBorders>
              <w:top w:val="single" w:sz="6" w:space="0" w:color="000000"/>
              <w:left w:val="single" w:sz="6" w:space="0" w:color="000000"/>
              <w:bottom w:val="single" w:sz="6" w:space="0" w:color="000000"/>
            </w:tcBorders>
          </w:tcPr>
          <w:p>
            <w:pPr>
              <w:pStyle w:val="TableParagraph"/>
              <w:spacing w:before="6"/>
              <w:jc w:val="left"/>
              <w:rPr>
                <w:rFonts w:ascii="宋体"/>
                <w:b/>
                <w:sz w:val="17"/>
              </w:rPr>
            </w:pPr>
          </w:p>
          <w:p>
            <w:pPr>
              <w:pStyle w:val="TableParagraph"/>
              <w:spacing w:line="321" w:lineRule="auto" w:before="0"/>
              <w:ind w:left="114" w:right="13"/>
              <w:jc w:val="both"/>
              <w:rPr>
                <w:rFonts w:ascii="宋体" w:eastAsia="宋体" w:hint="eastAsia"/>
                <w:sz w:val="21"/>
              </w:rPr>
            </w:pPr>
            <w:r>
              <w:rPr>
                <w:rFonts w:ascii="宋体" w:eastAsia="宋体" w:hint="eastAsia"/>
                <w:sz w:val="21"/>
              </w:rPr>
              <w:t>企业厂界噪声排放应执行《工业企业厂界噪声排 放 标 准 》 （ </w:t>
            </w:r>
            <w:r>
              <w:rPr>
                <w:sz w:val="21"/>
              </w:rPr>
              <w:t>GB 12348-2008</w:t>
            </w:r>
            <w:r>
              <w:rPr>
                <w:rFonts w:ascii="宋体" w:eastAsia="宋体" w:hint="eastAsia"/>
                <w:sz w:val="21"/>
              </w:rPr>
              <w:t>）</w:t>
            </w:r>
            <w:r>
              <w:rPr>
                <w:sz w:val="21"/>
              </w:rPr>
              <w:t>2 </w:t>
            </w:r>
            <w:r>
              <w:rPr>
                <w:rFonts w:ascii="宋体" w:eastAsia="宋体" w:hint="eastAsia"/>
                <w:sz w:val="21"/>
              </w:rPr>
              <w:t>级标准。</w:t>
            </w:r>
          </w:p>
        </w:tc>
      </w:tr>
      <w:tr>
        <w:trPr>
          <w:trHeight w:val="1077" w:hRule="atLeast"/>
        </w:trPr>
        <w:tc>
          <w:tcPr>
            <w:tcW w:w="1810" w:type="dxa"/>
            <w:gridSpan w:val="2"/>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484"/>
              <w:jc w:val="left"/>
              <w:rPr>
                <w:rFonts w:ascii="宋体" w:eastAsia="宋体" w:hint="eastAsia"/>
                <w:sz w:val="21"/>
              </w:rPr>
            </w:pPr>
            <w:r>
              <w:rPr>
                <w:rFonts w:ascii="宋体" w:eastAsia="宋体" w:hint="eastAsia"/>
                <w:sz w:val="21"/>
              </w:rPr>
              <w:t>环境风险</w:t>
            </w:r>
          </w:p>
        </w:tc>
        <w:tc>
          <w:tcPr>
            <w:tcW w:w="5246" w:type="dxa"/>
            <w:tcBorders>
              <w:top w:val="single" w:sz="6" w:space="0" w:color="000000"/>
              <w:left w:val="single" w:sz="6" w:space="0" w:color="000000"/>
              <w:right w:val="single" w:sz="6" w:space="0" w:color="000000"/>
            </w:tcBorders>
          </w:tcPr>
          <w:p>
            <w:pPr>
              <w:pStyle w:val="TableParagraph"/>
              <w:spacing w:before="44"/>
              <w:ind w:left="112"/>
              <w:jc w:val="left"/>
              <w:rPr>
                <w:rFonts w:ascii="宋体" w:hAnsi="宋体" w:eastAsia="宋体" w:hint="eastAsia"/>
                <w:sz w:val="21"/>
              </w:rPr>
            </w:pPr>
            <w:r>
              <w:rPr>
                <w:rFonts w:ascii="宋体" w:hAnsi="宋体" w:eastAsia="宋体" w:hint="eastAsia"/>
                <w:sz w:val="21"/>
              </w:rPr>
              <w:t>①加强运输管理；②加强废水事故防范措施；③加强臭</w:t>
            </w:r>
          </w:p>
          <w:p>
            <w:pPr>
              <w:pStyle w:val="TableParagraph"/>
              <w:spacing w:line="350" w:lineRule="atLeast" w:before="10"/>
              <w:ind w:left="112" w:right="42"/>
              <w:jc w:val="left"/>
              <w:rPr>
                <w:rFonts w:ascii="宋体" w:hAnsi="宋体" w:eastAsia="宋体" w:hint="eastAsia"/>
                <w:sz w:val="21"/>
              </w:rPr>
            </w:pPr>
            <w:r>
              <w:rPr>
                <w:rFonts w:ascii="宋体" w:hAnsi="宋体" w:eastAsia="宋体" w:hint="eastAsia"/>
                <w:sz w:val="21"/>
              </w:rPr>
              <w:t>气污染防范措施；④加强沼气安全利用；⑤加强瘟疫卫生预防；⑥编制环境应急预案。</w:t>
            </w:r>
          </w:p>
        </w:tc>
        <w:tc>
          <w:tcPr>
            <w:tcW w:w="2377" w:type="dxa"/>
            <w:tcBorders>
              <w:top w:val="single" w:sz="6" w:space="0" w:color="000000"/>
              <w:left w:val="single" w:sz="6" w:space="0" w:color="000000"/>
            </w:tcBorders>
          </w:tcPr>
          <w:p>
            <w:pPr>
              <w:pStyle w:val="TableParagraph"/>
              <w:spacing w:before="6"/>
              <w:jc w:val="left"/>
              <w:rPr>
                <w:rFonts w:ascii="宋体"/>
                <w:b/>
                <w:sz w:val="17"/>
              </w:rPr>
            </w:pPr>
          </w:p>
          <w:p>
            <w:pPr>
              <w:pStyle w:val="TableParagraph"/>
              <w:spacing w:line="319" w:lineRule="auto" w:before="1"/>
              <w:ind w:left="114" w:right="77"/>
              <w:jc w:val="left"/>
              <w:rPr>
                <w:rFonts w:ascii="宋体" w:eastAsia="宋体" w:hint="eastAsia"/>
                <w:sz w:val="21"/>
              </w:rPr>
            </w:pPr>
            <w:r>
              <w:rPr>
                <w:rFonts w:ascii="宋体" w:eastAsia="宋体" w:hint="eastAsia"/>
                <w:sz w:val="21"/>
              </w:rPr>
              <w:t>达到风险预防及控制要求。</w:t>
            </w:r>
          </w:p>
        </w:tc>
      </w:tr>
    </w:tbl>
    <w:p>
      <w:pPr>
        <w:pStyle w:val="BodyText"/>
        <w:spacing w:before="8"/>
        <w:ind w:left="0"/>
        <w:rPr>
          <w:b/>
          <w:sz w:val="5"/>
        </w:rPr>
      </w:pPr>
    </w:p>
    <w:p>
      <w:pPr>
        <w:pStyle w:val="Heading2"/>
        <w:numPr>
          <w:ilvl w:val="1"/>
          <w:numId w:val="88"/>
        </w:numPr>
        <w:tabs>
          <w:tab w:pos="730" w:val="left" w:leader="none"/>
        </w:tabs>
        <w:spacing w:line="240" w:lineRule="auto" w:before="70" w:after="0"/>
        <w:ind w:left="729" w:right="0" w:hanging="493"/>
        <w:jc w:val="both"/>
      </w:pPr>
      <w:bookmarkStart w:name="_bookmark109" w:id="211"/>
      <w:bookmarkEnd w:id="211"/>
      <w:r>
        <w:rPr>
          <w:b w:val="0"/>
        </w:rPr>
      </w:r>
      <w:bookmarkStart w:name="_bookmark109" w:id="212"/>
      <w:bookmarkEnd w:id="212"/>
      <w:r>
        <w:rPr/>
        <w:t>环境保护投资核算</w:t>
      </w:r>
    </w:p>
    <w:p>
      <w:pPr>
        <w:pStyle w:val="BodyText"/>
        <w:spacing w:line="364" w:lineRule="auto" w:before="214"/>
        <w:ind w:right="251" w:firstLine="480"/>
        <w:jc w:val="both"/>
      </w:pPr>
      <w:r>
        <w:rPr>
          <w:spacing w:val="-7"/>
        </w:rPr>
        <w:t>本项目环保投资约 </w:t>
      </w:r>
      <w:r>
        <w:rPr>
          <w:rFonts w:ascii="Times New Roman" w:eastAsia="Times New Roman"/>
        </w:rPr>
        <w:t>1077 </w:t>
      </w:r>
      <w:r>
        <w:rPr>
          <w:spacing w:val="-14"/>
        </w:rPr>
        <w:t>万元</w:t>
      </w:r>
      <w:r>
        <w:rPr/>
        <w:t>（</w:t>
      </w:r>
      <w:r>
        <w:rPr>
          <w:spacing w:val="-15"/>
        </w:rPr>
        <w:t>详见表 </w:t>
      </w:r>
      <w:r>
        <w:rPr>
          <w:rFonts w:ascii="Times New Roman" w:eastAsia="Times New Roman"/>
          <w:spacing w:val="-8"/>
        </w:rPr>
        <w:t>6.3-1</w:t>
      </w:r>
      <w:r>
        <w:rPr>
          <w:spacing w:val="-8"/>
        </w:rPr>
        <w:t>），</w:t>
      </w:r>
      <w:r>
        <w:rPr>
          <w:spacing w:val="-3"/>
        </w:rPr>
        <w:t>包括施工期及运营期废气治理、废水</w:t>
      </w:r>
      <w:r>
        <w:rPr>
          <w:spacing w:val="-1"/>
        </w:rPr>
        <w:t>处理、固废贮存、噪声防治等方面。本项目总投资约 </w:t>
      </w:r>
      <w:r>
        <w:rPr>
          <w:rFonts w:ascii="Times New Roman" w:eastAsia="Times New Roman"/>
        </w:rPr>
        <w:t>50000 </w:t>
      </w:r>
      <w:r>
        <w:rPr>
          <w:spacing w:val="-2"/>
        </w:rPr>
        <w:t>万元，可知环保投资约占本</w:t>
      </w:r>
      <w:r>
        <w:rPr>
          <w:spacing w:val="-9"/>
        </w:rPr>
        <w:t>项目总投资的 </w:t>
      </w:r>
      <w:r>
        <w:rPr>
          <w:rFonts w:ascii="Times New Roman" w:eastAsia="Times New Roman"/>
        </w:rPr>
        <w:t>2.15%</w:t>
      </w:r>
      <w:r>
        <w:rPr/>
        <w:t>。</w:t>
      </w:r>
    </w:p>
    <w:p>
      <w:pPr>
        <w:pStyle w:val="Heading3"/>
        <w:spacing w:before="2"/>
        <w:ind w:left="218" w:right="236"/>
        <w:jc w:val="center"/>
      </w:pPr>
      <w:r>
        <w:rPr/>
        <w:t>表 </w:t>
      </w:r>
      <w:r>
        <w:rPr>
          <w:rFonts w:ascii="Times New Roman" w:eastAsia="Times New Roman"/>
        </w:rPr>
        <w:t>6.3-1  </w:t>
      </w:r>
      <w:r>
        <w:rPr/>
        <w:t>项目环保设施投资一览表</w:t>
      </w:r>
    </w:p>
    <w:p>
      <w:pPr>
        <w:pStyle w:val="BodyText"/>
        <w:spacing w:before="3"/>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8"/>
        <w:gridCol w:w="650"/>
        <w:gridCol w:w="3913"/>
        <w:gridCol w:w="2720"/>
        <w:gridCol w:w="1501"/>
      </w:tblGrid>
      <w:tr>
        <w:trPr>
          <w:trHeight w:val="359" w:hRule="atLeast"/>
        </w:trPr>
        <w:tc>
          <w:tcPr>
            <w:tcW w:w="648" w:type="dxa"/>
            <w:tcBorders>
              <w:bottom w:val="single" w:sz="6" w:space="0" w:color="000000"/>
              <w:right w:val="single" w:sz="6" w:space="0" w:color="000000"/>
            </w:tcBorders>
          </w:tcPr>
          <w:p>
            <w:pPr>
              <w:pStyle w:val="TableParagraph"/>
              <w:spacing w:before="46"/>
              <w:ind w:left="92" w:right="71"/>
              <w:rPr>
                <w:rFonts w:ascii="宋体" w:eastAsia="宋体" w:hint="eastAsia"/>
                <w:b/>
                <w:sz w:val="21"/>
              </w:rPr>
            </w:pPr>
            <w:r>
              <w:rPr>
                <w:rFonts w:ascii="宋体" w:eastAsia="宋体" w:hint="eastAsia"/>
                <w:b/>
                <w:sz w:val="21"/>
              </w:rPr>
              <w:t>序号</w:t>
            </w:r>
          </w:p>
        </w:tc>
        <w:tc>
          <w:tcPr>
            <w:tcW w:w="650" w:type="dxa"/>
            <w:tcBorders>
              <w:left w:val="single" w:sz="6" w:space="0" w:color="000000"/>
              <w:bottom w:val="single" w:sz="6" w:space="0" w:color="000000"/>
              <w:right w:val="single" w:sz="6" w:space="0" w:color="000000"/>
            </w:tcBorders>
          </w:tcPr>
          <w:p>
            <w:pPr>
              <w:pStyle w:val="TableParagraph"/>
              <w:spacing w:before="46"/>
              <w:ind w:left="119"/>
              <w:jc w:val="left"/>
              <w:rPr>
                <w:rFonts w:ascii="宋体" w:eastAsia="宋体" w:hint="eastAsia"/>
                <w:b/>
                <w:sz w:val="21"/>
              </w:rPr>
            </w:pPr>
            <w:r>
              <w:rPr>
                <w:rFonts w:ascii="宋体" w:eastAsia="宋体" w:hint="eastAsia"/>
                <w:b/>
                <w:sz w:val="21"/>
              </w:rPr>
              <w:t>项目</w:t>
            </w:r>
          </w:p>
        </w:tc>
        <w:tc>
          <w:tcPr>
            <w:tcW w:w="3913" w:type="dxa"/>
            <w:tcBorders>
              <w:left w:val="single" w:sz="6" w:space="0" w:color="000000"/>
              <w:bottom w:val="single" w:sz="6" w:space="0" w:color="000000"/>
              <w:right w:val="single" w:sz="6" w:space="0" w:color="000000"/>
            </w:tcBorders>
          </w:tcPr>
          <w:p>
            <w:pPr>
              <w:pStyle w:val="TableParagraph"/>
              <w:spacing w:before="46"/>
              <w:ind w:left="368" w:right="339"/>
              <w:rPr>
                <w:rFonts w:ascii="宋体" w:eastAsia="宋体" w:hint="eastAsia"/>
                <w:b/>
                <w:sz w:val="21"/>
              </w:rPr>
            </w:pPr>
            <w:r>
              <w:rPr>
                <w:rFonts w:ascii="宋体" w:eastAsia="宋体" w:hint="eastAsia"/>
                <w:b/>
                <w:sz w:val="21"/>
              </w:rPr>
              <w:t>环保设备、设施名称</w:t>
            </w:r>
          </w:p>
        </w:tc>
        <w:tc>
          <w:tcPr>
            <w:tcW w:w="2720" w:type="dxa"/>
            <w:tcBorders>
              <w:left w:val="single" w:sz="6" w:space="0" w:color="000000"/>
              <w:bottom w:val="single" w:sz="6" w:space="0" w:color="000000"/>
              <w:right w:val="single" w:sz="6" w:space="0" w:color="000000"/>
            </w:tcBorders>
          </w:tcPr>
          <w:p>
            <w:pPr>
              <w:pStyle w:val="TableParagraph"/>
              <w:spacing w:before="46"/>
              <w:ind w:left="87" w:right="56"/>
              <w:rPr>
                <w:rFonts w:ascii="宋体" w:eastAsia="宋体" w:hint="eastAsia"/>
                <w:b/>
                <w:sz w:val="21"/>
              </w:rPr>
            </w:pPr>
            <w:r>
              <w:rPr>
                <w:rFonts w:ascii="宋体" w:eastAsia="宋体" w:hint="eastAsia"/>
                <w:b/>
                <w:sz w:val="21"/>
              </w:rPr>
              <w:t>实施位置</w:t>
            </w:r>
          </w:p>
        </w:tc>
        <w:tc>
          <w:tcPr>
            <w:tcW w:w="1501" w:type="dxa"/>
            <w:tcBorders>
              <w:left w:val="single" w:sz="6" w:space="0" w:color="000000"/>
              <w:bottom w:val="single" w:sz="6" w:space="0" w:color="000000"/>
            </w:tcBorders>
          </w:tcPr>
          <w:p>
            <w:pPr>
              <w:pStyle w:val="TableParagraph"/>
              <w:spacing w:before="46"/>
              <w:ind w:left="103" w:right="70"/>
              <w:rPr>
                <w:rFonts w:ascii="宋体" w:eastAsia="宋体" w:hint="eastAsia"/>
                <w:b/>
                <w:sz w:val="21"/>
              </w:rPr>
            </w:pPr>
            <w:r>
              <w:rPr>
                <w:rFonts w:ascii="宋体" w:eastAsia="宋体" w:hint="eastAsia"/>
                <w:b/>
                <w:sz w:val="21"/>
              </w:rPr>
              <w:t>投资（万元）</w:t>
            </w:r>
          </w:p>
        </w:tc>
      </w:tr>
      <w:tr>
        <w:trPr>
          <w:trHeight w:val="359" w:hRule="atLeast"/>
        </w:trPr>
        <w:tc>
          <w:tcPr>
            <w:tcW w:w="9432" w:type="dxa"/>
            <w:gridSpan w:val="5"/>
            <w:tcBorders>
              <w:top w:val="single" w:sz="6" w:space="0" w:color="000000"/>
              <w:bottom w:val="single" w:sz="6" w:space="0" w:color="000000"/>
            </w:tcBorders>
          </w:tcPr>
          <w:p>
            <w:pPr>
              <w:pStyle w:val="TableParagraph"/>
              <w:spacing w:before="44"/>
              <w:ind w:left="4381" w:right="4351"/>
              <w:rPr>
                <w:rFonts w:ascii="宋体" w:eastAsia="宋体" w:hint="eastAsia"/>
                <w:sz w:val="21"/>
              </w:rPr>
            </w:pPr>
            <w:r>
              <w:rPr>
                <w:rFonts w:ascii="宋体" w:eastAsia="宋体" w:hint="eastAsia"/>
                <w:sz w:val="21"/>
              </w:rPr>
              <w:t>施工期</w:t>
            </w:r>
          </w:p>
        </w:tc>
      </w:tr>
      <w:tr>
        <w:trPr>
          <w:trHeight w:val="359" w:hRule="atLeast"/>
        </w:trPr>
        <w:tc>
          <w:tcPr>
            <w:tcW w:w="648"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1</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44"/>
              <w:ind w:left="119"/>
              <w:jc w:val="left"/>
              <w:rPr>
                <w:rFonts w:ascii="宋体" w:eastAsia="宋体" w:hint="eastAsia"/>
                <w:sz w:val="21"/>
              </w:rPr>
            </w:pPr>
            <w:r>
              <w:rPr>
                <w:rFonts w:ascii="宋体" w:eastAsia="宋体" w:hint="eastAsia"/>
                <w:sz w:val="21"/>
              </w:rPr>
              <w:t>废气</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6"/>
              <w:rPr>
                <w:rFonts w:ascii="宋体" w:eastAsia="宋体" w:hint="eastAsia"/>
                <w:sz w:val="21"/>
              </w:rPr>
            </w:pPr>
            <w:r>
              <w:rPr>
                <w:rFonts w:ascii="宋体" w:eastAsia="宋体" w:hint="eastAsia"/>
                <w:sz w:val="21"/>
              </w:rPr>
              <w:t>洒水、围挡、遮盖等</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施工边界范围内</w:t>
            </w:r>
          </w:p>
        </w:tc>
        <w:tc>
          <w:tcPr>
            <w:tcW w:w="1501" w:type="dxa"/>
            <w:tcBorders>
              <w:top w:val="single" w:sz="6" w:space="0" w:color="000000"/>
              <w:left w:val="single" w:sz="6" w:space="0" w:color="000000"/>
              <w:bottom w:val="single" w:sz="6" w:space="0" w:color="000000"/>
            </w:tcBorders>
          </w:tcPr>
          <w:p>
            <w:pPr>
              <w:pStyle w:val="TableParagraph"/>
              <w:ind w:left="98" w:right="70"/>
              <w:rPr>
                <w:sz w:val="21"/>
              </w:rPr>
            </w:pPr>
            <w:r>
              <w:rPr>
                <w:sz w:val="21"/>
              </w:rPr>
              <w:t>10</w:t>
            </w:r>
          </w:p>
        </w:tc>
      </w:tr>
      <w:tr>
        <w:trPr>
          <w:trHeight w:val="356" w:hRule="atLeast"/>
        </w:trPr>
        <w:tc>
          <w:tcPr>
            <w:tcW w:w="648"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2</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44"/>
              <w:ind w:left="119"/>
              <w:jc w:val="left"/>
              <w:rPr>
                <w:rFonts w:ascii="宋体" w:eastAsia="宋体" w:hint="eastAsia"/>
                <w:sz w:val="21"/>
              </w:rPr>
            </w:pPr>
            <w:r>
              <w:rPr>
                <w:rFonts w:ascii="宋体" w:eastAsia="宋体" w:hint="eastAsia"/>
                <w:sz w:val="21"/>
              </w:rPr>
              <w:t>废水</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6"/>
              <w:rPr>
                <w:rFonts w:ascii="宋体" w:eastAsia="宋体" w:hint="eastAsia"/>
                <w:sz w:val="21"/>
              </w:rPr>
            </w:pPr>
            <w:r>
              <w:rPr>
                <w:rFonts w:ascii="宋体" w:eastAsia="宋体" w:hint="eastAsia"/>
                <w:sz w:val="21"/>
              </w:rPr>
              <w:t>沉淀池等</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施工边界范围内</w:t>
            </w:r>
          </w:p>
        </w:tc>
        <w:tc>
          <w:tcPr>
            <w:tcW w:w="1501" w:type="dxa"/>
            <w:tcBorders>
              <w:top w:val="single" w:sz="6" w:space="0" w:color="000000"/>
              <w:left w:val="single" w:sz="6" w:space="0" w:color="000000"/>
              <w:bottom w:val="single" w:sz="6" w:space="0" w:color="000000"/>
            </w:tcBorders>
          </w:tcPr>
          <w:p>
            <w:pPr>
              <w:pStyle w:val="TableParagraph"/>
              <w:ind w:left="28"/>
              <w:rPr>
                <w:sz w:val="21"/>
              </w:rPr>
            </w:pPr>
            <w:r>
              <w:rPr>
                <w:w w:val="100"/>
                <w:sz w:val="21"/>
              </w:rPr>
              <w:t>7</w:t>
            </w:r>
          </w:p>
        </w:tc>
      </w:tr>
      <w:tr>
        <w:trPr>
          <w:trHeight w:val="359" w:hRule="atLeast"/>
        </w:trPr>
        <w:tc>
          <w:tcPr>
            <w:tcW w:w="648" w:type="dxa"/>
            <w:tcBorders>
              <w:top w:val="single" w:sz="6" w:space="0" w:color="000000"/>
              <w:bottom w:val="single" w:sz="6" w:space="0" w:color="000000"/>
              <w:right w:val="single" w:sz="6" w:space="0" w:color="000000"/>
            </w:tcBorders>
          </w:tcPr>
          <w:p>
            <w:pPr>
              <w:pStyle w:val="TableParagraph"/>
              <w:spacing w:before="60"/>
              <w:ind w:left="21"/>
              <w:rPr>
                <w:sz w:val="21"/>
              </w:rPr>
            </w:pPr>
            <w:r>
              <w:rPr>
                <w:w w:val="100"/>
                <w:sz w:val="21"/>
              </w:rPr>
              <w:t>3</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jc w:val="left"/>
              <w:rPr>
                <w:rFonts w:ascii="宋体" w:eastAsia="宋体" w:hint="eastAsia"/>
                <w:sz w:val="21"/>
              </w:rPr>
            </w:pPr>
            <w:r>
              <w:rPr>
                <w:rFonts w:ascii="宋体" w:eastAsia="宋体" w:hint="eastAsia"/>
                <w:sz w:val="21"/>
              </w:rPr>
              <w:t>噪声</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6"/>
              <w:ind w:left="368" w:right="339"/>
              <w:rPr>
                <w:rFonts w:ascii="宋体" w:eastAsia="宋体" w:hint="eastAsia"/>
                <w:sz w:val="21"/>
              </w:rPr>
            </w:pPr>
            <w:r>
              <w:rPr>
                <w:rFonts w:ascii="宋体" w:eastAsia="宋体" w:hint="eastAsia"/>
                <w:sz w:val="21"/>
              </w:rPr>
              <w:t>挡板及围护等</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6"/>
              <w:ind w:left="87" w:right="56"/>
              <w:rPr>
                <w:rFonts w:ascii="宋体" w:eastAsia="宋体" w:hint="eastAsia"/>
                <w:sz w:val="21"/>
              </w:rPr>
            </w:pPr>
            <w:r>
              <w:rPr>
                <w:rFonts w:ascii="宋体" w:eastAsia="宋体" w:hint="eastAsia"/>
                <w:sz w:val="21"/>
              </w:rPr>
              <w:t>施工边界范围内</w:t>
            </w:r>
          </w:p>
        </w:tc>
        <w:tc>
          <w:tcPr>
            <w:tcW w:w="1501" w:type="dxa"/>
            <w:tcBorders>
              <w:top w:val="single" w:sz="6" w:space="0" w:color="000000"/>
              <w:left w:val="single" w:sz="6" w:space="0" w:color="000000"/>
              <w:bottom w:val="single" w:sz="6" w:space="0" w:color="000000"/>
            </w:tcBorders>
          </w:tcPr>
          <w:p>
            <w:pPr>
              <w:pStyle w:val="TableParagraph"/>
              <w:spacing w:before="60"/>
              <w:ind w:left="28"/>
              <w:rPr>
                <w:sz w:val="21"/>
              </w:rPr>
            </w:pPr>
            <w:r>
              <w:rPr>
                <w:w w:val="100"/>
                <w:sz w:val="21"/>
              </w:rPr>
              <w:t>5</w:t>
            </w:r>
          </w:p>
        </w:tc>
      </w:tr>
      <w:tr>
        <w:trPr>
          <w:trHeight w:val="359" w:hRule="atLeast"/>
        </w:trPr>
        <w:tc>
          <w:tcPr>
            <w:tcW w:w="648"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4</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44"/>
              <w:ind w:left="119"/>
              <w:jc w:val="left"/>
              <w:rPr>
                <w:rFonts w:ascii="宋体" w:eastAsia="宋体" w:hint="eastAsia"/>
                <w:sz w:val="21"/>
              </w:rPr>
            </w:pPr>
            <w:r>
              <w:rPr>
                <w:rFonts w:ascii="宋体" w:eastAsia="宋体" w:hint="eastAsia"/>
                <w:sz w:val="21"/>
              </w:rPr>
              <w:t>固废</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9"/>
              <w:rPr>
                <w:rFonts w:ascii="宋体" w:eastAsia="宋体" w:hint="eastAsia"/>
                <w:sz w:val="21"/>
              </w:rPr>
            </w:pPr>
            <w:r>
              <w:rPr>
                <w:rFonts w:ascii="宋体" w:eastAsia="宋体" w:hint="eastAsia"/>
                <w:sz w:val="21"/>
              </w:rPr>
              <w:t>废弃泥浆、施工废料等</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施工边界范围内</w:t>
            </w:r>
          </w:p>
        </w:tc>
        <w:tc>
          <w:tcPr>
            <w:tcW w:w="1501" w:type="dxa"/>
            <w:tcBorders>
              <w:top w:val="single" w:sz="6" w:space="0" w:color="000000"/>
              <w:left w:val="single" w:sz="6" w:space="0" w:color="000000"/>
              <w:bottom w:val="single" w:sz="6" w:space="0" w:color="000000"/>
            </w:tcBorders>
          </w:tcPr>
          <w:p>
            <w:pPr>
              <w:pStyle w:val="TableParagraph"/>
              <w:ind w:left="28"/>
              <w:rPr>
                <w:sz w:val="21"/>
              </w:rPr>
            </w:pPr>
            <w:r>
              <w:rPr>
                <w:w w:val="100"/>
                <w:sz w:val="21"/>
              </w:rPr>
              <w:t>5</w:t>
            </w:r>
          </w:p>
        </w:tc>
      </w:tr>
      <w:tr>
        <w:trPr>
          <w:trHeight w:val="359" w:hRule="atLeast"/>
        </w:trPr>
        <w:tc>
          <w:tcPr>
            <w:tcW w:w="9432" w:type="dxa"/>
            <w:gridSpan w:val="5"/>
            <w:tcBorders>
              <w:top w:val="single" w:sz="6" w:space="0" w:color="000000"/>
              <w:bottom w:val="single" w:sz="6" w:space="0" w:color="000000"/>
            </w:tcBorders>
          </w:tcPr>
          <w:p>
            <w:pPr>
              <w:pStyle w:val="TableParagraph"/>
              <w:spacing w:before="44"/>
              <w:ind w:left="4381" w:right="4351"/>
              <w:rPr>
                <w:rFonts w:ascii="宋体" w:eastAsia="宋体" w:hint="eastAsia"/>
                <w:sz w:val="21"/>
              </w:rPr>
            </w:pPr>
            <w:r>
              <w:rPr>
                <w:rFonts w:ascii="宋体" w:eastAsia="宋体" w:hint="eastAsia"/>
                <w:sz w:val="21"/>
              </w:rPr>
              <w:t>运营期</w:t>
            </w:r>
          </w:p>
        </w:tc>
      </w:tr>
      <w:tr>
        <w:trPr>
          <w:trHeight w:val="356" w:hRule="atLeast"/>
        </w:trPr>
        <w:tc>
          <w:tcPr>
            <w:tcW w:w="648"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10"/>
              <w:jc w:val="left"/>
              <w:rPr>
                <w:rFonts w:ascii="宋体"/>
                <w:b/>
                <w:sz w:val="18"/>
              </w:rPr>
            </w:pPr>
          </w:p>
          <w:p>
            <w:pPr>
              <w:pStyle w:val="TableParagraph"/>
              <w:spacing w:before="0"/>
              <w:ind w:left="21"/>
              <w:rPr>
                <w:sz w:val="21"/>
              </w:rPr>
            </w:pPr>
            <w:r>
              <w:rPr>
                <w:w w:val="100"/>
                <w:sz w:val="21"/>
              </w:rPr>
              <w:t>1</w:t>
            </w:r>
          </w:p>
        </w:tc>
        <w:tc>
          <w:tcPr>
            <w:tcW w:w="65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1"/>
              </w:rPr>
            </w:pPr>
          </w:p>
          <w:p>
            <w:pPr>
              <w:pStyle w:val="TableParagraph"/>
              <w:spacing w:before="0"/>
              <w:ind w:left="119"/>
              <w:jc w:val="left"/>
              <w:rPr>
                <w:rFonts w:ascii="宋体" w:eastAsia="宋体" w:hint="eastAsia"/>
                <w:sz w:val="21"/>
              </w:rPr>
            </w:pPr>
            <w:r>
              <w:rPr>
                <w:rFonts w:ascii="宋体" w:eastAsia="宋体" w:hint="eastAsia"/>
                <w:sz w:val="21"/>
              </w:rPr>
              <w:t>废水</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9"/>
              <w:rPr>
                <w:rFonts w:ascii="宋体" w:eastAsia="宋体" w:hint="eastAsia"/>
                <w:sz w:val="21"/>
              </w:rPr>
            </w:pPr>
            <w:r>
              <w:rPr>
                <w:rFonts w:ascii="宋体" w:eastAsia="宋体" w:hint="eastAsia"/>
                <w:sz w:val="21"/>
              </w:rPr>
              <w:t>雨水、污水管网收集系统</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厂区内</w:t>
            </w:r>
          </w:p>
        </w:tc>
        <w:tc>
          <w:tcPr>
            <w:tcW w:w="1501" w:type="dxa"/>
            <w:tcBorders>
              <w:top w:val="single" w:sz="6" w:space="0" w:color="000000"/>
              <w:left w:val="single" w:sz="6" w:space="0" w:color="000000"/>
              <w:bottom w:val="single" w:sz="6" w:space="0" w:color="000000"/>
            </w:tcBorders>
          </w:tcPr>
          <w:p>
            <w:pPr>
              <w:pStyle w:val="TableParagraph"/>
              <w:ind w:left="98" w:right="70"/>
              <w:rPr>
                <w:sz w:val="21"/>
              </w:rPr>
            </w:pPr>
            <w:r>
              <w:rPr>
                <w:sz w:val="21"/>
              </w:rPr>
              <w:t>20</w:t>
            </w:r>
          </w:p>
        </w:tc>
      </w:tr>
      <w:tr>
        <w:trPr>
          <w:trHeight w:val="359" w:hRule="atLeast"/>
        </w:trPr>
        <w:tc>
          <w:tcPr>
            <w:tcW w:w="648" w:type="dxa"/>
            <w:vMerge/>
            <w:tcBorders>
              <w:top w:val="nil"/>
              <w:bottom w:val="single" w:sz="6" w:space="0" w:color="000000"/>
              <w:right w:val="single" w:sz="6" w:space="0" w:color="000000"/>
            </w:tcBorders>
          </w:tcPr>
          <w:p>
            <w:pPr>
              <w:rPr>
                <w:sz w:val="2"/>
                <w:szCs w:val="2"/>
              </w:rPr>
            </w:pPr>
          </w:p>
        </w:tc>
        <w:tc>
          <w:tcPr>
            <w:tcW w:w="650" w:type="dxa"/>
            <w:vMerge/>
            <w:tcBorders>
              <w:top w:val="nil"/>
              <w:left w:val="single" w:sz="6" w:space="0" w:color="000000"/>
              <w:bottom w:val="single" w:sz="6" w:space="0" w:color="000000"/>
              <w:right w:val="single" w:sz="6" w:space="0" w:color="000000"/>
            </w:tcBorders>
          </w:tcPr>
          <w:p>
            <w:pPr>
              <w:rPr>
                <w:sz w:val="2"/>
                <w:szCs w:val="2"/>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6"/>
              <w:ind w:left="368" w:right="339"/>
              <w:rPr>
                <w:rFonts w:ascii="宋体" w:eastAsia="宋体" w:hint="eastAsia"/>
                <w:sz w:val="21"/>
              </w:rPr>
            </w:pPr>
            <w:r>
              <w:rPr>
                <w:rFonts w:ascii="宋体" w:eastAsia="宋体" w:hint="eastAsia"/>
                <w:sz w:val="21"/>
              </w:rPr>
              <w:t>废水处理系统</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6"/>
              <w:ind w:left="86" w:right="58"/>
              <w:rPr>
                <w:rFonts w:ascii="宋体" w:eastAsia="宋体" w:hint="eastAsia"/>
                <w:sz w:val="21"/>
              </w:rPr>
            </w:pPr>
            <w:r>
              <w:rPr>
                <w:rFonts w:ascii="宋体" w:eastAsia="宋体" w:hint="eastAsia"/>
                <w:sz w:val="21"/>
              </w:rPr>
              <w:t>污水处理间</w:t>
            </w:r>
          </w:p>
        </w:tc>
        <w:tc>
          <w:tcPr>
            <w:tcW w:w="1501" w:type="dxa"/>
            <w:tcBorders>
              <w:top w:val="single" w:sz="6" w:space="0" w:color="000000"/>
              <w:left w:val="single" w:sz="6" w:space="0" w:color="000000"/>
              <w:bottom w:val="single" w:sz="6" w:space="0" w:color="000000"/>
            </w:tcBorders>
          </w:tcPr>
          <w:p>
            <w:pPr>
              <w:pStyle w:val="TableParagraph"/>
              <w:spacing w:before="60"/>
              <w:ind w:left="103" w:right="70"/>
              <w:rPr>
                <w:sz w:val="21"/>
              </w:rPr>
            </w:pPr>
            <w:r>
              <w:rPr>
                <w:sz w:val="21"/>
              </w:rPr>
              <w:t>600</w:t>
            </w:r>
          </w:p>
        </w:tc>
      </w:tr>
      <w:tr>
        <w:trPr>
          <w:trHeight w:val="359" w:hRule="atLeast"/>
        </w:trPr>
        <w:tc>
          <w:tcPr>
            <w:tcW w:w="648" w:type="dxa"/>
            <w:vMerge/>
            <w:tcBorders>
              <w:top w:val="nil"/>
              <w:bottom w:val="single" w:sz="6" w:space="0" w:color="000000"/>
              <w:right w:val="single" w:sz="6" w:space="0" w:color="000000"/>
            </w:tcBorders>
          </w:tcPr>
          <w:p>
            <w:pPr>
              <w:rPr>
                <w:sz w:val="2"/>
                <w:szCs w:val="2"/>
              </w:rPr>
            </w:pPr>
          </w:p>
        </w:tc>
        <w:tc>
          <w:tcPr>
            <w:tcW w:w="650" w:type="dxa"/>
            <w:vMerge/>
            <w:tcBorders>
              <w:top w:val="nil"/>
              <w:left w:val="single" w:sz="6" w:space="0" w:color="000000"/>
              <w:bottom w:val="single" w:sz="6" w:space="0" w:color="000000"/>
              <w:right w:val="single" w:sz="6" w:space="0" w:color="000000"/>
            </w:tcBorders>
          </w:tcPr>
          <w:p>
            <w:pPr>
              <w:rPr>
                <w:sz w:val="2"/>
                <w:szCs w:val="2"/>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7" w:right="339"/>
              <w:rPr>
                <w:rFonts w:ascii="宋体" w:eastAsia="宋体" w:hint="eastAsia"/>
                <w:sz w:val="21"/>
              </w:rPr>
            </w:pPr>
            <w:r>
              <w:rPr>
                <w:rFonts w:ascii="宋体" w:eastAsia="宋体" w:hint="eastAsia"/>
                <w:sz w:val="21"/>
              </w:rPr>
              <w:t>事故应急池及应急切换、切断装置</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应急池</w:t>
            </w:r>
          </w:p>
        </w:tc>
        <w:tc>
          <w:tcPr>
            <w:tcW w:w="1501" w:type="dxa"/>
            <w:tcBorders>
              <w:top w:val="single" w:sz="6" w:space="0" w:color="000000"/>
              <w:left w:val="single" w:sz="6" w:space="0" w:color="000000"/>
              <w:bottom w:val="single" w:sz="6" w:space="0" w:color="000000"/>
            </w:tcBorders>
          </w:tcPr>
          <w:p>
            <w:pPr>
              <w:pStyle w:val="TableParagraph"/>
              <w:ind w:left="28"/>
              <w:rPr>
                <w:sz w:val="21"/>
              </w:rPr>
            </w:pPr>
            <w:r>
              <w:rPr>
                <w:w w:val="100"/>
                <w:sz w:val="21"/>
              </w:rPr>
              <w:t>6</w:t>
            </w:r>
          </w:p>
        </w:tc>
      </w:tr>
      <w:tr>
        <w:trPr>
          <w:trHeight w:val="359" w:hRule="atLeast"/>
        </w:trPr>
        <w:tc>
          <w:tcPr>
            <w:tcW w:w="648" w:type="dxa"/>
            <w:vMerge/>
            <w:tcBorders>
              <w:top w:val="nil"/>
              <w:bottom w:val="single" w:sz="6" w:space="0" w:color="000000"/>
              <w:right w:val="single" w:sz="6" w:space="0" w:color="000000"/>
            </w:tcBorders>
          </w:tcPr>
          <w:p>
            <w:pPr>
              <w:rPr>
                <w:sz w:val="2"/>
                <w:szCs w:val="2"/>
              </w:rPr>
            </w:pPr>
          </w:p>
        </w:tc>
        <w:tc>
          <w:tcPr>
            <w:tcW w:w="650" w:type="dxa"/>
            <w:vMerge/>
            <w:tcBorders>
              <w:top w:val="nil"/>
              <w:left w:val="single" w:sz="6" w:space="0" w:color="000000"/>
              <w:bottom w:val="single" w:sz="6" w:space="0" w:color="000000"/>
              <w:right w:val="single" w:sz="6" w:space="0" w:color="000000"/>
            </w:tcBorders>
          </w:tcPr>
          <w:p>
            <w:pPr>
              <w:rPr>
                <w:sz w:val="2"/>
                <w:szCs w:val="2"/>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9"/>
              <w:rPr>
                <w:rFonts w:ascii="宋体" w:eastAsia="宋体" w:hint="eastAsia"/>
                <w:sz w:val="21"/>
              </w:rPr>
            </w:pPr>
            <w:r>
              <w:rPr>
                <w:rFonts w:ascii="宋体" w:eastAsia="宋体" w:hint="eastAsia"/>
                <w:sz w:val="21"/>
              </w:rPr>
              <w:t>食堂废水隔油池</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食堂</w:t>
            </w:r>
          </w:p>
        </w:tc>
        <w:tc>
          <w:tcPr>
            <w:tcW w:w="1501" w:type="dxa"/>
            <w:tcBorders>
              <w:top w:val="single" w:sz="6" w:space="0" w:color="000000"/>
              <w:left w:val="single" w:sz="6" w:space="0" w:color="000000"/>
              <w:bottom w:val="single" w:sz="6" w:space="0" w:color="000000"/>
            </w:tcBorders>
          </w:tcPr>
          <w:p>
            <w:pPr>
              <w:pStyle w:val="TableParagraph"/>
              <w:ind w:left="28"/>
              <w:rPr>
                <w:sz w:val="21"/>
              </w:rPr>
            </w:pPr>
            <w:r>
              <w:rPr>
                <w:w w:val="100"/>
                <w:sz w:val="21"/>
              </w:rPr>
              <w:t>2</w:t>
            </w:r>
          </w:p>
        </w:tc>
      </w:tr>
      <w:tr>
        <w:trPr>
          <w:trHeight w:val="356" w:hRule="atLeast"/>
        </w:trPr>
        <w:tc>
          <w:tcPr>
            <w:tcW w:w="648" w:type="dxa"/>
            <w:vMerge/>
            <w:tcBorders>
              <w:top w:val="nil"/>
              <w:bottom w:val="single" w:sz="6" w:space="0" w:color="000000"/>
              <w:right w:val="single" w:sz="6" w:space="0" w:color="000000"/>
            </w:tcBorders>
          </w:tcPr>
          <w:p>
            <w:pPr>
              <w:rPr>
                <w:sz w:val="2"/>
                <w:szCs w:val="2"/>
              </w:rPr>
            </w:pPr>
          </w:p>
        </w:tc>
        <w:tc>
          <w:tcPr>
            <w:tcW w:w="650" w:type="dxa"/>
            <w:vMerge/>
            <w:tcBorders>
              <w:top w:val="nil"/>
              <w:left w:val="single" w:sz="6" w:space="0" w:color="000000"/>
              <w:bottom w:val="single" w:sz="6" w:space="0" w:color="000000"/>
              <w:right w:val="single" w:sz="6" w:space="0" w:color="000000"/>
            </w:tcBorders>
          </w:tcPr>
          <w:p>
            <w:pPr>
              <w:rPr>
                <w:sz w:val="2"/>
                <w:szCs w:val="2"/>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9"/>
              <w:rPr>
                <w:rFonts w:ascii="宋体" w:eastAsia="宋体" w:hint="eastAsia"/>
                <w:sz w:val="21"/>
              </w:rPr>
            </w:pPr>
            <w:r>
              <w:rPr>
                <w:rFonts w:ascii="宋体" w:eastAsia="宋体" w:hint="eastAsia"/>
                <w:sz w:val="21"/>
              </w:rPr>
              <w:t>地下水分区防渗</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厂区内</w:t>
            </w:r>
          </w:p>
        </w:tc>
        <w:tc>
          <w:tcPr>
            <w:tcW w:w="1501" w:type="dxa"/>
            <w:tcBorders>
              <w:top w:val="single" w:sz="6" w:space="0" w:color="000000"/>
              <w:left w:val="single" w:sz="6" w:space="0" w:color="000000"/>
              <w:bottom w:val="single" w:sz="6" w:space="0" w:color="000000"/>
            </w:tcBorders>
          </w:tcPr>
          <w:p>
            <w:pPr>
              <w:pStyle w:val="TableParagraph"/>
              <w:ind w:left="98" w:right="70"/>
              <w:rPr>
                <w:sz w:val="21"/>
              </w:rPr>
            </w:pPr>
            <w:r>
              <w:rPr>
                <w:sz w:val="21"/>
              </w:rPr>
              <w:t>30</w:t>
            </w:r>
          </w:p>
        </w:tc>
      </w:tr>
      <w:tr>
        <w:trPr>
          <w:trHeight w:val="351" w:hRule="atLeast"/>
        </w:trPr>
        <w:tc>
          <w:tcPr>
            <w:tcW w:w="648" w:type="dxa"/>
            <w:vMerge w:val="restart"/>
            <w:tcBorders>
              <w:top w:val="single" w:sz="6" w:space="0" w:color="000000"/>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12"/>
              <w:jc w:val="left"/>
              <w:rPr>
                <w:rFonts w:ascii="宋体"/>
                <w:b/>
                <w:sz w:val="18"/>
              </w:rPr>
            </w:pPr>
          </w:p>
          <w:p>
            <w:pPr>
              <w:pStyle w:val="TableParagraph"/>
              <w:spacing w:before="0"/>
              <w:ind w:left="21"/>
              <w:rPr>
                <w:sz w:val="21"/>
              </w:rPr>
            </w:pPr>
            <w:r>
              <w:rPr>
                <w:w w:val="100"/>
                <w:sz w:val="21"/>
              </w:rPr>
              <w:t>2</w:t>
            </w:r>
          </w:p>
        </w:tc>
        <w:tc>
          <w:tcPr>
            <w:tcW w:w="650"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1"/>
              <w:jc w:val="left"/>
              <w:rPr>
                <w:rFonts w:ascii="宋体"/>
                <w:b/>
                <w:sz w:val="21"/>
              </w:rPr>
            </w:pPr>
          </w:p>
          <w:p>
            <w:pPr>
              <w:pStyle w:val="TableParagraph"/>
              <w:spacing w:before="0"/>
              <w:ind w:left="119"/>
              <w:jc w:val="left"/>
              <w:rPr>
                <w:rFonts w:ascii="宋体" w:eastAsia="宋体" w:hint="eastAsia"/>
                <w:sz w:val="21"/>
              </w:rPr>
            </w:pPr>
            <w:r>
              <w:rPr>
                <w:rFonts w:ascii="宋体" w:eastAsia="宋体" w:hint="eastAsia"/>
                <w:sz w:val="21"/>
              </w:rPr>
              <w:t>废气</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6"/>
              <w:ind w:left="368" w:right="339"/>
              <w:rPr>
                <w:rFonts w:ascii="宋体" w:eastAsia="宋体" w:hint="eastAsia"/>
                <w:sz w:val="21"/>
              </w:rPr>
            </w:pPr>
            <w:r>
              <w:rPr>
                <w:rFonts w:ascii="宋体" w:eastAsia="宋体" w:hint="eastAsia"/>
                <w:sz w:val="21"/>
              </w:rPr>
              <w:t>各类猪舍通风及喷淋过滤除臭系统</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6"/>
              <w:ind w:left="86" w:right="58"/>
              <w:rPr>
                <w:rFonts w:ascii="宋体" w:eastAsia="宋体" w:hint="eastAsia"/>
                <w:sz w:val="21"/>
              </w:rPr>
            </w:pPr>
            <w:r>
              <w:rPr>
                <w:rFonts w:ascii="宋体" w:eastAsia="宋体" w:hint="eastAsia"/>
                <w:sz w:val="21"/>
              </w:rPr>
              <w:t>各类猪舍</w:t>
            </w:r>
          </w:p>
        </w:tc>
        <w:tc>
          <w:tcPr>
            <w:tcW w:w="1501" w:type="dxa"/>
            <w:tcBorders>
              <w:top w:val="single" w:sz="6" w:space="0" w:color="000000"/>
              <w:left w:val="single" w:sz="6" w:space="0" w:color="000000"/>
              <w:bottom w:val="single" w:sz="6" w:space="0" w:color="000000"/>
            </w:tcBorders>
          </w:tcPr>
          <w:p>
            <w:pPr>
              <w:pStyle w:val="TableParagraph"/>
              <w:spacing w:before="60"/>
              <w:ind w:left="103" w:right="70"/>
              <w:rPr>
                <w:sz w:val="21"/>
              </w:rPr>
            </w:pPr>
            <w:r>
              <w:rPr>
                <w:sz w:val="21"/>
              </w:rPr>
              <w:t>160</w:t>
            </w:r>
          </w:p>
        </w:tc>
      </w:tr>
      <w:tr>
        <w:trPr>
          <w:trHeight w:val="344" w:hRule="atLeast"/>
        </w:trPr>
        <w:tc>
          <w:tcPr>
            <w:tcW w:w="648" w:type="dxa"/>
            <w:vMerge/>
            <w:tcBorders>
              <w:top w:val="nil"/>
              <w:right w:val="single" w:sz="6" w:space="0" w:color="000000"/>
            </w:tcBorders>
          </w:tcPr>
          <w:p>
            <w:pPr>
              <w:rPr>
                <w:sz w:val="2"/>
                <w:szCs w:val="2"/>
              </w:rPr>
            </w:pPr>
          </w:p>
        </w:tc>
        <w:tc>
          <w:tcPr>
            <w:tcW w:w="650" w:type="dxa"/>
            <w:vMerge/>
            <w:tcBorders>
              <w:top w:val="nil"/>
              <w:left w:val="single" w:sz="6" w:space="0" w:color="000000"/>
              <w:right w:val="single" w:sz="6" w:space="0" w:color="000000"/>
            </w:tcBorders>
          </w:tcPr>
          <w:p>
            <w:pPr>
              <w:rPr>
                <w:sz w:val="2"/>
                <w:szCs w:val="2"/>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36"/>
              <w:ind w:left="368" w:right="337"/>
              <w:rPr>
                <w:rFonts w:ascii="宋体" w:eastAsia="宋体" w:hint="eastAsia"/>
                <w:sz w:val="21"/>
              </w:rPr>
            </w:pPr>
            <w:r>
              <w:rPr>
                <w:rFonts w:ascii="宋体" w:eastAsia="宋体" w:hint="eastAsia"/>
                <w:sz w:val="21"/>
              </w:rPr>
              <w:t>粪污处理区臭气收集及除臭系统</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36"/>
              <w:ind w:left="86" w:right="58"/>
              <w:rPr>
                <w:rFonts w:ascii="宋体" w:eastAsia="宋体" w:hint="eastAsia"/>
                <w:sz w:val="21"/>
              </w:rPr>
            </w:pPr>
            <w:r>
              <w:rPr>
                <w:rFonts w:ascii="宋体" w:eastAsia="宋体" w:hint="eastAsia"/>
                <w:sz w:val="21"/>
              </w:rPr>
              <w:t>粪污处理区</w:t>
            </w:r>
          </w:p>
        </w:tc>
        <w:tc>
          <w:tcPr>
            <w:tcW w:w="1501" w:type="dxa"/>
            <w:tcBorders>
              <w:top w:val="single" w:sz="6" w:space="0" w:color="000000"/>
              <w:left w:val="single" w:sz="6" w:space="0" w:color="000000"/>
              <w:bottom w:val="single" w:sz="6" w:space="0" w:color="000000"/>
            </w:tcBorders>
          </w:tcPr>
          <w:p>
            <w:pPr>
              <w:pStyle w:val="TableParagraph"/>
              <w:spacing w:before="50"/>
              <w:ind w:left="98" w:right="70"/>
              <w:rPr>
                <w:sz w:val="21"/>
              </w:rPr>
            </w:pPr>
            <w:r>
              <w:rPr>
                <w:sz w:val="21"/>
              </w:rPr>
              <w:t>80</w:t>
            </w:r>
          </w:p>
        </w:tc>
      </w:tr>
      <w:tr>
        <w:trPr>
          <w:trHeight w:val="344" w:hRule="atLeast"/>
        </w:trPr>
        <w:tc>
          <w:tcPr>
            <w:tcW w:w="648" w:type="dxa"/>
            <w:vMerge/>
            <w:tcBorders>
              <w:top w:val="nil"/>
              <w:right w:val="single" w:sz="6" w:space="0" w:color="000000"/>
            </w:tcBorders>
          </w:tcPr>
          <w:p>
            <w:pPr>
              <w:rPr>
                <w:sz w:val="2"/>
                <w:szCs w:val="2"/>
              </w:rPr>
            </w:pPr>
          </w:p>
        </w:tc>
        <w:tc>
          <w:tcPr>
            <w:tcW w:w="650" w:type="dxa"/>
            <w:vMerge/>
            <w:tcBorders>
              <w:top w:val="nil"/>
              <w:left w:val="single" w:sz="6" w:space="0" w:color="000000"/>
              <w:right w:val="single" w:sz="6" w:space="0" w:color="000000"/>
            </w:tcBorders>
          </w:tcPr>
          <w:p>
            <w:pPr>
              <w:rPr>
                <w:sz w:val="2"/>
                <w:szCs w:val="2"/>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36"/>
              <w:ind w:left="368" w:right="336"/>
              <w:rPr>
                <w:rFonts w:ascii="宋体" w:eastAsia="宋体" w:hint="eastAsia"/>
                <w:sz w:val="21"/>
              </w:rPr>
            </w:pPr>
            <w:r>
              <w:rPr>
                <w:rFonts w:ascii="宋体" w:eastAsia="宋体" w:hint="eastAsia"/>
                <w:sz w:val="21"/>
              </w:rPr>
              <w:t>猪粪发酵罐除臭系统</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36"/>
              <w:ind w:left="86" w:right="58"/>
              <w:rPr>
                <w:rFonts w:ascii="宋体" w:eastAsia="宋体" w:hint="eastAsia"/>
                <w:sz w:val="21"/>
              </w:rPr>
            </w:pPr>
            <w:r>
              <w:rPr>
                <w:rFonts w:ascii="宋体" w:eastAsia="宋体" w:hint="eastAsia"/>
                <w:sz w:val="21"/>
              </w:rPr>
              <w:t>猪粪发酵间</w:t>
            </w:r>
          </w:p>
        </w:tc>
        <w:tc>
          <w:tcPr>
            <w:tcW w:w="1501" w:type="dxa"/>
            <w:tcBorders>
              <w:top w:val="single" w:sz="6" w:space="0" w:color="000000"/>
              <w:left w:val="single" w:sz="6" w:space="0" w:color="000000"/>
              <w:bottom w:val="single" w:sz="6" w:space="0" w:color="000000"/>
            </w:tcBorders>
          </w:tcPr>
          <w:p>
            <w:pPr>
              <w:pStyle w:val="TableParagraph"/>
              <w:spacing w:before="36"/>
              <w:ind w:left="100" w:right="70"/>
              <w:rPr>
                <w:rFonts w:ascii="宋体" w:eastAsia="宋体" w:hint="eastAsia"/>
                <w:sz w:val="21"/>
              </w:rPr>
            </w:pPr>
            <w:r>
              <w:rPr>
                <w:rFonts w:ascii="宋体" w:eastAsia="宋体" w:hint="eastAsia"/>
                <w:sz w:val="21"/>
              </w:rPr>
              <w:t>设备投资</w:t>
            </w:r>
          </w:p>
        </w:tc>
      </w:tr>
      <w:tr>
        <w:trPr>
          <w:trHeight w:val="342" w:hRule="atLeast"/>
        </w:trPr>
        <w:tc>
          <w:tcPr>
            <w:tcW w:w="648" w:type="dxa"/>
            <w:vMerge/>
            <w:tcBorders>
              <w:top w:val="nil"/>
              <w:right w:val="single" w:sz="6" w:space="0" w:color="000000"/>
            </w:tcBorders>
          </w:tcPr>
          <w:p>
            <w:pPr>
              <w:rPr>
                <w:sz w:val="2"/>
                <w:szCs w:val="2"/>
              </w:rPr>
            </w:pPr>
          </w:p>
        </w:tc>
        <w:tc>
          <w:tcPr>
            <w:tcW w:w="650" w:type="dxa"/>
            <w:vMerge/>
            <w:tcBorders>
              <w:top w:val="nil"/>
              <w:left w:val="single" w:sz="6" w:space="0" w:color="000000"/>
              <w:right w:val="single" w:sz="6" w:space="0" w:color="000000"/>
            </w:tcBorders>
          </w:tcPr>
          <w:p>
            <w:pPr>
              <w:rPr>
                <w:sz w:val="2"/>
                <w:szCs w:val="2"/>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36"/>
              <w:ind w:left="368" w:right="337"/>
              <w:rPr>
                <w:rFonts w:ascii="宋体" w:eastAsia="宋体" w:hint="eastAsia"/>
                <w:sz w:val="21"/>
              </w:rPr>
            </w:pPr>
            <w:r>
              <w:rPr>
                <w:rFonts w:ascii="宋体" w:eastAsia="宋体" w:hint="eastAsia"/>
                <w:sz w:val="21"/>
              </w:rPr>
              <w:t>病死猪无害化处理机除臭系统</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36"/>
              <w:ind w:left="87" w:right="56"/>
              <w:rPr>
                <w:rFonts w:ascii="宋体" w:eastAsia="宋体" w:hint="eastAsia"/>
                <w:sz w:val="21"/>
              </w:rPr>
            </w:pPr>
            <w:r>
              <w:rPr>
                <w:rFonts w:ascii="宋体" w:eastAsia="宋体" w:hint="eastAsia"/>
                <w:sz w:val="21"/>
              </w:rPr>
              <w:t>无害化处理间</w:t>
            </w:r>
          </w:p>
        </w:tc>
        <w:tc>
          <w:tcPr>
            <w:tcW w:w="1501" w:type="dxa"/>
            <w:tcBorders>
              <w:top w:val="single" w:sz="6" w:space="0" w:color="000000"/>
              <w:left w:val="single" w:sz="6" w:space="0" w:color="000000"/>
              <w:bottom w:val="single" w:sz="6" w:space="0" w:color="000000"/>
            </w:tcBorders>
          </w:tcPr>
          <w:p>
            <w:pPr>
              <w:pStyle w:val="TableParagraph"/>
              <w:spacing w:before="36"/>
              <w:ind w:left="100" w:right="70"/>
              <w:rPr>
                <w:rFonts w:ascii="宋体" w:eastAsia="宋体" w:hint="eastAsia"/>
                <w:sz w:val="21"/>
              </w:rPr>
            </w:pPr>
            <w:r>
              <w:rPr>
                <w:rFonts w:ascii="宋体" w:eastAsia="宋体" w:hint="eastAsia"/>
                <w:sz w:val="21"/>
              </w:rPr>
              <w:t>设备投资</w:t>
            </w:r>
          </w:p>
        </w:tc>
      </w:tr>
      <w:tr>
        <w:trPr>
          <w:trHeight w:val="351" w:hRule="atLeast"/>
        </w:trPr>
        <w:tc>
          <w:tcPr>
            <w:tcW w:w="648" w:type="dxa"/>
            <w:vMerge/>
            <w:tcBorders>
              <w:top w:val="nil"/>
              <w:right w:val="single" w:sz="6" w:space="0" w:color="000000"/>
            </w:tcBorders>
          </w:tcPr>
          <w:p>
            <w:pPr>
              <w:rPr>
                <w:sz w:val="2"/>
                <w:szCs w:val="2"/>
              </w:rPr>
            </w:pPr>
          </w:p>
        </w:tc>
        <w:tc>
          <w:tcPr>
            <w:tcW w:w="650" w:type="dxa"/>
            <w:vMerge/>
            <w:tcBorders>
              <w:top w:val="nil"/>
              <w:left w:val="single" w:sz="6" w:space="0" w:color="000000"/>
              <w:right w:val="single" w:sz="6" w:space="0" w:color="000000"/>
            </w:tcBorders>
          </w:tcPr>
          <w:p>
            <w:pPr>
              <w:rPr>
                <w:sz w:val="2"/>
                <w:szCs w:val="2"/>
              </w:rPr>
            </w:pPr>
          </w:p>
        </w:tc>
        <w:tc>
          <w:tcPr>
            <w:tcW w:w="3913" w:type="dxa"/>
            <w:tcBorders>
              <w:top w:val="single" w:sz="6" w:space="0" w:color="000000"/>
              <w:left w:val="single" w:sz="6" w:space="0" w:color="000000"/>
              <w:right w:val="single" w:sz="6" w:space="0" w:color="000000"/>
            </w:tcBorders>
          </w:tcPr>
          <w:p>
            <w:pPr>
              <w:pStyle w:val="TableParagraph"/>
              <w:spacing w:before="39"/>
              <w:ind w:left="368" w:right="336"/>
              <w:rPr>
                <w:rFonts w:ascii="宋体" w:eastAsia="宋体" w:hint="eastAsia"/>
                <w:sz w:val="21"/>
              </w:rPr>
            </w:pPr>
            <w:r>
              <w:rPr>
                <w:rFonts w:ascii="宋体" w:eastAsia="宋体" w:hint="eastAsia"/>
                <w:sz w:val="21"/>
              </w:rPr>
              <w:t>沼气锅炉排放装置</w:t>
            </w:r>
          </w:p>
        </w:tc>
        <w:tc>
          <w:tcPr>
            <w:tcW w:w="2720" w:type="dxa"/>
            <w:tcBorders>
              <w:top w:val="single" w:sz="6" w:space="0" w:color="000000"/>
              <w:left w:val="single" w:sz="6" w:space="0" w:color="000000"/>
              <w:right w:val="single" w:sz="6" w:space="0" w:color="000000"/>
            </w:tcBorders>
          </w:tcPr>
          <w:p>
            <w:pPr>
              <w:pStyle w:val="TableParagraph"/>
              <w:spacing w:before="39"/>
              <w:ind w:left="86" w:right="58"/>
              <w:rPr>
                <w:rFonts w:ascii="宋体" w:eastAsia="宋体" w:hint="eastAsia"/>
                <w:sz w:val="21"/>
              </w:rPr>
            </w:pPr>
            <w:r>
              <w:rPr>
                <w:rFonts w:ascii="宋体" w:eastAsia="宋体" w:hint="eastAsia"/>
                <w:sz w:val="21"/>
              </w:rPr>
              <w:t>沼气利用间</w:t>
            </w:r>
          </w:p>
        </w:tc>
        <w:tc>
          <w:tcPr>
            <w:tcW w:w="1501" w:type="dxa"/>
            <w:tcBorders>
              <w:top w:val="single" w:sz="6" w:space="0" w:color="000000"/>
              <w:left w:val="single" w:sz="6" w:space="0" w:color="000000"/>
            </w:tcBorders>
          </w:tcPr>
          <w:p>
            <w:pPr>
              <w:pStyle w:val="TableParagraph"/>
              <w:spacing w:before="39"/>
              <w:ind w:left="100" w:right="70"/>
              <w:rPr>
                <w:rFonts w:ascii="宋体" w:eastAsia="宋体" w:hint="eastAsia"/>
                <w:sz w:val="21"/>
              </w:rPr>
            </w:pPr>
            <w:r>
              <w:rPr>
                <w:rFonts w:ascii="宋体" w:eastAsia="宋体" w:hint="eastAsia"/>
                <w:sz w:val="21"/>
              </w:rPr>
              <w:t>设备投资</w:t>
            </w:r>
          </w:p>
        </w:tc>
      </w:tr>
    </w:tbl>
    <w:p>
      <w:pPr>
        <w:spacing w:after="0"/>
        <w:rPr>
          <w:rFonts w:ascii="宋体" w:eastAsia="宋体" w:hint="eastAsia"/>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48"/>
        <w:gridCol w:w="650"/>
        <w:gridCol w:w="3913"/>
        <w:gridCol w:w="2720"/>
        <w:gridCol w:w="1501"/>
      </w:tblGrid>
      <w:tr>
        <w:trPr>
          <w:trHeight w:val="359" w:hRule="atLeast"/>
        </w:trPr>
        <w:tc>
          <w:tcPr>
            <w:tcW w:w="648" w:type="dxa"/>
            <w:tcBorders>
              <w:bottom w:val="single" w:sz="6" w:space="0" w:color="000000"/>
              <w:right w:val="single" w:sz="6" w:space="0" w:color="000000"/>
            </w:tcBorders>
          </w:tcPr>
          <w:p>
            <w:pPr>
              <w:pStyle w:val="TableParagraph"/>
              <w:spacing w:before="46"/>
              <w:ind w:left="92" w:right="71"/>
              <w:rPr>
                <w:rFonts w:ascii="宋体" w:eastAsia="宋体" w:hint="eastAsia"/>
                <w:b/>
                <w:sz w:val="21"/>
              </w:rPr>
            </w:pPr>
            <w:r>
              <w:rPr>
                <w:rFonts w:ascii="宋体" w:eastAsia="宋体" w:hint="eastAsia"/>
                <w:b/>
                <w:sz w:val="21"/>
              </w:rPr>
              <w:t>序号</w:t>
            </w:r>
          </w:p>
        </w:tc>
        <w:tc>
          <w:tcPr>
            <w:tcW w:w="650" w:type="dxa"/>
            <w:tcBorders>
              <w:left w:val="single" w:sz="6" w:space="0" w:color="000000"/>
              <w:bottom w:val="single" w:sz="6" w:space="0" w:color="000000"/>
              <w:right w:val="single" w:sz="6" w:space="0" w:color="000000"/>
            </w:tcBorders>
          </w:tcPr>
          <w:p>
            <w:pPr>
              <w:pStyle w:val="TableParagraph"/>
              <w:spacing w:before="46"/>
              <w:ind w:left="119"/>
              <w:jc w:val="left"/>
              <w:rPr>
                <w:rFonts w:ascii="宋体" w:eastAsia="宋体" w:hint="eastAsia"/>
                <w:b/>
                <w:sz w:val="21"/>
              </w:rPr>
            </w:pPr>
            <w:r>
              <w:rPr>
                <w:rFonts w:ascii="宋体" w:eastAsia="宋体" w:hint="eastAsia"/>
                <w:b/>
                <w:sz w:val="21"/>
              </w:rPr>
              <w:t>项目</w:t>
            </w:r>
          </w:p>
        </w:tc>
        <w:tc>
          <w:tcPr>
            <w:tcW w:w="3913" w:type="dxa"/>
            <w:tcBorders>
              <w:left w:val="single" w:sz="6" w:space="0" w:color="000000"/>
              <w:bottom w:val="single" w:sz="6" w:space="0" w:color="000000"/>
              <w:right w:val="single" w:sz="6" w:space="0" w:color="000000"/>
            </w:tcBorders>
          </w:tcPr>
          <w:p>
            <w:pPr>
              <w:pStyle w:val="TableParagraph"/>
              <w:spacing w:before="46"/>
              <w:ind w:left="368" w:right="339"/>
              <w:rPr>
                <w:rFonts w:ascii="宋体" w:eastAsia="宋体" w:hint="eastAsia"/>
                <w:b/>
                <w:sz w:val="21"/>
              </w:rPr>
            </w:pPr>
            <w:r>
              <w:rPr>
                <w:rFonts w:ascii="宋体" w:eastAsia="宋体" w:hint="eastAsia"/>
                <w:b/>
                <w:sz w:val="21"/>
              </w:rPr>
              <w:t>环保设备、设施名称</w:t>
            </w:r>
          </w:p>
        </w:tc>
        <w:tc>
          <w:tcPr>
            <w:tcW w:w="2720" w:type="dxa"/>
            <w:tcBorders>
              <w:left w:val="single" w:sz="6" w:space="0" w:color="000000"/>
              <w:bottom w:val="single" w:sz="6" w:space="0" w:color="000000"/>
              <w:right w:val="single" w:sz="6" w:space="0" w:color="000000"/>
            </w:tcBorders>
          </w:tcPr>
          <w:p>
            <w:pPr>
              <w:pStyle w:val="TableParagraph"/>
              <w:spacing w:before="46"/>
              <w:ind w:left="87" w:right="56"/>
              <w:rPr>
                <w:rFonts w:ascii="宋体" w:eastAsia="宋体" w:hint="eastAsia"/>
                <w:b/>
                <w:sz w:val="21"/>
              </w:rPr>
            </w:pPr>
            <w:r>
              <w:rPr>
                <w:rFonts w:ascii="宋体" w:eastAsia="宋体" w:hint="eastAsia"/>
                <w:b/>
                <w:sz w:val="21"/>
              </w:rPr>
              <w:t>实施位置</w:t>
            </w:r>
          </w:p>
        </w:tc>
        <w:tc>
          <w:tcPr>
            <w:tcW w:w="1501" w:type="dxa"/>
            <w:tcBorders>
              <w:left w:val="single" w:sz="6" w:space="0" w:color="000000"/>
              <w:bottom w:val="single" w:sz="6" w:space="0" w:color="000000"/>
            </w:tcBorders>
          </w:tcPr>
          <w:p>
            <w:pPr>
              <w:pStyle w:val="TableParagraph"/>
              <w:spacing w:before="46"/>
              <w:ind w:left="103" w:right="70"/>
              <w:rPr>
                <w:rFonts w:ascii="宋体" w:eastAsia="宋体" w:hint="eastAsia"/>
                <w:b/>
                <w:sz w:val="21"/>
              </w:rPr>
            </w:pPr>
            <w:r>
              <w:rPr>
                <w:rFonts w:ascii="宋体" w:eastAsia="宋体" w:hint="eastAsia"/>
                <w:b/>
                <w:sz w:val="21"/>
              </w:rPr>
              <w:t>投资（万元）</w:t>
            </w:r>
          </w:p>
        </w:tc>
      </w:tr>
      <w:tr>
        <w:trPr>
          <w:trHeight w:val="359" w:hRule="atLeast"/>
        </w:trPr>
        <w:tc>
          <w:tcPr>
            <w:tcW w:w="648" w:type="dxa"/>
            <w:tcBorders>
              <w:top w:val="single" w:sz="6" w:space="0" w:color="000000"/>
              <w:bottom w:val="single" w:sz="6" w:space="0" w:color="000000"/>
              <w:right w:val="single" w:sz="6" w:space="0" w:color="000000"/>
            </w:tcBorders>
          </w:tcPr>
          <w:p>
            <w:pPr>
              <w:pStyle w:val="TableParagraph"/>
              <w:spacing w:before="0"/>
              <w:jc w:val="left"/>
              <w:rPr>
                <w:sz w:val="20"/>
              </w:rPr>
            </w:pP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9"/>
              <w:rPr>
                <w:rFonts w:ascii="宋体" w:eastAsia="宋体" w:hint="eastAsia"/>
                <w:sz w:val="21"/>
              </w:rPr>
            </w:pPr>
            <w:r>
              <w:rPr>
                <w:rFonts w:ascii="宋体" w:eastAsia="宋体" w:hint="eastAsia"/>
                <w:sz w:val="21"/>
              </w:rPr>
              <w:t>油烟净化装置</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6"/>
              <w:rPr>
                <w:rFonts w:ascii="宋体" w:eastAsia="宋体" w:hint="eastAsia"/>
                <w:sz w:val="21"/>
              </w:rPr>
            </w:pPr>
            <w:r>
              <w:rPr>
                <w:rFonts w:ascii="宋体" w:eastAsia="宋体" w:hint="eastAsia"/>
                <w:sz w:val="21"/>
              </w:rPr>
              <w:t>食堂</w:t>
            </w:r>
          </w:p>
        </w:tc>
        <w:tc>
          <w:tcPr>
            <w:tcW w:w="1501" w:type="dxa"/>
            <w:tcBorders>
              <w:top w:val="single" w:sz="6" w:space="0" w:color="000000"/>
              <w:left w:val="single" w:sz="6" w:space="0" w:color="000000"/>
              <w:bottom w:val="single" w:sz="6" w:space="0" w:color="000000"/>
            </w:tcBorders>
          </w:tcPr>
          <w:p>
            <w:pPr>
              <w:pStyle w:val="TableParagraph"/>
              <w:ind w:left="28"/>
              <w:rPr>
                <w:sz w:val="21"/>
              </w:rPr>
            </w:pPr>
            <w:r>
              <w:rPr>
                <w:w w:val="100"/>
                <w:sz w:val="21"/>
              </w:rPr>
              <w:t>2</w:t>
            </w:r>
          </w:p>
        </w:tc>
      </w:tr>
      <w:tr>
        <w:trPr>
          <w:trHeight w:val="357" w:hRule="atLeast"/>
        </w:trPr>
        <w:tc>
          <w:tcPr>
            <w:tcW w:w="648" w:type="dxa"/>
            <w:tcBorders>
              <w:top w:val="single" w:sz="6" w:space="0" w:color="000000"/>
              <w:bottom w:val="single" w:sz="6" w:space="0" w:color="000000"/>
              <w:right w:val="single" w:sz="6" w:space="0" w:color="000000"/>
            </w:tcBorders>
          </w:tcPr>
          <w:p>
            <w:pPr>
              <w:pStyle w:val="TableParagraph"/>
              <w:ind w:left="21"/>
              <w:rPr>
                <w:sz w:val="21"/>
              </w:rPr>
            </w:pPr>
            <w:r>
              <w:rPr>
                <w:w w:val="100"/>
                <w:sz w:val="21"/>
              </w:rPr>
              <w:t>3</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44"/>
              <w:ind w:left="119"/>
              <w:jc w:val="left"/>
              <w:rPr>
                <w:rFonts w:ascii="宋体" w:eastAsia="宋体" w:hint="eastAsia"/>
                <w:sz w:val="21"/>
              </w:rPr>
            </w:pPr>
            <w:r>
              <w:rPr>
                <w:rFonts w:ascii="宋体" w:eastAsia="宋体" w:hint="eastAsia"/>
                <w:sz w:val="21"/>
              </w:rPr>
              <w:t>噪声</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44"/>
              <w:ind w:left="368" w:right="339"/>
              <w:rPr>
                <w:rFonts w:ascii="宋体" w:eastAsia="宋体" w:hint="eastAsia"/>
                <w:sz w:val="21"/>
              </w:rPr>
            </w:pPr>
            <w:r>
              <w:rPr>
                <w:rFonts w:ascii="宋体" w:eastAsia="宋体" w:hint="eastAsia"/>
                <w:sz w:val="21"/>
              </w:rPr>
              <w:t>减振降噪措施</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4"/>
              <w:ind w:left="87" w:right="58"/>
              <w:rPr>
                <w:rFonts w:ascii="宋体" w:eastAsia="宋体" w:hint="eastAsia"/>
                <w:sz w:val="21"/>
              </w:rPr>
            </w:pPr>
            <w:r>
              <w:rPr>
                <w:rFonts w:ascii="宋体" w:eastAsia="宋体" w:hint="eastAsia"/>
                <w:sz w:val="21"/>
              </w:rPr>
              <w:t>猪舍、污水处理、发酵间等</w:t>
            </w:r>
          </w:p>
        </w:tc>
        <w:tc>
          <w:tcPr>
            <w:tcW w:w="1501" w:type="dxa"/>
            <w:tcBorders>
              <w:top w:val="single" w:sz="6" w:space="0" w:color="000000"/>
              <w:left w:val="single" w:sz="6" w:space="0" w:color="000000"/>
              <w:bottom w:val="single" w:sz="6" w:space="0" w:color="000000"/>
            </w:tcBorders>
          </w:tcPr>
          <w:p>
            <w:pPr>
              <w:pStyle w:val="TableParagraph"/>
              <w:ind w:left="98" w:right="70"/>
              <w:rPr>
                <w:sz w:val="21"/>
              </w:rPr>
            </w:pPr>
            <w:r>
              <w:rPr>
                <w:sz w:val="21"/>
              </w:rPr>
              <w:t>20</w:t>
            </w:r>
          </w:p>
        </w:tc>
      </w:tr>
      <w:tr>
        <w:trPr>
          <w:trHeight w:val="719" w:hRule="atLeast"/>
        </w:trPr>
        <w:tc>
          <w:tcPr>
            <w:tcW w:w="648" w:type="dxa"/>
            <w:tcBorders>
              <w:top w:val="single" w:sz="6" w:space="0" w:color="000000"/>
              <w:bottom w:val="single" w:sz="6" w:space="0" w:color="000000"/>
              <w:right w:val="single" w:sz="6" w:space="0" w:color="000000"/>
            </w:tcBorders>
          </w:tcPr>
          <w:p>
            <w:pPr>
              <w:pStyle w:val="TableParagraph"/>
              <w:spacing w:before="7"/>
              <w:jc w:val="left"/>
              <w:rPr>
                <w:rFonts w:ascii="宋体"/>
                <w:b/>
                <w:sz w:val="18"/>
              </w:rPr>
            </w:pPr>
          </w:p>
          <w:p>
            <w:pPr>
              <w:pStyle w:val="TableParagraph"/>
              <w:spacing w:before="0"/>
              <w:ind w:left="21"/>
              <w:rPr>
                <w:sz w:val="21"/>
              </w:rPr>
            </w:pPr>
            <w:r>
              <w:rPr>
                <w:w w:val="100"/>
                <w:sz w:val="21"/>
              </w:rPr>
              <w:t>4</w:t>
            </w:r>
          </w:p>
        </w:tc>
        <w:tc>
          <w:tcPr>
            <w:tcW w:w="650"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19"/>
              <w:jc w:val="left"/>
              <w:rPr>
                <w:rFonts w:ascii="宋体" w:eastAsia="宋体" w:hint="eastAsia"/>
                <w:sz w:val="21"/>
              </w:rPr>
            </w:pPr>
            <w:r>
              <w:rPr>
                <w:rFonts w:ascii="宋体" w:eastAsia="宋体" w:hint="eastAsia"/>
                <w:sz w:val="21"/>
              </w:rPr>
              <w:t>固废</w:t>
            </w:r>
          </w:p>
        </w:tc>
        <w:tc>
          <w:tcPr>
            <w:tcW w:w="3913"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368" w:right="339"/>
              <w:rPr>
                <w:rFonts w:ascii="宋体" w:eastAsia="宋体" w:hint="eastAsia"/>
                <w:sz w:val="21"/>
              </w:rPr>
            </w:pPr>
            <w:r>
              <w:rPr>
                <w:rFonts w:ascii="宋体" w:eastAsia="宋体" w:hint="eastAsia"/>
                <w:sz w:val="21"/>
              </w:rPr>
              <w:t>各种固体废物暂存及处置</w:t>
            </w:r>
          </w:p>
        </w:tc>
        <w:tc>
          <w:tcPr>
            <w:tcW w:w="2720" w:type="dxa"/>
            <w:tcBorders>
              <w:top w:val="single" w:sz="6" w:space="0" w:color="000000"/>
              <w:left w:val="single" w:sz="6" w:space="0" w:color="000000"/>
              <w:bottom w:val="single" w:sz="6" w:space="0" w:color="000000"/>
              <w:right w:val="single" w:sz="6" w:space="0" w:color="000000"/>
            </w:tcBorders>
          </w:tcPr>
          <w:p>
            <w:pPr>
              <w:pStyle w:val="TableParagraph"/>
              <w:spacing w:before="46"/>
              <w:ind w:left="211"/>
              <w:jc w:val="left"/>
              <w:rPr>
                <w:rFonts w:ascii="宋体" w:eastAsia="宋体" w:hint="eastAsia"/>
                <w:sz w:val="21"/>
              </w:rPr>
            </w:pPr>
            <w:r>
              <w:rPr>
                <w:rFonts w:ascii="宋体" w:eastAsia="宋体" w:hint="eastAsia"/>
                <w:sz w:val="21"/>
              </w:rPr>
              <w:t>有机肥车间、无害化处置</w:t>
            </w:r>
          </w:p>
          <w:p>
            <w:pPr>
              <w:pStyle w:val="TableParagraph"/>
              <w:spacing w:before="89"/>
              <w:ind w:left="316"/>
              <w:jc w:val="left"/>
              <w:rPr>
                <w:rFonts w:ascii="宋体" w:eastAsia="宋体" w:hint="eastAsia"/>
                <w:sz w:val="21"/>
              </w:rPr>
            </w:pPr>
            <w:r>
              <w:rPr>
                <w:rFonts w:ascii="宋体" w:eastAsia="宋体" w:hint="eastAsia"/>
                <w:sz w:val="21"/>
              </w:rPr>
              <w:t>间、兽医室医废暂存间</w:t>
            </w:r>
          </w:p>
        </w:tc>
        <w:tc>
          <w:tcPr>
            <w:tcW w:w="1501" w:type="dxa"/>
            <w:tcBorders>
              <w:top w:val="single" w:sz="6" w:space="0" w:color="000000"/>
              <w:left w:val="single" w:sz="6" w:space="0" w:color="000000"/>
              <w:bottom w:val="single" w:sz="6" w:space="0" w:color="000000"/>
            </w:tcBorders>
          </w:tcPr>
          <w:p>
            <w:pPr>
              <w:pStyle w:val="TableParagraph"/>
              <w:spacing w:before="7"/>
              <w:jc w:val="left"/>
              <w:rPr>
                <w:rFonts w:ascii="宋体"/>
                <w:b/>
                <w:sz w:val="18"/>
              </w:rPr>
            </w:pPr>
          </w:p>
          <w:p>
            <w:pPr>
              <w:pStyle w:val="TableParagraph"/>
              <w:spacing w:before="0"/>
              <w:ind w:left="103" w:right="70"/>
              <w:rPr>
                <w:sz w:val="21"/>
              </w:rPr>
            </w:pPr>
            <w:r>
              <w:rPr>
                <w:sz w:val="21"/>
              </w:rPr>
              <w:t>130</w:t>
            </w:r>
          </w:p>
        </w:tc>
      </w:tr>
      <w:tr>
        <w:trPr>
          <w:trHeight w:val="359" w:hRule="atLeast"/>
        </w:trPr>
        <w:tc>
          <w:tcPr>
            <w:tcW w:w="5211" w:type="dxa"/>
            <w:gridSpan w:val="3"/>
            <w:tcBorders>
              <w:top w:val="single" w:sz="6" w:space="0" w:color="000000"/>
              <w:right w:val="single" w:sz="6" w:space="0" w:color="000000"/>
            </w:tcBorders>
          </w:tcPr>
          <w:p>
            <w:pPr>
              <w:pStyle w:val="TableParagraph"/>
              <w:spacing w:before="44"/>
              <w:ind w:left="34" w:right="10"/>
              <w:rPr>
                <w:rFonts w:ascii="宋体" w:eastAsia="宋体" w:hint="eastAsia"/>
                <w:sz w:val="21"/>
              </w:rPr>
            </w:pPr>
            <w:r>
              <w:rPr>
                <w:rFonts w:ascii="宋体" w:eastAsia="宋体" w:hint="eastAsia"/>
                <w:sz w:val="21"/>
              </w:rPr>
              <w:t>合计</w:t>
            </w:r>
          </w:p>
        </w:tc>
        <w:tc>
          <w:tcPr>
            <w:tcW w:w="2720" w:type="dxa"/>
            <w:tcBorders>
              <w:top w:val="single" w:sz="6" w:space="0" w:color="000000"/>
              <w:left w:val="single" w:sz="6" w:space="0" w:color="000000"/>
              <w:right w:val="single" w:sz="6" w:space="0" w:color="000000"/>
            </w:tcBorders>
          </w:tcPr>
          <w:p>
            <w:pPr>
              <w:pStyle w:val="TableParagraph"/>
              <w:ind w:left="28"/>
              <w:rPr>
                <w:sz w:val="21"/>
              </w:rPr>
            </w:pPr>
            <w:r>
              <w:rPr>
                <w:w w:val="100"/>
                <w:sz w:val="21"/>
              </w:rPr>
              <w:t>/</w:t>
            </w:r>
          </w:p>
        </w:tc>
        <w:tc>
          <w:tcPr>
            <w:tcW w:w="1501" w:type="dxa"/>
            <w:tcBorders>
              <w:top w:val="single" w:sz="6" w:space="0" w:color="000000"/>
              <w:left w:val="single" w:sz="6" w:space="0" w:color="000000"/>
            </w:tcBorders>
          </w:tcPr>
          <w:p>
            <w:pPr>
              <w:pStyle w:val="TableParagraph"/>
              <w:ind w:left="103" w:right="70"/>
              <w:rPr>
                <w:sz w:val="21"/>
              </w:rPr>
            </w:pPr>
            <w:r>
              <w:rPr>
                <w:sz w:val="21"/>
              </w:rPr>
              <w:t>1077</w:t>
            </w:r>
          </w:p>
        </w:tc>
      </w:tr>
    </w:tbl>
    <w:p>
      <w:pPr>
        <w:pStyle w:val="BodyText"/>
        <w:spacing w:line="364" w:lineRule="auto" w:before="91"/>
        <w:ind w:right="254" w:firstLine="480"/>
      </w:pPr>
      <w:r>
        <w:rPr/>
        <w:t>除此之外，还包括环保工程运行管理费用，如设备折旧、设备大修、能源、环保材料消耗、环保工作人员成本、管理费用等，预计为 </w:t>
      </w:r>
      <w:r>
        <w:rPr>
          <w:rFonts w:ascii="Times New Roman" w:eastAsia="Times New Roman"/>
        </w:rPr>
        <w:t>185 </w:t>
      </w:r>
      <w:r>
        <w:rPr/>
        <w:t>万</w:t>
      </w:r>
      <w:r>
        <w:rPr>
          <w:rFonts w:ascii="Times New Roman" w:eastAsia="Times New Roman"/>
        </w:rPr>
        <w:t>/</w:t>
      </w:r>
      <w:r>
        <w:rPr/>
        <w:t>年，详见表 </w:t>
      </w:r>
      <w:r>
        <w:rPr>
          <w:rFonts w:ascii="Times New Roman" w:eastAsia="Times New Roman"/>
        </w:rPr>
        <w:t>6.3-2</w:t>
      </w:r>
      <w:r>
        <w:rPr/>
        <w:t>。</w:t>
      </w:r>
    </w:p>
    <w:p>
      <w:pPr>
        <w:pStyle w:val="Heading3"/>
        <w:spacing w:before="1"/>
        <w:ind w:left="2817"/>
      </w:pPr>
      <w:r>
        <w:rPr/>
        <w:t>表 </w:t>
      </w:r>
      <w:r>
        <w:rPr>
          <w:rFonts w:ascii="Times New Roman" w:eastAsia="Times New Roman"/>
        </w:rPr>
        <w:t>6.3-2  </w:t>
      </w:r>
      <w:r>
        <w:rPr/>
        <w:t>项目环保设施运行费用一览表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536"/>
        <w:gridCol w:w="2756"/>
        <w:gridCol w:w="3060"/>
        <w:gridCol w:w="2078"/>
      </w:tblGrid>
      <w:tr>
        <w:trPr>
          <w:trHeight w:val="359" w:hRule="atLeast"/>
        </w:trPr>
        <w:tc>
          <w:tcPr>
            <w:tcW w:w="4292" w:type="dxa"/>
            <w:gridSpan w:val="2"/>
            <w:tcBorders>
              <w:bottom w:val="single" w:sz="6" w:space="0" w:color="000000"/>
              <w:right w:val="single" w:sz="6" w:space="0" w:color="000000"/>
            </w:tcBorders>
          </w:tcPr>
          <w:p>
            <w:pPr>
              <w:pStyle w:val="TableParagraph"/>
              <w:spacing w:before="44"/>
              <w:ind w:left="1913" w:right="1893"/>
              <w:rPr>
                <w:rFonts w:ascii="宋体" w:eastAsia="宋体" w:hint="eastAsia"/>
                <w:b/>
                <w:sz w:val="21"/>
              </w:rPr>
            </w:pPr>
            <w:r>
              <w:rPr>
                <w:rFonts w:ascii="宋体" w:eastAsia="宋体" w:hint="eastAsia"/>
                <w:b/>
                <w:sz w:val="21"/>
              </w:rPr>
              <w:t>项目</w:t>
            </w:r>
          </w:p>
        </w:tc>
        <w:tc>
          <w:tcPr>
            <w:tcW w:w="3060" w:type="dxa"/>
            <w:tcBorders>
              <w:left w:val="single" w:sz="6" w:space="0" w:color="000000"/>
              <w:bottom w:val="single" w:sz="6" w:space="0" w:color="000000"/>
              <w:right w:val="single" w:sz="6" w:space="0" w:color="000000"/>
            </w:tcBorders>
          </w:tcPr>
          <w:p>
            <w:pPr>
              <w:pStyle w:val="TableParagraph"/>
              <w:spacing w:before="44"/>
              <w:ind w:left="569" w:right="538"/>
              <w:rPr>
                <w:rFonts w:ascii="宋体" w:eastAsia="宋体" w:hint="eastAsia"/>
                <w:b/>
                <w:sz w:val="21"/>
              </w:rPr>
            </w:pPr>
            <w:r>
              <w:rPr>
                <w:rFonts w:ascii="宋体" w:eastAsia="宋体" w:hint="eastAsia"/>
                <w:b/>
                <w:sz w:val="21"/>
              </w:rPr>
              <w:t>年运行费用（万元）</w:t>
            </w:r>
          </w:p>
        </w:tc>
        <w:tc>
          <w:tcPr>
            <w:tcW w:w="2078" w:type="dxa"/>
            <w:tcBorders>
              <w:left w:val="single" w:sz="6" w:space="0" w:color="000000"/>
              <w:bottom w:val="single" w:sz="6" w:space="0" w:color="000000"/>
            </w:tcBorders>
          </w:tcPr>
          <w:p>
            <w:pPr>
              <w:pStyle w:val="TableParagraph"/>
              <w:spacing w:before="44"/>
              <w:ind w:left="550" w:right="512"/>
              <w:rPr>
                <w:rFonts w:ascii="宋体" w:eastAsia="宋体" w:hint="eastAsia"/>
                <w:b/>
                <w:sz w:val="21"/>
              </w:rPr>
            </w:pPr>
            <w:r>
              <w:rPr>
                <w:rFonts w:ascii="宋体" w:eastAsia="宋体" w:hint="eastAsia"/>
                <w:b/>
                <w:sz w:val="21"/>
              </w:rPr>
              <w:t>备注</w:t>
            </w:r>
          </w:p>
        </w:tc>
      </w:tr>
      <w:tr>
        <w:trPr>
          <w:trHeight w:val="359" w:hRule="atLeast"/>
        </w:trPr>
        <w:tc>
          <w:tcPr>
            <w:tcW w:w="1536"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27"/>
              </w:rPr>
            </w:pPr>
          </w:p>
          <w:p>
            <w:pPr>
              <w:pStyle w:val="TableParagraph"/>
              <w:spacing w:before="0"/>
              <w:ind w:left="347"/>
              <w:jc w:val="left"/>
              <w:rPr>
                <w:rFonts w:ascii="宋体" w:eastAsia="宋体" w:hint="eastAsia"/>
                <w:sz w:val="21"/>
              </w:rPr>
            </w:pPr>
            <w:r>
              <w:rPr>
                <w:rFonts w:ascii="宋体" w:eastAsia="宋体" w:hint="eastAsia"/>
                <w:sz w:val="21"/>
              </w:rPr>
              <w:t>废水处理</w:t>
            </w: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4" w:right="495"/>
              <w:rPr>
                <w:rFonts w:ascii="宋体" w:eastAsia="宋体" w:hint="eastAsia"/>
                <w:sz w:val="21"/>
              </w:rPr>
            </w:pPr>
            <w:r>
              <w:rPr>
                <w:rFonts w:ascii="宋体" w:eastAsia="宋体" w:hint="eastAsia"/>
                <w:sz w:val="21"/>
              </w:rPr>
              <w:t>电费</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46.17</w:t>
            </w:r>
          </w:p>
        </w:tc>
        <w:tc>
          <w:tcPr>
            <w:tcW w:w="2078" w:type="dxa"/>
            <w:tcBorders>
              <w:top w:val="single" w:sz="6" w:space="0" w:color="000000"/>
              <w:left w:val="single" w:sz="6" w:space="0" w:color="000000"/>
              <w:bottom w:val="single" w:sz="6" w:space="0" w:color="000000"/>
            </w:tcBorders>
          </w:tcPr>
          <w:p>
            <w:pPr>
              <w:pStyle w:val="TableParagraph"/>
              <w:spacing w:before="44"/>
              <w:ind w:left="492"/>
              <w:jc w:val="left"/>
              <w:rPr>
                <w:rFonts w:ascii="宋体" w:eastAsia="宋体" w:hint="eastAsia"/>
                <w:sz w:val="21"/>
              </w:rPr>
            </w:pPr>
            <w:r>
              <w:rPr>
                <w:sz w:val="21"/>
              </w:rPr>
              <w:t>4.32 </w:t>
            </w:r>
            <w:r>
              <w:rPr>
                <w:rFonts w:ascii="宋体" w:eastAsia="宋体" w:hint="eastAsia"/>
                <w:sz w:val="21"/>
              </w:rPr>
              <w:t>元</w:t>
            </w:r>
            <w:r>
              <w:rPr>
                <w:sz w:val="21"/>
              </w:rPr>
              <w:t>/</w:t>
            </w:r>
            <w:r>
              <w:rPr>
                <w:rFonts w:ascii="宋体" w:eastAsia="宋体" w:hint="eastAsia"/>
                <w:sz w:val="21"/>
              </w:rPr>
              <w:t>吨水</w:t>
            </w:r>
          </w:p>
        </w:tc>
      </w:tr>
      <w:tr>
        <w:trPr>
          <w:trHeight w:val="357"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4" w:right="495"/>
              <w:rPr>
                <w:rFonts w:ascii="宋体" w:eastAsia="宋体" w:hint="eastAsia"/>
                <w:sz w:val="21"/>
              </w:rPr>
            </w:pPr>
            <w:r>
              <w:rPr>
                <w:rFonts w:ascii="宋体" w:eastAsia="宋体" w:hint="eastAsia"/>
                <w:sz w:val="21"/>
              </w:rPr>
              <w:t>药剂费</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37.40</w:t>
            </w:r>
          </w:p>
        </w:tc>
        <w:tc>
          <w:tcPr>
            <w:tcW w:w="2078" w:type="dxa"/>
            <w:tcBorders>
              <w:top w:val="single" w:sz="6" w:space="0" w:color="000000"/>
              <w:left w:val="single" w:sz="6" w:space="0" w:color="000000"/>
              <w:bottom w:val="single" w:sz="6" w:space="0" w:color="000000"/>
            </w:tcBorders>
          </w:tcPr>
          <w:p>
            <w:pPr>
              <w:pStyle w:val="TableParagraph"/>
              <w:spacing w:before="44"/>
              <w:ind w:left="492"/>
              <w:jc w:val="left"/>
              <w:rPr>
                <w:rFonts w:ascii="宋体" w:eastAsia="宋体" w:hint="eastAsia"/>
                <w:sz w:val="21"/>
              </w:rPr>
            </w:pPr>
            <w:r>
              <w:rPr>
                <w:sz w:val="21"/>
              </w:rPr>
              <w:t>3.50 </w:t>
            </w:r>
            <w:r>
              <w:rPr>
                <w:rFonts w:ascii="宋体" w:eastAsia="宋体" w:hint="eastAsia"/>
                <w:sz w:val="21"/>
              </w:rPr>
              <w:t>元</w:t>
            </w:r>
            <w:r>
              <w:rPr>
                <w:sz w:val="21"/>
              </w:rPr>
              <w:t>/</w:t>
            </w:r>
            <w:r>
              <w:rPr>
                <w:rFonts w:ascii="宋体" w:eastAsia="宋体" w:hint="eastAsia"/>
                <w:sz w:val="21"/>
              </w:rPr>
              <w:t>吨水</w:t>
            </w:r>
          </w:p>
        </w:tc>
      </w:tr>
      <w:tr>
        <w:trPr>
          <w:trHeight w:val="359"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6"/>
              <w:ind w:left="524" w:right="495"/>
              <w:rPr>
                <w:rFonts w:ascii="宋体" w:eastAsia="宋体" w:hint="eastAsia"/>
                <w:sz w:val="21"/>
              </w:rPr>
            </w:pPr>
            <w:r>
              <w:rPr>
                <w:rFonts w:ascii="宋体" w:eastAsia="宋体" w:hint="eastAsia"/>
                <w:sz w:val="21"/>
              </w:rPr>
              <w:t>人工费</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spacing w:before="60"/>
              <w:ind w:left="569" w:right="538"/>
              <w:rPr>
                <w:sz w:val="21"/>
              </w:rPr>
            </w:pPr>
            <w:r>
              <w:rPr>
                <w:sz w:val="21"/>
              </w:rPr>
              <w:t>15.39</w:t>
            </w:r>
          </w:p>
        </w:tc>
        <w:tc>
          <w:tcPr>
            <w:tcW w:w="2078" w:type="dxa"/>
            <w:tcBorders>
              <w:top w:val="single" w:sz="6" w:space="0" w:color="000000"/>
              <w:left w:val="single" w:sz="6" w:space="0" w:color="000000"/>
              <w:bottom w:val="single" w:sz="6" w:space="0" w:color="000000"/>
            </w:tcBorders>
          </w:tcPr>
          <w:p>
            <w:pPr>
              <w:pStyle w:val="TableParagraph"/>
              <w:spacing w:before="46"/>
              <w:ind w:left="492"/>
              <w:jc w:val="left"/>
              <w:rPr>
                <w:rFonts w:ascii="宋体" w:eastAsia="宋体" w:hint="eastAsia"/>
                <w:sz w:val="21"/>
              </w:rPr>
            </w:pPr>
            <w:r>
              <w:rPr>
                <w:sz w:val="21"/>
              </w:rPr>
              <w:t>1.44 </w:t>
            </w:r>
            <w:r>
              <w:rPr>
                <w:rFonts w:ascii="宋体" w:eastAsia="宋体" w:hint="eastAsia"/>
                <w:sz w:val="21"/>
              </w:rPr>
              <w:t>元</w:t>
            </w:r>
            <w:r>
              <w:rPr>
                <w:sz w:val="21"/>
              </w:rPr>
              <w:t>/</w:t>
            </w:r>
            <w:r>
              <w:rPr>
                <w:rFonts w:ascii="宋体" w:eastAsia="宋体" w:hint="eastAsia"/>
                <w:sz w:val="21"/>
              </w:rPr>
              <w:t>吨水</w:t>
            </w:r>
          </w:p>
        </w:tc>
      </w:tr>
      <w:tr>
        <w:trPr>
          <w:trHeight w:val="359"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4" w:right="495"/>
              <w:rPr>
                <w:rFonts w:ascii="宋体" w:eastAsia="宋体" w:hint="eastAsia"/>
                <w:sz w:val="21"/>
              </w:rPr>
            </w:pPr>
            <w:r>
              <w:rPr>
                <w:rFonts w:ascii="宋体" w:eastAsia="宋体" w:hint="eastAsia"/>
                <w:sz w:val="21"/>
              </w:rPr>
              <w:t>小计</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98.96</w:t>
            </w:r>
          </w:p>
        </w:tc>
        <w:tc>
          <w:tcPr>
            <w:tcW w:w="2078" w:type="dxa"/>
            <w:tcBorders>
              <w:top w:val="single" w:sz="6" w:space="0" w:color="000000"/>
              <w:left w:val="single" w:sz="6" w:space="0" w:color="000000"/>
              <w:bottom w:val="single" w:sz="6" w:space="0" w:color="000000"/>
            </w:tcBorders>
          </w:tcPr>
          <w:p>
            <w:pPr>
              <w:pStyle w:val="TableParagraph"/>
              <w:spacing w:before="44"/>
              <w:ind w:left="492"/>
              <w:jc w:val="left"/>
              <w:rPr>
                <w:rFonts w:ascii="宋体" w:eastAsia="宋体" w:hint="eastAsia"/>
                <w:sz w:val="21"/>
              </w:rPr>
            </w:pPr>
            <w:r>
              <w:rPr>
                <w:sz w:val="21"/>
              </w:rPr>
              <w:t>9.26 </w:t>
            </w:r>
            <w:r>
              <w:rPr>
                <w:rFonts w:ascii="宋体" w:eastAsia="宋体" w:hint="eastAsia"/>
                <w:sz w:val="21"/>
              </w:rPr>
              <w:t>元</w:t>
            </w:r>
            <w:r>
              <w:rPr>
                <w:sz w:val="21"/>
              </w:rPr>
              <w:t>/</w:t>
            </w:r>
            <w:r>
              <w:rPr>
                <w:rFonts w:ascii="宋体" w:eastAsia="宋体" w:hint="eastAsia"/>
                <w:sz w:val="21"/>
              </w:rPr>
              <w:t>吨水</w:t>
            </w:r>
          </w:p>
        </w:tc>
      </w:tr>
      <w:tr>
        <w:trPr>
          <w:trHeight w:val="359" w:hRule="atLeast"/>
        </w:trPr>
        <w:tc>
          <w:tcPr>
            <w:tcW w:w="1536"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62"/>
              <w:ind w:left="347"/>
              <w:jc w:val="left"/>
              <w:rPr>
                <w:rFonts w:ascii="宋体" w:eastAsia="宋体" w:hint="eastAsia"/>
                <w:sz w:val="21"/>
              </w:rPr>
            </w:pPr>
            <w:r>
              <w:rPr>
                <w:rFonts w:ascii="宋体" w:eastAsia="宋体" w:hint="eastAsia"/>
                <w:sz w:val="21"/>
              </w:rPr>
              <w:t>废气处理</w:t>
            </w: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4" w:right="495"/>
              <w:rPr>
                <w:rFonts w:ascii="宋体" w:eastAsia="宋体" w:hint="eastAsia"/>
                <w:sz w:val="21"/>
              </w:rPr>
            </w:pPr>
            <w:r>
              <w:rPr>
                <w:rFonts w:ascii="宋体" w:eastAsia="宋体" w:hint="eastAsia"/>
                <w:sz w:val="21"/>
              </w:rPr>
              <w:t>电费</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30.0</w:t>
            </w:r>
          </w:p>
        </w:tc>
        <w:tc>
          <w:tcPr>
            <w:tcW w:w="2078" w:type="dxa"/>
            <w:tcBorders>
              <w:top w:val="single" w:sz="6" w:space="0" w:color="000000"/>
              <w:left w:val="single" w:sz="6" w:space="0" w:color="000000"/>
              <w:bottom w:val="single" w:sz="6" w:space="0" w:color="000000"/>
            </w:tcBorders>
          </w:tcPr>
          <w:p>
            <w:pPr>
              <w:pStyle w:val="TableParagraph"/>
              <w:ind w:left="39"/>
              <w:rPr>
                <w:sz w:val="21"/>
              </w:rPr>
            </w:pPr>
            <w:r>
              <w:rPr>
                <w:w w:val="100"/>
                <w:sz w:val="21"/>
              </w:rPr>
              <w:t>/</w:t>
            </w:r>
          </w:p>
        </w:tc>
      </w:tr>
      <w:tr>
        <w:trPr>
          <w:trHeight w:val="356"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4" w:right="495"/>
              <w:rPr>
                <w:rFonts w:ascii="宋体" w:eastAsia="宋体" w:hint="eastAsia"/>
                <w:sz w:val="21"/>
              </w:rPr>
            </w:pPr>
            <w:r>
              <w:rPr>
                <w:rFonts w:ascii="宋体" w:eastAsia="宋体" w:hint="eastAsia"/>
                <w:sz w:val="21"/>
              </w:rPr>
              <w:t>药剂费</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4.0</w:t>
            </w:r>
          </w:p>
        </w:tc>
        <w:tc>
          <w:tcPr>
            <w:tcW w:w="2078" w:type="dxa"/>
            <w:tcBorders>
              <w:top w:val="single" w:sz="6" w:space="0" w:color="000000"/>
              <w:left w:val="single" w:sz="6" w:space="0" w:color="000000"/>
              <w:bottom w:val="single" w:sz="6" w:space="0" w:color="000000"/>
            </w:tcBorders>
          </w:tcPr>
          <w:p>
            <w:pPr>
              <w:pStyle w:val="TableParagraph"/>
              <w:ind w:left="39"/>
              <w:rPr>
                <w:sz w:val="21"/>
              </w:rPr>
            </w:pPr>
            <w:r>
              <w:rPr>
                <w:w w:val="100"/>
                <w:sz w:val="21"/>
              </w:rPr>
              <w:t>/</w:t>
            </w:r>
          </w:p>
        </w:tc>
      </w:tr>
      <w:tr>
        <w:trPr>
          <w:trHeight w:val="359"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6"/>
              <w:ind w:left="524" w:right="495"/>
              <w:rPr>
                <w:rFonts w:ascii="宋体" w:eastAsia="宋体" w:hint="eastAsia"/>
                <w:sz w:val="21"/>
              </w:rPr>
            </w:pPr>
            <w:r>
              <w:rPr>
                <w:rFonts w:ascii="宋体" w:eastAsia="宋体" w:hint="eastAsia"/>
                <w:sz w:val="21"/>
              </w:rPr>
              <w:t>小计</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spacing w:before="60"/>
              <w:ind w:left="569" w:right="538"/>
              <w:rPr>
                <w:sz w:val="21"/>
              </w:rPr>
            </w:pPr>
            <w:r>
              <w:rPr>
                <w:sz w:val="21"/>
              </w:rPr>
              <w:t>34.0</w:t>
            </w:r>
          </w:p>
        </w:tc>
        <w:tc>
          <w:tcPr>
            <w:tcW w:w="2078" w:type="dxa"/>
            <w:tcBorders>
              <w:top w:val="single" w:sz="6" w:space="0" w:color="000000"/>
              <w:left w:val="single" w:sz="6" w:space="0" w:color="000000"/>
              <w:bottom w:val="single" w:sz="6" w:space="0" w:color="000000"/>
            </w:tcBorders>
          </w:tcPr>
          <w:p>
            <w:pPr>
              <w:pStyle w:val="TableParagraph"/>
              <w:spacing w:before="60"/>
              <w:ind w:left="39"/>
              <w:rPr>
                <w:sz w:val="21"/>
              </w:rPr>
            </w:pPr>
            <w:r>
              <w:rPr>
                <w:w w:val="100"/>
                <w:sz w:val="21"/>
              </w:rPr>
              <w:t>/</w:t>
            </w:r>
          </w:p>
        </w:tc>
      </w:tr>
      <w:tr>
        <w:trPr>
          <w:trHeight w:val="359" w:hRule="atLeast"/>
        </w:trPr>
        <w:tc>
          <w:tcPr>
            <w:tcW w:w="1536"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27"/>
              </w:rPr>
            </w:pPr>
          </w:p>
          <w:p>
            <w:pPr>
              <w:pStyle w:val="TableParagraph"/>
              <w:spacing w:before="1"/>
              <w:ind w:left="347"/>
              <w:jc w:val="left"/>
              <w:rPr>
                <w:rFonts w:ascii="宋体" w:eastAsia="宋体" w:hint="eastAsia"/>
                <w:sz w:val="21"/>
              </w:rPr>
            </w:pPr>
            <w:r>
              <w:rPr>
                <w:rFonts w:ascii="宋体" w:eastAsia="宋体" w:hint="eastAsia"/>
                <w:sz w:val="21"/>
              </w:rPr>
              <w:t>固废处理</w:t>
            </w: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6" w:right="495"/>
              <w:rPr>
                <w:rFonts w:ascii="宋体" w:eastAsia="宋体" w:hint="eastAsia"/>
                <w:sz w:val="21"/>
              </w:rPr>
            </w:pPr>
            <w:r>
              <w:rPr>
                <w:rFonts w:ascii="宋体" w:eastAsia="宋体" w:hint="eastAsia"/>
                <w:sz w:val="21"/>
              </w:rPr>
              <w:t>病死猪处理</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15.22</w:t>
            </w:r>
          </w:p>
        </w:tc>
        <w:tc>
          <w:tcPr>
            <w:tcW w:w="2078" w:type="dxa"/>
            <w:tcBorders>
              <w:top w:val="single" w:sz="6" w:space="0" w:color="000000"/>
              <w:left w:val="single" w:sz="6" w:space="0" w:color="000000"/>
              <w:bottom w:val="single" w:sz="6" w:space="0" w:color="000000"/>
            </w:tcBorders>
          </w:tcPr>
          <w:p>
            <w:pPr>
              <w:pStyle w:val="TableParagraph"/>
              <w:spacing w:before="44"/>
              <w:ind w:left="552" w:right="512"/>
              <w:rPr>
                <w:rFonts w:ascii="宋体" w:eastAsia="宋体" w:hint="eastAsia"/>
                <w:sz w:val="21"/>
              </w:rPr>
            </w:pPr>
            <w:r>
              <w:rPr>
                <w:sz w:val="21"/>
              </w:rPr>
              <w:t>340 </w:t>
            </w:r>
            <w:r>
              <w:rPr>
                <w:rFonts w:ascii="宋体" w:eastAsia="宋体" w:hint="eastAsia"/>
                <w:sz w:val="21"/>
              </w:rPr>
              <w:t>元</w:t>
            </w:r>
            <w:r>
              <w:rPr>
                <w:sz w:val="21"/>
              </w:rPr>
              <w:t>/</w:t>
            </w:r>
            <w:r>
              <w:rPr>
                <w:rFonts w:ascii="宋体" w:eastAsia="宋体" w:hint="eastAsia"/>
                <w:sz w:val="21"/>
              </w:rPr>
              <w:t>吨</w:t>
            </w:r>
          </w:p>
        </w:tc>
      </w:tr>
      <w:tr>
        <w:trPr>
          <w:trHeight w:val="359"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6" w:right="495"/>
              <w:rPr>
                <w:rFonts w:ascii="宋体" w:eastAsia="宋体" w:hint="eastAsia"/>
                <w:sz w:val="21"/>
              </w:rPr>
            </w:pPr>
            <w:r>
              <w:rPr>
                <w:rFonts w:ascii="宋体" w:eastAsia="宋体" w:hint="eastAsia"/>
                <w:sz w:val="21"/>
              </w:rPr>
              <w:t>猪粪发酵</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35.04</w:t>
            </w:r>
          </w:p>
        </w:tc>
        <w:tc>
          <w:tcPr>
            <w:tcW w:w="2078" w:type="dxa"/>
            <w:tcBorders>
              <w:top w:val="single" w:sz="6" w:space="0" w:color="000000"/>
              <w:left w:val="single" w:sz="6" w:space="0" w:color="000000"/>
              <w:bottom w:val="single" w:sz="6" w:space="0" w:color="000000"/>
            </w:tcBorders>
          </w:tcPr>
          <w:p>
            <w:pPr>
              <w:pStyle w:val="TableParagraph"/>
              <w:spacing w:before="44"/>
              <w:ind w:left="552" w:right="512"/>
              <w:rPr>
                <w:rFonts w:ascii="宋体" w:eastAsia="宋体" w:hint="eastAsia"/>
                <w:sz w:val="21"/>
              </w:rPr>
            </w:pPr>
            <w:r>
              <w:rPr>
                <w:sz w:val="21"/>
              </w:rPr>
              <w:t>960 </w:t>
            </w:r>
            <w:r>
              <w:rPr>
                <w:rFonts w:ascii="宋体" w:eastAsia="宋体" w:hint="eastAsia"/>
                <w:sz w:val="21"/>
              </w:rPr>
              <w:t>元</w:t>
            </w:r>
            <w:r>
              <w:rPr>
                <w:sz w:val="21"/>
              </w:rPr>
              <w:t>/</w:t>
            </w:r>
            <w:r>
              <w:rPr>
                <w:rFonts w:ascii="宋体" w:eastAsia="宋体" w:hint="eastAsia"/>
                <w:sz w:val="21"/>
              </w:rPr>
              <w:t>天</w:t>
            </w:r>
          </w:p>
        </w:tc>
      </w:tr>
      <w:tr>
        <w:trPr>
          <w:trHeight w:val="357"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4"/>
              <w:ind w:left="526" w:right="495"/>
              <w:rPr>
                <w:rFonts w:ascii="宋体" w:eastAsia="宋体" w:hint="eastAsia"/>
                <w:sz w:val="21"/>
              </w:rPr>
            </w:pPr>
            <w:r>
              <w:rPr>
                <w:rFonts w:ascii="宋体" w:eastAsia="宋体" w:hint="eastAsia"/>
                <w:sz w:val="21"/>
              </w:rPr>
              <w:t>医疗废物委托处置</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ind w:left="569" w:right="538"/>
              <w:rPr>
                <w:sz w:val="21"/>
              </w:rPr>
            </w:pPr>
            <w:r>
              <w:rPr>
                <w:sz w:val="21"/>
              </w:rPr>
              <w:t>1.72</w:t>
            </w:r>
          </w:p>
        </w:tc>
        <w:tc>
          <w:tcPr>
            <w:tcW w:w="2078" w:type="dxa"/>
            <w:tcBorders>
              <w:top w:val="single" w:sz="6" w:space="0" w:color="000000"/>
              <w:left w:val="single" w:sz="6" w:space="0" w:color="000000"/>
              <w:bottom w:val="single" w:sz="6" w:space="0" w:color="000000"/>
            </w:tcBorders>
          </w:tcPr>
          <w:p>
            <w:pPr>
              <w:pStyle w:val="TableParagraph"/>
              <w:spacing w:before="44"/>
              <w:ind w:left="552" w:right="512"/>
              <w:rPr>
                <w:rFonts w:ascii="宋体" w:eastAsia="宋体" w:hint="eastAsia"/>
                <w:sz w:val="21"/>
              </w:rPr>
            </w:pPr>
            <w:r>
              <w:rPr>
                <w:sz w:val="21"/>
              </w:rPr>
              <w:t>4000 </w:t>
            </w:r>
            <w:r>
              <w:rPr>
                <w:rFonts w:ascii="宋体" w:eastAsia="宋体" w:hint="eastAsia"/>
                <w:sz w:val="21"/>
              </w:rPr>
              <w:t>元</w:t>
            </w:r>
            <w:r>
              <w:rPr>
                <w:sz w:val="21"/>
              </w:rPr>
              <w:t>/</w:t>
            </w:r>
            <w:r>
              <w:rPr>
                <w:rFonts w:ascii="宋体" w:eastAsia="宋体" w:hint="eastAsia"/>
                <w:sz w:val="21"/>
              </w:rPr>
              <w:t>吨</w:t>
            </w:r>
          </w:p>
        </w:tc>
      </w:tr>
      <w:tr>
        <w:trPr>
          <w:trHeight w:val="359" w:hRule="atLeast"/>
        </w:trPr>
        <w:tc>
          <w:tcPr>
            <w:tcW w:w="1536" w:type="dxa"/>
            <w:vMerge/>
            <w:tcBorders>
              <w:top w:val="nil"/>
              <w:bottom w:val="single" w:sz="6" w:space="0" w:color="000000"/>
              <w:right w:val="single" w:sz="6" w:space="0" w:color="000000"/>
            </w:tcBorders>
          </w:tcPr>
          <w:p>
            <w:pPr>
              <w:rPr>
                <w:sz w:val="2"/>
                <w:szCs w:val="2"/>
              </w:rPr>
            </w:pPr>
          </w:p>
        </w:tc>
        <w:tc>
          <w:tcPr>
            <w:tcW w:w="2756" w:type="dxa"/>
            <w:tcBorders>
              <w:top w:val="single" w:sz="6" w:space="0" w:color="000000"/>
              <w:left w:val="single" w:sz="6" w:space="0" w:color="000000"/>
              <w:bottom w:val="single" w:sz="6" w:space="0" w:color="000000"/>
              <w:right w:val="single" w:sz="6" w:space="0" w:color="000000"/>
            </w:tcBorders>
          </w:tcPr>
          <w:p>
            <w:pPr>
              <w:pStyle w:val="TableParagraph"/>
              <w:spacing w:before="46"/>
              <w:ind w:left="524" w:right="495"/>
              <w:rPr>
                <w:rFonts w:ascii="宋体" w:eastAsia="宋体" w:hint="eastAsia"/>
                <w:sz w:val="21"/>
              </w:rPr>
            </w:pPr>
            <w:r>
              <w:rPr>
                <w:rFonts w:ascii="宋体" w:eastAsia="宋体" w:hint="eastAsia"/>
                <w:sz w:val="21"/>
              </w:rPr>
              <w:t>小计</w:t>
            </w:r>
          </w:p>
        </w:tc>
        <w:tc>
          <w:tcPr>
            <w:tcW w:w="3060" w:type="dxa"/>
            <w:tcBorders>
              <w:top w:val="single" w:sz="6" w:space="0" w:color="000000"/>
              <w:left w:val="single" w:sz="6" w:space="0" w:color="000000"/>
              <w:bottom w:val="single" w:sz="6" w:space="0" w:color="000000"/>
              <w:right w:val="single" w:sz="6" w:space="0" w:color="000000"/>
            </w:tcBorders>
          </w:tcPr>
          <w:p>
            <w:pPr>
              <w:pStyle w:val="TableParagraph"/>
              <w:spacing w:before="60"/>
              <w:ind w:left="569" w:right="538"/>
              <w:rPr>
                <w:sz w:val="21"/>
              </w:rPr>
            </w:pPr>
            <w:r>
              <w:rPr>
                <w:sz w:val="21"/>
              </w:rPr>
              <w:t>51.98</w:t>
            </w:r>
          </w:p>
        </w:tc>
        <w:tc>
          <w:tcPr>
            <w:tcW w:w="2078" w:type="dxa"/>
            <w:tcBorders>
              <w:top w:val="single" w:sz="6" w:space="0" w:color="000000"/>
              <w:left w:val="single" w:sz="6" w:space="0" w:color="000000"/>
              <w:bottom w:val="single" w:sz="6" w:space="0" w:color="000000"/>
            </w:tcBorders>
          </w:tcPr>
          <w:p>
            <w:pPr>
              <w:pStyle w:val="TableParagraph"/>
              <w:spacing w:before="60"/>
              <w:ind w:left="39"/>
              <w:rPr>
                <w:sz w:val="21"/>
              </w:rPr>
            </w:pPr>
            <w:r>
              <w:rPr>
                <w:w w:val="100"/>
                <w:sz w:val="21"/>
              </w:rPr>
              <w:t>/</w:t>
            </w:r>
          </w:p>
        </w:tc>
      </w:tr>
      <w:tr>
        <w:trPr>
          <w:trHeight w:val="359" w:hRule="atLeast"/>
        </w:trPr>
        <w:tc>
          <w:tcPr>
            <w:tcW w:w="4292" w:type="dxa"/>
            <w:gridSpan w:val="2"/>
            <w:tcBorders>
              <w:top w:val="single" w:sz="6" w:space="0" w:color="000000"/>
              <w:right w:val="single" w:sz="6" w:space="0" w:color="000000"/>
            </w:tcBorders>
          </w:tcPr>
          <w:p>
            <w:pPr>
              <w:pStyle w:val="TableParagraph"/>
              <w:spacing w:before="44"/>
              <w:ind w:left="1913" w:right="1893"/>
              <w:rPr>
                <w:rFonts w:ascii="宋体" w:eastAsia="宋体" w:hint="eastAsia"/>
                <w:sz w:val="21"/>
              </w:rPr>
            </w:pPr>
            <w:r>
              <w:rPr>
                <w:rFonts w:ascii="宋体" w:eastAsia="宋体" w:hint="eastAsia"/>
                <w:sz w:val="21"/>
              </w:rPr>
              <w:t>合计</w:t>
            </w:r>
          </w:p>
        </w:tc>
        <w:tc>
          <w:tcPr>
            <w:tcW w:w="3060" w:type="dxa"/>
            <w:tcBorders>
              <w:top w:val="single" w:sz="6" w:space="0" w:color="000000"/>
              <w:left w:val="single" w:sz="6" w:space="0" w:color="000000"/>
              <w:right w:val="single" w:sz="6" w:space="0" w:color="000000"/>
            </w:tcBorders>
          </w:tcPr>
          <w:p>
            <w:pPr>
              <w:pStyle w:val="TableParagraph"/>
              <w:ind w:left="569" w:right="538"/>
              <w:rPr>
                <w:sz w:val="21"/>
              </w:rPr>
            </w:pPr>
            <w:r>
              <w:rPr>
                <w:sz w:val="21"/>
              </w:rPr>
              <w:t>184.94</w:t>
            </w:r>
          </w:p>
        </w:tc>
        <w:tc>
          <w:tcPr>
            <w:tcW w:w="2078" w:type="dxa"/>
            <w:tcBorders>
              <w:top w:val="single" w:sz="6" w:space="0" w:color="000000"/>
              <w:left w:val="single" w:sz="6" w:space="0" w:color="000000"/>
            </w:tcBorders>
          </w:tcPr>
          <w:p>
            <w:pPr>
              <w:pStyle w:val="TableParagraph"/>
              <w:ind w:left="39"/>
              <w:rPr>
                <w:sz w:val="21"/>
              </w:rPr>
            </w:pPr>
            <w:r>
              <w:rPr>
                <w:w w:val="100"/>
                <w:sz w:val="21"/>
              </w:rPr>
              <w:t>/</w:t>
            </w:r>
          </w:p>
        </w:tc>
      </w:tr>
    </w:tbl>
    <w:p>
      <w:pPr>
        <w:spacing w:after="0"/>
        <w:rPr>
          <w:sz w:val="21"/>
        </w:rPr>
        <w:sectPr>
          <w:pgSz w:w="11910" w:h="16840"/>
          <w:pgMar w:header="874" w:footer="1004" w:top="1420" w:bottom="1200" w:left="1040" w:right="1160"/>
        </w:sectPr>
      </w:pPr>
    </w:p>
    <w:p>
      <w:pPr>
        <w:pStyle w:val="Heading1"/>
      </w:pPr>
      <w:bookmarkStart w:name="_bookmark110" w:id="213"/>
      <w:bookmarkEnd w:id="213"/>
      <w:r>
        <w:rPr>
          <w:b w:val="0"/>
        </w:rPr>
      </w:r>
      <w:r>
        <w:rPr/>
        <w:t>第七章 环境影响经济损益分析</w:t>
      </w:r>
    </w:p>
    <w:p>
      <w:pPr>
        <w:pStyle w:val="Heading2"/>
        <w:numPr>
          <w:ilvl w:val="1"/>
          <w:numId w:val="105"/>
        </w:numPr>
        <w:tabs>
          <w:tab w:pos="730" w:val="left" w:leader="none"/>
        </w:tabs>
        <w:spacing w:line="240" w:lineRule="auto" w:before="253" w:after="0"/>
        <w:ind w:left="729" w:right="0" w:hanging="493"/>
        <w:jc w:val="both"/>
      </w:pPr>
      <w:bookmarkStart w:name="_bookmark111" w:id="214"/>
      <w:bookmarkEnd w:id="214"/>
      <w:r>
        <w:rPr>
          <w:b w:val="0"/>
        </w:rPr>
      </w:r>
      <w:bookmarkStart w:name="_bookmark111" w:id="215"/>
      <w:bookmarkEnd w:id="215"/>
      <w:r>
        <w:rPr/>
        <w:t>项目实施后环境影响预测与环境质量现状比较</w:t>
      </w:r>
    </w:p>
    <w:p>
      <w:pPr>
        <w:spacing w:before="214"/>
        <w:ind w:left="719" w:right="0" w:firstLine="0"/>
        <w:jc w:val="left"/>
        <w:rPr>
          <w:b/>
          <w:sz w:val="24"/>
        </w:rPr>
      </w:pPr>
      <w:r>
        <w:rPr>
          <w:rFonts w:ascii="Times New Roman" w:eastAsia="Times New Roman"/>
          <w:b/>
          <w:sz w:val="24"/>
        </w:rPr>
        <w:t>1</w:t>
      </w:r>
      <w:r>
        <w:rPr>
          <w:b/>
          <w:sz w:val="24"/>
        </w:rPr>
        <w:t>、水环境</w:t>
      </w:r>
    </w:p>
    <w:p>
      <w:pPr>
        <w:pStyle w:val="BodyText"/>
        <w:spacing w:line="364" w:lineRule="auto" w:before="160"/>
        <w:ind w:right="249" w:firstLine="480"/>
        <w:jc w:val="both"/>
      </w:pPr>
      <w:r>
        <w:rPr/>
        <w:t>项目实施后生产生活废水经自建污水处理站预处理后纳入市政污水管网，最终进入绍兴市污水处理厂处理达标后排入钱塘江，废水不直接排入周围地表水，因此不会对周围地表水环境造成明显不利影响。</w:t>
      </w:r>
    </w:p>
    <w:p>
      <w:pPr>
        <w:pStyle w:val="BodyText"/>
        <w:spacing w:line="364" w:lineRule="auto" w:before="2"/>
        <w:ind w:right="247" w:firstLine="480"/>
        <w:jc w:val="both"/>
      </w:pPr>
      <w:r>
        <w:rPr/>
        <w:t>根据预测分析，只要企业落实好建设项目的废水集中收集处理工作，做好厂内相关设施的地面硬化防渗，正常工况下，本项目对地下水环境影响较小。事故情况下，废水的泄露会致使区域地下水环境质量呈现一定程度的恶化。</w:t>
      </w:r>
    </w:p>
    <w:p>
      <w:pPr>
        <w:pStyle w:val="Heading3"/>
        <w:spacing w:before="2"/>
      </w:pPr>
      <w:r>
        <w:rPr>
          <w:rFonts w:ascii="Times New Roman" w:eastAsia="Times New Roman"/>
        </w:rPr>
        <w:t>2</w:t>
      </w:r>
      <w:r>
        <w:rPr/>
        <w:t>、环境空气</w:t>
      </w:r>
    </w:p>
    <w:p>
      <w:pPr>
        <w:pStyle w:val="BodyText"/>
        <w:spacing w:line="364" w:lineRule="auto" w:before="161"/>
        <w:ind w:right="248" w:firstLine="480"/>
        <w:jc w:val="both"/>
      </w:pPr>
      <w:r>
        <w:rPr/>
        <w:t>根据分析，项目各类废气经相应处理后可达标排放，正常工况下，环境空气中的相关污染物浓度会有一定程度的增加，须设置大气环境防护距离。非正常工况下，氨和硫化氢的最大地面落地浓度会大幅增加，尤其是各类除臭装置失效时，最大地面落地浓度可能会超标，因此要求企业采取措施严防非正常工况的发生。</w:t>
      </w:r>
    </w:p>
    <w:p>
      <w:pPr>
        <w:pStyle w:val="Heading3"/>
        <w:spacing w:before="2"/>
      </w:pPr>
      <w:r>
        <w:rPr>
          <w:rFonts w:ascii="Times New Roman" w:eastAsia="Times New Roman"/>
        </w:rPr>
        <w:t>3</w:t>
      </w:r>
      <w:r>
        <w:rPr/>
        <w:t>、声环境</w:t>
      </w:r>
    </w:p>
    <w:p>
      <w:pPr>
        <w:pStyle w:val="BodyText"/>
        <w:spacing w:before="161"/>
        <w:ind w:left="717"/>
      </w:pPr>
      <w:r>
        <w:rPr/>
        <w:t>根据预测，项目在采取本环评提出的噪声治理措施的前提下，企业厂界噪声能符合</w:t>
      </w:r>
    </w:p>
    <w:p>
      <w:pPr>
        <w:pStyle w:val="BodyText"/>
        <w:spacing w:before="161"/>
      </w:pPr>
      <w:r>
        <w:rPr/>
        <w:t>《工业企业厂界噪声排放标准》（</w:t>
      </w:r>
      <w:r>
        <w:rPr>
          <w:rFonts w:ascii="Times New Roman" w:eastAsia="Times New Roman"/>
        </w:rPr>
        <w:t>GB 12348-2008</w:t>
      </w:r>
      <w:r>
        <w:rPr/>
        <w:t>）</w:t>
      </w:r>
      <w:r>
        <w:rPr>
          <w:rFonts w:ascii="Times New Roman" w:eastAsia="Times New Roman"/>
        </w:rPr>
        <w:t>2 </w:t>
      </w:r>
      <w:r>
        <w:rPr/>
        <w:t>级标准要求。</w:t>
      </w:r>
    </w:p>
    <w:p>
      <w:pPr>
        <w:pStyle w:val="Heading2"/>
        <w:numPr>
          <w:ilvl w:val="1"/>
          <w:numId w:val="105"/>
        </w:numPr>
        <w:tabs>
          <w:tab w:pos="730" w:val="left" w:leader="none"/>
        </w:tabs>
        <w:spacing w:line="240" w:lineRule="auto" w:before="211" w:after="0"/>
        <w:ind w:left="729" w:right="0" w:hanging="493"/>
        <w:jc w:val="both"/>
      </w:pPr>
      <w:bookmarkStart w:name="_bookmark112" w:id="216"/>
      <w:bookmarkEnd w:id="216"/>
      <w:r>
        <w:rPr>
          <w:b w:val="0"/>
        </w:rPr>
      </w:r>
      <w:bookmarkStart w:name="_bookmark112" w:id="217"/>
      <w:bookmarkEnd w:id="217"/>
      <w:r>
        <w:rPr/>
        <w:t>环境影响后果经济损益核算</w:t>
      </w:r>
    </w:p>
    <w:p>
      <w:pPr>
        <w:pStyle w:val="BodyText"/>
        <w:spacing w:line="364" w:lineRule="auto" w:before="214"/>
        <w:ind w:right="249" w:firstLine="480"/>
        <w:jc w:val="both"/>
      </w:pPr>
      <w:r>
        <w:rPr/>
        <w:t>环境经济损益分析的主要目的是衡量建设项目环保投资所能收到的经济效益，包括建设项目对外界产生的环境影响、经济影响和社会影响。项目环境损益分析包括环境代价分析、环境成本分析、环境经济收益和环境经济效益分析四个部分。</w:t>
      </w:r>
    </w:p>
    <w:p>
      <w:pPr>
        <w:pStyle w:val="Heading3"/>
        <w:numPr>
          <w:ilvl w:val="2"/>
          <w:numId w:val="105"/>
        </w:numPr>
        <w:tabs>
          <w:tab w:pos="838" w:val="left" w:leader="none"/>
        </w:tabs>
        <w:spacing w:line="240" w:lineRule="auto" w:before="2" w:after="0"/>
        <w:ind w:left="837" w:right="0" w:hanging="601"/>
        <w:jc w:val="both"/>
      </w:pPr>
      <w:bookmarkStart w:name="_bookmark113" w:id="218"/>
      <w:bookmarkEnd w:id="218"/>
      <w:r>
        <w:rPr>
          <w:b w:val="0"/>
        </w:rPr>
      </w:r>
      <w:bookmarkStart w:name="_bookmark113" w:id="219"/>
      <w:bookmarkEnd w:id="219"/>
      <w:r>
        <w:rPr/>
        <w:t>建设项目环境代价</w:t>
      </w:r>
    </w:p>
    <w:p>
      <w:pPr>
        <w:pStyle w:val="BodyText"/>
        <w:spacing w:line="364" w:lineRule="auto" w:before="161"/>
        <w:ind w:right="249" w:firstLine="480"/>
        <w:jc w:val="both"/>
      </w:pPr>
      <w:r>
        <w:rPr/>
        <w:t>环境代价是项目对环境污染和破坏所造成环境损失折算的经济价值，是项目环境影响损益分析的核心内容。本项目建成投产后，环境所承受的环境经济代价有三部分：资源和能源流失代价（</w:t>
      </w:r>
      <w:r>
        <w:rPr>
          <w:rFonts w:ascii="Times New Roman" w:eastAsia="Times New Roman"/>
        </w:rPr>
        <w:t>A</w:t>
      </w:r>
      <w:r>
        <w:rPr/>
        <w:t>）、对环境生产和生活资料造成的损失代价（</w:t>
      </w:r>
      <w:r>
        <w:rPr>
          <w:rFonts w:ascii="Times New Roman" w:eastAsia="Times New Roman"/>
        </w:rPr>
        <w:t>B</w:t>
      </w:r>
      <w:r>
        <w:rPr/>
        <w:t>）、对人群、动植物造成的损失代价（</w:t>
      </w:r>
      <w:r>
        <w:rPr>
          <w:rFonts w:ascii="Times New Roman" w:eastAsia="Times New Roman"/>
        </w:rPr>
        <w:t>C</w:t>
      </w:r>
      <w:r>
        <w:rPr/>
        <w:t>）。这三部分之和共同构成该项目的环境代价。</w:t>
      </w:r>
    </w:p>
    <w:p>
      <w:pPr>
        <w:pStyle w:val="Heading3"/>
        <w:spacing w:before="3"/>
      </w:pPr>
      <w:r>
        <w:rPr>
          <w:rFonts w:ascii="Times New Roman" w:eastAsia="Times New Roman"/>
        </w:rPr>
        <w:t>1</w:t>
      </w:r>
      <w:r>
        <w:rPr/>
        <w:t>、资源和能源流失代价</w:t>
      </w:r>
    </w:p>
    <w:p>
      <w:pPr>
        <w:pStyle w:val="BodyText"/>
        <w:spacing w:before="160"/>
        <w:ind w:left="717"/>
      </w:pPr>
      <w:r>
        <w:rPr/>
        <w:t>资源和能源流失代价可以用以下公式计算得到：</w:t>
      </w:r>
    </w:p>
    <w:p>
      <w:pPr>
        <w:spacing w:after="0"/>
        <w:sectPr>
          <w:pgSz w:w="11910" w:h="16840"/>
          <w:pgMar w:header="874" w:footer="1004" w:top="1420" w:bottom="1200" w:left="1040" w:right="1160"/>
        </w:sectPr>
      </w:pPr>
    </w:p>
    <w:p>
      <w:pPr>
        <w:pStyle w:val="BodyText"/>
        <w:spacing w:before="5"/>
        <w:ind w:left="0"/>
        <w:rPr>
          <w:sz w:val="10"/>
        </w:rPr>
      </w:pPr>
    </w:p>
    <w:p>
      <w:pPr>
        <w:pStyle w:val="BodyText"/>
        <w:spacing w:line="177" w:lineRule="exact"/>
        <w:ind w:left="4774"/>
        <w:rPr>
          <w:sz w:val="17"/>
        </w:rPr>
      </w:pPr>
      <w:r>
        <w:rPr>
          <w:position w:val="-3"/>
          <w:sz w:val="17"/>
        </w:rPr>
        <w:pict>
          <v:shape style="width:3.8pt;height:8.9pt;mso-position-horizontal-relative:char;mso-position-vertical-relative:line" type="#_x0000_t202" filled="false" stroked="false">
            <w10:anchorlock/>
            <v:textbox inset="0,0,0,0">
              <w:txbxContent>
                <w:p>
                  <w:pPr>
                    <w:spacing w:before="5"/>
                    <w:ind w:left="0" w:right="0" w:firstLine="0"/>
                    <w:jc w:val="left"/>
                    <w:rPr>
                      <w:rFonts w:ascii="Symbol" w:hAnsi="Symbol"/>
                      <w:i/>
                      <w:sz w:val="14"/>
                    </w:rPr>
                  </w:pPr>
                  <w:r>
                    <w:rPr>
                      <w:rFonts w:ascii="Symbol" w:hAnsi="Symbol"/>
                      <w:i/>
                      <w:w w:val="98"/>
                      <w:sz w:val="14"/>
                    </w:rPr>
                    <w:t></w:t>
                  </w:r>
                </w:p>
              </w:txbxContent>
            </v:textbox>
          </v:shape>
        </w:pict>
      </w:r>
      <w:r>
        <w:rPr>
          <w:position w:val="-3"/>
          <w:sz w:val="17"/>
        </w:rPr>
      </w:r>
    </w:p>
    <w:p>
      <w:pPr>
        <w:spacing w:line="339" w:lineRule="exact" w:before="0"/>
        <w:ind w:left="197" w:right="236" w:firstLine="0"/>
        <w:jc w:val="center"/>
        <w:rPr>
          <w:rFonts w:ascii="Times New Roman" w:hAnsi="Times New Roman"/>
          <w:i/>
          <w:sz w:val="13"/>
        </w:rPr>
      </w:pPr>
      <w:r>
        <w:rPr>
          <w:rFonts w:ascii="Times New Roman" w:hAnsi="Times New Roman"/>
          <w:i/>
          <w:w w:val="99"/>
          <w:sz w:val="24"/>
        </w:rPr>
        <w:t>A</w:t>
      </w:r>
      <w:r>
        <w:rPr>
          <w:rFonts w:ascii="Times New Roman" w:hAnsi="Times New Roman"/>
          <w:i/>
          <w:spacing w:val="-12"/>
          <w:sz w:val="24"/>
        </w:rPr>
        <w:t> </w:t>
      </w:r>
      <w:r>
        <w:rPr>
          <w:rFonts w:ascii="Symbol" w:hAnsi="Symbol"/>
          <w:w w:val="99"/>
          <w:sz w:val="24"/>
        </w:rPr>
        <w:t></w:t>
      </w:r>
      <w:r>
        <w:rPr>
          <w:rFonts w:ascii="Times New Roman" w:hAnsi="Times New Roman"/>
          <w:spacing w:val="-7"/>
          <w:sz w:val="24"/>
        </w:rPr>
        <w:t> </w:t>
      </w:r>
      <w:r>
        <w:rPr>
          <w:rFonts w:ascii="Symbol" w:hAnsi="Symbol"/>
          <w:spacing w:val="23"/>
          <w:w w:val="102"/>
          <w:position w:val="-4"/>
          <w:sz w:val="35"/>
        </w:rPr>
        <w:t></w:t>
      </w:r>
      <w:r>
        <w:rPr>
          <w:rFonts w:ascii="Times New Roman" w:hAnsi="Times New Roman"/>
          <w:i/>
          <w:spacing w:val="-13"/>
          <w:w w:val="99"/>
          <w:sz w:val="24"/>
        </w:rPr>
        <w:t>Q</w:t>
      </w:r>
      <w:r>
        <w:rPr>
          <w:rFonts w:ascii="Times New Roman" w:hAnsi="Times New Roman"/>
          <w:i/>
          <w:w w:val="106"/>
          <w:position w:val="-5"/>
          <w:sz w:val="13"/>
        </w:rPr>
        <w:t>i</w:t>
      </w:r>
      <w:r>
        <w:rPr>
          <w:rFonts w:ascii="Times New Roman" w:hAnsi="Times New Roman"/>
          <w:i/>
          <w:spacing w:val="-10"/>
          <w:position w:val="-5"/>
          <w:sz w:val="13"/>
        </w:rPr>
        <w:t> </w:t>
      </w:r>
      <w:r>
        <w:rPr>
          <w:rFonts w:ascii="Times New Roman" w:hAnsi="Times New Roman"/>
          <w:i/>
          <w:spacing w:val="-42"/>
          <w:w w:val="99"/>
          <w:sz w:val="24"/>
        </w:rPr>
        <w:t>P</w:t>
      </w:r>
      <w:r>
        <w:rPr>
          <w:rFonts w:ascii="Times New Roman" w:hAnsi="Times New Roman"/>
          <w:i/>
          <w:w w:val="106"/>
          <w:position w:val="-5"/>
          <w:sz w:val="13"/>
        </w:rPr>
        <w:t>i</w:t>
      </w:r>
    </w:p>
    <w:p>
      <w:pPr>
        <w:spacing w:line="143" w:lineRule="exact" w:before="0"/>
        <w:ind w:left="195" w:right="236" w:firstLine="0"/>
        <w:jc w:val="center"/>
        <w:rPr>
          <w:rFonts w:ascii="Times New Roman" w:hAnsi="Times New Roman"/>
          <w:sz w:val="13"/>
        </w:rPr>
      </w:pP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BodyText"/>
        <w:spacing w:before="4"/>
        <w:ind w:left="0"/>
        <w:rPr>
          <w:rFonts w:ascii="Times New Roman"/>
          <w:sz w:val="20"/>
        </w:rPr>
      </w:pPr>
    </w:p>
    <w:p>
      <w:pPr>
        <w:pStyle w:val="BodyText"/>
        <w:ind w:left="717"/>
      </w:pPr>
      <w:r>
        <w:rPr>
          <w:position w:val="2"/>
        </w:rPr>
        <w:t>式中：</w:t>
      </w:r>
      <w:r>
        <w:rPr>
          <w:rFonts w:ascii="Times New Roman" w:hAnsi="Times New Roman" w:eastAsia="Times New Roman"/>
          <w:i/>
          <w:position w:val="2"/>
        </w:rPr>
        <w:t>Q</w:t>
      </w:r>
      <w:r>
        <w:rPr>
          <w:rFonts w:ascii="Times New Roman" w:hAnsi="Times New Roman" w:eastAsia="Times New Roman"/>
          <w:i/>
          <w:sz w:val="16"/>
        </w:rPr>
        <w:t>i</w:t>
      </w:r>
      <w:r>
        <w:rPr>
          <w:rFonts w:ascii="Times New Roman" w:hAnsi="Times New Roman" w:eastAsia="Times New Roman"/>
          <w:position w:val="2"/>
        </w:rPr>
        <w:t>——</w:t>
      </w:r>
      <w:r>
        <w:rPr>
          <w:position w:val="2"/>
        </w:rPr>
        <w:t>某种污染物排放年累计量；</w:t>
      </w:r>
    </w:p>
    <w:p>
      <w:pPr>
        <w:pStyle w:val="BodyText"/>
        <w:spacing w:before="161"/>
        <w:ind w:left="1437"/>
      </w:pPr>
      <w:r>
        <w:rPr>
          <w:rFonts w:ascii="Times New Roman" w:hAnsi="Times New Roman" w:eastAsia="Times New Roman"/>
          <w:i/>
          <w:position w:val="2"/>
        </w:rPr>
        <w:t>P</w:t>
      </w:r>
      <w:r>
        <w:rPr>
          <w:rFonts w:ascii="Times New Roman" w:hAnsi="Times New Roman" w:eastAsia="Times New Roman"/>
          <w:i/>
          <w:sz w:val="16"/>
        </w:rPr>
        <w:t>i</w:t>
      </w:r>
      <w:r>
        <w:rPr>
          <w:rFonts w:ascii="Times New Roman" w:hAnsi="Times New Roman" w:eastAsia="Times New Roman"/>
          <w:position w:val="2"/>
        </w:rPr>
        <w:t>——</w:t>
      </w:r>
      <w:r>
        <w:rPr>
          <w:position w:val="2"/>
        </w:rPr>
        <w:t>为某种污染物作为资源、能源的价格。</w:t>
      </w:r>
    </w:p>
    <w:p>
      <w:pPr>
        <w:pStyle w:val="BodyText"/>
        <w:spacing w:line="364" w:lineRule="auto" w:before="161"/>
        <w:ind w:right="249" w:firstLine="480"/>
        <w:jc w:val="both"/>
      </w:pPr>
      <w:r>
        <w:rPr/>
        <w:t>本项目外排废水须经集中污水处理厂处理后排入钱塘江，无直接利用价值；产生的废气主要是臭气，采取相应措施后外排量较少；固废方面，一般废物可外运综合处置， 危险废物收集后委托处置，无排放。因此，项目资源和能源流失代价 </w:t>
      </w:r>
      <w:r>
        <w:rPr>
          <w:rFonts w:ascii="Times New Roman" w:eastAsia="Times New Roman"/>
        </w:rPr>
        <w:t>A=0 </w:t>
      </w:r>
      <w:r>
        <w:rPr/>
        <w:t>元</w:t>
      </w:r>
      <w:r>
        <w:rPr>
          <w:rFonts w:ascii="Times New Roman" w:eastAsia="Times New Roman"/>
        </w:rPr>
        <w:t>/</w:t>
      </w:r>
      <w:r>
        <w:rPr/>
        <w:t>年。</w:t>
      </w:r>
    </w:p>
    <w:p>
      <w:pPr>
        <w:pStyle w:val="Heading3"/>
        <w:spacing w:before="2"/>
      </w:pPr>
      <w:r>
        <w:rPr>
          <w:rFonts w:ascii="Times New Roman" w:eastAsia="Times New Roman"/>
        </w:rPr>
        <w:t>2</w:t>
      </w:r>
      <w:r>
        <w:rPr/>
        <w:t>、对环境生产和生活资料造成的损失代价</w:t>
      </w:r>
    </w:p>
    <w:p>
      <w:pPr>
        <w:pStyle w:val="BodyText"/>
        <w:spacing w:line="364" w:lineRule="auto" w:before="160"/>
        <w:ind w:right="99" w:firstLine="480"/>
      </w:pPr>
      <w:r>
        <w:rPr>
          <w:position w:val="2"/>
        </w:rPr>
        <w:t>这一部分损失主要是政府收缴的排污费，本项目主要针对废水中的 </w:t>
      </w:r>
      <w:r>
        <w:rPr>
          <w:rFonts w:ascii="Times New Roman" w:eastAsia="Times New Roman"/>
          <w:position w:val="2"/>
        </w:rPr>
        <w:t>COD</w:t>
      </w:r>
      <w:r>
        <w:rPr>
          <w:rFonts w:ascii="Times New Roman" w:eastAsia="Times New Roman"/>
          <w:sz w:val="16"/>
        </w:rPr>
        <w:t>Cr </w:t>
      </w:r>
      <w:r>
        <w:rPr>
          <w:position w:val="2"/>
        </w:rPr>
        <w:t>和氨氮， </w:t>
      </w:r>
      <w:r>
        <w:rPr/>
        <w:t>废气中的二氧化硫及氮氧化物等，根据工程分析，四者排放量分别为 </w:t>
      </w:r>
      <w:r>
        <w:rPr>
          <w:rFonts w:ascii="Times New Roman" w:eastAsia="Times New Roman"/>
        </w:rPr>
        <w:t>6.667t/a</w:t>
      </w:r>
      <w:r>
        <w:rPr/>
        <w:t>、</w:t>
      </w:r>
      <w:r>
        <w:rPr>
          <w:rFonts w:ascii="Times New Roman" w:eastAsia="Times New Roman"/>
        </w:rPr>
        <w:t>0.667t/a</w:t>
      </w:r>
      <w:r>
        <w:rPr/>
        <w:t>、</w:t>
      </w:r>
      <w:r>
        <w:rPr>
          <w:rFonts w:ascii="Times New Roman" w:eastAsia="Times New Roman"/>
        </w:rPr>
        <w:t>0.011t/a </w:t>
      </w:r>
      <w:r>
        <w:rPr/>
        <w:t>及 </w:t>
      </w:r>
      <w:r>
        <w:rPr>
          <w:rFonts w:ascii="Times New Roman" w:eastAsia="Times New Roman"/>
        </w:rPr>
        <w:t>0.478t/a</w:t>
      </w:r>
      <w:r>
        <w:rPr/>
        <w:t>，年均排污费约 </w:t>
      </w:r>
      <w:r>
        <w:rPr>
          <w:rFonts w:ascii="Times New Roman" w:eastAsia="Times New Roman"/>
        </w:rPr>
        <w:t>7 </w:t>
      </w:r>
      <w:r>
        <w:rPr/>
        <w:t>万元左右。</w:t>
      </w:r>
    </w:p>
    <w:p>
      <w:pPr>
        <w:pStyle w:val="Heading3"/>
        <w:spacing w:before="3"/>
      </w:pPr>
      <w:r>
        <w:rPr>
          <w:rFonts w:ascii="Times New Roman" w:eastAsia="Times New Roman"/>
        </w:rPr>
        <w:t>3</w:t>
      </w:r>
      <w:r>
        <w:rPr/>
        <w:t>、对人群、动植物造成的损失代价</w:t>
      </w:r>
    </w:p>
    <w:p>
      <w:pPr>
        <w:pStyle w:val="BodyText"/>
        <w:spacing w:line="364" w:lineRule="auto" w:before="160"/>
        <w:ind w:right="251" w:firstLine="480"/>
        <w:jc w:val="both"/>
      </w:pPr>
      <w:r>
        <w:rPr/>
        <w:t>本项目废水经自建污水处理站处理后经市政管网进绍兴市污水处理厂处理达标后排入钱塘江，废水不直接排入周围地表水，根据绍兴市污水处理厂环评结论，污水处理厂尾水达标排放的前提下，对钱塘江水质不会产生明显不利影响。</w:t>
      </w:r>
    </w:p>
    <w:p>
      <w:pPr>
        <w:pStyle w:val="BodyText"/>
        <w:spacing w:line="364" w:lineRule="auto" w:before="3"/>
        <w:ind w:right="254" w:firstLine="480"/>
      </w:pPr>
      <w:r>
        <w:rPr/>
        <w:t>废气方面本项目会排放臭气，根据环境质量现状监测及预测结果，当地尚有一定的大气环境容量，对人群和动植物造成的影响较小。</w:t>
      </w:r>
    </w:p>
    <w:p>
      <w:pPr>
        <w:pStyle w:val="BodyText"/>
        <w:spacing w:line="364" w:lineRule="auto" w:before="1"/>
        <w:ind w:right="252" w:firstLine="480"/>
      </w:pPr>
      <w:r>
        <w:rPr/>
        <w:t>固废方面，本项目产生的一般废物可综合利用或处置，危险废物收集后委托处置， 无排放，因此基本不会对人群和动植物造成影响。</w:t>
      </w:r>
    </w:p>
    <w:p>
      <w:pPr>
        <w:pStyle w:val="BodyText"/>
        <w:spacing w:before="1"/>
        <w:ind w:left="717"/>
      </w:pPr>
      <w:r>
        <w:rPr/>
        <w:t>根据上述三项，本项目环境代价按 </w:t>
      </w:r>
      <w:r>
        <w:rPr>
          <w:rFonts w:ascii="Times New Roman" w:eastAsia="Times New Roman"/>
        </w:rPr>
        <w:t>7 </w:t>
      </w:r>
      <w:r>
        <w:rPr/>
        <w:t>万元</w:t>
      </w:r>
      <w:r>
        <w:rPr>
          <w:rFonts w:ascii="Times New Roman" w:eastAsia="Times New Roman"/>
        </w:rPr>
        <w:t>/</w:t>
      </w:r>
      <w:r>
        <w:rPr/>
        <w:t>年考虑。</w:t>
      </w:r>
    </w:p>
    <w:p>
      <w:pPr>
        <w:pStyle w:val="Heading3"/>
        <w:numPr>
          <w:ilvl w:val="2"/>
          <w:numId w:val="105"/>
        </w:numPr>
        <w:tabs>
          <w:tab w:pos="838" w:val="left" w:leader="none"/>
        </w:tabs>
        <w:spacing w:line="240" w:lineRule="auto" w:before="160" w:after="0"/>
        <w:ind w:left="837" w:right="0" w:hanging="601"/>
        <w:jc w:val="left"/>
      </w:pPr>
      <w:bookmarkStart w:name="_bookmark114" w:id="220"/>
      <w:bookmarkEnd w:id="220"/>
      <w:r>
        <w:rPr>
          <w:b w:val="0"/>
        </w:rPr>
      </w:r>
      <w:bookmarkStart w:name="_bookmark114" w:id="221"/>
      <w:bookmarkEnd w:id="221"/>
      <w:r>
        <w:rPr/>
        <w:t>建设项目环境成本分析</w:t>
      </w:r>
    </w:p>
    <w:p>
      <w:pPr>
        <w:pStyle w:val="BodyText"/>
        <w:spacing w:before="161"/>
        <w:ind w:left="717"/>
      </w:pPr>
      <w:r>
        <w:rPr/>
        <w:t>建设项目环境成本主要包括两部分：环境保护措施投资和环保设施运行及管理费用。</w:t>
      </w:r>
    </w:p>
    <w:p>
      <w:pPr>
        <w:pStyle w:val="Heading3"/>
        <w:spacing w:before="160"/>
      </w:pPr>
      <w:r>
        <w:rPr>
          <w:rFonts w:ascii="Times New Roman" w:eastAsia="Times New Roman"/>
        </w:rPr>
        <w:t>1</w:t>
      </w:r>
      <w:r>
        <w:rPr/>
        <w:t>、环保工程建设投资</w:t>
      </w:r>
    </w:p>
    <w:p>
      <w:pPr>
        <w:pStyle w:val="BodyText"/>
        <w:spacing w:line="364" w:lineRule="auto" w:before="162"/>
        <w:ind w:right="252" w:firstLine="480"/>
      </w:pPr>
      <w:r>
        <w:rPr>
          <w:spacing w:val="-14"/>
        </w:rPr>
        <w:t>根据第 </w:t>
      </w:r>
      <w:r>
        <w:rPr>
          <w:rFonts w:ascii="Times New Roman" w:eastAsia="Times New Roman"/>
        </w:rPr>
        <w:t>6.4 </w:t>
      </w:r>
      <w:r>
        <w:rPr>
          <w:spacing w:val="-5"/>
        </w:rPr>
        <w:t>章节的分析，本项目总投资 </w:t>
      </w:r>
      <w:r>
        <w:rPr>
          <w:rFonts w:ascii="Times New Roman" w:eastAsia="Times New Roman"/>
        </w:rPr>
        <w:t>50000 </w:t>
      </w:r>
      <w:r>
        <w:rPr>
          <w:spacing w:val="-5"/>
        </w:rPr>
        <w:t>万元，环保工程总投资为 </w:t>
      </w:r>
      <w:r>
        <w:rPr>
          <w:rFonts w:ascii="Times New Roman" w:eastAsia="Times New Roman"/>
        </w:rPr>
        <w:t>1077 </w:t>
      </w:r>
      <w:r>
        <w:rPr>
          <w:spacing w:val="-5"/>
        </w:rPr>
        <w:t>万元， </w:t>
      </w:r>
      <w:r>
        <w:rPr>
          <w:spacing w:val="-6"/>
        </w:rPr>
        <w:t>环保投资占总投资比例的 </w:t>
      </w:r>
      <w:r>
        <w:rPr>
          <w:rFonts w:ascii="Times New Roman" w:eastAsia="Times New Roman"/>
        </w:rPr>
        <w:t>2.15%</w:t>
      </w:r>
      <w:r>
        <w:rPr/>
        <w:t>。</w:t>
      </w:r>
    </w:p>
    <w:p>
      <w:pPr>
        <w:pStyle w:val="Heading3"/>
        <w:spacing w:before="1"/>
      </w:pPr>
      <w:r>
        <w:rPr>
          <w:rFonts w:ascii="Times New Roman" w:eastAsia="Times New Roman"/>
        </w:rPr>
        <w:t>2</w:t>
      </w:r>
      <w:r>
        <w:rPr/>
        <w:t>、环保工程运行管理费用</w:t>
      </w:r>
    </w:p>
    <w:p>
      <w:pPr>
        <w:pStyle w:val="BodyText"/>
        <w:spacing w:line="364" w:lineRule="auto" w:before="160"/>
        <w:ind w:right="254" w:firstLine="480"/>
      </w:pPr>
      <w:r>
        <w:rPr/>
        <w:t>此部分费用主要有五个部分。包括设备折旧、设备大修、能源、环保材料消耗、环保工作人员成本、管理费用等。本项目环境工程运行管理费用按 </w:t>
      </w:r>
      <w:r>
        <w:rPr>
          <w:rFonts w:ascii="Times New Roman" w:eastAsia="Times New Roman"/>
        </w:rPr>
        <w:t>185 </w:t>
      </w:r>
      <w:r>
        <w:rPr/>
        <w:t>万元</w:t>
      </w:r>
      <w:r>
        <w:rPr>
          <w:rFonts w:ascii="Times New Roman" w:eastAsia="Times New Roman"/>
        </w:rPr>
        <w:t>/</w:t>
      </w:r>
      <w:r>
        <w:rPr/>
        <w:t>年考虑。</w:t>
      </w:r>
    </w:p>
    <w:p>
      <w:pPr>
        <w:spacing w:after="0" w:line="364" w:lineRule="auto"/>
        <w:sectPr>
          <w:pgSz w:w="11910" w:h="16840"/>
          <w:pgMar w:header="874" w:footer="1004" w:top="1420" w:bottom="1200" w:left="1040" w:right="1160"/>
        </w:sectPr>
      </w:pPr>
    </w:p>
    <w:p>
      <w:pPr>
        <w:pStyle w:val="Heading3"/>
        <w:numPr>
          <w:ilvl w:val="2"/>
          <w:numId w:val="105"/>
        </w:numPr>
        <w:tabs>
          <w:tab w:pos="838" w:val="left" w:leader="none"/>
        </w:tabs>
        <w:spacing w:line="240" w:lineRule="auto" w:before="92" w:after="0"/>
        <w:ind w:left="837" w:right="0" w:hanging="601"/>
        <w:jc w:val="both"/>
      </w:pPr>
      <w:bookmarkStart w:name="_bookmark115" w:id="222"/>
      <w:bookmarkEnd w:id="222"/>
      <w:r>
        <w:rPr>
          <w:b w:val="0"/>
        </w:rPr>
      </w:r>
      <w:bookmarkStart w:name="_bookmark115" w:id="223"/>
      <w:bookmarkEnd w:id="223"/>
      <w:r>
        <w:rPr>
          <w:w w:val="95"/>
        </w:rPr>
        <w:t>环境经济收益分析</w:t>
      </w:r>
    </w:p>
    <w:p>
      <w:pPr>
        <w:pStyle w:val="BodyText"/>
        <w:spacing w:line="364" w:lineRule="auto" w:before="160"/>
        <w:ind w:right="247" w:firstLine="480"/>
        <w:jc w:val="both"/>
      </w:pPr>
      <w:r>
        <w:rPr/>
        <w:t>环境经济收益是指采取环境保护综合治理措施获取的直接经济收益。项目废水经处理后全部纳入市政污水管网，不直接排入环境，相对用于农田消纳等处理方式对周边地</w:t>
      </w:r>
      <w:r>
        <w:rPr>
          <w:spacing w:val="-4"/>
          <w:position w:val="2"/>
        </w:rPr>
        <w:t>表水环境的改善有明显的正效益。废气方面无 </w:t>
      </w:r>
      <w:r>
        <w:rPr>
          <w:rFonts w:ascii="Times New Roman" w:eastAsia="Times New Roman"/>
          <w:position w:val="2"/>
        </w:rPr>
        <w:t>VOCs</w:t>
      </w:r>
      <w:r>
        <w:rPr>
          <w:rFonts w:ascii="Times New Roman" w:eastAsia="Times New Roman"/>
          <w:spacing w:val="-1"/>
          <w:position w:val="2"/>
        </w:rPr>
        <w:t> </w:t>
      </w:r>
      <w:r>
        <w:rPr>
          <w:spacing w:val="-1"/>
          <w:position w:val="2"/>
        </w:rPr>
        <w:t>等的排放，</w:t>
      </w:r>
      <w:r>
        <w:rPr>
          <w:rFonts w:ascii="Times New Roman" w:eastAsia="Times New Roman"/>
          <w:spacing w:val="-4"/>
          <w:position w:val="2"/>
        </w:rPr>
        <w:t>SO</w:t>
      </w:r>
      <w:r>
        <w:rPr>
          <w:rFonts w:ascii="Times New Roman" w:eastAsia="Times New Roman"/>
          <w:spacing w:val="-4"/>
          <w:sz w:val="16"/>
        </w:rPr>
        <w:t>2</w:t>
      </w:r>
      <w:r>
        <w:rPr>
          <w:spacing w:val="-12"/>
          <w:position w:val="2"/>
        </w:rPr>
        <w:t>、</w:t>
      </w:r>
      <w:r>
        <w:rPr>
          <w:rFonts w:ascii="Times New Roman" w:eastAsia="Times New Roman"/>
          <w:position w:val="2"/>
        </w:rPr>
        <w:t>NO</w:t>
      </w:r>
      <w:r>
        <w:rPr>
          <w:rFonts w:ascii="Times New Roman" w:eastAsia="Times New Roman"/>
          <w:sz w:val="16"/>
        </w:rPr>
        <w:t>x</w:t>
      </w:r>
      <w:r>
        <w:rPr>
          <w:rFonts w:ascii="Times New Roman" w:eastAsia="Times New Roman"/>
          <w:spacing w:val="2"/>
          <w:sz w:val="16"/>
        </w:rPr>
        <w:t> </w:t>
      </w:r>
      <w:r>
        <w:rPr>
          <w:spacing w:val="-2"/>
          <w:position w:val="2"/>
        </w:rPr>
        <w:t>的排放量也较</w:t>
      </w:r>
      <w:r>
        <w:rPr/>
        <w:t>少，因此废气的排污成本较低。</w:t>
      </w:r>
    </w:p>
    <w:p>
      <w:pPr>
        <w:pStyle w:val="BodyText"/>
        <w:spacing w:before="3"/>
        <w:ind w:left="717"/>
      </w:pPr>
      <w:r>
        <w:rPr/>
        <w:t>因此，项目采取环保综合治理措施获取的直接经济效益无疑是非常巨大的。</w:t>
      </w:r>
    </w:p>
    <w:p>
      <w:pPr>
        <w:pStyle w:val="Heading3"/>
        <w:numPr>
          <w:ilvl w:val="2"/>
          <w:numId w:val="105"/>
        </w:numPr>
        <w:tabs>
          <w:tab w:pos="838" w:val="left" w:leader="none"/>
        </w:tabs>
        <w:spacing w:line="240" w:lineRule="auto" w:before="160" w:after="0"/>
        <w:ind w:left="837" w:right="0" w:hanging="601"/>
        <w:jc w:val="both"/>
      </w:pPr>
      <w:bookmarkStart w:name="_bookmark116" w:id="224"/>
      <w:bookmarkEnd w:id="224"/>
      <w:r>
        <w:rPr>
          <w:b w:val="0"/>
        </w:rPr>
      </w:r>
      <w:bookmarkStart w:name="_bookmark116" w:id="225"/>
      <w:bookmarkEnd w:id="225"/>
      <w:r>
        <w:rPr/>
        <w:t>建设项目环境经济效益分析</w:t>
      </w:r>
    </w:p>
    <w:p>
      <w:pPr>
        <w:pStyle w:val="BodyText"/>
        <w:spacing w:before="161"/>
        <w:ind w:left="717"/>
      </w:pPr>
      <w:r>
        <w:rPr/>
        <w:t>对建设项目环境经济效益的分析，主要从以下几方面进行：</w:t>
      </w:r>
    </w:p>
    <w:p>
      <w:pPr>
        <w:pStyle w:val="ListParagraph"/>
        <w:numPr>
          <w:ilvl w:val="3"/>
          <w:numId w:val="105"/>
        </w:numPr>
        <w:tabs>
          <w:tab w:pos="1319" w:val="left" w:leader="none"/>
        </w:tabs>
        <w:spacing w:line="240" w:lineRule="auto" w:before="161" w:after="0"/>
        <w:ind w:left="1318" w:right="0" w:hanging="602"/>
        <w:jc w:val="left"/>
        <w:rPr>
          <w:sz w:val="24"/>
        </w:rPr>
      </w:pPr>
      <w:r>
        <w:rPr>
          <w:sz w:val="24"/>
        </w:rPr>
        <w:t>环保建设费用占建设投资比例</w:t>
      </w:r>
    </w:p>
    <w:p>
      <w:pPr>
        <w:pStyle w:val="BodyText"/>
        <w:spacing w:before="160"/>
        <w:ind w:left="717"/>
        <w:rPr>
          <w:rFonts w:ascii="Times New Roman" w:hAnsi="Times New Roman" w:eastAsia="Times New Roman"/>
        </w:rPr>
      </w:pPr>
      <w:r>
        <w:rPr/>
        <w:t>环保建设费用</w:t>
      </w:r>
      <w:r>
        <w:rPr>
          <w:rFonts w:ascii="Times New Roman" w:hAnsi="Times New Roman" w:eastAsia="Times New Roman"/>
        </w:rPr>
        <w:t>/</w:t>
      </w:r>
      <w:r>
        <w:rPr/>
        <w:t>总投资</w:t>
      </w:r>
      <w:r>
        <w:rPr>
          <w:rFonts w:ascii="Times New Roman" w:hAnsi="Times New Roman" w:eastAsia="Times New Roman"/>
        </w:rPr>
        <w:t>×100%=1077/50000×100%=2.15%</w:t>
      </w:r>
    </w:p>
    <w:p>
      <w:pPr>
        <w:pStyle w:val="ListParagraph"/>
        <w:numPr>
          <w:ilvl w:val="3"/>
          <w:numId w:val="105"/>
        </w:numPr>
        <w:tabs>
          <w:tab w:pos="1319" w:val="left" w:leader="none"/>
        </w:tabs>
        <w:spacing w:line="240" w:lineRule="auto" w:before="161" w:after="0"/>
        <w:ind w:left="1318" w:right="0" w:hanging="602"/>
        <w:jc w:val="left"/>
        <w:rPr>
          <w:sz w:val="24"/>
        </w:rPr>
      </w:pPr>
      <w:r>
        <w:rPr>
          <w:sz w:val="24"/>
        </w:rPr>
        <w:t>环境成本率</w:t>
      </w:r>
    </w:p>
    <w:p>
      <w:pPr>
        <w:pStyle w:val="BodyText"/>
        <w:spacing w:line="364" w:lineRule="auto" w:before="160"/>
        <w:ind w:right="194" w:firstLine="480"/>
        <w:rPr>
          <w:rFonts w:ascii="Times New Roman" w:hAnsi="Times New Roman" w:eastAsia="Times New Roman"/>
        </w:rPr>
      </w:pPr>
      <w:r>
        <w:rPr/>
        <w:t>环境成本率是指工程单位经济效益所需的环保运行管理费用：环境成本率</w:t>
      </w:r>
      <w:r>
        <w:rPr>
          <w:rFonts w:ascii="Times New Roman" w:hAnsi="Times New Roman" w:eastAsia="Times New Roman"/>
        </w:rPr>
        <w:t>=</w:t>
      </w:r>
      <w:r>
        <w:rPr/>
        <w:t>环保运行管理费用</w:t>
      </w:r>
      <w:r>
        <w:rPr>
          <w:rFonts w:ascii="Times New Roman" w:hAnsi="Times New Roman" w:eastAsia="Times New Roman"/>
        </w:rPr>
        <w:t>/</w:t>
      </w:r>
      <w:r>
        <w:rPr/>
        <w:t>工程总经济效益</w:t>
      </w:r>
      <w:r>
        <w:rPr>
          <w:rFonts w:ascii="Times New Roman" w:hAnsi="Times New Roman" w:eastAsia="Times New Roman"/>
        </w:rPr>
        <w:t>×100%=185/10133×100%=1.83%</w:t>
      </w:r>
    </w:p>
    <w:p>
      <w:pPr>
        <w:pStyle w:val="ListParagraph"/>
        <w:numPr>
          <w:ilvl w:val="3"/>
          <w:numId w:val="105"/>
        </w:numPr>
        <w:tabs>
          <w:tab w:pos="1319" w:val="left" w:leader="none"/>
        </w:tabs>
        <w:spacing w:line="240" w:lineRule="auto" w:before="1" w:after="0"/>
        <w:ind w:left="1318" w:right="0" w:hanging="602"/>
        <w:jc w:val="left"/>
        <w:rPr>
          <w:sz w:val="24"/>
        </w:rPr>
      </w:pPr>
      <w:r>
        <w:rPr>
          <w:sz w:val="24"/>
        </w:rPr>
        <w:t>环境系数</w:t>
      </w:r>
    </w:p>
    <w:p>
      <w:pPr>
        <w:pStyle w:val="BodyText"/>
        <w:spacing w:line="364" w:lineRule="auto" w:before="161"/>
        <w:ind w:right="249" w:firstLine="480"/>
        <w:rPr>
          <w:rFonts w:ascii="Times New Roman" w:hAnsi="Times New Roman" w:eastAsia="Times New Roman"/>
        </w:rPr>
      </w:pPr>
      <w:r>
        <w:rPr/>
        <w:t>环境系数指工程单位产值所需的环保运行管理费用：环境系数</w:t>
      </w:r>
      <w:r>
        <w:rPr>
          <w:rFonts w:ascii="Times New Roman" w:hAnsi="Times New Roman" w:eastAsia="Times New Roman"/>
        </w:rPr>
        <w:t>=</w:t>
      </w:r>
      <w:r>
        <w:rPr/>
        <w:t>环保运行管理费用</w:t>
      </w:r>
      <w:r>
        <w:rPr>
          <w:rFonts w:ascii="Times New Roman" w:hAnsi="Times New Roman" w:eastAsia="Times New Roman"/>
        </w:rPr>
        <w:t>/ </w:t>
      </w:r>
      <w:r>
        <w:rPr/>
        <w:t>总产值</w:t>
      </w:r>
      <w:r>
        <w:rPr>
          <w:rFonts w:ascii="Times New Roman" w:hAnsi="Times New Roman" w:eastAsia="Times New Roman"/>
        </w:rPr>
        <w:t>×100%=185/20000×100%=0.93%</w:t>
      </w:r>
    </w:p>
    <w:p>
      <w:pPr>
        <w:pStyle w:val="ListParagraph"/>
        <w:numPr>
          <w:ilvl w:val="3"/>
          <w:numId w:val="105"/>
        </w:numPr>
        <w:tabs>
          <w:tab w:pos="1319" w:val="left" w:leader="none"/>
        </w:tabs>
        <w:spacing w:line="240" w:lineRule="auto" w:before="2" w:after="0"/>
        <w:ind w:left="1318" w:right="0" w:hanging="602"/>
        <w:jc w:val="left"/>
        <w:rPr>
          <w:sz w:val="24"/>
        </w:rPr>
      </w:pPr>
      <w:r>
        <w:rPr>
          <w:sz w:val="24"/>
        </w:rPr>
        <w:t>环境代价率</w:t>
      </w:r>
    </w:p>
    <w:p>
      <w:pPr>
        <w:pStyle w:val="BodyText"/>
        <w:spacing w:line="364" w:lineRule="auto" w:before="160"/>
        <w:ind w:right="252" w:firstLine="480"/>
        <w:rPr>
          <w:rFonts w:ascii="Times New Roman" w:hAnsi="Times New Roman" w:eastAsia="Times New Roman"/>
        </w:rPr>
      </w:pPr>
      <w:r>
        <w:rPr>
          <w:spacing w:val="-5"/>
        </w:rPr>
        <w:t>环境代价率指工程单位经济效益所需的环境代价：环境代价率</w:t>
      </w:r>
      <w:r>
        <w:rPr>
          <w:rFonts w:ascii="Times New Roman" w:hAnsi="Times New Roman" w:eastAsia="Times New Roman"/>
        </w:rPr>
        <w:t>=</w:t>
      </w:r>
      <w:r>
        <w:rPr/>
        <w:t>环境代价</w:t>
      </w:r>
      <w:r>
        <w:rPr>
          <w:rFonts w:ascii="Times New Roman" w:hAnsi="Times New Roman" w:eastAsia="Times New Roman"/>
        </w:rPr>
        <w:t>/</w:t>
      </w:r>
      <w:r>
        <w:rPr>
          <w:spacing w:val="-4"/>
        </w:rPr>
        <w:t>工程总经济</w:t>
      </w:r>
      <w:r>
        <w:rPr/>
        <w:t>效益</w:t>
      </w:r>
      <w:r>
        <w:rPr>
          <w:rFonts w:ascii="Times New Roman" w:hAnsi="Times New Roman" w:eastAsia="Times New Roman"/>
        </w:rPr>
        <w:t>×100%=7/10133×100%=0.07%</w:t>
      </w:r>
    </w:p>
    <w:p>
      <w:pPr>
        <w:pStyle w:val="ListParagraph"/>
        <w:numPr>
          <w:ilvl w:val="3"/>
          <w:numId w:val="105"/>
        </w:numPr>
        <w:tabs>
          <w:tab w:pos="1319" w:val="left" w:leader="none"/>
        </w:tabs>
        <w:spacing w:line="240" w:lineRule="auto" w:before="1" w:after="0"/>
        <w:ind w:left="1318" w:right="0" w:hanging="602"/>
        <w:jc w:val="left"/>
        <w:rPr>
          <w:sz w:val="24"/>
        </w:rPr>
      </w:pPr>
      <w:r>
        <w:rPr>
          <w:sz w:val="24"/>
        </w:rPr>
        <w:t>项目环境经济总体效益</w:t>
      </w:r>
    </w:p>
    <w:p>
      <w:pPr>
        <w:pStyle w:val="BodyText"/>
        <w:spacing w:before="161"/>
        <w:ind w:left="717"/>
      </w:pPr>
      <w:r>
        <w:rPr/>
        <w:t>建设项目环境经济总体效益</w:t>
      </w:r>
      <w:r>
        <w:rPr>
          <w:rFonts w:ascii="Times New Roman" w:eastAsia="Times New Roman"/>
        </w:rPr>
        <w:t>= </w:t>
      </w:r>
      <w:r>
        <w:rPr/>
        <w:t>总经济效益</w:t>
      </w:r>
      <w:r>
        <w:rPr>
          <w:rFonts w:ascii="Times New Roman" w:eastAsia="Times New Roman"/>
        </w:rPr>
        <w:t>- </w:t>
      </w:r>
      <w:r>
        <w:rPr/>
        <w:t>环境代价</w:t>
      </w:r>
      <w:r>
        <w:rPr>
          <w:rFonts w:ascii="Times New Roman" w:eastAsia="Times New Roman"/>
        </w:rPr>
        <w:t>- </w:t>
      </w:r>
      <w:r>
        <w:rPr/>
        <w:t>环保工程运行管理费用</w:t>
      </w:r>
    </w:p>
    <w:p>
      <w:pPr>
        <w:pStyle w:val="BodyText"/>
        <w:spacing w:before="160"/>
      </w:pPr>
      <w:r>
        <w:rPr>
          <w:rFonts w:ascii="Times New Roman" w:eastAsia="Times New Roman"/>
        </w:rPr>
        <w:t>=10133-7-185=+9941 </w:t>
      </w:r>
      <w:r>
        <w:rPr/>
        <w:t>万元。</w:t>
      </w:r>
    </w:p>
    <w:p>
      <w:pPr>
        <w:pStyle w:val="Heading2"/>
        <w:numPr>
          <w:ilvl w:val="1"/>
          <w:numId w:val="105"/>
        </w:numPr>
        <w:tabs>
          <w:tab w:pos="730" w:val="left" w:leader="none"/>
        </w:tabs>
        <w:spacing w:line="240" w:lineRule="auto" w:before="212" w:after="0"/>
        <w:ind w:left="729" w:right="0" w:hanging="493"/>
        <w:jc w:val="left"/>
      </w:pPr>
      <w:bookmarkStart w:name="_bookmark117" w:id="226"/>
      <w:bookmarkEnd w:id="226"/>
      <w:r>
        <w:rPr>
          <w:b w:val="0"/>
        </w:rPr>
      </w:r>
      <w:bookmarkStart w:name="_bookmark117" w:id="227"/>
      <w:bookmarkEnd w:id="227"/>
      <w:r>
        <w:rPr/>
        <w:t>环境影响经济损益分析结论</w:t>
      </w:r>
    </w:p>
    <w:p>
      <w:pPr>
        <w:pStyle w:val="BodyText"/>
        <w:spacing w:line="364" w:lineRule="auto" w:before="215"/>
        <w:ind w:right="133" w:firstLine="480"/>
      </w:pPr>
      <w:r>
        <w:rPr/>
        <w:t>项目通过采用较先进的养殖工艺，能够节约能源消耗、降低生产成本。项目的实施</w:t>
      </w:r>
      <w:r>
        <w:rPr>
          <w:spacing w:val="-4"/>
        </w:rPr>
        <w:t>在促进地方经济发展方面，具有良好的社会效益。市场前景良好，并有较好的赢利能力、</w:t>
      </w:r>
      <w:r>
        <w:rPr/>
        <w:t>清偿能力和抗风险能力，从社会经济角度看也是可行的。</w:t>
      </w:r>
    </w:p>
    <w:p>
      <w:pPr>
        <w:pStyle w:val="BodyText"/>
        <w:spacing w:line="364" w:lineRule="auto" w:before="1"/>
        <w:ind w:right="249" w:firstLine="480"/>
        <w:jc w:val="both"/>
      </w:pPr>
      <w:r>
        <w:rPr/>
        <w:t>项目在保证环保投资的前提下，能够达标排放，从环境成本比率、环境系数、环境代价等指标看，该项目环境代价和环保成本一般环境效益比较明显，从环境经济角度来看也是合理可行的。</w:t>
      </w:r>
    </w:p>
    <w:p>
      <w:pPr>
        <w:spacing w:after="0" w:line="364" w:lineRule="auto"/>
        <w:jc w:val="both"/>
        <w:sectPr>
          <w:pgSz w:w="11910" w:h="16840"/>
          <w:pgMar w:header="874" w:footer="1004" w:top="1420" w:bottom="1200" w:left="1040" w:right="1160"/>
        </w:sectPr>
      </w:pPr>
    </w:p>
    <w:p>
      <w:pPr>
        <w:pStyle w:val="Heading1"/>
      </w:pPr>
      <w:bookmarkStart w:name="_bookmark118" w:id="228"/>
      <w:bookmarkEnd w:id="228"/>
      <w:r>
        <w:rPr>
          <w:b w:val="0"/>
        </w:rPr>
      </w:r>
      <w:r>
        <w:rPr/>
        <w:t>第八章 环境管理与监测计划</w:t>
      </w:r>
    </w:p>
    <w:p>
      <w:pPr>
        <w:pStyle w:val="Heading2"/>
        <w:numPr>
          <w:ilvl w:val="1"/>
          <w:numId w:val="106"/>
        </w:numPr>
        <w:tabs>
          <w:tab w:pos="730" w:val="left" w:leader="none"/>
        </w:tabs>
        <w:spacing w:line="240" w:lineRule="auto" w:before="253" w:after="0"/>
        <w:ind w:left="729" w:right="0" w:hanging="493"/>
        <w:jc w:val="both"/>
      </w:pPr>
      <w:bookmarkStart w:name="_bookmark119" w:id="229"/>
      <w:bookmarkEnd w:id="229"/>
      <w:r>
        <w:rPr>
          <w:b w:val="0"/>
        </w:rPr>
      </w:r>
      <w:bookmarkStart w:name="_bookmark119" w:id="230"/>
      <w:bookmarkEnd w:id="230"/>
      <w:r>
        <w:rPr/>
        <w:t>环境管理</w:t>
      </w:r>
    </w:p>
    <w:p>
      <w:pPr>
        <w:pStyle w:val="BodyText"/>
        <w:spacing w:line="364" w:lineRule="auto" w:before="214"/>
        <w:ind w:right="133" w:firstLine="480"/>
        <w:jc w:val="both"/>
      </w:pPr>
      <w:r>
        <w:rPr>
          <w:spacing w:val="-4"/>
        </w:rPr>
        <w:t>环境管理是企业管理中的一个重要环节，以环境科学理论为基础，运用技术、行政、</w:t>
      </w:r>
      <w:r>
        <w:rPr>
          <w:spacing w:val="-2"/>
        </w:rPr>
        <w:t>教育等手段对经济社会发展过程中施加给环境的污染破坏活动进行调节控制，实现环境、</w:t>
      </w:r>
      <w:r>
        <w:rPr/>
        <w:t>社会、经济协调可持续发展。</w:t>
      </w:r>
    </w:p>
    <w:p>
      <w:pPr>
        <w:pStyle w:val="Heading3"/>
        <w:numPr>
          <w:ilvl w:val="2"/>
          <w:numId w:val="106"/>
        </w:numPr>
        <w:tabs>
          <w:tab w:pos="838" w:val="left" w:leader="none"/>
        </w:tabs>
        <w:spacing w:line="240" w:lineRule="auto" w:before="1" w:after="0"/>
        <w:ind w:left="837" w:right="0" w:hanging="601"/>
        <w:jc w:val="both"/>
      </w:pPr>
      <w:bookmarkStart w:name="_bookmark120" w:id="231"/>
      <w:bookmarkEnd w:id="231"/>
      <w:r>
        <w:rPr>
          <w:b w:val="0"/>
        </w:rPr>
      </w:r>
      <w:bookmarkStart w:name="_bookmark120" w:id="232"/>
      <w:bookmarkEnd w:id="232"/>
      <w:r>
        <w:rPr/>
        <w:t>环境管理要求</w:t>
      </w:r>
    </w:p>
    <w:p>
      <w:pPr>
        <w:pStyle w:val="BodyText"/>
        <w:spacing w:before="161"/>
        <w:ind w:left="717"/>
      </w:pPr>
      <w:r>
        <w:rPr/>
        <w:t>本次环评主要就运营期的环境管理提出相关要求。</w:t>
      </w:r>
    </w:p>
    <w:p>
      <w:pPr>
        <w:pStyle w:val="BodyText"/>
        <w:spacing w:line="364" w:lineRule="auto" w:before="161"/>
        <w:ind w:right="255" w:firstLine="480"/>
      </w:pPr>
      <w:r>
        <w:rPr>
          <w:rFonts w:ascii="Times New Roman" w:eastAsia="Times New Roman"/>
        </w:rPr>
        <w:t>1</w:t>
      </w:r>
      <w:r>
        <w:rPr>
          <w:spacing w:val="-7"/>
        </w:rPr>
        <w:t>、贯彻执行国家及地方环境保护法律、法规和方针政策，执行国家、地方和行业环</w:t>
      </w:r>
      <w:r>
        <w:rPr/>
        <w:t>保部门的环境保护要求。</w:t>
      </w:r>
    </w:p>
    <w:p>
      <w:pPr>
        <w:pStyle w:val="BodyText"/>
        <w:spacing w:before="1"/>
        <w:ind w:left="717"/>
      </w:pPr>
      <w:r>
        <w:rPr>
          <w:rFonts w:ascii="Times New Roman" w:eastAsia="Times New Roman"/>
        </w:rPr>
        <w:t>2</w:t>
      </w:r>
      <w:r>
        <w:rPr/>
        <w:t>、落实项目运行期间环境保护措施，制定项目环境保护的环境管理办法和制度。</w:t>
      </w:r>
    </w:p>
    <w:p>
      <w:pPr>
        <w:pStyle w:val="ListParagraph"/>
        <w:numPr>
          <w:ilvl w:val="3"/>
          <w:numId w:val="106"/>
        </w:numPr>
        <w:tabs>
          <w:tab w:pos="1319" w:val="left" w:leader="none"/>
        </w:tabs>
        <w:spacing w:line="364" w:lineRule="auto" w:before="161" w:after="0"/>
        <w:ind w:left="237" w:right="134" w:firstLine="480"/>
        <w:jc w:val="left"/>
        <w:rPr>
          <w:sz w:val="24"/>
        </w:rPr>
      </w:pPr>
      <w:r>
        <w:rPr>
          <w:sz w:val="24"/>
        </w:rPr>
        <w:t>严格执行环保</w:t>
      </w:r>
      <w:r>
        <w:rPr>
          <w:rFonts w:ascii="Times New Roman" w:hAnsi="Times New Roman" w:eastAsia="Times New Roman"/>
          <w:sz w:val="24"/>
        </w:rPr>
        <w:t>“</w:t>
      </w:r>
      <w:r>
        <w:rPr>
          <w:sz w:val="24"/>
        </w:rPr>
        <w:t>三同时</w:t>
      </w:r>
      <w:r>
        <w:rPr>
          <w:rFonts w:ascii="Times New Roman" w:hAnsi="Times New Roman" w:eastAsia="Times New Roman"/>
          <w:sz w:val="24"/>
        </w:rPr>
        <w:t>”</w:t>
      </w:r>
      <w:r>
        <w:rPr>
          <w:sz w:val="24"/>
        </w:rPr>
        <w:t>的管理条例。在项目筹备、实施、建设阶段，严格执行</w:t>
      </w:r>
      <w:r>
        <w:rPr>
          <w:spacing w:val="-13"/>
          <w:sz w:val="24"/>
        </w:rPr>
        <w:t>建设项目环境影响评价的制度，并将继续按照国家法律法规要求，严格执行环保</w:t>
      </w:r>
      <w:r>
        <w:rPr>
          <w:rFonts w:ascii="Times New Roman" w:hAnsi="Times New Roman" w:eastAsia="Times New Roman"/>
          <w:sz w:val="24"/>
        </w:rPr>
        <w:t>“</w:t>
      </w:r>
      <w:r>
        <w:rPr>
          <w:sz w:val="24"/>
        </w:rPr>
        <w:t>三同时</w:t>
      </w:r>
      <w:r>
        <w:rPr>
          <w:rFonts w:ascii="Times New Roman" w:hAnsi="Times New Roman" w:eastAsia="Times New Roman"/>
          <w:spacing w:val="-10"/>
          <w:sz w:val="24"/>
        </w:rPr>
        <w:t>”</w:t>
      </w:r>
      <w:r>
        <w:rPr>
          <w:spacing w:val="-10"/>
          <w:sz w:val="24"/>
        </w:rPr>
        <w:t>， </w:t>
      </w:r>
      <w:r>
        <w:rPr>
          <w:sz w:val="24"/>
        </w:rPr>
        <w:t>确保污染处理设施能够和生产工艺</w:t>
      </w:r>
      <w:r>
        <w:rPr>
          <w:rFonts w:ascii="Times New Roman" w:hAnsi="Times New Roman" w:eastAsia="Times New Roman"/>
          <w:sz w:val="24"/>
        </w:rPr>
        <w:t>“</w:t>
      </w:r>
      <w:r>
        <w:rPr>
          <w:sz w:val="24"/>
        </w:rPr>
        <w:t>同时设计</w:t>
      </w:r>
      <w:r>
        <w:rPr>
          <w:rFonts w:ascii="Times New Roman" w:hAnsi="Times New Roman" w:eastAsia="Times New Roman"/>
          <w:spacing w:val="-23"/>
          <w:sz w:val="24"/>
        </w:rPr>
        <w:t>”</w:t>
      </w:r>
      <w:r>
        <w:rPr>
          <w:spacing w:val="-5"/>
          <w:sz w:val="24"/>
        </w:rPr>
        <w:t>，和项目主体工程</w:t>
      </w:r>
      <w:r>
        <w:rPr>
          <w:rFonts w:ascii="Times New Roman" w:hAnsi="Times New Roman" w:eastAsia="Times New Roman"/>
          <w:sz w:val="24"/>
        </w:rPr>
        <w:t>“</w:t>
      </w:r>
      <w:r>
        <w:rPr>
          <w:sz w:val="24"/>
        </w:rPr>
        <w:t>同时施工</w:t>
      </w:r>
      <w:r>
        <w:rPr>
          <w:rFonts w:ascii="Times New Roman" w:hAnsi="Times New Roman" w:eastAsia="Times New Roman"/>
          <w:spacing w:val="-24"/>
          <w:sz w:val="24"/>
        </w:rPr>
        <w:t>”</w:t>
      </w:r>
      <w:r>
        <w:rPr>
          <w:spacing w:val="-5"/>
          <w:sz w:val="24"/>
        </w:rPr>
        <w:t>，做到与项目生产</w:t>
      </w:r>
      <w:r>
        <w:rPr>
          <w:rFonts w:ascii="Times New Roman" w:hAnsi="Times New Roman" w:eastAsia="Times New Roman"/>
          <w:spacing w:val="-5"/>
          <w:sz w:val="24"/>
        </w:rPr>
        <w:t>“</w:t>
      </w:r>
      <w:r>
        <w:rPr>
          <w:spacing w:val="-5"/>
          <w:sz w:val="24"/>
        </w:rPr>
        <w:t>同时验收运行</w:t>
      </w:r>
      <w:r>
        <w:rPr>
          <w:rFonts w:ascii="Times New Roman" w:hAnsi="Times New Roman" w:eastAsia="Times New Roman"/>
          <w:spacing w:val="-5"/>
          <w:sz w:val="24"/>
        </w:rPr>
        <w:t>”</w:t>
      </w:r>
      <w:r>
        <w:rPr>
          <w:spacing w:val="-5"/>
          <w:sz w:val="24"/>
        </w:rPr>
        <w:t>。</w:t>
      </w:r>
    </w:p>
    <w:p>
      <w:pPr>
        <w:pStyle w:val="ListParagraph"/>
        <w:numPr>
          <w:ilvl w:val="3"/>
          <w:numId w:val="106"/>
        </w:numPr>
        <w:tabs>
          <w:tab w:pos="1319" w:val="left" w:leader="none"/>
        </w:tabs>
        <w:spacing w:line="364" w:lineRule="auto" w:before="2" w:after="0"/>
        <w:ind w:left="237" w:right="249" w:firstLine="480"/>
        <w:jc w:val="both"/>
        <w:rPr>
          <w:sz w:val="24"/>
        </w:rPr>
      </w:pPr>
      <w:r>
        <w:rPr>
          <w:spacing w:val="-2"/>
          <w:sz w:val="24"/>
        </w:rPr>
        <w:t>排污许可及定期报告制度。企业须按照有关排污许可证申请的规定，及时向当</w:t>
      </w:r>
      <w:r>
        <w:rPr>
          <w:sz w:val="24"/>
        </w:rPr>
        <w:t>地环保主管部门申请办理排污许可证，对排放的废水、废气等污染物实行排污许可证登记，并按要求定期上报执行报告。</w:t>
      </w:r>
    </w:p>
    <w:p>
      <w:pPr>
        <w:pStyle w:val="ListParagraph"/>
        <w:numPr>
          <w:ilvl w:val="3"/>
          <w:numId w:val="106"/>
        </w:numPr>
        <w:tabs>
          <w:tab w:pos="1319" w:val="left" w:leader="none"/>
        </w:tabs>
        <w:spacing w:line="364" w:lineRule="auto" w:before="2" w:after="0"/>
        <w:ind w:left="237" w:right="131" w:firstLine="480"/>
        <w:jc w:val="left"/>
        <w:rPr>
          <w:sz w:val="24"/>
        </w:rPr>
      </w:pPr>
      <w:r>
        <w:rPr>
          <w:spacing w:val="-3"/>
          <w:sz w:val="24"/>
        </w:rPr>
        <w:t>健全污染处理设施管理制度。保证处理设施能够长期、稳定、有效地进行处理</w:t>
      </w:r>
      <w:r>
        <w:rPr>
          <w:spacing w:val="-6"/>
          <w:sz w:val="24"/>
        </w:rPr>
        <w:t>运行。净化设施的操作管理与生产经营活动一起纳入日常管理工作的范畴，落实责任人、</w:t>
      </w:r>
      <w:r>
        <w:rPr>
          <w:sz w:val="24"/>
        </w:rPr>
        <w:t>操作人员、维修人员、运行经费、设备的备品备件和其他原辅材料。制定各级岗位责任制，编制操作规程，建立管理台帐。</w:t>
      </w:r>
    </w:p>
    <w:p>
      <w:pPr>
        <w:pStyle w:val="ListParagraph"/>
        <w:numPr>
          <w:ilvl w:val="3"/>
          <w:numId w:val="106"/>
        </w:numPr>
        <w:tabs>
          <w:tab w:pos="1319" w:val="left" w:leader="none"/>
        </w:tabs>
        <w:spacing w:line="364" w:lineRule="auto" w:before="3" w:after="0"/>
        <w:ind w:left="237" w:right="248" w:firstLine="480"/>
        <w:jc w:val="both"/>
        <w:rPr>
          <w:sz w:val="24"/>
        </w:rPr>
      </w:pPr>
      <w:r>
        <w:rPr>
          <w:spacing w:val="-2"/>
          <w:sz w:val="24"/>
        </w:rPr>
        <w:t>环境管理台账记录要求。企业在申请排污许可证时，应按规定明确环境管理台账记录要求。企业应建立环境管理台账记录制度，落实环境管理台账记录的责任部门和责任人，明确工作职责，包括台账的记录、整理、维护和管理等，并对环境管理台账的真实性、完整性和规范性负责。环境管理台账应按照电子化储存和纸质储存两种形式同步管理。环境管理台账应记录基本信息、生产设施运行管理信息和污染防治设施运行管理信息、监测记录信息和其他环境管理信息等。</w:t>
      </w:r>
    </w:p>
    <w:p>
      <w:pPr>
        <w:pStyle w:val="BodyText"/>
        <w:spacing w:line="364" w:lineRule="auto" w:before="4"/>
        <w:ind w:right="223" w:firstLine="480"/>
      </w:pPr>
      <w:r>
        <w:rPr>
          <w:rFonts w:ascii="Times New Roman" w:eastAsia="Times New Roman"/>
        </w:rPr>
        <w:t>3</w:t>
      </w:r>
      <w:r>
        <w:rPr/>
        <w:t>、制定自行监测方案。企业在申请排污许可证时，应当按规范确定产排污环节、排放口、污染物项目及许可限值等要求，制定自行监测方案，并在《排污许可证申请表》</w:t>
      </w:r>
    </w:p>
    <w:p>
      <w:pPr>
        <w:spacing w:after="0" w:line="364" w:lineRule="auto"/>
        <w:sectPr>
          <w:pgSz w:w="11910" w:h="16840"/>
          <w:pgMar w:header="874" w:footer="1004" w:top="1420" w:bottom="1200" w:left="1040" w:right="1160"/>
        </w:sectPr>
      </w:pPr>
    </w:p>
    <w:p>
      <w:pPr>
        <w:pStyle w:val="BodyText"/>
        <w:spacing w:line="364" w:lineRule="auto" w:before="92"/>
        <w:ind w:right="133"/>
      </w:pPr>
      <w:r>
        <w:rPr/>
        <w:t>中明确（</w:t>
      </w:r>
      <w:r>
        <w:rPr>
          <w:spacing w:val="-4"/>
        </w:rPr>
        <w:t>技术规范中未规定的监测因子指标按照 </w:t>
      </w:r>
      <w:r>
        <w:rPr>
          <w:rFonts w:ascii="Times New Roman" w:eastAsia="Times New Roman"/>
        </w:rPr>
        <w:t>HJ 819 </w:t>
      </w:r>
      <w:r>
        <w:rPr/>
        <w:t>等标准规范执行，待行业自行监测技术指南发布后，从其规定）。企业可自行或委托第三方监测机构开展监测工作，并</w:t>
      </w:r>
      <w:r>
        <w:rPr>
          <w:spacing w:val="-5"/>
        </w:rPr>
        <w:t>安排专人专职对监测数据进行记录、整理、统计和分析。对监测结果的真实性、准确性、</w:t>
      </w:r>
      <w:r>
        <w:rPr/>
        <w:t>完整性负责。</w:t>
      </w:r>
    </w:p>
    <w:p>
      <w:pPr>
        <w:pStyle w:val="BodyText"/>
        <w:spacing w:before="2"/>
        <w:ind w:left="717"/>
      </w:pPr>
      <w:r>
        <w:rPr>
          <w:rFonts w:ascii="Times New Roman" w:eastAsia="Times New Roman"/>
        </w:rPr>
        <w:t>4</w:t>
      </w:r>
      <w:r>
        <w:rPr/>
        <w:t>、监控运行期环保措施，处理工程运行期间出现的环境问题。</w:t>
      </w:r>
    </w:p>
    <w:p>
      <w:pPr>
        <w:pStyle w:val="BodyText"/>
        <w:spacing w:before="161"/>
        <w:ind w:left="717"/>
      </w:pPr>
      <w:r>
        <w:rPr>
          <w:rFonts w:ascii="Times New Roman" w:eastAsia="Times New Roman"/>
        </w:rPr>
        <w:t>5</w:t>
      </w:r>
      <w:r>
        <w:rPr/>
        <w:t>、开展环境宣传教育，提高有关人员的环保意识。</w:t>
      </w:r>
    </w:p>
    <w:p>
      <w:pPr>
        <w:pStyle w:val="BodyText"/>
        <w:spacing w:line="364" w:lineRule="auto" w:before="160"/>
        <w:ind w:right="132" w:firstLine="480"/>
        <w:jc w:val="both"/>
      </w:pPr>
      <w:r>
        <w:rPr>
          <w:rFonts w:ascii="Times New Roman" w:eastAsia="Times New Roman"/>
        </w:rPr>
        <w:t>6</w:t>
      </w:r>
      <w:r>
        <w:rPr>
          <w:spacing w:val="-13"/>
        </w:rPr>
        <w:t>、根据《排污许可证申请与核发技术规范 畜禽养殖行业》</w:t>
      </w:r>
      <w:r>
        <w:rPr/>
        <w:t>（</w:t>
      </w:r>
      <w:r>
        <w:rPr>
          <w:rFonts w:ascii="Times New Roman" w:eastAsia="Times New Roman"/>
        </w:rPr>
        <w:t>HJ </w:t>
      </w:r>
      <w:r>
        <w:rPr>
          <w:rFonts w:ascii="Times New Roman" w:eastAsia="Times New Roman"/>
          <w:spacing w:val="-5"/>
        </w:rPr>
        <w:t>1029-2019</w:t>
      </w:r>
      <w:r>
        <w:rPr>
          <w:spacing w:val="-5"/>
        </w:rPr>
        <w:t>）</w:t>
      </w:r>
      <w:r>
        <w:rPr>
          <w:spacing w:val="-4"/>
        </w:rPr>
        <w:t>的规定， </w:t>
      </w:r>
      <w:r>
        <w:rPr/>
        <w:t>企业还应落实如下要求：</w:t>
      </w:r>
    </w:p>
    <w:p>
      <w:pPr>
        <w:pStyle w:val="ListParagraph"/>
        <w:numPr>
          <w:ilvl w:val="0"/>
          <w:numId w:val="107"/>
        </w:numPr>
        <w:tabs>
          <w:tab w:pos="1319" w:val="left" w:leader="none"/>
        </w:tabs>
        <w:spacing w:line="364" w:lineRule="auto" w:before="2" w:after="0"/>
        <w:ind w:left="237" w:right="249" w:firstLine="480"/>
        <w:jc w:val="both"/>
        <w:rPr>
          <w:sz w:val="24"/>
        </w:rPr>
      </w:pPr>
      <w:r>
        <w:rPr>
          <w:spacing w:val="-2"/>
          <w:sz w:val="24"/>
        </w:rPr>
        <w:t>应合理确定废水处理工艺及设施参数，应当按照相关法律法规、标准核技术规范等要求运行废水处理设施，并进行维护和管理，保证设施正常运行；必须实行严格的雨污分流制度；应加强生产节水管理，提高废水的循环利用率，减少污水排放量，采用干清粪工艺。</w:t>
      </w:r>
    </w:p>
    <w:p>
      <w:pPr>
        <w:pStyle w:val="ListParagraph"/>
        <w:numPr>
          <w:ilvl w:val="0"/>
          <w:numId w:val="107"/>
        </w:numPr>
        <w:tabs>
          <w:tab w:pos="1319" w:val="left" w:leader="none"/>
        </w:tabs>
        <w:spacing w:line="364" w:lineRule="auto" w:before="2" w:after="0"/>
        <w:ind w:left="237" w:right="249" w:firstLine="480"/>
        <w:jc w:val="both"/>
        <w:rPr>
          <w:sz w:val="24"/>
        </w:rPr>
      </w:pPr>
      <w:r>
        <w:rPr>
          <w:spacing w:val="-2"/>
          <w:sz w:val="24"/>
        </w:rPr>
        <w:t>在运行过程中应保持恶臭收集系统、除臭系统的工作状态良好。采用物理化学除臭系统时，吸收塔内的吸附剂应定期再生；在使用化学除臭剂过程中不得对设备造成腐蚀；采用生物除臭系统时应定期投加营养物质，保证微生物活性达到设计要求。</w:t>
      </w:r>
    </w:p>
    <w:p>
      <w:pPr>
        <w:pStyle w:val="ListParagraph"/>
        <w:numPr>
          <w:ilvl w:val="0"/>
          <w:numId w:val="107"/>
        </w:numPr>
        <w:tabs>
          <w:tab w:pos="1319" w:val="left" w:leader="none"/>
        </w:tabs>
        <w:spacing w:line="364" w:lineRule="auto" w:before="3" w:after="0"/>
        <w:ind w:left="237" w:right="252" w:firstLine="480"/>
        <w:jc w:val="both"/>
        <w:rPr>
          <w:sz w:val="24"/>
        </w:rPr>
      </w:pPr>
      <w:r>
        <w:rPr>
          <w:spacing w:val="-3"/>
          <w:sz w:val="24"/>
        </w:rPr>
        <w:t>具备粪污临时储存设施，储存设施满足《畜禽规模养殖场粪污资源化利用设施</w:t>
      </w:r>
      <w:r>
        <w:rPr>
          <w:sz w:val="24"/>
        </w:rPr>
        <w:t>建设规范（试行）》中的相关要求；具备稳定、合理、正规的粪便外销途径（如有机肥加工厂、农业生产基地等），且有具体的外销合同或协议。</w:t>
      </w:r>
    </w:p>
    <w:p>
      <w:pPr>
        <w:pStyle w:val="Heading3"/>
        <w:numPr>
          <w:ilvl w:val="2"/>
          <w:numId w:val="106"/>
        </w:numPr>
        <w:tabs>
          <w:tab w:pos="838" w:val="left" w:leader="none"/>
        </w:tabs>
        <w:spacing w:line="240" w:lineRule="auto" w:before="1" w:after="0"/>
        <w:ind w:left="837" w:right="0" w:hanging="601"/>
        <w:jc w:val="both"/>
      </w:pPr>
      <w:bookmarkStart w:name="_bookmark121" w:id="233"/>
      <w:bookmarkEnd w:id="233"/>
      <w:r>
        <w:rPr>
          <w:b w:val="0"/>
        </w:rPr>
      </w:r>
      <w:bookmarkStart w:name="_bookmark121" w:id="234"/>
      <w:bookmarkEnd w:id="234"/>
      <w:r>
        <w:rPr/>
        <w:t>健全环保机构</w:t>
      </w:r>
    </w:p>
    <w:p>
      <w:pPr>
        <w:pStyle w:val="BodyText"/>
        <w:spacing w:line="364" w:lineRule="auto" w:before="161"/>
        <w:ind w:right="249" w:firstLine="480"/>
        <w:jc w:val="both"/>
      </w:pPr>
      <w:r>
        <w:rPr/>
        <w:t>根据生产组织及环境保护要求的特点，建设单位应设置一个生产与环保、兼职与专职相结合的环境保护工作机构网络</w:t>
      </w:r>
      <w:r>
        <w:rPr>
          <w:rFonts w:ascii="Times New Roman" w:hAnsi="Times New Roman" w:eastAsia="Times New Roman"/>
        </w:rPr>
        <w:t>――</w:t>
      </w:r>
      <w:r>
        <w:rPr/>
        <w:t>安环部，按照环保分级管理制度建立三级管理网络，即由一名副总经理主管生产和安全环保工作，下面再建立班组环保分级管理制度， 安环科负责对全厂环保工作的监督和管理。</w:t>
      </w:r>
    </w:p>
    <w:p>
      <w:pPr>
        <w:pStyle w:val="BodyText"/>
        <w:spacing w:line="364" w:lineRule="auto" w:before="3"/>
        <w:ind w:right="113" w:firstLine="480"/>
      </w:pPr>
      <w:r>
        <w:rPr/>
        <w:t>厂区内日常环保管理可由各集中处理设施负责，安环部主要起到监督管理协调作用， 并进行环保一体化考核，对日常环保难点提出整改要求。为提高工作效率，环保监测工作可由监测中心负责，但需要专门安排有关监测人员。</w:t>
      </w:r>
    </w:p>
    <w:p>
      <w:pPr>
        <w:pStyle w:val="BodyText"/>
        <w:spacing w:line="364" w:lineRule="auto" w:before="2"/>
        <w:ind w:right="83" w:firstLine="480"/>
      </w:pPr>
      <w:r>
        <w:rPr/>
        <w:t>要建立预防事故排放的制度和添置必要的设备，并加强人员培训，加强防火、防爆、防泄漏管理。加强对固废，尤其是危险固废的管理，防止产生二次污染。</w:t>
      </w:r>
    </w:p>
    <w:p>
      <w:pPr>
        <w:spacing w:after="0" w:line="364" w:lineRule="auto"/>
        <w:sectPr>
          <w:pgSz w:w="11910" w:h="16840"/>
          <w:pgMar w:header="874" w:footer="1004" w:top="1420" w:bottom="1200" w:left="1040" w:right="1160"/>
        </w:sectPr>
      </w:pPr>
    </w:p>
    <w:p>
      <w:pPr>
        <w:pStyle w:val="Heading3"/>
        <w:numPr>
          <w:ilvl w:val="2"/>
          <w:numId w:val="106"/>
        </w:numPr>
        <w:tabs>
          <w:tab w:pos="838" w:val="left" w:leader="none"/>
        </w:tabs>
        <w:spacing w:line="240" w:lineRule="auto" w:before="92" w:after="0"/>
        <w:ind w:left="837" w:right="0" w:hanging="601"/>
        <w:jc w:val="left"/>
      </w:pPr>
      <w:bookmarkStart w:name="_bookmark122" w:id="235"/>
      <w:bookmarkEnd w:id="235"/>
      <w:r>
        <w:rPr>
          <w:b w:val="0"/>
        </w:rPr>
      </w:r>
      <w:bookmarkStart w:name="_bookmark122" w:id="236"/>
      <w:bookmarkEnd w:id="236"/>
      <w:r>
        <w:rPr/>
        <w:t>明确管理职能</w:t>
      </w:r>
    </w:p>
    <w:p>
      <w:pPr>
        <w:pStyle w:val="BodyText"/>
        <w:spacing w:before="160"/>
        <w:ind w:left="717"/>
      </w:pPr>
      <w:r>
        <w:rPr/>
        <w:t>环境管理机构的职能主要体现在运营期，具体如下：</w:t>
      </w:r>
    </w:p>
    <w:p>
      <w:pPr>
        <w:pStyle w:val="BodyText"/>
        <w:spacing w:before="161"/>
        <w:ind w:left="717"/>
      </w:pPr>
      <w:r>
        <w:rPr>
          <w:rFonts w:ascii="Times New Roman" w:eastAsia="Times New Roman"/>
        </w:rPr>
        <w:t>1</w:t>
      </w:r>
      <w:r>
        <w:rPr/>
        <w:t>、积极贯彻执行各项环保法律、法规、标准和规章制度。</w:t>
      </w:r>
    </w:p>
    <w:p>
      <w:pPr>
        <w:pStyle w:val="BodyText"/>
        <w:spacing w:before="160"/>
        <w:ind w:left="717"/>
      </w:pPr>
      <w:r>
        <w:rPr>
          <w:rFonts w:ascii="Times New Roman" w:eastAsia="Times New Roman"/>
        </w:rPr>
        <w:t>2</w:t>
      </w:r>
      <w:r>
        <w:rPr/>
        <w:t>、编制全厂性的环境保护规划和计划，并组织实施。</w:t>
      </w:r>
    </w:p>
    <w:p>
      <w:pPr>
        <w:pStyle w:val="BodyText"/>
        <w:spacing w:line="364" w:lineRule="auto" w:before="161"/>
        <w:ind w:right="255" w:firstLine="480"/>
      </w:pPr>
      <w:r>
        <w:rPr>
          <w:rFonts w:ascii="Times New Roman" w:eastAsia="Times New Roman"/>
        </w:rPr>
        <w:t>3</w:t>
      </w:r>
      <w:r>
        <w:rPr>
          <w:spacing w:val="-7"/>
        </w:rPr>
        <w:t>、负责执行和监督厂内的各项规章制度的落实，及时将监测数据汇总、存档，并建</w:t>
      </w:r>
      <w:r>
        <w:rPr/>
        <w:t>立完备的环境保护档案。</w:t>
      </w:r>
    </w:p>
    <w:p>
      <w:pPr>
        <w:pStyle w:val="BodyText"/>
        <w:spacing w:before="1"/>
        <w:ind w:left="717"/>
      </w:pPr>
      <w:r>
        <w:rPr>
          <w:rFonts w:ascii="Times New Roman" w:eastAsia="Times New Roman"/>
        </w:rPr>
        <w:t>4</w:t>
      </w:r>
      <w:r>
        <w:rPr/>
        <w:t>、定期组织人员对档案进行分析研究，及时发现并处理运行过程中出现的问题。</w:t>
      </w:r>
    </w:p>
    <w:p>
      <w:pPr>
        <w:pStyle w:val="BodyText"/>
        <w:spacing w:before="160"/>
        <w:ind w:left="717"/>
      </w:pPr>
      <w:r>
        <w:rPr>
          <w:rFonts w:ascii="Times New Roman" w:eastAsia="Times New Roman"/>
        </w:rPr>
        <w:t>5</w:t>
      </w:r>
      <w:r>
        <w:rPr/>
        <w:t>、协同上级环保部门进行污染事故的调查和处理。</w:t>
      </w:r>
    </w:p>
    <w:p>
      <w:pPr>
        <w:pStyle w:val="Heading3"/>
        <w:numPr>
          <w:ilvl w:val="2"/>
          <w:numId w:val="106"/>
        </w:numPr>
        <w:tabs>
          <w:tab w:pos="838" w:val="left" w:leader="none"/>
        </w:tabs>
        <w:spacing w:line="240" w:lineRule="auto" w:before="161" w:after="0"/>
        <w:ind w:left="837" w:right="0" w:hanging="601"/>
        <w:jc w:val="left"/>
      </w:pPr>
      <w:bookmarkStart w:name="_bookmark123" w:id="237"/>
      <w:bookmarkEnd w:id="237"/>
      <w:r>
        <w:rPr>
          <w:b w:val="0"/>
        </w:rPr>
      </w:r>
      <w:bookmarkStart w:name="_bookmark123" w:id="238"/>
      <w:bookmarkEnd w:id="238"/>
      <w:r>
        <w:rPr/>
        <w:t>环境管理建议</w:t>
      </w:r>
    </w:p>
    <w:p>
      <w:pPr>
        <w:spacing w:before="161"/>
        <w:ind w:left="719" w:right="0" w:firstLine="0"/>
        <w:jc w:val="left"/>
        <w:rPr>
          <w:b/>
          <w:sz w:val="24"/>
        </w:rPr>
      </w:pPr>
      <w:r>
        <w:rPr>
          <w:rFonts w:ascii="Times New Roman" w:eastAsia="Times New Roman"/>
          <w:b/>
          <w:sz w:val="24"/>
        </w:rPr>
        <w:t>1</w:t>
      </w:r>
      <w:r>
        <w:rPr>
          <w:b/>
          <w:sz w:val="24"/>
        </w:rPr>
        <w:t>、建立健全环境管理制度</w:t>
      </w:r>
    </w:p>
    <w:p>
      <w:pPr>
        <w:pStyle w:val="ListParagraph"/>
        <w:numPr>
          <w:ilvl w:val="0"/>
          <w:numId w:val="108"/>
        </w:numPr>
        <w:tabs>
          <w:tab w:pos="1319" w:val="left" w:leader="none"/>
        </w:tabs>
        <w:spacing w:line="240" w:lineRule="auto" w:before="161" w:after="0"/>
        <w:ind w:left="1318" w:right="0" w:hanging="602"/>
        <w:jc w:val="left"/>
        <w:rPr>
          <w:sz w:val="24"/>
        </w:rPr>
      </w:pPr>
      <w:r>
        <w:rPr>
          <w:sz w:val="24"/>
        </w:rPr>
        <w:t>各种环保装置运行操作规程（编入相应岗位生产操作规程）；</w:t>
      </w:r>
    </w:p>
    <w:p>
      <w:pPr>
        <w:pStyle w:val="ListParagraph"/>
        <w:numPr>
          <w:ilvl w:val="0"/>
          <w:numId w:val="108"/>
        </w:numPr>
        <w:tabs>
          <w:tab w:pos="1319" w:val="left" w:leader="none"/>
        </w:tabs>
        <w:spacing w:line="240" w:lineRule="auto" w:before="160" w:after="0"/>
        <w:ind w:left="1318" w:right="0" w:hanging="602"/>
        <w:jc w:val="left"/>
        <w:rPr>
          <w:sz w:val="24"/>
        </w:rPr>
      </w:pPr>
      <w:r>
        <w:rPr>
          <w:sz w:val="24"/>
        </w:rPr>
        <w:t>各种污染防治对策控制工艺参数；</w:t>
      </w:r>
    </w:p>
    <w:p>
      <w:pPr>
        <w:pStyle w:val="ListParagraph"/>
        <w:numPr>
          <w:ilvl w:val="0"/>
          <w:numId w:val="108"/>
        </w:numPr>
        <w:tabs>
          <w:tab w:pos="1319" w:val="left" w:leader="none"/>
        </w:tabs>
        <w:spacing w:line="240" w:lineRule="auto" w:before="161" w:after="0"/>
        <w:ind w:left="1318" w:right="0" w:hanging="602"/>
        <w:jc w:val="left"/>
        <w:rPr>
          <w:sz w:val="24"/>
        </w:rPr>
      </w:pPr>
      <w:r>
        <w:rPr>
          <w:sz w:val="24"/>
        </w:rPr>
        <w:t>种环保设施检查、维护、保养规定；</w:t>
      </w:r>
    </w:p>
    <w:p>
      <w:pPr>
        <w:pStyle w:val="ListParagraph"/>
        <w:numPr>
          <w:ilvl w:val="0"/>
          <w:numId w:val="108"/>
        </w:numPr>
        <w:tabs>
          <w:tab w:pos="1319" w:val="left" w:leader="none"/>
        </w:tabs>
        <w:spacing w:line="240" w:lineRule="auto" w:before="160" w:after="0"/>
        <w:ind w:left="1318" w:right="0" w:hanging="602"/>
        <w:jc w:val="left"/>
        <w:rPr>
          <w:sz w:val="24"/>
        </w:rPr>
      </w:pPr>
      <w:r>
        <w:rPr>
          <w:sz w:val="24"/>
        </w:rPr>
        <w:t>环境保护工作实施计划；</w:t>
      </w:r>
    </w:p>
    <w:p>
      <w:pPr>
        <w:pStyle w:val="ListParagraph"/>
        <w:numPr>
          <w:ilvl w:val="0"/>
          <w:numId w:val="108"/>
        </w:numPr>
        <w:tabs>
          <w:tab w:pos="1319" w:val="left" w:leader="none"/>
        </w:tabs>
        <w:spacing w:line="240" w:lineRule="auto" w:before="160" w:after="0"/>
        <w:ind w:left="1318" w:right="0" w:hanging="602"/>
        <w:jc w:val="left"/>
        <w:rPr>
          <w:sz w:val="24"/>
        </w:rPr>
      </w:pPr>
      <w:r>
        <w:rPr>
          <w:sz w:val="24"/>
        </w:rPr>
        <w:t>固体废渣综合利用管理办法；</w:t>
      </w:r>
    </w:p>
    <w:p>
      <w:pPr>
        <w:pStyle w:val="ListParagraph"/>
        <w:numPr>
          <w:ilvl w:val="0"/>
          <w:numId w:val="108"/>
        </w:numPr>
        <w:tabs>
          <w:tab w:pos="1319" w:val="left" w:leader="none"/>
        </w:tabs>
        <w:spacing w:line="240" w:lineRule="auto" w:before="161" w:after="0"/>
        <w:ind w:left="1318" w:right="0" w:hanging="602"/>
        <w:jc w:val="left"/>
        <w:rPr>
          <w:sz w:val="24"/>
        </w:rPr>
      </w:pPr>
      <w:r>
        <w:rPr>
          <w:sz w:val="24"/>
        </w:rPr>
        <w:t>绿化工作年度计划；</w:t>
      </w:r>
    </w:p>
    <w:p>
      <w:pPr>
        <w:pStyle w:val="ListParagraph"/>
        <w:numPr>
          <w:ilvl w:val="0"/>
          <w:numId w:val="108"/>
        </w:numPr>
        <w:tabs>
          <w:tab w:pos="1319" w:val="left" w:leader="none"/>
        </w:tabs>
        <w:spacing w:line="240" w:lineRule="auto" w:before="161" w:after="0"/>
        <w:ind w:left="1318" w:right="0" w:hanging="602"/>
        <w:jc w:val="left"/>
        <w:rPr>
          <w:sz w:val="24"/>
        </w:rPr>
      </w:pPr>
      <w:r>
        <w:rPr>
          <w:sz w:val="24"/>
        </w:rPr>
        <w:t>厂内环境保护工作管理办法。</w:t>
      </w:r>
    </w:p>
    <w:p>
      <w:pPr>
        <w:pStyle w:val="Heading3"/>
        <w:spacing w:before="160"/>
      </w:pPr>
      <w:r>
        <w:rPr>
          <w:rFonts w:ascii="Times New Roman" w:eastAsia="Times New Roman"/>
        </w:rPr>
        <w:t>2</w:t>
      </w:r>
      <w:r>
        <w:rPr/>
        <w:t>、要加强环保宣传</w:t>
      </w:r>
    </w:p>
    <w:p>
      <w:pPr>
        <w:pStyle w:val="BodyText"/>
        <w:spacing w:line="364" w:lineRule="auto" w:before="161"/>
        <w:ind w:right="82" w:firstLine="480"/>
      </w:pPr>
      <w:r>
        <w:rPr/>
        <w:t>提高全体员工的清洁生产意识。加强职业技术培训，提高环境管理人员的技术水平， 以适应现代化生产管理的需要。</w:t>
      </w:r>
    </w:p>
    <w:p>
      <w:pPr>
        <w:pStyle w:val="Heading3"/>
        <w:spacing w:before="1"/>
      </w:pPr>
      <w:r>
        <w:rPr>
          <w:rFonts w:ascii="Times New Roman" w:eastAsia="Times New Roman"/>
        </w:rPr>
        <w:t>3</w:t>
      </w:r>
      <w:r>
        <w:rPr/>
        <w:t>、加强监测数据的统计管理</w:t>
      </w:r>
    </w:p>
    <w:p>
      <w:pPr>
        <w:pStyle w:val="BodyText"/>
        <w:spacing w:line="364" w:lineRule="auto" w:before="161"/>
        <w:ind w:right="254" w:firstLine="480"/>
      </w:pPr>
      <w:r>
        <w:rPr/>
        <w:t>建立完善的污染源及污染物排放档案，制定总量控制指标，并纳入各级生产组织的经济考核体系，严格控制污染物排放总量。</w:t>
      </w:r>
    </w:p>
    <w:p>
      <w:pPr>
        <w:pStyle w:val="Heading3"/>
        <w:spacing w:before="1"/>
      </w:pPr>
      <w:r>
        <w:rPr>
          <w:rFonts w:ascii="Times New Roman" w:eastAsia="Times New Roman"/>
        </w:rPr>
        <w:t>4</w:t>
      </w:r>
      <w:r>
        <w:rPr/>
        <w:t>、加强绿化管理</w:t>
      </w:r>
    </w:p>
    <w:p>
      <w:pPr>
        <w:pStyle w:val="BodyText"/>
        <w:spacing w:before="161"/>
        <w:ind w:left="717"/>
      </w:pPr>
      <w:r>
        <w:rPr/>
        <w:t>绿化设施施工，美化布局、绿化管理、建设花园式养殖场。</w:t>
      </w:r>
    </w:p>
    <w:p>
      <w:pPr>
        <w:pStyle w:val="Heading3"/>
        <w:spacing w:before="160"/>
      </w:pPr>
      <w:r>
        <w:rPr>
          <w:rFonts w:ascii="Times New Roman" w:eastAsia="Times New Roman"/>
        </w:rPr>
        <w:t>5</w:t>
      </w:r>
      <w:r>
        <w:rPr/>
        <w:t>、排污口设置及规范化管理</w:t>
      </w:r>
    </w:p>
    <w:p>
      <w:pPr>
        <w:pStyle w:val="ListParagraph"/>
        <w:numPr>
          <w:ilvl w:val="0"/>
          <w:numId w:val="109"/>
        </w:numPr>
        <w:tabs>
          <w:tab w:pos="1319" w:val="left" w:leader="none"/>
        </w:tabs>
        <w:spacing w:line="240" w:lineRule="auto" w:before="161" w:after="0"/>
        <w:ind w:left="1318" w:right="0" w:hanging="602"/>
        <w:jc w:val="left"/>
        <w:rPr>
          <w:sz w:val="24"/>
        </w:rPr>
      </w:pPr>
      <w:r>
        <w:rPr>
          <w:sz w:val="24"/>
        </w:rPr>
        <w:t>排污口设置</w:t>
      </w:r>
    </w:p>
    <w:p>
      <w:pPr>
        <w:pStyle w:val="BodyText"/>
        <w:spacing w:before="160"/>
        <w:ind w:left="717"/>
      </w:pPr>
      <w:r>
        <w:rPr/>
        <w:t>在本项目建设过程中，需同时对排污口进行规范建设，主要包括以下内容：</w:t>
      </w:r>
    </w:p>
    <w:p>
      <w:pPr>
        <w:pStyle w:val="BodyText"/>
        <w:spacing w:before="161"/>
        <w:ind w:left="717"/>
      </w:pPr>
      <w:r>
        <w:rPr/>
        <w:t>①废水排放</w:t>
      </w:r>
    </w:p>
    <w:p>
      <w:pPr>
        <w:spacing w:after="0"/>
        <w:sectPr>
          <w:pgSz w:w="11910" w:h="16840"/>
          <w:pgMar w:header="874" w:footer="1004" w:top="1420" w:bottom="1200" w:left="1040" w:right="1160"/>
        </w:sectPr>
      </w:pPr>
    </w:p>
    <w:p>
      <w:pPr>
        <w:pStyle w:val="BodyText"/>
        <w:spacing w:line="364" w:lineRule="auto" w:before="92"/>
        <w:ind w:right="81" w:firstLine="480"/>
      </w:pPr>
      <w:r>
        <w:rPr/>
        <w:t>根据规定，一个企业只能设置一个废水排污口，排污口应满足如下要求：设置采样口（半径大于 </w:t>
      </w:r>
      <w:r>
        <w:rPr>
          <w:rFonts w:ascii="Times New Roman" w:eastAsia="Times New Roman"/>
        </w:rPr>
        <w:t>110mm</w:t>
      </w:r>
      <w:r>
        <w:rPr/>
        <w:t>）并设立标志，污水处理站应有标识牌；同时设一个清下水排放口。</w:t>
      </w:r>
    </w:p>
    <w:p>
      <w:pPr>
        <w:pStyle w:val="BodyText"/>
        <w:spacing w:before="1"/>
        <w:ind w:left="717"/>
      </w:pPr>
      <w:r>
        <w:rPr/>
        <w:t>②废气排放</w:t>
      </w:r>
    </w:p>
    <w:p>
      <w:pPr>
        <w:pStyle w:val="BodyText"/>
        <w:spacing w:before="160"/>
        <w:ind w:left="717"/>
      </w:pPr>
      <w:r>
        <w:rPr/>
        <w:t>各排气筒应设置直径不小于 </w:t>
      </w:r>
      <w:r>
        <w:rPr>
          <w:rFonts w:ascii="Times New Roman" w:eastAsia="Times New Roman"/>
        </w:rPr>
        <w:t>75mm </w:t>
      </w:r>
      <w:r>
        <w:rPr/>
        <w:t>的采样口和采样平台，并设立标志。</w:t>
      </w:r>
    </w:p>
    <w:p>
      <w:pPr>
        <w:pStyle w:val="BodyText"/>
        <w:spacing w:before="161"/>
        <w:ind w:left="717"/>
      </w:pPr>
      <w:r>
        <w:rPr/>
        <w:t>③固定噪声源</w:t>
      </w:r>
    </w:p>
    <w:p>
      <w:pPr>
        <w:pStyle w:val="BodyText"/>
        <w:spacing w:before="160"/>
        <w:ind w:left="717"/>
      </w:pPr>
      <w:r>
        <w:rPr/>
        <w:t>对噪声源进行治理，并在边界噪声敏感点，且对外界影响最大处设置标志牌。</w:t>
      </w:r>
    </w:p>
    <w:p>
      <w:pPr>
        <w:pStyle w:val="BodyText"/>
        <w:spacing w:before="161"/>
        <w:ind w:left="717"/>
      </w:pPr>
      <w:r>
        <w:rPr/>
        <w:t>④固体废物存储场</w:t>
      </w:r>
    </w:p>
    <w:p>
      <w:pPr>
        <w:pStyle w:val="BodyText"/>
        <w:spacing w:before="160"/>
        <w:ind w:left="717"/>
      </w:pPr>
      <w:r>
        <w:rPr/>
        <w:t>生活垃圾设置专用堆放场地及防雨棚；危废暂存库必须有防流失、防渗漏等措施。</w:t>
      </w:r>
    </w:p>
    <w:p>
      <w:pPr>
        <w:pStyle w:val="BodyText"/>
        <w:spacing w:before="161"/>
        <w:ind w:left="717"/>
      </w:pPr>
      <w:r>
        <w:rPr/>
        <w:t>⑤标志牌设置</w:t>
      </w:r>
    </w:p>
    <w:p>
      <w:pPr>
        <w:pStyle w:val="BodyText"/>
        <w:spacing w:line="364" w:lineRule="auto" w:before="161"/>
        <w:ind w:right="254" w:firstLine="480"/>
      </w:pPr>
      <w:r>
        <w:rPr/>
        <w:t>企业环境保护图形标志牌由相关部门统一定点制作，企业污染物排污口（源）应设置提示式标志牌，排放有毒有害污染物的排污口应设置警告式标志牌。</w:t>
      </w:r>
    </w:p>
    <w:p>
      <w:pPr>
        <w:pStyle w:val="ListParagraph"/>
        <w:numPr>
          <w:ilvl w:val="0"/>
          <w:numId w:val="109"/>
        </w:numPr>
        <w:tabs>
          <w:tab w:pos="1319" w:val="left" w:leader="none"/>
        </w:tabs>
        <w:spacing w:line="240" w:lineRule="auto" w:before="1" w:after="0"/>
        <w:ind w:left="1318" w:right="0" w:hanging="602"/>
        <w:jc w:val="left"/>
        <w:rPr>
          <w:sz w:val="24"/>
        </w:rPr>
      </w:pPr>
      <w:r>
        <w:rPr>
          <w:sz w:val="24"/>
        </w:rPr>
        <w:t>排污规范化管理</w:t>
      </w:r>
    </w:p>
    <w:p>
      <w:pPr>
        <w:pStyle w:val="BodyText"/>
        <w:spacing w:line="364" w:lineRule="auto" w:before="161"/>
        <w:ind w:right="254" w:firstLine="480"/>
      </w:pPr>
      <w:r>
        <w:rPr/>
        <w:t>①公司应如实向环境管理部门申报排污口数量、位置及所排放的主要污染物（或产生公害）的种类、数量、浓度、排放去向等情况。</w:t>
      </w:r>
    </w:p>
    <w:p>
      <w:pPr>
        <w:pStyle w:val="BodyText"/>
        <w:spacing w:before="1"/>
        <w:ind w:left="717"/>
      </w:pPr>
      <w:r>
        <w:rPr/>
        <w:t>②本项目的废水排放实行雨污分流、清污分流。</w:t>
      </w:r>
    </w:p>
    <w:p>
      <w:pPr>
        <w:pStyle w:val="BodyText"/>
        <w:spacing w:before="161"/>
        <w:ind w:left="717"/>
      </w:pPr>
      <w:r>
        <w:rPr/>
        <w:t>③废气排气筒设置便于采样，附近设置环境保护标志。</w:t>
      </w:r>
    </w:p>
    <w:p>
      <w:pPr>
        <w:pStyle w:val="BodyText"/>
        <w:spacing w:line="364" w:lineRule="auto" w:before="160"/>
        <w:ind w:right="251" w:firstLine="480"/>
      </w:pPr>
      <w:r>
        <w:rPr>
          <w:spacing w:val="-7"/>
        </w:rPr>
        <w:t>④本公司部分固体废弃物属危险废物，因此项目固废贮存在室内，固体废物贮存</w:t>
      </w:r>
      <w:r>
        <w:rPr/>
        <w:t>（</w:t>
      </w:r>
      <w:r>
        <w:rPr>
          <w:spacing w:val="-18"/>
        </w:rPr>
        <w:t>处</w:t>
      </w:r>
      <w:r>
        <w:rPr/>
        <w:t>置）场所在醒目处设置标志牌。</w:t>
      </w:r>
    </w:p>
    <w:p>
      <w:pPr>
        <w:pStyle w:val="BodyText"/>
        <w:spacing w:line="364" w:lineRule="auto" w:before="1"/>
        <w:ind w:right="254" w:firstLine="480"/>
      </w:pPr>
      <w:r>
        <w:rPr/>
        <w:t>⑤根据《浙江省生猪养殖业环境准入指导意见（修订）》的规定，废水处理设施应设置标准的废水排放口和检查井，并按照相关规定安装在线监测装置。</w:t>
      </w:r>
    </w:p>
    <w:p>
      <w:pPr>
        <w:pStyle w:val="Heading2"/>
        <w:numPr>
          <w:ilvl w:val="1"/>
          <w:numId w:val="106"/>
        </w:numPr>
        <w:tabs>
          <w:tab w:pos="730" w:val="left" w:leader="none"/>
        </w:tabs>
        <w:spacing w:line="240" w:lineRule="auto" w:before="53" w:after="0"/>
        <w:ind w:left="729" w:right="0" w:hanging="493"/>
        <w:jc w:val="left"/>
      </w:pPr>
      <w:bookmarkStart w:name="_bookmark124" w:id="239"/>
      <w:bookmarkEnd w:id="239"/>
      <w:r>
        <w:rPr>
          <w:b w:val="0"/>
        </w:rPr>
      </w:r>
      <w:bookmarkStart w:name="_bookmark124" w:id="240"/>
      <w:bookmarkEnd w:id="240"/>
      <w:r>
        <w:rPr/>
        <w:t>环境监测计划</w:t>
      </w:r>
    </w:p>
    <w:p>
      <w:pPr>
        <w:pStyle w:val="BodyText"/>
        <w:spacing w:line="364" w:lineRule="auto" w:before="214"/>
        <w:ind w:right="135" w:firstLine="480"/>
      </w:pPr>
      <w:r>
        <w:rPr/>
        <w:t>企业应按照有关法律和《环境监测管理办法》等规定，建立监测制度，对污染物排</w:t>
      </w:r>
      <w:r>
        <w:rPr>
          <w:spacing w:val="-4"/>
        </w:rPr>
        <w:t>放及对周边环境质量的影响开展自行监测，保存原始监测记录，并公布监测结果。同时， </w:t>
      </w:r>
      <w:r>
        <w:rPr/>
        <w:t>环境保护行政主管部门应采用随机方式进行日常监督性监测。环境监测计划主要包括竣工验收监测、营运期污染源监测和环境质量监测。</w:t>
      </w:r>
    </w:p>
    <w:p>
      <w:pPr>
        <w:pStyle w:val="Heading3"/>
        <w:numPr>
          <w:ilvl w:val="2"/>
          <w:numId w:val="106"/>
        </w:numPr>
        <w:tabs>
          <w:tab w:pos="838" w:val="left" w:leader="none"/>
        </w:tabs>
        <w:spacing w:line="240" w:lineRule="auto" w:before="3" w:after="0"/>
        <w:ind w:left="837" w:right="0" w:hanging="601"/>
        <w:jc w:val="left"/>
      </w:pPr>
      <w:bookmarkStart w:name="_bookmark125" w:id="241"/>
      <w:bookmarkEnd w:id="241"/>
      <w:r>
        <w:rPr>
          <w:b w:val="0"/>
        </w:rPr>
      </w:r>
      <w:bookmarkStart w:name="_bookmark125" w:id="242"/>
      <w:bookmarkEnd w:id="242"/>
      <w:r>
        <w:rPr/>
        <w:t>污染物排放清单</w:t>
      </w:r>
    </w:p>
    <w:p>
      <w:pPr>
        <w:pStyle w:val="BodyText"/>
        <w:spacing w:line="364" w:lineRule="auto" w:before="160"/>
        <w:ind w:right="254" w:firstLine="480"/>
      </w:pPr>
      <w:r>
        <w:rPr/>
        <w:t>为便于当地行政主管部门管理，便于对社会公开项目信息，根据导则要求，制定本项目污染物排放清单，明确污染物排放的管理要求，具体详见表 </w:t>
      </w:r>
      <w:r>
        <w:rPr>
          <w:rFonts w:ascii="Times New Roman" w:eastAsia="Times New Roman"/>
        </w:rPr>
        <w:t>8.2-1</w:t>
      </w:r>
      <w:r>
        <w:rPr/>
        <w:t>。</w:t>
      </w:r>
    </w:p>
    <w:p>
      <w:pPr>
        <w:spacing w:after="0" w:line="364" w:lineRule="auto"/>
        <w:sectPr>
          <w:pgSz w:w="11910" w:h="16840"/>
          <w:pgMar w:header="874" w:footer="1004" w:top="1420" w:bottom="1200" w:left="1040" w:right="1160"/>
        </w:sectPr>
      </w:pPr>
    </w:p>
    <w:p>
      <w:pPr>
        <w:pStyle w:val="BodyText"/>
        <w:spacing w:before="1"/>
        <w:ind w:left="0"/>
        <w:rPr>
          <w:sz w:val="8"/>
        </w:rPr>
      </w:pPr>
    </w:p>
    <w:p>
      <w:pPr>
        <w:pStyle w:val="Heading3"/>
        <w:spacing w:before="74"/>
        <w:ind w:left="3609" w:right="3608"/>
        <w:jc w:val="center"/>
      </w:pPr>
      <w:r>
        <w:rPr/>
        <w:t>表 </w:t>
      </w:r>
      <w:r>
        <w:rPr>
          <w:rFonts w:ascii="Times New Roman" w:eastAsia="Times New Roman"/>
        </w:rPr>
        <w:t>8.2-1  </w:t>
      </w:r>
      <w:r>
        <w:rPr/>
        <w:t>本项目污染物排放清单</w:t>
      </w:r>
    </w:p>
    <w:p>
      <w:pPr>
        <w:pStyle w:val="BodyText"/>
        <w:spacing w:before="2"/>
        <w:ind w:left="0"/>
        <w:rPr>
          <w:b/>
          <w:sz w:val="6"/>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5"/>
        <w:gridCol w:w="677"/>
        <w:gridCol w:w="773"/>
        <w:gridCol w:w="941"/>
        <w:gridCol w:w="648"/>
        <w:gridCol w:w="447"/>
        <w:gridCol w:w="1133"/>
        <w:gridCol w:w="1049"/>
        <w:gridCol w:w="403"/>
        <w:gridCol w:w="910"/>
        <w:gridCol w:w="329"/>
        <w:gridCol w:w="737"/>
        <w:gridCol w:w="559"/>
        <w:gridCol w:w="1556"/>
        <w:gridCol w:w="1385"/>
        <w:gridCol w:w="1896"/>
      </w:tblGrid>
      <w:tr>
        <w:trPr>
          <w:trHeight w:val="311" w:hRule="atLeast"/>
        </w:trPr>
        <w:tc>
          <w:tcPr>
            <w:tcW w:w="735" w:type="dxa"/>
            <w:vMerge w:val="restart"/>
            <w:tcBorders>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9"/>
              </w:rPr>
            </w:pPr>
          </w:p>
          <w:p>
            <w:pPr>
              <w:pStyle w:val="TableParagraph"/>
              <w:spacing w:line="292" w:lineRule="auto" w:before="0"/>
              <w:ind w:left="165" w:right="147"/>
              <w:jc w:val="both"/>
              <w:rPr>
                <w:rFonts w:ascii="宋体" w:eastAsia="宋体" w:hint="eastAsia"/>
                <w:sz w:val="20"/>
              </w:rPr>
            </w:pPr>
            <w:r>
              <w:rPr>
                <w:rFonts w:ascii="宋体" w:eastAsia="宋体" w:hint="eastAsia"/>
                <w:sz w:val="20"/>
              </w:rPr>
              <w:t>项目基本情况</w:t>
            </w:r>
          </w:p>
        </w:tc>
        <w:tc>
          <w:tcPr>
            <w:tcW w:w="1450" w:type="dxa"/>
            <w:gridSpan w:val="2"/>
            <w:tcBorders>
              <w:left w:val="single" w:sz="6" w:space="0" w:color="000000"/>
              <w:bottom w:val="single" w:sz="6" w:space="0" w:color="000000"/>
              <w:right w:val="single" w:sz="6" w:space="0" w:color="000000"/>
            </w:tcBorders>
          </w:tcPr>
          <w:p>
            <w:pPr>
              <w:pStyle w:val="TableParagraph"/>
              <w:spacing w:before="27"/>
              <w:ind w:left="330"/>
              <w:jc w:val="left"/>
              <w:rPr>
                <w:rFonts w:ascii="宋体" w:eastAsia="宋体" w:hint="eastAsia"/>
                <w:sz w:val="20"/>
              </w:rPr>
            </w:pPr>
            <w:r>
              <w:rPr>
                <w:rFonts w:ascii="宋体" w:eastAsia="宋体" w:hint="eastAsia"/>
                <w:sz w:val="20"/>
              </w:rPr>
              <w:t>单位名称</w:t>
            </w:r>
          </w:p>
        </w:tc>
        <w:tc>
          <w:tcPr>
            <w:tcW w:w="3169" w:type="dxa"/>
            <w:gridSpan w:val="4"/>
            <w:tcBorders>
              <w:left w:val="single" w:sz="6" w:space="0" w:color="000000"/>
              <w:bottom w:val="single" w:sz="6" w:space="0" w:color="000000"/>
              <w:right w:val="single" w:sz="6" w:space="0" w:color="000000"/>
            </w:tcBorders>
          </w:tcPr>
          <w:p>
            <w:pPr>
              <w:pStyle w:val="TableParagraph"/>
              <w:spacing w:before="27"/>
              <w:ind w:left="589"/>
              <w:jc w:val="left"/>
              <w:rPr>
                <w:rFonts w:ascii="宋体" w:eastAsia="宋体" w:hint="eastAsia"/>
                <w:sz w:val="20"/>
              </w:rPr>
            </w:pPr>
            <w:r>
              <w:rPr>
                <w:rFonts w:ascii="宋体" w:eastAsia="宋体" w:hint="eastAsia"/>
                <w:sz w:val="20"/>
              </w:rPr>
              <w:t>绍兴天圣牧业有限公司</w:t>
            </w:r>
          </w:p>
        </w:tc>
        <w:tc>
          <w:tcPr>
            <w:tcW w:w="2691" w:type="dxa"/>
            <w:gridSpan w:val="4"/>
            <w:tcBorders>
              <w:left w:val="single" w:sz="6" w:space="0" w:color="000000"/>
              <w:bottom w:val="single" w:sz="6" w:space="0" w:color="000000"/>
              <w:right w:val="single" w:sz="6" w:space="0" w:color="000000"/>
            </w:tcBorders>
          </w:tcPr>
          <w:p>
            <w:pPr>
              <w:pStyle w:val="TableParagraph"/>
              <w:spacing w:before="27"/>
              <w:ind w:left="550"/>
              <w:jc w:val="left"/>
              <w:rPr>
                <w:rFonts w:ascii="宋体" w:eastAsia="宋体" w:hint="eastAsia"/>
                <w:sz w:val="20"/>
              </w:rPr>
            </w:pPr>
            <w:r>
              <w:rPr>
                <w:rFonts w:ascii="宋体" w:eastAsia="宋体" w:hint="eastAsia"/>
                <w:sz w:val="20"/>
              </w:rPr>
              <w:t>统一社会信用代码</w:t>
            </w:r>
          </w:p>
        </w:tc>
        <w:tc>
          <w:tcPr>
            <w:tcW w:w="6133" w:type="dxa"/>
            <w:gridSpan w:val="5"/>
            <w:tcBorders>
              <w:left w:val="single" w:sz="6" w:space="0" w:color="000000"/>
              <w:bottom w:val="single" w:sz="6" w:space="0" w:color="000000"/>
            </w:tcBorders>
          </w:tcPr>
          <w:p>
            <w:pPr>
              <w:pStyle w:val="TableParagraph"/>
              <w:spacing w:before="40"/>
              <w:ind w:left="1937"/>
              <w:jc w:val="left"/>
              <w:rPr>
                <w:sz w:val="20"/>
              </w:rPr>
            </w:pPr>
            <w:r>
              <w:rPr>
                <w:sz w:val="20"/>
              </w:rPr>
              <w:t>2101-330603-04-01-859464</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30"/>
              <w:jc w:val="left"/>
              <w:rPr>
                <w:rFonts w:ascii="宋体" w:eastAsia="宋体" w:hint="eastAsia"/>
                <w:sz w:val="20"/>
              </w:rPr>
            </w:pPr>
            <w:r>
              <w:rPr>
                <w:rFonts w:ascii="宋体" w:eastAsia="宋体" w:hint="eastAsia"/>
                <w:sz w:val="20"/>
              </w:rPr>
              <w:t>建设地址</w:t>
            </w:r>
          </w:p>
        </w:tc>
        <w:tc>
          <w:tcPr>
            <w:tcW w:w="462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7"/>
              <w:ind w:left="1016"/>
              <w:jc w:val="left"/>
              <w:rPr>
                <w:rFonts w:ascii="宋体" w:eastAsia="宋体" w:hint="eastAsia"/>
                <w:sz w:val="20"/>
              </w:rPr>
            </w:pPr>
            <w:r>
              <w:rPr>
                <w:rFonts w:ascii="宋体" w:eastAsia="宋体" w:hint="eastAsia"/>
                <w:sz w:val="20"/>
              </w:rPr>
              <w:t>绍兴市柯桥区柯岩街道丰项村</w:t>
            </w:r>
          </w:p>
        </w:tc>
        <w:tc>
          <w:tcPr>
            <w:tcW w:w="123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24"/>
              <w:jc w:val="left"/>
              <w:rPr>
                <w:rFonts w:ascii="宋体" w:eastAsia="宋体" w:hint="eastAsia"/>
                <w:sz w:val="20"/>
              </w:rPr>
            </w:pPr>
            <w:r>
              <w:rPr>
                <w:rFonts w:ascii="宋体" w:eastAsia="宋体" w:hint="eastAsia"/>
                <w:sz w:val="20"/>
              </w:rPr>
              <w:t>所属行业</w:t>
            </w:r>
          </w:p>
        </w:tc>
        <w:tc>
          <w:tcPr>
            <w:tcW w:w="6133" w:type="dxa"/>
            <w:gridSpan w:val="5"/>
            <w:tcBorders>
              <w:top w:val="single" w:sz="6" w:space="0" w:color="000000"/>
              <w:left w:val="single" w:sz="6" w:space="0" w:color="000000"/>
              <w:bottom w:val="single" w:sz="6" w:space="0" w:color="000000"/>
            </w:tcBorders>
          </w:tcPr>
          <w:p>
            <w:pPr>
              <w:pStyle w:val="TableParagraph"/>
              <w:spacing w:before="27"/>
              <w:ind w:left="2277" w:right="2249"/>
              <w:rPr>
                <w:rFonts w:ascii="宋体" w:eastAsia="宋体" w:hint="eastAsia"/>
                <w:sz w:val="20"/>
              </w:rPr>
            </w:pPr>
            <w:r>
              <w:rPr>
                <w:sz w:val="20"/>
              </w:rPr>
              <w:t>A0313</w:t>
            </w:r>
            <w:r>
              <w:rPr>
                <w:rFonts w:ascii="宋体" w:eastAsia="宋体" w:hint="eastAsia"/>
                <w:sz w:val="20"/>
              </w:rPr>
              <w:t>，猪的饲养</w:t>
            </w:r>
          </w:p>
        </w:tc>
      </w:tr>
      <w:tr>
        <w:trPr>
          <w:trHeight w:val="313"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229"/>
              <w:jc w:val="left"/>
              <w:rPr>
                <w:rFonts w:ascii="宋体" w:eastAsia="宋体" w:hint="eastAsia"/>
                <w:sz w:val="20"/>
              </w:rPr>
            </w:pPr>
            <w:r>
              <w:rPr>
                <w:rFonts w:ascii="宋体" w:eastAsia="宋体" w:hint="eastAsia"/>
                <w:sz w:val="20"/>
              </w:rPr>
              <w:t>法定代表人</w:t>
            </w:r>
          </w:p>
        </w:tc>
        <w:tc>
          <w:tcPr>
            <w:tcW w:w="158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500"/>
              <w:jc w:val="left"/>
              <w:rPr>
                <w:rFonts w:ascii="宋体" w:eastAsia="宋体" w:hint="eastAsia"/>
                <w:sz w:val="20"/>
              </w:rPr>
            </w:pPr>
            <w:r>
              <w:rPr>
                <w:rFonts w:ascii="宋体" w:eastAsia="宋体" w:hint="eastAsia"/>
                <w:sz w:val="20"/>
              </w:rPr>
              <w:t>沈伟峰</w:t>
            </w:r>
          </w:p>
        </w:tc>
        <w:tc>
          <w:tcPr>
            <w:tcW w:w="158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496"/>
              <w:jc w:val="left"/>
              <w:rPr>
                <w:rFonts w:ascii="宋体" w:eastAsia="宋体" w:hint="eastAsia"/>
                <w:sz w:val="20"/>
              </w:rPr>
            </w:pPr>
            <w:r>
              <w:rPr>
                <w:rFonts w:ascii="宋体" w:eastAsia="宋体" w:hint="eastAsia"/>
                <w:sz w:val="20"/>
              </w:rPr>
              <w:t>联系人</w:t>
            </w:r>
          </w:p>
        </w:tc>
        <w:tc>
          <w:tcPr>
            <w:tcW w:w="2691"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0"/>
              <w:ind w:left="1028" w:right="1007"/>
              <w:rPr>
                <w:rFonts w:ascii="宋体" w:eastAsia="宋体" w:hint="eastAsia"/>
                <w:sz w:val="20"/>
              </w:rPr>
            </w:pPr>
            <w:r>
              <w:rPr>
                <w:rFonts w:ascii="宋体" w:eastAsia="宋体" w:hint="eastAsia"/>
                <w:sz w:val="20"/>
              </w:rPr>
              <w:t>陶少华</w:t>
            </w:r>
          </w:p>
        </w:tc>
        <w:tc>
          <w:tcPr>
            <w:tcW w:w="12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252"/>
              <w:jc w:val="left"/>
              <w:rPr>
                <w:rFonts w:ascii="宋体" w:eastAsia="宋体" w:hint="eastAsia"/>
                <w:sz w:val="20"/>
              </w:rPr>
            </w:pPr>
            <w:r>
              <w:rPr>
                <w:rFonts w:ascii="宋体" w:eastAsia="宋体" w:hint="eastAsia"/>
                <w:sz w:val="20"/>
              </w:rPr>
              <w:t>联系电话</w:t>
            </w:r>
          </w:p>
        </w:tc>
        <w:tc>
          <w:tcPr>
            <w:tcW w:w="4837" w:type="dxa"/>
            <w:gridSpan w:val="3"/>
            <w:tcBorders>
              <w:top w:val="single" w:sz="6" w:space="0" w:color="000000"/>
              <w:left w:val="single" w:sz="6" w:space="0" w:color="000000"/>
              <w:bottom w:val="single" w:sz="6" w:space="0" w:color="000000"/>
            </w:tcBorders>
          </w:tcPr>
          <w:p>
            <w:pPr>
              <w:pStyle w:val="TableParagraph"/>
              <w:spacing w:before="43"/>
              <w:ind w:left="1852" w:right="1821"/>
              <w:rPr>
                <w:sz w:val="20"/>
              </w:rPr>
            </w:pPr>
            <w:r>
              <w:rPr>
                <w:sz w:val="20"/>
              </w:rPr>
              <w:t>13645752367</w:t>
            </w:r>
          </w:p>
        </w:tc>
      </w:tr>
      <w:tr>
        <w:trPr>
          <w:trHeight w:val="936"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7"/>
              <w:jc w:val="left"/>
              <w:rPr>
                <w:rFonts w:ascii="宋体"/>
                <w:b/>
                <w:sz w:val="26"/>
              </w:rPr>
            </w:pPr>
          </w:p>
          <w:p>
            <w:pPr>
              <w:pStyle w:val="TableParagraph"/>
              <w:spacing w:before="0"/>
              <w:ind w:left="131"/>
              <w:jc w:val="left"/>
              <w:rPr>
                <w:rFonts w:ascii="宋体" w:eastAsia="宋体" w:hint="eastAsia"/>
                <w:sz w:val="20"/>
              </w:rPr>
            </w:pPr>
            <w:r>
              <w:rPr>
                <w:rFonts w:ascii="宋体" w:eastAsia="宋体" w:hint="eastAsia"/>
                <w:sz w:val="20"/>
              </w:rPr>
              <w:t>工程建设内容</w:t>
            </w:r>
          </w:p>
        </w:tc>
        <w:tc>
          <w:tcPr>
            <w:tcW w:w="11993" w:type="dxa"/>
            <w:gridSpan w:val="13"/>
            <w:tcBorders>
              <w:top w:val="single" w:sz="6" w:space="0" w:color="000000"/>
              <w:left w:val="single" w:sz="6" w:space="0" w:color="000000"/>
              <w:bottom w:val="single" w:sz="6" w:space="0" w:color="000000"/>
            </w:tcBorders>
          </w:tcPr>
          <w:p>
            <w:pPr>
              <w:pStyle w:val="TableParagraph"/>
              <w:spacing w:before="27"/>
              <w:ind w:left="114"/>
              <w:jc w:val="left"/>
              <w:rPr>
                <w:rFonts w:ascii="宋体" w:eastAsia="宋体" w:hint="eastAsia"/>
                <w:sz w:val="20"/>
              </w:rPr>
            </w:pPr>
            <w:r>
              <w:rPr>
                <w:rFonts w:ascii="宋体" w:eastAsia="宋体" w:hint="eastAsia"/>
                <w:sz w:val="20"/>
              </w:rPr>
              <w:t>根据绍兴市柯桥区人民政府专题会议纪要</w:t>
            </w:r>
            <w:r>
              <w:rPr>
                <w:sz w:val="20"/>
              </w:rPr>
              <w:t>[2020]24 </w:t>
            </w:r>
            <w:r>
              <w:rPr>
                <w:rFonts w:ascii="宋体" w:eastAsia="宋体" w:hint="eastAsia"/>
                <w:sz w:val="20"/>
              </w:rPr>
              <w:t>号文件《关于天圣集团农业生态产业链项目落地建设相关事宜的专题会议纪要》，本</w:t>
            </w:r>
          </w:p>
          <w:p>
            <w:pPr>
              <w:pStyle w:val="TableParagraph"/>
              <w:spacing w:line="310" w:lineRule="atLeast" w:before="3"/>
              <w:ind w:left="5200" w:right="80" w:hanging="5087"/>
              <w:jc w:val="left"/>
              <w:rPr>
                <w:rFonts w:ascii="宋体" w:eastAsia="宋体" w:hint="eastAsia"/>
                <w:sz w:val="20"/>
              </w:rPr>
            </w:pPr>
            <w:r>
              <w:rPr>
                <w:rFonts w:ascii="宋体" w:eastAsia="宋体" w:hint="eastAsia"/>
                <w:spacing w:val="-3"/>
                <w:sz w:val="20"/>
              </w:rPr>
              <w:t>项目为天圣集团农业生态产业链项目中的生猪养殖子项目。需占用设施农用地 </w:t>
            </w:r>
            <w:r>
              <w:rPr>
                <w:sz w:val="20"/>
              </w:rPr>
              <w:t>78.5 </w:t>
            </w:r>
            <w:r>
              <w:rPr>
                <w:rFonts w:ascii="宋体" w:eastAsia="宋体" w:hint="eastAsia"/>
                <w:spacing w:val="-11"/>
                <w:sz w:val="20"/>
              </w:rPr>
              <w:t>亩，新建存栏 </w:t>
            </w:r>
            <w:r>
              <w:rPr>
                <w:sz w:val="20"/>
              </w:rPr>
              <w:t>5 </w:t>
            </w:r>
            <w:r>
              <w:rPr>
                <w:rFonts w:ascii="宋体" w:eastAsia="宋体" w:hint="eastAsia"/>
                <w:spacing w:val="-3"/>
                <w:sz w:val="20"/>
              </w:rPr>
              <w:t>万头</w:t>
            </w:r>
            <w:r>
              <w:rPr>
                <w:rFonts w:ascii="宋体" w:eastAsia="宋体" w:hint="eastAsia"/>
                <w:sz w:val="20"/>
              </w:rPr>
              <w:t>（</w:t>
            </w:r>
            <w:r>
              <w:rPr>
                <w:rFonts w:ascii="宋体" w:eastAsia="宋体" w:hint="eastAsia"/>
                <w:spacing w:val="-13"/>
                <w:sz w:val="20"/>
              </w:rPr>
              <w:t>出栏约 </w:t>
            </w:r>
            <w:r>
              <w:rPr>
                <w:sz w:val="20"/>
              </w:rPr>
              <w:t>8.6 </w:t>
            </w:r>
            <w:r>
              <w:rPr>
                <w:rFonts w:ascii="宋体" w:eastAsia="宋体" w:hint="eastAsia"/>
                <w:sz w:val="20"/>
              </w:rPr>
              <w:t>万头</w:t>
            </w:r>
            <w:r>
              <w:rPr>
                <w:rFonts w:ascii="宋体" w:eastAsia="宋体" w:hint="eastAsia"/>
                <w:spacing w:val="-8"/>
                <w:sz w:val="20"/>
              </w:rPr>
              <w:t>）</w:t>
            </w:r>
            <w:r>
              <w:rPr>
                <w:rFonts w:ascii="宋体" w:eastAsia="宋体" w:hint="eastAsia"/>
                <w:sz w:val="20"/>
              </w:rPr>
              <w:t>规模的现代化生猪养殖基地。</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26"/>
              </w:rPr>
            </w:pPr>
          </w:p>
          <w:p>
            <w:pPr>
              <w:pStyle w:val="TableParagraph"/>
              <w:spacing w:line="292" w:lineRule="auto" w:before="0"/>
              <w:ind w:left="431" w:right="104" w:hanging="300"/>
              <w:jc w:val="left"/>
              <w:rPr>
                <w:rFonts w:ascii="宋体" w:eastAsia="宋体" w:hint="eastAsia"/>
                <w:sz w:val="20"/>
              </w:rPr>
            </w:pPr>
            <w:r>
              <w:rPr>
                <w:rFonts w:ascii="宋体" w:eastAsia="宋体" w:hint="eastAsia"/>
                <w:sz w:val="20"/>
              </w:rPr>
              <w:t>主要原辅料消耗情况</w:t>
            </w: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27"/>
              <w:ind w:left="254" w:right="232"/>
              <w:rPr>
                <w:rFonts w:ascii="宋体" w:eastAsia="宋体" w:hint="eastAsia"/>
                <w:sz w:val="20"/>
              </w:rPr>
            </w:pPr>
            <w:r>
              <w:rPr>
                <w:rFonts w:ascii="宋体" w:eastAsia="宋体" w:hint="eastAsia"/>
                <w:sz w:val="20"/>
              </w:rPr>
              <w:t>序号</w:t>
            </w:r>
          </w:p>
        </w:tc>
        <w:tc>
          <w:tcPr>
            <w:tcW w:w="222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796" w:right="774"/>
              <w:rPr>
                <w:rFonts w:ascii="宋体" w:eastAsia="宋体" w:hint="eastAsia"/>
                <w:sz w:val="20"/>
              </w:rPr>
            </w:pPr>
            <w:r>
              <w:rPr>
                <w:rFonts w:ascii="宋体" w:eastAsia="宋体" w:hint="eastAsia"/>
                <w:sz w:val="20"/>
              </w:rPr>
              <w:t>名称</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27"/>
              <w:ind w:left="329"/>
              <w:jc w:val="left"/>
              <w:rPr>
                <w:rFonts w:ascii="宋体" w:eastAsia="宋体" w:hint="eastAsia"/>
                <w:sz w:val="20"/>
              </w:rPr>
            </w:pPr>
            <w:r>
              <w:rPr>
                <w:rFonts w:ascii="宋体" w:eastAsia="宋体" w:hint="eastAsia"/>
                <w:sz w:val="20"/>
              </w:rPr>
              <w:t>单位</w:t>
            </w:r>
          </w:p>
        </w:tc>
        <w:tc>
          <w:tcPr>
            <w:tcW w:w="13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60"/>
              <w:jc w:val="left"/>
              <w:rPr>
                <w:rFonts w:ascii="宋体" w:eastAsia="宋体" w:hint="eastAsia"/>
                <w:sz w:val="20"/>
              </w:rPr>
            </w:pPr>
            <w:r>
              <w:rPr>
                <w:rFonts w:ascii="宋体" w:eastAsia="宋体" w:hint="eastAsia"/>
                <w:sz w:val="20"/>
              </w:rPr>
              <w:t>年用量</w:t>
            </w:r>
          </w:p>
        </w:tc>
        <w:tc>
          <w:tcPr>
            <w:tcW w:w="10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37"/>
              <w:jc w:val="left"/>
              <w:rPr>
                <w:rFonts w:ascii="宋体" w:eastAsia="宋体" w:hint="eastAsia"/>
                <w:sz w:val="20"/>
              </w:rPr>
            </w:pPr>
            <w:r>
              <w:rPr>
                <w:rFonts w:ascii="宋体" w:eastAsia="宋体" w:hint="eastAsia"/>
                <w:sz w:val="20"/>
              </w:rPr>
              <w:t>序号</w:t>
            </w:r>
          </w:p>
        </w:tc>
        <w:tc>
          <w:tcPr>
            <w:tcW w:w="21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727" w:right="730"/>
              <w:rPr>
                <w:rFonts w:ascii="宋体" w:eastAsia="宋体" w:hint="eastAsia"/>
                <w:sz w:val="20"/>
              </w:rPr>
            </w:pPr>
            <w:r>
              <w:rPr>
                <w:rFonts w:ascii="宋体" w:eastAsia="宋体" w:hint="eastAsia"/>
                <w:sz w:val="20"/>
              </w:rPr>
              <w:t>名称</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27"/>
              <w:ind w:left="125" w:right="125"/>
              <w:rPr>
                <w:rFonts w:ascii="宋体" w:eastAsia="宋体" w:hint="eastAsia"/>
                <w:sz w:val="20"/>
              </w:rPr>
            </w:pPr>
            <w:r>
              <w:rPr>
                <w:rFonts w:ascii="宋体" w:eastAsia="宋体" w:hint="eastAsia"/>
                <w:sz w:val="20"/>
              </w:rPr>
              <w:t>单位</w:t>
            </w:r>
          </w:p>
        </w:tc>
        <w:tc>
          <w:tcPr>
            <w:tcW w:w="1896" w:type="dxa"/>
            <w:tcBorders>
              <w:top w:val="single" w:sz="6" w:space="0" w:color="000000"/>
              <w:left w:val="single" w:sz="6" w:space="0" w:color="000000"/>
              <w:bottom w:val="single" w:sz="6" w:space="0" w:color="000000"/>
            </w:tcBorders>
          </w:tcPr>
          <w:p>
            <w:pPr>
              <w:pStyle w:val="TableParagraph"/>
              <w:spacing w:before="27"/>
              <w:ind w:left="322" w:right="292"/>
              <w:rPr>
                <w:rFonts w:ascii="宋体" w:eastAsia="宋体" w:hint="eastAsia"/>
                <w:sz w:val="20"/>
              </w:rPr>
            </w:pPr>
            <w:r>
              <w:rPr>
                <w:rFonts w:ascii="宋体" w:eastAsia="宋体" w:hint="eastAsia"/>
                <w:sz w:val="20"/>
              </w:rPr>
              <w:t>年用量</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vMerge/>
            <w:tcBorders>
              <w:top w:val="nil"/>
              <w:left w:val="single" w:sz="6" w:space="0" w:color="000000"/>
              <w:bottom w:val="single" w:sz="6" w:space="0" w:color="000000"/>
              <w:right w:val="single" w:sz="6" w:space="0" w:color="000000"/>
            </w:tcBorders>
          </w:tcPr>
          <w:p>
            <w:pPr>
              <w:rPr>
                <w:sz w:val="2"/>
                <w:szCs w:val="2"/>
              </w:rPr>
            </w:pP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41"/>
              <w:ind w:left="26"/>
              <w:rPr>
                <w:sz w:val="20"/>
              </w:rPr>
            </w:pPr>
            <w:r>
              <w:rPr>
                <w:w w:val="99"/>
                <w:sz w:val="20"/>
              </w:rPr>
              <w:t>1</w:t>
            </w:r>
          </w:p>
        </w:tc>
        <w:tc>
          <w:tcPr>
            <w:tcW w:w="222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799" w:right="774"/>
              <w:rPr>
                <w:rFonts w:ascii="宋体" w:eastAsia="宋体" w:hint="eastAsia"/>
                <w:sz w:val="20"/>
              </w:rPr>
            </w:pPr>
            <w:r>
              <w:rPr>
                <w:rFonts w:ascii="宋体" w:eastAsia="宋体" w:hint="eastAsia"/>
                <w:sz w:val="20"/>
              </w:rPr>
              <w:t>生石灰</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27"/>
              <w:ind w:left="301"/>
              <w:jc w:val="left"/>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3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90" w:right="462"/>
              <w:rPr>
                <w:sz w:val="20"/>
              </w:rPr>
            </w:pPr>
            <w:r>
              <w:rPr>
                <w:sz w:val="20"/>
              </w:rPr>
              <w:t>15</w:t>
            </w:r>
          </w:p>
        </w:tc>
        <w:tc>
          <w:tcPr>
            <w:tcW w:w="10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5"/>
              <w:rPr>
                <w:sz w:val="20"/>
              </w:rPr>
            </w:pPr>
            <w:r>
              <w:rPr>
                <w:w w:val="99"/>
                <w:sz w:val="20"/>
              </w:rPr>
              <w:t>7</w:t>
            </w:r>
          </w:p>
        </w:tc>
        <w:tc>
          <w:tcPr>
            <w:tcW w:w="21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183"/>
              <w:jc w:val="left"/>
              <w:rPr>
                <w:rFonts w:ascii="宋体" w:eastAsia="宋体" w:hint="eastAsia"/>
                <w:sz w:val="20"/>
              </w:rPr>
            </w:pPr>
            <w:r>
              <w:rPr>
                <w:sz w:val="20"/>
              </w:rPr>
              <w:t>PFS</w:t>
            </w:r>
            <w:r>
              <w:rPr>
                <w:rFonts w:ascii="宋体" w:eastAsia="宋体" w:hint="eastAsia"/>
                <w:sz w:val="20"/>
              </w:rPr>
              <w:t>（聚合硫酸铁）</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27"/>
              <w:ind w:left="123" w:right="125"/>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896" w:type="dxa"/>
            <w:tcBorders>
              <w:top w:val="single" w:sz="6" w:space="0" w:color="000000"/>
              <w:left w:val="single" w:sz="6" w:space="0" w:color="000000"/>
              <w:bottom w:val="single" w:sz="6" w:space="0" w:color="000000"/>
            </w:tcBorders>
          </w:tcPr>
          <w:p>
            <w:pPr>
              <w:pStyle w:val="TableParagraph"/>
              <w:spacing w:before="41"/>
              <w:ind w:left="325" w:right="292"/>
              <w:rPr>
                <w:sz w:val="20"/>
              </w:rPr>
            </w:pPr>
            <w:r>
              <w:rPr>
                <w:sz w:val="20"/>
              </w:rPr>
              <w:t>182</w:t>
            </w:r>
          </w:p>
        </w:tc>
      </w:tr>
      <w:tr>
        <w:trPr>
          <w:trHeight w:val="313"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vMerge/>
            <w:tcBorders>
              <w:top w:val="nil"/>
              <w:left w:val="single" w:sz="6" w:space="0" w:color="000000"/>
              <w:bottom w:val="single" w:sz="6" w:space="0" w:color="000000"/>
              <w:right w:val="single" w:sz="6" w:space="0" w:color="000000"/>
            </w:tcBorders>
          </w:tcPr>
          <w:p>
            <w:pPr>
              <w:rPr>
                <w:sz w:val="2"/>
                <w:szCs w:val="2"/>
              </w:rPr>
            </w:pP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sz w:val="20"/>
              </w:rPr>
            </w:pPr>
            <w:r>
              <w:rPr>
                <w:w w:val="99"/>
                <w:sz w:val="20"/>
              </w:rPr>
              <w:t>2</w:t>
            </w:r>
          </w:p>
        </w:tc>
        <w:tc>
          <w:tcPr>
            <w:tcW w:w="222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0"/>
              <w:ind w:left="719"/>
              <w:jc w:val="left"/>
              <w:rPr>
                <w:rFonts w:ascii="宋体" w:eastAsia="宋体" w:hint="eastAsia"/>
                <w:sz w:val="20"/>
              </w:rPr>
            </w:pPr>
            <w:r>
              <w:rPr>
                <w:rFonts w:ascii="宋体" w:eastAsia="宋体" w:hint="eastAsia"/>
                <w:sz w:val="20"/>
              </w:rPr>
              <w:t>过氧乙酸</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30"/>
              <w:ind w:left="301"/>
              <w:jc w:val="left"/>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3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2"/>
              <w:rPr>
                <w:sz w:val="20"/>
              </w:rPr>
            </w:pPr>
            <w:r>
              <w:rPr>
                <w:w w:val="99"/>
                <w:sz w:val="20"/>
              </w:rPr>
              <w:t>2</w:t>
            </w:r>
          </w:p>
        </w:tc>
        <w:tc>
          <w:tcPr>
            <w:tcW w:w="10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5"/>
              <w:rPr>
                <w:sz w:val="20"/>
              </w:rPr>
            </w:pPr>
            <w:r>
              <w:rPr>
                <w:w w:val="99"/>
                <w:sz w:val="20"/>
              </w:rPr>
              <w:t>8</w:t>
            </w:r>
          </w:p>
        </w:tc>
        <w:tc>
          <w:tcPr>
            <w:tcW w:w="21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648"/>
              <w:jc w:val="left"/>
              <w:rPr>
                <w:rFonts w:ascii="宋体" w:eastAsia="宋体" w:hint="eastAsia"/>
                <w:sz w:val="20"/>
              </w:rPr>
            </w:pPr>
            <w:r>
              <w:rPr>
                <w:rFonts w:ascii="宋体" w:eastAsia="宋体" w:hint="eastAsia"/>
                <w:sz w:val="20"/>
              </w:rPr>
              <w:t>氢氧化钠</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30"/>
              <w:ind w:left="123" w:right="125"/>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896" w:type="dxa"/>
            <w:tcBorders>
              <w:top w:val="single" w:sz="6" w:space="0" w:color="000000"/>
              <w:left w:val="single" w:sz="6" w:space="0" w:color="000000"/>
              <w:bottom w:val="single" w:sz="6" w:space="0" w:color="000000"/>
            </w:tcBorders>
          </w:tcPr>
          <w:p>
            <w:pPr>
              <w:pStyle w:val="TableParagraph"/>
              <w:spacing w:before="43"/>
              <w:ind w:left="325" w:right="292"/>
              <w:rPr>
                <w:sz w:val="20"/>
              </w:rPr>
            </w:pPr>
            <w:r>
              <w:rPr>
                <w:sz w:val="20"/>
              </w:rPr>
              <w:t>22</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vMerge/>
            <w:tcBorders>
              <w:top w:val="nil"/>
              <w:left w:val="single" w:sz="6" w:space="0" w:color="000000"/>
              <w:bottom w:val="single" w:sz="6" w:space="0" w:color="000000"/>
              <w:right w:val="single" w:sz="6" w:space="0" w:color="000000"/>
            </w:tcBorders>
          </w:tcPr>
          <w:p>
            <w:pPr>
              <w:rPr>
                <w:sz w:val="2"/>
                <w:szCs w:val="2"/>
              </w:rPr>
            </w:pP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41"/>
              <w:ind w:left="26"/>
              <w:rPr>
                <w:sz w:val="20"/>
              </w:rPr>
            </w:pPr>
            <w:r>
              <w:rPr>
                <w:w w:val="99"/>
                <w:sz w:val="20"/>
              </w:rPr>
              <w:t>3</w:t>
            </w:r>
          </w:p>
        </w:tc>
        <w:tc>
          <w:tcPr>
            <w:tcW w:w="222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796" w:right="774"/>
              <w:rPr>
                <w:rFonts w:ascii="宋体" w:eastAsia="宋体" w:hint="eastAsia"/>
                <w:sz w:val="20"/>
              </w:rPr>
            </w:pPr>
            <w:r>
              <w:rPr>
                <w:rFonts w:ascii="宋体" w:eastAsia="宋体" w:hint="eastAsia"/>
                <w:sz w:val="20"/>
              </w:rPr>
              <w:t>兽药</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27"/>
              <w:ind w:left="301"/>
              <w:jc w:val="left"/>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3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2"/>
              <w:rPr>
                <w:sz w:val="20"/>
              </w:rPr>
            </w:pPr>
            <w:r>
              <w:rPr>
                <w:w w:val="99"/>
                <w:sz w:val="20"/>
              </w:rPr>
              <w:t>2</w:t>
            </w:r>
          </w:p>
        </w:tc>
        <w:tc>
          <w:tcPr>
            <w:tcW w:w="10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5"/>
              <w:rPr>
                <w:sz w:val="20"/>
              </w:rPr>
            </w:pPr>
            <w:r>
              <w:rPr>
                <w:w w:val="99"/>
                <w:sz w:val="20"/>
              </w:rPr>
              <w:t>9</w:t>
            </w:r>
          </w:p>
        </w:tc>
        <w:tc>
          <w:tcPr>
            <w:tcW w:w="21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648"/>
              <w:jc w:val="left"/>
              <w:rPr>
                <w:rFonts w:ascii="宋体" w:eastAsia="宋体" w:hint="eastAsia"/>
                <w:sz w:val="20"/>
              </w:rPr>
            </w:pPr>
            <w:r>
              <w:rPr>
                <w:rFonts w:ascii="宋体" w:eastAsia="宋体" w:hint="eastAsia"/>
                <w:sz w:val="20"/>
              </w:rPr>
              <w:t>次氯酸钠</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27"/>
              <w:ind w:left="123" w:right="125"/>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896" w:type="dxa"/>
            <w:tcBorders>
              <w:top w:val="single" w:sz="6" w:space="0" w:color="000000"/>
              <w:left w:val="single" w:sz="6" w:space="0" w:color="000000"/>
              <w:bottom w:val="single" w:sz="6" w:space="0" w:color="000000"/>
            </w:tcBorders>
          </w:tcPr>
          <w:p>
            <w:pPr>
              <w:pStyle w:val="TableParagraph"/>
              <w:spacing w:before="41"/>
              <w:ind w:left="325" w:right="292"/>
              <w:rPr>
                <w:sz w:val="20"/>
              </w:rPr>
            </w:pPr>
            <w:r>
              <w:rPr>
                <w:sz w:val="20"/>
              </w:rPr>
              <w:t>3.6</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vMerge/>
            <w:tcBorders>
              <w:top w:val="nil"/>
              <w:left w:val="single" w:sz="6" w:space="0" w:color="000000"/>
              <w:bottom w:val="single" w:sz="6" w:space="0" w:color="000000"/>
              <w:right w:val="single" w:sz="6" w:space="0" w:color="000000"/>
            </w:tcBorders>
          </w:tcPr>
          <w:p>
            <w:pPr>
              <w:rPr>
                <w:sz w:val="2"/>
                <w:szCs w:val="2"/>
              </w:rPr>
            </w:pP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41"/>
              <w:ind w:left="26"/>
              <w:rPr>
                <w:sz w:val="20"/>
              </w:rPr>
            </w:pPr>
            <w:r>
              <w:rPr>
                <w:w w:val="99"/>
                <w:sz w:val="20"/>
              </w:rPr>
              <w:t>4</w:t>
            </w:r>
          </w:p>
        </w:tc>
        <w:tc>
          <w:tcPr>
            <w:tcW w:w="222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799" w:right="774"/>
              <w:rPr>
                <w:rFonts w:ascii="宋体" w:eastAsia="宋体" w:hint="eastAsia"/>
                <w:sz w:val="20"/>
              </w:rPr>
            </w:pPr>
            <w:r>
              <w:rPr>
                <w:rFonts w:ascii="宋体" w:eastAsia="宋体" w:hint="eastAsia"/>
                <w:sz w:val="20"/>
              </w:rPr>
              <w:t>脱硫剂</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27"/>
              <w:ind w:left="301"/>
              <w:jc w:val="left"/>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3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90" w:right="466"/>
              <w:rPr>
                <w:sz w:val="20"/>
              </w:rPr>
            </w:pPr>
            <w:r>
              <w:rPr>
                <w:sz w:val="20"/>
              </w:rPr>
              <w:t>5.0</w:t>
            </w:r>
          </w:p>
        </w:tc>
        <w:tc>
          <w:tcPr>
            <w:tcW w:w="10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13" w:right="387"/>
              <w:rPr>
                <w:sz w:val="20"/>
              </w:rPr>
            </w:pPr>
            <w:r>
              <w:rPr>
                <w:sz w:val="20"/>
              </w:rPr>
              <w:t>10</w:t>
            </w:r>
          </w:p>
        </w:tc>
        <w:tc>
          <w:tcPr>
            <w:tcW w:w="21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47"/>
              <w:jc w:val="left"/>
              <w:rPr>
                <w:rFonts w:ascii="宋体" w:eastAsia="宋体" w:hint="eastAsia"/>
                <w:sz w:val="20"/>
              </w:rPr>
            </w:pPr>
            <w:r>
              <w:rPr>
                <w:rFonts w:ascii="宋体" w:eastAsia="宋体" w:hint="eastAsia"/>
                <w:sz w:val="20"/>
              </w:rPr>
              <w:t>无害化处置添加剂</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27"/>
              <w:ind w:left="123" w:right="125"/>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896" w:type="dxa"/>
            <w:tcBorders>
              <w:top w:val="single" w:sz="6" w:space="0" w:color="000000"/>
              <w:left w:val="single" w:sz="6" w:space="0" w:color="000000"/>
              <w:bottom w:val="single" w:sz="6" w:space="0" w:color="000000"/>
            </w:tcBorders>
          </w:tcPr>
          <w:p>
            <w:pPr>
              <w:pStyle w:val="TableParagraph"/>
              <w:spacing w:before="41"/>
              <w:ind w:left="325" w:right="292"/>
              <w:rPr>
                <w:sz w:val="20"/>
              </w:rPr>
            </w:pPr>
            <w:r>
              <w:rPr>
                <w:sz w:val="20"/>
              </w:rPr>
              <w:t>180</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vMerge/>
            <w:tcBorders>
              <w:top w:val="nil"/>
              <w:left w:val="single" w:sz="6" w:space="0" w:color="000000"/>
              <w:bottom w:val="single" w:sz="6" w:space="0" w:color="000000"/>
              <w:right w:val="single" w:sz="6" w:space="0" w:color="000000"/>
            </w:tcBorders>
          </w:tcPr>
          <w:p>
            <w:pPr>
              <w:rPr>
                <w:sz w:val="2"/>
                <w:szCs w:val="2"/>
              </w:rPr>
            </w:pP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41"/>
              <w:ind w:left="26"/>
              <w:rPr>
                <w:sz w:val="20"/>
              </w:rPr>
            </w:pPr>
            <w:r>
              <w:rPr>
                <w:w w:val="99"/>
                <w:sz w:val="20"/>
              </w:rPr>
              <w:t>5</w:t>
            </w:r>
          </w:p>
        </w:tc>
        <w:tc>
          <w:tcPr>
            <w:tcW w:w="222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8"/>
              <w:ind w:left="212"/>
              <w:jc w:val="left"/>
              <w:rPr>
                <w:rFonts w:ascii="宋体" w:eastAsia="宋体" w:hint="eastAsia"/>
                <w:sz w:val="20"/>
              </w:rPr>
            </w:pPr>
            <w:r>
              <w:rPr>
                <w:sz w:val="20"/>
              </w:rPr>
              <w:t>PAM</w:t>
            </w:r>
            <w:r>
              <w:rPr>
                <w:rFonts w:ascii="宋体" w:eastAsia="宋体" w:hint="eastAsia"/>
                <w:sz w:val="20"/>
              </w:rPr>
              <w:t>（聚丙烯酰胺）</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28"/>
              <w:ind w:left="301"/>
              <w:jc w:val="left"/>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3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90" w:right="466"/>
              <w:rPr>
                <w:sz w:val="20"/>
              </w:rPr>
            </w:pPr>
            <w:r>
              <w:rPr>
                <w:sz w:val="20"/>
              </w:rPr>
              <w:t>4.5</w:t>
            </w:r>
          </w:p>
        </w:tc>
        <w:tc>
          <w:tcPr>
            <w:tcW w:w="10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08" w:right="392"/>
              <w:rPr>
                <w:sz w:val="20"/>
              </w:rPr>
            </w:pPr>
            <w:r>
              <w:rPr>
                <w:sz w:val="20"/>
              </w:rPr>
              <w:t>11</w:t>
            </w:r>
          </w:p>
        </w:tc>
        <w:tc>
          <w:tcPr>
            <w:tcW w:w="21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8"/>
              <w:ind w:left="729" w:right="730"/>
              <w:rPr>
                <w:rFonts w:ascii="宋体" w:eastAsia="宋体" w:hint="eastAsia"/>
                <w:sz w:val="20"/>
              </w:rPr>
            </w:pPr>
            <w:r>
              <w:rPr>
                <w:rFonts w:ascii="宋体" w:eastAsia="宋体" w:hint="eastAsia"/>
                <w:sz w:val="20"/>
              </w:rPr>
              <w:t>导热油</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28"/>
              <w:ind w:left="123" w:right="125"/>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896" w:type="dxa"/>
            <w:tcBorders>
              <w:top w:val="single" w:sz="6" w:space="0" w:color="000000"/>
              <w:left w:val="single" w:sz="6" w:space="0" w:color="000000"/>
              <w:bottom w:val="single" w:sz="6" w:space="0" w:color="000000"/>
            </w:tcBorders>
          </w:tcPr>
          <w:p>
            <w:pPr>
              <w:pStyle w:val="TableParagraph"/>
              <w:spacing w:before="41"/>
              <w:ind w:left="325" w:right="292"/>
              <w:rPr>
                <w:sz w:val="20"/>
              </w:rPr>
            </w:pPr>
            <w:r>
              <w:rPr>
                <w:sz w:val="20"/>
              </w:rPr>
              <w:t>0.15</w:t>
            </w:r>
          </w:p>
        </w:tc>
      </w:tr>
      <w:tr>
        <w:trPr>
          <w:trHeight w:val="313" w:hRule="atLeast"/>
        </w:trPr>
        <w:tc>
          <w:tcPr>
            <w:tcW w:w="735" w:type="dxa"/>
            <w:vMerge/>
            <w:tcBorders>
              <w:top w:val="nil"/>
              <w:bottom w:val="single" w:sz="6" w:space="0" w:color="000000"/>
              <w:right w:val="single" w:sz="6" w:space="0" w:color="000000"/>
            </w:tcBorders>
          </w:tcPr>
          <w:p>
            <w:pPr>
              <w:rPr>
                <w:sz w:val="2"/>
                <w:szCs w:val="2"/>
              </w:rPr>
            </w:pPr>
          </w:p>
        </w:tc>
        <w:tc>
          <w:tcPr>
            <w:tcW w:w="1450" w:type="dxa"/>
            <w:gridSpan w:val="2"/>
            <w:vMerge/>
            <w:tcBorders>
              <w:top w:val="nil"/>
              <w:left w:val="single" w:sz="6" w:space="0" w:color="000000"/>
              <w:bottom w:val="single" w:sz="6" w:space="0" w:color="000000"/>
              <w:right w:val="single" w:sz="6" w:space="0" w:color="000000"/>
            </w:tcBorders>
          </w:tcPr>
          <w:p>
            <w:pPr>
              <w:rPr>
                <w:sz w:val="2"/>
                <w:szCs w:val="2"/>
              </w:rPr>
            </w:pPr>
          </w:p>
        </w:tc>
        <w:tc>
          <w:tcPr>
            <w:tcW w:w="941" w:type="dxa"/>
            <w:tcBorders>
              <w:top w:val="single" w:sz="6" w:space="0" w:color="000000"/>
              <w:left w:val="single" w:sz="6" w:space="0" w:color="000000"/>
              <w:bottom w:val="single" w:sz="6" w:space="0" w:color="000000"/>
              <w:right w:val="single" w:sz="6" w:space="0" w:color="000000"/>
            </w:tcBorders>
          </w:tcPr>
          <w:p>
            <w:pPr>
              <w:pStyle w:val="TableParagraph"/>
              <w:spacing w:before="43"/>
              <w:ind w:left="26"/>
              <w:rPr>
                <w:sz w:val="20"/>
              </w:rPr>
            </w:pPr>
            <w:r>
              <w:rPr>
                <w:w w:val="99"/>
                <w:sz w:val="20"/>
              </w:rPr>
              <w:t>6</w:t>
            </w:r>
          </w:p>
        </w:tc>
        <w:tc>
          <w:tcPr>
            <w:tcW w:w="222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0"/>
              <w:ind w:left="234"/>
              <w:jc w:val="left"/>
              <w:rPr>
                <w:rFonts w:ascii="宋体" w:eastAsia="宋体" w:hint="eastAsia"/>
                <w:sz w:val="20"/>
              </w:rPr>
            </w:pPr>
            <w:r>
              <w:rPr>
                <w:sz w:val="20"/>
              </w:rPr>
              <w:t>PAC</w:t>
            </w:r>
            <w:r>
              <w:rPr>
                <w:rFonts w:ascii="宋体" w:eastAsia="宋体" w:hint="eastAsia"/>
                <w:sz w:val="20"/>
              </w:rPr>
              <w:t>（聚合氯化铝）</w:t>
            </w:r>
          </w:p>
        </w:tc>
        <w:tc>
          <w:tcPr>
            <w:tcW w:w="1049" w:type="dxa"/>
            <w:tcBorders>
              <w:top w:val="single" w:sz="6" w:space="0" w:color="000000"/>
              <w:left w:val="single" w:sz="6" w:space="0" w:color="000000"/>
              <w:bottom w:val="single" w:sz="6" w:space="0" w:color="000000"/>
              <w:right w:val="single" w:sz="6" w:space="0" w:color="000000"/>
            </w:tcBorders>
          </w:tcPr>
          <w:p>
            <w:pPr>
              <w:pStyle w:val="TableParagraph"/>
              <w:spacing w:before="30"/>
              <w:ind w:left="301"/>
              <w:jc w:val="left"/>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3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490" w:right="468"/>
              <w:rPr>
                <w:sz w:val="20"/>
              </w:rPr>
            </w:pPr>
            <w:r>
              <w:rPr>
                <w:sz w:val="20"/>
              </w:rPr>
              <w:t>110</w:t>
            </w:r>
          </w:p>
        </w:tc>
        <w:tc>
          <w:tcPr>
            <w:tcW w:w="106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413" w:right="387"/>
              <w:rPr>
                <w:sz w:val="20"/>
              </w:rPr>
            </w:pPr>
            <w:r>
              <w:rPr>
                <w:sz w:val="20"/>
              </w:rPr>
              <w:t>12</w:t>
            </w:r>
          </w:p>
        </w:tc>
        <w:tc>
          <w:tcPr>
            <w:tcW w:w="21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547"/>
              <w:jc w:val="left"/>
              <w:rPr>
                <w:rFonts w:ascii="宋体" w:eastAsia="宋体" w:hint="eastAsia"/>
                <w:sz w:val="20"/>
              </w:rPr>
            </w:pPr>
            <w:r>
              <w:rPr>
                <w:rFonts w:ascii="宋体" w:eastAsia="宋体" w:hint="eastAsia"/>
                <w:sz w:val="20"/>
              </w:rPr>
              <w:t>生物除臭剂</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30"/>
              <w:ind w:left="123" w:right="125"/>
              <w:rPr>
                <w:rFonts w:ascii="宋体" w:eastAsia="宋体" w:hint="eastAsia"/>
                <w:sz w:val="20"/>
              </w:rPr>
            </w:pPr>
            <w:r>
              <w:rPr>
                <w:rFonts w:ascii="宋体" w:eastAsia="宋体" w:hint="eastAsia"/>
                <w:sz w:val="20"/>
              </w:rPr>
              <w:t>吨</w:t>
            </w:r>
            <w:r>
              <w:rPr>
                <w:sz w:val="20"/>
              </w:rPr>
              <w:t>/</w:t>
            </w:r>
            <w:r>
              <w:rPr>
                <w:rFonts w:ascii="宋体" w:eastAsia="宋体" w:hint="eastAsia"/>
                <w:sz w:val="20"/>
              </w:rPr>
              <w:t>年</w:t>
            </w:r>
          </w:p>
        </w:tc>
        <w:tc>
          <w:tcPr>
            <w:tcW w:w="1896" w:type="dxa"/>
            <w:tcBorders>
              <w:top w:val="single" w:sz="6" w:space="0" w:color="000000"/>
              <w:left w:val="single" w:sz="6" w:space="0" w:color="000000"/>
              <w:bottom w:val="single" w:sz="6" w:space="0" w:color="000000"/>
            </w:tcBorders>
          </w:tcPr>
          <w:p>
            <w:pPr>
              <w:pStyle w:val="TableParagraph"/>
              <w:spacing w:before="30"/>
              <w:ind w:left="320" w:right="292"/>
              <w:rPr>
                <w:rFonts w:ascii="宋体" w:eastAsia="宋体" w:hint="eastAsia"/>
                <w:sz w:val="20"/>
              </w:rPr>
            </w:pPr>
            <w:r>
              <w:rPr>
                <w:rFonts w:ascii="宋体" w:eastAsia="宋体" w:hint="eastAsia"/>
                <w:sz w:val="20"/>
              </w:rPr>
              <w:t>若干</w:t>
            </w:r>
          </w:p>
        </w:tc>
      </w:tr>
      <w:tr>
        <w:trPr>
          <w:trHeight w:val="303" w:hRule="atLeast"/>
        </w:trPr>
        <w:tc>
          <w:tcPr>
            <w:tcW w:w="735"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2"/>
              <w:jc w:val="left"/>
              <w:rPr>
                <w:rFonts w:ascii="宋体"/>
                <w:b/>
                <w:sz w:val="18"/>
              </w:rPr>
            </w:pPr>
          </w:p>
          <w:p>
            <w:pPr>
              <w:pStyle w:val="TableParagraph"/>
              <w:spacing w:line="292" w:lineRule="auto" w:before="0"/>
              <w:ind w:left="165" w:right="147"/>
              <w:jc w:val="both"/>
              <w:rPr>
                <w:rFonts w:ascii="宋体" w:eastAsia="宋体" w:hint="eastAsia"/>
                <w:sz w:val="20"/>
              </w:rPr>
            </w:pPr>
            <w:r>
              <w:rPr>
                <w:rFonts w:ascii="宋体" w:eastAsia="宋体" w:hint="eastAsia"/>
                <w:sz w:val="20"/>
              </w:rPr>
              <w:t>污染物排放要求</w:t>
            </w:r>
          </w:p>
        </w:tc>
        <w:tc>
          <w:tcPr>
            <w:tcW w:w="67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68"/>
              <w:ind w:left="145"/>
              <w:jc w:val="left"/>
              <w:rPr>
                <w:rFonts w:ascii="宋体" w:eastAsia="宋体" w:hint="eastAsia"/>
                <w:sz w:val="20"/>
              </w:rPr>
            </w:pPr>
            <w:r>
              <w:rPr>
                <w:rFonts w:ascii="宋体" w:eastAsia="宋体" w:hint="eastAsia"/>
                <w:sz w:val="20"/>
              </w:rPr>
              <w:t>废水</w:t>
            </w:r>
          </w:p>
        </w:tc>
        <w:tc>
          <w:tcPr>
            <w:tcW w:w="171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560"/>
              <w:jc w:val="left"/>
              <w:rPr>
                <w:rFonts w:ascii="宋体" w:eastAsia="宋体" w:hint="eastAsia"/>
                <w:sz w:val="20"/>
              </w:rPr>
            </w:pPr>
            <w:r>
              <w:rPr>
                <w:rFonts w:ascii="宋体" w:eastAsia="宋体" w:hint="eastAsia"/>
                <w:sz w:val="20"/>
              </w:rPr>
              <w:t>排污口</w:t>
            </w:r>
          </w:p>
        </w:tc>
        <w:tc>
          <w:tcPr>
            <w:tcW w:w="109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51"/>
              <w:jc w:val="left"/>
              <w:rPr>
                <w:rFonts w:ascii="宋体" w:eastAsia="宋体" w:hint="eastAsia"/>
                <w:sz w:val="20"/>
              </w:rPr>
            </w:pPr>
            <w:r>
              <w:rPr>
                <w:rFonts w:ascii="宋体" w:eastAsia="宋体" w:hint="eastAsia"/>
                <w:sz w:val="20"/>
              </w:rPr>
              <w:t>编号</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27"/>
              <w:ind w:left="128" w:right="106"/>
              <w:rPr>
                <w:rFonts w:ascii="宋体" w:eastAsia="宋体" w:hint="eastAsia"/>
                <w:sz w:val="20"/>
              </w:rPr>
            </w:pPr>
            <w:r>
              <w:rPr>
                <w:rFonts w:ascii="宋体" w:eastAsia="宋体" w:hint="eastAsia"/>
                <w:sz w:val="20"/>
              </w:rPr>
              <w:t>种类</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430"/>
              <w:jc w:val="left"/>
              <w:rPr>
                <w:rFonts w:ascii="宋体" w:eastAsia="宋体" w:hint="eastAsia"/>
                <w:sz w:val="20"/>
              </w:rPr>
            </w:pPr>
            <w:r>
              <w:rPr>
                <w:rFonts w:ascii="宋体" w:eastAsia="宋体" w:hint="eastAsia"/>
                <w:sz w:val="20"/>
              </w:rPr>
              <w:t>污染物</w:t>
            </w:r>
          </w:p>
        </w:tc>
        <w:tc>
          <w:tcPr>
            <w:tcW w:w="253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7"/>
              <w:ind w:left="572"/>
              <w:jc w:val="left"/>
              <w:rPr>
                <w:rFonts w:ascii="宋体" w:eastAsia="宋体" w:hint="eastAsia"/>
                <w:sz w:val="20"/>
              </w:rPr>
            </w:pPr>
            <w:r>
              <w:rPr>
                <w:rFonts w:ascii="宋体" w:eastAsia="宋体" w:hint="eastAsia"/>
                <w:sz w:val="20"/>
              </w:rPr>
              <w:t>年排放量（</w:t>
            </w:r>
            <w:r>
              <w:rPr>
                <w:sz w:val="20"/>
              </w:rPr>
              <w:t>t/a</w:t>
            </w:r>
            <w:r>
              <w:rPr>
                <w:rFonts w:ascii="宋体" w:eastAsia="宋体" w:hint="eastAsia"/>
                <w:sz w:val="20"/>
              </w:rPr>
              <w:t>）</w:t>
            </w:r>
          </w:p>
        </w:tc>
        <w:tc>
          <w:tcPr>
            <w:tcW w:w="294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58"/>
              <w:jc w:val="left"/>
              <w:rPr>
                <w:rFonts w:ascii="宋体" w:eastAsia="宋体" w:hint="eastAsia"/>
                <w:sz w:val="20"/>
              </w:rPr>
            </w:pPr>
            <w:r>
              <w:rPr>
                <w:rFonts w:ascii="宋体" w:eastAsia="宋体" w:hint="eastAsia"/>
                <w:sz w:val="20"/>
              </w:rPr>
              <w:t>执行的排放标准（</w:t>
            </w:r>
            <w:r>
              <w:rPr>
                <w:sz w:val="20"/>
              </w:rPr>
              <w:t>mg/L</w:t>
            </w:r>
            <w:r>
              <w:rPr>
                <w:rFonts w:ascii="宋体" w:eastAsia="宋体" w:hint="eastAsia"/>
                <w:sz w:val="20"/>
              </w:rPr>
              <w:t>）</w:t>
            </w:r>
          </w:p>
        </w:tc>
        <w:tc>
          <w:tcPr>
            <w:tcW w:w="1896" w:type="dxa"/>
            <w:tcBorders>
              <w:top w:val="single" w:sz="6" w:space="0" w:color="000000"/>
              <w:left w:val="single" w:sz="6" w:space="0" w:color="000000"/>
              <w:bottom w:val="single" w:sz="6" w:space="0" w:color="000000"/>
            </w:tcBorders>
          </w:tcPr>
          <w:p>
            <w:pPr>
              <w:pStyle w:val="TableParagraph"/>
              <w:spacing w:before="27"/>
              <w:ind w:left="320" w:right="292"/>
              <w:rPr>
                <w:rFonts w:ascii="宋体" w:eastAsia="宋体" w:hint="eastAsia"/>
                <w:sz w:val="20"/>
              </w:rPr>
            </w:pPr>
            <w:r>
              <w:rPr>
                <w:rFonts w:ascii="宋体" w:eastAsia="宋体" w:hint="eastAsia"/>
                <w:sz w:val="20"/>
              </w:rPr>
              <w:t>总量指标</w:t>
            </w:r>
          </w:p>
        </w:tc>
      </w:tr>
      <w:tr>
        <w:trPr>
          <w:trHeight w:val="296"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2"/>
              <w:jc w:val="left"/>
              <w:rPr>
                <w:rFonts w:ascii="宋体"/>
                <w:b/>
                <w:sz w:val="19"/>
              </w:rPr>
            </w:pPr>
          </w:p>
          <w:p>
            <w:pPr>
              <w:pStyle w:val="TableParagraph"/>
              <w:spacing w:before="0"/>
              <w:ind w:left="361"/>
              <w:jc w:val="left"/>
              <w:rPr>
                <w:rFonts w:ascii="宋体" w:eastAsia="宋体" w:hint="eastAsia"/>
                <w:sz w:val="20"/>
              </w:rPr>
            </w:pPr>
            <w:r>
              <w:rPr>
                <w:rFonts w:ascii="宋体" w:eastAsia="宋体" w:hint="eastAsia"/>
                <w:sz w:val="20"/>
              </w:rPr>
              <w:t>企业总排口</w:t>
            </w:r>
          </w:p>
        </w:tc>
        <w:tc>
          <w:tcPr>
            <w:tcW w:w="1095"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19"/>
              </w:rPr>
            </w:pPr>
          </w:p>
          <w:p>
            <w:pPr>
              <w:pStyle w:val="TableParagraph"/>
              <w:spacing w:before="0"/>
              <w:ind w:left="236"/>
              <w:jc w:val="left"/>
              <w:rPr>
                <w:sz w:val="20"/>
              </w:rPr>
            </w:pPr>
            <w:r>
              <w:rPr>
                <w:sz w:val="20"/>
              </w:rPr>
              <w:t>DW001</w:t>
            </w:r>
          </w:p>
        </w:tc>
        <w:tc>
          <w:tcPr>
            <w:tcW w:w="1133"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27"/>
              </w:rPr>
            </w:pPr>
          </w:p>
          <w:p>
            <w:pPr>
              <w:pStyle w:val="TableParagraph"/>
              <w:spacing w:line="292" w:lineRule="auto" w:before="0"/>
              <w:ind w:left="171" w:right="147"/>
              <w:jc w:val="left"/>
              <w:rPr>
                <w:rFonts w:ascii="宋体" w:eastAsia="宋体" w:hint="eastAsia"/>
                <w:sz w:val="20"/>
              </w:rPr>
            </w:pPr>
            <w:r>
              <w:rPr>
                <w:rFonts w:ascii="宋体" w:eastAsia="宋体" w:hint="eastAsia"/>
                <w:sz w:val="20"/>
              </w:rPr>
              <w:t>生产废水生活污水</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2"/>
              <w:ind w:left="454"/>
              <w:jc w:val="left"/>
              <w:rPr>
                <w:sz w:val="13"/>
              </w:rPr>
            </w:pPr>
            <w:r>
              <w:rPr>
                <w:position w:val="2"/>
                <w:sz w:val="20"/>
              </w:rPr>
              <w:t>COD</w:t>
            </w:r>
            <w:r>
              <w:rPr>
                <w:sz w:val="13"/>
              </w:rPr>
              <w:t>Cr</w:t>
            </w:r>
          </w:p>
        </w:tc>
        <w:tc>
          <w:tcPr>
            <w:tcW w:w="253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1"/>
              <w:ind w:left="977" w:right="953"/>
              <w:rPr>
                <w:sz w:val="20"/>
              </w:rPr>
            </w:pPr>
            <w:r>
              <w:rPr>
                <w:sz w:val="20"/>
              </w:rPr>
              <w:t>66.669</w:t>
            </w:r>
          </w:p>
        </w:tc>
        <w:tc>
          <w:tcPr>
            <w:tcW w:w="294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3"/>
              <w:ind w:left="1306" w:right="1279"/>
              <w:rPr>
                <w:sz w:val="20"/>
              </w:rPr>
            </w:pPr>
            <w:r>
              <w:rPr>
                <w:sz w:val="20"/>
              </w:rPr>
              <w:t>500</w:t>
            </w:r>
          </w:p>
        </w:tc>
        <w:tc>
          <w:tcPr>
            <w:tcW w:w="1896" w:type="dxa"/>
            <w:tcBorders>
              <w:top w:val="single" w:sz="6" w:space="0" w:color="000000"/>
              <w:left w:val="single" w:sz="6" w:space="0" w:color="000000"/>
              <w:bottom w:val="single" w:sz="6" w:space="0" w:color="000000"/>
            </w:tcBorders>
          </w:tcPr>
          <w:p>
            <w:pPr>
              <w:pStyle w:val="TableParagraph"/>
              <w:spacing w:before="32"/>
              <w:ind w:left="322" w:right="292"/>
              <w:rPr>
                <w:sz w:val="20"/>
              </w:rPr>
            </w:pPr>
            <w:r>
              <w:rPr>
                <w:position w:val="2"/>
                <w:sz w:val="20"/>
              </w:rPr>
              <w:t>COD</w:t>
            </w:r>
            <w:r>
              <w:rPr>
                <w:sz w:val="13"/>
              </w:rPr>
              <w:t>Cr</w:t>
            </w:r>
            <w:r>
              <w:rPr>
                <w:position w:val="2"/>
                <w:sz w:val="20"/>
              </w:rPr>
              <w:t>6.667t/a</w:t>
            </w:r>
          </w:p>
        </w:tc>
      </w:tr>
      <w:tr>
        <w:trPr>
          <w:trHeight w:val="296"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gridSpan w:val="2"/>
            <w:vMerge/>
            <w:tcBorders>
              <w:top w:val="nil"/>
              <w:left w:val="single" w:sz="6" w:space="0" w:color="000000"/>
              <w:bottom w:val="single" w:sz="6" w:space="0" w:color="000000"/>
              <w:right w:val="single" w:sz="6" w:space="0" w:color="000000"/>
            </w:tcBorders>
          </w:tcPr>
          <w:p>
            <w:pPr>
              <w:rPr>
                <w:sz w:val="2"/>
                <w:szCs w:val="2"/>
              </w:rPr>
            </w:pPr>
          </w:p>
        </w:tc>
        <w:tc>
          <w:tcPr>
            <w:tcW w:w="1095" w:type="dxa"/>
            <w:gridSpan w:val="2"/>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2"/>
              <w:ind w:left="449"/>
              <w:jc w:val="left"/>
              <w:rPr>
                <w:sz w:val="20"/>
              </w:rPr>
            </w:pPr>
            <w:r>
              <w:rPr>
                <w:position w:val="2"/>
                <w:sz w:val="20"/>
              </w:rPr>
              <w:t>NH</w:t>
            </w:r>
            <w:r>
              <w:rPr>
                <w:sz w:val="13"/>
              </w:rPr>
              <w:t>3</w:t>
            </w:r>
            <w:r>
              <w:rPr>
                <w:position w:val="2"/>
                <w:sz w:val="20"/>
              </w:rPr>
              <w:t>-N</w:t>
            </w:r>
          </w:p>
        </w:tc>
        <w:tc>
          <w:tcPr>
            <w:tcW w:w="253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1"/>
              <w:ind w:left="977" w:right="950"/>
              <w:rPr>
                <w:sz w:val="20"/>
              </w:rPr>
            </w:pPr>
            <w:r>
              <w:rPr>
                <w:sz w:val="20"/>
              </w:rPr>
              <w:t>9.334</w:t>
            </w:r>
          </w:p>
        </w:tc>
        <w:tc>
          <w:tcPr>
            <w:tcW w:w="294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3"/>
              <w:ind w:left="1306" w:right="1279"/>
              <w:rPr>
                <w:sz w:val="20"/>
              </w:rPr>
            </w:pPr>
            <w:r>
              <w:rPr>
                <w:sz w:val="20"/>
              </w:rPr>
              <w:t>70</w:t>
            </w:r>
          </w:p>
        </w:tc>
        <w:tc>
          <w:tcPr>
            <w:tcW w:w="1896" w:type="dxa"/>
            <w:tcBorders>
              <w:top w:val="single" w:sz="6" w:space="0" w:color="000000"/>
              <w:left w:val="single" w:sz="6" w:space="0" w:color="000000"/>
              <w:bottom w:val="single" w:sz="6" w:space="0" w:color="000000"/>
            </w:tcBorders>
          </w:tcPr>
          <w:p>
            <w:pPr>
              <w:pStyle w:val="TableParagraph"/>
              <w:spacing w:before="32"/>
              <w:ind w:left="326" w:right="292"/>
              <w:rPr>
                <w:sz w:val="20"/>
              </w:rPr>
            </w:pPr>
            <w:r>
              <w:rPr>
                <w:position w:val="2"/>
                <w:sz w:val="20"/>
              </w:rPr>
              <w:t>NH</w:t>
            </w:r>
            <w:r>
              <w:rPr>
                <w:sz w:val="13"/>
              </w:rPr>
              <w:t>3</w:t>
            </w:r>
            <w:r>
              <w:rPr>
                <w:position w:val="2"/>
                <w:sz w:val="20"/>
              </w:rPr>
              <w:t>-N0.667t/a</w:t>
            </w:r>
          </w:p>
        </w:tc>
      </w:tr>
      <w:tr>
        <w:trPr>
          <w:trHeight w:val="298"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gridSpan w:val="2"/>
            <w:vMerge/>
            <w:tcBorders>
              <w:top w:val="nil"/>
              <w:left w:val="single" w:sz="6" w:space="0" w:color="000000"/>
              <w:bottom w:val="single" w:sz="6" w:space="0" w:color="000000"/>
              <w:right w:val="single" w:sz="6" w:space="0" w:color="000000"/>
            </w:tcBorders>
          </w:tcPr>
          <w:p>
            <w:pPr>
              <w:rPr>
                <w:sz w:val="2"/>
                <w:szCs w:val="2"/>
              </w:rPr>
            </w:pPr>
          </w:p>
        </w:tc>
        <w:tc>
          <w:tcPr>
            <w:tcW w:w="1095" w:type="dxa"/>
            <w:gridSpan w:val="2"/>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6"/>
              <w:ind w:left="485" w:right="458"/>
              <w:rPr>
                <w:sz w:val="20"/>
              </w:rPr>
            </w:pPr>
            <w:r>
              <w:rPr>
                <w:sz w:val="20"/>
              </w:rPr>
              <w:t>TN</w:t>
            </w:r>
          </w:p>
        </w:tc>
        <w:tc>
          <w:tcPr>
            <w:tcW w:w="253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3"/>
              <w:ind w:left="977" w:right="950"/>
              <w:rPr>
                <w:sz w:val="20"/>
              </w:rPr>
            </w:pPr>
            <w:r>
              <w:rPr>
                <w:sz w:val="20"/>
              </w:rPr>
              <w:t>9.334</w:t>
            </w:r>
          </w:p>
        </w:tc>
        <w:tc>
          <w:tcPr>
            <w:tcW w:w="294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6"/>
              <w:ind w:left="1306" w:right="1279"/>
              <w:rPr>
                <w:sz w:val="20"/>
              </w:rPr>
            </w:pPr>
            <w:r>
              <w:rPr>
                <w:sz w:val="20"/>
              </w:rPr>
              <w:t>70</w:t>
            </w:r>
          </w:p>
        </w:tc>
        <w:tc>
          <w:tcPr>
            <w:tcW w:w="1896" w:type="dxa"/>
            <w:tcBorders>
              <w:top w:val="single" w:sz="6" w:space="0" w:color="000000"/>
              <w:left w:val="single" w:sz="6" w:space="0" w:color="000000"/>
              <w:bottom w:val="single" w:sz="6" w:space="0" w:color="000000"/>
            </w:tcBorders>
          </w:tcPr>
          <w:p>
            <w:pPr>
              <w:pStyle w:val="TableParagraph"/>
              <w:spacing w:before="36"/>
              <w:ind w:left="326" w:right="292"/>
              <w:rPr>
                <w:sz w:val="20"/>
              </w:rPr>
            </w:pPr>
            <w:r>
              <w:rPr>
                <w:sz w:val="20"/>
              </w:rPr>
              <w:t>TN2.000t/a</w:t>
            </w:r>
          </w:p>
        </w:tc>
      </w:tr>
      <w:tr>
        <w:trPr>
          <w:trHeight w:val="296"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gridSpan w:val="2"/>
            <w:vMerge/>
            <w:tcBorders>
              <w:top w:val="nil"/>
              <w:left w:val="single" w:sz="6" w:space="0" w:color="000000"/>
              <w:bottom w:val="single" w:sz="6" w:space="0" w:color="000000"/>
              <w:right w:val="single" w:sz="6" w:space="0" w:color="000000"/>
            </w:tcBorders>
          </w:tcPr>
          <w:p>
            <w:pPr>
              <w:rPr>
                <w:sz w:val="2"/>
                <w:szCs w:val="2"/>
              </w:rPr>
            </w:pPr>
          </w:p>
        </w:tc>
        <w:tc>
          <w:tcPr>
            <w:tcW w:w="1095" w:type="dxa"/>
            <w:gridSpan w:val="2"/>
            <w:vMerge/>
            <w:tcBorders>
              <w:top w:val="nil"/>
              <w:left w:val="single" w:sz="6" w:space="0" w:color="000000"/>
              <w:bottom w:val="single" w:sz="6" w:space="0" w:color="000000"/>
              <w:right w:val="single" w:sz="6" w:space="0" w:color="000000"/>
            </w:tcBorders>
          </w:tcPr>
          <w:p>
            <w:pPr>
              <w:rPr>
                <w:sz w:val="2"/>
                <w:szCs w:val="2"/>
              </w:rPr>
            </w:pPr>
          </w:p>
        </w:tc>
        <w:tc>
          <w:tcPr>
            <w:tcW w:w="1133" w:type="dxa"/>
            <w:vMerge/>
            <w:tcBorders>
              <w:top w:val="nil"/>
              <w:left w:val="single" w:sz="6" w:space="0" w:color="000000"/>
              <w:bottom w:val="single" w:sz="6" w:space="0" w:color="000000"/>
              <w:right w:val="single" w:sz="6" w:space="0" w:color="000000"/>
            </w:tcBorders>
          </w:tcPr>
          <w:p>
            <w:pPr>
              <w:rPr>
                <w:sz w:val="2"/>
                <w:szCs w:val="2"/>
              </w:rPr>
            </w:pP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3"/>
              <w:ind w:left="485" w:right="458"/>
              <w:rPr>
                <w:sz w:val="20"/>
              </w:rPr>
            </w:pPr>
            <w:r>
              <w:rPr>
                <w:sz w:val="20"/>
              </w:rPr>
              <w:t>TP</w:t>
            </w:r>
          </w:p>
        </w:tc>
        <w:tc>
          <w:tcPr>
            <w:tcW w:w="253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1"/>
              <w:ind w:left="977" w:right="950"/>
              <w:rPr>
                <w:sz w:val="20"/>
              </w:rPr>
            </w:pPr>
            <w:r>
              <w:rPr>
                <w:sz w:val="20"/>
              </w:rPr>
              <w:t>0.933</w:t>
            </w:r>
          </w:p>
        </w:tc>
        <w:tc>
          <w:tcPr>
            <w:tcW w:w="294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3"/>
              <w:ind w:left="21"/>
              <w:rPr>
                <w:sz w:val="20"/>
              </w:rPr>
            </w:pPr>
            <w:r>
              <w:rPr>
                <w:w w:val="99"/>
                <w:sz w:val="20"/>
              </w:rPr>
              <w:t>7</w:t>
            </w:r>
          </w:p>
        </w:tc>
        <w:tc>
          <w:tcPr>
            <w:tcW w:w="1896" w:type="dxa"/>
            <w:tcBorders>
              <w:top w:val="single" w:sz="6" w:space="0" w:color="000000"/>
              <w:left w:val="single" w:sz="6" w:space="0" w:color="000000"/>
              <w:bottom w:val="single" w:sz="6" w:space="0" w:color="000000"/>
            </w:tcBorders>
          </w:tcPr>
          <w:p>
            <w:pPr>
              <w:pStyle w:val="TableParagraph"/>
              <w:spacing w:before="33"/>
              <w:ind w:left="326" w:right="292"/>
              <w:rPr>
                <w:sz w:val="20"/>
              </w:rPr>
            </w:pPr>
            <w:r>
              <w:rPr>
                <w:sz w:val="20"/>
              </w:rPr>
              <w:t>TP0.067t/a</w:t>
            </w:r>
          </w:p>
        </w:tc>
      </w:tr>
      <w:tr>
        <w:trPr>
          <w:trHeight w:val="608" w:hRule="atLeast"/>
        </w:trPr>
        <w:tc>
          <w:tcPr>
            <w:tcW w:w="735" w:type="dxa"/>
            <w:vMerge/>
            <w:tcBorders>
              <w:top w:val="nil"/>
              <w:right w:val="single" w:sz="6" w:space="0" w:color="000000"/>
            </w:tcBorders>
          </w:tcPr>
          <w:p>
            <w:pPr>
              <w:rPr>
                <w:sz w:val="2"/>
                <w:szCs w:val="2"/>
              </w:rPr>
            </w:pPr>
          </w:p>
        </w:tc>
        <w:tc>
          <w:tcPr>
            <w:tcW w:w="677"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33"/>
              <w:ind w:left="145"/>
              <w:jc w:val="left"/>
              <w:rPr>
                <w:rFonts w:ascii="宋体" w:eastAsia="宋体" w:hint="eastAsia"/>
                <w:sz w:val="20"/>
              </w:rPr>
            </w:pPr>
            <w:r>
              <w:rPr>
                <w:rFonts w:ascii="宋体" w:eastAsia="宋体" w:hint="eastAsia"/>
                <w:sz w:val="20"/>
              </w:rPr>
              <w:t>废气</w:t>
            </w:r>
          </w:p>
        </w:tc>
        <w:tc>
          <w:tcPr>
            <w:tcW w:w="171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77"/>
              <w:ind w:left="560"/>
              <w:jc w:val="left"/>
              <w:rPr>
                <w:rFonts w:ascii="宋体" w:eastAsia="宋体" w:hint="eastAsia"/>
                <w:sz w:val="20"/>
              </w:rPr>
            </w:pPr>
            <w:r>
              <w:rPr>
                <w:rFonts w:ascii="宋体" w:eastAsia="宋体" w:hint="eastAsia"/>
                <w:sz w:val="20"/>
              </w:rPr>
              <w:t>污染源</w:t>
            </w:r>
          </w:p>
        </w:tc>
        <w:tc>
          <w:tcPr>
            <w:tcW w:w="109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77"/>
              <w:ind w:left="351"/>
              <w:jc w:val="left"/>
              <w:rPr>
                <w:rFonts w:ascii="宋体" w:eastAsia="宋体" w:hint="eastAsia"/>
                <w:sz w:val="20"/>
              </w:rPr>
            </w:pPr>
            <w:r>
              <w:rPr>
                <w:rFonts w:ascii="宋体" w:eastAsia="宋体" w:hint="eastAsia"/>
                <w:sz w:val="20"/>
              </w:rPr>
              <w:t>编号</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177"/>
              <w:ind w:left="130" w:right="106"/>
              <w:rPr>
                <w:rFonts w:ascii="宋体" w:eastAsia="宋体" w:hint="eastAsia"/>
                <w:sz w:val="20"/>
              </w:rPr>
            </w:pPr>
            <w:r>
              <w:rPr>
                <w:rFonts w:ascii="宋体" w:eastAsia="宋体" w:hint="eastAsia"/>
                <w:sz w:val="20"/>
              </w:rPr>
              <w:t>污染物</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1"/>
              <w:ind w:left="332"/>
              <w:jc w:val="left"/>
              <w:rPr>
                <w:rFonts w:ascii="宋体" w:eastAsia="宋体" w:hint="eastAsia"/>
                <w:sz w:val="20"/>
              </w:rPr>
            </w:pPr>
            <w:r>
              <w:rPr>
                <w:rFonts w:ascii="宋体" w:eastAsia="宋体" w:hint="eastAsia"/>
                <w:w w:val="95"/>
                <w:sz w:val="20"/>
              </w:rPr>
              <w:t>排放浓度</w:t>
            </w:r>
          </w:p>
          <w:p>
            <w:pPr>
              <w:pStyle w:val="TableParagraph"/>
              <w:spacing w:before="55"/>
              <w:ind w:left="267"/>
              <w:jc w:val="left"/>
              <w:rPr>
                <w:rFonts w:ascii="宋体" w:hAnsi="宋体" w:eastAsia="宋体" w:hint="eastAsia"/>
                <w:sz w:val="20"/>
              </w:rPr>
            </w:pPr>
            <w:r>
              <w:rPr>
                <w:rFonts w:ascii="宋体" w:hAnsi="宋体" w:eastAsia="宋体" w:hint="eastAsia"/>
                <w:sz w:val="20"/>
              </w:rPr>
              <w:t>（</w:t>
            </w:r>
            <w:r>
              <w:rPr>
                <w:sz w:val="20"/>
              </w:rPr>
              <w:t>mg/m³</w:t>
            </w:r>
            <w:r>
              <w:rPr>
                <w:rFonts w:ascii="宋体" w:hAnsi="宋体" w:eastAsia="宋体" w:hint="eastAsia"/>
                <w:sz w:val="20"/>
              </w:rPr>
              <w:t>）</w:t>
            </w:r>
          </w:p>
        </w:tc>
        <w:tc>
          <w:tcPr>
            <w:tcW w:w="123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1"/>
              <w:ind w:left="224"/>
              <w:jc w:val="left"/>
              <w:rPr>
                <w:rFonts w:ascii="宋体" w:eastAsia="宋体" w:hint="eastAsia"/>
                <w:sz w:val="20"/>
              </w:rPr>
            </w:pPr>
            <w:r>
              <w:rPr>
                <w:rFonts w:ascii="宋体" w:eastAsia="宋体" w:hint="eastAsia"/>
                <w:w w:val="95"/>
                <w:sz w:val="20"/>
              </w:rPr>
              <w:t>排放速率</w:t>
            </w:r>
          </w:p>
          <w:p>
            <w:pPr>
              <w:pStyle w:val="TableParagraph"/>
              <w:spacing w:before="55"/>
              <w:ind w:left="245"/>
              <w:jc w:val="left"/>
              <w:rPr>
                <w:rFonts w:ascii="宋体" w:eastAsia="宋体" w:hint="eastAsia"/>
                <w:sz w:val="20"/>
              </w:rPr>
            </w:pPr>
            <w:r>
              <w:rPr>
                <w:rFonts w:ascii="宋体" w:eastAsia="宋体" w:hint="eastAsia"/>
                <w:sz w:val="20"/>
              </w:rPr>
              <w:t>（</w:t>
            </w:r>
            <w:r>
              <w:rPr>
                <w:sz w:val="20"/>
              </w:rPr>
              <w:t>kg/h</w:t>
            </w:r>
            <w:r>
              <w:rPr>
                <w:rFonts w:ascii="宋体" w:eastAsia="宋体" w:hint="eastAsia"/>
                <w:sz w:val="20"/>
              </w:rPr>
              <w:t>）</w:t>
            </w:r>
          </w:p>
        </w:tc>
        <w:tc>
          <w:tcPr>
            <w:tcW w:w="12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1"/>
              <w:ind w:left="353"/>
              <w:jc w:val="left"/>
              <w:rPr>
                <w:rFonts w:ascii="宋体" w:eastAsia="宋体" w:hint="eastAsia"/>
                <w:sz w:val="20"/>
              </w:rPr>
            </w:pPr>
            <w:r>
              <w:rPr>
                <w:rFonts w:ascii="宋体" w:eastAsia="宋体" w:hint="eastAsia"/>
                <w:w w:val="95"/>
                <w:sz w:val="20"/>
              </w:rPr>
              <w:t>排放量</w:t>
            </w:r>
          </w:p>
          <w:p>
            <w:pPr>
              <w:pStyle w:val="TableParagraph"/>
              <w:spacing w:before="55"/>
              <w:ind w:left="353"/>
              <w:jc w:val="left"/>
              <w:rPr>
                <w:rFonts w:ascii="宋体" w:eastAsia="宋体" w:hint="eastAsia"/>
                <w:sz w:val="20"/>
              </w:rPr>
            </w:pPr>
            <w:r>
              <w:rPr>
                <w:rFonts w:ascii="宋体" w:eastAsia="宋体" w:hint="eastAsia"/>
                <w:sz w:val="20"/>
              </w:rPr>
              <w:t>（</w:t>
            </w:r>
            <w:r>
              <w:rPr>
                <w:sz w:val="20"/>
              </w:rPr>
              <w:t>t/a</w:t>
            </w:r>
            <w:r>
              <w:rPr>
                <w:rFonts w:ascii="宋体" w:eastAsia="宋体" w:hint="eastAsia"/>
                <w:sz w:val="20"/>
              </w:rPr>
              <w:t>）</w:t>
            </w:r>
          </w:p>
        </w:tc>
        <w:tc>
          <w:tcPr>
            <w:tcW w:w="1556" w:type="dxa"/>
            <w:tcBorders>
              <w:top w:val="single" w:sz="6" w:space="0" w:color="000000"/>
              <w:left w:val="single" w:sz="6" w:space="0" w:color="000000"/>
              <w:bottom w:val="single" w:sz="6" w:space="0" w:color="000000"/>
              <w:right w:val="single" w:sz="6" w:space="0" w:color="000000"/>
            </w:tcBorders>
          </w:tcPr>
          <w:p>
            <w:pPr>
              <w:pStyle w:val="TableParagraph"/>
              <w:spacing w:before="21"/>
              <w:ind w:left="394"/>
              <w:jc w:val="left"/>
              <w:rPr>
                <w:rFonts w:ascii="宋体" w:eastAsia="宋体" w:hint="eastAsia"/>
                <w:sz w:val="20"/>
              </w:rPr>
            </w:pPr>
            <w:r>
              <w:rPr>
                <w:rFonts w:ascii="宋体" w:eastAsia="宋体" w:hint="eastAsia"/>
                <w:w w:val="95"/>
                <w:sz w:val="20"/>
              </w:rPr>
              <w:t>排放标准</w:t>
            </w:r>
          </w:p>
          <w:p>
            <w:pPr>
              <w:pStyle w:val="TableParagraph"/>
              <w:spacing w:before="55"/>
              <w:ind w:left="416"/>
              <w:jc w:val="left"/>
              <w:rPr>
                <w:rFonts w:ascii="宋体" w:eastAsia="宋体" w:hint="eastAsia"/>
                <w:sz w:val="20"/>
              </w:rPr>
            </w:pPr>
            <w:r>
              <w:rPr>
                <w:rFonts w:ascii="宋体" w:eastAsia="宋体" w:hint="eastAsia"/>
                <w:sz w:val="20"/>
              </w:rPr>
              <w:t>（</w:t>
            </w:r>
            <w:r>
              <w:rPr>
                <w:sz w:val="20"/>
              </w:rPr>
              <w:t>kg/h</w:t>
            </w:r>
            <w:r>
              <w:rPr>
                <w:rFonts w:ascii="宋体" w:eastAsia="宋体" w:hint="eastAsia"/>
                <w:sz w:val="20"/>
              </w:rPr>
              <w:t>）</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21"/>
              <w:ind w:left="310"/>
              <w:jc w:val="left"/>
              <w:rPr>
                <w:rFonts w:ascii="宋体" w:eastAsia="宋体" w:hint="eastAsia"/>
                <w:sz w:val="20"/>
              </w:rPr>
            </w:pPr>
            <w:r>
              <w:rPr>
                <w:rFonts w:ascii="宋体" w:eastAsia="宋体" w:hint="eastAsia"/>
                <w:w w:val="95"/>
                <w:sz w:val="20"/>
              </w:rPr>
              <w:t>排放标准</w:t>
            </w:r>
          </w:p>
          <w:p>
            <w:pPr>
              <w:pStyle w:val="TableParagraph"/>
              <w:spacing w:before="55"/>
              <w:ind w:left="245"/>
              <w:jc w:val="left"/>
              <w:rPr>
                <w:rFonts w:ascii="宋体" w:hAnsi="宋体" w:eastAsia="宋体" w:hint="eastAsia"/>
                <w:sz w:val="20"/>
              </w:rPr>
            </w:pPr>
            <w:r>
              <w:rPr>
                <w:rFonts w:ascii="宋体" w:hAnsi="宋体" w:eastAsia="宋体" w:hint="eastAsia"/>
                <w:sz w:val="20"/>
              </w:rPr>
              <w:t>（</w:t>
            </w:r>
            <w:r>
              <w:rPr>
                <w:sz w:val="20"/>
              </w:rPr>
              <w:t>mg/m³</w:t>
            </w:r>
            <w:r>
              <w:rPr>
                <w:rFonts w:ascii="宋体" w:hAnsi="宋体" w:eastAsia="宋体" w:hint="eastAsia"/>
                <w:sz w:val="20"/>
              </w:rPr>
              <w:t>）</w:t>
            </w:r>
          </w:p>
        </w:tc>
        <w:tc>
          <w:tcPr>
            <w:tcW w:w="1896" w:type="dxa"/>
            <w:tcBorders>
              <w:top w:val="single" w:sz="6" w:space="0" w:color="000000"/>
              <w:left w:val="single" w:sz="6" w:space="0" w:color="000000"/>
              <w:bottom w:val="single" w:sz="6" w:space="0" w:color="000000"/>
            </w:tcBorders>
          </w:tcPr>
          <w:p>
            <w:pPr>
              <w:pStyle w:val="TableParagraph"/>
              <w:spacing w:before="177"/>
              <w:ind w:left="320" w:right="292"/>
              <w:rPr>
                <w:rFonts w:ascii="宋体" w:eastAsia="宋体" w:hint="eastAsia"/>
                <w:sz w:val="20"/>
              </w:rPr>
            </w:pPr>
            <w:r>
              <w:rPr>
                <w:rFonts w:ascii="宋体" w:eastAsia="宋体" w:hint="eastAsia"/>
                <w:sz w:val="20"/>
              </w:rPr>
              <w:t>总量指标</w:t>
            </w:r>
          </w:p>
        </w:tc>
      </w:tr>
      <w:tr>
        <w:trPr>
          <w:trHeight w:val="296"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right w:val="single" w:sz="6" w:space="0" w:color="000000"/>
            </w:tcBorders>
          </w:tcPr>
          <w:p>
            <w:pPr>
              <w:rPr>
                <w:sz w:val="2"/>
                <w:szCs w:val="2"/>
              </w:rPr>
            </w:pPr>
          </w:p>
        </w:tc>
        <w:tc>
          <w:tcPr>
            <w:tcW w:w="1714"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4"/>
              </w:rPr>
            </w:pPr>
          </w:p>
          <w:p>
            <w:pPr>
              <w:pStyle w:val="TableParagraph"/>
              <w:spacing w:before="0"/>
              <w:ind w:left="462"/>
              <w:jc w:val="left"/>
              <w:rPr>
                <w:rFonts w:ascii="宋体" w:eastAsia="宋体" w:hint="eastAsia"/>
                <w:sz w:val="20"/>
              </w:rPr>
            </w:pPr>
            <w:r>
              <w:rPr>
                <w:rFonts w:ascii="宋体" w:eastAsia="宋体" w:hint="eastAsia"/>
                <w:sz w:val="20"/>
              </w:rPr>
              <w:t>粪污处理</w:t>
            </w:r>
          </w:p>
        </w:tc>
        <w:tc>
          <w:tcPr>
            <w:tcW w:w="1095"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196"/>
              <w:ind w:left="258"/>
              <w:jc w:val="left"/>
              <w:rPr>
                <w:sz w:val="20"/>
              </w:rPr>
            </w:pPr>
            <w:r>
              <w:rPr>
                <w:sz w:val="20"/>
              </w:rPr>
              <w:t>DA001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0"/>
              <w:ind w:left="130" w:right="106"/>
              <w:rPr>
                <w:sz w:val="13"/>
              </w:rPr>
            </w:pPr>
            <w:r>
              <w:rPr>
                <w:position w:val="2"/>
                <w:sz w:val="20"/>
              </w:rPr>
              <w:t>NH</w:t>
            </w:r>
            <w:r>
              <w:rPr>
                <w:sz w:val="13"/>
              </w:rPr>
              <w:t>3</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85" w:right="461"/>
              <w:rPr>
                <w:sz w:val="20"/>
              </w:rPr>
            </w:pPr>
            <w:r>
              <w:rPr>
                <w:sz w:val="20"/>
              </w:rPr>
              <w:t>3.95</w:t>
            </w:r>
          </w:p>
        </w:tc>
        <w:tc>
          <w:tcPr>
            <w:tcW w:w="123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349"/>
              <w:jc w:val="left"/>
              <w:rPr>
                <w:sz w:val="20"/>
              </w:rPr>
            </w:pPr>
            <w:r>
              <w:rPr>
                <w:sz w:val="20"/>
              </w:rPr>
              <w:t>0.1977</w:t>
            </w:r>
          </w:p>
        </w:tc>
        <w:tc>
          <w:tcPr>
            <w:tcW w:w="12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28"/>
              <w:jc w:val="left"/>
              <w:rPr>
                <w:sz w:val="20"/>
              </w:rPr>
            </w:pPr>
            <w:r>
              <w:rPr>
                <w:sz w:val="20"/>
              </w:rPr>
              <w:t>1.732</w:t>
            </w:r>
          </w:p>
        </w:tc>
        <w:tc>
          <w:tcPr>
            <w:tcW w:w="1556" w:type="dxa"/>
            <w:tcBorders>
              <w:top w:val="single" w:sz="6" w:space="0" w:color="000000"/>
              <w:left w:val="single" w:sz="6" w:space="0" w:color="000000"/>
              <w:bottom w:val="single" w:sz="6" w:space="0" w:color="000000"/>
              <w:right w:val="single" w:sz="6" w:space="0" w:color="000000"/>
            </w:tcBorders>
          </w:tcPr>
          <w:p>
            <w:pPr>
              <w:pStyle w:val="TableParagraph"/>
              <w:spacing w:before="33"/>
              <w:ind w:left="600" w:right="550"/>
              <w:rPr>
                <w:sz w:val="20"/>
              </w:rPr>
            </w:pPr>
            <w:r>
              <w:rPr>
                <w:sz w:val="20"/>
              </w:rPr>
              <w:t>4.9</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33"/>
              <w:ind w:left="49"/>
              <w:rPr>
                <w:sz w:val="20"/>
              </w:rPr>
            </w:pPr>
            <w:r>
              <w:rPr>
                <w:w w:val="99"/>
                <w:sz w:val="20"/>
              </w:rPr>
              <w:t>/</w:t>
            </w:r>
          </w:p>
        </w:tc>
        <w:tc>
          <w:tcPr>
            <w:tcW w:w="1896" w:type="dxa"/>
            <w:vMerge w:val="restart"/>
            <w:tcBorders>
              <w:top w:val="single" w:sz="6" w:space="0" w:color="000000"/>
              <w:left w:val="single" w:sz="6" w:space="0" w:color="000000"/>
            </w:tcBorders>
          </w:tcPr>
          <w:p>
            <w:pPr>
              <w:pStyle w:val="TableParagraph"/>
              <w:spacing w:before="0"/>
              <w:jc w:val="left"/>
              <w:rPr>
                <w:rFonts w:ascii="宋体"/>
                <w:b/>
                <w:sz w:val="22"/>
              </w:rPr>
            </w:pPr>
          </w:p>
          <w:p>
            <w:pPr>
              <w:pStyle w:val="TableParagraph"/>
              <w:spacing w:before="3"/>
              <w:jc w:val="left"/>
              <w:rPr>
                <w:rFonts w:ascii="宋体"/>
                <w:b/>
                <w:sz w:val="32"/>
              </w:rPr>
            </w:pPr>
          </w:p>
          <w:p>
            <w:pPr>
              <w:pStyle w:val="TableParagraph"/>
              <w:spacing w:before="0"/>
              <w:ind w:left="468"/>
              <w:jc w:val="left"/>
              <w:rPr>
                <w:sz w:val="20"/>
              </w:rPr>
            </w:pPr>
            <w:r>
              <w:rPr>
                <w:position w:val="2"/>
                <w:sz w:val="20"/>
              </w:rPr>
              <w:t>SO</w:t>
            </w:r>
            <w:r>
              <w:rPr>
                <w:sz w:val="13"/>
              </w:rPr>
              <w:t>2</w:t>
            </w:r>
            <w:r>
              <w:rPr>
                <w:position w:val="2"/>
                <w:sz w:val="20"/>
              </w:rPr>
              <w:t>0.011t/a</w:t>
            </w:r>
          </w:p>
          <w:p>
            <w:pPr>
              <w:pStyle w:val="TableParagraph"/>
              <w:spacing w:before="77"/>
              <w:ind w:left="451"/>
              <w:jc w:val="left"/>
              <w:rPr>
                <w:sz w:val="20"/>
              </w:rPr>
            </w:pPr>
            <w:r>
              <w:rPr>
                <w:position w:val="2"/>
                <w:sz w:val="20"/>
              </w:rPr>
              <w:t>NO</w:t>
            </w:r>
            <w:r>
              <w:rPr>
                <w:sz w:val="13"/>
              </w:rPr>
              <w:t>x</w:t>
            </w:r>
            <w:r>
              <w:rPr>
                <w:position w:val="2"/>
                <w:sz w:val="20"/>
              </w:rPr>
              <w:t>0.478t/a</w:t>
            </w:r>
          </w:p>
        </w:tc>
      </w:tr>
      <w:tr>
        <w:trPr>
          <w:trHeight w:val="298"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right w:val="single" w:sz="6" w:space="0" w:color="000000"/>
            </w:tcBorders>
          </w:tcPr>
          <w:p>
            <w:pPr>
              <w:rPr>
                <w:sz w:val="2"/>
                <w:szCs w:val="2"/>
              </w:rPr>
            </w:pPr>
          </w:p>
        </w:tc>
        <w:tc>
          <w:tcPr>
            <w:tcW w:w="1714" w:type="dxa"/>
            <w:gridSpan w:val="2"/>
            <w:vMerge/>
            <w:tcBorders>
              <w:top w:val="nil"/>
              <w:left w:val="single" w:sz="6" w:space="0" w:color="000000"/>
              <w:bottom w:val="single" w:sz="6" w:space="0" w:color="000000"/>
              <w:right w:val="single" w:sz="6" w:space="0" w:color="000000"/>
            </w:tcBorders>
          </w:tcPr>
          <w:p>
            <w:pPr>
              <w:rPr>
                <w:sz w:val="2"/>
                <w:szCs w:val="2"/>
              </w:rPr>
            </w:pPr>
          </w:p>
        </w:tc>
        <w:tc>
          <w:tcPr>
            <w:tcW w:w="1095" w:type="dxa"/>
            <w:gridSpan w:val="2"/>
            <w:vMerge/>
            <w:tcBorders>
              <w:top w:val="nil"/>
              <w:left w:val="single" w:sz="6" w:space="0" w:color="000000"/>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2"/>
              <w:ind w:left="130" w:right="106"/>
              <w:rPr>
                <w:sz w:val="20"/>
              </w:rPr>
            </w:pPr>
            <w:r>
              <w:rPr>
                <w:position w:val="2"/>
                <w:sz w:val="20"/>
              </w:rPr>
              <w:t>H</w:t>
            </w:r>
            <w:r>
              <w:rPr>
                <w:sz w:val="13"/>
              </w:rPr>
              <w:t>2</w:t>
            </w:r>
            <w:r>
              <w:rPr>
                <w:position w:val="2"/>
                <w:sz w:val="20"/>
              </w:rPr>
              <w:t>S</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3"/>
              <w:ind w:left="485" w:right="461"/>
              <w:rPr>
                <w:sz w:val="20"/>
              </w:rPr>
            </w:pPr>
            <w:r>
              <w:rPr>
                <w:sz w:val="20"/>
              </w:rPr>
              <w:t>0.03</w:t>
            </w:r>
          </w:p>
        </w:tc>
        <w:tc>
          <w:tcPr>
            <w:tcW w:w="123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3"/>
              <w:ind w:left="349"/>
              <w:jc w:val="left"/>
              <w:rPr>
                <w:sz w:val="20"/>
              </w:rPr>
            </w:pPr>
            <w:r>
              <w:rPr>
                <w:sz w:val="20"/>
              </w:rPr>
              <w:t>0.0014</w:t>
            </w:r>
          </w:p>
        </w:tc>
        <w:tc>
          <w:tcPr>
            <w:tcW w:w="12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3"/>
              <w:ind w:left="428"/>
              <w:jc w:val="left"/>
              <w:rPr>
                <w:sz w:val="20"/>
              </w:rPr>
            </w:pPr>
            <w:r>
              <w:rPr>
                <w:sz w:val="20"/>
              </w:rPr>
              <w:t>0.013</w:t>
            </w:r>
          </w:p>
        </w:tc>
        <w:tc>
          <w:tcPr>
            <w:tcW w:w="1556" w:type="dxa"/>
            <w:tcBorders>
              <w:top w:val="single" w:sz="6" w:space="0" w:color="000000"/>
              <w:left w:val="single" w:sz="6" w:space="0" w:color="000000"/>
              <w:bottom w:val="single" w:sz="6" w:space="0" w:color="000000"/>
              <w:right w:val="single" w:sz="6" w:space="0" w:color="000000"/>
            </w:tcBorders>
          </w:tcPr>
          <w:p>
            <w:pPr>
              <w:pStyle w:val="TableParagraph"/>
              <w:spacing w:before="36"/>
              <w:ind w:left="600" w:right="550"/>
              <w:rPr>
                <w:sz w:val="20"/>
              </w:rPr>
            </w:pPr>
            <w:r>
              <w:rPr>
                <w:sz w:val="20"/>
              </w:rPr>
              <w:t>0.33</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36"/>
              <w:ind w:left="49"/>
              <w:rPr>
                <w:sz w:val="20"/>
              </w:rPr>
            </w:pPr>
            <w:r>
              <w:rPr>
                <w:w w:val="99"/>
                <w:sz w:val="20"/>
              </w:rPr>
              <w:t>/</w:t>
            </w:r>
          </w:p>
        </w:tc>
        <w:tc>
          <w:tcPr>
            <w:tcW w:w="1896" w:type="dxa"/>
            <w:vMerge/>
            <w:tcBorders>
              <w:top w:val="nil"/>
              <w:left w:val="single" w:sz="6" w:space="0" w:color="000000"/>
            </w:tcBorders>
          </w:tcPr>
          <w:p>
            <w:pPr>
              <w:rPr>
                <w:sz w:val="2"/>
                <w:szCs w:val="2"/>
              </w:rPr>
            </w:pPr>
          </w:p>
        </w:tc>
      </w:tr>
      <w:tr>
        <w:trPr>
          <w:trHeight w:val="296"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right w:val="single" w:sz="6" w:space="0" w:color="000000"/>
            </w:tcBorders>
          </w:tcPr>
          <w:p>
            <w:pPr>
              <w:rPr>
                <w:sz w:val="2"/>
                <w:szCs w:val="2"/>
              </w:rPr>
            </w:pPr>
          </w:p>
        </w:tc>
        <w:tc>
          <w:tcPr>
            <w:tcW w:w="1714" w:type="dxa"/>
            <w:gridSpan w:val="2"/>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19"/>
              </w:rPr>
            </w:pPr>
          </w:p>
          <w:p>
            <w:pPr>
              <w:pStyle w:val="TableParagraph"/>
              <w:spacing w:before="0"/>
              <w:ind w:left="361"/>
              <w:jc w:val="left"/>
              <w:rPr>
                <w:rFonts w:ascii="宋体" w:eastAsia="宋体" w:hint="eastAsia"/>
                <w:sz w:val="20"/>
              </w:rPr>
            </w:pPr>
            <w:r>
              <w:rPr>
                <w:rFonts w:ascii="宋体" w:eastAsia="宋体" w:hint="eastAsia"/>
                <w:sz w:val="20"/>
              </w:rPr>
              <w:t>猪粪发酵罐</w:t>
            </w:r>
          </w:p>
        </w:tc>
        <w:tc>
          <w:tcPr>
            <w:tcW w:w="1095"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spacing w:before="194"/>
              <w:ind w:left="174"/>
              <w:jc w:val="left"/>
              <w:rPr>
                <w:sz w:val="20"/>
              </w:rPr>
            </w:pPr>
            <w:r>
              <w:rPr>
                <w:sz w:val="20"/>
              </w:rPr>
              <w:t>DA002-1</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0"/>
              <w:ind w:left="130" w:right="106"/>
              <w:rPr>
                <w:sz w:val="13"/>
              </w:rPr>
            </w:pPr>
            <w:r>
              <w:rPr>
                <w:position w:val="2"/>
                <w:sz w:val="20"/>
              </w:rPr>
              <w:t>NH</w:t>
            </w:r>
            <w:r>
              <w:rPr>
                <w:sz w:val="13"/>
              </w:rPr>
              <w:t>3</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85" w:right="461"/>
              <w:rPr>
                <w:sz w:val="20"/>
              </w:rPr>
            </w:pPr>
            <w:r>
              <w:rPr>
                <w:sz w:val="20"/>
              </w:rPr>
              <w:t>3.61</w:t>
            </w:r>
          </w:p>
        </w:tc>
        <w:tc>
          <w:tcPr>
            <w:tcW w:w="123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349"/>
              <w:jc w:val="left"/>
              <w:rPr>
                <w:sz w:val="20"/>
              </w:rPr>
            </w:pPr>
            <w:r>
              <w:rPr>
                <w:sz w:val="20"/>
              </w:rPr>
              <w:t>0.0108</w:t>
            </w:r>
          </w:p>
        </w:tc>
        <w:tc>
          <w:tcPr>
            <w:tcW w:w="12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28"/>
              <w:jc w:val="left"/>
              <w:rPr>
                <w:sz w:val="20"/>
              </w:rPr>
            </w:pPr>
            <w:r>
              <w:rPr>
                <w:sz w:val="20"/>
              </w:rPr>
              <w:t>0.095</w:t>
            </w:r>
          </w:p>
        </w:tc>
        <w:tc>
          <w:tcPr>
            <w:tcW w:w="1556" w:type="dxa"/>
            <w:tcBorders>
              <w:top w:val="single" w:sz="6" w:space="0" w:color="000000"/>
              <w:left w:val="single" w:sz="6" w:space="0" w:color="000000"/>
              <w:bottom w:val="single" w:sz="6" w:space="0" w:color="000000"/>
              <w:right w:val="single" w:sz="6" w:space="0" w:color="000000"/>
            </w:tcBorders>
          </w:tcPr>
          <w:p>
            <w:pPr>
              <w:pStyle w:val="TableParagraph"/>
              <w:spacing w:before="33"/>
              <w:ind w:left="600" w:right="550"/>
              <w:rPr>
                <w:sz w:val="20"/>
              </w:rPr>
            </w:pPr>
            <w:r>
              <w:rPr>
                <w:sz w:val="20"/>
              </w:rPr>
              <w:t>4.9</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33"/>
              <w:ind w:left="49"/>
              <w:rPr>
                <w:sz w:val="20"/>
              </w:rPr>
            </w:pPr>
            <w:r>
              <w:rPr>
                <w:w w:val="99"/>
                <w:sz w:val="20"/>
              </w:rPr>
              <w:t>/</w:t>
            </w:r>
          </w:p>
        </w:tc>
        <w:tc>
          <w:tcPr>
            <w:tcW w:w="1896" w:type="dxa"/>
            <w:vMerge/>
            <w:tcBorders>
              <w:top w:val="nil"/>
              <w:left w:val="single" w:sz="6" w:space="0" w:color="000000"/>
            </w:tcBorders>
          </w:tcPr>
          <w:p>
            <w:pPr>
              <w:rPr>
                <w:sz w:val="2"/>
                <w:szCs w:val="2"/>
              </w:rPr>
            </w:pPr>
          </w:p>
        </w:tc>
      </w:tr>
      <w:tr>
        <w:trPr>
          <w:trHeight w:val="296"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right w:val="single" w:sz="6" w:space="0" w:color="000000"/>
            </w:tcBorders>
          </w:tcPr>
          <w:p>
            <w:pPr>
              <w:rPr>
                <w:sz w:val="2"/>
                <w:szCs w:val="2"/>
              </w:rPr>
            </w:pPr>
          </w:p>
        </w:tc>
        <w:tc>
          <w:tcPr>
            <w:tcW w:w="1714" w:type="dxa"/>
            <w:gridSpan w:val="2"/>
            <w:vMerge/>
            <w:tcBorders>
              <w:top w:val="nil"/>
              <w:left w:val="single" w:sz="6" w:space="0" w:color="000000"/>
              <w:right w:val="single" w:sz="6" w:space="0" w:color="000000"/>
            </w:tcBorders>
          </w:tcPr>
          <w:p>
            <w:pPr>
              <w:rPr>
                <w:sz w:val="2"/>
                <w:szCs w:val="2"/>
              </w:rPr>
            </w:pPr>
          </w:p>
        </w:tc>
        <w:tc>
          <w:tcPr>
            <w:tcW w:w="1095" w:type="dxa"/>
            <w:gridSpan w:val="2"/>
            <w:vMerge/>
            <w:tcBorders>
              <w:top w:val="nil"/>
              <w:left w:val="single" w:sz="6" w:space="0" w:color="000000"/>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0"/>
              <w:ind w:left="130" w:right="106"/>
              <w:rPr>
                <w:sz w:val="20"/>
              </w:rPr>
            </w:pPr>
            <w:r>
              <w:rPr>
                <w:position w:val="2"/>
                <w:sz w:val="20"/>
              </w:rPr>
              <w:t>H</w:t>
            </w:r>
            <w:r>
              <w:rPr>
                <w:sz w:val="13"/>
              </w:rPr>
              <w:t>2</w:t>
            </w:r>
            <w:r>
              <w:rPr>
                <w:position w:val="2"/>
                <w:sz w:val="20"/>
              </w:rPr>
              <w:t>S</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85" w:right="461"/>
              <w:rPr>
                <w:sz w:val="20"/>
              </w:rPr>
            </w:pPr>
            <w:r>
              <w:rPr>
                <w:sz w:val="20"/>
              </w:rPr>
              <w:t>0.65</w:t>
            </w:r>
          </w:p>
        </w:tc>
        <w:tc>
          <w:tcPr>
            <w:tcW w:w="123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349"/>
              <w:jc w:val="left"/>
              <w:rPr>
                <w:sz w:val="20"/>
              </w:rPr>
            </w:pPr>
            <w:r>
              <w:rPr>
                <w:sz w:val="20"/>
              </w:rPr>
              <w:t>0.0019</w:t>
            </w:r>
          </w:p>
        </w:tc>
        <w:tc>
          <w:tcPr>
            <w:tcW w:w="12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28"/>
              <w:jc w:val="left"/>
              <w:rPr>
                <w:sz w:val="20"/>
              </w:rPr>
            </w:pPr>
            <w:r>
              <w:rPr>
                <w:sz w:val="20"/>
              </w:rPr>
              <w:t>0.017</w:t>
            </w:r>
          </w:p>
        </w:tc>
        <w:tc>
          <w:tcPr>
            <w:tcW w:w="1556" w:type="dxa"/>
            <w:tcBorders>
              <w:top w:val="single" w:sz="6" w:space="0" w:color="000000"/>
              <w:left w:val="single" w:sz="6" w:space="0" w:color="000000"/>
              <w:bottom w:val="single" w:sz="6" w:space="0" w:color="000000"/>
              <w:right w:val="single" w:sz="6" w:space="0" w:color="000000"/>
            </w:tcBorders>
          </w:tcPr>
          <w:p>
            <w:pPr>
              <w:pStyle w:val="TableParagraph"/>
              <w:spacing w:before="33"/>
              <w:ind w:left="600" w:right="550"/>
              <w:rPr>
                <w:sz w:val="20"/>
              </w:rPr>
            </w:pPr>
            <w:r>
              <w:rPr>
                <w:sz w:val="20"/>
              </w:rPr>
              <w:t>0.33</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33"/>
              <w:ind w:left="49"/>
              <w:rPr>
                <w:sz w:val="20"/>
              </w:rPr>
            </w:pPr>
            <w:r>
              <w:rPr>
                <w:w w:val="99"/>
                <w:sz w:val="20"/>
              </w:rPr>
              <w:t>/</w:t>
            </w:r>
          </w:p>
        </w:tc>
        <w:tc>
          <w:tcPr>
            <w:tcW w:w="1896" w:type="dxa"/>
            <w:vMerge/>
            <w:tcBorders>
              <w:top w:val="nil"/>
              <w:left w:val="single" w:sz="6" w:space="0" w:color="000000"/>
            </w:tcBorders>
          </w:tcPr>
          <w:p>
            <w:pPr>
              <w:rPr>
                <w:sz w:val="2"/>
                <w:szCs w:val="2"/>
              </w:rPr>
            </w:pPr>
          </w:p>
        </w:tc>
      </w:tr>
      <w:tr>
        <w:trPr>
          <w:trHeight w:val="296"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right w:val="single" w:sz="6" w:space="0" w:color="000000"/>
            </w:tcBorders>
          </w:tcPr>
          <w:p>
            <w:pPr>
              <w:rPr>
                <w:sz w:val="2"/>
                <w:szCs w:val="2"/>
              </w:rPr>
            </w:pPr>
          </w:p>
        </w:tc>
        <w:tc>
          <w:tcPr>
            <w:tcW w:w="1714" w:type="dxa"/>
            <w:gridSpan w:val="2"/>
            <w:vMerge/>
            <w:tcBorders>
              <w:top w:val="nil"/>
              <w:left w:val="single" w:sz="6" w:space="0" w:color="000000"/>
              <w:right w:val="single" w:sz="6" w:space="0" w:color="000000"/>
            </w:tcBorders>
          </w:tcPr>
          <w:p>
            <w:pPr>
              <w:rPr>
                <w:sz w:val="2"/>
                <w:szCs w:val="2"/>
              </w:rPr>
            </w:pPr>
          </w:p>
        </w:tc>
        <w:tc>
          <w:tcPr>
            <w:tcW w:w="1095" w:type="dxa"/>
            <w:gridSpan w:val="2"/>
            <w:vMerge w:val="restart"/>
            <w:tcBorders>
              <w:top w:val="single" w:sz="6" w:space="0" w:color="000000"/>
              <w:left w:val="single" w:sz="6" w:space="0" w:color="000000"/>
              <w:right w:val="single" w:sz="6" w:space="0" w:color="000000"/>
            </w:tcBorders>
          </w:tcPr>
          <w:p>
            <w:pPr>
              <w:pStyle w:val="TableParagraph"/>
              <w:spacing w:before="7"/>
              <w:jc w:val="left"/>
              <w:rPr>
                <w:rFonts w:ascii="宋体"/>
                <w:b/>
                <w:sz w:val="15"/>
              </w:rPr>
            </w:pPr>
          </w:p>
          <w:p>
            <w:pPr>
              <w:pStyle w:val="TableParagraph"/>
              <w:spacing w:before="0"/>
              <w:ind w:left="174"/>
              <w:jc w:val="left"/>
              <w:rPr>
                <w:sz w:val="20"/>
              </w:rPr>
            </w:pPr>
            <w:r>
              <w:rPr>
                <w:sz w:val="20"/>
              </w:rPr>
              <w:t>DA002-2</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0"/>
              <w:ind w:left="130" w:right="106"/>
              <w:rPr>
                <w:sz w:val="13"/>
              </w:rPr>
            </w:pPr>
            <w:r>
              <w:rPr>
                <w:position w:val="2"/>
                <w:sz w:val="20"/>
              </w:rPr>
              <w:t>NH</w:t>
            </w:r>
            <w:r>
              <w:rPr>
                <w:sz w:val="13"/>
              </w:rPr>
              <w:t>3</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85" w:right="461"/>
              <w:rPr>
                <w:sz w:val="20"/>
              </w:rPr>
            </w:pPr>
            <w:r>
              <w:rPr>
                <w:sz w:val="20"/>
              </w:rPr>
              <w:t>3.61</w:t>
            </w:r>
          </w:p>
        </w:tc>
        <w:tc>
          <w:tcPr>
            <w:tcW w:w="123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349"/>
              <w:jc w:val="left"/>
              <w:rPr>
                <w:sz w:val="20"/>
              </w:rPr>
            </w:pPr>
            <w:r>
              <w:rPr>
                <w:sz w:val="20"/>
              </w:rPr>
              <w:t>0.0108</w:t>
            </w:r>
          </w:p>
        </w:tc>
        <w:tc>
          <w:tcPr>
            <w:tcW w:w="1296"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1"/>
              <w:ind w:left="428"/>
              <w:jc w:val="left"/>
              <w:rPr>
                <w:sz w:val="20"/>
              </w:rPr>
            </w:pPr>
            <w:r>
              <w:rPr>
                <w:sz w:val="20"/>
              </w:rPr>
              <w:t>0.095</w:t>
            </w:r>
          </w:p>
        </w:tc>
        <w:tc>
          <w:tcPr>
            <w:tcW w:w="1556" w:type="dxa"/>
            <w:tcBorders>
              <w:top w:val="single" w:sz="6" w:space="0" w:color="000000"/>
              <w:left w:val="single" w:sz="6" w:space="0" w:color="000000"/>
              <w:bottom w:val="single" w:sz="6" w:space="0" w:color="000000"/>
              <w:right w:val="single" w:sz="6" w:space="0" w:color="000000"/>
            </w:tcBorders>
          </w:tcPr>
          <w:p>
            <w:pPr>
              <w:pStyle w:val="TableParagraph"/>
              <w:spacing w:before="33"/>
              <w:ind w:left="600" w:right="550"/>
              <w:rPr>
                <w:sz w:val="20"/>
              </w:rPr>
            </w:pPr>
            <w:r>
              <w:rPr>
                <w:sz w:val="20"/>
              </w:rPr>
              <w:t>4.9</w:t>
            </w:r>
          </w:p>
        </w:tc>
        <w:tc>
          <w:tcPr>
            <w:tcW w:w="1385" w:type="dxa"/>
            <w:tcBorders>
              <w:top w:val="single" w:sz="6" w:space="0" w:color="000000"/>
              <w:left w:val="single" w:sz="6" w:space="0" w:color="000000"/>
              <w:bottom w:val="single" w:sz="6" w:space="0" w:color="000000"/>
              <w:right w:val="single" w:sz="6" w:space="0" w:color="000000"/>
            </w:tcBorders>
          </w:tcPr>
          <w:p>
            <w:pPr>
              <w:pStyle w:val="TableParagraph"/>
              <w:spacing w:before="33"/>
              <w:ind w:left="49"/>
              <w:rPr>
                <w:sz w:val="20"/>
              </w:rPr>
            </w:pPr>
            <w:r>
              <w:rPr>
                <w:w w:val="99"/>
                <w:sz w:val="20"/>
              </w:rPr>
              <w:t>/</w:t>
            </w:r>
          </w:p>
        </w:tc>
        <w:tc>
          <w:tcPr>
            <w:tcW w:w="1896" w:type="dxa"/>
            <w:vMerge/>
            <w:tcBorders>
              <w:top w:val="nil"/>
              <w:left w:val="single" w:sz="6" w:space="0" w:color="000000"/>
            </w:tcBorders>
          </w:tcPr>
          <w:p>
            <w:pPr>
              <w:rPr>
                <w:sz w:val="2"/>
                <w:szCs w:val="2"/>
              </w:rPr>
            </w:pPr>
          </w:p>
        </w:tc>
      </w:tr>
      <w:tr>
        <w:trPr>
          <w:trHeight w:val="305" w:hRule="atLeast"/>
        </w:trPr>
        <w:tc>
          <w:tcPr>
            <w:tcW w:w="735" w:type="dxa"/>
            <w:vMerge/>
            <w:tcBorders>
              <w:top w:val="nil"/>
              <w:right w:val="single" w:sz="6" w:space="0" w:color="000000"/>
            </w:tcBorders>
          </w:tcPr>
          <w:p>
            <w:pPr>
              <w:rPr>
                <w:sz w:val="2"/>
                <w:szCs w:val="2"/>
              </w:rPr>
            </w:pPr>
          </w:p>
        </w:tc>
        <w:tc>
          <w:tcPr>
            <w:tcW w:w="677" w:type="dxa"/>
            <w:vMerge/>
            <w:tcBorders>
              <w:top w:val="nil"/>
              <w:left w:val="single" w:sz="6" w:space="0" w:color="000000"/>
              <w:right w:val="single" w:sz="6" w:space="0" w:color="000000"/>
            </w:tcBorders>
          </w:tcPr>
          <w:p>
            <w:pPr>
              <w:rPr>
                <w:sz w:val="2"/>
                <w:szCs w:val="2"/>
              </w:rPr>
            </w:pPr>
          </w:p>
        </w:tc>
        <w:tc>
          <w:tcPr>
            <w:tcW w:w="1714" w:type="dxa"/>
            <w:gridSpan w:val="2"/>
            <w:vMerge/>
            <w:tcBorders>
              <w:top w:val="nil"/>
              <w:left w:val="single" w:sz="6" w:space="0" w:color="000000"/>
              <w:right w:val="single" w:sz="6" w:space="0" w:color="000000"/>
            </w:tcBorders>
          </w:tcPr>
          <w:p>
            <w:pPr>
              <w:rPr>
                <w:sz w:val="2"/>
                <w:szCs w:val="2"/>
              </w:rPr>
            </w:pPr>
          </w:p>
        </w:tc>
        <w:tc>
          <w:tcPr>
            <w:tcW w:w="1095" w:type="dxa"/>
            <w:gridSpan w:val="2"/>
            <w:vMerge/>
            <w:tcBorders>
              <w:top w:val="nil"/>
              <w:left w:val="single" w:sz="6" w:space="0" w:color="000000"/>
              <w:right w:val="single" w:sz="6" w:space="0" w:color="000000"/>
            </w:tcBorders>
          </w:tcPr>
          <w:p>
            <w:pPr>
              <w:rPr>
                <w:sz w:val="2"/>
                <w:szCs w:val="2"/>
              </w:rPr>
            </w:pPr>
          </w:p>
        </w:tc>
        <w:tc>
          <w:tcPr>
            <w:tcW w:w="1133" w:type="dxa"/>
            <w:tcBorders>
              <w:top w:val="single" w:sz="6" w:space="0" w:color="000000"/>
              <w:left w:val="single" w:sz="6" w:space="0" w:color="000000"/>
              <w:right w:val="single" w:sz="6" w:space="0" w:color="000000"/>
            </w:tcBorders>
          </w:tcPr>
          <w:p>
            <w:pPr>
              <w:pStyle w:val="TableParagraph"/>
              <w:spacing w:before="32"/>
              <w:ind w:left="130" w:right="106"/>
              <w:rPr>
                <w:sz w:val="20"/>
              </w:rPr>
            </w:pPr>
            <w:r>
              <w:rPr>
                <w:position w:val="2"/>
                <w:sz w:val="20"/>
              </w:rPr>
              <w:t>H</w:t>
            </w:r>
            <w:r>
              <w:rPr>
                <w:sz w:val="13"/>
              </w:rPr>
              <w:t>2</w:t>
            </w:r>
            <w:r>
              <w:rPr>
                <w:position w:val="2"/>
                <w:sz w:val="20"/>
              </w:rPr>
              <w:t>S</w:t>
            </w:r>
          </w:p>
        </w:tc>
        <w:tc>
          <w:tcPr>
            <w:tcW w:w="1452" w:type="dxa"/>
            <w:gridSpan w:val="2"/>
            <w:tcBorders>
              <w:top w:val="single" w:sz="6" w:space="0" w:color="000000"/>
              <w:left w:val="single" w:sz="6" w:space="0" w:color="000000"/>
              <w:right w:val="single" w:sz="6" w:space="0" w:color="000000"/>
            </w:tcBorders>
          </w:tcPr>
          <w:p>
            <w:pPr>
              <w:pStyle w:val="TableParagraph"/>
              <w:spacing w:before="33"/>
              <w:ind w:left="485" w:right="461"/>
              <w:rPr>
                <w:sz w:val="20"/>
              </w:rPr>
            </w:pPr>
            <w:r>
              <w:rPr>
                <w:sz w:val="20"/>
              </w:rPr>
              <w:t>0.65</w:t>
            </w:r>
          </w:p>
        </w:tc>
        <w:tc>
          <w:tcPr>
            <w:tcW w:w="1239" w:type="dxa"/>
            <w:gridSpan w:val="2"/>
            <w:tcBorders>
              <w:top w:val="single" w:sz="6" w:space="0" w:color="000000"/>
              <w:left w:val="single" w:sz="6" w:space="0" w:color="000000"/>
              <w:right w:val="single" w:sz="6" w:space="0" w:color="000000"/>
            </w:tcBorders>
          </w:tcPr>
          <w:p>
            <w:pPr>
              <w:pStyle w:val="TableParagraph"/>
              <w:spacing w:before="33"/>
              <w:ind w:left="349"/>
              <w:jc w:val="left"/>
              <w:rPr>
                <w:sz w:val="20"/>
              </w:rPr>
            </w:pPr>
            <w:r>
              <w:rPr>
                <w:sz w:val="20"/>
              </w:rPr>
              <w:t>0.0019</w:t>
            </w:r>
          </w:p>
        </w:tc>
        <w:tc>
          <w:tcPr>
            <w:tcW w:w="1296" w:type="dxa"/>
            <w:gridSpan w:val="2"/>
            <w:tcBorders>
              <w:top w:val="single" w:sz="6" w:space="0" w:color="000000"/>
              <w:left w:val="single" w:sz="6" w:space="0" w:color="000000"/>
              <w:right w:val="single" w:sz="6" w:space="0" w:color="000000"/>
            </w:tcBorders>
          </w:tcPr>
          <w:p>
            <w:pPr>
              <w:pStyle w:val="TableParagraph"/>
              <w:spacing w:before="33"/>
              <w:ind w:left="428"/>
              <w:jc w:val="left"/>
              <w:rPr>
                <w:sz w:val="20"/>
              </w:rPr>
            </w:pPr>
            <w:r>
              <w:rPr>
                <w:sz w:val="20"/>
              </w:rPr>
              <w:t>0.017</w:t>
            </w:r>
          </w:p>
        </w:tc>
        <w:tc>
          <w:tcPr>
            <w:tcW w:w="1556" w:type="dxa"/>
            <w:tcBorders>
              <w:top w:val="single" w:sz="6" w:space="0" w:color="000000"/>
              <w:left w:val="single" w:sz="6" w:space="0" w:color="000000"/>
              <w:right w:val="single" w:sz="6" w:space="0" w:color="000000"/>
            </w:tcBorders>
          </w:tcPr>
          <w:p>
            <w:pPr>
              <w:pStyle w:val="TableParagraph"/>
              <w:spacing w:before="36"/>
              <w:ind w:left="600" w:right="550"/>
              <w:rPr>
                <w:sz w:val="20"/>
              </w:rPr>
            </w:pPr>
            <w:r>
              <w:rPr>
                <w:sz w:val="20"/>
              </w:rPr>
              <w:t>0.33</w:t>
            </w:r>
          </w:p>
        </w:tc>
        <w:tc>
          <w:tcPr>
            <w:tcW w:w="1385" w:type="dxa"/>
            <w:tcBorders>
              <w:top w:val="single" w:sz="6" w:space="0" w:color="000000"/>
              <w:left w:val="single" w:sz="6" w:space="0" w:color="000000"/>
              <w:right w:val="single" w:sz="6" w:space="0" w:color="000000"/>
            </w:tcBorders>
          </w:tcPr>
          <w:p>
            <w:pPr>
              <w:pStyle w:val="TableParagraph"/>
              <w:spacing w:before="36"/>
              <w:ind w:left="49"/>
              <w:rPr>
                <w:sz w:val="20"/>
              </w:rPr>
            </w:pPr>
            <w:r>
              <w:rPr>
                <w:w w:val="99"/>
                <w:sz w:val="20"/>
              </w:rPr>
              <w:t>/</w:t>
            </w:r>
          </w:p>
        </w:tc>
        <w:tc>
          <w:tcPr>
            <w:tcW w:w="1896" w:type="dxa"/>
            <w:vMerge/>
            <w:tcBorders>
              <w:top w:val="nil"/>
              <w:left w:val="single" w:sz="6" w:space="0" w:color="000000"/>
            </w:tcBorders>
          </w:tcPr>
          <w:p>
            <w:pPr>
              <w:rPr>
                <w:sz w:val="2"/>
                <w:szCs w:val="2"/>
              </w:rPr>
            </w:pPr>
          </w:p>
        </w:tc>
      </w:tr>
    </w:tbl>
    <w:p>
      <w:pPr>
        <w:spacing w:after="0"/>
        <w:rPr>
          <w:sz w:val="2"/>
          <w:szCs w:val="2"/>
        </w:rPr>
        <w:sectPr>
          <w:headerReference w:type="default" r:id="rId161"/>
          <w:footerReference w:type="default" r:id="rId162"/>
          <w:pgSz w:w="16840" w:h="11910" w:orient="landscape"/>
          <w:pgMar w:header="874" w:footer="1004" w:top="1180" w:bottom="1200" w:left="1200" w:right="1200"/>
          <w:pgNumType w:start="210"/>
        </w:sectPr>
      </w:pPr>
    </w:p>
    <w:p>
      <w:pPr>
        <w:pStyle w:val="BodyText"/>
        <w:spacing w:before="4"/>
        <w:ind w:left="0"/>
        <w:rPr>
          <w:rFonts w:ascii="Times New Roman"/>
          <w:sz w:val="8"/>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5"/>
        <w:gridCol w:w="677"/>
        <w:gridCol w:w="1714"/>
        <w:gridCol w:w="1095"/>
        <w:gridCol w:w="420"/>
        <w:gridCol w:w="713"/>
        <w:gridCol w:w="696"/>
        <w:gridCol w:w="756"/>
        <w:gridCol w:w="403"/>
        <w:gridCol w:w="835"/>
        <w:gridCol w:w="1295"/>
        <w:gridCol w:w="1012"/>
        <w:gridCol w:w="566"/>
        <w:gridCol w:w="1360"/>
        <w:gridCol w:w="1895"/>
      </w:tblGrid>
      <w:tr>
        <w:trPr>
          <w:trHeight w:val="311" w:hRule="atLeast"/>
        </w:trPr>
        <w:tc>
          <w:tcPr>
            <w:tcW w:w="735" w:type="dxa"/>
            <w:vMerge w:val="restart"/>
            <w:tcBorders>
              <w:bottom w:val="single" w:sz="6" w:space="0" w:color="000000"/>
              <w:right w:val="single" w:sz="6" w:space="0" w:color="000000"/>
            </w:tcBorders>
          </w:tcPr>
          <w:p>
            <w:pPr>
              <w:pStyle w:val="TableParagraph"/>
              <w:spacing w:before="0"/>
              <w:jc w:val="left"/>
              <w:rPr>
                <w:sz w:val="18"/>
              </w:rPr>
            </w:pPr>
          </w:p>
        </w:tc>
        <w:tc>
          <w:tcPr>
            <w:tcW w:w="677" w:type="dxa"/>
            <w:vMerge w:val="restart"/>
            <w:tcBorders>
              <w:left w:val="single" w:sz="6" w:space="0" w:color="000000"/>
              <w:bottom w:val="single" w:sz="6" w:space="0" w:color="000000"/>
              <w:right w:val="single" w:sz="6" w:space="0" w:color="000000"/>
            </w:tcBorders>
          </w:tcPr>
          <w:p>
            <w:pPr>
              <w:pStyle w:val="TableParagraph"/>
              <w:spacing w:before="0"/>
              <w:jc w:val="left"/>
              <w:rPr>
                <w:sz w:val="18"/>
              </w:rPr>
            </w:pPr>
          </w:p>
        </w:tc>
        <w:tc>
          <w:tcPr>
            <w:tcW w:w="1714" w:type="dxa"/>
            <w:vMerge w:val="restart"/>
            <w:tcBorders>
              <w:left w:val="single" w:sz="6" w:space="0" w:color="000000"/>
              <w:bottom w:val="single" w:sz="6" w:space="0" w:color="000000"/>
              <w:right w:val="single" w:sz="6" w:space="0" w:color="000000"/>
            </w:tcBorders>
          </w:tcPr>
          <w:p>
            <w:pPr>
              <w:pStyle w:val="TableParagraph"/>
              <w:spacing w:before="0"/>
              <w:jc w:val="left"/>
              <w:rPr>
                <w:sz w:val="18"/>
              </w:rPr>
            </w:pPr>
          </w:p>
          <w:p>
            <w:pPr>
              <w:pStyle w:val="TableParagraph"/>
              <w:spacing w:line="292" w:lineRule="auto" w:before="0"/>
              <w:ind w:left="762" w:right="137" w:hanging="600"/>
              <w:jc w:val="left"/>
              <w:rPr>
                <w:rFonts w:ascii="宋体" w:eastAsia="宋体" w:hint="eastAsia"/>
                <w:sz w:val="20"/>
              </w:rPr>
            </w:pPr>
            <w:r>
              <w:rPr>
                <w:rFonts w:ascii="宋体" w:eastAsia="宋体" w:hint="eastAsia"/>
                <w:sz w:val="20"/>
              </w:rPr>
              <w:t>病死猪无害化处理</w:t>
            </w:r>
          </w:p>
        </w:tc>
        <w:tc>
          <w:tcPr>
            <w:tcW w:w="1095" w:type="dxa"/>
            <w:vMerge w:val="restart"/>
            <w:tcBorders>
              <w:left w:val="single" w:sz="6" w:space="0" w:color="000000"/>
              <w:bottom w:val="single" w:sz="6" w:space="0" w:color="000000"/>
              <w:right w:val="single" w:sz="6" w:space="0" w:color="000000"/>
            </w:tcBorders>
          </w:tcPr>
          <w:p>
            <w:pPr>
              <w:pStyle w:val="TableParagraph"/>
              <w:spacing w:before="6"/>
              <w:jc w:val="left"/>
              <w:rPr>
                <w:sz w:val="17"/>
              </w:rPr>
            </w:pPr>
          </w:p>
          <w:p>
            <w:pPr>
              <w:pStyle w:val="TableParagraph"/>
              <w:spacing w:before="0"/>
              <w:ind w:left="174"/>
              <w:jc w:val="left"/>
              <w:rPr>
                <w:sz w:val="20"/>
              </w:rPr>
            </w:pPr>
            <w:r>
              <w:rPr>
                <w:sz w:val="20"/>
              </w:rPr>
              <w:t>DA003-1</w:t>
            </w:r>
          </w:p>
        </w:tc>
        <w:tc>
          <w:tcPr>
            <w:tcW w:w="1133" w:type="dxa"/>
            <w:gridSpan w:val="2"/>
            <w:tcBorders>
              <w:left w:val="single" w:sz="6" w:space="0" w:color="000000"/>
              <w:bottom w:val="single" w:sz="6" w:space="0" w:color="000000"/>
              <w:right w:val="single" w:sz="6" w:space="0" w:color="000000"/>
            </w:tcBorders>
          </w:tcPr>
          <w:p>
            <w:pPr>
              <w:pStyle w:val="TableParagraph"/>
              <w:spacing w:before="37"/>
              <w:ind w:left="394"/>
              <w:jc w:val="left"/>
              <w:rPr>
                <w:sz w:val="13"/>
              </w:rPr>
            </w:pPr>
            <w:r>
              <w:rPr>
                <w:position w:val="2"/>
                <w:sz w:val="20"/>
              </w:rPr>
              <w:t>NH</w:t>
            </w:r>
            <w:r>
              <w:rPr>
                <w:sz w:val="13"/>
              </w:rPr>
              <w:t>3</w:t>
            </w:r>
          </w:p>
        </w:tc>
        <w:tc>
          <w:tcPr>
            <w:tcW w:w="1452" w:type="dxa"/>
            <w:gridSpan w:val="2"/>
            <w:tcBorders>
              <w:left w:val="single" w:sz="6" w:space="0" w:color="000000"/>
              <w:bottom w:val="single" w:sz="6" w:space="0" w:color="000000"/>
              <w:right w:val="single" w:sz="6" w:space="0" w:color="000000"/>
            </w:tcBorders>
          </w:tcPr>
          <w:p>
            <w:pPr>
              <w:pStyle w:val="TableParagraph"/>
              <w:spacing w:before="40"/>
              <w:ind w:left="485" w:right="461"/>
              <w:rPr>
                <w:sz w:val="20"/>
              </w:rPr>
            </w:pPr>
            <w:r>
              <w:rPr>
                <w:sz w:val="20"/>
              </w:rPr>
              <w:t>0.16</w:t>
            </w:r>
          </w:p>
        </w:tc>
        <w:tc>
          <w:tcPr>
            <w:tcW w:w="1238" w:type="dxa"/>
            <w:gridSpan w:val="2"/>
            <w:tcBorders>
              <w:left w:val="single" w:sz="6" w:space="0" w:color="000000"/>
              <w:bottom w:val="single" w:sz="6" w:space="0" w:color="000000"/>
              <w:right w:val="single" w:sz="6" w:space="0" w:color="000000"/>
            </w:tcBorders>
          </w:tcPr>
          <w:p>
            <w:pPr>
              <w:pStyle w:val="TableParagraph"/>
              <w:spacing w:before="40"/>
              <w:ind w:left="255"/>
              <w:jc w:val="left"/>
              <w:rPr>
                <w:sz w:val="20"/>
              </w:rPr>
            </w:pPr>
            <w:r>
              <w:rPr>
                <w:sz w:val="20"/>
              </w:rPr>
              <w:t>8.18E-05</w:t>
            </w:r>
          </w:p>
        </w:tc>
        <w:tc>
          <w:tcPr>
            <w:tcW w:w="1295" w:type="dxa"/>
            <w:tcBorders>
              <w:left w:val="single" w:sz="6" w:space="0" w:color="000000"/>
              <w:bottom w:val="single" w:sz="6" w:space="0" w:color="000000"/>
              <w:right w:val="single" w:sz="6" w:space="0" w:color="000000"/>
            </w:tcBorders>
          </w:tcPr>
          <w:p>
            <w:pPr>
              <w:pStyle w:val="TableParagraph"/>
              <w:spacing w:before="40"/>
              <w:ind w:left="266" w:right="235"/>
              <w:rPr>
                <w:sz w:val="20"/>
              </w:rPr>
            </w:pPr>
            <w:r>
              <w:rPr>
                <w:sz w:val="20"/>
              </w:rPr>
              <w:t>2.98E-04</w:t>
            </w:r>
          </w:p>
        </w:tc>
        <w:tc>
          <w:tcPr>
            <w:tcW w:w="1578" w:type="dxa"/>
            <w:gridSpan w:val="2"/>
            <w:tcBorders>
              <w:left w:val="single" w:sz="6" w:space="0" w:color="000000"/>
              <w:bottom w:val="single" w:sz="6" w:space="0" w:color="000000"/>
              <w:right w:val="single" w:sz="6" w:space="0" w:color="000000"/>
            </w:tcBorders>
          </w:tcPr>
          <w:p>
            <w:pPr>
              <w:pStyle w:val="TableParagraph"/>
              <w:spacing w:before="40"/>
              <w:ind w:left="602" w:right="570"/>
              <w:rPr>
                <w:sz w:val="20"/>
              </w:rPr>
            </w:pPr>
            <w:r>
              <w:rPr>
                <w:sz w:val="20"/>
              </w:rPr>
              <w:t>4.9</w:t>
            </w:r>
          </w:p>
        </w:tc>
        <w:tc>
          <w:tcPr>
            <w:tcW w:w="1360" w:type="dxa"/>
            <w:tcBorders>
              <w:left w:val="single" w:sz="6" w:space="0" w:color="000000"/>
              <w:bottom w:val="single" w:sz="6" w:space="0" w:color="000000"/>
              <w:right w:val="single" w:sz="6" w:space="0" w:color="000000"/>
            </w:tcBorders>
          </w:tcPr>
          <w:p>
            <w:pPr>
              <w:pStyle w:val="TableParagraph"/>
              <w:spacing w:before="40"/>
              <w:ind w:left="34"/>
              <w:rPr>
                <w:sz w:val="20"/>
              </w:rPr>
            </w:pPr>
            <w:r>
              <w:rPr>
                <w:w w:val="99"/>
                <w:sz w:val="20"/>
              </w:rPr>
              <w:t>/</w:t>
            </w:r>
          </w:p>
        </w:tc>
        <w:tc>
          <w:tcPr>
            <w:tcW w:w="1895" w:type="dxa"/>
            <w:vMerge w:val="restart"/>
            <w:tcBorders>
              <w:left w:val="single" w:sz="6" w:space="0" w:color="000000"/>
              <w:bottom w:val="single" w:sz="6" w:space="0" w:color="000000"/>
            </w:tcBorders>
          </w:tcPr>
          <w:p>
            <w:pPr>
              <w:pStyle w:val="TableParagraph"/>
              <w:spacing w:before="0"/>
              <w:jc w:val="left"/>
              <w:rPr>
                <w:sz w:val="18"/>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tcBorders>
              <w:top w:val="nil"/>
              <w:left w:val="single" w:sz="6" w:space="0" w:color="000000"/>
              <w:bottom w:val="single" w:sz="6" w:space="0" w:color="000000"/>
              <w:right w:val="single" w:sz="6" w:space="0" w:color="000000"/>
            </w:tcBorders>
          </w:tcPr>
          <w:p>
            <w:pPr>
              <w:rPr>
                <w:sz w:val="2"/>
                <w:szCs w:val="2"/>
              </w:rPr>
            </w:pPr>
          </w:p>
        </w:tc>
        <w:tc>
          <w:tcPr>
            <w:tcW w:w="1095" w:type="dxa"/>
            <w:vMerge/>
            <w:tcBorders>
              <w:top w:val="nil"/>
              <w:left w:val="single" w:sz="6" w:space="0" w:color="000000"/>
              <w:bottom w:val="single" w:sz="6" w:space="0" w:color="000000"/>
              <w:right w:val="single" w:sz="6" w:space="0" w:color="000000"/>
            </w:tcBorders>
          </w:tcPr>
          <w:p>
            <w:pPr>
              <w:rPr>
                <w:sz w:val="2"/>
                <w:szCs w:val="2"/>
              </w:rPr>
            </w:pP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130" w:right="106"/>
              <w:rPr>
                <w:sz w:val="20"/>
              </w:rPr>
            </w:pPr>
            <w:r>
              <w:rPr>
                <w:position w:val="2"/>
                <w:sz w:val="20"/>
              </w:rPr>
              <w:t>H</w:t>
            </w:r>
            <w:r>
              <w:rPr>
                <w:sz w:val="13"/>
              </w:rPr>
              <w:t>2</w:t>
            </w:r>
            <w:r>
              <w:rPr>
                <w:position w:val="2"/>
                <w:sz w:val="20"/>
              </w:rPr>
              <w:t>S</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85" w:right="461"/>
              <w:rPr>
                <w:sz w:val="20"/>
              </w:rPr>
            </w:pPr>
            <w:r>
              <w:rPr>
                <w:sz w:val="20"/>
              </w:rPr>
              <w:t>0.002</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55"/>
              <w:jc w:val="left"/>
              <w:rPr>
                <w:sz w:val="20"/>
              </w:rPr>
            </w:pPr>
            <w:r>
              <w:rPr>
                <w:sz w:val="20"/>
              </w:rPr>
              <w:t>9.81E-07</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41"/>
              <w:ind w:left="266" w:right="235"/>
              <w:rPr>
                <w:sz w:val="20"/>
              </w:rPr>
            </w:pPr>
            <w:r>
              <w:rPr>
                <w:sz w:val="20"/>
              </w:rPr>
              <w:t>3.58E-06</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602" w:right="570"/>
              <w:rPr>
                <w:sz w:val="20"/>
              </w:rPr>
            </w:pPr>
            <w:r>
              <w:rPr>
                <w:sz w:val="20"/>
              </w:rPr>
              <w:t>0.33</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1"/>
              <w:ind w:left="34"/>
              <w:rPr>
                <w:sz w:val="20"/>
              </w:rPr>
            </w:pPr>
            <w:r>
              <w:rPr>
                <w:w w:val="99"/>
                <w:sz w:val="20"/>
              </w:rPr>
              <w:t>/</w:t>
            </w:r>
          </w:p>
        </w:tc>
        <w:tc>
          <w:tcPr>
            <w:tcW w:w="1895" w:type="dxa"/>
            <w:vMerge/>
            <w:tcBorders>
              <w:top w:val="nil"/>
              <w:left w:val="single" w:sz="6" w:space="0" w:color="000000"/>
              <w:bottom w:val="single" w:sz="6" w:space="0" w:color="000000"/>
            </w:tcBorders>
          </w:tcPr>
          <w:p>
            <w:pPr>
              <w:rPr>
                <w:sz w:val="2"/>
                <w:szCs w:val="2"/>
              </w:rPr>
            </w:pPr>
          </w:p>
        </w:tc>
      </w:tr>
      <w:tr>
        <w:trPr>
          <w:trHeight w:val="313"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tcBorders>
              <w:top w:val="nil"/>
              <w:left w:val="single" w:sz="6" w:space="0" w:color="000000"/>
              <w:bottom w:val="single" w:sz="6" w:space="0" w:color="000000"/>
              <w:right w:val="single" w:sz="6" w:space="0" w:color="000000"/>
            </w:tcBorders>
          </w:tcPr>
          <w:p>
            <w:pPr>
              <w:rPr>
                <w:sz w:val="2"/>
                <w:szCs w:val="2"/>
              </w:rPr>
            </w:pPr>
          </w:p>
        </w:tc>
        <w:tc>
          <w:tcPr>
            <w:tcW w:w="109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17"/>
              </w:rPr>
            </w:pPr>
          </w:p>
          <w:p>
            <w:pPr>
              <w:pStyle w:val="TableParagraph"/>
              <w:spacing w:before="0"/>
              <w:ind w:left="174"/>
              <w:jc w:val="left"/>
              <w:rPr>
                <w:sz w:val="20"/>
              </w:rPr>
            </w:pPr>
            <w:r>
              <w:rPr>
                <w:sz w:val="20"/>
              </w:rPr>
              <w:t>DA003-1</w:t>
            </w: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0"/>
              <w:ind w:left="394"/>
              <w:jc w:val="left"/>
              <w:rPr>
                <w:sz w:val="13"/>
              </w:rPr>
            </w:pPr>
            <w:r>
              <w:rPr>
                <w:position w:val="2"/>
                <w:sz w:val="20"/>
              </w:rPr>
              <w:t>NH</w:t>
            </w:r>
            <w:r>
              <w:rPr>
                <w:sz w:val="13"/>
              </w:rPr>
              <w:t>3</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485" w:right="461"/>
              <w:rPr>
                <w:sz w:val="20"/>
              </w:rPr>
            </w:pPr>
            <w:r>
              <w:rPr>
                <w:sz w:val="20"/>
              </w:rPr>
              <w:t>0.16</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55"/>
              <w:jc w:val="left"/>
              <w:rPr>
                <w:sz w:val="20"/>
              </w:rPr>
            </w:pPr>
            <w:r>
              <w:rPr>
                <w:sz w:val="20"/>
              </w:rPr>
              <w:t>8.18E-05</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43"/>
              <w:ind w:left="266" w:right="235"/>
              <w:rPr>
                <w:sz w:val="20"/>
              </w:rPr>
            </w:pPr>
            <w:r>
              <w:rPr>
                <w:sz w:val="20"/>
              </w:rPr>
              <w:t>2.98E-04</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602" w:right="570"/>
              <w:rPr>
                <w:sz w:val="20"/>
              </w:rPr>
            </w:pPr>
            <w:r>
              <w:rPr>
                <w:sz w:val="20"/>
              </w:rPr>
              <w:t>4.9</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3"/>
              <w:ind w:left="34"/>
              <w:rPr>
                <w:sz w:val="20"/>
              </w:rPr>
            </w:pPr>
            <w:r>
              <w:rPr>
                <w:w w:val="99"/>
                <w:sz w:val="20"/>
              </w:rPr>
              <w:t>/</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tcBorders>
              <w:top w:val="nil"/>
              <w:left w:val="single" w:sz="6" w:space="0" w:color="000000"/>
              <w:bottom w:val="single" w:sz="6" w:space="0" w:color="000000"/>
              <w:right w:val="single" w:sz="6" w:space="0" w:color="000000"/>
            </w:tcBorders>
          </w:tcPr>
          <w:p>
            <w:pPr>
              <w:rPr>
                <w:sz w:val="2"/>
                <w:szCs w:val="2"/>
              </w:rPr>
            </w:pPr>
          </w:p>
        </w:tc>
        <w:tc>
          <w:tcPr>
            <w:tcW w:w="1095" w:type="dxa"/>
            <w:vMerge/>
            <w:tcBorders>
              <w:top w:val="nil"/>
              <w:left w:val="single" w:sz="6" w:space="0" w:color="000000"/>
              <w:bottom w:val="single" w:sz="6" w:space="0" w:color="000000"/>
              <w:right w:val="single" w:sz="6" w:space="0" w:color="000000"/>
            </w:tcBorders>
          </w:tcPr>
          <w:p>
            <w:pPr>
              <w:rPr>
                <w:sz w:val="2"/>
                <w:szCs w:val="2"/>
              </w:rPr>
            </w:pP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130" w:right="106"/>
              <w:rPr>
                <w:sz w:val="20"/>
              </w:rPr>
            </w:pPr>
            <w:r>
              <w:rPr>
                <w:position w:val="2"/>
                <w:sz w:val="20"/>
              </w:rPr>
              <w:t>H</w:t>
            </w:r>
            <w:r>
              <w:rPr>
                <w:sz w:val="13"/>
              </w:rPr>
              <w:t>2</w:t>
            </w:r>
            <w:r>
              <w:rPr>
                <w:position w:val="2"/>
                <w:sz w:val="20"/>
              </w:rPr>
              <w:t>S</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85" w:right="461"/>
              <w:rPr>
                <w:sz w:val="20"/>
              </w:rPr>
            </w:pPr>
            <w:r>
              <w:rPr>
                <w:sz w:val="20"/>
              </w:rPr>
              <w:t>0.002</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55"/>
              <w:jc w:val="left"/>
              <w:rPr>
                <w:sz w:val="20"/>
              </w:rPr>
            </w:pPr>
            <w:r>
              <w:rPr>
                <w:sz w:val="20"/>
              </w:rPr>
              <w:t>9.81E-07</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41"/>
              <w:ind w:left="266" w:right="235"/>
              <w:rPr>
                <w:sz w:val="20"/>
              </w:rPr>
            </w:pPr>
            <w:r>
              <w:rPr>
                <w:sz w:val="20"/>
              </w:rPr>
              <w:t>3.58E-06</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602" w:right="570"/>
              <w:rPr>
                <w:sz w:val="20"/>
              </w:rPr>
            </w:pPr>
            <w:r>
              <w:rPr>
                <w:sz w:val="20"/>
              </w:rPr>
              <w:t>0.33</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1"/>
              <w:ind w:left="34"/>
              <w:rPr>
                <w:sz w:val="20"/>
              </w:rPr>
            </w:pPr>
            <w:r>
              <w:rPr>
                <w:w w:val="99"/>
                <w:sz w:val="20"/>
              </w:rPr>
              <w:t>/</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6"/>
              </w:rPr>
            </w:pPr>
          </w:p>
          <w:p>
            <w:pPr>
              <w:pStyle w:val="TableParagraph"/>
              <w:spacing w:before="1"/>
              <w:ind w:left="462"/>
              <w:jc w:val="left"/>
              <w:rPr>
                <w:rFonts w:ascii="宋体" w:eastAsia="宋体" w:hint="eastAsia"/>
                <w:sz w:val="20"/>
              </w:rPr>
            </w:pPr>
            <w:r>
              <w:rPr>
                <w:rFonts w:ascii="宋体" w:eastAsia="宋体" w:hint="eastAsia"/>
                <w:sz w:val="20"/>
              </w:rPr>
              <w:t>沼气锅炉</w:t>
            </w:r>
          </w:p>
        </w:tc>
        <w:tc>
          <w:tcPr>
            <w:tcW w:w="109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7"/>
              </w:rPr>
            </w:pPr>
          </w:p>
          <w:p>
            <w:pPr>
              <w:pStyle w:val="TableParagraph"/>
              <w:spacing w:before="0"/>
              <w:ind w:left="258"/>
              <w:jc w:val="left"/>
              <w:rPr>
                <w:sz w:val="20"/>
              </w:rPr>
            </w:pPr>
            <w:r>
              <w:rPr>
                <w:sz w:val="20"/>
              </w:rPr>
              <w:t>DA004</w:t>
            </w: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130" w:right="106"/>
              <w:rPr>
                <w:sz w:val="13"/>
              </w:rPr>
            </w:pPr>
            <w:r>
              <w:rPr>
                <w:position w:val="2"/>
                <w:sz w:val="20"/>
              </w:rPr>
              <w:t>SO</w:t>
            </w:r>
            <w:r>
              <w:rPr>
                <w:sz w:val="13"/>
              </w:rPr>
              <w:t>2</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85" w:right="461"/>
              <w:rPr>
                <w:sz w:val="20"/>
              </w:rPr>
            </w:pPr>
            <w:r>
              <w:rPr>
                <w:sz w:val="20"/>
              </w:rPr>
              <w:t>3.55</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349"/>
              <w:jc w:val="left"/>
              <w:rPr>
                <w:sz w:val="20"/>
              </w:rPr>
            </w:pPr>
            <w:r>
              <w:rPr>
                <w:sz w:val="20"/>
              </w:rPr>
              <w:t>0.0044</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41"/>
              <w:ind w:left="257" w:right="235"/>
              <w:rPr>
                <w:sz w:val="20"/>
              </w:rPr>
            </w:pPr>
            <w:r>
              <w:rPr>
                <w:sz w:val="20"/>
              </w:rPr>
              <w:t>0.011</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9"/>
              <w:rPr>
                <w:sz w:val="20"/>
              </w:rPr>
            </w:pPr>
            <w:r>
              <w:rPr>
                <w:w w:val="99"/>
                <w:sz w:val="20"/>
              </w:rPr>
              <w:t>/</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1"/>
              <w:ind w:right="551"/>
              <w:jc w:val="right"/>
              <w:rPr>
                <w:sz w:val="20"/>
              </w:rPr>
            </w:pPr>
            <w:r>
              <w:rPr>
                <w:sz w:val="20"/>
              </w:rPr>
              <w:t>50</w:t>
            </w:r>
          </w:p>
        </w:tc>
        <w:tc>
          <w:tcPr>
            <w:tcW w:w="1895" w:type="dxa"/>
            <w:vMerge/>
            <w:tcBorders>
              <w:top w:val="nil"/>
              <w:left w:val="single" w:sz="6" w:space="0" w:color="000000"/>
              <w:bottom w:val="single" w:sz="6" w:space="0" w:color="000000"/>
            </w:tcBorders>
          </w:tcPr>
          <w:p>
            <w:pPr>
              <w:rPr>
                <w:sz w:val="2"/>
                <w:szCs w:val="2"/>
              </w:rPr>
            </w:pPr>
          </w:p>
        </w:tc>
      </w:tr>
      <w:tr>
        <w:trPr>
          <w:trHeight w:val="312"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tcBorders>
              <w:top w:val="nil"/>
              <w:left w:val="single" w:sz="6" w:space="0" w:color="000000"/>
              <w:bottom w:val="single" w:sz="6" w:space="0" w:color="000000"/>
              <w:right w:val="single" w:sz="6" w:space="0" w:color="000000"/>
            </w:tcBorders>
          </w:tcPr>
          <w:p>
            <w:pPr>
              <w:rPr>
                <w:sz w:val="2"/>
                <w:szCs w:val="2"/>
              </w:rPr>
            </w:pPr>
          </w:p>
        </w:tc>
        <w:tc>
          <w:tcPr>
            <w:tcW w:w="1095" w:type="dxa"/>
            <w:vMerge/>
            <w:tcBorders>
              <w:top w:val="nil"/>
              <w:left w:val="single" w:sz="6" w:space="0" w:color="000000"/>
              <w:bottom w:val="single" w:sz="6" w:space="0" w:color="000000"/>
              <w:right w:val="single" w:sz="6" w:space="0" w:color="000000"/>
            </w:tcBorders>
          </w:tcPr>
          <w:p>
            <w:pPr>
              <w:rPr>
                <w:sz w:val="2"/>
                <w:szCs w:val="2"/>
              </w:rPr>
            </w:pP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394"/>
              <w:jc w:val="left"/>
              <w:rPr>
                <w:sz w:val="13"/>
              </w:rPr>
            </w:pPr>
            <w:r>
              <w:rPr>
                <w:position w:val="2"/>
                <w:sz w:val="20"/>
              </w:rPr>
              <w:t>NO</w:t>
            </w:r>
            <w:r>
              <w:rPr>
                <w:sz w:val="13"/>
              </w:rPr>
              <w:t>x</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485" w:right="456"/>
              <w:rPr>
                <w:sz w:val="20"/>
              </w:rPr>
            </w:pPr>
            <w:r>
              <w:rPr>
                <w:sz w:val="20"/>
              </w:rPr>
              <w:t>150</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349"/>
              <w:jc w:val="left"/>
              <w:rPr>
                <w:sz w:val="20"/>
              </w:rPr>
            </w:pPr>
            <w:r>
              <w:rPr>
                <w:sz w:val="20"/>
              </w:rPr>
              <w:t>0.1870</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41"/>
              <w:ind w:left="266" w:right="235"/>
              <w:rPr>
                <w:sz w:val="20"/>
              </w:rPr>
            </w:pPr>
            <w:r>
              <w:rPr>
                <w:sz w:val="20"/>
              </w:rPr>
              <w:t>0.478</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9"/>
              <w:rPr>
                <w:sz w:val="20"/>
              </w:rPr>
            </w:pPr>
            <w:r>
              <w:rPr>
                <w:w w:val="99"/>
                <w:sz w:val="20"/>
              </w:rPr>
              <w:t>/</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1"/>
              <w:ind w:right="500"/>
              <w:jc w:val="right"/>
              <w:rPr>
                <w:sz w:val="20"/>
              </w:rPr>
            </w:pPr>
            <w:r>
              <w:rPr>
                <w:sz w:val="20"/>
              </w:rPr>
              <w:t>150</w:t>
            </w:r>
          </w:p>
        </w:tc>
        <w:tc>
          <w:tcPr>
            <w:tcW w:w="1895" w:type="dxa"/>
            <w:vMerge/>
            <w:tcBorders>
              <w:top w:val="nil"/>
              <w:left w:val="single" w:sz="6" w:space="0" w:color="000000"/>
              <w:bottom w:val="single" w:sz="6" w:space="0" w:color="000000"/>
            </w:tcBorders>
          </w:tcPr>
          <w:p>
            <w:pPr>
              <w:rPr>
                <w:sz w:val="2"/>
                <w:szCs w:val="2"/>
              </w:rPr>
            </w:pPr>
          </w:p>
        </w:tc>
      </w:tr>
      <w:tr>
        <w:trPr>
          <w:trHeight w:val="313"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6"/>
              </w:rPr>
            </w:pPr>
          </w:p>
          <w:p>
            <w:pPr>
              <w:pStyle w:val="TableParagraph"/>
              <w:spacing w:before="0"/>
              <w:ind w:left="140" w:right="118"/>
              <w:rPr>
                <w:rFonts w:ascii="宋体" w:eastAsia="宋体" w:hint="eastAsia"/>
                <w:sz w:val="20"/>
              </w:rPr>
            </w:pPr>
            <w:r>
              <w:rPr>
                <w:rFonts w:ascii="宋体" w:eastAsia="宋体" w:hint="eastAsia"/>
                <w:sz w:val="20"/>
              </w:rPr>
              <w:t>猪舍</w:t>
            </w:r>
          </w:p>
        </w:tc>
        <w:tc>
          <w:tcPr>
            <w:tcW w:w="109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sz w:val="17"/>
              </w:rPr>
            </w:pPr>
          </w:p>
          <w:p>
            <w:pPr>
              <w:pStyle w:val="TableParagraph"/>
              <w:spacing w:before="0"/>
              <w:ind w:left="24"/>
              <w:rPr>
                <w:sz w:val="20"/>
              </w:rPr>
            </w:pPr>
            <w:r>
              <w:rPr>
                <w:w w:val="99"/>
                <w:sz w:val="20"/>
              </w:rPr>
              <w:t>/</w:t>
            </w: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0"/>
              <w:ind w:left="394"/>
              <w:jc w:val="left"/>
              <w:rPr>
                <w:sz w:val="13"/>
              </w:rPr>
            </w:pPr>
            <w:r>
              <w:rPr>
                <w:position w:val="2"/>
                <w:sz w:val="20"/>
              </w:rPr>
              <w:t>NH</w:t>
            </w:r>
            <w:r>
              <w:rPr>
                <w:sz w:val="13"/>
              </w:rPr>
              <w:t>3</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6"/>
              <w:rPr>
                <w:sz w:val="20"/>
              </w:rPr>
            </w:pPr>
            <w:r>
              <w:rPr>
                <w:w w:val="99"/>
                <w:sz w:val="20"/>
              </w:rPr>
              <w:t>/</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349"/>
              <w:jc w:val="left"/>
              <w:rPr>
                <w:sz w:val="20"/>
              </w:rPr>
            </w:pPr>
            <w:r>
              <w:rPr>
                <w:sz w:val="20"/>
              </w:rPr>
              <w:t>0.3480</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41"/>
              <w:ind w:left="264" w:right="235"/>
              <w:rPr>
                <w:sz w:val="20"/>
              </w:rPr>
            </w:pPr>
            <w:r>
              <w:rPr>
                <w:sz w:val="20"/>
              </w:rPr>
              <w:t>2.305</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29"/>
              <w:rPr>
                <w:sz w:val="20"/>
              </w:rPr>
            </w:pPr>
            <w:r>
              <w:rPr>
                <w:w w:val="99"/>
                <w:sz w:val="20"/>
              </w:rPr>
              <w:t>/</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3"/>
              <w:ind w:right="528"/>
              <w:jc w:val="right"/>
              <w:rPr>
                <w:sz w:val="20"/>
              </w:rPr>
            </w:pPr>
            <w:r>
              <w:rPr>
                <w:sz w:val="20"/>
              </w:rPr>
              <w:t>1.5</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tcBorders>
              <w:top w:val="nil"/>
              <w:left w:val="single" w:sz="6" w:space="0" w:color="000000"/>
              <w:bottom w:val="single" w:sz="6" w:space="0" w:color="000000"/>
              <w:right w:val="single" w:sz="6" w:space="0" w:color="000000"/>
            </w:tcBorders>
          </w:tcPr>
          <w:p>
            <w:pPr>
              <w:rPr>
                <w:sz w:val="2"/>
                <w:szCs w:val="2"/>
              </w:rPr>
            </w:pPr>
          </w:p>
        </w:tc>
        <w:tc>
          <w:tcPr>
            <w:tcW w:w="1095" w:type="dxa"/>
            <w:vMerge/>
            <w:tcBorders>
              <w:top w:val="nil"/>
              <w:left w:val="single" w:sz="6" w:space="0" w:color="000000"/>
              <w:bottom w:val="single" w:sz="6" w:space="0" w:color="000000"/>
              <w:right w:val="single" w:sz="6" w:space="0" w:color="000000"/>
            </w:tcBorders>
          </w:tcPr>
          <w:p>
            <w:pPr>
              <w:rPr>
                <w:sz w:val="2"/>
                <w:szCs w:val="2"/>
              </w:rPr>
            </w:pP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130" w:right="106"/>
              <w:rPr>
                <w:sz w:val="20"/>
              </w:rPr>
            </w:pPr>
            <w:r>
              <w:rPr>
                <w:position w:val="2"/>
                <w:sz w:val="20"/>
              </w:rPr>
              <w:t>H</w:t>
            </w:r>
            <w:r>
              <w:rPr>
                <w:sz w:val="13"/>
              </w:rPr>
              <w:t>2</w:t>
            </w:r>
            <w:r>
              <w:rPr>
                <w:position w:val="2"/>
                <w:sz w:val="20"/>
              </w:rPr>
              <w:t>S</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6"/>
              <w:rPr>
                <w:sz w:val="20"/>
              </w:rPr>
            </w:pPr>
            <w:r>
              <w:rPr>
                <w:w w:val="99"/>
                <w:sz w:val="20"/>
              </w:rPr>
              <w:t>/</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349"/>
              <w:jc w:val="left"/>
              <w:rPr>
                <w:sz w:val="20"/>
              </w:rPr>
            </w:pPr>
            <w:r>
              <w:rPr>
                <w:sz w:val="20"/>
              </w:rPr>
              <w:t>0.0520</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38"/>
              <w:ind w:left="264" w:right="235"/>
              <w:rPr>
                <w:sz w:val="20"/>
              </w:rPr>
            </w:pPr>
            <w:r>
              <w:rPr>
                <w:sz w:val="20"/>
              </w:rPr>
              <w:t>0.344</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9"/>
              <w:rPr>
                <w:sz w:val="20"/>
              </w:rPr>
            </w:pPr>
            <w:r>
              <w:rPr>
                <w:w w:val="99"/>
                <w:sz w:val="20"/>
              </w:rPr>
              <w:t>/</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1"/>
              <w:ind w:right="478"/>
              <w:jc w:val="right"/>
              <w:rPr>
                <w:sz w:val="20"/>
              </w:rPr>
            </w:pPr>
            <w:r>
              <w:rPr>
                <w:sz w:val="20"/>
              </w:rPr>
              <w:t>0.06</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6"/>
              </w:rPr>
            </w:pPr>
          </w:p>
          <w:p>
            <w:pPr>
              <w:pStyle w:val="TableParagraph"/>
              <w:spacing w:before="1"/>
              <w:ind w:left="462"/>
              <w:jc w:val="left"/>
              <w:rPr>
                <w:rFonts w:ascii="宋体" w:eastAsia="宋体" w:hint="eastAsia"/>
                <w:sz w:val="20"/>
              </w:rPr>
            </w:pPr>
            <w:r>
              <w:rPr>
                <w:rFonts w:ascii="宋体" w:eastAsia="宋体" w:hint="eastAsia"/>
                <w:sz w:val="20"/>
              </w:rPr>
              <w:t>粪污处理</w:t>
            </w:r>
          </w:p>
        </w:tc>
        <w:tc>
          <w:tcPr>
            <w:tcW w:w="109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17"/>
              </w:rPr>
            </w:pPr>
          </w:p>
          <w:p>
            <w:pPr>
              <w:pStyle w:val="TableParagraph"/>
              <w:spacing w:before="0"/>
              <w:ind w:left="24"/>
              <w:rPr>
                <w:sz w:val="20"/>
              </w:rPr>
            </w:pPr>
            <w:r>
              <w:rPr>
                <w:w w:val="99"/>
                <w:sz w:val="20"/>
              </w:rPr>
              <w:t>/</w:t>
            </w: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394"/>
              <w:jc w:val="left"/>
              <w:rPr>
                <w:sz w:val="13"/>
              </w:rPr>
            </w:pPr>
            <w:r>
              <w:rPr>
                <w:position w:val="2"/>
                <w:sz w:val="20"/>
              </w:rPr>
              <w:t>NH</w:t>
            </w:r>
            <w:r>
              <w:rPr>
                <w:sz w:val="13"/>
              </w:rPr>
              <w:t>3</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6"/>
              <w:rPr>
                <w:sz w:val="20"/>
              </w:rPr>
            </w:pPr>
            <w:r>
              <w:rPr>
                <w:w w:val="99"/>
                <w:sz w:val="20"/>
              </w:rPr>
              <w:t>/</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349"/>
              <w:jc w:val="left"/>
              <w:rPr>
                <w:sz w:val="20"/>
              </w:rPr>
            </w:pPr>
            <w:r>
              <w:rPr>
                <w:sz w:val="20"/>
              </w:rPr>
              <w:t>0.1099</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38"/>
              <w:ind w:left="264" w:right="235"/>
              <w:rPr>
                <w:sz w:val="20"/>
              </w:rPr>
            </w:pPr>
            <w:r>
              <w:rPr>
                <w:sz w:val="20"/>
              </w:rPr>
              <w:t>0.962</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9"/>
              <w:rPr>
                <w:sz w:val="20"/>
              </w:rPr>
            </w:pPr>
            <w:r>
              <w:rPr>
                <w:w w:val="99"/>
                <w:sz w:val="20"/>
              </w:rPr>
              <w:t>/</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1"/>
              <w:ind w:right="528"/>
              <w:jc w:val="right"/>
              <w:rPr>
                <w:sz w:val="20"/>
              </w:rPr>
            </w:pPr>
            <w:r>
              <w:rPr>
                <w:sz w:val="20"/>
              </w:rPr>
              <w:t>1.5</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vMerge/>
            <w:tcBorders>
              <w:top w:val="nil"/>
              <w:left w:val="single" w:sz="6" w:space="0" w:color="000000"/>
              <w:bottom w:val="single" w:sz="6" w:space="0" w:color="000000"/>
              <w:right w:val="single" w:sz="6" w:space="0" w:color="000000"/>
            </w:tcBorders>
          </w:tcPr>
          <w:p>
            <w:pPr>
              <w:rPr>
                <w:sz w:val="2"/>
                <w:szCs w:val="2"/>
              </w:rPr>
            </w:pPr>
          </w:p>
        </w:tc>
        <w:tc>
          <w:tcPr>
            <w:tcW w:w="1095" w:type="dxa"/>
            <w:vMerge/>
            <w:tcBorders>
              <w:top w:val="nil"/>
              <w:left w:val="single" w:sz="6" w:space="0" w:color="000000"/>
              <w:bottom w:val="single" w:sz="6" w:space="0" w:color="000000"/>
              <w:right w:val="single" w:sz="6" w:space="0" w:color="000000"/>
            </w:tcBorders>
          </w:tcPr>
          <w:p>
            <w:pPr>
              <w:rPr>
                <w:sz w:val="2"/>
                <w:szCs w:val="2"/>
              </w:rPr>
            </w:pPr>
          </w:p>
        </w:tc>
        <w:tc>
          <w:tcPr>
            <w:tcW w:w="113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130" w:right="106"/>
              <w:rPr>
                <w:sz w:val="20"/>
              </w:rPr>
            </w:pPr>
            <w:r>
              <w:rPr>
                <w:position w:val="2"/>
                <w:sz w:val="20"/>
              </w:rPr>
              <w:t>H</w:t>
            </w:r>
            <w:r>
              <w:rPr>
                <w:sz w:val="13"/>
              </w:rPr>
              <w:t>2</w:t>
            </w:r>
            <w:r>
              <w:rPr>
                <w:position w:val="2"/>
                <w:sz w:val="20"/>
              </w:rPr>
              <w:t>S</w:t>
            </w:r>
          </w:p>
        </w:tc>
        <w:tc>
          <w:tcPr>
            <w:tcW w:w="145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6"/>
              <w:rPr>
                <w:sz w:val="20"/>
              </w:rPr>
            </w:pPr>
            <w:r>
              <w:rPr>
                <w:w w:val="99"/>
                <w:sz w:val="20"/>
              </w:rPr>
              <w:t>/</w:t>
            </w:r>
          </w:p>
        </w:tc>
        <w:tc>
          <w:tcPr>
            <w:tcW w:w="123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349"/>
              <w:jc w:val="left"/>
              <w:rPr>
                <w:sz w:val="20"/>
              </w:rPr>
            </w:pPr>
            <w:r>
              <w:rPr>
                <w:sz w:val="20"/>
              </w:rPr>
              <w:t>0.0008</w:t>
            </w:r>
          </w:p>
        </w:tc>
        <w:tc>
          <w:tcPr>
            <w:tcW w:w="1295" w:type="dxa"/>
            <w:tcBorders>
              <w:top w:val="single" w:sz="6" w:space="0" w:color="000000"/>
              <w:left w:val="single" w:sz="6" w:space="0" w:color="000000"/>
              <w:bottom w:val="single" w:sz="6" w:space="0" w:color="000000"/>
              <w:right w:val="single" w:sz="6" w:space="0" w:color="000000"/>
            </w:tcBorders>
          </w:tcPr>
          <w:p>
            <w:pPr>
              <w:pStyle w:val="TableParagraph"/>
              <w:spacing w:before="38"/>
              <w:ind w:left="264" w:right="235"/>
              <w:rPr>
                <w:sz w:val="20"/>
              </w:rPr>
            </w:pPr>
            <w:r>
              <w:rPr>
                <w:sz w:val="20"/>
              </w:rPr>
              <w:t>0.007</w:t>
            </w:r>
          </w:p>
        </w:tc>
        <w:tc>
          <w:tcPr>
            <w:tcW w:w="157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29"/>
              <w:rPr>
                <w:sz w:val="20"/>
              </w:rPr>
            </w:pPr>
            <w:r>
              <w:rPr>
                <w:w w:val="99"/>
                <w:sz w:val="20"/>
              </w:rPr>
              <w:t>/</w:t>
            </w:r>
          </w:p>
        </w:tc>
        <w:tc>
          <w:tcPr>
            <w:tcW w:w="1360" w:type="dxa"/>
            <w:tcBorders>
              <w:top w:val="single" w:sz="6" w:space="0" w:color="000000"/>
              <w:left w:val="single" w:sz="6" w:space="0" w:color="000000"/>
              <w:bottom w:val="single" w:sz="6" w:space="0" w:color="000000"/>
              <w:right w:val="single" w:sz="6" w:space="0" w:color="000000"/>
            </w:tcBorders>
          </w:tcPr>
          <w:p>
            <w:pPr>
              <w:pStyle w:val="TableParagraph"/>
              <w:spacing w:before="41"/>
              <w:ind w:right="478"/>
              <w:jc w:val="right"/>
              <w:rPr>
                <w:sz w:val="20"/>
              </w:rPr>
            </w:pPr>
            <w:r>
              <w:rPr>
                <w:sz w:val="20"/>
              </w:rPr>
              <w:t>0.06</w:t>
            </w:r>
          </w:p>
        </w:tc>
        <w:tc>
          <w:tcPr>
            <w:tcW w:w="1895" w:type="dxa"/>
            <w:vMerge/>
            <w:tcBorders>
              <w:top w:val="nil"/>
              <w:left w:val="single" w:sz="6" w:space="0" w:color="000000"/>
              <w:bottom w:val="single" w:sz="6" w:space="0" w:color="000000"/>
            </w:tcBorders>
          </w:tcPr>
          <w:p>
            <w:pPr>
              <w:rPr>
                <w:sz w:val="2"/>
                <w:szCs w:val="2"/>
              </w:rPr>
            </w:pPr>
          </w:p>
        </w:tc>
      </w:tr>
      <w:tr>
        <w:trPr>
          <w:trHeight w:val="313" w:hRule="atLeast"/>
        </w:trPr>
        <w:tc>
          <w:tcPr>
            <w:tcW w:w="735" w:type="dxa"/>
            <w:vMerge w:val="restart"/>
            <w:tcBorders>
              <w:top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5"/>
              <w:jc w:val="left"/>
              <w:rPr>
                <w:sz w:val="21"/>
              </w:rPr>
            </w:pPr>
          </w:p>
          <w:p>
            <w:pPr>
              <w:pStyle w:val="TableParagraph"/>
              <w:spacing w:line="292" w:lineRule="auto" w:before="1"/>
              <w:ind w:left="165" w:right="147"/>
              <w:jc w:val="both"/>
              <w:rPr>
                <w:rFonts w:ascii="宋体" w:eastAsia="宋体" w:hint="eastAsia"/>
                <w:sz w:val="20"/>
              </w:rPr>
            </w:pPr>
            <w:r>
              <w:rPr>
                <w:rFonts w:ascii="宋体" w:eastAsia="宋体" w:hint="eastAsia"/>
                <w:sz w:val="20"/>
              </w:rPr>
              <w:t>固废处置利用要求</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30"/>
              <w:ind w:left="125" w:right="97"/>
              <w:rPr>
                <w:rFonts w:ascii="宋体" w:eastAsia="宋体" w:hint="eastAsia"/>
                <w:sz w:val="20"/>
              </w:rPr>
            </w:pPr>
            <w:r>
              <w:rPr>
                <w:rFonts w:ascii="宋体" w:eastAsia="宋体" w:hint="eastAsia"/>
                <w:sz w:val="20"/>
              </w:rPr>
              <w:t>序号</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30"/>
              <w:ind w:left="140" w:right="118"/>
              <w:rPr>
                <w:rFonts w:ascii="宋体" w:eastAsia="宋体" w:hint="eastAsia"/>
                <w:sz w:val="20"/>
              </w:rPr>
            </w:pPr>
            <w:r>
              <w:rPr>
                <w:rFonts w:ascii="宋体" w:eastAsia="宋体" w:hint="eastAsia"/>
                <w:sz w:val="20"/>
              </w:rPr>
              <w:t>固废名称</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363"/>
              <w:jc w:val="left"/>
              <w:rPr>
                <w:rFonts w:ascii="宋体" w:eastAsia="宋体" w:hint="eastAsia"/>
                <w:sz w:val="20"/>
              </w:rPr>
            </w:pPr>
            <w:r>
              <w:rPr>
                <w:rFonts w:ascii="宋体" w:eastAsia="宋体" w:hint="eastAsia"/>
                <w:sz w:val="20"/>
              </w:rPr>
              <w:t>产生工序</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114"/>
              <w:jc w:val="left"/>
              <w:rPr>
                <w:rFonts w:ascii="宋体" w:eastAsia="宋体" w:hint="eastAsia"/>
                <w:sz w:val="20"/>
              </w:rPr>
            </w:pPr>
            <w:r>
              <w:rPr>
                <w:rFonts w:ascii="宋体" w:eastAsia="宋体" w:hint="eastAsia"/>
                <w:sz w:val="20"/>
              </w:rPr>
              <w:t>产生量（</w:t>
            </w:r>
            <w:r>
              <w:rPr>
                <w:sz w:val="20"/>
              </w:rPr>
              <w:t>t/a</w:t>
            </w:r>
            <w:r>
              <w:rPr>
                <w:rFonts w:ascii="宋体" w:eastAsia="宋体" w:hint="eastAsia"/>
                <w:sz w:val="20"/>
              </w:rPr>
              <w:t>）</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385"/>
              <w:jc w:val="left"/>
              <w:rPr>
                <w:rFonts w:ascii="宋体" w:eastAsia="宋体" w:hint="eastAsia"/>
                <w:sz w:val="20"/>
              </w:rPr>
            </w:pPr>
            <w:r>
              <w:rPr>
                <w:rFonts w:ascii="宋体" w:eastAsia="宋体" w:hint="eastAsia"/>
                <w:sz w:val="20"/>
              </w:rPr>
              <w:t>属性</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671"/>
              <w:jc w:val="left"/>
              <w:rPr>
                <w:rFonts w:ascii="宋体" w:eastAsia="宋体" w:hint="eastAsia"/>
                <w:sz w:val="20"/>
              </w:rPr>
            </w:pPr>
            <w:r>
              <w:rPr>
                <w:rFonts w:ascii="宋体" w:eastAsia="宋体" w:hint="eastAsia"/>
                <w:sz w:val="20"/>
              </w:rPr>
              <w:t>废物代码</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0"/>
              <w:ind w:left="876"/>
              <w:jc w:val="left"/>
              <w:rPr>
                <w:rFonts w:ascii="宋体" w:eastAsia="宋体" w:hint="eastAsia"/>
                <w:sz w:val="20"/>
              </w:rPr>
            </w:pPr>
            <w:r>
              <w:rPr>
                <w:rFonts w:ascii="宋体" w:eastAsia="宋体" w:hint="eastAsia"/>
                <w:sz w:val="20"/>
              </w:rPr>
              <w:t>利用处置要求</w:t>
            </w:r>
          </w:p>
        </w:tc>
        <w:tc>
          <w:tcPr>
            <w:tcW w:w="1895" w:type="dxa"/>
            <w:tcBorders>
              <w:top w:val="single" w:sz="6" w:space="0" w:color="000000"/>
              <w:left w:val="single" w:sz="6" w:space="0" w:color="000000"/>
              <w:bottom w:val="single" w:sz="6" w:space="0" w:color="000000"/>
            </w:tcBorders>
          </w:tcPr>
          <w:p>
            <w:pPr>
              <w:pStyle w:val="TableParagraph"/>
              <w:spacing w:before="30"/>
              <w:ind w:left="156"/>
              <w:jc w:val="left"/>
              <w:rPr>
                <w:rFonts w:ascii="宋体" w:eastAsia="宋体" w:hint="eastAsia"/>
                <w:sz w:val="20"/>
              </w:rPr>
            </w:pPr>
            <w:r>
              <w:rPr>
                <w:rFonts w:ascii="宋体" w:eastAsia="宋体" w:hint="eastAsia"/>
                <w:sz w:val="20"/>
              </w:rPr>
              <w:t>是否符合环保要求</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sz w:val="20"/>
              </w:rPr>
            </w:pPr>
            <w:r>
              <w:rPr>
                <w:w w:val="99"/>
                <w:sz w:val="20"/>
              </w:rPr>
              <w:t>1</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7"/>
              <w:ind w:left="140" w:right="118"/>
              <w:rPr>
                <w:rFonts w:ascii="宋体" w:eastAsia="宋体" w:hint="eastAsia"/>
                <w:sz w:val="20"/>
              </w:rPr>
            </w:pPr>
            <w:r>
              <w:rPr>
                <w:rFonts w:ascii="宋体" w:eastAsia="宋体" w:hint="eastAsia"/>
                <w:sz w:val="20"/>
              </w:rPr>
              <w:t>发酵产物</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62"/>
              <w:jc w:val="left"/>
              <w:rPr>
                <w:rFonts w:ascii="宋体" w:eastAsia="宋体" w:hint="eastAsia"/>
                <w:sz w:val="20"/>
              </w:rPr>
            </w:pPr>
            <w:r>
              <w:rPr>
                <w:rFonts w:ascii="宋体" w:eastAsia="宋体" w:hint="eastAsia"/>
                <w:sz w:val="20"/>
              </w:rPr>
              <w:t>猪粪发酵罐</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382"/>
              <w:jc w:val="left"/>
              <w:rPr>
                <w:sz w:val="20"/>
              </w:rPr>
            </w:pPr>
            <w:r>
              <w:rPr>
                <w:sz w:val="20"/>
              </w:rPr>
              <w:t>22695.0</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185"/>
              <w:jc w:val="left"/>
              <w:rPr>
                <w:rFonts w:ascii="宋体" w:eastAsia="宋体" w:hint="eastAsia"/>
                <w:sz w:val="20"/>
              </w:rPr>
            </w:pPr>
            <w:r>
              <w:rPr>
                <w:rFonts w:ascii="宋体" w:eastAsia="宋体" w:hint="eastAsia"/>
                <w:sz w:val="20"/>
              </w:rPr>
              <w:t>一般废物</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604"/>
              <w:jc w:val="left"/>
              <w:rPr>
                <w:sz w:val="20"/>
              </w:rPr>
            </w:pPr>
            <w:r>
              <w:rPr>
                <w:sz w:val="20"/>
              </w:rPr>
              <w:t>030-001-33</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178"/>
              <w:jc w:val="left"/>
              <w:rPr>
                <w:rFonts w:ascii="宋体" w:eastAsia="宋体" w:hint="eastAsia"/>
                <w:sz w:val="20"/>
              </w:rPr>
            </w:pPr>
            <w:r>
              <w:rPr>
                <w:rFonts w:ascii="宋体" w:eastAsia="宋体" w:hint="eastAsia"/>
                <w:sz w:val="20"/>
              </w:rPr>
              <w:t>外运至第三方企业生产有机肥</w:t>
            </w:r>
          </w:p>
        </w:tc>
        <w:tc>
          <w:tcPr>
            <w:tcW w:w="1895" w:type="dxa"/>
            <w:vMerge w:val="restart"/>
            <w:tcBorders>
              <w:top w:val="single" w:sz="6" w:space="0" w:color="000000"/>
              <w:left w:val="single" w:sz="6" w:space="0" w:color="000000"/>
              <w:bottom w:val="single" w:sz="6"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0"/>
              <w:jc w:val="left"/>
              <w:rPr>
                <w:sz w:val="20"/>
              </w:rPr>
            </w:pPr>
          </w:p>
          <w:p>
            <w:pPr>
              <w:pStyle w:val="TableParagraph"/>
              <w:spacing w:before="9"/>
              <w:jc w:val="left"/>
              <w:rPr>
                <w:sz w:val="27"/>
              </w:rPr>
            </w:pPr>
          </w:p>
          <w:p>
            <w:pPr>
              <w:pStyle w:val="TableParagraph"/>
              <w:spacing w:before="0"/>
              <w:ind w:left="41"/>
              <w:rPr>
                <w:rFonts w:ascii="宋体" w:eastAsia="宋体" w:hint="eastAsia"/>
                <w:sz w:val="20"/>
              </w:rPr>
            </w:pPr>
            <w:r>
              <w:rPr>
                <w:rFonts w:ascii="宋体" w:eastAsia="宋体" w:hint="eastAsia"/>
                <w:w w:val="99"/>
                <w:sz w:val="20"/>
              </w:rPr>
              <w:t>是</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sz w:val="20"/>
              </w:rPr>
            </w:pPr>
            <w:r>
              <w:rPr>
                <w:w w:val="99"/>
                <w:sz w:val="20"/>
              </w:rPr>
              <w:t>2</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8"/>
              <w:ind w:left="138" w:right="118"/>
              <w:rPr>
                <w:rFonts w:ascii="宋体" w:eastAsia="宋体" w:hint="eastAsia"/>
                <w:sz w:val="20"/>
              </w:rPr>
            </w:pPr>
            <w:r>
              <w:rPr>
                <w:rFonts w:ascii="宋体" w:eastAsia="宋体" w:hint="eastAsia"/>
                <w:sz w:val="20"/>
              </w:rPr>
              <w:t>一般废包装物</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8"/>
              <w:ind w:left="164"/>
              <w:jc w:val="left"/>
              <w:rPr>
                <w:rFonts w:ascii="宋体" w:eastAsia="宋体" w:hint="eastAsia"/>
                <w:sz w:val="20"/>
              </w:rPr>
            </w:pPr>
            <w:r>
              <w:rPr>
                <w:rFonts w:ascii="宋体" w:eastAsia="宋体" w:hint="eastAsia"/>
                <w:sz w:val="20"/>
              </w:rPr>
              <w:t>非危化品包装</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9"/>
              <w:ind w:left="514" w:right="489"/>
              <w:rPr>
                <w:sz w:val="20"/>
              </w:rPr>
            </w:pPr>
            <w:r>
              <w:rPr>
                <w:sz w:val="20"/>
              </w:rPr>
              <w:t>40.0</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8"/>
              <w:ind w:left="185"/>
              <w:jc w:val="left"/>
              <w:rPr>
                <w:rFonts w:ascii="宋体" w:eastAsia="宋体" w:hint="eastAsia"/>
                <w:sz w:val="20"/>
              </w:rPr>
            </w:pPr>
            <w:r>
              <w:rPr>
                <w:rFonts w:ascii="宋体" w:eastAsia="宋体" w:hint="eastAsia"/>
                <w:sz w:val="20"/>
              </w:rPr>
              <w:t>一般废物</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9"/>
              <w:ind w:left="604"/>
              <w:jc w:val="left"/>
              <w:rPr>
                <w:sz w:val="20"/>
              </w:rPr>
            </w:pPr>
            <w:r>
              <w:rPr>
                <w:sz w:val="20"/>
              </w:rPr>
              <w:t>223-001-07</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8"/>
              <w:ind w:left="876"/>
              <w:jc w:val="left"/>
              <w:rPr>
                <w:rFonts w:ascii="宋体" w:eastAsia="宋体" w:hint="eastAsia"/>
                <w:sz w:val="20"/>
              </w:rPr>
            </w:pPr>
            <w:r>
              <w:rPr>
                <w:rFonts w:ascii="宋体" w:eastAsia="宋体" w:hint="eastAsia"/>
                <w:sz w:val="20"/>
              </w:rPr>
              <w:t>外卖综合利用</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sz w:val="20"/>
              </w:rPr>
            </w:pPr>
            <w:r>
              <w:rPr>
                <w:w w:val="99"/>
                <w:sz w:val="20"/>
              </w:rPr>
              <w:t>3</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7"/>
              <w:ind w:left="140" w:right="118"/>
              <w:rPr>
                <w:rFonts w:ascii="宋体" w:eastAsia="宋体" w:hint="eastAsia"/>
                <w:sz w:val="20"/>
              </w:rPr>
            </w:pPr>
            <w:r>
              <w:rPr>
                <w:rFonts w:ascii="宋体" w:eastAsia="宋体" w:hint="eastAsia"/>
                <w:sz w:val="20"/>
              </w:rPr>
              <w:t>危化品废包装物</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62"/>
              <w:jc w:val="left"/>
              <w:rPr>
                <w:rFonts w:ascii="宋体" w:eastAsia="宋体" w:hint="eastAsia"/>
                <w:sz w:val="20"/>
              </w:rPr>
            </w:pPr>
            <w:r>
              <w:rPr>
                <w:rFonts w:ascii="宋体" w:eastAsia="宋体" w:hint="eastAsia"/>
                <w:sz w:val="20"/>
              </w:rPr>
              <w:t>危化品包装</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514" w:right="489"/>
              <w:rPr>
                <w:sz w:val="20"/>
              </w:rPr>
            </w:pPr>
            <w:r>
              <w:rPr>
                <w:sz w:val="20"/>
              </w:rPr>
              <w:t>0.6</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185"/>
              <w:jc w:val="left"/>
              <w:rPr>
                <w:rFonts w:ascii="宋体" w:eastAsia="宋体" w:hint="eastAsia"/>
                <w:sz w:val="20"/>
              </w:rPr>
            </w:pPr>
            <w:r>
              <w:rPr>
                <w:rFonts w:ascii="宋体" w:eastAsia="宋体" w:hint="eastAsia"/>
                <w:sz w:val="20"/>
              </w:rPr>
              <w:t>危险废物</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39"/>
              <w:jc w:val="left"/>
              <w:rPr>
                <w:sz w:val="20"/>
              </w:rPr>
            </w:pPr>
            <w:r>
              <w:rPr>
                <w:position w:val="1"/>
                <w:sz w:val="20"/>
              </w:rPr>
              <w:t>HW49</w:t>
            </w:r>
            <w:r>
              <w:rPr>
                <w:rFonts w:ascii="宋体" w:eastAsia="宋体" w:hint="eastAsia"/>
                <w:sz w:val="20"/>
              </w:rPr>
              <w:t>，</w:t>
            </w:r>
            <w:r>
              <w:rPr>
                <w:position w:val="1"/>
                <w:sz w:val="20"/>
              </w:rPr>
              <w:t>900-041-49</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377"/>
              <w:jc w:val="left"/>
              <w:rPr>
                <w:rFonts w:ascii="宋体" w:eastAsia="宋体" w:hint="eastAsia"/>
                <w:sz w:val="20"/>
              </w:rPr>
            </w:pPr>
            <w:r>
              <w:rPr>
                <w:rFonts w:ascii="宋体" w:eastAsia="宋体" w:hint="eastAsia"/>
                <w:sz w:val="20"/>
              </w:rPr>
              <w:t>委托有资质单位安全处置</w:t>
            </w:r>
          </w:p>
        </w:tc>
        <w:tc>
          <w:tcPr>
            <w:tcW w:w="1895" w:type="dxa"/>
            <w:vMerge/>
            <w:tcBorders>
              <w:top w:val="nil"/>
              <w:left w:val="single" w:sz="6" w:space="0" w:color="000000"/>
              <w:bottom w:val="single" w:sz="6" w:space="0" w:color="000000"/>
            </w:tcBorders>
          </w:tcPr>
          <w:p>
            <w:pPr>
              <w:rPr>
                <w:sz w:val="2"/>
                <w:szCs w:val="2"/>
              </w:rPr>
            </w:pPr>
          </w:p>
        </w:tc>
      </w:tr>
      <w:tr>
        <w:trPr>
          <w:trHeight w:val="313"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43"/>
              <w:ind w:left="27"/>
              <w:rPr>
                <w:sz w:val="20"/>
              </w:rPr>
            </w:pPr>
            <w:r>
              <w:rPr>
                <w:w w:val="99"/>
                <w:sz w:val="20"/>
              </w:rPr>
              <w:t>4</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30"/>
              <w:ind w:left="140" w:right="118"/>
              <w:rPr>
                <w:rFonts w:ascii="宋体" w:eastAsia="宋体" w:hint="eastAsia"/>
                <w:sz w:val="20"/>
              </w:rPr>
            </w:pPr>
            <w:r>
              <w:rPr>
                <w:rFonts w:ascii="宋体" w:eastAsia="宋体" w:hint="eastAsia"/>
                <w:sz w:val="20"/>
              </w:rPr>
              <w:t>废矿物油</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164"/>
              <w:jc w:val="left"/>
              <w:rPr>
                <w:rFonts w:ascii="宋体" w:eastAsia="宋体" w:hint="eastAsia"/>
                <w:sz w:val="20"/>
              </w:rPr>
            </w:pPr>
            <w:r>
              <w:rPr>
                <w:rFonts w:ascii="宋体" w:eastAsia="宋体" w:hint="eastAsia"/>
                <w:sz w:val="20"/>
              </w:rPr>
              <w:t>无害化处理机</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514" w:right="489"/>
              <w:rPr>
                <w:sz w:val="20"/>
              </w:rPr>
            </w:pPr>
            <w:r>
              <w:rPr>
                <w:sz w:val="20"/>
              </w:rPr>
              <w:t>0.1</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185"/>
              <w:jc w:val="left"/>
              <w:rPr>
                <w:rFonts w:ascii="宋体" w:eastAsia="宋体" w:hint="eastAsia"/>
                <w:sz w:val="20"/>
              </w:rPr>
            </w:pPr>
            <w:r>
              <w:rPr>
                <w:rFonts w:ascii="宋体" w:eastAsia="宋体" w:hint="eastAsia"/>
                <w:sz w:val="20"/>
              </w:rPr>
              <w:t>危险废物</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0"/>
              <w:ind w:left="239"/>
              <w:jc w:val="left"/>
              <w:rPr>
                <w:sz w:val="20"/>
              </w:rPr>
            </w:pPr>
            <w:r>
              <w:rPr>
                <w:position w:val="1"/>
                <w:sz w:val="20"/>
              </w:rPr>
              <w:t>HW08</w:t>
            </w:r>
            <w:r>
              <w:rPr>
                <w:rFonts w:ascii="宋体" w:eastAsia="宋体" w:hint="eastAsia"/>
                <w:sz w:val="20"/>
              </w:rPr>
              <w:t>，</w:t>
            </w:r>
            <w:r>
              <w:rPr>
                <w:position w:val="1"/>
                <w:sz w:val="20"/>
              </w:rPr>
              <w:t>900-249-08</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0"/>
              <w:ind w:left="377"/>
              <w:jc w:val="left"/>
              <w:rPr>
                <w:rFonts w:ascii="宋体" w:eastAsia="宋体" w:hint="eastAsia"/>
                <w:sz w:val="20"/>
              </w:rPr>
            </w:pPr>
            <w:r>
              <w:rPr>
                <w:rFonts w:ascii="宋体" w:eastAsia="宋体" w:hint="eastAsia"/>
                <w:sz w:val="20"/>
              </w:rPr>
              <w:t>委托有资质单位安全处置</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sz w:val="20"/>
              </w:rPr>
            </w:pPr>
            <w:r>
              <w:rPr>
                <w:w w:val="99"/>
                <w:sz w:val="20"/>
              </w:rPr>
              <w:t>5</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7"/>
              <w:ind w:left="140" w:right="118"/>
              <w:rPr>
                <w:rFonts w:ascii="宋体" w:eastAsia="宋体" w:hint="eastAsia"/>
                <w:sz w:val="20"/>
              </w:rPr>
            </w:pPr>
            <w:r>
              <w:rPr>
                <w:rFonts w:ascii="宋体" w:eastAsia="宋体" w:hint="eastAsia"/>
                <w:sz w:val="20"/>
              </w:rPr>
              <w:t>医疗废物</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62"/>
              <w:jc w:val="left"/>
              <w:rPr>
                <w:rFonts w:ascii="宋体" w:eastAsia="宋体" w:hint="eastAsia"/>
                <w:sz w:val="20"/>
              </w:rPr>
            </w:pPr>
            <w:r>
              <w:rPr>
                <w:rFonts w:ascii="宋体" w:eastAsia="宋体" w:hint="eastAsia"/>
                <w:sz w:val="20"/>
              </w:rPr>
              <w:t>猪卫生防疫</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514" w:right="489"/>
              <w:rPr>
                <w:sz w:val="20"/>
              </w:rPr>
            </w:pPr>
            <w:r>
              <w:rPr>
                <w:sz w:val="20"/>
              </w:rPr>
              <w:t>4.3</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185"/>
              <w:jc w:val="left"/>
              <w:rPr>
                <w:rFonts w:ascii="宋体" w:eastAsia="宋体" w:hint="eastAsia"/>
                <w:sz w:val="20"/>
              </w:rPr>
            </w:pPr>
            <w:r>
              <w:rPr>
                <w:rFonts w:ascii="宋体" w:eastAsia="宋体" w:hint="eastAsia"/>
                <w:sz w:val="20"/>
              </w:rPr>
              <w:t>危险废物</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239"/>
              <w:jc w:val="left"/>
              <w:rPr>
                <w:sz w:val="20"/>
              </w:rPr>
            </w:pPr>
            <w:r>
              <w:rPr>
                <w:position w:val="1"/>
                <w:sz w:val="20"/>
              </w:rPr>
              <w:t>HW01</w:t>
            </w:r>
            <w:r>
              <w:rPr>
                <w:rFonts w:ascii="宋体" w:eastAsia="宋体" w:hint="eastAsia"/>
                <w:sz w:val="20"/>
              </w:rPr>
              <w:t>，</w:t>
            </w:r>
            <w:r>
              <w:rPr>
                <w:position w:val="1"/>
                <w:sz w:val="20"/>
              </w:rPr>
              <w:t>841-001-01</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576"/>
              <w:jc w:val="left"/>
              <w:rPr>
                <w:rFonts w:ascii="宋体" w:eastAsia="宋体" w:hint="eastAsia"/>
                <w:sz w:val="20"/>
              </w:rPr>
            </w:pPr>
            <w:r>
              <w:rPr>
                <w:rFonts w:ascii="宋体" w:eastAsia="宋体" w:hint="eastAsia"/>
                <w:sz w:val="20"/>
              </w:rPr>
              <w:t>由政府统一委托处置</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sz w:val="20"/>
              </w:rPr>
            </w:pPr>
            <w:r>
              <w:rPr>
                <w:w w:val="99"/>
                <w:sz w:val="20"/>
              </w:rPr>
              <w:t>6</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7"/>
              <w:ind w:left="140" w:right="118"/>
              <w:rPr>
                <w:rFonts w:ascii="宋体" w:eastAsia="宋体" w:hint="eastAsia"/>
                <w:sz w:val="20"/>
              </w:rPr>
            </w:pPr>
            <w:r>
              <w:rPr>
                <w:rFonts w:ascii="宋体" w:eastAsia="宋体" w:hint="eastAsia"/>
                <w:sz w:val="20"/>
              </w:rPr>
              <w:t>废脱硫剂</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63"/>
              <w:jc w:val="left"/>
              <w:rPr>
                <w:rFonts w:ascii="宋体" w:eastAsia="宋体" w:hint="eastAsia"/>
                <w:sz w:val="20"/>
              </w:rPr>
            </w:pPr>
            <w:r>
              <w:rPr>
                <w:rFonts w:ascii="宋体" w:eastAsia="宋体" w:hint="eastAsia"/>
                <w:sz w:val="20"/>
              </w:rPr>
              <w:t>沼气脱硫</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514" w:right="489"/>
              <w:rPr>
                <w:sz w:val="20"/>
              </w:rPr>
            </w:pPr>
            <w:r>
              <w:rPr>
                <w:sz w:val="20"/>
              </w:rPr>
              <w:t>8.0</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185"/>
              <w:jc w:val="left"/>
              <w:rPr>
                <w:rFonts w:ascii="宋体" w:eastAsia="宋体" w:hint="eastAsia"/>
                <w:sz w:val="20"/>
              </w:rPr>
            </w:pPr>
            <w:r>
              <w:rPr>
                <w:rFonts w:ascii="宋体" w:eastAsia="宋体" w:hint="eastAsia"/>
                <w:sz w:val="20"/>
              </w:rPr>
              <w:t>一般废物</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604"/>
              <w:jc w:val="left"/>
              <w:rPr>
                <w:sz w:val="20"/>
              </w:rPr>
            </w:pPr>
            <w:r>
              <w:rPr>
                <w:sz w:val="20"/>
              </w:rPr>
              <w:t>260-001-54</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778"/>
              <w:jc w:val="left"/>
              <w:rPr>
                <w:rFonts w:ascii="宋体" w:eastAsia="宋体" w:hint="eastAsia"/>
                <w:sz w:val="20"/>
              </w:rPr>
            </w:pPr>
            <w:r>
              <w:rPr>
                <w:rFonts w:ascii="宋体" w:eastAsia="宋体" w:hint="eastAsia"/>
                <w:sz w:val="20"/>
              </w:rPr>
              <w:t>供应商更换回收</w:t>
            </w:r>
          </w:p>
        </w:tc>
        <w:tc>
          <w:tcPr>
            <w:tcW w:w="1895" w:type="dxa"/>
            <w:vMerge/>
            <w:tcBorders>
              <w:top w:val="nil"/>
              <w:left w:val="single" w:sz="6" w:space="0" w:color="000000"/>
              <w:bottom w:val="single" w:sz="6" w:space="0" w:color="000000"/>
            </w:tcBorders>
          </w:tcPr>
          <w:p>
            <w:pPr>
              <w:rPr>
                <w:sz w:val="2"/>
                <w:szCs w:val="2"/>
              </w:rPr>
            </w:pP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41"/>
              <w:ind w:left="27"/>
              <w:rPr>
                <w:sz w:val="20"/>
              </w:rPr>
            </w:pPr>
            <w:r>
              <w:rPr>
                <w:w w:val="99"/>
                <w:sz w:val="20"/>
              </w:rPr>
              <w:t>7</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7"/>
              <w:ind w:left="140" w:right="118"/>
              <w:rPr>
                <w:rFonts w:ascii="宋体" w:eastAsia="宋体" w:hint="eastAsia"/>
                <w:sz w:val="20"/>
              </w:rPr>
            </w:pPr>
            <w:r>
              <w:rPr>
                <w:rFonts w:ascii="宋体" w:eastAsia="宋体" w:hint="eastAsia"/>
                <w:sz w:val="20"/>
              </w:rPr>
              <w:t>生活垃圾</w:t>
            </w:r>
          </w:p>
        </w:tc>
        <w:tc>
          <w:tcPr>
            <w:tcW w:w="151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363"/>
              <w:jc w:val="left"/>
              <w:rPr>
                <w:rFonts w:ascii="宋体" w:eastAsia="宋体" w:hint="eastAsia"/>
                <w:sz w:val="20"/>
              </w:rPr>
            </w:pPr>
            <w:r>
              <w:rPr>
                <w:rFonts w:ascii="宋体" w:eastAsia="宋体" w:hint="eastAsia"/>
                <w:sz w:val="20"/>
              </w:rPr>
              <w:t>职工生活</w:t>
            </w:r>
          </w:p>
        </w:tc>
        <w:tc>
          <w:tcPr>
            <w:tcW w:w="140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514" w:right="489"/>
              <w:rPr>
                <w:sz w:val="20"/>
              </w:rPr>
            </w:pPr>
            <w:r>
              <w:rPr>
                <w:sz w:val="20"/>
              </w:rPr>
              <w:t>16.4</w:t>
            </w:r>
          </w:p>
        </w:tc>
        <w:tc>
          <w:tcPr>
            <w:tcW w:w="11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7"/>
              <w:ind w:left="185"/>
              <w:jc w:val="left"/>
              <w:rPr>
                <w:rFonts w:ascii="宋体" w:eastAsia="宋体" w:hint="eastAsia"/>
                <w:sz w:val="20"/>
              </w:rPr>
            </w:pPr>
            <w:r>
              <w:rPr>
                <w:rFonts w:ascii="宋体" w:eastAsia="宋体" w:hint="eastAsia"/>
                <w:sz w:val="20"/>
              </w:rPr>
              <w:t>生活垃圾</w:t>
            </w:r>
          </w:p>
        </w:tc>
        <w:tc>
          <w:tcPr>
            <w:tcW w:w="213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8"/>
              <w:ind w:left="26"/>
              <w:rPr>
                <w:sz w:val="20"/>
              </w:rPr>
            </w:pPr>
            <w:r>
              <w:rPr>
                <w:w w:val="99"/>
                <w:sz w:val="20"/>
              </w:rPr>
              <w:t>/</w:t>
            </w:r>
          </w:p>
        </w:tc>
        <w:tc>
          <w:tcPr>
            <w:tcW w:w="2938"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7"/>
              <w:ind w:left="478"/>
              <w:jc w:val="left"/>
              <w:rPr>
                <w:rFonts w:ascii="宋体" w:eastAsia="宋体" w:hint="eastAsia"/>
                <w:sz w:val="20"/>
              </w:rPr>
            </w:pPr>
            <w:r>
              <w:rPr>
                <w:rFonts w:ascii="宋体" w:eastAsia="宋体" w:hint="eastAsia"/>
                <w:sz w:val="20"/>
              </w:rPr>
              <w:t>当地环卫部门统一清运</w:t>
            </w:r>
          </w:p>
        </w:tc>
        <w:tc>
          <w:tcPr>
            <w:tcW w:w="1895" w:type="dxa"/>
            <w:vMerge/>
            <w:tcBorders>
              <w:top w:val="nil"/>
              <w:left w:val="single" w:sz="6" w:space="0" w:color="000000"/>
              <w:bottom w:val="single" w:sz="6" w:space="0" w:color="000000"/>
            </w:tcBorders>
          </w:tcPr>
          <w:p>
            <w:pPr>
              <w:rPr>
                <w:sz w:val="2"/>
                <w:szCs w:val="2"/>
              </w:rPr>
            </w:pPr>
          </w:p>
        </w:tc>
      </w:tr>
      <w:tr>
        <w:trPr>
          <w:trHeight w:val="313" w:hRule="atLeast"/>
        </w:trPr>
        <w:tc>
          <w:tcPr>
            <w:tcW w:w="735" w:type="dxa"/>
            <w:vMerge w:val="restart"/>
            <w:tcBorders>
              <w:top w:val="single" w:sz="6" w:space="0" w:color="000000"/>
              <w:bottom w:val="single" w:sz="6" w:space="0" w:color="000000"/>
              <w:right w:val="single" w:sz="6" w:space="0" w:color="000000"/>
            </w:tcBorders>
          </w:tcPr>
          <w:p>
            <w:pPr>
              <w:pStyle w:val="TableParagraph"/>
              <w:spacing w:before="44"/>
              <w:ind w:left="165"/>
              <w:jc w:val="left"/>
              <w:rPr>
                <w:rFonts w:ascii="宋体" w:eastAsia="宋体" w:hint="eastAsia"/>
                <w:sz w:val="20"/>
              </w:rPr>
            </w:pPr>
            <w:r>
              <w:rPr>
                <w:rFonts w:ascii="宋体" w:eastAsia="宋体" w:hint="eastAsia"/>
                <w:w w:val="95"/>
                <w:sz w:val="20"/>
              </w:rPr>
              <w:t>噪声</w:t>
            </w:r>
          </w:p>
          <w:p>
            <w:pPr>
              <w:pStyle w:val="TableParagraph"/>
              <w:spacing w:line="310" w:lineRule="atLeast" w:before="3"/>
              <w:ind w:left="165" w:right="147"/>
              <w:jc w:val="left"/>
              <w:rPr>
                <w:rFonts w:ascii="宋体" w:eastAsia="宋体" w:hint="eastAsia"/>
                <w:sz w:val="20"/>
              </w:rPr>
            </w:pPr>
            <w:r>
              <w:rPr>
                <w:rFonts w:ascii="宋体" w:eastAsia="宋体" w:hint="eastAsia"/>
                <w:spacing w:val="-9"/>
                <w:sz w:val="20"/>
              </w:rPr>
              <w:t>控制</w:t>
            </w:r>
            <w:r>
              <w:rPr>
                <w:rFonts w:ascii="宋体" w:eastAsia="宋体" w:hint="eastAsia"/>
                <w:spacing w:val="-9"/>
                <w:w w:val="95"/>
                <w:sz w:val="20"/>
              </w:rPr>
              <w:t>要求</w:t>
            </w:r>
          </w:p>
        </w:tc>
        <w:tc>
          <w:tcPr>
            <w:tcW w:w="6071" w:type="dxa"/>
            <w:gridSpan w:val="7"/>
            <w:vMerge w:val="restart"/>
            <w:tcBorders>
              <w:top w:val="single" w:sz="6" w:space="0" w:color="000000"/>
              <w:left w:val="single" w:sz="6" w:space="0" w:color="000000"/>
              <w:bottom w:val="single" w:sz="6" w:space="0" w:color="000000"/>
              <w:right w:val="single" w:sz="6" w:space="0" w:color="000000"/>
            </w:tcBorders>
          </w:tcPr>
          <w:p>
            <w:pPr>
              <w:pStyle w:val="TableParagraph"/>
              <w:spacing w:before="9"/>
              <w:jc w:val="left"/>
              <w:rPr>
                <w:sz w:val="16"/>
              </w:rPr>
            </w:pPr>
          </w:p>
          <w:p>
            <w:pPr>
              <w:pStyle w:val="TableParagraph"/>
              <w:spacing w:before="0"/>
              <w:ind w:left="2020" w:right="1996"/>
              <w:rPr>
                <w:rFonts w:ascii="宋体" w:eastAsia="宋体" w:hint="eastAsia"/>
                <w:sz w:val="20"/>
              </w:rPr>
            </w:pPr>
            <w:r>
              <w:rPr>
                <w:rFonts w:ascii="宋体" w:eastAsia="宋体" w:hint="eastAsia"/>
                <w:sz w:val="20"/>
              </w:rPr>
              <w:t>厂界声环境功能区类型</w:t>
            </w:r>
          </w:p>
        </w:tc>
        <w:tc>
          <w:tcPr>
            <w:tcW w:w="7366" w:type="dxa"/>
            <w:gridSpan w:val="7"/>
            <w:tcBorders>
              <w:top w:val="single" w:sz="6" w:space="0" w:color="000000"/>
              <w:left w:val="single" w:sz="6" w:space="0" w:color="000000"/>
              <w:bottom w:val="single" w:sz="6" w:space="0" w:color="000000"/>
            </w:tcBorders>
          </w:tcPr>
          <w:p>
            <w:pPr>
              <w:pStyle w:val="TableParagraph"/>
              <w:spacing w:before="30"/>
              <w:ind w:left="2468" w:right="2434"/>
              <w:rPr>
                <w:rFonts w:ascii="宋体" w:eastAsia="宋体" w:hint="eastAsia"/>
                <w:sz w:val="20"/>
              </w:rPr>
            </w:pPr>
            <w:r>
              <w:rPr>
                <w:rFonts w:ascii="宋体" w:eastAsia="宋体" w:hint="eastAsia"/>
                <w:sz w:val="20"/>
              </w:rPr>
              <w:t>工业企业厂界噪声排放标准</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071" w:type="dxa"/>
            <w:gridSpan w:val="7"/>
            <w:vMerge/>
            <w:tcBorders>
              <w:top w:val="nil"/>
              <w:left w:val="single" w:sz="6" w:space="0" w:color="000000"/>
              <w:bottom w:val="single" w:sz="6" w:space="0" w:color="000000"/>
              <w:right w:val="single" w:sz="6" w:space="0" w:color="000000"/>
            </w:tcBorders>
          </w:tcPr>
          <w:p>
            <w:pPr>
              <w:rPr>
                <w:sz w:val="2"/>
                <w:szCs w:val="2"/>
              </w:rPr>
            </w:pPr>
          </w:p>
        </w:tc>
        <w:tc>
          <w:tcPr>
            <w:tcW w:w="354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8"/>
              <w:ind w:left="1557" w:right="1532"/>
              <w:rPr>
                <w:rFonts w:ascii="宋体" w:eastAsia="宋体" w:hint="eastAsia"/>
                <w:sz w:val="20"/>
              </w:rPr>
            </w:pPr>
            <w:r>
              <w:rPr>
                <w:rFonts w:ascii="宋体" w:eastAsia="宋体" w:hint="eastAsia"/>
                <w:sz w:val="20"/>
              </w:rPr>
              <w:t>昼间</w:t>
            </w:r>
          </w:p>
        </w:tc>
        <w:tc>
          <w:tcPr>
            <w:tcW w:w="3821" w:type="dxa"/>
            <w:gridSpan w:val="3"/>
            <w:tcBorders>
              <w:top w:val="single" w:sz="6" w:space="0" w:color="000000"/>
              <w:left w:val="single" w:sz="6" w:space="0" w:color="000000"/>
              <w:bottom w:val="single" w:sz="6" w:space="0" w:color="000000"/>
            </w:tcBorders>
          </w:tcPr>
          <w:p>
            <w:pPr>
              <w:pStyle w:val="TableParagraph"/>
              <w:spacing w:before="28"/>
              <w:ind w:left="1499" w:right="1459"/>
              <w:rPr>
                <w:rFonts w:ascii="宋体" w:eastAsia="宋体" w:hint="eastAsia"/>
                <w:sz w:val="20"/>
              </w:rPr>
            </w:pPr>
            <w:r>
              <w:rPr>
                <w:rFonts w:ascii="宋体" w:eastAsia="宋体" w:hint="eastAsia"/>
                <w:sz w:val="20"/>
              </w:rPr>
              <w:t>夜间</w:t>
            </w:r>
          </w:p>
        </w:tc>
      </w:tr>
      <w:tr>
        <w:trPr>
          <w:trHeight w:val="311" w:hRule="atLeast"/>
        </w:trPr>
        <w:tc>
          <w:tcPr>
            <w:tcW w:w="735" w:type="dxa"/>
            <w:vMerge/>
            <w:tcBorders>
              <w:top w:val="nil"/>
              <w:bottom w:val="single" w:sz="6" w:space="0" w:color="000000"/>
              <w:right w:val="single" w:sz="6" w:space="0" w:color="000000"/>
            </w:tcBorders>
          </w:tcPr>
          <w:p>
            <w:pPr>
              <w:rPr>
                <w:sz w:val="2"/>
                <w:szCs w:val="2"/>
              </w:rPr>
            </w:pPr>
          </w:p>
        </w:tc>
        <w:tc>
          <w:tcPr>
            <w:tcW w:w="6071" w:type="dxa"/>
            <w:gridSpan w:val="7"/>
            <w:tcBorders>
              <w:top w:val="single" w:sz="6" w:space="0" w:color="000000"/>
              <w:left w:val="single" w:sz="6" w:space="0" w:color="000000"/>
              <w:bottom w:val="single" w:sz="6" w:space="0" w:color="000000"/>
              <w:right w:val="single" w:sz="6" w:space="0" w:color="000000"/>
            </w:tcBorders>
          </w:tcPr>
          <w:p>
            <w:pPr>
              <w:pStyle w:val="TableParagraph"/>
              <w:spacing w:before="27"/>
              <w:ind w:left="2020" w:right="1996"/>
              <w:rPr>
                <w:rFonts w:ascii="宋体" w:eastAsia="宋体" w:hint="eastAsia"/>
                <w:sz w:val="20"/>
              </w:rPr>
            </w:pPr>
            <w:r>
              <w:rPr>
                <w:sz w:val="20"/>
              </w:rPr>
              <w:t>2 </w:t>
            </w:r>
            <w:r>
              <w:rPr>
                <w:rFonts w:ascii="宋体" w:eastAsia="宋体" w:hint="eastAsia"/>
                <w:sz w:val="20"/>
              </w:rPr>
              <w:t>类</w:t>
            </w:r>
          </w:p>
        </w:tc>
        <w:tc>
          <w:tcPr>
            <w:tcW w:w="354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41"/>
              <w:ind w:left="1557" w:right="1529"/>
              <w:rPr>
                <w:sz w:val="20"/>
              </w:rPr>
            </w:pPr>
            <w:r>
              <w:rPr>
                <w:sz w:val="20"/>
              </w:rPr>
              <w:t>60</w:t>
            </w:r>
          </w:p>
        </w:tc>
        <w:tc>
          <w:tcPr>
            <w:tcW w:w="3821" w:type="dxa"/>
            <w:gridSpan w:val="3"/>
            <w:tcBorders>
              <w:top w:val="single" w:sz="6" w:space="0" w:color="000000"/>
              <w:left w:val="single" w:sz="6" w:space="0" w:color="000000"/>
              <w:bottom w:val="single" w:sz="6" w:space="0" w:color="000000"/>
            </w:tcBorders>
          </w:tcPr>
          <w:p>
            <w:pPr>
              <w:pStyle w:val="TableParagraph"/>
              <w:spacing w:before="41"/>
              <w:ind w:left="1499" w:right="1455"/>
              <w:rPr>
                <w:sz w:val="20"/>
              </w:rPr>
            </w:pPr>
            <w:r>
              <w:rPr>
                <w:sz w:val="20"/>
              </w:rPr>
              <w:t>50</w:t>
            </w:r>
          </w:p>
        </w:tc>
      </w:tr>
      <w:tr>
        <w:trPr>
          <w:trHeight w:val="303" w:hRule="atLeast"/>
        </w:trPr>
        <w:tc>
          <w:tcPr>
            <w:tcW w:w="735" w:type="dxa"/>
            <w:vMerge w:val="restart"/>
            <w:tcBorders>
              <w:top w:val="single" w:sz="6" w:space="0" w:color="000000"/>
              <w:right w:val="single" w:sz="6"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1"/>
              <w:jc w:val="left"/>
              <w:rPr>
                <w:sz w:val="18"/>
              </w:rPr>
            </w:pPr>
          </w:p>
          <w:p>
            <w:pPr>
              <w:pStyle w:val="TableParagraph"/>
              <w:spacing w:line="292" w:lineRule="auto" w:before="0"/>
              <w:ind w:left="165" w:right="147"/>
              <w:jc w:val="both"/>
              <w:rPr>
                <w:rFonts w:ascii="宋体" w:eastAsia="宋体" w:hint="eastAsia"/>
                <w:sz w:val="20"/>
              </w:rPr>
            </w:pPr>
            <w:r>
              <w:rPr>
                <w:rFonts w:ascii="宋体" w:eastAsia="宋体" w:hint="eastAsia"/>
                <w:sz w:val="20"/>
              </w:rPr>
              <w:t>污染治理设施</w:t>
            </w: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27"/>
              <w:ind w:left="125" w:right="97"/>
              <w:rPr>
                <w:rFonts w:ascii="宋体" w:eastAsia="宋体" w:hint="eastAsia"/>
                <w:sz w:val="20"/>
              </w:rPr>
            </w:pPr>
            <w:r>
              <w:rPr>
                <w:rFonts w:ascii="宋体" w:eastAsia="宋体" w:hint="eastAsia"/>
                <w:sz w:val="20"/>
              </w:rPr>
              <w:t>类别</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7"/>
              <w:ind w:left="140" w:right="118"/>
              <w:rPr>
                <w:rFonts w:ascii="宋体" w:eastAsia="宋体" w:hint="eastAsia"/>
                <w:sz w:val="20"/>
              </w:rPr>
            </w:pPr>
            <w:r>
              <w:rPr>
                <w:rFonts w:ascii="宋体" w:eastAsia="宋体" w:hint="eastAsia"/>
                <w:sz w:val="20"/>
              </w:rPr>
              <w:t>项目</w:t>
            </w:r>
          </w:p>
        </w:tc>
        <w:tc>
          <w:tcPr>
            <w:tcW w:w="7225" w:type="dxa"/>
            <w:gridSpan w:val="9"/>
            <w:tcBorders>
              <w:top w:val="single" w:sz="6" w:space="0" w:color="000000"/>
              <w:left w:val="single" w:sz="6" w:space="0" w:color="000000"/>
              <w:bottom w:val="single" w:sz="6" w:space="0" w:color="000000"/>
              <w:right w:val="single" w:sz="6" w:space="0" w:color="000000"/>
            </w:tcBorders>
          </w:tcPr>
          <w:p>
            <w:pPr>
              <w:pStyle w:val="TableParagraph"/>
              <w:spacing w:before="27"/>
              <w:ind w:left="2997" w:right="2973"/>
              <w:rPr>
                <w:rFonts w:ascii="宋体" w:eastAsia="宋体" w:hint="eastAsia"/>
                <w:sz w:val="20"/>
              </w:rPr>
            </w:pPr>
            <w:r>
              <w:rPr>
                <w:rFonts w:ascii="宋体" w:eastAsia="宋体" w:hint="eastAsia"/>
                <w:sz w:val="20"/>
              </w:rPr>
              <w:t>污染防治措施</w:t>
            </w:r>
          </w:p>
        </w:tc>
        <w:tc>
          <w:tcPr>
            <w:tcW w:w="3821" w:type="dxa"/>
            <w:gridSpan w:val="3"/>
            <w:tcBorders>
              <w:top w:val="single" w:sz="6" w:space="0" w:color="000000"/>
              <w:left w:val="single" w:sz="6" w:space="0" w:color="000000"/>
              <w:bottom w:val="single" w:sz="6" w:space="0" w:color="000000"/>
            </w:tcBorders>
          </w:tcPr>
          <w:p>
            <w:pPr>
              <w:pStyle w:val="TableParagraph"/>
              <w:spacing w:before="27"/>
              <w:ind w:left="1499" w:right="1459"/>
              <w:rPr>
                <w:rFonts w:ascii="宋体" w:eastAsia="宋体" w:hint="eastAsia"/>
                <w:sz w:val="20"/>
              </w:rPr>
            </w:pPr>
            <w:r>
              <w:rPr>
                <w:rFonts w:ascii="宋体" w:eastAsia="宋体" w:hint="eastAsia"/>
                <w:sz w:val="20"/>
              </w:rPr>
              <w:t>预期效果</w:t>
            </w:r>
          </w:p>
        </w:tc>
      </w:tr>
      <w:tr>
        <w:trPr>
          <w:trHeight w:val="1547" w:hRule="atLeast"/>
        </w:trPr>
        <w:tc>
          <w:tcPr>
            <w:tcW w:w="735" w:type="dxa"/>
            <w:vMerge/>
            <w:tcBorders>
              <w:top w:val="nil"/>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2"/>
              <w:jc w:val="left"/>
              <w:rPr>
                <w:sz w:val="16"/>
              </w:rPr>
            </w:pPr>
          </w:p>
          <w:p>
            <w:pPr>
              <w:pStyle w:val="TableParagraph"/>
              <w:spacing w:before="0"/>
              <w:ind w:left="125" w:right="97"/>
              <w:rPr>
                <w:rFonts w:ascii="宋体" w:eastAsia="宋体" w:hint="eastAsia"/>
                <w:sz w:val="20"/>
              </w:rPr>
            </w:pPr>
            <w:r>
              <w:rPr>
                <w:rFonts w:ascii="宋体" w:eastAsia="宋体" w:hint="eastAsia"/>
                <w:sz w:val="20"/>
              </w:rPr>
              <w:t>废水</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7"/>
              <w:jc w:val="left"/>
              <w:rPr>
                <w:sz w:val="22"/>
              </w:rPr>
            </w:pPr>
          </w:p>
          <w:p>
            <w:pPr>
              <w:pStyle w:val="TableParagraph"/>
              <w:spacing w:line="292" w:lineRule="auto" w:before="0"/>
              <w:ind w:left="462" w:right="437"/>
              <w:jc w:val="left"/>
              <w:rPr>
                <w:rFonts w:ascii="宋体" w:eastAsia="宋体" w:hint="eastAsia"/>
                <w:sz w:val="20"/>
              </w:rPr>
            </w:pPr>
            <w:r>
              <w:rPr>
                <w:rFonts w:ascii="宋体" w:eastAsia="宋体" w:hint="eastAsia"/>
                <w:sz w:val="20"/>
              </w:rPr>
              <w:t>生产废水生活污水</w:t>
            </w:r>
          </w:p>
        </w:tc>
        <w:tc>
          <w:tcPr>
            <w:tcW w:w="7225" w:type="dxa"/>
            <w:gridSpan w:val="9"/>
            <w:tcBorders>
              <w:top w:val="single" w:sz="6" w:space="0" w:color="000000"/>
              <w:left w:val="single" w:sz="6" w:space="0" w:color="000000"/>
              <w:bottom w:val="single" w:sz="6" w:space="0" w:color="000000"/>
              <w:right w:val="single" w:sz="6" w:space="0" w:color="000000"/>
            </w:tcBorders>
          </w:tcPr>
          <w:p>
            <w:pPr>
              <w:pStyle w:val="TableParagraph"/>
              <w:spacing w:before="22"/>
              <w:ind w:left="114" w:right="-15"/>
              <w:jc w:val="left"/>
              <w:rPr>
                <w:rFonts w:ascii="宋体" w:hAnsi="宋体" w:eastAsia="宋体" w:hint="eastAsia"/>
                <w:sz w:val="20"/>
              </w:rPr>
            </w:pPr>
            <w:r>
              <w:rPr>
                <w:rFonts w:ascii="宋体" w:hAnsi="宋体" w:eastAsia="宋体" w:hint="eastAsia"/>
                <w:spacing w:val="-9"/>
                <w:w w:val="95"/>
                <w:sz w:val="20"/>
              </w:rPr>
              <w:t>①实施雨污分流，设初期雨水池收集初期雨水，建议厂区靠山体部分设置防洪沟。</w:t>
            </w:r>
          </w:p>
          <w:p>
            <w:pPr>
              <w:pStyle w:val="TableParagraph"/>
              <w:spacing w:line="292" w:lineRule="auto" w:before="56"/>
              <w:ind w:left="114" w:right="-15"/>
              <w:jc w:val="both"/>
              <w:rPr>
                <w:rFonts w:ascii="宋体" w:hAnsi="宋体" w:eastAsia="宋体" w:hint="eastAsia"/>
                <w:sz w:val="20"/>
              </w:rPr>
            </w:pPr>
            <w:r>
              <w:rPr>
                <w:rFonts w:ascii="宋体" w:hAnsi="宋体" w:eastAsia="宋体" w:hint="eastAsia"/>
                <w:sz w:val="20"/>
              </w:rPr>
              <w:t>②项目生产生活废水、初期雨水统一接入厂区内自建污水处理站处理达标后纳入市政污水管网，最终进入绍兴市污水处理厂处理达标后排入钱塘江。③做好各类</w:t>
            </w:r>
            <w:r>
              <w:rPr>
                <w:rFonts w:ascii="宋体" w:hAnsi="宋体" w:eastAsia="宋体" w:hint="eastAsia"/>
                <w:spacing w:val="-11"/>
                <w:w w:val="95"/>
                <w:sz w:val="20"/>
              </w:rPr>
              <w:t>猪舍、污水收集沟渠、固液分离区、污水处理构筑物、猪粪发酵间、有机肥车间、</w:t>
            </w:r>
          </w:p>
          <w:p>
            <w:pPr>
              <w:pStyle w:val="TableParagraph"/>
              <w:spacing w:line="255" w:lineRule="exact" w:before="0"/>
              <w:ind w:left="114"/>
              <w:jc w:val="left"/>
              <w:rPr>
                <w:rFonts w:ascii="宋体" w:eastAsia="宋体" w:hint="eastAsia"/>
                <w:sz w:val="20"/>
              </w:rPr>
            </w:pPr>
            <w:r>
              <w:rPr>
                <w:rFonts w:ascii="宋体" w:eastAsia="宋体" w:hint="eastAsia"/>
                <w:sz w:val="20"/>
              </w:rPr>
              <w:t>危废暂存间、无害化处理间等的防渗、防漏、防腐蚀措施。</w:t>
            </w:r>
          </w:p>
        </w:tc>
        <w:tc>
          <w:tcPr>
            <w:tcW w:w="3821" w:type="dxa"/>
            <w:gridSpan w:val="3"/>
            <w:tcBorders>
              <w:top w:val="single" w:sz="6" w:space="0" w:color="000000"/>
              <w:left w:val="single" w:sz="6" w:space="0" w:color="000000"/>
              <w:bottom w:val="single" w:sz="6" w:space="0" w:color="000000"/>
            </w:tcBorders>
          </w:tcPr>
          <w:p>
            <w:pPr>
              <w:pStyle w:val="TableParagraph"/>
              <w:spacing w:before="178"/>
              <w:ind w:left="116"/>
              <w:jc w:val="left"/>
              <w:rPr>
                <w:rFonts w:ascii="宋体" w:eastAsia="宋体" w:hint="eastAsia"/>
                <w:sz w:val="20"/>
              </w:rPr>
            </w:pPr>
            <w:r>
              <w:rPr>
                <w:rFonts w:ascii="宋体" w:eastAsia="宋体" w:hint="eastAsia"/>
                <w:sz w:val="20"/>
              </w:rPr>
              <w:t>纳管废水水质符合《污水综合排放标准》</w:t>
            </w:r>
          </w:p>
          <w:p>
            <w:pPr>
              <w:pStyle w:val="TableParagraph"/>
              <w:spacing w:line="292" w:lineRule="auto" w:before="56"/>
              <w:ind w:left="116" w:right="-29"/>
              <w:jc w:val="left"/>
              <w:rPr>
                <w:rFonts w:ascii="宋体" w:eastAsia="宋体" w:hint="eastAsia"/>
                <w:sz w:val="20"/>
              </w:rPr>
            </w:pPr>
            <w:r>
              <w:rPr>
                <w:rFonts w:ascii="宋体" w:eastAsia="宋体" w:hint="eastAsia"/>
                <w:sz w:val="20"/>
              </w:rPr>
              <w:t>（</w:t>
            </w:r>
            <w:r>
              <w:rPr>
                <w:sz w:val="20"/>
              </w:rPr>
              <w:t>GB</w:t>
            </w:r>
            <w:r>
              <w:rPr>
                <w:spacing w:val="-6"/>
                <w:sz w:val="20"/>
              </w:rPr>
              <w:t> </w:t>
            </w:r>
            <w:r>
              <w:rPr>
                <w:spacing w:val="-3"/>
                <w:sz w:val="20"/>
              </w:rPr>
              <w:t>8978-1996</w:t>
            </w:r>
            <w:r>
              <w:rPr>
                <w:rFonts w:ascii="宋体" w:eastAsia="宋体" w:hint="eastAsia"/>
                <w:spacing w:val="-3"/>
                <w:sz w:val="20"/>
              </w:rPr>
              <w:t>）</w:t>
            </w:r>
            <w:r>
              <w:rPr>
                <w:rFonts w:ascii="宋体" w:eastAsia="宋体" w:hint="eastAsia"/>
                <w:spacing w:val="-7"/>
                <w:sz w:val="20"/>
              </w:rPr>
              <w:t>三级标准</w:t>
            </w:r>
            <w:r>
              <w:rPr>
                <w:rFonts w:ascii="宋体" w:eastAsia="宋体" w:hint="eastAsia"/>
                <w:sz w:val="20"/>
              </w:rPr>
              <w:t>（</w:t>
            </w:r>
            <w:r>
              <w:rPr>
                <w:rFonts w:ascii="宋体" w:eastAsia="宋体" w:hint="eastAsia"/>
                <w:spacing w:val="-7"/>
                <w:sz w:val="20"/>
              </w:rPr>
              <w:t>氨氮、总磷、</w:t>
            </w:r>
            <w:r>
              <w:rPr>
                <w:rFonts w:ascii="宋体" w:eastAsia="宋体" w:hint="eastAsia"/>
                <w:sz w:val="20"/>
              </w:rPr>
              <w:t>粪大肠菌群数符合《浙江省畜禽养殖业污染物排放标准》（</w:t>
            </w:r>
            <w:r>
              <w:rPr>
                <w:sz w:val="20"/>
              </w:rPr>
              <w:t>DB</w:t>
            </w:r>
            <w:r>
              <w:rPr>
                <w:spacing w:val="-2"/>
                <w:sz w:val="20"/>
              </w:rPr>
              <w:t> </w:t>
            </w:r>
            <w:r>
              <w:rPr>
                <w:sz w:val="20"/>
              </w:rPr>
              <w:t>33/593-2005</w:t>
            </w:r>
            <w:r>
              <w:rPr>
                <w:rFonts w:ascii="宋体" w:eastAsia="宋体" w:hint="eastAsia"/>
                <w:sz w:val="20"/>
              </w:rPr>
              <w:t>））。</w:t>
            </w:r>
          </w:p>
        </w:tc>
      </w:tr>
      <w:tr>
        <w:trPr>
          <w:trHeight w:val="303" w:hRule="atLeast"/>
        </w:trPr>
        <w:tc>
          <w:tcPr>
            <w:tcW w:w="735" w:type="dxa"/>
            <w:vMerge/>
            <w:tcBorders>
              <w:top w:val="nil"/>
              <w:right w:val="single" w:sz="6" w:space="0" w:color="000000"/>
            </w:tcBorders>
          </w:tcPr>
          <w:p>
            <w:pPr>
              <w:rPr>
                <w:sz w:val="2"/>
                <w:szCs w:val="2"/>
              </w:rPr>
            </w:pPr>
          </w:p>
        </w:tc>
        <w:tc>
          <w:tcPr>
            <w:tcW w:w="677" w:type="dxa"/>
            <w:tcBorders>
              <w:top w:val="single" w:sz="6" w:space="0" w:color="000000"/>
              <w:left w:val="single" w:sz="6" w:space="0" w:color="000000"/>
              <w:right w:val="single" w:sz="6" w:space="0" w:color="000000"/>
            </w:tcBorders>
          </w:tcPr>
          <w:p>
            <w:pPr>
              <w:pStyle w:val="TableParagraph"/>
              <w:spacing w:before="20"/>
              <w:ind w:left="125" w:right="97"/>
              <w:rPr>
                <w:rFonts w:ascii="宋体" w:eastAsia="宋体" w:hint="eastAsia"/>
                <w:sz w:val="20"/>
              </w:rPr>
            </w:pPr>
            <w:r>
              <w:rPr>
                <w:rFonts w:ascii="宋体" w:eastAsia="宋体" w:hint="eastAsia"/>
                <w:sz w:val="20"/>
              </w:rPr>
              <w:t>废气</w:t>
            </w:r>
          </w:p>
        </w:tc>
        <w:tc>
          <w:tcPr>
            <w:tcW w:w="1714" w:type="dxa"/>
            <w:tcBorders>
              <w:top w:val="single" w:sz="6" w:space="0" w:color="000000"/>
              <w:left w:val="single" w:sz="6" w:space="0" w:color="000000"/>
              <w:right w:val="single" w:sz="6" w:space="0" w:color="000000"/>
            </w:tcBorders>
          </w:tcPr>
          <w:p>
            <w:pPr>
              <w:pStyle w:val="TableParagraph"/>
              <w:spacing w:before="20"/>
              <w:ind w:left="140" w:right="118"/>
              <w:rPr>
                <w:rFonts w:ascii="宋体" w:eastAsia="宋体" w:hint="eastAsia"/>
                <w:sz w:val="20"/>
              </w:rPr>
            </w:pPr>
            <w:r>
              <w:rPr>
                <w:rFonts w:ascii="宋体" w:eastAsia="宋体" w:hint="eastAsia"/>
                <w:sz w:val="20"/>
              </w:rPr>
              <w:t>猪舍臭气</w:t>
            </w:r>
          </w:p>
        </w:tc>
        <w:tc>
          <w:tcPr>
            <w:tcW w:w="7225" w:type="dxa"/>
            <w:gridSpan w:val="9"/>
            <w:tcBorders>
              <w:top w:val="single" w:sz="6" w:space="0" w:color="000000"/>
              <w:left w:val="single" w:sz="6" w:space="0" w:color="000000"/>
              <w:right w:val="single" w:sz="6" w:space="0" w:color="000000"/>
            </w:tcBorders>
          </w:tcPr>
          <w:p>
            <w:pPr>
              <w:pStyle w:val="TableParagraph"/>
              <w:spacing w:before="20"/>
              <w:ind w:left="114"/>
              <w:jc w:val="left"/>
              <w:rPr>
                <w:rFonts w:ascii="宋体" w:hAnsi="宋体" w:eastAsia="宋体" w:hint="eastAsia"/>
                <w:sz w:val="20"/>
              </w:rPr>
            </w:pPr>
            <w:r>
              <w:rPr>
                <w:rFonts w:ascii="宋体" w:hAnsi="宋体" w:eastAsia="宋体" w:hint="eastAsia"/>
                <w:sz w:val="20"/>
              </w:rPr>
              <w:t>①加强猪舍排风；②科学合理配置日粮，改善日粮结构，提高饲料利用率，减少</w:t>
            </w:r>
          </w:p>
        </w:tc>
        <w:tc>
          <w:tcPr>
            <w:tcW w:w="3821" w:type="dxa"/>
            <w:gridSpan w:val="3"/>
            <w:tcBorders>
              <w:top w:val="single" w:sz="6" w:space="0" w:color="000000"/>
              <w:left w:val="single" w:sz="6" w:space="0" w:color="000000"/>
            </w:tcBorders>
          </w:tcPr>
          <w:p>
            <w:pPr>
              <w:pStyle w:val="TableParagraph"/>
              <w:spacing w:before="19"/>
              <w:ind w:left="116"/>
              <w:jc w:val="left"/>
              <w:rPr>
                <w:rFonts w:ascii="宋体" w:eastAsia="宋体" w:hint="eastAsia"/>
                <w:sz w:val="20"/>
              </w:rPr>
            </w:pPr>
            <w:r>
              <w:rPr>
                <w:position w:val="2"/>
                <w:sz w:val="20"/>
              </w:rPr>
              <w:t>NH</w:t>
            </w:r>
            <w:r>
              <w:rPr>
                <w:sz w:val="13"/>
              </w:rPr>
              <w:t>3</w:t>
            </w:r>
            <w:r>
              <w:rPr>
                <w:rFonts w:ascii="宋体" w:eastAsia="宋体" w:hint="eastAsia"/>
                <w:spacing w:val="-58"/>
                <w:position w:val="2"/>
                <w:sz w:val="20"/>
              </w:rPr>
              <w:t>、</w:t>
            </w:r>
            <w:r>
              <w:rPr>
                <w:position w:val="2"/>
                <w:sz w:val="20"/>
              </w:rPr>
              <w:t>H</w:t>
            </w:r>
            <w:r>
              <w:rPr>
                <w:sz w:val="13"/>
              </w:rPr>
              <w:t>2</w:t>
            </w:r>
            <w:r>
              <w:rPr>
                <w:position w:val="2"/>
                <w:sz w:val="20"/>
              </w:rPr>
              <w:t>S </w:t>
            </w:r>
            <w:r>
              <w:rPr>
                <w:rFonts w:ascii="宋体" w:eastAsia="宋体" w:hint="eastAsia"/>
                <w:spacing w:val="-5"/>
                <w:position w:val="2"/>
                <w:sz w:val="20"/>
              </w:rPr>
              <w:t>及有组织排放臭气浓度执行《恶</w:t>
            </w:r>
          </w:p>
        </w:tc>
      </w:tr>
    </w:tbl>
    <w:p>
      <w:pPr>
        <w:spacing w:after="0"/>
        <w:jc w:val="left"/>
        <w:rPr>
          <w:rFonts w:ascii="宋体" w:eastAsia="宋体" w:hint="eastAsia"/>
          <w:sz w:val="20"/>
        </w:rPr>
        <w:sectPr>
          <w:pgSz w:w="16840" w:h="11910" w:orient="landscape"/>
          <w:pgMar w:header="874" w:footer="1004" w:top="1180" w:bottom="1200" w:left="1200" w:right="1200"/>
        </w:sectPr>
      </w:pPr>
    </w:p>
    <w:p>
      <w:pPr>
        <w:pStyle w:val="BodyText"/>
        <w:spacing w:before="4"/>
        <w:ind w:left="0"/>
        <w:rPr>
          <w:rFonts w:ascii="Times New Roman"/>
          <w:sz w:val="8"/>
        </w:rPr>
      </w:pPr>
    </w:p>
    <w:tbl>
      <w:tblPr>
        <w:tblW w:w="0" w:type="auto"/>
        <w:jc w:val="left"/>
        <w:tblInd w:w="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35"/>
        <w:gridCol w:w="677"/>
        <w:gridCol w:w="1714"/>
        <w:gridCol w:w="7228"/>
        <w:gridCol w:w="3824"/>
      </w:tblGrid>
      <w:tr>
        <w:trPr>
          <w:trHeight w:val="935" w:hRule="atLeast"/>
        </w:trPr>
        <w:tc>
          <w:tcPr>
            <w:tcW w:w="735" w:type="dxa"/>
            <w:vMerge w:val="restart"/>
            <w:tcBorders>
              <w:bottom w:val="single" w:sz="6" w:space="0" w:color="000000"/>
              <w:right w:val="single" w:sz="6" w:space="0" w:color="000000"/>
            </w:tcBorders>
          </w:tcPr>
          <w:p>
            <w:pPr>
              <w:pStyle w:val="TableParagraph"/>
              <w:spacing w:before="0"/>
              <w:jc w:val="left"/>
              <w:rPr>
                <w:sz w:val="18"/>
              </w:rPr>
            </w:pPr>
          </w:p>
        </w:tc>
        <w:tc>
          <w:tcPr>
            <w:tcW w:w="677" w:type="dxa"/>
            <w:vMerge w:val="restart"/>
            <w:tcBorders>
              <w:left w:val="single" w:sz="6" w:space="0" w:color="000000"/>
              <w:bottom w:val="single" w:sz="6" w:space="0" w:color="000000"/>
              <w:right w:val="single" w:sz="6" w:space="0" w:color="000000"/>
            </w:tcBorders>
          </w:tcPr>
          <w:p>
            <w:pPr>
              <w:pStyle w:val="TableParagraph"/>
              <w:spacing w:before="0"/>
              <w:jc w:val="left"/>
              <w:rPr>
                <w:sz w:val="18"/>
              </w:rPr>
            </w:pPr>
          </w:p>
        </w:tc>
        <w:tc>
          <w:tcPr>
            <w:tcW w:w="1714" w:type="dxa"/>
            <w:tcBorders>
              <w:left w:val="single" w:sz="6" w:space="0" w:color="000000"/>
              <w:bottom w:val="single" w:sz="6" w:space="0" w:color="000000"/>
              <w:right w:val="single" w:sz="6" w:space="0" w:color="000000"/>
            </w:tcBorders>
          </w:tcPr>
          <w:p>
            <w:pPr>
              <w:pStyle w:val="TableParagraph"/>
              <w:spacing w:before="0"/>
              <w:jc w:val="left"/>
              <w:rPr>
                <w:sz w:val="18"/>
              </w:rPr>
            </w:pPr>
          </w:p>
        </w:tc>
        <w:tc>
          <w:tcPr>
            <w:tcW w:w="7228" w:type="dxa"/>
            <w:tcBorders>
              <w:left w:val="single" w:sz="6" w:space="0" w:color="000000"/>
              <w:bottom w:val="single" w:sz="6" w:space="0" w:color="000000"/>
              <w:right w:val="single" w:sz="6" w:space="0" w:color="000000"/>
            </w:tcBorders>
          </w:tcPr>
          <w:p>
            <w:pPr>
              <w:pStyle w:val="TableParagraph"/>
              <w:spacing w:before="27"/>
              <w:ind w:left="114"/>
              <w:jc w:val="left"/>
              <w:rPr>
                <w:rFonts w:ascii="宋体" w:hAnsi="宋体" w:eastAsia="宋体" w:hint="eastAsia"/>
                <w:sz w:val="20"/>
              </w:rPr>
            </w:pPr>
            <w:r>
              <w:rPr>
                <w:rFonts w:ascii="宋体" w:hAnsi="宋体" w:eastAsia="宋体" w:hint="eastAsia"/>
                <w:sz w:val="20"/>
              </w:rPr>
              <w:t>粪便及臭气的产生；③每天及时清理粪污，保持舍内清洁卫生、干燥；④定期进</w:t>
            </w:r>
          </w:p>
          <w:p>
            <w:pPr>
              <w:pStyle w:val="TableParagraph"/>
              <w:spacing w:line="310" w:lineRule="atLeast" w:before="2"/>
              <w:ind w:left="114" w:right="85"/>
              <w:jc w:val="left"/>
              <w:rPr>
                <w:rFonts w:ascii="宋体" w:hAnsi="宋体" w:eastAsia="宋体" w:hint="eastAsia"/>
                <w:sz w:val="20"/>
              </w:rPr>
            </w:pPr>
            <w:r>
              <w:rPr>
                <w:rFonts w:ascii="宋体" w:hAnsi="宋体" w:eastAsia="宋体" w:hint="eastAsia"/>
                <w:sz w:val="20"/>
              </w:rPr>
              <w:t>行消毒，每天喷洒除臭剂；⑤合理设置猪舍结构，控制饲养密度；⑥臭气经舍外喷淋过滤装置处理后排放；⑦加强绿化。</w:t>
            </w:r>
          </w:p>
        </w:tc>
        <w:tc>
          <w:tcPr>
            <w:tcW w:w="3824" w:type="dxa"/>
            <w:vMerge w:val="restart"/>
            <w:tcBorders>
              <w:left w:val="single" w:sz="6" w:space="0" w:color="000000"/>
              <w:bottom w:val="single" w:sz="6" w:space="0" w:color="000000"/>
            </w:tcBorders>
          </w:tcPr>
          <w:p>
            <w:pPr>
              <w:pStyle w:val="TableParagraph"/>
              <w:spacing w:line="292" w:lineRule="auto" w:before="27"/>
              <w:ind w:left="113" w:right="-29"/>
              <w:jc w:val="left"/>
              <w:rPr>
                <w:rFonts w:ascii="宋体" w:eastAsia="宋体" w:hint="eastAsia"/>
                <w:sz w:val="20"/>
              </w:rPr>
            </w:pPr>
            <w:r>
              <w:rPr>
                <w:rFonts w:ascii="宋体" w:eastAsia="宋体" w:hint="eastAsia"/>
                <w:spacing w:val="-7"/>
                <w:sz w:val="20"/>
              </w:rPr>
              <w:t>臭污染物排放标准》</w:t>
            </w:r>
            <w:r>
              <w:rPr>
                <w:rFonts w:ascii="宋体" w:eastAsia="宋体" w:hint="eastAsia"/>
                <w:sz w:val="20"/>
              </w:rPr>
              <w:t>（</w:t>
            </w:r>
            <w:r>
              <w:rPr>
                <w:sz w:val="20"/>
              </w:rPr>
              <w:t>GB</w:t>
            </w:r>
            <w:r>
              <w:rPr>
                <w:spacing w:val="-3"/>
                <w:sz w:val="20"/>
              </w:rPr>
              <w:t> 14554-93</w:t>
            </w:r>
            <w:r>
              <w:rPr>
                <w:rFonts w:ascii="宋体" w:eastAsia="宋体" w:hint="eastAsia"/>
                <w:spacing w:val="-3"/>
                <w:sz w:val="20"/>
              </w:rPr>
              <w:t>）</w:t>
            </w:r>
            <w:r>
              <w:rPr>
                <w:rFonts w:ascii="宋体" w:eastAsia="宋体" w:hint="eastAsia"/>
                <w:sz w:val="20"/>
              </w:rPr>
              <w:t>中的规定，厂界无组织臭气浓度执行《畜禽养</w:t>
            </w:r>
            <w:r>
              <w:rPr>
                <w:rFonts w:ascii="宋体" w:eastAsia="宋体" w:hint="eastAsia"/>
                <w:spacing w:val="-5"/>
                <w:sz w:val="20"/>
              </w:rPr>
              <w:t>殖业污染物排放标准》</w:t>
            </w:r>
            <w:r>
              <w:rPr>
                <w:rFonts w:ascii="宋体" w:eastAsia="宋体" w:hint="eastAsia"/>
                <w:sz w:val="20"/>
              </w:rPr>
              <w:t>（</w:t>
            </w:r>
            <w:r>
              <w:rPr>
                <w:sz w:val="20"/>
              </w:rPr>
              <w:t>DB</w:t>
            </w:r>
            <w:r>
              <w:rPr>
                <w:spacing w:val="-2"/>
                <w:sz w:val="20"/>
              </w:rPr>
              <w:t> </w:t>
            </w:r>
            <w:r>
              <w:rPr>
                <w:sz w:val="20"/>
              </w:rPr>
              <w:t>33/593-2005</w:t>
            </w:r>
            <w:r>
              <w:rPr>
                <w:rFonts w:ascii="宋体" w:eastAsia="宋体" w:hint="eastAsia"/>
                <w:sz w:val="20"/>
              </w:rPr>
              <w:t>） 中的规定。</w:t>
            </w:r>
          </w:p>
        </w:tc>
      </w:tr>
      <w:tr>
        <w:trPr>
          <w:trHeight w:val="1247"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1"/>
              <w:jc w:val="left"/>
              <w:rPr>
                <w:sz w:val="23"/>
              </w:rPr>
            </w:pPr>
          </w:p>
          <w:p>
            <w:pPr>
              <w:pStyle w:val="TableParagraph"/>
              <w:spacing w:before="0"/>
              <w:ind w:left="140" w:right="118"/>
              <w:rPr>
                <w:rFonts w:ascii="宋体" w:eastAsia="宋体" w:hint="eastAsia"/>
                <w:sz w:val="20"/>
              </w:rPr>
            </w:pPr>
            <w:r>
              <w:rPr>
                <w:rFonts w:ascii="宋体" w:eastAsia="宋体" w:hint="eastAsia"/>
                <w:sz w:val="20"/>
              </w:rPr>
              <w:t>粪污处理区臭气</w:t>
            </w:r>
          </w:p>
        </w:tc>
        <w:tc>
          <w:tcPr>
            <w:tcW w:w="7228" w:type="dxa"/>
            <w:tcBorders>
              <w:top w:val="single" w:sz="6" w:space="0" w:color="000000"/>
              <w:left w:val="single" w:sz="6" w:space="0" w:color="000000"/>
              <w:bottom w:val="single" w:sz="6" w:space="0" w:color="000000"/>
              <w:right w:val="single" w:sz="6" w:space="0" w:color="000000"/>
            </w:tcBorders>
          </w:tcPr>
          <w:p>
            <w:pPr>
              <w:pStyle w:val="TableParagraph"/>
              <w:spacing w:line="292" w:lineRule="auto" w:before="27"/>
              <w:ind w:left="114" w:right="85"/>
              <w:jc w:val="both"/>
              <w:rPr>
                <w:sz w:val="20"/>
              </w:rPr>
            </w:pPr>
            <w:r>
              <w:rPr>
                <w:rFonts w:ascii="宋体" w:hAnsi="宋体" w:eastAsia="宋体" w:hint="eastAsia"/>
                <w:spacing w:val="-1"/>
                <w:sz w:val="20"/>
              </w:rPr>
              <w:t>对污水处理站固液分离间、集水池、调节池、污泥池、生化物化处理池等构筑物</w:t>
            </w:r>
            <w:r>
              <w:rPr>
                <w:rFonts w:ascii="宋体" w:hAnsi="宋体" w:eastAsia="宋体" w:hint="eastAsia"/>
                <w:sz w:val="20"/>
              </w:rPr>
              <w:t>加盖集气，对固液分离间、猪粪投料间、有机肥仓库（含无害化处理间）</w:t>
            </w:r>
            <w:r>
              <w:rPr>
                <w:rFonts w:ascii="宋体" w:hAnsi="宋体" w:eastAsia="宋体" w:hint="eastAsia"/>
                <w:spacing w:val="-5"/>
                <w:sz w:val="20"/>
              </w:rPr>
              <w:t>进行整</w:t>
            </w:r>
            <w:r>
              <w:rPr>
                <w:rFonts w:ascii="宋体" w:hAnsi="宋体" w:eastAsia="宋体" w:hint="eastAsia"/>
                <w:spacing w:val="-13"/>
                <w:sz w:val="20"/>
              </w:rPr>
              <w:t>体负压集气，上述废气经收集后引至 </w:t>
            </w:r>
            <w:r>
              <w:rPr>
                <w:sz w:val="20"/>
              </w:rPr>
              <w:t>1 </w:t>
            </w:r>
            <w:r>
              <w:rPr>
                <w:rFonts w:ascii="宋体" w:hAnsi="宋体" w:eastAsia="宋体" w:hint="eastAsia"/>
                <w:sz w:val="20"/>
              </w:rPr>
              <w:t>套</w:t>
            </w:r>
            <w:r>
              <w:rPr>
                <w:sz w:val="20"/>
              </w:rPr>
              <w:t>“</w:t>
            </w:r>
            <w:r>
              <w:rPr>
                <w:rFonts w:ascii="宋体" w:hAnsi="宋体" w:eastAsia="宋体" w:hint="eastAsia"/>
                <w:sz w:val="20"/>
              </w:rPr>
              <w:t>二级喷淋装置</w:t>
            </w:r>
            <w:r>
              <w:rPr>
                <w:sz w:val="20"/>
              </w:rPr>
              <w:t>”</w:t>
            </w:r>
            <w:r>
              <w:rPr>
                <w:rFonts w:ascii="宋体" w:hAnsi="宋体" w:eastAsia="宋体" w:hint="eastAsia"/>
                <w:spacing w:val="-16"/>
                <w:sz w:val="20"/>
              </w:rPr>
              <w:t>处理，尾气由对应的 </w:t>
            </w:r>
            <w:r>
              <w:rPr>
                <w:spacing w:val="-3"/>
                <w:sz w:val="20"/>
              </w:rPr>
              <w:t>15m</w:t>
            </w:r>
          </w:p>
          <w:p>
            <w:pPr>
              <w:pStyle w:val="TableParagraph"/>
              <w:spacing w:line="255" w:lineRule="exact" w:before="0"/>
              <w:ind w:left="114"/>
              <w:jc w:val="left"/>
              <w:rPr>
                <w:rFonts w:ascii="宋体" w:eastAsia="宋体" w:hint="eastAsia"/>
                <w:sz w:val="20"/>
              </w:rPr>
            </w:pPr>
            <w:r>
              <w:rPr>
                <w:rFonts w:ascii="宋体" w:eastAsia="宋体" w:hint="eastAsia"/>
                <w:sz w:val="20"/>
              </w:rPr>
              <w:t>高排气筒（</w:t>
            </w:r>
            <w:r>
              <w:rPr>
                <w:sz w:val="20"/>
              </w:rPr>
              <w:t>DA001</w:t>
            </w:r>
            <w:r>
              <w:rPr>
                <w:rFonts w:ascii="宋体" w:eastAsia="宋体" w:hint="eastAsia"/>
                <w:sz w:val="20"/>
              </w:rPr>
              <w:t>）高空排放。</w:t>
            </w:r>
          </w:p>
        </w:tc>
        <w:tc>
          <w:tcPr>
            <w:tcW w:w="3824" w:type="dxa"/>
            <w:vMerge/>
            <w:tcBorders>
              <w:top w:val="nil"/>
              <w:left w:val="single" w:sz="6" w:space="0" w:color="000000"/>
              <w:bottom w:val="single" w:sz="6" w:space="0" w:color="000000"/>
            </w:tcBorders>
          </w:tcPr>
          <w:p>
            <w:pPr>
              <w:rPr>
                <w:sz w:val="2"/>
                <w:szCs w:val="2"/>
              </w:rPr>
            </w:pPr>
          </w:p>
        </w:tc>
      </w:tr>
      <w:tr>
        <w:trPr>
          <w:trHeight w:val="625"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2"/>
              <w:jc w:val="left"/>
              <w:rPr>
                <w:sz w:val="16"/>
              </w:rPr>
            </w:pPr>
          </w:p>
          <w:p>
            <w:pPr>
              <w:pStyle w:val="TableParagraph"/>
              <w:spacing w:before="0"/>
              <w:ind w:left="138" w:right="118"/>
              <w:rPr>
                <w:rFonts w:ascii="宋体" w:eastAsia="宋体" w:hint="eastAsia"/>
                <w:sz w:val="20"/>
              </w:rPr>
            </w:pPr>
            <w:r>
              <w:rPr>
                <w:rFonts w:ascii="宋体" w:eastAsia="宋体" w:hint="eastAsia"/>
                <w:sz w:val="20"/>
              </w:rPr>
              <w:t>猪粪发酵臭气</w:t>
            </w:r>
          </w:p>
        </w:tc>
        <w:tc>
          <w:tcPr>
            <w:tcW w:w="7228" w:type="dxa"/>
            <w:tcBorders>
              <w:top w:val="single" w:sz="6" w:space="0" w:color="000000"/>
              <w:left w:val="single" w:sz="6" w:space="0" w:color="000000"/>
              <w:bottom w:val="single" w:sz="6" w:space="0" w:color="000000"/>
              <w:right w:val="single" w:sz="6" w:space="0" w:color="000000"/>
            </w:tcBorders>
          </w:tcPr>
          <w:p>
            <w:pPr>
              <w:pStyle w:val="TableParagraph"/>
              <w:spacing w:before="30"/>
              <w:ind w:left="114"/>
              <w:jc w:val="left"/>
              <w:rPr>
                <w:rFonts w:ascii="宋体" w:eastAsia="宋体" w:hint="eastAsia"/>
                <w:sz w:val="20"/>
              </w:rPr>
            </w:pPr>
            <w:r>
              <w:rPr>
                <w:rFonts w:ascii="宋体" w:eastAsia="宋体" w:hint="eastAsia"/>
                <w:sz w:val="20"/>
              </w:rPr>
              <w:t>发酵罐臭气经设备配套的喷淋装置处理后由对应的 </w:t>
            </w:r>
            <w:r>
              <w:rPr>
                <w:sz w:val="20"/>
              </w:rPr>
              <w:t>15m </w:t>
            </w:r>
            <w:r>
              <w:rPr>
                <w:rFonts w:ascii="宋体" w:eastAsia="宋体" w:hint="eastAsia"/>
                <w:sz w:val="20"/>
              </w:rPr>
              <w:t>高排气筒（</w:t>
            </w:r>
            <w:r>
              <w:rPr>
                <w:sz w:val="20"/>
              </w:rPr>
              <w:t>DA002-1</w:t>
            </w:r>
            <w:r>
              <w:rPr>
                <w:rFonts w:ascii="宋体" w:eastAsia="宋体" w:hint="eastAsia"/>
                <w:sz w:val="20"/>
              </w:rPr>
              <w:t>、</w:t>
            </w:r>
          </w:p>
          <w:p>
            <w:pPr>
              <w:pStyle w:val="TableParagraph"/>
              <w:spacing w:before="56"/>
              <w:ind w:left="114"/>
              <w:jc w:val="left"/>
              <w:rPr>
                <w:rFonts w:ascii="宋体" w:eastAsia="宋体" w:hint="eastAsia"/>
                <w:sz w:val="20"/>
              </w:rPr>
            </w:pPr>
            <w:r>
              <w:rPr>
                <w:sz w:val="20"/>
              </w:rPr>
              <w:t>DA002-2</w:t>
            </w:r>
            <w:r>
              <w:rPr>
                <w:rFonts w:ascii="宋体" w:eastAsia="宋体" w:hint="eastAsia"/>
                <w:sz w:val="20"/>
              </w:rPr>
              <w:t>，共 </w:t>
            </w:r>
            <w:r>
              <w:rPr>
                <w:sz w:val="20"/>
              </w:rPr>
              <w:t>2 </w:t>
            </w:r>
            <w:r>
              <w:rPr>
                <w:rFonts w:ascii="宋体" w:eastAsia="宋体" w:hint="eastAsia"/>
                <w:sz w:val="20"/>
              </w:rPr>
              <w:t>个）排放。</w:t>
            </w:r>
          </w:p>
        </w:tc>
        <w:tc>
          <w:tcPr>
            <w:tcW w:w="3824" w:type="dxa"/>
            <w:vMerge/>
            <w:tcBorders>
              <w:top w:val="nil"/>
              <w:left w:val="single" w:sz="6" w:space="0" w:color="000000"/>
              <w:bottom w:val="single" w:sz="6" w:space="0" w:color="000000"/>
            </w:tcBorders>
          </w:tcPr>
          <w:p>
            <w:pPr>
              <w:rPr>
                <w:sz w:val="2"/>
                <w:szCs w:val="2"/>
              </w:rPr>
            </w:pPr>
          </w:p>
        </w:tc>
      </w:tr>
      <w:tr>
        <w:trPr>
          <w:trHeight w:val="623"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15"/>
              </w:rPr>
            </w:pPr>
          </w:p>
          <w:p>
            <w:pPr>
              <w:pStyle w:val="TableParagraph"/>
              <w:spacing w:before="0"/>
              <w:ind w:left="140" w:right="118"/>
              <w:rPr>
                <w:rFonts w:ascii="宋体" w:eastAsia="宋体" w:hint="eastAsia"/>
                <w:sz w:val="20"/>
              </w:rPr>
            </w:pPr>
            <w:r>
              <w:rPr>
                <w:rFonts w:ascii="宋体" w:eastAsia="宋体" w:hint="eastAsia"/>
                <w:sz w:val="20"/>
              </w:rPr>
              <w:t>无害化处理废气</w:t>
            </w:r>
          </w:p>
        </w:tc>
        <w:tc>
          <w:tcPr>
            <w:tcW w:w="7228" w:type="dxa"/>
            <w:tcBorders>
              <w:top w:val="single" w:sz="6" w:space="0" w:color="000000"/>
              <w:left w:val="single" w:sz="6" w:space="0" w:color="000000"/>
              <w:bottom w:val="single" w:sz="6" w:space="0" w:color="000000"/>
              <w:right w:val="single" w:sz="6" w:space="0" w:color="000000"/>
            </w:tcBorders>
          </w:tcPr>
          <w:p>
            <w:pPr>
              <w:pStyle w:val="TableParagraph"/>
              <w:spacing w:before="27"/>
              <w:ind w:left="114"/>
              <w:jc w:val="left"/>
              <w:rPr>
                <w:rFonts w:ascii="宋体" w:eastAsia="宋体" w:hint="eastAsia"/>
                <w:sz w:val="20"/>
              </w:rPr>
            </w:pPr>
            <w:r>
              <w:rPr>
                <w:rFonts w:ascii="宋体" w:eastAsia="宋体" w:hint="eastAsia"/>
                <w:sz w:val="20"/>
              </w:rPr>
              <w:t>要求废气收集管线与无害化处理机排气口实行硬链接，臭气引至配套的喷淋装置</w:t>
            </w:r>
          </w:p>
          <w:p>
            <w:pPr>
              <w:pStyle w:val="TableParagraph"/>
              <w:spacing w:before="56"/>
              <w:ind w:left="114"/>
              <w:jc w:val="left"/>
              <w:rPr>
                <w:rFonts w:ascii="宋体" w:eastAsia="宋体" w:hint="eastAsia"/>
                <w:sz w:val="20"/>
              </w:rPr>
            </w:pPr>
            <w:r>
              <w:rPr>
                <w:rFonts w:ascii="宋体" w:eastAsia="宋体" w:hint="eastAsia"/>
                <w:sz w:val="20"/>
              </w:rPr>
              <w:t>处理后由对应的 </w:t>
            </w:r>
            <w:r>
              <w:rPr>
                <w:sz w:val="20"/>
              </w:rPr>
              <w:t>15m </w:t>
            </w:r>
            <w:r>
              <w:rPr>
                <w:rFonts w:ascii="宋体" w:eastAsia="宋体" w:hint="eastAsia"/>
                <w:sz w:val="20"/>
              </w:rPr>
              <w:t>高排气筒（</w:t>
            </w:r>
            <w:r>
              <w:rPr>
                <w:sz w:val="20"/>
              </w:rPr>
              <w:t>DA003-1</w:t>
            </w:r>
            <w:r>
              <w:rPr>
                <w:rFonts w:ascii="宋体" w:eastAsia="宋体" w:hint="eastAsia"/>
                <w:sz w:val="20"/>
              </w:rPr>
              <w:t>、</w:t>
            </w:r>
            <w:r>
              <w:rPr>
                <w:sz w:val="20"/>
              </w:rPr>
              <w:t>DA003-2</w:t>
            </w:r>
            <w:r>
              <w:rPr>
                <w:rFonts w:ascii="宋体" w:eastAsia="宋体" w:hint="eastAsia"/>
                <w:sz w:val="20"/>
              </w:rPr>
              <w:t>，共 </w:t>
            </w:r>
            <w:r>
              <w:rPr>
                <w:sz w:val="20"/>
              </w:rPr>
              <w:t>2 </w:t>
            </w:r>
            <w:r>
              <w:rPr>
                <w:rFonts w:ascii="宋体" w:eastAsia="宋体" w:hint="eastAsia"/>
                <w:sz w:val="20"/>
              </w:rPr>
              <w:t>个）排放。</w:t>
            </w:r>
          </w:p>
        </w:tc>
        <w:tc>
          <w:tcPr>
            <w:tcW w:w="3824" w:type="dxa"/>
            <w:vMerge/>
            <w:tcBorders>
              <w:top w:val="nil"/>
              <w:left w:val="single" w:sz="6" w:space="0" w:color="000000"/>
              <w:bottom w:val="single" w:sz="6" w:space="0" w:color="000000"/>
            </w:tcBorders>
          </w:tcPr>
          <w:p>
            <w:pPr>
              <w:rPr>
                <w:sz w:val="2"/>
                <w:szCs w:val="2"/>
              </w:rPr>
            </w:pPr>
          </w:p>
        </w:tc>
      </w:tr>
      <w:tr>
        <w:trPr>
          <w:trHeight w:val="935"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29"/>
              </w:rPr>
            </w:pPr>
          </w:p>
          <w:p>
            <w:pPr>
              <w:pStyle w:val="TableParagraph"/>
              <w:spacing w:before="0"/>
              <w:ind w:left="138" w:right="118"/>
              <w:rPr>
                <w:rFonts w:ascii="宋体" w:eastAsia="宋体" w:hint="eastAsia"/>
                <w:sz w:val="20"/>
              </w:rPr>
            </w:pPr>
            <w:r>
              <w:rPr>
                <w:rFonts w:ascii="宋体" w:eastAsia="宋体" w:hint="eastAsia"/>
                <w:sz w:val="20"/>
              </w:rPr>
              <w:t>沼气锅炉废气</w:t>
            </w:r>
          </w:p>
        </w:tc>
        <w:tc>
          <w:tcPr>
            <w:tcW w:w="7228" w:type="dxa"/>
            <w:tcBorders>
              <w:top w:val="single" w:sz="6" w:space="0" w:color="000000"/>
              <w:left w:val="single" w:sz="6" w:space="0" w:color="000000"/>
              <w:bottom w:val="single" w:sz="6" w:space="0" w:color="000000"/>
              <w:right w:val="single" w:sz="6" w:space="0" w:color="000000"/>
            </w:tcBorders>
          </w:tcPr>
          <w:p>
            <w:pPr>
              <w:pStyle w:val="TableParagraph"/>
              <w:spacing w:before="183"/>
              <w:ind w:left="114"/>
              <w:jc w:val="left"/>
              <w:rPr>
                <w:rFonts w:ascii="宋体" w:eastAsia="宋体" w:hint="eastAsia"/>
                <w:sz w:val="20"/>
              </w:rPr>
            </w:pPr>
            <w:r>
              <w:rPr>
                <w:rFonts w:ascii="宋体" w:eastAsia="宋体" w:hint="eastAsia"/>
                <w:sz w:val="20"/>
              </w:rPr>
              <w:t>沼气经脱水脱硫预处理后供热水锅炉和食堂综合利用，锅炉废气由 </w:t>
            </w:r>
            <w:r>
              <w:rPr>
                <w:sz w:val="20"/>
              </w:rPr>
              <w:t>8m </w:t>
            </w:r>
            <w:r>
              <w:rPr>
                <w:rFonts w:ascii="宋体" w:eastAsia="宋体" w:hint="eastAsia"/>
                <w:sz w:val="20"/>
              </w:rPr>
              <w:t>高排气筒</w:t>
            </w:r>
          </w:p>
          <w:p>
            <w:pPr>
              <w:pStyle w:val="TableParagraph"/>
              <w:spacing w:before="57"/>
              <w:ind w:left="114"/>
              <w:jc w:val="left"/>
              <w:rPr>
                <w:rFonts w:ascii="宋体" w:eastAsia="宋体" w:hint="eastAsia"/>
                <w:sz w:val="20"/>
              </w:rPr>
            </w:pPr>
            <w:r>
              <w:rPr>
                <w:rFonts w:ascii="宋体" w:eastAsia="宋体" w:hint="eastAsia"/>
                <w:sz w:val="20"/>
              </w:rPr>
              <w:t>（</w:t>
            </w:r>
            <w:r>
              <w:rPr>
                <w:sz w:val="20"/>
              </w:rPr>
              <w:t>DA004</w:t>
            </w:r>
            <w:r>
              <w:rPr>
                <w:rFonts w:ascii="宋体" w:eastAsia="宋体" w:hint="eastAsia"/>
                <w:sz w:val="20"/>
              </w:rPr>
              <w:t>）排放。</w:t>
            </w:r>
          </w:p>
        </w:tc>
        <w:tc>
          <w:tcPr>
            <w:tcW w:w="3824" w:type="dxa"/>
            <w:tcBorders>
              <w:top w:val="single" w:sz="6" w:space="0" w:color="000000"/>
              <w:left w:val="single" w:sz="6" w:space="0" w:color="000000"/>
              <w:bottom w:val="single" w:sz="6" w:space="0" w:color="000000"/>
            </w:tcBorders>
          </w:tcPr>
          <w:p>
            <w:pPr>
              <w:pStyle w:val="TableParagraph"/>
              <w:spacing w:before="27"/>
              <w:ind w:left="113" w:right="-29"/>
              <w:jc w:val="left"/>
              <w:rPr>
                <w:rFonts w:ascii="宋体" w:eastAsia="宋体" w:hint="eastAsia"/>
                <w:sz w:val="20"/>
              </w:rPr>
            </w:pPr>
            <w:r>
              <w:rPr>
                <w:rFonts w:ascii="宋体" w:eastAsia="宋体" w:hint="eastAsia"/>
                <w:spacing w:val="-10"/>
                <w:sz w:val="20"/>
              </w:rPr>
              <w:t>锅炉废气执行《锅炉大气污染物排放标准》</w:t>
            </w:r>
          </w:p>
          <w:p>
            <w:pPr>
              <w:pStyle w:val="TableParagraph"/>
              <w:spacing w:line="312" w:lineRule="exact" w:before="7"/>
              <w:ind w:left="113" w:right="80"/>
              <w:jc w:val="left"/>
              <w:rPr>
                <w:rFonts w:ascii="宋体" w:eastAsia="宋体" w:hint="eastAsia"/>
                <w:sz w:val="20"/>
              </w:rPr>
            </w:pPr>
            <w:r>
              <w:rPr>
                <w:rFonts w:ascii="宋体" w:eastAsia="宋体" w:hint="eastAsia"/>
                <w:sz w:val="20"/>
              </w:rPr>
              <w:t>（</w:t>
            </w:r>
            <w:r>
              <w:rPr>
                <w:sz w:val="20"/>
              </w:rPr>
              <w:t>GB 13271- 2014</w:t>
            </w:r>
            <w:r>
              <w:rPr>
                <w:rFonts w:ascii="宋体" w:eastAsia="宋体" w:hint="eastAsia"/>
                <w:sz w:val="20"/>
              </w:rPr>
              <w:t>）中表 </w:t>
            </w:r>
            <w:r>
              <w:rPr>
                <w:sz w:val="20"/>
              </w:rPr>
              <w:t>3 </w:t>
            </w:r>
            <w:r>
              <w:rPr>
                <w:rFonts w:ascii="宋体" w:eastAsia="宋体" w:hint="eastAsia"/>
                <w:sz w:val="20"/>
              </w:rPr>
              <w:t>燃气锅炉的规定。</w:t>
            </w:r>
          </w:p>
        </w:tc>
      </w:tr>
      <w:tr>
        <w:trPr>
          <w:trHeight w:val="623" w:hRule="atLeast"/>
        </w:trPr>
        <w:tc>
          <w:tcPr>
            <w:tcW w:w="735" w:type="dxa"/>
            <w:vMerge/>
            <w:tcBorders>
              <w:top w:val="nil"/>
              <w:bottom w:val="single" w:sz="6" w:space="0" w:color="000000"/>
              <w:right w:val="single" w:sz="6" w:space="0" w:color="000000"/>
            </w:tcBorders>
          </w:tcPr>
          <w:p>
            <w:pPr>
              <w:rPr>
                <w:sz w:val="2"/>
                <w:szCs w:val="2"/>
              </w:rPr>
            </w:pPr>
          </w:p>
        </w:tc>
        <w:tc>
          <w:tcPr>
            <w:tcW w:w="677" w:type="dxa"/>
            <w:vMerge/>
            <w:tcBorders>
              <w:top w:val="nil"/>
              <w:left w:val="single" w:sz="6" w:space="0" w:color="000000"/>
              <w:bottom w:val="single" w:sz="6" w:space="0" w:color="000000"/>
              <w:right w:val="single" w:sz="6" w:space="0" w:color="000000"/>
            </w:tcBorders>
          </w:tcPr>
          <w:p>
            <w:pPr>
              <w:rPr>
                <w:sz w:val="2"/>
                <w:szCs w:val="2"/>
              </w:rPr>
            </w:pP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sz w:val="15"/>
              </w:rPr>
            </w:pPr>
          </w:p>
          <w:p>
            <w:pPr>
              <w:pStyle w:val="TableParagraph"/>
              <w:spacing w:before="0"/>
              <w:ind w:left="140" w:right="118"/>
              <w:rPr>
                <w:rFonts w:ascii="宋体" w:eastAsia="宋体" w:hint="eastAsia"/>
                <w:sz w:val="20"/>
              </w:rPr>
            </w:pPr>
            <w:r>
              <w:rPr>
                <w:rFonts w:ascii="宋体" w:eastAsia="宋体" w:hint="eastAsia"/>
                <w:sz w:val="20"/>
              </w:rPr>
              <w:t>食堂油烟</w:t>
            </w:r>
          </w:p>
        </w:tc>
        <w:tc>
          <w:tcPr>
            <w:tcW w:w="7228" w:type="dxa"/>
            <w:tcBorders>
              <w:top w:val="single" w:sz="6" w:space="0" w:color="000000"/>
              <w:left w:val="single" w:sz="6" w:space="0" w:color="000000"/>
              <w:bottom w:val="single" w:sz="6" w:space="0" w:color="000000"/>
              <w:right w:val="single" w:sz="6" w:space="0" w:color="000000"/>
            </w:tcBorders>
          </w:tcPr>
          <w:p>
            <w:pPr>
              <w:pStyle w:val="TableParagraph"/>
              <w:spacing w:before="183"/>
              <w:ind w:left="114"/>
              <w:jc w:val="left"/>
              <w:rPr>
                <w:rFonts w:ascii="宋体" w:eastAsia="宋体" w:hint="eastAsia"/>
                <w:sz w:val="20"/>
              </w:rPr>
            </w:pPr>
            <w:r>
              <w:rPr>
                <w:rFonts w:ascii="宋体" w:eastAsia="宋体" w:hint="eastAsia"/>
                <w:sz w:val="20"/>
              </w:rPr>
              <w:t>经油烟净化装置处理后引至屋顶高空排放，要求净化效率不低于 </w:t>
            </w:r>
            <w:r>
              <w:rPr>
                <w:sz w:val="20"/>
              </w:rPr>
              <w:t>75%</w:t>
            </w:r>
            <w:r>
              <w:rPr>
                <w:rFonts w:ascii="宋体" w:eastAsia="宋体" w:hint="eastAsia"/>
                <w:sz w:val="20"/>
              </w:rPr>
              <w:t>。</w:t>
            </w:r>
          </w:p>
        </w:tc>
        <w:tc>
          <w:tcPr>
            <w:tcW w:w="3824" w:type="dxa"/>
            <w:tcBorders>
              <w:top w:val="single" w:sz="6" w:space="0" w:color="000000"/>
              <w:left w:val="single" w:sz="6" w:space="0" w:color="000000"/>
              <w:bottom w:val="single" w:sz="6" w:space="0" w:color="000000"/>
            </w:tcBorders>
          </w:tcPr>
          <w:p>
            <w:pPr>
              <w:pStyle w:val="TableParagraph"/>
              <w:spacing w:before="27"/>
              <w:ind w:left="113"/>
              <w:jc w:val="left"/>
              <w:rPr>
                <w:sz w:val="20"/>
              </w:rPr>
            </w:pPr>
            <w:r>
              <w:rPr>
                <w:rFonts w:ascii="宋体" w:eastAsia="宋体" w:hint="eastAsia"/>
                <w:spacing w:val="-10"/>
                <w:sz w:val="20"/>
              </w:rPr>
              <w:t>排放浓度符合《饮食业油烟排放标准</w:t>
            </w:r>
            <w:r>
              <w:rPr>
                <w:rFonts w:ascii="宋体" w:eastAsia="宋体" w:hint="eastAsia"/>
                <w:spacing w:val="-178"/>
                <w:sz w:val="20"/>
              </w:rPr>
              <w:t>》</w:t>
            </w:r>
            <w:r>
              <w:rPr>
                <w:rFonts w:ascii="宋体" w:eastAsia="宋体" w:hint="eastAsia"/>
                <w:sz w:val="20"/>
              </w:rPr>
              <w:t>（</w:t>
            </w:r>
            <w:r>
              <w:rPr>
                <w:sz w:val="20"/>
              </w:rPr>
              <w:t>GB</w:t>
            </w:r>
          </w:p>
          <w:p>
            <w:pPr>
              <w:pStyle w:val="TableParagraph"/>
              <w:spacing w:before="56"/>
              <w:ind w:left="113"/>
              <w:jc w:val="left"/>
              <w:rPr>
                <w:rFonts w:ascii="宋体" w:eastAsia="宋体" w:hint="eastAsia"/>
                <w:sz w:val="20"/>
              </w:rPr>
            </w:pPr>
            <w:r>
              <w:rPr>
                <w:sz w:val="20"/>
              </w:rPr>
              <w:t>18483-2001</w:t>
            </w:r>
            <w:r>
              <w:rPr>
                <w:rFonts w:ascii="宋体" w:eastAsia="宋体" w:hint="eastAsia"/>
                <w:sz w:val="20"/>
              </w:rPr>
              <w:t>）。</w:t>
            </w:r>
          </w:p>
        </w:tc>
      </w:tr>
      <w:tr>
        <w:trPr>
          <w:trHeight w:val="1562"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0"/>
              <w:jc w:val="left"/>
              <w:rPr>
                <w:sz w:val="20"/>
              </w:rPr>
            </w:pPr>
          </w:p>
          <w:p>
            <w:pPr>
              <w:pStyle w:val="TableParagraph"/>
              <w:spacing w:before="10"/>
              <w:jc w:val="left"/>
              <w:rPr>
                <w:sz w:val="16"/>
              </w:rPr>
            </w:pPr>
          </w:p>
          <w:p>
            <w:pPr>
              <w:pStyle w:val="TableParagraph"/>
              <w:spacing w:before="0"/>
              <w:ind w:right="115"/>
              <w:jc w:val="right"/>
              <w:rPr>
                <w:rFonts w:ascii="宋体" w:eastAsia="宋体" w:hint="eastAsia"/>
                <w:sz w:val="20"/>
              </w:rPr>
            </w:pPr>
            <w:r>
              <w:rPr>
                <w:rFonts w:ascii="宋体" w:eastAsia="宋体" w:hint="eastAsia"/>
                <w:w w:val="95"/>
                <w:sz w:val="20"/>
              </w:rPr>
              <w:t>固废</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p>
            <w:pPr>
              <w:pStyle w:val="TableParagraph"/>
              <w:spacing w:before="3"/>
              <w:jc w:val="left"/>
              <w:rPr>
                <w:sz w:val="23"/>
              </w:rPr>
            </w:pPr>
          </w:p>
          <w:p>
            <w:pPr>
              <w:pStyle w:val="TableParagraph"/>
              <w:spacing w:line="292" w:lineRule="auto" w:before="0"/>
              <w:ind w:left="462" w:right="437"/>
              <w:jc w:val="left"/>
              <w:rPr>
                <w:rFonts w:ascii="宋体" w:eastAsia="宋体" w:hint="eastAsia"/>
                <w:sz w:val="20"/>
              </w:rPr>
            </w:pPr>
            <w:r>
              <w:rPr>
                <w:rFonts w:ascii="宋体" w:eastAsia="宋体" w:hint="eastAsia"/>
                <w:sz w:val="20"/>
              </w:rPr>
              <w:t>危险废物一般废物</w:t>
            </w:r>
          </w:p>
        </w:tc>
        <w:tc>
          <w:tcPr>
            <w:tcW w:w="7228" w:type="dxa"/>
            <w:tcBorders>
              <w:top w:val="single" w:sz="6" w:space="0" w:color="000000"/>
              <w:left w:val="single" w:sz="6" w:space="0" w:color="000000"/>
              <w:bottom w:val="single" w:sz="6" w:space="0" w:color="000000"/>
              <w:right w:val="single" w:sz="6" w:space="0" w:color="000000"/>
            </w:tcBorders>
          </w:tcPr>
          <w:p>
            <w:pPr>
              <w:pStyle w:val="TableParagraph"/>
              <w:spacing w:line="292" w:lineRule="auto" w:before="30"/>
              <w:ind w:left="114" w:right="86"/>
              <w:jc w:val="both"/>
              <w:rPr>
                <w:rFonts w:ascii="宋体" w:hAnsi="宋体" w:eastAsia="宋体" w:hint="eastAsia"/>
                <w:sz w:val="20"/>
              </w:rPr>
            </w:pPr>
            <w:r>
              <w:rPr>
                <w:rFonts w:ascii="宋体" w:hAnsi="宋体" w:eastAsia="宋体" w:hint="eastAsia"/>
                <w:sz w:val="20"/>
              </w:rPr>
              <w:t>①发酵产物外运生产有机肥，一般废包装物收集后外卖综合利用，废脱硫剂由设备供应商更换回收，生活垃圾由环卫部门统一清运；②危化品废包装物、废矿物油、医疗废物委托有相应危废处理资质的单位安全处置，其转移须实行转移联单制度；③建立规范化固废堆场，做好标识、防风、防雨、防渗漏等工作，按规范</w:t>
            </w:r>
          </w:p>
          <w:p>
            <w:pPr>
              <w:pStyle w:val="TableParagraph"/>
              <w:spacing w:line="254" w:lineRule="exact" w:before="0"/>
              <w:ind w:left="114"/>
              <w:jc w:val="left"/>
              <w:rPr>
                <w:rFonts w:ascii="宋体" w:eastAsia="宋体" w:hint="eastAsia"/>
                <w:sz w:val="20"/>
              </w:rPr>
            </w:pPr>
            <w:r>
              <w:rPr>
                <w:rFonts w:ascii="宋体" w:eastAsia="宋体" w:hint="eastAsia"/>
                <w:sz w:val="20"/>
              </w:rPr>
              <w:t>收集储存各类废物。</w:t>
            </w:r>
          </w:p>
        </w:tc>
        <w:tc>
          <w:tcPr>
            <w:tcW w:w="3824" w:type="dxa"/>
            <w:tcBorders>
              <w:top w:val="single" w:sz="6" w:space="0" w:color="000000"/>
              <w:left w:val="single" w:sz="6" w:space="0" w:color="000000"/>
              <w:bottom w:val="single" w:sz="6" w:space="0" w:color="000000"/>
            </w:tcBorders>
          </w:tcPr>
          <w:p>
            <w:pPr>
              <w:pStyle w:val="TableParagraph"/>
              <w:spacing w:before="2"/>
              <w:jc w:val="left"/>
              <w:rPr>
                <w:sz w:val="16"/>
              </w:rPr>
            </w:pPr>
          </w:p>
          <w:p>
            <w:pPr>
              <w:pStyle w:val="TableParagraph"/>
              <w:spacing w:line="292" w:lineRule="auto" w:before="0"/>
              <w:ind w:left="113" w:right="-29"/>
              <w:jc w:val="left"/>
              <w:rPr>
                <w:rFonts w:ascii="宋体" w:eastAsia="宋体" w:hint="eastAsia"/>
                <w:sz w:val="20"/>
              </w:rPr>
            </w:pPr>
            <w:r>
              <w:rPr>
                <w:rFonts w:ascii="宋体" w:eastAsia="宋体" w:hint="eastAsia"/>
                <w:sz w:val="20"/>
              </w:rPr>
              <w:t>符合《一般工业固体废弃物贮存和填埋污</w:t>
            </w:r>
            <w:r>
              <w:rPr>
                <w:rFonts w:ascii="宋体" w:eastAsia="宋体" w:hint="eastAsia"/>
                <w:spacing w:val="-6"/>
                <w:sz w:val="20"/>
              </w:rPr>
              <w:t>染控制标准》</w:t>
            </w:r>
            <w:r>
              <w:rPr>
                <w:rFonts w:ascii="宋体" w:eastAsia="宋体" w:hint="eastAsia"/>
                <w:sz w:val="20"/>
              </w:rPr>
              <w:t>（</w:t>
            </w:r>
            <w:r>
              <w:rPr>
                <w:sz w:val="20"/>
              </w:rPr>
              <w:t>GB</w:t>
            </w:r>
            <w:r>
              <w:rPr>
                <w:spacing w:val="-8"/>
                <w:sz w:val="20"/>
              </w:rPr>
              <w:t> </w:t>
            </w:r>
            <w:r>
              <w:rPr>
                <w:sz w:val="20"/>
              </w:rPr>
              <w:t>18599-2020</w:t>
            </w:r>
            <w:r>
              <w:rPr>
                <w:rFonts w:ascii="宋体" w:eastAsia="宋体" w:hint="eastAsia"/>
                <w:sz w:val="20"/>
              </w:rPr>
              <w:t>）</w:t>
            </w:r>
            <w:r>
              <w:rPr>
                <w:rFonts w:ascii="宋体" w:eastAsia="宋体" w:hint="eastAsia"/>
                <w:spacing w:val="-9"/>
                <w:sz w:val="20"/>
              </w:rPr>
              <w:t>、《危险废物贮存污染控制标准</w:t>
            </w:r>
            <w:r>
              <w:rPr>
                <w:rFonts w:ascii="宋体" w:eastAsia="宋体" w:hint="eastAsia"/>
                <w:spacing w:val="-188"/>
                <w:sz w:val="20"/>
              </w:rPr>
              <w:t>》</w:t>
            </w:r>
            <w:r>
              <w:rPr>
                <w:rFonts w:ascii="宋体" w:eastAsia="宋体" w:hint="eastAsia"/>
                <w:sz w:val="20"/>
              </w:rPr>
              <w:t>（</w:t>
            </w:r>
            <w:r>
              <w:rPr>
                <w:sz w:val="20"/>
              </w:rPr>
              <w:t>GB</w:t>
            </w:r>
            <w:r>
              <w:rPr>
                <w:spacing w:val="-1"/>
                <w:sz w:val="20"/>
              </w:rPr>
              <w:t> </w:t>
            </w:r>
            <w:r>
              <w:rPr>
                <w:sz w:val="20"/>
              </w:rPr>
              <w:t>18597-2001</w:t>
            </w:r>
            <w:r>
              <w:rPr>
                <w:rFonts w:ascii="宋体" w:eastAsia="宋体" w:hint="eastAsia"/>
                <w:sz w:val="20"/>
              </w:rPr>
              <w:t>） 及修改单规定。</w:t>
            </w:r>
          </w:p>
        </w:tc>
      </w:tr>
      <w:tr>
        <w:trPr>
          <w:trHeight w:val="935" w:hRule="atLeast"/>
        </w:trPr>
        <w:tc>
          <w:tcPr>
            <w:tcW w:w="735" w:type="dxa"/>
            <w:vMerge/>
            <w:tcBorders>
              <w:top w:val="nil"/>
              <w:bottom w:val="single" w:sz="6" w:space="0" w:color="000000"/>
              <w:right w:val="single" w:sz="6" w:space="0" w:color="000000"/>
            </w:tcBorders>
          </w:tcPr>
          <w:p>
            <w:pPr>
              <w:rPr>
                <w:sz w:val="2"/>
                <w:szCs w:val="2"/>
              </w:rPr>
            </w:pPr>
          </w:p>
        </w:tc>
        <w:tc>
          <w:tcPr>
            <w:tcW w:w="677"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29"/>
              </w:rPr>
            </w:pPr>
          </w:p>
          <w:p>
            <w:pPr>
              <w:pStyle w:val="TableParagraph"/>
              <w:spacing w:before="0"/>
              <w:ind w:right="115"/>
              <w:jc w:val="right"/>
              <w:rPr>
                <w:rFonts w:ascii="宋体" w:eastAsia="宋体" w:hint="eastAsia"/>
                <w:sz w:val="20"/>
              </w:rPr>
            </w:pPr>
            <w:r>
              <w:rPr>
                <w:rFonts w:ascii="宋体" w:eastAsia="宋体" w:hint="eastAsia"/>
                <w:w w:val="95"/>
                <w:sz w:val="20"/>
              </w:rPr>
              <w:t>噪声</w:t>
            </w:r>
          </w:p>
        </w:tc>
        <w:tc>
          <w:tcPr>
            <w:tcW w:w="1714"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sz w:val="29"/>
              </w:rPr>
            </w:pPr>
          </w:p>
          <w:p>
            <w:pPr>
              <w:pStyle w:val="TableParagraph"/>
              <w:spacing w:before="0"/>
              <w:ind w:left="138" w:right="118"/>
              <w:rPr>
                <w:rFonts w:ascii="宋体" w:eastAsia="宋体" w:hint="eastAsia"/>
                <w:sz w:val="20"/>
              </w:rPr>
            </w:pPr>
            <w:r>
              <w:rPr>
                <w:rFonts w:ascii="宋体" w:eastAsia="宋体" w:hint="eastAsia"/>
                <w:sz w:val="20"/>
              </w:rPr>
              <w:t>车间设备噪声</w:t>
            </w:r>
          </w:p>
        </w:tc>
        <w:tc>
          <w:tcPr>
            <w:tcW w:w="7228" w:type="dxa"/>
            <w:tcBorders>
              <w:top w:val="single" w:sz="6" w:space="0" w:color="000000"/>
              <w:left w:val="single" w:sz="6" w:space="0" w:color="000000"/>
              <w:bottom w:val="single" w:sz="6" w:space="0" w:color="000000"/>
              <w:right w:val="single" w:sz="6" w:space="0" w:color="000000"/>
            </w:tcBorders>
          </w:tcPr>
          <w:p>
            <w:pPr>
              <w:pStyle w:val="TableParagraph"/>
              <w:spacing w:line="292" w:lineRule="auto" w:before="27"/>
              <w:ind w:left="114" w:right="-15"/>
              <w:jc w:val="left"/>
              <w:rPr>
                <w:rFonts w:ascii="宋体" w:hAnsi="宋体" w:eastAsia="宋体" w:hint="eastAsia"/>
                <w:sz w:val="20"/>
              </w:rPr>
            </w:pPr>
            <w:r>
              <w:rPr>
                <w:rFonts w:ascii="宋体" w:hAnsi="宋体" w:eastAsia="宋体" w:hint="eastAsia"/>
                <w:sz w:val="20"/>
              </w:rPr>
              <w:t>①在设备采购阶段选用先进的低噪声设备；②采取减震、隔声措施切断噪声传播</w:t>
            </w:r>
            <w:r>
              <w:rPr>
                <w:rFonts w:ascii="宋体" w:hAnsi="宋体" w:eastAsia="宋体" w:hint="eastAsia"/>
                <w:spacing w:val="-11"/>
                <w:sz w:val="20"/>
              </w:rPr>
              <w:t>途径；③临厂界猪舍采用隔声窗，室内墙壁采用吸声材料；④合理布局设备位置；</w:t>
            </w:r>
          </w:p>
          <w:p>
            <w:pPr>
              <w:pStyle w:val="TableParagraph"/>
              <w:spacing w:line="255" w:lineRule="exact" w:before="0"/>
              <w:ind w:left="114"/>
              <w:jc w:val="left"/>
              <w:rPr>
                <w:rFonts w:ascii="宋体" w:hAnsi="宋体" w:eastAsia="宋体" w:hint="eastAsia"/>
                <w:sz w:val="20"/>
              </w:rPr>
            </w:pPr>
            <w:r>
              <w:rPr>
                <w:rFonts w:ascii="宋体" w:hAnsi="宋体" w:eastAsia="宋体" w:hint="eastAsia"/>
                <w:sz w:val="20"/>
              </w:rPr>
              <w:t>⑤加强设备的维护管理；⑥加强进出厂区大型车辆的管理；⑦加强厂区绿化。</w:t>
            </w:r>
          </w:p>
        </w:tc>
        <w:tc>
          <w:tcPr>
            <w:tcW w:w="3824" w:type="dxa"/>
            <w:tcBorders>
              <w:top w:val="single" w:sz="6" w:space="0" w:color="000000"/>
              <w:left w:val="single" w:sz="6" w:space="0" w:color="000000"/>
              <w:bottom w:val="single" w:sz="6" w:space="0" w:color="000000"/>
            </w:tcBorders>
          </w:tcPr>
          <w:p>
            <w:pPr>
              <w:pStyle w:val="TableParagraph"/>
              <w:spacing w:before="27"/>
              <w:ind w:left="113"/>
              <w:jc w:val="left"/>
              <w:rPr>
                <w:rFonts w:ascii="宋体" w:eastAsia="宋体" w:hint="eastAsia"/>
                <w:sz w:val="20"/>
              </w:rPr>
            </w:pPr>
            <w:r>
              <w:rPr>
                <w:rFonts w:ascii="宋体" w:eastAsia="宋体" w:hint="eastAsia"/>
                <w:sz w:val="20"/>
              </w:rPr>
              <w:t>企业厂界噪声排放应执行《工业企业厂界</w:t>
            </w:r>
          </w:p>
          <w:p>
            <w:pPr>
              <w:pStyle w:val="TableParagraph"/>
              <w:spacing w:line="310" w:lineRule="atLeast" w:before="2"/>
              <w:ind w:left="113" w:right="22"/>
              <w:jc w:val="left"/>
              <w:rPr>
                <w:rFonts w:ascii="宋体" w:eastAsia="宋体" w:hint="eastAsia"/>
                <w:sz w:val="20"/>
              </w:rPr>
            </w:pPr>
            <w:r>
              <w:rPr>
                <w:rFonts w:ascii="宋体" w:eastAsia="宋体" w:hint="eastAsia"/>
                <w:sz w:val="20"/>
              </w:rPr>
              <w:t>噪声排放标准》（</w:t>
            </w:r>
            <w:r>
              <w:rPr>
                <w:sz w:val="20"/>
              </w:rPr>
              <w:t>GB 12348-2008</w:t>
            </w:r>
            <w:r>
              <w:rPr>
                <w:rFonts w:ascii="宋体" w:eastAsia="宋体" w:hint="eastAsia"/>
                <w:sz w:val="20"/>
              </w:rPr>
              <w:t>）</w:t>
            </w:r>
            <w:r>
              <w:rPr>
                <w:sz w:val="20"/>
              </w:rPr>
              <w:t>2 </w:t>
            </w:r>
            <w:r>
              <w:rPr>
                <w:rFonts w:ascii="宋体" w:eastAsia="宋体" w:hint="eastAsia"/>
                <w:sz w:val="20"/>
              </w:rPr>
              <w:t>级标准。</w:t>
            </w:r>
          </w:p>
        </w:tc>
      </w:tr>
      <w:tr>
        <w:trPr>
          <w:trHeight w:val="625" w:hRule="atLeast"/>
        </w:trPr>
        <w:tc>
          <w:tcPr>
            <w:tcW w:w="1412" w:type="dxa"/>
            <w:gridSpan w:val="2"/>
            <w:tcBorders>
              <w:top w:val="single" w:sz="6" w:space="0" w:color="000000"/>
              <w:right w:val="single" w:sz="6" w:space="0" w:color="000000"/>
            </w:tcBorders>
          </w:tcPr>
          <w:p>
            <w:pPr>
              <w:pStyle w:val="TableParagraph"/>
              <w:spacing w:before="27"/>
              <w:ind w:left="182" w:right="167"/>
              <w:rPr>
                <w:rFonts w:ascii="宋体" w:eastAsia="宋体" w:hint="eastAsia"/>
                <w:sz w:val="20"/>
              </w:rPr>
            </w:pPr>
            <w:r>
              <w:rPr>
                <w:rFonts w:ascii="宋体" w:eastAsia="宋体" w:hint="eastAsia"/>
                <w:sz w:val="20"/>
              </w:rPr>
              <w:t>环境风险防</w:t>
            </w:r>
          </w:p>
          <w:p>
            <w:pPr>
              <w:pStyle w:val="TableParagraph"/>
              <w:spacing w:before="56"/>
              <w:ind w:left="182" w:right="163"/>
              <w:rPr>
                <w:rFonts w:ascii="宋体" w:eastAsia="宋体" w:hint="eastAsia"/>
                <w:sz w:val="20"/>
              </w:rPr>
            </w:pPr>
            <w:r>
              <w:rPr>
                <w:rFonts w:ascii="宋体" w:eastAsia="宋体" w:hint="eastAsia"/>
                <w:sz w:val="20"/>
              </w:rPr>
              <w:t>范措施</w:t>
            </w:r>
          </w:p>
        </w:tc>
        <w:tc>
          <w:tcPr>
            <w:tcW w:w="8942" w:type="dxa"/>
            <w:gridSpan w:val="2"/>
            <w:tcBorders>
              <w:top w:val="single" w:sz="6" w:space="0" w:color="000000"/>
              <w:left w:val="single" w:sz="6" w:space="0" w:color="000000"/>
              <w:right w:val="single" w:sz="6" w:space="0" w:color="000000"/>
            </w:tcBorders>
          </w:tcPr>
          <w:p>
            <w:pPr>
              <w:pStyle w:val="TableParagraph"/>
              <w:spacing w:before="27"/>
              <w:ind w:left="114"/>
              <w:jc w:val="left"/>
              <w:rPr>
                <w:rFonts w:ascii="宋体" w:hAnsi="宋体" w:eastAsia="宋体" w:hint="eastAsia"/>
                <w:sz w:val="20"/>
              </w:rPr>
            </w:pPr>
            <w:r>
              <w:rPr>
                <w:rFonts w:ascii="宋体" w:hAnsi="宋体" w:eastAsia="宋体" w:hint="eastAsia"/>
                <w:sz w:val="20"/>
              </w:rPr>
              <w:t>①加强运输管理；②加强废水事故防范措施；③加强臭气污染防范措施；④加强沼气安全利用；⑤加</w:t>
            </w:r>
          </w:p>
          <w:p>
            <w:pPr>
              <w:pStyle w:val="TableParagraph"/>
              <w:spacing w:before="56"/>
              <w:ind w:left="114"/>
              <w:jc w:val="left"/>
              <w:rPr>
                <w:rFonts w:ascii="宋体" w:hAnsi="宋体" w:eastAsia="宋体" w:hint="eastAsia"/>
                <w:sz w:val="20"/>
              </w:rPr>
            </w:pPr>
            <w:r>
              <w:rPr>
                <w:rFonts w:ascii="宋体" w:hAnsi="宋体" w:eastAsia="宋体" w:hint="eastAsia"/>
                <w:sz w:val="20"/>
              </w:rPr>
              <w:t>强瘟疫卫生预防；⑥编制环境应急预案。</w:t>
            </w:r>
          </w:p>
        </w:tc>
        <w:tc>
          <w:tcPr>
            <w:tcW w:w="3824" w:type="dxa"/>
            <w:tcBorders>
              <w:top w:val="single" w:sz="6" w:space="0" w:color="000000"/>
              <w:left w:val="single" w:sz="6" w:space="0" w:color="000000"/>
            </w:tcBorders>
          </w:tcPr>
          <w:p>
            <w:pPr>
              <w:pStyle w:val="TableParagraph"/>
              <w:spacing w:before="11"/>
              <w:jc w:val="left"/>
              <w:rPr>
                <w:sz w:val="15"/>
              </w:rPr>
            </w:pPr>
          </w:p>
          <w:p>
            <w:pPr>
              <w:pStyle w:val="TableParagraph"/>
              <w:spacing w:before="0"/>
              <w:ind w:left="113"/>
              <w:jc w:val="left"/>
              <w:rPr>
                <w:rFonts w:ascii="宋体" w:eastAsia="宋体" w:hint="eastAsia"/>
                <w:sz w:val="20"/>
              </w:rPr>
            </w:pPr>
            <w:r>
              <w:rPr>
                <w:rFonts w:ascii="宋体" w:eastAsia="宋体" w:hint="eastAsia"/>
                <w:sz w:val="20"/>
              </w:rPr>
              <w:t>达到风险预防及控制要求。</w:t>
            </w:r>
          </w:p>
        </w:tc>
      </w:tr>
    </w:tbl>
    <w:p>
      <w:pPr>
        <w:spacing w:after="0"/>
        <w:jc w:val="left"/>
        <w:rPr>
          <w:rFonts w:ascii="宋体" w:eastAsia="宋体" w:hint="eastAsia"/>
          <w:sz w:val="20"/>
        </w:rPr>
        <w:sectPr>
          <w:pgSz w:w="16840" w:h="11910" w:orient="landscape"/>
          <w:pgMar w:header="874" w:footer="1004" w:top="1180" w:bottom="1200" w:left="1200" w:right="1200"/>
        </w:sectPr>
      </w:pPr>
    </w:p>
    <w:p>
      <w:pPr>
        <w:pStyle w:val="ListParagraph"/>
        <w:numPr>
          <w:ilvl w:val="2"/>
          <w:numId w:val="106"/>
        </w:numPr>
        <w:tabs>
          <w:tab w:pos="838" w:val="left" w:leader="none"/>
        </w:tabs>
        <w:spacing w:line="240" w:lineRule="auto" w:before="92" w:after="0"/>
        <w:ind w:left="837" w:right="0" w:hanging="601"/>
        <w:jc w:val="both"/>
        <w:rPr>
          <w:b/>
          <w:sz w:val="24"/>
        </w:rPr>
      </w:pPr>
      <w:bookmarkStart w:name="_bookmark126" w:id="243"/>
      <w:bookmarkEnd w:id="243"/>
      <w:r>
        <w:rPr/>
      </w:r>
      <w:bookmarkStart w:name="_bookmark126" w:id="244"/>
      <w:bookmarkEnd w:id="244"/>
      <w:r>
        <w:rPr>
          <w:b/>
          <w:sz w:val="24"/>
        </w:rPr>
        <w:t>竣工验收监测计划</w:t>
      </w:r>
    </w:p>
    <w:p>
      <w:pPr>
        <w:pStyle w:val="BodyText"/>
        <w:spacing w:line="364" w:lineRule="auto" w:before="160"/>
        <w:ind w:right="249" w:firstLine="480"/>
        <w:jc w:val="both"/>
      </w:pPr>
      <w:r>
        <w:rPr/>
        <w:t>根据相关法律、法规的要求以及国家、省、市以及地方的环保要求，项目在正式投入生产前，须委托第三方单位开展验收监测并编制验收报告，报环保主管部门备案。其中，竣工验收监测计划主要从以下几方面入手：</w:t>
      </w:r>
    </w:p>
    <w:p>
      <w:pPr>
        <w:pStyle w:val="ListParagraph"/>
        <w:numPr>
          <w:ilvl w:val="0"/>
          <w:numId w:val="110"/>
        </w:numPr>
        <w:tabs>
          <w:tab w:pos="1319" w:val="left" w:leader="none"/>
        </w:tabs>
        <w:spacing w:line="240" w:lineRule="auto" w:before="2" w:after="0"/>
        <w:ind w:left="1318" w:right="0" w:hanging="602"/>
        <w:jc w:val="left"/>
        <w:rPr>
          <w:sz w:val="24"/>
        </w:rPr>
      </w:pPr>
      <w:r>
        <w:rPr>
          <w:sz w:val="24"/>
        </w:rPr>
        <w:t>各种资料手续是否完整。</w:t>
      </w:r>
    </w:p>
    <w:p>
      <w:pPr>
        <w:pStyle w:val="ListParagraph"/>
        <w:numPr>
          <w:ilvl w:val="0"/>
          <w:numId w:val="110"/>
        </w:numPr>
        <w:tabs>
          <w:tab w:pos="1319" w:val="left" w:leader="none"/>
        </w:tabs>
        <w:spacing w:line="240" w:lineRule="auto" w:before="160" w:after="0"/>
        <w:ind w:left="1318" w:right="0" w:hanging="602"/>
        <w:jc w:val="left"/>
        <w:rPr>
          <w:sz w:val="24"/>
        </w:rPr>
      </w:pPr>
      <w:r>
        <w:rPr>
          <w:sz w:val="24"/>
        </w:rPr>
        <w:t>各处理装置的实际处理能力是否具备竣工验收条件。</w:t>
      </w:r>
    </w:p>
    <w:p>
      <w:pPr>
        <w:pStyle w:val="ListParagraph"/>
        <w:numPr>
          <w:ilvl w:val="0"/>
          <w:numId w:val="110"/>
        </w:numPr>
        <w:tabs>
          <w:tab w:pos="1319" w:val="left" w:leader="none"/>
        </w:tabs>
        <w:spacing w:line="240" w:lineRule="auto" w:before="161" w:after="0"/>
        <w:ind w:left="1318" w:right="0" w:hanging="602"/>
        <w:jc w:val="left"/>
        <w:rPr>
          <w:sz w:val="24"/>
        </w:rPr>
      </w:pPr>
      <w:r>
        <w:rPr>
          <w:sz w:val="24"/>
        </w:rPr>
        <w:t>按照</w:t>
      </w:r>
      <w:r>
        <w:rPr>
          <w:rFonts w:ascii="Times New Roman" w:hAnsi="Times New Roman" w:eastAsia="Times New Roman"/>
          <w:sz w:val="24"/>
        </w:rPr>
        <w:t>“</w:t>
      </w:r>
      <w:r>
        <w:rPr>
          <w:sz w:val="24"/>
        </w:rPr>
        <w:t>三同时</w:t>
      </w:r>
      <w:r>
        <w:rPr>
          <w:rFonts w:ascii="Times New Roman" w:hAnsi="Times New Roman" w:eastAsia="Times New Roman"/>
          <w:sz w:val="24"/>
        </w:rPr>
        <w:t>”</w:t>
      </w:r>
      <w:r>
        <w:rPr>
          <w:sz w:val="24"/>
        </w:rPr>
        <w:t>要求，各项环保设施是否安装到位，运转是否正常。</w:t>
      </w:r>
    </w:p>
    <w:p>
      <w:pPr>
        <w:pStyle w:val="ListParagraph"/>
        <w:numPr>
          <w:ilvl w:val="0"/>
          <w:numId w:val="110"/>
        </w:numPr>
        <w:tabs>
          <w:tab w:pos="1319" w:val="left" w:leader="none"/>
        </w:tabs>
        <w:spacing w:line="364" w:lineRule="auto" w:before="160" w:after="0"/>
        <w:ind w:left="237" w:right="249" w:firstLine="480"/>
        <w:jc w:val="both"/>
        <w:rPr>
          <w:sz w:val="24"/>
        </w:rPr>
      </w:pPr>
      <w:r>
        <w:rPr>
          <w:spacing w:val="-5"/>
          <w:sz w:val="24"/>
        </w:rPr>
        <w:t>现场监测：包括对废气、废水、噪声等处理情况的测试，进而分析各种环保设</w:t>
      </w:r>
      <w:r>
        <w:rPr>
          <w:sz w:val="24"/>
        </w:rPr>
        <w:t>施的处理效果；通过对污染物的实际排放浓度和排放速率与相应的标准进行对比，判断污染物是否达标排放；通过污染物的实际排放浓度和烟气流量测算出各污染物的排放总量，分析判断其是否满足总量控制要求；对周围环境敏感点环境质量进行验证；厂界无组织最大落地浓度的监测等。监测因子应覆盖项目所有污染因子。</w:t>
      </w:r>
    </w:p>
    <w:p>
      <w:pPr>
        <w:pStyle w:val="ListParagraph"/>
        <w:numPr>
          <w:ilvl w:val="0"/>
          <w:numId w:val="110"/>
        </w:numPr>
        <w:tabs>
          <w:tab w:pos="1319" w:val="left" w:leader="none"/>
        </w:tabs>
        <w:spacing w:line="364" w:lineRule="auto" w:before="4" w:after="0"/>
        <w:ind w:left="237" w:right="248" w:firstLine="480"/>
        <w:jc w:val="both"/>
        <w:rPr>
          <w:sz w:val="24"/>
        </w:rPr>
      </w:pPr>
      <w:r>
        <w:rPr>
          <w:spacing w:val="-3"/>
          <w:sz w:val="24"/>
        </w:rPr>
        <w:t>环境管理的检查：包括对各种环境管理制度、固体废物的处置情况是否有完善的风险应急措施和应急计划、各排污口是否规范化建设、是否按规定安装了在线监测装置等其它非测试性管理制度的落实情况。</w:t>
      </w:r>
    </w:p>
    <w:p>
      <w:pPr>
        <w:pStyle w:val="ListParagraph"/>
        <w:numPr>
          <w:ilvl w:val="0"/>
          <w:numId w:val="110"/>
        </w:numPr>
        <w:tabs>
          <w:tab w:pos="1319" w:val="left" w:leader="none"/>
        </w:tabs>
        <w:spacing w:line="240" w:lineRule="auto" w:before="2" w:after="0"/>
        <w:ind w:left="1318" w:right="0" w:hanging="602"/>
        <w:jc w:val="left"/>
        <w:rPr>
          <w:sz w:val="24"/>
        </w:rPr>
      </w:pPr>
      <w:r>
        <w:rPr>
          <w:sz w:val="24"/>
        </w:rPr>
        <w:t>对环境敏感点环境质量的验证，大气保护距离的落实等。</w:t>
      </w:r>
    </w:p>
    <w:p>
      <w:pPr>
        <w:pStyle w:val="ListParagraph"/>
        <w:numPr>
          <w:ilvl w:val="0"/>
          <w:numId w:val="110"/>
        </w:numPr>
        <w:tabs>
          <w:tab w:pos="1319" w:val="left" w:leader="none"/>
        </w:tabs>
        <w:spacing w:line="364" w:lineRule="auto" w:before="161" w:after="0"/>
        <w:ind w:left="237" w:right="250" w:firstLine="480"/>
        <w:jc w:val="left"/>
        <w:rPr>
          <w:sz w:val="24"/>
        </w:rPr>
      </w:pPr>
      <w:r>
        <w:rPr>
          <w:sz w:val="24"/>
        </w:rPr>
        <w:t>现场检查：检查各种设施是否按</w:t>
      </w:r>
      <w:r>
        <w:rPr>
          <w:rFonts w:ascii="Times New Roman" w:hAnsi="Times New Roman" w:eastAsia="Times New Roman"/>
          <w:sz w:val="24"/>
        </w:rPr>
        <w:t>“</w:t>
      </w:r>
      <w:r>
        <w:rPr>
          <w:sz w:val="24"/>
        </w:rPr>
        <w:t>三同时</w:t>
      </w:r>
      <w:r>
        <w:rPr>
          <w:rFonts w:ascii="Times New Roman" w:hAnsi="Times New Roman" w:eastAsia="Times New Roman"/>
          <w:sz w:val="24"/>
        </w:rPr>
        <w:t>”</w:t>
      </w:r>
      <w:r>
        <w:rPr>
          <w:spacing w:val="-1"/>
          <w:sz w:val="24"/>
        </w:rPr>
        <w:t>要求落实到位，各项环保设施的施工</w:t>
      </w:r>
      <w:r>
        <w:rPr>
          <w:sz w:val="24"/>
        </w:rPr>
        <w:t>质量是否满足要求，各项环保设施是否正常运转等。是否实现</w:t>
      </w:r>
      <w:r>
        <w:rPr>
          <w:rFonts w:ascii="Times New Roman" w:hAnsi="Times New Roman" w:eastAsia="Times New Roman"/>
          <w:sz w:val="24"/>
        </w:rPr>
        <w:t>“</w:t>
      </w:r>
      <w:r>
        <w:rPr>
          <w:sz w:val="24"/>
        </w:rPr>
        <w:t>清污分流、雨污分流</w:t>
      </w:r>
      <w:r>
        <w:rPr>
          <w:rFonts w:ascii="Times New Roman" w:hAnsi="Times New Roman" w:eastAsia="Times New Roman"/>
          <w:sz w:val="24"/>
        </w:rPr>
        <w:t>”</w:t>
      </w:r>
      <w:r>
        <w:rPr>
          <w:sz w:val="24"/>
        </w:rPr>
        <w:t>。</w:t>
      </w:r>
    </w:p>
    <w:p>
      <w:pPr>
        <w:pStyle w:val="ListParagraph"/>
        <w:numPr>
          <w:ilvl w:val="0"/>
          <w:numId w:val="110"/>
        </w:numPr>
        <w:tabs>
          <w:tab w:pos="1319" w:val="left" w:leader="none"/>
        </w:tabs>
        <w:spacing w:line="240" w:lineRule="auto" w:before="1" w:after="0"/>
        <w:ind w:left="1318" w:right="0" w:hanging="602"/>
        <w:jc w:val="left"/>
        <w:rPr>
          <w:sz w:val="24"/>
        </w:rPr>
      </w:pPr>
      <w:r>
        <w:rPr>
          <w:sz w:val="24"/>
        </w:rPr>
        <w:t>是否有完善的风险应急措施和应急计划。</w:t>
      </w:r>
    </w:p>
    <w:p>
      <w:pPr>
        <w:pStyle w:val="ListParagraph"/>
        <w:numPr>
          <w:ilvl w:val="0"/>
          <w:numId w:val="110"/>
        </w:numPr>
        <w:tabs>
          <w:tab w:pos="1319" w:val="left" w:leader="none"/>
        </w:tabs>
        <w:spacing w:line="240" w:lineRule="auto" w:before="160" w:after="0"/>
        <w:ind w:left="1318" w:right="0" w:hanging="602"/>
        <w:jc w:val="left"/>
        <w:rPr>
          <w:sz w:val="24"/>
        </w:rPr>
      </w:pPr>
      <w:r>
        <w:rPr>
          <w:sz w:val="24"/>
        </w:rPr>
        <w:t>竣工验收结论与建议。</w:t>
      </w:r>
    </w:p>
    <w:p>
      <w:pPr>
        <w:pStyle w:val="Heading3"/>
        <w:ind w:left="221" w:right="236"/>
        <w:jc w:val="center"/>
      </w:pPr>
      <w:r>
        <w:rPr/>
        <w:t>表 </w:t>
      </w:r>
      <w:r>
        <w:rPr>
          <w:rFonts w:ascii="Times New Roman" w:hAnsi="Times New Roman" w:eastAsia="Times New Roman"/>
        </w:rPr>
        <w:t>8.2-2 “</w:t>
      </w:r>
      <w:r>
        <w:rPr/>
        <w:t>三同时</w:t>
      </w:r>
      <w:r>
        <w:rPr>
          <w:rFonts w:ascii="Times New Roman" w:hAnsi="Times New Roman" w:eastAsia="Times New Roman"/>
        </w:rPr>
        <w:t>”</w:t>
      </w:r>
      <w:r>
        <w:rPr/>
        <w:t>验收项目一览表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2"/>
        <w:gridCol w:w="1527"/>
        <w:gridCol w:w="1550"/>
        <w:gridCol w:w="1181"/>
        <w:gridCol w:w="1700"/>
        <w:gridCol w:w="2801"/>
      </w:tblGrid>
      <w:tr>
        <w:trPr>
          <w:trHeight w:val="359" w:hRule="atLeast"/>
        </w:trPr>
        <w:tc>
          <w:tcPr>
            <w:tcW w:w="672" w:type="dxa"/>
            <w:tcBorders>
              <w:bottom w:val="single" w:sz="6" w:space="0" w:color="000000"/>
              <w:right w:val="single" w:sz="6" w:space="0" w:color="000000"/>
            </w:tcBorders>
          </w:tcPr>
          <w:p>
            <w:pPr>
              <w:pStyle w:val="TableParagraph"/>
              <w:spacing w:before="43"/>
              <w:ind w:left="124"/>
              <w:jc w:val="left"/>
              <w:rPr>
                <w:rFonts w:ascii="宋体" w:eastAsia="宋体" w:hint="eastAsia"/>
                <w:b/>
                <w:sz w:val="21"/>
              </w:rPr>
            </w:pPr>
            <w:r>
              <w:rPr>
                <w:rFonts w:ascii="宋体" w:eastAsia="宋体" w:hint="eastAsia"/>
                <w:b/>
                <w:sz w:val="21"/>
              </w:rPr>
              <w:t>项目</w:t>
            </w:r>
          </w:p>
        </w:tc>
        <w:tc>
          <w:tcPr>
            <w:tcW w:w="1527" w:type="dxa"/>
            <w:tcBorders>
              <w:left w:val="single" w:sz="6" w:space="0" w:color="000000"/>
              <w:bottom w:val="single" w:sz="6" w:space="0" w:color="000000"/>
              <w:right w:val="single" w:sz="6" w:space="0" w:color="000000"/>
            </w:tcBorders>
          </w:tcPr>
          <w:p>
            <w:pPr>
              <w:pStyle w:val="TableParagraph"/>
              <w:spacing w:before="43"/>
              <w:ind w:left="136" w:right="108"/>
              <w:rPr>
                <w:rFonts w:ascii="宋体" w:eastAsia="宋体" w:hint="eastAsia"/>
                <w:b/>
                <w:sz w:val="21"/>
              </w:rPr>
            </w:pPr>
            <w:r>
              <w:rPr>
                <w:rFonts w:ascii="宋体" w:eastAsia="宋体" w:hint="eastAsia"/>
                <w:b/>
                <w:sz w:val="21"/>
              </w:rPr>
              <w:t>监测点位</w:t>
            </w:r>
          </w:p>
        </w:tc>
        <w:tc>
          <w:tcPr>
            <w:tcW w:w="1550" w:type="dxa"/>
            <w:tcBorders>
              <w:left w:val="single" w:sz="6" w:space="0" w:color="000000"/>
              <w:bottom w:val="single" w:sz="6" w:space="0" w:color="000000"/>
              <w:right w:val="single" w:sz="6" w:space="0" w:color="000000"/>
            </w:tcBorders>
          </w:tcPr>
          <w:p>
            <w:pPr>
              <w:pStyle w:val="TableParagraph"/>
              <w:spacing w:before="43"/>
              <w:ind w:left="55" w:right="26"/>
              <w:rPr>
                <w:rFonts w:ascii="宋体" w:eastAsia="宋体" w:hint="eastAsia"/>
                <w:b/>
                <w:sz w:val="21"/>
              </w:rPr>
            </w:pPr>
            <w:r>
              <w:rPr>
                <w:rFonts w:ascii="宋体" w:eastAsia="宋体" w:hint="eastAsia"/>
                <w:b/>
                <w:sz w:val="21"/>
              </w:rPr>
              <w:t>监测因子</w:t>
            </w:r>
          </w:p>
        </w:tc>
        <w:tc>
          <w:tcPr>
            <w:tcW w:w="1181" w:type="dxa"/>
            <w:tcBorders>
              <w:left w:val="single" w:sz="6" w:space="0" w:color="000000"/>
              <w:bottom w:val="single" w:sz="6" w:space="0" w:color="000000"/>
              <w:right w:val="single" w:sz="6" w:space="0" w:color="000000"/>
            </w:tcBorders>
          </w:tcPr>
          <w:p>
            <w:pPr>
              <w:pStyle w:val="TableParagraph"/>
              <w:spacing w:before="43"/>
              <w:ind w:left="155" w:right="126"/>
              <w:rPr>
                <w:rFonts w:ascii="宋体" w:eastAsia="宋体" w:hint="eastAsia"/>
                <w:b/>
                <w:sz w:val="21"/>
              </w:rPr>
            </w:pPr>
            <w:r>
              <w:rPr>
                <w:rFonts w:ascii="宋体" w:eastAsia="宋体" w:hint="eastAsia"/>
                <w:b/>
                <w:sz w:val="21"/>
              </w:rPr>
              <w:t>处理措施</w:t>
            </w:r>
          </w:p>
        </w:tc>
        <w:tc>
          <w:tcPr>
            <w:tcW w:w="1700" w:type="dxa"/>
            <w:tcBorders>
              <w:left w:val="single" w:sz="6" w:space="0" w:color="000000"/>
              <w:bottom w:val="single" w:sz="6" w:space="0" w:color="000000"/>
              <w:right w:val="single" w:sz="6" w:space="0" w:color="000000"/>
            </w:tcBorders>
          </w:tcPr>
          <w:p>
            <w:pPr>
              <w:pStyle w:val="TableParagraph"/>
              <w:spacing w:before="43"/>
              <w:ind w:left="99" w:right="70"/>
              <w:rPr>
                <w:rFonts w:ascii="宋体" w:eastAsia="宋体" w:hint="eastAsia"/>
                <w:b/>
                <w:sz w:val="21"/>
              </w:rPr>
            </w:pPr>
            <w:r>
              <w:rPr>
                <w:rFonts w:ascii="宋体" w:eastAsia="宋体" w:hint="eastAsia"/>
                <w:b/>
                <w:sz w:val="21"/>
              </w:rPr>
              <w:t>验收内容</w:t>
            </w:r>
          </w:p>
        </w:tc>
        <w:tc>
          <w:tcPr>
            <w:tcW w:w="2801" w:type="dxa"/>
            <w:tcBorders>
              <w:left w:val="single" w:sz="6" w:space="0" w:color="000000"/>
              <w:bottom w:val="single" w:sz="6" w:space="0" w:color="000000"/>
            </w:tcBorders>
          </w:tcPr>
          <w:p>
            <w:pPr>
              <w:pStyle w:val="TableParagraph"/>
              <w:spacing w:before="43"/>
              <w:ind w:left="115" w:right="76"/>
              <w:rPr>
                <w:rFonts w:ascii="宋体" w:eastAsia="宋体" w:hint="eastAsia"/>
                <w:b/>
                <w:sz w:val="21"/>
              </w:rPr>
            </w:pPr>
            <w:r>
              <w:rPr>
                <w:rFonts w:ascii="宋体" w:eastAsia="宋体" w:hint="eastAsia"/>
                <w:b/>
                <w:sz w:val="21"/>
              </w:rPr>
              <w:t>达标要求</w:t>
            </w:r>
          </w:p>
        </w:tc>
      </w:tr>
      <w:tr>
        <w:trPr>
          <w:trHeight w:val="1070" w:hRule="atLeast"/>
        </w:trPr>
        <w:tc>
          <w:tcPr>
            <w:tcW w:w="672"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46"/>
              <w:ind w:left="124"/>
              <w:jc w:val="left"/>
              <w:rPr>
                <w:rFonts w:ascii="宋体" w:eastAsia="宋体" w:hint="eastAsia"/>
                <w:sz w:val="21"/>
              </w:rPr>
            </w:pPr>
            <w:r>
              <w:rPr>
                <w:rFonts w:ascii="宋体" w:eastAsia="宋体" w:hint="eastAsia"/>
                <w:sz w:val="21"/>
              </w:rPr>
              <w:t>废气</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46"/>
              <w:ind w:left="242" w:hanging="104"/>
              <w:jc w:val="left"/>
              <w:rPr>
                <w:rFonts w:ascii="宋体" w:eastAsia="宋体" w:hint="eastAsia"/>
                <w:sz w:val="21"/>
              </w:rPr>
            </w:pPr>
            <w:r>
              <w:rPr>
                <w:rFonts w:ascii="宋体" w:eastAsia="宋体" w:hint="eastAsia"/>
                <w:sz w:val="21"/>
              </w:rPr>
              <w:t>粪污处理区废</w:t>
            </w:r>
          </w:p>
          <w:p>
            <w:pPr>
              <w:pStyle w:val="TableParagraph"/>
              <w:spacing w:line="350" w:lineRule="atLeast" w:before="11"/>
              <w:ind w:left="347" w:right="214" w:hanging="106"/>
              <w:jc w:val="left"/>
              <w:rPr>
                <w:rFonts w:ascii="宋体" w:eastAsia="宋体" w:hint="eastAsia"/>
                <w:sz w:val="21"/>
              </w:rPr>
            </w:pPr>
            <w:r>
              <w:rPr>
                <w:rFonts w:ascii="宋体" w:eastAsia="宋体" w:hint="eastAsia"/>
                <w:sz w:val="21"/>
              </w:rPr>
              <w:t>气处理设施进、出口</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line="319" w:lineRule="auto" w:before="0"/>
              <w:ind w:left="362" w:right="119" w:hanging="212"/>
              <w:jc w:val="left"/>
              <w:rPr>
                <w:rFonts w:ascii="宋体" w:eastAsia="宋体" w:hint="eastAsia"/>
                <w:sz w:val="21"/>
              </w:rPr>
            </w:pPr>
            <w:r>
              <w:rPr>
                <w:rFonts w:ascii="宋体" w:eastAsia="宋体" w:hint="eastAsia"/>
                <w:sz w:val="21"/>
              </w:rPr>
              <w:t>氨、硫化氢、臭气浓度</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1"/>
              <w:ind w:left="152" w:right="126"/>
              <w:rPr>
                <w:rFonts w:ascii="宋体" w:eastAsia="宋体" w:hint="eastAsia"/>
                <w:sz w:val="21"/>
              </w:rPr>
            </w:pPr>
            <w:r>
              <w:rPr>
                <w:rFonts w:ascii="宋体" w:eastAsia="宋体" w:hint="eastAsia"/>
                <w:sz w:val="21"/>
              </w:rPr>
              <w:t>二级喷淋</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line="319" w:lineRule="auto" w:before="0"/>
              <w:ind w:left="331" w:right="81" w:hanging="216"/>
              <w:jc w:val="left"/>
              <w:rPr>
                <w:rFonts w:ascii="宋体" w:eastAsia="宋体" w:hint="eastAsia"/>
                <w:sz w:val="21"/>
              </w:rPr>
            </w:pPr>
            <w:r>
              <w:rPr>
                <w:rFonts w:ascii="宋体" w:eastAsia="宋体" w:hint="eastAsia"/>
                <w:sz w:val="21"/>
              </w:rPr>
              <w:t>高</w:t>
            </w:r>
            <w:r>
              <w:rPr>
                <w:position w:val="1"/>
                <w:sz w:val="21"/>
              </w:rPr>
              <w:t>15m </w:t>
            </w:r>
            <w:r>
              <w:rPr>
                <w:rFonts w:ascii="宋体" w:eastAsia="宋体" w:hint="eastAsia"/>
                <w:sz w:val="21"/>
              </w:rPr>
              <w:t>的排气筒有组织排放</w:t>
            </w:r>
          </w:p>
        </w:tc>
        <w:tc>
          <w:tcPr>
            <w:tcW w:w="2801" w:type="dxa"/>
            <w:vMerge w:val="restart"/>
            <w:tcBorders>
              <w:top w:val="single" w:sz="6" w:space="0" w:color="000000"/>
              <w:left w:val="single" w:sz="6" w:space="0" w:color="000000"/>
              <w:bottom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0"/>
              <w:jc w:val="left"/>
              <w:rPr>
                <w:rFonts w:ascii="宋体"/>
                <w:b/>
                <w:sz w:val="23"/>
              </w:rPr>
            </w:pPr>
          </w:p>
          <w:p>
            <w:pPr>
              <w:pStyle w:val="TableParagraph"/>
              <w:spacing w:line="319" w:lineRule="auto" w:before="0"/>
              <w:ind w:left="115" w:right="76"/>
              <w:rPr>
                <w:rFonts w:ascii="宋体" w:eastAsia="宋体" w:hint="eastAsia"/>
                <w:sz w:val="21"/>
              </w:rPr>
            </w:pPr>
            <w:r>
              <w:rPr>
                <w:position w:val="2"/>
                <w:sz w:val="21"/>
              </w:rPr>
              <w:t>NH</w:t>
            </w:r>
            <w:r>
              <w:rPr>
                <w:sz w:val="14"/>
              </w:rPr>
              <w:t>3</w:t>
            </w:r>
            <w:r>
              <w:rPr>
                <w:rFonts w:ascii="宋体" w:eastAsia="宋体" w:hint="eastAsia"/>
                <w:spacing w:val="-77"/>
                <w:position w:val="1"/>
                <w:sz w:val="21"/>
              </w:rPr>
              <w:t>、</w:t>
            </w:r>
            <w:r>
              <w:rPr>
                <w:position w:val="2"/>
                <w:sz w:val="21"/>
              </w:rPr>
              <w:t>H</w:t>
            </w:r>
            <w:r>
              <w:rPr>
                <w:sz w:val="14"/>
              </w:rPr>
              <w:t>2</w:t>
            </w:r>
            <w:r>
              <w:rPr>
                <w:position w:val="2"/>
                <w:sz w:val="21"/>
              </w:rPr>
              <w:t>S</w:t>
            </w:r>
            <w:r>
              <w:rPr>
                <w:rFonts w:ascii="宋体" w:eastAsia="宋体" w:hint="eastAsia"/>
                <w:spacing w:val="-22"/>
                <w:position w:val="1"/>
                <w:sz w:val="21"/>
              </w:rPr>
              <w:t>、臭气浓度符合《恶</w:t>
            </w:r>
            <w:r>
              <w:rPr>
                <w:rFonts w:ascii="宋体" w:eastAsia="宋体" w:hint="eastAsia"/>
                <w:spacing w:val="-3"/>
                <w:sz w:val="21"/>
              </w:rPr>
              <w:t>臭污染物排放标准》</w:t>
            </w:r>
            <w:r>
              <w:rPr>
                <w:rFonts w:ascii="宋体" w:eastAsia="宋体" w:hint="eastAsia"/>
                <w:sz w:val="21"/>
              </w:rPr>
              <w:t>（</w:t>
            </w:r>
            <w:r>
              <w:rPr>
                <w:position w:val="1"/>
                <w:sz w:val="21"/>
              </w:rPr>
              <w:t>GB 14554-93</w:t>
            </w:r>
            <w:r>
              <w:rPr>
                <w:rFonts w:ascii="宋体" w:eastAsia="宋体" w:hint="eastAsia"/>
                <w:sz w:val="21"/>
              </w:rPr>
              <w:t>）</w:t>
            </w:r>
          </w:p>
        </w:tc>
      </w:tr>
      <w:tr>
        <w:trPr>
          <w:trHeight w:val="1059" w:hRule="atLeast"/>
        </w:trPr>
        <w:tc>
          <w:tcPr>
            <w:tcW w:w="672" w:type="dxa"/>
            <w:vMerge/>
            <w:tcBorders>
              <w:top w:val="nil"/>
              <w:right w:val="single" w:sz="6" w:space="0" w:color="000000"/>
            </w:tcBorders>
          </w:tcPr>
          <w:p>
            <w:pPr>
              <w:rPr>
                <w:sz w:val="2"/>
                <w:szCs w:val="2"/>
              </w:rPr>
            </w:pP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39"/>
              <w:ind w:left="138" w:right="108"/>
              <w:jc w:val="left"/>
              <w:rPr>
                <w:rFonts w:ascii="宋体" w:eastAsia="宋体" w:hint="eastAsia"/>
                <w:sz w:val="21"/>
              </w:rPr>
            </w:pPr>
            <w:r>
              <w:rPr>
                <w:rFonts w:ascii="宋体" w:eastAsia="宋体" w:hint="eastAsia"/>
                <w:spacing w:val="-5"/>
                <w:sz w:val="21"/>
              </w:rPr>
              <w:t>病死猪无害化处理设施进、</w:t>
            </w:r>
          </w:p>
          <w:p>
            <w:pPr>
              <w:pStyle w:val="TableParagraph"/>
              <w:spacing w:before="2"/>
              <w:ind w:left="165"/>
              <w:jc w:val="left"/>
              <w:rPr>
                <w:rFonts w:ascii="宋体" w:eastAsia="宋体" w:hint="eastAsia"/>
                <w:sz w:val="21"/>
              </w:rPr>
            </w:pPr>
            <w:r>
              <w:rPr>
                <w:rFonts w:ascii="宋体" w:eastAsia="宋体" w:hint="eastAsia"/>
                <w:sz w:val="21"/>
              </w:rPr>
              <w:t>出口（</w:t>
            </w:r>
            <w:r>
              <w:rPr>
                <w:position w:val="1"/>
                <w:sz w:val="21"/>
              </w:rPr>
              <w:t>2</w:t>
            </w:r>
            <w:r>
              <w:rPr>
                <w:spacing w:val="3"/>
                <w:position w:val="1"/>
                <w:sz w:val="21"/>
              </w:rPr>
              <w:t> </w:t>
            </w:r>
            <w:r>
              <w:rPr>
                <w:rFonts w:ascii="宋体" w:eastAsia="宋体" w:hint="eastAsia"/>
                <w:spacing w:val="-3"/>
                <w:sz w:val="21"/>
              </w:rPr>
              <w:t>套）</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line="319" w:lineRule="auto" w:before="0"/>
              <w:ind w:left="362" w:right="119" w:hanging="212"/>
              <w:jc w:val="left"/>
              <w:rPr>
                <w:rFonts w:ascii="宋体" w:eastAsia="宋体" w:hint="eastAsia"/>
                <w:sz w:val="21"/>
              </w:rPr>
            </w:pPr>
            <w:r>
              <w:rPr>
                <w:rFonts w:ascii="宋体" w:eastAsia="宋体" w:hint="eastAsia"/>
                <w:sz w:val="21"/>
              </w:rPr>
              <w:t>氨、硫化氢、臭气浓度</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0"/>
              <w:ind w:left="155" w:right="126"/>
              <w:rPr>
                <w:rFonts w:ascii="宋体" w:eastAsia="宋体" w:hint="eastAsia"/>
                <w:sz w:val="21"/>
              </w:rPr>
            </w:pPr>
            <w:r>
              <w:rPr>
                <w:rFonts w:ascii="宋体" w:eastAsia="宋体" w:hint="eastAsia"/>
                <w:sz w:val="21"/>
              </w:rPr>
              <w:t>喷淋</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line="319" w:lineRule="auto" w:before="0"/>
              <w:ind w:left="331" w:right="81" w:hanging="216"/>
              <w:jc w:val="left"/>
              <w:rPr>
                <w:rFonts w:ascii="宋体" w:eastAsia="宋体" w:hint="eastAsia"/>
                <w:sz w:val="21"/>
              </w:rPr>
            </w:pPr>
            <w:r>
              <w:rPr>
                <w:rFonts w:ascii="宋体" w:eastAsia="宋体" w:hint="eastAsia"/>
                <w:sz w:val="21"/>
              </w:rPr>
              <w:t>高</w:t>
            </w:r>
            <w:r>
              <w:rPr>
                <w:position w:val="1"/>
                <w:sz w:val="21"/>
              </w:rPr>
              <w:t>15m </w:t>
            </w:r>
            <w:r>
              <w:rPr>
                <w:rFonts w:ascii="宋体" w:eastAsia="宋体" w:hint="eastAsia"/>
                <w:sz w:val="21"/>
              </w:rPr>
              <w:t>的排气筒有组织排放</w:t>
            </w:r>
          </w:p>
        </w:tc>
        <w:tc>
          <w:tcPr>
            <w:tcW w:w="2801" w:type="dxa"/>
            <w:vMerge/>
            <w:tcBorders>
              <w:top w:val="nil"/>
              <w:left w:val="single" w:sz="6" w:space="0" w:color="000000"/>
              <w:bottom w:val="single" w:sz="6" w:space="0" w:color="000000"/>
            </w:tcBorders>
          </w:tcPr>
          <w:p>
            <w:pPr>
              <w:rPr>
                <w:sz w:val="2"/>
                <w:szCs w:val="2"/>
              </w:rPr>
            </w:pPr>
          </w:p>
        </w:tc>
      </w:tr>
      <w:tr>
        <w:trPr>
          <w:trHeight w:val="1061" w:hRule="atLeast"/>
        </w:trPr>
        <w:tc>
          <w:tcPr>
            <w:tcW w:w="672" w:type="dxa"/>
            <w:vMerge/>
            <w:tcBorders>
              <w:top w:val="nil"/>
              <w:right w:val="single" w:sz="6" w:space="0" w:color="000000"/>
            </w:tcBorders>
          </w:tcPr>
          <w:p>
            <w:pPr>
              <w:rPr>
                <w:sz w:val="2"/>
                <w:szCs w:val="2"/>
              </w:rPr>
            </w:pP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1"/>
              <w:ind w:left="138" w:right="108"/>
              <w:rPr>
                <w:rFonts w:ascii="宋体" w:eastAsia="宋体" w:hint="eastAsia"/>
                <w:sz w:val="21"/>
              </w:rPr>
            </w:pPr>
            <w:r>
              <w:rPr>
                <w:rFonts w:ascii="宋体" w:eastAsia="宋体" w:hint="eastAsia"/>
                <w:sz w:val="21"/>
              </w:rPr>
              <w:t>发酵罐废气处理设施进、出</w:t>
            </w:r>
          </w:p>
          <w:p>
            <w:pPr>
              <w:pStyle w:val="TableParagraph"/>
              <w:spacing w:before="2"/>
              <w:ind w:left="133" w:right="108"/>
              <w:rPr>
                <w:rFonts w:ascii="宋体" w:eastAsia="宋体" w:hint="eastAsia"/>
                <w:sz w:val="21"/>
              </w:rPr>
            </w:pPr>
            <w:r>
              <w:rPr>
                <w:rFonts w:ascii="宋体" w:eastAsia="宋体" w:hint="eastAsia"/>
                <w:sz w:val="21"/>
              </w:rPr>
              <w:t>口（</w:t>
            </w:r>
            <w:r>
              <w:rPr>
                <w:position w:val="1"/>
                <w:sz w:val="21"/>
              </w:rPr>
              <w:t>2 </w:t>
            </w:r>
            <w:r>
              <w:rPr>
                <w:rFonts w:ascii="宋体" w:eastAsia="宋体" w:hint="eastAsia"/>
                <w:sz w:val="21"/>
              </w:rPr>
              <w:t>套）</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line="321" w:lineRule="auto" w:before="0"/>
              <w:ind w:left="362" w:right="119" w:hanging="212"/>
              <w:jc w:val="left"/>
              <w:rPr>
                <w:rFonts w:ascii="宋体" w:eastAsia="宋体" w:hint="eastAsia"/>
                <w:sz w:val="21"/>
              </w:rPr>
            </w:pPr>
            <w:r>
              <w:rPr>
                <w:rFonts w:ascii="宋体" w:eastAsia="宋体" w:hint="eastAsia"/>
                <w:sz w:val="21"/>
              </w:rPr>
              <w:t>氨、硫化氢、臭气浓度</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2"/>
              <w:ind w:left="155" w:right="126"/>
              <w:rPr>
                <w:rFonts w:ascii="宋体" w:eastAsia="宋体" w:hint="eastAsia"/>
                <w:sz w:val="21"/>
              </w:rPr>
            </w:pPr>
            <w:r>
              <w:rPr>
                <w:rFonts w:ascii="宋体" w:eastAsia="宋体" w:hint="eastAsia"/>
                <w:sz w:val="21"/>
              </w:rPr>
              <w:t>喷淋</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line="321" w:lineRule="auto" w:before="0"/>
              <w:ind w:left="331" w:right="81" w:hanging="216"/>
              <w:jc w:val="left"/>
              <w:rPr>
                <w:rFonts w:ascii="宋体" w:eastAsia="宋体" w:hint="eastAsia"/>
                <w:sz w:val="21"/>
              </w:rPr>
            </w:pPr>
            <w:r>
              <w:rPr>
                <w:rFonts w:ascii="宋体" w:eastAsia="宋体" w:hint="eastAsia"/>
                <w:sz w:val="21"/>
              </w:rPr>
              <w:t>高</w:t>
            </w:r>
            <w:r>
              <w:rPr>
                <w:position w:val="1"/>
                <w:sz w:val="21"/>
              </w:rPr>
              <w:t>15m </w:t>
            </w:r>
            <w:r>
              <w:rPr>
                <w:rFonts w:ascii="宋体" w:eastAsia="宋体" w:hint="eastAsia"/>
                <w:sz w:val="21"/>
              </w:rPr>
              <w:t>的排气筒有组织排放</w:t>
            </w:r>
          </w:p>
        </w:tc>
        <w:tc>
          <w:tcPr>
            <w:tcW w:w="2801" w:type="dxa"/>
            <w:vMerge/>
            <w:tcBorders>
              <w:top w:val="nil"/>
              <w:left w:val="single" w:sz="6" w:space="0" w:color="000000"/>
              <w:bottom w:val="single" w:sz="6" w:space="0" w:color="000000"/>
            </w:tcBorders>
          </w:tcPr>
          <w:p>
            <w:pPr>
              <w:rPr>
                <w:sz w:val="2"/>
                <w:szCs w:val="2"/>
              </w:rPr>
            </w:pPr>
          </w:p>
        </w:tc>
      </w:tr>
      <w:tr>
        <w:trPr>
          <w:trHeight w:val="349" w:hRule="atLeast"/>
        </w:trPr>
        <w:tc>
          <w:tcPr>
            <w:tcW w:w="672" w:type="dxa"/>
            <w:vMerge/>
            <w:tcBorders>
              <w:top w:val="nil"/>
              <w:right w:val="single" w:sz="6" w:space="0" w:color="000000"/>
            </w:tcBorders>
          </w:tcPr>
          <w:p>
            <w:pPr>
              <w:rPr>
                <w:sz w:val="2"/>
                <w:szCs w:val="2"/>
              </w:rPr>
            </w:pPr>
          </w:p>
        </w:tc>
        <w:tc>
          <w:tcPr>
            <w:tcW w:w="1527" w:type="dxa"/>
            <w:tcBorders>
              <w:top w:val="single" w:sz="6" w:space="0" w:color="000000"/>
              <w:left w:val="single" w:sz="6" w:space="0" w:color="000000"/>
              <w:right w:val="single" w:sz="6" w:space="0" w:color="000000"/>
            </w:tcBorders>
          </w:tcPr>
          <w:p>
            <w:pPr>
              <w:pStyle w:val="TableParagraph"/>
              <w:spacing w:before="39"/>
              <w:ind w:left="120" w:right="92"/>
              <w:rPr>
                <w:rFonts w:ascii="宋体" w:eastAsia="宋体" w:hint="eastAsia"/>
                <w:sz w:val="21"/>
              </w:rPr>
            </w:pPr>
            <w:r>
              <w:rPr>
                <w:rFonts w:ascii="宋体" w:eastAsia="宋体" w:hint="eastAsia"/>
                <w:sz w:val="21"/>
              </w:rPr>
              <w:t>沼气锅炉废气</w:t>
            </w:r>
          </w:p>
        </w:tc>
        <w:tc>
          <w:tcPr>
            <w:tcW w:w="1550" w:type="dxa"/>
            <w:tcBorders>
              <w:top w:val="single" w:sz="6" w:space="0" w:color="000000"/>
              <w:left w:val="single" w:sz="6" w:space="0" w:color="000000"/>
              <w:right w:val="single" w:sz="6" w:space="0" w:color="000000"/>
            </w:tcBorders>
          </w:tcPr>
          <w:p>
            <w:pPr>
              <w:pStyle w:val="TableParagraph"/>
              <w:spacing w:before="39"/>
              <w:ind w:left="55" w:right="26"/>
              <w:rPr>
                <w:rFonts w:ascii="宋体" w:eastAsia="宋体" w:hint="eastAsia"/>
                <w:sz w:val="21"/>
              </w:rPr>
            </w:pPr>
            <w:r>
              <w:rPr>
                <w:rFonts w:ascii="宋体" w:eastAsia="宋体" w:hint="eastAsia"/>
                <w:sz w:val="21"/>
              </w:rPr>
              <w:t>二氧化硫、氮</w:t>
            </w:r>
          </w:p>
        </w:tc>
        <w:tc>
          <w:tcPr>
            <w:tcW w:w="1181" w:type="dxa"/>
            <w:tcBorders>
              <w:top w:val="single" w:sz="6" w:space="0" w:color="000000"/>
              <w:left w:val="single" w:sz="6" w:space="0" w:color="000000"/>
              <w:right w:val="single" w:sz="6" w:space="0" w:color="000000"/>
            </w:tcBorders>
          </w:tcPr>
          <w:p>
            <w:pPr>
              <w:pStyle w:val="TableParagraph"/>
              <w:spacing w:before="50"/>
              <w:ind w:left="26"/>
              <w:rPr>
                <w:sz w:val="21"/>
              </w:rPr>
            </w:pPr>
            <w:r>
              <w:rPr>
                <w:w w:val="100"/>
                <w:sz w:val="21"/>
              </w:rPr>
              <w:t>/</w:t>
            </w:r>
          </w:p>
        </w:tc>
        <w:tc>
          <w:tcPr>
            <w:tcW w:w="1700" w:type="dxa"/>
            <w:tcBorders>
              <w:top w:val="single" w:sz="6" w:space="0" w:color="000000"/>
              <w:left w:val="single" w:sz="6" w:space="0" w:color="000000"/>
              <w:right w:val="single" w:sz="6" w:space="0" w:color="000000"/>
            </w:tcBorders>
          </w:tcPr>
          <w:p>
            <w:pPr>
              <w:pStyle w:val="TableParagraph"/>
              <w:spacing w:before="39"/>
              <w:ind w:left="99" w:right="70"/>
              <w:rPr>
                <w:rFonts w:ascii="宋体" w:eastAsia="宋体" w:hint="eastAsia"/>
                <w:sz w:val="21"/>
              </w:rPr>
            </w:pPr>
            <w:r>
              <w:rPr>
                <w:rFonts w:ascii="宋体" w:eastAsia="宋体" w:hint="eastAsia"/>
                <w:sz w:val="21"/>
              </w:rPr>
              <w:t>高 </w:t>
            </w:r>
            <w:r>
              <w:rPr>
                <w:position w:val="1"/>
                <w:sz w:val="21"/>
              </w:rPr>
              <w:t>8m </w:t>
            </w:r>
            <w:r>
              <w:rPr>
                <w:rFonts w:ascii="宋体" w:eastAsia="宋体" w:hint="eastAsia"/>
                <w:sz w:val="21"/>
              </w:rPr>
              <w:t>的排气筒</w:t>
            </w:r>
          </w:p>
        </w:tc>
        <w:tc>
          <w:tcPr>
            <w:tcW w:w="2801" w:type="dxa"/>
            <w:tcBorders>
              <w:top w:val="single" w:sz="6" w:space="0" w:color="000000"/>
              <w:left w:val="single" w:sz="6" w:space="0" w:color="000000"/>
            </w:tcBorders>
          </w:tcPr>
          <w:p>
            <w:pPr>
              <w:pStyle w:val="TableParagraph"/>
              <w:spacing w:before="39"/>
              <w:ind w:left="113" w:right="76"/>
              <w:rPr>
                <w:rFonts w:ascii="宋体" w:eastAsia="宋体" w:hint="eastAsia"/>
                <w:sz w:val="21"/>
              </w:rPr>
            </w:pPr>
            <w:r>
              <w:rPr>
                <w:rFonts w:ascii="宋体" w:eastAsia="宋体" w:hint="eastAsia"/>
                <w:sz w:val="21"/>
              </w:rPr>
              <w:t>符合《锅炉大气污染物排放</w:t>
            </w:r>
          </w:p>
        </w:tc>
      </w:tr>
    </w:tbl>
    <w:p>
      <w:pPr>
        <w:spacing w:after="0"/>
        <w:rPr>
          <w:rFonts w:ascii="宋体" w:eastAsia="宋体" w:hint="eastAsia"/>
          <w:sz w:val="21"/>
        </w:rPr>
        <w:sectPr>
          <w:headerReference w:type="default" r:id="rId163"/>
          <w:footerReference w:type="default" r:id="rId164"/>
          <w:pgSz w:w="11910" w:h="16840"/>
          <w:pgMar w:header="874" w:footer="1004" w:top="1420" w:bottom="1200" w:left="1040" w:right="1160"/>
          <w:pgNumType w:start="213"/>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2"/>
        <w:gridCol w:w="1527"/>
        <w:gridCol w:w="1550"/>
        <w:gridCol w:w="1181"/>
        <w:gridCol w:w="1700"/>
        <w:gridCol w:w="2801"/>
      </w:tblGrid>
      <w:tr>
        <w:trPr>
          <w:trHeight w:val="359" w:hRule="atLeast"/>
        </w:trPr>
        <w:tc>
          <w:tcPr>
            <w:tcW w:w="672" w:type="dxa"/>
            <w:tcBorders>
              <w:bottom w:val="single" w:sz="6" w:space="0" w:color="000000"/>
              <w:right w:val="single" w:sz="6" w:space="0" w:color="000000"/>
            </w:tcBorders>
          </w:tcPr>
          <w:p>
            <w:pPr>
              <w:pStyle w:val="TableParagraph"/>
              <w:spacing w:before="46"/>
              <w:ind w:left="124"/>
              <w:jc w:val="left"/>
              <w:rPr>
                <w:rFonts w:ascii="宋体" w:eastAsia="宋体" w:hint="eastAsia"/>
                <w:b/>
                <w:sz w:val="21"/>
              </w:rPr>
            </w:pPr>
            <w:r>
              <w:rPr>
                <w:rFonts w:ascii="宋体" w:eastAsia="宋体" w:hint="eastAsia"/>
                <w:b/>
                <w:sz w:val="21"/>
              </w:rPr>
              <w:t>项目</w:t>
            </w:r>
          </w:p>
        </w:tc>
        <w:tc>
          <w:tcPr>
            <w:tcW w:w="1527" w:type="dxa"/>
            <w:tcBorders>
              <w:left w:val="single" w:sz="6" w:space="0" w:color="000000"/>
              <w:bottom w:val="single" w:sz="6" w:space="0" w:color="000000"/>
              <w:right w:val="single" w:sz="6" w:space="0" w:color="000000"/>
            </w:tcBorders>
          </w:tcPr>
          <w:p>
            <w:pPr>
              <w:pStyle w:val="TableParagraph"/>
              <w:spacing w:before="46"/>
              <w:ind w:left="136" w:right="108"/>
              <w:rPr>
                <w:rFonts w:ascii="宋体" w:eastAsia="宋体" w:hint="eastAsia"/>
                <w:b/>
                <w:sz w:val="21"/>
              </w:rPr>
            </w:pPr>
            <w:r>
              <w:rPr>
                <w:rFonts w:ascii="宋体" w:eastAsia="宋体" w:hint="eastAsia"/>
                <w:b/>
                <w:sz w:val="21"/>
              </w:rPr>
              <w:t>监测点位</w:t>
            </w:r>
          </w:p>
        </w:tc>
        <w:tc>
          <w:tcPr>
            <w:tcW w:w="1550" w:type="dxa"/>
            <w:tcBorders>
              <w:left w:val="single" w:sz="6" w:space="0" w:color="000000"/>
              <w:bottom w:val="single" w:sz="6" w:space="0" w:color="000000"/>
              <w:right w:val="single" w:sz="6" w:space="0" w:color="000000"/>
            </w:tcBorders>
          </w:tcPr>
          <w:p>
            <w:pPr>
              <w:pStyle w:val="TableParagraph"/>
              <w:spacing w:before="46"/>
              <w:ind w:left="55" w:right="26"/>
              <w:rPr>
                <w:rFonts w:ascii="宋体" w:eastAsia="宋体" w:hint="eastAsia"/>
                <w:b/>
                <w:sz w:val="21"/>
              </w:rPr>
            </w:pPr>
            <w:r>
              <w:rPr>
                <w:rFonts w:ascii="宋体" w:eastAsia="宋体" w:hint="eastAsia"/>
                <w:b/>
                <w:sz w:val="21"/>
              </w:rPr>
              <w:t>监测因子</w:t>
            </w:r>
          </w:p>
        </w:tc>
        <w:tc>
          <w:tcPr>
            <w:tcW w:w="1181" w:type="dxa"/>
            <w:tcBorders>
              <w:left w:val="single" w:sz="6" w:space="0" w:color="000000"/>
              <w:bottom w:val="single" w:sz="6" w:space="0" w:color="000000"/>
              <w:right w:val="single" w:sz="6" w:space="0" w:color="000000"/>
            </w:tcBorders>
          </w:tcPr>
          <w:p>
            <w:pPr>
              <w:pStyle w:val="TableParagraph"/>
              <w:spacing w:before="46"/>
              <w:ind w:left="155" w:right="126"/>
              <w:rPr>
                <w:rFonts w:ascii="宋体" w:eastAsia="宋体" w:hint="eastAsia"/>
                <w:b/>
                <w:sz w:val="21"/>
              </w:rPr>
            </w:pPr>
            <w:r>
              <w:rPr>
                <w:rFonts w:ascii="宋体" w:eastAsia="宋体" w:hint="eastAsia"/>
                <w:b/>
                <w:sz w:val="21"/>
              </w:rPr>
              <w:t>处理措施</w:t>
            </w:r>
          </w:p>
        </w:tc>
        <w:tc>
          <w:tcPr>
            <w:tcW w:w="1700" w:type="dxa"/>
            <w:tcBorders>
              <w:left w:val="single" w:sz="6" w:space="0" w:color="000000"/>
              <w:bottom w:val="single" w:sz="6" w:space="0" w:color="000000"/>
              <w:right w:val="single" w:sz="6" w:space="0" w:color="000000"/>
            </w:tcBorders>
          </w:tcPr>
          <w:p>
            <w:pPr>
              <w:pStyle w:val="TableParagraph"/>
              <w:spacing w:before="46"/>
              <w:ind w:left="99" w:right="70"/>
              <w:rPr>
                <w:rFonts w:ascii="宋体" w:eastAsia="宋体" w:hint="eastAsia"/>
                <w:b/>
                <w:sz w:val="21"/>
              </w:rPr>
            </w:pPr>
            <w:r>
              <w:rPr>
                <w:rFonts w:ascii="宋体" w:eastAsia="宋体" w:hint="eastAsia"/>
                <w:b/>
                <w:sz w:val="21"/>
              </w:rPr>
              <w:t>验收内容</w:t>
            </w:r>
          </w:p>
        </w:tc>
        <w:tc>
          <w:tcPr>
            <w:tcW w:w="2801" w:type="dxa"/>
            <w:tcBorders>
              <w:left w:val="single" w:sz="6" w:space="0" w:color="000000"/>
              <w:bottom w:val="single" w:sz="6" w:space="0" w:color="000000"/>
            </w:tcBorders>
          </w:tcPr>
          <w:p>
            <w:pPr>
              <w:pStyle w:val="TableParagraph"/>
              <w:spacing w:before="46"/>
              <w:ind w:left="115" w:right="76"/>
              <w:rPr>
                <w:rFonts w:ascii="宋体" w:eastAsia="宋体" w:hint="eastAsia"/>
                <w:b/>
                <w:sz w:val="21"/>
              </w:rPr>
            </w:pPr>
            <w:r>
              <w:rPr>
                <w:rFonts w:ascii="宋体" w:eastAsia="宋体" w:hint="eastAsia"/>
                <w:b/>
                <w:sz w:val="21"/>
              </w:rPr>
              <w:t>达标要求</w:t>
            </w:r>
          </w:p>
        </w:tc>
      </w:tr>
      <w:tr>
        <w:trPr>
          <w:trHeight w:val="716" w:hRule="atLeast"/>
        </w:trPr>
        <w:tc>
          <w:tcPr>
            <w:tcW w:w="672" w:type="dxa"/>
            <w:vMerge w:val="restart"/>
            <w:tcBorders>
              <w:top w:val="single" w:sz="6" w:space="0" w:color="000000"/>
              <w:bottom w:val="single" w:sz="6" w:space="0" w:color="000000"/>
              <w:right w:val="single" w:sz="6" w:space="0" w:color="000000"/>
            </w:tcBorders>
          </w:tcPr>
          <w:p>
            <w:pPr>
              <w:pStyle w:val="TableParagraph"/>
              <w:spacing w:before="0"/>
              <w:jc w:val="left"/>
              <w:rPr>
                <w:sz w:val="20"/>
              </w:rPr>
            </w:pP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46"/>
              <w:ind w:left="136" w:right="108"/>
              <w:rPr>
                <w:rFonts w:ascii="宋体" w:eastAsia="宋体" w:hint="eastAsia"/>
                <w:sz w:val="21"/>
              </w:rPr>
            </w:pPr>
            <w:r>
              <w:rPr>
                <w:rFonts w:ascii="宋体" w:eastAsia="宋体" w:hint="eastAsia"/>
                <w:sz w:val="21"/>
              </w:rPr>
              <w:t>排放口</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46"/>
              <w:ind w:left="55" w:right="26"/>
              <w:rPr>
                <w:rFonts w:ascii="宋体" w:eastAsia="宋体" w:hint="eastAsia"/>
                <w:sz w:val="21"/>
              </w:rPr>
            </w:pPr>
            <w:r>
              <w:rPr>
                <w:rFonts w:ascii="宋体" w:eastAsia="宋体" w:hint="eastAsia"/>
                <w:sz w:val="21"/>
              </w:rPr>
              <w:t>氧化物</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6"/>
              <w:ind w:left="101" w:right="70"/>
              <w:rPr>
                <w:rFonts w:ascii="宋体" w:eastAsia="宋体" w:hint="eastAsia"/>
                <w:sz w:val="21"/>
              </w:rPr>
            </w:pPr>
            <w:r>
              <w:rPr>
                <w:rFonts w:ascii="宋体" w:eastAsia="宋体" w:hint="eastAsia"/>
                <w:sz w:val="21"/>
              </w:rPr>
              <w:t>有组织排放</w:t>
            </w:r>
          </w:p>
        </w:tc>
        <w:tc>
          <w:tcPr>
            <w:tcW w:w="2801" w:type="dxa"/>
            <w:tcBorders>
              <w:top w:val="single" w:sz="6" w:space="0" w:color="000000"/>
              <w:left w:val="single" w:sz="6" w:space="0" w:color="000000"/>
              <w:bottom w:val="single" w:sz="6" w:space="0" w:color="000000"/>
            </w:tcBorders>
          </w:tcPr>
          <w:p>
            <w:pPr>
              <w:pStyle w:val="TableParagraph"/>
              <w:spacing w:before="46"/>
              <w:ind w:left="37" w:right="29"/>
              <w:rPr>
                <w:rFonts w:ascii="宋体" w:eastAsia="宋体" w:hint="eastAsia"/>
                <w:sz w:val="21"/>
              </w:rPr>
            </w:pPr>
            <w:r>
              <w:rPr>
                <w:rFonts w:ascii="宋体" w:eastAsia="宋体" w:hint="eastAsia"/>
                <w:sz w:val="21"/>
              </w:rPr>
              <w:t>标准》（</w:t>
            </w:r>
            <w:r>
              <w:rPr>
                <w:position w:val="1"/>
                <w:sz w:val="21"/>
              </w:rPr>
              <w:t>GB 13271- 2014</w:t>
            </w:r>
            <w:r>
              <w:rPr>
                <w:rFonts w:ascii="宋体" w:eastAsia="宋体" w:hint="eastAsia"/>
                <w:sz w:val="21"/>
              </w:rPr>
              <w:t>）中</w:t>
            </w:r>
          </w:p>
          <w:p>
            <w:pPr>
              <w:pStyle w:val="TableParagraph"/>
              <w:spacing w:before="91"/>
              <w:ind w:left="115" w:right="76"/>
              <w:rPr>
                <w:rFonts w:ascii="宋体" w:eastAsia="宋体" w:hint="eastAsia"/>
                <w:sz w:val="21"/>
              </w:rPr>
            </w:pPr>
            <w:r>
              <w:rPr>
                <w:rFonts w:ascii="宋体" w:eastAsia="宋体" w:hint="eastAsia"/>
                <w:sz w:val="21"/>
              </w:rPr>
              <w:t>表 </w:t>
            </w:r>
            <w:r>
              <w:rPr>
                <w:position w:val="1"/>
                <w:sz w:val="21"/>
              </w:rPr>
              <w:t>3 </w:t>
            </w:r>
            <w:r>
              <w:rPr>
                <w:rFonts w:ascii="宋体" w:eastAsia="宋体" w:hint="eastAsia"/>
                <w:sz w:val="21"/>
              </w:rPr>
              <w:t>燃气锅炉排放限值</w:t>
            </w:r>
          </w:p>
        </w:tc>
      </w:tr>
      <w:tr>
        <w:trPr>
          <w:trHeight w:val="1794" w:hRule="atLeast"/>
        </w:trPr>
        <w:tc>
          <w:tcPr>
            <w:tcW w:w="672" w:type="dxa"/>
            <w:vMerge/>
            <w:tcBorders>
              <w:top w:val="nil"/>
              <w:bottom w:val="single" w:sz="6" w:space="0" w:color="000000"/>
              <w:right w:val="single" w:sz="6" w:space="0" w:color="000000"/>
            </w:tcBorders>
          </w:tcPr>
          <w:p>
            <w:pPr>
              <w:rPr>
                <w:sz w:val="2"/>
                <w:szCs w:val="2"/>
              </w:rPr>
            </w:pP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136" w:right="108"/>
              <w:rPr>
                <w:rFonts w:ascii="宋体" w:eastAsia="宋体" w:hint="eastAsia"/>
                <w:sz w:val="21"/>
              </w:rPr>
            </w:pPr>
            <w:r>
              <w:rPr>
                <w:rFonts w:ascii="宋体" w:eastAsia="宋体" w:hint="eastAsia"/>
                <w:sz w:val="21"/>
              </w:rPr>
              <w:t>厂界</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9"/>
              <w:jc w:val="left"/>
              <w:rPr>
                <w:rFonts w:ascii="宋体"/>
                <w:b/>
                <w:sz w:val="25"/>
              </w:rPr>
            </w:pPr>
          </w:p>
          <w:p>
            <w:pPr>
              <w:pStyle w:val="TableParagraph"/>
              <w:spacing w:line="319" w:lineRule="auto" w:before="1"/>
              <w:ind w:left="362" w:right="119" w:hanging="212"/>
              <w:jc w:val="left"/>
              <w:rPr>
                <w:rFonts w:ascii="宋体" w:eastAsia="宋体" w:hint="eastAsia"/>
                <w:sz w:val="21"/>
              </w:rPr>
            </w:pPr>
            <w:r>
              <w:rPr>
                <w:rFonts w:ascii="宋体" w:eastAsia="宋体" w:hint="eastAsia"/>
                <w:sz w:val="21"/>
              </w:rPr>
              <w:t>氨、硫化氢、臭气浓度</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6"/>
              <w:jc w:val="left"/>
              <w:rPr>
                <w:rFonts w:ascii="宋体"/>
                <w:b/>
                <w:sz w:val="16"/>
              </w:rPr>
            </w:pPr>
          </w:p>
          <w:p>
            <w:pPr>
              <w:pStyle w:val="TableParagraph"/>
              <w:spacing w:before="1"/>
              <w:ind w:left="26"/>
              <w:rPr>
                <w:sz w:val="21"/>
              </w:rPr>
            </w:pPr>
            <w:r>
              <w:rPr>
                <w:w w:val="100"/>
                <w:sz w:val="21"/>
              </w:rPr>
              <w:t>/</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6"/>
              <w:jc w:val="left"/>
              <w:rPr>
                <w:rFonts w:ascii="宋体"/>
                <w:b/>
                <w:sz w:val="16"/>
              </w:rPr>
            </w:pPr>
          </w:p>
          <w:p>
            <w:pPr>
              <w:pStyle w:val="TableParagraph"/>
              <w:spacing w:before="1"/>
              <w:ind w:left="30"/>
              <w:rPr>
                <w:sz w:val="21"/>
              </w:rPr>
            </w:pPr>
            <w:r>
              <w:rPr>
                <w:w w:val="100"/>
                <w:sz w:val="21"/>
              </w:rPr>
              <w:t>/</w:t>
            </w:r>
          </w:p>
        </w:tc>
        <w:tc>
          <w:tcPr>
            <w:tcW w:w="2801" w:type="dxa"/>
            <w:tcBorders>
              <w:top w:val="single" w:sz="6" w:space="0" w:color="000000"/>
              <w:left w:val="single" w:sz="6" w:space="0" w:color="000000"/>
              <w:bottom w:val="single" w:sz="6" w:space="0" w:color="000000"/>
            </w:tcBorders>
          </w:tcPr>
          <w:p>
            <w:pPr>
              <w:pStyle w:val="TableParagraph"/>
              <w:spacing w:line="319" w:lineRule="auto" w:before="48"/>
              <w:ind w:left="115" w:right="13" w:hanging="61"/>
              <w:rPr>
                <w:sz w:val="21"/>
              </w:rPr>
            </w:pPr>
            <w:r>
              <w:rPr>
                <w:position w:val="2"/>
                <w:sz w:val="21"/>
              </w:rPr>
              <w:t>NH</w:t>
            </w:r>
            <w:r>
              <w:rPr>
                <w:sz w:val="14"/>
              </w:rPr>
              <w:t>3</w:t>
            </w:r>
            <w:r>
              <w:rPr>
                <w:rFonts w:ascii="宋体" w:eastAsia="宋体" w:hint="eastAsia"/>
                <w:spacing w:val="-36"/>
                <w:position w:val="1"/>
                <w:sz w:val="21"/>
              </w:rPr>
              <w:t>、</w:t>
            </w:r>
            <w:r>
              <w:rPr>
                <w:position w:val="2"/>
                <w:sz w:val="21"/>
              </w:rPr>
              <w:t>H</w:t>
            </w:r>
            <w:r>
              <w:rPr>
                <w:sz w:val="14"/>
              </w:rPr>
              <w:t>2</w:t>
            </w:r>
            <w:r>
              <w:rPr>
                <w:position w:val="2"/>
                <w:sz w:val="21"/>
              </w:rPr>
              <w:t>S </w:t>
            </w:r>
            <w:r>
              <w:rPr>
                <w:rFonts w:ascii="宋体" w:eastAsia="宋体" w:hint="eastAsia"/>
                <w:spacing w:val="-7"/>
                <w:position w:val="1"/>
                <w:sz w:val="21"/>
              </w:rPr>
              <w:t>符合《恶臭污染物</w:t>
            </w:r>
            <w:r>
              <w:rPr>
                <w:rFonts w:ascii="宋体" w:eastAsia="宋体" w:hint="eastAsia"/>
                <w:spacing w:val="-24"/>
                <w:sz w:val="21"/>
              </w:rPr>
              <w:t>排放标准》</w:t>
            </w:r>
            <w:r>
              <w:rPr>
                <w:rFonts w:ascii="宋体" w:eastAsia="宋体" w:hint="eastAsia"/>
                <w:sz w:val="21"/>
              </w:rPr>
              <w:t>（</w:t>
            </w:r>
            <w:r>
              <w:rPr>
                <w:position w:val="1"/>
                <w:sz w:val="21"/>
              </w:rPr>
              <w:t>GB </w:t>
            </w:r>
            <w:r>
              <w:rPr>
                <w:spacing w:val="-11"/>
                <w:position w:val="1"/>
                <w:sz w:val="21"/>
              </w:rPr>
              <w:t>14554-93</w:t>
            </w:r>
            <w:r>
              <w:rPr>
                <w:rFonts w:ascii="宋体" w:eastAsia="宋体" w:hint="eastAsia"/>
                <w:spacing w:val="-11"/>
                <w:sz w:val="21"/>
              </w:rPr>
              <w:t>）， </w:t>
            </w:r>
            <w:r>
              <w:rPr>
                <w:rFonts w:ascii="宋体" w:eastAsia="宋体" w:hint="eastAsia"/>
                <w:spacing w:val="-3"/>
                <w:sz w:val="21"/>
              </w:rPr>
              <w:t>臭气浓度符合《畜禽养殖业污染物排放标准》</w:t>
            </w:r>
            <w:r>
              <w:rPr>
                <w:rFonts w:ascii="宋体" w:eastAsia="宋体" w:hint="eastAsia"/>
                <w:sz w:val="21"/>
              </w:rPr>
              <w:t>（</w:t>
            </w:r>
            <w:r>
              <w:rPr>
                <w:position w:val="1"/>
                <w:sz w:val="21"/>
              </w:rPr>
              <w:t>DB</w:t>
            </w:r>
          </w:p>
          <w:p>
            <w:pPr>
              <w:pStyle w:val="TableParagraph"/>
              <w:spacing w:before="2"/>
              <w:ind w:left="115" w:right="76"/>
              <w:rPr>
                <w:rFonts w:ascii="宋体" w:eastAsia="宋体" w:hint="eastAsia"/>
                <w:sz w:val="21"/>
              </w:rPr>
            </w:pPr>
            <w:r>
              <w:rPr>
                <w:position w:val="1"/>
                <w:sz w:val="21"/>
              </w:rPr>
              <w:t>33/593-2005</w:t>
            </w:r>
            <w:r>
              <w:rPr>
                <w:rFonts w:ascii="宋体" w:eastAsia="宋体" w:hint="eastAsia"/>
                <w:sz w:val="21"/>
              </w:rPr>
              <w:t>）</w:t>
            </w:r>
          </w:p>
        </w:tc>
      </w:tr>
      <w:tr>
        <w:trPr>
          <w:trHeight w:val="2152" w:hRule="atLeast"/>
        </w:trPr>
        <w:tc>
          <w:tcPr>
            <w:tcW w:w="672"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76"/>
              <w:ind w:left="124"/>
              <w:jc w:val="left"/>
              <w:rPr>
                <w:rFonts w:ascii="宋体" w:eastAsia="宋体" w:hint="eastAsia"/>
                <w:sz w:val="21"/>
              </w:rPr>
            </w:pPr>
            <w:r>
              <w:rPr>
                <w:rFonts w:ascii="宋体" w:eastAsia="宋体" w:hint="eastAsia"/>
                <w:sz w:val="21"/>
              </w:rPr>
              <w:t>废水</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line="321" w:lineRule="auto" w:before="0"/>
              <w:ind w:left="242" w:right="214"/>
              <w:jc w:val="left"/>
              <w:rPr>
                <w:rFonts w:ascii="宋体" w:eastAsia="宋体" w:hint="eastAsia"/>
                <w:sz w:val="21"/>
              </w:rPr>
            </w:pPr>
            <w:r>
              <w:rPr>
                <w:rFonts w:ascii="宋体" w:eastAsia="宋体" w:hint="eastAsia"/>
                <w:sz w:val="21"/>
              </w:rPr>
              <w:t>污水站调节池、总排口</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17"/>
              </w:rPr>
            </w:pPr>
          </w:p>
          <w:p>
            <w:pPr>
              <w:pStyle w:val="TableParagraph"/>
              <w:spacing w:line="319" w:lineRule="auto" w:before="0"/>
              <w:ind w:left="114" w:right="-29" w:hanging="108"/>
              <w:rPr>
                <w:rFonts w:ascii="宋体" w:eastAsia="宋体" w:hint="eastAsia"/>
                <w:sz w:val="21"/>
              </w:rPr>
            </w:pPr>
            <w:r>
              <w:rPr>
                <w:position w:val="2"/>
                <w:sz w:val="21"/>
              </w:rPr>
              <w:t>pH</w:t>
            </w:r>
            <w:r>
              <w:rPr>
                <w:rFonts w:ascii="宋体" w:eastAsia="宋体" w:hint="eastAsia"/>
                <w:position w:val="1"/>
                <w:sz w:val="21"/>
              </w:rPr>
              <w:t>、</w:t>
            </w:r>
            <w:r>
              <w:rPr>
                <w:position w:val="2"/>
                <w:sz w:val="21"/>
              </w:rPr>
              <w:t>COD</w:t>
            </w:r>
            <w:r>
              <w:rPr>
                <w:sz w:val="14"/>
              </w:rPr>
              <w:t>Cr</w:t>
            </w:r>
            <w:r>
              <w:rPr>
                <w:rFonts w:ascii="宋体" w:eastAsia="宋体" w:hint="eastAsia"/>
                <w:position w:val="1"/>
                <w:sz w:val="21"/>
              </w:rPr>
              <w:t>、</w:t>
            </w:r>
            <w:r>
              <w:rPr>
                <w:position w:val="2"/>
                <w:sz w:val="21"/>
              </w:rPr>
              <w:t>BOD</w:t>
            </w:r>
            <w:r>
              <w:rPr>
                <w:sz w:val="14"/>
              </w:rPr>
              <w:t>5</w:t>
            </w:r>
            <w:r>
              <w:rPr>
                <w:rFonts w:ascii="宋体" w:eastAsia="宋体" w:hint="eastAsia"/>
                <w:spacing w:val="-92"/>
                <w:position w:val="1"/>
                <w:sz w:val="21"/>
              </w:rPr>
              <w:t>、</w:t>
            </w:r>
            <w:r>
              <w:rPr>
                <w:position w:val="2"/>
                <w:sz w:val="21"/>
              </w:rPr>
              <w:t>NH</w:t>
            </w:r>
            <w:r>
              <w:rPr>
                <w:sz w:val="14"/>
              </w:rPr>
              <w:t>3</w:t>
            </w:r>
            <w:r>
              <w:rPr>
                <w:position w:val="2"/>
                <w:sz w:val="21"/>
              </w:rPr>
              <w:t>-N</w:t>
            </w:r>
            <w:r>
              <w:rPr>
                <w:rFonts w:ascii="宋体" w:eastAsia="宋体" w:hint="eastAsia"/>
                <w:position w:val="1"/>
                <w:sz w:val="21"/>
              </w:rPr>
              <w:t>、</w:t>
            </w:r>
          </w:p>
          <w:p>
            <w:pPr>
              <w:pStyle w:val="TableParagraph"/>
              <w:spacing w:line="319" w:lineRule="auto" w:before="1"/>
              <w:ind w:left="114" w:right="26"/>
              <w:rPr>
                <w:rFonts w:ascii="宋体" w:eastAsia="宋体" w:hint="eastAsia"/>
                <w:sz w:val="21"/>
              </w:rPr>
            </w:pPr>
            <w:r>
              <w:rPr>
                <w:position w:val="1"/>
                <w:sz w:val="21"/>
              </w:rPr>
              <w:t>SS</w:t>
            </w:r>
            <w:r>
              <w:rPr>
                <w:rFonts w:ascii="宋体" w:eastAsia="宋体" w:hint="eastAsia"/>
                <w:sz w:val="21"/>
              </w:rPr>
              <w:t>、</w:t>
            </w:r>
            <w:r>
              <w:rPr>
                <w:position w:val="1"/>
                <w:sz w:val="21"/>
              </w:rPr>
              <w:t>TN</w:t>
            </w:r>
            <w:r>
              <w:rPr>
                <w:rFonts w:ascii="宋体" w:eastAsia="宋体" w:hint="eastAsia"/>
                <w:sz w:val="21"/>
              </w:rPr>
              <w:t>、</w:t>
            </w:r>
            <w:r>
              <w:rPr>
                <w:position w:val="1"/>
                <w:sz w:val="21"/>
              </w:rPr>
              <w:t>TP</w:t>
            </w:r>
            <w:r>
              <w:rPr>
                <w:rFonts w:ascii="宋体" w:eastAsia="宋体" w:hint="eastAsia"/>
                <w:sz w:val="21"/>
              </w:rPr>
              <w:t>、粪大肠菌群、蛔虫卵等</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line="321" w:lineRule="auto" w:before="0"/>
              <w:ind w:left="489" w:right="146" w:hanging="315"/>
              <w:jc w:val="left"/>
              <w:rPr>
                <w:rFonts w:ascii="宋体" w:eastAsia="宋体" w:hint="eastAsia"/>
                <w:sz w:val="21"/>
              </w:rPr>
            </w:pPr>
            <w:r>
              <w:rPr>
                <w:rFonts w:ascii="宋体" w:eastAsia="宋体" w:hint="eastAsia"/>
                <w:sz w:val="21"/>
              </w:rPr>
              <w:t>污水处理站</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line="319" w:lineRule="auto" w:before="150"/>
              <w:ind w:left="120" w:right="89"/>
              <w:jc w:val="both"/>
              <w:rPr>
                <w:rFonts w:ascii="宋体" w:eastAsia="宋体" w:hint="eastAsia"/>
                <w:sz w:val="21"/>
              </w:rPr>
            </w:pPr>
            <w:r>
              <w:rPr>
                <w:rFonts w:ascii="宋体" w:eastAsia="宋体" w:hint="eastAsia"/>
                <w:sz w:val="21"/>
              </w:rPr>
              <w:t>是否按照相关规定安装在线监测装置，纳管废水水质是否达标</w:t>
            </w:r>
          </w:p>
        </w:tc>
        <w:tc>
          <w:tcPr>
            <w:tcW w:w="2801" w:type="dxa"/>
            <w:tcBorders>
              <w:top w:val="single" w:sz="6" w:space="0" w:color="000000"/>
              <w:left w:val="single" w:sz="6" w:space="0" w:color="000000"/>
              <w:bottom w:val="single" w:sz="6" w:space="0" w:color="000000"/>
            </w:tcBorders>
          </w:tcPr>
          <w:p>
            <w:pPr>
              <w:pStyle w:val="TableParagraph"/>
              <w:spacing w:line="319" w:lineRule="auto" w:before="46"/>
              <w:ind w:left="146" w:right="107"/>
              <w:jc w:val="both"/>
              <w:rPr>
                <w:rFonts w:ascii="宋体" w:eastAsia="宋体" w:hint="eastAsia"/>
                <w:sz w:val="21"/>
              </w:rPr>
            </w:pPr>
            <w:r>
              <w:rPr>
                <w:rFonts w:ascii="宋体" w:eastAsia="宋体" w:hint="eastAsia"/>
                <w:sz w:val="21"/>
              </w:rPr>
              <w:t>纳管水质满足《污水综合排放标准》（</w:t>
            </w:r>
            <w:r>
              <w:rPr>
                <w:position w:val="1"/>
                <w:sz w:val="21"/>
              </w:rPr>
              <w:t>GB 8978-1996</w:t>
            </w:r>
            <w:r>
              <w:rPr>
                <w:rFonts w:ascii="宋体" w:eastAsia="宋体" w:hint="eastAsia"/>
                <w:sz w:val="21"/>
              </w:rPr>
              <w:t>） 三级标准（氨氮、总磷、粪大肠菌群数满足《浙江省畜禽养殖业污染物排放标准》</w:t>
            </w:r>
          </w:p>
          <w:p>
            <w:pPr>
              <w:pStyle w:val="TableParagraph"/>
              <w:spacing w:before="7"/>
              <w:ind w:left="384"/>
              <w:jc w:val="left"/>
              <w:rPr>
                <w:rFonts w:ascii="宋体" w:eastAsia="宋体" w:hint="eastAsia"/>
                <w:sz w:val="21"/>
              </w:rPr>
            </w:pPr>
            <w:r>
              <w:rPr>
                <w:rFonts w:ascii="宋体" w:eastAsia="宋体" w:hint="eastAsia"/>
                <w:sz w:val="21"/>
              </w:rPr>
              <w:t>（</w:t>
            </w:r>
            <w:r>
              <w:rPr>
                <w:position w:val="1"/>
                <w:sz w:val="21"/>
              </w:rPr>
              <w:t>DB 33/593-2005</w:t>
            </w:r>
            <w:r>
              <w:rPr>
                <w:rFonts w:ascii="宋体" w:eastAsia="宋体" w:hint="eastAsia"/>
                <w:sz w:val="21"/>
              </w:rPr>
              <w:t>））</w:t>
            </w:r>
          </w:p>
        </w:tc>
      </w:tr>
      <w:tr>
        <w:trPr>
          <w:trHeight w:val="1076" w:hRule="atLeast"/>
        </w:trPr>
        <w:tc>
          <w:tcPr>
            <w:tcW w:w="672"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0"/>
              <w:ind w:left="124"/>
              <w:jc w:val="left"/>
              <w:rPr>
                <w:rFonts w:ascii="宋体" w:eastAsia="宋体" w:hint="eastAsia"/>
                <w:sz w:val="21"/>
              </w:rPr>
            </w:pPr>
            <w:r>
              <w:rPr>
                <w:rFonts w:ascii="宋体" w:eastAsia="宋体" w:hint="eastAsia"/>
                <w:sz w:val="21"/>
              </w:rPr>
              <w:t>噪声</w:t>
            </w: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0"/>
              <w:ind w:left="136" w:right="108"/>
              <w:rPr>
                <w:rFonts w:ascii="宋体" w:eastAsia="宋体" w:hint="eastAsia"/>
                <w:sz w:val="21"/>
              </w:rPr>
            </w:pPr>
            <w:r>
              <w:rPr>
                <w:rFonts w:ascii="宋体" w:eastAsia="宋体" w:hint="eastAsia"/>
                <w:sz w:val="21"/>
              </w:rPr>
              <w:t>厂界</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before="0"/>
              <w:ind w:left="362"/>
              <w:jc w:val="left"/>
              <w:rPr>
                <w:rFonts w:ascii="宋体" w:eastAsia="宋体" w:hint="eastAsia"/>
                <w:sz w:val="21"/>
              </w:rPr>
            </w:pPr>
            <w:r>
              <w:rPr>
                <w:rFonts w:ascii="宋体" w:eastAsia="宋体" w:hint="eastAsia"/>
                <w:spacing w:val="-1"/>
                <w:sz w:val="21"/>
              </w:rPr>
              <w:t>等效声级</w:t>
            </w:r>
          </w:p>
          <w:p>
            <w:pPr>
              <w:pStyle w:val="TableParagraph"/>
              <w:spacing w:before="91"/>
              <w:ind w:left="374"/>
              <w:jc w:val="left"/>
              <w:rPr>
                <w:rFonts w:ascii="宋体" w:eastAsia="宋体" w:hint="eastAsia"/>
                <w:sz w:val="21"/>
              </w:rPr>
            </w:pPr>
            <w:r>
              <w:rPr>
                <w:position w:val="1"/>
                <w:sz w:val="21"/>
              </w:rPr>
              <w:t>dB</w:t>
            </w:r>
            <w:r>
              <w:rPr>
                <w:rFonts w:ascii="宋体" w:eastAsia="宋体" w:hint="eastAsia"/>
                <w:sz w:val="21"/>
              </w:rPr>
              <w:t>（</w:t>
            </w:r>
            <w:r>
              <w:rPr>
                <w:position w:val="1"/>
                <w:sz w:val="21"/>
              </w:rPr>
              <w:t>A</w:t>
            </w:r>
            <w:r>
              <w:rPr>
                <w:rFonts w:ascii="宋体" w:eastAsia="宋体" w:hint="eastAsia"/>
                <w:sz w:val="21"/>
              </w:rPr>
              <w:t>）</w:t>
            </w:r>
          </w:p>
        </w:tc>
        <w:tc>
          <w:tcPr>
            <w:tcW w:w="1181" w:type="dxa"/>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7"/>
              </w:rPr>
            </w:pPr>
          </w:p>
          <w:p>
            <w:pPr>
              <w:pStyle w:val="TableParagraph"/>
              <w:spacing w:line="321" w:lineRule="auto" w:before="0"/>
              <w:ind w:left="175" w:right="146"/>
              <w:jc w:val="left"/>
              <w:rPr>
                <w:rFonts w:ascii="宋体" w:eastAsia="宋体" w:hint="eastAsia"/>
                <w:sz w:val="21"/>
              </w:rPr>
            </w:pPr>
            <w:r>
              <w:rPr>
                <w:rFonts w:ascii="宋体" w:eastAsia="宋体" w:hint="eastAsia"/>
                <w:sz w:val="21"/>
              </w:rPr>
              <w:t>隔声、消声、减震</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50"/>
              <w:ind w:left="101" w:right="70"/>
              <w:rPr>
                <w:rFonts w:ascii="宋体" w:eastAsia="宋体" w:hint="eastAsia"/>
                <w:sz w:val="21"/>
              </w:rPr>
            </w:pPr>
            <w:r>
              <w:rPr>
                <w:rFonts w:ascii="宋体" w:eastAsia="宋体" w:hint="eastAsia"/>
                <w:sz w:val="21"/>
              </w:rPr>
              <w:t>厂界噪声值</w:t>
            </w:r>
          </w:p>
        </w:tc>
        <w:tc>
          <w:tcPr>
            <w:tcW w:w="2801" w:type="dxa"/>
            <w:tcBorders>
              <w:top w:val="single" w:sz="6" w:space="0" w:color="000000"/>
              <w:left w:val="single" w:sz="6" w:space="0" w:color="000000"/>
              <w:bottom w:val="single" w:sz="6" w:space="0" w:color="000000"/>
            </w:tcBorders>
          </w:tcPr>
          <w:p>
            <w:pPr>
              <w:pStyle w:val="TableParagraph"/>
              <w:spacing w:before="46"/>
              <w:ind w:left="113" w:right="76"/>
              <w:rPr>
                <w:rFonts w:ascii="宋体" w:eastAsia="宋体" w:hint="eastAsia"/>
                <w:sz w:val="21"/>
              </w:rPr>
            </w:pPr>
            <w:r>
              <w:rPr>
                <w:rFonts w:ascii="宋体" w:eastAsia="宋体" w:hint="eastAsia"/>
                <w:sz w:val="21"/>
              </w:rPr>
              <w:t>《工业企业厂界环境噪声排</w:t>
            </w:r>
          </w:p>
          <w:p>
            <w:pPr>
              <w:pStyle w:val="TableParagraph"/>
              <w:spacing w:line="350" w:lineRule="atLeast" w:before="10"/>
              <w:ind w:left="115" w:right="40"/>
              <w:rPr>
                <w:rFonts w:ascii="宋体" w:eastAsia="宋体" w:hint="eastAsia"/>
                <w:sz w:val="21"/>
              </w:rPr>
            </w:pPr>
            <w:r>
              <w:rPr>
                <w:rFonts w:ascii="宋体" w:eastAsia="宋体" w:hint="eastAsia"/>
                <w:sz w:val="21"/>
              </w:rPr>
              <w:t>放标准》（</w:t>
            </w:r>
            <w:r>
              <w:rPr>
                <w:position w:val="1"/>
                <w:sz w:val="21"/>
              </w:rPr>
              <w:t>GB 12348-2008</w:t>
            </w:r>
            <w:r>
              <w:rPr>
                <w:rFonts w:ascii="宋体" w:eastAsia="宋体" w:hint="eastAsia"/>
                <w:sz w:val="21"/>
              </w:rPr>
              <w:t>） 中 </w:t>
            </w:r>
            <w:r>
              <w:rPr>
                <w:position w:val="1"/>
                <w:sz w:val="21"/>
              </w:rPr>
              <w:t>2 </w:t>
            </w:r>
            <w:r>
              <w:rPr>
                <w:rFonts w:ascii="宋体" w:eastAsia="宋体" w:hint="eastAsia"/>
                <w:sz w:val="21"/>
              </w:rPr>
              <w:t>类标准</w:t>
            </w:r>
          </w:p>
        </w:tc>
      </w:tr>
      <w:tr>
        <w:trPr>
          <w:trHeight w:val="351" w:hRule="atLeast"/>
        </w:trPr>
        <w:tc>
          <w:tcPr>
            <w:tcW w:w="672"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8"/>
              <w:ind w:left="124"/>
              <w:jc w:val="left"/>
              <w:rPr>
                <w:rFonts w:ascii="宋体" w:eastAsia="宋体" w:hint="eastAsia"/>
                <w:sz w:val="21"/>
              </w:rPr>
            </w:pPr>
            <w:r>
              <w:rPr>
                <w:rFonts w:ascii="宋体" w:eastAsia="宋体" w:hint="eastAsia"/>
                <w:sz w:val="21"/>
              </w:rPr>
              <w:t>固废</w:t>
            </w:r>
          </w:p>
        </w:tc>
        <w:tc>
          <w:tcPr>
            <w:tcW w:w="1527"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64"/>
              <w:ind w:left="347"/>
              <w:jc w:val="left"/>
              <w:rPr>
                <w:rFonts w:ascii="宋体" w:eastAsia="宋体" w:hint="eastAsia"/>
                <w:sz w:val="21"/>
              </w:rPr>
            </w:pPr>
            <w:r>
              <w:rPr>
                <w:rFonts w:ascii="宋体" w:eastAsia="宋体" w:hint="eastAsia"/>
                <w:sz w:val="21"/>
              </w:rPr>
              <w:t>一般固废</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46"/>
              <w:ind w:left="57" w:right="26"/>
              <w:rPr>
                <w:rFonts w:ascii="宋体" w:eastAsia="宋体" w:hint="eastAsia"/>
                <w:sz w:val="21"/>
              </w:rPr>
            </w:pPr>
            <w:r>
              <w:rPr>
                <w:rFonts w:ascii="宋体" w:eastAsia="宋体" w:hint="eastAsia"/>
                <w:sz w:val="21"/>
              </w:rPr>
              <w:t>发酵产物</w:t>
            </w:r>
          </w:p>
        </w:tc>
        <w:tc>
          <w:tcPr>
            <w:tcW w:w="1181"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
              <w:jc w:val="left"/>
              <w:rPr>
                <w:rFonts w:ascii="宋体"/>
                <w:b/>
                <w:sz w:val="22"/>
              </w:rPr>
            </w:pPr>
          </w:p>
          <w:p>
            <w:pPr>
              <w:pStyle w:val="TableParagraph"/>
              <w:spacing w:line="319" w:lineRule="auto" w:before="0"/>
              <w:ind w:left="112" w:right="-15"/>
              <w:jc w:val="both"/>
              <w:rPr>
                <w:rFonts w:ascii="宋体" w:eastAsia="宋体" w:hint="eastAsia"/>
                <w:sz w:val="21"/>
              </w:rPr>
            </w:pPr>
            <w:r>
              <w:rPr>
                <w:rFonts w:ascii="宋体" w:eastAsia="宋体" w:hint="eastAsia"/>
                <w:sz w:val="21"/>
              </w:rPr>
              <w:t>分类收集、合理暂存、妥善处置</w:t>
            </w: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6"/>
              <w:ind w:left="99" w:right="70"/>
              <w:rPr>
                <w:rFonts w:ascii="宋体" w:eastAsia="宋体" w:hint="eastAsia"/>
                <w:sz w:val="21"/>
              </w:rPr>
            </w:pPr>
            <w:r>
              <w:rPr>
                <w:rFonts w:ascii="宋体" w:eastAsia="宋体" w:hint="eastAsia"/>
                <w:sz w:val="21"/>
              </w:rPr>
              <w:t>外运生产有机肥</w:t>
            </w:r>
          </w:p>
        </w:tc>
        <w:tc>
          <w:tcPr>
            <w:tcW w:w="2801" w:type="dxa"/>
            <w:vMerge w:val="restart"/>
            <w:tcBorders>
              <w:top w:val="single" w:sz="6" w:space="0" w:color="000000"/>
              <w:lef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
              <w:jc w:val="left"/>
              <w:rPr>
                <w:rFonts w:ascii="宋体"/>
                <w:b/>
                <w:sz w:val="22"/>
              </w:rPr>
            </w:pPr>
          </w:p>
          <w:p>
            <w:pPr>
              <w:pStyle w:val="TableParagraph"/>
              <w:spacing w:line="319" w:lineRule="auto" w:before="0"/>
              <w:ind w:left="146" w:right="107"/>
              <w:rPr>
                <w:rFonts w:ascii="宋体" w:eastAsia="宋体" w:hint="eastAsia"/>
                <w:sz w:val="21"/>
              </w:rPr>
            </w:pPr>
            <w:r>
              <w:rPr>
                <w:rFonts w:ascii="宋体" w:eastAsia="宋体" w:hint="eastAsia"/>
                <w:sz w:val="21"/>
              </w:rPr>
              <w:t>合理处置，建立固废处置台帐、固废转移联系单等管理制度</w:t>
            </w:r>
          </w:p>
        </w:tc>
      </w:tr>
      <w:tr>
        <w:trPr>
          <w:trHeight w:val="341" w:hRule="atLeast"/>
        </w:trPr>
        <w:tc>
          <w:tcPr>
            <w:tcW w:w="672" w:type="dxa"/>
            <w:vMerge/>
            <w:tcBorders>
              <w:top w:val="nil"/>
              <w:right w:val="single" w:sz="6" w:space="0" w:color="000000"/>
            </w:tcBorders>
          </w:tcPr>
          <w:p>
            <w:pPr>
              <w:rPr>
                <w:sz w:val="2"/>
                <w:szCs w:val="2"/>
              </w:rPr>
            </w:pPr>
          </w:p>
        </w:tc>
        <w:tc>
          <w:tcPr>
            <w:tcW w:w="1527" w:type="dxa"/>
            <w:vMerge/>
            <w:tcBorders>
              <w:top w:val="nil"/>
              <w:left w:val="single" w:sz="6" w:space="0" w:color="000000"/>
              <w:bottom w:val="single" w:sz="6" w:space="0" w:color="000000"/>
              <w:right w:val="single" w:sz="6" w:space="0" w:color="000000"/>
            </w:tcBorders>
          </w:tcPr>
          <w:p>
            <w:pPr>
              <w:rPr>
                <w:sz w:val="2"/>
                <w:szCs w:val="2"/>
              </w:rPr>
            </w:pP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39"/>
              <w:ind w:left="55" w:right="26"/>
              <w:rPr>
                <w:rFonts w:ascii="宋体" w:eastAsia="宋体" w:hint="eastAsia"/>
                <w:sz w:val="21"/>
              </w:rPr>
            </w:pPr>
            <w:r>
              <w:rPr>
                <w:rFonts w:ascii="宋体" w:eastAsia="宋体" w:hint="eastAsia"/>
                <w:sz w:val="21"/>
              </w:rPr>
              <w:t>一般废包装物</w:t>
            </w:r>
          </w:p>
        </w:tc>
        <w:tc>
          <w:tcPr>
            <w:tcW w:w="1181" w:type="dxa"/>
            <w:vMerge/>
            <w:tcBorders>
              <w:top w:val="nil"/>
              <w:left w:val="single" w:sz="6" w:space="0" w:color="000000"/>
              <w:right w:val="single" w:sz="6" w:space="0" w:color="000000"/>
            </w:tcBorders>
          </w:tcPr>
          <w:p>
            <w:pPr>
              <w:rPr>
                <w:sz w:val="2"/>
                <w:szCs w:val="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39"/>
              <w:ind w:left="99" w:right="70"/>
              <w:rPr>
                <w:rFonts w:ascii="宋体" w:eastAsia="宋体" w:hint="eastAsia"/>
                <w:sz w:val="21"/>
              </w:rPr>
            </w:pPr>
            <w:r>
              <w:rPr>
                <w:rFonts w:ascii="宋体" w:eastAsia="宋体" w:hint="eastAsia"/>
                <w:sz w:val="21"/>
              </w:rPr>
              <w:t>外卖综合利用</w:t>
            </w:r>
          </w:p>
        </w:tc>
        <w:tc>
          <w:tcPr>
            <w:tcW w:w="2801" w:type="dxa"/>
            <w:vMerge/>
            <w:tcBorders>
              <w:top w:val="nil"/>
              <w:left w:val="single" w:sz="6" w:space="0" w:color="000000"/>
            </w:tcBorders>
          </w:tcPr>
          <w:p>
            <w:pPr>
              <w:rPr>
                <w:sz w:val="2"/>
                <w:szCs w:val="2"/>
              </w:rPr>
            </w:pPr>
          </w:p>
        </w:tc>
      </w:tr>
      <w:tr>
        <w:trPr>
          <w:trHeight w:val="344" w:hRule="atLeast"/>
        </w:trPr>
        <w:tc>
          <w:tcPr>
            <w:tcW w:w="672" w:type="dxa"/>
            <w:vMerge/>
            <w:tcBorders>
              <w:top w:val="nil"/>
              <w:right w:val="single" w:sz="6" w:space="0" w:color="000000"/>
            </w:tcBorders>
          </w:tcPr>
          <w:p>
            <w:pPr>
              <w:rPr>
                <w:sz w:val="2"/>
                <w:szCs w:val="2"/>
              </w:rPr>
            </w:pPr>
          </w:p>
        </w:tc>
        <w:tc>
          <w:tcPr>
            <w:tcW w:w="1527" w:type="dxa"/>
            <w:vMerge/>
            <w:tcBorders>
              <w:top w:val="nil"/>
              <w:left w:val="single" w:sz="6" w:space="0" w:color="000000"/>
              <w:bottom w:val="single" w:sz="6" w:space="0" w:color="000000"/>
              <w:right w:val="single" w:sz="6" w:space="0" w:color="000000"/>
            </w:tcBorders>
          </w:tcPr>
          <w:p>
            <w:pPr>
              <w:rPr>
                <w:sz w:val="2"/>
                <w:szCs w:val="2"/>
              </w:rPr>
            </w:pP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42"/>
              <w:ind w:left="57" w:right="26"/>
              <w:rPr>
                <w:rFonts w:ascii="宋体" w:eastAsia="宋体" w:hint="eastAsia"/>
                <w:sz w:val="21"/>
              </w:rPr>
            </w:pPr>
            <w:r>
              <w:rPr>
                <w:rFonts w:ascii="宋体" w:eastAsia="宋体" w:hint="eastAsia"/>
                <w:sz w:val="21"/>
              </w:rPr>
              <w:t>废脱硫剂</w:t>
            </w:r>
          </w:p>
        </w:tc>
        <w:tc>
          <w:tcPr>
            <w:tcW w:w="1181" w:type="dxa"/>
            <w:vMerge/>
            <w:tcBorders>
              <w:top w:val="nil"/>
              <w:left w:val="single" w:sz="6" w:space="0" w:color="000000"/>
              <w:right w:val="single" w:sz="6" w:space="0" w:color="000000"/>
            </w:tcBorders>
          </w:tcPr>
          <w:p>
            <w:pPr>
              <w:rPr>
                <w:sz w:val="2"/>
                <w:szCs w:val="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42"/>
              <w:ind w:left="99" w:right="70"/>
              <w:rPr>
                <w:rFonts w:ascii="宋体" w:eastAsia="宋体" w:hint="eastAsia"/>
                <w:sz w:val="21"/>
              </w:rPr>
            </w:pPr>
            <w:r>
              <w:rPr>
                <w:rFonts w:ascii="宋体" w:eastAsia="宋体" w:hint="eastAsia"/>
                <w:sz w:val="21"/>
              </w:rPr>
              <w:t>供应商更换回收</w:t>
            </w:r>
          </w:p>
        </w:tc>
        <w:tc>
          <w:tcPr>
            <w:tcW w:w="2801" w:type="dxa"/>
            <w:vMerge/>
            <w:tcBorders>
              <w:top w:val="nil"/>
              <w:left w:val="single" w:sz="6" w:space="0" w:color="000000"/>
            </w:tcBorders>
          </w:tcPr>
          <w:p>
            <w:pPr>
              <w:rPr>
                <w:sz w:val="2"/>
                <w:szCs w:val="2"/>
              </w:rPr>
            </w:pPr>
          </w:p>
        </w:tc>
      </w:tr>
      <w:tr>
        <w:trPr>
          <w:trHeight w:val="1062" w:hRule="atLeast"/>
        </w:trPr>
        <w:tc>
          <w:tcPr>
            <w:tcW w:w="672" w:type="dxa"/>
            <w:vMerge/>
            <w:tcBorders>
              <w:top w:val="nil"/>
              <w:right w:val="single" w:sz="6" w:space="0" w:color="000000"/>
            </w:tcBorders>
          </w:tcPr>
          <w:p>
            <w:pPr>
              <w:rPr>
                <w:sz w:val="2"/>
                <w:szCs w:val="2"/>
              </w:rPr>
            </w:pPr>
          </w:p>
        </w:tc>
        <w:tc>
          <w:tcPr>
            <w:tcW w:w="152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2"/>
              <w:ind w:left="133" w:right="108"/>
              <w:rPr>
                <w:rFonts w:ascii="宋体" w:eastAsia="宋体" w:hint="eastAsia"/>
                <w:sz w:val="21"/>
              </w:rPr>
            </w:pPr>
            <w:r>
              <w:rPr>
                <w:rFonts w:ascii="宋体" w:eastAsia="宋体" w:hint="eastAsia"/>
                <w:sz w:val="21"/>
              </w:rPr>
              <w:t>危险废物</w:t>
            </w:r>
          </w:p>
        </w:tc>
        <w:tc>
          <w:tcPr>
            <w:tcW w:w="1550" w:type="dxa"/>
            <w:tcBorders>
              <w:top w:val="single" w:sz="6" w:space="0" w:color="000000"/>
              <w:left w:val="single" w:sz="6" w:space="0" w:color="000000"/>
              <w:bottom w:val="single" w:sz="6" w:space="0" w:color="000000"/>
              <w:right w:val="single" w:sz="6" w:space="0" w:color="000000"/>
            </w:tcBorders>
          </w:tcPr>
          <w:p>
            <w:pPr>
              <w:pStyle w:val="TableParagraph"/>
              <w:spacing w:before="39"/>
              <w:ind w:left="114" w:right="-29" w:firstLine="36"/>
              <w:jc w:val="left"/>
              <w:rPr>
                <w:rFonts w:ascii="宋体" w:eastAsia="宋体" w:hint="eastAsia"/>
                <w:sz w:val="21"/>
              </w:rPr>
            </w:pPr>
            <w:r>
              <w:rPr>
                <w:rFonts w:ascii="宋体" w:eastAsia="宋体" w:hint="eastAsia"/>
                <w:spacing w:val="-2"/>
                <w:sz w:val="21"/>
              </w:rPr>
              <w:t>危化品废包装</w:t>
            </w:r>
          </w:p>
          <w:p>
            <w:pPr>
              <w:pStyle w:val="TableParagraph"/>
              <w:spacing w:line="350" w:lineRule="atLeast" w:before="10"/>
              <w:ind w:left="362" w:right="-29" w:hanging="248"/>
              <w:jc w:val="left"/>
              <w:rPr>
                <w:rFonts w:ascii="宋体" w:eastAsia="宋体" w:hint="eastAsia"/>
                <w:sz w:val="21"/>
              </w:rPr>
            </w:pPr>
            <w:r>
              <w:rPr>
                <w:rFonts w:ascii="宋体" w:eastAsia="宋体" w:hint="eastAsia"/>
                <w:spacing w:val="-8"/>
                <w:sz w:val="21"/>
              </w:rPr>
              <w:t>物、废矿物油、</w:t>
            </w:r>
            <w:r>
              <w:rPr>
                <w:rFonts w:ascii="宋体" w:eastAsia="宋体" w:hint="eastAsia"/>
                <w:spacing w:val="-1"/>
                <w:sz w:val="21"/>
              </w:rPr>
              <w:t>医疗废物</w:t>
            </w:r>
          </w:p>
        </w:tc>
        <w:tc>
          <w:tcPr>
            <w:tcW w:w="1181" w:type="dxa"/>
            <w:vMerge/>
            <w:tcBorders>
              <w:top w:val="nil"/>
              <w:left w:val="single" w:sz="6" w:space="0" w:color="000000"/>
              <w:right w:val="single" w:sz="6" w:space="0" w:color="000000"/>
            </w:tcBorders>
          </w:tcPr>
          <w:p>
            <w:pPr>
              <w:rPr>
                <w:sz w:val="2"/>
                <w:szCs w:val="2"/>
              </w:rPr>
            </w:pPr>
          </w:p>
        </w:tc>
        <w:tc>
          <w:tcPr>
            <w:tcW w:w="170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line="321" w:lineRule="auto" w:before="0"/>
              <w:ind w:left="437" w:right="89" w:hanging="317"/>
              <w:jc w:val="left"/>
              <w:rPr>
                <w:rFonts w:ascii="宋体" w:eastAsia="宋体" w:hint="eastAsia"/>
                <w:sz w:val="21"/>
              </w:rPr>
            </w:pPr>
            <w:r>
              <w:rPr>
                <w:rFonts w:ascii="宋体" w:eastAsia="宋体" w:hint="eastAsia"/>
                <w:sz w:val="21"/>
              </w:rPr>
              <w:t>委托有资质单位安全处置</w:t>
            </w:r>
          </w:p>
        </w:tc>
        <w:tc>
          <w:tcPr>
            <w:tcW w:w="2801" w:type="dxa"/>
            <w:vMerge/>
            <w:tcBorders>
              <w:top w:val="nil"/>
              <w:left w:val="single" w:sz="6" w:space="0" w:color="000000"/>
            </w:tcBorders>
          </w:tcPr>
          <w:p>
            <w:pPr>
              <w:rPr>
                <w:sz w:val="2"/>
                <w:szCs w:val="2"/>
              </w:rPr>
            </w:pPr>
          </w:p>
        </w:tc>
      </w:tr>
      <w:tr>
        <w:trPr>
          <w:trHeight w:val="349" w:hRule="atLeast"/>
        </w:trPr>
        <w:tc>
          <w:tcPr>
            <w:tcW w:w="672" w:type="dxa"/>
            <w:vMerge/>
            <w:tcBorders>
              <w:top w:val="nil"/>
              <w:right w:val="single" w:sz="6" w:space="0" w:color="000000"/>
            </w:tcBorders>
          </w:tcPr>
          <w:p>
            <w:pPr>
              <w:rPr>
                <w:sz w:val="2"/>
                <w:szCs w:val="2"/>
              </w:rPr>
            </w:pPr>
          </w:p>
        </w:tc>
        <w:tc>
          <w:tcPr>
            <w:tcW w:w="1527" w:type="dxa"/>
            <w:tcBorders>
              <w:top w:val="single" w:sz="6" w:space="0" w:color="000000"/>
              <w:left w:val="single" w:sz="6" w:space="0" w:color="000000"/>
              <w:right w:val="single" w:sz="6" w:space="0" w:color="000000"/>
            </w:tcBorders>
          </w:tcPr>
          <w:p>
            <w:pPr>
              <w:pStyle w:val="TableParagraph"/>
              <w:spacing w:before="39"/>
              <w:ind w:left="133" w:right="108"/>
              <w:rPr>
                <w:rFonts w:ascii="宋体" w:eastAsia="宋体" w:hint="eastAsia"/>
                <w:sz w:val="21"/>
              </w:rPr>
            </w:pPr>
            <w:r>
              <w:rPr>
                <w:rFonts w:ascii="宋体" w:eastAsia="宋体" w:hint="eastAsia"/>
                <w:sz w:val="21"/>
              </w:rPr>
              <w:t>生活垃圾</w:t>
            </w:r>
          </w:p>
        </w:tc>
        <w:tc>
          <w:tcPr>
            <w:tcW w:w="1550" w:type="dxa"/>
            <w:tcBorders>
              <w:top w:val="single" w:sz="6" w:space="0" w:color="000000"/>
              <w:left w:val="single" w:sz="6" w:space="0" w:color="000000"/>
              <w:right w:val="single" w:sz="6" w:space="0" w:color="000000"/>
            </w:tcBorders>
          </w:tcPr>
          <w:p>
            <w:pPr>
              <w:pStyle w:val="TableParagraph"/>
              <w:spacing w:before="50"/>
              <w:ind w:left="30"/>
              <w:rPr>
                <w:sz w:val="21"/>
              </w:rPr>
            </w:pPr>
            <w:r>
              <w:rPr>
                <w:w w:val="100"/>
                <w:sz w:val="21"/>
              </w:rPr>
              <w:t>/</w:t>
            </w:r>
          </w:p>
        </w:tc>
        <w:tc>
          <w:tcPr>
            <w:tcW w:w="1181" w:type="dxa"/>
            <w:vMerge/>
            <w:tcBorders>
              <w:top w:val="nil"/>
              <w:left w:val="single" w:sz="6" w:space="0" w:color="000000"/>
              <w:right w:val="single" w:sz="6" w:space="0" w:color="000000"/>
            </w:tcBorders>
          </w:tcPr>
          <w:p>
            <w:pPr>
              <w:rPr>
                <w:sz w:val="2"/>
                <w:szCs w:val="2"/>
              </w:rPr>
            </w:pPr>
          </w:p>
        </w:tc>
        <w:tc>
          <w:tcPr>
            <w:tcW w:w="1700" w:type="dxa"/>
            <w:tcBorders>
              <w:top w:val="single" w:sz="6" w:space="0" w:color="000000"/>
              <w:left w:val="single" w:sz="6" w:space="0" w:color="000000"/>
              <w:right w:val="single" w:sz="6" w:space="0" w:color="000000"/>
            </w:tcBorders>
          </w:tcPr>
          <w:p>
            <w:pPr>
              <w:pStyle w:val="TableParagraph"/>
              <w:spacing w:before="39"/>
              <w:ind w:left="99" w:right="70"/>
              <w:rPr>
                <w:rFonts w:ascii="宋体" w:eastAsia="宋体" w:hint="eastAsia"/>
                <w:sz w:val="21"/>
              </w:rPr>
            </w:pPr>
            <w:r>
              <w:rPr>
                <w:rFonts w:ascii="宋体" w:eastAsia="宋体" w:hint="eastAsia"/>
                <w:sz w:val="21"/>
              </w:rPr>
              <w:t>环卫部门收集</w:t>
            </w:r>
          </w:p>
        </w:tc>
        <w:tc>
          <w:tcPr>
            <w:tcW w:w="2801" w:type="dxa"/>
            <w:vMerge/>
            <w:tcBorders>
              <w:top w:val="nil"/>
              <w:left w:val="single" w:sz="6" w:space="0" w:color="000000"/>
            </w:tcBorders>
          </w:tcPr>
          <w:p>
            <w:pPr>
              <w:rPr>
                <w:sz w:val="2"/>
                <w:szCs w:val="2"/>
              </w:rPr>
            </w:pPr>
          </w:p>
        </w:tc>
      </w:tr>
    </w:tbl>
    <w:p>
      <w:pPr>
        <w:pStyle w:val="ListParagraph"/>
        <w:numPr>
          <w:ilvl w:val="2"/>
          <w:numId w:val="106"/>
        </w:numPr>
        <w:tabs>
          <w:tab w:pos="838" w:val="left" w:leader="none"/>
        </w:tabs>
        <w:spacing w:line="240" w:lineRule="auto" w:before="94" w:after="0"/>
        <w:ind w:left="837" w:right="0" w:hanging="601"/>
        <w:jc w:val="both"/>
        <w:rPr>
          <w:b/>
          <w:sz w:val="24"/>
        </w:rPr>
      </w:pPr>
      <w:bookmarkStart w:name="_bookmark127" w:id="245"/>
      <w:bookmarkEnd w:id="245"/>
      <w:r>
        <w:rPr/>
      </w:r>
      <w:bookmarkStart w:name="_bookmark127" w:id="246"/>
      <w:bookmarkEnd w:id="246"/>
      <w:r>
        <w:rPr>
          <w:b/>
          <w:sz w:val="24"/>
        </w:rPr>
        <w:t>运营期污染源监测计划</w:t>
      </w:r>
    </w:p>
    <w:p>
      <w:pPr>
        <w:pStyle w:val="BodyText"/>
        <w:spacing w:line="364" w:lineRule="auto" w:before="160"/>
        <w:ind w:right="251" w:firstLine="480"/>
        <w:jc w:val="both"/>
      </w:pPr>
      <w:r>
        <w:rPr>
          <w:spacing w:val="-6"/>
        </w:rPr>
        <w:t>本环评参照《排污单位自行监测技术指南 总则》</w:t>
      </w:r>
      <w:r>
        <w:rPr/>
        <w:t>（</w:t>
      </w:r>
      <w:r>
        <w:rPr>
          <w:rFonts w:ascii="Times New Roman" w:eastAsia="Times New Roman"/>
        </w:rPr>
        <w:t>HJ 819-2017</w:t>
      </w:r>
      <w:r>
        <w:rPr/>
        <w:t>）</w:t>
      </w:r>
      <w:r>
        <w:rPr>
          <w:spacing w:val="-6"/>
        </w:rPr>
        <w:t>及《排污许可证申</w:t>
      </w:r>
      <w:r>
        <w:rPr/>
        <w:t>请与核发技术规范 畜禽养殖行业》（</w:t>
      </w:r>
      <w:r>
        <w:rPr>
          <w:rFonts w:ascii="Times New Roman" w:eastAsia="Times New Roman"/>
        </w:rPr>
        <w:t>HJ 1029-2019</w:t>
      </w:r>
      <w:r>
        <w:rPr/>
        <w:t>）</w:t>
      </w:r>
      <w:r>
        <w:rPr>
          <w:spacing w:val="-2"/>
        </w:rPr>
        <w:t>的规定，结合项目实际情况，制定</w:t>
      </w:r>
      <w:r>
        <w:rPr>
          <w:spacing w:val="-7"/>
        </w:rPr>
        <w:t>自行监测方案如表 </w:t>
      </w:r>
      <w:r>
        <w:rPr>
          <w:rFonts w:ascii="Times New Roman" w:eastAsia="Times New Roman"/>
        </w:rPr>
        <w:t>8.2-3 </w:t>
      </w:r>
      <w:r>
        <w:rPr/>
        <w:t>所示，建设单位可在实际营运过程中进行完善并加以实施。</w:t>
      </w:r>
    </w:p>
    <w:p>
      <w:pPr>
        <w:pStyle w:val="Heading3"/>
        <w:spacing w:before="3"/>
        <w:ind w:left="2817"/>
        <w:jc w:val="both"/>
      </w:pPr>
      <w:r>
        <w:rPr/>
        <w:t>表 </w:t>
      </w:r>
      <w:r>
        <w:rPr>
          <w:rFonts w:ascii="Times New Roman" w:eastAsia="Times New Roman"/>
        </w:rPr>
        <w:t>8.2-3  </w:t>
      </w:r>
      <w:r>
        <w:rPr/>
        <w:t>运营期污染源监测计划一览表</w:t>
      </w:r>
    </w:p>
    <w:p>
      <w:pPr>
        <w:pStyle w:val="BodyText"/>
        <w:spacing w:before="1"/>
        <w:ind w:left="0"/>
        <w:rPr>
          <w:b/>
          <w:sz w:val="6"/>
        </w:rPr>
      </w:pPr>
    </w:p>
    <w:tbl>
      <w:tblPr>
        <w:tblW w:w="0" w:type="auto"/>
        <w:jc w:val="left"/>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3"/>
        <w:gridCol w:w="591"/>
        <w:gridCol w:w="2675"/>
        <w:gridCol w:w="1136"/>
        <w:gridCol w:w="3119"/>
        <w:gridCol w:w="1163"/>
      </w:tblGrid>
      <w:tr>
        <w:trPr>
          <w:trHeight w:val="359" w:hRule="atLeast"/>
        </w:trPr>
        <w:tc>
          <w:tcPr>
            <w:tcW w:w="593" w:type="dxa"/>
            <w:tcBorders>
              <w:bottom w:val="single" w:sz="6" w:space="0" w:color="000000"/>
              <w:right w:val="single" w:sz="6" w:space="0" w:color="000000"/>
            </w:tcBorders>
          </w:tcPr>
          <w:p>
            <w:pPr>
              <w:pStyle w:val="TableParagraph"/>
              <w:spacing w:before="48"/>
              <w:ind w:left="83"/>
              <w:jc w:val="left"/>
              <w:rPr>
                <w:rFonts w:ascii="宋体" w:eastAsia="宋体" w:hint="eastAsia"/>
                <w:b/>
                <w:sz w:val="21"/>
              </w:rPr>
            </w:pPr>
            <w:r>
              <w:rPr>
                <w:rFonts w:ascii="宋体" w:eastAsia="宋体" w:hint="eastAsia"/>
                <w:b/>
                <w:sz w:val="21"/>
              </w:rPr>
              <w:t>主体</w:t>
            </w:r>
          </w:p>
        </w:tc>
        <w:tc>
          <w:tcPr>
            <w:tcW w:w="3266" w:type="dxa"/>
            <w:gridSpan w:val="2"/>
            <w:tcBorders>
              <w:left w:val="single" w:sz="6" w:space="0" w:color="000000"/>
              <w:bottom w:val="single" w:sz="6" w:space="0" w:color="000000"/>
              <w:right w:val="single" w:sz="6" w:space="0" w:color="000000"/>
            </w:tcBorders>
          </w:tcPr>
          <w:p>
            <w:pPr>
              <w:pStyle w:val="TableParagraph"/>
              <w:spacing w:before="48"/>
              <w:ind w:left="1299" w:right="1278"/>
              <w:rPr>
                <w:rFonts w:ascii="宋体" w:eastAsia="宋体" w:hint="eastAsia"/>
                <w:b/>
                <w:sz w:val="21"/>
              </w:rPr>
            </w:pPr>
            <w:r>
              <w:rPr>
                <w:rFonts w:ascii="宋体" w:eastAsia="宋体" w:hint="eastAsia"/>
                <w:b/>
                <w:sz w:val="21"/>
              </w:rPr>
              <w:t>污染物</w:t>
            </w:r>
          </w:p>
        </w:tc>
        <w:tc>
          <w:tcPr>
            <w:tcW w:w="1136" w:type="dxa"/>
            <w:tcBorders>
              <w:left w:val="single" w:sz="6" w:space="0" w:color="000000"/>
              <w:bottom w:val="single" w:sz="6" w:space="0" w:color="000000"/>
              <w:right w:val="single" w:sz="6" w:space="0" w:color="000000"/>
            </w:tcBorders>
          </w:tcPr>
          <w:p>
            <w:pPr>
              <w:pStyle w:val="TableParagraph"/>
              <w:spacing w:before="48"/>
              <w:ind w:left="129" w:right="107"/>
              <w:rPr>
                <w:rFonts w:ascii="宋体" w:eastAsia="宋体" w:hint="eastAsia"/>
                <w:b/>
                <w:sz w:val="21"/>
              </w:rPr>
            </w:pPr>
            <w:r>
              <w:rPr>
                <w:rFonts w:ascii="宋体" w:eastAsia="宋体" w:hint="eastAsia"/>
                <w:b/>
                <w:sz w:val="21"/>
              </w:rPr>
              <w:t>监测型式</w:t>
            </w:r>
          </w:p>
        </w:tc>
        <w:tc>
          <w:tcPr>
            <w:tcW w:w="3119" w:type="dxa"/>
            <w:tcBorders>
              <w:left w:val="single" w:sz="6" w:space="0" w:color="000000"/>
              <w:bottom w:val="single" w:sz="6" w:space="0" w:color="000000"/>
              <w:right w:val="single" w:sz="6" w:space="0" w:color="000000"/>
            </w:tcBorders>
          </w:tcPr>
          <w:p>
            <w:pPr>
              <w:pStyle w:val="TableParagraph"/>
              <w:spacing w:before="48"/>
              <w:ind w:left="20"/>
              <w:rPr>
                <w:rFonts w:ascii="宋体" w:eastAsia="宋体" w:hint="eastAsia"/>
                <w:b/>
                <w:sz w:val="21"/>
              </w:rPr>
            </w:pPr>
            <w:r>
              <w:rPr>
                <w:rFonts w:ascii="宋体" w:eastAsia="宋体" w:hint="eastAsia"/>
                <w:b/>
                <w:sz w:val="21"/>
              </w:rPr>
              <w:t>监测因子</w:t>
            </w:r>
          </w:p>
        </w:tc>
        <w:tc>
          <w:tcPr>
            <w:tcW w:w="1163" w:type="dxa"/>
            <w:tcBorders>
              <w:left w:val="single" w:sz="6" w:space="0" w:color="000000"/>
              <w:bottom w:val="single" w:sz="6" w:space="0" w:color="000000"/>
            </w:tcBorders>
          </w:tcPr>
          <w:p>
            <w:pPr>
              <w:pStyle w:val="TableParagraph"/>
              <w:spacing w:before="48"/>
              <w:ind w:left="24"/>
              <w:rPr>
                <w:rFonts w:ascii="宋体" w:eastAsia="宋体" w:hint="eastAsia"/>
                <w:b/>
                <w:sz w:val="21"/>
              </w:rPr>
            </w:pPr>
            <w:r>
              <w:rPr>
                <w:rFonts w:ascii="宋体" w:eastAsia="宋体" w:hint="eastAsia"/>
                <w:b/>
                <w:sz w:val="21"/>
              </w:rPr>
              <w:t>监测频率</w:t>
            </w:r>
          </w:p>
        </w:tc>
      </w:tr>
      <w:tr>
        <w:trPr>
          <w:trHeight w:val="351" w:hRule="atLeast"/>
        </w:trPr>
        <w:tc>
          <w:tcPr>
            <w:tcW w:w="593"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6"/>
              <w:jc w:val="left"/>
              <w:rPr>
                <w:rFonts w:ascii="宋体"/>
                <w:b/>
                <w:sz w:val="21"/>
              </w:rPr>
            </w:pPr>
          </w:p>
          <w:p>
            <w:pPr>
              <w:pStyle w:val="TableParagraph"/>
              <w:spacing w:line="319" w:lineRule="auto" w:before="0"/>
              <w:ind w:left="85" w:right="60"/>
              <w:jc w:val="left"/>
              <w:rPr>
                <w:rFonts w:ascii="宋体" w:eastAsia="宋体" w:hint="eastAsia"/>
                <w:sz w:val="21"/>
              </w:rPr>
            </w:pPr>
            <w:r>
              <w:rPr>
                <w:rFonts w:ascii="宋体" w:eastAsia="宋体" w:hint="eastAsia"/>
                <w:sz w:val="21"/>
              </w:rPr>
              <w:t>自行监测</w:t>
            </w:r>
          </w:p>
        </w:tc>
        <w:tc>
          <w:tcPr>
            <w:tcW w:w="591"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15"/>
              </w:rPr>
            </w:pPr>
          </w:p>
          <w:p>
            <w:pPr>
              <w:pStyle w:val="TableParagraph"/>
              <w:spacing w:before="0"/>
              <w:ind w:left="90"/>
              <w:jc w:val="left"/>
              <w:rPr>
                <w:rFonts w:ascii="宋体" w:eastAsia="宋体" w:hint="eastAsia"/>
                <w:sz w:val="21"/>
              </w:rPr>
            </w:pPr>
            <w:r>
              <w:rPr>
                <w:rFonts w:ascii="宋体" w:eastAsia="宋体" w:hint="eastAsia"/>
                <w:sz w:val="21"/>
              </w:rPr>
              <w:t>废气</w:t>
            </w:r>
          </w:p>
        </w:tc>
        <w:tc>
          <w:tcPr>
            <w:tcW w:w="2675" w:type="dxa"/>
            <w:tcBorders>
              <w:top w:val="single" w:sz="6" w:space="0" w:color="000000"/>
              <w:left w:val="single" w:sz="6" w:space="0" w:color="000000"/>
              <w:bottom w:val="single" w:sz="6" w:space="0" w:color="000000"/>
              <w:right w:val="single" w:sz="6" w:space="0" w:color="000000"/>
            </w:tcBorders>
          </w:tcPr>
          <w:p>
            <w:pPr>
              <w:pStyle w:val="TableParagraph"/>
              <w:spacing w:before="46"/>
              <w:ind w:right="162"/>
              <w:jc w:val="right"/>
              <w:rPr>
                <w:rFonts w:ascii="宋体" w:eastAsia="宋体" w:hint="eastAsia"/>
                <w:sz w:val="21"/>
              </w:rPr>
            </w:pPr>
            <w:r>
              <w:rPr>
                <w:rFonts w:ascii="宋体" w:eastAsia="宋体" w:hint="eastAsia"/>
                <w:sz w:val="21"/>
              </w:rPr>
              <w:t>粪污处理臭气（</w:t>
            </w:r>
            <w:r>
              <w:rPr>
                <w:position w:val="1"/>
                <w:sz w:val="21"/>
              </w:rPr>
              <w:t>DA001</w:t>
            </w:r>
            <w:r>
              <w:rPr>
                <w:rFonts w:ascii="宋体" w:eastAsia="宋体" w:hint="eastAsia"/>
                <w:sz w:val="21"/>
              </w:rPr>
              <w:t>）</w:t>
            </w: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46"/>
              <w:ind w:left="129" w:right="105"/>
              <w:rPr>
                <w:rFonts w:ascii="宋体" w:eastAsia="宋体" w:hint="eastAsia"/>
                <w:sz w:val="21"/>
              </w:rPr>
            </w:pPr>
            <w:r>
              <w:rPr>
                <w:rFonts w:ascii="宋体" w:eastAsia="宋体" w:hint="eastAsia"/>
                <w:sz w:val="21"/>
              </w:rPr>
              <w:t>采样检测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46"/>
              <w:ind w:left="19"/>
              <w:rPr>
                <w:rFonts w:ascii="宋体" w:eastAsia="宋体" w:hint="eastAsia"/>
                <w:sz w:val="21"/>
              </w:rPr>
            </w:pPr>
            <w:r>
              <w:rPr>
                <w:rFonts w:ascii="宋体" w:eastAsia="宋体" w:hint="eastAsia"/>
                <w:sz w:val="21"/>
              </w:rPr>
              <w:t>氨、硫化氢、臭气浓度</w:t>
            </w:r>
          </w:p>
        </w:tc>
        <w:tc>
          <w:tcPr>
            <w:tcW w:w="1163" w:type="dxa"/>
            <w:tcBorders>
              <w:top w:val="single" w:sz="6" w:space="0" w:color="000000"/>
              <w:left w:val="single" w:sz="6" w:space="0" w:color="000000"/>
              <w:bottom w:val="single" w:sz="6" w:space="0" w:color="000000"/>
            </w:tcBorders>
          </w:tcPr>
          <w:p>
            <w:pPr>
              <w:pStyle w:val="TableParagraph"/>
              <w:spacing w:before="46"/>
              <w:ind w:left="27"/>
              <w:rPr>
                <w:rFonts w:ascii="宋体" w:eastAsia="宋体" w:hint="eastAsia"/>
                <w:sz w:val="21"/>
              </w:rPr>
            </w:pPr>
            <w:r>
              <w:rPr>
                <w:rFonts w:ascii="宋体" w:eastAsia="宋体" w:hint="eastAsia"/>
                <w:sz w:val="21"/>
              </w:rPr>
              <w:t>每年 </w:t>
            </w:r>
            <w:r>
              <w:rPr>
                <w:position w:val="1"/>
                <w:sz w:val="21"/>
              </w:rPr>
              <w:t>1 </w:t>
            </w:r>
            <w:r>
              <w:rPr>
                <w:rFonts w:ascii="宋体" w:eastAsia="宋体" w:hint="eastAsia"/>
                <w:sz w:val="21"/>
              </w:rPr>
              <w:t>次</w:t>
            </w:r>
          </w:p>
        </w:tc>
      </w:tr>
      <w:tr>
        <w:trPr>
          <w:trHeight w:val="701" w:hRule="atLeast"/>
        </w:trPr>
        <w:tc>
          <w:tcPr>
            <w:tcW w:w="593" w:type="dxa"/>
            <w:vMerge/>
            <w:tcBorders>
              <w:top w:val="nil"/>
              <w:right w:val="single" w:sz="6" w:space="0" w:color="000000"/>
            </w:tcBorders>
          </w:tcPr>
          <w:p>
            <w:pPr>
              <w:rPr>
                <w:sz w:val="2"/>
                <w:szCs w:val="2"/>
              </w:rPr>
            </w:pPr>
          </w:p>
        </w:tc>
        <w:tc>
          <w:tcPr>
            <w:tcW w:w="591" w:type="dxa"/>
            <w:vMerge/>
            <w:tcBorders>
              <w:top w:val="nil"/>
              <w:left w:val="single" w:sz="6" w:space="0" w:color="000000"/>
              <w:right w:val="single" w:sz="6" w:space="0" w:color="000000"/>
            </w:tcBorders>
          </w:tcPr>
          <w:p>
            <w:pPr>
              <w:rPr>
                <w:sz w:val="2"/>
                <w:szCs w:val="2"/>
              </w:rPr>
            </w:pPr>
          </w:p>
        </w:tc>
        <w:tc>
          <w:tcPr>
            <w:tcW w:w="2675" w:type="dxa"/>
            <w:tcBorders>
              <w:top w:val="single" w:sz="6" w:space="0" w:color="000000"/>
              <w:left w:val="single" w:sz="6" w:space="0" w:color="000000"/>
              <w:bottom w:val="single" w:sz="6" w:space="0" w:color="000000"/>
              <w:right w:val="single" w:sz="6" w:space="0" w:color="000000"/>
            </w:tcBorders>
          </w:tcPr>
          <w:p>
            <w:pPr>
              <w:pStyle w:val="TableParagraph"/>
              <w:spacing w:before="39"/>
              <w:ind w:left="35" w:right="9"/>
              <w:rPr>
                <w:rFonts w:ascii="宋体" w:eastAsia="宋体" w:hint="eastAsia"/>
                <w:sz w:val="21"/>
              </w:rPr>
            </w:pPr>
            <w:r>
              <w:rPr>
                <w:rFonts w:ascii="宋体" w:eastAsia="宋体" w:hint="eastAsia"/>
                <w:sz w:val="21"/>
              </w:rPr>
              <w:t>发酵罐臭气（</w:t>
            </w:r>
            <w:r>
              <w:rPr>
                <w:position w:val="1"/>
                <w:sz w:val="21"/>
              </w:rPr>
              <w:t>DA002-1</w:t>
            </w:r>
            <w:r>
              <w:rPr>
                <w:rFonts w:ascii="宋体" w:eastAsia="宋体" w:hint="eastAsia"/>
                <w:sz w:val="21"/>
              </w:rPr>
              <w:t>、</w:t>
            </w:r>
          </w:p>
          <w:p>
            <w:pPr>
              <w:pStyle w:val="TableParagraph"/>
              <w:spacing w:before="91"/>
              <w:ind w:left="35" w:right="9"/>
              <w:rPr>
                <w:rFonts w:ascii="宋体" w:eastAsia="宋体" w:hint="eastAsia"/>
                <w:sz w:val="21"/>
              </w:rPr>
            </w:pPr>
            <w:r>
              <w:rPr>
                <w:position w:val="1"/>
                <w:sz w:val="21"/>
              </w:rPr>
              <w:t>DA002-2</w:t>
            </w:r>
            <w:r>
              <w:rPr>
                <w:rFonts w:ascii="宋体" w:eastAsia="宋体" w:hint="eastAsia"/>
                <w:sz w:val="21"/>
              </w:rPr>
              <w:t>，共 </w:t>
            </w:r>
            <w:r>
              <w:rPr>
                <w:position w:val="1"/>
                <w:sz w:val="21"/>
              </w:rPr>
              <w:t>2 </w:t>
            </w:r>
            <w:r>
              <w:rPr>
                <w:rFonts w:ascii="宋体" w:eastAsia="宋体" w:hint="eastAsia"/>
                <w:sz w:val="21"/>
              </w:rPr>
              <w:t>个）</w:t>
            </w: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before="0"/>
              <w:ind w:left="129" w:right="105"/>
              <w:rPr>
                <w:rFonts w:ascii="宋体" w:eastAsia="宋体" w:hint="eastAsia"/>
                <w:sz w:val="21"/>
              </w:rPr>
            </w:pPr>
            <w:r>
              <w:rPr>
                <w:rFonts w:ascii="宋体" w:eastAsia="宋体" w:hint="eastAsia"/>
                <w:sz w:val="21"/>
              </w:rPr>
              <w:t>采样检测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before="0"/>
              <w:ind w:left="19"/>
              <w:rPr>
                <w:rFonts w:ascii="宋体" w:eastAsia="宋体" w:hint="eastAsia"/>
                <w:sz w:val="21"/>
              </w:rPr>
            </w:pPr>
            <w:r>
              <w:rPr>
                <w:rFonts w:ascii="宋体" w:eastAsia="宋体" w:hint="eastAsia"/>
                <w:sz w:val="21"/>
              </w:rPr>
              <w:t>氨、硫化氢、臭气浓度</w:t>
            </w:r>
          </w:p>
        </w:tc>
        <w:tc>
          <w:tcPr>
            <w:tcW w:w="1163" w:type="dxa"/>
            <w:tcBorders>
              <w:top w:val="single" w:sz="6" w:space="0" w:color="000000"/>
              <w:left w:val="single" w:sz="6" w:space="0" w:color="000000"/>
              <w:bottom w:val="single" w:sz="6" w:space="0" w:color="000000"/>
            </w:tcBorders>
          </w:tcPr>
          <w:p>
            <w:pPr>
              <w:pStyle w:val="TableParagraph"/>
              <w:spacing w:before="1"/>
              <w:jc w:val="left"/>
              <w:rPr>
                <w:rFonts w:ascii="宋体"/>
                <w:b/>
                <w:sz w:val="17"/>
              </w:rPr>
            </w:pPr>
          </w:p>
          <w:p>
            <w:pPr>
              <w:pStyle w:val="TableParagraph"/>
              <w:spacing w:before="0"/>
              <w:ind w:left="27"/>
              <w:rPr>
                <w:rFonts w:ascii="宋体" w:eastAsia="宋体" w:hint="eastAsia"/>
                <w:sz w:val="21"/>
              </w:rPr>
            </w:pPr>
            <w:r>
              <w:rPr>
                <w:rFonts w:ascii="宋体" w:eastAsia="宋体" w:hint="eastAsia"/>
                <w:sz w:val="21"/>
              </w:rPr>
              <w:t>每年 </w:t>
            </w:r>
            <w:r>
              <w:rPr>
                <w:position w:val="1"/>
                <w:sz w:val="21"/>
              </w:rPr>
              <w:t>1 </w:t>
            </w:r>
            <w:r>
              <w:rPr>
                <w:rFonts w:ascii="宋体" w:eastAsia="宋体" w:hint="eastAsia"/>
                <w:sz w:val="21"/>
              </w:rPr>
              <w:t>次</w:t>
            </w:r>
          </w:p>
        </w:tc>
      </w:tr>
      <w:tr>
        <w:trPr>
          <w:trHeight w:val="702" w:hRule="atLeast"/>
        </w:trPr>
        <w:tc>
          <w:tcPr>
            <w:tcW w:w="593" w:type="dxa"/>
            <w:vMerge/>
            <w:tcBorders>
              <w:top w:val="nil"/>
              <w:right w:val="single" w:sz="6" w:space="0" w:color="000000"/>
            </w:tcBorders>
          </w:tcPr>
          <w:p>
            <w:pPr>
              <w:rPr>
                <w:sz w:val="2"/>
                <w:szCs w:val="2"/>
              </w:rPr>
            </w:pPr>
          </w:p>
        </w:tc>
        <w:tc>
          <w:tcPr>
            <w:tcW w:w="591" w:type="dxa"/>
            <w:vMerge/>
            <w:tcBorders>
              <w:top w:val="nil"/>
              <w:left w:val="single" w:sz="6" w:space="0" w:color="000000"/>
              <w:right w:val="single" w:sz="6" w:space="0" w:color="000000"/>
            </w:tcBorders>
          </w:tcPr>
          <w:p>
            <w:pPr>
              <w:rPr>
                <w:sz w:val="2"/>
                <w:szCs w:val="2"/>
              </w:rPr>
            </w:pPr>
          </w:p>
        </w:tc>
        <w:tc>
          <w:tcPr>
            <w:tcW w:w="2675" w:type="dxa"/>
            <w:tcBorders>
              <w:top w:val="single" w:sz="6" w:space="0" w:color="000000"/>
              <w:left w:val="single" w:sz="6" w:space="0" w:color="000000"/>
              <w:bottom w:val="single" w:sz="6" w:space="0" w:color="000000"/>
              <w:right w:val="single" w:sz="6" w:space="0" w:color="000000"/>
            </w:tcBorders>
          </w:tcPr>
          <w:p>
            <w:pPr>
              <w:pStyle w:val="TableParagraph"/>
              <w:spacing w:before="39"/>
              <w:ind w:left="34" w:right="-72"/>
              <w:rPr>
                <w:rFonts w:ascii="宋体" w:eastAsia="宋体" w:hint="eastAsia"/>
                <w:sz w:val="21"/>
              </w:rPr>
            </w:pPr>
            <w:r>
              <w:rPr>
                <w:rFonts w:ascii="宋体" w:eastAsia="宋体" w:hint="eastAsia"/>
                <w:spacing w:val="-3"/>
                <w:sz w:val="21"/>
              </w:rPr>
              <w:t>无害化处理臭气</w:t>
            </w:r>
            <w:r>
              <w:rPr>
                <w:rFonts w:ascii="宋体" w:eastAsia="宋体" w:hint="eastAsia"/>
                <w:spacing w:val="-1"/>
                <w:sz w:val="21"/>
              </w:rPr>
              <w:t>（</w:t>
            </w:r>
            <w:r>
              <w:rPr>
                <w:spacing w:val="-1"/>
                <w:position w:val="1"/>
                <w:sz w:val="21"/>
              </w:rPr>
              <w:t>DA003-1</w:t>
            </w:r>
            <w:r>
              <w:rPr>
                <w:rFonts w:ascii="宋体" w:eastAsia="宋体" w:hint="eastAsia"/>
                <w:sz w:val="21"/>
              </w:rPr>
              <w:t>、</w:t>
            </w:r>
          </w:p>
          <w:p>
            <w:pPr>
              <w:pStyle w:val="TableParagraph"/>
              <w:spacing w:before="91"/>
              <w:ind w:left="35" w:right="9"/>
              <w:rPr>
                <w:rFonts w:ascii="宋体" w:eastAsia="宋体" w:hint="eastAsia"/>
                <w:sz w:val="21"/>
              </w:rPr>
            </w:pPr>
            <w:r>
              <w:rPr>
                <w:position w:val="1"/>
                <w:sz w:val="21"/>
              </w:rPr>
              <w:t>DA003-2</w:t>
            </w:r>
            <w:r>
              <w:rPr>
                <w:rFonts w:ascii="宋体" w:eastAsia="宋体" w:hint="eastAsia"/>
                <w:sz w:val="21"/>
              </w:rPr>
              <w:t>，共 </w:t>
            </w:r>
            <w:r>
              <w:rPr>
                <w:position w:val="1"/>
                <w:sz w:val="21"/>
              </w:rPr>
              <w:t>2 </w:t>
            </w:r>
            <w:r>
              <w:rPr>
                <w:rFonts w:ascii="宋体" w:eastAsia="宋体" w:hint="eastAsia"/>
                <w:sz w:val="21"/>
              </w:rPr>
              <w:t>个）</w:t>
            </w: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before="0"/>
              <w:ind w:left="129" w:right="105"/>
              <w:rPr>
                <w:rFonts w:ascii="宋体" w:eastAsia="宋体" w:hint="eastAsia"/>
                <w:sz w:val="21"/>
              </w:rPr>
            </w:pPr>
            <w:r>
              <w:rPr>
                <w:rFonts w:ascii="宋体" w:eastAsia="宋体" w:hint="eastAsia"/>
                <w:sz w:val="21"/>
              </w:rPr>
              <w:t>采样检测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before="0"/>
              <w:ind w:left="19"/>
              <w:rPr>
                <w:rFonts w:ascii="宋体" w:eastAsia="宋体" w:hint="eastAsia"/>
                <w:sz w:val="21"/>
              </w:rPr>
            </w:pPr>
            <w:r>
              <w:rPr>
                <w:rFonts w:ascii="宋体" w:eastAsia="宋体" w:hint="eastAsia"/>
                <w:sz w:val="21"/>
              </w:rPr>
              <w:t>氨、硫化氢、臭气浓度</w:t>
            </w:r>
          </w:p>
        </w:tc>
        <w:tc>
          <w:tcPr>
            <w:tcW w:w="1163" w:type="dxa"/>
            <w:tcBorders>
              <w:top w:val="single" w:sz="6" w:space="0" w:color="000000"/>
              <w:left w:val="single" w:sz="6" w:space="0" w:color="000000"/>
              <w:bottom w:val="single" w:sz="6" w:space="0" w:color="000000"/>
            </w:tcBorders>
          </w:tcPr>
          <w:p>
            <w:pPr>
              <w:pStyle w:val="TableParagraph"/>
              <w:spacing w:before="1"/>
              <w:jc w:val="left"/>
              <w:rPr>
                <w:rFonts w:ascii="宋体"/>
                <w:b/>
                <w:sz w:val="17"/>
              </w:rPr>
            </w:pPr>
          </w:p>
          <w:p>
            <w:pPr>
              <w:pStyle w:val="TableParagraph"/>
              <w:spacing w:before="0"/>
              <w:ind w:left="27"/>
              <w:rPr>
                <w:rFonts w:ascii="宋体" w:eastAsia="宋体" w:hint="eastAsia"/>
                <w:sz w:val="21"/>
              </w:rPr>
            </w:pPr>
            <w:r>
              <w:rPr>
                <w:rFonts w:ascii="宋体" w:eastAsia="宋体" w:hint="eastAsia"/>
                <w:sz w:val="21"/>
              </w:rPr>
              <w:t>每年 </w:t>
            </w:r>
            <w:r>
              <w:rPr>
                <w:position w:val="1"/>
                <w:sz w:val="21"/>
              </w:rPr>
              <w:t>1 </w:t>
            </w:r>
            <w:r>
              <w:rPr>
                <w:rFonts w:ascii="宋体" w:eastAsia="宋体" w:hint="eastAsia"/>
                <w:sz w:val="21"/>
              </w:rPr>
              <w:t>次</w:t>
            </w:r>
          </w:p>
        </w:tc>
      </w:tr>
      <w:tr>
        <w:trPr>
          <w:trHeight w:val="351" w:hRule="atLeast"/>
        </w:trPr>
        <w:tc>
          <w:tcPr>
            <w:tcW w:w="593" w:type="dxa"/>
            <w:vMerge/>
            <w:tcBorders>
              <w:top w:val="nil"/>
              <w:right w:val="single" w:sz="6" w:space="0" w:color="000000"/>
            </w:tcBorders>
          </w:tcPr>
          <w:p>
            <w:pPr>
              <w:rPr>
                <w:sz w:val="2"/>
                <w:szCs w:val="2"/>
              </w:rPr>
            </w:pPr>
          </w:p>
        </w:tc>
        <w:tc>
          <w:tcPr>
            <w:tcW w:w="591" w:type="dxa"/>
            <w:vMerge/>
            <w:tcBorders>
              <w:top w:val="nil"/>
              <w:left w:val="single" w:sz="6" w:space="0" w:color="000000"/>
              <w:right w:val="single" w:sz="6" w:space="0" w:color="000000"/>
            </w:tcBorders>
          </w:tcPr>
          <w:p>
            <w:pPr>
              <w:rPr>
                <w:sz w:val="2"/>
                <w:szCs w:val="2"/>
              </w:rPr>
            </w:pPr>
          </w:p>
        </w:tc>
        <w:tc>
          <w:tcPr>
            <w:tcW w:w="2675" w:type="dxa"/>
            <w:tcBorders>
              <w:top w:val="single" w:sz="6" w:space="0" w:color="000000"/>
              <w:left w:val="single" w:sz="6" w:space="0" w:color="000000"/>
              <w:right w:val="single" w:sz="6" w:space="0" w:color="000000"/>
            </w:tcBorders>
          </w:tcPr>
          <w:p>
            <w:pPr>
              <w:pStyle w:val="TableParagraph"/>
              <w:spacing w:before="41"/>
              <w:ind w:right="162"/>
              <w:jc w:val="right"/>
              <w:rPr>
                <w:rFonts w:ascii="宋体" w:eastAsia="宋体" w:hint="eastAsia"/>
                <w:sz w:val="21"/>
              </w:rPr>
            </w:pPr>
            <w:r>
              <w:rPr>
                <w:rFonts w:ascii="宋体" w:eastAsia="宋体" w:hint="eastAsia"/>
                <w:sz w:val="21"/>
              </w:rPr>
              <w:t>沼气锅炉废气（</w:t>
            </w:r>
            <w:r>
              <w:rPr>
                <w:position w:val="1"/>
                <w:sz w:val="21"/>
              </w:rPr>
              <w:t>DA004</w:t>
            </w:r>
            <w:r>
              <w:rPr>
                <w:rFonts w:ascii="宋体" w:eastAsia="宋体" w:hint="eastAsia"/>
                <w:sz w:val="21"/>
              </w:rPr>
              <w:t>）</w:t>
            </w:r>
          </w:p>
        </w:tc>
        <w:tc>
          <w:tcPr>
            <w:tcW w:w="1136" w:type="dxa"/>
            <w:tcBorders>
              <w:top w:val="single" w:sz="6" w:space="0" w:color="000000"/>
              <w:left w:val="single" w:sz="6" w:space="0" w:color="000000"/>
              <w:right w:val="single" w:sz="6" w:space="0" w:color="000000"/>
            </w:tcBorders>
          </w:tcPr>
          <w:p>
            <w:pPr>
              <w:pStyle w:val="TableParagraph"/>
              <w:spacing w:before="41"/>
              <w:ind w:left="129" w:right="105"/>
              <w:rPr>
                <w:rFonts w:ascii="宋体" w:eastAsia="宋体" w:hint="eastAsia"/>
                <w:sz w:val="21"/>
              </w:rPr>
            </w:pPr>
            <w:r>
              <w:rPr>
                <w:rFonts w:ascii="宋体" w:eastAsia="宋体" w:hint="eastAsia"/>
                <w:sz w:val="21"/>
              </w:rPr>
              <w:t>采样监测</w:t>
            </w:r>
          </w:p>
        </w:tc>
        <w:tc>
          <w:tcPr>
            <w:tcW w:w="3119" w:type="dxa"/>
            <w:tcBorders>
              <w:top w:val="single" w:sz="6" w:space="0" w:color="000000"/>
              <w:left w:val="single" w:sz="6" w:space="0" w:color="000000"/>
              <w:right w:val="single" w:sz="6" w:space="0" w:color="000000"/>
            </w:tcBorders>
          </w:tcPr>
          <w:p>
            <w:pPr>
              <w:pStyle w:val="TableParagraph"/>
              <w:spacing w:before="43"/>
              <w:ind w:left="23"/>
              <w:rPr>
                <w:sz w:val="14"/>
              </w:rPr>
            </w:pPr>
            <w:r>
              <w:rPr>
                <w:rFonts w:ascii="宋体" w:eastAsia="宋体" w:hint="eastAsia"/>
                <w:position w:val="1"/>
                <w:sz w:val="21"/>
              </w:rPr>
              <w:t>颗粒物、</w:t>
            </w:r>
            <w:r>
              <w:rPr>
                <w:position w:val="2"/>
                <w:sz w:val="21"/>
              </w:rPr>
              <w:t>SO</w:t>
            </w:r>
            <w:r>
              <w:rPr>
                <w:sz w:val="14"/>
              </w:rPr>
              <w:t>2</w:t>
            </w:r>
            <w:r>
              <w:rPr>
                <w:rFonts w:ascii="宋体" w:eastAsia="宋体" w:hint="eastAsia"/>
                <w:position w:val="1"/>
                <w:sz w:val="21"/>
              </w:rPr>
              <w:t>、</w:t>
            </w:r>
            <w:r>
              <w:rPr>
                <w:position w:val="2"/>
                <w:sz w:val="21"/>
              </w:rPr>
              <w:t>NO</w:t>
            </w:r>
            <w:r>
              <w:rPr>
                <w:sz w:val="14"/>
              </w:rPr>
              <w:t>x</w:t>
            </w:r>
          </w:p>
        </w:tc>
        <w:tc>
          <w:tcPr>
            <w:tcW w:w="1163" w:type="dxa"/>
            <w:tcBorders>
              <w:top w:val="single" w:sz="6" w:space="0" w:color="000000"/>
              <w:left w:val="single" w:sz="6" w:space="0" w:color="000000"/>
            </w:tcBorders>
          </w:tcPr>
          <w:p>
            <w:pPr>
              <w:pStyle w:val="TableParagraph"/>
              <w:spacing w:before="41"/>
              <w:ind w:left="27"/>
              <w:rPr>
                <w:rFonts w:ascii="宋体" w:eastAsia="宋体" w:hint="eastAsia"/>
                <w:sz w:val="21"/>
              </w:rPr>
            </w:pPr>
            <w:r>
              <w:rPr>
                <w:rFonts w:ascii="宋体" w:eastAsia="宋体" w:hint="eastAsia"/>
                <w:sz w:val="21"/>
              </w:rPr>
              <w:t>每年 </w:t>
            </w:r>
            <w:r>
              <w:rPr>
                <w:position w:val="1"/>
                <w:sz w:val="21"/>
              </w:rPr>
              <w:t>1 </w:t>
            </w:r>
            <w:r>
              <w:rPr>
                <w:rFonts w:ascii="宋体" w:eastAsia="宋体" w:hint="eastAsia"/>
                <w:sz w:val="21"/>
              </w:rPr>
              <w:t>次</w:t>
            </w:r>
          </w:p>
        </w:tc>
      </w:tr>
    </w:tbl>
    <w:p>
      <w:pPr>
        <w:spacing w:after="0"/>
        <w:rPr>
          <w:rFonts w:ascii="宋体" w:eastAsia="宋体" w:hint="eastAsia"/>
          <w:sz w:val="21"/>
        </w:rPr>
        <w:sectPr>
          <w:pgSz w:w="11910" w:h="16840"/>
          <w:pgMar w:header="874" w:footer="1004" w:top="1420" w:bottom="1200" w:left="1040" w:right="1160"/>
        </w:sectPr>
      </w:pPr>
    </w:p>
    <w:tbl>
      <w:tblPr>
        <w:tblW w:w="0" w:type="auto"/>
        <w:jc w:val="left"/>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93"/>
        <w:gridCol w:w="591"/>
        <w:gridCol w:w="2675"/>
        <w:gridCol w:w="1136"/>
        <w:gridCol w:w="3119"/>
        <w:gridCol w:w="1163"/>
      </w:tblGrid>
      <w:tr>
        <w:trPr>
          <w:trHeight w:val="359" w:hRule="atLeast"/>
        </w:trPr>
        <w:tc>
          <w:tcPr>
            <w:tcW w:w="593" w:type="dxa"/>
            <w:tcBorders>
              <w:bottom w:val="single" w:sz="6" w:space="0" w:color="000000"/>
              <w:right w:val="single" w:sz="6" w:space="0" w:color="000000"/>
            </w:tcBorders>
          </w:tcPr>
          <w:p>
            <w:pPr>
              <w:pStyle w:val="TableParagraph"/>
              <w:spacing w:before="49"/>
              <w:ind w:left="83"/>
              <w:jc w:val="left"/>
              <w:rPr>
                <w:rFonts w:ascii="宋体" w:eastAsia="宋体" w:hint="eastAsia"/>
                <w:b/>
                <w:sz w:val="21"/>
              </w:rPr>
            </w:pPr>
            <w:r>
              <w:rPr>
                <w:rFonts w:ascii="宋体" w:eastAsia="宋体" w:hint="eastAsia"/>
                <w:b/>
                <w:sz w:val="21"/>
              </w:rPr>
              <w:t>主体</w:t>
            </w:r>
          </w:p>
        </w:tc>
        <w:tc>
          <w:tcPr>
            <w:tcW w:w="3266" w:type="dxa"/>
            <w:gridSpan w:val="2"/>
            <w:tcBorders>
              <w:left w:val="single" w:sz="6" w:space="0" w:color="000000"/>
              <w:bottom w:val="single" w:sz="6" w:space="0" w:color="000000"/>
              <w:right w:val="single" w:sz="6" w:space="0" w:color="000000"/>
            </w:tcBorders>
          </w:tcPr>
          <w:p>
            <w:pPr>
              <w:pStyle w:val="TableParagraph"/>
              <w:spacing w:before="49"/>
              <w:ind w:left="1299" w:right="1278"/>
              <w:rPr>
                <w:rFonts w:ascii="宋体" w:eastAsia="宋体" w:hint="eastAsia"/>
                <w:b/>
                <w:sz w:val="21"/>
              </w:rPr>
            </w:pPr>
            <w:r>
              <w:rPr>
                <w:rFonts w:ascii="宋体" w:eastAsia="宋体" w:hint="eastAsia"/>
                <w:b/>
                <w:sz w:val="21"/>
              </w:rPr>
              <w:t>污染物</w:t>
            </w:r>
          </w:p>
        </w:tc>
        <w:tc>
          <w:tcPr>
            <w:tcW w:w="1136" w:type="dxa"/>
            <w:tcBorders>
              <w:left w:val="single" w:sz="6" w:space="0" w:color="000000"/>
              <w:bottom w:val="single" w:sz="6" w:space="0" w:color="000000"/>
              <w:right w:val="single" w:sz="6" w:space="0" w:color="000000"/>
            </w:tcBorders>
          </w:tcPr>
          <w:p>
            <w:pPr>
              <w:pStyle w:val="TableParagraph"/>
              <w:spacing w:before="49"/>
              <w:ind w:left="129" w:right="107"/>
              <w:rPr>
                <w:rFonts w:ascii="宋体" w:eastAsia="宋体" w:hint="eastAsia"/>
                <w:b/>
                <w:sz w:val="21"/>
              </w:rPr>
            </w:pPr>
            <w:r>
              <w:rPr>
                <w:rFonts w:ascii="宋体" w:eastAsia="宋体" w:hint="eastAsia"/>
                <w:b/>
                <w:sz w:val="21"/>
              </w:rPr>
              <w:t>监测型式</w:t>
            </w:r>
          </w:p>
        </w:tc>
        <w:tc>
          <w:tcPr>
            <w:tcW w:w="3119" w:type="dxa"/>
            <w:tcBorders>
              <w:left w:val="single" w:sz="6" w:space="0" w:color="000000"/>
              <w:bottom w:val="single" w:sz="6" w:space="0" w:color="000000"/>
              <w:right w:val="single" w:sz="6" w:space="0" w:color="000000"/>
            </w:tcBorders>
          </w:tcPr>
          <w:p>
            <w:pPr>
              <w:pStyle w:val="TableParagraph"/>
              <w:spacing w:before="49"/>
              <w:ind w:left="20"/>
              <w:rPr>
                <w:rFonts w:ascii="宋体" w:eastAsia="宋体" w:hint="eastAsia"/>
                <w:b/>
                <w:sz w:val="21"/>
              </w:rPr>
            </w:pPr>
            <w:r>
              <w:rPr>
                <w:rFonts w:ascii="宋体" w:eastAsia="宋体" w:hint="eastAsia"/>
                <w:b/>
                <w:sz w:val="21"/>
              </w:rPr>
              <w:t>监测因子</w:t>
            </w:r>
          </w:p>
        </w:tc>
        <w:tc>
          <w:tcPr>
            <w:tcW w:w="1163" w:type="dxa"/>
            <w:tcBorders>
              <w:left w:val="single" w:sz="6" w:space="0" w:color="000000"/>
              <w:bottom w:val="single" w:sz="6" w:space="0" w:color="000000"/>
            </w:tcBorders>
          </w:tcPr>
          <w:p>
            <w:pPr>
              <w:pStyle w:val="TableParagraph"/>
              <w:spacing w:before="49"/>
              <w:ind w:left="24"/>
              <w:rPr>
                <w:rFonts w:ascii="宋体" w:eastAsia="宋体" w:hint="eastAsia"/>
                <w:b/>
                <w:sz w:val="21"/>
              </w:rPr>
            </w:pPr>
            <w:r>
              <w:rPr>
                <w:rFonts w:ascii="宋体" w:eastAsia="宋体" w:hint="eastAsia"/>
                <w:b/>
                <w:sz w:val="21"/>
              </w:rPr>
              <w:t>监测频率</w:t>
            </w:r>
          </w:p>
        </w:tc>
      </w:tr>
      <w:tr>
        <w:trPr>
          <w:trHeight w:val="351" w:hRule="atLeast"/>
        </w:trPr>
        <w:tc>
          <w:tcPr>
            <w:tcW w:w="593" w:type="dxa"/>
            <w:vMerge w:val="restart"/>
            <w:tcBorders>
              <w:top w:val="single" w:sz="6" w:space="0" w:color="000000"/>
              <w:right w:val="single" w:sz="6" w:space="0" w:color="000000"/>
            </w:tcBorders>
          </w:tcPr>
          <w:p>
            <w:pPr>
              <w:pStyle w:val="TableParagraph"/>
              <w:spacing w:before="0"/>
              <w:jc w:val="left"/>
              <w:rPr>
                <w:sz w:val="20"/>
              </w:rPr>
            </w:pPr>
          </w:p>
        </w:tc>
        <w:tc>
          <w:tcPr>
            <w:tcW w:w="5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2675" w:type="dxa"/>
            <w:tcBorders>
              <w:top w:val="single" w:sz="6" w:space="0" w:color="000000"/>
              <w:left w:val="single" w:sz="6" w:space="0" w:color="000000"/>
              <w:bottom w:val="single" w:sz="6" w:space="0" w:color="000000"/>
              <w:right w:val="single" w:sz="6" w:space="0" w:color="000000"/>
            </w:tcBorders>
          </w:tcPr>
          <w:p>
            <w:pPr>
              <w:pStyle w:val="TableParagraph"/>
              <w:spacing w:before="46"/>
              <w:ind w:left="35" w:right="6"/>
              <w:rPr>
                <w:rFonts w:ascii="宋体" w:eastAsia="宋体" w:hint="eastAsia"/>
                <w:sz w:val="21"/>
              </w:rPr>
            </w:pPr>
            <w:r>
              <w:rPr>
                <w:rFonts w:ascii="宋体" w:eastAsia="宋体" w:hint="eastAsia"/>
                <w:sz w:val="21"/>
              </w:rPr>
              <w:t>食堂油烟</w:t>
            </w: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46"/>
              <w:ind w:left="129" w:right="105"/>
              <w:rPr>
                <w:rFonts w:ascii="宋体" w:eastAsia="宋体" w:hint="eastAsia"/>
                <w:sz w:val="21"/>
              </w:rPr>
            </w:pPr>
            <w:r>
              <w:rPr>
                <w:rFonts w:ascii="宋体" w:eastAsia="宋体" w:hint="eastAsia"/>
                <w:sz w:val="21"/>
              </w:rPr>
              <w:t>采样监测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46"/>
              <w:ind w:left="20"/>
              <w:rPr>
                <w:rFonts w:ascii="宋体" w:eastAsia="宋体" w:hint="eastAsia"/>
                <w:sz w:val="21"/>
              </w:rPr>
            </w:pPr>
            <w:r>
              <w:rPr>
                <w:rFonts w:ascii="宋体" w:eastAsia="宋体" w:hint="eastAsia"/>
                <w:sz w:val="21"/>
              </w:rPr>
              <w:t>油烟</w:t>
            </w:r>
          </w:p>
        </w:tc>
        <w:tc>
          <w:tcPr>
            <w:tcW w:w="1163" w:type="dxa"/>
            <w:tcBorders>
              <w:top w:val="single" w:sz="6" w:space="0" w:color="000000"/>
              <w:left w:val="single" w:sz="6" w:space="0" w:color="000000"/>
              <w:bottom w:val="single" w:sz="6" w:space="0" w:color="000000"/>
            </w:tcBorders>
          </w:tcPr>
          <w:p>
            <w:pPr>
              <w:pStyle w:val="TableParagraph"/>
              <w:spacing w:before="46"/>
              <w:ind w:left="27"/>
              <w:rPr>
                <w:rFonts w:ascii="宋体" w:eastAsia="宋体" w:hint="eastAsia"/>
                <w:sz w:val="21"/>
              </w:rPr>
            </w:pPr>
            <w:r>
              <w:rPr>
                <w:rFonts w:ascii="宋体" w:eastAsia="宋体" w:hint="eastAsia"/>
                <w:sz w:val="21"/>
              </w:rPr>
              <w:t>每年 </w:t>
            </w:r>
            <w:r>
              <w:rPr>
                <w:position w:val="1"/>
                <w:sz w:val="21"/>
              </w:rPr>
              <w:t>1 </w:t>
            </w:r>
            <w:r>
              <w:rPr>
                <w:rFonts w:ascii="宋体" w:eastAsia="宋体" w:hint="eastAsia"/>
                <w:sz w:val="21"/>
              </w:rPr>
              <w:t>次</w:t>
            </w:r>
          </w:p>
        </w:tc>
      </w:tr>
      <w:tr>
        <w:trPr>
          <w:trHeight w:val="342" w:hRule="atLeast"/>
        </w:trPr>
        <w:tc>
          <w:tcPr>
            <w:tcW w:w="593" w:type="dxa"/>
            <w:vMerge/>
            <w:tcBorders>
              <w:top w:val="nil"/>
              <w:right w:val="single" w:sz="6" w:space="0" w:color="000000"/>
            </w:tcBorders>
          </w:tcPr>
          <w:p>
            <w:pPr>
              <w:rPr>
                <w:sz w:val="2"/>
                <w:szCs w:val="2"/>
              </w:rPr>
            </w:pPr>
          </w:p>
        </w:tc>
        <w:tc>
          <w:tcPr>
            <w:tcW w:w="591" w:type="dxa"/>
            <w:vMerge/>
            <w:tcBorders>
              <w:top w:val="nil"/>
              <w:left w:val="single" w:sz="6" w:space="0" w:color="000000"/>
              <w:bottom w:val="single" w:sz="6" w:space="0" w:color="000000"/>
              <w:right w:val="single" w:sz="6" w:space="0" w:color="000000"/>
            </w:tcBorders>
          </w:tcPr>
          <w:p>
            <w:pPr>
              <w:rPr>
                <w:sz w:val="2"/>
                <w:szCs w:val="2"/>
              </w:rPr>
            </w:pPr>
          </w:p>
        </w:tc>
        <w:tc>
          <w:tcPr>
            <w:tcW w:w="2675" w:type="dxa"/>
            <w:tcBorders>
              <w:top w:val="single" w:sz="6" w:space="0" w:color="000000"/>
              <w:left w:val="single" w:sz="6" w:space="0" w:color="000000"/>
              <w:bottom w:val="single" w:sz="6" w:space="0" w:color="000000"/>
              <w:right w:val="single" w:sz="6" w:space="0" w:color="000000"/>
            </w:tcBorders>
          </w:tcPr>
          <w:p>
            <w:pPr>
              <w:pStyle w:val="TableParagraph"/>
              <w:spacing w:before="39"/>
              <w:ind w:left="35" w:right="6"/>
              <w:rPr>
                <w:rFonts w:ascii="宋体" w:eastAsia="宋体" w:hint="eastAsia"/>
                <w:sz w:val="21"/>
              </w:rPr>
            </w:pPr>
            <w:r>
              <w:rPr>
                <w:rFonts w:ascii="宋体" w:eastAsia="宋体" w:hint="eastAsia"/>
                <w:sz w:val="21"/>
              </w:rPr>
              <w:t>厂界废气</w:t>
            </w: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39"/>
              <w:ind w:left="129" w:right="105"/>
              <w:rPr>
                <w:rFonts w:ascii="宋体" w:eastAsia="宋体" w:hint="eastAsia"/>
                <w:sz w:val="21"/>
              </w:rPr>
            </w:pPr>
            <w:r>
              <w:rPr>
                <w:rFonts w:ascii="宋体" w:eastAsia="宋体" w:hint="eastAsia"/>
                <w:sz w:val="21"/>
              </w:rPr>
              <w:t>采样监测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39"/>
              <w:ind w:left="21"/>
              <w:rPr>
                <w:rFonts w:ascii="宋体" w:eastAsia="宋体" w:hint="eastAsia"/>
                <w:sz w:val="21"/>
              </w:rPr>
            </w:pPr>
            <w:r>
              <w:rPr>
                <w:rFonts w:ascii="宋体" w:eastAsia="宋体" w:hint="eastAsia"/>
                <w:sz w:val="21"/>
              </w:rPr>
              <w:t>氨、硫化氢、臭气浓度</w:t>
            </w:r>
          </w:p>
        </w:tc>
        <w:tc>
          <w:tcPr>
            <w:tcW w:w="1163" w:type="dxa"/>
            <w:tcBorders>
              <w:top w:val="single" w:sz="6" w:space="0" w:color="000000"/>
              <w:left w:val="single" w:sz="6" w:space="0" w:color="000000"/>
              <w:bottom w:val="single" w:sz="6" w:space="0" w:color="000000"/>
            </w:tcBorders>
          </w:tcPr>
          <w:p>
            <w:pPr>
              <w:pStyle w:val="TableParagraph"/>
              <w:spacing w:before="39"/>
              <w:ind w:left="27"/>
              <w:rPr>
                <w:rFonts w:ascii="宋体" w:eastAsia="宋体" w:hint="eastAsia"/>
                <w:sz w:val="21"/>
              </w:rPr>
            </w:pPr>
            <w:r>
              <w:rPr>
                <w:rFonts w:ascii="宋体" w:eastAsia="宋体" w:hint="eastAsia"/>
                <w:sz w:val="21"/>
              </w:rPr>
              <w:t>每半年 </w:t>
            </w:r>
            <w:r>
              <w:rPr>
                <w:position w:val="1"/>
                <w:sz w:val="21"/>
              </w:rPr>
              <w:t>1 </w:t>
            </w:r>
            <w:r>
              <w:rPr>
                <w:rFonts w:ascii="宋体" w:eastAsia="宋体" w:hint="eastAsia"/>
                <w:sz w:val="21"/>
              </w:rPr>
              <w:t>次</w:t>
            </w:r>
          </w:p>
        </w:tc>
      </w:tr>
      <w:tr>
        <w:trPr>
          <w:trHeight w:val="344" w:hRule="atLeast"/>
        </w:trPr>
        <w:tc>
          <w:tcPr>
            <w:tcW w:w="593" w:type="dxa"/>
            <w:vMerge/>
            <w:tcBorders>
              <w:top w:val="nil"/>
              <w:right w:val="single" w:sz="6" w:space="0" w:color="000000"/>
            </w:tcBorders>
          </w:tcPr>
          <w:p>
            <w:pPr>
              <w:rPr>
                <w:sz w:val="2"/>
                <w:szCs w:val="2"/>
              </w:rPr>
            </w:pPr>
          </w:p>
        </w:tc>
        <w:tc>
          <w:tcPr>
            <w:tcW w:w="591"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14"/>
              </w:rPr>
            </w:pPr>
          </w:p>
          <w:p>
            <w:pPr>
              <w:pStyle w:val="TableParagraph"/>
              <w:spacing w:before="0"/>
              <w:ind w:left="90"/>
              <w:jc w:val="left"/>
              <w:rPr>
                <w:rFonts w:ascii="宋体" w:eastAsia="宋体" w:hint="eastAsia"/>
                <w:sz w:val="21"/>
              </w:rPr>
            </w:pPr>
            <w:r>
              <w:rPr>
                <w:rFonts w:ascii="宋体" w:eastAsia="宋体" w:hint="eastAsia"/>
                <w:sz w:val="21"/>
              </w:rPr>
              <w:t>废水</w:t>
            </w:r>
          </w:p>
        </w:tc>
        <w:tc>
          <w:tcPr>
            <w:tcW w:w="267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4"/>
              <w:jc w:val="left"/>
              <w:rPr>
                <w:rFonts w:ascii="宋体"/>
                <w:b/>
                <w:sz w:val="26"/>
              </w:rPr>
            </w:pPr>
          </w:p>
          <w:p>
            <w:pPr>
              <w:pStyle w:val="TableParagraph"/>
              <w:spacing w:before="0"/>
              <w:ind w:left="35" w:right="9"/>
              <w:rPr>
                <w:rFonts w:ascii="宋体" w:eastAsia="宋体" w:hint="eastAsia"/>
                <w:sz w:val="21"/>
              </w:rPr>
            </w:pPr>
            <w:r>
              <w:rPr>
                <w:rFonts w:ascii="宋体" w:eastAsia="宋体" w:hint="eastAsia"/>
                <w:sz w:val="21"/>
              </w:rPr>
              <w:t>废水</w:t>
            </w: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41"/>
              <w:ind w:left="129" w:right="105"/>
              <w:rPr>
                <w:rFonts w:ascii="宋体" w:eastAsia="宋体" w:hint="eastAsia"/>
                <w:sz w:val="21"/>
              </w:rPr>
            </w:pPr>
            <w:r>
              <w:rPr>
                <w:rFonts w:ascii="宋体" w:eastAsia="宋体" w:hint="eastAsia"/>
                <w:sz w:val="21"/>
              </w:rPr>
              <w:t>在线监测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43"/>
              <w:ind w:left="21"/>
              <w:rPr>
                <w:rFonts w:ascii="宋体" w:eastAsia="宋体" w:hint="eastAsia"/>
                <w:sz w:val="21"/>
              </w:rPr>
            </w:pPr>
            <w:r>
              <w:rPr>
                <w:rFonts w:ascii="宋体" w:eastAsia="宋体" w:hint="eastAsia"/>
                <w:position w:val="1"/>
                <w:sz w:val="21"/>
              </w:rPr>
              <w:t>流量、</w:t>
            </w:r>
            <w:r>
              <w:rPr>
                <w:position w:val="2"/>
                <w:sz w:val="21"/>
              </w:rPr>
              <w:t>pH</w:t>
            </w:r>
            <w:r>
              <w:rPr>
                <w:rFonts w:ascii="宋体" w:eastAsia="宋体" w:hint="eastAsia"/>
                <w:position w:val="1"/>
                <w:sz w:val="21"/>
              </w:rPr>
              <w:t>、</w:t>
            </w:r>
            <w:r>
              <w:rPr>
                <w:position w:val="2"/>
                <w:sz w:val="21"/>
              </w:rPr>
              <w:t>COD</w:t>
            </w:r>
            <w:r>
              <w:rPr>
                <w:sz w:val="14"/>
              </w:rPr>
              <w:t>Cr</w:t>
            </w:r>
            <w:r>
              <w:rPr>
                <w:rFonts w:ascii="宋体" w:eastAsia="宋体" w:hint="eastAsia"/>
                <w:position w:val="1"/>
                <w:sz w:val="21"/>
              </w:rPr>
              <w:t>、</w:t>
            </w:r>
            <w:r>
              <w:rPr>
                <w:position w:val="2"/>
                <w:sz w:val="21"/>
              </w:rPr>
              <w:t>NH</w:t>
            </w:r>
            <w:r>
              <w:rPr>
                <w:sz w:val="14"/>
              </w:rPr>
              <w:t>3</w:t>
            </w:r>
            <w:r>
              <w:rPr>
                <w:position w:val="2"/>
                <w:sz w:val="21"/>
              </w:rPr>
              <w:t>-N</w:t>
            </w:r>
            <w:r>
              <w:rPr>
                <w:rFonts w:ascii="宋体" w:eastAsia="宋体" w:hint="eastAsia"/>
                <w:position w:val="1"/>
                <w:sz w:val="21"/>
              </w:rPr>
              <w:t>、</w:t>
            </w:r>
          </w:p>
        </w:tc>
        <w:tc>
          <w:tcPr>
            <w:tcW w:w="1163" w:type="dxa"/>
            <w:tcBorders>
              <w:top w:val="single" w:sz="6" w:space="0" w:color="000000"/>
              <w:left w:val="single" w:sz="6" w:space="0" w:color="000000"/>
              <w:bottom w:val="single" w:sz="6" w:space="0" w:color="000000"/>
            </w:tcBorders>
          </w:tcPr>
          <w:p>
            <w:pPr>
              <w:pStyle w:val="TableParagraph"/>
              <w:spacing w:before="41"/>
              <w:ind w:left="26"/>
              <w:rPr>
                <w:rFonts w:ascii="宋体" w:eastAsia="宋体" w:hint="eastAsia"/>
                <w:sz w:val="21"/>
              </w:rPr>
            </w:pPr>
            <w:r>
              <w:rPr>
                <w:rFonts w:ascii="宋体" w:eastAsia="宋体" w:hint="eastAsia"/>
                <w:sz w:val="21"/>
              </w:rPr>
              <w:t>自动监测</w:t>
            </w:r>
          </w:p>
        </w:tc>
      </w:tr>
      <w:tr>
        <w:trPr>
          <w:trHeight w:val="344" w:hRule="atLeast"/>
        </w:trPr>
        <w:tc>
          <w:tcPr>
            <w:tcW w:w="593" w:type="dxa"/>
            <w:vMerge/>
            <w:tcBorders>
              <w:top w:val="nil"/>
              <w:right w:val="single" w:sz="6" w:space="0" w:color="000000"/>
            </w:tcBorders>
          </w:tcPr>
          <w:p>
            <w:pPr>
              <w:rPr>
                <w:sz w:val="2"/>
                <w:szCs w:val="2"/>
              </w:rPr>
            </w:pPr>
          </w:p>
        </w:tc>
        <w:tc>
          <w:tcPr>
            <w:tcW w:w="591" w:type="dxa"/>
            <w:vMerge/>
            <w:tcBorders>
              <w:top w:val="nil"/>
              <w:left w:val="single" w:sz="6" w:space="0" w:color="000000"/>
              <w:bottom w:val="single" w:sz="6" w:space="0" w:color="000000"/>
              <w:right w:val="single" w:sz="6" w:space="0" w:color="000000"/>
            </w:tcBorders>
          </w:tcPr>
          <w:p>
            <w:pPr>
              <w:rPr>
                <w:sz w:val="2"/>
                <w:szCs w:val="2"/>
              </w:rPr>
            </w:pPr>
          </w:p>
        </w:tc>
        <w:tc>
          <w:tcPr>
            <w:tcW w:w="2675" w:type="dxa"/>
            <w:vMerge/>
            <w:tcBorders>
              <w:top w:val="nil"/>
              <w:left w:val="single" w:sz="6" w:space="0" w:color="000000"/>
              <w:bottom w:val="single" w:sz="6" w:space="0" w:color="000000"/>
              <w:right w:val="single" w:sz="6" w:space="0" w:color="000000"/>
            </w:tcBorders>
          </w:tcPr>
          <w:p>
            <w:pPr>
              <w:rPr>
                <w:sz w:val="2"/>
                <w:szCs w:val="2"/>
              </w:rPr>
            </w:pP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39"/>
              <w:ind w:left="129" w:right="105"/>
              <w:rPr>
                <w:rFonts w:ascii="宋体" w:eastAsia="宋体" w:hint="eastAsia"/>
                <w:sz w:val="21"/>
              </w:rPr>
            </w:pPr>
            <w:r>
              <w:rPr>
                <w:rFonts w:ascii="宋体" w:eastAsia="宋体" w:hint="eastAsia"/>
                <w:sz w:val="21"/>
              </w:rPr>
              <w:t>采样监测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39"/>
              <w:ind w:left="20"/>
              <w:rPr>
                <w:sz w:val="21"/>
              </w:rPr>
            </w:pPr>
            <w:r>
              <w:rPr>
                <w:position w:val="1"/>
                <w:sz w:val="21"/>
              </w:rPr>
              <w:t>TP</w:t>
            </w:r>
            <w:r>
              <w:rPr>
                <w:rFonts w:ascii="宋体" w:eastAsia="宋体" w:hint="eastAsia"/>
                <w:sz w:val="21"/>
              </w:rPr>
              <w:t>、</w:t>
            </w:r>
            <w:r>
              <w:rPr>
                <w:position w:val="1"/>
                <w:sz w:val="21"/>
              </w:rPr>
              <w:t>TN</w:t>
            </w:r>
          </w:p>
        </w:tc>
        <w:tc>
          <w:tcPr>
            <w:tcW w:w="1163" w:type="dxa"/>
            <w:tcBorders>
              <w:top w:val="single" w:sz="6" w:space="0" w:color="000000"/>
              <w:left w:val="single" w:sz="6" w:space="0" w:color="000000"/>
              <w:bottom w:val="single" w:sz="6" w:space="0" w:color="000000"/>
            </w:tcBorders>
          </w:tcPr>
          <w:p>
            <w:pPr>
              <w:pStyle w:val="TableParagraph"/>
              <w:spacing w:before="39"/>
              <w:ind w:left="27"/>
              <w:rPr>
                <w:rFonts w:ascii="宋体" w:eastAsia="宋体" w:hint="eastAsia"/>
                <w:sz w:val="21"/>
              </w:rPr>
            </w:pPr>
            <w:r>
              <w:rPr>
                <w:rFonts w:ascii="宋体" w:eastAsia="宋体" w:hint="eastAsia"/>
                <w:sz w:val="21"/>
              </w:rPr>
              <w:t>每月 </w:t>
            </w:r>
            <w:r>
              <w:rPr>
                <w:position w:val="1"/>
                <w:sz w:val="21"/>
              </w:rPr>
              <w:t>1 </w:t>
            </w:r>
            <w:r>
              <w:rPr>
                <w:rFonts w:ascii="宋体" w:eastAsia="宋体" w:hint="eastAsia"/>
                <w:sz w:val="21"/>
              </w:rPr>
              <w:t>次</w:t>
            </w:r>
          </w:p>
        </w:tc>
      </w:tr>
      <w:tr>
        <w:trPr>
          <w:trHeight w:val="702" w:hRule="atLeast"/>
        </w:trPr>
        <w:tc>
          <w:tcPr>
            <w:tcW w:w="593" w:type="dxa"/>
            <w:vMerge/>
            <w:tcBorders>
              <w:top w:val="nil"/>
              <w:right w:val="single" w:sz="6" w:space="0" w:color="000000"/>
            </w:tcBorders>
          </w:tcPr>
          <w:p>
            <w:pPr>
              <w:rPr>
                <w:sz w:val="2"/>
                <w:szCs w:val="2"/>
              </w:rPr>
            </w:pPr>
          </w:p>
        </w:tc>
        <w:tc>
          <w:tcPr>
            <w:tcW w:w="591" w:type="dxa"/>
            <w:vMerge/>
            <w:tcBorders>
              <w:top w:val="nil"/>
              <w:left w:val="single" w:sz="6" w:space="0" w:color="000000"/>
              <w:bottom w:val="single" w:sz="6" w:space="0" w:color="000000"/>
              <w:right w:val="single" w:sz="6" w:space="0" w:color="000000"/>
            </w:tcBorders>
          </w:tcPr>
          <w:p>
            <w:pPr>
              <w:rPr>
                <w:sz w:val="2"/>
                <w:szCs w:val="2"/>
              </w:rPr>
            </w:pPr>
          </w:p>
        </w:tc>
        <w:tc>
          <w:tcPr>
            <w:tcW w:w="2675" w:type="dxa"/>
            <w:vMerge/>
            <w:tcBorders>
              <w:top w:val="nil"/>
              <w:left w:val="single" w:sz="6" w:space="0" w:color="000000"/>
              <w:bottom w:val="single" w:sz="6" w:space="0" w:color="000000"/>
              <w:right w:val="single" w:sz="6" w:space="0" w:color="000000"/>
            </w:tcBorders>
          </w:tcPr>
          <w:p>
            <w:pPr>
              <w:rPr>
                <w:sz w:val="2"/>
                <w:szCs w:val="2"/>
              </w:rPr>
            </w:pP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before="0"/>
              <w:ind w:left="129" w:right="105"/>
              <w:rPr>
                <w:rFonts w:ascii="宋体" w:eastAsia="宋体" w:hint="eastAsia"/>
                <w:sz w:val="21"/>
              </w:rPr>
            </w:pPr>
            <w:r>
              <w:rPr>
                <w:rFonts w:ascii="宋体" w:eastAsia="宋体" w:hint="eastAsia"/>
                <w:sz w:val="21"/>
              </w:rPr>
              <w:t>采样监测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41"/>
              <w:ind w:left="23"/>
              <w:rPr>
                <w:rFonts w:ascii="宋体" w:eastAsia="宋体" w:hint="eastAsia"/>
                <w:sz w:val="21"/>
              </w:rPr>
            </w:pPr>
            <w:r>
              <w:rPr>
                <w:position w:val="2"/>
                <w:sz w:val="21"/>
              </w:rPr>
              <w:t>BOD</w:t>
            </w:r>
            <w:r>
              <w:rPr>
                <w:sz w:val="14"/>
              </w:rPr>
              <w:t>5</w:t>
            </w:r>
            <w:r>
              <w:rPr>
                <w:rFonts w:ascii="宋体" w:eastAsia="宋体" w:hint="eastAsia"/>
                <w:position w:val="1"/>
                <w:sz w:val="21"/>
              </w:rPr>
              <w:t>、</w:t>
            </w:r>
            <w:r>
              <w:rPr>
                <w:position w:val="2"/>
                <w:sz w:val="21"/>
              </w:rPr>
              <w:t>SS</w:t>
            </w:r>
            <w:r>
              <w:rPr>
                <w:rFonts w:ascii="宋体" w:eastAsia="宋体" w:hint="eastAsia"/>
                <w:position w:val="1"/>
                <w:sz w:val="21"/>
              </w:rPr>
              <w:t>、粪大肠菌群、蛔虫卵</w:t>
            </w:r>
          </w:p>
          <w:p>
            <w:pPr>
              <w:pStyle w:val="TableParagraph"/>
              <w:spacing w:before="89"/>
              <w:ind w:left="22"/>
              <w:rPr>
                <w:rFonts w:ascii="宋体" w:eastAsia="宋体" w:hint="eastAsia"/>
                <w:sz w:val="21"/>
              </w:rPr>
            </w:pPr>
            <w:r>
              <w:rPr>
                <w:rFonts w:ascii="宋体" w:eastAsia="宋体" w:hint="eastAsia"/>
                <w:w w:val="100"/>
                <w:sz w:val="21"/>
              </w:rPr>
              <w:t>等</w:t>
            </w:r>
          </w:p>
        </w:tc>
        <w:tc>
          <w:tcPr>
            <w:tcW w:w="1163" w:type="dxa"/>
            <w:tcBorders>
              <w:top w:val="single" w:sz="6" w:space="0" w:color="000000"/>
              <w:left w:val="single" w:sz="6" w:space="0" w:color="000000"/>
              <w:bottom w:val="single" w:sz="6" w:space="0" w:color="000000"/>
            </w:tcBorders>
          </w:tcPr>
          <w:p>
            <w:pPr>
              <w:pStyle w:val="TableParagraph"/>
              <w:spacing w:before="1"/>
              <w:jc w:val="left"/>
              <w:rPr>
                <w:rFonts w:ascii="宋体"/>
                <w:b/>
                <w:sz w:val="17"/>
              </w:rPr>
            </w:pPr>
          </w:p>
          <w:p>
            <w:pPr>
              <w:pStyle w:val="TableParagraph"/>
              <w:spacing w:before="0"/>
              <w:ind w:left="27"/>
              <w:rPr>
                <w:rFonts w:ascii="宋体" w:eastAsia="宋体" w:hint="eastAsia"/>
                <w:sz w:val="21"/>
              </w:rPr>
            </w:pPr>
            <w:r>
              <w:rPr>
                <w:rFonts w:ascii="宋体" w:eastAsia="宋体" w:hint="eastAsia"/>
                <w:sz w:val="21"/>
              </w:rPr>
              <w:t>每季度 </w:t>
            </w:r>
            <w:r>
              <w:rPr>
                <w:position w:val="1"/>
                <w:sz w:val="21"/>
              </w:rPr>
              <w:t>1 </w:t>
            </w:r>
            <w:r>
              <w:rPr>
                <w:rFonts w:ascii="宋体" w:eastAsia="宋体" w:hint="eastAsia"/>
                <w:sz w:val="21"/>
              </w:rPr>
              <w:t>次</w:t>
            </w:r>
          </w:p>
        </w:tc>
      </w:tr>
      <w:tr>
        <w:trPr>
          <w:trHeight w:val="702" w:hRule="atLeast"/>
        </w:trPr>
        <w:tc>
          <w:tcPr>
            <w:tcW w:w="593" w:type="dxa"/>
            <w:vMerge/>
            <w:tcBorders>
              <w:top w:val="nil"/>
              <w:right w:val="single" w:sz="6" w:space="0" w:color="000000"/>
            </w:tcBorders>
          </w:tcPr>
          <w:p>
            <w:pPr>
              <w:rPr>
                <w:sz w:val="2"/>
                <w:szCs w:val="2"/>
              </w:rPr>
            </w:pPr>
          </w:p>
        </w:tc>
        <w:tc>
          <w:tcPr>
            <w:tcW w:w="591" w:type="dxa"/>
            <w:vMerge/>
            <w:tcBorders>
              <w:top w:val="nil"/>
              <w:left w:val="single" w:sz="6" w:space="0" w:color="000000"/>
              <w:bottom w:val="single" w:sz="6" w:space="0" w:color="000000"/>
              <w:right w:val="single" w:sz="6" w:space="0" w:color="000000"/>
            </w:tcBorders>
          </w:tcPr>
          <w:p>
            <w:pPr>
              <w:rPr>
                <w:sz w:val="2"/>
                <w:szCs w:val="2"/>
              </w:rPr>
            </w:pPr>
          </w:p>
        </w:tc>
        <w:tc>
          <w:tcPr>
            <w:tcW w:w="2675"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before="0"/>
              <w:ind w:left="35" w:right="9"/>
              <w:rPr>
                <w:rFonts w:ascii="宋体" w:eastAsia="宋体" w:hint="eastAsia"/>
                <w:sz w:val="21"/>
              </w:rPr>
            </w:pPr>
            <w:r>
              <w:rPr>
                <w:rFonts w:ascii="宋体" w:eastAsia="宋体" w:hint="eastAsia"/>
                <w:sz w:val="21"/>
              </w:rPr>
              <w:t>地下水</w:t>
            </w:r>
          </w:p>
        </w:tc>
        <w:tc>
          <w:tcPr>
            <w:tcW w:w="1136"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7"/>
              </w:rPr>
            </w:pPr>
          </w:p>
          <w:p>
            <w:pPr>
              <w:pStyle w:val="TableParagraph"/>
              <w:spacing w:before="0"/>
              <w:ind w:left="129" w:right="105"/>
              <w:rPr>
                <w:rFonts w:ascii="宋体" w:eastAsia="宋体" w:hint="eastAsia"/>
                <w:sz w:val="21"/>
              </w:rPr>
            </w:pPr>
            <w:r>
              <w:rPr>
                <w:rFonts w:ascii="宋体" w:eastAsia="宋体" w:hint="eastAsia"/>
                <w:sz w:val="21"/>
              </w:rPr>
              <w:t>采样监测</w:t>
            </w:r>
          </w:p>
        </w:tc>
        <w:tc>
          <w:tcPr>
            <w:tcW w:w="3119" w:type="dxa"/>
            <w:tcBorders>
              <w:top w:val="single" w:sz="6" w:space="0" w:color="000000"/>
              <w:left w:val="single" w:sz="6" w:space="0" w:color="000000"/>
              <w:bottom w:val="single" w:sz="6" w:space="0" w:color="000000"/>
              <w:right w:val="single" w:sz="6" w:space="0" w:color="000000"/>
            </w:tcBorders>
          </w:tcPr>
          <w:p>
            <w:pPr>
              <w:pStyle w:val="TableParagraph"/>
              <w:spacing w:before="41"/>
              <w:ind w:left="31"/>
              <w:jc w:val="left"/>
              <w:rPr>
                <w:rFonts w:ascii="宋体" w:eastAsia="宋体" w:hint="eastAsia"/>
                <w:sz w:val="21"/>
              </w:rPr>
            </w:pPr>
            <w:r>
              <w:rPr>
                <w:position w:val="2"/>
                <w:sz w:val="21"/>
              </w:rPr>
              <w:t>pH</w:t>
            </w:r>
            <w:r>
              <w:rPr>
                <w:rFonts w:ascii="宋体" w:eastAsia="宋体" w:hint="eastAsia"/>
                <w:position w:val="1"/>
                <w:sz w:val="21"/>
              </w:rPr>
              <w:t>、</w:t>
            </w:r>
            <w:r>
              <w:rPr>
                <w:position w:val="2"/>
                <w:sz w:val="21"/>
              </w:rPr>
              <w:t>COD</w:t>
            </w:r>
            <w:r>
              <w:rPr>
                <w:sz w:val="14"/>
              </w:rPr>
              <w:t>Mn</w:t>
            </w:r>
            <w:r>
              <w:rPr>
                <w:rFonts w:ascii="宋体" w:eastAsia="宋体" w:hint="eastAsia"/>
                <w:position w:val="1"/>
                <w:sz w:val="21"/>
              </w:rPr>
              <w:t>、</w:t>
            </w:r>
            <w:r>
              <w:rPr>
                <w:position w:val="2"/>
                <w:sz w:val="21"/>
              </w:rPr>
              <w:t>BOD</w:t>
            </w:r>
            <w:r>
              <w:rPr>
                <w:sz w:val="14"/>
              </w:rPr>
              <w:t>5</w:t>
            </w:r>
            <w:r>
              <w:rPr>
                <w:rFonts w:ascii="宋体" w:eastAsia="宋体" w:hint="eastAsia"/>
                <w:position w:val="1"/>
                <w:sz w:val="21"/>
              </w:rPr>
              <w:t>、</w:t>
            </w:r>
            <w:r>
              <w:rPr>
                <w:position w:val="2"/>
                <w:sz w:val="21"/>
              </w:rPr>
              <w:t>NH</w:t>
            </w:r>
            <w:r>
              <w:rPr>
                <w:sz w:val="14"/>
              </w:rPr>
              <w:t>3</w:t>
            </w:r>
            <w:r>
              <w:rPr>
                <w:position w:val="2"/>
                <w:sz w:val="21"/>
              </w:rPr>
              <w:t>-N</w:t>
            </w:r>
            <w:r>
              <w:rPr>
                <w:rFonts w:ascii="宋体" w:eastAsia="宋体" w:hint="eastAsia"/>
                <w:position w:val="1"/>
                <w:sz w:val="21"/>
              </w:rPr>
              <w:t>、铜</w:t>
            </w:r>
          </w:p>
          <w:p>
            <w:pPr>
              <w:pStyle w:val="TableParagraph"/>
              <w:spacing w:before="89"/>
              <w:ind w:left="91"/>
              <w:jc w:val="left"/>
              <w:rPr>
                <w:rFonts w:ascii="宋体" w:eastAsia="宋体" w:hint="eastAsia"/>
                <w:sz w:val="21"/>
              </w:rPr>
            </w:pPr>
            <w:r>
              <w:rPr>
                <w:rFonts w:ascii="宋体" w:eastAsia="宋体" w:hint="eastAsia"/>
                <w:sz w:val="21"/>
              </w:rPr>
              <w:t>锌、总大肠菌群数、亚硝酸盐等</w:t>
            </w:r>
          </w:p>
        </w:tc>
        <w:tc>
          <w:tcPr>
            <w:tcW w:w="1163" w:type="dxa"/>
            <w:tcBorders>
              <w:top w:val="single" w:sz="6" w:space="0" w:color="000000"/>
              <w:left w:val="single" w:sz="6" w:space="0" w:color="000000"/>
              <w:bottom w:val="single" w:sz="6" w:space="0" w:color="000000"/>
            </w:tcBorders>
          </w:tcPr>
          <w:p>
            <w:pPr>
              <w:pStyle w:val="TableParagraph"/>
              <w:spacing w:line="225" w:lineRule="exact" w:before="39"/>
              <w:ind w:left="-128"/>
              <w:jc w:val="left"/>
              <w:rPr>
                <w:rFonts w:ascii="宋体" w:eastAsia="宋体" w:hint="eastAsia"/>
                <w:sz w:val="21"/>
              </w:rPr>
            </w:pPr>
            <w:r>
              <w:rPr>
                <w:rFonts w:ascii="宋体" w:eastAsia="宋体" w:hint="eastAsia"/>
                <w:w w:val="100"/>
                <w:sz w:val="21"/>
              </w:rPr>
              <w:t>、</w:t>
            </w:r>
          </w:p>
          <w:p>
            <w:pPr>
              <w:pStyle w:val="TableParagraph"/>
              <w:spacing w:line="225" w:lineRule="exact" w:before="0"/>
              <w:ind w:left="162"/>
              <w:jc w:val="left"/>
              <w:rPr>
                <w:rFonts w:ascii="宋体" w:eastAsia="宋体" w:hint="eastAsia"/>
                <w:sz w:val="21"/>
              </w:rPr>
            </w:pPr>
            <w:r>
              <w:rPr>
                <w:rFonts w:ascii="宋体" w:eastAsia="宋体" w:hint="eastAsia"/>
                <w:sz w:val="21"/>
              </w:rPr>
              <w:t>每年 </w:t>
            </w:r>
            <w:r>
              <w:rPr>
                <w:position w:val="1"/>
                <w:sz w:val="21"/>
              </w:rPr>
              <w:t>1 </w:t>
            </w:r>
            <w:r>
              <w:rPr>
                <w:rFonts w:ascii="宋体" w:eastAsia="宋体" w:hint="eastAsia"/>
                <w:sz w:val="21"/>
              </w:rPr>
              <w:t>次</w:t>
            </w:r>
          </w:p>
        </w:tc>
      </w:tr>
      <w:tr>
        <w:trPr>
          <w:trHeight w:val="352" w:hRule="atLeast"/>
        </w:trPr>
        <w:tc>
          <w:tcPr>
            <w:tcW w:w="593" w:type="dxa"/>
            <w:vMerge/>
            <w:tcBorders>
              <w:top w:val="nil"/>
              <w:right w:val="single" w:sz="6" w:space="0" w:color="000000"/>
            </w:tcBorders>
          </w:tcPr>
          <w:p>
            <w:pPr>
              <w:rPr>
                <w:sz w:val="2"/>
                <w:szCs w:val="2"/>
              </w:rPr>
            </w:pPr>
          </w:p>
        </w:tc>
        <w:tc>
          <w:tcPr>
            <w:tcW w:w="591" w:type="dxa"/>
            <w:tcBorders>
              <w:top w:val="single" w:sz="6" w:space="0" w:color="000000"/>
              <w:left w:val="single" w:sz="6" w:space="0" w:color="000000"/>
              <w:right w:val="single" w:sz="6" w:space="0" w:color="000000"/>
            </w:tcBorders>
          </w:tcPr>
          <w:p>
            <w:pPr>
              <w:pStyle w:val="TableParagraph"/>
              <w:spacing w:before="41"/>
              <w:ind w:left="90"/>
              <w:jc w:val="left"/>
              <w:rPr>
                <w:rFonts w:ascii="宋体" w:eastAsia="宋体" w:hint="eastAsia"/>
                <w:sz w:val="21"/>
              </w:rPr>
            </w:pPr>
            <w:r>
              <w:rPr>
                <w:rFonts w:ascii="宋体" w:eastAsia="宋体" w:hint="eastAsia"/>
                <w:sz w:val="21"/>
              </w:rPr>
              <w:t>噪声</w:t>
            </w:r>
          </w:p>
        </w:tc>
        <w:tc>
          <w:tcPr>
            <w:tcW w:w="2675" w:type="dxa"/>
            <w:tcBorders>
              <w:top w:val="single" w:sz="6" w:space="0" w:color="000000"/>
              <w:left w:val="single" w:sz="6" w:space="0" w:color="000000"/>
              <w:right w:val="single" w:sz="6" w:space="0" w:color="000000"/>
            </w:tcBorders>
          </w:tcPr>
          <w:p>
            <w:pPr>
              <w:pStyle w:val="TableParagraph"/>
              <w:spacing w:before="41"/>
              <w:ind w:left="35" w:right="6"/>
              <w:rPr>
                <w:rFonts w:ascii="宋体" w:eastAsia="宋体" w:hint="eastAsia"/>
                <w:sz w:val="21"/>
              </w:rPr>
            </w:pPr>
            <w:r>
              <w:rPr>
                <w:rFonts w:ascii="宋体" w:eastAsia="宋体" w:hint="eastAsia"/>
                <w:sz w:val="21"/>
              </w:rPr>
              <w:t>厂界噪声</w:t>
            </w:r>
          </w:p>
        </w:tc>
        <w:tc>
          <w:tcPr>
            <w:tcW w:w="1136" w:type="dxa"/>
            <w:tcBorders>
              <w:top w:val="single" w:sz="6" w:space="0" w:color="000000"/>
              <w:left w:val="single" w:sz="6" w:space="0" w:color="000000"/>
              <w:right w:val="single" w:sz="6" w:space="0" w:color="000000"/>
            </w:tcBorders>
          </w:tcPr>
          <w:p>
            <w:pPr>
              <w:pStyle w:val="TableParagraph"/>
              <w:spacing w:before="41"/>
              <w:ind w:left="129" w:right="105"/>
              <w:rPr>
                <w:rFonts w:ascii="宋体" w:eastAsia="宋体" w:hint="eastAsia"/>
                <w:sz w:val="21"/>
              </w:rPr>
            </w:pPr>
            <w:r>
              <w:rPr>
                <w:rFonts w:ascii="宋体" w:eastAsia="宋体" w:hint="eastAsia"/>
                <w:sz w:val="21"/>
              </w:rPr>
              <w:t>现场实测</w:t>
            </w:r>
          </w:p>
        </w:tc>
        <w:tc>
          <w:tcPr>
            <w:tcW w:w="3119" w:type="dxa"/>
            <w:tcBorders>
              <w:top w:val="single" w:sz="6" w:space="0" w:color="000000"/>
              <w:left w:val="single" w:sz="6" w:space="0" w:color="000000"/>
              <w:right w:val="single" w:sz="6" w:space="0" w:color="000000"/>
            </w:tcBorders>
          </w:tcPr>
          <w:p>
            <w:pPr>
              <w:pStyle w:val="TableParagraph"/>
              <w:spacing w:before="41"/>
              <w:ind w:left="23"/>
              <w:rPr>
                <w:rFonts w:ascii="宋体" w:eastAsia="宋体" w:hint="eastAsia"/>
                <w:sz w:val="21"/>
              </w:rPr>
            </w:pPr>
            <w:r>
              <w:rPr>
                <w:position w:val="1"/>
                <w:sz w:val="21"/>
              </w:rPr>
              <w:t>Leq</w:t>
            </w:r>
            <w:r>
              <w:rPr>
                <w:rFonts w:ascii="宋体" w:eastAsia="宋体" w:hint="eastAsia"/>
                <w:sz w:val="21"/>
              </w:rPr>
              <w:t>（</w:t>
            </w:r>
            <w:r>
              <w:rPr>
                <w:position w:val="1"/>
                <w:sz w:val="21"/>
              </w:rPr>
              <w:t>A</w:t>
            </w:r>
            <w:r>
              <w:rPr>
                <w:rFonts w:ascii="宋体" w:eastAsia="宋体" w:hint="eastAsia"/>
                <w:sz w:val="21"/>
              </w:rPr>
              <w:t>）</w:t>
            </w:r>
          </w:p>
        </w:tc>
        <w:tc>
          <w:tcPr>
            <w:tcW w:w="1163" w:type="dxa"/>
            <w:tcBorders>
              <w:top w:val="single" w:sz="6" w:space="0" w:color="000000"/>
              <w:left w:val="single" w:sz="6" w:space="0" w:color="000000"/>
            </w:tcBorders>
          </w:tcPr>
          <w:p>
            <w:pPr>
              <w:pStyle w:val="TableParagraph"/>
              <w:spacing w:before="41"/>
              <w:ind w:left="27"/>
              <w:rPr>
                <w:rFonts w:ascii="宋体" w:eastAsia="宋体" w:hint="eastAsia"/>
                <w:sz w:val="21"/>
              </w:rPr>
            </w:pPr>
            <w:r>
              <w:rPr>
                <w:rFonts w:ascii="宋体" w:eastAsia="宋体" w:hint="eastAsia"/>
                <w:sz w:val="21"/>
              </w:rPr>
              <w:t>每季度 </w:t>
            </w:r>
            <w:r>
              <w:rPr>
                <w:position w:val="1"/>
                <w:sz w:val="21"/>
              </w:rPr>
              <w:t>1 </w:t>
            </w:r>
            <w:r>
              <w:rPr>
                <w:rFonts w:ascii="宋体" w:eastAsia="宋体" w:hint="eastAsia"/>
                <w:sz w:val="21"/>
              </w:rPr>
              <w:t>次</w:t>
            </w:r>
          </w:p>
        </w:tc>
      </w:tr>
    </w:tbl>
    <w:p>
      <w:pPr>
        <w:pStyle w:val="ListParagraph"/>
        <w:numPr>
          <w:ilvl w:val="2"/>
          <w:numId w:val="106"/>
        </w:numPr>
        <w:tabs>
          <w:tab w:pos="838" w:val="left" w:leader="none"/>
        </w:tabs>
        <w:spacing w:line="240" w:lineRule="auto" w:before="94" w:after="0"/>
        <w:ind w:left="837" w:right="0" w:hanging="601"/>
        <w:jc w:val="left"/>
        <w:rPr>
          <w:b/>
          <w:sz w:val="24"/>
        </w:rPr>
      </w:pPr>
      <w:bookmarkStart w:name="_bookmark128" w:id="247"/>
      <w:bookmarkEnd w:id="247"/>
      <w:r>
        <w:rPr/>
      </w:r>
      <w:bookmarkStart w:name="_bookmark128" w:id="248"/>
      <w:bookmarkEnd w:id="248"/>
      <w:r>
        <w:rPr>
          <w:b/>
          <w:sz w:val="24"/>
        </w:rPr>
        <w:t>环境质量监测计划</w:t>
      </w:r>
    </w:p>
    <w:p>
      <w:pPr>
        <w:pStyle w:val="BodyText"/>
        <w:spacing w:line="364" w:lineRule="auto" w:before="160"/>
        <w:ind w:right="254" w:firstLine="480"/>
      </w:pPr>
      <w:r>
        <w:rPr/>
        <w:t>根据建设项目特点、环境影响范围，结合环境保护目标分布，制定环境质量监测计划。具体监测计划详见表 </w:t>
      </w:r>
      <w:r>
        <w:rPr>
          <w:rFonts w:ascii="Times New Roman" w:eastAsia="Times New Roman"/>
        </w:rPr>
        <w:t>8.2-4</w:t>
      </w:r>
      <w:r>
        <w:rPr/>
        <w:t>。</w:t>
      </w:r>
    </w:p>
    <w:p>
      <w:pPr>
        <w:pStyle w:val="Heading3"/>
        <w:spacing w:before="1"/>
        <w:ind w:left="2697"/>
      </w:pPr>
      <w:r>
        <w:rPr/>
        <w:pict>
          <v:shape style="position:absolute;margin-left:61.703999pt;margin-top:19.370003pt;width:465.85pt;height:148.6pt;mso-position-horizontal-relative:page;mso-position-vertical-relative:paragraph;z-index:25190912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25"/>
                    <w:gridCol w:w="1280"/>
                    <w:gridCol w:w="1695"/>
                    <w:gridCol w:w="1275"/>
                    <w:gridCol w:w="4000"/>
                  </w:tblGrid>
                  <w:tr>
                    <w:trPr>
                      <w:trHeight w:val="359" w:hRule="atLeast"/>
                    </w:trPr>
                    <w:tc>
                      <w:tcPr>
                        <w:tcW w:w="1025" w:type="dxa"/>
                        <w:tcBorders>
                          <w:bottom w:val="single" w:sz="6" w:space="0" w:color="000000"/>
                          <w:right w:val="single" w:sz="6" w:space="0" w:color="000000"/>
                        </w:tcBorders>
                      </w:tcPr>
                      <w:p>
                        <w:pPr>
                          <w:pStyle w:val="TableParagraph"/>
                          <w:spacing w:before="46"/>
                          <w:ind w:left="71" w:right="48"/>
                          <w:rPr>
                            <w:rFonts w:ascii="宋体" w:eastAsia="宋体" w:hint="eastAsia"/>
                            <w:b/>
                            <w:sz w:val="21"/>
                          </w:rPr>
                        </w:pPr>
                        <w:r>
                          <w:rPr>
                            <w:rFonts w:ascii="宋体" w:eastAsia="宋体" w:hint="eastAsia"/>
                            <w:b/>
                            <w:sz w:val="21"/>
                          </w:rPr>
                          <w:t>环境介质</w:t>
                        </w:r>
                      </w:p>
                    </w:tc>
                    <w:tc>
                      <w:tcPr>
                        <w:tcW w:w="1280" w:type="dxa"/>
                        <w:tcBorders>
                          <w:left w:val="single" w:sz="6" w:space="0" w:color="000000"/>
                          <w:bottom w:val="single" w:sz="6" w:space="0" w:color="000000"/>
                          <w:right w:val="single" w:sz="6" w:space="0" w:color="000000"/>
                        </w:tcBorders>
                      </w:tcPr>
                      <w:p>
                        <w:pPr>
                          <w:pStyle w:val="TableParagraph"/>
                          <w:spacing w:before="46"/>
                          <w:ind w:right="195"/>
                          <w:jc w:val="right"/>
                          <w:rPr>
                            <w:rFonts w:ascii="宋体" w:eastAsia="宋体" w:hint="eastAsia"/>
                            <w:b/>
                            <w:sz w:val="21"/>
                          </w:rPr>
                        </w:pPr>
                        <w:r>
                          <w:rPr>
                            <w:rFonts w:ascii="宋体" w:eastAsia="宋体" w:hint="eastAsia"/>
                            <w:b/>
                            <w:sz w:val="21"/>
                          </w:rPr>
                          <w:t>监测手段</w:t>
                        </w:r>
                      </w:p>
                    </w:tc>
                    <w:tc>
                      <w:tcPr>
                        <w:tcW w:w="1695" w:type="dxa"/>
                        <w:tcBorders>
                          <w:left w:val="single" w:sz="6" w:space="0" w:color="000000"/>
                          <w:bottom w:val="single" w:sz="6" w:space="0" w:color="000000"/>
                          <w:right w:val="single" w:sz="6" w:space="0" w:color="000000"/>
                        </w:tcBorders>
                      </w:tcPr>
                      <w:p>
                        <w:pPr>
                          <w:pStyle w:val="TableParagraph"/>
                          <w:spacing w:before="46"/>
                          <w:ind w:left="22"/>
                          <w:rPr>
                            <w:rFonts w:ascii="宋体" w:eastAsia="宋体" w:hint="eastAsia"/>
                            <w:b/>
                            <w:sz w:val="21"/>
                          </w:rPr>
                        </w:pPr>
                        <w:r>
                          <w:rPr>
                            <w:rFonts w:ascii="宋体" w:eastAsia="宋体" w:hint="eastAsia"/>
                            <w:b/>
                            <w:sz w:val="21"/>
                          </w:rPr>
                          <w:t>监测点</w:t>
                        </w:r>
                      </w:p>
                    </w:tc>
                    <w:tc>
                      <w:tcPr>
                        <w:tcW w:w="1275" w:type="dxa"/>
                        <w:tcBorders>
                          <w:left w:val="single" w:sz="6" w:space="0" w:color="000000"/>
                          <w:bottom w:val="single" w:sz="6" w:space="0" w:color="000000"/>
                          <w:right w:val="single" w:sz="6" w:space="0" w:color="000000"/>
                        </w:tcBorders>
                      </w:tcPr>
                      <w:p>
                        <w:pPr>
                          <w:pStyle w:val="TableParagraph"/>
                          <w:spacing w:before="46"/>
                          <w:ind w:left="43" w:right="19"/>
                          <w:rPr>
                            <w:rFonts w:ascii="宋体" w:eastAsia="宋体" w:hint="eastAsia"/>
                            <w:b/>
                            <w:sz w:val="21"/>
                          </w:rPr>
                        </w:pPr>
                        <w:r>
                          <w:rPr>
                            <w:rFonts w:ascii="宋体" w:eastAsia="宋体" w:hint="eastAsia"/>
                            <w:b/>
                            <w:sz w:val="21"/>
                          </w:rPr>
                          <w:t>监测频率</w:t>
                        </w:r>
                      </w:p>
                    </w:tc>
                    <w:tc>
                      <w:tcPr>
                        <w:tcW w:w="4000" w:type="dxa"/>
                        <w:tcBorders>
                          <w:left w:val="single" w:sz="6" w:space="0" w:color="000000"/>
                          <w:bottom w:val="single" w:sz="6" w:space="0" w:color="000000"/>
                        </w:tcBorders>
                      </w:tcPr>
                      <w:p>
                        <w:pPr>
                          <w:pStyle w:val="TableParagraph"/>
                          <w:spacing w:before="46"/>
                          <w:ind w:left="304" w:right="271"/>
                          <w:rPr>
                            <w:rFonts w:ascii="宋体" w:eastAsia="宋体" w:hint="eastAsia"/>
                            <w:b/>
                            <w:sz w:val="21"/>
                          </w:rPr>
                        </w:pPr>
                        <w:r>
                          <w:rPr>
                            <w:rFonts w:ascii="宋体" w:eastAsia="宋体" w:hint="eastAsia"/>
                            <w:b/>
                            <w:sz w:val="21"/>
                          </w:rPr>
                          <w:t>监测项目</w:t>
                        </w:r>
                      </w:p>
                    </w:tc>
                  </w:tr>
                  <w:tr>
                    <w:trPr>
                      <w:trHeight w:val="357" w:hRule="atLeast"/>
                    </w:trPr>
                    <w:tc>
                      <w:tcPr>
                        <w:tcW w:w="1025" w:type="dxa"/>
                        <w:tcBorders>
                          <w:top w:val="single" w:sz="6" w:space="0" w:color="000000"/>
                          <w:bottom w:val="single" w:sz="6" w:space="0" w:color="000000"/>
                          <w:right w:val="single" w:sz="6" w:space="0" w:color="000000"/>
                        </w:tcBorders>
                      </w:tcPr>
                      <w:p>
                        <w:pPr>
                          <w:pStyle w:val="TableParagraph"/>
                          <w:spacing w:before="46"/>
                          <w:ind w:left="69" w:right="48"/>
                          <w:rPr>
                            <w:rFonts w:ascii="宋体" w:eastAsia="宋体" w:hint="eastAsia"/>
                            <w:sz w:val="21"/>
                          </w:rPr>
                        </w:pPr>
                        <w:r>
                          <w:rPr>
                            <w:rFonts w:ascii="宋体" w:eastAsia="宋体" w:hint="eastAsia"/>
                            <w:sz w:val="21"/>
                          </w:rPr>
                          <w:t>环境空气</w:t>
                        </w:r>
                      </w:p>
                    </w:tc>
                    <w:tc>
                      <w:tcPr>
                        <w:tcW w:w="1280" w:type="dxa"/>
                        <w:tcBorders>
                          <w:top w:val="single" w:sz="6" w:space="0" w:color="000000"/>
                          <w:left w:val="single" w:sz="6" w:space="0" w:color="000000"/>
                          <w:bottom w:val="single" w:sz="6" w:space="0" w:color="000000"/>
                          <w:right w:val="single" w:sz="6" w:space="0" w:color="000000"/>
                        </w:tcBorders>
                      </w:tcPr>
                      <w:p>
                        <w:pPr>
                          <w:pStyle w:val="TableParagraph"/>
                          <w:spacing w:before="46"/>
                          <w:ind w:right="197"/>
                          <w:jc w:val="right"/>
                          <w:rPr>
                            <w:rFonts w:ascii="宋体" w:eastAsia="宋体" w:hint="eastAsia"/>
                            <w:sz w:val="21"/>
                          </w:rPr>
                        </w:pPr>
                        <w:r>
                          <w:rPr>
                            <w:rFonts w:ascii="宋体" w:eastAsia="宋体" w:hint="eastAsia"/>
                            <w:sz w:val="21"/>
                          </w:rPr>
                          <w:t>采样监测</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46"/>
                          <w:ind w:left="27"/>
                          <w:rPr>
                            <w:rFonts w:ascii="宋体" w:eastAsia="宋体" w:hint="eastAsia"/>
                            <w:sz w:val="21"/>
                          </w:rPr>
                        </w:pPr>
                        <w:r>
                          <w:rPr>
                            <w:rFonts w:ascii="宋体" w:eastAsia="宋体" w:hint="eastAsia"/>
                            <w:spacing w:val="-7"/>
                            <w:sz w:val="21"/>
                          </w:rPr>
                          <w:t>丰项村、新迪埠村</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46"/>
                          <w:ind w:left="45" w:right="19"/>
                          <w:rPr>
                            <w:rFonts w:ascii="宋体" w:eastAsia="宋体" w:hint="eastAsia"/>
                            <w:sz w:val="21"/>
                          </w:rPr>
                        </w:pPr>
                        <w:r>
                          <w:rPr>
                            <w:rFonts w:ascii="宋体" w:eastAsia="宋体" w:hint="eastAsia"/>
                            <w:sz w:val="21"/>
                          </w:rPr>
                          <w:t>每半年 </w:t>
                        </w:r>
                        <w:r>
                          <w:rPr>
                            <w:position w:val="1"/>
                            <w:sz w:val="21"/>
                          </w:rPr>
                          <w:t>1 </w:t>
                        </w:r>
                        <w:r>
                          <w:rPr>
                            <w:rFonts w:ascii="宋体" w:eastAsia="宋体" w:hint="eastAsia"/>
                            <w:sz w:val="21"/>
                          </w:rPr>
                          <w:t>次</w:t>
                        </w:r>
                      </w:p>
                    </w:tc>
                    <w:tc>
                      <w:tcPr>
                        <w:tcW w:w="4000" w:type="dxa"/>
                        <w:tcBorders>
                          <w:top w:val="single" w:sz="6" w:space="0" w:color="000000"/>
                          <w:left w:val="single" w:sz="6" w:space="0" w:color="000000"/>
                          <w:bottom w:val="single" w:sz="6" w:space="0" w:color="000000"/>
                        </w:tcBorders>
                      </w:tcPr>
                      <w:p>
                        <w:pPr>
                          <w:pStyle w:val="TableParagraph"/>
                          <w:spacing w:before="46"/>
                          <w:ind w:left="302" w:right="272"/>
                          <w:rPr>
                            <w:rFonts w:ascii="宋体" w:eastAsia="宋体" w:hint="eastAsia"/>
                            <w:sz w:val="21"/>
                          </w:rPr>
                        </w:pPr>
                        <w:r>
                          <w:rPr>
                            <w:rFonts w:ascii="宋体" w:eastAsia="宋体" w:hint="eastAsia"/>
                            <w:sz w:val="21"/>
                          </w:rPr>
                          <w:t>氨、硫化氢、臭气浓度</w:t>
                        </w:r>
                      </w:p>
                    </w:tc>
                  </w:tr>
                  <w:tr>
                    <w:trPr>
                      <w:trHeight w:val="1795" w:hRule="atLeast"/>
                    </w:trPr>
                    <w:tc>
                      <w:tcPr>
                        <w:tcW w:w="1025" w:type="dxa"/>
                        <w:tcBorders>
                          <w:top w:val="single" w:sz="6" w:space="0" w:color="000000"/>
                          <w:bottom w:val="single" w:sz="6" w:space="0" w:color="000000"/>
                          <w:right w:val="single" w:sz="6" w:space="0" w:color="000000"/>
                        </w:tcBorders>
                      </w:tcPr>
                      <w:p>
                        <w:pPr>
                          <w:pStyle w:val="TableParagraph"/>
                          <w:spacing w:before="0"/>
                          <w:jc w:val="left"/>
                          <w:rPr>
                            <w:rFonts w:ascii="宋体"/>
                            <w:sz w:val="20"/>
                          </w:rPr>
                        </w:pPr>
                      </w:p>
                      <w:p>
                        <w:pPr>
                          <w:pStyle w:val="TableParagraph"/>
                          <w:spacing w:before="0"/>
                          <w:jc w:val="left"/>
                          <w:rPr>
                            <w:rFonts w:ascii="宋体"/>
                            <w:sz w:val="20"/>
                          </w:rPr>
                        </w:pPr>
                      </w:p>
                      <w:p>
                        <w:pPr>
                          <w:pStyle w:val="TableParagraph"/>
                          <w:spacing w:before="10"/>
                          <w:jc w:val="left"/>
                          <w:rPr>
                            <w:rFonts w:ascii="宋体"/>
                            <w:sz w:val="19"/>
                          </w:rPr>
                        </w:pPr>
                      </w:p>
                      <w:p>
                        <w:pPr>
                          <w:pStyle w:val="TableParagraph"/>
                          <w:spacing w:before="1"/>
                          <w:ind w:left="71" w:right="48"/>
                          <w:rPr>
                            <w:rFonts w:ascii="宋体" w:eastAsia="宋体" w:hint="eastAsia"/>
                            <w:sz w:val="21"/>
                          </w:rPr>
                        </w:pPr>
                        <w:r>
                          <w:rPr>
                            <w:rFonts w:ascii="宋体" w:eastAsia="宋体" w:hint="eastAsia"/>
                            <w:sz w:val="21"/>
                          </w:rPr>
                          <w:t>地下水</w:t>
                        </w:r>
                      </w:p>
                    </w:tc>
                    <w:tc>
                      <w:tcPr>
                        <w:tcW w:w="128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sz w:val="20"/>
                          </w:rPr>
                        </w:pPr>
                      </w:p>
                      <w:p>
                        <w:pPr>
                          <w:pStyle w:val="TableParagraph"/>
                          <w:spacing w:before="0"/>
                          <w:jc w:val="left"/>
                          <w:rPr>
                            <w:rFonts w:ascii="宋体"/>
                            <w:sz w:val="20"/>
                          </w:rPr>
                        </w:pPr>
                      </w:p>
                      <w:p>
                        <w:pPr>
                          <w:pStyle w:val="TableParagraph"/>
                          <w:spacing w:before="10"/>
                          <w:jc w:val="left"/>
                          <w:rPr>
                            <w:rFonts w:ascii="宋体"/>
                            <w:sz w:val="19"/>
                          </w:rPr>
                        </w:pPr>
                      </w:p>
                      <w:p>
                        <w:pPr>
                          <w:pStyle w:val="TableParagraph"/>
                          <w:spacing w:before="1"/>
                          <w:ind w:right="197"/>
                          <w:jc w:val="right"/>
                          <w:rPr>
                            <w:rFonts w:ascii="宋体" w:eastAsia="宋体" w:hint="eastAsia"/>
                            <w:sz w:val="21"/>
                          </w:rPr>
                        </w:pPr>
                        <w:r>
                          <w:rPr>
                            <w:rFonts w:ascii="宋体" w:eastAsia="宋体" w:hint="eastAsia"/>
                            <w:sz w:val="21"/>
                          </w:rPr>
                          <w:t>采样监测</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sz w:val="20"/>
                          </w:rPr>
                        </w:pPr>
                      </w:p>
                      <w:p>
                        <w:pPr>
                          <w:pStyle w:val="TableParagraph"/>
                          <w:spacing w:before="0"/>
                          <w:jc w:val="left"/>
                          <w:rPr>
                            <w:rFonts w:ascii="宋体"/>
                            <w:sz w:val="20"/>
                          </w:rPr>
                        </w:pPr>
                      </w:p>
                      <w:p>
                        <w:pPr>
                          <w:pStyle w:val="TableParagraph"/>
                          <w:spacing w:before="10"/>
                          <w:jc w:val="left"/>
                          <w:rPr>
                            <w:rFonts w:ascii="宋体"/>
                            <w:sz w:val="19"/>
                          </w:rPr>
                        </w:pPr>
                      </w:p>
                      <w:p>
                        <w:pPr>
                          <w:pStyle w:val="TableParagraph"/>
                          <w:spacing w:before="1"/>
                          <w:ind w:left="27"/>
                          <w:rPr>
                            <w:rFonts w:ascii="宋体" w:eastAsia="宋体" w:hint="eastAsia"/>
                            <w:sz w:val="21"/>
                          </w:rPr>
                        </w:pPr>
                        <w:r>
                          <w:rPr>
                            <w:rFonts w:ascii="宋体" w:eastAsia="宋体" w:hint="eastAsia"/>
                            <w:sz w:val="21"/>
                          </w:rPr>
                          <w:t>污水处理站附近</w:t>
                        </w:r>
                      </w:p>
                    </w:tc>
                    <w:tc>
                      <w:tcPr>
                        <w:tcW w:w="1275"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sz w:val="22"/>
                          </w:rPr>
                        </w:pPr>
                      </w:p>
                      <w:p>
                        <w:pPr>
                          <w:pStyle w:val="TableParagraph"/>
                          <w:spacing w:before="0"/>
                          <w:jc w:val="left"/>
                          <w:rPr>
                            <w:rFonts w:ascii="宋体"/>
                            <w:sz w:val="22"/>
                          </w:rPr>
                        </w:pPr>
                      </w:p>
                      <w:p>
                        <w:pPr>
                          <w:pStyle w:val="TableParagraph"/>
                          <w:spacing w:before="10"/>
                          <w:jc w:val="left"/>
                          <w:rPr>
                            <w:rFonts w:ascii="宋体"/>
                            <w:sz w:val="15"/>
                          </w:rPr>
                        </w:pPr>
                      </w:p>
                      <w:p>
                        <w:pPr>
                          <w:pStyle w:val="TableParagraph"/>
                          <w:spacing w:before="1"/>
                          <w:ind w:left="45" w:right="19"/>
                          <w:rPr>
                            <w:rFonts w:ascii="宋体" w:eastAsia="宋体" w:hint="eastAsia"/>
                            <w:sz w:val="21"/>
                          </w:rPr>
                        </w:pPr>
                        <w:r>
                          <w:rPr>
                            <w:rFonts w:ascii="宋体" w:eastAsia="宋体" w:hint="eastAsia"/>
                            <w:sz w:val="21"/>
                          </w:rPr>
                          <w:t>每年 </w:t>
                        </w:r>
                        <w:r>
                          <w:rPr>
                            <w:position w:val="1"/>
                            <w:sz w:val="21"/>
                          </w:rPr>
                          <w:t>1 </w:t>
                        </w:r>
                        <w:r>
                          <w:rPr>
                            <w:rFonts w:ascii="宋体" w:eastAsia="宋体" w:hint="eastAsia"/>
                            <w:sz w:val="21"/>
                          </w:rPr>
                          <w:t>次</w:t>
                        </w:r>
                      </w:p>
                    </w:tc>
                    <w:tc>
                      <w:tcPr>
                        <w:tcW w:w="4000" w:type="dxa"/>
                        <w:tcBorders>
                          <w:top w:val="single" w:sz="6" w:space="0" w:color="000000"/>
                          <w:left w:val="single" w:sz="6" w:space="0" w:color="000000"/>
                          <w:bottom w:val="single" w:sz="6" w:space="0" w:color="000000"/>
                        </w:tcBorders>
                      </w:tcPr>
                      <w:p>
                        <w:pPr>
                          <w:pStyle w:val="TableParagraph"/>
                          <w:spacing w:line="319" w:lineRule="auto" w:before="49"/>
                          <w:ind w:left="34" w:right="-15" w:hanging="105"/>
                          <w:rPr>
                            <w:rFonts w:ascii="宋体" w:eastAsia="宋体" w:hint="eastAsia"/>
                            <w:sz w:val="21"/>
                          </w:rPr>
                        </w:pPr>
                        <w:r>
                          <w:rPr>
                            <w:position w:val="1"/>
                            <w:sz w:val="21"/>
                          </w:rPr>
                          <w:t>pH</w:t>
                        </w:r>
                        <w:r>
                          <w:rPr>
                            <w:rFonts w:ascii="宋体" w:eastAsia="宋体" w:hint="eastAsia"/>
                            <w:spacing w:val="-17"/>
                            <w:sz w:val="21"/>
                          </w:rPr>
                          <w:t>、氨氮、硝酸盐氮、亚硝酸盐氮、挥发酚 </w:t>
                        </w:r>
                        <w:r>
                          <w:rPr>
                            <w:rFonts w:ascii="宋体" w:eastAsia="宋体" w:hint="eastAsia"/>
                            <w:spacing w:val="-10"/>
                            <w:sz w:val="21"/>
                          </w:rPr>
                          <w:t>氰化物、砷、汞、六价铬、总硬度、铅、氟化物、镉、铁、锰、溶解性总固体、高锰酸盐指数、硫酸盐、氯化物、总大肠菌群、细</w:t>
                        </w:r>
                      </w:p>
                      <w:p>
                        <w:pPr>
                          <w:pStyle w:val="TableParagraph"/>
                          <w:spacing w:before="4"/>
                          <w:ind w:left="304" w:right="269"/>
                          <w:rPr>
                            <w:rFonts w:ascii="宋体" w:eastAsia="宋体" w:hint="eastAsia"/>
                            <w:sz w:val="21"/>
                          </w:rPr>
                        </w:pPr>
                        <w:r>
                          <w:rPr>
                            <w:rFonts w:ascii="宋体" w:eastAsia="宋体" w:hint="eastAsia"/>
                            <w:sz w:val="21"/>
                          </w:rPr>
                          <w:t>菌总数等</w:t>
                        </w:r>
                      </w:p>
                    </w:tc>
                  </w:tr>
                  <w:tr>
                    <w:trPr>
                      <w:trHeight w:val="356" w:hRule="atLeast"/>
                    </w:trPr>
                    <w:tc>
                      <w:tcPr>
                        <w:tcW w:w="1025" w:type="dxa"/>
                        <w:tcBorders>
                          <w:top w:val="single" w:sz="6" w:space="0" w:color="000000"/>
                          <w:right w:val="single" w:sz="6" w:space="0" w:color="000000"/>
                        </w:tcBorders>
                      </w:tcPr>
                      <w:p>
                        <w:pPr>
                          <w:pStyle w:val="TableParagraph"/>
                          <w:spacing w:before="46"/>
                          <w:ind w:left="71" w:right="48"/>
                          <w:rPr>
                            <w:rFonts w:ascii="宋体" w:eastAsia="宋体" w:hint="eastAsia"/>
                            <w:sz w:val="21"/>
                          </w:rPr>
                        </w:pPr>
                        <w:r>
                          <w:rPr>
                            <w:rFonts w:ascii="宋体" w:eastAsia="宋体" w:hint="eastAsia"/>
                            <w:sz w:val="21"/>
                          </w:rPr>
                          <w:t>土壤</w:t>
                        </w:r>
                      </w:p>
                    </w:tc>
                    <w:tc>
                      <w:tcPr>
                        <w:tcW w:w="1280" w:type="dxa"/>
                        <w:tcBorders>
                          <w:top w:val="single" w:sz="6" w:space="0" w:color="000000"/>
                          <w:left w:val="single" w:sz="6" w:space="0" w:color="000000"/>
                          <w:right w:val="single" w:sz="6" w:space="0" w:color="000000"/>
                        </w:tcBorders>
                      </w:tcPr>
                      <w:p>
                        <w:pPr>
                          <w:pStyle w:val="TableParagraph"/>
                          <w:spacing w:before="46"/>
                          <w:ind w:right="197"/>
                          <w:jc w:val="right"/>
                          <w:rPr>
                            <w:rFonts w:ascii="宋体" w:eastAsia="宋体" w:hint="eastAsia"/>
                            <w:sz w:val="21"/>
                          </w:rPr>
                        </w:pPr>
                        <w:r>
                          <w:rPr>
                            <w:rFonts w:ascii="宋体" w:eastAsia="宋体" w:hint="eastAsia"/>
                            <w:sz w:val="21"/>
                          </w:rPr>
                          <w:t>采样监测</w:t>
                        </w:r>
                      </w:p>
                    </w:tc>
                    <w:tc>
                      <w:tcPr>
                        <w:tcW w:w="1695" w:type="dxa"/>
                        <w:tcBorders>
                          <w:top w:val="single" w:sz="6" w:space="0" w:color="000000"/>
                          <w:left w:val="single" w:sz="6" w:space="0" w:color="000000"/>
                          <w:right w:val="single" w:sz="6" w:space="0" w:color="000000"/>
                        </w:tcBorders>
                      </w:tcPr>
                      <w:p>
                        <w:pPr>
                          <w:pStyle w:val="TableParagraph"/>
                          <w:spacing w:before="46"/>
                          <w:ind w:left="24"/>
                          <w:rPr>
                            <w:rFonts w:ascii="宋体" w:eastAsia="宋体" w:hint="eastAsia"/>
                            <w:sz w:val="21"/>
                          </w:rPr>
                        </w:pPr>
                        <w:r>
                          <w:rPr>
                            <w:rFonts w:ascii="宋体" w:eastAsia="宋体" w:hint="eastAsia"/>
                            <w:sz w:val="21"/>
                          </w:rPr>
                          <w:t>污水站附近</w:t>
                        </w:r>
                      </w:p>
                    </w:tc>
                    <w:tc>
                      <w:tcPr>
                        <w:tcW w:w="1275" w:type="dxa"/>
                        <w:tcBorders>
                          <w:top w:val="single" w:sz="6" w:space="0" w:color="000000"/>
                          <w:left w:val="single" w:sz="6" w:space="0" w:color="000000"/>
                          <w:right w:val="single" w:sz="6" w:space="0" w:color="000000"/>
                        </w:tcBorders>
                      </w:tcPr>
                      <w:p>
                        <w:pPr>
                          <w:pStyle w:val="TableParagraph"/>
                          <w:spacing w:before="46"/>
                          <w:ind w:left="45" w:right="19"/>
                          <w:rPr>
                            <w:rFonts w:ascii="宋体" w:eastAsia="宋体" w:hint="eastAsia"/>
                            <w:sz w:val="21"/>
                          </w:rPr>
                        </w:pPr>
                        <w:r>
                          <w:rPr>
                            <w:rFonts w:ascii="宋体" w:eastAsia="宋体" w:hint="eastAsia"/>
                            <w:sz w:val="21"/>
                          </w:rPr>
                          <w:t>每 </w:t>
                        </w:r>
                        <w:r>
                          <w:rPr>
                            <w:position w:val="1"/>
                            <w:sz w:val="21"/>
                          </w:rPr>
                          <w:t>5 </w:t>
                        </w:r>
                        <w:r>
                          <w:rPr>
                            <w:rFonts w:ascii="宋体" w:eastAsia="宋体" w:hint="eastAsia"/>
                            <w:sz w:val="21"/>
                          </w:rPr>
                          <w:t>年 </w:t>
                        </w:r>
                        <w:r>
                          <w:rPr>
                            <w:position w:val="1"/>
                            <w:sz w:val="21"/>
                          </w:rPr>
                          <w:t>1 </w:t>
                        </w:r>
                        <w:r>
                          <w:rPr>
                            <w:rFonts w:ascii="宋体" w:eastAsia="宋体" w:hint="eastAsia"/>
                            <w:sz w:val="21"/>
                          </w:rPr>
                          <w:t>次</w:t>
                        </w:r>
                      </w:p>
                    </w:tc>
                    <w:tc>
                      <w:tcPr>
                        <w:tcW w:w="4000" w:type="dxa"/>
                        <w:tcBorders>
                          <w:top w:val="single" w:sz="6" w:space="0" w:color="000000"/>
                          <w:left w:val="single" w:sz="6" w:space="0" w:color="000000"/>
                        </w:tcBorders>
                      </w:tcPr>
                      <w:p>
                        <w:pPr>
                          <w:pStyle w:val="TableParagraph"/>
                          <w:spacing w:before="46"/>
                          <w:ind w:left="304" w:right="272"/>
                          <w:rPr>
                            <w:rFonts w:ascii="宋体" w:eastAsia="宋体" w:hint="eastAsia"/>
                            <w:sz w:val="21"/>
                          </w:rPr>
                        </w:pPr>
                        <w:r>
                          <w:rPr>
                            <w:rFonts w:ascii="宋体" w:eastAsia="宋体" w:hint="eastAsia"/>
                            <w:sz w:val="21"/>
                          </w:rPr>
                          <w:t>砷、镉、铬、铜、铅、汞、镍、锌等</w:t>
                        </w:r>
                      </w:p>
                    </w:tc>
                  </w:tr>
                </w:tbl>
                <w:p>
                  <w:pPr>
                    <w:pStyle w:val="BodyText"/>
                    <w:ind w:left="0"/>
                  </w:pPr>
                </w:p>
              </w:txbxContent>
            </v:textbox>
            <w10:wrap type="none"/>
          </v:shape>
        </w:pict>
      </w:r>
      <w:r>
        <w:rPr/>
        <w:t>表 </w:t>
      </w:r>
      <w:r>
        <w:rPr>
          <w:rFonts w:ascii="Times New Roman" w:eastAsia="Times New Roman"/>
        </w:rPr>
        <w:t>8.2-4  </w:t>
      </w:r>
      <w:r>
        <w:rPr/>
        <w:t>运营期环境质量监测计划一览表</w:t>
      </w:r>
    </w:p>
    <w:p>
      <w:pPr>
        <w:pStyle w:val="BodyText"/>
        <w:ind w:left="0"/>
        <w:rPr>
          <w:b/>
          <w:sz w:val="26"/>
        </w:rPr>
      </w:pPr>
    </w:p>
    <w:p>
      <w:pPr>
        <w:pStyle w:val="BodyText"/>
        <w:ind w:left="0"/>
        <w:rPr>
          <w:b/>
          <w:sz w:val="26"/>
        </w:rPr>
      </w:pPr>
    </w:p>
    <w:p>
      <w:pPr>
        <w:pStyle w:val="BodyText"/>
        <w:spacing w:before="7"/>
        <w:ind w:left="0"/>
        <w:rPr>
          <w:b/>
          <w:sz w:val="18"/>
        </w:rPr>
      </w:pPr>
    </w:p>
    <w:p>
      <w:pPr>
        <w:spacing w:before="0"/>
        <w:ind w:left="0" w:right="144" w:firstLine="0"/>
        <w:jc w:val="right"/>
        <w:rPr>
          <w:sz w:val="21"/>
        </w:rPr>
      </w:pPr>
      <w:r>
        <w:rPr>
          <w:w w:val="100"/>
          <w:sz w:val="21"/>
        </w:rPr>
        <w:t>、</w:t>
      </w:r>
    </w:p>
    <w:p>
      <w:pPr>
        <w:spacing w:after="0"/>
        <w:jc w:val="right"/>
        <w:rPr>
          <w:sz w:val="21"/>
        </w:rPr>
        <w:sectPr>
          <w:pgSz w:w="11910" w:h="16840"/>
          <w:pgMar w:header="874" w:footer="1004" w:top="1420" w:bottom="1200" w:left="1040" w:right="1160"/>
        </w:sectPr>
      </w:pPr>
    </w:p>
    <w:p>
      <w:pPr>
        <w:pStyle w:val="Heading1"/>
        <w:jc w:val="both"/>
      </w:pPr>
      <w:bookmarkStart w:name="_bookmark129" w:id="249"/>
      <w:bookmarkEnd w:id="249"/>
      <w:r>
        <w:rPr>
          <w:b w:val="0"/>
        </w:rPr>
      </w:r>
      <w:r>
        <w:rPr/>
        <w:t>第九章 环境影响评价结论</w:t>
      </w:r>
    </w:p>
    <w:p>
      <w:pPr>
        <w:pStyle w:val="Heading2"/>
        <w:numPr>
          <w:ilvl w:val="1"/>
          <w:numId w:val="111"/>
        </w:numPr>
        <w:tabs>
          <w:tab w:pos="730" w:val="left" w:leader="none"/>
        </w:tabs>
        <w:spacing w:line="240" w:lineRule="auto" w:before="253" w:after="0"/>
        <w:ind w:left="729" w:right="0" w:hanging="493"/>
        <w:jc w:val="both"/>
      </w:pPr>
      <w:bookmarkStart w:name="_bookmark130" w:id="250"/>
      <w:bookmarkEnd w:id="250"/>
      <w:r>
        <w:rPr>
          <w:b w:val="0"/>
        </w:rPr>
      </w:r>
      <w:bookmarkStart w:name="_bookmark130" w:id="251"/>
      <w:bookmarkEnd w:id="251"/>
      <w:r>
        <w:rPr/>
        <w:t>基本结论</w:t>
      </w:r>
    </w:p>
    <w:p>
      <w:pPr>
        <w:pStyle w:val="Heading3"/>
        <w:numPr>
          <w:ilvl w:val="2"/>
          <w:numId w:val="111"/>
        </w:numPr>
        <w:tabs>
          <w:tab w:pos="838" w:val="left" w:leader="none"/>
        </w:tabs>
        <w:spacing w:line="240" w:lineRule="auto" w:before="214" w:after="0"/>
        <w:ind w:left="837" w:right="0" w:hanging="601"/>
        <w:jc w:val="both"/>
      </w:pPr>
      <w:bookmarkStart w:name="_bookmark131" w:id="252"/>
      <w:bookmarkEnd w:id="252"/>
      <w:r>
        <w:rPr>
          <w:b w:val="0"/>
        </w:rPr>
      </w:r>
      <w:bookmarkStart w:name="_bookmark131" w:id="253"/>
      <w:bookmarkEnd w:id="253"/>
      <w:r>
        <w:rPr/>
        <w:t>项目建设概况</w:t>
      </w:r>
    </w:p>
    <w:p>
      <w:pPr>
        <w:pStyle w:val="BodyText"/>
        <w:spacing w:line="364" w:lineRule="auto" w:before="160"/>
        <w:ind w:right="249" w:firstLine="480"/>
        <w:jc w:val="both"/>
      </w:pPr>
      <w:r>
        <w:rPr>
          <w:spacing w:val="-4"/>
        </w:rPr>
        <w:t>浙江天圣控股集团有限公司计划投资 </w:t>
      </w:r>
      <w:r>
        <w:rPr>
          <w:rFonts w:ascii="Times New Roman" w:hAnsi="Times New Roman" w:eastAsia="Times New Roman"/>
          <w:position w:val="1"/>
        </w:rPr>
        <w:t>10 </w:t>
      </w:r>
      <w:r>
        <w:rPr>
          <w:spacing w:val="-5"/>
        </w:rPr>
        <w:t>亿元，充分利用东辽现有优质生猪资源，以</w:t>
      </w:r>
      <w:r>
        <w:rPr>
          <w:rFonts w:ascii="Times New Roman" w:hAnsi="Times New Roman" w:eastAsia="Times New Roman"/>
          <w:position w:val="1"/>
        </w:rPr>
        <w:t>“</w:t>
      </w:r>
      <w:r>
        <w:rPr/>
        <w:t>飞地养猪</w:t>
      </w:r>
      <w:r>
        <w:rPr>
          <w:rFonts w:ascii="Times New Roman" w:hAnsi="Times New Roman" w:eastAsia="Times New Roman"/>
          <w:position w:val="1"/>
        </w:rPr>
        <w:t>”</w:t>
      </w:r>
      <w:r>
        <w:rPr/>
        <w:t>的模式将</w:t>
      </w:r>
      <w:r>
        <w:rPr>
          <w:rFonts w:ascii="Times New Roman" w:hAnsi="Times New Roman" w:eastAsia="Times New Roman"/>
          <w:position w:val="1"/>
        </w:rPr>
        <w:t>“</w:t>
      </w:r>
      <w:r>
        <w:rPr/>
        <w:t>东辽黑猪</w:t>
      </w:r>
      <w:r>
        <w:rPr>
          <w:rFonts w:ascii="Times New Roman" w:hAnsi="Times New Roman" w:eastAsia="Times New Roman"/>
          <w:position w:val="1"/>
        </w:rPr>
        <w:t>”</w:t>
      </w:r>
      <w:r>
        <w:rPr>
          <w:spacing w:val="-9"/>
        </w:rPr>
        <w:t>引入浙江市场，打造农业生态产业链项目。根据《关于天</w:t>
      </w:r>
      <w:r>
        <w:rPr>
          <w:spacing w:val="-8"/>
        </w:rPr>
        <w:t>圣集团农业生态产业链项目落地建设相关事宜的专题会议纪要》</w:t>
      </w:r>
      <w:r>
        <w:rPr/>
        <w:t>（绍兴市柯桥区人民政府专题会议纪要</w:t>
      </w:r>
      <w:r>
        <w:rPr>
          <w:rFonts w:ascii="Times New Roman" w:hAnsi="Times New Roman" w:eastAsia="Times New Roman"/>
          <w:position w:val="1"/>
        </w:rPr>
        <w:t>[2020]24</w:t>
      </w:r>
      <w:r>
        <w:rPr>
          <w:rFonts w:ascii="Times New Roman" w:hAnsi="Times New Roman" w:eastAsia="Times New Roman"/>
          <w:spacing w:val="41"/>
          <w:position w:val="1"/>
        </w:rPr>
        <w:t> </w:t>
      </w:r>
      <w:r>
        <w:rPr/>
        <w:t>号），该项目分生猪养殖和工业食品深加工两个子项目，分别由天圣集团下属注册成立天圣牧业和天圣食品两个子公司组织实施。本项目为其中的生</w:t>
      </w:r>
      <w:r>
        <w:rPr>
          <w:spacing w:val="-3"/>
        </w:rPr>
        <w:t>猪养殖项目，实施单位为绍兴天圣牧业有限公司</w:t>
      </w:r>
      <w:r>
        <w:rPr/>
        <w:t>（</w:t>
      </w:r>
      <w:r>
        <w:rPr>
          <w:spacing w:val="-15"/>
        </w:rPr>
        <w:t>成立于 </w:t>
      </w:r>
      <w:r>
        <w:rPr>
          <w:rFonts w:ascii="Times New Roman" w:hAnsi="Times New Roman" w:eastAsia="Times New Roman"/>
          <w:position w:val="1"/>
        </w:rPr>
        <w:t>2020 </w:t>
      </w:r>
      <w:r>
        <w:rPr>
          <w:spacing w:val="-30"/>
        </w:rPr>
        <w:t>年 </w:t>
      </w:r>
      <w:r>
        <w:rPr>
          <w:rFonts w:ascii="Times New Roman" w:hAnsi="Times New Roman" w:eastAsia="Times New Roman"/>
          <w:position w:val="1"/>
        </w:rPr>
        <w:t>5 </w:t>
      </w:r>
      <w:r>
        <w:rPr/>
        <w:t>月</w:t>
      </w:r>
      <w:r>
        <w:rPr>
          <w:spacing w:val="-8"/>
        </w:rPr>
        <w:t>），</w:t>
      </w:r>
      <w:r>
        <w:rPr/>
        <w:t>该项目计划投</w:t>
      </w:r>
    </w:p>
    <w:p>
      <w:pPr>
        <w:pStyle w:val="BodyText"/>
        <w:spacing w:before="4"/>
        <w:jc w:val="both"/>
      </w:pPr>
      <w:r>
        <w:rPr>
          <w:spacing w:val="-28"/>
        </w:rPr>
        <w:t>资 </w:t>
      </w:r>
      <w:r>
        <w:rPr>
          <w:rFonts w:ascii="Times New Roman" w:eastAsia="Times New Roman"/>
          <w:position w:val="1"/>
        </w:rPr>
        <w:t>5</w:t>
      </w:r>
      <w:r>
        <w:rPr>
          <w:rFonts w:ascii="Times New Roman" w:eastAsia="Times New Roman"/>
          <w:spacing w:val="5"/>
          <w:position w:val="1"/>
        </w:rPr>
        <w:t> </w:t>
      </w:r>
      <w:r>
        <w:rPr>
          <w:spacing w:val="-3"/>
        </w:rPr>
        <w:t>亿元，选址位于柯岩街道丰项村，需占用设施农用地 </w:t>
      </w:r>
      <w:r>
        <w:rPr>
          <w:rFonts w:ascii="Times New Roman" w:eastAsia="Times New Roman"/>
          <w:position w:val="1"/>
        </w:rPr>
        <w:t>78.5</w:t>
      </w:r>
      <w:r>
        <w:rPr>
          <w:rFonts w:ascii="Times New Roman" w:eastAsia="Times New Roman"/>
          <w:spacing w:val="5"/>
          <w:position w:val="1"/>
        </w:rPr>
        <w:t> </w:t>
      </w:r>
      <w:r>
        <w:rPr>
          <w:spacing w:val="-8"/>
        </w:rPr>
        <w:t>亩，新建存栏 </w:t>
      </w:r>
      <w:r>
        <w:rPr>
          <w:rFonts w:ascii="Times New Roman" w:eastAsia="Times New Roman"/>
          <w:position w:val="1"/>
        </w:rPr>
        <w:t>5</w:t>
      </w:r>
      <w:r>
        <w:rPr>
          <w:rFonts w:ascii="Times New Roman" w:eastAsia="Times New Roman"/>
          <w:spacing w:val="5"/>
          <w:position w:val="1"/>
        </w:rPr>
        <w:t> </w:t>
      </w:r>
      <w:r>
        <w:rPr/>
        <w:t>万头（出</w:t>
      </w:r>
    </w:p>
    <w:p>
      <w:pPr>
        <w:pStyle w:val="BodyText"/>
        <w:spacing w:line="364" w:lineRule="auto" w:before="161"/>
        <w:ind w:right="246"/>
        <w:jc w:val="both"/>
      </w:pPr>
      <w:r>
        <w:rPr>
          <w:spacing w:val="-19"/>
        </w:rPr>
        <w:t>栏约 </w:t>
      </w:r>
      <w:r>
        <w:rPr>
          <w:rFonts w:ascii="Times New Roman" w:eastAsia="Times New Roman"/>
          <w:position w:val="1"/>
        </w:rPr>
        <w:t>8.6 </w:t>
      </w:r>
      <w:r>
        <w:rPr/>
        <w:t>万头）</w:t>
      </w:r>
      <w:r>
        <w:rPr>
          <w:spacing w:val="-3"/>
        </w:rPr>
        <w:t>规模的现代化生猪养殖基地。目前，企业已就该项目于 </w:t>
      </w:r>
      <w:r>
        <w:rPr>
          <w:rFonts w:ascii="Times New Roman" w:eastAsia="Times New Roman"/>
          <w:position w:val="1"/>
        </w:rPr>
        <w:t>2021 </w:t>
      </w:r>
      <w:r>
        <w:rPr>
          <w:spacing w:val="-28"/>
        </w:rPr>
        <w:t>年 </w:t>
      </w:r>
      <w:r>
        <w:rPr>
          <w:rFonts w:ascii="Times New Roman" w:eastAsia="Times New Roman"/>
          <w:position w:val="1"/>
        </w:rPr>
        <w:t>1 </w:t>
      </w:r>
      <w:r>
        <w:rPr>
          <w:spacing w:val="-28"/>
        </w:rPr>
        <w:t>月 </w:t>
      </w:r>
      <w:r>
        <w:rPr>
          <w:rFonts w:ascii="Times New Roman" w:eastAsia="Times New Roman"/>
          <w:position w:val="1"/>
        </w:rPr>
        <w:t>5 </w:t>
      </w:r>
      <w:r>
        <w:rPr>
          <w:spacing w:val="-12"/>
        </w:rPr>
        <w:t>日</w:t>
      </w:r>
      <w:r>
        <w:rPr/>
        <w:t>在浙江省投资项目在线审批监管平台上进行了备案（代码：</w:t>
      </w:r>
      <w:r>
        <w:rPr>
          <w:rFonts w:ascii="Times New Roman" w:eastAsia="Times New Roman"/>
          <w:position w:val="1"/>
        </w:rPr>
        <w:t>2101-330603-04-01-859464</w:t>
      </w:r>
      <w:r>
        <w:rPr/>
        <w:t>， 备案机关为柯桥区鉴湖旅游度假区）。</w:t>
      </w:r>
    </w:p>
    <w:p>
      <w:pPr>
        <w:pStyle w:val="Heading3"/>
        <w:numPr>
          <w:ilvl w:val="2"/>
          <w:numId w:val="111"/>
        </w:numPr>
        <w:tabs>
          <w:tab w:pos="838" w:val="left" w:leader="none"/>
        </w:tabs>
        <w:spacing w:line="240" w:lineRule="auto" w:before="2" w:after="0"/>
        <w:ind w:left="837" w:right="0" w:hanging="601"/>
        <w:jc w:val="both"/>
      </w:pPr>
      <w:bookmarkStart w:name="_bookmark132" w:id="254"/>
      <w:bookmarkEnd w:id="254"/>
      <w:r>
        <w:rPr>
          <w:b w:val="0"/>
        </w:rPr>
      </w:r>
      <w:bookmarkStart w:name="_bookmark132" w:id="255"/>
      <w:bookmarkEnd w:id="255"/>
      <w:r>
        <w:rPr/>
        <w:t>污染物排放情况</w:t>
      </w:r>
    </w:p>
    <w:p>
      <w:pPr>
        <w:pStyle w:val="BodyText"/>
        <w:spacing w:before="160"/>
        <w:ind w:left="717"/>
      </w:pPr>
      <w:r>
        <w:rPr/>
        <w:t>本项目污染物排放情况见表 </w:t>
      </w:r>
      <w:r>
        <w:rPr>
          <w:rFonts w:ascii="Times New Roman" w:eastAsia="Times New Roman"/>
          <w:position w:val="1"/>
        </w:rPr>
        <w:t>9.1-1</w:t>
      </w:r>
      <w:r>
        <w:rPr/>
        <w:t>。</w:t>
      </w:r>
    </w:p>
    <w:p>
      <w:pPr>
        <w:pStyle w:val="Heading3"/>
        <w:ind w:left="222" w:right="236"/>
        <w:jc w:val="center"/>
        <w:rPr>
          <w:rFonts w:ascii="Times New Roman" w:eastAsia="Times New Roman"/>
        </w:rPr>
      </w:pPr>
      <w:r>
        <w:rPr/>
        <w:t>表 </w:t>
      </w:r>
      <w:r>
        <w:rPr>
          <w:rFonts w:ascii="Times New Roman" w:eastAsia="Times New Roman"/>
        </w:rPr>
        <w:t>9.1-1  </w:t>
      </w:r>
      <w:r>
        <w:rPr/>
        <w:t>本项目污染物产生及排放情况汇总 单位：</w:t>
      </w:r>
      <w:r>
        <w:rPr>
          <w:rFonts w:ascii="Times New Roman" w:eastAsia="Times New Roman"/>
        </w:rPr>
        <w:t>t/a</w:t>
      </w:r>
    </w:p>
    <w:p>
      <w:pPr>
        <w:pStyle w:val="BodyText"/>
        <w:spacing w:before="10"/>
        <w:ind w:left="0"/>
        <w:rPr>
          <w:rFonts w:ascii="Times New Roman"/>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1836"/>
        <w:gridCol w:w="1841"/>
        <w:gridCol w:w="1611"/>
        <w:gridCol w:w="1303"/>
        <w:gridCol w:w="1608"/>
      </w:tblGrid>
      <w:tr>
        <w:trPr>
          <w:trHeight w:val="359" w:hRule="atLeast"/>
        </w:trPr>
        <w:tc>
          <w:tcPr>
            <w:tcW w:w="1231" w:type="dxa"/>
            <w:tcBorders>
              <w:bottom w:val="single" w:sz="6" w:space="0" w:color="000000"/>
              <w:right w:val="single" w:sz="6" w:space="0" w:color="000000"/>
            </w:tcBorders>
          </w:tcPr>
          <w:p>
            <w:pPr>
              <w:pStyle w:val="TableParagraph"/>
              <w:spacing w:before="46"/>
              <w:ind w:left="296"/>
              <w:jc w:val="left"/>
              <w:rPr>
                <w:rFonts w:ascii="宋体" w:eastAsia="宋体" w:hint="eastAsia"/>
                <w:b/>
                <w:sz w:val="21"/>
              </w:rPr>
            </w:pPr>
            <w:r>
              <w:rPr>
                <w:rFonts w:ascii="宋体" w:eastAsia="宋体" w:hint="eastAsia"/>
                <w:b/>
                <w:sz w:val="21"/>
              </w:rPr>
              <w:t>污染物</w:t>
            </w:r>
          </w:p>
        </w:tc>
        <w:tc>
          <w:tcPr>
            <w:tcW w:w="1836" w:type="dxa"/>
            <w:tcBorders>
              <w:left w:val="single" w:sz="6" w:space="0" w:color="000000"/>
              <w:bottom w:val="single" w:sz="6" w:space="0" w:color="000000"/>
              <w:right w:val="single" w:sz="6" w:space="0" w:color="000000"/>
            </w:tcBorders>
          </w:tcPr>
          <w:p>
            <w:pPr>
              <w:pStyle w:val="TableParagraph"/>
              <w:spacing w:before="46"/>
              <w:ind w:left="503"/>
              <w:jc w:val="left"/>
              <w:rPr>
                <w:rFonts w:ascii="宋体" w:eastAsia="宋体" w:hint="eastAsia"/>
                <w:b/>
                <w:sz w:val="21"/>
              </w:rPr>
            </w:pPr>
            <w:r>
              <w:rPr>
                <w:rFonts w:ascii="宋体" w:eastAsia="宋体" w:hint="eastAsia"/>
                <w:b/>
                <w:sz w:val="21"/>
              </w:rPr>
              <w:t>产生工序</w:t>
            </w:r>
          </w:p>
        </w:tc>
        <w:tc>
          <w:tcPr>
            <w:tcW w:w="1841" w:type="dxa"/>
            <w:tcBorders>
              <w:left w:val="single" w:sz="6" w:space="0" w:color="000000"/>
              <w:bottom w:val="single" w:sz="6" w:space="0" w:color="000000"/>
              <w:right w:val="single" w:sz="6" w:space="0" w:color="000000"/>
            </w:tcBorders>
          </w:tcPr>
          <w:p>
            <w:pPr>
              <w:pStyle w:val="TableParagraph"/>
              <w:spacing w:before="46"/>
              <w:ind w:left="116" w:right="89"/>
              <w:rPr>
                <w:rFonts w:ascii="宋体" w:eastAsia="宋体" w:hint="eastAsia"/>
                <w:b/>
                <w:sz w:val="21"/>
              </w:rPr>
            </w:pPr>
            <w:r>
              <w:rPr>
                <w:rFonts w:ascii="宋体" w:eastAsia="宋体" w:hint="eastAsia"/>
                <w:b/>
                <w:sz w:val="21"/>
              </w:rPr>
              <w:t>污染物名称</w:t>
            </w:r>
          </w:p>
        </w:tc>
        <w:tc>
          <w:tcPr>
            <w:tcW w:w="1611" w:type="dxa"/>
            <w:tcBorders>
              <w:left w:val="single" w:sz="6" w:space="0" w:color="000000"/>
              <w:bottom w:val="single" w:sz="6" w:space="0" w:color="000000"/>
              <w:right w:val="single" w:sz="6" w:space="0" w:color="000000"/>
            </w:tcBorders>
          </w:tcPr>
          <w:p>
            <w:pPr>
              <w:pStyle w:val="TableParagraph"/>
              <w:spacing w:before="46"/>
              <w:ind w:left="343" w:right="316"/>
              <w:rPr>
                <w:rFonts w:ascii="宋体" w:eastAsia="宋体" w:hint="eastAsia"/>
                <w:b/>
                <w:sz w:val="21"/>
              </w:rPr>
            </w:pPr>
            <w:r>
              <w:rPr>
                <w:rFonts w:ascii="宋体" w:eastAsia="宋体" w:hint="eastAsia"/>
                <w:b/>
                <w:sz w:val="21"/>
              </w:rPr>
              <w:t>产生量</w:t>
            </w:r>
          </w:p>
        </w:tc>
        <w:tc>
          <w:tcPr>
            <w:tcW w:w="1303" w:type="dxa"/>
            <w:tcBorders>
              <w:left w:val="single" w:sz="6" w:space="0" w:color="000000"/>
              <w:bottom w:val="single" w:sz="6" w:space="0" w:color="000000"/>
              <w:right w:val="single" w:sz="6" w:space="0" w:color="000000"/>
            </w:tcBorders>
          </w:tcPr>
          <w:p>
            <w:pPr>
              <w:pStyle w:val="TableParagraph"/>
              <w:spacing w:before="46"/>
              <w:ind w:left="247" w:right="219"/>
              <w:rPr>
                <w:rFonts w:ascii="宋体" w:eastAsia="宋体" w:hint="eastAsia"/>
                <w:b/>
                <w:sz w:val="21"/>
              </w:rPr>
            </w:pPr>
            <w:r>
              <w:rPr>
                <w:rFonts w:ascii="宋体" w:eastAsia="宋体" w:hint="eastAsia"/>
                <w:b/>
                <w:sz w:val="21"/>
              </w:rPr>
              <w:t>削减量</w:t>
            </w:r>
          </w:p>
        </w:tc>
        <w:tc>
          <w:tcPr>
            <w:tcW w:w="1608" w:type="dxa"/>
            <w:tcBorders>
              <w:left w:val="single" w:sz="6" w:space="0" w:color="000000"/>
              <w:bottom w:val="single" w:sz="6" w:space="0" w:color="000000"/>
            </w:tcBorders>
          </w:tcPr>
          <w:p>
            <w:pPr>
              <w:pStyle w:val="TableParagraph"/>
              <w:spacing w:before="46"/>
              <w:ind w:left="341" w:right="308"/>
              <w:rPr>
                <w:rFonts w:ascii="宋体" w:eastAsia="宋体" w:hint="eastAsia"/>
                <w:b/>
                <w:sz w:val="21"/>
              </w:rPr>
            </w:pPr>
            <w:r>
              <w:rPr>
                <w:rFonts w:ascii="宋体" w:eastAsia="宋体" w:hint="eastAsia"/>
                <w:b/>
                <w:sz w:val="21"/>
              </w:rPr>
              <w:t>排放量</w:t>
            </w:r>
          </w:p>
        </w:tc>
      </w:tr>
      <w:tr>
        <w:trPr>
          <w:trHeight w:val="359" w:hRule="atLeast"/>
        </w:trPr>
        <w:tc>
          <w:tcPr>
            <w:tcW w:w="1231" w:type="dxa"/>
            <w:vMerge w:val="restart"/>
            <w:tcBorders>
              <w:top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9"/>
              </w:rPr>
            </w:pPr>
          </w:p>
          <w:p>
            <w:pPr>
              <w:pStyle w:val="TableParagraph"/>
              <w:spacing w:before="1"/>
              <w:ind w:left="405"/>
              <w:jc w:val="left"/>
              <w:rPr>
                <w:rFonts w:ascii="宋体" w:eastAsia="宋体" w:hint="eastAsia"/>
                <w:sz w:val="21"/>
              </w:rPr>
            </w:pPr>
            <w:r>
              <w:rPr>
                <w:rFonts w:ascii="宋体" w:eastAsia="宋体" w:hint="eastAsia"/>
                <w:sz w:val="21"/>
              </w:rPr>
              <w:t>废水</w:t>
            </w: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line="319" w:lineRule="auto" w:before="155"/>
              <w:ind w:left="503" w:right="472"/>
              <w:jc w:val="left"/>
              <w:rPr>
                <w:rFonts w:ascii="宋体" w:eastAsia="宋体" w:hint="eastAsia"/>
                <w:sz w:val="21"/>
              </w:rPr>
            </w:pPr>
            <w:r>
              <w:rPr>
                <w:rFonts w:ascii="宋体" w:eastAsia="宋体" w:hint="eastAsia"/>
                <w:sz w:val="21"/>
              </w:rPr>
              <w:t>生产废水生活污水</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89"/>
              <w:rPr>
                <w:rFonts w:ascii="宋体" w:eastAsia="宋体" w:hint="eastAsia"/>
                <w:sz w:val="21"/>
              </w:rPr>
            </w:pPr>
            <w:r>
              <w:rPr>
                <w:rFonts w:ascii="宋体" w:eastAsia="宋体" w:hint="eastAsia"/>
                <w:sz w:val="21"/>
              </w:rPr>
              <w:t>废水总量</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6" w:right="316"/>
              <w:rPr>
                <w:sz w:val="21"/>
              </w:rPr>
            </w:pPr>
            <w:r>
              <w:rPr>
                <w:sz w:val="21"/>
              </w:rPr>
              <w:t>133337.42</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8"/>
              <w:rPr>
                <w:sz w:val="21"/>
              </w:rPr>
            </w:pPr>
            <w:r>
              <w:rPr>
                <w:w w:val="100"/>
                <w:sz w:val="21"/>
              </w:rPr>
              <w:t>0</w:t>
            </w:r>
          </w:p>
        </w:tc>
        <w:tc>
          <w:tcPr>
            <w:tcW w:w="1608" w:type="dxa"/>
            <w:tcBorders>
              <w:top w:val="single" w:sz="6" w:space="0" w:color="000000"/>
              <w:left w:val="single" w:sz="6" w:space="0" w:color="000000"/>
              <w:bottom w:val="single" w:sz="6" w:space="0" w:color="000000"/>
            </w:tcBorders>
          </w:tcPr>
          <w:p>
            <w:pPr>
              <w:pStyle w:val="TableParagraph"/>
              <w:ind w:left="344" w:right="308"/>
              <w:rPr>
                <w:sz w:val="21"/>
              </w:rPr>
            </w:pPr>
            <w:r>
              <w:rPr>
                <w:sz w:val="21"/>
              </w:rPr>
              <w:t>133337.42</w:t>
            </w:r>
          </w:p>
        </w:tc>
      </w:tr>
      <w:tr>
        <w:trPr>
          <w:trHeight w:val="357"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57"/>
              <w:ind w:left="118" w:right="89"/>
              <w:rPr>
                <w:sz w:val="14"/>
              </w:rPr>
            </w:pPr>
            <w:r>
              <w:rPr>
                <w:position w:val="2"/>
                <w:sz w:val="21"/>
              </w:rPr>
              <w:t>COD</w:t>
            </w:r>
            <w:r>
              <w:rPr>
                <w:sz w:val="14"/>
              </w:rPr>
              <w:t>Cr</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6" w:right="316"/>
              <w:rPr>
                <w:sz w:val="21"/>
              </w:rPr>
            </w:pPr>
            <w:r>
              <w:rPr>
                <w:sz w:val="21"/>
              </w:rPr>
              <w:t>285.160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49" w:right="219"/>
              <w:rPr>
                <w:sz w:val="21"/>
              </w:rPr>
            </w:pPr>
            <w:r>
              <w:rPr>
                <w:sz w:val="21"/>
              </w:rPr>
              <w:t>278.494</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6.667</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59"/>
              <w:ind w:left="117" w:right="89"/>
              <w:rPr>
                <w:sz w:val="21"/>
              </w:rPr>
            </w:pPr>
            <w:r>
              <w:rPr>
                <w:position w:val="2"/>
                <w:sz w:val="21"/>
              </w:rPr>
              <w:t>NH</w:t>
            </w:r>
            <w:r>
              <w:rPr>
                <w:sz w:val="14"/>
              </w:rPr>
              <w:t>3</w:t>
            </w:r>
            <w:r>
              <w:rPr>
                <w:position w:val="2"/>
                <w:sz w:val="21"/>
              </w:rPr>
              <w:t>-N</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60"/>
              <w:ind w:left="343" w:right="316"/>
              <w:rPr>
                <w:sz w:val="21"/>
              </w:rPr>
            </w:pPr>
            <w:r>
              <w:rPr>
                <w:sz w:val="21"/>
              </w:rPr>
              <w:t>27.373</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60"/>
              <w:ind w:left="252" w:right="219"/>
              <w:rPr>
                <w:sz w:val="21"/>
              </w:rPr>
            </w:pPr>
            <w:r>
              <w:rPr>
                <w:sz w:val="21"/>
              </w:rPr>
              <w:t>26.706</w:t>
            </w:r>
          </w:p>
        </w:tc>
        <w:tc>
          <w:tcPr>
            <w:tcW w:w="1608" w:type="dxa"/>
            <w:tcBorders>
              <w:top w:val="single" w:sz="6" w:space="0" w:color="000000"/>
              <w:left w:val="single" w:sz="6" w:space="0" w:color="000000"/>
              <w:bottom w:val="single" w:sz="6" w:space="0" w:color="000000"/>
            </w:tcBorders>
          </w:tcPr>
          <w:p>
            <w:pPr>
              <w:pStyle w:val="TableParagraph"/>
              <w:spacing w:before="60"/>
              <w:ind w:left="341" w:right="308"/>
              <w:rPr>
                <w:sz w:val="21"/>
              </w:rPr>
            </w:pPr>
            <w:r>
              <w:rPr>
                <w:sz w:val="21"/>
              </w:rPr>
              <w:t>0.667</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ind w:left="116" w:right="89"/>
              <w:rPr>
                <w:sz w:val="21"/>
              </w:rPr>
            </w:pPr>
            <w:r>
              <w:rPr>
                <w:sz w:val="21"/>
              </w:rPr>
              <w:t>TN</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37.864</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35.863</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2.000</w:t>
            </w:r>
          </w:p>
        </w:tc>
      </w:tr>
      <w:tr>
        <w:trPr>
          <w:trHeight w:val="359" w:hRule="atLeast"/>
        </w:trPr>
        <w:tc>
          <w:tcPr>
            <w:tcW w:w="1231" w:type="dxa"/>
            <w:vMerge/>
            <w:tcBorders>
              <w:top w:val="nil"/>
              <w:bottom w:val="single" w:sz="6" w:space="0" w:color="000000"/>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ind w:left="119" w:right="89"/>
              <w:rPr>
                <w:sz w:val="21"/>
              </w:rPr>
            </w:pPr>
            <w:r>
              <w:rPr>
                <w:sz w:val="21"/>
              </w:rPr>
              <w:t>TP</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4.452</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4.385</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0.067</w:t>
            </w:r>
          </w:p>
        </w:tc>
      </w:tr>
      <w:tr>
        <w:trPr>
          <w:trHeight w:val="349" w:hRule="atLeast"/>
        </w:trPr>
        <w:tc>
          <w:tcPr>
            <w:tcW w:w="1231" w:type="dxa"/>
            <w:vMerge w:val="restart"/>
            <w:tcBorders>
              <w:top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19"/>
              <w:ind w:left="405"/>
              <w:jc w:val="left"/>
              <w:rPr>
                <w:rFonts w:ascii="宋体" w:eastAsia="宋体" w:hint="eastAsia"/>
                <w:sz w:val="21"/>
              </w:rPr>
            </w:pPr>
            <w:r>
              <w:rPr>
                <w:rFonts w:ascii="宋体" w:eastAsia="宋体" w:hint="eastAsia"/>
                <w:sz w:val="21"/>
              </w:rPr>
              <w:t>废气</w:t>
            </w: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
              <w:jc w:val="left"/>
              <w:rPr>
                <w:b/>
                <w:sz w:val="20"/>
              </w:rPr>
            </w:pPr>
          </w:p>
          <w:p>
            <w:pPr>
              <w:pStyle w:val="TableParagraph"/>
              <w:spacing w:before="0"/>
              <w:ind w:left="171" w:right="140"/>
              <w:rPr>
                <w:rFonts w:ascii="宋体" w:eastAsia="宋体" w:hint="eastAsia"/>
                <w:sz w:val="21"/>
              </w:rPr>
            </w:pPr>
            <w:r>
              <w:rPr>
                <w:rFonts w:ascii="宋体" w:eastAsia="宋体" w:hint="eastAsia"/>
                <w:sz w:val="21"/>
              </w:rPr>
              <w:t>猪舍</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15.369</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13.064</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2.305</w:t>
            </w:r>
          </w:p>
        </w:tc>
      </w:tr>
      <w:tr>
        <w:trPr>
          <w:trHeight w:val="345" w:hRule="atLeast"/>
        </w:trPr>
        <w:tc>
          <w:tcPr>
            <w:tcW w:w="1231" w:type="dxa"/>
            <w:vMerge/>
            <w:tcBorders>
              <w:top w:val="nil"/>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2"/>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3"/>
              <w:ind w:left="343" w:right="316"/>
              <w:rPr>
                <w:sz w:val="21"/>
              </w:rPr>
            </w:pPr>
            <w:r>
              <w:rPr>
                <w:sz w:val="21"/>
              </w:rPr>
              <w:t>1.377</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3"/>
              <w:ind w:left="252" w:right="219"/>
              <w:rPr>
                <w:sz w:val="21"/>
              </w:rPr>
            </w:pPr>
            <w:r>
              <w:rPr>
                <w:sz w:val="21"/>
              </w:rPr>
              <w:t>1.033</w:t>
            </w:r>
          </w:p>
        </w:tc>
        <w:tc>
          <w:tcPr>
            <w:tcW w:w="1608" w:type="dxa"/>
            <w:tcBorders>
              <w:top w:val="single" w:sz="6" w:space="0" w:color="000000"/>
              <w:left w:val="single" w:sz="6" w:space="0" w:color="000000"/>
              <w:bottom w:val="single" w:sz="6" w:space="0" w:color="000000"/>
            </w:tcBorders>
          </w:tcPr>
          <w:p>
            <w:pPr>
              <w:pStyle w:val="TableParagraph"/>
              <w:spacing w:before="53"/>
              <w:ind w:left="341" w:right="308"/>
              <w:rPr>
                <w:sz w:val="21"/>
              </w:rPr>
            </w:pPr>
            <w:r>
              <w:rPr>
                <w:sz w:val="21"/>
              </w:rPr>
              <w:t>0.344</w:t>
            </w:r>
          </w:p>
        </w:tc>
      </w:tr>
      <w:tr>
        <w:trPr>
          <w:trHeight w:val="344" w:hRule="atLeast"/>
        </w:trPr>
        <w:tc>
          <w:tcPr>
            <w:tcW w:w="1231" w:type="dxa"/>
            <w:vMerge/>
            <w:tcBorders>
              <w:top w:val="nil"/>
              <w:right w:val="single" w:sz="6" w:space="0" w:color="000000"/>
            </w:tcBorders>
          </w:tcPr>
          <w:p>
            <w:pPr>
              <w:rPr>
                <w:sz w:val="2"/>
                <w:szCs w:val="2"/>
              </w:rPr>
            </w:pP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9"/>
              </w:rPr>
            </w:pPr>
          </w:p>
          <w:p>
            <w:pPr>
              <w:pStyle w:val="TableParagraph"/>
              <w:spacing w:before="0"/>
              <w:ind w:left="503"/>
              <w:jc w:val="left"/>
              <w:rPr>
                <w:rFonts w:ascii="宋体" w:eastAsia="宋体" w:hint="eastAsia"/>
                <w:sz w:val="21"/>
              </w:rPr>
            </w:pPr>
            <w:r>
              <w:rPr>
                <w:rFonts w:ascii="宋体" w:eastAsia="宋体" w:hint="eastAsia"/>
                <w:sz w:val="21"/>
              </w:rPr>
              <w:t>粪污处理</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9.624</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74"/>
              <w:ind w:left="247" w:right="219"/>
              <w:rPr>
                <w:sz w:val="21"/>
              </w:rPr>
            </w:pPr>
            <w:r>
              <w:rPr>
                <w:sz w:val="21"/>
              </w:rPr>
              <w:t>6.929</w:t>
            </w:r>
          </w:p>
        </w:tc>
        <w:tc>
          <w:tcPr>
            <w:tcW w:w="1608" w:type="dxa"/>
            <w:tcBorders>
              <w:top w:val="single" w:sz="6" w:space="0" w:color="000000"/>
              <w:left w:val="single" w:sz="6" w:space="0" w:color="000000"/>
              <w:bottom w:val="single" w:sz="6" w:space="0" w:color="000000"/>
            </w:tcBorders>
          </w:tcPr>
          <w:p>
            <w:pPr>
              <w:pStyle w:val="TableParagraph"/>
              <w:spacing w:before="50"/>
              <w:ind w:left="341" w:right="308"/>
              <w:rPr>
                <w:sz w:val="21"/>
              </w:rPr>
            </w:pPr>
            <w:r>
              <w:rPr>
                <w:sz w:val="21"/>
              </w:rPr>
              <w:t>2.695</w:t>
            </w:r>
          </w:p>
        </w:tc>
      </w:tr>
      <w:tr>
        <w:trPr>
          <w:trHeight w:val="344" w:hRule="atLeast"/>
        </w:trPr>
        <w:tc>
          <w:tcPr>
            <w:tcW w:w="1231" w:type="dxa"/>
            <w:vMerge/>
            <w:tcBorders>
              <w:top w:val="nil"/>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0.070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74"/>
              <w:ind w:left="247" w:right="219"/>
              <w:rPr>
                <w:sz w:val="21"/>
              </w:rPr>
            </w:pPr>
            <w:r>
              <w:rPr>
                <w:sz w:val="21"/>
              </w:rPr>
              <w:t>0.050</w:t>
            </w:r>
          </w:p>
        </w:tc>
        <w:tc>
          <w:tcPr>
            <w:tcW w:w="1608" w:type="dxa"/>
            <w:tcBorders>
              <w:top w:val="single" w:sz="6" w:space="0" w:color="000000"/>
              <w:left w:val="single" w:sz="6" w:space="0" w:color="000000"/>
              <w:bottom w:val="single" w:sz="6" w:space="0" w:color="000000"/>
            </w:tcBorders>
          </w:tcPr>
          <w:p>
            <w:pPr>
              <w:pStyle w:val="TableParagraph"/>
              <w:spacing w:before="50"/>
              <w:ind w:left="341" w:right="308"/>
              <w:rPr>
                <w:sz w:val="21"/>
              </w:rPr>
            </w:pPr>
            <w:r>
              <w:rPr>
                <w:sz w:val="21"/>
              </w:rPr>
              <w:t>0.020</w:t>
            </w:r>
          </w:p>
        </w:tc>
      </w:tr>
      <w:tr>
        <w:trPr>
          <w:trHeight w:val="341" w:hRule="atLeast"/>
        </w:trPr>
        <w:tc>
          <w:tcPr>
            <w:tcW w:w="1231" w:type="dxa"/>
            <w:vMerge/>
            <w:tcBorders>
              <w:top w:val="nil"/>
              <w:right w:val="single" w:sz="6" w:space="0" w:color="000000"/>
            </w:tcBorders>
          </w:tcPr>
          <w:p>
            <w:pPr>
              <w:rPr>
                <w:sz w:val="2"/>
                <w:szCs w:val="2"/>
              </w:rPr>
            </w:pP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7"/>
              <w:jc w:val="left"/>
              <w:rPr>
                <w:b/>
                <w:sz w:val="19"/>
              </w:rPr>
            </w:pPr>
          </w:p>
          <w:p>
            <w:pPr>
              <w:pStyle w:val="TableParagraph"/>
              <w:spacing w:before="0"/>
              <w:ind w:left="503"/>
              <w:jc w:val="left"/>
              <w:rPr>
                <w:rFonts w:ascii="宋体" w:eastAsia="宋体" w:hint="eastAsia"/>
                <w:sz w:val="21"/>
              </w:rPr>
            </w:pPr>
            <w:r>
              <w:rPr>
                <w:rFonts w:ascii="宋体" w:eastAsia="宋体" w:hint="eastAsia"/>
                <w:sz w:val="21"/>
              </w:rPr>
              <w:t>猪粪发酵</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0.950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52" w:right="219"/>
              <w:rPr>
                <w:sz w:val="21"/>
              </w:rPr>
            </w:pPr>
            <w:r>
              <w:rPr>
                <w:sz w:val="21"/>
              </w:rPr>
              <w:t>0.760</w:t>
            </w:r>
          </w:p>
        </w:tc>
        <w:tc>
          <w:tcPr>
            <w:tcW w:w="1608" w:type="dxa"/>
            <w:tcBorders>
              <w:top w:val="single" w:sz="6" w:space="0" w:color="000000"/>
              <w:left w:val="single" w:sz="6" w:space="0" w:color="000000"/>
              <w:bottom w:val="single" w:sz="6" w:space="0" w:color="000000"/>
            </w:tcBorders>
          </w:tcPr>
          <w:p>
            <w:pPr>
              <w:pStyle w:val="TableParagraph"/>
              <w:spacing w:before="50"/>
              <w:ind w:left="341" w:right="308"/>
              <w:rPr>
                <w:sz w:val="21"/>
              </w:rPr>
            </w:pPr>
            <w:r>
              <w:rPr>
                <w:sz w:val="21"/>
              </w:rPr>
              <w:t>0.190</w:t>
            </w:r>
          </w:p>
        </w:tc>
      </w:tr>
      <w:tr>
        <w:trPr>
          <w:trHeight w:val="344" w:hRule="atLeast"/>
        </w:trPr>
        <w:tc>
          <w:tcPr>
            <w:tcW w:w="1231" w:type="dxa"/>
            <w:vMerge/>
            <w:tcBorders>
              <w:top w:val="nil"/>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1"/>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3"/>
              <w:ind w:left="343" w:right="316"/>
              <w:rPr>
                <w:sz w:val="21"/>
              </w:rPr>
            </w:pPr>
            <w:r>
              <w:rPr>
                <w:sz w:val="21"/>
              </w:rPr>
              <w:t>0.170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3"/>
              <w:ind w:left="252" w:right="219"/>
              <w:rPr>
                <w:sz w:val="21"/>
              </w:rPr>
            </w:pPr>
            <w:r>
              <w:rPr>
                <w:sz w:val="21"/>
              </w:rPr>
              <w:t>0.136</w:t>
            </w:r>
          </w:p>
        </w:tc>
        <w:tc>
          <w:tcPr>
            <w:tcW w:w="1608" w:type="dxa"/>
            <w:tcBorders>
              <w:top w:val="single" w:sz="6" w:space="0" w:color="000000"/>
              <w:left w:val="single" w:sz="6" w:space="0" w:color="000000"/>
              <w:bottom w:val="single" w:sz="6" w:space="0" w:color="000000"/>
            </w:tcBorders>
          </w:tcPr>
          <w:p>
            <w:pPr>
              <w:pStyle w:val="TableParagraph"/>
              <w:spacing w:before="53"/>
              <w:ind w:left="341" w:right="308"/>
              <w:rPr>
                <w:sz w:val="21"/>
              </w:rPr>
            </w:pPr>
            <w:r>
              <w:rPr>
                <w:sz w:val="21"/>
              </w:rPr>
              <w:t>0.034</w:t>
            </w:r>
          </w:p>
        </w:tc>
      </w:tr>
      <w:tr>
        <w:trPr>
          <w:trHeight w:val="344" w:hRule="atLeast"/>
        </w:trPr>
        <w:tc>
          <w:tcPr>
            <w:tcW w:w="1231" w:type="dxa"/>
            <w:vMerge/>
            <w:tcBorders>
              <w:top w:val="nil"/>
              <w:right w:val="single" w:sz="6" w:space="0" w:color="000000"/>
            </w:tcBorders>
          </w:tcPr>
          <w:p>
            <w:pPr>
              <w:rPr>
                <w:sz w:val="2"/>
                <w:szCs w:val="2"/>
              </w:rPr>
            </w:pPr>
          </w:p>
        </w:tc>
        <w:tc>
          <w:tcPr>
            <w:tcW w:w="183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8"/>
              <w:ind w:left="171" w:right="140"/>
              <w:rPr>
                <w:rFonts w:ascii="宋体" w:eastAsia="宋体" w:hint="eastAsia"/>
                <w:sz w:val="21"/>
              </w:rPr>
            </w:pPr>
            <w:r>
              <w:rPr>
                <w:rFonts w:ascii="宋体" w:eastAsia="宋体" w:hint="eastAsia"/>
                <w:sz w:val="21"/>
              </w:rPr>
              <w:t>病死猪无害化处</w:t>
            </w:r>
          </w:p>
          <w:p>
            <w:pPr>
              <w:pStyle w:val="TableParagraph"/>
              <w:spacing w:before="89"/>
              <w:ind w:left="26"/>
              <w:rPr>
                <w:rFonts w:ascii="宋体" w:eastAsia="宋体" w:hint="eastAsia"/>
                <w:sz w:val="21"/>
              </w:rPr>
            </w:pPr>
            <w:r>
              <w:rPr>
                <w:rFonts w:ascii="宋体" w:eastAsia="宋体" w:hint="eastAsia"/>
                <w:w w:val="100"/>
                <w:sz w:val="21"/>
              </w:rPr>
              <w:t>理</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27"/>
              <w:rPr>
                <w:rFonts w:ascii="宋体" w:eastAsia="宋体" w:hint="eastAsia"/>
                <w:sz w:val="21"/>
              </w:rPr>
            </w:pPr>
            <w:r>
              <w:rPr>
                <w:rFonts w:ascii="宋体" w:eastAsia="宋体" w:hint="eastAsia"/>
                <w:w w:val="100"/>
                <w:sz w:val="21"/>
              </w:rPr>
              <w:t>氨</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2.98E-03</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74"/>
              <w:ind w:left="252" w:right="219"/>
              <w:rPr>
                <w:sz w:val="21"/>
              </w:rPr>
            </w:pPr>
            <w:r>
              <w:rPr>
                <w:sz w:val="21"/>
              </w:rPr>
              <w:t>2.38E-03</w:t>
            </w:r>
          </w:p>
        </w:tc>
        <w:tc>
          <w:tcPr>
            <w:tcW w:w="1608" w:type="dxa"/>
            <w:tcBorders>
              <w:top w:val="single" w:sz="6" w:space="0" w:color="000000"/>
              <w:left w:val="single" w:sz="6" w:space="0" w:color="000000"/>
              <w:bottom w:val="single" w:sz="6" w:space="0" w:color="000000"/>
            </w:tcBorders>
          </w:tcPr>
          <w:p>
            <w:pPr>
              <w:pStyle w:val="TableParagraph"/>
              <w:spacing w:before="50"/>
              <w:ind w:left="342" w:right="308"/>
              <w:rPr>
                <w:sz w:val="21"/>
              </w:rPr>
            </w:pPr>
            <w:r>
              <w:rPr>
                <w:sz w:val="21"/>
              </w:rPr>
              <w:t>5.97E-04</w:t>
            </w:r>
          </w:p>
        </w:tc>
      </w:tr>
      <w:tr>
        <w:trPr>
          <w:trHeight w:val="344" w:hRule="atLeast"/>
        </w:trPr>
        <w:tc>
          <w:tcPr>
            <w:tcW w:w="1231" w:type="dxa"/>
            <w:vMerge/>
            <w:tcBorders>
              <w:top w:val="nil"/>
              <w:right w:val="single" w:sz="6" w:space="0" w:color="000000"/>
            </w:tcBorders>
          </w:tcPr>
          <w:p>
            <w:pPr>
              <w:rPr>
                <w:sz w:val="2"/>
                <w:szCs w:val="2"/>
              </w:rPr>
            </w:pPr>
          </w:p>
        </w:tc>
        <w:tc>
          <w:tcPr>
            <w:tcW w:w="1836" w:type="dxa"/>
            <w:vMerge/>
            <w:tcBorders>
              <w:top w:val="nil"/>
              <w:left w:val="single" w:sz="6" w:space="0" w:color="000000"/>
              <w:bottom w:val="single" w:sz="6" w:space="0" w:color="000000"/>
              <w:right w:val="single" w:sz="6" w:space="0" w:color="000000"/>
            </w:tcBorders>
          </w:tcPr>
          <w:p>
            <w:pPr>
              <w:rPr>
                <w:sz w:val="2"/>
                <w:szCs w:val="2"/>
              </w:rPr>
            </w:pP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6" w:right="89"/>
              <w:rPr>
                <w:rFonts w:ascii="宋体" w:eastAsia="宋体" w:hint="eastAsia"/>
                <w:sz w:val="21"/>
              </w:rPr>
            </w:pPr>
            <w:r>
              <w:rPr>
                <w:rFonts w:ascii="宋体" w:eastAsia="宋体" w:hint="eastAsia"/>
                <w:sz w:val="21"/>
              </w:rPr>
              <w:t>硫化氢</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3.58E-05</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74"/>
              <w:ind w:left="252" w:right="219"/>
              <w:rPr>
                <w:sz w:val="21"/>
              </w:rPr>
            </w:pPr>
            <w:r>
              <w:rPr>
                <w:sz w:val="21"/>
              </w:rPr>
              <w:t>2.86E-05</w:t>
            </w:r>
          </w:p>
        </w:tc>
        <w:tc>
          <w:tcPr>
            <w:tcW w:w="1608" w:type="dxa"/>
            <w:tcBorders>
              <w:top w:val="single" w:sz="6" w:space="0" w:color="000000"/>
              <w:left w:val="single" w:sz="6" w:space="0" w:color="000000"/>
              <w:bottom w:val="single" w:sz="6" w:space="0" w:color="000000"/>
            </w:tcBorders>
          </w:tcPr>
          <w:p>
            <w:pPr>
              <w:pStyle w:val="TableParagraph"/>
              <w:spacing w:before="50"/>
              <w:ind w:left="342" w:right="308"/>
              <w:rPr>
                <w:sz w:val="21"/>
              </w:rPr>
            </w:pPr>
            <w:r>
              <w:rPr>
                <w:sz w:val="21"/>
              </w:rPr>
              <w:t>7.16E-06</w:t>
            </w:r>
          </w:p>
        </w:tc>
      </w:tr>
      <w:tr>
        <w:trPr>
          <w:trHeight w:val="341" w:hRule="atLeast"/>
        </w:trPr>
        <w:tc>
          <w:tcPr>
            <w:tcW w:w="1231" w:type="dxa"/>
            <w:vMerge/>
            <w:tcBorders>
              <w:top w:val="nil"/>
              <w:right w:val="single" w:sz="6" w:space="0" w:color="000000"/>
            </w:tcBorders>
          </w:tcPr>
          <w:p>
            <w:pPr>
              <w:rPr>
                <w:sz w:val="2"/>
                <w:szCs w:val="2"/>
              </w:rPr>
            </w:pPr>
          </w:p>
        </w:tc>
        <w:tc>
          <w:tcPr>
            <w:tcW w:w="1836" w:type="dxa"/>
            <w:vMerge w:val="restart"/>
            <w:tcBorders>
              <w:top w:val="single" w:sz="6" w:space="0" w:color="000000"/>
              <w:left w:val="single" w:sz="6" w:space="0" w:color="000000"/>
              <w:right w:val="single" w:sz="6" w:space="0" w:color="000000"/>
            </w:tcBorders>
          </w:tcPr>
          <w:p>
            <w:pPr>
              <w:pStyle w:val="TableParagraph"/>
              <w:spacing w:before="7"/>
              <w:jc w:val="left"/>
              <w:rPr>
                <w:b/>
                <w:sz w:val="19"/>
              </w:rPr>
            </w:pPr>
          </w:p>
          <w:p>
            <w:pPr>
              <w:pStyle w:val="TableParagraph"/>
              <w:spacing w:before="0"/>
              <w:ind w:left="503"/>
              <w:jc w:val="left"/>
              <w:rPr>
                <w:rFonts w:ascii="宋体" w:eastAsia="宋体" w:hint="eastAsia"/>
                <w:sz w:val="21"/>
              </w:rPr>
            </w:pPr>
            <w:r>
              <w:rPr>
                <w:rFonts w:ascii="宋体" w:eastAsia="宋体" w:hint="eastAsia"/>
                <w:sz w:val="21"/>
              </w:rPr>
              <w:t>沼气锅炉</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9" w:right="89"/>
              <w:rPr>
                <w:rFonts w:ascii="宋体" w:eastAsia="宋体" w:hint="eastAsia"/>
                <w:sz w:val="21"/>
              </w:rPr>
            </w:pPr>
            <w:r>
              <w:rPr>
                <w:rFonts w:ascii="宋体" w:eastAsia="宋体" w:hint="eastAsia"/>
                <w:sz w:val="21"/>
              </w:rPr>
              <w:t>二氧化硫</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6" w:right="316"/>
              <w:rPr>
                <w:sz w:val="21"/>
              </w:rPr>
            </w:pPr>
            <w:r>
              <w:rPr>
                <w:sz w:val="21"/>
              </w:rPr>
              <w:t>0.011</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8"/>
              <w:rPr>
                <w:sz w:val="21"/>
              </w:rPr>
            </w:pPr>
            <w:r>
              <w:rPr>
                <w:w w:val="100"/>
                <w:sz w:val="21"/>
              </w:rPr>
              <w:t>0</w:t>
            </w:r>
          </w:p>
        </w:tc>
        <w:tc>
          <w:tcPr>
            <w:tcW w:w="1608" w:type="dxa"/>
            <w:tcBorders>
              <w:top w:val="single" w:sz="6" w:space="0" w:color="000000"/>
              <w:left w:val="single" w:sz="6" w:space="0" w:color="000000"/>
              <w:bottom w:val="single" w:sz="6" w:space="0" w:color="000000"/>
            </w:tcBorders>
          </w:tcPr>
          <w:p>
            <w:pPr>
              <w:pStyle w:val="TableParagraph"/>
              <w:spacing w:before="50"/>
              <w:ind w:left="344" w:right="308"/>
              <w:rPr>
                <w:sz w:val="21"/>
              </w:rPr>
            </w:pPr>
            <w:r>
              <w:rPr>
                <w:sz w:val="21"/>
              </w:rPr>
              <w:t>0.011</w:t>
            </w:r>
          </w:p>
        </w:tc>
      </w:tr>
      <w:tr>
        <w:trPr>
          <w:trHeight w:val="354" w:hRule="atLeast"/>
        </w:trPr>
        <w:tc>
          <w:tcPr>
            <w:tcW w:w="1231" w:type="dxa"/>
            <w:vMerge/>
            <w:tcBorders>
              <w:top w:val="nil"/>
              <w:right w:val="single" w:sz="6" w:space="0" w:color="000000"/>
            </w:tcBorders>
          </w:tcPr>
          <w:p>
            <w:pPr>
              <w:rPr>
                <w:sz w:val="2"/>
                <w:szCs w:val="2"/>
              </w:rPr>
            </w:pPr>
          </w:p>
        </w:tc>
        <w:tc>
          <w:tcPr>
            <w:tcW w:w="1836" w:type="dxa"/>
            <w:vMerge/>
            <w:tcBorders>
              <w:top w:val="nil"/>
              <w:left w:val="single" w:sz="6" w:space="0" w:color="000000"/>
              <w:right w:val="single" w:sz="6" w:space="0" w:color="000000"/>
            </w:tcBorders>
          </w:tcPr>
          <w:p>
            <w:pPr>
              <w:rPr>
                <w:sz w:val="2"/>
                <w:szCs w:val="2"/>
              </w:rPr>
            </w:pPr>
          </w:p>
        </w:tc>
        <w:tc>
          <w:tcPr>
            <w:tcW w:w="1841" w:type="dxa"/>
            <w:tcBorders>
              <w:top w:val="single" w:sz="6" w:space="0" w:color="000000"/>
              <w:left w:val="single" w:sz="6" w:space="0" w:color="000000"/>
              <w:right w:val="single" w:sz="6" w:space="0" w:color="000000"/>
            </w:tcBorders>
          </w:tcPr>
          <w:p>
            <w:pPr>
              <w:pStyle w:val="TableParagraph"/>
              <w:spacing w:before="41"/>
              <w:ind w:left="119" w:right="89"/>
              <w:rPr>
                <w:rFonts w:ascii="宋体" w:eastAsia="宋体" w:hint="eastAsia"/>
                <w:sz w:val="21"/>
              </w:rPr>
            </w:pPr>
            <w:r>
              <w:rPr>
                <w:rFonts w:ascii="宋体" w:eastAsia="宋体" w:hint="eastAsia"/>
                <w:sz w:val="21"/>
              </w:rPr>
              <w:t>氮氧化物</w:t>
            </w:r>
          </w:p>
        </w:tc>
        <w:tc>
          <w:tcPr>
            <w:tcW w:w="1611" w:type="dxa"/>
            <w:tcBorders>
              <w:top w:val="single" w:sz="6" w:space="0" w:color="000000"/>
              <w:left w:val="single" w:sz="6" w:space="0" w:color="000000"/>
              <w:right w:val="single" w:sz="6" w:space="0" w:color="000000"/>
            </w:tcBorders>
          </w:tcPr>
          <w:p>
            <w:pPr>
              <w:pStyle w:val="TableParagraph"/>
              <w:spacing w:before="53"/>
              <w:ind w:left="343" w:right="316"/>
              <w:rPr>
                <w:sz w:val="21"/>
              </w:rPr>
            </w:pPr>
            <w:r>
              <w:rPr>
                <w:sz w:val="21"/>
              </w:rPr>
              <w:t>0.478</w:t>
            </w:r>
          </w:p>
        </w:tc>
        <w:tc>
          <w:tcPr>
            <w:tcW w:w="1303" w:type="dxa"/>
            <w:tcBorders>
              <w:top w:val="single" w:sz="6" w:space="0" w:color="000000"/>
              <w:left w:val="single" w:sz="6" w:space="0" w:color="000000"/>
              <w:right w:val="single" w:sz="6" w:space="0" w:color="000000"/>
            </w:tcBorders>
          </w:tcPr>
          <w:p>
            <w:pPr>
              <w:pStyle w:val="TableParagraph"/>
              <w:spacing w:before="53"/>
              <w:ind w:left="28"/>
              <w:rPr>
                <w:sz w:val="21"/>
              </w:rPr>
            </w:pPr>
            <w:r>
              <w:rPr>
                <w:w w:val="100"/>
                <w:sz w:val="21"/>
              </w:rPr>
              <w:t>0</w:t>
            </w:r>
          </w:p>
        </w:tc>
        <w:tc>
          <w:tcPr>
            <w:tcW w:w="1608" w:type="dxa"/>
            <w:tcBorders>
              <w:top w:val="single" w:sz="6" w:space="0" w:color="000000"/>
              <w:left w:val="single" w:sz="6" w:space="0" w:color="000000"/>
            </w:tcBorders>
          </w:tcPr>
          <w:p>
            <w:pPr>
              <w:pStyle w:val="TableParagraph"/>
              <w:spacing w:before="53"/>
              <w:ind w:left="341" w:right="308"/>
              <w:rPr>
                <w:sz w:val="21"/>
              </w:rPr>
            </w:pPr>
            <w:r>
              <w:rPr>
                <w:sz w:val="21"/>
              </w:rPr>
              <w:t>0.478</w:t>
            </w:r>
          </w:p>
        </w:tc>
      </w:tr>
    </w:tbl>
    <w:p>
      <w:pPr>
        <w:spacing w:after="0"/>
        <w:rPr>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231"/>
        <w:gridCol w:w="1836"/>
        <w:gridCol w:w="1841"/>
        <w:gridCol w:w="1611"/>
        <w:gridCol w:w="1303"/>
        <w:gridCol w:w="1608"/>
      </w:tblGrid>
      <w:tr>
        <w:trPr>
          <w:trHeight w:val="359" w:hRule="atLeast"/>
        </w:trPr>
        <w:tc>
          <w:tcPr>
            <w:tcW w:w="1231" w:type="dxa"/>
            <w:tcBorders>
              <w:bottom w:val="single" w:sz="6" w:space="0" w:color="000000"/>
              <w:right w:val="single" w:sz="6" w:space="0" w:color="000000"/>
            </w:tcBorders>
          </w:tcPr>
          <w:p>
            <w:pPr>
              <w:pStyle w:val="TableParagraph"/>
              <w:spacing w:before="49"/>
              <w:ind w:left="296"/>
              <w:jc w:val="left"/>
              <w:rPr>
                <w:rFonts w:ascii="宋体" w:eastAsia="宋体" w:hint="eastAsia"/>
                <w:b/>
                <w:sz w:val="21"/>
              </w:rPr>
            </w:pPr>
            <w:r>
              <w:rPr>
                <w:rFonts w:ascii="宋体" w:eastAsia="宋体" w:hint="eastAsia"/>
                <w:b/>
                <w:sz w:val="21"/>
              </w:rPr>
              <w:t>污染物</w:t>
            </w:r>
          </w:p>
        </w:tc>
        <w:tc>
          <w:tcPr>
            <w:tcW w:w="1836" w:type="dxa"/>
            <w:tcBorders>
              <w:left w:val="single" w:sz="6" w:space="0" w:color="000000"/>
              <w:bottom w:val="single" w:sz="6" w:space="0" w:color="000000"/>
              <w:right w:val="single" w:sz="6" w:space="0" w:color="000000"/>
            </w:tcBorders>
          </w:tcPr>
          <w:p>
            <w:pPr>
              <w:pStyle w:val="TableParagraph"/>
              <w:spacing w:before="49"/>
              <w:ind w:left="171" w:right="140"/>
              <w:rPr>
                <w:rFonts w:ascii="宋体" w:eastAsia="宋体" w:hint="eastAsia"/>
                <w:b/>
                <w:sz w:val="21"/>
              </w:rPr>
            </w:pPr>
            <w:r>
              <w:rPr>
                <w:rFonts w:ascii="宋体" w:eastAsia="宋体" w:hint="eastAsia"/>
                <w:b/>
                <w:sz w:val="21"/>
              </w:rPr>
              <w:t>产生工序</w:t>
            </w:r>
          </w:p>
        </w:tc>
        <w:tc>
          <w:tcPr>
            <w:tcW w:w="1841" w:type="dxa"/>
            <w:tcBorders>
              <w:left w:val="single" w:sz="6" w:space="0" w:color="000000"/>
              <w:bottom w:val="single" w:sz="6" w:space="0" w:color="000000"/>
              <w:right w:val="single" w:sz="6" w:space="0" w:color="000000"/>
            </w:tcBorders>
          </w:tcPr>
          <w:p>
            <w:pPr>
              <w:pStyle w:val="TableParagraph"/>
              <w:spacing w:before="49"/>
              <w:ind w:left="116" w:right="89"/>
              <w:rPr>
                <w:rFonts w:ascii="宋体" w:eastAsia="宋体" w:hint="eastAsia"/>
                <w:b/>
                <w:sz w:val="21"/>
              </w:rPr>
            </w:pPr>
            <w:r>
              <w:rPr>
                <w:rFonts w:ascii="宋体" w:eastAsia="宋体" w:hint="eastAsia"/>
                <w:b/>
                <w:sz w:val="21"/>
              </w:rPr>
              <w:t>污染物名称</w:t>
            </w:r>
          </w:p>
        </w:tc>
        <w:tc>
          <w:tcPr>
            <w:tcW w:w="1611" w:type="dxa"/>
            <w:tcBorders>
              <w:left w:val="single" w:sz="6" w:space="0" w:color="000000"/>
              <w:bottom w:val="single" w:sz="6" w:space="0" w:color="000000"/>
              <w:right w:val="single" w:sz="6" w:space="0" w:color="000000"/>
            </w:tcBorders>
          </w:tcPr>
          <w:p>
            <w:pPr>
              <w:pStyle w:val="TableParagraph"/>
              <w:spacing w:before="49"/>
              <w:ind w:left="343" w:right="316"/>
              <w:rPr>
                <w:rFonts w:ascii="宋体" w:eastAsia="宋体" w:hint="eastAsia"/>
                <w:b/>
                <w:sz w:val="21"/>
              </w:rPr>
            </w:pPr>
            <w:r>
              <w:rPr>
                <w:rFonts w:ascii="宋体" w:eastAsia="宋体" w:hint="eastAsia"/>
                <w:b/>
                <w:sz w:val="21"/>
              </w:rPr>
              <w:t>产生量</w:t>
            </w:r>
          </w:p>
        </w:tc>
        <w:tc>
          <w:tcPr>
            <w:tcW w:w="1303" w:type="dxa"/>
            <w:tcBorders>
              <w:left w:val="single" w:sz="6" w:space="0" w:color="000000"/>
              <w:bottom w:val="single" w:sz="6" w:space="0" w:color="000000"/>
              <w:right w:val="single" w:sz="6" w:space="0" w:color="000000"/>
            </w:tcBorders>
          </w:tcPr>
          <w:p>
            <w:pPr>
              <w:pStyle w:val="TableParagraph"/>
              <w:spacing w:before="49"/>
              <w:ind w:left="247" w:right="219"/>
              <w:rPr>
                <w:rFonts w:ascii="宋体" w:eastAsia="宋体" w:hint="eastAsia"/>
                <w:b/>
                <w:sz w:val="21"/>
              </w:rPr>
            </w:pPr>
            <w:r>
              <w:rPr>
                <w:rFonts w:ascii="宋体" w:eastAsia="宋体" w:hint="eastAsia"/>
                <w:b/>
                <w:sz w:val="21"/>
              </w:rPr>
              <w:t>削减量</w:t>
            </w:r>
          </w:p>
        </w:tc>
        <w:tc>
          <w:tcPr>
            <w:tcW w:w="1608" w:type="dxa"/>
            <w:tcBorders>
              <w:left w:val="single" w:sz="6" w:space="0" w:color="000000"/>
              <w:bottom w:val="single" w:sz="6" w:space="0" w:color="000000"/>
            </w:tcBorders>
          </w:tcPr>
          <w:p>
            <w:pPr>
              <w:pStyle w:val="TableParagraph"/>
              <w:spacing w:before="49"/>
              <w:ind w:left="341" w:right="308"/>
              <w:rPr>
                <w:rFonts w:ascii="宋体" w:eastAsia="宋体" w:hint="eastAsia"/>
                <w:b/>
                <w:sz w:val="21"/>
              </w:rPr>
            </w:pPr>
            <w:r>
              <w:rPr>
                <w:rFonts w:ascii="宋体" w:eastAsia="宋体" w:hint="eastAsia"/>
                <w:b/>
                <w:sz w:val="21"/>
              </w:rPr>
              <w:t>排放量</w:t>
            </w:r>
          </w:p>
        </w:tc>
      </w:tr>
      <w:tr>
        <w:trPr>
          <w:trHeight w:val="359" w:hRule="atLeast"/>
        </w:trPr>
        <w:tc>
          <w:tcPr>
            <w:tcW w:w="1231" w:type="dxa"/>
            <w:tcBorders>
              <w:top w:val="single" w:sz="6" w:space="0" w:color="000000"/>
              <w:bottom w:val="single" w:sz="6" w:space="0" w:color="000000"/>
              <w:right w:val="single" w:sz="6" w:space="0" w:color="000000"/>
            </w:tcBorders>
          </w:tcPr>
          <w:p>
            <w:pPr>
              <w:pStyle w:val="TableParagraph"/>
              <w:spacing w:before="0"/>
              <w:jc w:val="left"/>
              <w:rPr>
                <w:sz w:val="2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46"/>
              <w:ind w:left="171" w:right="140"/>
              <w:rPr>
                <w:rFonts w:ascii="宋体" w:eastAsia="宋体" w:hint="eastAsia"/>
                <w:sz w:val="21"/>
              </w:rPr>
            </w:pPr>
            <w:r>
              <w:rPr>
                <w:rFonts w:ascii="宋体" w:eastAsia="宋体" w:hint="eastAsia"/>
                <w:sz w:val="21"/>
              </w:rPr>
              <w:t>食堂</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6" w:right="89"/>
              <w:rPr>
                <w:rFonts w:ascii="宋体" w:eastAsia="宋体" w:hint="eastAsia"/>
                <w:sz w:val="21"/>
              </w:rPr>
            </w:pPr>
            <w:r>
              <w:rPr>
                <w:rFonts w:ascii="宋体" w:eastAsia="宋体" w:hint="eastAsia"/>
                <w:sz w:val="21"/>
              </w:rPr>
              <w:t>油烟</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3" w:right="316"/>
              <w:rPr>
                <w:sz w:val="21"/>
              </w:rPr>
            </w:pPr>
            <w:r>
              <w:rPr>
                <w:sz w:val="21"/>
              </w:rPr>
              <w:t>0.069</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52" w:right="219"/>
              <w:rPr>
                <w:sz w:val="21"/>
              </w:rPr>
            </w:pPr>
            <w:r>
              <w:rPr>
                <w:sz w:val="21"/>
              </w:rPr>
              <w:t>0.052</w:t>
            </w:r>
          </w:p>
        </w:tc>
        <w:tc>
          <w:tcPr>
            <w:tcW w:w="1608" w:type="dxa"/>
            <w:tcBorders>
              <w:top w:val="single" w:sz="6" w:space="0" w:color="000000"/>
              <w:left w:val="single" w:sz="6" w:space="0" w:color="000000"/>
              <w:bottom w:val="single" w:sz="6" w:space="0" w:color="000000"/>
            </w:tcBorders>
          </w:tcPr>
          <w:p>
            <w:pPr>
              <w:pStyle w:val="TableParagraph"/>
              <w:ind w:left="341" w:right="308"/>
              <w:rPr>
                <w:sz w:val="21"/>
              </w:rPr>
            </w:pPr>
            <w:r>
              <w:rPr>
                <w:sz w:val="21"/>
              </w:rPr>
              <w:t>0.017</w:t>
            </w:r>
          </w:p>
        </w:tc>
      </w:tr>
      <w:tr>
        <w:trPr>
          <w:trHeight w:val="349" w:hRule="atLeast"/>
        </w:trPr>
        <w:tc>
          <w:tcPr>
            <w:tcW w:w="1231" w:type="dxa"/>
            <w:vMerge w:val="restart"/>
            <w:tcBorders>
              <w:top w:val="single" w:sz="6" w:space="0" w:color="000000"/>
              <w:right w:val="single" w:sz="6" w:space="0" w:color="000000"/>
            </w:tcBorders>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5"/>
              <w:jc w:val="left"/>
              <w:rPr>
                <w:b/>
                <w:sz w:val="21"/>
              </w:rPr>
            </w:pPr>
          </w:p>
          <w:p>
            <w:pPr>
              <w:pStyle w:val="TableParagraph"/>
              <w:spacing w:before="1"/>
              <w:ind w:left="405"/>
              <w:jc w:val="left"/>
              <w:rPr>
                <w:rFonts w:ascii="宋体" w:eastAsia="宋体" w:hint="eastAsia"/>
                <w:sz w:val="21"/>
              </w:rPr>
            </w:pPr>
            <w:r>
              <w:rPr>
                <w:rFonts w:ascii="宋体" w:eastAsia="宋体" w:hint="eastAsia"/>
                <w:sz w:val="21"/>
              </w:rPr>
              <w:t>固废</w:t>
            </w: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46"/>
              <w:ind w:left="169" w:right="140"/>
              <w:rPr>
                <w:rFonts w:ascii="宋体" w:eastAsia="宋体" w:hint="eastAsia"/>
                <w:sz w:val="21"/>
              </w:rPr>
            </w:pPr>
            <w:r>
              <w:rPr>
                <w:rFonts w:ascii="宋体" w:eastAsia="宋体" w:hint="eastAsia"/>
                <w:sz w:val="21"/>
              </w:rPr>
              <w:t>猪粪发酵罐</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6"/>
              <w:ind w:left="119" w:right="89"/>
              <w:rPr>
                <w:rFonts w:ascii="宋体" w:eastAsia="宋体" w:hint="eastAsia"/>
                <w:sz w:val="21"/>
              </w:rPr>
            </w:pPr>
            <w:r>
              <w:rPr>
                <w:rFonts w:ascii="宋体" w:eastAsia="宋体" w:hint="eastAsia"/>
                <w:sz w:val="21"/>
              </w:rPr>
              <w:t>发酵产物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ind w:left="346" w:right="316"/>
              <w:rPr>
                <w:sz w:val="21"/>
              </w:rPr>
            </w:pPr>
            <w:r>
              <w:rPr>
                <w:sz w:val="21"/>
              </w:rPr>
              <w:t>22695.0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ind w:left="249" w:right="219"/>
              <w:rPr>
                <w:sz w:val="21"/>
              </w:rPr>
            </w:pPr>
            <w:r>
              <w:rPr>
                <w:sz w:val="21"/>
              </w:rPr>
              <w:t>22695.0</w:t>
            </w:r>
          </w:p>
        </w:tc>
        <w:tc>
          <w:tcPr>
            <w:tcW w:w="1608" w:type="dxa"/>
            <w:tcBorders>
              <w:top w:val="single" w:sz="6" w:space="0" w:color="000000"/>
              <w:left w:val="single" w:sz="6" w:space="0" w:color="000000"/>
              <w:bottom w:val="single" w:sz="6" w:space="0" w:color="000000"/>
            </w:tcBorders>
          </w:tcPr>
          <w:p>
            <w:pPr>
              <w:pStyle w:val="TableParagraph"/>
              <w:ind w:left="33"/>
              <w:rPr>
                <w:sz w:val="21"/>
              </w:rPr>
            </w:pPr>
            <w:r>
              <w:rPr>
                <w:w w:val="100"/>
                <w:sz w:val="21"/>
              </w:rPr>
              <w:t>0</w:t>
            </w:r>
          </w:p>
        </w:tc>
      </w:tr>
      <w:tr>
        <w:trPr>
          <w:trHeight w:val="344"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41"/>
              <w:ind w:left="169" w:right="140"/>
              <w:rPr>
                <w:rFonts w:ascii="宋体" w:eastAsia="宋体" w:hint="eastAsia"/>
                <w:sz w:val="21"/>
              </w:rPr>
            </w:pPr>
            <w:r>
              <w:rPr>
                <w:rFonts w:ascii="宋体" w:eastAsia="宋体" w:hint="eastAsia"/>
                <w:sz w:val="21"/>
              </w:rPr>
              <w:t>非危化品包装</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1"/>
              <w:ind w:left="117" w:right="89"/>
              <w:rPr>
                <w:rFonts w:ascii="宋体" w:eastAsia="宋体" w:hint="eastAsia"/>
                <w:sz w:val="21"/>
              </w:rPr>
            </w:pPr>
            <w:r>
              <w:rPr>
                <w:rFonts w:ascii="宋体" w:eastAsia="宋体" w:hint="eastAsia"/>
                <w:sz w:val="21"/>
              </w:rPr>
              <w:t>一般废包装物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3"/>
              <w:ind w:left="343" w:right="316"/>
              <w:rPr>
                <w:sz w:val="21"/>
              </w:rPr>
            </w:pPr>
            <w:r>
              <w:rPr>
                <w:sz w:val="21"/>
              </w:rPr>
              <w:t>40.0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3"/>
              <w:ind w:left="252" w:right="219"/>
              <w:rPr>
                <w:sz w:val="21"/>
              </w:rPr>
            </w:pPr>
            <w:r>
              <w:rPr>
                <w:sz w:val="21"/>
              </w:rPr>
              <w:t>40.0</w:t>
            </w:r>
          </w:p>
        </w:tc>
        <w:tc>
          <w:tcPr>
            <w:tcW w:w="1608" w:type="dxa"/>
            <w:tcBorders>
              <w:top w:val="single" w:sz="6" w:space="0" w:color="000000"/>
              <w:left w:val="single" w:sz="6" w:space="0" w:color="000000"/>
              <w:bottom w:val="single" w:sz="6" w:space="0" w:color="000000"/>
            </w:tcBorders>
          </w:tcPr>
          <w:p>
            <w:pPr>
              <w:pStyle w:val="TableParagraph"/>
              <w:spacing w:before="53"/>
              <w:ind w:left="33"/>
              <w:rPr>
                <w:sz w:val="21"/>
              </w:rPr>
            </w:pPr>
            <w:r>
              <w:rPr>
                <w:w w:val="100"/>
                <w:sz w:val="21"/>
              </w:rPr>
              <w:t>0</w:t>
            </w:r>
          </w:p>
        </w:tc>
      </w:tr>
      <w:tr>
        <w:trPr>
          <w:trHeight w:val="344"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39"/>
              <w:ind w:left="169" w:right="140"/>
              <w:rPr>
                <w:rFonts w:ascii="宋体" w:eastAsia="宋体" w:hint="eastAsia"/>
                <w:sz w:val="21"/>
              </w:rPr>
            </w:pPr>
            <w:r>
              <w:rPr>
                <w:rFonts w:ascii="宋体" w:eastAsia="宋体" w:hint="eastAsia"/>
                <w:sz w:val="21"/>
              </w:rPr>
              <w:t>危化品包装</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6" w:right="89"/>
              <w:rPr>
                <w:rFonts w:ascii="宋体" w:eastAsia="宋体" w:hint="eastAsia"/>
                <w:sz w:val="21"/>
              </w:rPr>
            </w:pPr>
            <w:r>
              <w:rPr>
                <w:rFonts w:ascii="宋体" w:eastAsia="宋体" w:hint="eastAsia"/>
                <w:sz w:val="21"/>
              </w:rPr>
              <w:t>危化品废包装物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0.6</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52" w:right="219"/>
              <w:rPr>
                <w:sz w:val="21"/>
              </w:rPr>
            </w:pPr>
            <w:r>
              <w:rPr>
                <w:sz w:val="21"/>
              </w:rPr>
              <w:t>0.6</w:t>
            </w:r>
          </w:p>
        </w:tc>
        <w:tc>
          <w:tcPr>
            <w:tcW w:w="1608" w:type="dxa"/>
            <w:tcBorders>
              <w:top w:val="single" w:sz="6" w:space="0" w:color="000000"/>
              <w:left w:val="single" w:sz="6" w:space="0" w:color="000000"/>
              <w:bottom w:val="single" w:sz="6" w:space="0" w:color="000000"/>
            </w:tcBorders>
          </w:tcPr>
          <w:p>
            <w:pPr>
              <w:pStyle w:val="TableParagraph"/>
              <w:spacing w:before="50"/>
              <w:ind w:left="33"/>
              <w:rPr>
                <w:sz w:val="21"/>
              </w:rPr>
            </w:pPr>
            <w:r>
              <w:rPr>
                <w:w w:val="100"/>
                <w:sz w:val="21"/>
              </w:rPr>
              <w:t>0</w:t>
            </w:r>
          </w:p>
        </w:tc>
      </w:tr>
      <w:tr>
        <w:trPr>
          <w:trHeight w:val="344"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39"/>
              <w:ind w:left="171" w:right="140"/>
              <w:rPr>
                <w:rFonts w:ascii="宋体" w:eastAsia="宋体" w:hint="eastAsia"/>
                <w:sz w:val="21"/>
              </w:rPr>
            </w:pPr>
            <w:r>
              <w:rPr>
                <w:rFonts w:ascii="宋体" w:eastAsia="宋体" w:hint="eastAsia"/>
                <w:sz w:val="21"/>
              </w:rPr>
              <w:t>无害化处理机</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9" w:right="89"/>
              <w:rPr>
                <w:rFonts w:ascii="宋体" w:eastAsia="宋体" w:hint="eastAsia"/>
                <w:sz w:val="21"/>
              </w:rPr>
            </w:pPr>
            <w:r>
              <w:rPr>
                <w:rFonts w:ascii="宋体" w:eastAsia="宋体" w:hint="eastAsia"/>
                <w:sz w:val="21"/>
              </w:rPr>
              <w:t>废矿物油</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0.1</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52" w:right="219"/>
              <w:rPr>
                <w:sz w:val="21"/>
              </w:rPr>
            </w:pPr>
            <w:r>
              <w:rPr>
                <w:sz w:val="21"/>
              </w:rPr>
              <w:t>0.1</w:t>
            </w:r>
          </w:p>
        </w:tc>
        <w:tc>
          <w:tcPr>
            <w:tcW w:w="1608" w:type="dxa"/>
            <w:tcBorders>
              <w:top w:val="single" w:sz="6" w:space="0" w:color="000000"/>
              <w:left w:val="single" w:sz="6" w:space="0" w:color="000000"/>
              <w:bottom w:val="single" w:sz="6" w:space="0" w:color="000000"/>
            </w:tcBorders>
          </w:tcPr>
          <w:p>
            <w:pPr>
              <w:pStyle w:val="TableParagraph"/>
              <w:spacing w:before="50"/>
              <w:ind w:left="33"/>
              <w:rPr>
                <w:sz w:val="21"/>
              </w:rPr>
            </w:pPr>
            <w:r>
              <w:rPr>
                <w:w w:val="100"/>
                <w:sz w:val="21"/>
              </w:rPr>
              <w:t>0</w:t>
            </w:r>
          </w:p>
        </w:tc>
      </w:tr>
      <w:tr>
        <w:trPr>
          <w:trHeight w:val="342"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39"/>
              <w:ind w:left="169" w:right="140"/>
              <w:rPr>
                <w:rFonts w:ascii="宋体" w:eastAsia="宋体" w:hint="eastAsia"/>
                <w:sz w:val="21"/>
              </w:rPr>
            </w:pPr>
            <w:r>
              <w:rPr>
                <w:rFonts w:ascii="宋体" w:eastAsia="宋体" w:hint="eastAsia"/>
                <w:sz w:val="21"/>
              </w:rPr>
              <w:t>猪卫生防疫</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39"/>
              <w:ind w:left="119" w:right="89"/>
              <w:rPr>
                <w:rFonts w:ascii="宋体" w:eastAsia="宋体" w:hint="eastAsia"/>
                <w:sz w:val="21"/>
              </w:rPr>
            </w:pPr>
            <w:r>
              <w:rPr>
                <w:rFonts w:ascii="宋体" w:eastAsia="宋体" w:hint="eastAsia"/>
                <w:sz w:val="21"/>
              </w:rPr>
              <w:t>医疗废物</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0"/>
              <w:ind w:left="343" w:right="316"/>
              <w:rPr>
                <w:sz w:val="21"/>
              </w:rPr>
            </w:pPr>
            <w:r>
              <w:rPr>
                <w:sz w:val="21"/>
              </w:rPr>
              <w:t>4.3</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0"/>
              <w:ind w:left="252" w:right="219"/>
              <w:rPr>
                <w:sz w:val="21"/>
              </w:rPr>
            </w:pPr>
            <w:r>
              <w:rPr>
                <w:sz w:val="21"/>
              </w:rPr>
              <w:t>4.3</w:t>
            </w:r>
          </w:p>
        </w:tc>
        <w:tc>
          <w:tcPr>
            <w:tcW w:w="1608" w:type="dxa"/>
            <w:tcBorders>
              <w:top w:val="single" w:sz="6" w:space="0" w:color="000000"/>
              <w:left w:val="single" w:sz="6" w:space="0" w:color="000000"/>
              <w:bottom w:val="single" w:sz="6" w:space="0" w:color="000000"/>
            </w:tcBorders>
          </w:tcPr>
          <w:p>
            <w:pPr>
              <w:pStyle w:val="TableParagraph"/>
              <w:spacing w:before="50"/>
              <w:ind w:left="33"/>
              <w:rPr>
                <w:sz w:val="21"/>
              </w:rPr>
            </w:pPr>
            <w:r>
              <w:rPr>
                <w:w w:val="100"/>
                <w:sz w:val="21"/>
              </w:rPr>
              <w:t>0</w:t>
            </w:r>
          </w:p>
        </w:tc>
      </w:tr>
      <w:tr>
        <w:trPr>
          <w:trHeight w:val="344"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bottom w:val="single" w:sz="6" w:space="0" w:color="000000"/>
              <w:right w:val="single" w:sz="6" w:space="0" w:color="000000"/>
            </w:tcBorders>
          </w:tcPr>
          <w:p>
            <w:pPr>
              <w:pStyle w:val="TableParagraph"/>
              <w:spacing w:before="41"/>
              <w:ind w:left="169" w:right="140"/>
              <w:rPr>
                <w:rFonts w:ascii="宋体" w:eastAsia="宋体" w:hint="eastAsia"/>
                <w:sz w:val="21"/>
              </w:rPr>
            </w:pPr>
            <w:r>
              <w:rPr>
                <w:rFonts w:ascii="宋体" w:eastAsia="宋体" w:hint="eastAsia"/>
                <w:sz w:val="21"/>
              </w:rPr>
              <w:t>沼气脱硫</w:t>
            </w:r>
          </w:p>
        </w:tc>
        <w:tc>
          <w:tcPr>
            <w:tcW w:w="1841" w:type="dxa"/>
            <w:tcBorders>
              <w:top w:val="single" w:sz="6" w:space="0" w:color="000000"/>
              <w:left w:val="single" w:sz="6" w:space="0" w:color="000000"/>
              <w:bottom w:val="single" w:sz="6" w:space="0" w:color="000000"/>
              <w:right w:val="single" w:sz="6" w:space="0" w:color="000000"/>
            </w:tcBorders>
          </w:tcPr>
          <w:p>
            <w:pPr>
              <w:pStyle w:val="TableParagraph"/>
              <w:spacing w:before="41"/>
              <w:ind w:left="119" w:right="89"/>
              <w:rPr>
                <w:rFonts w:ascii="宋体" w:eastAsia="宋体" w:hint="eastAsia"/>
                <w:sz w:val="21"/>
              </w:rPr>
            </w:pPr>
            <w:r>
              <w:rPr>
                <w:rFonts w:ascii="宋体" w:eastAsia="宋体" w:hint="eastAsia"/>
                <w:sz w:val="21"/>
              </w:rPr>
              <w:t>废脱硫剂</w:t>
            </w:r>
          </w:p>
        </w:tc>
        <w:tc>
          <w:tcPr>
            <w:tcW w:w="1611" w:type="dxa"/>
            <w:tcBorders>
              <w:top w:val="single" w:sz="6" w:space="0" w:color="000000"/>
              <w:left w:val="single" w:sz="6" w:space="0" w:color="000000"/>
              <w:bottom w:val="single" w:sz="6" w:space="0" w:color="000000"/>
              <w:right w:val="single" w:sz="6" w:space="0" w:color="000000"/>
            </w:tcBorders>
          </w:tcPr>
          <w:p>
            <w:pPr>
              <w:pStyle w:val="TableParagraph"/>
              <w:spacing w:before="53"/>
              <w:ind w:left="343" w:right="316"/>
              <w:rPr>
                <w:sz w:val="21"/>
              </w:rPr>
            </w:pPr>
            <w:r>
              <w:rPr>
                <w:sz w:val="21"/>
              </w:rPr>
              <w:t>8.0</w:t>
            </w:r>
          </w:p>
        </w:tc>
        <w:tc>
          <w:tcPr>
            <w:tcW w:w="1303" w:type="dxa"/>
            <w:tcBorders>
              <w:top w:val="single" w:sz="6" w:space="0" w:color="000000"/>
              <w:left w:val="single" w:sz="6" w:space="0" w:color="000000"/>
              <w:bottom w:val="single" w:sz="6" w:space="0" w:color="000000"/>
              <w:right w:val="single" w:sz="6" w:space="0" w:color="000000"/>
            </w:tcBorders>
          </w:tcPr>
          <w:p>
            <w:pPr>
              <w:pStyle w:val="TableParagraph"/>
              <w:spacing w:before="53"/>
              <w:ind w:left="252" w:right="219"/>
              <w:rPr>
                <w:sz w:val="21"/>
              </w:rPr>
            </w:pPr>
            <w:r>
              <w:rPr>
                <w:sz w:val="21"/>
              </w:rPr>
              <w:t>8.0</w:t>
            </w:r>
          </w:p>
        </w:tc>
        <w:tc>
          <w:tcPr>
            <w:tcW w:w="1608" w:type="dxa"/>
            <w:tcBorders>
              <w:top w:val="single" w:sz="6" w:space="0" w:color="000000"/>
              <w:left w:val="single" w:sz="6" w:space="0" w:color="000000"/>
              <w:bottom w:val="single" w:sz="6" w:space="0" w:color="000000"/>
            </w:tcBorders>
          </w:tcPr>
          <w:p>
            <w:pPr>
              <w:pStyle w:val="TableParagraph"/>
              <w:spacing w:before="53"/>
              <w:ind w:left="33"/>
              <w:rPr>
                <w:sz w:val="21"/>
              </w:rPr>
            </w:pPr>
            <w:r>
              <w:rPr>
                <w:w w:val="100"/>
                <w:sz w:val="21"/>
              </w:rPr>
              <w:t>0</w:t>
            </w:r>
          </w:p>
        </w:tc>
      </w:tr>
      <w:tr>
        <w:trPr>
          <w:trHeight w:val="351" w:hRule="atLeast"/>
        </w:trPr>
        <w:tc>
          <w:tcPr>
            <w:tcW w:w="1231" w:type="dxa"/>
            <w:vMerge/>
            <w:tcBorders>
              <w:top w:val="nil"/>
              <w:right w:val="single" w:sz="6" w:space="0" w:color="000000"/>
            </w:tcBorders>
          </w:tcPr>
          <w:p>
            <w:pPr>
              <w:rPr>
                <w:sz w:val="2"/>
                <w:szCs w:val="2"/>
              </w:rPr>
            </w:pPr>
          </w:p>
        </w:tc>
        <w:tc>
          <w:tcPr>
            <w:tcW w:w="1836" w:type="dxa"/>
            <w:tcBorders>
              <w:top w:val="single" w:sz="6" w:space="0" w:color="000000"/>
              <w:left w:val="single" w:sz="6" w:space="0" w:color="000000"/>
              <w:right w:val="single" w:sz="6" w:space="0" w:color="000000"/>
            </w:tcBorders>
          </w:tcPr>
          <w:p>
            <w:pPr>
              <w:pStyle w:val="TableParagraph"/>
              <w:spacing w:before="39"/>
              <w:ind w:left="169" w:right="140"/>
              <w:rPr>
                <w:rFonts w:ascii="宋体" w:eastAsia="宋体" w:hint="eastAsia"/>
                <w:sz w:val="21"/>
              </w:rPr>
            </w:pPr>
            <w:r>
              <w:rPr>
                <w:rFonts w:ascii="宋体" w:eastAsia="宋体" w:hint="eastAsia"/>
                <w:sz w:val="21"/>
              </w:rPr>
              <w:t>职工生活</w:t>
            </w:r>
          </w:p>
        </w:tc>
        <w:tc>
          <w:tcPr>
            <w:tcW w:w="1841" w:type="dxa"/>
            <w:tcBorders>
              <w:top w:val="single" w:sz="6" w:space="0" w:color="000000"/>
              <w:left w:val="single" w:sz="6" w:space="0" w:color="000000"/>
              <w:right w:val="single" w:sz="6" w:space="0" w:color="000000"/>
            </w:tcBorders>
          </w:tcPr>
          <w:p>
            <w:pPr>
              <w:pStyle w:val="TableParagraph"/>
              <w:spacing w:before="39"/>
              <w:ind w:left="119" w:right="89"/>
              <w:rPr>
                <w:rFonts w:ascii="宋体" w:eastAsia="宋体" w:hint="eastAsia"/>
                <w:sz w:val="21"/>
              </w:rPr>
            </w:pPr>
            <w:r>
              <w:rPr>
                <w:rFonts w:ascii="宋体" w:eastAsia="宋体" w:hint="eastAsia"/>
                <w:sz w:val="21"/>
              </w:rPr>
              <w:t>生活垃圾</w:t>
            </w:r>
          </w:p>
        </w:tc>
        <w:tc>
          <w:tcPr>
            <w:tcW w:w="1611" w:type="dxa"/>
            <w:tcBorders>
              <w:top w:val="single" w:sz="6" w:space="0" w:color="000000"/>
              <w:left w:val="single" w:sz="6" w:space="0" w:color="000000"/>
              <w:right w:val="single" w:sz="6" w:space="0" w:color="000000"/>
            </w:tcBorders>
          </w:tcPr>
          <w:p>
            <w:pPr>
              <w:pStyle w:val="TableParagraph"/>
              <w:spacing w:before="50"/>
              <w:ind w:left="343" w:right="316"/>
              <w:rPr>
                <w:sz w:val="21"/>
              </w:rPr>
            </w:pPr>
            <w:r>
              <w:rPr>
                <w:sz w:val="21"/>
              </w:rPr>
              <w:t>16.4</w:t>
            </w:r>
          </w:p>
        </w:tc>
        <w:tc>
          <w:tcPr>
            <w:tcW w:w="1303" w:type="dxa"/>
            <w:tcBorders>
              <w:top w:val="single" w:sz="6" w:space="0" w:color="000000"/>
              <w:left w:val="single" w:sz="6" w:space="0" w:color="000000"/>
              <w:right w:val="single" w:sz="6" w:space="0" w:color="000000"/>
            </w:tcBorders>
          </w:tcPr>
          <w:p>
            <w:pPr>
              <w:pStyle w:val="TableParagraph"/>
              <w:spacing w:before="50"/>
              <w:ind w:left="252" w:right="219"/>
              <w:rPr>
                <w:sz w:val="21"/>
              </w:rPr>
            </w:pPr>
            <w:r>
              <w:rPr>
                <w:sz w:val="21"/>
              </w:rPr>
              <w:t>16.4</w:t>
            </w:r>
          </w:p>
        </w:tc>
        <w:tc>
          <w:tcPr>
            <w:tcW w:w="1608" w:type="dxa"/>
            <w:tcBorders>
              <w:top w:val="single" w:sz="6" w:space="0" w:color="000000"/>
              <w:left w:val="single" w:sz="6" w:space="0" w:color="000000"/>
            </w:tcBorders>
          </w:tcPr>
          <w:p>
            <w:pPr>
              <w:pStyle w:val="TableParagraph"/>
              <w:spacing w:before="50"/>
              <w:ind w:left="33"/>
              <w:rPr>
                <w:sz w:val="21"/>
              </w:rPr>
            </w:pPr>
            <w:r>
              <w:rPr>
                <w:w w:val="100"/>
                <w:sz w:val="21"/>
              </w:rPr>
              <w:t>0</w:t>
            </w:r>
          </w:p>
        </w:tc>
      </w:tr>
    </w:tbl>
    <w:p>
      <w:pPr>
        <w:pStyle w:val="ListParagraph"/>
        <w:numPr>
          <w:ilvl w:val="2"/>
          <w:numId w:val="111"/>
        </w:numPr>
        <w:tabs>
          <w:tab w:pos="838" w:val="left" w:leader="none"/>
        </w:tabs>
        <w:spacing w:line="240" w:lineRule="auto" w:before="92" w:after="0"/>
        <w:ind w:left="837" w:right="0" w:hanging="601"/>
        <w:jc w:val="left"/>
        <w:rPr>
          <w:b/>
          <w:sz w:val="24"/>
        </w:rPr>
      </w:pPr>
      <w:bookmarkStart w:name="_bookmark133" w:id="256"/>
      <w:bookmarkEnd w:id="256"/>
      <w:r>
        <w:rPr/>
      </w:r>
      <w:bookmarkStart w:name="_bookmark133" w:id="257"/>
      <w:bookmarkEnd w:id="257"/>
      <w:r>
        <w:rPr>
          <w:b/>
          <w:sz w:val="24"/>
        </w:rPr>
        <w:t>环境质量现状</w:t>
      </w:r>
    </w:p>
    <w:p>
      <w:pPr>
        <w:spacing w:before="160"/>
        <w:ind w:left="719" w:right="0" w:firstLine="0"/>
        <w:jc w:val="left"/>
        <w:rPr>
          <w:b/>
          <w:sz w:val="24"/>
        </w:rPr>
      </w:pPr>
      <w:r>
        <w:rPr>
          <w:rFonts w:ascii="Times New Roman" w:eastAsia="Times New Roman"/>
          <w:b/>
          <w:sz w:val="24"/>
        </w:rPr>
        <w:t>1</w:t>
      </w:r>
      <w:r>
        <w:rPr>
          <w:b/>
          <w:sz w:val="24"/>
        </w:rPr>
        <w:t>、大气环境质量现状</w:t>
      </w:r>
    </w:p>
    <w:p>
      <w:pPr>
        <w:pStyle w:val="BodyText"/>
        <w:spacing w:line="364" w:lineRule="auto" w:before="158"/>
        <w:ind w:right="126" w:firstLine="480"/>
      </w:pPr>
      <w:r>
        <w:rPr>
          <w:spacing w:val="-6"/>
          <w:position w:val="2"/>
        </w:rPr>
        <w:t>根据分析，本项目所在评价区域空气环境属不达标区，主要超标因子为 </w:t>
      </w:r>
      <w:r>
        <w:rPr>
          <w:rFonts w:ascii="Times New Roman" w:eastAsia="Times New Roman"/>
          <w:position w:val="2"/>
        </w:rPr>
        <w:t>PM</w:t>
      </w:r>
      <w:r>
        <w:rPr>
          <w:rFonts w:ascii="Times New Roman" w:eastAsia="Times New Roman"/>
          <w:sz w:val="16"/>
        </w:rPr>
        <w:t>2.5</w:t>
      </w:r>
      <w:r>
        <w:rPr>
          <w:rFonts w:ascii="Times New Roman" w:eastAsia="Times New Roman"/>
          <w:spacing w:val="1"/>
          <w:sz w:val="16"/>
        </w:rPr>
        <w:t> </w:t>
      </w:r>
      <w:r>
        <w:rPr>
          <w:spacing w:val="-31"/>
          <w:position w:val="2"/>
        </w:rPr>
        <w:t>和 </w:t>
      </w:r>
      <w:r>
        <w:rPr>
          <w:rFonts w:ascii="Times New Roman" w:eastAsia="Times New Roman"/>
          <w:position w:val="2"/>
        </w:rPr>
        <w:t>O</w:t>
      </w:r>
      <w:r>
        <w:rPr>
          <w:rFonts w:ascii="Times New Roman" w:eastAsia="Times New Roman"/>
          <w:sz w:val="16"/>
        </w:rPr>
        <w:t>3</w:t>
      </w:r>
      <w:r>
        <w:rPr>
          <w:spacing w:val="-12"/>
          <w:position w:val="2"/>
        </w:rPr>
        <w:t>。</w:t>
      </w:r>
      <w:r>
        <w:rPr/>
        <w:t>目前柯桥区已制订《绍兴市柯桥区大气环境质量限期达标规划》，主要从工业废气治理专项行动、扬尘污染治理专项行动、柴油货车治理专项行动、产业结构提升专项行动、能源结构优化专项行动、锅炉炉窑整治专项行动、面源污染治理专项行动等方面着手开</w:t>
      </w:r>
      <w:r>
        <w:rPr>
          <w:spacing w:val="-4"/>
        </w:rPr>
        <w:t>展大气污染防治。随着大气污染防治工作的持续推进，区域环境空气质量将会有所改善。</w:t>
      </w:r>
    </w:p>
    <w:p>
      <w:pPr>
        <w:pStyle w:val="BodyText"/>
        <w:spacing w:line="367" w:lineRule="auto" w:before="5"/>
        <w:ind w:right="131" w:firstLine="480"/>
      </w:pPr>
      <w:r>
        <w:rPr>
          <w:spacing w:val="-13"/>
          <w:position w:val="2"/>
        </w:rPr>
        <w:t>特征因子 </w:t>
      </w:r>
      <w:r>
        <w:rPr>
          <w:rFonts w:ascii="Times New Roman" w:eastAsia="Times New Roman"/>
          <w:position w:val="2"/>
        </w:rPr>
        <w:t>NH</w:t>
      </w:r>
      <w:r>
        <w:rPr>
          <w:rFonts w:ascii="Times New Roman" w:eastAsia="Times New Roman"/>
          <w:sz w:val="16"/>
        </w:rPr>
        <w:t>3</w:t>
      </w:r>
      <w:r>
        <w:rPr>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2"/>
          <w:position w:val="2"/>
        </w:rPr>
        <w:t>均能符合《环境影响评价技术导则 大气环境》</w:t>
      </w:r>
      <w:r>
        <w:rPr>
          <w:position w:val="2"/>
        </w:rPr>
        <w:t>（</w:t>
      </w:r>
      <w:r>
        <w:rPr>
          <w:rFonts w:ascii="Times New Roman" w:eastAsia="Times New Roman"/>
          <w:position w:val="2"/>
        </w:rPr>
        <w:t>HJ</w:t>
      </w:r>
      <w:r>
        <w:rPr>
          <w:rFonts w:ascii="Times New Roman" w:eastAsia="Times New Roman"/>
          <w:spacing w:val="13"/>
          <w:position w:val="2"/>
        </w:rPr>
        <w:t> </w:t>
      </w:r>
      <w:r>
        <w:rPr>
          <w:rFonts w:ascii="Times New Roman" w:eastAsia="Times New Roman"/>
          <w:position w:val="2"/>
        </w:rPr>
        <w:t>2.2-2018</w:t>
      </w:r>
      <w:r>
        <w:rPr>
          <w:position w:val="2"/>
        </w:rPr>
        <w:t>） </w:t>
      </w:r>
      <w:r>
        <w:rPr>
          <w:spacing w:val="-20"/>
        </w:rPr>
        <w:t>附录 </w:t>
      </w:r>
      <w:r>
        <w:rPr>
          <w:rFonts w:ascii="Times New Roman" w:eastAsia="Times New Roman"/>
        </w:rPr>
        <w:t>D</w:t>
      </w:r>
      <w:r>
        <w:rPr>
          <w:rFonts w:ascii="Times New Roman" w:eastAsia="Times New Roman"/>
          <w:spacing w:val="-1"/>
        </w:rPr>
        <w:t> </w:t>
      </w:r>
      <w:r>
        <w:rPr>
          <w:spacing w:val="-30"/>
        </w:rPr>
        <w:t>中 </w:t>
      </w:r>
      <w:r>
        <w:rPr>
          <w:rFonts w:ascii="Times New Roman" w:eastAsia="Times New Roman"/>
        </w:rPr>
        <w:t>1h </w:t>
      </w:r>
      <w:r>
        <w:rPr>
          <w:spacing w:val="-8"/>
        </w:rPr>
        <w:t>平均值，臭气浓度均小于 </w:t>
      </w:r>
      <w:r>
        <w:rPr>
          <w:rFonts w:ascii="Times New Roman" w:eastAsia="Times New Roman"/>
          <w:spacing w:val="-4"/>
        </w:rPr>
        <w:t>10</w:t>
      </w:r>
      <w:r>
        <w:rPr>
          <w:spacing w:val="-3"/>
        </w:rPr>
        <w:t>，说明评价区内的环境空气质量现状总体较好。</w:t>
      </w:r>
    </w:p>
    <w:p>
      <w:pPr>
        <w:pStyle w:val="Heading3"/>
        <w:spacing w:line="304" w:lineRule="exact" w:before="0"/>
      </w:pPr>
      <w:r>
        <w:rPr>
          <w:rFonts w:ascii="Times New Roman" w:eastAsia="Times New Roman"/>
        </w:rPr>
        <w:t>2</w:t>
      </w:r>
      <w:r>
        <w:rPr/>
        <w:t>、水环境质量现状</w:t>
      </w:r>
    </w:p>
    <w:p>
      <w:pPr>
        <w:pStyle w:val="ListParagraph"/>
        <w:numPr>
          <w:ilvl w:val="3"/>
          <w:numId w:val="111"/>
        </w:numPr>
        <w:tabs>
          <w:tab w:pos="1319" w:val="left" w:leader="none"/>
        </w:tabs>
        <w:spacing w:line="240" w:lineRule="auto" w:before="161" w:after="0"/>
        <w:ind w:left="1318" w:right="0" w:hanging="602"/>
        <w:jc w:val="left"/>
        <w:rPr>
          <w:sz w:val="24"/>
        </w:rPr>
      </w:pPr>
      <w:r>
        <w:rPr>
          <w:sz w:val="24"/>
        </w:rPr>
        <w:t>地表水环境质量现状</w:t>
      </w:r>
    </w:p>
    <w:p>
      <w:pPr>
        <w:pStyle w:val="BodyText"/>
        <w:spacing w:before="160"/>
        <w:ind w:left="717"/>
      </w:pPr>
      <w:r>
        <w:rPr/>
        <w:t>根据监测数据分析，项目周边地表水各项监测指标均能满足《地表水环境质量标准》</w:t>
      </w:r>
    </w:p>
    <w:p>
      <w:pPr>
        <w:pStyle w:val="BodyText"/>
        <w:spacing w:before="161"/>
      </w:pPr>
      <w:r>
        <w:rPr/>
        <w:t>（</w:t>
      </w:r>
      <w:r>
        <w:rPr>
          <w:rFonts w:ascii="Times New Roman" w:hAnsi="Times New Roman" w:eastAsia="Times New Roman"/>
          <w:position w:val="1"/>
        </w:rPr>
        <w:t>GB 3838-2002</w:t>
      </w:r>
      <w:r>
        <w:rPr/>
        <w:t>）中的Ⅲ类标准要求，说明项目周边地表水环境质量现状总体较好。</w:t>
      </w:r>
    </w:p>
    <w:p>
      <w:pPr>
        <w:pStyle w:val="ListParagraph"/>
        <w:numPr>
          <w:ilvl w:val="3"/>
          <w:numId w:val="111"/>
        </w:numPr>
        <w:tabs>
          <w:tab w:pos="1319" w:val="left" w:leader="none"/>
        </w:tabs>
        <w:spacing w:line="240" w:lineRule="auto" w:before="160" w:after="0"/>
        <w:ind w:left="1318" w:right="0" w:hanging="602"/>
        <w:jc w:val="left"/>
        <w:rPr>
          <w:sz w:val="24"/>
        </w:rPr>
      </w:pPr>
      <w:r>
        <w:rPr>
          <w:sz w:val="24"/>
        </w:rPr>
        <w:t>地下水水质现状</w:t>
      </w:r>
    </w:p>
    <w:p>
      <w:pPr>
        <w:pStyle w:val="BodyText"/>
        <w:spacing w:before="161"/>
        <w:ind w:left="717"/>
      </w:pPr>
      <w:r>
        <w:rPr/>
        <w:t>监测结果表明，项目所在区域地下水总体水质为Ⅲ类，均能满足《地下水质量标准》</w:t>
      </w:r>
    </w:p>
    <w:p>
      <w:pPr>
        <w:pStyle w:val="BodyText"/>
        <w:spacing w:before="161"/>
      </w:pPr>
      <w:r>
        <w:rPr/>
        <w:t>（</w:t>
      </w:r>
      <w:r>
        <w:rPr>
          <w:rFonts w:ascii="Times New Roman" w:hAnsi="Times New Roman" w:eastAsia="Times New Roman"/>
          <w:position w:val="1"/>
        </w:rPr>
        <w:t>GB/T 14848-2017</w:t>
      </w:r>
      <w:r>
        <w:rPr/>
        <w:t>）中的Ⅲ类标准要求，说明项目所在区域地下水总体现状较好。</w:t>
      </w:r>
    </w:p>
    <w:p>
      <w:pPr>
        <w:pStyle w:val="Heading3"/>
        <w:spacing w:before="160"/>
      </w:pPr>
      <w:r>
        <w:rPr>
          <w:rFonts w:ascii="Times New Roman" w:eastAsia="Times New Roman"/>
        </w:rPr>
        <w:t>3</w:t>
      </w:r>
      <w:r>
        <w:rPr/>
        <w:t>、土壤环境质量</w:t>
      </w:r>
    </w:p>
    <w:p>
      <w:pPr>
        <w:pStyle w:val="BodyText"/>
        <w:spacing w:line="364" w:lineRule="auto" w:before="161"/>
        <w:ind w:right="232" w:firstLine="480"/>
        <w:jc w:val="both"/>
      </w:pPr>
      <w:r>
        <w:rPr/>
        <w:t>由监测统计结果可知，企业厂区内土壤中各项监测指标均低于《土壤环境质量 农用地土壤污染风险管控标准（试行）》（</w:t>
      </w:r>
      <w:r>
        <w:rPr>
          <w:rFonts w:ascii="Times New Roman" w:eastAsia="Times New Roman"/>
          <w:position w:val="1"/>
        </w:rPr>
        <w:t>GB 15618-2018</w:t>
      </w:r>
      <w:r>
        <w:rPr/>
        <w:t>）中农用地土壤污染风险筛选值， 说明项目所在区域土壤环境现状质量总体较好。</w:t>
      </w:r>
    </w:p>
    <w:p>
      <w:pPr>
        <w:pStyle w:val="Heading3"/>
        <w:spacing w:before="1"/>
      </w:pPr>
      <w:r>
        <w:rPr>
          <w:rFonts w:ascii="Times New Roman" w:eastAsia="Times New Roman"/>
        </w:rPr>
        <w:t>4</w:t>
      </w:r>
      <w:r>
        <w:rPr/>
        <w:t>、声环境质量现状</w:t>
      </w:r>
    </w:p>
    <w:p>
      <w:pPr>
        <w:pStyle w:val="BodyText"/>
        <w:spacing w:before="161"/>
        <w:ind w:left="717"/>
      </w:pPr>
      <w:r>
        <w:rPr/>
        <w:t>由监测结果可知，企业厂界噪声均能达到</w:t>
      </w:r>
      <w:hyperlink r:id="rId65">
        <w:r>
          <w:rPr/>
          <w:t>《声环境质量标准</w:t>
        </w:r>
      </w:hyperlink>
      <w:r>
        <w:rPr/>
        <w:t>》（</w:t>
      </w:r>
      <w:r>
        <w:rPr>
          <w:rFonts w:ascii="Times New Roman" w:eastAsia="Times New Roman"/>
        </w:rPr>
        <w:t>GB 3096-2008</w:t>
      </w:r>
      <w:r>
        <w:rPr/>
        <w:t>）</w:t>
      </w:r>
      <w:r>
        <w:rPr>
          <w:rFonts w:ascii="Times New Roman" w:eastAsia="Times New Roman"/>
        </w:rPr>
        <w:t>1 </w:t>
      </w:r>
      <w:r>
        <w:rPr/>
        <w:t>类</w:t>
      </w:r>
    </w:p>
    <w:p>
      <w:pPr>
        <w:spacing w:after="0"/>
        <w:sectPr>
          <w:pgSz w:w="11910" w:h="16840"/>
          <w:pgMar w:header="874" w:footer="1004" w:top="1420" w:bottom="1200" w:left="1040" w:right="1160"/>
        </w:sectPr>
      </w:pPr>
    </w:p>
    <w:p>
      <w:pPr>
        <w:pStyle w:val="BodyText"/>
        <w:spacing w:before="92"/>
      </w:pPr>
      <w:r>
        <w:rPr/>
        <w:t>标准要求，说明项目周围声环境质量满足环境功能要求。</w:t>
      </w:r>
    </w:p>
    <w:p>
      <w:pPr>
        <w:pStyle w:val="Heading3"/>
        <w:numPr>
          <w:ilvl w:val="2"/>
          <w:numId w:val="111"/>
        </w:numPr>
        <w:tabs>
          <w:tab w:pos="838" w:val="left" w:leader="none"/>
        </w:tabs>
        <w:spacing w:line="240" w:lineRule="auto" w:before="160" w:after="0"/>
        <w:ind w:left="837" w:right="0" w:hanging="601"/>
        <w:jc w:val="left"/>
      </w:pPr>
      <w:bookmarkStart w:name="_bookmark134" w:id="258"/>
      <w:bookmarkEnd w:id="258"/>
      <w:r>
        <w:rPr>
          <w:b w:val="0"/>
        </w:rPr>
      </w:r>
      <w:bookmarkStart w:name="_bookmark134" w:id="259"/>
      <w:bookmarkEnd w:id="259"/>
      <w:r>
        <w:rPr/>
        <w:t>主要环境影响</w:t>
      </w:r>
    </w:p>
    <w:p>
      <w:pPr>
        <w:spacing w:before="161"/>
        <w:ind w:left="719" w:right="0" w:firstLine="0"/>
        <w:jc w:val="left"/>
        <w:rPr>
          <w:b/>
          <w:sz w:val="24"/>
        </w:rPr>
      </w:pPr>
      <w:r>
        <w:rPr>
          <w:rFonts w:ascii="Times New Roman" w:eastAsia="Times New Roman"/>
          <w:b/>
          <w:sz w:val="24"/>
        </w:rPr>
        <w:t>1</w:t>
      </w:r>
      <w:r>
        <w:rPr>
          <w:b/>
          <w:sz w:val="24"/>
        </w:rPr>
        <w:t>、大气环境影响分析</w:t>
      </w:r>
    </w:p>
    <w:p>
      <w:pPr>
        <w:pStyle w:val="BodyText"/>
        <w:spacing w:line="364" w:lineRule="auto" w:before="159"/>
        <w:ind w:right="247" w:firstLine="480"/>
        <w:jc w:val="both"/>
      </w:pPr>
      <w:r>
        <w:rPr>
          <w:spacing w:val="-9"/>
          <w:position w:val="2"/>
        </w:rPr>
        <w:t>根据大气环境影响预测，本项目正常工况下 </w:t>
      </w:r>
      <w:r>
        <w:rPr>
          <w:rFonts w:ascii="Times New Roman" w:eastAsia="Times New Roman"/>
          <w:position w:val="2"/>
        </w:rPr>
        <w:t>NH</w:t>
      </w:r>
      <w:r>
        <w:rPr>
          <w:rFonts w:ascii="Times New Roman" w:eastAsia="Times New Roman"/>
          <w:sz w:val="16"/>
        </w:rPr>
        <w:t>3</w:t>
      </w:r>
      <w:r>
        <w:rPr>
          <w:spacing w:val="-60"/>
          <w:position w:val="2"/>
        </w:rPr>
        <w:t>、</w:t>
      </w:r>
      <w:r>
        <w:rPr>
          <w:rFonts w:ascii="Times New Roman" w:eastAsia="Times New Roman"/>
          <w:position w:val="2"/>
        </w:rPr>
        <w:t>H</w:t>
      </w:r>
      <w:r>
        <w:rPr>
          <w:rFonts w:ascii="Times New Roman" w:eastAsia="Times New Roman"/>
          <w:sz w:val="16"/>
        </w:rPr>
        <w:t>2</w:t>
      </w:r>
      <w:r>
        <w:rPr>
          <w:rFonts w:ascii="Times New Roman" w:eastAsia="Times New Roman"/>
          <w:position w:val="2"/>
        </w:rPr>
        <w:t>S </w:t>
      </w:r>
      <w:r>
        <w:rPr>
          <w:spacing w:val="-1"/>
          <w:position w:val="2"/>
        </w:rPr>
        <w:t>最大地面落地浓度贡献值及叠</w:t>
      </w:r>
      <w:r>
        <w:rPr>
          <w:spacing w:val="-1"/>
        </w:rPr>
        <w:t>加背景浓度后的预测浓度均超标，须设置大气环境防护距离，以确保大气环境防护区域之外的预测浓度符合环境质量标准。在此前提下，本项目大气环境影响可以接受。</w:t>
      </w:r>
    </w:p>
    <w:p>
      <w:pPr>
        <w:pStyle w:val="Heading3"/>
        <w:spacing w:before="3"/>
        <w:ind w:left="2575"/>
        <w:jc w:val="both"/>
      </w:pPr>
      <w:r>
        <w:rPr/>
        <w:t>表 </w:t>
      </w:r>
      <w:r>
        <w:rPr>
          <w:rFonts w:ascii="Times New Roman" w:eastAsia="Times New Roman"/>
        </w:rPr>
        <w:t>9.1-2  </w:t>
      </w:r>
      <w:r>
        <w:rPr/>
        <w:t>建设项目大气环境影响评价自查表</w:t>
      </w:r>
    </w:p>
    <w:p>
      <w:pPr>
        <w:pStyle w:val="BodyText"/>
        <w:spacing w:before="2"/>
        <w:ind w:left="0"/>
        <w:rPr>
          <w:b/>
          <w:sz w:val="6"/>
        </w:r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66"/>
        <w:gridCol w:w="1695"/>
        <w:gridCol w:w="1001"/>
        <w:gridCol w:w="601"/>
        <w:gridCol w:w="140"/>
        <w:gridCol w:w="711"/>
        <w:gridCol w:w="586"/>
        <w:gridCol w:w="298"/>
        <w:gridCol w:w="255"/>
        <w:gridCol w:w="210"/>
        <w:gridCol w:w="490"/>
        <w:gridCol w:w="408"/>
        <w:gridCol w:w="192"/>
        <w:gridCol w:w="288"/>
        <w:gridCol w:w="127"/>
        <w:gridCol w:w="216"/>
        <w:gridCol w:w="483"/>
        <w:gridCol w:w="670"/>
      </w:tblGrid>
      <w:tr>
        <w:trPr>
          <w:trHeight w:val="311" w:hRule="atLeast"/>
        </w:trPr>
        <w:tc>
          <w:tcPr>
            <w:tcW w:w="1066" w:type="dxa"/>
            <w:tcBorders>
              <w:bottom w:val="single" w:sz="6" w:space="0" w:color="000000"/>
              <w:right w:val="single" w:sz="6" w:space="0" w:color="000000"/>
            </w:tcBorders>
          </w:tcPr>
          <w:p>
            <w:pPr>
              <w:pStyle w:val="TableParagraph"/>
              <w:spacing w:before="22"/>
              <w:ind w:left="90" w:right="70"/>
              <w:rPr>
                <w:rFonts w:ascii="宋体" w:eastAsia="宋体" w:hint="eastAsia"/>
                <w:b/>
                <w:sz w:val="21"/>
              </w:rPr>
            </w:pPr>
            <w:r>
              <w:rPr>
                <w:rFonts w:ascii="宋体" w:eastAsia="宋体" w:hint="eastAsia"/>
                <w:b/>
                <w:sz w:val="21"/>
              </w:rPr>
              <w:t>工作内容</w:t>
            </w:r>
          </w:p>
        </w:tc>
        <w:tc>
          <w:tcPr>
            <w:tcW w:w="8371" w:type="dxa"/>
            <w:gridSpan w:val="17"/>
            <w:tcBorders>
              <w:left w:val="single" w:sz="6" w:space="0" w:color="000000"/>
              <w:bottom w:val="single" w:sz="6" w:space="0" w:color="000000"/>
            </w:tcBorders>
          </w:tcPr>
          <w:p>
            <w:pPr>
              <w:pStyle w:val="TableParagraph"/>
              <w:spacing w:before="22"/>
              <w:ind w:left="3748" w:right="3716"/>
              <w:rPr>
                <w:rFonts w:ascii="宋体" w:eastAsia="宋体" w:hint="eastAsia"/>
                <w:b/>
                <w:sz w:val="21"/>
              </w:rPr>
            </w:pPr>
            <w:r>
              <w:rPr>
                <w:rFonts w:ascii="宋体" w:eastAsia="宋体" w:hint="eastAsia"/>
                <w:b/>
                <w:sz w:val="21"/>
              </w:rPr>
              <w:t>自查项目</w:t>
            </w:r>
          </w:p>
        </w:tc>
      </w:tr>
      <w:tr>
        <w:trPr>
          <w:trHeight w:val="314" w:hRule="atLeast"/>
        </w:trPr>
        <w:tc>
          <w:tcPr>
            <w:tcW w:w="1066" w:type="dxa"/>
            <w:vMerge w:val="restart"/>
            <w:tcBorders>
              <w:top w:val="single" w:sz="6" w:space="0" w:color="000000"/>
              <w:bottom w:val="single" w:sz="6" w:space="0" w:color="000000"/>
              <w:right w:val="single" w:sz="6" w:space="0" w:color="000000"/>
            </w:tcBorders>
          </w:tcPr>
          <w:p>
            <w:pPr>
              <w:pStyle w:val="TableParagraph"/>
              <w:spacing w:before="32"/>
              <w:ind w:left="112"/>
              <w:jc w:val="left"/>
              <w:rPr>
                <w:rFonts w:ascii="宋体" w:eastAsia="宋体" w:hint="eastAsia"/>
                <w:sz w:val="21"/>
              </w:rPr>
            </w:pPr>
            <w:r>
              <w:rPr>
                <w:rFonts w:ascii="宋体" w:eastAsia="宋体" w:hint="eastAsia"/>
                <w:sz w:val="21"/>
              </w:rPr>
              <w:t>评价等级</w:t>
            </w:r>
          </w:p>
          <w:p>
            <w:pPr>
              <w:pStyle w:val="TableParagraph"/>
              <w:spacing w:before="43"/>
              <w:ind w:left="215"/>
              <w:jc w:val="left"/>
              <w:rPr>
                <w:rFonts w:ascii="宋体" w:eastAsia="宋体" w:hint="eastAsia"/>
                <w:sz w:val="21"/>
              </w:rPr>
            </w:pPr>
            <w:r>
              <w:rPr>
                <w:rFonts w:ascii="宋体" w:eastAsia="宋体" w:hint="eastAsia"/>
                <w:sz w:val="21"/>
              </w:rPr>
              <w:t>与范围</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5"/>
              <w:ind w:left="29"/>
              <w:rPr>
                <w:rFonts w:ascii="宋体" w:eastAsia="宋体" w:hint="eastAsia"/>
                <w:sz w:val="21"/>
              </w:rPr>
            </w:pPr>
            <w:r>
              <w:rPr>
                <w:rFonts w:ascii="宋体" w:eastAsia="宋体" w:hint="eastAsia"/>
                <w:sz w:val="21"/>
              </w:rPr>
              <w:t>评价等级</w:t>
            </w:r>
          </w:p>
        </w:tc>
        <w:tc>
          <w:tcPr>
            <w:tcW w:w="24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5"/>
              <w:ind w:left="909" w:right="883"/>
              <w:rPr>
                <w:rFonts w:ascii="Wingdings" w:hAnsi="Wingdings"/>
                <w:sz w:val="21"/>
              </w:rPr>
            </w:pPr>
            <w:r>
              <w:rPr>
                <w:rFonts w:ascii="宋体" w:hAnsi="宋体"/>
                <w:sz w:val="21"/>
              </w:rPr>
              <w:t>一级</w:t>
            </w:r>
            <w:r>
              <w:rPr>
                <w:rFonts w:ascii="Wingdings" w:hAnsi="Wingdings"/>
                <w:sz w:val="21"/>
              </w:rPr>
              <w:t></w:t>
            </w:r>
          </w:p>
        </w:tc>
        <w:tc>
          <w:tcPr>
            <w:tcW w:w="2247"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5"/>
              <w:ind w:left="792" w:right="770"/>
              <w:rPr>
                <w:rFonts w:ascii="宋体" w:hAnsi="宋体" w:eastAsia="宋体" w:hint="eastAsia"/>
                <w:sz w:val="21"/>
              </w:rPr>
            </w:pPr>
            <w:r>
              <w:rPr>
                <w:rFonts w:ascii="宋体" w:hAnsi="宋体" w:eastAsia="宋体" w:hint="eastAsia"/>
                <w:sz w:val="21"/>
              </w:rPr>
              <w:t>二级□</w:t>
            </w:r>
          </w:p>
        </w:tc>
        <w:tc>
          <w:tcPr>
            <w:tcW w:w="1976" w:type="dxa"/>
            <w:gridSpan w:val="6"/>
            <w:tcBorders>
              <w:top w:val="single" w:sz="6" w:space="0" w:color="000000"/>
              <w:left w:val="single" w:sz="6" w:space="0" w:color="000000"/>
              <w:bottom w:val="single" w:sz="6" w:space="0" w:color="000000"/>
            </w:tcBorders>
          </w:tcPr>
          <w:p>
            <w:pPr>
              <w:pStyle w:val="TableParagraph"/>
              <w:spacing w:before="25"/>
              <w:ind w:left="671"/>
              <w:jc w:val="left"/>
              <w:rPr>
                <w:rFonts w:ascii="宋体" w:hAnsi="宋体" w:eastAsia="宋体" w:hint="eastAsia"/>
                <w:sz w:val="21"/>
              </w:rPr>
            </w:pPr>
            <w:r>
              <w:rPr>
                <w:rFonts w:ascii="宋体" w:hAnsi="宋体" w:eastAsia="宋体" w:hint="eastAsia"/>
                <w:sz w:val="21"/>
              </w:rPr>
              <w:t>三级□</w:t>
            </w:r>
          </w:p>
        </w:tc>
      </w:tr>
      <w:tr>
        <w:trPr>
          <w:trHeight w:val="311"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29"/>
              <w:rPr>
                <w:rFonts w:ascii="宋体" w:eastAsia="宋体" w:hint="eastAsia"/>
                <w:sz w:val="21"/>
              </w:rPr>
            </w:pPr>
            <w:r>
              <w:rPr>
                <w:rFonts w:ascii="宋体" w:eastAsia="宋体" w:hint="eastAsia"/>
                <w:sz w:val="21"/>
              </w:rPr>
              <w:t>评价范围</w:t>
            </w:r>
          </w:p>
        </w:tc>
        <w:tc>
          <w:tcPr>
            <w:tcW w:w="24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618"/>
              <w:jc w:val="left"/>
              <w:rPr>
                <w:rFonts w:ascii="宋体" w:hAnsi="宋体" w:eastAsia="宋体" w:hint="eastAsia"/>
                <w:sz w:val="21"/>
              </w:rPr>
            </w:pPr>
            <w:r>
              <w:rPr>
                <w:rFonts w:ascii="宋体" w:hAnsi="宋体" w:eastAsia="宋体" w:hint="eastAsia"/>
                <w:sz w:val="21"/>
              </w:rPr>
              <w:t>边长</w:t>
            </w:r>
            <w:r>
              <w:rPr>
                <w:sz w:val="21"/>
              </w:rPr>
              <w:t>=50km</w:t>
            </w:r>
            <w:r>
              <w:rPr>
                <w:rFonts w:ascii="宋体" w:hAnsi="宋体" w:eastAsia="宋体" w:hint="eastAsia"/>
                <w:sz w:val="21"/>
              </w:rPr>
              <w:t>□</w:t>
            </w:r>
          </w:p>
        </w:tc>
        <w:tc>
          <w:tcPr>
            <w:tcW w:w="2247"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436"/>
              <w:jc w:val="left"/>
              <w:rPr>
                <w:rFonts w:ascii="宋体" w:hAnsi="宋体" w:eastAsia="宋体" w:hint="eastAsia"/>
                <w:sz w:val="21"/>
              </w:rPr>
            </w:pPr>
            <w:r>
              <w:rPr>
                <w:rFonts w:ascii="宋体" w:hAnsi="宋体" w:eastAsia="宋体" w:hint="eastAsia"/>
                <w:sz w:val="21"/>
              </w:rPr>
              <w:t>边长 </w:t>
            </w:r>
            <w:r>
              <w:rPr>
                <w:sz w:val="21"/>
              </w:rPr>
              <w:t>5~50km</w:t>
            </w:r>
            <w:r>
              <w:rPr>
                <w:rFonts w:ascii="宋体" w:hAnsi="宋体" w:eastAsia="宋体" w:hint="eastAsia"/>
                <w:sz w:val="21"/>
              </w:rPr>
              <w:t>□</w:t>
            </w:r>
          </w:p>
        </w:tc>
        <w:tc>
          <w:tcPr>
            <w:tcW w:w="1976" w:type="dxa"/>
            <w:gridSpan w:val="6"/>
            <w:tcBorders>
              <w:top w:val="single" w:sz="6" w:space="0" w:color="000000"/>
              <w:left w:val="single" w:sz="6" w:space="0" w:color="000000"/>
              <w:bottom w:val="single" w:sz="6" w:space="0" w:color="000000"/>
            </w:tcBorders>
          </w:tcPr>
          <w:p>
            <w:pPr>
              <w:pStyle w:val="TableParagraph"/>
              <w:spacing w:before="22"/>
              <w:ind w:left="438"/>
              <w:jc w:val="left"/>
              <w:rPr>
                <w:rFonts w:ascii="Wingdings" w:hAnsi="Wingdings"/>
                <w:sz w:val="21"/>
              </w:rPr>
            </w:pPr>
            <w:r>
              <w:rPr>
                <w:rFonts w:ascii="宋体" w:hAnsi="宋体"/>
                <w:sz w:val="21"/>
              </w:rPr>
              <w:t>边长</w:t>
            </w:r>
            <w:r>
              <w:rPr>
                <w:sz w:val="21"/>
              </w:rPr>
              <w:t>=5km</w:t>
            </w:r>
            <w:r>
              <w:rPr>
                <w:rFonts w:ascii="Wingdings" w:hAnsi="Wingdings"/>
                <w:sz w:val="21"/>
              </w:rPr>
              <w:t></w:t>
            </w:r>
          </w:p>
        </w:tc>
      </w:tr>
      <w:tr>
        <w:trPr>
          <w:trHeight w:val="311" w:hRule="atLeast"/>
        </w:trPr>
        <w:tc>
          <w:tcPr>
            <w:tcW w:w="1066" w:type="dxa"/>
            <w:vMerge w:val="restart"/>
            <w:tcBorders>
              <w:top w:val="single" w:sz="6" w:space="0" w:color="000000"/>
              <w:bottom w:val="single" w:sz="6" w:space="0" w:color="000000"/>
              <w:right w:val="single" w:sz="6" w:space="0" w:color="000000"/>
            </w:tcBorders>
          </w:tcPr>
          <w:p>
            <w:pPr>
              <w:pStyle w:val="TableParagraph"/>
              <w:spacing w:before="8"/>
              <w:jc w:val="left"/>
              <w:rPr>
                <w:rFonts w:ascii="宋体"/>
                <w:b/>
                <w:sz w:val="26"/>
              </w:rPr>
            </w:pPr>
          </w:p>
          <w:p>
            <w:pPr>
              <w:pStyle w:val="TableParagraph"/>
              <w:spacing w:before="0"/>
              <w:ind w:left="112"/>
              <w:jc w:val="left"/>
              <w:rPr>
                <w:rFonts w:ascii="宋体" w:eastAsia="宋体" w:hint="eastAsia"/>
                <w:sz w:val="21"/>
              </w:rPr>
            </w:pPr>
            <w:r>
              <w:rPr>
                <w:rFonts w:ascii="宋体" w:eastAsia="宋体" w:hint="eastAsia"/>
                <w:sz w:val="21"/>
              </w:rPr>
              <w:t>评价因子</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1"/>
              <w:ind w:left="29"/>
              <w:rPr>
                <w:rFonts w:ascii="宋体" w:eastAsia="宋体" w:hint="eastAsia"/>
                <w:sz w:val="21"/>
              </w:rPr>
            </w:pPr>
            <w:r>
              <w:rPr>
                <w:position w:val="2"/>
                <w:sz w:val="21"/>
              </w:rPr>
              <w:t>SO</w:t>
            </w:r>
            <w:r>
              <w:rPr>
                <w:sz w:val="14"/>
              </w:rPr>
              <w:t>2</w:t>
            </w:r>
            <w:r>
              <w:rPr>
                <w:position w:val="2"/>
                <w:sz w:val="21"/>
              </w:rPr>
              <w:t>+NO</w:t>
            </w:r>
            <w:r>
              <w:rPr>
                <w:sz w:val="14"/>
              </w:rPr>
              <w:t>x</w:t>
            </w:r>
            <w:r>
              <w:rPr>
                <w:rFonts w:ascii="宋体" w:eastAsia="宋体" w:hint="eastAsia"/>
                <w:position w:val="2"/>
                <w:sz w:val="21"/>
              </w:rPr>
              <w:t>排放量</w:t>
            </w:r>
          </w:p>
        </w:tc>
        <w:tc>
          <w:tcPr>
            <w:tcW w:w="24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752"/>
              <w:jc w:val="left"/>
              <w:rPr>
                <w:rFonts w:ascii="宋体" w:hAnsi="宋体"/>
                <w:sz w:val="21"/>
              </w:rPr>
            </w:pPr>
            <w:r>
              <w:rPr>
                <w:sz w:val="21"/>
              </w:rPr>
              <w:t>≥2000t/a</w:t>
            </w:r>
            <w:r>
              <w:rPr>
                <w:rFonts w:ascii="宋体" w:hAnsi="宋体"/>
                <w:sz w:val="21"/>
              </w:rPr>
              <w:t>□</w:t>
            </w:r>
          </w:p>
        </w:tc>
        <w:tc>
          <w:tcPr>
            <w:tcW w:w="2247"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491"/>
              <w:jc w:val="left"/>
              <w:rPr>
                <w:rFonts w:ascii="宋体" w:hAnsi="宋体"/>
                <w:sz w:val="21"/>
              </w:rPr>
            </w:pPr>
            <w:r>
              <w:rPr>
                <w:sz w:val="21"/>
              </w:rPr>
              <w:t>500~2000t/a</w:t>
            </w:r>
            <w:r>
              <w:rPr>
                <w:rFonts w:ascii="宋体" w:hAnsi="宋体"/>
                <w:sz w:val="21"/>
              </w:rPr>
              <w:t>□</w:t>
            </w:r>
          </w:p>
        </w:tc>
        <w:tc>
          <w:tcPr>
            <w:tcW w:w="1976" w:type="dxa"/>
            <w:gridSpan w:val="6"/>
            <w:tcBorders>
              <w:top w:val="single" w:sz="6" w:space="0" w:color="000000"/>
              <w:left w:val="single" w:sz="6" w:space="0" w:color="000000"/>
              <w:bottom w:val="single" w:sz="6" w:space="0" w:color="000000"/>
            </w:tcBorders>
          </w:tcPr>
          <w:p>
            <w:pPr>
              <w:pStyle w:val="TableParagraph"/>
              <w:spacing w:before="22"/>
              <w:ind w:left="527"/>
              <w:jc w:val="left"/>
              <w:rPr>
                <w:rFonts w:ascii="Wingdings" w:hAnsi="Wingdings"/>
                <w:sz w:val="21"/>
              </w:rPr>
            </w:pPr>
            <w:r>
              <w:rPr>
                <w:rFonts w:ascii="宋体" w:hAnsi="宋体"/>
                <w:sz w:val="21"/>
              </w:rPr>
              <w:t>＜</w:t>
            </w:r>
            <w:r>
              <w:rPr>
                <w:sz w:val="21"/>
              </w:rPr>
              <w:t>500t/a</w:t>
            </w:r>
            <w:r>
              <w:rPr>
                <w:rFonts w:ascii="Wingdings" w:hAnsi="Wingdings"/>
                <w:sz w:val="21"/>
              </w:rPr>
              <w:t></w:t>
            </w:r>
          </w:p>
        </w:tc>
      </w:tr>
      <w:tr>
        <w:trPr>
          <w:trHeight w:val="623"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178"/>
              <w:ind w:left="29"/>
              <w:rPr>
                <w:rFonts w:ascii="宋体" w:eastAsia="宋体" w:hint="eastAsia"/>
                <w:sz w:val="21"/>
              </w:rPr>
            </w:pPr>
            <w:r>
              <w:rPr>
                <w:rFonts w:ascii="宋体" w:eastAsia="宋体" w:hint="eastAsia"/>
                <w:sz w:val="21"/>
              </w:rPr>
              <w:t>评价因子</w:t>
            </w:r>
          </w:p>
        </w:tc>
        <w:tc>
          <w:tcPr>
            <w:tcW w:w="4700" w:type="dxa"/>
            <w:gridSpan w:val="10"/>
            <w:tcBorders>
              <w:top w:val="single" w:sz="6" w:space="0" w:color="000000"/>
              <w:left w:val="single" w:sz="6" w:space="0" w:color="000000"/>
              <w:bottom w:val="single" w:sz="6" w:space="0" w:color="000000"/>
              <w:right w:val="single" w:sz="6" w:space="0" w:color="000000"/>
            </w:tcBorders>
          </w:tcPr>
          <w:p>
            <w:pPr>
              <w:pStyle w:val="TableParagraph"/>
              <w:spacing w:line="292" w:lineRule="exact" w:before="18"/>
              <w:ind w:left="565" w:right="-29" w:hanging="452"/>
              <w:jc w:val="left"/>
              <w:rPr>
                <w:rFonts w:ascii="宋体" w:eastAsia="宋体" w:hint="eastAsia"/>
                <w:sz w:val="21"/>
              </w:rPr>
            </w:pPr>
            <w:r>
              <w:rPr>
                <w:rFonts w:ascii="宋体" w:eastAsia="宋体" w:hint="eastAsia"/>
                <w:spacing w:val="-5"/>
                <w:position w:val="2"/>
                <w:sz w:val="21"/>
              </w:rPr>
              <w:t>基本污染物</w:t>
            </w:r>
            <w:r>
              <w:rPr>
                <w:rFonts w:ascii="宋体" w:eastAsia="宋体" w:hint="eastAsia"/>
                <w:position w:val="2"/>
                <w:sz w:val="21"/>
              </w:rPr>
              <w:t>（</w:t>
            </w:r>
            <w:r>
              <w:rPr>
                <w:position w:val="2"/>
                <w:sz w:val="21"/>
              </w:rPr>
              <w:t>SO</w:t>
            </w:r>
            <w:r>
              <w:rPr>
                <w:sz w:val="14"/>
              </w:rPr>
              <w:t>2</w:t>
            </w:r>
            <w:r>
              <w:rPr>
                <w:rFonts w:ascii="宋体" w:eastAsia="宋体" w:hint="eastAsia"/>
                <w:spacing w:val="-17"/>
                <w:position w:val="2"/>
                <w:sz w:val="21"/>
              </w:rPr>
              <w:t>、</w:t>
            </w:r>
            <w:r>
              <w:rPr>
                <w:position w:val="2"/>
                <w:sz w:val="21"/>
              </w:rPr>
              <w:t>NO</w:t>
            </w:r>
            <w:r>
              <w:rPr>
                <w:sz w:val="14"/>
              </w:rPr>
              <w:t>2</w:t>
            </w:r>
            <w:r>
              <w:rPr>
                <w:rFonts w:ascii="宋体" w:eastAsia="宋体" w:hint="eastAsia"/>
                <w:spacing w:val="-17"/>
                <w:position w:val="2"/>
                <w:sz w:val="21"/>
              </w:rPr>
              <w:t>、</w:t>
            </w:r>
            <w:r>
              <w:rPr>
                <w:position w:val="2"/>
                <w:sz w:val="21"/>
              </w:rPr>
              <w:t>CO</w:t>
            </w:r>
            <w:r>
              <w:rPr>
                <w:rFonts w:ascii="宋体" w:eastAsia="宋体" w:hint="eastAsia"/>
                <w:spacing w:val="-17"/>
                <w:position w:val="2"/>
                <w:sz w:val="21"/>
              </w:rPr>
              <w:t>、</w:t>
            </w:r>
            <w:r>
              <w:rPr>
                <w:position w:val="2"/>
                <w:sz w:val="21"/>
              </w:rPr>
              <w:t>O</w:t>
            </w:r>
            <w:r>
              <w:rPr>
                <w:sz w:val="14"/>
              </w:rPr>
              <w:t>3</w:t>
            </w:r>
            <w:r>
              <w:rPr>
                <w:rFonts w:ascii="宋体" w:eastAsia="宋体" w:hint="eastAsia"/>
                <w:spacing w:val="-15"/>
                <w:position w:val="2"/>
                <w:sz w:val="21"/>
              </w:rPr>
              <w:t>、</w:t>
            </w:r>
            <w:r>
              <w:rPr>
                <w:position w:val="2"/>
                <w:sz w:val="21"/>
              </w:rPr>
              <w:t>PM</w:t>
            </w:r>
            <w:r>
              <w:rPr>
                <w:sz w:val="14"/>
              </w:rPr>
              <w:t>10</w:t>
            </w:r>
            <w:r>
              <w:rPr>
                <w:rFonts w:ascii="宋体" w:eastAsia="宋体" w:hint="eastAsia"/>
                <w:spacing w:val="-17"/>
                <w:position w:val="2"/>
                <w:sz w:val="21"/>
              </w:rPr>
              <w:t>、</w:t>
            </w:r>
            <w:r>
              <w:rPr>
                <w:position w:val="2"/>
                <w:sz w:val="21"/>
              </w:rPr>
              <w:t>PM</w:t>
            </w:r>
            <w:r>
              <w:rPr>
                <w:sz w:val="14"/>
              </w:rPr>
              <w:t>2.5</w:t>
            </w:r>
            <w:r>
              <w:rPr>
                <w:rFonts w:ascii="宋体" w:eastAsia="宋体" w:hint="eastAsia"/>
                <w:position w:val="2"/>
                <w:sz w:val="21"/>
              </w:rPr>
              <w:t>） </w:t>
            </w:r>
            <w:r>
              <w:rPr>
                <w:rFonts w:ascii="宋体" w:eastAsia="宋体" w:hint="eastAsia"/>
                <w:spacing w:val="-2"/>
                <w:sz w:val="21"/>
              </w:rPr>
              <w:t>其他污染物</w:t>
            </w:r>
            <w:r>
              <w:rPr>
                <w:rFonts w:ascii="宋体" w:eastAsia="宋体" w:hint="eastAsia"/>
                <w:sz w:val="21"/>
              </w:rPr>
              <w:t>（</w:t>
            </w:r>
            <w:r>
              <w:rPr>
                <w:rFonts w:ascii="宋体" w:eastAsia="宋体" w:hint="eastAsia"/>
                <w:spacing w:val="-3"/>
                <w:sz w:val="21"/>
              </w:rPr>
              <w:t>氨、硫化氢、臭气浓度</w:t>
            </w:r>
            <w:r>
              <w:rPr>
                <w:rFonts w:ascii="宋体" w:eastAsia="宋体" w:hint="eastAsia"/>
                <w:sz w:val="21"/>
              </w:rPr>
              <w:t>）</w:t>
            </w:r>
          </w:p>
        </w:tc>
        <w:tc>
          <w:tcPr>
            <w:tcW w:w="1976" w:type="dxa"/>
            <w:gridSpan w:val="6"/>
            <w:tcBorders>
              <w:top w:val="single" w:sz="6" w:space="0" w:color="000000"/>
              <w:left w:val="single" w:sz="6" w:space="0" w:color="000000"/>
              <w:bottom w:val="single" w:sz="6" w:space="0" w:color="000000"/>
            </w:tcBorders>
          </w:tcPr>
          <w:p>
            <w:pPr>
              <w:pStyle w:val="TableParagraph"/>
              <w:spacing w:line="312" w:lineRule="exact" w:before="2"/>
              <w:ind w:left="107" w:right="80" w:firstLine="88"/>
              <w:jc w:val="left"/>
              <w:rPr>
                <w:rFonts w:ascii="Wingdings" w:hAnsi="Wingdings"/>
                <w:sz w:val="21"/>
              </w:rPr>
            </w:pPr>
            <w:r>
              <w:rPr>
                <w:rFonts w:ascii="宋体" w:hAnsi="宋体"/>
                <w:position w:val="2"/>
                <w:sz w:val="21"/>
              </w:rPr>
              <w:t>包括二次 </w:t>
            </w:r>
            <w:r>
              <w:rPr>
                <w:position w:val="2"/>
                <w:sz w:val="21"/>
              </w:rPr>
              <w:t>PM</w:t>
            </w:r>
            <w:r>
              <w:rPr>
                <w:sz w:val="14"/>
              </w:rPr>
              <w:t>2.5</w:t>
            </w:r>
            <w:r>
              <w:rPr>
                <w:rFonts w:ascii="宋体" w:hAnsi="宋体"/>
                <w:position w:val="2"/>
                <w:sz w:val="21"/>
              </w:rPr>
              <w:t>□ 不包括二次</w:t>
            </w:r>
            <w:r>
              <w:rPr>
                <w:position w:val="2"/>
                <w:sz w:val="21"/>
              </w:rPr>
              <w:t>PM</w:t>
            </w:r>
            <w:r>
              <w:rPr>
                <w:sz w:val="14"/>
              </w:rPr>
              <w:t>2.5</w:t>
            </w:r>
            <w:r>
              <w:rPr>
                <w:rFonts w:ascii="Wingdings" w:hAnsi="Wingdings"/>
                <w:position w:val="2"/>
                <w:sz w:val="21"/>
              </w:rPr>
              <w:t></w:t>
            </w:r>
          </w:p>
        </w:tc>
      </w:tr>
      <w:tr>
        <w:trPr>
          <w:trHeight w:val="310" w:hRule="atLeast"/>
        </w:trPr>
        <w:tc>
          <w:tcPr>
            <w:tcW w:w="1066" w:type="dxa"/>
            <w:tcBorders>
              <w:top w:val="single" w:sz="6" w:space="0" w:color="000000"/>
              <w:bottom w:val="single" w:sz="6" w:space="0" w:color="000000"/>
              <w:right w:val="single" w:sz="6" w:space="0" w:color="000000"/>
            </w:tcBorders>
          </w:tcPr>
          <w:p>
            <w:pPr>
              <w:pStyle w:val="TableParagraph"/>
              <w:spacing w:before="22"/>
              <w:ind w:left="90" w:right="67"/>
              <w:rPr>
                <w:rFonts w:ascii="宋体" w:eastAsia="宋体" w:hint="eastAsia"/>
                <w:sz w:val="21"/>
              </w:rPr>
            </w:pPr>
            <w:r>
              <w:rPr>
                <w:rFonts w:ascii="宋体" w:eastAsia="宋体" w:hint="eastAsia"/>
                <w:sz w:val="21"/>
              </w:rPr>
              <w:t>评价标准</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29"/>
              <w:rPr>
                <w:rFonts w:ascii="宋体" w:eastAsia="宋体" w:hint="eastAsia"/>
                <w:sz w:val="21"/>
              </w:rPr>
            </w:pPr>
            <w:r>
              <w:rPr>
                <w:rFonts w:ascii="宋体" w:eastAsia="宋体" w:hint="eastAsia"/>
                <w:sz w:val="21"/>
              </w:rPr>
              <w:t>评价标准</w:t>
            </w:r>
          </w:p>
        </w:tc>
        <w:tc>
          <w:tcPr>
            <w:tcW w:w="160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292"/>
              <w:jc w:val="left"/>
              <w:rPr>
                <w:rFonts w:ascii="Wingdings" w:hAnsi="Wingdings"/>
                <w:sz w:val="21"/>
              </w:rPr>
            </w:pPr>
            <w:r>
              <w:rPr>
                <w:rFonts w:ascii="宋体" w:hAnsi="宋体"/>
                <w:sz w:val="21"/>
              </w:rPr>
              <w:t>国家标准</w:t>
            </w:r>
            <w:r>
              <w:rPr>
                <w:rFonts w:ascii="Wingdings" w:hAnsi="Wingdings"/>
                <w:sz w:val="21"/>
              </w:rPr>
              <w:t></w:t>
            </w:r>
          </w:p>
        </w:tc>
        <w:tc>
          <w:tcPr>
            <w:tcW w:w="173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346"/>
              <w:jc w:val="left"/>
              <w:rPr>
                <w:rFonts w:ascii="宋体" w:hAnsi="宋体" w:eastAsia="宋体" w:hint="eastAsia"/>
                <w:sz w:val="21"/>
              </w:rPr>
            </w:pPr>
            <w:r>
              <w:rPr>
                <w:rFonts w:ascii="宋体" w:hAnsi="宋体" w:eastAsia="宋体" w:hint="eastAsia"/>
                <w:sz w:val="21"/>
              </w:rPr>
              <w:t>地方标准□</w:t>
            </w:r>
          </w:p>
        </w:tc>
        <w:tc>
          <w:tcPr>
            <w:tcW w:w="1843"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517"/>
              <w:jc w:val="left"/>
              <w:rPr>
                <w:rFonts w:ascii="Wingdings" w:hAnsi="Wingdings"/>
                <w:sz w:val="21"/>
              </w:rPr>
            </w:pPr>
            <w:r>
              <w:rPr>
                <w:rFonts w:ascii="宋体" w:hAnsi="宋体"/>
                <w:sz w:val="21"/>
              </w:rPr>
              <w:t>附录</w:t>
            </w:r>
            <w:r>
              <w:rPr>
                <w:sz w:val="21"/>
              </w:rPr>
              <w:t>D</w:t>
            </w:r>
            <w:r>
              <w:rPr>
                <w:rFonts w:ascii="Wingdings" w:hAnsi="Wingdings"/>
                <w:sz w:val="21"/>
              </w:rPr>
              <w:t></w:t>
            </w:r>
          </w:p>
        </w:tc>
        <w:tc>
          <w:tcPr>
            <w:tcW w:w="1496" w:type="dxa"/>
            <w:gridSpan w:val="4"/>
            <w:tcBorders>
              <w:top w:val="single" w:sz="6" w:space="0" w:color="000000"/>
              <w:left w:val="single" w:sz="6" w:space="0" w:color="000000"/>
              <w:bottom w:val="single" w:sz="6" w:space="0" w:color="000000"/>
            </w:tcBorders>
          </w:tcPr>
          <w:p>
            <w:pPr>
              <w:pStyle w:val="TableParagraph"/>
              <w:spacing w:before="22"/>
              <w:ind w:left="222"/>
              <w:jc w:val="left"/>
              <w:rPr>
                <w:rFonts w:ascii="宋体" w:hAnsi="宋体" w:eastAsia="宋体" w:hint="eastAsia"/>
                <w:sz w:val="21"/>
              </w:rPr>
            </w:pPr>
            <w:r>
              <w:rPr>
                <w:rFonts w:ascii="宋体" w:hAnsi="宋体" w:eastAsia="宋体" w:hint="eastAsia"/>
                <w:sz w:val="21"/>
              </w:rPr>
              <w:t>其他标准□</w:t>
            </w:r>
          </w:p>
        </w:tc>
      </w:tr>
      <w:tr>
        <w:trPr>
          <w:trHeight w:val="311" w:hRule="atLeast"/>
        </w:trPr>
        <w:tc>
          <w:tcPr>
            <w:tcW w:w="1066"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55"/>
              <w:ind w:left="112"/>
              <w:jc w:val="left"/>
              <w:rPr>
                <w:rFonts w:ascii="宋体" w:eastAsia="宋体" w:hint="eastAsia"/>
                <w:sz w:val="21"/>
              </w:rPr>
            </w:pPr>
            <w:r>
              <w:rPr>
                <w:rFonts w:ascii="宋体" w:eastAsia="宋体" w:hint="eastAsia"/>
                <w:sz w:val="21"/>
              </w:rPr>
              <w:t>现状评价</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29"/>
              <w:rPr>
                <w:rFonts w:ascii="宋体" w:eastAsia="宋体" w:hint="eastAsia"/>
                <w:sz w:val="21"/>
              </w:rPr>
            </w:pPr>
            <w:r>
              <w:rPr>
                <w:rFonts w:ascii="宋体" w:eastAsia="宋体" w:hint="eastAsia"/>
                <w:sz w:val="21"/>
              </w:rPr>
              <w:t>环境功能区</w:t>
            </w:r>
          </w:p>
        </w:tc>
        <w:tc>
          <w:tcPr>
            <w:tcW w:w="24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810"/>
              <w:jc w:val="left"/>
              <w:rPr>
                <w:rFonts w:ascii="宋体" w:hAnsi="宋体" w:eastAsia="宋体" w:hint="eastAsia"/>
                <w:sz w:val="21"/>
              </w:rPr>
            </w:pPr>
            <w:r>
              <w:rPr>
                <w:rFonts w:ascii="宋体" w:hAnsi="宋体" w:eastAsia="宋体" w:hint="eastAsia"/>
                <w:sz w:val="21"/>
              </w:rPr>
              <w:t>一类区□</w:t>
            </w:r>
          </w:p>
        </w:tc>
        <w:tc>
          <w:tcPr>
            <w:tcW w:w="2247"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717"/>
              <w:jc w:val="left"/>
              <w:rPr>
                <w:rFonts w:ascii="Wingdings" w:hAnsi="Wingdings"/>
                <w:sz w:val="21"/>
              </w:rPr>
            </w:pPr>
            <w:r>
              <w:rPr>
                <w:rFonts w:ascii="宋体" w:hAnsi="宋体"/>
                <w:sz w:val="21"/>
              </w:rPr>
              <w:t>二类区</w:t>
            </w:r>
            <w:r>
              <w:rPr>
                <w:rFonts w:ascii="Wingdings" w:hAnsi="Wingdings"/>
                <w:sz w:val="21"/>
              </w:rPr>
              <w:t></w:t>
            </w:r>
          </w:p>
        </w:tc>
        <w:tc>
          <w:tcPr>
            <w:tcW w:w="1976" w:type="dxa"/>
            <w:gridSpan w:val="6"/>
            <w:tcBorders>
              <w:top w:val="single" w:sz="6" w:space="0" w:color="000000"/>
              <w:left w:val="single" w:sz="6" w:space="0" w:color="000000"/>
              <w:bottom w:val="single" w:sz="6" w:space="0" w:color="000000"/>
            </w:tcBorders>
          </w:tcPr>
          <w:p>
            <w:pPr>
              <w:pStyle w:val="TableParagraph"/>
              <w:spacing w:before="22"/>
              <w:ind w:left="148"/>
              <w:jc w:val="left"/>
              <w:rPr>
                <w:rFonts w:ascii="宋体" w:hAnsi="宋体" w:eastAsia="宋体" w:hint="eastAsia"/>
                <w:sz w:val="21"/>
              </w:rPr>
            </w:pPr>
            <w:r>
              <w:rPr>
                <w:rFonts w:ascii="宋体" w:hAnsi="宋体" w:eastAsia="宋体" w:hint="eastAsia"/>
                <w:sz w:val="21"/>
              </w:rPr>
              <w:t>一类区和二类区□</w:t>
            </w:r>
          </w:p>
        </w:tc>
      </w:tr>
      <w:tr>
        <w:trPr>
          <w:trHeight w:val="311"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29"/>
              <w:rPr>
                <w:rFonts w:ascii="宋体" w:eastAsia="宋体" w:hint="eastAsia"/>
                <w:sz w:val="21"/>
              </w:rPr>
            </w:pPr>
            <w:r>
              <w:rPr>
                <w:rFonts w:ascii="宋体" w:eastAsia="宋体" w:hint="eastAsia"/>
                <w:sz w:val="21"/>
              </w:rPr>
              <w:t>评价基准年</w:t>
            </w:r>
          </w:p>
        </w:tc>
        <w:tc>
          <w:tcPr>
            <w:tcW w:w="6676" w:type="dxa"/>
            <w:gridSpan w:val="16"/>
            <w:tcBorders>
              <w:top w:val="single" w:sz="6" w:space="0" w:color="000000"/>
              <w:left w:val="single" w:sz="6" w:space="0" w:color="000000"/>
              <w:bottom w:val="single" w:sz="6" w:space="0" w:color="000000"/>
            </w:tcBorders>
          </w:tcPr>
          <w:p>
            <w:pPr>
              <w:pStyle w:val="TableParagraph"/>
              <w:spacing w:before="22"/>
              <w:ind w:left="2796" w:right="2767"/>
              <w:rPr>
                <w:rFonts w:ascii="宋体" w:eastAsia="宋体" w:hint="eastAsia"/>
                <w:sz w:val="21"/>
              </w:rPr>
            </w:pPr>
            <w:r>
              <w:rPr>
                <w:rFonts w:ascii="宋体" w:eastAsia="宋体" w:hint="eastAsia"/>
                <w:sz w:val="21"/>
              </w:rPr>
              <w:t>（</w:t>
            </w:r>
            <w:r>
              <w:rPr>
                <w:sz w:val="21"/>
              </w:rPr>
              <w:t>2019</w:t>
            </w:r>
            <w:r>
              <w:rPr>
                <w:rFonts w:ascii="宋体" w:eastAsia="宋体" w:hint="eastAsia"/>
                <w:sz w:val="21"/>
              </w:rPr>
              <w:t>）年</w:t>
            </w:r>
          </w:p>
        </w:tc>
      </w:tr>
      <w:tr>
        <w:trPr>
          <w:trHeight w:val="623"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116"/>
              <w:jc w:val="left"/>
              <w:rPr>
                <w:rFonts w:ascii="宋体" w:eastAsia="宋体" w:hint="eastAsia"/>
                <w:sz w:val="21"/>
              </w:rPr>
            </w:pPr>
            <w:r>
              <w:rPr>
                <w:rFonts w:ascii="宋体" w:eastAsia="宋体" w:hint="eastAsia"/>
                <w:spacing w:val="-2"/>
                <w:sz w:val="21"/>
              </w:rPr>
              <w:t>环境空气质量现</w:t>
            </w:r>
          </w:p>
          <w:p>
            <w:pPr>
              <w:pStyle w:val="TableParagraph"/>
              <w:spacing w:before="43"/>
              <w:ind w:left="116"/>
              <w:jc w:val="left"/>
              <w:rPr>
                <w:rFonts w:ascii="宋体" w:eastAsia="宋体" w:hint="eastAsia"/>
                <w:sz w:val="21"/>
              </w:rPr>
            </w:pPr>
            <w:r>
              <w:rPr>
                <w:rFonts w:ascii="宋体" w:eastAsia="宋体" w:hint="eastAsia"/>
                <w:spacing w:val="-2"/>
                <w:sz w:val="21"/>
              </w:rPr>
              <w:t>状调差数据来源</w:t>
            </w:r>
          </w:p>
        </w:tc>
        <w:tc>
          <w:tcPr>
            <w:tcW w:w="24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178"/>
              <w:ind w:left="296"/>
              <w:jc w:val="left"/>
              <w:rPr>
                <w:rFonts w:ascii="Wingdings" w:hAnsi="Wingdings"/>
                <w:sz w:val="21"/>
              </w:rPr>
            </w:pPr>
            <w:r>
              <w:rPr>
                <w:rFonts w:ascii="宋体" w:hAnsi="宋体"/>
                <w:sz w:val="21"/>
              </w:rPr>
              <w:t>长期例行监测数据</w:t>
            </w:r>
            <w:r>
              <w:rPr>
                <w:rFonts w:ascii="Wingdings" w:hAnsi="Wingdings"/>
                <w:sz w:val="21"/>
              </w:rPr>
              <w:t></w:t>
            </w:r>
          </w:p>
        </w:tc>
        <w:tc>
          <w:tcPr>
            <w:tcW w:w="2439"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78"/>
              <w:ind w:left="181"/>
              <w:jc w:val="left"/>
              <w:rPr>
                <w:rFonts w:ascii="Wingdings" w:hAnsi="Wingdings"/>
                <w:sz w:val="21"/>
              </w:rPr>
            </w:pPr>
            <w:r>
              <w:rPr>
                <w:rFonts w:ascii="宋体" w:hAnsi="宋体"/>
                <w:sz w:val="21"/>
              </w:rPr>
              <w:t>主管部门发布的数据</w:t>
            </w:r>
            <w:r>
              <w:rPr>
                <w:rFonts w:ascii="Wingdings" w:hAnsi="Wingdings"/>
                <w:sz w:val="21"/>
              </w:rPr>
              <w:t></w:t>
            </w:r>
          </w:p>
        </w:tc>
        <w:tc>
          <w:tcPr>
            <w:tcW w:w="1784" w:type="dxa"/>
            <w:gridSpan w:val="5"/>
            <w:tcBorders>
              <w:top w:val="single" w:sz="6" w:space="0" w:color="000000"/>
              <w:left w:val="single" w:sz="6" w:space="0" w:color="000000"/>
              <w:bottom w:val="single" w:sz="6" w:space="0" w:color="000000"/>
            </w:tcBorders>
          </w:tcPr>
          <w:p>
            <w:pPr>
              <w:pStyle w:val="TableParagraph"/>
              <w:spacing w:before="178"/>
              <w:ind w:left="169"/>
              <w:jc w:val="left"/>
              <w:rPr>
                <w:rFonts w:ascii="Wingdings" w:hAnsi="Wingdings"/>
                <w:sz w:val="21"/>
              </w:rPr>
            </w:pPr>
            <w:r>
              <w:rPr>
                <w:rFonts w:ascii="宋体" w:hAnsi="宋体"/>
                <w:sz w:val="21"/>
              </w:rPr>
              <w:t>现状补充监测</w:t>
            </w:r>
            <w:r>
              <w:rPr>
                <w:rFonts w:ascii="Wingdings" w:hAnsi="Wingdings"/>
                <w:sz w:val="21"/>
              </w:rPr>
              <w:t></w:t>
            </w:r>
          </w:p>
        </w:tc>
      </w:tr>
      <w:tr>
        <w:trPr>
          <w:trHeight w:val="313"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5"/>
              <w:ind w:left="29"/>
              <w:rPr>
                <w:rFonts w:ascii="宋体" w:eastAsia="宋体" w:hint="eastAsia"/>
                <w:sz w:val="21"/>
              </w:rPr>
            </w:pPr>
            <w:r>
              <w:rPr>
                <w:rFonts w:ascii="宋体" w:eastAsia="宋体" w:hint="eastAsia"/>
                <w:sz w:val="21"/>
              </w:rPr>
              <w:t>现状评价</w:t>
            </w:r>
          </w:p>
        </w:tc>
        <w:tc>
          <w:tcPr>
            <w:tcW w:w="3802" w:type="dxa"/>
            <w:gridSpan w:val="8"/>
            <w:tcBorders>
              <w:top w:val="single" w:sz="6" w:space="0" w:color="000000"/>
              <w:left w:val="single" w:sz="6" w:space="0" w:color="000000"/>
              <w:bottom w:val="single" w:sz="6" w:space="0" w:color="000000"/>
              <w:right w:val="single" w:sz="6" w:space="0" w:color="000000"/>
            </w:tcBorders>
          </w:tcPr>
          <w:p>
            <w:pPr>
              <w:pStyle w:val="TableParagraph"/>
              <w:spacing w:before="25"/>
              <w:ind w:left="1466" w:right="1441"/>
              <w:rPr>
                <w:rFonts w:ascii="宋体" w:hAnsi="宋体" w:eastAsia="宋体" w:hint="eastAsia"/>
                <w:sz w:val="21"/>
              </w:rPr>
            </w:pPr>
            <w:r>
              <w:rPr>
                <w:rFonts w:ascii="宋体" w:hAnsi="宋体" w:eastAsia="宋体" w:hint="eastAsia"/>
                <w:sz w:val="21"/>
              </w:rPr>
              <w:t>达标区□</w:t>
            </w:r>
          </w:p>
        </w:tc>
        <w:tc>
          <w:tcPr>
            <w:tcW w:w="2874" w:type="dxa"/>
            <w:gridSpan w:val="8"/>
            <w:tcBorders>
              <w:top w:val="single" w:sz="6" w:space="0" w:color="000000"/>
              <w:left w:val="single" w:sz="6" w:space="0" w:color="000000"/>
              <w:bottom w:val="single" w:sz="6" w:space="0" w:color="000000"/>
            </w:tcBorders>
          </w:tcPr>
          <w:p>
            <w:pPr>
              <w:pStyle w:val="TableParagraph"/>
              <w:spacing w:before="25"/>
              <w:ind w:left="923"/>
              <w:jc w:val="left"/>
              <w:rPr>
                <w:rFonts w:ascii="Wingdings" w:hAnsi="Wingdings"/>
                <w:sz w:val="21"/>
              </w:rPr>
            </w:pPr>
            <w:r>
              <w:rPr>
                <w:rFonts w:ascii="宋体" w:hAnsi="宋体"/>
                <w:sz w:val="21"/>
              </w:rPr>
              <w:t>不达标区</w:t>
            </w:r>
            <w:r>
              <w:rPr>
                <w:rFonts w:ascii="Wingdings" w:hAnsi="Wingdings"/>
                <w:sz w:val="21"/>
              </w:rPr>
              <w:t></w:t>
            </w:r>
          </w:p>
        </w:tc>
      </w:tr>
      <w:tr>
        <w:trPr>
          <w:trHeight w:val="935" w:hRule="atLeast"/>
        </w:trPr>
        <w:tc>
          <w:tcPr>
            <w:tcW w:w="1066" w:type="dxa"/>
            <w:tcBorders>
              <w:top w:val="single" w:sz="6" w:space="0" w:color="000000"/>
              <w:bottom w:val="single" w:sz="6" w:space="0" w:color="000000"/>
              <w:right w:val="single" w:sz="6" w:space="0" w:color="000000"/>
            </w:tcBorders>
          </w:tcPr>
          <w:p>
            <w:pPr>
              <w:pStyle w:val="TableParagraph"/>
              <w:spacing w:line="278" w:lineRule="auto" w:before="178"/>
              <w:ind w:left="426" w:right="86" w:hanging="315"/>
              <w:jc w:val="left"/>
              <w:rPr>
                <w:rFonts w:ascii="宋体" w:eastAsia="宋体" w:hint="eastAsia"/>
                <w:sz w:val="21"/>
              </w:rPr>
            </w:pPr>
            <w:r>
              <w:rPr>
                <w:rFonts w:ascii="宋体" w:eastAsia="宋体" w:hint="eastAsia"/>
                <w:sz w:val="21"/>
              </w:rPr>
              <w:t>污染源调查</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26"/>
              </w:rPr>
            </w:pPr>
          </w:p>
          <w:p>
            <w:pPr>
              <w:pStyle w:val="TableParagraph"/>
              <w:spacing w:before="0"/>
              <w:ind w:left="29"/>
              <w:rPr>
                <w:rFonts w:ascii="宋体" w:eastAsia="宋体" w:hint="eastAsia"/>
                <w:sz w:val="21"/>
              </w:rPr>
            </w:pPr>
            <w:r>
              <w:rPr>
                <w:rFonts w:ascii="宋体" w:eastAsia="宋体" w:hint="eastAsia"/>
                <w:sz w:val="21"/>
              </w:rPr>
              <w:t>调查内容</w:t>
            </w:r>
          </w:p>
        </w:tc>
        <w:tc>
          <w:tcPr>
            <w:tcW w:w="24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191" w:firstLine="105"/>
              <w:jc w:val="left"/>
              <w:rPr>
                <w:rFonts w:ascii="Wingdings" w:hAnsi="Wingdings"/>
                <w:sz w:val="21"/>
              </w:rPr>
            </w:pPr>
            <w:r>
              <w:rPr>
                <w:rFonts w:ascii="宋体" w:hAnsi="宋体"/>
                <w:sz w:val="21"/>
              </w:rPr>
              <w:t>本项目正常排放源</w:t>
            </w:r>
            <w:r>
              <w:rPr>
                <w:rFonts w:ascii="Wingdings" w:hAnsi="Wingdings"/>
                <w:sz w:val="21"/>
              </w:rPr>
              <w:t></w:t>
            </w:r>
          </w:p>
          <w:p>
            <w:pPr>
              <w:pStyle w:val="TableParagraph"/>
              <w:spacing w:line="310" w:lineRule="atLeast" w:before="2"/>
              <w:ind w:left="601" w:right="164" w:hanging="411"/>
              <w:jc w:val="left"/>
              <w:rPr>
                <w:rFonts w:ascii="宋体" w:hAnsi="宋体" w:eastAsia="宋体" w:hint="eastAsia"/>
                <w:sz w:val="21"/>
              </w:rPr>
            </w:pPr>
            <w:r>
              <w:rPr>
                <w:rFonts w:ascii="宋体" w:hAnsi="宋体" w:eastAsia="宋体" w:hint="eastAsia"/>
                <w:sz w:val="21"/>
              </w:rPr>
              <w:t>本项目非正常排放源</w:t>
            </w:r>
            <w:r>
              <w:rPr>
                <w:rFonts w:ascii="Wingdings" w:hAnsi="Wingdings" w:eastAsia="Wingdings"/>
                <w:sz w:val="21"/>
              </w:rPr>
              <w:t></w:t>
            </w:r>
            <w:r>
              <w:rPr>
                <w:sz w:val="21"/>
              </w:rPr>
              <w:t> </w:t>
            </w:r>
            <w:r>
              <w:rPr>
                <w:rFonts w:ascii="宋体" w:hAnsi="宋体" w:eastAsia="宋体" w:hint="eastAsia"/>
                <w:sz w:val="21"/>
              </w:rPr>
              <w:t>现有污染源□</w:t>
            </w:r>
          </w:p>
        </w:tc>
        <w:tc>
          <w:tcPr>
            <w:tcW w:w="1139" w:type="dxa"/>
            <w:gridSpan w:val="3"/>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162" w:right="126" w:hanging="10"/>
              <w:jc w:val="left"/>
              <w:rPr>
                <w:rFonts w:ascii="Wingdings" w:hAnsi="Wingdings"/>
                <w:sz w:val="21"/>
              </w:rPr>
            </w:pPr>
            <w:r>
              <w:rPr>
                <w:rFonts w:ascii="宋体" w:hAnsi="宋体"/>
                <w:sz w:val="21"/>
              </w:rPr>
              <w:t>拟替代的污染源</w:t>
            </w:r>
            <w:r>
              <w:rPr>
                <w:rFonts w:ascii="Wingdings" w:hAnsi="Wingdings"/>
                <w:sz w:val="21"/>
              </w:rPr>
              <w:t></w:t>
            </w:r>
          </w:p>
        </w:tc>
        <w:tc>
          <w:tcPr>
            <w:tcW w:w="1715" w:type="dxa"/>
            <w:gridSpan w:val="6"/>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238" w:right="101" w:hanging="116"/>
              <w:jc w:val="left"/>
              <w:rPr>
                <w:rFonts w:ascii="Wingdings" w:hAnsi="Wingdings"/>
                <w:sz w:val="21"/>
              </w:rPr>
            </w:pPr>
            <w:r>
              <w:rPr>
                <w:rFonts w:ascii="宋体" w:hAnsi="宋体"/>
                <w:sz w:val="21"/>
              </w:rPr>
              <w:t>其他在建、拟建项目污染源</w:t>
            </w:r>
            <w:r>
              <w:rPr>
                <w:rFonts w:ascii="Wingdings" w:hAnsi="Wingdings"/>
                <w:sz w:val="21"/>
              </w:rPr>
              <w:t></w:t>
            </w:r>
          </w:p>
        </w:tc>
        <w:tc>
          <w:tcPr>
            <w:tcW w:w="1369" w:type="dxa"/>
            <w:gridSpan w:val="3"/>
            <w:tcBorders>
              <w:top w:val="single" w:sz="6" w:space="0" w:color="000000"/>
              <w:left w:val="single" w:sz="6" w:space="0" w:color="000000"/>
              <w:bottom w:val="single" w:sz="6" w:space="0" w:color="000000"/>
            </w:tcBorders>
          </w:tcPr>
          <w:p>
            <w:pPr>
              <w:pStyle w:val="TableParagraph"/>
              <w:spacing w:before="178"/>
              <w:ind w:left="139" w:right="116"/>
              <w:rPr>
                <w:rFonts w:ascii="宋体" w:eastAsia="宋体" w:hint="eastAsia"/>
                <w:sz w:val="21"/>
              </w:rPr>
            </w:pPr>
            <w:r>
              <w:rPr>
                <w:rFonts w:ascii="宋体" w:eastAsia="宋体" w:hint="eastAsia"/>
                <w:sz w:val="21"/>
              </w:rPr>
              <w:t>区域污染源</w:t>
            </w:r>
          </w:p>
          <w:p>
            <w:pPr>
              <w:pStyle w:val="TableParagraph"/>
              <w:spacing w:before="55"/>
              <w:ind w:left="21"/>
              <w:rPr>
                <w:rFonts w:ascii="Wingdings" w:hAnsi="Wingdings"/>
                <w:sz w:val="21"/>
              </w:rPr>
            </w:pPr>
            <w:r>
              <w:rPr>
                <w:rFonts w:ascii="Wingdings" w:hAnsi="Wingdings"/>
                <w:w w:val="101"/>
                <w:sz w:val="21"/>
              </w:rPr>
              <w:t></w:t>
            </w:r>
          </w:p>
        </w:tc>
      </w:tr>
      <w:tr>
        <w:trPr>
          <w:trHeight w:val="623" w:hRule="atLeast"/>
        </w:trPr>
        <w:tc>
          <w:tcPr>
            <w:tcW w:w="1066"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78" w:lineRule="auto" w:before="160"/>
              <w:ind w:left="112" w:right="86"/>
              <w:jc w:val="both"/>
              <w:rPr>
                <w:rFonts w:ascii="宋体" w:eastAsia="宋体" w:hint="eastAsia"/>
                <w:sz w:val="21"/>
              </w:rPr>
            </w:pPr>
            <w:r>
              <w:rPr>
                <w:rFonts w:ascii="宋体" w:eastAsia="宋体" w:hint="eastAsia"/>
                <w:sz w:val="21"/>
              </w:rPr>
              <w:t>大气环境影响预测与评价</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178"/>
              <w:ind w:left="29"/>
              <w:rPr>
                <w:rFonts w:ascii="宋体" w:eastAsia="宋体" w:hint="eastAsia"/>
                <w:sz w:val="21"/>
              </w:rPr>
            </w:pPr>
            <w:r>
              <w:rPr>
                <w:rFonts w:ascii="宋体" w:eastAsia="宋体" w:hint="eastAsia"/>
                <w:sz w:val="21"/>
              </w:rPr>
              <w:t>预测模型</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52"/>
              <w:ind w:left="96" w:right="68"/>
              <w:rPr>
                <w:sz w:val="18"/>
              </w:rPr>
            </w:pPr>
            <w:r>
              <w:rPr>
                <w:sz w:val="18"/>
              </w:rPr>
              <w:t>AERMOD</w:t>
            </w:r>
          </w:p>
          <w:p>
            <w:pPr>
              <w:pStyle w:val="TableParagraph"/>
              <w:spacing w:before="104"/>
              <w:ind w:left="27"/>
              <w:rPr>
                <w:rFonts w:ascii="Wingdings" w:hAnsi="Wingdings"/>
                <w:sz w:val="18"/>
              </w:rPr>
            </w:pPr>
            <w:r>
              <w:rPr>
                <w:rFonts w:ascii="Wingdings" w:hAnsi="Wingdings"/>
                <w:w w:val="101"/>
                <w:sz w:val="18"/>
              </w:rPr>
              <w:t></w:t>
            </w:r>
          </w:p>
        </w:tc>
        <w:tc>
          <w:tcPr>
            <w:tcW w:w="74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2"/>
              <w:ind w:left="93" w:right="71"/>
              <w:rPr>
                <w:sz w:val="18"/>
              </w:rPr>
            </w:pPr>
            <w:r>
              <w:rPr>
                <w:sz w:val="18"/>
              </w:rPr>
              <w:t>ADMS</w:t>
            </w:r>
          </w:p>
          <w:p>
            <w:pPr>
              <w:pStyle w:val="TableParagraph"/>
              <w:spacing w:before="75"/>
              <w:ind w:left="25"/>
              <w:rPr>
                <w:rFonts w:ascii="宋体" w:hAnsi="宋体"/>
                <w:sz w:val="21"/>
              </w:rPr>
            </w:pPr>
            <w:r>
              <w:rPr>
                <w:rFonts w:ascii="宋体" w:hAnsi="宋体"/>
                <w:w w:val="100"/>
                <w:sz w:val="21"/>
              </w:rPr>
              <w:t>□</w:t>
            </w:r>
          </w:p>
        </w:tc>
        <w:tc>
          <w:tcPr>
            <w:tcW w:w="1297" w:type="dxa"/>
            <w:gridSpan w:val="2"/>
            <w:tcBorders>
              <w:top w:val="single" w:sz="6" w:space="0" w:color="000000"/>
              <w:left w:val="single" w:sz="6" w:space="0" w:color="000000"/>
              <w:bottom w:val="single" w:sz="6" w:space="0" w:color="000000"/>
              <w:right w:val="single" w:sz="6" w:space="0" w:color="000000"/>
            </w:tcBorders>
          </w:tcPr>
          <w:p>
            <w:pPr>
              <w:pStyle w:val="TableParagraph"/>
              <w:spacing w:before="52"/>
              <w:ind w:left="93" w:right="74"/>
              <w:rPr>
                <w:sz w:val="18"/>
              </w:rPr>
            </w:pPr>
            <w:r>
              <w:rPr>
                <w:sz w:val="18"/>
              </w:rPr>
              <w:t>AUSTAL2000</w:t>
            </w:r>
          </w:p>
          <w:p>
            <w:pPr>
              <w:pStyle w:val="TableParagraph"/>
              <w:spacing w:before="75"/>
              <w:ind w:left="18"/>
              <w:rPr>
                <w:rFonts w:ascii="宋体" w:hAnsi="宋体"/>
                <w:sz w:val="21"/>
              </w:rPr>
            </w:pPr>
            <w:r>
              <w:rPr>
                <w:rFonts w:ascii="宋体" w:hAnsi="宋体"/>
                <w:w w:val="100"/>
                <w:sz w:val="21"/>
              </w:rPr>
              <w:t>□</w:t>
            </w:r>
          </w:p>
        </w:tc>
        <w:tc>
          <w:tcPr>
            <w:tcW w:w="12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52"/>
              <w:ind w:left="92" w:right="75"/>
              <w:rPr>
                <w:sz w:val="18"/>
              </w:rPr>
            </w:pPr>
            <w:r>
              <w:rPr>
                <w:sz w:val="18"/>
              </w:rPr>
              <w:t>EDMS/AEDT</w:t>
            </w:r>
          </w:p>
          <w:p>
            <w:pPr>
              <w:pStyle w:val="TableParagraph"/>
              <w:spacing w:before="75"/>
              <w:ind w:left="12"/>
              <w:rPr>
                <w:rFonts w:ascii="宋体" w:hAnsi="宋体"/>
                <w:sz w:val="21"/>
              </w:rPr>
            </w:pPr>
            <w:r>
              <w:rPr>
                <w:rFonts w:ascii="宋体" w:hAnsi="宋体"/>
                <w:w w:val="100"/>
                <w:sz w:val="21"/>
              </w:rPr>
              <w:t>□</w:t>
            </w:r>
          </w:p>
        </w:tc>
        <w:tc>
          <w:tcPr>
            <w:tcW w:w="1015" w:type="dxa"/>
            <w:gridSpan w:val="4"/>
            <w:tcBorders>
              <w:top w:val="single" w:sz="6" w:space="0" w:color="000000"/>
              <w:left w:val="single" w:sz="6" w:space="0" w:color="000000"/>
              <w:bottom w:val="single" w:sz="6" w:space="0" w:color="000000"/>
              <w:right w:val="single" w:sz="6" w:space="0" w:color="000000"/>
            </w:tcBorders>
          </w:tcPr>
          <w:p>
            <w:pPr>
              <w:pStyle w:val="TableParagraph"/>
              <w:spacing w:before="52"/>
              <w:ind w:left="92" w:right="77"/>
              <w:rPr>
                <w:sz w:val="18"/>
              </w:rPr>
            </w:pPr>
            <w:r>
              <w:rPr>
                <w:sz w:val="18"/>
              </w:rPr>
              <w:t>CALPUFF</w:t>
            </w:r>
          </w:p>
          <w:p>
            <w:pPr>
              <w:pStyle w:val="TableParagraph"/>
              <w:spacing w:before="75"/>
              <w:ind w:left="16"/>
              <w:rPr>
                <w:rFonts w:ascii="宋体" w:hAnsi="宋体"/>
                <w:sz w:val="21"/>
              </w:rPr>
            </w:pPr>
            <w:r>
              <w:rPr>
                <w:rFonts w:ascii="宋体" w:hAnsi="宋体"/>
                <w:w w:val="100"/>
                <w:sz w:val="21"/>
              </w:rPr>
              <w:t>□</w:t>
            </w:r>
          </w:p>
        </w:tc>
        <w:tc>
          <w:tcPr>
            <w:tcW w:w="69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20" w:right="104"/>
              <w:rPr>
                <w:rFonts w:ascii="宋体" w:eastAsia="宋体" w:hint="eastAsia"/>
                <w:sz w:val="21"/>
              </w:rPr>
            </w:pPr>
            <w:r>
              <w:rPr>
                <w:rFonts w:ascii="宋体" w:eastAsia="宋体" w:hint="eastAsia"/>
                <w:sz w:val="21"/>
              </w:rPr>
              <w:t>网格</w:t>
            </w:r>
          </w:p>
          <w:p>
            <w:pPr>
              <w:pStyle w:val="TableParagraph"/>
              <w:spacing w:before="43"/>
              <w:ind w:left="16"/>
              <w:rPr>
                <w:rFonts w:ascii="宋体" w:hAnsi="宋体"/>
                <w:sz w:val="21"/>
              </w:rPr>
            </w:pPr>
            <w:r>
              <w:rPr>
                <w:rFonts w:ascii="宋体" w:hAnsi="宋体"/>
                <w:w w:val="100"/>
                <w:sz w:val="21"/>
              </w:rPr>
              <w:t>□</w:t>
            </w:r>
          </w:p>
        </w:tc>
        <w:tc>
          <w:tcPr>
            <w:tcW w:w="670" w:type="dxa"/>
            <w:tcBorders>
              <w:top w:val="single" w:sz="6" w:space="0" w:color="000000"/>
              <w:left w:val="single" w:sz="6" w:space="0" w:color="000000"/>
              <w:bottom w:val="single" w:sz="6" w:space="0" w:color="000000"/>
            </w:tcBorders>
          </w:tcPr>
          <w:p>
            <w:pPr>
              <w:pStyle w:val="TableParagraph"/>
              <w:spacing w:before="22"/>
              <w:ind w:left="126"/>
              <w:jc w:val="left"/>
              <w:rPr>
                <w:rFonts w:ascii="宋体" w:eastAsia="宋体" w:hint="eastAsia"/>
                <w:sz w:val="21"/>
              </w:rPr>
            </w:pPr>
            <w:r>
              <w:rPr>
                <w:rFonts w:ascii="宋体" w:eastAsia="宋体" w:hint="eastAsia"/>
                <w:sz w:val="21"/>
              </w:rPr>
              <w:t>其他</w:t>
            </w:r>
          </w:p>
          <w:p>
            <w:pPr>
              <w:pStyle w:val="TableParagraph"/>
              <w:spacing w:before="43"/>
              <w:ind w:left="229"/>
              <w:jc w:val="left"/>
              <w:rPr>
                <w:rFonts w:ascii="宋体" w:hAnsi="宋体"/>
                <w:sz w:val="21"/>
              </w:rPr>
            </w:pPr>
            <w:r>
              <w:rPr>
                <w:rFonts w:ascii="宋体" w:hAnsi="宋体"/>
                <w:w w:val="100"/>
                <w:sz w:val="21"/>
              </w:rPr>
              <w:t>□</w:t>
            </w:r>
          </w:p>
        </w:tc>
      </w:tr>
      <w:tr>
        <w:trPr>
          <w:trHeight w:val="311"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29"/>
              <w:rPr>
                <w:rFonts w:ascii="宋体" w:eastAsia="宋体" w:hint="eastAsia"/>
                <w:sz w:val="21"/>
              </w:rPr>
            </w:pPr>
            <w:r>
              <w:rPr>
                <w:rFonts w:ascii="宋体" w:eastAsia="宋体" w:hint="eastAsia"/>
                <w:sz w:val="21"/>
              </w:rPr>
              <w:t>预测范围</w:t>
            </w:r>
          </w:p>
        </w:tc>
        <w:tc>
          <w:tcPr>
            <w:tcW w:w="245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524"/>
              <w:jc w:val="left"/>
              <w:rPr>
                <w:rFonts w:ascii="Wingdings" w:hAnsi="Wingdings"/>
                <w:sz w:val="21"/>
              </w:rPr>
            </w:pPr>
            <w:r>
              <w:rPr>
                <w:rFonts w:ascii="宋体" w:hAnsi="宋体"/>
                <w:sz w:val="21"/>
              </w:rPr>
              <w:t>边长</w:t>
            </w:r>
            <w:r>
              <w:rPr>
                <w:sz w:val="21"/>
              </w:rPr>
              <w:t>≥50km</w:t>
            </w:r>
            <w:r>
              <w:rPr>
                <w:rFonts w:ascii="宋体" w:hAnsi="宋体"/>
                <w:sz w:val="21"/>
              </w:rPr>
              <w:t>□</w:t>
            </w:r>
            <w:r>
              <w:rPr>
                <w:rFonts w:ascii="Wingdings" w:hAnsi="Wingdings"/>
                <w:sz w:val="21"/>
              </w:rPr>
              <w:t></w:t>
            </w:r>
          </w:p>
        </w:tc>
        <w:tc>
          <w:tcPr>
            <w:tcW w:w="2247"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436"/>
              <w:jc w:val="left"/>
              <w:rPr>
                <w:rFonts w:ascii="宋体" w:hAnsi="宋体" w:eastAsia="宋体" w:hint="eastAsia"/>
                <w:sz w:val="21"/>
              </w:rPr>
            </w:pPr>
            <w:r>
              <w:rPr>
                <w:rFonts w:ascii="宋体" w:hAnsi="宋体" w:eastAsia="宋体" w:hint="eastAsia"/>
                <w:sz w:val="21"/>
              </w:rPr>
              <w:t>边长 </w:t>
            </w:r>
            <w:r>
              <w:rPr>
                <w:sz w:val="21"/>
              </w:rPr>
              <w:t>5~50km</w:t>
            </w:r>
            <w:r>
              <w:rPr>
                <w:rFonts w:ascii="宋体" w:hAnsi="宋体" w:eastAsia="宋体" w:hint="eastAsia"/>
                <w:sz w:val="21"/>
              </w:rPr>
              <w:t>□</w:t>
            </w:r>
          </w:p>
        </w:tc>
        <w:tc>
          <w:tcPr>
            <w:tcW w:w="1976" w:type="dxa"/>
            <w:gridSpan w:val="6"/>
            <w:tcBorders>
              <w:top w:val="single" w:sz="6" w:space="0" w:color="000000"/>
              <w:left w:val="single" w:sz="6" w:space="0" w:color="000000"/>
              <w:bottom w:val="single" w:sz="6" w:space="0" w:color="000000"/>
            </w:tcBorders>
          </w:tcPr>
          <w:p>
            <w:pPr>
              <w:pStyle w:val="TableParagraph"/>
              <w:spacing w:before="22"/>
              <w:ind w:left="438"/>
              <w:jc w:val="left"/>
              <w:rPr>
                <w:rFonts w:ascii="Wingdings" w:hAnsi="Wingdings"/>
                <w:sz w:val="21"/>
              </w:rPr>
            </w:pPr>
            <w:r>
              <w:rPr>
                <w:rFonts w:ascii="宋体" w:hAnsi="宋体"/>
                <w:sz w:val="21"/>
              </w:rPr>
              <w:t>边长</w:t>
            </w:r>
            <w:r>
              <w:rPr>
                <w:sz w:val="21"/>
              </w:rPr>
              <w:t>=5km</w:t>
            </w:r>
            <w:r>
              <w:rPr>
                <w:rFonts w:ascii="Wingdings" w:hAnsi="Wingdings"/>
                <w:sz w:val="21"/>
              </w:rPr>
              <w:t></w:t>
            </w:r>
          </w:p>
        </w:tc>
      </w:tr>
      <w:tr>
        <w:trPr>
          <w:trHeight w:val="625"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4"/>
              </w:rPr>
            </w:pPr>
          </w:p>
          <w:p>
            <w:pPr>
              <w:pStyle w:val="TableParagraph"/>
              <w:spacing w:before="0"/>
              <w:ind w:left="29"/>
              <w:rPr>
                <w:rFonts w:ascii="宋体" w:eastAsia="宋体" w:hint="eastAsia"/>
                <w:sz w:val="21"/>
              </w:rPr>
            </w:pPr>
            <w:r>
              <w:rPr>
                <w:rFonts w:ascii="宋体" w:eastAsia="宋体" w:hint="eastAsia"/>
                <w:sz w:val="21"/>
              </w:rPr>
              <w:t>预测因子</w:t>
            </w:r>
          </w:p>
        </w:tc>
        <w:tc>
          <w:tcPr>
            <w:tcW w:w="3592"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4"/>
              </w:rPr>
            </w:pPr>
          </w:p>
          <w:p>
            <w:pPr>
              <w:pStyle w:val="TableParagraph"/>
              <w:spacing w:before="0"/>
              <w:ind w:left="119"/>
              <w:jc w:val="left"/>
              <w:rPr>
                <w:rFonts w:ascii="宋体" w:eastAsia="宋体" w:hint="eastAsia"/>
                <w:sz w:val="21"/>
              </w:rPr>
            </w:pPr>
            <w:r>
              <w:rPr>
                <w:rFonts w:ascii="宋体" w:eastAsia="宋体" w:hint="eastAsia"/>
                <w:sz w:val="21"/>
              </w:rPr>
              <w:t>预测因子（氨、硫化氢、臭气浓度）</w:t>
            </w:r>
          </w:p>
        </w:tc>
        <w:tc>
          <w:tcPr>
            <w:tcW w:w="3084" w:type="dxa"/>
            <w:gridSpan w:val="9"/>
            <w:tcBorders>
              <w:top w:val="single" w:sz="6" w:space="0" w:color="000000"/>
              <w:left w:val="single" w:sz="6" w:space="0" w:color="000000"/>
              <w:bottom w:val="single" w:sz="6" w:space="0" w:color="000000"/>
            </w:tcBorders>
          </w:tcPr>
          <w:p>
            <w:pPr>
              <w:pStyle w:val="TableParagraph"/>
              <w:spacing w:line="312" w:lineRule="exact" w:before="4"/>
              <w:ind w:left="658" w:right="567" w:firstLine="93"/>
              <w:jc w:val="left"/>
              <w:rPr>
                <w:rFonts w:ascii="Wingdings" w:hAnsi="Wingdings"/>
                <w:sz w:val="21"/>
              </w:rPr>
            </w:pPr>
            <w:r>
              <w:rPr>
                <w:rFonts w:ascii="宋体" w:hAnsi="宋体"/>
                <w:position w:val="2"/>
                <w:sz w:val="21"/>
              </w:rPr>
              <w:t>包括二次 </w:t>
            </w:r>
            <w:r>
              <w:rPr>
                <w:position w:val="2"/>
                <w:sz w:val="21"/>
              </w:rPr>
              <w:t>PM</w:t>
            </w:r>
            <w:r>
              <w:rPr>
                <w:sz w:val="14"/>
              </w:rPr>
              <w:t>2.5</w:t>
            </w:r>
            <w:r>
              <w:rPr>
                <w:rFonts w:ascii="宋体" w:hAnsi="宋体"/>
                <w:position w:val="2"/>
                <w:sz w:val="21"/>
              </w:rPr>
              <w:t>□ 不包括二次 </w:t>
            </w:r>
            <w:r>
              <w:rPr>
                <w:position w:val="2"/>
                <w:sz w:val="21"/>
              </w:rPr>
              <w:t>PM</w:t>
            </w:r>
            <w:r>
              <w:rPr>
                <w:sz w:val="14"/>
              </w:rPr>
              <w:t>2.5</w:t>
            </w:r>
            <w:r>
              <w:rPr>
                <w:rFonts w:ascii="Wingdings" w:hAnsi="Wingdings"/>
                <w:position w:val="2"/>
                <w:sz w:val="21"/>
              </w:rPr>
              <w:t></w:t>
            </w:r>
          </w:p>
        </w:tc>
      </w:tr>
      <w:tr>
        <w:trPr>
          <w:trHeight w:val="621"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0"/>
              <w:ind w:left="27"/>
              <w:rPr>
                <w:rFonts w:ascii="宋体" w:eastAsia="宋体" w:hint="eastAsia"/>
                <w:sz w:val="21"/>
              </w:rPr>
            </w:pPr>
            <w:r>
              <w:rPr>
                <w:rFonts w:ascii="宋体" w:eastAsia="宋体" w:hint="eastAsia"/>
                <w:sz w:val="21"/>
              </w:rPr>
              <w:t>正常排放短期浓</w:t>
            </w:r>
          </w:p>
          <w:p>
            <w:pPr>
              <w:pStyle w:val="TableParagraph"/>
              <w:spacing w:before="43"/>
              <w:ind w:left="29"/>
              <w:rPr>
                <w:rFonts w:ascii="宋体" w:eastAsia="宋体" w:hint="eastAsia"/>
                <w:sz w:val="21"/>
              </w:rPr>
            </w:pPr>
            <w:r>
              <w:rPr>
                <w:rFonts w:ascii="宋体" w:eastAsia="宋体" w:hint="eastAsia"/>
                <w:sz w:val="21"/>
              </w:rPr>
              <w:t>度贡献值</w:t>
            </w:r>
          </w:p>
        </w:tc>
        <w:tc>
          <w:tcPr>
            <w:tcW w:w="3592"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76"/>
              <w:ind w:left="606"/>
              <w:jc w:val="left"/>
              <w:rPr>
                <w:rFonts w:ascii="宋体" w:hAnsi="宋体" w:eastAsia="宋体" w:hint="eastAsia"/>
                <w:sz w:val="21"/>
              </w:rPr>
            </w:pPr>
            <w:r>
              <w:rPr>
                <w:position w:val="1"/>
                <w:sz w:val="21"/>
              </w:rPr>
              <w:t>C </w:t>
            </w:r>
            <w:r>
              <w:rPr>
                <w:rFonts w:ascii="宋体" w:hAnsi="宋体" w:eastAsia="宋体" w:hint="eastAsia"/>
                <w:sz w:val="11"/>
              </w:rPr>
              <w:t>本项目</w:t>
            </w:r>
            <w:r>
              <w:rPr>
                <w:rFonts w:ascii="宋体" w:hAnsi="宋体" w:eastAsia="宋体" w:hint="eastAsia"/>
                <w:position w:val="1"/>
                <w:sz w:val="21"/>
              </w:rPr>
              <w:t>最大占标率</w:t>
            </w:r>
            <w:r>
              <w:rPr>
                <w:position w:val="1"/>
                <w:sz w:val="21"/>
              </w:rPr>
              <w:t>≤100%</w:t>
            </w:r>
            <w:r>
              <w:rPr>
                <w:rFonts w:ascii="宋体" w:hAnsi="宋体" w:eastAsia="宋体" w:hint="eastAsia"/>
                <w:position w:val="1"/>
                <w:sz w:val="21"/>
              </w:rPr>
              <w:t>□</w:t>
            </w:r>
          </w:p>
        </w:tc>
        <w:tc>
          <w:tcPr>
            <w:tcW w:w="3084" w:type="dxa"/>
            <w:gridSpan w:val="9"/>
            <w:tcBorders>
              <w:top w:val="single" w:sz="6" w:space="0" w:color="000000"/>
              <w:left w:val="single" w:sz="6" w:space="0" w:color="000000"/>
              <w:bottom w:val="single" w:sz="6" w:space="0" w:color="000000"/>
            </w:tcBorders>
          </w:tcPr>
          <w:p>
            <w:pPr>
              <w:pStyle w:val="TableParagraph"/>
              <w:spacing w:before="176"/>
              <w:ind w:left="313"/>
              <w:jc w:val="left"/>
              <w:rPr>
                <w:rFonts w:ascii="Wingdings" w:hAnsi="Wingdings"/>
                <w:sz w:val="21"/>
              </w:rPr>
            </w:pPr>
            <w:r>
              <w:rPr>
                <w:position w:val="1"/>
                <w:sz w:val="21"/>
              </w:rPr>
              <w:t>C </w:t>
            </w:r>
            <w:r>
              <w:rPr>
                <w:rFonts w:ascii="宋体" w:hAnsi="宋体"/>
                <w:sz w:val="11"/>
              </w:rPr>
              <w:t>本项目</w:t>
            </w:r>
            <w:r>
              <w:rPr>
                <w:rFonts w:ascii="宋体" w:hAnsi="宋体"/>
                <w:position w:val="1"/>
                <w:sz w:val="21"/>
              </w:rPr>
              <w:t>最大占标率＞</w:t>
            </w:r>
            <w:r>
              <w:rPr>
                <w:position w:val="1"/>
                <w:sz w:val="21"/>
              </w:rPr>
              <w:t>100%</w:t>
            </w:r>
            <w:r>
              <w:rPr>
                <w:rFonts w:ascii="Wingdings" w:hAnsi="Wingdings"/>
                <w:position w:val="1"/>
                <w:sz w:val="21"/>
              </w:rPr>
              <w:t></w:t>
            </w:r>
          </w:p>
        </w:tc>
      </w:tr>
      <w:tr>
        <w:trPr>
          <w:trHeight w:val="311" w:hRule="atLeast"/>
        </w:trPr>
        <w:tc>
          <w:tcPr>
            <w:tcW w:w="1066" w:type="dxa"/>
            <w:vMerge/>
            <w:tcBorders>
              <w:top w:val="nil"/>
              <w:bottom w:val="single" w:sz="6" w:space="0" w:color="000000"/>
              <w:right w:val="single" w:sz="6" w:space="0" w:color="000000"/>
            </w:tcBorders>
          </w:tcPr>
          <w:p>
            <w:pPr>
              <w:rPr>
                <w:sz w:val="2"/>
                <w:szCs w:val="2"/>
              </w:rPr>
            </w:pPr>
          </w:p>
        </w:tc>
        <w:tc>
          <w:tcPr>
            <w:tcW w:w="169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29"/>
              <w:ind w:left="27"/>
              <w:rPr>
                <w:rFonts w:ascii="宋体" w:eastAsia="宋体" w:hint="eastAsia"/>
                <w:sz w:val="21"/>
              </w:rPr>
            </w:pPr>
            <w:r>
              <w:rPr>
                <w:rFonts w:ascii="宋体" w:eastAsia="宋体" w:hint="eastAsia"/>
                <w:sz w:val="21"/>
              </w:rPr>
              <w:t>正常排放年均浓</w:t>
            </w:r>
          </w:p>
          <w:p>
            <w:pPr>
              <w:pStyle w:val="TableParagraph"/>
              <w:spacing w:before="44"/>
              <w:ind w:left="29"/>
              <w:rPr>
                <w:rFonts w:ascii="宋体" w:eastAsia="宋体" w:hint="eastAsia"/>
                <w:sz w:val="21"/>
              </w:rPr>
            </w:pPr>
            <w:r>
              <w:rPr>
                <w:rFonts w:ascii="宋体" w:eastAsia="宋体" w:hint="eastAsia"/>
                <w:sz w:val="21"/>
              </w:rPr>
              <w:t>度贡献值</w:t>
            </w: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22"/>
              <w:ind w:left="96" w:right="66"/>
              <w:rPr>
                <w:rFonts w:ascii="宋体" w:eastAsia="宋体" w:hint="eastAsia"/>
                <w:sz w:val="21"/>
              </w:rPr>
            </w:pPr>
            <w:r>
              <w:rPr>
                <w:rFonts w:ascii="宋体" w:eastAsia="宋体" w:hint="eastAsia"/>
                <w:sz w:val="21"/>
              </w:rPr>
              <w:t>一类区</w:t>
            </w:r>
          </w:p>
        </w:tc>
        <w:tc>
          <w:tcPr>
            <w:tcW w:w="2801" w:type="dxa"/>
            <w:gridSpan w:val="7"/>
            <w:tcBorders>
              <w:top w:val="single" w:sz="6" w:space="0" w:color="000000"/>
              <w:left w:val="single" w:sz="6" w:space="0" w:color="000000"/>
              <w:bottom w:val="single" w:sz="6" w:space="0" w:color="000000"/>
              <w:right w:val="single" w:sz="6" w:space="0" w:color="000000"/>
            </w:tcBorders>
          </w:tcPr>
          <w:p>
            <w:pPr>
              <w:pStyle w:val="TableParagraph"/>
              <w:spacing w:before="22"/>
              <w:ind w:left="263"/>
              <w:jc w:val="left"/>
              <w:rPr>
                <w:rFonts w:ascii="宋体" w:hAnsi="宋体" w:eastAsia="宋体" w:hint="eastAsia"/>
                <w:sz w:val="21"/>
              </w:rPr>
            </w:pPr>
            <w:r>
              <w:rPr>
                <w:position w:val="1"/>
                <w:sz w:val="21"/>
              </w:rPr>
              <w:t>C </w:t>
            </w:r>
            <w:r>
              <w:rPr>
                <w:rFonts w:ascii="宋体" w:hAnsi="宋体" w:eastAsia="宋体" w:hint="eastAsia"/>
                <w:sz w:val="11"/>
              </w:rPr>
              <w:t>本项目</w:t>
            </w:r>
            <w:r>
              <w:rPr>
                <w:rFonts w:ascii="宋体" w:hAnsi="宋体" w:eastAsia="宋体" w:hint="eastAsia"/>
                <w:position w:val="1"/>
                <w:sz w:val="21"/>
              </w:rPr>
              <w:t>最大占标率</w:t>
            </w:r>
            <w:r>
              <w:rPr>
                <w:position w:val="1"/>
                <w:sz w:val="21"/>
              </w:rPr>
              <w:t>≤10%</w:t>
            </w:r>
            <w:r>
              <w:rPr>
                <w:rFonts w:ascii="宋体" w:hAnsi="宋体" w:eastAsia="宋体" w:hint="eastAsia"/>
                <w:position w:val="1"/>
                <w:sz w:val="21"/>
              </w:rPr>
              <w:t>□</w:t>
            </w:r>
          </w:p>
        </w:tc>
        <w:tc>
          <w:tcPr>
            <w:tcW w:w="2874" w:type="dxa"/>
            <w:gridSpan w:val="8"/>
            <w:tcBorders>
              <w:top w:val="single" w:sz="6" w:space="0" w:color="000000"/>
              <w:left w:val="single" w:sz="6" w:space="0" w:color="000000"/>
              <w:bottom w:val="single" w:sz="6" w:space="0" w:color="000000"/>
            </w:tcBorders>
          </w:tcPr>
          <w:p>
            <w:pPr>
              <w:pStyle w:val="TableParagraph"/>
              <w:spacing w:before="22"/>
              <w:ind w:left="249"/>
              <w:jc w:val="left"/>
              <w:rPr>
                <w:rFonts w:ascii="宋体" w:hAnsi="宋体" w:eastAsia="宋体" w:hint="eastAsia"/>
                <w:sz w:val="21"/>
              </w:rPr>
            </w:pPr>
            <w:r>
              <w:rPr>
                <w:position w:val="1"/>
                <w:sz w:val="21"/>
              </w:rPr>
              <w:t>C </w:t>
            </w:r>
            <w:r>
              <w:rPr>
                <w:rFonts w:ascii="宋体" w:hAnsi="宋体" w:eastAsia="宋体" w:hint="eastAsia"/>
                <w:sz w:val="11"/>
              </w:rPr>
              <w:t>本项目</w:t>
            </w:r>
            <w:r>
              <w:rPr>
                <w:rFonts w:ascii="宋体" w:hAnsi="宋体" w:eastAsia="宋体" w:hint="eastAsia"/>
                <w:position w:val="1"/>
                <w:sz w:val="21"/>
              </w:rPr>
              <w:t>最大占标率＞</w:t>
            </w:r>
            <w:r>
              <w:rPr>
                <w:position w:val="1"/>
                <w:sz w:val="21"/>
              </w:rPr>
              <w:t>10%</w:t>
            </w:r>
            <w:r>
              <w:rPr>
                <w:rFonts w:ascii="宋体" w:hAnsi="宋体" w:eastAsia="宋体" w:hint="eastAsia"/>
                <w:position w:val="1"/>
                <w:sz w:val="21"/>
              </w:rPr>
              <w:t>□</w:t>
            </w:r>
          </w:p>
        </w:tc>
      </w:tr>
      <w:tr>
        <w:trPr>
          <w:trHeight w:val="311" w:hRule="atLeast"/>
        </w:trPr>
        <w:tc>
          <w:tcPr>
            <w:tcW w:w="1066" w:type="dxa"/>
            <w:vMerge/>
            <w:tcBorders>
              <w:top w:val="nil"/>
              <w:bottom w:val="single" w:sz="6" w:space="0" w:color="000000"/>
              <w:right w:val="single" w:sz="6" w:space="0" w:color="000000"/>
            </w:tcBorders>
          </w:tcPr>
          <w:p>
            <w:pPr>
              <w:rPr>
                <w:sz w:val="2"/>
                <w:szCs w:val="2"/>
              </w:rPr>
            </w:pPr>
          </w:p>
        </w:tc>
        <w:tc>
          <w:tcPr>
            <w:tcW w:w="1695" w:type="dxa"/>
            <w:vMerge/>
            <w:tcBorders>
              <w:top w:val="nil"/>
              <w:left w:val="single" w:sz="6" w:space="0" w:color="000000"/>
              <w:bottom w:val="single" w:sz="6" w:space="0" w:color="000000"/>
              <w:right w:val="single" w:sz="6" w:space="0" w:color="000000"/>
            </w:tcBorders>
          </w:tcPr>
          <w:p>
            <w:pPr>
              <w:rPr>
                <w:sz w:val="2"/>
                <w:szCs w:val="2"/>
              </w:rPr>
            </w:pPr>
          </w:p>
        </w:tc>
        <w:tc>
          <w:tcPr>
            <w:tcW w:w="1001" w:type="dxa"/>
            <w:tcBorders>
              <w:top w:val="single" w:sz="6" w:space="0" w:color="000000"/>
              <w:left w:val="single" w:sz="6" w:space="0" w:color="000000"/>
              <w:bottom w:val="single" w:sz="6" w:space="0" w:color="000000"/>
              <w:right w:val="single" w:sz="6" w:space="0" w:color="000000"/>
            </w:tcBorders>
          </w:tcPr>
          <w:p>
            <w:pPr>
              <w:pStyle w:val="TableParagraph"/>
              <w:spacing w:before="22"/>
              <w:ind w:left="96" w:right="66"/>
              <w:rPr>
                <w:rFonts w:ascii="宋体" w:eastAsia="宋体" w:hint="eastAsia"/>
                <w:sz w:val="21"/>
              </w:rPr>
            </w:pPr>
            <w:r>
              <w:rPr>
                <w:rFonts w:ascii="宋体" w:eastAsia="宋体" w:hint="eastAsia"/>
                <w:sz w:val="21"/>
              </w:rPr>
              <w:t>二类区</w:t>
            </w:r>
          </w:p>
        </w:tc>
        <w:tc>
          <w:tcPr>
            <w:tcW w:w="2801" w:type="dxa"/>
            <w:gridSpan w:val="7"/>
            <w:tcBorders>
              <w:top w:val="single" w:sz="6" w:space="0" w:color="000000"/>
              <w:left w:val="single" w:sz="6" w:space="0" w:color="000000"/>
              <w:bottom w:val="single" w:sz="6" w:space="0" w:color="000000"/>
              <w:right w:val="single" w:sz="6" w:space="0" w:color="000000"/>
            </w:tcBorders>
          </w:tcPr>
          <w:p>
            <w:pPr>
              <w:pStyle w:val="TableParagraph"/>
              <w:spacing w:before="22"/>
              <w:ind w:left="272"/>
              <w:jc w:val="left"/>
              <w:rPr>
                <w:rFonts w:ascii="Wingdings" w:hAnsi="Wingdings"/>
                <w:sz w:val="21"/>
              </w:rPr>
            </w:pPr>
            <w:r>
              <w:rPr>
                <w:position w:val="1"/>
                <w:sz w:val="21"/>
              </w:rPr>
              <w:t>C </w:t>
            </w:r>
            <w:r>
              <w:rPr>
                <w:rFonts w:ascii="宋体" w:hAnsi="宋体"/>
                <w:sz w:val="11"/>
              </w:rPr>
              <w:t>本项目</w:t>
            </w:r>
            <w:r>
              <w:rPr>
                <w:rFonts w:ascii="宋体" w:hAnsi="宋体"/>
                <w:position w:val="1"/>
                <w:sz w:val="21"/>
              </w:rPr>
              <w:t>最大占标率</w:t>
            </w:r>
            <w:r>
              <w:rPr>
                <w:position w:val="1"/>
                <w:sz w:val="21"/>
              </w:rPr>
              <w:t>≤30%</w:t>
            </w:r>
            <w:r>
              <w:rPr>
                <w:rFonts w:ascii="Wingdings" w:hAnsi="Wingdings"/>
                <w:position w:val="1"/>
                <w:sz w:val="21"/>
              </w:rPr>
              <w:t></w:t>
            </w:r>
          </w:p>
        </w:tc>
        <w:tc>
          <w:tcPr>
            <w:tcW w:w="2874" w:type="dxa"/>
            <w:gridSpan w:val="8"/>
            <w:tcBorders>
              <w:top w:val="single" w:sz="6" w:space="0" w:color="000000"/>
              <w:left w:val="single" w:sz="6" w:space="0" w:color="000000"/>
              <w:bottom w:val="single" w:sz="6" w:space="0" w:color="000000"/>
            </w:tcBorders>
          </w:tcPr>
          <w:p>
            <w:pPr>
              <w:pStyle w:val="TableParagraph"/>
              <w:spacing w:before="22"/>
              <w:ind w:left="249"/>
              <w:jc w:val="left"/>
              <w:rPr>
                <w:rFonts w:ascii="宋体" w:hAnsi="宋体" w:eastAsia="宋体" w:hint="eastAsia"/>
                <w:sz w:val="21"/>
              </w:rPr>
            </w:pPr>
            <w:r>
              <w:rPr>
                <w:position w:val="1"/>
                <w:sz w:val="21"/>
              </w:rPr>
              <w:t>C </w:t>
            </w:r>
            <w:r>
              <w:rPr>
                <w:rFonts w:ascii="宋体" w:hAnsi="宋体" w:eastAsia="宋体" w:hint="eastAsia"/>
                <w:sz w:val="11"/>
              </w:rPr>
              <w:t>本项目</w:t>
            </w:r>
            <w:r>
              <w:rPr>
                <w:rFonts w:ascii="宋体" w:hAnsi="宋体" w:eastAsia="宋体" w:hint="eastAsia"/>
                <w:position w:val="1"/>
                <w:sz w:val="21"/>
              </w:rPr>
              <w:t>最大占标率＞</w:t>
            </w:r>
            <w:r>
              <w:rPr>
                <w:position w:val="1"/>
                <w:sz w:val="21"/>
              </w:rPr>
              <w:t>30%</w:t>
            </w:r>
            <w:r>
              <w:rPr>
                <w:rFonts w:ascii="宋体" w:hAnsi="宋体" w:eastAsia="宋体" w:hint="eastAsia"/>
                <w:position w:val="1"/>
                <w:sz w:val="21"/>
              </w:rPr>
              <w:t>□</w:t>
            </w:r>
          </w:p>
        </w:tc>
      </w:tr>
      <w:tr>
        <w:trPr>
          <w:trHeight w:val="625"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5"/>
              <w:ind w:left="27"/>
              <w:rPr>
                <w:sz w:val="21"/>
              </w:rPr>
            </w:pPr>
            <w:r>
              <w:rPr>
                <w:rFonts w:ascii="宋体" w:eastAsia="宋体" w:hint="eastAsia"/>
                <w:sz w:val="21"/>
              </w:rPr>
              <w:t>非正常排放 </w:t>
            </w:r>
            <w:r>
              <w:rPr>
                <w:sz w:val="21"/>
              </w:rPr>
              <w:t>1h</w:t>
            </w:r>
          </w:p>
          <w:p>
            <w:pPr>
              <w:pStyle w:val="TableParagraph"/>
              <w:spacing w:before="43"/>
              <w:ind w:left="29"/>
              <w:rPr>
                <w:rFonts w:ascii="宋体" w:eastAsia="宋体" w:hint="eastAsia"/>
                <w:sz w:val="21"/>
              </w:rPr>
            </w:pPr>
            <w:r>
              <w:rPr>
                <w:rFonts w:ascii="宋体" w:eastAsia="宋体" w:hint="eastAsia"/>
                <w:sz w:val="21"/>
              </w:rPr>
              <w:t>浓度贡献值</w:t>
            </w:r>
          </w:p>
        </w:tc>
        <w:tc>
          <w:tcPr>
            <w:tcW w:w="1742"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122" w:right="94"/>
              <w:rPr>
                <w:rFonts w:ascii="宋体" w:eastAsia="宋体" w:hint="eastAsia"/>
                <w:sz w:val="21"/>
              </w:rPr>
            </w:pPr>
            <w:r>
              <w:rPr>
                <w:rFonts w:ascii="宋体" w:eastAsia="宋体" w:hint="eastAsia"/>
                <w:sz w:val="21"/>
              </w:rPr>
              <w:t>非正常持续时长</w:t>
            </w:r>
          </w:p>
          <w:p>
            <w:pPr>
              <w:pStyle w:val="TableParagraph"/>
              <w:spacing w:before="43"/>
              <w:ind w:left="119" w:right="94"/>
              <w:rPr>
                <w:sz w:val="21"/>
              </w:rPr>
            </w:pPr>
            <w:r>
              <w:rPr>
                <w:rFonts w:ascii="宋体" w:eastAsia="宋体" w:hint="eastAsia"/>
                <w:sz w:val="21"/>
              </w:rPr>
              <w:t>（偶发）</w:t>
            </w:r>
            <w:r>
              <w:rPr>
                <w:sz w:val="21"/>
              </w:rPr>
              <w:t>h</w:t>
            </w:r>
          </w:p>
        </w:tc>
        <w:tc>
          <w:tcPr>
            <w:tcW w:w="2550"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80"/>
              <w:ind w:left="290"/>
              <w:jc w:val="left"/>
              <w:rPr>
                <w:rFonts w:ascii="宋体" w:hAnsi="宋体" w:eastAsia="宋体" w:hint="eastAsia"/>
                <w:sz w:val="21"/>
              </w:rPr>
            </w:pPr>
            <w:r>
              <w:rPr>
                <w:position w:val="1"/>
                <w:sz w:val="21"/>
              </w:rPr>
              <w:t>C </w:t>
            </w:r>
            <w:r>
              <w:rPr>
                <w:rFonts w:ascii="宋体" w:hAnsi="宋体" w:eastAsia="宋体" w:hint="eastAsia"/>
                <w:sz w:val="11"/>
              </w:rPr>
              <w:t>非正常</w:t>
            </w:r>
            <w:r>
              <w:rPr>
                <w:rFonts w:ascii="宋体" w:hAnsi="宋体" w:eastAsia="宋体" w:hint="eastAsia"/>
                <w:position w:val="1"/>
                <w:sz w:val="21"/>
              </w:rPr>
              <w:t>占标率</w:t>
            </w:r>
            <w:r>
              <w:rPr>
                <w:position w:val="1"/>
                <w:sz w:val="21"/>
              </w:rPr>
              <w:t>≤100%</w:t>
            </w:r>
            <w:r>
              <w:rPr>
                <w:rFonts w:ascii="宋体" w:hAnsi="宋体" w:eastAsia="宋体" w:hint="eastAsia"/>
                <w:position w:val="1"/>
                <w:sz w:val="21"/>
              </w:rPr>
              <w:t>□</w:t>
            </w:r>
          </w:p>
        </w:tc>
        <w:tc>
          <w:tcPr>
            <w:tcW w:w="2384" w:type="dxa"/>
            <w:gridSpan w:val="7"/>
            <w:tcBorders>
              <w:top w:val="single" w:sz="6" w:space="0" w:color="000000"/>
              <w:left w:val="single" w:sz="6" w:space="0" w:color="000000"/>
              <w:bottom w:val="single" w:sz="6" w:space="0" w:color="000000"/>
            </w:tcBorders>
          </w:tcPr>
          <w:p>
            <w:pPr>
              <w:pStyle w:val="TableParagraph"/>
              <w:spacing w:before="180"/>
              <w:ind w:left="172"/>
              <w:jc w:val="left"/>
              <w:rPr>
                <w:rFonts w:ascii="Wingdings" w:hAnsi="Wingdings"/>
                <w:sz w:val="21"/>
              </w:rPr>
            </w:pPr>
            <w:r>
              <w:rPr>
                <w:position w:val="1"/>
                <w:sz w:val="21"/>
              </w:rPr>
              <w:t>C </w:t>
            </w:r>
            <w:r>
              <w:rPr>
                <w:rFonts w:ascii="宋体" w:hAnsi="宋体"/>
                <w:sz w:val="11"/>
              </w:rPr>
              <w:t>非正常</w:t>
            </w:r>
            <w:r>
              <w:rPr>
                <w:rFonts w:ascii="宋体" w:hAnsi="宋体"/>
                <w:position w:val="1"/>
                <w:sz w:val="21"/>
              </w:rPr>
              <w:t>占标率＞</w:t>
            </w:r>
            <w:r>
              <w:rPr>
                <w:position w:val="1"/>
                <w:sz w:val="21"/>
              </w:rPr>
              <w:t>100%</w:t>
            </w:r>
            <w:r>
              <w:rPr>
                <w:rFonts w:ascii="Wingdings" w:hAnsi="Wingdings"/>
                <w:position w:val="1"/>
                <w:sz w:val="21"/>
              </w:rPr>
              <w:t></w:t>
            </w:r>
          </w:p>
        </w:tc>
      </w:tr>
      <w:tr>
        <w:trPr>
          <w:trHeight w:val="623"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116"/>
              <w:jc w:val="left"/>
              <w:rPr>
                <w:rFonts w:ascii="宋体" w:eastAsia="宋体" w:hint="eastAsia"/>
                <w:sz w:val="21"/>
              </w:rPr>
            </w:pPr>
            <w:r>
              <w:rPr>
                <w:rFonts w:ascii="宋体" w:eastAsia="宋体" w:hint="eastAsia"/>
                <w:sz w:val="21"/>
              </w:rPr>
              <w:t>保证率日均和年</w:t>
            </w:r>
          </w:p>
          <w:p>
            <w:pPr>
              <w:pStyle w:val="TableParagraph"/>
              <w:spacing w:before="43"/>
              <w:ind w:left="222"/>
              <w:jc w:val="left"/>
              <w:rPr>
                <w:rFonts w:ascii="宋体" w:eastAsia="宋体" w:hint="eastAsia"/>
                <w:sz w:val="21"/>
              </w:rPr>
            </w:pPr>
            <w:r>
              <w:rPr>
                <w:rFonts w:ascii="宋体" w:eastAsia="宋体" w:hint="eastAsia"/>
                <w:sz w:val="21"/>
              </w:rPr>
              <w:t>均浓度叠加值</w:t>
            </w:r>
          </w:p>
        </w:tc>
        <w:tc>
          <w:tcPr>
            <w:tcW w:w="3592"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78"/>
              <w:ind w:left="1272" w:right="1247"/>
              <w:rPr>
                <w:rFonts w:ascii="Wingdings" w:hAnsi="Wingdings"/>
                <w:sz w:val="21"/>
              </w:rPr>
            </w:pPr>
            <w:r>
              <w:rPr>
                <w:position w:val="1"/>
                <w:sz w:val="21"/>
              </w:rPr>
              <w:t>C </w:t>
            </w:r>
            <w:r>
              <w:rPr>
                <w:rFonts w:ascii="宋体" w:hAnsi="宋体"/>
                <w:sz w:val="11"/>
              </w:rPr>
              <w:t>叠加</w:t>
            </w:r>
            <w:r>
              <w:rPr>
                <w:rFonts w:ascii="宋体" w:hAnsi="宋体"/>
                <w:position w:val="1"/>
                <w:sz w:val="21"/>
              </w:rPr>
              <w:t>达标</w:t>
            </w:r>
            <w:r>
              <w:rPr>
                <w:rFonts w:ascii="Wingdings" w:hAnsi="Wingdings"/>
                <w:position w:val="1"/>
                <w:sz w:val="21"/>
              </w:rPr>
              <w:t></w:t>
            </w:r>
          </w:p>
        </w:tc>
        <w:tc>
          <w:tcPr>
            <w:tcW w:w="3084" w:type="dxa"/>
            <w:gridSpan w:val="9"/>
            <w:tcBorders>
              <w:top w:val="single" w:sz="6" w:space="0" w:color="000000"/>
              <w:left w:val="single" w:sz="6" w:space="0" w:color="000000"/>
              <w:bottom w:val="single" w:sz="6" w:space="0" w:color="000000"/>
            </w:tcBorders>
          </w:tcPr>
          <w:p>
            <w:pPr>
              <w:pStyle w:val="TableParagraph"/>
              <w:spacing w:before="178"/>
              <w:ind w:left="917"/>
              <w:jc w:val="left"/>
              <w:rPr>
                <w:rFonts w:ascii="宋体" w:hAnsi="宋体" w:eastAsia="宋体" w:hint="eastAsia"/>
                <w:sz w:val="21"/>
              </w:rPr>
            </w:pPr>
            <w:r>
              <w:rPr>
                <w:position w:val="1"/>
                <w:sz w:val="21"/>
              </w:rPr>
              <w:t>C </w:t>
            </w:r>
            <w:r>
              <w:rPr>
                <w:rFonts w:ascii="宋体" w:hAnsi="宋体" w:eastAsia="宋体" w:hint="eastAsia"/>
                <w:sz w:val="11"/>
              </w:rPr>
              <w:t>叠加</w:t>
            </w:r>
            <w:r>
              <w:rPr>
                <w:rFonts w:ascii="宋体" w:hAnsi="宋体" w:eastAsia="宋体" w:hint="eastAsia"/>
                <w:position w:val="1"/>
                <w:sz w:val="21"/>
              </w:rPr>
              <w:t>不达标□</w:t>
            </w:r>
          </w:p>
        </w:tc>
      </w:tr>
      <w:tr>
        <w:trPr>
          <w:trHeight w:val="623"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116"/>
              <w:jc w:val="left"/>
              <w:rPr>
                <w:rFonts w:ascii="宋体" w:eastAsia="宋体" w:hint="eastAsia"/>
                <w:sz w:val="21"/>
              </w:rPr>
            </w:pPr>
            <w:r>
              <w:rPr>
                <w:rFonts w:ascii="宋体" w:eastAsia="宋体" w:hint="eastAsia"/>
                <w:sz w:val="21"/>
              </w:rPr>
              <w:t>区域环境质量的</w:t>
            </w:r>
          </w:p>
          <w:p>
            <w:pPr>
              <w:pStyle w:val="TableParagraph"/>
              <w:spacing w:before="43"/>
              <w:ind w:left="222"/>
              <w:jc w:val="left"/>
              <w:rPr>
                <w:rFonts w:ascii="宋体" w:eastAsia="宋体" w:hint="eastAsia"/>
                <w:sz w:val="21"/>
              </w:rPr>
            </w:pPr>
            <w:r>
              <w:rPr>
                <w:rFonts w:ascii="宋体" w:eastAsia="宋体" w:hint="eastAsia"/>
                <w:sz w:val="21"/>
              </w:rPr>
              <w:t>整体变化情况</w:t>
            </w:r>
          </w:p>
        </w:tc>
        <w:tc>
          <w:tcPr>
            <w:tcW w:w="3592" w:type="dxa"/>
            <w:gridSpan w:val="7"/>
            <w:tcBorders>
              <w:top w:val="single" w:sz="6" w:space="0" w:color="000000"/>
              <w:left w:val="single" w:sz="6" w:space="0" w:color="000000"/>
              <w:bottom w:val="single" w:sz="6" w:space="0" w:color="000000"/>
              <w:right w:val="single" w:sz="6" w:space="0" w:color="000000"/>
            </w:tcBorders>
          </w:tcPr>
          <w:p>
            <w:pPr>
              <w:pStyle w:val="TableParagraph"/>
              <w:spacing w:before="178"/>
              <w:ind w:left="1272" w:right="1246"/>
              <w:rPr>
                <w:rFonts w:ascii="宋体" w:hAnsi="宋体"/>
                <w:sz w:val="21"/>
              </w:rPr>
            </w:pPr>
            <w:r>
              <w:rPr>
                <w:sz w:val="21"/>
              </w:rPr>
              <w:t>k≤-20%</w:t>
            </w:r>
            <w:r>
              <w:rPr>
                <w:rFonts w:ascii="宋体" w:hAnsi="宋体"/>
                <w:sz w:val="21"/>
              </w:rPr>
              <w:t>□</w:t>
            </w:r>
          </w:p>
        </w:tc>
        <w:tc>
          <w:tcPr>
            <w:tcW w:w="3084" w:type="dxa"/>
            <w:gridSpan w:val="9"/>
            <w:tcBorders>
              <w:top w:val="single" w:sz="6" w:space="0" w:color="000000"/>
              <w:left w:val="single" w:sz="6" w:space="0" w:color="000000"/>
              <w:bottom w:val="single" w:sz="6" w:space="0" w:color="000000"/>
            </w:tcBorders>
          </w:tcPr>
          <w:p>
            <w:pPr>
              <w:pStyle w:val="TableParagraph"/>
              <w:spacing w:before="178"/>
              <w:ind w:left="1035" w:right="1006"/>
              <w:rPr>
                <w:rFonts w:ascii="宋体" w:hAnsi="宋体" w:eastAsia="宋体" w:hint="eastAsia"/>
                <w:sz w:val="21"/>
              </w:rPr>
            </w:pPr>
            <w:r>
              <w:rPr>
                <w:sz w:val="21"/>
              </w:rPr>
              <w:t>k</w:t>
            </w:r>
            <w:r>
              <w:rPr>
                <w:rFonts w:ascii="宋体" w:hAnsi="宋体" w:eastAsia="宋体" w:hint="eastAsia"/>
                <w:sz w:val="21"/>
              </w:rPr>
              <w:t>＞</w:t>
            </w:r>
            <w:r>
              <w:rPr>
                <w:sz w:val="21"/>
              </w:rPr>
              <w:t>-20%</w:t>
            </w:r>
            <w:r>
              <w:rPr>
                <w:rFonts w:ascii="宋体" w:hAnsi="宋体" w:eastAsia="宋体" w:hint="eastAsia"/>
                <w:sz w:val="21"/>
              </w:rPr>
              <w:t>□</w:t>
            </w:r>
          </w:p>
        </w:tc>
      </w:tr>
      <w:tr>
        <w:trPr>
          <w:trHeight w:val="615" w:hRule="atLeast"/>
        </w:trPr>
        <w:tc>
          <w:tcPr>
            <w:tcW w:w="1066" w:type="dxa"/>
            <w:vMerge w:val="restart"/>
            <w:tcBorders>
              <w:top w:val="single" w:sz="6" w:space="0" w:color="000000"/>
              <w:right w:val="single" w:sz="6" w:space="0" w:color="000000"/>
            </w:tcBorders>
          </w:tcPr>
          <w:p>
            <w:pPr>
              <w:pStyle w:val="TableParagraph"/>
              <w:spacing w:before="8"/>
              <w:jc w:val="left"/>
              <w:rPr>
                <w:rFonts w:ascii="宋体"/>
                <w:b/>
                <w:sz w:val="14"/>
              </w:rPr>
            </w:pPr>
          </w:p>
          <w:p>
            <w:pPr>
              <w:pStyle w:val="TableParagraph"/>
              <w:spacing w:line="278" w:lineRule="auto" w:before="0"/>
              <w:ind w:left="320" w:right="86" w:hanging="209"/>
              <w:jc w:val="left"/>
              <w:rPr>
                <w:rFonts w:ascii="宋体" w:eastAsia="宋体" w:hint="eastAsia"/>
                <w:sz w:val="21"/>
              </w:rPr>
            </w:pPr>
            <w:r>
              <w:rPr>
                <w:rFonts w:ascii="宋体" w:eastAsia="宋体" w:hint="eastAsia"/>
                <w:sz w:val="21"/>
              </w:rPr>
              <w:t>环境监测计划</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178"/>
              <w:ind w:left="29"/>
              <w:rPr>
                <w:rFonts w:ascii="宋体" w:eastAsia="宋体" w:hint="eastAsia"/>
                <w:sz w:val="21"/>
              </w:rPr>
            </w:pPr>
            <w:r>
              <w:rPr>
                <w:rFonts w:ascii="宋体" w:eastAsia="宋体" w:hint="eastAsia"/>
                <w:sz w:val="21"/>
              </w:rPr>
              <w:t>污染源监测</w:t>
            </w:r>
          </w:p>
        </w:tc>
        <w:tc>
          <w:tcPr>
            <w:tcW w:w="3592" w:type="dxa"/>
            <w:gridSpan w:val="7"/>
            <w:tcBorders>
              <w:top w:val="single" w:sz="6" w:space="0" w:color="000000"/>
              <w:left w:val="single" w:sz="6" w:space="0" w:color="000000"/>
              <w:bottom w:val="single" w:sz="6" w:space="0" w:color="000000"/>
              <w:right w:val="single" w:sz="6" w:space="0" w:color="000000"/>
            </w:tcBorders>
          </w:tcPr>
          <w:p>
            <w:pPr>
              <w:pStyle w:val="TableParagraph"/>
              <w:spacing w:line="292" w:lineRule="exact" w:before="18"/>
              <w:ind w:left="1273" w:right="-29" w:hanging="1160"/>
              <w:jc w:val="left"/>
              <w:rPr>
                <w:rFonts w:ascii="宋体" w:eastAsia="宋体" w:hint="eastAsia"/>
                <w:sz w:val="21"/>
              </w:rPr>
            </w:pPr>
            <w:r>
              <w:rPr>
                <w:rFonts w:ascii="宋体" w:eastAsia="宋体" w:hint="eastAsia"/>
                <w:spacing w:val="-2"/>
                <w:position w:val="2"/>
                <w:sz w:val="21"/>
              </w:rPr>
              <w:t>监测因子：</w:t>
            </w:r>
            <w:r>
              <w:rPr>
                <w:rFonts w:ascii="宋体" w:eastAsia="宋体" w:hint="eastAsia"/>
                <w:spacing w:val="-6"/>
                <w:position w:val="2"/>
                <w:sz w:val="21"/>
              </w:rPr>
              <w:t>（</w:t>
            </w:r>
            <w:r>
              <w:rPr>
                <w:spacing w:val="-6"/>
                <w:position w:val="2"/>
                <w:sz w:val="21"/>
              </w:rPr>
              <w:t>NO</w:t>
            </w:r>
            <w:r>
              <w:rPr>
                <w:spacing w:val="-6"/>
                <w:sz w:val="14"/>
              </w:rPr>
              <w:t>x</w:t>
            </w:r>
            <w:r>
              <w:rPr>
                <w:rFonts w:ascii="宋体" w:eastAsia="宋体" w:hint="eastAsia"/>
                <w:spacing w:val="-10"/>
                <w:position w:val="2"/>
                <w:sz w:val="21"/>
              </w:rPr>
              <w:t>、</w:t>
            </w:r>
            <w:r>
              <w:rPr>
                <w:position w:val="2"/>
                <w:sz w:val="21"/>
              </w:rPr>
              <w:t>SO</w:t>
            </w:r>
            <w:r>
              <w:rPr>
                <w:sz w:val="14"/>
              </w:rPr>
              <w:t>2</w:t>
            </w:r>
            <w:r>
              <w:rPr>
                <w:rFonts w:ascii="宋体" w:eastAsia="宋体" w:hint="eastAsia"/>
                <w:spacing w:val="-12"/>
                <w:position w:val="2"/>
                <w:sz w:val="21"/>
              </w:rPr>
              <w:t>、</w:t>
            </w:r>
            <w:r>
              <w:rPr>
                <w:position w:val="2"/>
                <w:sz w:val="21"/>
              </w:rPr>
              <w:t>NH</w:t>
            </w:r>
            <w:r>
              <w:rPr>
                <w:sz w:val="14"/>
              </w:rPr>
              <w:t>3</w:t>
            </w:r>
            <w:r>
              <w:rPr>
                <w:rFonts w:ascii="宋体" w:eastAsia="宋体" w:hint="eastAsia"/>
                <w:spacing w:val="-12"/>
                <w:position w:val="2"/>
                <w:sz w:val="21"/>
              </w:rPr>
              <w:t>、</w:t>
            </w:r>
            <w:r>
              <w:rPr>
                <w:position w:val="2"/>
                <w:sz w:val="21"/>
              </w:rPr>
              <w:t>H</w:t>
            </w:r>
            <w:r>
              <w:rPr>
                <w:sz w:val="14"/>
              </w:rPr>
              <w:t>2</w:t>
            </w:r>
            <w:r>
              <w:rPr>
                <w:position w:val="2"/>
                <w:sz w:val="21"/>
              </w:rPr>
              <w:t>S</w:t>
            </w:r>
            <w:r>
              <w:rPr>
                <w:rFonts w:ascii="宋体" w:eastAsia="宋体" w:hint="eastAsia"/>
                <w:position w:val="2"/>
                <w:sz w:val="21"/>
              </w:rPr>
              <w:t>、</w:t>
            </w:r>
            <w:r>
              <w:rPr>
                <w:rFonts w:ascii="宋体" w:eastAsia="宋体" w:hint="eastAsia"/>
                <w:spacing w:val="-1"/>
                <w:sz w:val="21"/>
              </w:rPr>
              <w:t>臭气浓度</w:t>
            </w:r>
            <w:r>
              <w:rPr>
                <w:rFonts w:ascii="宋体" w:eastAsia="宋体" w:hint="eastAsia"/>
                <w:sz w:val="21"/>
              </w:rPr>
              <w:t>）</w:t>
            </w:r>
          </w:p>
        </w:tc>
        <w:tc>
          <w:tcPr>
            <w:tcW w:w="1931" w:type="dxa"/>
            <w:gridSpan w:val="7"/>
            <w:tcBorders>
              <w:top w:val="single" w:sz="6" w:space="0" w:color="000000"/>
              <w:left w:val="single" w:sz="6" w:space="0" w:color="000000"/>
              <w:bottom w:val="single" w:sz="6" w:space="0" w:color="000000"/>
              <w:right w:val="single" w:sz="6" w:space="0" w:color="000000"/>
            </w:tcBorders>
          </w:tcPr>
          <w:p>
            <w:pPr>
              <w:pStyle w:val="TableParagraph"/>
              <w:spacing w:before="22"/>
              <w:ind w:left="137"/>
              <w:jc w:val="left"/>
              <w:rPr>
                <w:rFonts w:ascii="Wingdings" w:hAnsi="Wingdings"/>
                <w:sz w:val="21"/>
              </w:rPr>
            </w:pPr>
            <w:r>
              <w:rPr>
                <w:rFonts w:ascii="宋体" w:hAnsi="宋体"/>
                <w:spacing w:val="-3"/>
                <w:sz w:val="21"/>
              </w:rPr>
              <w:t>无组织废气监测</w:t>
            </w:r>
            <w:r>
              <w:rPr>
                <w:rFonts w:ascii="Wingdings" w:hAnsi="Wingdings"/>
                <w:sz w:val="21"/>
              </w:rPr>
              <w:t></w:t>
            </w:r>
          </w:p>
          <w:p>
            <w:pPr>
              <w:pStyle w:val="TableParagraph"/>
              <w:spacing w:line="261" w:lineRule="exact" w:before="43"/>
              <w:ind w:left="137"/>
              <w:jc w:val="left"/>
              <w:rPr>
                <w:rFonts w:ascii="Wingdings" w:hAnsi="Wingdings"/>
                <w:sz w:val="21"/>
              </w:rPr>
            </w:pPr>
            <w:r>
              <w:rPr>
                <w:rFonts w:ascii="宋体" w:hAnsi="宋体"/>
                <w:spacing w:val="-3"/>
                <w:sz w:val="21"/>
              </w:rPr>
              <w:t>有组织废气监测</w:t>
            </w:r>
            <w:r>
              <w:rPr>
                <w:rFonts w:ascii="Wingdings" w:hAnsi="Wingdings"/>
                <w:sz w:val="21"/>
              </w:rPr>
              <w:t></w:t>
            </w:r>
          </w:p>
        </w:tc>
        <w:tc>
          <w:tcPr>
            <w:tcW w:w="1153" w:type="dxa"/>
            <w:gridSpan w:val="2"/>
            <w:tcBorders>
              <w:top w:val="single" w:sz="6" w:space="0" w:color="000000"/>
              <w:left w:val="single" w:sz="6" w:space="0" w:color="000000"/>
              <w:bottom w:val="single" w:sz="6" w:space="0" w:color="000000"/>
            </w:tcBorders>
          </w:tcPr>
          <w:p>
            <w:pPr>
              <w:pStyle w:val="TableParagraph"/>
              <w:spacing w:before="178"/>
              <w:ind w:left="158"/>
              <w:jc w:val="left"/>
              <w:rPr>
                <w:rFonts w:ascii="宋体" w:hAnsi="宋体" w:eastAsia="宋体" w:hint="eastAsia"/>
                <w:sz w:val="21"/>
              </w:rPr>
            </w:pPr>
            <w:r>
              <w:rPr>
                <w:rFonts w:ascii="宋体" w:hAnsi="宋体" w:eastAsia="宋体" w:hint="eastAsia"/>
                <w:sz w:val="21"/>
              </w:rPr>
              <w:t>无监测□</w:t>
            </w:r>
          </w:p>
        </w:tc>
      </w:tr>
      <w:tr>
        <w:trPr>
          <w:trHeight w:val="305" w:hRule="atLeast"/>
        </w:trPr>
        <w:tc>
          <w:tcPr>
            <w:tcW w:w="1066" w:type="dxa"/>
            <w:vMerge/>
            <w:tcBorders>
              <w:top w:val="nil"/>
              <w:right w:val="single" w:sz="6" w:space="0" w:color="000000"/>
            </w:tcBorders>
          </w:tcPr>
          <w:p>
            <w:pPr>
              <w:rPr>
                <w:sz w:val="2"/>
                <w:szCs w:val="2"/>
              </w:rPr>
            </w:pPr>
          </w:p>
        </w:tc>
        <w:tc>
          <w:tcPr>
            <w:tcW w:w="1695" w:type="dxa"/>
            <w:tcBorders>
              <w:top w:val="single" w:sz="6" w:space="0" w:color="000000"/>
              <w:left w:val="single" w:sz="6" w:space="0" w:color="000000"/>
              <w:right w:val="single" w:sz="6" w:space="0" w:color="000000"/>
            </w:tcBorders>
          </w:tcPr>
          <w:p>
            <w:pPr>
              <w:pStyle w:val="TableParagraph"/>
              <w:spacing w:line="269" w:lineRule="exact" w:before="17"/>
              <w:ind w:left="27"/>
              <w:rPr>
                <w:rFonts w:ascii="宋体" w:eastAsia="宋体" w:hint="eastAsia"/>
                <w:sz w:val="21"/>
              </w:rPr>
            </w:pPr>
            <w:r>
              <w:rPr>
                <w:rFonts w:ascii="宋体" w:eastAsia="宋体" w:hint="eastAsia"/>
                <w:sz w:val="21"/>
              </w:rPr>
              <w:t>环境质量监测</w:t>
            </w:r>
          </w:p>
        </w:tc>
        <w:tc>
          <w:tcPr>
            <w:tcW w:w="3592" w:type="dxa"/>
            <w:gridSpan w:val="7"/>
            <w:tcBorders>
              <w:top w:val="single" w:sz="6" w:space="0" w:color="000000"/>
              <w:left w:val="single" w:sz="6" w:space="0" w:color="000000"/>
              <w:right w:val="single" w:sz="6" w:space="0" w:color="000000"/>
            </w:tcBorders>
          </w:tcPr>
          <w:p>
            <w:pPr>
              <w:pStyle w:val="TableParagraph"/>
              <w:spacing w:before="16"/>
              <w:ind w:left="114"/>
              <w:jc w:val="left"/>
              <w:rPr>
                <w:rFonts w:ascii="宋体" w:eastAsia="宋体" w:hint="eastAsia"/>
                <w:sz w:val="21"/>
              </w:rPr>
            </w:pPr>
            <w:r>
              <w:rPr>
                <w:rFonts w:ascii="宋体" w:eastAsia="宋体" w:hint="eastAsia"/>
                <w:position w:val="2"/>
                <w:sz w:val="21"/>
              </w:rPr>
              <w:t>监测因子：（</w:t>
            </w:r>
            <w:r>
              <w:rPr>
                <w:position w:val="2"/>
                <w:sz w:val="21"/>
              </w:rPr>
              <w:t>NH</w:t>
            </w:r>
            <w:r>
              <w:rPr>
                <w:sz w:val="14"/>
              </w:rPr>
              <w:t>3</w:t>
            </w:r>
            <w:r>
              <w:rPr>
                <w:rFonts w:ascii="宋体" w:eastAsia="宋体" w:hint="eastAsia"/>
                <w:position w:val="2"/>
                <w:sz w:val="21"/>
              </w:rPr>
              <w:t>、</w:t>
            </w:r>
            <w:r>
              <w:rPr>
                <w:position w:val="2"/>
                <w:sz w:val="21"/>
              </w:rPr>
              <w:t>H</w:t>
            </w:r>
            <w:r>
              <w:rPr>
                <w:sz w:val="14"/>
              </w:rPr>
              <w:t>2</w:t>
            </w:r>
            <w:r>
              <w:rPr>
                <w:position w:val="2"/>
                <w:sz w:val="21"/>
              </w:rPr>
              <w:t>S</w:t>
            </w:r>
            <w:r>
              <w:rPr>
                <w:rFonts w:ascii="宋体" w:eastAsia="宋体" w:hint="eastAsia"/>
                <w:position w:val="2"/>
                <w:sz w:val="21"/>
              </w:rPr>
              <w:t>、臭气浓度）</w:t>
            </w:r>
          </w:p>
        </w:tc>
        <w:tc>
          <w:tcPr>
            <w:tcW w:w="1931" w:type="dxa"/>
            <w:gridSpan w:val="7"/>
            <w:tcBorders>
              <w:top w:val="single" w:sz="6" w:space="0" w:color="000000"/>
              <w:left w:val="single" w:sz="6" w:space="0" w:color="000000"/>
              <w:right w:val="single" w:sz="6" w:space="0" w:color="000000"/>
            </w:tcBorders>
          </w:tcPr>
          <w:p>
            <w:pPr>
              <w:pStyle w:val="TableParagraph"/>
              <w:spacing w:line="269" w:lineRule="exact" w:before="17"/>
              <w:ind w:left="181"/>
              <w:jc w:val="left"/>
              <w:rPr>
                <w:rFonts w:ascii="宋体" w:eastAsia="宋体" w:hint="eastAsia"/>
                <w:sz w:val="21"/>
              </w:rPr>
            </w:pPr>
            <w:r>
              <w:rPr>
                <w:rFonts w:ascii="宋体" w:eastAsia="宋体" w:hint="eastAsia"/>
                <w:sz w:val="21"/>
              </w:rPr>
              <w:t>监测点位数（</w:t>
            </w:r>
            <w:r>
              <w:rPr>
                <w:sz w:val="21"/>
              </w:rPr>
              <w:t>2</w:t>
            </w:r>
            <w:r>
              <w:rPr>
                <w:rFonts w:ascii="宋体" w:eastAsia="宋体" w:hint="eastAsia"/>
                <w:sz w:val="21"/>
              </w:rPr>
              <w:t>）</w:t>
            </w:r>
          </w:p>
        </w:tc>
        <w:tc>
          <w:tcPr>
            <w:tcW w:w="1153" w:type="dxa"/>
            <w:gridSpan w:val="2"/>
            <w:tcBorders>
              <w:top w:val="single" w:sz="6" w:space="0" w:color="000000"/>
              <w:left w:val="single" w:sz="6" w:space="0" w:color="000000"/>
            </w:tcBorders>
          </w:tcPr>
          <w:p>
            <w:pPr>
              <w:pStyle w:val="TableParagraph"/>
              <w:spacing w:line="269" w:lineRule="exact" w:before="17"/>
              <w:ind w:left="172"/>
              <w:jc w:val="left"/>
              <w:rPr>
                <w:rFonts w:ascii="宋体" w:hAnsi="宋体" w:eastAsia="宋体" w:hint="eastAsia"/>
                <w:sz w:val="21"/>
              </w:rPr>
            </w:pPr>
            <w:r>
              <w:rPr>
                <w:rFonts w:ascii="宋体" w:hAnsi="宋体" w:eastAsia="宋体" w:hint="eastAsia"/>
                <w:sz w:val="21"/>
              </w:rPr>
              <w:t>无监测□</w:t>
            </w:r>
          </w:p>
        </w:tc>
      </w:tr>
    </w:tbl>
    <w:p>
      <w:pPr>
        <w:spacing w:after="0" w:line="269" w:lineRule="exact"/>
        <w:jc w:val="left"/>
        <w:rPr>
          <w:rFonts w:ascii="宋体" w:hAnsi="宋体" w:eastAsia="宋体" w:hint="eastAsia"/>
          <w:sz w:val="21"/>
        </w:rPr>
        <w:sectPr>
          <w:pgSz w:w="11910" w:h="16840"/>
          <w:pgMar w:header="874" w:footer="1004" w:top="1420" w:bottom="1200" w:left="1040" w:right="1160"/>
        </w:sectPr>
      </w:pPr>
    </w:p>
    <w:tbl>
      <w:tblPr>
        <w:tblW w:w="0" w:type="auto"/>
        <w:jc w:val="left"/>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066"/>
        <w:gridCol w:w="1695"/>
        <w:gridCol w:w="1601"/>
        <w:gridCol w:w="1562"/>
        <w:gridCol w:w="1903"/>
        <w:gridCol w:w="1603"/>
      </w:tblGrid>
      <w:tr>
        <w:trPr>
          <w:trHeight w:val="311" w:hRule="atLeast"/>
        </w:trPr>
        <w:tc>
          <w:tcPr>
            <w:tcW w:w="1066" w:type="dxa"/>
            <w:tcBorders>
              <w:bottom w:val="single" w:sz="6" w:space="0" w:color="000000"/>
              <w:right w:val="single" w:sz="6" w:space="0" w:color="000000"/>
            </w:tcBorders>
          </w:tcPr>
          <w:p>
            <w:pPr>
              <w:pStyle w:val="TableParagraph"/>
              <w:spacing w:line="267" w:lineRule="exact" w:before="25"/>
              <w:ind w:left="109"/>
              <w:jc w:val="left"/>
              <w:rPr>
                <w:rFonts w:ascii="宋体" w:eastAsia="宋体" w:hint="eastAsia"/>
                <w:b/>
                <w:sz w:val="21"/>
              </w:rPr>
            </w:pPr>
            <w:r>
              <w:rPr>
                <w:rFonts w:ascii="宋体" w:eastAsia="宋体" w:hint="eastAsia"/>
                <w:b/>
                <w:sz w:val="21"/>
              </w:rPr>
              <w:t>工作内容</w:t>
            </w:r>
          </w:p>
        </w:tc>
        <w:tc>
          <w:tcPr>
            <w:tcW w:w="8364" w:type="dxa"/>
            <w:gridSpan w:val="5"/>
            <w:tcBorders>
              <w:left w:val="single" w:sz="6" w:space="0" w:color="000000"/>
              <w:bottom w:val="single" w:sz="6" w:space="0" w:color="000000"/>
            </w:tcBorders>
          </w:tcPr>
          <w:p>
            <w:pPr>
              <w:pStyle w:val="TableParagraph"/>
              <w:spacing w:line="267" w:lineRule="exact" w:before="25"/>
              <w:ind w:left="3748" w:right="3709"/>
              <w:rPr>
                <w:rFonts w:ascii="宋体" w:eastAsia="宋体" w:hint="eastAsia"/>
                <w:b/>
                <w:sz w:val="21"/>
              </w:rPr>
            </w:pPr>
            <w:r>
              <w:rPr>
                <w:rFonts w:ascii="宋体" w:eastAsia="宋体" w:hint="eastAsia"/>
                <w:b/>
                <w:sz w:val="21"/>
              </w:rPr>
              <w:t>自查项目</w:t>
            </w:r>
          </w:p>
        </w:tc>
      </w:tr>
      <w:tr>
        <w:trPr>
          <w:trHeight w:val="313" w:hRule="atLeast"/>
        </w:trPr>
        <w:tc>
          <w:tcPr>
            <w:tcW w:w="1066" w:type="dxa"/>
            <w:vMerge w:val="restart"/>
            <w:tcBorders>
              <w:top w:val="single" w:sz="6" w:space="0" w:color="000000"/>
              <w:bottom w:val="single" w:sz="6" w:space="0" w:color="000000"/>
              <w:right w:val="single" w:sz="6" w:space="0" w:color="000000"/>
            </w:tcBorders>
          </w:tcPr>
          <w:p>
            <w:pPr>
              <w:pStyle w:val="TableParagraph"/>
              <w:spacing w:before="5"/>
              <w:jc w:val="left"/>
              <w:rPr>
                <w:rFonts w:ascii="宋体"/>
                <w:b/>
                <w:sz w:val="27"/>
              </w:rPr>
            </w:pPr>
          </w:p>
          <w:p>
            <w:pPr>
              <w:pStyle w:val="TableParagraph"/>
              <w:spacing w:before="0"/>
              <w:ind w:left="112"/>
              <w:jc w:val="left"/>
              <w:rPr>
                <w:rFonts w:ascii="宋体" w:eastAsia="宋体" w:hint="eastAsia"/>
                <w:sz w:val="21"/>
              </w:rPr>
            </w:pPr>
            <w:r>
              <w:rPr>
                <w:rFonts w:ascii="宋体" w:eastAsia="宋体" w:hint="eastAsia"/>
                <w:sz w:val="21"/>
              </w:rPr>
              <w:t>评价结论</w:t>
            </w: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5"/>
              <w:ind w:left="29"/>
              <w:rPr>
                <w:rFonts w:ascii="宋体" w:eastAsia="宋体" w:hint="eastAsia"/>
                <w:sz w:val="21"/>
              </w:rPr>
            </w:pPr>
            <w:r>
              <w:rPr>
                <w:rFonts w:ascii="宋体" w:eastAsia="宋体" w:hint="eastAsia"/>
                <w:sz w:val="21"/>
              </w:rPr>
              <w:t>环境影响</w:t>
            </w:r>
          </w:p>
        </w:tc>
        <w:tc>
          <w:tcPr>
            <w:tcW w:w="6669" w:type="dxa"/>
            <w:gridSpan w:val="4"/>
            <w:tcBorders>
              <w:top w:val="single" w:sz="6" w:space="0" w:color="000000"/>
              <w:left w:val="single" w:sz="6" w:space="0" w:color="000000"/>
              <w:bottom w:val="single" w:sz="6" w:space="0" w:color="000000"/>
            </w:tcBorders>
          </w:tcPr>
          <w:p>
            <w:pPr>
              <w:pStyle w:val="TableParagraph"/>
              <w:tabs>
                <w:tab w:pos="3647" w:val="left" w:leader="none"/>
              </w:tabs>
              <w:spacing w:before="25"/>
              <w:ind w:left="1778"/>
              <w:jc w:val="left"/>
              <w:rPr>
                <w:rFonts w:ascii="宋体" w:hAnsi="宋体" w:eastAsia="宋体" w:hint="eastAsia"/>
                <w:sz w:val="21"/>
              </w:rPr>
            </w:pPr>
            <w:r>
              <w:rPr>
                <w:rFonts w:ascii="宋体" w:hAnsi="宋体" w:eastAsia="宋体" w:hint="eastAsia"/>
                <w:sz w:val="21"/>
              </w:rPr>
              <w:t>可以</w:t>
            </w:r>
            <w:r>
              <w:rPr>
                <w:rFonts w:ascii="宋体" w:hAnsi="宋体" w:eastAsia="宋体" w:hint="eastAsia"/>
                <w:spacing w:val="-3"/>
                <w:sz w:val="21"/>
              </w:rPr>
              <w:t>接受</w:t>
            </w:r>
            <w:r>
              <w:rPr>
                <w:rFonts w:ascii="Wingdings" w:hAnsi="Wingdings" w:eastAsia="Wingdings"/>
                <w:sz w:val="21"/>
              </w:rPr>
              <w:t></w:t>
            </w:r>
            <w:r>
              <w:rPr>
                <w:sz w:val="21"/>
              </w:rPr>
              <w:tab/>
            </w:r>
            <w:r>
              <w:rPr>
                <w:rFonts w:ascii="宋体" w:hAnsi="宋体" w:eastAsia="宋体" w:hint="eastAsia"/>
                <w:spacing w:val="-3"/>
                <w:sz w:val="21"/>
              </w:rPr>
              <w:t>不可</w:t>
            </w:r>
            <w:r>
              <w:rPr>
                <w:rFonts w:ascii="宋体" w:hAnsi="宋体" w:eastAsia="宋体" w:hint="eastAsia"/>
                <w:sz w:val="21"/>
              </w:rPr>
              <w:t>以接受□</w:t>
            </w:r>
          </w:p>
        </w:tc>
      </w:tr>
      <w:tr>
        <w:trPr>
          <w:trHeight w:val="311"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27"/>
              <w:rPr>
                <w:rFonts w:ascii="宋体" w:eastAsia="宋体" w:hint="eastAsia"/>
                <w:sz w:val="21"/>
              </w:rPr>
            </w:pPr>
            <w:r>
              <w:rPr>
                <w:rFonts w:ascii="宋体" w:eastAsia="宋体" w:hint="eastAsia"/>
                <w:sz w:val="21"/>
              </w:rPr>
              <w:t>环境防护距离</w:t>
            </w:r>
          </w:p>
        </w:tc>
        <w:tc>
          <w:tcPr>
            <w:tcW w:w="6669" w:type="dxa"/>
            <w:gridSpan w:val="4"/>
            <w:tcBorders>
              <w:top w:val="single" w:sz="6" w:space="0" w:color="000000"/>
              <w:left w:val="single" w:sz="6" w:space="0" w:color="000000"/>
              <w:bottom w:val="single" w:sz="6" w:space="0" w:color="000000"/>
            </w:tcBorders>
          </w:tcPr>
          <w:p>
            <w:pPr>
              <w:pStyle w:val="TableParagraph"/>
              <w:spacing w:before="22"/>
              <w:ind w:left="632"/>
              <w:jc w:val="left"/>
              <w:rPr>
                <w:sz w:val="21"/>
              </w:rPr>
            </w:pPr>
            <w:r>
              <w:rPr>
                <w:rFonts w:ascii="宋体" w:eastAsia="宋体" w:hint="eastAsia"/>
                <w:sz w:val="21"/>
              </w:rPr>
              <w:t>距（东、南、西、北）厂界最远（</w:t>
            </w:r>
            <w:r>
              <w:rPr>
                <w:sz w:val="21"/>
              </w:rPr>
              <w:t>500</w:t>
            </w:r>
            <w:r>
              <w:rPr>
                <w:rFonts w:ascii="宋体" w:eastAsia="宋体" w:hint="eastAsia"/>
                <w:sz w:val="21"/>
              </w:rPr>
              <w:t>、</w:t>
            </w:r>
            <w:r>
              <w:rPr>
                <w:sz w:val="21"/>
              </w:rPr>
              <w:t>500</w:t>
            </w:r>
            <w:r>
              <w:rPr>
                <w:rFonts w:ascii="宋体" w:eastAsia="宋体" w:hint="eastAsia"/>
                <w:sz w:val="21"/>
              </w:rPr>
              <w:t>、</w:t>
            </w:r>
            <w:r>
              <w:rPr>
                <w:sz w:val="21"/>
              </w:rPr>
              <w:t>500</w:t>
            </w:r>
            <w:r>
              <w:rPr>
                <w:rFonts w:ascii="宋体" w:eastAsia="宋体" w:hint="eastAsia"/>
                <w:sz w:val="21"/>
              </w:rPr>
              <w:t>、</w:t>
            </w:r>
            <w:r>
              <w:rPr>
                <w:sz w:val="21"/>
              </w:rPr>
              <w:t>500</w:t>
            </w:r>
            <w:r>
              <w:rPr>
                <w:rFonts w:ascii="宋体" w:eastAsia="宋体" w:hint="eastAsia"/>
                <w:sz w:val="21"/>
              </w:rPr>
              <w:t>）</w:t>
            </w:r>
            <w:r>
              <w:rPr>
                <w:sz w:val="21"/>
              </w:rPr>
              <w:t>m</w:t>
            </w:r>
          </w:p>
        </w:tc>
      </w:tr>
      <w:tr>
        <w:trPr>
          <w:trHeight w:val="311" w:hRule="atLeast"/>
        </w:trPr>
        <w:tc>
          <w:tcPr>
            <w:tcW w:w="1066" w:type="dxa"/>
            <w:vMerge/>
            <w:tcBorders>
              <w:top w:val="nil"/>
              <w:bottom w:val="single" w:sz="6" w:space="0" w:color="000000"/>
              <w:right w:val="single" w:sz="6" w:space="0" w:color="000000"/>
            </w:tcBorders>
          </w:tcPr>
          <w:p>
            <w:pPr>
              <w:rPr>
                <w:sz w:val="2"/>
                <w:szCs w:val="2"/>
              </w:rPr>
            </w:pPr>
          </w:p>
        </w:tc>
        <w:tc>
          <w:tcPr>
            <w:tcW w:w="1695" w:type="dxa"/>
            <w:tcBorders>
              <w:top w:val="single" w:sz="6" w:space="0" w:color="000000"/>
              <w:left w:val="single" w:sz="6" w:space="0" w:color="000000"/>
              <w:bottom w:val="single" w:sz="6" w:space="0" w:color="000000"/>
              <w:right w:val="single" w:sz="6" w:space="0" w:color="000000"/>
            </w:tcBorders>
          </w:tcPr>
          <w:p>
            <w:pPr>
              <w:pStyle w:val="TableParagraph"/>
              <w:spacing w:before="22"/>
              <w:ind w:left="27"/>
              <w:rPr>
                <w:rFonts w:ascii="宋体" w:eastAsia="宋体" w:hint="eastAsia"/>
                <w:sz w:val="21"/>
              </w:rPr>
            </w:pPr>
            <w:r>
              <w:rPr>
                <w:rFonts w:ascii="宋体" w:eastAsia="宋体" w:hint="eastAsia"/>
                <w:sz w:val="21"/>
              </w:rPr>
              <w:t>污染源年排放量</w:t>
            </w:r>
          </w:p>
        </w:tc>
        <w:tc>
          <w:tcPr>
            <w:tcW w:w="1601" w:type="dxa"/>
            <w:tcBorders>
              <w:top w:val="single" w:sz="6" w:space="0" w:color="000000"/>
              <w:left w:val="single" w:sz="6" w:space="0" w:color="000000"/>
              <w:bottom w:val="single" w:sz="6" w:space="0" w:color="000000"/>
              <w:right w:val="single" w:sz="6" w:space="0" w:color="000000"/>
            </w:tcBorders>
          </w:tcPr>
          <w:p>
            <w:pPr>
              <w:pStyle w:val="TableParagraph"/>
              <w:spacing w:before="21"/>
              <w:ind w:left="114"/>
              <w:jc w:val="left"/>
              <w:rPr>
                <w:sz w:val="21"/>
              </w:rPr>
            </w:pPr>
            <w:r>
              <w:rPr>
                <w:position w:val="2"/>
                <w:sz w:val="21"/>
              </w:rPr>
              <w:t>SO</w:t>
            </w:r>
            <w:r>
              <w:rPr>
                <w:sz w:val="14"/>
              </w:rPr>
              <w:t>2</w:t>
            </w:r>
            <w:r>
              <w:rPr>
                <w:rFonts w:ascii="宋体" w:eastAsia="宋体" w:hint="eastAsia"/>
                <w:position w:val="2"/>
                <w:sz w:val="21"/>
              </w:rPr>
              <w:t>（</w:t>
            </w:r>
            <w:r>
              <w:rPr>
                <w:position w:val="2"/>
                <w:sz w:val="21"/>
              </w:rPr>
              <w:t>0.011</w:t>
            </w:r>
            <w:r>
              <w:rPr>
                <w:rFonts w:ascii="宋体" w:eastAsia="宋体" w:hint="eastAsia"/>
                <w:position w:val="2"/>
                <w:sz w:val="21"/>
              </w:rPr>
              <w:t>）</w:t>
            </w:r>
            <w:r>
              <w:rPr>
                <w:position w:val="2"/>
                <w:sz w:val="21"/>
              </w:rPr>
              <w:t>t/a</w:t>
            </w:r>
          </w:p>
        </w:tc>
        <w:tc>
          <w:tcPr>
            <w:tcW w:w="1562" w:type="dxa"/>
            <w:tcBorders>
              <w:top w:val="single" w:sz="6" w:space="0" w:color="000000"/>
              <w:left w:val="single" w:sz="6" w:space="0" w:color="000000"/>
              <w:bottom w:val="single" w:sz="6" w:space="0" w:color="000000"/>
              <w:right w:val="single" w:sz="6" w:space="0" w:color="000000"/>
            </w:tcBorders>
          </w:tcPr>
          <w:p>
            <w:pPr>
              <w:pStyle w:val="TableParagraph"/>
              <w:spacing w:before="21"/>
              <w:ind w:left="114"/>
              <w:jc w:val="left"/>
              <w:rPr>
                <w:sz w:val="21"/>
              </w:rPr>
            </w:pPr>
            <w:r>
              <w:rPr>
                <w:spacing w:val="-2"/>
                <w:w w:val="100"/>
                <w:position w:val="2"/>
                <w:sz w:val="21"/>
              </w:rPr>
              <w:t>N</w:t>
            </w:r>
            <w:r>
              <w:rPr>
                <w:spacing w:val="1"/>
                <w:w w:val="100"/>
                <w:position w:val="2"/>
                <w:sz w:val="21"/>
              </w:rPr>
              <w:t>O</w:t>
            </w:r>
            <w:r>
              <w:rPr>
                <w:spacing w:val="-65"/>
                <w:w w:val="99"/>
                <w:sz w:val="14"/>
              </w:rPr>
              <w:t>x</w:t>
            </w:r>
            <w:r>
              <w:rPr>
                <w:rFonts w:ascii="宋体" w:eastAsia="宋体" w:hint="eastAsia"/>
                <w:w w:val="100"/>
                <w:position w:val="2"/>
                <w:sz w:val="21"/>
              </w:rPr>
              <w:t>（</w:t>
            </w:r>
            <w:r>
              <w:rPr>
                <w:w w:val="100"/>
                <w:position w:val="2"/>
                <w:sz w:val="21"/>
              </w:rPr>
              <w:t>0</w:t>
            </w:r>
            <w:r>
              <w:rPr>
                <w:spacing w:val="-3"/>
                <w:w w:val="100"/>
                <w:position w:val="2"/>
                <w:sz w:val="21"/>
              </w:rPr>
              <w:t>.</w:t>
            </w:r>
            <w:r>
              <w:rPr>
                <w:w w:val="100"/>
                <w:position w:val="2"/>
                <w:sz w:val="21"/>
              </w:rPr>
              <w:t>47</w:t>
            </w:r>
            <w:r>
              <w:rPr>
                <w:spacing w:val="-3"/>
                <w:w w:val="100"/>
                <w:position w:val="2"/>
                <w:sz w:val="21"/>
              </w:rPr>
              <w:t>8</w:t>
            </w:r>
            <w:r>
              <w:rPr>
                <w:rFonts w:ascii="宋体" w:eastAsia="宋体" w:hint="eastAsia"/>
                <w:spacing w:val="-65"/>
                <w:w w:val="100"/>
                <w:position w:val="2"/>
                <w:sz w:val="21"/>
              </w:rPr>
              <w:t>）</w:t>
            </w:r>
            <w:r>
              <w:rPr>
                <w:spacing w:val="-2"/>
                <w:w w:val="100"/>
                <w:position w:val="2"/>
                <w:sz w:val="21"/>
              </w:rPr>
              <w:t>t/a</w:t>
            </w:r>
          </w:p>
        </w:tc>
        <w:tc>
          <w:tcPr>
            <w:tcW w:w="1903" w:type="dxa"/>
            <w:tcBorders>
              <w:top w:val="single" w:sz="6" w:space="0" w:color="000000"/>
              <w:left w:val="single" w:sz="6" w:space="0" w:color="000000"/>
              <w:bottom w:val="single" w:sz="6" w:space="0" w:color="000000"/>
              <w:right w:val="single" w:sz="6" w:space="0" w:color="000000"/>
            </w:tcBorders>
          </w:tcPr>
          <w:p>
            <w:pPr>
              <w:pStyle w:val="TableParagraph"/>
              <w:spacing w:before="22"/>
              <w:ind w:left="299"/>
              <w:jc w:val="left"/>
              <w:rPr>
                <w:sz w:val="21"/>
              </w:rPr>
            </w:pPr>
            <w:r>
              <w:rPr>
                <w:rFonts w:ascii="宋体" w:eastAsia="宋体" w:hint="eastAsia"/>
                <w:sz w:val="21"/>
              </w:rPr>
              <w:t>颗粒物（</w:t>
            </w:r>
            <w:r>
              <w:rPr>
                <w:sz w:val="21"/>
              </w:rPr>
              <w:t>/</w:t>
            </w:r>
            <w:r>
              <w:rPr>
                <w:rFonts w:ascii="宋体" w:eastAsia="宋体" w:hint="eastAsia"/>
                <w:sz w:val="21"/>
              </w:rPr>
              <w:t>）</w:t>
            </w:r>
            <w:r>
              <w:rPr>
                <w:sz w:val="21"/>
              </w:rPr>
              <w:t>t/a</w:t>
            </w:r>
          </w:p>
        </w:tc>
        <w:tc>
          <w:tcPr>
            <w:tcW w:w="1603" w:type="dxa"/>
            <w:tcBorders>
              <w:top w:val="single" w:sz="6" w:space="0" w:color="000000"/>
              <w:left w:val="single" w:sz="6" w:space="0" w:color="000000"/>
              <w:bottom w:val="single" w:sz="6" w:space="0" w:color="000000"/>
            </w:tcBorders>
          </w:tcPr>
          <w:p>
            <w:pPr>
              <w:pStyle w:val="TableParagraph"/>
              <w:spacing w:before="22"/>
              <w:ind w:left="199"/>
              <w:jc w:val="left"/>
              <w:rPr>
                <w:sz w:val="21"/>
              </w:rPr>
            </w:pPr>
            <w:r>
              <w:rPr>
                <w:sz w:val="21"/>
              </w:rPr>
              <w:t>VOCs</w:t>
            </w:r>
            <w:r>
              <w:rPr>
                <w:rFonts w:ascii="宋体" w:eastAsia="宋体" w:hint="eastAsia"/>
                <w:sz w:val="21"/>
              </w:rPr>
              <w:t>（</w:t>
            </w:r>
            <w:r>
              <w:rPr>
                <w:sz w:val="21"/>
              </w:rPr>
              <w:t>/</w:t>
            </w:r>
            <w:r>
              <w:rPr>
                <w:rFonts w:ascii="宋体" w:eastAsia="宋体" w:hint="eastAsia"/>
                <w:sz w:val="21"/>
              </w:rPr>
              <w:t>）</w:t>
            </w:r>
            <w:r>
              <w:rPr>
                <w:sz w:val="21"/>
              </w:rPr>
              <w:t>t/a</w:t>
            </w:r>
          </w:p>
        </w:tc>
      </w:tr>
      <w:tr>
        <w:trPr>
          <w:trHeight w:val="313" w:hRule="atLeast"/>
        </w:trPr>
        <w:tc>
          <w:tcPr>
            <w:tcW w:w="9430" w:type="dxa"/>
            <w:gridSpan w:val="6"/>
            <w:tcBorders>
              <w:top w:val="single" w:sz="6" w:space="0" w:color="000000"/>
            </w:tcBorders>
          </w:tcPr>
          <w:p>
            <w:pPr>
              <w:pStyle w:val="TableParagraph"/>
              <w:spacing w:before="22"/>
              <w:ind w:left="2414" w:right="2385"/>
              <w:rPr>
                <w:rFonts w:ascii="宋体" w:hAnsi="宋体" w:eastAsia="宋体" w:hint="eastAsia"/>
                <w:sz w:val="21"/>
              </w:rPr>
            </w:pPr>
            <w:r>
              <w:rPr>
                <w:rFonts w:ascii="宋体" w:hAnsi="宋体" w:eastAsia="宋体" w:hint="eastAsia"/>
                <w:sz w:val="21"/>
              </w:rPr>
              <w:t>注：</w:t>
            </w:r>
            <w:r>
              <w:rPr>
                <w:sz w:val="21"/>
              </w:rPr>
              <w:t>“</w:t>
            </w:r>
            <w:r>
              <w:rPr>
                <w:rFonts w:ascii="宋体" w:hAnsi="宋体" w:eastAsia="宋体" w:hint="eastAsia"/>
                <w:sz w:val="21"/>
              </w:rPr>
              <w:t>□</w:t>
            </w:r>
            <w:r>
              <w:rPr>
                <w:sz w:val="21"/>
              </w:rPr>
              <w:t>”</w:t>
            </w:r>
            <w:r>
              <w:rPr>
                <w:rFonts w:ascii="宋体" w:hAnsi="宋体" w:eastAsia="宋体" w:hint="eastAsia"/>
                <w:sz w:val="21"/>
              </w:rPr>
              <w:t>为勾选项，填</w:t>
            </w:r>
            <w:r>
              <w:rPr>
                <w:sz w:val="21"/>
              </w:rPr>
              <w:t>“√”</w:t>
            </w:r>
            <w:r>
              <w:rPr>
                <w:rFonts w:ascii="宋体" w:hAnsi="宋体" w:eastAsia="宋体" w:hint="eastAsia"/>
                <w:sz w:val="21"/>
              </w:rPr>
              <w:t>；</w:t>
            </w:r>
            <w:r>
              <w:rPr>
                <w:sz w:val="21"/>
              </w:rPr>
              <w:t>“</w:t>
            </w:r>
            <w:r>
              <w:rPr>
                <w:rFonts w:ascii="宋体" w:hAnsi="宋体" w:eastAsia="宋体" w:hint="eastAsia"/>
                <w:sz w:val="21"/>
              </w:rPr>
              <w:t>（ ）</w:t>
            </w:r>
            <w:r>
              <w:rPr>
                <w:sz w:val="21"/>
              </w:rPr>
              <w:t>”</w:t>
            </w:r>
            <w:r>
              <w:rPr>
                <w:rFonts w:ascii="宋体" w:hAnsi="宋体" w:eastAsia="宋体" w:hint="eastAsia"/>
                <w:sz w:val="21"/>
              </w:rPr>
              <w:t>为内容填写项</w:t>
            </w:r>
          </w:p>
        </w:tc>
      </w:tr>
    </w:tbl>
    <w:p>
      <w:pPr>
        <w:spacing w:before="91"/>
        <w:ind w:left="719" w:right="0" w:firstLine="0"/>
        <w:jc w:val="left"/>
        <w:rPr>
          <w:b/>
          <w:sz w:val="24"/>
        </w:rPr>
      </w:pPr>
      <w:r>
        <w:rPr>
          <w:rFonts w:ascii="Times New Roman" w:eastAsia="Times New Roman"/>
          <w:b/>
          <w:sz w:val="24"/>
        </w:rPr>
        <w:t>2</w:t>
      </w:r>
      <w:r>
        <w:rPr>
          <w:b/>
          <w:sz w:val="24"/>
        </w:rPr>
        <w:t>、地表水环境影响分析</w:t>
      </w:r>
    </w:p>
    <w:p>
      <w:pPr>
        <w:pStyle w:val="BodyText"/>
        <w:spacing w:line="364" w:lineRule="auto" w:before="161"/>
        <w:ind w:right="248" w:firstLine="480"/>
        <w:jc w:val="both"/>
      </w:pPr>
      <w:r>
        <w:rPr/>
        <w:t>本项目生产生活废水经厂区自建污水处理站预处理后全部接入市政污水管网，最终进入绍兴市污水处理厂处理达标后排入钱塘江，纳管在时间、空间的衔接上是可行的， 绍兴市污水处理厂也有足够的容量容纳本项目废水。由于项目废水不直接排入附近地表水体，因此正常工况下不会对附近地表水环境造成明显不良影响。</w:t>
      </w:r>
    </w:p>
    <w:p>
      <w:pPr>
        <w:pStyle w:val="Heading3"/>
        <w:spacing w:before="3"/>
        <w:ind w:left="2697"/>
        <w:jc w:val="both"/>
      </w:pPr>
      <w:r>
        <w:rPr/>
        <w:t>表 </w:t>
      </w:r>
      <w:r>
        <w:rPr>
          <w:rFonts w:ascii="Times New Roman" w:eastAsia="Times New Roman"/>
        </w:rPr>
        <w:t>9.1-3  </w:t>
      </w:r>
      <w:r>
        <w:rPr/>
        <w:t>建设项目水环境影响评价自查表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1810"/>
        <w:gridCol w:w="2484"/>
        <w:gridCol w:w="1629"/>
        <w:gridCol w:w="1274"/>
        <w:gridCol w:w="1804"/>
      </w:tblGrid>
      <w:tr>
        <w:trPr>
          <w:trHeight w:val="311" w:hRule="atLeast"/>
        </w:trPr>
        <w:tc>
          <w:tcPr>
            <w:tcW w:w="2237" w:type="dxa"/>
            <w:gridSpan w:val="2"/>
            <w:tcBorders>
              <w:bottom w:val="single" w:sz="6" w:space="0" w:color="000000"/>
              <w:right w:val="single" w:sz="6" w:space="0" w:color="000000"/>
            </w:tcBorders>
          </w:tcPr>
          <w:p>
            <w:pPr>
              <w:pStyle w:val="TableParagraph"/>
              <w:spacing w:before="22"/>
              <w:ind w:left="695"/>
              <w:jc w:val="left"/>
              <w:rPr>
                <w:rFonts w:ascii="宋体" w:eastAsia="宋体" w:hint="eastAsia"/>
                <w:b/>
                <w:sz w:val="21"/>
              </w:rPr>
            </w:pPr>
            <w:r>
              <w:rPr>
                <w:rFonts w:ascii="宋体" w:eastAsia="宋体" w:hint="eastAsia"/>
                <w:b/>
                <w:sz w:val="21"/>
              </w:rPr>
              <w:t>工作内容</w:t>
            </w:r>
          </w:p>
        </w:tc>
        <w:tc>
          <w:tcPr>
            <w:tcW w:w="7191" w:type="dxa"/>
            <w:gridSpan w:val="4"/>
            <w:tcBorders>
              <w:left w:val="single" w:sz="6" w:space="0" w:color="000000"/>
              <w:bottom w:val="single" w:sz="6" w:space="0" w:color="000000"/>
            </w:tcBorders>
          </w:tcPr>
          <w:p>
            <w:pPr>
              <w:pStyle w:val="TableParagraph"/>
              <w:spacing w:before="22"/>
              <w:ind w:left="862" w:right="825"/>
              <w:rPr>
                <w:rFonts w:ascii="宋体" w:eastAsia="宋体" w:hint="eastAsia"/>
                <w:b/>
                <w:sz w:val="21"/>
              </w:rPr>
            </w:pPr>
            <w:r>
              <w:rPr>
                <w:rFonts w:ascii="宋体" w:eastAsia="宋体" w:hint="eastAsia"/>
                <w:b/>
                <w:sz w:val="21"/>
              </w:rPr>
              <w:t>自查项目</w:t>
            </w:r>
          </w:p>
        </w:tc>
      </w:tr>
      <w:tr>
        <w:trPr>
          <w:trHeight w:val="313"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12"/>
              <w:jc w:val="left"/>
              <w:rPr>
                <w:rFonts w:ascii="宋体"/>
                <w:b/>
                <w:sz w:val="27"/>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影响识别</w:t>
            </w: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5"/>
              <w:ind w:left="154" w:right="128"/>
              <w:rPr>
                <w:rFonts w:ascii="宋体" w:eastAsia="宋体" w:hint="eastAsia"/>
                <w:sz w:val="21"/>
              </w:rPr>
            </w:pPr>
            <w:r>
              <w:rPr>
                <w:rFonts w:ascii="宋体" w:eastAsia="宋体" w:hint="eastAsia"/>
                <w:sz w:val="21"/>
              </w:rPr>
              <w:t>影响类型</w:t>
            </w:r>
          </w:p>
        </w:tc>
        <w:tc>
          <w:tcPr>
            <w:tcW w:w="7191" w:type="dxa"/>
            <w:gridSpan w:val="4"/>
            <w:tcBorders>
              <w:top w:val="single" w:sz="6" w:space="0" w:color="000000"/>
              <w:left w:val="single" w:sz="6" w:space="0" w:color="000000"/>
              <w:bottom w:val="single" w:sz="6" w:space="0" w:color="000000"/>
            </w:tcBorders>
          </w:tcPr>
          <w:p>
            <w:pPr>
              <w:pStyle w:val="TableParagraph"/>
              <w:spacing w:before="25"/>
              <w:ind w:left="1932"/>
              <w:jc w:val="left"/>
              <w:rPr>
                <w:rFonts w:ascii="宋体" w:hAnsi="宋体" w:eastAsia="宋体" w:hint="eastAsia"/>
                <w:sz w:val="21"/>
              </w:rPr>
            </w:pPr>
            <w:r>
              <w:rPr>
                <w:rFonts w:ascii="宋体" w:hAnsi="宋体" w:eastAsia="宋体" w:hint="eastAsia"/>
                <w:sz w:val="21"/>
              </w:rPr>
              <w:t>水污染影响型</w:t>
            </w:r>
            <w:r>
              <w:rPr>
                <w:rFonts w:ascii="Wingdings" w:hAnsi="Wingdings" w:eastAsia="Wingdings"/>
                <w:sz w:val="21"/>
              </w:rPr>
              <w:t></w:t>
            </w:r>
            <w:r>
              <w:rPr>
                <w:rFonts w:ascii="宋体" w:hAnsi="宋体" w:eastAsia="宋体" w:hint="eastAsia"/>
                <w:sz w:val="21"/>
              </w:rPr>
              <w:t>；水文要素影响型□</w:t>
            </w:r>
          </w:p>
        </w:tc>
      </w:tr>
      <w:tr>
        <w:trPr>
          <w:trHeight w:val="935"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26"/>
              </w:rPr>
            </w:pPr>
          </w:p>
          <w:p>
            <w:pPr>
              <w:pStyle w:val="TableParagraph"/>
              <w:spacing w:before="0"/>
              <w:ind w:left="154" w:right="130"/>
              <w:rPr>
                <w:rFonts w:ascii="宋体" w:eastAsia="宋体" w:hint="eastAsia"/>
                <w:sz w:val="21"/>
              </w:rPr>
            </w:pPr>
            <w:r>
              <w:rPr>
                <w:rFonts w:ascii="宋体" w:eastAsia="宋体" w:hint="eastAsia"/>
                <w:sz w:val="21"/>
              </w:rPr>
              <w:t>水环境保护目标</w:t>
            </w:r>
          </w:p>
        </w:tc>
        <w:tc>
          <w:tcPr>
            <w:tcW w:w="7191" w:type="dxa"/>
            <w:gridSpan w:val="4"/>
            <w:tcBorders>
              <w:top w:val="single" w:sz="6" w:space="0" w:color="000000"/>
              <w:left w:val="single" w:sz="6" w:space="0" w:color="000000"/>
              <w:bottom w:val="single" w:sz="6" w:space="0" w:color="000000"/>
            </w:tcBorders>
          </w:tcPr>
          <w:p>
            <w:pPr>
              <w:pStyle w:val="TableParagraph"/>
              <w:spacing w:line="278" w:lineRule="auto" w:before="22"/>
              <w:ind w:left="112" w:right="-44"/>
              <w:jc w:val="left"/>
              <w:rPr>
                <w:rFonts w:ascii="宋体" w:hAnsi="宋体" w:eastAsia="宋体" w:hint="eastAsia"/>
                <w:sz w:val="21"/>
              </w:rPr>
            </w:pPr>
            <w:r>
              <w:rPr>
                <w:rFonts w:ascii="宋体" w:hAnsi="宋体" w:eastAsia="宋体" w:hint="eastAsia"/>
                <w:spacing w:val="-9"/>
                <w:sz w:val="21"/>
              </w:rPr>
              <w:t>饮用水水源保护区□；饮用水取水口□；涉水的自然保护区□；重要湿地□； 重点保护与珍稀水生生物的栖息地□；重要水生生物的自然产卵场及索饵场、</w:t>
            </w:r>
          </w:p>
          <w:p>
            <w:pPr>
              <w:pStyle w:val="TableParagraph"/>
              <w:spacing w:line="269" w:lineRule="exact" w:before="0"/>
              <w:ind w:left="134"/>
              <w:jc w:val="left"/>
              <w:rPr>
                <w:rFonts w:ascii="宋体" w:hAnsi="宋体" w:eastAsia="宋体" w:hint="eastAsia"/>
                <w:sz w:val="21"/>
              </w:rPr>
            </w:pPr>
            <w:r>
              <w:rPr>
                <w:rFonts w:ascii="宋体" w:hAnsi="宋体" w:eastAsia="宋体" w:hint="eastAsia"/>
                <w:sz w:val="21"/>
              </w:rPr>
              <w:t>越冬场和洄游通道、天然渔场等渔业水体□；涉水的风景名胜区□；其他□</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2"/>
              <w:ind w:left="154" w:right="128"/>
              <w:rPr>
                <w:rFonts w:ascii="宋体" w:eastAsia="宋体" w:hint="eastAsia"/>
                <w:sz w:val="21"/>
              </w:rPr>
            </w:pPr>
            <w:r>
              <w:rPr>
                <w:rFonts w:ascii="宋体" w:eastAsia="宋体" w:hint="eastAsia"/>
                <w:sz w:val="21"/>
              </w:rPr>
              <w:t>影响途径</w:t>
            </w: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02" w:right="77"/>
              <w:rPr>
                <w:rFonts w:ascii="宋体" w:eastAsia="宋体" w:hint="eastAsia"/>
                <w:sz w:val="21"/>
              </w:rPr>
            </w:pPr>
            <w:r>
              <w:rPr>
                <w:rFonts w:ascii="宋体" w:eastAsia="宋体" w:hint="eastAsia"/>
                <w:sz w:val="21"/>
              </w:rPr>
              <w:t>水污染影响型</w:t>
            </w:r>
          </w:p>
        </w:tc>
        <w:tc>
          <w:tcPr>
            <w:tcW w:w="3078" w:type="dxa"/>
            <w:gridSpan w:val="2"/>
            <w:tcBorders>
              <w:top w:val="single" w:sz="6" w:space="0" w:color="000000"/>
              <w:left w:val="single" w:sz="6" w:space="0" w:color="000000"/>
              <w:bottom w:val="single" w:sz="6" w:space="0" w:color="000000"/>
            </w:tcBorders>
          </w:tcPr>
          <w:p>
            <w:pPr>
              <w:pStyle w:val="TableParagraph"/>
              <w:spacing w:before="22"/>
              <w:ind w:left="812"/>
              <w:jc w:val="left"/>
              <w:rPr>
                <w:rFonts w:ascii="宋体" w:eastAsia="宋体" w:hint="eastAsia"/>
                <w:sz w:val="21"/>
              </w:rPr>
            </w:pPr>
            <w:r>
              <w:rPr>
                <w:rFonts w:ascii="宋体" w:eastAsia="宋体" w:hint="eastAsia"/>
                <w:sz w:val="21"/>
              </w:rPr>
              <w:t>水文要素影响型</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2"/>
              <w:ind w:left="154" w:right="128"/>
              <w:rPr>
                <w:rFonts w:ascii="宋体" w:eastAsia="宋体" w:hint="eastAsia"/>
                <w:sz w:val="21"/>
              </w:rPr>
            </w:pPr>
            <w:r>
              <w:rPr>
                <w:rFonts w:ascii="宋体" w:eastAsia="宋体" w:hint="eastAsia"/>
                <w:sz w:val="21"/>
              </w:rPr>
              <w:t>影响因子</w:t>
            </w: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496"/>
              <w:jc w:val="left"/>
              <w:rPr>
                <w:rFonts w:ascii="宋体" w:hAnsi="宋体" w:eastAsia="宋体" w:hint="eastAsia"/>
                <w:sz w:val="21"/>
              </w:rPr>
            </w:pPr>
            <w:r>
              <w:rPr>
                <w:rFonts w:ascii="宋体" w:hAnsi="宋体" w:eastAsia="宋体" w:hint="eastAsia"/>
                <w:sz w:val="21"/>
              </w:rPr>
              <w:t>直接排放□；间接排放</w:t>
            </w:r>
            <w:r>
              <w:rPr>
                <w:rFonts w:ascii="Wingdings" w:hAnsi="Wingdings" w:eastAsia="Wingdings"/>
                <w:sz w:val="21"/>
              </w:rPr>
              <w:t></w:t>
            </w:r>
            <w:r>
              <w:rPr>
                <w:rFonts w:ascii="宋体" w:hAnsi="宋体" w:eastAsia="宋体" w:hint="eastAsia"/>
                <w:sz w:val="21"/>
              </w:rPr>
              <w:t>；其他□</w:t>
            </w:r>
          </w:p>
        </w:tc>
        <w:tc>
          <w:tcPr>
            <w:tcW w:w="3078" w:type="dxa"/>
            <w:gridSpan w:val="2"/>
            <w:tcBorders>
              <w:top w:val="single" w:sz="6" w:space="0" w:color="000000"/>
              <w:left w:val="single" w:sz="6" w:space="0" w:color="000000"/>
              <w:bottom w:val="single" w:sz="6" w:space="0" w:color="000000"/>
            </w:tcBorders>
          </w:tcPr>
          <w:p>
            <w:pPr>
              <w:pStyle w:val="TableParagraph"/>
              <w:spacing w:before="22"/>
              <w:ind w:left="181"/>
              <w:jc w:val="left"/>
              <w:rPr>
                <w:rFonts w:ascii="宋体" w:hAnsi="宋体" w:eastAsia="宋体" w:hint="eastAsia"/>
                <w:sz w:val="21"/>
              </w:rPr>
            </w:pPr>
            <w:r>
              <w:rPr>
                <w:rFonts w:ascii="宋体" w:hAnsi="宋体" w:eastAsia="宋体" w:hint="eastAsia"/>
                <w:sz w:val="21"/>
              </w:rPr>
              <w:t>水温□；径流□；水域面积□</w:t>
            </w:r>
          </w:p>
        </w:tc>
      </w:tr>
      <w:tr>
        <w:trPr>
          <w:trHeight w:val="313" w:hRule="atLeast"/>
        </w:trPr>
        <w:tc>
          <w:tcPr>
            <w:tcW w:w="2237" w:type="dxa"/>
            <w:gridSpan w:val="2"/>
            <w:vMerge w:val="restart"/>
            <w:tcBorders>
              <w:top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697"/>
              <w:jc w:val="left"/>
              <w:rPr>
                <w:rFonts w:ascii="宋体" w:eastAsia="宋体" w:hint="eastAsia"/>
                <w:sz w:val="21"/>
              </w:rPr>
            </w:pPr>
            <w:r>
              <w:rPr>
                <w:rFonts w:ascii="宋体" w:eastAsia="宋体" w:hint="eastAsia"/>
                <w:sz w:val="21"/>
              </w:rPr>
              <w:t>评价等级</w:t>
            </w: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102" w:right="77"/>
              <w:rPr>
                <w:rFonts w:ascii="宋体" w:eastAsia="宋体" w:hint="eastAsia"/>
                <w:sz w:val="21"/>
              </w:rPr>
            </w:pPr>
            <w:r>
              <w:rPr>
                <w:rFonts w:ascii="宋体" w:eastAsia="宋体" w:hint="eastAsia"/>
                <w:sz w:val="21"/>
              </w:rPr>
              <w:t>水污染影响型</w:t>
            </w:r>
          </w:p>
        </w:tc>
        <w:tc>
          <w:tcPr>
            <w:tcW w:w="3078" w:type="dxa"/>
            <w:gridSpan w:val="2"/>
            <w:tcBorders>
              <w:top w:val="single" w:sz="6" w:space="0" w:color="000000"/>
              <w:left w:val="single" w:sz="6" w:space="0" w:color="000000"/>
              <w:bottom w:val="single" w:sz="6" w:space="0" w:color="000000"/>
            </w:tcBorders>
          </w:tcPr>
          <w:p>
            <w:pPr>
              <w:pStyle w:val="TableParagraph"/>
              <w:spacing w:before="25"/>
              <w:ind w:left="812"/>
              <w:jc w:val="left"/>
              <w:rPr>
                <w:rFonts w:ascii="宋体" w:eastAsia="宋体" w:hint="eastAsia"/>
                <w:sz w:val="21"/>
              </w:rPr>
            </w:pPr>
            <w:r>
              <w:rPr>
                <w:rFonts w:ascii="宋体" w:eastAsia="宋体" w:hint="eastAsia"/>
                <w:sz w:val="21"/>
              </w:rPr>
              <w:t>水文要素影响型</w:t>
            </w:r>
          </w:p>
        </w:tc>
      </w:tr>
      <w:tr>
        <w:trPr>
          <w:trHeight w:val="311" w:hRule="atLeast"/>
        </w:trPr>
        <w:tc>
          <w:tcPr>
            <w:tcW w:w="2237" w:type="dxa"/>
            <w:gridSpan w:val="2"/>
            <w:vMerge/>
            <w:tcBorders>
              <w:top w:val="nil"/>
              <w:bottom w:val="single" w:sz="6" w:space="0" w:color="000000"/>
              <w:right w:val="single" w:sz="6" w:space="0" w:color="000000"/>
            </w:tcBorders>
          </w:tcPr>
          <w:p>
            <w:pPr>
              <w:rPr>
                <w:sz w:val="2"/>
                <w:szCs w:val="2"/>
              </w:rPr>
            </w:pP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3"/>
              <w:ind w:left="300"/>
              <w:jc w:val="left"/>
              <w:rPr>
                <w:rFonts w:ascii="Wingdings" w:hAnsi="Wingdings"/>
                <w:sz w:val="21"/>
              </w:rPr>
            </w:pPr>
            <w:r>
              <w:rPr>
                <w:rFonts w:ascii="宋体" w:hAnsi="宋体"/>
                <w:sz w:val="21"/>
              </w:rPr>
              <w:t>一级□；二级□；三级</w:t>
            </w:r>
            <w:r>
              <w:rPr>
                <w:sz w:val="21"/>
              </w:rPr>
              <w:t>A</w:t>
            </w:r>
            <w:r>
              <w:rPr>
                <w:rFonts w:ascii="宋体" w:hAnsi="宋体"/>
                <w:sz w:val="21"/>
              </w:rPr>
              <w:t>□；三级</w:t>
            </w:r>
            <w:r>
              <w:rPr>
                <w:sz w:val="21"/>
              </w:rPr>
              <w:t>B</w:t>
            </w:r>
            <w:r>
              <w:rPr>
                <w:rFonts w:ascii="Wingdings" w:hAnsi="Wingdings"/>
                <w:sz w:val="21"/>
              </w:rPr>
              <w:t></w:t>
            </w:r>
          </w:p>
        </w:tc>
        <w:tc>
          <w:tcPr>
            <w:tcW w:w="3078" w:type="dxa"/>
            <w:gridSpan w:val="2"/>
            <w:tcBorders>
              <w:top w:val="single" w:sz="6" w:space="0" w:color="000000"/>
              <w:left w:val="single" w:sz="6" w:space="0" w:color="000000"/>
              <w:bottom w:val="single" w:sz="6" w:space="0" w:color="000000"/>
            </w:tcBorders>
          </w:tcPr>
          <w:p>
            <w:pPr>
              <w:pStyle w:val="TableParagraph"/>
              <w:spacing w:before="23"/>
              <w:ind w:left="392"/>
              <w:jc w:val="left"/>
              <w:rPr>
                <w:rFonts w:ascii="宋体" w:hAnsi="宋体" w:eastAsia="宋体" w:hint="eastAsia"/>
                <w:sz w:val="21"/>
              </w:rPr>
            </w:pPr>
            <w:r>
              <w:rPr>
                <w:rFonts w:ascii="宋体" w:hAnsi="宋体" w:eastAsia="宋体" w:hint="eastAsia"/>
                <w:sz w:val="21"/>
              </w:rPr>
              <w:t>一级□；二级□；三级□</w:t>
            </w:r>
          </w:p>
        </w:tc>
      </w:tr>
      <w:tr>
        <w:trPr>
          <w:trHeight w:val="311"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2"/>
              <w:jc w:val="left"/>
              <w:rPr>
                <w:rFonts w:ascii="宋体"/>
                <w:b/>
                <w:sz w:val="28"/>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现状调查</w:t>
            </w:r>
          </w:p>
        </w:tc>
        <w:tc>
          <w:tcPr>
            <w:tcW w:w="18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18"/>
              </w:rPr>
            </w:pPr>
          </w:p>
          <w:p>
            <w:pPr>
              <w:pStyle w:val="TableParagraph"/>
              <w:spacing w:before="1"/>
              <w:ind w:left="383"/>
              <w:jc w:val="left"/>
              <w:rPr>
                <w:rFonts w:ascii="宋体" w:eastAsia="宋体" w:hint="eastAsia"/>
                <w:sz w:val="21"/>
              </w:rPr>
            </w:pPr>
            <w:r>
              <w:rPr>
                <w:rFonts w:ascii="宋体" w:eastAsia="宋体" w:hint="eastAsia"/>
                <w:sz w:val="21"/>
              </w:rPr>
              <w:t>区域污染源</w:t>
            </w: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04" w:right="77"/>
              <w:rPr>
                <w:rFonts w:ascii="宋体" w:eastAsia="宋体" w:hint="eastAsia"/>
                <w:sz w:val="21"/>
              </w:rPr>
            </w:pPr>
            <w:r>
              <w:rPr>
                <w:rFonts w:ascii="宋体" w:eastAsia="宋体" w:hint="eastAsia"/>
                <w:sz w:val="21"/>
              </w:rPr>
              <w:t>调查项目</w:t>
            </w:r>
          </w:p>
        </w:tc>
        <w:tc>
          <w:tcPr>
            <w:tcW w:w="3078" w:type="dxa"/>
            <w:gridSpan w:val="2"/>
            <w:tcBorders>
              <w:top w:val="single" w:sz="6" w:space="0" w:color="000000"/>
              <w:left w:val="single" w:sz="6" w:space="0" w:color="000000"/>
              <w:bottom w:val="single" w:sz="6" w:space="0" w:color="000000"/>
            </w:tcBorders>
          </w:tcPr>
          <w:p>
            <w:pPr>
              <w:pStyle w:val="TableParagraph"/>
              <w:spacing w:before="22"/>
              <w:ind w:left="163" w:right="122"/>
              <w:rPr>
                <w:rFonts w:ascii="宋体" w:eastAsia="宋体" w:hint="eastAsia"/>
                <w:sz w:val="21"/>
              </w:rPr>
            </w:pPr>
            <w:r>
              <w:rPr>
                <w:rFonts w:ascii="宋体" w:eastAsia="宋体" w:hint="eastAsia"/>
                <w:sz w:val="21"/>
              </w:rPr>
              <w:t>数据来源</w:t>
            </w:r>
          </w:p>
        </w:tc>
      </w:tr>
      <w:tr>
        <w:trPr>
          <w:trHeight w:val="935"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2484"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931" w:right="-29" w:hanging="819"/>
              <w:jc w:val="left"/>
              <w:rPr>
                <w:rFonts w:ascii="宋体" w:hAnsi="宋体" w:eastAsia="宋体" w:hint="eastAsia"/>
                <w:sz w:val="21"/>
              </w:rPr>
            </w:pPr>
            <w:r>
              <w:rPr>
                <w:rFonts w:ascii="宋体" w:hAnsi="宋体" w:eastAsia="宋体" w:hint="eastAsia"/>
                <w:spacing w:val="-2"/>
                <w:sz w:val="21"/>
              </w:rPr>
              <w:t>已建</w:t>
            </w:r>
            <w:r>
              <w:rPr>
                <w:rFonts w:ascii="Wingdings" w:hAnsi="Wingdings" w:eastAsia="Wingdings"/>
                <w:spacing w:val="-27"/>
                <w:sz w:val="21"/>
              </w:rPr>
              <w:t></w:t>
            </w:r>
            <w:r>
              <w:rPr>
                <w:rFonts w:ascii="宋体" w:hAnsi="宋体" w:eastAsia="宋体" w:hint="eastAsia"/>
                <w:spacing w:val="-14"/>
                <w:sz w:val="21"/>
              </w:rPr>
              <w:t>；在建□；拟建</w:t>
            </w:r>
            <w:r>
              <w:rPr>
                <w:rFonts w:ascii="Wingdings" w:hAnsi="Wingdings" w:eastAsia="Wingdings"/>
                <w:sz w:val="21"/>
              </w:rPr>
              <w:t></w:t>
            </w:r>
            <w:r>
              <w:rPr>
                <w:rFonts w:ascii="宋体" w:hAnsi="宋体" w:eastAsia="宋体" w:hint="eastAsia"/>
                <w:sz w:val="21"/>
              </w:rPr>
              <w:t>； </w:t>
            </w:r>
            <w:r>
              <w:rPr>
                <w:rFonts w:ascii="宋体" w:hAnsi="宋体" w:eastAsia="宋体" w:hint="eastAsia"/>
                <w:spacing w:val="-1"/>
                <w:sz w:val="21"/>
              </w:rPr>
              <w:t>其他□</w:t>
            </w:r>
            <w:r>
              <w:rPr>
                <w:rFonts w:ascii="宋体" w:hAnsi="宋体" w:eastAsia="宋体" w:hint="eastAsia"/>
                <w:sz w:val="21"/>
              </w:rPr>
              <w:t> </w:t>
            </w:r>
          </w:p>
        </w:tc>
        <w:tc>
          <w:tcPr>
            <w:tcW w:w="1629"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610" w:right="159" w:hanging="420"/>
              <w:jc w:val="left"/>
              <w:rPr>
                <w:rFonts w:ascii="宋体" w:hAnsi="宋体" w:eastAsia="宋体" w:hint="eastAsia"/>
                <w:sz w:val="21"/>
              </w:rPr>
            </w:pPr>
            <w:r>
              <w:rPr>
                <w:rFonts w:ascii="宋体" w:hAnsi="宋体" w:eastAsia="宋体" w:hint="eastAsia"/>
                <w:sz w:val="21"/>
              </w:rPr>
              <w:t>拟替代的污染源□ </w:t>
            </w:r>
          </w:p>
        </w:tc>
        <w:tc>
          <w:tcPr>
            <w:tcW w:w="3078" w:type="dxa"/>
            <w:gridSpan w:val="2"/>
            <w:tcBorders>
              <w:top w:val="single" w:sz="6" w:space="0" w:color="000000"/>
              <w:left w:val="single" w:sz="6" w:space="0" w:color="000000"/>
              <w:bottom w:val="single" w:sz="6" w:space="0" w:color="000000"/>
            </w:tcBorders>
          </w:tcPr>
          <w:p>
            <w:pPr>
              <w:pStyle w:val="TableParagraph"/>
              <w:spacing w:before="22"/>
              <w:ind w:left="116" w:right="-44"/>
              <w:jc w:val="left"/>
              <w:rPr>
                <w:rFonts w:ascii="宋体" w:hAnsi="宋体" w:eastAsia="宋体" w:hint="eastAsia"/>
                <w:sz w:val="21"/>
              </w:rPr>
            </w:pPr>
            <w:r>
              <w:rPr>
                <w:rFonts w:ascii="宋体" w:hAnsi="宋体" w:eastAsia="宋体" w:hint="eastAsia"/>
                <w:spacing w:val="-11"/>
                <w:sz w:val="21"/>
              </w:rPr>
              <w:t>排污许可证□；环评□；环保验</w:t>
            </w:r>
          </w:p>
          <w:p>
            <w:pPr>
              <w:pStyle w:val="TableParagraph"/>
              <w:spacing w:line="310" w:lineRule="atLeast" w:before="2"/>
              <w:ind w:left="287" w:right="-44" w:hanging="171"/>
              <w:jc w:val="left"/>
              <w:rPr>
                <w:rFonts w:ascii="宋体" w:hAnsi="宋体" w:eastAsia="宋体" w:hint="eastAsia"/>
                <w:sz w:val="21"/>
              </w:rPr>
            </w:pPr>
            <w:r>
              <w:rPr>
                <w:rFonts w:ascii="宋体" w:hAnsi="宋体" w:eastAsia="宋体" w:hint="eastAsia"/>
                <w:spacing w:val="-16"/>
                <w:w w:val="100"/>
                <w:sz w:val="21"/>
              </w:rPr>
              <w:t>收□；既有实测□；现场监测□；</w:t>
            </w:r>
            <w:r>
              <w:rPr>
                <w:rFonts w:ascii="宋体" w:hAnsi="宋体" w:eastAsia="宋体" w:hint="eastAsia"/>
                <w:spacing w:val="-7"/>
                <w:sz w:val="21"/>
              </w:rPr>
              <w:t>入河排放口数据□；其他□ </w:t>
            </w:r>
          </w:p>
        </w:tc>
      </w:tr>
      <w:tr>
        <w:trPr>
          <w:trHeight w:val="313"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line="278" w:lineRule="auto" w:before="0"/>
              <w:ind w:left="592" w:right="146" w:hanging="420"/>
              <w:jc w:val="left"/>
              <w:rPr>
                <w:rFonts w:ascii="宋体" w:eastAsia="宋体" w:hint="eastAsia"/>
                <w:sz w:val="21"/>
              </w:rPr>
            </w:pPr>
            <w:r>
              <w:rPr>
                <w:rFonts w:ascii="宋体" w:eastAsia="宋体" w:hint="eastAsia"/>
                <w:sz w:val="21"/>
              </w:rPr>
              <w:t>受影响水体水环境质量</w:t>
            </w: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104" w:right="77"/>
              <w:rPr>
                <w:rFonts w:ascii="宋体" w:eastAsia="宋体" w:hint="eastAsia"/>
                <w:sz w:val="21"/>
              </w:rPr>
            </w:pPr>
            <w:r>
              <w:rPr>
                <w:rFonts w:ascii="宋体" w:eastAsia="宋体" w:hint="eastAsia"/>
                <w:sz w:val="21"/>
              </w:rPr>
              <w:t>调查时期</w:t>
            </w:r>
          </w:p>
        </w:tc>
        <w:tc>
          <w:tcPr>
            <w:tcW w:w="3078" w:type="dxa"/>
            <w:gridSpan w:val="2"/>
            <w:tcBorders>
              <w:top w:val="single" w:sz="6" w:space="0" w:color="000000"/>
              <w:left w:val="single" w:sz="6" w:space="0" w:color="000000"/>
              <w:bottom w:val="single" w:sz="6" w:space="0" w:color="000000"/>
            </w:tcBorders>
          </w:tcPr>
          <w:p>
            <w:pPr>
              <w:pStyle w:val="TableParagraph"/>
              <w:spacing w:before="25"/>
              <w:ind w:left="163" w:right="122"/>
              <w:rPr>
                <w:rFonts w:ascii="宋体" w:eastAsia="宋体" w:hint="eastAsia"/>
                <w:sz w:val="21"/>
              </w:rPr>
            </w:pPr>
            <w:r>
              <w:rPr>
                <w:rFonts w:ascii="宋体" w:eastAsia="宋体" w:hint="eastAsia"/>
                <w:sz w:val="21"/>
              </w:rPr>
              <w:t>数据来源</w:t>
            </w:r>
          </w:p>
        </w:tc>
      </w:tr>
      <w:tr>
        <w:trPr>
          <w:trHeight w:val="623"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218" w:right="77"/>
              <w:rPr>
                <w:rFonts w:ascii="宋体" w:hAnsi="宋体" w:eastAsia="宋体" w:hint="eastAsia"/>
                <w:sz w:val="21"/>
              </w:rPr>
            </w:pPr>
            <w:r>
              <w:rPr>
                <w:rFonts w:ascii="宋体" w:hAnsi="宋体" w:eastAsia="宋体" w:hint="eastAsia"/>
                <w:spacing w:val="-12"/>
                <w:sz w:val="21"/>
              </w:rPr>
              <w:t>丰水期□；平水期□；枯水期□；冰封期□</w:t>
            </w:r>
            <w:r>
              <w:rPr>
                <w:rFonts w:ascii="宋体" w:hAnsi="宋体" w:eastAsia="宋体" w:hint="eastAsia"/>
                <w:sz w:val="21"/>
              </w:rPr>
              <w:t> </w:t>
            </w:r>
          </w:p>
          <w:p>
            <w:pPr>
              <w:pStyle w:val="TableParagraph"/>
              <w:spacing w:before="43"/>
              <w:ind w:left="205" w:right="77"/>
              <w:rPr>
                <w:rFonts w:ascii="宋体" w:hAnsi="宋体" w:eastAsia="宋体" w:hint="eastAsia"/>
                <w:sz w:val="21"/>
              </w:rPr>
            </w:pPr>
            <w:r>
              <w:rPr>
                <w:rFonts w:ascii="宋体" w:hAnsi="宋体" w:eastAsia="宋体" w:hint="eastAsia"/>
                <w:sz w:val="21"/>
              </w:rPr>
              <w:t>春季□；夏季□；秋季□；冬季□ </w:t>
            </w:r>
          </w:p>
        </w:tc>
        <w:tc>
          <w:tcPr>
            <w:tcW w:w="3078" w:type="dxa"/>
            <w:gridSpan w:val="2"/>
            <w:tcBorders>
              <w:top w:val="single" w:sz="6" w:space="0" w:color="000000"/>
              <w:left w:val="single" w:sz="6" w:space="0" w:color="000000"/>
              <w:bottom w:val="single" w:sz="6" w:space="0" w:color="000000"/>
            </w:tcBorders>
          </w:tcPr>
          <w:p>
            <w:pPr>
              <w:pStyle w:val="TableParagraph"/>
              <w:spacing w:before="22"/>
              <w:ind w:left="116"/>
              <w:jc w:val="left"/>
              <w:rPr>
                <w:rFonts w:ascii="宋体" w:hAnsi="宋体" w:eastAsia="宋体" w:hint="eastAsia"/>
                <w:sz w:val="21"/>
              </w:rPr>
            </w:pPr>
            <w:r>
              <w:rPr>
                <w:rFonts w:ascii="宋体" w:hAnsi="宋体" w:eastAsia="宋体" w:hint="eastAsia"/>
                <w:spacing w:val="-10"/>
                <w:sz w:val="21"/>
              </w:rPr>
              <w:t>生态环境保护主管部门□；补充</w:t>
            </w:r>
          </w:p>
          <w:p>
            <w:pPr>
              <w:pStyle w:val="TableParagraph"/>
              <w:spacing w:before="43"/>
              <w:ind w:left="824"/>
              <w:jc w:val="left"/>
              <w:rPr>
                <w:rFonts w:ascii="宋体" w:hAnsi="宋体"/>
                <w:sz w:val="21"/>
              </w:rPr>
            </w:pPr>
            <w:r>
              <w:rPr>
                <w:rFonts w:ascii="宋体" w:hAnsi="宋体"/>
                <w:sz w:val="21"/>
              </w:rPr>
              <w:t>监测□；其他</w:t>
            </w:r>
            <w:r>
              <w:rPr>
                <w:rFonts w:ascii="Wingdings" w:hAnsi="Wingdings"/>
                <w:sz w:val="21"/>
              </w:rPr>
              <w:t></w:t>
            </w:r>
            <w:r>
              <w:rPr>
                <w:rFonts w:ascii="宋体" w:hAnsi="宋体"/>
                <w:w w:val="100"/>
                <w:sz w:val="21"/>
              </w:rPr>
              <w:t> </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2"/>
              <w:ind w:left="154" w:right="130"/>
              <w:rPr>
                <w:rFonts w:ascii="宋体" w:eastAsia="宋体" w:hint="eastAsia"/>
                <w:sz w:val="21"/>
              </w:rPr>
            </w:pPr>
            <w:r>
              <w:rPr>
                <w:rFonts w:ascii="宋体" w:eastAsia="宋体" w:hint="eastAsia"/>
                <w:sz w:val="21"/>
              </w:rPr>
              <w:t>开发利用状况</w:t>
            </w:r>
          </w:p>
        </w:tc>
        <w:tc>
          <w:tcPr>
            <w:tcW w:w="7191" w:type="dxa"/>
            <w:gridSpan w:val="4"/>
            <w:tcBorders>
              <w:top w:val="single" w:sz="6" w:space="0" w:color="000000"/>
              <w:left w:val="single" w:sz="6" w:space="0" w:color="000000"/>
              <w:bottom w:val="single" w:sz="6" w:space="0" w:color="000000"/>
            </w:tcBorders>
          </w:tcPr>
          <w:p>
            <w:pPr>
              <w:pStyle w:val="TableParagraph"/>
              <w:spacing w:before="22"/>
              <w:ind w:left="862" w:right="828"/>
              <w:rPr>
                <w:rFonts w:ascii="宋体" w:hAnsi="宋体" w:eastAsia="宋体" w:hint="eastAsia"/>
                <w:sz w:val="21"/>
              </w:rPr>
            </w:pPr>
            <w:r>
              <w:rPr>
                <w:rFonts w:ascii="宋体" w:hAnsi="宋体" w:eastAsia="宋体" w:hint="eastAsia"/>
                <w:sz w:val="21"/>
              </w:rPr>
              <w:t>未开发□；开发量 </w:t>
            </w:r>
            <w:r>
              <w:rPr>
                <w:sz w:val="21"/>
              </w:rPr>
              <w:t>40%</w:t>
            </w:r>
            <w:r>
              <w:rPr>
                <w:rFonts w:ascii="宋体" w:hAnsi="宋体" w:eastAsia="宋体" w:hint="eastAsia"/>
                <w:sz w:val="21"/>
              </w:rPr>
              <w:t>以下□；开发量 </w:t>
            </w:r>
            <w:r>
              <w:rPr>
                <w:sz w:val="21"/>
              </w:rPr>
              <w:t>40%</w:t>
            </w:r>
            <w:r>
              <w:rPr>
                <w:rFonts w:ascii="宋体" w:hAnsi="宋体" w:eastAsia="宋体" w:hint="eastAsia"/>
                <w:sz w:val="21"/>
              </w:rPr>
              <w:t>以上□</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
              <w:jc w:val="left"/>
              <w:rPr>
                <w:rFonts w:ascii="宋体"/>
                <w:b/>
                <w:sz w:val="26"/>
              </w:rPr>
            </w:pPr>
          </w:p>
          <w:p>
            <w:pPr>
              <w:pStyle w:val="TableParagraph"/>
              <w:spacing w:before="1"/>
              <w:ind w:left="278"/>
              <w:jc w:val="left"/>
              <w:rPr>
                <w:rFonts w:ascii="宋体" w:eastAsia="宋体" w:hint="eastAsia"/>
                <w:sz w:val="21"/>
              </w:rPr>
            </w:pPr>
            <w:r>
              <w:rPr>
                <w:rFonts w:ascii="宋体" w:eastAsia="宋体" w:hint="eastAsia"/>
                <w:sz w:val="21"/>
              </w:rPr>
              <w:t>水文情势调查</w:t>
            </w: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04" w:right="77"/>
              <w:rPr>
                <w:rFonts w:ascii="宋体" w:eastAsia="宋体" w:hint="eastAsia"/>
                <w:sz w:val="21"/>
              </w:rPr>
            </w:pPr>
            <w:r>
              <w:rPr>
                <w:rFonts w:ascii="宋体" w:eastAsia="宋体" w:hint="eastAsia"/>
                <w:sz w:val="21"/>
              </w:rPr>
              <w:t>调查时期</w:t>
            </w:r>
          </w:p>
        </w:tc>
        <w:tc>
          <w:tcPr>
            <w:tcW w:w="3078" w:type="dxa"/>
            <w:gridSpan w:val="2"/>
            <w:tcBorders>
              <w:top w:val="single" w:sz="6" w:space="0" w:color="000000"/>
              <w:left w:val="single" w:sz="6" w:space="0" w:color="000000"/>
              <w:bottom w:val="single" w:sz="6" w:space="0" w:color="000000"/>
            </w:tcBorders>
          </w:tcPr>
          <w:p>
            <w:pPr>
              <w:pStyle w:val="TableParagraph"/>
              <w:spacing w:before="22"/>
              <w:ind w:left="163" w:right="122"/>
              <w:rPr>
                <w:rFonts w:ascii="宋体" w:eastAsia="宋体" w:hint="eastAsia"/>
                <w:sz w:val="21"/>
              </w:rPr>
            </w:pPr>
            <w:r>
              <w:rPr>
                <w:rFonts w:ascii="宋体" w:eastAsia="宋体" w:hint="eastAsia"/>
                <w:sz w:val="21"/>
              </w:rPr>
              <w:t>数据来源</w:t>
            </w:r>
          </w:p>
        </w:tc>
      </w:tr>
      <w:tr>
        <w:trPr>
          <w:trHeight w:val="626"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218" w:right="77"/>
              <w:rPr>
                <w:rFonts w:ascii="宋体" w:hAnsi="宋体" w:eastAsia="宋体" w:hint="eastAsia"/>
                <w:sz w:val="21"/>
              </w:rPr>
            </w:pPr>
            <w:r>
              <w:rPr>
                <w:rFonts w:ascii="宋体" w:hAnsi="宋体" w:eastAsia="宋体" w:hint="eastAsia"/>
                <w:spacing w:val="-12"/>
                <w:sz w:val="21"/>
              </w:rPr>
              <w:t>丰水期□；平水期□；枯水期□；冰封期□</w:t>
            </w:r>
            <w:r>
              <w:rPr>
                <w:rFonts w:ascii="宋体" w:hAnsi="宋体" w:eastAsia="宋体" w:hint="eastAsia"/>
                <w:sz w:val="21"/>
              </w:rPr>
              <w:t> </w:t>
            </w:r>
          </w:p>
          <w:p>
            <w:pPr>
              <w:pStyle w:val="TableParagraph"/>
              <w:spacing w:before="43"/>
              <w:ind w:left="205" w:right="77"/>
              <w:rPr>
                <w:rFonts w:ascii="宋体" w:hAnsi="宋体" w:eastAsia="宋体" w:hint="eastAsia"/>
                <w:sz w:val="21"/>
              </w:rPr>
            </w:pPr>
            <w:r>
              <w:rPr>
                <w:rFonts w:ascii="宋体" w:hAnsi="宋体" w:eastAsia="宋体" w:hint="eastAsia"/>
                <w:sz w:val="21"/>
              </w:rPr>
              <w:t>春季□；夏季□；秋季□；冬季□ </w:t>
            </w:r>
          </w:p>
        </w:tc>
        <w:tc>
          <w:tcPr>
            <w:tcW w:w="3078" w:type="dxa"/>
            <w:gridSpan w:val="2"/>
            <w:tcBorders>
              <w:top w:val="single" w:sz="6" w:space="0" w:color="000000"/>
              <w:left w:val="single" w:sz="6" w:space="0" w:color="000000"/>
              <w:bottom w:val="single" w:sz="6" w:space="0" w:color="000000"/>
            </w:tcBorders>
          </w:tcPr>
          <w:p>
            <w:pPr>
              <w:pStyle w:val="TableParagraph"/>
              <w:spacing w:before="25"/>
              <w:ind w:left="163" w:right="122"/>
              <w:rPr>
                <w:rFonts w:ascii="宋体" w:hAnsi="宋体" w:eastAsia="宋体" w:hint="eastAsia"/>
                <w:sz w:val="21"/>
              </w:rPr>
            </w:pPr>
            <w:r>
              <w:rPr>
                <w:rFonts w:ascii="宋体" w:hAnsi="宋体" w:eastAsia="宋体" w:hint="eastAsia"/>
                <w:sz w:val="21"/>
              </w:rPr>
              <w:t>水行政主管部门□；补充监测</w:t>
            </w:r>
          </w:p>
          <w:p>
            <w:pPr>
              <w:pStyle w:val="TableParagraph"/>
              <w:spacing w:before="43"/>
              <w:ind w:left="163" w:right="122"/>
              <w:rPr>
                <w:rFonts w:ascii="宋体" w:hAnsi="宋体" w:eastAsia="宋体" w:hint="eastAsia"/>
                <w:sz w:val="21"/>
              </w:rPr>
            </w:pPr>
            <w:r>
              <w:rPr>
                <w:rFonts w:ascii="宋体" w:hAnsi="宋体" w:eastAsia="宋体" w:hint="eastAsia"/>
                <w:sz w:val="21"/>
              </w:rPr>
              <w:t>□；其他□</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26"/>
              </w:rPr>
            </w:pPr>
          </w:p>
          <w:p>
            <w:pPr>
              <w:pStyle w:val="TableParagraph"/>
              <w:spacing w:before="0"/>
              <w:ind w:left="489"/>
              <w:jc w:val="left"/>
              <w:rPr>
                <w:rFonts w:ascii="宋体" w:eastAsia="宋体" w:hint="eastAsia"/>
                <w:sz w:val="21"/>
              </w:rPr>
            </w:pPr>
            <w:r>
              <w:rPr>
                <w:rFonts w:ascii="宋体" w:eastAsia="宋体" w:hint="eastAsia"/>
                <w:sz w:val="21"/>
              </w:rPr>
              <w:t>补充监测</w:t>
            </w: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04" w:right="77"/>
              <w:rPr>
                <w:rFonts w:ascii="宋体" w:eastAsia="宋体" w:hint="eastAsia"/>
                <w:sz w:val="21"/>
              </w:rPr>
            </w:pPr>
            <w:r>
              <w:rPr>
                <w:rFonts w:ascii="宋体" w:eastAsia="宋体" w:hint="eastAsia"/>
                <w:sz w:val="21"/>
              </w:rPr>
              <w:t>监测时期</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22"/>
              <w:ind w:left="224"/>
              <w:jc w:val="left"/>
              <w:rPr>
                <w:rFonts w:ascii="宋体" w:eastAsia="宋体" w:hint="eastAsia"/>
                <w:sz w:val="21"/>
              </w:rPr>
            </w:pPr>
            <w:r>
              <w:rPr>
                <w:rFonts w:ascii="宋体" w:eastAsia="宋体" w:hint="eastAsia"/>
                <w:sz w:val="21"/>
              </w:rPr>
              <w:t>监测因子</w:t>
            </w:r>
          </w:p>
        </w:tc>
        <w:tc>
          <w:tcPr>
            <w:tcW w:w="1804" w:type="dxa"/>
            <w:tcBorders>
              <w:top w:val="single" w:sz="6" w:space="0" w:color="000000"/>
              <w:left w:val="single" w:sz="6" w:space="0" w:color="000000"/>
              <w:bottom w:val="single" w:sz="6" w:space="0" w:color="000000"/>
            </w:tcBorders>
          </w:tcPr>
          <w:p>
            <w:pPr>
              <w:pStyle w:val="TableParagraph"/>
              <w:spacing w:before="22"/>
              <w:ind w:left="174"/>
              <w:jc w:val="left"/>
              <w:rPr>
                <w:rFonts w:ascii="宋体" w:eastAsia="宋体" w:hint="eastAsia"/>
                <w:sz w:val="21"/>
              </w:rPr>
            </w:pPr>
            <w:r>
              <w:rPr>
                <w:rFonts w:ascii="宋体" w:eastAsia="宋体" w:hint="eastAsia"/>
                <w:sz w:val="21"/>
              </w:rPr>
              <w:t>监测断面或点位</w:t>
            </w:r>
          </w:p>
        </w:tc>
      </w:tr>
      <w:tr>
        <w:trPr>
          <w:trHeight w:val="623"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4113"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12" w:right="-29"/>
              <w:jc w:val="left"/>
              <w:rPr>
                <w:rFonts w:ascii="宋体" w:hAnsi="宋体" w:eastAsia="宋体" w:hint="eastAsia"/>
                <w:sz w:val="21"/>
              </w:rPr>
            </w:pPr>
            <w:r>
              <w:rPr>
                <w:rFonts w:ascii="宋体" w:hAnsi="宋体" w:eastAsia="宋体" w:hint="eastAsia"/>
                <w:spacing w:val="-12"/>
                <w:sz w:val="21"/>
              </w:rPr>
              <w:t>丰水期□；平水期□；枯水期□；冰封期□</w:t>
            </w:r>
            <w:r>
              <w:rPr>
                <w:rFonts w:ascii="宋体" w:hAnsi="宋体" w:eastAsia="宋体" w:hint="eastAsia"/>
                <w:sz w:val="21"/>
              </w:rPr>
              <w:t> </w:t>
            </w:r>
          </w:p>
          <w:p>
            <w:pPr>
              <w:pStyle w:val="TableParagraph"/>
              <w:spacing w:before="43"/>
              <w:ind w:left="496"/>
              <w:jc w:val="left"/>
              <w:rPr>
                <w:rFonts w:ascii="宋体" w:hAnsi="宋体" w:eastAsia="宋体" w:hint="eastAsia"/>
                <w:sz w:val="21"/>
              </w:rPr>
            </w:pPr>
            <w:r>
              <w:rPr>
                <w:rFonts w:ascii="宋体" w:hAnsi="宋体" w:eastAsia="宋体" w:hint="eastAsia"/>
                <w:sz w:val="21"/>
              </w:rPr>
              <w:t>春季□；夏季□；秋季</w:t>
            </w:r>
            <w:r>
              <w:rPr>
                <w:rFonts w:ascii="Wingdings" w:hAnsi="Wingdings" w:eastAsia="Wingdings"/>
                <w:sz w:val="21"/>
              </w:rPr>
              <w:t></w:t>
            </w:r>
            <w:r>
              <w:rPr>
                <w:rFonts w:ascii="宋体" w:hAnsi="宋体" w:eastAsia="宋体" w:hint="eastAsia"/>
                <w:sz w:val="21"/>
              </w:rPr>
              <w:t>；冬季□</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22"/>
              <w:ind w:left="224"/>
              <w:jc w:val="left"/>
              <w:rPr>
                <w:rFonts w:ascii="宋体" w:eastAsia="宋体" w:hint="eastAsia"/>
                <w:sz w:val="21"/>
              </w:rPr>
            </w:pPr>
            <w:r>
              <w:rPr>
                <w:rFonts w:ascii="宋体" w:eastAsia="宋体" w:hint="eastAsia"/>
                <w:sz w:val="21"/>
              </w:rPr>
              <w:t>（详见表</w:t>
            </w:r>
          </w:p>
          <w:p>
            <w:pPr>
              <w:pStyle w:val="TableParagraph"/>
              <w:spacing w:before="43"/>
              <w:ind w:left="320"/>
              <w:jc w:val="left"/>
              <w:rPr>
                <w:rFonts w:ascii="宋体" w:eastAsia="宋体" w:hint="eastAsia"/>
                <w:sz w:val="21"/>
              </w:rPr>
            </w:pPr>
            <w:r>
              <w:rPr>
                <w:sz w:val="21"/>
              </w:rPr>
              <w:t>2.2-2</w:t>
            </w:r>
            <w:r>
              <w:rPr>
                <w:rFonts w:ascii="宋体" w:eastAsia="宋体" w:hint="eastAsia"/>
                <w:sz w:val="21"/>
              </w:rPr>
              <w:t>）</w:t>
            </w:r>
          </w:p>
        </w:tc>
        <w:tc>
          <w:tcPr>
            <w:tcW w:w="1804" w:type="dxa"/>
            <w:tcBorders>
              <w:top w:val="single" w:sz="6" w:space="0" w:color="000000"/>
              <w:left w:val="single" w:sz="6" w:space="0" w:color="000000"/>
              <w:bottom w:val="single" w:sz="6" w:space="0" w:color="000000"/>
            </w:tcBorders>
          </w:tcPr>
          <w:p>
            <w:pPr>
              <w:pStyle w:val="TableParagraph"/>
              <w:spacing w:before="22"/>
              <w:ind w:left="156" w:right="115"/>
              <w:rPr>
                <w:rFonts w:ascii="宋体" w:eastAsia="宋体" w:hint="eastAsia"/>
                <w:sz w:val="21"/>
              </w:rPr>
            </w:pPr>
            <w:r>
              <w:rPr>
                <w:rFonts w:ascii="宋体" w:eastAsia="宋体" w:hint="eastAsia"/>
                <w:sz w:val="21"/>
              </w:rPr>
              <w:t>监测断面或点位</w:t>
            </w:r>
          </w:p>
          <w:p>
            <w:pPr>
              <w:pStyle w:val="TableParagraph"/>
              <w:spacing w:before="43"/>
              <w:ind w:left="154" w:right="115"/>
              <w:rPr>
                <w:rFonts w:ascii="宋体" w:eastAsia="宋体" w:hint="eastAsia"/>
                <w:sz w:val="21"/>
              </w:rPr>
            </w:pPr>
            <w:r>
              <w:rPr>
                <w:rFonts w:ascii="宋体" w:eastAsia="宋体" w:hint="eastAsia"/>
                <w:sz w:val="21"/>
              </w:rPr>
              <w:t>个数（</w:t>
            </w:r>
            <w:r>
              <w:rPr>
                <w:sz w:val="21"/>
              </w:rPr>
              <w:t>2</w:t>
            </w:r>
            <w:r>
              <w:rPr>
                <w:rFonts w:ascii="宋体" w:eastAsia="宋体" w:hint="eastAsia"/>
                <w:sz w:val="21"/>
              </w:rPr>
              <w:t>）个</w:t>
            </w:r>
          </w:p>
        </w:tc>
      </w:tr>
      <w:tr>
        <w:trPr>
          <w:trHeight w:val="303" w:hRule="atLeast"/>
        </w:trPr>
        <w:tc>
          <w:tcPr>
            <w:tcW w:w="427" w:type="dxa"/>
            <w:vMerge w:val="restart"/>
            <w:tcBorders>
              <w:top w:val="single" w:sz="6" w:space="0" w:color="000000"/>
              <w:right w:val="single" w:sz="6" w:space="0" w:color="000000"/>
            </w:tcBorders>
          </w:tcPr>
          <w:p>
            <w:pPr>
              <w:pStyle w:val="TableParagraph"/>
              <w:spacing w:before="12"/>
              <w:jc w:val="left"/>
              <w:rPr>
                <w:rFonts w:ascii="宋体"/>
                <w:b/>
                <w:sz w:val="27"/>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现状评价</w:t>
            </w: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22"/>
              <w:ind w:left="154" w:right="128"/>
              <w:rPr>
                <w:rFonts w:ascii="宋体" w:eastAsia="宋体" w:hint="eastAsia"/>
                <w:sz w:val="21"/>
              </w:rPr>
            </w:pPr>
            <w:r>
              <w:rPr>
                <w:rFonts w:ascii="宋体" w:eastAsia="宋体" w:hint="eastAsia"/>
                <w:sz w:val="21"/>
              </w:rPr>
              <w:t>评价范围</w:t>
            </w:r>
          </w:p>
        </w:tc>
        <w:tc>
          <w:tcPr>
            <w:tcW w:w="7191" w:type="dxa"/>
            <w:gridSpan w:val="4"/>
            <w:tcBorders>
              <w:top w:val="single" w:sz="6" w:space="0" w:color="000000"/>
              <w:left w:val="single" w:sz="6" w:space="0" w:color="000000"/>
              <w:bottom w:val="single" w:sz="6" w:space="0" w:color="000000"/>
            </w:tcBorders>
          </w:tcPr>
          <w:p>
            <w:pPr>
              <w:pStyle w:val="TableParagraph"/>
              <w:spacing w:line="261" w:lineRule="exact" w:before="22"/>
              <w:ind w:left="862" w:right="828"/>
              <w:rPr>
                <w:sz w:val="14"/>
              </w:rPr>
            </w:pPr>
            <w:r>
              <w:rPr>
                <w:rFonts w:ascii="宋体" w:eastAsia="宋体" w:hint="eastAsia"/>
                <w:sz w:val="21"/>
              </w:rPr>
              <w:t>河流：长度（）</w:t>
            </w:r>
            <w:r>
              <w:rPr>
                <w:sz w:val="21"/>
              </w:rPr>
              <w:t>km</w:t>
            </w:r>
            <w:r>
              <w:rPr>
                <w:rFonts w:ascii="宋体" w:eastAsia="宋体" w:hint="eastAsia"/>
                <w:sz w:val="21"/>
              </w:rPr>
              <w:t>；湖库、河口及近岸海域：面积（）</w:t>
            </w:r>
            <w:r>
              <w:rPr>
                <w:sz w:val="21"/>
              </w:rPr>
              <w:t>km</w:t>
            </w:r>
            <w:r>
              <w:rPr>
                <w:position w:val="7"/>
                <w:sz w:val="14"/>
              </w:rPr>
              <w:t>2</w:t>
            </w:r>
          </w:p>
        </w:tc>
      </w:tr>
      <w:tr>
        <w:trPr>
          <w:trHeight w:val="298" w:hRule="atLeast"/>
        </w:trPr>
        <w:tc>
          <w:tcPr>
            <w:tcW w:w="427" w:type="dxa"/>
            <w:vMerge/>
            <w:tcBorders>
              <w:top w:val="nil"/>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7"/>
              <w:ind w:left="154" w:right="128"/>
              <w:rPr>
                <w:rFonts w:ascii="宋体" w:eastAsia="宋体" w:hint="eastAsia"/>
                <w:sz w:val="21"/>
              </w:rPr>
            </w:pPr>
            <w:r>
              <w:rPr>
                <w:rFonts w:ascii="宋体" w:eastAsia="宋体" w:hint="eastAsia"/>
                <w:sz w:val="21"/>
              </w:rPr>
              <w:t>评价因子</w:t>
            </w:r>
          </w:p>
        </w:tc>
        <w:tc>
          <w:tcPr>
            <w:tcW w:w="7191" w:type="dxa"/>
            <w:gridSpan w:val="4"/>
            <w:tcBorders>
              <w:top w:val="single" w:sz="6" w:space="0" w:color="000000"/>
              <w:left w:val="single" w:sz="6" w:space="0" w:color="000000"/>
              <w:bottom w:val="single" w:sz="6" w:space="0" w:color="000000"/>
            </w:tcBorders>
          </w:tcPr>
          <w:p>
            <w:pPr>
              <w:pStyle w:val="TableParagraph"/>
              <w:spacing w:line="262" w:lineRule="exact" w:before="16"/>
              <w:ind w:left="120"/>
              <w:jc w:val="left"/>
              <w:rPr>
                <w:rFonts w:ascii="宋体" w:eastAsia="宋体" w:hint="eastAsia"/>
                <w:sz w:val="21"/>
              </w:rPr>
            </w:pPr>
            <w:r>
              <w:rPr>
                <w:rFonts w:ascii="宋体" w:eastAsia="宋体" w:hint="eastAsia"/>
                <w:position w:val="2"/>
                <w:sz w:val="21"/>
              </w:rPr>
              <w:t>（</w:t>
            </w:r>
            <w:r>
              <w:rPr>
                <w:position w:val="2"/>
                <w:sz w:val="21"/>
              </w:rPr>
              <w:t>pH</w:t>
            </w:r>
            <w:r>
              <w:rPr>
                <w:rFonts w:ascii="宋体" w:eastAsia="宋体" w:hint="eastAsia"/>
                <w:position w:val="2"/>
                <w:sz w:val="21"/>
              </w:rPr>
              <w:t>、水温、</w:t>
            </w:r>
            <w:r>
              <w:rPr>
                <w:position w:val="2"/>
                <w:sz w:val="21"/>
              </w:rPr>
              <w:t>DO</w:t>
            </w:r>
            <w:r>
              <w:rPr>
                <w:rFonts w:ascii="宋体" w:eastAsia="宋体" w:hint="eastAsia"/>
                <w:position w:val="2"/>
                <w:sz w:val="21"/>
              </w:rPr>
              <w:t>、</w:t>
            </w:r>
            <w:r>
              <w:rPr>
                <w:position w:val="2"/>
                <w:sz w:val="21"/>
              </w:rPr>
              <w:t>COD</w:t>
            </w:r>
            <w:r>
              <w:rPr>
                <w:sz w:val="14"/>
              </w:rPr>
              <w:t>Mn</w:t>
            </w:r>
            <w:r>
              <w:rPr>
                <w:rFonts w:ascii="宋体" w:eastAsia="宋体" w:hint="eastAsia"/>
                <w:position w:val="2"/>
                <w:sz w:val="21"/>
              </w:rPr>
              <w:t>、</w:t>
            </w:r>
            <w:r>
              <w:rPr>
                <w:position w:val="2"/>
                <w:sz w:val="21"/>
              </w:rPr>
              <w:t>BOD</w:t>
            </w:r>
            <w:r>
              <w:rPr>
                <w:sz w:val="14"/>
              </w:rPr>
              <w:t>5</w:t>
            </w:r>
            <w:r>
              <w:rPr>
                <w:rFonts w:ascii="宋体" w:eastAsia="宋体" w:hint="eastAsia"/>
                <w:position w:val="2"/>
                <w:sz w:val="21"/>
              </w:rPr>
              <w:t>、氨氮、总磷、总氮、挥发酚、石油类）</w:t>
            </w:r>
          </w:p>
        </w:tc>
      </w:tr>
      <w:tr>
        <w:trPr>
          <w:trHeight w:val="920" w:hRule="atLeast"/>
        </w:trPr>
        <w:tc>
          <w:tcPr>
            <w:tcW w:w="427" w:type="dxa"/>
            <w:vMerge/>
            <w:tcBorders>
              <w:top w:val="nil"/>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25"/>
              </w:rPr>
            </w:pPr>
          </w:p>
          <w:p>
            <w:pPr>
              <w:pStyle w:val="TableParagraph"/>
              <w:spacing w:before="0"/>
              <w:ind w:left="154" w:right="128"/>
              <w:rPr>
                <w:rFonts w:ascii="宋体" w:eastAsia="宋体" w:hint="eastAsia"/>
                <w:sz w:val="21"/>
              </w:rPr>
            </w:pPr>
            <w:r>
              <w:rPr>
                <w:rFonts w:ascii="宋体" w:eastAsia="宋体" w:hint="eastAsia"/>
                <w:sz w:val="21"/>
              </w:rPr>
              <w:t>评价标准</w:t>
            </w:r>
          </w:p>
        </w:tc>
        <w:tc>
          <w:tcPr>
            <w:tcW w:w="7191" w:type="dxa"/>
            <w:gridSpan w:val="4"/>
            <w:tcBorders>
              <w:top w:val="single" w:sz="6" w:space="0" w:color="000000"/>
              <w:left w:val="single" w:sz="6" w:space="0" w:color="000000"/>
              <w:bottom w:val="single" w:sz="6" w:space="0" w:color="000000"/>
            </w:tcBorders>
          </w:tcPr>
          <w:p>
            <w:pPr>
              <w:pStyle w:val="TableParagraph"/>
              <w:spacing w:line="278" w:lineRule="auto" w:before="15"/>
              <w:ind w:left="112" w:right="1191"/>
              <w:jc w:val="left"/>
              <w:rPr>
                <w:rFonts w:ascii="宋体" w:hAnsi="宋体" w:eastAsia="宋体" w:hint="eastAsia"/>
                <w:sz w:val="21"/>
              </w:rPr>
            </w:pPr>
            <w:r>
              <w:rPr>
                <w:rFonts w:ascii="宋体" w:hAnsi="宋体" w:eastAsia="宋体" w:hint="eastAsia"/>
                <w:sz w:val="21"/>
              </w:rPr>
              <w:t>河流、湖库、河口：Ⅰ类□；Ⅱ类□；Ⅲ类</w:t>
            </w:r>
            <w:r>
              <w:rPr>
                <w:rFonts w:ascii="Wingdings" w:hAnsi="Wingdings" w:eastAsia="Wingdings"/>
                <w:sz w:val="21"/>
              </w:rPr>
              <w:t></w:t>
            </w:r>
            <w:r>
              <w:rPr>
                <w:rFonts w:ascii="宋体" w:hAnsi="宋体" w:eastAsia="宋体" w:hint="eastAsia"/>
                <w:sz w:val="21"/>
              </w:rPr>
              <w:t>；Ⅳ类□；Ⅴ类□ 近岸海域：第一类□；第二类□；第三类□；第四类□</w:t>
            </w:r>
          </w:p>
          <w:p>
            <w:pPr>
              <w:pStyle w:val="TableParagraph"/>
              <w:spacing w:line="261" w:lineRule="exact" w:before="0"/>
              <w:ind w:left="112"/>
              <w:jc w:val="left"/>
              <w:rPr>
                <w:rFonts w:ascii="宋体" w:eastAsia="宋体" w:hint="eastAsia"/>
                <w:sz w:val="21"/>
              </w:rPr>
            </w:pPr>
            <w:r>
              <w:rPr>
                <w:rFonts w:ascii="宋体" w:eastAsia="宋体" w:hint="eastAsia"/>
                <w:sz w:val="21"/>
              </w:rPr>
              <w:t>规划年评价标准（）</w:t>
            </w:r>
          </w:p>
        </w:tc>
      </w:tr>
      <w:tr>
        <w:trPr>
          <w:trHeight w:val="303" w:hRule="atLeast"/>
        </w:trPr>
        <w:tc>
          <w:tcPr>
            <w:tcW w:w="427" w:type="dxa"/>
            <w:vMerge/>
            <w:tcBorders>
              <w:top w:val="nil"/>
              <w:right w:val="single" w:sz="6" w:space="0" w:color="000000"/>
            </w:tcBorders>
          </w:tcPr>
          <w:p>
            <w:pPr>
              <w:rPr>
                <w:sz w:val="2"/>
                <w:szCs w:val="2"/>
              </w:rPr>
            </w:pPr>
          </w:p>
        </w:tc>
        <w:tc>
          <w:tcPr>
            <w:tcW w:w="1810" w:type="dxa"/>
            <w:tcBorders>
              <w:top w:val="single" w:sz="6" w:space="0" w:color="000000"/>
              <w:left w:val="single" w:sz="6" w:space="0" w:color="000000"/>
              <w:right w:val="single" w:sz="6" w:space="0" w:color="000000"/>
            </w:tcBorders>
          </w:tcPr>
          <w:p>
            <w:pPr>
              <w:pStyle w:val="TableParagraph"/>
              <w:spacing w:line="269" w:lineRule="exact" w:before="15"/>
              <w:ind w:left="154" w:right="128"/>
              <w:rPr>
                <w:rFonts w:ascii="宋体" w:eastAsia="宋体" w:hint="eastAsia"/>
                <w:sz w:val="21"/>
              </w:rPr>
            </w:pPr>
            <w:r>
              <w:rPr>
                <w:rFonts w:ascii="宋体" w:eastAsia="宋体" w:hint="eastAsia"/>
                <w:sz w:val="21"/>
              </w:rPr>
              <w:t>评价时期</w:t>
            </w:r>
          </w:p>
        </w:tc>
        <w:tc>
          <w:tcPr>
            <w:tcW w:w="7191" w:type="dxa"/>
            <w:gridSpan w:val="4"/>
            <w:tcBorders>
              <w:top w:val="single" w:sz="6" w:space="0" w:color="000000"/>
              <w:left w:val="single" w:sz="6" w:space="0" w:color="000000"/>
            </w:tcBorders>
          </w:tcPr>
          <w:p>
            <w:pPr>
              <w:pStyle w:val="TableParagraph"/>
              <w:spacing w:line="269" w:lineRule="exact" w:before="15"/>
              <w:ind w:left="862" w:right="722"/>
              <w:rPr>
                <w:rFonts w:ascii="宋体" w:hAnsi="宋体" w:eastAsia="宋体" w:hint="eastAsia"/>
                <w:sz w:val="21"/>
              </w:rPr>
            </w:pPr>
            <w:r>
              <w:rPr>
                <w:rFonts w:ascii="宋体" w:hAnsi="宋体" w:eastAsia="宋体" w:hint="eastAsia"/>
                <w:sz w:val="21"/>
              </w:rPr>
              <w:t>丰水期□；平水期□；枯水期□；冰封期□ </w:t>
            </w:r>
          </w:p>
        </w:tc>
      </w:tr>
    </w:tbl>
    <w:p>
      <w:pPr>
        <w:spacing w:after="0" w:line="269" w:lineRule="exact"/>
        <w:rPr>
          <w:rFonts w:ascii="宋体" w:hAnsi="宋体" w:eastAsia="宋体" w:hint="eastAsia"/>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1810"/>
        <w:gridCol w:w="2484"/>
        <w:gridCol w:w="2355"/>
        <w:gridCol w:w="974"/>
        <w:gridCol w:w="1380"/>
      </w:tblGrid>
      <w:tr>
        <w:trPr>
          <w:trHeight w:val="311" w:hRule="atLeast"/>
        </w:trPr>
        <w:tc>
          <w:tcPr>
            <w:tcW w:w="2237" w:type="dxa"/>
            <w:gridSpan w:val="2"/>
            <w:tcBorders>
              <w:bottom w:val="single" w:sz="6" w:space="0" w:color="000000"/>
              <w:right w:val="single" w:sz="6" w:space="0" w:color="000000"/>
            </w:tcBorders>
          </w:tcPr>
          <w:p>
            <w:pPr>
              <w:pStyle w:val="TableParagraph"/>
              <w:spacing w:line="267" w:lineRule="exact" w:before="25"/>
              <w:ind w:left="695"/>
              <w:jc w:val="left"/>
              <w:rPr>
                <w:rFonts w:ascii="宋体" w:eastAsia="宋体" w:hint="eastAsia"/>
                <w:b/>
                <w:sz w:val="21"/>
              </w:rPr>
            </w:pPr>
            <w:r>
              <w:rPr>
                <w:rFonts w:ascii="宋体" w:eastAsia="宋体" w:hint="eastAsia"/>
                <w:b/>
                <w:sz w:val="21"/>
              </w:rPr>
              <w:t>工作内容</w:t>
            </w:r>
          </w:p>
        </w:tc>
        <w:tc>
          <w:tcPr>
            <w:tcW w:w="7193" w:type="dxa"/>
            <w:gridSpan w:val="4"/>
            <w:tcBorders>
              <w:left w:val="single" w:sz="6" w:space="0" w:color="000000"/>
              <w:bottom w:val="single" w:sz="6" w:space="0" w:color="000000"/>
            </w:tcBorders>
          </w:tcPr>
          <w:p>
            <w:pPr>
              <w:pStyle w:val="TableParagraph"/>
              <w:spacing w:line="267" w:lineRule="exact" w:before="25"/>
              <w:ind w:left="1968" w:right="1933"/>
              <w:rPr>
                <w:rFonts w:ascii="宋体" w:eastAsia="宋体" w:hint="eastAsia"/>
                <w:b/>
                <w:sz w:val="21"/>
              </w:rPr>
            </w:pPr>
            <w:r>
              <w:rPr>
                <w:rFonts w:ascii="宋体" w:eastAsia="宋体" w:hint="eastAsia"/>
                <w:b/>
                <w:sz w:val="21"/>
              </w:rPr>
              <w:t>自查项目</w:t>
            </w:r>
          </w:p>
        </w:tc>
      </w:tr>
      <w:tr>
        <w:trPr>
          <w:trHeight w:val="313"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sz w:val="20"/>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7193" w:type="dxa"/>
            <w:gridSpan w:val="4"/>
            <w:tcBorders>
              <w:top w:val="single" w:sz="6" w:space="0" w:color="000000"/>
              <w:left w:val="single" w:sz="6" w:space="0" w:color="000000"/>
              <w:bottom w:val="single" w:sz="6" w:space="0" w:color="000000"/>
            </w:tcBorders>
          </w:tcPr>
          <w:p>
            <w:pPr>
              <w:pStyle w:val="TableParagraph"/>
              <w:spacing w:before="25"/>
              <w:ind w:left="2071" w:right="1933"/>
              <w:rPr>
                <w:rFonts w:ascii="宋体" w:hAnsi="宋体" w:eastAsia="宋体" w:hint="eastAsia"/>
                <w:sz w:val="21"/>
              </w:rPr>
            </w:pPr>
            <w:r>
              <w:rPr>
                <w:rFonts w:ascii="宋体" w:hAnsi="宋体" w:eastAsia="宋体" w:hint="eastAsia"/>
                <w:sz w:val="21"/>
              </w:rPr>
              <w:t>春季□；夏季□；秋季</w:t>
            </w:r>
            <w:r>
              <w:rPr>
                <w:rFonts w:ascii="Wingdings" w:hAnsi="Wingdings" w:eastAsia="Wingdings"/>
                <w:sz w:val="21"/>
              </w:rPr>
              <w:t></w:t>
            </w:r>
            <w:r>
              <w:rPr>
                <w:rFonts w:ascii="宋体" w:hAnsi="宋体" w:eastAsia="宋体" w:hint="eastAsia"/>
                <w:sz w:val="21"/>
              </w:rPr>
              <w:t>；冬季□ </w:t>
            </w:r>
          </w:p>
        </w:tc>
      </w:tr>
      <w:tr>
        <w:trPr>
          <w:trHeight w:val="3432"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6"/>
              <w:jc w:val="left"/>
              <w:rPr>
                <w:rFonts w:ascii="宋体"/>
                <w:b/>
                <w:sz w:val="23"/>
              </w:rPr>
            </w:pPr>
          </w:p>
          <w:p>
            <w:pPr>
              <w:pStyle w:val="TableParagraph"/>
              <w:spacing w:before="0"/>
              <w:ind w:left="154" w:right="128"/>
              <w:rPr>
                <w:rFonts w:ascii="宋体" w:eastAsia="宋体" w:hint="eastAsia"/>
                <w:sz w:val="21"/>
              </w:rPr>
            </w:pPr>
            <w:r>
              <w:rPr>
                <w:rFonts w:ascii="宋体" w:eastAsia="宋体" w:hint="eastAsia"/>
                <w:sz w:val="21"/>
              </w:rPr>
              <w:t>评价结论</w:t>
            </w:r>
          </w:p>
        </w:tc>
        <w:tc>
          <w:tcPr>
            <w:tcW w:w="5813"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水环境功能区或水功能区、近岸海域环境功能区水质达标状况</w:t>
            </w:r>
          </w:p>
          <w:p>
            <w:pPr>
              <w:pStyle w:val="TableParagraph"/>
              <w:spacing w:before="43"/>
              <w:ind w:left="112"/>
              <w:jc w:val="left"/>
              <w:rPr>
                <w:rFonts w:ascii="宋体" w:hAnsi="宋体" w:eastAsia="宋体" w:hint="eastAsia"/>
                <w:sz w:val="21"/>
              </w:rPr>
            </w:pPr>
            <w:r>
              <w:rPr>
                <w:rFonts w:ascii="宋体" w:hAnsi="宋体" w:eastAsia="宋体" w:hint="eastAsia"/>
                <w:sz w:val="21"/>
              </w:rPr>
              <w:t>□：达标□；不达标□ </w:t>
            </w:r>
          </w:p>
          <w:p>
            <w:pPr>
              <w:pStyle w:val="TableParagraph"/>
              <w:spacing w:line="278" w:lineRule="auto" w:before="43"/>
              <w:ind w:left="112" w:right="135"/>
              <w:jc w:val="left"/>
              <w:rPr>
                <w:rFonts w:ascii="宋体" w:hAnsi="宋体" w:eastAsia="宋体" w:hint="eastAsia"/>
                <w:sz w:val="21"/>
              </w:rPr>
            </w:pPr>
            <w:r>
              <w:rPr>
                <w:rFonts w:ascii="宋体" w:hAnsi="宋体" w:eastAsia="宋体" w:hint="eastAsia"/>
                <w:sz w:val="21"/>
              </w:rPr>
              <w:t>水环境控制单元或断面水质达标状况□：达标□；不达标</w:t>
            </w:r>
            <w:r>
              <w:rPr>
                <w:rFonts w:ascii="Wingdings" w:hAnsi="Wingdings" w:eastAsia="Wingdings"/>
                <w:sz w:val="21"/>
              </w:rPr>
              <w:t></w:t>
            </w:r>
            <w:r>
              <w:rPr>
                <w:sz w:val="21"/>
              </w:rPr>
              <w:t> </w:t>
            </w:r>
            <w:r>
              <w:rPr>
                <w:rFonts w:ascii="宋体" w:hAnsi="宋体" w:eastAsia="宋体" w:hint="eastAsia"/>
                <w:sz w:val="21"/>
              </w:rPr>
              <w:t>水环境保护目标质量状况□：达标□；不达标□ </w:t>
            </w:r>
          </w:p>
          <w:p>
            <w:pPr>
              <w:pStyle w:val="TableParagraph"/>
              <w:spacing w:line="278" w:lineRule="auto" w:before="0"/>
              <w:ind w:left="112" w:right="114"/>
              <w:jc w:val="left"/>
              <w:rPr>
                <w:rFonts w:ascii="宋体" w:hAnsi="宋体" w:eastAsia="宋体" w:hint="eastAsia"/>
                <w:sz w:val="21"/>
              </w:rPr>
            </w:pPr>
            <w:r>
              <w:rPr>
                <w:rFonts w:ascii="宋体" w:hAnsi="宋体" w:eastAsia="宋体" w:hint="eastAsia"/>
                <w:sz w:val="21"/>
              </w:rPr>
              <w:t>对照、控制等代表性断面的水质状况□：达标□；不达标□ 底泥污染评价□ </w:t>
            </w:r>
          </w:p>
          <w:p>
            <w:pPr>
              <w:pStyle w:val="TableParagraph"/>
              <w:spacing w:line="278" w:lineRule="auto" w:before="0"/>
              <w:ind w:left="112" w:right="1585"/>
              <w:jc w:val="left"/>
              <w:rPr>
                <w:rFonts w:ascii="宋体" w:hAnsi="宋体" w:eastAsia="宋体" w:hint="eastAsia"/>
                <w:sz w:val="21"/>
              </w:rPr>
            </w:pPr>
            <w:r>
              <w:rPr>
                <w:rFonts w:ascii="宋体" w:hAnsi="宋体" w:eastAsia="宋体" w:hint="eastAsia"/>
                <w:sz w:val="21"/>
              </w:rPr>
              <w:t>水资源与开发利用程度及其水文情势评价□ 水环境质量回顾评价□ </w:t>
            </w:r>
          </w:p>
          <w:p>
            <w:pPr>
              <w:pStyle w:val="TableParagraph"/>
              <w:spacing w:line="269" w:lineRule="exact" w:before="0"/>
              <w:ind w:left="112"/>
              <w:jc w:val="left"/>
              <w:rPr>
                <w:rFonts w:ascii="宋体" w:eastAsia="宋体" w:hint="eastAsia"/>
                <w:sz w:val="21"/>
              </w:rPr>
            </w:pPr>
            <w:r>
              <w:rPr>
                <w:rFonts w:ascii="宋体" w:eastAsia="宋体" w:hint="eastAsia"/>
                <w:sz w:val="21"/>
              </w:rPr>
              <w:t>流域（区域）水资源（包括水能资源）与开发利用总体状况、</w:t>
            </w:r>
          </w:p>
          <w:p>
            <w:pPr>
              <w:pStyle w:val="TableParagraph"/>
              <w:spacing w:line="310" w:lineRule="atLeast" w:before="2"/>
              <w:ind w:left="112" w:right="80"/>
              <w:jc w:val="left"/>
              <w:rPr>
                <w:rFonts w:ascii="宋体" w:hAnsi="宋体" w:eastAsia="宋体" w:hint="eastAsia"/>
                <w:sz w:val="21"/>
              </w:rPr>
            </w:pPr>
            <w:r>
              <w:rPr>
                <w:rFonts w:ascii="宋体" w:hAnsi="宋体" w:eastAsia="宋体" w:hint="eastAsia"/>
                <w:spacing w:val="-8"/>
                <w:sz w:val="21"/>
              </w:rPr>
              <w:t>生态流量管理要求与现状满足程度、建设项目占用水域空间的</w:t>
            </w:r>
            <w:r>
              <w:rPr>
                <w:rFonts w:ascii="宋体" w:hAnsi="宋体" w:eastAsia="宋体" w:hint="eastAsia"/>
                <w:spacing w:val="-5"/>
                <w:sz w:val="21"/>
              </w:rPr>
              <w:t>水流状况与河湖演变状况□ </w:t>
            </w:r>
          </w:p>
        </w:tc>
        <w:tc>
          <w:tcPr>
            <w:tcW w:w="1380"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78" w:lineRule="auto" w:before="145"/>
              <w:ind w:left="168" w:right="29" w:firstLine="105"/>
              <w:jc w:val="left"/>
              <w:rPr>
                <w:rFonts w:ascii="宋体" w:hAnsi="宋体" w:eastAsia="宋体" w:hint="eastAsia"/>
                <w:sz w:val="21"/>
              </w:rPr>
            </w:pPr>
            <w:r>
              <w:rPr>
                <w:rFonts w:ascii="宋体" w:hAnsi="宋体" w:eastAsia="宋体" w:hint="eastAsia"/>
                <w:spacing w:val="-1"/>
                <w:sz w:val="21"/>
              </w:rPr>
              <w:t>达标区□ </w:t>
            </w:r>
            <w:r>
              <w:rPr>
                <w:rFonts w:ascii="宋体" w:hAnsi="宋体" w:eastAsia="宋体" w:hint="eastAsia"/>
                <w:spacing w:val="-2"/>
                <w:sz w:val="21"/>
              </w:rPr>
              <w:t>不达标区□</w:t>
            </w:r>
            <w:r>
              <w:rPr>
                <w:rFonts w:ascii="宋体" w:hAnsi="宋体" w:eastAsia="宋体" w:hint="eastAsia"/>
                <w:sz w:val="21"/>
              </w:rPr>
              <w:t> </w:t>
            </w:r>
          </w:p>
        </w:tc>
      </w:tr>
      <w:tr>
        <w:trPr>
          <w:trHeight w:val="311"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17"/>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影响预测</w:t>
            </w: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2"/>
              <w:ind w:left="154" w:right="128"/>
              <w:rPr>
                <w:rFonts w:ascii="宋体" w:eastAsia="宋体" w:hint="eastAsia"/>
                <w:sz w:val="21"/>
              </w:rPr>
            </w:pPr>
            <w:r>
              <w:rPr>
                <w:rFonts w:ascii="宋体" w:eastAsia="宋体" w:hint="eastAsia"/>
                <w:sz w:val="21"/>
              </w:rPr>
              <w:t>预测范围</w:t>
            </w:r>
          </w:p>
        </w:tc>
        <w:tc>
          <w:tcPr>
            <w:tcW w:w="7193" w:type="dxa"/>
            <w:gridSpan w:val="4"/>
            <w:tcBorders>
              <w:top w:val="single" w:sz="6" w:space="0" w:color="000000"/>
              <w:left w:val="single" w:sz="6" w:space="0" w:color="000000"/>
              <w:bottom w:val="single" w:sz="6" w:space="0" w:color="000000"/>
            </w:tcBorders>
          </w:tcPr>
          <w:p>
            <w:pPr>
              <w:pStyle w:val="TableParagraph"/>
              <w:spacing w:before="22"/>
              <w:ind w:left="112"/>
              <w:jc w:val="left"/>
              <w:rPr>
                <w:sz w:val="14"/>
              </w:rPr>
            </w:pPr>
            <w:r>
              <w:rPr>
                <w:rFonts w:ascii="宋体" w:eastAsia="宋体" w:hint="eastAsia"/>
                <w:sz w:val="21"/>
              </w:rPr>
              <w:t>河流：长度（）</w:t>
            </w:r>
            <w:r>
              <w:rPr>
                <w:sz w:val="21"/>
              </w:rPr>
              <w:t>km</w:t>
            </w:r>
            <w:r>
              <w:rPr>
                <w:rFonts w:ascii="宋体" w:eastAsia="宋体" w:hint="eastAsia"/>
                <w:sz w:val="21"/>
              </w:rPr>
              <w:t>；湖库、河口及近岸海域：面积（）</w:t>
            </w:r>
            <w:r>
              <w:rPr>
                <w:sz w:val="21"/>
              </w:rPr>
              <w:t>km</w:t>
            </w:r>
            <w:r>
              <w:rPr>
                <w:position w:val="7"/>
                <w:sz w:val="14"/>
              </w:rPr>
              <w:t>2</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2"/>
              <w:ind w:left="154" w:right="128"/>
              <w:rPr>
                <w:rFonts w:ascii="宋体" w:eastAsia="宋体" w:hint="eastAsia"/>
                <w:sz w:val="21"/>
              </w:rPr>
            </w:pPr>
            <w:r>
              <w:rPr>
                <w:rFonts w:ascii="宋体" w:eastAsia="宋体" w:hint="eastAsia"/>
                <w:sz w:val="21"/>
              </w:rPr>
              <w:t>预测因子</w:t>
            </w:r>
          </w:p>
        </w:tc>
        <w:tc>
          <w:tcPr>
            <w:tcW w:w="7193" w:type="dxa"/>
            <w:gridSpan w:val="4"/>
            <w:tcBorders>
              <w:top w:val="single" w:sz="6" w:space="0" w:color="000000"/>
              <w:left w:val="single" w:sz="6" w:space="0" w:color="000000"/>
              <w:bottom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w:t>
            </w:r>
          </w:p>
        </w:tc>
      </w:tr>
      <w:tr>
        <w:trPr>
          <w:trHeight w:val="937"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3"/>
              <w:jc w:val="left"/>
              <w:rPr>
                <w:rFonts w:ascii="宋体"/>
                <w:b/>
                <w:sz w:val="26"/>
              </w:rPr>
            </w:pPr>
          </w:p>
          <w:p>
            <w:pPr>
              <w:pStyle w:val="TableParagraph"/>
              <w:spacing w:before="0"/>
              <w:ind w:left="154" w:right="128"/>
              <w:rPr>
                <w:rFonts w:ascii="宋体" w:eastAsia="宋体" w:hint="eastAsia"/>
                <w:sz w:val="21"/>
              </w:rPr>
            </w:pPr>
            <w:r>
              <w:rPr>
                <w:rFonts w:ascii="宋体" w:eastAsia="宋体" w:hint="eastAsia"/>
                <w:sz w:val="21"/>
              </w:rPr>
              <w:t>预测时期</w:t>
            </w:r>
          </w:p>
        </w:tc>
        <w:tc>
          <w:tcPr>
            <w:tcW w:w="7193" w:type="dxa"/>
            <w:gridSpan w:val="4"/>
            <w:tcBorders>
              <w:top w:val="single" w:sz="6" w:space="0" w:color="000000"/>
              <w:left w:val="single" w:sz="6" w:space="0" w:color="000000"/>
              <w:bottom w:val="single" w:sz="6" w:space="0" w:color="000000"/>
            </w:tcBorders>
          </w:tcPr>
          <w:p>
            <w:pPr>
              <w:pStyle w:val="TableParagraph"/>
              <w:spacing w:line="278" w:lineRule="auto" w:before="25"/>
              <w:ind w:left="112" w:right="2958"/>
              <w:jc w:val="left"/>
              <w:rPr>
                <w:rFonts w:ascii="宋体" w:hAnsi="宋体" w:eastAsia="宋体" w:hint="eastAsia"/>
                <w:sz w:val="21"/>
              </w:rPr>
            </w:pPr>
            <w:r>
              <w:rPr>
                <w:rFonts w:ascii="宋体" w:hAnsi="宋体" w:eastAsia="宋体" w:hint="eastAsia"/>
                <w:sz w:val="21"/>
              </w:rPr>
              <w:t>丰水期□；平水期□；枯水期□；冰封期□ 春季□；夏季□；秋季□；冬季□ </w:t>
            </w:r>
          </w:p>
          <w:p>
            <w:pPr>
              <w:pStyle w:val="TableParagraph"/>
              <w:spacing w:line="269" w:lineRule="exact" w:before="0"/>
              <w:ind w:left="112"/>
              <w:jc w:val="left"/>
              <w:rPr>
                <w:rFonts w:ascii="宋体" w:hAnsi="宋体" w:eastAsia="宋体" w:hint="eastAsia"/>
                <w:sz w:val="21"/>
              </w:rPr>
            </w:pPr>
            <w:r>
              <w:rPr>
                <w:rFonts w:ascii="宋体" w:hAnsi="宋体" w:eastAsia="宋体" w:hint="eastAsia"/>
                <w:sz w:val="21"/>
              </w:rPr>
              <w:t>设计水文条件□ </w:t>
            </w:r>
          </w:p>
        </w:tc>
      </w:tr>
      <w:tr>
        <w:trPr>
          <w:trHeight w:val="1247"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18"/>
              </w:rPr>
            </w:pPr>
          </w:p>
          <w:p>
            <w:pPr>
              <w:pStyle w:val="TableParagraph"/>
              <w:spacing w:before="0"/>
              <w:ind w:left="154" w:right="128"/>
              <w:rPr>
                <w:rFonts w:ascii="宋体" w:eastAsia="宋体" w:hint="eastAsia"/>
                <w:sz w:val="21"/>
              </w:rPr>
            </w:pPr>
            <w:r>
              <w:rPr>
                <w:rFonts w:ascii="宋体" w:eastAsia="宋体" w:hint="eastAsia"/>
                <w:sz w:val="21"/>
              </w:rPr>
              <w:t>预测情景</w:t>
            </w:r>
          </w:p>
        </w:tc>
        <w:tc>
          <w:tcPr>
            <w:tcW w:w="7193" w:type="dxa"/>
            <w:gridSpan w:val="4"/>
            <w:tcBorders>
              <w:top w:val="single" w:sz="6" w:space="0" w:color="000000"/>
              <w:left w:val="single" w:sz="6" w:space="0" w:color="000000"/>
              <w:bottom w:val="single" w:sz="6" w:space="0" w:color="000000"/>
            </w:tcBorders>
          </w:tcPr>
          <w:p>
            <w:pPr>
              <w:pStyle w:val="TableParagraph"/>
              <w:spacing w:line="278" w:lineRule="auto" w:before="22"/>
              <w:ind w:left="112" w:right="3167"/>
              <w:jc w:val="left"/>
              <w:rPr>
                <w:rFonts w:ascii="宋体" w:hAnsi="宋体" w:eastAsia="宋体" w:hint="eastAsia"/>
                <w:sz w:val="21"/>
              </w:rPr>
            </w:pPr>
            <w:r>
              <w:rPr>
                <w:rFonts w:ascii="宋体" w:hAnsi="宋体" w:eastAsia="宋体" w:hint="eastAsia"/>
                <w:spacing w:val="-3"/>
                <w:sz w:val="21"/>
              </w:rPr>
              <w:t>建设期□；生产运行期□；服务期满后□ 正常工况□；非正常工况□ </w:t>
            </w:r>
          </w:p>
          <w:p>
            <w:pPr>
              <w:pStyle w:val="TableParagraph"/>
              <w:spacing w:line="269" w:lineRule="exact" w:before="0"/>
              <w:ind w:left="112"/>
              <w:jc w:val="left"/>
              <w:rPr>
                <w:rFonts w:ascii="宋体" w:hAnsi="宋体" w:eastAsia="宋体" w:hint="eastAsia"/>
                <w:sz w:val="21"/>
              </w:rPr>
            </w:pPr>
            <w:r>
              <w:rPr>
                <w:rFonts w:ascii="宋体" w:hAnsi="宋体" w:eastAsia="宋体" w:hint="eastAsia"/>
                <w:spacing w:val="-3"/>
                <w:sz w:val="21"/>
              </w:rPr>
              <w:t>污染控制和减缓措施方案□ </w:t>
            </w:r>
          </w:p>
          <w:p>
            <w:pPr>
              <w:pStyle w:val="TableParagraph"/>
              <w:spacing w:before="43"/>
              <w:ind w:left="112"/>
              <w:jc w:val="left"/>
              <w:rPr>
                <w:rFonts w:ascii="宋体" w:hAnsi="宋体" w:eastAsia="宋体" w:hint="eastAsia"/>
                <w:sz w:val="21"/>
              </w:rPr>
            </w:pPr>
            <w:r>
              <w:rPr>
                <w:rFonts w:ascii="宋体" w:hAnsi="宋体" w:eastAsia="宋体" w:hint="eastAsia"/>
                <w:sz w:val="21"/>
              </w:rPr>
              <w:t>区（流）域环境质量改善目标要求情景□ </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3"/>
              <w:ind w:left="154" w:right="128"/>
              <w:rPr>
                <w:rFonts w:ascii="宋体" w:eastAsia="宋体" w:hint="eastAsia"/>
                <w:sz w:val="21"/>
              </w:rPr>
            </w:pPr>
            <w:r>
              <w:rPr>
                <w:rFonts w:ascii="宋体" w:eastAsia="宋体" w:hint="eastAsia"/>
                <w:sz w:val="21"/>
              </w:rPr>
              <w:t>预测方法</w:t>
            </w:r>
          </w:p>
        </w:tc>
        <w:tc>
          <w:tcPr>
            <w:tcW w:w="7193" w:type="dxa"/>
            <w:gridSpan w:val="4"/>
            <w:tcBorders>
              <w:top w:val="single" w:sz="6" w:space="0" w:color="000000"/>
              <w:left w:val="single" w:sz="6" w:space="0" w:color="000000"/>
              <w:bottom w:val="single" w:sz="6" w:space="0" w:color="000000"/>
            </w:tcBorders>
          </w:tcPr>
          <w:p>
            <w:pPr>
              <w:pStyle w:val="TableParagraph"/>
              <w:spacing w:before="23"/>
              <w:ind w:left="112"/>
              <w:jc w:val="left"/>
              <w:rPr>
                <w:rFonts w:ascii="宋体" w:hAnsi="宋体" w:eastAsia="宋体" w:hint="eastAsia"/>
                <w:sz w:val="21"/>
              </w:rPr>
            </w:pPr>
            <w:r>
              <w:rPr>
                <w:rFonts w:ascii="宋体" w:hAnsi="宋体" w:eastAsia="宋体" w:hint="eastAsia"/>
                <w:sz w:val="21"/>
              </w:rPr>
              <w:t>数值解□；解析解□；其他□ 导则推荐模式□；其他□ </w:t>
            </w:r>
          </w:p>
        </w:tc>
      </w:tr>
      <w:tr>
        <w:trPr>
          <w:trHeight w:val="927" w:hRule="atLeast"/>
        </w:trPr>
        <w:tc>
          <w:tcPr>
            <w:tcW w:w="427"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
              <w:jc w:val="left"/>
              <w:rPr>
                <w:rFonts w:ascii="宋体"/>
                <w:b/>
                <w:sz w:val="20"/>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影响评价</w:t>
            </w: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72" w:right="146"/>
              <w:rPr>
                <w:rFonts w:ascii="宋体" w:eastAsia="宋体" w:hint="eastAsia"/>
                <w:sz w:val="21"/>
              </w:rPr>
            </w:pPr>
            <w:r>
              <w:rPr>
                <w:rFonts w:ascii="宋体" w:eastAsia="宋体" w:hint="eastAsia"/>
                <w:spacing w:val="-4"/>
                <w:sz w:val="21"/>
              </w:rPr>
              <w:t>水污染控制和水环境影响减缓措</w:t>
            </w:r>
          </w:p>
          <w:p>
            <w:pPr>
              <w:pStyle w:val="TableParagraph"/>
              <w:spacing w:line="261" w:lineRule="exact" w:before="0"/>
              <w:ind w:left="154" w:right="130"/>
              <w:rPr>
                <w:rFonts w:ascii="宋体" w:eastAsia="宋体" w:hint="eastAsia"/>
                <w:sz w:val="21"/>
              </w:rPr>
            </w:pPr>
            <w:r>
              <w:rPr>
                <w:rFonts w:ascii="宋体" w:eastAsia="宋体" w:hint="eastAsia"/>
                <w:spacing w:val="-2"/>
                <w:sz w:val="21"/>
              </w:rPr>
              <w:t>施有效性评价</w:t>
            </w:r>
          </w:p>
        </w:tc>
        <w:tc>
          <w:tcPr>
            <w:tcW w:w="7193" w:type="dxa"/>
            <w:gridSpan w:val="4"/>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12"/>
              <w:jc w:val="left"/>
              <w:rPr>
                <w:rFonts w:ascii="宋体" w:hAnsi="宋体" w:eastAsia="宋体" w:hint="eastAsia"/>
                <w:sz w:val="21"/>
              </w:rPr>
            </w:pPr>
            <w:r>
              <w:rPr>
                <w:rFonts w:ascii="宋体" w:hAnsi="宋体" w:eastAsia="宋体" w:hint="eastAsia"/>
                <w:sz w:val="21"/>
              </w:rPr>
              <w:t>区（流）域环境质量改善目标□；替代削减源□ </w:t>
            </w:r>
          </w:p>
        </w:tc>
      </w:tr>
      <w:tr>
        <w:trPr>
          <w:trHeight w:val="3731" w:hRule="atLeast"/>
        </w:trPr>
        <w:tc>
          <w:tcPr>
            <w:tcW w:w="427" w:type="dxa"/>
            <w:vMerge/>
            <w:tcBorders>
              <w:top w:val="nil"/>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15"/>
              </w:rPr>
            </w:pPr>
          </w:p>
          <w:p>
            <w:pPr>
              <w:pStyle w:val="TableParagraph"/>
              <w:spacing w:before="0"/>
              <w:ind w:left="154" w:right="130"/>
              <w:rPr>
                <w:rFonts w:ascii="宋体" w:eastAsia="宋体" w:hint="eastAsia"/>
                <w:sz w:val="21"/>
              </w:rPr>
            </w:pPr>
            <w:r>
              <w:rPr>
                <w:rFonts w:ascii="宋体" w:eastAsia="宋体" w:hint="eastAsia"/>
                <w:sz w:val="21"/>
              </w:rPr>
              <w:t>水环境影响评价</w:t>
            </w:r>
          </w:p>
        </w:tc>
        <w:tc>
          <w:tcPr>
            <w:tcW w:w="7193" w:type="dxa"/>
            <w:gridSpan w:val="4"/>
            <w:tcBorders>
              <w:top w:val="single" w:sz="6" w:space="0" w:color="000000"/>
              <w:left w:val="single" w:sz="6" w:space="0" w:color="000000"/>
              <w:bottom w:val="single" w:sz="6" w:space="0" w:color="000000"/>
            </w:tcBorders>
          </w:tcPr>
          <w:p>
            <w:pPr>
              <w:pStyle w:val="TableParagraph"/>
              <w:spacing w:before="17"/>
              <w:ind w:left="112"/>
              <w:jc w:val="left"/>
              <w:rPr>
                <w:rFonts w:ascii="宋体" w:hAnsi="宋体" w:eastAsia="宋体" w:hint="eastAsia"/>
                <w:sz w:val="21"/>
              </w:rPr>
            </w:pPr>
            <w:r>
              <w:rPr>
                <w:rFonts w:ascii="宋体" w:hAnsi="宋体" w:eastAsia="宋体" w:hint="eastAsia"/>
                <w:sz w:val="21"/>
              </w:rPr>
              <w:t>排放口混合区外满足水环境管理要求□ </w:t>
            </w:r>
          </w:p>
          <w:p>
            <w:pPr>
              <w:pStyle w:val="TableParagraph"/>
              <w:spacing w:line="278" w:lineRule="auto" w:before="43"/>
              <w:ind w:left="112" w:right="1508"/>
              <w:jc w:val="left"/>
              <w:rPr>
                <w:rFonts w:ascii="宋体" w:hAnsi="宋体" w:eastAsia="宋体" w:hint="eastAsia"/>
                <w:sz w:val="21"/>
              </w:rPr>
            </w:pPr>
            <w:r>
              <w:rPr>
                <w:rFonts w:ascii="宋体" w:hAnsi="宋体" w:eastAsia="宋体" w:hint="eastAsia"/>
                <w:sz w:val="21"/>
              </w:rPr>
              <w:t>水环境功能区或水功能区、近岸海域环境功能区水质达标</w:t>
            </w:r>
            <w:r>
              <w:rPr>
                <w:rFonts w:ascii="Wingdings" w:hAnsi="Wingdings" w:eastAsia="Wingdings"/>
                <w:sz w:val="21"/>
              </w:rPr>
              <w:t></w:t>
            </w:r>
            <w:r>
              <w:rPr>
                <w:sz w:val="21"/>
              </w:rPr>
              <w:t> </w:t>
            </w:r>
            <w:r>
              <w:rPr>
                <w:rFonts w:ascii="宋体" w:hAnsi="宋体" w:eastAsia="宋体" w:hint="eastAsia"/>
                <w:sz w:val="21"/>
              </w:rPr>
              <w:t>满足水环境保护目标水域水环境质量要求□ </w:t>
            </w:r>
          </w:p>
          <w:p>
            <w:pPr>
              <w:pStyle w:val="TableParagraph"/>
              <w:spacing w:line="269" w:lineRule="exact" w:before="0"/>
              <w:ind w:left="112"/>
              <w:jc w:val="left"/>
              <w:rPr>
                <w:rFonts w:ascii="宋体" w:hAnsi="宋体" w:eastAsia="宋体" w:hint="eastAsia"/>
                <w:sz w:val="21"/>
              </w:rPr>
            </w:pPr>
            <w:r>
              <w:rPr>
                <w:rFonts w:ascii="宋体" w:hAnsi="宋体" w:eastAsia="宋体" w:hint="eastAsia"/>
                <w:sz w:val="21"/>
              </w:rPr>
              <w:t>水环境控制单元或断面水质达标□ </w:t>
            </w:r>
          </w:p>
          <w:p>
            <w:pPr>
              <w:pStyle w:val="TableParagraph"/>
              <w:spacing w:line="278" w:lineRule="auto" w:before="43"/>
              <w:ind w:left="112" w:right="77"/>
              <w:jc w:val="left"/>
              <w:rPr>
                <w:rFonts w:ascii="宋体" w:hAnsi="宋体" w:eastAsia="宋体" w:hint="eastAsia"/>
                <w:sz w:val="21"/>
              </w:rPr>
            </w:pPr>
            <w:r>
              <w:rPr>
                <w:rFonts w:ascii="宋体" w:hAnsi="宋体" w:eastAsia="宋体" w:hint="eastAsia"/>
                <w:sz w:val="21"/>
              </w:rPr>
              <w:t>满足重点水污染物排放总量控制指标要求，重点行业建设项目，主要污染物排放满足等量或减量替代要求□ </w:t>
            </w:r>
          </w:p>
          <w:p>
            <w:pPr>
              <w:pStyle w:val="TableParagraph"/>
              <w:spacing w:line="269" w:lineRule="exact" w:before="0"/>
              <w:ind w:left="112"/>
              <w:jc w:val="left"/>
              <w:rPr>
                <w:rFonts w:ascii="宋体" w:hAnsi="宋体" w:eastAsia="宋体" w:hint="eastAsia"/>
                <w:sz w:val="21"/>
              </w:rPr>
            </w:pPr>
            <w:r>
              <w:rPr>
                <w:rFonts w:ascii="宋体" w:hAnsi="宋体" w:eastAsia="宋体" w:hint="eastAsia"/>
                <w:sz w:val="21"/>
              </w:rPr>
              <w:t>满足区（流）域环境质量改善目标□ </w:t>
            </w:r>
          </w:p>
          <w:p>
            <w:pPr>
              <w:pStyle w:val="TableParagraph"/>
              <w:spacing w:line="278" w:lineRule="auto" w:before="44"/>
              <w:ind w:left="112" w:right="77"/>
              <w:jc w:val="left"/>
              <w:rPr>
                <w:rFonts w:ascii="宋体" w:hAnsi="宋体" w:eastAsia="宋体" w:hint="eastAsia"/>
                <w:sz w:val="21"/>
              </w:rPr>
            </w:pPr>
            <w:r>
              <w:rPr>
                <w:rFonts w:ascii="宋体" w:hAnsi="宋体" w:eastAsia="宋体" w:hint="eastAsia"/>
                <w:sz w:val="21"/>
              </w:rPr>
              <w:t>水文要素影响型建设项目同时应包括水文情势变化评价、主要水文特征值影响评价、生态流量符合性评价□ </w:t>
            </w:r>
          </w:p>
          <w:p>
            <w:pPr>
              <w:pStyle w:val="TableParagraph"/>
              <w:spacing w:line="278" w:lineRule="auto" w:before="0"/>
              <w:ind w:left="112" w:right="77"/>
              <w:jc w:val="left"/>
              <w:rPr>
                <w:rFonts w:ascii="宋体" w:hAnsi="宋体" w:eastAsia="宋体" w:hint="eastAsia"/>
                <w:sz w:val="21"/>
              </w:rPr>
            </w:pPr>
            <w:r>
              <w:rPr>
                <w:rFonts w:ascii="宋体" w:hAnsi="宋体" w:eastAsia="宋体" w:hint="eastAsia"/>
                <w:sz w:val="21"/>
              </w:rPr>
              <w:t>对于新设或调整入河（湖库、近岸海域）排放口的建设项目，应包括排放口设置的环境合理性评价□ </w:t>
            </w:r>
          </w:p>
          <w:p>
            <w:pPr>
              <w:pStyle w:val="TableParagraph"/>
              <w:spacing w:line="261" w:lineRule="exact" w:before="0"/>
              <w:ind w:left="112"/>
              <w:jc w:val="left"/>
              <w:rPr>
                <w:rFonts w:ascii="宋体" w:hAnsi="宋体"/>
                <w:sz w:val="21"/>
              </w:rPr>
            </w:pPr>
            <w:r>
              <w:rPr>
                <w:rFonts w:ascii="宋体" w:hAnsi="宋体"/>
                <w:sz w:val="21"/>
              </w:rPr>
              <w:t>满足生态保护红线、水环境质量底线、资源利用上线和环境准入清单要求</w:t>
            </w:r>
            <w:r>
              <w:rPr>
                <w:rFonts w:ascii="Wingdings" w:hAnsi="Wingdings"/>
                <w:sz w:val="21"/>
              </w:rPr>
              <w:t></w:t>
            </w:r>
            <w:r>
              <w:rPr>
                <w:rFonts w:ascii="宋体" w:hAnsi="宋体"/>
                <w:w w:val="100"/>
                <w:sz w:val="21"/>
              </w:rPr>
              <w:t> </w:t>
            </w:r>
          </w:p>
        </w:tc>
      </w:tr>
      <w:tr>
        <w:trPr>
          <w:trHeight w:val="296" w:hRule="atLeast"/>
        </w:trPr>
        <w:tc>
          <w:tcPr>
            <w:tcW w:w="427" w:type="dxa"/>
            <w:vMerge/>
            <w:tcBorders>
              <w:top w:val="nil"/>
              <w:right w:val="single" w:sz="6" w:space="0" w:color="000000"/>
            </w:tcBorders>
          </w:tcPr>
          <w:p>
            <w:pPr>
              <w:rPr>
                <w:sz w:val="2"/>
                <w:szCs w:val="2"/>
              </w:rPr>
            </w:pPr>
          </w:p>
        </w:tc>
        <w:tc>
          <w:tcPr>
            <w:tcW w:w="1810" w:type="dxa"/>
            <w:vMerge w:val="restart"/>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before="12"/>
              <w:jc w:val="left"/>
              <w:rPr>
                <w:rFonts w:ascii="宋体"/>
                <w:b/>
                <w:sz w:val="19"/>
              </w:rPr>
            </w:pPr>
          </w:p>
          <w:p>
            <w:pPr>
              <w:pStyle w:val="TableParagraph"/>
              <w:spacing w:line="278" w:lineRule="auto" w:before="0"/>
              <w:ind w:left="803" w:right="146" w:hanging="632"/>
              <w:jc w:val="left"/>
              <w:rPr>
                <w:rFonts w:ascii="宋体" w:eastAsia="宋体" w:hint="eastAsia"/>
                <w:sz w:val="21"/>
              </w:rPr>
            </w:pPr>
            <w:r>
              <w:rPr>
                <w:rFonts w:ascii="宋体" w:eastAsia="宋体" w:hint="eastAsia"/>
                <w:sz w:val="21"/>
              </w:rPr>
              <w:t>污染源排放量核算</w:t>
            </w:r>
          </w:p>
        </w:tc>
        <w:tc>
          <w:tcPr>
            <w:tcW w:w="2484"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5"/>
              <w:ind w:left="701" w:right="677"/>
              <w:rPr>
                <w:rFonts w:ascii="宋体" w:eastAsia="宋体" w:hint="eastAsia"/>
                <w:sz w:val="21"/>
              </w:rPr>
            </w:pPr>
            <w:r>
              <w:rPr>
                <w:rFonts w:ascii="宋体" w:eastAsia="宋体" w:hint="eastAsia"/>
                <w:sz w:val="21"/>
              </w:rPr>
              <w:t>污染物名称</w:t>
            </w:r>
          </w:p>
        </w:tc>
        <w:tc>
          <w:tcPr>
            <w:tcW w:w="23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5"/>
              <w:ind w:left="401" w:right="374"/>
              <w:rPr>
                <w:rFonts w:ascii="宋体" w:eastAsia="宋体" w:hint="eastAsia"/>
                <w:sz w:val="21"/>
              </w:rPr>
            </w:pPr>
            <w:r>
              <w:rPr>
                <w:rFonts w:ascii="宋体" w:eastAsia="宋体" w:hint="eastAsia"/>
                <w:sz w:val="21"/>
              </w:rPr>
              <w:t>排放量（</w:t>
            </w:r>
            <w:r>
              <w:rPr>
                <w:sz w:val="21"/>
              </w:rPr>
              <w:t>t/a</w:t>
            </w:r>
            <w:r>
              <w:rPr>
                <w:rFonts w:ascii="宋体" w:eastAsia="宋体" w:hint="eastAsia"/>
                <w:sz w:val="21"/>
              </w:rPr>
              <w:t>）</w:t>
            </w:r>
          </w:p>
        </w:tc>
        <w:tc>
          <w:tcPr>
            <w:tcW w:w="2354" w:type="dxa"/>
            <w:gridSpan w:val="2"/>
            <w:tcBorders>
              <w:top w:val="single" w:sz="6" w:space="0" w:color="000000"/>
              <w:left w:val="single" w:sz="6" w:space="0" w:color="000000"/>
              <w:bottom w:val="single" w:sz="6" w:space="0" w:color="000000"/>
            </w:tcBorders>
          </w:tcPr>
          <w:p>
            <w:pPr>
              <w:pStyle w:val="TableParagraph"/>
              <w:spacing w:line="261" w:lineRule="exact" w:before="15"/>
              <w:ind w:left="326"/>
              <w:jc w:val="left"/>
              <w:rPr>
                <w:rFonts w:ascii="宋体" w:eastAsia="宋体" w:hint="eastAsia"/>
                <w:sz w:val="21"/>
              </w:rPr>
            </w:pPr>
            <w:r>
              <w:rPr>
                <w:rFonts w:ascii="宋体" w:eastAsia="宋体" w:hint="eastAsia"/>
                <w:sz w:val="21"/>
              </w:rPr>
              <w:t>排放浓度（</w:t>
            </w:r>
            <w:r>
              <w:rPr>
                <w:sz w:val="21"/>
              </w:rPr>
              <w:t>mg/L</w:t>
            </w:r>
            <w:r>
              <w:rPr>
                <w:rFonts w:ascii="宋体" w:eastAsia="宋体" w:hint="eastAsia"/>
                <w:sz w:val="21"/>
              </w:rPr>
              <w:t>）</w:t>
            </w:r>
          </w:p>
        </w:tc>
      </w:tr>
      <w:tr>
        <w:trPr>
          <w:trHeight w:val="296" w:hRule="atLeast"/>
        </w:trPr>
        <w:tc>
          <w:tcPr>
            <w:tcW w:w="427" w:type="dxa"/>
            <w:vMerge/>
            <w:tcBorders>
              <w:top w:val="nil"/>
              <w:right w:val="single" w:sz="6" w:space="0" w:color="000000"/>
            </w:tcBorders>
          </w:tcPr>
          <w:p>
            <w:pPr>
              <w:rPr>
                <w:sz w:val="2"/>
                <w:szCs w:val="2"/>
              </w:rPr>
            </w:pPr>
          </w:p>
        </w:tc>
        <w:tc>
          <w:tcPr>
            <w:tcW w:w="1810" w:type="dxa"/>
            <w:vMerge/>
            <w:tcBorders>
              <w:top w:val="nil"/>
              <w:left w:val="single" w:sz="6" w:space="0" w:color="000000"/>
              <w:right w:val="single" w:sz="6" w:space="0" w:color="000000"/>
            </w:tcBorders>
          </w:tcPr>
          <w:p>
            <w:pPr>
              <w:rPr>
                <w:sz w:val="2"/>
                <w:szCs w:val="2"/>
              </w:rPr>
            </w:pPr>
          </w:p>
        </w:tc>
        <w:tc>
          <w:tcPr>
            <w:tcW w:w="2484" w:type="dxa"/>
            <w:tcBorders>
              <w:top w:val="single" w:sz="6" w:space="0" w:color="000000"/>
              <w:left w:val="single" w:sz="6" w:space="0" w:color="000000"/>
              <w:bottom w:val="single" w:sz="6" w:space="0" w:color="000000"/>
              <w:right w:val="single" w:sz="6" w:space="0" w:color="000000"/>
            </w:tcBorders>
          </w:tcPr>
          <w:p>
            <w:pPr>
              <w:pStyle w:val="TableParagraph"/>
              <w:spacing w:before="28"/>
              <w:ind w:left="701" w:right="673"/>
              <w:rPr>
                <w:sz w:val="14"/>
              </w:rPr>
            </w:pPr>
            <w:r>
              <w:rPr>
                <w:position w:val="2"/>
                <w:sz w:val="21"/>
              </w:rPr>
              <w:t>COD</w:t>
            </w:r>
            <w:r>
              <w:rPr>
                <w:sz w:val="14"/>
              </w:rPr>
              <w:t>Cr</w:t>
            </w:r>
          </w:p>
        </w:tc>
        <w:tc>
          <w:tcPr>
            <w:tcW w:w="23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5"/>
              <w:ind w:left="403" w:right="374"/>
              <w:rPr>
                <w:rFonts w:ascii="宋体" w:eastAsia="宋体" w:hint="eastAsia"/>
                <w:sz w:val="21"/>
              </w:rPr>
            </w:pPr>
            <w:r>
              <w:rPr>
                <w:sz w:val="21"/>
              </w:rPr>
              <w:t>6.667</w:t>
            </w:r>
            <w:r>
              <w:rPr>
                <w:rFonts w:ascii="宋体" w:eastAsia="宋体" w:hint="eastAsia"/>
                <w:sz w:val="21"/>
              </w:rPr>
              <w:t>（排环境）</w:t>
            </w:r>
          </w:p>
        </w:tc>
        <w:tc>
          <w:tcPr>
            <w:tcW w:w="2354" w:type="dxa"/>
            <w:gridSpan w:val="2"/>
            <w:tcBorders>
              <w:top w:val="single" w:sz="6" w:space="0" w:color="000000"/>
              <w:left w:val="single" w:sz="6" w:space="0" w:color="000000"/>
              <w:bottom w:val="single" w:sz="6" w:space="0" w:color="000000"/>
            </w:tcBorders>
          </w:tcPr>
          <w:p>
            <w:pPr>
              <w:pStyle w:val="TableParagraph"/>
              <w:spacing w:before="29"/>
              <w:ind w:left="1029" w:right="994"/>
              <w:rPr>
                <w:sz w:val="21"/>
              </w:rPr>
            </w:pPr>
            <w:r>
              <w:rPr>
                <w:sz w:val="21"/>
              </w:rPr>
              <w:t>50</w:t>
            </w:r>
          </w:p>
        </w:tc>
      </w:tr>
      <w:tr>
        <w:trPr>
          <w:trHeight w:val="296" w:hRule="atLeast"/>
        </w:trPr>
        <w:tc>
          <w:tcPr>
            <w:tcW w:w="427" w:type="dxa"/>
            <w:vMerge/>
            <w:tcBorders>
              <w:top w:val="nil"/>
              <w:right w:val="single" w:sz="6" w:space="0" w:color="000000"/>
            </w:tcBorders>
          </w:tcPr>
          <w:p>
            <w:pPr>
              <w:rPr>
                <w:sz w:val="2"/>
                <w:szCs w:val="2"/>
              </w:rPr>
            </w:pPr>
          </w:p>
        </w:tc>
        <w:tc>
          <w:tcPr>
            <w:tcW w:w="1810" w:type="dxa"/>
            <w:vMerge/>
            <w:tcBorders>
              <w:top w:val="nil"/>
              <w:left w:val="single" w:sz="6" w:space="0" w:color="000000"/>
              <w:right w:val="single" w:sz="6" w:space="0" w:color="000000"/>
            </w:tcBorders>
          </w:tcPr>
          <w:p>
            <w:pPr>
              <w:rPr>
                <w:sz w:val="2"/>
                <w:szCs w:val="2"/>
              </w:rPr>
            </w:pPr>
          </w:p>
        </w:tc>
        <w:tc>
          <w:tcPr>
            <w:tcW w:w="2484" w:type="dxa"/>
            <w:tcBorders>
              <w:top w:val="single" w:sz="6" w:space="0" w:color="000000"/>
              <w:left w:val="single" w:sz="6" w:space="0" w:color="000000"/>
              <w:bottom w:val="single" w:sz="6" w:space="0" w:color="000000"/>
              <w:right w:val="single" w:sz="6" w:space="0" w:color="000000"/>
            </w:tcBorders>
          </w:tcPr>
          <w:p>
            <w:pPr>
              <w:pStyle w:val="TableParagraph"/>
              <w:spacing w:before="28"/>
              <w:ind w:left="700" w:right="677"/>
              <w:rPr>
                <w:sz w:val="21"/>
              </w:rPr>
            </w:pPr>
            <w:r>
              <w:rPr>
                <w:position w:val="2"/>
                <w:sz w:val="21"/>
              </w:rPr>
              <w:t>NH</w:t>
            </w:r>
            <w:r>
              <w:rPr>
                <w:sz w:val="14"/>
              </w:rPr>
              <w:t>3</w:t>
            </w:r>
            <w:r>
              <w:rPr>
                <w:position w:val="2"/>
                <w:sz w:val="21"/>
              </w:rPr>
              <w:t>-N</w:t>
            </w:r>
          </w:p>
        </w:tc>
        <w:tc>
          <w:tcPr>
            <w:tcW w:w="23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5"/>
              <w:ind w:left="403" w:right="374"/>
              <w:rPr>
                <w:rFonts w:ascii="宋体" w:eastAsia="宋体" w:hint="eastAsia"/>
                <w:sz w:val="21"/>
              </w:rPr>
            </w:pPr>
            <w:r>
              <w:rPr>
                <w:sz w:val="21"/>
              </w:rPr>
              <w:t>0.667</w:t>
            </w:r>
            <w:r>
              <w:rPr>
                <w:rFonts w:ascii="宋体" w:eastAsia="宋体" w:hint="eastAsia"/>
                <w:sz w:val="21"/>
              </w:rPr>
              <w:t>（排环境）</w:t>
            </w:r>
          </w:p>
        </w:tc>
        <w:tc>
          <w:tcPr>
            <w:tcW w:w="2354" w:type="dxa"/>
            <w:gridSpan w:val="2"/>
            <w:tcBorders>
              <w:top w:val="single" w:sz="6" w:space="0" w:color="000000"/>
              <w:left w:val="single" w:sz="6" w:space="0" w:color="000000"/>
              <w:bottom w:val="single" w:sz="6" w:space="0" w:color="000000"/>
            </w:tcBorders>
          </w:tcPr>
          <w:p>
            <w:pPr>
              <w:pStyle w:val="TableParagraph"/>
              <w:spacing w:before="29"/>
              <w:ind w:left="35"/>
              <w:rPr>
                <w:sz w:val="21"/>
              </w:rPr>
            </w:pPr>
            <w:r>
              <w:rPr>
                <w:w w:val="100"/>
                <w:sz w:val="21"/>
              </w:rPr>
              <w:t>5</w:t>
            </w:r>
          </w:p>
        </w:tc>
      </w:tr>
      <w:tr>
        <w:trPr>
          <w:trHeight w:val="298" w:hRule="atLeast"/>
        </w:trPr>
        <w:tc>
          <w:tcPr>
            <w:tcW w:w="427" w:type="dxa"/>
            <w:vMerge/>
            <w:tcBorders>
              <w:top w:val="nil"/>
              <w:right w:val="single" w:sz="6" w:space="0" w:color="000000"/>
            </w:tcBorders>
          </w:tcPr>
          <w:p>
            <w:pPr>
              <w:rPr>
                <w:sz w:val="2"/>
                <w:szCs w:val="2"/>
              </w:rPr>
            </w:pPr>
          </w:p>
        </w:tc>
        <w:tc>
          <w:tcPr>
            <w:tcW w:w="1810" w:type="dxa"/>
            <w:vMerge/>
            <w:tcBorders>
              <w:top w:val="nil"/>
              <w:left w:val="single" w:sz="6" w:space="0" w:color="000000"/>
              <w:right w:val="single" w:sz="6" w:space="0" w:color="000000"/>
            </w:tcBorders>
          </w:tcPr>
          <w:p>
            <w:pPr>
              <w:rPr>
                <w:sz w:val="2"/>
                <w:szCs w:val="2"/>
              </w:rPr>
            </w:pPr>
          </w:p>
        </w:tc>
        <w:tc>
          <w:tcPr>
            <w:tcW w:w="2484" w:type="dxa"/>
            <w:tcBorders>
              <w:top w:val="single" w:sz="6" w:space="0" w:color="000000"/>
              <w:left w:val="single" w:sz="6" w:space="0" w:color="000000"/>
              <w:bottom w:val="single" w:sz="6" w:space="0" w:color="000000"/>
              <w:right w:val="single" w:sz="6" w:space="0" w:color="000000"/>
            </w:tcBorders>
          </w:tcPr>
          <w:p>
            <w:pPr>
              <w:pStyle w:val="TableParagraph"/>
              <w:spacing w:before="31"/>
              <w:ind w:left="701" w:right="675"/>
              <w:rPr>
                <w:sz w:val="21"/>
              </w:rPr>
            </w:pPr>
            <w:r>
              <w:rPr>
                <w:sz w:val="21"/>
              </w:rPr>
              <w:t>TN</w:t>
            </w:r>
          </w:p>
        </w:tc>
        <w:tc>
          <w:tcPr>
            <w:tcW w:w="2355"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7"/>
              <w:ind w:left="403" w:right="374"/>
              <w:rPr>
                <w:rFonts w:ascii="宋体" w:eastAsia="宋体" w:hint="eastAsia"/>
                <w:sz w:val="21"/>
              </w:rPr>
            </w:pPr>
            <w:r>
              <w:rPr>
                <w:sz w:val="21"/>
              </w:rPr>
              <w:t>2.000</w:t>
            </w:r>
            <w:r>
              <w:rPr>
                <w:rFonts w:ascii="宋体" w:eastAsia="宋体" w:hint="eastAsia"/>
                <w:sz w:val="21"/>
              </w:rPr>
              <w:t>（排环境）</w:t>
            </w:r>
          </w:p>
        </w:tc>
        <w:tc>
          <w:tcPr>
            <w:tcW w:w="2354" w:type="dxa"/>
            <w:gridSpan w:val="2"/>
            <w:tcBorders>
              <w:top w:val="single" w:sz="6" w:space="0" w:color="000000"/>
              <w:left w:val="single" w:sz="6" w:space="0" w:color="000000"/>
              <w:bottom w:val="single" w:sz="6" w:space="0" w:color="000000"/>
            </w:tcBorders>
          </w:tcPr>
          <w:p>
            <w:pPr>
              <w:pStyle w:val="TableParagraph"/>
              <w:spacing w:before="31"/>
              <w:ind w:left="1029" w:right="994"/>
              <w:rPr>
                <w:sz w:val="21"/>
              </w:rPr>
            </w:pPr>
            <w:r>
              <w:rPr>
                <w:sz w:val="21"/>
              </w:rPr>
              <w:t>15</w:t>
            </w:r>
          </w:p>
        </w:tc>
      </w:tr>
      <w:tr>
        <w:trPr>
          <w:trHeight w:val="301" w:hRule="atLeast"/>
        </w:trPr>
        <w:tc>
          <w:tcPr>
            <w:tcW w:w="427" w:type="dxa"/>
            <w:vMerge/>
            <w:tcBorders>
              <w:top w:val="nil"/>
              <w:right w:val="single" w:sz="6" w:space="0" w:color="000000"/>
            </w:tcBorders>
          </w:tcPr>
          <w:p>
            <w:pPr>
              <w:rPr>
                <w:sz w:val="2"/>
                <w:szCs w:val="2"/>
              </w:rPr>
            </w:pPr>
          </w:p>
        </w:tc>
        <w:tc>
          <w:tcPr>
            <w:tcW w:w="1810" w:type="dxa"/>
            <w:vMerge/>
            <w:tcBorders>
              <w:top w:val="nil"/>
              <w:left w:val="single" w:sz="6" w:space="0" w:color="000000"/>
              <w:right w:val="single" w:sz="6" w:space="0" w:color="000000"/>
            </w:tcBorders>
          </w:tcPr>
          <w:p>
            <w:pPr>
              <w:rPr>
                <w:sz w:val="2"/>
                <w:szCs w:val="2"/>
              </w:rPr>
            </w:pPr>
          </w:p>
        </w:tc>
        <w:tc>
          <w:tcPr>
            <w:tcW w:w="2484" w:type="dxa"/>
            <w:tcBorders>
              <w:top w:val="single" w:sz="6" w:space="0" w:color="000000"/>
              <w:left w:val="single" w:sz="6" w:space="0" w:color="000000"/>
              <w:right w:val="single" w:sz="6" w:space="0" w:color="000000"/>
            </w:tcBorders>
          </w:tcPr>
          <w:p>
            <w:pPr>
              <w:pStyle w:val="TableParagraph"/>
              <w:spacing w:before="29"/>
              <w:ind w:left="701" w:right="676"/>
              <w:rPr>
                <w:sz w:val="21"/>
              </w:rPr>
            </w:pPr>
            <w:r>
              <w:rPr>
                <w:sz w:val="21"/>
              </w:rPr>
              <w:t>TP</w:t>
            </w:r>
          </w:p>
        </w:tc>
        <w:tc>
          <w:tcPr>
            <w:tcW w:w="2355" w:type="dxa"/>
            <w:tcBorders>
              <w:top w:val="single" w:sz="6" w:space="0" w:color="000000"/>
              <w:left w:val="single" w:sz="6" w:space="0" w:color="000000"/>
              <w:right w:val="single" w:sz="6" w:space="0" w:color="000000"/>
            </w:tcBorders>
          </w:tcPr>
          <w:p>
            <w:pPr>
              <w:pStyle w:val="TableParagraph"/>
              <w:spacing w:line="266" w:lineRule="exact" w:before="15"/>
              <w:ind w:left="403" w:right="374"/>
              <w:rPr>
                <w:rFonts w:ascii="宋体" w:eastAsia="宋体" w:hint="eastAsia"/>
                <w:sz w:val="21"/>
              </w:rPr>
            </w:pPr>
            <w:r>
              <w:rPr>
                <w:sz w:val="21"/>
              </w:rPr>
              <w:t>0.067</w:t>
            </w:r>
            <w:r>
              <w:rPr>
                <w:rFonts w:ascii="宋体" w:eastAsia="宋体" w:hint="eastAsia"/>
                <w:sz w:val="21"/>
              </w:rPr>
              <w:t>（排环境）</w:t>
            </w:r>
          </w:p>
        </w:tc>
        <w:tc>
          <w:tcPr>
            <w:tcW w:w="2354" w:type="dxa"/>
            <w:gridSpan w:val="2"/>
            <w:tcBorders>
              <w:top w:val="single" w:sz="6" w:space="0" w:color="000000"/>
              <w:left w:val="single" w:sz="6" w:space="0" w:color="000000"/>
            </w:tcBorders>
          </w:tcPr>
          <w:p>
            <w:pPr>
              <w:pStyle w:val="TableParagraph"/>
              <w:spacing w:before="29"/>
              <w:ind w:left="1034" w:right="994"/>
              <w:rPr>
                <w:sz w:val="21"/>
              </w:rPr>
            </w:pPr>
            <w:r>
              <w:rPr>
                <w:sz w:val="21"/>
              </w:rPr>
              <w:t>0.5</w:t>
            </w:r>
          </w:p>
        </w:tc>
      </w:tr>
    </w:tbl>
    <w:p>
      <w:pPr>
        <w:spacing w:after="0"/>
        <w:rPr>
          <w:sz w:val="21"/>
        </w:rPr>
        <w:sectPr>
          <w:footerReference w:type="default" r:id="rId165"/>
          <w:pgSz w:w="11910" w:h="16840"/>
          <w:pgMar w:footer="1004" w:header="87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1810"/>
        <w:gridCol w:w="1274"/>
        <w:gridCol w:w="1558"/>
        <w:gridCol w:w="1282"/>
        <w:gridCol w:w="137"/>
        <w:gridCol w:w="1138"/>
        <w:gridCol w:w="1805"/>
      </w:tblGrid>
      <w:tr>
        <w:trPr>
          <w:trHeight w:val="311" w:hRule="atLeast"/>
        </w:trPr>
        <w:tc>
          <w:tcPr>
            <w:tcW w:w="2237" w:type="dxa"/>
            <w:gridSpan w:val="2"/>
            <w:tcBorders>
              <w:bottom w:val="single" w:sz="6" w:space="0" w:color="000000"/>
              <w:right w:val="single" w:sz="6" w:space="0" w:color="000000"/>
            </w:tcBorders>
          </w:tcPr>
          <w:p>
            <w:pPr>
              <w:pStyle w:val="TableParagraph"/>
              <w:spacing w:line="267" w:lineRule="exact" w:before="25"/>
              <w:ind w:left="695"/>
              <w:jc w:val="left"/>
              <w:rPr>
                <w:rFonts w:ascii="宋体" w:eastAsia="宋体" w:hint="eastAsia"/>
                <w:b/>
                <w:sz w:val="21"/>
              </w:rPr>
            </w:pPr>
            <w:r>
              <w:rPr>
                <w:rFonts w:ascii="宋体" w:eastAsia="宋体" w:hint="eastAsia"/>
                <w:b/>
                <w:sz w:val="21"/>
              </w:rPr>
              <w:t>工作内容</w:t>
            </w:r>
          </w:p>
        </w:tc>
        <w:tc>
          <w:tcPr>
            <w:tcW w:w="7194" w:type="dxa"/>
            <w:gridSpan w:val="6"/>
            <w:tcBorders>
              <w:left w:val="single" w:sz="6" w:space="0" w:color="000000"/>
              <w:bottom w:val="single" w:sz="6" w:space="0" w:color="000000"/>
            </w:tcBorders>
          </w:tcPr>
          <w:p>
            <w:pPr>
              <w:pStyle w:val="TableParagraph"/>
              <w:spacing w:line="267" w:lineRule="exact" w:before="25"/>
              <w:ind w:left="2375" w:right="2341"/>
              <w:rPr>
                <w:rFonts w:ascii="宋体" w:eastAsia="宋体" w:hint="eastAsia"/>
                <w:b/>
                <w:sz w:val="21"/>
              </w:rPr>
            </w:pPr>
            <w:r>
              <w:rPr>
                <w:rFonts w:ascii="宋体" w:eastAsia="宋体" w:hint="eastAsia"/>
                <w:b/>
                <w:sz w:val="21"/>
              </w:rPr>
              <w:t>自查项目</w:t>
            </w:r>
          </w:p>
        </w:tc>
      </w:tr>
      <w:tr>
        <w:trPr>
          <w:trHeight w:val="313"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sz w:val="22"/>
              </w:rPr>
            </w:pPr>
          </w:p>
        </w:tc>
        <w:tc>
          <w:tcPr>
            <w:tcW w:w="18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172"/>
              <w:jc w:val="left"/>
              <w:rPr>
                <w:rFonts w:ascii="宋体" w:eastAsia="宋体" w:hint="eastAsia"/>
                <w:sz w:val="21"/>
              </w:rPr>
            </w:pPr>
            <w:r>
              <w:rPr>
                <w:rFonts w:ascii="宋体" w:eastAsia="宋体" w:hint="eastAsia"/>
                <w:sz w:val="21"/>
              </w:rPr>
              <w:t>替代源排放情况</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25"/>
              <w:ind w:left="97" w:right="72"/>
              <w:rPr>
                <w:rFonts w:ascii="宋体" w:eastAsia="宋体" w:hint="eastAsia"/>
                <w:sz w:val="21"/>
              </w:rPr>
            </w:pPr>
            <w:r>
              <w:rPr>
                <w:rFonts w:ascii="宋体" w:eastAsia="宋体" w:hint="eastAsia"/>
                <w:sz w:val="21"/>
              </w:rPr>
              <w:t>污染源名称</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25"/>
              <w:ind w:left="137" w:right="105"/>
              <w:rPr>
                <w:rFonts w:ascii="宋体" w:eastAsia="宋体" w:hint="eastAsia"/>
                <w:sz w:val="21"/>
              </w:rPr>
            </w:pPr>
            <w:r>
              <w:rPr>
                <w:rFonts w:ascii="宋体" w:eastAsia="宋体" w:hint="eastAsia"/>
                <w:sz w:val="21"/>
              </w:rPr>
              <w:t>排污许可编号</w:t>
            </w:r>
          </w:p>
        </w:tc>
        <w:tc>
          <w:tcPr>
            <w:tcW w:w="1282" w:type="dxa"/>
            <w:tcBorders>
              <w:top w:val="single" w:sz="6" w:space="0" w:color="000000"/>
              <w:left w:val="single" w:sz="6" w:space="0" w:color="000000"/>
              <w:bottom w:val="single" w:sz="6" w:space="0" w:color="000000"/>
              <w:right w:val="single" w:sz="6" w:space="0" w:color="000000"/>
            </w:tcBorders>
          </w:tcPr>
          <w:p>
            <w:pPr>
              <w:pStyle w:val="TableParagraph"/>
              <w:spacing w:before="25"/>
              <w:ind w:left="104" w:right="72"/>
              <w:rPr>
                <w:rFonts w:ascii="宋体" w:eastAsia="宋体" w:hint="eastAsia"/>
                <w:sz w:val="21"/>
              </w:rPr>
            </w:pPr>
            <w:r>
              <w:rPr>
                <w:rFonts w:ascii="宋体" w:eastAsia="宋体" w:hint="eastAsia"/>
                <w:sz w:val="21"/>
              </w:rPr>
              <w:t>污染物名称</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115" w:right="-29"/>
              <w:jc w:val="left"/>
              <w:rPr>
                <w:rFonts w:ascii="宋体" w:eastAsia="宋体" w:hint="eastAsia"/>
                <w:sz w:val="21"/>
              </w:rPr>
            </w:pPr>
            <w:r>
              <w:rPr>
                <w:rFonts w:ascii="宋体" w:eastAsia="宋体" w:hint="eastAsia"/>
                <w:spacing w:val="-34"/>
                <w:sz w:val="21"/>
              </w:rPr>
              <w:t>排放量</w:t>
            </w:r>
            <w:r>
              <w:rPr>
                <w:rFonts w:ascii="宋体" w:eastAsia="宋体" w:hint="eastAsia"/>
                <w:sz w:val="21"/>
              </w:rPr>
              <w:t>（</w:t>
            </w:r>
            <w:r>
              <w:rPr>
                <w:sz w:val="21"/>
              </w:rPr>
              <w:t>t/a</w:t>
            </w:r>
            <w:r>
              <w:rPr>
                <w:rFonts w:ascii="宋体" w:eastAsia="宋体" w:hint="eastAsia"/>
                <w:sz w:val="21"/>
              </w:rPr>
              <w:t>）</w:t>
            </w:r>
          </w:p>
        </w:tc>
        <w:tc>
          <w:tcPr>
            <w:tcW w:w="1805" w:type="dxa"/>
            <w:tcBorders>
              <w:top w:val="single" w:sz="6" w:space="0" w:color="000000"/>
              <w:left w:val="single" w:sz="6" w:space="0" w:color="000000"/>
              <w:bottom w:val="single" w:sz="6" w:space="0" w:color="000000"/>
            </w:tcBorders>
          </w:tcPr>
          <w:p>
            <w:pPr>
              <w:pStyle w:val="TableParagraph"/>
              <w:spacing w:before="25"/>
              <w:ind w:left="115" w:right="-44"/>
              <w:rPr>
                <w:rFonts w:ascii="宋体" w:eastAsia="宋体" w:hint="eastAsia"/>
                <w:sz w:val="21"/>
              </w:rPr>
            </w:pPr>
            <w:r>
              <w:rPr>
                <w:rFonts w:ascii="宋体" w:eastAsia="宋体" w:hint="eastAsia"/>
                <w:spacing w:val="-7"/>
                <w:sz w:val="21"/>
              </w:rPr>
              <w:t>排放浓度</w:t>
            </w:r>
            <w:r>
              <w:rPr>
                <w:rFonts w:ascii="宋体" w:eastAsia="宋体" w:hint="eastAsia"/>
                <w:sz w:val="21"/>
              </w:rPr>
              <w:t>（</w:t>
            </w:r>
            <w:r>
              <w:rPr>
                <w:sz w:val="21"/>
              </w:rPr>
              <w:t>mg/L</w:t>
            </w:r>
            <w:r>
              <w:rPr>
                <w:rFonts w:ascii="宋体" w:eastAsia="宋体" w:hint="eastAsia"/>
                <w:sz w:val="21"/>
              </w:rPr>
              <w:t>）</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22"/>
              <w:ind w:left="97" w:right="70"/>
              <w:rPr>
                <w:rFonts w:ascii="宋体" w:eastAsia="宋体" w:hint="eastAsia"/>
                <w:sz w:val="21"/>
              </w:rPr>
            </w:pPr>
            <w:r>
              <w:rPr>
                <w:rFonts w:ascii="宋体" w:eastAsia="宋体" w:hint="eastAsia"/>
                <w:sz w:val="21"/>
              </w:rPr>
              <w:t>（）</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22"/>
              <w:ind w:left="137" w:right="105"/>
              <w:rPr>
                <w:rFonts w:ascii="宋体" w:eastAsia="宋体" w:hint="eastAsia"/>
                <w:sz w:val="21"/>
              </w:rPr>
            </w:pPr>
            <w:r>
              <w:rPr>
                <w:rFonts w:ascii="宋体" w:eastAsia="宋体" w:hint="eastAsia"/>
                <w:sz w:val="21"/>
              </w:rPr>
              <w:t>（）</w:t>
            </w:r>
          </w:p>
        </w:tc>
        <w:tc>
          <w:tcPr>
            <w:tcW w:w="1282" w:type="dxa"/>
            <w:tcBorders>
              <w:top w:val="single" w:sz="6" w:space="0" w:color="000000"/>
              <w:left w:val="single" w:sz="6" w:space="0" w:color="000000"/>
              <w:bottom w:val="single" w:sz="6" w:space="0" w:color="000000"/>
              <w:right w:val="single" w:sz="6" w:space="0" w:color="000000"/>
            </w:tcBorders>
          </w:tcPr>
          <w:p>
            <w:pPr>
              <w:pStyle w:val="TableParagraph"/>
              <w:spacing w:before="22"/>
              <w:ind w:left="101" w:right="72"/>
              <w:rPr>
                <w:rFonts w:ascii="宋体" w:eastAsia="宋体" w:hint="eastAsia"/>
                <w:sz w:val="21"/>
              </w:rPr>
            </w:pPr>
            <w:r>
              <w:rPr>
                <w:rFonts w:ascii="宋体" w:eastAsia="宋体" w:hint="eastAsia"/>
                <w:sz w:val="21"/>
              </w:rPr>
              <w:t>（）</w:t>
            </w:r>
          </w:p>
        </w:tc>
        <w:tc>
          <w:tcPr>
            <w:tcW w:w="1275"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435"/>
              <w:jc w:val="left"/>
              <w:rPr>
                <w:rFonts w:ascii="宋体" w:eastAsia="宋体" w:hint="eastAsia"/>
                <w:sz w:val="21"/>
              </w:rPr>
            </w:pPr>
            <w:r>
              <w:rPr>
                <w:rFonts w:ascii="宋体" w:eastAsia="宋体" w:hint="eastAsia"/>
                <w:sz w:val="21"/>
              </w:rPr>
              <w:t>（）</w:t>
            </w:r>
          </w:p>
        </w:tc>
        <w:tc>
          <w:tcPr>
            <w:tcW w:w="1805" w:type="dxa"/>
            <w:tcBorders>
              <w:top w:val="single" w:sz="6" w:space="0" w:color="000000"/>
              <w:left w:val="single" w:sz="6" w:space="0" w:color="000000"/>
              <w:bottom w:val="single" w:sz="6" w:space="0" w:color="000000"/>
            </w:tcBorders>
          </w:tcPr>
          <w:p>
            <w:pPr>
              <w:pStyle w:val="TableParagraph"/>
              <w:spacing w:before="22"/>
              <w:ind w:left="115" w:right="79"/>
              <w:rPr>
                <w:rFonts w:ascii="宋体" w:eastAsia="宋体" w:hint="eastAsia"/>
                <w:sz w:val="21"/>
              </w:rPr>
            </w:pPr>
            <w:r>
              <w:rPr>
                <w:rFonts w:ascii="宋体" w:eastAsia="宋体" w:hint="eastAsia"/>
                <w:sz w:val="21"/>
              </w:rPr>
              <w:t>（）</w:t>
            </w:r>
          </w:p>
        </w:tc>
      </w:tr>
      <w:tr>
        <w:trPr>
          <w:trHeight w:val="623"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178"/>
              <w:ind w:left="154" w:right="130"/>
              <w:rPr>
                <w:rFonts w:ascii="宋体" w:eastAsia="宋体" w:hint="eastAsia"/>
                <w:sz w:val="21"/>
              </w:rPr>
            </w:pPr>
            <w:r>
              <w:rPr>
                <w:rFonts w:ascii="宋体" w:eastAsia="宋体" w:hint="eastAsia"/>
                <w:sz w:val="21"/>
              </w:rPr>
              <w:t>生态流量确定</w:t>
            </w:r>
          </w:p>
        </w:tc>
        <w:tc>
          <w:tcPr>
            <w:tcW w:w="7194" w:type="dxa"/>
            <w:gridSpan w:val="6"/>
            <w:tcBorders>
              <w:top w:val="single" w:sz="6" w:space="0" w:color="000000"/>
              <w:left w:val="single" w:sz="6" w:space="0" w:color="000000"/>
              <w:bottom w:val="single" w:sz="6" w:space="0" w:color="000000"/>
            </w:tcBorders>
          </w:tcPr>
          <w:p>
            <w:pPr>
              <w:pStyle w:val="TableParagraph"/>
              <w:spacing w:before="22"/>
              <w:ind w:left="112"/>
              <w:jc w:val="left"/>
              <w:rPr>
                <w:sz w:val="21"/>
              </w:rPr>
            </w:pPr>
            <w:r>
              <w:rPr>
                <w:rFonts w:ascii="宋体" w:eastAsia="宋体" w:hint="eastAsia"/>
                <w:sz w:val="21"/>
              </w:rPr>
              <w:t>生态流量：一般水期（）</w:t>
            </w:r>
            <w:r>
              <w:rPr>
                <w:sz w:val="21"/>
              </w:rPr>
              <w:t>m</w:t>
            </w:r>
            <w:r>
              <w:rPr>
                <w:position w:val="7"/>
                <w:sz w:val="14"/>
              </w:rPr>
              <w:t>3</w:t>
            </w:r>
            <w:r>
              <w:rPr>
                <w:sz w:val="21"/>
              </w:rPr>
              <w:t>/s</w:t>
            </w:r>
            <w:r>
              <w:rPr>
                <w:rFonts w:ascii="宋体" w:eastAsia="宋体" w:hint="eastAsia"/>
                <w:sz w:val="21"/>
              </w:rPr>
              <w:t>；鱼类繁殖期（）</w:t>
            </w:r>
            <w:r>
              <w:rPr>
                <w:sz w:val="21"/>
              </w:rPr>
              <w:t>m</w:t>
            </w:r>
            <w:r>
              <w:rPr>
                <w:position w:val="7"/>
                <w:sz w:val="14"/>
              </w:rPr>
              <w:t>3</w:t>
            </w:r>
            <w:r>
              <w:rPr>
                <w:sz w:val="21"/>
              </w:rPr>
              <w:t>/s</w:t>
            </w:r>
            <w:r>
              <w:rPr>
                <w:rFonts w:ascii="宋体" w:eastAsia="宋体" w:hint="eastAsia"/>
                <w:sz w:val="21"/>
              </w:rPr>
              <w:t>；其他（）</w:t>
            </w:r>
            <w:r>
              <w:rPr>
                <w:sz w:val="21"/>
              </w:rPr>
              <w:t>m</w:t>
            </w:r>
            <w:r>
              <w:rPr>
                <w:position w:val="7"/>
                <w:sz w:val="14"/>
              </w:rPr>
              <w:t>3</w:t>
            </w:r>
            <w:r>
              <w:rPr>
                <w:sz w:val="21"/>
              </w:rPr>
              <w:t>/s</w:t>
            </w:r>
          </w:p>
          <w:p>
            <w:pPr>
              <w:pStyle w:val="TableParagraph"/>
              <w:spacing w:before="43"/>
              <w:ind w:left="112"/>
              <w:jc w:val="left"/>
              <w:rPr>
                <w:sz w:val="21"/>
              </w:rPr>
            </w:pPr>
            <w:r>
              <w:rPr>
                <w:rFonts w:ascii="宋体" w:eastAsia="宋体" w:hint="eastAsia"/>
                <w:sz w:val="21"/>
              </w:rPr>
              <w:t>生态水位：一般水期（）</w:t>
            </w:r>
            <w:r>
              <w:rPr>
                <w:sz w:val="21"/>
              </w:rPr>
              <w:t>m</w:t>
            </w:r>
            <w:r>
              <w:rPr>
                <w:rFonts w:ascii="宋体" w:eastAsia="宋体" w:hint="eastAsia"/>
                <w:sz w:val="21"/>
              </w:rPr>
              <w:t>；鱼类繁殖期（）</w:t>
            </w:r>
            <w:r>
              <w:rPr>
                <w:sz w:val="21"/>
              </w:rPr>
              <w:t>m</w:t>
            </w:r>
            <w:r>
              <w:rPr>
                <w:rFonts w:ascii="宋体" w:eastAsia="宋体" w:hint="eastAsia"/>
                <w:sz w:val="21"/>
              </w:rPr>
              <w:t>；其他（）</w:t>
            </w:r>
            <w:r>
              <w:rPr>
                <w:sz w:val="21"/>
              </w:rPr>
              <w:t>m</w:t>
            </w:r>
          </w:p>
        </w:tc>
      </w:tr>
      <w:tr>
        <w:trPr>
          <w:trHeight w:val="623"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78" w:lineRule="auto" w:before="172"/>
              <w:ind w:left="107" w:right="83"/>
              <w:jc w:val="both"/>
              <w:rPr>
                <w:rFonts w:ascii="宋体" w:eastAsia="宋体" w:hint="eastAsia"/>
                <w:sz w:val="21"/>
              </w:rPr>
            </w:pPr>
            <w:r>
              <w:rPr>
                <w:rFonts w:ascii="宋体" w:eastAsia="宋体" w:hint="eastAsia"/>
                <w:sz w:val="21"/>
              </w:rPr>
              <w:t>防治措施</w:t>
            </w: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178"/>
              <w:ind w:left="154" w:right="128"/>
              <w:rPr>
                <w:rFonts w:ascii="宋体" w:eastAsia="宋体" w:hint="eastAsia"/>
                <w:sz w:val="21"/>
              </w:rPr>
            </w:pPr>
            <w:r>
              <w:rPr>
                <w:rFonts w:ascii="宋体" w:eastAsia="宋体" w:hint="eastAsia"/>
                <w:sz w:val="21"/>
              </w:rPr>
              <w:t>环保措施</w:t>
            </w:r>
          </w:p>
        </w:tc>
        <w:tc>
          <w:tcPr>
            <w:tcW w:w="7194" w:type="dxa"/>
            <w:gridSpan w:val="6"/>
            <w:tcBorders>
              <w:top w:val="single" w:sz="6" w:space="0" w:color="000000"/>
              <w:left w:val="single" w:sz="6" w:space="0" w:color="000000"/>
              <w:bottom w:val="single" w:sz="6" w:space="0" w:color="000000"/>
            </w:tcBorders>
          </w:tcPr>
          <w:p>
            <w:pPr>
              <w:pStyle w:val="TableParagraph"/>
              <w:spacing w:before="22"/>
              <w:ind w:left="112"/>
              <w:jc w:val="left"/>
              <w:rPr>
                <w:rFonts w:ascii="宋体" w:hAnsi="宋体" w:eastAsia="宋体" w:hint="eastAsia"/>
                <w:sz w:val="21"/>
              </w:rPr>
            </w:pPr>
            <w:r>
              <w:rPr>
                <w:rFonts w:ascii="宋体" w:hAnsi="宋体" w:eastAsia="宋体" w:hint="eastAsia"/>
                <w:sz w:val="21"/>
              </w:rPr>
              <w:t>污水处理设施</w:t>
            </w:r>
            <w:r>
              <w:rPr>
                <w:rFonts w:ascii="Wingdings" w:hAnsi="Wingdings" w:eastAsia="Wingdings"/>
                <w:sz w:val="21"/>
              </w:rPr>
              <w:t></w:t>
            </w:r>
            <w:r>
              <w:rPr>
                <w:rFonts w:ascii="宋体" w:hAnsi="宋体" w:eastAsia="宋体" w:hint="eastAsia"/>
                <w:sz w:val="21"/>
              </w:rPr>
              <w:t>；水文减缓措施□；生态流量保障设置□；区域削减□；依</w:t>
            </w:r>
          </w:p>
          <w:p>
            <w:pPr>
              <w:pStyle w:val="TableParagraph"/>
              <w:spacing w:before="43"/>
              <w:ind w:left="112"/>
              <w:jc w:val="left"/>
              <w:rPr>
                <w:rFonts w:ascii="宋体" w:hAnsi="宋体" w:eastAsia="宋体" w:hint="eastAsia"/>
                <w:sz w:val="21"/>
              </w:rPr>
            </w:pPr>
            <w:r>
              <w:rPr>
                <w:rFonts w:ascii="宋体" w:hAnsi="宋体" w:eastAsia="宋体" w:hint="eastAsia"/>
                <w:sz w:val="21"/>
              </w:rPr>
              <w:t>托其他工程措施□；其他□</w:t>
            </w:r>
          </w:p>
        </w:tc>
      </w:tr>
      <w:tr>
        <w:trPr>
          <w:trHeight w:val="313"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58"/>
              <w:ind w:left="489"/>
              <w:jc w:val="left"/>
              <w:rPr>
                <w:rFonts w:ascii="宋体" w:eastAsia="宋体" w:hint="eastAsia"/>
                <w:sz w:val="21"/>
              </w:rPr>
            </w:pPr>
            <w:r>
              <w:rPr>
                <w:rFonts w:ascii="宋体" w:eastAsia="宋体" w:hint="eastAsia"/>
                <w:sz w:val="21"/>
              </w:rPr>
              <w:t>监测计划</w:t>
            </w: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2"/>
              </w:rPr>
            </w:pPr>
          </w:p>
        </w:tc>
        <w:tc>
          <w:tcPr>
            <w:tcW w:w="297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1057" w:right="1025"/>
              <w:rPr>
                <w:rFonts w:ascii="宋体" w:eastAsia="宋体" w:hint="eastAsia"/>
                <w:sz w:val="21"/>
              </w:rPr>
            </w:pPr>
            <w:r>
              <w:rPr>
                <w:rFonts w:ascii="宋体" w:eastAsia="宋体" w:hint="eastAsia"/>
                <w:sz w:val="21"/>
              </w:rPr>
              <w:t>环境质量</w:t>
            </w:r>
          </w:p>
        </w:tc>
        <w:tc>
          <w:tcPr>
            <w:tcW w:w="2943" w:type="dxa"/>
            <w:gridSpan w:val="2"/>
            <w:tcBorders>
              <w:top w:val="single" w:sz="6" w:space="0" w:color="000000"/>
              <w:left w:val="single" w:sz="6" w:space="0" w:color="000000"/>
              <w:bottom w:val="single" w:sz="6" w:space="0" w:color="000000"/>
            </w:tcBorders>
          </w:tcPr>
          <w:p>
            <w:pPr>
              <w:pStyle w:val="TableParagraph"/>
              <w:spacing w:before="25"/>
              <w:ind w:left="59" w:right="22"/>
              <w:rPr>
                <w:rFonts w:ascii="宋体" w:eastAsia="宋体" w:hint="eastAsia"/>
                <w:sz w:val="21"/>
              </w:rPr>
            </w:pPr>
            <w:r>
              <w:rPr>
                <w:rFonts w:ascii="宋体" w:eastAsia="宋体" w:hint="eastAsia"/>
                <w:sz w:val="21"/>
              </w:rPr>
              <w:t>污染源</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22"/>
              <w:ind w:left="97" w:right="72"/>
              <w:rPr>
                <w:rFonts w:ascii="宋体" w:eastAsia="宋体" w:hint="eastAsia"/>
                <w:sz w:val="21"/>
              </w:rPr>
            </w:pPr>
            <w:r>
              <w:rPr>
                <w:rFonts w:ascii="宋体" w:eastAsia="宋体" w:hint="eastAsia"/>
                <w:sz w:val="21"/>
              </w:rPr>
              <w:t>监测方式</w:t>
            </w:r>
          </w:p>
        </w:tc>
        <w:tc>
          <w:tcPr>
            <w:tcW w:w="297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2"/>
              <w:ind w:left="245"/>
              <w:jc w:val="left"/>
              <w:rPr>
                <w:rFonts w:ascii="宋体" w:hAnsi="宋体" w:eastAsia="宋体" w:hint="eastAsia"/>
                <w:sz w:val="21"/>
              </w:rPr>
            </w:pPr>
            <w:r>
              <w:rPr>
                <w:rFonts w:ascii="宋体" w:hAnsi="宋体" w:eastAsia="宋体" w:hint="eastAsia"/>
                <w:sz w:val="21"/>
              </w:rPr>
              <w:t>手动</w:t>
            </w:r>
            <w:r>
              <w:rPr>
                <w:rFonts w:ascii="Wingdings" w:hAnsi="Wingdings" w:eastAsia="Wingdings"/>
                <w:sz w:val="21"/>
              </w:rPr>
              <w:t></w:t>
            </w:r>
            <w:r>
              <w:rPr>
                <w:rFonts w:ascii="宋体" w:hAnsi="宋体" w:eastAsia="宋体" w:hint="eastAsia"/>
                <w:sz w:val="21"/>
              </w:rPr>
              <w:t>；自动□；无监测□ </w:t>
            </w:r>
          </w:p>
        </w:tc>
        <w:tc>
          <w:tcPr>
            <w:tcW w:w="2943" w:type="dxa"/>
            <w:gridSpan w:val="2"/>
            <w:tcBorders>
              <w:top w:val="single" w:sz="6" w:space="0" w:color="000000"/>
              <w:left w:val="single" w:sz="6" w:space="0" w:color="000000"/>
              <w:bottom w:val="single" w:sz="6" w:space="0" w:color="000000"/>
            </w:tcBorders>
          </w:tcPr>
          <w:p>
            <w:pPr>
              <w:pStyle w:val="TableParagraph"/>
              <w:spacing w:before="22"/>
              <w:ind w:left="228"/>
              <w:jc w:val="left"/>
              <w:rPr>
                <w:rFonts w:ascii="宋体" w:hAnsi="宋体" w:eastAsia="宋体" w:hint="eastAsia"/>
                <w:sz w:val="21"/>
              </w:rPr>
            </w:pPr>
            <w:r>
              <w:rPr>
                <w:rFonts w:ascii="宋体" w:hAnsi="宋体" w:eastAsia="宋体" w:hint="eastAsia"/>
                <w:sz w:val="21"/>
              </w:rPr>
              <w:t>手动□；自动</w:t>
            </w:r>
            <w:r>
              <w:rPr>
                <w:rFonts w:ascii="Wingdings" w:hAnsi="Wingdings" w:eastAsia="Wingdings"/>
                <w:sz w:val="21"/>
              </w:rPr>
              <w:t></w:t>
            </w:r>
            <w:r>
              <w:rPr>
                <w:rFonts w:ascii="宋体" w:hAnsi="宋体" w:eastAsia="宋体" w:hint="eastAsia"/>
                <w:sz w:val="21"/>
              </w:rPr>
              <w:t>；无监测□</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22"/>
              <w:ind w:left="97" w:right="72"/>
              <w:rPr>
                <w:rFonts w:ascii="宋体" w:eastAsia="宋体" w:hint="eastAsia"/>
                <w:sz w:val="21"/>
              </w:rPr>
            </w:pPr>
            <w:r>
              <w:rPr>
                <w:rFonts w:ascii="宋体" w:eastAsia="宋体" w:hint="eastAsia"/>
                <w:sz w:val="21"/>
              </w:rPr>
              <w:t>监测点位</w:t>
            </w:r>
          </w:p>
        </w:tc>
        <w:tc>
          <w:tcPr>
            <w:tcW w:w="2977"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2"/>
              <w:ind w:left="1057" w:right="1025"/>
              <w:rPr>
                <w:rFonts w:ascii="宋体" w:eastAsia="宋体" w:hint="eastAsia"/>
                <w:sz w:val="21"/>
              </w:rPr>
            </w:pPr>
            <w:r>
              <w:rPr>
                <w:rFonts w:ascii="宋体" w:eastAsia="宋体" w:hint="eastAsia"/>
                <w:sz w:val="21"/>
              </w:rPr>
              <w:t>（</w:t>
            </w:r>
            <w:r>
              <w:rPr>
                <w:sz w:val="21"/>
              </w:rPr>
              <w:t>1 </w:t>
            </w:r>
            <w:r>
              <w:rPr>
                <w:rFonts w:ascii="宋体" w:eastAsia="宋体" w:hint="eastAsia"/>
                <w:sz w:val="21"/>
              </w:rPr>
              <w:t>个）</w:t>
            </w:r>
          </w:p>
        </w:tc>
        <w:tc>
          <w:tcPr>
            <w:tcW w:w="2943" w:type="dxa"/>
            <w:gridSpan w:val="2"/>
            <w:tcBorders>
              <w:top w:val="single" w:sz="6" w:space="0" w:color="000000"/>
              <w:left w:val="single" w:sz="6" w:space="0" w:color="000000"/>
              <w:bottom w:val="single" w:sz="6" w:space="0" w:color="000000"/>
            </w:tcBorders>
          </w:tcPr>
          <w:p>
            <w:pPr>
              <w:pStyle w:val="TableParagraph"/>
              <w:spacing w:before="22"/>
              <w:ind w:left="934"/>
              <w:jc w:val="left"/>
              <w:rPr>
                <w:rFonts w:ascii="宋体" w:eastAsia="宋体" w:hint="eastAsia"/>
                <w:sz w:val="21"/>
              </w:rPr>
            </w:pPr>
            <w:r>
              <w:rPr>
                <w:rFonts w:ascii="宋体" w:eastAsia="宋体" w:hint="eastAsia"/>
                <w:sz w:val="21"/>
              </w:rPr>
              <w:t>（</w:t>
            </w:r>
            <w:r>
              <w:rPr>
                <w:sz w:val="21"/>
              </w:rPr>
              <w:t>DW001</w:t>
            </w:r>
            <w:r>
              <w:rPr>
                <w:rFonts w:ascii="宋体" w:eastAsia="宋体" w:hint="eastAsia"/>
                <w:sz w:val="21"/>
              </w:rPr>
              <w:t>）</w:t>
            </w:r>
          </w:p>
        </w:tc>
      </w:tr>
      <w:tr>
        <w:trPr>
          <w:trHeight w:val="624" w:hRule="atLeast"/>
        </w:trPr>
        <w:tc>
          <w:tcPr>
            <w:tcW w:w="427" w:type="dxa"/>
            <w:vMerge/>
            <w:tcBorders>
              <w:top w:val="nil"/>
              <w:bottom w:val="single" w:sz="6" w:space="0" w:color="000000"/>
              <w:right w:val="single" w:sz="6" w:space="0" w:color="000000"/>
            </w:tcBorders>
          </w:tcPr>
          <w:p>
            <w:pPr>
              <w:rPr>
                <w:sz w:val="2"/>
                <w:szCs w:val="2"/>
              </w:rPr>
            </w:pPr>
          </w:p>
        </w:tc>
        <w:tc>
          <w:tcPr>
            <w:tcW w:w="1810" w:type="dxa"/>
            <w:vMerge/>
            <w:tcBorders>
              <w:top w:val="nil"/>
              <w:left w:val="single" w:sz="6" w:space="0" w:color="000000"/>
              <w:bottom w:val="single" w:sz="6" w:space="0" w:color="000000"/>
              <w:right w:val="single" w:sz="6" w:space="0" w:color="000000"/>
            </w:tcBorders>
          </w:tcPr>
          <w:p>
            <w:pPr>
              <w:rPr>
                <w:sz w:val="2"/>
                <w:szCs w:val="2"/>
              </w:rPr>
            </w:pPr>
          </w:p>
        </w:tc>
        <w:tc>
          <w:tcPr>
            <w:tcW w:w="1274" w:type="dxa"/>
            <w:tcBorders>
              <w:top w:val="single" w:sz="6" w:space="0" w:color="000000"/>
              <w:left w:val="single" w:sz="6" w:space="0" w:color="000000"/>
              <w:bottom w:val="single" w:sz="6" w:space="0" w:color="000000"/>
              <w:right w:val="single" w:sz="6" w:space="0" w:color="000000"/>
            </w:tcBorders>
          </w:tcPr>
          <w:p>
            <w:pPr>
              <w:pStyle w:val="TableParagraph"/>
              <w:spacing w:before="178"/>
              <w:ind w:left="97" w:right="72"/>
              <w:rPr>
                <w:rFonts w:ascii="宋体" w:eastAsia="宋体" w:hint="eastAsia"/>
                <w:sz w:val="21"/>
              </w:rPr>
            </w:pPr>
            <w:r>
              <w:rPr>
                <w:rFonts w:ascii="宋体" w:eastAsia="宋体" w:hint="eastAsia"/>
                <w:sz w:val="21"/>
              </w:rPr>
              <w:t>监测因子</w:t>
            </w:r>
          </w:p>
        </w:tc>
        <w:tc>
          <w:tcPr>
            <w:tcW w:w="2977" w:type="dxa"/>
            <w:gridSpan w:val="3"/>
            <w:tcBorders>
              <w:top w:val="single" w:sz="6" w:space="0" w:color="000000"/>
              <w:left w:val="single" w:sz="6" w:space="0" w:color="000000"/>
              <w:bottom w:val="single" w:sz="6" w:space="0" w:color="000000"/>
              <w:right w:val="single" w:sz="6" w:space="0" w:color="000000"/>
            </w:tcBorders>
          </w:tcPr>
          <w:p>
            <w:pPr>
              <w:pStyle w:val="TableParagraph"/>
              <w:spacing w:line="294" w:lineRule="exact" w:before="16"/>
              <w:ind w:left="655" w:right="-29" w:hanging="540"/>
              <w:jc w:val="left"/>
              <w:rPr>
                <w:rFonts w:ascii="宋体" w:eastAsia="宋体" w:hint="eastAsia"/>
                <w:sz w:val="21"/>
              </w:rPr>
            </w:pPr>
            <w:r>
              <w:rPr>
                <w:rFonts w:ascii="宋体" w:eastAsia="宋体" w:hint="eastAsia"/>
                <w:position w:val="2"/>
                <w:sz w:val="21"/>
              </w:rPr>
              <w:t>（</w:t>
            </w:r>
            <w:r>
              <w:rPr>
                <w:position w:val="2"/>
                <w:sz w:val="21"/>
              </w:rPr>
              <w:t>pH</w:t>
            </w:r>
            <w:r>
              <w:rPr>
                <w:rFonts w:ascii="宋体" w:eastAsia="宋体" w:hint="eastAsia"/>
                <w:spacing w:val="-7"/>
                <w:position w:val="2"/>
                <w:sz w:val="21"/>
              </w:rPr>
              <w:t>、</w:t>
            </w:r>
            <w:r>
              <w:rPr>
                <w:position w:val="2"/>
                <w:sz w:val="21"/>
              </w:rPr>
              <w:t>COD</w:t>
            </w:r>
            <w:r>
              <w:rPr>
                <w:sz w:val="14"/>
              </w:rPr>
              <w:t>Mn</w:t>
            </w:r>
            <w:r>
              <w:rPr>
                <w:rFonts w:ascii="宋体" w:eastAsia="宋体" w:hint="eastAsia"/>
                <w:spacing w:val="-5"/>
                <w:position w:val="2"/>
                <w:sz w:val="21"/>
              </w:rPr>
              <w:t>、</w:t>
            </w:r>
            <w:r>
              <w:rPr>
                <w:position w:val="2"/>
                <w:sz w:val="21"/>
              </w:rPr>
              <w:t>BOD</w:t>
            </w:r>
            <w:r>
              <w:rPr>
                <w:sz w:val="14"/>
              </w:rPr>
              <w:t>5</w:t>
            </w:r>
            <w:r>
              <w:rPr>
                <w:rFonts w:ascii="宋体" w:eastAsia="宋体" w:hint="eastAsia"/>
                <w:spacing w:val="-3"/>
                <w:position w:val="2"/>
                <w:sz w:val="21"/>
              </w:rPr>
              <w:t>、氨氮、</w:t>
            </w:r>
            <w:r>
              <w:rPr>
                <w:rFonts w:ascii="宋体" w:eastAsia="宋体" w:hint="eastAsia"/>
                <w:spacing w:val="-3"/>
                <w:sz w:val="21"/>
              </w:rPr>
              <w:t>总磷、石油类等</w:t>
            </w:r>
            <w:r>
              <w:rPr>
                <w:rFonts w:ascii="宋体" w:eastAsia="宋体" w:hint="eastAsia"/>
                <w:sz w:val="21"/>
              </w:rPr>
              <w:t>）</w:t>
            </w:r>
          </w:p>
        </w:tc>
        <w:tc>
          <w:tcPr>
            <w:tcW w:w="2943" w:type="dxa"/>
            <w:gridSpan w:val="2"/>
            <w:tcBorders>
              <w:top w:val="single" w:sz="6" w:space="0" w:color="000000"/>
              <w:left w:val="single" w:sz="6" w:space="0" w:color="000000"/>
              <w:bottom w:val="single" w:sz="6" w:space="0" w:color="000000"/>
            </w:tcBorders>
          </w:tcPr>
          <w:p>
            <w:pPr>
              <w:pStyle w:val="TableParagraph"/>
              <w:spacing w:before="21"/>
              <w:ind w:left="93" w:right="22"/>
              <w:rPr>
                <w:rFonts w:ascii="宋体" w:eastAsia="宋体" w:hint="eastAsia"/>
                <w:sz w:val="21"/>
              </w:rPr>
            </w:pPr>
            <w:r>
              <w:rPr>
                <w:rFonts w:ascii="宋体" w:eastAsia="宋体" w:hint="eastAsia"/>
                <w:position w:val="2"/>
                <w:sz w:val="21"/>
              </w:rPr>
              <w:t>（</w:t>
            </w:r>
            <w:r>
              <w:rPr>
                <w:position w:val="2"/>
                <w:sz w:val="21"/>
              </w:rPr>
              <w:t>pH</w:t>
            </w:r>
            <w:r>
              <w:rPr>
                <w:rFonts w:ascii="宋体" w:eastAsia="宋体" w:hint="eastAsia"/>
                <w:position w:val="2"/>
                <w:sz w:val="21"/>
              </w:rPr>
              <w:t>、</w:t>
            </w:r>
            <w:r>
              <w:rPr>
                <w:position w:val="2"/>
                <w:sz w:val="21"/>
              </w:rPr>
              <w:t>COD</w:t>
            </w:r>
            <w:r>
              <w:rPr>
                <w:sz w:val="14"/>
              </w:rPr>
              <w:t>Cr</w:t>
            </w:r>
            <w:r>
              <w:rPr>
                <w:rFonts w:ascii="宋体" w:eastAsia="宋体" w:hint="eastAsia"/>
                <w:position w:val="2"/>
                <w:sz w:val="21"/>
              </w:rPr>
              <w:t>、</w:t>
            </w:r>
            <w:r>
              <w:rPr>
                <w:position w:val="2"/>
                <w:sz w:val="21"/>
              </w:rPr>
              <w:t>NH</w:t>
            </w:r>
            <w:r>
              <w:rPr>
                <w:sz w:val="14"/>
              </w:rPr>
              <w:t>3</w:t>
            </w:r>
            <w:r>
              <w:rPr>
                <w:position w:val="2"/>
                <w:sz w:val="21"/>
              </w:rPr>
              <w:t>-N</w:t>
            </w:r>
            <w:r>
              <w:rPr>
                <w:rFonts w:ascii="宋体" w:eastAsia="宋体" w:hint="eastAsia"/>
                <w:position w:val="2"/>
                <w:sz w:val="21"/>
              </w:rPr>
              <w:t>、</w:t>
            </w:r>
            <w:r>
              <w:rPr>
                <w:position w:val="2"/>
                <w:sz w:val="21"/>
              </w:rPr>
              <w:t>TN</w:t>
            </w:r>
            <w:r>
              <w:rPr>
                <w:rFonts w:ascii="宋体" w:eastAsia="宋体" w:hint="eastAsia"/>
                <w:position w:val="2"/>
                <w:sz w:val="21"/>
              </w:rPr>
              <w:t>、</w:t>
            </w:r>
          </w:p>
          <w:p>
            <w:pPr>
              <w:pStyle w:val="TableParagraph"/>
              <w:spacing w:before="45"/>
              <w:ind w:left="57" w:right="22"/>
              <w:rPr>
                <w:rFonts w:ascii="宋体" w:eastAsia="宋体" w:hint="eastAsia"/>
                <w:sz w:val="21"/>
              </w:rPr>
            </w:pPr>
            <w:r>
              <w:rPr>
                <w:sz w:val="21"/>
              </w:rPr>
              <w:t>TP</w:t>
            </w:r>
            <w:r>
              <w:rPr>
                <w:rFonts w:ascii="宋体" w:eastAsia="宋体" w:hint="eastAsia"/>
                <w:sz w:val="21"/>
              </w:rPr>
              <w:t>、</w:t>
            </w:r>
            <w:r>
              <w:rPr>
                <w:sz w:val="21"/>
              </w:rPr>
              <w:t>SS</w:t>
            </w:r>
            <w:r>
              <w:rPr>
                <w:rFonts w:ascii="宋体" w:eastAsia="宋体" w:hint="eastAsia"/>
                <w:sz w:val="21"/>
              </w:rPr>
              <w:t>、石油类等）</w:t>
            </w:r>
          </w:p>
        </w:tc>
      </w:tr>
      <w:tr>
        <w:trPr>
          <w:trHeight w:val="313" w:hRule="atLeast"/>
        </w:trPr>
        <w:tc>
          <w:tcPr>
            <w:tcW w:w="427" w:type="dxa"/>
            <w:vMerge/>
            <w:tcBorders>
              <w:top w:val="nil"/>
              <w:bottom w:val="single" w:sz="6" w:space="0" w:color="000000"/>
              <w:right w:val="single" w:sz="6" w:space="0" w:color="000000"/>
            </w:tcBorders>
          </w:tcPr>
          <w:p>
            <w:pPr>
              <w:rPr>
                <w:sz w:val="2"/>
                <w:szCs w:val="2"/>
              </w:rPr>
            </w:pPr>
          </w:p>
        </w:tc>
        <w:tc>
          <w:tcPr>
            <w:tcW w:w="1810" w:type="dxa"/>
            <w:tcBorders>
              <w:top w:val="single" w:sz="6" w:space="0" w:color="000000"/>
              <w:left w:val="single" w:sz="6" w:space="0" w:color="000000"/>
              <w:bottom w:val="single" w:sz="6" w:space="0" w:color="000000"/>
              <w:right w:val="single" w:sz="6" w:space="0" w:color="000000"/>
            </w:tcBorders>
          </w:tcPr>
          <w:p>
            <w:pPr>
              <w:pStyle w:val="TableParagraph"/>
              <w:spacing w:before="25"/>
              <w:ind w:left="154" w:right="130"/>
              <w:rPr>
                <w:rFonts w:ascii="宋体" w:eastAsia="宋体" w:hint="eastAsia"/>
                <w:sz w:val="21"/>
              </w:rPr>
            </w:pPr>
            <w:r>
              <w:rPr>
                <w:rFonts w:ascii="宋体" w:eastAsia="宋体" w:hint="eastAsia"/>
                <w:sz w:val="21"/>
              </w:rPr>
              <w:t>污染物排放清单</w:t>
            </w:r>
          </w:p>
        </w:tc>
        <w:tc>
          <w:tcPr>
            <w:tcW w:w="7194" w:type="dxa"/>
            <w:gridSpan w:val="6"/>
            <w:tcBorders>
              <w:top w:val="single" w:sz="6" w:space="0" w:color="000000"/>
              <w:left w:val="single" w:sz="6" w:space="0" w:color="000000"/>
              <w:bottom w:val="single" w:sz="6" w:space="0" w:color="000000"/>
            </w:tcBorders>
          </w:tcPr>
          <w:p>
            <w:pPr>
              <w:pStyle w:val="TableParagraph"/>
              <w:spacing w:before="36"/>
              <w:ind w:left="30"/>
              <w:rPr>
                <w:rFonts w:ascii="Wingdings" w:hAnsi="Wingdings"/>
                <w:sz w:val="21"/>
              </w:rPr>
            </w:pPr>
            <w:r>
              <w:rPr>
                <w:rFonts w:ascii="Wingdings" w:hAnsi="Wingdings"/>
                <w:w w:val="101"/>
                <w:sz w:val="21"/>
              </w:rPr>
              <w:t></w:t>
            </w:r>
          </w:p>
        </w:tc>
      </w:tr>
      <w:tr>
        <w:trPr>
          <w:trHeight w:val="311" w:hRule="atLeast"/>
        </w:trPr>
        <w:tc>
          <w:tcPr>
            <w:tcW w:w="2237" w:type="dxa"/>
            <w:gridSpan w:val="2"/>
            <w:tcBorders>
              <w:top w:val="single" w:sz="6" w:space="0" w:color="000000"/>
              <w:bottom w:val="single" w:sz="6" w:space="0" w:color="000000"/>
              <w:right w:val="single" w:sz="6" w:space="0" w:color="000000"/>
            </w:tcBorders>
          </w:tcPr>
          <w:p>
            <w:pPr>
              <w:pStyle w:val="TableParagraph"/>
              <w:spacing w:before="22"/>
              <w:ind w:left="697"/>
              <w:jc w:val="left"/>
              <w:rPr>
                <w:rFonts w:ascii="宋体" w:eastAsia="宋体" w:hint="eastAsia"/>
                <w:sz w:val="21"/>
              </w:rPr>
            </w:pPr>
            <w:r>
              <w:rPr>
                <w:rFonts w:ascii="宋体" w:eastAsia="宋体" w:hint="eastAsia"/>
                <w:sz w:val="21"/>
              </w:rPr>
              <w:t>评价结论</w:t>
            </w:r>
          </w:p>
        </w:tc>
        <w:tc>
          <w:tcPr>
            <w:tcW w:w="7194" w:type="dxa"/>
            <w:gridSpan w:val="6"/>
            <w:tcBorders>
              <w:top w:val="single" w:sz="6" w:space="0" w:color="000000"/>
              <w:left w:val="single" w:sz="6" w:space="0" w:color="000000"/>
              <w:bottom w:val="single" w:sz="6" w:space="0" w:color="000000"/>
            </w:tcBorders>
          </w:tcPr>
          <w:p>
            <w:pPr>
              <w:pStyle w:val="TableParagraph"/>
              <w:spacing w:before="22"/>
              <w:ind w:left="2375" w:right="2343"/>
              <w:rPr>
                <w:sz w:val="21"/>
              </w:rPr>
            </w:pPr>
            <w:r>
              <w:rPr>
                <w:rFonts w:ascii="宋体" w:hAnsi="宋体" w:eastAsia="宋体" w:hint="eastAsia"/>
                <w:sz w:val="21"/>
              </w:rPr>
              <w:t>可以接受</w:t>
            </w:r>
            <w:r>
              <w:rPr>
                <w:rFonts w:ascii="Wingdings" w:hAnsi="Wingdings" w:eastAsia="Wingdings"/>
                <w:sz w:val="21"/>
              </w:rPr>
              <w:t></w:t>
            </w:r>
            <w:r>
              <w:rPr>
                <w:rFonts w:ascii="宋体" w:hAnsi="宋体" w:eastAsia="宋体" w:hint="eastAsia"/>
                <w:sz w:val="21"/>
              </w:rPr>
              <w:t>；不可以接受</w:t>
            </w:r>
            <w:r>
              <w:rPr>
                <w:sz w:val="21"/>
              </w:rPr>
              <w:t>□</w:t>
            </w:r>
          </w:p>
        </w:tc>
      </w:tr>
      <w:tr>
        <w:trPr>
          <w:trHeight w:val="313" w:hRule="atLeast"/>
        </w:trPr>
        <w:tc>
          <w:tcPr>
            <w:tcW w:w="9431" w:type="dxa"/>
            <w:gridSpan w:val="8"/>
            <w:tcBorders>
              <w:top w:val="single" w:sz="6" w:space="0" w:color="000000"/>
            </w:tcBorders>
          </w:tcPr>
          <w:p>
            <w:pPr>
              <w:pStyle w:val="TableParagraph"/>
              <w:spacing w:before="22"/>
              <w:ind w:left="107"/>
              <w:jc w:val="left"/>
              <w:rPr>
                <w:rFonts w:ascii="宋体" w:hAnsi="宋体" w:eastAsia="宋体" w:hint="eastAsia"/>
                <w:sz w:val="21"/>
              </w:rPr>
            </w:pPr>
            <w:r>
              <w:rPr>
                <w:rFonts w:ascii="宋体" w:hAnsi="宋体" w:eastAsia="宋体" w:hint="eastAsia"/>
                <w:sz w:val="21"/>
              </w:rPr>
              <w:t>注：</w:t>
            </w:r>
            <w:r>
              <w:rPr>
                <w:sz w:val="21"/>
              </w:rPr>
              <w:t>“</w:t>
            </w:r>
            <w:r>
              <w:rPr>
                <w:rFonts w:ascii="宋体" w:hAnsi="宋体" w:eastAsia="宋体" w:hint="eastAsia"/>
                <w:sz w:val="21"/>
              </w:rPr>
              <w:t>□</w:t>
            </w:r>
            <w:r>
              <w:rPr>
                <w:sz w:val="21"/>
              </w:rPr>
              <w:t>”</w:t>
            </w:r>
            <w:r>
              <w:rPr>
                <w:rFonts w:ascii="宋体" w:hAnsi="宋体" w:eastAsia="宋体" w:hint="eastAsia"/>
                <w:sz w:val="21"/>
              </w:rPr>
              <w:t>为勾选项，可</w:t>
            </w:r>
            <w:r>
              <w:rPr>
                <w:sz w:val="21"/>
              </w:rPr>
              <w:t>√</w:t>
            </w:r>
            <w:r>
              <w:rPr>
                <w:rFonts w:ascii="宋体" w:hAnsi="宋体" w:eastAsia="宋体" w:hint="eastAsia"/>
                <w:sz w:val="21"/>
              </w:rPr>
              <w:t>；</w:t>
            </w:r>
            <w:r>
              <w:rPr>
                <w:sz w:val="21"/>
              </w:rPr>
              <w:t>“</w:t>
            </w:r>
            <w:r>
              <w:rPr>
                <w:rFonts w:ascii="宋体" w:hAnsi="宋体" w:eastAsia="宋体" w:hint="eastAsia"/>
                <w:sz w:val="21"/>
              </w:rPr>
              <w:t>（）</w:t>
            </w:r>
            <w:r>
              <w:rPr>
                <w:sz w:val="21"/>
              </w:rPr>
              <w:t>”</w:t>
            </w:r>
            <w:r>
              <w:rPr>
                <w:rFonts w:ascii="宋体" w:hAnsi="宋体" w:eastAsia="宋体" w:hint="eastAsia"/>
                <w:sz w:val="21"/>
              </w:rPr>
              <w:t>为内容填写项；</w:t>
            </w:r>
            <w:r>
              <w:rPr>
                <w:sz w:val="21"/>
              </w:rPr>
              <w:t>“</w:t>
            </w:r>
            <w:r>
              <w:rPr>
                <w:rFonts w:ascii="宋体" w:hAnsi="宋体" w:eastAsia="宋体" w:hint="eastAsia"/>
                <w:sz w:val="21"/>
              </w:rPr>
              <w:t>备注</w:t>
            </w:r>
            <w:r>
              <w:rPr>
                <w:sz w:val="21"/>
              </w:rPr>
              <w:t>”</w:t>
            </w:r>
            <w:r>
              <w:rPr>
                <w:rFonts w:ascii="宋体" w:hAnsi="宋体" w:eastAsia="宋体" w:hint="eastAsia"/>
                <w:sz w:val="21"/>
              </w:rPr>
              <w:t>为其他补充内容</w:t>
            </w:r>
          </w:p>
        </w:tc>
      </w:tr>
    </w:tbl>
    <w:p>
      <w:pPr>
        <w:spacing w:before="91"/>
        <w:ind w:left="719" w:right="0" w:firstLine="0"/>
        <w:jc w:val="left"/>
        <w:rPr>
          <w:b/>
          <w:sz w:val="24"/>
        </w:rPr>
      </w:pPr>
      <w:r>
        <w:rPr>
          <w:rFonts w:ascii="Times New Roman" w:eastAsia="Times New Roman"/>
          <w:b/>
          <w:sz w:val="24"/>
        </w:rPr>
        <w:t>3</w:t>
      </w:r>
      <w:r>
        <w:rPr>
          <w:b/>
          <w:sz w:val="24"/>
        </w:rPr>
        <w:t>、地下水环境影响分析</w:t>
      </w:r>
    </w:p>
    <w:p>
      <w:pPr>
        <w:pStyle w:val="BodyText"/>
        <w:spacing w:line="364" w:lineRule="auto" w:before="160"/>
        <w:ind w:right="247" w:firstLine="480"/>
        <w:jc w:val="both"/>
      </w:pPr>
      <w:r>
        <w:rPr>
          <w:spacing w:val="-9"/>
          <w:position w:val="2"/>
        </w:rPr>
        <w:t>非正常工况下，废水发生泄露后露 </w:t>
      </w:r>
      <w:r>
        <w:rPr>
          <w:rFonts w:ascii="Times New Roman" w:eastAsia="Times New Roman"/>
          <w:position w:val="2"/>
        </w:rPr>
        <w:t>100d</w:t>
      </w:r>
      <w:r>
        <w:rPr>
          <w:spacing w:val="-29"/>
          <w:position w:val="2"/>
        </w:rPr>
        <w:t>、</w:t>
      </w:r>
      <w:r>
        <w:rPr>
          <w:rFonts w:ascii="Times New Roman" w:eastAsia="Times New Roman"/>
          <w:spacing w:val="-3"/>
          <w:position w:val="2"/>
        </w:rPr>
        <w:t>1000d</w:t>
      </w:r>
      <w:r>
        <w:rPr>
          <w:spacing w:val="-3"/>
          <w:position w:val="2"/>
        </w:rPr>
        <w:t>，</w:t>
      </w:r>
      <w:r>
        <w:rPr>
          <w:rFonts w:ascii="Times New Roman" w:eastAsia="Times New Roman"/>
          <w:spacing w:val="-3"/>
          <w:position w:val="2"/>
        </w:rPr>
        <w:t>COD</w:t>
      </w:r>
      <w:r>
        <w:rPr>
          <w:rFonts w:ascii="Times New Roman" w:eastAsia="Times New Roman"/>
          <w:spacing w:val="-3"/>
          <w:sz w:val="16"/>
        </w:rPr>
        <w:t>Mn</w:t>
      </w:r>
      <w:r>
        <w:rPr>
          <w:spacing w:val="-29"/>
          <w:position w:val="2"/>
        </w:rPr>
        <w:t>、</w:t>
      </w:r>
      <w:r>
        <w:rPr>
          <w:rFonts w:ascii="Times New Roman" w:eastAsia="Times New Roman"/>
          <w:position w:val="2"/>
        </w:rPr>
        <w:t>NH</w:t>
      </w:r>
      <w:r>
        <w:rPr>
          <w:rFonts w:ascii="Times New Roman" w:eastAsia="Times New Roman"/>
          <w:sz w:val="16"/>
        </w:rPr>
        <w:t>3</w:t>
      </w:r>
      <w:r>
        <w:rPr>
          <w:rFonts w:ascii="Times New Roman" w:eastAsia="Times New Roman"/>
          <w:position w:val="2"/>
        </w:rPr>
        <w:t>-N </w:t>
      </w:r>
      <w:r>
        <w:rPr>
          <w:spacing w:val="-2"/>
          <w:position w:val="2"/>
        </w:rPr>
        <w:t>的影响范围均为距</w:t>
      </w:r>
      <w:r>
        <w:rPr>
          <w:spacing w:val="-16"/>
        </w:rPr>
        <w:t>泄露源 </w:t>
      </w:r>
      <w:r>
        <w:rPr>
          <w:rFonts w:ascii="Times New Roman" w:eastAsia="Times New Roman"/>
        </w:rPr>
        <w:t>40m </w:t>
      </w:r>
      <w:r>
        <w:rPr>
          <w:spacing w:val="-29"/>
        </w:rPr>
        <w:t>及 </w:t>
      </w:r>
      <w:r>
        <w:rPr>
          <w:rFonts w:ascii="Times New Roman" w:eastAsia="Times New Roman"/>
        </w:rPr>
        <w:t>200m </w:t>
      </w:r>
      <w:r>
        <w:rPr/>
        <w:t>的区域，</w:t>
      </w:r>
      <w:r>
        <w:rPr>
          <w:rFonts w:ascii="Times New Roman" w:eastAsia="Times New Roman"/>
        </w:rPr>
        <w:t>1800d </w:t>
      </w:r>
      <w:r>
        <w:rPr>
          <w:spacing w:val="-4"/>
        </w:rPr>
        <w:t>预测时段内二者的最大影响距离均为 </w:t>
      </w:r>
      <w:r>
        <w:rPr>
          <w:rFonts w:ascii="Times New Roman" w:eastAsia="Times New Roman"/>
        </w:rPr>
        <w:t>300m</w:t>
      </w:r>
      <w:r>
        <w:rPr>
          <w:spacing w:val="-3"/>
        </w:rPr>
        <w:t>，而最近</w:t>
      </w:r>
      <w:r>
        <w:rPr>
          <w:spacing w:val="-4"/>
        </w:rPr>
        <w:t>的敏感点丰项村距本项目集污池距离约 </w:t>
      </w:r>
      <w:r>
        <w:rPr>
          <w:rFonts w:ascii="Times New Roman" w:eastAsia="Times New Roman"/>
          <w:spacing w:val="-3"/>
        </w:rPr>
        <w:t>600m</w:t>
      </w:r>
      <w:r>
        <w:rPr>
          <w:spacing w:val="-5"/>
        </w:rPr>
        <w:t>，影响相对较小。由此可知，项目废水泄露主要影响近距离区域地下水，而对周边敏感点的影响相对较小，本环评要求企业采取措施严防事故发生，一旦发生事故须及时进行检修，使影响降至最小。</w:t>
      </w:r>
    </w:p>
    <w:p>
      <w:pPr>
        <w:pStyle w:val="Heading3"/>
        <w:spacing w:before="4"/>
      </w:pPr>
      <w:r>
        <w:rPr>
          <w:rFonts w:ascii="Times New Roman" w:eastAsia="Times New Roman"/>
        </w:rPr>
        <w:t>4</w:t>
      </w:r>
      <w:r>
        <w:rPr/>
        <w:t>、固体废弃物影响分析</w:t>
      </w:r>
    </w:p>
    <w:p>
      <w:pPr>
        <w:pStyle w:val="BodyText"/>
        <w:spacing w:line="364" w:lineRule="auto" w:before="161"/>
        <w:ind w:right="252" w:firstLine="480"/>
        <w:jc w:val="both"/>
      </w:pPr>
      <w:r>
        <w:rPr/>
        <w:t>项目生产过程中产生的固废包括发酵产物、一般废包装物、危化品废包装物、废矿物油、废脱硫剂、医疗废物及职工生活垃圾等。其中，发酵产物外运至第三方企业生产有机肥、一般废包装物外卖综合利用，废脱硫剂由供应商更换回收；危化品废包装物、废矿物油、医疗废物委托有相应危废处理资质的单位安全处置；生活垃圾由环卫部门统一清运处置。</w:t>
      </w:r>
    </w:p>
    <w:p>
      <w:pPr>
        <w:pStyle w:val="BodyText"/>
        <w:spacing w:line="364" w:lineRule="auto" w:before="3"/>
        <w:ind w:right="249" w:firstLine="480"/>
        <w:jc w:val="both"/>
      </w:pPr>
      <w:r>
        <w:rPr/>
        <w:t>所产生的各类废物经分类收集后，堆放于专门的危险固废暂存场所及一般固废暂存场所，并做到及时清运处置。经过上述处理后，项目产生的固废基本上能做到综合利用及安全处置，不会对周围环境产生不利影响。</w:t>
      </w:r>
    </w:p>
    <w:p>
      <w:pPr>
        <w:pStyle w:val="Heading3"/>
        <w:spacing w:before="2"/>
      </w:pPr>
      <w:r>
        <w:rPr>
          <w:rFonts w:ascii="Times New Roman" w:eastAsia="Times New Roman"/>
        </w:rPr>
        <w:t>5</w:t>
      </w:r>
      <w:r>
        <w:rPr/>
        <w:t>、声环境影响分析</w:t>
      </w:r>
    </w:p>
    <w:p>
      <w:pPr>
        <w:pStyle w:val="BodyText"/>
        <w:spacing w:before="161"/>
        <w:ind w:left="717"/>
      </w:pPr>
      <w:r>
        <w:rPr/>
        <w:t>由预测结果可知，本项目实施后，各声源产生的噪声衰减至厂界的贡献值均能达到</w:t>
      </w:r>
    </w:p>
    <w:p>
      <w:pPr>
        <w:pStyle w:val="BodyText"/>
        <w:spacing w:line="364" w:lineRule="auto" w:before="160"/>
        <w:ind w:right="252"/>
      </w:pPr>
      <w:r>
        <w:rPr/>
        <w:t>《工业企业厂界环境噪声排放标准》（</w:t>
      </w:r>
      <w:r>
        <w:rPr>
          <w:rFonts w:ascii="Times New Roman" w:eastAsia="Times New Roman"/>
        </w:rPr>
        <w:t>GB 12348-2008</w:t>
      </w:r>
      <w:r>
        <w:rPr/>
        <w:t>）</w:t>
      </w:r>
      <w:r>
        <w:rPr>
          <w:rFonts w:ascii="Times New Roman" w:eastAsia="Times New Roman"/>
        </w:rPr>
        <w:t>2 </w:t>
      </w:r>
      <w:r>
        <w:rPr/>
        <w:t>级标准要求。因此，在采取各项污染治理措施的基础上，项目对周围声环境的影响较小。</w:t>
      </w:r>
    </w:p>
    <w:p>
      <w:pPr>
        <w:spacing w:after="0" w:line="364" w:lineRule="auto"/>
        <w:sectPr>
          <w:footerReference w:type="default" r:id="rId166"/>
          <w:pgSz w:w="11910" w:h="16840"/>
          <w:pgMar w:footer="1004" w:header="874" w:top="1420" w:bottom="1200" w:left="1040" w:right="1160"/>
          <w:pgNumType w:start="221"/>
        </w:sectPr>
      </w:pPr>
    </w:p>
    <w:p>
      <w:pPr>
        <w:pStyle w:val="Heading3"/>
        <w:spacing w:before="92"/>
      </w:pPr>
      <w:r>
        <w:rPr>
          <w:rFonts w:ascii="Times New Roman" w:eastAsia="Times New Roman"/>
        </w:rPr>
        <w:t>6</w:t>
      </w:r>
      <w:r>
        <w:rPr/>
        <w:t>、环境风险影响分析</w:t>
      </w:r>
    </w:p>
    <w:p>
      <w:pPr>
        <w:pStyle w:val="BodyText"/>
        <w:spacing w:line="364" w:lineRule="auto" w:before="160"/>
        <w:ind w:right="113" w:firstLine="480"/>
      </w:pPr>
      <w:r>
        <w:rPr/>
        <w:t>本项目环境风险较小，通过加强风险管理，采取相应的技术手段降低风险发生概率， 若发生环境风险事故，及时启动应急预案和应急措施，可以使风险事故对环境的危害得到有效控制，将事故风险控制在可以接受的范围内。</w:t>
      </w:r>
    </w:p>
    <w:p>
      <w:pPr>
        <w:pStyle w:val="Heading3"/>
        <w:spacing w:before="2"/>
        <w:ind w:left="3300"/>
      </w:pPr>
      <w:r>
        <w:rPr/>
        <w:t>表 </w:t>
      </w:r>
      <w:r>
        <w:rPr>
          <w:rFonts w:ascii="Times New Roman" w:eastAsia="Times New Roman"/>
        </w:rPr>
        <w:t>9.1-4  </w:t>
      </w:r>
      <w:r>
        <w:rPr/>
        <w:t>环境风险评价自查表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140"/>
        <w:gridCol w:w="1130"/>
        <w:gridCol w:w="1429"/>
        <w:gridCol w:w="562"/>
        <w:gridCol w:w="586"/>
        <w:gridCol w:w="692"/>
        <w:gridCol w:w="287"/>
        <w:gridCol w:w="363"/>
        <w:gridCol w:w="202"/>
        <w:gridCol w:w="996"/>
        <w:gridCol w:w="142"/>
        <w:gridCol w:w="1230"/>
      </w:tblGrid>
      <w:tr>
        <w:trPr>
          <w:trHeight w:val="311" w:hRule="atLeast"/>
        </w:trPr>
        <w:tc>
          <w:tcPr>
            <w:tcW w:w="1817" w:type="dxa"/>
            <w:gridSpan w:val="2"/>
            <w:tcBorders>
              <w:bottom w:val="single" w:sz="6" w:space="0" w:color="000000"/>
              <w:right w:val="single" w:sz="6" w:space="0" w:color="000000"/>
            </w:tcBorders>
          </w:tcPr>
          <w:p>
            <w:pPr>
              <w:pStyle w:val="TableParagraph"/>
              <w:spacing w:before="22"/>
              <w:ind w:left="486"/>
              <w:jc w:val="left"/>
              <w:rPr>
                <w:rFonts w:ascii="宋体" w:eastAsia="宋体" w:hint="eastAsia"/>
                <w:b/>
                <w:sz w:val="21"/>
              </w:rPr>
            </w:pPr>
            <w:r>
              <w:rPr>
                <w:rFonts w:ascii="宋体" w:eastAsia="宋体" w:hint="eastAsia"/>
                <w:b/>
                <w:sz w:val="21"/>
              </w:rPr>
              <w:t>工作内容</w:t>
            </w:r>
          </w:p>
        </w:tc>
        <w:tc>
          <w:tcPr>
            <w:tcW w:w="7619" w:type="dxa"/>
            <w:gridSpan w:val="11"/>
            <w:tcBorders>
              <w:left w:val="single" w:sz="6" w:space="0" w:color="000000"/>
              <w:bottom w:val="single" w:sz="6" w:space="0" w:color="000000"/>
            </w:tcBorders>
          </w:tcPr>
          <w:p>
            <w:pPr>
              <w:pStyle w:val="TableParagraph"/>
              <w:spacing w:before="22"/>
              <w:ind w:left="31"/>
              <w:rPr>
                <w:rFonts w:ascii="宋体" w:eastAsia="宋体" w:hint="eastAsia"/>
                <w:b/>
                <w:sz w:val="21"/>
              </w:rPr>
            </w:pPr>
            <w:r>
              <w:rPr>
                <w:rFonts w:ascii="宋体" w:eastAsia="宋体" w:hint="eastAsia"/>
                <w:b/>
                <w:sz w:val="21"/>
              </w:rPr>
              <w:t>完成情况</w:t>
            </w:r>
          </w:p>
        </w:tc>
      </w:tr>
      <w:tr>
        <w:trPr>
          <w:trHeight w:val="313"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2"/>
              <w:jc w:val="left"/>
              <w:rPr>
                <w:rFonts w:ascii="宋体"/>
                <w:b/>
                <w:sz w:val="19"/>
              </w:rPr>
            </w:pPr>
          </w:p>
          <w:p>
            <w:pPr>
              <w:pStyle w:val="TableParagraph"/>
              <w:spacing w:line="278" w:lineRule="auto" w:before="0"/>
              <w:ind w:left="126" w:right="103"/>
              <w:jc w:val="left"/>
              <w:rPr>
                <w:rFonts w:ascii="宋体" w:eastAsia="宋体" w:hint="eastAsia"/>
                <w:sz w:val="21"/>
              </w:rPr>
            </w:pPr>
            <w:r>
              <w:rPr>
                <w:rFonts w:ascii="宋体" w:eastAsia="宋体" w:hint="eastAsia"/>
                <w:sz w:val="21"/>
              </w:rPr>
              <w:t>风险调查</w:t>
            </w:r>
          </w:p>
        </w:tc>
        <w:tc>
          <w:tcPr>
            <w:tcW w:w="114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153"/>
              <w:jc w:val="left"/>
              <w:rPr>
                <w:rFonts w:ascii="宋体" w:eastAsia="宋体" w:hint="eastAsia"/>
                <w:sz w:val="21"/>
              </w:rPr>
            </w:pPr>
            <w:r>
              <w:rPr>
                <w:rFonts w:ascii="宋体" w:eastAsia="宋体" w:hint="eastAsia"/>
                <w:sz w:val="21"/>
              </w:rPr>
              <w:t>危险物质</w:t>
            </w: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5"/>
              <w:ind w:left="134" w:right="95"/>
              <w:rPr>
                <w:rFonts w:ascii="宋体" w:eastAsia="宋体" w:hint="eastAsia"/>
                <w:sz w:val="21"/>
              </w:rPr>
            </w:pPr>
            <w:r>
              <w:rPr>
                <w:rFonts w:ascii="宋体" w:eastAsia="宋体" w:hint="eastAsia"/>
                <w:sz w:val="21"/>
              </w:rPr>
              <w:t>名称</w:t>
            </w:r>
          </w:p>
        </w:tc>
        <w:tc>
          <w:tcPr>
            <w:tcW w:w="6489" w:type="dxa"/>
            <w:gridSpan w:val="10"/>
            <w:tcBorders>
              <w:top w:val="single" w:sz="6" w:space="0" w:color="000000"/>
              <w:left w:val="single" w:sz="8" w:space="0" w:color="000000"/>
              <w:bottom w:val="single" w:sz="6" w:space="0" w:color="000000"/>
            </w:tcBorders>
          </w:tcPr>
          <w:p>
            <w:pPr>
              <w:pStyle w:val="TableParagraph"/>
              <w:spacing w:before="25"/>
              <w:ind w:left="201"/>
              <w:jc w:val="left"/>
              <w:rPr>
                <w:rFonts w:ascii="宋体" w:eastAsia="宋体" w:hint="eastAsia"/>
                <w:sz w:val="21"/>
              </w:rPr>
            </w:pPr>
            <w:r>
              <w:rPr>
                <w:rFonts w:ascii="宋体" w:eastAsia="宋体" w:hint="eastAsia"/>
                <w:sz w:val="21"/>
              </w:rPr>
              <w:t>沼气、氨、硫化氢、过氧乙酸、氢氧化钠、次氯酸钠、油类物质等</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2"/>
              <w:ind w:left="134" w:right="98"/>
              <w:rPr>
                <w:rFonts w:ascii="宋体" w:eastAsia="宋体" w:hint="eastAsia"/>
                <w:sz w:val="21"/>
              </w:rPr>
            </w:pPr>
            <w:r>
              <w:rPr>
                <w:rFonts w:ascii="宋体" w:eastAsia="宋体" w:hint="eastAsia"/>
                <w:sz w:val="21"/>
              </w:rPr>
              <w:t>存在总量</w:t>
            </w:r>
          </w:p>
        </w:tc>
        <w:tc>
          <w:tcPr>
            <w:tcW w:w="6489" w:type="dxa"/>
            <w:gridSpan w:val="10"/>
            <w:tcBorders>
              <w:top w:val="single" w:sz="6" w:space="0" w:color="000000"/>
              <w:left w:val="single" w:sz="8" w:space="0" w:color="000000"/>
              <w:bottom w:val="single" w:sz="6" w:space="0" w:color="000000"/>
            </w:tcBorders>
          </w:tcPr>
          <w:p>
            <w:pPr>
              <w:pStyle w:val="TableParagraph"/>
              <w:spacing w:before="22"/>
              <w:ind w:left="2521" w:right="2484"/>
              <w:rPr>
                <w:rFonts w:ascii="宋体" w:eastAsia="宋体" w:hint="eastAsia"/>
                <w:sz w:val="21"/>
              </w:rPr>
            </w:pPr>
            <w:r>
              <w:rPr>
                <w:rFonts w:ascii="宋体" w:eastAsia="宋体" w:hint="eastAsia"/>
                <w:sz w:val="21"/>
              </w:rPr>
              <w:t>详见第 </w:t>
            </w:r>
            <w:r>
              <w:rPr>
                <w:sz w:val="21"/>
              </w:rPr>
              <w:t>5.2.6 </w:t>
            </w:r>
            <w:r>
              <w:rPr>
                <w:rFonts w:ascii="宋体" w:eastAsia="宋体" w:hint="eastAsia"/>
                <w:sz w:val="21"/>
              </w:rPr>
              <w:t>章</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78" w:lineRule="auto" w:before="173"/>
              <w:ind w:left="467" w:right="127" w:hanging="315"/>
              <w:jc w:val="left"/>
              <w:rPr>
                <w:rFonts w:ascii="宋体" w:eastAsia="宋体" w:hint="eastAsia"/>
                <w:sz w:val="21"/>
              </w:rPr>
            </w:pPr>
            <w:r>
              <w:rPr>
                <w:rFonts w:ascii="宋体" w:eastAsia="宋体" w:hint="eastAsia"/>
                <w:sz w:val="21"/>
              </w:rPr>
              <w:t>环境敏感性</w:t>
            </w:r>
          </w:p>
        </w:tc>
        <w:tc>
          <w:tcPr>
            <w:tcW w:w="1130" w:type="dxa"/>
            <w:vMerge w:val="restart"/>
            <w:tcBorders>
              <w:top w:val="single" w:sz="6" w:space="0" w:color="000000"/>
              <w:left w:val="single" w:sz="6" w:space="0" w:color="000000"/>
              <w:bottom w:val="single" w:sz="6" w:space="0" w:color="000000"/>
              <w:right w:val="single" w:sz="8" w:space="0" w:color="000000"/>
            </w:tcBorders>
          </w:tcPr>
          <w:p>
            <w:pPr>
              <w:pStyle w:val="TableParagraph"/>
              <w:spacing w:before="6"/>
              <w:jc w:val="left"/>
              <w:rPr>
                <w:rFonts w:ascii="宋体"/>
                <w:b/>
                <w:sz w:val="14"/>
              </w:rPr>
            </w:pPr>
          </w:p>
          <w:p>
            <w:pPr>
              <w:pStyle w:val="TableParagraph"/>
              <w:spacing w:before="1"/>
              <w:ind w:left="364"/>
              <w:jc w:val="left"/>
              <w:rPr>
                <w:rFonts w:ascii="宋体" w:eastAsia="宋体" w:hint="eastAsia"/>
                <w:sz w:val="21"/>
              </w:rPr>
            </w:pPr>
            <w:r>
              <w:rPr>
                <w:rFonts w:ascii="宋体" w:eastAsia="宋体" w:hint="eastAsia"/>
                <w:sz w:val="21"/>
              </w:rPr>
              <w:t>大气</w:t>
            </w:r>
          </w:p>
        </w:tc>
        <w:tc>
          <w:tcPr>
            <w:tcW w:w="3269" w:type="dxa"/>
            <w:gridSpan w:val="4"/>
            <w:tcBorders>
              <w:top w:val="single" w:sz="6" w:space="0" w:color="000000"/>
              <w:left w:val="single" w:sz="8" w:space="0" w:color="000000"/>
              <w:bottom w:val="single" w:sz="6" w:space="0" w:color="000000"/>
              <w:right w:val="single" w:sz="6" w:space="0" w:color="000000"/>
            </w:tcBorders>
          </w:tcPr>
          <w:p>
            <w:pPr>
              <w:pStyle w:val="TableParagraph"/>
              <w:spacing w:before="22"/>
              <w:ind w:left="271"/>
              <w:jc w:val="left"/>
              <w:rPr>
                <w:rFonts w:ascii="宋体" w:eastAsia="宋体" w:hint="eastAsia"/>
                <w:sz w:val="21"/>
              </w:rPr>
            </w:pPr>
            <w:r>
              <w:rPr>
                <w:sz w:val="21"/>
              </w:rPr>
              <w:t>500m </w:t>
            </w:r>
            <w:r>
              <w:rPr>
                <w:rFonts w:ascii="宋体" w:eastAsia="宋体" w:hint="eastAsia"/>
                <w:sz w:val="21"/>
              </w:rPr>
              <w:t>范围内人口数</w:t>
            </w:r>
            <w:r>
              <w:rPr>
                <w:rFonts w:ascii="宋体" w:eastAsia="宋体" w:hint="eastAsia"/>
                <w:sz w:val="21"/>
                <w:u w:val="single"/>
              </w:rPr>
              <w:t> ＜</w:t>
            </w:r>
            <w:r>
              <w:rPr>
                <w:sz w:val="21"/>
                <w:u w:val="single"/>
              </w:rPr>
              <w:t>100</w:t>
            </w:r>
            <w:r>
              <w:rPr>
                <w:sz w:val="21"/>
              </w:rPr>
              <w:t> </w:t>
            </w:r>
            <w:r>
              <w:rPr>
                <w:rFonts w:ascii="宋体" w:eastAsia="宋体" w:hint="eastAsia"/>
                <w:sz w:val="21"/>
              </w:rPr>
              <w:t>人</w:t>
            </w:r>
          </w:p>
        </w:tc>
        <w:tc>
          <w:tcPr>
            <w:tcW w:w="3220" w:type="dxa"/>
            <w:gridSpan w:val="6"/>
            <w:tcBorders>
              <w:top w:val="single" w:sz="6" w:space="0" w:color="000000"/>
              <w:left w:val="single" w:sz="6" w:space="0" w:color="000000"/>
              <w:bottom w:val="single" w:sz="6" w:space="0" w:color="000000"/>
            </w:tcBorders>
          </w:tcPr>
          <w:p>
            <w:pPr>
              <w:pStyle w:val="TableParagraph"/>
              <w:spacing w:before="22"/>
              <w:ind w:left="269"/>
              <w:jc w:val="left"/>
              <w:rPr>
                <w:rFonts w:ascii="宋体" w:eastAsia="宋体" w:hint="eastAsia"/>
                <w:sz w:val="21"/>
              </w:rPr>
            </w:pPr>
            <w:r>
              <w:rPr>
                <w:sz w:val="21"/>
              </w:rPr>
              <w:t>5km </w:t>
            </w:r>
            <w:r>
              <w:rPr>
                <w:rFonts w:ascii="宋体" w:eastAsia="宋体" w:hint="eastAsia"/>
                <w:sz w:val="21"/>
              </w:rPr>
              <w:t>范围内人口数</w:t>
            </w:r>
            <w:r>
              <w:rPr>
                <w:rFonts w:ascii="宋体" w:eastAsia="宋体" w:hint="eastAsia"/>
                <w:sz w:val="21"/>
                <w:u w:val="single"/>
              </w:rPr>
              <w:t> </w:t>
            </w:r>
            <w:r>
              <w:rPr>
                <w:sz w:val="21"/>
                <w:u w:val="single"/>
              </w:rPr>
              <w:t>5 </w:t>
            </w:r>
            <w:r>
              <w:rPr>
                <w:rFonts w:ascii="宋体" w:eastAsia="宋体" w:hint="eastAsia"/>
                <w:sz w:val="21"/>
                <w:u w:val="single"/>
              </w:rPr>
              <w:t>万余 </w:t>
            </w:r>
            <w:r>
              <w:rPr>
                <w:rFonts w:ascii="宋体" w:eastAsia="宋体" w:hint="eastAsia"/>
                <w:sz w:val="21"/>
              </w:rPr>
              <w:t>人</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8" w:space="0" w:color="000000"/>
            </w:tcBorders>
          </w:tcPr>
          <w:p>
            <w:pPr>
              <w:rPr>
                <w:sz w:val="2"/>
                <w:szCs w:val="2"/>
              </w:rPr>
            </w:pPr>
          </w:p>
        </w:tc>
        <w:tc>
          <w:tcPr>
            <w:tcW w:w="5259" w:type="dxa"/>
            <w:gridSpan w:val="9"/>
            <w:tcBorders>
              <w:top w:val="single" w:sz="6" w:space="0" w:color="000000"/>
              <w:left w:val="single" w:sz="8" w:space="0" w:color="000000"/>
              <w:bottom w:val="single" w:sz="6" w:space="0" w:color="000000"/>
              <w:right w:val="single" w:sz="6" w:space="0" w:color="000000"/>
            </w:tcBorders>
          </w:tcPr>
          <w:p>
            <w:pPr>
              <w:pStyle w:val="TableParagraph"/>
              <w:spacing w:before="23"/>
              <w:ind w:left="530"/>
              <w:jc w:val="left"/>
              <w:rPr>
                <w:rFonts w:ascii="宋体" w:eastAsia="宋体" w:hint="eastAsia"/>
                <w:sz w:val="21"/>
              </w:rPr>
            </w:pPr>
            <w:r>
              <w:rPr>
                <w:rFonts w:ascii="宋体" w:eastAsia="宋体" w:hint="eastAsia"/>
                <w:sz w:val="21"/>
              </w:rPr>
              <w:t>每公里管段周边 </w:t>
            </w:r>
            <w:r>
              <w:rPr>
                <w:sz w:val="21"/>
              </w:rPr>
              <w:t>100 m </w:t>
            </w:r>
            <w:r>
              <w:rPr>
                <w:rFonts w:ascii="宋体" w:eastAsia="宋体" w:hint="eastAsia"/>
                <w:sz w:val="21"/>
              </w:rPr>
              <w:t>范围内人口数（最大）</w:t>
            </w:r>
          </w:p>
        </w:tc>
        <w:tc>
          <w:tcPr>
            <w:tcW w:w="1230" w:type="dxa"/>
            <w:tcBorders>
              <w:top w:val="single" w:sz="6" w:space="0" w:color="000000"/>
              <w:left w:val="single" w:sz="6" w:space="0" w:color="000000"/>
              <w:bottom w:val="single" w:sz="6" w:space="0" w:color="000000"/>
            </w:tcBorders>
          </w:tcPr>
          <w:p>
            <w:pPr>
              <w:pStyle w:val="TableParagraph"/>
              <w:tabs>
                <w:tab w:pos="342" w:val="left" w:leader="none"/>
                <w:tab w:pos="714" w:val="left" w:leader="none"/>
              </w:tabs>
              <w:spacing w:before="23"/>
              <w:ind w:left="25"/>
              <w:rPr>
                <w:rFonts w:ascii="宋体" w:eastAsia="宋体" w:hint="eastAsia"/>
                <w:sz w:val="21"/>
              </w:rPr>
            </w:pPr>
            <w:r>
              <w:rPr>
                <w:w w:val="100"/>
                <w:sz w:val="21"/>
                <w:u w:val="single"/>
              </w:rPr>
              <w:t> </w:t>
            </w:r>
            <w:r>
              <w:rPr>
                <w:sz w:val="21"/>
                <w:u w:val="single"/>
              </w:rPr>
              <w:tab/>
              <w:t>/</w:t>
              <w:tab/>
            </w:r>
            <w:r>
              <w:rPr>
                <w:rFonts w:ascii="宋体" w:eastAsia="宋体" w:hint="eastAsia"/>
                <w:sz w:val="21"/>
              </w:rPr>
              <w:t>人</w:t>
            </w:r>
          </w:p>
        </w:tc>
      </w:tr>
      <w:tr>
        <w:trPr>
          <w:trHeight w:val="313"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val="restart"/>
            <w:tcBorders>
              <w:top w:val="single" w:sz="6" w:space="0" w:color="000000"/>
              <w:left w:val="single" w:sz="6" w:space="0" w:color="000000"/>
              <w:bottom w:val="single" w:sz="6" w:space="0" w:color="000000"/>
              <w:right w:val="single" w:sz="8" w:space="0" w:color="000000"/>
            </w:tcBorders>
          </w:tcPr>
          <w:p>
            <w:pPr>
              <w:pStyle w:val="TableParagraph"/>
              <w:spacing w:before="8"/>
              <w:jc w:val="left"/>
              <w:rPr>
                <w:rFonts w:ascii="宋体"/>
                <w:b/>
                <w:sz w:val="14"/>
              </w:rPr>
            </w:pPr>
          </w:p>
          <w:p>
            <w:pPr>
              <w:pStyle w:val="TableParagraph"/>
              <w:spacing w:before="0"/>
              <w:ind w:left="258"/>
              <w:jc w:val="left"/>
              <w:rPr>
                <w:rFonts w:ascii="宋体" w:eastAsia="宋体" w:hint="eastAsia"/>
                <w:sz w:val="21"/>
              </w:rPr>
            </w:pPr>
            <w:r>
              <w:rPr>
                <w:rFonts w:ascii="宋体" w:eastAsia="宋体" w:hint="eastAsia"/>
                <w:sz w:val="21"/>
              </w:rPr>
              <w:t>地表水</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5"/>
              <w:ind w:left="161"/>
              <w:jc w:val="left"/>
              <w:rPr>
                <w:rFonts w:ascii="宋体" w:eastAsia="宋体" w:hint="eastAsia"/>
                <w:sz w:val="21"/>
              </w:rPr>
            </w:pPr>
            <w:r>
              <w:rPr>
                <w:rFonts w:ascii="宋体" w:eastAsia="宋体" w:hint="eastAsia"/>
                <w:sz w:val="21"/>
              </w:rPr>
              <w:t>地表水功能敏感性</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9"/>
              <w:ind w:left="521" w:right="502"/>
              <w:rPr>
                <w:rFonts w:ascii="Wingdings" w:hAnsi="Wingdings"/>
                <w:sz w:val="21"/>
              </w:rPr>
            </w:pPr>
            <w:r>
              <w:rPr>
                <w:sz w:val="21"/>
              </w:rPr>
              <w:t>F1 </w:t>
            </w:r>
            <w:r>
              <w:rPr>
                <w:rFonts w:ascii="Wingdings" w:hAnsi="Wingdings"/>
                <w:sz w:val="21"/>
              </w:rPr>
              <w:t></w:t>
            </w:r>
          </w:p>
        </w:tc>
        <w:tc>
          <w:tcPr>
            <w:tcW w:w="170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5"/>
              <w:ind w:left="573" w:right="555"/>
              <w:rPr>
                <w:rFonts w:ascii="宋体" w:hAnsi="宋体"/>
                <w:sz w:val="21"/>
              </w:rPr>
            </w:pPr>
            <w:r>
              <w:rPr>
                <w:sz w:val="21"/>
              </w:rPr>
              <w:t>F2 </w:t>
            </w:r>
            <w:r>
              <w:rPr>
                <w:rFonts w:ascii="宋体" w:hAnsi="宋体"/>
                <w:sz w:val="21"/>
              </w:rPr>
              <w:t>□</w:t>
            </w:r>
          </w:p>
        </w:tc>
        <w:tc>
          <w:tcPr>
            <w:tcW w:w="1230" w:type="dxa"/>
            <w:tcBorders>
              <w:top w:val="single" w:sz="6" w:space="0" w:color="000000"/>
              <w:left w:val="single" w:sz="6" w:space="0" w:color="000000"/>
              <w:bottom w:val="single" w:sz="6" w:space="0" w:color="000000"/>
            </w:tcBorders>
          </w:tcPr>
          <w:p>
            <w:pPr>
              <w:pStyle w:val="TableParagraph"/>
              <w:spacing w:before="25"/>
              <w:ind w:left="25"/>
              <w:rPr>
                <w:rFonts w:ascii="宋体" w:hAnsi="宋体"/>
                <w:sz w:val="21"/>
              </w:rPr>
            </w:pPr>
            <w:r>
              <w:rPr>
                <w:sz w:val="21"/>
              </w:rPr>
              <w:t>F3 </w:t>
            </w:r>
            <w:r>
              <w:rPr>
                <w:rFonts w:ascii="宋体" w:hAnsi="宋体"/>
                <w:sz w:val="21"/>
              </w:rPr>
              <w:t>□</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8" w:space="0" w:color="000000"/>
            </w:tcBorders>
          </w:tcPr>
          <w:p>
            <w:pPr>
              <w:rPr>
                <w:sz w:val="2"/>
                <w:szCs w:val="2"/>
              </w:rPr>
            </w:pP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2"/>
              <w:ind w:left="161"/>
              <w:jc w:val="left"/>
              <w:rPr>
                <w:rFonts w:ascii="宋体" w:eastAsia="宋体" w:hint="eastAsia"/>
                <w:sz w:val="21"/>
              </w:rPr>
            </w:pPr>
            <w:r>
              <w:rPr>
                <w:rFonts w:ascii="宋体" w:eastAsia="宋体" w:hint="eastAsia"/>
                <w:sz w:val="21"/>
              </w:rPr>
              <w:t>环境敏感目标分级</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2"/>
              <w:ind w:left="522" w:right="502"/>
              <w:rPr>
                <w:rFonts w:ascii="宋体" w:hAnsi="宋体"/>
                <w:sz w:val="21"/>
              </w:rPr>
            </w:pPr>
            <w:r>
              <w:rPr>
                <w:sz w:val="21"/>
              </w:rPr>
              <w:t>S1 </w:t>
            </w:r>
            <w:r>
              <w:rPr>
                <w:rFonts w:ascii="宋体" w:hAnsi="宋体"/>
                <w:sz w:val="21"/>
              </w:rPr>
              <w:t>□</w:t>
            </w:r>
          </w:p>
        </w:tc>
        <w:tc>
          <w:tcPr>
            <w:tcW w:w="170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36"/>
              <w:ind w:left="571" w:right="555"/>
              <w:rPr>
                <w:rFonts w:ascii="Wingdings" w:hAnsi="Wingdings"/>
                <w:sz w:val="21"/>
              </w:rPr>
            </w:pPr>
            <w:r>
              <w:rPr>
                <w:sz w:val="21"/>
              </w:rPr>
              <w:t>S2 </w:t>
            </w:r>
            <w:r>
              <w:rPr>
                <w:rFonts w:ascii="Wingdings" w:hAnsi="Wingdings"/>
                <w:sz w:val="21"/>
              </w:rPr>
              <w:t></w:t>
            </w:r>
          </w:p>
        </w:tc>
        <w:tc>
          <w:tcPr>
            <w:tcW w:w="1230" w:type="dxa"/>
            <w:tcBorders>
              <w:top w:val="single" w:sz="6" w:space="0" w:color="000000"/>
              <w:left w:val="single" w:sz="6" w:space="0" w:color="000000"/>
              <w:bottom w:val="single" w:sz="6" w:space="0" w:color="000000"/>
            </w:tcBorders>
          </w:tcPr>
          <w:p>
            <w:pPr>
              <w:pStyle w:val="TableParagraph"/>
              <w:spacing w:before="22"/>
              <w:ind w:left="25"/>
              <w:rPr>
                <w:rFonts w:ascii="宋体" w:hAnsi="宋体"/>
                <w:sz w:val="21"/>
              </w:rPr>
            </w:pPr>
            <w:r>
              <w:rPr>
                <w:sz w:val="21"/>
              </w:rPr>
              <w:t>S3 </w:t>
            </w:r>
            <w:r>
              <w:rPr>
                <w:rFonts w:ascii="宋体" w:hAnsi="宋体"/>
                <w:sz w:val="21"/>
              </w:rPr>
              <w:t>□</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val="restart"/>
            <w:tcBorders>
              <w:top w:val="single" w:sz="6" w:space="0" w:color="000000"/>
              <w:left w:val="single" w:sz="6" w:space="0" w:color="000000"/>
              <w:bottom w:val="single" w:sz="6" w:space="0" w:color="000000"/>
              <w:right w:val="single" w:sz="8" w:space="0" w:color="000000"/>
            </w:tcBorders>
          </w:tcPr>
          <w:p>
            <w:pPr>
              <w:pStyle w:val="TableParagraph"/>
              <w:spacing w:before="6"/>
              <w:jc w:val="left"/>
              <w:rPr>
                <w:rFonts w:ascii="宋体"/>
                <w:b/>
                <w:sz w:val="14"/>
              </w:rPr>
            </w:pPr>
          </w:p>
          <w:p>
            <w:pPr>
              <w:pStyle w:val="TableParagraph"/>
              <w:spacing w:before="0"/>
              <w:ind w:left="258"/>
              <w:jc w:val="left"/>
              <w:rPr>
                <w:rFonts w:ascii="宋体" w:eastAsia="宋体" w:hint="eastAsia"/>
                <w:sz w:val="21"/>
              </w:rPr>
            </w:pPr>
            <w:r>
              <w:rPr>
                <w:rFonts w:ascii="宋体" w:eastAsia="宋体" w:hint="eastAsia"/>
                <w:sz w:val="21"/>
              </w:rPr>
              <w:t>地下水</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2"/>
              <w:ind w:left="161"/>
              <w:jc w:val="left"/>
              <w:rPr>
                <w:rFonts w:ascii="宋体" w:eastAsia="宋体" w:hint="eastAsia"/>
                <w:sz w:val="21"/>
              </w:rPr>
            </w:pPr>
            <w:r>
              <w:rPr>
                <w:rFonts w:ascii="宋体" w:eastAsia="宋体" w:hint="eastAsia"/>
                <w:sz w:val="21"/>
              </w:rPr>
              <w:t>地下水功能敏感性</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2"/>
              <w:ind w:left="525"/>
              <w:jc w:val="left"/>
              <w:rPr>
                <w:rFonts w:ascii="宋体" w:hAnsi="宋体"/>
                <w:sz w:val="21"/>
              </w:rPr>
            </w:pPr>
            <w:r>
              <w:rPr>
                <w:sz w:val="21"/>
              </w:rPr>
              <w:t>G1 </w:t>
            </w:r>
            <w:r>
              <w:rPr>
                <w:rFonts w:ascii="宋体" w:hAnsi="宋体"/>
                <w:sz w:val="21"/>
              </w:rPr>
              <w:t>□</w:t>
            </w:r>
          </w:p>
        </w:tc>
        <w:tc>
          <w:tcPr>
            <w:tcW w:w="170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573" w:right="555"/>
              <w:rPr>
                <w:rFonts w:ascii="宋体" w:hAnsi="宋体"/>
                <w:sz w:val="21"/>
              </w:rPr>
            </w:pPr>
            <w:r>
              <w:rPr>
                <w:sz w:val="21"/>
              </w:rPr>
              <w:t>G2 </w:t>
            </w:r>
            <w:r>
              <w:rPr>
                <w:rFonts w:ascii="宋体" w:hAnsi="宋体"/>
                <w:sz w:val="21"/>
              </w:rPr>
              <w:t>□</w:t>
            </w:r>
          </w:p>
        </w:tc>
        <w:tc>
          <w:tcPr>
            <w:tcW w:w="1230" w:type="dxa"/>
            <w:tcBorders>
              <w:top w:val="single" w:sz="6" w:space="0" w:color="000000"/>
              <w:left w:val="single" w:sz="6" w:space="0" w:color="000000"/>
              <w:bottom w:val="single" w:sz="6" w:space="0" w:color="000000"/>
            </w:tcBorders>
          </w:tcPr>
          <w:p>
            <w:pPr>
              <w:pStyle w:val="TableParagraph"/>
              <w:spacing w:before="36"/>
              <w:ind w:left="22"/>
              <w:rPr>
                <w:rFonts w:ascii="Wingdings" w:hAnsi="Wingdings"/>
                <w:sz w:val="21"/>
              </w:rPr>
            </w:pPr>
            <w:r>
              <w:rPr>
                <w:sz w:val="21"/>
              </w:rPr>
              <w:t>G3 </w:t>
            </w:r>
            <w:r>
              <w:rPr>
                <w:rFonts w:ascii="Wingdings" w:hAnsi="Wingdings"/>
                <w:sz w:val="21"/>
              </w:rPr>
              <w:t></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8" w:space="0" w:color="000000"/>
            </w:tcBorders>
          </w:tcPr>
          <w:p>
            <w:pPr>
              <w:rPr>
                <w:sz w:val="2"/>
                <w:szCs w:val="2"/>
              </w:rPr>
            </w:pP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2"/>
              <w:ind w:left="266"/>
              <w:jc w:val="left"/>
              <w:rPr>
                <w:rFonts w:ascii="宋体" w:eastAsia="宋体" w:hint="eastAsia"/>
                <w:sz w:val="21"/>
              </w:rPr>
            </w:pPr>
            <w:r>
              <w:rPr>
                <w:rFonts w:ascii="宋体" w:eastAsia="宋体" w:hint="eastAsia"/>
                <w:sz w:val="21"/>
              </w:rPr>
              <w:t>包气带防污性能</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36"/>
              <w:ind w:left="537"/>
              <w:jc w:val="left"/>
              <w:rPr>
                <w:rFonts w:ascii="Wingdings" w:hAnsi="Wingdings"/>
                <w:sz w:val="21"/>
              </w:rPr>
            </w:pPr>
            <w:r>
              <w:rPr>
                <w:sz w:val="21"/>
              </w:rPr>
              <w:t>D1 </w:t>
            </w:r>
            <w:r>
              <w:rPr>
                <w:rFonts w:ascii="Wingdings" w:hAnsi="Wingdings"/>
                <w:sz w:val="21"/>
              </w:rPr>
              <w:t></w:t>
            </w:r>
          </w:p>
        </w:tc>
        <w:tc>
          <w:tcPr>
            <w:tcW w:w="170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573" w:right="555"/>
              <w:rPr>
                <w:rFonts w:ascii="宋体" w:hAnsi="宋体"/>
                <w:sz w:val="21"/>
              </w:rPr>
            </w:pPr>
            <w:r>
              <w:rPr>
                <w:sz w:val="21"/>
              </w:rPr>
              <w:t>D2 </w:t>
            </w:r>
            <w:r>
              <w:rPr>
                <w:rFonts w:ascii="宋体" w:hAnsi="宋体"/>
                <w:sz w:val="21"/>
              </w:rPr>
              <w:t>□</w:t>
            </w:r>
          </w:p>
        </w:tc>
        <w:tc>
          <w:tcPr>
            <w:tcW w:w="1230" w:type="dxa"/>
            <w:tcBorders>
              <w:top w:val="single" w:sz="6" w:space="0" w:color="000000"/>
              <w:left w:val="single" w:sz="6" w:space="0" w:color="000000"/>
              <w:bottom w:val="single" w:sz="6" w:space="0" w:color="000000"/>
            </w:tcBorders>
          </w:tcPr>
          <w:p>
            <w:pPr>
              <w:pStyle w:val="TableParagraph"/>
              <w:spacing w:before="22"/>
              <w:ind w:left="25"/>
              <w:rPr>
                <w:rFonts w:ascii="宋体" w:hAnsi="宋体"/>
                <w:sz w:val="21"/>
              </w:rPr>
            </w:pPr>
            <w:r>
              <w:rPr>
                <w:sz w:val="21"/>
              </w:rPr>
              <w:t>D3 </w:t>
            </w:r>
            <w:r>
              <w:rPr>
                <w:rFonts w:ascii="宋体" w:hAnsi="宋体"/>
                <w:sz w:val="21"/>
              </w:rPr>
              <w:t>□</w:t>
            </w:r>
          </w:p>
        </w:tc>
      </w:tr>
      <w:tr>
        <w:trPr>
          <w:trHeight w:val="313" w:hRule="atLeast"/>
        </w:trPr>
        <w:tc>
          <w:tcPr>
            <w:tcW w:w="1817" w:type="dxa"/>
            <w:gridSpan w:val="2"/>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5"/>
              </w:rPr>
            </w:pPr>
          </w:p>
          <w:p>
            <w:pPr>
              <w:pStyle w:val="TableParagraph"/>
              <w:spacing w:line="278" w:lineRule="auto" w:before="0"/>
              <w:ind w:left="592" w:right="146" w:hanging="420"/>
              <w:jc w:val="left"/>
              <w:rPr>
                <w:rFonts w:ascii="宋体" w:eastAsia="宋体" w:hint="eastAsia"/>
                <w:sz w:val="21"/>
              </w:rPr>
            </w:pPr>
            <w:r>
              <w:rPr>
                <w:rFonts w:ascii="宋体" w:eastAsia="宋体" w:hint="eastAsia"/>
                <w:sz w:val="21"/>
              </w:rPr>
              <w:t>物质及工艺系统危险性</w:t>
            </w: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5"/>
              <w:ind w:left="134" w:right="95"/>
              <w:rPr>
                <w:rFonts w:ascii="宋体" w:eastAsia="宋体" w:hint="eastAsia"/>
                <w:sz w:val="21"/>
              </w:rPr>
            </w:pPr>
            <w:r>
              <w:rPr>
                <w:i/>
                <w:sz w:val="21"/>
              </w:rPr>
              <w:t>Q </w:t>
            </w:r>
            <w:r>
              <w:rPr>
                <w:rFonts w:ascii="宋体" w:eastAsia="宋体" w:hint="eastAsia"/>
                <w:sz w:val="21"/>
              </w:rPr>
              <w:t>值</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5"/>
              <w:ind w:left="648"/>
              <w:jc w:val="left"/>
              <w:rPr>
                <w:rFonts w:ascii="Wingdings" w:hAnsi="Wingdings"/>
                <w:sz w:val="21"/>
              </w:rPr>
            </w:pPr>
            <w:r>
              <w:rPr>
                <w:i/>
                <w:sz w:val="21"/>
              </w:rPr>
              <w:t>Q</w:t>
            </w:r>
            <w:r>
              <w:rPr>
                <w:rFonts w:ascii="宋体" w:hAnsi="宋体"/>
                <w:sz w:val="21"/>
              </w:rPr>
              <w:t>＜</w:t>
            </w:r>
            <w:r>
              <w:rPr>
                <w:sz w:val="21"/>
              </w:rPr>
              <w:t>1 </w:t>
            </w:r>
            <w:r>
              <w:rPr>
                <w:rFonts w:ascii="Wingdings" w:hAnsi="Wingdings"/>
                <w:sz w:val="21"/>
              </w:rPr>
              <w:t></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258"/>
              <w:jc w:val="left"/>
              <w:rPr>
                <w:rFonts w:ascii="宋体" w:hAnsi="宋体" w:eastAsia="宋体" w:hint="eastAsia"/>
                <w:sz w:val="21"/>
              </w:rPr>
            </w:pPr>
            <w:r>
              <w:rPr>
                <w:sz w:val="21"/>
              </w:rPr>
              <w:t>1≤</w:t>
            </w:r>
            <w:r>
              <w:rPr>
                <w:i/>
                <w:sz w:val="21"/>
              </w:rPr>
              <w:t>Q</w:t>
            </w:r>
            <w:r>
              <w:rPr>
                <w:rFonts w:ascii="宋体" w:hAnsi="宋体" w:eastAsia="宋体" w:hint="eastAsia"/>
                <w:sz w:val="21"/>
              </w:rPr>
              <w:t>＜</w:t>
            </w:r>
            <w:r>
              <w:rPr>
                <w:sz w:val="21"/>
              </w:rPr>
              <w:t>10 </w:t>
            </w:r>
            <w:r>
              <w:rPr>
                <w:rFonts w:ascii="宋体" w:hAnsi="宋体" w:eastAsia="宋体" w:hint="eastAsia"/>
                <w:sz w:val="21"/>
              </w:rPr>
              <w:t>□</w:t>
            </w:r>
          </w:p>
        </w:tc>
        <w:tc>
          <w:tcPr>
            <w:tcW w:w="170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5"/>
              <w:ind w:left="220"/>
              <w:jc w:val="left"/>
              <w:rPr>
                <w:rFonts w:ascii="宋体" w:hAnsi="宋体" w:eastAsia="宋体" w:hint="eastAsia"/>
                <w:sz w:val="21"/>
              </w:rPr>
            </w:pPr>
            <w:r>
              <w:rPr>
                <w:sz w:val="21"/>
              </w:rPr>
              <w:t>10≤</w:t>
            </w:r>
            <w:r>
              <w:rPr>
                <w:i/>
                <w:sz w:val="21"/>
              </w:rPr>
              <w:t>Q</w:t>
            </w:r>
            <w:r>
              <w:rPr>
                <w:rFonts w:ascii="宋体" w:hAnsi="宋体" w:eastAsia="宋体" w:hint="eastAsia"/>
                <w:sz w:val="21"/>
              </w:rPr>
              <w:t>＜</w:t>
            </w:r>
            <w:r>
              <w:rPr>
                <w:sz w:val="21"/>
              </w:rPr>
              <w:t>100 </w:t>
            </w:r>
            <w:r>
              <w:rPr>
                <w:rFonts w:ascii="宋体" w:hAnsi="宋体" w:eastAsia="宋体" w:hint="eastAsia"/>
                <w:sz w:val="21"/>
              </w:rPr>
              <w:t>□</w:t>
            </w:r>
          </w:p>
        </w:tc>
        <w:tc>
          <w:tcPr>
            <w:tcW w:w="1230" w:type="dxa"/>
            <w:tcBorders>
              <w:top w:val="single" w:sz="6" w:space="0" w:color="000000"/>
              <w:left w:val="single" w:sz="6" w:space="0" w:color="000000"/>
              <w:bottom w:val="single" w:sz="6" w:space="0" w:color="000000"/>
            </w:tcBorders>
          </w:tcPr>
          <w:p>
            <w:pPr>
              <w:pStyle w:val="TableParagraph"/>
              <w:spacing w:before="25"/>
              <w:ind w:left="23"/>
              <w:rPr>
                <w:rFonts w:ascii="宋体" w:hAnsi="宋体" w:eastAsia="宋体" w:hint="eastAsia"/>
                <w:sz w:val="21"/>
              </w:rPr>
            </w:pPr>
            <w:r>
              <w:rPr>
                <w:i/>
                <w:sz w:val="21"/>
              </w:rPr>
              <w:t>Q</w:t>
            </w:r>
            <w:r>
              <w:rPr>
                <w:rFonts w:ascii="宋体" w:hAnsi="宋体" w:eastAsia="宋体" w:hint="eastAsia"/>
                <w:sz w:val="21"/>
              </w:rPr>
              <w:t>＞</w:t>
            </w:r>
            <w:r>
              <w:rPr>
                <w:sz w:val="21"/>
              </w:rPr>
              <w:t>100 </w:t>
            </w:r>
            <w:r>
              <w:rPr>
                <w:rFonts w:ascii="宋体" w:hAnsi="宋体" w:eastAsia="宋体" w:hint="eastAsia"/>
                <w:sz w:val="21"/>
              </w:rPr>
              <w:t>□</w:t>
            </w:r>
          </w:p>
        </w:tc>
      </w:tr>
      <w:tr>
        <w:trPr>
          <w:trHeight w:val="311" w:hRule="atLeast"/>
        </w:trPr>
        <w:tc>
          <w:tcPr>
            <w:tcW w:w="1817" w:type="dxa"/>
            <w:gridSpan w:val="2"/>
            <w:vMerge/>
            <w:tcBorders>
              <w:top w:val="nil"/>
              <w:bottom w:val="single" w:sz="6" w:space="0" w:color="000000"/>
              <w:right w:val="single" w:sz="6" w:space="0" w:color="000000"/>
            </w:tcBorders>
          </w:tcPr>
          <w:p>
            <w:pPr>
              <w:rPr>
                <w:sz w:val="2"/>
                <w:szCs w:val="2"/>
              </w:rPr>
            </w:pP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2"/>
              <w:ind w:left="134" w:right="95"/>
              <w:rPr>
                <w:rFonts w:ascii="宋体" w:eastAsia="宋体" w:hint="eastAsia"/>
                <w:sz w:val="21"/>
              </w:rPr>
            </w:pPr>
            <w:r>
              <w:rPr>
                <w:sz w:val="21"/>
              </w:rPr>
              <w:t>M </w:t>
            </w:r>
            <w:r>
              <w:rPr>
                <w:rFonts w:ascii="宋体" w:eastAsia="宋体" w:hint="eastAsia"/>
                <w:sz w:val="21"/>
              </w:rPr>
              <w:t>值</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2"/>
              <w:ind w:left="706" w:right="673"/>
              <w:rPr>
                <w:rFonts w:ascii="宋体" w:hAnsi="宋体"/>
                <w:sz w:val="21"/>
              </w:rPr>
            </w:pPr>
            <w:r>
              <w:rPr>
                <w:sz w:val="21"/>
              </w:rPr>
              <w:t>M1 </w:t>
            </w:r>
            <w:r>
              <w:rPr>
                <w:rFonts w:ascii="宋体" w:hAnsi="宋体"/>
                <w:sz w:val="21"/>
              </w:rPr>
              <w:t>□</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2"/>
              <w:ind w:left="508"/>
              <w:jc w:val="left"/>
              <w:rPr>
                <w:rFonts w:ascii="宋体" w:hAnsi="宋体"/>
                <w:sz w:val="21"/>
              </w:rPr>
            </w:pPr>
            <w:r>
              <w:rPr>
                <w:sz w:val="21"/>
              </w:rPr>
              <w:t>M2 </w:t>
            </w:r>
            <w:r>
              <w:rPr>
                <w:rFonts w:ascii="宋体" w:hAnsi="宋体"/>
                <w:sz w:val="21"/>
              </w:rPr>
              <w:t>□</w:t>
            </w:r>
          </w:p>
        </w:tc>
        <w:tc>
          <w:tcPr>
            <w:tcW w:w="170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575"/>
              <w:jc w:val="left"/>
              <w:rPr>
                <w:rFonts w:ascii="宋体" w:hAnsi="宋体"/>
                <w:sz w:val="21"/>
              </w:rPr>
            </w:pPr>
            <w:r>
              <w:rPr>
                <w:sz w:val="21"/>
              </w:rPr>
              <w:t>M3 </w:t>
            </w:r>
            <w:r>
              <w:rPr>
                <w:rFonts w:ascii="宋体" w:hAnsi="宋体"/>
                <w:sz w:val="21"/>
              </w:rPr>
              <w:t>□</w:t>
            </w:r>
          </w:p>
        </w:tc>
        <w:tc>
          <w:tcPr>
            <w:tcW w:w="1230" w:type="dxa"/>
            <w:tcBorders>
              <w:top w:val="single" w:sz="6" w:space="0" w:color="000000"/>
              <w:left w:val="single" w:sz="6" w:space="0" w:color="000000"/>
              <w:bottom w:val="single" w:sz="6" w:space="0" w:color="000000"/>
            </w:tcBorders>
          </w:tcPr>
          <w:p>
            <w:pPr>
              <w:pStyle w:val="TableParagraph"/>
              <w:spacing w:before="36"/>
              <w:ind w:left="22"/>
              <w:rPr>
                <w:rFonts w:ascii="Wingdings" w:hAnsi="Wingdings"/>
                <w:sz w:val="21"/>
              </w:rPr>
            </w:pPr>
            <w:r>
              <w:rPr>
                <w:sz w:val="21"/>
              </w:rPr>
              <w:t>M4 </w:t>
            </w:r>
            <w:r>
              <w:rPr>
                <w:rFonts w:ascii="Wingdings" w:hAnsi="Wingdings"/>
                <w:sz w:val="21"/>
              </w:rPr>
              <w:t></w:t>
            </w:r>
          </w:p>
        </w:tc>
      </w:tr>
      <w:tr>
        <w:trPr>
          <w:trHeight w:val="311" w:hRule="atLeast"/>
        </w:trPr>
        <w:tc>
          <w:tcPr>
            <w:tcW w:w="1817" w:type="dxa"/>
            <w:gridSpan w:val="2"/>
            <w:vMerge/>
            <w:tcBorders>
              <w:top w:val="nil"/>
              <w:bottom w:val="single" w:sz="6" w:space="0" w:color="000000"/>
              <w:right w:val="single" w:sz="6" w:space="0" w:color="000000"/>
            </w:tcBorders>
          </w:tcPr>
          <w:p>
            <w:pPr>
              <w:rPr>
                <w:sz w:val="2"/>
                <w:szCs w:val="2"/>
              </w:rPr>
            </w:pP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2"/>
              <w:ind w:left="134" w:right="97"/>
              <w:rPr>
                <w:rFonts w:ascii="宋体" w:eastAsia="宋体" w:hint="eastAsia"/>
                <w:sz w:val="21"/>
              </w:rPr>
            </w:pPr>
            <w:r>
              <w:rPr>
                <w:sz w:val="21"/>
              </w:rPr>
              <w:t>P </w:t>
            </w:r>
            <w:r>
              <w:rPr>
                <w:rFonts w:ascii="宋体" w:eastAsia="宋体" w:hint="eastAsia"/>
                <w:sz w:val="21"/>
              </w:rPr>
              <w:t>值</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2"/>
              <w:ind w:left="704" w:right="673"/>
              <w:rPr>
                <w:rFonts w:ascii="宋体" w:hAnsi="宋体"/>
                <w:sz w:val="21"/>
              </w:rPr>
            </w:pPr>
            <w:r>
              <w:rPr>
                <w:sz w:val="21"/>
              </w:rPr>
              <w:t>P1 </w:t>
            </w:r>
            <w:r>
              <w:rPr>
                <w:rFonts w:ascii="宋体" w:hAnsi="宋体"/>
                <w:sz w:val="21"/>
              </w:rPr>
              <w:t>□</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2"/>
              <w:ind w:left="522" w:right="502"/>
              <w:rPr>
                <w:rFonts w:ascii="宋体" w:hAnsi="宋体"/>
                <w:sz w:val="21"/>
              </w:rPr>
            </w:pPr>
            <w:r>
              <w:rPr>
                <w:sz w:val="21"/>
              </w:rPr>
              <w:t>P2 </w:t>
            </w:r>
            <w:r>
              <w:rPr>
                <w:rFonts w:ascii="宋体" w:hAnsi="宋体"/>
                <w:sz w:val="21"/>
              </w:rPr>
              <w:t>□</w:t>
            </w:r>
          </w:p>
        </w:tc>
        <w:tc>
          <w:tcPr>
            <w:tcW w:w="1703"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573" w:right="555"/>
              <w:rPr>
                <w:rFonts w:ascii="宋体" w:hAnsi="宋体"/>
                <w:sz w:val="21"/>
              </w:rPr>
            </w:pPr>
            <w:r>
              <w:rPr>
                <w:sz w:val="21"/>
              </w:rPr>
              <w:t>P3 </w:t>
            </w:r>
            <w:r>
              <w:rPr>
                <w:rFonts w:ascii="宋体" w:hAnsi="宋体"/>
                <w:sz w:val="21"/>
              </w:rPr>
              <w:t>□</w:t>
            </w:r>
          </w:p>
        </w:tc>
        <w:tc>
          <w:tcPr>
            <w:tcW w:w="1230" w:type="dxa"/>
            <w:tcBorders>
              <w:top w:val="single" w:sz="6" w:space="0" w:color="000000"/>
              <w:left w:val="single" w:sz="6" w:space="0" w:color="000000"/>
              <w:bottom w:val="single" w:sz="6" w:space="0" w:color="000000"/>
            </w:tcBorders>
          </w:tcPr>
          <w:p>
            <w:pPr>
              <w:pStyle w:val="TableParagraph"/>
              <w:spacing w:before="36"/>
              <w:ind w:left="24"/>
              <w:rPr>
                <w:rFonts w:ascii="Wingdings" w:hAnsi="Wingdings"/>
                <w:sz w:val="21"/>
              </w:rPr>
            </w:pPr>
            <w:r>
              <w:rPr>
                <w:sz w:val="21"/>
              </w:rPr>
              <w:t>P4 </w:t>
            </w:r>
            <w:r>
              <w:rPr>
                <w:rFonts w:ascii="Wingdings" w:hAnsi="Wingdings"/>
                <w:sz w:val="21"/>
              </w:rPr>
              <w:t></w:t>
            </w:r>
          </w:p>
        </w:tc>
      </w:tr>
      <w:tr>
        <w:trPr>
          <w:trHeight w:val="311" w:hRule="atLeast"/>
        </w:trPr>
        <w:tc>
          <w:tcPr>
            <w:tcW w:w="1817" w:type="dxa"/>
            <w:gridSpan w:val="2"/>
            <w:vMerge w:val="restart"/>
            <w:tcBorders>
              <w:top w:val="single" w:sz="6" w:space="0" w:color="000000"/>
              <w:bottom w:val="single" w:sz="6" w:space="0" w:color="000000"/>
              <w:right w:val="single" w:sz="6" w:space="0" w:color="000000"/>
            </w:tcBorders>
          </w:tcPr>
          <w:p>
            <w:pPr>
              <w:pStyle w:val="TableParagraph"/>
              <w:spacing w:before="3"/>
              <w:jc w:val="left"/>
              <w:rPr>
                <w:rFonts w:ascii="宋体"/>
                <w:b/>
                <w:sz w:val="15"/>
              </w:rPr>
            </w:pPr>
          </w:p>
          <w:p>
            <w:pPr>
              <w:pStyle w:val="TableParagraph"/>
              <w:spacing w:line="278" w:lineRule="auto" w:before="0"/>
              <w:ind w:left="697" w:right="463" w:hanging="212"/>
              <w:jc w:val="left"/>
              <w:rPr>
                <w:rFonts w:ascii="宋体" w:eastAsia="宋体" w:hint="eastAsia"/>
                <w:sz w:val="21"/>
              </w:rPr>
            </w:pPr>
            <w:r>
              <w:rPr>
                <w:rFonts w:ascii="宋体" w:eastAsia="宋体" w:hint="eastAsia"/>
                <w:sz w:val="21"/>
              </w:rPr>
              <w:t>环境敏感程度</w:t>
            </w: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2"/>
              <w:ind w:left="134" w:right="95"/>
              <w:rPr>
                <w:rFonts w:ascii="宋体" w:eastAsia="宋体" w:hint="eastAsia"/>
                <w:sz w:val="21"/>
              </w:rPr>
            </w:pPr>
            <w:r>
              <w:rPr>
                <w:rFonts w:ascii="宋体" w:eastAsia="宋体" w:hint="eastAsia"/>
                <w:sz w:val="21"/>
              </w:rPr>
              <w:t>大气</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36"/>
              <w:ind w:left="705" w:right="673"/>
              <w:rPr>
                <w:rFonts w:ascii="Wingdings" w:hAnsi="Wingdings"/>
                <w:sz w:val="21"/>
              </w:rPr>
            </w:pPr>
            <w:r>
              <w:rPr>
                <w:sz w:val="21"/>
              </w:rPr>
              <w:t>E1 </w:t>
            </w:r>
            <w:r>
              <w:rPr>
                <w:rFonts w:ascii="Wingdings" w:hAnsi="Wingdings"/>
                <w:sz w:val="21"/>
              </w:rPr>
              <w:t></w:t>
            </w:r>
          </w:p>
        </w:tc>
        <w:tc>
          <w:tcPr>
            <w:tcW w:w="213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2"/>
              <w:ind w:left="799" w:right="780"/>
              <w:rPr>
                <w:rFonts w:ascii="宋体" w:hAnsi="宋体"/>
                <w:sz w:val="21"/>
              </w:rPr>
            </w:pPr>
            <w:r>
              <w:rPr>
                <w:sz w:val="21"/>
              </w:rPr>
              <w:t>E2 </w:t>
            </w:r>
            <w:r>
              <w:rPr>
                <w:rFonts w:ascii="宋体" w:hAnsi="宋体"/>
                <w:sz w:val="21"/>
              </w:rPr>
              <w:t>□</w:t>
            </w:r>
          </w:p>
        </w:tc>
        <w:tc>
          <w:tcPr>
            <w:tcW w:w="2368" w:type="dxa"/>
            <w:gridSpan w:val="3"/>
            <w:tcBorders>
              <w:top w:val="single" w:sz="6" w:space="0" w:color="000000"/>
              <w:left w:val="single" w:sz="6" w:space="0" w:color="000000"/>
              <w:bottom w:val="single" w:sz="6" w:space="0" w:color="000000"/>
            </w:tcBorders>
          </w:tcPr>
          <w:p>
            <w:pPr>
              <w:pStyle w:val="TableParagraph"/>
              <w:spacing w:before="22"/>
              <w:ind w:left="918" w:right="890"/>
              <w:rPr>
                <w:rFonts w:ascii="宋体" w:hAnsi="宋体"/>
                <w:sz w:val="21"/>
              </w:rPr>
            </w:pPr>
            <w:r>
              <w:rPr>
                <w:sz w:val="21"/>
              </w:rPr>
              <w:t>E3 </w:t>
            </w:r>
            <w:r>
              <w:rPr>
                <w:rFonts w:ascii="宋体" w:hAnsi="宋体"/>
                <w:sz w:val="21"/>
              </w:rPr>
              <w:t>□</w:t>
            </w:r>
          </w:p>
        </w:tc>
      </w:tr>
      <w:tr>
        <w:trPr>
          <w:trHeight w:val="313" w:hRule="atLeast"/>
        </w:trPr>
        <w:tc>
          <w:tcPr>
            <w:tcW w:w="1817" w:type="dxa"/>
            <w:gridSpan w:val="2"/>
            <w:vMerge/>
            <w:tcBorders>
              <w:top w:val="nil"/>
              <w:bottom w:val="single" w:sz="6" w:space="0" w:color="000000"/>
              <w:right w:val="single" w:sz="6" w:space="0" w:color="000000"/>
            </w:tcBorders>
          </w:tcPr>
          <w:p>
            <w:pPr>
              <w:rPr>
                <w:sz w:val="2"/>
                <w:szCs w:val="2"/>
              </w:rPr>
            </w:pP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5"/>
              <w:ind w:left="134" w:right="96"/>
              <w:rPr>
                <w:rFonts w:ascii="宋体" w:eastAsia="宋体" w:hint="eastAsia"/>
                <w:sz w:val="21"/>
              </w:rPr>
            </w:pPr>
            <w:r>
              <w:rPr>
                <w:rFonts w:ascii="宋体" w:eastAsia="宋体" w:hint="eastAsia"/>
                <w:sz w:val="21"/>
              </w:rPr>
              <w:t>地表水</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39"/>
              <w:ind w:left="705" w:right="673"/>
              <w:rPr>
                <w:rFonts w:ascii="Wingdings" w:hAnsi="Wingdings"/>
                <w:sz w:val="21"/>
              </w:rPr>
            </w:pPr>
            <w:r>
              <w:rPr>
                <w:sz w:val="21"/>
              </w:rPr>
              <w:t>E1 </w:t>
            </w:r>
            <w:r>
              <w:rPr>
                <w:rFonts w:ascii="Wingdings" w:hAnsi="Wingdings"/>
                <w:sz w:val="21"/>
              </w:rPr>
              <w:t></w:t>
            </w:r>
          </w:p>
        </w:tc>
        <w:tc>
          <w:tcPr>
            <w:tcW w:w="213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5"/>
              <w:ind w:left="799" w:right="780"/>
              <w:rPr>
                <w:rFonts w:ascii="宋体" w:hAnsi="宋体"/>
                <w:sz w:val="21"/>
              </w:rPr>
            </w:pPr>
            <w:r>
              <w:rPr>
                <w:sz w:val="21"/>
              </w:rPr>
              <w:t>E2 </w:t>
            </w:r>
            <w:r>
              <w:rPr>
                <w:rFonts w:ascii="宋体" w:hAnsi="宋体"/>
                <w:sz w:val="21"/>
              </w:rPr>
              <w:t>□</w:t>
            </w:r>
          </w:p>
        </w:tc>
        <w:tc>
          <w:tcPr>
            <w:tcW w:w="2368" w:type="dxa"/>
            <w:gridSpan w:val="3"/>
            <w:tcBorders>
              <w:top w:val="single" w:sz="6" w:space="0" w:color="000000"/>
              <w:left w:val="single" w:sz="6" w:space="0" w:color="000000"/>
              <w:bottom w:val="single" w:sz="6" w:space="0" w:color="000000"/>
            </w:tcBorders>
          </w:tcPr>
          <w:p>
            <w:pPr>
              <w:pStyle w:val="TableParagraph"/>
              <w:spacing w:before="25"/>
              <w:ind w:left="918" w:right="890"/>
              <w:rPr>
                <w:rFonts w:ascii="宋体" w:hAnsi="宋体"/>
                <w:sz w:val="21"/>
              </w:rPr>
            </w:pPr>
            <w:r>
              <w:rPr>
                <w:sz w:val="21"/>
              </w:rPr>
              <w:t>E3 </w:t>
            </w:r>
            <w:r>
              <w:rPr>
                <w:rFonts w:ascii="宋体" w:hAnsi="宋体"/>
                <w:sz w:val="21"/>
              </w:rPr>
              <w:t>□</w:t>
            </w:r>
          </w:p>
        </w:tc>
      </w:tr>
      <w:tr>
        <w:trPr>
          <w:trHeight w:val="311" w:hRule="atLeast"/>
        </w:trPr>
        <w:tc>
          <w:tcPr>
            <w:tcW w:w="1817" w:type="dxa"/>
            <w:gridSpan w:val="2"/>
            <w:vMerge/>
            <w:tcBorders>
              <w:top w:val="nil"/>
              <w:bottom w:val="single" w:sz="6" w:space="0" w:color="000000"/>
              <w:right w:val="single" w:sz="6" w:space="0" w:color="000000"/>
            </w:tcBorders>
          </w:tcPr>
          <w:p>
            <w:pPr>
              <w:rPr>
                <w:sz w:val="2"/>
                <w:szCs w:val="2"/>
              </w:rPr>
            </w:pPr>
          </w:p>
        </w:tc>
        <w:tc>
          <w:tcPr>
            <w:tcW w:w="1130" w:type="dxa"/>
            <w:tcBorders>
              <w:top w:val="single" w:sz="6" w:space="0" w:color="000000"/>
              <w:left w:val="single" w:sz="6" w:space="0" w:color="000000"/>
              <w:bottom w:val="single" w:sz="6" w:space="0" w:color="000000"/>
              <w:right w:val="single" w:sz="8" w:space="0" w:color="000000"/>
            </w:tcBorders>
          </w:tcPr>
          <w:p>
            <w:pPr>
              <w:pStyle w:val="TableParagraph"/>
              <w:spacing w:before="22"/>
              <w:ind w:left="134" w:right="96"/>
              <w:rPr>
                <w:rFonts w:ascii="宋体" w:eastAsia="宋体" w:hint="eastAsia"/>
                <w:sz w:val="21"/>
              </w:rPr>
            </w:pPr>
            <w:r>
              <w:rPr>
                <w:rFonts w:ascii="宋体" w:eastAsia="宋体" w:hint="eastAsia"/>
                <w:sz w:val="21"/>
              </w:rPr>
              <w:t>地下水</w:t>
            </w:r>
          </w:p>
        </w:tc>
        <w:tc>
          <w:tcPr>
            <w:tcW w:w="1991" w:type="dxa"/>
            <w:gridSpan w:val="2"/>
            <w:tcBorders>
              <w:top w:val="single" w:sz="6" w:space="0" w:color="000000"/>
              <w:left w:val="single" w:sz="8" w:space="0" w:color="000000"/>
              <w:bottom w:val="single" w:sz="6" w:space="0" w:color="000000"/>
              <w:right w:val="single" w:sz="6" w:space="0" w:color="000000"/>
            </w:tcBorders>
          </w:tcPr>
          <w:p>
            <w:pPr>
              <w:pStyle w:val="TableParagraph"/>
              <w:spacing w:before="22"/>
              <w:ind w:left="706" w:right="673"/>
              <w:rPr>
                <w:rFonts w:ascii="宋体" w:hAnsi="宋体"/>
                <w:sz w:val="21"/>
              </w:rPr>
            </w:pPr>
            <w:r>
              <w:rPr>
                <w:sz w:val="21"/>
              </w:rPr>
              <w:t>E1 </w:t>
            </w:r>
            <w:r>
              <w:rPr>
                <w:rFonts w:ascii="宋体" w:hAnsi="宋体"/>
                <w:sz w:val="21"/>
              </w:rPr>
              <w:t>□</w:t>
            </w:r>
          </w:p>
        </w:tc>
        <w:tc>
          <w:tcPr>
            <w:tcW w:w="213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36"/>
              <w:ind w:left="798" w:right="780"/>
              <w:rPr>
                <w:rFonts w:ascii="Wingdings" w:hAnsi="Wingdings"/>
                <w:sz w:val="21"/>
              </w:rPr>
            </w:pPr>
            <w:r>
              <w:rPr>
                <w:sz w:val="21"/>
              </w:rPr>
              <w:t>E2 </w:t>
            </w:r>
            <w:r>
              <w:rPr>
                <w:rFonts w:ascii="Wingdings" w:hAnsi="Wingdings"/>
                <w:sz w:val="21"/>
              </w:rPr>
              <w:t></w:t>
            </w:r>
          </w:p>
        </w:tc>
        <w:tc>
          <w:tcPr>
            <w:tcW w:w="2368" w:type="dxa"/>
            <w:gridSpan w:val="3"/>
            <w:tcBorders>
              <w:top w:val="single" w:sz="6" w:space="0" w:color="000000"/>
              <w:left w:val="single" w:sz="6" w:space="0" w:color="000000"/>
              <w:bottom w:val="single" w:sz="6" w:space="0" w:color="000000"/>
            </w:tcBorders>
          </w:tcPr>
          <w:p>
            <w:pPr>
              <w:pStyle w:val="TableParagraph"/>
              <w:spacing w:before="22"/>
              <w:ind w:left="918" w:right="890"/>
              <w:rPr>
                <w:rFonts w:ascii="宋体" w:hAnsi="宋体"/>
                <w:sz w:val="21"/>
              </w:rPr>
            </w:pPr>
            <w:r>
              <w:rPr>
                <w:sz w:val="21"/>
              </w:rPr>
              <w:t>E3 </w:t>
            </w:r>
            <w:r>
              <w:rPr>
                <w:rFonts w:ascii="宋体" w:hAnsi="宋体"/>
                <w:sz w:val="21"/>
              </w:rPr>
              <w:t>□</w:t>
            </w:r>
          </w:p>
        </w:tc>
      </w:tr>
      <w:tr>
        <w:trPr>
          <w:trHeight w:val="313" w:hRule="atLeast"/>
        </w:trPr>
        <w:tc>
          <w:tcPr>
            <w:tcW w:w="1817" w:type="dxa"/>
            <w:gridSpan w:val="2"/>
            <w:tcBorders>
              <w:top w:val="single" w:sz="6" w:space="0" w:color="000000"/>
              <w:bottom w:val="single" w:sz="6" w:space="0" w:color="000000"/>
              <w:right w:val="single" w:sz="6" w:space="0" w:color="000000"/>
            </w:tcBorders>
          </w:tcPr>
          <w:p>
            <w:pPr>
              <w:pStyle w:val="TableParagraph"/>
              <w:spacing w:before="25"/>
              <w:ind w:left="277"/>
              <w:jc w:val="left"/>
              <w:rPr>
                <w:rFonts w:ascii="宋体" w:eastAsia="宋体" w:hint="eastAsia"/>
                <w:sz w:val="21"/>
              </w:rPr>
            </w:pPr>
            <w:r>
              <w:rPr>
                <w:rFonts w:ascii="宋体" w:eastAsia="宋体" w:hint="eastAsia"/>
                <w:sz w:val="21"/>
              </w:rPr>
              <w:t>环境风险潜势</w:t>
            </w:r>
          </w:p>
        </w:tc>
        <w:tc>
          <w:tcPr>
            <w:tcW w:w="1130" w:type="dxa"/>
            <w:tcBorders>
              <w:top w:val="single" w:sz="6" w:space="0" w:color="000000"/>
              <w:left w:val="single" w:sz="6" w:space="0" w:color="000000"/>
              <w:bottom w:val="single" w:sz="6" w:space="0" w:color="000000"/>
              <w:right w:val="single" w:sz="6" w:space="0" w:color="000000"/>
            </w:tcBorders>
          </w:tcPr>
          <w:p>
            <w:pPr>
              <w:pStyle w:val="TableParagraph"/>
              <w:spacing w:before="25"/>
              <w:ind w:left="124" w:right="99"/>
              <w:rPr>
                <w:rFonts w:ascii="宋体" w:hAnsi="宋体"/>
                <w:sz w:val="21"/>
              </w:rPr>
            </w:pPr>
            <w:r>
              <w:rPr>
                <w:rFonts w:ascii="宋体" w:hAnsi="宋体"/>
                <w:sz w:val="21"/>
              </w:rPr>
              <w:t>Ⅳ</w:t>
            </w:r>
            <w:r>
              <w:rPr>
                <w:position w:val="7"/>
                <w:sz w:val="14"/>
              </w:rPr>
              <w:t>+ </w:t>
            </w:r>
            <w:r>
              <w:rPr>
                <w:rFonts w:ascii="宋体" w:hAnsi="宋体"/>
                <w:sz w:val="21"/>
              </w:rPr>
              <w:t>□</w:t>
            </w:r>
          </w:p>
        </w:tc>
        <w:tc>
          <w:tcPr>
            <w:tcW w:w="199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716" w:right="695"/>
              <w:rPr>
                <w:rFonts w:ascii="宋体" w:hAnsi="宋体"/>
                <w:sz w:val="21"/>
              </w:rPr>
            </w:pPr>
            <w:r>
              <w:rPr>
                <w:rFonts w:ascii="宋体" w:hAnsi="宋体"/>
                <w:sz w:val="21"/>
              </w:rPr>
              <w:t>Ⅳ □</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522"/>
              <w:jc w:val="left"/>
              <w:rPr>
                <w:rFonts w:ascii="宋体" w:hAnsi="宋体"/>
                <w:sz w:val="21"/>
              </w:rPr>
            </w:pPr>
            <w:r>
              <w:rPr>
                <w:rFonts w:ascii="宋体" w:hAnsi="宋体"/>
                <w:sz w:val="21"/>
              </w:rPr>
              <w:t>Ⅲ □</w:t>
            </w:r>
          </w:p>
        </w:tc>
        <w:tc>
          <w:tcPr>
            <w:tcW w:w="156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518"/>
              <w:jc w:val="left"/>
              <w:rPr>
                <w:rFonts w:ascii="宋体" w:hAnsi="宋体"/>
                <w:sz w:val="21"/>
              </w:rPr>
            </w:pPr>
            <w:r>
              <w:rPr>
                <w:rFonts w:ascii="宋体" w:hAnsi="宋体"/>
                <w:sz w:val="21"/>
              </w:rPr>
              <w:t>Ⅱ □</w:t>
            </w:r>
          </w:p>
        </w:tc>
        <w:tc>
          <w:tcPr>
            <w:tcW w:w="1372" w:type="dxa"/>
            <w:gridSpan w:val="2"/>
            <w:tcBorders>
              <w:top w:val="single" w:sz="6" w:space="0" w:color="000000"/>
              <w:left w:val="single" w:sz="6" w:space="0" w:color="000000"/>
              <w:bottom w:val="single" w:sz="6" w:space="0" w:color="000000"/>
            </w:tcBorders>
          </w:tcPr>
          <w:p>
            <w:pPr>
              <w:pStyle w:val="TableParagraph"/>
              <w:spacing w:before="39"/>
              <w:ind w:left="515" w:right="486"/>
              <w:rPr>
                <w:rFonts w:ascii="Wingdings" w:hAnsi="Wingdings"/>
                <w:sz w:val="21"/>
              </w:rPr>
            </w:pPr>
            <w:r>
              <w:rPr>
                <w:sz w:val="21"/>
              </w:rPr>
              <w:t>I </w:t>
            </w:r>
            <w:r>
              <w:rPr>
                <w:rFonts w:ascii="Wingdings" w:hAnsi="Wingdings"/>
                <w:sz w:val="21"/>
              </w:rPr>
              <w:t></w:t>
            </w:r>
          </w:p>
        </w:tc>
      </w:tr>
      <w:tr>
        <w:trPr>
          <w:trHeight w:val="313" w:hRule="atLeast"/>
        </w:trPr>
        <w:tc>
          <w:tcPr>
            <w:tcW w:w="1817" w:type="dxa"/>
            <w:gridSpan w:val="2"/>
            <w:tcBorders>
              <w:top w:val="single" w:sz="6" w:space="0" w:color="000000"/>
              <w:bottom w:val="single" w:sz="6" w:space="0" w:color="000000"/>
              <w:right w:val="single" w:sz="6" w:space="0" w:color="000000"/>
            </w:tcBorders>
          </w:tcPr>
          <w:p>
            <w:pPr>
              <w:pStyle w:val="TableParagraph"/>
              <w:spacing w:before="25"/>
              <w:ind w:left="486"/>
              <w:jc w:val="left"/>
              <w:rPr>
                <w:rFonts w:ascii="宋体" w:eastAsia="宋体" w:hint="eastAsia"/>
                <w:sz w:val="21"/>
              </w:rPr>
            </w:pPr>
            <w:r>
              <w:rPr>
                <w:rFonts w:ascii="宋体" w:eastAsia="宋体" w:hint="eastAsia"/>
                <w:sz w:val="21"/>
              </w:rPr>
              <w:t>评价等级</w:t>
            </w:r>
          </w:p>
        </w:tc>
        <w:tc>
          <w:tcPr>
            <w:tcW w:w="312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1180" w:right="1150"/>
              <w:rPr>
                <w:rFonts w:ascii="宋体" w:hAnsi="宋体" w:eastAsia="宋体" w:hint="eastAsia"/>
                <w:sz w:val="21"/>
              </w:rPr>
            </w:pPr>
            <w:r>
              <w:rPr>
                <w:rFonts w:ascii="宋体" w:hAnsi="宋体" w:eastAsia="宋体" w:hint="eastAsia"/>
                <w:sz w:val="21"/>
              </w:rPr>
              <w:t>一级 □</w:t>
            </w:r>
          </w:p>
        </w:tc>
        <w:tc>
          <w:tcPr>
            <w:tcW w:w="1565"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417"/>
              <w:jc w:val="left"/>
              <w:rPr>
                <w:rFonts w:ascii="宋体" w:hAnsi="宋体" w:eastAsia="宋体" w:hint="eastAsia"/>
                <w:sz w:val="21"/>
              </w:rPr>
            </w:pPr>
            <w:r>
              <w:rPr>
                <w:rFonts w:ascii="宋体" w:hAnsi="宋体" w:eastAsia="宋体" w:hint="eastAsia"/>
                <w:sz w:val="21"/>
              </w:rPr>
              <w:t>二级 □</w:t>
            </w:r>
          </w:p>
        </w:tc>
        <w:tc>
          <w:tcPr>
            <w:tcW w:w="1561" w:type="dxa"/>
            <w:gridSpan w:val="3"/>
            <w:tcBorders>
              <w:top w:val="single" w:sz="6" w:space="0" w:color="000000"/>
              <w:left w:val="single" w:sz="6" w:space="0" w:color="000000"/>
              <w:bottom w:val="single" w:sz="6" w:space="0" w:color="000000"/>
              <w:right w:val="single" w:sz="6" w:space="0" w:color="000000"/>
            </w:tcBorders>
          </w:tcPr>
          <w:p>
            <w:pPr>
              <w:pStyle w:val="TableParagraph"/>
              <w:spacing w:before="25"/>
              <w:ind w:left="415"/>
              <w:jc w:val="left"/>
              <w:rPr>
                <w:rFonts w:ascii="宋体" w:hAnsi="宋体" w:eastAsia="宋体" w:hint="eastAsia"/>
                <w:sz w:val="21"/>
              </w:rPr>
            </w:pPr>
            <w:r>
              <w:rPr>
                <w:rFonts w:ascii="宋体" w:hAnsi="宋体" w:eastAsia="宋体" w:hint="eastAsia"/>
                <w:sz w:val="21"/>
              </w:rPr>
              <w:t>三级 □</w:t>
            </w:r>
          </w:p>
        </w:tc>
        <w:tc>
          <w:tcPr>
            <w:tcW w:w="1372" w:type="dxa"/>
            <w:gridSpan w:val="2"/>
            <w:tcBorders>
              <w:top w:val="single" w:sz="6" w:space="0" w:color="000000"/>
              <w:left w:val="single" w:sz="6" w:space="0" w:color="000000"/>
              <w:bottom w:val="single" w:sz="6" w:space="0" w:color="000000"/>
            </w:tcBorders>
          </w:tcPr>
          <w:p>
            <w:pPr>
              <w:pStyle w:val="TableParagraph"/>
              <w:spacing w:before="25"/>
              <w:ind w:left="121"/>
              <w:jc w:val="left"/>
              <w:rPr>
                <w:rFonts w:ascii="Wingdings" w:hAnsi="Wingdings"/>
                <w:sz w:val="21"/>
              </w:rPr>
            </w:pPr>
            <w:r>
              <w:rPr>
                <w:rFonts w:ascii="宋体" w:hAnsi="宋体"/>
                <w:sz w:val="21"/>
              </w:rPr>
              <w:t>简单分析 </w:t>
            </w:r>
            <w:r>
              <w:rPr>
                <w:rFonts w:ascii="Wingdings" w:hAnsi="Wingdings"/>
                <w:sz w:val="21"/>
              </w:rPr>
              <w:t></w:t>
            </w:r>
          </w:p>
        </w:tc>
      </w:tr>
      <w:tr>
        <w:trPr>
          <w:trHeight w:val="311"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15"/>
              </w:rPr>
            </w:pPr>
          </w:p>
          <w:p>
            <w:pPr>
              <w:pStyle w:val="TableParagraph"/>
              <w:spacing w:line="278" w:lineRule="auto" w:before="0"/>
              <w:ind w:left="126" w:right="103"/>
              <w:jc w:val="left"/>
              <w:rPr>
                <w:rFonts w:ascii="宋体" w:eastAsia="宋体" w:hint="eastAsia"/>
                <w:sz w:val="21"/>
              </w:rPr>
            </w:pPr>
            <w:r>
              <w:rPr>
                <w:rFonts w:ascii="宋体" w:eastAsia="宋体" w:hint="eastAsia"/>
                <w:sz w:val="21"/>
              </w:rPr>
              <w:t>风险识别</w:t>
            </w: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40"/>
              <w:ind w:left="99" w:right="76"/>
              <w:rPr>
                <w:rFonts w:ascii="宋体" w:eastAsia="宋体" w:hint="eastAsia"/>
                <w:sz w:val="18"/>
              </w:rPr>
            </w:pPr>
            <w:r>
              <w:rPr>
                <w:rFonts w:ascii="宋体" w:eastAsia="宋体" w:hint="eastAsia"/>
                <w:sz w:val="18"/>
              </w:rPr>
              <w:t>物质危险性</w:t>
            </w:r>
          </w:p>
        </w:tc>
        <w:tc>
          <w:tcPr>
            <w:tcW w:w="3707"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1275" w:right="1246"/>
              <w:rPr>
                <w:rFonts w:ascii="Wingdings" w:hAnsi="Wingdings"/>
                <w:sz w:val="21"/>
              </w:rPr>
            </w:pPr>
            <w:r>
              <w:rPr>
                <w:rFonts w:ascii="宋体" w:hAnsi="宋体"/>
                <w:sz w:val="21"/>
              </w:rPr>
              <w:t>有毒有害 </w:t>
            </w:r>
            <w:r>
              <w:rPr>
                <w:rFonts w:ascii="Wingdings" w:hAnsi="Wingdings"/>
                <w:sz w:val="21"/>
              </w:rPr>
              <w:t></w:t>
            </w:r>
          </w:p>
        </w:tc>
        <w:tc>
          <w:tcPr>
            <w:tcW w:w="3912" w:type="dxa"/>
            <w:gridSpan w:val="7"/>
            <w:tcBorders>
              <w:top w:val="single" w:sz="6" w:space="0" w:color="000000"/>
              <w:left w:val="single" w:sz="6" w:space="0" w:color="000000"/>
              <w:bottom w:val="single" w:sz="6" w:space="0" w:color="000000"/>
            </w:tcBorders>
          </w:tcPr>
          <w:p>
            <w:pPr>
              <w:pStyle w:val="TableParagraph"/>
              <w:spacing w:before="22"/>
              <w:ind w:left="1362" w:right="1331"/>
              <w:rPr>
                <w:rFonts w:ascii="宋体" w:hAnsi="宋体" w:eastAsia="宋体" w:hint="eastAsia"/>
                <w:sz w:val="21"/>
              </w:rPr>
            </w:pPr>
            <w:r>
              <w:rPr>
                <w:rFonts w:ascii="宋体" w:hAnsi="宋体" w:eastAsia="宋体" w:hint="eastAsia"/>
                <w:sz w:val="21"/>
              </w:rPr>
              <w:t>易燃易爆 □</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22"/>
              <w:ind w:left="99" w:right="76"/>
              <w:rPr>
                <w:rFonts w:ascii="宋体" w:eastAsia="宋体" w:hint="eastAsia"/>
                <w:sz w:val="21"/>
              </w:rPr>
            </w:pPr>
            <w:r>
              <w:rPr>
                <w:rFonts w:ascii="宋体" w:eastAsia="宋体" w:hint="eastAsia"/>
                <w:sz w:val="21"/>
              </w:rPr>
              <w:t>风险类型</w:t>
            </w:r>
          </w:p>
        </w:tc>
        <w:tc>
          <w:tcPr>
            <w:tcW w:w="25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910" w:right="883"/>
              <w:rPr>
                <w:rFonts w:ascii="Wingdings" w:hAnsi="Wingdings"/>
                <w:sz w:val="21"/>
              </w:rPr>
            </w:pPr>
            <w:r>
              <w:rPr>
                <w:rFonts w:ascii="宋体" w:hAnsi="宋体"/>
                <w:sz w:val="21"/>
              </w:rPr>
              <w:t>泄漏 </w:t>
            </w:r>
            <w:r>
              <w:rPr>
                <w:rFonts w:ascii="Wingdings" w:hAnsi="Wingdings"/>
                <w:sz w:val="21"/>
              </w:rPr>
              <w:t></w:t>
            </w:r>
          </w:p>
        </w:tc>
        <w:tc>
          <w:tcPr>
            <w:tcW w:w="5060" w:type="dxa"/>
            <w:gridSpan w:val="9"/>
            <w:tcBorders>
              <w:top w:val="single" w:sz="6" w:space="0" w:color="000000"/>
              <w:left w:val="single" w:sz="6" w:space="0" w:color="000000"/>
              <w:bottom w:val="single" w:sz="6" w:space="0" w:color="000000"/>
            </w:tcBorders>
          </w:tcPr>
          <w:p>
            <w:pPr>
              <w:pStyle w:val="TableParagraph"/>
              <w:spacing w:before="22"/>
              <w:ind w:left="664"/>
              <w:jc w:val="left"/>
              <w:rPr>
                <w:rFonts w:ascii="宋体" w:hAnsi="宋体" w:eastAsia="宋体" w:hint="eastAsia"/>
                <w:sz w:val="21"/>
              </w:rPr>
            </w:pPr>
            <w:r>
              <w:rPr>
                <w:rFonts w:ascii="宋体" w:hAnsi="宋体" w:eastAsia="宋体" w:hint="eastAsia"/>
                <w:sz w:val="21"/>
              </w:rPr>
              <w:t>火灾、爆炸引发伴生</w:t>
            </w:r>
            <w:r>
              <w:rPr>
                <w:sz w:val="21"/>
              </w:rPr>
              <w:t>/</w:t>
            </w:r>
            <w:r>
              <w:rPr>
                <w:rFonts w:ascii="宋体" w:hAnsi="宋体" w:eastAsia="宋体" w:hint="eastAsia"/>
                <w:sz w:val="21"/>
              </w:rPr>
              <w:t>次生污染物排放 □</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22"/>
              <w:ind w:left="99" w:right="76"/>
              <w:rPr>
                <w:rFonts w:ascii="宋体" w:eastAsia="宋体" w:hint="eastAsia"/>
                <w:sz w:val="21"/>
              </w:rPr>
            </w:pPr>
            <w:r>
              <w:rPr>
                <w:rFonts w:ascii="宋体" w:eastAsia="宋体" w:hint="eastAsia"/>
                <w:sz w:val="21"/>
              </w:rPr>
              <w:t>影响途径</w:t>
            </w:r>
          </w:p>
        </w:tc>
        <w:tc>
          <w:tcPr>
            <w:tcW w:w="2559"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910" w:right="883"/>
              <w:rPr>
                <w:rFonts w:ascii="Wingdings" w:hAnsi="Wingdings"/>
                <w:sz w:val="21"/>
              </w:rPr>
            </w:pPr>
            <w:r>
              <w:rPr>
                <w:rFonts w:ascii="宋体" w:hAnsi="宋体"/>
                <w:sz w:val="21"/>
              </w:rPr>
              <w:t>大气 </w:t>
            </w:r>
            <w:r>
              <w:rPr>
                <w:rFonts w:ascii="Wingdings" w:hAnsi="Wingdings"/>
                <w:sz w:val="21"/>
              </w:rPr>
              <w:t></w:t>
            </w:r>
          </w:p>
        </w:tc>
        <w:tc>
          <w:tcPr>
            <w:tcW w:w="249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2"/>
              <w:ind w:left="787"/>
              <w:jc w:val="left"/>
              <w:rPr>
                <w:rFonts w:ascii="Wingdings" w:hAnsi="Wingdings"/>
                <w:sz w:val="21"/>
              </w:rPr>
            </w:pPr>
            <w:r>
              <w:rPr>
                <w:rFonts w:ascii="宋体" w:hAnsi="宋体"/>
                <w:sz w:val="21"/>
              </w:rPr>
              <w:t>地表水 </w:t>
            </w:r>
            <w:r>
              <w:rPr>
                <w:rFonts w:ascii="Wingdings" w:hAnsi="Wingdings"/>
                <w:sz w:val="21"/>
              </w:rPr>
              <w:t></w:t>
            </w:r>
          </w:p>
        </w:tc>
        <w:tc>
          <w:tcPr>
            <w:tcW w:w="2570" w:type="dxa"/>
            <w:gridSpan w:val="4"/>
            <w:tcBorders>
              <w:top w:val="single" w:sz="6" w:space="0" w:color="000000"/>
              <w:left w:val="single" w:sz="6" w:space="0" w:color="000000"/>
              <w:bottom w:val="single" w:sz="6" w:space="0" w:color="000000"/>
            </w:tcBorders>
          </w:tcPr>
          <w:p>
            <w:pPr>
              <w:pStyle w:val="TableParagraph"/>
              <w:spacing w:before="22"/>
              <w:ind w:left="827"/>
              <w:jc w:val="left"/>
              <w:rPr>
                <w:rFonts w:ascii="Wingdings" w:hAnsi="Wingdings"/>
                <w:sz w:val="21"/>
              </w:rPr>
            </w:pPr>
            <w:r>
              <w:rPr>
                <w:rFonts w:ascii="宋体" w:hAnsi="宋体"/>
                <w:sz w:val="21"/>
              </w:rPr>
              <w:t>地下水 </w:t>
            </w:r>
            <w:r>
              <w:rPr>
                <w:rFonts w:ascii="Wingdings" w:hAnsi="Wingdings"/>
                <w:sz w:val="21"/>
              </w:rPr>
              <w:t></w:t>
            </w:r>
          </w:p>
        </w:tc>
      </w:tr>
      <w:tr>
        <w:trPr>
          <w:trHeight w:val="625" w:hRule="atLeast"/>
        </w:trPr>
        <w:tc>
          <w:tcPr>
            <w:tcW w:w="1817" w:type="dxa"/>
            <w:gridSpan w:val="2"/>
            <w:tcBorders>
              <w:top w:val="single" w:sz="6" w:space="0" w:color="000000"/>
              <w:bottom w:val="single" w:sz="6" w:space="0" w:color="000000"/>
              <w:right w:val="single" w:sz="6" w:space="0" w:color="000000"/>
            </w:tcBorders>
          </w:tcPr>
          <w:p>
            <w:pPr>
              <w:pStyle w:val="TableParagraph"/>
              <w:spacing w:before="1"/>
              <w:jc w:val="left"/>
              <w:rPr>
                <w:rFonts w:ascii="宋体"/>
                <w:b/>
                <w:sz w:val="14"/>
              </w:rPr>
            </w:pPr>
          </w:p>
          <w:p>
            <w:pPr>
              <w:pStyle w:val="TableParagraph"/>
              <w:spacing w:before="0"/>
              <w:ind w:left="277"/>
              <w:jc w:val="left"/>
              <w:rPr>
                <w:rFonts w:ascii="宋体" w:eastAsia="宋体" w:hint="eastAsia"/>
                <w:sz w:val="21"/>
              </w:rPr>
            </w:pPr>
            <w:r>
              <w:rPr>
                <w:rFonts w:ascii="宋体" w:eastAsia="宋体" w:hint="eastAsia"/>
                <w:sz w:val="21"/>
              </w:rPr>
              <w:t>事故情形分析</w:t>
            </w:r>
          </w:p>
        </w:tc>
        <w:tc>
          <w:tcPr>
            <w:tcW w:w="1130" w:type="dxa"/>
            <w:tcBorders>
              <w:top w:val="single" w:sz="6" w:space="0" w:color="000000"/>
              <w:left w:val="single" w:sz="6" w:space="0" w:color="000000"/>
              <w:bottom w:val="single" w:sz="6" w:space="0" w:color="000000"/>
              <w:right w:val="single" w:sz="6" w:space="0" w:color="000000"/>
            </w:tcBorders>
          </w:tcPr>
          <w:p>
            <w:pPr>
              <w:pStyle w:val="TableParagraph"/>
              <w:spacing w:before="25"/>
              <w:ind w:left="122" w:right="99"/>
              <w:rPr>
                <w:rFonts w:ascii="宋体" w:eastAsia="宋体" w:hint="eastAsia"/>
                <w:sz w:val="21"/>
              </w:rPr>
            </w:pPr>
            <w:r>
              <w:rPr>
                <w:rFonts w:ascii="宋体" w:eastAsia="宋体" w:hint="eastAsia"/>
                <w:sz w:val="21"/>
              </w:rPr>
              <w:t>源强设定</w:t>
            </w:r>
          </w:p>
          <w:p>
            <w:pPr>
              <w:pStyle w:val="TableParagraph"/>
              <w:spacing w:before="43"/>
              <w:ind w:left="121" w:right="99"/>
              <w:rPr>
                <w:rFonts w:ascii="宋体" w:eastAsia="宋体" w:hint="eastAsia"/>
                <w:sz w:val="21"/>
              </w:rPr>
            </w:pPr>
            <w:r>
              <w:rPr>
                <w:rFonts w:ascii="宋体" w:eastAsia="宋体" w:hint="eastAsia"/>
                <w:sz w:val="21"/>
              </w:rPr>
              <w:t>方法</w:t>
            </w:r>
          </w:p>
        </w:tc>
        <w:tc>
          <w:tcPr>
            <w:tcW w:w="1429"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4"/>
              </w:rPr>
            </w:pPr>
          </w:p>
          <w:p>
            <w:pPr>
              <w:pStyle w:val="TableParagraph"/>
              <w:spacing w:before="0"/>
              <w:ind w:left="224" w:right="205"/>
              <w:rPr>
                <w:rFonts w:ascii="宋体" w:hAnsi="宋体" w:eastAsia="宋体" w:hint="eastAsia"/>
                <w:sz w:val="21"/>
              </w:rPr>
            </w:pPr>
            <w:r>
              <w:rPr>
                <w:rFonts w:ascii="宋体" w:hAnsi="宋体" w:eastAsia="宋体" w:hint="eastAsia"/>
                <w:sz w:val="21"/>
              </w:rPr>
              <w:t>计算法 □</w:t>
            </w:r>
          </w:p>
        </w:tc>
        <w:tc>
          <w:tcPr>
            <w:tcW w:w="249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4"/>
              </w:rPr>
            </w:pPr>
          </w:p>
          <w:p>
            <w:pPr>
              <w:pStyle w:val="TableParagraph"/>
              <w:spacing w:before="0"/>
              <w:ind w:left="566"/>
              <w:jc w:val="left"/>
              <w:rPr>
                <w:rFonts w:ascii="宋体" w:hAnsi="宋体" w:eastAsia="宋体" w:hint="eastAsia"/>
                <w:sz w:val="21"/>
              </w:rPr>
            </w:pPr>
            <w:r>
              <w:rPr>
                <w:rFonts w:ascii="宋体" w:hAnsi="宋体" w:eastAsia="宋体" w:hint="eastAsia"/>
                <w:sz w:val="21"/>
              </w:rPr>
              <w:t>经验估算法 □</w:t>
            </w:r>
          </w:p>
        </w:tc>
        <w:tc>
          <w:tcPr>
            <w:tcW w:w="2570" w:type="dxa"/>
            <w:gridSpan w:val="4"/>
            <w:tcBorders>
              <w:top w:val="single" w:sz="6" w:space="0" w:color="000000"/>
              <w:left w:val="single" w:sz="6" w:space="0" w:color="000000"/>
              <w:bottom w:val="single" w:sz="6" w:space="0" w:color="000000"/>
            </w:tcBorders>
          </w:tcPr>
          <w:p>
            <w:pPr>
              <w:pStyle w:val="TableParagraph"/>
              <w:spacing w:before="1"/>
              <w:jc w:val="left"/>
              <w:rPr>
                <w:rFonts w:ascii="宋体"/>
                <w:b/>
                <w:sz w:val="14"/>
              </w:rPr>
            </w:pPr>
          </w:p>
          <w:p>
            <w:pPr>
              <w:pStyle w:val="TableParagraph"/>
              <w:spacing w:before="0"/>
              <w:ind w:left="604"/>
              <w:jc w:val="left"/>
              <w:rPr>
                <w:rFonts w:ascii="宋体" w:hAnsi="宋体" w:eastAsia="宋体" w:hint="eastAsia"/>
                <w:sz w:val="21"/>
              </w:rPr>
            </w:pPr>
            <w:r>
              <w:rPr>
                <w:rFonts w:ascii="宋体" w:hAnsi="宋体" w:eastAsia="宋体" w:hint="eastAsia"/>
                <w:sz w:val="21"/>
              </w:rPr>
              <w:t>其他估算法 □</w:t>
            </w:r>
          </w:p>
        </w:tc>
      </w:tr>
      <w:tr>
        <w:trPr>
          <w:trHeight w:val="311"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14"/>
              </w:rPr>
            </w:pPr>
          </w:p>
          <w:p>
            <w:pPr>
              <w:pStyle w:val="TableParagraph"/>
              <w:spacing w:line="278" w:lineRule="auto" w:before="0"/>
              <w:ind w:left="126" w:right="103"/>
              <w:jc w:val="both"/>
              <w:rPr>
                <w:rFonts w:ascii="宋体" w:eastAsia="宋体" w:hint="eastAsia"/>
                <w:sz w:val="21"/>
              </w:rPr>
            </w:pPr>
            <w:r>
              <w:rPr>
                <w:rFonts w:ascii="宋体" w:eastAsia="宋体" w:hint="eastAsia"/>
                <w:sz w:val="21"/>
              </w:rPr>
              <w:t>风险预测与评价</w:t>
            </w:r>
          </w:p>
        </w:tc>
        <w:tc>
          <w:tcPr>
            <w:tcW w:w="114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70"/>
              <w:ind w:left="364"/>
              <w:jc w:val="left"/>
              <w:rPr>
                <w:rFonts w:ascii="宋体" w:eastAsia="宋体" w:hint="eastAsia"/>
                <w:sz w:val="21"/>
              </w:rPr>
            </w:pPr>
            <w:r>
              <w:rPr>
                <w:rFonts w:ascii="宋体" w:eastAsia="宋体" w:hint="eastAsia"/>
                <w:sz w:val="21"/>
              </w:rPr>
              <w:t>大气</w:t>
            </w:r>
          </w:p>
        </w:tc>
        <w:tc>
          <w:tcPr>
            <w:tcW w:w="1130" w:type="dxa"/>
            <w:tcBorders>
              <w:top w:val="single" w:sz="6" w:space="0" w:color="000000"/>
              <w:left w:val="single" w:sz="6" w:space="0" w:color="000000"/>
              <w:bottom w:val="single" w:sz="6" w:space="0" w:color="000000"/>
              <w:right w:val="single" w:sz="6" w:space="0" w:color="000000"/>
            </w:tcBorders>
          </w:tcPr>
          <w:p>
            <w:pPr>
              <w:pStyle w:val="TableParagraph"/>
              <w:spacing w:before="22"/>
              <w:ind w:left="122" w:right="99"/>
              <w:rPr>
                <w:rFonts w:ascii="宋体" w:eastAsia="宋体" w:hint="eastAsia"/>
                <w:sz w:val="21"/>
              </w:rPr>
            </w:pPr>
            <w:r>
              <w:rPr>
                <w:rFonts w:ascii="宋体" w:eastAsia="宋体" w:hint="eastAsia"/>
                <w:sz w:val="21"/>
              </w:rPr>
              <w:t>预测模型</w:t>
            </w:r>
          </w:p>
        </w:tc>
        <w:tc>
          <w:tcPr>
            <w:tcW w:w="1429" w:type="dxa"/>
            <w:tcBorders>
              <w:top w:val="single" w:sz="6" w:space="0" w:color="000000"/>
              <w:left w:val="single" w:sz="6" w:space="0" w:color="000000"/>
              <w:bottom w:val="single" w:sz="6" w:space="0" w:color="000000"/>
              <w:right w:val="single" w:sz="6" w:space="0" w:color="000000"/>
            </w:tcBorders>
          </w:tcPr>
          <w:p>
            <w:pPr>
              <w:pStyle w:val="TableParagraph"/>
              <w:spacing w:before="22"/>
              <w:ind w:left="224" w:right="202"/>
              <w:rPr>
                <w:rFonts w:ascii="宋体" w:hAnsi="宋体"/>
                <w:sz w:val="21"/>
              </w:rPr>
            </w:pPr>
            <w:r>
              <w:rPr>
                <w:sz w:val="21"/>
              </w:rPr>
              <w:t>SLAB </w:t>
            </w:r>
            <w:r>
              <w:rPr>
                <w:rFonts w:ascii="宋体" w:hAnsi="宋体"/>
                <w:sz w:val="21"/>
              </w:rPr>
              <w:t>□</w:t>
            </w:r>
          </w:p>
        </w:tc>
        <w:tc>
          <w:tcPr>
            <w:tcW w:w="2490" w:type="dxa"/>
            <w:gridSpan w:val="5"/>
            <w:tcBorders>
              <w:top w:val="single" w:sz="6" w:space="0" w:color="000000"/>
              <w:left w:val="single" w:sz="6" w:space="0" w:color="000000"/>
              <w:bottom w:val="single" w:sz="6" w:space="0" w:color="000000"/>
              <w:right w:val="single" w:sz="6" w:space="0" w:color="000000"/>
            </w:tcBorders>
          </w:tcPr>
          <w:p>
            <w:pPr>
              <w:pStyle w:val="TableParagraph"/>
              <w:spacing w:before="22"/>
              <w:ind w:left="767"/>
              <w:jc w:val="left"/>
              <w:rPr>
                <w:rFonts w:ascii="宋体" w:hAnsi="宋体"/>
                <w:sz w:val="21"/>
              </w:rPr>
            </w:pPr>
            <w:r>
              <w:rPr>
                <w:sz w:val="21"/>
              </w:rPr>
              <w:t>AFTOX </w:t>
            </w:r>
            <w:r>
              <w:rPr>
                <w:rFonts w:ascii="宋体" w:hAnsi="宋体"/>
                <w:sz w:val="21"/>
              </w:rPr>
              <w:t>□</w:t>
            </w:r>
          </w:p>
        </w:tc>
        <w:tc>
          <w:tcPr>
            <w:tcW w:w="2570" w:type="dxa"/>
            <w:gridSpan w:val="4"/>
            <w:tcBorders>
              <w:top w:val="single" w:sz="6" w:space="0" w:color="000000"/>
              <w:left w:val="single" w:sz="6" w:space="0" w:color="000000"/>
              <w:bottom w:val="single" w:sz="6" w:space="0" w:color="000000"/>
            </w:tcBorders>
          </w:tcPr>
          <w:p>
            <w:pPr>
              <w:pStyle w:val="TableParagraph"/>
              <w:spacing w:before="22"/>
              <w:ind w:left="901" w:right="871"/>
              <w:rPr>
                <w:rFonts w:ascii="宋体" w:hAnsi="宋体" w:eastAsia="宋体" w:hint="eastAsia"/>
                <w:sz w:val="21"/>
              </w:rPr>
            </w:pPr>
            <w:r>
              <w:rPr>
                <w:rFonts w:ascii="宋体" w:hAnsi="宋体" w:eastAsia="宋体" w:hint="eastAsia"/>
                <w:sz w:val="21"/>
              </w:rPr>
              <w:t>其他 □</w:t>
            </w:r>
          </w:p>
        </w:tc>
      </w:tr>
      <w:tr>
        <w:trPr>
          <w:trHeight w:val="313"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4"/>
              <w:ind w:left="148"/>
              <w:jc w:val="left"/>
              <w:rPr>
                <w:rFonts w:ascii="宋体" w:eastAsia="宋体" w:hint="eastAsia"/>
                <w:sz w:val="21"/>
              </w:rPr>
            </w:pPr>
            <w:r>
              <w:rPr>
                <w:rFonts w:ascii="宋体" w:eastAsia="宋体" w:hint="eastAsia"/>
                <w:spacing w:val="-1"/>
                <w:sz w:val="21"/>
              </w:rPr>
              <w:t>预测结果</w:t>
            </w:r>
          </w:p>
          <w:p>
            <w:pPr>
              <w:pStyle w:val="TableParagraph"/>
              <w:spacing w:before="43"/>
              <w:ind w:left="148"/>
              <w:jc w:val="left"/>
              <w:rPr>
                <w:rFonts w:ascii="宋体" w:eastAsia="宋体" w:hint="eastAsia"/>
                <w:sz w:val="21"/>
              </w:rPr>
            </w:pPr>
            <w:r>
              <w:rPr>
                <w:rFonts w:ascii="宋体" w:eastAsia="宋体" w:hint="eastAsia"/>
                <w:sz w:val="21"/>
              </w:rPr>
              <w:t>（</w:t>
            </w:r>
            <w:r>
              <w:rPr>
                <w:rFonts w:ascii="宋体" w:eastAsia="宋体" w:hint="eastAsia"/>
                <w:spacing w:val="-2"/>
                <w:sz w:val="21"/>
              </w:rPr>
              <w:t>砷烷</w:t>
            </w:r>
            <w:r>
              <w:rPr>
                <w:rFonts w:ascii="宋体" w:eastAsia="宋体" w:hint="eastAsia"/>
                <w:sz w:val="21"/>
              </w:rPr>
              <w:t>）</w:t>
            </w:r>
          </w:p>
        </w:tc>
        <w:tc>
          <w:tcPr>
            <w:tcW w:w="6489" w:type="dxa"/>
            <w:gridSpan w:val="10"/>
            <w:tcBorders>
              <w:top w:val="single" w:sz="6" w:space="0" w:color="000000"/>
              <w:left w:val="single" w:sz="6" w:space="0" w:color="000000"/>
              <w:bottom w:val="single" w:sz="6" w:space="0" w:color="000000"/>
            </w:tcBorders>
          </w:tcPr>
          <w:p>
            <w:pPr>
              <w:pStyle w:val="TableParagraph"/>
              <w:tabs>
                <w:tab w:pos="3881" w:val="left" w:leader="none"/>
              </w:tabs>
              <w:spacing w:before="25"/>
              <w:ind w:left="26"/>
              <w:rPr>
                <w:sz w:val="21"/>
              </w:rPr>
            </w:pPr>
            <w:r>
              <w:rPr>
                <w:rFonts w:ascii="宋体" w:eastAsia="宋体" w:hint="eastAsia"/>
                <w:sz w:val="21"/>
              </w:rPr>
              <w:t>大气</w:t>
            </w:r>
            <w:r>
              <w:rPr>
                <w:rFonts w:ascii="宋体" w:eastAsia="宋体" w:hint="eastAsia"/>
                <w:spacing w:val="-3"/>
                <w:sz w:val="21"/>
              </w:rPr>
              <w:t>毒</w:t>
            </w:r>
            <w:r>
              <w:rPr>
                <w:rFonts w:ascii="宋体" w:eastAsia="宋体" w:hint="eastAsia"/>
                <w:sz w:val="21"/>
              </w:rPr>
              <w:t>性</w:t>
            </w:r>
            <w:r>
              <w:rPr>
                <w:rFonts w:ascii="宋体" w:eastAsia="宋体" w:hint="eastAsia"/>
                <w:spacing w:val="-3"/>
                <w:sz w:val="21"/>
              </w:rPr>
              <w:t>终</w:t>
            </w:r>
            <w:r>
              <w:rPr>
                <w:rFonts w:ascii="宋体" w:eastAsia="宋体" w:hint="eastAsia"/>
                <w:sz w:val="21"/>
              </w:rPr>
              <w:t>点</w:t>
            </w:r>
            <w:r>
              <w:rPr>
                <w:rFonts w:ascii="宋体" w:eastAsia="宋体" w:hint="eastAsia"/>
                <w:spacing w:val="-3"/>
                <w:sz w:val="21"/>
              </w:rPr>
              <w:t>浓</w:t>
            </w:r>
            <w:r>
              <w:rPr>
                <w:rFonts w:ascii="宋体" w:eastAsia="宋体" w:hint="eastAsia"/>
                <w:sz w:val="21"/>
              </w:rPr>
              <w:t>度</w:t>
            </w:r>
            <w:r>
              <w:rPr>
                <w:sz w:val="21"/>
              </w:rPr>
              <w:t>-1 </w:t>
            </w:r>
            <w:r>
              <w:rPr>
                <w:spacing w:val="5"/>
                <w:sz w:val="21"/>
              </w:rPr>
              <w:t> </w:t>
            </w:r>
            <w:r>
              <w:rPr>
                <w:rFonts w:ascii="宋体" w:eastAsia="宋体" w:hint="eastAsia"/>
                <w:sz w:val="21"/>
              </w:rPr>
              <w:t>最</w:t>
            </w:r>
            <w:r>
              <w:rPr>
                <w:rFonts w:ascii="宋体" w:eastAsia="宋体" w:hint="eastAsia"/>
                <w:spacing w:val="-3"/>
                <w:sz w:val="21"/>
              </w:rPr>
              <w:t>大</w:t>
            </w:r>
            <w:r>
              <w:rPr>
                <w:rFonts w:ascii="宋体" w:eastAsia="宋体" w:hint="eastAsia"/>
                <w:sz w:val="21"/>
              </w:rPr>
              <w:t>影响</w:t>
            </w:r>
            <w:r>
              <w:rPr>
                <w:rFonts w:ascii="宋体" w:eastAsia="宋体" w:hint="eastAsia"/>
                <w:spacing w:val="-3"/>
                <w:sz w:val="21"/>
              </w:rPr>
              <w:t>范</w:t>
            </w:r>
            <w:r>
              <w:rPr>
                <w:rFonts w:ascii="宋体" w:eastAsia="宋体" w:hint="eastAsia"/>
                <w:sz w:val="21"/>
              </w:rPr>
              <w:t>围</w:t>
            </w:r>
            <w:r>
              <w:rPr>
                <w:rFonts w:ascii="宋体" w:eastAsia="宋体" w:hint="eastAsia"/>
                <w:sz w:val="21"/>
                <w:u w:val="single"/>
              </w:rPr>
              <w:t> </w:t>
              <w:tab/>
            </w:r>
            <w:r>
              <w:rPr>
                <w:sz w:val="21"/>
              </w:rPr>
              <w:t>m</w:t>
            </w:r>
          </w:p>
        </w:tc>
      </w:tr>
      <w:tr>
        <w:trPr>
          <w:trHeight w:val="316"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6489" w:type="dxa"/>
            <w:gridSpan w:val="10"/>
            <w:tcBorders>
              <w:top w:val="single" w:sz="6" w:space="0" w:color="000000"/>
              <w:left w:val="single" w:sz="6" w:space="0" w:color="000000"/>
              <w:bottom w:val="single" w:sz="6" w:space="0" w:color="000000"/>
            </w:tcBorders>
          </w:tcPr>
          <w:p>
            <w:pPr>
              <w:pStyle w:val="TableParagraph"/>
              <w:tabs>
                <w:tab w:pos="3881" w:val="left" w:leader="none"/>
              </w:tabs>
              <w:spacing w:before="25"/>
              <w:ind w:left="26"/>
              <w:rPr>
                <w:sz w:val="21"/>
              </w:rPr>
            </w:pPr>
            <w:r>
              <w:rPr>
                <w:rFonts w:ascii="宋体" w:eastAsia="宋体" w:hint="eastAsia"/>
                <w:sz w:val="21"/>
              </w:rPr>
              <w:t>大气</w:t>
            </w:r>
            <w:r>
              <w:rPr>
                <w:rFonts w:ascii="宋体" w:eastAsia="宋体" w:hint="eastAsia"/>
                <w:spacing w:val="-3"/>
                <w:sz w:val="21"/>
              </w:rPr>
              <w:t>毒</w:t>
            </w:r>
            <w:r>
              <w:rPr>
                <w:rFonts w:ascii="宋体" w:eastAsia="宋体" w:hint="eastAsia"/>
                <w:sz w:val="21"/>
              </w:rPr>
              <w:t>性</w:t>
            </w:r>
            <w:r>
              <w:rPr>
                <w:rFonts w:ascii="宋体" w:eastAsia="宋体" w:hint="eastAsia"/>
                <w:spacing w:val="-3"/>
                <w:sz w:val="21"/>
              </w:rPr>
              <w:t>终</w:t>
            </w:r>
            <w:r>
              <w:rPr>
                <w:rFonts w:ascii="宋体" w:eastAsia="宋体" w:hint="eastAsia"/>
                <w:sz w:val="21"/>
              </w:rPr>
              <w:t>点</w:t>
            </w:r>
            <w:r>
              <w:rPr>
                <w:rFonts w:ascii="宋体" w:eastAsia="宋体" w:hint="eastAsia"/>
                <w:spacing w:val="-3"/>
                <w:sz w:val="21"/>
              </w:rPr>
              <w:t>浓</w:t>
            </w:r>
            <w:r>
              <w:rPr>
                <w:rFonts w:ascii="宋体" w:eastAsia="宋体" w:hint="eastAsia"/>
                <w:sz w:val="21"/>
              </w:rPr>
              <w:t>度</w:t>
            </w:r>
            <w:r>
              <w:rPr>
                <w:sz w:val="21"/>
              </w:rPr>
              <w:t>-2 </w:t>
            </w:r>
            <w:r>
              <w:rPr>
                <w:spacing w:val="5"/>
                <w:sz w:val="21"/>
              </w:rPr>
              <w:t> </w:t>
            </w:r>
            <w:r>
              <w:rPr>
                <w:rFonts w:ascii="宋体" w:eastAsia="宋体" w:hint="eastAsia"/>
                <w:sz w:val="21"/>
              </w:rPr>
              <w:t>最</w:t>
            </w:r>
            <w:r>
              <w:rPr>
                <w:rFonts w:ascii="宋体" w:eastAsia="宋体" w:hint="eastAsia"/>
                <w:spacing w:val="-3"/>
                <w:sz w:val="21"/>
              </w:rPr>
              <w:t>大</w:t>
            </w:r>
            <w:r>
              <w:rPr>
                <w:rFonts w:ascii="宋体" w:eastAsia="宋体" w:hint="eastAsia"/>
                <w:sz w:val="21"/>
              </w:rPr>
              <w:t>影响</w:t>
            </w:r>
            <w:r>
              <w:rPr>
                <w:rFonts w:ascii="宋体" w:eastAsia="宋体" w:hint="eastAsia"/>
                <w:spacing w:val="-3"/>
                <w:sz w:val="21"/>
              </w:rPr>
              <w:t>范</w:t>
            </w:r>
            <w:r>
              <w:rPr>
                <w:rFonts w:ascii="宋体" w:eastAsia="宋体" w:hint="eastAsia"/>
                <w:sz w:val="21"/>
              </w:rPr>
              <w:t>围</w:t>
            </w:r>
            <w:r>
              <w:rPr>
                <w:rFonts w:ascii="宋体" w:eastAsia="宋体" w:hint="eastAsia"/>
                <w:sz w:val="21"/>
                <w:u w:val="single"/>
              </w:rPr>
              <w:t> </w:t>
              <w:tab/>
            </w:r>
            <w:r>
              <w:rPr>
                <w:sz w:val="21"/>
              </w:rPr>
              <w:t>m</w:t>
            </w:r>
          </w:p>
        </w:tc>
      </w:tr>
      <w:tr>
        <w:trPr>
          <w:trHeight w:val="314"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35"/>
              <w:ind w:left="148"/>
              <w:jc w:val="left"/>
              <w:rPr>
                <w:rFonts w:ascii="宋体" w:eastAsia="宋体" w:hint="eastAsia"/>
                <w:sz w:val="21"/>
              </w:rPr>
            </w:pPr>
            <w:r>
              <w:rPr>
                <w:rFonts w:ascii="宋体" w:eastAsia="宋体" w:hint="eastAsia"/>
                <w:spacing w:val="-1"/>
                <w:sz w:val="21"/>
              </w:rPr>
              <w:t>预测结果</w:t>
            </w:r>
          </w:p>
          <w:p>
            <w:pPr>
              <w:pStyle w:val="TableParagraph"/>
              <w:spacing w:before="43"/>
              <w:ind w:left="148"/>
              <w:jc w:val="left"/>
              <w:rPr>
                <w:rFonts w:ascii="宋体" w:eastAsia="宋体" w:hint="eastAsia"/>
                <w:sz w:val="21"/>
              </w:rPr>
            </w:pPr>
            <w:r>
              <w:rPr>
                <w:rFonts w:ascii="宋体" w:eastAsia="宋体" w:hint="eastAsia"/>
                <w:sz w:val="21"/>
              </w:rPr>
              <w:t>（</w:t>
            </w:r>
            <w:r>
              <w:rPr>
                <w:rFonts w:ascii="宋体" w:eastAsia="宋体" w:hint="eastAsia"/>
                <w:spacing w:val="-2"/>
                <w:sz w:val="21"/>
              </w:rPr>
              <w:t>磷烷</w:t>
            </w:r>
            <w:r>
              <w:rPr>
                <w:rFonts w:ascii="宋体" w:eastAsia="宋体" w:hint="eastAsia"/>
                <w:sz w:val="21"/>
              </w:rPr>
              <w:t>）</w:t>
            </w:r>
          </w:p>
        </w:tc>
        <w:tc>
          <w:tcPr>
            <w:tcW w:w="6489" w:type="dxa"/>
            <w:gridSpan w:val="10"/>
            <w:tcBorders>
              <w:top w:val="single" w:sz="6" w:space="0" w:color="000000"/>
              <w:left w:val="single" w:sz="6" w:space="0" w:color="000000"/>
              <w:bottom w:val="single" w:sz="6" w:space="0" w:color="000000"/>
            </w:tcBorders>
          </w:tcPr>
          <w:p>
            <w:pPr>
              <w:pStyle w:val="TableParagraph"/>
              <w:tabs>
                <w:tab w:pos="3881" w:val="left" w:leader="none"/>
              </w:tabs>
              <w:spacing w:before="25"/>
              <w:ind w:left="26"/>
              <w:rPr>
                <w:sz w:val="21"/>
              </w:rPr>
            </w:pPr>
            <w:r>
              <w:rPr>
                <w:rFonts w:ascii="宋体" w:eastAsia="宋体" w:hint="eastAsia"/>
                <w:sz w:val="21"/>
              </w:rPr>
              <w:t>大气</w:t>
            </w:r>
            <w:r>
              <w:rPr>
                <w:rFonts w:ascii="宋体" w:eastAsia="宋体" w:hint="eastAsia"/>
                <w:spacing w:val="-3"/>
                <w:sz w:val="21"/>
              </w:rPr>
              <w:t>毒</w:t>
            </w:r>
            <w:r>
              <w:rPr>
                <w:rFonts w:ascii="宋体" w:eastAsia="宋体" w:hint="eastAsia"/>
                <w:sz w:val="21"/>
              </w:rPr>
              <w:t>性</w:t>
            </w:r>
            <w:r>
              <w:rPr>
                <w:rFonts w:ascii="宋体" w:eastAsia="宋体" w:hint="eastAsia"/>
                <w:spacing w:val="-3"/>
                <w:sz w:val="21"/>
              </w:rPr>
              <w:t>终</w:t>
            </w:r>
            <w:r>
              <w:rPr>
                <w:rFonts w:ascii="宋体" w:eastAsia="宋体" w:hint="eastAsia"/>
                <w:sz w:val="21"/>
              </w:rPr>
              <w:t>点</w:t>
            </w:r>
            <w:r>
              <w:rPr>
                <w:rFonts w:ascii="宋体" w:eastAsia="宋体" w:hint="eastAsia"/>
                <w:spacing w:val="-3"/>
                <w:sz w:val="21"/>
              </w:rPr>
              <w:t>浓</w:t>
            </w:r>
            <w:r>
              <w:rPr>
                <w:rFonts w:ascii="宋体" w:eastAsia="宋体" w:hint="eastAsia"/>
                <w:sz w:val="21"/>
              </w:rPr>
              <w:t>度</w:t>
            </w:r>
            <w:r>
              <w:rPr>
                <w:sz w:val="21"/>
              </w:rPr>
              <w:t>-1 </w:t>
            </w:r>
            <w:r>
              <w:rPr>
                <w:spacing w:val="5"/>
                <w:sz w:val="21"/>
              </w:rPr>
              <w:t> </w:t>
            </w:r>
            <w:r>
              <w:rPr>
                <w:rFonts w:ascii="宋体" w:eastAsia="宋体" w:hint="eastAsia"/>
                <w:sz w:val="21"/>
              </w:rPr>
              <w:t>最</w:t>
            </w:r>
            <w:r>
              <w:rPr>
                <w:rFonts w:ascii="宋体" w:eastAsia="宋体" w:hint="eastAsia"/>
                <w:spacing w:val="-3"/>
                <w:sz w:val="21"/>
              </w:rPr>
              <w:t>大</w:t>
            </w:r>
            <w:r>
              <w:rPr>
                <w:rFonts w:ascii="宋体" w:eastAsia="宋体" w:hint="eastAsia"/>
                <w:sz w:val="21"/>
              </w:rPr>
              <w:t>影响</w:t>
            </w:r>
            <w:r>
              <w:rPr>
                <w:rFonts w:ascii="宋体" w:eastAsia="宋体" w:hint="eastAsia"/>
                <w:spacing w:val="-3"/>
                <w:sz w:val="21"/>
              </w:rPr>
              <w:t>范</w:t>
            </w:r>
            <w:r>
              <w:rPr>
                <w:rFonts w:ascii="宋体" w:eastAsia="宋体" w:hint="eastAsia"/>
                <w:sz w:val="21"/>
              </w:rPr>
              <w:t>围</w:t>
            </w:r>
            <w:r>
              <w:rPr>
                <w:rFonts w:ascii="宋体" w:eastAsia="宋体" w:hint="eastAsia"/>
                <w:sz w:val="21"/>
                <w:u w:val="single"/>
              </w:rPr>
              <w:t> </w:t>
              <w:tab/>
            </w:r>
            <w:r>
              <w:rPr>
                <w:sz w:val="21"/>
              </w:rPr>
              <w:t>m</w:t>
            </w:r>
          </w:p>
        </w:tc>
      </w:tr>
      <w:tr>
        <w:trPr>
          <w:trHeight w:val="316"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1130" w:type="dxa"/>
            <w:vMerge/>
            <w:tcBorders>
              <w:top w:val="nil"/>
              <w:left w:val="single" w:sz="6" w:space="0" w:color="000000"/>
              <w:bottom w:val="single" w:sz="6" w:space="0" w:color="000000"/>
              <w:right w:val="single" w:sz="6" w:space="0" w:color="000000"/>
            </w:tcBorders>
          </w:tcPr>
          <w:p>
            <w:pPr>
              <w:rPr>
                <w:sz w:val="2"/>
                <w:szCs w:val="2"/>
              </w:rPr>
            </w:pPr>
          </w:p>
        </w:tc>
        <w:tc>
          <w:tcPr>
            <w:tcW w:w="6489" w:type="dxa"/>
            <w:gridSpan w:val="10"/>
            <w:tcBorders>
              <w:top w:val="single" w:sz="6" w:space="0" w:color="000000"/>
              <w:left w:val="single" w:sz="6" w:space="0" w:color="000000"/>
              <w:bottom w:val="single" w:sz="6" w:space="0" w:color="000000"/>
            </w:tcBorders>
          </w:tcPr>
          <w:p>
            <w:pPr>
              <w:pStyle w:val="TableParagraph"/>
              <w:tabs>
                <w:tab w:pos="3881" w:val="left" w:leader="none"/>
              </w:tabs>
              <w:spacing w:before="25"/>
              <w:ind w:left="26"/>
              <w:rPr>
                <w:sz w:val="21"/>
              </w:rPr>
            </w:pPr>
            <w:r>
              <w:rPr>
                <w:rFonts w:ascii="宋体" w:eastAsia="宋体" w:hint="eastAsia"/>
                <w:sz w:val="21"/>
              </w:rPr>
              <w:t>大气</w:t>
            </w:r>
            <w:r>
              <w:rPr>
                <w:rFonts w:ascii="宋体" w:eastAsia="宋体" w:hint="eastAsia"/>
                <w:spacing w:val="-3"/>
                <w:sz w:val="21"/>
              </w:rPr>
              <w:t>毒</w:t>
            </w:r>
            <w:r>
              <w:rPr>
                <w:rFonts w:ascii="宋体" w:eastAsia="宋体" w:hint="eastAsia"/>
                <w:sz w:val="21"/>
              </w:rPr>
              <w:t>性</w:t>
            </w:r>
            <w:r>
              <w:rPr>
                <w:rFonts w:ascii="宋体" w:eastAsia="宋体" w:hint="eastAsia"/>
                <w:spacing w:val="-3"/>
                <w:sz w:val="21"/>
              </w:rPr>
              <w:t>终</w:t>
            </w:r>
            <w:r>
              <w:rPr>
                <w:rFonts w:ascii="宋体" w:eastAsia="宋体" w:hint="eastAsia"/>
                <w:sz w:val="21"/>
              </w:rPr>
              <w:t>点</w:t>
            </w:r>
            <w:r>
              <w:rPr>
                <w:rFonts w:ascii="宋体" w:eastAsia="宋体" w:hint="eastAsia"/>
                <w:spacing w:val="-3"/>
                <w:sz w:val="21"/>
              </w:rPr>
              <w:t>浓</w:t>
            </w:r>
            <w:r>
              <w:rPr>
                <w:rFonts w:ascii="宋体" w:eastAsia="宋体" w:hint="eastAsia"/>
                <w:sz w:val="21"/>
              </w:rPr>
              <w:t>度</w:t>
            </w:r>
            <w:r>
              <w:rPr>
                <w:sz w:val="21"/>
              </w:rPr>
              <w:t>-2 </w:t>
            </w:r>
            <w:r>
              <w:rPr>
                <w:spacing w:val="5"/>
                <w:sz w:val="21"/>
              </w:rPr>
              <w:t> </w:t>
            </w:r>
            <w:r>
              <w:rPr>
                <w:rFonts w:ascii="宋体" w:eastAsia="宋体" w:hint="eastAsia"/>
                <w:sz w:val="21"/>
              </w:rPr>
              <w:t>最</w:t>
            </w:r>
            <w:r>
              <w:rPr>
                <w:rFonts w:ascii="宋体" w:eastAsia="宋体" w:hint="eastAsia"/>
                <w:spacing w:val="-3"/>
                <w:sz w:val="21"/>
              </w:rPr>
              <w:t>大</w:t>
            </w:r>
            <w:r>
              <w:rPr>
                <w:rFonts w:ascii="宋体" w:eastAsia="宋体" w:hint="eastAsia"/>
                <w:sz w:val="21"/>
              </w:rPr>
              <w:t>影响</w:t>
            </w:r>
            <w:r>
              <w:rPr>
                <w:rFonts w:ascii="宋体" w:eastAsia="宋体" w:hint="eastAsia"/>
                <w:spacing w:val="-3"/>
                <w:sz w:val="21"/>
              </w:rPr>
              <w:t>范</w:t>
            </w:r>
            <w:r>
              <w:rPr>
                <w:rFonts w:ascii="宋体" w:eastAsia="宋体" w:hint="eastAsia"/>
                <w:sz w:val="21"/>
              </w:rPr>
              <w:t>围</w:t>
            </w:r>
            <w:r>
              <w:rPr>
                <w:rFonts w:ascii="宋体" w:eastAsia="宋体" w:hint="eastAsia"/>
                <w:sz w:val="21"/>
                <w:u w:val="single"/>
              </w:rPr>
              <w:t> </w:t>
              <w:tab/>
            </w:r>
            <w:r>
              <w:rPr>
                <w:sz w:val="21"/>
              </w:rPr>
              <w:t>m</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tcBorders>
              <w:top w:val="single" w:sz="6" w:space="0" w:color="000000"/>
              <w:left w:val="single" w:sz="6" w:space="0" w:color="000000"/>
              <w:bottom w:val="single" w:sz="6" w:space="0" w:color="000000"/>
              <w:right w:val="single" w:sz="6" w:space="0" w:color="000000"/>
            </w:tcBorders>
          </w:tcPr>
          <w:p>
            <w:pPr>
              <w:pStyle w:val="TableParagraph"/>
              <w:spacing w:before="22"/>
              <w:ind w:left="101" w:right="76"/>
              <w:rPr>
                <w:rFonts w:ascii="宋体" w:eastAsia="宋体" w:hint="eastAsia"/>
                <w:sz w:val="21"/>
              </w:rPr>
            </w:pPr>
            <w:r>
              <w:rPr>
                <w:rFonts w:ascii="宋体" w:eastAsia="宋体" w:hint="eastAsia"/>
                <w:sz w:val="21"/>
              </w:rPr>
              <w:t>地表水</w:t>
            </w:r>
          </w:p>
        </w:tc>
        <w:tc>
          <w:tcPr>
            <w:tcW w:w="7619" w:type="dxa"/>
            <w:gridSpan w:val="11"/>
            <w:tcBorders>
              <w:top w:val="single" w:sz="6" w:space="0" w:color="000000"/>
              <w:left w:val="single" w:sz="6" w:space="0" w:color="000000"/>
              <w:bottom w:val="single" w:sz="6" w:space="0" w:color="000000"/>
            </w:tcBorders>
          </w:tcPr>
          <w:p>
            <w:pPr>
              <w:pStyle w:val="TableParagraph"/>
              <w:tabs>
                <w:tab w:pos="4077" w:val="left" w:leader="none"/>
                <w:tab w:pos="5607" w:val="left" w:leader="none"/>
              </w:tabs>
              <w:spacing w:before="22"/>
              <w:ind w:left="1917"/>
              <w:jc w:val="left"/>
              <w:rPr>
                <w:sz w:val="21"/>
              </w:rPr>
            </w:pPr>
            <w:r>
              <w:rPr>
                <w:rFonts w:ascii="宋体" w:eastAsia="宋体" w:hint="eastAsia"/>
                <w:sz w:val="21"/>
              </w:rPr>
              <w:t>最近</w:t>
            </w:r>
            <w:r>
              <w:rPr>
                <w:rFonts w:ascii="宋体" w:eastAsia="宋体" w:hint="eastAsia"/>
                <w:spacing w:val="-3"/>
                <w:sz w:val="21"/>
              </w:rPr>
              <w:t>环</w:t>
            </w:r>
            <w:r>
              <w:rPr>
                <w:rFonts w:ascii="宋体" w:eastAsia="宋体" w:hint="eastAsia"/>
                <w:sz w:val="21"/>
              </w:rPr>
              <w:t>境</w:t>
            </w:r>
            <w:r>
              <w:rPr>
                <w:rFonts w:ascii="宋体" w:eastAsia="宋体" w:hint="eastAsia"/>
                <w:spacing w:val="-3"/>
                <w:sz w:val="21"/>
              </w:rPr>
              <w:t>敏</w:t>
            </w:r>
            <w:r>
              <w:rPr>
                <w:rFonts w:ascii="宋体" w:eastAsia="宋体" w:hint="eastAsia"/>
                <w:sz w:val="21"/>
              </w:rPr>
              <w:t>感</w:t>
            </w:r>
            <w:r>
              <w:rPr>
                <w:rFonts w:ascii="宋体" w:eastAsia="宋体" w:hint="eastAsia"/>
                <w:spacing w:val="-3"/>
                <w:sz w:val="21"/>
              </w:rPr>
              <w:t>目</w:t>
            </w:r>
            <w:r>
              <w:rPr>
                <w:rFonts w:ascii="宋体" w:eastAsia="宋体" w:hint="eastAsia"/>
                <w:sz w:val="21"/>
              </w:rPr>
              <w:t>标</w:t>
            </w:r>
            <w:r>
              <w:rPr>
                <w:rFonts w:ascii="宋体" w:eastAsia="宋体" w:hint="eastAsia"/>
                <w:sz w:val="21"/>
                <w:u w:val="single"/>
              </w:rPr>
              <w:t> </w:t>
            </w:r>
            <w:r>
              <w:rPr>
                <w:rFonts w:ascii="宋体" w:eastAsia="宋体" w:hint="eastAsia"/>
                <w:spacing w:val="6"/>
                <w:sz w:val="21"/>
                <w:u w:val="single"/>
              </w:rPr>
              <w:t> </w:t>
            </w:r>
            <w:r>
              <w:rPr>
                <w:sz w:val="21"/>
                <w:u w:val="single"/>
              </w:rPr>
              <w:t>/</w:t>
              <w:tab/>
            </w:r>
            <w:r>
              <w:rPr>
                <w:rFonts w:ascii="宋体" w:eastAsia="宋体" w:hint="eastAsia"/>
                <w:spacing w:val="-3"/>
                <w:sz w:val="21"/>
              </w:rPr>
              <w:t>，</w:t>
            </w:r>
            <w:r>
              <w:rPr>
                <w:rFonts w:ascii="宋体" w:eastAsia="宋体" w:hint="eastAsia"/>
                <w:sz w:val="21"/>
              </w:rPr>
              <w:t>到达</w:t>
            </w:r>
            <w:r>
              <w:rPr>
                <w:rFonts w:ascii="宋体" w:eastAsia="宋体" w:hint="eastAsia"/>
                <w:spacing w:val="-3"/>
                <w:sz w:val="21"/>
              </w:rPr>
              <w:t>时</w:t>
            </w:r>
            <w:r>
              <w:rPr>
                <w:rFonts w:ascii="宋体" w:eastAsia="宋体" w:hint="eastAsia"/>
                <w:sz w:val="21"/>
              </w:rPr>
              <w:t>间</w:t>
            </w:r>
            <w:r>
              <w:rPr>
                <w:rFonts w:ascii="宋体" w:eastAsia="宋体" w:hint="eastAsia"/>
                <w:sz w:val="21"/>
                <w:u w:val="single"/>
              </w:rPr>
              <w:t> </w:t>
            </w:r>
            <w:r>
              <w:rPr>
                <w:rFonts w:ascii="宋体" w:eastAsia="宋体" w:hint="eastAsia"/>
                <w:spacing w:val="4"/>
                <w:sz w:val="21"/>
                <w:u w:val="single"/>
              </w:rPr>
              <w:t> </w:t>
            </w:r>
            <w:r>
              <w:rPr>
                <w:sz w:val="21"/>
                <w:u w:val="single"/>
              </w:rPr>
              <w:t>/</w:t>
              <w:tab/>
            </w:r>
            <w:r>
              <w:rPr>
                <w:sz w:val="21"/>
              </w:rPr>
              <w:t>h</w:t>
            </w:r>
          </w:p>
        </w:tc>
      </w:tr>
      <w:tr>
        <w:trPr>
          <w:trHeight w:val="311"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8"/>
              <w:jc w:val="left"/>
              <w:rPr>
                <w:rFonts w:ascii="宋体"/>
                <w:b/>
                <w:sz w:val="14"/>
              </w:rPr>
            </w:pPr>
          </w:p>
          <w:p>
            <w:pPr>
              <w:pStyle w:val="TableParagraph"/>
              <w:spacing w:before="0"/>
              <w:ind w:left="258"/>
              <w:jc w:val="left"/>
              <w:rPr>
                <w:rFonts w:ascii="宋体" w:eastAsia="宋体" w:hint="eastAsia"/>
                <w:sz w:val="21"/>
              </w:rPr>
            </w:pPr>
            <w:r>
              <w:rPr>
                <w:rFonts w:ascii="宋体" w:eastAsia="宋体" w:hint="eastAsia"/>
                <w:sz w:val="21"/>
              </w:rPr>
              <w:t>地下水</w:t>
            </w:r>
          </w:p>
        </w:tc>
        <w:tc>
          <w:tcPr>
            <w:tcW w:w="7619" w:type="dxa"/>
            <w:gridSpan w:val="11"/>
            <w:tcBorders>
              <w:top w:val="single" w:sz="6" w:space="0" w:color="000000"/>
              <w:left w:val="single" w:sz="6" w:space="0" w:color="000000"/>
              <w:bottom w:val="single" w:sz="6" w:space="0" w:color="000000"/>
            </w:tcBorders>
          </w:tcPr>
          <w:p>
            <w:pPr>
              <w:pStyle w:val="TableParagraph"/>
              <w:tabs>
                <w:tab w:pos="2614" w:val="left" w:leader="none"/>
              </w:tabs>
              <w:spacing w:before="22"/>
              <w:ind w:left="34"/>
              <w:rPr>
                <w:sz w:val="21"/>
              </w:rPr>
            </w:pPr>
            <w:r>
              <w:rPr>
                <w:rFonts w:ascii="宋体" w:eastAsia="宋体" w:hint="eastAsia"/>
                <w:sz w:val="21"/>
              </w:rPr>
              <w:t>下游</w:t>
            </w:r>
            <w:r>
              <w:rPr>
                <w:rFonts w:ascii="宋体" w:eastAsia="宋体" w:hint="eastAsia"/>
                <w:spacing w:val="-3"/>
                <w:sz w:val="21"/>
              </w:rPr>
              <w:t>厂</w:t>
            </w:r>
            <w:r>
              <w:rPr>
                <w:rFonts w:ascii="宋体" w:eastAsia="宋体" w:hint="eastAsia"/>
                <w:sz w:val="21"/>
              </w:rPr>
              <w:t>区</w:t>
            </w:r>
            <w:r>
              <w:rPr>
                <w:rFonts w:ascii="宋体" w:eastAsia="宋体" w:hint="eastAsia"/>
                <w:spacing w:val="-3"/>
                <w:sz w:val="21"/>
              </w:rPr>
              <w:t>边</w:t>
            </w:r>
            <w:r>
              <w:rPr>
                <w:rFonts w:ascii="宋体" w:eastAsia="宋体" w:hint="eastAsia"/>
                <w:sz w:val="21"/>
              </w:rPr>
              <w:t>界</w:t>
            </w:r>
            <w:r>
              <w:rPr>
                <w:rFonts w:ascii="宋体" w:eastAsia="宋体" w:hint="eastAsia"/>
                <w:spacing w:val="-3"/>
                <w:sz w:val="21"/>
              </w:rPr>
              <w:t>到</w:t>
            </w:r>
            <w:r>
              <w:rPr>
                <w:rFonts w:ascii="宋体" w:eastAsia="宋体" w:hint="eastAsia"/>
                <w:sz w:val="21"/>
              </w:rPr>
              <w:t>达</w:t>
            </w:r>
            <w:r>
              <w:rPr>
                <w:rFonts w:ascii="宋体" w:eastAsia="宋体" w:hint="eastAsia"/>
                <w:spacing w:val="-3"/>
                <w:sz w:val="21"/>
              </w:rPr>
              <w:t>时</w:t>
            </w:r>
            <w:r>
              <w:rPr>
                <w:rFonts w:ascii="宋体" w:eastAsia="宋体" w:hint="eastAsia"/>
                <w:sz w:val="21"/>
              </w:rPr>
              <w:t>间</w:t>
            </w:r>
            <w:r>
              <w:rPr>
                <w:rFonts w:ascii="宋体" w:eastAsia="宋体" w:hint="eastAsia"/>
                <w:sz w:val="21"/>
                <w:u w:val="single"/>
              </w:rPr>
              <w:t> </w:t>
            </w:r>
            <w:r>
              <w:rPr>
                <w:rFonts w:ascii="宋体" w:eastAsia="宋体" w:hint="eastAsia"/>
                <w:spacing w:val="8"/>
                <w:sz w:val="21"/>
                <w:u w:val="single"/>
              </w:rPr>
              <w:t> </w:t>
            </w:r>
            <w:r>
              <w:rPr>
                <w:sz w:val="21"/>
                <w:u w:val="single"/>
              </w:rPr>
              <w:t>/</w:t>
              <w:tab/>
            </w:r>
            <w:r>
              <w:rPr>
                <w:sz w:val="21"/>
              </w:rPr>
              <w:t>d</w:t>
            </w:r>
          </w:p>
        </w:tc>
      </w:tr>
      <w:tr>
        <w:trPr>
          <w:trHeight w:val="313" w:hRule="atLeast"/>
        </w:trPr>
        <w:tc>
          <w:tcPr>
            <w:tcW w:w="677" w:type="dxa"/>
            <w:vMerge/>
            <w:tcBorders>
              <w:top w:val="nil"/>
              <w:bottom w:val="single" w:sz="6" w:space="0" w:color="000000"/>
              <w:right w:val="single" w:sz="6" w:space="0" w:color="000000"/>
            </w:tcBorders>
          </w:tcPr>
          <w:p>
            <w:pPr>
              <w:rPr>
                <w:sz w:val="2"/>
                <w:szCs w:val="2"/>
              </w:rPr>
            </w:pPr>
          </w:p>
        </w:tc>
        <w:tc>
          <w:tcPr>
            <w:tcW w:w="1140" w:type="dxa"/>
            <w:vMerge/>
            <w:tcBorders>
              <w:top w:val="nil"/>
              <w:left w:val="single" w:sz="6" w:space="0" w:color="000000"/>
              <w:bottom w:val="single" w:sz="6" w:space="0" w:color="000000"/>
              <w:right w:val="single" w:sz="6" w:space="0" w:color="000000"/>
            </w:tcBorders>
          </w:tcPr>
          <w:p>
            <w:pPr>
              <w:rPr>
                <w:sz w:val="2"/>
                <w:szCs w:val="2"/>
              </w:rPr>
            </w:pPr>
          </w:p>
        </w:tc>
        <w:tc>
          <w:tcPr>
            <w:tcW w:w="7619" w:type="dxa"/>
            <w:gridSpan w:val="11"/>
            <w:tcBorders>
              <w:top w:val="single" w:sz="6" w:space="0" w:color="000000"/>
              <w:left w:val="single" w:sz="6" w:space="0" w:color="000000"/>
              <w:bottom w:val="single" w:sz="6" w:space="0" w:color="000000"/>
            </w:tcBorders>
          </w:tcPr>
          <w:p>
            <w:pPr>
              <w:pStyle w:val="TableParagraph"/>
              <w:tabs>
                <w:tab w:pos="4077" w:val="left" w:leader="none"/>
                <w:tab w:pos="5607" w:val="left" w:leader="none"/>
              </w:tabs>
              <w:spacing w:before="25"/>
              <w:ind w:left="1917"/>
              <w:jc w:val="left"/>
              <w:rPr>
                <w:sz w:val="21"/>
              </w:rPr>
            </w:pPr>
            <w:r>
              <w:rPr>
                <w:rFonts w:ascii="宋体" w:eastAsia="宋体" w:hint="eastAsia"/>
                <w:sz w:val="21"/>
              </w:rPr>
              <w:t>最近</w:t>
            </w:r>
            <w:r>
              <w:rPr>
                <w:rFonts w:ascii="宋体" w:eastAsia="宋体" w:hint="eastAsia"/>
                <w:spacing w:val="-3"/>
                <w:sz w:val="21"/>
              </w:rPr>
              <w:t>环</w:t>
            </w:r>
            <w:r>
              <w:rPr>
                <w:rFonts w:ascii="宋体" w:eastAsia="宋体" w:hint="eastAsia"/>
                <w:sz w:val="21"/>
              </w:rPr>
              <w:t>境</w:t>
            </w:r>
            <w:r>
              <w:rPr>
                <w:rFonts w:ascii="宋体" w:eastAsia="宋体" w:hint="eastAsia"/>
                <w:spacing w:val="-3"/>
                <w:sz w:val="21"/>
              </w:rPr>
              <w:t>敏</w:t>
            </w:r>
            <w:r>
              <w:rPr>
                <w:rFonts w:ascii="宋体" w:eastAsia="宋体" w:hint="eastAsia"/>
                <w:sz w:val="21"/>
              </w:rPr>
              <w:t>感</w:t>
            </w:r>
            <w:r>
              <w:rPr>
                <w:rFonts w:ascii="宋体" w:eastAsia="宋体" w:hint="eastAsia"/>
                <w:spacing w:val="-3"/>
                <w:sz w:val="21"/>
              </w:rPr>
              <w:t>目</w:t>
            </w:r>
            <w:r>
              <w:rPr>
                <w:rFonts w:ascii="宋体" w:eastAsia="宋体" w:hint="eastAsia"/>
                <w:sz w:val="21"/>
              </w:rPr>
              <w:t>标</w:t>
            </w:r>
            <w:r>
              <w:rPr>
                <w:rFonts w:ascii="宋体" w:eastAsia="宋体" w:hint="eastAsia"/>
                <w:sz w:val="21"/>
                <w:u w:val="single"/>
              </w:rPr>
              <w:t> </w:t>
            </w:r>
            <w:r>
              <w:rPr>
                <w:rFonts w:ascii="宋体" w:eastAsia="宋体" w:hint="eastAsia"/>
                <w:spacing w:val="6"/>
                <w:sz w:val="21"/>
                <w:u w:val="single"/>
              </w:rPr>
              <w:t> </w:t>
            </w:r>
            <w:r>
              <w:rPr>
                <w:sz w:val="21"/>
                <w:u w:val="single"/>
              </w:rPr>
              <w:t>/</w:t>
              <w:tab/>
            </w:r>
            <w:r>
              <w:rPr>
                <w:rFonts w:ascii="宋体" w:eastAsia="宋体" w:hint="eastAsia"/>
                <w:spacing w:val="-3"/>
                <w:sz w:val="21"/>
              </w:rPr>
              <w:t>，</w:t>
            </w:r>
            <w:r>
              <w:rPr>
                <w:rFonts w:ascii="宋体" w:eastAsia="宋体" w:hint="eastAsia"/>
                <w:sz w:val="21"/>
              </w:rPr>
              <w:t>到达</w:t>
            </w:r>
            <w:r>
              <w:rPr>
                <w:rFonts w:ascii="宋体" w:eastAsia="宋体" w:hint="eastAsia"/>
                <w:spacing w:val="-3"/>
                <w:sz w:val="21"/>
              </w:rPr>
              <w:t>时</w:t>
            </w:r>
            <w:r>
              <w:rPr>
                <w:rFonts w:ascii="宋体" w:eastAsia="宋体" w:hint="eastAsia"/>
                <w:sz w:val="21"/>
              </w:rPr>
              <w:t>间</w:t>
            </w:r>
            <w:r>
              <w:rPr>
                <w:rFonts w:ascii="宋体" w:eastAsia="宋体" w:hint="eastAsia"/>
                <w:sz w:val="21"/>
                <w:u w:val="single"/>
              </w:rPr>
              <w:t> </w:t>
            </w:r>
            <w:r>
              <w:rPr>
                <w:rFonts w:ascii="宋体" w:eastAsia="宋体" w:hint="eastAsia"/>
                <w:spacing w:val="4"/>
                <w:sz w:val="21"/>
                <w:u w:val="single"/>
              </w:rPr>
              <w:t> </w:t>
            </w:r>
            <w:r>
              <w:rPr>
                <w:sz w:val="21"/>
                <w:u w:val="single"/>
              </w:rPr>
              <w:t>/</w:t>
              <w:tab/>
              <w:t>d</w:t>
            </w:r>
          </w:p>
        </w:tc>
      </w:tr>
      <w:tr>
        <w:trPr>
          <w:trHeight w:val="685" w:hRule="atLeast"/>
        </w:trPr>
        <w:tc>
          <w:tcPr>
            <w:tcW w:w="1817" w:type="dxa"/>
            <w:gridSpan w:val="2"/>
            <w:tcBorders>
              <w:top w:val="single" w:sz="6" w:space="0" w:color="000000"/>
              <w:bottom w:val="single" w:sz="6" w:space="0" w:color="000000"/>
              <w:right w:val="single" w:sz="6" w:space="0" w:color="000000"/>
            </w:tcBorders>
          </w:tcPr>
          <w:p>
            <w:pPr>
              <w:pStyle w:val="TableParagraph"/>
              <w:spacing w:line="310" w:lineRule="atLeast" w:before="12"/>
              <w:ind w:left="697" w:right="252" w:hanging="420"/>
              <w:jc w:val="left"/>
              <w:rPr>
                <w:rFonts w:ascii="宋体" w:eastAsia="宋体" w:hint="eastAsia"/>
                <w:sz w:val="21"/>
              </w:rPr>
            </w:pPr>
            <w:r>
              <w:rPr>
                <w:rFonts w:ascii="宋体" w:eastAsia="宋体" w:hint="eastAsia"/>
                <w:sz w:val="21"/>
              </w:rPr>
              <w:t>重点风险防范措施</w:t>
            </w:r>
          </w:p>
        </w:tc>
        <w:tc>
          <w:tcPr>
            <w:tcW w:w="7619" w:type="dxa"/>
            <w:gridSpan w:val="11"/>
            <w:tcBorders>
              <w:top w:val="single" w:sz="6" w:space="0" w:color="000000"/>
              <w:left w:val="single" w:sz="6" w:space="0" w:color="000000"/>
              <w:bottom w:val="single" w:sz="6" w:space="0" w:color="000000"/>
            </w:tcBorders>
          </w:tcPr>
          <w:p>
            <w:pPr>
              <w:pStyle w:val="TableParagraph"/>
              <w:spacing w:line="310" w:lineRule="atLeast" w:before="12"/>
              <w:ind w:left="976" w:right="100" w:hanging="841"/>
              <w:jc w:val="left"/>
              <w:rPr>
                <w:rFonts w:ascii="宋体" w:hAnsi="宋体" w:eastAsia="宋体" w:hint="eastAsia"/>
                <w:sz w:val="21"/>
              </w:rPr>
            </w:pPr>
            <w:r>
              <w:rPr>
                <w:rFonts w:ascii="宋体" w:hAnsi="宋体" w:eastAsia="宋体" w:hint="eastAsia"/>
                <w:sz w:val="21"/>
              </w:rPr>
              <w:t>①加强运输管理；②加强废水事故防范措施；③加强臭气污染防范措施；④加强沼气安全利用；⑤加强瘟疫卫生预防；⑥编制环境应急预案。</w:t>
            </w:r>
          </w:p>
        </w:tc>
      </w:tr>
      <w:tr>
        <w:trPr>
          <w:trHeight w:val="311" w:hRule="atLeast"/>
        </w:trPr>
        <w:tc>
          <w:tcPr>
            <w:tcW w:w="1817" w:type="dxa"/>
            <w:gridSpan w:val="2"/>
            <w:tcBorders>
              <w:top w:val="single" w:sz="6" w:space="0" w:color="000000"/>
              <w:bottom w:val="single" w:sz="6" w:space="0" w:color="000000"/>
              <w:right w:val="single" w:sz="6" w:space="0" w:color="000000"/>
            </w:tcBorders>
          </w:tcPr>
          <w:p>
            <w:pPr>
              <w:pStyle w:val="TableParagraph"/>
              <w:spacing w:before="22"/>
              <w:ind w:left="172"/>
              <w:jc w:val="left"/>
              <w:rPr>
                <w:rFonts w:ascii="宋体" w:eastAsia="宋体" w:hint="eastAsia"/>
                <w:sz w:val="21"/>
              </w:rPr>
            </w:pPr>
            <w:r>
              <w:rPr>
                <w:rFonts w:ascii="宋体" w:eastAsia="宋体" w:hint="eastAsia"/>
                <w:sz w:val="21"/>
              </w:rPr>
              <w:t>评价结论与建议</w:t>
            </w:r>
          </w:p>
        </w:tc>
        <w:tc>
          <w:tcPr>
            <w:tcW w:w="7619" w:type="dxa"/>
            <w:gridSpan w:val="11"/>
            <w:tcBorders>
              <w:top w:val="single" w:sz="6" w:space="0" w:color="000000"/>
              <w:left w:val="single" w:sz="6" w:space="0" w:color="000000"/>
              <w:bottom w:val="single" w:sz="6" w:space="0" w:color="000000"/>
            </w:tcBorders>
          </w:tcPr>
          <w:p>
            <w:pPr>
              <w:pStyle w:val="TableParagraph"/>
              <w:spacing w:before="22"/>
              <w:ind w:left="31"/>
              <w:rPr>
                <w:rFonts w:ascii="宋体" w:eastAsia="宋体" w:hint="eastAsia"/>
                <w:sz w:val="21"/>
              </w:rPr>
            </w:pPr>
            <w:r>
              <w:rPr>
                <w:rFonts w:ascii="宋体" w:eastAsia="宋体" w:hint="eastAsia"/>
                <w:sz w:val="21"/>
              </w:rPr>
              <w:t>风险可接受。</w:t>
            </w:r>
          </w:p>
        </w:tc>
      </w:tr>
      <w:tr>
        <w:trPr>
          <w:trHeight w:val="313" w:hRule="atLeast"/>
        </w:trPr>
        <w:tc>
          <w:tcPr>
            <w:tcW w:w="9436" w:type="dxa"/>
            <w:gridSpan w:val="13"/>
            <w:tcBorders>
              <w:top w:val="single" w:sz="6" w:space="0" w:color="000000"/>
            </w:tcBorders>
          </w:tcPr>
          <w:p>
            <w:pPr>
              <w:pStyle w:val="TableParagraph"/>
              <w:tabs>
                <w:tab w:pos="2385" w:val="left" w:leader="none"/>
              </w:tabs>
              <w:spacing w:before="22"/>
              <w:ind w:left="107"/>
              <w:jc w:val="left"/>
              <w:rPr>
                <w:rFonts w:ascii="宋体" w:hAnsi="宋体" w:eastAsia="宋体" w:hint="eastAsia"/>
                <w:sz w:val="21"/>
              </w:rPr>
            </w:pPr>
            <w:r>
              <w:rPr>
                <w:rFonts w:ascii="宋体" w:hAnsi="宋体" w:eastAsia="宋体" w:hint="eastAsia"/>
                <w:sz w:val="21"/>
              </w:rPr>
              <w:t>注：</w:t>
            </w:r>
            <w:r>
              <w:rPr>
                <w:sz w:val="21"/>
              </w:rPr>
              <w:t>“</w:t>
            </w:r>
            <w:r>
              <w:rPr>
                <w:rFonts w:ascii="宋体" w:hAnsi="宋体" w:eastAsia="宋体" w:hint="eastAsia"/>
                <w:sz w:val="21"/>
              </w:rPr>
              <w:t>□</w:t>
            </w:r>
            <w:r>
              <w:rPr>
                <w:sz w:val="21"/>
              </w:rPr>
              <w:t>”</w:t>
            </w:r>
            <w:r>
              <w:rPr>
                <w:rFonts w:ascii="宋体" w:hAnsi="宋体" w:eastAsia="宋体" w:hint="eastAsia"/>
                <w:spacing w:val="-3"/>
                <w:sz w:val="21"/>
              </w:rPr>
              <w:t>为</w:t>
            </w:r>
            <w:r>
              <w:rPr>
                <w:rFonts w:ascii="宋体" w:hAnsi="宋体" w:eastAsia="宋体" w:hint="eastAsia"/>
                <w:sz w:val="21"/>
              </w:rPr>
              <w:t>勾</w:t>
            </w:r>
            <w:r>
              <w:rPr>
                <w:rFonts w:ascii="宋体" w:hAnsi="宋体" w:eastAsia="宋体" w:hint="eastAsia"/>
                <w:spacing w:val="-3"/>
                <w:sz w:val="21"/>
              </w:rPr>
              <w:t>选</w:t>
            </w:r>
            <w:r>
              <w:rPr>
                <w:rFonts w:ascii="宋体" w:hAnsi="宋体" w:eastAsia="宋体" w:hint="eastAsia"/>
                <w:sz w:val="21"/>
              </w:rPr>
              <w:t>项，</w:t>
            </w:r>
            <w:r>
              <w:rPr>
                <w:sz w:val="21"/>
              </w:rPr>
              <w:t>“</w:t>
            </w:r>
            <w:r>
              <w:rPr>
                <w:sz w:val="21"/>
                <w:u w:val="single"/>
              </w:rPr>
              <w:t> </w:t>
              <w:tab/>
            </w:r>
            <w:r>
              <w:rPr>
                <w:spacing w:val="-3"/>
                <w:sz w:val="21"/>
              </w:rPr>
              <w:t>”</w:t>
            </w:r>
            <w:r>
              <w:rPr>
                <w:rFonts w:ascii="宋体" w:hAnsi="宋体" w:eastAsia="宋体" w:hint="eastAsia"/>
                <w:sz w:val="21"/>
              </w:rPr>
              <w:t>为填</w:t>
            </w:r>
            <w:r>
              <w:rPr>
                <w:rFonts w:ascii="宋体" w:hAnsi="宋体" w:eastAsia="宋体" w:hint="eastAsia"/>
                <w:spacing w:val="-3"/>
                <w:sz w:val="21"/>
              </w:rPr>
              <w:t>写</w:t>
            </w:r>
            <w:r>
              <w:rPr>
                <w:rFonts w:ascii="宋体" w:hAnsi="宋体" w:eastAsia="宋体" w:hint="eastAsia"/>
                <w:sz w:val="21"/>
              </w:rPr>
              <w:t>项。</w:t>
            </w:r>
          </w:p>
        </w:tc>
      </w:tr>
    </w:tbl>
    <w:p>
      <w:pPr>
        <w:spacing w:after="0"/>
        <w:jc w:val="left"/>
        <w:rPr>
          <w:rFonts w:ascii="宋体" w:hAnsi="宋体" w:eastAsia="宋体" w:hint="eastAsia"/>
          <w:sz w:val="21"/>
        </w:rPr>
        <w:sectPr>
          <w:pgSz w:w="11910" w:h="16840"/>
          <w:pgMar w:header="874" w:footer="1004" w:top="1420" w:bottom="1200" w:left="1040" w:right="1160"/>
        </w:sectPr>
      </w:pPr>
    </w:p>
    <w:p>
      <w:pPr>
        <w:spacing w:before="92"/>
        <w:ind w:left="719" w:right="0" w:firstLine="0"/>
        <w:jc w:val="left"/>
        <w:rPr>
          <w:b/>
          <w:sz w:val="24"/>
        </w:rPr>
      </w:pPr>
      <w:r>
        <w:rPr>
          <w:rFonts w:ascii="Times New Roman" w:eastAsia="Times New Roman"/>
          <w:b/>
          <w:sz w:val="24"/>
        </w:rPr>
        <w:t>7</w:t>
      </w:r>
      <w:r>
        <w:rPr>
          <w:b/>
          <w:sz w:val="24"/>
        </w:rPr>
        <w:t>、土壤环境影响分析</w:t>
      </w:r>
    </w:p>
    <w:p>
      <w:pPr>
        <w:pStyle w:val="BodyText"/>
        <w:spacing w:line="364" w:lineRule="auto" w:before="160"/>
        <w:ind w:right="251" w:firstLine="480"/>
      </w:pPr>
      <w:r>
        <w:rPr/>
        <w:t>正常工况下，只要企业做好关注区的防渗工作，本项目对土壤环境的影响较小，项目的建设是可行的。</w:t>
      </w:r>
    </w:p>
    <w:p>
      <w:pPr>
        <w:pStyle w:val="Heading3"/>
        <w:spacing w:before="1"/>
        <w:ind w:left="218" w:right="236"/>
        <w:jc w:val="center"/>
      </w:pPr>
      <w:r>
        <w:rPr/>
        <w:t>表 </w:t>
      </w:r>
      <w:r>
        <w:rPr>
          <w:rFonts w:ascii="Times New Roman" w:eastAsia="Times New Roman"/>
        </w:rPr>
        <w:t>9.1-5  </w:t>
      </w:r>
      <w:r>
        <w:rPr/>
        <w:t>土壤环境影响评价自查表</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1666"/>
        <w:gridCol w:w="1135"/>
        <w:gridCol w:w="425"/>
        <w:gridCol w:w="1558"/>
        <w:gridCol w:w="1561"/>
        <w:gridCol w:w="284"/>
        <w:gridCol w:w="1278"/>
        <w:gridCol w:w="1101"/>
      </w:tblGrid>
      <w:tr>
        <w:trPr>
          <w:trHeight w:val="311" w:hRule="atLeast"/>
        </w:trPr>
        <w:tc>
          <w:tcPr>
            <w:tcW w:w="2093" w:type="dxa"/>
            <w:gridSpan w:val="2"/>
            <w:tcBorders>
              <w:bottom w:val="single" w:sz="6" w:space="0" w:color="000000"/>
              <w:right w:val="single" w:sz="6" w:space="0" w:color="000000"/>
            </w:tcBorders>
          </w:tcPr>
          <w:p>
            <w:pPr>
              <w:pStyle w:val="TableParagraph"/>
              <w:spacing w:before="22"/>
              <w:ind w:left="623"/>
              <w:jc w:val="left"/>
              <w:rPr>
                <w:rFonts w:ascii="宋体" w:eastAsia="宋体" w:hint="eastAsia"/>
                <w:b/>
                <w:sz w:val="21"/>
              </w:rPr>
            </w:pPr>
            <w:r>
              <w:rPr>
                <w:rFonts w:ascii="宋体" w:eastAsia="宋体" w:hint="eastAsia"/>
                <w:b/>
                <w:sz w:val="21"/>
              </w:rPr>
              <w:t>工作内容</w:t>
            </w:r>
          </w:p>
        </w:tc>
        <w:tc>
          <w:tcPr>
            <w:tcW w:w="6241" w:type="dxa"/>
            <w:gridSpan w:val="6"/>
            <w:tcBorders>
              <w:left w:val="single" w:sz="6" w:space="0" w:color="000000"/>
              <w:bottom w:val="single" w:sz="6" w:space="0" w:color="000000"/>
              <w:right w:val="single" w:sz="6" w:space="0" w:color="000000"/>
            </w:tcBorders>
          </w:tcPr>
          <w:p>
            <w:pPr>
              <w:pStyle w:val="TableParagraph"/>
              <w:spacing w:before="22"/>
              <w:ind w:left="62" w:right="33"/>
              <w:rPr>
                <w:rFonts w:ascii="宋体" w:eastAsia="宋体" w:hint="eastAsia"/>
                <w:b/>
                <w:sz w:val="21"/>
              </w:rPr>
            </w:pPr>
            <w:r>
              <w:rPr>
                <w:rFonts w:ascii="宋体" w:eastAsia="宋体" w:hint="eastAsia"/>
                <w:b/>
                <w:sz w:val="21"/>
              </w:rPr>
              <w:t>完成情况</w:t>
            </w:r>
          </w:p>
        </w:tc>
        <w:tc>
          <w:tcPr>
            <w:tcW w:w="1101" w:type="dxa"/>
            <w:tcBorders>
              <w:left w:val="single" w:sz="6" w:space="0" w:color="000000"/>
              <w:bottom w:val="single" w:sz="6" w:space="0" w:color="000000"/>
            </w:tcBorders>
          </w:tcPr>
          <w:p>
            <w:pPr>
              <w:pStyle w:val="TableParagraph"/>
              <w:spacing w:before="22"/>
              <w:ind w:left="343"/>
              <w:jc w:val="left"/>
              <w:rPr>
                <w:rFonts w:ascii="宋体" w:eastAsia="宋体" w:hint="eastAsia"/>
                <w:b/>
                <w:sz w:val="21"/>
              </w:rPr>
            </w:pPr>
            <w:r>
              <w:rPr>
                <w:rFonts w:ascii="宋体" w:eastAsia="宋体" w:hint="eastAsia"/>
                <w:b/>
                <w:sz w:val="21"/>
              </w:rPr>
              <w:t>备注</w:t>
            </w:r>
          </w:p>
        </w:tc>
      </w:tr>
      <w:tr>
        <w:trPr>
          <w:trHeight w:val="313"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78" w:lineRule="auto" w:before="152"/>
              <w:ind w:left="107" w:right="83"/>
              <w:jc w:val="both"/>
              <w:rPr>
                <w:rFonts w:ascii="宋体" w:eastAsia="宋体" w:hint="eastAsia"/>
                <w:sz w:val="21"/>
              </w:rPr>
            </w:pPr>
            <w:r>
              <w:rPr>
                <w:rFonts w:ascii="宋体" w:eastAsia="宋体" w:hint="eastAsia"/>
                <w:sz w:val="21"/>
              </w:rPr>
              <w:t>影响识别</w:t>
            </w: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5"/>
              <w:ind w:left="187" w:right="161"/>
              <w:rPr>
                <w:rFonts w:ascii="宋体" w:eastAsia="宋体" w:hint="eastAsia"/>
                <w:sz w:val="21"/>
              </w:rPr>
            </w:pPr>
            <w:r>
              <w:rPr>
                <w:rFonts w:ascii="宋体" w:eastAsia="宋体" w:hint="eastAsia"/>
                <w:sz w:val="21"/>
              </w:rPr>
              <w:t>影响类别</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5"/>
              <w:ind w:left="1142"/>
              <w:jc w:val="left"/>
              <w:rPr>
                <w:rFonts w:ascii="宋体" w:hAnsi="宋体" w:eastAsia="宋体" w:hint="eastAsia"/>
                <w:sz w:val="21"/>
              </w:rPr>
            </w:pPr>
            <w:r>
              <w:rPr>
                <w:rFonts w:ascii="宋体" w:hAnsi="宋体" w:eastAsia="宋体" w:hint="eastAsia"/>
                <w:sz w:val="21"/>
              </w:rPr>
              <w:t>污染影响型</w:t>
            </w:r>
            <w:r>
              <w:rPr>
                <w:rFonts w:ascii="Wingdings" w:hAnsi="Wingdings" w:eastAsia="Wingdings"/>
                <w:sz w:val="21"/>
              </w:rPr>
              <w:t></w:t>
            </w:r>
            <w:r>
              <w:rPr>
                <w:rFonts w:ascii="宋体" w:hAnsi="宋体" w:eastAsia="宋体" w:hint="eastAsia"/>
                <w:sz w:val="21"/>
              </w:rPr>
              <w:t>；生态影响型□；两种兼有□</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623"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178"/>
              <w:ind w:left="189" w:right="161"/>
              <w:rPr>
                <w:rFonts w:ascii="宋体" w:eastAsia="宋体" w:hint="eastAsia"/>
                <w:sz w:val="21"/>
              </w:rPr>
            </w:pPr>
            <w:r>
              <w:rPr>
                <w:rFonts w:ascii="宋体" w:eastAsia="宋体" w:hint="eastAsia"/>
                <w:sz w:val="21"/>
              </w:rPr>
              <w:t>土地利用类型</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78"/>
              <w:ind w:left="1456"/>
              <w:jc w:val="left"/>
              <w:rPr>
                <w:rFonts w:ascii="宋体" w:hAnsi="宋体" w:eastAsia="宋体" w:hint="eastAsia"/>
                <w:sz w:val="21"/>
              </w:rPr>
            </w:pPr>
            <w:r>
              <w:rPr>
                <w:rFonts w:ascii="宋体" w:hAnsi="宋体" w:eastAsia="宋体" w:hint="eastAsia"/>
                <w:sz w:val="21"/>
              </w:rPr>
              <w:t>建设用地□；农用地</w:t>
            </w:r>
            <w:r>
              <w:rPr>
                <w:rFonts w:ascii="Wingdings" w:hAnsi="Wingdings" w:eastAsia="Wingdings"/>
                <w:sz w:val="21"/>
              </w:rPr>
              <w:t></w:t>
            </w:r>
            <w:r>
              <w:rPr>
                <w:rFonts w:ascii="宋体" w:hAnsi="宋体" w:eastAsia="宋体" w:hint="eastAsia"/>
                <w:sz w:val="21"/>
              </w:rPr>
              <w:t>；未利用地□</w:t>
            </w:r>
          </w:p>
        </w:tc>
        <w:tc>
          <w:tcPr>
            <w:tcW w:w="1101" w:type="dxa"/>
            <w:tcBorders>
              <w:top w:val="single" w:sz="6" w:space="0" w:color="000000"/>
              <w:left w:val="single" w:sz="6" w:space="0" w:color="000000"/>
              <w:bottom w:val="single" w:sz="6" w:space="0" w:color="000000"/>
            </w:tcBorders>
          </w:tcPr>
          <w:p>
            <w:pPr>
              <w:pStyle w:val="TableParagraph"/>
              <w:spacing w:before="22"/>
              <w:ind w:left="134"/>
              <w:jc w:val="left"/>
              <w:rPr>
                <w:rFonts w:ascii="宋体" w:eastAsia="宋体" w:hint="eastAsia"/>
                <w:sz w:val="21"/>
              </w:rPr>
            </w:pPr>
            <w:r>
              <w:rPr>
                <w:rFonts w:ascii="宋体" w:eastAsia="宋体" w:hint="eastAsia"/>
                <w:sz w:val="21"/>
              </w:rPr>
              <w:t>土地利用</w:t>
            </w:r>
          </w:p>
          <w:p>
            <w:pPr>
              <w:pStyle w:val="TableParagraph"/>
              <w:spacing w:before="43"/>
              <w:ind w:left="237"/>
              <w:jc w:val="left"/>
              <w:rPr>
                <w:rFonts w:ascii="宋体" w:eastAsia="宋体" w:hint="eastAsia"/>
                <w:sz w:val="21"/>
              </w:rPr>
            </w:pPr>
            <w:r>
              <w:rPr>
                <w:rFonts w:ascii="宋体" w:eastAsia="宋体" w:hint="eastAsia"/>
                <w:sz w:val="21"/>
              </w:rPr>
              <w:t>类型图</w:t>
            </w: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7" w:right="161"/>
              <w:rPr>
                <w:rFonts w:ascii="宋体" w:eastAsia="宋体" w:hint="eastAsia"/>
                <w:sz w:val="21"/>
              </w:rPr>
            </w:pPr>
            <w:r>
              <w:rPr>
                <w:rFonts w:ascii="宋体" w:eastAsia="宋体" w:hint="eastAsia"/>
                <w:sz w:val="21"/>
              </w:rPr>
              <w:t>占地规模</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62" w:right="33"/>
              <w:rPr>
                <w:sz w:val="14"/>
              </w:rPr>
            </w:pPr>
            <w:r>
              <w:rPr>
                <w:rFonts w:ascii="宋体" w:eastAsia="宋体" w:hint="eastAsia"/>
                <w:sz w:val="21"/>
              </w:rPr>
              <w:t>（</w:t>
            </w:r>
            <w:r>
              <w:rPr>
                <w:sz w:val="21"/>
              </w:rPr>
              <w:t>5.2</w:t>
            </w:r>
            <w:r>
              <w:rPr>
                <w:rFonts w:ascii="宋体" w:eastAsia="宋体" w:hint="eastAsia"/>
                <w:sz w:val="21"/>
              </w:rPr>
              <w:t>）</w:t>
            </w:r>
            <w:r>
              <w:rPr>
                <w:sz w:val="21"/>
              </w:rPr>
              <w:t>hm</w:t>
            </w:r>
            <w:r>
              <w:rPr>
                <w:position w:val="7"/>
                <w:sz w:val="14"/>
              </w:rPr>
              <w:t>2</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3"/>
              <w:ind w:left="189" w:right="161"/>
              <w:rPr>
                <w:rFonts w:ascii="宋体" w:eastAsia="宋体" w:hint="eastAsia"/>
                <w:sz w:val="21"/>
              </w:rPr>
            </w:pPr>
            <w:r>
              <w:rPr>
                <w:rFonts w:ascii="宋体" w:eastAsia="宋体" w:hint="eastAsia"/>
                <w:sz w:val="21"/>
              </w:rPr>
              <w:t>敏感目标信息</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3"/>
              <w:ind w:left="59" w:right="33"/>
              <w:rPr>
                <w:rFonts w:ascii="宋体" w:eastAsia="宋体" w:hint="eastAsia"/>
                <w:sz w:val="21"/>
              </w:rPr>
            </w:pPr>
            <w:r>
              <w:rPr>
                <w:rFonts w:ascii="宋体" w:eastAsia="宋体" w:hint="eastAsia"/>
                <w:sz w:val="21"/>
              </w:rPr>
              <w:t>敏感目标（园地）、方位（周边）、距离（紧邻）</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3"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5"/>
              <w:ind w:left="187" w:right="161"/>
              <w:rPr>
                <w:rFonts w:ascii="宋体" w:eastAsia="宋体" w:hint="eastAsia"/>
                <w:sz w:val="21"/>
              </w:rPr>
            </w:pPr>
            <w:r>
              <w:rPr>
                <w:rFonts w:ascii="宋体" w:eastAsia="宋体" w:hint="eastAsia"/>
                <w:sz w:val="21"/>
              </w:rPr>
              <w:t>影响途径</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5"/>
              <w:ind w:left="196"/>
              <w:jc w:val="left"/>
              <w:rPr>
                <w:rFonts w:ascii="宋体" w:hAnsi="宋体" w:eastAsia="宋体" w:hint="eastAsia"/>
                <w:sz w:val="21"/>
              </w:rPr>
            </w:pPr>
            <w:r>
              <w:rPr>
                <w:rFonts w:ascii="宋体" w:hAnsi="宋体" w:eastAsia="宋体" w:hint="eastAsia"/>
                <w:sz w:val="21"/>
              </w:rPr>
              <w:t>大气沉降□；地面漫流</w:t>
            </w:r>
            <w:r>
              <w:rPr>
                <w:rFonts w:ascii="Wingdings" w:hAnsi="Wingdings" w:eastAsia="Wingdings"/>
                <w:sz w:val="21"/>
              </w:rPr>
              <w:t></w:t>
            </w:r>
            <w:r>
              <w:rPr>
                <w:rFonts w:ascii="宋体" w:hAnsi="宋体" w:eastAsia="宋体" w:hint="eastAsia"/>
                <w:sz w:val="21"/>
              </w:rPr>
              <w:t>；垂直入渗□；地下水位□；其他（）</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7" w:right="161"/>
              <w:rPr>
                <w:rFonts w:ascii="宋体" w:eastAsia="宋体" w:hint="eastAsia"/>
                <w:sz w:val="21"/>
              </w:rPr>
            </w:pPr>
            <w:r>
              <w:rPr>
                <w:rFonts w:ascii="宋体" w:eastAsia="宋体" w:hint="eastAsia"/>
                <w:sz w:val="21"/>
              </w:rPr>
              <w:t>全部污染物</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1444"/>
              <w:jc w:val="left"/>
              <w:rPr>
                <w:rFonts w:ascii="宋体" w:eastAsia="宋体" w:hint="eastAsia"/>
                <w:sz w:val="21"/>
              </w:rPr>
            </w:pPr>
            <w:r>
              <w:rPr>
                <w:rFonts w:ascii="宋体" w:eastAsia="宋体" w:hint="eastAsia"/>
                <w:sz w:val="21"/>
              </w:rPr>
              <w:t>砷、镉、铬、铜、铅、汞、镍、锌等</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7" w:right="161"/>
              <w:rPr>
                <w:rFonts w:ascii="宋体" w:eastAsia="宋体" w:hint="eastAsia"/>
                <w:sz w:val="21"/>
              </w:rPr>
            </w:pPr>
            <w:r>
              <w:rPr>
                <w:rFonts w:ascii="宋体" w:eastAsia="宋体" w:hint="eastAsia"/>
                <w:sz w:val="21"/>
              </w:rPr>
              <w:t>特征因子</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36"/>
              <w:ind w:left="25"/>
              <w:rPr>
                <w:sz w:val="21"/>
              </w:rPr>
            </w:pPr>
            <w:r>
              <w:rPr>
                <w:w w:val="100"/>
                <w:sz w:val="21"/>
              </w:rPr>
              <w:t>/</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623"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208"/>
              <w:jc w:val="left"/>
              <w:rPr>
                <w:rFonts w:ascii="宋体" w:eastAsia="宋体" w:hint="eastAsia"/>
                <w:sz w:val="21"/>
              </w:rPr>
            </w:pPr>
            <w:r>
              <w:rPr>
                <w:rFonts w:ascii="宋体" w:eastAsia="宋体" w:hint="eastAsia"/>
                <w:spacing w:val="-2"/>
                <w:sz w:val="21"/>
              </w:rPr>
              <w:t>所属环境影响</w:t>
            </w:r>
          </w:p>
          <w:p>
            <w:pPr>
              <w:pStyle w:val="TableParagraph"/>
              <w:spacing w:before="43"/>
              <w:ind w:left="208"/>
              <w:jc w:val="left"/>
              <w:rPr>
                <w:rFonts w:ascii="宋体" w:eastAsia="宋体" w:hint="eastAsia"/>
                <w:sz w:val="21"/>
              </w:rPr>
            </w:pPr>
            <w:r>
              <w:rPr>
                <w:rFonts w:ascii="宋体" w:eastAsia="宋体" w:hint="eastAsia"/>
                <w:spacing w:val="-2"/>
                <w:sz w:val="21"/>
              </w:rPr>
              <w:t>评价项目类别</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78"/>
              <w:ind w:left="1562"/>
              <w:jc w:val="left"/>
              <w:rPr>
                <w:rFonts w:ascii="宋体" w:hAnsi="宋体" w:eastAsia="宋体" w:hint="eastAsia"/>
                <w:sz w:val="21"/>
              </w:rPr>
            </w:pPr>
            <w:r>
              <w:rPr>
                <w:rFonts w:ascii="宋体" w:hAnsi="宋体" w:eastAsia="宋体" w:hint="eastAsia"/>
                <w:sz w:val="21"/>
              </w:rPr>
              <w:t>Ⅰ类□；Ⅱ类□；Ⅲ类</w:t>
            </w:r>
            <w:r>
              <w:rPr>
                <w:rFonts w:ascii="Wingdings" w:hAnsi="Wingdings" w:eastAsia="Wingdings"/>
                <w:sz w:val="21"/>
              </w:rPr>
              <w:t></w:t>
            </w:r>
            <w:r>
              <w:rPr>
                <w:rFonts w:ascii="宋体" w:hAnsi="宋体" w:eastAsia="宋体" w:hint="eastAsia"/>
                <w:sz w:val="21"/>
              </w:rPr>
              <w:t>；Ⅳ类□</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3"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5"/>
              <w:ind w:left="187" w:right="161"/>
              <w:rPr>
                <w:rFonts w:ascii="宋体" w:eastAsia="宋体" w:hint="eastAsia"/>
                <w:sz w:val="21"/>
              </w:rPr>
            </w:pPr>
            <w:r>
              <w:rPr>
                <w:rFonts w:ascii="宋体" w:eastAsia="宋体" w:hint="eastAsia"/>
                <w:sz w:val="21"/>
              </w:rPr>
              <w:t>敏感程度</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5"/>
              <w:ind w:left="1771"/>
              <w:jc w:val="left"/>
              <w:rPr>
                <w:rFonts w:ascii="宋体" w:hAnsi="宋体" w:eastAsia="宋体" w:hint="eastAsia"/>
                <w:sz w:val="21"/>
              </w:rPr>
            </w:pPr>
            <w:r>
              <w:rPr>
                <w:rFonts w:ascii="宋体" w:hAnsi="宋体" w:eastAsia="宋体" w:hint="eastAsia"/>
                <w:sz w:val="21"/>
              </w:rPr>
              <w:t>敏感</w:t>
            </w:r>
            <w:r>
              <w:rPr>
                <w:rFonts w:ascii="Wingdings" w:hAnsi="Wingdings" w:eastAsia="Wingdings"/>
                <w:sz w:val="21"/>
              </w:rPr>
              <w:t></w:t>
            </w:r>
            <w:r>
              <w:rPr>
                <w:rFonts w:ascii="宋体" w:hAnsi="宋体" w:eastAsia="宋体" w:hint="eastAsia"/>
                <w:sz w:val="21"/>
              </w:rPr>
              <w:t>；较敏感□；不敏感□</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val="restart"/>
            <w:tcBorders>
              <w:top w:val="single" w:sz="6" w:space="0" w:color="000000"/>
              <w:bottom w:val="single" w:sz="6" w:space="0" w:color="000000"/>
              <w:right w:val="single" w:sz="6" w:space="0" w:color="000000"/>
            </w:tcBorders>
          </w:tcPr>
          <w:p>
            <w:pPr>
              <w:pStyle w:val="TableParagraph"/>
              <w:spacing w:line="278" w:lineRule="auto" w:before="61"/>
              <w:ind w:left="107" w:right="83"/>
              <w:jc w:val="both"/>
              <w:rPr>
                <w:rFonts w:ascii="宋体" w:eastAsia="宋体" w:hint="eastAsia"/>
                <w:sz w:val="21"/>
              </w:rPr>
            </w:pPr>
            <w:r>
              <w:rPr>
                <w:rFonts w:ascii="宋体" w:eastAsia="宋体" w:hint="eastAsia"/>
                <w:sz w:val="21"/>
              </w:rPr>
              <w:t>现状调查内</w:t>
            </w:r>
          </w:p>
          <w:p>
            <w:pPr>
              <w:pStyle w:val="TableParagraph"/>
              <w:spacing w:before="0"/>
              <w:ind w:left="107"/>
              <w:jc w:val="left"/>
              <w:rPr>
                <w:rFonts w:ascii="宋体" w:eastAsia="宋体" w:hint="eastAsia"/>
                <w:sz w:val="21"/>
              </w:rPr>
            </w:pPr>
            <w:r>
              <w:rPr>
                <w:rFonts w:ascii="宋体" w:eastAsia="宋体" w:hint="eastAsia"/>
                <w:w w:val="100"/>
                <w:sz w:val="21"/>
              </w:rPr>
              <w:t>容</w:t>
            </w: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7" w:right="161"/>
              <w:rPr>
                <w:rFonts w:ascii="宋体" w:eastAsia="宋体" w:hint="eastAsia"/>
                <w:sz w:val="21"/>
              </w:rPr>
            </w:pPr>
            <w:r>
              <w:rPr>
                <w:rFonts w:ascii="宋体" w:eastAsia="宋体" w:hint="eastAsia"/>
                <w:sz w:val="21"/>
              </w:rPr>
              <w:t>资料收集</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1816"/>
              <w:jc w:val="left"/>
              <w:rPr>
                <w:rFonts w:ascii="Wingdings" w:hAnsi="Wingdings"/>
                <w:sz w:val="21"/>
              </w:rPr>
            </w:pPr>
            <w:r>
              <w:rPr>
                <w:sz w:val="21"/>
              </w:rPr>
              <w:t>a</w:t>
            </w:r>
            <w:r>
              <w:rPr>
                <w:rFonts w:ascii="宋体" w:hAnsi="宋体"/>
                <w:sz w:val="21"/>
              </w:rPr>
              <w:t>）</w:t>
            </w:r>
            <w:r>
              <w:rPr>
                <w:rFonts w:ascii="Wingdings" w:hAnsi="Wingdings"/>
                <w:sz w:val="21"/>
              </w:rPr>
              <w:t></w:t>
            </w:r>
            <w:r>
              <w:rPr>
                <w:rFonts w:ascii="宋体" w:hAnsi="宋体"/>
                <w:sz w:val="21"/>
              </w:rPr>
              <w:t>；</w:t>
            </w:r>
            <w:r>
              <w:rPr>
                <w:sz w:val="21"/>
              </w:rPr>
              <w:t>b</w:t>
            </w:r>
            <w:r>
              <w:rPr>
                <w:rFonts w:ascii="宋体" w:hAnsi="宋体"/>
                <w:sz w:val="21"/>
              </w:rPr>
              <w:t>）</w:t>
            </w:r>
            <w:r>
              <w:rPr>
                <w:rFonts w:ascii="Wingdings" w:hAnsi="Wingdings"/>
                <w:sz w:val="21"/>
              </w:rPr>
              <w:t></w:t>
            </w:r>
            <w:r>
              <w:rPr>
                <w:rFonts w:ascii="宋体" w:hAnsi="宋体"/>
                <w:sz w:val="21"/>
              </w:rPr>
              <w:t>；</w:t>
            </w:r>
            <w:r>
              <w:rPr>
                <w:sz w:val="21"/>
              </w:rPr>
              <w:t>c</w:t>
            </w:r>
            <w:r>
              <w:rPr>
                <w:rFonts w:ascii="宋体" w:hAnsi="宋体"/>
                <w:sz w:val="21"/>
              </w:rPr>
              <w:t>）</w:t>
            </w:r>
            <w:r>
              <w:rPr>
                <w:rFonts w:ascii="Wingdings" w:hAnsi="Wingdings"/>
                <w:sz w:val="21"/>
              </w:rPr>
              <w:t></w:t>
            </w:r>
            <w:r>
              <w:rPr>
                <w:rFonts w:ascii="宋体" w:hAnsi="宋体"/>
                <w:sz w:val="21"/>
              </w:rPr>
              <w:t>；</w:t>
            </w:r>
            <w:r>
              <w:rPr>
                <w:sz w:val="21"/>
              </w:rPr>
              <w:t>d</w:t>
            </w:r>
            <w:r>
              <w:rPr>
                <w:rFonts w:ascii="宋体" w:hAnsi="宋体"/>
                <w:sz w:val="21"/>
              </w:rPr>
              <w:t>）</w:t>
            </w:r>
            <w:r>
              <w:rPr>
                <w:rFonts w:ascii="Wingdings" w:hAnsi="Wingdings"/>
                <w:sz w:val="21"/>
              </w:rPr>
              <w:t></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7" w:right="161"/>
              <w:rPr>
                <w:rFonts w:ascii="宋体" w:eastAsia="宋体" w:hint="eastAsia"/>
                <w:sz w:val="21"/>
              </w:rPr>
            </w:pPr>
            <w:r>
              <w:rPr>
                <w:rFonts w:ascii="宋体" w:eastAsia="宋体" w:hint="eastAsia"/>
                <w:sz w:val="21"/>
              </w:rPr>
              <w:t>理化特性</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393"/>
              <w:jc w:val="left"/>
              <w:rPr>
                <w:rFonts w:ascii="宋体" w:eastAsia="宋体" w:hint="eastAsia"/>
                <w:sz w:val="21"/>
              </w:rPr>
            </w:pPr>
            <w:r>
              <w:rPr>
                <w:rFonts w:ascii="宋体" w:eastAsia="宋体" w:hint="eastAsia"/>
                <w:sz w:val="21"/>
              </w:rPr>
              <w:t>土体构型、土壤质地、阳离子交换量、土壤容重、孔隙度等</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jc w:val="left"/>
              <w:rPr>
                <w:rFonts w:ascii="宋体"/>
                <w:b/>
                <w:sz w:val="27"/>
              </w:rPr>
            </w:pPr>
          </w:p>
          <w:p>
            <w:pPr>
              <w:pStyle w:val="TableParagraph"/>
              <w:spacing w:before="0"/>
              <w:ind w:left="208"/>
              <w:jc w:val="left"/>
              <w:rPr>
                <w:rFonts w:ascii="宋体" w:eastAsia="宋体" w:hint="eastAsia"/>
                <w:sz w:val="21"/>
              </w:rPr>
            </w:pPr>
            <w:r>
              <w:rPr>
                <w:rFonts w:ascii="宋体" w:eastAsia="宋体" w:hint="eastAsia"/>
                <w:sz w:val="21"/>
              </w:rPr>
              <w:t>现状监测点位</w:t>
            </w:r>
          </w:p>
        </w:tc>
        <w:tc>
          <w:tcPr>
            <w:tcW w:w="15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22"/>
              <w:ind w:left="134" w:right="105"/>
              <w:rPr>
                <w:rFonts w:ascii="宋体" w:eastAsia="宋体" w:hint="eastAsia"/>
                <w:sz w:val="21"/>
              </w:rPr>
            </w:pPr>
            <w:r>
              <w:rPr>
                <w:rFonts w:ascii="宋体" w:eastAsia="宋体" w:hint="eastAsia"/>
                <w:sz w:val="21"/>
              </w:rPr>
              <w:t>占地范围内</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22"/>
              <w:ind w:left="243" w:right="213"/>
              <w:rPr>
                <w:rFonts w:ascii="宋体" w:eastAsia="宋体" w:hint="eastAsia"/>
                <w:sz w:val="21"/>
              </w:rPr>
            </w:pPr>
            <w:r>
              <w:rPr>
                <w:rFonts w:ascii="宋体" w:eastAsia="宋体" w:hint="eastAsia"/>
                <w:sz w:val="21"/>
              </w:rPr>
              <w:t>占地范围外</w:t>
            </w:r>
          </w:p>
        </w:tc>
        <w:tc>
          <w:tcPr>
            <w:tcW w:w="156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556" w:right="530"/>
              <w:rPr>
                <w:rFonts w:ascii="宋体" w:eastAsia="宋体" w:hint="eastAsia"/>
                <w:sz w:val="21"/>
              </w:rPr>
            </w:pPr>
            <w:r>
              <w:rPr>
                <w:rFonts w:ascii="宋体" w:eastAsia="宋体" w:hint="eastAsia"/>
                <w:sz w:val="21"/>
              </w:rPr>
              <w:t>深度</w:t>
            </w:r>
          </w:p>
        </w:tc>
        <w:tc>
          <w:tcPr>
            <w:tcW w:w="1101" w:type="dxa"/>
            <w:vMerge w:val="restart"/>
            <w:tcBorders>
              <w:top w:val="single" w:sz="6" w:space="0" w:color="000000"/>
              <w:left w:val="single" w:sz="6" w:space="0" w:color="000000"/>
              <w:bottom w:val="single" w:sz="6" w:space="0" w:color="000000"/>
            </w:tcBorders>
          </w:tcPr>
          <w:p>
            <w:pPr>
              <w:pStyle w:val="TableParagraph"/>
              <w:spacing w:before="3"/>
              <w:jc w:val="left"/>
              <w:rPr>
                <w:rFonts w:ascii="宋体"/>
                <w:b/>
                <w:sz w:val="15"/>
              </w:rPr>
            </w:pPr>
          </w:p>
          <w:p>
            <w:pPr>
              <w:pStyle w:val="TableParagraph"/>
              <w:spacing w:line="278" w:lineRule="auto" w:before="0"/>
              <w:ind w:left="449" w:right="99" w:hanging="315"/>
              <w:jc w:val="left"/>
              <w:rPr>
                <w:rFonts w:ascii="宋体" w:eastAsia="宋体" w:hint="eastAsia"/>
                <w:sz w:val="21"/>
              </w:rPr>
            </w:pPr>
            <w:r>
              <w:rPr>
                <w:rFonts w:ascii="宋体" w:eastAsia="宋体" w:hint="eastAsia"/>
                <w:sz w:val="21"/>
              </w:rPr>
              <w:t>点位布置图</w:t>
            </w:r>
          </w:p>
        </w:tc>
      </w:tr>
      <w:tr>
        <w:trPr>
          <w:trHeight w:val="313" w:hRule="atLeast"/>
        </w:trPr>
        <w:tc>
          <w:tcPr>
            <w:tcW w:w="427" w:type="dxa"/>
            <w:vMerge/>
            <w:tcBorders>
              <w:top w:val="nil"/>
              <w:bottom w:val="single" w:sz="6" w:space="0" w:color="000000"/>
              <w:right w:val="single" w:sz="6" w:space="0" w:color="000000"/>
            </w:tcBorders>
          </w:tcPr>
          <w:p>
            <w:pPr>
              <w:rPr>
                <w:sz w:val="2"/>
                <w:szCs w:val="2"/>
              </w:rPr>
            </w:pPr>
          </w:p>
        </w:tc>
        <w:tc>
          <w:tcPr>
            <w:tcW w:w="1666" w:type="dxa"/>
            <w:vMerge/>
            <w:tcBorders>
              <w:top w:val="nil"/>
              <w:left w:val="single" w:sz="6" w:space="0" w:color="000000"/>
              <w:bottom w:val="single" w:sz="6" w:space="0" w:color="000000"/>
              <w:right w:val="single" w:sz="6" w:space="0" w:color="000000"/>
            </w:tcBorders>
          </w:tcPr>
          <w:p>
            <w:pPr>
              <w:rPr>
                <w:sz w:val="2"/>
                <w:szCs w:val="2"/>
              </w:rPr>
            </w:pPr>
          </w:p>
        </w:tc>
        <w:tc>
          <w:tcPr>
            <w:tcW w:w="15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261"/>
              <w:jc w:val="left"/>
              <w:rPr>
                <w:rFonts w:ascii="宋体" w:eastAsia="宋体" w:hint="eastAsia"/>
                <w:sz w:val="21"/>
              </w:rPr>
            </w:pPr>
            <w:r>
              <w:rPr>
                <w:rFonts w:ascii="宋体" w:eastAsia="宋体" w:hint="eastAsia"/>
                <w:sz w:val="21"/>
              </w:rPr>
              <w:t>表层样点数</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39"/>
              <w:ind w:left="27"/>
              <w:rPr>
                <w:sz w:val="21"/>
              </w:rPr>
            </w:pPr>
            <w:r>
              <w:rPr>
                <w:w w:val="100"/>
                <w:sz w:val="21"/>
              </w:rPr>
              <w:t>3</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39"/>
              <w:ind w:left="29"/>
              <w:rPr>
                <w:sz w:val="21"/>
              </w:rPr>
            </w:pPr>
            <w:r>
              <w:rPr>
                <w:w w:val="100"/>
                <w:sz w:val="21"/>
              </w:rPr>
              <w:t>/</w:t>
            </w:r>
          </w:p>
        </w:tc>
        <w:tc>
          <w:tcPr>
            <w:tcW w:w="156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9"/>
              <w:ind w:left="462"/>
              <w:jc w:val="left"/>
              <w:rPr>
                <w:sz w:val="21"/>
              </w:rPr>
            </w:pPr>
            <w:r>
              <w:rPr>
                <w:sz w:val="21"/>
              </w:rPr>
              <w:t>0~0.2m</w:t>
            </w:r>
          </w:p>
        </w:tc>
        <w:tc>
          <w:tcPr>
            <w:tcW w:w="1101" w:type="dxa"/>
            <w:vMerge/>
            <w:tcBorders>
              <w:top w:val="nil"/>
              <w:left w:val="single" w:sz="6" w:space="0" w:color="000000"/>
              <w:bottom w:val="single" w:sz="6" w:space="0" w:color="000000"/>
            </w:tcBorders>
          </w:tcPr>
          <w:p>
            <w:pPr>
              <w:rPr>
                <w:sz w:val="2"/>
                <w:szCs w:val="2"/>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vMerge/>
            <w:tcBorders>
              <w:top w:val="nil"/>
              <w:left w:val="single" w:sz="6" w:space="0" w:color="000000"/>
              <w:bottom w:val="single" w:sz="6" w:space="0" w:color="000000"/>
              <w:right w:val="single" w:sz="6" w:space="0" w:color="000000"/>
            </w:tcBorders>
          </w:tcPr>
          <w:p>
            <w:pPr>
              <w:rPr>
                <w:sz w:val="2"/>
                <w:szCs w:val="2"/>
              </w:rPr>
            </w:pPr>
          </w:p>
        </w:tc>
        <w:tc>
          <w:tcPr>
            <w:tcW w:w="156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3"/>
              <w:ind w:left="261"/>
              <w:jc w:val="left"/>
              <w:rPr>
                <w:rFonts w:ascii="宋体" w:eastAsia="宋体" w:hint="eastAsia"/>
                <w:sz w:val="21"/>
              </w:rPr>
            </w:pPr>
            <w:r>
              <w:rPr>
                <w:rFonts w:ascii="宋体" w:eastAsia="宋体" w:hint="eastAsia"/>
                <w:sz w:val="21"/>
              </w:rPr>
              <w:t>柱状样点数</w:t>
            </w:r>
          </w:p>
        </w:tc>
        <w:tc>
          <w:tcPr>
            <w:tcW w:w="1558" w:type="dxa"/>
            <w:tcBorders>
              <w:top w:val="single" w:sz="6" w:space="0" w:color="000000"/>
              <w:left w:val="single" w:sz="6" w:space="0" w:color="000000"/>
              <w:bottom w:val="single" w:sz="6" w:space="0" w:color="000000"/>
              <w:right w:val="single" w:sz="6" w:space="0" w:color="000000"/>
            </w:tcBorders>
          </w:tcPr>
          <w:p>
            <w:pPr>
              <w:pStyle w:val="TableParagraph"/>
              <w:spacing w:before="37"/>
              <w:ind w:left="28"/>
              <w:rPr>
                <w:sz w:val="21"/>
              </w:rPr>
            </w:pPr>
            <w:r>
              <w:rPr>
                <w:w w:val="100"/>
                <w:sz w:val="21"/>
              </w:rPr>
              <w:t>/</w:t>
            </w:r>
          </w:p>
        </w:tc>
        <w:tc>
          <w:tcPr>
            <w:tcW w:w="1561" w:type="dxa"/>
            <w:tcBorders>
              <w:top w:val="single" w:sz="6" w:space="0" w:color="000000"/>
              <w:left w:val="single" w:sz="6" w:space="0" w:color="000000"/>
              <w:bottom w:val="single" w:sz="6" w:space="0" w:color="000000"/>
              <w:right w:val="single" w:sz="6" w:space="0" w:color="000000"/>
            </w:tcBorders>
          </w:tcPr>
          <w:p>
            <w:pPr>
              <w:pStyle w:val="TableParagraph"/>
              <w:spacing w:before="37"/>
              <w:ind w:left="29"/>
              <w:rPr>
                <w:sz w:val="21"/>
              </w:rPr>
            </w:pPr>
            <w:r>
              <w:rPr>
                <w:w w:val="100"/>
                <w:sz w:val="21"/>
              </w:rPr>
              <w:t>/</w:t>
            </w:r>
          </w:p>
        </w:tc>
        <w:tc>
          <w:tcPr>
            <w:tcW w:w="1562" w:type="dxa"/>
            <w:gridSpan w:val="2"/>
            <w:tcBorders>
              <w:top w:val="single" w:sz="6" w:space="0" w:color="000000"/>
              <w:left w:val="single" w:sz="6" w:space="0" w:color="000000"/>
              <w:bottom w:val="single" w:sz="6" w:space="0" w:color="000000"/>
              <w:right w:val="single" w:sz="6" w:space="0" w:color="000000"/>
            </w:tcBorders>
          </w:tcPr>
          <w:p>
            <w:pPr>
              <w:pStyle w:val="TableParagraph"/>
              <w:spacing w:before="37"/>
              <w:ind w:left="27"/>
              <w:rPr>
                <w:sz w:val="21"/>
              </w:rPr>
            </w:pPr>
            <w:r>
              <w:rPr>
                <w:w w:val="100"/>
                <w:sz w:val="21"/>
              </w:rPr>
              <w:t>/</w:t>
            </w:r>
          </w:p>
        </w:tc>
        <w:tc>
          <w:tcPr>
            <w:tcW w:w="1101" w:type="dxa"/>
            <w:vMerge/>
            <w:tcBorders>
              <w:top w:val="nil"/>
              <w:left w:val="single" w:sz="6" w:space="0" w:color="000000"/>
              <w:bottom w:val="single" w:sz="6" w:space="0" w:color="000000"/>
            </w:tcBorders>
          </w:tcPr>
          <w:p>
            <w:pPr>
              <w:rPr>
                <w:sz w:val="2"/>
                <w:szCs w:val="2"/>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9" w:right="161"/>
              <w:rPr>
                <w:rFonts w:ascii="宋体" w:eastAsia="宋体" w:hint="eastAsia"/>
                <w:sz w:val="21"/>
              </w:rPr>
            </w:pPr>
            <w:r>
              <w:rPr>
                <w:rFonts w:ascii="宋体" w:eastAsia="宋体" w:hint="eastAsia"/>
                <w:sz w:val="21"/>
              </w:rPr>
              <w:t>现状监测因子</w:t>
            </w:r>
          </w:p>
        </w:tc>
        <w:tc>
          <w:tcPr>
            <w:tcW w:w="6241" w:type="dxa"/>
            <w:gridSpan w:val="6"/>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4"/>
              </w:rPr>
            </w:pPr>
          </w:p>
          <w:p>
            <w:pPr>
              <w:pStyle w:val="TableParagraph"/>
              <w:spacing w:before="0"/>
              <w:ind w:left="1444"/>
              <w:jc w:val="left"/>
              <w:rPr>
                <w:rFonts w:ascii="宋体" w:eastAsia="宋体" w:hint="eastAsia"/>
                <w:sz w:val="21"/>
              </w:rPr>
            </w:pPr>
            <w:r>
              <w:rPr>
                <w:rFonts w:ascii="宋体" w:eastAsia="宋体" w:hint="eastAsia"/>
                <w:sz w:val="21"/>
              </w:rPr>
              <w:t>砷、镉、铬、铜、铅、汞、镍、锌等</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val="restart"/>
            <w:tcBorders>
              <w:top w:val="single" w:sz="6" w:space="0" w:color="000000"/>
              <w:bottom w:val="single" w:sz="6" w:space="0" w:color="000000"/>
              <w:right w:val="single" w:sz="6" w:space="0" w:color="000000"/>
            </w:tcBorders>
          </w:tcPr>
          <w:p>
            <w:pPr>
              <w:pStyle w:val="TableParagraph"/>
              <w:spacing w:line="278" w:lineRule="auto" w:before="22"/>
              <w:ind w:left="107" w:right="83"/>
              <w:jc w:val="both"/>
              <w:rPr>
                <w:rFonts w:ascii="宋体" w:eastAsia="宋体" w:hint="eastAsia"/>
                <w:sz w:val="21"/>
              </w:rPr>
            </w:pPr>
            <w:r>
              <w:rPr>
                <w:rFonts w:ascii="宋体" w:eastAsia="宋体" w:hint="eastAsia"/>
                <w:sz w:val="21"/>
              </w:rPr>
              <w:t>现状评</w:t>
            </w:r>
          </w:p>
          <w:p>
            <w:pPr>
              <w:pStyle w:val="TableParagraph"/>
              <w:spacing w:line="269" w:lineRule="exact" w:before="0"/>
              <w:ind w:left="107"/>
              <w:jc w:val="left"/>
              <w:rPr>
                <w:rFonts w:ascii="宋体" w:eastAsia="宋体" w:hint="eastAsia"/>
                <w:sz w:val="21"/>
              </w:rPr>
            </w:pPr>
            <w:r>
              <w:rPr>
                <w:rFonts w:ascii="宋体" w:eastAsia="宋体" w:hint="eastAsia"/>
                <w:w w:val="100"/>
                <w:sz w:val="21"/>
              </w:rPr>
              <w:t>价</w:t>
            </w: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7" w:right="161"/>
              <w:rPr>
                <w:rFonts w:ascii="宋体" w:eastAsia="宋体" w:hint="eastAsia"/>
                <w:sz w:val="21"/>
              </w:rPr>
            </w:pPr>
            <w:r>
              <w:rPr>
                <w:rFonts w:ascii="宋体" w:eastAsia="宋体" w:hint="eastAsia"/>
                <w:sz w:val="21"/>
              </w:rPr>
              <w:t>评价因子</w:t>
            </w:r>
          </w:p>
        </w:tc>
        <w:tc>
          <w:tcPr>
            <w:tcW w:w="6241" w:type="dxa"/>
            <w:gridSpan w:val="6"/>
            <w:vMerge/>
            <w:tcBorders>
              <w:top w:val="nil"/>
              <w:left w:val="single" w:sz="6" w:space="0" w:color="000000"/>
              <w:bottom w:val="single" w:sz="6" w:space="0" w:color="000000"/>
              <w:right w:val="single" w:sz="6" w:space="0" w:color="000000"/>
            </w:tcBorders>
          </w:tcPr>
          <w:p>
            <w:pPr>
              <w:rPr>
                <w:sz w:val="2"/>
                <w:szCs w:val="2"/>
              </w:rPr>
            </w:pP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3"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5"/>
              <w:ind w:left="187" w:right="161"/>
              <w:rPr>
                <w:rFonts w:ascii="宋体" w:eastAsia="宋体" w:hint="eastAsia"/>
                <w:sz w:val="21"/>
              </w:rPr>
            </w:pPr>
            <w:r>
              <w:rPr>
                <w:rFonts w:ascii="宋体" w:eastAsia="宋体" w:hint="eastAsia"/>
                <w:sz w:val="21"/>
              </w:rPr>
              <w:t>评价标准</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5"/>
              <w:ind w:left="436"/>
              <w:jc w:val="left"/>
              <w:rPr>
                <w:rFonts w:ascii="宋体" w:hAnsi="宋体" w:eastAsia="宋体" w:hint="eastAsia"/>
                <w:sz w:val="21"/>
              </w:rPr>
            </w:pPr>
            <w:r>
              <w:rPr>
                <w:sz w:val="21"/>
              </w:rPr>
              <w:t>GB 15618</w:t>
            </w:r>
            <w:r>
              <w:rPr>
                <w:rFonts w:ascii="Wingdings" w:hAnsi="Wingdings" w:eastAsia="Wingdings"/>
                <w:sz w:val="21"/>
              </w:rPr>
              <w:t></w:t>
            </w:r>
            <w:r>
              <w:rPr>
                <w:rFonts w:ascii="宋体" w:hAnsi="宋体" w:eastAsia="宋体" w:hint="eastAsia"/>
                <w:sz w:val="21"/>
              </w:rPr>
              <w:t>；</w:t>
            </w:r>
            <w:r>
              <w:rPr>
                <w:sz w:val="21"/>
              </w:rPr>
              <w:t>GB 36600</w:t>
            </w:r>
            <w:r>
              <w:rPr>
                <w:rFonts w:ascii="宋体" w:hAnsi="宋体" w:eastAsia="宋体" w:hint="eastAsia"/>
                <w:sz w:val="21"/>
              </w:rPr>
              <w:t>□；表</w:t>
            </w:r>
            <w:r>
              <w:rPr>
                <w:sz w:val="21"/>
              </w:rPr>
              <w:t>D.1</w:t>
            </w:r>
            <w:r>
              <w:rPr>
                <w:rFonts w:ascii="宋体" w:hAnsi="宋体" w:eastAsia="宋体" w:hint="eastAsia"/>
                <w:sz w:val="21"/>
              </w:rPr>
              <w:t>□；表</w:t>
            </w:r>
            <w:r>
              <w:rPr>
                <w:sz w:val="21"/>
              </w:rPr>
              <w:t>D.2</w:t>
            </w:r>
            <w:r>
              <w:rPr>
                <w:rFonts w:ascii="宋体" w:hAnsi="宋体" w:eastAsia="宋体" w:hint="eastAsia"/>
                <w:sz w:val="21"/>
              </w:rPr>
              <w:t>□；其他（）</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592"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164"/>
              <w:ind w:left="189" w:right="161"/>
              <w:rPr>
                <w:rFonts w:ascii="宋体" w:eastAsia="宋体" w:hint="eastAsia"/>
                <w:sz w:val="21"/>
              </w:rPr>
            </w:pPr>
            <w:r>
              <w:rPr>
                <w:rFonts w:ascii="宋体" w:eastAsia="宋体" w:hint="eastAsia"/>
                <w:sz w:val="21"/>
              </w:rPr>
              <w:t>现状评价结论</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164"/>
              <w:ind w:left="1483"/>
              <w:jc w:val="left"/>
              <w:rPr>
                <w:rFonts w:ascii="宋体" w:eastAsia="宋体" w:hint="eastAsia"/>
                <w:sz w:val="21"/>
              </w:rPr>
            </w:pPr>
            <w:r>
              <w:rPr>
                <w:rFonts w:ascii="宋体" w:eastAsia="宋体" w:hint="eastAsia"/>
                <w:sz w:val="21"/>
              </w:rPr>
              <w:t>各项监测指标均低于 </w:t>
            </w:r>
            <w:r>
              <w:rPr>
                <w:sz w:val="21"/>
              </w:rPr>
              <w:t>GB 15618 </w:t>
            </w:r>
            <w:r>
              <w:rPr>
                <w:rFonts w:ascii="宋体" w:eastAsia="宋体" w:hint="eastAsia"/>
                <w:sz w:val="21"/>
              </w:rPr>
              <w:t>要求</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3"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12"/>
              <w:jc w:val="left"/>
              <w:rPr>
                <w:rFonts w:ascii="宋体"/>
                <w:b/>
                <w:sz w:val="27"/>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影响预测</w:t>
            </w: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5"/>
              <w:ind w:left="187" w:right="161"/>
              <w:rPr>
                <w:rFonts w:ascii="宋体" w:eastAsia="宋体" w:hint="eastAsia"/>
                <w:sz w:val="21"/>
              </w:rPr>
            </w:pPr>
            <w:r>
              <w:rPr>
                <w:rFonts w:ascii="宋体" w:eastAsia="宋体" w:hint="eastAsia"/>
                <w:sz w:val="21"/>
              </w:rPr>
              <w:t>预测因子</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39"/>
              <w:ind w:left="25"/>
              <w:rPr>
                <w:sz w:val="21"/>
              </w:rPr>
            </w:pPr>
            <w:r>
              <w:rPr>
                <w:w w:val="100"/>
                <w:sz w:val="21"/>
              </w:rPr>
              <w:t>/</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7" w:right="161"/>
              <w:rPr>
                <w:rFonts w:ascii="宋体" w:eastAsia="宋体" w:hint="eastAsia"/>
                <w:sz w:val="21"/>
              </w:rPr>
            </w:pPr>
            <w:r>
              <w:rPr>
                <w:rFonts w:ascii="宋体" w:eastAsia="宋体" w:hint="eastAsia"/>
                <w:sz w:val="21"/>
              </w:rPr>
              <w:t>预测方法</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1480"/>
              <w:jc w:val="left"/>
              <w:rPr>
                <w:rFonts w:ascii="宋体" w:hAnsi="宋体" w:eastAsia="宋体" w:hint="eastAsia"/>
                <w:sz w:val="21"/>
              </w:rPr>
            </w:pPr>
            <w:r>
              <w:rPr>
                <w:rFonts w:ascii="宋体" w:hAnsi="宋体" w:eastAsia="宋体" w:hint="eastAsia"/>
                <w:sz w:val="21"/>
              </w:rPr>
              <w:t>附录</w:t>
            </w:r>
            <w:r>
              <w:rPr>
                <w:sz w:val="21"/>
              </w:rPr>
              <w:t>E</w:t>
            </w:r>
            <w:r>
              <w:rPr>
                <w:rFonts w:ascii="宋体" w:hAnsi="宋体" w:eastAsia="宋体" w:hint="eastAsia"/>
                <w:sz w:val="21"/>
              </w:rPr>
              <w:t>□；附录 </w:t>
            </w:r>
            <w:r>
              <w:rPr>
                <w:sz w:val="21"/>
              </w:rPr>
              <w:t>F</w:t>
            </w:r>
            <w:r>
              <w:rPr>
                <w:rFonts w:ascii="宋体" w:hAnsi="宋体" w:eastAsia="宋体" w:hint="eastAsia"/>
                <w:sz w:val="21"/>
              </w:rPr>
              <w:t>□；其他（类比）</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623"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178"/>
              <w:ind w:left="189" w:right="161"/>
              <w:rPr>
                <w:rFonts w:ascii="宋体" w:eastAsia="宋体" w:hint="eastAsia"/>
                <w:sz w:val="21"/>
              </w:rPr>
            </w:pPr>
            <w:r>
              <w:rPr>
                <w:rFonts w:ascii="宋体" w:eastAsia="宋体" w:hint="eastAsia"/>
                <w:sz w:val="21"/>
              </w:rPr>
              <w:t>预测分析内容</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62" w:right="33"/>
              <w:rPr>
                <w:rFonts w:ascii="宋体" w:eastAsia="宋体" w:hint="eastAsia"/>
                <w:sz w:val="21"/>
              </w:rPr>
            </w:pPr>
            <w:r>
              <w:rPr>
                <w:rFonts w:ascii="宋体" w:eastAsia="宋体" w:hint="eastAsia"/>
                <w:sz w:val="21"/>
              </w:rPr>
              <w:t>影响范围（</w:t>
            </w:r>
            <w:r>
              <w:rPr>
                <w:sz w:val="21"/>
              </w:rPr>
              <w:t>/</w:t>
            </w:r>
            <w:r>
              <w:rPr>
                <w:rFonts w:ascii="宋体" w:eastAsia="宋体" w:hint="eastAsia"/>
                <w:sz w:val="21"/>
              </w:rPr>
              <w:t>）</w:t>
            </w:r>
          </w:p>
          <w:p>
            <w:pPr>
              <w:pStyle w:val="TableParagraph"/>
              <w:spacing w:before="43"/>
              <w:ind w:left="59" w:right="33"/>
              <w:rPr>
                <w:rFonts w:ascii="宋体" w:eastAsia="宋体" w:hint="eastAsia"/>
                <w:sz w:val="21"/>
              </w:rPr>
            </w:pPr>
            <w:r>
              <w:rPr>
                <w:rFonts w:ascii="宋体" w:eastAsia="宋体" w:hint="eastAsia"/>
                <w:sz w:val="21"/>
              </w:rPr>
              <w:t>影响程度（正常工况影响小）</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624"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179"/>
              <w:ind w:left="187" w:right="161"/>
              <w:rPr>
                <w:rFonts w:ascii="宋体" w:eastAsia="宋体" w:hint="eastAsia"/>
                <w:sz w:val="21"/>
              </w:rPr>
            </w:pPr>
            <w:r>
              <w:rPr>
                <w:rFonts w:ascii="宋体" w:eastAsia="宋体" w:hint="eastAsia"/>
                <w:sz w:val="21"/>
              </w:rPr>
              <w:t>预测结论</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59" w:right="33"/>
              <w:rPr>
                <w:rFonts w:ascii="宋体" w:hAnsi="宋体" w:eastAsia="宋体" w:hint="eastAsia"/>
                <w:sz w:val="21"/>
              </w:rPr>
            </w:pPr>
            <w:r>
              <w:rPr>
                <w:rFonts w:ascii="宋体" w:hAnsi="宋体" w:eastAsia="宋体" w:hint="eastAsia"/>
                <w:sz w:val="21"/>
              </w:rPr>
              <w:t>达标结论：</w:t>
            </w:r>
            <w:r>
              <w:rPr>
                <w:sz w:val="21"/>
              </w:rPr>
              <w:t>a</w:t>
            </w:r>
            <w:r>
              <w:rPr>
                <w:rFonts w:ascii="宋体" w:hAnsi="宋体" w:eastAsia="宋体" w:hint="eastAsia"/>
                <w:sz w:val="21"/>
              </w:rPr>
              <w:t>）</w:t>
            </w:r>
            <w:r>
              <w:rPr>
                <w:rFonts w:ascii="Wingdings" w:hAnsi="Wingdings" w:eastAsia="Wingdings"/>
                <w:sz w:val="21"/>
              </w:rPr>
              <w:t></w:t>
            </w:r>
            <w:r>
              <w:rPr>
                <w:rFonts w:ascii="宋体" w:hAnsi="宋体" w:eastAsia="宋体" w:hint="eastAsia"/>
                <w:sz w:val="21"/>
              </w:rPr>
              <w:t>；</w:t>
            </w:r>
            <w:r>
              <w:rPr>
                <w:sz w:val="21"/>
              </w:rPr>
              <w:t>b</w:t>
            </w:r>
            <w:r>
              <w:rPr>
                <w:rFonts w:ascii="宋体" w:hAnsi="宋体" w:eastAsia="宋体" w:hint="eastAsia"/>
                <w:sz w:val="21"/>
              </w:rPr>
              <w:t>）□；</w:t>
            </w:r>
            <w:r>
              <w:rPr>
                <w:sz w:val="21"/>
              </w:rPr>
              <w:t>c</w:t>
            </w:r>
            <w:r>
              <w:rPr>
                <w:rFonts w:ascii="宋体" w:hAnsi="宋体" w:eastAsia="宋体" w:hint="eastAsia"/>
                <w:sz w:val="21"/>
              </w:rPr>
              <w:t>）□</w:t>
            </w:r>
          </w:p>
          <w:p>
            <w:pPr>
              <w:pStyle w:val="TableParagraph"/>
              <w:spacing w:before="44"/>
              <w:ind w:left="54" w:right="33"/>
              <w:rPr>
                <w:rFonts w:ascii="宋体" w:hAnsi="宋体" w:eastAsia="宋体" w:hint="eastAsia"/>
                <w:sz w:val="21"/>
              </w:rPr>
            </w:pPr>
            <w:r>
              <w:rPr>
                <w:rFonts w:ascii="宋体" w:hAnsi="宋体" w:eastAsia="宋体" w:hint="eastAsia"/>
                <w:sz w:val="21"/>
              </w:rPr>
              <w:t>不达标结论：</w:t>
            </w:r>
            <w:r>
              <w:rPr>
                <w:sz w:val="21"/>
              </w:rPr>
              <w:t>a</w:t>
            </w:r>
            <w:r>
              <w:rPr>
                <w:rFonts w:ascii="宋体" w:hAnsi="宋体" w:eastAsia="宋体" w:hint="eastAsia"/>
                <w:sz w:val="21"/>
              </w:rPr>
              <w:t>）□；</w:t>
            </w:r>
            <w:r>
              <w:rPr>
                <w:sz w:val="21"/>
              </w:rPr>
              <w:t>b</w:t>
            </w:r>
            <w:r>
              <w:rPr>
                <w:rFonts w:ascii="宋体" w:hAnsi="宋体" w:eastAsia="宋体" w:hint="eastAsia"/>
                <w:sz w:val="21"/>
              </w:rPr>
              <w:t>）□</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3" w:hRule="atLeast"/>
        </w:trPr>
        <w:tc>
          <w:tcPr>
            <w:tcW w:w="427" w:type="dxa"/>
            <w:vMerge w:val="restart"/>
            <w:tcBorders>
              <w:top w:val="single" w:sz="6" w:space="0" w:color="000000"/>
              <w:bottom w:val="single" w:sz="6" w:space="0" w:color="000000"/>
              <w:right w:val="single" w:sz="6" w:space="0" w:color="000000"/>
            </w:tcBorders>
          </w:tcPr>
          <w:p>
            <w:pPr>
              <w:pStyle w:val="TableParagraph"/>
              <w:spacing w:line="310" w:lineRule="atLeast" w:before="5"/>
              <w:ind w:left="107" w:right="83"/>
              <w:jc w:val="both"/>
              <w:rPr>
                <w:rFonts w:ascii="宋体" w:eastAsia="宋体" w:hint="eastAsia"/>
                <w:sz w:val="21"/>
              </w:rPr>
            </w:pPr>
            <w:r>
              <w:rPr>
                <w:rFonts w:ascii="宋体" w:eastAsia="宋体" w:hint="eastAsia"/>
                <w:sz w:val="21"/>
              </w:rPr>
              <w:t>防治措施</w:t>
            </w: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5"/>
              <w:ind w:left="187" w:right="161"/>
              <w:rPr>
                <w:rFonts w:ascii="宋体" w:eastAsia="宋体" w:hint="eastAsia"/>
                <w:sz w:val="21"/>
              </w:rPr>
            </w:pPr>
            <w:r>
              <w:rPr>
                <w:rFonts w:ascii="宋体" w:eastAsia="宋体" w:hint="eastAsia"/>
                <w:sz w:val="21"/>
              </w:rPr>
              <w:t>防控措施</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5"/>
              <w:ind w:left="115" w:right="-29"/>
              <w:jc w:val="left"/>
              <w:rPr>
                <w:rFonts w:ascii="宋体" w:hAnsi="宋体" w:eastAsia="宋体" w:hint="eastAsia"/>
                <w:sz w:val="21"/>
              </w:rPr>
            </w:pPr>
            <w:r>
              <w:rPr>
                <w:rFonts w:ascii="宋体" w:hAnsi="宋体" w:eastAsia="宋体" w:hint="eastAsia"/>
                <w:spacing w:val="-13"/>
                <w:sz w:val="21"/>
              </w:rPr>
              <w:t>土壤环境质量现状保障□；源头控制□；过程防控□；其他</w:t>
            </w:r>
            <w:r>
              <w:rPr>
                <w:rFonts w:ascii="宋体" w:hAnsi="宋体" w:eastAsia="宋体" w:hint="eastAsia"/>
                <w:spacing w:val="-3"/>
                <w:sz w:val="21"/>
              </w:rPr>
              <w:t>（</w:t>
            </w:r>
            <w:r>
              <w:rPr>
                <w:rFonts w:ascii="宋体" w:hAnsi="宋体" w:eastAsia="宋体" w:hint="eastAsia"/>
                <w:sz w:val="21"/>
              </w:rPr>
              <w:t>防渗）</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4"/>
              </w:rPr>
            </w:pPr>
          </w:p>
          <w:p>
            <w:pPr>
              <w:pStyle w:val="TableParagraph"/>
              <w:spacing w:before="0"/>
              <w:ind w:left="417"/>
              <w:jc w:val="left"/>
              <w:rPr>
                <w:rFonts w:ascii="宋体" w:eastAsia="宋体" w:hint="eastAsia"/>
                <w:sz w:val="21"/>
              </w:rPr>
            </w:pPr>
            <w:r>
              <w:rPr>
                <w:rFonts w:ascii="宋体" w:eastAsia="宋体" w:hint="eastAsia"/>
                <w:sz w:val="21"/>
              </w:rPr>
              <w:t>跟踪监测</w:t>
            </w: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22"/>
              <w:ind w:left="134" w:right="105"/>
              <w:rPr>
                <w:rFonts w:ascii="宋体" w:eastAsia="宋体" w:hint="eastAsia"/>
                <w:sz w:val="21"/>
              </w:rPr>
            </w:pPr>
            <w:r>
              <w:rPr>
                <w:rFonts w:ascii="宋体" w:eastAsia="宋体" w:hint="eastAsia"/>
                <w:sz w:val="21"/>
              </w:rPr>
              <w:t>监测点数</w:t>
            </w:r>
          </w:p>
        </w:tc>
        <w:tc>
          <w:tcPr>
            <w:tcW w:w="382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1479" w:right="1454"/>
              <w:rPr>
                <w:rFonts w:ascii="宋体" w:eastAsia="宋体" w:hint="eastAsia"/>
                <w:sz w:val="21"/>
              </w:rPr>
            </w:pPr>
            <w:r>
              <w:rPr>
                <w:rFonts w:ascii="宋体" w:eastAsia="宋体" w:hint="eastAsia"/>
                <w:sz w:val="21"/>
              </w:rPr>
              <w:t>监测指标</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2"/>
              <w:ind w:left="205" w:right="177"/>
              <w:rPr>
                <w:rFonts w:ascii="宋体" w:eastAsia="宋体" w:hint="eastAsia"/>
                <w:sz w:val="21"/>
              </w:rPr>
            </w:pPr>
            <w:r>
              <w:rPr>
                <w:rFonts w:ascii="宋体" w:eastAsia="宋体" w:hint="eastAsia"/>
                <w:sz w:val="21"/>
              </w:rPr>
              <w:t>监测频次</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vMerge/>
            <w:tcBorders>
              <w:top w:val="nil"/>
              <w:left w:val="single" w:sz="6" w:space="0" w:color="000000"/>
              <w:bottom w:val="single" w:sz="6" w:space="0" w:color="000000"/>
              <w:right w:val="single" w:sz="6" w:space="0" w:color="000000"/>
            </w:tcBorders>
          </w:tcPr>
          <w:p>
            <w:pPr>
              <w:rPr>
                <w:sz w:val="2"/>
                <w:szCs w:val="2"/>
              </w:rPr>
            </w:pPr>
          </w:p>
        </w:tc>
        <w:tc>
          <w:tcPr>
            <w:tcW w:w="1135" w:type="dxa"/>
            <w:tcBorders>
              <w:top w:val="single" w:sz="6" w:space="0" w:color="000000"/>
              <w:left w:val="single" w:sz="6" w:space="0" w:color="000000"/>
              <w:bottom w:val="single" w:sz="6" w:space="0" w:color="000000"/>
              <w:right w:val="single" w:sz="6" w:space="0" w:color="000000"/>
            </w:tcBorders>
          </w:tcPr>
          <w:p>
            <w:pPr>
              <w:pStyle w:val="TableParagraph"/>
              <w:spacing w:before="36"/>
              <w:ind w:left="27"/>
              <w:rPr>
                <w:sz w:val="21"/>
              </w:rPr>
            </w:pPr>
            <w:r>
              <w:rPr>
                <w:w w:val="100"/>
                <w:sz w:val="21"/>
              </w:rPr>
              <w:t>1</w:t>
            </w:r>
          </w:p>
        </w:tc>
        <w:tc>
          <w:tcPr>
            <w:tcW w:w="3828" w:type="dxa"/>
            <w:gridSpan w:val="4"/>
            <w:tcBorders>
              <w:top w:val="single" w:sz="6" w:space="0" w:color="000000"/>
              <w:left w:val="single" w:sz="6" w:space="0" w:color="000000"/>
              <w:bottom w:val="single" w:sz="6" w:space="0" w:color="000000"/>
              <w:right w:val="single" w:sz="6" w:space="0" w:color="000000"/>
            </w:tcBorders>
          </w:tcPr>
          <w:p>
            <w:pPr>
              <w:pStyle w:val="TableParagraph"/>
              <w:spacing w:before="22"/>
              <w:ind w:left="237"/>
              <w:jc w:val="left"/>
              <w:rPr>
                <w:rFonts w:ascii="宋体" w:eastAsia="宋体" w:hint="eastAsia"/>
                <w:sz w:val="21"/>
              </w:rPr>
            </w:pPr>
            <w:r>
              <w:rPr>
                <w:rFonts w:ascii="宋体" w:eastAsia="宋体" w:hint="eastAsia"/>
                <w:sz w:val="21"/>
              </w:rPr>
              <w:t>砷、镉、铬、铜、铅、汞、镍、锌等</w:t>
            </w:r>
          </w:p>
        </w:tc>
        <w:tc>
          <w:tcPr>
            <w:tcW w:w="1278" w:type="dxa"/>
            <w:tcBorders>
              <w:top w:val="single" w:sz="6" w:space="0" w:color="000000"/>
              <w:left w:val="single" w:sz="6" w:space="0" w:color="000000"/>
              <w:bottom w:val="single" w:sz="6" w:space="0" w:color="000000"/>
              <w:right w:val="single" w:sz="6" w:space="0" w:color="000000"/>
            </w:tcBorders>
          </w:tcPr>
          <w:p>
            <w:pPr>
              <w:pStyle w:val="TableParagraph"/>
              <w:spacing w:before="22"/>
              <w:ind w:left="202" w:right="177"/>
              <w:rPr>
                <w:rFonts w:ascii="宋体" w:eastAsia="宋体" w:hint="eastAsia"/>
                <w:sz w:val="21"/>
              </w:rPr>
            </w:pPr>
            <w:r>
              <w:rPr>
                <w:sz w:val="21"/>
              </w:rPr>
              <w:t>1 </w:t>
            </w:r>
            <w:r>
              <w:rPr>
                <w:rFonts w:ascii="宋体" w:eastAsia="宋体" w:hint="eastAsia"/>
                <w:sz w:val="21"/>
              </w:rPr>
              <w:t>次</w:t>
            </w:r>
            <w:r>
              <w:rPr>
                <w:sz w:val="21"/>
              </w:rPr>
              <w:t>/5 </w:t>
            </w:r>
            <w:r>
              <w:rPr>
                <w:rFonts w:ascii="宋体" w:eastAsia="宋体" w:hint="eastAsia"/>
                <w:sz w:val="21"/>
              </w:rPr>
              <w:t>年</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11" w:hRule="atLeast"/>
        </w:trPr>
        <w:tc>
          <w:tcPr>
            <w:tcW w:w="427" w:type="dxa"/>
            <w:vMerge/>
            <w:tcBorders>
              <w:top w:val="nil"/>
              <w:bottom w:val="single" w:sz="6" w:space="0" w:color="000000"/>
              <w:right w:val="single" w:sz="6" w:space="0" w:color="000000"/>
            </w:tcBorders>
          </w:tcPr>
          <w:p>
            <w:pPr>
              <w:rPr>
                <w:sz w:val="2"/>
                <w:szCs w:val="2"/>
              </w:rPr>
            </w:pPr>
          </w:p>
        </w:tc>
        <w:tc>
          <w:tcPr>
            <w:tcW w:w="1666" w:type="dxa"/>
            <w:tcBorders>
              <w:top w:val="single" w:sz="6" w:space="0" w:color="000000"/>
              <w:left w:val="single" w:sz="6" w:space="0" w:color="000000"/>
              <w:bottom w:val="single" w:sz="6" w:space="0" w:color="000000"/>
              <w:right w:val="single" w:sz="6" w:space="0" w:color="000000"/>
            </w:tcBorders>
          </w:tcPr>
          <w:p>
            <w:pPr>
              <w:pStyle w:val="TableParagraph"/>
              <w:spacing w:before="22"/>
              <w:ind w:left="189" w:right="161"/>
              <w:rPr>
                <w:rFonts w:ascii="宋体" w:eastAsia="宋体" w:hint="eastAsia"/>
                <w:sz w:val="21"/>
              </w:rPr>
            </w:pPr>
            <w:r>
              <w:rPr>
                <w:rFonts w:ascii="宋体" w:eastAsia="宋体" w:hint="eastAsia"/>
                <w:sz w:val="21"/>
              </w:rPr>
              <w:t>信息公开指标</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2"/>
              <w:ind w:left="62" w:right="33"/>
              <w:rPr>
                <w:rFonts w:ascii="宋体" w:eastAsia="宋体" w:hint="eastAsia"/>
                <w:sz w:val="21"/>
              </w:rPr>
            </w:pPr>
            <w:r>
              <w:rPr>
                <w:rFonts w:ascii="宋体" w:eastAsia="宋体" w:hint="eastAsia"/>
                <w:sz w:val="21"/>
              </w:rPr>
              <w:t>上述监测报告</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625" w:hRule="atLeast"/>
        </w:trPr>
        <w:tc>
          <w:tcPr>
            <w:tcW w:w="2093" w:type="dxa"/>
            <w:gridSpan w:val="2"/>
            <w:tcBorders>
              <w:top w:val="single" w:sz="6" w:space="0" w:color="000000"/>
              <w:bottom w:val="single" w:sz="6" w:space="0" w:color="000000"/>
              <w:right w:val="single" w:sz="6" w:space="0" w:color="000000"/>
            </w:tcBorders>
          </w:tcPr>
          <w:p>
            <w:pPr>
              <w:pStyle w:val="TableParagraph"/>
              <w:spacing w:before="1"/>
              <w:jc w:val="left"/>
              <w:rPr>
                <w:rFonts w:ascii="宋体"/>
                <w:b/>
                <w:sz w:val="14"/>
              </w:rPr>
            </w:pPr>
          </w:p>
          <w:p>
            <w:pPr>
              <w:pStyle w:val="TableParagraph"/>
              <w:spacing w:before="0"/>
              <w:ind w:left="625"/>
              <w:jc w:val="left"/>
              <w:rPr>
                <w:rFonts w:ascii="宋体" w:eastAsia="宋体" w:hint="eastAsia"/>
                <w:sz w:val="21"/>
              </w:rPr>
            </w:pPr>
            <w:r>
              <w:rPr>
                <w:rFonts w:ascii="宋体" w:eastAsia="宋体" w:hint="eastAsia"/>
                <w:sz w:val="21"/>
              </w:rPr>
              <w:t>评价结论</w:t>
            </w:r>
          </w:p>
        </w:tc>
        <w:tc>
          <w:tcPr>
            <w:tcW w:w="6241" w:type="dxa"/>
            <w:gridSpan w:val="6"/>
            <w:tcBorders>
              <w:top w:val="single" w:sz="6" w:space="0" w:color="000000"/>
              <w:left w:val="single" w:sz="6" w:space="0" w:color="000000"/>
              <w:bottom w:val="single" w:sz="6" w:space="0" w:color="000000"/>
              <w:right w:val="single" w:sz="6" w:space="0" w:color="000000"/>
            </w:tcBorders>
          </w:tcPr>
          <w:p>
            <w:pPr>
              <w:pStyle w:val="TableParagraph"/>
              <w:spacing w:before="25"/>
              <w:ind w:left="62" w:right="33"/>
              <w:rPr>
                <w:rFonts w:ascii="宋体" w:eastAsia="宋体" w:hint="eastAsia"/>
                <w:sz w:val="21"/>
              </w:rPr>
            </w:pPr>
            <w:r>
              <w:rPr>
                <w:rFonts w:ascii="宋体" w:eastAsia="宋体" w:hint="eastAsia"/>
                <w:sz w:val="21"/>
              </w:rPr>
              <w:t>正常工况下，只要企业做好关注区的防渗工作，本项目对土壤环境</w:t>
            </w:r>
          </w:p>
          <w:p>
            <w:pPr>
              <w:pStyle w:val="TableParagraph"/>
              <w:spacing w:before="43"/>
              <w:ind w:left="62" w:right="33"/>
              <w:rPr>
                <w:rFonts w:ascii="宋体" w:eastAsia="宋体" w:hint="eastAsia"/>
                <w:sz w:val="21"/>
              </w:rPr>
            </w:pPr>
            <w:r>
              <w:rPr>
                <w:rFonts w:ascii="宋体" w:eastAsia="宋体" w:hint="eastAsia"/>
                <w:sz w:val="21"/>
              </w:rPr>
              <w:t>的影响较小。</w:t>
            </w:r>
          </w:p>
        </w:tc>
        <w:tc>
          <w:tcPr>
            <w:tcW w:w="1101"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623" w:hRule="atLeast"/>
        </w:trPr>
        <w:tc>
          <w:tcPr>
            <w:tcW w:w="9435" w:type="dxa"/>
            <w:gridSpan w:val="9"/>
            <w:tcBorders>
              <w:top w:val="single" w:sz="6" w:space="0" w:color="000000"/>
            </w:tcBorders>
          </w:tcPr>
          <w:p>
            <w:pPr>
              <w:pStyle w:val="TableParagraph"/>
              <w:spacing w:before="22"/>
              <w:ind w:left="527"/>
              <w:jc w:val="left"/>
              <w:rPr>
                <w:rFonts w:ascii="宋体" w:hAnsi="宋体" w:eastAsia="宋体" w:hint="eastAsia"/>
                <w:sz w:val="21"/>
              </w:rPr>
            </w:pPr>
            <w:r>
              <w:rPr>
                <w:rFonts w:ascii="宋体" w:hAnsi="宋体" w:eastAsia="宋体" w:hint="eastAsia"/>
                <w:sz w:val="21"/>
              </w:rPr>
              <w:t>注 </w:t>
            </w:r>
            <w:r>
              <w:rPr>
                <w:sz w:val="21"/>
              </w:rPr>
              <w:t>1</w:t>
            </w:r>
            <w:r>
              <w:rPr>
                <w:rFonts w:ascii="宋体" w:hAnsi="宋体" w:eastAsia="宋体" w:hint="eastAsia"/>
                <w:sz w:val="21"/>
              </w:rPr>
              <w:t>：“□”为勾选项，可√；“（）”为内容填写项；“备注”为其他补充该内容。</w:t>
            </w:r>
          </w:p>
          <w:p>
            <w:pPr>
              <w:pStyle w:val="TableParagraph"/>
              <w:spacing w:line="269" w:lineRule="exact" w:before="43"/>
              <w:ind w:left="527"/>
              <w:jc w:val="left"/>
              <w:rPr>
                <w:rFonts w:ascii="宋体" w:eastAsia="宋体" w:hint="eastAsia"/>
                <w:sz w:val="21"/>
              </w:rPr>
            </w:pPr>
            <w:r>
              <w:rPr>
                <w:rFonts w:ascii="宋体" w:eastAsia="宋体" w:hint="eastAsia"/>
                <w:sz w:val="21"/>
              </w:rPr>
              <w:t>注 </w:t>
            </w:r>
            <w:r>
              <w:rPr>
                <w:sz w:val="21"/>
              </w:rPr>
              <w:t>2</w:t>
            </w:r>
            <w:r>
              <w:rPr>
                <w:rFonts w:ascii="宋体" w:eastAsia="宋体" w:hint="eastAsia"/>
                <w:sz w:val="21"/>
              </w:rPr>
              <w:t>：需要分别开展土壤环境影响评级工作的，分别填写自查表。</w:t>
            </w:r>
          </w:p>
        </w:tc>
      </w:tr>
    </w:tbl>
    <w:p>
      <w:pPr>
        <w:spacing w:after="0" w:line="269" w:lineRule="exact"/>
        <w:jc w:val="left"/>
        <w:rPr>
          <w:rFonts w:ascii="宋体" w:eastAsia="宋体" w:hint="eastAsia"/>
          <w:sz w:val="21"/>
        </w:rPr>
        <w:sectPr>
          <w:pgSz w:w="11910" w:h="16840"/>
          <w:pgMar w:header="874" w:footer="1004" w:top="1420" w:bottom="1200" w:left="1040" w:right="1160"/>
        </w:sectPr>
      </w:pPr>
    </w:p>
    <w:p>
      <w:pPr>
        <w:pStyle w:val="ListParagraph"/>
        <w:numPr>
          <w:ilvl w:val="2"/>
          <w:numId w:val="111"/>
        </w:numPr>
        <w:tabs>
          <w:tab w:pos="838" w:val="left" w:leader="none"/>
        </w:tabs>
        <w:spacing w:line="240" w:lineRule="auto" w:before="92" w:after="0"/>
        <w:ind w:left="837" w:right="0" w:hanging="601"/>
        <w:jc w:val="both"/>
        <w:rPr>
          <w:b/>
          <w:sz w:val="24"/>
        </w:rPr>
      </w:pPr>
      <w:bookmarkStart w:name="_bookmark135" w:id="260"/>
      <w:bookmarkEnd w:id="260"/>
      <w:r>
        <w:rPr/>
      </w:r>
      <w:bookmarkStart w:name="_bookmark135" w:id="261"/>
      <w:bookmarkEnd w:id="261"/>
      <w:r>
        <w:rPr>
          <w:b/>
          <w:sz w:val="24"/>
        </w:rPr>
        <w:t>公众意见采纳情况</w:t>
      </w:r>
    </w:p>
    <w:p>
      <w:pPr>
        <w:pStyle w:val="BodyText"/>
        <w:spacing w:line="364" w:lineRule="auto" w:before="160"/>
        <w:ind w:right="248" w:firstLine="480"/>
        <w:jc w:val="both"/>
      </w:pPr>
      <w:r>
        <w:rPr>
          <w:spacing w:val="-15"/>
        </w:rPr>
        <w:t>企业于 </w:t>
      </w:r>
      <w:r>
        <w:rPr>
          <w:rFonts w:ascii="Times New Roman" w:eastAsia="Times New Roman"/>
        </w:rPr>
        <w:t>2020 </w:t>
      </w:r>
      <w:r>
        <w:rPr>
          <w:spacing w:val="-29"/>
        </w:rPr>
        <w:t>年 </w:t>
      </w:r>
      <w:r>
        <w:rPr>
          <w:rFonts w:ascii="Times New Roman" w:eastAsia="Times New Roman"/>
        </w:rPr>
        <w:t>12 </w:t>
      </w:r>
      <w:r>
        <w:rPr>
          <w:spacing w:val="-29"/>
        </w:rPr>
        <w:t>月 </w:t>
      </w:r>
      <w:r>
        <w:rPr>
          <w:rFonts w:ascii="Times New Roman" w:eastAsia="Times New Roman"/>
        </w:rPr>
        <w:t>31 </w:t>
      </w:r>
      <w:r>
        <w:rPr/>
        <w:t>日</w:t>
      </w:r>
      <w:r>
        <w:rPr>
          <w:rFonts w:ascii="Times New Roman" w:eastAsia="Times New Roman"/>
        </w:rPr>
        <w:t>~2021 </w:t>
      </w:r>
      <w:r>
        <w:rPr>
          <w:spacing w:val="-29"/>
        </w:rPr>
        <w:t>年 </w:t>
      </w:r>
      <w:r>
        <w:rPr>
          <w:rFonts w:ascii="Times New Roman" w:eastAsia="Times New Roman"/>
        </w:rPr>
        <w:t>1 </w:t>
      </w:r>
      <w:r>
        <w:rPr>
          <w:spacing w:val="-30"/>
        </w:rPr>
        <w:t>月 </w:t>
      </w:r>
      <w:r>
        <w:rPr>
          <w:rFonts w:ascii="Times New Roman" w:eastAsia="Times New Roman"/>
        </w:rPr>
        <w:t>14 </w:t>
      </w:r>
      <w:r>
        <w:rPr>
          <w:spacing w:val="-21"/>
        </w:rPr>
        <w:t>日共 </w:t>
      </w:r>
      <w:r>
        <w:rPr>
          <w:rFonts w:ascii="Times New Roman" w:eastAsia="Times New Roman"/>
        </w:rPr>
        <w:t>10 </w:t>
      </w:r>
      <w:r>
        <w:rPr/>
        <w:t>个工作日在柯岩街道丰项村村委会、河塔村村委会、秋湖村村委会、南闲社区居委会、州山村村委会、鉴湖旅游度假区管委会、福全街道新迪埠村村委会、兴联村村委会、梅三村村委会、容山村村委会、湖塘街道兴华村村委会、永信村村委会等地公告栏张贴了环保公示，并同步在企业官方网站上进行了网络公示，公示网址为：</w:t>
      </w:r>
      <w:hyperlink r:id="rId167">
        <w:r>
          <w:rPr>
            <w:rFonts w:ascii="Times New Roman" w:eastAsia="Times New Roman"/>
            <w:u w:val="single"/>
          </w:rPr>
          <w:t>http://www.zjts.com/news/jtdt?id=372</w:t>
        </w:r>
      </w:hyperlink>
      <w:r>
        <w:rPr/>
        <w:t>。根据各公示单位出具的证明，公示期间当地政府、生态环境局、村委会均未接到有关来电、来函。本环评要求企业切实落实好各项污染防治措施的建设，确保污染物的达标排放，以降低对周边环境的影响。</w:t>
      </w:r>
    </w:p>
    <w:p>
      <w:pPr>
        <w:pStyle w:val="Heading3"/>
        <w:numPr>
          <w:ilvl w:val="2"/>
          <w:numId w:val="111"/>
        </w:numPr>
        <w:tabs>
          <w:tab w:pos="838" w:val="left" w:leader="none"/>
        </w:tabs>
        <w:spacing w:line="240" w:lineRule="auto" w:before="6" w:after="0"/>
        <w:ind w:left="837" w:right="0" w:hanging="601"/>
        <w:jc w:val="both"/>
      </w:pPr>
      <w:bookmarkStart w:name="_bookmark136" w:id="262"/>
      <w:bookmarkEnd w:id="262"/>
      <w:r>
        <w:rPr>
          <w:b w:val="0"/>
        </w:rPr>
      </w:r>
      <w:bookmarkStart w:name="_bookmark136" w:id="263"/>
      <w:bookmarkEnd w:id="263"/>
      <w:r>
        <w:rPr/>
        <w:t>环境保护措施</w:t>
      </w:r>
    </w:p>
    <w:p>
      <w:pPr>
        <w:pStyle w:val="BodyText"/>
        <w:spacing w:before="160"/>
        <w:ind w:left="717"/>
      </w:pPr>
      <w:r>
        <w:rPr/>
        <w:t>项目拟采取的污染防治措施汇总见表 </w:t>
      </w:r>
      <w:r>
        <w:rPr>
          <w:rFonts w:ascii="Times New Roman" w:eastAsia="Times New Roman"/>
        </w:rPr>
        <w:t>9.1-6</w:t>
      </w:r>
      <w:r>
        <w:rPr/>
        <w:t>。</w:t>
      </w:r>
    </w:p>
    <w:p>
      <w:pPr>
        <w:pStyle w:val="Heading3"/>
        <w:ind w:left="220" w:right="236"/>
        <w:jc w:val="center"/>
      </w:pPr>
      <w:r>
        <w:rPr/>
        <w:t>表 </w:t>
      </w:r>
      <w:r>
        <w:rPr>
          <w:rFonts w:ascii="Times New Roman" w:eastAsia="Times New Roman"/>
        </w:rPr>
        <w:t>9.1-6  </w:t>
      </w:r>
      <w:r>
        <w:rPr/>
        <w:t>项目主要污染治理措施一览表</w:t>
      </w:r>
    </w:p>
    <w:p>
      <w:pPr>
        <w:pStyle w:val="BodyText"/>
        <w:spacing w:before="1"/>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133"/>
        <w:gridCol w:w="5246"/>
        <w:gridCol w:w="2377"/>
      </w:tblGrid>
      <w:tr>
        <w:trPr>
          <w:trHeight w:val="359" w:hRule="atLeast"/>
        </w:trPr>
        <w:tc>
          <w:tcPr>
            <w:tcW w:w="677" w:type="dxa"/>
            <w:tcBorders>
              <w:bottom w:val="single" w:sz="6" w:space="0" w:color="000000"/>
              <w:right w:val="single" w:sz="6" w:space="0" w:color="000000"/>
            </w:tcBorders>
          </w:tcPr>
          <w:p>
            <w:pPr>
              <w:pStyle w:val="TableParagraph"/>
              <w:spacing w:before="43"/>
              <w:ind w:left="126"/>
              <w:jc w:val="left"/>
              <w:rPr>
                <w:rFonts w:ascii="宋体" w:eastAsia="宋体" w:hint="eastAsia"/>
                <w:b/>
                <w:sz w:val="21"/>
              </w:rPr>
            </w:pPr>
            <w:r>
              <w:rPr>
                <w:rFonts w:ascii="宋体" w:eastAsia="宋体" w:hint="eastAsia"/>
                <w:b/>
                <w:sz w:val="21"/>
              </w:rPr>
              <w:t>类别</w:t>
            </w:r>
          </w:p>
        </w:tc>
        <w:tc>
          <w:tcPr>
            <w:tcW w:w="1133" w:type="dxa"/>
            <w:tcBorders>
              <w:left w:val="single" w:sz="6" w:space="0" w:color="000000"/>
              <w:bottom w:val="single" w:sz="6" w:space="0" w:color="000000"/>
              <w:right w:val="single" w:sz="6" w:space="0" w:color="000000"/>
            </w:tcBorders>
          </w:tcPr>
          <w:p>
            <w:pPr>
              <w:pStyle w:val="TableParagraph"/>
              <w:spacing w:before="43"/>
              <w:ind w:left="129" w:right="106"/>
              <w:rPr>
                <w:rFonts w:ascii="宋体" w:eastAsia="宋体" w:hint="eastAsia"/>
                <w:b/>
                <w:sz w:val="21"/>
              </w:rPr>
            </w:pPr>
            <w:r>
              <w:rPr>
                <w:rFonts w:ascii="宋体" w:eastAsia="宋体" w:hint="eastAsia"/>
                <w:b/>
                <w:sz w:val="21"/>
              </w:rPr>
              <w:t>项目</w:t>
            </w:r>
          </w:p>
        </w:tc>
        <w:tc>
          <w:tcPr>
            <w:tcW w:w="5246" w:type="dxa"/>
            <w:tcBorders>
              <w:left w:val="single" w:sz="6" w:space="0" w:color="000000"/>
              <w:bottom w:val="single" w:sz="6" w:space="0" w:color="000000"/>
              <w:right w:val="single" w:sz="6" w:space="0" w:color="000000"/>
            </w:tcBorders>
          </w:tcPr>
          <w:p>
            <w:pPr>
              <w:pStyle w:val="TableParagraph"/>
              <w:spacing w:before="43"/>
              <w:ind w:left="1975" w:right="1951"/>
              <w:rPr>
                <w:rFonts w:ascii="宋体" w:eastAsia="宋体" w:hint="eastAsia"/>
                <w:b/>
                <w:sz w:val="21"/>
              </w:rPr>
            </w:pPr>
            <w:r>
              <w:rPr>
                <w:rFonts w:ascii="宋体" w:eastAsia="宋体" w:hint="eastAsia"/>
                <w:b/>
                <w:sz w:val="21"/>
              </w:rPr>
              <w:t>污染防治措施</w:t>
            </w:r>
          </w:p>
        </w:tc>
        <w:tc>
          <w:tcPr>
            <w:tcW w:w="2377" w:type="dxa"/>
            <w:tcBorders>
              <w:left w:val="single" w:sz="6" w:space="0" w:color="000000"/>
              <w:bottom w:val="single" w:sz="6" w:space="0" w:color="000000"/>
            </w:tcBorders>
          </w:tcPr>
          <w:p>
            <w:pPr>
              <w:pStyle w:val="TableParagraph"/>
              <w:spacing w:before="43"/>
              <w:ind w:left="771"/>
              <w:jc w:val="left"/>
              <w:rPr>
                <w:rFonts w:ascii="宋体" w:eastAsia="宋体" w:hint="eastAsia"/>
                <w:b/>
                <w:sz w:val="21"/>
              </w:rPr>
            </w:pPr>
            <w:r>
              <w:rPr>
                <w:rFonts w:ascii="宋体" w:eastAsia="宋体" w:hint="eastAsia"/>
                <w:b/>
                <w:sz w:val="21"/>
              </w:rPr>
              <w:t>预期效果</w:t>
            </w:r>
          </w:p>
        </w:tc>
      </w:tr>
      <w:tr>
        <w:trPr>
          <w:trHeight w:val="2512" w:hRule="atLeast"/>
        </w:trPr>
        <w:tc>
          <w:tcPr>
            <w:tcW w:w="677"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27"/>
              </w:rPr>
            </w:pPr>
          </w:p>
          <w:p>
            <w:pPr>
              <w:pStyle w:val="TableParagraph"/>
              <w:spacing w:before="0"/>
              <w:ind w:left="126"/>
              <w:jc w:val="left"/>
              <w:rPr>
                <w:rFonts w:ascii="宋体" w:eastAsia="宋体" w:hint="eastAsia"/>
                <w:sz w:val="21"/>
              </w:rPr>
            </w:pPr>
            <w:r>
              <w:rPr>
                <w:rFonts w:ascii="宋体" w:eastAsia="宋体" w:hint="eastAsia"/>
                <w:sz w:val="21"/>
              </w:rPr>
              <w:t>废水</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319" w:lineRule="auto" w:before="173"/>
              <w:ind w:left="150" w:right="122"/>
              <w:jc w:val="left"/>
              <w:rPr>
                <w:rFonts w:ascii="宋体" w:eastAsia="宋体" w:hint="eastAsia"/>
                <w:sz w:val="21"/>
              </w:rPr>
            </w:pPr>
            <w:r>
              <w:rPr>
                <w:rFonts w:ascii="宋体" w:eastAsia="宋体" w:hint="eastAsia"/>
                <w:sz w:val="21"/>
              </w:rPr>
              <w:t>生产废水生活污水</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82"/>
              <w:jc w:val="both"/>
              <w:rPr>
                <w:rFonts w:ascii="宋体" w:hAnsi="宋体" w:eastAsia="宋体" w:hint="eastAsia"/>
                <w:sz w:val="21"/>
              </w:rPr>
            </w:pPr>
            <w:r>
              <w:rPr>
                <w:rFonts w:ascii="宋体" w:hAnsi="宋体" w:eastAsia="宋体" w:hint="eastAsia"/>
                <w:spacing w:val="-5"/>
                <w:sz w:val="21"/>
              </w:rPr>
              <w:t>①实施雨污分流，设初期雨水池收集初期雨水，建议厂</w:t>
            </w:r>
            <w:r>
              <w:rPr>
                <w:rFonts w:ascii="宋体" w:hAnsi="宋体" w:eastAsia="宋体" w:hint="eastAsia"/>
                <w:spacing w:val="-6"/>
                <w:sz w:val="21"/>
              </w:rPr>
              <w:t>区靠山体部分设置防洪沟。②项目生产生活废水、初期</w:t>
            </w:r>
            <w:r>
              <w:rPr>
                <w:rFonts w:ascii="宋体" w:hAnsi="宋体" w:eastAsia="宋体" w:hint="eastAsia"/>
                <w:spacing w:val="5"/>
                <w:sz w:val="21"/>
              </w:rPr>
              <w:t>雨水统一接入厂区内自建污水处理站处理达标后纳入</w:t>
            </w:r>
            <w:r>
              <w:rPr>
                <w:rFonts w:ascii="宋体" w:hAnsi="宋体" w:eastAsia="宋体" w:hint="eastAsia"/>
                <w:spacing w:val="-3"/>
                <w:sz w:val="21"/>
              </w:rPr>
              <w:t>市政污水管网，最终进入绍兴市污水处理厂处理达标后</w:t>
            </w:r>
            <w:r>
              <w:rPr>
                <w:rFonts w:ascii="宋体" w:hAnsi="宋体" w:eastAsia="宋体" w:hint="eastAsia"/>
                <w:spacing w:val="-6"/>
                <w:sz w:val="21"/>
              </w:rPr>
              <w:t>排入钱塘江。③做好各类猪舍、污水收集沟渠、固液分</w:t>
            </w:r>
            <w:r>
              <w:rPr>
                <w:rFonts w:ascii="宋体" w:hAnsi="宋体" w:eastAsia="宋体" w:hint="eastAsia"/>
                <w:spacing w:val="-5"/>
                <w:sz w:val="21"/>
              </w:rPr>
              <w:t>离区、污水处理构筑物、猪粪发酵间、有机肥车间、危</w:t>
            </w:r>
          </w:p>
          <w:p>
            <w:pPr>
              <w:pStyle w:val="TableParagraph"/>
              <w:spacing w:before="6"/>
              <w:ind w:left="112" w:right="-29"/>
              <w:jc w:val="left"/>
              <w:rPr>
                <w:rFonts w:ascii="宋体" w:eastAsia="宋体" w:hint="eastAsia"/>
                <w:sz w:val="21"/>
              </w:rPr>
            </w:pPr>
            <w:r>
              <w:rPr>
                <w:rFonts w:ascii="宋体" w:eastAsia="宋体" w:hint="eastAsia"/>
                <w:spacing w:val="-12"/>
                <w:sz w:val="21"/>
              </w:rPr>
              <w:t>废暂存间、无害化处理间等的防渗、防漏、防腐蚀措施。</w:t>
            </w:r>
          </w:p>
        </w:tc>
        <w:tc>
          <w:tcPr>
            <w:tcW w:w="2377" w:type="dxa"/>
            <w:tcBorders>
              <w:top w:val="single" w:sz="6" w:space="0" w:color="000000"/>
              <w:left w:val="single" w:sz="6" w:space="0" w:color="000000"/>
              <w:bottom w:val="single" w:sz="6" w:space="0" w:color="000000"/>
            </w:tcBorders>
          </w:tcPr>
          <w:p>
            <w:pPr>
              <w:pStyle w:val="TableParagraph"/>
              <w:spacing w:line="319" w:lineRule="auto" w:before="44"/>
              <w:ind w:left="114" w:right="76"/>
              <w:jc w:val="both"/>
              <w:rPr>
                <w:rFonts w:ascii="宋体" w:eastAsia="宋体" w:hint="eastAsia"/>
                <w:sz w:val="21"/>
              </w:rPr>
            </w:pPr>
            <w:r>
              <w:rPr>
                <w:rFonts w:ascii="宋体" w:eastAsia="宋体" w:hint="eastAsia"/>
                <w:spacing w:val="3"/>
                <w:sz w:val="21"/>
              </w:rPr>
              <w:t>纳管废水水质符合《污</w:t>
            </w:r>
            <w:r>
              <w:rPr>
                <w:rFonts w:ascii="宋体" w:eastAsia="宋体" w:hint="eastAsia"/>
                <w:spacing w:val="-4"/>
                <w:sz w:val="21"/>
              </w:rPr>
              <w:t>水综合排放标准》</w:t>
            </w:r>
            <w:r>
              <w:rPr>
                <w:rFonts w:ascii="宋体" w:eastAsia="宋体" w:hint="eastAsia"/>
                <w:spacing w:val="-7"/>
                <w:sz w:val="21"/>
              </w:rPr>
              <w:t>（</w:t>
            </w:r>
            <w:r>
              <w:rPr>
                <w:spacing w:val="-7"/>
                <w:sz w:val="21"/>
              </w:rPr>
              <w:t>GB </w:t>
            </w:r>
            <w:r>
              <w:rPr>
                <w:sz w:val="21"/>
              </w:rPr>
              <w:t>8978-1996</w:t>
            </w:r>
            <w:r>
              <w:rPr>
                <w:spacing w:val="-11"/>
                <w:sz w:val="21"/>
              </w:rPr>
              <w:t> </w:t>
            </w:r>
            <w:r>
              <w:rPr>
                <w:rFonts w:ascii="宋体" w:eastAsia="宋体" w:hint="eastAsia"/>
                <w:sz w:val="21"/>
              </w:rPr>
              <w:t>）</w:t>
            </w:r>
            <w:r>
              <w:rPr>
                <w:rFonts w:ascii="宋体" w:eastAsia="宋体" w:hint="eastAsia"/>
                <w:spacing w:val="6"/>
                <w:sz w:val="21"/>
              </w:rPr>
              <w:t> 三级标准</w:t>
            </w:r>
          </w:p>
          <w:p>
            <w:pPr>
              <w:pStyle w:val="TableParagraph"/>
              <w:spacing w:line="319" w:lineRule="auto" w:before="4"/>
              <w:ind w:left="114" w:right="77"/>
              <w:jc w:val="both"/>
              <w:rPr>
                <w:rFonts w:ascii="宋体" w:eastAsia="宋体" w:hint="eastAsia"/>
                <w:sz w:val="21"/>
              </w:rPr>
            </w:pPr>
            <w:r>
              <w:rPr>
                <w:rFonts w:ascii="宋体" w:eastAsia="宋体" w:hint="eastAsia"/>
                <w:spacing w:val="6"/>
                <w:sz w:val="21"/>
              </w:rPr>
              <w:t>（</w:t>
            </w:r>
            <w:r>
              <w:rPr>
                <w:rFonts w:ascii="宋体" w:eastAsia="宋体" w:hint="eastAsia"/>
                <w:spacing w:val="2"/>
                <w:sz w:val="21"/>
              </w:rPr>
              <w:t>氨氮、总磷、粪大肠菌群数符合《浙江省畜禽养殖业污染物排放标</w:t>
            </w:r>
          </w:p>
          <w:p>
            <w:pPr>
              <w:pStyle w:val="TableParagraph"/>
              <w:spacing w:before="2"/>
              <w:ind w:left="114" w:right="-29"/>
              <w:jc w:val="left"/>
              <w:rPr>
                <w:rFonts w:ascii="宋体" w:eastAsia="宋体" w:hint="eastAsia"/>
                <w:sz w:val="21"/>
              </w:rPr>
            </w:pPr>
            <w:r>
              <w:rPr>
                <w:rFonts w:ascii="宋体" w:eastAsia="宋体" w:hint="eastAsia"/>
                <w:spacing w:val="-104"/>
                <w:w w:val="100"/>
                <w:sz w:val="21"/>
              </w:rPr>
              <w:t>准》</w:t>
            </w:r>
            <w:r>
              <w:rPr>
                <w:rFonts w:ascii="宋体" w:eastAsia="宋体" w:hint="eastAsia"/>
                <w:spacing w:val="-3"/>
                <w:w w:val="100"/>
                <w:sz w:val="21"/>
              </w:rPr>
              <w:t>（</w:t>
            </w:r>
            <w:r>
              <w:rPr>
                <w:spacing w:val="-2"/>
                <w:w w:val="100"/>
                <w:sz w:val="21"/>
              </w:rPr>
              <w:t>D</w:t>
            </w:r>
            <w:r>
              <w:rPr>
                <w:w w:val="100"/>
                <w:sz w:val="21"/>
              </w:rPr>
              <w:t>B</w:t>
            </w:r>
            <w:r>
              <w:rPr>
                <w:sz w:val="21"/>
              </w:rPr>
              <w:t> </w:t>
            </w:r>
            <w:r>
              <w:rPr>
                <w:w w:val="100"/>
                <w:sz w:val="21"/>
              </w:rPr>
              <w:t>33</w:t>
            </w:r>
            <w:r>
              <w:rPr>
                <w:spacing w:val="-2"/>
                <w:w w:val="100"/>
                <w:sz w:val="21"/>
              </w:rPr>
              <w:t>/</w:t>
            </w:r>
            <w:r>
              <w:rPr>
                <w:spacing w:val="-3"/>
                <w:w w:val="100"/>
                <w:sz w:val="21"/>
              </w:rPr>
              <w:t>5</w:t>
            </w:r>
            <w:r>
              <w:rPr>
                <w:w w:val="100"/>
                <w:sz w:val="21"/>
              </w:rPr>
              <w:t>93</w:t>
            </w:r>
            <w:r>
              <w:rPr>
                <w:spacing w:val="-1"/>
                <w:w w:val="100"/>
                <w:sz w:val="21"/>
              </w:rPr>
              <w:t>-</w:t>
            </w:r>
            <w:r>
              <w:rPr>
                <w:w w:val="100"/>
                <w:sz w:val="21"/>
              </w:rPr>
              <w:t>2</w:t>
            </w:r>
            <w:r>
              <w:rPr>
                <w:spacing w:val="-3"/>
                <w:w w:val="100"/>
                <w:sz w:val="21"/>
              </w:rPr>
              <w:t>0</w:t>
            </w:r>
            <w:r>
              <w:rPr>
                <w:w w:val="100"/>
                <w:sz w:val="21"/>
              </w:rPr>
              <w:t>05</w:t>
            </w:r>
            <w:r>
              <w:rPr>
                <w:rFonts w:ascii="宋体" w:eastAsia="宋体" w:hint="eastAsia"/>
                <w:spacing w:val="-106"/>
                <w:w w:val="100"/>
                <w:sz w:val="21"/>
              </w:rPr>
              <w:t>）</w:t>
            </w:r>
            <w:r>
              <w:rPr>
                <w:rFonts w:ascii="宋体" w:eastAsia="宋体" w:hint="eastAsia"/>
                <w:spacing w:val="-104"/>
                <w:w w:val="100"/>
                <w:sz w:val="21"/>
              </w:rPr>
              <w:t>）</w:t>
            </w:r>
            <w:r>
              <w:rPr>
                <w:rFonts w:ascii="宋体" w:eastAsia="宋体" w:hint="eastAsia"/>
                <w:spacing w:val="-12"/>
                <w:w w:val="100"/>
                <w:sz w:val="21"/>
              </w:rPr>
              <w:t>。</w:t>
            </w:r>
          </w:p>
        </w:tc>
      </w:tr>
      <w:tr>
        <w:trPr>
          <w:trHeight w:val="1784" w:hRule="atLeast"/>
        </w:trPr>
        <w:tc>
          <w:tcPr>
            <w:tcW w:w="677"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27"/>
              </w:rPr>
            </w:pPr>
          </w:p>
          <w:p>
            <w:pPr>
              <w:pStyle w:val="TableParagraph"/>
              <w:spacing w:before="0"/>
              <w:ind w:left="126"/>
              <w:jc w:val="left"/>
              <w:rPr>
                <w:rFonts w:ascii="宋体" w:eastAsia="宋体" w:hint="eastAsia"/>
                <w:sz w:val="21"/>
              </w:rPr>
            </w:pPr>
            <w:r>
              <w:rPr>
                <w:rFonts w:ascii="宋体" w:eastAsia="宋体" w:hint="eastAsia"/>
                <w:sz w:val="21"/>
              </w:rPr>
              <w:t>废气</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19"/>
              </w:rPr>
            </w:pPr>
          </w:p>
          <w:p>
            <w:pPr>
              <w:pStyle w:val="TableParagraph"/>
              <w:spacing w:before="0"/>
              <w:ind w:left="131" w:right="106"/>
              <w:rPr>
                <w:rFonts w:ascii="宋体" w:eastAsia="宋体" w:hint="eastAsia"/>
                <w:sz w:val="21"/>
              </w:rPr>
            </w:pPr>
            <w:r>
              <w:rPr>
                <w:rFonts w:ascii="宋体" w:eastAsia="宋体" w:hint="eastAsia"/>
                <w:sz w:val="21"/>
              </w:rPr>
              <w:t>猪舍臭气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29"/>
              <w:jc w:val="left"/>
              <w:rPr>
                <w:rFonts w:ascii="宋体" w:hAnsi="宋体" w:eastAsia="宋体" w:hint="eastAsia"/>
                <w:sz w:val="21"/>
              </w:rPr>
            </w:pPr>
            <w:r>
              <w:rPr>
                <w:rFonts w:ascii="宋体" w:hAnsi="宋体" w:eastAsia="宋体" w:hint="eastAsia"/>
                <w:spacing w:val="-13"/>
                <w:sz w:val="21"/>
              </w:rPr>
              <w:t>①加强猪舍排风；②科学合理配置日粮，改善日粮结构， </w:t>
            </w:r>
            <w:r>
              <w:rPr>
                <w:rFonts w:ascii="宋体" w:hAnsi="宋体" w:eastAsia="宋体" w:hint="eastAsia"/>
                <w:spacing w:val="-7"/>
                <w:sz w:val="21"/>
              </w:rPr>
              <w:t>提高饲料利用率，减少粪便及臭气的产生；③每天及时</w:t>
            </w:r>
            <w:r>
              <w:rPr>
                <w:rFonts w:ascii="宋体" w:hAnsi="宋体" w:eastAsia="宋体" w:hint="eastAsia"/>
                <w:spacing w:val="-14"/>
                <w:sz w:val="21"/>
              </w:rPr>
              <w:t>清理粪污，保持舍内清洁卫生、干燥；④定期进行消毒， 每天喷洒除臭剂；⑤合理设置猪舍结构，控制饲养密度；</w:t>
            </w:r>
          </w:p>
          <w:p>
            <w:pPr>
              <w:pStyle w:val="TableParagraph"/>
              <w:spacing w:before="4"/>
              <w:ind w:left="112"/>
              <w:jc w:val="left"/>
              <w:rPr>
                <w:rFonts w:ascii="宋体" w:hAnsi="宋体" w:eastAsia="宋体" w:hint="eastAsia"/>
                <w:sz w:val="21"/>
              </w:rPr>
            </w:pPr>
            <w:r>
              <w:rPr>
                <w:rFonts w:ascii="宋体" w:hAnsi="宋体" w:eastAsia="宋体" w:hint="eastAsia"/>
                <w:sz w:val="21"/>
              </w:rPr>
              <w:t>⑥臭气经舍外喷淋过滤装置处理后排放；⑦加强绿化。</w:t>
            </w:r>
          </w:p>
        </w:tc>
        <w:tc>
          <w:tcPr>
            <w:tcW w:w="2377" w:type="dxa"/>
            <w:vMerge w:val="restart"/>
            <w:tcBorders>
              <w:top w:val="single" w:sz="6" w:space="0" w:color="000000"/>
              <w:left w:val="single" w:sz="6" w:space="0" w:color="000000"/>
            </w:tcBorders>
          </w:tcPr>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0"/>
              <w:jc w:val="left"/>
              <w:rPr>
                <w:rFonts w:ascii="宋体"/>
                <w:b/>
                <w:sz w:val="22"/>
              </w:rPr>
            </w:pPr>
          </w:p>
          <w:p>
            <w:pPr>
              <w:pStyle w:val="TableParagraph"/>
              <w:spacing w:before="2"/>
              <w:jc w:val="left"/>
              <w:rPr>
                <w:rFonts w:ascii="宋体"/>
                <w:b/>
                <w:sz w:val="23"/>
              </w:rPr>
            </w:pPr>
          </w:p>
          <w:p>
            <w:pPr>
              <w:pStyle w:val="TableParagraph"/>
              <w:spacing w:line="319" w:lineRule="auto" w:before="0"/>
              <w:ind w:left="114" w:right="-29"/>
              <w:jc w:val="both"/>
              <w:rPr>
                <w:rFonts w:ascii="宋体" w:eastAsia="宋体" w:hint="eastAsia"/>
                <w:sz w:val="21"/>
              </w:rPr>
            </w:pPr>
            <w:r>
              <w:rPr>
                <w:position w:val="2"/>
                <w:sz w:val="21"/>
              </w:rPr>
              <w:t>NH</w:t>
            </w:r>
            <w:r>
              <w:rPr>
                <w:sz w:val="14"/>
              </w:rPr>
              <w:t>3</w:t>
            </w:r>
            <w:r>
              <w:rPr>
                <w:rFonts w:ascii="宋体" w:eastAsia="宋体" w:hint="eastAsia"/>
                <w:spacing w:val="-77"/>
                <w:position w:val="2"/>
                <w:sz w:val="21"/>
              </w:rPr>
              <w:t>、</w:t>
            </w:r>
            <w:r>
              <w:rPr>
                <w:position w:val="2"/>
                <w:sz w:val="21"/>
              </w:rPr>
              <w:t>H</w:t>
            </w:r>
            <w:r>
              <w:rPr>
                <w:sz w:val="14"/>
              </w:rPr>
              <w:t>2</w:t>
            </w:r>
            <w:r>
              <w:rPr>
                <w:position w:val="2"/>
                <w:sz w:val="21"/>
              </w:rPr>
              <w:t>S </w:t>
            </w:r>
            <w:r>
              <w:rPr>
                <w:rFonts w:ascii="宋体" w:eastAsia="宋体" w:hint="eastAsia"/>
                <w:spacing w:val="-3"/>
                <w:position w:val="2"/>
                <w:sz w:val="21"/>
              </w:rPr>
              <w:t>及有组织排放</w:t>
            </w:r>
            <w:r>
              <w:rPr>
                <w:rFonts w:ascii="宋体" w:eastAsia="宋体" w:hint="eastAsia"/>
                <w:spacing w:val="3"/>
                <w:sz w:val="21"/>
              </w:rPr>
              <w:t>臭气浓度执行《恶臭污</w:t>
            </w:r>
            <w:r>
              <w:rPr>
                <w:rFonts w:ascii="宋体" w:eastAsia="宋体" w:hint="eastAsia"/>
                <w:spacing w:val="21"/>
                <w:sz w:val="21"/>
              </w:rPr>
              <w:t>染物排放标准》</w:t>
            </w:r>
            <w:r>
              <w:rPr>
                <w:rFonts w:ascii="宋体" w:eastAsia="宋体" w:hint="eastAsia"/>
                <w:sz w:val="21"/>
              </w:rPr>
              <w:t>（</w:t>
            </w:r>
            <w:r>
              <w:rPr>
                <w:rFonts w:ascii="宋体" w:eastAsia="宋体" w:hint="eastAsia"/>
                <w:spacing w:val="-81"/>
                <w:sz w:val="21"/>
              </w:rPr>
              <w:t> </w:t>
            </w:r>
            <w:r>
              <w:rPr>
                <w:sz w:val="21"/>
              </w:rPr>
              <w:t>GB </w:t>
            </w:r>
            <w:r>
              <w:rPr>
                <w:spacing w:val="2"/>
                <w:sz w:val="21"/>
              </w:rPr>
              <w:t>14554-93</w:t>
            </w:r>
            <w:r>
              <w:rPr>
                <w:rFonts w:ascii="宋体" w:eastAsia="宋体" w:hint="eastAsia"/>
                <w:spacing w:val="2"/>
                <w:sz w:val="21"/>
              </w:rPr>
              <w:t>）</w:t>
            </w:r>
            <w:r>
              <w:rPr>
                <w:rFonts w:ascii="宋体" w:eastAsia="宋体" w:hint="eastAsia"/>
                <w:spacing w:val="11"/>
                <w:sz w:val="21"/>
              </w:rPr>
              <w:t>中的规定， </w:t>
            </w:r>
            <w:r>
              <w:rPr>
                <w:rFonts w:ascii="宋体" w:eastAsia="宋体" w:hint="eastAsia"/>
                <w:spacing w:val="3"/>
                <w:sz w:val="21"/>
              </w:rPr>
              <w:t>厂界无组织臭气浓度执行《畜禽养殖业污染物排 放 标 准 》 （ </w:t>
            </w:r>
            <w:r>
              <w:rPr>
                <w:spacing w:val="3"/>
                <w:sz w:val="21"/>
              </w:rPr>
              <w:t>DB </w:t>
            </w:r>
            <w:r>
              <w:rPr>
                <w:spacing w:val="-7"/>
                <w:sz w:val="21"/>
              </w:rPr>
              <w:t>33/593-2005</w:t>
            </w:r>
            <w:r>
              <w:rPr>
                <w:rFonts w:ascii="宋体" w:eastAsia="宋体" w:hint="eastAsia"/>
                <w:spacing w:val="-7"/>
                <w:sz w:val="21"/>
              </w:rPr>
              <w:t>）</w:t>
            </w:r>
            <w:r>
              <w:rPr>
                <w:rFonts w:ascii="宋体" w:eastAsia="宋体" w:hint="eastAsia"/>
                <w:spacing w:val="-6"/>
                <w:sz w:val="21"/>
              </w:rPr>
              <w:t>中的规定。</w:t>
            </w:r>
          </w:p>
        </w:tc>
      </w:tr>
      <w:tr>
        <w:trPr>
          <w:trHeight w:val="1780" w:hRule="atLeast"/>
        </w:trPr>
        <w:tc>
          <w:tcPr>
            <w:tcW w:w="677" w:type="dxa"/>
            <w:vMerge/>
            <w:tcBorders>
              <w:top w:val="nil"/>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5"/>
              </w:rPr>
            </w:pPr>
          </w:p>
          <w:p>
            <w:pPr>
              <w:pStyle w:val="TableParagraph"/>
              <w:spacing w:line="319" w:lineRule="auto" w:before="0"/>
              <w:ind w:left="253" w:right="122" w:hanging="104"/>
              <w:jc w:val="left"/>
              <w:rPr>
                <w:rFonts w:ascii="宋体" w:eastAsia="宋体" w:hint="eastAsia"/>
                <w:sz w:val="21"/>
              </w:rPr>
            </w:pPr>
            <w:r>
              <w:rPr>
                <w:rFonts w:ascii="宋体" w:eastAsia="宋体" w:hint="eastAsia"/>
                <w:sz w:val="21"/>
              </w:rPr>
              <w:t>粪污处理区臭气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39"/>
              <w:ind w:left="112" w:right="71"/>
              <w:jc w:val="both"/>
              <w:rPr>
                <w:rFonts w:ascii="宋体" w:hAnsi="宋体" w:eastAsia="宋体" w:hint="eastAsia"/>
                <w:sz w:val="21"/>
              </w:rPr>
            </w:pPr>
            <w:r>
              <w:rPr>
                <w:rFonts w:ascii="宋体" w:hAnsi="宋体" w:eastAsia="宋体" w:hint="eastAsia"/>
                <w:spacing w:val="-4"/>
                <w:sz w:val="21"/>
              </w:rPr>
              <w:t>对污水处理站固液分离间、集水池、调节池、污泥池、</w:t>
            </w:r>
            <w:r>
              <w:rPr>
                <w:rFonts w:ascii="宋体" w:hAnsi="宋体" w:eastAsia="宋体" w:hint="eastAsia"/>
                <w:spacing w:val="-5"/>
                <w:sz w:val="21"/>
              </w:rPr>
              <w:t>生化物化处理池等构筑物加盖集气，对固液分离间、猪粪投料间、有机肥仓库</w:t>
            </w:r>
            <w:r>
              <w:rPr>
                <w:rFonts w:ascii="宋体" w:hAnsi="宋体" w:eastAsia="宋体" w:hint="eastAsia"/>
                <w:spacing w:val="-3"/>
                <w:sz w:val="21"/>
              </w:rPr>
              <w:t>（</w:t>
            </w:r>
            <w:r>
              <w:rPr>
                <w:rFonts w:ascii="宋体" w:hAnsi="宋体" w:eastAsia="宋体" w:hint="eastAsia"/>
                <w:spacing w:val="-2"/>
                <w:sz w:val="21"/>
              </w:rPr>
              <w:t>含无害化处理间</w:t>
            </w:r>
            <w:r>
              <w:rPr>
                <w:rFonts w:ascii="宋体" w:hAnsi="宋体" w:eastAsia="宋体" w:hint="eastAsia"/>
                <w:spacing w:val="-8"/>
                <w:sz w:val="21"/>
              </w:rPr>
              <w:t>）</w:t>
            </w:r>
            <w:r>
              <w:rPr>
                <w:rFonts w:ascii="宋体" w:hAnsi="宋体" w:eastAsia="宋体" w:hint="eastAsia"/>
                <w:spacing w:val="-3"/>
                <w:sz w:val="21"/>
              </w:rPr>
              <w:t>进行整体负</w:t>
            </w:r>
            <w:r>
              <w:rPr>
                <w:rFonts w:ascii="宋体" w:hAnsi="宋体" w:eastAsia="宋体" w:hint="eastAsia"/>
                <w:spacing w:val="-6"/>
                <w:sz w:val="21"/>
              </w:rPr>
              <w:t>压集气，上述废气经收集后引至 </w:t>
            </w:r>
            <w:r>
              <w:rPr>
                <w:sz w:val="21"/>
              </w:rPr>
              <w:t>1 </w:t>
            </w:r>
            <w:r>
              <w:rPr>
                <w:rFonts w:ascii="宋体" w:hAnsi="宋体" w:eastAsia="宋体" w:hint="eastAsia"/>
                <w:sz w:val="21"/>
              </w:rPr>
              <w:t>套</w:t>
            </w:r>
            <w:r>
              <w:rPr>
                <w:spacing w:val="-3"/>
                <w:sz w:val="21"/>
              </w:rPr>
              <w:t>“</w:t>
            </w:r>
            <w:r>
              <w:rPr>
                <w:rFonts w:ascii="宋体" w:hAnsi="宋体" w:eastAsia="宋体" w:hint="eastAsia"/>
                <w:spacing w:val="-3"/>
                <w:sz w:val="21"/>
              </w:rPr>
              <w:t>二级喷淋装置</w:t>
            </w:r>
            <w:r>
              <w:rPr>
                <w:sz w:val="21"/>
              </w:rPr>
              <w:t>”</w:t>
            </w:r>
            <w:r>
              <w:rPr>
                <w:rFonts w:ascii="宋体" w:hAnsi="宋体" w:eastAsia="宋体" w:hint="eastAsia"/>
                <w:sz w:val="21"/>
              </w:rPr>
              <w:t>处</w:t>
            </w:r>
          </w:p>
          <w:p>
            <w:pPr>
              <w:pStyle w:val="TableParagraph"/>
              <w:spacing w:before="4"/>
              <w:ind w:left="112"/>
              <w:jc w:val="both"/>
              <w:rPr>
                <w:rFonts w:ascii="宋体" w:eastAsia="宋体" w:hint="eastAsia"/>
                <w:sz w:val="21"/>
              </w:rPr>
            </w:pPr>
            <w:r>
              <w:rPr>
                <w:rFonts w:ascii="宋体" w:eastAsia="宋体" w:hint="eastAsia"/>
                <w:spacing w:val="-8"/>
                <w:sz w:val="21"/>
              </w:rPr>
              <w:t>理，尾气由对应的 </w:t>
            </w:r>
            <w:r>
              <w:rPr>
                <w:sz w:val="21"/>
              </w:rPr>
              <w:t>15m </w:t>
            </w:r>
            <w:r>
              <w:rPr>
                <w:rFonts w:ascii="宋体" w:eastAsia="宋体" w:hint="eastAsia"/>
                <w:spacing w:val="-3"/>
                <w:sz w:val="21"/>
              </w:rPr>
              <w:t>高排气筒</w:t>
            </w:r>
            <w:r>
              <w:rPr>
                <w:rFonts w:ascii="宋体" w:eastAsia="宋体" w:hint="eastAsia"/>
                <w:sz w:val="21"/>
              </w:rPr>
              <w:t>（</w:t>
            </w:r>
            <w:r>
              <w:rPr>
                <w:sz w:val="21"/>
              </w:rPr>
              <w:t>DA001</w:t>
            </w:r>
            <w:r>
              <w:rPr>
                <w:rFonts w:ascii="宋体" w:eastAsia="宋体" w:hint="eastAsia"/>
                <w:sz w:val="21"/>
              </w:rPr>
              <w:t>）</w:t>
            </w:r>
            <w:r>
              <w:rPr>
                <w:rFonts w:ascii="宋体" w:eastAsia="宋体" w:hint="eastAsia"/>
                <w:spacing w:val="-3"/>
                <w:sz w:val="21"/>
              </w:rPr>
              <w:t>高空排放。</w:t>
            </w:r>
          </w:p>
        </w:tc>
        <w:tc>
          <w:tcPr>
            <w:tcW w:w="2377" w:type="dxa"/>
            <w:vMerge/>
            <w:tcBorders>
              <w:top w:val="nil"/>
              <w:left w:val="single" w:sz="6" w:space="0" w:color="000000"/>
            </w:tcBorders>
          </w:tcPr>
          <w:p>
            <w:pPr>
              <w:rPr>
                <w:sz w:val="2"/>
                <w:szCs w:val="2"/>
              </w:rPr>
            </w:pPr>
          </w:p>
        </w:tc>
      </w:tr>
      <w:tr>
        <w:trPr>
          <w:trHeight w:val="701" w:hRule="atLeast"/>
        </w:trPr>
        <w:tc>
          <w:tcPr>
            <w:tcW w:w="677" w:type="dxa"/>
            <w:vMerge/>
            <w:tcBorders>
              <w:top w:val="nil"/>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36"/>
              <w:ind w:left="131" w:right="106"/>
              <w:rPr>
                <w:rFonts w:ascii="宋体" w:eastAsia="宋体" w:hint="eastAsia"/>
                <w:sz w:val="21"/>
              </w:rPr>
            </w:pPr>
            <w:r>
              <w:rPr>
                <w:rFonts w:ascii="宋体" w:eastAsia="宋体" w:hint="eastAsia"/>
                <w:sz w:val="21"/>
              </w:rPr>
              <w:t>猪粪发酵</w:t>
            </w:r>
          </w:p>
          <w:p>
            <w:pPr>
              <w:pStyle w:val="TableParagraph"/>
              <w:spacing w:before="91"/>
              <w:ind w:left="129" w:right="106"/>
              <w:rPr>
                <w:rFonts w:ascii="宋体" w:eastAsia="宋体" w:hint="eastAsia"/>
                <w:sz w:val="21"/>
              </w:rPr>
            </w:pPr>
            <w:r>
              <w:rPr>
                <w:rFonts w:ascii="宋体" w:eastAsia="宋体" w:hint="eastAsia"/>
                <w:sz w:val="21"/>
              </w:rPr>
              <w:t>臭气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before="36"/>
              <w:ind w:left="112"/>
              <w:jc w:val="left"/>
              <w:rPr>
                <w:sz w:val="21"/>
              </w:rPr>
            </w:pPr>
            <w:r>
              <w:rPr>
                <w:rFonts w:ascii="宋体" w:eastAsia="宋体" w:hint="eastAsia"/>
                <w:sz w:val="21"/>
              </w:rPr>
              <w:t>发酵罐臭气经设备配套的喷淋装置处理后由对应的</w:t>
            </w:r>
            <w:r>
              <w:rPr>
                <w:sz w:val="21"/>
              </w:rPr>
              <w:t>15m</w:t>
            </w:r>
          </w:p>
          <w:p>
            <w:pPr>
              <w:pStyle w:val="TableParagraph"/>
              <w:spacing w:before="91"/>
              <w:ind w:left="112"/>
              <w:jc w:val="left"/>
              <w:rPr>
                <w:rFonts w:ascii="宋体" w:eastAsia="宋体" w:hint="eastAsia"/>
                <w:sz w:val="21"/>
              </w:rPr>
            </w:pPr>
            <w:r>
              <w:rPr>
                <w:rFonts w:ascii="宋体" w:eastAsia="宋体" w:hint="eastAsia"/>
                <w:sz w:val="21"/>
              </w:rPr>
              <w:t>高排气筒（</w:t>
            </w:r>
            <w:r>
              <w:rPr>
                <w:sz w:val="21"/>
              </w:rPr>
              <w:t>DA002-1</w:t>
            </w:r>
            <w:r>
              <w:rPr>
                <w:rFonts w:ascii="宋体" w:eastAsia="宋体" w:hint="eastAsia"/>
                <w:sz w:val="21"/>
              </w:rPr>
              <w:t>、</w:t>
            </w:r>
            <w:r>
              <w:rPr>
                <w:sz w:val="21"/>
              </w:rPr>
              <w:t>DA002-2</w:t>
            </w:r>
            <w:r>
              <w:rPr>
                <w:rFonts w:ascii="宋体" w:eastAsia="宋体" w:hint="eastAsia"/>
                <w:sz w:val="21"/>
              </w:rPr>
              <w:t>，共 </w:t>
            </w:r>
            <w:r>
              <w:rPr>
                <w:sz w:val="21"/>
              </w:rPr>
              <w:t>2 </w:t>
            </w:r>
            <w:r>
              <w:rPr>
                <w:rFonts w:ascii="宋体" w:eastAsia="宋体" w:hint="eastAsia"/>
                <w:sz w:val="21"/>
              </w:rPr>
              <w:t>个）排放。</w:t>
            </w:r>
          </w:p>
        </w:tc>
        <w:tc>
          <w:tcPr>
            <w:tcW w:w="2377" w:type="dxa"/>
            <w:vMerge/>
            <w:tcBorders>
              <w:top w:val="nil"/>
              <w:left w:val="single" w:sz="6" w:space="0" w:color="000000"/>
            </w:tcBorders>
          </w:tcPr>
          <w:p>
            <w:pPr>
              <w:rPr>
                <w:sz w:val="2"/>
                <w:szCs w:val="2"/>
              </w:rPr>
            </w:pPr>
          </w:p>
        </w:tc>
      </w:tr>
      <w:tr>
        <w:trPr>
          <w:trHeight w:val="709" w:hRule="atLeast"/>
        </w:trPr>
        <w:tc>
          <w:tcPr>
            <w:tcW w:w="677" w:type="dxa"/>
            <w:vMerge/>
            <w:tcBorders>
              <w:top w:val="nil"/>
              <w:right w:val="single" w:sz="6" w:space="0" w:color="000000"/>
            </w:tcBorders>
          </w:tcPr>
          <w:p>
            <w:pPr>
              <w:rPr>
                <w:sz w:val="2"/>
                <w:szCs w:val="2"/>
              </w:rPr>
            </w:pPr>
          </w:p>
        </w:tc>
        <w:tc>
          <w:tcPr>
            <w:tcW w:w="1133" w:type="dxa"/>
            <w:tcBorders>
              <w:top w:val="single" w:sz="6" w:space="0" w:color="000000"/>
              <w:left w:val="single" w:sz="6" w:space="0" w:color="000000"/>
              <w:right w:val="single" w:sz="6" w:space="0" w:color="000000"/>
            </w:tcBorders>
          </w:tcPr>
          <w:p>
            <w:pPr>
              <w:pStyle w:val="TableParagraph"/>
              <w:spacing w:before="39"/>
              <w:ind w:left="150"/>
              <w:jc w:val="left"/>
              <w:rPr>
                <w:rFonts w:ascii="宋体" w:eastAsia="宋体" w:hint="eastAsia"/>
                <w:sz w:val="21"/>
              </w:rPr>
            </w:pPr>
            <w:r>
              <w:rPr>
                <w:rFonts w:ascii="宋体" w:eastAsia="宋体" w:hint="eastAsia"/>
                <w:sz w:val="21"/>
              </w:rPr>
              <w:t>无害化处</w:t>
            </w:r>
          </w:p>
          <w:p>
            <w:pPr>
              <w:pStyle w:val="TableParagraph"/>
              <w:spacing w:before="88"/>
              <w:ind w:left="253"/>
              <w:jc w:val="left"/>
              <w:rPr>
                <w:rFonts w:ascii="宋体" w:eastAsia="宋体" w:hint="eastAsia"/>
                <w:sz w:val="21"/>
              </w:rPr>
            </w:pPr>
            <w:r>
              <w:rPr>
                <w:rFonts w:ascii="宋体" w:eastAsia="宋体" w:hint="eastAsia"/>
                <w:sz w:val="21"/>
              </w:rPr>
              <w:t>理废气</w:t>
            </w:r>
          </w:p>
        </w:tc>
        <w:tc>
          <w:tcPr>
            <w:tcW w:w="5246" w:type="dxa"/>
            <w:tcBorders>
              <w:top w:val="single" w:sz="6" w:space="0" w:color="000000"/>
              <w:left w:val="single" w:sz="6" w:space="0" w:color="000000"/>
              <w:right w:val="single" w:sz="6" w:space="0" w:color="000000"/>
            </w:tcBorders>
          </w:tcPr>
          <w:p>
            <w:pPr>
              <w:pStyle w:val="TableParagraph"/>
              <w:spacing w:before="39"/>
              <w:ind w:left="112"/>
              <w:jc w:val="left"/>
              <w:rPr>
                <w:rFonts w:ascii="宋体" w:eastAsia="宋体" w:hint="eastAsia"/>
                <w:sz w:val="21"/>
              </w:rPr>
            </w:pPr>
            <w:r>
              <w:rPr>
                <w:rFonts w:ascii="宋体" w:eastAsia="宋体" w:hint="eastAsia"/>
                <w:spacing w:val="-3"/>
                <w:sz w:val="21"/>
              </w:rPr>
              <w:t>要求废气收集管线与无害化处理机排气口实行硬链接，</w:t>
            </w:r>
          </w:p>
          <w:p>
            <w:pPr>
              <w:pStyle w:val="TableParagraph"/>
              <w:spacing w:before="88"/>
              <w:ind w:left="112"/>
              <w:jc w:val="left"/>
              <w:rPr>
                <w:rFonts w:ascii="宋体" w:eastAsia="宋体" w:hint="eastAsia"/>
                <w:sz w:val="21"/>
              </w:rPr>
            </w:pPr>
            <w:r>
              <w:rPr>
                <w:rFonts w:ascii="宋体" w:eastAsia="宋体" w:hint="eastAsia"/>
                <w:spacing w:val="1"/>
                <w:sz w:val="21"/>
              </w:rPr>
              <w:t>臭气引至配套的喷淋装置处理后由对应的 </w:t>
            </w:r>
            <w:r>
              <w:rPr>
                <w:sz w:val="21"/>
              </w:rPr>
              <w:t>15m</w:t>
            </w:r>
            <w:r>
              <w:rPr>
                <w:spacing w:val="7"/>
                <w:sz w:val="21"/>
              </w:rPr>
              <w:t>  </w:t>
            </w:r>
            <w:r>
              <w:rPr>
                <w:rFonts w:ascii="宋体" w:eastAsia="宋体" w:hint="eastAsia"/>
                <w:sz w:val="21"/>
              </w:rPr>
              <w:t>高排气</w:t>
            </w:r>
          </w:p>
        </w:tc>
        <w:tc>
          <w:tcPr>
            <w:tcW w:w="2377" w:type="dxa"/>
            <w:vMerge/>
            <w:tcBorders>
              <w:top w:val="nil"/>
              <w:left w:val="single" w:sz="6" w:space="0" w:color="000000"/>
            </w:tcBorders>
          </w:tcPr>
          <w:p>
            <w:pPr>
              <w:rPr>
                <w:sz w:val="2"/>
                <w:szCs w:val="2"/>
              </w:rPr>
            </w:pPr>
          </w:p>
        </w:tc>
      </w:tr>
    </w:tbl>
    <w:p>
      <w:pPr>
        <w:spacing w:after="0"/>
        <w:rPr>
          <w:sz w:val="2"/>
          <w:szCs w:val="2"/>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7"/>
        <w:gridCol w:w="1133"/>
        <w:gridCol w:w="5246"/>
        <w:gridCol w:w="2377"/>
      </w:tblGrid>
      <w:tr>
        <w:trPr>
          <w:trHeight w:val="359" w:hRule="atLeast"/>
        </w:trPr>
        <w:tc>
          <w:tcPr>
            <w:tcW w:w="677" w:type="dxa"/>
            <w:tcBorders>
              <w:bottom w:val="single" w:sz="6" w:space="0" w:color="000000"/>
              <w:right w:val="single" w:sz="6" w:space="0" w:color="000000"/>
            </w:tcBorders>
          </w:tcPr>
          <w:p>
            <w:pPr>
              <w:pStyle w:val="TableParagraph"/>
              <w:spacing w:before="46"/>
              <w:ind w:left="126"/>
              <w:jc w:val="left"/>
              <w:rPr>
                <w:rFonts w:ascii="宋体" w:eastAsia="宋体" w:hint="eastAsia"/>
                <w:b/>
                <w:sz w:val="21"/>
              </w:rPr>
            </w:pPr>
            <w:r>
              <w:rPr>
                <w:rFonts w:ascii="宋体" w:eastAsia="宋体" w:hint="eastAsia"/>
                <w:b/>
                <w:sz w:val="21"/>
              </w:rPr>
              <w:t>类别</w:t>
            </w:r>
          </w:p>
        </w:tc>
        <w:tc>
          <w:tcPr>
            <w:tcW w:w="1133" w:type="dxa"/>
            <w:tcBorders>
              <w:left w:val="single" w:sz="6" w:space="0" w:color="000000"/>
              <w:bottom w:val="single" w:sz="6" w:space="0" w:color="000000"/>
              <w:right w:val="single" w:sz="6" w:space="0" w:color="000000"/>
            </w:tcBorders>
          </w:tcPr>
          <w:p>
            <w:pPr>
              <w:pStyle w:val="TableParagraph"/>
              <w:spacing w:before="46"/>
              <w:ind w:left="129" w:right="106"/>
              <w:rPr>
                <w:rFonts w:ascii="宋体" w:eastAsia="宋体" w:hint="eastAsia"/>
                <w:b/>
                <w:sz w:val="21"/>
              </w:rPr>
            </w:pPr>
            <w:r>
              <w:rPr>
                <w:rFonts w:ascii="宋体" w:eastAsia="宋体" w:hint="eastAsia"/>
                <w:b/>
                <w:sz w:val="21"/>
              </w:rPr>
              <w:t>项目</w:t>
            </w:r>
          </w:p>
        </w:tc>
        <w:tc>
          <w:tcPr>
            <w:tcW w:w="5246" w:type="dxa"/>
            <w:tcBorders>
              <w:left w:val="single" w:sz="6" w:space="0" w:color="000000"/>
              <w:bottom w:val="single" w:sz="6" w:space="0" w:color="000000"/>
              <w:right w:val="single" w:sz="6" w:space="0" w:color="000000"/>
            </w:tcBorders>
          </w:tcPr>
          <w:p>
            <w:pPr>
              <w:pStyle w:val="TableParagraph"/>
              <w:spacing w:before="46"/>
              <w:ind w:left="1975" w:right="1951"/>
              <w:rPr>
                <w:rFonts w:ascii="宋体" w:eastAsia="宋体" w:hint="eastAsia"/>
                <w:b/>
                <w:sz w:val="21"/>
              </w:rPr>
            </w:pPr>
            <w:r>
              <w:rPr>
                <w:rFonts w:ascii="宋体" w:eastAsia="宋体" w:hint="eastAsia"/>
                <w:b/>
                <w:sz w:val="21"/>
              </w:rPr>
              <w:t>污染防治措施</w:t>
            </w:r>
          </w:p>
        </w:tc>
        <w:tc>
          <w:tcPr>
            <w:tcW w:w="2377" w:type="dxa"/>
            <w:tcBorders>
              <w:left w:val="single" w:sz="6" w:space="0" w:color="000000"/>
              <w:bottom w:val="single" w:sz="6" w:space="0" w:color="000000"/>
            </w:tcBorders>
          </w:tcPr>
          <w:p>
            <w:pPr>
              <w:pStyle w:val="TableParagraph"/>
              <w:spacing w:before="46"/>
              <w:ind w:left="771"/>
              <w:jc w:val="left"/>
              <w:rPr>
                <w:rFonts w:ascii="宋体" w:eastAsia="宋体" w:hint="eastAsia"/>
                <w:b/>
                <w:sz w:val="21"/>
              </w:rPr>
            </w:pPr>
            <w:r>
              <w:rPr>
                <w:rFonts w:ascii="宋体" w:eastAsia="宋体" w:hint="eastAsia"/>
                <w:b/>
                <w:sz w:val="21"/>
              </w:rPr>
              <w:t>预期效果</w:t>
            </w:r>
          </w:p>
        </w:tc>
      </w:tr>
      <w:tr>
        <w:trPr>
          <w:trHeight w:val="359" w:hRule="atLeast"/>
        </w:trPr>
        <w:tc>
          <w:tcPr>
            <w:tcW w:w="677" w:type="dxa"/>
            <w:vMerge w:val="restart"/>
            <w:tcBorders>
              <w:top w:val="single" w:sz="6" w:space="0" w:color="000000"/>
              <w:bottom w:val="single" w:sz="6" w:space="0" w:color="000000"/>
              <w:right w:val="single" w:sz="6" w:space="0" w:color="000000"/>
            </w:tcBorders>
          </w:tcPr>
          <w:p>
            <w:pPr>
              <w:pStyle w:val="TableParagraph"/>
              <w:spacing w:before="0"/>
              <w:jc w:val="left"/>
              <w:rPr>
                <w:sz w:val="20"/>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sz w:val="20"/>
              </w:rPr>
            </w:pP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before="44"/>
              <w:ind w:left="112"/>
              <w:jc w:val="left"/>
              <w:rPr>
                <w:rFonts w:ascii="宋体" w:eastAsia="宋体" w:hint="eastAsia"/>
                <w:sz w:val="21"/>
              </w:rPr>
            </w:pPr>
            <w:r>
              <w:rPr>
                <w:rFonts w:ascii="宋体" w:eastAsia="宋体" w:hint="eastAsia"/>
                <w:sz w:val="21"/>
              </w:rPr>
              <w:t>筒（</w:t>
            </w:r>
            <w:r>
              <w:rPr>
                <w:sz w:val="21"/>
              </w:rPr>
              <w:t>DA003-1</w:t>
            </w:r>
            <w:r>
              <w:rPr>
                <w:rFonts w:ascii="宋体" w:eastAsia="宋体" w:hint="eastAsia"/>
                <w:sz w:val="21"/>
              </w:rPr>
              <w:t>、</w:t>
            </w:r>
            <w:r>
              <w:rPr>
                <w:sz w:val="21"/>
              </w:rPr>
              <w:t>DA003-2</w:t>
            </w:r>
            <w:r>
              <w:rPr>
                <w:rFonts w:ascii="宋体" w:eastAsia="宋体" w:hint="eastAsia"/>
                <w:sz w:val="21"/>
              </w:rPr>
              <w:t>，共 </w:t>
            </w:r>
            <w:r>
              <w:rPr>
                <w:sz w:val="21"/>
              </w:rPr>
              <w:t>2 </w:t>
            </w:r>
            <w:r>
              <w:rPr>
                <w:rFonts w:ascii="宋体" w:eastAsia="宋体" w:hint="eastAsia"/>
                <w:sz w:val="21"/>
              </w:rPr>
              <w:t>个）排放。</w:t>
            </w:r>
          </w:p>
        </w:tc>
        <w:tc>
          <w:tcPr>
            <w:tcW w:w="2377"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1434" w:hRule="atLeast"/>
        </w:trPr>
        <w:tc>
          <w:tcPr>
            <w:tcW w:w="677" w:type="dxa"/>
            <w:vMerge/>
            <w:tcBorders>
              <w:top w:val="nil"/>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line="321" w:lineRule="auto" w:before="145"/>
              <w:ind w:left="359" w:right="125" w:hanging="209"/>
              <w:jc w:val="left"/>
              <w:rPr>
                <w:rFonts w:ascii="宋体" w:eastAsia="宋体" w:hint="eastAsia"/>
                <w:sz w:val="21"/>
              </w:rPr>
            </w:pPr>
            <w:r>
              <w:rPr>
                <w:rFonts w:ascii="宋体" w:eastAsia="宋体" w:hint="eastAsia"/>
                <w:sz w:val="21"/>
              </w:rPr>
              <w:t>沼气锅炉废气</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before="4"/>
              <w:jc w:val="left"/>
              <w:rPr>
                <w:rFonts w:ascii="宋体"/>
                <w:b/>
                <w:sz w:val="31"/>
              </w:rPr>
            </w:pPr>
          </w:p>
          <w:p>
            <w:pPr>
              <w:pStyle w:val="TableParagraph"/>
              <w:spacing w:line="321" w:lineRule="auto" w:before="0"/>
              <w:ind w:left="112" w:right="71"/>
              <w:jc w:val="left"/>
              <w:rPr>
                <w:rFonts w:ascii="宋体" w:eastAsia="宋体" w:hint="eastAsia"/>
                <w:sz w:val="21"/>
              </w:rPr>
            </w:pPr>
            <w:r>
              <w:rPr>
                <w:rFonts w:ascii="宋体" w:eastAsia="宋体" w:hint="eastAsia"/>
                <w:sz w:val="21"/>
              </w:rPr>
              <w:t>沼气经脱水脱硫预处理后供热水锅炉和食堂综合利用， 锅炉废气由 </w:t>
            </w:r>
            <w:r>
              <w:rPr>
                <w:sz w:val="21"/>
              </w:rPr>
              <w:t>8m </w:t>
            </w:r>
            <w:r>
              <w:rPr>
                <w:rFonts w:ascii="宋体" w:eastAsia="宋体" w:hint="eastAsia"/>
                <w:sz w:val="21"/>
              </w:rPr>
              <w:t>高排气筒（</w:t>
            </w:r>
            <w:r>
              <w:rPr>
                <w:sz w:val="21"/>
              </w:rPr>
              <w:t>DA004</w:t>
            </w:r>
            <w:r>
              <w:rPr>
                <w:rFonts w:ascii="宋体" w:eastAsia="宋体" w:hint="eastAsia"/>
                <w:sz w:val="21"/>
              </w:rPr>
              <w:t>）排放。</w:t>
            </w:r>
          </w:p>
        </w:tc>
        <w:tc>
          <w:tcPr>
            <w:tcW w:w="2377" w:type="dxa"/>
            <w:tcBorders>
              <w:top w:val="single" w:sz="6" w:space="0" w:color="000000"/>
              <w:left w:val="single" w:sz="6" w:space="0" w:color="000000"/>
              <w:bottom w:val="single" w:sz="6" w:space="0" w:color="000000"/>
            </w:tcBorders>
          </w:tcPr>
          <w:p>
            <w:pPr>
              <w:pStyle w:val="TableParagraph"/>
              <w:spacing w:line="319" w:lineRule="auto" w:before="44"/>
              <w:ind w:left="114" w:right="77"/>
              <w:jc w:val="left"/>
              <w:rPr>
                <w:rFonts w:ascii="宋体" w:eastAsia="宋体" w:hint="eastAsia"/>
                <w:sz w:val="21"/>
              </w:rPr>
            </w:pPr>
            <w:r>
              <w:rPr>
                <w:rFonts w:ascii="宋体" w:eastAsia="宋体" w:hint="eastAsia"/>
                <w:spacing w:val="2"/>
                <w:sz w:val="21"/>
              </w:rPr>
              <w:t>锅炉废气执行《锅炉大</w:t>
            </w:r>
            <w:r>
              <w:rPr>
                <w:rFonts w:ascii="宋体" w:eastAsia="宋体" w:hint="eastAsia"/>
                <w:spacing w:val="25"/>
                <w:sz w:val="21"/>
              </w:rPr>
              <w:t>气污染物排放标准》</w:t>
            </w:r>
          </w:p>
          <w:p>
            <w:pPr>
              <w:pStyle w:val="TableParagraph"/>
              <w:spacing w:before="2"/>
              <w:ind w:left="114"/>
              <w:jc w:val="left"/>
              <w:rPr>
                <w:rFonts w:ascii="宋体" w:eastAsia="宋体" w:hint="eastAsia"/>
                <w:sz w:val="21"/>
              </w:rPr>
            </w:pPr>
            <w:r>
              <w:rPr>
                <w:rFonts w:ascii="宋体" w:eastAsia="宋体" w:hint="eastAsia"/>
                <w:w w:val="100"/>
                <w:sz w:val="21"/>
              </w:rPr>
              <w:t>（</w:t>
            </w:r>
            <w:r>
              <w:rPr>
                <w:spacing w:val="-2"/>
                <w:w w:val="100"/>
                <w:sz w:val="21"/>
              </w:rPr>
              <w:t>G</w:t>
            </w:r>
            <w:r>
              <w:rPr>
                <w:w w:val="100"/>
                <w:sz w:val="21"/>
              </w:rPr>
              <w:t>B</w:t>
            </w:r>
            <w:r>
              <w:rPr>
                <w:sz w:val="21"/>
              </w:rPr>
              <w:t> </w:t>
            </w:r>
            <w:r>
              <w:rPr>
                <w:spacing w:val="-3"/>
                <w:w w:val="100"/>
                <w:sz w:val="21"/>
              </w:rPr>
              <w:t>1</w:t>
            </w:r>
            <w:r>
              <w:rPr>
                <w:w w:val="100"/>
                <w:sz w:val="21"/>
              </w:rPr>
              <w:t>3271-</w:t>
            </w:r>
            <w:r>
              <w:rPr>
                <w:spacing w:val="-3"/>
                <w:sz w:val="21"/>
              </w:rPr>
              <w:t> </w:t>
            </w:r>
            <w:r>
              <w:rPr>
                <w:w w:val="100"/>
                <w:sz w:val="21"/>
              </w:rPr>
              <w:t>201</w:t>
            </w:r>
            <w:r>
              <w:rPr>
                <w:spacing w:val="-2"/>
                <w:w w:val="100"/>
                <w:sz w:val="21"/>
              </w:rPr>
              <w:t>4</w:t>
            </w:r>
            <w:r>
              <w:rPr>
                <w:rFonts w:ascii="宋体" w:eastAsia="宋体" w:hint="eastAsia"/>
                <w:spacing w:val="-92"/>
                <w:w w:val="100"/>
                <w:sz w:val="21"/>
              </w:rPr>
              <w:t>）</w:t>
            </w:r>
            <w:r>
              <w:rPr>
                <w:rFonts w:ascii="宋体" w:eastAsia="宋体" w:hint="eastAsia"/>
                <w:spacing w:val="-2"/>
                <w:w w:val="100"/>
                <w:sz w:val="21"/>
              </w:rPr>
              <w:t>中表</w:t>
            </w:r>
          </w:p>
          <w:p>
            <w:pPr>
              <w:pStyle w:val="TableParagraph"/>
              <w:spacing w:before="88"/>
              <w:ind w:left="114"/>
              <w:jc w:val="left"/>
              <w:rPr>
                <w:rFonts w:ascii="宋体" w:eastAsia="宋体" w:hint="eastAsia"/>
                <w:sz w:val="21"/>
              </w:rPr>
            </w:pPr>
            <w:r>
              <w:rPr>
                <w:sz w:val="21"/>
              </w:rPr>
              <w:t>3 </w:t>
            </w:r>
            <w:r>
              <w:rPr>
                <w:rFonts w:ascii="宋体" w:eastAsia="宋体" w:hint="eastAsia"/>
                <w:sz w:val="21"/>
              </w:rPr>
              <w:t>燃气锅炉的规定。</w:t>
            </w:r>
          </w:p>
        </w:tc>
      </w:tr>
      <w:tr>
        <w:trPr>
          <w:trHeight w:val="1076" w:hRule="atLeast"/>
        </w:trPr>
        <w:tc>
          <w:tcPr>
            <w:tcW w:w="677" w:type="dxa"/>
            <w:vMerge/>
            <w:tcBorders>
              <w:top w:val="nil"/>
              <w:bottom w:val="single" w:sz="6" w:space="0" w:color="000000"/>
              <w:right w:val="single" w:sz="6" w:space="0" w:color="000000"/>
            </w:tcBorders>
          </w:tcPr>
          <w:p>
            <w:pPr>
              <w:rPr>
                <w:sz w:val="2"/>
                <w:szCs w:val="2"/>
              </w:rPr>
            </w:pP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31" w:right="106"/>
              <w:rPr>
                <w:rFonts w:ascii="宋体" w:eastAsia="宋体" w:hint="eastAsia"/>
                <w:sz w:val="21"/>
              </w:rPr>
            </w:pPr>
            <w:r>
              <w:rPr>
                <w:rFonts w:ascii="宋体" w:eastAsia="宋体" w:hint="eastAsia"/>
                <w:sz w:val="21"/>
              </w:rPr>
              <w:t>食堂油烟</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line="319" w:lineRule="auto" w:before="0"/>
              <w:ind w:left="112" w:right="41"/>
              <w:jc w:val="left"/>
              <w:rPr>
                <w:rFonts w:ascii="宋体" w:eastAsia="宋体" w:hint="eastAsia"/>
                <w:sz w:val="21"/>
              </w:rPr>
            </w:pPr>
            <w:r>
              <w:rPr>
                <w:rFonts w:ascii="宋体" w:eastAsia="宋体" w:hint="eastAsia"/>
                <w:sz w:val="21"/>
              </w:rPr>
              <w:t>经油烟净化装置处理后引至屋顶高空排放，要求净化效率不低于 </w:t>
            </w:r>
            <w:r>
              <w:rPr>
                <w:sz w:val="21"/>
              </w:rPr>
              <w:t>75%</w:t>
            </w:r>
            <w:r>
              <w:rPr>
                <w:rFonts w:ascii="宋体" w:eastAsia="宋体" w:hint="eastAsia"/>
                <w:sz w:val="21"/>
              </w:rPr>
              <w:t>。</w:t>
            </w:r>
          </w:p>
        </w:tc>
        <w:tc>
          <w:tcPr>
            <w:tcW w:w="2377" w:type="dxa"/>
            <w:tcBorders>
              <w:top w:val="single" w:sz="6" w:space="0" w:color="000000"/>
              <w:left w:val="single" w:sz="6" w:space="0" w:color="000000"/>
              <w:bottom w:val="single" w:sz="6" w:space="0" w:color="000000"/>
            </w:tcBorders>
          </w:tcPr>
          <w:p>
            <w:pPr>
              <w:pStyle w:val="TableParagraph"/>
              <w:spacing w:before="44"/>
              <w:ind w:left="114"/>
              <w:jc w:val="left"/>
              <w:rPr>
                <w:rFonts w:ascii="宋体" w:eastAsia="宋体" w:hint="eastAsia"/>
                <w:sz w:val="21"/>
              </w:rPr>
            </w:pPr>
            <w:r>
              <w:rPr>
                <w:rFonts w:ascii="宋体" w:eastAsia="宋体" w:hint="eastAsia"/>
                <w:sz w:val="21"/>
              </w:rPr>
              <w:t>排放浓度符合《饮食业</w:t>
            </w:r>
          </w:p>
          <w:p>
            <w:pPr>
              <w:pStyle w:val="TableParagraph"/>
              <w:spacing w:line="350" w:lineRule="atLeast" w:before="10"/>
              <w:ind w:left="114" w:right="76"/>
              <w:jc w:val="left"/>
              <w:rPr>
                <w:rFonts w:ascii="宋体" w:eastAsia="宋体" w:hint="eastAsia"/>
                <w:sz w:val="21"/>
              </w:rPr>
            </w:pPr>
            <w:r>
              <w:rPr>
                <w:rFonts w:ascii="宋体" w:eastAsia="宋体" w:hint="eastAsia"/>
                <w:spacing w:val="21"/>
                <w:sz w:val="21"/>
              </w:rPr>
              <w:t>油烟排放标准》</w:t>
            </w:r>
            <w:r>
              <w:rPr>
                <w:rFonts w:ascii="宋体" w:eastAsia="宋体" w:hint="eastAsia"/>
                <w:sz w:val="21"/>
              </w:rPr>
              <w:t>（</w:t>
            </w:r>
            <w:r>
              <w:rPr>
                <w:rFonts w:ascii="宋体" w:eastAsia="宋体" w:hint="eastAsia"/>
                <w:spacing w:val="-76"/>
                <w:sz w:val="21"/>
              </w:rPr>
              <w:t> </w:t>
            </w:r>
            <w:r>
              <w:rPr>
                <w:spacing w:val="-8"/>
                <w:sz w:val="21"/>
              </w:rPr>
              <w:t>GB </w:t>
            </w:r>
            <w:r>
              <w:rPr>
                <w:sz w:val="21"/>
              </w:rPr>
              <w:t>18483-2001</w:t>
            </w:r>
            <w:r>
              <w:rPr>
                <w:rFonts w:ascii="宋体" w:eastAsia="宋体" w:hint="eastAsia"/>
                <w:sz w:val="21"/>
              </w:rPr>
              <w:t>）。</w:t>
            </w:r>
          </w:p>
        </w:tc>
      </w:tr>
      <w:tr>
        <w:trPr>
          <w:trHeight w:val="2510" w:hRule="atLeast"/>
        </w:trPr>
        <w:tc>
          <w:tcPr>
            <w:tcW w:w="677"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27"/>
              </w:rPr>
            </w:pPr>
          </w:p>
          <w:p>
            <w:pPr>
              <w:pStyle w:val="TableParagraph"/>
              <w:spacing w:before="0"/>
              <w:ind w:left="126"/>
              <w:jc w:val="left"/>
              <w:rPr>
                <w:rFonts w:ascii="宋体" w:eastAsia="宋体" w:hint="eastAsia"/>
                <w:sz w:val="21"/>
              </w:rPr>
            </w:pPr>
            <w:r>
              <w:rPr>
                <w:rFonts w:ascii="宋体" w:eastAsia="宋体" w:hint="eastAsia"/>
                <w:sz w:val="21"/>
              </w:rPr>
              <w:t>固废</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319" w:lineRule="auto" w:before="173"/>
              <w:ind w:left="150" w:right="122"/>
              <w:jc w:val="left"/>
              <w:rPr>
                <w:rFonts w:ascii="宋体" w:eastAsia="宋体" w:hint="eastAsia"/>
                <w:sz w:val="21"/>
              </w:rPr>
            </w:pPr>
            <w:r>
              <w:rPr>
                <w:rFonts w:ascii="宋体" w:eastAsia="宋体" w:hint="eastAsia"/>
                <w:sz w:val="21"/>
              </w:rPr>
              <w:t>危险废物一般废物</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71"/>
              <w:jc w:val="both"/>
              <w:rPr>
                <w:rFonts w:ascii="宋体" w:hAnsi="宋体" w:eastAsia="宋体" w:hint="eastAsia"/>
                <w:sz w:val="21"/>
              </w:rPr>
            </w:pPr>
            <w:r>
              <w:rPr>
                <w:rFonts w:ascii="宋体" w:hAnsi="宋体" w:eastAsia="宋体" w:hint="eastAsia"/>
                <w:sz w:val="21"/>
              </w:rPr>
              <w:t>①发酵产物外运生产有机肥，一般废包装物收集后外卖综合利用，废脱硫剂由设备供应商更换回收，生活垃圾由环卫部门统一清运；②危化品废包装物、废矿物油、医疗废物委托有相应危废处理资质的单位安全处置，其转移须实行转移联单制度；③建立规范化固废堆场，做好标识、防风、防雨、防渗漏等工作，按规范收集储存</w:t>
            </w:r>
          </w:p>
          <w:p>
            <w:pPr>
              <w:pStyle w:val="TableParagraph"/>
              <w:spacing w:before="6"/>
              <w:ind w:left="112"/>
              <w:jc w:val="left"/>
              <w:rPr>
                <w:rFonts w:ascii="宋体" w:eastAsia="宋体" w:hint="eastAsia"/>
                <w:sz w:val="21"/>
              </w:rPr>
            </w:pPr>
            <w:r>
              <w:rPr>
                <w:rFonts w:ascii="宋体" w:eastAsia="宋体" w:hint="eastAsia"/>
                <w:sz w:val="21"/>
              </w:rPr>
              <w:t>各类废物。</w:t>
            </w:r>
          </w:p>
        </w:tc>
        <w:tc>
          <w:tcPr>
            <w:tcW w:w="2377" w:type="dxa"/>
            <w:tcBorders>
              <w:top w:val="single" w:sz="6" w:space="0" w:color="000000"/>
              <w:left w:val="single" w:sz="6" w:space="0" w:color="000000"/>
              <w:bottom w:val="single" w:sz="6" w:space="0" w:color="000000"/>
            </w:tcBorders>
          </w:tcPr>
          <w:p>
            <w:pPr>
              <w:pStyle w:val="TableParagraph"/>
              <w:spacing w:line="319" w:lineRule="auto" w:before="44"/>
              <w:ind w:left="114" w:right="37"/>
              <w:jc w:val="both"/>
              <w:rPr>
                <w:rFonts w:ascii="宋体" w:eastAsia="宋体" w:hint="eastAsia"/>
                <w:sz w:val="21"/>
              </w:rPr>
            </w:pPr>
            <w:r>
              <w:rPr>
                <w:rFonts w:ascii="宋体" w:eastAsia="宋体" w:hint="eastAsia"/>
                <w:sz w:val="21"/>
              </w:rPr>
              <w:t>符合《一般工业固体废弃物贮存和填埋污染控制 标 准 》 （ </w:t>
            </w:r>
            <w:r>
              <w:rPr>
                <w:sz w:val="21"/>
              </w:rPr>
              <w:t>GB 18599-2020</w:t>
            </w:r>
            <w:r>
              <w:rPr>
                <w:rFonts w:ascii="宋体" w:eastAsia="宋体" w:hint="eastAsia"/>
                <w:sz w:val="21"/>
              </w:rPr>
              <w:t>）、《危险废物贮存污染控制标准》（</w:t>
            </w:r>
            <w:r>
              <w:rPr>
                <w:sz w:val="21"/>
              </w:rPr>
              <w:t>GB 18597-2001</w:t>
            </w:r>
            <w:r>
              <w:rPr>
                <w:rFonts w:ascii="宋体" w:eastAsia="宋体" w:hint="eastAsia"/>
                <w:sz w:val="21"/>
              </w:rPr>
              <w:t>）</w:t>
            </w:r>
          </w:p>
          <w:p>
            <w:pPr>
              <w:pStyle w:val="TableParagraph"/>
              <w:spacing w:before="6"/>
              <w:ind w:left="114"/>
              <w:jc w:val="left"/>
              <w:rPr>
                <w:rFonts w:ascii="宋体" w:eastAsia="宋体" w:hint="eastAsia"/>
                <w:sz w:val="21"/>
              </w:rPr>
            </w:pPr>
            <w:r>
              <w:rPr>
                <w:rFonts w:ascii="宋体" w:eastAsia="宋体" w:hint="eastAsia"/>
                <w:sz w:val="21"/>
              </w:rPr>
              <w:t>及修改单规定。</w:t>
            </w:r>
          </w:p>
        </w:tc>
      </w:tr>
      <w:tr>
        <w:trPr>
          <w:trHeight w:val="1795" w:hRule="atLeast"/>
        </w:trPr>
        <w:tc>
          <w:tcPr>
            <w:tcW w:w="677" w:type="dxa"/>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126"/>
              <w:jc w:val="left"/>
              <w:rPr>
                <w:rFonts w:ascii="宋体" w:eastAsia="宋体" w:hint="eastAsia"/>
                <w:sz w:val="21"/>
              </w:rPr>
            </w:pPr>
            <w:r>
              <w:rPr>
                <w:rFonts w:ascii="宋体" w:eastAsia="宋体" w:hint="eastAsia"/>
                <w:sz w:val="21"/>
              </w:rPr>
              <w:t>噪声</w:t>
            </w:r>
          </w:p>
        </w:tc>
        <w:tc>
          <w:tcPr>
            <w:tcW w:w="1133"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19"/>
              </w:rPr>
            </w:pPr>
          </w:p>
          <w:p>
            <w:pPr>
              <w:pStyle w:val="TableParagraph"/>
              <w:spacing w:before="0"/>
              <w:ind w:left="131" w:right="106"/>
              <w:rPr>
                <w:rFonts w:ascii="宋体" w:eastAsia="宋体" w:hint="eastAsia"/>
                <w:sz w:val="21"/>
              </w:rPr>
            </w:pPr>
            <w:r>
              <w:rPr>
                <w:rFonts w:ascii="宋体" w:eastAsia="宋体" w:hint="eastAsia"/>
                <w:sz w:val="21"/>
              </w:rPr>
              <w:t>设备噪声</w:t>
            </w:r>
          </w:p>
        </w:tc>
        <w:tc>
          <w:tcPr>
            <w:tcW w:w="5246"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6"/>
              <w:ind w:left="112" w:right="70"/>
              <w:jc w:val="both"/>
              <w:rPr>
                <w:rFonts w:ascii="宋体" w:hAnsi="宋体" w:eastAsia="宋体" w:hint="eastAsia"/>
                <w:sz w:val="21"/>
              </w:rPr>
            </w:pPr>
            <w:r>
              <w:rPr>
                <w:rFonts w:ascii="宋体" w:hAnsi="宋体" w:eastAsia="宋体" w:hint="eastAsia"/>
                <w:spacing w:val="6"/>
                <w:sz w:val="21"/>
              </w:rPr>
              <w:t>①在设备采购阶段选用先进的低噪声设备；②采取减</w:t>
            </w:r>
            <w:r>
              <w:rPr>
                <w:rFonts w:ascii="宋体" w:hAnsi="宋体" w:eastAsia="宋体" w:hint="eastAsia"/>
                <w:spacing w:val="-4"/>
                <w:sz w:val="21"/>
              </w:rPr>
              <w:t>震、隔声措施切断噪声传播途径；③临厂界猪舍采用隔声窗，室内墙壁采用吸声材料；④合理布局设备位置；</w:t>
            </w:r>
          </w:p>
          <w:p>
            <w:pPr>
              <w:pStyle w:val="TableParagraph"/>
              <w:spacing w:before="2"/>
              <w:ind w:left="112"/>
              <w:jc w:val="left"/>
              <w:rPr>
                <w:rFonts w:ascii="宋体" w:hAnsi="宋体" w:eastAsia="宋体" w:hint="eastAsia"/>
                <w:sz w:val="21"/>
              </w:rPr>
            </w:pPr>
            <w:r>
              <w:rPr>
                <w:rFonts w:ascii="宋体" w:hAnsi="宋体" w:eastAsia="宋体" w:hint="eastAsia"/>
                <w:spacing w:val="-5"/>
                <w:sz w:val="21"/>
              </w:rPr>
              <w:t>⑤加强设备的维护管理；⑥加强进出厂区大型车辆的管</w:t>
            </w:r>
          </w:p>
          <w:p>
            <w:pPr>
              <w:pStyle w:val="TableParagraph"/>
              <w:spacing w:before="91"/>
              <w:ind w:left="112"/>
              <w:jc w:val="left"/>
              <w:rPr>
                <w:rFonts w:ascii="宋体" w:hAnsi="宋体" w:eastAsia="宋体" w:hint="eastAsia"/>
                <w:sz w:val="21"/>
              </w:rPr>
            </w:pPr>
            <w:r>
              <w:rPr>
                <w:rFonts w:ascii="宋体" w:hAnsi="宋体" w:eastAsia="宋体" w:hint="eastAsia"/>
                <w:sz w:val="21"/>
              </w:rPr>
              <w:t>理；⑦加强厂区绿化。</w:t>
            </w:r>
          </w:p>
        </w:tc>
        <w:tc>
          <w:tcPr>
            <w:tcW w:w="2377" w:type="dxa"/>
            <w:tcBorders>
              <w:top w:val="single" w:sz="6" w:space="0" w:color="000000"/>
              <w:left w:val="single" w:sz="6" w:space="0" w:color="000000"/>
              <w:bottom w:val="single" w:sz="6" w:space="0" w:color="000000"/>
            </w:tcBorders>
          </w:tcPr>
          <w:p>
            <w:pPr>
              <w:pStyle w:val="TableParagraph"/>
              <w:spacing w:before="6"/>
              <w:jc w:val="left"/>
              <w:rPr>
                <w:rFonts w:ascii="宋体"/>
                <w:b/>
                <w:sz w:val="17"/>
              </w:rPr>
            </w:pPr>
          </w:p>
          <w:p>
            <w:pPr>
              <w:pStyle w:val="TableParagraph"/>
              <w:spacing w:line="321" w:lineRule="auto" w:before="0"/>
              <w:ind w:left="114" w:right="13"/>
              <w:jc w:val="both"/>
              <w:rPr>
                <w:rFonts w:ascii="宋体" w:eastAsia="宋体" w:hint="eastAsia"/>
                <w:sz w:val="21"/>
              </w:rPr>
            </w:pPr>
            <w:r>
              <w:rPr>
                <w:rFonts w:ascii="宋体" w:eastAsia="宋体" w:hint="eastAsia"/>
                <w:sz w:val="21"/>
              </w:rPr>
              <w:t>企业厂界噪声排放应执行《工业企业厂界噪声排 放 标 准 》 （ </w:t>
            </w:r>
            <w:r>
              <w:rPr>
                <w:sz w:val="21"/>
              </w:rPr>
              <w:t>GB 12348-2008</w:t>
            </w:r>
            <w:r>
              <w:rPr>
                <w:rFonts w:ascii="宋体" w:eastAsia="宋体" w:hint="eastAsia"/>
                <w:sz w:val="21"/>
              </w:rPr>
              <w:t>）</w:t>
            </w:r>
            <w:r>
              <w:rPr>
                <w:sz w:val="21"/>
              </w:rPr>
              <w:t>2 </w:t>
            </w:r>
            <w:r>
              <w:rPr>
                <w:rFonts w:ascii="宋体" w:eastAsia="宋体" w:hint="eastAsia"/>
                <w:sz w:val="21"/>
              </w:rPr>
              <w:t>级标准。</w:t>
            </w:r>
          </w:p>
        </w:tc>
      </w:tr>
      <w:tr>
        <w:trPr>
          <w:trHeight w:val="1076" w:hRule="atLeast"/>
        </w:trPr>
        <w:tc>
          <w:tcPr>
            <w:tcW w:w="1810" w:type="dxa"/>
            <w:gridSpan w:val="2"/>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484"/>
              <w:jc w:val="left"/>
              <w:rPr>
                <w:rFonts w:ascii="宋体" w:eastAsia="宋体" w:hint="eastAsia"/>
                <w:sz w:val="21"/>
              </w:rPr>
            </w:pPr>
            <w:r>
              <w:rPr>
                <w:rFonts w:ascii="宋体" w:eastAsia="宋体" w:hint="eastAsia"/>
                <w:sz w:val="21"/>
              </w:rPr>
              <w:t>环境风险</w:t>
            </w:r>
          </w:p>
        </w:tc>
        <w:tc>
          <w:tcPr>
            <w:tcW w:w="5246" w:type="dxa"/>
            <w:tcBorders>
              <w:top w:val="single" w:sz="6" w:space="0" w:color="000000"/>
              <w:left w:val="single" w:sz="6" w:space="0" w:color="000000"/>
              <w:right w:val="single" w:sz="6" w:space="0" w:color="000000"/>
            </w:tcBorders>
          </w:tcPr>
          <w:p>
            <w:pPr>
              <w:pStyle w:val="TableParagraph"/>
              <w:spacing w:before="44"/>
              <w:ind w:left="112"/>
              <w:jc w:val="left"/>
              <w:rPr>
                <w:rFonts w:ascii="宋体" w:hAnsi="宋体" w:eastAsia="宋体" w:hint="eastAsia"/>
                <w:sz w:val="21"/>
              </w:rPr>
            </w:pPr>
            <w:r>
              <w:rPr>
                <w:rFonts w:ascii="宋体" w:hAnsi="宋体" w:eastAsia="宋体" w:hint="eastAsia"/>
                <w:sz w:val="21"/>
              </w:rPr>
              <w:t>①加强运输管理；②加强废水事故防范措施；③加强臭</w:t>
            </w:r>
          </w:p>
          <w:p>
            <w:pPr>
              <w:pStyle w:val="TableParagraph"/>
              <w:spacing w:line="350" w:lineRule="atLeast" w:before="10"/>
              <w:ind w:left="112" w:right="42"/>
              <w:jc w:val="left"/>
              <w:rPr>
                <w:rFonts w:ascii="宋体" w:hAnsi="宋体" w:eastAsia="宋体" w:hint="eastAsia"/>
                <w:sz w:val="21"/>
              </w:rPr>
            </w:pPr>
            <w:r>
              <w:rPr>
                <w:rFonts w:ascii="宋体" w:hAnsi="宋体" w:eastAsia="宋体" w:hint="eastAsia"/>
                <w:sz w:val="21"/>
              </w:rPr>
              <w:t>气污染防范措施；④加强沼气安全利用；⑤加强瘟疫卫生预防；⑥编制环境应急预案。</w:t>
            </w:r>
          </w:p>
        </w:tc>
        <w:tc>
          <w:tcPr>
            <w:tcW w:w="2377" w:type="dxa"/>
            <w:tcBorders>
              <w:top w:val="single" w:sz="6" w:space="0" w:color="000000"/>
              <w:left w:val="single" w:sz="6" w:space="0" w:color="000000"/>
            </w:tcBorders>
          </w:tcPr>
          <w:p>
            <w:pPr>
              <w:pStyle w:val="TableParagraph"/>
              <w:spacing w:before="6"/>
              <w:jc w:val="left"/>
              <w:rPr>
                <w:rFonts w:ascii="宋体"/>
                <w:b/>
                <w:sz w:val="17"/>
              </w:rPr>
            </w:pPr>
          </w:p>
          <w:p>
            <w:pPr>
              <w:pStyle w:val="TableParagraph"/>
              <w:spacing w:line="321" w:lineRule="auto" w:before="0"/>
              <w:ind w:left="114" w:right="77"/>
              <w:jc w:val="left"/>
              <w:rPr>
                <w:rFonts w:ascii="宋体" w:eastAsia="宋体" w:hint="eastAsia"/>
                <w:sz w:val="21"/>
              </w:rPr>
            </w:pPr>
            <w:r>
              <w:rPr>
                <w:rFonts w:ascii="宋体" w:eastAsia="宋体" w:hint="eastAsia"/>
                <w:sz w:val="21"/>
              </w:rPr>
              <w:t>达到风险预防及控制要求。</w:t>
            </w:r>
          </w:p>
        </w:tc>
      </w:tr>
    </w:tbl>
    <w:p>
      <w:pPr>
        <w:pStyle w:val="ListParagraph"/>
        <w:numPr>
          <w:ilvl w:val="2"/>
          <w:numId w:val="111"/>
        </w:numPr>
        <w:tabs>
          <w:tab w:pos="838" w:val="left" w:leader="none"/>
        </w:tabs>
        <w:spacing w:line="240" w:lineRule="auto" w:before="91" w:after="0"/>
        <w:ind w:left="837" w:right="0" w:hanging="601"/>
        <w:jc w:val="both"/>
        <w:rPr>
          <w:b/>
          <w:sz w:val="24"/>
        </w:rPr>
      </w:pPr>
      <w:bookmarkStart w:name="_bookmark137" w:id="264"/>
      <w:bookmarkEnd w:id="264"/>
      <w:r>
        <w:rPr/>
      </w:r>
      <w:bookmarkStart w:name="_bookmark137" w:id="265"/>
      <w:bookmarkEnd w:id="265"/>
      <w:r>
        <w:rPr>
          <w:b/>
          <w:sz w:val="24"/>
        </w:rPr>
        <w:t>环境经济损益分析</w:t>
      </w:r>
    </w:p>
    <w:p>
      <w:pPr>
        <w:pStyle w:val="BodyText"/>
        <w:spacing w:line="364" w:lineRule="auto" w:before="161"/>
        <w:ind w:right="249" w:firstLine="480"/>
        <w:jc w:val="both"/>
      </w:pPr>
      <w:r>
        <w:rPr/>
        <w:t>项目通过采用先进的养殖工艺，能够节约能源消耗、降低生产成本。项目的实施在促进地方经济发展方面，具有良好的社会效益。市场前景良好，并有较好的赢利能力、清偿能力和抗风险能力，从社会经济角度看也是可行的。</w:t>
      </w:r>
    </w:p>
    <w:p>
      <w:pPr>
        <w:pStyle w:val="BodyText"/>
        <w:spacing w:line="364" w:lineRule="auto" w:before="2"/>
        <w:ind w:right="249" w:firstLine="480"/>
        <w:jc w:val="both"/>
      </w:pPr>
      <w:r>
        <w:rPr/>
        <w:t>项目在保证环保投资的前提下，能够达标排放，从环境成本比率、环境系数、环境代价等指标看，该项目环境代价和环保成本一般环境效益比较明显，从环境经济角度来看也是合理可行的。</w:t>
      </w:r>
    </w:p>
    <w:p>
      <w:pPr>
        <w:pStyle w:val="Heading3"/>
        <w:numPr>
          <w:ilvl w:val="2"/>
          <w:numId w:val="111"/>
        </w:numPr>
        <w:tabs>
          <w:tab w:pos="838" w:val="left" w:leader="none"/>
        </w:tabs>
        <w:spacing w:line="240" w:lineRule="auto" w:before="2" w:after="0"/>
        <w:ind w:left="837" w:right="0" w:hanging="601"/>
        <w:jc w:val="both"/>
      </w:pPr>
      <w:bookmarkStart w:name="_bookmark138" w:id="266"/>
      <w:bookmarkEnd w:id="266"/>
      <w:r>
        <w:rPr>
          <w:b w:val="0"/>
        </w:rPr>
      </w:r>
      <w:bookmarkStart w:name="_bookmark138" w:id="267"/>
      <w:bookmarkEnd w:id="267"/>
      <w:r>
        <w:rPr/>
        <w:t>环境管理与监测计划</w:t>
      </w:r>
    </w:p>
    <w:p>
      <w:pPr>
        <w:pStyle w:val="BodyText"/>
        <w:spacing w:line="364" w:lineRule="auto" w:before="161"/>
        <w:ind w:right="248" w:firstLine="480"/>
        <w:jc w:val="both"/>
      </w:pPr>
      <w:r>
        <w:rPr/>
        <w:t>本次环评主要就运营期的环境管理提出了相关要求，明确企业应建立健全环境管理机构，落实管理责任，做好规范管理。企业应建立监测制度，对污染物排放状况及其对周边环境质量的影响开展自行监测，保存原始监测记录，并公布监测结果；环境保护行</w:t>
      </w:r>
    </w:p>
    <w:p>
      <w:pPr>
        <w:spacing w:after="0" w:line="364" w:lineRule="auto"/>
        <w:jc w:val="both"/>
        <w:sectPr>
          <w:pgSz w:w="11910" w:h="16840"/>
          <w:pgMar w:header="874" w:footer="1004" w:top="1420" w:bottom="1200" w:left="1040" w:right="1160"/>
        </w:sectPr>
      </w:pPr>
    </w:p>
    <w:p>
      <w:pPr>
        <w:pStyle w:val="BodyText"/>
        <w:spacing w:before="92"/>
      </w:pPr>
      <w:r>
        <w:rPr/>
        <w:t>政主管部门应采用随机方式对企业进行日常监督性监测。</w:t>
      </w:r>
    </w:p>
    <w:p>
      <w:pPr>
        <w:pStyle w:val="Heading2"/>
        <w:numPr>
          <w:ilvl w:val="1"/>
          <w:numId w:val="111"/>
        </w:numPr>
        <w:tabs>
          <w:tab w:pos="730" w:val="left" w:leader="none"/>
        </w:tabs>
        <w:spacing w:line="240" w:lineRule="auto" w:before="211" w:after="0"/>
        <w:ind w:left="729" w:right="0" w:hanging="493"/>
        <w:jc w:val="left"/>
      </w:pPr>
      <w:bookmarkStart w:name="_bookmark139" w:id="268"/>
      <w:bookmarkEnd w:id="268"/>
      <w:r>
        <w:rPr>
          <w:b w:val="0"/>
        </w:rPr>
      </w:r>
      <w:bookmarkStart w:name="_bookmark139" w:id="269"/>
      <w:bookmarkEnd w:id="269"/>
      <w:r>
        <w:rPr/>
        <w:t>审批原则符合性分析</w:t>
      </w:r>
    </w:p>
    <w:p>
      <w:pPr>
        <w:pStyle w:val="Heading3"/>
        <w:spacing w:before="214"/>
      </w:pPr>
      <w:r>
        <w:rPr>
          <w:rFonts w:ascii="Times New Roman" w:hAnsi="Times New Roman" w:eastAsia="Times New Roman"/>
        </w:rPr>
        <w:t>1</w:t>
      </w:r>
      <w:r>
        <w:rPr/>
        <w:t>、《建设项目环境保护管理条例》</w:t>
      </w:r>
      <w:r>
        <w:rPr>
          <w:rFonts w:ascii="Times New Roman" w:hAnsi="Times New Roman" w:eastAsia="Times New Roman"/>
        </w:rPr>
        <w:t>“</w:t>
      </w:r>
      <w:r>
        <w:rPr/>
        <w:t>四性五不批</w:t>
      </w:r>
      <w:r>
        <w:rPr>
          <w:rFonts w:ascii="Times New Roman" w:hAnsi="Times New Roman" w:eastAsia="Times New Roman"/>
        </w:rPr>
        <w:t>”</w:t>
      </w:r>
      <w:r>
        <w:rPr/>
        <w:t>符合性分析</w:t>
      </w:r>
    </w:p>
    <w:p>
      <w:pPr>
        <w:pStyle w:val="BodyText"/>
        <w:spacing w:line="374" w:lineRule="auto" w:before="166"/>
        <w:ind w:right="252" w:firstLine="480"/>
        <w:jc w:val="both"/>
      </w:pPr>
      <w:r>
        <w:rPr/>
        <w:t>《建设项目环境保护管理条例》（</w:t>
      </w:r>
      <w:r>
        <w:rPr>
          <w:spacing w:val="-2"/>
        </w:rPr>
        <w:t>国务院令第 </w:t>
      </w:r>
      <w:r>
        <w:rPr>
          <w:rFonts w:ascii="Times New Roman" w:hAnsi="Times New Roman" w:eastAsia="Times New Roman"/>
          <w:position w:val="1"/>
        </w:rPr>
        <w:t>682 </w:t>
      </w:r>
      <w:r>
        <w:rPr/>
        <w:t>号）</w:t>
      </w:r>
      <w:r>
        <w:rPr>
          <w:spacing w:val="-3"/>
        </w:rPr>
        <w:t>中规定了环境保护行政主管</w:t>
      </w:r>
      <w:r>
        <w:rPr>
          <w:spacing w:val="-1"/>
        </w:rPr>
        <w:t>部门审批环境影响报告的重点审查内容及不予批准环评报告的几种情形，称为</w:t>
      </w:r>
      <w:r>
        <w:rPr>
          <w:rFonts w:ascii="Times New Roman" w:hAnsi="Times New Roman" w:eastAsia="Times New Roman"/>
          <w:position w:val="1"/>
        </w:rPr>
        <w:t>“</w:t>
      </w:r>
      <w:r>
        <w:rPr>
          <w:spacing w:val="-5"/>
        </w:rPr>
        <w:t>四性五不</w:t>
      </w:r>
      <w:r>
        <w:rPr/>
        <w:t>批</w:t>
      </w:r>
      <w:r>
        <w:rPr>
          <w:rFonts w:ascii="Times New Roman" w:hAnsi="Times New Roman" w:eastAsia="Times New Roman"/>
          <w:position w:val="1"/>
        </w:rPr>
        <w:t>”</w:t>
      </w:r>
      <w:r>
        <w:rPr>
          <w:spacing w:val="-5"/>
        </w:rPr>
        <w:t>，本项目符合性分析具体见表 </w:t>
      </w:r>
      <w:r>
        <w:rPr>
          <w:rFonts w:ascii="Times New Roman" w:hAnsi="Times New Roman" w:eastAsia="Times New Roman"/>
          <w:position w:val="1"/>
        </w:rPr>
        <w:t>9.2-1</w:t>
      </w:r>
      <w:r>
        <w:rPr/>
        <w:t>。</w:t>
      </w:r>
    </w:p>
    <w:p>
      <w:pPr>
        <w:pStyle w:val="Heading3"/>
        <w:spacing w:before="1"/>
        <w:ind w:left="2846"/>
        <w:jc w:val="both"/>
      </w:pPr>
      <w:r>
        <w:rPr/>
        <w:t>表 </w:t>
      </w:r>
      <w:r>
        <w:rPr>
          <w:rFonts w:ascii="Times New Roman" w:hAnsi="Times New Roman" w:eastAsia="Times New Roman"/>
        </w:rPr>
        <w:t>9.2-1 “</w:t>
      </w:r>
      <w:r>
        <w:rPr/>
        <w:t>四性五不批</w:t>
      </w:r>
      <w:r>
        <w:rPr>
          <w:rFonts w:ascii="Times New Roman" w:hAnsi="Times New Roman" w:eastAsia="Times New Roman"/>
        </w:rPr>
        <w:t>”</w:t>
      </w:r>
      <w:r>
        <w:rPr/>
        <w:t>要求符合性分析</w:t>
      </w:r>
    </w:p>
    <w:p>
      <w:pPr>
        <w:pStyle w:val="BodyText"/>
        <w:spacing w:before="9"/>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3500"/>
        <w:gridCol w:w="4014"/>
        <w:gridCol w:w="1381"/>
      </w:tblGrid>
      <w:tr>
        <w:trPr>
          <w:trHeight w:val="359" w:hRule="atLeast"/>
        </w:trPr>
        <w:tc>
          <w:tcPr>
            <w:tcW w:w="4038" w:type="dxa"/>
            <w:gridSpan w:val="2"/>
            <w:tcBorders>
              <w:bottom w:val="single" w:sz="6" w:space="0" w:color="000000"/>
              <w:right w:val="single" w:sz="6" w:space="0" w:color="000000"/>
            </w:tcBorders>
          </w:tcPr>
          <w:p>
            <w:pPr>
              <w:pStyle w:val="TableParagraph"/>
              <w:spacing w:before="44"/>
              <w:ind w:left="753"/>
              <w:jc w:val="left"/>
              <w:rPr>
                <w:rFonts w:ascii="宋体" w:eastAsia="宋体" w:hint="eastAsia"/>
                <w:b/>
                <w:sz w:val="21"/>
              </w:rPr>
            </w:pPr>
            <w:r>
              <w:rPr>
                <w:rFonts w:ascii="宋体" w:eastAsia="宋体" w:hint="eastAsia"/>
                <w:b/>
                <w:sz w:val="21"/>
              </w:rPr>
              <w:t>建设项目环境保护管理条例</w:t>
            </w:r>
          </w:p>
        </w:tc>
        <w:tc>
          <w:tcPr>
            <w:tcW w:w="4014" w:type="dxa"/>
            <w:tcBorders>
              <w:left w:val="single" w:sz="6" w:space="0" w:color="000000"/>
              <w:bottom w:val="single" w:sz="6" w:space="0" w:color="000000"/>
              <w:right w:val="single" w:sz="6" w:space="0" w:color="000000"/>
            </w:tcBorders>
          </w:tcPr>
          <w:p>
            <w:pPr>
              <w:pStyle w:val="TableParagraph"/>
              <w:spacing w:before="44"/>
              <w:ind w:left="1465" w:right="1438"/>
              <w:rPr>
                <w:rFonts w:ascii="宋体" w:eastAsia="宋体" w:hint="eastAsia"/>
                <w:b/>
                <w:sz w:val="21"/>
              </w:rPr>
            </w:pPr>
            <w:r>
              <w:rPr>
                <w:rFonts w:ascii="宋体" w:eastAsia="宋体" w:hint="eastAsia"/>
                <w:b/>
                <w:sz w:val="21"/>
              </w:rPr>
              <w:t>符合性分析</w:t>
            </w:r>
          </w:p>
        </w:tc>
        <w:tc>
          <w:tcPr>
            <w:tcW w:w="1381" w:type="dxa"/>
            <w:tcBorders>
              <w:left w:val="single" w:sz="6" w:space="0" w:color="000000"/>
              <w:bottom w:val="single" w:sz="6" w:space="0" w:color="000000"/>
            </w:tcBorders>
          </w:tcPr>
          <w:p>
            <w:pPr>
              <w:pStyle w:val="TableParagraph"/>
              <w:spacing w:before="44"/>
              <w:ind w:left="253" w:right="222"/>
              <w:rPr>
                <w:rFonts w:ascii="宋体" w:eastAsia="宋体" w:hint="eastAsia"/>
                <w:b/>
                <w:sz w:val="21"/>
              </w:rPr>
            </w:pPr>
            <w:r>
              <w:rPr>
                <w:rFonts w:ascii="宋体" w:eastAsia="宋体" w:hint="eastAsia"/>
                <w:b/>
                <w:sz w:val="21"/>
              </w:rPr>
              <w:t>是否符合</w:t>
            </w:r>
          </w:p>
        </w:tc>
      </w:tr>
      <w:tr>
        <w:trPr>
          <w:trHeight w:val="717" w:hRule="atLeast"/>
        </w:trPr>
        <w:tc>
          <w:tcPr>
            <w:tcW w:w="538"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4"/>
              <w:jc w:val="left"/>
              <w:rPr>
                <w:rFonts w:ascii="宋体"/>
                <w:b/>
                <w:sz w:val="17"/>
              </w:rPr>
            </w:pPr>
          </w:p>
          <w:p>
            <w:pPr>
              <w:pStyle w:val="TableParagraph"/>
              <w:spacing w:line="319" w:lineRule="auto" w:before="0"/>
              <w:ind w:left="162" w:right="139"/>
              <w:jc w:val="left"/>
              <w:rPr>
                <w:rFonts w:ascii="宋体" w:eastAsia="宋体" w:hint="eastAsia"/>
                <w:sz w:val="21"/>
              </w:rPr>
            </w:pPr>
            <w:r>
              <w:rPr>
                <w:rFonts w:ascii="宋体" w:eastAsia="宋体" w:hint="eastAsia"/>
                <w:sz w:val="21"/>
              </w:rPr>
              <w:t>四性</w:t>
            </w:r>
          </w:p>
        </w:tc>
        <w:tc>
          <w:tcPr>
            <w:tcW w:w="3500"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12"/>
              <w:jc w:val="left"/>
              <w:rPr>
                <w:rFonts w:ascii="宋体" w:eastAsia="宋体" w:hint="eastAsia"/>
                <w:sz w:val="21"/>
              </w:rPr>
            </w:pPr>
            <w:r>
              <w:rPr>
                <w:rFonts w:ascii="宋体" w:eastAsia="宋体" w:hint="eastAsia"/>
                <w:sz w:val="21"/>
              </w:rPr>
              <w:t>建设项目的环境可行性</w:t>
            </w:r>
          </w:p>
        </w:tc>
        <w:tc>
          <w:tcPr>
            <w:tcW w:w="4014"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jc w:val="left"/>
              <w:rPr>
                <w:rFonts w:ascii="宋体" w:eastAsia="宋体" w:hint="eastAsia"/>
                <w:sz w:val="21"/>
              </w:rPr>
            </w:pPr>
            <w:r>
              <w:rPr>
                <w:rFonts w:ascii="宋体" w:eastAsia="宋体" w:hint="eastAsia"/>
                <w:sz w:val="21"/>
              </w:rPr>
              <w:t>根据分析，项目符合总体规划和土地利用</w:t>
            </w:r>
          </w:p>
          <w:p>
            <w:pPr>
              <w:pStyle w:val="TableParagraph"/>
              <w:spacing w:before="91"/>
              <w:ind w:left="114"/>
              <w:jc w:val="left"/>
              <w:rPr>
                <w:rFonts w:ascii="宋体" w:eastAsia="宋体" w:hint="eastAsia"/>
                <w:sz w:val="21"/>
              </w:rPr>
            </w:pPr>
            <w:r>
              <w:rPr>
                <w:rFonts w:ascii="宋体" w:eastAsia="宋体" w:hint="eastAsia"/>
                <w:sz w:val="21"/>
              </w:rPr>
              <w:t>规划，选址可行。</w:t>
            </w:r>
          </w:p>
        </w:tc>
        <w:tc>
          <w:tcPr>
            <w:tcW w:w="1381" w:type="dxa"/>
            <w:tcBorders>
              <w:top w:val="single" w:sz="6" w:space="0" w:color="000000"/>
              <w:left w:val="single" w:sz="6" w:space="0" w:color="000000"/>
              <w:bottom w:val="single" w:sz="6" w:space="0" w:color="000000"/>
            </w:tcBorders>
          </w:tcPr>
          <w:p>
            <w:pPr>
              <w:pStyle w:val="TableParagraph"/>
              <w:spacing w:before="6"/>
              <w:jc w:val="left"/>
              <w:rPr>
                <w:rFonts w:ascii="宋体"/>
                <w:b/>
                <w:sz w:val="17"/>
              </w:rPr>
            </w:pPr>
          </w:p>
          <w:p>
            <w:pPr>
              <w:pStyle w:val="TableParagraph"/>
              <w:spacing w:before="0"/>
              <w:ind w:left="253" w:right="222"/>
              <w:rPr>
                <w:rFonts w:ascii="宋体" w:eastAsia="宋体" w:hint="eastAsia"/>
                <w:sz w:val="21"/>
              </w:rPr>
            </w:pPr>
            <w:r>
              <w:rPr>
                <w:rFonts w:ascii="宋体" w:eastAsia="宋体" w:hint="eastAsia"/>
                <w:sz w:val="21"/>
              </w:rPr>
              <w:t>符合</w:t>
            </w:r>
          </w:p>
        </w:tc>
      </w:tr>
      <w:tr>
        <w:trPr>
          <w:trHeight w:val="1077" w:hRule="atLeast"/>
        </w:trPr>
        <w:tc>
          <w:tcPr>
            <w:tcW w:w="538" w:type="dxa"/>
            <w:vMerge/>
            <w:tcBorders>
              <w:top w:val="nil"/>
              <w:bottom w:val="single" w:sz="6" w:space="0" w:color="000000"/>
              <w:right w:val="single" w:sz="6" w:space="0" w:color="000000"/>
            </w:tcBorders>
          </w:tcPr>
          <w:p>
            <w:pPr>
              <w:rPr>
                <w:sz w:val="2"/>
                <w:szCs w:val="2"/>
              </w:rPr>
            </w:pPr>
          </w:p>
        </w:tc>
        <w:tc>
          <w:tcPr>
            <w:tcW w:w="350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12"/>
              <w:jc w:val="left"/>
              <w:rPr>
                <w:rFonts w:ascii="宋体" w:eastAsia="宋体" w:hint="eastAsia"/>
                <w:sz w:val="21"/>
              </w:rPr>
            </w:pPr>
            <w:r>
              <w:rPr>
                <w:rFonts w:ascii="宋体" w:eastAsia="宋体" w:hint="eastAsia"/>
                <w:sz w:val="21"/>
              </w:rPr>
              <w:t>环境影响分析预测评估的可靠性</w:t>
            </w:r>
          </w:p>
        </w:tc>
        <w:tc>
          <w:tcPr>
            <w:tcW w:w="4014"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jc w:val="left"/>
              <w:rPr>
                <w:rFonts w:ascii="宋体" w:eastAsia="宋体" w:hint="eastAsia"/>
                <w:sz w:val="21"/>
              </w:rPr>
            </w:pPr>
            <w:r>
              <w:rPr>
                <w:rFonts w:ascii="宋体" w:eastAsia="宋体" w:hint="eastAsia"/>
                <w:spacing w:val="-1"/>
                <w:sz w:val="21"/>
              </w:rPr>
              <w:t>本项目地表水、地下水、环境空气、声环</w:t>
            </w:r>
          </w:p>
          <w:p>
            <w:pPr>
              <w:pStyle w:val="TableParagraph"/>
              <w:spacing w:line="350" w:lineRule="atLeast" w:before="10"/>
              <w:ind w:left="114" w:right="83"/>
              <w:jc w:val="left"/>
              <w:rPr>
                <w:rFonts w:ascii="宋体" w:eastAsia="宋体" w:hint="eastAsia"/>
                <w:sz w:val="21"/>
              </w:rPr>
            </w:pPr>
            <w:r>
              <w:rPr>
                <w:rFonts w:ascii="宋体" w:eastAsia="宋体" w:hint="eastAsia"/>
                <w:spacing w:val="-2"/>
                <w:sz w:val="21"/>
              </w:rPr>
              <w:t>境、生态环境、环境风险、土壤等环境要</w:t>
            </w:r>
            <w:r>
              <w:rPr>
                <w:rFonts w:ascii="宋体" w:eastAsia="宋体" w:hint="eastAsia"/>
                <w:spacing w:val="-3"/>
                <w:sz w:val="21"/>
              </w:rPr>
              <w:t>素的评价均严格依据相关导则要求进行。</w:t>
            </w:r>
          </w:p>
        </w:tc>
        <w:tc>
          <w:tcPr>
            <w:tcW w:w="1381"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8"/>
              <w:ind w:left="253" w:right="222"/>
              <w:rPr>
                <w:rFonts w:ascii="宋体" w:eastAsia="宋体" w:hint="eastAsia"/>
                <w:sz w:val="21"/>
              </w:rPr>
            </w:pPr>
            <w:r>
              <w:rPr>
                <w:rFonts w:ascii="宋体" w:eastAsia="宋体" w:hint="eastAsia"/>
                <w:sz w:val="21"/>
              </w:rPr>
              <w:t>符合</w:t>
            </w:r>
          </w:p>
        </w:tc>
      </w:tr>
      <w:tr>
        <w:trPr>
          <w:trHeight w:val="716" w:hRule="atLeast"/>
        </w:trPr>
        <w:tc>
          <w:tcPr>
            <w:tcW w:w="538" w:type="dxa"/>
            <w:vMerge/>
            <w:tcBorders>
              <w:top w:val="nil"/>
              <w:bottom w:val="single" w:sz="6" w:space="0" w:color="000000"/>
              <w:right w:val="single" w:sz="6" w:space="0" w:color="000000"/>
            </w:tcBorders>
          </w:tcPr>
          <w:p>
            <w:pPr>
              <w:rPr>
                <w:sz w:val="2"/>
                <w:szCs w:val="2"/>
              </w:rPr>
            </w:pPr>
          </w:p>
        </w:tc>
        <w:tc>
          <w:tcPr>
            <w:tcW w:w="3500" w:type="dxa"/>
            <w:tcBorders>
              <w:top w:val="single" w:sz="6" w:space="0" w:color="000000"/>
              <w:left w:val="single" w:sz="6" w:space="0" w:color="000000"/>
              <w:bottom w:val="single" w:sz="6" w:space="0" w:color="000000"/>
              <w:right w:val="single" w:sz="6" w:space="0" w:color="000000"/>
            </w:tcBorders>
          </w:tcPr>
          <w:p>
            <w:pPr>
              <w:pStyle w:val="TableParagraph"/>
              <w:spacing w:before="6"/>
              <w:jc w:val="left"/>
              <w:rPr>
                <w:rFonts w:ascii="宋体"/>
                <w:b/>
                <w:sz w:val="17"/>
              </w:rPr>
            </w:pPr>
          </w:p>
          <w:p>
            <w:pPr>
              <w:pStyle w:val="TableParagraph"/>
              <w:spacing w:before="0"/>
              <w:ind w:left="112"/>
              <w:jc w:val="left"/>
              <w:rPr>
                <w:rFonts w:ascii="宋体" w:eastAsia="宋体" w:hint="eastAsia"/>
                <w:sz w:val="21"/>
              </w:rPr>
            </w:pPr>
            <w:r>
              <w:rPr>
                <w:rFonts w:ascii="宋体" w:eastAsia="宋体" w:hint="eastAsia"/>
                <w:sz w:val="21"/>
              </w:rPr>
              <w:t>环境保护措施的有效性</w:t>
            </w:r>
          </w:p>
        </w:tc>
        <w:tc>
          <w:tcPr>
            <w:tcW w:w="4014"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jc w:val="left"/>
              <w:rPr>
                <w:rFonts w:ascii="宋体" w:eastAsia="宋体" w:hint="eastAsia"/>
                <w:sz w:val="21"/>
              </w:rPr>
            </w:pPr>
            <w:r>
              <w:rPr>
                <w:rFonts w:ascii="宋体" w:eastAsia="宋体" w:hint="eastAsia"/>
                <w:sz w:val="21"/>
              </w:rPr>
              <w:t>根据第 </w:t>
            </w:r>
            <w:r>
              <w:rPr>
                <w:sz w:val="21"/>
              </w:rPr>
              <w:t>6.2 </w:t>
            </w:r>
            <w:r>
              <w:rPr>
                <w:rFonts w:ascii="宋体" w:eastAsia="宋体" w:hint="eastAsia"/>
                <w:sz w:val="21"/>
              </w:rPr>
              <w:t>章的论述，本环评提出的各项</w:t>
            </w:r>
          </w:p>
          <w:p>
            <w:pPr>
              <w:pStyle w:val="TableParagraph"/>
              <w:spacing w:before="91"/>
              <w:ind w:left="114"/>
              <w:jc w:val="left"/>
              <w:rPr>
                <w:rFonts w:ascii="宋体" w:eastAsia="宋体" w:hint="eastAsia"/>
                <w:sz w:val="21"/>
              </w:rPr>
            </w:pPr>
            <w:r>
              <w:rPr>
                <w:rFonts w:ascii="宋体" w:eastAsia="宋体" w:hint="eastAsia"/>
                <w:sz w:val="21"/>
              </w:rPr>
              <w:t>环保措施均具有可行性。</w:t>
            </w:r>
          </w:p>
        </w:tc>
        <w:tc>
          <w:tcPr>
            <w:tcW w:w="1381" w:type="dxa"/>
            <w:tcBorders>
              <w:top w:val="single" w:sz="6" w:space="0" w:color="000000"/>
              <w:left w:val="single" w:sz="6" w:space="0" w:color="000000"/>
              <w:bottom w:val="single" w:sz="6" w:space="0" w:color="000000"/>
            </w:tcBorders>
          </w:tcPr>
          <w:p>
            <w:pPr>
              <w:pStyle w:val="TableParagraph"/>
              <w:spacing w:before="6"/>
              <w:jc w:val="left"/>
              <w:rPr>
                <w:rFonts w:ascii="宋体"/>
                <w:b/>
                <w:sz w:val="17"/>
              </w:rPr>
            </w:pPr>
          </w:p>
          <w:p>
            <w:pPr>
              <w:pStyle w:val="TableParagraph"/>
              <w:spacing w:before="0"/>
              <w:ind w:left="253" w:right="222"/>
              <w:rPr>
                <w:rFonts w:ascii="宋体" w:eastAsia="宋体" w:hint="eastAsia"/>
                <w:sz w:val="21"/>
              </w:rPr>
            </w:pPr>
            <w:r>
              <w:rPr>
                <w:rFonts w:ascii="宋体" w:eastAsia="宋体" w:hint="eastAsia"/>
                <w:sz w:val="21"/>
              </w:rPr>
              <w:t>符合</w:t>
            </w:r>
          </w:p>
        </w:tc>
      </w:tr>
      <w:tr>
        <w:trPr>
          <w:trHeight w:val="1077" w:hRule="atLeast"/>
        </w:trPr>
        <w:tc>
          <w:tcPr>
            <w:tcW w:w="538" w:type="dxa"/>
            <w:vMerge/>
            <w:tcBorders>
              <w:top w:val="nil"/>
              <w:bottom w:val="single" w:sz="6" w:space="0" w:color="000000"/>
              <w:right w:val="single" w:sz="6" w:space="0" w:color="000000"/>
            </w:tcBorders>
          </w:tcPr>
          <w:p>
            <w:pPr>
              <w:rPr>
                <w:sz w:val="2"/>
                <w:szCs w:val="2"/>
              </w:rPr>
            </w:pPr>
          </w:p>
        </w:tc>
        <w:tc>
          <w:tcPr>
            <w:tcW w:w="350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12"/>
              <w:jc w:val="left"/>
              <w:rPr>
                <w:rFonts w:ascii="宋体" w:eastAsia="宋体" w:hint="eastAsia"/>
                <w:sz w:val="21"/>
              </w:rPr>
            </w:pPr>
            <w:r>
              <w:rPr>
                <w:rFonts w:ascii="宋体" w:eastAsia="宋体" w:hint="eastAsia"/>
                <w:sz w:val="21"/>
              </w:rPr>
              <w:t>环境影响评价结论的科学性</w:t>
            </w:r>
          </w:p>
        </w:tc>
        <w:tc>
          <w:tcPr>
            <w:tcW w:w="4014"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right="-29"/>
              <w:jc w:val="left"/>
              <w:rPr>
                <w:rFonts w:ascii="宋体" w:eastAsia="宋体" w:hint="eastAsia"/>
                <w:sz w:val="21"/>
              </w:rPr>
            </w:pPr>
            <w:r>
              <w:rPr>
                <w:rFonts w:ascii="宋体" w:eastAsia="宋体" w:hint="eastAsia"/>
                <w:spacing w:val="-11"/>
                <w:sz w:val="21"/>
              </w:rPr>
              <w:t>本次评价结论客观、过程公开、评价公正，</w:t>
            </w:r>
          </w:p>
          <w:p>
            <w:pPr>
              <w:pStyle w:val="TableParagraph"/>
              <w:spacing w:line="350" w:lineRule="atLeast" w:before="10"/>
              <w:ind w:left="114" w:right="83"/>
              <w:jc w:val="left"/>
              <w:rPr>
                <w:rFonts w:ascii="宋体" w:eastAsia="宋体" w:hint="eastAsia"/>
                <w:sz w:val="21"/>
              </w:rPr>
            </w:pPr>
            <w:r>
              <w:rPr>
                <w:rFonts w:ascii="宋体" w:eastAsia="宋体" w:hint="eastAsia"/>
                <w:sz w:val="21"/>
              </w:rPr>
              <w:t>并综合考虑项目实施后对各种环境要素可能造成的影响，环评结论是科学的。</w:t>
            </w:r>
          </w:p>
        </w:tc>
        <w:tc>
          <w:tcPr>
            <w:tcW w:w="1381"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8"/>
              <w:ind w:left="253" w:right="222"/>
              <w:rPr>
                <w:rFonts w:ascii="宋体" w:eastAsia="宋体" w:hint="eastAsia"/>
                <w:sz w:val="21"/>
              </w:rPr>
            </w:pPr>
            <w:r>
              <w:rPr>
                <w:rFonts w:ascii="宋体" w:eastAsia="宋体" w:hint="eastAsia"/>
                <w:sz w:val="21"/>
              </w:rPr>
              <w:t>符合</w:t>
            </w:r>
          </w:p>
        </w:tc>
      </w:tr>
      <w:tr>
        <w:trPr>
          <w:trHeight w:val="343" w:hRule="atLeast"/>
        </w:trPr>
        <w:tc>
          <w:tcPr>
            <w:tcW w:w="538"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
              <w:jc w:val="left"/>
              <w:rPr>
                <w:rFonts w:ascii="宋体"/>
                <w:b/>
                <w:sz w:val="20"/>
              </w:rPr>
            </w:pPr>
          </w:p>
          <w:p>
            <w:pPr>
              <w:pStyle w:val="TableParagraph"/>
              <w:spacing w:line="319" w:lineRule="auto" w:before="0"/>
              <w:ind w:left="162" w:right="139"/>
              <w:jc w:val="both"/>
              <w:rPr>
                <w:rFonts w:ascii="宋体" w:eastAsia="宋体" w:hint="eastAsia"/>
                <w:sz w:val="21"/>
              </w:rPr>
            </w:pPr>
            <w:r>
              <w:rPr>
                <w:rFonts w:ascii="宋体" w:eastAsia="宋体" w:hint="eastAsia"/>
                <w:sz w:val="21"/>
              </w:rPr>
              <w:t>五不批</w:t>
            </w:r>
          </w:p>
        </w:tc>
        <w:tc>
          <w:tcPr>
            <w:tcW w:w="3500" w:type="dxa"/>
            <w:tcBorders>
              <w:top w:val="single" w:sz="6" w:space="0" w:color="000000"/>
              <w:left w:val="single" w:sz="6" w:space="0" w:color="000000"/>
              <w:bottom w:val="nil"/>
              <w:right w:val="single" w:sz="6" w:space="0" w:color="000000"/>
            </w:tcBorders>
          </w:tcPr>
          <w:p>
            <w:pPr>
              <w:pStyle w:val="TableParagraph"/>
              <w:spacing w:before="0"/>
              <w:jc w:val="left"/>
              <w:rPr>
                <w:sz w:val="20"/>
              </w:rPr>
            </w:pPr>
          </w:p>
        </w:tc>
        <w:tc>
          <w:tcPr>
            <w:tcW w:w="4014" w:type="dxa"/>
            <w:tcBorders>
              <w:top w:val="single" w:sz="6" w:space="0" w:color="000000"/>
              <w:left w:val="single" w:sz="6" w:space="0" w:color="000000"/>
              <w:bottom w:val="nil"/>
              <w:right w:val="single" w:sz="6" w:space="0" w:color="000000"/>
            </w:tcBorders>
          </w:tcPr>
          <w:p>
            <w:pPr>
              <w:pStyle w:val="TableParagraph"/>
              <w:spacing w:before="44"/>
              <w:ind w:left="114"/>
              <w:jc w:val="left"/>
              <w:rPr>
                <w:rFonts w:ascii="宋体" w:eastAsia="宋体" w:hint="eastAsia"/>
                <w:sz w:val="21"/>
              </w:rPr>
            </w:pPr>
            <w:r>
              <w:rPr>
                <w:rFonts w:ascii="宋体" w:eastAsia="宋体" w:hint="eastAsia"/>
                <w:sz w:val="21"/>
              </w:rPr>
              <w:t>该项目符合当地总体规划，符合国家、地</w:t>
            </w:r>
          </w:p>
        </w:tc>
        <w:tc>
          <w:tcPr>
            <w:tcW w:w="1381" w:type="dxa"/>
            <w:tcBorders>
              <w:top w:val="single" w:sz="6" w:space="0" w:color="000000"/>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0"/>
              <w:jc w:val="left"/>
              <w:rPr>
                <w:sz w:val="20"/>
              </w:rPr>
            </w:pPr>
          </w:p>
        </w:tc>
        <w:tc>
          <w:tcPr>
            <w:tcW w:w="4014" w:type="dxa"/>
            <w:tcBorders>
              <w:top w:val="nil"/>
              <w:left w:val="single" w:sz="6" w:space="0" w:color="000000"/>
              <w:bottom w:val="nil"/>
              <w:right w:val="single" w:sz="6" w:space="0" w:color="000000"/>
            </w:tcBorders>
          </w:tcPr>
          <w:p>
            <w:pPr>
              <w:pStyle w:val="TableParagraph"/>
              <w:spacing w:before="31"/>
              <w:ind w:left="114"/>
              <w:jc w:val="left"/>
              <w:rPr>
                <w:rFonts w:ascii="宋体" w:eastAsia="宋体" w:hint="eastAsia"/>
                <w:sz w:val="21"/>
              </w:rPr>
            </w:pPr>
            <w:r>
              <w:rPr>
                <w:rFonts w:ascii="宋体" w:eastAsia="宋体" w:hint="eastAsia"/>
                <w:sz w:val="21"/>
              </w:rPr>
              <w:t>方产业政策，项目营运过程中各污染物均</w:t>
            </w:r>
          </w:p>
        </w:tc>
        <w:tc>
          <w:tcPr>
            <w:tcW w:w="1381" w:type="dxa"/>
            <w:tcBorders>
              <w:top w:val="nil"/>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0"/>
              <w:jc w:val="left"/>
              <w:rPr>
                <w:sz w:val="20"/>
              </w:rPr>
            </w:pPr>
          </w:p>
        </w:tc>
        <w:tc>
          <w:tcPr>
            <w:tcW w:w="4014" w:type="dxa"/>
            <w:tcBorders>
              <w:top w:val="nil"/>
              <w:left w:val="single" w:sz="6" w:space="0" w:color="000000"/>
              <w:bottom w:val="nil"/>
              <w:right w:val="single" w:sz="6" w:space="0" w:color="000000"/>
            </w:tcBorders>
          </w:tcPr>
          <w:p>
            <w:pPr>
              <w:pStyle w:val="TableParagraph"/>
              <w:spacing w:before="29"/>
              <w:ind w:left="114"/>
              <w:jc w:val="left"/>
              <w:rPr>
                <w:rFonts w:ascii="宋体" w:eastAsia="宋体" w:hint="eastAsia"/>
                <w:sz w:val="21"/>
              </w:rPr>
            </w:pPr>
            <w:r>
              <w:rPr>
                <w:rFonts w:ascii="宋体" w:eastAsia="宋体" w:hint="eastAsia"/>
                <w:sz w:val="21"/>
              </w:rPr>
              <w:t>可得到有效控制并能做到达标排放，基本</w:t>
            </w:r>
          </w:p>
        </w:tc>
        <w:tc>
          <w:tcPr>
            <w:tcW w:w="1381" w:type="dxa"/>
            <w:tcBorders>
              <w:top w:val="nil"/>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31"/>
              <w:ind w:left="112" w:right="-29"/>
              <w:jc w:val="left"/>
              <w:rPr>
                <w:rFonts w:ascii="宋体" w:eastAsia="宋体" w:hint="eastAsia"/>
                <w:sz w:val="21"/>
              </w:rPr>
            </w:pPr>
            <w:r>
              <w:rPr>
                <w:rFonts w:ascii="宋体" w:eastAsia="宋体" w:hint="eastAsia"/>
                <w:sz w:val="21"/>
              </w:rPr>
              <w:t>（一</w:t>
            </w:r>
            <w:r>
              <w:rPr>
                <w:rFonts w:ascii="宋体" w:eastAsia="宋体" w:hint="eastAsia"/>
                <w:spacing w:val="-94"/>
                <w:sz w:val="21"/>
              </w:rPr>
              <w:t>）</w:t>
            </w:r>
            <w:r>
              <w:rPr>
                <w:rFonts w:ascii="宋体" w:eastAsia="宋体" w:hint="eastAsia"/>
                <w:spacing w:val="-12"/>
                <w:sz w:val="21"/>
              </w:rPr>
              <w:t>建设项目类型及其选址、布局、</w:t>
            </w:r>
          </w:p>
        </w:tc>
        <w:tc>
          <w:tcPr>
            <w:tcW w:w="4014" w:type="dxa"/>
            <w:tcBorders>
              <w:top w:val="nil"/>
              <w:left w:val="single" w:sz="6" w:space="0" w:color="000000"/>
              <w:bottom w:val="nil"/>
              <w:right w:val="single" w:sz="6" w:space="0" w:color="000000"/>
            </w:tcBorders>
          </w:tcPr>
          <w:p>
            <w:pPr>
              <w:pStyle w:val="TableParagraph"/>
              <w:spacing w:before="31"/>
              <w:ind w:left="114"/>
              <w:jc w:val="left"/>
              <w:rPr>
                <w:rFonts w:ascii="宋体" w:eastAsia="宋体" w:hint="eastAsia"/>
                <w:sz w:val="21"/>
              </w:rPr>
            </w:pPr>
            <w:r>
              <w:rPr>
                <w:rFonts w:ascii="宋体" w:eastAsia="宋体" w:hint="eastAsia"/>
                <w:sz w:val="21"/>
              </w:rPr>
              <w:t>符合清洁生产、总量控制和达标排放的原</w:t>
            </w:r>
          </w:p>
        </w:tc>
        <w:tc>
          <w:tcPr>
            <w:tcW w:w="1381" w:type="dxa"/>
            <w:tcBorders>
              <w:top w:val="nil"/>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29"/>
              <w:ind w:left="112"/>
              <w:jc w:val="left"/>
              <w:rPr>
                <w:rFonts w:ascii="宋体" w:eastAsia="宋体" w:hint="eastAsia"/>
                <w:sz w:val="21"/>
              </w:rPr>
            </w:pPr>
            <w:r>
              <w:rPr>
                <w:rFonts w:ascii="宋体" w:eastAsia="宋体" w:hint="eastAsia"/>
                <w:sz w:val="21"/>
              </w:rPr>
              <w:t>规模等不符合环境保护法律法规和</w:t>
            </w:r>
          </w:p>
        </w:tc>
        <w:tc>
          <w:tcPr>
            <w:tcW w:w="4014" w:type="dxa"/>
            <w:tcBorders>
              <w:top w:val="nil"/>
              <w:left w:val="single" w:sz="6" w:space="0" w:color="000000"/>
              <w:bottom w:val="nil"/>
              <w:right w:val="single" w:sz="6" w:space="0" w:color="000000"/>
            </w:tcBorders>
          </w:tcPr>
          <w:p>
            <w:pPr>
              <w:pStyle w:val="TableParagraph"/>
              <w:spacing w:before="29"/>
              <w:ind w:left="114"/>
              <w:jc w:val="left"/>
              <w:rPr>
                <w:rFonts w:ascii="宋体" w:eastAsia="宋体" w:hint="eastAsia"/>
                <w:sz w:val="21"/>
              </w:rPr>
            </w:pPr>
            <w:r>
              <w:rPr>
                <w:rFonts w:ascii="宋体" w:eastAsia="宋体" w:hint="eastAsia"/>
                <w:sz w:val="21"/>
              </w:rPr>
              <w:t>则，对环境影响不大，环境风险较小，项</w:t>
            </w:r>
          </w:p>
        </w:tc>
        <w:tc>
          <w:tcPr>
            <w:tcW w:w="1381" w:type="dxa"/>
            <w:tcBorders>
              <w:top w:val="nil"/>
              <w:left w:val="single" w:sz="6" w:space="0" w:color="000000"/>
              <w:bottom w:val="nil"/>
            </w:tcBorders>
          </w:tcPr>
          <w:p>
            <w:pPr>
              <w:pStyle w:val="TableParagraph"/>
              <w:spacing w:before="29"/>
              <w:ind w:left="253" w:right="222"/>
              <w:rPr>
                <w:rFonts w:ascii="宋体" w:eastAsia="宋体" w:hint="eastAsia"/>
                <w:sz w:val="21"/>
              </w:rPr>
            </w:pPr>
            <w:r>
              <w:rPr>
                <w:rFonts w:ascii="宋体" w:eastAsia="宋体" w:hint="eastAsia"/>
                <w:sz w:val="21"/>
              </w:rPr>
              <w:t>符合</w:t>
            </w: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31"/>
              <w:ind w:left="112"/>
              <w:jc w:val="left"/>
              <w:rPr>
                <w:rFonts w:ascii="宋体" w:eastAsia="宋体" w:hint="eastAsia"/>
                <w:sz w:val="21"/>
              </w:rPr>
            </w:pPr>
            <w:r>
              <w:rPr>
                <w:rFonts w:ascii="宋体" w:eastAsia="宋体" w:hint="eastAsia"/>
                <w:sz w:val="21"/>
              </w:rPr>
              <w:t>相关法定规划</w:t>
            </w:r>
          </w:p>
        </w:tc>
        <w:tc>
          <w:tcPr>
            <w:tcW w:w="4014" w:type="dxa"/>
            <w:tcBorders>
              <w:top w:val="nil"/>
              <w:left w:val="single" w:sz="6" w:space="0" w:color="000000"/>
              <w:bottom w:val="nil"/>
              <w:right w:val="single" w:sz="6" w:space="0" w:color="000000"/>
            </w:tcBorders>
          </w:tcPr>
          <w:p>
            <w:pPr>
              <w:pStyle w:val="TableParagraph"/>
              <w:spacing w:before="31"/>
              <w:ind w:left="114"/>
              <w:jc w:val="left"/>
              <w:rPr>
                <w:rFonts w:ascii="宋体" w:eastAsia="宋体" w:hint="eastAsia"/>
                <w:sz w:val="21"/>
              </w:rPr>
            </w:pPr>
            <w:r>
              <w:rPr>
                <w:rFonts w:ascii="宋体" w:eastAsia="宋体" w:hint="eastAsia"/>
                <w:sz w:val="21"/>
              </w:rPr>
              <w:t>目实施不会改变所在地的环境质量水平和</w:t>
            </w:r>
          </w:p>
        </w:tc>
        <w:tc>
          <w:tcPr>
            <w:tcW w:w="1381" w:type="dxa"/>
            <w:tcBorders>
              <w:top w:val="nil"/>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0"/>
              <w:jc w:val="left"/>
              <w:rPr>
                <w:sz w:val="20"/>
              </w:rPr>
            </w:pPr>
          </w:p>
        </w:tc>
        <w:tc>
          <w:tcPr>
            <w:tcW w:w="4014" w:type="dxa"/>
            <w:tcBorders>
              <w:top w:val="nil"/>
              <w:left w:val="single" w:sz="6" w:space="0" w:color="000000"/>
              <w:bottom w:val="nil"/>
              <w:right w:val="single" w:sz="6" w:space="0" w:color="000000"/>
            </w:tcBorders>
          </w:tcPr>
          <w:p>
            <w:pPr>
              <w:pStyle w:val="TableParagraph"/>
              <w:spacing w:before="29"/>
              <w:ind w:left="114"/>
              <w:jc w:val="left"/>
              <w:rPr>
                <w:rFonts w:ascii="宋体" w:eastAsia="宋体" w:hint="eastAsia"/>
                <w:sz w:val="21"/>
              </w:rPr>
            </w:pPr>
            <w:r>
              <w:rPr>
                <w:rFonts w:ascii="宋体" w:eastAsia="宋体" w:hint="eastAsia"/>
                <w:sz w:val="21"/>
              </w:rPr>
              <w:t>环境功能，可实现经济效益、社会效益、</w:t>
            </w:r>
          </w:p>
        </w:tc>
        <w:tc>
          <w:tcPr>
            <w:tcW w:w="1381" w:type="dxa"/>
            <w:tcBorders>
              <w:top w:val="nil"/>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0"/>
              <w:jc w:val="left"/>
              <w:rPr>
                <w:sz w:val="20"/>
              </w:rPr>
            </w:pPr>
          </w:p>
        </w:tc>
        <w:tc>
          <w:tcPr>
            <w:tcW w:w="4014" w:type="dxa"/>
            <w:tcBorders>
              <w:top w:val="nil"/>
              <w:left w:val="single" w:sz="6" w:space="0" w:color="000000"/>
              <w:bottom w:val="nil"/>
              <w:right w:val="single" w:sz="6" w:space="0" w:color="000000"/>
            </w:tcBorders>
          </w:tcPr>
          <w:p>
            <w:pPr>
              <w:pStyle w:val="TableParagraph"/>
              <w:spacing w:before="31"/>
              <w:ind w:left="114"/>
              <w:jc w:val="left"/>
              <w:rPr>
                <w:rFonts w:ascii="宋体" w:eastAsia="宋体" w:hint="eastAsia"/>
                <w:sz w:val="21"/>
              </w:rPr>
            </w:pPr>
            <w:r>
              <w:rPr>
                <w:rFonts w:ascii="宋体" w:eastAsia="宋体" w:hint="eastAsia"/>
                <w:sz w:val="21"/>
              </w:rPr>
              <w:t>环境效益的统一，符合环境保护法律法规</w:t>
            </w:r>
          </w:p>
        </w:tc>
        <w:tc>
          <w:tcPr>
            <w:tcW w:w="1381" w:type="dxa"/>
            <w:tcBorders>
              <w:top w:val="nil"/>
              <w:left w:val="single" w:sz="6" w:space="0" w:color="000000"/>
              <w:bottom w:val="nil"/>
            </w:tcBorders>
          </w:tcPr>
          <w:p>
            <w:pPr>
              <w:pStyle w:val="TableParagraph"/>
              <w:spacing w:before="0"/>
              <w:jc w:val="left"/>
              <w:rPr>
                <w:sz w:val="20"/>
              </w:rPr>
            </w:pPr>
          </w:p>
        </w:tc>
      </w:tr>
      <w:tr>
        <w:trPr>
          <w:trHeight w:val="33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single" w:sz="6" w:space="0" w:color="000000"/>
              <w:right w:val="single" w:sz="6" w:space="0" w:color="000000"/>
            </w:tcBorders>
          </w:tcPr>
          <w:p>
            <w:pPr>
              <w:pStyle w:val="TableParagraph"/>
              <w:spacing w:before="0"/>
              <w:jc w:val="left"/>
              <w:rPr>
                <w:sz w:val="20"/>
              </w:rPr>
            </w:pPr>
          </w:p>
        </w:tc>
        <w:tc>
          <w:tcPr>
            <w:tcW w:w="4014" w:type="dxa"/>
            <w:tcBorders>
              <w:top w:val="nil"/>
              <w:left w:val="single" w:sz="6" w:space="0" w:color="000000"/>
              <w:bottom w:val="single" w:sz="6" w:space="0" w:color="000000"/>
              <w:right w:val="single" w:sz="6" w:space="0" w:color="000000"/>
            </w:tcBorders>
          </w:tcPr>
          <w:p>
            <w:pPr>
              <w:pStyle w:val="TableParagraph"/>
              <w:spacing w:before="29"/>
              <w:ind w:left="114"/>
              <w:jc w:val="left"/>
              <w:rPr>
                <w:rFonts w:ascii="宋体" w:eastAsia="宋体" w:hint="eastAsia"/>
                <w:sz w:val="21"/>
              </w:rPr>
            </w:pPr>
            <w:r>
              <w:rPr>
                <w:rFonts w:ascii="宋体" w:eastAsia="宋体" w:hint="eastAsia"/>
                <w:sz w:val="21"/>
              </w:rPr>
              <w:t>和相关法定规划。</w:t>
            </w:r>
          </w:p>
        </w:tc>
        <w:tc>
          <w:tcPr>
            <w:tcW w:w="1381" w:type="dxa"/>
            <w:tcBorders>
              <w:top w:val="nil"/>
              <w:left w:val="single" w:sz="6" w:space="0" w:color="000000"/>
              <w:bottom w:val="single" w:sz="6" w:space="0" w:color="000000"/>
            </w:tcBorders>
          </w:tcPr>
          <w:p>
            <w:pPr>
              <w:pStyle w:val="TableParagraph"/>
              <w:spacing w:before="0"/>
              <w:jc w:val="left"/>
              <w:rPr>
                <w:sz w:val="20"/>
              </w:rPr>
            </w:pPr>
          </w:p>
        </w:tc>
      </w:tr>
      <w:tr>
        <w:trPr>
          <w:trHeight w:val="334" w:hRule="atLeast"/>
        </w:trPr>
        <w:tc>
          <w:tcPr>
            <w:tcW w:w="538" w:type="dxa"/>
            <w:vMerge/>
            <w:tcBorders>
              <w:top w:val="nil"/>
              <w:right w:val="single" w:sz="6" w:space="0" w:color="000000"/>
            </w:tcBorders>
          </w:tcPr>
          <w:p>
            <w:pPr>
              <w:rPr>
                <w:sz w:val="2"/>
                <w:szCs w:val="2"/>
              </w:rPr>
            </w:pPr>
          </w:p>
        </w:tc>
        <w:tc>
          <w:tcPr>
            <w:tcW w:w="3500" w:type="dxa"/>
            <w:tcBorders>
              <w:top w:val="single" w:sz="6" w:space="0" w:color="000000"/>
              <w:left w:val="single" w:sz="6" w:space="0" w:color="000000"/>
              <w:bottom w:val="nil"/>
              <w:right w:val="single" w:sz="6" w:space="0" w:color="000000"/>
            </w:tcBorders>
          </w:tcPr>
          <w:p>
            <w:pPr>
              <w:pStyle w:val="TableParagraph"/>
              <w:spacing w:before="0"/>
              <w:jc w:val="left"/>
              <w:rPr>
                <w:sz w:val="20"/>
              </w:rPr>
            </w:pPr>
          </w:p>
        </w:tc>
        <w:tc>
          <w:tcPr>
            <w:tcW w:w="4014" w:type="dxa"/>
            <w:tcBorders>
              <w:top w:val="single" w:sz="6" w:space="0" w:color="000000"/>
              <w:left w:val="single" w:sz="6" w:space="0" w:color="000000"/>
              <w:bottom w:val="nil"/>
              <w:right w:val="single" w:sz="6" w:space="0" w:color="000000"/>
            </w:tcBorders>
          </w:tcPr>
          <w:p>
            <w:pPr>
              <w:pStyle w:val="TableParagraph"/>
              <w:spacing w:before="36"/>
              <w:ind w:left="114"/>
              <w:jc w:val="left"/>
              <w:rPr>
                <w:rFonts w:ascii="宋体" w:eastAsia="宋体" w:hint="eastAsia"/>
                <w:sz w:val="21"/>
              </w:rPr>
            </w:pPr>
            <w:r>
              <w:rPr>
                <w:rFonts w:ascii="宋体" w:eastAsia="宋体" w:hint="eastAsia"/>
                <w:sz w:val="21"/>
              </w:rPr>
              <w:t>根据现状监测，项目周边特征空气因子、</w:t>
            </w:r>
          </w:p>
        </w:tc>
        <w:tc>
          <w:tcPr>
            <w:tcW w:w="1381" w:type="dxa"/>
            <w:tcBorders>
              <w:top w:val="single" w:sz="6" w:space="0" w:color="000000"/>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0"/>
              <w:jc w:val="left"/>
              <w:rPr>
                <w:sz w:val="20"/>
              </w:rPr>
            </w:pPr>
          </w:p>
        </w:tc>
        <w:tc>
          <w:tcPr>
            <w:tcW w:w="4014" w:type="dxa"/>
            <w:tcBorders>
              <w:top w:val="nil"/>
              <w:left w:val="single" w:sz="6" w:space="0" w:color="000000"/>
              <w:bottom w:val="nil"/>
              <w:right w:val="single" w:sz="6" w:space="0" w:color="000000"/>
            </w:tcBorders>
          </w:tcPr>
          <w:p>
            <w:pPr>
              <w:pStyle w:val="TableParagraph"/>
              <w:spacing w:before="29"/>
              <w:ind w:left="114"/>
              <w:jc w:val="left"/>
              <w:rPr>
                <w:rFonts w:ascii="宋体" w:eastAsia="宋体" w:hint="eastAsia"/>
                <w:sz w:val="21"/>
              </w:rPr>
            </w:pPr>
            <w:r>
              <w:rPr>
                <w:rFonts w:ascii="宋体" w:eastAsia="宋体" w:hint="eastAsia"/>
                <w:sz w:val="21"/>
              </w:rPr>
              <w:t>地表水、地下水、噪声、土壤等均能符合</w:t>
            </w:r>
          </w:p>
        </w:tc>
        <w:tc>
          <w:tcPr>
            <w:tcW w:w="1381" w:type="dxa"/>
            <w:tcBorders>
              <w:top w:val="nil"/>
              <w:left w:val="single" w:sz="6" w:space="0" w:color="000000"/>
              <w:bottom w:val="nil"/>
            </w:tcBorders>
          </w:tcPr>
          <w:p>
            <w:pPr>
              <w:pStyle w:val="TableParagraph"/>
              <w:spacing w:before="0"/>
              <w:jc w:val="left"/>
              <w:rPr>
                <w:sz w:val="20"/>
              </w:rPr>
            </w:pPr>
          </w:p>
        </w:tc>
      </w:tr>
      <w:tr>
        <w:trPr>
          <w:trHeight w:val="1046"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line="319" w:lineRule="auto" w:before="31"/>
              <w:ind w:left="112" w:right="84"/>
              <w:jc w:val="left"/>
              <w:rPr>
                <w:rFonts w:ascii="宋体" w:eastAsia="宋体" w:hint="eastAsia"/>
                <w:sz w:val="21"/>
              </w:rPr>
            </w:pPr>
            <w:r>
              <w:rPr>
                <w:rFonts w:ascii="宋体" w:eastAsia="宋体" w:hint="eastAsia"/>
                <w:sz w:val="21"/>
              </w:rPr>
              <w:t>（二</w:t>
            </w:r>
            <w:r>
              <w:rPr>
                <w:rFonts w:ascii="宋体" w:eastAsia="宋体" w:hint="eastAsia"/>
                <w:spacing w:val="-80"/>
                <w:sz w:val="21"/>
              </w:rPr>
              <w:t>）</w:t>
            </w:r>
            <w:r>
              <w:rPr>
                <w:rFonts w:ascii="宋体" w:eastAsia="宋体" w:hint="eastAsia"/>
                <w:spacing w:val="-4"/>
                <w:sz w:val="21"/>
              </w:rPr>
              <w:t>所在区域环境质量未达到国家</w:t>
            </w:r>
            <w:r>
              <w:rPr>
                <w:rFonts w:ascii="宋体" w:eastAsia="宋体" w:hint="eastAsia"/>
                <w:spacing w:val="-11"/>
                <w:sz w:val="21"/>
              </w:rPr>
              <w:t>或者地方环境质量标准，且建设项目</w:t>
            </w:r>
          </w:p>
          <w:p>
            <w:pPr>
              <w:pStyle w:val="TableParagraph"/>
              <w:spacing w:before="1"/>
              <w:ind w:left="112"/>
              <w:jc w:val="left"/>
              <w:rPr>
                <w:rFonts w:ascii="宋体" w:eastAsia="宋体" w:hint="eastAsia"/>
                <w:sz w:val="21"/>
              </w:rPr>
            </w:pPr>
            <w:r>
              <w:rPr>
                <w:rFonts w:ascii="宋体" w:eastAsia="宋体" w:hint="eastAsia"/>
                <w:spacing w:val="5"/>
                <w:sz w:val="21"/>
              </w:rPr>
              <w:t>拟采取的措施不能满足区域环境质</w:t>
            </w:r>
          </w:p>
        </w:tc>
        <w:tc>
          <w:tcPr>
            <w:tcW w:w="4014" w:type="dxa"/>
            <w:tcBorders>
              <w:top w:val="nil"/>
              <w:left w:val="single" w:sz="6" w:space="0" w:color="000000"/>
              <w:bottom w:val="nil"/>
              <w:right w:val="single" w:sz="6" w:space="0" w:color="000000"/>
            </w:tcBorders>
          </w:tcPr>
          <w:p>
            <w:pPr>
              <w:pStyle w:val="TableParagraph"/>
              <w:spacing w:before="31"/>
              <w:ind w:left="114"/>
              <w:jc w:val="left"/>
              <w:rPr>
                <w:rFonts w:ascii="宋体" w:eastAsia="宋体" w:hint="eastAsia"/>
                <w:sz w:val="21"/>
              </w:rPr>
            </w:pPr>
            <w:r>
              <w:rPr>
                <w:rFonts w:ascii="宋体" w:eastAsia="宋体" w:hint="eastAsia"/>
                <w:spacing w:val="-1"/>
                <w:sz w:val="21"/>
              </w:rPr>
              <w:t>相应的环境标准要求。常规环境空气因子</w:t>
            </w:r>
          </w:p>
          <w:p>
            <w:pPr>
              <w:pStyle w:val="TableParagraph"/>
              <w:spacing w:line="340" w:lineRule="exact" w:before="45"/>
              <w:ind w:left="114" w:right="80"/>
              <w:jc w:val="left"/>
              <w:rPr>
                <w:rFonts w:ascii="宋体" w:eastAsia="宋体" w:hint="eastAsia"/>
                <w:sz w:val="21"/>
              </w:rPr>
            </w:pPr>
            <w:r>
              <w:rPr>
                <w:rFonts w:ascii="宋体" w:eastAsia="宋体" w:hint="eastAsia"/>
                <w:spacing w:val="-7"/>
                <w:position w:val="2"/>
                <w:sz w:val="21"/>
              </w:rPr>
              <w:t>中存在超标现象的为 </w:t>
            </w:r>
            <w:r>
              <w:rPr>
                <w:position w:val="2"/>
                <w:sz w:val="21"/>
              </w:rPr>
              <w:t>PM</w:t>
            </w:r>
            <w:r>
              <w:rPr>
                <w:sz w:val="14"/>
              </w:rPr>
              <w:t>2.5</w:t>
            </w:r>
            <w:r>
              <w:rPr>
                <w:spacing w:val="3"/>
                <w:sz w:val="14"/>
              </w:rPr>
              <w:t> </w:t>
            </w:r>
            <w:r>
              <w:rPr>
                <w:rFonts w:ascii="宋体" w:eastAsia="宋体" w:hint="eastAsia"/>
                <w:spacing w:val="-20"/>
                <w:position w:val="2"/>
                <w:sz w:val="21"/>
              </w:rPr>
              <w:t>和 </w:t>
            </w:r>
            <w:r>
              <w:rPr>
                <w:position w:val="2"/>
                <w:sz w:val="21"/>
              </w:rPr>
              <w:t>O</w:t>
            </w:r>
            <w:r>
              <w:rPr>
                <w:sz w:val="14"/>
              </w:rPr>
              <w:t>3</w:t>
            </w:r>
            <w:r>
              <w:rPr>
                <w:rFonts w:ascii="宋体" w:eastAsia="宋体" w:hint="eastAsia"/>
                <w:spacing w:val="-5"/>
                <w:position w:val="2"/>
                <w:sz w:val="21"/>
              </w:rPr>
              <w:t>，柯桥区</w:t>
            </w:r>
            <w:r>
              <w:rPr>
                <w:rFonts w:ascii="宋体" w:eastAsia="宋体" w:hint="eastAsia"/>
                <w:spacing w:val="-2"/>
                <w:sz w:val="21"/>
              </w:rPr>
              <w:t>政府已编制有大气污染防治计划，会持续</w:t>
            </w:r>
          </w:p>
        </w:tc>
        <w:tc>
          <w:tcPr>
            <w:tcW w:w="1381" w:type="dxa"/>
            <w:tcBorders>
              <w:top w:val="nil"/>
              <w:left w:val="single" w:sz="6" w:space="0" w:color="000000"/>
              <w:bottom w:val="nil"/>
            </w:tcBorders>
          </w:tcPr>
          <w:p>
            <w:pPr>
              <w:pStyle w:val="TableParagraph"/>
              <w:spacing w:before="0"/>
              <w:jc w:val="left"/>
              <w:rPr>
                <w:rFonts w:ascii="宋体"/>
                <w:b/>
                <w:sz w:val="20"/>
              </w:rPr>
            </w:pPr>
          </w:p>
          <w:p>
            <w:pPr>
              <w:pStyle w:val="TableParagraph"/>
              <w:spacing w:before="4"/>
              <w:jc w:val="left"/>
              <w:rPr>
                <w:rFonts w:ascii="宋体"/>
                <w:b/>
                <w:sz w:val="24"/>
              </w:rPr>
            </w:pPr>
          </w:p>
          <w:p>
            <w:pPr>
              <w:pStyle w:val="TableParagraph"/>
              <w:spacing w:before="0"/>
              <w:ind w:left="253" w:right="222"/>
              <w:rPr>
                <w:rFonts w:ascii="宋体" w:eastAsia="宋体" w:hint="eastAsia"/>
                <w:sz w:val="21"/>
              </w:rPr>
            </w:pPr>
            <w:r>
              <w:rPr>
                <w:rFonts w:ascii="宋体" w:eastAsia="宋体" w:hint="eastAsia"/>
                <w:sz w:val="21"/>
              </w:rPr>
              <w:t>符合</w:t>
            </w: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29"/>
              <w:ind w:left="112"/>
              <w:jc w:val="left"/>
              <w:rPr>
                <w:rFonts w:ascii="宋体" w:eastAsia="宋体" w:hint="eastAsia"/>
                <w:sz w:val="21"/>
              </w:rPr>
            </w:pPr>
            <w:r>
              <w:rPr>
                <w:rFonts w:ascii="宋体" w:eastAsia="宋体" w:hint="eastAsia"/>
                <w:sz w:val="21"/>
              </w:rPr>
              <w:t>量改善目标管理要求</w:t>
            </w:r>
          </w:p>
        </w:tc>
        <w:tc>
          <w:tcPr>
            <w:tcW w:w="4014" w:type="dxa"/>
            <w:tcBorders>
              <w:top w:val="nil"/>
              <w:left w:val="single" w:sz="6" w:space="0" w:color="000000"/>
              <w:bottom w:val="nil"/>
              <w:right w:val="single" w:sz="6" w:space="0" w:color="000000"/>
            </w:tcBorders>
          </w:tcPr>
          <w:p>
            <w:pPr>
              <w:pStyle w:val="TableParagraph"/>
              <w:spacing w:before="29"/>
              <w:ind w:left="114"/>
              <w:jc w:val="left"/>
              <w:rPr>
                <w:rFonts w:ascii="宋体" w:eastAsia="宋体" w:hint="eastAsia"/>
                <w:sz w:val="21"/>
              </w:rPr>
            </w:pPr>
            <w:r>
              <w:rPr>
                <w:rFonts w:ascii="宋体" w:eastAsia="宋体" w:hint="eastAsia"/>
                <w:sz w:val="21"/>
              </w:rPr>
              <w:t>改善区域环境空气质量。本项目废气经处</w:t>
            </w:r>
          </w:p>
        </w:tc>
        <w:tc>
          <w:tcPr>
            <w:tcW w:w="1381" w:type="dxa"/>
            <w:tcBorders>
              <w:top w:val="nil"/>
              <w:left w:val="single" w:sz="6" w:space="0" w:color="000000"/>
              <w:bottom w:val="nil"/>
            </w:tcBorders>
          </w:tcPr>
          <w:p>
            <w:pPr>
              <w:pStyle w:val="TableParagraph"/>
              <w:spacing w:before="0"/>
              <w:jc w:val="left"/>
              <w:rPr>
                <w:sz w:val="20"/>
              </w:rPr>
            </w:pPr>
          </w:p>
        </w:tc>
      </w:tr>
      <w:tr>
        <w:trPr>
          <w:trHeight w:val="328"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bottom w:val="nil"/>
              <w:right w:val="single" w:sz="6" w:space="0" w:color="000000"/>
            </w:tcBorders>
          </w:tcPr>
          <w:p>
            <w:pPr>
              <w:pStyle w:val="TableParagraph"/>
              <w:spacing w:before="0"/>
              <w:jc w:val="left"/>
              <w:rPr>
                <w:sz w:val="20"/>
              </w:rPr>
            </w:pPr>
          </w:p>
        </w:tc>
        <w:tc>
          <w:tcPr>
            <w:tcW w:w="4014" w:type="dxa"/>
            <w:tcBorders>
              <w:top w:val="nil"/>
              <w:left w:val="single" w:sz="6" w:space="0" w:color="000000"/>
              <w:bottom w:val="nil"/>
              <w:right w:val="single" w:sz="6" w:space="0" w:color="000000"/>
            </w:tcBorders>
          </w:tcPr>
          <w:p>
            <w:pPr>
              <w:pStyle w:val="TableParagraph"/>
              <w:spacing w:before="31"/>
              <w:ind w:left="114"/>
              <w:jc w:val="left"/>
              <w:rPr>
                <w:rFonts w:ascii="宋体" w:eastAsia="宋体" w:hint="eastAsia"/>
                <w:sz w:val="21"/>
              </w:rPr>
            </w:pPr>
            <w:r>
              <w:rPr>
                <w:rFonts w:ascii="宋体" w:eastAsia="宋体" w:hint="eastAsia"/>
                <w:sz w:val="21"/>
              </w:rPr>
              <w:t>理后能实现达标排放；废水不直接排入环</w:t>
            </w:r>
          </w:p>
        </w:tc>
        <w:tc>
          <w:tcPr>
            <w:tcW w:w="1381" w:type="dxa"/>
            <w:tcBorders>
              <w:top w:val="nil"/>
              <w:left w:val="single" w:sz="6" w:space="0" w:color="000000"/>
              <w:bottom w:val="nil"/>
            </w:tcBorders>
          </w:tcPr>
          <w:p>
            <w:pPr>
              <w:pStyle w:val="TableParagraph"/>
              <w:spacing w:before="0"/>
              <w:jc w:val="left"/>
              <w:rPr>
                <w:sz w:val="20"/>
              </w:rPr>
            </w:pPr>
          </w:p>
        </w:tc>
      </w:tr>
      <w:tr>
        <w:trPr>
          <w:trHeight w:val="342" w:hRule="atLeast"/>
        </w:trPr>
        <w:tc>
          <w:tcPr>
            <w:tcW w:w="538" w:type="dxa"/>
            <w:vMerge/>
            <w:tcBorders>
              <w:top w:val="nil"/>
              <w:right w:val="single" w:sz="6" w:space="0" w:color="000000"/>
            </w:tcBorders>
          </w:tcPr>
          <w:p>
            <w:pPr>
              <w:rPr>
                <w:sz w:val="2"/>
                <w:szCs w:val="2"/>
              </w:rPr>
            </w:pPr>
          </w:p>
        </w:tc>
        <w:tc>
          <w:tcPr>
            <w:tcW w:w="3500" w:type="dxa"/>
            <w:tcBorders>
              <w:top w:val="nil"/>
              <w:left w:val="single" w:sz="6" w:space="0" w:color="000000"/>
              <w:right w:val="single" w:sz="6" w:space="0" w:color="000000"/>
            </w:tcBorders>
          </w:tcPr>
          <w:p>
            <w:pPr>
              <w:pStyle w:val="TableParagraph"/>
              <w:spacing w:before="0"/>
              <w:jc w:val="left"/>
              <w:rPr>
                <w:sz w:val="20"/>
              </w:rPr>
            </w:pPr>
          </w:p>
        </w:tc>
        <w:tc>
          <w:tcPr>
            <w:tcW w:w="4014" w:type="dxa"/>
            <w:tcBorders>
              <w:top w:val="nil"/>
              <w:left w:val="single" w:sz="6" w:space="0" w:color="000000"/>
              <w:right w:val="single" w:sz="6" w:space="0" w:color="000000"/>
            </w:tcBorders>
          </w:tcPr>
          <w:p>
            <w:pPr>
              <w:pStyle w:val="TableParagraph"/>
              <w:spacing w:before="29"/>
              <w:ind w:left="114"/>
              <w:jc w:val="left"/>
              <w:rPr>
                <w:rFonts w:ascii="宋体" w:eastAsia="宋体" w:hint="eastAsia"/>
                <w:sz w:val="21"/>
              </w:rPr>
            </w:pPr>
            <w:r>
              <w:rPr>
                <w:rFonts w:ascii="宋体" w:eastAsia="宋体" w:hint="eastAsia"/>
                <w:sz w:val="21"/>
              </w:rPr>
              <w:t>境，可维持区域环境质量现状。</w:t>
            </w:r>
          </w:p>
        </w:tc>
        <w:tc>
          <w:tcPr>
            <w:tcW w:w="1381" w:type="dxa"/>
            <w:tcBorders>
              <w:top w:val="nil"/>
              <w:left w:val="single" w:sz="6" w:space="0" w:color="000000"/>
            </w:tcBorders>
          </w:tcPr>
          <w:p>
            <w:pPr>
              <w:pStyle w:val="TableParagraph"/>
              <w:spacing w:before="0"/>
              <w:jc w:val="left"/>
              <w:rPr>
                <w:sz w:val="20"/>
              </w:rPr>
            </w:pPr>
          </w:p>
        </w:tc>
      </w:tr>
    </w:tbl>
    <w:p>
      <w:pPr>
        <w:spacing w:after="0"/>
        <w:jc w:val="left"/>
        <w:rPr>
          <w:sz w:val="20"/>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38"/>
        <w:gridCol w:w="3500"/>
        <w:gridCol w:w="4014"/>
        <w:gridCol w:w="1381"/>
      </w:tblGrid>
      <w:tr>
        <w:trPr>
          <w:trHeight w:val="359" w:hRule="atLeast"/>
        </w:trPr>
        <w:tc>
          <w:tcPr>
            <w:tcW w:w="4038" w:type="dxa"/>
            <w:gridSpan w:val="2"/>
            <w:tcBorders>
              <w:bottom w:val="single" w:sz="6" w:space="0" w:color="000000"/>
              <w:right w:val="single" w:sz="6" w:space="0" w:color="000000"/>
            </w:tcBorders>
          </w:tcPr>
          <w:p>
            <w:pPr>
              <w:pStyle w:val="TableParagraph"/>
              <w:spacing w:before="46"/>
              <w:ind w:left="753"/>
              <w:jc w:val="left"/>
              <w:rPr>
                <w:rFonts w:ascii="宋体" w:eastAsia="宋体" w:hint="eastAsia"/>
                <w:b/>
                <w:sz w:val="21"/>
              </w:rPr>
            </w:pPr>
            <w:r>
              <w:rPr>
                <w:rFonts w:ascii="宋体" w:eastAsia="宋体" w:hint="eastAsia"/>
                <w:b/>
                <w:sz w:val="21"/>
              </w:rPr>
              <w:t>建设项目环境保护管理条例</w:t>
            </w:r>
          </w:p>
        </w:tc>
        <w:tc>
          <w:tcPr>
            <w:tcW w:w="4014" w:type="dxa"/>
            <w:tcBorders>
              <w:left w:val="single" w:sz="6" w:space="0" w:color="000000"/>
              <w:bottom w:val="single" w:sz="6" w:space="0" w:color="000000"/>
              <w:right w:val="single" w:sz="6" w:space="0" w:color="000000"/>
            </w:tcBorders>
          </w:tcPr>
          <w:p>
            <w:pPr>
              <w:pStyle w:val="TableParagraph"/>
              <w:spacing w:before="46"/>
              <w:ind w:left="1465" w:right="1438"/>
              <w:rPr>
                <w:rFonts w:ascii="宋体" w:eastAsia="宋体" w:hint="eastAsia"/>
                <w:b/>
                <w:sz w:val="21"/>
              </w:rPr>
            </w:pPr>
            <w:r>
              <w:rPr>
                <w:rFonts w:ascii="宋体" w:eastAsia="宋体" w:hint="eastAsia"/>
                <w:b/>
                <w:sz w:val="21"/>
              </w:rPr>
              <w:t>符合性分析</w:t>
            </w:r>
          </w:p>
        </w:tc>
        <w:tc>
          <w:tcPr>
            <w:tcW w:w="1381" w:type="dxa"/>
            <w:tcBorders>
              <w:left w:val="single" w:sz="6" w:space="0" w:color="000000"/>
              <w:bottom w:val="single" w:sz="6" w:space="0" w:color="000000"/>
            </w:tcBorders>
          </w:tcPr>
          <w:p>
            <w:pPr>
              <w:pStyle w:val="TableParagraph"/>
              <w:spacing w:before="46"/>
              <w:ind w:left="253" w:right="222"/>
              <w:rPr>
                <w:rFonts w:ascii="宋体" w:eastAsia="宋体" w:hint="eastAsia"/>
                <w:b/>
                <w:sz w:val="21"/>
              </w:rPr>
            </w:pPr>
            <w:r>
              <w:rPr>
                <w:rFonts w:ascii="宋体" w:eastAsia="宋体" w:hint="eastAsia"/>
                <w:b/>
                <w:sz w:val="21"/>
              </w:rPr>
              <w:t>是否符合</w:t>
            </w:r>
          </w:p>
        </w:tc>
      </w:tr>
      <w:tr>
        <w:trPr>
          <w:trHeight w:val="1427" w:hRule="atLeast"/>
        </w:trPr>
        <w:tc>
          <w:tcPr>
            <w:tcW w:w="538" w:type="dxa"/>
            <w:vMerge w:val="restart"/>
            <w:tcBorders>
              <w:top w:val="single" w:sz="6" w:space="0" w:color="000000"/>
              <w:right w:val="single" w:sz="6" w:space="0" w:color="000000"/>
            </w:tcBorders>
          </w:tcPr>
          <w:p>
            <w:pPr>
              <w:pStyle w:val="TableParagraph"/>
              <w:spacing w:before="0"/>
              <w:jc w:val="left"/>
              <w:rPr>
                <w:sz w:val="22"/>
              </w:rPr>
            </w:pPr>
          </w:p>
        </w:tc>
        <w:tc>
          <w:tcPr>
            <w:tcW w:w="3500"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12" w:right="84"/>
              <w:jc w:val="both"/>
              <w:rPr>
                <w:rFonts w:ascii="宋体" w:eastAsia="宋体" w:hint="eastAsia"/>
                <w:sz w:val="21"/>
              </w:rPr>
            </w:pPr>
            <w:r>
              <w:rPr>
                <w:rFonts w:ascii="宋体" w:eastAsia="宋体" w:hint="eastAsia"/>
                <w:sz w:val="21"/>
              </w:rPr>
              <w:t>（三</w:t>
            </w:r>
            <w:r>
              <w:rPr>
                <w:rFonts w:ascii="宋体" w:eastAsia="宋体" w:hint="eastAsia"/>
                <w:spacing w:val="-80"/>
                <w:sz w:val="21"/>
              </w:rPr>
              <w:t>）</w:t>
            </w:r>
            <w:r>
              <w:rPr>
                <w:rFonts w:ascii="宋体" w:eastAsia="宋体" w:hint="eastAsia"/>
                <w:spacing w:val="-4"/>
                <w:sz w:val="21"/>
              </w:rPr>
              <w:t>建设项目采取的污染防治措施</w:t>
            </w:r>
            <w:r>
              <w:rPr>
                <w:rFonts w:ascii="宋体" w:eastAsia="宋体" w:hint="eastAsia"/>
                <w:spacing w:val="5"/>
                <w:sz w:val="21"/>
              </w:rPr>
              <w:t>无法确保污染物排放达到国家和地</w:t>
            </w:r>
            <w:r>
              <w:rPr>
                <w:rFonts w:ascii="宋体" w:eastAsia="宋体" w:hint="eastAsia"/>
                <w:spacing w:val="-11"/>
                <w:sz w:val="21"/>
              </w:rPr>
              <w:t>方排放标准，或者未采取必要措施预</w:t>
            </w:r>
          </w:p>
          <w:p>
            <w:pPr>
              <w:pStyle w:val="TableParagraph"/>
              <w:spacing w:before="4"/>
              <w:ind w:left="112"/>
              <w:jc w:val="left"/>
              <w:rPr>
                <w:rFonts w:ascii="宋体" w:eastAsia="宋体" w:hint="eastAsia"/>
                <w:sz w:val="21"/>
              </w:rPr>
            </w:pPr>
            <w:r>
              <w:rPr>
                <w:rFonts w:ascii="宋体" w:eastAsia="宋体" w:hint="eastAsia"/>
                <w:sz w:val="21"/>
              </w:rPr>
              <w:t>防和控制生态破坏</w:t>
            </w:r>
          </w:p>
        </w:tc>
        <w:tc>
          <w:tcPr>
            <w:tcW w:w="4014"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line="319" w:lineRule="auto" w:before="148"/>
              <w:ind w:left="114" w:right="83"/>
              <w:jc w:val="left"/>
              <w:rPr>
                <w:rFonts w:ascii="宋体" w:eastAsia="宋体" w:hint="eastAsia"/>
                <w:sz w:val="21"/>
              </w:rPr>
            </w:pPr>
            <w:r>
              <w:rPr>
                <w:rFonts w:ascii="宋体" w:eastAsia="宋体" w:hint="eastAsia"/>
                <w:sz w:val="21"/>
              </w:rPr>
              <w:t>项目营运期各类污染源均可得到有效控制并能做到达标排放。</w:t>
            </w:r>
          </w:p>
        </w:tc>
        <w:tc>
          <w:tcPr>
            <w:tcW w:w="1381"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5"/>
              <w:jc w:val="left"/>
              <w:rPr>
                <w:rFonts w:ascii="宋体"/>
                <w:b/>
                <w:sz w:val="25"/>
              </w:rPr>
            </w:pPr>
          </w:p>
          <w:p>
            <w:pPr>
              <w:pStyle w:val="TableParagraph"/>
              <w:spacing w:before="0"/>
              <w:ind w:left="253" w:right="222"/>
              <w:rPr>
                <w:rFonts w:ascii="宋体" w:eastAsia="宋体" w:hint="eastAsia"/>
                <w:sz w:val="21"/>
              </w:rPr>
            </w:pPr>
            <w:r>
              <w:rPr>
                <w:rFonts w:ascii="宋体" w:eastAsia="宋体" w:hint="eastAsia"/>
                <w:sz w:val="21"/>
              </w:rPr>
              <w:t>符合</w:t>
            </w:r>
          </w:p>
        </w:tc>
      </w:tr>
      <w:tr>
        <w:trPr>
          <w:trHeight w:val="1062" w:hRule="atLeast"/>
        </w:trPr>
        <w:tc>
          <w:tcPr>
            <w:tcW w:w="538" w:type="dxa"/>
            <w:vMerge/>
            <w:tcBorders>
              <w:top w:val="nil"/>
              <w:right w:val="single" w:sz="6" w:space="0" w:color="000000"/>
            </w:tcBorders>
          </w:tcPr>
          <w:p>
            <w:pPr>
              <w:rPr>
                <w:sz w:val="2"/>
                <w:szCs w:val="2"/>
              </w:rPr>
            </w:pPr>
          </w:p>
        </w:tc>
        <w:tc>
          <w:tcPr>
            <w:tcW w:w="3500" w:type="dxa"/>
            <w:tcBorders>
              <w:top w:val="single" w:sz="6" w:space="0" w:color="000000"/>
              <w:left w:val="single" w:sz="6" w:space="0" w:color="000000"/>
              <w:bottom w:val="single" w:sz="6" w:space="0" w:color="000000"/>
              <w:right w:val="single" w:sz="6" w:space="0" w:color="000000"/>
            </w:tcBorders>
          </w:tcPr>
          <w:p>
            <w:pPr>
              <w:pStyle w:val="TableParagraph"/>
              <w:spacing w:before="36"/>
              <w:ind w:left="112"/>
              <w:jc w:val="left"/>
              <w:rPr>
                <w:rFonts w:ascii="宋体" w:eastAsia="宋体" w:hint="eastAsia"/>
                <w:sz w:val="21"/>
              </w:rPr>
            </w:pPr>
            <w:r>
              <w:rPr>
                <w:rFonts w:ascii="宋体" w:eastAsia="宋体" w:hint="eastAsia"/>
                <w:sz w:val="21"/>
              </w:rPr>
              <w:t>（四）改建、扩建和技术改造项目，</w:t>
            </w:r>
          </w:p>
          <w:p>
            <w:pPr>
              <w:pStyle w:val="TableParagraph"/>
              <w:spacing w:line="350" w:lineRule="atLeast" w:before="10"/>
              <w:ind w:left="112" w:right="89"/>
              <w:jc w:val="left"/>
              <w:rPr>
                <w:rFonts w:ascii="宋体" w:eastAsia="宋体" w:hint="eastAsia"/>
                <w:sz w:val="21"/>
              </w:rPr>
            </w:pPr>
            <w:r>
              <w:rPr>
                <w:rFonts w:ascii="宋体" w:eastAsia="宋体" w:hint="eastAsia"/>
                <w:sz w:val="21"/>
              </w:rPr>
              <w:t>未针对项目原有环境污染和生态破坏提出有效防治措施</w:t>
            </w:r>
          </w:p>
        </w:tc>
        <w:tc>
          <w:tcPr>
            <w:tcW w:w="4014"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6"/>
              </w:rPr>
            </w:pPr>
          </w:p>
          <w:p>
            <w:pPr>
              <w:pStyle w:val="TableParagraph"/>
              <w:spacing w:line="321" w:lineRule="auto" w:before="0"/>
              <w:ind w:left="114" w:right="82"/>
              <w:jc w:val="left"/>
              <w:rPr>
                <w:rFonts w:ascii="宋体" w:eastAsia="宋体" w:hint="eastAsia"/>
                <w:sz w:val="21"/>
              </w:rPr>
            </w:pPr>
            <w:r>
              <w:rPr>
                <w:rFonts w:ascii="宋体" w:eastAsia="宋体" w:hint="eastAsia"/>
                <w:sz w:val="21"/>
              </w:rPr>
              <w:t>本项目为新建项目，不存在原有环境污染和生态破坏。</w:t>
            </w:r>
          </w:p>
        </w:tc>
        <w:tc>
          <w:tcPr>
            <w:tcW w:w="1381"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0"/>
              <w:ind w:left="253" w:right="222"/>
              <w:rPr>
                <w:rFonts w:ascii="宋体" w:eastAsia="宋体" w:hint="eastAsia"/>
                <w:sz w:val="21"/>
              </w:rPr>
            </w:pPr>
            <w:r>
              <w:rPr>
                <w:rFonts w:ascii="宋体" w:eastAsia="宋体" w:hint="eastAsia"/>
                <w:sz w:val="21"/>
              </w:rPr>
              <w:t>符合</w:t>
            </w:r>
          </w:p>
        </w:tc>
      </w:tr>
      <w:tr>
        <w:trPr>
          <w:trHeight w:val="1785" w:hRule="atLeast"/>
        </w:trPr>
        <w:tc>
          <w:tcPr>
            <w:tcW w:w="538" w:type="dxa"/>
            <w:vMerge/>
            <w:tcBorders>
              <w:top w:val="nil"/>
              <w:right w:val="single" w:sz="6" w:space="0" w:color="000000"/>
            </w:tcBorders>
          </w:tcPr>
          <w:p>
            <w:pPr>
              <w:rPr>
                <w:sz w:val="2"/>
                <w:szCs w:val="2"/>
              </w:rPr>
            </w:pPr>
          </w:p>
        </w:tc>
        <w:tc>
          <w:tcPr>
            <w:tcW w:w="3500" w:type="dxa"/>
            <w:tcBorders>
              <w:top w:val="single" w:sz="6" w:space="0" w:color="000000"/>
              <w:left w:val="single" w:sz="6" w:space="0" w:color="000000"/>
              <w:right w:val="single" w:sz="6" w:space="0" w:color="000000"/>
            </w:tcBorders>
          </w:tcPr>
          <w:p>
            <w:pPr>
              <w:pStyle w:val="TableParagraph"/>
              <w:spacing w:line="321" w:lineRule="auto" w:before="36"/>
              <w:ind w:left="112" w:right="5"/>
              <w:jc w:val="left"/>
              <w:rPr>
                <w:rFonts w:ascii="宋体" w:eastAsia="宋体" w:hint="eastAsia"/>
                <w:sz w:val="21"/>
              </w:rPr>
            </w:pPr>
            <w:r>
              <w:rPr>
                <w:rFonts w:ascii="宋体" w:eastAsia="宋体" w:hint="eastAsia"/>
                <w:sz w:val="21"/>
              </w:rPr>
              <w:t>（五）建设项目的环境影响报告书、环境影响报告表的基础资料数据明显不实，内容存在重大缺陷、遗漏， 或者环境影响评价结论不明确、不合</w:t>
            </w:r>
          </w:p>
          <w:p>
            <w:pPr>
              <w:pStyle w:val="TableParagraph"/>
              <w:spacing w:line="263" w:lineRule="exact" w:before="0"/>
              <w:ind w:left="112"/>
              <w:jc w:val="left"/>
              <w:rPr>
                <w:rFonts w:ascii="宋体" w:eastAsia="宋体" w:hint="eastAsia"/>
                <w:sz w:val="21"/>
              </w:rPr>
            </w:pPr>
            <w:r>
              <w:rPr>
                <w:rFonts w:ascii="宋体" w:eastAsia="宋体" w:hint="eastAsia"/>
                <w:sz w:val="21"/>
              </w:rPr>
              <w:t>理。</w:t>
            </w:r>
          </w:p>
        </w:tc>
        <w:tc>
          <w:tcPr>
            <w:tcW w:w="4014" w:type="dxa"/>
            <w:tcBorders>
              <w:top w:val="single" w:sz="6" w:space="0" w:color="000000"/>
              <w:left w:val="single" w:sz="6" w:space="0" w:color="000000"/>
              <w:right w:val="single" w:sz="6" w:space="0" w:color="000000"/>
            </w:tcBorders>
          </w:tcPr>
          <w:p>
            <w:pPr>
              <w:pStyle w:val="TableParagraph"/>
              <w:spacing w:before="0"/>
              <w:jc w:val="left"/>
              <w:rPr>
                <w:rFonts w:ascii="宋体"/>
                <w:b/>
                <w:sz w:val="20"/>
              </w:rPr>
            </w:pPr>
          </w:p>
          <w:p>
            <w:pPr>
              <w:pStyle w:val="TableParagraph"/>
              <w:spacing w:line="319" w:lineRule="auto" w:before="140"/>
              <w:ind w:left="114" w:right="83"/>
              <w:jc w:val="both"/>
              <w:rPr>
                <w:rFonts w:ascii="宋体" w:eastAsia="宋体" w:hint="eastAsia"/>
                <w:sz w:val="21"/>
              </w:rPr>
            </w:pPr>
            <w:r>
              <w:rPr>
                <w:rFonts w:ascii="宋体" w:eastAsia="宋体" w:hint="eastAsia"/>
                <w:sz w:val="21"/>
              </w:rPr>
              <w:t>本建设项目环境影响报告书的基础资料数据真实可靠，内容不存在缺陷、遗漏，环境影响评价结论明确、合理。</w:t>
            </w:r>
          </w:p>
        </w:tc>
        <w:tc>
          <w:tcPr>
            <w:tcW w:w="1381" w:type="dxa"/>
            <w:tcBorders>
              <w:top w:val="single" w:sz="6" w:space="0" w:color="000000"/>
              <w:lef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1"/>
              <w:jc w:val="left"/>
              <w:rPr>
                <w:rFonts w:ascii="宋体"/>
                <w:b/>
                <w:sz w:val="18"/>
              </w:rPr>
            </w:pPr>
          </w:p>
          <w:p>
            <w:pPr>
              <w:pStyle w:val="TableParagraph"/>
              <w:spacing w:before="0"/>
              <w:ind w:left="253" w:right="222"/>
              <w:rPr>
                <w:rFonts w:ascii="宋体" w:eastAsia="宋体" w:hint="eastAsia"/>
                <w:sz w:val="21"/>
              </w:rPr>
            </w:pPr>
            <w:r>
              <w:rPr>
                <w:rFonts w:ascii="宋体" w:eastAsia="宋体" w:hint="eastAsia"/>
                <w:sz w:val="21"/>
              </w:rPr>
              <w:t>符合</w:t>
            </w:r>
          </w:p>
        </w:tc>
      </w:tr>
    </w:tbl>
    <w:p>
      <w:pPr>
        <w:spacing w:before="94"/>
        <w:ind w:left="719" w:right="0" w:firstLine="0"/>
        <w:jc w:val="left"/>
        <w:rPr>
          <w:b/>
          <w:sz w:val="24"/>
        </w:rPr>
      </w:pPr>
      <w:r>
        <w:rPr>
          <w:rFonts w:ascii="Times New Roman" w:eastAsia="Times New Roman"/>
          <w:b/>
          <w:sz w:val="24"/>
        </w:rPr>
        <w:t>2</w:t>
      </w:r>
      <w:r>
        <w:rPr>
          <w:b/>
          <w:sz w:val="24"/>
        </w:rPr>
        <w:t>、建设项目环评审批原则符合性分析</w:t>
      </w:r>
    </w:p>
    <w:p>
      <w:pPr>
        <w:pStyle w:val="ListParagraph"/>
        <w:numPr>
          <w:ilvl w:val="0"/>
          <w:numId w:val="112"/>
        </w:numPr>
        <w:tabs>
          <w:tab w:pos="1323" w:val="left" w:leader="none"/>
        </w:tabs>
        <w:spacing w:line="364" w:lineRule="auto" w:before="160" w:after="0"/>
        <w:ind w:left="717" w:right="252" w:firstLine="2"/>
        <w:jc w:val="left"/>
        <w:rPr>
          <w:sz w:val="24"/>
        </w:rPr>
      </w:pPr>
      <w:r>
        <w:rPr>
          <w:b/>
          <w:sz w:val="24"/>
        </w:rPr>
        <w:t>建设项目符合</w:t>
      </w:r>
      <w:r>
        <w:rPr>
          <w:rFonts w:ascii="Times New Roman" w:hAnsi="Times New Roman" w:eastAsia="Times New Roman"/>
          <w:b/>
          <w:sz w:val="24"/>
        </w:rPr>
        <w:t>“</w:t>
      </w:r>
      <w:r>
        <w:rPr>
          <w:b/>
          <w:sz w:val="24"/>
        </w:rPr>
        <w:t>三线一单</w:t>
      </w:r>
      <w:r>
        <w:rPr>
          <w:rFonts w:ascii="Times New Roman" w:hAnsi="Times New Roman" w:eastAsia="Times New Roman"/>
          <w:b/>
          <w:sz w:val="24"/>
        </w:rPr>
        <w:t>”</w:t>
      </w:r>
      <w:r>
        <w:rPr>
          <w:b/>
          <w:sz w:val="24"/>
        </w:rPr>
        <w:t>生态环境分区管控（代替环境功能区规划）的要求</w:t>
      </w:r>
      <w:r>
        <w:rPr>
          <w:sz w:val="24"/>
        </w:rPr>
        <w:t>根据《绍兴市</w:t>
      </w:r>
      <w:r>
        <w:rPr>
          <w:rFonts w:ascii="Times New Roman" w:hAnsi="Times New Roman" w:eastAsia="Times New Roman"/>
          <w:position w:val="1"/>
          <w:sz w:val="24"/>
        </w:rPr>
        <w:t>“</w:t>
      </w:r>
      <w:r>
        <w:rPr>
          <w:sz w:val="24"/>
        </w:rPr>
        <w:t>三线一单</w:t>
      </w:r>
      <w:r>
        <w:rPr>
          <w:rFonts w:ascii="Times New Roman" w:hAnsi="Times New Roman" w:eastAsia="Times New Roman"/>
          <w:position w:val="1"/>
          <w:sz w:val="24"/>
        </w:rPr>
        <w:t>”</w:t>
      </w:r>
      <w:r>
        <w:rPr>
          <w:sz w:val="24"/>
        </w:rPr>
        <w:t>生态环境分区管控方案》，本项目拟建址位于</w:t>
      </w:r>
      <w:r>
        <w:rPr>
          <w:rFonts w:ascii="Times New Roman" w:hAnsi="Times New Roman" w:eastAsia="Times New Roman"/>
          <w:position w:val="1"/>
          <w:sz w:val="24"/>
        </w:rPr>
        <w:t>“</w:t>
      </w:r>
      <w:r>
        <w:rPr>
          <w:spacing w:val="-3"/>
          <w:sz w:val="24"/>
        </w:rPr>
        <w:t>柯桥区一般</w:t>
      </w:r>
    </w:p>
    <w:p>
      <w:pPr>
        <w:pStyle w:val="BodyText"/>
        <w:spacing w:line="364" w:lineRule="auto" w:before="1"/>
        <w:ind w:right="130"/>
      </w:pPr>
      <w:r>
        <w:rPr/>
        <w:t>管控单元（</w:t>
      </w:r>
      <w:r>
        <w:rPr>
          <w:rFonts w:ascii="Times New Roman" w:hAnsi="Times New Roman" w:eastAsia="Times New Roman"/>
          <w:position w:val="1"/>
        </w:rPr>
        <w:t>ZH33060330001</w:t>
      </w:r>
      <w:r>
        <w:rPr/>
        <w:t>）</w:t>
      </w:r>
      <w:r>
        <w:rPr>
          <w:rFonts w:ascii="Times New Roman" w:hAnsi="Times New Roman" w:eastAsia="Times New Roman"/>
          <w:position w:val="1"/>
        </w:rPr>
        <w:t>”</w:t>
      </w:r>
      <w:r>
        <w:rPr/>
        <w:t>内。本项目为生猪规模化养殖项目，属于农业项目，目前</w:t>
      </w:r>
      <w:r>
        <w:rPr>
          <w:spacing w:val="-1"/>
        </w:rPr>
        <w:t>已完成设施农用地备案</w:t>
      </w:r>
      <w:r>
        <w:rPr/>
        <w:t>（详见附件五</w:t>
      </w:r>
      <w:r>
        <w:rPr>
          <w:spacing w:val="-10"/>
        </w:rPr>
        <w:t>）</w:t>
      </w:r>
      <w:r>
        <w:rPr>
          <w:spacing w:val="-4"/>
        </w:rPr>
        <w:t>。本项目废水经自建污水站处理达标后纳管排放， </w:t>
      </w:r>
      <w:r>
        <w:rPr>
          <w:spacing w:val="-3"/>
        </w:rPr>
        <w:t>粪便等经发酵处理后外运生产有机肥，不采用土地消纳方式，当地环境承载力可以接受， </w:t>
      </w:r>
      <w:r>
        <w:rPr>
          <w:spacing w:val="-8"/>
        </w:rPr>
        <w:t>也不会增加农业面源污染物排放。因此，本项目的建设能够符合绍兴市</w:t>
      </w:r>
      <w:r>
        <w:rPr>
          <w:rFonts w:ascii="Times New Roman" w:hAnsi="Times New Roman" w:eastAsia="Times New Roman"/>
          <w:position w:val="1"/>
        </w:rPr>
        <w:t>“</w:t>
      </w:r>
      <w:r>
        <w:rPr/>
        <w:t>三线一单</w:t>
      </w:r>
      <w:r>
        <w:rPr>
          <w:rFonts w:ascii="Times New Roman" w:hAnsi="Times New Roman" w:eastAsia="Times New Roman"/>
          <w:position w:val="1"/>
        </w:rPr>
        <w:t>”</w:t>
      </w:r>
      <w:r>
        <w:rPr/>
        <w:t>生态环境分区管控方案的要求。</w:t>
      </w:r>
    </w:p>
    <w:p>
      <w:pPr>
        <w:pStyle w:val="Heading3"/>
        <w:numPr>
          <w:ilvl w:val="0"/>
          <w:numId w:val="112"/>
        </w:numPr>
        <w:tabs>
          <w:tab w:pos="1323" w:val="left" w:leader="none"/>
        </w:tabs>
        <w:spacing w:line="240" w:lineRule="auto" w:before="4" w:after="0"/>
        <w:ind w:left="1323" w:right="0" w:hanging="604"/>
        <w:jc w:val="left"/>
      </w:pPr>
      <w:r>
        <w:rPr/>
        <w:t>排放污染物符合国家、省规定的污染物排放标准</w:t>
      </w:r>
    </w:p>
    <w:p>
      <w:pPr>
        <w:pStyle w:val="BodyText"/>
        <w:spacing w:line="364" w:lineRule="auto" w:before="160"/>
        <w:ind w:right="254" w:firstLine="480"/>
      </w:pPr>
      <w:r>
        <w:rPr/>
        <w:t>项目废水实行雨污分流。生产生活废水统一经厂区内自建污水处理站预处理达标后纳入市政污水管网，最终进入绍兴市污水处理厂处理达标后排入钱塘江。</w:t>
      </w:r>
    </w:p>
    <w:p>
      <w:pPr>
        <w:pStyle w:val="BodyText"/>
        <w:spacing w:line="364" w:lineRule="auto" w:before="2"/>
        <w:ind w:right="247" w:firstLine="480"/>
        <w:jc w:val="both"/>
      </w:pPr>
      <w:r>
        <w:rPr/>
        <w:t>项目产生的各类废气中，猪舍主要通过加强排风、合理配置日粮、定期消毒、喷淋过滤除臭等措施控制臭气，粪污处理区臭气经收集处理后达标排放，发酵罐臭气经设备配套的喷淋装置处理后排放，沼气经脱水脱硫预处理后由锅炉和食堂综合利用。根据工程分析，各类废气经收集处理后均能实现达标排放。</w:t>
      </w:r>
    </w:p>
    <w:p>
      <w:pPr>
        <w:pStyle w:val="BodyText"/>
        <w:spacing w:line="364" w:lineRule="auto" w:before="2"/>
        <w:ind w:right="248" w:firstLine="480"/>
        <w:jc w:val="both"/>
      </w:pPr>
      <w:r>
        <w:rPr/>
        <w:t>项目产生的固废有危险固废、一般固废。其中危险固废主要是危化品废包装物、废矿物油、医疗废物，收集后须委托有相应危废处理资质的单位安全处置；一般固体废物中发酵产物外运至第三方企业生产有机肥，一般废包装物收集后外卖综合利用，废脱硫剂由供应商更换回收，职工生活垃圾收集后由环卫部门统一清运。各类废物经上述方式</w:t>
      </w:r>
    </w:p>
    <w:p>
      <w:pPr>
        <w:spacing w:after="0" w:line="364" w:lineRule="auto"/>
        <w:jc w:val="both"/>
        <w:sectPr>
          <w:pgSz w:w="11910" w:h="16840"/>
          <w:pgMar w:header="874" w:footer="1004" w:top="1420" w:bottom="1200" w:left="1040" w:right="1160"/>
        </w:sectPr>
      </w:pPr>
    </w:p>
    <w:p>
      <w:pPr>
        <w:pStyle w:val="BodyText"/>
        <w:spacing w:before="92"/>
      </w:pPr>
      <w:r>
        <w:rPr/>
        <w:t>处置后，最终可实现零排放。</w:t>
      </w:r>
    </w:p>
    <w:p>
      <w:pPr>
        <w:pStyle w:val="Heading3"/>
        <w:spacing w:before="160"/>
      </w:pPr>
      <w:r>
        <w:rPr/>
        <w:t>项目产生的各类污染物经过治理后均能达标排放，符合达标排放原则。</w:t>
      </w:r>
    </w:p>
    <w:p>
      <w:pPr>
        <w:pStyle w:val="ListParagraph"/>
        <w:numPr>
          <w:ilvl w:val="0"/>
          <w:numId w:val="112"/>
        </w:numPr>
        <w:tabs>
          <w:tab w:pos="1323" w:val="left" w:leader="none"/>
        </w:tabs>
        <w:spacing w:line="240" w:lineRule="auto" w:before="161" w:after="0"/>
        <w:ind w:left="1323" w:right="0" w:hanging="604"/>
        <w:jc w:val="left"/>
        <w:rPr>
          <w:b/>
          <w:sz w:val="24"/>
        </w:rPr>
      </w:pPr>
      <w:r>
        <w:rPr>
          <w:b/>
          <w:sz w:val="24"/>
        </w:rPr>
        <w:t>排放污染物符合国家、省规定的主要污染物排放总量控制指标</w:t>
      </w:r>
    </w:p>
    <w:p>
      <w:pPr>
        <w:pStyle w:val="BodyText"/>
        <w:spacing w:line="364" w:lineRule="auto" w:before="160"/>
        <w:ind w:right="248" w:firstLine="480"/>
        <w:jc w:val="both"/>
      </w:pPr>
      <w:r>
        <w:rPr/>
        <w:t>本项目为新建项目，在其发生实际排污行为前，企业须向有关管理部门申请办理各类污染物总量排放许可（企业已对此作出了承诺，详见附件六</w:t>
      </w:r>
      <w:r>
        <w:rPr>
          <w:spacing w:val="3"/>
        </w:rPr>
        <w:t>）</w:t>
      </w:r>
      <w:r>
        <w:rPr/>
        <w:t>。建议总量控制方案： </w:t>
      </w:r>
      <w:r>
        <w:rPr>
          <w:position w:val="0"/>
        </w:rPr>
        <w:t>废水纳管排放量</w:t>
      </w:r>
      <w:r>
        <w:rPr>
          <w:rFonts w:ascii="Times New Roman" w:hAnsi="Times New Roman" w:eastAsia="Times New Roman"/>
        </w:rPr>
        <w:t>≤13.33 </w:t>
      </w:r>
      <w:r>
        <w:rPr>
          <w:spacing w:val="-27"/>
          <w:position w:val="0"/>
        </w:rPr>
        <w:t>万 </w:t>
      </w:r>
      <w:r>
        <w:rPr>
          <w:rFonts w:ascii="Times New Roman" w:hAnsi="Times New Roman" w:eastAsia="Times New Roman"/>
        </w:rPr>
        <w:t>t/a</w:t>
      </w:r>
      <w:r>
        <w:rPr>
          <w:position w:val="0"/>
        </w:rPr>
        <w:t>，</w:t>
      </w:r>
      <w:r>
        <w:rPr>
          <w:rFonts w:ascii="Times New Roman" w:hAnsi="Times New Roman" w:eastAsia="Times New Roman"/>
        </w:rPr>
        <w:t>COD</w:t>
      </w:r>
      <w:r>
        <w:rPr>
          <w:rFonts w:ascii="Times New Roman" w:hAnsi="Times New Roman" w:eastAsia="Times New Roman"/>
          <w:vertAlign w:val="subscript"/>
        </w:rPr>
        <w:t>Cr</w:t>
      </w:r>
      <w:r>
        <w:rPr>
          <w:rFonts w:ascii="Times New Roman" w:hAnsi="Times New Roman" w:eastAsia="Times New Roman"/>
          <w:vertAlign w:val="baseline"/>
        </w:rPr>
        <w:t> </w:t>
      </w:r>
      <w:r>
        <w:rPr>
          <w:spacing w:val="-1"/>
          <w:position w:val="0"/>
          <w:vertAlign w:val="baseline"/>
        </w:rPr>
        <w:t>纳管排放量</w:t>
      </w:r>
      <w:r>
        <w:rPr>
          <w:rFonts w:ascii="Times New Roman" w:hAnsi="Times New Roman" w:eastAsia="Times New Roman"/>
          <w:vertAlign w:val="baseline"/>
        </w:rPr>
        <w:t>≤66.669t/a</w:t>
      </w:r>
      <w:r>
        <w:rPr>
          <w:position w:val="0"/>
          <w:vertAlign w:val="baseline"/>
        </w:rPr>
        <w:t>，氨氮纳管排放量</w:t>
      </w:r>
      <w:r>
        <w:rPr>
          <w:rFonts w:ascii="Times New Roman" w:hAnsi="Times New Roman" w:eastAsia="Times New Roman"/>
          <w:vertAlign w:val="baseline"/>
        </w:rPr>
        <w:t>≤9.334t/a</w:t>
      </w:r>
      <w:r>
        <w:rPr>
          <w:position w:val="0"/>
          <w:vertAlign w:val="baseline"/>
        </w:rPr>
        <w:t>， </w:t>
      </w:r>
      <w:r>
        <w:rPr>
          <w:spacing w:val="-1"/>
          <w:position w:val="0"/>
          <w:vertAlign w:val="baseline"/>
        </w:rPr>
        <w:t>总氮纳管排放量</w:t>
      </w:r>
      <w:r>
        <w:rPr>
          <w:rFonts w:ascii="Times New Roman" w:hAnsi="Times New Roman" w:eastAsia="Times New Roman"/>
          <w:vertAlign w:val="baseline"/>
        </w:rPr>
        <w:t>≤9.334t/</w:t>
      </w:r>
      <w:r>
        <w:rPr>
          <w:rFonts w:ascii="Times New Roman" w:hAnsi="Times New Roman" w:eastAsia="Times New Roman"/>
          <w:spacing w:val="-1"/>
          <w:vertAlign w:val="baseline"/>
        </w:rPr>
        <w:t>a</w:t>
      </w:r>
      <w:r>
        <w:rPr>
          <w:spacing w:val="-15"/>
          <w:position w:val="0"/>
          <w:vertAlign w:val="baseline"/>
        </w:rPr>
        <w:t>，总磷纳管排放量</w:t>
      </w:r>
      <w:r>
        <w:rPr>
          <w:rFonts w:ascii="Times New Roman" w:hAnsi="Times New Roman" w:eastAsia="Times New Roman"/>
          <w:vertAlign w:val="baseline"/>
        </w:rPr>
        <w:t>≤0.933t/</w:t>
      </w:r>
      <w:r>
        <w:rPr>
          <w:rFonts w:ascii="Times New Roman" w:hAnsi="Times New Roman" w:eastAsia="Times New Roman"/>
          <w:spacing w:val="-1"/>
          <w:vertAlign w:val="baseline"/>
        </w:rPr>
        <w:t>a</w:t>
      </w:r>
      <w:r>
        <w:rPr>
          <w:spacing w:val="-15"/>
          <w:position w:val="0"/>
          <w:vertAlign w:val="baseline"/>
        </w:rPr>
        <w:t>；废水环境排放量</w:t>
      </w:r>
      <w:r>
        <w:rPr>
          <w:rFonts w:ascii="Times New Roman" w:hAnsi="Times New Roman" w:eastAsia="Times New Roman"/>
          <w:vertAlign w:val="baseline"/>
        </w:rPr>
        <w:t>≤13.33 </w:t>
      </w:r>
      <w:r>
        <w:rPr>
          <w:spacing w:val="-30"/>
          <w:position w:val="0"/>
          <w:vertAlign w:val="baseline"/>
        </w:rPr>
        <w:t>万 </w:t>
      </w:r>
      <w:r>
        <w:rPr>
          <w:rFonts w:ascii="Times New Roman" w:hAnsi="Times New Roman" w:eastAsia="Times New Roman"/>
          <w:vertAlign w:val="baseline"/>
        </w:rPr>
        <w:t>t/</w:t>
      </w:r>
      <w:r>
        <w:rPr>
          <w:rFonts w:ascii="Times New Roman" w:hAnsi="Times New Roman" w:eastAsia="Times New Roman"/>
          <w:spacing w:val="-1"/>
          <w:vertAlign w:val="baseline"/>
        </w:rPr>
        <w:t>a</w:t>
      </w:r>
      <w:r>
        <w:rPr>
          <w:spacing w:val="-104"/>
          <w:position w:val="0"/>
          <w:vertAlign w:val="baseline"/>
        </w:rPr>
        <w:t>，</w:t>
      </w:r>
      <w:r>
        <w:rPr>
          <w:rFonts w:ascii="Times New Roman" w:hAnsi="Times New Roman" w:eastAsia="Times New Roman"/>
          <w:vertAlign w:val="baseline"/>
        </w:rPr>
        <w:t>C</w:t>
      </w:r>
      <w:r>
        <w:rPr>
          <w:rFonts w:ascii="Times New Roman" w:hAnsi="Times New Roman" w:eastAsia="Times New Roman"/>
          <w:spacing w:val="-1"/>
          <w:vertAlign w:val="baseline"/>
        </w:rPr>
        <w:t>OD</w:t>
      </w:r>
      <w:r>
        <w:rPr>
          <w:rFonts w:ascii="Times New Roman" w:hAnsi="Times New Roman" w:eastAsia="Times New Roman"/>
          <w:w w:val="97"/>
          <w:vertAlign w:val="subscript"/>
        </w:rPr>
        <w:t>Cr</w:t>
      </w:r>
      <w:r>
        <w:rPr>
          <w:vertAlign w:val="baseline"/>
        </w:rPr>
        <w:t>环境排放量</w:t>
      </w:r>
      <w:r>
        <w:rPr>
          <w:rFonts w:ascii="Times New Roman" w:hAnsi="Times New Roman" w:eastAsia="Times New Roman"/>
          <w:position w:val="1"/>
          <w:vertAlign w:val="baseline"/>
        </w:rPr>
        <w:t>≤6.667t/a</w:t>
      </w:r>
      <w:r>
        <w:rPr>
          <w:vertAlign w:val="baseline"/>
        </w:rPr>
        <w:t>，氨氮环境排放量</w:t>
      </w:r>
      <w:r>
        <w:rPr>
          <w:rFonts w:ascii="Times New Roman" w:hAnsi="Times New Roman" w:eastAsia="Times New Roman"/>
          <w:position w:val="1"/>
          <w:vertAlign w:val="baseline"/>
        </w:rPr>
        <w:t>≤0.667t/a</w:t>
      </w:r>
      <w:r>
        <w:rPr>
          <w:vertAlign w:val="baseline"/>
        </w:rPr>
        <w:t>，总氮环境排放量</w:t>
      </w:r>
      <w:r>
        <w:rPr>
          <w:rFonts w:ascii="Times New Roman" w:hAnsi="Times New Roman" w:eastAsia="Times New Roman"/>
          <w:position w:val="1"/>
          <w:vertAlign w:val="baseline"/>
        </w:rPr>
        <w:t>≤2.000t/a</w:t>
      </w:r>
      <w:r>
        <w:rPr>
          <w:vertAlign w:val="baseline"/>
        </w:rPr>
        <w:t>，总磷环境排</w:t>
      </w:r>
      <w:r>
        <w:rPr>
          <w:position w:val="0"/>
          <w:vertAlign w:val="baseline"/>
        </w:rPr>
        <w:t>放量</w:t>
      </w:r>
      <w:r>
        <w:rPr>
          <w:rFonts w:ascii="Times New Roman" w:hAnsi="Times New Roman" w:eastAsia="Times New Roman"/>
          <w:vertAlign w:val="baseline"/>
        </w:rPr>
        <w:t>≤0.067t/a</w:t>
      </w:r>
      <w:r>
        <w:rPr>
          <w:position w:val="0"/>
          <w:vertAlign w:val="baseline"/>
        </w:rPr>
        <w:t>，</w:t>
      </w:r>
      <w:r>
        <w:rPr>
          <w:rFonts w:ascii="Times New Roman" w:hAnsi="Times New Roman" w:eastAsia="Times New Roman"/>
          <w:vertAlign w:val="baseline"/>
        </w:rPr>
        <w:t>SO</w:t>
      </w:r>
      <w:r>
        <w:rPr>
          <w:rFonts w:ascii="Times New Roman" w:hAnsi="Times New Roman" w:eastAsia="Times New Roman"/>
          <w:vertAlign w:val="subscript"/>
        </w:rPr>
        <w:t>2</w:t>
      </w:r>
      <w:r>
        <w:rPr>
          <w:rFonts w:ascii="Times New Roman" w:hAnsi="Times New Roman" w:eastAsia="Times New Roman"/>
          <w:vertAlign w:val="baseline"/>
        </w:rPr>
        <w:t> </w:t>
      </w:r>
      <w:r>
        <w:rPr>
          <w:spacing w:val="-2"/>
          <w:position w:val="0"/>
          <w:vertAlign w:val="baseline"/>
        </w:rPr>
        <w:t>环境排放量</w:t>
      </w:r>
      <w:r>
        <w:rPr>
          <w:rFonts w:ascii="Times New Roman" w:hAnsi="Times New Roman" w:eastAsia="Times New Roman"/>
          <w:vertAlign w:val="baseline"/>
        </w:rPr>
        <w:t>≤0.011t/a</w:t>
      </w:r>
      <w:r>
        <w:rPr>
          <w:position w:val="0"/>
          <w:vertAlign w:val="baseline"/>
        </w:rPr>
        <w:t>，</w:t>
      </w:r>
      <w:r>
        <w:rPr>
          <w:rFonts w:ascii="Times New Roman" w:hAnsi="Times New Roman" w:eastAsia="Times New Roman"/>
          <w:vertAlign w:val="baseline"/>
        </w:rPr>
        <w:t>NO</w:t>
      </w:r>
      <w:r>
        <w:rPr>
          <w:rFonts w:ascii="Times New Roman" w:hAnsi="Times New Roman" w:eastAsia="Times New Roman"/>
          <w:vertAlign w:val="subscript"/>
        </w:rPr>
        <w:t>x</w:t>
      </w:r>
      <w:r>
        <w:rPr>
          <w:rFonts w:ascii="Times New Roman" w:hAnsi="Times New Roman" w:eastAsia="Times New Roman"/>
          <w:vertAlign w:val="baseline"/>
        </w:rPr>
        <w:t> </w:t>
      </w:r>
      <w:r>
        <w:rPr>
          <w:position w:val="0"/>
          <w:vertAlign w:val="baseline"/>
        </w:rPr>
        <w:t>环境排放量</w:t>
      </w:r>
      <w:r>
        <w:rPr>
          <w:rFonts w:ascii="Times New Roman" w:hAnsi="Times New Roman" w:eastAsia="Times New Roman"/>
          <w:vertAlign w:val="baseline"/>
        </w:rPr>
        <w:t>≤0.478t/a</w:t>
      </w:r>
      <w:r>
        <w:rPr>
          <w:position w:val="0"/>
          <w:vertAlign w:val="baseline"/>
        </w:rPr>
        <w:t>。所需总量由绍兴市</w:t>
      </w:r>
      <w:r>
        <w:rPr>
          <w:vertAlign w:val="baseline"/>
        </w:rPr>
        <w:t>柯桥区相关部门根据《关于天圣集团农业生态产业链项目落地建设相关事宜的专题会议纪要》（</w:t>
      </w:r>
      <w:r>
        <w:rPr>
          <w:rFonts w:ascii="Times New Roman" w:hAnsi="Times New Roman" w:eastAsia="Times New Roman"/>
          <w:position w:val="1"/>
          <w:vertAlign w:val="baseline"/>
        </w:rPr>
        <w:t>[2020]24 </w:t>
      </w:r>
      <w:r>
        <w:rPr>
          <w:vertAlign w:val="baseline"/>
        </w:rPr>
        <w:t>号）、市生态环境局</w:t>
      </w:r>
      <w:r>
        <w:rPr>
          <w:rFonts w:ascii="Times New Roman" w:hAnsi="Times New Roman" w:eastAsia="Times New Roman"/>
          <w:position w:val="1"/>
          <w:vertAlign w:val="baseline"/>
        </w:rPr>
        <w:t>[2020]5 </w:t>
      </w:r>
      <w:r>
        <w:rPr>
          <w:vertAlign w:val="baseline"/>
        </w:rPr>
        <w:t>号专题会议纪要等政策予以落实。</w:t>
      </w:r>
    </w:p>
    <w:p>
      <w:pPr>
        <w:pStyle w:val="Heading3"/>
        <w:spacing w:before="6"/>
      </w:pPr>
      <w:r>
        <w:rPr/>
        <w:t>因此，本项目相关污染物在落实总量平衡方案的前提下，符合总量控制原则。</w:t>
      </w:r>
    </w:p>
    <w:p>
      <w:pPr>
        <w:pStyle w:val="ListParagraph"/>
        <w:numPr>
          <w:ilvl w:val="0"/>
          <w:numId w:val="112"/>
        </w:numPr>
        <w:tabs>
          <w:tab w:pos="1323" w:val="left" w:leader="none"/>
        </w:tabs>
        <w:spacing w:line="240" w:lineRule="auto" w:before="160" w:after="0"/>
        <w:ind w:left="1323" w:right="0" w:hanging="604"/>
        <w:jc w:val="left"/>
        <w:rPr>
          <w:b/>
          <w:sz w:val="24"/>
        </w:rPr>
      </w:pPr>
      <w:r>
        <w:rPr>
          <w:b/>
          <w:sz w:val="24"/>
        </w:rPr>
        <w:t>造成的环境影响符合建设项目所在地环境功能区划确定的环境质量要求</w:t>
      </w:r>
    </w:p>
    <w:p>
      <w:pPr>
        <w:pStyle w:val="BodyText"/>
        <w:spacing w:line="367" w:lineRule="auto" w:before="157"/>
        <w:ind w:right="251" w:firstLine="480"/>
        <w:jc w:val="both"/>
      </w:pPr>
      <w:r>
        <w:rPr>
          <w:spacing w:val="-2"/>
          <w:position w:val="2"/>
        </w:rPr>
        <w:t>根据环境质量现状监测可以看出，空气基本因子中 </w:t>
      </w:r>
      <w:r>
        <w:rPr>
          <w:rFonts w:ascii="Times New Roman" w:eastAsia="Times New Roman"/>
          <w:position w:val="2"/>
        </w:rPr>
        <w:t>PM</w:t>
      </w:r>
      <w:r>
        <w:rPr>
          <w:rFonts w:ascii="Times New Roman" w:eastAsia="Times New Roman"/>
          <w:sz w:val="16"/>
        </w:rPr>
        <w:t>2.5 </w:t>
      </w:r>
      <w:r>
        <w:rPr>
          <w:spacing w:val="-19"/>
          <w:position w:val="2"/>
        </w:rPr>
        <w:t>和 </w:t>
      </w:r>
      <w:r>
        <w:rPr>
          <w:rFonts w:ascii="Times New Roman" w:eastAsia="Times New Roman"/>
          <w:position w:val="2"/>
        </w:rPr>
        <w:t>O</w:t>
      </w:r>
      <w:r>
        <w:rPr>
          <w:rFonts w:ascii="Times New Roman" w:eastAsia="Times New Roman"/>
          <w:sz w:val="16"/>
        </w:rPr>
        <w:t>3 </w:t>
      </w:r>
      <w:r>
        <w:rPr>
          <w:spacing w:val="-4"/>
          <w:position w:val="2"/>
        </w:rPr>
        <w:t>存在超标现象，空气</w:t>
      </w:r>
      <w:r>
        <w:rPr/>
        <w:t>特征因子、地表水、地下水各监测指标均能满足功能区要求，厂界噪声等均能满足环境功能区要求，土壤各监测指标均能满足功能区要求。</w:t>
      </w:r>
    </w:p>
    <w:p>
      <w:pPr>
        <w:pStyle w:val="BodyText"/>
        <w:spacing w:line="364" w:lineRule="auto"/>
        <w:ind w:right="247" w:firstLine="480"/>
        <w:jc w:val="both"/>
      </w:pPr>
      <w:r>
        <w:rPr/>
        <w:t>本项目建成后，根据本环评预测结果可知，各类废气的正常排放对周围环境有一定影响，但在设置大气环境防护距离后是可以接受的。本项目生产生活废水经自建污水处理站预处理后纳入市政污水管网，最终进入绍兴市污水处理厂处理达标后排入钱塘江， 对周边地表水环境影响较小。正常工况下，项目对地下水的环境影响较小，亦不会改变其环境质量现状。噪声在采取本环评提出的各项措施的前提下，对周围环境影响不大。</w:t>
      </w:r>
    </w:p>
    <w:p>
      <w:pPr>
        <w:pStyle w:val="Heading3"/>
        <w:spacing w:line="364" w:lineRule="auto" w:before="0"/>
        <w:ind w:left="237" w:right="253" w:firstLine="482"/>
      </w:pPr>
      <w:r>
        <w:rPr/>
        <w:t>因此，采取有关污染防治措施后，本项目的建设可维持区域环境质量现状，符合环境功能区要求。</w:t>
      </w:r>
    </w:p>
    <w:p>
      <w:pPr>
        <w:spacing w:before="1"/>
        <w:ind w:left="719" w:right="0" w:firstLine="0"/>
        <w:jc w:val="left"/>
        <w:rPr>
          <w:b/>
          <w:sz w:val="24"/>
        </w:rPr>
      </w:pPr>
      <w:r>
        <w:rPr>
          <w:rFonts w:ascii="Times New Roman" w:eastAsia="Times New Roman"/>
          <w:b/>
          <w:sz w:val="24"/>
        </w:rPr>
        <w:t>3</w:t>
      </w:r>
      <w:r>
        <w:rPr>
          <w:b/>
          <w:sz w:val="24"/>
        </w:rPr>
        <w:t>、建设项目环评审批要求符合性分析</w:t>
      </w:r>
    </w:p>
    <w:p>
      <w:pPr>
        <w:pStyle w:val="ListParagraph"/>
        <w:numPr>
          <w:ilvl w:val="0"/>
          <w:numId w:val="113"/>
        </w:numPr>
        <w:tabs>
          <w:tab w:pos="1323" w:val="left" w:leader="none"/>
        </w:tabs>
        <w:spacing w:line="240" w:lineRule="auto" w:before="161" w:after="0"/>
        <w:ind w:left="1323" w:right="0" w:hanging="604"/>
        <w:jc w:val="left"/>
        <w:rPr>
          <w:b/>
          <w:sz w:val="24"/>
        </w:rPr>
      </w:pPr>
      <w:r>
        <w:rPr>
          <w:b/>
          <w:sz w:val="24"/>
        </w:rPr>
        <w:t>清洁生产要求的符合性</w:t>
      </w:r>
    </w:p>
    <w:p>
      <w:pPr>
        <w:pStyle w:val="BodyText"/>
        <w:spacing w:line="364" w:lineRule="auto" w:before="160"/>
        <w:ind w:right="131" w:firstLine="480"/>
        <w:jc w:val="both"/>
      </w:pPr>
      <w:r>
        <w:rPr/>
        <w:t>本项目在选择生产原料、生产工艺及生产设备时充分考虑到了清洁生产的要求。项目产生的各项污染物均得到了有效处理，可实现达标排放，并且在生产中加强对废物的</w:t>
      </w:r>
      <w:r>
        <w:rPr>
          <w:spacing w:val="-6"/>
        </w:rPr>
        <w:t>资源化利用，依照《中华人民共和国清洁生产促进法》的规定，项目清洁生产水平较高。</w:t>
      </w:r>
    </w:p>
    <w:p>
      <w:pPr>
        <w:pStyle w:val="Heading3"/>
        <w:spacing w:before="2"/>
      </w:pPr>
      <w:r>
        <w:rPr/>
        <w:t>因此，本项目建设符合清洁生产原则。</w:t>
      </w:r>
    </w:p>
    <w:p>
      <w:pPr>
        <w:spacing w:after="0"/>
        <w:sectPr>
          <w:pgSz w:w="11910" w:h="16840"/>
          <w:pgMar w:header="874" w:footer="1004" w:top="1420" w:bottom="1200" w:left="1040" w:right="1160"/>
        </w:sectPr>
      </w:pPr>
    </w:p>
    <w:p>
      <w:pPr>
        <w:pStyle w:val="ListParagraph"/>
        <w:numPr>
          <w:ilvl w:val="0"/>
          <w:numId w:val="113"/>
        </w:numPr>
        <w:tabs>
          <w:tab w:pos="1323" w:val="left" w:leader="none"/>
        </w:tabs>
        <w:spacing w:line="240" w:lineRule="auto" w:before="92" w:after="0"/>
        <w:ind w:left="1323" w:right="0" w:hanging="604"/>
        <w:jc w:val="left"/>
        <w:rPr>
          <w:b/>
          <w:sz w:val="24"/>
        </w:rPr>
      </w:pPr>
      <w:r>
        <w:rPr>
          <w:b/>
          <w:sz w:val="24"/>
        </w:rPr>
        <w:t>建设项目风险防范措施的符合性</w:t>
      </w:r>
    </w:p>
    <w:p>
      <w:pPr>
        <w:pStyle w:val="BodyText"/>
        <w:spacing w:line="364" w:lineRule="auto" w:before="160"/>
        <w:ind w:right="129" w:firstLine="480"/>
      </w:pPr>
      <w:r>
        <w:rPr/>
        <w:t>根据环境风险评价，本项目可能发生的环境风险主要为物料泄漏及废水、废气的事故排放等。要求公司严格按照国家及地方的有关规定，通过采取有效措施，防范环境事</w:t>
      </w:r>
      <w:r>
        <w:rPr>
          <w:spacing w:val="-5"/>
        </w:rPr>
        <w:t>故发生。一旦发生事故，依靠厂区内的安全防护设施和事故应急措施也能及时控制事故， </w:t>
      </w:r>
      <w:r>
        <w:rPr/>
        <w:t>防止事故排放，特别是对周围地表水环境产生影响。另外，企业须按有关规定制定环境应急预案，报环保局备案。</w:t>
      </w:r>
    </w:p>
    <w:p>
      <w:pPr>
        <w:pStyle w:val="Heading3"/>
        <w:spacing w:before="3"/>
      </w:pPr>
      <w:r>
        <w:rPr/>
        <w:t>因此，只要严格遵守各项安全操作规程和制度，加强管理，项目环境风险是可控的。</w:t>
      </w:r>
    </w:p>
    <w:p>
      <w:pPr>
        <w:pStyle w:val="ListParagraph"/>
        <w:numPr>
          <w:ilvl w:val="0"/>
          <w:numId w:val="113"/>
        </w:numPr>
        <w:tabs>
          <w:tab w:pos="1323" w:val="left" w:leader="none"/>
        </w:tabs>
        <w:spacing w:line="240" w:lineRule="auto" w:before="161" w:after="0"/>
        <w:ind w:left="1323" w:right="0" w:hanging="604"/>
        <w:jc w:val="left"/>
        <w:rPr>
          <w:b/>
          <w:sz w:val="24"/>
        </w:rPr>
      </w:pPr>
      <w:r>
        <w:rPr>
          <w:b/>
          <w:sz w:val="24"/>
        </w:rPr>
        <w:t>公众参与要求的符合性</w:t>
      </w:r>
    </w:p>
    <w:p>
      <w:pPr>
        <w:pStyle w:val="BodyText"/>
        <w:spacing w:line="364" w:lineRule="auto" w:before="161"/>
        <w:ind w:right="249" w:firstLine="480"/>
        <w:jc w:val="both"/>
      </w:pPr>
      <w:r>
        <w:rPr/>
        <w:t>公示结果表明，公众对本项目的建设未提出意见和建议。环评要求企业加强企群关系，做好以人为本，使企业的生存建立在民众生存的基础上。同时加强环境保护工作的落实，落实本环评提出的各项污染物防治措施，确保各项污染物达标排放。</w:t>
      </w:r>
    </w:p>
    <w:p>
      <w:pPr>
        <w:pStyle w:val="Heading3"/>
        <w:spacing w:before="2"/>
      </w:pPr>
      <w:r>
        <w:rPr>
          <w:rFonts w:ascii="Times New Roman" w:eastAsia="Times New Roman"/>
        </w:rPr>
        <w:t>3</w:t>
      </w:r>
      <w:r>
        <w:rPr/>
        <w:t>、建设项目其它部门审批要求符合性分析</w:t>
      </w:r>
    </w:p>
    <w:p>
      <w:pPr>
        <w:pStyle w:val="ListParagraph"/>
        <w:numPr>
          <w:ilvl w:val="0"/>
          <w:numId w:val="114"/>
        </w:numPr>
        <w:tabs>
          <w:tab w:pos="1323" w:val="left" w:leader="none"/>
        </w:tabs>
        <w:spacing w:line="240" w:lineRule="auto" w:before="160" w:after="0"/>
        <w:ind w:left="1323" w:right="0" w:hanging="604"/>
        <w:jc w:val="left"/>
        <w:rPr>
          <w:b/>
          <w:sz w:val="24"/>
        </w:rPr>
      </w:pPr>
      <w:r>
        <w:rPr>
          <w:b/>
          <w:sz w:val="24"/>
        </w:rPr>
        <w:t>建设项目符合主体功能区规划、土地利用总体规划的要求</w:t>
      </w:r>
    </w:p>
    <w:p>
      <w:pPr>
        <w:pStyle w:val="BodyText"/>
        <w:spacing w:line="364" w:lineRule="auto" w:before="161"/>
        <w:ind w:right="248" w:firstLine="480"/>
        <w:jc w:val="both"/>
      </w:pPr>
      <w:r>
        <w:rPr/>
        <w:t>本项目为生猪养殖项目，为畜牧业，属于农业生产项目。项目地址位于绍兴市柯桥区柯岩街道丰项村，根据《关于天圣集团农业生态产业链项目落地建设相关事宜的专题会议纪要》（绍兴市柯桥区人民政府专题会议纪要</w:t>
      </w:r>
      <w:r>
        <w:rPr>
          <w:rFonts w:ascii="Times New Roman" w:eastAsia="Times New Roman"/>
          <w:position w:val="1"/>
        </w:rPr>
        <w:t>[2020]24 </w:t>
      </w:r>
      <w:r>
        <w:rPr>
          <w:spacing w:val="3"/>
        </w:rPr>
        <w:t>号</w:t>
      </w:r>
      <w:r>
        <w:rPr/>
        <w:t>）</w:t>
      </w:r>
      <w:r>
        <w:rPr>
          <w:spacing w:val="-2"/>
        </w:rPr>
        <w:t>，本项目需占用设施农</w:t>
      </w:r>
      <w:r>
        <w:rPr>
          <w:spacing w:val="-15"/>
        </w:rPr>
        <w:t>用地 </w:t>
      </w:r>
      <w:r>
        <w:rPr>
          <w:rFonts w:ascii="Times New Roman" w:eastAsia="Times New Roman"/>
          <w:position w:val="1"/>
        </w:rPr>
        <w:t>78.5 </w:t>
      </w:r>
      <w:r>
        <w:rPr/>
        <w:t>亩（包括一般农田和永久基本农田），目前已完成设施农用地备案（</w:t>
      </w:r>
      <w:r>
        <w:rPr>
          <w:spacing w:val="-3"/>
        </w:rPr>
        <w:t>详见附件</w:t>
      </w:r>
      <w:r>
        <w:rPr/>
        <w:t>五）。因此，本项目符合绍兴市土地利用规划及城乡总体规划要求。</w:t>
      </w:r>
    </w:p>
    <w:p>
      <w:pPr>
        <w:pStyle w:val="Heading3"/>
        <w:numPr>
          <w:ilvl w:val="0"/>
          <w:numId w:val="114"/>
        </w:numPr>
        <w:tabs>
          <w:tab w:pos="1323" w:val="left" w:leader="none"/>
        </w:tabs>
        <w:spacing w:line="240" w:lineRule="auto" w:before="3" w:after="0"/>
        <w:ind w:left="1323" w:right="0" w:hanging="604"/>
        <w:jc w:val="left"/>
      </w:pPr>
      <w:r>
        <w:rPr/>
        <w:t>建设项目符合、国家和省产业政策等的要求</w:t>
      </w:r>
    </w:p>
    <w:p>
      <w:pPr>
        <w:pStyle w:val="BodyText"/>
        <w:spacing w:line="364" w:lineRule="auto" w:before="160"/>
        <w:ind w:right="249" w:firstLine="480"/>
        <w:jc w:val="both"/>
      </w:pPr>
      <w:r>
        <w:rPr/>
        <w:t>①本项目为生猪规模化养殖项目，属于国家发展和改革委员会《产业结构调整指导</w:t>
      </w:r>
      <w:r>
        <w:rPr>
          <w:spacing w:val="-8"/>
        </w:rPr>
        <w:t>目录</w:t>
      </w:r>
      <w:r>
        <w:rPr/>
        <w:t>（</w:t>
      </w:r>
      <w:r>
        <w:rPr>
          <w:rFonts w:ascii="Times New Roman" w:hAnsi="Times New Roman" w:eastAsia="Times New Roman"/>
          <w:position w:val="1"/>
        </w:rPr>
        <w:t>2019 </w:t>
      </w:r>
      <w:r>
        <w:rPr/>
        <w:t>年本</w:t>
      </w:r>
      <w:r>
        <w:rPr>
          <w:spacing w:val="-15"/>
        </w:rPr>
        <w:t>）</w:t>
      </w:r>
      <w:r>
        <w:rPr>
          <w:spacing w:val="-4"/>
        </w:rPr>
        <w:t>》中鼓励类第一类</w:t>
      </w:r>
      <w:r>
        <w:rPr>
          <w:rFonts w:ascii="Times New Roman" w:hAnsi="Times New Roman" w:eastAsia="Times New Roman"/>
          <w:position w:val="1"/>
        </w:rPr>
        <w:t>“</w:t>
      </w:r>
      <w:r>
        <w:rPr/>
        <w:t>农林业</w:t>
      </w:r>
      <w:r>
        <w:rPr>
          <w:rFonts w:ascii="Times New Roman" w:hAnsi="Times New Roman" w:eastAsia="Times New Roman"/>
          <w:position w:val="1"/>
        </w:rPr>
        <w:t>”</w:t>
      </w:r>
      <w:r>
        <w:rPr>
          <w:spacing w:val="-31"/>
        </w:rPr>
        <w:t>第 </w:t>
      </w:r>
      <w:r>
        <w:rPr>
          <w:rFonts w:ascii="Times New Roman" w:hAnsi="Times New Roman" w:eastAsia="Times New Roman"/>
          <w:position w:val="1"/>
        </w:rPr>
        <w:t>4 </w:t>
      </w:r>
      <w:r>
        <w:rPr/>
        <w:t>项</w:t>
      </w:r>
      <w:r>
        <w:rPr>
          <w:rFonts w:ascii="Times New Roman" w:hAnsi="Times New Roman" w:eastAsia="Times New Roman"/>
          <w:position w:val="1"/>
        </w:rPr>
        <w:t>“</w:t>
      </w:r>
      <w:r>
        <w:rPr/>
        <w:t>畜禽标准化规模养殖技术开发与应用</w:t>
      </w:r>
      <w:r>
        <w:rPr>
          <w:rFonts w:ascii="Times New Roman" w:hAnsi="Times New Roman" w:eastAsia="Times New Roman"/>
          <w:position w:val="1"/>
        </w:rPr>
        <w:t>”</w:t>
      </w:r>
      <w:r>
        <w:rPr>
          <w:spacing w:val="-4"/>
        </w:rPr>
        <w:t>。项目拟建址位于柯桥区柯岩街道丰项村，不触及畜禽养殖禁养区。目前，企业已就</w:t>
      </w:r>
      <w:r>
        <w:rPr/>
        <w:t>该项目在浙江省投资项目在线审批监管平台上进行了备案。因此，本项目的建设符合国家及地方产业政策。</w:t>
      </w:r>
    </w:p>
    <w:p>
      <w:pPr>
        <w:pStyle w:val="BodyText"/>
        <w:spacing w:before="4"/>
        <w:ind w:left="717"/>
        <w:jc w:val="both"/>
      </w:pPr>
      <w:r>
        <w:rPr/>
        <w:t>②与《畜禽养殖业污染防治技术规范》（</w:t>
      </w:r>
      <w:r>
        <w:rPr>
          <w:rFonts w:ascii="Times New Roman" w:hAnsi="Times New Roman" w:eastAsia="Times New Roman"/>
          <w:position w:val="1"/>
        </w:rPr>
        <w:t>HJ/T 81-2001</w:t>
      </w:r>
      <w:r>
        <w:rPr/>
        <w:t>）的符合性分析</w:t>
      </w:r>
    </w:p>
    <w:p>
      <w:pPr>
        <w:pStyle w:val="BodyText"/>
        <w:spacing w:before="161"/>
        <w:ind w:left="717"/>
      </w:pPr>
      <w:r>
        <w:rPr/>
        <w:t>原国家环境保护总局于 </w:t>
      </w:r>
      <w:r>
        <w:rPr>
          <w:rFonts w:ascii="Times New Roman" w:eastAsia="Times New Roman"/>
          <w:position w:val="1"/>
        </w:rPr>
        <w:t>2001 </w:t>
      </w:r>
      <w:r>
        <w:rPr/>
        <w:t>年 </w:t>
      </w:r>
      <w:r>
        <w:rPr>
          <w:rFonts w:ascii="Times New Roman" w:eastAsia="Times New Roman"/>
          <w:position w:val="1"/>
        </w:rPr>
        <w:t>12 </w:t>
      </w:r>
      <w:r>
        <w:rPr/>
        <w:t>月 </w:t>
      </w:r>
      <w:r>
        <w:rPr>
          <w:rFonts w:ascii="Times New Roman" w:eastAsia="Times New Roman"/>
          <w:position w:val="1"/>
        </w:rPr>
        <w:t>19 </w:t>
      </w:r>
      <w:r>
        <w:rPr/>
        <w:t>日发布了《畜禽养殖业污染防治技术规范》</w:t>
      </w:r>
    </w:p>
    <w:p>
      <w:pPr>
        <w:pStyle w:val="BodyText"/>
        <w:spacing w:line="364" w:lineRule="auto" w:before="160"/>
        <w:ind w:right="132"/>
      </w:pPr>
      <w:r>
        <w:rPr/>
        <w:t>（</w:t>
      </w:r>
      <w:r>
        <w:rPr>
          <w:rFonts w:ascii="Times New Roman" w:eastAsia="Times New Roman"/>
          <w:position w:val="1"/>
        </w:rPr>
        <w:t>HJ/T </w:t>
      </w:r>
      <w:r>
        <w:rPr>
          <w:rFonts w:ascii="Times New Roman" w:eastAsia="Times New Roman"/>
          <w:spacing w:val="-10"/>
          <w:position w:val="1"/>
        </w:rPr>
        <w:t>81-2001</w:t>
      </w:r>
      <w:r>
        <w:rPr>
          <w:spacing w:val="-10"/>
        </w:rPr>
        <w:t>），</w:t>
      </w:r>
      <w:r>
        <w:rPr>
          <w:spacing w:val="-6"/>
        </w:rPr>
        <w:t>规定了畜禽养殖场的选址要求、厂区布局与清粪工艺、畜禽粪便贮存、</w:t>
      </w:r>
      <w:r>
        <w:rPr/>
        <w:t>污水处理、固体粪肥的处理利用、饲料和饲养管理、病死畜禽尸体处理与处置、污染物</w:t>
      </w:r>
      <w:r>
        <w:rPr>
          <w:spacing w:val="-3"/>
        </w:rPr>
        <w:t>监测等污染防治的基本技术要求，本项目与之符合性分析详见表 </w:t>
      </w:r>
      <w:r>
        <w:rPr>
          <w:rFonts w:ascii="Times New Roman" w:eastAsia="Times New Roman"/>
          <w:position w:val="1"/>
        </w:rPr>
        <w:t>9.2-2</w:t>
      </w:r>
      <w:r>
        <w:rPr/>
        <w:t>。</w:t>
      </w:r>
    </w:p>
    <w:p>
      <w:pPr>
        <w:spacing w:after="0" w:line="364" w:lineRule="auto"/>
        <w:sectPr>
          <w:pgSz w:w="11910" w:h="16840"/>
          <w:pgMar w:header="874" w:footer="1004" w:top="1420" w:bottom="1200" w:left="1040" w:right="1160"/>
        </w:sectPr>
      </w:pPr>
    </w:p>
    <w:p>
      <w:pPr>
        <w:pStyle w:val="Heading3"/>
        <w:spacing w:before="92"/>
        <w:ind w:left="218" w:right="236"/>
        <w:jc w:val="center"/>
      </w:pPr>
      <w:r>
        <w:rPr/>
        <w:t>表 </w:t>
      </w:r>
      <w:r>
        <w:rPr>
          <w:rFonts w:ascii="Times New Roman" w:eastAsia="Times New Roman"/>
        </w:rPr>
        <w:t>9.2-2  </w:t>
      </w:r>
      <w:r>
        <w:rPr/>
        <w:t>与《畜禽养殖业污染防治技术规范》的符合性分析</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6"/>
        <w:gridCol w:w="5250"/>
        <w:gridCol w:w="2410"/>
        <w:gridCol w:w="955"/>
      </w:tblGrid>
      <w:tr>
        <w:trPr>
          <w:trHeight w:val="311" w:hRule="atLeast"/>
        </w:trPr>
        <w:tc>
          <w:tcPr>
            <w:tcW w:w="6066" w:type="dxa"/>
            <w:gridSpan w:val="2"/>
            <w:tcBorders>
              <w:bottom w:val="single" w:sz="6" w:space="0" w:color="000000"/>
              <w:right w:val="single" w:sz="6" w:space="0" w:color="000000"/>
            </w:tcBorders>
          </w:tcPr>
          <w:p>
            <w:pPr>
              <w:pStyle w:val="TableParagraph"/>
              <w:spacing w:before="22"/>
              <w:ind w:left="2591" w:right="2568"/>
              <w:rPr>
                <w:rFonts w:ascii="宋体" w:eastAsia="宋体" w:hint="eastAsia"/>
                <w:b/>
                <w:sz w:val="21"/>
              </w:rPr>
            </w:pPr>
            <w:r>
              <w:rPr>
                <w:rFonts w:ascii="宋体" w:eastAsia="宋体" w:hint="eastAsia"/>
                <w:b/>
                <w:sz w:val="21"/>
              </w:rPr>
              <w:t>技术要求</w:t>
            </w:r>
          </w:p>
        </w:tc>
        <w:tc>
          <w:tcPr>
            <w:tcW w:w="2410" w:type="dxa"/>
            <w:tcBorders>
              <w:left w:val="single" w:sz="6" w:space="0" w:color="000000"/>
              <w:bottom w:val="single" w:sz="6" w:space="0" w:color="000000"/>
              <w:right w:val="single" w:sz="6" w:space="0" w:color="000000"/>
            </w:tcBorders>
          </w:tcPr>
          <w:p>
            <w:pPr>
              <w:pStyle w:val="TableParagraph"/>
              <w:spacing w:before="22"/>
              <w:ind w:left="681"/>
              <w:jc w:val="left"/>
              <w:rPr>
                <w:rFonts w:ascii="宋体" w:eastAsia="宋体" w:hint="eastAsia"/>
                <w:b/>
                <w:sz w:val="21"/>
              </w:rPr>
            </w:pPr>
            <w:r>
              <w:rPr>
                <w:rFonts w:ascii="宋体" w:eastAsia="宋体" w:hint="eastAsia"/>
                <w:b/>
                <w:sz w:val="21"/>
              </w:rPr>
              <w:t>本项目情况</w:t>
            </w:r>
          </w:p>
        </w:tc>
        <w:tc>
          <w:tcPr>
            <w:tcW w:w="955" w:type="dxa"/>
            <w:tcBorders>
              <w:left w:val="single" w:sz="6" w:space="0" w:color="000000"/>
              <w:bottom w:val="single" w:sz="6" w:space="0" w:color="000000"/>
            </w:tcBorders>
          </w:tcPr>
          <w:p>
            <w:pPr>
              <w:pStyle w:val="TableParagraph"/>
              <w:spacing w:before="22"/>
              <w:ind w:left="140" w:right="104"/>
              <w:rPr>
                <w:rFonts w:ascii="宋体" w:eastAsia="宋体" w:hint="eastAsia"/>
                <w:b/>
                <w:sz w:val="21"/>
              </w:rPr>
            </w:pPr>
            <w:r>
              <w:rPr>
                <w:rFonts w:ascii="宋体" w:eastAsia="宋体" w:hint="eastAsia"/>
                <w:b/>
                <w:sz w:val="21"/>
              </w:rPr>
              <w:t>符合性</w:t>
            </w:r>
          </w:p>
        </w:tc>
      </w:tr>
      <w:tr>
        <w:trPr>
          <w:trHeight w:val="307" w:hRule="atLeast"/>
        </w:trPr>
        <w:tc>
          <w:tcPr>
            <w:tcW w:w="816" w:type="dxa"/>
            <w:tcBorders>
              <w:top w:val="single" w:sz="6" w:space="0" w:color="000000"/>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line="263" w:lineRule="exact" w:before="25"/>
              <w:ind w:left="114"/>
              <w:jc w:val="left"/>
              <w:rPr>
                <w:rFonts w:ascii="宋体" w:hAnsi="宋体" w:eastAsia="宋体" w:hint="eastAsia"/>
                <w:sz w:val="21"/>
              </w:rPr>
            </w:pPr>
            <w:r>
              <w:rPr>
                <w:rFonts w:ascii="宋体" w:hAnsi="宋体" w:eastAsia="宋体" w:hint="eastAsia"/>
                <w:sz w:val="21"/>
              </w:rPr>
              <w:t>禁止在下列区域内建设畜禽养殖场：①生活饮用水水源</w:t>
            </w:r>
          </w:p>
        </w:tc>
        <w:tc>
          <w:tcPr>
            <w:tcW w:w="24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7"/>
              </w:rPr>
            </w:pPr>
          </w:p>
          <w:p>
            <w:pPr>
              <w:pStyle w:val="TableParagraph"/>
              <w:spacing w:line="278" w:lineRule="auto" w:before="0"/>
              <w:ind w:left="112" w:right="84"/>
              <w:jc w:val="both"/>
              <w:rPr>
                <w:rFonts w:ascii="宋体" w:eastAsia="宋体" w:hint="eastAsia"/>
                <w:sz w:val="21"/>
              </w:rPr>
            </w:pPr>
            <w:r>
              <w:rPr>
                <w:rFonts w:ascii="宋体" w:eastAsia="宋体" w:hint="eastAsia"/>
                <w:spacing w:val="6"/>
                <w:sz w:val="21"/>
              </w:rPr>
              <w:t>本项目拟建址属于非禁</w:t>
            </w:r>
            <w:r>
              <w:rPr>
                <w:rFonts w:ascii="宋体" w:eastAsia="宋体" w:hint="eastAsia"/>
                <w:spacing w:val="-22"/>
                <w:position w:val="1"/>
                <w:sz w:val="21"/>
              </w:rPr>
              <w:t>养区，周边 </w:t>
            </w:r>
            <w:r>
              <w:rPr>
                <w:sz w:val="21"/>
              </w:rPr>
              <w:t>500m </w:t>
            </w:r>
            <w:r>
              <w:rPr>
                <w:rFonts w:ascii="宋体" w:eastAsia="宋体" w:hint="eastAsia"/>
                <w:spacing w:val="-7"/>
                <w:position w:val="1"/>
                <w:sz w:val="21"/>
              </w:rPr>
              <w:t>范围内</w:t>
            </w:r>
            <w:r>
              <w:rPr>
                <w:rFonts w:ascii="宋体" w:eastAsia="宋体" w:hint="eastAsia"/>
                <w:spacing w:val="-3"/>
                <w:sz w:val="21"/>
              </w:rPr>
              <w:t>不涉及所述禁建区域。</w:t>
            </w: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eastAsia="宋体" w:hint="eastAsia"/>
                <w:sz w:val="21"/>
              </w:rPr>
            </w:pPr>
            <w:r>
              <w:rPr>
                <w:rFonts w:ascii="宋体" w:eastAsia="宋体" w:hint="eastAsia"/>
                <w:sz w:val="21"/>
              </w:rPr>
              <w:t>保护区、风景名胜区、自然保护区的核心区及缓冲区；</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hAnsi="宋体" w:eastAsia="宋体" w:hint="eastAsia"/>
                <w:sz w:val="21"/>
              </w:rPr>
            </w:pPr>
            <w:r>
              <w:rPr>
                <w:rFonts w:ascii="宋体" w:hAnsi="宋体" w:eastAsia="宋体" w:hint="eastAsia"/>
                <w:sz w:val="21"/>
              </w:rPr>
              <w:t>②城市和城镇居民区，包括文教科研区、医疗区、商业</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hAnsi="宋体" w:eastAsia="宋体" w:hint="eastAsia"/>
                <w:sz w:val="21"/>
              </w:rPr>
            </w:pPr>
            <w:r>
              <w:rPr>
                <w:rFonts w:ascii="宋体" w:hAnsi="宋体" w:eastAsia="宋体" w:hint="eastAsia"/>
                <w:sz w:val="21"/>
              </w:rPr>
              <w:t>区、工业区、游览区等人口集中地区；③县级人民政府</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615" w:hRule="atLeast"/>
        </w:trPr>
        <w:tc>
          <w:tcPr>
            <w:tcW w:w="816" w:type="dxa"/>
            <w:tcBorders>
              <w:top w:val="nil"/>
              <w:bottom w:val="nil"/>
              <w:right w:val="single" w:sz="6" w:space="0" w:color="000000"/>
            </w:tcBorders>
          </w:tcPr>
          <w:p>
            <w:pPr>
              <w:pStyle w:val="TableParagraph"/>
              <w:spacing w:before="21"/>
              <w:ind w:left="196"/>
              <w:jc w:val="left"/>
              <w:rPr>
                <w:rFonts w:ascii="宋体" w:eastAsia="宋体" w:hint="eastAsia"/>
                <w:sz w:val="21"/>
              </w:rPr>
            </w:pPr>
            <w:r>
              <w:rPr>
                <w:rFonts w:ascii="宋体" w:eastAsia="宋体" w:hint="eastAsia"/>
                <w:sz w:val="21"/>
              </w:rPr>
              <w:t>选址</w:t>
            </w:r>
          </w:p>
          <w:p>
            <w:pPr>
              <w:pStyle w:val="TableParagraph"/>
              <w:spacing w:line="262" w:lineRule="exact" w:before="43"/>
              <w:ind w:left="196"/>
              <w:jc w:val="left"/>
              <w:rPr>
                <w:rFonts w:ascii="宋体" w:eastAsia="宋体" w:hint="eastAsia"/>
                <w:sz w:val="21"/>
              </w:rPr>
            </w:pPr>
            <w:r>
              <w:rPr>
                <w:rFonts w:ascii="宋体" w:eastAsia="宋体" w:hint="eastAsia"/>
                <w:sz w:val="21"/>
              </w:rPr>
              <w:t>要求</w:t>
            </w:r>
          </w:p>
        </w:tc>
        <w:tc>
          <w:tcPr>
            <w:tcW w:w="5250" w:type="dxa"/>
            <w:tcBorders>
              <w:top w:val="nil"/>
              <w:left w:val="single" w:sz="6" w:space="0" w:color="000000"/>
              <w:bottom w:val="single" w:sz="6" w:space="0" w:color="000000"/>
              <w:right w:val="single" w:sz="6" w:space="0" w:color="000000"/>
            </w:tcBorders>
          </w:tcPr>
          <w:p>
            <w:pPr>
              <w:pStyle w:val="TableParagraph"/>
              <w:spacing w:before="14"/>
              <w:ind w:left="114"/>
              <w:jc w:val="left"/>
              <w:rPr>
                <w:rFonts w:ascii="宋体" w:hAnsi="宋体" w:eastAsia="宋体" w:hint="eastAsia"/>
                <w:sz w:val="21"/>
              </w:rPr>
            </w:pPr>
            <w:r>
              <w:rPr>
                <w:rFonts w:ascii="宋体" w:hAnsi="宋体" w:eastAsia="宋体" w:hint="eastAsia"/>
                <w:sz w:val="21"/>
              </w:rPr>
              <w:t>依法划定的禁养区域；④国家或地方法律、法规规定需</w:t>
            </w:r>
          </w:p>
          <w:p>
            <w:pPr>
              <w:pStyle w:val="TableParagraph"/>
              <w:spacing w:before="43"/>
              <w:ind w:left="114"/>
              <w:jc w:val="left"/>
              <w:rPr>
                <w:rFonts w:ascii="宋体" w:eastAsia="宋体" w:hint="eastAsia"/>
                <w:sz w:val="21"/>
              </w:rPr>
            </w:pPr>
            <w:r>
              <w:rPr>
                <w:rFonts w:ascii="宋体" w:eastAsia="宋体" w:hint="eastAsia"/>
                <w:sz w:val="21"/>
              </w:rPr>
              <w:t>特殊保护的其他区域。</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177"/>
              <w:ind w:left="140" w:right="103"/>
              <w:rPr>
                <w:rFonts w:ascii="宋体" w:eastAsia="宋体" w:hint="eastAsia"/>
                <w:sz w:val="21"/>
              </w:rPr>
            </w:pPr>
            <w:r>
              <w:rPr>
                <w:rFonts w:ascii="宋体" w:eastAsia="宋体" w:hint="eastAsia"/>
                <w:sz w:val="21"/>
              </w:rPr>
              <w:t>符合</w:t>
            </w:r>
          </w:p>
        </w:tc>
      </w:tr>
      <w:tr>
        <w:trPr>
          <w:trHeight w:val="305"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line="263" w:lineRule="exact" w:before="22"/>
              <w:ind w:left="114"/>
              <w:jc w:val="left"/>
              <w:rPr>
                <w:rFonts w:ascii="宋体" w:eastAsia="宋体" w:hint="eastAsia"/>
                <w:sz w:val="21"/>
              </w:rPr>
            </w:pPr>
            <w:r>
              <w:rPr>
                <w:rFonts w:ascii="宋体" w:eastAsia="宋体" w:hint="eastAsia"/>
                <w:sz w:val="21"/>
              </w:rPr>
              <w:t>新、改、扩建畜禽养殖场选址应避开上述禁建区域，在</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296"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eastAsia="宋体" w:hint="eastAsia"/>
                <w:sz w:val="21"/>
              </w:rPr>
            </w:pPr>
            <w:r>
              <w:rPr>
                <w:rFonts w:ascii="宋体" w:eastAsia="宋体" w:hint="eastAsia"/>
                <w:sz w:val="21"/>
              </w:rPr>
              <w:t>禁建区域附近建设的，应设在禁建区域常年主导风向的</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eastAsia="宋体" w:hint="eastAsia"/>
                <w:sz w:val="21"/>
              </w:rPr>
            </w:pPr>
            <w:r>
              <w:rPr>
                <w:rFonts w:ascii="宋体" w:eastAsia="宋体" w:hint="eastAsia"/>
                <w:sz w:val="21"/>
              </w:rPr>
              <w:t>下风向或侧风向处，场界与禁建区域边界的最小距离不</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303" w:hRule="atLeast"/>
        </w:trPr>
        <w:tc>
          <w:tcPr>
            <w:tcW w:w="816" w:type="dxa"/>
            <w:tcBorders>
              <w:top w:val="nil"/>
              <w:bottom w:val="single" w:sz="6" w:space="0" w:color="000000"/>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12"/>
              <w:ind w:left="114"/>
              <w:jc w:val="left"/>
              <w:rPr>
                <w:rFonts w:ascii="宋体" w:eastAsia="宋体" w:hint="eastAsia"/>
                <w:sz w:val="21"/>
              </w:rPr>
            </w:pPr>
            <w:r>
              <w:rPr>
                <w:rFonts w:ascii="宋体" w:eastAsia="宋体" w:hint="eastAsia"/>
                <w:position w:val="1"/>
                <w:sz w:val="21"/>
              </w:rPr>
              <w:t>得小于 </w:t>
            </w:r>
            <w:r>
              <w:rPr>
                <w:sz w:val="21"/>
              </w:rPr>
              <w:t>500m</w:t>
            </w:r>
            <w:r>
              <w:rPr>
                <w:rFonts w:ascii="宋体" w:eastAsia="宋体" w:hint="eastAsia"/>
                <w:position w:val="1"/>
                <w:sz w:val="21"/>
              </w:rPr>
              <w:t>。</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single" w:sz="6" w:space="0" w:color="000000"/>
            </w:tcBorders>
          </w:tcPr>
          <w:p>
            <w:pPr>
              <w:pStyle w:val="TableParagraph"/>
              <w:spacing w:before="0"/>
              <w:jc w:val="left"/>
              <w:rPr>
                <w:sz w:val="20"/>
              </w:rPr>
            </w:pPr>
          </w:p>
        </w:tc>
      </w:tr>
      <w:tr>
        <w:trPr>
          <w:trHeight w:val="312" w:hRule="atLeast"/>
        </w:trPr>
        <w:tc>
          <w:tcPr>
            <w:tcW w:w="816" w:type="dxa"/>
            <w:tcBorders>
              <w:top w:val="single" w:sz="6" w:space="0" w:color="000000"/>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before="0"/>
              <w:jc w:val="left"/>
              <w:rPr>
                <w:sz w:val="20"/>
              </w:rPr>
            </w:pPr>
          </w:p>
        </w:tc>
        <w:tc>
          <w:tcPr>
            <w:tcW w:w="2410" w:type="dxa"/>
            <w:tcBorders>
              <w:top w:val="single" w:sz="6" w:space="0" w:color="000000"/>
              <w:left w:val="single" w:sz="6" w:space="0" w:color="000000"/>
              <w:bottom w:val="nil"/>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本地区常年主、次导风</w:t>
            </w: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623"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0"/>
              <w:jc w:val="left"/>
              <w:rPr>
                <w:rFonts w:ascii="宋体"/>
                <w:b/>
                <w:sz w:val="26"/>
              </w:rPr>
            </w:pPr>
          </w:p>
          <w:p>
            <w:pPr>
              <w:pStyle w:val="TableParagraph"/>
              <w:spacing w:before="0"/>
              <w:ind w:left="114"/>
              <w:jc w:val="left"/>
              <w:rPr>
                <w:rFonts w:ascii="宋体" w:eastAsia="宋体" w:hint="eastAsia"/>
                <w:sz w:val="21"/>
              </w:rPr>
            </w:pPr>
            <w:r>
              <w:rPr>
                <w:rFonts w:ascii="宋体" w:eastAsia="宋体" w:hint="eastAsia"/>
                <w:sz w:val="21"/>
              </w:rPr>
              <w:t>新、改、扩建畜禽养殖场应实现生产区、生活管理区的</w:t>
            </w:r>
          </w:p>
        </w:tc>
        <w:tc>
          <w:tcPr>
            <w:tcW w:w="2410" w:type="dxa"/>
            <w:tcBorders>
              <w:top w:val="nil"/>
              <w:left w:val="single" w:sz="6" w:space="0" w:color="000000"/>
              <w:bottom w:val="nil"/>
              <w:right w:val="single" w:sz="6" w:space="0" w:color="000000"/>
            </w:tcBorders>
          </w:tcPr>
          <w:p>
            <w:pPr>
              <w:pStyle w:val="TableParagraph"/>
              <w:spacing w:before="19"/>
              <w:ind w:left="112"/>
              <w:jc w:val="left"/>
              <w:rPr>
                <w:rFonts w:ascii="宋体" w:eastAsia="宋体" w:hint="eastAsia"/>
                <w:sz w:val="21"/>
              </w:rPr>
            </w:pPr>
            <w:r>
              <w:rPr>
                <w:rFonts w:ascii="宋体" w:eastAsia="宋体" w:hint="eastAsia"/>
                <w:spacing w:val="25"/>
                <w:w w:val="100"/>
                <w:position w:val="1"/>
                <w:sz w:val="21"/>
              </w:rPr>
              <w:t>向为</w:t>
            </w:r>
            <w:r>
              <w:rPr>
                <w:spacing w:val="-2"/>
                <w:w w:val="100"/>
                <w:sz w:val="21"/>
              </w:rPr>
              <w:t>N</w:t>
            </w:r>
            <w:r>
              <w:rPr>
                <w:w w:val="100"/>
                <w:sz w:val="21"/>
              </w:rPr>
              <w:t>N</w:t>
            </w:r>
            <w:r>
              <w:rPr>
                <w:w w:val="100"/>
                <w:sz w:val="21"/>
              </w:rPr>
              <w:t>W</w:t>
            </w:r>
            <w:r>
              <w:rPr>
                <w:spacing w:val="-2"/>
                <w:w w:val="100"/>
                <w:sz w:val="21"/>
              </w:rPr>
              <w:t>/E</w:t>
            </w:r>
            <w:r>
              <w:rPr>
                <w:spacing w:val="-2"/>
                <w:w w:val="100"/>
                <w:sz w:val="21"/>
              </w:rPr>
              <w:t>N</w:t>
            </w:r>
            <w:r>
              <w:rPr>
                <w:w w:val="100"/>
                <w:sz w:val="21"/>
              </w:rPr>
              <w:t>E</w:t>
            </w:r>
            <w:r>
              <w:rPr>
                <w:rFonts w:ascii="宋体" w:eastAsia="宋体" w:hint="eastAsia"/>
                <w:spacing w:val="-24"/>
                <w:w w:val="100"/>
                <w:position w:val="1"/>
                <w:sz w:val="21"/>
              </w:rPr>
              <w:t>，可知粪</w:t>
            </w:r>
          </w:p>
          <w:p>
            <w:pPr>
              <w:pStyle w:val="TableParagraph"/>
              <w:spacing w:before="46"/>
              <w:ind w:left="112"/>
              <w:jc w:val="left"/>
              <w:rPr>
                <w:rFonts w:ascii="宋体" w:eastAsia="宋体" w:hint="eastAsia"/>
                <w:sz w:val="21"/>
              </w:rPr>
            </w:pPr>
            <w:r>
              <w:rPr>
                <w:rFonts w:ascii="宋体" w:eastAsia="宋体" w:hint="eastAsia"/>
                <w:spacing w:val="7"/>
                <w:sz w:val="21"/>
              </w:rPr>
              <w:t>污处理区位于生活管理</w:t>
            </w:r>
          </w:p>
        </w:tc>
        <w:tc>
          <w:tcPr>
            <w:tcW w:w="955" w:type="dxa"/>
            <w:tcBorders>
              <w:top w:val="nil"/>
              <w:left w:val="single" w:sz="6" w:space="0" w:color="000000"/>
              <w:bottom w:val="nil"/>
            </w:tcBorders>
          </w:tcPr>
          <w:p>
            <w:pPr>
              <w:pStyle w:val="TableParagraph"/>
              <w:spacing w:before="0"/>
              <w:jc w:val="left"/>
              <w:rPr>
                <w:sz w:val="20"/>
              </w:rPr>
            </w:pPr>
          </w:p>
        </w:tc>
      </w:tr>
      <w:tr>
        <w:trPr>
          <w:trHeight w:val="312"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隔离，粪便污水处理设施与畜禽尸体焚烧炉应设置在养</w:t>
            </w:r>
          </w:p>
        </w:tc>
        <w:tc>
          <w:tcPr>
            <w:tcW w:w="2410" w:type="dxa"/>
            <w:tcBorders>
              <w:top w:val="nil"/>
              <w:left w:val="single" w:sz="6" w:space="0" w:color="000000"/>
              <w:bottom w:val="nil"/>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区的侧风向，但因地势</w:t>
            </w:r>
          </w:p>
        </w:tc>
        <w:tc>
          <w:tcPr>
            <w:tcW w:w="955" w:type="dxa"/>
            <w:tcBorders>
              <w:top w:val="nil"/>
              <w:left w:val="single" w:sz="6" w:space="0" w:color="000000"/>
              <w:bottom w:val="nil"/>
            </w:tcBorders>
          </w:tcPr>
          <w:p>
            <w:pPr>
              <w:pStyle w:val="TableParagraph"/>
              <w:spacing w:before="22"/>
              <w:ind w:left="140" w:right="103"/>
              <w:rPr>
                <w:rFonts w:ascii="宋体" w:eastAsia="宋体" w:hint="eastAsia"/>
                <w:sz w:val="21"/>
              </w:rPr>
            </w:pPr>
            <w:r>
              <w:rPr>
                <w:rFonts w:ascii="宋体" w:eastAsia="宋体" w:hint="eastAsia"/>
                <w:sz w:val="21"/>
              </w:rPr>
              <w:t>基本</w:t>
            </w:r>
          </w:p>
        </w:tc>
      </w:tr>
      <w:tr>
        <w:trPr>
          <w:trHeight w:val="312"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殖场的生产区、生活管理区的常年主导风向的下风向或</w:t>
            </w:r>
          </w:p>
        </w:tc>
        <w:tc>
          <w:tcPr>
            <w:tcW w:w="2410" w:type="dxa"/>
            <w:tcBorders>
              <w:top w:val="nil"/>
              <w:left w:val="single" w:sz="6" w:space="0" w:color="000000"/>
              <w:bottom w:val="nil"/>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原因，其位置难以避开</w:t>
            </w:r>
          </w:p>
        </w:tc>
        <w:tc>
          <w:tcPr>
            <w:tcW w:w="955" w:type="dxa"/>
            <w:tcBorders>
              <w:top w:val="nil"/>
              <w:left w:val="single" w:sz="6" w:space="0" w:color="000000"/>
              <w:bottom w:val="nil"/>
            </w:tcBorders>
          </w:tcPr>
          <w:p>
            <w:pPr>
              <w:pStyle w:val="TableParagraph"/>
              <w:spacing w:before="22"/>
              <w:ind w:left="140" w:right="103"/>
              <w:rPr>
                <w:rFonts w:ascii="宋体" w:eastAsia="宋体" w:hint="eastAsia"/>
                <w:sz w:val="21"/>
              </w:rPr>
            </w:pPr>
            <w:r>
              <w:rPr>
                <w:rFonts w:ascii="宋体" w:eastAsia="宋体" w:hint="eastAsia"/>
                <w:sz w:val="21"/>
              </w:rPr>
              <w:t>符合</w:t>
            </w:r>
          </w:p>
        </w:tc>
      </w:tr>
      <w:tr>
        <w:trPr>
          <w:trHeight w:val="934" w:hRule="atLeast"/>
        </w:trPr>
        <w:tc>
          <w:tcPr>
            <w:tcW w:w="816" w:type="dxa"/>
            <w:vMerge w:val="restart"/>
            <w:tcBorders>
              <w:top w:val="nil"/>
              <w:bottom w:val="nil"/>
              <w:right w:val="single" w:sz="6" w:space="0" w:color="000000"/>
            </w:tcBorders>
          </w:tcPr>
          <w:p>
            <w:pPr>
              <w:pStyle w:val="TableParagraph"/>
              <w:spacing w:before="0"/>
              <w:jc w:val="left"/>
              <w:rPr>
                <w:rFonts w:ascii="宋体"/>
                <w:b/>
                <w:sz w:val="15"/>
              </w:rPr>
            </w:pPr>
          </w:p>
          <w:p>
            <w:pPr>
              <w:pStyle w:val="TableParagraph"/>
              <w:spacing w:line="278" w:lineRule="auto" w:before="0"/>
              <w:ind w:left="196" w:right="172"/>
              <w:jc w:val="both"/>
              <w:rPr>
                <w:rFonts w:ascii="宋体" w:eastAsia="宋体" w:hint="eastAsia"/>
                <w:sz w:val="21"/>
              </w:rPr>
            </w:pPr>
            <w:r>
              <w:rPr>
                <w:rFonts w:ascii="宋体" w:eastAsia="宋体" w:hint="eastAsia"/>
                <w:sz w:val="21"/>
              </w:rPr>
              <w:t>场区布局与清粪工艺</w:t>
            </w:r>
          </w:p>
        </w:tc>
        <w:tc>
          <w:tcPr>
            <w:tcW w:w="5250" w:type="dxa"/>
            <w:tcBorders>
              <w:top w:val="nil"/>
              <w:left w:val="single" w:sz="6" w:space="0" w:color="000000"/>
              <w:bottom w:val="single" w:sz="6" w:space="0" w:color="000000"/>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侧风向处。</w:t>
            </w:r>
          </w:p>
        </w:tc>
        <w:tc>
          <w:tcPr>
            <w:tcW w:w="2410" w:type="dxa"/>
            <w:tcBorders>
              <w:top w:val="nil"/>
              <w:left w:val="single" w:sz="6" w:space="0" w:color="000000"/>
              <w:bottom w:val="single" w:sz="6" w:space="0" w:color="000000"/>
              <w:right w:val="single" w:sz="6" w:space="0" w:color="000000"/>
            </w:tcBorders>
          </w:tcPr>
          <w:p>
            <w:pPr>
              <w:pStyle w:val="TableParagraph"/>
              <w:spacing w:line="278" w:lineRule="auto" w:before="22"/>
              <w:ind w:left="112" w:right="84"/>
              <w:jc w:val="left"/>
              <w:rPr>
                <w:rFonts w:ascii="宋体" w:eastAsia="宋体" w:hint="eastAsia"/>
                <w:sz w:val="21"/>
              </w:rPr>
            </w:pPr>
            <w:r>
              <w:rPr>
                <w:rFonts w:ascii="宋体" w:eastAsia="宋体" w:hint="eastAsia"/>
                <w:sz w:val="21"/>
              </w:rPr>
              <w:t>生产区的上风向，须通过废气的收集处理降低</w:t>
            </w:r>
          </w:p>
          <w:p>
            <w:pPr>
              <w:pStyle w:val="TableParagraph"/>
              <w:spacing w:line="269" w:lineRule="exact" w:before="0"/>
              <w:ind w:left="112"/>
              <w:jc w:val="left"/>
              <w:rPr>
                <w:rFonts w:ascii="宋体" w:eastAsia="宋体" w:hint="eastAsia"/>
                <w:sz w:val="21"/>
              </w:rPr>
            </w:pPr>
            <w:r>
              <w:rPr>
                <w:rFonts w:ascii="宋体" w:eastAsia="宋体" w:hint="eastAsia"/>
                <w:sz w:val="21"/>
              </w:rPr>
              <w:t>对生产区的影响。</w:t>
            </w:r>
          </w:p>
        </w:tc>
        <w:tc>
          <w:tcPr>
            <w:tcW w:w="955" w:type="dxa"/>
            <w:tcBorders>
              <w:top w:val="nil"/>
              <w:left w:val="single" w:sz="6" w:space="0" w:color="000000"/>
              <w:bottom w:val="single" w:sz="6" w:space="0" w:color="000000"/>
            </w:tcBorders>
          </w:tcPr>
          <w:p>
            <w:pPr>
              <w:pStyle w:val="TableParagraph"/>
              <w:spacing w:before="0"/>
              <w:jc w:val="left"/>
              <w:rPr>
                <w:sz w:val="20"/>
              </w:rPr>
            </w:pPr>
          </w:p>
        </w:tc>
      </w:tr>
      <w:tr>
        <w:trPr>
          <w:trHeight w:val="935" w:hRule="atLeast"/>
        </w:trPr>
        <w:tc>
          <w:tcPr>
            <w:tcW w:w="816" w:type="dxa"/>
            <w:vMerge/>
            <w:tcBorders>
              <w:top w:val="nil"/>
              <w:bottom w:val="nil"/>
              <w:right w:val="single" w:sz="6" w:space="0" w:color="000000"/>
            </w:tcBorders>
          </w:tcPr>
          <w:p>
            <w:pPr>
              <w:rPr>
                <w:sz w:val="2"/>
                <w:szCs w:val="2"/>
              </w:rPr>
            </w:pP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4" w:right="41"/>
              <w:jc w:val="left"/>
              <w:rPr>
                <w:rFonts w:ascii="宋体" w:eastAsia="宋体" w:hint="eastAsia"/>
                <w:sz w:val="21"/>
              </w:rPr>
            </w:pPr>
            <w:r>
              <w:rPr>
                <w:rFonts w:ascii="宋体" w:eastAsia="宋体" w:hint="eastAsia"/>
                <w:sz w:val="21"/>
              </w:rPr>
              <w:t>养殖场的排水系统应实施雨水和污水收集输送系统分离，在场区内外设置的污水收集输送系统，不得采取明</w:t>
            </w:r>
          </w:p>
          <w:p>
            <w:pPr>
              <w:pStyle w:val="TableParagraph"/>
              <w:spacing w:before="0"/>
              <w:ind w:left="114"/>
              <w:jc w:val="left"/>
              <w:rPr>
                <w:rFonts w:ascii="宋体" w:eastAsia="宋体" w:hint="eastAsia"/>
                <w:sz w:val="21"/>
              </w:rPr>
            </w:pPr>
            <w:r>
              <w:rPr>
                <w:rFonts w:ascii="宋体" w:eastAsia="宋体" w:hint="eastAsia"/>
                <w:sz w:val="21"/>
              </w:rPr>
              <w:t>沟布设。</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2" w:right="84"/>
              <w:jc w:val="left"/>
              <w:rPr>
                <w:rFonts w:ascii="宋体" w:eastAsia="宋体" w:hint="eastAsia"/>
                <w:sz w:val="21"/>
              </w:rPr>
            </w:pPr>
            <w:r>
              <w:rPr>
                <w:rFonts w:ascii="宋体" w:eastAsia="宋体" w:hint="eastAsia"/>
                <w:sz w:val="21"/>
              </w:rPr>
              <w:t>本项目实行雨污分流排水制度，污水输送沟渠</w:t>
            </w:r>
          </w:p>
          <w:p>
            <w:pPr>
              <w:pStyle w:val="TableParagraph"/>
              <w:spacing w:before="0"/>
              <w:ind w:left="112"/>
              <w:jc w:val="left"/>
              <w:rPr>
                <w:rFonts w:ascii="宋体" w:eastAsia="宋体" w:hint="eastAsia"/>
                <w:sz w:val="21"/>
              </w:rPr>
            </w:pPr>
            <w:r>
              <w:rPr>
                <w:rFonts w:ascii="宋体" w:eastAsia="宋体" w:hint="eastAsia"/>
                <w:sz w:val="21"/>
              </w:rPr>
              <w:t>不采用明沟不设。</w:t>
            </w:r>
          </w:p>
        </w:tc>
        <w:tc>
          <w:tcPr>
            <w:tcW w:w="955"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40" w:right="103"/>
              <w:rPr>
                <w:rFonts w:ascii="宋体" w:eastAsia="宋体" w:hint="eastAsia"/>
                <w:sz w:val="21"/>
              </w:rPr>
            </w:pPr>
            <w:r>
              <w:rPr>
                <w:rFonts w:ascii="宋体" w:eastAsia="宋体" w:hint="eastAsia"/>
                <w:sz w:val="21"/>
              </w:rPr>
              <w:t>符合</w:t>
            </w:r>
          </w:p>
        </w:tc>
      </w:tr>
      <w:tr>
        <w:trPr>
          <w:trHeight w:val="30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line="263" w:lineRule="exact" w:before="25"/>
              <w:ind w:left="114"/>
              <w:jc w:val="left"/>
              <w:rPr>
                <w:rFonts w:ascii="宋体" w:eastAsia="宋体" w:hint="eastAsia"/>
                <w:sz w:val="21"/>
              </w:rPr>
            </w:pPr>
            <w:r>
              <w:rPr>
                <w:rFonts w:ascii="宋体" w:eastAsia="宋体" w:hint="eastAsia"/>
                <w:sz w:val="21"/>
              </w:rPr>
              <w:t>新、改、扩建畜禽养殖场应采取干法清粪工艺，采取有</w:t>
            </w:r>
          </w:p>
        </w:tc>
        <w:tc>
          <w:tcPr>
            <w:tcW w:w="2410"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6"/>
              <w:jc w:val="left"/>
              <w:rPr>
                <w:rFonts w:ascii="宋体"/>
                <w:b/>
                <w:sz w:val="18"/>
              </w:rPr>
            </w:pPr>
          </w:p>
          <w:p>
            <w:pPr>
              <w:pStyle w:val="TableParagraph"/>
              <w:spacing w:line="278" w:lineRule="auto" w:before="0"/>
              <w:ind w:left="112" w:right="84"/>
              <w:jc w:val="left"/>
              <w:rPr>
                <w:rFonts w:ascii="宋体" w:eastAsia="宋体" w:hint="eastAsia"/>
                <w:sz w:val="21"/>
              </w:rPr>
            </w:pPr>
            <w:r>
              <w:rPr>
                <w:rFonts w:ascii="宋体" w:eastAsia="宋体" w:hint="eastAsia"/>
                <w:sz w:val="21"/>
              </w:rPr>
              <w:t>本项目清粪工艺为干清粪。</w:t>
            </w: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296"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right="-29"/>
              <w:jc w:val="left"/>
              <w:rPr>
                <w:rFonts w:ascii="宋体" w:eastAsia="宋体" w:hint="eastAsia"/>
                <w:sz w:val="21"/>
              </w:rPr>
            </w:pPr>
            <w:r>
              <w:rPr>
                <w:rFonts w:ascii="宋体" w:eastAsia="宋体" w:hint="eastAsia"/>
                <w:spacing w:val="-13"/>
                <w:sz w:val="21"/>
              </w:rPr>
              <w:t>效措施将粪及时、单独清出，不可与尿、污水混合排出，</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eastAsia="宋体" w:hint="eastAsia"/>
                <w:sz w:val="21"/>
              </w:rPr>
            </w:pPr>
            <w:r>
              <w:rPr>
                <w:rFonts w:ascii="宋体" w:eastAsia="宋体" w:hint="eastAsia"/>
                <w:sz w:val="21"/>
              </w:rPr>
              <w:t>并将产生的粪渣及时运至贮存或处理场所，实现日产日</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line="263" w:lineRule="exact" w:before="14"/>
              <w:ind w:left="140" w:right="103"/>
              <w:rPr>
                <w:rFonts w:ascii="宋体" w:eastAsia="宋体" w:hint="eastAsia"/>
                <w:sz w:val="21"/>
              </w:rPr>
            </w:pPr>
            <w:r>
              <w:rPr>
                <w:rFonts w:ascii="宋体" w:eastAsia="宋体" w:hint="eastAsia"/>
                <w:sz w:val="21"/>
              </w:rPr>
              <w:t>符合</w:t>
            </w: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eastAsia="宋体" w:hint="eastAsia"/>
                <w:sz w:val="21"/>
              </w:rPr>
            </w:pPr>
            <w:r>
              <w:rPr>
                <w:rFonts w:ascii="宋体" w:eastAsia="宋体" w:hint="eastAsia"/>
                <w:sz w:val="21"/>
              </w:rPr>
              <w:t>清。采用水冲粪、水泡粪湿法清粪工艺的养殖场，要逐</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nil"/>
            </w:tcBorders>
          </w:tcPr>
          <w:p>
            <w:pPr>
              <w:pStyle w:val="TableParagraph"/>
              <w:spacing w:before="0"/>
              <w:jc w:val="left"/>
              <w:rPr>
                <w:sz w:val="20"/>
              </w:rPr>
            </w:pPr>
          </w:p>
        </w:tc>
      </w:tr>
      <w:tr>
        <w:trPr>
          <w:trHeight w:val="303" w:hRule="atLeast"/>
        </w:trPr>
        <w:tc>
          <w:tcPr>
            <w:tcW w:w="816" w:type="dxa"/>
            <w:tcBorders>
              <w:top w:val="nil"/>
              <w:bottom w:val="single" w:sz="6" w:space="0" w:color="000000"/>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14"/>
              <w:ind w:left="114"/>
              <w:jc w:val="left"/>
              <w:rPr>
                <w:rFonts w:ascii="宋体" w:eastAsia="宋体" w:hint="eastAsia"/>
                <w:sz w:val="21"/>
              </w:rPr>
            </w:pPr>
            <w:r>
              <w:rPr>
                <w:rFonts w:ascii="宋体" w:eastAsia="宋体" w:hint="eastAsia"/>
                <w:sz w:val="21"/>
              </w:rPr>
              <w:t>步改为干法清粪工艺。</w:t>
            </w:r>
          </w:p>
        </w:tc>
        <w:tc>
          <w:tcPr>
            <w:tcW w:w="2410" w:type="dxa"/>
            <w:vMerge/>
            <w:tcBorders>
              <w:top w:val="nil"/>
              <w:left w:val="single" w:sz="6" w:space="0" w:color="000000"/>
              <w:bottom w:val="single" w:sz="6" w:space="0" w:color="000000"/>
              <w:right w:val="single" w:sz="6" w:space="0" w:color="000000"/>
            </w:tcBorders>
          </w:tcPr>
          <w:p>
            <w:pPr>
              <w:rPr>
                <w:sz w:val="2"/>
                <w:szCs w:val="2"/>
              </w:rPr>
            </w:pPr>
          </w:p>
        </w:tc>
        <w:tc>
          <w:tcPr>
            <w:tcW w:w="955" w:type="dxa"/>
            <w:tcBorders>
              <w:top w:val="nil"/>
              <w:left w:val="single" w:sz="6" w:space="0" w:color="000000"/>
              <w:bottom w:val="single" w:sz="6" w:space="0" w:color="000000"/>
            </w:tcBorders>
          </w:tcPr>
          <w:p>
            <w:pPr>
              <w:pStyle w:val="TableParagraph"/>
              <w:spacing w:before="0"/>
              <w:jc w:val="left"/>
              <w:rPr>
                <w:sz w:val="20"/>
              </w:rPr>
            </w:pPr>
          </w:p>
        </w:tc>
      </w:tr>
      <w:tr>
        <w:trPr>
          <w:trHeight w:val="935" w:hRule="atLeast"/>
        </w:trPr>
        <w:tc>
          <w:tcPr>
            <w:tcW w:w="816" w:type="dxa"/>
            <w:tcBorders>
              <w:top w:val="single" w:sz="6" w:space="0" w:color="000000"/>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4" w:right="41"/>
              <w:jc w:val="left"/>
              <w:rPr>
                <w:rFonts w:ascii="宋体" w:eastAsia="宋体" w:hint="eastAsia"/>
                <w:sz w:val="21"/>
              </w:rPr>
            </w:pPr>
            <w:r>
              <w:rPr>
                <w:rFonts w:ascii="宋体" w:eastAsia="宋体" w:hint="eastAsia"/>
                <w:sz w:val="21"/>
              </w:rPr>
              <w:t>畜禽养殖场产生的畜禽粪便应设置专门的贮存设施，其恶臭及污染物排放应符合《畜禽养殖业污染物排放标</w:t>
            </w:r>
          </w:p>
          <w:p>
            <w:pPr>
              <w:pStyle w:val="TableParagraph"/>
              <w:spacing w:line="269" w:lineRule="exact" w:before="0"/>
              <w:ind w:left="114"/>
              <w:jc w:val="left"/>
              <w:rPr>
                <w:rFonts w:ascii="宋体" w:eastAsia="宋体" w:hint="eastAsia"/>
                <w:sz w:val="21"/>
              </w:rPr>
            </w:pPr>
            <w:r>
              <w:rPr>
                <w:rFonts w:ascii="宋体" w:eastAsia="宋体" w:hint="eastAsia"/>
                <w:sz w:val="21"/>
              </w:rPr>
              <w:t>准》。</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112" w:right="84"/>
              <w:jc w:val="left"/>
              <w:rPr>
                <w:rFonts w:ascii="宋体" w:eastAsia="宋体" w:hint="eastAsia"/>
                <w:sz w:val="21"/>
              </w:rPr>
            </w:pPr>
            <w:r>
              <w:rPr>
                <w:rFonts w:ascii="宋体" w:eastAsia="宋体" w:hint="eastAsia"/>
                <w:sz w:val="21"/>
              </w:rPr>
              <w:t>本项目设有独立密闭的集粪间。</w:t>
            </w:r>
          </w:p>
        </w:tc>
        <w:tc>
          <w:tcPr>
            <w:tcW w:w="955"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40" w:right="103"/>
              <w:rPr>
                <w:rFonts w:ascii="宋体" w:eastAsia="宋体" w:hint="eastAsia"/>
                <w:sz w:val="21"/>
              </w:rPr>
            </w:pPr>
            <w:r>
              <w:rPr>
                <w:rFonts w:ascii="宋体" w:eastAsia="宋体" w:hint="eastAsia"/>
                <w:sz w:val="21"/>
              </w:rPr>
              <w:t>符合</w:t>
            </w:r>
          </w:p>
        </w:tc>
      </w:tr>
      <w:tr>
        <w:trPr>
          <w:trHeight w:val="1248" w:hRule="atLeast"/>
        </w:trPr>
        <w:tc>
          <w:tcPr>
            <w:tcW w:w="816" w:type="dxa"/>
            <w:tcBorders>
              <w:top w:val="nil"/>
              <w:bottom w:val="nil"/>
              <w:right w:val="single" w:sz="6" w:space="0" w:color="000000"/>
            </w:tcBorders>
          </w:tcPr>
          <w:p>
            <w:pPr>
              <w:pStyle w:val="TableParagraph"/>
              <w:spacing w:before="0"/>
              <w:jc w:val="left"/>
              <w:rPr>
                <w:rFonts w:ascii="宋体"/>
                <w:b/>
                <w:sz w:val="20"/>
              </w:rPr>
            </w:pPr>
          </w:p>
          <w:p>
            <w:pPr>
              <w:pStyle w:val="TableParagraph"/>
              <w:spacing w:before="5"/>
              <w:jc w:val="left"/>
              <w:rPr>
                <w:rFonts w:ascii="宋体"/>
                <w:b/>
                <w:sz w:val="28"/>
              </w:rPr>
            </w:pPr>
          </w:p>
          <w:p>
            <w:pPr>
              <w:pStyle w:val="TableParagraph"/>
              <w:spacing w:line="310" w:lineRule="atLeast" w:before="0"/>
              <w:ind w:left="196" w:right="172"/>
              <w:jc w:val="left"/>
              <w:rPr>
                <w:rFonts w:ascii="宋体" w:eastAsia="宋体" w:hint="eastAsia"/>
                <w:sz w:val="21"/>
              </w:rPr>
            </w:pPr>
            <w:r>
              <w:rPr>
                <w:rFonts w:ascii="宋体" w:eastAsia="宋体" w:hint="eastAsia"/>
                <w:sz w:val="21"/>
              </w:rPr>
              <w:t>畜禽粪便</w:t>
            </w: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114" w:right="82"/>
              <w:jc w:val="both"/>
              <w:rPr>
                <w:rFonts w:ascii="宋体" w:eastAsia="宋体" w:hint="eastAsia"/>
                <w:sz w:val="21"/>
              </w:rPr>
            </w:pPr>
            <w:r>
              <w:rPr>
                <w:rFonts w:ascii="宋体" w:eastAsia="宋体" w:hint="eastAsia"/>
                <w:spacing w:val="-4"/>
                <w:sz w:val="21"/>
              </w:rPr>
              <w:t>贮存设施的位置必须远离各类功能地表水体</w:t>
            </w:r>
            <w:r>
              <w:rPr>
                <w:rFonts w:ascii="宋体" w:eastAsia="宋体" w:hint="eastAsia"/>
                <w:spacing w:val="-3"/>
                <w:sz w:val="21"/>
              </w:rPr>
              <w:t>（</w:t>
            </w:r>
            <w:r>
              <w:rPr>
                <w:rFonts w:ascii="宋体" w:eastAsia="宋体" w:hint="eastAsia"/>
                <w:spacing w:val="-2"/>
                <w:sz w:val="21"/>
              </w:rPr>
              <w:t>距离不得</w:t>
            </w:r>
            <w:r>
              <w:rPr>
                <w:rFonts w:ascii="宋体" w:eastAsia="宋体" w:hint="eastAsia"/>
                <w:spacing w:val="9"/>
                <w:position w:val="1"/>
                <w:sz w:val="21"/>
              </w:rPr>
              <w:t>小于 </w:t>
            </w:r>
            <w:r>
              <w:rPr>
                <w:sz w:val="21"/>
              </w:rPr>
              <w:t>400m</w:t>
            </w:r>
            <w:r>
              <w:rPr>
                <w:rFonts w:ascii="宋体" w:eastAsia="宋体" w:hint="eastAsia"/>
                <w:position w:val="1"/>
                <w:sz w:val="21"/>
              </w:rPr>
              <w:t>），</w:t>
            </w:r>
            <w:r>
              <w:rPr>
                <w:rFonts w:ascii="宋体" w:eastAsia="宋体" w:hint="eastAsia"/>
                <w:spacing w:val="-1"/>
                <w:position w:val="1"/>
                <w:sz w:val="21"/>
              </w:rPr>
              <w:t>并应设在养殖场生产及生活管理区的常</w:t>
            </w:r>
            <w:r>
              <w:rPr>
                <w:rFonts w:ascii="宋体" w:eastAsia="宋体" w:hint="eastAsia"/>
                <w:spacing w:val="-3"/>
                <w:sz w:val="21"/>
              </w:rPr>
              <w:t>年主导风向的下风向或侧风向处。</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2" w:right="84"/>
              <w:jc w:val="both"/>
              <w:rPr>
                <w:rFonts w:ascii="宋体" w:eastAsia="宋体" w:hint="eastAsia"/>
                <w:sz w:val="21"/>
              </w:rPr>
            </w:pPr>
            <w:r>
              <w:rPr>
                <w:rFonts w:ascii="宋体" w:eastAsia="宋体" w:hint="eastAsia"/>
                <w:sz w:val="21"/>
              </w:rPr>
              <w:t>本项目周边河道无水功能区划，粪污处理区难以避开生产区的上风</w:t>
            </w:r>
          </w:p>
          <w:p>
            <w:pPr>
              <w:pStyle w:val="TableParagraph"/>
              <w:spacing w:before="0"/>
              <w:ind w:left="112" w:right="-29"/>
              <w:jc w:val="left"/>
              <w:rPr>
                <w:rFonts w:ascii="宋体" w:eastAsia="宋体" w:hint="eastAsia"/>
                <w:sz w:val="21"/>
              </w:rPr>
            </w:pPr>
            <w:r>
              <w:rPr>
                <w:rFonts w:ascii="宋体" w:eastAsia="宋体" w:hint="eastAsia"/>
                <w:spacing w:val="-5"/>
                <w:sz w:val="21"/>
              </w:rPr>
              <w:t>向，须有效收集其废气。</w:t>
            </w:r>
          </w:p>
        </w:tc>
        <w:tc>
          <w:tcPr>
            <w:tcW w:w="955"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line="278" w:lineRule="auto" w:before="0"/>
              <w:ind w:left="273" w:right="234"/>
              <w:jc w:val="left"/>
              <w:rPr>
                <w:rFonts w:ascii="宋体" w:eastAsia="宋体" w:hint="eastAsia"/>
                <w:sz w:val="21"/>
              </w:rPr>
            </w:pPr>
            <w:r>
              <w:rPr>
                <w:rFonts w:ascii="宋体" w:eastAsia="宋体" w:hint="eastAsia"/>
                <w:sz w:val="21"/>
              </w:rPr>
              <w:t>基本符合</w:t>
            </w:r>
          </w:p>
        </w:tc>
      </w:tr>
      <w:tr>
        <w:trPr>
          <w:trHeight w:val="623" w:hRule="atLeast"/>
        </w:trPr>
        <w:tc>
          <w:tcPr>
            <w:tcW w:w="816" w:type="dxa"/>
            <w:tcBorders>
              <w:top w:val="nil"/>
              <w:bottom w:val="nil"/>
              <w:right w:val="single" w:sz="6" w:space="0" w:color="000000"/>
            </w:tcBorders>
          </w:tcPr>
          <w:p>
            <w:pPr>
              <w:pStyle w:val="TableParagraph"/>
              <w:spacing w:before="22"/>
              <w:ind w:left="177" w:right="156"/>
              <w:rPr>
                <w:rFonts w:ascii="宋体" w:eastAsia="宋体" w:hint="eastAsia"/>
                <w:sz w:val="21"/>
              </w:rPr>
            </w:pPr>
            <w:r>
              <w:rPr>
                <w:rFonts w:ascii="宋体" w:eastAsia="宋体" w:hint="eastAsia"/>
                <w:sz w:val="21"/>
              </w:rPr>
              <w:t>的贮</w:t>
            </w:r>
          </w:p>
          <w:p>
            <w:pPr>
              <w:pStyle w:val="TableParagraph"/>
              <w:spacing w:before="43"/>
              <w:ind w:left="21"/>
              <w:rPr>
                <w:rFonts w:ascii="宋体" w:eastAsia="宋体" w:hint="eastAsia"/>
                <w:sz w:val="21"/>
              </w:rPr>
            </w:pPr>
            <w:r>
              <w:rPr>
                <w:rFonts w:ascii="宋体" w:eastAsia="宋体" w:hint="eastAsia"/>
                <w:w w:val="100"/>
                <w:sz w:val="21"/>
              </w:rPr>
              <w:t>存</w:t>
            </w: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贮存设施应采取有效的防渗处理工艺，防治畜禽粪便污</w:t>
            </w:r>
          </w:p>
          <w:p>
            <w:pPr>
              <w:pStyle w:val="TableParagraph"/>
              <w:spacing w:before="43"/>
              <w:ind w:left="114"/>
              <w:jc w:val="left"/>
              <w:rPr>
                <w:rFonts w:ascii="宋体" w:eastAsia="宋体" w:hint="eastAsia"/>
                <w:sz w:val="21"/>
              </w:rPr>
            </w:pPr>
            <w:r>
              <w:rPr>
                <w:rFonts w:ascii="宋体" w:eastAsia="宋体" w:hint="eastAsia"/>
                <w:sz w:val="21"/>
              </w:rPr>
              <w:t>染地下水。</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本环评提出了相应的地</w:t>
            </w:r>
          </w:p>
          <w:p>
            <w:pPr>
              <w:pStyle w:val="TableParagraph"/>
              <w:spacing w:before="43"/>
              <w:ind w:left="112"/>
              <w:jc w:val="left"/>
              <w:rPr>
                <w:rFonts w:ascii="宋体" w:eastAsia="宋体" w:hint="eastAsia"/>
                <w:sz w:val="21"/>
              </w:rPr>
            </w:pPr>
            <w:r>
              <w:rPr>
                <w:rFonts w:ascii="宋体" w:eastAsia="宋体" w:hint="eastAsia"/>
                <w:sz w:val="21"/>
              </w:rPr>
              <w:t>下水防渗措施。</w:t>
            </w:r>
          </w:p>
        </w:tc>
        <w:tc>
          <w:tcPr>
            <w:tcW w:w="955" w:type="dxa"/>
            <w:tcBorders>
              <w:top w:val="single" w:sz="6" w:space="0" w:color="000000"/>
              <w:left w:val="single" w:sz="6" w:space="0" w:color="000000"/>
              <w:bottom w:val="single" w:sz="6" w:space="0" w:color="000000"/>
            </w:tcBorders>
          </w:tcPr>
          <w:p>
            <w:pPr>
              <w:pStyle w:val="TableParagraph"/>
              <w:spacing w:before="178"/>
              <w:ind w:left="140" w:right="103"/>
              <w:rPr>
                <w:rFonts w:ascii="宋体" w:eastAsia="宋体" w:hint="eastAsia"/>
                <w:sz w:val="21"/>
              </w:rPr>
            </w:pPr>
            <w:r>
              <w:rPr>
                <w:rFonts w:ascii="宋体" w:eastAsia="宋体" w:hint="eastAsia"/>
                <w:sz w:val="21"/>
              </w:rPr>
              <w:t>符合</w:t>
            </w:r>
          </w:p>
        </w:tc>
      </w:tr>
      <w:tr>
        <w:trPr>
          <w:trHeight w:val="314"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before="25"/>
              <w:ind w:left="114"/>
              <w:jc w:val="left"/>
              <w:rPr>
                <w:rFonts w:ascii="宋体" w:eastAsia="宋体" w:hint="eastAsia"/>
                <w:sz w:val="21"/>
              </w:rPr>
            </w:pPr>
            <w:r>
              <w:rPr>
                <w:rFonts w:ascii="宋体" w:eastAsia="宋体" w:hint="eastAsia"/>
                <w:sz w:val="21"/>
              </w:rPr>
              <w:t>对于种养结合的养殖场，畜禽粪便贮存设施的总容积不</w:t>
            </w:r>
          </w:p>
        </w:tc>
        <w:tc>
          <w:tcPr>
            <w:tcW w:w="2410" w:type="dxa"/>
            <w:tcBorders>
              <w:top w:val="single" w:sz="6" w:space="0" w:color="000000"/>
              <w:left w:val="single" w:sz="6" w:space="0" w:color="000000"/>
              <w:bottom w:val="nil"/>
              <w:right w:val="single" w:sz="6" w:space="0" w:color="000000"/>
            </w:tcBorders>
          </w:tcPr>
          <w:p>
            <w:pPr>
              <w:pStyle w:val="TableParagraph"/>
              <w:spacing w:before="25"/>
              <w:ind w:left="112"/>
              <w:jc w:val="left"/>
              <w:rPr>
                <w:rFonts w:ascii="宋体" w:eastAsia="宋体" w:hint="eastAsia"/>
                <w:sz w:val="21"/>
              </w:rPr>
            </w:pPr>
            <w:r>
              <w:rPr>
                <w:rFonts w:ascii="宋体" w:eastAsia="宋体" w:hint="eastAsia"/>
                <w:sz w:val="21"/>
              </w:rPr>
              <w:t>本项目粪便经发酵处理</w:t>
            </w: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311"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得低于当地农林作物生产用肥的最大间隔时间内本养</w:t>
            </w:r>
          </w:p>
        </w:tc>
        <w:tc>
          <w:tcPr>
            <w:tcW w:w="2410" w:type="dxa"/>
            <w:tcBorders>
              <w:top w:val="nil"/>
              <w:left w:val="single" w:sz="6" w:space="0" w:color="000000"/>
              <w:bottom w:val="nil"/>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后外运生产有机肥，不</w:t>
            </w:r>
          </w:p>
        </w:tc>
        <w:tc>
          <w:tcPr>
            <w:tcW w:w="955" w:type="dxa"/>
            <w:tcBorders>
              <w:top w:val="nil"/>
              <w:left w:val="single" w:sz="6" w:space="0" w:color="000000"/>
              <w:bottom w:val="nil"/>
            </w:tcBorders>
          </w:tcPr>
          <w:p>
            <w:pPr>
              <w:pStyle w:val="TableParagraph"/>
              <w:spacing w:before="22"/>
              <w:ind w:left="140" w:right="103"/>
              <w:rPr>
                <w:rFonts w:ascii="宋体" w:eastAsia="宋体" w:hint="eastAsia"/>
                <w:sz w:val="21"/>
              </w:rPr>
            </w:pPr>
            <w:r>
              <w:rPr>
                <w:rFonts w:ascii="宋体" w:eastAsia="宋体" w:hint="eastAsia"/>
                <w:sz w:val="21"/>
              </w:rPr>
              <w:t>符合</w:t>
            </w:r>
          </w:p>
        </w:tc>
      </w:tr>
      <w:tr>
        <w:trPr>
          <w:trHeight w:val="310"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殖场所产生粪便的总量。</w:t>
            </w:r>
          </w:p>
        </w:tc>
        <w:tc>
          <w:tcPr>
            <w:tcW w:w="2410" w:type="dxa"/>
            <w:tcBorders>
              <w:top w:val="nil"/>
              <w:left w:val="single" w:sz="6" w:space="0" w:color="000000"/>
              <w:bottom w:val="single" w:sz="6" w:space="0" w:color="000000"/>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采用种养结合消纳。</w:t>
            </w:r>
          </w:p>
        </w:tc>
        <w:tc>
          <w:tcPr>
            <w:tcW w:w="955" w:type="dxa"/>
            <w:tcBorders>
              <w:top w:val="nil"/>
              <w:left w:val="single" w:sz="6" w:space="0" w:color="000000"/>
              <w:bottom w:val="single" w:sz="6" w:space="0" w:color="000000"/>
            </w:tcBorders>
          </w:tcPr>
          <w:p>
            <w:pPr>
              <w:pStyle w:val="TableParagraph"/>
              <w:spacing w:before="0"/>
              <w:jc w:val="left"/>
              <w:rPr>
                <w:sz w:val="20"/>
              </w:rPr>
            </w:pPr>
          </w:p>
        </w:tc>
      </w:tr>
      <w:tr>
        <w:trPr>
          <w:trHeight w:val="623" w:hRule="atLeast"/>
        </w:trPr>
        <w:tc>
          <w:tcPr>
            <w:tcW w:w="816" w:type="dxa"/>
            <w:tcBorders>
              <w:top w:val="nil"/>
              <w:bottom w:val="single" w:sz="6" w:space="0" w:color="000000"/>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before="178"/>
              <w:ind w:left="114" w:right="-29"/>
              <w:jc w:val="left"/>
              <w:rPr>
                <w:rFonts w:ascii="宋体" w:eastAsia="宋体" w:hint="eastAsia"/>
                <w:sz w:val="21"/>
              </w:rPr>
            </w:pPr>
            <w:r>
              <w:rPr>
                <w:rFonts w:ascii="宋体" w:eastAsia="宋体" w:hint="eastAsia"/>
                <w:spacing w:val="-7"/>
                <w:sz w:val="21"/>
              </w:rPr>
              <w:t>贮存设施应采取设置顶盖等防止降雨</w:t>
            </w:r>
            <w:r>
              <w:rPr>
                <w:rFonts w:ascii="宋体" w:eastAsia="宋体" w:hint="eastAsia"/>
                <w:sz w:val="21"/>
              </w:rPr>
              <w:t>（水</w:t>
            </w:r>
            <w:r>
              <w:rPr>
                <w:rFonts w:ascii="宋体" w:eastAsia="宋体" w:hint="eastAsia"/>
                <w:spacing w:val="-60"/>
                <w:sz w:val="21"/>
              </w:rPr>
              <w:t>）</w:t>
            </w:r>
            <w:r>
              <w:rPr>
                <w:rFonts w:ascii="宋体" w:eastAsia="宋体" w:hint="eastAsia"/>
                <w:spacing w:val="-3"/>
                <w:sz w:val="21"/>
              </w:rPr>
              <w:t>进入的措施。</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本项目贮存设施设有顶</w:t>
            </w:r>
          </w:p>
          <w:p>
            <w:pPr>
              <w:pStyle w:val="TableParagraph"/>
              <w:spacing w:line="269" w:lineRule="exact" w:before="43"/>
              <w:ind w:left="112"/>
              <w:jc w:val="left"/>
              <w:rPr>
                <w:rFonts w:ascii="宋体" w:eastAsia="宋体" w:hint="eastAsia"/>
                <w:sz w:val="21"/>
              </w:rPr>
            </w:pPr>
            <w:r>
              <w:rPr>
                <w:rFonts w:ascii="宋体" w:eastAsia="宋体" w:hint="eastAsia"/>
                <w:sz w:val="21"/>
              </w:rPr>
              <w:t>盖，可防止雨水进入。</w:t>
            </w:r>
          </w:p>
        </w:tc>
        <w:tc>
          <w:tcPr>
            <w:tcW w:w="955" w:type="dxa"/>
            <w:tcBorders>
              <w:top w:val="single" w:sz="6" w:space="0" w:color="000000"/>
              <w:left w:val="single" w:sz="6" w:space="0" w:color="000000"/>
              <w:bottom w:val="single" w:sz="6" w:space="0" w:color="000000"/>
            </w:tcBorders>
          </w:tcPr>
          <w:p>
            <w:pPr>
              <w:pStyle w:val="TableParagraph"/>
              <w:spacing w:before="178"/>
              <w:ind w:left="140" w:right="103"/>
              <w:rPr>
                <w:rFonts w:ascii="宋体" w:eastAsia="宋体" w:hint="eastAsia"/>
                <w:sz w:val="21"/>
              </w:rPr>
            </w:pPr>
            <w:r>
              <w:rPr>
                <w:rFonts w:ascii="宋体" w:eastAsia="宋体" w:hint="eastAsia"/>
                <w:sz w:val="21"/>
              </w:rPr>
              <w:t>符合</w:t>
            </w:r>
          </w:p>
        </w:tc>
      </w:tr>
      <w:tr>
        <w:trPr>
          <w:trHeight w:val="311" w:hRule="atLeast"/>
        </w:trPr>
        <w:tc>
          <w:tcPr>
            <w:tcW w:w="816" w:type="dxa"/>
            <w:tcBorders>
              <w:top w:val="single" w:sz="6" w:space="0" w:color="000000"/>
              <w:right w:val="single" w:sz="6" w:space="0" w:color="000000"/>
            </w:tcBorders>
          </w:tcPr>
          <w:p>
            <w:pPr>
              <w:pStyle w:val="TableParagraph"/>
              <w:spacing w:line="269" w:lineRule="exact" w:before="22"/>
              <w:ind w:left="196"/>
              <w:jc w:val="left"/>
              <w:rPr>
                <w:rFonts w:ascii="宋体" w:eastAsia="宋体" w:hint="eastAsia"/>
                <w:sz w:val="21"/>
              </w:rPr>
            </w:pPr>
            <w:r>
              <w:rPr>
                <w:rFonts w:ascii="宋体" w:eastAsia="宋体" w:hint="eastAsia"/>
                <w:sz w:val="21"/>
              </w:rPr>
              <w:t>污水</w:t>
            </w:r>
          </w:p>
        </w:tc>
        <w:tc>
          <w:tcPr>
            <w:tcW w:w="5250" w:type="dxa"/>
            <w:tcBorders>
              <w:top w:val="single" w:sz="6" w:space="0" w:color="000000"/>
              <w:left w:val="single" w:sz="6" w:space="0" w:color="000000"/>
              <w:right w:val="single" w:sz="6" w:space="0" w:color="000000"/>
            </w:tcBorders>
          </w:tcPr>
          <w:p>
            <w:pPr>
              <w:pStyle w:val="TableParagraph"/>
              <w:spacing w:line="269" w:lineRule="exact" w:before="22"/>
              <w:ind w:left="114"/>
              <w:jc w:val="left"/>
              <w:rPr>
                <w:rFonts w:ascii="宋体" w:eastAsia="宋体" w:hint="eastAsia"/>
                <w:sz w:val="21"/>
              </w:rPr>
            </w:pPr>
            <w:r>
              <w:rPr>
                <w:rFonts w:ascii="宋体" w:eastAsia="宋体" w:hint="eastAsia"/>
                <w:sz w:val="21"/>
              </w:rPr>
              <w:t>畜禽养殖过程中产生的污水应坚持种养结合的原则，经</w:t>
            </w:r>
          </w:p>
        </w:tc>
        <w:tc>
          <w:tcPr>
            <w:tcW w:w="2410" w:type="dxa"/>
            <w:tcBorders>
              <w:top w:val="single" w:sz="6" w:space="0" w:color="000000"/>
              <w:left w:val="single" w:sz="6" w:space="0" w:color="000000"/>
              <w:right w:val="single" w:sz="6" w:space="0" w:color="000000"/>
            </w:tcBorders>
          </w:tcPr>
          <w:p>
            <w:pPr>
              <w:pStyle w:val="TableParagraph"/>
              <w:spacing w:line="269" w:lineRule="exact" w:before="22"/>
              <w:ind w:left="112"/>
              <w:jc w:val="left"/>
              <w:rPr>
                <w:rFonts w:ascii="宋体" w:eastAsia="宋体" w:hint="eastAsia"/>
                <w:sz w:val="21"/>
              </w:rPr>
            </w:pPr>
            <w:r>
              <w:rPr>
                <w:rFonts w:ascii="宋体" w:eastAsia="宋体" w:hint="eastAsia"/>
                <w:sz w:val="21"/>
              </w:rPr>
              <w:t>本项目废水经自建污水</w:t>
            </w:r>
          </w:p>
        </w:tc>
        <w:tc>
          <w:tcPr>
            <w:tcW w:w="955" w:type="dxa"/>
            <w:tcBorders>
              <w:top w:val="single" w:sz="6" w:space="0" w:color="000000"/>
              <w:left w:val="single" w:sz="6" w:space="0" w:color="000000"/>
            </w:tcBorders>
          </w:tcPr>
          <w:p>
            <w:pPr>
              <w:pStyle w:val="TableParagraph"/>
              <w:spacing w:line="269" w:lineRule="exact" w:before="22"/>
              <w:ind w:left="140" w:right="103"/>
              <w:rPr>
                <w:rFonts w:ascii="宋体" w:eastAsia="宋体" w:hint="eastAsia"/>
                <w:sz w:val="21"/>
              </w:rPr>
            </w:pPr>
            <w:r>
              <w:rPr>
                <w:rFonts w:ascii="宋体" w:eastAsia="宋体" w:hint="eastAsia"/>
                <w:sz w:val="21"/>
              </w:rPr>
              <w:t>符合</w:t>
            </w:r>
          </w:p>
        </w:tc>
      </w:tr>
    </w:tbl>
    <w:p>
      <w:pPr>
        <w:spacing w:after="0" w:line="269" w:lineRule="exact"/>
        <w:rPr>
          <w:rFonts w:ascii="宋体" w:eastAsia="宋体" w:hint="eastAsia"/>
          <w:sz w:val="21"/>
        </w:rPr>
        <w:sectPr>
          <w:footerReference w:type="default" r:id="rId168"/>
          <w:pgSz w:w="11910" w:h="16840"/>
          <w:pgMar w:footer="1004" w:header="87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6"/>
        <w:gridCol w:w="5250"/>
        <w:gridCol w:w="2410"/>
        <w:gridCol w:w="955"/>
      </w:tblGrid>
      <w:tr>
        <w:trPr>
          <w:trHeight w:val="311" w:hRule="atLeast"/>
        </w:trPr>
        <w:tc>
          <w:tcPr>
            <w:tcW w:w="6066" w:type="dxa"/>
            <w:gridSpan w:val="2"/>
            <w:tcBorders>
              <w:bottom w:val="single" w:sz="6" w:space="0" w:color="000000"/>
              <w:right w:val="single" w:sz="6" w:space="0" w:color="000000"/>
            </w:tcBorders>
          </w:tcPr>
          <w:p>
            <w:pPr>
              <w:pStyle w:val="TableParagraph"/>
              <w:spacing w:line="267" w:lineRule="exact" w:before="25"/>
              <w:ind w:left="2591" w:right="2568"/>
              <w:rPr>
                <w:rFonts w:ascii="宋体" w:eastAsia="宋体" w:hint="eastAsia"/>
                <w:b/>
                <w:sz w:val="21"/>
              </w:rPr>
            </w:pPr>
            <w:r>
              <w:rPr>
                <w:rFonts w:ascii="宋体" w:eastAsia="宋体" w:hint="eastAsia"/>
                <w:b/>
                <w:sz w:val="21"/>
              </w:rPr>
              <w:t>技术要求</w:t>
            </w:r>
          </w:p>
        </w:tc>
        <w:tc>
          <w:tcPr>
            <w:tcW w:w="2410" w:type="dxa"/>
            <w:tcBorders>
              <w:left w:val="single" w:sz="6" w:space="0" w:color="000000"/>
              <w:bottom w:val="single" w:sz="6" w:space="0" w:color="000000"/>
              <w:right w:val="single" w:sz="6" w:space="0" w:color="000000"/>
            </w:tcBorders>
          </w:tcPr>
          <w:p>
            <w:pPr>
              <w:pStyle w:val="TableParagraph"/>
              <w:spacing w:line="267" w:lineRule="exact" w:before="25"/>
              <w:ind w:left="681"/>
              <w:jc w:val="left"/>
              <w:rPr>
                <w:rFonts w:ascii="宋体" w:eastAsia="宋体" w:hint="eastAsia"/>
                <w:b/>
                <w:sz w:val="21"/>
              </w:rPr>
            </w:pPr>
            <w:r>
              <w:rPr>
                <w:rFonts w:ascii="宋体" w:eastAsia="宋体" w:hint="eastAsia"/>
                <w:b/>
                <w:sz w:val="21"/>
              </w:rPr>
              <w:t>本项目情况</w:t>
            </w:r>
          </w:p>
        </w:tc>
        <w:tc>
          <w:tcPr>
            <w:tcW w:w="955" w:type="dxa"/>
            <w:tcBorders>
              <w:left w:val="single" w:sz="6" w:space="0" w:color="000000"/>
              <w:bottom w:val="single" w:sz="6" w:space="0" w:color="000000"/>
            </w:tcBorders>
          </w:tcPr>
          <w:p>
            <w:pPr>
              <w:pStyle w:val="TableParagraph"/>
              <w:spacing w:line="267" w:lineRule="exact" w:before="25"/>
              <w:ind w:left="140" w:right="104"/>
              <w:rPr>
                <w:rFonts w:ascii="宋体" w:eastAsia="宋体" w:hint="eastAsia"/>
                <w:b/>
                <w:sz w:val="21"/>
              </w:rPr>
            </w:pPr>
            <w:r>
              <w:rPr>
                <w:rFonts w:ascii="宋体" w:eastAsia="宋体" w:hint="eastAsia"/>
                <w:b/>
                <w:sz w:val="21"/>
              </w:rPr>
              <w:t>符合性</w:t>
            </w:r>
          </w:p>
        </w:tc>
      </w:tr>
      <w:tr>
        <w:trPr>
          <w:trHeight w:val="313" w:hRule="atLeast"/>
        </w:trPr>
        <w:tc>
          <w:tcPr>
            <w:tcW w:w="816" w:type="dxa"/>
            <w:tcBorders>
              <w:top w:val="single" w:sz="6" w:space="0" w:color="000000"/>
              <w:bottom w:val="nil"/>
              <w:right w:val="single" w:sz="6" w:space="0" w:color="000000"/>
            </w:tcBorders>
          </w:tcPr>
          <w:p>
            <w:pPr>
              <w:pStyle w:val="TableParagraph"/>
              <w:spacing w:before="25"/>
              <w:ind w:left="177" w:right="156"/>
              <w:rPr>
                <w:rFonts w:ascii="宋体" w:eastAsia="宋体" w:hint="eastAsia"/>
                <w:sz w:val="21"/>
              </w:rPr>
            </w:pPr>
            <w:r>
              <w:rPr>
                <w:rFonts w:ascii="宋体" w:eastAsia="宋体" w:hint="eastAsia"/>
                <w:sz w:val="21"/>
              </w:rPr>
              <w:t>的处</w:t>
            </w: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before="25"/>
              <w:ind w:left="114"/>
              <w:jc w:val="left"/>
              <w:rPr>
                <w:rFonts w:ascii="宋体" w:eastAsia="宋体" w:hint="eastAsia"/>
                <w:sz w:val="21"/>
              </w:rPr>
            </w:pPr>
            <w:r>
              <w:rPr>
                <w:rFonts w:ascii="宋体" w:eastAsia="宋体" w:hint="eastAsia"/>
                <w:sz w:val="21"/>
              </w:rPr>
              <w:t>无害化处理后尽量充分还田，实现污水资源化利用。</w:t>
            </w:r>
          </w:p>
        </w:tc>
        <w:tc>
          <w:tcPr>
            <w:tcW w:w="2410" w:type="dxa"/>
            <w:tcBorders>
              <w:top w:val="single" w:sz="6" w:space="0" w:color="000000"/>
              <w:left w:val="single" w:sz="6" w:space="0" w:color="000000"/>
              <w:bottom w:val="nil"/>
              <w:right w:val="single" w:sz="6" w:space="0" w:color="000000"/>
            </w:tcBorders>
          </w:tcPr>
          <w:p>
            <w:pPr>
              <w:pStyle w:val="TableParagraph"/>
              <w:spacing w:before="25"/>
              <w:ind w:left="112"/>
              <w:jc w:val="left"/>
              <w:rPr>
                <w:rFonts w:ascii="宋体" w:eastAsia="宋体" w:hint="eastAsia"/>
                <w:sz w:val="21"/>
              </w:rPr>
            </w:pPr>
            <w:r>
              <w:rPr>
                <w:rFonts w:ascii="宋体" w:eastAsia="宋体" w:hint="eastAsia"/>
                <w:sz w:val="21"/>
              </w:rPr>
              <w:t>站处理达标后纳入市政</w:t>
            </w:r>
          </w:p>
        </w:tc>
        <w:tc>
          <w:tcPr>
            <w:tcW w:w="955" w:type="dxa"/>
            <w:vMerge w:val="restart"/>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297" w:hRule="atLeast"/>
        </w:trPr>
        <w:tc>
          <w:tcPr>
            <w:tcW w:w="816" w:type="dxa"/>
            <w:tcBorders>
              <w:top w:val="nil"/>
              <w:bottom w:val="nil"/>
              <w:right w:val="single" w:sz="6" w:space="0" w:color="000000"/>
            </w:tcBorders>
          </w:tcPr>
          <w:p>
            <w:pPr>
              <w:pStyle w:val="TableParagraph"/>
              <w:spacing w:before="8"/>
              <w:ind w:left="21"/>
              <w:rPr>
                <w:rFonts w:ascii="宋体" w:eastAsia="宋体" w:hint="eastAsia"/>
                <w:sz w:val="21"/>
              </w:rPr>
            </w:pPr>
            <w:r>
              <w:rPr>
                <w:rFonts w:ascii="宋体" w:eastAsia="宋体" w:hint="eastAsia"/>
                <w:w w:val="100"/>
                <w:sz w:val="21"/>
              </w:rPr>
              <w:t>理</w:t>
            </w:r>
          </w:p>
        </w:tc>
        <w:tc>
          <w:tcPr>
            <w:tcW w:w="5250" w:type="dxa"/>
            <w:tcBorders>
              <w:top w:val="single" w:sz="6" w:space="0" w:color="000000"/>
              <w:left w:val="single" w:sz="6" w:space="0" w:color="000000"/>
              <w:bottom w:val="nil"/>
              <w:right w:val="single" w:sz="6" w:space="0" w:color="000000"/>
            </w:tcBorders>
          </w:tcPr>
          <w:p>
            <w:pPr>
              <w:pStyle w:val="TableParagraph"/>
              <w:spacing w:line="255" w:lineRule="exact" w:before="22"/>
              <w:ind w:left="114"/>
              <w:jc w:val="left"/>
              <w:rPr>
                <w:rFonts w:ascii="宋体" w:eastAsia="宋体" w:hint="eastAsia"/>
                <w:sz w:val="21"/>
              </w:rPr>
            </w:pPr>
            <w:r>
              <w:rPr>
                <w:rFonts w:ascii="宋体" w:eastAsia="宋体" w:hint="eastAsia"/>
                <w:sz w:val="21"/>
              </w:rPr>
              <w:t>畜禽污水经治理后向环境中排放，应符合《畜禽养殖业</w:t>
            </w:r>
          </w:p>
        </w:tc>
        <w:tc>
          <w:tcPr>
            <w:tcW w:w="2410" w:type="dxa"/>
            <w:tcBorders>
              <w:top w:val="nil"/>
              <w:left w:val="single" w:sz="6" w:space="0" w:color="000000"/>
              <w:bottom w:val="nil"/>
              <w:right w:val="single" w:sz="6" w:space="0" w:color="000000"/>
            </w:tcBorders>
          </w:tcPr>
          <w:p>
            <w:pPr>
              <w:pStyle w:val="TableParagraph"/>
              <w:spacing w:before="8"/>
              <w:ind w:left="112"/>
              <w:jc w:val="left"/>
              <w:rPr>
                <w:rFonts w:ascii="宋体" w:eastAsia="宋体" w:hint="eastAsia"/>
                <w:sz w:val="21"/>
              </w:rPr>
            </w:pPr>
            <w:r>
              <w:rPr>
                <w:rFonts w:ascii="宋体" w:eastAsia="宋体" w:hint="eastAsia"/>
                <w:sz w:val="21"/>
              </w:rPr>
              <w:t>污水管网，最终进入绍</w:t>
            </w:r>
          </w:p>
        </w:tc>
        <w:tc>
          <w:tcPr>
            <w:tcW w:w="955" w:type="dxa"/>
            <w:vMerge/>
            <w:tcBorders>
              <w:top w:val="nil"/>
              <w:left w:val="single" w:sz="6" w:space="0" w:color="000000"/>
              <w:bottom w:val="single" w:sz="6" w:space="0" w:color="000000"/>
            </w:tcBorders>
          </w:tcPr>
          <w:p>
            <w:pPr>
              <w:rPr>
                <w:sz w:val="2"/>
                <w:szCs w:val="2"/>
              </w:rPr>
            </w:pPr>
          </w:p>
        </w:tc>
      </w:tr>
      <w:tr>
        <w:trPr>
          <w:trHeight w:val="296"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55" w:lineRule="exact" w:before="21"/>
              <w:ind w:left="114"/>
              <w:jc w:val="left"/>
              <w:rPr>
                <w:rFonts w:ascii="宋体" w:eastAsia="宋体" w:hint="eastAsia"/>
                <w:sz w:val="21"/>
              </w:rPr>
            </w:pPr>
            <w:r>
              <w:rPr>
                <w:rFonts w:ascii="宋体" w:eastAsia="宋体" w:hint="eastAsia"/>
                <w:sz w:val="21"/>
              </w:rPr>
              <w:t>污染物排放标准》的规定，有地方排放标准的应执行地</w:t>
            </w:r>
          </w:p>
        </w:tc>
        <w:tc>
          <w:tcPr>
            <w:tcW w:w="2410" w:type="dxa"/>
            <w:tcBorders>
              <w:top w:val="nil"/>
              <w:left w:val="single" w:sz="6" w:space="0" w:color="000000"/>
              <w:bottom w:val="nil"/>
              <w:right w:val="single" w:sz="6" w:space="0" w:color="000000"/>
            </w:tcBorders>
          </w:tcPr>
          <w:p>
            <w:pPr>
              <w:pStyle w:val="TableParagraph"/>
              <w:spacing w:before="7"/>
              <w:ind w:left="112"/>
              <w:jc w:val="left"/>
              <w:rPr>
                <w:rFonts w:ascii="宋体" w:eastAsia="宋体" w:hint="eastAsia"/>
                <w:sz w:val="21"/>
              </w:rPr>
            </w:pPr>
            <w:r>
              <w:rPr>
                <w:rFonts w:ascii="宋体" w:eastAsia="宋体" w:hint="eastAsia"/>
                <w:sz w:val="21"/>
              </w:rPr>
              <w:t>兴市污水厂处理达标后</w:t>
            </w:r>
          </w:p>
        </w:tc>
        <w:tc>
          <w:tcPr>
            <w:tcW w:w="955" w:type="dxa"/>
            <w:vMerge/>
            <w:tcBorders>
              <w:top w:val="nil"/>
              <w:left w:val="single" w:sz="6" w:space="0" w:color="000000"/>
              <w:bottom w:val="single" w:sz="6" w:space="0" w:color="000000"/>
            </w:tcBorders>
          </w:tcPr>
          <w:p>
            <w:pPr>
              <w:rPr>
                <w:sz w:val="2"/>
                <w:szCs w:val="2"/>
              </w:rPr>
            </w:pPr>
          </w:p>
        </w:tc>
      </w:tr>
      <w:tr>
        <w:trPr>
          <w:trHeight w:val="310"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21"/>
              <w:ind w:left="114"/>
              <w:jc w:val="left"/>
              <w:rPr>
                <w:rFonts w:ascii="宋体" w:eastAsia="宋体" w:hint="eastAsia"/>
                <w:sz w:val="21"/>
              </w:rPr>
            </w:pPr>
            <w:r>
              <w:rPr>
                <w:rFonts w:ascii="宋体" w:eastAsia="宋体" w:hint="eastAsia"/>
                <w:sz w:val="21"/>
              </w:rPr>
              <w:t>方排放标准。</w:t>
            </w:r>
          </w:p>
        </w:tc>
        <w:tc>
          <w:tcPr>
            <w:tcW w:w="2410" w:type="dxa"/>
            <w:tcBorders>
              <w:top w:val="nil"/>
              <w:left w:val="single" w:sz="6" w:space="0" w:color="000000"/>
              <w:bottom w:val="nil"/>
              <w:right w:val="single" w:sz="6" w:space="0" w:color="000000"/>
            </w:tcBorders>
          </w:tcPr>
          <w:p>
            <w:pPr>
              <w:pStyle w:val="TableParagraph"/>
              <w:spacing w:before="7"/>
              <w:ind w:left="112"/>
              <w:jc w:val="left"/>
              <w:rPr>
                <w:rFonts w:ascii="宋体" w:eastAsia="宋体" w:hint="eastAsia"/>
                <w:sz w:val="21"/>
              </w:rPr>
            </w:pPr>
            <w:r>
              <w:rPr>
                <w:rFonts w:ascii="宋体" w:eastAsia="宋体" w:hint="eastAsia"/>
                <w:sz w:val="21"/>
              </w:rPr>
              <w:t>排入钱塘江。不采用种</w:t>
            </w:r>
          </w:p>
        </w:tc>
        <w:tc>
          <w:tcPr>
            <w:tcW w:w="955" w:type="dxa"/>
            <w:vMerge/>
            <w:tcBorders>
              <w:top w:val="nil"/>
              <w:left w:val="single" w:sz="6" w:space="0" w:color="000000"/>
              <w:bottom w:val="single" w:sz="6" w:space="0" w:color="000000"/>
            </w:tcBorders>
          </w:tcPr>
          <w:p>
            <w:pPr>
              <w:rPr>
                <w:sz w:val="2"/>
                <w:szCs w:val="2"/>
              </w:rPr>
            </w:pPr>
          </w:p>
        </w:tc>
      </w:tr>
      <w:tr>
        <w:trPr>
          <w:trHeight w:val="305"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line="263" w:lineRule="exact" w:before="22"/>
              <w:ind w:left="114"/>
              <w:jc w:val="left"/>
              <w:rPr>
                <w:rFonts w:ascii="宋体" w:eastAsia="宋体" w:hint="eastAsia"/>
                <w:sz w:val="21"/>
              </w:rPr>
            </w:pPr>
            <w:r>
              <w:rPr>
                <w:rFonts w:ascii="宋体" w:eastAsia="宋体" w:hint="eastAsia"/>
                <w:sz w:val="21"/>
              </w:rPr>
              <w:t>对没有充足土地消纳污水的畜禽养殖场，可根据当地实</w:t>
            </w:r>
          </w:p>
        </w:tc>
        <w:tc>
          <w:tcPr>
            <w:tcW w:w="2410" w:type="dxa"/>
            <w:tcBorders>
              <w:top w:val="nil"/>
              <w:left w:val="single" w:sz="6" w:space="0" w:color="000000"/>
              <w:bottom w:val="nil"/>
              <w:right w:val="single" w:sz="6" w:space="0" w:color="000000"/>
            </w:tcBorders>
          </w:tcPr>
          <w:p>
            <w:pPr>
              <w:pStyle w:val="TableParagraph"/>
              <w:spacing w:line="263" w:lineRule="exact" w:before="0"/>
              <w:ind w:left="112"/>
              <w:jc w:val="left"/>
              <w:rPr>
                <w:rFonts w:ascii="宋体" w:eastAsia="宋体" w:hint="eastAsia"/>
                <w:sz w:val="21"/>
              </w:rPr>
            </w:pPr>
            <w:r>
              <w:rPr>
                <w:rFonts w:ascii="宋体" w:eastAsia="宋体" w:hint="eastAsia"/>
                <w:sz w:val="21"/>
              </w:rPr>
              <w:t>养结合模式处理污水。</w:t>
            </w:r>
          </w:p>
        </w:tc>
        <w:tc>
          <w:tcPr>
            <w:tcW w:w="955" w:type="dxa"/>
            <w:vMerge/>
            <w:tcBorders>
              <w:top w:val="nil"/>
              <w:left w:val="single" w:sz="6" w:space="0" w:color="000000"/>
              <w:bottom w:val="single" w:sz="6" w:space="0" w:color="000000"/>
            </w:tcBorders>
          </w:tcPr>
          <w:p>
            <w:pPr>
              <w:rPr>
                <w:sz w:val="2"/>
                <w:szCs w:val="2"/>
              </w:rPr>
            </w:pPr>
          </w:p>
        </w:tc>
      </w:tr>
      <w:tr>
        <w:trPr>
          <w:trHeight w:val="303"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14"/>
              <w:ind w:left="114"/>
              <w:jc w:val="left"/>
              <w:rPr>
                <w:rFonts w:ascii="宋体" w:eastAsia="宋体" w:hint="eastAsia"/>
                <w:sz w:val="21"/>
              </w:rPr>
            </w:pPr>
            <w:r>
              <w:rPr>
                <w:rFonts w:ascii="宋体" w:eastAsia="宋体" w:hint="eastAsia"/>
                <w:sz w:val="21"/>
              </w:rPr>
              <w:t>际情况选用其他综合利用措施。</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vMerge/>
            <w:tcBorders>
              <w:top w:val="nil"/>
              <w:left w:val="single" w:sz="6" w:space="0" w:color="000000"/>
              <w:bottom w:val="single" w:sz="6" w:space="0" w:color="000000"/>
            </w:tcBorders>
          </w:tcPr>
          <w:p>
            <w:pPr>
              <w:rPr>
                <w:sz w:val="2"/>
                <w:szCs w:val="2"/>
              </w:rPr>
            </w:pPr>
          </w:p>
        </w:tc>
      </w:tr>
      <w:tr>
        <w:trPr>
          <w:trHeight w:val="305"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line="263" w:lineRule="exact" w:before="22"/>
              <w:ind w:left="114"/>
              <w:jc w:val="left"/>
              <w:rPr>
                <w:rFonts w:ascii="宋体" w:eastAsia="宋体" w:hint="eastAsia"/>
                <w:sz w:val="21"/>
              </w:rPr>
            </w:pPr>
            <w:r>
              <w:rPr>
                <w:rFonts w:ascii="宋体" w:eastAsia="宋体" w:hint="eastAsia"/>
                <w:sz w:val="21"/>
              </w:rPr>
              <w:t>污水的净化处理应根据养殖种类、养殖规模、清粪方式</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vMerge/>
            <w:tcBorders>
              <w:top w:val="nil"/>
              <w:left w:val="single" w:sz="6" w:space="0" w:color="000000"/>
              <w:bottom w:val="single" w:sz="6" w:space="0" w:color="000000"/>
            </w:tcBorders>
          </w:tcPr>
          <w:p>
            <w:pPr>
              <w:rPr>
                <w:sz w:val="2"/>
                <w:szCs w:val="2"/>
              </w:rPr>
            </w:pP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eastAsia="宋体" w:hint="eastAsia"/>
                <w:sz w:val="21"/>
              </w:rPr>
            </w:pPr>
            <w:r>
              <w:rPr>
                <w:rFonts w:ascii="宋体" w:eastAsia="宋体" w:hint="eastAsia"/>
                <w:sz w:val="21"/>
              </w:rPr>
              <w:t>和当地的自然地理条件，选择合理、适用的污水净化处</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vMerge/>
            <w:tcBorders>
              <w:top w:val="nil"/>
              <w:left w:val="single" w:sz="6" w:space="0" w:color="000000"/>
              <w:bottom w:val="single" w:sz="6" w:space="0" w:color="000000"/>
            </w:tcBorders>
          </w:tcPr>
          <w:p>
            <w:pPr>
              <w:rPr>
                <w:sz w:val="2"/>
                <w:szCs w:val="2"/>
              </w:rPr>
            </w:pPr>
          </w:p>
        </w:tc>
      </w:tr>
      <w:tr>
        <w:trPr>
          <w:trHeight w:val="297"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line="263" w:lineRule="exact" w:before="14"/>
              <w:ind w:left="114"/>
              <w:jc w:val="left"/>
              <w:rPr>
                <w:rFonts w:ascii="宋体" w:eastAsia="宋体" w:hint="eastAsia"/>
                <w:sz w:val="21"/>
              </w:rPr>
            </w:pPr>
            <w:r>
              <w:rPr>
                <w:rFonts w:ascii="宋体" w:eastAsia="宋体" w:hint="eastAsia"/>
                <w:sz w:val="21"/>
              </w:rPr>
              <w:t>理工艺和技术路线，尽可能采用自然生物处理的方法，</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vMerge/>
            <w:tcBorders>
              <w:top w:val="nil"/>
              <w:left w:val="single" w:sz="6" w:space="0" w:color="000000"/>
              <w:bottom w:val="single" w:sz="6" w:space="0" w:color="000000"/>
            </w:tcBorders>
          </w:tcPr>
          <w:p>
            <w:pPr>
              <w:rPr>
                <w:sz w:val="2"/>
                <w:szCs w:val="2"/>
              </w:rPr>
            </w:pPr>
          </w:p>
        </w:tc>
      </w:tr>
      <w:tr>
        <w:trPr>
          <w:trHeight w:val="303"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14"/>
              <w:ind w:left="114"/>
              <w:jc w:val="left"/>
              <w:rPr>
                <w:rFonts w:ascii="宋体" w:eastAsia="宋体" w:hint="eastAsia"/>
                <w:sz w:val="21"/>
              </w:rPr>
            </w:pPr>
            <w:r>
              <w:rPr>
                <w:rFonts w:ascii="宋体" w:eastAsia="宋体" w:hint="eastAsia"/>
                <w:sz w:val="21"/>
              </w:rPr>
              <w:t>达到回用标准或排放标准。</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vMerge/>
            <w:tcBorders>
              <w:top w:val="nil"/>
              <w:left w:val="single" w:sz="6" w:space="0" w:color="000000"/>
              <w:bottom w:val="single" w:sz="6" w:space="0" w:color="000000"/>
            </w:tcBorders>
          </w:tcPr>
          <w:p>
            <w:pPr>
              <w:rPr>
                <w:sz w:val="2"/>
                <w:szCs w:val="2"/>
              </w:rPr>
            </w:pPr>
          </w:p>
        </w:tc>
      </w:tr>
      <w:tr>
        <w:trPr>
          <w:trHeight w:val="308"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line="263" w:lineRule="exact" w:before="25"/>
              <w:ind w:left="114"/>
              <w:jc w:val="left"/>
              <w:rPr>
                <w:rFonts w:ascii="宋体" w:eastAsia="宋体" w:hint="eastAsia"/>
                <w:sz w:val="21"/>
              </w:rPr>
            </w:pPr>
            <w:r>
              <w:rPr>
                <w:rFonts w:ascii="宋体" w:eastAsia="宋体" w:hint="eastAsia"/>
                <w:sz w:val="21"/>
              </w:rPr>
              <w:t>污水的消毒处理提倡采用非氯化的消毒措施，要注意防</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vMerge/>
            <w:tcBorders>
              <w:top w:val="nil"/>
              <w:left w:val="single" w:sz="6" w:space="0" w:color="000000"/>
              <w:bottom w:val="single" w:sz="6" w:space="0" w:color="000000"/>
            </w:tcBorders>
          </w:tcPr>
          <w:p>
            <w:pPr>
              <w:rPr>
                <w:sz w:val="2"/>
                <w:szCs w:val="2"/>
              </w:rPr>
            </w:pPr>
          </w:p>
        </w:tc>
      </w:tr>
      <w:tr>
        <w:trPr>
          <w:trHeight w:val="303" w:hRule="atLeast"/>
        </w:trPr>
        <w:tc>
          <w:tcPr>
            <w:tcW w:w="816" w:type="dxa"/>
            <w:tcBorders>
              <w:top w:val="nil"/>
              <w:bottom w:val="single" w:sz="6" w:space="0" w:color="000000"/>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14"/>
              <w:ind w:left="114"/>
              <w:jc w:val="left"/>
              <w:rPr>
                <w:rFonts w:ascii="宋体" w:eastAsia="宋体" w:hint="eastAsia"/>
                <w:sz w:val="21"/>
              </w:rPr>
            </w:pPr>
            <w:r>
              <w:rPr>
                <w:rFonts w:ascii="宋体" w:eastAsia="宋体" w:hint="eastAsia"/>
                <w:sz w:val="21"/>
              </w:rPr>
              <w:t>止产生二次污染物。</w:t>
            </w:r>
          </w:p>
        </w:tc>
        <w:tc>
          <w:tcPr>
            <w:tcW w:w="2410" w:type="dxa"/>
            <w:tcBorders>
              <w:top w:val="nil"/>
              <w:left w:val="single" w:sz="6" w:space="0" w:color="000000"/>
              <w:bottom w:val="single" w:sz="6" w:space="0" w:color="000000"/>
              <w:right w:val="single" w:sz="6" w:space="0" w:color="000000"/>
            </w:tcBorders>
          </w:tcPr>
          <w:p>
            <w:pPr>
              <w:pStyle w:val="TableParagraph"/>
              <w:spacing w:before="0"/>
              <w:jc w:val="left"/>
              <w:rPr>
                <w:sz w:val="20"/>
              </w:rPr>
            </w:pPr>
          </w:p>
        </w:tc>
        <w:tc>
          <w:tcPr>
            <w:tcW w:w="955" w:type="dxa"/>
            <w:vMerge/>
            <w:tcBorders>
              <w:top w:val="nil"/>
              <w:left w:val="single" w:sz="6" w:space="0" w:color="000000"/>
              <w:bottom w:val="single" w:sz="6" w:space="0" w:color="000000"/>
            </w:tcBorders>
          </w:tcPr>
          <w:p>
            <w:pPr>
              <w:rPr>
                <w:sz w:val="2"/>
                <w:szCs w:val="2"/>
              </w:rPr>
            </w:pPr>
          </w:p>
        </w:tc>
      </w:tr>
      <w:tr>
        <w:trPr>
          <w:trHeight w:val="312" w:hRule="atLeast"/>
        </w:trPr>
        <w:tc>
          <w:tcPr>
            <w:tcW w:w="816" w:type="dxa"/>
            <w:tcBorders>
              <w:top w:val="single" w:sz="6" w:space="0" w:color="000000"/>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before="22"/>
              <w:ind w:left="114"/>
              <w:jc w:val="left"/>
              <w:rPr>
                <w:rFonts w:ascii="宋体" w:hAnsi="宋体" w:eastAsia="宋体" w:hint="eastAsia"/>
                <w:sz w:val="21"/>
              </w:rPr>
            </w:pPr>
            <w:r>
              <w:rPr>
                <w:rFonts w:ascii="宋体" w:hAnsi="宋体" w:eastAsia="宋体" w:hint="eastAsia"/>
                <w:sz w:val="21"/>
              </w:rPr>
              <w:t>土地利用：①畜禽粪便必须经过无害化处理，并且须符</w:t>
            </w:r>
          </w:p>
        </w:tc>
        <w:tc>
          <w:tcPr>
            <w:tcW w:w="2410" w:type="dxa"/>
            <w:tcBorders>
              <w:top w:val="single" w:sz="6" w:space="0" w:color="000000"/>
              <w:left w:val="single" w:sz="6" w:space="0" w:color="000000"/>
              <w:bottom w:val="nil"/>
              <w:right w:val="single" w:sz="6" w:space="0" w:color="000000"/>
            </w:tcBorders>
          </w:tcPr>
          <w:p>
            <w:pPr>
              <w:pStyle w:val="TableParagraph"/>
              <w:spacing w:before="0"/>
              <w:jc w:val="left"/>
              <w:rPr>
                <w:sz w:val="20"/>
              </w:rPr>
            </w:pP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311"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合《粪便无害化卫生标准》后，才能进行土地利用，禁</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312"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hAnsi="宋体" w:eastAsia="宋体" w:hint="eastAsia"/>
                <w:sz w:val="21"/>
              </w:rPr>
            </w:pPr>
            <w:r>
              <w:rPr>
                <w:rFonts w:ascii="宋体" w:hAnsi="宋体" w:eastAsia="宋体" w:hint="eastAsia"/>
                <w:sz w:val="21"/>
              </w:rPr>
              <w:t>止未经处理的畜禽粪便直接施入农田。②经过处理的粪</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312"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肥作为土地的肥料或土壤调节剂来满足作为生长的需</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312"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要，其用量不能超过作物当年生长所需养分的需求量。</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1559" w:hRule="atLeast"/>
        </w:trPr>
        <w:tc>
          <w:tcPr>
            <w:tcW w:w="816" w:type="dxa"/>
            <w:vMerge w:val="restart"/>
            <w:tcBorders>
              <w:top w:val="nil"/>
              <w:bottom w:val="nil"/>
              <w:right w:val="single" w:sz="6" w:space="0" w:color="000000"/>
            </w:tcBorders>
          </w:tcPr>
          <w:p>
            <w:pPr>
              <w:pStyle w:val="TableParagraph"/>
              <w:spacing w:before="5"/>
              <w:jc w:val="left"/>
              <w:rPr>
                <w:rFonts w:ascii="宋体"/>
                <w:b/>
                <w:sz w:val="14"/>
              </w:rPr>
            </w:pPr>
          </w:p>
          <w:p>
            <w:pPr>
              <w:pStyle w:val="TableParagraph"/>
              <w:spacing w:line="278" w:lineRule="auto" w:before="0"/>
              <w:ind w:left="196" w:right="172"/>
              <w:jc w:val="both"/>
              <w:rPr>
                <w:rFonts w:ascii="宋体" w:eastAsia="宋体" w:hint="eastAsia"/>
                <w:sz w:val="21"/>
              </w:rPr>
            </w:pPr>
            <w:r>
              <w:rPr>
                <w:rFonts w:ascii="宋体" w:eastAsia="宋体" w:hint="eastAsia"/>
                <w:sz w:val="21"/>
              </w:rPr>
              <w:t>固体粪肥的处理利用</w:t>
            </w:r>
          </w:p>
        </w:tc>
        <w:tc>
          <w:tcPr>
            <w:tcW w:w="5250" w:type="dxa"/>
            <w:tcBorders>
              <w:top w:val="nil"/>
              <w:left w:val="single" w:sz="6" w:space="0" w:color="000000"/>
              <w:bottom w:val="single" w:sz="6" w:space="0" w:color="000000"/>
              <w:right w:val="single" w:sz="6" w:space="0" w:color="000000"/>
            </w:tcBorders>
          </w:tcPr>
          <w:p>
            <w:pPr>
              <w:pStyle w:val="TableParagraph"/>
              <w:spacing w:line="278" w:lineRule="auto" w:before="22"/>
              <w:ind w:left="114" w:right="81"/>
              <w:jc w:val="both"/>
              <w:rPr>
                <w:rFonts w:ascii="宋体" w:hAnsi="宋体" w:eastAsia="宋体" w:hint="eastAsia"/>
                <w:sz w:val="21"/>
              </w:rPr>
            </w:pPr>
            <w:r>
              <w:rPr>
                <w:rFonts w:ascii="宋体" w:hAnsi="宋体" w:eastAsia="宋体" w:hint="eastAsia"/>
                <w:sz w:val="21"/>
              </w:rPr>
              <w:t>在确定粪肥的最佳使用量时需要对土壤肥力和粪肥肥效进行测试评价，并应符合当地环境容量的要求。③对高降雨区、坡地及沙质容易产生径流和渗透性较强的土壤，不适宜施用粪肥或粪肥使用量过高易使粪肥流失引</w:t>
            </w:r>
          </w:p>
          <w:p>
            <w:pPr>
              <w:pStyle w:val="TableParagraph"/>
              <w:spacing w:before="0"/>
              <w:ind w:left="114"/>
              <w:jc w:val="left"/>
              <w:rPr>
                <w:rFonts w:ascii="宋体" w:eastAsia="宋体" w:hint="eastAsia"/>
                <w:sz w:val="21"/>
              </w:rPr>
            </w:pPr>
            <w:r>
              <w:rPr>
                <w:rFonts w:ascii="宋体" w:eastAsia="宋体" w:hint="eastAsia"/>
                <w:sz w:val="21"/>
              </w:rPr>
              <w:t>起地表水或地下水污染时，应禁止或暂停使用粪肥。</w:t>
            </w:r>
          </w:p>
        </w:tc>
        <w:tc>
          <w:tcPr>
            <w:tcW w:w="2410" w:type="dxa"/>
            <w:vMerge w:val="restart"/>
            <w:tcBorders>
              <w:top w:val="nil"/>
              <w:left w:val="single" w:sz="6" w:space="0" w:color="000000"/>
              <w:bottom w:val="nil"/>
              <w:right w:val="single" w:sz="6" w:space="0" w:color="000000"/>
            </w:tcBorders>
          </w:tcPr>
          <w:p>
            <w:pPr>
              <w:pStyle w:val="TableParagraph"/>
              <w:spacing w:before="0"/>
              <w:jc w:val="left"/>
              <w:rPr>
                <w:rFonts w:ascii="宋体"/>
                <w:b/>
                <w:sz w:val="20"/>
              </w:rPr>
            </w:pPr>
          </w:p>
          <w:p>
            <w:pPr>
              <w:pStyle w:val="TableParagraph"/>
              <w:spacing w:before="10"/>
              <w:jc w:val="left"/>
              <w:rPr>
                <w:rFonts w:ascii="宋体"/>
                <w:b/>
                <w:sz w:val="18"/>
              </w:rPr>
            </w:pPr>
          </w:p>
          <w:p>
            <w:pPr>
              <w:pStyle w:val="TableParagraph"/>
              <w:spacing w:line="278" w:lineRule="auto" w:before="0"/>
              <w:ind w:left="112" w:right="76"/>
              <w:jc w:val="both"/>
              <w:rPr>
                <w:rFonts w:ascii="宋体" w:eastAsia="宋体" w:hint="eastAsia"/>
                <w:sz w:val="21"/>
              </w:rPr>
            </w:pPr>
            <w:r>
              <w:rPr>
                <w:rFonts w:ascii="宋体" w:eastAsia="宋体" w:hint="eastAsia"/>
                <w:sz w:val="21"/>
              </w:rPr>
              <w:t>本项目猪粪经发酵处理后外运生产有机肥，不直接施入农田。</w:t>
            </w:r>
          </w:p>
        </w:tc>
        <w:tc>
          <w:tcPr>
            <w:tcW w:w="955" w:type="dxa"/>
            <w:vMerge w:val="restart"/>
            <w:tcBorders>
              <w:top w:val="nil"/>
              <w:left w:val="single" w:sz="6" w:space="0" w:color="000000"/>
              <w:bottom w:val="nil"/>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
              <w:jc w:val="left"/>
              <w:rPr>
                <w:rFonts w:ascii="宋体"/>
                <w:b/>
                <w:sz w:val="23"/>
              </w:rPr>
            </w:pPr>
          </w:p>
          <w:p>
            <w:pPr>
              <w:pStyle w:val="TableParagraph"/>
              <w:spacing w:before="1"/>
              <w:ind w:left="273"/>
              <w:jc w:val="left"/>
              <w:rPr>
                <w:rFonts w:ascii="宋体" w:eastAsia="宋体" w:hint="eastAsia"/>
                <w:sz w:val="21"/>
              </w:rPr>
            </w:pPr>
            <w:r>
              <w:rPr>
                <w:rFonts w:ascii="宋体" w:eastAsia="宋体" w:hint="eastAsia"/>
                <w:sz w:val="21"/>
              </w:rPr>
              <w:t>符合</w:t>
            </w:r>
          </w:p>
        </w:tc>
      </w:tr>
      <w:tr>
        <w:trPr>
          <w:trHeight w:val="312" w:hRule="atLeast"/>
        </w:trPr>
        <w:tc>
          <w:tcPr>
            <w:tcW w:w="816" w:type="dxa"/>
            <w:vMerge/>
            <w:tcBorders>
              <w:top w:val="nil"/>
              <w:bottom w:val="nil"/>
              <w:right w:val="single" w:sz="6" w:space="0" w:color="000000"/>
            </w:tcBorders>
          </w:tcPr>
          <w:p>
            <w:pPr>
              <w:rPr>
                <w:sz w:val="2"/>
                <w:szCs w:val="2"/>
              </w:rPr>
            </w:pPr>
          </w:p>
        </w:tc>
        <w:tc>
          <w:tcPr>
            <w:tcW w:w="5250" w:type="dxa"/>
            <w:tcBorders>
              <w:top w:val="single" w:sz="6" w:space="0" w:color="000000"/>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对没有充足土地消纳利用粪肥的大中型畜禽养殖场和</w:t>
            </w:r>
          </w:p>
        </w:tc>
        <w:tc>
          <w:tcPr>
            <w:tcW w:w="2410" w:type="dxa"/>
            <w:vMerge/>
            <w:tcBorders>
              <w:top w:val="nil"/>
              <w:left w:val="single" w:sz="6" w:space="0" w:color="000000"/>
              <w:bottom w:val="nil"/>
              <w:right w:val="single" w:sz="6" w:space="0" w:color="000000"/>
            </w:tcBorders>
          </w:tcPr>
          <w:p>
            <w:pPr>
              <w:rPr>
                <w:sz w:val="2"/>
                <w:szCs w:val="2"/>
              </w:rPr>
            </w:pPr>
          </w:p>
        </w:tc>
        <w:tc>
          <w:tcPr>
            <w:tcW w:w="955" w:type="dxa"/>
            <w:vMerge/>
            <w:tcBorders>
              <w:top w:val="nil"/>
              <w:left w:val="single" w:sz="6" w:space="0" w:color="000000"/>
              <w:bottom w:val="nil"/>
            </w:tcBorders>
          </w:tcPr>
          <w:p>
            <w:pPr>
              <w:rPr>
                <w:sz w:val="2"/>
                <w:szCs w:val="2"/>
              </w:rPr>
            </w:pPr>
          </w:p>
        </w:tc>
      </w:tr>
      <w:tr>
        <w:trPr>
          <w:trHeight w:val="311"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养殖小区，应建立集中处理畜禽粪便的有机肥厂或处理</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311"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hAnsi="宋体" w:eastAsia="宋体" w:hint="eastAsia"/>
                <w:sz w:val="21"/>
              </w:rPr>
            </w:pPr>
            <w:r>
              <w:rPr>
                <w:rFonts w:ascii="宋体" w:hAnsi="宋体" w:eastAsia="宋体" w:hint="eastAsia"/>
                <w:sz w:val="21"/>
              </w:rPr>
              <w:t>（置）机制。①固体粪肥的堆制可采用高温好氧发酵或</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312"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其它适用技术和方法，以杀死其中的病原菌和蛔虫卵，</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312"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hAnsi="宋体" w:eastAsia="宋体" w:hint="eastAsia"/>
                <w:sz w:val="21"/>
              </w:rPr>
            </w:pPr>
            <w:r>
              <w:rPr>
                <w:rFonts w:ascii="宋体" w:hAnsi="宋体" w:eastAsia="宋体" w:hint="eastAsia"/>
                <w:sz w:val="21"/>
              </w:rPr>
              <w:t>缩短堆制时间，实现无害化。②高温好氧堆制法分自然</w:t>
            </w:r>
          </w:p>
        </w:tc>
        <w:tc>
          <w:tcPr>
            <w:tcW w:w="2410" w:type="dxa"/>
            <w:tcBorders>
              <w:top w:val="nil"/>
              <w:left w:val="single" w:sz="6" w:space="0" w:color="000000"/>
              <w:bottom w:val="nil"/>
              <w:right w:val="single" w:sz="6" w:space="0" w:color="000000"/>
            </w:tcBorders>
          </w:tcPr>
          <w:p>
            <w:pPr>
              <w:pStyle w:val="TableParagraph"/>
              <w:spacing w:before="0"/>
              <w:jc w:val="left"/>
              <w:rPr>
                <w:sz w:val="20"/>
              </w:rPr>
            </w:pPr>
          </w:p>
        </w:tc>
        <w:tc>
          <w:tcPr>
            <w:tcW w:w="955" w:type="dxa"/>
            <w:tcBorders>
              <w:top w:val="nil"/>
              <w:left w:val="single" w:sz="6" w:space="0" w:color="000000"/>
              <w:bottom w:val="nil"/>
            </w:tcBorders>
          </w:tcPr>
          <w:p>
            <w:pPr>
              <w:pStyle w:val="TableParagraph"/>
              <w:spacing w:before="0"/>
              <w:jc w:val="left"/>
              <w:rPr>
                <w:sz w:val="20"/>
              </w:rPr>
            </w:pPr>
          </w:p>
        </w:tc>
      </w:tr>
      <w:tr>
        <w:trPr>
          <w:trHeight w:val="310" w:hRule="atLeast"/>
        </w:trPr>
        <w:tc>
          <w:tcPr>
            <w:tcW w:w="816" w:type="dxa"/>
            <w:tcBorders>
              <w:top w:val="nil"/>
              <w:bottom w:val="single" w:sz="6" w:space="0" w:color="000000"/>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堆制发酵法和机械强化发酵法，可根据具体情况选用。</w:t>
            </w:r>
          </w:p>
        </w:tc>
        <w:tc>
          <w:tcPr>
            <w:tcW w:w="2410" w:type="dxa"/>
            <w:tcBorders>
              <w:top w:val="nil"/>
              <w:left w:val="single" w:sz="6" w:space="0" w:color="000000"/>
              <w:bottom w:val="single" w:sz="6" w:space="0" w:color="000000"/>
              <w:right w:val="single" w:sz="6" w:space="0" w:color="000000"/>
            </w:tcBorders>
          </w:tcPr>
          <w:p>
            <w:pPr>
              <w:pStyle w:val="TableParagraph"/>
              <w:spacing w:before="0"/>
              <w:jc w:val="left"/>
              <w:rPr>
                <w:sz w:val="20"/>
              </w:rPr>
            </w:pPr>
          </w:p>
        </w:tc>
        <w:tc>
          <w:tcPr>
            <w:tcW w:w="955" w:type="dxa"/>
            <w:tcBorders>
              <w:top w:val="nil"/>
              <w:left w:val="single" w:sz="6" w:space="0" w:color="000000"/>
              <w:bottom w:val="single" w:sz="6" w:space="0" w:color="000000"/>
            </w:tcBorders>
          </w:tcPr>
          <w:p>
            <w:pPr>
              <w:pStyle w:val="TableParagraph"/>
              <w:spacing w:before="0"/>
              <w:jc w:val="left"/>
              <w:rPr>
                <w:sz w:val="20"/>
              </w:rPr>
            </w:pPr>
          </w:p>
        </w:tc>
      </w:tr>
      <w:tr>
        <w:trPr>
          <w:trHeight w:val="312" w:hRule="atLeast"/>
        </w:trPr>
        <w:tc>
          <w:tcPr>
            <w:tcW w:w="816" w:type="dxa"/>
            <w:tcBorders>
              <w:top w:val="single" w:sz="6" w:space="0" w:color="000000"/>
              <w:bottom w:val="nil"/>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畜禽养殖饲料应采用合理配方，如理想蛋白质体系配方</w:t>
            </w:r>
          </w:p>
        </w:tc>
        <w:tc>
          <w:tcPr>
            <w:tcW w:w="2410" w:type="dxa"/>
            <w:tcBorders>
              <w:top w:val="single" w:sz="6" w:space="0" w:color="000000"/>
              <w:left w:val="single" w:sz="6" w:space="0" w:color="000000"/>
              <w:bottom w:val="nil"/>
              <w:right w:val="single" w:sz="6" w:space="0" w:color="000000"/>
            </w:tcBorders>
          </w:tcPr>
          <w:p>
            <w:pPr>
              <w:pStyle w:val="TableParagraph"/>
              <w:spacing w:before="0"/>
              <w:jc w:val="left"/>
              <w:rPr>
                <w:sz w:val="20"/>
              </w:rPr>
            </w:pP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316" w:hRule="atLeast"/>
        </w:trPr>
        <w:tc>
          <w:tcPr>
            <w:tcW w:w="816" w:type="dxa"/>
            <w:tcBorders>
              <w:top w:val="nil"/>
              <w:bottom w:val="nil"/>
              <w:right w:val="single" w:sz="6" w:space="0" w:color="000000"/>
            </w:tcBorders>
          </w:tcPr>
          <w:p>
            <w:pPr>
              <w:pStyle w:val="TableParagraph"/>
              <w:spacing w:before="0"/>
              <w:jc w:val="left"/>
              <w:rPr>
                <w:sz w:val="20"/>
              </w:rPr>
            </w:pPr>
          </w:p>
        </w:tc>
        <w:tc>
          <w:tcPr>
            <w:tcW w:w="5250" w:type="dxa"/>
            <w:tcBorders>
              <w:top w:val="nil"/>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等，提高蛋白质及其它营业的吸收效率，减少氮的排放</w:t>
            </w:r>
          </w:p>
        </w:tc>
        <w:tc>
          <w:tcPr>
            <w:tcW w:w="2410" w:type="dxa"/>
            <w:tcBorders>
              <w:top w:val="nil"/>
              <w:left w:val="single" w:sz="6" w:space="0" w:color="000000"/>
              <w:bottom w:val="nil"/>
              <w:right w:val="single" w:sz="6" w:space="0" w:color="000000"/>
            </w:tcBorders>
          </w:tcPr>
          <w:p>
            <w:pPr>
              <w:pStyle w:val="TableParagraph"/>
              <w:spacing w:line="265" w:lineRule="exact" w:before="31"/>
              <w:ind w:left="112"/>
              <w:jc w:val="left"/>
              <w:rPr>
                <w:rFonts w:ascii="宋体" w:eastAsia="宋体" w:hint="eastAsia"/>
                <w:sz w:val="21"/>
              </w:rPr>
            </w:pPr>
            <w:r>
              <w:rPr>
                <w:rFonts w:ascii="宋体" w:eastAsia="宋体" w:hint="eastAsia"/>
                <w:sz w:val="21"/>
              </w:rPr>
              <w:t>本项目采用成品饲料，</w:t>
            </w:r>
          </w:p>
        </w:tc>
        <w:tc>
          <w:tcPr>
            <w:tcW w:w="955" w:type="dxa"/>
            <w:tcBorders>
              <w:top w:val="nil"/>
              <w:left w:val="single" w:sz="6" w:space="0" w:color="000000"/>
              <w:bottom w:val="nil"/>
            </w:tcBorders>
          </w:tcPr>
          <w:p>
            <w:pPr>
              <w:pStyle w:val="TableParagraph"/>
              <w:spacing w:before="0"/>
              <w:jc w:val="left"/>
              <w:rPr>
                <w:sz w:val="20"/>
              </w:rPr>
            </w:pPr>
          </w:p>
        </w:tc>
      </w:tr>
      <w:tr>
        <w:trPr>
          <w:trHeight w:val="305" w:hRule="atLeast"/>
        </w:trPr>
        <w:tc>
          <w:tcPr>
            <w:tcW w:w="816" w:type="dxa"/>
            <w:tcBorders>
              <w:top w:val="nil"/>
              <w:bottom w:val="nil"/>
              <w:right w:val="single" w:sz="6" w:space="0" w:color="000000"/>
            </w:tcBorders>
          </w:tcPr>
          <w:p>
            <w:pPr>
              <w:pStyle w:val="TableParagraph"/>
              <w:spacing w:line="252" w:lineRule="exact" w:before="34"/>
              <w:ind w:left="177" w:right="156"/>
              <w:rPr>
                <w:rFonts w:ascii="宋体" w:eastAsia="宋体" w:hint="eastAsia"/>
                <w:sz w:val="21"/>
              </w:rPr>
            </w:pPr>
            <w:r>
              <w:rPr>
                <w:rFonts w:ascii="宋体" w:eastAsia="宋体" w:hint="eastAsia"/>
                <w:sz w:val="21"/>
              </w:rPr>
              <w:t>饲料</w:t>
            </w:r>
          </w:p>
        </w:tc>
        <w:tc>
          <w:tcPr>
            <w:tcW w:w="5250" w:type="dxa"/>
            <w:tcBorders>
              <w:top w:val="nil"/>
              <w:left w:val="single" w:sz="6" w:space="0" w:color="000000"/>
              <w:bottom w:val="single" w:sz="6" w:space="0" w:color="000000"/>
              <w:right w:val="single" w:sz="6" w:space="0" w:color="000000"/>
            </w:tcBorders>
          </w:tcPr>
          <w:p>
            <w:pPr>
              <w:pStyle w:val="TableParagraph"/>
              <w:spacing w:before="17"/>
              <w:ind w:left="114"/>
              <w:jc w:val="left"/>
              <w:rPr>
                <w:rFonts w:ascii="宋体" w:eastAsia="宋体" w:hint="eastAsia"/>
                <w:sz w:val="21"/>
              </w:rPr>
            </w:pPr>
            <w:r>
              <w:rPr>
                <w:rFonts w:ascii="宋体" w:eastAsia="宋体" w:hint="eastAsia"/>
                <w:sz w:val="21"/>
              </w:rPr>
              <w:t>量和粪的产生量。</w:t>
            </w:r>
          </w:p>
        </w:tc>
        <w:tc>
          <w:tcPr>
            <w:tcW w:w="2410" w:type="dxa"/>
            <w:tcBorders>
              <w:top w:val="nil"/>
              <w:left w:val="single" w:sz="6" w:space="0" w:color="000000"/>
              <w:bottom w:val="nil"/>
              <w:right w:val="single" w:sz="6" w:space="0" w:color="000000"/>
            </w:tcBorders>
          </w:tcPr>
          <w:p>
            <w:pPr>
              <w:pStyle w:val="TableParagraph"/>
              <w:spacing w:line="259" w:lineRule="exact" w:before="26"/>
              <w:ind w:left="112"/>
              <w:jc w:val="left"/>
              <w:rPr>
                <w:rFonts w:ascii="宋体" w:eastAsia="宋体" w:hint="eastAsia"/>
                <w:sz w:val="21"/>
              </w:rPr>
            </w:pPr>
            <w:r>
              <w:rPr>
                <w:rFonts w:ascii="宋体" w:eastAsia="宋体" w:hint="eastAsia"/>
                <w:sz w:val="21"/>
              </w:rPr>
              <w:t>饲料选用须按规定执</w:t>
            </w:r>
          </w:p>
        </w:tc>
        <w:tc>
          <w:tcPr>
            <w:tcW w:w="955" w:type="dxa"/>
            <w:tcBorders>
              <w:top w:val="nil"/>
              <w:left w:val="single" w:sz="6" w:space="0" w:color="000000"/>
              <w:bottom w:val="nil"/>
            </w:tcBorders>
          </w:tcPr>
          <w:p>
            <w:pPr>
              <w:pStyle w:val="TableParagraph"/>
              <w:spacing w:line="259" w:lineRule="exact" w:before="26"/>
              <w:ind w:left="140" w:right="103"/>
              <w:rPr>
                <w:rFonts w:ascii="宋体" w:eastAsia="宋体" w:hint="eastAsia"/>
                <w:sz w:val="21"/>
              </w:rPr>
            </w:pPr>
            <w:r>
              <w:rPr>
                <w:rFonts w:ascii="宋体" w:eastAsia="宋体" w:hint="eastAsia"/>
                <w:sz w:val="21"/>
              </w:rPr>
              <w:t>符合</w:t>
            </w:r>
          </w:p>
        </w:tc>
      </w:tr>
      <w:tr>
        <w:trPr>
          <w:trHeight w:val="315" w:hRule="atLeast"/>
        </w:trPr>
        <w:tc>
          <w:tcPr>
            <w:tcW w:w="816" w:type="dxa"/>
            <w:tcBorders>
              <w:top w:val="nil"/>
              <w:bottom w:val="nil"/>
              <w:right w:val="single" w:sz="6" w:space="0" w:color="000000"/>
            </w:tcBorders>
          </w:tcPr>
          <w:p>
            <w:pPr>
              <w:pStyle w:val="TableParagraph"/>
              <w:spacing w:before="25"/>
              <w:ind w:left="177" w:right="156"/>
              <w:rPr>
                <w:rFonts w:ascii="宋体" w:eastAsia="宋体" w:hint="eastAsia"/>
                <w:sz w:val="21"/>
              </w:rPr>
            </w:pPr>
            <w:r>
              <w:rPr>
                <w:rFonts w:ascii="宋体" w:eastAsia="宋体" w:hint="eastAsia"/>
                <w:sz w:val="21"/>
              </w:rPr>
              <w:t>和饲</w:t>
            </w:r>
          </w:p>
        </w:tc>
        <w:tc>
          <w:tcPr>
            <w:tcW w:w="5250" w:type="dxa"/>
            <w:tcBorders>
              <w:top w:val="single" w:sz="6" w:space="0" w:color="000000"/>
              <w:left w:val="single" w:sz="6" w:space="0" w:color="000000"/>
              <w:bottom w:val="nil"/>
              <w:right w:val="single" w:sz="6" w:space="0" w:color="000000"/>
            </w:tcBorders>
          </w:tcPr>
          <w:p>
            <w:pPr>
              <w:pStyle w:val="TableParagraph"/>
              <w:spacing w:before="25"/>
              <w:ind w:left="114"/>
              <w:jc w:val="left"/>
              <w:rPr>
                <w:rFonts w:ascii="宋体" w:eastAsia="宋体" w:hint="eastAsia"/>
                <w:sz w:val="21"/>
              </w:rPr>
            </w:pPr>
            <w:r>
              <w:rPr>
                <w:rFonts w:ascii="宋体" w:eastAsia="宋体" w:hint="eastAsia"/>
                <w:sz w:val="21"/>
              </w:rPr>
              <w:t>提倡使用微生物制剂、酶制剂和植物提取液等活性物</w:t>
            </w:r>
          </w:p>
        </w:tc>
        <w:tc>
          <w:tcPr>
            <w:tcW w:w="2410" w:type="dxa"/>
            <w:tcBorders>
              <w:top w:val="nil"/>
              <w:left w:val="single" w:sz="6" w:space="0" w:color="000000"/>
              <w:bottom w:val="nil"/>
              <w:right w:val="single" w:sz="6" w:space="0" w:color="000000"/>
            </w:tcBorders>
          </w:tcPr>
          <w:p>
            <w:pPr>
              <w:pStyle w:val="TableParagraph"/>
              <w:spacing w:before="17"/>
              <w:ind w:left="112"/>
              <w:jc w:val="left"/>
              <w:rPr>
                <w:rFonts w:ascii="宋体" w:eastAsia="宋体" w:hint="eastAsia"/>
                <w:sz w:val="21"/>
              </w:rPr>
            </w:pPr>
            <w:r>
              <w:rPr>
                <w:rFonts w:ascii="宋体" w:eastAsia="宋体" w:hint="eastAsia"/>
                <w:sz w:val="21"/>
              </w:rPr>
              <w:t>行。</w:t>
            </w:r>
          </w:p>
        </w:tc>
        <w:tc>
          <w:tcPr>
            <w:tcW w:w="955" w:type="dxa"/>
            <w:tcBorders>
              <w:top w:val="nil"/>
              <w:left w:val="single" w:sz="6" w:space="0" w:color="000000"/>
              <w:bottom w:val="nil"/>
            </w:tcBorders>
          </w:tcPr>
          <w:p>
            <w:pPr>
              <w:pStyle w:val="TableParagraph"/>
              <w:spacing w:before="0"/>
              <w:jc w:val="left"/>
              <w:rPr>
                <w:sz w:val="20"/>
              </w:rPr>
            </w:pPr>
          </w:p>
        </w:tc>
      </w:tr>
      <w:tr>
        <w:trPr>
          <w:trHeight w:val="311" w:hRule="atLeast"/>
        </w:trPr>
        <w:tc>
          <w:tcPr>
            <w:tcW w:w="816" w:type="dxa"/>
            <w:tcBorders>
              <w:top w:val="nil"/>
              <w:bottom w:val="nil"/>
              <w:right w:val="single" w:sz="6" w:space="0" w:color="000000"/>
            </w:tcBorders>
          </w:tcPr>
          <w:p>
            <w:pPr>
              <w:pStyle w:val="TableParagraph"/>
              <w:spacing w:before="22"/>
              <w:ind w:left="177" w:right="156"/>
              <w:rPr>
                <w:rFonts w:ascii="宋体" w:eastAsia="宋体" w:hint="eastAsia"/>
                <w:sz w:val="21"/>
              </w:rPr>
            </w:pPr>
            <w:r>
              <w:rPr>
                <w:rFonts w:ascii="宋体" w:eastAsia="宋体" w:hint="eastAsia"/>
                <w:sz w:val="21"/>
              </w:rPr>
              <w:t>养管</w:t>
            </w:r>
          </w:p>
        </w:tc>
        <w:tc>
          <w:tcPr>
            <w:tcW w:w="5250" w:type="dxa"/>
            <w:tcBorders>
              <w:top w:val="nil"/>
              <w:left w:val="single" w:sz="6" w:space="0" w:color="000000"/>
              <w:bottom w:val="single" w:sz="6" w:space="0" w:color="000000"/>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质，减少污染物排放和恶臭气体的产生。</w:t>
            </w:r>
          </w:p>
        </w:tc>
        <w:tc>
          <w:tcPr>
            <w:tcW w:w="2410" w:type="dxa"/>
            <w:tcBorders>
              <w:top w:val="nil"/>
              <w:left w:val="single" w:sz="6" w:space="0" w:color="000000"/>
              <w:bottom w:val="single" w:sz="6" w:space="0" w:color="000000"/>
              <w:right w:val="single" w:sz="6" w:space="0" w:color="000000"/>
            </w:tcBorders>
          </w:tcPr>
          <w:p>
            <w:pPr>
              <w:pStyle w:val="TableParagraph"/>
              <w:spacing w:before="0"/>
              <w:jc w:val="left"/>
              <w:rPr>
                <w:sz w:val="20"/>
              </w:rPr>
            </w:pPr>
          </w:p>
        </w:tc>
        <w:tc>
          <w:tcPr>
            <w:tcW w:w="955" w:type="dxa"/>
            <w:tcBorders>
              <w:top w:val="nil"/>
              <w:left w:val="single" w:sz="6" w:space="0" w:color="000000"/>
              <w:bottom w:val="single" w:sz="6" w:space="0" w:color="000000"/>
            </w:tcBorders>
          </w:tcPr>
          <w:p>
            <w:pPr>
              <w:pStyle w:val="TableParagraph"/>
              <w:spacing w:before="0"/>
              <w:jc w:val="left"/>
              <w:rPr>
                <w:sz w:val="20"/>
              </w:rPr>
            </w:pPr>
          </w:p>
        </w:tc>
      </w:tr>
      <w:tr>
        <w:trPr>
          <w:trHeight w:val="312" w:hRule="atLeast"/>
        </w:trPr>
        <w:tc>
          <w:tcPr>
            <w:tcW w:w="816" w:type="dxa"/>
            <w:tcBorders>
              <w:top w:val="nil"/>
              <w:bottom w:val="nil"/>
              <w:right w:val="single" w:sz="6" w:space="0" w:color="000000"/>
            </w:tcBorders>
          </w:tcPr>
          <w:p>
            <w:pPr>
              <w:pStyle w:val="TableParagraph"/>
              <w:spacing w:before="8"/>
              <w:ind w:left="21"/>
              <w:rPr>
                <w:rFonts w:ascii="宋体" w:eastAsia="宋体" w:hint="eastAsia"/>
                <w:sz w:val="21"/>
              </w:rPr>
            </w:pPr>
            <w:r>
              <w:rPr>
                <w:rFonts w:ascii="宋体" w:eastAsia="宋体" w:hint="eastAsia"/>
                <w:w w:val="100"/>
                <w:sz w:val="21"/>
              </w:rPr>
              <w:t>理</w:t>
            </w:r>
          </w:p>
        </w:tc>
        <w:tc>
          <w:tcPr>
            <w:tcW w:w="5250" w:type="dxa"/>
            <w:tcBorders>
              <w:top w:val="single" w:sz="6" w:space="0" w:color="000000"/>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养殖场场区、畜禽舍、机械等消毒应采用环境友好的消</w:t>
            </w:r>
          </w:p>
        </w:tc>
        <w:tc>
          <w:tcPr>
            <w:tcW w:w="2410" w:type="dxa"/>
            <w:tcBorders>
              <w:top w:val="single" w:sz="6" w:space="0" w:color="000000"/>
              <w:left w:val="single" w:sz="6" w:space="0" w:color="000000"/>
              <w:bottom w:val="nil"/>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根据本项目所采用的消</w:t>
            </w: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622" w:hRule="atLeast"/>
        </w:trPr>
        <w:tc>
          <w:tcPr>
            <w:tcW w:w="816" w:type="dxa"/>
            <w:tcBorders>
              <w:top w:val="nil"/>
              <w:bottom w:val="single" w:sz="6" w:space="0" w:color="000000"/>
              <w:right w:val="single" w:sz="6" w:space="0" w:color="000000"/>
            </w:tcBorders>
          </w:tcPr>
          <w:p>
            <w:pPr>
              <w:pStyle w:val="TableParagraph"/>
              <w:spacing w:before="0"/>
              <w:jc w:val="left"/>
              <w:rPr>
                <w:sz w:val="20"/>
              </w:rPr>
            </w:pPr>
          </w:p>
        </w:tc>
        <w:tc>
          <w:tcPr>
            <w:tcW w:w="5250" w:type="dxa"/>
            <w:tcBorders>
              <w:top w:val="nil"/>
              <w:left w:val="single" w:sz="6" w:space="0" w:color="000000"/>
              <w:bottom w:val="single" w:sz="6" w:space="0" w:color="000000"/>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毒剂和消毒措施（包括紫外、臭氧、双氧水等方法），</w:t>
            </w:r>
          </w:p>
          <w:p>
            <w:pPr>
              <w:pStyle w:val="TableParagraph"/>
              <w:spacing w:before="43"/>
              <w:ind w:left="114"/>
              <w:jc w:val="left"/>
              <w:rPr>
                <w:rFonts w:ascii="宋体" w:eastAsia="宋体" w:hint="eastAsia"/>
                <w:sz w:val="21"/>
              </w:rPr>
            </w:pPr>
            <w:r>
              <w:rPr>
                <w:rFonts w:ascii="宋体" w:eastAsia="宋体" w:hint="eastAsia"/>
                <w:sz w:val="21"/>
              </w:rPr>
              <w:t>防止产生氯代有机物及其他的二次污染物。</w:t>
            </w:r>
          </w:p>
        </w:tc>
        <w:tc>
          <w:tcPr>
            <w:tcW w:w="2410" w:type="dxa"/>
            <w:tcBorders>
              <w:top w:val="nil"/>
              <w:left w:val="single" w:sz="6" w:space="0" w:color="000000"/>
              <w:bottom w:val="single" w:sz="6" w:space="0" w:color="000000"/>
              <w:right w:val="single" w:sz="6" w:space="0" w:color="000000"/>
            </w:tcBorders>
          </w:tcPr>
          <w:p>
            <w:pPr>
              <w:pStyle w:val="TableParagraph"/>
              <w:spacing w:before="19"/>
              <w:ind w:left="112"/>
              <w:jc w:val="left"/>
              <w:rPr>
                <w:rFonts w:ascii="宋体" w:eastAsia="宋体" w:hint="eastAsia"/>
                <w:sz w:val="21"/>
              </w:rPr>
            </w:pPr>
            <w:r>
              <w:rPr>
                <w:rFonts w:ascii="宋体" w:eastAsia="宋体" w:hint="eastAsia"/>
                <w:spacing w:val="-15"/>
                <w:position w:val="1"/>
                <w:sz w:val="21"/>
              </w:rPr>
              <w:t>毒药剂</w:t>
            </w:r>
            <w:r>
              <w:rPr>
                <w:rFonts w:ascii="宋体" w:eastAsia="宋体" w:hint="eastAsia"/>
                <w:position w:val="1"/>
                <w:sz w:val="21"/>
              </w:rPr>
              <w:t>（</w:t>
            </w:r>
            <w:r>
              <w:rPr>
                <w:rFonts w:ascii="宋体" w:eastAsia="宋体" w:hint="eastAsia"/>
                <w:spacing w:val="-12"/>
                <w:position w:val="1"/>
                <w:sz w:val="21"/>
              </w:rPr>
              <w:t>详见表 </w:t>
            </w:r>
            <w:r>
              <w:rPr>
                <w:spacing w:val="-13"/>
                <w:sz w:val="21"/>
              </w:rPr>
              <w:t>3.2-8</w:t>
            </w:r>
            <w:r>
              <w:rPr>
                <w:rFonts w:ascii="宋体" w:eastAsia="宋体" w:hint="eastAsia"/>
                <w:spacing w:val="-13"/>
                <w:position w:val="1"/>
                <w:sz w:val="21"/>
              </w:rPr>
              <w:t>），</w:t>
            </w:r>
          </w:p>
          <w:p>
            <w:pPr>
              <w:pStyle w:val="TableParagraph"/>
              <w:spacing w:before="46"/>
              <w:ind w:left="112"/>
              <w:jc w:val="left"/>
              <w:rPr>
                <w:rFonts w:ascii="宋体" w:eastAsia="宋体" w:hint="eastAsia"/>
                <w:sz w:val="21"/>
              </w:rPr>
            </w:pPr>
            <w:r>
              <w:rPr>
                <w:rFonts w:ascii="宋体" w:eastAsia="宋体" w:hint="eastAsia"/>
                <w:sz w:val="21"/>
              </w:rPr>
              <w:t>不涉及含氯消毒剂。</w:t>
            </w:r>
          </w:p>
        </w:tc>
        <w:tc>
          <w:tcPr>
            <w:tcW w:w="955" w:type="dxa"/>
            <w:tcBorders>
              <w:top w:val="nil"/>
              <w:left w:val="single" w:sz="6" w:space="0" w:color="000000"/>
              <w:bottom w:val="single" w:sz="6" w:space="0" w:color="000000"/>
            </w:tcBorders>
          </w:tcPr>
          <w:p>
            <w:pPr>
              <w:pStyle w:val="TableParagraph"/>
              <w:spacing w:before="22"/>
              <w:ind w:left="140" w:right="103"/>
              <w:rPr>
                <w:rFonts w:ascii="宋体" w:eastAsia="宋体" w:hint="eastAsia"/>
                <w:sz w:val="21"/>
              </w:rPr>
            </w:pPr>
            <w:r>
              <w:rPr>
                <w:rFonts w:ascii="宋体" w:eastAsia="宋体" w:hint="eastAsia"/>
                <w:sz w:val="21"/>
              </w:rPr>
              <w:t>符合</w:t>
            </w:r>
          </w:p>
        </w:tc>
      </w:tr>
      <w:tr>
        <w:trPr>
          <w:trHeight w:val="316" w:hRule="atLeast"/>
        </w:trPr>
        <w:tc>
          <w:tcPr>
            <w:tcW w:w="816" w:type="dxa"/>
            <w:tcBorders>
              <w:top w:val="single" w:sz="6" w:space="0" w:color="000000"/>
              <w:bottom w:val="nil"/>
              <w:right w:val="single" w:sz="6" w:space="0" w:color="000000"/>
            </w:tcBorders>
          </w:tcPr>
          <w:p>
            <w:pPr>
              <w:pStyle w:val="TableParagraph"/>
              <w:spacing w:line="266" w:lineRule="exact" w:before="29"/>
              <w:ind w:left="177" w:right="156"/>
              <w:rPr>
                <w:rFonts w:ascii="宋体" w:eastAsia="宋体" w:hint="eastAsia"/>
                <w:sz w:val="21"/>
              </w:rPr>
            </w:pPr>
            <w:r>
              <w:rPr>
                <w:rFonts w:ascii="宋体" w:eastAsia="宋体" w:hint="eastAsia"/>
                <w:sz w:val="21"/>
              </w:rPr>
              <w:t>病死</w:t>
            </w:r>
          </w:p>
        </w:tc>
        <w:tc>
          <w:tcPr>
            <w:tcW w:w="5250" w:type="dxa"/>
            <w:tcBorders>
              <w:top w:val="single" w:sz="6" w:space="0" w:color="000000"/>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z w:val="21"/>
              </w:rPr>
              <w:t>病死畜禽尸体要及时处理，严禁随意丢弃，严禁出售或</w:t>
            </w:r>
          </w:p>
        </w:tc>
        <w:tc>
          <w:tcPr>
            <w:tcW w:w="2410" w:type="dxa"/>
            <w:tcBorders>
              <w:top w:val="single" w:sz="6" w:space="0" w:color="000000"/>
              <w:left w:val="single" w:sz="6" w:space="0" w:color="000000"/>
              <w:bottom w:val="nil"/>
              <w:right w:val="single" w:sz="6" w:space="0" w:color="000000"/>
            </w:tcBorders>
          </w:tcPr>
          <w:p>
            <w:pPr>
              <w:pStyle w:val="TableParagraph"/>
              <w:spacing w:line="266" w:lineRule="exact" w:before="29"/>
              <w:ind w:left="112"/>
              <w:jc w:val="left"/>
              <w:rPr>
                <w:rFonts w:ascii="宋体" w:eastAsia="宋体" w:hint="eastAsia"/>
                <w:sz w:val="21"/>
              </w:rPr>
            </w:pPr>
            <w:r>
              <w:rPr>
                <w:rFonts w:ascii="宋体" w:eastAsia="宋体" w:hint="eastAsia"/>
                <w:sz w:val="21"/>
              </w:rPr>
              <w:t>本项目所产生的病死猪</w:t>
            </w:r>
          </w:p>
        </w:tc>
        <w:tc>
          <w:tcPr>
            <w:tcW w:w="955" w:type="dxa"/>
            <w:tcBorders>
              <w:top w:val="single" w:sz="6" w:space="0" w:color="000000"/>
              <w:left w:val="single" w:sz="6" w:space="0" w:color="000000"/>
              <w:bottom w:val="nil"/>
            </w:tcBorders>
          </w:tcPr>
          <w:p>
            <w:pPr>
              <w:pStyle w:val="TableParagraph"/>
              <w:spacing w:before="0"/>
              <w:jc w:val="left"/>
              <w:rPr>
                <w:sz w:val="20"/>
              </w:rPr>
            </w:pPr>
          </w:p>
        </w:tc>
      </w:tr>
      <w:tr>
        <w:trPr>
          <w:trHeight w:val="307" w:hRule="atLeast"/>
        </w:trPr>
        <w:tc>
          <w:tcPr>
            <w:tcW w:w="816" w:type="dxa"/>
            <w:vMerge w:val="restart"/>
            <w:tcBorders>
              <w:top w:val="nil"/>
              <w:bottom w:val="nil"/>
              <w:right w:val="single" w:sz="6" w:space="0" w:color="000000"/>
            </w:tcBorders>
          </w:tcPr>
          <w:p>
            <w:pPr>
              <w:pStyle w:val="TableParagraph"/>
              <w:spacing w:before="25"/>
              <w:ind w:left="196"/>
              <w:jc w:val="left"/>
              <w:rPr>
                <w:rFonts w:ascii="宋体" w:eastAsia="宋体" w:hint="eastAsia"/>
                <w:sz w:val="21"/>
              </w:rPr>
            </w:pPr>
            <w:r>
              <w:rPr>
                <w:rFonts w:ascii="宋体" w:eastAsia="宋体" w:hint="eastAsia"/>
                <w:sz w:val="21"/>
              </w:rPr>
              <w:t>畜禽</w:t>
            </w:r>
          </w:p>
          <w:p>
            <w:pPr>
              <w:pStyle w:val="TableParagraph"/>
              <w:spacing w:line="310" w:lineRule="atLeast" w:before="2"/>
              <w:ind w:left="196" w:right="172"/>
              <w:jc w:val="left"/>
              <w:rPr>
                <w:rFonts w:ascii="宋体" w:eastAsia="宋体" w:hint="eastAsia"/>
                <w:sz w:val="21"/>
              </w:rPr>
            </w:pPr>
            <w:r>
              <w:rPr>
                <w:rFonts w:ascii="宋体" w:eastAsia="宋体" w:hint="eastAsia"/>
                <w:spacing w:val="-9"/>
                <w:sz w:val="21"/>
              </w:rPr>
              <w:t>尸体的处</w:t>
            </w:r>
          </w:p>
        </w:tc>
        <w:tc>
          <w:tcPr>
            <w:tcW w:w="5250" w:type="dxa"/>
            <w:tcBorders>
              <w:top w:val="nil"/>
              <w:left w:val="single" w:sz="6" w:space="0" w:color="000000"/>
              <w:bottom w:val="single" w:sz="6" w:space="0" w:color="000000"/>
              <w:right w:val="single" w:sz="6" w:space="0" w:color="000000"/>
            </w:tcBorders>
          </w:tcPr>
          <w:p>
            <w:pPr>
              <w:pStyle w:val="TableParagraph"/>
              <w:spacing w:before="18"/>
              <w:ind w:left="114"/>
              <w:jc w:val="left"/>
              <w:rPr>
                <w:rFonts w:ascii="宋体" w:eastAsia="宋体" w:hint="eastAsia"/>
                <w:sz w:val="21"/>
              </w:rPr>
            </w:pPr>
            <w:r>
              <w:rPr>
                <w:rFonts w:ascii="宋体" w:eastAsia="宋体" w:hint="eastAsia"/>
                <w:sz w:val="21"/>
              </w:rPr>
              <w:t>作为饲料再利用。</w:t>
            </w:r>
          </w:p>
        </w:tc>
        <w:tc>
          <w:tcPr>
            <w:tcW w:w="2410" w:type="dxa"/>
            <w:vMerge w:val="restart"/>
            <w:tcBorders>
              <w:top w:val="nil"/>
              <w:left w:val="single" w:sz="6" w:space="0" w:color="000000"/>
              <w:bottom w:val="nil"/>
              <w:right w:val="single" w:sz="6" w:space="0" w:color="000000"/>
            </w:tcBorders>
          </w:tcPr>
          <w:p>
            <w:pPr>
              <w:pStyle w:val="TableParagraph"/>
              <w:spacing w:line="280" w:lineRule="auto" w:before="22"/>
              <w:ind w:left="112" w:right="84"/>
              <w:jc w:val="left"/>
              <w:rPr>
                <w:rFonts w:ascii="宋体" w:eastAsia="宋体" w:hint="eastAsia"/>
                <w:sz w:val="21"/>
              </w:rPr>
            </w:pPr>
            <w:r>
              <w:rPr>
                <w:rFonts w:ascii="宋体" w:eastAsia="宋体" w:hint="eastAsia"/>
                <w:spacing w:val="-1"/>
                <w:position w:val="1"/>
                <w:sz w:val="21"/>
              </w:rPr>
              <w:t>暂按绍柯农</w:t>
            </w:r>
            <w:r>
              <w:rPr>
                <w:sz w:val="21"/>
              </w:rPr>
              <w:t>[2019]4</w:t>
            </w:r>
            <w:r>
              <w:rPr>
                <w:spacing w:val="10"/>
                <w:sz w:val="21"/>
              </w:rPr>
              <w:t> </w:t>
            </w:r>
            <w:r>
              <w:rPr>
                <w:rFonts w:ascii="宋体" w:eastAsia="宋体" w:hint="eastAsia"/>
                <w:spacing w:val="-9"/>
                <w:position w:val="1"/>
                <w:sz w:val="21"/>
              </w:rPr>
              <w:t>号文</w:t>
            </w:r>
            <w:r>
              <w:rPr>
                <w:rFonts w:ascii="宋体" w:eastAsia="宋体" w:hint="eastAsia"/>
                <w:spacing w:val="6"/>
                <w:sz w:val="21"/>
              </w:rPr>
              <w:t>要求自行无害化处理，</w:t>
            </w:r>
          </w:p>
          <w:p>
            <w:pPr>
              <w:pStyle w:val="TableParagraph"/>
              <w:spacing w:line="266" w:lineRule="exact" w:before="0"/>
              <w:ind w:left="112"/>
              <w:jc w:val="left"/>
              <w:rPr>
                <w:rFonts w:ascii="宋体" w:eastAsia="宋体" w:hint="eastAsia"/>
                <w:sz w:val="21"/>
              </w:rPr>
            </w:pPr>
            <w:r>
              <w:rPr>
                <w:rFonts w:ascii="宋体" w:eastAsia="宋体" w:hint="eastAsia"/>
                <w:spacing w:val="7"/>
                <w:sz w:val="21"/>
              </w:rPr>
              <w:t>处理后的产物同猪粪一</w:t>
            </w:r>
          </w:p>
        </w:tc>
        <w:tc>
          <w:tcPr>
            <w:tcW w:w="955" w:type="dxa"/>
            <w:vMerge w:val="restart"/>
            <w:tcBorders>
              <w:top w:val="nil"/>
              <w:left w:val="single" w:sz="6" w:space="0" w:color="000000"/>
              <w:bottom w:val="nil"/>
            </w:tcBorders>
          </w:tcPr>
          <w:p>
            <w:pPr>
              <w:pStyle w:val="TableParagraph"/>
              <w:spacing w:before="0"/>
              <w:jc w:val="left"/>
              <w:rPr>
                <w:rFonts w:ascii="宋体"/>
                <w:b/>
                <w:sz w:val="20"/>
              </w:rPr>
            </w:pPr>
          </w:p>
          <w:p>
            <w:pPr>
              <w:pStyle w:val="TableParagraph"/>
              <w:spacing w:before="6"/>
              <w:jc w:val="left"/>
              <w:rPr>
                <w:rFonts w:ascii="宋体"/>
                <w:b/>
                <w:sz w:val="18"/>
              </w:rPr>
            </w:pPr>
          </w:p>
          <w:p>
            <w:pPr>
              <w:pStyle w:val="TableParagraph"/>
              <w:spacing w:before="0"/>
              <w:ind w:left="273"/>
              <w:jc w:val="left"/>
              <w:rPr>
                <w:rFonts w:ascii="宋体" w:eastAsia="宋体" w:hint="eastAsia"/>
                <w:sz w:val="21"/>
              </w:rPr>
            </w:pPr>
            <w:r>
              <w:rPr>
                <w:rFonts w:ascii="宋体" w:eastAsia="宋体" w:hint="eastAsia"/>
                <w:sz w:val="21"/>
              </w:rPr>
              <w:t>符合</w:t>
            </w:r>
          </w:p>
        </w:tc>
      </w:tr>
      <w:tr>
        <w:trPr>
          <w:trHeight w:val="621" w:hRule="atLeast"/>
        </w:trPr>
        <w:tc>
          <w:tcPr>
            <w:tcW w:w="816" w:type="dxa"/>
            <w:vMerge/>
            <w:tcBorders>
              <w:top w:val="nil"/>
              <w:bottom w:val="nil"/>
              <w:right w:val="single" w:sz="6" w:space="0" w:color="000000"/>
            </w:tcBorders>
          </w:tcPr>
          <w:p>
            <w:pPr>
              <w:rPr>
                <w:sz w:val="2"/>
                <w:szCs w:val="2"/>
              </w:rPr>
            </w:pPr>
          </w:p>
        </w:tc>
        <w:tc>
          <w:tcPr>
            <w:tcW w:w="5250" w:type="dxa"/>
            <w:tcBorders>
              <w:top w:val="single" w:sz="6" w:space="0" w:color="000000"/>
              <w:left w:val="single" w:sz="6" w:space="0" w:color="000000"/>
              <w:bottom w:val="nil"/>
              <w:right w:val="single" w:sz="6" w:space="0" w:color="000000"/>
            </w:tcBorders>
          </w:tcPr>
          <w:p>
            <w:pPr>
              <w:pStyle w:val="TableParagraph"/>
              <w:spacing w:before="22"/>
              <w:ind w:left="114"/>
              <w:jc w:val="left"/>
              <w:rPr>
                <w:rFonts w:ascii="宋体" w:eastAsia="宋体" w:hint="eastAsia"/>
                <w:sz w:val="21"/>
              </w:rPr>
            </w:pPr>
            <w:r>
              <w:rPr>
                <w:rFonts w:ascii="宋体" w:eastAsia="宋体" w:hint="eastAsia"/>
                <w:spacing w:val="-4"/>
                <w:sz w:val="21"/>
              </w:rPr>
              <w:t>病死畜禽尸体处理应采用焚烧炉焚烧的方法，在养殖场</w:t>
            </w:r>
          </w:p>
          <w:p>
            <w:pPr>
              <w:pStyle w:val="TableParagraph"/>
              <w:spacing w:line="266" w:lineRule="exact" w:before="43"/>
              <w:ind w:left="114"/>
              <w:jc w:val="left"/>
              <w:rPr>
                <w:rFonts w:ascii="宋体" w:eastAsia="宋体" w:hint="eastAsia"/>
                <w:sz w:val="21"/>
              </w:rPr>
            </w:pPr>
            <w:r>
              <w:rPr>
                <w:rFonts w:ascii="宋体" w:eastAsia="宋体" w:hint="eastAsia"/>
                <w:spacing w:val="-5"/>
                <w:sz w:val="21"/>
              </w:rPr>
              <w:t>比较集中的地区，应集中设置焚烧设施，同时焚烧产生</w:t>
            </w:r>
          </w:p>
        </w:tc>
        <w:tc>
          <w:tcPr>
            <w:tcW w:w="2410" w:type="dxa"/>
            <w:vMerge/>
            <w:tcBorders>
              <w:top w:val="nil"/>
              <w:left w:val="single" w:sz="6" w:space="0" w:color="000000"/>
              <w:bottom w:val="nil"/>
              <w:right w:val="single" w:sz="6" w:space="0" w:color="000000"/>
            </w:tcBorders>
          </w:tcPr>
          <w:p>
            <w:pPr>
              <w:rPr>
                <w:sz w:val="2"/>
                <w:szCs w:val="2"/>
              </w:rPr>
            </w:pPr>
          </w:p>
        </w:tc>
        <w:tc>
          <w:tcPr>
            <w:tcW w:w="955" w:type="dxa"/>
            <w:vMerge/>
            <w:tcBorders>
              <w:top w:val="nil"/>
              <w:left w:val="single" w:sz="6" w:space="0" w:color="000000"/>
              <w:bottom w:val="nil"/>
            </w:tcBorders>
          </w:tcPr>
          <w:p>
            <w:pPr>
              <w:rPr>
                <w:sz w:val="2"/>
                <w:szCs w:val="2"/>
              </w:rPr>
            </w:pPr>
          </w:p>
        </w:tc>
      </w:tr>
      <w:tr>
        <w:trPr>
          <w:trHeight w:val="311" w:hRule="atLeast"/>
        </w:trPr>
        <w:tc>
          <w:tcPr>
            <w:tcW w:w="816" w:type="dxa"/>
            <w:tcBorders>
              <w:top w:val="nil"/>
              <w:bottom w:val="nil"/>
              <w:right w:val="single" w:sz="6" w:space="0" w:color="000000"/>
            </w:tcBorders>
          </w:tcPr>
          <w:p>
            <w:pPr>
              <w:pStyle w:val="TableParagraph"/>
              <w:spacing w:before="18"/>
              <w:ind w:left="177" w:right="156"/>
              <w:rPr>
                <w:rFonts w:ascii="宋体" w:eastAsia="宋体" w:hint="eastAsia"/>
                <w:sz w:val="21"/>
              </w:rPr>
            </w:pPr>
            <w:r>
              <w:rPr>
                <w:rFonts w:ascii="宋体" w:eastAsia="宋体" w:hint="eastAsia"/>
                <w:sz w:val="21"/>
              </w:rPr>
              <w:t>理与</w:t>
            </w:r>
          </w:p>
        </w:tc>
        <w:tc>
          <w:tcPr>
            <w:tcW w:w="5250" w:type="dxa"/>
            <w:tcBorders>
              <w:top w:val="nil"/>
              <w:left w:val="single" w:sz="6" w:space="0" w:color="000000"/>
              <w:bottom w:val="nil"/>
              <w:right w:val="single" w:sz="6" w:space="0" w:color="000000"/>
            </w:tcBorders>
          </w:tcPr>
          <w:p>
            <w:pPr>
              <w:pStyle w:val="TableParagraph"/>
              <w:spacing w:line="266" w:lineRule="exact" w:before="25"/>
              <w:ind w:left="114"/>
              <w:jc w:val="left"/>
              <w:rPr>
                <w:rFonts w:ascii="宋体" w:eastAsia="宋体" w:hint="eastAsia"/>
                <w:sz w:val="21"/>
              </w:rPr>
            </w:pPr>
            <w:r>
              <w:rPr>
                <w:rFonts w:ascii="宋体" w:eastAsia="宋体" w:hint="eastAsia"/>
                <w:sz w:val="21"/>
              </w:rPr>
              <w:t>的烟气应采取有效的净化措施，防止烟尘、一氧化碳、</w:t>
            </w:r>
          </w:p>
        </w:tc>
        <w:tc>
          <w:tcPr>
            <w:tcW w:w="2410" w:type="dxa"/>
            <w:tcBorders>
              <w:top w:val="nil"/>
              <w:left w:val="single" w:sz="6" w:space="0" w:color="000000"/>
              <w:bottom w:val="nil"/>
              <w:right w:val="single" w:sz="6" w:space="0" w:color="000000"/>
            </w:tcBorders>
          </w:tcPr>
          <w:p>
            <w:pPr>
              <w:pStyle w:val="TableParagraph"/>
              <w:spacing w:before="18"/>
              <w:ind w:left="112"/>
              <w:jc w:val="left"/>
              <w:rPr>
                <w:rFonts w:ascii="宋体" w:eastAsia="宋体" w:hint="eastAsia"/>
                <w:sz w:val="21"/>
              </w:rPr>
            </w:pPr>
            <w:r>
              <w:rPr>
                <w:rFonts w:ascii="宋体" w:eastAsia="宋体" w:hint="eastAsia"/>
                <w:sz w:val="21"/>
              </w:rPr>
              <w:t>起经二次发酵后外运生</w:t>
            </w:r>
          </w:p>
        </w:tc>
        <w:tc>
          <w:tcPr>
            <w:tcW w:w="955" w:type="dxa"/>
            <w:tcBorders>
              <w:top w:val="nil"/>
              <w:left w:val="single" w:sz="6" w:space="0" w:color="000000"/>
              <w:bottom w:val="nil"/>
            </w:tcBorders>
          </w:tcPr>
          <w:p>
            <w:pPr>
              <w:pStyle w:val="TableParagraph"/>
              <w:spacing w:before="0"/>
              <w:jc w:val="left"/>
              <w:rPr>
                <w:sz w:val="20"/>
              </w:rPr>
            </w:pPr>
          </w:p>
        </w:tc>
      </w:tr>
      <w:tr>
        <w:trPr>
          <w:trHeight w:val="314" w:hRule="atLeast"/>
        </w:trPr>
        <w:tc>
          <w:tcPr>
            <w:tcW w:w="816" w:type="dxa"/>
            <w:tcBorders>
              <w:top w:val="nil"/>
              <w:right w:val="single" w:sz="6" w:space="0" w:color="000000"/>
            </w:tcBorders>
          </w:tcPr>
          <w:p>
            <w:pPr>
              <w:pStyle w:val="TableParagraph"/>
              <w:spacing w:before="18"/>
              <w:ind w:left="177" w:right="156"/>
              <w:rPr>
                <w:rFonts w:ascii="宋体" w:eastAsia="宋体" w:hint="eastAsia"/>
                <w:sz w:val="21"/>
              </w:rPr>
            </w:pPr>
            <w:r>
              <w:rPr>
                <w:rFonts w:ascii="宋体" w:eastAsia="宋体" w:hint="eastAsia"/>
                <w:sz w:val="21"/>
              </w:rPr>
              <w:t>处置</w:t>
            </w:r>
          </w:p>
        </w:tc>
        <w:tc>
          <w:tcPr>
            <w:tcW w:w="5250" w:type="dxa"/>
            <w:tcBorders>
              <w:top w:val="nil"/>
              <w:left w:val="single" w:sz="6" w:space="0" w:color="000000"/>
              <w:right w:val="single" w:sz="6" w:space="0" w:color="000000"/>
            </w:tcBorders>
          </w:tcPr>
          <w:p>
            <w:pPr>
              <w:pStyle w:val="TableParagraph"/>
              <w:spacing w:line="269" w:lineRule="exact" w:before="25"/>
              <w:ind w:left="114"/>
              <w:jc w:val="left"/>
              <w:rPr>
                <w:rFonts w:ascii="宋体" w:eastAsia="宋体" w:hint="eastAsia"/>
                <w:sz w:val="21"/>
              </w:rPr>
            </w:pPr>
            <w:r>
              <w:rPr>
                <w:rFonts w:ascii="宋体" w:eastAsia="宋体" w:hint="eastAsia"/>
                <w:sz w:val="21"/>
              </w:rPr>
              <w:t>恶臭等对周围大气环境的污染。</w:t>
            </w:r>
          </w:p>
        </w:tc>
        <w:tc>
          <w:tcPr>
            <w:tcW w:w="2410" w:type="dxa"/>
            <w:tcBorders>
              <w:top w:val="nil"/>
              <w:left w:val="single" w:sz="6" w:space="0" w:color="000000"/>
              <w:right w:val="single" w:sz="6" w:space="0" w:color="000000"/>
            </w:tcBorders>
          </w:tcPr>
          <w:p>
            <w:pPr>
              <w:pStyle w:val="TableParagraph"/>
              <w:spacing w:before="18"/>
              <w:ind w:left="112"/>
              <w:jc w:val="left"/>
              <w:rPr>
                <w:rFonts w:ascii="宋体" w:eastAsia="宋体" w:hint="eastAsia"/>
                <w:sz w:val="21"/>
              </w:rPr>
            </w:pPr>
            <w:r>
              <w:rPr>
                <w:rFonts w:ascii="宋体" w:eastAsia="宋体" w:hint="eastAsia"/>
                <w:sz w:val="21"/>
              </w:rPr>
              <w:t>产有机肥，远期根据政</w:t>
            </w:r>
          </w:p>
        </w:tc>
        <w:tc>
          <w:tcPr>
            <w:tcW w:w="955" w:type="dxa"/>
            <w:tcBorders>
              <w:top w:val="nil"/>
              <w:left w:val="single" w:sz="6" w:space="0" w:color="000000"/>
            </w:tcBorders>
          </w:tcPr>
          <w:p>
            <w:pPr>
              <w:pStyle w:val="TableParagraph"/>
              <w:spacing w:before="0"/>
              <w:jc w:val="left"/>
              <w:rPr>
                <w:sz w:val="20"/>
              </w:rPr>
            </w:pPr>
          </w:p>
        </w:tc>
      </w:tr>
    </w:tbl>
    <w:p>
      <w:pPr>
        <w:spacing w:after="0"/>
        <w:jc w:val="left"/>
        <w:rPr>
          <w:sz w:val="20"/>
        </w:rPr>
        <w:sectPr>
          <w:footerReference w:type="default" r:id="rId169"/>
          <w:pgSz w:w="11910" w:h="16840"/>
          <w:pgMar w:footer="1004" w:header="874" w:top="1420" w:bottom="1200" w:left="1040" w:right="1160"/>
          <w:pgNumType w:start="231"/>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16"/>
        <w:gridCol w:w="5250"/>
        <w:gridCol w:w="2410"/>
        <w:gridCol w:w="955"/>
      </w:tblGrid>
      <w:tr>
        <w:trPr>
          <w:trHeight w:val="311" w:hRule="atLeast"/>
        </w:trPr>
        <w:tc>
          <w:tcPr>
            <w:tcW w:w="6066" w:type="dxa"/>
            <w:gridSpan w:val="2"/>
            <w:tcBorders>
              <w:bottom w:val="single" w:sz="6" w:space="0" w:color="000000"/>
              <w:right w:val="single" w:sz="6" w:space="0" w:color="000000"/>
            </w:tcBorders>
          </w:tcPr>
          <w:p>
            <w:pPr>
              <w:pStyle w:val="TableParagraph"/>
              <w:spacing w:line="267" w:lineRule="exact" w:before="25"/>
              <w:ind w:left="2591" w:right="2568"/>
              <w:rPr>
                <w:rFonts w:ascii="宋体" w:eastAsia="宋体" w:hint="eastAsia"/>
                <w:b/>
                <w:sz w:val="21"/>
              </w:rPr>
            </w:pPr>
            <w:r>
              <w:rPr>
                <w:rFonts w:ascii="宋体" w:eastAsia="宋体" w:hint="eastAsia"/>
                <w:b/>
                <w:sz w:val="21"/>
              </w:rPr>
              <w:t>技术要求</w:t>
            </w:r>
          </w:p>
        </w:tc>
        <w:tc>
          <w:tcPr>
            <w:tcW w:w="2410" w:type="dxa"/>
            <w:tcBorders>
              <w:left w:val="single" w:sz="6" w:space="0" w:color="000000"/>
              <w:bottom w:val="single" w:sz="6" w:space="0" w:color="000000"/>
              <w:right w:val="single" w:sz="6" w:space="0" w:color="000000"/>
            </w:tcBorders>
          </w:tcPr>
          <w:p>
            <w:pPr>
              <w:pStyle w:val="TableParagraph"/>
              <w:spacing w:line="267" w:lineRule="exact" w:before="25"/>
              <w:ind w:left="681"/>
              <w:jc w:val="left"/>
              <w:rPr>
                <w:rFonts w:ascii="宋体" w:eastAsia="宋体" w:hint="eastAsia"/>
                <w:b/>
                <w:sz w:val="21"/>
              </w:rPr>
            </w:pPr>
            <w:r>
              <w:rPr>
                <w:rFonts w:ascii="宋体" w:eastAsia="宋体" w:hint="eastAsia"/>
                <w:b/>
                <w:sz w:val="21"/>
              </w:rPr>
              <w:t>本项目情况</w:t>
            </w:r>
          </w:p>
        </w:tc>
        <w:tc>
          <w:tcPr>
            <w:tcW w:w="955" w:type="dxa"/>
            <w:tcBorders>
              <w:left w:val="single" w:sz="6" w:space="0" w:color="000000"/>
              <w:bottom w:val="single" w:sz="6" w:space="0" w:color="000000"/>
            </w:tcBorders>
          </w:tcPr>
          <w:p>
            <w:pPr>
              <w:pStyle w:val="TableParagraph"/>
              <w:spacing w:line="267" w:lineRule="exact" w:before="25"/>
              <w:ind w:left="140" w:right="104"/>
              <w:rPr>
                <w:rFonts w:ascii="宋体" w:eastAsia="宋体" w:hint="eastAsia"/>
                <w:b/>
                <w:sz w:val="21"/>
              </w:rPr>
            </w:pPr>
            <w:r>
              <w:rPr>
                <w:rFonts w:ascii="宋体" w:eastAsia="宋体" w:hint="eastAsia"/>
                <w:b/>
                <w:sz w:val="21"/>
              </w:rPr>
              <w:t>符合性</w:t>
            </w:r>
          </w:p>
        </w:tc>
      </w:tr>
      <w:tr>
        <w:trPr>
          <w:trHeight w:val="1561" w:hRule="atLeast"/>
        </w:trPr>
        <w:tc>
          <w:tcPr>
            <w:tcW w:w="816" w:type="dxa"/>
            <w:tcBorders>
              <w:top w:val="single" w:sz="6" w:space="0" w:color="000000"/>
              <w:bottom w:val="single" w:sz="6" w:space="0" w:color="000000"/>
              <w:right w:val="single" w:sz="6" w:space="0" w:color="000000"/>
            </w:tcBorders>
          </w:tcPr>
          <w:p>
            <w:pPr>
              <w:pStyle w:val="TableParagraph"/>
              <w:spacing w:before="0"/>
              <w:jc w:val="left"/>
              <w:rPr>
                <w:sz w:val="20"/>
              </w:rPr>
            </w:pP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5"/>
              <w:ind w:left="114" w:right="72"/>
              <w:jc w:val="both"/>
              <w:rPr>
                <w:rFonts w:ascii="宋体" w:eastAsia="宋体" w:hint="eastAsia"/>
                <w:sz w:val="21"/>
              </w:rPr>
            </w:pPr>
            <w:r>
              <w:rPr>
                <w:rFonts w:ascii="宋体" w:eastAsia="宋体" w:hint="eastAsia"/>
                <w:spacing w:val="-3"/>
                <w:sz w:val="21"/>
              </w:rPr>
              <w:t>不具备焚烧条件的养殖场应设置两个以上安全填埋井， </w:t>
            </w:r>
            <w:r>
              <w:rPr>
                <w:rFonts w:ascii="宋体" w:eastAsia="宋体" w:hint="eastAsia"/>
                <w:spacing w:val="-7"/>
                <w:position w:val="1"/>
                <w:sz w:val="21"/>
              </w:rPr>
              <w:t>填埋井应为混凝土结构，深度大于 </w:t>
            </w:r>
            <w:r>
              <w:rPr>
                <w:spacing w:val="-4"/>
                <w:sz w:val="21"/>
              </w:rPr>
              <w:t>2m</w:t>
            </w:r>
            <w:r>
              <w:rPr>
                <w:rFonts w:ascii="宋体" w:eastAsia="宋体" w:hint="eastAsia"/>
                <w:spacing w:val="-13"/>
                <w:position w:val="1"/>
                <w:sz w:val="21"/>
              </w:rPr>
              <w:t>，直径 </w:t>
            </w:r>
            <w:r>
              <w:rPr>
                <w:spacing w:val="-4"/>
                <w:sz w:val="21"/>
              </w:rPr>
              <w:t>1m</w:t>
            </w:r>
            <w:r>
              <w:rPr>
                <w:rFonts w:ascii="宋体" w:eastAsia="宋体" w:hint="eastAsia"/>
                <w:spacing w:val="-2"/>
                <w:position w:val="1"/>
                <w:sz w:val="21"/>
              </w:rPr>
              <w:t>，井口</w:t>
            </w:r>
            <w:r>
              <w:rPr>
                <w:rFonts w:ascii="宋体" w:eastAsia="宋体" w:hint="eastAsia"/>
                <w:spacing w:val="-5"/>
                <w:sz w:val="21"/>
              </w:rPr>
              <w:t>加盖密封。进行填埋时，在每次投入畜禽尸体后，应覆</w:t>
            </w:r>
            <w:r>
              <w:rPr>
                <w:rFonts w:ascii="宋体" w:eastAsia="宋体" w:hint="eastAsia"/>
                <w:spacing w:val="-6"/>
                <w:position w:val="1"/>
                <w:sz w:val="21"/>
              </w:rPr>
              <w:t>盖一层厚度大于 </w:t>
            </w:r>
            <w:r>
              <w:rPr>
                <w:sz w:val="21"/>
              </w:rPr>
              <w:t>10cm </w:t>
            </w:r>
            <w:r>
              <w:rPr>
                <w:rFonts w:ascii="宋体" w:eastAsia="宋体" w:hint="eastAsia"/>
                <w:spacing w:val="-3"/>
                <w:position w:val="1"/>
                <w:sz w:val="21"/>
              </w:rPr>
              <w:t>的熟石灰，并填满后，须用粘土</w:t>
            </w:r>
          </w:p>
          <w:p>
            <w:pPr>
              <w:pStyle w:val="TableParagraph"/>
              <w:spacing w:line="268" w:lineRule="exact" w:before="0"/>
              <w:ind w:left="114"/>
              <w:jc w:val="left"/>
              <w:rPr>
                <w:rFonts w:ascii="宋体" w:eastAsia="宋体" w:hint="eastAsia"/>
                <w:sz w:val="21"/>
              </w:rPr>
            </w:pPr>
            <w:r>
              <w:rPr>
                <w:rFonts w:ascii="宋体" w:eastAsia="宋体" w:hint="eastAsia"/>
                <w:sz w:val="21"/>
              </w:rPr>
              <w:t>填埋压实并封口。</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25"/>
              <w:ind w:left="112"/>
              <w:jc w:val="left"/>
              <w:rPr>
                <w:rFonts w:ascii="宋体" w:eastAsia="宋体" w:hint="eastAsia"/>
                <w:sz w:val="21"/>
              </w:rPr>
            </w:pPr>
            <w:r>
              <w:rPr>
                <w:rFonts w:ascii="宋体" w:eastAsia="宋体" w:hint="eastAsia"/>
                <w:sz w:val="21"/>
              </w:rPr>
              <w:t>府要求统一收集处理。</w:t>
            </w:r>
          </w:p>
        </w:tc>
        <w:tc>
          <w:tcPr>
            <w:tcW w:w="955"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303" w:hRule="atLeast"/>
        </w:trPr>
        <w:tc>
          <w:tcPr>
            <w:tcW w:w="816" w:type="dxa"/>
            <w:vMerge w:val="restart"/>
            <w:tcBorders>
              <w:top w:val="single" w:sz="6" w:space="0" w:color="000000"/>
              <w:right w:val="single" w:sz="6" w:space="0" w:color="000000"/>
            </w:tcBorders>
          </w:tcPr>
          <w:p>
            <w:pPr>
              <w:pStyle w:val="TableParagraph"/>
              <w:spacing w:before="7"/>
              <w:jc w:val="left"/>
              <w:rPr>
                <w:rFonts w:ascii="宋体"/>
                <w:b/>
                <w:sz w:val="15"/>
              </w:rPr>
            </w:pPr>
          </w:p>
          <w:p>
            <w:pPr>
              <w:pStyle w:val="TableParagraph"/>
              <w:spacing w:line="278" w:lineRule="auto" w:before="1"/>
              <w:ind w:left="196" w:right="172"/>
              <w:jc w:val="both"/>
              <w:rPr>
                <w:rFonts w:ascii="宋体" w:eastAsia="宋体" w:hint="eastAsia"/>
                <w:sz w:val="21"/>
              </w:rPr>
            </w:pPr>
            <w:r>
              <w:rPr>
                <w:rFonts w:ascii="宋体" w:eastAsia="宋体" w:hint="eastAsia"/>
                <w:sz w:val="21"/>
              </w:rPr>
              <w:t>畜禽养殖场排放污染物的监测</w:t>
            </w: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22"/>
              <w:ind w:left="114"/>
              <w:jc w:val="left"/>
              <w:rPr>
                <w:rFonts w:ascii="宋体" w:eastAsia="宋体" w:hint="eastAsia"/>
                <w:sz w:val="21"/>
              </w:rPr>
            </w:pPr>
            <w:r>
              <w:rPr>
                <w:rFonts w:ascii="宋体" w:eastAsia="宋体" w:hint="eastAsia"/>
                <w:sz w:val="21"/>
              </w:rPr>
              <w:t>畜禽养殖场应安装水表，对用水实行计量管理。</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22"/>
              <w:ind w:left="112"/>
              <w:jc w:val="left"/>
              <w:rPr>
                <w:rFonts w:ascii="宋体" w:eastAsia="宋体" w:hint="eastAsia"/>
                <w:sz w:val="21"/>
              </w:rPr>
            </w:pPr>
            <w:r>
              <w:rPr>
                <w:rFonts w:ascii="宋体" w:eastAsia="宋体" w:hint="eastAsia"/>
                <w:sz w:val="21"/>
              </w:rPr>
              <w:t>要求按规定实施。</w:t>
            </w:r>
          </w:p>
        </w:tc>
        <w:tc>
          <w:tcPr>
            <w:tcW w:w="955" w:type="dxa"/>
            <w:tcBorders>
              <w:top w:val="single" w:sz="6" w:space="0" w:color="000000"/>
              <w:left w:val="single" w:sz="6" w:space="0" w:color="000000"/>
              <w:bottom w:val="single" w:sz="6" w:space="0" w:color="000000"/>
            </w:tcBorders>
          </w:tcPr>
          <w:p>
            <w:pPr>
              <w:pStyle w:val="TableParagraph"/>
              <w:spacing w:line="261" w:lineRule="exact" w:before="22"/>
              <w:ind w:left="140" w:right="103"/>
              <w:rPr>
                <w:rFonts w:ascii="宋体" w:eastAsia="宋体" w:hint="eastAsia"/>
                <w:sz w:val="21"/>
              </w:rPr>
            </w:pPr>
            <w:r>
              <w:rPr>
                <w:rFonts w:ascii="宋体" w:eastAsia="宋体" w:hint="eastAsia"/>
                <w:sz w:val="21"/>
              </w:rPr>
              <w:t>符合</w:t>
            </w:r>
          </w:p>
        </w:tc>
      </w:tr>
      <w:tr>
        <w:trPr>
          <w:trHeight w:val="1232" w:hRule="atLeast"/>
        </w:trPr>
        <w:tc>
          <w:tcPr>
            <w:tcW w:w="816" w:type="dxa"/>
            <w:vMerge/>
            <w:tcBorders>
              <w:top w:val="nil"/>
              <w:right w:val="single" w:sz="6" w:space="0" w:color="000000"/>
            </w:tcBorders>
          </w:tcPr>
          <w:p>
            <w:pPr>
              <w:rPr>
                <w:sz w:val="2"/>
                <w:szCs w:val="2"/>
              </w:rPr>
            </w:pP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5"/>
              <w:ind w:left="114" w:right="84"/>
              <w:jc w:val="both"/>
              <w:rPr>
                <w:rFonts w:ascii="宋体" w:eastAsia="宋体" w:hint="eastAsia"/>
                <w:sz w:val="21"/>
              </w:rPr>
            </w:pPr>
            <w:r>
              <w:rPr>
                <w:rFonts w:ascii="宋体" w:eastAsia="宋体" w:hint="eastAsia"/>
                <w:spacing w:val="5"/>
                <w:sz w:val="21"/>
              </w:rPr>
              <w:t>畜禽养殖场每年应至少两次定期向当地环境保护行政主管部门报告污水处理设施和粪便处理设施的运行情</w:t>
            </w:r>
            <w:r>
              <w:rPr>
                <w:rFonts w:ascii="宋体" w:eastAsia="宋体" w:hint="eastAsia"/>
                <w:spacing w:val="-3"/>
                <w:sz w:val="21"/>
              </w:rPr>
              <w:t>况，提交排放污水、废气、恶臭以及粪肥的无害化指标</w:t>
            </w:r>
          </w:p>
          <w:p>
            <w:pPr>
              <w:pStyle w:val="TableParagraph"/>
              <w:spacing w:line="261" w:lineRule="exact" w:before="0"/>
              <w:ind w:left="114"/>
              <w:jc w:val="left"/>
              <w:rPr>
                <w:rFonts w:ascii="宋体" w:eastAsia="宋体" w:hint="eastAsia"/>
                <w:sz w:val="21"/>
              </w:rPr>
            </w:pPr>
            <w:r>
              <w:rPr>
                <w:rFonts w:ascii="宋体" w:eastAsia="宋体" w:hint="eastAsia"/>
                <w:sz w:val="21"/>
              </w:rPr>
              <w:t>的监测报告。</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8"/>
              <w:jc w:val="left"/>
              <w:rPr>
                <w:rFonts w:ascii="宋体"/>
                <w:b/>
                <w:sz w:val="17"/>
              </w:rPr>
            </w:pPr>
          </w:p>
          <w:p>
            <w:pPr>
              <w:pStyle w:val="TableParagraph"/>
              <w:spacing w:before="1"/>
              <w:ind w:left="112"/>
              <w:jc w:val="left"/>
              <w:rPr>
                <w:rFonts w:ascii="宋体" w:eastAsia="宋体" w:hint="eastAsia"/>
                <w:sz w:val="21"/>
              </w:rPr>
            </w:pPr>
            <w:r>
              <w:rPr>
                <w:rFonts w:ascii="宋体" w:eastAsia="宋体" w:hint="eastAsia"/>
                <w:sz w:val="21"/>
              </w:rPr>
              <w:t>要求按规定进行落实。</w:t>
            </w:r>
          </w:p>
        </w:tc>
        <w:tc>
          <w:tcPr>
            <w:tcW w:w="955"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8"/>
              <w:jc w:val="left"/>
              <w:rPr>
                <w:rFonts w:ascii="宋体"/>
                <w:b/>
                <w:sz w:val="17"/>
              </w:rPr>
            </w:pPr>
          </w:p>
          <w:p>
            <w:pPr>
              <w:pStyle w:val="TableParagraph"/>
              <w:spacing w:before="1"/>
              <w:ind w:left="140" w:right="103"/>
              <w:rPr>
                <w:rFonts w:ascii="宋体" w:eastAsia="宋体" w:hint="eastAsia"/>
                <w:sz w:val="21"/>
              </w:rPr>
            </w:pPr>
            <w:r>
              <w:rPr>
                <w:rFonts w:ascii="宋体" w:eastAsia="宋体" w:hint="eastAsia"/>
                <w:sz w:val="21"/>
              </w:rPr>
              <w:t>符合</w:t>
            </w:r>
          </w:p>
        </w:tc>
      </w:tr>
      <w:tr>
        <w:trPr>
          <w:trHeight w:val="608" w:hRule="atLeast"/>
        </w:trPr>
        <w:tc>
          <w:tcPr>
            <w:tcW w:w="816" w:type="dxa"/>
            <w:vMerge/>
            <w:tcBorders>
              <w:top w:val="nil"/>
              <w:right w:val="single" w:sz="6" w:space="0" w:color="000000"/>
            </w:tcBorders>
          </w:tcPr>
          <w:p>
            <w:pPr>
              <w:rPr>
                <w:sz w:val="2"/>
                <w:szCs w:val="2"/>
              </w:rPr>
            </w:pPr>
          </w:p>
        </w:tc>
        <w:tc>
          <w:tcPr>
            <w:tcW w:w="5250" w:type="dxa"/>
            <w:tcBorders>
              <w:top w:val="single" w:sz="6" w:space="0" w:color="000000"/>
              <w:left w:val="single" w:sz="6" w:space="0" w:color="000000"/>
              <w:bottom w:val="single" w:sz="6" w:space="0" w:color="000000"/>
              <w:right w:val="single" w:sz="6" w:space="0" w:color="000000"/>
            </w:tcBorders>
          </w:tcPr>
          <w:p>
            <w:pPr>
              <w:pStyle w:val="TableParagraph"/>
              <w:spacing w:before="15"/>
              <w:ind w:left="114"/>
              <w:jc w:val="left"/>
              <w:rPr>
                <w:rFonts w:ascii="宋体" w:eastAsia="宋体" w:hint="eastAsia"/>
                <w:sz w:val="21"/>
              </w:rPr>
            </w:pPr>
            <w:r>
              <w:rPr>
                <w:rFonts w:ascii="宋体" w:eastAsia="宋体" w:hint="eastAsia"/>
                <w:sz w:val="21"/>
              </w:rPr>
              <w:t>对粪便污水处理设施的水质应定期进行监测，确保达标</w:t>
            </w:r>
          </w:p>
          <w:p>
            <w:pPr>
              <w:pStyle w:val="TableParagraph"/>
              <w:spacing w:line="261" w:lineRule="exact" w:before="43"/>
              <w:ind w:left="114"/>
              <w:jc w:val="left"/>
              <w:rPr>
                <w:rFonts w:ascii="宋体" w:eastAsia="宋体" w:hint="eastAsia"/>
                <w:sz w:val="21"/>
              </w:rPr>
            </w:pPr>
            <w:r>
              <w:rPr>
                <w:rFonts w:ascii="宋体" w:eastAsia="宋体" w:hint="eastAsia"/>
                <w:sz w:val="21"/>
              </w:rPr>
              <w:t>排放。</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15"/>
              <w:ind w:left="112"/>
              <w:jc w:val="left"/>
              <w:rPr>
                <w:rFonts w:ascii="宋体" w:eastAsia="宋体" w:hint="eastAsia"/>
                <w:sz w:val="21"/>
              </w:rPr>
            </w:pPr>
            <w:r>
              <w:rPr>
                <w:rFonts w:ascii="宋体" w:eastAsia="宋体" w:hint="eastAsia"/>
                <w:sz w:val="21"/>
              </w:rPr>
              <w:t>本项目纳管废水水质定</w:t>
            </w:r>
          </w:p>
          <w:p>
            <w:pPr>
              <w:pStyle w:val="TableParagraph"/>
              <w:spacing w:line="261" w:lineRule="exact" w:before="43"/>
              <w:ind w:left="112"/>
              <w:jc w:val="left"/>
              <w:rPr>
                <w:rFonts w:ascii="宋体" w:eastAsia="宋体" w:hint="eastAsia"/>
                <w:sz w:val="21"/>
              </w:rPr>
            </w:pPr>
            <w:r>
              <w:rPr>
                <w:rFonts w:ascii="宋体" w:eastAsia="宋体" w:hint="eastAsia"/>
                <w:sz w:val="21"/>
              </w:rPr>
              <w:t>期由第三方单位检测。</w:t>
            </w:r>
          </w:p>
        </w:tc>
        <w:tc>
          <w:tcPr>
            <w:tcW w:w="955" w:type="dxa"/>
            <w:tcBorders>
              <w:top w:val="single" w:sz="6" w:space="0" w:color="000000"/>
              <w:left w:val="single" w:sz="6" w:space="0" w:color="000000"/>
              <w:bottom w:val="single" w:sz="6" w:space="0" w:color="000000"/>
            </w:tcBorders>
          </w:tcPr>
          <w:p>
            <w:pPr>
              <w:pStyle w:val="TableParagraph"/>
              <w:spacing w:before="171"/>
              <w:ind w:left="140" w:right="103"/>
              <w:rPr>
                <w:rFonts w:ascii="宋体" w:eastAsia="宋体" w:hint="eastAsia"/>
                <w:sz w:val="21"/>
              </w:rPr>
            </w:pPr>
            <w:r>
              <w:rPr>
                <w:rFonts w:ascii="宋体" w:eastAsia="宋体" w:hint="eastAsia"/>
                <w:sz w:val="21"/>
              </w:rPr>
              <w:t>符合</w:t>
            </w:r>
          </w:p>
        </w:tc>
      </w:tr>
      <w:tr>
        <w:trPr>
          <w:trHeight w:val="303" w:hRule="atLeast"/>
        </w:trPr>
        <w:tc>
          <w:tcPr>
            <w:tcW w:w="816" w:type="dxa"/>
            <w:vMerge/>
            <w:tcBorders>
              <w:top w:val="nil"/>
              <w:right w:val="single" w:sz="6" w:space="0" w:color="000000"/>
            </w:tcBorders>
          </w:tcPr>
          <w:p>
            <w:pPr>
              <w:rPr>
                <w:sz w:val="2"/>
                <w:szCs w:val="2"/>
              </w:rPr>
            </w:pPr>
          </w:p>
        </w:tc>
        <w:tc>
          <w:tcPr>
            <w:tcW w:w="5250" w:type="dxa"/>
            <w:tcBorders>
              <w:top w:val="single" w:sz="6" w:space="0" w:color="000000"/>
              <w:left w:val="single" w:sz="6" w:space="0" w:color="000000"/>
              <w:right w:val="single" w:sz="6" w:space="0" w:color="000000"/>
            </w:tcBorders>
          </w:tcPr>
          <w:p>
            <w:pPr>
              <w:pStyle w:val="TableParagraph"/>
              <w:spacing w:line="266" w:lineRule="exact" w:before="17"/>
              <w:ind w:left="114"/>
              <w:jc w:val="left"/>
              <w:rPr>
                <w:rFonts w:ascii="宋体" w:eastAsia="宋体" w:hint="eastAsia"/>
                <w:sz w:val="21"/>
              </w:rPr>
            </w:pPr>
            <w:r>
              <w:rPr>
                <w:rFonts w:ascii="宋体" w:eastAsia="宋体" w:hint="eastAsia"/>
                <w:sz w:val="21"/>
              </w:rPr>
              <w:t>排污口应设置统一规定的排污口标志。</w:t>
            </w:r>
          </w:p>
        </w:tc>
        <w:tc>
          <w:tcPr>
            <w:tcW w:w="2410" w:type="dxa"/>
            <w:tcBorders>
              <w:top w:val="single" w:sz="6" w:space="0" w:color="000000"/>
              <w:left w:val="single" w:sz="6" w:space="0" w:color="000000"/>
              <w:right w:val="single" w:sz="6" w:space="0" w:color="000000"/>
            </w:tcBorders>
          </w:tcPr>
          <w:p>
            <w:pPr>
              <w:pStyle w:val="TableParagraph"/>
              <w:spacing w:line="266" w:lineRule="exact" w:before="17"/>
              <w:ind w:left="112"/>
              <w:jc w:val="left"/>
              <w:rPr>
                <w:rFonts w:ascii="宋体" w:eastAsia="宋体" w:hint="eastAsia"/>
                <w:sz w:val="21"/>
              </w:rPr>
            </w:pPr>
            <w:r>
              <w:rPr>
                <w:rFonts w:ascii="宋体" w:eastAsia="宋体" w:hint="eastAsia"/>
                <w:sz w:val="21"/>
              </w:rPr>
              <w:t>要求按规定设标排口。</w:t>
            </w:r>
          </w:p>
        </w:tc>
        <w:tc>
          <w:tcPr>
            <w:tcW w:w="955" w:type="dxa"/>
            <w:tcBorders>
              <w:top w:val="single" w:sz="6" w:space="0" w:color="000000"/>
              <w:left w:val="single" w:sz="6" w:space="0" w:color="000000"/>
            </w:tcBorders>
          </w:tcPr>
          <w:p>
            <w:pPr>
              <w:pStyle w:val="TableParagraph"/>
              <w:spacing w:line="266" w:lineRule="exact" w:before="17"/>
              <w:ind w:left="140" w:right="103"/>
              <w:rPr>
                <w:rFonts w:ascii="宋体" w:eastAsia="宋体" w:hint="eastAsia"/>
                <w:sz w:val="21"/>
              </w:rPr>
            </w:pPr>
            <w:r>
              <w:rPr>
                <w:rFonts w:ascii="宋体" w:eastAsia="宋体" w:hint="eastAsia"/>
                <w:sz w:val="21"/>
              </w:rPr>
              <w:t>符合</w:t>
            </w:r>
          </w:p>
        </w:tc>
      </w:tr>
    </w:tbl>
    <w:p>
      <w:pPr>
        <w:pStyle w:val="BodyText"/>
        <w:spacing w:before="94"/>
        <w:ind w:left="717"/>
      </w:pPr>
      <w:r>
        <w:rPr/>
        <w:t>③与《浙江省生猪养殖业环境准入指导意见（修订）》的符合性分析</w:t>
      </w:r>
    </w:p>
    <w:p>
      <w:pPr>
        <w:pStyle w:val="BodyText"/>
        <w:spacing w:line="364" w:lineRule="auto" w:before="160"/>
        <w:ind w:right="250" w:firstLine="480"/>
        <w:jc w:val="both"/>
      </w:pPr>
      <w:r>
        <w:rPr>
          <w:spacing w:val="-6"/>
        </w:rPr>
        <w:t>浙江省环保厅于 </w:t>
      </w:r>
      <w:r>
        <w:rPr>
          <w:rFonts w:ascii="Times New Roman" w:eastAsia="Times New Roman"/>
          <w:position w:val="1"/>
        </w:rPr>
        <w:t>2016 </w:t>
      </w:r>
      <w:r>
        <w:rPr>
          <w:spacing w:val="-23"/>
        </w:rPr>
        <w:t>年 </w:t>
      </w:r>
      <w:r>
        <w:rPr>
          <w:rFonts w:ascii="Times New Roman" w:eastAsia="Times New Roman"/>
          <w:position w:val="1"/>
        </w:rPr>
        <w:t>4 </w:t>
      </w:r>
      <w:r>
        <w:rPr>
          <w:spacing w:val="-23"/>
        </w:rPr>
        <w:t>月 </w:t>
      </w:r>
      <w:r>
        <w:rPr>
          <w:rFonts w:ascii="Times New Roman" w:eastAsia="Times New Roman"/>
          <w:position w:val="1"/>
        </w:rPr>
        <w:t>13 </w:t>
      </w:r>
      <w:r>
        <w:rPr>
          <w:spacing w:val="-1"/>
        </w:rPr>
        <w:t>日印发了《浙江省生活垃圾焚烧产业环境准入指导意见（试行）</w:t>
      </w:r>
      <w:r>
        <w:rPr>
          <w:spacing w:val="-21"/>
        </w:rPr>
        <w:t>》等 </w:t>
      </w:r>
      <w:r>
        <w:rPr>
          <w:rFonts w:ascii="Times New Roman" w:eastAsia="Times New Roman"/>
          <w:position w:val="1"/>
        </w:rPr>
        <w:t>15 </w:t>
      </w:r>
      <w:r>
        <w:rPr/>
        <w:t>个环境准入指导意见（浙环发</w:t>
      </w:r>
      <w:r>
        <w:rPr>
          <w:rFonts w:ascii="Times New Roman" w:eastAsia="Times New Roman"/>
          <w:position w:val="1"/>
        </w:rPr>
        <w:t>[2016]12 </w:t>
      </w:r>
      <w:r>
        <w:rPr/>
        <w:t>号），</w:t>
      </w:r>
      <w:r>
        <w:rPr>
          <w:spacing w:val="-2"/>
        </w:rPr>
        <w:t>该意见中包括生猪养</w:t>
      </w:r>
      <w:r>
        <w:rPr>
          <w:spacing w:val="-3"/>
        </w:rPr>
        <w:t>殖业准入要求，本项目与之符合性分析详见表 </w:t>
      </w:r>
      <w:r>
        <w:rPr>
          <w:rFonts w:ascii="Times New Roman" w:eastAsia="Times New Roman"/>
          <w:position w:val="1"/>
        </w:rPr>
        <w:t>9.2-3</w:t>
      </w:r>
      <w:r>
        <w:rPr/>
        <w:t>。</w:t>
      </w:r>
    </w:p>
    <w:p>
      <w:pPr>
        <w:pStyle w:val="Heading3"/>
        <w:spacing w:before="2"/>
        <w:ind w:left="1370"/>
        <w:jc w:val="both"/>
      </w:pPr>
      <w:r>
        <w:rPr/>
        <w:t>表 </w:t>
      </w:r>
      <w:r>
        <w:rPr>
          <w:rFonts w:ascii="Times New Roman" w:eastAsia="Times New Roman"/>
        </w:rPr>
        <w:t>9.2-3  </w:t>
      </w:r>
      <w:r>
        <w:rPr/>
        <w:t>与《浙江省生猪养殖业环境准入指导意见》的符合性分析</w:t>
      </w:r>
    </w:p>
    <w:p>
      <w:pPr>
        <w:pStyle w:val="BodyText"/>
        <w:spacing w:before="2"/>
        <w:ind w:left="0"/>
        <w:rPr>
          <w:b/>
          <w:sz w:val="6"/>
        </w:r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5494"/>
        <w:gridCol w:w="2551"/>
        <w:gridCol w:w="957"/>
      </w:tblGrid>
      <w:tr>
        <w:trPr>
          <w:trHeight w:val="313" w:hRule="atLeast"/>
        </w:trPr>
        <w:tc>
          <w:tcPr>
            <w:tcW w:w="5921" w:type="dxa"/>
            <w:gridSpan w:val="2"/>
            <w:tcBorders>
              <w:bottom w:val="single" w:sz="6" w:space="0" w:color="000000"/>
              <w:right w:val="single" w:sz="6" w:space="0" w:color="000000"/>
            </w:tcBorders>
          </w:tcPr>
          <w:p>
            <w:pPr>
              <w:pStyle w:val="TableParagraph"/>
              <w:spacing w:before="24"/>
              <w:ind w:left="2519" w:right="2495"/>
              <w:rPr>
                <w:rFonts w:ascii="宋体" w:eastAsia="宋体" w:hint="eastAsia"/>
                <w:b/>
                <w:sz w:val="21"/>
              </w:rPr>
            </w:pPr>
            <w:r>
              <w:rPr>
                <w:rFonts w:ascii="宋体" w:eastAsia="宋体" w:hint="eastAsia"/>
                <w:b/>
                <w:sz w:val="21"/>
              </w:rPr>
              <w:t>具体指标</w:t>
            </w:r>
          </w:p>
        </w:tc>
        <w:tc>
          <w:tcPr>
            <w:tcW w:w="2551" w:type="dxa"/>
            <w:tcBorders>
              <w:left w:val="single" w:sz="6" w:space="0" w:color="000000"/>
              <w:bottom w:val="single" w:sz="6" w:space="0" w:color="000000"/>
              <w:right w:val="single" w:sz="6" w:space="0" w:color="000000"/>
            </w:tcBorders>
          </w:tcPr>
          <w:p>
            <w:pPr>
              <w:pStyle w:val="TableParagraph"/>
              <w:spacing w:before="24"/>
              <w:ind w:left="754"/>
              <w:jc w:val="left"/>
              <w:rPr>
                <w:rFonts w:ascii="宋体" w:eastAsia="宋体" w:hint="eastAsia"/>
                <w:b/>
                <w:sz w:val="21"/>
              </w:rPr>
            </w:pPr>
            <w:r>
              <w:rPr>
                <w:rFonts w:ascii="宋体" w:eastAsia="宋体" w:hint="eastAsia"/>
                <w:b/>
                <w:sz w:val="21"/>
              </w:rPr>
              <w:t>本项目情况</w:t>
            </w:r>
          </w:p>
        </w:tc>
        <w:tc>
          <w:tcPr>
            <w:tcW w:w="957" w:type="dxa"/>
            <w:tcBorders>
              <w:left w:val="single" w:sz="6" w:space="0" w:color="000000"/>
              <w:bottom w:val="single" w:sz="6" w:space="0" w:color="000000"/>
            </w:tcBorders>
          </w:tcPr>
          <w:p>
            <w:pPr>
              <w:pStyle w:val="TableParagraph"/>
              <w:spacing w:before="24"/>
              <w:ind w:left="149" w:right="112"/>
              <w:rPr>
                <w:rFonts w:ascii="宋体" w:eastAsia="宋体" w:hint="eastAsia"/>
                <w:b/>
                <w:sz w:val="21"/>
              </w:rPr>
            </w:pPr>
            <w:r>
              <w:rPr>
                <w:rFonts w:ascii="宋体" w:eastAsia="宋体" w:hint="eastAsia"/>
                <w:b/>
                <w:sz w:val="21"/>
              </w:rPr>
              <w:t>符合性</w:t>
            </w:r>
          </w:p>
        </w:tc>
      </w:tr>
      <w:tr>
        <w:trPr>
          <w:trHeight w:val="935"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5"/>
              <w:jc w:val="left"/>
              <w:rPr>
                <w:rFonts w:ascii="宋体"/>
                <w:b/>
                <w:sz w:val="15"/>
              </w:rPr>
            </w:pPr>
          </w:p>
          <w:p>
            <w:pPr>
              <w:pStyle w:val="TableParagraph"/>
              <w:spacing w:line="278" w:lineRule="auto" w:before="0"/>
              <w:ind w:left="107" w:right="83"/>
              <w:jc w:val="left"/>
              <w:rPr>
                <w:rFonts w:ascii="宋体" w:eastAsia="宋体" w:hint="eastAsia"/>
                <w:sz w:val="21"/>
              </w:rPr>
            </w:pPr>
            <w:r>
              <w:rPr>
                <w:rFonts w:ascii="宋体" w:eastAsia="宋体" w:hint="eastAsia"/>
                <w:sz w:val="21"/>
              </w:rPr>
              <w:t>规模</w:t>
            </w:r>
          </w:p>
        </w:tc>
        <w:tc>
          <w:tcPr>
            <w:tcW w:w="5494" w:type="dxa"/>
            <w:tcBorders>
              <w:top w:val="single" w:sz="6" w:space="0" w:color="000000"/>
              <w:left w:val="single" w:sz="6" w:space="0" w:color="000000"/>
              <w:bottom w:val="single" w:sz="6" w:space="0" w:color="000000"/>
              <w:right w:val="single" w:sz="6" w:space="0" w:color="000000"/>
            </w:tcBorders>
          </w:tcPr>
          <w:p>
            <w:pPr>
              <w:pStyle w:val="TableParagraph"/>
              <w:spacing w:line="276" w:lineRule="auto" w:before="22"/>
              <w:ind w:left="112" w:right="80"/>
              <w:jc w:val="left"/>
              <w:rPr>
                <w:sz w:val="21"/>
              </w:rPr>
            </w:pPr>
            <w:r>
              <w:rPr>
                <w:rFonts w:ascii="宋体" w:eastAsia="宋体" w:hint="eastAsia"/>
                <w:spacing w:val="-1"/>
                <w:sz w:val="21"/>
              </w:rPr>
              <w:t>鼓励生态化、集约化、专业化组织生猪养殖生产，新建、</w:t>
            </w:r>
            <w:r>
              <w:rPr>
                <w:rFonts w:ascii="宋体" w:eastAsia="宋体" w:hint="eastAsia"/>
                <w:spacing w:val="-12"/>
                <w:position w:val="1"/>
                <w:sz w:val="21"/>
              </w:rPr>
              <w:t>改建、扩建生猪养殖场</w:t>
            </w:r>
            <w:r>
              <w:rPr>
                <w:rFonts w:ascii="宋体" w:eastAsia="宋体" w:hint="eastAsia"/>
                <w:spacing w:val="-3"/>
                <w:position w:val="1"/>
                <w:sz w:val="21"/>
              </w:rPr>
              <w:t>（</w:t>
            </w:r>
            <w:r>
              <w:rPr>
                <w:rFonts w:ascii="宋体" w:eastAsia="宋体" w:hint="eastAsia"/>
                <w:spacing w:val="-2"/>
                <w:position w:val="1"/>
                <w:sz w:val="21"/>
              </w:rPr>
              <w:t>小区</w:t>
            </w:r>
            <w:r>
              <w:rPr>
                <w:rFonts w:ascii="宋体" w:eastAsia="宋体" w:hint="eastAsia"/>
                <w:spacing w:val="-44"/>
                <w:position w:val="1"/>
                <w:sz w:val="21"/>
              </w:rPr>
              <w:t>）</w:t>
            </w:r>
            <w:r>
              <w:rPr>
                <w:rFonts w:ascii="宋体" w:eastAsia="宋体" w:hint="eastAsia"/>
                <w:spacing w:val="-6"/>
                <w:position w:val="1"/>
                <w:sz w:val="21"/>
              </w:rPr>
              <w:t>起始规模应达到存栏数 </w:t>
            </w:r>
            <w:r>
              <w:rPr>
                <w:sz w:val="21"/>
              </w:rPr>
              <w:t>200</w:t>
            </w:r>
          </w:p>
          <w:p>
            <w:pPr>
              <w:pStyle w:val="TableParagraph"/>
              <w:spacing w:before="6"/>
              <w:ind w:left="112"/>
              <w:jc w:val="left"/>
              <w:rPr>
                <w:rFonts w:ascii="宋体" w:eastAsia="宋体" w:hint="eastAsia"/>
                <w:sz w:val="21"/>
              </w:rPr>
            </w:pPr>
            <w:r>
              <w:rPr>
                <w:rFonts w:ascii="宋体" w:eastAsia="宋体" w:hint="eastAsia"/>
                <w:sz w:val="21"/>
              </w:rPr>
              <w:t>头及以上。</w:t>
            </w:r>
          </w:p>
        </w:tc>
        <w:tc>
          <w:tcPr>
            <w:tcW w:w="2551"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76"/>
              <w:ind w:left="113" w:right="31"/>
              <w:jc w:val="left"/>
              <w:rPr>
                <w:rFonts w:ascii="宋体" w:eastAsia="宋体" w:hint="eastAsia"/>
                <w:sz w:val="21"/>
              </w:rPr>
            </w:pPr>
            <w:r>
              <w:rPr>
                <w:rFonts w:ascii="宋体" w:eastAsia="宋体" w:hint="eastAsia"/>
                <w:position w:val="1"/>
                <w:sz w:val="21"/>
              </w:rPr>
              <w:t>本项目设计存栏数约 </w:t>
            </w:r>
            <w:r>
              <w:rPr>
                <w:sz w:val="21"/>
              </w:rPr>
              <w:t>5 </w:t>
            </w:r>
            <w:r>
              <w:rPr>
                <w:rFonts w:ascii="宋体" w:eastAsia="宋体" w:hint="eastAsia"/>
                <w:position w:val="1"/>
                <w:sz w:val="21"/>
              </w:rPr>
              <w:t>万</w:t>
            </w:r>
            <w:r>
              <w:rPr>
                <w:rFonts w:ascii="宋体" w:eastAsia="宋体" w:hint="eastAsia"/>
                <w:sz w:val="21"/>
              </w:rPr>
              <w:t>头。</w:t>
            </w:r>
          </w:p>
        </w:tc>
        <w:tc>
          <w:tcPr>
            <w:tcW w:w="957"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49" w:right="106"/>
              <w:rPr>
                <w:rFonts w:ascii="宋体" w:eastAsia="宋体" w:hint="eastAsia"/>
                <w:sz w:val="21"/>
              </w:rPr>
            </w:pPr>
            <w:r>
              <w:rPr>
                <w:rFonts w:ascii="宋体" w:eastAsia="宋体" w:hint="eastAsia"/>
                <w:sz w:val="21"/>
              </w:rPr>
              <w:t>符合</w:t>
            </w:r>
          </w:p>
        </w:tc>
      </w:tr>
      <w:tr>
        <w:trPr>
          <w:trHeight w:val="1559" w:hRule="atLeast"/>
        </w:trPr>
        <w:tc>
          <w:tcPr>
            <w:tcW w:w="427" w:type="dxa"/>
            <w:vMerge/>
            <w:tcBorders>
              <w:top w:val="nil"/>
              <w:bottom w:val="single" w:sz="6" w:space="0" w:color="000000"/>
              <w:right w:val="single" w:sz="6" w:space="0" w:color="000000"/>
            </w:tcBorders>
          </w:tcPr>
          <w:p>
            <w:pPr>
              <w:rPr>
                <w:sz w:val="2"/>
                <w:szCs w:val="2"/>
              </w:rPr>
            </w:pPr>
          </w:p>
        </w:tc>
        <w:tc>
          <w:tcPr>
            <w:tcW w:w="5494"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2" w:right="84"/>
              <w:jc w:val="both"/>
              <w:rPr>
                <w:rFonts w:ascii="宋体" w:eastAsia="宋体" w:hint="eastAsia"/>
                <w:sz w:val="21"/>
              </w:rPr>
            </w:pPr>
            <w:r>
              <w:rPr>
                <w:rFonts w:ascii="宋体" w:eastAsia="宋体" w:hint="eastAsia"/>
                <w:sz w:val="21"/>
              </w:rPr>
              <w:t>新建、改建、扩建生猪养殖场（小区）如采取土地消纳养殖场废弃物，应根据配套利用（含签约利用）的土地数量和消纳配置参数确定最大养殖规模；具体消纳配置参数， 由县各（市、区）人民政府农业行政主管部门按照当地耕</w:t>
            </w:r>
          </w:p>
          <w:p>
            <w:pPr>
              <w:pStyle w:val="TableParagraph"/>
              <w:spacing w:line="268" w:lineRule="exact" w:before="0"/>
              <w:ind w:left="112"/>
              <w:jc w:val="left"/>
              <w:rPr>
                <w:rFonts w:ascii="宋体" w:eastAsia="宋体" w:hint="eastAsia"/>
                <w:sz w:val="21"/>
              </w:rPr>
            </w:pPr>
            <w:r>
              <w:rPr>
                <w:rFonts w:ascii="宋体" w:eastAsia="宋体" w:hint="eastAsia"/>
                <w:sz w:val="21"/>
              </w:rPr>
              <w:t>（林）地的消纳能力和区域环境容量等确定。</w:t>
            </w:r>
          </w:p>
        </w:tc>
        <w:tc>
          <w:tcPr>
            <w:tcW w:w="2551"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113" w:right="84"/>
              <w:jc w:val="both"/>
              <w:rPr>
                <w:rFonts w:ascii="宋体" w:eastAsia="宋体" w:hint="eastAsia"/>
                <w:sz w:val="21"/>
              </w:rPr>
            </w:pPr>
            <w:r>
              <w:rPr>
                <w:rFonts w:ascii="宋体" w:eastAsia="宋体" w:hint="eastAsia"/>
                <w:sz w:val="21"/>
              </w:rPr>
              <w:t>项目养殖废水经处理后全部纳管排放；粪便、污泥等经发酵处理后外运生产有机肥。</w:t>
            </w:r>
          </w:p>
        </w:tc>
        <w:tc>
          <w:tcPr>
            <w:tcW w:w="95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34"/>
              <w:ind w:left="149" w:right="106"/>
              <w:rPr>
                <w:rFonts w:ascii="宋体" w:eastAsia="宋体" w:hint="eastAsia"/>
                <w:sz w:val="21"/>
              </w:rPr>
            </w:pPr>
            <w:r>
              <w:rPr>
                <w:rFonts w:ascii="宋体" w:eastAsia="宋体" w:hint="eastAsia"/>
                <w:sz w:val="21"/>
              </w:rPr>
              <w:t>符合</w:t>
            </w:r>
          </w:p>
        </w:tc>
      </w:tr>
      <w:tr>
        <w:trPr>
          <w:trHeight w:val="1864" w:hRule="atLeast"/>
        </w:trPr>
        <w:tc>
          <w:tcPr>
            <w:tcW w:w="427"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78" w:lineRule="auto" w:before="151"/>
              <w:ind w:left="107" w:right="83"/>
              <w:jc w:val="both"/>
              <w:rPr>
                <w:rFonts w:ascii="宋体" w:eastAsia="宋体" w:hint="eastAsia"/>
                <w:sz w:val="21"/>
              </w:rPr>
            </w:pPr>
            <w:r>
              <w:rPr>
                <w:rFonts w:ascii="宋体" w:eastAsia="宋体" w:hint="eastAsia"/>
                <w:sz w:val="21"/>
              </w:rPr>
              <w:t>总体布局与选址原则</w:t>
            </w:r>
          </w:p>
        </w:tc>
        <w:tc>
          <w:tcPr>
            <w:tcW w:w="5494" w:type="dxa"/>
            <w:tcBorders>
              <w:top w:val="single" w:sz="6" w:space="0" w:color="000000"/>
              <w:left w:val="single" w:sz="6" w:space="0" w:color="000000"/>
              <w:bottom w:val="single" w:sz="6" w:space="0" w:color="000000"/>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z w:val="21"/>
              </w:rPr>
              <w:t>（一）禁止在下列区域内建设生猪养殖场（小区）：</w:t>
            </w:r>
          </w:p>
          <w:p>
            <w:pPr>
              <w:pStyle w:val="TableParagraph"/>
              <w:spacing w:before="40"/>
              <w:ind w:left="112"/>
              <w:jc w:val="left"/>
              <w:rPr>
                <w:rFonts w:ascii="宋体" w:eastAsia="宋体" w:hint="eastAsia"/>
                <w:sz w:val="21"/>
              </w:rPr>
            </w:pPr>
            <w:r>
              <w:rPr>
                <w:sz w:val="21"/>
              </w:rPr>
              <w:t>1</w:t>
            </w:r>
            <w:r>
              <w:rPr>
                <w:rFonts w:ascii="宋体" w:eastAsia="宋体" w:hint="eastAsia"/>
                <w:position w:val="1"/>
                <w:sz w:val="21"/>
              </w:rPr>
              <w:t>、生活饮用水水源保护区、风景名胜区；</w:t>
            </w:r>
          </w:p>
          <w:p>
            <w:pPr>
              <w:pStyle w:val="TableParagraph"/>
              <w:spacing w:before="43"/>
              <w:ind w:left="112"/>
              <w:jc w:val="left"/>
              <w:rPr>
                <w:rFonts w:ascii="宋体" w:eastAsia="宋体" w:hint="eastAsia"/>
                <w:sz w:val="21"/>
              </w:rPr>
            </w:pPr>
            <w:r>
              <w:rPr>
                <w:sz w:val="21"/>
              </w:rPr>
              <w:t>2</w:t>
            </w:r>
            <w:r>
              <w:rPr>
                <w:rFonts w:ascii="宋体" w:eastAsia="宋体" w:hint="eastAsia"/>
                <w:position w:val="1"/>
                <w:sz w:val="21"/>
              </w:rPr>
              <w:t>、自然保护区的核心区及缓冲区；</w:t>
            </w:r>
          </w:p>
          <w:p>
            <w:pPr>
              <w:pStyle w:val="TableParagraph"/>
              <w:spacing w:before="44"/>
              <w:ind w:left="112"/>
              <w:jc w:val="left"/>
              <w:rPr>
                <w:rFonts w:ascii="宋体" w:eastAsia="宋体" w:hint="eastAsia"/>
                <w:sz w:val="21"/>
              </w:rPr>
            </w:pPr>
            <w:r>
              <w:rPr>
                <w:sz w:val="21"/>
              </w:rPr>
              <w:t>3</w:t>
            </w:r>
            <w:r>
              <w:rPr>
                <w:rFonts w:ascii="宋体" w:eastAsia="宋体" w:hint="eastAsia"/>
                <w:position w:val="1"/>
                <w:sz w:val="21"/>
              </w:rPr>
              <w:t>、城镇居民区、文化教育科学研究区等人口集中区域；</w:t>
            </w:r>
          </w:p>
          <w:p>
            <w:pPr>
              <w:pStyle w:val="TableParagraph"/>
              <w:spacing w:before="43"/>
              <w:ind w:left="112"/>
              <w:jc w:val="left"/>
              <w:rPr>
                <w:rFonts w:ascii="宋体" w:eastAsia="宋体" w:hint="eastAsia"/>
                <w:sz w:val="21"/>
              </w:rPr>
            </w:pPr>
            <w:r>
              <w:rPr>
                <w:sz w:val="21"/>
              </w:rPr>
              <w:t>4</w:t>
            </w:r>
            <w:r>
              <w:rPr>
                <w:rFonts w:ascii="宋体" w:eastAsia="宋体" w:hint="eastAsia"/>
                <w:position w:val="1"/>
                <w:sz w:val="21"/>
              </w:rPr>
              <w:t>、设区市、县（市、区）政府依法划定的禁止养殖区域；</w:t>
            </w:r>
          </w:p>
          <w:p>
            <w:pPr>
              <w:pStyle w:val="TableParagraph"/>
              <w:spacing w:line="264" w:lineRule="exact" w:before="43"/>
              <w:ind w:left="112"/>
              <w:jc w:val="left"/>
              <w:rPr>
                <w:rFonts w:ascii="宋体" w:eastAsia="宋体" w:hint="eastAsia"/>
                <w:sz w:val="21"/>
              </w:rPr>
            </w:pPr>
            <w:r>
              <w:rPr>
                <w:sz w:val="21"/>
              </w:rPr>
              <w:t>5</w:t>
            </w:r>
            <w:r>
              <w:rPr>
                <w:rFonts w:ascii="宋体" w:eastAsia="宋体" w:hint="eastAsia"/>
                <w:position w:val="1"/>
                <w:sz w:val="21"/>
              </w:rPr>
              <w:t>、法律、法规规定需特殊保护的其它区域。</w:t>
            </w:r>
          </w:p>
        </w:tc>
        <w:tc>
          <w:tcPr>
            <w:tcW w:w="2551"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3"/>
              <w:jc w:val="left"/>
              <w:rPr>
                <w:rFonts w:ascii="宋体"/>
                <w:b/>
                <w:sz w:val="18"/>
              </w:rPr>
            </w:pPr>
          </w:p>
          <w:p>
            <w:pPr>
              <w:pStyle w:val="TableParagraph"/>
              <w:spacing w:line="278" w:lineRule="auto" w:before="0"/>
              <w:ind w:left="113" w:right="82"/>
              <w:jc w:val="both"/>
              <w:rPr>
                <w:rFonts w:ascii="宋体" w:eastAsia="宋体" w:hint="eastAsia"/>
                <w:sz w:val="21"/>
              </w:rPr>
            </w:pPr>
            <w:r>
              <w:rPr>
                <w:rFonts w:ascii="宋体" w:eastAsia="宋体" w:hint="eastAsia"/>
                <w:sz w:val="21"/>
              </w:rPr>
              <w:t>项目位于绍兴市柯桥区柯岩街道丰项村，属于非禁养区。</w:t>
            </w:r>
          </w:p>
        </w:tc>
        <w:tc>
          <w:tcPr>
            <w:tcW w:w="95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22"/>
              </w:rPr>
            </w:pPr>
          </w:p>
          <w:p>
            <w:pPr>
              <w:pStyle w:val="TableParagraph"/>
              <w:spacing w:before="0"/>
              <w:ind w:left="149" w:right="106"/>
              <w:rPr>
                <w:rFonts w:ascii="宋体" w:eastAsia="宋体" w:hint="eastAsia"/>
                <w:sz w:val="21"/>
              </w:rPr>
            </w:pPr>
            <w:r>
              <w:rPr>
                <w:rFonts w:ascii="宋体" w:eastAsia="宋体" w:hint="eastAsia"/>
                <w:sz w:val="21"/>
              </w:rPr>
              <w:t>符合</w:t>
            </w:r>
          </w:p>
        </w:tc>
      </w:tr>
      <w:tr>
        <w:trPr>
          <w:trHeight w:val="1546" w:hRule="atLeast"/>
        </w:trPr>
        <w:tc>
          <w:tcPr>
            <w:tcW w:w="427" w:type="dxa"/>
            <w:vMerge/>
            <w:tcBorders>
              <w:top w:val="nil"/>
              <w:right w:val="single" w:sz="6" w:space="0" w:color="000000"/>
            </w:tcBorders>
          </w:tcPr>
          <w:p>
            <w:pPr>
              <w:rPr>
                <w:sz w:val="2"/>
                <w:szCs w:val="2"/>
              </w:rPr>
            </w:pPr>
          </w:p>
        </w:tc>
        <w:tc>
          <w:tcPr>
            <w:tcW w:w="5494" w:type="dxa"/>
            <w:tcBorders>
              <w:top w:val="single" w:sz="6" w:space="0" w:color="000000"/>
              <w:left w:val="single" w:sz="6" w:space="0" w:color="000000"/>
              <w:bottom w:val="single" w:sz="6" w:space="0" w:color="000000"/>
              <w:right w:val="single" w:sz="6" w:space="0" w:color="000000"/>
            </w:tcBorders>
          </w:tcPr>
          <w:p>
            <w:pPr>
              <w:pStyle w:val="TableParagraph"/>
              <w:spacing w:before="9"/>
              <w:jc w:val="left"/>
              <w:rPr>
                <w:rFonts w:ascii="宋体"/>
                <w:b/>
                <w:sz w:val="25"/>
              </w:rPr>
            </w:pPr>
          </w:p>
          <w:p>
            <w:pPr>
              <w:pStyle w:val="TableParagraph"/>
              <w:spacing w:line="278" w:lineRule="auto" w:before="0"/>
              <w:ind w:left="112" w:right="84"/>
              <w:jc w:val="both"/>
              <w:rPr>
                <w:rFonts w:ascii="宋体" w:eastAsia="宋体" w:hint="eastAsia"/>
                <w:sz w:val="21"/>
              </w:rPr>
            </w:pPr>
            <w:r>
              <w:rPr>
                <w:rFonts w:ascii="宋体" w:eastAsia="宋体" w:hint="eastAsia"/>
                <w:sz w:val="21"/>
              </w:rPr>
              <w:t>（二）新建、改建、扩建生猪养殖场（小区）布局应符合畜牧业发展规划和畜禽养殖污染防治规划的要求，同时选址应符合环境功能区划要求。</w:t>
            </w:r>
          </w:p>
        </w:tc>
        <w:tc>
          <w:tcPr>
            <w:tcW w:w="2551"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
              <w:ind w:left="113" w:right="83"/>
              <w:jc w:val="both"/>
              <w:rPr>
                <w:rFonts w:ascii="宋体" w:eastAsia="宋体" w:hint="eastAsia"/>
                <w:sz w:val="21"/>
              </w:rPr>
            </w:pPr>
            <w:r>
              <w:rPr>
                <w:rFonts w:ascii="宋体" w:eastAsia="宋体" w:hint="eastAsia"/>
                <w:sz w:val="21"/>
              </w:rPr>
              <w:t>项目选址符合绍兴市畜牧业区域布局调整优化方案和浙江省畜禽养殖污染防治规划，符合三线一单分</w:t>
            </w:r>
          </w:p>
          <w:p>
            <w:pPr>
              <w:pStyle w:val="TableParagraph"/>
              <w:spacing w:line="261" w:lineRule="exact" w:before="0"/>
              <w:ind w:left="113"/>
              <w:jc w:val="left"/>
              <w:rPr>
                <w:rFonts w:ascii="宋体" w:eastAsia="宋体" w:hint="eastAsia"/>
                <w:sz w:val="21"/>
              </w:rPr>
            </w:pPr>
            <w:r>
              <w:rPr>
                <w:rFonts w:ascii="宋体" w:eastAsia="宋体" w:hint="eastAsia"/>
                <w:sz w:val="21"/>
              </w:rPr>
              <w:t>区管控要求。</w:t>
            </w:r>
          </w:p>
        </w:tc>
        <w:tc>
          <w:tcPr>
            <w:tcW w:w="957"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9"/>
              <w:ind w:left="149" w:right="106"/>
              <w:rPr>
                <w:rFonts w:ascii="宋体" w:eastAsia="宋体" w:hint="eastAsia"/>
                <w:sz w:val="21"/>
              </w:rPr>
            </w:pPr>
            <w:r>
              <w:rPr>
                <w:rFonts w:ascii="宋体" w:eastAsia="宋体" w:hint="eastAsia"/>
                <w:sz w:val="21"/>
              </w:rPr>
              <w:t>符合</w:t>
            </w:r>
          </w:p>
        </w:tc>
      </w:tr>
      <w:tr>
        <w:trPr>
          <w:trHeight w:val="613" w:hRule="atLeast"/>
        </w:trPr>
        <w:tc>
          <w:tcPr>
            <w:tcW w:w="427" w:type="dxa"/>
            <w:vMerge/>
            <w:tcBorders>
              <w:top w:val="nil"/>
              <w:right w:val="single" w:sz="6" w:space="0" w:color="000000"/>
            </w:tcBorders>
          </w:tcPr>
          <w:p>
            <w:pPr>
              <w:rPr>
                <w:sz w:val="2"/>
                <w:szCs w:val="2"/>
              </w:rPr>
            </w:pPr>
          </w:p>
        </w:tc>
        <w:tc>
          <w:tcPr>
            <w:tcW w:w="5494" w:type="dxa"/>
            <w:tcBorders>
              <w:top w:val="single" w:sz="6" w:space="0" w:color="000000"/>
              <w:left w:val="single" w:sz="6" w:space="0" w:color="000000"/>
              <w:right w:val="single" w:sz="6" w:space="0" w:color="000000"/>
            </w:tcBorders>
          </w:tcPr>
          <w:p>
            <w:pPr>
              <w:pStyle w:val="TableParagraph"/>
              <w:spacing w:before="15"/>
              <w:ind w:left="112"/>
              <w:jc w:val="left"/>
              <w:rPr>
                <w:rFonts w:ascii="宋体" w:eastAsia="宋体" w:hint="eastAsia"/>
                <w:sz w:val="21"/>
              </w:rPr>
            </w:pPr>
            <w:r>
              <w:rPr>
                <w:rFonts w:ascii="宋体" w:eastAsia="宋体" w:hint="eastAsia"/>
                <w:sz w:val="21"/>
              </w:rPr>
              <w:t>（三）养殖场选址应设在集中居住区、文教科研区、医疗</w:t>
            </w:r>
          </w:p>
          <w:p>
            <w:pPr>
              <w:pStyle w:val="TableParagraph"/>
              <w:spacing w:line="266" w:lineRule="exact" w:before="43"/>
              <w:ind w:left="112"/>
              <w:jc w:val="left"/>
              <w:rPr>
                <w:rFonts w:ascii="宋体" w:eastAsia="宋体" w:hint="eastAsia"/>
                <w:sz w:val="21"/>
              </w:rPr>
            </w:pPr>
            <w:r>
              <w:rPr>
                <w:rFonts w:ascii="宋体" w:eastAsia="宋体" w:hint="eastAsia"/>
                <w:sz w:val="21"/>
              </w:rPr>
              <w:t>区等区域常年主导风向的下风向或侧风向，并满足大气环</w:t>
            </w:r>
          </w:p>
        </w:tc>
        <w:tc>
          <w:tcPr>
            <w:tcW w:w="2551" w:type="dxa"/>
            <w:tcBorders>
              <w:top w:val="single" w:sz="6" w:space="0" w:color="000000"/>
              <w:left w:val="single" w:sz="6" w:space="0" w:color="000000"/>
              <w:right w:val="single" w:sz="6" w:space="0" w:color="000000"/>
            </w:tcBorders>
          </w:tcPr>
          <w:p>
            <w:pPr>
              <w:pStyle w:val="TableParagraph"/>
              <w:spacing w:before="12"/>
              <w:ind w:left="113"/>
              <w:jc w:val="left"/>
              <w:rPr>
                <w:rFonts w:ascii="宋体" w:eastAsia="宋体" w:hint="eastAsia"/>
                <w:sz w:val="21"/>
              </w:rPr>
            </w:pPr>
            <w:r>
              <w:rPr>
                <w:rFonts w:ascii="宋体" w:eastAsia="宋体" w:hint="eastAsia"/>
                <w:spacing w:val="10"/>
                <w:position w:val="1"/>
                <w:sz w:val="21"/>
              </w:rPr>
              <w:t>本项目生猪存栏约 </w:t>
            </w:r>
            <w:r>
              <w:rPr>
                <w:sz w:val="21"/>
              </w:rPr>
              <w:t>5</w:t>
            </w:r>
            <w:r>
              <w:rPr>
                <w:spacing w:val="9"/>
                <w:sz w:val="21"/>
              </w:rPr>
              <w:t>  </w:t>
            </w:r>
            <w:r>
              <w:rPr>
                <w:rFonts w:ascii="宋体" w:eastAsia="宋体" w:hint="eastAsia"/>
                <w:position w:val="1"/>
                <w:sz w:val="21"/>
              </w:rPr>
              <w:t>万</w:t>
            </w:r>
          </w:p>
          <w:p>
            <w:pPr>
              <w:pStyle w:val="TableParagraph"/>
              <w:spacing w:line="266" w:lineRule="exact" w:before="46"/>
              <w:ind w:left="113"/>
              <w:jc w:val="left"/>
              <w:rPr>
                <w:rFonts w:ascii="宋体" w:eastAsia="宋体" w:hint="eastAsia"/>
                <w:sz w:val="21"/>
              </w:rPr>
            </w:pPr>
            <w:r>
              <w:rPr>
                <w:rFonts w:ascii="宋体" w:eastAsia="宋体" w:hint="eastAsia"/>
                <w:sz w:val="21"/>
              </w:rPr>
              <w:t>头，最近的敏感点为丰项</w:t>
            </w:r>
          </w:p>
        </w:tc>
        <w:tc>
          <w:tcPr>
            <w:tcW w:w="957" w:type="dxa"/>
            <w:tcBorders>
              <w:top w:val="single" w:sz="6" w:space="0" w:color="000000"/>
              <w:left w:val="single" w:sz="6" w:space="0" w:color="000000"/>
            </w:tcBorders>
          </w:tcPr>
          <w:p>
            <w:pPr>
              <w:pStyle w:val="TableParagraph"/>
              <w:spacing w:before="171"/>
              <w:ind w:left="149" w:right="106"/>
              <w:rPr>
                <w:rFonts w:ascii="宋体" w:eastAsia="宋体" w:hint="eastAsia"/>
                <w:sz w:val="21"/>
              </w:rPr>
            </w:pPr>
            <w:r>
              <w:rPr>
                <w:rFonts w:ascii="宋体" w:eastAsia="宋体" w:hint="eastAsia"/>
                <w:sz w:val="21"/>
              </w:rPr>
              <w:t>符合</w:t>
            </w:r>
          </w:p>
        </w:tc>
      </w:tr>
    </w:tbl>
    <w:p>
      <w:pPr>
        <w:spacing w:after="0"/>
        <w:rPr>
          <w:rFonts w:ascii="宋体" w:eastAsia="宋体" w:hint="eastAsia"/>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674"/>
        <w:gridCol w:w="4820"/>
        <w:gridCol w:w="2552"/>
        <w:gridCol w:w="958"/>
      </w:tblGrid>
      <w:tr>
        <w:trPr>
          <w:trHeight w:val="311" w:hRule="atLeast"/>
        </w:trPr>
        <w:tc>
          <w:tcPr>
            <w:tcW w:w="5921" w:type="dxa"/>
            <w:gridSpan w:val="3"/>
            <w:tcBorders>
              <w:bottom w:val="single" w:sz="6" w:space="0" w:color="000000"/>
              <w:right w:val="single" w:sz="6" w:space="0" w:color="000000"/>
            </w:tcBorders>
          </w:tcPr>
          <w:p>
            <w:pPr>
              <w:pStyle w:val="TableParagraph"/>
              <w:spacing w:line="267" w:lineRule="exact" w:before="25"/>
              <w:ind w:left="2519" w:right="2495"/>
              <w:rPr>
                <w:rFonts w:ascii="宋体" w:eastAsia="宋体" w:hint="eastAsia"/>
                <w:b/>
                <w:sz w:val="21"/>
              </w:rPr>
            </w:pPr>
            <w:r>
              <w:rPr>
                <w:rFonts w:ascii="宋体" w:eastAsia="宋体" w:hint="eastAsia"/>
                <w:b/>
                <w:sz w:val="21"/>
              </w:rPr>
              <w:t>具体指标</w:t>
            </w:r>
          </w:p>
        </w:tc>
        <w:tc>
          <w:tcPr>
            <w:tcW w:w="2552" w:type="dxa"/>
            <w:tcBorders>
              <w:left w:val="single" w:sz="6" w:space="0" w:color="000000"/>
              <w:bottom w:val="single" w:sz="6" w:space="0" w:color="000000"/>
              <w:right w:val="single" w:sz="6" w:space="0" w:color="000000"/>
            </w:tcBorders>
          </w:tcPr>
          <w:p>
            <w:pPr>
              <w:pStyle w:val="TableParagraph"/>
              <w:spacing w:line="267" w:lineRule="exact" w:before="25"/>
              <w:ind w:left="754"/>
              <w:jc w:val="left"/>
              <w:rPr>
                <w:rFonts w:ascii="宋体" w:eastAsia="宋体" w:hint="eastAsia"/>
                <w:b/>
                <w:sz w:val="21"/>
              </w:rPr>
            </w:pPr>
            <w:r>
              <w:rPr>
                <w:rFonts w:ascii="宋体" w:eastAsia="宋体" w:hint="eastAsia"/>
                <w:b/>
                <w:sz w:val="21"/>
              </w:rPr>
              <w:t>本项目情况</w:t>
            </w:r>
          </w:p>
        </w:tc>
        <w:tc>
          <w:tcPr>
            <w:tcW w:w="958" w:type="dxa"/>
            <w:tcBorders>
              <w:left w:val="single" w:sz="6" w:space="0" w:color="000000"/>
              <w:bottom w:val="single" w:sz="6" w:space="0" w:color="000000"/>
            </w:tcBorders>
          </w:tcPr>
          <w:p>
            <w:pPr>
              <w:pStyle w:val="TableParagraph"/>
              <w:spacing w:line="267" w:lineRule="exact" w:before="25"/>
              <w:ind w:left="148" w:right="114"/>
              <w:rPr>
                <w:rFonts w:ascii="宋体" w:eastAsia="宋体" w:hint="eastAsia"/>
                <w:b/>
                <w:sz w:val="21"/>
              </w:rPr>
            </w:pPr>
            <w:r>
              <w:rPr>
                <w:rFonts w:ascii="宋体" w:eastAsia="宋体" w:hint="eastAsia"/>
                <w:b/>
                <w:sz w:val="21"/>
              </w:rPr>
              <w:t>符合性</w:t>
            </w:r>
          </w:p>
        </w:tc>
      </w:tr>
      <w:tr>
        <w:trPr>
          <w:trHeight w:val="625"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sz w:val="20"/>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2"/>
              <w:ind w:left="112"/>
              <w:jc w:val="left"/>
              <w:rPr>
                <w:rFonts w:ascii="宋体" w:eastAsia="宋体" w:hint="eastAsia"/>
                <w:sz w:val="21"/>
              </w:rPr>
            </w:pPr>
            <w:r>
              <w:rPr>
                <w:rFonts w:ascii="宋体" w:eastAsia="宋体" w:hint="eastAsia"/>
                <w:spacing w:val="-14"/>
                <w:position w:val="1"/>
                <w:sz w:val="21"/>
              </w:rPr>
              <w:t>境防护距离的要求，其中，生猪存栏 </w:t>
            </w:r>
            <w:r>
              <w:rPr>
                <w:sz w:val="21"/>
              </w:rPr>
              <w:t>3000 </w:t>
            </w:r>
            <w:r>
              <w:rPr>
                <w:rFonts w:ascii="宋体" w:eastAsia="宋体" w:hint="eastAsia"/>
                <w:spacing w:val="-3"/>
                <w:position w:val="1"/>
                <w:sz w:val="21"/>
              </w:rPr>
              <w:t>头及以上的养殖</w:t>
            </w:r>
          </w:p>
          <w:p>
            <w:pPr>
              <w:pStyle w:val="TableParagraph"/>
              <w:spacing w:before="43"/>
              <w:ind w:left="112"/>
              <w:jc w:val="left"/>
              <w:rPr>
                <w:rFonts w:ascii="宋体" w:eastAsia="宋体" w:hint="eastAsia"/>
                <w:sz w:val="21"/>
              </w:rPr>
            </w:pPr>
            <w:r>
              <w:rPr>
                <w:rFonts w:ascii="宋体" w:eastAsia="宋体" w:hint="eastAsia"/>
                <w:position w:val="1"/>
                <w:sz w:val="21"/>
              </w:rPr>
              <w:t>场场界与以上区域边界的最小距离不得小于 </w:t>
            </w:r>
            <w:r>
              <w:rPr>
                <w:sz w:val="21"/>
              </w:rPr>
              <w:t>500 </w:t>
            </w:r>
            <w:r>
              <w:rPr>
                <w:rFonts w:ascii="宋体" w:eastAsia="宋体" w:hint="eastAsia"/>
                <w:position w:val="1"/>
                <w:sz w:val="21"/>
              </w:rPr>
              <w:t>米。</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25"/>
              <w:ind w:left="113"/>
              <w:jc w:val="left"/>
              <w:rPr>
                <w:rFonts w:ascii="宋体" w:eastAsia="宋体" w:hint="eastAsia"/>
                <w:sz w:val="21"/>
              </w:rPr>
            </w:pPr>
            <w:r>
              <w:rPr>
                <w:rFonts w:ascii="宋体" w:eastAsia="宋体" w:hint="eastAsia"/>
                <w:sz w:val="21"/>
              </w:rPr>
              <w:t>村，距本项目边界距离约</w:t>
            </w:r>
          </w:p>
          <w:p>
            <w:pPr>
              <w:pStyle w:val="TableParagraph"/>
              <w:spacing w:before="40"/>
              <w:ind w:left="113"/>
              <w:jc w:val="left"/>
              <w:rPr>
                <w:rFonts w:ascii="宋体" w:eastAsia="宋体" w:hint="eastAsia"/>
                <w:sz w:val="21"/>
              </w:rPr>
            </w:pPr>
            <w:r>
              <w:rPr>
                <w:sz w:val="21"/>
              </w:rPr>
              <w:t>555m</w:t>
            </w:r>
            <w:r>
              <w:rPr>
                <w:rFonts w:ascii="宋体" w:eastAsia="宋体" w:hint="eastAsia"/>
                <w:position w:val="1"/>
                <w:sz w:val="21"/>
              </w:rPr>
              <w:t>。</w:t>
            </w:r>
          </w:p>
        </w:tc>
        <w:tc>
          <w:tcPr>
            <w:tcW w:w="958"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1559" w:hRule="atLeast"/>
        </w:trPr>
        <w:tc>
          <w:tcPr>
            <w:tcW w:w="427" w:type="dxa"/>
            <w:vMerge/>
            <w:tcBorders>
              <w:top w:val="nil"/>
              <w:bottom w:val="single" w:sz="6" w:space="0" w:color="000000"/>
              <w:right w:val="single" w:sz="6" w:space="0" w:color="000000"/>
            </w:tcBorders>
          </w:tcPr>
          <w:p>
            <w:pPr>
              <w:rPr>
                <w:sz w:val="2"/>
                <w:szCs w:val="2"/>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112" w:right="83"/>
              <w:jc w:val="both"/>
              <w:rPr>
                <w:rFonts w:ascii="宋体" w:hAnsi="宋体" w:eastAsia="宋体" w:hint="eastAsia"/>
                <w:sz w:val="21"/>
              </w:rPr>
            </w:pPr>
            <w:r>
              <w:rPr>
                <w:rFonts w:ascii="宋体" w:hAnsi="宋体" w:eastAsia="宋体" w:hint="eastAsia"/>
                <w:sz w:val="21"/>
              </w:rPr>
              <w:t>（四）养殖场选址应避开饮用水源保护区、具有景观或水上娱乐功能、以及执行Ⅰ类或Ⅱ类水质的水体，其主要养殖圈舍及养殖废弃物收集贮存、处理（置）设施及消纳地</w:t>
            </w:r>
            <w:r>
              <w:rPr>
                <w:rFonts w:ascii="宋体" w:hAnsi="宋体" w:eastAsia="宋体" w:hint="eastAsia"/>
                <w:position w:val="1"/>
                <w:sz w:val="21"/>
              </w:rPr>
              <w:t>与上述水体应保持不小于 </w:t>
            </w:r>
            <w:r>
              <w:rPr>
                <w:sz w:val="21"/>
              </w:rPr>
              <w:t>500 </w:t>
            </w:r>
            <w:r>
              <w:rPr>
                <w:rFonts w:ascii="宋体" w:hAnsi="宋体" w:eastAsia="宋体" w:hint="eastAsia"/>
                <w:position w:val="1"/>
                <w:sz w:val="21"/>
              </w:rPr>
              <w:t>米的距离。</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3" w:right="83"/>
              <w:jc w:val="both"/>
              <w:rPr>
                <w:rFonts w:ascii="宋体" w:hAnsi="宋体" w:eastAsia="宋体" w:hint="eastAsia"/>
                <w:sz w:val="21"/>
              </w:rPr>
            </w:pPr>
            <w:r>
              <w:rPr>
                <w:rFonts w:ascii="宋体" w:hAnsi="宋体" w:eastAsia="宋体" w:hint="eastAsia"/>
                <w:spacing w:val="-2"/>
                <w:sz w:val="21"/>
              </w:rPr>
              <w:t>项目养殖场周边水体为Ⅲ 类水质水体，周边无饮用水源保护区、具有景观或水上娱乐功能、以及执行</w:t>
            </w:r>
          </w:p>
          <w:p>
            <w:pPr>
              <w:pStyle w:val="TableParagraph"/>
              <w:spacing w:line="268" w:lineRule="exact" w:before="0"/>
              <w:ind w:left="113"/>
              <w:jc w:val="left"/>
              <w:rPr>
                <w:rFonts w:ascii="宋体" w:hAnsi="宋体" w:eastAsia="宋体" w:hint="eastAsia"/>
                <w:sz w:val="21"/>
              </w:rPr>
            </w:pPr>
            <w:r>
              <w:rPr>
                <w:rFonts w:ascii="宋体" w:hAnsi="宋体" w:eastAsia="宋体" w:hint="eastAsia"/>
                <w:spacing w:val="-3"/>
                <w:sz w:val="21"/>
              </w:rPr>
              <w:t>Ⅰ类或Ⅱ类水质的水体。</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34"/>
              <w:ind w:left="148" w:right="108"/>
              <w:rPr>
                <w:rFonts w:ascii="宋体" w:eastAsia="宋体" w:hint="eastAsia"/>
                <w:sz w:val="21"/>
              </w:rPr>
            </w:pPr>
            <w:r>
              <w:rPr>
                <w:rFonts w:ascii="宋体" w:eastAsia="宋体" w:hint="eastAsia"/>
                <w:sz w:val="21"/>
              </w:rPr>
              <w:t>符合</w:t>
            </w:r>
          </w:p>
        </w:tc>
      </w:tr>
      <w:tr>
        <w:trPr>
          <w:trHeight w:val="935"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1"/>
              <w:jc w:val="left"/>
              <w:rPr>
                <w:rFonts w:ascii="宋体"/>
                <w:b/>
                <w:sz w:val="28"/>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工艺与装备</w:t>
            </w: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78" w:lineRule="auto" w:before="19"/>
              <w:ind w:left="112" w:right="23"/>
              <w:jc w:val="left"/>
              <w:rPr>
                <w:rFonts w:ascii="宋体" w:hAnsi="宋体" w:eastAsia="宋体" w:hint="eastAsia"/>
                <w:sz w:val="21"/>
              </w:rPr>
            </w:pPr>
            <w:r>
              <w:rPr>
                <w:rFonts w:ascii="宋体" w:hAnsi="宋体" w:eastAsia="宋体" w:hint="eastAsia"/>
                <w:position w:val="1"/>
                <w:sz w:val="21"/>
              </w:rPr>
              <w:t>（一）鼓励发展农牧结合的</w:t>
            </w:r>
            <w:r>
              <w:rPr>
                <w:sz w:val="21"/>
              </w:rPr>
              <w:t>“</w:t>
            </w:r>
            <w:r>
              <w:rPr>
                <w:rFonts w:ascii="宋体" w:hAnsi="宋体" w:eastAsia="宋体" w:hint="eastAsia"/>
                <w:position w:val="1"/>
                <w:sz w:val="21"/>
              </w:rPr>
              <w:t>畜禽</w:t>
            </w:r>
            <w:r>
              <w:rPr>
                <w:sz w:val="21"/>
              </w:rPr>
              <w:t>—</w:t>
            </w:r>
            <w:r>
              <w:rPr>
                <w:rFonts w:ascii="宋体" w:hAnsi="宋体" w:eastAsia="宋体" w:hint="eastAsia"/>
                <w:position w:val="1"/>
                <w:sz w:val="21"/>
              </w:rPr>
              <w:t>肥料</w:t>
            </w:r>
            <w:r>
              <w:rPr>
                <w:sz w:val="21"/>
              </w:rPr>
              <w:t>—</w:t>
            </w:r>
            <w:r>
              <w:rPr>
                <w:rFonts w:ascii="宋体" w:hAnsi="宋体" w:eastAsia="宋体" w:hint="eastAsia"/>
                <w:position w:val="1"/>
                <w:sz w:val="21"/>
              </w:rPr>
              <w:t>作物</w:t>
            </w:r>
            <w:r>
              <w:rPr>
                <w:sz w:val="21"/>
              </w:rPr>
              <w:t>”</w:t>
            </w:r>
            <w:r>
              <w:rPr>
                <w:rFonts w:ascii="宋体" w:hAnsi="宋体" w:eastAsia="宋体" w:hint="eastAsia"/>
                <w:position w:val="1"/>
                <w:sz w:val="21"/>
              </w:rPr>
              <w:t>、</w:t>
            </w:r>
            <w:r>
              <w:rPr>
                <w:sz w:val="21"/>
              </w:rPr>
              <w:t>“</w:t>
            </w:r>
            <w:r>
              <w:rPr>
                <w:rFonts w:ascii="宋体" w:hAnsi="宋体" w:eastAsia="宋体" w:hint="eastAsia"/>
                <w:position w:val="1"/>
                <w:sz w:val="21"/>
              </w:rPr>
              <w:t>畜禽</w:t>
            </w:r>
            <w:r>
              <w:rPr>
                <w:sz w:val="21"/>
              </w:rPr>
              <w:t>— </w:t>
            </w:r>
            <w:r>
              <w:rPr>
                <w:rFonts w:ascii="宋体" w:hAnsi="宋体" w:eastAsia="宋体" w:hint="eastAsia"/>
                <w:position w:val="1"/>
                <w:sz w:val="21"/>
              </w:rPr>
              <w:t>沼气</w:t>
            </w:r>
            <w:r>
              <w:rPr>
                <w:sz w:val="21"/>
              </w:rPr>
              <w:t>—</w:t>
            </w:r>
            <w:r>
              <w:rPr>
                <w:rFonts w:ascii="宋体" w:hAnsi="宋体" w:eastAsia="宋体" w:hint="eastAsia"/>
                <w:position w:val="1"/>
                <w:sz w:val="21"/>
              </w:rPr>
              <w:t>作物</w:t>
            </w:r>
            <w:r>
              <w:rPr>
                <w:sz w:val="21"/>
              </w:rPr>
              <w:t>”</w:t>
            </w:r>
            <w:r>
              <w:rPr>
                <w:rFonts w:ascii="宋体" w:hAnsi="宋体" w:eastAsia="宋体" w:hint="eastAsia"/>
                <w:position w:val="1"/>
                <w:sz w:val="21"/>
              </w:rPr>
              <w:t>等生态循环模式，以及</w:t>
            </w:r>
            <w:r>
              <w:rPr>
                <w:sz w:val="21"/>
              </w:rPr>
              <w:t>“</w:t>
            </w:r>
            <w:r>
              <w:rPr>
                <w:rFonts w:ascii="宋体" w:hAnsi="宋体" w:eastAsia="宋体" w:hint="eastAsia"/>
                <w:position w:val="1"/>
                <w:sz w:val="21"/>
              </w:rPr>
              <w:t>渔牧结合型</w:t>
            </w:r>
            <w:r>
              <w:rPr>
                <w:sz w:val="21"/>
              </w:rPr>
              <w:t>”</w:t>
            </w:r>
            <w:r>
              <w:rPr>
                <w:rFonts w:ascii="宋体" w:hAnsi="宋体" w:eastAsia="宋体" w:hint="eastAsia"/>
                <w:position w:val="1"/>
                <w:sz w:val="21"/>
              </w:rPr>
              <w:t>、</w:t>
            </w:r>
            <w:r>
              <w:rPr>
                <w:sz w:val="21"/>
              </w:rPr>
              <w:t>“</w:t>
            </w:r>
            <w:r>
              <w:rPr>
                <w:rFonts w:ascii="宋体" w:hAnsi="宋体" w:eastAsia="宋体" w:hint="eastAsia"/>
                <w:position w:val="1"/>
                <w:sz w:val="21"/>
              </w:rPr>
              <w:t>综合</w:t>
            </w:r>
          </w:p>
          <w:p>
            <w:pPr>
              <w:pStyle w:val="TableParagraph"/>
              <w:spacing w:line="269" w:lineRule="exact" w:before="0"/>
              <w:ind w:left="112"/>
              <w:jc w:val="left"/>
              <w:rPr>
                <w:rFonts w:ascii="宋体" w:hAnsi="宋体" w:eastAsia="宋体" w:hint="eastAsia"/>
                <w:sz w:val="21"/>
              </w:rPr>
            </w:pPr>
            <w:r>
              <w:rPr>
                <w:rFonts w:ascii="宋体" w:hAnsi="宋体" w:eastAsia="宋体" w:hint="eastAsia"/>
                <w:position w:val="1"/>
                <w:sz w:val="21"/>
              </w:rPr>
              <w:t>利用型</w:t>
            </w:r>
            <w:r>
              <w:rPr>
                <w:sz w:val="21"/>
              </w:rPr>
              <w:t>”</w:t>
            </w:r>
            <w:r>
              <w:rPr>
                <w:rFonts w:ascii="宋体" w:hAnsi="宋体" w:eastAsia="宋体" w:hint="eastAsia"/>
                <w:position w:val="1"/>
                <w:sz w:val="21"/>
              </w:rPr>
              <w:t>和</w:t>
            </w:r>
            <w:r>
              <w:rPr>
                <w:sz w:val="21"/>
              </w:rPr>
              <w:t>“</w:t>
            </w:r>
            <w:r>
              <w:rPr>
                <w:rFonts w:ascii="宋体" w:hAnsi="宋体" w:eastAsia="宋体" w:hint="eastAsia"/>
                <w:position w:val="1"/>
                <w:sz w:val="21"/>
              </w:rPr>
              <w:t>生态处理型</w:t>
            </w:r>
            <w:r>
              <w:rPr>
                <w:sz w:val="21"/>
              </w:rPr>
              <w:t>”</w:t>
            </w:r>
            <w:r>
              <w:rPr>
                <w:rFonts w:ascii="宋体" w:hAnsi="宋体" w:eastAsia="宋体" w:hint="eastAsia"/>
                <w:position w:val="1"/>
                <w:sz w:val="21"/>
              </w:rPr>
              <w:t>等生猪生态养殖模式。</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3" w:right="84"/>
              <w:jc w:val="left"/>
              <w:rPr>
                <w:rFonts w:ascii="宋体" w:eastAsia="宋体" w:hint="eastAsia"/>
                <w:sz w:val="21"/>
              </w:rPr>
            </w:pPr>
            <w:r>
              <w:rPr>
                <w:rFonts w:ascii="宋体" w:eastAsia="宋体" w:hint="eastAsia"/>
                <w:sz w:val="21"/>
              </w:rPr>
              <w:t>项目粪便经发酵处理后外运生产有机肥，废水经处</w:t>
            </w:r>
          </w:p>
          <w:p>
            <w:pPr>
              <w:pStyle w:val="TableParagraph"/>
              <w:spacing w:line="269" w:lineRule="exact" w:before="0"/>
              <w:ind w:left="113"/>
              <w:jc w:val="left"/>
              <w:rPr>
                <w:rFonts w:ascii="宋体" w:eastAsia="宋体" w:hint="eastAsia"/>
                <w:sz w:val="21"/>
              </w:rPr>
            </w:pPr>
            <w:r>
              <w:rPr>
                <w:rFonts w:ascii="宋体" w:eastAsia="宋体" w:hint="eastAsia"/>
                <w:sz w:val="21"/>
              </w:rPr>
              <w:t>理后全部纳管。</w:t>
            </w:r>
          </w:p>
        </w:tc>
        <w:tc>
          <w:tcPr>
            <w:tcW w:w="958"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1247" w:hRule="atLeast"/>
        </w:trPr>
        <w:tc>
          <w:tcPr>
            <w:tcW w:w="427" w:type="dxa"/>
            <w:vMerge/>
            <w:tcBorders>
              <w:top w:val="nil"/>
              <w:bottom w:val="single" w:sz="6" w:space="0" w:color="000000"/>
              <w:right w:val="single" w:sz="6" w:space="0" w:color="000000"/>
            </w:tcBorders>
          </w:tcPr>
          <w:p>
            <w:pPr>
              <w:rPr>
                <w:sz w:val="2"/>
                <w:szCs w:val="2"/>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26"/>
              </w:rPr>
            </w:pPr>
          </w:p>
          <w:p>
            <w:pPr>
              <w:pStyle w:val="TableParagraph"/>
              <w:spacing w:line="278" w:lineRule="auto" w:before="1"/>
              <w:ind w:left="112" w:right="84"/>
              <w:jc w:val="left"/>
              <w:rPr>
                <w:rFonts w:ascii="宋体" w:eastAsia="宋体" w:hint="eastAsia"/>
                <w:sz w:val="21"/>
              </w:rPr>
            </w:pPr>
            <w:r>
              <w:rPr>
                <w:rFonts w:ascii="宋体" w:eastAsia="宋体" w:hint="eastAsia"/>
                <w:sz w:val="21"/>
              </w:rPr>
              <w:t>（二）鼓励采用先进、环保的畜舍建筑、机械设备、饲养技术和管理制度，发展节水、环保型生态养猪技术。</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3"/>
              <w:ind w:left="113" w:right="85"/>
              <w:jc w:val="both"/>
              <w:rPr>
                <w:rFonts w:ascii="宋体" w:eastAsia="宋体" w:hint="eastAsia"/>
                <w:sz w:val="21"/>
              </w:rPr>
            </w:pPr>
            <w:r>
              <w:rPr>
                <w:rFonts w:ascii="宋体" w:eastAsia="宋体" w:hint="eastAsia"/>
                <w:sz w:val="21"/>
              </w:rPr>
              <w:t>项目采用较为先进的养殖技术，包括自动喂料、自动消毒、环控等，属于节</w:t>
            </w:r>
          </w:p>
          <w:p>
            <w:pPr>
              <w:pStyle w:val="TableParagraph"/>
              <w:spacing w:line="269" w:lineRule="exact" w:before="0"/>
              <w:ind w:left="113"/>
              <w:jc w:val="left"/>
              <w:rPr>
                <w:rFonts w:ascii="宋体" w:eastAsia="宋体" w:hint="eastAsia"/>
                <w:sz w:val="21"/>
              </w:rPr>
            </w:pPr>
            <w:r>
              <w:rPr>
                <w:rFonts w:ascii="宋体" w:eastAsia="宋体" w:hint="eastAsia"/>
                <w:sz w:val="21"/>
              </w:rPr>
              <w:t>水、环保型技术。</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4"/>
              <w:jc w:val="left"/>
              <w:rPr>
                <w:rFonts w:ascii="宋体"/>
                <w:b/>
                <w:sz w:val="18"/>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625" w:hRule="atLeast"/>
        </w:trPr>
        <w:tc>
          <w:tcPr>
            <w:tcW w:w="427" w:type="dxa"/>
            <w:vMerge/>
            <w:tcBorders>
              <w:top w:val="nil"/>
              <w:bottom w:val="single" w:sz="6" w:space="0" w:color="000000"/>
              <w:right w:val="single" w:sz="6" w:space="0" w:color="000000"/>
            </w:tcBorders>
          </w:tcPr>
          <w:p>
            <w:pPr>
              <w:rPr>
                <w:sz w:val="2"/>
                <w:szCs w:val="2"/>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before="25"/>
              <w:ind w:left="112"/>
              <w:jc w:val="left"/>
              <w:rPr>
                <w:rFonts w:ascii="宋体" w:eastAsia="宋体" w:hint="eastAsia"/>
                <w:sz w:val="21"/>
              </w:rPr>
            </w:pPr>
            <w:r>
              <w:rPr>
                <w:rFonts w:ascii="宋体" w:eastAsia="宋体" w:hint="eastAsia"/>
                <w:sz w:val="21"/>
              </w:rPr>
              <w:t>（三）养殖场宜采取干法清粪工艺；固废不可与尿、污水</w:t>
            </w:r>
          </w:p>
          <w:p>
            <w:pPr>
              <w:pStyle w:val="TableParagraph"/>
              <w:spacing w:before="43"/>
              <w:ind w:left="112"/>
              <w:jc w:val="left"/>
              <w:rPr>
                <w:rFonts w:ascii="宋体" w:eastAsia="宋体" w:hint="eastAsia"/>
                <w:sz w:val="21"/>
              </w:rPr>
            </w:pPr>
            <w:r>
              <w:rPr>
                <w:rFonts w:ascii="宋体" w:eastAsia="宋体" w:hint="eastAsia"/>
                <w:sz w:val="21"/>
              </w:rPr>
              <w:t>混合排出，产生的废渣应实现日产日清。</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25"/>
              <w:ind w:left="113"/>
              <w:jc w:val="left"/>
              <w:rPr>
                <w:rFonts w:ascii="宋体" w:eastAsia="宋体" w:hint="eastAsia"/>
                <w:sz w:val="21"/>
              </w:rPr>
            </w:pPr>
            <w:r>
              <w:rPr>
                <w:rFonts w:ascii="宋体" w:eastAsia="宋体" w:hint="eastAsia"/>
                <w:sz w:val="21"/>
              </w:rPr>
              <w:t>项目采用干清粪工艺，污</w:t>
            </w:r>
          </w:p>
          <w:p>
            <w:pPr>
              <w:pStyle w:val="TableParagraph"/>
              <w:spacing w:before="43"/>
              <w:ind w:left="113"/>
              <w:jc w:val="left"/>
              <w:rPr>
                <w:rFonts w:ascii="宋体" w:eastAsia="宋体" w:hint="eastAsia"/>
                <w:sz w:val="21"/>
              </w:rPr>
            </w:pPr>
            <w:r>
              <w:rPr>
                <w:rFonts w:ascii="宋体" w:eastAsia="宋体" w:hint="eastAsia"/>
                <w:sz w:val="21"/>
              </w:rPr>
              <w:t>粪可做到日产日清。</w:t>
            </w:r>
          </w:p>
        </w:tc>
        <w:tc>
          <w:tcPr>
            <w:tcW w:w="958" w:type="dxa"/>
            <w:tcBorders>
              <w:top w:val="single" w:sz="6" w:space="0" w:color="000000"/>
              <w:left w:val="single" w:sz="6" w:space="0" w:color="000000"/>
              <w:bottom w:val="single" w:sz="6" w:space="0" w:color="000000"/>
            </w:tcBorders>
          </w:tcPr>
          <w:p>
            <w:pPr>
              <w:pStyle w:val="TableParagraph"/>
              <w:spacing w:before="1"/>
              <w:jc w:val="left"/>
              <w:rPr>
                <w:rFonts w:ascii="宋体"/>
                <w:b/>
                <w:sz w:val="14"/>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935" w:hRule="atLeast"/>
        </w:trPr>
        <w:tc>
          <w:tcPr>
            <w:tcW w:w="427" w:type="dxa"/>
            <w:vMerge/>
            <w:tcBorders>
              <w:top w:val="nil"/>
              <w:bottom w:val="single" w:sz="6" w:space="0" w:color="000000"/>
              <w:right w:val="single" w:sz="6" w:space="0" w:color="000000"/>
            </w:tcBorders>
          </w:tcPr>
          <w:p>
            <w:pPr>
              <w:rPr>
                <w:sz w:val="2"/>
                <w:szCs w:val="2"/>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2" w:right="84"/>
              <w:jc w:val="left"/>
              <w:rPr>
                <w:rFonts w:ascii="宋体" w:eastAsia="宋体" w:hint="eastAsia"/>
                <w:sz w:val="21"/>
              </w:rPr>
            </w:pPr>
            <w:r>
              <w:rPr>
                <w:rFonts w:ascii="宋体" w:eastAsia="宋体" w:hint="eastAsia"/>
                <w:sz w:val="21"/>
              </w:rPr>
              <w:t>（四）养殖饲料应采用合理配方，在提高蛋白质及其它营养的吸收效率的同时，减少生猪养殖废弃物产生量，并保</w:t>
            </w:r>
          </w:p>
          <w:p>
            <w:pPr>
              <w:pStyle w:val="TableParagraph"/>
              <w:spacing w:line="269" w:lineRule="exact" w:before="0"/>
              <w:ind w:left="112"/>
              <w:jc w:val="left"/>
              <w:rPr>
                <w:rFonts w:ascii="宋体" w:eastAsia="宋体" w:hint="eastAsia"/>
                <w:sz w:val="21"/>
              </w:rPr>
            </w:pPr>
            <w:r>
              <w:rPr>
                <w:rFonts w:ascii="宋体" w:eastAsia="宋体" w:hint="eastAsia"/>
                <w:sz w:val="21"/>
              </w:rPr>
              <w:t>障生猪养殖废弃物资源化综合利用的环境安全。</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113" w:right="85"/>
              <w:jc w:val="left"/>
              <w:rPr>
                <w:rFonts w:ascii="宋体" w:eastAsia="宋体" w:hint="eastAsia"/>
                <w:sz w:val="21"/>
              </w:rPr>
            </w:pPr>
            <w:r>
              <w:rPr>
                <w:rFonts w:ascii="宋体" w:eastAsia="宋体" w:hint="eastAsia"/>
                <w:sz w:val="21"/>
              </w:rPr>
              <w:t>项目养殖饲料全部采购成品，配方合理。</w:t>
            </w:r>
          </w:p>
        </w:tc>
        <w:tc>
          <w:tcPr>
            <w:tcW w:w="958"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1247"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21"/>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总量控制与区域限批</w:t>
            </w: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2" w:right="82"/>
              <w:jc w:val="both"/>
              <w:rPr>
                <w:rFonts w:ascii="宋体" w:hAnsi="宋体" w:eastAsia="宋体" w:hint="eastAsia"/>
                <w:sz w:val="21"/>
              </w:rPr>
            </w:pPr>
            <w:r>
              <w:rPr>
                <w:rFonts w:ascii="宋体" w:hAnsi="宋体" w:eastAsia="宋体" w:hint="eastAsia"/>
                <w:sz w:val="21"/>
              </w:rPr>
              <w:t>（一）</w:t>
            </w:r>
            <w:r>
              <w:rPr>
                <w:rFonts w:ascii="宋体" w:hAnsi="宋体" w:eastAsia="宋体" w:hint="eastAsia"/>
                <w:spacing w:val="-1"/>
                <w:sz w:val="21"/>
              </w:rPr>
              <w:t>省政府确定的养殖过载区应根据要求调减区域生猪</w:t>
            </w:r>
            <w:r>
              <w:rPr>
                <w:rFonts w:ascii="宋体" w:hAnsi="宋体" w:eastAsia="宋体" w:hint="eastAsia"/>
                <w:position w:val="1"/>
                <w:sz w:val="21"/>
              </w:rPr>
              <w:t>养殖总量；按照</w:t>
            </w:r>
            <w:r>
              <w:rPr>
                <w:sz w:val="21"/>
              </w:rPr>
              <w:t>“</w:t>
            </w:r>
            <w:r>
              <w:rPr>
                <w:rFonts w:ascii="宋体" w:hAnsi="宋体" w:eastAsia="宋体" w:hint="eastAsia"/>
                <w:position w:val="1"/>
                <w:sz w:val="21"/>
              </w:rPr>
              <w:t>调减过载、适度保有</w:t>
            </w:r>
            <w:r>
              <w:rPr>
                <w:sz w:val="21"/>
              </w:rPr>
              <w:t>”</w:t>
            </w:r>
            <w:r>
              <w:rPr>
                <w:rFonts w:ascii="宋体" w:hAnsi="宋体" w:eastAsia="宋体" w:hint="eastAsia"/>
                <w:spacing w:val="-2"/>
                <w:position w:val="1"/>
                <w:sz w:val="21"/>
              </w:rPr>
              <w:t>的要求，加大力度</w:t>
            </w:r>
            <w:r>
              <w:rPr>
                <w:rFonts w:ascii="宋体" w:hAnsi="宋体" w:eastAsia="宋体" w:hint="eastAsia"/>
                <w:spacing w:val="-9"/>
                <w:position w:val="1"/>
                <w:sz w:val="21"/>
              </w:rPr>
              <w:t>调整优化区域布局结构，依法限期拆除影响环境的</w:t>
            </w:r>
            <w:r>
              <w:rPr>
                <w:spacing w:val="-3"/>
                <w:sz w:val="21"/>
              </w:rPr>
              <w:t>“</w:t>
            </w:r>
            <w:r>
              <w:rPr>
                <w:rFonts w:ascii="宋体" w:hAnsi="宋体" w:eastAsia="宋体" w:hint="eastAsia"/>
                <w:spacing w:val="-2"/>
                <w:position w:val="1"/>
                <w:sz w:val="21"/>
              </w:rPr>
              <w:t>低小散</w:t>
            </w:r>
          </w:p>
          <w:p>
            <w:pPr>
              <w:pStyle w:val="TableParagraph"/>
              <w:spacing w:line="266" w:lineRule="exact" w:before="0"/>
              <w:ind w:left="112" w:right="-29"/>
              <w:jc w:val="left"/>
              <w:rPr>
                <w:rFonts w:ascii="宋体" w:hAnsi="宋体" w:eastAsia="宋体" w:hint="eastAsia"/>
                <w:sz w:val="21"/>
              </w:rPr>
            </w:pPr>
            <w:r>
              <w:rPr>
                <w:rFonts w:ascii="宋体" w:hAnsi="宋体" w:eastAsia="宋体" w:hint="eastAsia"/>
                <w:position w:val="1"/>
                <w:sz w:val="21"/>
              </w:rPr>
              <w:t>乱</w:t>
            </w:r>
            <w:r>
              <w:rPr>
                <w:sz w:val="21"/>
              </w:rPr>
              <w:t>”</w:t>
            </w:r>
            <w:r>
              <w:rPr>
                <w:rFonts w:ascii="宋体" w:hAnsi="宋体" w:eastAsia="宋体" w:hint="eastAsia"/>
                <w:spacing w:val="-21"/>
                <w:position w:val="1"/>
                <w:sz w:val="21"/>
              </w:rPr>
              <w:t>养殖场</w:t>
            </w:r>
            <w:r>
              <w:rPr>
                <w:rFonts w:ascii="宋体" w:hAnsi="宋体" w:eastAsia="宋体" w:hint="eastAsia"/>
                <w:spacing w:val="-3"/>
                <w:position w:val="1"/>
                <w:sz w:val="21"/>
              </w:rPr>
              <w:t>（</w:t>
            </w:r>
            <w:r>
              <w:rPr>
                <w:rFonts w:ascii="宋体" w:hAnsi="宋体" w:eastAsia="宋体" w:hint="eastAsia"/>
                <w:position w:val="1"/>
                <w:sz w:val="21"/>
              </w:rPr>
              <w:t>棚</w:t>
            </w:r>
            <w:r>
              <w:rPr>
                <w:rFonts w:ascii="宋体" w:hAnsi="宋体" w:eastAsia="宋体" w:hint="eastAsia"/>
                <w:spacing w:val="-59"/>
                <w:position w:val="1"/>
                <w:sz w:val="21"/>
              </w:rPr>
              <w:t>）</w:t>
            </w:r>
            <w:r>
              <w:rPr>
                <w:rFonts w:ascii="宋体" w:hAnsi="宋体" w:eastAsia="宋体" w:hint="eastAsia"/>
                <w:spacing w:val="-9"/>
                <w:position w:val="1"/>
                <w:sz w:val="21"/>
              </w:rPr>
              <w:t>，保留并生态化改造非禁养区规模养殖场。</w:t>
            </w:r>
          </w:p>
        </w:tc>
        <w:tc>
          <w:tcPr>
            <w:tcW w:w="2552"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
              <w:jc w:val="left"/>
              <w:rPr>
                <w:rFonts w:ascii="宋体"/>
                <w:b/>
                <w:sz w:val="15"/>
              </w:rPr>
            </w:pPr>
          </w:p>
          <w:p>
            <w:pPr>
              <w:pStyle w:val="TableParagraph"/>
              <w:spacing w:line="278" w:lineRule="auto" w:before="0"/>
              <w:ind w:left="113" w:right="83"/>
              <w:jc w:val="both"/>
              <w:rPr>
                <w:rFonts w:ascii="宋体" w:eastAsia="宋体" w:hint="eastAsia"/>
                <w:sz w:val="21"/>
              </w:rPr>
            </w:pPr>
            <w:r>
              <w:rPr>
                <w:rFonts w:ascii="宋体" w:eastAsia="宋体" w:hint="eastAsia"/>
                <w:spacing w:val="-2"/>
                <w:sz w:val="21"/>
              </w:rPr>
              <w:t>项目位于绍兴市柯岩街道非禁养区内，生猪存栏量</w:t>
            </w:r>
            <w:r>
              <w:rPr>
                <w:rFonts w:ascii="宋体" w:eastAsia="宋体" w:hint="eastAsia"/>
                <w:spacing w:val="-3"/>
                <w:position w:val="1"/>
                <w:sz w:val="21"/>
              </w:rPr>
              <w:t>约 </w:t>
            </w:r>
            <w:r>
              <w:rPr>
                <w:sz w:val="21"/>
              </w:rPr>
              <w:t>5 </w:t>
            </w:r>
            <w:r>
              <w:rPr>
                <w:rFonts w:ascii="宋体" w:eastAsia="宋体" w:hint="eastAsia"/>
                <w:spacing w:val="-4"/>
                <w:position w:val="1"/>
                <w:sz w:val="21"/>
              </w:rPr>
              <w:t>万头，出栏量约 </w:t>
            </w:r>
            <w:r>
              <w:rPr>
                <w:spacing w:val="-6"/>
                <w:sz w:val="21"/>
              </w:rPr>
              <w:t>8.6 </w:t>
            </w:r>
            <w:r>
              <w:rPr>
                <w:rFonts w:ascii="宋体" w:eastAsia="宋体" w:hint="eastAsia"/>
                <w:spacing w:val="-2"/>
                <w:sz w:val="21"/>
              </w:rPr>
              <w:t>万头，不属低小散乱的养殖场。项目废水经处理达标后纳管排放，粪便经发</w:t>
            </w:r>
            <w:r>
              <w:rPr>
                <w:rFonts w:ascii="宋体" w:eastAsia="宋体" w:hint="eastAsia"/>
                <w:spacing w:val="20"/>
                <w:sz w:val="21"/>
              </w:rPr>
              <w:t>酵处理后外运生产有机</w:t>
            </w:r>
            <w:r>
              <w:rPr>
                <w:rFonts w:ascii="宋体" w:eastAsia="宋体" w:hint="eastAsia"/>
                <w:spacing w:val="16"/>
                <w:sz w:val="21"/>
              </w:rPr>
              <w:t>肥，当地环境承载能力满</w:t>
            </w:r>
            <w:r>
              <w:rPr>
                <w:rFonts w:ascii="宋体" w:eastAsia="宋体" w:hint="eastAsia"/>
                <w:spacing w:val="-2"/>
                <w:sz w:val="21"/>
              </w:rPr>
              <w:t>足项目需要。</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3"/>
              <w:jc w:val="left"/>
              <w:rPr>
                <w:rFonts w:ascii="宋体"/>
                <w:b/>
                <w:sz w:val="18"/>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2183" w:hRule="atLeast"/>
        </w:trPr>
        <w:tc>
          <w:tcPr>
            <w:tcW w:w="427" w:type="dxa"/>
            <w:vMerge/>
            <w:tcBorders>
              <w:top w:val="nil"/>
              <w:bottom w:val="single" w:sz="6" w:space="0" w:color="000000"/>
              <w:right w:val="single" w:sz="6" w:space="0" w:color="000000"/>
            </w:tcBorders>
          </w:tcPr>
          <w:p>
            <w:pPr>
              <w:rPr>
                <w:sz w:val="2"/>
                <w:szCs w:val="2"/>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2" w:right="84"/>
              <w:jc w:val="both"/>
              <w:rPr>
                <w:rFonts w:ascii="宋体" w:eastAsia="宋体" w:hint="eastAsia"/>
                <w:sz w:val="21"/>
              </w:rPr>
            </w:pPr>
            <w:r>
              <w:rPr>
                <w:rFonts w:ascii="宋体" w:eastAsia="宋体" w:hint="eastAsia"/>
                <w:sz w:val="21"/>
              </w:rPr>
              <w:t>（二）禁止养殖区域内不得有畜禽养殖场（小区）、养殖户从事畜禽养殖活动；已有的畜禽养殖场（小区）、养殖户，由设区的市、县（市、区）人民政府限期转产转业、搬迁、关闭；造成其经济损失的，应当依法予以补偿。限制养殖区域内应当严格控制畜禽养殖总量，削减污染物排放总量，不得超过畜禽养殖总量要求新建、改建和扩建畜</w:t>
            </w:r>
          </w:p>
          <w:p>
            <w:pPr>
              <w:pStyle w:val="TableParagraph"/>
              <w:spacing w:line="268" w:lineRule="exact" w:before="0"/>
              <w:ind w:left="112"/>
              <w:jc w:val="left"/>
              <w:rPr>
                <w:rFonts w:ascii="宋体" w:eastAsia="宋体" w:hint="eastAsia"/>
                <w:sz w:val="21"/>
              </w:rPr>
            </w:pPr>
            <w:r>
              <w:rPr>
                <w:rFonts w:ascii="宋体" w:eastAsia="宋体" w:hint="eastAsia"/>
                <w:sz w:val="21"/>
              </w:rPr>
              <w:t>禽养殖场（小区）。</w:t>
            </w:r>
          </w:p>
        </w:tc>
        <w:tc>
          <w:tcPr>
            <w:tcW w:w="2552" w:type="dxa"/>
            <w:vMerge/>
            <w:tcBorders>
              <w:top w:val="nil"/>
              <w:left w:val="single" w:sz="6" w:space="0" w:color="000000"/>
              <w:bottom w:val="single" w:sz="6" w:space="0" w:color="000000"/>
              <w:right w:val="single" w:sz="6" w:space="0" w:color="000000"/>
            </w:tcBorders>
          </w:tcPr>
          <w:p>
            <w:pPr>
              <w:rPr>
                <w:sz w:val="2"/>
                <w:szCs w:val="2"/>
              </w:rPr>
            </w:pP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0"/>
              <w:jc w:val="left"/>
              <w:rPr>
                <w:rFonts w:ascii="宋体"/>
                <w:b/>
                <w:sz w:val="14"/>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1250" w:hRule="atLeast"/>
        </w:trPr>
        <w:tc>
          <w:tcPr>
            <w:tcW w:w="427" w:type="dxa"/>
            <w:vMerge/>
            <w:tcBorders>
              <w:top w:val="nil"/>
              <w:bottom w:val="single" w:sz="6" w:space="0" w:color="000000"/>
              <w:right w:val="single" w:sz="6" w:space="0" w:color="000000"/>
            </w:tcBorders>
          </w:tcPr>
          <w:p>
            <w:pPr>
              <w:rPr>
                <w:sz w:val="2"/>
                <w:szCs w:val="2"/>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78" w:lineRule="auto" w:before="25"/>
              <w:ind w:left="112" w:right="84"/>
              <w:jc w:val="both"/>
              <w:rPr>
                <w:rFonts w:ascii="宋体" w:eastAsia="宋体" w:hint="eastAsia"/>
                <w:sz w:val="21"/>
              </w:rPr>
            </w:pPr>
            <w:r>
              <w:rPr>
                <w:rFonts w:ascii="宋体" w:eastAsia="宋体" w:hint="eastAsia"/>
                <w:sz w:val="21"/>
              </w:rPr>
              <w:t>（三）设区的市、县（市、区）政府依法划定的限制养殖区域应对生猪养殖进行总量控制；对超过生猪养殖总量的限制养殖区域，暂停受理、审批该区域新建、扩建生猪养</w:t>
            </w:r>
          </w:p>
          <w:p>
            <w:pPr>
              <w:pStyle w:val="TableParagraph"/>
              <w:spacing w:before="0"/>
              <w:ind w:left="112"/>
              <w:jc w:val="left"/>
              <w:rPr>
                <w:rFonts w:ascii="宋体" w:eastAsia="宋体" w:hint="eastAsia"/>
                <w:sz w:val="21"/>
              </w:rPr>
            </w:pPr>
            <w:r>
              <w:rPr>
                <w:rFonts w:ascii="宋体" w:eastAsia="宋体" w:hint="eastAsia"/>
                <w:sz w:val="21"/>
              </w:rPr>
              <w:t>殖场（小区）的环境影响评价文件。</w:t>
            </w:r>
          </w:p>
        </w:tc>
        <w:tc>
          <w:tcPr>
            <w:tcW w:w="2552" w:type="dxa"/>
            <w:vMerge/>
            <w:tcBorders>
              <w:top w:val="nil"/>
              <w:left w:val="single" w:sz="6" w:space="0" w:color="000000"/>
              <w:bottom w:val="single" w:sz="6" w:space="0" w:color="000000"/>
              <w:right w:val="single" w:sz="6" w:space="0" w:color="000000"/>
            </w:tcBorders>
          </w:tcPr>
          <w:p>
            <w:pPr>
              <w:rPr>
                <w:sz w:val="2"/>
                <w:szCs w:val="2"/>
              </w:rPr>
            </w:pP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6"/>
              <w:jc w:val="left"/>
              <w:rPr>
                <w:rFonts w:ascii="宋体"/>
                <w:b/>
                <w:sz w:val="18"/>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2183" w:hRule="atLeast"/>
        </w:trPr>
        <w:tc>
          <w:tcPr>
            <w:tcW w:w="427" w:type="dxa"/>
            <w:vMerge/>
            <w:tcBorders>
              <w:top w:val="nil"/>
              <w:bottom w:val="single" w:sz="6" w:space="0" w:color="000000"/>
              <w:right w:val="single" w:sz="6" w:space="0" w:color="000000"/>
            </w:tcBorders>
          </w:tcPr>
          <w:p>
            <w:pPr>
              <w:rPr>
                <w:sz w:val="2"/>
                <w:szCs w:val="2"/>
              </w:rPr>
            </w:pPr>
          </w:p>
        </w:tc>
        <w:tc>
          <w:tcPr>
            <w:tcW w:w="5494" w:type="dxa"/>
            <w:gridSpan w:val="2"/>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2" w:right="-29"/>
              <w:jc w:val="left"/>
              <w:rPr>
                <w:rFonts w:ascii="宋体" w:eastAsia="宋体" w:hint="eastAsia"/>
                <w:sz w:val="21"/>
              </w:rPr>
            </w:pPr>
            <w:r>
              <w:rPr>
                <w:rFonts w:ascii="宋体" w:eastAsia="宋体" w:hint="eastAsia"/>
                <w:sz w:val="21"/>
              </w:rPr>
              <w:t>（四）生猪养殖废弃物未经处理，不得直接向环境排放， </w:t>
            </w:r>
            <w:r>
              <w:rPr>
                <w:rFonts w:ascii="宋体" w:eastAsia="宋体" w:hint="eastAsia"/>
                <w:spacing w:val="-8"/>
                <w:sz w:val="21"/>
              </w:rPr>
              <w:t>向环境排放经过处理的生猪养殖废弃物，应进行总量控制。对排放的生猪养殖废弃物、化学需氧量、氨氮总量超过控制指标；未完成化学需氧量年度减排任务；河流交接断面水质化学需氧量、氨氮超标的市、县（市、区），暂停受理、审批该区域新建、扩建生猪养殖场（小区）的环境影</w:t>
            </w:r>
          </w:p>
          <w:p>
            <w:pPr>
              <w:pStyle w:val="TableParagraph"/>
              <w:spacing w:line="268" w:lineRule="exact" w:before="0"/>
              <w:ind w:left="112"/>
              <w:jc w:val="left"/>
              <w:rPr>
                <w:rFonts w:ascii="宋体" w:eastAsia="宋体" w:hint="eastAsia"/>
                <w:sz w:val="21"/>
              </w:rPr>
            </w:pPr>
            <w:r>
              <w:rPr>
                <w:rFonts w:ascii="宋体" w:eastAsia="宋体" w:hint="eastAsia"/>
                <w:sz w:val="21"/>
              </w:rPr>
              <w:t>响评价文件。</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3" w:right="83"/>
              <w:jc w:val="both"/>
              <w:rPr>
                <w:rFonts w:ascii="宋体" w:eastAsia="宋体" w:hint="eastAsia"/>
                <w:sz w:val="21"/>
              </w:rPr>
            </w:pPr>
            <w:r>
              <w:rPr>
                <w:rFonts w:ascii="宋体" w:eastAsia="宋体" w:hint="eastAsia"/>
                <w:sz w:val="21"/>
              </w:rPr>
              <w:t>项目养殖废水经自建污水处理站处理达标后纳管排放；粪便、污泥等经发酵处理后外运生产有机肥。</w:t>
            </w:r>
            <w:r>
              <w:rPr>
                <w:sz w:val="21"/>
              </w:rPr>
              <w:t>COD</w:t>
            </w:r>
            <w:r>
              <w:rPr>
                <w:rFonts w:ascii="宋体" w:eastAsia="宋体" w:hint="eastAsia"/>
                <w:position w:val="1"/>
                <w:sz w:val="21"/>
              </w:rPr>
              <w:t>、氨氮等污染物在落</w:t>
            </w:r>
            <w:r>
              <w:rPr>
                <w:rFonts w:ascii="宋体" w:eastAsia="宋体" w:hint="eastAsia"/>
                <w:sz w:val="21"/>
              </w:rPr>
              <w:t>实总量平衡方案的条件下</w:t>
            </w:r>
          </w:p>
          <w:p>
            <w:pPr>
              <w:pStyle w:val="TableParagraph"/>
              <w:spacing w:line="268" w:lineRule="exact" w:before="0"/>
              <w:ind w:left="113"/>
              <w:jc w:val="left"/>
              <w:rPr>
                <w:rFonts w:ascii="宋体" w:eastAsia="宋体" w:hint="eastAsia"/>
                <w:sz w:val="21"/>
              </w:rPr>
            </w:pPr>
            <w:r>
              <w:rPr>
                <w:rFonts w:ascii="宋体" w:eastAsia="宋体" w:hint="eastAsia"/>
                <w:sz w:val="21"/>
              </w:rPr>
              <w:t>符合管理要求。</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0"/>
              <w:jc w:val="left"/>
              <w:rPr>
                <w:rFonts w:ascii="宋体"/>
                <w:b/>
                <w:sz w:val="14"/>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625" w:hRule="atLeast"/>
        </w:trPr>
        <w:tc>
          <w:tcPr>
            <w:tcW w:w="427" w:type="dxa"/>
            <w:tcBorders>
              <w:top w:val="single" w:sz="6" w:space="0" w:color="000000"/>
              <w:right w:val="single" w:sz="6" w:space="0" w:color="000000"/>
            </w:tcBorders>
          </w:tcPr>
          <w:p>
            <w:pPr>
              <w:pStyle w:val="TableParagraph"/>
              <w:spacing w:before="22"/>
              <w:ind w:left="107"/>
              <w:jc w:val="left"/>
              <w:rPr>
                <w:rFonts w:ascii="宋体" w:eastAsia="宋体" w:hint="eastAsia"/>
                <w:sz w:val="21"/>
              </w:rPr>
            </w:pPr>
            <w:r>
              <w:rPr>
                <w:rFonts w:ascii="宋体" w:eastAsia="宋体" w:hint="eastAsia"/>
                <w:w w:val="100"/>
                <w:sz w:val="21"/>
              </w:rPr>
              <w:t>无</w:t>
            </w:r>
          </w:p>
          <w:p>
            <w:pPr>
              <w:pStyle w:val="TableParagraph"/>
              <w:spacing w:before="43"/>
              <w:ind w:left="107"/>
              <w:jc w:val="left"/>
              <w:rPr>
                <w:rFonts w:ascii="宋体" w:eastAsia="宋体" w:hint="eastAsia"/>
                <w:sz w:val="21"/>
              </w:rPr>
            </w:pPr>
            <w:r>
              <w:rPr>
                <w:rFonts w:ascii="宋体" w:eastAsia="宋体" w:hint="eastAsia"/>
                <w:w w:val="100"/>
                <w:sz w:val="21"/>
              </w:rPr>
              <w:t>害</w:t>
            </w:r>
          </w:p>
        </w:tc>
        <w:tc>
          <w:tcPr>
            <w:tcW w:w="674" w:type="dxa"/>
            <w:tcBorders>
              <w:top w:val="single" w:sz="6" w:space="0" w:color="000000"/>
              <w:left w:val="single" w:sz="6" w:space="0" w:color="000000"/>
              <w:right w:val="single" w:sz="6" w:space="0" w:color="000000"/>
            </w:tcBorders>
          </w:tcPr>
          <w:p>
            <w:pPr>
              <w:pStyle w:val="TableParagraph"/>
              <w:spacing w:before="22"/>
              <w:ind w:left="131"/>
              <w:jc w:val="left"/>
              <w:rPr>
                <w:rFonts w:ascii="宋体" w:eastAsia="宋体" w:hint="eastAsia"/>
                <w:sz w:val="21"/>
              </w:rPr>
            </w:pPr>
            <w:r>
              <w:rPr>
                <w:rFonts w:ascii="宋体" w:eastAsia="宋体" w:hint="eastAsia"/>
                <w:sz w:val="21"/>
              </w:rPr>
              <w:t>无害</w:t>
            </w:r>
          </w:p>
          <w:p>
            <w:pPr>
              <w:pStyle w:val="TableParagraph"/>
              <w:spacing w:before="43"/>
              <w:ind w:left="131"/>
              <w:jc w:val="left"/>
              <w:rPr>
                <w:rFonts w:ascii="宋体" w:eastAsia="宋体" w:hint="eastAsia"/>
                <w:sz w:val="21"/>
              </w:rPr>
            </w:pPr>
            <w:r>
              <w:rPr>
                <w:rFonts w:ascii="宋体" w:eastAsia="宋体" w:hint="eastAsia"/>
                <w:sz w:val="21"/>
              </w:rPr>
              <w:t>化综</w:t>
            </w:r>
          </w:p>
        </w:tc>
        <w:tc>
          <w:tcPr>
            <w:tcW w:w="4820" w:type="dxa"/>
            <w:tcBorders>
              <w:top w:val="single" w:sz="6" w:space="0" w:color="000000"/>
              <w:left w:val="single" w:sz="6" w:space="0" w:color="000000"/>
              <w:right w:val="single" w:sz="6" w:space="0" w:color="000000"/>
            </w:tcBorders>
          </w:tcPr>
          <w:p>
            <w:pPr>
              <w:pStyle w:val="TableParagraph"/>
              <w:spacing w:before="19"/>
              <w:ind w:left="113"/>
              <w:jc w:val="left"/>
              <w:rPr>
                <w:rFonts w:ascii="宋体" w:eastAsia="宋体" w:hint="eastAsia"/>
                <w:sz w:val="21"/>
              </w:rPr>
            </w:pPr>
            <w:r>
              <w:rPr>
                <w:sz w:val="21"/>
              </w:rPr>
              <w:t>1</w:t>
            </w:r>
            <w:r>
              <w:rPr>
                <w:rFonts w:ascii="宋体" w:eastAsia="宋体" w:hint="eastAsia"/>
                <w:position w:val="1"/>
                <w:sz w:val="21"/>
              </w:rPr>
              <w:t>、生猪粪污还田用作农作物肥料的，须经无害化</w:t>
            </w:r>
          </w:p>
          <w:p>
            <w:pPr>
              <w:pStyle w:val="TableParagraph"/>
              <w:spacing w:before="46"/>
              <w:ind w:left="113" w:right="-29"/>
              <w:jc w:val="left"/>
              <w:rPr>
                <w:rFonts w:ascii="宋体" w:eastAsia="宋体" w:hint="eastAsia"/>
                <w:sz w:val="21"/>
              </w:rPr>
            </w:pPr>
            <w:r>
              <w:rPr>
                <w:rFonts w:ascii="宋体" w:eastAsia="宋体" w:hint="eastAsia"/>
                <w:spacing w:val="-13"/>
                <w:sz w:val="21"/>
              </w:rPr>
              <w:t>处理。其中，养殖污水须经预处理后合理还田使用，</w:t>
            </w:r>
          </w:p>
        </w:tc>
        <w:tc>
          <w:tcPr>
            <w:tcW w:w="2552" w:type="dxa"/>
            <w:tcBorders>
              <w:top w:val="single" w:sz="6" w:space="0" w:color="000000"/>
              <w:left w:val="single" w:sz="6" w:space="0" w:color="000000"/>
              <w:right w:val="single" w:sz="6" w:space="0" w:color="000000"/>
            </w:tcBorders>
          </w:tcPr>
          <w:p>
            <w:pPr>
              <w:pStyle w:val="TableParagraph"/>
              <w:spacing w:before="22"/>
              <w:ind w:left="113"/>
              <w:jc w:val="left"/>
              <w:rPr>
                <w:rFonts w:ascii="宋体" w:eastAsia="宋体" w:hint="eastAsia"/>
                <w:sz w:val="21"/>
              </w:rPr>
            </w:pPr>
            <w:r>
              <w:rPr>
                <w:rFonts w:ascii="宋体" w:eastAsia="宋体" w:hint="eastAsia"/>
                <w:sz w:val="21"/>
              </w:rPr>
              <w:t>本项目废水经污水站处理</w:t>
            </w:r>
          </w:p>
          <w:p>
            <w:pPr>
              <w:pStyle w:val="TableParagraph"/>
              <w:spacing w:before="43"/>
              <w:ind w:left="113"/>
              <w:jc w:val="left"/>
              <w:rPr>
                <w:rFonts w:ascii="宋体" w:eastAsia="宋体" w:hint="eastAsia"/>
                <w:sz w:val="21"/>
              </w:rPr>
            </w:pPr>
            <w:r>
              <w:rPr>
                <w:rFonts w:ascii="宋体" w:eastAsia="宋体" w:hint="eastAsia"/>
                <w:sz w:val="21"/>
              </w:rPr>
              <w:t>达标后纳管排放。粪便经</w:t>
            </w:r>
          </w:p>
        </w:tc>
        <w:tc>
          <w:tcPr>
            <w:tcW w:w="958" w:type="dxa"/>
            <w:tcBorders>
              <w:top w:val="single" w:sz="6" w:space="0" w:color="000000"/>
              <w:left w:val="single" w:sz="6" w:space="0" w:color="000000"/>
            </w:tcBorders>
          </w:tcPr>
          <w:p>
            <w:pPr>
              <w:pStyle w:val="TableParagraph"/>
              <w:spacing w:before="178"/>
              <w:ind w:left="148" w:right="108"/>
              <w:rPr>
                <w:rFonts w:ascii="宋体" w:eastAsia="宋体" w:hint="eastAsia"/>
                <w:sz w:val="21"/>
              </w:rPr>
            </w:pPr>
            <w:r>
              <w:rPr>
                <w:rFonts w:ascii="宋体" w:eastAsia="宋体" w:hint="eastAsia"/>
                <w:sz w:val="21"/>
              </w:rPr>
              <w:t>符合</w:t>
            </w:r>
          </w:p>
        </w:tc>
      </w:tr>
    </w:tbl>
    <w:p>
      <w:pPr>
        <w:spacing w:after="0"/>
        <w:rPr>
          <w:rFonts w:ascii="宋体" w:eastAsia="宋体" w:hint="eastAsia"/>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674"/>
        <w:gridCol w:w="4820"/>
        <w:gridCol w:w="2552"/>
        <w:gridCol w:w="958"/>
      </w:tblGrid>
      <w:tr>
        <w:trPr>
          <w:trHeight w:val="311" w:hRule="atLeast"/>
        </w:trPr>
        <w:tc>
          <w:tcPr>
            <w:tcW w:w="5921" w:type="dxa"/>
            <w:gridSpan w:val="3"/>
            <w:tcBorders>
              <w:bottom w:val="single" w:sz="6" w:space="0" w:color="000000"/>
              <w:right w:val="single" w:sz="6" w:space="0" w:color="000000"/>
            </w:tcBorders>
          </w:tcPr>
          <w:p>
            <w:pPr>
              <w:pStyle w:val="TableParagraph"/>
              <w:spacing w:line="267" w:lineRule="exact" w:before="25"/>
              <w:ind w:left="2519" w:right="2495"/>
              <w:rPr>
                <w:rFonts w:ascii="宋体" w:eastAsia="宋体" w:hint="eastAsia"/>
                <w:b/>
                <w:sz w:val="21"/>
              </w:rPr>
            </w:pPr>
            <w:r>
              <w:rPr>
                <w:rFonts w:ascii="宋体" w:eastAsia="宋体" w:hint="eastAsia"/>
                <w:b/>
                <w:sz w:val="21"/>
              </w:rPr>
              <w:t>具体指标</w:t>
            </w:r>
          </w:p>
        </w:tc>
        <w:tc>
          <w:tcPr>
            <w:tcW w:w="2552" w:type="dxa"/>
            <w:tcBorders>
              <w:left w:val="single" w:sz="6" w:space="0" w:color="000000"/>
              <w:bottom w:val="single" w:sz="6" w:space="0" w:color="000000"/>
              <w:right w:val="single" w:sz="6" w:space="0" w:color="000000"/>
            </w:tcBorders>
          </w:tcPr>
          <w:p>
            <w:pPr>
              <w:pStyle w:val="TableParagraph"/>
              <w:spacing w:line="267" w:lineRule="exact" w:before="25"/>
              <w:ind w:left="754"/>
              <w:jc w:val="left"/>
              <w:rPr>
                <w:rFonts w:ascii="宋体" w:eastAsia="宋体" w:hint="eastAsia"/>
                <w:b/>
                <w:sz w:val="21"/>
              </w:rPr>
            </w:pPr>
            <w:r>
              <w:rPr>
                <w:rFonts w:ascii="宋体" w:eastAsia="宋体" w:hint="eastAsia"/>
                <w:b/>
                <w:sz w:val="21"/>
              </w:rPr>
              <w:t>本项目情况</w:t>
            </w:r>
          </w:p>
        </w:tc>
        <w:tc>
          <w:tcPr>
            <w:tcW w:w="958" w:type="dxa"/>
            <w:tcBorders>
              <w:left w:val="single" w:sz="6" w:space="0" w:color="000000"/>
              <w:bottom w:val="single" w:sz="6" w:space="0" w:color="000000"/>
            </w:tcBorders>
          </w:tcPr>
          <w:p>
            <w:pPr>
              <w:pStyle w:val="TableParagraph"/>
              <w:spacing w:line="267" w:lineRule="exact" w:before="25"/>
              <w:ind w:left="148" w:right="114"/>
              <w:rPr>
                <w:rFonts w:ascii="宋体" w:eastAsia="宋体" w:hint="eastAsia"/>
                <w:b/>
                <w:sz w:val="21"/>
              </w:rPr>
            </w:pPr>
            <w:r>
              <w:rPr>
                <w:rFonts w:ascii="宋体" w:eastAsia="宋体" w:hint="eastAsia"/>
                <w:b/>
                <w:sz w:val="21"/>
              </w:rPr>
              <w:t>符合性</w:t>
            </w:r>
          </w:p>
        </w:tc>
      </w:tr>
      <w:tr>
        <w:trPr>
          <w:trHeight w:val="618" w:hRule="atLeast"/>
        </w:trPr>
        <w:tc>
          <w:tcPr>
            <w:tcW w:w="427" w:type="dxa"/>
            <w:vMerge w:val="restart"/>
            <w:tcBorders>
              <w:top w:val="single" w:sz="6" w:space="0" w:color="000000"/>
              <w:right w:val="single" w:sz="6" w:space="0" w:color="000000"/>
            </w:tcBorders>
          </w:tcPr>
          <w:p>
            <w:pPr>
              <w:pStyle w:val="TableParagraph"/>
              <w:spacing w:line="278" w:lineRule="auto" w:before="25"/>
              <w:ind w:left="107" w:right="83"/>
              <w:jc w:val="both"/>
              <w:rPr>
                <w:rFonts w:ascii="宋体" w:eastAsia="宋体" w:hint="eastAsia"/>
                <w:sz w:val="21"/>
              </w:rPr>
            </w:pPr>
            <w:r>
              <w:rPr>
                <w:rFonts w:ascii="宋体" w:eastAsia="宋体" w:hint="eastAsia"/>
                <w:sz w:val="21"/>
              </w:rPr>
              <w:t>化综合利用和污染防治措施</w:t>
            </w:r>
          </w:p>
        </w:tc>
        <w:tc>
          <w:tcPr>
            <w:tcW w:w="674"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8" w:lineRule="auto" w:before="25"/>
              <w:ind w:left="235" w:right="102" w:hanging="104"/>
              <w:jc w:val="left"/>
              <w:rPr>
                <w:rFonts w:ascii="宋体" w:eastAsia="宋体" w:hint="eastAsia"/>
                <w:sz w:val="21"/>
              </w:rPr>
            </w:pPr>
            <w:r>
              <w:rPr>
                <w:rFonts w:ascii="宋体" w:eastAsia="宋体" w:hint="eastAsia"/>
                <w:sz w:val="21"/>
              </w:rPr>
              <w:t>合利用</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before="25"/>
              <w:ind w:left="113"/>
              <w:jc w:val="left"/>
              <w:rPr>
                <w:rFonts w:ascii="宋体" w:eastAsia="宋体" w:hint="eastAsia"/>
                <w:sz w:val="21"/>
              </w:rPr>
            </w:pPr>
            <w:r>
              <w:rPr>
                <w:rFonts w:ascii="宋体" w:eastAsia="宋体" w:hint="eastAsia"/>
                <w:spacing w:val="-5"/>
                <w:sz w:val="21"/>
              </w:rPr>
              <w:t>固体粪便应采用好氧堆肥技术，并符合《畜禽粪便</w:t>
            </w:r>
          </w:p>
          <w:p>
            <w:pPr>
              <w:pStyle w:val="TableParagraph"/>
              <w:spacing w:line="264" w:lineRule="exact" w:before="40"/>
              <w:ind w:left="113"/>
              <w:jc w:val="left"/>
              <w:rPr>
                <w:rFonts w:ascii="宋体" w:eastAsia="宋体" w:hint="eastAsia"/>
                <w:sz w:val="21"/>
              </w:rPr>
            </w:pPr>
            <w:r>
              <w:rPr>
                <w:rFonts w:ascii="宋体" w:eastAsia="宋体" w:hint="eastAsia"/>
                <w:spacing w:val="-3"/>
                <w:position w:val="1"/>
                <w:sz w:val="21"/>
              </w:rPr>
              <w:t>还田技术规范》</w:t>
            </w:r>
            <w:r>
              <w:rPr>
                <w:rFonts w:ascii="宋体" w:eastAsia="宋体" w:hint="eastAsia"/>
                <w:spacing w:val="-1"/>
                <w:position w:val="1"/>
                <w:sz w:val="21"/>
              </w:rPr>
              <w:t>（</w:t>
            </w:r>
            <w:r>
              <w:rPr>
                <w:spacing w:val="-1"/>
                <w:sz w:val="21"/>
              </w:rPr>
              <w:t>GB/T25246-2010</w:t>
            </w:r>
            <w:r>
              <w:rPr>
                <w:rFonts w:ascii="宋体" w:eastAsia="宋体" w:hint="eastAsia"/>
                <w:spacing w:val="-1"/>
                <w:position w:val="1"/>
                <w:sz w:val="21"/>
              </w:rPr>
              <w:t>）</w:t>
            </w:r>
            <w:r>
              <w:rPr>
                <w:rFonts w:ascii="宋体" w:eastAsia="宋体" w:hint="eastAsia"/>
                <w:spacing w:val="-3"/>
                <w:position w:val="1"/>
                <w:sz w:val="21"/>
              </w:rPr>
              <w:t>的相关要求。</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25"/>
              <w:ind w:left="113"/>
              <w:jc w:val="left"/>
              <w:rPr>
                <w:rFonts w:ascii="宋体" w:eastAsia="宋体" w:hint="eastAsia"/>
                <w:sz w:val="21"/>
              </w:rPr>
            </w:pPr>
            <w:r>
              <w:rPr>
                <w:rFonts w:ascii="宋体" w:eastAsia="宋体" w:hint="eastAsia"/>
                <w:sz w:val="21"/>
              </w:rPr>
              <w:t>发酵处理后外运生产有机</w:t>
            </w:r>
          </w:p>
          <w:p>
            <w:pPr>
              <w:pStyle w:val="TableParagraph"/>
              <w:spacing w:line="261" w:lineRule="exact" w:before="43"/>
              <w:ind w:left="113"/>
              <w:jc w:val="left"/>
              <w:rPr>
                <w:rFonts w:ascii="宋体" w:eastAsia="宋体" w:hint="eastAsia"/>
                <w:sz w:val="21"/>
              </w:rPr>
            </w:pPr>
            <w:r>
              <w:rPr>
                <w:rFonts w:ascii="宋体" w:eastAsia="宋体" w:hint="eastAsia"/>
                <w:sz w:val="21"/>
              </w:rPr>
              <w:t>肥。</w:t>
            </w:r>
          </w:p>
        </w:tc>
        <w:tc>
          <w:tcPr>
            <w:tcW w:w="958" w:type="dxa"/>
            <w:tcBorders>
              <w:top w:val="single" w:sz="6" w:space="0" w:color="000000"/>
              <w:left w:val="single" w:sz="6" w:space="0" w:color="000000"/>
              <w:bottom w:val="single" w:sz="6" w:space="0" w:color="000000"/>
            </w:tcBorders>
          </w:tcPr>
          <w:p>
            <w:pPr>
              <w:pStyle w:val="TableParagraph"/>
              <w:spacing w:before="0"/>
              <w:jc w:val="left"/>
              <w:rPr>
                <w:sz w:val="20"/>
              </w:rPr>
            </w:pPr>
          </w:p>
        </w:tc>
      </w:tr>
      <w:tr>
        <w:trPr>
          <w:trHeight w:val="1856"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2"/>
              <w:ind w:left="113" w:right="83"/>
              <w:jc w:val="both"/>
              <w:rPr>
                <w:rFonts w:ascii="宋体" w:eastAsia="宋体" w:hint="eastAsia"/>
                <w:sz w:val="21"/>
              </w:rPr>
            </w:pPr>
            <w:r>
              <w:rPr>
                <w:spacing w:val="4"/>
                <w:sz w:val="21"/>
              </w:rPr>
              <w:t>2</w:t>
            </w:r>
            <w:r>
              <w:rPr>
                <w:rFonts w:ascii="宋体" w:eastAsia="宋体" w:hint="eastAsia"/>
                <w:position w:val="1"/>
                <w:sz w:val="21"/>
              </w:rPr>
              <w:t>、采用自行消纳养殖废弃物的养殖场应有稳定且</w:t>
            </w:r>
            <w:r>
              <w:rPr>
                <w:rFonts w:ascii="宋体" w:eastAsia="宋体" w:hint="eastAsia"/>
                <w:spacing w:val="-5"/>
                <w:sz w:val="21"/>
              </w:rPr>
              <w:t>匹配的农田、园地、林地等消纳地。消纳地应配套设置田间储存池、沼液运输车、输送管道、浇灌设</w:t>
            </w:r>
            <w:r>
              <w:rPr>
                <w:rFonts w:ascii="宋体" w:eastAsia="宋体" w:hint="eastAsia"/>
                <w:spacing w:val="-7"/>
                <w:sz w:val="21"/>
              </w:rPr>
              <w:t>施等设施设备。田间储存池总容积不得低于当地农</w:t>
            </w:r>
            <w:r>
              <w:rPr>
                <w:rFonts w:ascii="宋体" w:eastAsia="宋体" w:hint="eastAsia"/>
                <w:spacing w:val="5"/>
                <w:sz w:val="21"/>
              </w:rPr>
              <w:t>林作物生产用肥的最大间隔时间内养殖场排放沼</w:t>
            </w:r>
          </w:p>
          <w:p>
            <w:pPr>
              <w:pStyle w:val="TableParagraph"/>
              <w:spacing w:line="261" w:lineRule="exact" w:before="2"/>
              <w:ind w:left="113"/>
              <w:jc w:val="left"/>
              <w:rPr>
                <w:rFonts w:ascii="宋体" w:eastAsia="宋体" w:hint="eastAsia"/>
                <w:sz w:val="21"/>
              </w:rPr>
            </w:pPr>
            <w:r>
              <w:rPr>
                <w:rFonts w:ascii="宋体" w:eastAsia="宋体" w:hint="eastAsia"/>
                <w:sz w:val="21"/>
              </w:rPr>
              <w:t>液（含粪肥）的总量。</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1"/>
              <w:ind w:left="113" w:right="83"/>
              <w:jc w:val="both"/>
              <w:rPr>
                <w:rFonts w:ascii="宋体" w:eastAsia="宋体" w:hint="eastAsia"/>
                <w:sz w:val="21"/>
              </w:rPr>
            </w:pPr>
            <w:r>
              <w:rPr>
                <w:rFonts w:ascii="宋体" w:eastAsia="宋体" w:hint="eastAsia"/>
                <w:sz w:val="21"/>
              </w:rPr>
              <w:t>本项目养殖废弃物均不自行消纳，其中废水经处理达标后全部纳管，粪便经发酵处理后外运生产有机肥。</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2"/>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1545"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2"/>
              <w:ind w:left="113" w:right="83"/>
              <w:jc w:val="both"/>
              <w:rPr>
                <w:rFonts w:ascii="宋体" w:eastAsia="宋体" w:hint="eastAsia"/>
                <w:sz w:val="21"/>
              </w:rPr>
            </w:pPr>
            <w:r>
              <w:rPr>
                <w:spacing w:val="4"/>
                <w:sz w:val="21"/>
              </w:rPr>
              <w:t>3</w:t>
            </w:r>
            <w:r>
              <w:rPr>
                <w:rFonts w:ascii="宋体" w:eastAsia="宋体" w:hint="eastAsia"/>
                <w:position w:val="1"/>
                <w:sz w:val="21"/>
              </w:rPr>
              <w:t>、不能自行消纳自身养殖废弃物的养殖场，粪肥</w:t>
            </w:r>
            <w:r>
              <w:rPr>
                <w:rFonts w:ascii="宋体" w:eastAsia="宋体" w:hint="eastAsia"/>
                <w:spacing w:val="-6"/>
                <w:sz w:val="21"/>
              </w:rPr>
              <w:t>处理利用涉及养殖、种植不同主体或其它加工服务</w:t>
            </w:r>
            <w:r>
              <w:rPr>
                <w:rFonts w:ascii="宋体" w:eastAsia="宋体" w:hint="eastAsia"/>
                <w:spacing w:val="-5"/>
                <w:sz w:val="21"/>
              </w:rPr>
              <w:t>组织进行委托综合利用的</w:t>
            </w:r>
            <w:r>
              <w:rPr>
                <w:rFonts w:ascii="宋体" w:eastAsia="宋体" w:hint="eastAsia"/>
                <w:sz w:val="21"/>
              </w:rPr>
              <w:t>（</w:t>
            </w:r>
            <w:r>
              <w:rPr>
                <w:rFonts w:ascii="宋体" w:eastAsia="宋体" w:hint="eastAsia"/>
                <w:spacing w:val="-4"/>
                <w:sz w:val="21"/>
              </w:rPr>
              <w:t>如畜禽粪便收集处理中</w:t>
            </w:r>
            <w:r>
              <w:rPr>
                <w:rFonts w:ascii="宋体" w:eastAsia="宋体" w:hint="eastAsia"/>
                <w:spacing w:val="-3"/>
                <w:sz w:val="21"/>
              </w:rPr>
              <w:t>心、沼液配送服务等</w:t>
            </w:r>
            <w:r>
              <w:rPr>
                <w:rFonts w:ascii="宋体" w:eastAsia="宋体" w:hint="eastAsia"/>
                <w:spacing w:val="-8"/>
                <w:sz w:val="21"/>
              </w:rPr>
              <w:t>），</w:t>
            </w:r>
            <w:r>
              <w:rPr>
                <w:rFonts w:ascii="宋体" w:eastAsia="宋体" w:hint="eastAsia"/>
                <w:spacing w:val="-3"/>
                <w:sz w:val="21"/>
              </w:rPr>
              <w:t>必须签订消纳对接协议或</w:t>
            </w:r>
          </w:p>
          <w:p>
            <w:pPr>
              <w:pStyle w:val="TableParagraph"/>
              <w:spacing w:line="261" w:lineRule="exact" w:before="3"/>
              <w:ind w:left="113"/>
              <w:jc w:val="left"/>
              <w:rPr>
                <w:rFonts w:ascii="宋体" w:eastAsia="宋体" w:hint="eastAsia"/>
                <w:sz w:val="21"/>
              </w:rPr>
            </w:pPr>
            <w:r>
              <w:rPr>
                <w:rFonts w:ascii="宋体" w:eastAsia="宋体" w:hint="eastAsia"/>
                <w:sz w:val="21"/>
              </w:rPr>
              <w:t>委托处理利用合同，明确双方职责。</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5"/>
              <w:ind w:left="113" w:right="83"/>
              <w:jc w:val="both"/>
              <w:rPr>
                <w:rFonts w:ascii="宋体" w:eastAsia="宋体" w:hint="eastAsia"/>
                <w:sz w:val="21"/>
              </w:rPr>
            </w:pPr>
            <w:r>
              <w:rPr>
                <w:rFonts w:ascii="宋体" w:eastAsia="宋体" w:hint="eastAsia"/>
                <w:sz w:val="21"/>
              </w:rPr>
              <w:t>本项目粪便经发酵处理后外运生产有机肥（详见附件八），废水经处理达标后纳入市政污水管网（详</w:t>
            </w:r>
          </w:p>
          <w:p>
            <w:pPr>
              <w:pStyle w:val="TableParagraph"/>
              <w:spacing w:line="261" w:lineRule="exact" w:before="0"/>
              <w:ind w:left="113"/>
              <w:jc w:val="left"/>
              <w:rPr>
                <w:rFonts w:ascii="宋体" w:eastAsia="宋体" w:hint="eastAsia"/>
                <w:sz w:val="21"/>
              </w:rPr>
            </w:pPr>
            <w:r>
              <w:rPr>
                <w:rFonts w:ascii="宋体" w:eastAsia="宋体" w:hint="eastAsia"/>
                <w:sz w:val="21"/>
              </w:rPr>
              <w:t>见附件七）。</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1"/>
              <w:jc w:val="left"/>
              <w:rPr>
                <w:rFonts w:ascii="宋体"/>
                <w:b/>
                <w:sz w:val="29"/>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920" w:hRule="atLeast"/>
        </w:trPr>
        <w:tc>
          <w:tcPr>
            <w:tcW w:w="427" w:type="dxa"/>
            <w:vMerge/>
            <w:tcBorders>
              <w:top w:val="nil"/>
              <w:right w:val="single" w:sz="6" w:space="0" w:color="000000"/>
            </w:tcBorders>
          </w:tcPr>
          <w:p>
            <w:pPr>
              <w:rPr>
                <w:sz w:val="2"/>
                <w:szCs w:val="2"/>
              </w:rPr>
            </w:pPr>
          </w:p>
        </w:tc>
        <w:tc>
          <w:tcPr>
            <w:tcW w:w="674"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7"/>
              </w:rPr>
            </w:pPr>
          </w:p>
          <w:p>
            <w:pPr>
              <w:pStyle w:val="TableParagraph"/>
              <w:spacing w:line="278" w:lineRule="auto" w:before="0"/>
              <w:ind w:left="131" w:right="102"/>
              <w:jc w:val="both"/>
              <w:rPr>
                <w:rFonts w:ascii="宋体" w:eastAsia="宋体" w:hint="eastAsia"/>
                <w:sz w:val="21"/>
              </w:rPr>
            </w:pPr>
            <w:r>
              <w:rPr>
                <w:rFonts w:ascii="宋体" w:eastAsia="宋体" w:hint="eastAsia"/>
                <w:sz w:val="21"/>
              </w:rPr>
              <w:t>水污染防治措施</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2"/>
              <w:ind w:left="113" w:right="37"/>
              <w:jc w:val="left"/>
              <w:rPr>
                <w:rFonts w:ascii="宋体" w:eastAsia="宋体" w:hint="eastAsia"/>
                <w:sz w:val="21"/>
              </w:rPr>
            </w:pPr>
            <w:r>
              <w:rPr>
                <w:sz w:val="21"/>
              </w:rPr>
              <w:t>1</w:t>
            </w:r>
            <w:r>
              <w:rPr>
                <w:rFonts w:ascii="宋体" w:eastAsia="宋体" w:hint="eastAsia"/>
                <w:position w:val="1"/>
                <w:sz w:val="21"/>
              </w:rPr>
              <w:t>、养殖场的排水系统须实行雨水和污水收集输送</w:t>
            </w:r>
            <w:r>
              <w:rPr>
                <w:rFonts w:ascii="宋体" w:eastAsia="宋体" w:hint="eastAsia"/>
                <w:sz w:val="21"/>
              </w:rPr>
              <w:t>系统分离，场区内外污水收集输送系统应采取暗沟</w:t>
            </w:r>
          </w:p>
          <w:p>
            <w:pPr>
              <w:pStyle w:val="TableParagraph"/>
              <w:spacing w:line="259" w:lineRule="exact" w:before="0"/>
              <w:ind w:left="113"/>
              <w:jc w:val="left"/>
              <w:rPr>
                <w:rFonts w:ascii="宋体" w:eastAsia="宋体" w:hint="eastAsia"/>
                <w:sz w:val="21"/>
              </w:rPr>
            </w:pPr>
            <w:r>
              <w:rPr>
                <w:rFonts w:ascii="宋体" w:eastAsia="宋体" w:hint="eastAsia"/>
                <w:sz w:val="21"/>
              </w:rPr>
              <w:t>布设。</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5"/>
              <w:ind w:left="113"/>
              <w:jc w:val="left"/>
              <w:rPr>
                <w:rFonts w:ascii="宋体" w:eastAsia="宋体" w:hint="eastAsia"/>
                <w:sz w:val="21"/>
              </w:rPr>
            </w:pPr>
            <w:r>
              <w:rPr>
                <w:rFonts w:ascii="宋体" w:eastAsia="宋体" w:hint="eastAsia"/>
                <w:sz w:val="21"/>
              </w:rPr>
              <w:t>项目实行雨污分流，场区</w:t>
            </w:r>
          </w:p>
          <w:p>
            <w:pPr>
              <w:pStyle w:val="TableParagraph"/>
              <w:spacing w:line="310" w:lineRule="atLeast" w:before="2"/>
              <w:ind w:left="113" w:right="85"/>
              <w:jc w:val="left"/>
              <w:rPr>
                <w:rFonts w:ascii="宋体" w:eastAsia="宋体" w:hint="eastAsia"/>
                <w:sz w:val="21"/>
              </w:rPr>
            </w:pPr>
            <w:r>
              <w:rPr>
                <w:rFonts w:ascii="宋体" w:eastAsia="宋体" w:hint="eastAsia"/>
                <w:sz w:val="21"/>
              </w:rPr>
              <w:t>内外污水收集输送系统采取暗沟布设。</w:t>
            </w:r>
          </w:p>
        </w:tc>
        <w:tc>
          <w:tcPr>
            <w:tcW w:w="958" w:type="dxa"/>
            <w:tcBorders>
              <w:top w:val="single" w:sz="6" w:space="0" w:color="000000"/>
              <w:left w:val="single" w:sz="6" w:space="0" w:color="000000"/>
              <w:bottom w:val="single" w:sz="6" w:space="0" w:color="000000"/>
            </w:tcBorders>
          </w:tcPr>
          <w:p>
            <w:pPr>
              <w:pStyle w:val="TableParagraph"/>
              <w:spacing w:before="6"/>
              <w:jc w:val="left"/>
              <w:rPr>
                <w:rFonts w:ascii="宋体"/>
                <w:b/>
                <w:sz w:val="25"/>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610"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before="14"/>
              <w:ind w:left="113"/>
              <w:jc w:val="left"/>
              <w:rPr>
                <w:rFonts w:ascii="宋体" w:eastAsia="宋体" w:hint="eastAsia"/>
                <w:sz w:val="21"/>
              </w:rPr>
            </w:pPr>
            <w:r>
              <w:rPr>
                <w:sz w:val="21"/>
              </w:rPr>
              <w:t>2</w:t>
            </w:r>
            <w:r>
              <w:rPr>
                <w:rFonts w:ascii="宋体" w:eastAsia="宋体" w:hint="eastAsia"/>
                <w:position w:val="1"/>
                <w:sz w:val="21"/>
              </w:rPr>
              <w:t>、养殖场的污水应配套有效的预处理或深度处理</w:t>
            </w:r>
          </w:p>
          <w:p>
            <w:pPr>
              <w:pStyle w:val="TableParagraph"/>
              <w:spacing w:line="261" w:lineRule="exact" w:before="46"/>
              <w:ind w:left="113"/>
              <w:jc w:val="left"/>
              <w:rPr>
                <w:rFonts w:ascii="宋体" w:eastAsia="宋体" w:hint="eastAsia"/>
                <w:sz w:val="21"/>
              </w:rPr>
            </w:pPr>
            <w:r>
              <w:rPr>
                <w:rFonts w:ascii="宋体" w:eastAsia="宋体" w:hint="eastAsia"/>
                <w:sz w:val="21"/>
              </w:rPr>
              <w:t>设施。</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7"/>
              <w:ind w:left="113"/>
              <w:jc w:val="left"/>
              <w:rPr>
                <w:rFonts w:ascii="宋体" w:eastAsia="宋体" w:hint="eastAsia"/>
                <w:sz w:val="21"/>
              </w:rPr>
            </w:pPr>
            <w:r>
              <w:rPr>
                <w:rFonts w:ascii="宋体" w:eastAsia="宋体" w:hint="eastAsia"/>
                <w:sz w:val="21"/>
              </w:rPr>
              <w:t>项目配套建设的污水处理</w:t>
            </w:r>
          </w:p>
          <w:p>
            <w:pPr>
              <w:pStyle w:val="TableParagraph"/>
              <w:spacing w:line="261" w:lineRule="exact" w:before="43"/>
              <w:ind w:left="113"/>
              <w:jc w:val="left"/>
              <w:rPr>
                <w:rFonts w:ascii="宋体" w:eastAsia="宋体" w:hint="eastAsia"/>
                <w:sz w:val="21"/>
              </w:rPr>
            </w:pPr>
            <w:r>
              <w:rPr>
                <w:rFonts w:ascii="宋体" w:eastAsia="宋体" w:hint="eastAsia"/>
                <w:sz w:val="21"/>
              </w:rPr>
              <w:t>站处理能力满足要求。</w:t>
            </w:r>
          </w:p>
        </w:tc>
        <w:tc>
          <w:tcPr>
            <w:tcW w:w="958" w:type="dxa"/>
            <w:tcBorders>
              <w:top w:val="single" w:sz="6" w:space="0" w:color="000000"/>
              <w:left w:val="single" w:sz="6" w:space="0" w:color="000000"/>
              <w:bottom w:val="single" w:sz="6" w:space="0" w:color="000000"/>
            </w:tcBorders>
          </w:tcPr>
          <w:p>
            <w:pPr>
              <w:pStyle w:val="TableParagraph"/>
              <w:spacing w:before="173"/>
              <w:ind w:left="148" w:right="108"/>
              <w:rPr>
                <w:rFonts w:ascii="宋体" w:eastAsia="宋体" w:hint="eastAsia"/>
                <w:sz w:val="21"/>
              </w:rPr>
            </w:pPr>
            <w:r>
              <w:rPr>
                <w:rFonts w:ascii="宋体" w:eastAsia="宋体" w:hint="eastAsia"/>
                <w:sz w:val="21"/>
              </w:rPr>
              <w:t>符合</w:t>
            </w:r>
          </w:p>
        </w:tc>
      </w:tr>
      <w:tr>
        <w:trPr>
          <w:trHeight w:val="3104"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2"/>
              <w:ind w:left="113" w:right="-29"/>
              <w:jc w:val="left"/>
              <w:rPr>
                <w:rFonts w:ascii="宋体" w:eastAsia="宋体" w:hint="eastAsia"/>
                <w:sz w:val="21"/>
              </w:rPr>
            </w:pPr>
            <w:r>
              <w:rPr>
                <w:spacing w:val="4"/>
                <w:sz w:val="21"/>
              </w:rPr>
              <w:t>3</w:t>
            </w:r>
            <w:r>
              <w:rPr>
                <w:rFonts w:ascii="宋体" w:eastAsia="宋体" w:hint="eastAsia"/>
                <w:position w:val="1"/>
                <w:sz w:val="21"/>
              </w:rPr>
              <w:t>、养殖场废水应处理后达标排放。对用于农业灌</w:t>
            </w:r>
            <w:r>
              <w:rPr>
                <w:rFonts w:ascii="宋体" w:eastAsia="宋体" w:hint="eastAsia"/>
                <w:spacing w:val="-7"/>
                <w:position w:val="1"/>
                <w:sz w:val="21"/>
              </w:rPr>
              <w:t>溉的应处理达到《农田灌溉水质标准》</w:t>
            </w:r>
            <w:r>
              <w:rPr>
                <w:rFonts w:ascii="宋体" w:eastAsia="宋体" w:hint="eastAsia"/>
                <w:position w:val="1"/>
                <w:sz w:val="21"/>
              </w:rPr>
              <w:t>（</w:t>
            </w:r>
            <w:r>
              <w:rPr>
                <w:sz w:val="21"/>
              </w:rPr>
              <w:t>GB</w:t>
            </w:r>
            <w:r>
              <w:rPr>
                <w:spacing w:val="14"/>
                <w:sz w:val="21"/>
              </w:rPr>
              <w:t> </w:t>
            </w:r>
            <w:r>
              <w:rPr>
                <w:sz w:val="21"/>
              </w:rPr>
              <w:t>5084</w:t>
            </w:r>
            <w:r>
              <w:rPr>
                <w:rFonts w:ascii="宋体" w:eastAsia="宋体" w:hint="eastAsia"/>
                <w:position w:val="1"/>
                <w:sz w:val="21"/>
              </w:rPr>
              <w:t>） </w:t>
            </w:r>
            <w:r>
              <w:rPr>
                <w:rFonts w:ascii="宋体" w:eastAsia="宋体" w:hint="eastAsia"/>
                <w:spacing w:val="-5"/>
                <w:sz w:val="21"/>
              </w:rPr>
              <w:t>要求；纳入市政污水管网的，需经处理满足《污水</w:t>
            </w:r>
            <w:r>
              <w:rPr>
                <w:rFonts w:ascii="宋体" w:eastAsia="宋体" w:hint="eastAsia"/>
                <w:spacing w:val="-4"/>
                <w:position w:val="1"/>
                <w:sz w:val="21"/>
              </w:rPr>
              <w:t>综合排放标准》</w:t>
            </w:r>
            <w:r>
              <w:rPr>
                <w:rFonts w:ascii="宋体" w:eastAsia="宋体" w:hint="eastAsia"/>
                <w:position w:val="1"/>
                <w:sz w:val="21"/>
              </w:rPr>
              <w:t>（</w:t>
            </w:r>
            <w:r>
              <w:rPr>
                <w:sz w:val="21"/>
              </w:rPr>
              <w:t>GB</w:t>
            </w:r>
            <w:r>
              <w:rPr>
                <w:spacing w:val="7"/>
                <w:sz w:val="21"/>
              </w:rPr>
              <w:t> </w:t>
            </w:r>
            <w:r>
              <w:rPr>
                <w:sz w:val="21"/>
              </w:rPr>
              <w:t>8978</w:t>
            </w:r>
            <w:r>
              <w:rPr>
                <w:rFonts w:ascii="宋体" w:eastAsia="宋体" w:hint="eastAsia"/>
                <w:position w:val="1"/>
                <w:sz w:val="21"/>
              </w:rPr>
              <w:t>）</w:t>
            </w:r>
            <w:r>
              <w:rPr>
                <w:rFonts w:ascii="宋体" w:eastAsia="宋体" w:hint="eastAsia"/>
                <w:spacing w:val="-3"/>
                <w:position w:val="1"/>
                <w:sz w:val="21"/>
              </w:rPr>
              <w:t>三级标准要求；不能</w:t>
            </w:r>
            <w:r>
              <w:rPr>
                <w:rFonts w:ascii="宋体" w:eastAsia="宋体" w:hint="eastAsia"/>
                <w:spacing w:val="-6"/>
                <w:sz w:val="21"/>
              </w:rPr>
              <w:t>纳管的，环境敏感区域</w:t>
            </w:r>
            <w:r>
              <w:rPr>
                <w:rFonts w:ascii="宋体" w:eastAsia="宋体" w:hint="eastAsia"/>
                <w:spacing w:val="-3"/>
                <w:sz w:val="21"/>
              </w:rPr>
              <w:t>（含养殖总量超过环境承载</w:t>
            </w:r>
            <w:r>
              <w:rPr>
                <w:rFonts w:ascii="宋体" w:eastAsia="宋体" w:hint="eastAsia"/>
                <w:spacing w:val="-5"/>
                <w:sz w:val="21"/>
              </w:rPr>
              <w:t>能力、环境功能区未达标等区域</w:t>
            </w:r>
            <w:r>
              <w:rPr>
                <w:rFonts w:ascii="宋体" w:eastAsia="宋体" w:hint="eastAsia"/>
                <w:spacing w:val="-10"/>
                <w:sz w:val="21"/>
              </w:rPr>
              <w:t>）</w:t>
            </w:r>
            <w:r>
              <w:rPr>
                <w:rFonts w:ascii="宋体" w:eastAsia="宋体" w:hint="eastAsia"/>
                <w:spacing w:val="-3"/>
                <w:sz w:val="21"/>
              </w:rPr>
              <w:t>须经深度处理满</w:t>
            </w:r>
            <w:r>
              <w:rPr>
                <w:rFonts w:ascii="宋体" w:eastAsia="宋体" w:hint="eastAsia"/>
                <w:spacing w:val="-3"/>
                <w:position w:val="1"/>
                <w:sz w:val="21"/>
              </w:rPr>
              <w:t>足《污水综合排放标准》</w:t>
            </w:r>
            <w:r>
              <w:rPr>
                <w:rFonts w:ascii="宋体" w:eastAsia="宋体" w:hint="eastAsia"/>
                <w:position w:val="1"/>
                <w:sz w:val="21"/>
              </w:rPr>
              <w:t>（</w:t>
            </w:r>
            <w:r>
              <w:rPr>
                <w:sz w:val="21"/>
              </w:rPr>
              <w:t>GB</w:t>
            </w:r>
            <w:r>
              <w:rPr>
                <w:spacing w:val="9"/>
                <w:sz w:val="21"/>
              </w:rPr>
              <w:t> </w:t>
            </w:r>
            <w:r>
              <w:rPr>
                <w:sz w:val="21"/>
              </w:rPr>
              <w:t>8978</w:t>
            </w:r>
            <w:r>
              <w:rPr>
                <w:rFonts w:ascii="宋体" w:eastAsia="宋体" w:hint="eastAsia"/>
                <w:position w:val="1"/>
                <w:sz w:val="21"/>
              </w:rPr>
              <w:t>）</w:t>
            </w:r>
            <w:r>
              <w:rPr>
                <w:rFonts w:ascii="宋体" w:eastAsia="宋体" w:hint="eastAsia"/>
                <w:spacing w:val="-3"/>
                <w:position w:val="1"/>
                <w:sz w:val="21"/>
              </w:rPr>
              <w:t>相应标准要</w:t>
            </w:r>
            <w:r>
              <w:rPr>
                <w:rFonts w:ascii="宋体" w:eastAsia="宋体" w:hint="eastAsia"/>
                <w:spacing w:val="-3"/>
                <w:sz w:val="21"/>
              </w:rPr>
              <w:t>求；其他区域执行《畜禽养殖业污染物排放标准》</w:t>
            </w:r>
          </w:p>
          <w:p>
            <w:pPr>
              <w:pStyle w:val="TableParagraph"/>
              <w:spacing w:line="269" w:lineRule="exact" w:before="0"/>
              <w:ind w:left="113"/>
              <w:jc w:val="left"/>
              <w:rPr>
                <w:rFonts w:ascii="宋体" w:eastAsia="宋体" w:hint="eastAsia"/>
                <w:sz w:val="21"/>
              </w:rPr>
            </w:pPr>
            <w:r>
              <w:rPr>
                <w:rFonts w:ascii="宋体" w:eastAsia="宋体" w:hint="eastAsia"/>
                <w:position w:val="1"/>
                <w:sz w:val="21"/>
              </w:rPr>
              <w:t>（</w:t>
            </w:r>
            <w:r>
              <w:rPr>
                <w:sz w:val="21"/>
              </w:rPr>
              <w:t>DB</w:t>
            </w:r>
            <w:r>
              <w:rPr>
                <w:spacing w:val="24"/>
                <w:sz w:val="21"/>
              </w:rPr>
              <w:t> </w:t>
            </w:r>
            <w:r>
              <w:rPr>
                <w:spacing w:val="-10"/>
                <w:sz w:val="21"/>
              </w:rPr>
              <w:t>33/593</w:t>
            </w:r>
            <w:r>
              <w:rPr>
                <w:rFonts w:ascii="宋体" w:eastAsia="宋体" w:hint="eastAsia"/>
                <w:spacing w:val="-10"/>
                <w:position w:val="1"/>
                <w:sz w:val="21"/>
              </w:rPr>
              <w:t>）</w:t>
            </w:r>
            <w:r>
              <w:rPr>
                <w:rFonts w:ascii="宋体" w:eastAsia="宋体" w:hint="eastAsia"/>
                <w:spacing w:val="-7"/>
                <w:position w:val="1"/>
                <w:sz w:val="21"/>
              </w:rPr>
              <w:t>，鼓励有条件的养殖场执行《污水综</w:t>
            </w:r>
          </w:p>
          <w:p>
            <w:pPr>
              <w:pStyle w:val="TableParagraph"/>
              <w:spacing w:line="264" w:lineRule="exact" w:before="43"/>
              <w:ind w:left="113"/>
              <w:jc w:val="left"/>
              <w:rPr>
                <w:rFonts w:ascii="宋体" w:eastAsia="宋体" w:hint="eastAsia"/>
                <w:sz w:val="21"/>
              </w:rPr>
            </w:pPr>
            <w:r>
              <w:rPr>
                <w:rFonts w:ascii="宋体" w:eastAsia="宋体" w:hint="eastAsia"/>
                <w:position w:val="1"/>
                <w:sz w:val="21"/>
              </w:rPr>
              <w:t>合排放标准》（</w:t>
            </w:r>
            <w:r>
              <w:rPr>
                <w:sz w:val="21"/>
              </w:rPr>
              <w:t>GB 8978</w:t>
            </w:r>
            <w:r>
              <w:rPr>
                <w:rFonts w:ascii="宋体" w:eastAsia="宋体" w:hint="eastAsia"/>
                <w:position w:val="1"/>
                <w:sz w:val="21"/>
              </w:rPr>
              <w:t>）相应标准要求。</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1"/>
              <w:ind w:left="113" w:right="-29"/>
              <w:jc w:val="both"/>
              <w:rPr>
                <w:rFonts w:ascii="宋体" w:eastAsia="宋体" w:hint="eastAsia"/>
                <w:sz w:val="21"/>
              </w:rPr>
            </w:pPr>
            <w:r>
              <w:rPr>
                <w:rFonts w:ascii="宋体" w:eastAsia="宋体" w:hint="eastAsia"/>
                <w:sz w:val="21"/>
              </w:rPr>
              <w:t>本项目废水经处理达标后全部纳入市政污水管网， 纳管废水水质执行《污水</w:t>
            </w:r>
            <w:r>
              <w:rPr>
                <w:rFonts w:ascii="宋体" w:eastAsia="宋体" w:hint="eastAsia"/>
                <w:spacing w:val="43"/>
                <w:position w:val="1"/>
                <w:sz w:val="21"/>
              </w:rPr>
              <w:t>综合排放标准》</w:t>
            </w:r>
            <w:r>
              <w:rPr>
                <w:rFonts w:ascii="宋体" w:eastAsia="宋体" w:hint="eastAsia"/>
                <w:position w:val="1"/>
                <w:sz w:val="21"/>
              </w:rPr>
              <w:t>（</w:t>
            </w:r>
            <w:r>
              <w:rPr>
                <w:rFonts w:ascii="宋体" w:eastAsia="宋体" w:hint="eastAsia"/>
                <w:spacing w:val="-59"/>
                <w:position w:val="1"/>
                <w:sz w:val="21"/>
              </w:rPr>
              <w:t> </w:t>
            </w:r>
            <w:r>
              <w:rPr>
                <w:sz w:val="21"/>
              </w:rPr>
              <w:t>GB </w:t>
            </w:r>
            <w:r>
              <w:rPr>
                <w:spacing w:val="-3"/>
                <w:sz w:val="21"/>
              </w:rPr>
              <w:t>8978-1996</w:t>
            </w:r>
            <w:r>
              <w:rPr>
                <w:rFonts w:ascii="宋体" w:eastAsia="宋体" w:hint="eastAsia"/>
                <w:spacing w:val="-3"/>
                <w:position w:val="1"/>
                <w:sz w:val="21"/>
              </w:rPr>
              <w:t>）</w:t>
            </w:r>
            <w:r>
              <w:rPr>
                <w:rFonts w:ascii="宋体" w:eastAsia="宋体" w:hint="eastAsia"/>
                <w:spacing w:val="-8"/>
                <w:position w:val="1"/>
                <w:sz w:val="21"/>
              </w:rPr>
              <w:t>三级标准</w:t>
            </w:r>
            <w:r>
              <w:rPr>
                <w:rFonts w:ascii="宋体" w:eastAsia="宋体" w:hint="eastAsia"/>
                <w:spacing w:val="-3"/>
                <w:position w:val="1"/>
                <w:sz w:val="21"/>
              </w:rPr>
              <w:t>（</w:t>
            </w:r>
            <w:r>
              <w:rPr>
                <w:rFonts w:ascii="宋体" w:eastAsia="宋体" w:hint="eastAsia"/>
                <w:position w:val="1"/>
                <w:sz w:val="21"/>
              </w:rPr>
              <w:t>氨</w:t>
            </w:r>
            <w:r>
              <w:rPr>
                <w:rFonts w:ascii="宋体" w:eastAsia="宋体" w:hint="eastAsia"/>
                <w:sz w:val="21"/>
              </w:rPr>
              <w:t>氮、总磷、粪大肠菌群数执行《浙江省畜禽养殖业</w:t>
            </w:r>
            <w:r>
              <w:rPr>
                <w:rFonts w:ascii="宋体" w:eastAsia="宋体" w:hint="eastAsia"/>
                <w:spacing w:val="14"/>
                <w:position w:val="1"/>
                <w:sz w:val="21"/>
              </w:rPr>
              <w:t>污染物排放标准》</w:t>
            </w:r>
            <w:r>
              <w:rPr>
                <w:rFonts w:ascii="宋体" w:eastAsia="宋体" w:hint="eastAsia"/>
                <w:spacing w:val="4"/>
                <w:position w:val="1"/>
                <w:sz w:val="21"/>
              </w:rPr>
              <w:t>（</w:t>
            </w:r>
            <w:r>
              <w:rPr>
                <w:spacing w:val="4"/>
                <w:sz w:val="21"/>
              </w:rPr>
              <w:t>DB </w:t>
            </w:r>
            <w:r>
              <w:rPr>
                <w:spacing w:val="-5"/>
                <w:sz w:val="21"/>
              </w:rPr>
              <w:t>33/593-2005</w:t>
            </w:r>
            <w:r>
              <w:rPr>
                <w:rFonts w:ascii="宋体" w:eastAsia="宋体" w:hint="eastAsia"/>
                <w:spacing w:val="-5"/>
                <w:position w:val="1"/>
                <w:sz w:val="21"/>
              </w:rPr>
              <w:t>）</w:t>
            </w:r>
            <w:r>
              <w:rPr>
                <w:rFonts w:ascii="宋体" w:eastAsia="宋体" w:hint="eastAsia"/>
                <w:spacing w:val="-3"/>
                <w:position w:val="1"/>
                <w:sz w:val="21"/>
              </w:rPr>
              <w:t>中的规定</w:t>
            </w:r>
            <w:r>
              <w:rPr>
                <w:rFonts w:ascii="宋体" w:eastAsia="宋体" w:hint="eastAsia"/>
                <w:spacing w:val="-53"/>
                <w:position w:val="1"/>
                <w:sz w:val="21"/>
              </w:rPr>
              <w:t>）</w:t>
            </w:r>
            <w:r>
              <w:rPr>
                <w:rFonts w:ascii="宋体" w:eastAsia="宋体" w:hint="eastAsia"/>
                <w:position w:val="1"/>
                <w:sz w:val="21"/>
              </w:rPr>
              <w:t>。</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38"/>
              <w:ind w:left="148" w:right="108"/>
              <w:rPr>
                <w:rFonts w:ascii="宋体" w:eastAsia="宋体" w:hint="eastAsia"/>
                <w:sz w:val="21"/>
              </w:rPr>
            </w:pPr>
            <w:r>
              <w:rPr>
                <w:rFonts w:ascii="宋体" w:eastAsia="宋体" w:hint="eastAsia"/>
                <w:sz w:val="21"/>
              </w:rPr>
              <w:t>符合</w:t>
            </w:r>
          </w:p>
        </w:tc>
      </w:tr>
      <w:tr>
        <w:trPr>
          <w:trHeight w:val="920"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2"/>
              <w:ind w:left="113" w:right="37"/>
              <w:jc w:val="left"/>
              <w:rPr>
                <w:rFonts w:ascii="宋体" w:eastAsia="宋体" w:hint="eastAsia"/>
                <w:sz w:val="21"/>
              </w:rPr>
            </w:pPr>
            <w:r>
              <w:rPr>
                <w:sz w:val="21"/>
              </w:rPr>
              <w:t>4</w:t>
            </w:r>
            <w:r>
              <w:rPr>
                <w:rFonts w:ascii="宋体" w:eastAsia="宋体" w:hint="eastAsia"/>
                <w:position w:val="1"/>
                <w:sz w:val="21"/>
              </w:rPr>
              <w:t>、养殖废水处理设施应设置标准的废水排放口和</w:t>
            </w:r>
            <w:r>
              <w:rPr>
                <w:rFonts w:ascii="宋体" w:eastAsia="宋体" w:hint="eastAsia"/>
                <w:sz w:val="21"/>
              </w:rPr>
              <w:t>检查井。规模化生猪养殖场应按照相关规定设置在</w:t>
            </w:r>
          </w:p>
          <w:p>
            <w:pPr>
              <w:pStyle w:val="TableParagraph"/>
              <w:spacing w:line="259" w:lineRule="exact" w:before="0"/>
              <w:ind w:left="113"/>
              <w:jc w:val="left"/>
              <w:rPr>
                <w:rFonts w:ascii="宋体" w:eastAsia="宋体" w:hint="eastAsia"/>
                <w:sz w:val="21"/>
              </w:rPr>
            </w:pPr>
            <w:r>
              <w:rPr>
                <w:rFonts w:ascii="宋体" w:eastAsia="宋体" w:hint="eastAsia"/>
                <w:sz w:val="21"/>
              </w:rPr>
              <w:t>线监测设施。</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5"/>
              <w:ind w:left="113"/>
              <w:jc w:val="left"/>
              <w:rPr>
                <w:rFonts w:ascii="宋体" w:eastAsia="宋体" w:hint="eastAsia"/>
                <w:sz w:val="21"/>
              </w:rPr>
            </w:pPr>
            <w:r>
              <w:rPr>
                <w:rFonts w:ascii="宋体" w:eastAsia="宋体" w:hint="eastAsia"/>
                <w:sz w:val="21"/>
              </w:rPr>
              <w:t>要求企业按规定设置标排</w:t>
            </w:r>
          </w:p>
          <w:p>
            <w:pPr>
              <w:pStyle w:val="TableParagraph"/>
              <w:spacing w:line="310" w:lineRule="atLeast" w:before="2"/>
              <w:ind w:left="113" w:right="85"/>
              <w:jc w:val="left"/>
              <w:rPr>
                <w:rFonts w:ascii="宋体" w:eastAsia="宋体" w:hint="eastAsia"/>
                <w:sz w:val="21"/>
              </w:rPr>
            </w:pPr>
            <w:r>
              <w:rPr>
                <w:rFonts w:ascii="宋体" w:eastAsia="宋体" w:hint="eastAsia"/>
                <w:sz w:val="21"/>
              </w:rPr>
              <w:t>口和检查井，按照相关规定设置在线监测设施。</w:t>
            </w:r>
          </w:p>
        </w:tc>
        <w:tc>
          <w:tcPr>
            <w:tcW w:w="958" w:type="dxa"/>
            <w:tcBorders>
              <w:top w:val="single" w:sz="6" w:space="0" w:color="000000"/>
              <w:left w:val="single" w:sz="6" w:space="0" w:color="000000"/>
              <w:bottom w:val="single" w:sz="6" w:space="0" w:color="000000"/>
            </w:tcBorders>
          </w:tcPr>
          <w:p>
            <w:pPr>
              <w:pStyle w:val="TableParagraph"/>
              <w:spacing w:before="6"/>
              <w:jc w:val="left"/>
              <w:rPr>
                <w:rFonts w:ascii="宋体"/>
                <w:b/>
                <w:sz w:val="25"/>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920"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2"/>
              <w:ind w:left="113" w:right="37"/>
              <w:jc w:val="left"/>
              <w:rPr>
                <w:rFonts w:ascii="宋体" w:eastAsia="宋体" w:hint="eastAsia"/>
                <w:sz w:val="21"/>
              </w:rPr>
            </w:pPr>
            <w:r>
              <w:rPr>
                <w:sz w:val="21"/>
              </w:rPr>
              <w:t>5</w:t>
            </w:r>
            <w:r>
              <w:rPr>
                <w:rFonts w:ascii="宋体" w:eastAsia="宋体" w:hint="eastAsia"/>
                <w:position w:val="1"/>
                <w:sz w:val="21"/>
              </w:rPr>
              <w:t>、生猪养殖废弃物贮存设施须设有顶盖，防止雨</w:t>
            </w:r>
            <w:r>
              <w:rPr>
                <w:rFonts w:ascii="宋体" w:eastAsia="宋体" w:hint="eastAsia"/>
                <w:sz w:val="21"/>
              </w:rPr>
              <w:t>水进入，并确保该设施产生的雨（污）水不直接进</w:t>
            </w:r>
          </w:p>
          <w:p>
            <w:pPr>
              <w:pStyle w:val="TableParagraph"/>
              <w:spacing w:line="259" w:lineRule="exact" w:before="0"/>
              <w:ind w:left="113"/>
              <w:jc w:val="left"/>
              <w:rPr>
                <w:rFonts w:ascii="宋体" w:eastAsia="宋体" w:hint="eastAsia"/>
                <w:sz w:val="21"/>
              </w:rPr>
            </w:pPr>
            <w:r>
              <w:rPr>
                <w:rFonts w:ascii="宋体" w:eastAsia="宋体" w:hint="eastAsia"/>
                <w:sz w:val="21"/>
              </w:rPr>
              <w:t>入各类功能地表水体。</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1"/>
              <w:ind w:left="113" w:right="-29"/>
              <w:jc w:val="left"/>
              <w:rPr>
                <w:rFonts w:ascii="宋体" w:eastAsia="宋体" w:hint="eastAsia"/>
                <w:sz w:val="21"/>
              </w:rPr>
            </w:pPr>
            <w:r>
              <w:rPr>
                <w:rFonts w:ascii="宋体" w:eastAsia="宋体" w:hint="eastAsia"/>
                <w:spacing w:val="20"/>
                <w:sz w:val="21"/>
              </w:rPr>
              <w:t>本项目集污池密闭性较</w:t>
            </w:r>
            <w:r>
              <w:rPr>
                <w:rFonts w:ascii="宋体" w:eastAsia="宋体" w:hint="eastAsia"/>
                <w:spacing w:val="-9"/>
                <w:sz w:val="21"/>
              </w:rPr>
              <w:t>好，可有效防止雨水进入。</w:t>
            </w:r>
          </w:p>
        </w:tc>
        <w:tc>
          <w:tcPr>
            <w:tcW w:w="958" w:type="dxa"/>
            <w:tcBorders>
              <w:top w:val="single" w:sz="6" w:space="0" w:color="000000"/>
              <w:left w:val="single" w:sz="6" w:space="0" w:color="000000"/>
              <w:bottom w:val="single" w:sz="6" w:space="0" w:color="000000"/>
            </w:tcBorders>
          </w:tcPr>
          <w:p>
            <w:pPr>
              <w:pStyle w:val="TableParagraph"/>
              <w:spacing w:before="6"/>
              <w:jc w:val="left"/>
              <w:rPr>
                <w:rFonts w:ascii="宋体"/>
                <w:b/>
                <w:sz w:val="25"/>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922"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bottom w:val="single" w:sz="6" w:space="0" w:color="000000"/>
              <w:right w:val="single" w:sz="6" w:space="0" w:color="000000"/>
            </w:tcBorders>
          </w:tcPr>
          <w:p>
            <w:pPr>
              <w:rPr>
                <w:sz w:val="2"/>
                <w:szCs w:val="2"/>
              </w:rPr>
            </w:pP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4"/>
              <w:ind w:left="113" w:right="37"/>
              <w:jc w:val="left"/>
              <w:rPr>
                <w:rFonts w:ascii="宋体" w:eastAsia="宋体" w:hint="eastAsia"/>
                <w:sz w:val="21"/>
              </w:rPr>
            </w:pPr>
            <w:r>
              <w:rPr>
                <w:sz w:val="21"/>
              </w:rPr>
              <w:t>6</w:t>
            </w:r>
            <w:r>
              <w:rPr>
                <w:rFonts w:ascii="宋体" w:eastAsia="宋体" w:hint="eastAsia"/>
                <w:position w:val="1"/>
                <w:sz w:val="21"/>
              </w:rPr>
              <w:t>、生猪养殖废弃物贮存、输送、处理、利用的设</w:t>
            </w:r>
            <w:r>
              <w:rPr>
                <w:rFonts w:ascii="宋体" w:eastAsia="宋体" w:hint="eastAsia"/>
                <w:sz w:val="21"/>
              </w:rPr>
              <w:t>施应采取有效的防漏、防渗处理工艺，防止污染地</w:t>
            </w:r>
          </w:p>
          <w:p>
            <w:pPr>
              <w:pStyle w:val="TableParagraph"/>
              <w:spacing w:line="259" w:lineRule="exact" w:before="0"/>
              <w:ind w:left="113"/>
              <w:jc w:val="left"/>
              <w:rPr>
                <w:rFonts w:ascii="宋体" w:eastAsia="宋体" w:hint="eastAsia"/>
                <w:sz w:val="21"/>
              </w:rPr>
            </w:pPr>
            <w:r>
              <w:rPr>
                <w:rFonts w:ascii="宋体" w:eastAsia="宋体" w:hint="eastAsia"/>
                <w:sz w:val="21"/>
              </w:rPr>
              <w:t>下水。</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
              <w:ind w:left="113" w:right="83"/>
              <w:jc w:val="left"/>
              <w:rPr>
                <w:rFonts w:ascii="宋体" w:eastAsia="宋体" w:hint="eastAsia"/>
                <w:sz w:val="21"/>
              </w:rPr>
            </w:pPr>
            <w:r>
              <w:rPr>
                <w:rFonts w:ascii="宋体" w:eastAsia="宋体" w:hint="eastAsia"/>
                <w:spacing w:val="-2"/>
                <w:sz w:val="21"/>
              </w:rPr>
              <w:t>本环评要求对猪舍、污水管道、污水站、有机肥间</w:t>
            </w:r>
          </w:p>
          <w:p>
            <w:pPr>
              <w:pStyle w:val="TableParagraph"/>
              <w:spacing w:line="261" w:lineRule="exact" w:before="0"/>
              <w:ind w:left="113"/>
              <w:jc w:val="left"/>
              <w:rPr>
                <w:rFonts w:ascii="宋体" w:eastAsia="宋体" w:hint="eastAsia"/>
                <w:sz w:val="21"/>
              </w:rPr>
            </w:pPr>
            <w:r>
              <w:rPr>
                <w:rFonts w:ascii="宋体" w:eastAsia="宋体" w:hint="eastAsia"/>
                <w:spacing w:val="-3"/>
                <w:sz w:val="21"/>
              </w:rPr>
              <w:t>等区域采取防渗漏措施。</w:t>
            </w:r>
          </w:p>
        </w:tc>
        <w:tc>
          <w:tcPr>
            <w:tcW w:w="958" w:type="dxa"/>
            <w:tcBorders>
              <w:top w:val="single" w:sz="6" w:space="0" w:color="000000"/>
              <w:left w:val="single" w:sz="6" w:space="0" w:color="000000"/>
              <w:bottom w:val="single" w:sz="6" w:space="0" w:color="000000"/>
            </w:tcBorders>
          </w:tcPr>
          <w:p>
            <w:pPr>
              <w:pStyle w:val="TableParagraph"/>
              <w:spacing w:before="9"/>
              <w:jc w:val="left"/>
              <w:rPr>
                <w:rFonts w:ascii="宋体"/>
                <w:b/>
                <w:sz w:val="25"/>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608" w:hRule="atLeast"/>
        </w:trPr>
        <w:tc>
          <w:tcPr>
            <w:tcW w:w="427" w:type="dxa"/>
            <w:vMerge/>
            <w:tcBorders>
              <w:top w:val="nil"/>
              <w:right w:val="single" w:sz="6" w:space="0" w:color="000000"/>
            </w:tcBorders>
          </w:tcPr>
          <w:p>
            <w:pPr>
              <w:rPr>
                <w:sz w:val="2"/>
                <w:szCs w:val="2"/>
              </w:rPr>
            </w:pPr>
          </w:p>
        </w:tc>
        <w:tc>
          <w:tcPr>
            <w:tcW w:w="674" w:type="dxa"/>
            <w:vMerge w:val="restart"/>
            <w:tcBorders>
              <w:top w:val="single" w:sz="6" w:space="0" w:color="000000"/>
              <w:left w:val="single" w:sz="6" w:space="0" w:color="000000"/>
              <w:right w:val="single" w:sz="6" w:space="0" w:color="000000"/>
            </w:tcBorders>
          </w:tcPr>
          <w:p>
            <w:pPr>
              <w:pStyle w:val="TableParagraph"/>
              <w:spacing w:line="278" w:lineRule="auto" w:before="22"/>
              <w:ind w:left="131" w:right="102"/>
              <w:rPr>
                <w:rFonts w:ascii="宋体" w:eastAsia="宋体" w:hint="eastAsia"/>
                <w:sz w:val="21"/>
              </w:rPr>
            </w:pPr>
            <w:r>
              <w:rPr>
                <w:rFonts w:ascii="宋体" w:eastAsia="宋体" w:hint="eastAsia"/>
                <w:spacing w:val="-9"/>
                <w:sz w:val="21"/>
              </w:rPr>
              <w:t>养殖</w:t>
            </w:r>
            <w:r>
              <w:rPr>
                <w:rFonts w:ascii="宋体" w:eastAsia="宋体" w:hint="eastAsia"/>
                <w:sz w:val="21"/>
              </w:rPr>
              <w:t>废 </w:t>
            </w:r>
            <w:r>
              <w:rPr>
                <w:rFonts w:ascii="宋体" w:eastAsia="宋体" w:hint="eastAsia"/>
                <w:spacing w:val="-9"/>
                <w:sz w:val="21"/>
              </w:rPr>
              <w:t>气、其他</w:t>
            </w:r>
          </w:p>
          <w:p>
            <w:pPr>
              <w:pStyle w:val="TableParagraph"/>
              <w:spacing w:line="269" w:lineRule="exact" w:before="0"/>
              <w:ind w:left="113" w:right="86"/>
              <w:rPr>
                <w:rFonts w:ascii="宋体" w:eastAsia="宋体" w:hint="eastAsia"/>
                <w:sz w:val="21"/>
              </w:rPr>
            </w:pPr>
            <w:r>
              <w:rPr>
                <w:rFonts w:ascii="宋体" w:eastAsia="宋体" w:hint="eastAsia"/>
                <w:sz w:val="21"/>
              </w:rPr>
              <w:t>固废</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before="168"/>
              <w:ind w:left="113"/>
              <w:jc w:val="left"/>
              <w:rPr>
                <w:rFonts w:ascii="宋体" w:eastAsia="宋体" w:hint="eastAsia"/>
                <w:sz w:val="21"/>
              </w:rPr>
            </w:pPr>
            <w:r>
              <w:rPr>
                <w:sz w:val="21"/>
              </w:rPr>
              <w:t>1</w:t>
            </w:r>
            <w:r>
              <w:rPr>
                <w:rFonts w:ascii="宋体" w:eastAsia="宋体" w:hint="eastAsia"/>
                <w:position w:val="1"/>
                <w:sz w:val="21"/>
              </w:rPr>
              <w:t>、妥善处理利用沼气，不得直接向外环境排放。</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15"/>
              <w:ind w:left="113"/>
              <w:jc w:val="left"/>
              <w:rPr>
                <w:rFonts w:ascii="宋体" w:eastAsia="宋体" w:hint="eastAsia"/>
                <w:sz w:val="21"/>
              </w:rPr>
            </w:pPr>
            <w:r>
              <w:rPr>
                <w:rFonts w:ascii="宋体" w:eastAsia="宋体" w:hint="eastAsia"/>
                <w:sz w:val="21"/>
              </w:rPr>
              <w:t>本项目沼气经脱硫预处理</w:t>
            </w:r>
          </w:p>
          <w:p>
            <w:pPr>
              <w:pStyle w:val="TableParagraph"/>
              <w:spacing w:line="261" w:lineRule="exact" w:before="43"/>
              <w:ind w:left="113"/>
              <w:jc w:val="left"/>
              <w:rPr>
                <w:rFonts w:ascii="宋体" w:eastAsia="宋体" w:hint="eastAsia"/>
                <w:sz w:val="21"/>
              </w:rPr>
            </w:pPr>
            <w:r>
              <w:rPr>
                <w:rFonts w:ascii="宋体" w:eastAsia="宋体" w:hint="eastAsia"/>
                <w:sz w:val="21"/>
              </w:rPr>
              <w:t>后由锅炉和食堂利用。</w:t>
            </w:r>
          </w:p>
        </w:tc>
        <w:tc>
          <w:tcPr>
            <w:tcW w:w="958" w:type="dxa"/>
            <w:tcBorders>
              <w:top w:val="single" w:sz="6" w:space="0" w:color="000000"/>
              <w:left w:val="single" w:sz="6" w:space="0" w:color="000000"/>
              <w:bottom w:val="single" w:sz="6" w:space="0" w:color="000000"/>
            </w:tcBorders>
          </w:tcPr>
          <w:p>
            <w:pPr>
              <w:pStyle w:val="TableParagraph"/>
              <w:spacing w:before="185"/>
              <w:ind w:left="36"/>
              <w:rPr>
                <w:sz w:val="21"/>
              </w:rPr>
            </w:pPr>
            <w:r>
              <w:rPr>
                <w:w w:val="100"/>
                <w:sz w:val="21"/>
              </w:rPr>
              <w:t>/</w:t>
            </w:r>
          </w:p>
        </w:tc>
      </w:tr>
      <w:tr>
        <w:trPr>
          <w:trHeight w:val="927" w:hRule="atLeast"/>
        </w:trPr>
        <w:tc>
          <w:tcPr>
            <w:tcW w:w="427" w:type="dxa"/>
            <w:vMerge/>
            <w:tcBorders>
              <w:top w:val="nil"/>
              <w:right w:val="single" w:sz="6" w:space="0" w:color="000000"/>
            </w:tcBorders>
          </w:tcPr>
          <w:p>
            <w:pPr>
              <w:rPr>
                <w:sz w:val="2"/>
                <w:szCs w:val="2"/>
              </w:rPr>
            </w:pPr>
          </w:p>
        </w:tc>
        <w:tc>
          <w:tcPr>
            <w:tcW w:w="674" w:type="dxa"/>
            <w:vMerge/>
            <w:tcBorders>
              <w:top w:val="nil"/>
              <w:left w:val="single" w:sz="6" w:space="0" w:color="000000"/>
              <w:right w:val="single" w:sz="6" w:space="0" w:color="000000"/>
            </w:tcBorders>
          </w:tcPr>
          <w:p>
            <w:pPr>
              <w:rPr>
                <w:sz w:val="2"/>
                <w:szCs w:val="2"/>
              </w:rPr>
            </w:pPr>
          </w:p>
        </w:tc>
        <w:tc>
          <w:tcPr>
            <w:tcW w:w="4820" w:type="dxa"/>
            <w:tcBorders>
              <w:top w:val="single" w:sz="6" w:space="0" w:color="000000"/>
              <w:left w:val="single" w:sz="6" w:space="0" w:color="000000"/>
              <w:right w:val="single" w:sz="6" w:space="0" w:color="000000"/>
            </w:tcBorders>
          </w:tcPr>
          <w:p>
            <w:pPr>
              <w:pStyle w:val="TableParagraph"/>
              <w:spacing w:line="280" w:lineRule="auto" w:before="12"/>
              <w:ind w:left="113" w:right="88"/>
              <w:jc w:val="left"/>
              <w:rPr>
                <w:rFonts w:ascii="宋体" w:eastAsia="宋体" w:hint="eastAsia"/>
                <w:sz w:val="21"/>
              </w:rPr>
            </w:pPr>
            <w:r>
              <w:rPr>
                <w:sz w:val="21"/>
              </w:rPr>
              <w:t>2</w:t>
            </w:r>
            <w:r>
              <w:rPr>
                <w:rFonts w:ascii="宋体" w:eastAsia="宋体" w:hint="eastAsia"/>
                <w:position w:val="1"/>
                <w:sz w:val="21"/>
              </w:rPr>
              <w:t>、养殖场应当建立控制恶臭的相关制度与措施。</w:t>
            </w:r>
            <w:r>
              <w:rPr>
                <w:rFonts w:ascii="宋体" w:eastAsia="宋体" w:hint="eastAsia"/>
                <w:sz w:val="21"/>
              </w:rPr>
              <w:t>臭气浓度达到《畜禽养殖业污染物排放标准》</w:t>
            </w:r>
          </w:p>
          <w:p>
            <w:pPr>
              <w:pStyle w:val="TableParagraph"/>
              <w:spacing w:line="263" w:lineRule="exact" w:before="0"/>
              <w:ind w:left="113"/>
              <w:jc w:val="left"/>
              <w:rPr>
                <w:rFonts w:ascii="宋体" w:eastAsia="宋体" w:hint="eastAsia"/>
                <w:sz w:val="21"/>
              </w:rPr>
            </w:pPr>
            <w:r>
              <w:rPr>
                <w:rFonts w:ascii="宋体" w:eastAsia="宋体" w:hint="eastAsia"/>
                <w:position w:val="1"/>
                <w:sz w:val="21"/>
              </w:rPr>
              <w:t>（</w:t>
            </w:r>
            <w:r>
              <w:rPr>
                <w:sz w:val="21"/>
              </w:rPr>
              <w:t>DB33/593</w:t>
            </w:r>
            <w:r>
              <w:rPr>
                <w:rFonts w:ascii="宋体" w:eastAsia="宋体" w:hint="eastAsia"/>
                <w:position w:val="1"/>
                <w:sz w:val="21"/>
              </w:rPr>
              <w:t>）要求。</w:t>
            </w:r>
          </w:p>
        </w:tc>
        <w:tc>
          <w:tcPr>
            <w:tcW w:w="2552" w:type="dxa"/>
            <w:tcBorders>
              <w:top w:val="single" w:sz="6" w:space="0" w:color="000000"/>
              <w:left w:val="single" w:sz="6" w:space="0" w:color="000000"/>
              <w:right w:val="single" w:sz="6" w:space="0" w:color="000000"/>
            </w:tcBorders>
          </w:tcPr>
          <w:p>
            <w:pPr>
              <w:pStyle w:val="TableParagraph"/>
              <w:spacing w:before="15"/>
              <w:ind w:left="113"/>
              <w:jc w:val="left"/>
              <w:rPr>
                <w:rFonts w:ascii="宋体" w:eastAsia="宋体" w:hint="eastAsia"/>
                <w:sz w:val="21"/>
              </w:rPr>
            </w:pPr>
            <w:r>
              <w:rPr>
                <w:rFonts w:ascii="宋体" w:eastAsia="宋体" w:hint="eastAsia"/>
                <w:sz w:val="21"/>
              </w:rPr>
              <w:t>根据工程分析及影响预</w:t>
            </w:r>
          </w:p>
          <w:p>
            <w:pPr>
              <w:pStyle w:val="TableParagraph"/>
              <w:spacing w:line="310" w:lineRule="atLeast" w:before="2"/>
              <w:ind w:left="113" w:right="85"/>
              <w:jc w:val="left"/>
              <w:rPr>
                <w:rFonts w:ascii="宋体" w:eastAsia="宋体" w:hint="eastAsia"/>
                <w:sz w:val="21"/>
              </w:rPr>
            </w:pPr>
            <w:r>
              <w:rPr>
                <w:rFonts w:ascii="宋体" w:eastAsia="宋体" w:hint="eastAsia"/>
                <w:sz w:val="21"/>
              </w:rPr>
              <w:t>测，臭气浓度能达到相关标准要求。</w:t>
            </w:r>
          </w:p>
        </w:tc>
        <w:tc>
          <w:tcPr>
            <w:tcW w:w="958" w:type="dxa"/>
            <w:tcBorders>
              <w:top w:val="single" w:sz="6" w:space="0" w:color="000000"/>
              <w:left w:val="single" w:sz="6" w:space="0" w:color="000000"/>
            </w:tcBorders>
          </w:tcPr>
          <w:p>
            <w:pPr>
              <w:pStyle w:val="TableParagraph"/>
              <w:spacing w:before="6"/>
              <w:jc w:val="left"/>
              <w:rPr>
                <w:rFonts w:ascii="宋体"/>
                <w:b/>
                <w:sz w:val="25"/>
              </w:rPr>
            </w:pPr>
          </w:p>
          <w:p>
            <w:pPr>
              <w:pStyle w:val="TableParagraph"/>
              <w:spacing w:before="0"/>
              <w:ind w:left="148" w:right="108"/>
              <w:rPr>
                <w:rFonts w:ascii="宋体" w:eastAsia="宋体" w:hint="eastAsia"/>
                <w:sz w:val="21"/>
              </w:rPr>
            </w:pPr>
            <w:r>
              <w:rPr>
                <w:rFonts w:ascii="宋体" w:eastAsia="宋体" w:hint="eastAsia"/>
                <w:sz w:val="21"/>
              </w:rPr>
              <w:t>符合</w:t>
            </w:r>
          </w:p>
        </w:tc>
      </w:tr>
    </w:tbl>
    <w:p>
      <w:pPr>
        <w:spacing w:after="0"/>
        <w:rPr>
          <w:rFonts w:ascii="宋体" w:eastAsia="宋体" w:hint="eastAsia"/>
          <w:sz w:val="21"/>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674"/>
        <w:gridCol w:w="4820"/>
        <w:gridCol w:w="2552"/>
        <w:gridCol w:w="958"/>
      </w:tblGrid>
      <w:tr>
        <w:trPr>
          <w:trHeight w:val="311" w:hRule="atLeast"/>
        </w:trPr>
        <w:tc>
          <w:tcPr>
            <w:tcW w:w="5921" w:type="dxa"/>
            <w:gridSpan w:val="3"/>
            <w:tcBorders>
              <w:bottom w:val="single" w:sz="6" w:space="0" w:color="000000"/>
              <w:right w:val="single" w:sz="6" w:space="0" w:color="000000"/>
            </w:tcBorders>
          </w:tcPr>
          <w:p>
            <w:pPr>
              <w:pStyle w:val="TableParagraph"/>
              <w:spacing w:line="267" w:lineRule="exact" w:before="25"/>
              <w:ind w:left="2519" w:right="2495"/>
              <w:rPr>
                <w:rFonts w:ascii="宋体" w:eastAsia="宋体" w:hint="eastAsia"/>
                <w:b/>
                <w:sz w:val="21"/>
              </w:rPr>
            </w:pPr>
            <w:r>
              <w:rPr>
                <w:rFonts w:ascii="宋体" w:eastAsia="宋体" w:hint="eastAsia"/>
                <w:b/>
                <w:sz w:val="21"/>
              </w:rPr>
              <w:t>具体指标</w:t>
            </w:r>
          </w:p>
        </w:tc>
        <w:tc>
          <w:tcPr>
            <w:tcW w:w="2552" w:type="dxa"/>
            <w:tcBorders>
              <w:left w:val="single" w:sz="6" w:space="0" w:color="000000"/>
              <w:bottom w:val="single" w:sz="6" w:space="0" w:color="000000"/>
              <w:right w:val="single" w:sz="6" w:space="0" w:color="000000"/>
            </w:tcBorders>
          </w:tcPr>
          <w:p>
            <w:pPr>
              <w:pStyle w:val="TableParagraph"/>
              <w:spacing w:line="267" w:lineRule="exact" w:before="25"/>
              <w:ind w:left="754"/>
              <w:jc w:val="left"/>
              <w:rPr>
                <w:rFonts w:ascii="宋体" w:eastAsia="宋体" w:hint="eastAsia"/>
                <w:b/>
                <w:sz w:val="21"/>
              </w:rPr>
            </w:pPr>
            <w:r>
              <w:rPr>
                <w:rFonts w:ascii="宋体" w:eastAsia="宋体" w:hint="eastAsia"/>
                <w:b/>
                <w:sz w:val="21"/>
              </w:rPr>
              <w:t>本项目情况</w:t>
            </w:r>
          </w:p>
        </w:tc>
        <w:tc>
          <w:tcPr>
            <w:tcW w:w="958" w:type="dxa"/>
            <w:tcBorders>
              <w:left w:val="single" w:sz="6" w:space="0" w:color="000000"/>
              <w:bottom w:val="single" w:sz="6" w:space="0" w:color="000000"/>
            </w:tcBorders>
          </w:tcPr>
          <w:p>
            <w:pPr>
              <w:pStyle w:val="TableParagraph"/>
              <w:spacing w:line="267" w:lineRule="exact" w:before="25"/>
              <w:ind w:left="148" w:right="114"/>
              <w:rPr>
                <w:rFonts w:ascii="宋体" w:eastAsia="宋体" w:hint="eastAsia"/>
                <w:b/>
                <w:sz w:val="21"/>
              </w:rPr>
            </w:pPr>
            <w:r>
              <w:rPr>
                <w:rFonts w:ascii="宋体" w:eastAsia="宋体" w:hint="eastAsia"/>
                <w:b/>
                <w:sz w:val="21"/>
              </w:rPr>
              <w:t>符合性</w:t>
            </w:r>
          </w:p>
        </w:tc>
      </w:tr>
      <w:tr>
        <w:trPr>
          <w:trHeight w:val="937" w:hRule="atLeast"/>
        </w:trPr>
        <w:tc>
          <w:tcPr>
            <w:tcW w:w="427" w:type="dxa"/>
            <w:tcBorders>
              <w:top w:val="single" w:sz="6" w:space="0" w:color="000000"/>
              <w:bottom w:val="single" w:sz="6" w:space="0" w:color="000000"/>
              <w:right w:val="single" w:sz="6" w:space="0" w:color="000000"/>
            </w:tcBorders>
          </w:tcPr>
          <w:p>
            <w:pPr>
              <w:pStyle w:val="TableParagraph"/>
              <w:spacing w:before="0"/>
              <w:jc w:val="left"/>
              <w:rPr>
                <w:sz w:val="20"/>
              </w:rPr>
            </w:pPr>
          </w:p>
        </w:tc>
        <w:tc>
          <w:tcPr>
            <w:tcW w:w="674" w:type="dxa"/>
            <w:tcBorders>
              <w:top w:val="single" w:sz="6" w:space="0" w:color="000000"/>
              <w:left w:val="single" w:sz="6" w:space="0" w:color="000000"/>
              <w:bottom w:val="single" w:sz="6" w:space="0" w:color="000000"/>
              <w:right w:val="single" w:sz="6" w:space="0" w:color="000000"/>
            </w:tcBorders>
          </w:tcPr>
          <w:p>
            <w:pPr>
              <w:pStyle w:val="TableParagraph"/>
              <w:spacing w:before="25"/>
              <w:ind w:left="131"/>
              <w:jc w:val="left"/>
              <w:rPr>
                <w:rFonts w:ascii="宋体" w:eastAsia="宋体" w:hint="eastAsia"/>
                <w:sz w:val="21"/>
              </w:rPr>
            </w:pPr>
            <w:r>
              <w:rPr>
                <w:rFonts w:ascii="宋体" w:eastAsia="宋体" w:hint="eastAsia"/>
                <w:sz w:val="21"/>
              </w:rPr>
              <w:t>处置</w:t>
            </w:r>
          </w:p>
        </w:tc>
        <w:tc>
          <w:tcPr>
            <w:tcW w:w="4820"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22"/>
              <w:ind w:left="113" w:right="37"/>
              <w:jc w:val="left"/>
              <w:rPr>
                <w:rFonts w:ascii="宋体" w:eastAsia="宋体" w:hint="eastAsia"/>
                <w:sz w:val="21"/>
              </w:rPr>
            </w:pPr>
            <w:r>
              <w:rPr>
                <w:sz w:val="21"/>
              </w:rPr>
              <w:t>3</w:t>
            </w:r>
            <w:r>
              <w:rPr>
                <w:rFonts w:ascii="宋体" w:eastAsia="宋体" w:hint="eastAsia"/>
                <w:position w:val="1"/>
                <w:sz w:val="21"/>
              </w:rPr>
              <w:t>、病死畜禽尸体均应及时处理，严禁随意丢弃， </w:t>
            </w:r>
            <w:r>
              <w:rPr>
                <w:rFonts w:ascii="宋体" w:eastAsia="宋体" w:hint="eastAsia"/>
                <w:sz w:val="21"/>
              </w:rPr>
              <w:t>严禁违法出售或作为饲料再利用。病死畜禽尸体的</w:t>
            </w:r>
          </w:p>
          <w:p>
            <w:pPr>
              <w:pStyle w:val="TableParagraph"/>
              <w:spacing w:line="266" w:lineRule="exact" w:before="0"/>
              <w:ind w:left="113"/>
              <w:jc w:val="left"/>
              <w:rPr>
                <w:rFonts w:ascii="宋体" w:eastAsia="宋体" w:hint="eastAsia"/>
                <w:sz w:val="21"/>
              </w:rPr>
            </w:pPr>
            <w:r>
              <w:rPr>
                <w:rFonts w:ascii="宋体" w:eastAsia="宋体" w:hint="eastAsia"/>
                <w:sz w:val="21"/>
              </w:rPr>
              <w:t>处理与处置按有关规定执行。</w:t>
            </w:r>
          </w:p>
        </w:tc>
        <w:tc>
          <w:tcPr>
            <w:tcW w:w="2552" w:type="dxa"/>
            <w:tcBorders>
              <w:top w:val="single" w:sz="6" w:space="0" w:color="000000"/>
              <w:left w:val="single" w:sz="6" w:space="0" w:color="000000"/>
              <w:bottom w:val="single" w:sz="6" w:space="0" w:color="000000"/>
              <w:right w:val="single" w:sz="6" w:space="0" w:color="000000"/>
            </w:tcBorders>
          </w:tcPr>
          <w:p>
            <w:pPr>
              <w:pStyle w:val="TableParagraph"/>
              <w:spacing w:before="25"/>
              <w:ind w:left="113"/>
              <w:jc w:val="left"/>
              <w:rPr>
                <w:rFonts w:ascii="宋体" w:eastAsia="宋体" w:hint="eastAsia"/>
                <w:sz w:val="21"/>
              </w:rPr>
            </w:pPr>
            <w:r>
              <w:rPr>
                <w:rFonts w:ascii="宋体" w:eastAsia="宋体" w:hint="eastAsia"/>
                <w:spacing w:val="20"/>
                <w:sz w:val="21"/>
              </w:rPr>
              <w:t>项目病死猪暂按绍柯农</w:t>
            </w:r>
          </w:p>
          <w:p>
            <w:pPr>
              <w:pStyle w:val="TableParagraph"/>
              <w:spacing w:line="304" w:lineRule="exact" w:before="17"/>
              <w:ind w:left="113" w:right="20"/>
              <w:jc w:val="left"/>
              <w:rPr>
                <w:rFonts w:ascii="宋体" w:eastAsia="宋体" w:hint="eastAsia"/>
                <w:sz w:val="21"/>
              </w:rPr>
            </w:pPr>
            <w:r>
              <w:rPr>
                <w:sz w:val="21"/>
              </w:rPr>
              <w:t>[2019]4</w:t>
            </w:r>
            <w:r>
              <w:rPr>
                <w:spacing w:val="6"/>
                <w:sz w:val="21"/>
              </w:rPr>
              <w:t> </w:t>
            </w:r>
            <w:r>
              <w:rPr>
                <w:rFonts w:ascii="宋体" w:eastAsia="宋体" w:hint="eastAsia"/>
                <w:spacing w:val="-5"/>
                <w:position w:val="1"/>
                <w:sz w:val="21"/>
              </w:rPr>
              <w:t>号要求自行处置， </w:t>
            </w:r>
            <w:r>
              <w:rPr>
                <w:rFonts w:ascii="宋体" w:eastAsia="宋体" w:hint="eastAsia"/>
                <w:spacing w:val="-3"/>
                <w:sz w:val="21"/>
              </w:rPr>
              <w:t>产出物用于生产有机肥。</w:t>
            </w:r>
          </w:p>
        </w:tc>
        <w:tc>
          <w:tcPr>
            <w:tcW w:w="958" w:type="dxa"/>
            <w:tcBorders>
              <w:top w:val="single" w:sz="6" w:space="0" w:color="000000"/>
              <w:left w:val="single" w:sz="6" w:space="0" w:color="000000"/>
              <w:bottom w:val="single" w:sz="6" w:space="0" w:color="000000"/>
            </w:tcBorders>
          </w:tcPr>
          <w:p>
            <w:pPr>
              <w:pStyle w:val="TableParagraph"/>
              <w:spacing w:before="3"/>
              <w:jc w:val="left"/>
              <w:rPr>
                <w:rFonts w:ascii="宋体"/>
                <w:b/>
                <w:sz w:val="26"/>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623" w:hRule="atLeast"/>
        </w:trPr>
        <w:tc>
          <w:tcPr>
            <w:tcW w:w="1101" w:type="dxa"/>
            <w:gridSpan w:val="2"/>
            <w:tcBorders>
              <w:top w:val="single" w:sz="6" w:space="0" w:color="000000"/>
              <w:right w:val="single" w:sz="6" w:space="0" w:color="000000"/>
            </w:tcBorders>
          </w:tcPr>
          <w:p>
            <w:pPr>
              <w:pStyle w:val="TableParagraph"/>
              <w:spacing w:before="22"/>
              <w:ind w:left="109" w:right="88"/>
              <w:rPr>
                <w:rFonts w:ascii="宋体" w:eastAsia="宋体" w:hint="eastAsia"/>
                <w:sz w:val="21"/>
              </w:rPr>
            </w:pPr>
            <w:r>
              <w:rPr>
                <w:rFonts w:ascii="宋体" w:eastAsia="宋体" w:hint="eastAsia"/>
                <w:sz w:val="21"/>
              </w:rPr>
              <w:t>环境准入</w:t>
            </w:r>
          </w:p>
          <w:p>
            <w:pPr>
              <w:pStyle w:val="TableParagraph"/>
              <w:spacing w:line="269" w:lineRule="exact" w:before="43"/>
              <w:ind w:left="109" w:right="85"/>
              <w:rPr>
                <w:rFonts w:ascii="宋体" w:eastAsia="宋体" w:hint="eastAsia"/>
                <w:sz w:val="21"/>
              </w:rPr>
            </w:pPr>
            <w:r>
              <w:rPr>
                <w:rFonts w:ascii="宋体" w:eastAsia="宋体" w:hint="eastAsia"/>
                <w:sz w:val="21"/>
              </w:rPr>
              <w:t>指标</w:t>
            </w:r>
          </w:p>
        </w:tc>
        <w:tc>
          <w:tcPr>
            <w:tcW w:w="4820" w:type="dxa"/>
            <w:tcBorders>
              <w:top w:val="single" w:sz="6" w:space="0" w:color="000000"/>
              <w:left w:val="single" w:sz="6" w:space="0" w:color="000000"/>
              <w:right w:val="single" w:sz="6" w:space="0" w:color="000000"/>
            </w:tcBorders>
          </w:tcPr>
          <w:p>
            <w:pPr>
              <w:pStyle w:val="TableParagraph"/>
              <w:spacing w:before="175"/>
              <w:ind w:left="113"/>
              <w:jc w:val="left"/>
              <w:rPr>
                <w:rFonts w:ascii="宋体" w:eastAsia="宋体" w:hint="eastAsia"/>
                <w:sz w:val="21"/>
              </w:rPr>
            </w:pPr>
            <w:r>
              <w:rPr>
                <w:rFonts w:ascii="宋体" w:eastAsia="宋体" w:hint="eastAsia"/>
                <w:position w:val="1"/>
                <w:sz w:val="21"/>
              </w:rPr>
              <w:t>生猪养殖业环境准入指标见表 </w:t>
            </w:r>
            <w:r>
              <w:rPr>
                <w:sz w:val="21"/>
              </w:rPr>
              <w:t>9.2-4</w:t>
            </w:r>
            <w:r>
              <w:rPr>
                <w:rFonts w:ascii="宋体" w:eastAsia="宋体" w:hint="eastAsia"/>
                <w:position w:val="1"/>
                <w:sz w:val="21"/>
              </w:rPr>
              <w:t>。</w:t>
            </w:r>
          </w:p>
        </w:tc>
        <w:tc>
          <w:tcPr>
            <w:tcW w:w="2552" w:type="dxa"/>
            <w:tcBorders>
              <w:top w:val="single" w:sz="6" w:space="0" w:color="000000"/>
              <w:left w:val="single" w:sz="6" w:space="0" w:color="000000"/>
              <w:right w:val="single" w:sz="6" w:space="0" w:color="000000"/>
            </w:tcBorders>
          </w:tcPr>
          <w:p>
            <w:pPr>
              <w:pStyle w:val="TableParagraph"/>
              <w:spacing w:before="175"/>
              <w:ind w:left="113"/>
              <w:jc w:val="left"/>
              <w:rPr>
                <w:rFonts w:ascii="宋体" w:eastAsia="宋体" w:hint="eastAsia"/>
                <w:sz w:val="21"/>
              </w:rPr>
            </w:pPr>
            <w:r>
              <w:rPr>
                <w:rFonts w:ascii="宋体" w:eastAsia="宋体" w:hint="eastAsia"/>
                <w:position w:val="1"/>
                <w:sz w:val="21"/>
              </w:rPr>
              <w:t>详见表 </w:t>
            </w:r>
            <w:r>
              <w:rPr>
                <w:sz w:val="21"/>
              </w:rPr>
              <w:t>9.2-4</w:t>
            </w:r>
            <w:r>
              <w:rPr>
                <w:rFonts w:ascii="宋体" w:eastAsia="宋体" w:hint="eastAsia"/>
                <w:position w:val="1"/>
                <w:sz w:val="21"/>
              </w:rPr>
              <w:t>。</w:t>
            </w:r>
          </w:p>
        </w:tc>
        <w:tc>
          <w:tcPr>
            <w:tcW w:w="958" w:type="dxa"/>
            <w:tcBorders>
              <w:top w:val="single" w:sz="6" w:space="0" w:color="000000"/>
              <w:left w:val="single" w:sz="6" w:space="0" w:color="000000"/>
            </w:tcBorders>
          </w:tcPr>
          <w:p>
            <w:pPr>
              <w:pStyle w:val="TableParagraph"/>
              <w:spacing w:before="178"/>
              <w:ind w:left="148" w:right="108"/>
              <w:rPr>
                <w:rFonts w:ascii="宋体" w:eastAsia="宋体" w:hint="eastAsia"/>
                <w:sz w:val="21"/>
              </w:rPr>
            </w:pPr>
            <w:r>
              <w:rPr>
                <w:rFonts w:ascii="宋体" w:eastAsia="宋体" w:hint="eastAsia"/>
                <w:sz w:val="21"/>
              </w:rPr>
              <w:t>符合</w:t>
            </w:r>
          </w:p>
        </w:tc>
      </w:tr>
    </w:tbl>
    <w:p>
      <w:pPr>
        <w:spacing w:before="91"/>
        <w:ind w:left="218" w:right="236" w:firstLine="0"/>
        <w:jc w:val="center"/>
        <w:rPr>
          <w:b/>
          <w:sz w:val="24"/>
        </w:rPr>
      </w:pPr>
      <w:r>
        <w:rPr>
          <w:b/>
          <w:sz w:val="24"/>
        </w:rPr>
        <w:t>表 </w:t>
      </w:r>
      <w:r>
        <w:rPr>
          <w:rFonts w:ascii="Times New Roman" w:eastAsia="Times New Roman"/>
          <w:b/>
          <w:sz w:val="24"/>
        </w:rPr>
        <w:t>9.2-4  </w:t>
      </w:r>
      <w:r>
        <w:rPr>
          <w:b/>
          <w:sz w:val="24"/>
        </w:rPr>
        <w:t>生猪养殖业环境准入指标</w:t>
      </w:r>
    </w:p>
    <w:p>
      <w:pPr>
        <w:pStyle w:val="BodyText"/>
        <w:spacing w:before="2"/>
        <w:ind w:left="0"/>
        <w:rPr>
          <w:b/>
          <w:sz w:val="6"/>
        </w:rPr>
      </w:pPr>
    </w:p>
    <w:tbl>
      <w:tblPr>
        <w:tblW w:w="0" w:type="auto"/>
        <w:jc w:val="left"/>
        <w:tblInd w:w="1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51"/>
        <w:gridCol w:w="1415"/>
        <w:gridCol w:w="1755"/>
        <w:gridCol w:w="2237"/>
        <w:gridCol w:w="2268"/>
        <w:gridCol w:w="912"/>
      </w:tblGrid>
      <w:tr>
        <w:trPr>
          <w:trHeight w:val="359" w:hRule="atLeast"/>
        </w:trPr>
        <w:tc>
          <w:tcPr>
            <w:tcW w:w="3921" w:type="dxa"/>
            <w:gridSpan w:val="3"/>
            <w:tcBorders>
              <w:bottom w:val="single" w:sz="6" w:space="0" w:color="000000"/>
              <w:right w:val="single" w:sz="6" w:space="0" w:color="000000"/>
            </w:tcBorders>
          </w:tcPr>
          <w:p>
            <w:pPr>
              <w:pStyle w:val="TableParagraph"/>
              <w:spacing w:before="46"/>
              <w:ind w:left="1518" w:right="1497"/>
              <w:rPr>
                <w:rFonts w:ascii="宋体" w:eastAsia="宋体" w:hint="eastAsia"/>
                <w:b/>
                <w:sz w:val="21"/>
              </w:rPr>
            </w:pPr>
            <w:r>
              <w:rPr>
                <w:rFonts w:ascii="宋体" w:eastAsia="宋体" w:hint="eastAsia"/>
                <w:b/>
                <w:sz w:val="21"/>
              </w:rPr>
              <w:t>准入指标</w:t>
            </w:r>
          </w:p>
        </w:tc>
        <w:tc>
          <w:tcPr>
            <w:tcW w:w="2237" w:type="dxa"/>
            <w:tcBorders>
              <w:left w:val="single" w:sz="6" w:space="0" w:color="000000"/>
              <w:bottom w:val="single" w:sz="6" w:space="0" w:color="000000"/>
              <w:right w:val="single" w:sz="6" w:space="0" w:color="000000"/>
            </w:tcBorders>
          </w:tcPr>
          <w:p>
            <w:pPr>
              <w:pStyle w:val="TableParagraph"/>
              <w:spacing w:before="46"/>
              <w:ind w:left="31"/>
              <w:rPr>
                <w:rFonts w:ascii="宋体" w:eastAsia="宋体" w:hint="eastAsia"/>
                <w:b/>
                <w:sz w:val="21"/>
              </w:rPr>
            </w:pPr>
            <w:r>
              <w:rPr>
                <w:rFonts w:ascii="宋体" w:eastAsia="宋体" w:hint="eastAsia"/>
                <w:b/>
                <w:sz w:val="21"/>
              </w:rPr>
              <w:t>数值或要求</w:t>
            </w:r>
          </w:p>
        </w:tc>
        <w:tc>
          <w:tcPr>
            <w:tcW w:w="2268" w:type="dxa"/>
            <w:tcBorders>
              <w:left w:val="single" w:sz="6" w:space="0" w:color="000000"/>
              <w:bottom w:val="single" w:sz="6" w:space="0" w:color="000000"/>
              <w:right w:val="single" w:sz="6" w:space="0" w:color="000000"/>
            </w:tcBorders>
          </w:tcPr>
          <w:p>
            <w:pPr>
              <w:pStyle w:val="TableParagraph"/>
              <w:spacing w:before="46"/>
              <w:ind w:left="71" w:right="41"/>
              <w:rPr>
                <w:rFonts w:ascii="宋体" w:eastAsia="宋体" w:hint="eastAsia"/>
                <w:b/>
                <w:sz w:val="21"/>
              </w:rPr>
            </w:pPr>
            <w:r>
              <w:rPr>
                <w:rFonts w:ascii="宋体" w:eastAsia="宋体" w:hint="eastAsia"/>
                <w:b/>
                <w:sz w:val="21"/>
              </w:rPr>
              <w:t>本项目情况</w:t>
            </w:r>
          </w:p>
        </w:tc>
        <w:tc>
          <w:tcPr>
            <w:tcW w:w="912" w:type="dxa"/>
            <w:tcBorders>
              <w:left w:val="single" w:sz="6" w:space="0" w:color="000000"/>
              <w:bottom w:val="single" w:sz="6" w:space="0" w:color="000000"/>
            </w:tcBorders>
          </w:tcPr>
          <w:p>
            <w:pPr>
              <w:pStyle w:val="TableParagraph"/>
              <w:spacing w:before="46"/>
              <w:ind w:left="115" w:right="85"/>
              <w:rPr>
                <w:rFonts w:ascii="宋体" w:eastAsia="宋体" w:hint="eastAsia"/>
                <w:b/>
                <w:sz w:val="21"/>
              </w:rPr>
            </w:pPr>
            <w:r>
              <w:rPr>
                <w:rFonts w:ascii="宋体" w:eastAsia="宋体" w:hint="eastAsia"/>
                <w:b/>
                <w:sz w:val="21"/>
              </w:rPr>
              <w:t>符合性</w:t>
            </w:r>
          </w:p>
        </w:tc>
      </w:tr>
      <w:tr>
        <w:trPr>
          <w:trHeight w:val="359" w:hRule="atLeast"/>
        </w:trPr>
        <w:tc>
          <w:tcPr>
            <w:tcW w:w="3921" w:type="dxa"/>
            <w:gridSpan w:val="3"/>
            <w:tcBorders>
              <w:top w:val="single" w:sz="6" w:space="0" w:color="000000"/>
              <w:bottom w:val="single" w:sz="6" w:space="0" w:color="000000"/>
              <w:right w:val="single" w:sz="6" w:space="0" w:color="000000"/>
            </w:tcBorders>
          </w:tcPr>
          <w:p>
            <w:pPr>
              <w:pStyle w:val="TableParagraph"/>
              <w:spacing w:before="46"/>
              <w:ind w:left="489"/>
              <w:jc w:val="left"/>
              <w:rPr>
                <w:rFonts w:ascii="宋体" w:eastAsia="宋体" w:hint="eastAsia"/>
                <w:sz w:val="21"/>
              </w:rPr>
            </w:pPr>
            <w:r>
              <w:rPr>
                <w:rFonts w:ascii="宋体" w:eastAsia="宋体" w:hint="eastAsia"/>
                <w:sz w:val="21"/>
              </w:rPr>
              <w:t>起始养殖规模（头）（存栏量）</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1"/>
              </w:rPr>
            </w:pPr>
            <w:r>
              <w:rPr>
                <w:sz w:val="21"/>
              </w:rPr>
              <w:t>≥200</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3"/>
              <w:ind w:left="71" w:right="41"/>
              <w:rPr>
                <w:rFonts w:ascii="宋体" w:eastAsia="宋体" w:hint="eastAsia"/>
                <w:sz w:val="21"/>
              </w:rPr>
            </w:pPr>
            <w:r>
              <w:rPr>
                <w:rFonts w:ascii="宋体" w:eastAsia="宋体" w:hint="eastAsia"/>
                <w:position w:val="1"/>
                <w:sz w:val="21"/>
              </w:rPr>
              <w:t>约 </w:t>
            </w:r>
            <w:r>
              <w:rPr>
                <w:sz w:val="21"/>
              </w:rPr>
              <w:t>5 </w:t>
            </w:r>
            <w:r>
              <w:rPr>
                <w:rFonts w:ascii="宋体" w:eastAsia="宋体" w:hint="eastAsia"/>
                <w:position w:val="1"/>
                <w:sz w:val="21"/>
              </w:rPr>
              <w:t>万</w:t>
            </w:r>
          </w:p>
        </w:tc>
        <w:tc>
          <w:tcPr>
            <w:tcW w:w="912" w:type="dxa"/>
            <w:tcBorders>
              <w:top w:val="single" w:sz="6" w:space="0" w:color="000000"/>
              <w:left w:val="single" w:sz="6" w:space="0" w:color="000000"/>
              <w:bottom w:val="single" w:sz="6" w:space="0" w:color="000000"/>
            </w:tcBorders>
          </w:tcPr>
          <w:p>
            <w:pPr>
              <w:pStyle w:val="TableParagraph"/>
              <w:spacing w:before="46"/>
              <w:ind w:left="115" w:right="84"/>
              <w:rPr>
                <w:rFonts w:ascii="宋体" w:eastAsia="宋体" w:hint="eastAsia"/>
                <w:sz w:val="21"/>
              </w:rPr>
            </w:pPr>
            <w:r>
              <w:rPr>
                <w:rFonts w:ascii="宋体" w:eastAsia="宋体" w:hint="eastAsia"/>
                <w:sz w:val="21"/>
              </w:rPr>
              <w:t>符合</w:t>
            </w:r>
          </w:p>
        </w:tc>
      </w:tr>
      <w:tr>
        <w:trPr>
          <w:trHeight w:val="359" w:hRule="atLeast"/>
        </w:trPr>
        <w:tc>
          <w:tcPr>
            <w:tcW w:w="751"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3"/>
              <w:jc w:val="left"/>
              <w:rPr>
                <w:rFonts w:ascii="宋体"/>
                <w:b/>
                <w:sz w:val="29"/>
              </w:rPr>
            </w:pPr>
          </w:p>
          <w:p>
            <w:pPr>
              <w:pStyle w:val="TableParagraph"/>
              <w:spacing w:line="319" w:lineRule="auto" w:before="0"/>
              <w:ind w:left="165" w:right="139"/>
              <w:jc w:val="both"/>
              <w:rPr>
                <w:rFonts w:ascii="宋体" w:eastAsia="宋体" w:hint="eastAsia"/>
                <w:sz w:val="21"/>
              </w:rPr>
            </w:pPr>
            <w:r>
              <w:rPr>
                <w:rFonts w:ascii="宋体" w:eastAsia="宋体" w:hint="eastAsia"/>
                <w:sz w:val="21"/>
              </w:rPr>
              <w:t>工艺与装备</w:t>
            </w:r>
          </w:p>
        </w:tc>
        <w:tc>
          <w:tcPr>
            <w:tcW w:w="31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415" w:right="386"/>
              <w:rPr>
                <w:rFonts w:ascii="宋体" w:eastAsia="宋体" w:hint="eastAsia"/>
                <w:sz w:val="21"/>
              </w:rPr>
            </w:pPr>
            <w:r>
              <w:rPr>
                <w:rFonts w:ascii="宋体" w:eastAsia="宋体" w:hint="eastAsia"/>
                <w:sz w:val="21"/>
              </w:rPr>
              <w:t>清粪工艺</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44"/>
              <w:ind w:left="28"/>
              <w:rPr>
                <w:rFonts w:ascii="宋体" w:eastAsia="宋体" w:hint="eastAsia"/>
                <w:sz w:val="21"/>
              </w:rPr>
            </w:pPr>
            <w:r>
              <w:rPr>
                <w:rFonts w:ascii="宋体" w:eastAsia="宋体" w:hint="eastAsia"/>
                <w:sz w:val="21"/>
              </w:rPr>
              <w:t>干湿分离（推荐）</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4"/>
              <w:ind w:left="71" w:right="42"/>
              <w:rPr>
                <w:rFonts w:ascii="宋体" w:eastAsia="宋体" w:hint="eastAsia"/>
                <w:sz w:val="21"/>
              </w:rPr>
            </w:pPr>
            <w:r>
              <w:rPr>
                <w:rFonts w:ascii="宋体" w:eastAsia="宋体" w:hint="eastAsia"/>
                <w:sz w:val="21"/>
              </w:rPr>
              <w:t>本项目采用干清粪工艺</w:t>
            </w:r>
          </w:p>
        </w:tc>
        <w:tc>
          <w:tcPr>
            <w:tcW w:w="912" w:type="dxa"/>
            <w:tcBorders>
              <w:top w:val="single" w:sz="6" w:space="0" w:color="000000"/>
              <w:left w:val="single" w:sz="6" w:space="0" w:color="000000"/>
              <w:bottom w:val="single" w:sz="6" w:space="0" w:color="000000"/>
            </w:tcBorders>
          </w:tcPr>
          <w:p>
            <w:pPr>
              <w:pStyle w:val="TableParagraph"/>
              <w:spacing w:before="44"/>
              <w:ind w:left="115" w:right="84"/>
              <w:rPr>
                <w:rFonts w:ascii="宋体" w:eastAsia="宋体" w:hint="eastAsia"/>
                <w:sz w:val="21"/>
              </w:rPr>
            </w:pPr>
            <w:r>
              <w:rPr>
                <w:rFonts w:ascii="宋体" w:eastAsia="宋体" w:hint="eastAsia"/>
                <w:sz w:val="21"/>
              </w:rPr>
              <w:t>符合</w:t>
            </w:r>
          </w:p>
        </w:tc>
      </w:tr>
      <w:tr>
        <w:trPr>
          <w:trHeight w:val="359" w:hRule="atLeast"/>
        </w:trPr>
        <w:tc>
          <w:tcPr>
            <w:tcW w:w="751" w:type="dxa"/>
            <w:vMerge/>
            <w:tcBorders>
              <w:top w:val="nil"/>
              <w:bottom w:val="single" w:sz="6" w:space="0" w:color="000000"/>
              <w:right w:val="single" w:sz="6" w:space="0" w:color="000000"/>
            </w:tcBorders>
          </w:tcPr>
          <w:p>
            <w:pPr>
              <w:rPr>
                <w:sz w:val="2"/>
                <w:szCs w:val="2"/>
              </w:rPr>
            </w:pPr>
          </w:p>
        </w:tc>
        <w:tc>
          <w:tcPr>
            <w:tcW w:w="31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4"/>
              <w:ind w:left="415" w:right="386"/>
              <w:rPr>
                <w:rFonts w:ascii="宋体" w:eastAsia="宋体" w:hint="eastAsia"/>
                <w:sz w:val="21"/>
              </w:rPr>
            </w:pPr>
            <w:r>
              <w:rPr>
                <w:rFonts w:ascii="宋体" w:eastAsia="宋体" w:hint="eastAsia"/>
                <w:sz w:val="21"/>
              </w:rPr>
              <w:t>排水工艺</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44"/>
              <w:ind w:left="29"/>
              <w:rPr>
                <w:rFonts w:ascii="宋体" w:eastAsia="宋体" w:hint="eastAsia"/>
                <w:sz w:val="21"/>
              </w:rPr>
            </w:pPr>
            <w:r>
              <w:rPr>
                <w:rFonts w:ascii="宋体" w:eastAsia="宋体" w:hint="eastAsia"/>
                <w:sz w:val="21"/>
              </w:rPr>
              <w:t>清污分流</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4"/>
              <w:ind w:left="68" w:right="42"/>
              <w:rPr>
                <w:rFonts w:ascii="宋体" w:eastAsia="宋体" w:hint="eastAsia"/>
                <w:sz w:val="21"/>
              </w:rPr>
            </w:pPr>
            <w:r>
              <w:rPr>
                <w:rFonts w:ascii="宋体" w:eastAsia="宋体" w:hint="eastAsia"/>
                <w:sz w:val="21"/>
              </w:rPr>
              <w:t>本项目实施清污分流</w:t>
            </w:r>
          </w:p>
        </w:tc>
        <w:tc>
          <w:tcPr>
            <w:tcW w:w="912" w:type="dxa"/>
            <w:tcBorders>
              <w:top w:val="single" w:sz="6" w:space="0" w:color="000000"/>
              <w:left w:val="single" w:sz="6" w:space="0" w:color="000000"/>
              <w:bottom w:val="single" w:sz="6" w:space="0" w:color="000000"/>
            </w:tcBorders>
          </w:tcPr>
          <w:p>
            <w:pPr>
              <w:pStyle w:val="TableParagraph"/>
              <w:spacing w:before="44"/>
              <w:ind w:left="115" w:right="84"/>
              <w:rPr>
                <w:rFonts w:ascii="宋体" w:eastAsia="宋体" w:hint="eastAsia"/>
                <w:sz w:val="21"/>
              </w:rPr>
            </w:pPr>
            <w:r>
              <w:rPr>
                <w:rFonts w:ascii="宋体" w:eastAsia="宋体" w:hint="eastAsia"/>
                <w:sz w:val="21"/>
              </w:rPr>
              <w:t>符合</w:t>
            </w:r>
          </w:p>
        </w:tc>
      </w:tr>
      <w:tr>
        <w:trPr>
          <w:trHeight w:val="1434" w:hRule="atLeast"/>
        </w:trPr>
        <w:tc>
          <w:tcPr>
            <w:tcW w:w="751" w:type="dxa"/>
            <w:vMerge/>
            <w:tcBorders>
              <w:top w:val="nil"/>
              <w:bottom w:val="single" w:sz="6" w:space="0" w:color="000000"/>
              <w:right w:val="single" w:sz="6" w:space="0" w:color="000000"/>
            </w:tcBorders>
          </w:tcPr>
          <w:p>
            <w:pPr>
              <w:rPr>
                <w:sz w:val="2"/>
                <w:szCs w:val="2"/>
              </w:rPr>
            </w:pPr>
          </w:p>
        </w:tc>
        <w:tc>
          <w:tcPr>
            <w:tcW w:w="31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5"/>
              <w:ind w:left="417" w:right="386"/>
              <w:rPr>
                <w:rFonts w:ascii="宋体" w:eastAsia="宋体" w:hint="eastAsia"/>
                <w:sz w:val="21"/>
              </w:rPr>
            </w:pPr>
            <w:r>
              <w:rPr>
                <w:rFonts w:ascii="宋体" w:eastAsia="宋体" w:hint="eastAsia"/>
                <w:sz w:val="21"/>
              </w:rPr>
              <w:t>储液池贮存能力</w:t>
            </w:r>
          </w:p>
          <w:p>
            <w:pPr>
              <w:pStyle w:val="TableParagraph"/>
              <w:spacing w:before="91"/>
              <w:ind w:left="418" w:right="386"/>
              <w:rPr>
                <w:rFonts w:ascii="宋体" w:eastAsia="宋体" w:hint="eastAsia"/>
                <w:sz w:val="21"/>
              </w:rPr>
            </w:pPr>
            <w:r>
              <w:rPr>
                <w:rFonts w:ascii="宋体" w:eastAsia="宋体" w:hint="eastAsia"/>
                <w:sz w:val="21"/>
              </w:rPr>
              <w:t>（委托综合利用的除外）</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178" w:right="147"/>
              <w:jc w:val="both"/>
              <w:rPr>
                <w:rFonts w:ascii="宋体" w:eastAsia="宋体" w:hint="eastAsia"/>
                <w:sz w:val="21"/>
              </w:rPr>
            </w:pPr>
            <w:r>
              <w:rPr>
                <w:rFonts w:ascii="宋体" w:eastAsia="宋体" w:hint="eastAsia"/>
                <w:spacing w:val="-5"/>
                <w:sz w:val="21"/>
              </w:rPr>
              <w:t>不得低于当地农林作物生产用肥的最大间隔时间内养殖场排放</w:t>
            </w:r>
          </w:p>
          <w:p>
            <w:pPr>
              <w:pStyle w:val="TableParagraph"/>
              <w:spacing w:before="1"/>
              <w:ind w:left="116"/>
              <w:jc w:val="left"/>
              <w:rPr>
                <w:rFonts w:ascii="宋体" w:eastAsia="宋体" w:hint="eastAsia"/>
                <w:sz w:val="21"/>
              </w:rPr>
            </w:pPr>
            <w:r>
              <w:rPr>
                <w:rFonts w:ascii="宋体" w:eastAsia="宋体" w:hint="eastAsia"/>
                <w:spacing w:val="-21"/>
                <w:sz w:val="21"/>
              </w:rPr>
              <w:t>沼液</w:t>
            </w:r>
            <w:r>
              <w:rPr>
                <w:rFonts w:ascii="宋体" w:eastAsia="宋体" w:hint="eastAsia"/>
                <w:spacing w:val="-3"/>
                <w:sz w:val="21"/>
              </w:rPr>
              <w:t>（</w:t>
            </w:r>
            <w:r>
              <w:rPr>
                <w:rFonts w:ascii="宋体" w:eastAsia="宋体" w:hint="eastAsia"/>
                <w:spacing w:val="-2"/>
                <w:sz w:val="21"/>
              </w:rPr>
              <w:t>含粪肥</w:t>
            </w:r>
            <w:r>
              <w:rPr>
                <w:rFonts w:ascii="宋体" w:eastAsia="宋体" w:hint="eastAsia"/>
                <w:spacing w:val="-44"/>
                <w:sz w:val="21"/>
              </w:rPr>
              <w:t>）</w:t>
            </w:r>
            <w:r>
              <w:rPr>
                <w:rFonts w:ascii="宋体" w:eastAsia="宋体" w:hint="eastAsia"/>
                <w:spacing w:val="-2"/>
                <w:sz w:val="21"/>
              </w:rPr>
              <w:t>的总量</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44"/>
              <w:ind w:left="89" w:right="58"/>
              <w:jc w:val="both"/>
              <w:rPr>
                <w:rFonts w:ascii="宋体" w:eastAsia="宋体" w:hint="eastAsia"/>
                <w:sz w:val="21"/>
              </w:rPr>
            </w:pPr>
            <w:r>
              <w:rPr>
                <w:rFonts w:ascii="宋体" w:eastAsia="宋体" w:hint="eastAsia"/>
                <w:sz w:val="21"/>
              </w:rPr>
              <w:t>本项目养殖废水经自建污水处理系统处理达标后全部纳入市政污水管</w:t>
            </w:r>
          </w:p>
          <w:p>
            <w:pPr>
              <w:pStyle w:val="TableParagraph"/>
              <w:spacing w:before="1"/>
              <w:ind w:left="404"/>
              <w:jc w:val="left"/>
              <w:rPr>
                <w:rFonts w:ascii="宋体" w:eastAsia="宋体" w:hint="eastAsia"/>
                <w:sz w:val="21"/>
              </w:rPr>
            </w:pPr>
            <w:r>
              <w:rPr>
                <w:rFonts w:ascii="宋体" w:eastAsia="宋体" w:hint="eastAsia"/>
                <w:sz w:val="21"/>
              </w:rPr>
              <w:t>网，不设储液池</w:t>
            </w:r>
          </w:p>
        </w:tc>
        <w:tc>
          <w:tcPr>
            <w:tcW w:w="912"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5"/>
              <w:jc w:val="left"/>
              <w:rPr>
                <w:rFonts w:ascii="宋体"/>
                <w:b/>
                <w:sz w:val="25"/>
              </w:rPr>
            </w:pPr>
          </w:p>
          <w:p>
            <w:pPr>
              <w:pStyle w:val="TableParagraph"/>
              <w:spacing w:before="0"/>
              <w:ind w:left="115" w:right="84"/>
              <w:rPr>
                <w:rFonts w:ascii="宋体" w:eastAsia="宋体" w:hint="eastAsia"/>
                <w:sz w:val="21"/>
              </w:rPr>
            </w:pPr>
            <w:r>
              <w:rPr>
                <w:rFonts w:ascii="宋体" w:eastAsia="宋体" w:hint="eastAsia"/>
                <w:sz w:val="21"/>
              </w:rPr>
              <w:t>符合</w:t>
            </w:r>
          </w:p>
        </w:tc>
      </w:tr>
      <w:tr>
        <w:trPr>
          <w:trHeight w:val="1077" w:hRule="atLeast"/>
        </w:trPr>
        <w:tc>
          <w:tcPr>
            <w:tcW w:w="751" w:type="dxa"/>
            <w:vMerge/>
            <w:tcBorders>
              <w:top w:val="nil"/>
              <w:bottom w:val="single" w:sz="6" w:space="0" w:color="000000"/>
              <w:right w:val="single" w:sz="6" w:space="0" w:color="000000"/>
            </w:tcBorders>
          </w:tcPr>
          <w:p>
            <w:pPr>
              <w:rPr>
                <w:sz w:val="2"/>
                <w:szCs w:val="2"/>
              </w:rPr>
            </w:pPr>
          </w:p>
        </w:tc>
        <w:tc>
          <w:tcPr>
            <w:tcW w:w="31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1065"/>
              <w:jc w:val="left"/>
              <w:rPr>
                <w:rFonts w:ascii="宋体" w:eastAsia="宋体" w:hint="eastAsia"/>
                <w:sz w:val="21"/>
              </w:rPr>
            </w:pPr>
            <w:r>
              <w:rPr>
                <w:rFonts w:ascii="宋体" w:eastAsia="宋体" w:hint="eastAsia"/>
                <w:sz w:val="21"/>
              </w:rPr>
              <w:t>消纳土地量</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148"/>
              <w:ind w:left="31"/>
              <w:rPr>
                <w:rFonts w:ascii="宋体" w:eastAsia="宋体" w:hint="eastAsia"/>
                <w:sz w:val="21"/>
              </w:rPr>
            </w:pPr>
            <w:r>
              <w:rPr>
                <w:rFonts w:ascii="宋体" w:eastAsia="宋体" w:hint="eastAsia"/>
                <w:sz w:val="21"/>
              </w:rPr>
              <w:t>与养殖规模匹配</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4"/>
              <w:ind w:left="13" w:right="-29" w:firstLine="76"/>
              <w:jc w:val="left"/>
              <w:rPr>
                <w:rFonts w:ascii="宋体" w:eastAsia="宋体" w:hint="eastAsia"/>
                <w:sz w:val="21"/>
              </w:rPr>
            </w:pPr>
            <w:r>
              <w:rPr>
                <w:rFonts w:ascii="宋体" w:eastAsia="宋体" w:hint="eastAsia"/>
                <w:spacing w:val="-3"/>
                <w:sz w:val="21"/>
              </w:rPr>
              <w:t>本项目粪便经发酵处理</w:t>
            </w:r>
          </w:p>
          <w:p>
            <w:pPr>
              <w:pStyle w:val="TableParagraph"/>
              <w:spacing w:line="350" w:lineRule="atLeast" w:before="10"/>
              <w:ind w:left="824" w:right="-29" w:hanging="812"/>
              <w:jc w:val="left"/>
              <w:rPr>
                <w:rFonts w:ascii="宋体" w:eastAsia="宋体" w:hint="eastAsia"/>
                <w:sz w:val="21"/>
              </w:rPr>
            </w:pPr>
            <w:r>
              <w:rPr>
                <w:rFonts w:ascii="宋体" w:eastAsia="宋体" w:hint="eastAsia"/>
                <w:spacing w:val="-9"/>
                <w:sz w:val="21"/>
              </w:rPr>
              <w:t>后外运生产有机肥，不土地消纳</w:t>
            </w:r>
          </w:p>
        </w:tc>
        <w:tc>
          <w:tcPr>
            <w:tcW w:w="912"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48"/>
              <w:ind w:left="115" w:right="84"/>
              <w:rPr>
                <w:rFonts w:ascii="宋体" w:eastAsia="宋体" w:hint="eastAsia"/>
                <w:sz w:val="21"/>
              </w:rPr>
            </w:pPr>
            <w:r>
              <w:rPr>
                <w:rFonts w:ascii="宋体" w:eastAsia="宋体" w:hint="eastAsia"/>
                <w:sz w:val="21"/>
              </w:rPr>
              <w:t>符合</w:t>
            </w:r>
          </w:p>
        </w:tc>
      </w:tr>
      <w:tr>
        <w:trPr>
          <w:trHeight w:val="356" w:hRule="atLeast"/>
        </w:trPr>
        <w:tc>
          <w:tcPr>
            <w:tcW w:w="751" w:type="dxa"/>
            <w:vMerge w:val="restart"/>
            <w:tcBorders>
              <w:top w:val="single" w:sz="6" w:space="0" w:color="000000"/>
              <w:bottom w:val="single" w:sz="6" w:space="0" w:color="000000"/>
              <w:right w:val="single" w:sz="6" w:space="0" w:color="000000"/>
            </w:tcBorders>
          </w:tcPr>
          <w:p>
            <w:pPr>
              <w:pStyle w:val="TableParagraph"/>
              <w:spacing w:before="51"/>
              <w:ind w:left="61"/>
              <w:jc w:val="left"/>
              <w:rPr>
                <w:rFonts w:ascii="宋体" w:eastAsia="宋体" w:hint="eastAsia"/>
                <w:sz w:val="21"/>
              </w:rPr>
            </w:pPr>
            <w:r>
              <w:rPr>
                <w:rFonts w:ascii="宋体" w:eastAsia="宋体" w:hint="eastAsia"/>
                <w:sz w:val="21"/>
              </w:rPr>
              <w:t>资源利</w:t>
            </w:r>
          </w:p>
          <w:p>
            <w:pPr>
              <w:pStyle w:val="TableParagraph"/>
              <w:spacing w:before="91"/>
              <w:ind w:left="61"/>
              <w:jc w:val="left"/>
              <w:rPr>
                <w:rFonts w:ascii="宋体" w:eastAsia="宋体" w:hint="eastAsia"/>
                <w:sz w:val="21"/>
              </w:rPr>
            </w:pPr>
            <w:r>
              <w:rPr>
                <w:rFonts w:ascii="宋体" w:eastAsia="宋体" w:hint="eastAsia"/>
                <w:sz w:val="21"/>
              </w:rPr>
              <w:t>用指标</w:t>
            </w:r>
          </w:p>
        </w:tc>
        <w:tc>
          <w:tcPr>
            <w:tcW w:w="31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1"/>
              <w:ind w:left="559"/>
              <w:jc w:val="left"/>
              <w:rPr>
                <w:rFonts w:ascii="宋体" w:eastAsia="宋体" w:hint="eastAsia"/>
                <w:sz w:val="21"/>
              </w:rPr>
            </w:pPr>
            <w:r>
              <w:rPr>
                <w:rFonts w:ascii="宋体" w:eastAsia="宋体" w:hint="eastAsia"/>
                <w:position w:val="1"/>
                <w:sz w:val="21"/>
              </w:rPr>
              <w:t>固废综合利用率（</w:t>
            </w:r>
            <w:r>
              <w:rPr>
                <w:sz w:val="21"/>
              </w:rPr>
              <w:t>%</w:t>
            </w:r>
            <w:r>
              <w:rPr>
                <w:rFonts w:ascii="宋体" w:eastAsia="宋体" w:hint="eastAsia"/>
                <w:position w:val="1"/>
                <w:sz w:val="21"/>
              </w:rPr>
              <w:t>）</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sz w:val="21"/>
              </w:rPr>
              <w:t>100</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ind w:left="71" w:right="41"/>
              <w:rPr>
                <w:sz w:val="21"/>
              </w:rPr>
            </w:pPr>
            <w:r>
              <w:rPr>
                <w:sz w:val="21"/>
              </w:rPr>
              <w:t>100</w:t>
            </w:r>
          </w:p>
        </w:tc>
        <w:tc>
          <w:tcPr>
            <w:tcW w:w="912" w:type="dxa"/>
            <w:tcBorders>
              <w:top w:val="single" w:sz="6" w:space="0" w:color="000000"/>
              <w:left w:val="single" w:sz="6" w:space="0" w:color="000000"/>
              <w:bottom w:val="single" w:sz="6" w:space="0" w:color="000000"/>
            </w:tcBorders>
          </w:tcPr>
          <w:p>
            <w:pPr>
              <w:pStyle w:val="TableParagraph"/>
              <w:spacing w:before="44"/>
              <w:ind w:left="115" w:right="84"/>
              <w:rPr>
                <w:rFonts w:ascii="宋体" w:eastAsia="宋体" w:hint="eastAsia"/>
                <w:sz w:val="21"/>
              </w:rPr>
            </w:pPr>
            <w:r>
              <w:rPr>
                <w:rFonts w:ascii="宋体" w:eastAsia="宋体" w:hint="eastAsia"/>
                <w:sz w:val="21"/>
              </w:rPr>
              <w:t>符合</w:t>
            </w:r>
          </w:p>
        </w:tc>
      </w:tr>
      <w:tr>
        <w:trPr>
          <w:trHeight w:val="359" w:hRule="atLeast"/>
        </w:trPr>
        <w:tc>
          <w:tcPr>
            <w:tcW w:w="751" w:type="dxa"/>
            <w:vMerge/>
            <w:tcBorders>
              <w:top w:val="nil"/>
              <w:bottom w:val="single" w:sz="6" w:space="0" w:color="000000"/>
              <w:right w:val="single" w:sz="6" w:space="0" w:color="000000"/>
            </w:tcBorders>
          </w:tcPr>
          <w:p>
            <w:pPr>
              <w:rPr>
                <w:sz w:val="2"/>
                <w:szCs w:val="2"/>
              </w:rPr>
            </w:pPr>
          </w:p>
        </w:tc>
        <w:tc>
          <w:tcPr>
            <w:tcW w:w="31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43"/>
              <w:ind w:left="139"/>
              <w:jc w:val="left"/>
              <w:rPr>
                <w:rFonts w:ascii="宋体" w:eastAsia="宋体" w:hint="eastAsia"/>
                <w:sz w:val="21"/>
              </w:rPr>
            </w:pPr>
            <w:r>
              <w:rPr>
                <w:rFonts w:ascii="宋体" w:eastAsia="宋体" w:hint="eastAsia"/>
                <w:position w:val="1"/>
                <w:sz w:val="21"/>
              </w:rPr>
              <w:t>废水综合利用率或达标率（</w:t>
            </w:r>
            <w:r>
              <w:rPr>
                <w:sz w:val="21"/>
              </w:rPr>
              <w:t>%</w:t>
            </w:r>
            <w:r>
              <w:rPr>
                <w:rFonts w:ascii="宋体" w:eastAsia="宋体" w:hint="eastAsia"/>
                <w:position w:val="1"/>
                <w:sz w:val="21"/>
              </w:rPr>
              <w:t>）</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60"/>
              <w:ind w:left="31"/>
              <w:rPr>
                <w:sz w:val="21"/>
              </w:rPr>
            </w:pPr>
            <w:r>
              <w:rPr>
                <w:sz w:val="21"/>
              </w:rPr>
              <w:t>100</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60"/>
              <w:ind w:left="71" w:right="41"/>
              <w:rPr>
                <w:sz w:val="21"/>
              </w:rPr>
            </w:pPr>
            <w:r>
              <w:rPr>
                <w:sz w:val="21"/>
              </w:rPr>
              <w:t>100</w:t>
            </w:r>
          </w:p>
        </w:tc>
        <w:tc>
          <w:tcPr>
            <w:tcW w:w="912" w:type="dxa"/>
            <w:tcBorders>
              <w:top w:val="single" w:sz="6" w:space="0" w:color="000000"/>
              <w:left w:val="single" w:sz="6" w:space="0" w:color="000000"/>
              <w:bottom w:val="single" w:sz="6" w:space="0" w:color="000000"/>
            </w:tcBorders>
          </w:tcPr>
          <w:p>
            <w:pPr>
              <w:pStyle w:val="TableParagraph"/>
              <w:spacing w:before="46"/>
              <w:ind w:left="115" w:right="84"/>
              <w:rPr>
                <w:rFonts w:ascii="宋体" w:eastAsia="宋体" w:hint="eastAsia"/>
                <w:sz w:val="21"/>
              </w:rPr>
            </w:pPr>
            <w:r>
              <w:rPr>
                <w:rFonts w:ascii="宋体" w:eastAsia="宋体" w:hint="eastAsia"/>
                <w:sz w:val="21"/>
              </w:rPr>
              <w:t>符合</w:t>
            </w:r>
          </w:p>
        </w:tc>
      </w:tr>
      <w:tr>
        <w:trPr>
          <w:trHeight w:val="351" w:hRule="atLeast"/>
        </w:trPr>
        <w:tc>
          <w:tcPr>
            <w:tcW w:w="751" w:type="dxa"/>
            <w:vMerge w:val="restart"/>
            <w:tcBorders>
              <w:top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9"/>
              <w:jc w:val="left"/>
              <w:rPr>
                <w:rFonts w:ascii="宋体"/>
                <w:b/>
                <w:sz w:val="21"/>
              </w:rPr>
            </w:pPr>
          </w:p>
          <w:p>
            <w:pPr>
              <w:pStyle w:val="TableParagraph"/>
              <w:spacing w:line="319" w:lineRule="auto" w:before="0"/>
              <w:ind w:left="61" w:right="31"/>
              <w:rPr>
                <w:rFonts w:ascii="宋体" w:eastAsia="宋体" w:hint="eastAsia"/>
                <w:sz w:val="21"/>
              </w:rPr>
            </w:pPr>
            <w:r>
              <w:rPr>
                <w:rFonts w:ascii="宋体" w:eastAsia="宋体" w:hint="eastAsia"/>
                <w:sz w:val="21"/>
              </w:rPr>
              <w:t>污染物控制指标</w:t>
            </w:r>
          </w:p>
        </w:tc>
        <w:tc>
          <w:tcPr>
            <w:tcW w:w="14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3"/>
              <w:ind w:left="199"/>
              <w:jc w:val="left"/>
              <w:rPr>
                <w:rFonts w:ascii="宋体" w:eastAsia="宋体" w:hint="eastAsia"/>
                <w:sz w:val="21"/>
              </w:rPr>
            </w:pPr>
            <w:r>
              <w:rPr>
                <w:rFonts w:ascii="宋体" w:eastAsia="宋体" w:hint="eastAsia"/>
                <w:spacing w:val="-1"/>
                <w:sz w:val="21"/>
              </w:rPr>
              <w:t>废水产生量</w:t>
            </w:r>
          </w:p>
          <w:p>
            <w:pPr>
              <w:pStyle w:val="TableParagraph"/>
              <w:spacing w:before="86"/>
              <w:ind w:left="160"/>
              <w:jc w:val="left"/>
              <w:rPr>
                <w:sz w:val="21"/>
              </w:rPr>
            </w:pPr>
            <w:r>
              <w:rPr>
                <w:sz w:val="21"/>
              </w:rPr>
              <w:t>m</w:t>
            </w:r>
            <w:r>
              <w:rPr>
                <w:position w:val="7"/>
                <w:sz w:val="14"/>
              </w:rPr>
              <w:t>3</w:t>
            </w:r>
            <w:r>
              <w:rPr>
                <w:sz w:val="21"/>
              </w:rPr>
              <w:t>/(</w:t>
            </w:r>
            <w:r>
              <w:rPr>
                <w:rFonts w:ascii="宋体" w:hAnsi="宋体" w:eastAsia="宋体" w:hint="eastAsia"/>
                <w:spacing w:val="-1"/>
                <w:position w:val="1"/>
                <w:sz w:val="21"/>
              </w:rPr>
              <w:t>百头</w:t>
            </w:r>
            <w:r>
              <w:rPr>
                <w:spacing w:val="-6"/>
                <w:sz w:val="21"/>
              </w:rPr>
              <w:t>·</w:t>
            </w:r>
            <w:r>
              <w:rPr>
                <w:rFonts w:ascii="宋体" w:hAnsi="宋体" w:eastAsia="宋体" w:hint="eastAsia"/>
                <w:position w:val="1"/>
                <w:sz w:val="21"/>
              </w:rPr>
              <w:t>天</w:t>
            </w:r>
            <w:r>
              <w:rPr>
                <w:sz w:val="21"/>
              </w:rPr>
              <w:t>)</w:t>
            </w: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44"/>
              <w:ind w:left="114" w:right="61"/>
              <w:rPr>
                <w:rFonts w:ascii="宋体" w:eastAsia="宋体" w:hint="eastAsia"/>
                <w:sz w:val="21"/>
              </w:rPr>
            </w:pPr>
            <w:r>
              <w:rPr>
                <w:rFonts w:ascii="宋体" w:eastAsia="宋体" w:hint="eastAsia"/>
                <w:sz w:val="21"/>
              </w:rPr>
              <w:t>冬季</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ind w:left="31"/>
              <w:rPr>
                <w:sz w:val="21"/>
              </w:rPr>
            </w:pPr>
            <w:r>
              <w:rPr>
                <w:sz w:val="21"/>
              </w:rPr>
              <w:t>≤0.8</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41"/>
              <w:ind w:left="69" w:right="42"/>
              <w:rPr>
                <w:sz w:val="21"/>
              </w:rPr>
            </w:pPr>
            <w:r>
              <w:rPr>
                <w:rFonts w:ascii="宋体" w:eastAsia="宋体" w:hint="eastAsia"/>
                <w:position w:val="1"/>
                <w:sz w:val="21"/>
              </w:rPr>
              <w:t>最大为 </w:t>
            </w:r>
            <w:r>
              <w:rPr>
                <w:sz w:val="21"/>
              </w:rPr>
              <w:t>0.87</w:t>
            </w:r>
          </w:p>
        </w:tc>
        <w:tc>
          <w:tcPr>
            <w:tcW w:w="912" w:type="dxa"/>
            <w:tcBorders>
              <w:top w:val="single" w:sz="6" w:space="0" w:color="000000"/>
              <w:left w:val="single" w:sz="6" w:space="0" w:color="000000"/>
              <w:bottom w:val="single" w:sz="6" w:space="0" w:color="000000"/>
            </w:tcBorders>
          </w:tcPr>
          <w:p>
            <w:pPr>
              <w:pStyle w:val="TableParagraph"/>
              <w:spacing w:before="44"/>
              <w:ind w:left="115" w:right="84"/>
              <w:rPr>
                <w:rFonts w:ascii="宋体" w:eastAsia="宋体" w:hint="eastAsia"/>
                <w:sz w:val="21"/>
              </w:rPr>
            </w:pPr>
            <w:r>
              <w:rPr>
                <w:rFonts w:ascii="宋体" w:eastAsia="宋体" w:hint="eastAsia"/>
                <w:sz w:val="21"/>
              </w:rPr>
              <w:t>符合</w:t>
            </w:r>
          </w:p>
        </w:tc>
      </w:tr>
      <w:tr>
        <w:trPr>
          <w:trHeight w:val="344" w:hRule="atLeast"/>
        </w:trPr>
        <w:tc>
          <w:tcPr>
            <w:tcW w:w="751" w:type="dxa"/>
            <w:vMerge/>
            <w:tcBorders>
              <w:top w:val="nil"/>
              <w:right w:val="single" w:sz="6" w:space="0" w:color="000000"/>
            </w:tcBorders>
          </w:tcPr>
          <w:p>
            <w:pPr>
              <w:rPr>
                <w:sz w:val="2"/>
                <w:szCs w:val="2"/>
              </w:rPr>
            </w:pPr>
          </w:p>
        </w:tc>
        <w:tc>
          <w:tcPr>
            <w:tcW w:w="1415" w:type="dxa"/>
            <w:vMerge/>
            <w:tcBorders>
              <w:top w:val="nil"/>
              <w:left w:val="single" w:sz="6" w:space="0" w:color="000000"/>
              <w:bottom w:val="single" w:sz="6" w:space="0" w:color="000000"/>
              <w:right w:val="single" w:sz="6" w:space="0" w:color="000000"/>
            </w:tcBorders>
          </w:tcPr>
          <w:p>
            <w:pPr>
              <w:rPr>
                <w:sz w:val="2"/>
                <w:szCs w:val="2"/>
              </w:rPr>
            </w:pP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36"/>
              <w:ind w:left="114" w:right="61"/>
              <w:rPr>
                <w:rFonts w:ascii="宋体" w:eastAsia="宋体" w:hint="eastAsia"/>
                <w:sz w:val="21"/>
              </w:rPr>
            </w:pPr>
            <w:r>
              <w:rPr>
                <w:rFonts w:ascii="宋体" w:eastAsia="宋体" w:hint="eastAsia"/>
                <w:sz w:val="21"/>
              </w:rPr>
              <w:t>夏季</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50"/>
              <w:ind w:left="31"/>
              <w:rPr>
                <w:sz w:val="21"/>
              </w:rPr>
            </w:pPr>
            <w:r>
              <w:rPr>
                <w:sz w:val="21"/>
              </w:rPr>
              <w:t>≤1.0</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33"/>
              <w:ind w:left="69" w:right="42"/>
              <w:rPr>
                <w:sz w:val="21"/>
              </w:rPr>
            </w:pPr>
            <w:r>
              <w:rPr>
                <w:rFonts w:ascii="宋体" w:eastAsia="宋体" w:hint="eastAsia"/>
                <w:position w:val="1"/>
                <w:sz w:val="21"/>
              </w:rPr>
              <w:t>最大为 </w:t>
            </w:r>
            <w:r>
              <w:rPr>
                <w:sz w:val="21"/>
              </w:rPr>
              <w:t>0.73</w:t>
            </w:r>
          </w:p>
        </w:tc>
        <w:tc>
          <w:tcPr>
            <w:tcW w:w="912" w:type="dxa"/>
            <w:tcBorders>
              <w:top w:val="single" w:sz="6" w:space="0" w:color="000000"/>
              <w:left w:val="single" w:sz="6" w:space="0" w:color="000000"/>
              <w:bottom w:val="single" w:sz="6" w:space="0" w:color="000000"/>
            </w:tcBorders>
          </w:tcPr>
          <w:p>
            <w:pPr>
              <w:pStyle w:val="TableParagraph"/>
              <w:spacing w:before="36"/>
              <w:ind w:left="115" w:right="84"/>
              <w:rPr>
                <w:rFonts w:ascii="宋体" w:eastAsia="宋体" w:hint="eastAsia"/>
                <w:sz w:val="21"/>
              </w:rPr>
            </w:pPr>
            <w:r>
              <w:rPr>
                <w:rFonts w:ascii="宋体" w:eastAsia="宋体" w:hint="eastAsia"/>
                <w:sz w:val="21"/>
              </w:rPr>
              <w:t>符合</w:t>
            </w:r>
          </w:p>
        </w:tc>
      </w:tr>
      <w:tr>
        <w:trPr>
          <w:trHeight w:val="342" w:hRule="atLeast"/>
        </w:trPr>
        <w:tc>
          <w:tcPr>
            <w:tcW w:w="751" w:type="dxa"/>
            <w:vMerge/>
            <w:tcBorders>
              <w:top w:val="nil"/>
              <w:right w:val="single" w:sz="6" w:space="0" w:color="000000"/>
            </w:tcBorders>
          </w:tcPr>
          <w:p>
            <w:pPr>
              <w:rPr>
                <w:sz w:val="2"/>
                <w:szCs w:val="2"/>
              </w:rPr>
            </w:pPr>
          </w:p>
        </w:tc>
        <w:tc>
          <w:tcPr>
            <w:tcW w:w="1415"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7"/>
              <w:jc w:val="left"/>
              <w:rPr>
                <w:rFonts w:ascii="宋体"/>
                <w:b/>
                <w:sz w:val="16"/>
              </w:rPr>
            </w:pPr>
          </w:p>
          <w:p>
            <w:pPr>
              <w:pStyle w:val="TableParagraph"/>
              <w:spacing w:before="0"/>
              <w:ind w:left="199"/>
              <w:jc w:val="left"/>
              <w:rPr>
                <w:rFonts w:ascii="宋体" w:eastAsia="宋体" w:hint="eastAsia"/>
                <w:sz w:val="21"/>
              </w:rPr>
            </w:pPr>
            <w:r>
              <w:rPr>
                <w:rFonts w:ascii="宋体" w:eastAsia="宋体" w:hint="eastAsia"/>
                <w:sz w:val="21"/>
              </w:rPr>
              <w:t>水排放浓度</w:t>
            </w: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36"/>
              <w:ind w:left="114" w:right="61"/>
              <w:rPr>
                <w:rFonts w:ascii="宋体" w:eastAsia="宋体" w:hint="eastAsia"/>
                <w:sz w:val="21"/>
              </w:rPr>
            </w:pPr>
            <w:r>
              <w:rPr>
                <w:rFonts w:ascii="宋体" w:eastAsia="宋体" w:hint="eastAsia"/>
                <w:sz w:val="21"/>
              </w:rPr>
              <w:t>农灌</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36"/>
              <w:ind w:left="31"/>
              <w:rPr>
                <w:rFonts w:ascii="宋体" w:eastAsia="宋体" w:hint="eastAsia"/>
                <w:sz w:val="21"/>
              </w:rPr>
            </w:pPr>
            <w:r>
              <w:rPr>
                <w:rFonts w:ascii="宋体" w:eastAsia="宋体" w:hint="eastAsia"/>
                <w:sz w:val="21"/>
              </w:rPr>
              <w:t>《农田灌溉水质标准》</w:t>
            </w:r>
          </w:p>
        </w:tc>
        <w:tc>
          <w:tcPr>
            <w:tcW w:w="226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43"/>
              <w:ind w:left="89"/>
              <w:jc w:val="left"/>
              <w:rPr>
                <w:rFonts w:ascii="宋体" w:eastAsia="宋体" w:hint="eastAsia"/>
                <w:sz w:val="21"/>
              </w:rPr>
            </w:pPr>
            <w:r>
              <w:rPr>
                <w:rFonts w:ascii="宋体" w:eastAsia="宋体" w:hint="eastAsia"/>
                <w:sz w:val="21"/>
              </w:rPr>
              <w:t>本项目养殖废水经自建</w:t>
            </w:r>
          </w:p>
          <w:p>
            <w:pPr>
              <w:pStyle w:val="TableParagraph"/>
              <w:spacing w:line="350" w:lineRule="atLeast" w:before="10"/>
              <w:ind w:left="613" w:right="58" w:hanging="524"/>
              <w:jc w:val="left"/>
              <w:rPr>
                <w:rFonts w:ascii="宋体" w:eastAsia="宋体" w:hint="eastAsia"/>
                <w:sz w:val="21"/>
              </w:rPr>
            </w:pPr>
            <w:r>
              <w:rPr>
                <w:rFonts w:ascii="宋体" w:eastAsia="宋体" w:hint="eastAsia"/>
                <w:sz w:val="21"/>
              </w:rPr>
              <w:t>污水处理系统处理达标后全部纳管</w:t>
            </w:r>
          </w:p>
        </w:tc>
        <w:tc>
          <w:tcPr>
            <w:tcW w:w="912" w:type="dxa"/>
            <w:tcBorders>
              <w:top w:val="single" w:sz="6" w:space="0" w:color="000000"/>
              <w:left w:val="single" w:sz="6" w:space="0" w:color="000000"/>
              <w:bottom w:val="single" w:sz="6" w:space="0" w:color="000000"/>
            </w:tcBorders>
          </w:tcPr>
          <w:p>
            <w:pPr>
              <w:pStyle w:val="TableParagraph"/>
              <w:spacing w:before="36"/>
              <w:ind w:left="115" w:right="84"/>
              <w:rPr>
                <w:rFonts w:ascii="宋体" w:eastAsia="宋体" w:hint="eastAsia"/>
                <w:sz w:val="21"/>
              </w:rPr>
            </w:pPr>
            <w:r>
              <w:rPr>
                <w:rFonts w:ascii="宋体" w:eastAsia="宋体" w:hint="eastAsia"/>
                <w:sz w:val="21"/>
              </w:rPr>
              <w:t>符合</w:t>
            </w:r>
          </w:p>
        </w:tc>
      </w:tr>
      <w:tr>
        <w:trPr>
          <w:trHeight w:val="704" w:hRule="atLeast"/>
        </w:trPr>
        <w:tc>
          <w:tcPr>
            <w:tcW w:w="751" w:type="dxa"/>
            <w:vMerge/>
            <w:tcBorders>
              <w:top w:val="nil"/>
              <w:right w:val="single" w:sz="6" w:space="0" w:color="000000"/>
            </w:tcBorders>
          </w:tcPr>
          <w:p>
            <w:pPr>
              <w:rPr>
                <w:sz w:val="2"/>
                <w:szCs w:val="2"/>
              </w:rPr>
            </w:pPr>
          </w:p>
        </w:tc>
        <w:tc>
          <w:tcPr>
            <w:tcW w:w="1415" w:type="dxa"/>
            <w:vMerge/>
            <w:tcBorders>
              <w:top w:val="nil"/>
              <w:left w:val="single" w:sz="6" w:space="0" w:color="000000"/>
              <w:bottom w:val="single" w:sz="6" w:space="0" w:color="000000"/>
              <w:right w:val="single" w:sz="6" w:space="0" w:color="000000"/>
            </w:tcBorders>
          </w:tcPr>
          <w:p>
            <w:pPr>
              <w:rPr>
                <w:sz w:val="2"/>
                <w:szCs w:val="2"/>
              </w:rPr>
            </w:pP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6"/>
              </w:rPr>
            </w:pPr>
          </w:p>
          <w:p>
            <w:pPr>
              <w:pStyle w:val="TableParagraph"/>
              <w:spacing w:before="0"/>
              <w:ind w:left="114" w:right="61"/>
              <w:rPr>
                <w:rFonts w:ascii="宋体" w:eastAsia="宋体" w:hint="eastAsia"/>
                <w:sz w:val="21"/>
              </w:rPr>
            </w:pPr>
            <w:r>
              <w:rPr>
                <w:rFonts w:ascii="宋体" w:eastAsia="宋体" w:hint="eastAsia"/>
                <w:sz w:val="21"/>
              </w:rPr>
              <w:t>纳管</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39"/>
              <w:ind w:left="112"/>
              <w:rPr>
                <w:rFonts w:ascii="宋体" w:eastAsia="宋体" w:hint="eastAsia"/>
                <w:sz w:val="21"/>
              </w:rPr>
            </w:pPr>
            <w:r>
              <w:rPr>
                <w:rFonts w:ascii="宋体" w:eastAsia="宋体" w:hint="eastAsia"/>
                <w:sz w:val="21"/>
              </w:rPr>
              <w:t>《污水综合排放标准》</w:t>
            </w:r>
          </w:p>
          <w:p>
            <w:pPr>
              <w:pStyle w:val="TableParagraph"/>
              <w:spacing w:before="88"/>
              <w:ind w:left="29"/>
              <w:rPr>
                <w:rFonts w:ascii="宋体" w:eastAsia="宋体" w:hint="eastAsia"/>
                <w:sz w:val="21"/>
              </w:rPr>
            </w:pPr>
            <w:r>
              <w:rPr>
                <w:rFonts w:ascii="宋体" w:eastAsia="宋体" w:hint="eastAsia"/>
                <w:sz w:val="21"/>
              </w:rPr>
              <w:t>三级标准</w:t>
            </w:r>
          </w:p>
        </w:tc>
        <w:tc>
          <w:tcPr>
            <w:tcW w:w="2268" w:type="dxa"/>
            <w:vMerge/>
            <w:tcBorders>
              <w:top w:val="nil"/>
              <w:left w:val="single" w:sz="6" w:space="0" w:color="000000"/>
              <w:bottom w:val="single" w:sz="6" w:space="0" w:color="000000"/>
              <w:right w:val="single" w:sz="6" w:space="0" w:color="000000"/>
            </w:tcBorders>
          </w:tcPr>
          <w:p>
            <w:pPr>
              <w:rPr>
                <w:sz w:val="2"/>
                <w:szCs w:val="2"/>
              </w:rPr>
            </w:pPr>
          </w:p>
        </w:tc>
        <w:tc>
          <w:tcPr>
            <w:tcW w:w="912" w:type="dxa"/>
            <w:tcBorders>
              <w:top w:val="single" w:sz="6" w:space="0" w:color="000000"/>
              <w:left w:val="single" w:sz="6" w:space="0" w:color="000000"/>
              <w:bottom w:val="single" w:sz="6" w:space="0" w:color="000000"/>
            </w:tcBorders>
          </w:tcPr>
          <w:p>
            <w:pPr>
              <w:pStyle w:val="TableParagraph"/>
              <w:spacing w:before="11"/>
              <w:jc w:val="left"/>
              <w:rPr>
                <w:rFonts w:ascii="宋体"/>
                <w:b/>
                <w:sz w:val="16"/>
              </w:rPr>
            </w:pPr>
          </w:p>
          <w:p>
            <w:pPr>
              <w:pStyle w:val="TableParagraph"/>
              <w:spacing w:before="0"/>
              <w:ind w:left="115" w:right="84"/>
              <w:rPr>
                <w:rFonts w:ascii="宋体" w:eastAsia="宋体" w:hint="eastAsia"/>
                <w:sz w:val="21"/>
              </w:rPr>
            </w:pPr>
            <w:r>
              <w:rPr>
                <w:rFonts w:ascii="宋体" w:eastAsia="宋体" w:hint="eastAsia"/>
                <w:sz w:val="21"/>
              </w:rPr>
              <w:t>符合</w:t>
            </w:r>
          </w:p>
        </w:tc>
      </w:tr>
      <w:tr>
        <w:trPr>
          <w:trHeight w:val="1419" w:hRule="atLeast"/>
        </w:trPr>
        <w:tc>
          <w:tcPr>
            <w:tcW w:w="751" w:type="dxa"/>
            <w:vMerge/>
            <w:tcBorders>
              <w:top w:val="nil"/>
              <w:right w:val="single" w:sz="6" w:space="0" w:color="000000"/>
            </w:tcBorders>
          </w:tcPr>
          <w:p>
            <w:pPr>
              <w:rPr>
                <w:sz w:val="2"/>
                <w:szCs w:val="2"/>
              </w:rPr>
            </w:pPr>
          </w:p>
        </w:tc>
        <w:tc>
          <w:tcPr>
            <w:tcW w:w="1415" w:type="dxa"/>
            <w:vMerge/>
            <w:tcBorders>
              <w:top w:val="nil"/>
              <w:left w:val="single" w:sz="6" w:space="0" w:color="000000"/>
              <w:bottom w:val="single" w:sz="6" w:space="0" w:color="000000"/>
              <w:right w:val="single" w:sz="6" w:space="0" w:color="000000"/>
            </w:tcBorders>
          </w:tcPr>
          <w:p>
            <w:pPr>
              <w:rPr>
                <w:sz w:val="2"/>
                <w:szCs w:val="2"/>
              </w:rPr>
            </w:pP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36"/>
              <w:ind w:left="56"/>
              <w:jc w:val="both"/>
              <w:rPr>
                <w:rFonts w:ascii="宋体" w:eastAsia="宋体" w:hint="eastAsia"/>
                <w:sz w:val="21"/>
              </w:rPr>
            </w:pPr>
            <w:r>
              <w:rPr>
                <w:rFonts w:ascii="宋体" w:eastAsia="宋体" w:hint="eastAsia"/>
                <w:spacing w:val="-2"/>
                <w:sz w:val="21"/>
              </w:rPr>
              <w:t>环境敏感区</w:t>
            </w:r>
            <w:r>
              <w:rPr>
                <w:rFonts w:ascii="宋体" w:eastAsia="宋体" w:hint="eastAsia"/>
                <w:sz w:val="21"/>
              </w:rPr>
              <w:t>（</w:t>
            </w:r>
            <w:r>
              <w:rPr>
                <w:rFonts w:ascii="宋体" w:eastAsia="宋体" w:hint="eastAsia"/>
                <w:spacing w:val="-10"/>
                <w:sz w:val="21"/>
              </w:rPr>
              <w:t>含养</w:t>
            </w:r>
            <w:r>
              <w:rPr>
                <w:rFonts w:ascii="宋体" w:eastAsia="宋体" w:hint="eastAsia"/>
                <w:spacing w:val="-5"/>
                <w:sz w:val="21"/>
              </w:rPr>
              <w:t>殖总量超过环境承载能力、环境功能</w:t>
            </w:r>
          </w:p>
          <w:p>
            <w:pPr>
              <w:pStyle w:val="TableParagraph"/>
              <w:spacing w:before="2"/>
              <w:ind w:left="56"/>
              <w:jc w:val="left"/>
              <w:rPr>
                <w:rFonts w:ascii="宋体" w:eastAsia="宋体" w:hint="eastAsia"/>
                <w:sz w:val="21"/>
              </w:rPr>
            </w:pPr>
            <w:r>
              <w:rPr>
                <w:rFonts w:ascii="宋体" w:eastAsia="宋体" w:hint="eastAsia"/>
                <w:spacing w:val="-3"/>
                <w:sz w:val="21"/>
              </w:rPr>
              <w:t>区未达标等区域</w:t>
            </w:r>
            <w:r>
              <w:rPr>
                <w:rFonts w:ascii="宋体" w:eastAsia="宋体" w:hint="eastAsia"/>
                <w:spacing w:val="-17"/>
                <w:sz w:val="21"/>
              </w:rPr>
              <w:t>）</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line="321" w:lineRule="auto" w:before="138"/>
              <w:ind w:left="704" w:right="1" w:hanging="589"/>
              <w:jc w:val="left"/>
              <w:rPr>
                <w:rFonts w:ascii="宋体" w:eastAsia="宋体" w:hint="eastAsia"/>
                <w:sz w:val="21"/>
              </w:rPr>
            </w:pPr>
            <w:r>
              <w:rPr>
                <w:rFonts w:ascii="宋体" w:eastAsia="宋体" w:hint="eastAsia"/>
                <w:sz w:val="21"/>
              </w:rPr>
              <w:t>《污水综合排放标准》相应标准</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line="319" w:lineRule="auto" w:before="36"/>
              <w:ind w:left="13" w:right="-29" w:hanging="1"/>
              <w:rPr>
                <w:rFonts w:ascii="宋体" w:eastAsia="宋体" w:hint="eastAsia"/>
                <w:sz w:val="21"/>
              </w:rPr>
            </w:pPr>
            <w:r>
              <w:rPr>
                <w:rFonts w:ascii="宋体" w:eastAsia="宋体" w:hint="eastAsia"/>
                <w:spacing w:val="-9"/>
                <w:sz w:val="21"/>
              </w:rPr>
              <w:t>项目废水均纳管排放，粪</w:t>
            </w:r>
            <w:r>
              <w:rPr>
                <w:rFonts w:ascii="宋体" w:eastAsia="宋体" w:hint="eastAsia"/>
                <w:spacing w:val="-5"/>
                <w:sz w:val="21"/>
              </w:rPr>
              <w:t>便经发酵处理后外运生</w:t>
            </w:r>
            <w:r>
              <w:rPr>
                <w:rFonts w:ascii="宋体" w:eastAsia="宋体" w:hint="eastAsia"/>
                <w:spacing w:val="-10"/>
                <w:sz w:val="21"/>
              </w:rPr>
              <w:t>产有机肥，当地环境承载</w:t>
            </w:r>
          </w:p>
          <w:p>
            <w:pPr>
              <w:pStyle w:val="TableParagraph"/>
              <w:spacing w:before="2"/>
              <w:ind w:left="70" w:right="42"/>
              <w:rPr>
                <w:rFonts w:ascii="宋体" w:eastAsia="宋体" w:hint="eastAsia"/>
                <w:sz w:val="21"/>
              </w:rPr>
            </w:pPr>
            <w:r>
              <w:rPr>
                <w:rFonts w:ascii="宋体" w:eastAsia="宋体" w:hint="eastAsia"/>
                <w:sz w:val="21"/>
              </w:rPr>
              <w:t>能力满足项目需要</w:t>
            </w:r>
          </w:p>
        </w:tc>
        <w:tc>
          <w:tcPr>
            <w:tcW w:w="912"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10"/>
              <w:jc w:val="left"/>
              <w:rPr>
                <w:rFonts w:ascii="宋体"/>
                <w:b/>
                <w:sz w:val="24"/>
              </w:rPr>
            </w:pPr>
          </w:p>
          <w:p>
            <w:pPr>
              <w:pStyle w:val="TableParagraph"/>
              <w:spacing w:before="0"/>
              <w:ind w:left="115" w:right="84"/>
              <w:rPr>
                <w:rFonts w:ascii="宋体" w:eastAsia="宋体" w:hint="eastAsia"/>
                <w:sz w:val="21"/>
              </w:rPr>
            </w:pPr>
            <w:r>
              <w:rPr>
                <w:rFonts w:ascii="宋体" w:eastAsia="宋体" w:hint="eastAsia"/>
                <w:sz w:val="21"/>
              </w:rPr>
              <w:t>符合</w:t>
            </w:r>
          </w:p>
        </w:tc>
      </w:tr>
      <w:tr>
        <w:trPr>
          <w:trHeight w:val="702" w:hRule="atLeast"/>
        </w:trPr>
        <w:tc>
          <w:tcPr>
            <w:tcW w:w="751" w:type="dxa"/>
            <w:vMerge/>
            <w:tcBorders>
              <w:top w:val="nil"/>
              <w:right w:val="single" w:sz="6" w:space="0" w:color="000000"/>
            </w:tcBorders>
          </w:tcPr>
          <w:p>
            <w:pPr>
              <w:rPr>
                <w:sz w:val="2"/>
                <w:szCs w:val="2"/>
              </w:rPr>
            </w:pPr>
          </w:p>
        </w:tc>
        <w:tc>
          <w:tcPr>
            <w:tcW w:w="1415" w:type="dxa"/>
            <w:vMerge/>
            <w:tcBorders>
              <w:top w:val="nil"/>
              <w:left w:val="single" w:sz="6" w:space="0" w:color="000000"/>
              <w:bottom w:val="single" w:sz="6" w:space="0" w:color="000000"/>
              <w:right w:val="single" w:sz="6" w:space="0" w:color="000000"/>
            </w:tcBorders>
          </w:tcPr>
          <w:p>
            <w:pPr>
              <w:rPr>
                <w:sz w:val="2"/>
                <w:szCs w:val="2"/>
              </w:rPr>
            </w:pPr>
          </w:p>
        </w:tc>
        <w:tc>
          <w:tcPr>
            <w:tcW w:w="1755" w:type="dxa"/>
            <w:tcBorders>
              <w:top w:val="single" w:sz="6" w:space="0" w:color="000000"/>
              <w:left w:val="single" w:sz="6" w:space="0" w:color="000000"/>
              <w:bottom w:val="single" w:sz="6" w:space="0" w:color="000000"/>
              <w:right w:val="single" w:sz="6" w:space="0" w:color="000000"/>
            </w:tcBorders>
          </w:tcPr>
          <w:p>
            <w:pPr>
              <w:pStyle w:val="TableParagraph"/>
              <w:spacing w:before="12"/>
              <w:jc w:val="left"/>
              <w:rPr>
                <w:rFonts w:ascii="宋体"/>
                <w:b/>
                <w:sz w:val="16"/>
              </w:rPr>
            </w:pPr>
          </w:p>
          <w:p>
            <w:pPr>
              <w:pStyle w:val="TableParagraph"/>
              <w:spacing w:before="0"/>
              <w:ind w:left="114" w:right="59"/>
              <w:rPr>
                <w:rFonts w:ascii="宋体" w:eastAsia="宋体" w:hint="eastAsia"/>
                <w:sz w:val="21"/>
              </w:rPr>
            </w:pPr>
            <w:r>
              <w:rPr>
                <w:rFonts w:ascii="宋体" w:eastAsia="宋体" w:hint="eastAsia"/>
                <w:sz w:val="21"/>
              </w:rPr>
              <w:t>一般区域</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37"/>
              <w:ind w:left="28"/>
              <w:rPr>
                <w:rFonts w:ascii="宋体" w:eastAsia="宋体" w:hint="eastAsia"/>
                <w:sz w:val="21"/>
              </w:rPr>
            </w:pPr>
            <w:r>
              <w:rPr>
                <w:rFonts w:ascii="宋体" w:eastAsia="宋体" w:hint="eastAsia"/>
                <w:sz w:val="21"/>
              </w:rPr>
              <w:t>《畜禽养殖业污染物</w:t>
            </w:r>
          </w:p>
          <w:p>
            <w:pPr>
              <w:pStyle w:val="TableParagraph"/>
              <w:spacing w:before="91"/>
              <w:ind w:left="29"/>
              <w:rPr>
                <w:rFonts w:ascii="宋体" w:eastAsia="宋体" w:hint="eastAsia"/>
                <w:sz w:val="21"/>
              </w:rPr>
            </w:pPr>
            <w:r>
              <w:rPr>
                <w:rFonts w:ascii="宋体" w:eastAsia="宋体" w:hint="eastAsia"/>
                <w:sz w:val="21"/>
              </w:rPr>
              <w:t>排放标准》</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12"/>
              <w:jc w:val="left"/>
              <w:rPr>
                <w:rFonts w:ascii="宋体"/>
                <w:b/>
                <w:sz w:val="16"/>
              </w:rPr>
            </w:pPr>
          </w:p>
          <w:p>
            <w:pPr>
              <w:pStyle w:val="TableParagraph"/>
              <w:spacing w:before="0"/>
              <w:ind w:left="68" w:right="42"/>
              <w:rPr>
                <w:rFonts w:ascii="宋体" w:eastAsia="宋体" w:hint="eastAsia"/>
                <w:sz w:val="21"/>
              </w:rPr>
            </w:pPr>
            <w:r>
              <w:rPr>
                <w:rFonts w:ascii="宋体" w:eastAsia="宋体" w:hint="eastAsia"/>
                <w:sz w:val="21"/>
              </w:rPr>
              <w:t>本项目废水纳管排放</w:t>
            </w:r>
          </w:p>
        </w:tc>
        <w:tc>
          <w:tcPr>
            <w:tcW w:w="912" w:type="dxa"/>
            <w:tcBorders>
              <w:top w:val="single" w:sz="6" w:space="0" w:color="000000"/>
              <w:left w:val="single" w:sz="6" w:space="0" w:color="000000"/>
              <w:bottom w:val="single" w:sz="6" w:space="0" w:color="000000"/>
            </w:tcBorders>
          </w:tcPr>
          <w:p>
            <w:pPr>
              <w:pStyle w:val="TableParagraph"/>
              <w:spacing w:before="12"/>
              <w:jc w:val="left"/>
              <w:rPr>
                <w:rFonts w:ascii="宋体"/>
                <w:b/>
                <w:sz w:val="16"/>
              </w:rPr>
            </w:pPr>
          </w:p>
          <w:p>
            <w:pPr>
              <w:pStyle w:val="TableParagraph"/>
              <w:spacing w:before="0"/>
              <w:ind w:left="115" w:right="84"/>
              <w:rPr>
                <w:rFonts w:ascii="宋体" w:eastAsia="宋体" w:hint="eastAsia"/>
                <w:sz w:val="21"/>
              </w:rPr>
            </w:pPr>
            <w:r>
              <w:rPr>
                <w:rFonts w:ascii="宋体" w:eastAsia="宋体" w:hint="eastAsia"/>
                <w:sz w:val="21"/>
              </w:rPr>
              <w:t>符合</w:t>
            </w:r>
          </w:p>
        </w:tc>
      </w:tr>
      <w:tr>
        <w:trPr>
          <w:trHeight w:val="702" w:hRule="atLeast"/>
        </w:trPr>
        <w:tc>
          <w:tcPr>
            <w:tcW w:w="751" w:type="dxa"/>
            <w:vMerge/>
            <w:tcBorders>
              <w:top w:val="nil"/>
              <w:right w:val="single" w:sz="6" w:space="0" w:color="000000"/>
            </w:tcBorders>
          </w:tcPr>
          <w:p>
            <w:pPr>
              <w:rPr>
                <w:sz w:val="2"/>
                <w:szCs w:val="2"/>
              </w:rPr>
            </w:pPr>
          </w:p>
        </w:tc>
        <w:tc>
          <w:tcPr>
            <w:tcW w:w="3170"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1"/>
              <w:jc w:val="left"/>
              <w:rPr>
                <w:rFonts w:ascii="宋体"/>
                <w:b/>
                <w:sz w:val="16"/>
              </w:rPr>
            </w:pPr>
          </w:p>
          <w:p>
            <w:pPr>
              <w:pStyle w:val="TableParagraph"/>
              <w:spacing w:before="0"/>
              <w:ind w:left="418" w:right="385"/>
              <w:rPr>
                <w:rFonts w:ascii="宋体" w:eastAsia="宋体" w:hint="eastAsia"/>
                <w:sz w:val="21"/>
              </w:rPr>
            </w:pPr>
            <w:r>
              <w:rPr>
                <w:rFonts w:ascii="宋体" w:eastAsia="宋体" w:hint="eastAsia"/>
                <w:sz w:val="21"/>
              </w:rPr>
              <w:t>恶臭</w:t>
            </w:r>
          </w:p>
        </w:tc>
        <w:tc>
          <w:tcPr>
            <w:tcW w:w="2237" w:type="dxa"/>
            <w:tcBorders>
              <w:top w:val="single" w:sz="6" w:space="0" w:color="000000"/>
              <w:left w:val="single" w:sz="6" w:space="0" w:color="000000"/>
              <w:bottom w:val="single" w:sz="6" w:space="0" w:color="000000"/>
              <w:right w:val="single" w:sz="6" w:space="0" w:color="000000"/>
            </w:tcBorders>
          </w:tcPr>
          <w:p>
            <w:pPr>
              <w:pStyle w:val="TableParagraph"/>
              <w:spacing w:before="36"/>
              <w:ind w:left="28"/>
              <w:rPr>
                <w:rFonts w:ascii="宋体" w:eastAsia="宋体" w:hint="eastAsia"/>
                <w:sz w:val="21"/>
              </w:rPr>
            </w:pPr>
            <w:r>
              <w:rPr>
                <w:rFonts w:ascii="宋体" w:eastAsia="宋体" w:hint="eastAsia"/>
                <w:sz w:val="21"/>
              </w:rPr>
              <w:t>《畜禽养殖业污染物</w:t>
            </w:r>
          </w:p>
          <w:p>
            <w:pPr>
              <w:pStyle w:val="TableParagraph"/>
              <w:spacing w:before="91"/>
              <w:ind w:left="29"/>
              <w:rPr>
                <w:rFonts w:ascii="宋体" w:eastAsia="宋体" w:hint="eastAsia"/>
                <w:sz w:val="21"/>
              </w:rPr>
            </w:pPr>
            <w:r>
              <w:rPr>
                <w:rFonts w:ascii="宋体" w:eastAsia="宋体" w:hint="eastAsia"/>
                <w:sz w:val="21"/>
              </w:rPr>
              <w:t>排放标准》</w:t>
            </w:r>
          </w:p>
        </w:tc>
        <w:tc>
          <w:tcPr>
            <w:tcW w:w="2268" w:type="dxa"/>
            <w:tcBorders>
              <w:top w:val="single" w:sz="6" w:space="0" w:color="000000"/>
              <w:left w:val="single" w:sz="6" w:space="0" w:color="000000"/>
              <w:bottom w:val="single" w:sz="6" w:space="0" w:color="000000"/>
              <w:right w:val="single" w:sz="6" w:space="0" w:color="000000"/>
            </w:tcBorders>
          </w:tcPr>
          <w:p>
            <w:pPr>
              <w:pStyle w:val="TableParagraph"/>
              <w:spacing w:before="36"/>
              <w:ind w:left="13" w:right="-29"/>
              <w:rPr>
                <w:rFonts w:ascii="宋体" w:eastAsia="宋体" w:hint="eastAsia"/>
                <w:sz w:val="21"/>
              </w:rPr>
            </w:pPr>
            <w:r>
              <w:rPr>
                <w:rFonts w:ascii="宋体" w:eastAsia="宋体" w:hint="eastAsia"/>
                <w:spacing w:val="-9"/>
                <w:sz w:val="21"/>
              </w:rPr>
              <w:t>项目恶臭符合《畜禽养殖</w:t>
            </w:r>
          </w:p>
          <w:p>
            <w:pPr>
              <w:pStyle w:val="TableParagraph"/>
              <w:spacing w:before="91"/>
              <w:ind w:left="68" w:right="42"/>
              <w:rPr>
                <w:rFonts w:ascii="宋体" w:eastAsia="宋体" w:hint="eastAsia"/>
                <w:sz w:val="21"/>
              </w:rPr>
            </w:pPr>
            <w:r>
              <w:rPr>
                <w:rFonts w:ascii="宋体" w:eastAsia="宋体" w:hint="eastAsia"/>
                <w:sz w:val="21"/>
              </w:rPr>
              <w:t>业污染物排放标准》</w:t>
            </w:r>
          </w:p>
        </w:tc>
        <w:tc>
          <w:tcPr>
            <w:tcW w:w="912" w:type="dxa"/>
            <w:tcBorders>
              <w:top w:val="single" w:sz="6" w:space="0" w:color="000000"/>
              <w:left w:val="single" w:sz="6" w:space="0" w:color="000000"/>
              <w:bottom w:val="single" w:sz="6" w:space="0" w:color="000000"/>
            </w:tcBorders>
          </w:tcPr>
          <w:p>
            <w:pPr>
              <w:pStyle w:val="TableParagraph"/>
              <w:spacing w:before="11"/>
              <w:jc w:val="left"/>
              <w:rPr>
                <w:rFonts w:ascii="宋体"/>
                <w:b/>
                <w:sz w:val="16"/>
              </w:rPr>
            </w:pPr>
          </w:p>
          <w:p>
            <w:pPr>
              <w:pStyle w:val="TableParagraph"/>
              <w:spacing w:before="0"/>
              <w:ind w:left="115" w:right="84"/>
              <w:rPr>
                <w:rFonts w:ascii="宋体" w:eastAsia="宋体" w:hint="eastAsia"/>
                <w:sz w:val="21"/>
              </w:rPr>
            </w:pPr>
            <w:r>
              <w:rPr>
                <w:rFonts w:ascii="宋体" w:eastAsia="宋体" w:hint="eastAsia"/>
                <w:sz w:val="21"/>
              </w:rPr>
              <w:t>符合</w:t>
            </w:r>
          </w:p>
        </w:tc>
      </w:tr>
      <w:tr>
        <w:trPr>
          <w:trHeight w:val="353" w:hRule="atLeast"/>
        </w:trPr>
        <w:tc>
          <w:tcPr>
            <w:tcW w:w="751" w:type="dxa"/>
            <w:vMerge/>
            <w:tcBorders>
              <w:top w:val="nil"/>
              <w:right w:val="single" w:sz="6" w:space="0" w:color="000000"/>
            </w:tcBorders>
          </w:tcPr>
          <w:p>
            <w:pPr>
              <w:rPr>
                <w:sz w:val="2"/>
                <w:szCs w:val="2"/>
              </w:rPr>
            </w:pPr>
          </w:p>
        </w:tc>
        <w:tc>
          <w:tcPr>
            <w:tcW w:w="1415" w:type="dxa"/>
            <w:tcBorders>
              <w:top w:val="single" w:sz="6" w:space="0" w:color="000000"/>
              <w:left w:val="single" w:sz="6" w:space="0" w:color="000000"/>
              <w:right w:val="single" w:sz="6" w:space="0" w:color="000000"/>
            </w:tcBorders>
          </w:tcPr>
          <w:p>
            <w:pPr>
              <w:pStyle w:val="TableParagraph"/>
              <w:spacing w:before="39"/>
              <w:ind w:left="177"/>
              <w:jc w:val="left"/>
              <w:rPr>
                <w:rFonts w:ascii="宋体" w:eastAsia="宋体" w:hint="eastAsia"/>
                <w:sz w:val="21"/>
              </w:rPr>
            </w:pPr>
            <w:r>
              <w:rPr>
                <w:rFonts w:ascii="宋体" w:eastAsia="宋体" w:hint="eastAsia"/>
                <w:sz w:val="21"/>
              </w:rPr>
              <w:t>固废收集率</w:t>
            </w:r>
          </w:p>
        </w:tc>
        <w:tc>
          <w:tcPr>
            <w:tcW w:w="1755" w:type="dxa"/>
            <w:tcBorders>
              <w:top w:val="single" w:sz="6" w:space="0" w:color="000000"/>
              <w:left w:val="single" w:sz="6" w:space="0" w:color="000000"/>
              <w:right w:val="single" w:sz="6" w:space="0" w:color="000000"/>
            </w:tcBorders>
          </w:tcPr>
          <w:p>
            <w:pPr>
              <w:pStyle w:val="TableParagraph"/>
              <w:spacing w:before="39"/>
              <w:ind w:left="91" w:right="86"/>
              <w:rPr>
                <w:rFonts w:ascii="宋体" w:eastAsia="宋体" w:hint="eastAsia"/>
                <w:sz w:val="21"/>
              </w:rPr>
            </w:pPr>
            <w:r>
              <w:rPr>
                <w:rFonts w:ascii="宋体" w:eastAsia="宋体" w:hint="eastAsia"/>
                <w:sz w:val="21"/>
              </w:rPr>
              <w:t>全年</w:t>
            </w:r>
          </w:p>
        </w:tc>
        <w:tc>
          <w:tcPr>
            <w:tcW w:w="2237" w:type="dxa"/>
            <w:tcBorders>
              <w:top w:val="single" w:sz="6" w:space="0" w:color="000000"/>
              <w:left w:val="single" w:sz="6" w:space="0" w:color="000000"/>
              <w:right w:val="single" w:sz="6" w:space="0" w:color="000000"/>
            </w:tcBorders>
          </w:tcPr>
          <w:p>
            <w:pPr>
              <w:pStyle w:val="TableParagraph"/>
              <w:spacing w:before="53"/>
              <w:ind w:left="29"/>
              <w:rPr>
                <w:sz w:val="21"/>
              </w:rPr>
            </w:pPr>
            <w:r>
              <w:rPr>
                <w:sz w:val="21"/>
              </w:rPr>
              <w:t>≥85%</w:t>
            </w:r>
          </w:p>
        </w:tc>
        <w:tc>
          <w:tcPr>
            <w:tcW w:w="2268" w:type="dxa"/>
            <w:tcBorders>
              <w:top w:val="single" w:sz="6" w:space="0" w:color="000000"/>
              <w:left w:val="single" w:sz="6" w:space="0" w:color="000000"/>
              <w:right w:val="single" w:sz="6" w:space="0" w:color="000000"/>
            </w:tcBorders>
          </w:tcPr>
          <w:p>
            <w:pPr>
              <w:pStyle w:val="TableParagraph"/>
              <w:spacing w:before="53"/>
              <w:ind w:left="70" w:right="42"/>
              <w:rPr>
                <w:sz w:val="21"/>
              </w:rPr>
            </w:pPr>
            <w:r>
              <w:rPr>
                <w:sz w:val="21"/>
              </w:rPr>
              <w:t>100%</w:t>
            </w:r>
          </w:p>
        </w:tc>
        <w:tc>
          <w:tcPr>
            <w:tcW w:w="912" w:type="dxa"/>
            <w:tcBorders>
              <w:top w:val="single" w:sz="6" w:space="0" w:color="000000"/>
              <w:left w:val="single" w:sz="6" w:space="0" w:color="000000"/>
            </w:tcBorders>
          </w:tcPr>
          <w:p>
            <w:pPr>
              <w:pStyle w:val="TableParagraph"/>
              <w:spacing w:before="39"/>
              <w:ind w:left="115" w:right="84"/>
              <w:rPr>
                <w:rFonts w:ascii="宋体" w:eastAsia="宋体" w:hint="eastAsia"/>
                <w:sz w:val="21"/>
              </w:rPr>
            </w:pPr>
            <w:r>
              <w:rPr>
                <w:rFonts w:ascii="宋体" w:eastAsia="宋体" w:hint="eastAsia"/>
                <w:sz w:val="21"/>
              </w:rPr>
              <w:t>符合</w:t>
            </w:r>
          </w:p>
        </w:tc>
      </w:tr>
    </w:tbl>
    <w:p>
      <w:pPr>
        <w:pStyle w:val="BodyText"/>
        <w:spacing w:before="82"/>
        <w:ind w:left="717"/>
      </w:pPr>
      <w:r>
        <w:rPr/>
        <w:t>④与《浙江省畜禽粪污减量化和资源化利用技术导则》的符合性分析</w:t>
      </w:r>
    </w:p>
    <w:p>
      <w:pPr>
        <w:pStyle w:val="BodyText"/>
        <w:spacing w:line="364" w:lineRule="auto" w:before="160"/>
        <w:ind w:right="254" w:firstLine="480"/>
      </w:pPr>
      <w:r>
        <w:rPr/>
        <w:t>为规范畜禽粪污减量化和资源化利用，促进农牧结合，控制环境风险，改善环境质</w:t>
      </w:r>
      <w:r>
        <w:rPr>
          <w:spacing w:val="-7"/>
        </w:rPr>
        <w:t>量，推进浙江省畜牧业绿色发展，浙江省农业厅与环保厅于 </w:t>
      </w:r>
      <w:r>
        <w:rPr>
          <w:rFonts w:ascii="Times New Roman" w:eastAsia="Times New Roman"/>
          <w:position w:val="1"/>
        </w:rPr>
        <w:t>2017 </w:t>
      </w:r>
      <w:r>
        <w:rPr>
          <w:spacing w:val="-30"/>
        </w:rPr>
        <w:t>年 </w:t>
      </w:r>
      <w:r>
        <w:rPr>
          <w:rFonts w:ascii="Times New Roman" w:eastAsia="Times New Roman"/>
          <w:position w:val="1"/>
        </w:rPr>
        <w:t>7 </w:t>
      </w:r>
      <w:r>
        <w:rPr>
          <w:spacing w:val="-5"/>
        </w:rPr>
        <w:t>月制定了《浙江省</w:t>
      </w:r>
    </w:p>
    <w:p>
      <w:pPr>
        <w:spacing w:after="0" w:line="364" w:lineRule="auto"/>
        <w:sectPr>
          <w:pgSz w:w="11910" w:h="16840"/>
          <w:pgMar w:header="874" w:footer="1004" w:top="1420" w:bottom="1200" w:left="1040" w:right="1160"/>
        </w:sectPr>
      </w:pPr>
    </w:p>
    <w:p>
      <w:pPr>
        <w:spacing w:line="364" w:lineRule="auto" w:before="92"/>
        <w:ind w:left="890" w:right="909" w:hanging="653"/>
        <w:jc w:val="left"/>
        <w:rPr>
          <w:b/>
          <w:sz w:val="24"/>
        </w:rPr>
      </w:pPr>
      <w:r>
        <w:rPr/>
        <w:pict>
          <v:shape style="position:absolute;margin-left:57.743999pt;margin-top:118.819984pt;width:473.75pt;height:649.3pt;mso-position-horizontal-relative:page;mso-position-vertical-relative:page;z-index:251910144"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5636"/>
                    <w:gridCol w:w="2410"/>
                    <w:gridCol w:w="958"/>
                  </w:tblGrid>
                  <w:tr>
                    <w:trPr>
                      <w:trHeight w:val="311" w:hRule="atLeast"/>
                    </w:trPr>
                    <w:tc>
                      <w:tcPr>
                        <w:tcW w:w="6063" w:type="dxa"/>
                        <w:gridSpan w:val="2"/>
                        <w:tcBorders>
                          <w:bottom w:val="single" w:sz="6" w:space="0" w:color="000000"/>
                          <w:right w:val="single" w:sz="6" w:space="0" w:color="000000"/>
                        </w:tcBorders>
                      </w:tcPr>
                      <w:p>
                        <w:pPr>
                          <w:pStyle w:val="TableParagraph"/>
                          <w:spacing w:before="22"/>
                          <w:ind w:left="2589" w:right="2568"/>
                          <w:rPr>
                            <w:rFonts w:ascii="宋体" w:eastAsia="宋体" w:hint="eastAsia"/>
                            <w:b/>
                            <w:sz w:val="21"/>
                          </w:rPr>
                        </w:pPr>
                        <w:r>
                          <w:rPr>
                            <w:rFonts w:ascii="宋体" w:eastAsia="宋体" w:hint="eastAsia"/>
                            <w:b/>
                            <w:sz w:val="21"/>
                          </w:rPr>
                          <w:t>具体指标</w:t>
                        </w:r>
                      </w:p>
                    </w:tc>
                    <w:tc>
                      <w:tcPr>
                        <w:tcW w:w="2410" w:type="dxa"/>
                        <w:tcBorders>
                          <w:left w:val="single" w:sz="6" w:space="0" w:color="000000"/>
                          <w:bottom w:val="single" w:sz="6" w:space="0" w:color="000000"/>
                          <w:right w:val="single" w:sz="6" w:space="0" w:color="000000"/>
                        </w:tcBorders>
                      </w:tcPr>
                      <w:p>
                        <w:pPr>
                          <w:pStyle w:val="TableParagraph"/>
                          <w:spacing w:before="22"/>
                          <w:ind w:left="684"/>
                          <w:jc w:val="left"/>
                          <w:rPr>
                            <w:rFonts w:ascii="宋体" w:eastAsia="宋体" w:hint="eastAsia"/>
                            <w:b/>
                            <w:sz w:val="21"/>
                          </w:rPr>
                        </w:pPr>
                        <w:r>
                          <w:rPr>
                            <w:rFonts w:ascii="宋体" w:eastAsia="宋体" w:hint="eastAsia"/>
                            <w:b/>
                            <w:sz w:val="21"/>
                          </w:rPr>
                          <w:t>本项目情况</w:t>
                        </w:r>
                      </w:p>
                    </w:tc>
                    <w:tc>
                      <w:tcPr>
                        <w:tcW w:w="958" w:type="dxa"/>
                        <w:tcBorders>
                          <w:left w:val="single" w:sz="6" w:space="0" w:color="000000"/>
                          <w:bottom w:val="single" w:sz="6" w:space="0" w:color="000000"/>
                        </w:tcBorders>
                      </w:tcPr>
                      <w:p>
                        <w:pPr>
                          <w:pStyle w:val="TableParagraph"/>
                          <w:spacing w:before="22"/>
                          <w:ind w:left="148" w:right="114"/>
                          <w:rPr>
                            <w:rFonts w:ascii="宋体" w:eastAsia="宋体" w:hint="eastAsia"/>
                            <w:b/>
                            <w:sz w:val="21"/>
                          </w:rPr>
                        </w:pPr>
                        <w:r>
                          <w:rPr>
                            <w:rFonts w:ascii="宋体" w:eastAsia="宋体" w:hint="eastAsia"/>
                            <w:b/>
                            <w:sz w:val="21"/>
                          </w:rPr>
                          <w:t>符合性</w:t>
                        </w:r>
                      </w:p>
                    </w:tc>
                  </w:tr>
                  <w:tr>
                    <w:trPr>
                      <w:trHeight w:val="1561" w:hRule="atLeast"/>
                    </w:trPr>
                    <w:tc>
                      <w:tcPr>
                        <w:tcW w:w="427" w:type="dxa"/>
                        <w:vMerge w:val="restart"/>
                        <w:tcBorders>
                          <w:top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1"/>
                          </w:rPr>
                        </w:pPr>
                      </w:p>
                      <w:p>
                        <w:pPr>
                          <w:pStyle w:val="TableParagraph"/>
                          <w:spacing w:line="278" w:lineRule="auto" w:before="0"/>
                          <w:ind w:left="107" w:right="83"/>
                          <w:jc w:val="both"/>
                          <w:rPr>
                            <w:rFonts w:ascii="宋体" w:eastAsia="宋体" w:hint="eastAsia"/>
                            <w:sz w:val="21"/>
                          </w:rPr>
                        </w:pPr>
                        <w:r>
                          <w:rPr>
                            <w:rFonts w:ascii="宋体" w:eastAsia="宋体" w:hint="eastAsia"/>
                            <w:sz w:val="21"/>
                          </w:rPr>
                          <w:t>畜禽粪污减量化技术</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5"/>
                          <w:ind w:left="115" w:right="81"/>
                          <w:jc w:val="both"/>
                          <w:rPr>
                            <w:rFonts w:ascii="宋体" w:eastAsia="宋体" w:hint="eastAsia"/>
                            <w:sz w:val="21"/>
                          </w:rPr>
                        </w:pPr>
                        <w:r>
                          <w:rPr>
                            <w:rFonts w:ascii="宋体" w:eastAsia="宋体" w:hint="eastAsia"/>
                            <w:spacing w:val="-7"/>
                            <w:sz w:val="21"/>
                          </w:rPr>
                          <w:t>采用环保型饲料技术，提高饲料中氮、磷的利用率，降低由</w:t>
                        </w:r>
                        <w:r>
                          <w:rPr>
                            <w:rFonts w:ascii="宋体" w:eastAsia="宋体" w:hint="eastAsia"/>
                            <w:spacing w:val="-8"/>
                            <w:sz w:val="21"/>
                          </w:rPr>
                          <w:t>饲料导致的重金属和抗生素残留问题。同时逐步采用自动饲</w:t>
                        </w:r>
                        <w:r>
                          <w:rPr>
                            <w:rFonts w:ascii="宋体" w:eastAsia="宋体" w:hint="eastAsia"/>
                            <w:spacing w:val="-9"/>
                            <w:sz w:val="21"/>
                          </w:rPr>
                          <w:t>喂配套技术，实现精准投喂，减少饲料浪费，避免过食产生的粪污超排，或以干湿饲喂代替干式饲喂模式，节约饮水量</w:t>
                        </w:r>
                      </w:p>
                      <w:p>
                        <w:pPr>
                          <w:pStyle w:val="TableParagraph"/>
                          <w:spacing w:line="268" w:lineRule="exact" w:before="0"/>
                          <w:ind w:left="115"/>
                          <w:jc w:val="left"/>
                          <w:rPr>
                            <w:rFonts w:ascii="宋体" w:eastAsia="宋体" w:hint="eastAsia"/>
                            <w:sz w:val="21"/>
                          </w:rPr>
                        </w:pPr>
                        <w:r>
                          <w:rPr>
                            <w:rFonts w:ascii="宋体" w:eastAsia="宋体" w:hint="eastAsia"/>
                            <w:sz w:val="21"/>
                          </w:rPr>
                          <w:t>并减少粪污量。</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6"/>
                          <w:jc w:val="left"/>
                          <w:rPr>
                            <w:rFonts w:ascii="宋体"/>
                            <w:b/>
                            <w:sz w:val="18"/>
                          </w:rPr>
                        </w:pPr>
                      </w:p>
                      <w:p>
                        <w:pPr>
                          <w:pStyle w:val="TableParagraph"/>
                          <w:spacing w:line="278" w:lineRule="auto" w:before="0"/>
                          <w:ind w:left="115" w:right="81"/>
                          <w:jc w:val="left"/>
                          <w:rPr>
                            <w:rFonts w:ascii="宋体" w:eastAsia="宋体" w:hint="eastAsia"/>
                            <w:sz w:val="21"/>
                          </w:rPr>
                        </w:pPr>
                        <w:r>
                          <w:rPr>
                            <w:rFonts w:ascii="宋体" w:eastAsia="宋体" w:hint="eastAsia"/>
                            <w:sz w:val="21"/>
                          </w:rPr>
                          <w:t>本项目采用成品饲料。采用自动饲喂技术。</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36"/>
                          <w:ind w:left="148" w:right="108"/>
                          <w:rPr>
                            <w:rFonts w:ascii="宋体" w:eastAsia="宋体" w:hint="eastAsia"/>
                            <w:sz w:val="21"/>
                          </w:rPr>
                        </w:pPr>
                        <w:r>
                          <w:rPr>
                            <w:rFonts w:ascii="宋体" w:eastAsia="宋体" w:hint="eastAsia"/>
                            <w:sz w:val="21"/>
                          </w:rPr>
                          <w:t>符合</w:t>
                        </w:r>
                      </w:p>
                    </w:tc>
                  </w:tr>
                  <w:tr>
                    <w:trPr>
                      <w:trHeight w:val="936"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5" w:right="36"/>
                          <w:jc w:val="left"/>
                          <w:rPr>
                            <w:rFonts w:ascii="宋体" w:eastAsia="宋体" w:hint="eastAsia"/>
                            <w:sz w:val="21"/>
                          </w:rPr>
                        </w:pPr>
                        <w:r>
                          <w:rPr>
                            <w:rFonts w:ascii="宋体" w:eastAsia="宋体" w:hint="eastAsia"/>
                            <w:sz w:val="21"/>
                          </w:rPr>
                          <w:t>对畜禽舍内温度、湿度、光照和空气质量等环境因素进行科学的调控，创造适宜的饲养环境让畜禽的生产潜能得以充分</w:t>
                        </w:r>
                      </w:p>
                      <w:p>
                        <w:pPr>
                          <w:pStyle w:val="TableParagraph"/>
                          <w:spacing w:before="1"/>
                          <w:ind w:left="115"/>
                          <w:jc w:val="left"/>
                          <w:rPr>
                            <w:rFonts w:ascii="宋体" w:eastAsia="宋体" w:hint="eastAsia"/>
                            <w:sz w:val="21"/>
                          </w:rPr>
                        </w:pPr>
                        <w:r>
                          <w:rPr>
                            <w:rFonts w:ascii="宋体" w:eastAsia="宋体" w:hint="eastAsia"/>
                            <w:sz w:val="21"/>
                          </w:rPr>
                          <w:t>发挥。</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8"/>
                          <w:ind w:left="115" w:right="81"/>
                          <w:jc w:val="left"/>
                          <w:rPr>
                            <w:rFonts w:ascii="宋体" w:eastAsia="宋体" w:hint="eastAsia"/>
                            <w:sz w:val="21"/>
                          </w:rPr>
                        </w:pPr>
                        <w:r>
                          <w:rPr>
                            <w:rFonts w:ascii="宋体" w:eastAsia="宋体" w:hint="eastAsia"/>
                            <w:sz w:val="21"/>
                          </w:rPr>
                          <w:t>本项目采用自动环控技术。</w:t>
                        </w:r>
                      </w:p>
                    </w:tc>
                    <w:tc>
                      <w:tcPr>
                        <w:tcW w:w="958"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2183"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2"/>
                          <w:ind w:left="115" w:right="81"/>
                          <w:jc w:val="both"/>
                          <w:rPr>
                            <w:rFonts w:ascii="宋体" w:eastAsia="宋体" w:hint="eastAsia"/>
                            <w:sz w:val="21"/>
                          </w:rPr>
                        </w:pPr>
                        <w:r>
                          <w:rPr>
                            <w:rFonts w:ascii="宋体" w:eastAsia="宋体" w:hint="eastAsia"/>
                            <w:spacing w:val="3"/>
                            <w:sz w:val="21"/>
                          </w:rPr>
                          <w:t>采用全自动干湿分离机械清粪工艺实现粪便和污水在畜舍</w:t>
                        </w:r>
                        <w:r>
                          <w:rPr>
                            <w:rFonts w:ascii="宋体" w:eastAsia="宋体" w:hint="eastAsia"/>
                            <w:spacing w:val="-7"/>
                            <w:sz w:val="21"/>
                          </w:rPr>
                          <w:t>内自动分离，干粪由机械收集，尿液及污水由下水道进入污</w:t>
                        </w:r>
                        <w:r>
                          <w:rPr>
                            <w:rFonts w:ascii="宋体" w:eastAsia="宋体" w:hint="eastAsia"/>
                            <w:spacing w:val="-8"/>
                            <w:sz w:val="21"/>
                          </w:rPr>
                          <w:t>水收集系统，在粪污的清理中可有效减少污水产生量。该技</w:t>
                        </w:r>
                        <w:r>
                          <w:rPr>
                            <w:rFonts w:ascii="宋体" w:eastAsia="宋体" w:hint="eastAsia"/>
                            <w:spacing w:val="-9"/>
                            <w:sz w:val="21"/>
                          </w:rPr>
                          <w:t>术在污水产生、后续污水处理设施占地和处理成本等方面均</w:t>
                        </w:r>
                        <w:r>
                          <w:rPr>
                            <w:rFonts w:ascii="宋体" w:eastAsia="宋体" w:hint="eastAsia"/>
                            <w:spacing w:val="-10"/>
                            <w:sz w:val="21"/>
                          </w:rPr>
                          <w:t>占有明显优势，对新建、扩建和改建的规模畜舍采用机械干</w:t>
                        </w:r>
                        <w:r>
                          <w:rPr>
                            <w:rFonts w:ascii="宋体" w:eastAsia="宋体" w:hint="eastAsia"/>
                            <w:spacing w:val="-9"/>
                            <w:sz w:val="21"/>
                          </w:rPr>
                          <w:t>清粪设备，在实现畜禽场自动化控制水平的同时，从饲养过</w:t>
                        </w:r>
                      </w:p>
                      <w:p>
                        <w:pPr>
                          <w:pStyle w:val="TableParagraph"/>
                          <w:spacing w:line="268" w:lineRule="exact" w:before="0"/>
                          <w:ind w:left="115"/>
                          <w:jc w:val="left"/>
                          <w:rPr>
                            <w:rFonts w:ascii="宋体" w:eastAsia="宋体" w:hint="eastAsia"/>
                            <w:sz w:val="21"/>
                          </w:rPr>
                        </w:pPr>
                        <w:r>
                          <w:rPr>
                            <w:rFonts w:ascii="宋体" w:eastAsia="宋体" w:hint="eastAsia"/>
                            <w:sz w:val="21"/>
                          </w:rPr>
                          <w:t>程中减少污水量和污水处理难度。</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8"/>
                          <w:jc w:val="left"/>
                          <w:rPr>
                            <w:rFonts w:ascii="宋体"/>
                            <w:b/>
                            <w:sz w:val="22"/>
                          </w:rPr>
                        </w:pPr>
                      </w:p>
                      <w:p>
                        <w:pPr>
                          <w:pStyle w:val="TableParagraph"/>
                          <w:spacing w:line="278" w:lineRule="auto" w:before="0"/>
                          <w:ind w:left="115" w:right="81"/>
                          <w:jc w:val="left"/>
                          <w:rPr>
                            <w:rFonts w:ascii="宋体" w:eastAsia="宋体" w:hint="eastAsia"/>
                            <w:sz w:val="21"/>
                          </w:rPr>
                        </w:pPr>
                        <w:r>
                          <w:rPr>
                            <w:rFonts w:ascii="宋体" w:eastAsia="宋体" w:hint="eastAsia"/>
                            <w:sz w:val="21"/>
                          </w:rPr>
                          <w:t>本项目采用全自动干清粪工艺清理猪粪。</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0"/>
                          <w:jc w:val="left"/>
                          <w:rPr>
                            <w:rFonts w:ascii="宋体"/>
                            <w:b/>
                            <w:sz w:val="14"/>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623"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22"/>
                          <w:ind w:left="115"/>
                          <w:jc w:val="left"/>
                          <w:rPr>
                            <w:rFonts w:ascii="宋体" w:eastAsia="宋体" w:hint="eastAsia"/>
                            <w:sz w:val="21"/>
                          </w:rPr>
                        </w:pPr>
                        <w:r>
                          <w:rPr>
                            <w:rFonts w:ascii="宋体" w:eastAsia="宋体" w:hint="eastAsia"/>
                            <w:sz w:val="21"/>
                          </w:rPr>
                          <w:t>采用节水型饮水器，饮水器的安装与流水等符合畜禽饮水行</w:t>
                        </w:r>
                      </w:p>
                      <w:p>
                        <w:pPr>
                          <w:pStyle w:val="TableParagraph"/>
                          <w:spacing w:before="43"/>
                          <w:ind w:left="115"/>
                          <w:jc w:val="left"/>
                          <w:rPr>
                            <w:rFonts w:ascii="宋体" w:eastAsia="宋体" w:hint="eastAsia"/>
                            <w:sz w:val="21"/>
                          </w:rPr>
                        </w:pPr>
                        <w:r>
                          <w:rPr>
                            <w:rFonts w:ascii="宋体" w:eastAsia="宋体" w:hint="eastAsia"/>
                            <w:sz w:val="21"/>
                          </w:rPr>
                          <w:t>为需要，节约单位畜禽耗水量，减少污水产量。</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22"/>
                          <w:ind w:left="115"/>
                          <w:jc w:val="left"/>
                          <w:rPr>
                            <w:rFonts w:ascii="宋体" w:eastAsia="宋体" w:hint="eastAsia"/>
                            <w:sz w:val="21"/>
                          </w:rPr>
                        </w:pPr>
                        <w:r>
                          <w:rPr>
                            <w:rFonts w:ascii="宋体" w:eastAsia="宋体" w:hint="eastAsia"/>
                            <w:sz w:val="21"/>
                          </w:rPr>
                          <w:t>本项目采用节水型饮水</w:t>
                        </w:r>
                      </w:p>
                      <w:p>
                        <w:pPr>
                          <w:pStyle w:val="TableParagraph"/>
                          <w:spacing w:before="43"/>
                          <w:ind w:left="115"/>
                          <w:jc w:val="left"/>
                          <w:rPr>
                            <w:rFonts w:ascii="宋体" w:eastAsia="宋体" w:hint="eastAsia"/>
                            <w:sz w:val="21"/>
                          </w:rPr>
                        </w:pPr>
                        <w:r>
                          <w:rPr>
                            <w:rFonts w:ascii="宋体" w:eastAsia="宋体" w:hint="eastAsia"/>
                            <w:sz w:val="21"/>
                          </w:rPr>
                          <w:t>器。</w:t>
                        </w:r>
                      </w:p>
                    </w:tc>
                    <w:tc>
                      <w:tcPr>
                        <w:tcW w:w="958" w:type="dxa"/>
                        <w:tcBorders>
                          <w:top w:val="single" w:sz="6" w:space="0" w:color="000000"/>
                          <w:left w:val="single" w:sz="6" w:space="0" w:color="000000"/>
                          <w:bottom w:val="single" w:sz="6" w:space="0" w:color="000000"/>
                        </w:tcBorders>
                      </w:tcPr>
                      <w:p>
                        <w:pPr>
                          <w:pStyle w:val="TableParagraph"/>
                          <w:spacing w:before="178"/>
                          <w:ind w:left="148" w:right="108"/>
                          <w:rPr>
                            <w:rFonts w:ascii="宋体" w:eastAsia="宋体" w:hint="eastAsia"/>
                            <w:sz w:val="21"/>
                          </w:rPr>
                        </w:pPr>
                        <w:r>
                          <w:rPr>
                            <w:rFonts w:ascii="宋体" w:eastAsia="宋体" w:hint="eastAsia"/>
                            <w:sz w:val="21"/>
                          </w:rPr>
                          <w:t>符合</w:t>
                        </w:r>
                      </w:p>
                    </w:tc>
                  </w:tr>
                  <w:tr>
                    <w:trPr>
                      <w:trHeight w:val="1250" w:hRule="atLeast"/>
                    </w:trPr>
                    <w:tc>
                      <w:tcPr>
                        <w:tcW w:w="427" w:type="dxa"/>
                        <w:vMerge w:val="restart"/>
                        <w:tcBorders>
                          <w:top w:val="single" w:sz="6" w:space="0" w:color="000000"/>
                          <w:bottom w:val="single" w:sz="6" w:space="0" w:color="000000"/>
                          <w:right w:val="single" w:sz="6" w:space="0" w:color="000000"/>
                        </w:tcBorders>
                      </w:tcPr>
                      <w:p>
                        <w:pPr>
                          <w:pStyle w:val="TableParagraph"/>
                          <w:spacing w:line="278" w:lineRule="auto" w:before="39"/>
                          <w:ind w:left="107" w:right="83"/>
                          <w:jc w:val="both"/>
                          <w:rPr>
                            <w:rFonts w:ascii="宋体" w:eastAsia="宋体" w:hint="eastAsia"/>
                            <w:sz w:val="21"/>
                          </w:rPr>
                        </w:pPr>
                        <w:r>
                          <w:rPr>
                            <w:rFonts w:ascii="宋体" w:eastAsia="宋体" w:hint="eastAsia"/>
                            <w:sz w:val="21"/>
                          </w:rPr>
                          <w:t>畜禽粪污收运和预处理技</w:t>
                        </w:r>
                      </w:p>
                      <w:p>
                        <w:pPr>
                          <w:pStyle w:val="TableParagraph"/>
                          <w:spacing w:line="268" w:lineRule="exact" w:before="0"/>
                          <w:ind w:left="107"/>
                          <w:jc w:val="left"/>
                          <w:rPr>
                            <w:rFonts w:ascii="宋体" w:eastAsia="宋体" w:hint="eastAsia"/>
                            <w:sz w:val="21"/>
                          </w:rPr>
                        </w:pPr>
                        <w:r>
                          <w:rPr>
                            <w:rFonts w:ascii="宋体" w:eastAsia="宋体" w:hint="eastAsia"/>
                            <w:w w:val="100"/>
                            <w:sz w:val="21"/>
                          </w:rPr>
                          <w:t>术</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5"/>
                          <w:ind w:left="115" w:right="38"/>
                          <w:jc w:val="both"/>
                          <w:rPr>
                            <w:rFonts w:ascii="宋体" w:eastAsia="宋体" w:hint="eastAsia"/>
                            <w:sz w:val="21"/>
                          </w:rPr>
                        </w:pPr>
                        <w:r>
                          <w:rPr>
                            <w:rFonts w:ascii="宋体" w:eastAsia="宋体" w:hint="eastAsia"/>
                            <w:sz w:val="21"/>
                          </w:rPr>
                          <w:t>畜禽粪污应根据清粪工艺及时清理，干清粪的要日产日清， </w:t>
                        </w:r>
                        <w:r>
                          <w:rPr>
                            <w:rFonts w:ascii="宋体" w:eastAsia="宋体" w:hint="eastAsia"/>
                            <w:position w:val="1"/>
                            <w:sz w:val="21"/>
                          </w:rPr>
                          <w:t>水泡粪的清理周期建议 </w:t>
                        </w:r>
                        <w:r>
                          <w:rPr>
                            <w:sz w:val="21"/>
                          </w:rPr>
                          <w:t>7-10 </w:t>
                        </w:r>
                        <w:r>
                          <w:rPr>
                            <w:rFonts w:ascii="宋体" w:eastAsia="宋体" w:hint="eastAsia"/>
                            <w:position w:val="1"/>
                            <w:sz w:val="21"/>
                          </w:rPr>
                          <w:t>天为宜。所有粪便和污水收集</w:t>
                        </w:r>
                        <w:r>
                          <w:rPr>
                            <w:rFonts w:ascii="宋体" w:eastAsia="宋体" w:hint="eastAsia"/>
                            <w:sz w:val="21"/>
                          </w:rPr>
                          <w:t>沟（池）应为地下式或封闭式，以防止恶臭污染排放和雨水</w:t>
                        </w:r>
                      </w:p>
                      <w:p>
                        <w:pPr>
                          <w:pStyle w:val="TableParagraph"/>
                          <w:spacing w:before="0"/>
                          <w:ind w:left="115"/>
                          <w:jc w:val="left"/>
                          <w:rPr>
                            <w:rFonts w:ascii="宋体" w:eastAsia="宋体" w:hint="eastAsia"/>
                            <w:sz w:val="21"/>
                          </w:rPr>
                        </w:pPr>
                        <w:r>
                          <w:rPr>
                            <w:rFonts w:ascii="宋体" w:eastAsia="宋体" w:hint="eastAsia"/>
                            <w:sz w:val="21"/>
                          </w:rPr>
                          <w:t>进入。</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1"/>
                          <w:jc w:val="left"/>
                          <w:rPr>
                            <w:rFonts w:ascii="宋体"/>
                            <w:b/>
                            <w:sz w:val="14"/>
                          </w:rPr>
                        </w:pPr>
                      </w:p>
                      <w:p>
                        <w:pPr>
                          <w:pStyle w:val="TableParagraph"/>
                          <w:spacing w:line="278" w:lineRule="auto" w:before="0"/>
                          <w:ind w:left="115" w:right="81"/>
                          <w:jc w:val="both"/>
                          <w:rPr>
                            <w:rFonts w:ascii="宋体" w:eastAsia="宋体" w:hint="eastAsia"/>
                            <w:sz w:val="21"/>
                          </w:rPr>
                        </w:pPr>
                        <w:r>
                          <w:rPr>
                            <w:rFonts w:ascii="宋体" w:eastAsia="宋体" w:hint="eastAsia"/>
                            <w:sz w:val="21"/>
                          </w:rPr>
                          <w:t>本项目干清粪工艺要求做到日产日清，输送管线均为埋地式。</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6"/>
                          <w:jc w:val="left"/>
                          <w:rPr>
                            <w:rFonts w:ascii="宋体"/>
                            <w:b/>
                            <w:sz w:val="18"/>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929"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single" w:sz="6" w:space="0" w:color="000000"/>
                          <w:left w:val="single" w:sz="6" w:space="0" w:color="000000"/>
                          <w:bottom w:val="nil"/>
                          <w:right w:val="single" w:sz="6" w:space="0" w:color="000000"/>
                        </w:tcBorders>
                      </w:tcPr>
                      <w:p>
                        <w:pPr>
                          <w:pStyle w:val="TableParagraph"/>
                          <w:numPr>
                            <w:ilvl w:val="2"/>
                            <w:numId w:val="115"/>
                          </w:numPr>
                          <w:tabs>
                            <w:tab w:pos="641" w:val="left" w:leader="none"/>
                          </w:tabs>
                          <w:spacing w:line="240" w:lineRule="auto" w:before="19" w:after="0"/>
                          <w:ind w:left="640" w:right="0" w:hanging="526"/>
                          <w:jc w:val="left"/>
                          <w:rPr>
                            <w:rFonts w:ascii="宋体" w:eastAsia="宋体" w:hint="eastAsia"/>
                            <w:sz w:val="21"/>
                          </w:rPr>
                        </w:pPr>
                        <w:r>
                          <w:rPr>
                            <w:rFonts w:ascii="宋体" w:eastAsia="宋体" w:hint="eastAsia"/>
                            <w:spacing w:val="-8"/>
                            <w:position w:val="1"/>
                            <w:sz w:val="21"/>
                          </w:rPr>
                          <w:t>畜禽粪污的贮存应符合 </w:t>
                        </w:r>
                        <w:r>
                          <w:rPr>
                            <w:sz w:val="21"/>
                          </w:rPr>
                          <w:t>HJ</w:t>
                        </w:r>
                        <w:r>
                          <w:rPr>
                            <w:spacing w:val="-2"/>
                            <w:sz w:val="21"/>
                          </w:rPr>
                          <w:t> </w:t>
                        </w:r>
                        <w:r>
                          <w:rPr>
                            <w:sz w:val="21"/>
                          </w:rPr>
                          <w:t>497-2009</w:t>
                        </w:r>
                        <w:r>
                          <w:rPr>
                            <w:spacing w:val="-1"/>
                            <w:sz w:val="21"/>
                          </w:rPr>
                          <w:t> </w:t>
                        </w:r>
                        <w:r>
                          <w:rPr>
                            <w:rFonts w:ascii="宋体" w:eastAsia="宋体" w:hint="eastAsia"/>
                            <w:spacing w:val="-26"/>
                            <w:position w:val="1"/>
                            <w:sz w:val="21"/>
                          </w:rPr>
                          <w:t>第 </w:t>
                        </w:r>
                        <w:r>
                          <w:rPr>
                            <w:sz w:val="21"/>
                          </w:rPr>
                          <w:t>6.1.2</w:t>
                        </w:r>
                        <w:r>
                          <w:rPr>
                            <w:spacing w:val="1"/>
                            <w:sz w:val="21"/>
                          </w:rPr>
                          <w:t> </w:t>
                        </w:r>
                        <w:r>
                          <w:rPr>
                            <w:rFonts w:ascii="宋体" w:eastAsia="宋体" w:hint="eastAsia"/>
                            <w:spacing w:val="-3"/>
                            <w:position w:val="1"/>
                            <w:sz w:val="21"/>
                          </w:rPr>
                          <w:t>条。</w:t>
                        </w:r>
                      </w:p>
                      <w:p>
                        <w:pPr>
                          <w:pStyle w:val="TableParagraph"/>
                          <w:numPr>
                            <w:ilvl w:val="2"/>
                            <w:numId w:val="115"/>
                          </w:numPr>
                          <w:tabs>
                            <w:tab w:pos="646" w:val="left" w:leader="none"/>
                          </w:tabs>
                          <w:spacing w:line="304" w:lineRule="exact" w:before="20" w:after="0"/>
                          <w:ind w:left="115" w:right="79" w:firstLine="0"/>
                          <w:jc w:val="left"/>
                          <w:rPr>
                            <w:rFonts w:ascii="宋体" w:eastAsia="宋体" w:hint="eastAsia"/>
                            <w:sz w:val="21"/>
                          </w:rPr>
                        </w:pPr>
                        <w:r>
                          <w:rPr>
                            <w:rFonts w:ascii="宋体" w:eastAsia="宋体" w:hint="eastAsia"/>
                            <w:position w:val="1"/>
                            <w:sz w:val="21"/>
                          </w:rPr>
                          <w:t>在畜禽粪污和消纳地之间应建立有效的输送网络，通</w:t>
                        </w:r>
                        <w:r>
                          <w:rPr>
                            <w:rFonts w:ascii="宋体" w:eastAsia="宋体" w:hint="eastAsia"/>
                            <w:spacing w:val="-6"/>
                            <w:sz w:val="21"/>
                          </w:rPr>
                          <w:t>过车载或管道形式及时将清理后的粪污输送至处理地点，处</w:t>
                        </w:r>
                      </w:p>
                    </w:tc>
                    <w:tc>
                      <w:tcPr>
                        <w:tcW w:w="2410" w:type="dxa"/>
                        <w:tcBorders>
                          <w:top w:val="single" w:sz="6" w:space="0" w:color="000000"/>
                          <w:left w:val="single" w:sz="6" w:space="0" w:color="000000"/>
                          <w:bottom w:val="nil"/>
                          <w:right w:val="single" w:sz="6" w:space="0" w:color="000000"/>
                        </w:tcBorders>
                      </w:tcPr>
                      <w:p>
                        <w:pPr>
                          <w:pStyle w:val="TableParagraph"/>
                          <w:spacing w:before="22"/>
                          <w:ind w:left="115"/>
                          <w:jc w:val="left"/>
                          <w:rPr>
                            <w:rFonts w:ascii="宋体" w:eastAsia="宋体" w:hint="eastAsia"/>
                            <w:sz w:val="21"/>
                          </w:rPr>
                        </w:pPr>
                        <w:r>
                          <w:rPr>
                            <w:rFonts w:ascii="宋体" w:eastAsia="宋体" w:hint="eastAsia"/>
                            <w:spacing w:val="7"/>
                            <w:sz w:val="21"/>
                          </w:rPr>
                          <w:t>本项目粪污利用不采用</w:t>
                        </w:r>
                      </w:p>
                      <w:p>
                        <w:pPr>
                          <w:pStyle w:val="TableParagraph"/>
                          <w:spacing w:line="310" w:lineRule="atLeast" w:before="2"/>
                          <w:ind w:left="115" w:right="81"/>
                          <w:jc w:val="left"/>
                          <w:rPr>
                            <w:rFonts w:ascii="宋体" w:eastAsia="宋体" w:hint="eastAsia"/>
                            <w:sz w:val="21"/>
                          </w:rPr>
                        </w:pPr>
                        <w:r>
                          <w:rPr>
                            <w:rFonts w:ascii="宋体" w:eastAsia="宋体" w:hint="eastAsia"/>
                            <w:spacing w:val="6"/>
                            <w:sz w:val="21"/>
                          </w:rPr>
                          <w:t>土地消纳的方式。废水</w:t>
                        </w:r>
                        <w:r>
                          <w:rPr>
                            <w:rFonts w:ascii="宋体" w:eastAsia="宋体" w:hint="eastAsia"/>
                            <w:spacing w:val="29"/>
                            <w:sz w:val="21"/>
                          </w:rPr>
                          <w:t>经处理达标后纳管排</w:t>
                        </w:r>
                      </w:p>
                    </w:tc>
                    <w:tc>
                      <w:tcPr>
                        <w:tcW w:w="958" w:type="dxa"/>
                        <w:tcBorders>
                          <w:top w:val="single" w:sz="6" w:space="0" w:color="000000"/>
                          <w:left w:val="single" w:sz="6" w:space="0" w:color="000000"/>
                          <w:bottom w:val="nil"/>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63" w:lineRule="exact" w:before="134"/>
                          <w:ind w:left="148" w:right="108"/>
                          <w:rPr>
                            <w:rFonts w:ascii="宋体" w:eastAsia="宋体" w:hint="eastAsia"/>
                            <w:sz w:val="21"/>
                          </w:rPr>
                        </w:pPr>
                        <w:r>
                          <w:rPr>
                            <w:rFonts w:ascii="宋体" w:eastAsia="宋体" w:hint="eastAsia"/>
                            <w:sz w:val="21"/>
                          </w:rPr>
                          <w:t>符合</w:t>
                        </w:r>
                      </w:p>
                    </w:tc>
                  </w:tr>
                  <w:tr>
                    <w:trPr>
                      <w:trHeight w:val="297"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nil"/>
                          <w:left w:val="single" w:sz="6" w:space="0" w:color="000000"/>
                          <w:bottom w:val="nil"/>
                          <w:right w:val="single" w:sz="6" w:space="0" w:color="000000"/>
                        </w:tcBorders>
                      </w:tcPr>
                      <w:p>
                        <w:pPr>
                          <w:pStyle w:val="TableParagraph"/>
                          <w:spacing w:line="263" w:lineRule="exact" w:before="14"/>
                          <w:ind w:left="115"/>
                          <w:jc w:val="left"/>
                          <w:rPr>
                            <w:rFonts w:ascii="宋体" w:eastAsia="宋体" w:hint="eastAsia"/>
                            <w:sz w:val="21"/>
                          </w:rPr>
                        </w:pPr>
                        <w:r>
                          <w:rPr>
                            <w:rFonts w:ascii="宋体" w:eastAsia="宋体" w:hint="eastAsia"/>
                            <w:sz w:val="21"/>
                          </w:rPr>
                          <w:t>理后的有机肥和沼液输送至消纳地，要加强管理，严格控制</w:t>
                        </w:r>
                      </w:p>
                    </w:tc>
                    <w:tc>
                      <w:tcPr>
                        <w:tcW w:w="2410" w:type="dxa"/>
                        <w:tcBorders>
                          <w:top w:val="nil"/>
                          <w:left w:val="single" w:sz="6" w:space="0" w:color="000000"/>
                          <w:bottom w:val="nil"/>
                          <w:right w:val="single" w:sz="6" w:space="0" w:color="000000"/>
                        </w:tcBorders>
                      </w:tcPr>
                      <w:p>
                        <w:pPr>
                          <w:pStyle w:val="TableParagraph"/>
                          <w:spacing w:line="263" w:lineRule="exact" w:before="14"/>
                          <w:ind w:left="115"/>
                          <w:jc w:val="left"/>
                          <w:rPr>
                            <w:rFonts w:ascii="宋体" w:eastAsia="宋体" w:hint="eastAsia"/>
                            <w:sz w:val="21"/>
                          </w:rPr>
                        </w:pPr>
                        <w:r>
                          <w:rPr>
                            <w:rFonts w:ascii="宋体" w:eastAsia="宋体" w:hint="eastAsia"/>
                            <w:sz w:val="21"/>
                          </w:rPr>
                          <w:t>放，猪粪经发酵处理后</w:t>
                        </w:r>
                      </w:p>
                    </w:tc>
                    <w:tc>
                      <w:tcPr>
                        <w:tcW w:w="958" w:type="dxa"/>
                        <w:tcBorders>
                          <w:top w:val="nil"/>
                          <w:left w:val="single" w:sz="6" w:space="0" w:color="000000"/>
                          <w:bottom w:val="nil"/>
                        </w:tcBorders>
                      </w:tcPr>
                      <w:p>
                        <w:pPr>
                          <w:pStyle w:val="TableParagraph"/>
                          <w:spacing w:before="0"/>
                          <w:jc w:val="left"/>
                          <w:rPr>
                            <w:sz w:val="20"/>
                          </w:rPr>
                        </w:pPr>
                      </w:p>
                    </w:tc>
                  </w:tr>
                  <w:tr>
                    <w:trPr>
                      <w:trHeight w:val="303"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nil"/>
                          <w:left w:val="single" w:sz="6" w:space="0" w:color="000000"/>
                          <w:bottom w:val="single" w:sz="6" w:space="0" w:color="000000"/>
                          <w:right w:val="single" w:sz="6" w:space="0" w:color="000000"/>
                        </w:tcBorders>
                      </w:tcPr>
                      <w:p>
                        <w:pPr>
                          <w:pStyle w:val="TableParagraph"/>
                          <w:spacing w:before="14"/>
                          <w:ind w:left="115"/>
                          <w:jc w:val="left"/>
                          <w:rPr>
                            <w:rFonts w:ascii="宋体" w:eastAsia="宋体" w:hint="eastAsia"/>
                            <w:sz w:val="21"/>
                          </w:rPr>
                        </w:pPr>
                        <w:r>
                          <w:rPr>
                            <w:rFonts w:ascii="宋体" w:eastAsia="宋体" w:hint="eastAsia"/>
                            <w:sz w:val="21"/>
                          </w:rPr>
                          <w:t>输送沿途的弃、撒和跑、冒、滴、漏。</w:t>
                        </w:r>
                      </w:p>
                    </w:tc>
                    <w:tc>
                      <w:tcPr>
                        <w:tcW w:w="2410" w:type="dxa"/>
                        <w:tcBorders>
                          <w:top w:val="nil"/>
                          <w:left w:val="single" w:sz="6" w:space="0" w:color="000000"/>
                          <w:bottom w:val="single" w:sz="6" w:space="0" w:color="000000"/>
                          <w:right w:val="single" w:sz="6" w:space="0" w:color="000000"/>
                        </w:tcBorders>
                      </w:tcPr>
                      <w:p>
                        <w:pPr>
                          <w:pStyle w:val="TableParagraph"/>
                          <w:spacing w:before="14"/>
                          <w:ind w:left="115"/>
                          <w:jc w:val="left"/>
                          <w:rPr>
                            <w:rFonts w:ascii="宋体" w:eastAsia="宋体" w:hint="eastAsia"/>
                            <w:sz w:val="21"/>
                          </w:rPr>
                        </w:pPr>
                        <w:r>
                          <w:rPr>
                            <w:rFonts w:ascii="宋体" w:eastAsia="宋体" w:hint="eastAsia"/>
                            <w:sz w:val="21"/>
                          </w:rPr>
                          <w:t>外运生产有机肥。</w:t>
                        </w:r>
                      </w:p>
                    </w:tc>
                    <w:tc>
                      <w:tcPr>
                        <w:tcW w:w="958" w:type="dxa"/>
                        <w:tcBorders>
                          <w:top w:val="nil"/>
                          <w:left w:val="single" w:sz="6" w:space="0" w:color="000000"/>
                          <w:bottom w:val="single" w:sz="6" w:space="0" w:color="000000"/>
                        </w:tcBorders>
                      </w:tcPr>
                      <w:p>
                        <w:pPr>
                          <w:pStyle w:val="TableParagraph"/>
                          <w:spacing w:before="0"/>
                          <w:jc w:val="left"/>
                          <w:rPr>
                            <w:sz w:val="20"/>
                          </w:rPr>
                        </w:pPr>
                      </w:p>
                    </w:tc>
                  </w:tr>
                  <w:tr>
                    <w:trPr>
                      <w:trHeight w:val="305"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single" w:sz="6" w:space="0" w:color="000000"/>
                          <w:left w:val="single" w:sz="6" w:space="0" w:color="000000"/>
                          <w:bottom w:val="nil"/>
                          <w:right w:val="single" w:sz="6" w:space="0" w:color="000000"/>
                        </w:tcBorders>
                      </w:tcPr>
                      <w:p>
                        <w:pPr>
                          <w:pStyle w:val="TableParagraph"/>
                          <w:spacing w:line="263" w:lineRule="exact" w:before="22"/>
                          <w:ind w:left="115"/>
                          <w:jc w:val="left"/>
                          <w:rPr>
                            <w:rFonts w:ascii="宋体" w:eastAsia="宋体" w:hint="eastAsia"/>
                            <w:sz w:val="21"/>
                          </w:rPr>
                        </w:pPr>
                        <w:r>
                          <w:rPr>
                            <w:rFonts w:ascii="宋体" w:eastAsia="宋体" w:hint="eastAsia"/>
                            <w:sz w:val="21"/>
                          </w:rPr>
                          <w:t>水泡粪、水冲粪等清粪方式的畜禽养殖场粪污须进行固液分</w:t>
                        </w:r>
                      </w:p>
                    </w:tc>
                    <w:tc>
                      <w:tcPr>
                        <w:tcW w:w="2410" w:type="dxa"/>
                        <w:tcBorders>
                          <w:top w:val="single" w:sz="6" w:space="0" w:color="000000"/>
                          <w:left w:val="single" w:sz="6" w:space="0" w:color="000000"/>
                          <w:bottom w:val="nil"/>
                          <w:right w:val="single" w:sz="6" w:space="0" w:color="000000"/>
                        </w:tcBorders>
                      </w:tcPr>
                      <w:p>
                        <w:pPr>
                          <w:pStyle w:val="TableParagraph"/>
                          <w:spacing w:line="263" w:lineRule="exact" w:before="22"/>
                          <w:ind w:left="115"/>
                          <w:jc w:val="left"/>
                          <w:rPr>
                            <w:rFonts w:ascii="宋体" w:eastAsia="宋体" w:hint="eastAsia"/>
                            <w:sz w:val="21"/>
                          </w:rPr>
                        </w:pPr>
                        <w:r>
                          <w:rPr>
                            <w:rFonts w:ascii="宋体" w:eastAsia="宋体" w:hint="eastAsia"/>
                            <w:sz w:val="21"/>
                          </w:rPr>
                          <w:t>本项目采用干清粪工</w:t>
                        </w:r>
                      </w:p>
                    </w:tc>
                    <w:tc>
                      <w:tcPr>
                        <w:tcW w:w="958" w:type="dxa"/>
                        <w:tcBorders>
                          <w:top w:val="single" w:sz="6" w:space="0" w:color="000000"/>
                          <w:left w:val="single" w:sz="6" w:space="0" w:color="000000"/>
                          <w:bottom w:val="nil"/>
                        </w:tcBorders>
                      </w:tcPr>
                      <w:p>
                        <w:pPr>
                          <w:pStyle w:val="TableParagraph"/>
                          <w:spacing w:before="0"/>
                          <w:jc w:val="left"/>
                          <w:rPr>
                            <w:sz w:val="20"/>
                          </w:rPr>
                        </w:pPr>
                      </w:p>
                    </w:tc>
                  </w:tr>
                  <w:tr>
                    <w:trPr>
                      <w:trHeight w:val="297"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nil"/>
                          <w:left w:val="single" w:sz="6" w:space="0" w:color="000000"/>
                          <w:bottom w:val="nil"/>
                          <w:right w:val="single" w:sz="6" w:space="0" w:color="000000"/>
                        </w:tcBorders>
                      </w:tcPr>
                      <w:p>
                        <w:pPr>
                          <w:pStyle w:val="TableParagraph"/>
                          <w:spacing w:line="263" w:lineRule="exact" w:before="14"/>
                          <w:ind w:left="115"/>
                          <w:jc w:val="left"/>
                          <w:rPr>
                            <w:rFonts w:ascii="宋体" w:eastAsia="宋体" w:hint="eastAsia"/>
                            <w:sz w:val="21"/>
                          </w:rPr>
                        </w:pPr>
                        <w:r>
                          <w:rPr>
                            <w:rFonts w:ascii="宋体" w:eastAsia="宋体" w:hint="eastAsia"/>
                            <w:sz w:val="21"/>
                          </w:rPr>
                          <w:t>离。畜禽粪污预处理工程还包括格栅、沉砂池、集水池、调</w:t>
                        </w:r>
                      </w:p>
                    </w:tc>
                    <w:tc>
                      <w:tcPr>
                        <w:tcW w:w="2410" w:type="dxa"/>
                        <w:tcBorders>
                          <w:top w:val="nil"/>
                          <w:left w:val="single" w:sz="6" w:space="0" w:color="000000"/>
                          <w:bottom w:val="nil"/>
                          <w:right w:val="single" w:sz="6" w:space="0" w:color="000000"/>
                        </w:tcBorders>
                      </w:tcPr>
                      <w:p>
                        <w:pPr>
                          <w:pStyle w:val="TableParagraph"/>
                          <w:spacing w:line="263" w:lineRule="exact" w:before="14"/>
                          <w:ind w:left="115"/>
                          <w:jc w:val="left"/>
                          <w:rPr>
                            <w:rFonts w:ascii="宋体" w:eastAsia="宋体" w:hint="eastAsia"/>
                            <w:sz w:val="21"/>
                          </w:rPr>
                        </w:pPr>
                        <w:r>
                          <w:rPr>
                            <w:rFonts w:ascii="宋体" w:eastAsia="宋体" w:hint="eastAsia"/>
                            <w:sz w:val="21"/>
                          </w:rPr>
                          <w:t>艺，污水站也设有固液</w:t>
                        </w:r>
                      </w:p>
                    </w:tc>
                    <w:tc>
                      <w:tcPr>
                        <w:tcW w:w="958" w:type="dxa"/>
                        <w:tcBorders>
                          <w:top w:val="nil"/>
                          <w:left w:val="single" w:sz="6" w:space="0" w:color="000000"/>
                          <w:bottom w:val="nil"/>
                        </w:tcBorders>
                      </w:tcPr>
                      <w:p>
                        <w:pPr>
                          <w:pStyle w:val="TableParagraph"/>
                          <w:spacing w:line="263" w:lineRule="exact" w:before="14"/>
                          <w:ind w:left="148" w:right="108"/>
                          <w:rPr>
                            <w:rFonts w:ascii="宋体" w:eastAsia="宋体" w:hint="eastAsia"/>
                            <w:sz w:val="21"/>
                          </w:rPr>
                        </w:pPr>
                        <w:r>
                          <w:rPr>
                            <w:rFonts w:ascii="宋体" w:eastAsia="宋体" w:hint="eastAsia"/>
                            <w:sz w:val="21"/>
                          </w:rPr>
                          <w:t>符合</w:t>
                        </w:r>
                      </w:p>
                    </w:tc>
                  </w:tr>
                  <w:tr>
                    <w:trPr>
                      <w:trHeight w:val="303" w:hRule="atLeast"/>
                    </w:trPr>
                    <w:tc>
                      <w:tcPr>
                        <w:tcW w:w="427" w:type="dxa"/>
                        <w:vMerge/>
                        <w:tcBorders>
                          <w:top w:val="nil"/>
                          <w:bottom w:val="single" w:sz="6" w:space="0" w:color="000000"/>
                          <w:right w:val="single" w:sz="6" w:space="0" w:color="000000"/>
                        </w:tcBorders>
                      </w:tcPr>
                      <w:p>
                        <w:pPr>
                          <w:rPr>
                            <w:sz w:val="2"/>
                            <w:szCs w:val="2"/>
                          </w:rPr>
                        </w:pPr>
                      </w:p>
                    </w:tc>
                    <w:tc>
                      <w:tcPr>
                        <w:tcW w:w="5636" w:type="dxa"/>
                        <w:tcBorders>
                          <w:top w:val="nil"/>
                          <w:left w:val="single" w:sz="6" w:space="0" w:color="000000"/>
                          <w:bottom w:val="single" w:sz="6" w:space="0" w:color="000000"/>
                          <w:right w:val="single" w:sz="6" w:space="0" w:color="000000"/>
                        </w:tcBorders>
                      </w:tcPr>
                      <w:p>
                        <w:pPr>
                          <w:pStyle w:val="TableParagraph"/>
                          <w:spacing w:before="11"/>
                          <w:ind w:left="115"/>
                          <w:jc w:val="left"/>
                          <w:rPr>
                            <w:rFonts w:ascii="宋体" w:eastAsia="宋体" w:hint="eastAsia"/>
                            <w:sz w:val="21"/>
                          </w:rPr>
                        </w:pPr>
                        <w:r>
                          <w:rPr>
                            <w:rFonts w:ascii="宋体" w:eastAsia="宋体" w:hint="eastAsia"/>
                            <w:position w:val="1"/>
                            <w:sz w:val="21"/>
                          </w:rPr>
                          <w:t>节池等，应符合</w:t>
                        </w:r>
                        <w:r>
                          <w:rPr>
                            <w:sz w:val="21"/>
                          </w:rPr>
                          <w:t>HJ 497-2009 </w:t>
                        </w:r>
                        <w:r>
                          <w:rPr>
                            <w:rFonts w:ascii="宋体" w:eastAsia="宋体" w:hint="eastAsia"/>
                            <w:position w:val="1"/>
                            <w:sz w:val="21"/>
                          </w:rPr>
                          <w:t>第 </w:t>
                        </w:r>
                        <w:r>
                          <w:rPr>
                            <w:sz w:val="21"/>
                          </w:rPr>
                          <w:t>7.1 </w:t>
                        </w:r>
                        <w:r>
                          <w:rPr>
                            <w:rFonts w:ascii="宋体" w:eastAsia="宋体" w:hint="eastAsia"/>
                            <w:position w:val="1"/>
                            <w:sz w:val="21"/>
                          </w:rPr>
                          <w:t>条。</w:t>
                        </w:r>
                      </w:p>
                    </w:tc>
                    <w:tc>
                      <w:tcPr>
                        <w:tcW w:w="2410" w:type="dxa"/>
                        <w:tcBorders>
                          <w:top w:val="nil"/>
                          <w:left w:val="single" w:sz="6" w:space="0" w:color="000000"/>
                          <w:bottom w:val="single" w:sz="6" w:space="0" w:color="000000"/>
                          <w:right w:val="single" w:sz="6" w:space="0" w:color="000000"/>
                        </w:tcBorders>
                      </w:tcPr>
                      <w:p>
                        <w:pPr>
                          <w:pStyle w:val="TableParagraph"/>
                          <w:spacing w:before="14"/>
                          <w:ind w:left="115"/>
                          <w:jc w:val="left"/>
                          <w:rPr>
                            <w:rFonts w:ascii="宋体" w:eastAsia="宋体" w:hint="eastAsia"/>
                            <w:sz w:val="21"/>
                          </w:rPr>
                        </w:pPr>
                        <w:r>
                          <w:rPr>
                            <w:rFonts w:ascii="宋体" w:eastAsia="宋体" w:hint="eastAsia"/>
                            <w:sz w:val="21"/>
                          </w:rPr>
                          <w:t>分离及预处理工序。</w:t>
                        </w:r>
                      </w:p>
                    </w:tc>
                    <w:tc>
                      <w:tcPr>
                        <w:tcW w:w="958" w:type="dxa"/>
                        <w:tcBorders>
                          <w:top w:val="nil"/>
                          <w:left w:val="single" w:sz="6" w:space="0" w:color="000000"/>
                          <w:bottom w:val="single" w:sz="6" w:space="0" w:color="000000"/>
                        </w:tcBorders>
                      </w:tcPr>
                      <w:p>
                        <w:pPr>
                          <w:pStyle w:val="TableParagraph"/>
                          <w:spacing w:before="0"/>
                          <w:jc w:val="left"/>
                          <w:rPr>
                            <w:sz w:val="20"/>
                          </w:rPr>
                        </w:pPr>
                      </w:p>
                    </w:tc>
                  </w:tr>
                  <w:tr>
                    <w:trPr>
                      <w:trHeight w:val="610" w:hRule="atLeast"/>
                    </w:trPr>
                    <w:tc>
                      <w:tcPr>
                        <w:tcW w:w="427" w:type="dxa"/>
                        <w:vMerge w:val="restart"/>
                        <w:tcBorders>
                          <w:top w:val="single" w:sz="6" w:space="0" w:color="000000"/>
                          <w:right w:val="single" w:sz="6" w:space="0" w:color="000000"/>
                        </w:tcBorders>
                      </w:tcPr>
                      <w:p>
                        <w:pPr>
                          <w:pStyle w:val="TableParagraph"/>
                          <w:spacing w:line="278" w:lineRule="auto" w:before="32"/>
                          <w:ind w:left="107" w:right="83"/>
                          <w:jc w:val="both"/>
                          <w:rPr>
                            <w:rFonts w:ascii="宋体" w:eastAsia="宋体" w:hint="eastAsia"/>
                            <w:sz w:val="21"/>
                          </w:rPr>
                        </w:pPr>
                        <w:r>
                          <w:rPr>
                            <w:rFonts w:ascii="宋体" w:eastAsia="宋体" w:hint="eastAsia"/>
                            <w:sz w:val="21"/>
                          </w:rPr>
                          <w:t>畜禽养殖固体粪便资源</w:t>
                        </w:r>
                      </w:p>
                      <w:p>
                        <w:pPr>
                          <w:pStyle w:val="TableParagraph"/>
                          <w:spacing w:line="268" w:lineRule="exact" w:before="0"/>
                          <w:ind w:left="107"/>
                          <w:jc w:val="left"/>
                          <w:rPr>
                            <w:rFonts w:ascii="宋体" w:eastAsia="宋体" w:hint="eastAsia"/>
                            <w:sz w:val="21"/>
                          </w:rPr>
                        </w:pPr>
                        <w:r>
                          <w:rPr>
                            <w:rFonts w:ascii="宋体" w:eastAsia="宋体" w:hint="eastAsia"/>
                            <w:w w:val="100"/>
                            <w:sz w:val="21"/>
                          </w:rPr>
                          <w:t>化</w:t>
                        </w:r>
                      </w:p>
                    </w:tc>
                    <w:tc>
                      <w:tcPr>
                        <w:tcW w:w="5636" w:type="dxa"/>
                        <w:tcBorders>
                          <w:top w:val="single" w:sz="6" w:space="0" w:color="000000"/>
                          <w:left w:val="single" w:sz="6" w:space="0" w:color="000000"/>
                          <w:bottom w:val="nil"/>
                          <w:right w:val="single" w:sz="6" w:space="0" w:color="000000"/>
                        </w:tcBorders>
                      </w:tcPr>
                      <w:p>
                        <w:pPr>
                          <w:pStyle w:val="TableParagraph"/>
                          <w:spacing w:before="19"/>
                          <w:ind w:left="115"/>
                          <w:jc w:val="left"/>
                          <w:rPr>
                            <w:rFonts w:ascii="宋体" w:eastAsia="宋体" w:hint="eastAsia"/>
                            <w:sz w:val="21"/>
                          </w:rPr>
                        </w:pPr>
                        <w:r>
                          <w:rPr>
                            <w:sz w:val="21"/>
                          </w:rPr>
                          <w:t>9.1.1</w:t>
                        </w:r>
                        <w:r>
                          <w:rPr>
                            <w:spacing w:val="20"/>
                            <w:sz w:val="21"/>
                          </w:rPr>
                          <w:t>  </w:t>
                        </w:r>
                        <w:r>
                          <w:rPr>
                            <w:rFonts w:ascii="宋体" w:eastAsia="宋体" w:hint="eastAsia"/>
                            <w:spacing w:val="8"/>
                            <w:position w:val="1"/>
                            <w:sz w:val="21"/>
                          </w:rPr>
                          <w:t>对不具备堆肥条件的养殖场或养殖规模较小的养殖</w:t>
                        </w:r>
                      </w:p>
                      <w:p>
                        <w:pPr>
                          <w:pStyle w:val="TableParagraph"/>
                          <w:spacing w:line="255" w:lineRule="exact" w:before="47"/>
                          <w:ind w:left="115"/>
                          <w:jc w:val="left"/>
                          <w:rPr>
                            <w:rFonts w:ascii="宋体" w:eastAsia="宋体" w:hint="eastAsia"/>
                            <w:sz w:val="21"/>
                          </w:rPr>
                        </w:pPr>
                        <w:r>
                          <w:rPr>
                            <w:rFonts w:ascii="宋体" w:eastAsia="宋体" w:hint="eastAsia"/>
                            <w:spacing w:val="-7"/>
                            <w:sz w:val="21"/>
                          </w:rPr>
                          <w:t>场，可根据畜禽养殖场地理位置及区域养殖场分布情况，采</w:t>
                        </w:r>
                      </w:p>
                    </w:tc>
                    <w:tc>
                      <w:tcPr>
                        <w:tcW w:w="2410" w:type="dxa"/>
                        <w:tcBorders>
                          <w:top w:val="single" w:sz="6" w:space="0" w:color="000000"/>
                          <w:left w:val="single" w:sz="6" w:space="0" w:color="000000"/>
                          <w:bottom w:val="nil"/>
                          <w:right w:val="single" w:sz="6" w:space="0" w:color="000000"/>
                        </w:tcBorders>
                      </w:tcPr>
                      <w:p>
                        <w:pPr>
                          <w:pStyle w:val="TableParagraph"/>
                          <w:spacing w:before="22"/>
                          <w:ind w:left="115"/>
                          <w:jc w:val="left"/>
                          <w:rPr>
                            <w:rFonts w:ascii="宋体" w:eastAsia="宋体" w:hint="eastAsia"/>
                            <w:sz w:val="21"/>
                          </w:rPr>
                        </w:pPr>
                        <w:r>
                          <w:rPr>
                            <w:rFonts w:ascii="宋体" w:eastAsia="宋体" w:hint="eastAsia"/>
                            <w:spacing w:val="7"/>
                            <w:sz w:val="21"/>
                          </w:rPr>
                          <w:t>本项目猪粪、污水站污</w:t>
                        </w:r>
                      </w:p>
                      <w:p>
                        <w:pPr>
                          <w:pStyle w:val="TableParagraph"/>
                          <w:spacing w:line="255" w:lineRule="exact" w:before="44"/>
                          <w:ind w:left="115"/>
                          <w:jc w:val="left"/>
                          <w:rPr>
                            <w:rFonts w:ascii="宋体" w:eastAsia="宋体" w:hint="eastAsia"/>
                            <w:sz w:val="21"/>
                          </w:rPr>
                        </w:pPr>
                        <w:r>
                          <w:rPr>
                            <w:rFonts w:ascii="宋体" w:eastAsia="宋体" w:hint="eastAsia"/>
                            <w:spacing w:val="9"/>
                            <w:sz w:val="21"/>
                          </w:rPr>
                          <w:t>泥（包括沼渣）</w:t>
                        </w:r>
                        <w:r>
                          <w:rPr>
                            <w:rFonts w:ascii="宋体" w:eastAsia="宋体" w:hint="eastAsia"/>
                            <w:spacing w:val="5"/>
                            <w:sz w:val="21"/>
                          </w:rPr>
                          <w:t>等一起</w:t>
                        </w:r>
                      </w:p>
                    </w:tc>
                    <w:tc>
                      <w:tcPr>
                        <w:tcW w:w="958" w:type="dxa"/>
                        <w:tcBorders>
                          <w:top w:val="single" w:sz="6" w:space="0" w:color="000000"/>
                          <w:left w:val="single" w:sz="6" w:space="0" w:color="000000"/>
                          <w:bottom w:val="nil"/>
                        </w:tcBorders>
                      </w:tcPr>
                      <w:p>
                        <w:pPr>
                          <w:pStyle w:val="TableParagraph"/>
                          <w:spacing w:before="0"/>
                          <w:jc w:val="left"/>
                          <w:rPr>
                            <w:sz w:val="20"/>
                          </w:rPr>
                        </w:pPr>
                      </w:p>
                    </w:tc>
                  </w:tr>
                  <w:tr>
                    <w:trPr>
                      <w:trHeight w:val="906" w:hRule="atLeast"/>
                    </w:trPr>
                    <w:tc>
                      <w:tcPr>
                        <w:tcW w:w="427" w:type="dxa"/>
                        <w:vMerge/>
                        <w:tcBorders>
                          <w:top w:val="nil"/>
                          <w:right w:val="single" w:sz="6" w:space="0" w:color="000000"/>
                        </w:tcBorders>
                      </w:tcPr>
                      <w:p>
                        <w:pPr>
                          <w:rPr>
                            <w:sz w:val="2"/>
                            <w:szCs w:val="2"/>
                          </w:rPr>
                        </w:pPr>
                      </w:p>
                    </w:tc>
                    <w:tc>
                      <w:tcPr>
                        <w:tcW w:w="5636" w:type="dxa"/>
                        <w:tcBorders>
                          <w:top w:val="nil"/>
                          <w:left w:val="single" w:sz="6" w:space="0" w:color="000000"/>
                          <w:bottom w:val="nil"/>
                          <w:right w:val="single" w:sz="6" w:space="0" w:color="000000"/>
                        </w:tcBorders>
                      </w:tcPr>
                      <w:p>
                        <w:pPr>
                          <w:pStyle w:val="TableParagraph"/>
                          <w:spacing w:before="7"/>
                          <w:ind w:left="115"/>
                          <w:jc w:val="left"/>
                          <w:rPr>
                            <w:rFonts w:ascii="宋体" w:eastAsia="宋体" w:hint="eastAsia"/>
                            <w:sz w:val="21"/>
                          </w:rPr>
                        </w:pPr>
                        <w:r>
                          <w:rPr>
                            <w:rFonts w:ascii="宋体" w:eastAsia="宋体" w:hint="eastAsia"/>
                            <w:sz w:val="21"/>
                          </w:rPr>
                          <w:t>取集中收集统一处理。</w:t>
                        </w:r>
                      </w:p>
                      <w:p>
                        <w:pPr>
                          <w:pStyle w:val="TableParagraph"/>
                          <w:spacing w:line="304" w:lineRule="exact" w:before="17"/>
                          <w:ind w:left="115" w:right="38"/>
                          <w:jc w:val="left"/>
                          <w:rPr>
                            <w:rFonts w:ascii="宋体" w:eastAsia="宋体" w:hint="eastAsia"/>
                            <w:sz w:val="21"/>
                          </w:rPr>
                        </w:pPr>
                        <w:r>
                          <w:rPr>
                            <w:sz w:val="21"/>
                          </w:rPr>
                          <w:t>9.1.2 </w:t>
                        </w:r>
                        <w:r>
                          <w:rPr>
                            <w:rFonts w:ascii="宋体" w:eastAsia="宋体" w:hint="eastAsia"/>
                            <w:position w:val="1"/>
                            <w:sz w:val="21"/>
                          </w:rPr>
                          <w:t>未采用干清粪的养殖场，堆肥前应先将粪水进行固液</w:t>
                        </w:r>
                        <w:r>
                          <w:rPr>
                            <w:rFonts w:ascii="宋体" w:eastAsia="宋体" w:hint="eastAsia"/>
                            <w:sz w:val="21"/>
                          </w:rPr>
                          <w:t>分离，分离出的粪渣进入堆肥场，液体进入污水处理系统。</w:t>
                        </w:r>
                      </w:p>
                    </w:tc>
                    <w:tc>
                      <w:tcPr>
                        <w:tcW w:w="2410" w:type="dxa"/>
                        <w:tcBorders>
                          <w:top w:val="nil"/>
                          <w:left w:val="single" w:sz="6" w:space="0" w:color="000000"/>
                          <w:bottom w:val="nil"/>
                          <w:right w:val="single" w:sz="6" w:space="0" w:color="000000"/>
                        </w:tcBorders>
                      </w:tcPr>
                      <w:p>
                        <w:pPr>
                          <w:pStyle w:val="TableParagraph"/>
                          <w:spacing w:line="278" w:lineRule="auto" w:before="7"/>
                          <w:ind w:left="115" w:right="81"/>
                          <w:jc w:val="left"/>
                          <w:rPr>
                            <w:rFonts w:ascii="宋体" w:eastAsia="宋体" w:hint="eastAsia"/>
                            <w:sz w:val="21"/>
                          </w:rPr>
                        </w:pPr>
                        <w:r>
                          <w:rPr>
                            <w:rFonts w:ascii="宋体" w:eastAsia="宋体" w:hint="eastAsia"/>
                            <w:spacing w:val="6"/>
                            <w:sz w:val="21"/>
                          </w:rPr>
                          <w:t>进发酵罐预处理，预处理后的产物外运至第三</w:t>
                        </w:r>
                      </w:p>
                      <w:p>
                        <w:pPr>
                          <w:pStyle w:val="TableParagraph"/>
                          <w:spacing w:line="255" w:lineRule="exact" w:before="0"/>
                          <w:ind w:left="115"/>
                          <w:jc w:val="left"/>
                          <w:rPr>
                            <w:rFonts w:ascii="宋体" w:eastAsia="宋体" w:hint="eastAsia"/>
                            <w:sz w:val="21"/>
                          </w:rPr>
                        </w:pPr>
                        <w:r>
                          <w:rPr>
                            <w:rFonts w:ascii="宋体" w:eastAsia="宋体" w:hint="eastAsia"/>
                            <w:spacing w:val="31"/>
                            <w:sz w:val="21"/>
                          </w:rPr>
                          <w:t>方有机肥厂生产有机</w:t>
                        </w:r>
                      </w:p>
                    </w:tc>
                    <w:tc>
                      <w:tcPr>
                        <w:tcW w:w="958" w:type="dxa"/>
                        <w:tcBorders>
                          <w:top w:val="nil"/>
                          <w:left w:val="single" w:sz="6" w:space="0" w:color="000000"/>
                          <w:bottom w:val="nil"/>
                        </w:tcBorders>
                      </w:tcPr>
                      <w:p>
                        <w:pPr>
                          <w:pStyle w:val="TableParagraph"/>
                          <w:spacing w:before="163"/>
                          <w:ind w:left="148" w:right="108"/>
                          <w:rPr>
                            <w:rFonts w:ascii="宋体" w:eastAsia="宋体" w:hint="eastAsia"/>
                            <w:sz w:val="21"/>
                          </w:rPr>
                        </w:pPr>
                        <w:r>
                          <w:rPr>
                            <w:rFonts w:ascii="宋体" w:eastAsia="宋体" w:hint="eastAsia"/>
                            <w:sz w:val="21"/>
                          </w:rPr>
                          <w:t>符合</w:t>
                        </w:r>
                      </w:p>
                    </w:tc>
                  </w:tr>
                  <w:tr>
                    <w:trPr>
                      <w:trHeight w:val="288" w:hRule="atLeast"/>
                    </w:trPr>
                    <w:tc>
                      <w:tcPr>
                        <w:tcW w:w="427" w:type="dxa"/>
                        <w:vMerge/>
                        <w:tcBorders>
                          <w:top w:val="nil"/>
                          <w:right w:val="single" w:sz="6" w:space="0" w:color="000000"/>
                        </w:tcBorders>
                      </w:tcPr>
                      <w:p>
                        <w:pPr>
                          <w:rPr>
                            <w:sz w:val="2"/>
                            <w:szCs w:val="2"/>
                          </w:rPr>
                        </w:pPr>
                      </w:p>
                    </w:tc>
                    <w:tc>
                      <w:tcPr>
                        <w:tcW w:w="5636" w:type="dxa"/>
                        <w:tcBorders>
                          <w:top w:val="nil"/>
                          <w:left w:val="single" w:sz="6" w:space="0" w:color="000000"/>
                          <w:bottom w:val="single" w:sz="6" w:space="0" w:color="000000"/>
                          <w:right w:val="single" w:sz="6" w:space="0" w:color="000000"/>
                        </w:tcBorders>
                      </w:tcPr>
                      <w:p>
                        <w:pPr>
                          <w:pStyle w:val="TableParagraph"/>
                          <w:spacing w:line="264" w:lineRule="exact" w:before="4"/>
                          <w:ind w:left="115"/>
                          <w:jc w:val="left"/>
                          <w:rPr>
                            <w:rFonts w:ascii="宋体" w:eastAsia="宋体" w:hint="eastAsia"/>
                            <w:sz w:val="21"/>
                          </w:rPr>
                        </w:pPr>
                        <w:r>
                          <w:rPr>
                            <w:sz w:val="21"/>
                          </w:rPr>
                          <w:t>9.1.3 </w:t>
                        </w:r>
                        <w:r>
                          <w:rPr>
                            <w:rFonts w:ascii="宋体" w:eastAsia="宋体" w:hint="eastAsia"/>
                            <w:position w:val="1"/>
                            <w:sz w:val="21"/>
                          </w:rPr>
                          <w:t>污水处理中，厌氧消化产生的沼渣也进入堆肥场。</w:t>
                        </w:r>
                      </w:p>
                    </w:tc>
                    <w:tc>
                      <w:tcPr>
                        <w:tcW w:w="2410" w:type="dxa"/>
                        <w:tcBorders>
                          <w:top w:val="nil"/>
                          <w:left w:val="single" w:sz="6" w:space="0" w:color="000000"/>
                          <w:bottom w:val="single" w:sz="6" w:space="0" w:color="000000"/>
                          <w:right w:val="single" w:sz="6" w:space="0" w:color="000000"/>
                        </w:tcBorders>
                      </w:tcPr>
                      <w:p>
                        <w:pPr>
                          <w:pStyle w:val="TableParagraph"/>
                          <w:spacing w:line="261" w:lineRule="exact" w:before="7"/>
                          <w:ind w:left="115"/>
                          <w:jc w:val="left"/>
                          <w:rPr>
                            <w:rFonts w:ascii="宋体" w:eastAsia="宋体" w:hint="eastAsia"/>
                            <w:sz w:val="21"/>
                          </w:rPr>
                        </w:pPr>
                        <w:r>
                          <w:rPr>
                            <w:rFonts w:ascii="宋体" w:eastAsia="宋体" w:hint="eastAsia"/>
                            <w:sz w:val="21"/>
                          </w:rPr>
                          <w:t>肥。</w:t>
                        </w:r>
                      </w:p>
                    </w:tc>
                    <w:tc>
                      <w:tcPr>
                        <w:tcW w:w="958" w:type="dxa"/>
                        <w:tcBorders>
                          <w:top w:val="nil"/>
                          <w:left w:val="single" w:sz="6" w:space="0" w:color="000000"/>
                          <w:bottom w:val="single" w:sz="6" w:space="0" w:color="000000"/>
                        </w:tcBorders>
                      </w:tcPr>
                      <w:p>
                        <w:pPr>
                          <w:pStyle w:val="TableParagraph"/>
                          <w:spacing w:before="0"/>
                          <w:jc w:val="left"/>
                          <w:rPr>
                            <w:sz w:val="20"/>
                          </w:rPr>
                        </w:pPr>
                      </w:p>
                    </w:tc>
                  </w:tr>
                  <w:tr>
                    <w:trPr>
                      <w:trHeight w:val="916" w:hRule="atLeast"/>
                    </w:trPr>
                    <w:tc>
                      <w:tcPr>
                        <w:tcW w:w="427" w:type="dxa"/>
                        <w:vMerge/>
                        <w:tcBorders>
                          <w:top w:val="nil"/>
                          <w:right w:val="single" w:sz="6" w:space="0" w:color="000000"/>
                        </w:tcBorders>
                      </w:tcPr>
                      <w:p>
                        <w:pPr>
                          <w:rPr>
                            <w:sz w:val="2"/>
                            <w:szCs w:val="2"/>
                          </w:rPr>
                        </w:pPr>
                      </w:p>
                    </w:tc>
                    <w:tc>
                      <w:tcPr>
                        <w:tcW w:w="5636" w:type="dxa"/>
                        <w:tcBorders>
                          <w:top w:val="single" w:sz="6" w:space="0" w:color="000000"/>
                          <w:left w:val="single" w:sz="6" w:space="0" w:color="000000"/>
                          <w:bottom w:val="nil"/>
                          <w:right w:val="single" w:sz="6" w:space="0" w:color="000000"/>
                        </w:tcBorders>
                      </w:tcPr>
                      <w:p>
                        <w:pPr>
                          <w:pStyle w:val="TableParagraph"/>
                          <w:spacing w:before="14"/>
                          <w:ind w:left="115"/>
                          <w:jc w:val="left"/>
                          <w:rPr>
                            <w:rFonts w:ascii="宋体" w:eastAsia="宋体" w:hint="eastAsia"/>
                            <w:sz w:val="21"/>
                          </w:rPr>
                        </w:pPr>
                        <w:r>
                          <w:rPr>
                            <w:spacing w:val="-1"/>
                            <w:sz w:val="21"/>
                          </w:rPr>
                          <w:t>9.2.1.</w:t>
                        </w:r>
                        <w:r>
                          <w:rPr>
                            <w:rFonts w:ascii="宋体" w:eastAsia="宋体" w:hint="eastAsia"/>
                            <w:spacing w:val="-10"/>
                            <w:position w:val="1"/>
                            <w:sz w:val="21"/>
                          </w:rPr>
                          <w:t>堆肥场地一般由粪便贮存池、堆肥场地以及成品堆肥存</w:t>
                        </w:r>
                      </w:p>
                      <w:p>
                        <w:pPr>
                          <w:pStyle w:val="TableParagraph"/>
                          <w:spacing w:line="304" w:lineRule="exact" w:before="20"/>
                          <w:ind w:left="115" w:right="81"/>
                          <w:jc w:val="left"/>
                          <w:rPr>
                            <w:rFonts w:ascii="宋体" w:eastAsia="宋体" w:hint="eastAsia"/>
                            <w:sz w:val="21"/>
                          </w:rPr>
                        </w:pPr>
                        <w:r>
                          <w:rPr>
                            <w:rFonts w:ascii="宋体" w:eastAsia="宋体" w:hint="eastAsia"/>
                            <w:spacing w:val="-10"/>
                            <w:position w:val="1"/>
                            <w:sz w:val="21"/>
                          </w:rPr>
                          <w:t>放场地等组成，贮存池设计应满足 </w:t>
                        </w:r>
                        <w:r>
                          <w:rPr>
                            <w:sz w:val="21"/>
                          </w:rPr>
                          <w:t>GB</w:t>
                        </w:r>
                        <w:r>
                          <w:rPr>
                            <w:spacing w:val="7"/>
                            <w:sz w:val="21"/>
                          </w:rPr>
                          <w:t> </w:t>
                        </w:r>
                        <w:r>
                          <w:rPr>
                            <w:sz w:val="21"/>
                          </w:rPr>
                          <w:t>50069-2016</w:t>
                        </w:r>
                        <w:r>
                          <w:rPr>
                            <w:spacing w:val="3"/>
                            <w:sz w:val="21"/>
                          </w:rPr>
                          <w:t> </w:t>
                        </w:r>
                        <w:r>
                          <w:rPr>
                            <w:rFonts w:ascii="宋体" w:eastAsia="宋体" w:hint="eastAsia"/>
                            <w:spacing w:val="-1"/>
                            <w:position w:val="1"/>
                            <w:sz w:val="21"/>
                          </w:rPr>
                          <w:t>的有关规</w:t>
                        </w:r>
                        <w:r>
                          <w:rPr>
                            <w:rFonts w:ascii="宋体" w:eastAsia="宋体" w:hint="eastAsia"/>
                            <w:spacing w:val="-8"/>
                            <w:sz w:val="21"/>
                          </w:rPr>
                          <w:t>定，具有防渗漏的功能，不得污染地下水。场地的有效体积</w:t>
                        </w:r>
                      </w:p>
                    </w:tc>
                    <w:tc>
                      <w:tcPr>
                        <w:tcW w:w="2410" w:type="dxa"/>
                        <w:tcBorders>
                          <w:top w:val="single" w:sz="6" w:space="0" w:color="000000"/>
                          <w:left w:val="single" w:sz="6" w:space="0" w:color="000000"/>
                          <w:bottom w:val="nil"/>
                          <w:right w:val="single" w:sz="6" w:space="0" w:color="000000"/>
                        </w:tcBorders>
                      </w:tcPr>
                      <w:p>
                        <w:pPr>
                          <w:pStyle w:val="TableParagraph"/>
                          <w:spacing w:line="278" w:lineRule="auto" w:before="17"/>
                          <w:ind w:left="115" w:right="81"/>
                          <w:jc w:val="left"/>
                          <w:rPr>
                            <w:rFonts w:ascii="宋体" w:eastAsia="宋体" w:hint="eastAsia"/>
                            <w:sz w:val="21"/>
                          </w:rPr>
                        </w:pPr>
                        <w:r>
                          <w:rPr>
                            <w:rFonts w:ascii="宋体" w:eastAsia="宋体" w:hint="eastAsia"/>
                            <w:spacing w:val="6"/>
                            <w:sz w:val="21"/>
                          </w:rPr>
                          <w:t>本项目采用高温好氧立</w:t>
                        </w:r>
                        <w:r>
                          <w:rPr>
                            <w:rFonts w:ascii="宋体" w:eastAsia="宋体" w:hint="eastAsia"/>
                            <w:spacing w:val="5"/>
                            <w:sz w:val="21"/>
                          </w:rPr>
                          <w:t>式发酵罐处理猪粪，处</w:t>
                        </w:r>
                      </w:p>
                      <w:p>
                        <w:pPr>
                          <w:pStyle w:val="TableParagraph"/>
                          <w:spacing w:line="255" w:lineRule="exact" w:before="0"/>
                          <w:ind w:left="115"/>
                          <w:jc w:val="left"/>
                          <w:rPr>
                            <w:rFonts w:ascii="宋体" w:eastAsia="宋体" w:hint="eastAsia"/>
                            <w:sz w:val="21"/>
                          </w:rPr>
                        </w:pPr>
                        <w:r>
                          <w:rPr>
                            <w:rFonts w:ascii="宋体" w:eastAsia="宋体" w:hint="eastAsia"/>
                            <w:spacing w:val="7"/>
                            <w:sz w:val="21"/>
                          </w:rPr>
                          <w:t>理后的产物作为生产有</w:t>
                        </w:r>
                      </w:p>
                    </w:tc>
                    <w:tc>
                      <w:tcPr>
                        <w:tcW w:w="958" w:type="dxa"/>
                        <w:tcBorders>
                          <w:top w:val="single" w:sz="6" w:space="0" w:color="000000"/>
                          <w:left w:val="single" w:sz="6" w:space="0" w:color="000000"/>
                          <w:bottom w:val="nil"/>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line="255" w:lineRule="exact" w:before="129"/>
                          <w:ind w:left="148" w:right="108"/>
                          <w:rPr>
                            <w:rFonts w:ascii="宋体" w:eastAsia="宋体" w:hint="eastAsia"/>
                            <w:sz w:val="21"/>
                          </w:rPr>
                        </w:pPr>
                        <w:r>
                          <w:rPr>
                            <w:rFonts w:ascii="宋体" w:eastAsia="宋体" w:hint="eastAsia"/>
                            <w:sz w:val="21"/>
                          </w:rPr>
                          <w:t>符合</w:t>
                        </w:r>
                      </w:p>
                    </w:tc>
                  </w:tr>
                  <w:tr>
                    <w:trPr>
                      <w:trHeight w:val="281" w:hRule="atLeast"/>
                    </w:trPr>
                    <w:tc>
                      <w:tcPr>
                        <w:tcW w:w="427" w:type="dxa"/>
                        <w:vMerge/>
                        <w:tcBorders>
                          <w:top w:val="nil"/>
                          <w:right w:val="single" w:sz="6" w:space="0" w:color="000000"/>
                        </w:tcBorders>
                      </w:tcPr>
                      <w:p>
                        <w:pPr>
                          <w:rPr>
                            <w:sz w:val="2"/>
                            <w:szCs w:val="2"/>
                          </w:rPr>
                        </w:pPr>
                      </w:p>
                    </w:tc>
                    <w:tc>
                      <w:tcPr>
                        <w:tcW w:w="5636" w:type="dxa"/>
                        <w:tcBorders>
                          <w:top w:val="nil"/>
                          <w:left w:val="single" w:sz="6" w:space="0" w:color="000000"/>
                          <w:bottom w:val="nil"/>
                          <w:right w:val="single" w:sz="6" w:space="0" w:color="000000"/>
                        </w:tcBorders>
                      </w:tcPr>
                      <w:p>
                        <w:pPr>
                          <w:pStyle w:val="TableParagraph"/>
                          <w:spacing w:line="255" w:lineRule="exact" w:before="7"/>
                          <w:ind w:left="115"/>
                          <w:jc w:val="left"/>
                          <w:rPr>
                            <w:rFonts w:ascii="宋体" w:eastAsia="宋体" w:hint="eastAsia"/>
                            <w:sz w:val="21"/>
                          </w:rPr>
                        </w:pPr>
                        <w:r>
                          <w:rPr>
                            <w:rFonts w:ascii="宋体" w:eastAsia="宋体" w:hint="eastAsia"/>
                            <w:sz w:val="21"/>
                          </w:rPr>
                          <w:t>应根据不同处理工艺需要来配套。</w:t>
                        </w:r>
                      </w:p>
                    </w:tc>
                    <w:tc>
                      <w:tcPr>
                        <w:tcW w:w="2410" w:type="dxa"/>
                        <w:tcBorders>
                          <w:top w:val="nil"/>
                          <w:left w:val="single" w:sz="6" w:space="0" w:color="000000"/>
                          <w:bottom w:val="nil"/>
                          <w:right w:val="single" w:sz="6" w:space="0" w:color="000000"/>
                        </w:tcBorders>
                      </w:tcPr>
                      <w:p>
                        <w:pPr>
                          <w:pStyle w:val="TableParagraph"/>
                          <w:spacing w:line="255" w:lineRule="exact" w:before="7"/>
                          <w:ind w:left="115"/>
                          <w:jc w:val="left"/>
                          <w:rPr>
                            <w:rFonts w:ascii="宋体" w:eastAsia="宋体" w:hint="eastAsia"/>
                            <w:sz w:val="21"/>
                          </w:rPr>
                        </w:pPr>
                        <w:r>
                          <w:rPr>
                            <w:rFonts w:ascii="宋体" w:eastAsia="宋体" w:hint="eastAsia"/>
                            <w:sz w:val="21"/>
                          </w:rPr>
                          <w:t>机肥的原料出售给下游</w:t>
                        </w:r>
                      </w:p>
                    </w:tc>
                    <w:tc>
                      <w:tcPr>
                        <w:tcW w:w="958" w:type="dxa"/>
                        <w:tcBorders>
                          <w:top w:val="nil"/>
                          <w:left w:val="single" w:sz="6" w:space="0" w:color="000000"/>
                          <w:bottom w:val="nil"/>
                        </w:tcBorders>
                      </w:tcPr>
                      <w:p>
                        <w:pPr>
                          <w:pStyle w:val="TableParagraph"/>
                          <w:spacing w:before="0"/>
                          <w:jc w:val="left"/>
                          <w:rPr>
                            <w:sz w:val="20"/>
                          </w:rPr>
                        </w:pPr>
                      </w:p>
                    </w:tc>
                  </w:tr>
                  <w:tr>
                    <w:trPr>
                      <w:trHeight w:val="293" w:hRule="atLeast"/>
                    </w:trPr>
                    <w:tc>
                      <w:tcPr>
                        <w:tcW w:w="427" w:type="dxa"/>
                        <w:vMerge/>
                        <w:tcBorders>
                          <w:top w:val="nil"/>
                          <w:right w:val="single" w:sz="6" w:space="0" w:color="000000"/>
                        </w:tcBorders>
                      </w:tcPr>
                      <w:p>
                        <w:pPr>
                          <w:rPr>
                            <w:sz w:val="2"/>
                            <w:szCs w:val="2"/>
                          </w:rPr>
                        </w:pPr>
                      </w:p>
                    </w:tc>
                    <w:tc>
                      <w:tcPr>
                        <w:tcW w:w="5636" w:type="dxa"/>
                        <w:tcBorders>
                          <w:top w:val="nil"/>
                          <w:left w:val="single" w:sz="6" w:space="0" w:color="000000"/>
                          <w:right w:val="single" w:sz="6" w:space="0" w:color="000000"/>
                        </w:tcBorders>
                      </w:tcPr>
                      <w:p>
                        <w:pPr>
                          <w:pStyle w:val="TableParagraph"/>
                          <w:spacing w:before="4"/>
                          <w:ind w:left="115"/>
                          <w:jc w:val="left"/>
                          <w:rPr>
                            <w:rFonts w:ascii="宋体" w:eastAsia="宋体" w:hint="eastAsia"/>
                            <w:sz w:val="21"/>
                          </w:rPr>
                        </w:pPr>
                        <w:r>
                          <w:rPr>
                            <w:sz w:val="21"/>
                          </w:rPr>
                          <w:t>9.2.2 </w:t>
                        </w:r>
                        <w:r>
                          <w:rPr>
                            <w:rFonts w:ascii="宋体" w:eastAsia="宋体" w:hint="eastAsia"/>
                            <w:position w:val="1"/>
                            <w:sz w:val="21"/>
                          </w:rPr>
                          <w:t>场内应建立收集堆肥渗滤液的贮存池、防雨淋设施和</w:t>
                        </w:r>
                      </w:p>
                    </w:tc>
                    <w:tc>
                      <w:tcPr>
                        <w:tcW w:w="2410" w:type="dxa"/>
                        <w:tcBorders>
                          <w:top w:val="nil"/>
                          <w:left w:val="single" w:sz="6" w:space="0" w:color="000000"/>
                          <w:right w:val="single" w:sz="6" w:space="0" w:color="000000"/>
                        </w:tcBorders>
                      </w:tcPr>
                      <w:p>
                        <w:pPr>
                          <w:pStyle w:val="TableParagraph"/>
                          <w:spacing w:line="266" w:lineRule="exact" w:before="7"/>
                          <w:ind w:left="115"/>
                          <w:jc w:val="left"/>
                          <w:rPr>
                            <w:rFonts w:ascii="宋体" w:eastAsia="宋体" w:hint="eastAsia"/>
                            <w:sz w:val="21"/>
                          </w:rPr>
                        </w:pPr>
                        <w:r>
                          <w:rPr>
                            <w:rFonts w:ascii="宋体" w:eastAsia="宋体" w:hint="eastAsia"/>
                            <w:sz w:val="21"/>
                          </w:rPr>
                          <w:t>厂家进行利用。本环评</w:t>
                        </w:r>
                      </w:p>
                    </w:tc>
                    <w:tc>
                      <w:tcPr>
                        <w:tcW w:w="958" w:type="dxa"/>
                        <w:tcBorders>
                          <w:top w:val="nil"/>
                          <w:left w:val="single" w:sz="6" w:space="0" w:color="000000"/>
                        </w:tcBorders>
                      </w:tcPr>
                      <w:p>
                        <w:pPr>
                          <w:pStyle w:val="TableParagraph"/>
                          <w:spacing w:before="0"/>
                          <w:jc w:val="left"/>
                          <w:rPr>
                            <w:sz w:val="20"/>
                          </w:rPr>
                        </w:pPr>
                      </w:p>
                    </w:tc>
                  </w:tr>
                </w:tbl>
                <w:p>
                  <w:pPr>
                    <w:pStyle w:val="BodyText"/>
                    <w:ind w:left="0"/>
                  </w:pPr>
                </w:p>
              </w:txbxContent>
            </v:textbox>
            <w10:wrap type="none"/>
          </v:shape>
        </w:pict>
      </w:r>
      <w:r>
        <w:rPr>
          <w:spacing w:val="-2"/>
          <w:sz w:val="24"/>
        </w:rPr>
        <w:t>畜禽粪污减量化和资源化利用技术导则》，本项目与之符合性分析详见表 </w:t>
      </w:r>
      <w:r>
        <w:rPr>
          <w:rFonts w:ascii="Times New Roman" w:eastAsia="Times New Roman"/>
          <w:position w:val="1"/>
          <w:sz w:val="24"/>
        </w:rPr>
        <w:t>9.2-5</w:t>
      </w:r>
      <w:r>
        <w:rPr>
          <w:sz w:val="24"/>
        </w:rPr>
        <w:t>。</w:t>
      </w:r>
      <w:r>
        <w:rPr>
          <w:b/>
          <w:spacing w:val="-31"/>
          <w:sz w:val="24"/>
        </w:rPr>
        <w:t>表 </w:t>
      </w:r>
      <w:r>
        <w:rPr>
          <w:rFonts w:ascii="Times New Roman" w:eastAsia="Times New Roman"/>
          <w:b/>
          <w:sz w:val="24"/>
        </w:rPr>
        <w:t>9.2-5</w:t>
      </w:r>
      <w:r>
        <w:rPr>
          <w:rFonts w:ascii="Times New Roman" w:eastAsia="Times New Roman"/>
          <w:b/>
          <w:spacing w:val="56"/>
          <w:sz w:val="24"/>
        </w:rPr>
        <w:t> </w:t>
      </w:r>
      <w:r>
        <w:rPr>
          <w:b/>
          <w:spacing w:val="-1"/>
          <w:sz w:val="24"/>
        </w:rPr>
        <w:t>与《浙江省畜禽粪污减量化和资源化利用技术导则》的符合性分析</w:t>
      </w:r>
    </w:p>
    <w:p>
      <w:pPr>
        <w:spacing w:after="0" w:line="364" w:lineRule="auto"/>
        <w:jc w:val="left"/>
        <w:rPr>
          <w:sz w:val="24"/>
        </w:rPr>
        <w:sectPr>
          <w:pgSz w:w="11910" w:h="16840"/>
          <w:pgMar w:header="874" w:footer="1004" w:top="1420" w:bottom="1200" w:left="1040" w:right="1160"/>
        </w:sectPr>
      </w:pPr>
    </w:p>
    <w:tbl>
      <w:tblPr>
        <w:tblW w:w="0" w:type="auto"/>
        <w:jc w:val="left"/>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7"/>
        <w:gridCol w:w="5636"/>
        <w:gridCol w:w="2410"/>
        <w:gridCol w:w="958"/>
      </w:tblGrid>
      <w:tr>
        <w:trPr>
          <w:trHeight w:val="311" w:hRule="atLeast"/>
        </w:trPr>
        <w:tc>
          <w:tcPr>
            <w:tcW w:w="6063" w:type="dxa"/>
            <w:gridSpan w:val="2"/>
            <w:tcBorders>
              <w:bottom w:val="single" w:sz="6" w:space="0" w:color="000000"/>
              <w:right w:val="single" w:sz="6" w:space="0" w:color="000000"/>
            </w:tcBorders>
          </w:tcPr>
          <w:p>
            <w:pPr>
              <w:pStyle w:val="TableParagraph"/>
              <w:spacing w:line="267" w:lineRule="exact" w:before="25"/>
              <w:ind w:left="2589" w:right="2568"/>
              <w:rPr>
                <w:rFonts w:ascii="宋体" w:eastAsia="宋体" w:hint="eastAsia"/>
                <w:b/>
                <w:sz w:val="21"/>
              </w:rPr>
            </w:pPr>
            <w:r>
              <w:rPr>
                <w:rFonts w:ascii="宋体" w:eastAsia="宋体" w:hint="eastAsia"/>
                <w:b/>
                <w:sz w:val="21"/>
              </w:rPr>
              <w:t>具体指标</w:t>
            </w:r>
          </w:p>
        </w:tc>
        <w:tc>
          <w:tcPr>
            <w:tcW w:w="2410" w:type="dxa"/>
            <w:tcBorders>
              <w:left w:val="single" w:sz="6" w:space="0" w:color="000000"/>
              <w:bottom w:val="single" w:sz="6" w:space="0" w:color="000000"/>
              <w:right w:val="single" w:sz="6" w:space="0" w:color="000000"/>
            </w:tcBorders>
          </w:tcPr>
          <w:p>
            <w:pPr>
              <w:pStyle w:val="TableParagraph"/>
              <w:spacing w:line="267" w:lineRule="exact" w:before="25"/>
              <w:ind w:left="98" w:right="68"/>
              <w:rPr>
                <w:rFonts w:ascii="宋体" w:eastAsia="宋体" w:hint="eastAsia"/>
                <w:b/>
                <w:sz w:val="21"/>
              </w:rPr>
            </w:pPr>
            <w:r>
              <w:rPr>
                <w:rFonts w:ascii="宋体" w:eastAsia="宋体" w:hint="eastAsia"/>
                <w:b/>
                <w:sz w:val="21"/>
              </w:rPr>
              <w:t>本项目情况</w:t>
            </w:r>
          </w:p>
        </w:tc>
        <w:tc>
          <w:tcPr>
            <w:tcW w:w="958" w:type="dxa"/>
            <w:tcBorders>
              <w:left w:val="single" w:sz="6" w:space="0" w:color="000000"/>
              <w:bottom w:val="single" w:sz="6" w:space="0" w:color="000000"/>
            </w:tcBorders>
          </w:tcPr>
          <w:p>
            <w:pPr>
              <w:pStyle w:val="TableParagraph"/>
              <w:spacing w:line="267" w:lineRule="exact" w:before="25"/>
              <w:ind w:left="148" w:right="114"/>
              <w:rPr>
                <w:rFonts w:ascii="宋体" w:eastAsia="宋体" w:hint="eastAsia"/>
                <w:b/>
                <w:sz w:val="21"/>
              </w:rPr>
            </w:pPr>
            <w:r>
              <w:rPr>
                <w:rFonts w:ascii="宋体" w:eastAsia="宋体" w:hint="eastAsia"/>
                <w:b/>
                <w:sz w:val="21"/>
              </w:rPr>
              <w:t>符合性</w:t>
            </w:r>
          </w:p>
        </w:tc>
      </w:tr>
      <w:tr>
        <w:trPr>
          <w:trHeight w:val="1249" w:hRule="atLeast"/>
        </w:trPr>
        <w:tc>
          <w:tcPr>
            <w:tcW w:w="427" w:type="dxa"/>
            <w:tcBorders>
              <w:top w:val="single" w:sz="6" w:space="0" w:color="000000"/>
              <w:bottom w:val="single" w:sz="6" w:space="0" w:color="000000"/>
              <w:right w:val="single" w:sz="6" w:space="0" w:color="000000"/>
            </w:tcBorders>
          </w:tcPr>
          <w:p>
            <w:pPr>
              <w:pStyle w:val="TableParagraph"/>
              <w:spacing w:line="278" w:lineRule="auto" w:before="25"/>
              <w:ind w:left="107" w:right="83"/>
              <w:jc w:val="both"/>
              <w:rPr>
                <w:rFonts w:ascii="宋体" w:eastAsia="宋体" w:hint="eastAsia"/>
                <w:sz w:val="21"/>
              </w:rPr>
            </w:pPr>
            <w:r>
              <w:rPr>
                <w:rFonts w:ascii="宋体" w:eastAsia="宋体" w:hint="eastAsia"/>
                <w:sz w:val="21"/>
              </w:rPr>
              <w:t>利用技</w:t>
            </w:r>
          </w:p>
          <w:p>
            <w:pPr>
              <w:pStyle w:val="TableParagraph"/>
              <w:spacing w:line="269" w:lineRule="exact" w:before="0"/>
              <w:ind w:left="107"/>
              <w:jc w:val="left"/>
              <w:rPr>
                <w:rFonts w:ascii="宋体" w:eastAsia="宋体" w:hint="eastAsia"/>
                <w:sz w:val="21"/>
              </w:rPr>
            </w:pPr>
            <w:r>
              <w:rPr>
                <w:rFonts w:ascii="宋体" w:eastAsia="宋体" w:hint="eastAsia"/>
                <w:w w:val="100"/>
                <w:sz w:val="21"/>
              </w:rPr>
              <w:t>术</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before="25"/>
              <w:ind w:left="115"/>
              <w:jc w:val="left"/>
              <w:rPr>
                <w:rFonts w:ascii="宋体" w:eastAsia="宋体" w:hint="eastAsia"/>
                <w:sz w:val="21"/>
              </w:rPr>
            </w:pPr>
            <w:r>
              <w:rPr>
                <w:rFonts w:ascii="宋体" w:eastAsia="宋体" w:hint="eastAsia"/>
                <w:sz w:val="21"/>
              </w:rPr>
              <w:t>雨水排水系统。</w:t>
            </w:r>
          </w:p>
          <w:p>
            <w:pPr>
              <w:pStyle w:val="TableParagraph"/>
              <w:spacing w:line="312" w:lineRule="exact" w:before="10"/>
              <w:ind w:left="115" w:right="78"/>
              <w:jc w:val="both"/>
              <w:rPr>
                <w:rFonts w:ascii="宋体" w:eastAsia="宋体" w:hint="eastAsia"/>
                <w:sz w:val="21"/>
              </w:rPr>
            </w:pPr>
            <w:r>
              <w:rPr>
                <w:sz w:val="21"/>
              </w:rPr>
              <w:t>9.2.3 </w:t>
            </w:r>
            <w:r>
              <w:rPr>
                <w:rFonts w:ascii="宋体" w:eastAsia="宋体" w:hint="eastAsia"/>
                <w:position w:val="1"/>
                <w:sz w:val="21"/>
              </w:rPr>
              <w:t>好氧堆肥工艺要求应满足</w:t>
            </w:r>
            <w:r>
              <w:rPr>
                <w:sz w:val="21"/>
              </w:rPr>
              <w:t>HJ 497-2009 </w:t>
            </w:r>
            <w:r>
              <w:rPr>
                <w:rFonts w:ascii="宋体" w:eastAsia="宋体" w:hint="eastAsia"/>
                <w:position w:val="1"/>
                <w:sz w:val="21"/>
              </w:rPr>
              <w:t>中 </w:t>
            </w:r>
            <w:r>
              <w:rPr>
                <w:sz w:val="21"/>
              </w:rPr>
              <w:t>8.2 </w:t>
            </w:r>
            <w:r>
              <w:rPr>
                <w:rFonts w:ascii="宋体" w:eastAsia="宋体" w:hint="eastAsia"/>
                <w:position w:val="1"/>
                <w:sz w:val="21"/>
              </w:rPr>
              <w:t>的有关规定。 堆肥的卫生学以及重金属指标要求应满足 </w:t>
            </w:r>
            <w:r>
              <w:rPr>
                <w:sz w:val="21"/>
              </w:rPr>
              <w:t>GB 25246-2010 </w:t>
            </w:r>
            <w:r>
              <w:rPr>
                <w:rFonts w:ascii="宋体" w:eastAsia="宋体" w:hint="eastAsia"/>
                <w:position w:val="1"/>
                <w:sz w:val="21"/>
              </w:rPr>
              <w:t>中 </w:t>
            </w:r>
            <w:r>
              <w:rPr>
                <w:sz w:val="21"/>
              </w:rPr>
              <w:t>4.1 </w:t>
            </w:r>
            <w:r>
              <w:rPr>
                <w:rFonts w:ascii="宋体" w:eastAsia="宋体" w:hint="eastAsia"/>
                <w:position w:val="1"/>
                <w:sz w:val="21"/>
              </w:rPr>
              <w:t>的有关规定。</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25"/>
              <w:ind w:left="115" w:right="81"/>
              <w:jc w:val="left"/>
              <w:rPr>
                <w:rFonts w:ascii="宋体" w:eastAsia="宋体" w:hint="eastAsia"/>
                <w:sz w:val="21"/>
              </w:rPr>
            </w:pPr>
            <w:r>
              <w:rPr>
                <w:rFonts w:ascii="宋体" w:eastAsia="宋体" w:hint="eastAsia"/>
                <w:sz w:val="21"/>
              </w:rPr>
              <w:t>就处理区提出了相应的防渗要求。</w:t>
            </w:r>
          </w:p>
        </w:tc>
        <w:tc>
          <w:tcPr>
            <w:tcW w:w="958" w:type="dxa"/>
            <w:tcBorders>
              <w:top w:val="single" w:sz="6" w:space="0" w:color="000000"/>
              <w:left w:val="single" w:sz="6" w:space="0" w:color="000000"/>
              <w:bottom w:val="single" w:sz="6" w:space="0" w:color="000000"/>
            </w:tcBorders>
          </w:tcPr>
          <w:p>
            <w:pPr>
              <w:pStyle w:val="TableParagraph"/>
              <w:spacing w:before="0"/>
              <w:jc w:val="left"/>
              <w:rPr>
                <w:sz w:val="22"/>
              </w:rPr>
            </w:pPr>
          </w:p>
        </w:tc>
      </w:tr>
      <w:tr>
        <w:trPr>
          <w:trHeight w:val="927" w:hRule="atLeast"/>
        </w:trPr>
        <w:tc>
          <w:tcPr>
            <w:tcW w:w="427" w:type="dxa"/>
            <w:vMerge w:val="restart"/>
            <w:tcBorders>
              <w:top w:val="single" w:sz="6" w:space="0" w:color="000000"/>
              <w:right w:val="single" w:sz="6" w:space="0" w:color="000000"/>
            </w:tcBorders>
          </w:tcPr>
          <w:p>
            <w:pPr>
              <w:pStyle w:val="TableParagraph"/>
              <w:spacing w:line="278" w:lineRule="auto" w:before="44"/>
              <w:ind w:left="107" w:right="83"/>
              <w:jc w:val="both"/>
              <w:rPr>
                <w:rFonts w:ascii="宋体" w:eastAsia="宋体" w:hint="eastAsia"/>
                <w:sz w:val="21"/>
              </w:rPr>
            </w:pPr>
            <w:r>
              <w:rPr>
                <w:rFonts w:ascii="宋体" w:eastAsia="宋体" w:hint="eastAsia"/>
                <w:sz w:val="21"/>
              </w:rPr>
              <w:t>畜禽养殖污水资源化利用技</w:t>
            </w:r>
          </w:p>
          <w:p>
            <w:pPr>
              <w:pStyle w:val="TableParagraph"/>
              <w:spacing w:line="268" w:lineRule="exact" w:before="0"/>
              <w:ind w:left="107"/>
              <w:jc w:val="left"/>
              <w:rPr>
                <w:rFonts w:ascii="宋体" w:eastAsia="宋体" w:hint="eastAsia"/>
                <w:sz w:val="21"/>
              </w:rPr>
            </w:pPr>
            <w:r>
              <w:rPr>
                <w:rFonts w:ascii="宋体" w:eastAsia="宋体" w:hint="eastAsia"/>
                <w:w w:val="100"/>
                <w:sz w:val="21"/>
              </w:rPr>
              <w:t>术</w:t>
            </w: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276" w:lineRule="auto" w:before="22"/>
              <w:ind w:left="115" w:right="81"/>
              <w:jc w:val="left"/>
              <w:rPr>
                <w:rFonts w:ascii="宋体" w:eastAsia="宋体" w:hint="eastAsia"/>
                <w:sz w:val="21"/>
              </w:rPr>
            </w:pPr>
            <w:r>
              <w:rPr>
                <w:rFonts w:ascii="宋体" w:eastAsia="宋体" w:hint="eastAsia"/>
                <w:spacing w:val="-8"/>
                <w:sz w:val="21"/>
              </w:rPr>
              <w:t>根据畜禽养殖类型、规模、清粪工艺、场地和周边条件等科</w:t>
            </w:r>
            <w:r>
              <w:rPr>
                <w:rFonts w:ascii="宋体" w:eastAsia="宋体" w:hint="eastAsia"/>
                <w:spacing w:val="-5"/>
                <w:position w:val="1"/>
                <w:sz w:val="21"/>
              </w:rPr>
              <w:t>学选择养殖污水的厌氧工艺，按照 </w:t>
            </w:r>
            <w:r>
              <w:rPr>
                <w:sz w:val="21"/>
              </w:rPr>
              <w:t>HJ 497-2009 </w:t>
            </w:r>
            <w:r>
              <w:rPr>
                <w:rFonts w:ascii="宋体" w:eastAsia="宋体" w:hint="eastAsia"/>
                <w:spacing w:val="-16"/>
                <w:position w:val="1"/>
                <w:sz w:val="21"/>
              </w:rPr>
              <w:t>第 </w:t>
            </w:r>
            <w:r>
              <w:rPr>
                <w:sz w:val="21"/>
              </w:rPr>
              <w:t>7.2.2 </w:t>
            </w:r>
            <w:r>
              <w:rPr>
                <w:rFonts w:ascii="宋体" w:eastAsia="宋体" w:hint="eastAsia"/>
                <w:position w:val="1"/>
                <w:sz w:val="21"/>
              </w:rPr>
              <w:t>和</w:t>
            </w:r>
          </w:p>
          <w:p>
            <w:pPr>
              <w:pStyle w:val="TableParagraph"/>
              <w:spacing w:line="264" w:lineRule="exact" w:before="3"/>
              <w:ind w:left="115"/>
              <w:jc w:val="left"/>
              <w:rPr>
                <w:rFonts w:ascii="宋体" w:eastAsia="宋体" w:hint="eastAsia"/>
                <w:sz w:val="21"/>
              </w:rPr>
            </w:pPr>
            <w:r>
              <w:rPr>
                <w:sz w:val="21"/>
              </w:rPr>
              <w:t>7.2.3 </w:t>
            </w:r>
            <w:r>
              <w:rPr>
                <w:rFonts w:ascii="宋体" w:eastAsia="宋体" w:hint="eastAsia"/>
                <w:position w:val="1"/>
                <w:sz w:val="21"/>
              </w:rPr>
              <w:t>条的有关规定执行。</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before="22"/>
              <w:ind w:left="115"/>
              <w:jc w:val="left"/>
              <w:rPr>
                <w:rFonts w:ascii="宋体" w:eastAsia="宋体" w:hint="eastAsia"/>
                <w:sz w:val="21"/>
              </w:rPr>
            </w:pPr>
            <w:r>
              <w:rPr>
                <w:rFonts w:ascii="宋体" w:eastAsia="宋体" w:hint="eastAsia"/>
                <w:sz w:val="21"/>
              </w:rPr>
              <w:t>本项目废水处理工艺由</w:t>
            </w:r>
          </w:p>
          <w:p>
            <w:pPr>
              <w:pStyle w:val="TableParagraph"/>
              <w:spacing w:line="310" w:lineRule="atLeast" w:before="2"/>
              <w:ind w:left="115" w:right="81"/>
              <w:jc w:val="left"/>
              <w:rPr>
                <w:rFonts w:ascii="宋体" w:eastAsia="宋体" w:hint="eastAsia"/>
                <w:sz w:val="21"/>
              </w:rPr>
            </w:pPr>
            <w:r>
              <w:rPr>
                <w:rFonts w:ascii="宋体" w:eastAsia="宋体" w:hint="eastAsia"/>
                <w:sz w:val="21"/>
              </w:rPr>
              <w:t>第三方单位进行设计， 可达预期处理目标。</w:t>
            </w:r>
          </w:p>
        </w:tc>
        <w:tc>
          <w:tcPr>
            <w:tcW w:w="958" w:type="dxa"/>
            <w:tcBorders>
              <w:top w:val="single" w:sz="6" w:space="0" w:color="000000"/>
              <w:left w:val="single" w:sz="6" w:space="0" w:color="000000"/>
              <w:bottom w:val="single" w:sz="6" w:space="0" w:color="000000"/>
            </w:tcBorders>
          </w:tcPr>
          <w:p>
            <w:pPr>
              <w:pStyle w:val="TableParagraph"/>
              <w:spacing w:before="1"/>
              <w:jc w:val="left"/>
              <w:rPr>
                <w:rFonts w:ascii="宋体"/>
                <w:b/>
                <w:sz w:val="26"/>
              </w:rPr>
            </w:pPr>
          </w:p>
          <w:p>
            <w:pPr>
              <w:pStyle w:val="TableParagraph"/>
              <w:spacing w:before="0"/>
              <w:ind w:left="148" w:right="108"/>
              <w:rPr>
                <w:rFonts w:ascii="宋体" w:eastAsia="宋体" w:hint="eastAsia"/>
                <w:sz w:val="21"/>
              </w:rPr>
            </w:pPr>
            <w:r>
              <w:rPr>
                <w:rFonts w:ascii="宋体" w:eastAsia="宋体" w:hint="eastAsia"/>
                <w:sz w:val="21"/>
              </w:rPr>
              <w:t>符合</w:t>
            </w:r>
          </w:p>
        </w:tc>
      </w:tr>
      <w:tr>
        <w:trPr>
          <w:trHeight w:val="1232" w:hRule="atLeast"/>
        </w:trPr>
        <w:tc>
          <w:tcPr>
            <w:tcW w:w="427" w:type="dxa"/>
            <w:vMerge/>
            <w:tcBorders>
              <w:top w:val="nil"/>
              <w:right w:val="single" w:sz="6" w:space="0" w:color="000000"/>
            </w:tcBorders>
          </w:tcPr>
          <w:p>
            <w:pPr>
              <w:rPr>
                <w:sz w:val="2"/>
                <w:szCs w:val="2"/>
              </w:rPr>
            </w:pP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276" w:lineRule="auto" w:before="15"/>
              <w:ind w:left="115" w:right="78"/>
              <w:jc w:val="both"/>
              <w:rPr>
                <w:sz w:val="21"/>
              </w:rPr>
            </w:pPr>
            <w:r>
              <w:rPr>
                <w:rFonts w:ascii="宋体" w:eastAsia="宋体" w:hint="eastAsia"/>
                <w:spacing w:val="-6"/>
                <w:sz w:val="21"/>
              </w:rPr>
              <w:t>厌氧处理产生的沼气须完全利用，不得直接向环境排放。经</w:t>
            </w:r>
            <w:r>
              <w:rPr>
                <w:rFonts w:ascii="宋体" w:eastAsia="宋体" w:hint="eastAsia"/>
                <w:spacing w:val="3"/>
                <w:sz w:val="21"/>
              </w:rPr>
              <w:t>净化处理后通过输配气系统可用于居民生活用气、锅炉燃</w:t>
            </w:r>
            <w:r>
              <w:rPr>
                <w:rFonts w:ascii="宋体" w:eastAsia="宋体" w:hint="eastAsia"/>
                <w:spacing w:val="3"/>
                <w:position w:val="1"/>
                <w:sz w:val="21"/>
              </w:rPr>
              <w:t>烧、沼气发电等。沼气的净化、贮存按照 </w:t>
            </w:r>
            <w:r>
              <w:rPr>
                <w:sz w:val="21"/>
              </w:rPr>
              <w:t>NY/T </w:t>
            </w:r>
            <w:r>
              <w:rPr>
                <w:spacing w:val="-3"/>
                <w:sz w:val="21"/>
              </w:rPr>
              <w:t>1222-2006</w:t>
            </w:r>
          </w:p>
          <w:p>
            <w:pPr>
              <w:pStyle w:val="TableParagraph"/>
              <w:spacing w:line="264" w:lineRule="exact" w:before="5"/>
              <w:ind w:left="115"/>
              <w:jc w:val="both"/>
              <w:rPr>
                <w:rFonts w:ascii="宋体" w:eastAsia="宋体" w:hint="eastAsia"/>
                <w:sz w:val="21"/>
              </w:rPr>
            </w:pPr>
            <w:r>
              <w:rPr>
                <w:rFonts w:ascii="宋体" w:eastAsia="宋体" w:hint="eastAsia"/>
                <w:position w:val="1"/>
                <w:sz w:val="21"/>
              </w:rPr>
              <w:t>第 </w:t>
            </w:r>
            <w:r>
              <w:rPr>
                <w:sz w:val="21"/>
              </w:rPr>
              <w:t>8.5 </w:t>
            </w:r>
            <w:r>
              <w:rPr>
                <w:rFonts w:ascii="宋体" w:eastAsia="宋体" w:hint="eastAsia"/>
                <w:position w:val="1"/>
                <w:sz w:val="21"/>
              </w:rPr>
              <w:t>条、第 </w:t>
            </w:r>
            <w:r>
              <w:rPr>
                <w:sz w:val="21"/>
              </w:rPr>
              <w:t>8.6 </w:t>
            </w:r>
            <w:r>
              <w:rPr>
                <w:rFonts w:ascii="宋体" w:eastAsia="宋体" w:hint="eastAsia"/>
                <w:position w:val="1"/>
                <w:sz w:val="21"/>
              </w:rPr>
              <w:t>条的有关规定执行。</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71"/>
              <w:ind w:left="115" w:right="73"/>
              <w:jc w:val="both"/>
              <w:rPr>
                <w:rFonts w:ascii="宋体" w:eastAsia="宋体" w:hint="eastAsia"/>
                <w:sz w:val="21"/>
              </w:rPr>
            </w:pPr>
            <w:r>
              <w:rPr>
                <w:rFonts w:ascii="宋体" w:eastAsia="宋体" w:hint="eastAsia"/>
                <w:sz w:val="21"/>
              </w:rPr>
              <w:t>本项目沼气经脱硫预处理后用于厂区热水锅炉和食堂。</w:t>
            </w:r>
          </w:p>
        </w:tc>
        <w:tc>
          <w:tcPr>
            <w:tcW w:w="958" w:type="dxa"/>
            <w:tcBorders>
              <w:top w:val="single" w:sz="6" w:space="0" w:color="000000"/>
              <w:left w:val="single" w:sz="6" w:space="0" w:color="000000"/>
              <w:bottom w:val="single" w:sz="6" w:space="0" w:color="000000"/>
            </w:tcBorders>
          </w:tcPr>
          <w:p>
            <w:pPr>
              <w:pStyle w:val="TableParagraph"/>
              <w:spacing w:before="0"/>
              <w:jc w:val="left"/>
              <w:rPr>
                <w:rFonts w:ascii="宋体"/>
                <w:b/>
                <w:sz w:val="20"/>
              </w:rPr>
            </w:pPr>
          </w:p>
          <w:p>
            <w:pPr>
              <w:pStyle w:val="TableParagraph"/>
              <w:spacing w:before="8"/>
              <w:jc w:val="left"/>
              <w:rPr>
                <w:rFonts w:ascii="宋体"/>
                <w:b/>
                <w:sz w:val="17"/>
              </w:rPr>
            </w:pPr>
          </w:p>
          <w:p>
            <w:pPr>
              <w:pStyle w:val="TableParagraph"/>
              <w:spacing w:before="1"/>
              <w:ind w:left="148" w:right="108"/>
              <w:rPr>
                <w:rFonts w:ascii="宋体" w:eastAsia="宋体" w:hint="eastAsia"/>
                <w:sz w:val="21"/>
              </w:rPr>
            </w:pPr>
            <w:r>
              <w:rPr>
                <w:rFonts w:ascii="宋体" w:eastAsia="宋体" w:hint="eastAsia"/>
                <w:sz w:val="21"/>
              </w:rPr>
              <w:t>符合</w:t>
            </w:r>
          </w:p>
        </w:tc>
      </w:tr>
      <w:tr>
        <w:trPr>
          <w:trHeight w:val="296" w:hRule="atLeast"/>
        </w:trPr>
        <w:tc>
          <w:tcPr>
            <w:tcW w:w="427" w:type="dxa"/>
            <w:vMerge/>
            <w:tcBorders>
              <w:top w:val="nil"/>
              <w:right w:val="single" w:sz="6" w:space="0" w:color="000000"/>
            </w:tcBorders>
          </w:tcPr>
          <w:p>
            <w:pPr>
              <w:rPr>
                <w:sz w:val="2"/>
                <w:szCs w:val="2"/>
              </w:rPr>
            </w:pPr>
          </w:p>
        </w:tc>
        <w:tc>
          <w:tcPr>
            <w:tcW w:w="5636"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5"/>
              <w:ind w:left="115"/>
              <w:jc w:val="left"/>
              <w:rPr>
                <w:rFonts w:ascii="宋体" w:eastAsia="宋体" w:hint="eastAsia"/>
                <w:sz w:val="21"/>
              </w:rPr>
            </w:pPr>
            <w:r>
              <w:rPr>
                <w:rFonts w:ascii="宋体" w:eastAsia="宋体" w:hint="eastAsia"/>
                <w:sz w:val="21"/>
              </w:rPr>
              <w:t>沼渣应及时运至粪便堆肥场或其他无害化场所进行处理。</w:t>
            </w:r>
          </w:p>
        </w:tc>
        <w:tc>
          <w:tcPr>
            <w:tcW w:w="2410" w:type="dxa"/>
            <w:tcBorders>
              <w:top w:val="single" w:sz="6" w:space="0" w:color="000000"/>
              <w:left w:val="single" w:sz="6" w:space="0" w:color="000000"/>
              <w:bottom w:val="single" w:sz="6" w:space="0" w:color="000000"/>
              <w:right w:val="single" w:sz="6" w:space="0" w:color="000000"/>
            </w:tcBorders>
          </w:tcPr>
          <w:p>
            <w:pPr>
              <w:pStyle w:val="TableParagraph"/>
              <w:spacing w:line="261" w:lineRule="exact" w:before="15"/>
              <w:ind w:left="98" w:right="157"/>
              <w:rPr>
                <w:rFonts w:ascii="宋体" w:eastAsia="宋体" w:hint="eastAsia"/>
                <w:sz w:val="21"/>
              </w:rPr>
            </w:pPr>
            <w:r>
              <w:rPr>
                <w:rFonts w:ascii="宋体" w:eastAsia="宋体" w:hint="eastAsia"/>
                <w:sz w:val="21"/>
              </w:rPr>
              <w:t>沼渣进发酵罐预处理。</w:t>
            </w:r>
          </w:p>
        </w:tc>
        <w:tc>
          <w:tcPr>
            <w:tcW w:w="958" w:type="dxa"/>
            <w:tcBorders>
              <w:top w:val="single" w:sz="6" w:space="0" w:color="000000"/>
              <w:left w:val="single" w:sz="6" w:space="0" w:color="000000"/>
              <w:bottom w:val="single" w:sz="6" w:space="0" w:color="000000"/>
            </w:tcBorders>
          </w:tcPr>
          <w:p>
            <w:pPr>
              <w:pStyle w:val="TableParagraph"/>
              <w:spacing w:line="261" w:lineRule="exact" w:before="15"/>
              <w:ind w:left="148" w:right="108"/>
              <w:rPr>
                <w:rFonts w:ascii="宋体" w:eastAsia="宋体" w:hint="eastAsia"/>
                <w:sz w:val="21"/>
              </w:rPr>
            </w:pPr>
            <w:r>
              <w:rPr>
                <w:rFonts w:ascii="宋体" w:eastAsia="宋体" w:hint="eastAsia"/>
                <w:sz w:val="21"/>
              </w:rPr>
              <w:t>符合</w:t>
            </w:r>
          </w:p>
        </w:tc>
      </w:tr>
      <w:tr>
        <w:trPr>
          <w:trHeight w:val="1551" w:hRule="atLeast"/>
        </w:trPr>
        <w:tc>
          <w:tcPr>
            <w:tcW w:w="427" w:type="dxa"/>
            <w:vMerge/>
            <w:tcBorders>
              <w:top w:val="nil"/>
              <w:right w:val="single" w:sz="6" w:space="0" w:color="000000"/>
            </w:tcBorders>
          </w:tcPr>
          <w:p>
            <w:pPr>
              <w:rPr>
                <w:sz w:val="2"/>
                <w:szCs w:val="2"/>
              </w:rPr>
            </w:pPr>
          </w:p>
        </w:tc>
        <w:tc>
          <w:tcPr>
            <w:tcW w:w="5636" w:type="dxa"/>
            <w:tcBorders>
              <w:top w:val="single" w:sz="6" w:space="0" w:color="000000"/>
              <w:left w:val="single" w:sz="6" w:space="0" w:color="000000"/>
              <w:right w:val="single" w:sz="6" w:space="0" w:color="000000"/>
            </w:tcBorders>
          </w:tcPr>
          <w:p>
            <w:pPr>
              <w:pStyle w:val="TableParagraph"/>
              <w:spacing w:line="278" w:lineRule="auto" w:before="17"/>
              <w:ind w:left="115" w:right="81"/>
              <w:jc w:val="both"/>
              <w:rPr>
                <w:rFonts w:ascii="宋体" w:eastAsia="宋体" w:hint="eastAsia"/>
                <w:sz w:val="21"/>
              </w:rPr>
            </w:pPr>
            <w:r>
              <w:rPr>
                <w:rFonts w:ascii="宋体" w:eastAsia="宋体" w:hint="eastAsia"/>
                <w:spacing w:val="3"/>
                <w:sz w:val="21"/>
              </w:rPr>
              <w:t>沼液不符合生态消纳条件或异地利用运输成本限制等的畜</w:t>
            </w:r>
            <w:r>
              <w:rPr>
                <w:rFonts w:ascii="宋体" w:eastAsia="宋体" w:hint="eastAsia"/>
                <w:spacing w:val="-6"/>
                <w:sz w:val="21"/>
              </w:rPr>
              <w:t>禽场，沼液必须经处理后纳管、达标排放或回用。纳管的可根据周边市政管网铺设情况、归属地污水厂规模和属性、水</w:t>
            </w:r>
            <w:r>
              <w:rPr>
                <w:rFonts w:ascii="宋体" w:eastAsia="宋体" w:hint="eastAsia"/>
                <w:spacing w:val="-7"/>
                <w:sz w:val="21"/>
              </w:rPr>
              <w:t>务部门或污水厂意向等纳管条件，选择污水纳管模式。处理</w:t>
            </w:r>
          </w:p>
          <w:p>
            <w:pPr>
              <w:pStyle w:val="TableParagraph"/>
              <w:spacing w:line="266" w:lineRule="exact" w:before="0"/>
              <w:ind w:left="115"/>
              <w:jc w:val="left"/>
              <w:rPr>
                <w:rFonts w:ascii="宋体" w:eastAsia="宋体" w:hint="eastAsia"/>
                <w:sz w:val="21"/>
              </w:rPr>
            </w:pPr>
            <w:r>
              <w:rPr>
                <w:rFonts w:ascii="宋体" w:eastAsia="宋体" w:hint="eastAsia"/>
                <w:sz w:val="21"/>
              </w:rPr>
              <w:t>后达标排放或回用的应进行消毒处理，不得产生二次污染。</w:t>
            </w:r>
          </w:p>
        </w:tc>
        <w:tc>
          <w:tcPr>
            <w:tcW w:w="2410" w:type="dxa"/>
            <w:tcBorders>
              <w:top w:val="single" w:sz="6" w:space="0" w:color="000000"/>
              <w:left w:val="single" w:sz="6" w:space="0" w:color="000000"/>
              <w:right w:val="single" w:sz="6" w:space="0" w:color="000000"/>
            </w:tcBorders>
          </w:tcPr>
          <w:p>
            <w:pPr>
              <w:pStyle w:val="TableParagraph"/>
              <w:spacing w:line="278" w:lineRule="auto" w:before="17"/>
              <w:ind w:left="115" w:right="81"/>
              <w:jc w:val="both"/>
              <w:rPr>
                <w:rFonts w:ascii="宋体" w:eastAsia="宋体" w:hint="eastAsia"/>
                <w:sz w:val="21"/>
              </w:rPr>
            </w:pPr>
            <w:r>
              <w:rPr>
                <w:rFonts w:ascii="宋体" w:eastAsia="宋体" w:hint="eastAsia"/>
                <w:sz w:val="21"/>
              </w:rPr>
              <w:t>沼液进废水处理站处理达标后纳入市政污水管网，最终进入绍兴市污水处理厂处理达标后排</w:t>
            </w:r>
          </w:p>
          <w:p>
            <w:pPr>
              <w:pStyle w:val="TableParagraph"/>
              <w:spacing w:line="266" w:lineRule="exact" w:before="0"/>
              <w:ind w:left="115"/>
              <w:jc w:val="left"/>
              <w:rPr>
                <w:rFonts w:ascii="宋体" w:eastAsia="宋体" w:hint="eastAsia"/>
                <w:sz w:val="21"/>
              </w:rPr>
            </w:pPr>
            <w:r>
              <w:rPr>
                <w:rFonts w:ascii="宋体" w:eastAsia="宋体" w:hint="eastAsia"/>
                <w:sz w:val="21"/>
              </w:rPr>
              <w:t>入环境。</w:t>
            </w:r>
          </w:p>
        </w:tc>
        <w:tc>
          <w:tcPr>
            <w:tcW w:w="958" w:type="dxa"/>
            <w:tcBorders>
              <w:top w:val="single" w:sz="6" w:space="0" w:color="000000"/>
              <w:left w:val="single" w:sz="6" w:space="0" w:color="000000"/>
            </w:tcBorders>
          </w:tcPr>
          <w:p>
            <w:pPr>
              <w:pStyle w:val="TableParagraph"/>
              <w:spacing w:before="0"/>
              <w:jc w:val="left"/>
              <w:rPr>
                <w:rFonts w:ascii="宋体"/>
                <w:b/>
                <w:sz w:val="20"/>
              </w:rPr>
            </w:pPr>
          </w:p>
          <w:p>
            <w:pPr>
              <w:pStyle w:val="TableParagraph"/>
              <w:spacing w:before="0"/>
              <w:jc w:val="left"/>
              <w:rPr>
                <w:rFonts w:ascii="宋体"/>
                <w:b/>
                <w:sz w:val="20"/>
              </w:rPr>
            </w:pPr>
          </w:p>
          <w:p>
            <w:pPr>
              <w:pStyle w:val="TableParagraph"/>
              <w:spacing w:before="129"/>
              <w:ind w:left="148" w:right="108"/>
              <w:rPr>
                <w:rFonts w:ascii="宋体" w:eastAsia="宋体" w:hint="eastAsia"/>
                <w:sz w:val="21"/>
              </w:rPr>
            </w:pPr>
            <w:r>
              <w:rPr>
                <w:rFonts w:ascii="宋体" w:eastAsia="宋体" w:hint="eastAsia"/>
                <w:sz w:val="21"/>
              </w:rPr>
              <w:t>符合</w:t>
            </w:r>
          </w:p>
        </w:tc>
      </w:tr>
    </w:tbl>
    <w:p>
      <w:pPr>
        <w:pStyle w:val="Heading3"/>
        <w:spacing w:before="94"/>
      </w:pPr>
      <w:r>
        <w:rPr/>
        <w:t>综上，本项目基本符合国家及地方产业政策导向。</w:t>
      </w:r>
    </w:p>
    <w:p>
      <w:pPr>
        <w:pStyle w:val="ListParagraph"/>
        <w:numPr>
          <w:ilvl w:val="0"/>
          <w:numId w:val="114"/>
        </w:numPr>
        <w:tabs>
          <w:tab w:pos="1323" w:val="left" w:leader="none"/>
        </w:tabs>
        <w:spacing w:line="240" w:lineRule="auto" w:before="160" w:after="0"/>
        <w:ind w:left="1323" w:right="0" w:hanging="604"/>
        <w:jc w:val="left"/>
        <w:rPr>
          <w:b/>
          <w:sz w:val="24"/>
        </w:rPr>
      </w:pPr>
      <w:r>
        <w:rPr>
          <w:b/>
          <w:sz w:val="24"/>
        </w:rPr>
        <w:t>与法律法规的相符性分析</w:t>
      </w:r>
    </w:p>
    <w:p>
      <w:pPr>
        <w:pStyle w:val="BodyText"/>
        <w:spacing w:line="364" w:lineRule="auto" w:before="161"/>
        <w:ind w:right="254" w:firstLine="480"/>
      </w:pPr>
      <w:r>
        <w:rPr/>
        <w:t>为保护鉴湖水域不受污染，保障人体健康，更有效地利用鉴湖特有的优良水源，浙江省发布了《浙江省鉴湖水域保护条例》，主要条款如下：</w:t>
      </w:r>
    </w:p>
    <w:p>
      <w:pPr>
        <w:pStyle w:val="BodyText"/>
        <w:spacing w:before="1"/>
        <w:ind w:left="719"/>
      </w:pPr>
      <w:r>
        <w:rPr>
          <w:b/>
        </w:rPr>
        <w:t>第二条 </w:t>
      </w:r>
      <w:r>
        <w:rPr/>
        <w:t>鉴湖水域的保护范围分特别保护区和一般保护区。</w:t>
      </w:r>
    </w:p>
    <w:p>
      <w:pPr>
        <w:pStyle w:val="BodyText"/>
        <w:spacing w:line="364" w:lineRule="auto" w:before="161"/>
        <w:ind w:right="249" w:firstLine="480"/>
        <w:jc w:val="both"/>
      </w:pPr>
      <w:r>
        <w:rPr/>
        <w:t>（一）特别保护区：东起绍兴市市区东跨湖桥，西至绍兴县湖塘西跨湖桥之间的鉴湖主体水域，及其南侧一千米、北侧五百米内的水域，以及西郭水厂取水口与柯桥水厂取水口上游一千米、下游五百米内的水域。</w:t>
      </w:r>
    </w:p>
    <w:p>
      <w:pPr>
        <w:pStyle w:val="BodyText"/>
        <w:spacing w:line="364" w:lineRule="auto" w:before="2"/>
        <w:ind w:right="113" w:firstLine="480"/>
      </w:pPr>
      <w:r>
        <w:rPr/>
        <w:t>（二）一般保护区：南池江、坡塘江、娄宫江、漓渚江、秋湖江、项里江、型塘江、夏履江、西小江等鉴湖上游水域；特别保护区北侧边界至萧甬铁路之间的下游水域；绍兴市城市建成区和绍兴县人民政府所在地镇建成区范围内属于鉴湖水系除特别保护区外的河道水域。</w:t>
      </w:r>
    </w:p>
    <w:p>
      <w:pPr>
        <w:pStyle w:val="BodyText"/>
        <w:spacing w:line="364" w:lineRule="auto" w:before="3"/>
        <w:ind w:right="254" w:firstLine="480"/>
      </w:pPr>
      <w:r>
        <w:rPr/>
        <w:t>鉴湖水域沿岸的部分陆地列入一般保护区，其范围由省环境保护部门会同绍兴市人民政府和杭州市萧山区人民政府划定。</w:t>
      </w:r>
    </w:p>
    <w:p>
      <w:pPr>
        <w:pStyle w:val="BodyText"/>
        <w:spacing w:before="1"/>
        <w:ind w:left="719"/>
      </w:pPr>
      <w:r>
        <w:rPr>
          <w:b/>
        </w:rPr>
        <w:t>第三条 </w:t>
      </w:r>
      <w:r>
        <w:rPr/>
        <w:t>鉴湖特别保护区内的水质，应当达到国家规定的地面水环境质量标准的二类</w:t>
      </w:r>
    </w:p>
    <w:p>
      <w:pPr>
        <w:pStyle w:val="BodyText"/>
        <w:spacing w:line="364" w:lineRule="auto" w:before="160"/>
        <w:ind w:right="249"/>
      </w:pPr>
      <w:r>
        <w:rPr/>
        <w:t>（含二类）水质以上标准；一般保护区内的水质应当达到国家规定的地面水环境质量标准的三类（含三类）水质以上标准。</w:t>
      </w:r>
    </w:p>
    <w:p>
      <w:pPr>
        <w:spacing w:after="0" w:line="364" w:lineRule="auto"/>
        <w:sectPr>
          <w:pgSz w:w="11910" w:h="16840"/>
          <w:pgMar w:header="874" w:footer="1004" w:top="1420" w:bottom="1200" w:left="1040" w:right="1160"/>
        </w:sectPr>
      </w:pPr>
    </w:p>
    <w:p>
      <w:pPr>
        <w:pStyle w:val="BodyText"/>
        <w:spacing w:line="364" w:lineRule="auto" w:before="92"/>
        <w:ind w:right="200" w:firstLine="482"/>
      </w:pPr>
      <w:r>
        <w:rPr>
          <w:b/>
        </w:rPr>
        <w:t>第五条 </w:t>
      </w:r>
      <w:r>
        <w:rPr/>
        <w:t>鉴湖水域沿岸的一切单位和个人，都有义务保护鉴湖水域不受污染，并有权对污染鉴湖水域的行为进行监督和检举。</w:t>
      </w:r>
    </w:p>
    <w:p>
      <w:pPr>
        <w:pStyle w:val="BodyText"/>
        <w:spacing w:before="1"/>
        <w:ind w:left="719"/>
      </w:pPr>
      <w:r>
        <w:rPr>
          <w:b/>
        </w:rPr>
        <w:t>第六条 </w:t>
      </w:r>
      <w:r>
        <w:rPr/>
        <w:t>鉴湖水域保护范围内，实行污染物排放总量控制制度。</w:t>
      </w:r>
    </w:p>
    <w:p>
      <w:pPr>
        <w:pStyle w:val="BodyText"/>
        <w:spacing w:line="364" w:lineRule="auto" w:before="160"/>
        <w:ind w:right="254" w:firstLine="480"/>
      </w:pPr>
      <w:r>
        <w:rPr/>
        <w:t>鉴湖水域保护范围内，严禁新建、扩建印染、电镀、造纸、制革、化工以及其他严重污染水体的项目。</w:t>
      </w:r>
    </w:p>
    <w:p>
      <w:pPr>
        <w:pStyle w:val="BodyText"/>
        <w:spacing w:line="364" w:lineRule="auto" w:before="2"/>
        <w:ind w:right="249" w:firstLine="480"/>
        <w:jc w:val="both"/>
      </w:pPr>
      <w:r>
        <w:rPr/>
        <w:t>鉴湖水域保护范围内新建、扩建、改建其他污染水体的项目，必须从严控制，并严格遵守国家有关建设项目环境保护管理的规定。建设项目的水污染防治设施必须符合规定的要求，并与主体工程同时设计、同时施工、同时投产使用。</w:t>
      </w:r>
    </w:p>
    <w:p>
      <w:pPr>
        <w:pStyle w:val="BodyText"/>
        <w:spacing w:line="364" w:lineRule="auto" w:before="2"/>
        <w:ind w:right="254" w:firstLine="480"/>
      </w:pPr>
      <w:r>
        <w:rPr/>
        <w:t>鉴湖水域保护范围内企业事业单位已有的水污染防治设施，必须正常运转，不得擅自关停或闲置。</w:t>
      </w:r>
    </w:p>
    <w:p>
      <w:pPr>
        <w:pStyle w:val="BodyText"/>
        <w:spacing w:line="364" w:lineRule="auto" w:before="1"/>
        <w:ind w:right="200" w:firstLine="482"/>
      </w:pPr>
      <w:r>
        <w:rPr>
          <w:b/>
        </w:rPr>
        <w:t>第七条 </w:t>
      </w:r>
      <w:r>
        <w:rPr/>
        <w:t>鉴湖水域保护范围内已有的污染水体的企业事业单位，必须按照环境保护部门提出的治理计划，限期完成治理任务。</w:t>
      </w:r>
    </w:p>
    <w:p>
      <w:pPr>
        <w:pStyle w:val="BodyText"/>
        <w:spacing w:before="1"/>
        <w:ind w:left="717"/>
      </w:pPr>
      <w:r>
        <w:rPr/>
        <w:t>污染严重、又难于治理的企业事业单位，必须限期搬迁或关闭。</w:t>
      </w:r>
    </w:p>
    <w:p>
      <w:pPr>
        <w:pStyle w:val="BodyText"/>
        <w:spacing w:line="364" w:lineRule="auto" w:before="161"/>
        <w:ind w:right="199" w:firstLine="482"/>
      </w:pPr>
      <w:r>
        <w:rPr>
          <w:b/>
        </w:rPr>
        <w:t>第八条 </w:t>
      </w:r>
      <w:r>
        <w:rPr/>
        <w:t>鉴湖水域保护范围内，实行排污许可证制度。向水体排放污染物的单位，必须取得排污许可证，并严格按照许可证规定的要求执行。</w:t>
      </w:r>
    </w:p>
    <w:p>
      <w:pPr>
        <w:pStyle w:val="BodyText"/>
        <w:spacing w:before="2"/>
        <w:ind w:left="717"/>
      </w:pPr>
      <w:r>
        <w:rPr/>
        <w:t>排污许可证制度的具体实施办法和步骤，由省环境保护部门规定。</w:t>
      </w:r>
    </w:p>
    <w:p>
      <w:pPr>
        <w:pStyle w:val="BodyText"/>
        <w:spacing w:line="364" w:lineRule="auto" w:before="160"/>
        <w:ind w:right="249" w:firstLine="482"/>
        <w:jc w:val="both"/>
      </w:pPr>
      <w:r>
        <w:rPr>
          <w:b/>
        </w:rPr>
        <w:t>第十条 </w:t>
      </w:r>
      <w:r>
        <w:rPr>
          <w:spacing w:val="-5"/>
        </w:rPr>
        <w:t>鉴湖水域保护范围内，禁止向水体排放油类、酸液、碱液、剧毒废液以及工业废渣、尾矿、垃圾和其他废弃物；禁止在水体清洗装贮过油类或有毒污染物的船只、车辆和容器；禁止在湖泊岸坡堆放、存贮固体废物和其他污染物；禁止使用剧毒或高残留农药；向水体排放含热废水的，必须保证水体水温符合水环境标准。</w:t>
      </w:r>
    </w:p>
    <w:p>
      <w:pPr>
        <w:pStyle w:val="BodyText"/>
        <w:spacing w:line="364" w:lineRule="auto" w:before="2"/>
        <w:ind w:right="221" w:firstLine="482"/>
        <w:jc w:val="both"/>
      </w:pPr>
      <w:r>
        <w:rPr>
          <w:b/>
        </w:rPr>
        <w:t>第十四条 </w:t>
      </w:r>
      <w:r>
        <w:rPr/>
        <w:t>鉴湖水域保护范围内城镇自来水厂取水口周围半径一百五十米内的水域， 禁止种菱、种草、网箱养鱼和河蚌育珠。</w:t>
      </w:r>
    </w:p>
    <w:p>
      <w:pPr>
        <w:pStyle w:val="BodyText"/>
        <w:spacing w:line="364" w:lineRule="auto" w:before="2"/>
        <w:ind w:right="249" w:firstLine="480"/>
        <w:jc w:val="both"/>
      </w:pPr>
      <w:r>
        <w:rPr/>
        <w:t>在前款规定以外的鉴湖水域保护范围内，严格控制种菱、种草、网箱养鱼、河蚌育珠和畜禽养殖等活动。市、县（区）人民政府应当根据鉴湖水域功能区水质保护和水域生态景观等要求，合理确定种植、养殖的区域和规模等，并向社会公布。</w:t>
      </w:r>
    </w:p>
    <w:p>
      <w:pPr>
        <w:pStyle w:val="BodyText"/>
        <w:spacing w:line="364" w:lineRule="auto" w:before="2"/>
        <w:ind w:right="135" w:firstLine="482"/>
      </w:pPr>
      <w:r>
        <w:rPr>
          <w:b/>
          <w:spacing w:val="1"/>
        </w:rPr>
        <w:t>符合性分析：</w:t>
      </w:r>
      <w:r>
        <w:rPr/>
        <w:t>本项目地处鉴湖上游水域项里江的上游陆域范围，据悉，属地政府暂未就陆地范围划分一般保护区，因此本项目拟建址不属于鉴湖水域的保护范围。本项目</w:t>
      </w:r>
      <w:r>
        <w:rPr>
          <w:spacing w:val="-5"/>
        </w:rPr>
        <w:t>为生猪养殖项目，为农业项目，废水经厂内预处理达标后全部纳管排放，能够正常运行， </w:t>
      </w:r>
      <w:r>
        <w:rPr/>
        <w:t>符合绍兴市农业发展规划及畜禽养殖禁养区划分规定要求。本环评审批后，要求企业按</w:t>
      </w:r>
    </w:p>
    <w:p>
      <w:pPr>
        <w:spacing w:after="0" w:line="364" w:lineRule="auto"/>
        <w:sectPr>
          <w:pgSz w:w="11910" w:h="16840"/>
          <w:pgMar w:header="874" w:footer="1004" w:top="1420" w:bottom="1200" w:left="1040" w:right="1160"/>
        </w:sectPr>
      </w:pPr>
    </w:p>
    <w:p>
      <w:pPr>
        <w:pStyle w:val="BodyText"/>
        <w:spacing w:line="364" w:lineRule="auto" w:before="92"/>
        <w:ind w:right="249"/>
      </w:pPr>
      <w:r>
        <w:rPr/>
        <w:t>照有关规定及时申领排污许可证，并按证排污，严禁向周边水体排放各类废水。因此， 本项目的建设不违背浙江省鉴湖水域保护条例的规定。</w:t>
      </w:r>
    </w:p>
    <w:p>
      <w:pPr>
        <w:pStyle w:val="Heading2"/>
        <w:numPr>
          <w:ilvl w:val="1"/>
          <w:numId w:val="111"/>
        </w:numPr>
        <w:tabs>
          <w:tab w:pos="730" w:val="left" w:leader="none"/>
        </w:tabs>
        <w:spacing w:line="240" w:lineRule="auto" w:before="52" w:after="0"/>
        <w:ind w:left="729" w:right="0" w:hanging="493"/>
        <w:jc w:val="left"/>
      </w:pPr>
      <w:bookmarkStart w:name="_bookmark140" w:id="270"/>
      <w:bookmarkEnd w:id="270"/>
      <w:r>
        <w:rPr>
          <w:b w:val="0"/>
        </w:rPr>
      </w:r>
      <w:bookmarkStart w:name="_bookmark140" w:id="271"/>
      <w:bookmarkEnd w:id="271"/>
      <w:r>
        <w:rPr/>
        <w:t>环境影响评价总结论</w:t>
      </w:r>
    </w:p>
    <w:p>
      <w:pPr>
        <w:pStyle w:val="BodyText"/>
        <w:spacing w:line="364" w:lineRule="auto" w:before="214"/>
        <w:ind w:right="131" w:firstLine="480"/>
        <w:jc w:val="both"/>
      </w:pPr>
      <w:r>
        <w:rPr/>
        <w:t>天圣集团农业生态产业链项目—生猪养殖位于绍兴市柯桥区柯岩街道丰项村，选址</w:t>
      </w:r>
      <w:r>
        <w:rPr>
          <w:spacing w:val="-4"/>
        </w:rPr>
        <w:t>符合城乡总体规划及土地利用规划，符合</w:t>
      </w:r>
      <w:r>
        <w:rPr>
          <w:rFonts w:ascii="Times New Roman" w:hAnsi="Times New Roman" w:eastAsia="Times New Roman"/>
          <w:position w:val="1"/>
        </w:rPr>
        <w:t>“</w:t>
      </w:r>
      <w:r>
        <w:rPr/>
        <w:t>三线一单</w:t>
      </w:r>
      <w:r>
        <w:rPr>
          <w:rFonts w:ascii="Times New Roman" w:hAnsi="Times New Roman" w:eastAsia="Times New Roman"/>
          <w:position w:val="1"/>
        </w:rPr>
        <w:t>”</w:t>
      </w:r>
      <w:r>
        <w:rPr>
          <w:spacing w:val="-5"/>
        </w:rPr>
        <w:t>生态环境分区管控方案要求。项目建设符合国家及地方产业政策，污染物排放符合国家、省规定的排放标准及主要污染物排放总量控制指标，符合环境风险防范措施的要求。经预测，项目须设置大气环境防护距</w:t>
      </w:r>
      <w:r>
        <w:rPr>
          <w:spacing w:val="-4"/>
        </w:rPr>
        <w:t>离，可确保防护距离外的空气环境质量达标；其他环境要素也能达到相应的环境质量目</w:t>
      </w:r>
      <w:r>
        <w:rPr>
          <w:spacing w:val="-7"/>
        </w:rPr>
        <w:t>标要求。根据建设单位编制的公众参与说明材料，项目环评期间未收到相关意见及建议。</w:t>
      </w:r>
    </w:p>
    <w:p>
      <w:pPr>
        <w:pStyle w:val="BodyText"/>
        <w:spacing w:before="4"/>
        <w:ind w:left="717"/>
      </w:pPr>
      <w:r>
        <w:rPr/>
        <w:t>因此，从环境保护角度看，项目的建设是可行的。</w:t>
      </w:r>
    </w:p>
    <w:sectPr>
      <w:pgSz w:w="11910" w:h="16840"/>
      <w:pgMar w:header="874" w:footer="1004" w:top="1420" w:bottom="1200" w:left="104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宋体">
    <w:altName w:val="宋体"/>
    <w:charset w:val="86"/>
    <w:family w:val="auto"/>
    <w:pitch w:val="variable"/>
  </w:font>
  <w:font w:name="Cambria Math">
    <w:altName w:val="Cambria Math"/>
    <w:charset w:val="0"/>
    <w:family w:val="roman"/>
    <w:pitch w:val="variable"/>
  </w:font>
  <w:font w:name="Wingdings">
    <w:altName w:val="Wingdings"/>
    <w:charset w:val="2"/>
    <w:family w:val="auto"/>
    <w:pitch w:val="variable"/>
  </w:font>
  <w:font w:name="Symbol">
    <w:altName w:val="Symbol"/>
    <w:charset w:val="2"/>
    <w:family w:val="roman"/>
    <w:pitch w:val="variable"/>
  </w:font>
  <w:font w:name="Calibri">
    <w:altName w:val="Calibri"/>
    <w:charset w:val="0"/>
    <w:family w:val="swiss"/>
    <w:pitch w:val="variable"/>
  </w:font>
  <w:font w:name="MS Gothic">
    <w:altName w:val="MS Gothic"/>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9782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91.869995pt;margin-top:780.699951pt;width:5pt;height:12pt;mso-position-horizontal-relative:page;mso-position-vertical-relative:page;z-index:-315596800" type="#_x0000_t202" filled="false" stroked="false">
          <v:textbox inset="0,0,0,0">
            <w:txbxContent>
              <w:p>
                <w:pPr>
                  <w:spacing w:before="12"/>
                  <w:ind w:left="20" w:right="0" w:firstLine="0"/>
                  <w:jc w:val="left"/>
                  <w:rPr>
                    <w:rFonts w:ascii="Times New Roman"/>
                    <w:sz w:val="18"/>
                  </w:rPr>
                </w:pPr>
                <w:r>
                  <w:rPr>
                    <w:rFonts w:ascii="Times New Roman"/>
                    <w:w w:val="99"/>
                    <w:sz w:val="18"/>
                  </w:rPr>
                  <w:t>I</w:t>
                </w:r>
              </w:p>
            </w:txbxContent>
          </v:textbox>
          <w10:wrap type="none"/>
        </v:shape>
      </w:pict>
    </w:r>
    <w:r>
      <w:rPr/>
      <w:pict>
        <v:shape style="position:absolute;margin-left:415.619995pt;margin-top:780.699951pt;width:110.15pt;height:12pt;mso-position-horizontal-relative:page;mso-position-vertical-relative:page;z-index:-315595776"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5.639999pt;margin-top:553.225647pt;width:146pt;height:11pt;mso-position-horizontal-relative:page;mso-position-vertical-relative:page;z-index:-31556915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09.410004pt;margin-top:552.940002pt;width:17.7pt;height:12pt;mso-position-horizontal-relative:page;mso-position-vertical-relative:page;z-index:-3155681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100</w:t>
                </w:r>
                <w:r>
                  <w:rPr/>
                  <w:fldChar w:fldCharType="end"/>
                </w:r>
              </w:p>
            </w:txbxContent>
          </v:textbox>
          <w10:wrap type="none"/>
        </v:shape>
      </w:pict>
    </w:r>
    <w:r>
      <w:rPr/>
      <w:pict>
        <v:shape style="position:absolute;margin-left:670.73999pt;margin-top:552.940002pt;width:110.15pt;height:12pt;mso-position-horizontal-relative:page;mso-position-vertical-relative:page;z-index:-31556710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6403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5630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102</w:t>
                </w:r>
                <w:r>
                  <w:rPr/>
                  <w:fldChar w:fldCharType="end"/>
                </w:r>
              </w:p>
            </w:txbxContent>
          </v:textbox>
          <w10:wrap type="none"/>
        </v:shape>
      </w:pict>
    </w:r>
    <w:r>
      <w:rPr/>
      <w:pict>
        <v:shape style="position:absolute;margin-left:415.619995pt;margin-top:780.699951pt;width:110.15pt;height:12pt;mso-position-horizontal-relative:page;mso-position-vertical-relative:page;z-index:-31556198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6096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709991pt;margin-top:780.699951pt;width:17.3pt;height:12pt;mso-position-horizontal-relative:page;mso-position-vertical-relative:page;z-index:-31555993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110</w:t>
                </w:r>
                <w:r>
                  <w:rPr/>
                  <w:fldChar w:fldCharType="end"/>
                </w:r>
              </w:p>
            </w:txbxContent>
          </v:textbox>
          <w10:wrap type="none"/>
        </v:shape>
      </w:pict>
    </w:r>
    <w:r>
      <w:rPr/>
      <w:pict>
        <v:shape style="position:absolute;margin-left:415.619995pt;margin-top:780.699951pt;width:110.15pt;height:12pt;mso-position-horizontal-relative:page;mso-position-vertical-relative:page;z-index:-31555891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pt;margin-top:534.38562pt;width:146pt;height:11pt;mso-position-horizontal-relative:page;mso-position-vertical-relative:page;z-index:-31555788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3.649994pt;margin-top:534.099976pt;width:14.6pt;height:12pt;mso-position-horizontal-relative:page;mso-position-vertical-relative:page;z-index:-315556864" type="#_x0000_t202" filled="false" stroked="false">
          <v:textbox inset="0,0,0,0">
            <w:txbxContent>
              <w:p>
                <w:pPr>
                  <w:spacing w:before="12"/>
                  <w:ind w:left="20" w:right="0" w:firstLine="0"/>
                  <w:jc w:val="left"/>
                  <w:rPr>
                    <w:rFonts w:ascii="Times New Roman"/>
                    <w:sz w:val="18"/>
                  </w:rPr>
                </w:pPr>
                <w:r>
                  <w:rPr>
                    <w:rFonts w:ascii="Times New Roman"/>
                    <w:sz w:val="18"/>
                  </w:rPr>
                  <w:t>111</w:t>
                </w:r>
              </w:p>
            </w:txbxContent>
          </v:textbox>
          <w10:wrap type="none"/>
        </v:shape>
      </w:pict>
    </w:r>
    <w:r>
      <w:rPr/>
      <w:pict>
        <v:shape style="position:absolute;margin-left:661.020020pt;margin-top:534.099976pt;width:110.15pt;height:12pt;mso-position-horizontal-relative:page;mso-position-vertical-relative:page;z-index:-31555584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5276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709991pt;margin-top:780.699951pt;width:17.3pt;height:12pt;mso-position-horizontal-relative:page;mso-position-vertical-relative:page;z-index:-31555174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112</w:t>
                </w:r>
                <w:r>
                  <w:rPr/>
                  <w:fldChar w:fldCharType="end"/>
                </w:r>
              </w:p>
            </w:txbxContent>
          </v:textbox>
          <w10:wrap type="none"/>
        </v:shape>
      </w:pict>
    </w:r>
    <w:r>
      <w:rPr/>
      <w:pict>
        <v:shape style="position:absolute;margin-left:415.619995pt;margin-top:780.699951pt;width:110.15pt;height:12pt;mso-position-horizontal-relative:page;mso-position-vertical-relative:page;z-index:-31555072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0.279999pt;margin-top:534.38562pt;width:146pt;height:11pt;mso-position-horizontal-relative:page;mso-position-vertical-relative:page;z-index:-315549696"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399.369995pt;margin-top:534.099976pt;width:15.3pt;height:12pt;mso-position-horizontal-relative:page;mso-position-vertical-relative:page;z-index:-315548672" type="#_x0000_t202" filled="false" stroked="false">
          <v:textbox inset="0,0,0,0">
            <w:txbxContent>
              <w:p>
                <w:pPr>
                  <w:spacing w:before="12"/>
                  <w:ind w:left="20" w:right="0" w:firstLine="0"/>
                  <w:jc w:val="left"/>
                  <w:rPr>
                    <w:rFonts w:ascii="Times New Roman"/>
                    <w:sz w:val="18"/>
                  </w:rPr>
                </w:pPr>
                <w:r>
                  <w:rPr>
                    <w:rFonts w:ascii="Times New Roman"/>
                    <w:sz w:val="18"/>
                  </w:rPr>
                  <w:t>118</w:t>
                </w:r>
              </w:p>
            </w:txbxContent>
          </v:textbox>
          <w10:wrap type="none"/>
        </v:shape>
      </w:pict>
    </w:r>
    <w:r>
      <w:rPr/>
      <w:pict>
        <v:shape style="position:absolute;margin-left:663.659973pt;margin-top:534.099976pt;width:110.15pt;height:12pt;mso-position-horizontal-relative:page;mso-position-vertical-relative:page;z-index:-31554764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pt;margin-top:534.38562pt;width:146pt;height:11pt;mso-position-horizontal-relative:page;mso-position-vertical-relative:page;z-index:-315544576"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3.410004pt;margin-top:534.099976pt;width:15.3pt;height:12pt;mso-position-horizontal-relative:page;mso-position-vertical-relative:page;z-index:-315543552" type="#_x0000_t202" filled="false" stroked="false">
          <v:textbox inset="0,0,0,0">
            <w:txbxContent>
              <w:p>
                <w:pPr>
                  <w:spacing w:before="12"/>
                  <w:ind w:left="20" w:right="0" w:firstLine="0"/>
                  <w:jc w:val="left"/>
                  <w:rPr>
                    <w:rFonts w:ascii="Times New Roman"/>
                    <w:sz w:val="18"/>
                  </w:rPr>
                </w:pPr>
                <w:r>
                  <w:rPr>
                    <w:rFonts w:ascii="Times New Roman"/>
                    <w:sz w:val="18"/>
                  </w:rPr>
                  <w:t>119</w:t>
                </w:r>
              </w:p>
            </w:txbxContent>
          </v:textbox>
          <w10:wrap type="none"/>
        </v:shape>
      </w:pict>
    </w:r>
    <w:r>
      <w:rPr/>
      <w:pict>
        <v:shape style="position:absolute;margin-left:661.020020pt;margin-top:534.099976pt;width:110.15pt;height:12pt;mso-position-horizontal-relative:page;mso-position-vertical-relative:page;z-index:-31554252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pt;margin-top:534.38562pt;width:146pt;height:11pt;mso-position-horizontal-relative:page;mso-position-vertical-relative:page;z-index:-31554150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3.290009pt;margin-top:534.099976pt;width:15.7pt;height:12pt;mso-position-horizontal-relative:page;mso-position-vertical-relative:page;z-index:-315540480" type="#_x0000_t202" filled="false" stroked="false">
          <v:textbox inset="0,0,0,0">
            <w:txbxContent>
              <w:p>
                <w:pPr>
                  <w:spacing w:before="12"/>
                  <w:ind w:left="20" w:right="0" w:firstLine="0"/>
                  <w:jc w:val="left"/>
                  <w:rPr>
                    <w:rFonts w:ascii="Times New Roman"/>
                    <w:sz w:val="18"/>
                  </w:rPr>
                </w:pPr>
                <w:r>
                  <w:rPr>
                    <w:rFonts w:ascii="Times New Roman"/>
                    <w:sz w:val="18"/>
                  </w:rPr>
                  <w:t>120</w:t>
                </w:r>
              </w:p>
            </w:txbxContent>
          </v:textbox>
          <w10:wrap type="none"/>
        </v:shape>
      </w:pict>
    </w:r>
    <w:r>
      <w:rPr/>
      <w:pict>
        <v:shape style="position:absolute;margin-left:661.020020pt;margin-top:534.099976pt;width:110.15pt;height:12pt;mso-position-horizontal-relative:page;mso-position-vertical-relative:page;z-index:-315539456"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pt;margin-top:534.38562pt;width:146pt;height:11pt;mso-position-horizontal-relative:page;mso-position-vertical-relative:page;z-index:-31553843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2.290009pt;margin-top:534.099976pt;width:17.7pt;height:12pt;mso-position-horizontal-relative:page;mso-position-vertical-relative:page;z-index:-31553740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121</w:t>
                </w:r>
                <w:r>
                  <w:rPr/>
                  <w:fldChar w:fldCharType="end"/>
                </w:r>
              </w:p>
            </w:txbxContent>
          </v:textbox>
          <w10:wrap type="none"/>
        </v:shape>
      </w:pict>
    </w:r>
    <w:r>
      <w:rPr/>
      <w:pict>
        <v:shape style="position:absolute;margin-left:661.020020pt;margin-top:534.099976pt;width:110.15pt;height:12pt;mso-position-horizontal-relative:page;mso-position-vertical-relative:page;z-index:-31553638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3331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53228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123</w:t>
                </w:r>
                <w:r>
                  <w:rPr/>
                  <w:fldChar w:fldCharType="end"/>
                </w:r>
              </w:p>
            </w:txbxContent>
          </v:textbox>
          <w10:wrap type="none"/>
        </v:shape>
      </w:pict>
    </w:r>
    <w:r>
      <w:rPr/>
      <w:pict>
        <v:shape style="position:absolute;margin-left:415.619995pt;margin-top:780.699951pt;width:110.15pt;height:12pt;mso-position-horizontal-relative:page;mso-position-vertical-relative:page;z-index:-31553126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9475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7.630005pt;margin-top:780.699951pt;width:13.55pt;height:12pt;mso-position-horizontal-relative:page;mso-position-vertical-relative:page;z-index:-31559372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 ROMAN </w:instrText>
                </w:r>
                <w:r>
                  <w:rPr/>
                  <w:fldChar w:fldCharType="separate"/>
                </w:r>
                <w:r>
                  <w:rPr/>
                  <w:t>IV</w:t>
                </w:r>
                <w:r>
                  <w:rPr/>
                  <w:fldChar w:fldCharType="end"/>
                </w:r>
              </w:p>
            </w:txbxContent>
          </v:textbox>
          <w10:wrap type="none"/>
        </v:shape>
      </w:pict>
    </w:r>
    <w:r>
      <w:rPr/>
      <w:pict>
        <v:shape style="position:absolute;margin-left:415.619995pt;margin-top:780.699951pt;width:110.15pt;height:12pt;mso-position-horizontal-relative:page;mso-position-vertical-relative:page;z-index:-31559270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5.639999pt;margin-top:546.14563pt;width:146pt;height:11pt;mso-position-horizontal-relative:page;mso-position-vertical-relative:page;z-index:-31552819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09.410004pt;margin-top:545.859985pt;width:17.7pt;height:12pt;mso-position-horizontal-relative:page;mso-position-vertical-relative:page;z-index:-31552716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125</w:t>
                </w:r>
                <w:r>
                  <w:rPr/>
                  <w:fldChar w:fldCharType="end"/>
                </w:r>
              </w:p>
            </w:txbxContent>
          </v:textbox>
          <w10:wrap type="none"/>
        </v:shape>
      </w:pict>
    </w:r>
    <w:r>
      <w:rPr/>
      <w:pict>
        <v:shape style="position:absolute;margin-left:670.73999pt;margin-top:545.859985pt;width:110.15pt;height:12pt;mso-position-horizontal-relative:page;mso-position-vertical-relative:page;z-index:-31552614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2307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52204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127</w:t>
                </w:r>
                <w:r>
                  <w:rPr/>
                  <w:fldChar w:fldCharType="end"/>
                </w:r>
              </w:p>
            </w:txbxContent>
          </v:textbox>
          <w10:wrap type="none"/>
        </v:shape>
      </w:pict>
    </w:r>
    <w:r>
      <w:rPr/>
      <w:pict>
        <v:shape style="position:absolute;margin-left:415.619995pt;margin-top:780.699951pt;width:110.15pt;height:12pt;mso-position-horizontal-relative:page;mso-position-vertical-relative:page;z-index:-31552102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2000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518976" type="#_x0000_t202" filled="false" stroked="false">
          <v:textbox inset="0,0,0,0">
            <w:txbxContent>
              <w:p>
                <w:pPr>
                  <w:spacing w:before="12"/>
                  <w:ind w:left="20" w:right="0" w:firstLine="0"/>
                  <w:jc w:val="left"/>
                  <w:rPr>
                    <w:rFonts w:ascii="Times New Roman"/>
                    <w:sz w:val="18"/>
                  </w:rPr>
                </w:pPr>
                <w:r>
                  <w:rPr>
                    <w:rFonts w:ascii="Times New Roman"/>
                    <w:sz w:val="18"/>
                  </w:rPr>
                  <w:t>130</w:t>
                </w:r>
              </w:p>
            </w:txbxContent>
          </v:textbox>
          <w10:wrap type="none"/>
        </v:shape>
      </w:pict>
    </w:r>
    <w:r>
      <w:rPr/>
      <w:pict>
        <v:shape style="position:absolute;margin-left:415.619995pt;margin-top:780.699951pt;width:110.15pt;height:12pt;mso-position-horizontal-relative:page;mso-position-vertical-relative:page;z-index:-31551795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1692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515904" type="#_x0000_t202" filled="false" stroked="false">
          <v:textbox inset="0,0,0,0">
            <w:txbxContent>
              <w:p>
                <w:pPr>
                  <w:spacing w:before="12"/>
                  <w:ind w:left="20" w:right="0" w:firstLine="0"/>
                  <w:jc w:val="left"/>
                  <w:rPr>
                    <w:rFonts w:ascii="Times New Roman"/>
                    <w:sz w:val="18"/>
                  </w:rPr>
                </w:pPr>
                <w:r>
                  <w:rPr>
                    <w:rFonts w:ascii="Times New Roman"/>
                    <w:sz w:val="18"/>
                  </w:rPr>
                  <w:t>131</w:t>
                </w:r>
              </w:p>
            </w:txbxContent>
          </v:textbox>
          <w10:wrap type="none"/>
        </v:shape>
      </w:pict>
    </w:r>
    <w:r>
      <w:rPr/>
      <w:pict>
        <v:shape style="position:absolute;margin-left:415.619995pt;margin-top:780.699951pt;width:110.15pt;height:12pt;mso-position-horizontal-relative:page;mso-position-vertical-relative:page;z-index:-31551488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pt;margin-top:534.38562pt;width:146pt;height:11pt;mso-position-horizontal-relative:page;mso-position-vertical-relative:page;z-index:-315513856"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3.290009pt;margin-top:534.099976pt;width:15.7pt;height:12pt;mso-position-horizontal-relative:page;mso-position-vertical-relative:page;z-index:-315512832" type="#_x0000_t202" filled="false" stroked="false">
          <v:textbox inset="0,0,0,0">
            <w:txbxContent>
              <w:p>
                <w:pPr>
                  <w:spacing w:before="12"/>
                  <w:ind w:left="20" w:right="0" w:firstLine="0"/>
                  <w:jc w:val="left"/>
                  <w:rPr>
                    <w:rFonts w:ascii="Times New Roman"/>
                    <w:sz w:val="18"/>
                  </w:rPr>
                </w:pPr>
                <w:r>
                  <w:rPr>
                    <w:rFonts w:ascii="Times New Roman"/>
                    <w:sz w:val="18"/>
                  </w:rPr>
                  <w:t>132</w:t>
                </w:r>
              </w:p>
            </w:txbxContent>
          </v:textbox>
          <w10:wrap type="none"/>
        </v:shape>
      </w:pict>
    </w:r>
    <w:r>
      <w:rPr/>
      <w:pict>
        <v:shape style="position:absolute;margin-left:661.020020pt;margin-top:534.099976pt;width:110.15pt;height:12pt;mso-position-horizontal-relative:page;mso-position-vertical-relative:page;z-index:-31551180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08736"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50771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133</w:t>
                </w:r>
                <w:r>
                  <w:rPr/>
                  <w:fldChar w:fldCharType="end"/>
                </w:r>
              </w:p>
            </w:txbxContent>
          </v:textbox>
          <w10:wrap type="none"/>
        </v:shape>
      </w:pict>
    </w:r>
    <w:r>
      <w:rPr/>
      <w:pict>
        <v:shape style="position:absolute;margin-left:415.619995pt;margin-top:780.699951pt;width:110.15pt;height:12pt;mso-position-horizontal-relative:page;mso-position-vertical-relative:page;z-index:-31550668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5.639999pt;margin-top:534.38562pt;width:146pt;height:11pt;mso-position-horizontal-relative:page;mso-position-vertical-relative:page;z-index:-315503616"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3.01001pt;margin-top:534.099976pt;width:17.7pt;height:12pt;mso-position-horizontal-relative:page;mso-position-vertical-relative:page;z-index:-31550259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135</w:t>
                </w:r>
                <w:r>
                  <w:rPr/>
                  <w:fldChar w:fldCharType="end"/>
                </w:r>
              </w:p>
            </w:txbxContent>
          </v:textbox>
          <w10:wrap type="none"/>
        </v:shape>
      </w:pict>
    </w:r>
    <w:r>
      <w:rPr/>
      <w:pict>
        <v:shape style="position:absolute;margin-left:677.820007pt;margin-top:534.099976pt;width:110.15pt;height:12pt;mso-position-horizontal-relative:page;mso-position-vertical-relative:page;z-index:-31550156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0054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99520" type="#_x0000_t202" filled="false" stroked="false">
          <v:textbox inset="0,0,0,0">
            <w:txbxContent>
              <w:p>
                <w:pPr>
                  <w:spacing w:before="12"/>
                  <w:ind w:left="20" w:right="0" w:firstLine="0"/>
                  <w:jc w:val="left"/>
                  <w:rPr>
                    <w:rFonts w:ascii="Times New Roman"/>
                    <w:sz w:val="18"/>
                  </w:rPr>
                </w:pPr>
                <w:r>
                  <w:rPr>
                    <w:rFonts w:ascii="Times New Roman"/>
                    <w:sz w:val="18"/>
                  </w:rPr>
                  <w:t>137</w:t>
                </w:r>
              </w:p>
            </w:txbxContent>
          </v:textbox>
          <w10:wrap type="none"/>
        </v:shape>
      </w:pict>
    </w:r>
    <w:r>
      <w:rPr/>
      <w:pict>
        <v:shape style="position:absolute;margin-left:415.619995pt;margin-top:780.699951pt;width:110.15pt;height:12pt;mso-position-horizontal-relative:page;mso-position-vertical-relative:page;z-index:-315498496"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5.639999pt;margin-top:534.38562pt;width:146pt;height:11pt;mso-position-horizontal-relative:page;mso-position-vertical-relative:page;z-index:-31549542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3.01001pt;margin-top:534.099976pt;width:17.7pt;height:12pt;mso-position-horizontal-relative:page;mso-position-vertical-relative:page;z-index:-31549440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138</w:t>
                </w:r>
                <w:r>
                  <w:rPr/>
                  <w:fldChar w:fldCharType="end"/>
                </w:r>
              </w:p>
            </w:txbxContent>
          </v:textbox>
          <w10:wrap type="none"/>
        </v:shape>
      </w:pict>
    </w:r>
    <w:r>
      <w:rPr/>
      <w:pict>
        <v:shape style="position:absolute;margin-left:677.820007pt;margin-top:534.099976pt;width:110.15pt;height:12pt;mso-position-horizontal-relative:page;mso-position-vertical-relative:page;z-index:-315493376"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9235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91328" type="#_x0000_t202" filled="false" stroked="false">
          <v:textbox inset="0,0,0,0">
            <w:txbxContent>
              <w:p>
                <w:pPr>
                  <w:spacing w:before="12"/>
                  <w:ind w:left="20" w:right="0" w:firstLine="0"/>
                  <w:jc w:val="left"/>
                  <w:rPr>
                    <w:rFonts w:ascii="Times New Roman"/>
                    <w:sz w:val="18"/>
                  </w:rPr>
                </w:pPr>
                <w:r>
                  <w:rPr>
                    <w:rFonts w:ascii="Times New Roman"/>
                    <w:sz w:val="18"/>
                  </w:rPr>
                  <w:t>140</w:t>
                </w:r>
              </w:p>
            </w:txbxContent>
          </v:textbox>
          <w10:wrap type="none"/>
        </v:shape>
      </w:pict>
    </w:r>
    <w:r>
      <w:rPr/>
      <w:pict>
        <v:shape style="position:absolute;margin-left:415.619995pt;margin-top:780.699951pt;width:110.15pt;height:12pt;mso-position-horizontal-relative:page;mso-position-vertical-relative:page;z-index:-31549030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9168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7.869995pt;margin-top:780.699951pt;width:13.15pt;height:12pt;mso-position-horizontal-relative:page;mso-position-vertical-relative:page;z-index:-3155906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10</w:t>
                </w:r>
                <w:r>
                  <w:rPr/>
                  <w:fldChar w:fldCharType="end"/>
                </w:r>
              </w:p>
            </w:txbxContent>
          </v:textbox>
          <w10:wrap type="none"/>
        </v:shape>
      </w:pict>
    </w:r>
    <w:r>
      <w:rPr/>
      <w:pict>
        <v:shape style="position:absolute;margin-left:415.619995pt;margin-top:780.699951pt;width:110.15pt;height:12pt;mso-position-horizontal-relative:page;mso-position-vertical-relative:page;z-index:-31558963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2.290009pt;margin-top:552.820007pt;width:17.7pt;height:12pt;mso-position-horizontal-relative:page;mso-position-vertical-relative:page;z-index:-31548825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141</w:t>
                </w:r>
                <w:r>
                  <w:rPr/>
                  <w:fldChar w:fldCharType="end"/>
                </w:r>
              </w:p>
            </w:txbxContent>
          </v:textbox>
          <w10:wrap type="none"/>
        </v:shape>
      </w:pict>
    </w:r>
    <w:r>
      <w:rPr/>
      <w:pict>
        <v:shape style="position:absolute;margin-left:661.020020pt;margin-top:552.820007pt;width:110.15pt;height:12pt;mso-position-horizontal-relative:page;mso-position-vertical-relative:page;z-index:-31548723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r>
      <w:rPr/>
      <w:pict>
        <v:shape style="position:absolute;margin-left:71pt;margin-top:553.105652pt;width:146pt;height:11pt;mso-position-horizontal-relative:page;mso-position-vertical-relative:page;z-index:-31548620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12.290009pt;margin-top:552.820007pt;width:17.7pt;height:12pt;mso-position-horizontal-relative:page;mso-position-vertical-relative:page;z-index:-31548211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146</w:t>
                </w:r>
                <w:r>
                  <w:rPr/>
                  <w:fldChar w:fldCharType="end"/>
                </w:r>
              </w:p>
            </w:txbxContent>
          </v:textbox>
          <w10:wrap type="none"/>
        </v:shape>
      </w:pict>
    </w:r>
    <w:r>
      <w:rPr/>
      <w:pict>
        <v:shape style="position:absolute;margin-left:661.020020pt;margin-top:552.820007pt;width:110.15pt;height:12pt;mso-position-horizontal-relative:page;mso-position-vertical-relative:page;z-index:-31548108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r>
      <w:rPr/>
      <w:pict>
        <v:shape style="position:absolute;margin-left:71pt;margin-top:553.105652pt;width:146pt;height:11pt;mso-position-horizontal-relative:page;mso-position-vertical-relative:page;z-index:-31548006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7494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7392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150</w:t>
                </w:r>
                <w:r>
                  <w:rPr/>
                  <w:fldChar w:fldCharType="end"/>
                </w:r>
              </w:p>
            </w:txbxContent>
          </v:textbox>
          <w10:wrap type="none"/>
        </v:shape>
      </w:pict>
    </w:r>
    <w:r>
      <w:rPr/>
      <w:pict>
        <v:shape style="position:absolute;margin-left:415.619995pt;margin-top:780.699951pt;width:110.15pt;height:12pt;mso-position-horizontal-relative:page;mso-position-vertical-relative:page;z-index:-315472896"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7187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70848" type="#_x0000_t202" filled="false" stroked="false">
          <v:textbox inset="0,0,0,0">
            <w:txbxContent>
              <w:p>
                <w:pPr>
                  <w:spacing w:before="12"/>
                  <w:ind w:left="20" w:right="0" w:firstLine="0"/>
                  <w:jc w:val="left"/>
                  <w:rPr>
                    <w:rFonts w:ascii="Times New Roman"/>
                    <w:sz w:val="18"/>
                  </w:rPr>
                </w:pPr>
                <w:r>
                  <w:rPr>
                    <w:rFonts w:ascii="Times New Roman"/>
                    <w:sz w:val="18"/>
                  </w:rPr>
                  <w:t>160</w:t>
                </w:r>
              </w:p>
            </w:txbxContent>
          </v:textbox>
          <w10:wrap type="none"/>
        </v:shape>
      </w:pict>
    </w:r>
    <w:r>
      <w:rPr/>
      <w:pict>
        <v:shape style="position:absolute;margin-left:415.619995pt;margin-top:780.699951pt;width:110.15pt;height:12pt;mso-position-horizontal-relative:page;mso-position-vertical-relative:page;z-index:-31546982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6880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6777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161</w:t>
                </w:r>
                <w:r>
                  <w:rPr/>
                  <w:fldChar w:fldCharType="end"/>
                </w:r>
              </w:p>
            </w:txbxContent>
          </v:textbox>
          <w10:wrap type="none"/>
        </v:shape>
      </w:pict>
    </w:r>
    <w:r>
      <w:rPr/>
      <w:pict>
        <v:shape style="position:absolute;margin-left:415.619995pt;margin-top:780.699951pt;width:110.15pt;height:12pt;mso-position-horizontal-relative:page;mso-position-vertical-relative:page;z-index:-31546675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6572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64704" type="#_x0000_t202" filled="false" stroked="false">
          <v:textbox inset="0,0,0,0">
            <w:txbxContent>
              <w:p>
                <w:pPr>
                  <w:spacing w:before="12"/>
                  <w:ind w:left="20" w:right="0" w:firstLine="0"/>
                  <w:jc w:val="left"/>
                  <w:rPr>
                    <w:rFonts w:ascii="Times New Roman"/>
                    <w:sz w:val="18"/>
                  </w:rPr>
                </w:pPr>
                <w:r>
                  <w:rPr>
                    <w:rFonts w:ascii="Times New Roman"/>
                    <w:sz w:val="18"/>
                  </w:rPr>
                  <w:t>170</w:t>
                </w:r>
              </w:p>
            </w:txbxContent>
          </v:textbox>
          <w10:wrap type="none"/>
        </v:shape>
      </w:pict>
    </w:r>
    <w:r>
      <w:rPr/>
      <w:pict>
        <v:shape style="position:absolute;margin-left:415.619995pt;margin-top:780.699951pt;width:110.15pt;height:12pt;mso-position-horizontal-relative:page;mso-position-vertical-relative:page;z-index:-31546368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62656"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61632"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171</w:t>
                </w:r>
                <w:r>
                  <w:rPr/>
                  <w:fldChar w:fldCharType="end"/>
                </w:r>
              </w:p>
            </w:txbxContent>
          </v:textbox>
          <w10:wrap type="none"/>
        </v:shape>
      </w:pict>
    </w:r>
    <w:r>
      <w:rPr/>
      <w:pict>
        <v:shape style="position:absolute;margin-left:415.619995pt;margin-top:780.699951pt;width:110.15pt;height:12pt;mso-position-horizontal-relative:page;mso-position-vertical-relative:page;z-index:-31546060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5958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58560" type="#_x0000_t202" filled="false" stroked="false">
          <v:textbox inset="0,0,0,0">
            <w:txbxContent>
              <w:p>
                <w:pPr>
                  <w:spacing w:before="12"/>
                  <w:ind w:left="20" w:right="0" w:firstLine="0"/>
                  <w:jc w:val="left"/>
                  <w:rPr>
                    <w:rFonts w:ascii="Times New Roman"/>
                    <w:sz w:val="18"/>
                  </w:rPr>
                </w:pPr>
                <w:r>
                  <w:rPr>
                    <w:rFonts w:ascii="Times New Roman"/>
                    <w:sz w:val="18"/>
                  </w:rPr>
                  <w:t>180</w:t>
                </w:r>
              </w:p>
            </w:txbxContent>
          </v:textbox>
          <w10:wrap type="none"/>
        </v:shape>
      </w:pict>
    </w:r>
    <w:r>
      <w:rPr/>
      <w:pict>
        <v:shape style="position:absolute;margin-left:415.619995pt;margin-top:780.699951pt;width:110.15pt;height:12pt;mso-position-horizontal-relative:page;mso-position-vertical-relative:page;z-index:-315457536"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5651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55488"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181</w:t>
                </w:r>
                <w:r>
                  <w:rPr/>
                  <w:fldChar w:fldCharType="end"/>
                </w:r>
              </w:p>
            </w:txbxContent>
          </v:textbox>
          <w10:wrap type="none"/>
        </v:shape>
      </w:pict>
    </w:r>
    <w:r>
      <w:rPr/>
      <w:pict>
        <v:shape style="position:absolute;margin-left:415.619995pt;margin-top:780.699951pt;width:110.15pt;height:12pt;mso-position-horizontal-relative:page;mso-position-vertical-relative:page;z-index:-31545446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55.639999pt;margin-top:534.38562pt;width:146pt;height:11pt;mso-position-horizontal-relative:page;mso-position-vertical-relative:page;z-index:-31558656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5.290009pt;margin-top:534.099976pt;width:13.15pt;height:12pt;mso-position-horizontal-relative:page;mso-position-vertical-relative:page;z-index:-31558553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39</w:t>
                </w:r>
                <w:r>
                  <w:rPr/>
                  <w:fldChar w:fldCharType="end"/>
                </w:r>
              </w:p>
            </w:txbxContent>
          </v:textbox>
          <w10:wrap type="none"/>
        </v:shape>
      </w:pict>
    </w:r>
    <w:r>
      <w:rPr/>
      <w:pict>
        <v:shape style="position:absolute;margin-left:677.820007pt;margin-top:534.099976pt;width:110.15pt;height:12pt;mso-position-horizontal-relative:page;mso-position-vertical-relative:page;z-index:-31558451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5344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52416" type="#_x0000_t202" filled="false" stroked="false">
          <v:textbox inset="0,0,0,0">
            <w:txbxContent>
              <w:p>
                <w:pPr>
                  <w:spacing w:before="12"/>
                  <w:ind w:left="20" w:right="0" w:firstLine="0"/>
                  <w:jc w:val="left"/>
                  <w:rPr>
                    <w:rFonts w:ascii="Times New Roman"/>
                    <w:sz w:val="18"/>
                  </w:rPr>
                </w:pPr>
                <w:r>
                  <w:rPr>
                    <w:rFonts w:ascii="Times New Roman"/>
                    <w:sz w:val="18"/>
                  </w:rPr>
                  <w:t>190</w:t>
                </w:r>
              </w:p>
            </w:txbxContent>
          </v:textbox>
          <w10:wrap type="none"/>
        </v:shape>
      </w:pict>
    </w:r>
    <w:r>
      <w:rPr/>
      <w:pict>
        <v:shape style="position:absolute;margin-left:415.619995pt;margin-top:780.699951pt;width:110.15pt;height:12pt;mso-position-horizontal-relative:page;mso-position-vertical-relative:page;z-index:-31545139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5036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4934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191</w:t>
                </w:r>
                <w:r>
                  <w:rPr/>
                  <w:fldChar w:fldCharType="end"/>
                </w:r>
              </w:p>
            </w:txbxContent>
          </v:textbox>
          <w10:wrap type="none"/>
        </v:shape>
      </w:pict>
    </w:r>
    <w:r>
      <w:rPr/>
      <w:pict>
        <v:shape style="position:absolute;margin-left:415.619995pt;margin-top:780.699951pt;width:110.15pt;height:12pt;mso-position-horizontal-relative:page;mso-position-vertical-relative:page;z-index:-31544832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pt;margin-top:534.38562pt;width:146pt;height:11pt;mso-position-horizontal-relative:page;mso-position-vertical-relative:page;z-index:-31544524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2.290009pt;margin-top:534.099976pt;width:17.7pt;height:12pt;mso-position-horizontal-relative:page;mso-position-vertical-relative:page;z-index:-3154442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210</w:t>
                </w:r>
                <w:r>
                  <w:rPr/>
                  <w:fldChar w:fldCharType="end"/>
                </w:r>
              </w:p>
            </w:txbxContent>
          </v:textbox>
          <w10:wrap type="none"/>
        </v:shape>
      </w:pict>
    </w:r>
    <w:r>
      <w:rPr/>
      <w:pict>
        <v:shape style="position:absolute;margin-left:661.020020pt;margin-top:534.099976pt;width:110.15pt;height:12pt;mso-position-horizontal-relative:page;mso-position-vertical-relative:page;z-index:-31544320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4012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3910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213</w:t>
                </w:r>
                <w:r>
                  <w:rPr/>
                  <w:fldChar w:fldCharType="end"/>
                </w:r>
              </w:p>
            </w:txbxContent>
          </v:textbox>
          <w10:wrap type="none"/>
        </v:shape>
      </w:pict>
    </w:r>
    <w:r>
      <w:rPr/>
      <w:pict>
        <v:shape style="position:absolute;margin-left:415.619995pt;margin-top:780.699951pt;width:110.15pt;height:12pt;mso-position-horizontal-relative:page;mso-position-vertical-relative:page;z-index:-31543808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37056"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36032" type="#_x0000_t202" filled="false" stroked="false">
          <v:textbox inset="0,0,0,0">
            <w:txbxContent>
              <w:p>
                <w:pPr>
                  <w:spacing w:before="12"/>
                  <w:ind w:left="20" w:right="0" w:firstLine="0"/>
                  <w:jc w:val="left"/>
                  <w:rPr>
                    <w:rFonts w:ascii="Times New Roman"/>
                    <w:sz w:val="18"/>
                  </w:rPr>
                </w:pPr>
                <w:r>
                  <w:rPr>
                    <w:rFonts w:ascii="Times New Roman"/>
                    <w:sz w:val="18"/>
                  </w:rPr>
                  <w:t>220</w:t>
                </w:r>
              </w:p>
            </w:txbxContent>
          </v:textbox>
          <w10:wrap type="none"/>
        </v:shape>
      </w:pict>
    </w:r>
    <w:r>
      <w:rPr/>
      <w:pict>
        <v:shape style="position:absolute;margin-left:415.619995pt;margin-top:780.699951pt;width:110.15pt;height:12pt;mso-position-horizontal-relative:page;mso-position-vertical-relative:page;z-index:-315435008"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33984"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32960"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221</w:t>
                </w:r>
                <w:r>
                  <w:rPr/>
                  <w:fldChar w:fldCharType="end"/>
                </w:r>
              </w:p>
            </w:txbxContent>
          </v:textbox>
          <w10:wrap type="none"/>
        </v:shape>
      </w:pict>
    </w:r>
    <w:r>
      <w:rPr/>
      <w:pict>
        <v:shape style="position:absolute;margin-left:415.619995pt;margin-top:780.699951pt;width:110.15pt;height:12pt;mso-position-horizontal-relative:page;mso-position-vertical-relative:page;z-index:-315431936"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30912"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6.589996pt;margin-top:780.699951pt;width:15.7pt;height:12pt;mso-position-horizontal-relative:page;mso-position-vertical-relative:page;z-index:-315429888" type="#_x0000_t202" filled="false" stroked="false">
          <v:textbox inset="0,0,0,0">
            <w:txbxContent>
              <w:p>
                <w:pPr>
                  <w:spacing w:before="12"/>
                  <w:ind w:left="20" w:right="0" w:firstLine="0"/>
                  <w:jc w:val="left"/>
                  <w:rPr>
                    <w:rFonts w:ascii="Times New Roman"/>
                    <w:sz w:val="18"/>
                  </w:rPr>
                </w:pPr>
                <w:r>
                  <w:rPr>
                    <w:rFonts w:ascii="Times New Roman"/>
                    <w:sz w:val="18"/>
                  </w:rPr>
                  <w:t>230</w:t>
                </w:r>
              </w:p>
            </w:txbxContent>
          </v:textbox>
          <w10:wrap type="none"/>
        </v:shape>
      </w:pict>
    </w:r>
    <w:r>
      <w:rPr/>
      <w:pict>
        <v:shape style="position:absolute;margin-left:415.619995pt;margin-top:780.699951pt;width:110.15pt;height:12pt;mso-position-horizontal-relative:page;mso-position-vertical-relative:page;z-index:-315428864"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42784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5.589996pt;margin-top:780.699951pt;width:17.7pt;height:12pt;mso-position-horizontal-relative:page;mso-position-vertical-relative:page;z-index:-31542681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231</w:t>
                </w:r>
                <w:r>
                  <w:rPr/>
                  <w:fldChar w:fldCharType="end"/>
                </w:r>
              </w:p>
            </w:txbxContent>
          </v:textbox>
          <w10:wrap type="none"/>
        </v:shape>
      </w:pict>
    </w:r>
    <w:r>
      <w:rPr/>
      <w:pict>
        <v:shape style="position:absolute;margin-left:415.619995pt;margin-top:780.699951pt;width:110.15pt;height:12pt;mso-position-horizontal-relative:page;mso-position-vertical-relative:page;z-index:-31542579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81440"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7.869995pt;margin-top:780.699951pt;width:13.15pt;height:12pt;mso-position-horizontal-relative:page;mso-position-vertical-relative:page;z-index:-315580416"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41</w:t>
                </w:r>
                <w:r>
                  <w:rPr/>
                  <w:fldChar w:fldCharType="end"/>
                </w:r>
              </w:p>
            </w:txbxContent>
          </v:textbox>
          <w10:wrap type="none"/>
        </v:shape>
      </w:pict>
    </w:r>
    <w:r>
      <w:rPr/>
      <w:pict>
        <v:shape style="position:absolute;margin-left:415.619995pt;margin-top:780.699951pt;width:110.15pt;height:12pt;mso-position-horizontal-relative:page;mso-position-vertical-relative:page;z-index:-315579392"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71pt;margin-top:534.38562pt;width:146pt;height:11pt;mso-position-horizontal-relative:page;mso-position-vertical-relative:page;z-index:-31557836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415.570007pt;margin-top:534.099976pt;width:11.15pt;height:12pt;mso-position-horizontal-relative:page;mso-position-vertical-relative:page;z-index:-315577344" type="#_x0000_t202" filled="false" stroked="false">
          <v:textbox inset="0,0,0,0">
            <w:txbxContent>
              <w:p>
                <w:pPr>
                  <w:spacing w:before="12"/>
                  <w:ind w:left="20" w:right="0" w:firstLine="0"/>
                  <w:jc w:val="left"/>
                  <w:rPr>
                    <w:rFonts w:ascii="Times New Roman"/>
                    <w:sz w:val="18"/>
                  </w:rPr>
                </w:pPr>
                <w:r>
                  <w:rPr>
                    <w:rFonts w:ascii="Times New Roman"/>
                    <w:sz w:val="18"/>
                  </w:rPr>
                  <w:t>81</w:t>
                </w:r>
              </w:p>
            </w:txbxContent>
          </v:textbox>
          <w10:wrap type="none"/>
        </v:shape>
      </w:pict>
    </w:r>
    <w:r>
      <w:rPr/>
      <w:pict>
        <v:shape style="position:absolute;margin-left:661.020020pt;margin-top:534.099976pt;width:110.15pt;height:12pt;mso-position-horizontal-relative:page;mso-position-vertical-relative:page;z-index:-31557632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62.863998pt;margin-top:780.985596pt;width:146pt;height:11pt;mso-position-horizontal-relative:page;mso-position-vertical-relative:page;z-index:-315573248" type="#_x0000_t202" filled="false" stroked="false">
          <v:textbox inset="0,0,0,0">
            <w:txbxContent>
              <w:p>
                <w:pPr>
                  <w:spacing w:line="220" w:lineRule="exact" w:before="0"/>
                  <w:ind w:left="20" w:right="0" w:firstLine="0"/>
                  <w:jc w:val="left"/>
                  <w:rPr>
                    <w:sz w:val="18"/>
                  </w:rPr>
                </w:pPr>
                <w:r>
                  <w:rPr>
                    <w:sz w:val="18"/>
                  </w:rPr>
                  <w:t>浙江省工业环保设计研究院有限公司</w:t>
                </w:r>
              </w:p>
            </w:txbxContent>
          </v:textbox>
          <w10:wrap type="none"/>
        </v:shape>
      </w:pict>
    </w:r>
    <w:r>
      <w:rPr/>
      <w:pict>
        <v:shape style="position:absolute;margin-left:287.869995pt;margin-top:780.699951pt;width:13.15pt;height:12pt;mso-position-horizontal-relative:page;mso-position-vertical-relative:page;z-index:-315572224" type="#_x0000_t202" filled="false" stroked="false">
          <v:textbox inset="0,0,0,0">
            <w:txbxContent>
              <w:p>
                <w:pPr>
                  <w:spacing w:before="12"/>
                  <w:ind w:left="40" w:right="0" w:firstLine="0"/>
                  <w:jc w:val="left"/>
                  <w:rPr>
                    <w:rFonts w:ascii="Times New Roman"/>
                    <w:sz w:val="18"/>
                  </w:rPr>
                </w:pPr>
                <w:r>
                  <w:rPr/>
                  <w:fldChar w:fldCharType="begin"/>
                </w:r>
                <w:r>
                  <w:rPr>
                    <w:rFonts w:ascii="Times New Roman"/>
                    <w:sz w:val="18"/>
                  </w:rPr>
                  <w:instrText> PAGE </w:instrText>
                </w:r>
                <w:r>
                  <w:rPr/>
                  <w:fldChar w:fldCharType="separate"/>
                </w:r>
                <w:r>
                  <w:rPr/>
                  <w:t>82</w:t>
                </w:r>
                <w:r>
                  <w:rPr/>
                  <w:fldChar w:fldCharType="end"/>
                </w:r>
              </w:p>
            </w:txbxContent>
          </v:textbox>
          <w10:wrap type="none"/>
        </v:shape>
      </w:pict>
    </w:r>
    <w:r>
      <w:rPr/>
      <w:pict>
        <v:shape style="position:absolute;margin-left:415.619995pt;margin-top:780.699951pt;width:110.15pt;height:12pt;mso-position-horizontal-relative:page;mso-position-vertical-relative:page;z-index:-315571200" type="#_x0000_t202" filled="false" stroked="false">
          <v:textbox inset="0,0,0,0">
            <w:txbxContent>
              <w:p>
                <w:pPr>
                  <w:spacing w:before="0"/>
                  <w:ind w:left="20" w:right="0" w:firstLine="0"/>
                  <w:jc w:val="left"/>
                  <w:rPr>
                    <w:sz w:val="18"/>
                  </w:rPr>
                </w:pPr>
                <w:r>
                  <w:rPr>
                    <w:spacing w:val="-5"/>
                    <w:sz w:val="18"/>
                  </w:rPr>
                  <w:t>杭州市西湖区教工路 </w:t>
                </w:r>
                <w:r>
                  <w:rPr>
                    <w:rFonts w:ascii="Times New Roman" w:eastAsia="Times New Roman"/>
                    <w:sz w:val="18"/>
                  </w:rPr>
                  <w:t>149 </w:t>
                </w:r>
                <w:r>
                  <w:rPr>
                    <w:sz w:val="18"/>
                  </w:rPr>
                  <w:t>号</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99872" from="62.424pt,55.559982pt" to="526.084pt,55.559982pt" stroked="true" strokeweight=".7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180.729996pt;margin-top:42.699963pt;width:227.05pt;height:12pt;mso-position-horizontal-relative:page;mso-position-vertical-relative:page;z-index:-315598848"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54816"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553792"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46624" from="70.559998pt,55.580006pt" to="771.459998pt,55.580006pt" stroked="true" strokeweight=".72pt" strokecolor="#000000">
          <v:stroke dashstyle="solid"/>
          <w10:wrap type="none"/>
        </v:line>
      </w:pict>
    </w:r>
    <w:r>
      <w:rPr/>
      <w:pict>
        <v:shape style="position:absolute;margin-left:307.450012pt;margin-top:42.719986pt;width:227.05pt;height:12pt;mso-position-horizontal-relative:page;mso-position-vertical-relative:page;z-index:-315545600"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35360"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534336"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30240" from="55.200001pt,41.400009pt" to="781.180001pt,41.400009pt" stroked="true" strokeweight=".72pt" strokecolor="#000000">
          <v:stroke dashstyle="solid"/>
          <w10:wrap type="none"/>
        </v:line>
      </w:pict>
    </w:r>
    <w:r>
      <w:rPr/>
      <w:pict>
        <v:shape style="position:absolute;margin-left:304.690002pt;margin-top:28.419989pt;width:227.05pt;height:12pt;mso-position-horizontal-relative:page;mso-position-vertical-relative:page;z-index:-315529216"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25120"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524096"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10784"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509760"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05664" from="55.200001pt,48.480007pt" to="788.280001pt,48.480007pt" stroked="true" strokeweight=".72pt" strokecolor="#000000">
          <v:stroke dashstyle="solid"/>
          <w10:wrap type="none"/>
        </v:line>
      </w:pict>
    </w:r>
    <w:r>
      <w:rPr/>
      <w:pict>
        <v:shape style="position:absolute;margin-left:308.170013pt;margin-top:35.499989pt;width:227.05pt;height:12pt;mso-position-horizontal-relative:page;mso-position-vertical-relative:page;z-index:-315504640"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88608" from="55.200001pt,55.580006pt" to="788.280001pt,55.580006pt" stroked="true" strokeweight=".72pt" strokecolor="#000000">
          <v:stroke dashstyle="solid"/>
          <w10:wrap type="none"/>
        </v:line>
      </w:pict>
    </w:r>
    <w:r>
      <w:rPr/>
      <w:pict>
        <v:shape style="position:absolute;margin-left:308.170013pt;margin-top:42.719986pt;width:227.05pt;height:12pt;mso-position-horizontal-relative:page;mso-position-vertical-relative:page;z-index:-315587584"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497472" from="55.200001pt,55.580006pt" to="788.280001pt,55.580006pt" stroked="true" strokeweight=".72pt" strokecolor="#000000">
          <v:stroke dashstyle="solid"/>
          <w10:wrap type="none"/>
        </v:line>
      </w:pict>
    </w:r>
    <w:r>
      <w:rPr/>
      <w:pict>
        <v:shape style="position:absolute;margin-left:308.170013pt;margin-top:42.719986pt;width:227.05pt;height:12pt;mso-position-horizontal-relative:page;mso-position-vertical-relative:page;z-index:-315496448"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7.450012pt;margin-top:28.419989pt;width:227.05pt;height:12pt;mso-position-horizontal-relative:page;mso-position-vertical-relative:page;z-index:-315489280"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485184" from="70.559998pt,41.400009pt" to="771.459998pt,41.400009pt" stroked="true" strokeweight=".72pt" strokecolor="#000000">
          <v:stroke dashstyle="solid"/>
          <w10:wrap type="none"/>
        </v:line>
      </w:pict>
    </w:r>
    <w:r>
      <w:rPr/>
      <w:pict>
        <v:shape style="position:absolute;margin-left:307.450012pt;margin-top:28.419989pt;width:227.05pt;height:12pt;mso-position-horizontal-relative:page;mso-position-vertical-relative:page;z-index:-315484160"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7.450012pt;margin-top:28.419989pt;width:227.05pt;height:12pt;mso-position-horizontal-relative:page;mso-position-vertical-relative:page;z-index:-315483136"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479040" from="70.559998pt,41.400009pt" to="771.459998pt,41.400009pt" stroked="true" strokeweight=".72pt" strokecolor="#000000">
          <v:stroke dashstyle="solid"/>
          <w10:wrap type="none"/>
        </v:line>
      </w:pict>
    </w:r>
    <w:r>
      <w:rPr/>
      <w:pict>
        <v:shape style="position:absolute;margin-left:307.450012pt;margin-top:28.419989pt;width:227.05pt;height:12pt;mso-position-horizontal-relative:page;mso-position-vertical-relative:page;z-index:-315478016"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476992"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475968"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447296" from="70.559998pt,55.580006pt" to="771.459998pt,55.580006pt" stroked="true" strokeweight=".72pt" strokecolor="#000000">
          <v:stroke dashstyle="solid"/>
          <w10:wrap type="none"/>
        </v:line>
      </w:pict>
    </w:r>
    <w:r>
      <w:rPr/>
      <w:pict>
        <v:shape style="position:absolute;margin-left:307.450012pt;margin-top:42.719986pt;width:227.05pt;height:12pt;mso-position-horizontal-relative:page;mso-position-vertical-relative:page;z-index:-315446272"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83488"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582464"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442176"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441152"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75296"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574272"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4.690002pt;margin-top:28.539988pt;width:227.05pt;height:12pt;mso-position-horizontal-relative:page;mso-position-vertical-relative:page;z-index:-315570176"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line style="position:absolute;mso-position-horizontal-relative:page;mso-position-vertical-relative:page;z-index:-315566080" from="62.424pt,55.559982pt" to="526.084pt,55.559982pt" stroked="true" strokeweight=".72pt" strokecolor="#000000">
          <v:stroke dashstyle="solid"/>
          <w10:wrap type="none"/>
        </v:line>
      </w:pict>
    </w:r>
    <w:r>
      <w:rPr/>
      <w:pict>
        <v:shape style="position:absolute;margin-left:180.729996pt;margin-top:42.699963pt;width:227.05pt;height:12pt;mso-position-horizontal-relative:page;mso-position-vertical-relative:page;z-index:-315565056" type="#_x0000_t202" filled="false" stroked="false">
          <v:textbox inset="0,0,0,0">
            <w:txbxContent>
              <w:p>
                <w:pPr>
                  <w:spacing w:before="0"/>
                  <w:ind w:left="20" w:right="0" w:firstLine="0"/>
                  <w:jc w:val="left"/>
                  <w:rPr>
                    <w:sz w:val="18"/>
                  </w:rPr>
                </w:pPr>
                <w:r>
                  <w:rPr>
                    <w:sz w:val="18"/>
                  </w:rPr>
                  <w:t>天圣集团农业生态产业链项目</w:t>
                </w:r>
                <w:r>
                  <w:rPr>
                    <w:rFonts w:ascii="Times New Roman" w:hAnsi="Times New Roman" w:eastAsia="Times New Roman"/>
                    <w:sz w:val="18"/>
                  </w:rPr>
                  <w:t>—</w:t>
                </w:r>
                <w:r>
                  <w:rPr>
                    <w:sz w:val="18"/>
                  </w:rPr>
                  <w:t>生猪养殖环境影响报告书</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4">
    <w:multiLevelType w:val="hybridMultilevel"/>
    <w:lvl w:ilvl="0">
      <w:start w:val="8"/>
      <w:numFmt w:val="decimal"/>
      <w:lvlText w:val="%1"/>
      <w:lvlJc w:val="left"/>
      <w:pPr>
        <w:ind w:left="640" w:hanging="526"/>
        <w:jc w:val="left"/>
      </w:pPr>
      <w:rPr>
        <w:rFonts w:hint="default"/>
        <w:lang w:val="zh-CN" w:eastAsia="zh-CN" w:bidi="zh-CN"/>
      </w:rPr>
    </w:lvl>
    <w:lvl w:ilvl="1">
      <w:start w:val="2"/>
      <w:numFmt w:val="decimal"/>
      <w:lvlText w:val="%1.%2"/>
      <w:lvlJc w:val="left"/>
      <w:pPr>
        <w:ind w:left="640" w:hanging="526"/>
        <w:jc w:val="left"/>
      </w:pPr>
      <w:rPr>
        <w:rFonts w:hint="default"/>
        <w:lang w:val="zh-CN" w:eastAsia="zh-CN" w:bidi="zh-CN"/>
      </w:rPr>
    </w:lvl>
    <w:lvl w:ilvl="2">
      <w:start w:val="1"/>
      <w:numFmt w:val="decimal"/>
      <w:lvlText w:val="%1.%2.%3"/>
      <w:lvlJc w:val="left"/>
      <w:pPr>
        <w:ind w:left="640"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2134" w:hanging="526"/>
      </w:pPr>
      <w:rPr>
        <w:rFonts w:hint="default"/>
        <w:lang w:val="zh-CN" w:eastAsia="zh-CN" w:bidi="zh-CN"/>
      </w:rPr>
    </w:lvl>
    <w:lvl w:ilvl="4">
      <w:start w:val="0"/>
      <w:numFmt w:val="bullet"/>
      <w:lvlText w:val="•"/>
      <w:lvlJc w:val="left"/>
      <w:pPr>
        <w:ind w:left="2632" w:hanging="526"/>
      </w:pPr>
      <w:rPr>
        <w:rFonts w:hint="default"/>
        <w:lang w:val="zh-CN" w:eastAsia="zh-CN" w:bidi="zh-CN"/>
      </w:rPr>
    </w:lvl>
    <w:lvl w:ilvl="5">
      <w:start w:val="0"/>
      <w:numFmt w:val="bullet"/>
      <w:lvlText w:val="•"/>
      <w:lvlJc w:val="left"/>
      <w:pPr>
        <w:ind w:left="3130" w:hanging="526"/>
      </w:pPr>
      <w:rPr>
        <w:rFonts w:hint="default"/>
        <w:lang w:val="zh-CN" w:eastAsia="zh-CN" w:bidi="zh-CN"/>
      </w:rPr>
    </w:lvl>
    <w:lvl w:ilvl="6">
      <w:start w:val="0"/>
      <w:numFmt w:val="bullet"/>
      <w:lvlText w:val="•"/>
      <w:lvlJc w:val="left"/>
      <w:pPr>
        <w:ind w:left="3628" w:hanging="526"/>
      </w:pPr>
      <w:rPr>
        <w:rFonts w:hint="default"/>
        <w:lang w:val="zh-CN" w:eastAsia="zh-CN" w:bidi="zh-CN"/>
      </w:rPr>
    </w:lvl>
    <w:lvl w:ilvl="7">
      <w:start w:val="0"/>
      <w:numFmt w:val="bullet"/>
      <w:lvlText w:val="•"/>
      <w:lvlJc w:val="left"/>
      <w:pPr>
        <w:ind w:left="4126" w:hanging="526"/>
      </w:pPr>
      <w:rPr>
        <w:rFonts w:hint="default"/>
        <w:lang w:val="zh-CN" w:eastAsia="zh-CN" w:bidi="zh-CN"/>
      </w:rPr>
    </w:lvl>
    <w:lvl w:ilvl="8">
      <w:start w:val="0"/>
      <w:numFmt w:val="bullet"/>
      <w:lvlText w:val="•"/>
      <w:lvlJc w:val="left"/>
      <w:pPr>
        <w:ind w:left="4624" w:hanging="526"/>
      </w:pPr>
      <w:rPr>
        <w:rFonts w:hint="default"/>
        <w:lang w:val="zh-CN" w:eastAsia="zh-CN" w:bidi="zh-CN"/>
      </w:rPr>
    </w:lvl>
  </w:abstractNum>
  <w:abstractNum w:abstractNumId="113">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112">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111">
    <w:multiLevelType w:val="hybridMultilevel"/>
    <w:lvl w:ilvl="0">
      <w:start w:val="1"/>
      <w:numFmt w:val="decimal"/>
      <w:lvlText w:val="（%1）"/>
      <w:lvlJc w:val="left"/>
      <w:pPr>
        <w:ind w:left="717"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1618" w:hanging="604"/>
      </w:pPr>
      <w:rPr>
        <w:rFonts w:hint="default"/>
        <w:lang w:val="zh-CN" w:eastAsia="zh-CN" w:bidi="zh-CN"/>
      </w:rPr>
    </w:lvl>
    <w:lvl w:ilvl="2">
      <w:start w:val="0"/>
      <w:numFmt w:val="bullet"/>
      <w:lvlText w:val="•"/>
      <w:lvlJc w:val="left"/>
      <w:pPr>
        <w:ind w:left="2517" w:hanging="604"/>
      </w:pPr>
      <w:rPr>
        <w:rFonts w:hint="default"/>
        <w:lang w:val="zh-CN" w:eastAsia="zh-CN" w:bidi="zh-CN"/>
      </w:rPr>
    </w:lvl>
    <w:lvl w:ilvl="3">
      <w:start w:val="0"/>
      <w:numFmt w:val="bullet"/>
      <w:lvlText w:val="•"/>
      <w:lvlJc w:val="left"/>
      <w:pPr>
        <w:ind w:left="3415" w:hanging="604"/>
      </w:pPr>
      <w:rPr>
        <w:rFonts w:hint="default"/>
        <w:lang w:val="zh-CN" w:eastAsia="zh-CN" w:bidi="zh-CN"/>
      </w:rPr>
    </w:lvl>
    <w:lvl w:ilvl="4">
      <w:start w:val="0"/>
      <w:numFmt w:val="bullet"/>
      <w:lvlText w:val="•"/>
      <w:lvlJc w:val="left"/>
      <w:pPr>
        <w:ind w:left="4314" w:hanging="604"/>
      </w:pPr>
      <w:rPr>
        <w:rFonts w:hint="default"/>
        <w:lang w:val="zh-CN" w:eastAsia="zh-CN" w:bidi="zh-CN"/>
      </w:rPr>
    </w:lvl>
    <w:lvl w:ilvl="5">
      <w:start w:val="0"/>
      <w:numFmt w:val="bullet"/>
      <w:lvlText w:val="•"/>
      <w:lvlJc w:val="left"/>
      <w:pPr>
        <w:ind w:left="5213" w:hanging="604"/>
      </w:pPr>
      <w:rPr>
        <w:rFonts w:hint="default"/>
        <w:lang w:val="zh-CN" w:eastAsia="zh-CN" w:bidi="zh-CN"/>
      </w:rPr>
    </w:lvl>
    <w:lvl w:ilvl="6">
      <w:start w:val="0"/>
      <w:numFmt w:val="bullet"/>
      <w:lvlText w:val="•"/>
      <w:lvlJc w:val="left"/>
      <w:pPr>
        <w:ind w:left="6111" w:hanging="604"/>
      </w:pPr>
      <w:rPr>
        <w:rFonts w:hint="default"/>
        <w:lang w:val="zh-CN" w:eastAsia="zh-CN" w:bidi="zh-CN"/>
      </w:rPr>
    </w:lvl>
    <w:lvl w:ilvl="7">
      <w:start w:val="0"/>
      <w:numFmt w:val="bullet"/>
      <w:lvlText w:val="•"/>
      <w:lvlJc w:val="left"/>
      <w:pPr>
        <w:ind w:left="7010" w:hanging="604"/>
      </w:pPr>
      <w:rPr>
        <w:rFonts w:hint="default"/>
        <w:lang w:val="zh-CN" w:eastAsia="zh-CN" w:bidi="zh-CN"/>
      </w:rPr>
    </w:lvl>
    <w:lvl w:ilvl="8">
      <w:start w:val="0"/>
      <w:numFmt w:val="bullet"/>
      <w:lvlText w:val="•"/>
      <w:lvlJc w:val="left"/>
      <w:pPr>
        <w:ind w:left="7909" w:hanging="604"/>
      </w:pPr>
      <w:rPr>
        <w:rFonts w:hint="default"/>
        <w:lang w:val="zh-CN" w:eastAsia="zh-CN" w:bidi="zh-CN"/>
      </w:rPr>
    </w:lvl>
  </w:abstractNum>
  <w:abstractNum w:abstractNumId="110">
    <w:multiLevelType w:val="hybridMultilevel"/>
    <w:lvl w:ilvl="0">
      <w:start w:val="9"/>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18" w:hanging="601"/>
        <w:jc w:val="left"/>
      </w:pPr>
      <w:rPr>
        <w:rFonts w:hint="default" w:ascii="宋体" w:hAnsi="宋体" w:eastAsia="宋体" w:cs="宋体"/>
        <w:spacing w:val="-1"/>
        <w:w w:val="100"/>
        <w:sz w:val="22"/>
        <w:szCs w:val="22"/>
        <w:lang w:val="zh-CN" w:eastAsia="zh-CN" w:bidi="zh-CN"/>
      </w:rPr>
    </w:lvl>
    <w:lvl w:ilvl="4">
      <w:start w:val="0"/>
      <w:numFmt w:val="bullet"/>
      <w:lvlText w:val="•"/>
      <w:lvlJc w:val="left"/>
      <w:pPr>
        <w:ind w:left="3416" w:hanging="601"/>
      </w:pPr>
      <w:rPr>
        <w:rFonts w:hint="default"/>
        <w:lang w:val="zh-CN" w:eastAsia="zh-CN" w:bidi="zh-CN"/>
      </w:rPr>
    </w:lvl>
    <w:lvl w:ilvl="5">
      <w:start w:val="0"/>
      <w:numFmt w:val="bullet"/>
      <w:lvlText w:val="•"/>
      <w:lvlJc w:val="left"/>
      <w:pPr>
        <w:ind w:left="4464" w:hanging="601"/>
      </w:pPr>
      <w:rPr>
        <w:rFonts w:hint="default"/>
        <w:lang w:val="zh-CN" w:eastAsia="zh-CN" w:bidi="zh-CN"/>
      </w:rPr>
    </w:lvl>
    <w:lvl w:ilvl="6">
      <w:start w:val="0"/>
      <w:numFmt w:val="bullet"/>
      <w:lvlText w:val="•"/>
      <w:lvlJc w:val="left"/>
      <w:pPr>
        <w:ind w:left="5513" w:hanging="601"/>
      </w:pPr>
      <w:rPr>
        <w:rFonts w:hint="default"/>
        <w:lang w:val="zh-CN" w:eastAsia="zh-CN" w:bidi="zh-CN"/>
      </w:rPr>
    </w:lvl>
    <w:lvl w:ilvl="7">
      <w:start w:val="0"/>
      <w:numFmt w:val="bullet"/>
      <w:lvlText w:val="•"/>
      <w:lvlJc w:val="left"/>
      <w:pPr>
        <w:ind w:left="6561" w:hanging="601"/>
      </w:pPr>
      <w:rPr>
        <w:rFonts w:hint="default"/>
        <w:lang w:val="zh-CN" w:eastAsia="zh-CN" w:bidi="zh-CN"/>
      </w:rPr>
    </w:lvl>
    <w:lvl w:ilvl="8">
      <w:start w:val="0"/>
      <w:numFmt w:val="bullet"/>
      <w:lvlText w:val="•"/>
      <w:lvlJc w:val="left"/>
      <w:pPr>
        <w:ind w:left="7609" w:hanging="601"/>
      </w:pPr>
      <w:rPr>
        <w:rFonts w:hint="default"/>
        <w:lang w:val="zh-CN" w:eastAsia="zh-CN" w:bidi="zh-CN"/>
      </w:rPr>
    </w:lvl>
  </w:abstractNum>
  <w:abstractNum w:abstractNumId="109">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108">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107">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106">
    <w:multiLevelType w:val="hybridMultilevel"/>
    <w:lvl w:ilvl="0">
      <w:start w:val="1"/>
      <w:numFmt w:val="decimal"/>
      <w:lvlText w:val="（%1）"/>
      <w:lvlJc w:val="left"/>
      <w:pPr>
        <w:ind w:left="237" w:hanging="601"/>
        <w:jc w:val="left"/>
      </w:pPr>
      <w:rPr>
        <w:rFonts w:hint="default" w:ascii="宋体" w:hAnsi="宋体" w:eastAsia="宋体" w:cs="宋体"/>
        <w:spacing w:val="-10"/>
        <w:w w:val="100"/>
        <w:sz w:val="22"/>
        <w:szCs w:val="22"/>
        <w:lang w:val="zh-CN" w:eastAsia="zh-CN" w:bidi="zh-CN"/>
      </w:rPr>
    </w:lvl>
    <w:lvl w:ilvl="1">
      <w:start w:val="0"/>
      <w:numFmt w:val="bullet"/>
      <w:lvlText w:val="•"/>
      <w:lvlJc w:val="left"/>
      <w:pPr>
        <w:ind w:left="1186" w:hanging="601"/>
      </w:pPr>
      <w:rPr>
        <w:rFonts w:hint="default"/>
        <w:lang w:val="zh-CN" w:eastAsia="zh-CN" w:bidi="zh-CN"/>
      </w:rPr>
    </w:lvl>
    <w:lvl w:ilvl="2">
      <w:start w:val="0"/>
      <w:numFmt w:val="bullet"/>
      <w:lvlText w:val="•"/>
      <w:lvlJc w:val="left"/>
      <w:pPr>
        <w:ind w:left="2133" w:hanging="601"/>
      </w:pPr>
      <w:rPr>
        <w:rFonts w:hint="default"/>
        <w:lang w:val="zh-CN" w:eastAsia="zh-CN" w:bidi="zh-CN"/>
      </w:rPr>
    </w:lvl>
    <w:lvl w:ilvl="3">
      <w:start w:val="0"/>
      <w:numFmt w:val="bullet"/>
      <w:lvlText w:val="•"/>
      <w:lvlJc w:val="left"/>
      <w:pPr>
        <w:ind w:left="3079" w:hanging="601"/>
      </w:pPr>
      <w:rPr>
        <w:rFonts w:hint="default"/>
        <w:lang w:val="zh-CN" w:eastAsia="zh-CN" w:bidi="zh-CN"/>
      </w:rPr>
    </w:lvl>
    <w:lvl w:ilvl="4">
      <w:start w:val="0"/>
      <w:numFmt w:val="bullet"/>
      <w:lvlText w:val="•"/>
      <w:lvlJc w:val="left"/>
      <w:pPr>
        <w:ind w:left="4026" w:hanging="601"/>
      </w:pPr>
      <w:rPr>
        <w:rFonts w:hint="default"/>
        <w:lang w:val="zh-CN" w:eastAsia="zh-CN" w:bidi="zh-CN"/>
      </w:rPr>
    </w:lvl>
    <w:lvl w:ilvl="5">
      <w:start w:val="0"/>
      <w:numFmt w:val="bullet"/>
      <w:lvlText w:val="•"/>
      <w:lvlJc w:val="left"/>
      <w:pPr>
        <w:ind w:left="4973" w:hanging="601"/>
      </w:pPr>
      <w:rPr>
        <w:rFonts w:hint="default"/>
        <w:lang w:val="zh-CN" w:eastAsia="zh-CN" w:bidi="zh-CN"/>
      </w:rPr>
    </w:lvl>
    <w:lvl w:ilvl="6">
      <w:start w:val="0"/>
      <w:numFmt w:val="bullet"/>
      <w:lvlText w:val="•"/>
      <w:lvlJc w:val="left"/>
      <w:pPr>
        <w:ind w:left="5919" w:hanging="601"/>
      </w:pPr>
      <w:rPr>
        <w:rFonts w:hint="default"/>
        <w:lang w:val="zh-CN" w:eastAsia="zh-CN" w:bidi="zh-CN"/>
      </w:rPr>
    </w:lvl>
    <w:lvl w:ilvl="7">
      <w:start w:val="0"/>
      <w:numFmt w:val="bullet"/>
      <w:lvlText w:val="•"/>
      <w:lvlJc w:val="left"/>
      <w:pPr>
        <w:ind w:left="6866" w:hanging="601"/>
      </w:pPr>
      <w:rPr>
        <w:rFonts w:hint="default"/>
        <w:lang w:val="zh-CN" w:eastAsia="zh-CN" w:bidi="zh-CN"/>
      </w:rPr>
    </w:lvl>
    <w:lvl w:ilvl="8">
      <w:start w:val="0"/>
      <w:numFmt w:val="bullet"/>
      <w:lvlText w:val="•"/>
      <w:lvlJc w:val="left"/>
      <w:pPr>
        <w:ind w:left="7813" w:hanging="601"/>
      </w:pPr>
      <w:rPr>
        <w:rFonts w:hint="default"/>
        <w:lang w:val="zh-CN" w:eastAsia="zh-CN" w:bidi="zh-CN"/>
      </w:rPr>
    </w:lvl>
  </w:abstractNum>
  <w:abstractNum w:abstractNumId="105">
    <w:multiLevelType w:val="hybridMultilevel"/>
    <w:lvl w:ilvl="0">
      <w:start w:val="8"/>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237" w:hanging="601"/>
        <w:jc w:val="left"/>
      </w:pPr>
      <w:rPr>
        <w:rFonts w:hint="default" w:ascii="宋体" w:hAnsi="宋体" w:eastAsia="宋体" w:cs="宋体"/>
        <w:spacing w:val="-120"/>
        <w:w w:val="100"/>
        <w:sz w:val="22"/>
        <w:szCs w:val="22"/>
        <w:lang w:val="zh-CN" w:eastAsia="zh-CN" w:bidi="zh-CN"/>
      </w:rPr>
    </w:lvl>
    <w:lvl w:ilvl="4">
      <w:start w:val="0"/>
      <w:numFmt w:val="bullet"/>
      <w:lvlText w:val="•"/>
      <w:lvlJc w:val="left"/>
      <w:pPr>
        <w:ind w:left="3056" w:hanging="601"/>
      </w:pPr>
      <w:rPr>
        <w:rFonts w:hint="default"/>
        <w:lang w:val="zh-CN" w:eastAsia="zh-CN" w:bidi="zh-CN"/>
      </w:rPr>
    </w:lvl>
    <w:lvl w:ilvl="5">
      <w:start w:val="0"/>
      <w:numFmt w:val="bullet"/>
      <w:lvlText w:val="•"/>
      <w:lvlJc w:val="left"/>
      <w:pPr>
        <w:ind w:left="4164" w:hanging="601"/>
      </w:pPr>
      <w:rPr>
        <w:rFonts w:hint="default"/>
        <w:lang w:val="zh-CN" w:eastAsia="zh-CN" w:bidi="zh-CN"/>
      </w:rPr>
    </w:lvl>
    <w:lvl w:ilvl="6">
      <w:start w:val="0"/>
      <w:numFmt w:val="bullet"/>
      <w:lvlText w:val="•"/>
      <w:lvlJc w:val="left"/>
      <w:pPr>
        <w:ind w:left="5273" w:hanging="601"/>
      </w:pPr>
      <w:rPr>
        <w:rFonts w:hint="default"/>
        <w:lang w:val="zh-CN" w:eastAsia="zh-CN" w:bidi="zh-CN"/>
      </w:rPr>
    </w:lvl>
    <w:lvl w:ilvl="7">
      <w:start w:val="0"/>
      <w:numFmt w:val="bullet"/>
      <w:lvlText w:val="•"/>
      <w:lvlJc w:val="left"/>
      <w:pPr>
        <w:ind w:left="6381" w:hanging="601"/>
      </w:pPr>
      <w:rPr>
        <w:rFonts w:hint="default"/>
        <w:lang w:val="zh-CN" w:eastAsia="zh-CN" w:bidi="zh-CN"/>
      </w:rPr>
    </w:lvl>
    <w:lvl w:ilvl="8">
      <w:start w:val="0"/>
      <w:numFmt w:val="bullet"/>
      <w:lvlText w:val="•"/>
      <w:lvlJc w:val="left"/>
      <w:pPr>
        <w:ind w:left="7489" w:hanging="601"/>
      </w:pPr>
      <w:rPr>
        <w:rFonts w:hint="default"/>
        <w:lang w:val="zh-CN" w:eastAsia="zh-CN" w:bidi="zh-CN"/>
      </w:rPr>
    </w:lvl>
  </w:abstractNum>
  <w:abstractNum w:abstractNumId="104">
    <w:multiLevelType w:val="hybridMultilevel"/>
    <w:lvl w:ilvl="0">
      <w:start w:val="7"/>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18" w:hanging="601"/>
        <w:jc w:val="left"/>
      </w:pPr>
      <w:rPr>
        <w:rFonts w:hint="default" w:ascii="宋体" w:hAnsi="宋体" w:eastAsia="宋体" w:cs="宋体"/>
        <w:spacing w:val="-1"/>
        <w:w w:val="100"/>
        <w:sz w:val="22"/>
        <w:szCs w:val="22"/>
        <w:lang w:val="zh-CN" w:eastAsia="zh-CN" w:bidi="zh-CN"/>
      </w:rPr>
    </w:lvl>
    <w:lvl w:ilvl="4">
      <w:start w:val="0"/>
      <w:numFmt w:val="bullet"/>
      <w:lvlText w:val="•"/>
      <w:lvlJc w:val="left"/>
      <w:pPr>
        <w:ind w:left="3416" w:hanging="601"/>
      </w:pPr>
      <w:rPr>
        <w:rFonts w:hint="default"/>
        <w:lang w:val="zh-CN" w:eastAsia="zh-CN" w:bidi="zh-CN"/>
      </w:rPr>
    </w:lvl>
    <w:lvl w:ilvl="5">
      <w:start w:val="0"/>
      <w:numFmt w:val="bullet"/>
      <w:lvlText w:val="•"/>
      <w:lvlJc w:val="left"/>
      <w:pPr>
        <w:ind w:left="4464" w:hanging="601"/>
      </w:pPr>
      <w:rPr>
        <w:rFonts w:hint="default"/>
        <w:lang w:val="zh-CN" w:eastAsia="zh-CN" w:bidi="zh-CN"/>
      </w:rPr>
    </w:lvl>
    <w:lvl w:ilvl="6">
      <w:start w:val="0"/>
      <w:numFmt w:val="bullet"/>
      <w:lvlText w:val="•"/>
      <w:lvlJc w:val="left"/>
      <w:pPr>
        <w:ind w:left="5513" w:hanging="601"/>
      </w:pPr>
      <w:rPr>
        <w:rFonts w:hint="default"/>
        <w:lang w:val="zh-CN" w:eastAsia="zh-CN" w:bidi="zh-CN"/>
      </w:rPr>
    </w:lvl>
    <w:lvl w:ilvl="7">
      <w:start w:val="0"/>
      <w:numFmt w:val="bullet"/>
      <w:lvlText w:val="•"/>
      <w:lvlJc w:val="left"/>
      <w:pPr>
        <w:ind w:left="6561" w:hanging="601"/>
      </w:pPr>
      <w:rPr>
        <w:rFonts w:hint="default"/>
        <w:lang w:val="zh-CN" w:eastAsia="zh-CN" w:bidi="zh-CN"/>
      </w:rPr>
    </w:lvl>
    <w:lvl w:ilvl="8">
      <w:start w:val="0"/>
      <w:numFmt w:val="bullet"/>
      <w:lvlText w:val="•"/>
      <w:lvlJc w:val="left"/>
      <w:pPr>
        <w:ind w:left="7609" w:hanging="601"/>
      </w:pPr>
      <w:rPr>
        <w:rFonts w:hint="default"/>
        <w:lang w:val="zh-CN" w:eastAsia="zh-CN" w:bidi="zh-CN"/>
      </w:rPr>
    </w:lvl>
  </w:abstractNum>
  <w:abstractNum w:abstractNumId="103">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102">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101">
    <w:multiLevelType w:val="hybridMultilevel"/>
    <w:lvl w:ilvl="0">
      <w:start w:val="1"/>
      <w:numFmt w:val="decimal"/>
      <w:lvlText w:val="（%1）"/>
      <w:lvlJc w:val="left"/>
      <w:pPr>
        <w:ind w:left="237" w:hanging="601"/>
        <w:jc w:val="left"/>
      </w:pPr>
      <w:rPr>
        <w:rFonts w:hint="default" w:ascii="宋体" w:hAnsi="宋体" w:eastAsia="宋体" w:cs="宋体"/>
        <w:spacing w:val="-12"/>
        <w:w w:val="100"/>
        <w:sz w:val="22"/>
        <w:szCs w:val="22"/>
        <w:lang w:val="zh-CN" w:eastAsia="zh-CN" w:bidi="zh-CN"/>
      </w:rPr>
    </w:lvl>
    <w:lvl w:ilvl="1">
      <w:start w:val="0"/>
      <w:numFmt w:val="bullet"/>
      <w:lvlText w:val="•"/>
      <w:lvlJc w:val="left"/>
      <w:pPr>
        <w:ind w:left="1186" w:hanging="601"/>
      </w:pPr>
      <w:rPr>
        <w:rFonts w:hint="default"/>
        <w:lang w:val="zh-CN" w:eastAsia="zh-CN" w:bidi="zh-CN"/>
      </w:rPr>
    </w:lvl>
    <w:lvl w:ilvl="2">
      <w:start w:val="0"/>
      <w:numFmt w:val="bullet"/>
      <w:lvlText w:val="•"/>
      <w:lvlJc w:val="left"/>
      <w:pPr>
        <w:ind w:left="2133" w:hanging="601"/>
      </w:pPr>
      <w:rPr>
        <w:rFonts w:hint="default"/>
        <w:lang w:val="zh-CN" w:eastAsia="zh-CN" w:bidi="zh-CN"/>
      </w:rPr>
    </w:lvl>
    <w:lvl w:ilvl="3">
      <w:start w:val="0"/>
      <w:numFmt w:val="bullet"/>
      <w:lvlText w:val="•"/>
      <w:lvlJc w:val="left"/>
      <w:pPr>
        <w:ind w:left="3079" w:hanging="601"/>
      </w:pPr>
      <w:rPr>
        <w:rFonts w:hint="default"/>
        <w:lang w:val="zh-CN" w:eastAsia="zh-CN" w:bidi="zh-CN"/>
      </w:rPr>
    </w:lvl>
    <w:lvl w:ilvl="4">
      <w:start w:val="0"/>
      <w:numFmt w:val="bullet"/>
      <w:lvlText w:val="•"/>
      <w:lvlJc w:val="left"/>
      <w:pPr>
        <w:ind w:left="4026" w:hanging="601"/>
      </w:pPr>
      <w:rPr>
        <w:rFonts w:hint="default"/>
        <w:lang w:val="zh-CN" w:eastAsia="zh-CN" w:bidi="zh-CN"/>
      </w:rPr>
    </w:lvl>
    <w:lvl w:ilvl="5">
      <w:start w:val="0"/>
      <w:numFmt w:val="bullet"/>
      <w:lvlText w:val="•"/>
      <w:lvlJc w:val="left"/>
      <w:pPr>
        <w:ind w:left="4973" w:hanging="601"/>
      </w:pPr>
      <w:rPr>
        <w:rFonts w:hint="default"/>
        <w:lang w:val="zh-CN" w:eastAsia="zh-CN" w:bidi="zh-CN"/>
      </w:rPr>
    </w:lvl>
    <w:lvl w:ilvl="6">
      <w:start w:val="0"/>
      <w:numFmt w:val="bullet"/>
      <w:lvlText w:val="•"/>
      <w:lvlJc w:val="left"/>
      <w:pPr>
        <w:ind w:left="5919" w:hanging="601"/>
      </w:pPr>
      <w:rPr>
        <w:rFonts w:hint="default"/>
        <w:lang w:val="zh-CN" w:eastAsia="zh-CN" w:bidi="zh-CN"/>
      </w:rPr>
    </w:lvl>
    <w:lvl w:ilvl="7">
      <w:start w:val="0"/>
      <w:numFmt w:val="bullet"/>
      <w:lvlText w:val="•"/>
      <w:lvlJc w:val="left"/>
      <w:pPr>
        <w:ind w:left="6866" w:hanging="601"/>
      </w:pPr>
      <w:rPr>
        <w:rFonts w:hint="default"/>
        <w:lang w:val="zh-CN" w:eastAsia="zh-CN" w:bidi="zh-CN"/>
      </w:rPr>
    </w:lvl>
    <w:lvl w:ilvl="8">
      <w:start w:val="0"/>
      <w:numFmt w:val="bullet"/>
      <w:lvlText w:val="•"/>
      <w:lvlJc w:val="left"/>
      <w:pPr>
        <w:ind w:left="7813" w:hanging="601"/>
      </w:pPr>
      <w:rPr>
        <w:rFonts w:hint="default"/>
        <w:lang w:val="zh-CN" w:eastAsia="zh-CN" w:bidi="zh-CN"/>
      </w:rPr>
    </w:lvl>
  </w:abstractNum>
  <w:abstractNum w:abstractNumId="100">
    <w:multiLevelType w:val="hybridMultilevel"/>
    <w:lvl w:ilvl="0">
      <w:start w:val="1"/>
      <w:numFmt w:val="decimal"/>
      <w:lvlText w:val="（%1）"/>
      <w:lvlJc w:val="left"/>
      <w:pPr>
        <w:ind w:left="237" w:hanging="601"/>
        <w:jc w:val="left"/>
      </w:pPr>
      <w:rPr>
        <w:rFonts w:hint="default" w:ascii="宋体" w:hAnsi="宋体" w:eastAsia="宋体" w:cs="宋体"/>
        <w:spacing w:val="-17"/>
        <w:w w:val="100"/>
        <w:sz w:val="22"/>
        <w:szCs w:val="22"/>
        <w:lang w:val="zh-CN" w:eastAsia="zh-CN" w:bidi="zh-CN"/>
      </w:rPr>
    </w:lvl>
    <w:lvl w:ilvl="1">
      <w:start w:val="0"/>
      <w:numFmt w:val="bullet"/>
      <w:lvlText w:val="•"/>
      <w:lvlJc w:val="left"/>
      <w:pPr>
        <w:ind w:left="1186" w:hanging="601"/>
      </w:pPr>
      <w:rPr>
        <w:rFonts w:hint="default"/>
        <w:lang w:val="zh-CN" w:eastAsia="zh-CN" w:bidi="zh-CN"/>
      </w:rPr>
    </w:lvl>
    <w:lvl w:ilvl="2">
      <w:start w:val="0"/>
      <w:numFmt w:val="bullet"/>
      <w:lvlText w:val="•"/>
      <w:lvlJc w:val="left"/>
      <w:pPr>
        <w:ind w:left="2133" w:hanging="601"/>
      </w:pPr>
      <w:rPr>
        <w:rFonts w:hint="default"/>
        <w:lang w:val="zh-CN" w:eastAsia="zh-CN" w:bidi="zh-CN"/>
      </w:rPr>
    </w:lvl>
    <w:lvl w:ilvl="3">
      <w:start w:val="0"/>
      <w:numFmt w:val="bullet"/>
      <w:lvlText w:val="•"/>
      <w:lvlJc w:val="left"/>
      <w:pPr>
        <w:ind w:left="3079" w:hanging="601"/>
      </w:pPr>
      <w:rPr>
        <w:rFonts w:hint="default"/>
        <w:lang w:val="zh-CN" w:eastAsia="zh-CN" w:bidi="zh-CN"/>
      </w:rPr>
    </w:lvl>
    <w:lvl w:ilvl="4">
      <w:start w:val="0"/>
      <w:numFmt w:val="bullet"/>
      <w:lvlText w:val="•"/>
      <w:lvlJc w:val="left"/>
      <w:pPr>
        <w:ind w:left="4026" w:hanging="601"/>
      </w:pPr>
      <w:rPr>
        <w:rFonts w:hint="default"/>
        <w:lang w:val="zh-CN" w:eastAsia="zh-CN" w:bidi="zh-CN"/>
      </w:rPr>
    </w:lvl>
    <w:lvl w:ilvl="5">
      <w:start w:val="0"/>
      <w:numFmt w:val="bullet"/>
      <w:lvlText w:val="•"/>
      <w:lvlJc w:val="left"/>
      <w:pPr>
        <w:ind w:left="4973" w:hanging="601"/>
      </w:pPr>
      <w:rPr>
        <w:rFonts w:hint="default"/>
        <w:lang w:val="zh-CN" w:eastAsia="zh-CN" w:bidi="zh-CN"/>
      </w:rPr>
    </w:lvl>
    <w:lvl w:ilvl="6">
      <w:start w:val="0"/>
      <w:numFmt w:val="bullet"/>
      <w:lvlText w:val="•"/>
      <w:lvlJc w:val="left"/>
      <w:pPr>
        <w:ind w:left="5919" w:hanging="601"/>
      </w:pPr>
      <w:rPr>
        <w:rFonts w:hint="default"/>
        <w:lang w:val="zh-CN" w:eastAsia="zh-CN" w:bidi="zh-CN"/>
      </w:rPr>
    </w:lvl>
    <w:lvl w:ilvl="7">
      <w:start w:val="0"/>
      <w:numFmt w:val="bullet"/>
      <w:lvlText w:val="•"/>
      <w:lvlJc w:val="left"/>
      <w:pPr>
        <w:ind w:left="6866" w:hanging="601"/>
      </w:pPr>
      <w:rPr>
        <w:rFonts w:hint="default"/>
        <w:lang w:val="zh-CN" w:eastAsia="zh-CN" w:bidi="zh-CN"/>
      </w:rPr>
    </w:lvl>
    <w:lvl w:ilvl="8">
      <w:start w:val="0"/>
      <w:numFmt w:val="bullet"/>
      <w:lvlText w:val="•"/>
      <w:lvlJc w:val="left"/>
      <w:pPr>
        <w:ind w:left="7813" w:hanging="601"/>
      </w:pPr>
      <w:rPr>
        <w:rFonts w:hint="default"/>
        <w:lang w:val="zh-CN" w:eastAsia="zh-CN" w:bidi="zh-CN"/>
      </w:rPr>
    </w:lvl>
  </w:abstractNum>
  <w:abstractNum w:abstractNumId="99">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98">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97">
    <w:multiLevelType w:val="hybridMultilevel"/>
    <w:lvl w:ilvl="0">
      <w:start w:val="1"/>
      <w:numFmt w:val="decimal"/>
      <w:lvlText w:val="（%1）"/>
      <w:lvlJc w:val="left"/>
      <w:pPr>
        <w:ind w:left="237" w:hanging="601"/>
        <w:jc w:val="left"/>
      </w:pPr>
      <w:rPr>
        <w:rFonts w:hint="default" w:ascii="宋体" w:hAnsi="宋体" w:eastAsia="宋体" w:cs="宋体"/>
        <w:spacing w:val="-8"/>
        <w:w w:val="100"/>
        <w:sz w:val="22"/>
        <w:szCs w:val="22"/>
        <w:lang w:val="zh-CN" w:eastAsia="zh-CN" w:bidi="zh-CN"/>
      </w:rPr>
    </w:lvl>
    <w:lvl w:ilvl="1">
      <w:start w:val="0"/>
      <w:numFmt w:val="bullet"/>
      <w:lvlText w:val="•"/>
      <w:lvlJc w:val="left"/>
      <w:pPr>
        <w:ind w:left="1186" w:hanging="601"/>
      </w:pPr>
      <w:rPr>
        <w:rFonts w:hint="default"/>
        <w:lang w:val="zh-CN" w:eastAsia="zh-CN" w:bidi="zh-CN"/>
      </w:rPr>
    </w:lvl>
    <w:lvl w:ilvl="2">
      <w:start w:val="0"/>
      <w:numFmt w:val="bullet"/>
      <w:lvlText w:val="•"/>
      <w:lvlJc w:val="left"/>
      <w:pPr>
        <w:ind w:left="2133" w:hanging="601"/>
      </w:pPr>
      <w:rPr>
        <w:rFonts w:hint="default"/>
        <w:lang w:val="zh-CN" w:eastAsia="zh-CN" w:bidi="zh-CN"/>
      </w:rPr>
    </w:lvl>
    <w:lvl w:ilvl="3">
      <w:start w:val="0"/>
      <w:numFmt w:val="bullet"/>
      <w:lvlText w:val="•"/>
      <w:lvlJc w:val="left"/>
      <w:pPr>
        <w:ind w:left="3079" w:hanging="601"/>
      </w:pPr>
      <w:rPr>
        <w:rFonts w:hint="default"/>
        <w:lang w:val="zh-CN" w:eastAsia="zh-CN" w:bidi="zh-CN"/>
      </w:rPr>
    </w:lvl>
    <w:lvl w:ilvl="4">
      <w:start w:val="0"/>
      <w:numFmt w:val="bullet"/>
      <w:lvlText w:val="•"/>
      <w:lvlJc w:val="left"/>
      <w:pPr>
        <w:ind w:left="4026" w:hanging="601"/>
      </w:pPr>
      <w:rPr>
        <w:rFonts w:hint="default"/>
        <w:lang w:val="zh-CN" w:eastAsia="zh-CN" w:bidi="zh-CN"/>
      </w:rPr>
    </w:lvl>
    <w:lvl w:ilvl="5">
      <w:start w:val="0"/>
      <w:numFmt w:val="bullet"/>
      <w:lvlText w:val="•"/>
      <w:lvlJc w:val="left"/>
      <w:pPr>
        <w:ind w:left="4973" w:hanging="601"/>
      </w:pPr>
      <w:rPr>
        <w:rFonts w:hint="default"/>
        <w:lang w:val="zh-CN" w:eastAsia="zh-CN" w:bidi="zh-CN"/>
      </w:rPr>
    </w:lvl>
    <w:lvl w:ilvl="6">
      <w:start w:val="0"/>
      <w:numFmt w:val="bullet"/>
      <w:lvlText w:val="•"/>
      <w:lvlJc w:val="left"/>
      <w:pPr>
        <w:ind w:left="5919" w:hanging="601"/>
      </w:pPr>
      <w:rPr>
        <w:rFonts w:hint="default"/>
        <w:lang w:val="zh-CN" w:eastAsia="zh-CN" w:bidi="zh-CN"/>
      </w:rPr>
    </w:lvl>
    <w:lvl w:ilvl="7">
      <w:start w:val="0"/>
      <w:numFmt w:val="bullet"/>
      <w:lvlText w:val="•"/>
      <w:lvlJc w:val="left"/>
      <w:pPr>
        <w:ind w:left="6866" w:hanging="601"/>
      </w:pPr>
      <w:rPr>
        <w:rFonts w:hint="default"/>
        <w:lang w:val="zh-CN" w:eastAsia="zh-CN" w:bidi="zh-CN"/>
      </w:rPr>
    </w:lvl>
    <w:lvl w:ilvl="8">
      <w:start w:val="0"/>
      <w:numFmt w:val="bullet"/>
      <w:lvlText w:val="•"/>
      <w:lvlJc w:val="left"/>
      <w:pPr>
        <w:ind w:left="7813" w:hanging="601"/>
      </w:pPr>
      <w:rPr>
        <w:rFonts w:hint="default"/>
        <w:lang w:val="zh-CN" w:eastAsia="zh-CN" w:bidi="zh-CN"/>
      </w:rPr>
    </w:lvl>
  </w:abstractNum>
  <w:abstractNum w:abstractNumId="96">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95">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94">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93">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36"/>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92">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10"/>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91">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90">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1"/>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89">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88">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87">
    <w:multiLevelType w:val="hybridMultilevel"/>
    <w:lvl w:ilvl="0">
      <w:start w:val="6"/>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237" w:hanging="601"/>
        <w:jc w:val="left"/>
      </w:pPr>
      <w:rPr>
        <w:rFonts w:hint="default"/>
        <w:spacing w:val="-10"/>
        <w:w w:val="100"/>
        <w:lang w:val="zh-CN" w:eastAsia="zh-CN" w:bidi="zh-CN"/>
      </w:rPr>
    </w:lvl>
    <w:lvl w:ilvl="4">
      <w:start w:val="0"/>
      <w:numFmt w:val="bullet"/>
      <w:lvlText w:val="•"/>
      <w:lvlJc w:val="left"/>
      <w:pPr>
        <w:ind w:left="3056" w:hanging="601"/>
      </w:pPr>
      <w:rPr>
        <w:rFonts w:hint="default"/>
        <w:lang w:val="zh-CN" w:eastAsia="zh-CN" w:bidi="zh-CN"/>
      </w:rPr>
    </w:lvl>
    <w:lvl w:ilvl="5">
      <w:start w:val="0"/>
      <w:numFmt w:val="bullet"/>
      <w:lvlText w:val="•"/>
      <w:lvlJc w:val="left"/>
      <w:pPr>
        <w:ind w:left="4164" w:hanging="601"/>
      </w:pPr>
      <w:rPr>
        <w:rFonts w:hint="default"/>
        <w:lang w:val="zh-CN" w:eastAsia="zh-CN" w:bidi="zh-CN"/>
      </w:rPr>
    </w:lvl>
    <w:lvl w:ilvl="6">
      <w:start w:val="0"/>
      <w:numFmt w:val="bullet"/>
      <w:lvlText w:val="•"/>
      <w:lvlJc w:val="left"/>
      <w:pPr>
        <w:ind w:left="5273" w:hanging="601"/>
      </w:pPr>
      <w:rPr>
        <w:rFonts w:hint="default"/>
        <w:lang w:val="zh-CN" w:eastAsia="zh-CN" w:bidi="zh-CN"/>
      </w:rPr>
    </w:lvl>
    <w:lvl w:ilvl="7">
      <w:start w:val="0"/>
      <w:numFmt w:val="bullet"/>
      <w:lvlText w:val="•"/>
      <w:lvlJc w:val="left"/>
      <w:pPr>
        <w:ind w:left="6381" w:hanging="601"/>
      </w:pPr>
      <w:rPr>
        <w:rFonts w:hint="default"/>
        <w:lang w:val="zh-CN" w:eastAsia="zh-CN" w:bidi="zh-CN"/>
      </w:rPr>
    </w:lvl>
    <w:lvl w:ilvl="8">
      <w:start w:val="0"/>
      <w:numFmt w:val="bullet"/>
      <w:lvlText w:val="•"/>
      <w:lvlJc w:val="left"/>
      <w:pPr>
        <w:ind w:left="7489" w:hanging="601"/>
      </w:pPr>
      <w:rPr>
        <w:rFonts w:hint="default"/>
        <w:lang w:val="zh-CN" w:eastAsia="zh-CN" w:bidi="zh-CN"/>
      </w:rPr>
    </w:lvl>
  </w:abstractNum>
  <w:abstractNum w:abstractNumId="86">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85">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8"/>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84">
    <w:multiLevelType w:val="hybridMultilevel"/>
    <w:lvl w:ilvl="0">
      <w:start w:val="1"/>
      <w:numFmt w:val="decimal"/>
      <w:lvlText w:val="%1）"/>
      <w:lvlJc w:val="left"/>
      <w:pPr>
        <w:ind w:left="1078" w:hanging="361"/>
        <w:jc w:val="left"/>
      </w:pPr>
      <w:rPr>
        <w:rFonts w:hint="default" w:ascii="Times New Roman" w:hAnsi="Times New Roman" w:eastAsia="Times New Roman" w:cs="Times New Roman"/>
        <w:w w:val="100"/>
        <w:position w:val="1"/>
        <w:sz w:val="22"/>
        <w:szCs w:val="22"/>
        <w:lang w:val="zh-CN" w:eastAsia="zh-CN" w:bidi="zh-CN"/>
      </w:rPr>
    </w:lvl>
    <w:lvl w:ilvl="1">
      <w:start w:val="0"/>
      <w:numFmt w:val="bullet"/>
      <w:lvlText w:val="•"/>
      <w:lvlJc w:val="left"/>
      <w:pPr>
        <w:ind w:left="1942" w:hanging="361"/>
      </w:pPr>
      <w:rPr>
        <w:rFonts w:hint="default"/>
        <w:lang w:val="zh-CN" w:eastAsia="zh-CN" w:bidi="zh-CN"/>
      </w:rPr>
    </w:lvl>
    <w:lvl w:ilvl="2">
      <w:start w:val="0"/>
      <w:numFmt w:val="bullet"/>
      <w:lvlText w:val="•"/>
      <w:lvlJc w:val="left"/>
      <w:pPr>
        <w:ind w:left="2805" w:hanging="361"/>
      </w:pPr>
      <w:rPr>
        <w:rFonts w:hint="default"/>
        <w:lang w:val="zh-CN" w:eastAsia="zh-CN" w:bidi="zh-CN"/>
      </w:rPr>
    </w:lvl>
    <w:lvl w:ilvl="3">
      <w:start w:val="0"/>
      <w:numFmt w:val="bullet"/>
      <w:lvlText w:val="•"/>
      <w:lvlJc w:val="left"/>
      <w:pPr>
        <w:ind w:left="3667" w:hanging="361"/>
      </w:pPr>
      <w:rPr>
        <w:rFonts w:hint="default"/>
        <w:lang w:val="zh-CN" w:eastAsia="zh-CN" w:bidi="zh-CN"/>
      </w:rPr>
    </w:lvl>
    <w:lvl w:ilvl="4">
      <w:start w:val="0"/>
      <w:numFmt w:val="bullet"/>
      <w:lvlText w:val="•"/>
      <w:lvlJc w:val="left"/>
      <w:pPr>
        <w:ind w:left="4530" w:hanging="361"/>
      </w:pPr>
      <w:rPr>
        <w:rFonts w:hint="default"/>
        <w:lang w:val="zh-CN" w:eastAsia="zh-CN" w:bidi="zh-CN"/>
      </w:rPr>
    </w:lvl>
    <w:lvl w:ilvl="5">
      <w:start w:val="0"/>
      <w:numFmt w:val="bullet"/>
      <w:lvlText w:val="•"/>
      <w:lvlJc w:val="left"/>
      <w:pPr>
        <w:ind w:left="5393" w:hanging="361"/>
      </w:pPr>
      <w:rPr>
        <w:rFonts w:hint="default"/>
        <w:lang w:val="zh-CN" w:eastAsia="zh-CN" w:bidi="zh-CN"/>
      </w:rPr>
    </w:lvl>
    <w:lvl w:ilvl="6">
      <w:start w:val="0"/>
      <w:numFmt w:val="bullet"/>
      <w:lvlText w:val="•"/>
      <w:lvlJc w:val="left"/>
      <w:pPr>
        <w:ind w:left="6255" w:hanging="361"/>
      </w:pPr>
      <w:rPr>
        <w:rFonts w:hint="default"/>
        <w:lang w:val="zh-CN" w:eastAsia="zh-CN" w:bidi="zh-CN"/>
      </w:rPr>
    </w:lvl>
    <w:lvl w:ilvl="7">
      <w:start w:val="0"/>
      <w:numFmt w:val="bullet"/>
      <w:lvlText w:val="•"/>
      <w:lvlJc w:val="left"/>
      <w:pPr>
        <w:ind w:left="7118" w:hanging="361"/>
      </w:pPr>
      <w:rPr>
        <w:rFonts w:hint="default"/>
        <w:lang w:val="zh-CN" w:eastAsia="zh-CN" w:bidi="zh-CN"/>
      </w:rPr>
    </w:lvl>
    <w:lvl w:ilvl="8">
      <w:start w:val="0"/>
      <w:numFmt w:val="bullet"/>
      <w:lvlText w:val="•"/>
      <w:lvlJc w:val="left"/>
      <w:pPr>
        <w:ind w:left="7981" w:hanging="361"/>
      </w:pPr>
      <w:rPr>
        <w:rFonts w:hint="default"/>
        <w:lang w:val="zh-CN" w:eastAsia="zh-CN" w:bidi="zh-CN"/>
      </w:rPr>
    </w:lvl>
  </w:abstractNum>
  <w:abstractNum w:abstractNumId="83">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82">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81">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80">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79">
    <w:multiLevelType w:val="hybridMultilevel"/>
    <w:lvl w:ilvl="0">
      <w:start w:val="0"/>
      <w:numFmt w:val="decimal"/>
      <w:lvlText w:val="%1"/>
      <w:lvlJc w:val="left"/>
      <w:pPr>
        <w:ind w:left="646" w:hanging="182"/>
        <w:jc w:val="left"/>
      </w:pPr>
      <w:rPr>
        <w:rFonts w:hint="default"/>
        <w:lang w:val="zh-CN" w:eastAsia="zh-CN" w:bidi="zh-CN"/>
      </w:rPr>
    </w:lvl>
    <w:lvl w:ilvl="1">
      <w:start w:val="1"/>
      <w:numFmt w:val="decimal"/>
      <w:lvlText w:val="%1.%2"/>
      <w:lvlJc w:val="left"/>
      <w:pPr>
        <w:ind w:left="646" w:hanging="182"/>
        <w:jc w:val="left"/>
      </w:pPr>
      <w:rPr>
        <w:rFonts w:hint="default" w:ascii="Times New Roman" w:hAnsi="Times New Roman" w:eastAsia="Times New Roman" w:cs="Times New Roman"/>
        <w:spacing w:val="-1"/>
        <w:w w:val="109"/>
        <w:sz w:val="11"/>
        <w:szCs w:val="11"/>
        <w:lang w:val="zh-CN" w:eastAsia="zh-CN" w:bidi="zh-CN"/>
      </w:rPr>
    </w:lvl>
    <w:lvl w:ilvl="2">
      <w:start w:val="1"/>
      <w:numFmt w:val="decimal"/>
      <w:lvlText w:val="（%3）"/>
      <w:lvlJc w:val="left"/>
      <w:pPr>
        <w:ind w:left="1318" w:hanging="601"/>
        <w:jc w:val="left"/>
      </w:pPr>
      <w:rPr>
        <w:rFonts w:hint="default" w:ascii="宋体" w:hAnsi="宋体" w:eastAsia="宋体" w:cs="宋体"/>
        <w:spacing w:val="-1"/>
        <w:w w:val="100"/>
        <w:sz w:val="22"/>
        <w:szCs w:val="22"/>
        <w:lang w:val="zh-CN" w:eastAsia="zh-CN" w:bidi="zh-CN"/>
      </w:rPr>
    </w:lvl>
    <w:lvl w:ilvl="3">
      <w:start w:val="0"/>
      <w:numFmt w:val="bullet"/>
      <w:lvlText w:val="•"/>
      <w:lvlJc w:val="left"/>
      <w:pPr>
        <w:ind w:left="1312" w:hanging="601"/>
      </w:pPr>
      <w:rPr>
        <w:rFonts w:hint="default"/>
        <w:lang w:val="zh-CN" w:eastAsia="zh-CN" w:bidi="zh-CN"/>
      </w:rPr>
    </w:lvl>
    <w:lvl w:ilvl="4">
      <w:start w:val="0"/>
      <w:numFmt w:val="bullet"/>
      <w:lvlText w:val="•"/>
      <w:lvlJc w:val="left"/>
      <w:pPr>
        <w:ind w:left="1308" w:hanging="601"/>
      </w:pPr>
      <w:rPr>
        <w:rFonts w:hint="default"/>
        <w:lang w:val="zh-CN" w:eastAsia="zh-CN" w:bidi="zh-CN"/>
      </w:rPr>
    </w:lvl>
    <w:lvl w:ilvl="5">
      <w:start w:val="0"/>
      <w:numFmt w:val="bullet"/>
      <w:lvlText w:val="•"/>
      <w:lvlJc w:val="left"/>
      <w:pPr>
        <w:ind w:left="1305" w:hanging="601"/>
      </w:pPr>
      <w:rPr>
        <w:rFonts w:hint="default"/>
        <w:lang w:val="zh-CN" w:eastAsia="zh-CN" w:bidi="zh-CN"/>
      </w:rPr>
    </w:lvl>
    <w:lvl w:ilvl="6">
      <w:start w:val="0"/>
      <w:numFmt w:val="bullet"/>
      <w:lvlText w:val="•"/>
      <w:lvlJc w:val="left"/>
      <w:pPr>
        <w:ind w:left="1301" w:hanging="601"/>
      </w:pPr>
      <w:rPr>
        <w:rFonts w:hint="default"/>
        <w:lang w:val="zh-CN" w:eastAsia="zh-CN" w:bidi="zh-CN"/>
      </w:rPr>
    </w:lvl>
    <w:lvl w:ilvl="7">
      <w:start w:val="0"/>
      <w:numFmt w:val="bullet"/>
      <w:lvlText w:val="•"/>
      <w:lvlJc w:val="left"/>
      <w:pPr>
        <w:ind w:left="1297" w:hanging="601"/>
      </w:pPr>
      <w:rPr>
        <w:rFonts w:hint="default"/>
        <w:lang w:val="zh-CN" w:eastAsia="zh-CN" w:bidi="zh-CN"/>
      </w:rPr>
    </w:lvl>
    <w:lvl w:ilvl="8">
      <w:start w:val="0"/>
      <w:numFmt w:val="bullet"/>
      <w:lvlText w:val="•"/>
      <w:lvlJc w:val="left"/>
      <w:pPr>
        <w:ind w:left="1294" w:hanging="601"/>
      </w:pPr>
      <w:rPr>
        <w:rFonts w:hint="default"/>
        <w:lang w:val="zh-CN" w:eastAsia="zh-CN" w:bidi="zh-CN"/>
      </w:rPr>
    </w:lvl>
  </w:abstractNum>
  <w:abstractNum w:abstractNumId="78">
    <w:multiLevelType w:val="hybridMultilevel"/>
    <w:lvl w:ilvl="0">
      <w:start w:val="0"/>
      <w:numFmt w:val="bullet"/>
      <w:lvlText w:val=""/>
      <w:lvlJc w:val="left"/>
      <w:pPr>
        <w:ind w:left="254" w:hanging="205"/>
      </w:pPr>
      <w:rPr>
        <w:rFonts w:hint="default" w:ascii="Symbol" w:hAnsi="Symbol" w:eastAsia="Symbol" w:cs="Symbol"/>
        <w:w w:val="95"/>
        <w:sz w:val="23"/>
        <w:szCs w:val="23"/>
        <w:lang w:val="zh-CN" w:eastAsia="zh-CN" w:bidi="zh-CN"/>
      </w:rPr>
    </w:lvl>
    <w:lvl w:ilvl="1">
      <w:start w:val="0"/>
      <w:numFmt w:val="bullet"/>
      <w:lvlText w:val="•"/>
      <w:lvlJc w:val="left"/>
      <w:pPr>
        <w:ind w:left="451" w:hanging="205"/>
      </w:pPr>
      <w:rPr>
        <w:rFonts w:hint="default"/>
        <w:lang w:val="zh-CN" w:eastAsia="zh-CN" w:bidi="zh-CN"/>
      </w:rPr>
    </w:lvl>
    <w:lvl w:ilvl="2">
      <w:start w:val="0"/>
      <w:numFmt w:val="bullet"/>
      <w:lvlText w:val="•"/>
      <w:lvlJc w:val="left"/>
      <w:pPr>
        <w:ind w:left="643" w:hanging="205"/>
      </w:pPr>
      <w:rPr>
        <w:rFonts w:hint="default"/>
        <w:lang w:val="zh-CN" w:eastAsia="zh-CN" w:bidi="zh-CN"/>
      </w:rPr>
    </w:lvl>
    <w:lvl w:ilvl="3">
      <w:start w:val="0"/>
      <w:numFmt w:val="bullet"/>
      <w:lvlText w:val="•"/>
      <w:lvlJc w:val="left"/>
      <w:pPr>
        <w:ind w:left="834" w:hanging="205"/>
      </w:pPr>
      <w:rPr>
        <w:rFonts w:hint="default"/>
        <w:lang w:val="zh-CN" w:eastAsia="zh-CN" w:bidi="zh-CN"/>
      </w:rPr>
    </w:lvl>
    <w:lvl w:ilvl="4">
      <w:start w:val="0"/>
      <w:numFmt w:val="bullet"/>
      <w:lvlText w:val="•"/>
      <w:lvlJc w:val="left"/>
      <w:pPr>
        <w:ind w:left="1026" w:hanging="205"/>
      </w:pPr>
      <w:rPr>
        <w:rFonts w:hint="default"/>
        <w:lang w:val="zh-CN" w:eastAsia="zh-CN" w:bidi="zh-CN"/>
      </w:rPr>
    </w:lvl>
    <w:lvl w:ilvl="5">
      <w:start w:val="0"/>
      <w:numFmt w:val="bullet"/>
      <w:lvlText w:val="•"/>
      <w:lvlJc w:val="left"/>
      <w:pPr>
        <w:ind w:left="1217" w:hanging="205"/>
      </w:pPr>
      <w:rPr>
        <w:rFonts w:hint="default"/>
        <w:lang w:val="zh-CN" w:eastAsia="zh-CN" w:bidi="zh-CN"/>
      </w:rPr>
    </w:lvl>
    <w:lvl w:ilvl="6">
      <w:start w:val="0"/>
      <w:numFmt w:val="bullet"/>
      <w:lvlText w:val="•"/>
      <w:lvlJc w:val="left"/>
      <w:pPr>
        <w:ind w:left="1409" w:hanging="205"/>
      </w:pPr>
      <w:rPr>
        <w:rFonts w:hint="default"/>
        <w:lang w:val="zh-CN" w:eastAsia="zh-CN" w:bidi="zh-CN"/>
      </w:rPr>
    </w:lvl>
    <w:lvl w:ilvl="7">
      <w:start w:val="0"/>
      <w:numFmt w:val="bullet"/>
      <w:lvlText w:val="•"/>
      <w:lvlJc w:val="left"/>
      <w:pPr>
        <w:ind w:left="1600" w:hanging="205"/>
      </w:pPr>
      <w:rPr>
        <w:rFonts w:hint="default"/>
        <w:lang w:val="zh-CN" w:eastAsia="zh-CN" w:bidi="zh-CN"/>
      </w:rPr>
    </w:lvl>
    <w:lvl w:ilvl="8">
      <w:start w:val="0"/>
      <w:numFmt w:val="bullet"/>
      <w:lvlText w:val="•"/>
      <w:lvlJc w:val="left"/>
      <w:pPr>
        <w:ind w:left="1792" w:hanging="205"/>
      </w:pPr>
      <w:rPr>
        <w:rFonts w:hint="default"/>
        <w:lang w:val="zh-CN" w:eastAsia="zh-CN" w:bidi="zh-CN"/>
      </w:rPr>
    </w:lvl>
  </w:abstractNum>
  <w:abstractNum w:abstractNumId="77">
    <w:multiLevelType w:val="hybridMultilevel"/>
    <w:lvl w:ilvl="0">
      <w:start w:val="1"/>
      <w:numFmt w:val="decimal"/>
      <w:lvlText w:val="%1）"/>
      <w:lvlJc w:val="left"/>
      <w:pPr>
        <w:ind w:left="1078" w:hanging="361"/>
        <w:jc w:val="left"/>
      </w:pPr>
      <w:rPr>
        <w:rFonts w:hint="default" w:ascii="Times New Roman" w:hAnsi="Times New Roman" w:eastAsia="Times New Roman" w:cs="Times New Roman"/>
        <w:spacing w:val="-10"/>
        <w:w w:val="100"/>
        <w:position w:val="1"/>
        <w:sz w:val="22"/>
        <w:szCs w:val="22"/>
        <w:lang w:val="zh-CN" w:eastAsia="zh-CN" w:bidi="zh-CN"/>
      </w:rPr>
    </w:lvl>
    <w:lvl w:ilvl="1">
      <w:start w:val="0"/>
      <w:numFmt w:val="bullet"/>
      <w:lvlText w:val="•"/>
      <w:lvlJc w:val="left"/>
      <w:pPr>
        <w:ind w:left="1942" w:hanging="361"/>
      </w:pPr>
      <w:rPr>
        <w:rFonts w:hint="default"/>
        <w:lang w:val="zh-CN" w:eastAsia="zh-CN" w:bidi="zh-CN"/>
      </w:rPr>
    </w:lvl>
    <w:lvl w:ilvl="2">
      <w:start w:val="0"/>
      <w:numFmt w:val="bullet"/>
      <w:lvlText w:val="•"/>
      <w:lvlJc w:val="left"/>
      <w:pPr>
        <w:ind w:left="2805" w:hanging="361"/>
      </w:pPr>
      <w:rPr>
        <w:rFonts w:hint="default"/>
        <w:lang w:val="zh-CN" w:eastAsia="zh-CN" w:bidi="zh-CN"/>
      </w:rPr>
    </w:lvl>
    <w:lvl w:ilvl="3">
      <w:start w:val="0"/>
      <w:numFmt w:val="bullet"/>
      <w:lvlText w:val="•"/>
      <w:lvlJc w:val="left"/>
      <w:pPr>
        <w:ind w:left="3667" w:hanging="361"/>
      </w:pPr>
      <w:rPr>
        <w:rFonts w:hint="default"/>
        <w:lang w:val="zh-CN" w:eastAsia="zh-CN" w:bidi="zh-CN"/>
      </w:rPr>
    </w:lvl>
    <w:lvl w:ilvl="4">
      <w:start w:val="0"/>
      <w:numFmt w:val="bullet"/>
      <w:lvlText w:val="•"/>
      <w:lvlJc w:val="left"/>
      <w:pPr>
        <w:ind w:left="4530" w:hanging="361"/>
      </w:pPr>
      <w:rPr>
        <w:rFonts w:hint="default"/>
        <w:lang w:val="zh-CN" w:eastAsia="zh-CN" w:bidi="zh-CN"/>
      </w:rPr>
    </w:lvl>
    <w:lvl w:ilvl="5">
      <w:start w:val="0"/>
      <w:numFmt w:val="bullet"/>
      <w:lvlText w:val="•"/>
      <w:lvlJc w:val="left"/>
      <w:pPr>
        <w:ind w:left="5393" w:hanging="361"/>
      </w:pPr>
      <w:rPr>
        <w:rFonts w:hint="default"/>
        <w:lang w:val="zh-CN" w:eastAsia="zh-CN" w:bidi="zh-CN"/>
      </w:rPr>
    </w:lvl>
    <w:lvl w:ilvl="6">
      <w:start w:val="0"/>
      <w:numFmt w:val="bullet"/>
      <w:lvlText w:val="•"/>
      <w:lvlJc w:val="left"/>
      <w:pPr>
        <w:ind w:left="6255" w:hanging="361"/>
      </w:pPr>
      <w:rPr>
        <w:rFonts w:hint="default"/>
        <w:lang w:val="zh-CN" w:eastAsia="zh-CN" w:bidi="zh-CN"/>
      </w:rPr>
    </w:lvl>
    <w:lvl w:ilvl="7">
      <w:start w:val="0"/>
      <w:numFmt w:val="bullet"/>
      <w:lvlText w:val="•"/>
      <w:lvlJc w:val="left"/>
      <w:pPr>
        <w:ind w:left="7118" w:hanging="361"/>
      </w:pPr>
      <w:rPr>
        <w:rFonts w:hint="default"/>
        <w:lang w:val="zh-CN" w:eastAsia="zh-CN" w:bidi="zh-CN"/>
      </w:rPr>
    </w:lvl>
    <w:lvl w:ilvl="8">
      <w:start w:val="0"/>
      <w:numFmt w:val="bullet"/>
      <w:lvlText w:val="•"/>
      <w:lvlJc w:val="left"/>
      <w:pPr>
        <w:ind w:left="7981" w:hanging="361"/>
      </w:pPr>
      <w:rPr>
        <w:rFonts w:hint="default"/>
        <w:lang w:val="zh-CN" w:eastAsia="zh-CN" w:bidi="zh-CN"/>
      </w:rPr>
    </w:lvl>
  </w:abstractNum>
  <w:abstractNum w:abstractNumId="76">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75">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74">
    <w:multiLevelType w:val="hybridMultilevel"/>
    <w:lvl w:ilvl="0">
      <w:start w:val="1"/>
      <w:numFmt w:val="decimal"/>
      <w:lvlText w:val="%1）"/>
      <w:lvlJc w:val="left"/>
      <w:pPr>
        <w:ind w:left="1001" w:hanging="363"/>
        <w:jc w:val="right"/>
      </w:pPr>
      <w:rPr>
        <w:rFonts w:hint="default" w:ascii="Times New Roman" w:hAnsi="Times New Roman" w:eastAsia="Times New Roman" w:cs="Times New Roman"/>
        <w:b/>
        <w:bCs/>
        <w:w w:val="99"/>
        <w:sz w:val="22"/>
        <w:szCs w:val="22"/>
        <w:lang w:val="zh-CN" w:eastAsia="zh-CN" w:bidi="zh-CN"/>
      </w:rPr>
    </w:lvl>
    <w:lvl w:ilvl="1">
      <w:start w:val="0"/>
      <w:numFmt w:val="bullet"/>
      <w:lvlText w:val="•"/>
      <w:lvlJc w:val="left"/>
      <w:pPr>
        <w:ind w:left="1860" w:hanging="363"/>
      </w:pPr>
      <w:rPr>
        <w:rFonts w:hint="default"/>
        <w:lang w:val="zh-CN" w:eastAsia="zh-CN" w:bidi="zh-CN"/>
      </w:rPr>
    </w:lvl>
    <w:lvl w:ilvl="2">
      <w:start w:val="0"/>
      <w:numFmt w:val="bullet"/>
      <w:lvlText w:val="•"/>
      <w:lvlJc w:val="left"/>
      <w:pPr>
        <w:ind w:left="2721" w:hanging="363"/>
      </w:pPr>
      <w:rPr>
        <w:rFonts w:hint="default"/>
        <w:lang w:val="zh-CN" w:eastAsia="zh-CN" w:bidi="zh-CN"/>
      </w:rPr>
    </w:lvl>
    <w:lvl w:ilvl="3">
      <w:start w:val="0"/>
      <w:numFmt w:val="bullet"/>
      <w:lvlText w:val="•"/>
      <w:lvlJc w:val="left"/>
      <w:pPr>
        <w:ind w:left="3581" w:hanging="363"/>
      </w:pPr>
      <w:rPr>
        <w:rFonts w:hint="default"/>
        <w:lang w:val="zh-CN" w:eastAsia="zh-CN" w:bidi="zh-CN"/>
      </w:rPr>
    </w:lvl>
    <w:lvl w:ilvl="4">
      <w:start w:val="0"/>
      <w:numFmt w:val="bullet"/>
      <w:lvlText w:val="•"/>
      <w:lvlJc w:val="left"/>
      <w:pPr>
        <w:ind w:left="4442" w:hanging="363"/>
      </w:pPr>
      <w:rPr>
        <w:rFonts w:hint="default"/>
        <w:lang w:val="zh-CN" w:eastAsia="zh-CN" w:bidi="zh-CN"/>
      </w:rPr>
    </w:lvl>
    <w:lvl w:ilvl="5">
      <w:start w:val="0"/>
      <w:numFmt w:val="bullet"/>
      <w:lvlText w:val="•"/>
      <w:lvlJc w:val="left"/>
      <w:pPr>
        <w:ind w:left="5303" w:hanging="363"/>
      </w:pPr>
      <w:rPr>
        <w:rFonts w:hint="default"/>
        <w:lang w:val="zh-CN" w:eastAsia="zh-CN" w:bidi="zh-CN"/>
      </w:rPr>
    </w:lvl>
    <w:lvl w:ilvl="6">
      <w:start w:val="0"/>
      <w:numFmt w:val="bullet"/>
      <w:lvlText w:val="•"/>
      <w:lvlJc w:val="left"/>
      <w:pPr>
        <w:ind w:left="6163" w:hanging="363"/>
      </w:pPr>
      <w:rPr>
        <w:rFonts w:hint="default"/>
        <w:lang w:val="zh-CN" w:eastAsia="zh-CN" w:bidi="zh-CN"/>
      </w:rPr>
    </w:lvl>
    <w:lvl w:ilvl="7">
      <w:start w:val="0"/>
      <w:numFmt w:val="bullet"/>
      <w:lvlText w:val="•"/>
      <w:lvlJc w:val="left"/>
      <w:pPr>
        <w:ind w:left="7024" w:hanging="363"/>
      </w:pPr>
      <w:rPr>
        <w:rFonts w:hint="default"/>
        <w:lang w:val="zh-CN" w:eastAsia="zh-CN" w:bidi="zh-CN"/>
      </w:rPr>
    </w:lvl>
    <w:lvl w:ilvl="8">
      <w:start w:val="0"/>
      <w:numFmt w:val="bullet"/>
      <w:lvlText w:val="•"/>
      <w:lvlJc w:val="left"/>
      <w:pPr>
        <w:ind w:left="7885" w:hanging="363"/>
      </w:pPr>
      <w:rPr>
        <w:rFonts w:hint="default"/>
        <w:lang w:val="zh-CN" w:eastAsia="zh-CN" w:bidi="zh-CN"/>
      </w:rPr>
    </w:lvl>
  </w:abstractNum>
  <w:abstractNum w:abstractNumId="73">
    <w:multiLevelType w:val="hybridMultilevel"/>
    <w:lvl w:ilvl="0">
      <w:start w:val="1"/>
      <w:numFmt w:val="decimal"/>
      <w:lvlText w:val="%1）"/>
      <w:lvlJc w:val="left"/>
      <w:pPr>
        <w:ind w:left="1078" w:hanging="36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942" w:hanging="361"/>
      </w:pPr>
      <w:rPr>
        <w:rFonts w:hint="default"/>
        <w:lang w:val="zh-CN" w:eastAsia="zh-CN" w:bidi="zh-CN"/>
      </w:rPr>
    </w:lvl>
    <w:lvl w:ilvl="2">
      <w:start w:val="0"/>
      <w:numFmt w:val="bullet"/>
      <w:lvlText w:val="•"/>
      <w:lvlJc w:val="left"/>
      <w:pPr>
        <w:ind w:left="2805" w:hanging="361"/>
      </w:pPr>
      <w:rPr>
        <w:rFonts w:hint="default"/>
        <w:lang w:val="zh-CN" w:eastAsia="zh-CN" w:bidi="zh-CN"/>
      </w:rPr>
    </w:lvl>
    <w:lvl w:ilvl="3">
      <w:start w:val="0"/>
      <w:numFmt w:val="bullet"/>
      <w:lvlText w:val="•"/>
      <w:lvlJc w:val="left"/>
      <w:pPr>
        <w:ind w:left="3667" w:hanging="361"/>
      </w:pPr>
      <w:rPr>
        <w:rFonts w:hint="default"/>
        <w:lang w:val="zh-CN" w:eastAsia="zh-CN" w:bidi="zh-CN"/>
      </w:rPr>
    </w:lvl>
    <w:lvl w:ilvl="4">
      <w:start w:val="0"/>
      <w:numFmt w:val="bullet"/>
      <w:lvlText w:val="•"/>
      <w:lvlJc w:val="left"/>
      <w:pPr>
        <w:ind w:left="4530" w:hanging="361"/>
      </w:pPr>
      <w:rPr>
        <w:rFonts w:hint="default"/>
        <w:lang w:val="zh-CN" w:eastAsia="zh-CN" w:bidi="zh-CN"/>
      </w:rPr>
    </w:lvl>
    <w:lvl w:ilvl="5">
      <w:start w:val="0"/>
      <w:numFmt w:val="bullet"/>
      <w:lvlText w:val="•"/>
      <w:lvlJc w:val="left"/>
      <w:pPr>
        <w:ind w:left="5393" w:hanging="361"/>
      </w:pPr>
      <w:rPr>
        <w:rFonts w:hint="default"/>
        <w:lang w:val="zh-CN" w:eastAsia="zh-CN" w:bidi="zh-CN"/>
      </w:rPr>
    </w:lvl>
    <w:lvl w:ilvl="6">
      <w:start w:val="0"/>
      <w:numFmt w:val="bullet"/>
      <w:lvlText w:val="•"/>
      <w:lvlJc w:val="left"/>
      <w:pPr>
        <w:ind w:left="6255" w:hanging="361"/>
      </w:pPr>
      <w:rPr>
        <w:rFonts w:hint="default"/>
        <w:lang w:val="zh-CN" w:eastAsia="zh-CN" w:bidi="zh-CN"/>
      </w:rPr>
    </w:lvl>
    <w:lvl w:ilvl="7">
      <w:start w:val="0"/>
      <w:numFmt w:val="bullet"/>
      <w:lvlText w:val="•"/>
      <w:lvlJc w:val="left"/>
      <w:pPr>
        <w:ind w:left="7118" w:hanging="361"/>
      </w:pPr>
      <w:rPr>
        <w:rFonts w:hint="default"/>
        <w:lang w:val="zh-CN" w:eastAsia="zh-CN" w:bidi="zh-CN"/>
      </w:rPr>
    </w:lvl>
    <w:lvl w:ilvl="8">
      <w:start w:val="0"/>
      <w:numFmt w:val="bullet"/>
      <w:lvlText w:val="•"/>
      <w:lvlJc w:val="left"/>
      <w:pPr>
        <w:ind w:left="7981" w:hanging="361"/>
      </w:pPr>
      <w:rPr>
        <w:rFonts w:hint="default"/>
        <w:lang w:val="zh-CN" w:eastAsia="zh-CN" w:bidi="zh-CN"/>
      </w:rPr>
    </w:lvl>
  </w:abstractNum>
  <w:abstractNum w:abstractNumId="72">
    <w:multiLevelType w:val="hybridMultilevel"/>
    <w:lvl w:ilvl="0">
      <w:start w:val="1"/>
      <w:numFmt w:val="decimal"/>
      <w:lvlText w:val="（%1）"/>
      <w:lvlJc w:val="left"/>
      <w:pPr>
        <w:ind w:left="1323" w:hanging="604"/>
        <w:jc w:val="righ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71">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70">
    <w:multiLevelType w:val="hybridMultilevel"/>
    <w:lvl w:ilvl="0">
      <w:start w:val="1"/>
      <w:numFmt w:val="decimal"/>
      <w:lvlText w:val="%1）"/>
      <w:lvlJc w:val="left"/>
      <w:pPr>
        <w:ind w:left="1081" w:hanging="363"/>
        <w:jc w:val="left"/>
      </w:pPr>
      <w:rPr>
        <w:rFonts w:hint="default" w:ascii="Times New Roman" w:hAnsi="Times New Roman" w:eastAsia="Times New Roman" w:cs="Times New Roman"/>
        <w:b/>
        <w:bCs/>
        <w:w w:val="99"/>
        <w:sz w:val="22"/>
        <w:szCs w:val="22"/>
        <w:lang w:val="zh-CN" w:eastAsia="zh-CN" w:bidi="zh-CN"/>
      </w:rPr>
    </w:lvl>
    <w:lvl w:ilvl="1">
      <w:start w:val="0"/>
      <w:numFmt w:val="bullet"/>
      <w:lvlText w:val="•"/>
      <w:lvlJc w:val="left"/>
      <w:pPr>
        <w:ind w:left="1942" w:hanging="363"/>
      </w:pPr>
      <w:rPr>
        <w:rFonts w:hint="default"/>
        <w:lang w:val="zh-CN" w:eastAsia="zh-CN" w:bidi="zh-CN"/>
      </w:rPr>
    </w:lvl>
    <w:lvl w:ilvl="2">
      <w:start w:val="0"/>
      <w:numFmt w:val="bullet"/>
      <w:lvlText w:val="•"/>
      <w:lvlJc w:val="left"/>
      <w:pPr>
        <w:ind w:left="2805" w:hanging="363"/>
      </w:pPr>
      <w:rPr>
        <w:rFonts w:hint="default"/>
        <w:lang w:val="zh-CN" w:eastAsia="zh-CN" w:bidi="zh-CN"/>
      </w:rPr>
    </w:lvl>
    <w:lvl w:ilvl="3">
      <w:start w:val="0"/>
      <w:numFmt w:val="bullet"/>
      <w:lvlText w:val="•"/>
      <w:lvlJc w:val="left"/>
      <w:pPr>
        <w:ind w:left="3667" w:hanging="363"/>
      </w:pPr>
      <w:rPr>
        <w:rFonts w:hint="default"/>
        <w:lang w:val="zh-CN" w:eastAsia="zh-CN" w:bidi="zh-CN"/>
      </w:rPr>
    </w:lvl>
    <w:lvl w:ilvl="4">
      <w:start w:val="0"/>
      <w:numFmt w:val="bullet"/>
      <w:lvlText w:val="•"/>
      <w:lvlJc w:val="left"/>
      <w:pPr>
        <w:ind w:left="4530" w:hanging="363"/>
      </w:pPr>
      <w:rPr>
        <w:rFonts w:hint="default"/>
        <w:lang w:val="zh-CN" w:eastAsia="zh-CN" w:bidi="zh-CN"/>
      </w:rPr>
    </w:lvl>
    <w:lvl w:ilvl="5">
      <w:start w:val="0"/>
      <w:numFmt w:val="bullet"/>
      <w:lvlText w:val="•"/>
      <w:lvlJc w:val="left"/>
      <w:pPr>
        <w:ind w:left="5393" w:hanging="363"/>
      </w:pPr>
      <w:rPr>
        <w:rFonts w:hint="default"/>
        <w:lang w:val="zh-CN" w:eastAsia="zh-CN" w:bidi="zh-CN"/>
      </w:rPr>
    </w:lvl>
    <w:lvl w:ilvl="6">
      <w:start w:val="0"/>
      <w:numFmt w:val="bullet"/>
      <w:lvlText w:val="•"/>
      <w:lvlJc w:val="left"/>
      <w:pPr>
        <w:ind w:left="6255" w:hanging="363"/>
      </w:pPr>
      <w:rPr>
        <w:rFonts w:hint="default"/>
        <w:lang w:val="zh-CN" w:eastAsia="zh-CN" w:bidi="zh-CN"/>
      </w:rPr>
    </w:lvl>
    <w:lvl w:ilvl="7">
      <w:start w:val="0"/>
      <w:numFmt w:val="bullet"/>
      <w:lvlText w:val="•"/>
      <w:lvlJc w:val="left"/>
      <w:pPr>
        <w:ind w:left="7118" w:hanging="363"/>
      </w:pPr>
      <w:rPr>
        <w:rFonts w:hint="default"/>
        <w:lang w:val="zh-CN" w:eastAsia="zh-CN" w:bidi="zh-CN"/>
      </w:rPr>
    </w:lvl>
    <w:lvl w:ilvl="8">
      <w:start w:val="0"/>
      <w:numFmt w:val="bullet"/>
      <w:lvlText w:val="•"/>
      <w:lvlJc w:val="left"/>
      <w:pPr>
        <w:ind w:left="7981" w:hanging="363"/>
      </w:pPr>
      <w:rPr>
        <w:rFonts w:hint="default"/>
        <w:lang w:val="zh-CN" w:eastAsia="zh-CN" w:bidi="zh-CN"/>
      </w:rPr>
    </w:lvl>
  </w:abstractNum>
  <w:abstractNum w:abstractNumId="69">
    <w:multiLevelType w:val="hybridMultilevel"/>
    <w:lvl w:ilvl="0">
      <w:start w:val="5"/>
      <w:numFmt w:val="decimal"/>
      <w:lvlText w:val="%1"/>
      <w:lvlJc w:val="left"/>
      <w:pPr>
        <w:ind w:left="837" w:hanging="600"/>
        <w:jc w:val="left"/>
      </w:pPr>
      <w:rPr>
        <w:rFonts w:hint="default"/>
        <w:lang w:val="zh-CN" w:eastAsia="zh-CN" w:bidi="zh-CN"/>
      </w:rPr>
    </w:lvl>
    <w:lvl w:ilvl="1">
      <w:start w:val="2"/>
      <w:numFmt w:val="decimal"/>
      <w:lvlText w:val="%1.%2"/>
      <w:lvlJc w:val="left"/>
      <w:pPr>
        <w:ind w:left="837" w:hanging="600"/>
        <w:jc w:val="left"/>
      </w:pPr>
      <w:rPr>
        <w:rFonts w:hint="default"/>
        <w:lang w:val="zh-CN" w:eastAsia="zh-CN" w:bidi="zh-CN"/>
      </w:rPr>
    </w:lvl>
    <w:lvl w:ilvl="2">
      <w:start w:val="3"/>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23" w:hanging="604"/>
        <w:jc w:val="left"/>
      </w:pPr>
      <w:rPr>
        <w:rFonts w:hint="default"/>
        <w:b/>
        <w:bCs/>
        <w:spacing w:val="0"/>
        <w:w w:val="99"/>
        <w:lang w:val="zh-CN" w:eastAsia="zh-CN" w:bidi="zh-CN"/>
      </w:rPr>
    </w:lvl>
    <w:lvl w:ilvl="4">
      <w:start w:val="0"/>
      <w:numFmt w:val="bullet"/>
      <w:lvlText w:val="•"/>
      <w:lvlJc w:val="left"/>
      <w:pPr>
        <w:ind w:left="4115" w:hanging="604"/>
      </w:pPr>
      <w:rPr>
        <w:rFonts w:hint="default"/>
        <w:lang w:val="zh-CN" w:eastAsia="zh-CN" w:bidi="zh-CN"/>
      </w:rPr>
    </w:lvl>
    <w:lvl w:ilvl="5">
      <w:start w:val="0"/>
      <w:numFmt w:val="bullet"/>
      <w:lvlText w:val="•"/>
      <w:lvlJc w:val="left"/>
      <w:pPr>
        <w:ind w:left="5047" w:hanging="604"/>
      </w:pPr>
      <w:rPr>
        <w:rFonts w:hint="default"/>
        <w:lang w:val="zh-CN" w:eastAsia="zh-CN" w:bidi="zh-CN"/>
      </w:rPr>
    </w:lvl>
    <w:lvl w:ilvl="6">
      <w:start w:val="0"/>
      <w:numFmt w:val="bullet"/>
      <w:lvlText w:val="•"/>
      <w:lvlJc w:val="left"/>
      <w:pPr>
        <w:ind w:left="5979" w:hanging="604"/>
      </w:pPr>
      <w:rPr>
        <w:rFonts w:hint="default"/>
        <w:lang w:val="zh-CN" w:eastAsia="zh-CN" w:bidi="zh-CN"/>
      </w:rPr>
    </w:lvl>
    <w:lvl w:ilvl="7">
      <w:start w:val="0"/>
      <w:numFmt w:val="bullet"/>
      <w:lvlText w:val="•"/>
      <w:lvlJc w:val="left"/>
      <w:pPr>
        <w:ind w:left="6910" w:hanging="604"/>
      </w:pPr>
      <w:rPr>
        <w:rFonts w:hint="default"/>
        <w:lang w:val="zh-CN" w:eastAsia="zh-CN" w:bidi="zh-CN"/>
      </w:rPr>
    </w:lvl>
    <w:lvl w:ilvl="8">
      <w:start w:val="0"/>
      <w:numFmt w:val="bullet"/>
      <w:lvlText w:val="•"/>
      <w:lvlJc w:val="left"/>
      <w:pPr>
        <w:ind w:left="7842" w:hanging="604"/>
      </w:pPr>
      <w:rPr>
        <w:rFonts w:hint="default"/>
        <w:lang w:val="zh-CN" w:eastAsia="zh-CN" w:bidi="zh-CN"/>
      </w:rPr>
    </w:lvl>
  </w:abstractNum>
  <w:abstractNum w:abstractNumId="68">
    <w:multiLevelType w:val="hybridMultilevel"/>
    <w:lvl w:ilvl="0">
      <w:start w:val="1"/>
      <w:numFmt w:val="decimal"/>
      <w:lvlText w:val="（%1）"/>
      <w:lvlJc w:val="left"/>
      <w:pPr>
        <w:ind w:left="117" w:hanging="601"/>
        <w:jc w:val="left"/>
      </w:pPr>
      <w:rPr>
        <w:rFonts w:hint="default" w:ascii="宋体" w:hAnsi="宋体" w:eastAsia="宋体" w:cs="宋体"/>
        <w:spacing w:val="-8"/>
        <w:w w:val="100"/>
        <w:sz w:val="22"/>
        <w:szCs w:val="22"/>
        <w:lang w:val="zh-CN" w:eastAsia="zh-CN" w:bidi="zh-CN"/>
      </w:rPr>
    </w:lvl>
    <w:lvl w:ilvl="1">
      <w:start w:val="0"/>
      <w:numFmt w:val="bullet"/>
      <w:lvlText w:val="•"/>
      <w:lvlJc w:val="left"/>
      <w:pPr>
        <w:ind w:left="1064" w:hanging="601"/>
      </w:pPr>
      <w:rPr>
        <w:rFonts w:hint="default"/>
        <w:lang w:val="zh-CN" w:eastAsia="zh-CN" w:bidi="zh-CN"/>
      </w:rPr>
    </w:lvl>
    <w:lvl w:ilvl="2">
      <w:start w:val="0"/>
      <w:numFmt w:val="bullet"/>
      <w:lvlText w:val="•"/>
      <w:lvlJc w:val="left"/>
      <w:pPr>
        <w:ind w:left="2009" w:hanging="601"/>
      </w:pPr>
      <w:rPr>
        <w:rFonts w:hint="default"/>
        <w:lang w:val="zh-CN" w:eastAsia="zh-CN" w:bidi="zh-CN"/>
      </w:rPr>
    </w:lvl>
    <w:lvl w:ilvl="3">
      <w:start w:val="0"/>
      <w:numFmt w:val="bullet"/>
      <w:lvlText w:val="•"/>
      <w:lvlJc w:val="left"/>
      <w:pPr>
        <w:ind w:left="2953" w:hanging="601"/>
      </w:pPr>
      <w:rPr>
        <w:rFonts w:hint="default"/>
        <w:lang w:val="zh-CN" w:eastAsia="zh-CN" w:bidi="zh-CN"/>
      </w:rPr>
    </w:lvl>
    <w:lvl w:ilvl="4">
      <w:start w:val="0"/>
      <w:numFmt w:val="bullet"/>
      <w:lvlText w:val="•"/>
      <w:lvlJc w:val="left"/>
      <w:pPr>
        <w:ind w:left="3898" w:hanging="601"/>
      </w:pPr>
      <w:rPr>
        <w:rFonts w:hint="default"/>
        <w:lang w:val="zh-CN" w:eastAsia="zh-CN" w:bidi="zh-CN"/>
      </w:rPr>
    </w:lvl>
    <w:lvl w:ilvl="5">
      <w:start w:val="0"/>
      <w:numFmt w:val="bullet"/>
      <w:lvlText w:val="•"/>
      <w:lvlJc w:val="left"/>
      <w:pPr>
        <w:ind w:left="4843" w:hanging="601"/>
      </w:pPr>
      <w:rPr>
        <w:rFonts w:hint="default"/>
        <w:lang w:val="zh-CN" w:eastAsia="zh-CN" w:bidi="zh-CN"/>
      </w:rPr>
    </w:lvl>
    <w:lvl w:ilvl="6">
      <w:start w:val="0"/>
      <w:numFmt w:val="bullet"/>
      <w:lvlText w:val="•"/>
      <w:lvlJc w:val="left"/>
      <w:pPr>
        <w:ind w:left="5787" w:hanging="601"/>
      </w:pPr>
      <w:rPr>
        <w:rFonts w:hint="default"/>
        <w:lang w:val="zh-CN" w:eastAsia="zh-CN" w:bidi="zh-CN"/>
      </w:rPr>
    </w:lvl>
    <w:lvl w:ilvl="7">
      <w:start w:val="0"/>
      <w:numFmt w:val="bullet"/>
      <w:lvlText w:val="•"/>
      <w:lvlJc w:val="left"/>
      <w:pPr>
        <w:ind w:left="6732" w:hanging="601"/>
      </w:pPr>
      <w:rPr>
        <w:rFonts w:hint="default"/>
        <w:lang w:val="zh-CN" w:eastAsia="zh-CN" w:bidi="zh-CN"/>
      </w:rPr>
    </w:lvl>
    <w:lvl w:ilvl="8">
      <w:start w:val="0"/>
      <w:numFmt w:val="bullet"/>
      <w:lvlText w:val="•"/>
      <w:lvlJc w:val="left"/>
      <w:pPr>
        <w:ind w:left="7677" w:hanging="601"/>
      </w:pPr>
      <w:rPr>
        <w:rFonts w:hint="default"/>
        <w:lang w:val="zh-CN" w:eastAsia="zh-CN" w:bidi="zh-CN"/>
      </w:rPr>
    </w:lvl>
  </w:abstractNum>
  <w:abstractNum w:abstractNumId="67">
    <w:multiLevelType w:val="hybridMultilevel"/>
    <w:lvl w:ilvl="0">
      <w:start w:val="1"/>
      <w:numFmt w:val="decimal"/>
      <w:lvlText w:val="（%1）"/>
      <w:lvlJc w:val="left"/>
      <w:pPr>
        <w:ind w:left="119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036" w:hanging="601"/>
      </w:pPr>
      <w:rPr>
        <w:rFonts w:hint="default"/>
        <w:lang w:val="zh-CN" w:eastAsia="zh-CN" w:bidi="zh-CN"/>
      </w:rPr>
    </w:lvl>
    <w:lvl w:ilvl="2">
      <w:start w:val="0"/>
      <w:numFmt w:val="bullet"/>
      <w:lvlText w:val="•"/>
      <w:lvlJc w:val="left"/>
      <w:pPr>
        <w:ind w:left="2873" w:hanging="601"/>
      </w:pPr>
      <w:rPr>
        <w:rFonts w:hint="default"/>
        <w:lang w:val="zh-CN" w:eastAsia="zh-CN" w:bidi="zh-CN"/>
      </w:rPr>
    </w:lvl>
    <w:lvl w:ilvl="3">
      <w:start w:val="0"/>
      <w:numFmt w:val="bullet"/>
      <w:lvlText w:val="•"/>
      <w:lvlJc w:val="left"/>
      <w:pPr>
        <w:ind w:left="3709" w:hanging="601"/>
      </w:pPr>
      <w:rPr>
        <w:rFonts w:hint="default"/>
        <w:lang w:val="zh-CN" w:eastAsia="zh-CN" w:bidi="zh-CN"/>
      </w:rPr>
    </w:lvl>
    <w:lvl w:ilvl="4">
      <w:start w:val="0"/>
      <w:numFmt w:val="bullet"/>
      <w:lvlText w:val="•"/>
      <w:lvlJc w:val="left"/>
      <w:pPr>
        <w:ind w:left="4546" w:hanging="601"/>
      </w:pPr>
      <w:rPr>
        <w:rFonts w:hint="default"/>
        <w:lang w:val="zh-CN" w:eastAsia="zh-CN" w:bidi="zh-CN"/>
      </w:rPr>
    </w:lvl>
    <w:lvl w:ilvl="5">
      <w:start w:val="0"/>
      <w:numFmt w:val="bullet"/>
      <w:lvlText w:val="•"/>
      <w:lvlJc w:val="left"/>
      <w:pPr>
        <w:ind w:left="5383" w:hanging="601"/>
      </w:pPr>
      <w:rPr>
        <w:rFonts w:hint="default"/>
        <w:lang w:val="zh-CN" w:eastAsia="zh-CN" w:bidi="zh-CN"/>
      </w:rPr>
    </w:lvl>
    <w:lvl w:ilvl="6">
      <w:start w:val="0"/>
      <w:numFmt w:val="bullet"/>
      <w:lvlText w:val="•"/>
      <w:lvlJc w:val="left"/>
      <w:pPr>
        <w:ind w:left="6219" w:hanging="601"/>
      </w:pPr>
      <w:rPr>
        <w:rFonts w:hint="default"/>
        <w:lang w:val="zh-CN" w:eastAsia="zh-CN" w:bidi="zh-CN"/>
      </w:rPr>
    </w:lvl>
    <w:lvl w:ilvl="7">
      <w:start w:val="0"/>
      <w:numFmt w:val="bullet"/>
      <w:lvlText w:val="•"/>
      <w:lvlJc w:val="left"/>
      <w:pPr>
        <w:ind w:left="7056" w:hanging="601"/>
      </w:pPr>
      <w:rPr>
        <w:rFonts w:hint="default"/>
        <w:lang w:val="zh-CN" w:eastAsia="zh-CN" w:bidi="zh-CN"/>
      </w:rPr>
    </w:lvl>
    <w:lvl w:ilvl="8">
      <w:start w:val="0"/>
      <w:numFmt w:val="bullet"/>
      <w:lvlText w:val="•"/>
      <w:lvlJc w:val="left"/>
      <w:pPr>
        <w:ind w:left="7893" w:hanging="601"/>
      </w:pPr>
      <w:rPr>
        <w:rFonts w:hint="default"/>
        <w:lang w:val="zh-CN" w:eastAsia="zh-CN" w:bidi="zh-CN"/>
      </w:rPr>
    </w:lvl>
  </w:abstractNum>
  <w:abstractNum w:abstractNumId="66">
    <w:multiLevelType w:val="hybridMultilevel"/>
    <w:lvl w:ilvl="0">
      <w:start w:val="3"/>
      <w:numFmt w:val="decimal"/>
      <w:lvlText w:val="（%1）"/>
      <w:lvlJc w:val="left"/>
      <w:pPr>
        <w:ind w:left="117" w:hanging="601"/>
        <w:jc w:val="left"/>
      </w:pPr>
      <w:rPr>
        <w:rFonts w:hint="default" w:ascii="宋体" w:hAnsi="宋体" w:eastAsia="宋体" w:cs="宋体"/>
        <w:spacing w:val="-60"/>
        <w:w w:val="100"/>
        <w:position w:val="2"/>
        <w:sz w:val="22"/>
        <w:szCs w:val="22"/>
        <w:lang w:val="zh-CN" w:eastAsia="zh-CN" w:bidi="zh-CN"/>
      </w:rPr>
    </w:lvl>
    <w:lvl w:ilvl="1">
      <w:start w:val="0"/>
      <w:numFmt w:val="bullet"/>
      <w:lvlText w:val="•"/>
      <w:lvlJc w:val="left"/>
      <w:pPr>
        <w:ind w:left="1064" w:hanging="601"/>
      </w:pPr>
      <w:rPr>
        <w:rFonts w:hint="default"/>
        <w:lang w:val="zh-CN" w:eastAsia="zh-CN" w:bidi="zh-CN"/>
      </w:rPr>
    </w:lvl>
    <w:lvl w:ilvl="2">
      <w:start w:val="0"/>
      <w:numFmt w:val="bullet"/>
      <w:lvlText w:val="•"/>
      <w:lvlJc w:val="left"/>
      <w:pPr>
        <w:ind w:left="2009" w:hanging="601"/>
      </w:pPr>
      <w:rPr>
        <w:rFonts w:hint="default"/>
        <w:lang w:val="zh-CN" w:eastAsia="zh-CN" w:bidi="zh-CN"/>
      </w:rPr>
    </w:lvl>
    <w:lvl w:ilvl="3">
      <w:start w:val="0"/>
      <w:numFmt w:val="bullet"/>
      <w:lvlText w:val="•"/>
      <w:lvlJc w:val="left"/>
      <w:pPr>
        <w:ind w:left="2953" w:hanging="601"/>
      </w:pPr>
      <w:rPr>
        <w:rFonts w:hint="default"/>
        <w:lang w:val="zh-CN" w:eastAsia="zh-CN" w:bidi="zh-CN"/>
      </w:rPr>
    </w:lvl>
    <w:lvl w:ilvl="4">
      <w:start w:val="0"/>
      <w:numFmt w:val="bullet"/>
      <w:lvlText w:val="•"/>
      <w:lvlJc w:val="left"/>
      <w:pPr>
        <w:ind w:left="3898" w:hanging="601"/>
      </w:pPr>
      <w:rPr>
        <w:rFonts w:hint="default"/>
        <w:lang w:val="zh-CN" w:eastAsia="zh-CN" w:bidi="zh-CN"/>
      </w:rPr>
    </w:lvl>
    <w:lvl w:ilvl="5">
      <w:start w:val="0"/>
      <w:numFmt w:val="bullet"/>
      <w:lvlText w:val="•"/>
      <w:lvlJc w:val="left"/>
      <w:pPr>
        <w:ind w:left="4843" w:hanging="601"/>
      </w:pPr>
      <w:rPr>
        <w:rFonts w:hint="default"/>
        <w:lang w:val="zh-CN" w:eastAsia="zh-CN" w:bidi="zh-CN"/>
      </w:rPr>
    </w:lvl>
    <w:lvl w:ilvl="6">
      <w:start w:val="0"/>
      <w:numFmt w:val="bullet"/>
      <w:lvlText w:val="•"/>
      <w:lvlJc w:val="left"/>
      <w:pPr>
        <w:ind w:left="5787" w:hanging="601"/>
      </w:pPr>
      <w:rPr>
        <w:rFonts w:hint="default"/>
        <w:lang w:val="zh-CN" w:eastAsia="zh-CN" w:bidi="zh-CN"/>
      </w:rPr>
    </w:lvl>
    <w:lvl w:ilvl="7">
      <w:start w:val="0"/>
      <w:numFmt w:val="bullet"/>
      <w:lvlText w:val="•"/>
      <w:lvlJc w:val="left"/>
      <w:pPr>
        <w:ind w:left="6732" w:hanging="601"/>
      </w:pPr>
      <w:rPr>
        <w:rFonts w:hint="default"/>
        <w:lang w:val="zh-CN" w:eastAsia="zh-CN" w:bidi="zh-CN"/>
      </w:rPr>
    </w:lvl>
    <w:lvl w:ilvl="8">
      <w:start w:val="0"/>
      <w:numFmt w:val="bullet"/>
      <w:lvlText w:val="•"/>
      <w:lvlJc w:val="left"/>
      <w:pPr>
        <w:ind w:left="7677" w:hanging="601"/>
      </w:pPr>
      <w:rPr>
        <w:rFonts w:hint="default"/>
        <w:lang w:val="zh-CN" w:eastAsia="zh-CN" w:bidi="zh-CN"/>
      </w:rPr>
    </w:lvl>
  </w:abstractNum>
  <w:abstractNum w:abstractNumId="65">
    <w:multiLevelType w:val="hybridMultilevel"/>
    <w:lvl w:ilvl="0">
      <w:start w:val="1"/>
      <w:numFmt w:val="decimal"/>
      <w:lvlText w:val="%1）"/>
      <w:lvlJc w:val="left"/>
      <w:pPr>
        <w:ind w:left="958" w:hanging="361"/>
        <w:jc w:val="left"/>
      </w:pPr>
      <w:rPr>
        <w:rFonts w:hint="default" w:ascii="Times New Roman" w:hAnsi="Times New Roman" w:eastAsia="Times New Roman" w:cs="Times New Roman"/>
        <w:w w:val="100"/>
        <w:sz w:val="22"/>
        <w:szCs w:val="22"/>
        <w:lang w:val="zh-CN" w:eastAsia="zh-CN" w:bidi="zh-CN"/>
      </w:rPr>
    </w:lvl>
    <w:lvl w:ilvl="1">
      <w:start w:val="0"/>
      <w:numFmt w:val="bullet"/>
      <w:lvlText w:val="•"/>
      <w:lvlJc w:val="left"/>
      <w:pPr>
        <w:ind w:left="1820" w:hanging="361"/>
      </w:pPr>
      <w:rPr>
        <w:rFonts w:hint="default"/>
        <w:lang w:val="zh-CN" w:eastAsia="zh-CN" w:bidi="zh-CN"/>
      </w:rPr>
    </w:lvl>
    <w:lvl w:ilvl="2">
      <w:start w:val="0"/>
      <w:numFmt w:val="bullet"/>
      <w:lvlText w:val="•"/>
      <w:lvlJc w:val="left"/>
      <w:pPr>
        <w:ind w:left="2681" w:hanging="361"/>
      </w:pPr>
      <w:rPr>
        <w:rFonts w:hint="default"/>
        <w:lang w:val="zh-CN" w:eastAsia="zh-CN" w:bidi="zh-CN"/>
      </w:rPr>
    </w:lvl>
    <w:lvl w:ilvl="3">
      <w:start w:val="0"/>
      <w:numFmt w:val="bullet"/>
      <w:lvlText w:val="•"/>
      <w:lvlJc w:val="left"/>
      <w:pPr>
        <w:ind w:left="3541" w:hanging="361"/>
      </w:pPr>
      <w:rPr>
        <w:rFonts w:hint="default"/>
        <w:lang w:val="zh-CN" w:eastAsia="zh-CN" w:bidi="zh-CN"/>
      </w:rPr>
    </w:lvl>
    <w:lvl w:ilvl="4">
      <w:start w:val="0"/>
      <w:numFmt w:val="bullet"/>
      <w:lvlText w:val="•"/>
      <w:lvlJc w:val="left"/>
      <w:pPr>
        <w:ind w:left="4402" w:hanging="361"/>
      </w:pPr>
      <w:rPr>
        <w:rFonts w:hint="default"/>
        <w:lang w:val="zh-CN" w:eastAsia="zh-CN" w:bidi="zh-CN"/>
      </w:rPr>
    </w:lvl>
    <w:lvl w:ilvl="5">
      <w:start w:val="0"/>
      <w:numFmt w:val="bullet"/>
      <w:lvlText w:val="•"/>
      <w:lvlJc w:val="left"/>
      <w:pPr>
        <w:ind w:left="5263" w:hanging="361"/>
      </w:pPr>
      <w:rPr>
        <w:rFonts w:hint="default"/>
        <w:lang w:val="zh-CN" w:eastAsia="zh-CN" w:bidi="zh-CN"/>
      </w:rPr>
    </w:lvl>
    <w:lvl w:ilvl="6">
      <w:start w:val="0"/>
      <w:numFmt w:val="bullet"/>
      <w:lvlText w:val="•"/>
      <w:lvlJc w:val="left"/>
      <w:pPr>
        <w:ind w:left="6123" w:hanging="361"/>
      </w:pPr>
      <w:rPr>
        <w:rFonts w:hint="default"/>
        <w:lang w:val="zh-CN" w:eastAsia="zh-CN" w:bidi="zh-CN"/>
      </w:rPr>
    </w:lvl>
    <w:lvl w:ilvl="7">
      <w:start w:val="0"/>
      <w:numFmt w:val="bullet"/>
      <w:lvlText w:val="•"/>
      <w:lvlJc w:val="left"/>
      <w:pPr>
        <w:ind w:left="6984" w:hanging="361"/>
      </w:pPr>
      <w:rPr>
        <w:rFonts w:hint="default"/>
        <w:lang w:val="zh-CN" w:eastAsia="zh-CN" w:bidi="zh-CN"/>
      </w:rPr>
    </w:lvl>
    <w:lvl w:ilvl="8">
      <w:start w:val="0"/>
      <w:numFmt w:val="bullet"/>
      <w:lvlText w:val="•"/>
      <w:lvlJc w:val="left"/>
      <w:pPr>
        <w:ind w:left="7845" w:hanging="361"/>
      </w:pPr>
      <w:rPr>
        <w:rFonts w:hint="default"/>
        <w:lang w:val="zh-CN" w:eastAsia="zh-CN" w:bidi="zh-CN"/>
      </w:rPr>
    </w:lvl>
  </w:abstractNum>
  <w:abstractNum w:abstractNumId="64">
    <w:multiLevelType w:val="hybridMultilevel"/>
    <w:lvl w:ilvl="0">
      <w:start w:val="1"/>
      <w:numFmt w:val="decimal"/>
      <w:lvlText w:val="（%1）"/>
      <w:lvlJc w:val="left"/>
      <w:pPr>
        <w:ind w:left="120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036" w:hanging="604"/>
      </w:pPr>
      <w:rPr>
        <w:rFonts w:hint="default"/>
        <w:lang w:val="zh-CN" w:eastAsia="zh-CN" w:bidi="zh-CN"/>
      </w:rPr>
    </w:lvl>
    <w:lvl w:ilvl="2">
      <w:start w:val="0"/>
      <w:numFmt w:val="bullet"/>
      <w:lvlText w:val="•"/>
      <w:lvlJc w:val="left"/>
      <w:pPr>
        <w:ind w:left="2873" w:hanging="604"/>
      </w:pPr>
      <w:rPr>
        <w:rFonts w:hint="default"/>
        <w:lang w:val="zh-CN" w:eastAsia="zh-CN" w:bidi="zh-CN"/>
      </w:rPr>
    </w:lvl>
    <w:lvl w:ilvl="3">
      <w:start w:val="0"/>
      <w:numFmt w:val="bullet"/>
      <w:lvlText w:val="•"/>
      <w:lvlJc w:val="left"/>
      <w:pPr>
        <w:ind w:left="3709" w:hanging="604"/>
      </w:pPr>
      <w:rPr>
        <w:rFonts w:hint="default"/>
        <w:lang w:val="zh-CN" w:eastAsia="zh-CN" w:bidi="zh-CN"/>
      </w:rPr>
    </w:lvl>
    <w:lvl w:ilvl="4">
      <w:start w:val="0"/>
      <w:numFmt w:val="bullet"/>
      <w:lvlText w:val="•"/>
      <w:lvlJc w:val="left"/>
      <w:pPr>
        <w:ind w:left="4546" w:hanging="604"/>
      </w:pPr>
      <w:rPr>
        <w:rFonts w:hint="default"/>
        <w:lang w:val="zh-CN" w:eastAsia="zh-CN" w:bidi="zh-CN"/>
      </w:rPr>
    </w:lvl>
    <w:lvl w:ilvl="5">
      <w:start w:val="0"/>
      <w:numFmt w:val="bullet"/>
      <w:lvlText w:val="•"/>
      <w:lvlJc w:val="left"/>
      <w:pPr>
        <w:ind w:left="5383" w:hanging="604"/>
      </w:pPr>
      <w:rPr>
        <w:rFonts w:hint="default"/>
        <w:lang w:val="zh-CN" w:eastAsia="zh-CN" w:bidi="zh-CN"/>
      </w:rPr>
    </w:lvl>
    <w:lvl w:ilvl="6">
      <w:start w:val="0"/>
      <w:numFmt w:val="bullet"/>
      <w:lvlText w:val="•"/>
      <w:lvlJc w:val="left"/>
      <w:pPr>
        <w:ind w:left="6219" w:hanging="604"/>
      </w:pPr>
      <w:rPr>
        <w:rFonts w:hint="default"/>
        <w:lang w:val="zh-CN" w:eastAsia="zh-CN" w:bidi="zh-CN"/>
      </w:rPr>
    </w:lvl>
    <w:lvl w:ilvl="7">
      <w:start w:val="0"/>
      <w:numFmt w:val="bullet"/>
      <w:lvlText w:val="•"/>
      <w:lvlJc w:val="left"/>
      <w:pPr>
        <w:ind w:left="7056" w:hanging="604"/>
      </w:pPr>
      <w:rPr>
        <w:rFonts w:hint="default"/>
        <w:lang w:val="zh-CN" w:eastAsia="zh-CN" w:bidi="zh-CN"/>
      </w:rPr>
    </w:lvl>
    <w:lvl w:ilvl="8">
      <w:start w:val="0"/>
      <w:numFmt w:val="bullet"/>
      <w:lvlText w:val="•"/>
      <w:lvlJc w:val="left"/>
      <w:pPr>
        <w:ind w:left="7893" w:hanging="604"/>
      </w:pPr>
      <w:rPr>
        <w:rFonts w:hint="default"/>
        <w:lang w:val="zh-CN" w:eastAsia="zh-CN" w:bidi="zh-CN"/>
      </w:rPr>
    </w:lvl>
  </w:abstractNum>
  <w:abstractNum w:abstractNumId="63">
    <w:multiLevelType w:val="hybridMultilevel"/>
    <w:lvl w:ilvl="0">
      <w:start w:val="5"/>
      <w:numFmt w:val="decimal"/>
      <w:lvlText w:val="%1"/>
      <w:lvlJc w:val="left"/>
      <w:pPr>
        <w:ind w:left="729" w:hanging="492"/>
        <w:jc w:val="left"/>
      </w:pPr>
      <w:rPr>
        <w:rFonts w:hint="default"/>
        <w:lang w:val="zh-CN" w:eastAsia="zh-CN" w:bidi="zh-CN"/>
      </w:rPr>
    </w:lvl>
    <w:lvl w:ilvl="1">
      <w:start w:val="2"/>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righ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18" w:hanging="601"/>
        <w:jc w:val="left"/>
      </w:pPr>
      <w:rPr>
        <w:rFonts w:hint="default"/>
        <w:spacing w:val="-1"/>
        <w:w w:val="100"/>
        <w:lang w:val="zh-CN" w:eastAsia="zh-CN" w:bidi="zh-CN"/>
      </w:rPr>
    </w:lvl>
    <w:lvl w:ilvl="4">
      <w:start w:val="0"/>
      <w:numFmt w:val="bullet"/>
      <w:lvlText w:val="•"/>
      <w:lvlJc w:val="left"/>
      <w:pPr>
        <w:ind w:left="3416" w:hanging="601"/>
      </w:pPr>
      <w:rPr>
        <w:rFonts w:hint="default"/>
        <w:lang w:val="zh-CN" w:eastAsia="zh-CN" w:bidi="zh-CN"/>
      </w:rPr>
    </w:lvl>
    <w:lvl w:ilvl="5">
      <w:start w:val="0"/>
      <w:numFmt w:val="bullet"/>
      <w:lvlText w:val="•"/>
      <w:lvlJc w:val="left"/>
      <w:pPr>
        <w:ind w:left="4464" w:hanging="601"/>
      </w:pPr>
      <w:rPr>
        <w:rFonts w:hint="default"/>
        <w:lang w:val="zh-CN" w:eastAsia="zh-CN" w:bidi="zh-CN"/>
      </w:rPr>
    </w:lvl>
    <w:lvl w:ilvl="6">
      <w:start w:val="0"/>
      <w:numFmt w:val="bullet"/>
      <w:lvlText w:val="•"/>
      <w:lvlJc w:val="left"/>
      <w:pPr>
        <w:ind w:left="5513" w:hanging="601"/>
      </w:pPr>
      <w:rPr>
        <w:rFonts w:hint="default"/>
        <w:lang w:val="zh-CN" w:eastAsia="zh-CN" w:bidi="zh-CN"/>
      </w:rPr>
    </w:lvl>
    <w:lvl w:ilvl="7">
      <w:start w:val="0"/>
      <w:numFmt w:val="bullet"/>
      <w:lvlText w:val="•"/>
      <w:lvlJc w:val="left"/>
      <w:pPr>
        <w:ind w:left="6561" w:hanging="601"/>
      </w:pPr>
      <w:rPr>
        <w:rFonts w:hint="default"/>
        <w:lang w:val="zh-CN" w:eastAsia="zh-CN" w:bidi="zh-CN"/>
      </w:rPr>
    </w:lvl>
    <w:lvl w:ilvl="8">
      <w:start w:val="0"/>
      <w:numFmt w:val="bullet"/>
      <w:lvlText w:val="•"/>
      <w:lvlJc w:val="left"/>
      <w:pPr>
        <w:ind w:left="7609" w:hanging="601"/>
      </w:pPr>
      <w:rPr>
        <w:rFonts w:hint="default"/>
        <w:lang w:val="zh-CN" w:eastAsia="zh-CN" w:bidi="zh-CN"/>
      </w:rPr>
    </w:lvl>
  </w:abstractNum>
  <w:abstractNum w:abstractNumId="62">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61">
    <w:multiLevelType w:val="hybridMultilevel"/>
    <w:lvl w:ilvl="0">
      <w:start w:val="1"/>
      <w:numFmt w:val="decimal"/>
      <w:lvlText w:val="（%1）"/>
      <w:lvlJc w:val="left"/>
      <w:pPr>
        <w:ind w:left="237" w:hanging="601"/>
        <w:jc w:val="left"/>
      </w:pPr>
      <w:rPr>
        <w:rFonts w:hint="default" w:ascii="宋体" w:hAnsi="宋体" w:eastAsia="宋体" w:cs="宋体"/>
        <w:spacing w:val="-8"/>
        <w:w w:val="100"/>
        <w:sz w:val="22"/>
        <w:szCs w:val="22"/>
        <w:lang w:val="zh-CN" w:eastAsia="zh-CN" w:bidi="zh-CN"/>
      </w:rPr>
    </w:lvl>
    <w:lvl w:ilvl="1">
      <w:start w:val="0"/>
      <w:numFmt w:val="bullet"/>
      <w:lvlText w:val="•"/>
      <w:lvlJc w:val="left"/>
      <w:pPr>
        <w:ind w:left="1186" w:hanging="601"/>
      </w:pPr>
      <w:rPr>
        <w:rFonts w:hint="default"/>
        <w:lang w:val="zh-CN" w:eastAsia="zh-CN" w:bidi="zh-CN"/>
      </w:rPr>
    </w:lvl>
    <w:lvl w:ilvl="2">
      <w:start w:val="0"/>
      <w:numFmt w:val="bullet"/>
      <w:lvlText w:val="•"/>
      <w:lvlJc w:val="left"/>
      <w:pPr>
        <w:ind w:left="2133" w:hanging="601"/>
      </w:pPr>
      <w:rPr>
        <w:rFonts w:hint="default"/>
        <w:lang w:val="zh-CN" w:eastAsia="zh-CN" w:bidi="zh-CN"/>
      </w:rPr>
    </w:lvl>
    <w:lvl w:ilvl="3">
      <w:start w:val="0"/>
      <w:numFmt w:val="bullet"/>
      <w:lvlText w:val="•"/>
      <w:lvlJc w:val="left"/>
      <w:pPr>
        <w:ind w:left="3079" w:hanging="601"/>
      </w:pPr>
      <w:rPr>
        <w:rFonts w:hint="default"/>
        <w:lang w:val="zh-CN" w:eastAsia="zh-CN" w:bidi="zh-CN"/>
      </w:rPr>
    </w:lvl>
    <w:lvl w:ilvl="4">
      <w:start w:val="0"/>
      <w:numFmt w:val="bullet"/>
      <w:lvlText w:val="•"/>
      <w:lvlJc w:val="left"/>
      <w:pPr>
        <w:ind w:left="4026" w:hanging="601"/>
      </w:pPr>
      <w:rPr>
        <w:rFonts w:hint="default"/>
        <w:lang w:val="zh-CN" w:eastAsia="zh-CN" w:bidi="zh-CN"/>
      </w:rPr>
    </w:lvl>
    <w:lvl w:ilvl="5">
      <w:start w:val="0"/>
      <w:numFmt w:val="bullet"/>
      <w:lvlText w:val="•"/>
      <w:lvlJc w:val="left"/>
      <w:pPr>
        <w:ind w:left="4973" w:hanging="601"/>
      </w:pPr>
      <w:rPr>
        <w:rFonts w:hint="default"/>
        <w:lang w:val="zh-CN" w:eastAsia="zh-CN" w:bidi="zh-CN"/>
      </w:rPr>
    </w:lvl>
    <w:lvl w:ilvl="6">
      <w:start w:val="0"/>
      <w:numFmt w:val="bullet"/>
      <w:lvlText w:val="•"/>
      <w:lvlJc w:val="left"/>
      <w:pPr>
        <w:ind w:left="5919" w:hanging="601"/>
      </w:pPr>
      <w:rPr>
        <w:rFonts w:hint="default"/>
        <w:lang w:val="zh-CN" w:eastAsia="zh-CN" w:bidi="zh-CN"/>
      </w:rPr>
    </w:lvl>
    <w:lvl w:ilvl="7">
      <w:start w:val="0"/>
      <w:numFmt w:val="bullet"/>
      <w:lvlText w:val="•"/>
      <w:lvlJc w:val="left"/>
      <w:pPr>
        <w:ind w:left="6866" w:hanging="601"/>
      </w:pPr>
      <w:rPr>
        <w:rFonts w:hint="default"/>
        <w:lang w:val="zh-CN" w:eastAsia="zh-CN" w:bidi="zh-CN"/>
      </w:rPr>
    </w:lvl>
    <w:lvl w:ilvl="8">
      <w:start w:val="0"/>
      <w:numFmt w:val="bullet"/>
      <w:lvlText w:val="•"/>
      <w:lvlJc w:val="left"/>
      <w:pPr>
        <w:ind w:left="7813" w:hanging="601"/>
      </w:pPr>
      <w:rPr>
        <w:rFonts w:hint="default"/>
        <w:lang w:val="zh-CN" w:eastAsia="zh-CN" w:bidi="zh-CN"/>
      </w:rPr>
    </w:lvl>
  </w:abstractNum>
  <w:abstractNum w:abstractNumId="60">
    <w:multiLevelType w:val="hybridMultilevel"/>
    <w:lvl w:ilvl="0">
      <w:start w:val="5"/>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18" w:hanging="601"/>
        <w:jc w:val="left"/>
      </w:pPr>
      <w:rPr>
        <w:rFonts w:hint="default" w:ascii="宋体" w:hAnsi="宋体" w:eastAsia="宋体" w:cs="宋体"/>
        <w:spacing w:val="-1"/>
        <w:w w:val="100"/>
        <w:sz w:val="22"/>
        <w:szCs w:val="22"/>
        <w:lang w:val="zh-CN" w:eastAsia="zh-CN" w:bidi="zh-CN"/>
      </w:rPr>
    </w:lvl>
    <w:lvl w:ilvl="4">
      <w:start w:val="0"/>
      <w:numFmt w:val="bullet"/>
      <w:lvlText w:val="•"/>
      <w:lvlJc w:val="left"/>
      <w:pPr>
        <w:ind w:left="3416" w:hanging="601"/>
      </w:pPr>
      <w:rPr>
        <w:rFonts w:hint="default"/>
        <w:lang w:val="zh-CN" w:eastAsia="zh-CN" w:bidi="zh-CN"/>
      </w:rPr>
    </w:lvl>
    <w:lvl w:ilvl="5">
      <w:start w:val="0"/>
      <w:numFmt w:val="bullet"/>
      <w:lvlText w:val="•"/>
      <w:lvlJc w:val="left"/>
      <w:pPr>
        <w:ind w:left="4464" w:hanging="601"/>
      </w:pPr>
      <w:rPr>
        <w:rFonts w:hint="default"/>
        <w:lang w:val="zh-CN" w:eastAsia="zh-CN" w:bidi="zh-CN"/>
      </w:rPr>
    </w:lvl>
    <w:lvl w:ilvl="6">
      <w:start w:val="0"/>
      <w:numFmt w:val="bullet"/>
      <w:lvlText w:val="•"/>
      <w:lvlJc w:val="left"/>
      <w:pPr>
        <w:ind w:left="5513" w:hanging="601"/>
      </w:pPr>
      <w:rPr>
        <w:rFonts w:hint="default"/>
        <w:lang w:val="zh-CN" w:eastAsia="zh-CN" w:bidi="zh-CN"/>
      </w:rPr>
    </w:lvl>
    <w:lvl w:ilvl="7">
      <w:start w:val="0"/>
      <w:numFmt w:val="bullet"/>
      <w:lvlText w:val="•"/>
      <w:lvlJc w:val="left"/>
      <w:pPr>
        <w:ind w:left="6561" w:hanging="601"/>
      </w:pPr>
      <w:rPr>
        <w:rFonts w:hint="default"/>
        <w:lang w:val="zh-CN" w:eastAsia="zh-CN" w:bidi="zh-CN"/>
      </w:rPr>
    </w:lvl>
    <w:lvl w:ilvl="8">
      <w:start w:val="0"/>
      <w:numFmt w:val="bullet"/>
      <w:lvlText w:val="•"/>
      <w:lvlJc w:val="left"/>
      <w:pPr>
        <w:ind w:left="7609" w:hanging="601"/>
      </w:pPr>
      <w:rPr>
        <w:rFonts w:hint="default"/>
        <w:lang w:val="zh-CN" w:eastAsia="zh-CN" w:bidi="zh-CN"/>
      </w:rPr>
    </w:lvl>
  </w:abstractNum>
  <w:abstractNum w:abstractNumId="59">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58">
    <w:multiLevelType w:val="hybridMultilevel"/>
    <w:lvl w:ilvl="0">
      <w:start w:val="1"/>
      <w:numFmt w:val="decimal"/>
      <w:lvlText w:val="（%1）"/>
      <w:lvlJc w:val="left"/>
      <w:pPr>
        <w:ind w:left="12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056" w:hanging="604"/>
      </w:pPr>
      <w:rPr>
        <w:rFonts w:hint="default"/>
        <w:lang w:val="zh-CN" w:eastAsia="zh-CN" w:bidi="zh-CN"/>
      </w:rPr>
    </w:lvl>
    <w:lvl w:ilvl="2">
      <w:start w:val="0"/>
      <w:numFmt w:val="bullet"/>
      <w:lvlText w:val="•"/>
      <w:lvlJc w:val="left"/>
      <w:pPr>
        <w:ind w:left="2893" w:hanging="604"/>
      </w:pPr>
      <w:rPr>
        <w:rFonts w:hint="default"/>
        <w:lang w:val="zh-CN" w:eastAsia="zh-CN" w:bidi="zh-CN"/>
      </w:rPr>
    </w:lvl>
    <w:lvl w:ilvl="3">
      <w:start w:val="0"/>
      <w:numFmt w:val="bullet"/>
      <w:lvlText w:val="•"/>
      <w:lvlJc w:val="left"/>
      <w:pPr>
        <w:ind w:left="3729" w:hanging="604"/>
      </w:pPr>
      <w:rPr>
        <w:rFonts w:hint="default"/>
        <w:lang w:val="zh-CN" w:eastAsia="zh-CN" w:bidi="zh-CN"/>
      </w:rPr>
    </w:lvl>
    <w:lvl w:ilvl="4">
      <w:start w:val="0"/>
      <w:numFmt w:val="bullet"/>
      <w:lvlText w:val="•"/>
      <w:lvlJc w:val="left"/>
      <w:pPr>
        <w:ind w:left="4566" w:hanging="604"/>
      </w:pPr>
      <w:rPr>
        <w:rFonts w:hint="default"/>
        <w:lang w:val="zh-CN" w:eastAsia="zh-CN" w:bidi="zh-CN"/>
      </w:rPr>
    </w:lvl>
    <w:lvl w:ilvl="5">
      <w:start w:val="0"/>
      <w:numFmt w:val="bullet"/>
      <w:lvlText w:val="•"/>
      <w:lvlJc w:val="left"/>
      <w:pPr>
        <w:ind w:left="5403" w:hanging="604"/>
      </w:pPr>
      <w:rPr>
        <w:rFonts w:hint="default"/>
        <w:lang w:val="zh-CN" w:eastAsia="zh-CN" w:bidi="zh-CN"/>
      </w:rPr>
    </w:lvl>
    <w:lvl w:ilvl="6">
      <w:start w:val="0"/>
      <w:numFmt w:val="bullet"/>
      <w:lvlText w:val="•"/>
      <w:lvlJc w:val="left"/>
      <w:pPr>
        <w:ind w:left="6239" w:hanging="604"/>
      </w:pPr>
      <w:rPr>
        <w:rFonts w:hint="default"/>
        <w:lang w:val="zh-CN" w:eastAsia="zh-CN" w:bidi="zh-CN"/>
      </w:rPr>
    </w:lvl>
    <w:lvl w:ilvl="7">
      <w:start w:val="0"/>
      <w:numFmt w:val="bullet"/>
      <w:lvlText w:val="•"/>
      <w:lvlJc w:val="left"/>
      <w:pPr>
        <w:ind w:left="7076" w:hanging="604"/>
      </w:pPr>
      <w:rPr>
        <w:rFonts w:hint="default"/>
        <w:lang w:val="zh-CN" w:eastAsia="zh-CN" w:bidi="zh-CN"/>
      </w:rPr>
    </w:lvl>
    <w:lvl w:ilvl="8">
      <w:start w:val="0"/>
      <w:numFmt w:val="bullet"/>
      <w:lvlText w:val="•"/>
      <w:lvlJc w:val="left"/>
      <w:pPr>
        <w:ind w:left="7913" w:hanging="604"/>
      </w:pPr>
      <w:rPr>
        <w:rFonts w:hint="default"/>
        <w:lang w:val="zh-CN" w:eastAsia="zh-CN" w:bidi="zh-CN"/>
      </w:rPr>
    </w:lvl>
  </w:abstractNum>
  <w:abstractNum w:abstractNumId="57">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56">
    <w:multiLevelType w:val="hybridMultilevel"/>
    <w:lvl w:ilvl="0">
      <w:start w:val="0"/>
      <w:numFmt w:val="bullet"/>
      <w:lvlText w:val=""/>
      <w:lvlJc w:val="left"/>
      <w:pPr>
        <w:ind w:left="212" w:hanging="167"/>
      </w:pPr>
      <w:rPr>
        <w:rFonts w:hint="default" w:ascii="Symbol" w:hAnsi="Symbol" w:eastAsia="Symbol" w:cs="Symbol"/>
        <w:w w:val="112"/>
        <w:sz w:val="21"/>
        <w:szCs w:val="21"/>
        <w:lang w:val="zh-CN" w:eastAsia="zh-CN" w:bidi="zh-CN"/>
      </w:rPr>
    </w:lvl>
    <w:lvl w:ilvl="1">
      <w:start w:val="0"/>
      <w:numFmt w:val="bullet"/>
      <w:lvlText w:val="•"/>
      <w:lvlJc w:val="left"/>
      <w:pPr>
        <w:ind w:left="259" w:hanging="167"/>
      </w:pPr>
      <w:rPr>
        <w:rFonts w:hint="default"/>
        <w:lang w:val="zh-CN" w:eastAsia="zh-CN" w:bidi="zh-CN"/>
      </w:rPr>
    </w:lvl>
    <w:lvl w:ilvl="2">
      <w:start w:val="0"/>
      <w:numFmt w:val="bullet"/>
      <w:lvlText w:val="•"/>
      <w:lvlJc w:val="left"/>
      <w:pPr>
        <w:ind w:left="298" w:hanging="167"/>
      </w:pPr>
      <w:rPr>
        <w:rFonts w:hint="default"/>
        <w:lang w:val="zh-CN" w:eastAsia="zh-CN" w:bidi="zh-CN"/>
      </w:rPr>
    </w:lvl>
    <w:lvl w:ilvl="3">
      <w:start w:val="0"/>
      <w:numFmt w:val="bullet"/>
      <w:lvlText w:val="•"/>
      <w:lvlJc w:val="left"/>
      <w:pPr>
        <w:ind w:left="337" w:hanging="167"/>
      </w:pPr>
      <w:rPr>
        <w:rFonts w:hint="default"/>
        <w:lang w:val="zh-CN" w:eastAsia="zh-CN" w:bidi="zh-CN"/>
      </w:rPr>
    </w:lvl>
    <w:lvl w:ilvl="4">
      <w:start w:val="0"/>
      <w:numFmt w:val="bullet"/>
      <w:lvlText w:val="•"/>
      <w:lvlJc w:val="left"/>
      <w:pPr>
        <w:ind w:left="376" w:hanging="167"/>
      </w:pPr>
      <w:rPr>
        <w:rFonts w:hint="default"/>
        <w:lang w:val="zh-CN" w:eastAsia="zh-CN" w:bidi="zh-CN"/>
      </w:rPr>
    </w:lvl>
    <w:lvl w:ilvl="5">
      <w:start w:val="0"/>
      <w:numFmt w:val="bullet"/>
      <w:lvlText w:val="•"/>
      <w:lvlJc w:val="left"/>
      <w:pPr>
        <w:ind w:left="415" w:hanging="167"/>
      </w:pPr>
      <w:rPr>
        <w:rFonts w:hint="default"/>
        <w:lang w:val="zh-CN" w:eastAsia="zh-CN" w:bidi="zh-CN"/>
      </w:rPr>
    </w:lvl>
    <w:lvl w:ilvl="6">
      <w:start w:val="0"/>
      <w:numFmt w:val="bullet"/>
      <w:lvlText w:val="•"/>
      <w:lvlJc w:val="left"/>
      <w:pPr>
        <w:ind w:left="454" w:hanging="167"/>
      </w:pPr>
      <w:rPr>
        <w:rFonts w:hint="default"/>
        <w:lang w:val="zh-CN" w:eastAsia="zh-CN" w:bidi="zh-CN"/>
      </w:rPr>
    </w:lvl>
    <w:lvl w:ilvl="7">
      <w:start w:val="0"/>
      <w:numFmt w:val="bullet"/>
      <w:lvlText w:val="•"/>
      <w:lvlJc w:val="left"/>
      <w:pPr>
        <w:ind w:left="494" w:hanging="167"/>
      </w:pPr>
      <w:rPr>
        <w:rFonts w:hint="default"/>
        <w:lang w:val="zh-CN" w:eastAsia="zh-CN" w:bidi="zh-CN"/>
      </w:rPr>
    </w:lvl>
    <w:lvl w:ilvl="8">
      <w:start w:val="0"/>
      <w:numFmt w:val="bullet"/>
      <w:lvlText w:val="•"/>
      <w:lvlJc w:val="left"/>
      <w:pPr>
        <w:ind w:left="533" w:hanging="167"/>
      </w:pPr>
      <w:rPr>
        <w:rFonts w:hint="default"/>
        <w:lang w:val="zh-CN" w:eastAsia="zh-CN" w:bidi="zh-CN"/>
      </w:rPr>
    </w:lvl>
  </w:abstractNum>
  <w:abstractNum w:abstractNumId="55">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3860" w:hanging="604"/>
      </w:pPr>
      <w:rPr>
        <w:rFonts w:hint="default"/>
        <w:lang w:val="zh-CN" w:eastAsia="zh-CN" w:bidi="zh-CN"/>
      </w:rPr>
    </w:lvl>
    <w:lvl w:ilvl="2">
      <w:start w:val="0"/>
      <w:numFmt w:val="bullet"/>
      <w:lvlText w:val="•"/>
      <w:lvlJc w:val="left"/>
      <w:pPr>
        <w:ind w:left="4840" w:hanging="604"/>
      </w:pPr>
      <w:rPr>
        <w:rFonts w:hint="default"/>
        <w:lang w:val="zh-CN" w:eastAsia="zh-CN" w:bidi="zh-CN"/>
      </w:rPr>
    </w:lvl>
    <w:lvl w:ilvl="3">
      <w:start w:val="0"/>
      <w:numFmt w:val="bullet"/>
      <w:lvlText w:val="•"/>
      <w:lvlJc w:val="left"/>
      <w:pPr>
        <w:ind w:left="5448" w:hanging="604"/>
      </w:pPr>
      <w:rPr>
        <w:rFonts w:hint="default"/>
        <w:lang w:val="zh-CN" w:eastAsia="zh-CN" w:bidi="zh-CN"/>
      </w:rPr>
    </w:lvl>
    <w:lvl w:ilvl="4">
      <w:start w:val="0"/>
      <w:numFmt w:val="bullet"/>
      <w:lvlText w:val="•"/>
      <w:lvlJc w:val="left"/>
      <w:pPr>
        <w:ind w:left="6056" w:hanging="604"/>
      </w:pPr>
      <w:rPr>
        <w:rFonts w:hint="default"/>
        <w:lang w:val="zh-CN" w:eastAsia="zh-CN" w:bidi="zh-CN"/>
      </w:rPr>
    </w:lvl>
    <w:lvl w:ilvl="5">
      <w:start w:val="0"/>
      <w:numFmt w:val="bullet"/>
      <w:lvlText w:val="•"/>
      <w:lvlJc w:val="left"/>
      <w:pPr>
        <w:ind w:left="6664" w:hanging="604"/>
      </w:pPr>
      <w:rPr>
        <w:rFonts w:hint="default"/>
        <w:lang w:val="zh-CN" w:eastAsia="zh-CN" w:bidi="zh-CN"/>
      </w:rPr>
    </w:lvl>
    <w:lvl w:ilvl="6">
      <w:start w:val="0"/>
      <w:numFmt w:val="bullet"/>
      <w:lvlText w:val="•"/>
      <w:lvlJc w:val="left"/>
      <w:pPr>
        <w:ind w:left="7273" w:hanging="604"/>
      </w:pPr>
      <w:rPr>
        <w:rFonts w:hint="default"/>
        <w:lang w:val="zh-CN" w:eastAsia="zh-CN" w:bidi="zh-CN"/>
      </w:rPr>
    </w:lvl>
    <w:lvl w:ilvl="7">
      <w:start w:val="0"/>
      <w:numFmt w:val="bullet"/>
      <w:lvlText w:val="•"/>
      <w:lvlJc w:val="left"/>
      <w:pPr>
        <w:ind w:left="7881" w:hanging="604"/>
      </w:pPr>
      <w:rPr>
        <w:rFonts w:hint="default"/>
        <w:lang w:val="zh-CN" w:eastAsia="zh-CN" w:bidi="zh-CN"/>
      </w:rPr>
    </w:lvl>
    <w:lvl w:ilvl="8">
      <w:start w:val="0"/>
      <w:numFmt w:val="bullet"/>
      <w:lvlText w:val="•"/>
      <w:lvlJc w:val="left"/>
      <w:pPr>
        <w:ind w:left="8489" w:hanging="604"/>
      </w:pPr>
      <w:rPr>
        <w:rFonts w:hint="default"/>
        <w:lang w:val="zh-CN" w:eastAsia="zh-CN" w:bidi="zh-CN"/>
      </w:rPr>
    </w:lvl>
  </w:abstractNum>
  <w:abstractNum w:abstractNumId="54">
    <w:multiLevelType w:val="hybridMultilevel"/>
    <w:lvl w:ilvl="0">
      <w:start w:val="0"/>
      <w:numFmt w:val="bullet"/>
      <w:lvlText w:val=""/>
      <w:lvlJc w:val="left"/>
      <w:pPr>
        <w:ind w:left="945" w:hanging="226"/>
      </w:pPr>
      <w:rPr>
        <w:rFonts w:hint="default" w:ascii="Wingdings" w:hAnsi="Wingdings" w:eastAsia="Wingdings" w:cs="Wingdings"/>
        <w:w w:val="100"/>
        <w:sz w:val="24"/>
        <w:szCs w:val="24"/>
        <w:lang w:val="zh-CN" w:eastAsia="zh-CN" w:bidi="zh-CN"/>
      </w:rPr>
    </w:lvl>
    <w:lvl w:ilvl="1">
      <w:start w:val="0"/>
      <w:numFmt w:val="bullet"/>
      <w:lvlText w:val="•"/>
      <w:lvlJc w:val="left"/>
      <w:pPr>
        <w:ind w:left="1816" w:hanging="226"/>
      </w:pPr>
      <w:rPr>
        <w:rFonts w:hint="default"/>
        <w:lang w:val="zh-CN" w:eastAsia="zh-CN" w:bidi="zh-CN"/>
      </w:rPr>
    </w:lvl>
    <w:lvl w:ilvl="2">
      <w:start w:val="0"/>
      <w:numFmt w:val="bullet"/>
      <w:lvlText w:val="•"/>
      <w:lvlJc w:val="left"/>
      <w:pPr>
        <w:ind w:left="2693" w:hanging="226"/>
      </w:pPr>
      <w:rPr>
        <w:rFonts w:hint="default"/>
        <w:lang w:val="zh-CN" w:eastAsia="zh-CN" w:bidi="zh-CN"/>
      </w:rPr>
    </w:lvl>
    <w:lvl w:ilvl="3">
      <w:start w:val="0"/>
      <w:numFmt w:val="bullet"/>
      <w:lvlText w:val="•"/>
      <w:lvlJc w:val="left"/>
      <w:pPr>
        <w:ind w:left="3569" w:hanging="226"/>
      </w:pPr>
      <w:rPr>
        <w:rFonts w:hint="default"/>
        <w:lang w:val="zh-CN" w:eastAsia="zh-CN" w:bidi="zh-CN"/>
      </w:rPr>
    </w:lvl>
    <w:lvl w:ilvl="4">
      <w:start w:val="0"/>
      <w:numFmt w:val="bullet"/>
      <w:lvlText w:val="•"/>
      <w:lvlJc w:val="left"/>
      <w:pPr>
        <w:ind w:left="4446" w:hanging="226"/>
      </w:pPr>
      <w:rPr>
        <w:rFonts w:hint="default"/>
        <w:lang w:val="zh-CN" w:eastAsia="zh-CN" w:bidi="zh-CN"/>
      </w:rPr>
    </w:lvl>
    <w:lvl w:ilvl="5">
      <w:start w:val="0"/>
      <w:numFmt w:val="bullet"/>
      <w:lvlText w:val="•"/>
      <w:lvlJc w:val="left"/>
      <w:pPr>
        <w:ind w:left="5323" w:hanging="226"/>
      </w:pPr>
      <w:rPr>
        <w:rFonts w:hint="default"/>
        <w:lang w:val="zh-CN" w:eastAsia="zh-CN" w:bidi="zh-CN"/>
      </w:rPr>
    </w:lvl>
    <w:lvl w:ilvl="6">
      <w:start w:val="0"/>
      <w:numFmt w:val="bullet"/>
      <w:lvlText w:val="•"/>
      <w:lvlJc w:val="left"/>
      <w:pPr>
        <w:ind w:left="6199" w:hanging="226"/>
      </w:pPr>
      <w:rPr>
        <w:rFonts w:hint="default"/>
        <w:lang w:val="zh-CN" w:eastAsia="zh-CN" w:bidi="zh-CN"/>
      </w:rPr>
    </w:lvl>
    <w:lvl w:ilvl="7">
      <w:start w:val="0"/>
      <w:numFmt w:val="bullet"/>
      <w:lvlText w:val="•"/>
      <w:lvlJc w:val="left"/>
      <w:pPr>
        <w:ind w:left="7076" w:hanging="226"/>
      </w:pPr>
      <w:rPr>
        <w:rFonts w:hint="default"/>
        <w:lang w:val="zh-CN" w:eastAsia="zh-CN" w:bidi="zh-CN"/>
      </w:rPr>
    </w:lvl>
    <w:lvl w:ilvl="8">
      <w:start w:val="0"/>
      <w:numFmt w:val="bullet"/>
      <w:lvlText w:val="•"/>
      <w:lvlJc w:val="left"/>
      <w:pPr>
        <w:ind w:left="7953" w:hanging="226"/>
      </w:pPr>
      <w:rPr>
        <w:rFonts w:hint="default"/>
        <w:lang w:val="zh-CN" w:eastAsia="zh-CN" w:bidi="zh-CN"/>
      </w:rPr>
    </w:lvl>
  </w:abstractNum>
  <w:abstractNum w:abstractNumId="53">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4680" w:hanging="604"/>
      </w:pPr>
      <w:rPr>
        <w:rFonts w:hint="default"/>
        <w:lang w:val="zh-CN" w:eastAsia="zh-CN" w:bidi="zh-CN"/>
      </w:rPr>
    </w:lvl>
    <w:lvl w:ilvl="2">
      <w:start w:val="0"/>
      <w:numFmt w:val="bullet"/>
      <w:lvlText w:val="•"/>
      <w:lvlJc w:val="left"/>
      <w:pPr>
        <w:ind w:left="5238" w:hanging="604"/>
      </w:pPr>
      <w:rPr>
        <w:rFonts w:hint="default"/>
        <w:lang w:val="zh-CN" w:eastAsia="zh-CN" w:bidi="zh-CN"/>
      </w:rPr>
    </w:lvl>
    <w:lvl w:ilvl="3">
      <w:start w:val="0"/>
      <w:numFmt w:val="bullet"/>
      <w:lvlText w:val="•"/>
      <w:lvlJc w:val="left"/>
      <w:pPr>
        <w:ind w:left="5796" w:hanging="604"/>
      </w:pPr>
      <w:rPr>
        <w:rFonts w:hint="default"/>
        <w:lang w:val="zh-CN" w:eastAsia="zh-CN" w:bidi="zh-CN"/>
      </w:rPr>
    </w:lvl>
    <w:lvl w:ilvl="4">
      <w:start w:val="0"/>
      <w:numFmt w:val="bullet"/>
      <w:lvlText w:val="•"/>
      <w:lvlJc w:val="left"/>
      <w:pPr>
        <w:ind w:left="6355" w:hanging="604"/>
      </w:pPr>
      <w:rPr>
        <w:rFonts w:hint="default"/>
        <w:lang w:val="zh-CN" w:eastAsia="zh-CN" w:bidi="zh-CN"/>
      </w:rPr>
    </w:lvl>
    <w:lvl w:ilvl="5">
      <w:start w:val="0"/>
      <w:numFmt w:val="bullet"/>
      <w:lvlText w:val="•"/>
      <w:lvlJc w:val="left"/>
      <w:pPr>
        <w:ind w:left="6913" w:hanging="604"/>
      </w:pPr>
      <w:rPr>
        <w:rFonts w:hint="default"/>
        <w:lang w:val="zh-CN" w:eastAsia="zh-CN" w:bidi="zh-CN"/>
      </w:rPr>
    </w:lvl>
    <w:lvl w:ilvl="6">
      <w:start w:val="0"/>
      <w:numFmt w:val="bullet"/>
      <w:lvlText w:val="•"/>
      <w:lvlJc w:val="left"/>
      <w:pPr>
        <w:ind w:left="7472" w:hanging="604"/>
      </w:pPr>
      <w:rPr>
        <w:rFonts w:hint="default"/>
        <w:lang w:val="zh-CN" w:eastAsia="zh-CN" w:bidi="zh-CN"/>
      </w:rPr>
    </w:lvl>
    <w:lvl w:ilvl="7">
      <w:start w:val="0"/>
      <w:numFmt w:val="bullet"/>
      <w:lvlText w:val="•"/>
      <w:lvlJc w:val="left"/>
      <w:pPr>
        <w:ind w:left="8030" w:hanging="604"/>
      </w:pPr>
      <w:rPr>
        <w:rFonts w:hint="default"/>
        <w:lang w:val="zh-CN" w:eastAsia="zh-CN" w:bidi="zh-CN"/>
      </w:rPr>
    </w:lvl>
    <w:lvl w:ilvl="8">
      <w:start w:val="0"/>
      <w:numFmt w:val="bullet"/>
      <w:lvlText w:val="•"/>
      <w:lvlJc w:val="left"/>
      <w:pPr>
        <w:ind w:left="8589" w:hanging="604"/>
      </w:pPr>
      <w:rPr>
        <w:rFonts w:hint="default"/>
        <w:lang w:val="zh-CN" w:eastAsia="zh-CN" w:bidi="zh-CN"/>
      </w:rPr>
    </w:lvl>
  </w:abstractNum>
  <w:abstractNum w:abstractNumId="52">
    <w:multiLevelType w:val="hybridMultilevel"/>
    <w:lvl w:ilvl="0">
      <w:start w:val="4"/>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23" w:hanging="604"/>
        <w:jc w:val="left"/>
      </w:pPr>
      <w:rPr>
        <w:rFonts w:hint="default" w:ascii="宋体" w:hAnsi="宋体" w:eastAsia="宋体" w:cs="宋体"/>
        <w:b/>
        <w:bCs/>
        <w:spacing w:val="0"/>
        <w:w w:val="99"/>
        <w:sz w:val="22"/>
        <w:szCs w:val="22"/>
        <w:lang w:val="zh-CN" w:eastAsia="zh-CN" w:bidi="zh-CN"/>
      </w:rPr>
    </w:lvl>
    <w:lvl w:ilvl="4">
      <w:start w:val="0"/>
      <w:numFmt w:val="bullet"/>
      <w:lvlText w:val="•"/>
      <w:lvlJc w:val="left"/>
      <w:pPr>
        <w:ind w:left="3416" w:hanging="604"/>
      </w:pPr>
      <w:rPr>
        <w:rFonts w:hint="default"/>
        <w:lang w:val="zh-CN" w:eastAsia="zh-CN" w:bidi="zh-CN"/>
      </w:rPr>
    </w:lvl>
    <w:lvl w:ilvl="5">
      <w:start w:val="0"/>
      <w:numFmt w:val="bullet"/>
      <w:lvlText w:val="•"/>
      <w:lvlJc w:val="left"/>
      <w:pPr>
        <w:ind w:left="4464" w:hanging="604"/>
      </w:pPr>
      <w:rPr>
        <w:rFonts w:hint="default"/>
        <w:lang w:val="zh-CN" w:eastAsia="zh-CN" w:bidi="zh-CN"/>
      </w:rPr>
    </w:lvl>
    <w:lvl w:ilvl="6">
      <w:start w:val="0"/>
      <w:numFmt w:val="bullet"/>
      <w:lvlText w:val="•"/>
      <w:lvlJc w:val="left"/>
      <w:pPr>
        <w:ind w:left="5513" w:hanging="604"/>
      </w:pPr>
      <w:rPr>
        <w:rFonts w:hint="default"/>
        <w:lang w:val="zh-CN" w:eastAsia="zh-CN" w:bidi="zh-CN"/>
      </w:rPr>
    </w:lvl>
    <w:lvl w:ilvl="7">
      <w:start w:val="0"/>
      <w:numFmt w:val="bullet"/>
      <w:lvlText w:val="•"/>
      <w:lvlJc w:val="left"/>
      <w:pPr>
        <w:ind w:left="6561" w:hanging="604"/>
      </w:pPr>
      <w:rPr>
        <w:rFonts w:hint="default"/>
        <w:lang w:val="zh-CN" w:eastAsia="zh-CN" w:bidi="zh-CN"/>
      </w:rPr>
    </w:lvl>
    <w:lvl w:ilvl="8">
      <w:start w:val="0"/>
      <w:numFmt w:val="bullet"/>
      <w:lvlText w:val="•"/>
      <w:lvlJc w:val="left"/>
      <w:pPr>
        <w:ind w:left="7609" w:hanging="604"/>
      </w:pPr>
      <w:rPr>
        <w:rFonts w:hint="default"/>
        <w:lang w:val="zh-CN" w:eastAsia="zh-CN" w:bidi="zh-CN"/>
      </w:rPr>
    </w:lvl>
  </w:abstractNum>
  <w:abstractNum w:abstractNumId="51">
    <w:multiLevelType w:val="hybridMultilevel"/>
    <w:lvl w:ilvl="0">
      <w:start w:val="3"/>
      <w:numFmt w:val="decimal"/>
      <w:lvlText w:val="%1"/>
      <w:lvlJc w:val="left"/>
      <w:pPr>
        <w:ind w:left="729" w:hanging="492"/>
        <w:jc w:val="left"/>
      </w:pPr>
      <w:rPr>
        <w:rFonts w:hint="default"/>
        <w:lang w:val="zh-CN" w:eastAsia="zh-CN" w:bidi="zh-CN"/>
      </w:rPr>
    </w:lvl>
    <w:lvl w:ilvl="1">
      <w:start w:val="4"/>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237" w:hanging="601"/>
        <w:jc w:val="left"/>
      </w:pPr>
      <w:rPr>
        <w:rFonts w:hint="default" w:ascii="宋体" w:hAnsi="宋体" w:eastAsia="宋体" w:cs="宋体"/>
        <w:spacing w:val="-72"/>
        <w:w w:val="100"/>
        <w:sz w:val="22"/>
        <w:szCs w:val="22"/>
        <w:lang w:val="zh-CN" w:eastAsia="zh-CN" w:bidi="zh-CN"/>
      </w:rPr>
    </w:lvl>
    <w:lvl w:ilvl="4">
      <w:start w:val="0"/>
      <w:numFmt w:val="bullet"/>
      <w:lvlText w:val="•"/>
      <w:lvlJc w:val="left"/>
      <w:pPr>
        <w:ind w:left="3056" w:hanging="601"/>
      </w:pPr>
      <w:rPr>
        <w:rFonts w:hint="default"/>
        <w:lang w:val="zh-CN" w:eastAsia="zh-CN" w:bidi="zh-CN"/>
      </w:rPr>
    </w:lvl>
    <w:lvl w:ilvl="5">
      <w:start w:val="0"/>
      <w:numFmt w:val="bullet"/>
      <w:lvlText w:val="•"/>
      <w:lvlJc w:val="left"/>
      <w:pPr>
        <w:ind w:left="4164" w:hanging="601"/>
      </w:pPr>
      <w:rPr>
        <w:rFonts w:hint="default"/>
        <w:lang w:val="zh-CN" w:eastAsia="zh-CN" w:bidi="zh-CN"/>
      </w:rPr>
    </w:lvl>
    <w:lvl w:ilvl="6">
      <w:start w:val="0"/>
      <w:numFmt w:val="bullet"/>
      <w:lvlText w:val="•"/>
      <w:lvlJc w:val="left"/>
      <w:pPr>
        <w:ind w:left="5273" w:hanging="601"/>
      </w:pPr>
      <w:rPr>
        <w:rFonts w:hint="default"/>
        <w:lang w:val="zh-CN" w:eastAsia="zh-CN" w:bidi="zh-CN"/>
      </w:rPr>
    </w:lvl>
    <w:lvl w:ilvl="7">
      <w:start w:val="0"/>
      <w:numFmt w:val="bullet"/>
      <w:lvlText w:val="•"/>
      <w:lvlJc w:val="left"/>
      <w:pPr>
        <w:ind w:left="6381" w:hanging="601"/>
      </w:pPr>
      <w:rPr>
        <w:rFonts w:hint="default"/>
        <w:lang w:val="zh-CN" w:eastAsia="zh-CN" w:bidi="zh-CN"/>
      </w:rPr>
    </w:lvl>
    <w:lvl w:ilvl="8">
      <w:start w:val="0"/>
      <w:numFmt w:val="bullet"/>
      <w:lvlText w:val="•"/>
      <w:lvlJc w:val="left"/>
      <w:pPr>
        <w:ind w:left="7489" w:hanging="601"/>
      </w:pPr>
      <w:rPr>
        <w:rFonts w:hint="default"/>
        <w:lang w:val="zh-CN" w:eastAsia="zh-CN" w:bidi="zh-CN"/>
      </w:rPr>
    </w:lvl>
  </w:abstractNum>
  <w:abstractNum w:abstractNumId="50">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49">
    <w:multiLevelType w:val="hybridMultilevel"/>
    <w:lvl w:ilvl="0">
      <w:start w:val="0"/>
      <w:numFmt w:val="decimal"/>
      <w:lvlText w:val="%1"/>
      <w:lvlJc w:val="left"/>
      <w:pPr>
        <w:ind w:left="625" w:hanging="541"/>
        <w:jc w:val="left"/>
      </w:pPr>
      <w:rPr>
        <w:rFonts w:hint="default"/>
        <w:lang w:val="zh-CN" w:eastAsia="zh-CN" w:bidi="zh-CN"/>
      </w:rPr>
    </w:lvl>
    <w:lvl w:ilvl="1">
      <w:start w:val="12"/>
      <w:numFmt w:val="decimalZero"/>
      <w:lvlText w:val="%1.%2"/>
      <w:lvlJc w:val="left"/>
      <w:pPr>
        <w:ind w:left="625" w:hanging="541"/>
        <w:jc w:val="left"/>
      </w:pPr>
      <w:rPr>
        <w:rFonts w:hint="default" w:ascii="Times New Roman" w:hAnsi="Times New Roman" w:eastAsia="Times New Roman" w:cs="Times New Roman"/>
        <w:spacing w:val="-209"/>
        <w:w w:val="97"/>
        <w:sz w:val="22"/>
        <w:szCs w:val="22"/>
        <w:lang w:val="zh-CN" w:eastAsia="zh-CN" w:bidi="zh-CN"/>
      </w:rPr>
    </w:lvl>
    <w:lvl w:ilvl="2">
      <w:start w:val="1"/>
      <w:numFmt w:val="decimal"/>
      <w:lvlText w:val="（%3）"/>
      <w:lvlJc w:val="left"/>
      <w:pPr>
        <w:ind w:left="237" w:hanging="601"/>
        <w:jc w:val="left"/>
      </w:pPr>
      <w:rPr>
        <w:rFonts w:hint="default" w:ascii="宋体" w:hAnsi="宋体" w:eastAsia="宋体" w:cs="宋体"/>
        <w:spacing w:val="-61"/>
        <w:w w:val="100"/>
        <w:sz w:val="22"/>
        <w:szCs w:val="22"/>
        <w:lang w:val="zh-CN" w:eastAsia="zh-CN" w:bidi="zh-CN"/>
      </w:rPr>
    </w:lvl>
    <w:lvl w:ilvl="3">
      <w:start w:val="0"/>
      <w:numFmt w:val="bullet"/>
      <w:lvlText w:val="•"/>
      <w:lvlJc w:val="left"/>
      <w:pPr>
        <w:ind w:left="1287" w:hanging="601"/>
      </w:pPr>
      <w:rPr>
        <w:rFonts w:hint="default"/>
        <w:lang w:val="zh-CN" w:eastAsia="zh-CN" w:bidi="zh-CN"/>
      </w:rPr>
    </w:lvl>
    <w:lvl w:ilvl="4">
      <w:start w:val="0"/>
      <w:numFmt w:val="bullet"/>
      <w:lvlText w:val="•"/>
      <w:lvlJc w:val="left"/>
      <w:pPr>
        <w:ind w:left="1621" w:hanging="601"/>
      </w:pPr>
      <w:rPr>
        <w:rFonts w:hint="default"/>
        <w:lang w:val="zh-CN" w:eastAsia="zh-CN" w:bidi="zh-CN"/>
      </w:rPr>
    </w:lvl>
    <w:lvl w:ilvl="5">
      <w:start w:val="0"/>
      <w:numFmt w:val="bullet"/>
      <w:lvlText w:val="•"/>
      <w:lvlJc w:val="left"/>
      <w:pPr>
        <w:ind w:left="1955" w:hanging="601"/>
      </w:pPr>
      <w:rPr>
        <w:rFonts w:hint="default"/>
        <w:lang w:val="zh-CN" w:eastAsia="zh-CN" w:bidi="zh-CN"/>
      </w:rPr>
    </w:lvl>
    <w:lvl w:ilvl="6">
      <w:start w:val="0"/>
      <w:numFmt w:val="bullet"/>
      <w:lvlText w:val="•"/>
      <w:lvlJc w:val="left"/>
      <w:pPr>
        <w:ind w:left="2288" w:hanging="601"/>
      </w:pPr>
      <w:rPr>
        <w:rFonts w:hint="default"/>
        <w:lang w:val="zh-CN" w:eastAsia="zh-CN" w:bidi="zh-CN"/>
      </w:rPr>
    </w:lvl>
    <w:lvl w:ilvl="7">
      <w:start w:val="0"/>
      <w:numFmt w:val="bullet"/>
      <w:lvlText w:val="•"/>
      <w:lvlJc w:val="left"/>
      <w:pPr>
        <w:ind w:left="2622" w:hanging="601"/>
      </w:pPr>
      <w:rPr>
        <w:rFonts w:hint="default"/>
        <w:lang w:val="zh-CN" w:eastAsia="zh-CN" w:bidi="zh-CN"/>
      </w:rPr>
    </w:lvl>
    <w:lvl w:ilvl="8">
      <w:start w:val="0"/>
      <w:numFmt w:val="bullet"/>
      <w:lvlText w:val="•"/>
      <w:lvlJc w:val="left"/>
      <w:pPr>
        <w:ind w:left="2956" w:hanging="601"/>
      </w:pPr>
      <w:rPr>
        <w:rFonts w:hint="default"/>
        <w:lang w:val="zh-CN" w:eastAsia="zh-CN" w:bidi="zh-CN"/>
      </w:rPr>
    </w:lvl>
  </w:abstractNum>
  <w:abstractNum w:abstractNumId="48">
    <w:multiLevelType w:val="hybridMultilevel"/>
    <w:lvl w:ilvl="0">
      <w:start w:val="1"/>
      <w:numFmt w:val="decimal"/>
      <w:lvlText w:val="（%1）"/>
      <w:lvlJc w:val="left"/>
      <w:pPr>
        <w:ind w:left="237" w:hanging="601"/>
        <w:jc w:val="left"/>
      </w:pPr>
      <w:rPr>
        <w:rFonts w:hint="default" w:ascii="宋体" w:hAnsi="宋体" w:eastAsia="宋体" w:cs="宋体"/>
        <w:spacing w:val="-20"/>
        <w:w w:val="100"/>
        <w:sz w:val="22"/>
        <w:szCs w:val="22"/>
        <w:lang w:val="zh-CN" w:eastAsia="zh-CN" w:bidi="zh-CN"/>
      </w:rPr>
    </w:lvl>
    <w:lvl w:ilvl="1">
      <w:start w:val="0"/>
      <w:numFmt w:val="bullet"/>
      <w:lvlText w:val="•"/>
      <w:lvlJc w:val="left"/>
      <w:pPr>
        <w:ind w:left="1186" w:hanging="601"/>
      </w:pPr>
      <w:rPr>
        <w:rFonts w:hint="default"/>
        <w:lang w:val="zh-CN" w:eastAsia="zh-CN" w:bidi="zh-CN"/>
      </w:rPr>
    </w:lvl>
    <w:lvl w:ilvl="2">
      <w:start w:val="0"/>
      <w:numFmt w:val="bullet"/>
      <w:lvlText w:val="•"/>
      <w:lvlJc w:val="left"/>
      <w:pPr>
        <w:ind w:left="2133" w:hanging="601"/>
      </w:pPr>
      <w:rPr>
        <w:rFonts w:hint="default"/>
        <w:lang w:val="zh-CN" w:eastAsia="zh-CN" w:bidi="zh-CN"/>
      </w:rPr>
    </w:lvl>
    <w:lvl w:ilvl="3">
      <w:start w:val="0"/>
      <w:numFmt w:val="bullet"/>
      <w:lvlText w:val="•"/>
      <w:lvlJc w:val="left"/>
      <w:pPr>
        <w:ind w:left="3079" w:hanging="601"/>
      </w:pPr>
      <w:rPr>
        <w:rFonts w:hint="default"/>
        <w:lang w:val="zh-CN" w:eastAsia="zh-CN" w:bidi="zh-CN"/>
      </w:rPr>
    </w:lvl>
    <w:lvl w:ilvl="4">
      <w:start w:val="0"/>
      <w:numFmt w:val="bullet"/>
      <w:lvlText w:val="•"/>
      <w:lvlJc w:val="left"/>
      <w:pPr>
        <w:ind w:left="4026" w:hanging="601"/>
      </w:pPr>
      <w:rPr>
        <w:rFonts w:hint="default"/>
        <w:lang w:val="zh-CN" w:eastAsia="zh-CN" w:bidi="zh-CN"/>
      </w:rPr>
    </w:lvl>
    <w:lvl w:ilvl="5">
      <w:start w:val="0"/>
      <w:numFmt w:val="bullet"/>
      <w:lvlText w:val="•"/>
      <w:lvlJc w:val="left"/>
      <w:pPr>
        <w:ind w:left="4973" w:hanging="601"/>
      </w:pPr>
      <w:rPr>
        <w:rFonts w:hint="default"/>
        <w:lang w:val="zh-CN" w:eastAsia="zh-CN" w:bidi="zh-CN"/>
      </w:rPr>
    </w:lvl>
    <w:lvl w:ilvl="6">
      <w:start w:val="0"/>
      <w:numFmt w:val="bullet"/>
      <w:lvlText w:val="•"/>
      <w:lvlJc w:val="left"/>
      <w:pPr>
        <w:ind w:left="5919" w:hanging="601"/>
      </w:pPr>
      <w:rPr>
        <w:rFonts w:hint="default"/>
        <w:lang w:val="zh-CN" w:eastAsia="zh-CN" w:bidi="zh-CN"/>
      </w:rPr>
    </w:lvl>
    <w:lvl w:ilvl="7">
      <w:start w:val="0"/>
      <w:numFmt w:val="bullet"/>
      <w:lvlText w:val="•"/>
      <w:lvlJc w:val="left"/>
      <w:pPr>
        <w:ind w:left="6866" w:hanging="601"/>
      </w:pPr>
      <w:rPr>
        <w:rFonts w:hint="default"/>
        <w:lang w:val="zh-CN" w:eastAsia="zh-CN" w:bidi="zh-CN"/>
      </w:rPr>
    </w:lvl>
    <w:lvl w:ilvl="8">
      <w:start w:val="0"/>
      <w:numFmt w:val="bullet"/>
      <w:lvlText w:val="•"/>
      <w:lvlJc w:val="left"/>
      <w:pPr>
        <w:ind w:left="7813" w:hanging="601"/>
      </w:pPr>
      <w:rPr>
        <w:rFonts w:hint="default"/>
        <w:lang w:val="zh-CN" w:eastAsia="zh-CN" w:bidi="zh-CN"/>
      </w:rPr>
    </w:lvl>
  </w:abstractNum>
  <w:abstractNum w:abstractNumId="47">
    <w:multiLevelType w:val="hybridMultilevel"/>
    <w:lvl w:ilvl="0">
      <w:start w:val="3"/>
      <w:numFmt w:val="decimal"/>
      <w:lvlText w:val="%1"/>
      <w:lvlJc w:val="left"/>
      <w:pPr>
        <w:ind w:left="837" w:hanging="600"/>
        <w:jc w:val="left"/>
      </w:pPr>
      <w:rPr>
        <w:rFonts w:hint="default"/>
        <w:lang w:val="zh-CN" w:eastAsia="zh-CN" w:bidi="zh-CN"/>
      </w:rPr>
    </w:lvl>
    <w:lvl w:ilvl="1">
      <w:start w:val="3"/>
      <w:numFmt w:val="decimal"/>
      <w:lvlText w:val="%1.%2"/>
      <w:lvlJc w:val="left"/>
      <w:pPr>
        <w:ind w:left="837" w:hanging="600"/>
        <w:jc w:val="left"/>
      </w:pPr>
      <w:rPr>
        <w:rFonts w:hint="default"/>
        <w:lang w:val="zh-CN" w:eastAsia="zh-CN" w:bidi="zh-CN"/>
      </w:rPr>
    </w:lvl>
    <w:lvl w:ilvl="2">
      <w:start w:val="2"/>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18" w:hanging="601"/>
        <w:jc w:val="left"/>
      </w:pPr>
      <w:rPr>
        <w:rFonts w:hint="default"/>
        <w:spacing w:val="-1"/>
        <w:w w:val="100"/>
        <w:lang w:val="zh-CN" w:eastAsia="zh-CN" w:bidi="zh-CN"/>
      </w:rPr>
    </w:lvl>
    <w:lvl w:ilvl="4">
      <w:start w:val="0"/>
      <w:numFmt w:val="bullet"/>
      <w:lvlText w:val="•"/>
      <w:lvlJc w:val="left"/>
      <w:pPr>
        <w:ind w:left="4115" w:hanging="601"/>
      </w:pPr>
      <w:rPr>
        <w:rFonts w:hint="default"/>
        <w:lang w:val="zh-CN" w:eastAsia="zh-CN" w:bidi="zh-CN"/>
      </w:rPr>
    </w:lvl>
    <w:lvl w:ilvl="5">
      <w:start w:val="0"/>
      <w:numFmt w:val="bullet"/>
      <w:lvlText w:val="•"/>
      <w:lvlJc w:val="left"/>
      <w:pPr>
        <w:ind w:left="5047" w:hanging="601"/>
      </w:pPr>
      <w:rPr>
        <w:rFonts w:hint="default"/>
        <w:lang w:val="zh-CN" w:eastAsia="zh-CN" w:bidi="zh-CN"/>
      </w:rPr>
    </w:lvl>
    <w:lvl w:ilvl="6">
      <w:start w:val="0"/>
      <w:numFmt w:val="bullet"/>
      <w:lvlText w:val="•"/>
      <w:lvlJc w:val="left"/>
      <w:pPr>
        <w:ind w:left="5979" w:hanging="601"/>
      </w:pPr>
      <w:rPr>
        <w:rFonts w:hint="default"/>
        <w:lang w:val="zh-CN" w:eastAsia="zh-CN" w:bidi="zh-CN"/>
      </w:rPr>
    </w:lvl>
    <w:lvl w:ilvl="7">
      <w:start w:val="0"/>
      <w:numFmt w:val="bullet"/>
      <w:lvlText w:val="•"/>
      <w:lvlJc w:val="left"/>
      <w:pPr>
        <w:ind w:left="6910" w:hanging="601"/>
      </w:pPr>
      <w:rPr>
        <w:rFonts w:hint="default"/>
        <w:lang w:val="zh-CN" w:eastAsia="zh-CN" w:bidi="zh-CN"/>
      </w:rPr>
    </w:lvl>
    <w:lvl w:ilvl="8">
      <w:start w:val="0"/>
      <w:numFmt w:val="bullet"/>
      <w:lvlText w:val="•"/>
      <w:lvlJc w:val="left"/>
      <w:pPr>
        <w:ind w:left="7842" w:hanging="601"/>
      </w:pPr>
      <w:rPr>
        <w:rFonts w:hint="default"/>
        <w:lang w:val="zh-CN" w:eastAsia="zh-CN" w:bidi="zh-CN"/>
      </w:rPr>
    </w:lvl>
  </w:abstractNum>
  <w:abstractNum w:abstractNumId="46">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45">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44">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43">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42">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41">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40">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39">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15"/>
        <w:w w:val="100"/>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38">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37">
    <w:multiLevelType w:val="hybridMultilevel"/>
    <w:lvl w:ilvl="0">
      <w:start w:val="1"/>
      <w:numFmt w:val="decimal"/>
      <w:lvlText w:val="%1）"/>
      <w:lvlJc w:val="left"/>
      <w:pPr>
        <w:ind w:left="1081" w:hanging="363"/>
        <w:jc w:val="left"/>
      </w:pPr>
      <w:rPr>
        <w:rFonts w:hint="default" w:ascii="Times New Roman" w:hAnsi="Times New Roman" w:eastAsia="Times New Roman" w:cs="Times New Roman"/>
        <w:b/>
        <w:bCs/>
        <w:w w:val="99"/>
        <w:sz w:val="22"/>
        <w:szCs w:val="22"/>
        <w:lang w:val="zh-CN" w:eastAsia="zh-CN" w:bidi="zh-CN"/>
      </w:rPr>
    </w:lvl>
    <w:lvl w:ilvl="1">
      <w:start w:val="0"/>
      <w:numFmt w:val="bullet"/>
      <w:lvlText w:val="•"/>
      <w:lvlJc w:val="left"/>
      <w:pPr>
        <w:ind w:left="1942" w:hanging="363"/>
      </w:pPr>
      <w:rPr>
        <w:rFonts w:hint="default"/>
        <w:lang w:val="zh-CN" w:eastAsia="zh-CN" w:bidi="zh-CN"/>
      </w:rPr>
    </w:lvl>
    <w:lvl w:ilvl="2">
      <w:start w:val="0"/>
      <w:numFmt w:val="bullet"/>
      <w:lvlText w:val="•"/>
      <w:lvlJc w:val="left"/>
      <w:pPr>
        <w:ind w:left="2805" w:hanging="363"/>
      </w:pPr>
      <w:rPr>
        <w:rFonts w:hint="default"/>
        <w:lang w:val="zh-CN" w:eastAsia="zh-CN" w:bidi="zh-CN"/>
      </w:rPr>
    </w:lvl>
    <w:lvl w:ilvl="3">
      <w:start w:val="0"/>
      <w:numFmt w:val="bullet"/>
      <w:lvlText w:val="•"/>
      <w:lvlJc w:val="left"/>
      <w:pPr>
        <w:ind w:left="3667" w:hanging="363"/>
      </w:pPr>
      <w:rPr>
        <w:rFonts w:hint="default"/>
        <w:lang w:val="zh-CN" w:eastAsia="zh-CN" w:bidi="zh-CN"/>
      </w:rPr>
    </w:lvl>
    <w:lvl w:ilvl="4">
      <w:start w:val="0"/>
      <w:numFmt w:val="bullet"/>
      <w:lvlText w:val="•"/>
      <w:lvlJc w:val="left"/>
      <w:pPr>
        <w:ind w:left="4530" w:hanging="363"/>
      </w:pPr>
      <w:rPr>
        <w:rFonts w:hint="default"/>
        <w:lang w:val="zh-CN" w:eastAsia="zh-CN" w:bidi="zh-CN"/>
      </w:rPr>
    </w:lvl>
    <w:lvl w:ilvl="5">
      <w:start w:val="0"/>
      <w:numFmt w:val="bullet"/>
      <w:lvlText w:val="•"/>
      <w:lvlJc w:val="left"/>
      <w:pPr>
        <w:ind w:left="5393" w:hanging="363"/>
      </w:pPr>
      <w:rPr>
        <w:rFonts w:hint="default"/>
        <w:lang w:val="zh-CN" w:eastAsia="zh-CN" w:bidi="zh-CN"/>
      </w:rPr>
    </w:lvl>
    <w:lvl w:ilvl="6">
      <w:start w:val="0"/>
      <w:numFmt w:val="bullet"/>
      <w:lvlText w:val="•"/>
      <w:lvlJc w:val="left"/>
      <w:pPr>
        <w:ind w:left="6255" w:hanging="363"/>
      </w:pPr>
      <w:rPr>
        <w:rFonts w:hint="default"/>
        <w:lang w:val="zh-CN" w:eastAsia="zh-CN" w:bidi="zh-CN"/>
      </w:rPr>
    </w:lvl>
    <w:lvl w:ilvl="7">
      <w:start w:val="0"/>
      <w:numFmt w:val="bullet"/>
      <w:lvlText w:val="•"/>
      <w:lvlJc w:val="left"/>
      <w:pPr>
        <w:ind w:left="7118" w:hanging="363"/>
      </w:pPr>
      <w:rPr>
        <w:rFonts w:hint="default"/>
        <w:lang w:val="zh-CN" w:eastAsia="zh-CN" w:bidi="zh-CN"/>
      </w:rPr>
    </w:lvl>
    <w:lvl w:ilvl="8">
      <w:start w:val="0"/>
      <w:numFmt w:val="bullet"/>
      <w:lvlText w:val="•"/>
      <w:lvlJc w:val="left"/>
      <w:pPr>
        <w:ind w:left="7981" w:hanging="363"/>
      </w:pPr>
      <w:rPr>
        <w:rFonts w:hint="default"/>
        <w:lang w:val="zh-CN" w:eastAsia="zh-CN" w:bidi="zh-CN"/>
      </w:rPr>
    </w:lvl>
  </w:abstractNum>
  <w:abstractNum w:abstractNumId="36">
    <w:multiLevelType w:val="hybridMultilevel"/>
    <w:lvl w:ilvl="0">
      <w:start w:val="1"/>
      <w:numFmt w:val="decimal"/>
      <w:lvlText w:val="%1）"/>
      <w:lvlJc w:val="left"/>
      <w:pPr>
        <w:ind w:left="1078" w:hanging="361"/>
        <w:jc w:val="left"/>
      </w:pPr>
      <w:rPr>
        <w:rFonts w:hint="default" w:ascii="Times New Roman" w:hAnsi="Times New Roman" w:eastAsia="Times New Roman" w:cs="Times New Roman"/>
        <w:spacing w:val="-1"/>
        <w:w w:val="100"/>
        <w:position w:val="1"/>
        <w:sz w:val="22"/>
        <w:szCs w:val="22"/>
        <w:lang w:val="zh-CN" w:eastAsia="zh-CN" w:bidi="zh-CN"/>
      </w:rPr>
    </w:lvl>
    <w:lvl w:ilvl="1">
      <w:start w:val="0"/>
      <w:numFmt w:val="bullet"/>
      <w:lvlText w:val="•"/>
      <w:lvlJc w:val="left"/>
      <w:pPr>
        <w:ind w:left="1942" w:hanging="361"/>
      </w:pPr>
      <w:rPr>
        <w:rFonts w:hint="default"/>
        <w:lang w:val="zh-CN" w:eastAsia="zh-CN" w:bidi="zh-CN"/>
      </w:rPr>
    </w:lvl>
    <w:lvl w:ilvl="2">
      <w:start w:val="0"/>
      <w:numFmt w:val="bullet"/>
      <w:lvlText w:val="•"/>
      <w:lvlJc w:val="left"/>
      <w:pPr>
        <w:ind w:left="2805" w:hanging="361"/>
      </w:pPr>
      <w:rPr>
        <w:rFonts w:hint="default"/>
        <w:lang w:val="zh-CN" w:eastAsia="zh-CN" w:bidi="zh-CN"/>
      </w:rPr>
    </w:lvl>
    <w:lvl w:ilvl="3">
      <w:start w:val="0"/>
      <w:numFmt w:val="bullet"/>
      <w:lvlText w:val="•"/>
      <w:lvlJc w:val="left"/>
      <w:pPr>
        <w:ind w:left="3667" w:hanging="361"/>
      </w:pPr>
      <w:rPr>
        <w:rFonts w:hint="default"/>
        <w:lang w:val="zh-CN" w:eastAsia="zh-CN" w:bidi="zh-CN"/>
      </w:rPr>
    </w:lvl>
    <w:lvl w:ilvl="4">
      <w:start w:val="0"/>
      <w:numFmt w:val="bullet"/>
      <w:lvlText w:val="•"/>
      <w:lvlJc w:val="left"/>
      <w:pPr>
        <w:ind w:left="4530" w:hanging="361"/>
      </w:pPr>
      <w:rPr>
        <w:rFonts w:hint="default"/>
        <w:lang w:val="zh-CN" w:eastAsia="zh-CN" w:bidi="zh-CN"/>
      </w:rPr>
    </w:lvl>
    <w:lvl w:ilvl="5">
      <w:start w:val="0"/>
      <w:numFmt w:val="bullet"/>
      <w:lvlText w:val="•"/>
      <w:lvlJc w:val="left"/>
      <w:pPr>
        <w:ind w:left="5393" w:hanging="361"/>
      </w:pPr>
      <w:rPr>
        <w:rFonts w:hint="default"/>
        <w:lang w:val="zh-CN" w:eastAsia="zh-CN" w:bidi="zh-CN"/>
      </w:rPr>
    </w:lvl>
    <w:lvl w:ilvl="6">
      <w:start w:val="0"/>
      <w:numFmt w:val="bullet"/>
      <w:lvlText w:val="•"/>
      <w:lvlJc w:val="left"/>
      <w:pPr>
        <w:ind w:left="6255" w:hanging="361"/>
      </w:pPr>
      <w:rPr>
        <w:rFonts w:hint="default"/>
        <w:lang w:val="zh-CN" w:eastAsia="zh-CN" w:bidi="zh-CN"/>
      </w:rPr>
    </w:lvl>
    <w:lvl w:ilvl="7">
      <w:start w:val="0"/>
      <w:numFmt w:val="bullet"/>
      <w:lvlText w:val="•"/>
      <w:lvlJc w:val="left"/>
      <w:pPr>
        <w:ind w:left="7118" w:hanging="361"/>
      </w:pPr>
      <w:rPr>
        <w:rFonts w:hint="default"/>
        <w:lang w:val="zh-CN" w:eastAsia="zh-CN" w:bidi="zh-CN"/>
      </w:rPr>
    </w:lvl>
    <w:lvl w:ilvl="8">
      <w:start w:val="0"/>
      <w:numFmt w:val="bullet"/>
      <w:lvlText w:val="•"/>
      <w:lvlJc w:val="left"/>
      <w:pPr>
        <w:ind w:left="7981" w:hanging="361"/>
      </w:pPr>
      <w:rPr>
        <w:rFonts w:hint="default"/>
        <w:lang w:val="zh-CN" w:eastAsia="zh-CN" w:bidi="zh-CN"/>
      </w:rPr>
    </w:lvl>
  </w:abstractNum>
  <w:abstractNum w:abstractNumId="35">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1"/>
        <w:w w:val="100"/>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34">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1416" w:hanging="604"/>
      </w:pPr>
      <w:rPr>
        <w:rFonts w:hint="default"/>
        <w:lang w:val="zh-CN" w:eastAsia="zh-CN" w:bidi="zh-CN"/>
      </w:rPr>
    </w:lvl>
    <w:lvl w:ilvl="2">
      <w:start w:val="0"/>
      <w:numFmt w:val="bullet"/>
      <w:lvlText w:val="•"/>
      <w:lvlJc w:val="left"/>
      <w:pPr>
        <w:ind w:left="1512" w:hanging="604"/>
      </w:pPr>
      <w:rPr>
        <w:rFonts w:hint="default"/>
        <w:lang w:val="zh-CN" w:eastAsia="zh-CN" w:bidi="zh-CN"/>
      </w:rPr>
    </w:lvl>
    <w:lvl w:ilvl="3">
      <w:start w:val="0"/>
      <w:numFmt w:val="bullet"/>
      <w:lvlText w:val="•"/>
      <w:lvlJc w:val="left"/>
      <w:pPr>
        <w:ind w:left="1609" w:hanging="604"/>
      </w:pPr>
      <w:rPr>
        <w:rFonts w:hint="default"/>
        <w:lang w:val="zh-CN" w:eastAsia="zh-CN" w:bidi="zh-CN"/>
      </w:rPr>
    </w:lvl>
    <w:lvl w:ilvl="4">
      <w:start w:val="0"/>
      <w:numFmt w:val="bullet"/>
      <w:lvlText w:val="•"/>
      <w:lvlJc w:val="left"/>
      <w:pPr>
        <w:ind w:left="1705" w:hanging="604"/>
      </w:pPr>
      <w:rPr>
        <w:rFonts w:hint="default"/>
        <w:lang w:val="zh-CN" w:eastAsia="zh-CN" w:bidi="zh-CN"/>
      </w:rPr>
    </w:lvl>
    <w:lvl w:ilvl="5">
      <w:start w:val="0"/>
      <w:numFmt w:val="bullet"/>
      <w:lvlText w:val="•"/>
      <w:lvlJc w:val="left"/>
      <w:pPr>
        <w:ind w:left="1802" w:hanging="604"/>
      </w:pPr>
      <w:rPr>
        <w:rFonts w:hint="default"/>
        <w:lang w:val="zh-CN" w:eastAsia="zh-CN" w:bidi="zh-CN"/>
      </w:rPr>
    </w:lvl>
    <w:lvl w:ilvl="6">
      <w:start w:val="0"/>
      <w:numFmt w:val="bullet"/>
      <w:lvlText w:val="•"/>
      <w:lvlJc w:val="left"/>
      <w:pPr>
        <w:ind w:left="1898" w:hanging="604"/>
      </w:pPr>
      <w:rPr>
        <w:rFonts w:hint="default"/>
        <w:lang w:val="zh-CN" w:eastAsia="zh-CN" w:bidi="zh-CN"/>
      </w:rPr>
    </w:lvl>
    <w:lvl w:ilvl="7">
      <w:start w:val="0"/>
      <w:numFmt w:val="bullet"/>
      <w:lvlText w:val="•"/>
      <w:lvlJc w:val="left"/>
      <w:pPr>
        <w:ind w:left="1994" w:hanging="604"/>
      </w:pPr>
      <w:rPr>
        <w:rFonts w:hint="default"/>
        <w:lang w:val="zh-CN" w:eastAsia="zh-CN" w:bidi="zh-CN"/>
      </w:rPr>
    </w:lvl>
    <w:lvl w:ilvl="8">
      <w:start w:val="0"/>
      <w:numFmt w:val="bullet"/>
      <w:lvlText w:val="•"/>
      <w:lvlJc w:val="left"/>
      <w:pPr>
        <w:ind w:left="2091" w:hanging="604"/>
      </w:pPr>
      <w:rPr>
        <w:rFonts w:hint="default"/>
        <w:lang w:val="zh-CN" w:eastAsia="zh-CN" w:bidi="zh-CN"/>
      </w:rPr>
    </w:lvl>
  </w:abstractNum>
  <w:abstractNum w:abstractNumId="33">
    <w:multiLevelType w:val="hybridMultilevel"/>
    <w:lvl w:ilvl="0">
      <w:start w:val="1"/>
      <w:numFmt w:val="decimal"/>
      <w:lvlText w:val="%1）"/>
      <w:lvlJc w:val="left"/>
      <w:pPr>
        <w:ind w:left="1078" w:hanging="361"/>
        <w:jc w:val="left"/>
      </w:pPr>
      <w:rPr>
        <w:rFonts w:hint="default" w:ascii="Times New Roman" w:hAnsi="Times New Roman" w:eastAsia="Times New Roman" w:cs="Times New Roman"/>
        <w:spacing w:val="-20"/>
        <w:w w:val="100"/>
        <w:position w:val="1"/>
        <w:sz w:val="22"/>
        <w:szCs w:val="22"/>
        <w:lang w:val="zh-CN" w:eastAsia="zh-CN" w:bidi="zh-CN"/>
      </w:rPr>
    </w:lvl>
    <w:lvl w:ilvl="1">
      <w:start w:val="0"/>
      <w:numFmt w:val="bullet"/>
      <w:lvlText w:val="•"/>
      <w:lvlJc w:val="left"/>
      <w:pPr>
        <w:ind w:left="1223" w:hanging="361"/>
      </w:pPr>
      <w:rPr>
        <w:rFonts w:hint="default"/>
        <w:lang w:val="zh-CN" w:eastAsia="zh-CN" w:bidi="zh-CN"/>
      </w:rPr>
    </w:lvl>
    <w:lvl w:ilvl="2">
      <w:start w:val="0"/>
      <w:numFmt w:val="bullet"/>
      <w:lvlText w:val="•"/>
      <w:lvlJc w:val="left"/>
      <w:pPr>
        <w:ind w:left="1367" w:hanging="361"/>
      </w:pPr>
      <w:rPr>
        <w:rFonts w:hint="default"/>
        <w:lang w:val="zh-CN" w:eastAsia="zh-CN" w:bidi="zh-CN"/>
      </w:rPr>
    </w:lvl>
    <w:lvl w:ilvl="3">
      <w:start w:val="0"/>
      <w:numFmt w:val="bullet"/>
      <w:lvlText w:val="•"/>
      <w:lvlJc w:val="left"/>
      <w:pPr>
        <w:ind w:left="1511" w:hanging="361"/>
      </w:pPr>
      <w:rPr>
        <w:rFonts w:hint="default"/>
        <w:lang w:val="zh-CN" w:eastAsia="zh-CN" w:bidi="zh-CN"/>
      </w:rPr>
    </w:lvl>
    <w:lvl w:ilvl="4">
      <w:start w:val="0"/>
      <w:numFmt w:val="bullet"/>
      <w:lvlText w:val="•"/>
      <w:lvlJc w:val="left"/>
      <w:pPr>
        <w:ind w:left="1654" w:hanging="361"/>
      </w:pPr>
      <w:rPr>
        <w:rFonts w:hint="default"/>
        <w:lang w:val="zh-CN" w:eastAsia="zh-CN" w:bidi="zh-CN"/>
      </w:rPr>
    </w:lvl>
    <w:lvl w:ilvl="5">
      <w:start w:val="0"/>
      <w:numFmt w:val="bullet"/>
      <w:lvlText w:val="•"/>
      <w:lvlJc w:val="left"/>
      <w:pPr>
        <w:ind w:left="1798" w:hanging="361"/>
      </w:pPr>
      <w:rPr>
        <w:rFonts w:hint="default"/>
        <w:lang w:val="zh-CN" w:eastAsia="zh-CN" w:bidi="zh-CN"/>
      </w:rPr>
    </w:lvl>
    <w:lvl w:ilvl="6">
      <w:start w:val="0"/>
      <w:numFmt w:val="bullet"/>
      <w:lvlText w:val="•"/>
      <w:lvlJc w:val="left"/>
      <w:pPr>
        <w:ind w:left="1942" w:hanging="361"/>
      </w:pPr>
      <w:rPr>
        <w:rFonts w:hint="default"/>
        <w:lang w:val="zh-CN" w:eastAsia="zh-CN" w:bidi="zh-CN"/>
      </w:rPr>
    </w:lvl>
    <w:lvl w:ilvl="7">
      <w:start w:val="0"/>
      <w:numFmt w:val="bullet"/>
      <w:lvlText w:val="•"/>
      <w:lvlJc w:val="left"/>
      <w:pPr>
        <w:ind w:left="2086" w:hanging="361"/>
      </w:pPr>
      <w:rPr>
        <w:rFonts w:hint="default"/>
        <w:lang w:val="zh-CN" w:eastAsia="zh-CN" w:bidi="zh-CN"/>
      </w:rPr>
    </w:lvl>
    <w:lvl w:ilvl="8">
      <w:start w:val="0"/>
      <w:numFmt w:val="bullet"/>
      <w:lvlText w:val="•"/>
      <w:lvlJc w:val="left"/>
      <w:pPr>
        <w:ind w:left="2229" w:hanging="361"/>
      </w:pPr>
      <w:rPr>
        <w:rFonts w:hint="default"/>
        <w:lang w:val="zh-CN" w:eastAsia="zh-CN" w:bidi="zh-CN"/>
      </w:rPr>
    </w:lvl>
  </w:abstractNum>
  <w:abstractNum w:abstractNumId="32">
    <w:multiLevelType w:val="hybridMultilevel"/>
    <w:lvl w:ilvl="0">
      <w:start w:val="3"/>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23" w:hanging="604"/>
        <w:jc w:val="left"/>
      </w:pPr>
      <w:rPr>
        <w:rFonts w:hint="default"/>
        <w:b/>
        <w:bCs/>
        <w:spacing w:val="0"/>
        <w:w w:val="99"/>
        <w:lang w:val="zh-CN" w:eastAsia="zh-CN" w:bidi="zh-CN"/>
      </w:rPr>
    </w:lvl>
    <w:lvl w:ilvl="4">
      <w:start w:val="0"/>
      <w:numFmt w:val="bullet"/>
      <w:lvlText w:val="•"/>
      <w:lvlJc w:val="left"/>
      <w:pPr>
        <w:ind w:left="3416" w:hanging="604"/>
      </w:pPr>
      <w:rPr>
        <w:rFonts w:hint="default"/>
        <w:lang w:val="zh-CN" w:eastAsia="zh-CN" w:bidi="zh-CN"/>
      </w:rPr>
    </w:lvl>
    <w:lvl w:ilvl="5">
      <w:start w:val="0"/>
      <w:numFmt w:val="bullet"/>
      <w:lvlText w:val="•"/>
      <w:lvlJc w:val="left"/>
      <w:pPr>
        <w:ind w:left="4464" w:hanging="604"/>
      </w:pPr>
      <w:rPr>
        <w:rFonts w:hint="default"/>
        <w:lang w:val="zh-CN" w:eastAsia="zh-CN" w:bidi="zh-CN"/>
      </w:rPr>
    </w:lvl>
    <w:lvl w:ilvl="6">
      <w:start w:val="0"/>
      <w:numFmt w:val="bullet"/>
      <w:lvlText w:val="•"/>
      <w:lvlJc w:val="left"/>
      <w:pPr>
        <w:ind w:left="5513" w:hanging="604"/>
      </w:pPr>
      <w:rPr>
        <w:rFonts w:hint="default"/>
        <w:lang w:val="zh-CN" w:eastAsia="zh-CN" w:bidi="zh-CN"/>
      </w:rPr>
    </w:lvl>
    <w:lvl w:ilvl="7">
      <w:start w:val="0"/>
      <w:numFmt w:val="bullet"/>
      <w:lvlText w:val="•"/>
      <w:lvlJc w:val="left"/>
      <w:pPr>
        <w:ind w:left="6561" w:hanging="604"/>
      </w:pPr>
      <w:rPr>
        <w:rFonts w:hint="default"/>
        <w:lang w:val="zh-CN" w:eastAsia="zh-CN" w:bidi="zh-CN"/>
      </w:rPr>
    </w:lvl>
    <w:lvl w:ilvl="8">
      <w:start w:val="0"/>
      <w:numFmt w:val="bullet"/>
      <w:lvlText w:val="•"/>
      <w:lvlJc w:val="left"/>
      <w:pPr>
        <w:ind w:left="7609" w:hanging="604"/>
      </w:pPr>
      <w:rPr>
        <w:rFonts w:hint="default"/>
        <w:lang w:val="zh-CN" w:eastAsia="zh-CN" w:bidi="zh-CN"/>
      </w:rPr>
    </w:lvl>
  </w:abstractNum>
  <w:abstractNum w:abstractNumId="31">
    <w:multiLevelType w:val="hybridMultilevel"/>
    <w:lvl w:ilvl="0">
      <w:start w:val="2"/>
      <w:numFmt w:val="decimal"/>
      <w:lvlText w:val="%1"/>
      <w:lvlJc w:val="left"/>
      <w:pPr>
        <w:ind w:left="729" w:hanging="492"/>
        <w:jc w:val="left"/>
      </w:pPr>
      <w:rPr>
        <w:rFonts w:hint="default"/>
        <w:lang w:val="zh-CN" w:eastAsia="zh-CN" w:bidi="zh-CN"/>
      </w:rPr>
    </w:lvl>
    <w:lvl w:ilvl="1">
      <w:start w:val="6"/>
      <w:numFmt w:val="decimal"/>
      <w:lvlText w:val="%1.%2"/>
      <w:lvlJc w:val="left"/>
      <w:pPr>
        <w:ind w:left="729" w:hanging="492"/>
        <w:jc w:val="left"/>
      </w:pPr>
      <w:rPr>
        <w:rFonts w:hint="default" w:ascii="Times New Roman" w:hAnsi="Times New Roman" w:eastAsia="Times New Roman" w:cs="Times New Roman"/>
        <w:b/>
        <w:bCs/>
        <w:spacing w:val="-1"/>
        <w:w w:val="100"/>
        <w:sz w:val="28"/>
        <w:szCs w:val="28"/>
        <w:lang w:val="zh-CN" w:eastAsia="zh-CN" w:bidi="zh-CN"/>
      </w:rPr>
    </w:lvl>
    <w:lvl w:ilvl="2">
      <w:start w:val="1"/>
      <w:numFmt w:val="decimal"/>
      <w:lvlText w:val="（%3）"/>
      <w:lvlJc w:val="left"/>
      <w:pPr>
        <w:ind w:left="237" w:hanging="601"/>
        <w:jc w:val="left"/>
      </w:pPr>
      <w:rPr>
        <w:rFonts w:hint="default" w:ascii="宋体" w:hAnsi="宋体" w:eastAsia="宋体" w:cs="宋体"/>
        <w:spacing w:val="-8"/>
        <w:w w:val="100"/>
        <w:sz w:val="22"/>
        <w:szCs w:val="22"/>
        <w:lang w:val="zh-CN" w:eastAsia="zh-CN" w:bidi="zh-CN"/>
      </w:rPr>
    </w:lvl>
    <w:lvl w:ilvl="3">
      <w:start w:val="0"/>
      <w:numFmt w:val="bullet"/>
      <w:lvlText w:val="•"/>
      <w:lvlJc w:val="left"/>
      <w:pPr>
        <w:ind w:left="2716" w:hanging="601"/>
      </w:pPr>
      <w:rPr>
        <w:rFonts w:hint="default"/>
        <w:lang w:val="zh-CN" w:eastAsia="zh-CN" w:bidi="zh-CN"/>
      </w:rPr>
    </w:lvl>
    <w:lvl w:ilvl="4">
      <w:start w:val="0"/>
      <w:numFmt w:val="bullet"/>
      <w:lvlText w:val="•"/>
      <w:lvlJc w:val="left"/>
      <w:pPr>
        <w:ind w:left="3715" w:hanging="601"/>
      </w:pPr>
      <w:rPr>
        <w:rFonts w:hint="default"/>
        <w:lang w:val="zh-CN" w:eastAsia="zh-CN" w:bidi="zh-CN"/>
      </w:rPr>
    </w:lvl>
    <w:lvl w:ilvl="5">
      <w:start w:val="0"/>
      <w:numFmt w:val="bullet"/>
      <w:lvlText w:val="•"/>
      <w:lvlJc w:val="left"/>
      <w:pPr>
        <w:ind w:left="4713" w:hanging="601"/>
      </w:pPr>
      <w:rPr>
        <w:rFonts w:hint="default"/>
        <w:lang w:val="zh-CN" w:eastAsia="zh-CN" w:bidi="zh-CN"/>
      </w:rPr>
    </w:lvl>
    <w:lvl w:ilvl="6">
      <w:start w:val="0"/>
      <w:numFmt w:val="bullet"/>
      <w:lvlText w:val="•"/>
      <w:lvlJc w:val="left"/>
      <w:pPr>
        <w:ind w:left="5712" w:hanging="601"/>
      </w:pPr>
      <w:rPr>
        <w:rFonts w:hint="default"/>
        <w:lang w:val="zh-CN" w:eastAsia="zh-CN" w:bidi="zh-CN"/>
      </w:rPr>
    </w:lvl>
    <w:lvl w:ilvl="7">
      <w:start w:val="0"/>
      <w:numFmt w:val="bullet"/>
      <w:lvlText w:val="•"/>
      <w:lvlJc w:val="left"/>
      <w:pPr>
        <w:ind w:left="6710" w:hanging="601"/>
      </w:pPr>
      <w:rPr>
        <w:rFonts w:hint="default"/>
        <w:lang w:val="zh-CN" w:eastAsia="zh-CN" w:bidi="zh-CN"/>
      </w:rPr>
    </w:lvl>
    <w:lvl w:ilvl="8">
      <w:start w:val="0"/>
      <w:numFmt w:val="bullet"/>
      <w:lvlText w:val="•"/>
      <w:lvlJc w:val="left"/>
      <w:pPr>
        <w:ind w:left="7709" w:hanging="601"/>
      </w:pPr>
      <w:rPr>
        <w:rFonts w:hint="default"/>
        <w:lang w:val="zh-CN" w:eastAsia="zh-CN" w:bidi="zh-CN"/>
      </w:rPr>
    </w:lvl>
  </w:abstractNum>
  <w:abstractNum w:abstractNumId="30">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29">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28">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27">
    <w:multiLevelType w:val="hybridMultilevel"/>
    <w:lvl w:ilvl="0">
      <w:start w:val="17"/>
      <w:numFmt w:val="decimal"/>
      <w:lvlText w:val="%1"/>
      <w:lvlJc w:val="left"/>
      <w:pPr>
        <w:ind w:left="778" w:hanging="541"/>
        <w:jc w:val="left"/>
      </w:pPr>
      <w:rPr>
        <w:rFonts w:hint="default"/>
        <w:lang w:val="zh-CN" w:eastAsia="zh-CN" w:bidi="zh-CN"/>
      </w:rPr>
    </w:lvl>
    <w:lvl w:ilvl="1">
      <w:start w:val="6"/>
      <w:numFmt w:val="decimalZero"/>
      <w:lvlText w:val="%1.%2"/>
      <w:lvlJc w:val="left"/>
      <w:pPr>
        <w:ind w:left="778" w:hanging="541"/>
        <w:jc w:val="left"/>
      </w:pPr>
      <w:rPr>
        <w:rFonts w:hint="default" w:ascii="Times New Roman" w:hAnsi="Times New Roman" w:eastAsia="Times New Roman" w:cs="Times New Roman"/>
        <w:w w:val="100"/>
        <w:position w:val="1"/>
        <w:sz w:val="22"/>
        <w:szCs w:val="22"/>
        <w:lang w:val="zh-CN" w:eastAsia="zh-CN" w:bidi="zh-CN"/>
      </w:rPr>
    </w:lvl>
    <w:lvl w:ilvl="2">
      <w:start w:val="1"/>
      <w:numFmt w:val="decimal"/>
      <w:lvlText w:val="（%3）"/>
      <w:lvlJc w:val="left"/>
      <w:pPr>
        <w:ind w:left="1318" w:hanging="601"/>
        <w:jc w:val="left"/>
      </w:pPr>
      <w:rPr>
        <w:rFonts w:hint="default" w:ascii="宋体" w:hAnsi="宋体" w:eastAsia="宋体" w:cs="宋体"/>
        <w:spacing w:val="-8"/>
        <w:w w:val="100"/>
        <w:sz w:val="22"/>
        <w:szCs w:val="22"/>
        <w:lang w:val="zh-CN" w:eastAsia="zh-CN" w:bidi="zh-CN"/>
      </w:rPr>
    </w:lvl>
    <w:lvl w:ilvl="3">
      <w:start w:val="0"/>
      <w:numFmt w:val="bullet"/>
      <w:lvlText w:val="•"/>
      <w:lvlJc w:val="left"/>
      <w:pPr>
        <w:ind w:left="3183" w:hanging="601"/>
      </w:pPr>
      <w:rPr>
        <w:rFonts w:hint="default"/>
        <w:lang w:val="zh-CN" w:eastAsia="zh-CN" w:bidi="zh-CN"/>
      </w:rPr>
    </w:lvl>
    <w:lvl w:ilvl="4">
      <w:start w:val="0"/>
      <w:numFmt w:val="bullet"/>
      <w:lvlText w:val="•"/>
      <w:lvlJc w:val="left"/>
      <w:pPr>
        <w:ind w:left="4115" w:hanging="601"/>
      </w:pPr>
      <w:rPr>
        <w:rFonts w:hint="default"/>
        <w:lang w:val="zh-CN" w:eastAsia="zh-CN" w:bidi="zh-CN"/>
      </w:rPr>
    </w:lvl>
    <w:lvl w:ilvl="5">
      <w:start w:val="0"/>
      <w:numFmt w:val="bullet"/>
      <w:lvlText w:val="•"/>
      <w:lvlJc w:val="left"/>
      <w:pPr>
        <w:ind w:left="5047" w:hanging="601"/>
      </w:pPr>
      <w:rPr>
        <w:rFonts w:hint="default"/>
        <w:lang w:val="zh-CN" w:eastAsia="zh-CN" w:bidi="zh-CN"/>
      </w:rPr>
    </w:lvl>
    <w:lvl w:ilvl="6">
      <w:start w:val="0"/>
      <w:numFmt w:val="bullet"/>
      <w:lvlText w:val="•"/>
      <w:lvlJc w:val="left"/>
      <w:pPr>
        <w:ind w:left="5979" w:hanging="601"/>
      </w:pPr>
      <w:rPr>
        <w:rFonts w:hint="default"/>
        <w:lang w:val="zh-CN" w:eastAsia="zh-CN" w:bidi="zh-CN"/>
      </w:rPr>
    </w:lvl>
    <w:lvl w:ilvl="7">
      <w:start w:val="0"/>
      <w:numFmt w:val="bullet"/>
      <w:lvlText w:val="•"/>
      <w:lvlJc w:val="left"/>
      <w:pPr>
        <w:ind w:left="6910" w:hanging="601"/>
      </w:pPr>
      <w:rPr>
        <w:rFonts w:hint="default"/>
        <w:lang w:val="zh-CN" w:eastAsia="zh-CN" w:bidi="zh-CN"/>
      </w:rPr>
    </w:lvl>
    <w:lvl w:ilvl="8">
      <w:start w:val="0"/>
      <w:numFmt w:val="bullet"/>
      <w:lvlText w:val="•"/>
      <w:lvlJc w:val="left"/>
      <w:pPr>
        <w:ind w:left="7842" w:hanging="601"/>
      </w:pPr>
      <w:rPr>
        <w:rFonts w:hint="default"/>
        <w:lang w:val="zh-CN" w:eastAsia="zh-CN" w:bidi="zh-CN"/>
      </w:rPr>
    </w:lvl>
  </w:abstractNum>
  <w:abstractNum w:abstractNumId="26">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25">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8"/>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24">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23">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22">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21">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8"/>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20">
    <w:multiLevelType w:val="hybridMultilevel"/>
    <w:lvl w:ilvl="0">
      <w:start w:val="1"/>
      <w:numFmt w:val="decimal"/>
      <w:lvlText w:val="%1）"/>
      <w:lvlJc w:val="left"/>
      <w:pPr>
        <w:ind w:left="1078" w:hanging="361"/>
        <w:jc w:val="left"/>
      </w:pPr>
      <w:rPr>
        <w:rFonts w:hint="default" w:ascii="Times New Roman" w:hAnsi="Times New Roman" w:eastAsia="Times New Roman" w:cs="Times New Roman"/>
        <w:w w:val="100"/>
        <w:position w:val="1"/>
        <w:sz w:val="22"/>
        <w:szCs w:val="22"/>
        <w:lang w:val="zh-CN" w:eastAsia="zh-CN" w:bidi="zh-CN"/>
      </w:rPr>
    </w:lvl>
    <w:lvl w:ilvl="1">
      <w:start w:val="0"/>
      <w:numFmt w:val="bullet"/>
      <w:lvlText w:val="•"/>
      <w:lvlJc w:val="left"/>
      <w:pPr>
        <w:ind w:left="1942" w:hanging="361"/>
      </w:pPr>
      <w:rPr>
        <w:rFonts w:hint="default"/>
        <w:lang w:val="zh-CN" w:eastAsia="zh-CN" w:bidi="zh-CN"/>
      </w:rPr>
    </w:lvl>
    <w:lvl w:ilvl="2">
      <w:start w:val="0"/>
      <w:numFmt w:val="bullet"/>
      <w:lvlText w:val="•"/>
      <w:lvlJc w:val="left"/>
      <w:pPr>
        <w:ind w:left="2805" w:hanging="361"/>
      </w:pPr>
      <w:rPr>
        <w:rFonts w:hint="default"/>
        <w:lang w:val="zh-CN" w:eastAsia="zh-CN" w:bidi="zh-CN"/>
      </w:rPr>
    </w:lvl>
    <w:lvl w:ilvl="3">
      <w:start w:val="0"/>
      <w:numFmt w:val="bullet"/>
      <w:lvlText w:val="•"/>
      <w:lvlJc w:val="left"/>
      <w:pPr>
        <w:ind w:left="3667" w:hanging="361"/>
      </w:pPr>
      <w:rPr>
        <w:rFonts w:hint="default"/>
        <w:lang w:val="zh-CN" w:eastAsia="zh-CN" w:bidi="zh-CN"/>
      </w:rPr>
    </w:lvl>
    <w:lvl w:ilvl="4">
      <w:start w:val="0"/>
      <w:numFmt w:val="bullet"/>
      <w:lvlText w:val="•"/>
      <w:lvlJc w:val="left"/>
      <w:pPr>
        <w:ind w:left="4530" w:hanging="361"/>
      </w:pPr>
      <w:rPr>
        <w:rFonts w:hint="default"/>
        <w:lang w:val="zh-CN" w:eastAsia="zh-CN" w:bidi="zh-CN"/>
      </w:rPr>
    </w:lvl>
    <w:lvl w:ilvl="5">
      <w:start w:val="0"/>
      <w:numFmt w:val="bullet"/>
      <w:lvlText w:val="•"/>
      <w:lvlJc w:val="left"/>
      <w:pPr>
        <w:ind w:left="5393" w:hanging="361"/>
      </w:pPr>
      <w:rPr>
        <w:rFonts w:hint="default"/>
        <w:lang w:val="zh-CN" w:eastAsia="zh-CN" w:bidi="zh-CN"/>
      </w:rPr>
    </w:lvl>
    <w:lvl w:ilvl="6">
      <w:start w:val="0"/>
      <w:numFmt w:val="bullet"/>
      <w:lvlText w:val="•"/>
      <w:lvlJc w:val="left"/>
      <w:pPr>
        <w:ind w:left="6255" w:hanging="361"/>
      </w:pPr>
      <w:rPr>
        <w:rFonts w:hint="default"/>
        <w:lang w:val="zh-CN" w:eastAsia="zh-CN" w:bidi="zh-CN"/>
      </w:rPr>
    </w:lvl>
    <w:lvl w:ilvl="7">
      <w:start w:val="0"/>
      <w:numFmt w:val="bullet"/>
      <w:lvlText w:val="•"/>
      <w:lvlJc w:val="left"/>
      <w:pPr>
        <w:ind w:left="7118" w:hanging="361"/>
      </w:pPr>
      <w:rPr>
        <w:rFonts w:hint="default"/>
        <w:lang w:val="zh-CN" w:eastAsia="zh-CN" w:bidi="zh-CN"/>
      </w:rPr>
    </w:lvl>
    <w:lvl w:ilvl="8">
      <w:start w:val="0"/>
      <w:numFmt w:val="bullet"/>
      <w:lvlText w:val="•"/>
      <w:lvlJc w:val="left"/>
      <w:pPr>
        <w:ind w:left="7981" w:hanging="361"/>
      </w:pPr>
      <w:rPr>
        <w:rFonts w:hint="default"/>
        <w:lang w:val="zh-CN" w:eastAsia="zh-CN" w:bidi="zh-CN"/>
      </w:rPr>
    </w:lvl>
  </w:abstractNum>
  <w:abstractNum w:abstractNumId="19">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8"/>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18">
    <w:multiLevelType w:val="hybridMultilevel"/>
    <w:lvl w:ilvl="0">
      <w:start w:val="1"/>
      <w:numFmt w:val="decimal"/>
      <w:lvlText w:val="%1）"/>
      <w:lvlJc w:val="left"/>
      <w:pPr>
        <w:ind w:left="237" w:hanging="361"/>
        <w:jc w:val="left"/>
      </w:pPr>
      <w:rPr>
        <w:rFonts w:hint="default" w:ascii="Times New Roman" w:hAnsi="Times New Roman" w:eastAsia="Times New Roman" w:cs="Times New Roman"/>
        <w:spacing w:val="-5"/>
        <w:w w:val="100"/>
        <w:position w:val="1"/>
        <w:sz w:val="22"/>
        <w:szCs w:val="22"/>
        <w:lang w:val="zh-CN" w:eastAsia="zh-CN" w:bidi="zh-CN"/>
      </w:rPr>
    </w:lvl>
    <w:lvl w:ilvl="1">
      <w:start w:val="0"/>
      <w:numFmt w:val="bullet"/>
      <w:lvlText w:val="•"/>
      <w:lvlJc w:val="left"/>
      <w:pPr>
        <w:ind w:left="1186" w:hanging="361"/>
      </w:pPr>
      <w:rPr>
        <w:rFonts w:hint="default"/>
        <w:lang w:val="zh-CN" w:eastAsia="zh-CN" w:bidi="zh-CN"/>
      </w:rPr>
    </w:lvl>
    <w:lvl w:ilvl="2">
      <w:start w:val="0"/>
      <w:numFmt w:val="bullet"/>
      <w:lvlText w:val="•"/>
      <w:lvlJc w:val="left"/>
      <w:pPr>
        <w:ind w:left="2133" w:hanging="361"/>
      </w:pPr>
      <w:rPr>
        <w:rFonts w:hint="default"/>
        <w:lang w:val="zh-CN" w:eastAsia="zh-CN" w:bidi="zh-CN"/>
      </w:rPr>
    </w:lvl>
    <w:lvl w:ilvl="3">
      <w:start w:val="0"/>
      <w:numFmt w:val="bullet"/>
      <w:lvlText w:val="•"/>
      <w:lvlJc w:val="left"/>
      <w:pPr>
        <w:ind w:left="3079" w:hanging="361"/>
      </w:pPr>
      <w:rPr>
        <w:rFonts w:hint="default"/>
        <w:lang w:val="zh-CN" w:eastAsia="zh-CN" w:bidi="zh-CN"/>
      </w:rPr>
    </w:lvl>
    <w:lvl w:ilvl="4">
      <w:start w:val="0"/>
      <w:numFmt w:val="bullet"/>
      <w:lvlText w:val="•"/>
      <w:lvlJc w:val="left"/>
      <w:pPr>
        <w:ind w:left="4026" w:hanging="361"/>
      </w:pPr>
      <w:rPr>
        <w:rFonts w:hint="default"/>
        <w:lang w:val="zh-CN" w:eastAsia="zh-CN" w:bidi="zh-CN"/>
      </w:rPr>
    </w:lvl>
    <w:lvl w:ilvl="5">
      <w:start w:val="0"/>
      <w:numFmt w:val="bullet"/>
      <w:lvlText w:val="•"/>
      <w:lvlJc w:val="left"/>
      <w:pPr>
        <w:ind w:left="4973" w:hanging="361"/>
      </w:pPr>
      <w:rPr>
        <w:rFonts w:hint="default"/>
        <w:lang w:val="zh-CN" w:eastAsia="zh-CN" w:bidi="zh-CN"/>
      </w:rPr>
    </w:lvl>
    <w:lvl w:ilvl="6">
      <w:start w:val="0"/>
      <w:numFmt w:val="bullet"/>
      <w:lvlText w:val="•"/>
      <w:lvlJc w:val="left"/>
      <w:pPr>
        <w:ind w:left="5919" w:hanging="361"/>
      </w:pPr>
      <w:rPr>
        <w:rFonts w:hint="default"/>
        <w:lang w:val="zh-CN" w:eastAsia="zh-CN" w:bidi="zh-CN"/>
      </w:rPr>
    </w:lvl>
    <w:lvl w:ilvl="7">
      <w:start w:val="0"/>
      <w:numFmt w:val="bullet"/>
      <w:lvlText w:val="•"/>
      <w:lvlJc w:val="left"/>
      <w:pPr>
        <w:ind w:left="6866" w:hanging="361"/>
      </w:pPr>
      <w:rPr>
        <w:rFonts w:hint="default"/>
        <w:lang w:val="zh-CN" w:eastAsia="zh-CN" w:bidi="zh-CN"/>
      </w:rPr>
    </w:lvl>
    <w:lvl w:ilvl="8">
      <w:start w:val="0"/>
      <w:numFmt w:val="bullet"/>
      <w:lvlText w:val="•"/>
      <w:lvlJc w:val="left"/>
      <w:pPr>
        <w:ind w:left="7813" w:hanging="361"/>
      </w:pPr>
      <w:rPr>
        <w:rFonts w:hint="default"/>
        <w:lang w:val="zh-CN" w:eastAsia="zh-CN" w:bidi="zh-CN"/>
      </w:rPr>
    </w:lvl>
  </w:abstractNum>
  <w:abstractNum w:abstractNumId="17">
    <w:multiLevelType w:val="hybridMultilevel"/>
    <w:lvl w:ilvl="0">
      <w:start w:val="413"/>
      <w:numFmt w:val="decimal"/>
      <w:lvlText w:val="%1"/>
      <w:lvlJc w:val="left"/>
      <w:pPr>
        <w:ind w:left="237" w:hanging="720"/>
        <w:jc w:val="left"/>
      </w:pPr>
      <w:rPr>
        <w:rFonts w:hint="default"/>
        <w:lang w:val="zh-CN" w:eastAsia="zh-CN" w:bidi="zh-CN"/>
      </w:rPr>
    </w:lvl>
    <w:lvl w:ilvl="1">
      <w:start w:val="67"/>
      <w:numFmt w:val="decimal"/>
      <w:lvlText w:val="%1.%2"/>
      <w:lvlJc w:val="left"/>
      <w:pPr>
        <w:ind w:left="237" w:hanging="720"/>
        <w:jc w:val="left"/>
      </w:pPr>
      <w:rPr>
        <w:rFonts w:hint="default" w:ascii="Times New Roman" w:hAnsi="Times New Roman" w:eastAsia="Times New Roman" w:cs="Times New Roman"/>
        <w:spacing w:val="-61"/>
        <w:w w:val="100"/>
        <w:position w:val="1"/>
        <w:sz w:val="24"/>
        <w:szCs w:val="24"/>
        <w:lang w:val="zh-CN" w:eastAsia="zh-CN" w:bidi="zh-CN"/>
      </w:rPr>
    </w:lvl>
    <w:lvl w:ilvl="2">
      <w:start w:val="1"/>
      <w:numFmt w:val="decimal"/>
      <w:lvlText w:val="（%3）"/>
      <w:lvlJc w:val="left"/>
      <w:pPr>
        <w:ind w:left="1323" w:hanging="604"/>
        <w:jc w:val="left"/>
      </w:pPr>
      <w:rPr>
        <w:rFonts w:hint="default" w:ascii="宋体" w:hAnsi="宋体" w:eastAsia="宋体" w:cs="宋体"/>
        <w:b/>
        <w:bCs/>
        <w:spacing w:val="0"/>
        <w:w w:val="99"/>
        <w:sz w:val="22"/>
        <w:szCs w:val="22"/>
        <w:lang w:val="zh-CN" w:eastAsia="zh-CN" w:bidi="zh-CN"/>
      </w:rPr>
    </w:lvl>
    <w:lvl w:ilvl="3">
      <w:start w:val="0"/>
      <w:numFmt w:val="bullet"/>
      <w:lvlText w:val="•"/>
      <w:lvlJc w:val="left"/>
      <w:pPr>
        <w:ind w:left="3183" w:hanging="604"/>
      </w:pPr>
      <w:rPr>
        <w:rFonts w:hint="default"/>
        <w:lang w:val="zh-CN" w:eastAsia="zh-CN" w:bidi="zh-CN"/>
      </w:rPr>
    </w:lvl>
    <w:lvl w:ilvl="4">
      <w:start w:val="0"/>
      <w:numFmt w:val="bullet"/>
      <w:lvlText w:val="•"/>
      <w:lvlJc w:val="left"/>
      <w:pPr>
        <w:ind w:left="4115" w:hanging="604"/>
      </w:pPr>
      <w:rPr>
        <w:rFonts w:hint="default"/>
        <w:lang w:val="zh-CN" w:eastAsia="zh-CN" w:bidi="zh-CN"/>
      </w:rPr>
    </w:lvl>
    <w:lvl w:ilvl="5">
      <w:start w:val="0"/>
      <w:numFmt w:val="bullet"/>
      <w:lvlText w:val="•"/>
      <w:lvlJc w:val="left"/>
      <w:pPr>
        <w:ind w:left="5047" w:hanging="604"/>
      </w:pPr>
      <w:rPr>
        <w:rFonts w:hint="default"/>
        <w:lang w:val="zh-CN" w:eastAsia="zh-CN" w:bidi="zh-CN"/>
      </w:rPr>
    </w:lvl>
    <w:lvl w:ilvl="6">
      <w:start w:val="0"/>
      <w:numFmt w:val="bullet"/>
      <w:lvlText w:val="•"/>
      <w:lvlJc w:val="left"/>
      <w:pPr>
        <w:ind w:left="5979" w:hanging="604"/>
      </w:pPr>
      <w:rPr>
        <w:rFonts w:hint="default"/>
        <w:lang w:val="zh-CN" w:eastAsia="zh-CN" w:bidi="zh-CN"/>
      </w:rPr>
    </w:lvl>
    <w:lvl w:ilvl="7">
      <w:start w:val="0"/>
      <w:numFmt w:val="bullet"/>
      <w:lvlText w:val="•"/>
      <w:lvlJc w:val="left"/>
      <w:pPr>
        <w:ind w:left="6910" w:hanging="604"/>
      </w:pPr>
      <w:rPr>
        <w:rFonts w:hint="default"/>
        <w:lang w:val="zh-CN" w:eastAsia="zh-CN" w:bidi="zh-CN"/>
      </w:rPr>
    </w:lvl>
    <w:lvl w:ilvl="8">
      <w:start w:val="0"/>
      <w:numFmt w:val="bullet"/>
      <w:lvlText w:val="•"/>
      <w:lvlJc w:val="left"/>
      <w:pPr>
        <w:ind w:left="7842" w:hanging="604"/>
      </w:pPr>
      <w:rPr>
        <w:rFonts w:hint="default"/>
        <w:lang w:val="zh-CN" w:eastAsia="zh-CN" w:bidi="zh-CN"/>
      </w:rPr>
    </w:lvl>
  </w:abstractNum>
  <w:abstractNum w:abstractNumId="16">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15">
    <w:multiLevelType w:val="hybridMultilevel"/>
    <w:lvl w:ilvl="0">
      <w:start w:val="2"/>
      <w:numFmt w:val="decimal"/>
      <w:lvlText w:val="%1"/>
      <w:lvlJc w:val="left"/>
      <w:pPr>
        <w:ind w:left="729" w:hanging="492"/>
        <w:jc w:val="left"/>
      </w:pPr>
      <w:rPr>
        <w:rFonts w:hint="default"/>
        <w:lang w:val="zh-CN" w:eastAsia="zh-CN" w:bidi="zh-CN"/>
      </w:rPr>
    </w:lvl>
    <w:lvl w:ilvl="1">
      <w:start w:val="5"/>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spacing w:val="-1"/>
        <w:w w:val="99"/>
        <w:sz w:val="24"/>
        <w:szCs w:val="24"/>
        <w:lang w:val="zh-CN" w:eastAsia="zh-CN" w:bidi="zh-CN"/>
      </w:rPr>
    </w:lvl>
    <w:lvl w:ilvl="3">
      <w:start w:val="1"/>
      <w:numFmt w:val="decimal"/>
      <w:lvlText w:val="（%4）"/>
      <w:lvlJc w:val="left"/>
      <w:pPr>
        <w:ind w:left="1323" w:hanging="604"/>
        <w:jc w:val="left"/>
      </w:pPr>
      <w:rPr>
        <w:rFonts w:hint="default"/>
        <w:b/>
        <w:bCs/>
        <w:spacing w:val="0"/>
        <w:w w:val="99"/>
        <w:lang w:val="zh-CN" w:eastAsia="zh-CN" w:bidi="zh-CN"/>
      </w:rPr>
    </w:lvl>
    <w:lvl w:ilvl="4">
      <w:start w:val="0"/>
      <w:numFmt w:val="bullet"/>
      <w:lvlText w:val="•"/>
      <w:lvlJc w:val="left"/>
      <w:pPr>
        <w:ind w:left="3416" w:hanging="604"/>
      </w:pPr>
      <w:rPr>
        <w:rFonts w:hint="default"/>
        <w:lang w:val="zh-CN" w:eastAsia="zh-CN" w:bidi="zh-CN"/>
      </w:rPr>
    </w:lvl>
    <w:lvl w:ilvl="5">
      <w:start w:val="0"/>
      <w:numFmt w:val="bullet"/>
      <w:lvlText w:val="•"/>
      <w:lvlJc w:val="left"/>
      <w:pPr>
        <w:ind w:left="4464" w:hanging="604"/>
      </w:pPr>
      <w:rPr>
        <w:rFonts w:hint="default"/>
        <w:lang w:val="zh-CN" w:eastAsia="zh-CN" w:bidi="zh-CN"/>
      </w:rPr>
    </w:lvl>
    <w:lvl w:ilvl="6">
      <w:start w:val="0"/>
      <w:numFmt w:val="bullet"/>
      <w:lvlText w:val="•"/>
      <w:lvlJc w:val="left"/>
      <w:pPr>
        <w:ind w:left="5513" w:hanging="604"/>
      </w:pPr>
      <w:rPr>
        <w:rFonts w:hint="default"/>
        <w:lang w:val="zh-CN" w:eastAsia="zh-CN" w:bidi="zh-CN"/>
      </w:rPr>
    </w:lvl>
    <w:lvl w:ilvl="7">
      <w:start w:val="0"/>
      <w:numFmt w:val="bullet"/>
      <w:lvlText w:val="•"/>
      <w:lvlJc w:val="left"/>
      <w:pPr>
        <w:ind w:left="6561" w:hanging="604"/>
      </w:pPr>
      <w:rPr>
        <w:rFonts w:hint="default"/>
        <w:lang w:val="zh-CN" w:eastAsia="zh-CN" w:bidi="zh-CN"/>
      </w:rPr>
    </w:lvl>
    <w:lvl w:ilvl="8">
      <w:start w:val="0"/>
      <w:numFmt w:val="bullet"/>
      <w:lvlText w:val="•"/>
      <w:lvlJc w:val="left"/>
      <w:pPr>
        <w:ind w:left="7609" w:hanging="604"/>
      </w:pPr>
      <w:rPr>
        <w:rFonts w:hint="default"/>
        <w:lang w:val="zh-CN" w:eastAsia="zh-CN" w:bidi="zh-CN"/>
      </w:rPr>
    </w:lvl>
  </w:abstractNum>
  <w:abstractNum w:abstractNumId="14">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13">
    <w:multiLevelType w:val="hybridMultilevel"/>
    <w:lvl w:ilvl="0">
      <w:start w:val="1"/>
      <w:numFmt w:val="decimal"/>
      <w:lvlText w:val="（%1）"/>
      <w:lvlJc w:val="left"/>
      <w:pPr>
        <w:ind w:left="1323" w:hanging="604"/>
        <w:jc w:val="left"/>
      </w:pPr>
      <w:rPr>
        <w:rFonts w:hint="default" w:ascii="宋体" w:hAnsi="宋体" w:eastAsia="宋体" w:cs="宋体"/>
        <w:b/>
        <w:bCs/>
        <w:spacing w:val="0"/>
        <w:w w:val="99"/>
        <w:sz w:val="22"/>
        <w:szCs w:val="22"/>
        <w:lang w:val="zh-CN" w:eastAsia="zh-CN" w:bidi="zh-CN"/>
      </w:rPr>
    </w:lvl>
    <w:lvl w:ilvl="1">
      <w:start w:val="0"/>
      <w:numFmt w:val="bullet"/>
      <w:lvlText w:val="•"/>
      <w:lvlJc w:val="left"/>
      <w:pPr>
        <w:ind w:left="2158" w:hanging="604"/>
      </w:pPr>
      <w:rPr>
        <w:rFonts w:hint="default"/>
        <w:lang w:val="zh-CN" w:eastAsia="zh-CN" w:bidi="zh-CN"/>
      </w:rPr>
    </w:lvl>
    <w:lvl w:ilvl="2">
      <w:start w:val="0"/>
      <w:numFmt w:val="bullet"/>
      <w:lvlText w:val="•"/>
      <w:lvlJc w:val="left"/>
      <w:pPr>
        <w:ind w:left="2997" w:hanging="604"/>
      </w:pPr>
      <w:rPr>
        <w:rFonts w:hint="default"/>
        <w:lang w:val="zh-CN" w:eastAsia="zh-CN" w:bidi="zh-CN"/>
      </w:rPr>
    </w:lvl>
    <w:lvl w:ilvl="3">
      <w:start w:val="0"/>
      <w:numFmt w:val="bullet"/>
      <w:lvlText w:val="•"/>
      <w:lvlJc w:val="left"/>
      <w:pPr>
        <w:ind w:left="3835" w:hanging="604"/>
      </w:pPr>
      <w:rPr>
        <w:rFonts w:hint="default"/>
        <w:lang w:val="zh-CN" w:eastAsia="zh-CN" w:bidi="zh-CN"/>
      </w:rPr>
    </w:lvl>
    <w:lvl w:ilvl="4">
      <w:start w:val="0"/>
      <w:numFmt w:val="bullet"/>
      <w:lvlText w:val="•"/>
      <w:lvlJc w:val="left"/>
      <w:pPr>
        <w:ind w:left="4674" w:hanging="604"/>
      </w:pPr>
      <w:rPr>
        <w:rFonts w:hint="default"/>
        <w:lang w:val="zh-CN" w:eastAsia="zh-CN" w:bidi="zh-CN"/>
      </w:rPr>
    </w:lvl>
    <w:lvl w:ilvl="5">
      <w:start w:val="0"/>
      <w:numFmt w:val="bullet"/>
      <w:lvlText w:val="•"/>
      <w:lvlJc w:val="left"/>
      <w:pPr>
        <w:ind w:left="5513" w:hanging="604"/>
      </w:pPr>
      <w:rPr>
        <w:rFonts w:hint="default"/>
        <w:lang w:val="zh-CN" w:eastAsia="zh-CN" w:bidi="zh-CN"/>
      </w:rPr>
    </w:lvl>
    <w:lvl w:ilvl="6">
      <w:start w:val="0"/>
      <w:numFmt w:val="bullet"/>
      <w:lvlText w:val="•"/>
      <w:lvlJc w:val="left"/>
      <w:pPr>
        <w:ind w:left="6351" w:hanging="604"/>
      </w:pPr>
      <w:rPr>
        <w:rFonts w:hint="default"/>
        <w:lang w:val="zh-CN" w:eastAsia="zh-CN" w:bidi="zh-CN"/>
      </w:rPr>
    </w:lvl>
    <w:lvl w:ilvl="7">
      <w:start w:val="0"/>
      <w:numFmt w:val="bullet"/>
      <w:lvlText w:val="•"/>
      <w:lvlJc w:val="left"/>
      <w:pPr>
        <w:ind w:left="7190" w:hanging="604"/>
      </w:pPr>
      <w:rPr>
        <w:rFonts w:hint="default"/>
        <w:lang w:val="zh-CN" w:eastAsia="zh-CN" w:bidi="zh-CN"/>
      </w:rPr>
    </w:lvl>
    <w:lvl w:ilvl="8">
      <w:start w:val="0"/>
      <w:numFmt w:val="bullet"/>
      <w:lvlText w:val="•"/>
      <w:lvlJc w:val="left"/>
      <w:pPr>
        <w:ind w:left="8029" w:hanging="604"/>
      </w:pPr>
      <w:rPr>
        <w:rFonts w:hint="default"/>
        <w:lang w:val="zh-CN" w:eastAsia="zh-CN" w:bidi="zh-CN"/>
      </w:rPr>
    </w:lvl>
  </w:abstractNum>
  <w:abstractNum w:abstractNumId="12">
    <w:multiLevelType w:val="hybridMultilevel"/>
    <w:lvl w:ilvl="0">
      <w:start w:val="1"/>
      <w:numFmt w:val="decimal"/>
      <w:lvlText w:val="（%1）"/>
      <w:lvlJc w:val="left"/>
      <w:pPr>
        <w:ind w:left="1318" w:hanging="60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58" w:hanging="601"/>
      </w:pPr>
      <w:rPr>
        <w:rFonts w:hint="default"/>
        <w:lang w:val="zh-CN" w:eastAsia="zh-CN" w:bidi="zh-CN"/>
      </w:rPr>
    </w:lvl>
    <w:lvl w:ilvl="2">
      <w:start w:val="0"/>
      <w:numFmt w:val="bullet"/>
      <w:lvlText w:val="•"/>
      <w:lvlJc w:val="left"/>
      <w:pPr>
        <w:ind w:left="2997" w:hanging="601"/>
      </w:pPr>
      <w:rPr>
        <w:rFonts w:hint="default"/>
        <w:lang w:val="zh-CN" w:eastAsia="zh-CN" w:bidi="zh-CN"/>
      </w:rPr>
    </w:lvl>
    <w:lvl w:ilvl="3">
      <w:start w:val="0"/>
      <w:numFmt w:val="bullet"/>
      <w:lvlText w:val="•"/>
      <w:lvlJc w:val="left"/>
      <w:pPr>
        <w:ind w:left="3835" w:hanging="601"/>
      </w:pPr>
      <w:rPr>
        <w:rFonts w:hint="default"/>
        <w:lang w:val="zh-CN" w:eastAsia="zh-CN" w:bidi="zh-CN"/>
      </w:rPr>
    </w:lvl>
    <w:lvl w:ilvl="4">
      <w:start w:val="0"/>
      <w:numFmt w:val="bullet"/>
      <w:lvlText w:val="•"/>
      <w:lvlJc w:val="left"/>
      <w:pPr>
        <w:ind w:left="4674" w:hanging="601"/>
      </w:pPr>
      <w:rPr>
        <w:rFonts w:hint="default"/>
        <w:lang w:val="zh-CN" w:eastAsia="zh-CN" w:bidi="zh-CN"/>
      </w:rPr>
    </w:lvl>
    <w:lvl w:ilvl="5">
      <w:start w:val="0"/>
      <w:numFmt w:val="bullet"/>
      <w:lvlText w:val="•"/>
      <w:lvlJc w:val="left"/>
      <w:pPr>
        <w:ind w:left="5513" w:hanging="601"/>
      </w:pPr>
      <w:rPr>
        <w:rFonts w:hint="default"/>
        <w:lang w:val="zh-CN" w:eastAsia="zh-CN" w:bidi="zh-CN"/>
      </w:rPr>
    </w:lvl>
    <w:lvl w:ilvl="6">
      <w:start w:val="0"/>
      <w:numFmt w:val="bullet"/>
      <w:lvlText w:val="•"/>
      <w:lvlJc w:val="left"/>
      <w:pPr>
        <w:ind w:left="6351" w:hanging="601"/>
      </w:pPr>
      <w:rPr>
        <w:rFonts w:hint="default"/>
        <w:lang w:val="zh-CN" w:eastAsia="zh-CN" w:bidi="zh-CN"/>
      </w:rPr>
    </w:lvl>
    <w:lvl w:ilvl="7">
      <w:start w:val="0"/>
      <w:numFmt w:val="bullet"/>
      <w:lvlText w:val="•"/>
      <w:lvlJc w:val="left"/>
      <w:pPr>
        <w:ind w:left="7190" w:hanging="601"/>
      </w:pPr>
      <w:rPr>
        <w:rFonts w:hint="default"/>
        <w:lang w:val="zh-CN" w:eastAsia="zh-CN" w:bidi="zh-CN"/>
      </w:rPr>
    </w:lvl>
    <w:lvl w:ilvl="8">
      <w:start w:val="0"/>
      <w:numFmt w:val="bullet"/>
      <w:lvlText w:val="•"/>
      <w:lvlJc w:val="left"/>
      <w:pPr>
        <w:ind w:left="8029" w:hanging="601"/>
      </w:pPr>
      <w:rPr>
        <w:rFonts w:hint="default"/>
        <w:lang w:val="zh-CN" w:eastAsia="zh-CN" w:bidi="zh-CN"/>
      </w:rPr>
    </w:lvl>
  </w:abstractNum>
  <w:abstractNum w:abstractNumId="11">
    <w:multiLevelType w:val="hybridMultilevel"/>
    <w:lvl w:ilvl="0">
      <w:start w:val="2"/>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b/>
        <w:bCs/>
        <w:w w:val="100"/>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1"/>
      <w:numFmt w:val="decimal"/>
      <w:lvlText w:val="（%4）"/>
      <w:lvlJc w:val="left"/>
      <w:pPr>
        <w:ind w:left="1318" w:hanging="601"/>
        <w:jc w:val="left"/>
      </w:pPr>
      <w:rPr>
        <w:rFonts w:hint="default"/>
        <w:spacing w:val="-60"/>
        <w:w w:val="100"/>
        <w:lang w:val="zh-CN" w:eastAsia="zh-CN" w:bidi="zh-CN"/>
      </w:rPr>
    </w:lvl>
    <w:lvl w:ilvl="4">
      <w:start w:val="0"/>
      <w:numFmt w:val="bullet"/>
      <w:lvlText w:val="•"/>
      <w:lvlJc w:val="left"/>
      <w:pPr>
        <w:ind w:left="3416" w:hanging="601"/>
      </w:pPr>
      <w:rPr>
        <w:rFonts w:hint="default"/>
        <w:lang w:val="zh-CN" w:eastAsia="zh-CN" w:bidi="zh-CN"/>
      </w:rPr>
    </w:lvl>
    <w:lvl w:ilvl="5">
      <w:start w:val="0"/>
      <w:numFmt w:val="bullet"/>
      <w:lvlText w:val="•"/>
      <w:lvlJc w:val="left"/>
      <w:pPr>
        <w:ind w:left="4464" w:hanging="601"/>
      </w:pPr>
      <w:rPr>
        <w:rFonts w:hint="default"/>
        <w:lang w:val="zh-CN" w:eastAsia="zh-CN" w:bidi="zh-CN"/>
      </w:rPr>
    </w:lvl>
    <w:lvl w:ilvl="6">
      <w:start w:val="0"/>
      <w:numFmt w:val="bullet"/>
      <w:lvlText w:val="•"/>
      <w:lvlJc w:val="left"/>
      <w:pPr>
        <w:ind w:left="5513" w:hanging="601"/>
      </w:pPr>
      <w:rPr>
        <w:rFonts w:hint="default"/>
        <w:lang w:val="zh-CN" w:eastAsia="zh-CN" w:bidi="zh-CN"/>
      </w:rPr>
    </w:lvl>
    <w:lvl w:ilvl="7">
      <w:start w:val="0"/>
      <w:numFmt w:val="bullet"/>
      <w:lvlText w:val="•"/>
      <w:lvlJc w:val="left"/>
      <w:pPr>
        <w:ind w:left="6561" w:hanging="601"/>
      </w:pPr>
      <w:rPr>
        <w:rFonts w:hint="default"/>
        <w:lang w:val="zh-CN" w:eastAsia="zh-CN" w:bidi="zh-CN"/>
      </w:rPr>
    </w:lvl>
    <w:lvl w:ilvl="8">
      <w:start w:val="0"/>
      <w:numFmt w:val="bullet"/>
      <w:lvlText w:val="•"/>
      <w:lvlJc w:val="left"/>
      <w:pPr>
        <w:ind w:left="7609" w:hanging="601"/>
      </w:pPr>
      <w:rPr>
        <w:rFonts w:hint="default"/>
        <w:lang w:val="zh-CN" w:eastAsia="zh-CN" w:bidi="zh-CN"/>
      </w:rPr>
    </w:lvl>
  </w:abstractNum>
  <w:abstractNum w:abstractNumId="10">
    <w:multiLevelType w:val="hybridMultilevel"/>
    <w:lvl w:ilvl="0">
      <w:start w:val="3"/>
      <w:numFmt w:val="decimal"/>
      <w:lvlText w:val="（%1）"/>
      <w:lvlJc w:val="left"/>
      <w:pPr>
        <w:ind w:left="105" w:hanging="538"/>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485" w:hanging="538"/>
      </w:pPr>
      <w:rPr>
        <w:rFonts w:hint="default"/>
        <w:lang w:val="zh-CN" w:eastAsia="zh-CN" w:bidi="zh-CN"/>
      </w:rPr>
    </w:lvl>
    <w:lvl w:ilvl="2">
      <w:start w:val="0"/>
      <w:numFmt w:val="bullet"/>
      <w:lvlText w:val="•"/>
      <w:lvlJc w:val="left"/>
      <w:pPr>
        <w:ind w:left="870" w:hanging="538"/>
      </w:pPr>
      <w:rPr>
        <w:rFonts w:hint="default"/>
        <w:lang w:val="zh-CN" w:eastAsia="zh-CN" w:bidi="zh-CN"/>
      </w:rPr>
    </w:lvl>
    <w:lvl w:ilvl="3">
      <w:start w:val="0"/>
      <w:numFmt w:val="bullet"/>
      <w:lvlText w:val="•"/>
      <w:lvlJc w:val="left"/>
      <w:pPr>
        <w:ind w:left="1255" w:hanging="538"/>
      </w:pPr>
      <w:rPr>
        <w:rFonts w:hint="default"/>
        <w:lang w:val="zh-CN" w:eastAsia="zh-CN" w:bidi="zh-CN"/>
      </w:rPr>
    </w:lvl>
    <w:lvl w:ilvl="4">
      <w:start w:val="0"/>
      <w:numFmt w:val="bullet"/>
      <w:lvlText w:val="•"/>
      <w:lvlJc w:val="left"/>
      <w:pPr>
        <w:ind w:left="1640" w:hanging="538"/>
      </w:pPr>
      <w:rPr>
        <w:rFonts w:hint="default"/>
        <w:lang w:val="zh-CN" w:eastAsia="zh-CN" w:bidi="zh-CN"/>
      </w:rPr>
    </w:lvl>
    <w:lvl w:ilvl="5">
      <w:start w:val="0"/>
      <w:numFmt w:val="bullet"/>
      <w:lvlText w:val="•"/>
      <w:lvlJc w:val="left"/>
      <w:pPr>
        <w:ind w:left="2025" w:hanging="538"/>
      </w:pPr>
      <w:rPr>
        <w:rFonts w:hint="default"/>
        <w:lang w:val="zh-CN" w:eastAsia="zh-CN" w:bidi="zh-CN"/>
      </w:rPr>
    </w:lvl>
    <w:lvl w:ilvl="6">
      <w:start w:val="0"/>
      <w:numFmt w:val="bullet"/>
      <w:lvlText w:val="•"/>
      <w:lvlJc w:val="left"/>
      <w:pPr>
        <w:ind w:left="2410" w:hanging="538"/>
      </w:pPr>
      <w:rPr>
        <w:rFonts w:hint="default"/>
        <w:lang w:val="zh-CN" w:eastAsia="zh-CN" w:bidi="zh-CN"/>
      </w:rPr>
    </w:lvl>
    <w:lvl w:ilvl="7">
      <w:start w:val="0"/>
      <w:numFmt w:val="bullet"/>
      <w:lvlText w:val="•"/>
      <w:lvlJc w:val="left"/>
      <w:pPr>
        <w:ind w:left="2795" w:hanging="538"/>
      </w:pPr>
      <w:rPr>
        <w:rFonts w:hint="default"/>
        <w:lang w:val="zh-CN" w:eastAsia="zh-CN" w:bidi="zh-CN"/>
      </w:rPr>
    </w:lvl>
    <w:lvl w:ilvl="8">
      <w:start w:val="0"/>
      <w:numFmt w:val="bullet"/>
      <w:lvlText w:val="•"/>
      <w:lvlJc w:val="left"/>
      <w:pPr>
        <w:ind w:left="3180" w:hanging="538"/>
      </w:pPr>
      <w:rPr>
        <w:rFonts w:hint="default"/>
        <w:lang w:val="zh-CN" w:eastAsia="zh-CN" w:bidi="zh-CN"/>
      </w:rPr>
    </w:lvl>
  </w:abstractNum>
  <w:abstractNum w:abstractNumId="9">
    <w:multiLevelType w:val="hybridMultilevel"/>
    <w:lvl w:ilvl="0">
      <w:start w:val="1"/>
      <w:numFmt w:val="decimal"/>
      <w:lvlText w:val="%1"/>
      <w:lvlJc w:val="left"/>
      <w:pPr>
        <w:ind w:left="729" w:hanging="492"/>
        <w:jc w:val="left"/>
      </w:pPr>
      <w:rPr>
        <w:rFonts w:hint="default"/>
        <w:lang w:val="zh-CN" w:eastAsia="zh-CN" w:bidi="zh-CN"/>
      </w:rPr>
    </w:lvl>
    <w:lvl w:ilvl="1">
      <w:start w:val="1"/>
      <w:numFmt w:val="decimal"/>
      <w:lvlText w:val="%1.%2"/>
      <w:lvlJc w:val="left"/>
      <w:pPr>
        <w:ind w:left="729" w:hanging="492"/>
        <w:jc w:val="left"/>
      </w:pPr>
      <w:rPr>
        <w:rFonts w:hint="default" w:ascii="Times New Roman" w:hAnsi="Times New Roman" w:eastAsia="Times New Roman" w:cs="Times New Roman"/>
        <w:b/>
        <w:bCs/>
        <w:w w:val="100"/>
        <w:sz w:val="28"/>
        <w:szCs w:val="28"/>
        <w:lang w:val="zh-CN" w:eastAsia="zh-CN" w:bidi="zh-CN"/>
      </w:rPr>
    </w:lvl>
    <w:lvl w:ilvl="2">
      <w:start w:val="1"/>
      <w:numFmt w:val="decimal"/>
      <w:lvlText w:val="%1.%2.%3"/>
      <w:lvlJc w:val="left"/>
      <w:pPr>
        <w:ind w:left="837" w:hanging="600"/>
        <w:jc w:val="left"/>
      </w:pPr>
      <w:rPr>
        <w:rFonts w:hint="default" w:ascii="Times New Roman" w:hAnsi="Times New Roman" w:eastAsia="Times New Roman" w:cs="Times New Roman"/>
        <w:b/>
        <w:bCs/>
        <w:w w:val="99"/>
        <w:sz w:val="24"/>
        <w:szCs w:val="24"/>
        <w:lang w:val="zh-CN" w:eastAsia="zh-CN" w:bidi="zh-CN"/>
      </w:rPr>
    </w:lvl>
    <w:lvl w:ilvl="3">
      <w:start w:val="0"/>
      <w:numFmt w:val="bullet"/>
      <w:lvlText w:val="•"/>
      <w:lvlJc w:val="left"/>
      <w:pPr>
        <w:ind w:left="2810" w:hanging="600"/>
      </w:pPr>
      <w:rPr>
        <w:rFonts w:hint="default"/>
        <w:lang w:val="zh-CN" w:eastAsia="zh-CN" w:bidi="zh-CN"/>
      </w:rPr>
    </w:lvl>
    <w:lvl w:ilvl="4">
      <w:start w:val="0"/>
      <w:numFmt w:val="bullet"/>
      <w:lvlText w:val="•"/>
      <w:lvlJc w:val="left"/>
      <w:pPr>
        <w:ind w:left="3795" w:hanging="600"/>
      </w:pPr>
      <w:rPr>
        <w:rFonts w:hint="default"/>
        <w:lang w:val="zh-CN" w:eastAsia="zh-CN" w:bidi="zh-CN"/>
      </w:rPr>
    </w:lvl>
    <w:lvl w:ilvl="5">
      <w:start w:val="0"/>
      <w:numFmt w:val="bullet"/>
      <w:lvlText w:val="•"/>
      <w:lvlJc w:val="left"/>
      <w:pPr>
        <w:ind w:left="4780" w:hanging="600"/>
      </w:pPr>
      <w:rPr>
        <w:rFonts w:hint="default"/>
        <w:lang w:val="zh-CN" w:eastAsia="zh-CN" w:bidi="zh-CN"/>
      </w:rPr>
    </w:lvl>
    <w:lvl w:ilvl="6">
      <w:start w:val="0"/>
      <w:numFmt w:val="bullet"/>
      <w:lvlText w:val="•"/>
      <w:lvlJc w:val="left"/>
      <w:pPr>
        <w:ind w:left="5765" w:hanging="600"/>
      </w:pPr>
      <w:rPr>
        <w:rFonts w:hint="default"/>
        <w:lang w:val="zh-CN" w:eastAsia="zh-CN" w:bidi="zh-CN"/>
      </w:rPr>
    </w:lvl>
    <w:lvl w:ilvl="7">
      <w:start w:val="0"/>
      <w:numFmt w:val="bullet"/>
      <w:lvlText w:val="•"/>
      <w:lvlJc w:val="left"/>
      <w:pPr>
        <w:ind w:left="6750" w:hanging="600"/>
      </w:pPr>
      <w:rPr>
        <w:rFonts w:hint="default"/>
        <w:lang w:val="zh-CN" w:eastAsia="zh-CN" w:bidi="zh-CN"/>
      </w:rPr>
    </w:lvl>
    <w:lvl w:ilvl="8">
      <w:start w:val="0"/>
      <w:numFmt w:val="bullet"/>
      <w:lvlText w:val="•"/>
      <w:lvlJc w:val="left"/>
      <w:pPr>
        <w:ind w:left="7736" w:hanging="600"/>
      </w:pPr>
      <w:rPr>
        <w:rFonts w:hint="default"/>
        <w:lang w:val="zh-CN" w:eastAsia="zh-CN" w:bidi="zh-CN"/>
      </w:rPr>
    </w:lvl>
  </w:abstractNum>
  <w:abstractNum w:abstractNumId="8">
    <w:multiLevelType w:val="hybridMultilevel"/>
    <w:lvl w:ilvl="0">
      <w:start w:val="9"/>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7">
    <w:multiLevelType w:val="hybridMultilevel"/>
    <w:lvl w:ilvl="0">
      <w:start w:val="8"/>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6">
    <w:multiLevelType w:val="hybridMultilevel"/>
    <w:lvl w:ilvl="0">
      <w:start w:val="7"/>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5">
    <w:multiLevelType w:val="hybridMultilevel"/>
    <w:lvl w:ilvl="0">
      <w:start w:val="6"/>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4">
    <w:multiLevelType w:val="hybridMultilevel"/>
    <w:lvl w:ilvl="0">
      <w:start w:val="5"/>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3">
    <w:multiLevelType w:val="hybridMultilevel"/>
    <w:lvl w:ilvl="0">
      <w:start w:val="4"/>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2">
    <w:multiLevelType w:val="hybridMultilevel"/>
    <w:lvl w:ilvl="0">
      <w:start w:val="3"/>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1">
    <w:multiLevelType w:val="hybridMultilevel"/>
    <w:lvl w:ilvl="0">
      <w:start w:val="2"/>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abstractNum w:abstractNumId="0">
    <w:multiLevelType w:val="hybridMultilevel"/>
    <w:lvl w:ilvl="0">
      <w:start w:val="1"/>
      <w:numFmt w:val="decimal"/>
      <w:lvlText w:val="%1"/>
      <w:lvlJc w:val="left"/>
      <w:pPr>
        <w:ind w:left="1026" w:hanging="370"/>
        <w:jc w:val="left"/>
      </w:pPr>
      <w:rPr>
        <w:rFonts w:hint="default"/>
        <w:lang w:val="zh-CN" w:eastAsia="zh-CN" w:bidi="zh-CN"/>
      </w:rPr>
    </w:lvl>
    <w:lvl w:ilvl="1">
      <w:start w:val="1"/>
      <w:numFmt w:val="decimal"/>
      <w:lvlText w:val="%1.%2"/>
      <w:lvlJc w:val="left"/>
      <w:pPr>
        <w:ind w:left="1026" w:hanging="370"/>
        <w:jc w:val="left"/>
      </w:pPr>
      <w:rPr>
        <w:rFonts w:hint="default" w:ascii="Times New Roman" w:hAnsi="Times New Roman" w:eastAsia="Times New Roman" w:cs="Times New Roman"/>
        <w:w w:val="100"/>
        <w:sz w:val="21"/>
        <w:szCs w:val="21"/>
        <w:lang w:val="zh-CN" w:eastAsia="zh-CN" w:bidi="zh-CN"/>
      </w:rPr>
    </w:lvl>
    <w:lvl w:ilvl="2">
      <w:start w:val="1"/>
      <w:numFmt w:val="decimal"/>
      <w:lvlText w:val="%1.%2.%3"/>
      <w:lvlJc w:val="left"/>
      <w:pPr>
        <w:ind w:left="1602" w:hanging="526"/>
        <w:jc w:val="left"/>
      </w:pPr>
      <w:rPr>
        <w:rFonts w:hint="default" w:ascii="Times New Roman" w:hAnsi="Times New Roman" w:eastAsia="Times New Roman" w:cs="Times New Roman"/>
        <w:w w:val="100"/>
        <w:sz w:val="21"/>
        <w:szCs w:val="21"/>
        <w:lang w:val="zh-CN" w:eastAsia="zh-CN" w:bidi="zh-CN"/>
      </w:rPr>
    </w:lvl>
    <w:lvl w:ilvl="3">
      <w:start w:val="0"/>
      <w:numFmt w:val="bullet"/>
      <w:lvlText w:val="•"/>
      <w:lvlJc w:val="left"/>
      <w:pPr>
        <w:ind w:left="3401" w:hanging="526"/>
      </w:pPr>
      <w:rPr>
        <w:rFonts w:hint="default"/>
        <w:lang w:val="zh-CN" w:eastAsia="zh-CN" w:bidi="zh-CN"/>
      </w:rPr>
    </w:lvl>
    <w:lvl w:ilvl="4">
      <w:start w:val="0"/>
      <w:numFmt w:val="bullet"/>
      <w:lvlText w:val="•"/>
      <w:lvlJc w:val="left"/>
      <w:pPr>
        <w:ind w:left="4302" w:hanging="526"/>
      </w:pPr>
      <w:rPr>
        <w:rFonts w:hint="default"/>
        <w:lang w:val="zh-CN" w:eastAsia="zh-CN" w:bidi="zh-CN"/>
      </w:rPr>
    </w:lvl>
    <w:lvl w:ilvl="5">
      <w:start w:val="0"/>
      <w:numFmt w:val="bullet"/>
      <w:lvlText w:val="•"/>
      <w:lvlJc w:val="left"/>
      <w:pPr>
        <w:ind w:left="5202" w:hanging="526"/>
      </w:pPr>
      <w:rPr>
        <w:rFonts w:hint="default"/>
        <w:lang w:val="zh-CN" w:eastAsia="zh-CN" w:bidi="zh-CN"/>
      </w:rPr>
    </w:lvl>
    <w:lvl w:ilvl="6">
      <w:start w:val="0"/>
      <w:numFmt w:val="bullet"/>
      <w:lvlText w:val="•"/>
      <w:lvlJc w:val="left"/>
      <w:pPr>
        <w:ind w:left="6103" w:hanging="526"/>
      </w:pPr>
      <w:rPr>
        <w:rFonts w:hint="default"/>
        <w:lang w:val="zh-CN" w:eastAsia="zh-CN" w:bidi="zh-CN"/>
      </w:rPr>
    </w:lvl>
    <w:lvl w:ilvl="7">
      <w:start w:val="0"/>
      <w:numFmt w:val="bullet"/>
      <w:lvlText w:val="•"/>
      <w:lvlJc w:val="left"/>
      <w:pPr>
        <w:ind w:left="7004" w:hanging="526"/>
      </w:pPr>
      <w:rPr>
        <w:rFonts w:hint="default"/>
        <w:lang w:val="zh-CN" w:eastAsia="zh-CN" w:bidi="zh-CN"/>
      </w:rPr>
    </w:lvl>
    <w:lvl w:ilvl="8">
      <w:start w:val="0"/>
      <w:numFmt w:val="bullet"/>
      <w:lvlText w:val="•"/>
      <w:lvlJc w:val="left"/>
      <w:pPr>
        <w:ind w:left="7904" w:hanging="526"/>
      </w:pPr>
      <w:rPr>
        <w:rFonts w:hint="default"/>
        <w:lang w:val="zh-CN" w:eastAsia="zh-CN" w:bidi="zh-CN"/>
      </w:rPr>
    </w:lvl>
  </w:abstract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88"/>
      <w:ind w:right="249"/>
      <w:jc w:val="right"/>
    </w:pPr>
    <w:rPr>
      <w:rFonts w:ascii="宋体" w:hAnsi="宋体" w:eastAsia="宋体" w:cs="宋体"/>
      <w:b/>
      <w:bCs/>
      <w:sz w:val="21"/>
      <w:szCs w:val="21"/>
      <w:lang w:val="zh-CN" w:eastAsia="zh-CN" w:bidi="zh-CN"/>
    </w:rPr>
  </w:style>
  <w:style w:styleId="TOC2" w:type="paragraph">
    <w:name w:val="TOC 2"/>
    <w:basedOn w:val="Normal"/>
    <w:uiPriority w:val="1"/>
    <w:qFormat/>
    <w:pPr>
      <w:spacing w:before="91"/>
      <w:ind w:left="1602" w:right="249" w:hanging="1603"/>
      <w:jc w:val="right"/>
    </w:pPr>
    <w:rPr>
      <w:rFonts w:ascii="宋体" w:hAnsi="宋体" w:eastAsia="宋体" w:cs="宋体"/>
      <w:sz w:val="21"/>
      <w:szCs w:val="21"/>
      <w:lang w:val="zh-CN" w:eastAsia="zh-CN" w:bidi="zh-CN"/>
    </w:rPr>
  </w:style>
  <w:style w:styleId="TOC3" w:type="paragraph">
    <w:name w:val="TOC 3"/>
    <w:basedOn w:val="Normal"/>
    <w:uiPriority w:val="1"/>
    <w:qFormat/>
    <w:pPr>
      <w:spacing w:before="88"/>
      <w:ind w:left="1026" w:hanging="370"/>
    </w:pPr>
    <w:rPr>
      <w:rFonts w:ascii="宋体" w:hAnsi="宋体" w:eastAsia="宋体" w:cs="宋体"/>
      <w:sz w:val="21"/>
      <w:szCs w:val="21"/>
      <w:lang w:val="zh-CN" w:eastAsia="zh-CN" w:bidi="zh-CN"/>
    </w:rPr>
  </w:style>
  <w:style w:styleId="TOC4" w:type="paragraph">
    <w:name w:val="TOC 4"/>
    <w:basedOn w:val="Normal"/>
    <w:uiPriority w:val="1"/>
    <w:qFormat/>
    <w:pPr>
      <w:spacing w:before="91"/>
      <w:ind w:left="1602" w:hanging="526"/>
    </w:pPr>
    <w:rPr>
      <w:rFonts w:ascii="宋体" w:hAnsi="宋体" w:eastAsia="宋体" w:cs="宋体"/>
      <w:sz w:val="21"/>
      <w:szCs w:val="21"/>
      <w:lang w:val="zh-CN" w:eastAsia="zh-CN" w:bidi="zh-CN"/>
    </w:rPr>
  </w:style>
  <w:style w:styleId="BodyText" w:type="paragraph">
    <w:name w:val="Body Text"/>
    <w:basedOn w:val="Normal"/>
    <w:uiPriority w:val="1"/>
    <w:qFormat/>
    <w:pPr>
      <w:ind w:left="237"/>
    </w:pPr>
    <w:rPr>
      <w:rFonts w:ascii="宋体" w:hAnsi="宋体" w:eastAsia="宋体" w:cs="宋体"/>
      <w:sz w:val="24"/>
      <w:szCs w:val="24"/>
      <w:lang w:val="zh-CN" w:eastAsia="zh-CN" w:bidi="zh-CN"/>
    </w:rPr>
  </w:style>
  <w:style w:styleId="Heading1" w:type="paragraph">
    <w:name w:val="Heading 1"/>
    <w:basedOn w:val="Normal"/>
    <w:uiPriority w:val="1"/>
    <w:qFormat/>
    <w:pPr>
      <w:spacing w:before="130"/>
      <w:ind w:left="237"/>
      <w:outlineLvl w:val="1"/>
    </w:pPr>
    <w:rPr>
      <w:rFonts w:ascii="宋体" w:hAnsi="宋体" w:eastAsia="宋体" w:cs="宋体"/>
      <w:b/>
      <w:bCs/>
      <w:sz w:val="30"/>
      <w:szCs w:val="30"/>
      <w:lang w:val="zh-CN" w:eastAsia="zh-CN" w:bidi="zh-CN"/>
    </w:rPr>
  </w:style>
  <w:style w:styleId="Heading2" w:type="paragraph">
    <w:name w:val="Heading 2"/>
    <w:basedOn w:val="Normal"/>
    <w:uiPriority w:val="1"/>
    <w:qFormat/>
    <w:pPr>
      <w:spacing w:before="54"/>
      <w:ind w:left="729" w:hanging="493"/>
      <w:outlineLvl w:val="2"/>
    </w:pPr>
    <w:rPr>
      <w:rFonts w:ascii="宋体" w:hAnsi="宋体" w:eastAsia="宋体" w:cs="宋体"/>
      <w:b/>
      <w:bCs/>
      <w:sz w:val="28"/>
      <w:szCs w:val="28"/>
      <w:lang w:val="zh-CN" w:eastAsia="zh-CN" w:bidi="zh-CN"/>
    </w:rPr>
  </w:style>
  <w:style w:styleId="Heading3" w:type="paragraph">
    <w:name w:val="Heading 3"/>
    <w:basedOn w:val="Normal"/>
    <w:uiPriority w:val="1"/>
    <w:qFormat/>
    <w:pPr>
      <w:spacing w:before="161"/>
      <w:ind w:left="719"/>
      <w:outlineLvl w:val="3"/>
    </w:pPr>
    <w:rPr>
      <w:rFonts w:ascii="宋体" w:hAnsi="宋体" w:eastAsia="宋体" w:cs="宋体"/>
      <w:b/>
      <w:bCs/>
      <w:sz w:val="24"/>
      <w:szCs w:val="24"/>
      <w:lang w:val="zh-CN" w:eastAsia="zh-CN" w:bidi="zh-CN"/>
    </w:rPr>
  </w:style>
  <w:style w:styleId="ListParagraph" w:type="paragraph">
    <w:name w:val="List Paragraph"/>
    <w:basedOn w:val="Normal"/>
    <w:uiPriority w:val="1"/>
    <w:qFormat/>
    <w:pPr>
      <w:spacing w:before="161"/>
      <w:ind w:left="1318" w:hanging="604"/>
    </w:pPr>
    <w:rPr>
      <w:rFonts w:ascii="宋体" w:hAnsi="宋体" w:eastAsia="宋体" w:cs="宋体"/>
      <w:lang w:val="zh-CN" w:eastAsia="zh-CN" w:bidi="zh-CN"/>
    </w:rPr>
  </w:style>
  <w:style w:styleId="TableParagraph" w:type="paragraph">
    <w:name w:val="Table Paragraph"/>
    <w:basedOn w:val="Normal"/>
    <w:uiPriority w:val="1"/>
    <w:qFormat/>
    <w:pPr>
      <w:spacing w:before="58"/>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header" Target="header2.xml"/><Relationship Id="rId20" Type="http://schemas.openxmlformats.org/officeDocument/2006/relationships/footer" Target="footer4.xml"/><Relationship Id="rId21" Type="http://schemas.openxmlformats.org/officeDocument/2006/relationships/header" Target="header3.xml"/><Relationship Id="rId22" Type="http://schemas.openxmlformats.org/officeDocument/2006/relationships/footer" Target="footer5.xm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header" Target="header4.xml"/><Relationship Id="rId41" Type="http://schemas.openxmlformats.org/officeDocument/2006/relationships/footer" Target="footer6.xml"/><Relationship Id="rId42" Type="http://schemas.openxmlformats.org/officeDocument/2006/relationships/header" Target="header5.xml"/><Relationship Id="rId43" Type="http://schemas.openxmlformats.org/officeDocument/2006/relationships/footer" Target="footer7.xml"/><Relationship Id="rId44" Type="http://schemas.openxmlformats.org/officeDocument/2006/relationships/image" Target="media/image28.jpeg"/><Relationship Id="rId45" Type="http://schemas.openxmlformats.org/officeDocument/2006/relationships/image" Target="media/image29.png"/><Relationship Id="rId46" Type="http://schemas.openxmlformats.org/officeDocument/2006/relationships/image" Target="media/image30.jpe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header" Target="header6.xml"/><Relationship Id="rId58" Type="http://schemas.openxmlformats.org/officeDocument/2006/relationships/footer" Target="footer8.xml"/><Relationship Id="rId59" Type="http://schemas.openxmlformats.org/officeDocument/2006/relationships/header" Target="header7.xml"/><Relationship Id="rId60" Type="http://schemas.openxmlformats.org/officeDocument/2006/relationships/footer" Target="footer9.xml"/><Relationship Id="rId61" Type="http://schemas.openxmlformats.org/officeDocument/2006/relationships/header" Target="header8.xml"/><Relationship Id="rId62" Type="http://schemas.openxmlformats.org/officeDocument/2006/relationships/footer" Target="footer10.xml"/><Relationship Id="rId63" Type="http://schemas.openxmlformats.org/officeDocument/2006/relationships/header" Target="header9.xml"/><Relationship Id="rId64" Type="http://schemas.openxmlformats.org/officeDocument/2006/relationships/footer" Target="footer11.xml"/><Relationship Id="rId65" Type="http://schemas.openxmlformats.org/officeDocument/2006/relationships/hyperlink" Target="http://www.mep.gov.cn/info/bgw/bgg/200809/W020080917334259620241.pdf" TargetMode="External"/><Relationship Id="rId66" Type="http://schemas.openxmlformats.org/officeDocument/2006/relationships/footer" Target="footer12.xml"/><Relationship Id="rId67" Type="http://schemas.openxmlformats.org/officeDocument/2006/relationships/header" Target="header10.xml"/><Relationship Id="rId68" Type="http://schemas.openxmlformats.org/officeDocument/2006/relationships/footer" Target="footer13.xml"/><Relationship Id="rId69" Type="http://schemas.openxmlformats.org/officeDocument/2006/relationships/header" Target="header11.xml"/><Relationship Id="rId70" Type="http://schemas.openxmlformats.org/officeDocument/2006/relationships/footer" Target="footer14.xml"/><Relationship Id="rId71" Type="http://schemas.openxmlformats.org/officeDocument/2006/relationships/image" Target="media/image41.png"/><Relationship Id="rId72" Type="http://schemas.openxmlformats.org/officeDocument/2006/relationships/image" Target="media/image42.png"/><Relationship Id="rId73" Type="http://schemas.openxmlformats.org/officeDocument/2006/relationships/header" Target="header12.xml"/><Relationship Id="rId74" Type="http://schemas.openxmlformats.org/officeDocument/2006/relationships/footer" Target="footer15.xml"/><Relationship Id="rId75" Type="http://schemas.openxmlformats.org/officeDocument/2006/relationships/header" Target="header13.xml"/><Relationship Id="rId76" Type="http://schemas.openxmlformats.org/officeDocument/2006/relationships/footer" Target="footer16.xml"/><Relationship Id="rId77" Type="http://schemas.openxmlformats.org/officeDocument/2006/relationships/footer" Target="footer17.xml"/><Relationship Id="rId78" Type="http://schemas.openxmlformats.org/officeDocument/2006/relationships/footer" Target="footer18.xml"/><Relationship Id="rId79" Type="http://schemas.openxmlformats.org/officeDocument/2006/relationships/header" Target="header14.xml"/><Relationship Id="rId80" Type="http://schemas.openxmlformats.org/officeDocument/2006/relationships/footer" Target="footer19.xml"/><Relationship Id="rId81" Type="http://schemas.openxmlformats.org/officeDocument/2006/relationships/header" Target="header15.xml"/><Relationship Id="rId82" Type="http://schemas.openxmlformats.org/officeDocument/2006/relationships/footer" Target="footer20.xml"/><Relationship Id="rId83" Type="http://schemas.openxmlformats.org/officeDocument/2006/relationships/header" Target="header16.xml"/><Relationship Id="rId84" Type="http://schemas.openxmlformats.org/officeDocument/2006/relationships/footer" Target="footer21.xml"/><Relationship Id="rId85" Type="http://schemas.openxmlformats.org/officeDocument/2006/relationships/image" Target="media/image43.png"/><Relationship Id="rId86" Type="http://schemas.openxmlformats.org/officeDocument/2006/relationships/image" Target="media/image44.png"/><Relationship Id="rId87" Type="http://schemas.openxmlformats.org/officeDocument/2006/relationships/image" Target="media/image45.png"/><Relationship Id="rId88" Type="http://schemas.openxmlformats.org/officeDocument/2006/relationships/image" Target="media/image46.png"/><Relationship Id="rId89" Type="http://schemas.openxmlformats.org/officeDocument/2006/relationships/footer" Target="footer22.xml"/><Relationship Id="rId90" Type="http://schemas.openxmlformats.org/officeDocument/2006/relationships/image" Target="media/image47.png"/><Relationship Id="rId91" Type="http://schemas.openxmlformats.org/officeDocument/2006/relationships/image" Target="media/image48.png"/><Relationship Id="rId92" Type="http://schemas.openxmlformats.org/officeDocument/2006/relationships/image" Target="media/image49.png"/><Relationship Id="rId93" Type="http://schemas.openxmlformats.org/officeDocument/2006/relationships/image" Target="media/image50.png"/><Relationship Id="rId94" Type="http://schemas.openxmlformats.org/officeDocument/2006/relationships/image" Target="media/image51.png"/><Relationship Id="rId95" Type="http://schemas.openxmlformats.org/officeDocument/2006/relationships/image" Target="media/image52.png"/><Relationship Id="rId96" Type="http://schemas.openxmlformats.org/officeDocument/2006/relationships/image" Target="media/image53.png"/><Relationship Id="rId97" Type="http://schemas.openxmlformats.org/officeDocument/2006/relationships/image" Target="media/image54.png"/><Relationship Id="rId98" Type="http://schemas.openxmlformats.org/officeDocument/2006/relationships/image" Target="media/image55.png"/><Relationship Id="rId99" Type="http://schemas.openxmlformats.org/officeDocument/2006/relationships/image" Target="media/image56.png"/><Relationship Id="rId100" Type="http://schemas.openxmlformats.org/officeDocument/2006/relationships/image" Target="media/image57.png"/><Relationship Id="rId101" Type="http://schemas.openxmlformats.org/officeDocument/2006/relationships/image" Target="media/image58.png"/><Relationship Id="rId102" Type="http://schemas.openxmlformats.org/officeDocument/2006/relationships/image" Target="media/image59.png"/><Relationship Id="rId103" Type="http://schemas.openxmlformats.org/officeDocument/2006/relationships/image" Target="media/image60.png"/><Relationship Id="rId104" Type="http://schemas.openxmlformats.org/officeDocument/2006/relationships/image" Target="media/image61.png"/><Relationship Id="rId105" Type="http://schemas.openxmlformats.org/officeDocument/2006/relationships/image" Target="media/image62.png"/><Relationship Id="rId106" Type="http://schemas.openxmlformats.org/officeDocument/2006/relationships/footer" Target="footer23.xml"/><Relationship Id="rId107" Type="http://schemas.openxmlformats.org/officeDocument/2006/relationships/image" Target="media/image63.png"/><Relationship Id="rId108" Type="http://schemas.openxmlformats.org/officeDocument/2006/relationships/image" Target="media/image64.png"/><Relationship Id="rId109" Type="http://schemas.openxmlformats.org/officeDocument/2006/relationships/image" Target="media/image65.png"/><Relationship Id="rId110" Type="http://schemas.openxmlformats.org/officeDocument/2006/relationships/image" Target="media/image66.png"/><Relationship Id="rId111" Type="http://schemas.openxmlformats.org/officeDocument/2006/relationships/image" Target="media/image67.png"/><Relationship Id="rId112" Type="http://schemas.openxmlformats.org/officeDocument/2006/relationships/header" Target="header17.xml"/><Relationship Id="rId113" Type="http://schemas.openxmlformats.org/officeDocument/2006/relationships/footer" Target="footer24.xml"/><Relationship Id="rId114" Type="http://schemas.openxmlformats.org/officeDocument/2006/relationships/header" Target="header18.xml"/><Relationship Id="rId115" Type="http://schemas.openxmlformats.org/officeDocument/2006/relationships/footer" Target="footer25.xml"/><Relationship Id="rId116" Type="http://schemas.openxmlformats.org/officeDocument/2006/relationships/image" Target="media/image68.jpeg"/><Relationship Id="rId117" Type="http://schemas.openxmlformats.org/officeDocument/2006/relationships/image" Target="media/image69.jpeg"/><Relationship Id="rId118" Type="http://schemas.openxmlformats.org/officeDocument/2006/relationships/header" Target="header19.xml"/><Relationship Id="rId119" Type="http://schemas.openxmlformats.org/officeDocument/2006/relationships/footer" Target="footer26.xml"/><Relationship Id="rId120" Type="http://schemas.openxmlformats.org/officeDocument/2006/relationships/header" Target="header20.xml"/><Relationship Id="rId121" Type="http://schemas.openxmlformats.org/officeDocument/2006/relationships/footer" Target="footer27.xml"/><Relationship Id="rId122" Type="http://schemas.openxmlformats.org/officeDocument/2006/relationships/image" Target="media/image70.jpeg"/><Relationship Id="rId123" Type="http://schemas.openxmlformats.org/officeDocument/2006/relationships/image" Target="media/image71.jpeg"/><Relationship Id="rId124" Type="http://schemas.openxmlformats.org/officeDocument/2006/relationships/header" Target="header21.xml"/><Relationship Id="rId125" Type="http://schemas.openxmlformats.org/officeDocument/2006/relationships/footer" Target="footer28.xml"/><Relationship Id="rId126" Type="http://schemas.openxmlformats.org/officeDocument/2006/relationships/header" Target="header22.xml"/><Relationship Id="rId127" Type="http://schemas.openxmlformats.org/officeDocument/2006/relationships/footer" Target="footer29.xml"/><Relationship Id="rId128" Type="http://schemas.openxmlformats.org/officeDocument/2006/relationships/image" Target="media/image72.jpeg"/><Relationship Id="rId129" Type="http://schemas.openxmlformats.org/officeDocument/2006/relationships/image" Target="media/image73.jpeg"/><Relationship Id="rId130" Type="http://schemas.openxmlformats.org/officeDocument/2006/relationships/header" Target="header23.xml"/><Relationship Id="rId131" Type="http://schemas.openxmlformats.org/officeDocument/2006/relationships/footer" Target="footer30.xml"/><Relationship Id="rId132" Type="http://schemas.openxmlformats.org/officeDocument/2006/relationships/header" Target="header24.xml"/><Relationship Id="rId133" Type="http://schemas.openxmlformats.org/officeDocument/2006/relationships/header" Target="header25.xml"/><Relationship Id="rId134" Type="http://schemas.openxmlformats.org/officeDocument/2006/relationships/footer" Target="footer31.xml"/><Relationship Id="rId135" Type="http://schemas.openxmlformats.org/officeDocument/2006/relationships/image" Target="media/image74.jpeg"/><Relationship Id="rId136" Type="http://schemas.openxmlformats.org/officeDocument/2006/relationships/image" Target="media/image75.jpeg"/><Relationship Id="rId137" Type="http://schemas.openxmlformats.org/officeDocument/2006/relationships/header" Target="header26.xml"/><Relationship Id="rId138" Type="http://schemas.openxmlformats.org/officeDocument/2006/relationships/footer" Target="footer32.xml"/><Relationship Id="rId139" Type="http://schemas.openxmlformats.org/officeDocument/2006/relationships/header" Target="header27.xml"/><Relationship Id="rId140" Type="http://schemas.openxmlformats.org/officeDocument/2006/relationships/header" Target="header28.xml"/><Relationship Id="rId141" Type="http://schemas.openxmlformats.org/officeDocument/2006/relationships/footer" Target="footer33.xml"/><Relationship Id="rId142" Type="http://schemas.openxmlformats.org/officeDocument/2006/relationships/image" Target="media/image76.jpeg"/><Relationship Id="rId143" Type="http://schemas.openxmlformats.org/officeDocument/2006/relationships/image" Target="media/image77.jpeg"/><Relationship Id="rId144" Type="http://schemas.openxmlformats.org/officeDocument/2006/relationships/footer" Target="footer34.xml"/><Relationship Id="rId145" Type="http://schemas.openxmlformats.org/officeDocument/2006/relationships/footer" Target="footer35.xml"/><Relationship Id="rId146" Type="http://schemas.openxmlformats.org/officeDocument/2006/relationships/image" Target="media/image78.png"/><Relationship Id="rId147" Type="http://schemas.openxmlformats.org/officeDocument/2006/relationships/image" Target="media/image79.png"/><Relationship Id="rId148" Type="http://schemas.openxmlformats.org/officeDocument/2006/relationships/image" Target="media/image80.png"/><Relationship Id="rId149" Type="http://schemas.openxmlformats.org/officeDocument/2006/relationships/footer" Target="footer36.xml"/><Relationship Id="rId150" Type="http://schemas.openxmlformats.org/officeDocument/2006/relationships/footer" Target="footer37.xml"/><Relationship Id="rId151" Type="http://schemas.openxmlformats.org/officeDocument/2006/relationships/footer" Target="footer38.xml"/><Relationship Id="rId152" Type="http://schemas.openxmlformats.org/officeDocument/2006/relationships/footer" Target="footer39.xml"/><Relationship Id="rId153" Type="http://schemas.openxmlformats.org/officeDocument/2006/relationships/image" Target="media/image81.png"/><Relationship Id="rId154" Type="http://schemas.openxmlformats.org/officeDocument/2006/relationships/image" Target="media/image82.jpeg"/><Relationship Id="rId155" Type="http://schemas.openxmlformats.org/officeDocument/2006/relationships/footer" Target="footer40.xml"/><Relationship Id="rId156" Type="http://schemas.openxmlformats.org/officeDocument/2006/relationships/footer" Target="footer41.xml"/><Relationship Id="rId157" Type="http://schemas.openxmlformats.org/officeDocument/2006/relationships/image" Target="media/image83.jpeg"/><Relationship Id="rId158" Type="http://schemas.openxmlformats.org/officeDocument/2006/relationships/image" Target="media/image84.jpeg"/><Relationship Id="rId159" Type="http://schemas.openxmlformats.org/officeDocument/2006/relationships/image" Target="media/image85.png"/><Relationship Id="rId160" Type="http://schemas.openxmlformats.org/officeDocument/2006/relationships/image" Target="media/image86.png"/><Relationship Id="rId161" Type="http://schemas.openxmlformats.org/officeDocument/2006/relationships/header" Target="header29.xml"/><Relationship Id="rId162" Type="http://schemas.openxmlformats.org/officeDocument/2006/relationships/footer" Target="footer42.xml"/><Relationship Id="rId163" Type="http://schemas.openxmlformats.org/officeDocument/2006/relationships/header" Target="header30.xml"/><Relationship Id="rId164" Type="http://schemas.openxmlformats.org/officeDocument/2006/relationships/footer" Target="footer43.xml"/><Relationship Id="rId165" Type="http://schemas.openxmlformats.org/officeDocument/2006/relationships/footer" Target="footer44.xml"/><Relationship Id="rId166" Type="http://schemas.openxmlformats.org/officeDocument/2006/relationships/footer" Target="footer45.xml"/><Relationship Id="rId167" Type="http://schemas.openxmlformats.org/officeDocument/2006/relationships/hyperlink" Target="http://www.zjts.com/news/jtdt?id=372" TargetMode="External"/><Relationship Id="rId168" Type="http://schemas.openxmlformats.org/officeDocument/2006/relationships/footer" Target="footer46.xml"/><Relationship Id="rId169" Type="http://schemas.openxmlformats.org/officeDocument/2006/relationships/footer" Target="footer47.xml"/><Relationship Id="rId1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2021-07-27T05:35:40Z</dcterms:created>
  <dcterms:modified xsi:type="dcterms:W3CDTF">2021-07-27T05:35:40Z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2021-07-23T00:00:00Z</vt:filetime>
  </property>
  <property fmtid="{D5CDD505-2E9C-101B-9397-08002B2CF9AE}" pid="3" name="Creator">
    <vt:lpwstr>Microsoft® Word 2019</vt:lpwstr>
  </property>
  <property fmtid="{D5CDD505-2E9C-101B-9397-08002B2CF9AE}" pid="4" name="LastSaved">
    <vt:filetime>2021-07-27T00:00:00Z</vt:filetime>
  </property>
</Properties>
</file>